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oter7.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8.xml" ContentType="application/vnd.openxmlformats-officedocument.wordprocessingml.footer+xml"/>
  <Override PartName="/word/header18.xml" ContentType="application/vnd.openxmlformats-officedocument.wordprocessingml.header+xml"/>
  <Override PartName="/word/footer9.xml" ContentType="application/vnd.openxmlformats-officedocument.wordprocessingml.footer+xml"/>
  <Override PartName="/word/header19.xml" ContentType="application/vnd.openxmlformats-officedocument.wordprocessingml.header+xml"/>
  <Override PartName="/word/footer10.xml" ContentType="application/vnd.openxmlformats-officedocument.wordprocessingml.footer+xml"/>
  <Override PartName="/word/header20.xml" ContentType="application/vnd.openxmlformats-officedocument.wordprocessingml.header+xml"/>
  <Override PartName="/word/footer1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12.xml" ContentType="application/vnd.openxmlformats-officedocument.wordprocessingml.footer+xml"/>
  <Override PartName="/word/header23.xml" ContentType="application/vnd.openxmlformats-officedocument.wordprocessingml.header+xml"/>
  <Override PartName="/word/footer13.xml" ContentType="application/vnd.openxmlformats-officedocument.wordprocessingml.footer+xml"/>
  <Override PartName="/word/header24.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25.xml" ContentType="application/vnd.openxmlformats-officedocument.wordprocessingml.header+xml"/>
  <Override PartName="/word/footer16.xml" ContentType="application/vnd.openxmlformats-officedocument.wordprocessingml.footer+xml"/>
  <Override PartName="/word/header26.xml" ContentType="application/vnd.openxmlformats-officedocument.wordprocessingml.header+xml"/>
  <Override PartName="/word/footer17.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18.xml" ContentType="application/vnd.openxmlformats-officedocument.wordprocessingml.footer+xml"/>
  <Override PartName="/word/header29.xml" ContentType="application/vnd.openxmlformats-officedocument.wordprocessingml.header+xml"/>
  <Override PartName="/word/footer19.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32.xml" ContentType="application/vnd.openxmlformats-officedocument.wordprocessingml.header+xml"/>
  <Override PartName="/word/footer22.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35.xml" ContentType="application/vnd.openxmlformats-officedocument.wordprocessingml.header+xml"/>
  <Override PartName="/word/footer25.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38.xml" ContentType="application/vnd.openxmlformats-officedocument.wordprocessingml.header+xml"/>
  <Override PartName="/word/footer28.xml" ContentType="application/vnd.openxmlformats-officedocument.wordprocessingml.footer+xml"/>
  <Override PartName="/word/header39.xml" ContentType="application/vnd.openxmlformats-officedocument.wordprocessingml.header+xml"/>
  <Override PartName="/word/footer29.xml" ContentType="application/vnd.openxmlformats-officedocument.wordprocessingml.footer+xml"/>
  <Override PartName="/word/header40.xml" ContentType="application/vnd.openxmlformats-officedocument.wordprocessingml.header+xml"/>
  <Override PartName="/word/footer30.xml" ContentType="application/vnd.openxmlformats-officedocument.wordprocessingml.footer+xml"/>
  <Override PartName="/word/header41.xml" ContentType="application/vnd.openxmlformats-officedocument.wordprocessingml.header+xml"/>
  <Override PartName="/word/footer31.xml" ContentType="application/vnd.openxmlformats-officedocument.wordprocessingml.footer+xml"/>
  <Override PartName="/word/header42.xml" ContentType="application/vnd.openxmlformats-officedocument.wordprocessingml.header+xml"/>
  <Override PartName="/word/footer3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33.xml" ContentType="application/vnd.openxmlformats-officedocument.wordprocessingml.footer+xml"/>
  <Override PartName="/word/header45.xml" ContentType="application/vnd.openxmlformats-officedocument.wordprocessingml.header+xml"/>
  <Override PartName="/word/footer34.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38.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footer39.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footer40.xml" ContentType="application/vnd.openxmlformats-officedocument.wordprocessingml.footer+xml"/>
  <Override PartName="/word/header59.xml" ContentType="application/vnd.openxmlformats-officedocument.wordprocessingml.header+xml"/>
  <Override PartName="/word/footer41.xml" ContentType="application/vnd.openxmlformats-officedocument.wordprocessingml.footer+xml"/>
  <Override PartName="/word/header60.xml" ContentType="application/vnd.openxmlformats-officedocument.wordprocessingml.header+xml"/>
  <Override PartName="/word/footer42.xml" ContentType="application/vnd.openxmlformats-officedocument.wordprocessingml.footer+xml"/>
  <Override PartName="/word/header61.xml" ContentType="application/vnd.openxmlformats-officedocument.wordprocessingml.header+xml"/>
  <Override PartName="/word/footer43.xml" ContentType="application/vnd.openxmlformats-officedocument.wordprocessingml.footer+xml"/>
  <Override PartName="/word/header62.xml" ContentType="application/vnd.openxmlformats-officedocument.wordprocessingml.header+xml"/>
  <Override PartName="/word/header63.xml" ContentType="application/vnd.openxmlformats-officedocument.wordprocessingml.header+xml"/>
  <Override PartName="/word/footer44.xml" ContentType="application/vnd.openxmlformats-officedocument.wordprocessingml.footer+xml"/>
  <Override PartName="/word/header64.xml" ContentType="application/vnd.openxmlformats-officedocument.wordprocessingml.header+xml"/>
  <Override PartName="/word/footer45.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2C3E" w:rsidRPr="00C903F8" w:rsidRDefault="00302C3E" w:rsidP="00E1027C">
      <w:pPr>
        <w:pStyle w:val="Annexetitreglobale"/>
        <w:spacing w:line="240" w:lineRule="atLeast"/>
        <w:rPr>
          <w:rFonts w:cs="Arial"/>
          <w:b w:val="0"/>
          <w:u w:val="none"/>
        </w:rPr>
      </w:pPr>
    </w:p>
    <w:p w:rsidR="007874ED" w:rsidRPr="009072DA" w:rsidRDefault="00226A59" w:rsidP="00FA2BFC">
      <w:pPr>
        <w:spacing w:line="240" w:lineRule="atLeast"/>
        <w:jc w:val="center"/>
        <w:rPr>
          <w:rFonts w:cs="Arial"/>
          <w:lang w:val="bg-BG"/>
        </w:rPr>
      </w:pPr>
      <w:r w:rsidRPr="009072DA">
        <w:rPr>
          <w:lang w:val="bg-BG"/>
        </w:rPr>
        <w:t xml:space="preserve">Европейски комитет за изготвяне на стандарти за корабоплаване по вътрешните водни пътища </w:t>
      </w:r>
      <w:r w:rsidRPr="009072DA">
        <w:rPr>
          <w:lang w:val="bg-BG"/>
        </w:rPr>
        <w:br/>
        <w:t>(CESNI)</w:t>
      </w:r>
    </w:p>
    <w:p w:rsidR="007874ED" w:rsidRPr="009072DA" w:rsidRDefault="007874ED" w:rsidP="00E1027C">
      <w:pPr>
        <w:spacing w:line="240" w:lineRule="atLeast"/>
        <w:jc w:val="center"/>
        <w:rPr>
          <w:rFonts w:cs="Arial"/>
          <w:lang w:val="bg-BG"/>
        </w:rPr>
      </w:pPr>
    </w:p>
    <w:p w:rsidR="007874ED" w:rsidRPr="009072DA" w:rsidRDefault="007874ED" w:rsidP="00E1027C">
      <w:pPr>
        <w:spacing w:line="240" w:lineRule="atLeast"/>
        <w:jc w:val="center"/>
        <w:rPr>
          <w:rFonts w:cs="Arial"/>
          <w:lang w:val="bg-BG"/>
        </w:rPr>
      </w:pPr>
    </w:p>
    <w:p w:rsidR="00E1027C" w:rsidRPr="009072DA" w:rsidRDefault="00E1027C" w:rsidP="00E1027C">
      <w:pPr>
        <w:spacing w:line="240" w:lineRule="atLeast"/>
        <w:jc w:val="center"/>
        <w:rPr>
          <w:rFonts w:cs="Arial"/>
          <w:lang w:val="bg-BG"/>
        </w:rPr>
      </w:pPr>
    </w:p>
    <w:p w:rsidR="00E1027C" w:rsidRPr="009072DA" w:rsidRDefault="00E1027C" w:rsidP="00E1027C">
      <w:pPr>
        <w:spacing w:line="240" w:lineRule="atLeast"/>
        <w:jc w:val="center"/>
        <w:rPr>
          <w:rFonts w:cs="Arial"/>
          <w:lang w:val="bg-BG"/>
        </w:rPr>
      </w:pPr>
    </w:p>
    <w:p w:rsidR="00E1027C" w:rsidRPr="009072DA" w:rsidRDefault="00E1027C" w:rsidP="00E1027C">
      <w:pPr>
        <w:spacing w:line="240" w:lineRule="atLeast"/>
        <w:jc w:val="center"/>
        <w:rPr>
          <w:rFonts w:cs="Arial"/>
          <w:lang w:val="bg-BG"/>
        </w:rPr>
      </w:pPr>
    </w:p>
    <w:p w:rsidR="007874ED" w:rsidRPr="009072DA" w:rsidRDefault="007874ED" w:rsidP="00E1027C">
      <w:pPr>
        <w:spacing w:line="240" w:lineRule="atLeast"/>
        <w:jc w:val="center"/>
        <w:rPr>
          <w:rFonts w:cs="Arial"/>
          <w:lang w:val="bg-BG"/>
        </w:rPr>
      </w:pPr>
    </w:p>
    <w:p w:rsidR="00E77F1F" w:rsidRPr="009072DA" w:rsidRDefault="004F7EC9" w:rsidP="00E77F1F">
      <w:pPr>
        <w:pStyle w:val="BodyText3"/>
        <w:spacing w:line="240" w:lineRule="atLeast"/>
        <w:jc w:val="center"/>
        <w:rPr>
          <w:rFonts w:cs="Arial"/>
          <w:sz w:val="22"/>
          <w:szCs w:val="22"/>
          <w:lang w:val="bg-BG"/>
        </w:rPr>
      </w:pPr>
      <w:r w:rsidRPr="009072DA">
        <w:rPr>
          <w:b/>
          <w:sz w:val="22"/>
          <w:lang w:val="bg-BG"/>
        </w:rPr>
        <w:t>Издание 2017/1</w:t>
      </w:r>
    </w:p>
    <w:p w:rsidR="00302C3E" w:rsidRPr="009072DA" w:rsidRDefault="00302C3E" w:rsidP="00E1027C">
      <w:pPr>
        <w:pStyle w:val="BodyText3"/>
        <w:spacing w:line="240" w:lineRule="atLeast"/>
        <w:jc w:val="center"/>
        <w:rPr>
          <w:rFonts w:cs="Arial"/>
          <w:sz w:val="22"/>
          <w:szCs w:val="22"/>
          <w:lang w:val="bg-BG"/>
        </w:rPr>
      </w:pPr>
    </w:p>
    <w:p w:rsidR="007874ED" w:rsidRPr="009072DA" w:rsidRDefault="007874ED" w:rsidP="00E1027C">
      <w:pPr>
        <w:pStyle w:val="BodyText3"/>
        <w:spacing w:line="240" w:lineRule="atLeast"/>
        <w:jc w:val="center"/>
        <w:rPr>
          <w:rFonts w:cs="Arial"/>
          <w:sz w:val="22"/>
          <w:szCs w:val="22"/>
          <w:lang w:val="bg-BG"/>
        </w:rPr>
      </w:pPr>
    </w:p>
    <w:p w:rsidR="007874ED" w:rsidRPr="009072DA" w:rsidRDefault="007874ED" w:rsidP="00E1027C">
      <w:pPr>
        <w:pStyle w:val="BodyText3"/>
        <w:spacing w:line="240" w:lineRule="atLeast"/>
        <w:jc w:val="center"/>
        <w:rPr>
          <w:rFonts w:cs="Arial"/>
          <w:sz w:val="22"/>
          <w:szCs w:val="22"/>
          <w:lang w:val="bg-BG"/>
        </w:rPr>
      </w:pPr>
    </w:p>
    <w:p w:rsidR="007874ED" w:rsidRPr="009072DA" w:rsidRDefault="007874ED" w:rsidP="00E1027C">
      <w:pPr>
        <w:pStyle w:val="BodyText3"/>
        <w:spacing w:line="240" w:lineRule="atLeast"/>
        <w:jc w:val="center"/>
        <w:rPr>
          <w:rFonts w:cs="Arial"/>
          <w:sz w:val="22"/>
          <w:szCs w:val="22"/>
          <w:lang w:val="bg-BG"/>
        </w:rPr>
      </w:pPr>
    </w:p>
    <w:p w:rsidR="00E1027C" w:rsidRPr="009072DA" w:rsidRDefault="00E1027C" w:rsidP="00E1027C">
      <w:pPr>
        <w:pStyle w:val="BodyText3"/>
        <w:spacing w:line="240" w:lineRule="atLeast"/>
        <w:jc w:val="center"/>
        <w:rPr>
          <w:rFonts w:cs="Arial"/>
          <w:sz w:val="22"/>
          <w:szCs w:val="22"/>
          <w:lang w:val="bg-BG"/>
        </w:rPr>
      </w:pPr>
    </w:p>
    <w:p w:rsidR="00E1027C" w:rsidRPr="009072DA" w:rsidRDefault="00E1027C" w:rsidP="00E1027C">
      <w:pPr>
        <w:pStyle w:val="BodyText3"/>
        <w:spacing w:line="240" w:lineRule="atLeast"/>
        <w:jc w:val="center"/>
        <w:rPr>
          <w:rFonts w:cs="Arial"/>
          <w:sz w:val="22"/>
          <w:szCs w:val="22"/>
          <w:lang w:val="bg-BG"/>
        </w:rPr>
      </w:pPr>
    </w:p>
    <w:p w:rsidR="007874ED" w:rsidRPr="009072DA" w:rsidRDefault="007874ED" w:rsidP="00E1027C">
      <w:pPr>
        <w:pStyle w:val="BodyText3"/>
        <w:spacing w:line="240" w:lineRule="atLeast"/>
        <w:jc w:val="center"/>
        <w:rPr>
          <w:rFonts w:cs="Arial"/>
          <w:sz w:val="22"/>
          <w:szCs w:val="22"/>
          <w:lang w:val="bg-BG"/>
        </w:rPr>
      </w:pPr>
    </w:p>
    <w:p w:rsidR="007874ED" w:rsidRPr="009072DA" w:rsidRDefault="007874ED" w:rsidP="00E1027C">
      <w:pPr>
        <w:pStyle w:val="BodyText3"/>
        <w:spacing w:line="240" w:lineRule="atLeast"/>
        <w:jc w:val="center"/>
        <w:rPr>
          <w:rFonts w:cs="Arial"/>
          <w:sz w:val="22"/>
          <w:szCs w:val="22"/>
          <w:lang w:val="bg-BG"/>
        </w:rPr>
      </w:pPr>
    </w:p>
    <w:p w:rsidR="007874ED" w:rsidRPr="009072DA" w:rsidRDefault="007874ED" w:rsidP="00E1027C">
      <w:pPr>
        <w:pStyle w:val="BodyText3"/>
        <w:spacing w:line="240" w:lineRule="atLeast"/>
        <w:jc w:val="center"/>
        <w:rPr>
          <w:rFonts w:cs="Arial"/>
          <w:sz w:val="22"/>
          <w:szCs w:val="22"/>
          <w:lang w:val="bg-BG"/>
        </w:rPr>
      </w:pPr>
    </w:p>
    <w:p w:rsidR="007874ED" w:rsidRPr="009072DA" w:rsidRDefault="007874ED" w:rsidP="00E1027C">
      <w:pPr>
        <w:pStyle w:val="BodyText3"/>
        <w:spacing w:line="240" w:lineRule="atLeast"/>
        <w:jc w:val="center"/>
        <w:rPr>
          <w:rFonts w:cs="Arial"/>
          <w:sz w:val="22"/>
          <w:szCs w:val="22"/>
          <w:lang w:val="bg-BG"/>
        </w:rPr>
      </w:pPr>
    </w:p>
    <w:p w:rsidR="00226A59" w:rsidRPr="009072DA" w:rsidRDefault="00226A59" w:rsidP="00226A59">
      <w:pPr>
        <w:pStyle w:val="BodyText3"/>
        <w:spacing w:line="240" w:lineRule="atLeast"/>
        <w:jc w:val="center"/>
        <w:rPr>
          <w:rFonts w:cs="Arial"/>
          <w:b/>
          <w:sz w:val="44"/>
          <w:szCs w:val="44"/>
          <w:lang w:val="bg-BG"/>
        </w:rPr>
      </w:pPr>
      <w:r w:rsidRPr="009072DA">
        <w:rPr>
          <w:b/>
          <w:sz w:val="44"/>
          <w:lang w:val="bg-BG"/>
        </w:rPr>
        <w:t xml:space="preserve">Европейски стандарт </w:t>
      </w:r>
    </w:p>
    <w:p w:rsidR="00226A59" w:rsidRPr="009072DA" w:rsidRDefault="00226A59" w:rsidP="00226A59">
      <w:pPr>
        <w:pStyle w:val="BodyText3"/>
        <w:spacing w:line="240" w:lineRule="atLeast"/>
        <w:jc w:val="center"/>
        <w:rPr>
          <w:rFonts w:cs="Arial"/>
          <w:b/>
          <w:sz w:val="44"/>
          <w:szCs w:val="44"/>
          <w:lang w:val="bg-BG"/>
        </w:rPr>
      </w:pPr>
      <w:r w:rsidRPr="009072DA">
        <w:rPr>
          <w:b/>
          <w:sz w:val="44"/>
          <w:lang w:val="bg-BG"/>
        </w:rPr>
        <w:t xml:space="preserve">за определяне на </w:t>
      </w:r>
    </w:p>
    <w:p w:rsidR="00226A59" w:rsidRPr="009072DA" w:rsidRDefault="00226A59" w:rsidP="00226A59">
      <w:pPr>
        <w:pStyle w:val="BodyText3"/>
        <w:spacing w:line="240" w:lineRule="atLeast"/>
        <w:jc w:val="center"/>
        <w:rPr>
          <w:rFonts w:cs="Arial"/>
          <w:b/>
          <w:sz w:val="44"/>
          <w:szCs w:val="44"/>
          <w:lang w:val="bg-BG"/>
        </w:rPr>
      </w:pPr>
      <w:r w:rsidRPr="009072DA">
        <w:rPr>
          <w:b/>
          <w:sz w:val="44"/>
          <w:lang w:val="bg-BG"/>
        </w:rPr>
        <w:t xml:space="preserve">технически изисквания </w:t>
      </w:r>
    </w:p>
    <w:p w:rsidR="00226A59" w:rsidRPr="009072DA" w:rsidRDefault="00226A59" w:rsidP="00226A59">
      <w:pPr>
        <w:pStyle w:val="BodyText3"/>
        <w:spacing w:line="240" w:lineRule="atLeast"/>
        <w:jc w:val="center"/>
        <w:rPr>
          <w:rFonts w:cs="Arial"/>
          <w:b/>
          <w:sz w:val="44"/>
          <w:szCs w:val="44"/>
          <w:lang w:val="bg-BG"/>
        </w:rPr>
      </w:pPr>
      <w:r w:rsidRPr="009072DA">
        <w:rPr>
          <w:b/>
          <w:sz w:val="44"/>
          <w:lang w:val="bg-BG"/>
        </w:rPr>
        <w:t xml:space="preserve">за </w:t>
      </w:r>
    </w:p>
    <w:p w:rsidR="00226A59" w:rsidRPr="009072DA" w:rsidRDefault="00226A59" w:rsidP="00226A59">
      <w:pPr>
        <w:pStyle w:val="BodyText3"/>
        <w:spacing w:line="240" w:lineRule="atLeast"/>
        <w:jc w:val="center"/>
        <w:rPr>
          <w:rFonts w:cs="Arial"/>
          <w:b/>
          <w:bCs/>
          <w:iCs/>
          <w:sz w:val="44"/>
          <w:szCs w:val="44"/>
          <w:lang w:val="bg-BG"/>
        </w:rPr>
      </w:pPr>
      <w:r w:rsidRPr="009072DA">
        <w:rPr>
          <w:b/>
          <w:sz w:val="44"/>
          <w:lang w:val="bg-BG"/>
        </w:rPr>
        <w:t>плавателните съдове по вътрешните водни пътища</w:t>
      </w:r>
    </w:p>
    <w:p w:rsidR="00302C3E" w:rsidRPr="009072DA" w:rsidRDefault="00302C3E" w:rsidP="00E1027C">
      <w:pPr>
        <w:spacing w:line="240" w:lineRule="atLeast"/>
        <w:jc w:val="center"/>
        <w:rPr>
          <w:rFonts w:cs="Arial"/>
          <w:lang w:val="bg-BG"/>
        </w:rPr>
      </w:pPr>
    </w:p>
    <w:p w:rsidR="00302C3E" w:rsidRPr="009072DA" w:rsidRDefault="00172F8E" w:rsidP="00E1027C">
      <w:pPr>
        <w:spacing w:line="240" w:lineRule="atLeast"/>
        <w:jc w:val="center"/>
        <w:rPr>
          <w:rFonts w:cs="Arial"/>
          <w:b/>
          <w:lang w:val="bg-BG"/>
        </w:rPr>
      </w:pPr>
      <w:r w:rsidRPr="009072DA">
        <w:rPr>
          <w:b/>
          <w:lang w:val="bg-BG"/>
        </w:rPr>
        <w:t>(ES-TRIN)</w:t>
      </w:r>
    </w:p>
    <w:p w:rsidR="00302C3E" w:rsidRPr="009072DA" w:rsidRDefault="00302C3E" w:rsidP="00E1027C">
      <w:pPr>
        <w:spacing w:line="240" w:lineRule="atLeast"/>
        <w:jc w:val="center"/>
        <w:rPr>
          <w:rFonts w:cs="Arial"/>
          <w:lang w:val="bg-BG"/>
        </w:rPr>
      </w:pPr>
    </w:p>
    <w:p w:rsidR="007874ED" w:rsidRPr="009072DA" w:rsidRDefault="007874ED" w:rsidP="00E1027C">
      <w:pPr>
        <w:spacing w:line="240" w:lineRule="atLeast"/>
        <w:jc w:val="center"/>
        <w:rPr>
          <w:rFonts w:cs="Arial"/>
          <w:lang w:val="bg-BG"/>
        </w:rPr>
      </w:pPr>
    </w:p>
    <w:p w:rsidR="00302C3E" w:rsidRPr="009072DA" w:rsidRDefault="00302C3E" w:rsidP="00E1027C">
      <w:pPr>
        <w:pStyle w:val="Annexetitreglobale"/>
        <w:spacing w:line="240" w:lineRule="atLeast"/>
        <w:jc w:val="both"/>
        <w:rPr>
          <w:rFonts w:cs="Arial"/>
          <w:b w:val="0"/>
          <w:szCs w:val="20"/>
          <w:u w:val="none"/>
          <w:lang w:val="bg-BG"/>
        </w:rPr>
      </w:pPr>
    </w:p>
    <w:p w:rsidR="00302C3E" w:rsidRPr="009072DA" w:rsidRDefault="00302C3E" w:rsidP="00E1027C">
      <w:pPr>
        <w:pStyle w:val="Annexetitreglobale"/>
        <w:spacing w:line="240" w:lineRule="atLeast"/>
        <w:jc w:val="both"/>
        <w:rPr>
          <w:rFonts w:cs="Arial"/>
          <w:b w:val="0"/>
          <w:szCs w:val="20"/>
          <w:u w:val="none"/>
          <w:lang w:val="bg-BG"/>
        </w:rPr>
      </w:pPr>
    </w:p>
    <w:p w:rsidR="00302C3E" w:rsidRPr="009072DA" w:rsidRDefault="00302C3E" w:rsidP="00E1027C">
      <w:pPr>
        <w:pStyle w:val="Annexetitreglobale"/>
        <w:spacing w:line="240" w:lineRule="atLeast"/>
        <w:jc w:val="both"/>
        <w:rPr>
          <w:rFonts w:cs="Arial"/>
          <w:b w:val="0"/>
          <w:szCs w:val="20"/>
          <w:u w:val="none"/>
          <w:lang w:val="bg-BG"/>
        </w:rPr>
      </w:pPr>
    </w:p>
    <w:p w:rsidR="00E1027C" w:rsidRPr="009072DA" w:rsidRDefault="00302C3E" w:rsidP="00E1027C">
      <w:pPr>
        <w:spacing w:line="240" w:lineRule="atLeast"/>
        <w:jc w:val="center"/>
        <w:rPr>
          <w:lang w:val="bg-BG"/>
        </w:rPr>
      </w:pPr>
      <w:r w:rsidRPr="009072DA">
        <w:rPr>
          <w:lang w:val="bg-BG"/>
        </w:rPr>
        <w:br w:type="page"/>
      </w:r>
    </w:p>
    <w:p w:rsidR="002C44F2" w:rsidRPr="009072DA" w:rsidRDefault="002C44F2" w:rsidP="00E1027C">
      <w:pPr>
        <w:spacing w:line="240" w:lineRule="atLeast"/>
        <w:jc w:val="center"/>
        <w:rPr>
          <w:lang w:val="bg-BG"/>
        </w:rPr>
      </w:pPr>
    </w:p>
    <w:p w:rsidR="002C44F2" w:rsidRPr="009072DA" w:rsidRDefault="002C44F2" w:rsidP="00E1027C">
      <w:pPr>
        <w:spacing w:line="240" w:lineRule="atLeast"/>
        <w:jc w:val="center"/>
        <w:rPr>
          <w:lang w:val="bg-BG"/>
        </w:rPr>
      </w:pPr>
    </w:p>
    <w:p w:rsidR="002C44F2" w:rsidRPr="009072DA" w:rsidRDefault="002C44F2" w:rsidP="00E1027C">
      <w:pPr>
        <w:spacing w:line="240" w:lineRule="atLeast"/>
        <w:jc w:val="center"/>
        <w:rPr>
          <w:lang w:val="bg-BG"/>
        </w:rPr>
      </w:pPr>
    </w:p>
    <w:p w:rsidR="002C44F2" w:rsidRPr="009072DA" w:rsidRDefault="002C44F2" w:rsidP="00E1027C">
      <w:pPr>
        <w:spacing w:line="240" w:lineRule="atLeast"/>
        <w:jc w:val="center"/>
        <w:rPr>
          <w:b/>
          <w:sz w:val="24"/>
          <w:lang w:val="bg-BG"/>
        </w:rPr>
        <w:sectPr w:rsidR="002C44F2" w:rsidRPr="009072DA" w:rsidSect="00EF4E24">
          <w:headerReference w:type="even" r:id="rId9"/>
          <w:headerReference w:type="default" r:id="rId10"/>
          <w:footerReference w:type="even" r:id="rId11"/>
          <w:footerReference w:type="default" r:id="rId12"/>
          <w:headerReference w:type="first" r:id="rId13"/>
          <w:footerReference w:type="first" r:id="rId14"/>
          <w:footnotePr>
            <w:numRestart w:val="eachPage"/>
          </w:footnotePr>
          <w:pgSz w:w="11906" w:h="16838" w:code="9"/>
          <w:pgMar w:top="1418" w:right="1418" w:bottom="1418" w:left="1418" w:header="709" w:footer="709" w:gutter="0"/>
          <w:pgNumType w:fmt="lowerRoman" w:start="1"/>
          <w:cols w:space="709"/>
          <w:titlePg/>
          <w:docGrid w:linePitch="326"/>
        </w:sectPr>
      </w:pPr>
    </w:p>
    <w:p w:rsidR="00E1027C" w:rsidRPr="009072DA" w:rsidRDefault="00E1027C" w:rsidP="00E1027C">
      <w:pPr>
        <w:pStyle w:val="TOCHeading"/>
        <w:spacing w:after="0" w:line="240" w:lineRule="atLeast"/>
        <w:rPr>
          <w:rFonts w:cs="Arial"/>
          <w:sz w:val="20"/>
          <w:szCs w:val="20"/>
          <w:lang w:val="bg-BG"/>
        </w:rPr>
      </w:pPr>
    </w:p>
    <w:p w:rsidR="00360D41" w:rsidRPr="009072DA" w:rsidRDefault="00CA2865" w:rsidP="00E1027C">
      <w:pPr>
        <w:pStyle w:val="TOCHeading"/>
        <w:spacing w:after="0" w:line="240" w:lineRule="atLeast"/>
        <w:rPr>
          <w:rFonts w:cs="Arial"/>
          <w:sz w:val="24"/>
          <w:szCs w:val="24"/>
          <w:lang w:val="bg-BG"/>
        </w:rPr>
      </w:pPr>
      <w:r w:rsidRPr="009072DA">
        <w:rPr>
          <w:sz w:val="24"/>
          <w:lang w:val="bg-BG"/>
        </w:rPr>
        <w:t>СЪДЪРЖАНИЕ</w:t>
      </w:r>
    </w:p>
    <w:p w:rsidR="00E1027C" w:rsidRPr="009072DA" w:rsidRDefault="00E1027C" w:rsidP="00A31C24">
      <w:pPr>
        <w:spacing w:line="240" w:lineRule="atLeast"/>
        <w:rPr>
          <w:lang w:val="bg-BG"/>
        </w:rPr>
      </w:pPr>
    </w:p>
    <w:p w:rsidR="006E79EB" w:rsidRPr="009072DA" w:rsidRDefault="006E79EB" w:rsidP="00A31C24">
      <w:pPr>
        <w:spacing w:line="240" w:lineRule="atLeast"/>
        <w:rPr>
          <w:lang w:val="bg-BG"/>
        </w:rPr>
      </w:pPr>
    </w:p>
    <w:p w:rsidR="001C71EE" w:rsidRDefault="00D01002">
      <w:pPr>
        <w:pStyle w:val="TOC1"/>
        <w:rPr>
          <w:rFonts w:asciiTheme="minorHAnsi" w:eastAsiaTheme="minorEastAsia" w:hAnsiTheme="minorHAnsi" w:cstheme="minorBidi"/>
          <w:b w:val="0"/>
          <w:bCs w:val="0"/>
          <w:caps w:val="0"/>
          <w:noProof/>
          <w:sz w:val="22"/>
          <w:szCs w:val="22"/>
          <w:lang w:val="en-GB" w:eastAsia="en-GB" w:bidi="ar-SA"/>
        </w:rPr>
      </w:pPr>
      <w:r w:rsidRPr="009072DA">
        <w:rPr>
          <w:rFonts w:cs="Arial"/>
        </w:rPr>
        <w:fldChar w:fldCharType="begin"/>
      </w:r>
      <w:r w:rsidR="00FC3016" w:rsidRPr="009072DA">
        <w:rPr>
          <w:rFonts w:cs="Arial"/>
        </w:rPr>
        <w:instrText xml:space="preserve"> TOC \h \z \t "ES-Titre1;1;ES-Titre2;2;ES-Titre3;3;ES-Titre3a;3;Es-Titre_annexes;1;ES-Titre3_pr_chap32;3;Chiffre_gras;1;ES-Titre2_ESI;2" </w:instrText>
      </w:r>
      <w:r w:rsidRPr="009072DA">
        <w:rPr>
          <w:rFonts w:cs="Arial"/>
        </w:rPr>
        <w:fldChar w:fldCharType="separate"/>
      </w:r>
      <w:hyperlink w:anchor="_Toc535827443" w:history="1">
        <w:r w:rsidR="001C71EE" w:rsidRPr="00193DF2">
          <w:rPr>
            <w:rStyle w:val="Hyperlink"/>
            <w:noProof/>
          </w:rPr>
          <w:t>ЧАСТ I ОБЩИ ПОЛОЖЕНИЯ</w:t>
        </w:r>
        <w:r w:rsidR="001C71EE">
          <w:rPr>
            <w:noProof/>
            <w:webHidden/>
          </w:rPr>
          <w:tab/>
        </w:r>
        <w:r w:rsidR="001C71EE">
          <w:rPr>
            <w:noProof/>
            <w:webHidden/>
          </w:rPr>
          <w:fldChar w:fldCharType="begin"/>
        </w:r>
        <w:r w:rsidR="001C71EE">
          <w:rPr>
            <w:noProof/>
            <w:webHidden/>
          </w:rPr>
          <w:instrText xml:space="preserve"> PAGEREF _Toc535827443 \h </w:instrText>
        </w:r>
        <w:r w:rsidR="001C71EE">
          <w:rPr>
            <w:noProof/>
            <w:webHidden/>
          </w:rPr>
        </w:r>
        <w:r w:rsidR="001C71EE">
          <w:rPr>
            <w:noProof/>
            <w:webHidden/>
          </w:rPr>
          <w:fldChar w:fldCharType="separate"/>
        </w:r>
        <w:r w:rsidR="001C71EE">
          <w:rPr>
            <w:noProof/>
            <w:webHidden/>
          </w:rPr>
          <w:t>1</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444" w:history="1">
        <w:r w:rsidR="001C71EE" w:rsidRPr="00193DF2">
          <w:rPr>
            <w:rStyle w:val="Hyperlink"/>
            <w:noProof/>
          </w:rPr>
          <w:t>Глава 1 Общи положения</w:t>
        </w:r>
        <w:r w:rsidR="001C71EE">
          <w:rPr>
            <w:noProof/>
            <w:webHidden/>
          </w:rPr>
          <w:tab/>
        </w:r>
        <w:r w:rsidR="001C71EE">
          <w:rPr>
            <w:noProof/>
            <w:webHidden/>
          </w:rPr>
          <w:fldChar w:fldCharType="begin"/>
        </w:r>
        <w:r w:rsidR="001C71EE">
          <w:rPr>
            <w:noProof/>
            <w:webHidden/>
          </w:rPr>
          <w:instrText xml:space="preserve"> PAGEREF _Toc535827444 \h </w:instrText>
        </w:r>
        <w:r w:rsidR="001C71EE">
          <w:rPr>
            <w:noProof/>
            <w:webHidden/>
          </w:rPr>
        </w:r>
        <w:r w:rsidR="001C71EE">
          <w:rPr>
            <w:noProof/>
            <w:webHidden/>
          </w:rPr>
          <w:fldChar w:fldCharType="separate"/>
        </w:r>
        <w:r w:rsidR="001C71EE">
          <w:rPr>
            <w:noProof/>
            <w:webHidden/>
          </w:rPr>
          <w:t>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45" w:history="1">
        <w:r w:rsidR="001C71EE" w:rsidRPr="00193DF2">
          <w:rPr>
            <w:rStyle w:val="Hyperlink"/>
            <w:noProof/>
          </w:rPr>
          <w:t>Член 1.01 Oпределения</w:t>
        </w:r>
        <w:r w:rsidR="001C71EE">
          <w:rPr>
            <w:noProof/>
            <w:webHidden/>
          </w:rPr>
          <w:tab/>
        </w:r>
        <w:r w:rsidR="001C71EE">
          <w:rPr>
            <w:noProof/>
            <w:webHidden/>
          </w:rPr>
          <w:fldChar w:fldCharType="begin"/>
        </w:r>
        <w:r w:rsidR="001C71EE">
          <w:rPr>
            <w:noProof/>
            <w:webHidden/>
          </w:rPr>
          <w:instrText xml:space="preserve"> PAGEREF _Toc535827445 \h </w:instrText>
        </w:r>
        <w:r w:rsidR="001C71EE">
          <w:rPr>
            <w:noProof/>
            <w:webHidden/>
          </w:rPr>
        </w:r>
        <w:r w:rsidR="001C71EE">
          <w:rPr>
            <w:noProof/>
            <w:webHidden/>
          </w:rPr>
          <w:fldChar w:fldCharType="separate"/>
        </w:r>
        <w:r w:rsidR="001C71EE">
          <w:rPr>
            <w:noProof/>
            <w:webHidden/>
          </w:rPr>
          <w:t>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46" w:history="1">
        <w:r w:rsidR="001C71EE" w:rsidRPr="00193DF2">
          <w:rPr>
            <w:rStyle w:val="Hyperlink"/>
            <w:noProof/>
          </w:rPr>
          <w:t>Член 1.02 Инструкции за прилагането на настоящия стандарт</w:t>
        </w:r>
        <w:r w:rsidR="001C71EE">
          <w:rPr>
            <w:noProof/>
            <w:webHidden/>
          </w:rPr>
          <w:tab/>
        </w:r>
        <w:r w:rsidR="001C71EE">
          <w:rPr>
            <w:noProof/>
            <w:webHidden/>
          </w:rPr>
          <w:fldChar w:fldCharType="begin"/>
        </w:r>
        <w:r w:rsidR="001C71EE">
          <w:rPr>
            <w:noProof/>
            <w:webHidden/>
          </w:rPr>
          <w:instrText xml:space="preserve"> PAGEREF _Toc535827446 \h </w:instrText>
        </w:r>
        <w:r w:rsidR="001C71EE">
          <w:rPr>
            <w:noProof/>
            <w:webHidden/>
          </w:rPr>
        </w:r>
        <w:r w:rsidR="001C71EE">
          <w:rPr>
            <w:noProof/>
            <w:webHidden/>
          </w:rPr>
          <w:fldChar w:fldCharType="separate"/>
        </w:r>
        <w:r w:rsidR="001C71EE">
          <w:rPr>
            <w:noProof/>
            <w:webHidden/>
          </w:rPr>
          <w:t>19</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447" w:history="1">
        <w:r w:rsidR="001C71EE" w:rsidRPr="00193DF2">
          <w:rPr>
            <w:rStyle w:val="Hyperlink"/>
            <w:noProof/>
          </w:rPr>
          <w:t>Глава 2 Процедура</w:t>
        </w:r>
        <w:r w:rsidR="001C71EE">
          <w:rPr>
            <w:noProof/>
            <w:webHidden/>
          </w:rPr>
          <w:tab/>
        </w:r>
        <w:r w:rsidR="001C71EE">
          <w:rPr>
            <w:noProof/>
            <w:webHidden/>
          </w:rPr>
          <w:fldChar w:fldCharType="begin"/>
        </w:r>
        <w:r w:rsidR="001C71EE">
          <w:rPr>
            <w:noProof/>
            <w:webHidden/>
          </w:rPr>
          <w:instrText xml:space="preserve"> PAGEREF _Toc535827447 \h </w:instrText>
        </w:r>
        <w:r w:rsidR="001C71EE">
          <w:rPr>
            <w:noProof/>
            <w:webHidden/>
          </w:rPr>
        </w:r>
        <w:r w:rsidR="001C71EE">
          <w:rPr>
            <w:noProof/>
            <w:webHidden/>
          </w:rPr>
          <w:fldChar w:fldCharType="separate"/>
        </w:r>
        <w:r w:rsidR="001C71EE">
          <w:rPr>
            <w:noProof/>
            <w:webHidden/>
          </w:rPr>
          <w:t>20</w:t>
        </w:r>
        <w:r w:rsidR="001C71EE">
          <w:rPr>
            <w:noProof/>
            <w:webHidden/>
          </w:rPr>
          <w:fldChar w:fldCharType="end"/>
        </w:r>
      </w:hyperlink>
    </w:p>
    <w:p w:rsidR="001C71EE" w:rsidRDefault="002B712C">
      <w:pPr>
        <w:pStyle w:val="TOC1"/>
        <w:rPr>
          <w:rFonts w:asciiTheme="minorHAnsi" w:eastAsiaTheme="minorEastAsia" w:hAnsiTheme="minorHAnsi" w:cstheme="minorBidi"/>
          <w:b w:val="0"/>
          <w:bCs w:val="0"/>
          <w:caps w:val="0"/>
          <w:noProof/>
          <w:sz w:val="22"/>
          <w:szCs w:val="22"/>
          <w:lang w:val="en-GB" w:eastAsia="en-GB" w:bidi="ar-SA"/>
        </w:rPr>
      </w:pPr>
      <w:hyperlink w:anchor="_Toc535827448" w:history="1">
        <w:r w:rsidR="001C71EE" w:rsidRPr="00193DF2">
          <w:rPr>
            <w:rStyle w:val="Hyperlink"/>
            <w:noProof/>
          </w:rPr>
          <w:t>ЧАСТ II РАЗПОРЕДБИ ОТНОСНО КОРАБНАТА КОНСТРУКЦИЯ, СЪОРЪЖЕНИЯТА И ОБОРУДВАНЕТО</w:t>
        </w:r>
        <w:r w:rsidR="001C71EE">
          <w:rPr>
            <w:noProof/>
            <w:webHidden/>
          </w:rPr>
          <w:tab/>
        </w:r>
        <w:r w:rsidR="001C71EE">
          <w:rPr>
            <w:noProof/>
            <w:webHidden/>
          </w:rPr>
          <w:fldChar w:fldCharType="begin"/>
        </w:r>
        <w:r w:rsidR="001C71EE">
          <w:rPr>
            <w:noProof/>
            <w:webHidden/>
          </w:rPr>
          <w:instrText xml:space="preserve"> PAGEREF _Toc535827448 \h </w:instrText>
        </w:r>
        <w:r w:rsidR="001C71EE">
          <w:rPr>
            <w:noProof/>
            <w:webHidden/>
          </w:rPr>
        </w:r>
        <w:r w:rsidR="001C71EE">
          <w:rPr>
            <w:noProof/>
            <w:webHidden/>
          </w:rPr>
          <w:fldChar w:fldCharType="separate"/>
        </w:r>
        <w:r w:rsidR="001C71EE">
          <w:rPr>
            <w:noProof/>
            <w:webHidden/>
          </w:rPr>
          <w:t>22</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449" w:history="1">
        <w:r w:rsidR="001C71EE" w:rsidRPr="00193DF2">
          <w:rPr>
            <w:rStyle w:val="Hyperlink"/>
            <w:noProof/>
          </w:rPr>
          <w:t>Глава 3 Изисквания към корабната конструкция</w:t>
        </w:r>
        <w:r w:rsidR="001C71EE">
          <w:rPr>
            <w:noProof/>
            <w:webHidden/>
          </w:rPr>
          <w:tab/>
        </w:r>
        <w:r w:rsidR="001C71EE">
          <w:rPr>
            <w:noProof/>
            <w:webHidden/>
          </w:rPr>
          <w:fldChar w:fldCharType="begin"/>
        </w:r>
        <w:r w:rsidR="001C71EE">
          <w:rPr>
            <w:noProof/>
            <w:webHidden/>
          </w:rPr>
          <w:instrText xml:space="preserve"> PAGEREF _Toc535827449 \h </w:instrText>
        </w:r>
        <w:r w:rsidR="001C71EE">
          <w:rPr>
            <w:noProof/>
            <w:webHidden/>
          </w:rPr>
        </w:r>
        <w:r w:rsidR="001C71EE">
          <w:rPr>
            <w:noProof/>
            <w:webHidden/>
          </w:rPr>
          <w:fldChar w:fldCharType="separate"/>
        </w:r>
        <w:r w:rsidR="001C71EE">
          <w:rPr>
            <w:noProof/>
            <w:webHidden/>
          </w:rPr>
          <w:t>22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50" w:history="1">
        <w:r w:rsidR="001C71EE" w:rsidRPr="00193DF2">
          <w:rPr>
            <w:rStyle w:val="Hyperlink"/>
            <w:noProof/>
          </w:rPr>
          <w:t>Член 3.01 Основни правила</w:t>
        </w:r>
        <w:r w:rsidR="001C71EE">
          <w:rPr>
            <w:noProof/>
            <w:webHidden/>
          </w:rPr>
          <w:tab/>
        </w:r>
        <w:r w:rsidR="001C71EE">
          <w:rPr>
            <w:noProof/>
            <w:webHidden/>
          </w:rPr>
          <w:fldChar w:fldCharType="begin"/>
        </w:r>
        <w:r w:rsidR="001C71EE">
          <w:rPr>
            <w:noProof/>
            <w:webHidden/>
          </w:rPr>
          <w:instrText xml:space="preserve"> PAGEREF _Toc535827450 \h </w:instrText>
        </w:r>
        <w:r w:rsidR="001C71EE">
          <w:rPr>
            <w:noProof/>
            <w:webHidden/>
          </w:rPr>
        </w:r>
        <w:r w:rsidR="001C71EE">
          <w:rPr>
            <w:noProof/>
            <w:webHidden/>
          </w:rPr>
          <w:fldChar w:fldCharType="separate"/>
        </w:r>
        <w:r w:rsidR="001C71EE">
          <w:rPr>
            <w:noProof/>
            <w:webHidden/>
          </w:rPr>
          <w:t>22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51" w:history="1">
        <w:r w:rsidR="001C71EE" w:rsidRPr="00193DF2">
          <w:rPr>
            <w:rStyle w:val="Hyperlink"/>
            <w:noProof/>
          </w:rPr>
          <w:t>Член 3.02 Якост и устойчивост</w:t>
        </w:r>
        <w:r w:rsidR="001C71EE">
          <w:rPr>
            <w:noProof/>
            <w:webHidden/>
          </w:rPr>
          <w:tab/>
        </w:r>
        <w:r w:rsidR="001C71EE">
          <w:rPr>
            <w:noProof/>
            <w:webHidden/>
          </w:rPr>
          <w:fldChar w:fldCharType="begin"/>
        </w:r>
        <w:r w:rsidR="001C71EE">
          <w:rPr>
            <w:noProof/>
            <w:webHidden/>
          </w:rPr>
          <w:instrText xml:space="preserve"> PAGEREF _Toc535827451 \h </w:instrText>
        </w:r>
        <w:r w:rsidR="001C71EE">
          <w:rPr>
            <w:noProof/>
            <w:webHidden/>
          </w:rPr>
        </w:r>
        <w:r w:rsidR="001C71EE">
          <w:rPr>
            <w:noProof/>
            <w:webHidden/>
          </w:rPr>
          <w:fldChar w:fldCharType="separate"/>
        </w:r>
        <w:r w:rsidR="001C71EE">
          <w:rPr>
            <w:noProof/>
            <w:webHidden/>
          </w:rPr>
          <w:t>22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52" w:history="1">
        <w:r w:rsidR="001C71EE" w:rsidRPr="00193DF2">
          <w:rPr>
            <w:rStyle w:val="Hyperlink"/>
            <w:noProof/>
          </w:rPr>
          <w:t>Член 3.03 Корпус</w:t>
        </w:r>
        <w:r w:rsidR="001C71EE">
          <w:rPr>
            <w:noProof/>
            <w:webHidden/>
          </w:rPr>
          <w:tab/>
        </w:r>
        <w:r w:rsidR="001C71EE">
          <w:rPr>
            <w:noProof/>
            <w:webHidden/>
          </w:rPr>
          <w:fldChar w:fldCharType="begin"/>
        </w:r>
        <w:r w:rsidR="001C71EE">
          <w:rPr>
            <w:noProof/>
            <w:webHidden/>
          </w:rPr>
          <w:instrText xml:space="preserve"> PAGEREF _Toc535827452 \h </w:instrText>
        </w:r>
        <w:r w:rsidR="001C71EE">
          <w:rPr>
            <w:noProof/>
            <w:webHidden/>
          </w:rPr>
        </w:r>
        <w:r w:rsidR="001C71EE">
          <w:rPr>
            <w:noProof/>
            <w:webHidden/>
          </w:rPr>
          <w:fldChar w:fldCharType="separate"/>
        </w:r>
        <w:r w:rsidR="001C71EE">
          <w:rPr>
            <w:noProof/>
            <w:webHidden/>
          </w:rPr>
          <w:t>24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53" w:history="1">
        <w:r w:rsidR="001C71EE" w:rsidRPr="00193DF2">
          <w:rPr>
            <w:rStyle w:val="Hyperlink"/>
            <w:noProof/>
          </w:rPr>
          <w:t>Член 3.04 Машинни и котелни отделения, бункери</w:t>
        </w:r>
        <w:r w:rsidR="001C71EE">
          <w:rPr>
            <w:noProof/>
            <w:webHidden/>
          </w:rPr>
          <w:tab/>
        </w:r>
        <w:r w:rsidR="001C71EE">
          <w:rPr>
            <w:noProof/>
            <w:webHidden/>
          </w:rPr>
          <w:fldChar w:fldCharType="begin"/>
        </w:r>
        <w:r w:rsidR="001C71EE">
          <w:rPr>
            <w:noProof/>
            <w:webHidden/>
          </w:rPr>
          <w:instrText xml:space="preserve"> PAGEREF _Toc535827453 \h </w:instrText>
        </w:r>
        <w:r w:rsidR="001C71EE">
          <w:rPr>
            <w:noProof/>
            <w:webHidden/>
          </w:rPr>
        </w:r>
        <w:r w:rsidR="001C71EE">
          <w:rPr>
            <w:noProof/>
            <w:webHidden/>
          </w:rPr>
          <w:fldChar w:fldCharType="separate"/>
        </w:r>
        <w:r w:rsidR="001C71EE">
          <w:rPr>
            <w:noProof/>
            <w:webHidden/>
          </w:rPr>
          <w:t>28</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454" w:history="1">
        <w:r w:rsidR="001C71EE" w:rsidRPr="00193DF2">
          <w:rPr>
            <w:rStyle w:val="Hyperlink"/>
            <w:noProof/>
          </w:rPr>
          <w:t>Глава 4 Разстояние на безопасност, надводен борд и марки за газене</w:t>
        </w:r>
        <w:r w:rsidR="001C71EE">
          <w:rPr>
            <w:noProof/>
            <w:webHidden/>
          </w:rPr>
          <w:tab/>
        </w:r>
        <w:r w:rsidR="001C71EE">
          <w:rPr>
            <w:noProof/>
            <w:webHidden/>
          </w:rPr>
          <w:fldChar w:fldCharType="begin"/>
        </w:r>
        <w:r w:rsidR="001C71EE">
          <w:rPr>
            <w:noProof/>
            <w:webHidden/>
          </w:rPr>
          <w:instrText xml:space="preserve"> PAGEREF _Toc535827454 \h </w:instrText>
        </w:r>
        <w:r w:rsidR="001C71EE">
          <w:rPr>
            <w:noProof/>
            <w:webHidden/>
          </w:rPr>
        </w:r>
        <w:r w:rsidR="001C71EE">
          <w:rPr>
            <w:noProof/>
            <w:webHidden/>
          </w:rPr>
          <w:fldChar w:fldCharType="separate"/>
        </w:r>
        <w:r w:rsidR="001C71EE">
          <w:rPr>
            <w:noProof/>
            <w:webHidden/>
          </w:rPr>
          <w:t>30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55" w:history="1">
        <w:r w:rsidR="001C71EE" w:rsidRPr="00193DF2">
          <w:rPr>
            <w:rStyle w:val="Hyperlink"/>
            <w:noProof/>
          </w:rPr>
          <w:t>Член 4.01 Разстояние на безопасност</w:t>
        </w:r>
        <w:r w:rsidR="001C71EE">
          <w:rPr>
            <w:noProof/>
            <w:webHidden/>
          </w:rPr>
          <w:tab/>
        </w:r>
        <w:r w:rsidR="001C71EE">
          <w:rPr>
            <w:noProof/>
            <w:webHidden/>
          </w:rPr>
          <w:fldChar w:fldCharType="begin"/>
        </w:r>
        <w:r w:rsidR="001C71EE">
          <w:rPr>
            <w:noProof/>
            <w:webHidden/>
          </w:rPr>
          <w:instrText xml:space="preserve"> PAGEREF _Toc535827455 \h </w:instrText>
        </w:r>
        <w:r w:rsidR="001C71EE">
          <w:rPr>
            <w:noProof/>
            <w:webHidden/>
          </w:rPr>
        </w:r>
        <w:r w:rsidR="001C71EE">
          <w:rPr>
            <w:noProof/>
            <w:webHidden/>
          </w:rPr>
          <w:fldChar w:fldCharType="separate"/>
        </w:r>
        <w:r w:rsidR="001C71EE">
          <w:rPr>
            <w:noProof/>
            <w:webHidden/>
          </w:rPr>
          <w:t>30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56" w:history="1">
        <w:r w:rsidR="001C71EE" w:rsidRPr="00193DF2">
          <w:rPr>
            <w:rStyle w:val="Hyperlink"/>
            <w:noProof/>
          </w:rPr>
          <w:t>Член 4.02 Надводен борд</w:t>
        </w:r>
        <w:r w:rsidR="001C71EE">
          <w:rPr>
            <w:noProof/>
            <w:webHidden/>
          </w:rPr>
          <w:tab/>
        </w:r>
        <w:r w:rsidR="001C71EE">
          <w:rPr>
            <w:noProof/>
            <w:webHidden/>
          </w:rPr>
          <w:fldChar w:fldCharType="begin"/>
        </w:r>
        <w:r w:rsidR="001C71EE">
          <w:rPr>
            <w:noProof/>
            <w:webHidden/>
          </w:rPr>
          <w:instrText xml:space="preserve"> PAGEREF _Toc535827456 \h </w:instrText>
        </w:r>
        <w:r w:rsidR="001C71EE">
          <w:rPr>
            <w:noProof/>
            <w:webHidden/>
          </w:rPr>
        </w:r>
        <w:r w:rsidR="001C71EE">
          <w:rPr>
            <w:noProof/>
            <w:webHidden/>
          </w:rPr>
          <w:fldChar w:fldCharType="separate"/>
        </w:r>
        <w:r w:rsidR="001C71EE">
          <w:rPr>
            <w:noProof/>
            <w:webHidden/>
          </w:rPr>
          <w:t>30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57" w:history="1">
        <w:r w:rsidR="001C71EE" w:rsidRPr="00193DF2">
          <w:rPr>
            <w:rStyle w:val="Hyperlink"/>
            <w:noProof/>
          </w:rPr>
          <w:t>Член 4.03 Минимален надводен борд</w:t>
        </w:r>
        <w:r w:rsidR="001C71EE">
          <w:rPr>
            <w:noProof/>
            <w:webHidden/>
          </w:rPr>
          <w:tab/>
        </w:r>
        <w:r w:rsidR="001C71EE">
          <w:rPr>
            <w:noProof/>
            <w:webHidden/>
          </w:rPr>
          <w:fldChar w:fldCharType="begin"/>
        </w:r>
        <w:r w:rsidR="001C71EE">
          <w:rPr>
            <w:noProof/>
            <w:webHidden/>
          </w:rPr>
          <w:instrText xml:space="preserve"> PAGEREF _Toc535827457 \h </w:instrText>
        </w:r>
        <w:r w:rsidR="001C71EE">
          <w:rPr>
            <w:noProof/>
            <w:webHidden/>
          </w:rPr>
        </w:r>
        <w:r w:rsidR="001C71EE">
          <w:rPr>
            <w:noProof/>
            <w:webHidden/>
          </w:rPr>
          <w:fldChar w:fldCharType="separate"/>
        </w:r>
        <w:r w:rsidR="001C71EE">
          <w:rPr>
            <w:noProof/>
            <w:webHidden/>
          </w:rPr>
          <w:t>34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58" w:history="1">
        <w:r w:rsidR="001C71EE" w:rsidRPr="00193DF2">
          <w:rPr>
            <w:rStyle w:val="Hyperlink"/>
            <w:noProof/>
          </w:rPr>
          <w:t>Член 4.04 Марки за газене</w:t>
        </w:r>
        <w:r w:rsidR="001C71EE">
          <w:rPr>
            <w:noProof/>
            <w:webHidden/>
          </w:rPr>
          <w:tab/>
        </w:r>
        <w:r w:rsidR="001C71EE">
          <w:rPr>
            <w:noProof/>
            <w:webHidden/>
          </w:rPr>
          <w:fldChar w:fldCharType="begin"/>
        </w:r>
        <w:r w:rsidR="001C71EE">
          <w:rPr>
            <w:noProof/>
            <w:webHidden/>
          </w:rPr>
          <w:instrText xml:space="preserve"> PAGEREF _Toc535827458 \h </w:instrText>
        </w:r>
        <w:r w:rsidR="001C71EE">
          <w:rPr>
            <w:noProof/>
            <w:webHidden/>
          </w:rPr>
        </w:r>
        <w:r w:rsidR="001C71EE">
          <w:rPr>
            <w:noProof/>
            <w:webHidden/>
          </w:rPr>
          <w:fldChar w:fldCharType="separate"/>
        </w:r>
        <w:r w:rsidR="001C71EE">
          <w:rPr>
            <w:noProof/>
            <w:webHidden/>
          </w:rPr>
          <w:t>34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59" w:history="1">
        <w:r w:rsidR="001C71EE" w:rsidRPr="00193DF2">
          <w:rPr>
            <w:rStyle w:val="Hyperlink"/>
            <w:noProof/>
          </w:rPr>
          <w:t>Член 4.05 Максимално газене при натоварени плавателни съдове, чиито трюмове невинаги са покрити с цел защита от пръски и атмосферни влияния</w:t>
        </w:r>
        <w:r w:rsidR="001C71EE">
          <w:rPr>
            <w:noProof/>
            <w:webHidden/>
          </w:rPr>
          <w:tab/>
        </w:r>
        <w:r w:rsidR="001C71EE">
          <w:rPr>
            <w:noProof/>
            <w:webHidden/>
          </w:rPr>
          <w:fldChar w:fldCharType="begin"/>
        </w:r>
        <w:r w:rsidR="001C71EE">
          <w:rPr>
            <w:noProof/>
            <w:webHidden/>
          </w:rPr>
          <w:instrText xml:space="preserve"> PAGEREF _Toc535827459 \h </w:instrText>
        </w:r>
        <w:r w:rsidR="001C71EE">
          <w:rPr>
            <w:noProof/>
            <w:webHidden/>
          </w:rPr>
        </w:r>
        <w:r w:rsidR="001C71EE">
          <w:rPr>
            <w:noProof/>
            <w:webHidden/>
          </w:rPr>
          <w:fldChar w:fldCharType="separate"/>
        </w:r>
        <w:r w:rsidR="001C71EE">
          <w:rPr>
            <w:noProof/>
            <w:webHidden/>
          </w:rPr>
          <w:t>38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60" w:history="1">
        <w:r w:rsidR="001C71EE" w:rsidRPr="00193DF2">
          <w:rPr>
            <w:rStyle w:val="Hyperlink"/>
            <w:noProof/>
          </w:rPr>
          <w:t>Член 4.06 Скали на газене</w:t>
        </w:r>
        <w:r w:rsidR="001C71EE">
          <w:rPr>
            <w:noProof/>
            <w:webHidden/>
          </w:rPr>
          <w:tab/>
        </w:r>
        <w:r w:rsidR="001C71EE">
          <w:rPr>
            <w:noProof/>
            <w:webHidden/>
          </w:rPr>
          <w:fldChar w:fldCharType="begin"/>
        </w:r>
        <w:r w:rsidR="001C71EE">
          <w:rPr>
            <w:noProof/>
            <w:webHidden/>
          </w:rPr>
          <w:instrText xml:space="preserve"> PAGEREF _Toc535827460 \h </w:instrText>
        </w:r>
        <w:r w:rsidR="001C71EE">
          <w:rPr>
            <w:noProof/>
            <w:webHidden/>
          </w:rPr>
        </w:r>
        <w:r w:rsidR="001C71EE">
          <w:rPr>
            <w:noProof/>
            <w:webHidden/>
          </w:rPr>
          <w:fldChar w:fldCharType="separate"/>
        </w:r>
        <w:r w:rsidR="001C71EE">
          <w:rPr>
            <w:noProof/>
            <w:webHidden/>
          </w:rPr>
          <w:t>38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61" w:history="1">
        <w:r w:rsidR="001C71EE" w:rsidRPr="00193DF2">
          <w:rPr>
            <w:rStyle w:val="Hyperlink"/>
            <w:noProof/>
          </w:rPr>
          <w:t>Член 4.07 Специфични изисквания, приложими за плавателните съдове, плаващи по водни пътища от зона 4</w:t>
        </w:r>
        <w:r w:rsidR="001C71EE">
          <w:rPr>
            <w:noProof/>
            <w:webHidden/>
          </w:rPr>
          <w:tab/>
        </w:r>
        <w:r w:rsidR="001C71EE">
          <w:rPr>
            <w:noProof/>
            <w:webHidden/>
          </w:rPr>
          <w:fldChar w:fldCharType="begin"/>
        </w:r>
        <w:r w:rsidR="001C71EE">
          <w:rPr>
            <w:noProof/>
            <w:webHidden/>
          </w:rPr>
          <w:instrText xml:space="preserve"> PAGEREF _Toc535827461 \h </w:instrText>
        </w:r>
        <w:r w:rsidR="001C71EE">
          <w:rPr>
            <w:noProof/>
            <w:webHidden/>
          </w:rPr>
        </w:r>
        <w:r w:rsidR="001C71EE">
          <w:rPr>
            <w:noProof/>
            <w:webHidden/>
          </w:rPr>
          <w:fldChar w:fldCharType="separate"/>
        </w:r>
        <w:r w:rsidR="001C71EE">
          <w:rPr>
            <w:noProof/>
            <w:webHidden/>
          </w:rPr>
          <w:t>39</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462" w:history="1">
        <w:r w:rsidR="001C71EE" w:rsidRPr="00193DF2">
          <w:rPr>
            <w:rStyle w:val="Hyperlink"/>
            <w:noProof/>
          </w:rPr>
          <w:t>Глава 5 Маневреност</w:t>
        </w:r>
        <w:r w:rsidR="001C71EE">
          <w:rPr>
            <w:noProof/>
            <w:webHidden/>
          </w:rPr>
          <w:tab/>
        </w:r>
        <w:r w:rsidR="001C71EE">
          <w:rPr>
            <w:noProof/>
            <w:webHidden/>
          </w:rPr>
          <w:fldChar w:fldCharType="begin"/>
        </w:r>
        <w:r w:rsidR="001C71EE">
          <w:rPr>
            <w:noProof/>
            <w:webHidden/>
          </w:rPr>
          <w:instrText xml:space="preserve"> PAGEREF _Toc535827462 \h </w:instrText>
        </w:r>
        <w:r w:rsidR="001C71EE">
          <w:rPr>
            <w:noProof/>
            <w:webHidden/>
          </w:rPr>
        </w:r>
        <w:r w:rsidR="001C71EE">
          <w:rPr>
            <w:noProof/>
            <w:webHidden/>
          </w:rPr>
          <w:fldChar w:fldCharType="separate"/>
        </w:r>
        <w:r w:rsidR="001C71EE">
          <w:rPr>
            <w:noProof/>
            <w:webHidden/>
          </w:rPr>
          <w:t>41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63" w:history="1">
        <w:r w:rsidR="001C71EE" w:rsidRPr="00193DF2">
          <w:rPr>
            <w:rStyle w:val="Hyperlink"/>
            <w:noProof/>
          </w:rPr>
          <w:t>Член 5.01 Общи положения</w:t>
        </w:r>
        <w:r w:rsidR="001C71EE">
          <w:rPr>
            <w:noProof/>
            <w:webHidden/>
          </w:rPr>
          <w:tab/>
        </w:r>
        <w:r w:rsidR="001C71EE">
          <w:rPr>
            <w:noProof/>
            <w:webHidden/>
          </w:rPr>
          <w:fldChar w:fldCharType="begin"/>
        </w:r>
        <w:r w:rsidR="001C71EE">
          <w:rPr>
            <w:noProof/>
            <w:webHidden/>
          </w:rPr>
          <w:instrText xml:space="preserve"> PAGEREF _Toc535827463 \h </w:instrText>
        </w:r>
        <w:r w:rsidR="001C71EE">
          <w:rPr>
            <w:noProof/>
            <w:webHidden/>
          </w:rPr>
        </w:r>
        <w:r w:rsidR="001C71EE">
          <w:rPr>
            <w:noProof/>
            <w:webHidden/>
          </w:rPr>
          <w:fldChar w:fldCharType="separate"/>
        </w:r>
        <w:r w:rsidR="001C71EE">
          <w:rPr>
            <w:noProof/>
            <w:webHidden/>
          </w:rPr>
          <w:t>41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64" w:history="1">
        <w:r w:rsidR="001C71EE" w:rsidRPr="00193DF2">
          <w:rPr>
            <w:rStyle w:val="Hyperlink"/>
            <w:noProof/>
          </w:rPr>
          <w:t>Член 5.02 Ходови изпитвания</w:t>
        </w:r>
        <w:r w:rsidR="001C71EE">
          <w:rPr>
            <w:noProof/>
            <w:webHidden/>
          </w:rPr>
          <w:tab/>
        </w:r>
        <w:r w:rsidR="001C71EE">
          <w:rPr>
            <w:noProof/>
            <w:webHidden/>
          </w:rPr>
          <w:fldChar w:fldCharType="begin"/>
        </w:r>
        <w:r w:rsidR="001C71EE">
          <w:rPr>
            <w:noProof/>
            <w:webHidden/>
          </w:rPr>
          <w:instrText xml:space="preserve"> PAGEREF _Toc535827464 \h </w:instrText>
        </w:r>
        <w:r w:rsidR="001C71EE">
          <w:rPr>
            <w:noProof/>
            <w:webHidden/>
          </w:rPr>
        </w:r>
        <w:r w:rsidR="001C71EE">
          <w:rPr>
            <w:noProof/>
            <w:webHidden/>
          </w:rPr>
          <w:fldChar w:fldCharType="separate"/>
        </w:r>
        <w:r w:rsidR="001C71EE">
          <w:rPr>
            <w:noProof/>
            <w:webHidden/>
          </w:rPr>
          <w:t>41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65" w:history="1">
        <w:r w:rsidR="001C71EE" w:rsidRPr="00193DF2">
          <w:rPr>
            <w:rStyle w:val="Hyperlink"/>
            <w:noProof/>
          </w:rPr>
          <w:t>Член 5.03 Изпитвателен полигон</w:t>
        </w:r>
        <w:r w:rsidR="001C71EE">
          <w:rPr>
            <w:noProof/>
            <w:webHidden/>
          </w:rPr>
          <w:tab/>
        </w:r>
        <w:r w:rsidR="001C71EE">
          <w:rPr>
            <w:noProof/>
            <w:webHidden/>
          </w:rPr>
          <w:fldChar w:fldCharType="begin"/>
        </w:r>
        <w:r w:rsidR="001C71EE">
          <w:rPr>
            <w:noProof/>
            <w:webHidden/>
          </w:rPr>
          <w:instrText xml:space="preserve"> PAGEREF _Toc535827465 \h </w:instrText>
        </w:r>
        <w:r w:rsidR="001C71EE">
          <w:rPr>
            <w:noProof/>
            <w:webHidden/>
          </w:rPr>
        </w:r>
        <w:r w:rsidR="001C71EE">
          <w:rPr>
            <w:noProof/>
            <w:webHidden/>
          </w:rPr>
          <w:fldChar w:fldCharType="separate"/>
        </w:r>
        <w:r w:rsidR="001C71EE">
          <w:rPr>
            <w:noProof/>
            <w:webHidden/>
          </w:rPr>
          <w:t>41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66" w:history="1">
        <w:r w:rsidR="001C71EE" w:rsidRPr="00193DF2">
          <w:rPr>
            <w:rStyle w:val="Hyperlink"/>
            <w:noProof/>
          </w:rPr>
          <w:t>Член 5.04 Степен на натоварване на плавателни съдове и състави от плавателни съдове при ходовите изпитвания</w:t>
        </w:r>
        <w:r w:rsidR="001C71EE">
          <w:rPr>
            <w:noProof/>
            <w:webHidden/>
          </w:rPr>
          <w:tab/>
        </w:r>
        <w:r w:rsidR="001C71EE">
          <w:rPr>
            <w:noProof/>
            <w:webHidden/>
          </w:rPr>
          <w:fldChar w:fldCharType="begin"/>
        </w:r>
        <w:r w:rsidR="001C71EE">
          <w:rPr>
            <w:noProof/>
            <w:webHidden/>
          </w:rPr>
          <w:instrText xml:space="preserve"> PAGEREF _Toc535827466 \h </w:instrText>
        </w:r>
        <w:r w:rsidR="001C71EE">
          <w:rPr>
            <w:noProof/>
            <w:webHidden/>
          </w:rPr>
        </w:r>
        <w:r w:rsidR="001C71EE">
          <w:rPr>
            <w:noProof/>
            <w:webHidden/>
          </w:rPr>
          <w:fldChar w:fldCharType="separate"/>
        </w:r>
        <w:r w:rsidR="001C71EE">
          <w:rPr>
            <w:noProof/>
            <w:webHidden/>
          </w:rPr>
          <w:t>42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67" w:history="1">
        <w:r w:rsidR="001C71EE" w:rsidRPr="00193DF2">
          <w:rPr>
            <w:rStyle w:val="Hyperlink"/>
            <w:noProof/>
          </w:rPr>
          <w:t>Член 5.05 Използване на бордови съоръжения при ходовите изпитвания</w:t>
        </w:r>
        <w:r w:rsidR="001C71EE">
          <w:rPr>
            <w:noProof/>
            <w:webHidden/>
          </w:rPr>
          <w:tab/>
        </w:r>
        <w:r w:rsidR="001C71EE">
          <w:rPr>
            <w:noProof/>
            <w:webHidden/>
          </w:rPr>
          <w:fldChar w:fldCharType="begin"/>
        </w:r>
        <w:r w:rsidR="001C71EE">
          <w:rPr>
            <w:noProof/>
            <w:webHidden/>
          </w:rPr>
          <w:instrText xml:space="preserve"> PAGEREF _Toc535827467 \h </w:instrText>
        </w:r>
        <w:r w:rsidR="001C71EE">
          <w:rPr>
            <w:noProof/>
            <w:webHidden/>
          </w:rPr>
        </w:r>
        <w:r w:rsidR="001C71EE">
          <w:rPr>
            <w:noProof/>
            <w:webHidden/>
          </w:rPr>
          <w:fldChar w:fldCharType="separate"/>
        </w:r>
        <w:r w:rsidR="001C71EE">
          <w:rPr>
            <w:noProof/>
            <w:webHidden/>
          </w:rPr>
          <w:t>43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68" w:history="1">
        <w:r w:rsidR="001C71EE" w:rsidRPr="00193DF2">
          <w:rPr>
            <w:rStyle w:val="Hyperlink"/>
            <w:noProof/>
          </w:rPr>
          <w:t>Член 5.06 Предписана скорост (напред)</w:t>
        </w:r>
        <w:r w:rsidR="001C71EE">
          <w:rPr>
            <w:noProof/>
            <w:webHidden/>
          </w:rPr>
          <w:tab/>
        </w:r>
        <w:r w:rsidR="001C71EE">
          <w:rPr>
            <w:noProof/>
            <w:webHidden/>
          </w:rPr>
          <w:fldChar w:fldCharType="begin"/>
        </w:r>
        <w:r w:rsidR="001C71EE">
          <w:rPr>
            <w:noProof/>
            <w:webHidden/>
          </w:rPr>
          <w:instrText xml:space="preserve"> PAGEREF _Toc535827468 \h </w:instrText>
        </w:r>
        <w:r w:rsidR="001C71EE">
          <w:rPr>
            <w:noProof/>
            <w:webHidden/>
          </w:rPr>
        </w:r>
        <w:r w:rsidR="001C71EE">
          <w:rPr>
            <w:noProof/>
            <w:webHidden/>
          </w:rPr>
          <w:fldChar w:fldCharType="separate"/>
        </w:r>
        <w:r w:rsidR="001C71EE">
          <w:rPr>
            <w:noProof/>
            <w:webHidden/>
          </w:rPr>
          <w:t>43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69" w:history="1">
        <w:r w:rsidR="001C71EE" w:rsidRPr="00193DF2">
          <w:rPr>
            <w:rStyle w:val="Hyperlink"/>
            <w:noProof/>
          </w:rPr>
          <w:t>Член 5.07 Способност за спиране</w:t>
        </w:r>
        <w:r w:rsidR="001C71EE">
          <w:rPr>
            <w:noProof/>
            <w:webHidden/>
          </w:rPr>
          <w:tab/>
        </w:r>
        <w:r w:rsidR="001C71EE">
          <w:rPr>
            <w:noProof/>
            <w:webHidden/>
          </w:rPr>
          <w:fldChar w:fldCharType="begin"/>
        </w:r>
        <w:r w:rsidR="001C71EE">
          <w:rPr>
            <w:noProof/>
            <w:webHidden/>
          </w:rPr>
          <w:instrText xml:space="preserve"> PAGEREF _Toc535827469 \h </w:instrText>
        </w:r>
        <w:r w:rsidR="001C71EE">
          <w:rPr>
            <w:noProof/>
            <w:webHidden/>
          </w:rPr>
        </w:r>
        <w:r w:rsidR="001C71EE">
          <w:rPr>
            <w:noProof/>
            <w:webHidden/>
          </w:rPr>
          <w:fldChar w:fldCharType="separate"/>
        </w:r>
        <w:r w:rsidR="001C71EE">
          <w:rPr>
            <w:noProof/>
            <w:webHidden/>
          </w:rPr>
          <w:t>43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70" w:history="1">
        <w:r w:rsidR="001C71EE" w:rsidRPr="00193DF2">
          <w:rPr>
            <w:rStyle w:val="Hyperlink"/>
            <w:noProof/>
          </w:rPr>
          <w:t>Член 5.08 Способност за движение на заден ход</w:t>
        </w:r>
        <w:r w:rsidR="001C71EE">
          <w:rPr>
            <w:noProof/>
            <w:webHidden/>
          </w:rPr>
          <w:tab/>
        </w:r>
        <w:r w:rsidR="001C71EE">
          <w:rPr>
            <w:noProof/>
            <w:webHidden/>
          </w:rPr>
          <w:fldChar w:fldCharType="begin"/>
        </w:r>
        <w:r w:rsidR="001C71EE">
          <w:rPr>
            <w:noProof/>
            <w:webHidden/>
          </w:rPr>
          <w:instrText xml:space="preserve"> PAGEREF _Toc535827470 \h </w:instrText>
        </w:r>
        <w:r w:rsidR="001C71EE">
          <w:rPr>
            <w:noProof/>
            <w:webHidden/>
          </w:rPr>
        </w:r>
        <w:r w:rsidR="001C71EE">
          <w:rPr>
            <w:noProof/>
            <w:webHidden/>
          </w:rPr>
          <w:fldChar w:fldCharType="separate"/>
        </w:r>
        <w:r w:rsidR="001C71EE">
          <w:rPr>
            <w:noProof/>
            <w:webHidden/>
          </w:rPr>
          <w:t>44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71" w:history="1">
        <w:r w:rsidR="001C71EE" w:rsidRPr="00193DF2">
          <w:rPr>
            <w:rStyle w:val="Hyperlink"/>
            <w:noProof/>
          </w:rPr>
          <w:t>Член 5.09 Способност за отклоняване</w:t>
        </w:r>
        <w:r w:rsidR="001C71EE">
          <w:rPr>
            <w:noProof/>
            <w:webHidden/>
          </w:rPr>
          <w:tab/>
        </w:r>
        <w:r w:rsidR="001C71EE">
          <w:rPr>
            <w:noProof/>
            <w:webHidden/>
          </w:rPr>
          <w:fldChar w:fldCharType="begin"/>
        </w:r>
        <w:r w:rsidR="001C71EE">
          <w:rPr>
            <w:noProof/>
            <w:webHidden/>
          </w:rPr>
          <w:instrText xml:space="preserve"> PAGEREF _Toc535827471 \h </w:instrText>
        </w:r>
        <w:r w:rsidR="001C71EE">
          <w:rPr>
            <w:noProof/>
            <w:webHidden/>
          </w:rPr>
        </w:r>
        <w:r w:rsidR="001C71EE">
          <w:rPr>
            <w:noProof/>
            <w:webHidden/>
          </w:rPr>
          <w:fldChar w:fldCharType="separate"/>
        </w:r>
        <w:r w:rsidR="001C71EE">
          <w:rPr>
            <w:noProof/>
            <w:webHidden/>
          </w:rPr>
          <w:t>45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72" w:history="1">
        <w:r w:rsidR="001C71EE" w:rsidRPr="00193DF2">
          <w:rPr>
            <w:rStyle w:val="Hyperlink"/>
            <w:noProof/>
          </w:rPr>
          <w:t>Член 5.10 Способност за извършване на поворот</w:t>
        </w:r>
        <w:r w:rsidR="001C71EE">
          <w:rPr>
            <w:noProof/>
            <w:webHidden/>
          </w:rPr>
          <w:tab/>
        </w:r>
        <w:r w:rsidR="001C71EE">
          <w:rPr>
            <w:noProof/>
            <w:webHidden/>
          </w:rPr>
          <w:fldChar w:fldCharType="begin"/>
        </w:r>
        <w:r w:rsidR="001C71EE">
          <w:rPr>
            <w:noProof/>
            <w:webHidden/>
          </w:rPr>
          <w:instrText xml:space="preserve"> PAGEREF _Toc535827472 \h </w:instrText>
        </w:r>
        <w:r w:rsidR="001C71EE">
          <w:rPr>
            <w:noProof/>
            <w:webHidden/>
          </w:rPr>
        </w:r>
        <w:r w:rsidR="001C71EE">
          <w:rPr>
            <w:noProof/>
            <w:webHidden/>
          </w:rPr>
          <w:fldChar w:fldCharType="separate"/>
        </w:r>
        <w:r w:rsidR="001C71EE">
          <w:rPr>
            <w:noProof/>
            <w:webHidden/>
          </w:rPr>
          <w:t>45</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473" w:history="1">
        <w:r w:rsidR="001C71EE" w:rsidRPr="00193DF2">
          <w:rPr>
            <w:rStyle w:val="Hyperlink"/>
            <w:noProof/>
          </w:rPr>
          <w:t>Глава 6 Рулева система</w:t>
        </w:r>
        <w:r w:rsidR="001C71EE">
          <w:rPr>
            <w:noProof/>
            <w:webHidden/>
          </w:rPr>
          <w:tab/>
        </w:r>
        <w:r w:rsidR="001C71EE">
          <w:rPr>
            <w:noProof/>
            <w:webHidden/>
          </w:rPr>
          <w:fldChar w:fldCharType="begin"/>
        </w:r>
        <w:r w:rsidR="001C71EE">
          <w:rPr>
            <w:noProof/>
            <w:webHidden/>
          </w:rPr>
          <w:instrText xml:space="preserve"> PAGEREF _Toc535827473 \h </w:instrText>
        </w:r>
        <w:r w:rsidR="001C71EE">
          <w:rPr>
            <w:noProof/>
            <w:webHidden/>
          </w:rPr>
        </w:r>
        <w:r w:rsidR="001C71EE">
          <w:rPr>
            <w:noProof/>
            <w:webHidden/>
          </w:rPr>
          <w:fldChar w:fldCharType="separate"/>
        </w:r>
        <w:r w:rsidR="001C71EE">
          <w:rPr>
            <w:noProof/>
            <w:webHidden/>
          </w:rPr>
          <w:t>47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74" w:history="1">
        <w:r w:rsidR="001C71EE" w:rsidRPr="00193DF2">
          <w:rPr>
            <w:rStyle w:val="Hyperlink"/>
            <w:noProof/>
          </w:rPr>
          <w:t>Член 6.01 Общи изисквания</w:t>
        </w:r>
        <w:r w:rsidR="001C71EE">
          <w:rPr>
            <w:noProof/>
            <w:webHidden/>
          </w:rPr>
          <w:tab/>
        </w:r>
        <w:r w:rsidR="001C71EE">
          <w:rPr>
            <w:noProof/>
            <w:webHidden/>
          </w:rPr>
          <w:fldChar w:fldCharType="begin"/>
        </w:r>
        <w:r w:rsidR="001C71EE">
          <w:rPr>
            <w:noProof/>
            <w:webHidden/>
          </w:rPr>
          <w:instrText xml:space="preserve"> PAGEREF _Toc535827474 \h </w:instrText>
        </w:r>
        <w:r w:rsidR="001C71EE">
          <w:rPr>
            <w:noProof/>
            <w:webHidden/>
          </w:rPr>
        </w:r>
        <w:r w:rsidR="001C71EE">
          <w:rPr>
            <w:noProof/>
            <w:webHidden/>
          </w:rPr>
          <w:fldChar w:fldCharType="separate"/>
        </w:r>
        <w:r w:rsidR="001C71EE">
          <w:rPr>
            <w:noProof/>
            <w:webHidden/>
          </w:rPr>
          <w:t>47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75" w:history="1">
        <w:r w:rsidR="001C71EE" w:rsidRPr="00193DF2">
          <w:rPr>
            <w:rStyle w:val="Hyperlink"/>
            <w:noProof/>
          </w:rPr>
          <w:t>Член 6.02 Задвижващо звено на рулевия апарат</w:t>
        </w:r>
        <w:r w:rsidR="001C71EE">
          <w:rPr>
            <w:noProof/>
            <w:webHidden/>
          </w:rPr>
          <w:tab/>
        </w:r>
        <w:r w:rsidR="001C71EE">
          <w:rPr>
            <w:noProof/>
            <w:webHidden/>
          </w:rPr>
          <w:fldChar w:fldCharType="begin"/>
        </w:r>
        <w:r w:rsidR="001C71EE">
          <w:rPr>
            <w:noProof/>
            <w:webHidden/>
          </w:rPr>
          <w:instrText xml:space="preserve"> PAGEREF _Toc535827475 \h </w:instrText>
        </w:r>
        <w:r w:rsidR="001C71EE">
          <w:rPr>
            <w:noProof/>
            <w:webHidden/>
          </w:rPr>
        </w:r>
        <w:r w:rsidR="001C71EE">
          <w:rPr>
            <w:noProof/>
            <w:webHidden/>
          </w:rPr>
          <w:fldChar w:fldCharType="separate"/>
        </w:r>
        <w:r w:rsidR="001C71EE">
          <w:rPr>
            <w:noProof/>
            <w:webHidden/>
          </w:rPr>
          <w:t>47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76" w:history="1">
        <w:r w:rsidR="001C71EE" w:rsidRPr="00193DF2">
          <w:rPr>
            <w:rStyle w:val="Hyperlink"/>
            <w:noProof/>
          </w:rPr>
          <w:t>Член 6.03 Хидравлично задвижващо звено на рулевия апарат</w:t>
        </w:r>
        <w:r w:rsidR="001C71EE">
          <w:rPr>
            <w:noProof/>
            <w:webHidden/>
          </w:rPr>
          <w:tab/>
        </w:r>
        <w:r w:rsidR="001C71EE">
          <w:rPr>
            <w:noProof/>
            <w:webHidden/>
          </w:rPr>
          <w:fldChar w:fldCharType="begin"/>
        </w:r>
        <w:r w:rsidR="001C71EE">
          <w:rPr>
            <w:noProof/>
            <w:webHidden/>
          </w:rPr>
          <w:instrText xml:space="preserve"> PAGEREF _Toc535827476 \h </w:instrText>
        </w:r>
        <w:r w:rsidR="001C71EE">
          <w:rPr>
            <w:noProof/>
            <w:webHidden/>
          </w:rPr>
        </w:r>
        <w:r w:rsidR="001C71EE">
          <w:rPr>
            <w:noProof/>
            <w:webHidden/>
          </w:rPr>
          <w:fldChar w:fldCharType="separate"/>
        </w:r>
        <w:r w:rsidR="001C71EE">
          <w:rPr>
            <w:noProof/>
            <w:webHidden/>
          </w:rPr>
          <w:t>49</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77" w:history="1">
        <w:r w:rsidR="001C71EE" w:rsidRPr="00193DF2">
          <w:rPr>
            <w:rStyle w:val="Hyperlink"/>
            <w:noProof/>
          </w:rPr>
          <w:t>Член 6.04 Източник на енергия</w:t>
        </w:r>
        <w:r w:rsidR="001C71EE">
          <w:rPr>
            <w:noProof/>
            <w:webHidden/>
          </w:rPr>
          <w:tab/>
        </w:r>
        <w:r w:rsidR="001C71EE">
          <w:rPr>
            <w:noProof/>
            <w:webHidden/>
          </w:rPr>
          <w:fldChar w:fldCharType="begin"/>
        </w:r>
        <w:r w:rsidR="001C71EE">
          <w:rPr>
            <w:noProof/>
            <w:webHidden/>
          </w:rPr>
          <w:instrText xml:space="preserve"> PAGEREF _Toc535827477 \h </w:instrText>
        </w:r>
        <w:r w:rsidR="001C71EE">
          <w:rPr>
            <w:noProof/>
            <w:webHidden/>
          </w:rPr>
        </w:r>
        <w:r w:rsidR="001C71EE">
          <w:rPr>
            <w:noProof/>
            <w:webHidden/>
          </w:rPr>
          <w:fldChar w:fldCharType="separate"/>
        </w:r>
        <w:r w:rsidR="001C71EE">
          <w:rPr>
            <w:noProof/>
            <w:webHidden/>
          </w:rPr>
          <w:t>49</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78" w:history="1">
        <w:r w:rsidR="001C71EE" w:rsidRPr="00193DF2">
          <w:rPr>
            <w:rStyle w:val="Hyperlink"/>
            <w:noProof/>
          </w:rPr>
          <w:t>Член 6.05 Ръчно задвижване</w:t>
        </w:r>
        <w:r w:rsidR="001C71EE">
          <w:rPr>
            <w:noProof/>
            <w:webHidden/>
          </w:rPr>
          <w:tab/>
        </w:r>
        <w:r w:rsidR="001C71EE">
          <w:rPr>
            <w:noProof/>
            <w:webHidden/>
          </w:rPr>
          <w:fldChar w:fldCharType="begin"/>
        </w:r>
        <w:r w:rsidR="001C71EE">
          <w:rPr>
            <w:noProof/>
            <w:webHidden/>
          </w:rPr>
          <w:instrText xml:space="preserve"> PAGEREF _Toc535827478 \h </w:instrText>
        </w:r>
        <w:r w:rsidR="001C71EE">
          <w:rPr>
            <w:noProof/>
            <w:webHidden/>
          </w:rPr>
        </w:r>
        <w:r w:rsidR="001C71EE">
          <w:rPr>
            <w:noProof/>
            <w:webHidden/>
          </w:rPr>
          <w:fldChar w:fldCharType="separate"/>
        </w:r>
        <w:r w:rsidR="001C71EE">
          <w:rPr>
            <w:noProof/>
            <w:webHidden/>
          </w:rPr>
          <w:t>50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79" w:history="1">
        <w:r w:rsidR="001C71EE" w:rsidRPr="00193DF2">
          <w:rPr>
            <w:rStyle w:val="Hyperlink"/>
            <w:noProof/>
          </w:rPr>
          <w:t>Член 6.06 Системи с винто-рулеви колони, водометни и крилчати движители и носови подрулващи устройства</w:t>
        </w:r>
        <w:r w:rsidR="001C71EE">
          <w:rPr>
            <w:noProof/>
            <w:webHidden/>
          </w:rPr>
          <w:tab/>
        </w:r>
        <w:r w:rsidR="001C71EE">
          <w:rPr>
            <w:noProof/>
            <w:webHidden/>
          </w:rPr>
          <w:fldChar w:fldCharType="begin"/>
        </w:r>
        <w:r w:rsidR="001C71EE">
          <w:rPr>
            <w:noProof/>
            <w:webHidden/>
          </w:rPr>
          <w:instrText xml:space="preserve"> PAGEREF _Toc535827479 \h </w:instrText>
        </w:r>
        <w:r w:rsidR="001C71EE">
          <w:rPr>
            <w:noProof/>
            <w:webHidden/>
          </w:rPr>
        </w:r>
        <w:r w:rsidR="001C71EE">
          <w:rPr>
            <w:noProof/>
            <w:webHidden/>
          </w:rPr>
          <w:fldChar w:fldCharType="separate"/>
        </w:r>
        <w:r w:rsidR="001C71EE">
          <w:rPr>
            <w:noProof/>
            <w:webHidden/>
          </w:rPr>
          <w:t>51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80" w:history="1">
        <w:r w:rsidR="001C71EE" w:rsidRPr="00193DF2">
          <w:rPr>
            <w:rStyle w:val="Hyperlink"/>
            <w:noProof/>
          </w:rPr>
          <w:t>Член 6.07 Индикатори и устройства за следене</w:t>
        </w:r>
        <w:r w:rsidR="001C71EE">
          <w:rPr>
            <w:noProof/>
            <w:webHidden/>
          </w:rPr>
          <w:tab/>
        </w:r>
        <w:r w:rsidR="001C71EE">
          <w:rPr>
            <w:noProof/>
            <w:webHidden/>
          </w:rPr>
          <w:fldChar w:fldCharType="begin"/>
        </w:r>
        <w:r w:rsidR="001C71EE">
          <w:rPr>
            <w:noProof/>
            <w:webHidden/>
          </w:rPr>
          <w:instrText xml:space="preserve"> PAGEREF _Toc535827480 \h </w:instrText>
        </w:r>
        <w:r w:rsidR="001C71EE">
          <w:rPr>
            <w:noProof/>
            <w:webHidden/>
          </w:rPr>
        </w:r>
        <w:r w:rsidR="001C71EE">
          <w:rPr>
            <w:noProof/>
            <w:webHidden/>
          </w:rPr>
          <w:fldChar w:fldCharType="separate"/>
        </w:r>
        <w:r w:rsidR="001C71EE">
          <w:rPr>
            <w:noProof/>
            <w:webHidden/>
          </w:rPr>
          <w:t>51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81" w:history="1">
        <w:r w:rsidR="001C71EE" w:rsidRPr="00193DF2">
          <w:rPr>
            <w:rStyle w:val="Hyperlink"/>
            <w:noProof/>
          </w:rPr>
          <w:t>Член 6.08 Регулатори на ъгловата скорост на поворот</w:t>
        </w:r>
        <w:r w:rsidR="001C71EE">
          <w:rPr>
            <w:noProof/>
            <w:webHidden/>
          </w:rPr>
          <w:tab/>
        </w:r>
        <w:r w:rsidR="001C71EE">
          <w:rPr>
            <w:noProof/>
            <w:webHidden/>
          </w:rPr>
          <w:fldChar w:fldCharType="begin"/>
        </w:r>
        <w:r w:rsidR="001C71EE">
          <w:rPr>
            <w:noProof/>
            <w:webHidden/>
          </w:rPr>
          <w:instrText xml:space="preserve"> PAGEREF _Toc535827481 \h </w:instrText>
        </w:r>
        <w:r w:rsidR="001C71EE">
          <w:rPr>
            <w:noProof/>
            <w:webHidden/>
          </w:rPr>
        </w:r>
        <w:r w:rsidR="001C71EE">
          <w:rPr>
            <w:noProof/>
            <w:webHidden/>
          </w:rPr>
          <w:fldChar w:fldCharType="separate"/>
        </w:r>
        <w:r w:rsidR="001C71EE">
          <w:rPr>
            <w:noProof/>
            <w:webHidden/>
          </w:rPr>
          <w:t>52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82" w:history="1">
        <w:r w:rsidR="001C71EE" w:rsidRPr="00193DF2">
          <w:rPr>
            <w:rStyle w:val="Hyperlink"/>
            <w:noProof/>
          </w:rPr>
          <w:t>Член 6.09 Изпитване</w:t>
        </w:r>
        <w:r w:rsidR="001C71EE">
          <w:rPr>
            <w:noProof/>
            <w:webHidden/>
          </w:rPr>
          <w:tab/>
        </w:r>
        <w:r w:rsidR="001C71EE">
          <w:rPr>
            <w:noProof/>
            <w:webHidden/>
          </w:rPr>
          <w:fldChar w:fldCharType="begin"/>
        </w:r>
        <w:r w:rsidR="001C71EE">
          <w:rPr>
            <w:noProof/>
            <w:webHidden/>
          </w:rPr>
          <w:instrText xml:space="preserve"> PAGEREF _Toc535827482 \h </w:instrText>
        </w:r>
        <w:r w:rsidR="001C71EE">
          <w:rPr>
            <w:noProof/>
            <w:webHidden/>
          </w:rPr>
        </w:r>
        <w:r w:rsidR="001C71EE">
          <w:rPr>
            <w:noProof/>
            <w:webHidden/>
          </w:rPr>
          <w:fldChar w:fldCharType="separate"/>
        </w:r>
        <w:r w:rsidR="001C71EE">
          <w:rPr>
            <w:noProof/>
            <w:webHidden/>
          </w:rPr>
          <w:t>53</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483" w:history="1">
        <w:r w:rsidR="001C71EE" w:rsidRPr="00193DF2">
          <w:rPr>
            <w:rStyle w:val="Hyperlink"/>
            <w:noProof/>
          </w:rPr>
          <w:t>Глава 7 Рулева рубка</w:t>
        </w:r>
        <w:r w:rsidR="001C71EE">
          <w:rPr>
            <w:noProof/>
            <w:webHidden/>
          </w:rPr>
          <w:tab/>
        </w:r>
        <w:r w:rsidR="001C71EE">
          <w:rPr>
            <w:noProof/>
            <w:webHidden/>
          </w:rPr>
          <w:fldChar w:fldCharType="begin"/>
        </w:r>
        <w:r w:rsidR="001C71EE">
          <w:rPr>
            <w:noProof/>
            <w:webHidden/>
          </w:rPr>
          <w:instrText xml:space="preserve"> PAGEREF _Toc535827483 \h </w:instrText>
        </w:r>
        <w:r w:rsidR="001C71EE">
          <w:rPr>
            <w:noProof/>
            <w:webHidden/>
          </w:rPr>
        </w:r>
        <w:r w:rsidR="001C71EE">
          <w:rPr>
            <w:noProof/>
            <w:webHidden/>
          </w:rPr>
          <w:fldChar w:fldCharType="separate"/>
        </w:r>
        <w:r w:rsidR="001C71EE">
          <w:rPr>
            <w:noProof/>
            <w:webHidden/>
          </w:rPr>
          <w:t>55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84" w:history="1">
        <w:r w:rsidR="001C71EE" w:rsidRPr="00193DF2">
          <w:rPr>
            <w:rStyle w:val="Hyperlink"/>
            <w:noProof/>
          </w:rPr>
          <w:t>Член 7.01 Общи положения</w:t>
        </w:r>
        <w:r w:rsidR="001C71EE">
          <w:rPr>
            <w:noProof/>
            <w:webHidden/>
          </w:rPr>
          <w:tab/>
        </w:r>
        <w:r w:rsidR="001C71EE">
          <w:rPr>
            <w:noProof/>
            <w:webHidden/>
          </w:rPr>
          <w:fldChar w:fldCharType="begin"/>
        </w:r>
        <w:r w:rsidR="001C71EE">
          <w:rPr>
            <w:noProof/>
            <w:webHidden/>
          </w:rPr>
          <w:instrText xml:space="preserve"> PAGEREF _Toc535827484 \h </w:instrText>
        </w:r>
        <w:r w:rsidR="001C71EE">
          <w:rPr>
            <w:noProof/>
            <w:webHidden/>
          </w:rPr>
        </w:r>
        <w:r w:rsidR="001C71EE">
          <w:rPr>
            <w:noProof/>
            <w:webHidden/>
          </w:rPr>
          <w:fldChar w:fldCharType="separate"/>
        </w:r>
        <w:r w:rsidR="001C71EE">
          <w:rPr>
            <w:noProof/>
            <w:webHidden/>
          </w:rPr>
          <w:t>55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85" w:history="1">
        <w:r w:rsidR="001C71EE" w:rsidRPr="00193DF2">
          <w:rPr>
            <w:rStyle w:val="Hyperlink"/>
            <w:noProof/>
          </w:rPr>
          <w:t>Член 7.02 Безпрепятствена видимост</w:t>
        </w:r>
        <w:r w:rsidR="001C71EE">
          <w:rPr>
            <w:noProof/>
            <w:webHidden/>
          </w:rPr>
          <w:tab/>
        </w:r>
        <w:r w:rsidR="001C71EE">
          <w:rPr>
            <w:noProof/>
            <w:webHidden/>
          </w:rPr>
          <w:fldChar w:fldCharType="begin"/>
        </w:r>
        <w:r w:rsidR="001C71EE">
          <w:rPr>
            <w:noProof/>
            <w:webHidden/>
          </w:rPr>
          <w:instrText xml:space="preserve"> PAGEREF _Toc535827485 \h </w:instrText>
        </w:r>
        <w:r w:rsidR="001C71EE">
          <w:rPr>
            <w:noProof/>
            <w:webHidden/>
          </w:rPr>
        </w:r>
        <w:r w:rsidR="001C71EE">
          <w:rPr>
            <w:noProof/>
            <w:webHidden/>
          </w:rPr>
          <w:fldChar w:fldCharType="separate"/>
        </w:r>
        <w:r w:rsidR="001C71EE">
          <w:rPr>
            <w:noProof/>
            <w:webHidden/>
          </w:rPr>
          <w:t>55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86" w:history="1">
        <w:r w:rsidR="001C71EE" w:rsidRPr="00193DF2">
          <w:rPr>
            <w:rStyle w:val="Hyperlink"/>
            <w:noProof/>
          </w:rPr>
          <w:t>Член 7.03 Общи изисквания към оборудването за управление, индикация и следене</w:t>
        </w:r>
        <w:r w:rsidR="001C71EE">
          <w:rPr>
            <w:noProof/>
            <w:webHidden/>
          </w:rPr>
          <w:tab/>
        </w:r>
        <w:r w:rsidR="001C71EE">
          <w:rPr>
            <w:noProof/>
            <w:webHidden/>
          </w:rPr>
          <w:fldChar w:fldCharType="begin"/>
        </w:r>
        <w:r w:rsidR="001C71EE">
          <w:rPr>
            <w:noProof/>
            <w:webHidden/>
          </w:rPr>
          <w:instrText xml:space="preserve"> PAGEREF _Toc535827486 \h </w:instrText>
        </w:r>
        <w:r w:rsidR="001C71EE">
          <w:rPr>
            <w:noProof/>
            <w:webHidden/>
          </w:rPr>
        </w:r>
        <w:r w:rsidR="001C71EE">
          <w:rPr>
            <w:noProof/>
            <w:webHidden/>
          </w:rPr>
          <w:fldChar w:fldCharType="separate"/>
        </w:r>
        <w:r w:rsidR="001C71EE">
          <w:rPr>
            <w:noProof/>
            <w:webHidden/>
          </w:rPr>
          <w:t>57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87" w:history="1">
        <w:r w:rsidR="001C71EE" w:rsidRPr="00193DF2">
          <w:rPr>
            <w:rStyle w:val="Hyperlink"/>
            <w:noProof/>
          </w:rPr>
          <w:t>Член 7.04 Специфични изисквания към оборудването за управление, индикация и следене на главните двигатели и рулевата система</w:t>
        </w:r>
        <w:r w:rsidR="001C71EE">
          <w:rPr>
            <w:noProof/>
            <w:webHidden/>
          </w:rPr>
          <w:tab/>
        </w:r>
        <w:r w:rsidR="001C71EE">
          <w:rPr>
            <w:noProof/>
            <w:webHidden/>
          </w:rPr>
          <w:fldChar w:fldCharType="begin"/>
        </w:r>
        <w:r w:rsidR="001C71EE">
          <w:rPr>
            <w:noProof/>
            <w:webHidden/>
          </w:rPr>
          <w:instrText xml:space="preserve"> PAGEREF _Toc535827487 \h </w:instrText>
        </w:r>
        <w:r w:rsidR="001C71EE">
          <w:rPr>
            <w:noProof/>
            <w:webHidden/>
          </w:rPr>
        </w:r>
        <w:r w:rsidR="001C71EE">
          <w:rPr>
            <w:noProof/>
            <w:webHidden/>
          </w:rPr>
          <w:fldChar w:fldCharType="separate"/>
        </w:r>
        <w:r w:rsidR="001C71EE">
          <w:rPr>
            <w:noProof/>
            <w:webHidden/>
          </w:rPr>
          <w:t>59</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88" w:history="1">
        <w:r w:rsidR="001C71EE" w:rsidRPr="00193DF2">
          <w:rPr>
            <w:rStyle w:val="Hyperlink"/>
            <w:noProof/>
          </w:rPr>
          <w:t>Член 7.06 Навигационни и информационни устройства</w:t>
        </w:r>
        <w:r w:rsidR="001C71EE">
          <w:rPr>
            <w:noProof/>
            <w:webHidden/>
          </w:rPr>
          <w:tab/>
        </w:r>
        <w:r w:rsidR="001C71EE">
          <w:rPr>
            <w:noProof/>
            <w:webHidden/>
          </w:rPr>
          <w:fldChar w:fldCharType="begin"/>
        </w:r>
        <w:r w:rsidR="001C71EE">
          <w:rPr>
            <w:noProof/>
            <w:webHidden/>
          </w:rPr>
          <w:instrText xml:space="preserve"> PAGEREF _Toc535827488 \h </w:instrText>
        </w:r>
        <w:r w:rsidR="001C71EE">
          <w:rPr>
            <w:noProof/>
            <w:webHidden/>
          </w:rPr>
        </w:r>
        <w:r w:rsidR="001C71EE">
          <w:rPr>
            <w:noProof/>
            <w:webHidden/>
          </w:rPr>
          <w:fldChar w:fldCharType="separate"/>
        </w:r>
        <w:r w:rsidR="001C71EE">
          <w:rPr>
            <w:noProof/>
            <w:webHidden/>
          </w:rPr>
          <w:t>63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89" w:history="1">
        <w:r w:rsidR="001C71EE" w:rsidRPr="00193DF2">
          <w:rPr>
            <w:rStyle w:val="Hyperlink"/>
            <w:noProof/>
          </w:rPr>
          <w:t>Член 7.07 Радио телефонни системи за плавателни съдове с рулеви рубки, проектирани за управление  с радиолокационни средства от едно лице</w:t>
        </w:r>
        <w:r w:rsidR="001C71EE">
          <w:rPr>
            <w:noProof/>
            <w:webHidden/>
          </w:rPr>
          <w:tab/>
        </w:r>
        <w:r w:rsidR="001C71EE">
          <w:rPr>
            <w:noProof/>
            <w:webHidden/>
          </w:rPr>
          <w:fldChar w:fldCharType="begin"/>
        </w:r>
        <w:r w:rsidR="001C71EE">
          <w:rPr>
            <w:noProof/>
            <w:webHidden/>
          </w:rPr>
          <w:instrText xml:space="preserve"> PAGEREF _Toc535827489 \h </w:instrText>
        </w:r>
        <w:r w:rsidR="001C71EE">
          <w:rPr>
            <w:noProof/>
            <w:webHidden/>
          </w:rPr>
        </w:r>
        <w:r w:rsidR="001C71EE">
          <w:rPr>
            <w:noProof/>
            <w:webHidden/>
          </w:rPr>
          <w:fldChar w:fldCharType="separate"/>
        </w:r>
        <w:r w:rsidR="001C71EE">
          <w:rPr>
            <w:noProof/>
            <w:webHidden/>
          </w:rPr>
          <w:t>63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90" w:history="1">
        <w:r w:rsidR="001C71EE" w:rsidRPr="00193DF2">
          <w:rPr>
            <w:rStyle w:val="Hyperlink"/>
            <w:noProof/>
          </w:rPr>
          <w:t>Член 7.08 Съоръжения за вътрешнокорабна комуникация на борда</w:t>
        </w:r>
        <w:r w:rsidR="001C71EE">
          <w:rPr>
            <w:noProof/>
            <w:webHidden/>
          </w:rPr>
          <w:tab/>
        </w:r>
        <w:r w:rsidR="001C71EE">
          <w:rPr>
            <w:noProof/>
            <w:webHidden/>
          </w:rPr>
          <w:fldChar w:fldCharType="begin"/>
        </w:r>
        <w:r w:rsidR="001C71EE">
          <w:rPr>
            <w:noProof/>
            <w:webHidden/>
          </w:rPr>
          <w:instrText xml:space="preserve"> PAGEREF _Toc535827490 \h </w:instrText>
        </w:r>
        <w:r w:rsidR="001C71EE">
          <w:rPr>
            <w:noProof/>
            <w:webHidden/>
          </w:rPr>
        </w:r>
        <w:r w:rsidR="001C71EE">
          <w:rPr>
            <w:noProof/>
            <w:webHidden/>
          </w:rPr>
          <w:fldChar w:fldCharType="separate"/>
        </w:r>
        <w:r w:rsidR="001C71EE">
          <w:rPr>
            <w:noProof/>
            <w:webHidden/>
          </w:rPr>
          <w:t>65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91" w:history="1">
        <w:r w:rsidR="001C71EE" w:rsidRPr="00193DF2">
          <w:rPr>
            <w:rStyle w:val="Hyperlink"/>
            <w:noProof/>
          </w:rPr>
          <w:t>Член 7.09 Алармена система</w:t>
        </w:r>
        <w:r w:rsidR="001C71EE">
          <w:rPr>
            <w:noProof/>
            <w:webHidden/>
          </w:rPr>
          <w:tab/>
        </w:r>
        <w:r w:rsidR="001C71EE">
          <w:rPr>
            <w:noProof/>
            <w:webHidden/>
          </w:rPr>
          <w:fldChar w:fldCharType="begin"/>
        </w:r>
        <w:r w:rsidR="001C71EE">
          <w:rPr>
            <w:noProof/>
            <w:webHidden/>
          </w:rPr>
          <w:instrText xml:space="preserve"> PAGEREF _Toc535827491 \h </w:instrText>
        </w:r>
        <w:r w:rsidR="001C71EE">
          <w:rPr>
            <w:noProof/>
            <w:webHidden/>
          </w:rPr>
        </w:r>
        <w:r w:rsidR="001C71EE">
          <w:rPr>
            <w:noProof/>
            <w:webHidden/>
          </w:rPr>
          <w:fldChar w:fldCharType="separate"/>
        </w:r>
        <w:r w:rsidR="001C71EE">
          <w:rPr>
            <w:noProof/>
            <w:webHidden/>
          </w:rPr>
          <w:t>65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92" w:history="1">
        <w:r w:rsidR="001C71EE" w:rsidRPr="00193DF2">
          <w:rPr>
            <w:rStyle w:val="Hyperlink"/>
            <w:noProof/>
          </w:rPr>
          <w:t>Член 7.10 Отопление и вентилация</w:t>
        </w:r>
        <w:r w:rsidR="001C71EE">
          <w:rPr>
            <w:noProof/>
            <w:webHidden/>
          </w:rPr>
          <w:tab/>
        </w:r>
        <w:r w:rsidR="001C71EE">
          <w:rPr>
            <w:noProof/>
            <w:webHidden/>
          </w:rPr>
          <w:fldChar w:fldCharType="begin"/>
        </w:r>
        <w:r w:rsidR="001C71EE">
          <w:rPr>
            <w:noProof/>
            <w:webHidden/>
          </w:rPr>
          <w:instrText xml:space="preserve"> PAGEREF _Toc535827492 \h </w:instrText>
        </w:r>
        <w:r w:rsidR="001C71EE">
          <w:rPr>
            <w:noProof/>
            <w:webHidden/>
          </w:rPr>
        </w:r>
        <w:r w:rsidR="001C71EE">
          <w:rPr>
            <w:noProof/>
            <w:webHidden/>
          </w:rPr>
          <w:fldChar w:fldCharType="separate"/>
        </w:r>
        <w:r w:rsidR="001C71EE">
          <w:rPr>
            <w:noProof/>
            <w:webHidden/>
          </w:rPr>
          <w:t>66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93" w:history="1">
        <w:r w:rsidR="001C71EE" w:rsidRPr="00193DF2">
          <w:rPr>
            <w:rStyle w:val="Hyperlink"/>
            <w:noProof/>
          </w:rPr>
          <w:t>Член 7.11 Оборудване за работа с кърмови котви</w:t>
        </w:r>
        <w:r w:rsidR="001C71EE">
          <w:rPr>
            <w:noProof/>
            <w:webHidden/>
          </w:rPr>
          <w:tab/>
        </w:r>
        <w:r w:rsidR="001C71EE">
          <w:rPr>
            <w:noProof/>
            <w:webHidden/>
          </w:rPr>
          <w:fldChar w:fldCharType="begin"/>
        </w:r>
        <w:r w:rsidR="001C71EE">
          <w:rPr>
            <w:noProof/>
            <w:webHidden/>
          </w:rPr>
          <w:instrText xml:space="preserve"> PAGEREF _Toc535827493 \h </w:instrText>
        </w:r>
        <w:r w:rsidR="001C71EE">
          <w:rPr>
            <w:noProof/>
            <w:webHidden/>
          </w:rPr>
        </w:r>
        <w:r w:rsidR="001C71EE">
          <w:rPr>
            <w:noProof/>
            <w:webHidden/>
          </w:rPr>
          <w:fldChar w:fldCharType="separate"/>
        </w:r>
        <w:r w:rsidR="001C71EE">
          <w:rPr>
            <w:noProof/>
            <w:webHidden/>
          </w:rPr>
          <w:t>66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94" w:history="1">
        <w:r w:rsidR="001C71EE" w:rsidRPr="00193DF2">
          <w:rPr>
            <w:rStyle w:val="Hyperlink"/>
            <w:noProof/>
          </w:rPr>
          <w:t xml:space="preserve">Член 7.12 </w:t>
        </w:r>
        <w:r w:rsidR="001C71EE" w:rsidRPr="00193DF2">
          <w:rPr>
            <w:rStyle w:val="Hyperlink"/>
            <w:noProof/>
            <w:snapToGrid w:val="0"/>
          </w:rPr>
          <w:t>Издигащи се рулеви рубки</w:t>
        </w:r>
        <w:r w:rsidR="001C71EE">
          <w:rPr>
            <w:noProof/>
            <w:webHidden/>
          </w:rPr>
          <w:tab/>
        </w:r>
        <w:r w:rsidR="001C71EE">
          <w:rPr>
            <w:noProof/>
            <w:webHidden/>
          </w:rPr>
          <w:fldChar w:fldCharType="begin"/>
        </w:r>
        <w:r w:rsidR="001C71EE">
          <w:rPr>
            <w:noProof/>
            <w:webHidden/>
          </w:rPr>
          <w:instrText xml:space="preserve"> PAGEREF _Toc535827494 \h </w:instrText>
        </w:r>
        <w:r w:rsidR="001C71EE">
          <w:rPr>
            <w:noProof/>
            <w:webHidden/>
          </w:rPr>
        </w:r>
        <w:r w:rsidR="001C71EE">
          <w:rPr>
            <w:noProof/>
            <w:webHidden/>
          </w:rPr>
          <w:fldChar w:fldCharType="separate"/>
        </w:r>
        <w:r w:rsidR="001C71EE">
          <w:rPr>
            <w:noProof/>
            <w:webHidden/>
          </w:rPr>
          <w:t>67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95" w:history="1">
        <w:r w:rsidR="001C71EE" w:rsidRPr="00193DF2">
          <w:rPr>
            <w:rStyle w:val="Hyperlink"/>
            <w:noProof/>
          </w:rPr>
          <w:t>Член 7.13 Вписване в удостоверението на плавателния съд за плаване по вътрешни водни пътища за плавателни съдове с рулеви рубки, проектирани за управление  с радиолокационни средства от едно лице</w:t>
        </w:r>
        <w:r w:rsidR="001C71EE">
          <w:rPr>
            <w:noProof/>
            <w:webHidden/>
          </w:rPr>
          <w:tab/>
        </w:r>
        <w:r w:rsidR="001C71EE">
          <w:rPr>
            <w:noProof/>
            <w:webHidden/>
          </w:rPr>
          <w:fldChar w:fldCharType="begin"/>
        </w:r>
        <w:r w:rsidR="001C71EE">
          <w:rPr>
            <w:noProof/>
            <w:webHidden/>
          </w:rPr>
          <w:instrText xml:space="preserve"> PAGEREF _Toc535827495 \h </w:instrText>
        </w:r>
        <w:r w:rsidR="001C71EE">
          <w:rPr>
            <w:noProof/>
            <w:webHidden/>
          </w:rPr>
        </w:r>
        <w:r w:rsidR="001C71EE">
          <w:rPr>
            <w:noProof/>
            <w:webHidden/>
          </w:rPr>
          <w:fldChar w:fldCharType="separate"/>
        </w:r>
        <w:r w:rsidR="001C71EE">
          <w:rPr>
            <w:noProof/>
            <w:webHidden/>
          </w:rPr>
          <w:t>69</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496" w:history="1">
        <w:r w:rsidR="001C71EE" w:rsidRPr="00193DF2">
          <w:rPr>
            <w:rStyle w:val="Hyperlink"/>
            <w:noProof/>
          </w:rPr>
          <w:t>Глава 8 Конструкция на двигателя</w:t>
        </w:r>
        <w:r w:rsidR="001C71EE">
          <w:rPr>
            <w:noProof/>
            <w:webHidden/>
          </w:rPr>
          <w:tab/>
        </w:r>
        <w:r w:rsidR="001C71EE">
          <w:rPr>
            <w:noProof/>
            <w:webHidden/>
          </w:rPr>
          <w:fldChar w:fldCharType="begin"/>
        </w:r>
        <w:r w:rsidR="001C71EE">
          <w:rPr>
            <w:noProof/>
            <w:webHidden/>
          </w:rPr>
          <w:instrText xml:space="preserve"> PAGEREF _Toc535827496 \h </w:instrText>
        </w:r>
        <w:r w:rsidR="001C71EE">
          <w:rPr>
            <w:noProof/>
            <w:webHidden/>
          </w:rPr>
        </w:r>
        <w:r w:rsidR="001C71EE">
          <w:rPr>
            <w:noProof/>
            <w:webHidden/>
          </w:rPr>
          <w:fldChar w:fldCharType="separate"/>
        </w:r>
        <w:r w:rsidR="001C71EE">
          <w:rPr>
            <w:noProof/>
            <w:webHidden/>
          </w:rPr>
          <w:t>70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97" w:history="1">
        <w:r w:rsidR="001C71EE" w:rsidRPr="00193DF2">
          <w:rPr>
            <w:rStyle w:val="Hyperlink"/>
            <w:noProof/>
          </w:rPr>
          <w:t>Член 8.01 Общи положения</w:t>
        </w:r>
        <w:r w:rsidR="001C71EE">
          <w:rPr>
            <w:noProof/>
            <w:webHidden/>
          </w:rPr>
          <w:tab/>
        </w:r>
        <w:r w:rsidR="001C71EE">
          <w:rPr>
            <w:noProof/>
            <w:webHidden/>
          </w:rPr>
          <w:fldChar w:fldCharType="begin"/>
        </w:r>
        <w:r w:rsidR="001C71EE">
          <w:rPr>
            <w:noProof/>
            <w:webHidden/>
          </w:rPr>
          <w:instrText xml:space="preserve"> PAGEREF _Toc535827497 \h </w:instrText>
        </w:r>
        <w:r w:rsidR="001C71EE">
          <w:rPr>
            <w:noProof/>
            <w:webHidden/>
          </w:rPr>
        </w:r>
        <w:r w:rsidR="001C71EE">
          <w:rPr>
            <w:noProof/>
            <w:webHidden/>
          </w:rPr>
          <w:fldChar w:fldCharType="separate"/>
        </w:r>
        <w:r w:rsidR="001C71EE">
          <w:rPr>
            <w:noProof/>
            <w:webHidden/>
          </w:rPr>
          <w:t>70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98" w:history="1">
        <w:r w:rsidR="001C71EE" w:rsidRPr="00193DF2">
          <w:rPr>
            <w:rStyle w:val="Hyperlink"/>
            <w:noProof/>
          </w:rPr>
          <w:t>Член 8.02 Оборудване за безопасност</w:t>
        </w:r>
        <w:r w:rsidR="001C71EE">
          <w:rPr>
            <w:noProof/>
            <w:webHidden/>
          </w:rPr>
          <w:tab/>
        </w:r>
        <w:r w:rsidR="001C71EE">
          <w:rPr>
            <w:noProof/>
            <w:webHidden/>
          </w:rPr>
          <w:fldChar w:fldCharType="begin"/>
        </w:r>
        <w:r w:rsidR="001C71EE">
          <w:rPr>
            <w:noProof/>
            <w:webHidden/>
          </w:rPr>
          <w:instrText xml:space="preserve"> PAGEREF _Toc535827498 \h </w:instrText>
        </w:r>
        <w:r w:rsidR="001C71EE">
          <w:rPr>
            <w:noProof/>
            <w:webHidden/>
          </w:rPr>
        </w:r>
        <w:r w:rsidR="001C71EE">
          <w:rPr>
            <w:noProof/>
            <w:webHidden/>
          </w:rPr>
          <w:fldChar w:fldCharType="separate"/>
        </w:r>
        <w:r w:rsidR="001C71EE">
          <w:rPr>
            <w:noProof/>
            <w:webHidden/>
          </w:rPr>
          <w:t>70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499" w:history="1">
        <w:r w:rsidR="001C71EE" w:rsidRPr="00193DF2">
          <w:rPr>
            <w:rStyle w:val="Hyperlink"/>
            <w:noProof/>
          </w:rPr>
          <w:t>Член 8.03 Задвижващи системи</w:t>
        </w:r>
        <w:r w:rsidR="001C71EE">
          <w:rPr>
            <w:noProof/>
            <w:webHidden/>
          </w:rPr>
          <w:tab/>
        </w:r>
        <w:r w:rsidR="001C71EE">
          <w:rPr>
            <w:noProof/>
            <w:webHidden/>
          </w:rPr>
          <w:fldChar w:fldCharType="begin"/>
        </w:r>
        <w:r w:rsidR="001C71EE">
          <w:rPr>
            <w:noProof/>
            <w:webHidden/>
          </w:rPr>
          <w:instrText xml:space="preserve"> PAGEREF _Toc535827499 \h </w:instrText>
        </w:r>
        <w:r w:rsidR="001C71EE">
          <w:rPr>
            <w:noProof/>
            <w:webHidden/>
          </w:rPr>
        </w:r>
        <w:r w:rsidR="001C71EE">
          <w:rPr>
            <w:noProof/>
            <w:webHidden/>
          </w:rPr>
          <w:fldChar w:fldCharType="separate"/>
        </w:r>
        <w:r w:rsidR="001C71EE">
          <w:rPr>
            <w:noProof/>
            <w:webHidden/>
          </w:rPr>
          <w:t>72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00" w:history="1">
        <w:r w:rsidR="001C71EE" w:rsidRPr="00193DF2">
          <w:rPr>
            <w:rStyle w:val="Hyperlink"/>
            <w:noProof/>
          </w:rPr>
          <w:t>Член 8.04 Изпускателна система на двигателя</w:t>
        </w:r>
        <w:r w:rsidR="001C71EE">
          <w:rPr>
            <w:noProof/>
            <w:webHidden/>
          </w:rPr>
          <w:tab/>
        </w:r>
        <w:r w:rsidR="001C71EE">
          <w:rPr>
            <w:noProof/>
            <w:webHidden/>
          </w:rPr>
          <w:fldChar w:fldCharType="begin"/>
        </w:r>
        <w:r w:rsidR="001C71EE">
          <w:rPr>
            <w:noProof/>
            <w:webHidden/>
          </w:rPr>
          <w:instrText xml:space="preserve"> PAGEREF _Toc535827500 \h </w:instrText>
        </w:r>
        <w:r w:rsidR="001C71EE">
          <w:rPr>
            <w:noProof/>
            <w:webHidden/>
          </w:rPr>
        </w:r>
        <w:r w:rsidR="001C71EE">
          <w:rPr>
            <w:noProof/>
            <w:webHidden/>
          </w:rPr>
          <w:fldChar w:fldCharType="separate"/>
        </w:r>
        <w:r w:rsidR="001C71EE">
          <w:rPr>
            <w:noProof/>
            <w:webHidden/>
          </w:rPr>
          <w:t>73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01" w:history="1">
        <w:r w:rsidR="001C71EE" w:rsidRPr="00193DF2">
          <w:rPr>
            <w:rStyle w:val="Hyperlink"/>
            <w:noProof/>
          </w:rPr>
          <w:t>Член 8.05 Резервоари за гориво, тръби и принадлежности</w:t>
        </w:r>
        <w:r w:rsidR="001C71EE">
          <w:rPr>
            <w:noProof/>
            <w:webHidden/>
          </w:rPr>
          <w:tab/>
        </w:r>
        <w:r w:rsidR="001C71EE">
          <w:rPr>
            <w:noProof/>
            <w:webHidden/>
          </w:rPr>
          <w:fldChar w:fldCharType="begin"/>
        </w:r>
        <w:r w:rsidR="001C71EE">
          <w:rPr>
            <w:noProof/>
            <w:webHidden/>
          </w:rPr>
          <w:instrText xml:space="preserve"> PAGEREF _Toc535827501 \h </w:instrText>
        </w:r>
        <w:r w:rsidR="001C71EE">
          <w:rPr>
            <w:noProof/>
            <w:webHidden/>
          </w:rPr>
        </w:r>
        <w:r w:rsidR="001C71EE">
          <w:rPr>
            <w:noProof/>
            <w:webHidden/>
          </w:rPr>
          <w:fldChar w:fldCharType="separate"/>
        </w:r>
        <w:r w:rsidR="001C71EE">
          <w:rPr>
            <w:noProof/>
            <w:webHidden/>
          </w:rPr>
          <w:t>74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02" w:history="1">
        <w:r w:rsidR="001C71EE" w:rsidRPr="00193DF2">
          <w:rPr>
            <w:rStyle w:val="Hyperlink"/>
            <w:noProof/>
          </w:rPr>
          <w:t>Член 8.06 Съхраняване на смазочно масло, тръби и принадлежности</w:t>
        </w:r>
        <w:r w:rsidR="001C71EE">
          <w:rPr>
            <w:noProof/>
            <w:webHidden/>
          </w:rPr>
          <w:tab/>
        </w:r>
        <w:r w:rsidR="001C71EE">
          <w:rPr>
            <w:noProof/>
            <w:webHidden/>
          </w:rPr>
          <w:fldChar w:fldCharType="begin"/>
        </w:r>
        <w:r w:rsidR="001C71EE">
          <w:rPr>
            <w:noProof/>
            <w:webHidden/>
          </w:rPr>
          <w:instrText xml:space="preserve"> PAGEREF _Toc535827502 \h </w:instrText>
        </w:r>
        <w:r w:rsidR="001C71EE">
          <w:rPr>
            <w:noProof/>
            <w:webHidden/>
          </w:rPr>
        </w:r>
        <w:r w:rsidR="001C71EE">
          <w:rPr>
            <w:noProof/>
            <w:webHidden/>
          </w:rPr>
          <w:fldChar w:fldCharType="separate"/>
        </w:r>
        <w:r w:rsidR="001C71EE">
          <w:rPr>
            <w:noProof/>
            <w:webHidden/>
          </w:rPr>
          <w:t>77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03" w:history="1">
        <w:r w:rsidR="001C71EE" w:rsidRPr="00193DF2">
          <w:rPr>
            <w:rStyle w:val="Hyperlink"/>
            <w:noProof/>
          </w:rPr>
          <w:t>Член 8.07 Съхранение на масла, използвани в силови трансмисии, системи за управление и задействане и системи за отопление, тръбопроводи и принадлежности</w:t>
        </w:r>
        <w:r w:rsidR="001C71EE">
          <w:rPr>
            <w:noProof/>
            <w:webHidden/>
          </w:rPr>
          <w:tab/>
        </w:r>
        <w:r w:rsidR="001C71EE">
          <w:rPr>
            <w:noProof/>
            <w:webHidden/>
          </w:rPr>
          <w:fldChar w:fldCharType="begin"/>
        </w:r>
        <w:r w:rsidR="001C71EE">
          <w:rPr>
            <w:noProof/>
            <w:webHidden/>
          </w:rPr>
          <w:instrText xml:space="preserve"> PAGEREF _Toc535827503 \h </w:instrText>
        </w:r>
        <w:r w:rsidR="001C71EE">
          <w:rPr>
            <w:noProof/>
            <w:webHidden/>
          </w:rPr>
        </w:r>
        <w:r w:rsidR="001C71EE">
          <w:rPr>
            <w:noProof/>
            <w:webHidden/>
          </w:rPr>
          <w:fldChar w:fldCharType="separate"/>
        </w:r>
        <w:r w:rsidR="001C71EE">
          <w:rPr>
            <w:noProof/>
            <w:webHidden/>
          </w:rPr>
          <w:t>78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04" w:history="1">
        <w:r w:rsidR="001C71EE" w:rsidRPr="00193DF2">
          <w:rPr>
            <w:rStyle w:val="Hyperlink"/>
            <w:noProof/>
          </w:rPr>
          <w:t>Член 8.08 Системи за изпомпване и осушаване на трюма</w:t>
        </w:r>
        <w:r w:rsidR="001C71EE">
          <w:rPr>
            <w:noProof/>
            <w:webHidden/>
          </w:rPr>
          <w:tab/>
        </w:r>
        <w:r w:rsidR="001C71EE">
          <w:rPr>
            <w:noProof/>
            <w:webHidden/>
          </w:rPr>
          <w:fldChar w:fldCharType="begin"/>
        </w:r>
        <w:r w:rsidR="001C71EE">
          <w:rPr>
            <w:noProof/>
            <w:webHidden/>
          </w:rPr>
          <w:instrText xml:space="preserve"> PAGEREF _Toc535827504 \h </w:instrText>
        </w:r>
        <w:r w:rsidR="001C71EE">
          <w:rPr>
            <w:noProof/>
            <w:webHidden/>
          </w:rPr>
        </w:r>
        <w:r w:rsidR="001C71EE">
          <w:rPr>
            <w:noProof/>
            <w:webHidden/>
          </w:rPr>
          <w:fldChar w:fldCharType="separate"/>
        </w:r>
        <w:r w:rsidR="001C71EE">
          <w:rPr>
            <w:noProof/>
            <w:webHidden/>
          </w:rPr>
          <w:t>80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05" w:history="1">
        <w:r w:rsidR="001C71EE" w:rsidRPr="00193DF2">
          <w:rPr>
            <w:rStyle w:val="Hyperlink"/>
            <w:noProof/>
          </w:rPr>
          <w:t>Член 8.09 Съхранение на замърсена с нефтопродукти вода и отработени масла</w:t>
        </w:r>
        <w:r w:rsidR="001C71EE">
          <w:rPr>
            <w:noProof/>
            <w:webHidden/>
          </w:rPr>
          <w:tab/>
        </w:r>
        <w:r w:rsidR="001C71EE">
          <w:rPr>
            <w:noProof/>
            <w:webHidden/>
          </w:rPr>
          <w:fldChar w:fldCharType="begin"/>
        </w:r>
        <w:r w:rsidR="001C71EE">
          <w:rPr>
            <w:noProof/>
            <w:webHidden/>
          </w:rPr>
          <w:instrText xml:space="preserve"> PAGEREF _Toc535827505 \h </w:instrText>
        </w:r>
        <w:r w:rsidR="001C71EE">
          <w:rPr>
            <w:noProof/>
            <w:webHidden/>
          </w:rPr>
        </w:r>
        <w:r w:rsidR="001C71EE">
          <w:rPr>
            <w:noProof/>
            <w:webHidden/>
          </w:rPr>
          <w:fldChar w:fldCharType="separate"/>
        </w:r>
        <w:r w:rsidR="001C71EE">
          <w:rPr>
            <w:noProof/>
            <w:webHidden/>
          </w:rPr>
          <w:t>83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06" w:history="1">
        <w:r w:rsidR="001C71EE" w:rsidRPr="00193DF2">
          <w:rPr>
            <w:rStyle w:val="Hyperlink"/>
            <w:noProof/>
          </w:rPr>
          <w:t>Член 8.10 Шум от плавателните съдове</w:t>
        </w:r>
        <w:r w:rsidR="001C71EE">
          <w:rPr>
            <w:noProof/>
            <w:webHidden/>
          </w:rPr>
          <w:tab/>
        </w:r>
        <w:r w:rsidR="001C71EE">
          <w:rPr>
            <w:noProof/>
            <w:webHidden/>
          </w:rPr>
          <w:fldChar w:fldCharType="begin"/>
        </w:r>
        <w:r w:rsidR="001C71EE">
          <w:rPr>
            <w:noProof/>
            <w:webHidden/>
          </w:rPr>
          <w:instrText xml:space="preserve"> PAGEREF _Toc535827506 \h </w:instrText>
        </w:r>
        <w:r w:rsidR="001C71EE">
          <w:rPr>
            <w:noProof/>
            <w:webHidden/>
          </w:rPr>
        </w:r>
        <w:r w:rsidR="001C71EE">
          <w:rPr>
            <w:noProof/>
            <w:webHidden/>
          </w:rPr>
          <w:fldChar w:fldCharType="separate"/>
        </w:r>
        <w:r w:rsidR="001C71EE">
          <w:rPr>
            <w:noProof/>
            <w:webHidden/>
          </w:rPr>
          <w:t>84</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507" w:history="1">
        <w:r w:rsidR="001C71EE" w:rsidRPr="00193DF2">
          <w:rPr>
            <w:rStyle w:val="Hyperlink"/>
            <w:noProof/>
          </w:rPr>
          <w:t>Глава 9 Емисии на газообразни и прахообразни замърсители от двигатели с вътрешно горене</w:t>
        </w:r>
        <w:r w:rsidR="001C71EE">
          <w:rPr>
            <w:noProof/>
            <w:webHidden/>
          </w:rPr>
          <w:tab/>
        </w:r>
        <w:r w:rsidR="001C71EE">
          <w:rPr>
            <w:noProof/>
            <w:webHidden/>
          </w:rPr>
          <w:fldChar w:fldCharType="begin"/>
        </w:r>
        <w:r w:rsidR="001C71EE">
          <w:rPr>
            <w:noProof/>
            <w:webHidden/>
          </w:rPr>
          <w:instrText xml:space="preserve"> PAGEREF _Toc535827507 \h </w:instrText>
        </w:r>
        <w:r w:rsidR="001C71EE">
          <w:rPr>
            <w:noProof/>
            <w:webHidden/>
          </w:rPr>
        </w:r>
        <w:r w:rsidR="001C71EE">
          <w:rPr>
            <w:noProof/>
            <w:webHidden/>
          </w:rPr>
          <w:fldChar w:fldCharType="separate"/>
        </w:r>
        <w:r w:rsidR="001C71EE">
          <w:rPr>
            <w:noProof/>
            <w:webHidden/>
          </w:rPr>
          <w:t>85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08" w:history="1">
        <w:r w:rsidR="001C71EE" w:rsidRPr="00193DF2">
          <w:rPr>
            <w:rStyle w:val="Hyperlink"/>
            <w:noProof/>
          </w:rPr>
          <w:t>Член 9.00 Определения</w:t>
        </w:r>
        <w:r w:rsidR="001C71EE">
          <w:rPr>
            <w:noProof/>
            <w:webHidden/>
          </w:rPr>
          <w:tab/>
        </w:r>
        <w:r w:rsidR="001C71EE">
          <w:rPr>
            <w:noProof/>
            <w:webHidden/>
          </w:rPr>
          <w:fldChar w:fldCharType="begin"/>
        </w:r>
        <w:r w:rsidR="001C71EE">
          <w:rPr>
            <w:noProof/>
            <w:webHidden/>
          </w:rPr>
          <w:instrText xml:space="preserve"> PAGEREF _Toc535827508 \h </w:instrText>
        </w:r>
        <w:r w:rsidR="001C71EE">
          <w:rPr>
            <w:noProof/>
            <w:webHidden/>
          </w:rPr>
        </w:r>
        <w:r w:rsidR="001C71EE">
          <w:rPr>
            <w:noProof/>
            <w:webHidden/>
          </w:rPr>
          <w:fldChar w:fldCharType="separate"/>
        </w:r>
        <w:r w:rsidR="001C71EE">
          <w:rPr>
            <w:noProof/>
            <w:webHidden/>
          </w:rPr>
          <w:t>85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09" w:history="1">
        <w:r w:rsidR="001C71EE" w:rsidRPr="00193DF2">
          <w:rPr>
            <w:rStyle w:val="Hyperlink"/>
            <w:noProof/>
          </w:rPr>
          <w:t>Член 9.01 Общи разпоредби</w:t>
        </w:r>
        <w:r w:rsidR="001C71EE">
          <w:rPr>
            <w:noProof/>
            <w:webHidden/>
          </w:rPr>
          <w:tab/>
        </w:r>
        <w:r w:rsidR="001C71EE">
          <w:rPr>
            <w:noProof/>
            <w:webHidden/>
          </w:rPr>
          <w:fldChar w:fldCharType="begin"/>
        </w:r>
        <w:r w:rsidR="001C71EE">
          <w:rPr>
            <w:noProof/>
            <w:webHidden/>
          </w:rPr>
          <w:instrText xml:space="preserve"> PAGEREF _Toc535827509 \h </w:instrText>
        </w:r>
        <w:r w:rsidR="001C71EE">
          <w:rPr>
            <w:noProof/>
            <w:webHidden/>
          </w:rPr>
        </w:r>
        <w:r w:rsidR="001C71EE">
          <w:rPr>
            <w:noProof/>
            <w:webHidden/>
          </w:rPr>
          <w:fldChar w:fldCharType="separate"/>
        </w:r>
        <w:r w:rsidR="001C71EE">
          <w:rPr>
            <w:noProof/>
            <w:webHidden/>
          </w:rPr>
          <w:t>86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10" w:history="1">
        <w:r w:rsidR="001C71EE" w:rsidRPr="00193DF2">
          <w:rPr>
            <w:rStyle w:val="Hyperlink"/>
            <w:noProof/>
          </w:rPr>
          <w:t>Член 9.02 Вписване в удостоверението на плавателния съд за плаване по вътрешни водни пътища</w:t>
        </w:r>
        <w:r w:rsidR="001C71EE">
          <w:rPr>
            <w:noProof/>
            <w:webHidden/>
          </w:rPr>
          <w:tab/>
        </w:r>
        <w:r w:rsidR="001C71EE">
          <w:rPr>
            <w:noProof/>
            <w:webHidden/>
          </w:rPr>
          <w:fldChar w:fldCharType="begin"/>
        </w:r>
        <w:r w:rsidR="001C71EE">
          <w:rPr>
            <w:noProof/>
            <w:webHidden/>
          </w:rPr>
          <w:instrText xml:space="preserve"> PAGEREF _Toc535827510 \h </w:instrText>
        </w:r>
        <w:r w:rsidR="001C71EE">
          <w:rPr>
            <w:noProof/>
            <w:webHidden/>
          </w:rPr>
        </w:r>
        <w:r w:rsidR="001C71EE">
          <w:rPr>
            <w:noProof/>
            <w:webHidden/>
          </w:rPr>
          <w:fldChar w:fldCharType="separate"/>
        </w:r>
        <w:r w:rsidR="001C71EE">
          <w:rPr>
            <w:noProof/>
            <w:webHidden/>
          </w:rPr>
          <w:t>87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11" w:history="1">
        <w:r w:rsidR="001C71EE" w:rsidRPr="00193DF2">
          <w:rPr>
            <w:rStyle w:val="Hyperlink"/>
            <w:noProof/>
          </w:rPr>
          <w:t>Член 9.03 Разпоредби за монтирането на двигатели с вътрешно горене</w:t>
        </w:r>
        <w:r w:rsidR="001C71EE">
          <w:rPr>
            <w:noProof/>
            <w:webHidden/>
          </w:rPr>
          <w:tab/>
        </w:r>
        <w:r w:rsidR="001C71EE">
          <w:rPr>
            <w:noProof/>
            <w:webHidden/>
          </w:rPr>
          <w:fldChar w:fldCharType="begin"/>
        </w:r>
        <w:r w:rsidR="001C71EE">
          <w:rPr>
            <w:noProof/>
            <w:webHidden/>
          </w:rPr>
          <w:instrText xml:space="preserve"> PAGEREF _Toc535827511 \h </w:instrText>
        </w:r>
        <w:r w:rsidR="001C71EE">
          <w:rPr>
            <w:noProof/>
            <w:webHidden/>
          </w:rPr>
        </w:r>
        <w:r w:rsidR="001C71EE">
          <w:rPr>
            <w:noProof/>
            <w:webHidden/>
          </w:rPr>
          <w:fldChar w:fldCharType="separate"/>
        </w:r>
        <w:r w:rsidR="001C71EE">
          <w:rPr>
            <w:noProof/>
            <w:webHidden/>
          </w:rPr>
          <w:t>87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12" w:history="1">
        <w:r w:rsidR="001C71EE" w:rsidRPr="00193DF2">
          <w:rPr>
            <w:rStyle w:val="Hyperlink"/>
            <w:noProof/>
          </w:rPr>
          <w:t>Член 9.04 Инструкции на производителя на двигателя</w:t>
        </w:r>
        <w:r w:rsidR="001C71EE">
          <w:rPr>
            <w:noProof/>
            <w:webHidden/>
          </w:rPr>
          <w:tab/>
        </w:r>
        <w:r w:rsidR="001C71EE">
          <w:rPr>
            <w:noProof/>
            <w:webHidden/>
          </w:rPr>
          <w:fldChar w:fldCharType="begin"/>
        </w:r>
        <w:r w:rsidR="001C71EE">
          <w:rPr>
            <w:noProof/>
            <w:webHidden/>
          </w:rPr>
          <w:instrText xml:space="preserve"> PAGEREF _Toc535827512 \h </w:instrText>
        </w:r>
        <w:r w:rsidR="001C71EE">
          <w:rPr>
            <w:noProof/>
            <w:webHidden/>
          </w:rPr>
        </w:r>
        <w:r w:rsidR="001C71EE">
          <w:rPr>
            <w:noProof/>
            <w:webHidden/>
          </w:rPr>
          <w:fldChar w:fldCharType="separate"/>
        </w:r>
        <w:r w:rsidR="001C71EE">
          <w:rPr>
            <w:noProof/>
            <w:webHidden/>
          </w:rPr>
          <w:t>88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13" w:history="1">
        <w:r w:rsidR="001C71EE" w:rsidRPr="00193DF2">
          <w:rPr>
            <w:rStyle w:val="Hyperlink"/>
            <w:noProof/>
          </w:rPr>
          <w:t>Член 9.05 Изпитвания на двигатели с вътрешно горене</w:t>
        </w:r>
        <w:r w:rsidR="001C71EE">
          <w:rPr>
            <w:noProof/>
            <w:webHidden/>
          </w:rPr>
          <w:tab/>
        </w:r>
        <w:r w:rsidR="001C71EE">
          <w:rPr>
            <w:noProof/>
            <w:webHidden/>
          </w:rPr>
          <w:fldChar w:fldCharType="begin"/>
        </w:r>
        <w:r w:rsidR="001C71EE">
          <w:rPr>
            <w:noProof/>
            <w:webHidden/>
          </w:rPr>
          <w:instrText xml:space="preserve"> PAGEREF _Toc535827513 \h </w:instrText>
        </w:r>
        <w:r w:rsidR="001C71EE">
          <w:rPr>
            <w:noProof/>
            <w:webHidden/>
          </w:rPr>
        </w:r>
        <w:r w:rsidR="001C71EE">
          <w:rPr>
            <w:noProof/>
            <w:webHidden/>
          </w:rPr>
          <w:fldChar w:fldCharType="separate"/>
        </w:r>
        <w:r w:rsidR="001C71EE">
          <w:rPr>
            <w:noProof/>
            <w:webHidden/>
          </w:rPr>
          <w:t>89</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14" w:history="1">
        <w:r w:rsidR="001C71EE" w:rsidRPr="00193DF2">
          <w:rPr>
            <w:rStyle w:val="Hyperlink"/>
            <w:noProof/>
          </w:rPr>
          <w:t>Член 9.06 Изпитвания на монтажа</w:t>
        </w:r>
        <w:r w:rsidR="001C71EE">
          <w:rPr>
            <w:noProof/>
            <w:webHidden/>
          </w:rPr>
          <w:tab/>
        </w:r>
        <w:r w:rsidR="001C71EE">
          <w:rPr>
            <w:noProof/>
            <w:webHidden/>
          </w:rPr>
          <w:fldChar w:fldCharType="begin"/>
        </w:r>
        <w:r w:rsidR="001C71EE">
          <w:rPr>
            <w:noProof/>
            <w:webHidden/>
          </w:rPr>
          <w:instrText xml:space="preserve"> PAGEREF _Toc535827514 \h </w:instrText>
        </w:r>
        <w:r w:rsidR="001C71EE">
          <w:rPr>
            <w:noProof/>
            <w:webHidden/>
          </w:rPr>
        </w:r>
        <w:r w:rsidR="001C71EE">
          <w:rPr>
            <w:noProof/>
            <w:webHidden/>
          </w:rPr>
          <w:fldChar w:fldCharType="separate"/>
        </w:r>
        <w:r w:rsidR="001C71EE">
          <w:rPr>
            <w:noProof/>
            <w:webHidden/>
          </w:rPr>
          <w:t>89</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15" w:history="1">
        <w:r w:rsidR="001C71EE" w:rsidRPr="00193DF2">
          <w:rPr>
            <w:rStyle w:val="Hyperlink"/>
            <w:noProof/>
          </w:rPr>
          <w:t>Член 9.07 Междинни изпитвания</w:t>
        </w:r>
        <w:r w:rsidR="001C71EE">
          <w:rPr>
            <w:noProof/>
            <w:webHidden/>
          </w:rPr>
          <w:tab/>
        </w:r>
        <w:r w:rsidR="001C71EE">
          <w:rPr>
            <w:noProof/>
            <w:webHidden/>
          </w:rPr>
          <w:fldChar w:fldCharType="begin"/>
        </w:r>
        <w:r w:rsidR="001C71EE">
          <w:rPr>
            <w:noProof/>
            <w:webHidden/>
          </w:rPr>
          <w:instrText xml:space="preserve"> PAGEREF _Toc535827515 \h </w:instrText>
        </w:r>
        <w:r w:rsidR="001C71EE">
          <w:rPr>
            <w:noProof/>
            <w:webHidden/>
          </w:rPr>
        </w:r>
        <w:r w:rsidR="001C71EE">
          <w:rPr>
            <w:noProof/>
            <w:webHidden/>
          </w:rPr>
          <w:fldChar w:fldCharType="separate"/>
        </w:r>
        <w:r w:rsidR="001C71EE">
          <w:rPr>
            <w:noProof/>
            <w:webHidden/>
          </w:rPr>
          <w:t>91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16" w:history="1">
        <w:r w:rsidR="001C71EE" w:rsidRPr="00193DF2">
          <w:rPr>
            <w:rStyle w:val="Hyperlink"/>
            <w:noProof/>
          </w:rPr>
          <w:t>Член 9.08 Специални изпитвания</w:t>
        </w:r>
        <w:r w:rsidR="001C71EE">
          <w:rPr>
            <w:noProof/>
            <w:webHidden/>
          </w:rPr>
          <w:tab/>
        </w:r>
        <w:r w:rsidR="001C71EE">
          <w:rPr>
            <w:noProof/>
            <w:webHidden/>
          </w:rPr>
          <w:fldChar w:fldCharType="begin"/>
        </w:r>
        <w:r w:rsidR="001C71EE">
          <w:rPr>
            <w:noProof/>
            <w:webHidden/>
          </w:rPr>
          <w:instrText xml:space="preserve"> PAGEREF _Toc535827516 \h </w:instrText>
        </w:r>
        <w:r w:rsidR="001C71EE">
          <w:rPr>
            <w:noProof/>
            <w:webHidden/>
          </w:rPr>
        </w:r>
        <w:r w:rsidR="001C71EE">
          <w:rPr>
            <w:noProof/>
            <w:webHidden/>
          </w:rPr>
          <w:fldChar w:fldCharType="separate"/>
        </w:r>
        <w:r w:rsidR="001C71EE">
          <w:rPr>
            <w:noProof/>
            <w:webHidden/>
          </w:rPr>
          <w:t>91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17" w:history="1">
        <w:r w:rsidR="001C71EE" w:rsidRPr="00193DF2">
          <w:rPr>
            <w:rStyle w:val="Hyperlink"/>
            <w:noProof/>
          </w:rPr>
          <w:t>Член 9.09 Специфични изисквания относно системи за последваща обработка на отработилите газове</w:t>
        </w:r>
        <w:r w:rsidR="001C71EE">
          <w:rPr>
            <w:noProof/>
            <w:webHidden/>
          </w:rPr>
          <w:tab/>
        </w:r>
        <w:r w:rsidR="001C71EE">
          <w:rPr>
            <w:noProof/>
            <w:webHidden/>
          </w:rPr>
          <w:fldChar w:fldCharType="begin"/>
        </w:r>
        <w:r w:rsidR="001C71EE">
          <w:rPr>
            <w:noProof/>
            <w:webHidden/>
          </w:rPr>
          <w:instrText xml:space="preserve"> PAGEREF _Toc535827517 \h </w:instrText>
        </w:r>
        <w:r w:rsidR="001C71EE">
          <w:rPr>
            <w:noProof/>
            <w:webHidden/>
          </w:rPr>
        </w:r>
        <w:r w:rsidR="001C71EE">
          <w:rPr>
            <w:noProof/>
            <w:webHidden/>
          </w:rPr>
          <w:fldChar w:fldCharType="separate"/>
        </w:r>
        <w:r w:rsidR="001C71EE">
          <w:rPr>
            <w:noProof/>
            <w:webHidden/>
          </w:rPr>
          <w:t>91</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518" w:history="1">
        <w:r w:rsidR="001C71EE" w:rsidRPr="00193DF2">
          <w:rPr>
            <w:rStyle w:val="Hyperlink"/>
            <w:noProof/>
          </w:rPr>
          <w:t>Глава 10 Електрическо оборудване и електрически инсталации</w:t>
        </w:r>
        <w:r w:rsidR="001C71EE">
          <w:rPr>
            <w:noProof/>
            <w:webHidden/>
          </w:rPr>
          <w:tab/>
        </w:r>
        <w:r w:rsidR="001C71EE">
          <w:rPr>
            <w:noProof/>
            <w:webHidden/>
          </w:rPr>
          <w:fldChar w:fldCharType="begin"/>
        </w:r>
        <w:r w:rsidR="001C71EE">
          <w:rPr>
            <w:noProof/>
            <w:webHidden/>
          </w:rPr>
          <w:instrText xml:space="preserve"> PAGEREF _Toc535827518 \h </w:instrText>
        </w:r>
        <w:r w:rsidR="001C71EE">
          <w:rPr>
            <w:noProof/>
            <w:webHidden/>
          </w:rPr>
        </w:r>
        <w:r w:rsidR="001C71EE">
          <w:rPr>
            <w:noProof/>
            <w:webHidden/>
          </w:rPr>
          <w:fldChar w:fldCharType="separate"/>
        </w:r>
        <w:r w:rsidR="001C71EE">
          <w:rPr>
            <w:noProof/>
            <w:webHidden/>
          </w:rPr>
          <w:t>95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19" w:history="1">
        <w:r w:rsidR="001C71EE" w:rsidRPr="00193DF2">
          <w:rPr>
            <w:rStyle w:val="Hyperlink"/>
            <w:noProof/>
          </w:rPr>
          <w:t>Член 10.01 Общи положения</w:t>
        </w:r>
        <w:r w:rsidR="001C71EE">
          <w:rPr>
            <w:noProof/>
            <w:webHidden/>
          </w:rPr>
          <w:tab/>
        </w:r>
        <w:r w:rsidR="001C71EE">
          <w:rPr>
            <w:noProof/>
            <w:webHidden/>
          </w:rPr>
          <w:fldChar w:fldCharType="begin"/>
        </w:r>
        <w:r w:rsidR="001C71EE">
          <w:rPr>
            <w:noProof/>
            <w:webHidden/>
          </w:rPr>
          <w:instrText xml:space="preserve"> PAGEREF _Toc535827519 \h </w:instrText>
        </w:r>
        <w:r w:rsidR="001C71EE">
          <w:rPr>
            <w:noProof/>
            <w:webHidden/>
          </w:rPr>
        </w:r>
        <w:r w:rsidR="001C71EE">
          <w:rPr>
            <w:noProof/>
            <w:webHidden/>
          </w:rPr>
          <w:fldChar w:fldCharType="separate"/>
        </w:r>
        <w:r w:rsidR="001C71EE">
          <w:rPr>
            <w:noProof/>
            <w:webHidden/>
          </w:rPr>
          <w:t>95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20" w:history="1">
        <w:r w:rsidR="001C71EE" w:rsidRPr="00193DF2">
          <w:rPr>
            <w:rStyle w:val="Hyperlink"/>
            <w:noProof/>
          </w:rPr>
          <w:t>Член 10.02 Електроснабдителни системи</w:t>
        </w:r>
        <w:r w:rsidR="001C71EE">
          <w:rPr>
            <w:noProof/>
            <w:webHidden/>
          </w:rPr>
          <w:tab/>
        </w:r>
        <w:r w:rsidR="001C71EE">
          <w:rPr>
            <w:noProof/>
            <w:webHidden/>
          </w:rPr>
          <w:fldChar w:fldCharType="begin"/>
        </w:r>
        <w:r w:rsidR="001C71EE">
          <w:rPr>
            <w:noProof/>
            <w:webHidden/>
          </w:rPr>
          <w:instrText xml:space="preserve"> PAGEREF _Toc535827520 \h </w:instrText>
        </w:r>
        <w:r w:rsidR="001C71EE">
          <w:rPr>
            <w:noProof/>
            <w:webHidden/>
          </w:rPr>
        </w:r>
        <w:r w:rsidR="001C71EE">
          <w:rPr>
            <w:noProof/>
            <w:webHidden/>
          </w:rPr>
          <w:fldChar w:fldCharType="separate"/>
        </w:r>
        <w:r w:rsidR="001C71EE">
          <w:rPr>
            <w:noProof/>
            <w:webHidden/>
          </w:rPr>
          <w:t>96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21" w:history="1">
        <w:r w:rsidR="001C71EE" w:rsidRPr="00193DF2">
          <w:rPr>
            <w:rStyle w:val="Hyperlink"/>
            <w:noProof/>
          </w:rPr>
          <w:t>Член 10.03 Защита срещу достъп до опасни части, срещу чужди твърди тела и проникване на вода</w:t>
        </w:r>
        <w:r w:rsidR="001C71EE">
          <w:rPr>
            <w:noProof/>
            <w:webHidden/>
          </w:rPr>
          <w:tab/>
        </w:r>
        <w:r w:rsidR="001C71EE">
          <w:rPr>
            <w:noProof/>
            <w:webHidden/>
          </w:rPr>
          <w:fldChar w:fldCharType="begin"/>
        </w:r>
        <w:r w:rsidR="001C71EE">
          <w:rPr>
            <w:noProof/>
            <w:webHidden/>
          </w:rPr>
          <w:instrText xml:space="preserve"> PAGEREF _Toc535827521 \h </w:instrText>
        </w:r>
        <w:r w:rsidR="001C71EE">
          <w:rPr>
            <w:noProof/>
            <w:webHidden/>
          </w:rPr>
        </w:r>
        <w:r w:rsidR="001C71EE">
          <w:rPr>
            <w:noProof/>
            <w:webHidden/>
          </w:rPr>
          <w:fldChar w:fldCharType="separate"/>
        </w:r>
        <w:r w:rsidR="001C71EE">
          <w:rPr>
            <w:noProof/>
            <w:webHidden/>
          </w:rPr>
          <w:t>97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22" w:history="1">
        <w:r w:rsidR="001C71EE" w:rsidRPr="00193DF2">
          <w:rPr>
            <w:rStyle w:val="Hyperlink"/>
            <w:noProof/>
          </w:rPr>
          <w:t>Член 10.04 Защита от експлозия</w:t>
        </w:r>
        <w:r w:rsidR="001C71EE">
          <w:rPr>
            <w:noProof/>
            <w:webHidden/>
          </w:rPr>
          <w:tab/>
        </w:r>
        <w:r w:rsidR="001C71EE">
          <w:rPr>
            <w:noProof/>
            <w:webHidden/>
          </w:rPr>
          <w:fldChar w:fldCharType="begin"/>
        </w:r>
        <w:r w:rsidR="001C71EE">
          <w:rPr>
            <w:noProof/>
            <w:webHidden/>
          </w:rPr>
          <w:instrText xml:space="preserve"> PAGEREF _Toc535827522 \h </w:instrText>
        </w:r>
        <w:r w:rsidR="001C71EE">
          <w:rPr>
            <w:noProof/>
            <w:webHidden/>
          </w:rPr>
        </w:r>
        <w:r w:rsidR="001C71EE">
          <w:rPr>
            <w:noProof/>
            <w:webHidden/>
          </w:rPr>
          <w:fldChar w:fldCharType="separate"/>
        </w:r>
        <w:r w:rsidR="001C71EE">
          <w:rPr>
            <w:noProof/>
            <w:webHidden/>
          </w:rPr>
          <w:t>97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23" w:history="1">
        <w:r w:rsidR="001C71EE" w:rsidRPr="00193DF2">
          <w:rPr>
            <w:rStyle w:val="Hyperlink"/>
            <w:noProof/>
          </w:rPr>
          <w:t>Член 10.05 Заземяване</w:t>
        </w:r>
        <w:r w:rsidR="001C71EE">
          <w:rPr>
            <w:noProof/>
            <w:webHidden/>
          </w:rPr>
          <w:tab/>
        </w:r>
        <w:r w:rsidR="001C71EE">
          <w:rPr>
            <w:noProof/>
            <w:webHidden/>
          </w:rPr>
          <w:fldChar w:fldCharType="begin"/>
        </w:r>
        <w:r w:rsidR="001C71EE">
          <w:rPr>
            <w:noProof/>
            <w:webHidden/>
          </w:rPr>
          <w:instrText xml:space="preserve"> PAGEREF _Toc535827523 \h </w:instrText>
        </w:r>
        <w:r w:rsidR="001C71EE">
          <w:rPr>
            <w:noProof/>
            <w:webHidden/>
          </w:rPr>
        </w:r>
        <w:r w:rsidR="001C71EE">
          <w:rPr>
            <w:noProof/>
            <w:webHidden/>
          </w:rPr>
          <w:fldChar w:fldCharType="separate"/>
        </w:r>
        <w:r w:rsidR="001C71EE">
          <w:rPr>
            <w:noProof/>
            <w:webHidden/>
          </w:rPr>
          <w:t>99</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24" w:history="1">
        <w:r w:rsidR="001C71EE" w:rsidRPr="00193DF2">
          <w:rPr>
            <w:rStyle w:val="Hyperlink"/>
            <w:noProof/>
          </w:rPr>
          <w:t>Член 10.06 Максимално допустимо напрежение</w:t>
        </w:r>
        <w:r w:rsidR="001C71EE">
          <w:rPr>
            <w:noProof/>
            <w:webHidden/>
          </w:rPr>
          <w:tab/>
        </w:r>
        <w:r w:rsidR="001C71EE">
          <w:rPr>
            <w:noProof/>
            <w:webHidden/>
          </w:rPr>
          <w:fldChar w:fldCharType="begin"/>
        </w:r>
        <w:r w:rsidR="001C71EE">
          <w:rPr>
            <w:noProof/>
            <w:webHidden/>
          </w:rPr>
          <w:instrText xml:space="preserve"> PAGEREF _Toc535827524 \h </w:instrText>
        </w:r>
        <w:r w:rsidR="001C71EE">
          <w:rPr>
            <w:noProof/>
            <w:webHidden/>
          </w:rPr>
        </w:r>
        <w:r w:rsidR="001C71EE">
          <w:rPr>
            <w:noProof/>
            <w:webHidden/>
          </w:rPr>
          <w:fldChar w:fldCharType="separate"/>
        </w:r>
        <w:r w:rsidR="001C71EE">
          <w:rPr>
            <w:noProof/>
            <w:webHidden/>
          </w:rPr>
          <w:t>102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25" w:history="1">
        <w:r w:rsidR="001C71EE" w:rsidRPr="00193DF2">
          <w:rPr>
            <w:rStyle w:val="Hyperlink"/>
            <w:noProof/>
          </w:rPr>
          <w:t>Член 10.07 Разпределителни системи</w:t>
        </w:r>
        <w:r w:rsidR="001C71EE">
          <w:rPr>
            <w:noProof/>
            <w:webHidden/>
          </w:rPr>
          <w:tab/>
        </w:r>
        <w:r w:rsidR="001C71EE">
          <w:rPr>
            <w:noProof/>
            <w:webHidden/>
          </w:rPr>
          <w:fldChar w:fldCharType="begin"/>
        </w:r>
        <w:r w:rsidR="001C71EE">
          <w:rPr>
            <w:noProof/>
            <w:webHidden/>
          </w:rPr>
          <w:instrText xml:space="preserve"> PAGEREF _Toc535827525 \h </w:instrText>
        </w:r>
        <w:r w:rsidR="001C71EE">
          <w:rPr>
            <w:noProof/>
            <w:webHidden/>
          </w:rPr>
        </w:r>
        <w:r w:rsidR="001C71EE">
          <w:rPr>
            <w:noProof/>
            <w:webHidden/>
          </w:rPr>
          <w:fldChar w:fldCharType="separate"/>
        </w:r>
        <w:r w:rsidR="001C71EE">
          <w:rPr>
            <w:noProof/>
            <w:webHidden/>
          </w:rPr>
          <w:t>104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26" w:history="1">
        <w:r w:rsidR="001C71EE" w:rsidRPr="00193DF2">
          <w:rPr>
            <w:rStyle w:val="Hyperlink"/>
            <w:noProof/>
          </w:rPr>
          <w:t>Член 10.08 Връзка с брега или други външни мрежи</w:t>
        </w:r>
        <w:r w:rsidR="001C71EE">
          <w:rPr>
            <w:noProof/>
            <w:webHidden/>
          </w:rPr>
          <w:tab/>
        </w:r>
        <w:r w:rsidR="001C71EE">
          <w:rPr>
            <w:noProof/>
            <w:webHidden/>
          </w:rPr>
          <w:fldChar w:fldCharType="begin"/>
        </w:r>
        <w:r w:rsidR="001C71EE">
          <w:rPr>
            <w:noProof/>
            <w:webHidden/>
          </w:rPr>
          <w:instrText xml:space="preserve"> PAGEREF _Toc535827526 \h </w:instrText>
        </w:r>
        <w:r w:rsidR="001C71EE">
          <w:rPr>
            <w:noProof/>
            <w:webHidden/>
          </w:rPr>
        </w:r>
        <w:r w:rsidR="001C71EE">
          <w:rPr>
            <w:noProof/>
            <w:webHidden/>
          </w:rPr>
          <w:fldChar w:fldCharType="separate"/>
        </w:r>
        <w:r w:rsidR="001C71EE">
          <w:rPr>
            <w:noProof/>
            <w:webHidden/>
          </w:rPr>
          <w:t>104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27" w:history="1">
        <w:r w:rsidR="001C71EE" w:rsidRPr="00193DF2">
          <w:rPr>
            <w:rStyle w:val="Hyperlink"/>
            <w:noProof/>
          </w:rPr>
          <w:t>Член 10.09 Електрозахранване за друго плавателното средство</w:t>
        </w:r>
        <w:r w:rsidR="001C71EE">
          <w:rPr>
            <w:noProof/>
            <w:webHidden/>
          </w:rPr>
          <w:tab/>
        </w:r>
        <w:r w:rsidR="001C71EE">
          <w:rPr>
            <w:noProof/>
            <w:webHidden/>
          </w:rPr>
          <w:fldChar w:fldCharType="begin"/>
        </w:r>
        <w:r w:rsidR="001C71EE">
          <w:rPr>
            <w:noProof/>
            <w:webHidden/>
          </w:rPr>
          <w:instrText xml:space="preserve"> PAGEREF _Toc535827527 \h </w:instrText>
        </w:r>
        <w:r w:rsidR="001C71EE">
          <w:rPr>
            <w:noProof/>
            <w:webHidden/>
          </w:rPr>
        </w:r>
        <w:r w:rsidR="001C71EE">
          <w:rPr>
            <w:noProof/>
            <w:webHidden/>
          </w:rPr>
          <w:fldChar w:fldCharType="separate"/>
        </w:r>
        <w:r w:rsidR="001C71EE">
          <w:rPr>
            <w:noProof/>
            <w:webHidden/>
          </w:rPr>
          <w:t>106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28" w:history="1">
        <w:r w:rsidR="001C71EE" w:rsidRPr="00193DF2">
          <w:rPr>
            <w:rStyle w:val="Hyperlink"/>
            <w:noProof/>
          </w:rPr>
          <w:t>Член 10.10 Генератори, двигатели и трансформатори</w:t>
        </w:r>
        <w:r w:rsidR="001C71EE">
          <w:rPr>
            <w:noProof/>
            <w:webHidden/>
          </w:rPr>
          <w:tab/>
        </w:r>
        <w:r w:rsidR="001C71EE">
          <w:rPr>
            <w:noProof/>
            <w:webHidden/>
          </w:rPr>
          <w:fldChar w:fldCharType="begin"/>
        </w:r>
        <w:r w:rsidR="001C71EE">
          <w:rPr>
            <w:noProof/>
            <w:webHidden/>
          </w:rPr>
          <w:instrText xml:space="preserve"> PAGEREF _Toc535827528 \h </w:instrText>
        </w:r>
        <w:r w:rsidR="001C71EE">
          <w:rPr>
            <w:noProof/>
            <w:webHidden/>
          </w:rPr>
        </w:r>
        <w:r w:rsidR="001C71EE">
          <w:rPr>
            <w:noProof/>
            <w:webHidden/>
          </w:rPr>
          <w:fldChar w:fldCharType="separate"/>
        </w:r>
        <w:r w:rsidR="001C71EE">
          <w:rPr>
            <w:noProof/>
            <w:webHidden/>
          </w:rPr>
          <w:t>106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29" w:history="1">
        <w:r w:rsidR="001C71EE" w:rsidRPr="00193DF2">
          <w:rPr>
            <w:rStyle w:val="Hyperlink"/>
            <w:noProof/>
          </w:rPr>
          <w:t>Член 10.11 Батерии, акумулатори и техните зарядни устройства</w:t>
        </w:r>
        <w:r w:rsidR="001C71EE">
          <w:rPr>
            <w:noProof/>
            <w:webHidden/>
          </w:rPr>
          <w:tab/>
        </w:r>
        <w:r w:rsidR="001C71EE">
          <w:rPr>
            <w:noProof/>
            <w:webHidden/>
          </w:rPr>
          <w:fldChar w:fldCharType="begin"/>
        </w:r>
        <w:r w:rsidR="001C71EE">
          <w:rPr>
            <w:noProof/>
            <w:webHidden/>
          </w:rPr>
          <w:instrText xml:space="preserve"> PAGEREF _Toc535827529 \h </w:instrText>
        </w:r>
        <w:r w:rsidR="001C71EE">
          <w:rPr>
            <w:noProof/>
            <w:webHidden/>
          </w:rPr>
        </w:r>
        <w:r w:rsidR="001C71EE">
          <w:rPr>
            <w:noProof/>
            <w:webHidden/>
          </w:rPr>
          <w:fldChar w:fldCharType="separate"/>
        </w:r>
        <w:r w:rsidR="001C71EE">
          <w:rPr>
            <w:noProof/>
            <w:webHidden/>
          </w:rPr>
          <w:t>108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30" w:history="1">
        <w:r w:rsidR="001C71EE" w:rsidRPr="00193DF2">
          <w:rPr>
            <w:rStyle w:val="Hyperlink"/>
            <w:noProof/>
          </w:rPr>
          <w:t>Член 10.12 Комутационна и пусковорегулиращата апаратура</w:t>
        </w:r>
        <w:r w:rsidR="001C71EE">
          <w:rPr>
            <w:noProof/>
            <w:webHidden/>
          </w:rPr>
          <w:tab/>
        </w:r>
        <w:r w:rsidR="001C71EE">
          <w:rPr>
            <w:noProof/>
            <w:webHidden/>
          </w:rPr>
          <w:fldChar w:fldCharType="begin"/>
        </w:r>
        <w:r w:rsidR="001C71EE">
          <w:rPr>
            <w:noProof/>
            <w:webHidden/>
          </w:rPr>
          <w:instrText xml:space="preserve"> PAGEREF _Toc535827530 \h </w:instrText>
        </w:r>
        <w:r w:rsidR="001C71EE">
          <w:rPr>
            <w:noProof/>
            <w:webHidden/>
          </w:rPr>
        </w:r>
        <w:r w:rsidR="001C71EE">
          <w:rPr>
            <w:noProof/>
            <w:webHidden/>
          </w:rPr>
          <w:fldChar w:fldCharType="separate"/>
        </w:r>
        <w:r w:rsidR="001C71EE">
          <w:rPr>
            <w:noProof/>
            <w:webHidden/>
          </w:rPr>
          <w:t>112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31" w:history="1">
        <w:r w:rsidR="001C71EE" w:rsidRPr="00193DF2">
          <w:rPr>
            <w:rStyle w:val="Hyperlink"/>
            <w:noProof/>
          </w:rPr>
          <w:t>Член 10.13 Аварийни прекъсвачи</w:t>
        </w:r>
        <w:r w:rsidR="001C71EE">
          <w:rPr>
            <w:noProof/>
            <w:webHidden/>
          </w:rPr>
          <w:tab/>
        </w:r>
        <w:r w:rsidR="001C71EE">
          <w:rPr>
            <w:noProof/>
            <w:webHidden/>
          </w:rPr>
          <w:fldChar w:fldCharType="begin"/>
        </w:r>
        <w:r w:rsidR="001C71EE">
          <w:rPr>
            <w:noProof/>
            <w:webHidden/>
          </w:rPr>
          <w:instrText xml:space="preserve"> PAGEREF _Toc535827531 \h </w:instrText>
        </w:r>
        <w:r w:rsidR="001C71EE">
          <w:rPr>
            <w:noProof/>
            <w:webHidden/>
          </w:rPr>
        </w:r>
        <w:r w:rsidR="001C71EE">
          <w:rPr>
            <w:noProof/>
            <w:webHidden/>
          </w:rPr>
          <w:fldChar w:fldCharType="separate"/>
        </w:r>
        <w:r w:rsidR="001C71EE">
          <w:rPr>
            <w:noProof/>
            <w:webHidden/>
          </w:rPr>
          <w:t>114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32" w:history="1">
        <w:r w:rsidR="001C71EE" w:rsidRPr="00193DF2">
          <w:rPr>
            <w:rStyle w:val="Hyperlink"/>
            <w:noProof/>
          </w:rPr>
          <w:t>Член 10.14 Арматура за инсталации</w:t>
        </w:r>
        <w:r w:rsidR="001C71EE">
          <w:rPr>
            <w:noProof/>
            <w:webHidden/>
          </w:rPr>
          <w:tab/>
        </w:r>
        <w:r w:rsidR="001C71EE">
          <w:rPr>
            <w:noProof/>
            <w:webHidden/>
          </w:rPr>
          <w:fldChar w:fldCharType="begin"/>
        </w:r>
        <w:r w:rsidR="001C71EE">
          <w:rPr>
            <w:noProof/>
            <w:webHidden/>
          </w:rPr>
          <w:instrText xml:space="preserve"> PAGEREF _Toc535827532 \h </w:instrText>
        </w:r>
        <w:r w:rsidR="001C71EE">
          <w:rPr>
            <w:noProof/>
            <w:webHidden/>
          </w:rPr>
        </w:r>
        <w:r w:rsidR="001C71EE">
          <w:rPr>
            <w:noProof/>
            <w:webHidden/>
          </w:rPr>
          <w:fldChar w:fldCharType="separate"/>
        </w:r>
        <w:r w:rsidR="001C71EE">
          <w:rPr>
            <w:noProof/>
            <w:webHidden/>
          </w:rPr>
          <w:t>114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33" w:history="1">
        <w:r w:rsidR="001C71EE" w:rsidRPr="00193DF2">
          <w:rPr>
            <w:rStyle w:val="Hyperlink"/>
            <w:noProof/>
          </w:rPr>
          <w:t>Член 10.15 Кабели, изолирани кабели и кабелни системи</w:t>
        </w:r>
        <w:r w:rsidR="001C71EE">
          <w:rPr>
            <w:noProof/>
            <w:webHidden/>
          </w:rPr>
          <w:tab/>
        </w:r>
        <w:r w:rsidR="001C71EE">
          <w:rPr>
            <w:noProof/>
            <w:webHidden/>
          </w:rPr>
          <w:fldChar w:fldCharType="begin"/>
        </w:r>
        <w:r w:rsidR="001C71EE">
          <w:rPr>
            <w:noProof/>
            <w:webHidden/>
          </w:rPr>
          <w:instrText xml:space="preserve"> PAGEREF _Toc535827533 \h </w:instrText>
        </w:r>
        <w:r w:rsidR="001C71EE">
          <w:rPr>
            <w:noProof/>
            <w:webHidden/>
          </w:rPr>
        </w:r>
        <w:r w:rsidR="001C71EE">
          <w:rPr>
            <w:noProof/>
            <w:webHidden/>
          </w:rPr>
          <w:fldChar w:fldCharType="separate"/>
        </w:r>
        <w:r w:rsidR="001C71EE">
          <w:rPr>
            <w:noProof/>
            <w:webHidden/>
          </w:rPr>
          <w:t>116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34" w:history="1">
        <w:r w:rsidR="001C71EE" w:rsidRPr="00193DF2">
          <w:rPr>
            <w:rStyle w:val="Hyperlink"/>
            <w:noProof/>
          </w:rPr>
          <w:t>Член 10.16 Осветителни инсталации</w:t>
        </w:r>
        <w:r w:rsidR="001C71EE">
          <w:rPr>
            <w:noProof/>
            <w:webHidden/>
          </w:rPr>
          <w:tab/>
        </w:r>
        <w:r w:rsidR="001C71EE">
          <w:rPr>
            <w:noProof/>
            <w:webHidden/>
          </w:rPr>
          <w:fldChar w:fldCharType="begin"/>
        </w:r>
        <w:r w:rsidR="001C71EE">
          <w:rPr>
            <w:noProof/>
            <w:webHidden/>
          </w:rPr>
          <w:instrText xml:space="preserve"> PAGEREF _Toc535827534 \h </w:instrText>
        </w:r>
        <w:r w:rsidR="001C71EE">
          <w:rPr>
            <w:noProof/>
            <w:webHidden/>
          </w:rPr>
        </w:r>
        <w:r w:rsidR="001C71EE">
          <w:rPr>
            <w:noProof/>
            <w:webHidden/>
          </w:rPr>
          <w:fldChar w:fldCharType="separate"/>
        </w:r>
        <w:r w:rsidR="001C71EE">
          <w:rPr>
            <w:noProof/>
            <w:webHidden/>
          </w:rPr>
          <w:t>118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35" w:history="1">
        <w:r w:rsidR="001C71EE" w:rsidRPr="00193DF2">
          <w:rPr>
            <w:rStyle w:val="Hyperlink"/>
            <w:noProof/>
          </w:rPr>
          <w:t>Член 10.17 Навигационни светлини</w:t>
        </w:r>
        <w:r w:rsidR="001C71EE">
          <w:rPr>
            <w:noProof/>
            <w:webHidden/>
          </w:rPr>
          <w:tab/>
        </w:r>
        <w:r w:rsidR="001C71EE">
          <w:rPr>
            <w:noProof/>
            <w:webHidden/>
          </w:rPr>
          <w:fldChar w:fldCharType="begin"/>
        </w:r>
        <w:r w:rsidR="001C71EE">
          <w:rPr>
            <w:noProof/>
            <w:webHidden/>
          </w:rPr>
          <w:instrText xml:space="preserve"> PAGEREF _Toc535827535 \h </w:instrText>
        </w:r>
        <w:r w:rsidR="001C71EE">
          <w:rPr>
            <w:noProof/>
            <w:webHidden/>
          </w:rPr>
        </w:r>
        <w:r w:rsidR="001C71EE">
          <w:rPr>
            <w:noProof/>
            <w:webHidden/>
          </w:rPr>
          <w:fldChar w:fldCharType="separate"/>
        </w:r>
        <w:r w:rsidR="001C71EE">
          <w:rPr>
            <w:noProof/>
            <w:webHidden/>
          </w:rPr>
          <w:t>119</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36" w:history="1">
        <w:r w:rsidR="001C71EE" w:rsidRPr="00193DF2">
          <w:rPr>
            <w:rStyle w:val="Hyperlink"/>
            <w:noProof/>
          </w:rPr>
          <w:t>Член 10.18 Силова електроника</w:t>
        </w:r>
        <w:r w:rsidR="001C71EE">
          <w:rPr>
            <w:noProof/>
            <w:webHidden/>
          </w:rPr>
          <w:tab/>
        </w:r>
        <w:r w:rsidR="001C71EE">
          <w:rPr>
            <w:noProof/>
            <w:webHidden/>
          </w:rPr>
          <w:fldChar w:fldCharType="begin"/>
        </w:r>
        <w:r w:rsidR="001C71EE">
          <w:rPr>
            <w:noProof/>
            <w:webHidden/>
          </w:rPr>
          <w:instrText xml:space="preserve"> PAGEREF _Toc535827536 \h </w:instrText>
        </w:r>
        <w:r w:rsidR="001C71EE">
          <w:rPr>
            <w:noProof/>
            <w:webHidden/>
          </w:rPr>
        </w:r>
        <w:r w:rsidR="001C71EE">
          <w:rPr>
            <w:noProof/>
            <w:webHidden/>
          </w:rPr>
          <w:fldChar w:fldCharType="separate"/>
        </w:r>
        <w:r w:rsidR="001C71EE">
          <w:rPr>
            <w:noProof/>
            <w:webHidden/>
          </w:rPr>
          <w:t>120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37" w:history="1">
        <w:r w:rsidR="001C71EE" w:rsidRPr="00193DF2">
          <w:rPr>
            <w:rStyle w:val="Hyperlink"/>
            <w:noProof/>
          </w:rPr>
          <w:t>Член 10.19 Алармени системи и системи за безопасност за механични инсталации</w:t>
        </w:r>
        <w:r w:rsidR="001C71EE">
          <w:rPr>
            <w:noProof/>
            <w:webHidden/>
          </w:rPr>
          <w:tab/>
        </w:r>
        <w:r w:rsidR="001C71EE">
          <w:rPr>
            <w:noProof/>
            <w:webHidden/>
          </w:rPr>
          <w:fldChar w:fldCharType="begin"/>
        </w:r>
        <w:r w:rsidR="001C71EE">
          <w:rPr>
            <w:noProof/>
            <w:webHidden/>
          </w:rPr>
          <w:instrText xml:space="preserve"> PAGEREF _Toc535827537 \h </w:instrText>
        </w:r>
        <w:r w:rsidR="001C71EE">
          <w:rPr>
            <w:noProof/>
            <w:webHidden/>
          </w:rPr>
        </w:r>
        <w:r w:rsidR="001C71EE">
          <w:rPr>
            <w:noProof/>
            <w:webHidden/>
          </w:rPr>
          <w:fldChar w:fldCharType="separate"/>
        </w:r>
        <w:r w:rsidR="001C71EE">
          <w:rPr>
            <w:noProof/>
            <w:webHidden/>
          </w:rPr>
          <w:t>122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38" w:history="1">
        <w:r w:rsidR="001C71EE" w:rsidRPr="00193DF2">
          <w:rPr>
            <w:rStyle w:val="Hyperlink"/>
            <w:noProof/>
          </w:rPr>
          <w:t>Член 10.20 Условия на изпитване на електронни съоръжения</w:t>
        </w:r>
        <w:r w:rsidR="001C71EE">
          <w:rPr>
            <w:noProof/>
            <w:webHidden/>
          </w:rPr>
          <w:tab/>
        </w:r>
        <w:r w:rsidR="001C71EE">
          <w:rPr>
            <w:noProof/>
            <w:webHidden/>
          </w:rPr>
          <w:fldChar w:fldCharType="begin"/>
        </w:r>
        <w:r w:rsidR="001C71EE">
          <w:rPr>
            <w:noProof/>
            <w:webHidden/>
          </w:rPr>
          <w:instrText xml:space="preserve"> PAGEREF _Toc535827538 \h </w:instrText>
        </w:r>
        <w:r w:rsidR="001C71EE">
          <w:rPr>
            <w:noProof/>
            <w:webHidden/>
          </w:rPr>
        </w:r>
        <w:r w:rsidR="001C71EE">
          <w:rPr>
            <w:noProof/>
            <w:webHidden/>
          </w:rPr>
          <w:fldChar w:fldCharType="separate"/>
        </w:r>
        <w:r w:rsidR="001C71EE">
          <w:rPr>
            <w:noProof/>
            <w:webHidden/>
          </w:rPr>
          <w:t>123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39" w:history="1">
        <w:r w:rsidR="001C71EE" w:rsidRPr="00193DF2">
          <w:rPr>
            <w:rStyle w:val="Hyperlink"/>
            <w:noProof/>
          </w:rPr>
          <w:t>Член 10.21 Електромагнитна съвместимост</w:t>
        </w:r>
        <w:r w:rsidR="001C71EE">
          <w:rPr>
            <w:noProof/>
            <w:webHidden/>
          </w:rPr>
          <w:tab/>
        </w:r>
        <w:r w:rsidR="001C71EE">
          <w:rPr>
            <w:noProof/>
            <w:webHidden/>
          </w:rPr>
          <w:fldChar w:fldCharType="begin"/>
        </w:r>
        <w:r w:rsidR="001C71EE">
          <w:rPr>
            <w:noProof/>
            <w:webHidden/>
          </w:rPr>
          <w:instrText xml:space="preserve"> PAGEREF _Toc535827539 \h </w:instrText>
        </w:r>
        <w:r w:rsidR="001C71EE">
          <w:rPr>
            <w:noProof/>
            <w:webHidden/>
          </w:rPr>
        </w:r>
        <w:r w:rsidR="001C71EE">
          <w:rPr>
            <w:noProof/>
            <w:webHidden/>
          </w:rPr>
          <w:fldChar w:fldCharType="separate"/>
        </w:r>
        <w:r w:rsidR="001C71EE">
          <w:rPr>
            <w:noProof/>
            <w:webHidden/>
          </w:rPr>
          <w:t>126</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540" w:history="1">
        <w:r w:rsidR="001C71EE" w:rsidRPr="00193DF2">
          <w:rPr>
            <w:rStyle w:val="Hyperlink"/>
            <w:noProof/>
          </w:rPr>
          <w:t>Глава 11 Електрически задвижващи системи</w:t>
        </w:r>
        <w:r w:rsidR="001C71EE">
          <w:rPr>
            <w:noProof/>
            <w:webHidden/>
          </w:rPr>
          <w:tab/>
        </w:r>
        <w:r w:rsidR="001C71EE">
          <w:rPr>
            <w:noProof/>
            <w:webHidden/>
          </w:rPr>
          <w:fldChar w:fldCharType="begin"/>
        </w:r>
        <w:r w:rsidR="001C71EE">
          <w:rPr>
            <w:noProof/>
            <w:webHidden/>
          </w:rPr>
          <w:instrText xml:space="preserve"> PAGEREF _Toc535827540 \h </w:instrText>
        </w:r>
        <w:r w:rsidR="001C71EE">
          <w:rPr>
            <w:noProof/>
            <w:webHidden/>
          </w:rPr>
        </w:r>
        <w:r w:rsidR="001C71EE">
          <w:rPr>
            <w:noProof/>
            <w:webHidden/>
          </w:rPr>
          <w:fldChar w:fldCharType="separate"/>
        </w:r>
        <w:r w:rsidR="001C71EE">
          <w:rPr>
            <w:noProof/>
            <w:webHidden/>
          </w:rPr>
          <w:t>128</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541" w:history="1">
        <w:r w:rsidR="001C71EE" w:rsidRPr="00193DF2">
          <w:rPr>
            <w:rStyle w:val="Hyperlink"/>
            <w:noProof/>
          </w:rPr>
          <w:t>Глава 12 Електронно оборудване и системи</w:t>
        </w:r>
        <w:r w:rsidR="001C71EE">
          <w:rPr>
            <w:noProof/>
            <w:webHidden/>
          </w:rPr>
          <w:tab/>
        </w:r>
        <w:r w:rsidR="001C71EE">
          <w:rPr>
            <w:noProof/>
            <w:webHidden/>
          </w:rPr>
          <w:fldChar w:fldCharType="begin"/>
        </w:r>
        <w:r w:rsidR="001C71EE">
          <w:rPr>
            <w:noProof/>
            <w:webHidden/>
          </w:rPr>
          <w:instrText xml:space="preserve"> PAGEREF _Toc535827541 \h </w:instrText>
        </w:r>
        <w:r w:rsidR="001C71EE">
          <w:rPr>
            <w:noProof/>
            <w:webHidden/>
          </w:rPr>
        </w:r>
        <w:r w:rsidR="001C71EE">
          <w:rPr>
            <w:noProof/>
            <w:webHidden/>
          </w:rPr>
          <w:fldChar w:fldCharType="separate"/>
        </w:r>
        <w:r w:rsidR="001C71EE">
          <w:rPr>
            <w:noProof/>
            <w:webHidden/>
          </w:rPr>
          <w:t>130</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542" w:history="1">
        <w:r w:rsidR="001C71EE" w:rsidRPr="00193DF2">
          <w:rPr>
            <w:rStyle w:val="Hyperlink"/>
            <w:noProof/>
          </w:rPr>
          <w:t>Глава 13 Оборудване</w:t>
        </w:r>
        <w:r w:rsidR="001C71EE">
          <w:rPr>
            <w:noProof/>
            <w:webHidden/>
          </w:rPr>
          <w:tab/>
        </w:r>
        <w:r w:rsidR="001C71EE">
          <w:rPr>
            <w:noProof/>
            <w:webHidden/>
          </w:rPr>
          <w:fldChar w:fldCharType="begin"/>
        </w:r>
        <w:r w:rsidR="001C71EE">
          <w:rPr>
            <w:noProof/>
            <w:webHidden/>
          </w:rPr>
          <w:instrText xml:space="preserve"> PAGEREF _Toc535827542 \h </w:instrText>
        </w:r>
        <w:r w:rsidR="001C71EE">
          <w:rPr>
            <w:noProof/>
            <w:webHidden/>
          </w:rPr>
        </w:r>
        <w:r w:rsidR="001C71EE">
          <w:rPr>
            <w:noProof/>
            <w:webHidden/>
          </w:rPr>
          <w:fldChar w:fldCharType="separate"/>
        </w:r>
        <w:r w:rsidR="001C71EE">
          <w:rPr>
            <w:noProof/>
            <w:webHidden/>
          </w:rPr>
          <w:t>132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43" w:history="1">
        <w:r w:rsidR="001C71EE" w:rsidRPr="00193DF2">
          <w:rPr>
            <w:rStyle w:val="Hyperlink"/>
            <w:noProof/>
          </w:rPr>
          <w:t>Член 13.01 Котвено оборудване</w:t>
        </w:r>
        <w:r w:rsidR="001C71EE">
          <w:rPr>
            <w:noProof/>
            <w:webHidden/>
          </w:rPr>
          <w:tab/>
        </w:r>
        <w:r w:rsidR="001C71EE">
          <w:rPr>
            <w:noProof/>
            <w:webHidden/>
          </w:rPr>
          <w:fldChar w:fldCharType="begin"/>
        </w:r>
        <w:r w:rsidR="001C71EE">
          <w:rPr>
            <w:noProof/>
            <w:webHidden/>
          </w:rPr>
          <w:instrText xml:space="preserve"> PAGEREF _Toc535827543 \h </w:instrText>
        </w:r>
        <w:r w:rsidR="001C71EE">
          <w:rPr>
            <w:noProof/>
            <w:webHidden/>
          </w:rPr>
        </w:r>
        <w:r w:rsidR="001C71EE">
          <w:rPr>
            <w:noProof/>
            <w:webHidden/>
          </w:rPr>
          <w:fldChar w:fldCharType="separate"/>
        </w:r>
        <w:r w:rsidR="001C71EE">
          <w:rPr>
            <w:noProof/>
            <w:webHidden/>
          </w:rPr>
          <w:t>132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44" w:history="1">
        <w:r w:rsidR="001C71EE" w:rsidRPr="00193DF2">
          <w:rPr>
            <w:rStyle w:val="Hyperlink"/>
            <w:noProof/>
          </w:rPr>
          <w:t>Член 13.02 Друго оборудване</w:t>
        </w:r>
        <w:r w:rsidR="001C71EE">
          <w:rPr>
            <w:noProof/>
            <w:webHidden/>
          </w:rPr>
          <w:tab/>
        </w:r>
        <w:r w:rsidR="001C71EE">
          <w:rPr>
            <w:noProof/>
            <w:webHidden/>
          </w:rPr>
          <w:fldChar w:fldCharType="begin"/>
        </w:r>
        <w:r w:rsidR="001C71EE">
          <w:rPr>
            <w:noProof/>
            <w:webHidden/>
          </w:rPr>
          <w:instrText xml:space="preserve"> PAGEREF _Toc535827544 \h </w:instrText>
        </w:r>
        <w:r w:rsidR="001C71EE">
          <w:rPr>
            <w:noProof/>
            <w:webHidden/>
          </w:rPr>
        </w:r>
        <w:r w:rsidR="001C71EE">
          <w:rPr>
            <w:noProof/>
            <w:webHidden/>
          </w:rPr>
          <w:fldChar w:fldCharType="separate"/>
        </w:r>
        <w:r w:rsidR="001C71EE">
          <w:rPr>
            <w:noProof/>
            <w:webHidden/>
          </w:rPr>
          <w:t>137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45" w:history="1">
        <w:r w:rsidR="001C71EE" w:rsidRPr="00193DF2">
          <w:rPr>
            <w:rStyle w:val="Hyperlink"/>
            <w:noProof/>
          </w:rPr>
          <w:t>Член 13.03 Преносими пожарогасители</w:t>
        </w:r>
        <w:r w:rsidR="001C71EE">
          <w:rPr>
            <w:noProof/>
            <w:webHidden/>
          </w:rPr>
          <w:tab/>
        </w:r>
        <w:r w:rsidR="001C71EE">
          <w:rPr>
            <w:noProof/>
            <w:webHidden/>
          </w:rPr>
          <w:fldChar w:fldCharType="begin"/>
        </w:r>
        <w:r w:rsidR="001C71EE">
          <w:rPr>
            <w:noProof/>
            <w:webHidden/>
          </w:rPr>
          <w:instrText xml:space="preserve"> PAGEREF _Toc535827545 \h </w:instrText>
        </w:r>
        <w:r w:rsidR="001C71EE">
          <w:rPr>
            <w:noProof/>
            <w:webHidden/>
          </w:rPr>
        </w:r>
        <w:r w:rsidR="001C71EE">
          <w:rPr>
            <w:noProof/>
            <w:webHidden/>
          </w:rPr>
          <w:fldChar w:fldCharType="separate"/>
        </w:r>
        <w:r w:rsidR="001C71EE">
          <w:rPr>
            <w:noProof/>
            <w:webHidden/>
          </w:rPr>
          <w:t>140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46" w:history="1">
        <w:r w:rsidR="001C71EE" w:rsidRPr="00193DF2">
          <w:rPr>
            <w:rStyle w:val="Hyperlink"/>
            <w:noProof/>
          </w:rPr>
          <w:t>Член 13.04 Постоянно монтирани противопожарни системи за защита на жилищни помещения, рулеви рубки и помещения за пътници</w:t>
        </w:r>
        <w:r w:rsidR="001C71EE">
          <w:rPr>
            <w:noProof/>
            <w:webHidden/>
          </w:rPr>
          <w:tab/>
        </w:r>
        <w:r w:rsidR="001C71EE">
          <w:rPr>
            <w:noProof/>
            <w:webHidden/>
          </w:rPr>
          <w:fldChar w:fldCharType="begin"/>
        </w:r>
        <w:r w:rsidR="001C71EE">
          <w:rPr>
            <w:noProof/>
            <w:webHidden/>
          </w:rPr>
          <w:instrText xml:space="preserve"> PAGEREF _Toc535827546 \h </w:instrText>
        </w:r>
        <w:r w:rsidR="001C71EE">
          <w:rPr>
            <w:noProof/>
            <w:webHidden/>
          </w:rPr>
        </w:r>
        <w:r w:rsidR="001C71EE">
          <w:rPr>
            <w:noProof/>
            <w:webHidden/>
          </w:rPr>
          <w:fldChar w:fldCharType="separate"/>
        </w:r>
        <w:r w:rsidR="001C71EE">
          <w:rPr>
            <w:noProof/>
            <w:webHidden/>
          </w:rPr>
          <w:t>142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47" w:history="1">
        <w:r w:rsidR="001C71EE" w:rsidRPr="00193DF2">
          <w:rPr>
            <w:rStyle w:val="Hyperlink"/>
            <w:noProof/>
          </w:rPr>
          <w:t>Член 13.05 Постоянно монтирани противопожарни системи за защита на машинните, котелните и помпените отделения</w:t>
        </w:r>
        <w:r w:rsidR="001C71EE">
          <w:rPr>
            <w:noProof/>
            <w:webHidden/>
          </w:rPr>
          <w:tab/>
        </w:r>
        <w:r w:rsidR="001C71EE">
          <w:rPr>
            <w:noProof/>
            <w:webHidden/>
          </w:rPr>
          <w:fldChar w:fldCharType="begin"/>
        </w:r>
        <w:r w:rsidR="001C71EE">
          <w:rPr>
            <w:noProof/>
            <w:webHidden/>
          </w:rPr>
          <w:instrText xml:space="preserve"> PAGEREF _Toc535827547 \h </w:instrText>
        </w:r>
        <w:r w:rsidR="001C71EE">
          <w:rPr>
            <w:noProof/>
            <w:webHidden/>
          </w:rPr>
        </w:r>
        <w:r w:rsidR="001C71EE">
          <w:rPr>
            <w:noProof/>
            <w:webHidden/>
          </w:rPr>
          <w:fldChar w:fldCharType="separate"/>
        </w:r>
        <w:r w:rsidR="001C71EE">
          <w:rPr>
            <w:noProof/>
            <w:webHidden/>
          </w:rPr>
          <w:t>144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48" w:history="1">
        <w:r w:rsidR="001C71EE" w:rsidRPr="00193DF2">
          <w:rPr>
            <w:rStyle w:val="Hyperlink"/>
            <w:noProof/>
          </w:rPr>
          <w:t>Член 13.06 Постоянно монтирани противопожарни системи за защита на предмети</w:t>
        </w:r>
        <w:r w:rsidR="001C71EE">
          <w:rPr>
            <w:noProof/>
            <w:webHidden/>
          </w:rPr>
          <w:tab/>
        </w:r>
        <w:r w:rsidR="001C71EE">
          <w:rPr>
            <w:noProof/>
            <w:webHidden/>
          </w:rPr>
          <w:fldChar w:fldCharType="begin"/>
        </w:r>
        <w:r w:rsidR="001C71EE">
          <w:rPr>
            <w:noProof/>
            <w:webHidden/>
          </w:rPr>
          <w:instrText xml:space="preserve"> PAGEREF _Toc535827548 \h </w:instrText>
        </w:r>
        <w:r w:rsidR="001C71EE">
          <w:rPr>
            <w:noProof/>
            <w:webHidden/>
          </w:rPr>
        </w:r>
        <w:r w:rsidR="001C71EE">
          <w:rPr>
            <w:noProof/>
            <w:webHidden/>
          </w:rPr>
          <w:fldChar w:fldCharType="separate"/>
        </w:r>
        <w:r w:rsidR="001C71EE">
          <w:rPr>
            <w:noProof/>
            <w:webHidden/>
          </w:rPr>
          <w:t>157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49" w:history="1">
        <w:r w:rsidR="001C71EE" w:rsidRPr="00193DF2">
          <w:rPr>
            <w:rStyle w:val="Hyperlink"/>
            <w:noProof/>
          </w:rPr>
          <w:t>Член 13.07 Корабни лодки</w:t>
        </w:r>
        <w:r w:rsidR="001C71EE">
          <w:rPr>
            <w:noProof/>
            <w:webHidden/>
          </w:rPr>
          <w:tab/>
        </w:r>
        <w:r w:rsidR="001C71EE">
          <w:rPr>
            <w:noProof/>
            <w:webHidden/>
          </w:rPr>
          <w:fldChar w:fldCharType="begin"/>
        </w:r>
        <w:r w:rsidR="001C71EE">
          <w:rPr>
            <w:noProof/>
            <w:webHidden/>
          </w:rPr>
          <w:instrText xml:space="preserve"> PAGEREF _Toc535827549 \h </w:instrText>
        </w:r>
        <w:r w:rsidR="001C71EE">
          <w:rPr>
            <w:noProof/>
            <w:webHidden/>
          </w:rPr>
        </w:r>
        <w:r w:rsidR="001C71EE">
          <w:rPr>
            <w:noProof/>
            <w:webHidden/>
          </w:rPr>
          <w:fldChar w:fldCharType="separate"/>
        </w:r>
        <w:r w:rsidR="001C71EE">
          <w:rPr>
            <w:noProof/>
            <w:webHidden/>
          </w:rPr>
          <w:t>158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50" w:history="1">
        <w:r w:rsidR="001C71EE" w:rsidRPr="00193DF2">
          <w:rPr>
            <w:rStyle w:val="Hyperlink"/>
            <w:noProof/>
          </w:rPr>
          <w:t>Член 13.08 Спасителни кръгове и спасителни жилетки</w:t>
        </w:r>
        <w:r w:rsidR="001C71EE">
          <w:rPr>
            <w:noProof/>
            <w:webHidden/>
          </w:rPr>
          <w:tab/>
        </w:r>
        <w:r w:rsidR="001C71EE">
          <w:rPr>
            <w:noProof/>
            <w:webHidden/>
          </w:rPr>
          <w:fldChar w:fldCharType="begin"/>
        </w:r>
        <w:r w:rsidR="001C71EE">
          <w:rPr>
            <w:noProof/>
            <w:webHidden/>
          </w:rPr>
          <w:instrText xml:space="preserve"> PAGEREF _Toc535827550 \h </w:instrText>
        </w:r>
        <w:r w:rsidR="001C71EE">
          <w:rPr>
            <w:noProof/>
            <w:webHidden/>
          </w:rPr>
        </w:r>
        <w:r w:rsidR="001C71EE">
          <w:rPr>
            <w:noProof/>
            <w:webHidden/>
          </w:rPr>
          <w:fldChar w:fldCharType="separate"/>
        </w:r>
        <w:r w:rsidR="001C71EE">
          <w:rPr>
            <w:noProof/>
            <w:webHidden/>
          </w:rPr>
          <w:t>158</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551" w:history="1">
        <w:r w:rsidR="001C71EE" w:rsidRPr="00193DF2">
          <w:rPr>
            <w:rStyle w:val="Hyperlink"/>
            <w:noProof/>
          </w:rPr>
          <w:t>Глава 14 Безопасност на работното място</w:t>
        </w:r>
        <w:r w:rsidR="001C71EE">
          <w:rPr>
            <w:noProof/>
            <w:webHidden/>
          </w:rPr>
          <w:tab/>
        </w:r>
        <w:r w:rsidR="001C71EE">
          <w:rPr>
            <w:noProof/>
            <w:webHidden/>
          </w:rPr>
          <w:fldChar w:fldCharType="begin"/>
        </w:r>
        <w:r w:rsidR="001C71EE">
          <w:rPr>
            <w:noProof/>
            <w:webHidden/>
          </w:rPr>
          <w:instrText xml:space="preserve"> PAGEREF _Toc535827551 \h </w:instrText>
        </w:r>
        <w:r w:rsidR="001C71EE">
          <w:rPr>
            <w:noProof/>
            <w:webHidden/>
          </w:rPr>
        </w:r>
        <w:r w:rsidR="001C71EE">
          <w:rPr>
            <w:noProof/>
            <w:webHidden/>
          </w:rPr>
          <w:fldChar w:fldCharType="separate"/>
        </w:r>
        <w:r w:rsidR="001C71EE">
          <w:rPr>
            <w:noProof/>
            <w:webHidden/>
          </w:rPr>
          <w:t>160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52" w:history="1">
        <w:r w:rsidR="001C71EE" w:rsidRPr="00193DF2">
          <w:rPr>
            <w:rStyle w:val="Hyperlink"/>
            <w:noProof/>
          </w:rPr>
          <w:t>Член 14.01 Общи положения</w:t>
        </w:r>
        <w:r w:rsidR="001C71EE">
          <w:rPr>
            <w:noProof/>
            <w:webHidden/>
          </w:rPr>
          <w:tab/>
        </w:r>
        <w:r w:rsidR="001C71EE">
          <w:rPr>
            <w:noProof/>
            <w:webHidden/>
          </w:rPr>
          <w:fldChar w:fldCharType="begin"/>
        </w:r>
        <w:r w:rsidR="001C71EE">
          <w:rPr>
            <w:noProof/>
            <w:webHidden/>
          </w:rPr>
          <w:instrText xml:space="preserve"> PAGEREF _Toc535827552 \h </w:instrText>
        </w:r>
        <w:r w:rsidR="001C71EE">
          <w:rPr>
            <w:noProof/>
            <w:webHidden/>
          </w:rPr>
        </w:r>
        <w:r w:rsidR="001C71EE">
          <w:rPr>
            <w:noProof/>
            <w:webHidden/>
          </w:rPr>
          <w:fldChar w:fldCharType="separate"/>
        </w:r>
        <w:r w:rsidR="001C71EE">
          <w:rPr>
            <w:noProof/>
            <w:webHidden/>
          </w:rPr>
          <w:t>160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53" w:history="1">
        <w:r w:rsidR="001C71EE" w:rsidRPr="00193DF2">
          <w:rPr>
            <w:rStyle w:val="Hyperlink"/>
            <w:noProof/>
          </w:rPr>
          <w:t>Член 14.02 Защита срещу падане</w:t>
        </w:r>
        <w:r w:rsidR="001C71EE">
          <w:rPr>
            <w:noProof/>
            <w:webHidden/>
          </w:rPr>
          <w:tab/>
        </w:r>
        <w:r w:rsidR="001C71EE">
          <w:rPr>
            <w:noProof/>
            <w:webHidden/>
          </w:rPr>
          <w:fldChar w:fldCharType="begin"/>
        </w:r>
        <w:r w:rsidR="001C71EE">
          <w:rPr>
            <w:noProof/>
            <w:webHidden/>
          </w:rPr>
          <w:instrText xml:space="preserve"> PAGEREF _Toc535827553 \h </w:instrText>
        </w:r>
        <w:r w:rsidR="001C71EE">
          <w:rPr>
            <w:noProof/>
            <w:webHidden/>
          </w:rPr>
        </w:r>
        <w:r w:rsidR="001C71EE">
          <w:rPr>
            <w:noProof/>
            <w:webHidden/>
          </w:rPr>
          <w:fldChar w:fldCharType="separate"/>
        </w:r>
        <w:r w:rsidR="001C71EE">
          <w:rPr>
            <w:noProof/>
            <w:webHidden/>
          </w:rPr>
          <w:t>160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54" w:history="1">
        <w:r w:rsidR="001C71EE" w:rsidRPr="00193DF2">
          <w:rPr>
            <w:rStyle w:val="Hyperlink"/>
            <w:noProof/>
          </w:rPr>
          <w:t>Член 14.03 Размери на работното място</w:t>
        </w:r>
        <w:r w:rsidR="001C71EE">
          <w:rPr>
            <w:noProof/>
            <w:webHidden/>
          </w:rPr>
          <w:tab/>
        </w:r>
        <w:r w:rsidR="001C71EE">
          <w:rPr>
            <w:noProof/>
            <w:webHidden/>
          </w:rPr>
          <w:fldChar w:fldCharType="begin"/>
        </w:r>
        <w:r w:rsidR="001C71EE">
          <w:rPr>
            <w:noProof/>
            <w:webHidden/>
          </w:rPr>
          <w:instrText xml:space="preserve"> PAGEREF _Toc535827554 \h </w:instrText>
        </w:r>
        <w:r w:rsidR="001C71EE">
          <w:rPr>
            <w:noProof/>
            <w:webHidden/>
          </w:rPr>
        </w:r>
        <w:r w:rsidR="001C71EE">
          <w:rPr>
            <w:noProof/>
            <w:webHidden/>
          </w:rPr>
          <w:fldChar w:fldCharType="separate"/>
        </w:r>
        <w:r w:rsidR="001C71EE">
          <w:rPr>
            <w:noProof/>
            <w:webHidden/>
          </w:rPr>
          <w:t>162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55" w:history="1">
        <w:r w:rsidR="001C71EE" w:rsidRPr="00193DF2">
          <w:rPr>
            <w:rStyle w:val="Hyperlink"/>
            <w:noProof/>
          </w:rPr>
          <w:t>Член 14.04 Палубни проходи</w:t>
        </w:r>
        <w:r w:rsidR="001C71EE">
          <w:rPr>
            <w:noProof/>
            <w:webHidden/>
          </w:rPr>
          <w:tab/>
        </w:r>
        <w:r w:rsidR="001C71EE">
          <w:rPr>
            <w:noProof/>
            <w:webHidden/>
          </w:rPr>
          <w:fldChar w:fldCharType="begin"/>
        </w:r>
        <w:r w:rsidR="001C71EE">
          <w:rPr>
            <w:noProof/>
            <w:webHidden/>
          </w:rPr>
          <w:instrText xml:space="preserve"> PAGEREF _Toc535827555 \h </w:instrText>
        </w:r>
        <w:r w:rsidR="001C71EE">
          <w:rPr>
            <w:noProof/>
            <w:webHidden/>
          </w:rPr>
        </w:r>
        <w:r w:rsidR="001C71EE">
          <w:rPr>
            <w:noProof/>
            <w:webHidden/>
          </w:rPr>
          <w:fldChar w:fldCharType="separate"/>
        </w:r>
        <w:r w:rsidR="001C71EE">
          <w:rPr>
            <w:noProof/>
            <w:webHidden/>
          </w:rPr>
          <w:t>162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56" w:history="1">
        <w:r w:rsidR="001C71EE" w:rsidRPr="00193DF2">
          <w:rPr>
            <w:rStyle w:val="Hyperlink"/>
            <w:noProof/>
          </w:rPr>
          <w:t>Член 14.05 Достъп до работните места</w:t>
        </w:r>
        <w:r w:rsidR="001C71EE">
          <w:rPr>
            <w:noProof/>
            <w:webHidden/>
          </w:rPr>
          <w:tab/>
        </w:r>
        <w:r w:rsidR="001C71EE">
          <w:rPr>
            <w:noProof/>
            <w:webHidden/>
          </w:rPr>
          <w:fldChar w:fldCharType="begin"/>
        </w:r>
        <w:r w:rsidR="001C71EE">
          <w:rPr>
            <w:noProof/>
            <w:webHidden/>
          </w:rPr>
          <w:instrText xml:space="preserve"> PAGEREF _Toc535827556 \h </w:instrText>
        </w:r>
        <w:r w:rsidR="001C71EE">
          <w:rPr>
            <w:noProof/>
            <w:webHidden/>
          </w:rPr>
        </w:r>
        <w:r w:rsidR="001C71EE">
          <w:rPr>
            <w:noProof/>
            <w:webHidden/>
          </w:rPr>
          <w:fldChar w:fldCharType="separate"/>
        </w:r>
        <w:r w:rsidR="001C71EE">
          <w:rPr>
            <w:noProof/>
            <w:webHidden/>
          </w:rPr>
          <w:t>162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57" w:history="1">
        <w:r w:rsidR="001C71EE" w:rsidRPr="00193DF2">
          <w:rPr>
            <w:rStyle w:val="Hyperlink"/>
            <w:noProof/>
          </w:rPr>
          <w:t>Член 14.06 Изходи и аварийни изходи</w:t>
        </w:r>
        <w:r w:rsidR="001C71EE">
          <w:rPr>
            <w:noProof/>
            <w:webHidden/>
          </w:rPr>
          <w:tab/>
        </w:r>
        <w:r w:rsidR="001C71EE">
          <w:rPr>
            <w:noProof/>
            <w:webHidden/>
          </w:rPr>
          <w:fldChar w:fldCharType="begin"/>
        </w:r>
        <w:r w:rsidR="001C71EE">
          <w:rPr>
            <w:noProof/>
            <w:webHidden/>
          </w:rPr>
          <w:instrText xml:space="preserve"> PAGEREF _Toc535827557 \h </w:instrText>
        </w:r>
        <w:r w:rsidR="001C71EE">
          <w:rPr>
            <w:noProof/>
            <w:webHidden/>
          </w:rPr>
        </w:r>
        <w:r w:rsidR="001C71EE">
          <w:rPr>
            <w:noProof/>
            <w:webHidden/>
          </w:rPr>
          <w:fldChar w:fldCharType="separate"/>
        </w:r>
        <w:r w:rsidR="001C71EE">
          <w:rPr>
            <w:noProof/>
            <w:webHidden/>
          </w:rPr>
          <w:t>164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58" w:history="1">
        <w:r w:rsidR="001C71EE" w:rsidRPr="00193DF2">
          <w:rPr>
            <w:rStyle w:val="Hyperlink"/>
            <w:noProof/>
          </w:rPr>
          <w:t>Член 14.07 Подвижни стълби, стъпала и подобни приспособления</w:t>
        </w:r>
        <w:r w:rsidR="001C71EE">
          <w:rPr>
            <w:noProof/>
            <w:webHidden/>
          </w:rPr>
          <w:tab/>
        </w:r>
        <w:r w:rsidR="001C71EE">
          <w:rPr>
            <w:noProof/>
            <w:webHidden/>
          </w:rPr>
          <w:fldChar w:fldCharType="begin"/>
        </w:r>
        <w:r w:rsidR="001C71EE">
          <w:rPr>
            <w:noProof/>
            <w:webHidden/>
          </w:rPr>
          <w:instrText xml:space="preserve"> PAGEREF _Toc535827558 \h </w:instrText>
        </w:r>
        <w:r w:rsidR="001C71EE">
          <w:rPr>
            <w:noProof/>
            <w:webHidden/>
          </w:rPr>
        </w:r>
        <w:r w:rsidR="001C71EE">
          <w:rPr>
            <w:noProof/>
            <w:webHidden/>
          </w:rPr>
          <w:fldChar w:fldCharType="separate"/>
        </w:r>
        <w:r w:rsidR="001C71EE">
          <w:rPr>
            <w:noProof/>
            <w:webHidden/>
          </w:rPr>
          <w:t>164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59" w:history="1">
        <w:r w:rsidR="001C71EE" w:rsidRPr="00193DF2">
          <w:rPr>
            <w:rStyle w:val="Hyperlink"/>
            <w:noProof/>
          </w:rPr>
          <w:t>Член 14.08 Вътрешни помещения</w:t>
        </w:r>
        <w:r w:rsidR="001C71EE">
          <w:rPr>
            <w:noProof/>
            <w:webHidden/>
          </w:rPr>
          <w:tab/>
        </w:r>
        <w:r w:rsidR="001C71EE">
          <w:rPr>
            <w:noProof/>
            <w:webHidden/>
          </w:rPr>
          <w:fldChar w:fldCharType="begin"/>
        </w:r>
        <w:r w:rsidR="001C71EE">
          <w:rPr>
            <w:noProof/>
            <w:webHidden/>
          </w:rPr>
          <w:instrText xml:space="preserve"> PAGEREF _Toc535827559 \h </w:instrText>
        </w:r>
        <w:r w:rsidR="001C71EE">
          <w:rPr>
            <w:noProof/>
            <w:webHidden/>
          </w:rPr>
        </w:r>
        <w:r w:rsidR="001C71EE">
          <w:rPr>
            <w:noProof/>
            <w:webHidden/>
          </w:rPr>
          <w:fldChar w:fldCharType="separate"/>
        </w:r>
        <w:r w:rsidR="001C71EE">
          <w:rPr>
            <w:noProof/>
            <w:webHidden/>
          </w:rPr>
          <w:t>165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60" w:history="1">
        <w:r w:rsidR="001C71EE" w:rsidRPr="00193DF2">
          <w:rPr>
            <w:rStyle w:val="Hyperlink"/>
            <w:noProof/>
          </w:rPr>
          <w:t>Член 14.09 Защита против шум и вибрации</w:t>
        </w:r>
        <w:r w:rsidR="001C71EE">
          <w:rPr>
            <w:noProof/>
            <w:webHidden/>
          </w:rPr>
          <w:tab/>
        </w:r>
        <w:r w:rsidR="001C71EE">
          <w:rPr>
            <w:noProof/>
            <w:webHidden/>
          </w:rPr>
          <w:fldChar w:fldCharType="begin"/>
        </w:r>
        <w:r w:rsidR="001C71EE">
          <w:rPr>
            <w:noProof/>
            <w:webHidden/>
          </w:rPr>
          <w:instrText xml:space="preserve"> PAGEREF _Toc535827560 \h </w:instrText>
        </w:r>
        <w:r w:rsidR="001C71EE">
          <w:rPr>
            <w:noProof/>
            <w:webHidden/>
          </w:rPr>
        </w:r>
        <w:r w:rsidR="001C71EE">
          <w:rPr>
            <w:noProof/>
            <w:webHidden/>
          </w:rPr>
          <w:fldChar w:fldCharType="separate"/>
        </w:r>
        <w:r w:rsidR="001C71EE">
          <w:rPr>
            <w:noProof/>
            <w:webHidden/>
          </w:rPr>
          <w:t>166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61" w:history="1">
        <w:r w:rsidR="001C71EE" w:rsidRPr="00193DF2">
          <w:rPr>
            <w:rStyle w:val="Hyperlink"/>
            <w:noProof/>
          </w:rPr>
          <w:t>Член 14.10 Капаци на люковете</w:t>
        </w:r>
        <w:r w:rsidR="001C71EE">
          <w:rPr>
            <w:noProof/>
            <w:webHidden/>
          </w:rPr>
          <w:tab/>
        </w:r>
        <w:r w:rsidR="001C71EE">
          <w:rPr>
            <w:noProof/>
            <w:webHidden/>
          </w:rPr>
          <w:fldChar w:fldCharType="begin"/>
        </w:r>
        <w:r w:rsidR="001C71EE">
          <w:rPr>
            <w:noProof/>
            <w:webHidden/>
          </w:rPr>
          <w:instrText xml:space="preserve"> PAGEREF _Toc535827561 \h </w:instrText>
        </w:r>
        <w:r w:rsidR="001C71EE">
          <w:rPr>
            <w:noProof/>
            <w:webHidden/>
          </w:rPr>
        </w:r>
        <w:r w:rsidR="001C71EE">
          <w:rPr>
            <w:noProof/>
            <w:webHidden/>
          </w:rPr>
          <w:fldChar w:fldCharType="separate"/>
        </w:r>
        <w:r w:rsidR="001C71EE">
          <w:rPr>
            <w:noProof/>
            <w:webHidden/>
          </w:rPr>
          <w:t>166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62" w:history="1">
        <w:r w:rsidR="001C71EE" w:rsidRPr="00193DF2">
          <w:rPr>
            <w:rStyle w:val="Hyperlink"/>
            <w:noProof/>
          </w:rPr>
          <w:t>Член 14.11 Лебедки</w:t>
        </w:r>
        <w:r w:rsidR="001C71EE">
          <w:rPr>
            <w:noProof/>
            <w:webHidden/>
          </w:rPr>
          <w:tab/>
        </w:r>
        <w:r w:rsidR="001C71EE">
          <w:rPr>
            <w:noProof/>
            <w:webHidden/>
          </w:rPr>
          <w:fldChar w:fldCharType="begin"/>
        </w:r>
        <w:r w:rsidR="001C71EE">
          <w:rPr>
            <w:noProof/>
            <w:webHidden/>
          </w:rPr>
          <w:instrText xml:space="preserve"> PAGEREF _Toc535827562 \h </w:instrText>
        </w:r>
        <w:r w:rsidR="001C71EE">
          <w:rPr>
            <w:noProof/>
            <w:webHidden/>
          </w:rPr>
        </w:r>
        <w:r w:rsidR="001C71EE">
          <w:rPr>
            <w:noProof/>
            <w:webHidden/>
          </w:rPr>
          <w:fldChar w:fldCharType="separate"/>
        </w:r>
        <w:r w:rsidR="001C71EE">
          <w:rPr>
            <w:noProof/>
            <w:webHidden/>
          </w:rPr>
          <w:t>168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63" w:history="1">
        <w:r w:rsidR="001C71EE" w:rsidRPr="00193DF2">
          <w:rPr>
            <w:rStyle w:val="Hyperlink"/>
            <w:noProof/>
          </w:rPr>
          <w:t>Член 14.12 Кранове</w:t>
        </w:r>
        <w:r w:rsidR="001C71EE">
          <w:rPr>
            <w:noProof/>
            <w:webHidden/>
          </w:rPr>
          <w:tab/>
        </w:r>
        <w:r w:rsidR="001C71EE">
          <w:rPr>
            <w:noProof/>
            <w:webHidden/>
          </w:rPr>
          <w:fldChar w:fldCharType="begin"/>
        </w:r>
        <w:r w:rsidR="001C71EE">
          <w:rPr>
            <w:noProof/>
            <w:webHidden/>
          </w:rPr>
          <w:instrText xml:space="preserve"> PAGEREF _Toc535827563 \h </w:instrText>
        </w:r>
        <w:r w:rsidR="001C71EE">
          <w:rPr>
            <w:noProof/>
            <w:webHidden/>
          </w:rPr>
        </w:r>
        <w:r w:rsidR="001C71EE">
          <w:rPr>
            <w:noProof/>
            <w:webHidden/>
          </w:rPr>
          <w:fldChar w:fldCharType="separate"/>
        </w:r>
        <w:r w:rsidR="001C71EE">
          <w:rPr>
            <w:noProof/>
            <w:webHidden/>
          </w:rPr>
          <w:t>168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64" w:history="1">
        <w:r w:rsidR="001C71EE" w:rsidRPr="00193DF2">
          <w:rPr>
            <w:rStyle w:val="Hyperlink"/>
            <w:noProof/>
          </w:rPr>
          <w:t>Член 14.13 Съхранение на запалими течности</w:t>
        </w:r>
        <w:r w:rsidR="001C71EE">
          <w:rPr>
            <w:noProof/>
            <w:webHidden/>
          </w:rPr>
          <w:tab/>
        </w:r>
        <w:r w:rsidR="001C71EE">
          <w:rPr>
            <w:noProof/>
            <w:webHidden/>
          </w:rPr>
          <w:fldChar w:fldCharType="begin"/>
        </w:r>
        <w:r w:rsidR="001C71EE">
          <w:rPr>
            <w:noProof/>
            <w:webHidden/>
          </w:rPr>
          <w:instrText xml:space="preserve"> PAGEREF _Toc535827564 \h </w:instrText>
        </w:r>
        <w:r w:rsidR="001C71EE">
          <w:rPr>
            <w:noProof/>
            <w:webHidden/>
          </w:rPr>
        </w:r>
        <w:r w:rsidR="001C71EE">
          <w:rPr>
            <w:noProof/>
            <w:webHidden/>
          </w:rPr>
          <w:fldChar w:fldCharType="separate"/>
        </w:r>
        <w:r w:rsidR="001C71EE">
          <w:rPr>
            <w:noProof/>
            <w:webHidden/>
          </w:rPr>
          <w:t>171</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565" w:history="1">
        <w:r w:rsidR="001C71EE" w:rsidRPr="00193DF2">
          <w:rPr>
            <w:rStyle w:val="Hyperlink"/>
            <w:noProof/>
          </w:rPr>
          <w:t>Глава 15 Жилищни помещения</w:t>
        </w:r>
        <w:r w:rsidR="001C71EE">
          <w:rPr>
            <w:noProof/>
            <w:webHidden/>
          </w:rPr>
          <w:tab/>
        </w:r>
        <w:r w:rsidR="001C71EE">
          <w:rPr>
            <w:noProof/>
            <w:webHidden/>
          </w:rPr>
          <w:fldChar w:fldCharType="begin"/>
        </w:r>
        <w:r w:rsidR="001C71EE">
          <w:rPr>
            <w:noProof/>
            <w:webHidden/>
          </w:rPr>
          <w:instrText xml:space="preserve"> PAGEREF _Toc535827565 \h </w:instrText>
        </w:r>
        <w:r w:rsidR="001C71EE">
          <w:rPr>
            <w:noProof/>
            <w:webHidden/>
          </w:rPr>
        </w:r>
        <w:r w:rsidR="001C71EE">
          <w:rPr>
            <w:noProof/>
            <w:webHidden/>
          </w:rPr>
          <w:fldChar w:fldCharType="separate"/>
        </w:r>
        <w:r w:rsidR="001C71EE">
          <w:rPr>
            <w:noProof/>
            <w:webHidden/>
          </w:rPr>
          <w:t>172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66" w:history="1">
        <w:r w:rsidR="001C71EE" w:rsidRPr="00193DF2">
          <w:rPr>
            <w:rStyle w:val="Hyperlink"/>
            <w:noProof/>
          </w:rPr>
          <w:t>Член 15.01 Общи положения</w:t>
        </w:r>
        <w:r w:rsidR="001C71EE">
          <w:rPr>
            <w:noProof/>
            <w:webHidden/>
          </w:rPr>
          <w:tab/>
        </w:r>
        <w:r w:rsidR="001C71EE">
          <w:rPr>
            <w:noProof/>
            <w:webHidden/>
          </w:rPr>
          <w:fldChar w:fldCharType="begin"/>
        </w:r>
        <w:r w:rsidR="001C71EE">
          <w:rPr>
            <w:noProof/>
            <w:webHidden/>
          </w:rPr>
          <w:instrText xml:space="preserve"> PAGEREF _Toc535827566 \h </w:instrText>
        </w:r>
        <w:r w:rsidR="001C71EE">
          <w:rPr>
            <w:noProof/>
            <w:webHidden/>
          </w:rPr>
        </w:r>
        <w:r w:rsidR="001C71EE">
          <w:rPr>
            <w:noProof/>
            <w:webHidden/>
          </w:rPr>
          <w:fldChar w:fldCharType="separate"/>
        </w:r>
        <w:r w:rsidR="001C71EE">
          <w:rPr>
            <w:noProof/>
            <w:webHidden/>
          </w:rPr>
          <w:t>172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67" w:history="1">
        <w:r w:rsidR="001C71EE" w:rsidRPr="00193DF2">
          <w:rPr>
            <w:rStyle w:val="Hyperlink"/>
            <w:noProof/>
          </w:rPr>
          <w:t>Член 15.02 Специални изисквания към проектирането на жилищни помещения</w:t>
        </w:r>
        <w:r w:rsidR="001C71EE">
          <w:rPr>
            <w:noProof/>
            <w:webHidden/>
          </w:rPr>
          <w:tab/>
        </w:r>
        <w:r w:rsidR="001C71EE">
          <w:rPr>
            <w:noProof/>
            <w:webHidden/>
          </w:rPr>
          <w:fldChar w:fldCharType="begin"/>
        </w:r>
        <w:r w:rsidR="001C71EE">
          <w:rPr>
            <w:noProof/>
            <w:webHidden/>
          </w:rPr>
          <w:instrText xml:space="preserve"> PAGEREF _Toc535827567 \h </w:instrText>
        </w:r>
        <w:r w:rsidR="001C71EE">
          <w:rPr>
            <w:noProof/>
            <w:webHidden/>
          </w:rPr>
        </w:r>
        <w:r w:rsidR="001C71EE">
          <w:rPr>
            <w:noProof/>
            <w:webHidden/>
          </w:rPr>
          <w:fldChar w:fldCharType="separate"/>
        </w:r>
        <w:r w:rsidR="001C71EE">
          <w:rPr>
            <w:noProof/>
            <w:webHidden/>
          </w:rPr>
          <w:t>172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68" w:history="1">
        <w:r w:rsidR="001C71EE" w:rsidRPr="00193DF2">
          <w:rPr>
            <w:rStyle w:val="Hyperlink"/>
            <w:noProof/>
          </w:rPr>
          <w:t>Член 15.03 Санитарни съоръжения</w:t>
        </w:r>
        <w:r w:rsidR="001C71EE">
          <w:rPr>
            <w:noProof/>
            <w:webHidden/>
          </w:rPr>
          <w:tab/>
        </w:r>
        <w:r w:rsidR="001C71EE">
          <w:rPr>
            <w:noProof/>
            <w:webHidden/>
          </w:rPr>
          <w:fldChar w:fldCharType="begin"/>
        </w:r>
        <w:r w:rsidR="001C71EE">
          <w:rPr>
            <w:noProof/>
            <w:webHidden/>
          </w:rPr>
          <w:instrText xml:space="preserve"> PAGEREF _Toc535827568 \h </w:instrText>
        </w:r>
        <w:r w:rsidR="001C71EE">
          <w:rPr>
            <w:noProof/>
            <w:webHidden/>
          </w:rPr>
        </w:r>
        <w:r w:rsidR="001C71EE">
          <w:rPr>
            <w:noProof/>
            <w:webHidden/>
          </w:rPr>
          <w:fldChar w:fldCharType="separate"/>
        </w:r>
        <w:r w:rsidR="001C71EE">
          <w:rPr>
            <w:noProof/>
            <w:webHidden/>
          </w:rPr>
          <w:t>175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69" w:history="1">
        <w:r w:rsidR="001C71EE" w:rsidRPr="00193DF2">
          <w:rPr>
            <w:rStyle w:val="Hyperlink"/>
            <w:noProof/>
          </w:rPr>
          <w:t>Член 15.04 Камбузи</w:t>
        </w:r>
        <w:r w:rsidR="001C71EE">
          <w:rPr>
            <w:noProof/>
            <w:webHidden/>
          </w:rPr>
          <w:tab/>
        </w:r>
        <w:r w:rsidR="001C71EE">
          <w:rPr>
            <w:noProof/>
            <w:webHidden/>
          </w:rPr>
          <w:fldChar w:fldCharType="begin"/>
        </w:r>
        <w:r w:rsidR="001C71EE">
          <w:rPr>
            <w:noProof/>
            <w:webHidden/>
          </w:rPr>
          <w:instrText xml:space="preserve"> PAGEREF _Toc535827569 \h </w:instrText>
        </w:r>
        <w:r w:rsidR="001C71EE">
          <w:rPr>
            <w:noProof/>
            <w:webHidden/>
          </w:rPr>
        </w:r>
        <w:r w:rsidR="001C71EE">
          <w:rPr>
            <w:noProof/>
            <w:webHidden/>
          </w:rPr>
          <w:fldChar w:fldCharType="separate"/>
        </w:r>
        <w:r w:rsidR="001C71EE">
          <w:rPr>
            <w:noProof/>
            <w:webHidden/>
          </w:rPr>
          <w:t>176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70" w:history="1">
        <w:r w:rsidR="001C71EE" w:rsidRPr="00193DF2">
          <w:rPr>
            <w:rStyle w:val="Hyperlink"/>
            <w:noProof/>
          </w:rPr>
          <w:t>Член 15.05 Инсталации за питейна вода</w:t>
        </w:r>
        <w:r w:rsidR="001C71EE">
          <w:rPr>
            <w:noProof/>
            <w:webHidden/>
          </w:rPr>
          <w:tab/>
        </w:r>
        <w:r w:rsidR="001C71EE">
          <w:rPr>
            <w:noProof/>
            <w:webHidden/>
          </w:rPr>
          <w:fldChar w:fldCharType="begin"/>
        </w:r>
        <w:r w:rsidR="001C71EE">
          <w:rPr>
            <w:noProof/>
            <w:webHidden/>
          </w:rPr>
          <w:instrText xml:space="preserve"> PAGEREF _Toc535827570 \h </w:instrText>
        </w:r>
        <w:r w:rsidR="001C71EE">
          <w:rPr>
            <w:noProof/>
            <w:webHidden/>
          </w:rPr>
        </w:r>
        <w:r w:rsidR="001C71EE">
          <w:rPr>
            <w:noProof/>
            <w:webHidden/>
          </w:rPr>
          <w:fldChar w:fldCharType="separate"/>
        </w:r>
        <w:r w:rsidR="001C71EE">
          <w:rPr>
            <w:noProof/>
            <w:webHidden/>
          </w:rPr>
          <w:t>176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71" w:history="1">
        <w:r w:rsidR="001C71EE" w:rsidRPr="00193DF2">
          <w:rPr>
            <w:rStyle w:val="Hyperlink"/>
            <w:noProof/>
          </w:rPr>
          <w:t>Член 15.06 Отопление и вентилация</w:t>
        </w:r>
        <w:r w:rsidR="001C71EE">
          <w:rPr>
            <w:noProof/>
            <w:webHidden/>
          </w:rPr>
          <w:tab/>
        </w:r>
        <w:r w:rsidR="001C71EE">
          <w:rPr>
            <w:noProof/>
            <w:webHidden/>
          </w:rPr>
          <w:fldChar w:fldCharType="begin"/>
        </w:r>
        <w:r w:rsidR="001C71EE">
          <w:rPr>
            <w:noProof/>
            <w:webHidden/>
          </w:rPr>
          <w:instrText xml:space="preserve"> PAGEREF _Toc535827571 \h </w:instrText>
        </w:r>
        <w:r w:rsidR="001C71EE">
          <w:rPr>
            <w:noProof/>
            <w:webHidden/>
          </w:rPr>
        </w:r>
        <w:r w:rsidR="001C71EE">
          <w:rPr>
            <w:noProof/>
            <w:webHidden/>
          </w:rPr>
          <w:fldChar w:fldCharType="separate"/>
        </w:r>
        <w:r w:rsidR="001C71EE">
          <w:rPr>
            <w:noProof/>
            <w:webHidden/>
          </w:rPr>
          <w:t>178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72" w:history="1">
        <w:r w:rsidR="001C71EE" w:rsidRPr="00193DF2">
          <w:rPr>
            <w:rStyle w:val="Hyperlink"/>
            <w:noProof/>
          </w:rPr>
          <w:t>Член 15.07 Други съоръжения в жилищните помещения</w:t>
        </w:r>
        <w:r w:rsidR="001C71EE">
          <w:rPr>
            <w:noProof/>
            <w:webHidden/>
          </w:rPr>
          <w:tab/>
        </w:r>
        <w:r w:rsidR="001C71EE">
          <w:rPr>
            <w:noProof/>
            <w:webHidden/>
          </w:rPr>
          <w:fldChar w:fldCharType="begin"/>
        </w:r>
        <w:r w:rsidR="001C71EE">
          <w:rPr>
            <w:noProof/>
            <w:webHidden/>
          </w:rPr>
          <w:instrText xml:space="preserve"> PAGEREF _Toc535827572 \h </w:instrText>
        </w:r>
        <w:r w:rsidR="001C71EE">
          <w:rPr>
            <w:noProof/>
            <w:webHidden/>
          </w:rPr>
        </w:r>
        <w:r w:rsidR="001C71EE">
          <w:rPr>
            <w:noProof/>
            <w:webHidden/>
          </w:rPr>
          <w:fldChar w:fldCharType="separate"/>
        </w:r>
        <w:r w:rsidR="001C71EE">
          <w:rPr>
            <w:noProof/>
            <w:webHidden/>
          </w:rPr>
          <w:t>178</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573" w:history="1">
        <w:r w:rsidR="001C71EE" w:rsidRPr="00193DF2">
          <w:rPr>
            <w:rStyle w:val="Hyperlink"/>
            <w:noProof/>
          </w:rPr>
          <w:t>Глава 16 Оборудване за отопление, приготвяне на храна и охлаждане, работещо с гориво</w:t>
        </w:r>
        <w:r w:rsidR="001C71EE">
          <w:rPr>
            <w:noProof/>
            <w:webHidden/>
          </w:rPr>
          <w:tab/>
        </w:r>
        <w:r w:rsidR="001C71EE">
          <w:rPr>
            <w:noProof/>
            <w:webHidden/>
          </w:rPr>
          <w:fldChar w:fldCharType="begin"/>
        </w:r>
        <w:r w:rsidR="001C71EE">
          <w:rPr>
            <w:noProof/>
            <w:webHidden/>
          </w:rPr>
          <w:instrText xml:space="preserve"> PAGEREF _Toc535827573 \h </w:instrText>
        </w:r>
        <w:r w:rsidR="001C71EE">
          <w:rPr>
            <w:noProof/>
            <w:webHidden/>
          </w:rPr>
        </w:r>
        <w:r w:rsidR="001C71EE">
          <w:rPr>
            <w:noProof/>
            <w:webHidden/>
          </w:rPr>
          <w:fldChar w:fldCharType="separate"/>
        </w:r>
        <w:r w:rsidR="001C71EE">
          <w:rPr>
            <w:noProof/>
            <w:webHidden/>
          </w:rPr>
          <w:t>180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74" w:history="1">
        <w:r w:rsidR="001C71EE" w:rsidRPr="00193DF2">
          <w:rPr>
            <w:rStyle w:val="Hyperlink"/>
            <w:noProof/>
          </w:rPr>
          <w:t>Член 16.01 Общи положения</w:t>
        </w:r>
        <w:r w:rsidR="001C71EE">
          <w:rPr>
            <w:noProof/>
            <w:webHidden/>
          </w:rPr>
          <w:tab/>
        </w:r>
        <w:r w:rsidR="001C71EE">
          <w:rPr>
            <w:noProof/>
            <w:webHidden/>
          </w:rPr>
          <w:fldChar w:fldCharType="begin"/>
        </w:r>
        <w:r w:rsidR="001C71EE">
          <w:rPr>
            <w:noProof/>
            <w:webHidden/>
          </w:rPr>
          <w:instrText xml:space="preserve"> PAGEREF _Toc535827574 \h </w:instrText>
        </w:r>
        <w:r w:rsidR="001C71EE">
          <w:rPr>
            <w:noProof/>
            <w:webHidden/>
          </w:rPr>
        </w:r>
        <w:r w:rsidR="001C71EE">
          <w:rPr>
            <w:noProof/>
            <w:webHidden/>
          </w:rPr>
          <w:fldChar w:fldCharType="separate"/>
        </w:r>
        <w:r w:rsidR="001C71EE">
          <w:rPr>
            <w:noProof/>
            <w:webHidden/>
          </w:rPr>
          <w:t>180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75" w:history="1">
        <w:r w:rsidR="001C71EE" w:rsidRPr="00193DF2">
          <w:rPr>
            <w:rStyle w:val="Hyperlink"/>
            <w:noProof/>
          </w:rPr>
          <w:t>Член 16.02 Използване на течни горива и оборудване, работещо с мазут</w:t>
        </w:r>
        <w:r w:rsidR="001C71EE">
          <w:rPr>
            <w:noProof/>
            <w:webHidden/>
          </w:rPr>
          <w:tab/>
        </w:r>
        <w:r w:rsidR="001C71EE">
          <w:rPr>
            <w:noProof/>
            <w:webHidden/>
          </w:rPr>
          <w:fldChar w:fldCharType="begin"/>
        </w:r>
        <w:r w:rsidR="001C71EE">
          <w:rPr>
            <w:noProof/>
            <w:webHidden/>
          </w:rPr>
          <w:instrText xml:space="preserve"> PAGEREF _Toc535827575 \h </w:instrText>
        </w:r>
        <w:r w:rsidR="001C71EE">
          <w:rPr>
            <w:noProof/>
            <w:webHidden/>
          </w:rPr>
        </w:r>
        <w:r w:rsidR="001C71EE">
          <w:rPr>
            <w:noProof/>
            <w:webHidden/>
          </w:rPr>
          <w:fldChar w:fldCharType="separate"/>
        </w:r>
        <w:r w:rsidR="001C71EE">
          <w:rPr>
            <w:noProof/>
            <w:webHidden/>
          </w:rPr>
          <w:t>180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76" w:history="1">
        <w:r w:rsidR="001C71EE" w:rsidRPr="00193DF2">
          <w:rPr>
            <w:rStyle w:val="Hyperlink"/>
            <w:noProof/>
          </w:rPr>
          <w:t>Член 16.03 Печки с изпарителни мазутни горелки и отоплителни устройства с разпрашаващи нафтови горелки</w:t>
        </w:r>
        <w:r w:rsidR="001C71EE">
          <w:rPr>
            <w:noProof/>
            <w:webHidden/>
          </w:rPr>
          <w:tab/>
        </w:r>
        <w:r w:rsidR="001C71EE">
          <w:rPr>
            <w:noProof/>
            <w:webHidden/>
          </w:rPr>
          <w:fldChar w:fldCharType="begin"/>
        </w:r>
        <w:r w:rsidR="001C71EE">
          <w:rPr>
            <w:noProof/>
            <w:webHidden/>
          </w:rPr>
          <w:instrText xml:space="preserve"> PAGEREF _Toc535827576 \h </w:instrText>
        </w:r>
        <w:r w:rsidR="001C71EE">
          <w:rPr>
            <w:noProof/>
            <w:webHidden/>
          </w:rPr>
        </w:r>
        <w:r w:rsidR="001C71EE">
          <w:rPr>
            <w:noProof/>
            <w:webHidden/>
          </w:rPr>
          <w:fldChar w:fldCharType="separate"/>
        </w:r>
        <w:r w:rsidR="001C71EE">
          <w:rPr>
            <w:noProof/>
            <w:webHidden/>
          </w:rPr>
          <w:t>181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77" w:history="1">
        <w:r w:rsidR="001C71EE" w:rsidRPr="00193DF2">
          <w:rPr>
            <w:rStyle w:val="Hyperlink"/>
            <w:noProof/>
          </w:rPr>
          <w:t>Член 16.04 Печки с изпарителни мазутни горелки</w:t>
        </w:r>
        <w:r w:rsidR="001C71EE">
          <w:rPr>
            <w:noProof/>
            <w:webHidden/>
          </w:rPr>
          <w:tab/>
        </w:r>
        <w:r w:rsidR="001C71EE">
          <w:rPr>
            <w:noProof/>
            <w:webHidden/>
          </w:rPr>
          <w:fldChar w:fldCharType="begin"/>
        </w:r>
        <w:r w:rsidR="001C71EE">
          <w:rPr>
            <w:noProof/>
            <w:webHidden/>
          </w:rPr>
          <w:instrText xml:space="preserve"> PAGEREF _Toc535827577 \h </w:instrText>
        </w:r>
        <w:r w:rsidR="001C71EE">
          <w:rPr>
            <w:noProof/>
            <w:webHidden/>
          </w:rPr>
        </w:r>
        <w:r w:rsidR="001C71EE">
          <w:rPr>
            <w:noProof/>
            <w:webHidden/>
          </w:rPr>
          <w:fldChar w:fldCharType="separate"/>
        </w:r>
        <w:r w:rsidR="001C71EE">
          <w:rPr>
            <w:noProof/>
            <w:webHidden/>
          </w:rPr>
          <w:t>182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78" w:history="1">
        <w:r w:rsidR="001C71EE" w:rsidRPr="00193DF2">
          <w:rPr>
            <w:rStyle w:val="Hyperlink"/>
            <w:noProof/>
          </w:rPr>
          <w:t>Член 16.05 Отоплителни устройства с разпрашаващи нафтови горелки</w:t>
        </w:r>
        <w:r w:rsidR="001C71EE">
          <w:rPr>
            <w:noProof/>
            <w:webHidden/>
          </w:rPr>
          <w:tab/>
        </w:r>
        <w:r w:rsidR="001C71EE">
          <w:rPr>
            <w:noProof/>
            <w:webHidden/>
          </w:rPr>
          <w:fldChar w:fldCharType="begin"/>
        </w:r>
        <w:r w:rsidR="001C71EE">
          <w:rPr>
            <w:noProof/>
            <w:webHidden/>
          </w:rPr>
          <w:instrText xml:space="preserve"> PAGEREF _Toc535827578 \h </w:instrText>
        </w:r>
        <w:r w:rsidR="001C71EE">
          <w:rPr>
            <w:noProof/>
            <w:webHidden/>
          </w:rPr>
        </w:r>
        <w:r w:rsidR="001C71EE">
          <w:rPr>
            <w:noProof/>
            <w:webHidden/>
          </w:rPr>
          <w:fldChar w:fldCharType="separate"/>
        </w:r>
        <w:r w:rsidR="001C71EE">
          <w:rPr>
            <w:noProof/>
            <w:webHidden/>
          </w:rPr>
          <w:t>183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79" w:history="1">
        <w:r w:rsidR="001C71EE" w:rsidRPr="00193DF2">
          <w:rPr>
            <w:rStyle w:val="Hyperlink"/>
            <w:noProof/>
          </w:rPr>
          <w:t>Член 16.06 Вентилаторни отоплителни устройства</w:t>
        </w:r>
        <w:r w:rsidR="001C71EE">
          <w:rPr>
            <w:noProof/>
            <w:webHidden/>
          </w:rPr>
          <w:tab/>
        </w:r>
        <w:r w:rsidR="001C71EE">
          <w:rPr>
            <w:noProof/>
            <w:webHidden/>
          </w:rPr>
          <w:fldChar w:fldCharType="begin"/>
        </w:r>
        <w:r w:rsidR="001C71EE">
          <w:rPr>
            <w:noProof/>
            <w:webHidden/>
          </w:rPr>
          <w:instrText xml:space="preserve"> PAGEREF _Toc535827579 \h </w:instrText>
        </w:r>
        <w:r w:rsidR="001C71EE">
          <w:rPr>
            <w:noProof/>
            <w:webHidden/>
          </w:rPr>
        </w:r>
        <w:r w:rsidR="001C71EE">
          <w:rPr>
            <w:noProof/>
            <w:webHidden/>
          </w:rPr>
          <w:fldChar w:fldCharType="separate"/>
        </w:r>
        <w:r w:rsidR="001C71EE">
          <w:rPr>
            <w:noProof/>
            <w:webHidden/>
          </w:rPr>
          <w:t>184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80" w:history="1">
        <w:r w:rsidR="001C71EE" w:rsidRPr="00193DF2">
          <w:rPr>
            <w:rStyle w:val="Hyperlink"/>
            <w:noProof/>
          </w:rPr>
          <w:t>Член 16.07 Отопление с твърдо гориво</w:t>
        </w:r>
        <w:r w:rsidR="001C71EE">
          <w:rPr>
            <w:noProof/>
            <w:webHidden/>
          </w:rPr>
          <w:tab/>
        </w:r>
        <w:r w:rsidR="001C71EE">
          <w:rPr>
            <w:noProof/>
            <w:webHidden/>
          </w:rPr>
          <w:fldChar w:fldCharType="begin"/>
        </w:r>
        <w:r w:rsidR="001C71EE">
          <w:rPr>
            <w:noProof/>
            <w:webHidden/>
          </w:rPr>
          <w:instrText xml:space="preserve"> PAGEREF _Toc535827580 \h </w:instrText>
        </w:r>
        <w:r w:rsidR="001C71EE">
          <w:rPr>
            <w:noProof/>
            <w:webHidden/>
          </w:rPr>
        </w:r>
        <w:r w:rsidR="001C71EE">
          <w:rPr>
            <w:noProof/>
            <w:webHidden/>
          </w:rPr>
          <w:fldChar w:fldCharType="separate"/>
        </w:r>
        <w:r w:rsidR="001C71EE">
          <w:rPr>
            <w:noProof/>
            <w:webHidden/>
          </w:rPr>
          <w:t>185</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581" w:history="1">
        <w:r w:rsidR="001C71EE" w:rsidRPr="00193DF2">
          <w:rPr>
            <w:rStyle w:val="Hyperlink"/>
            <w:noProof/>
          </w:rPr>
          <w:t>Глава 17 Битови уредби, работещи с втечнен газ</w:t>
        </w:r>
        <w:r w:rsidR="001C71EE">
          <w:rPr>
            <w:noProof/>
            <w:webHidden/>
          </w:rPr>
          <w:tab/>
        </w:r>
        <w:r w:rsidR="001C71EE">
          <w:rPr>
            <w:noProof/>
            <w:webHidden/>
          </w:rPr>
          <w:fldChar w:fldCharType="begin"/>
        </w:r>
        <w:r w:rsidR="001C71EE">
          <w:rPr>
            <w:noProof/>
            <w:webHidden/>
          </w:rPr>
          <w:instrText xml:space="preserve"> PAGEREF _Toc535827581 \h </w:instrText>
        </w:r>
        <w:r w:rsidR="001C71EE">
          <w:rPr>
            <w:noProof/>
            <w:webHidden/>
          </w:rPr>
        </w:r>
        <w:r w:rsidR="001C71EE">
          <w:rPr>
            <w:noProof/>
            <w:webHidden/>
          </w:rPr>
          <w:fldChar w:fldCharType="separate"/>
        </w:r>
        <w:r w:rsidR="001C71EE">
          <w:rPr>
            <w:noProof/>
            <w:webHidden/>
          </w:rPr>
          <w:t>187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82" w:history="1">
        <w:r w:rsidR="001C71EE" w:rsidRPr="00193DF2">
          <w:rPr>
            <w:rStyle w:val="Hyperlink"/>
            <w:noProof/>
          </w:rPr>
          <w:t>Член 17.01 Общи положения</w:t>
        </w:r>
        <w:r w:rsidR="001C71EE">
          <w:rPr>
            <w:noProof/>
            <w:webHidden/>
          </w:rPr>
          <w:tab/>
        </w:r>
        <w:r w:rsidR="001C71EE">
          <w:rPr>
            <w:noProof/>
            <w:webHidden/>
          </w:rPr>
          <w:fldChar w:fldCharType="begin"/>
        </w:r>
        <w:r w:rsidR="001C71EE">
          <w:rPr>
            <w:noProof/>
            <w:webHidden/>
          </w:rPr>
          <w:instrText xml:space="preserve"> PAGEREF _Toc535827582 \h </w:instrText>
        </w:r>
        <w:r w:rsidR="001C71EE">
          <w:rPr>
            <w:noProof/>
            <w:webHidden/>
          </w:rPr>
        </w:r>
        <w:r w:rsidR="001C71EE">
          <w:rPr>
            <w:noProof/>
            <w:webHidden/>
          </w:rPr>
          <w:fldChar w:fldCharType="separate"/>
        </w:r>
        <w:r w:rsidR="001C71EE">
          <w:rPr>
            <w:noProof/>
            <w:webHidden/>
          </w:rPr>
          <w:t>187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83" w:history="1">
        <w:r w:rsidR="001C71EE" w:rsidRPr="00193DF2">
          <w:rPr>
            <w:rStyle w:val="Hyperlink"/>
            <w:noProof/>
          </w:rPr>
          <w:t>Член 17.02 Инсталации</w:t>
        </w:r>
        <w:r w:rsidR="001C71EE">
          <w:rPr>
            <w:noProof/>
            <w:webHidden/>
          </w:rPr>
          <w:tab/>
        </w:r>
        <w:r w:rsidR="001C71EE">
          <w:rPr>
            <w:noProof/>
            <w:webHidden/>
          </w:rPr>
          <w:fldChar w:fldCharType="begin"/>
        </w:r>
        <w:r w:rsidR="001C71EE">
          <w:rPr>
            <w:noProof/>
            <w:webHidden/>
          </w:rPr>
          <w:instrText xml:space="preserve"> PAGEREF _Toc535827583 \h </w:instrText>
        </w:r>
        <w:r w:rsidR="001C71EE">
          <w:rPr>
            <w:noProof/>
            <w:webHidden/>
          </w:rPr>
        </w:r>
        <w:r w:rsidR="001C71EE">
          <w:rPr>
            <w:noProof/>
            <w:webHidden/>
          </w:rPr>
          <w:fldChar w:fldCharType="separate"/>
        </w:r>
        <w:r w:rsidR="001C71EE">
          <w:rPr>
            <w:noProof/>
            <w:webHidden/>
          </w:rPr>
          <w:t>187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84" w:history="1">
        <w:r w:rsidR="001C71EE" w:rsidRPr="00193DF2">
          <w:rPr>
            <w:rStyle w:val="Hyperlink"/>
            <w:noProof/>
          </w:rPr>
          <w:t>Член 17.03 Бутилки</w:t>
        </w:r>
        <w:r w:rsidR="001C71EE">
          <w:rPr>
            <w:noProof/>
            <w:webHidden/>
          </w:rPr>
          <w:tab/>
        </w:r>
        <w:r w:rsidR="001C71EE">
          <w:rPr>
            <w:noProof/>
            <w:webHidden/>
          </w:rPr>
          <w:fldChar w:fldCharType="begin"/>
        </w:r>
        <w:r w:rsidR="001C71EE">
          <w:rPr>
            <w:noProof/>
            <w:webHidden/>
          </w:rPr>
          <w:instrText xml:space="preserve"> PAGEREF _Toc535827584 \h </w:instrText>
        </w:r>
        <w:r w:rsidR="001C71EE">
          <w:rPr>
            <w:noProof/>
            <w:webHidden/>
          </w:rPr>
        </w:r>
        <w:r w:rsidR="001C71EE">
          <w:rPr>
            <w:noProof/>
            <w:webHidden/>
          </w:rPr>
          <w:fldChar w:fldCharType="separate"/>
        </w:r>
        <w:r w:rsidR="001C71EE">
          <w:rPr>
            <w:noProof/>
            <w:webHidden/>
          </w:rPr>
          <w:t>187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85" w:history="1">
        <w:r w:rsidR="001C71EE" w:rsidRPr="00193DF2">
          <w:rPr>
            <w:rStyle w:val="Hyperlink"/>
            <w:noProof/>
          </w:rPr>
          <w:t>Член 17.04 Местоположение и разположение на захранващите секции</w:t>
        </w:r>
        <w:r w:rsidR="001C71EE">
          <w:rPr>
            <w:noProof/>
            <w:webHidden/>
          </w:rPr>
          <w:tab/>
        </w:r>
        <w:r w:rsidR="001C71EE">
          <w:rPr>
            <w:noProof/>
            <w:webHidden/>
          </w:rPr>
          <w:fldChar w:fldCharType="begin"/>
        </w:r>
        <w:r w:rsidR="001C71EE">
          <w:rPr>
            <w:noProof/>
            <w:webHidden/>
          </w:rPr>
          <w:instrText xml:space="preserve"> PAGEREF _Toc535827585 \h </w:instrText>
        </w:r>
        <w:r w:rsidR="001C71EE">
          <w:rPr>
            <w:noProof/>
            <w:webHidden/>
          </w:rPr>
        </w:r>
        <w:r w:rsidR="001C71EE">
          <w:rPr>
            <w:noProof/>
            <w:webHidden/>
          </w:rPr>
          <w:fldChar w:fldCharType="separate"/>
        </w:r>
        <w:r w:rsidR="001C71EE">
          <w:rPr>
            <w:noProof/>
            <w:webHidden/>
          </w:rPr>
          <w:t>188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86" w:history="1">
        <w:r w:rsidR="001C71EE" w:rsidRPr="00193DF2">
          <w:rPr>
            <w:rStyle w:val="Hyperlink"/>
            <w:noProof/>
          </w:rPr>
          <w:t>Член 17.05 Резервни и празни бутилки</w:t>
        </w:r>
        <w:r w:rsidR="001C71EE">
          <w:rPr>
            <w:noProof/>
            <w:webHidden/>
          </w:rPr>
          <w:tab/>
        </w:r>
        <w:r w:rsidR="001C71EE">
          <w:rPr>
            <w:noProof/>
            <w:webHidden/>
          </w:rPr>
          <w:fldChar w:fldCharType="begin"/>
        </w:r>
        <w:r w:rsidR="001C71EE">
          <w:rPr>
            <w:noProof/>
            <w:webHidden/>
          </w:rPr>
          <w:instrText xml:space="preserve"> PAGEREF _Toc535827586 \h </w:instrText>
        </w:r>
        <w:r w:rsidR="001C71EE">
          <w:rPr>
            <w:noProof/>
            <w:webHidden/>
          </w:rPr>
        </w:r>
        <w:r w:rsidR="001C71EE">
          <w:rPr>
            <w:noProof/>
            <w:webHidden/>
          </w:rPr>
          <w:fldChar w:fldCharType="separate"/>
        </w:r>
        <w:r w:rsidR="001C71EE">
          <w:rPr>
            <w:noProof/>
            <w:webHidden/>
          </w:rPr>
          <w:t>189</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87" w:history="1">
        <w:r w:rsidR="001C71EE" w:rsidRPr="00193DF2">
          <w:rPr>
            <w:rStyle w:val="Hyperlink"/>
            <w:noProof/>
          </w:rPr>
          <w:t>Член 17.06 Регулатори на налягането</w:t>
        </w:r>
        <w:r w:rsidR="001C71EE">
          <w:rPr>
            <w:noProof/>
            <w:webHidden/>
          </w:rPr>
          <w:tab/>
        </w:r>
        <w:r w:rsidR="001C71EE">
          <w:rPr>
            <w:noProof/>
            <w:webHidden/>
          </w:rPr>
          <w:fldChar w:fldCharType="begin"/>
        </w:r>
        <w:r w:rsidR="001C71EE">
          <w:rPr>
            <w:noProof/>
            <w:webHidden/>
          </w:rPr>
          <w:instrText xml:space="preserve"> PAGEREF _Toc535827587 \h </w:instrText>
        </w:r>
        <w:r w:rsidR="001C71EE">
          <w:rPr>
            <w:noProof/>
            <w:webHidden/>
          </w:rPr>
        </w:r>
        <w:r w:rsidR="001C71EE">
          <w:rPr>
            <w:noProof/>
            <w:webHidden/>
          </w:rPr>
          <w:fldChar w:fldCharType="separate"/>
        </w:r>
        <w:r w:rsidR="001C71EE">
          <w:rPr>
            <w:noProof/>
            <w:webHidden/>
          </w:rPr>
          <w:t>190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88" w:history="1">
        <w:r w:rsidR="001C71EE" w:rsidRPr="00193DF2">
          <w:rPr>
            <w:rStyle w:val="Hyperlink"/>
            <w:noProof/>
          </w:rPr>
          <w:t>Член 17.07 Налягане</w:t>
        </w:r>
        <w:r w:rsidR="001C71EE">
          <w:rPr>
            <w:noProof/>
            <w:webHidden/>
          </w:rPr>
          <w:tab/>
        </w:r>
        <w:r w:rsidR="001C71EE">
          <w:rPr>
            <w:noProof/>
            <w:webHidden/>
          </w:rPr>
          <w:fldChar w:fldCharType="begin"/>
        </w:r>
        <w:r w:rsidR="001C71EE">
          <w:rPr>
            <w:noProof/>
            <w:webHidden/>
          </w:rPr>
          <w:instrText xml:space="preserve"> PAGEREF _Toc535827588 \h </w:instrText>
        </w:r>
        <w:r w:rsidR="001C71EE">
          <w:rPr>
            <w:noProof/>
            <w:webHidden/>
          </w:rPr>
        </w:r>
        <w:r w:rsidR="001C71EE">
          <w:rPr>
            <w:noProof/>
            <w:webHidden/>
          </w:rPr>
          <w:fldChar w:fldCharType="separate"/>
        </w:r>
        <w:r w:rsidR="001C71EE">
          <w:rPr>
            <w:noProof/>
            <w:webHidden/>
          </w:rPr>
          <w:t>191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89" w:history="1">
        <w:r w:rsidR="001C71EE" w:rsidRPr="00193DF2">
          <w:rPr>
            <w:rStyle w:val="Hyperlink"/>
            <w:noProof/>
          </w:rPr>
          <w:t>Член 17.08 Тръбопроводи и гъвкави тръби</w:t>
        </w:r>
        <w:r w:rsidR="001C71EE">
          <w:rPr>
            <w:noProof/>
            <w:webHidden/>
          </w:rPr>
          <w:tab/>
        </w:r>
        <w:r w:rsidR="001C71EE">
          <w:rPr>
            <w:noProof/>
            <w:webHidden/>
          </w:rPr>
          <w:fldChar w:fldCharType="begin"/>
        </w:r>
        <w:r w:rsidR="001C71EE">
          <w:rPr>
            <w:noProof/>
            <w:webHidden/>
          </w:rPr>
          <w:instrText xml:space="preserve"> PAGEREF _Toc535827589 \h </w:instrText>
        </w:r>
        <w:r w:rsidR="001C71EE">
          <w:rPr>
            <w:noProof/>
            <w:webHidden/>
          </w:rPr>
        </w:r>
        <w:r w:rsidR="001C71EE">
          <w:rPr>
            <w:noProof/>
            <w:webHidden/>
          </w:rPr>
          <w:fldChar w:fldCharType="separate"/>
        </w:r>
        <w:r w:rsidR="001C71EE">
          <w:rPr>
            <w:noProof/>
            <w:webHidden/>
          </w:rPr>
          <w:t>191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90" w:history="1">
        <w:r w:rsidR="001C71EE" w:rsidRPr="00193DF2">
          <w:rPr>
            <w:rStyle w:val="Hyperlink"/>
            <w:noProof/>
          </w:rPr>
          <w:t>Член 17.09 Разпределителна система</w:t>
        </w:r>
        <w:r w:rsidR="001C71EE">
          <w:rPr>
            <w:noProof/>
            <w:webHidden/>
          </w:rPr>
          <w:tab/>
        </w:r>
        <w:r w:rsidR="001C71EE">
          <w:rPr>
            <w:noProof/>
            <w:webHidden/>
          </w:rPr>
          <w:fldChar w:fldCharType="begin"/>
        </w:r>
        <w:r w:rsidR="001C71EE">
          <w:rPr>
            <w:noProof/>
            <w:webHidden/>
          </w:rPr>
          <w:instrText xml:space="preserve"> PAGEREF _Toc535827590 \h </w:instrText>
        </w:r>
        <w:r w:rsidR="001C71EE">
          <w:rPr>
            <w:noProof/>
            <w:webHidden/>
          </w:rPr>
        </w:r>
        <w:r w:rsidR="001C71EE">
          <w:rPr>
            <w:noProof/>
            <w:webHidden/>
          </w:rPr>
          <w:fldChar w:fldCharType="separate"/>
        </w:r>
        <w:r w:rsidR="001C71EE">
          <w:rPr>
            <w:noProof/>
            <w:webHidden/>
          </w:rPr>
          <w:t>192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91" w:history="1">
        <w:r w:rsidR="001C71EE" w:rsidRPr="00193DF2">
          <w:rPr>
            <w:rStyle w:val="Hyperlink"/>
            <w:noProof/>
          </w:rPr>
          <w:t>Член 17.10 Консумиращи газ уреди и тяхното монтиране</w:t>
        </w:r>
        <w:r w:rsidR="001C71EE">
          <w:rPr>
            <w:noProof/>
            <w:webHidden/>
          </w:rPr>
          <w:tab/>
        </w:r>
        <w:r w:rsidR="001C71EE">
          <w:rPr>
            <w:noProof/>
            <w:webHidden/>
          </w:rPr>
          <w:fldChar w:fldCharType="begin"/>
        </w:r>
        <w:r w:rsidR="001C71EE">
          <w:rPr>
            <w:noProof/>
            <w:webHidden/>
          </w:rPr>
          <w:instrText xml:space="preserve"> PAGEREF _Toc535827591 \h </w:instrText>
        </w:r>
        <w:r w:rsidR="001C71EE">
          <w:rPr>
            <w:noProof/>
            <w:webHidden/>
          </w:rPr>
        </w:r>
        <w:r w:rsidR="001C71EE">
          <w:rPr>
            <w:noProof/>
            <w:webHidden/>
          </w:rPr>
          <w:fldChar w:fldCharType="separate"/>
        </w:r>
        <w:r w:rsidR="001C71EE">
          <w:rPr>
            <w:noProof/>
            <w:webHidden/>
          </w:rPr>
          <w:t>193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92" w:history="1">
        <w:r w:rsidR="001C71EE" w:rsidRPr="00193DF2">
          <w:rPr>
            <w:rStyle w:val="Hyperlink"/>
            <w:noProof/>
          </w:rPr>
          <w:t>Член 17.11 Вентилация и отвеждане на отработените газове</w:t>
        </w:r>
        <w:r w:rsidR="001C71EE">
          <w:rPr>
            <w:noProof/>
            <w:webHidden/>
          </w:rPr>
          <w:tab/>
        </w:r>
        <w:r w:rsidR="001C71EE">
          <w:rPr>
            <w:noProof/>
            <w:webHidden/>
          </w:rPr>
          <w:fldChar w:fldCharType="begin"/>
        </w:r>
        <w:r w:rsidR="001C71EE">
          <w:rPr>
            <w:noProof/>
            <w:webHidden/>
          </w:rPr>
          <w:instrText xml:space="preserve"> PAGEREF _Toc535827592 \h </w:instrText>
        </w:r>
        <w:r w:rsidR="001C71EE">
          <w:rPr>
            <w:noProof/>
            <w:webHidden/>
          </w:rPr>
        </w:r>
        <w:r w:rsidR="001C71EE">
          <w:rPr>
            <w:noProof/>
            <w:webHidden/>
          </w:rPr>
          <w:fldChar w:fldCharType="separate"/>
        </w:r>
        <w:r w:rsidR="001C71EE">
          <w:rPr>
            <w:noProof/>
            <w:webHidden/>
          </w:rPr>
          <w:t>193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93" w:history="1">
        <w:r w:rsidR="001C71EE" w:rsidRPr="00193DF2">
          <w:rPr>
            <w:rStyle w:val="Hyperlink"/>
            <w:noProof/>
          </w:rPr>
          <w:t>Член 17.12 Инструкции за експлоатация</w:t>
        </w:r>
        <w:r w:rsidR="001C71EE">
          <w:rPr>
            <w:noProof/>
            <w:webHidden/>
          </w:rPr>
          <w:tab/>
        </w:r>
        <w:r w:rsidR="001C71EE">
          <w:rPr>
            <w:noProof/>
            <w:webHidden/>
          </w:rPr>
          <w:fldChar w:fldCharType="begin"/>
        </w:r>
        <w:r w:rsidR="001C71EE">
          <w:rPr>
            <w:noProof/>
            <w:webHidden/>
          </w:rPr>
          <w:instrText xml:space="preserve"> PAGEREF _Toc535827593 \h </w:instrText>
        </w:r>
        <w:r w:rsidR="001C71EE">
          <w:rPr>
            <w:noProof/>
            <w:webHidden/>
          </w:rPr>
        </w:r>
        <w:r w:rsidR="001C71EE">
          <w:rPr>
            <w:noProof/>
            <w:webHidden/>
          </w:rPr>
          <w:fldChar w:fldCharType="separate"/>
        </w:r>
        <w:r w:rsidR="001C71EE">
          <w:rPr>
            <w:noProof/>
            <w:webHidden/>
          </w:rPr>
          <w:t>195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94" w:history="1">
        <w:r w:rsidR="001C71EE" w:rsidRPr="00193DF2">
          <w:rPr>
            <w:rStyle w:val="Hyperlink"/>
            <w:noProof/>
          </w:rPr>
          <w:t>Член 17.13 Приемно изпитване</w:t>
        </w:r>
        <w:r w:rsidR="001C71EE">
          <w:rPr>
            <w:noProof/>
            <w:webHidden/>
          </w:rPr>
          <w:tab/>
        </w:r>
        <w:r w:rsidR="001C71EE">
          <w:rPr>
            <w:noProof/>
            <w:webHidden/>
          </w:rPr>
          <w:fldChar w:fldCharType="begin"/>
        </w:r>
        <w:r w:rsidR="001C71EE">
          <w:rPr>
            <w:noProof/>
            <w:webHidden/>
          </w:rPr>
          <w:instrText xml:space="preserve"> PAGEREF _Toc535827594 \h </w:instrText>
        </w:r>
        <w:r w:rsidR="001C71EE">
          <w:rPr>
            <w:noProof/>
            <w:webHidden/>
          </w:rPr>
        </w:r>
        <w:r w:rsidR="001C71EE">
          <w:rPr>
            <w:noProof/>
            <w:webHidden/>
          </w:rPr>
          <w:fldChar w:fldCharType="separate"/>
        </w:r>
        <w:r w:rsidR="001C71EE">
          <w:rPr>
            <w:noProof/>
            <w:webHidden/>
          </w:rPr>
          <w:t>195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95" w:history="1">
        <w:r w:rsidR="001C71EE" w:rsidRPr="00193DF2">
          <w:rPr>
            <w:rStyle w:val="Hyperlink"/>
            <w:noProof/>
          </w:rPr>
          <w:t>Член 17.14 Условия на изпитване</w:t>
        </w:r>
        <w:r w:rsidR="001C71EE">
          <w:rPr>
            <w:noProof/>
            <w:webHidden/>
          </w:rPr>
          <w:tab/>
        </w:r>
        <w:r w:rsidR="001C71EE">
          <w:rPr>
            <w:noProof/>
            <w:webHidden/>
          </w:rPr>
          <w:fldChar w:fldCharType="begin"/>
        </w:r>
        <w:r w:rsidR="001C71EE">
          <w:rPr>
            <w:noProof/>
            <w:webHidden/>
          </w:rPr>
          <w:instrText xml:space="preserve"> PAGEREF _Toc535827595 \h </w:instrText>
        </w:r>
        <w:r w:rsidR="001C71EE">
          <w:rPr>
            <w:noProof/>
            <w:webHidden/>
          </w:rPr>
        </w:r>
        <w:r w:rsidR="001C71EE">
          <w:rPr>
            <w:noProof/>
            <w:webHidden/>
          </w:rPr>
          <w:fldChar w:fldCharType="separate"/>
        </w:r>
        <w:r w:rsidR="001C71EE">
          <w:rPr>
            <w:noProof/>
            <w:webHidden/>
          </w:rPr>
          <w:t>195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96" w:history="1">
        <w:r w:rsidR="001C71EE" w:rsidRPr="00193DF2">
          <w:rPr>
            <w:rStyle w:val="Hyperlink"/>
            <w:noProof/>
          </w:rPr>
          <w:t>Член 17.15 Атестация</w:t>
        </w:r>
        <w:r w:rsidR="001C71EE">
          <w:rPr>
            <w:noProof/>
            <w:webHidden/>
          </w:rPr>
          <w:tab/>
        </w:r>
        <w:r w:rsidR="001C71EE">
          <w:rPr>
            <w:noProof/>
            <w:webHidden/>
          </w:rPr>
          <w:fldChar w:fldCharType="begin"/>
        </w:r>
        <w:r w:rsidR="001C71EE">
          <w:rPr>
            <w:noProof/>
            <w:webHidden/>
          </w:rPr>
          <w:instrText xml:space="preserve"> PAGEREF _Toc535827596 \h </w:instrText>
        </w:r>
        <w:r w:rsidR="001C71EE">
          <w:rPr>
            <w:noProof/>
            <w:webHidden/>
          </w:rPr>
        </w:r>
        <w:r w:rsidR="001C71EE">
          <w:rPr>
            <w:noProof/>
            <w:webHidden/>
          </w:rPr>
          <w:fldChar w:fldCharType="separate"/>
        </w:r>
        <w:r w:rsidR="001C71EE">
          <w:rPr>
            <w:noProof/>
            <w:webHidden/>
          </w:rPr>
          <w:t>197</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597" w:history="1">
        <w:r w:rsidR="001C71EE" w:rsidRPr="00193DF2">
          <w:rPr>
            <w:rStyle w:val="Hyperlink"/>
            <w:noProof/>
          </w:rPr>
          <w:t>Глава 18 Бордови станции за пречистване на отпадъчни води</w:t>
        </w:r>
        <w:r w:rsidR="001C71EE">
          <w:rPr>
            <w:noProof/>
            <w:webHidden/>
          </w:rPr>
          <w:tab/>
        </w:r>
        <w:r w:rsidR="001C71EE">
          <w:rPr>
            <w:noProof/>
            <w:webHidden/>
          </w:rPr>
          <w:fldChar w:fldCharType="begin"/>
        </w:r>
        <w:r w:rsidR="001C71EE">
          <w:rPr>
            <w:noProof/>
            <w:webHidden/>
          </w:rPr>
          <w:instrText xml:space="preserve"> PAGEREF _Toc535827597 \h </w:instrText>
        </w:r>
        <w:r w:rsidR="001C71EE">
          <w:rPr>
            <w:noProof/>
            <w:webHidden/>
          </w:rPr>
        </w:r>
        <w:r w:rsidR="001C71EE">
          <w:rPr>
            <w:noProof/>
            <w:webHidden/>
          </w:rPr>
          <w:fldChar w:fldCharType="separate"/>
        </w:r>
        <w:r w:rsidR="001C71EE">
          <w:rPr>
            <w:noProof/>
            <w:webHidden/>
          </w:rPr>
          <w:t>199</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98" w:history="1">
        <w:r w:rsidR="001C71EE" w:rsidRPr="00193DF2">
          <w:rPr>
            <w:rStyle w:val="Hyperlink"/>
            <w:noProof/>
          </w:rPr>
          <w:t>Член 18.00 Определения</w:t>
        </w:r>
        <w:r w:rsidR="001C71EE">
          <w:rPr>
            <w:noProof/>
            <w:webHidden/>
          </w:rPr>
          <w:tab/>
        </w:r>
        <w:r w:rsidR="001C71EE">
          <w:rPr>
            <w:noProof/>
            <w:webHidden/>
          </w:rPr>
          <w:fldChar w:fldCharType="begin"/>
        </w:r>
        <w:r w:rsidR="001C71EE">
          <w:rPr>
            <w:noProof/>
            <w:webHidden/>
          </w:rPr>
          <w:instrText xml:space="preserve"> PAGEREF _Toc535827598 \h </w:instrText>
        </w:r>
        <w:r w:rsidR="001C71EE">
          <w:rPr>
            <w:noProof/>
            <w:webHidden/>
          </w:rPr>
        </w:r>
        <w:r w:rsidR="001C71EE">
          <w:rPr>
            <w:noProof/>
            <w:webHidden/>
          </w:rPr>
          <w:fldChar w:fldCharType="separate"/>
        </w:r>
        <w:r w:rsidR="001C71EE">
          <w:rPr>
            <w:noProof/>
            <w:webHidden/>
          </w:rPr>
          <w:t>199</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599" w:history="1">
        <w:r w:rsidR="001C71EE" w:rsidRPr="00193DF2">
          <w:rPr>
            <w:rStyle w:val="Hyperlink"/>
            <w:noProof/>
          </w:rPr>
          <w:t>Член 18.01 Общи разпоредби</w:t>
        </w:r>
        <w:r w:rsidR="001C71EE">
          <w:rPr>
            <w:noProof/>
            <w:webHidden/>
          </w:rPr>
          <w:tab/>
        </w:r>
        <w:r w:rsidR="001C71EE">
          <w:rPr>
            <w:noProof/>
            <w:webHidden/>
          </w:rPr>
          <w:fldChar w:fldCharType="begin"/>
        </w:r>
        <w:r w:rsidR="001C71EE">
          <w:rPr>
            <w:noProof/>
            <w:webHidden/>
          </w:rPr>
          <w:instrText xml:space="preserve"> PAGEREF _Toc535827599 \h </w:instrText>
        </w:r>
        <w:r w:rsidR="001C71EE">
          <w:rPr>
            <w:noProof/>
            <w:webHidden/>
          </w:rPr>
        </w:r>
        <w:r w:rsidR="001C71EE">
          <w:rPr>
            <w:noProof/>
            <w:webHidden/>
          </w:rPr>
          <w:fldChar w:fldCharType="separate"/>
        </w:r>
        <w:r w:rsidR="001C71EE">
          <w:rPr>
            <w:noProof/>
            <w:webHidden/>
          </w:rPr>
          <w:t>201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00" w:history="1">
        <w:r w:rsidR="001C71EE" w:rsidRPr="00193DF2">
          <w:rPr>
            <w:rStyle w:val="Hyperlink"/>
            <w:noProof/>
          </w:rPr>
          <w:t>Член 18.02 Заявление за одобрение на типа</w:t>
        </w:r>
        <w:r w:rsidR="001C71EE">
          <w:rPr>
            <w:noProof/>
            <w:webHidden/>
          </w:rPr>
          <w:tab/>
        </w:r>
        <w:r w:rsidR="001C71EE">
          <w:rPr>
            <w:noProof/>
            <w:webHidden/>
          </w:rPr>
          <w:fldChar w:fldCharType="begin"/>
        </w:r>
        <w:r w:rsidR="001C71EE">
          <w:rPr>
            <w:noProof/>
            <w:webHidden/>
          </w:rPr>
          <w:instrText xml:space="preserve"> PAGEREF _Toc535827600 \h </w:instrText>
        </w:r>
        <w:r w:rsidR="001C71EE">
          <w:rPr>
            <w:noProof/>
            <w:webHidden/>
          </w:rPr>
        </w:r>
        <w:r w:rsidR="001C71EE">
          <w:rPr>
            <w:noProof/>
            <w:webHidden/>
          </w:rPr>
          <w:fldChar w:fldCharType="separate"/>
        </w:r>
        <w:r w:rsidR="001C71EE">
          <w:rPr>
            <w:noProof/>
            <w:webHidden/>
          </w:rPr>
          <w:t>204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01" w:history="1">
        <w:r w:rsidR="001C71EE" w:rsidRPr="00193DF2">
          <w:rPr>
            <w:rStyle w:val="Hyperlink"/>
            <w:noProof/>
          </w:rPr>
          <w:t>Член 18.03 Процедура за одобряване на типа</w:t>
        </w:r>
        <w:r w:rsidR="001C71EE">
          <w:rPr>
            <w:noProof/>
            <w:webHidden/>
          </w:rPr>
          <w:tab/>
        </w:r>
        <w:r w:rsidR="001C71EE">
          <w:rPr>
            <w:noProof/>
            <w:webHidden/>
          </w:rPr>
          <w:fldChar w:fldCharType="begin"/>
        </w:r>
        <w:r w:rsidR="001C71EE">
          <w:rPr>
            <w:noProof/>
            <w:webHidden/>
          </w:rPr>
          <w:instrText xml:space="preserve"> PAGEREF _Toc535827601 \h </w:instrText>
        </w:r>
        <w:r w:rsidR="001C71EE">
          <w:rPr>
            <w:noProof/>
            <w:webHidden/>
          </w:rPr>
        </w:r>
        <w:r w:rsidR="001C71EE">
          <w:rPr>
            <w:noProof/>
            <w:webHidden/>
          </w:rPr>
          <w:fldChar w:fldCharType="separate"/>
        </w:r>
        <w:r w:rsidR="001C71EE">
          <w:rPr>
            <w:noProof/>
            <w:webHidden/>
          </w:rPr>
          <w:t>205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02" w:history="1">
        <w:r w:rsidR="001C71EE" w:rsidRPr="00193DF2">
          <w:rPr>
            <w:rStyle w:val="Hyperlink"/>
            <w:noProof/>
          </w:rPr>
          <w:t>Член 18.04 Изменение на одобренията на типа</w:t>
        </w:r>
        <w:r w:rsidR="001C71EE">
          <w:rPr>
            <w:noProof/>
            <w:webHidden/>
          </w:rPr>
          <w:tab/>
        </w:r>
        <w:r w:rsidR="001C71EE">
          <w:rPr>
            <w:noProof/>
            <w:webHidden/>
          </w:rPr>
          <w:fldChar w:fldCharType="begin"/>
        </w:r>
        <w:r w:rsidR="001C71EE">
          <w:rPr>
            <w:noProof/>
            <w:webHidden/>
          </w:rPr>
          <w:instrText xml:space="preserve"> PAGEREF _Toc535827602 \h </w:instrText>
        </w:r>
        <w:r w:rsidR="001C71EE">
          <w:rPr>
            <w:noProof/>
            <w:webHidden/>
          </w:rPr>
        </w:r>
        <w:r w:rsidR="001C71EE">
          <w:rPr>
            <w:noProof/>
            <w:webHidden/>
          </w:rPr>
          <w:fldChar w:fldCharType="separate"/>
        </w:r>
        <w:r w:rsidR="001C71EE">
          <w:rPr>
            <w:noProof/>
            <w:webHidden/>
          </w:rPr>
          <w:t>206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03" w:history="1">
        <w:r w:rsidR="001C71EE" w:rsidRPr="00193DF2">
          <w:rPr>
            <w:rStyle w:val="Hyperlink"/>
            <w:noProof/>
          </w:rPr>
          <w:t>Член 18.05 Съответствие на одобрението на типа</w:t>
        </w:r>
        <w:r w:rsidR="001C71EE">
          <w:rPr>
            <w:noProof/>
            <w:webHidden/>
          </w:rPr>
          <w:tab/>
        </w:r>
        <w:r w:rsidR="001C71EE">
          <w:rPr>
            <w:noProof/>
            <w:webHidden/>
          </w:rPr>
          <w:fldChar w:fldCharType="begin"/>
        </w:r>
        <w:r w:rsidR="001C71EE">
          <w:rPr>
            <w:noProof/>
            <w:webHidden/>
          </w:rPr>
          <w:instrText xml:space="preserve"> PAGEREF _Toc535827603 \h </w:instrText>
        </w:r>
        <w:r w:rsidR="001C71EE">
          <w:rPr>
            <w:noProof/>
            <w:webHidden/>
          </w:rPr>
        </w:r>
        <w:r w:rsidR="001C71EE">
          <w:rPr>
            <w:noProof/>
            <w:webHidden/>
          </w:rPr>
          <w:fldChar w:fldCharType="separate"/>
        </w:r>
        <w:r w:rsidR="001C71EE">
          <w:rPr>
            <w:noProof/>
            <w:webHidden/>
          </w:rPr>
          <w:t>208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04" w:history="1">
        <w:r w:rsidR="001C71EE" w:rsidRPr="00193DF2">
          <w:rPr>
            <w:rStyle w:val="Hyperlink"/>
            <w:noProof/>
          </w:rPr>
          <w:t>Член 18.06 Проверка на серийните номера</w:t>
        </w:r>
        <w:r w:rsidR="001C71EE">
          <w:rPr>
            <w:noProof/>
            <w:webHidden/>
          </w:rPr>
          <w:tab/>
        </w:r>
        <w:r w:rsidR="001C71EE">
          <w:rPr>
            <w:noProof/>
            <w:webHidden/>
          </w:rPr>
          <w:fldChar w:fldCharType="begin"/>
        </w:r>
        <w:r w:rsidR="001C71EE">
          <w:rPr>
            <w:noProof/>
            <w:webHidden/>
          </w:rPr>
          <w:instrText xml:space="preserve"> PAGEREF _Toc535827604 \h </w:instrText>
        </w:r>
        <w:r w:rsidR="001C71EE">
          <w:rPr>
            <w:noProof/>
            <w:webHidden/>
          </w:rPr>
        </w:r>
        <w:r w:rsidR="001C71EE">
          <w:rPr>
            <w:noProof/>
            <w:webHidden/>
          </w:rPr>
          <w:fldChar w:fldCharType="separate"/>
        </w:r>
        <w:r w:rsidR="001C71EE">
          <w:rPr>
            <w:noProof/>
            <w:webHidden/>
          </w:rPr>
          <w:t>208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05" w:history="1">
        <w:r w:rsidR="001C71EE" w:rsidRPr="00193DF2">
          <w:rPr>
            <w:rStyle w:val="Hyperlink"/>
            <w:noProof/>
          </w:rPr>
          <w:t>Член 18.07 Съответствие на производството</w:t>
        </w:r>
        <w:r w:rsidR="001C71EE">
          <w:rPr>
            <w:noProof/>
            <w:webHidden/>
          </w:rPr>
          <w:tab/>
        </w:r>
        <w:r w:rsidR="001C71EE">
          <w:rPr>
            <w:noProof/>
            <w:webHidden/>
          </w:rPr>
          <w:fldChar w:fldCharType="begin"/>
        </w:r>
        <w:r w:rsidR="001C71EE">
          <w:rPr>
            <w:noProof/>
            <w:webHidden/>
          </w:rPr>
          <w:instrText xml:space="preserve"> PAGEREF _Toc535827605 \h </w:instrText>
        </w:r>
        <w:r w:rsidR="001C71EE">
          <w:rPr>
            <w:noProof/>
            <w:webHidden/>
          </w:rPr>
        </w:r>
        <w:r w:rsidR="001C71EE">
          <w:rPr>
            <w:noProof/>
            <w:webHidden/>
          </w:rPr>
          <w:fldChar w:fldCharType="separate"/>
        </w:r>
        <w:r w:rsidR="001C71EE">
          <w:rPr>
            <w:noProof/>
            <w:webHidden/>
          </w:rPr>
          <w:t>210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06" w:history="1">
        <w:r w:rsidR="001C71EE" w:rsidRPr="00193DF2">
          <w:rPr>
            <w:rStyle w:val="Hyperlink"/>
            <w:noProof/>
          </w:rPr>
          <w:t>Член 18.08 Несъответствие с одобрения тип бордова станция за пречистване на отпадъчни води</w:t>
        </w:r>
        <w:r w:rsidR="001C71EE">
          <w:rPr>
            <w:noProof/>
            <w:webHidden/>
          </w:rPr>
          <w:tab/>
        </w:r>
        <w:r w:rsidR="001C71EE">
          <w:rPr>
            <w:noProof/>
            <w:webHidden/>
          </w:rPr>
          <w:fldChar w:fldCharType="begin"/>
        </w:r>
        <w:r w:rsidR="001C71EE">
          <w:rPr>
            <w:noProof/>
            <w:webHidden/>
          </w:rPr>
          <w:instrText xml:space="preserve"> PAGEREF _Toc535827606 \h </w:instrText>
        </w:r>
        <w:r w:rsidR="001C71EE">
          <w:rPr>
            <w:noProof/>
            <w:webHidden/>
          </w:rPr>
        </w:r>
        <w:r w:rsidR="001C71EE">
          <w:rPr>
            <w:noProof/>
            <w:webHidden/>
          </w:rPr>
          <w:fldChar w:fldCharType="separate"/>
        </w:r>
        <w:r w:rsidR="001C71EE">
          <w:rPr>
            <w:noProof/>
            <w:webHidden/>
          </w:rPr>
          <w:t>210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07" w:history="1">
        <w:r w:rsidR="001C71EE" w:rsidRPr="00193DF2">
          <w:rPr>
            <w:rStyle w:val="Hyperlink"/>
            <w:noProof/>
          </w:rPr>
          <w:t>Член 18.09 Измерване на случайна проба/специално изпитване</w:t>
        </w:r>
        <w:r w:rsidR="001C71EE">
          <w:rPr>
            <w:noProof/>
            <w:webHidden/>
          </w:rPr>
          <w:tab/>
        </w:r>
        <w:r w:rsidR="001C71EE">
          <w:rPr>
            <w:noProof/>
            <w:webHidden/>
          </w:rPr>
          <w:fldChar w:fldCharType="begin"/>
        </w:r>
        <w:r w:rsidR="001C71EE">
          <w:rPr>
            <w:noProof/>
            <w:webHidden/>
          </w:rPr>
          <w:instrText xml:space="preserve"> PAGEREF _Toc535827607 \h </w:instrText>
        </w:r>
        <w:r w:rsidR="001C71EE">
          <w:rPr>
            <w:noProof/>
            <w:webHidden/>
          </w:rPr>
        </w:r>
        <w:r w:rsidR="001C71EE">
          <w:rPr>
            <w:noProof/>
            <w:webHidden/>
          </w:rPr>
          <w:fldChar w:fldCharType="separate"/>
        </w:r>
        <w:r w:rsidR="001C71EE">
          <w:rPr>
            <w:noProof/>
            <w:webHidden/>
          </w:rPr>
          <w:t>212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08" w:history="1">
        <w:r w:rsidR="001C71EE" w:rsidRPr="00193DF2">
          <w:rPr>
            <w:rStyle w:val="Hyperlink"/>
            <w:noProof/>
          </w:rPr>
          <w:t>Член 18.10 Компетентни органи и технически служби</w:t>
        </w:r>
        <w:r w:rsidR="001C71EE">
          <w:rPr>
            <w:noProof/>
            <w:webHidden/>
          </w:rPr>
          <w:tab/>
        </w:r>
        <w:r w:rsidR="001C71EE">
          <w:rPr>
            <w:noProof/>
            <w:webHidden/>
          </w:rPr>
          <w:fldChar w:fldCharType="begin"/>
        </w:r>
        <w:r w:rsidR="001C71EE">
          <w:rPr>
            <w:noProof/>
            <w:webHidden/>
          </w:rPr>
          <w:instrText xml:space="preserve"> PAGEREF _Toc535827608 \h </w:instrText>
        </w:r>
        <w:r w:rsidR="001C71EE">
          <w:rPr>
            <w:noProof/>
            <w:webHidden/>
          </w:rPr>
        </w:r>
        <w:r w:rsidR="001C71EE">
          <w:rPr>
            <w:noProof/>
            <w:webHidden/>
          </w:rPr>
          <w:fldChar w:fldCharType="separate"/>
        </w:r>
        <w:r w:rsidR="001C71EE">
          <w:rPr>
            <w:noProof/>
            <w:webHidden/>
          </w:rPr>
          <w:t>214</w:t>
        </w:r>
        <w:r w:rsidR="001C71EE">
          <w:rPr>
            <w:noProof/>
            <w:webHidden/>
          </w:rPr>
          <w:fldChar w:fldCharType="end"/>
        </w:r>
      </w:hyperlink>
    </w:p>
    <w:p w:rsidR="001C71EE" w:rsidRDefault="002B712C">
      <w:pPr>
        <w:pStyle w:val="TOC1"/>
        <w:rPr>
          <w:rFonts w:asciiTheme="minorHAnsi" w:eastAsiaTheme="minorEastAsia" w:hAnsiTheme="minorHAnsi" w:cstheme="minorBidi"/>
          <w:b w:val="0"/>
          <w:bCs w:val="0"/>
          <w:caps w:val="0"/>
          <w:noProof/>
          <w:sz w:val="22"/>
          <w:szCs w:val="22"/>
          <w:lang w:val="en-GB" w:eastAsia="en-GB" w:bidi="ar-SA"/>
        </w:rPr>
      </w:pPr>
      <w:hyperlink w:anchor="_Toc535827609" w:history="1">
        <w:r w:rsidR="001C71EE" w:rsidRPr="00193DF2">
          <w:rPr>
            <w:rStyle w:val="Hyperlink"/>
            <w:noProof/>
          </w:rPr>
          <w:t>ЧАСТ III СПЕЦИАЛНИ РАЗПОРЕДБИ</w:t>
        </w:r>
        <w:r w:rsidR="001C71EE">
          <w:rPr>
            <w:noProof/>
            <w:webHidden/>
          </w:rPr>
          <w:tab/>
        </w:r>
        <w:r w:rsidR="001C71EE">
          <w:rPr>
            <w:noProof/>
            <w:webHidden/>
          </w:rPr>
          <w:fldChar w:fldCharType="begin"/>
        </w:r>
        <w:r w:rsidR="001C71EE">
          <w:rPr>
            <w:noProof/>
            <w:webHidden/>
          </w:rPr>
          <w:instrText xml:space="preserve"> PAGEREF _Toc535827609 \h </w:instrText>
        </w:r>
        <w:r w:rsidR="001C71EE">
          <w:rPr>
            <w:noProof/>
            <w:webHidden/>
          </w:rPr>
        </w:r>
        <w:r w:rsidR="001C71EE">
          <w:rPr>
            <w:noProof/>
            <w:webHidden/>
          </w:rPr>
          <w:fldChar w:fldCharType="separate"/>
        </w:r>
        <w:r w:rsidR="001C71EE">
          <w:rPr>
            <w:noProof/>
            <w:webHidden/>
          </w:rPr>
          <w:t>216</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610" w:history="1">
        <w:r w:rsidR="001C71EE" w:rsidRPr="00193DF2">
          <w:rPr>
            <w:rStyle w:val="Hyperlink"/>
            <w:noProof/>
          </w:rPr>
          <w:t>Глава 19 Специални разпоредби, приложими за пътническите плавателни съдове</w:t>
        </w:r>
        <w:r w:rsidR="001C71EE">
          <w:rPr>
            <w:noProof/>
            <w:webHidden/>
          </w:rPr>
          <w:tab/>
        </w:r>
        <w:r w:rsidR="001C71EE">
          <w:rPr>
            <w:noProof/>
            <w:webHidden/>
          </w:rPr>
          <w:fldChar w:fldCharType="begin"/>
        </w:r>
        <w:r w:rsidR="001C71EE">
          <w:rPr>
            <w:noProof/>
            <w:webHidden/>
          </w:rPr>
          <w:instrText xml:space="preserve"> PAGEREF _Toc535827610 \h </w:instrText>
        </w:r>
        <w:r w:rsidR="001C71EE">
          <w:rPr>
            <w:noProof/>
            <w:webHidden/>
          </w:rPr>
        </w:r>
        <w:r w:rsidR="001C71EE">
          <w:rPr>
            <w:noProof/>
            <w:webHidden/>
          </w:rPr>
          <w:fldChar w:fldCharType="separate"/>
        </w:r>
        <w:r w:rsidR="001C71EE">
          <w:rPr>
            <w:noProof/>
            <w:webHidden/>
          </w:rPr>
          <w:t>216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11" w:history="1">
        <w:r w:rsidR="001C71EE" w:rsidRPr="00193DF2">
          <w:rPr>
            <w:rStyle w:val="Hyperlink"/>
            <w:noProof/>
          </w:rPr>
          <w:t>Член 19.01 Общи разпоредби</w:t>
        </w:r>
        <w:r w:rsidR="001C71EE">
          <w:rPr>
            <w:noProof/>
            <w:webHidden/>
          </w:rPr>
          <w:tab/>
        </w:r>
        <w:r w:rsidR="001C71EE">
          <w:rPr>
            <w:noProof/>
            <w:webHidden/>
          </w:rPr>
          <w:fldChar w:fldCharType="begin"/>
        </w:r>
        <w:r w:rsidR="001C71EE">
          <w:rPr>
            <w:noProof/>
            <w:webHidden/>
          </w:rPr>
          <w:instrText xml:space="preserve"> PAGEREF _Toc535827611 \h </w:instrText>
        </w:r>
        <w:r w:rsidR="001C71EE">
          <w:rPr>
            <w:noProof/>
            <w:webHidden/>
          </w:rPr>
        </w:r>
        <w:r w:rsidR="001C71EE">
          <w:rPr>
            <w:noProof/>
            <w:webHidden/>
          </w:rPr>
          <w:fldChar w:fldCharType="separate"/>
        </w:r>
        <w:r w:rsidR="001C71EE">
          <w:rPr>
            <w:noProof/>
            <w:webHidden/>
          </w:rPr>
          <w:t>216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12" w:history="1">
        <w:r w:rsidR="001C71EE" w:rsidRPr="00193DF2">
          <w:rPr>
            <w:rStyle w:val="Hyperlink"/>
            <w:noProof/>
          </w:rPr>
          <w:t>Член 19.02 Корпус</w:t>
        </w:r>
        <w:r w:rsidR="001C71EE">
          <w:rPr>
            <w:noProof/>
            <w:webHidden/>
          </w:rPr>
          <w:tab/>
        </w:r>
        <w:r w:rsidR="001C71EE">
          <w:rPr>
            <w:noProof/>
            <w:webHidden/>
          </w:rPr>
          <w:fldChar w:fldCharType="begin"/>
        </w:r>
        <w:r w:rsidR="001C71EE">
          <w:rPr>
            <w:noProof/>
            <w:webHidden/>
          </w:rPr>
          <w:instrText xml:space="preserve"> PAGEREF _Toc535827612 \h </w:instrText>
        </w:r>
        <w:r w:rsidR="001C71EE">
          <w:rPr>
            <w:noProof/>
            <w:webHidden/>
          </w:rPr>
        </w:r>
        <w:r w:rsidR="001C71EE">
          <w:rPr>
            <w:noProof/>
            <w:webHidden/>
          </w:rPr>
          <w:fldChar w:fldCharType="separate"/>
        </w:r>
        <w:r w:rsidR="001C71EE">
          <w:rPr>
            <w:noProof/>
            <w:webHidden/>
          </w:rPr>
          <w:t>217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13" w:history="1">
        <w:r w:rsidR="001C71EE" w:rsidRPr="00193DF2">
          <w:rPr>
            <w:rStyle w:val="Hyperlink"/>
            <w:noProof/>
          </w:rPr>
          <w:t>Член 19.03 Устойчивост</w:t>
        </w:r>
        <w:r w:rsidR="001C71EE">
          <w:rPr>
            <w:noProof/>
            <w:webHidden/>
          </w:rPr>
          <w:tab/>
        </w:r>
        <w:r w:rsidR="001C71EE">
          <w:rPr>
            <w:noProof/>
            <w:webHidden/>
          </w:rPr>
          <w:fldChar w:fldCharType="begin"/>
        </w:r>
        <w:r w:rsidR="001C71EE">
          <w:rPr>
            <w:noProof/>
            <w:webHidden/>
          </w:rPr>
          <w:instrText xml:space="preserve"> PAGEREF _Toc535827613 \h </w:instrText>
        </w:r>
        <w:r w:rsidR="001C71EE">
          <w:rPr>
            <w:noProof/>
            <w:webHidden/>
          </w:rPr>
        </w:r>
        <w:r w:rsidR="001C71EE">
          <w:rPr>
            <w:noProof/>
            <w:webHidden/>
          </w:rPr>
          <w:fldChar w:fldCharType="separate"/>
        </w:r>
        <w:r w:rsidR="001C71EE">
          <w:rPr>
            <w:noProof/>
            <w:webHidden/>
          </w:rPr>
          <w:t>221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14" w:history="1">
        <w:r w:rsidR="001C71EE" w:rsidRPr="00193DF2">
          <w:rPr>
            <w:rStyle w:val="Hyperlink"/>
            <w:noProof/>
          </w:rPr>
          <w:t>Член 19.04 Разстояние на безопасност и надводен борд</w:t>
        </w:r>
        <w:r w:rsidR="001C71EE">
          <w:rPr>
            <w:noProof/>
            <w:webHidden/>
          </w:rPr>
          <w:tab/>
        </w:r>
        <w:r w:rsidR="001C71EE">
          <w:rPr>
            <w:noProof/>
            <w:webHidden/>
          </w:rPr>
          <w:fldChar w:fldCharType="begin"/>
        </w:r>
        <w:r w:rsidR="001C71EE">
          <w:rPr>
            <w:noProof/>
            <w:webHidden/>
          </w:rPr>
          <w:instrText xml:space="preserve"> PAGEREF _Toc535827614 \h </w:instrText>
        </w:r>
        <w:r w:rsidR="001C71EE">
          <w:rPr>
            <w:noProof/>
            <w:webHidden/>
          </w:rPr>
        </w:r>
        <w:r w:rsidR="001C71EE">
          <w:rPr>
            <w:noProof/>
            <w:webHidden/>
          </w:rPr>
          <w:fldChar w:fldCharType="separate"/>
        </w:r>
        <w:r w:rsidR="001C71EE">
          <w:rPr>
            <w:noProof/>
            <w:webHidden/>
          </w:rPr>
          <w:t>232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15" w:history="1">
        <w:r w:rsidR="001C71EE" w:rsidRPr="00193DF2">
          <w:rPr>
            <w:rStyle w:val="Hyperlink"/>
            <w:noProof/>
          </w:rPr>
          <w:t>Член 19.05 Максимално допустим брой пътници</w:t>
        </w:r>
        <w:r w:rsidR="001C71EE">
          <w:rPr>
            <w:noProof/>
            <w:webHidden/>
          </w:rPr>
          <w:tab/>
        </w:r>
        <w:r w:rsidR="001C71EE">
          <w:rPr>
            <w:noProof/>
            <w:webHidden/>
          </w:rPr>
          <w:fldChar w:fldCharType="begin"/>
        </w:r>
        <w:r w:rsidR="001C71EE">
          <w:rPr>
            <w:noProof/>
            <w:webHidden/>
          </w:rPr>
          <w:instrText xml:space="preserve"> PAGEREF _Toc535827615 \h </w:instrText>
        </w:r>
        <w:r w:rsidR="001C71EE">
          <w:rPr>
            <w:noProof/>
            <w:webHidden/>
          </w:rPr>
        </w:r>
        <w:r w:rsidR="001C71EE">
          <w:rPr>
            <w:noProof/>
            <w:webHidden/>
          </w:rPr>
          <w:fldChar w:fldCharType="separate"/>
        </w:r>
        <w:r w:rsidR="001C71EE">
          <w:rPr>
            <w:noProof/>
            <w:webHidden/>
          </w:rPr>
          <w:t>233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16" w:history="1">
        <w:r w:rsidR="001C71EE" w:rsidRPr="00193DF2">
          <w:rPr>
            <w:rStyle w:val="Hyperlink"/>
            <w:noProof/>
          </w:rPr>
          <w:t>Член 19.06 Помещения и пространства за пътници</w:t>
        </w:r>
        <w:r w:rsidR="001C71EE">
          <w:rPr>
            <w:noProof/>
            <w:webHidden/>
          </w:rPr>
          <w:tab/>
        </w:r>
        <w:r w:rsidR="001C71EE">
          <w:rPr>
            <w:noProof/>
            <w:webHidden/>
          </w:rPr>
          <w:fldChar w:fldCharType="begin"/>
        </w:r>
        <w:r w:rsidR="001C71EE">
          <w:rPr>
            <w:noProof/>
            <w:webHidden/>
          </w:rPr>
          <w:instrText xml:space="preserve"> PAGEREF _Toc535827616 \h </w:instrText>
        </w:r>
        <w:r w:rsidR="001C71EE">
          <w:rPr>
            <w:noProof/>
            <w:webHidden/>
          </w:rPr>
        </w:r>
        <w:r w:rsidR="001C71EE">
          <w:rPr>
            <w:noProof/>
            <w:webHidden/>
          </w:rPr>
          <w:fldChar w:fldCharType="separate"/>
        </w:r>
        <w:r w:rsidR="001C71EE">
          <w:rPr>
            <w:noProof/>
            <w:webHidden/>
          </w:rPr>
          <w:t>234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17" w:history="1">
        <w:r w:rsidR="001C71EE" w:rsidRPr="00193DF2">
          <w:rPr>
            <w:rStyle w:val="Hyperlink"/>
            <w:noProof/>
          </w:rPr>
          <w:t>Член 19.07 Задвижваща система</w:t>
        </w:r>
        <w:r w:rsidR="001C71EE">
          <w:rPr>
            <w:noProof/>
            <w:webHidden/>
          </w:rPr>
          <w:tab/>
        </w:r>
        <w:r w:rsidR="001C71EE">
          <w:rPr>
            <w:noProof/>
            <w:webHidden/>
          </w:rPr>
          <w:fldChar w:fldCharType="begin"/>
        </w:r>
        <w:r w:rsidR="001C71EE">
          <w:rPr>
            <w:noProof/>
            <w:webHidden/>
          </w:rPr>
          <w:instrText xml:space="preserve"> PAGEREF _Toc535827617 \h </w:instrText>
        </w:r>
        <w:r w:rsidR="001C71EE">
          <w:rPr>
            <w:noProof/>
            <w:webHidden/>
          </w:rPr>
        </w:r>
        <w:r w:rsidR="001C71EE">
          <w:rPr>
            <w:noProof/>
            <w:webHidden/>
          </w:rPr>
          <w:fldChar w:fldCharType="separate"/>
        </w:r>
        <w:r w:rsidR="001C71EE">
          <w:rPr>
            <w:noProof/>
            <w:webHidden/>
          </w:rPr>
          <w:t>242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18" w:history="1">
        <w:r w:rsidR="001C71EE" w:rsidRPr="00193DF2">
          <w:rPr>
            <w:rStyle w:val="Hyperlink"/>
            <w:noProof/>
          </w:rPr>
          <w:t>Член 19.08 Устройства и оборудване за безопасност</w:t>
        </w:r>
        <w:r w:rsidR="001C71EE">
          <w:rPr>
            <w:noProof/>
            <w:webHidden/>
          </w:rPr>
          <w:tab/>
        </w:r>
        <w:r w:rsidR="001C71EE">
          <w:rPr>
            <w:noProof/>
            <w:webHidden/>
          </w:rPr>
          <w:fldChar w:fldCharType="begin"/>
        </w:r>
        <w:r w:rsidR="001C71EE">
          <w:rPr>
            <w:noProof/>
            <w:webHidden/>
          </w:rPr>
          <w:instrText xml:space="preserve"> PAGEREF _Toc535827618 \h </w:instrText>
        </w:r>
        <w:r w:rsidR="001C71EE">
          <w:rPr>
            <w:noProof/>
            <w:webHidden/>
          </w:rPr>
        </w:r>
        <w:r w:rsidR="001C71EE">
          <w:rPr>
            <w:noProof/>
            <w:webHidden/>
          </w:rPr>
          <w:fldChar w:fldCharType="separate"/>
        </w:r>
        <w:r w:rsidR="001C71EE">
          <w:rPr>
            <w:noProof/>
            <w:webHidden/>
          </w:rPr>
          <w:t>242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19" w:history="1">
        <w:r w:rsidR="001C71EE" w:rsidRPr="00193DF2">
          <w:rPr>
            <w:rStyle w:val="Hyperlink"/>
            <w:noProof/>
          </w:rPr>
          <w:t>Член 19.09 Спасително оборудване</w:t>
        </w:r>
        <w:r w:rsidR="001C71EE">
          <w:rPr>
            <w:noProof/>
            <w:webHidden/>
          </w:rPr>
          <w:tab/>
        </w:r>
        <w:r w:rsidR="001C71EE">
          <w:rPr>
            <w:noProof/>
            <w:webHidden/>
          </w:rPr>
          <w:fldChar w:fldCharType="begin"/>
        </w:r>
        <w:r w:rsidR="001C71EE">
          <w:rPr>
            <w:noProof/>
            <w:webHidden/>
          </w:rPr>
          <w:instrText xml:space="preserve"> PAGEREF _Toc535827619 \h </w:instrText>
        </w:r>
        <w:r w:rsidR="001C71EE">
          <w:rPr>
            <w:noProof/>
            <w:webHidden/>
          </w:rPr>
        </w:r>
        <w:r w:rsidR="001C71EE">
          <w:rPr>
            <w:noProof/>
            <w:webHidden/>
          </w:rPr>
          <w:fldChar w:fldCharType="separate"/>
        </w:r>
        <w:r w:rsidR="001C71EE">
          <w:rPr>
            <w:noProof/>
            <w:webHidden/>
          </w:rPr>
          <w:t>245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20" w:history="1">
        <w:r w:rsidR="001C71EE" w:rsidRPr="00193DF2">
          <w:rPr>
            <w:rStyle w:val="Hyperlink"/>
            <w:noProof/>
          </w:rPr>
          <w:t>Член 19.10 Електрическо оборудване</w:t>
        </w:r>
        <w:r w:rsidR="001C71EE">
          <w:rPr>
            <w:noProof/>
            <w:webHidden/>
          </w:rPr>
          <w:tab/>
        </w:r>
        <w:r w:rsidR="001C71EE">
          <w:rPr>
            <w:noProof/>
            <w:webHidden/>
          </w:rPr>
          <w:fldChar w:fldCharType="begin"/>
        </w:r>
        <w:r w:rsidR="001C71EE">
          <w:rPr>
            <w:noProof/>
            <w:webHidden/>
          </w:rPr>
          <w:instrText xml:space="preserve"> PAGEREF _Toc535827620 \h </w:instrText>
        </w:r>
        <w:r w:rsidR="001C71EE">
          <w:rPr>
            <w:noProof/>
            <w:webHidden/>
          </w:rPr>
        </w:r>
        <w:r w:rsidR="001C71EE">
          <w:rPr>
            <w:noProof/>
            <w:webHidden/>
          </w:rPr>
          <w:fldChar w:fldCharType="separate"/>
        </w:r>
        <w:r w:rsidR="001C71EE">
          <w:rPr>
            <w:noProof/>
            <w:webHidden/>
          </w:rPr>
          <w:t>248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21" w:history="1">
        <w:r w:rsidR="001C71EE" w:rsidRPr="00193DF2">
          <w:rPr>
            <w:rStyle w:val="Hyperlink"/>
            <w:noProof/>
          </w:rPr>
          <w:t>Член 19.11 Противопожарна защита</w:t>
        </w:r>
        <w:r w:rsidR="001C71EE">
          <w:rPr>
            <w:noProof/>
            <w:webHidden/>
          </w:rPr>
          <w:tab/>
        </w:r>
        <w:r w:rsidR="001C71EE">
          <w:rPr>
            <w:noProof/>
            <w:webHidden/>
          </w:rPr>
          <w:fldChar w:fldCharType="begin"/>
        </w:r>
        <w:r w:rsidR="001C71EE">
          <w:rPr>
            <w:noProof/>
            <w:webHidden/>
          </w:rPr>
          <w:instrText xml:space="preserve"> PAGEREF _Toc535827621 \h </w:instrText>
        </w:r>
        <w:r w:rsidR="001C71EE">
          <w:rPr>
            <w:noProof/>
            <w:webHidden/>
          </w:rPr>
        </w:r>
        <w:r w:rsidR="001C71EE">
          <w:rPr>
            <w:noProof/>
            <w:webHidden/>
          </w:rPr>
          <w:fldChar w:fldCharType="separate"/>
        </w:r>
        <w:r w:rsidR="001C71EE">
          <w:rPr>
            <w:noProof/>
            <w:webHidden/>
          </w:rPr>
          <w:t>252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22" w:history="1">
        <w:r w:rsidR="001C71EE" w:rsidRPr="00193DF2">
          <w:rPr>
            <w:rStyle w:val="Hyperlink"/>
            <w:noProof/>
          </w:rPr>
          <w:t>Член 19.12 Гасене на пожари</w:t>
        </w:r>
        <w:r w:rsidR="001C71EE">
          <w:rPr>
            <w:noProof/>
            <w:webHidden/>
          </w:rPr>
          <w:tab/>
        </w:r>
        <w:r w:rsidR="001C71EE">
          <w:rPr>
            <w:noProof/>
            <w:webHidden/>
          </w:rPr>
          <w:fldChar w:fldCharType="begin"/>
        </w:r>
        <w:r w:rsidR="001C71EE">
          <w:rPr>
            <w:noProof/>
            <w:webHidden/>
          </w:rPr>
          <w:instrText xml:space="preserve"> PAGEREF _Toc535827622 \h </w:instrText>
        </w:r>
        <w:r w:rsidR="001C71EE">
          <w:rPr>
            <w:noProof/>
            <w:webHidden/>
          </w:rPr>
        </w:r>
        <w:r w:rsidR="001C71EE">
          <w:rPr>
            <w:noProof/>
            <w:webHidden/>
          </w:rPr>
          <w:fldChar w:fldCharType="separate"/>
        </w:r>
        <w:r w:rsidR="001C71EE">
          <w:rPr>
            <w:noProof/>
            <w:webHidden/>
          </w:rPr>
          <w:t>262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23" w:history="1">
        <w:r w:rsidR="001C71EE" w:rsidRPr="00193DF2">
          <w:rPr>
            <w:rStyle w:val="Hyperlink"/>
            <w:noProof/>
          </w:rPr>
          <w:t>Член 19.13 Организация на безопасността</w:t>
        </w:r>
        <w:r w:rsidR="001C71EE">
          <w:rPr>
            <w:noProof/>
            <w:webHidden/>
          </w:rPr>
          <w:tab/>
        </w:r>
        <w:r w:rsidR="001C71EE">
          <w:rPr>
            <w:noProof/>
            <w:webHidden/>
          </w:rPr>
          <w:fldChar w:fldCharType="begin"/>
        </w:r>
        <w:r w:rsidR="001C71EE">
          <w:rPr>
            <w:noProof/>
            <w:webHidden/>
          </w:rPr>
          <w:instrText xml:space="preserve"> PAGEREF _Toc535827623 \h </w:instrText>
        </w:r>
        <w:r w:rsidR="001C71EE">
          <w:rPr>
            <w:noProof/>
            <w:webHidden/>
          </w:rPr>
        </w:r>
        <w:r w:rsidR="001C71EE">
          <w:rPr>
            <w:noProof/>
            <w:webHidden/>
          </w:rPr>
          <w:fldChar w:fldCharType="separate"/>
        </w:r>
        <w:r w:rsidR="001C71EE">
          <w:rPr>
            <w:noProof/>
            <w:webHidden/>
          </w:rPr>
          <w:t>264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24" w:history="1">
        <w:r w:rsidR="001C71EE" w:rsidRPr="00193DF2">
          <w:rPr>
            <w:rStyle w:val="Hyperlink"/>
            <w:noProof/>
          </w:rPr>
          <w:t>Член 19.14 Съоръжения за събиране и изхвърляне на отпадъчни води</w:t>
        </w:r>
        <w:r w:rsidR="001C71EE">
          <w:rPr>
            <w:noProof/>
            <w:webHidden/>
          </w:rPr>
          <w:tab/>
        </w:r>
        <w:r w:rsidR="001C71EE">
          <w:rPr>
            <w:noProof/>
            <w:webHidden/>
          </w:rPr>
          <w:fldChar w:fldCharType="begin"/>
        </w:r>
        <w:r w:rsidR="001C71EE">
          <w:rPr>
            <w:noProof/>
            <w:webHidden/>
          </w:rPr>
          <w:instrText xml:space="preserve"> PAGEREF _Toc535827624 \h </w:instrText>
        </w:r>
        <w:r w:rsidR="001C71EE">
          <w:rPr>
            <w:noProof/>
            <w:webHidden/>
          </w:rPr>
        </w:r>
        <w:r w:rsidR="001C71EE">
          <w:rPr>
            <w:noProof/>
            <w:webHidden/>
          </w:rPr>
          <w:fldChar w:fldCharType="separate"/>
        </w:r>
        <w:r w:rsidR="001C71EE">
          <w:rPr>
            <w:noProof/>
            <w:webHidden/>
          </w:rPr>
          <w:t>268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25" w:history="1">
        <w:r w:rsidR="001C71EE" w:rsidRPr="00193DF2">
          <w:rPr>
            <w:rStyle w:val="Hyperlink"/>
            <w:noProof/>
          </w:rPr>
          <w:t>Член 19.15 Изключения за определени пътнически плавателни съдове</w:t>
        </w:r>
        <w:r w:rsidR="001C71EE">
          <w:rPr>
            <w:noProof/>
            <w:webHidden/>
          </w:rPr>
          <w:tab/>
        </w:r>
        <w:r w:rsidR="001C71EE">
          <w:rPr>
            <w:noProof/>
            <w:webHidden/>
          </w:rPr>
          <w:fldChar w:fldCharType="begin"/>
        </w:r>
        <w:r w:rsidR="001C71EE">
          <w:rPr>
            <w:noProof/>
            <w:webHidden/>
          </w:rPr>
          <w:instrText xml:space="preserve"> PAGEREF _Toc535827625 \h </w:instrText>
        </w:r>
        <w:r w:rsidR="001C71EE">
          <w:rPr>
            <w:noProof/>
            <w:webHidden/>
          </w:rPr>
        </w:r>
        <w:r w:rsidR="001C71EE">
          <w:rPr>
            <w:noProof/>
            <w:webHidden/>
          </w:rPr>
          <w:fldChar w:fldCharType="separate"/>
        </w:r>
        <w:r w:rsidR="001C71EE">
          <w:rPr>
            <w:noProof/>
            <w:webHidden/>
          </w:rPr>
          <w:t>268</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626" w:history="1">
        <w:r w:rsidR="001C71EE" w:rsidRPr="00193DF2">
          <w:rPr>
            <w:rStyle w:val="Hyperlink"/>
            <w:noProof/>
          </w:rPr>
          <w:t>Глава 20 Специални разпоредби, приложими за пътническите ветроходни плавателни съдове, които не плават по река Рейн (зона R)</w:t>
        </w:r>
        <w:r w:rsidR="001C71EE">
          <w:rPr>
            <w:noProof/>
            <w:webHidden/>
          </w:rPr>
          <w:tab/>
        </w:r>
        <w:r w:rsidR="001C71EE">
          <w:rPr>
            <w:noProof/>
            <w:webHidden/>
          </w:rPr>
          <w:fldChar w:fldCharType="begin"/>
        </w:r>
        <w:r w:rsidR="001C71EE">
          <w:rPr>
            <w:noProof/>
            <w:webHidden/>
          </w:rPr>
          <w:instrText xml:space="preserve"> PAGEREF _Toc535827626 \h </w:instrText>
        </w:r>
        <w:r w:rsidR="001C71EE">
          <w:rPr>
            <w:noProof/>
            <w:webHidden/>
          </w:rPr>
        </w:r>
        <w:r w:rsidR="001C71EE">
          <w:rPr>
            <w:noProof/>
            <w:webHidden/>
          </w:rPr>
          <w:fldChar w:fldCharType="separate"/>
        </w:r>
        <w:r w:rsidR="001C71EE">
          <w:rPr>
            <w:noProof/>
            <w:webHidden/>
          </w:rPr>
          <w:t>272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27" w:history="1">
        <w:r w:rsidR="001C71EE" w:rsidRPr="00193DF2">
          <w:rPr>
            <w:rStyle w:val="Hyperlink"/>
            <w:noProof/>
          </w:rPr>
          <w:t>Член 20.01 Прилагане на части II и III</w:t>
        </w:r>
        <w:r w:rsidR="001C71EE">
          <w:rPr>
            <w:noProof/>
            <w:webHidden/>
          </w:rPr>
          <w:tab/>
        </w:r>
        <w:r w:rsidR="001C71EE">
          <w:rPr>
            <w:noProof/>
            <w:webHidden/>
          </w:rPr>
          <w:fldChar w:fldCharType="begin"/>
        </w:r>
        <w:r w:rsidR="001C71EE">
          <w:rPr>
            <w:noProof/>
            <w:webHidden/>
          </w:rPr>
          <w:instrText xml:space="preserve"> PAGEREF _Toc535827627 \h </w:instrText>
        </w:r>
        <w:r w:rsidR="001C71EE">
          <w:rPr>
            <w:noProof/>
            <w:webHidden/>
          </w:rPr>
        </w:r>
        <w:r w:rsidR="001C71EE">
          <w:rPr>
            <w:noProof/>
            <w:webHidden/>
          </w:rPr>
          <w:fldChar w:fldCharType="separate"/>
        </w:r>
        <w:r w:rsidR="001C71EE">
          <w:rPr>
            <w:noProof/>
            <w:webHidden/>
          </w:rPr>
          <w:t>272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28" w:history="1">
        <w:r w:rsidR="001C71EE" w:rsidRPr="00193DF2">
          <w:rPr>
            <w:rStyle w:val="Hyperlink"/>
            <w:noProof/>
          </w:rPr>
          <w:t>Член 20.02 Изключения за някои пътнически ветроходни плавателни съдове</w:t>
        </w:r>
        <w:r w:rsidR="001C71EE">
          <w:rPr>
            <w:noProof/>
            <w:webHidden/>
          </w:rPr>
          <w:tab/>
        </w:r>
        <w:r w:rsidR="001C71EE">
          <w:rPr>
            <w:noProof/>
            <w:webHidden/>
          </w:rPr>
          <w:fldChar w:fldCharType="begin"/>
        </w:r>
        <w:r w:rsidR="001C71EE">
          <w:rPr>
            <w:noProof/>
            <w:webHidden/>
          </w:rPr>
          <w:instrText xml:space="preserve"> PAGEREF _Toc535827628 \h </w:instrText>
        </w:r>
        <w:r w:rsidR="001C71EE">
          <w:rPr>
            <w:noProof/>
            <w:webHidden/>
          </w:rPr>
        </w:r>
        <w:r w:rsidR="001C71EE">
          <w:rPr>
            <w:noProof/>
            <w:webHidden/>
          </w:rPr>
          <w:fldChar w:fldCharType="separate"/>
        </w:r>
        <w:r w:rsidR="001C71EE">
          <w:rPr>
            <w:noProof/>
            <w:webHidden/>
          </w:rPr>
          <w:t>272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29" w:history="1">
        <w:r w:rsidR="001C71EE" w:rsidRPr="00193DF2">
          <w:rPr>
            <w:rStyle w:val="Hyperlink"/>
            <w:noProof/>
          </w:rPr>
          <w:t>Член 20.03 Изисквания за устойчивостта на ветроходни плавателни съдове</w:t>
        </w:r>
        <w:r w:rsidR="001C71EE">
          <w:rPr>
            <w:noProof/>
            <w:webHidden/>
          </w:rPr>
          <w:tab/>
        </w:r>
        <w:r w:rsidR="001C71EE">
          <w:rPr>
            <w:noProof/>
            <w:webHidden/>
          </w:rPr>
          <w:fldChar w:fldCharType="begin"/>
        </w:r>
        <w:r w:rsidR="001C71EE">
          <w:rPr>
            <w:noProof/>
            <w:webHidden/>
          </w:rPr>
          <w:instrText xml:space="preserve"> PAGEREF _Toc535827629 \h </w:instrText>
        </w:r>
        <w:r w:rsidR="001C71EE">
          <w:rPr>
            <w:noProof/>
            <w:webHidden/>
          </w:rPr>
        </w:r>
        <w:r w:rsidR="001C71EE">
          <w:rPr>
            <w:noProof/>
            <w:webHidden/>
          </w:rPr>
          <w:fldChar w:fldCharType="separate"/>
        </w:r>
        <w:r w:rsidR="001C71EE">
          <w:rPr>
            <w:noProof/>
            <w:webHidden/>
          </w:rPr>
          <w:t>272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30" w:history="1">
        <w:r w:rsidR="001C71EE" w:rsidRPr="00193DF2">
          <w:rPr>
            <w:rStyle w:val="Hyperlink"/>
            <w:noProof/>
          </w:rPr>
          <w:t>Член 20.04 Изисквания относно корабната конструкция и механика</w:t>
        </w:r>
        <w:r w:rsidR="001C71EE">
          <w:rPr>
            <w:noProof/>
            <w:webHidden/>
          </w:rPr>
          <w:tab/>
        </w:r>
        <w:r w:rsidR="001C71EE">
          <w:rPr>
            <w:noProof/>
            <w:webHidden/>
          </w:rPr>
          <w:fldChar w:fldCharType="begin"/>
        </w:r>
        <w:r w:rsidR="001C71EE">
          <w:rPr>
            <w:noProof/>
            <w:webHidden/>
          </w:rPr>
          <w:instrText xml:space="preserve"> PAGEREF _Toc535827630 \h </w:instrText>
        </w:r>
        <w:r w:rsidR="001C71EE">
          <w:rPr>
            <w:noProof/>
            <w:webHidden/>
          </w:rPr>
        </w:r>
        <w:r w:rsidR="001C71EE">
          <w:rPr>
            <w:noProof/>
            <w:webHidden/>
          </w:rPr>
          <w:fldChar w:fldCharType="separate"/>
        </w:r>
        <w:r w:rsidR="001C71EE">
          <w:rPr>
            <w:noProof/>
            <w:webHidden/>
          </w:rPr>
          <w:t>274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31" w:history="1">
        <w:r w:rsidR="001C71EE" w:rsidRPr="00193DF2">
          <w:rPr>
            <w:rStyle w:val="Hyperlink"/>
            <w:noProof/>
          </w:rPr>
          <w:t>Член 20.05 Такелаж в общия случай</w:t>
        </w:r>
        <w:r w:rsidR="001C71EE">
          <w:rPr>
            <w:noProof/>
            <w:webHidden/>
          </w:rPr>
          <w:tab/>
        </w:r>
        <w:r w:rsidR="001C71EE">
          <w:rPr>
            <w:noProof/>
            <w:webHidden/>
          </w:rPr>
          <w:fldChar w:fldCharType="begin"/>
        </w:r>
        <w:r w:rsidR="001C71EE">
          <w:rPr>
            <w:noProof/>
            <w:webHidden/>
          </w:rPr>
          <w:instrText xml:space="preserve"> PAGEREF _Toc535827631 \h </w:instrText>
        </w:r>
        <w:r w:rsidR="001C71EE">
          <w:rPr>
            <w:noProof/>
            <w:webHidden/>
          </w:rPr>
        </w:r>
        <w:r w:rsidR="001C71EE">
          <w:rPr>
            <w:noProof/>
            <w:webHidden/>
          </w:rPr>
          <w:fldChar w:fldCharType="separate"/>
        </w:r>
        <w:r w:rsidR="001C71EE">
          <w:rPr>
            <w:noProof/>
            <w:webHidden/>
          </w:rPr>
          <w:t>275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32" w:history="1">
        <w:r w:rsidR="001C71EE" w:rsidRPr="00193DF2">
          <w:rPr>
            <w:rStyle w:val="Hyperlink"/>
            <w:noProof/>
          </w:rPr>
          <w:t>Член 20.06 Мачти и рангоут в общия случай</w:t>
        </w:r>
        <w:r w:rsidR="001C71EE">
          <w:rPr>
            <w:noProof/>
            <w:webHidden/>
          </w:rPr>
          <w:tab/>
        </w:r>
        <w:r w:rsidR="001C71EE">
          <w:rPr>
            <w:noProof/>
            <w:webHidden/>
          </w:rPr>
          <w:fldChar w:fldCharType="begin"/>
        </w:r>
        <w:r w:rsidR="001C71EE">
          <w:rPr>
            <w:noProof/>
            <w:webHidden/>
          </w:rPr>
          <w:instrText xml:space="preserve"> PAGEREF _Toc535827632 \h </w:instrText>
        </w:r>
        <w:r w:rsidR="001C71EE">
          <w:rPr>
            <w:noProof/>
            <w:webHidden/>
          </w:rPr>
        </w:r>
        <w:r w:rsidR="001C71EE">
          <w:rPr>
            <w:noProof/>
            <w:webHidden/>
          </w:rPr>
          <w:fldChar w:fldCharType="separate"/>
        </w:r>
        <w:r w:rsidR="001C71EE">
          <w:rPr>
            <w:noProof/>
            <w:webHidden/>
          </w:rPr>
          <w:t>276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33" w:history="1">
        <w:r w:rsidR="001C71EE" w:rsidRPr="00193DF2">
          <w:rPr>
            <w:rStyle w:val="Hyperlink"/>
            <w:noProof/>
          </w:rPr>
          <w:t>Член 20.07 Специални разпоредби за мачтите</w:t>
        </w:r>
        <w:r w:rsidR="001C71EE">
          <w:rPr>
            <w:noProof/>
            <w:webHidden/>
          </w:rPr>
          <w:tab/>
        </w:r>
        <w:r w:rsidR="001C71EE">
          <w:rPr>
            <w:noProof/>
            <w:webHidden/>
          </w:rPr>
          <w:fldChar w:fldCharType="begin"/>
        </w:r>
        <w:r w:rsidR="001C71EE">
          <w:rPr>
            <w:noProof/>
            <w:webHidden/>
          </w:rPr>
          <w:instrText xml:space="preserve"> PAGEREF _Toc535827633 \h </w:instrText>
        </w:r>
        <w:r w:rsidR="001C71EE">
          <w:rPr>
            <w:noProof/>
            <w:webHidden/>
          </w:rPr>
        </w:r>
        <w:r w:rsidR="001C71EE">
          <w:rPr>
            <w:noProof/>
            <w:webHidden/>
          </w:rPr>
          <w:fldChar w:fldCharType="separate"/>
        </w:r>
        <w:r w:rsidR="001C71EE">
          <w:rPr>
            <w:noProof/>
            <w:webHidden/>
          </w:rPr>
          <w:t>277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34" w:history="1">
        <w:r w:rsidR="001C71EE" w:rsidRPr="00193DF2">
          <w:rPr>
            <w:rStyle w:val="Hyperlink"/>
            <w:noProof/>
          </w:rPr>
          <w:t>Член 20.08 Специални разпоредби за стенгите</w:t>
        </w:r>
        <w:r w:rsidR="001C71EE">
          <w:rPr>
            <w:noProof/>
            <w:webHidden/>
          </w:rPr>
          <w:tab/>
        </w:r>
        <w:r w:rsidR="001C71EE">
          <w:rPr>
            <w:noProof/>
            <w:webHidden/>
          </w:rPr>
          <w:fldChar w:fldCharType="begin"/>
        </w:r>
        <w:r w:rsidR="001C71EE">
          <w:rPr>
            <w:noProof/>
            <w:webHidden/>
          </w:rPr>
          <w:instrText xml:space="preserve"> PAGEREF _Toc535827634 \h </w:instrText>
        </w:r>
        <w:r w:rsidR="001C71EE">
          <w:rPr>
            <w:noProof/>
            <w:webHidden/>
          </w:rPr>
        </w:r>
        <w:r w:rsidR="001C71EE">
          <w:rPr>
            <w:noProof/>
            <w:webHidden/>
          </w:rPr>
          <w:fldChar w:fldCharType="separate"/>
        </w:r>
        <w:r w:rsidR="001C71EE">
          <w:rPr>
            <w:noProof/>
            <w:webHidden/>
          </w:rPr>
          <w:t>278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35" w:history="1">
        <w:r w:rsidR="001C71EE" w:rsidRPr="00193DF2">
          <w:rPr>
            <w:rStyle w:val="Hyperlink"/>
            <w:noProof/>
          </w:rPr>
          <w:t>Член 20.09 Специални разпоредби за бушпритите</w:t>
        </w:r>
        <w:r w:rsidR="001C71EE">
          <w:rPr>
            <w:noProof/>
            <w:webHidden/>
          </w:rPr>
          <w:tab/>
        </w:r>
        <w:r w:rsidR="001C71EE">
          <w:rPr>
            <w:noProof/>
            <w:webHidden/>
          </w:rPr>
          <w:fldChar w:fldCharType="begin"/>
        </w:r>
        <w:r w:rsidR="001C71EE">
          <w:rPr>
            <w:noProof/>
            <w:webHidden/>
          </w:rPr>
          <w:instrText xml:space="preserve"> PAGEREF _Toc535827635 \h </w:instrText>
        </w:r>
        <w:r w:rsidR="001C71EE">
          <w:rPr>
            <w:noProof/>
            <w:webHidden/>
          </w:rPr>
        </w:r>
        <w:r w:rsidR="001C71EE">
          <w:rPr>
            <w:noProof/>
            <w:webHidden/>
          </w:rPr>
          <w:fldChar w:fldCharType="separate"/>
        </w:r>
        <w:r w:rsidR="001C71EE">
          <w:rPr>
            <w:noProof/>
            <w:webHidden/>
          </w:rPr>
          <w:t>279</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36" w:history="1">
        <w:r w:rsidR="001C71EE" w:rsidRPr="00193DF2">
          <w:rPr>
            <w:rStyle w:val="Hyperlink"/>
            <w:noProof/>
          </w:rPr>
          <w:t>Член 20.10 Специални разпоредби относно утлегарите</w:t>
        </w:r>
        <w:r w:rsidR="001C71EE">
          <w:rPr>
            <w:noProof/>
            <w:webHidden/>
          </w:rPr>
          <w:tab/>
        </w:r>
        <w:r w:rsidR="001C71EE">
          <w:rPr>
            <w:noProof/>
            <w:webHidden/>
          </w:rPr>
          <w:fldChar w:fldCharType="begin"/>
        </w:r>
        <w:r w:rsidR="001C71EE">
          <w:rPr>
            <w:noProof/>
            <w:webHidden/>
          </w:rPr>
          <w:instrText xml:space="preserve"> PAGEREF _Toc535827636 \h </w:instrText>
        </w:r>
        <w:r w:rsidR="001C71EE">
          <w:rPr>
            <w:noProof/>
            <w:webHidden/>
          </w:rPr>
        </w:r>
        <w:r w:rsidR="001C71EE">
          <w:rPr>
            <w:noProof/>
            <w:webHidden/>
          </w:rPr>
          <w:fldChar w:fldCharType="separate"/>
        </w:r>
        <w:r w:rsidR="001C71EE">
          <w:rPr>
            <w:noProof/>
            <w:webHidden/>
          </w:rPr>
          <w:t>279</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37" w:history="1">
        <w:r w:rsidR="001C71EE" w:rsidRPr="00193DF2">
          <w:rPr>
            <w:rStyle w:val="Hyperlink"/>
            <w:noProof/>
          </w:rPr>
          <w:t>Член 20.11 Специални разпоредби относно грот-гиковете</w:t>
        </w:r>
        <w:r w:rsidR="001C71EE">
          <w:rPr>
            <w:noProof/>
            <w:webHidden/>
          </w:rPr>
          <w:tab/>
        </w:r>
        <w:r w:rsidR="001C71EE">
          <w:rPr>
            <w:noProof/>
            <w:webHidden/>
          </w:rPr>
          <w:fldChar w:fldCharType="begin"/>
        </w:r>
        <w:r w:rsidR="001C71EE">
          <w:rPr>
            <w:noProof/>
            <w:webHidden/>
          </w:rPr>
          <w:instrText xml:space="preserve"> PAGEREF _Toc535827637 \h </w:instrText>
        </w:r>
        <w:r w:rsidR="001C71EE">
          <w:rPr>
            <w:noProof/>
            <w:webHidden/>
          </w:rPr>
        </w:r>
        <w:r w:rsidR="001C71EE">
          <w:rPr>
            <w:noProof/>
            <w:webHidden/>
          </w:rPr>
          <w:fldChar w:fldCharType="separate"/>
        </w:r>
        <w:r w:rsidR="001C71EE">
          <w:rPr>
            <w:noProof/>
            <w:webHidden/>
          </w:rPr>
          <w:t>281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38" w:history="1">
        <w:r w:rsidR="001C71EE" w:rsidRPr="00193DF2">
          <w:rPr>
            <w:rStyle w:val="Hyperlink"/>
            <w:noProof/>
          </w:rPr>
          <w:t>Член 20.12 Специални разпоредби за гафелите</w:t>
        </w:r>
        <w:r w:rsidR="001C71EE">
          <w:rPr>
            <w:noProof/>
            <w:webHidden/>
          </w:rPr>
          <w:tab/>
        </w:r>
        <w:r w:rsidR="001C71EE">
          <w:rPr>
            <w:noProof/>
            <w:webHidden/>
          </w:rPr>
          <w:fldChar w:fldCharType="begin"/>
        </w:r>
        <w:r w:rsidR="001C71EE">
          <w:rPr>
            <w:noProof/>
            <w:webHidden/>
          </w:rPr>
          <w:instrText xml:space="preserve"> PAGEREF _Toc535827638 \h </w:instrText>
        </w:r>
        <w:r w:rsidR="001C71EE">
          <w:rPr>
            <w:noProof/>
            <w:webHidden/>
          </w:rPr>
        </w:r>
        <w:r w:rsidR="001C71EE">
          <w:rPr>
            <w:noProof/>
            <w:webHidden/>
          </w:rPr>
          <w:fldChar w:fldCharType="separate"/>
        </w:r>
        <w:r w:rsidR="001C71EE">
          <w:rPr>
            <w:noProof/>
            <w:webHidden/>
          </w:rPr>
          <w:t>281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39" w:history="1">
        <w:r w:rsidR="001C71EE" w:rsidRPr="00193DF2">
          <w:rPr>
            <w:rStyle w:val="Hyperlink"/>
            <w:noProof/>
          </w:rPr>
          <w:t>Член 20.13 Общи разпоредби относно неподвижния и подвижния такелаж</w:t>
        </w:r>
        <w:r w:rsidR="001C71EE">
          <w:rPr>
            <w:noProof/>
            <w:webHidden/>
          </w:rPr>
          <w:tab/>
        </w:r>
        <w:r w:rsidR="001C71EE">
          <w:rPr>
            <w:noProof/>
            <w:webHidden/>
          </w:rPr>
          <w:fldChar w:fldCharType="begin"/>
        </w:r>
        <w:r w:rsidR="001C71EE">
          <w:rPr>
            <w:noProof/>
            <w:webHidden/>
          </w:rPr>
          <w:instrText xml:space="preserve"> PAGEREF _Toc535827639 \h </w:instrText>
        </w:r>
        <w:r w:rsidR="001C71EE">
          <w:rPr>
            <w:noProof/>
            <w:webHidden/>
          </w:rPr>
        </w:r>
        <w:r w:rsidR="001C71EE">
          <w:rPr>
            <w:noProof/>
            <w:webHidden/>
          </w:rPr>
          <w:fldChar w:fldCharType="separate"/>
        </w:r>
        <w:r w:rsidR="001C71EE">
          <w:rPr>
            <w:noProof/>
            <w:webHidden/>
          </w:rPr>
          <w:t>283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40" w:history="1">
        <w:r w:rsidR="001C71EE" w:rsidRPr="00193DF2">
          <w:rPr>
            <w:rStyle w:val="Hyperlink"/>
            <w:noProof/>
          </w:rPr>
          <w:t>Член 20.14 Специални разпоредби относно неподвижния такелаж</w:t>
        </w:r>
        <w:r w:rsidR="001C71EE">
          <w:rPr>
            <w:noProof/>
            <w:webHidden/>
          </w:rPr>
          <w:tab/>
        </w:r>
        <w:r w:rsidR="001C71EE">
          <w:rPr>
            <w:noProof/>
            <w:webHidden/>
          </w:rPr>
          <w:fldChar w:fldCharType="begin"/>
        </w:r>
        <w:r w:rsidR="001C71EE">
          <w:rPr>
            <w:noProof/>
            <w:webHidden/>
          </w:rPr>
          <w:instrText xml:space="preserve"> PAGEREF _Toc535827640 \h </w:instrText>
        </w:r>
        <w:r w:rsidR="001C71EE">
          <w:rPr>
            <w:noProof/>
            <w:webHidden/>
          </w:rPr>
        </w:r>
        <w:r w:rsidR="001C71EE">
          <w:rPr>
            <w:noProof/>
            <w:webHidden/>
          </w:rPr>
          <w:fldChar w:fldCharType="separate"/>
        </w:r>
        <w:r w:rsidR="001C71EE">
          <w:rPr>
            <w:noProof/>
            <w:webHidden/>
          </w:rPr>
          <w:t>283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41" w:history="1">
        <w:r w:rsidR="001C71EE" w:rsidRPr="00193DF2">
          <w:rPr>
            <w:rStyle w:val="Hyperlink"/>
            <w:noProof/>
          </w:rPr>
          <w:t>Член 20.15 Специални разпоредби относно подвижния такелаж</w:t>
        </w:r>
        <w:r w:rsidR="001C71EE">
          <w:rPr>
            <w:noProof/>
            <w:webHidden/>
          </w:rPr>
          <w:tab/>
        </w:r>
        <w:r w:rsidR="001C71EE">
          <w:rPr>
            <w:noProof/>
            <w:webHidden/>
          </w:rPr>
          <w:fldChar w:fldCharType="begin"/>
        </w:r>
        <w:r w:rsidR="001C71EE">
          <w:rPr>
            <w:noProof/>
            <w:webHidden/>
          </w:rPr>
          <w:instrText xml:space="preserve"> PAGEREF _Toc535827641 \h </w:instrText>
        </w:r>
        <w:r w:rsidR="001C71EE">
          <w:rPr>
            <w:noProof/>
            <w:webHidden/>
          </w:rPr>
        </w:r>
        <w:r w:rsidR="001C71EE">
          <w:rPr>
            <w:noProof/>
            <w:webHidden/>
          </w:rPr>
          <w:fldChar w:fldCharType="separate"/>
        </w:r>
        <w:r w:rsidR="001C71EE">
          <w:rPr>
            <w:noProof/>
            <w:webHidden/>
          </w:rPr>
          <w:t>285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42" w:history="1">
        <w:r w:rsidR="001C71EE" w:rsidRPr="00193DF2">
          <w:rPr>
            <w:rStyle w:val="Hyperlink"/>
            <w:noProof/>
          </w:rPr>
          <w:t>Член 20.16 Арматура и части на такелажа</w:t>
        </w:r>
        <w:r w:rsidR="001C71EE">
          <w:rPr>
            <w:noProof/>
            <w:webHidden/>
          </w:rPr>
          <w:tab/>
        </w:r>
        <w:r w:rsidR="001C71EE">
          <w:rPr>
            <w:noProof/>
            <w:webHidden/>
          </w:rPr>
          <w:fldChar w:fldCharType="begin"/>
        </w:r>
        <w:r w:rsidR="001C71EE">
          <w:rPr>
            <w:noProof/>
            <w:webHidden/>
          </w:rPr>
          <w:instrText xml:space="preserve"> PAGEREF _Toc535827642 \h </w:instrText>
        </w:r>
        <w:r w:rsidR="001C71EE">
          <w:rPr>
            <w:noProof/>
            <w:webHidden/>
          </w:rPr>
        </w:r>
        <w:r w:rsidR="001C71EE">
          <w:rPr>
            <w:noProof/>
            <w:webHidden/>
          </w:rPr>
          <w:fldChar w:fldCharType="separate"/>
        </w:r>
        <w:r w:rsidR="001C71EE">
          <w:rPr>
            <w:noProof/>
            <w:webHidden/>
          </w:rPr>
          <w:t>287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43" w:history="1">
        <w:r w:rsidR="001C71EE" w:rsidRPr="00193DF2">
          <w:rPr>
            <w:rStyle w:val="Hyperlink"/>
            <w:noProof/>
          </w:rPr>
          <w:t>Член 20.17 Платна</w:t>
        </w:r>
        <w:r w:rsidR="001C71EE">
          <w:rPr>
            <w:noProof/>
            <w:webHidden/>
          </w:rPr>
          <w:tab/>
        </w:r>
        <w:r w:rsidR="001C71EE">
          <w:rPr>
            <w:noProof/>
            <w:webHidden/>
          </w:rPr>
          <w:fldChar w:fldCharType="begin"/>
        </w:r>
        <w:r w:rsidR="001C71EE">
          <w:rPr>
            <w:noProof/>
            <w:webHidden/>
          </w:rPr>
          <w:instrText xml:space="preserve"> PAGEREF _Toc535827643 \h </w:instrText>
        </w:r>
        <w:r w:rsidR="001C71EE">
          <w:rPr>
            <w:noProof/>
            <w:webHidden/>
          </w:rPr>
        </w:r>
        <w:r w:rsidR="001C71EE">
          <w:rPr>
            <w:noProof/>
            <w:webHidden/>
          </w:rPr>
          <w:fldChar w:fldCharType="separate"/>
        </w:r>
        <w:r w:rsidR="001C71EE">
          <w:rPr>
            <w:noProof/>
            <w:webHidden/>
          </w:rPr>
          <w:t>288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44" w:history="1">
        <w:r w:rsidR="001C71EE" w:rsidRPr="00193DF2">
          <w:rPr>
            <w:rStyle w:val="Hyperlink"/>
            <w:noProof/>
          </w:rPr>
          <w:t>Член 20.18 Оборудване</w:t>
        </w:r>
        <w:r w:rsidR="001C71EE">
          <w:rPr>
            <w:noProof/>
            <w:webHidden/>
          </w:rPr>
          <w:tab/>
        </w:r>
        <w:r w:rsidR="001C71EE">
          <w:rPr>
            <w:noProof/>
            <w:webHidden/>
          </w:rPr>
          <w:fldChar w:fldCharType="begin"/>
        </w:r>
        <w:r w:rsidR="001C71EE">
          <w:rPr>
            <w:noProof/>
            <w:webHidden/>
          </w:rPr>
          <w:instrText xml:space="preserve"> PAGEREF _Toc535827644 \h </w:instrText>
        </w:r>
        <w:r w:rsidR="001C71EE">
          <w:rPr>
            <w:noProof/>
            <w:webHidden/>
          </w:rPr>
        </w:r>
        <w:r w:rsidR="001C71EE">
          <w:rPr>
            <w:noProof/>
            <w:webHidden/>
          </w:rPr>
          <w:fldChar w:fldCharType="separate"/>
        </w:r>
        <w:r w:rsidR="001C71EE">
          <w:rPr>
            <w:noProof/>
            <w:webHidden/>
          </w:rPr>
          <w:t>288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45" w:history="1">
        <w:r w:rsidR="001C71EE" w:rsidRPr="00193DF2">
          <w:rPr>
            <w:rStyle w:val="Hyperlink"/>
            <w:noProof/>
          </w:rPr>
          <w:t>Член 20.19 Изпитване</w:t>
        </w:r>
        <w:r w:rsidR="001C71EE">
          <w:rPr>
            <w:noProof/>
            <w:webHidden/>
          </w:rPr>
          <w:tab/>
        </w:r>
        <w:r w:rsidR="001C71EE">
          <w:rPr>
            <w:noProof/>
            <w:webHidden/>
          </w:rPr>
          <w:fldChar w:fldCharType="begin"/>
        </w:r>
        <w:r w:rsidR="001C71EE">
          <w:rPr>
            <w:noProof/>
            <w:webHidden/>
          </w:rPr>
          <w:instrText xml:space="preserve"> PAGEREF _Toc535827645 \h </w:instrText>
        </w:r>
        <w:r w:rsidR="001C71EE">
          <w:rPr>
            <w:noProof/>
            <w:webHidden/>
          </w:rPr>
        </w:r>
        <w:r w:rsidR="001C71EE">
          <w:rPr>
            <w:noProof/>
            <w:webHidden/>
          </w:rPr>
          <w:fldChar w:fldCharType="separate"/>
        </w:r>
        <w:r w:rsidR="001C71EE">
          <w:rPr>
            <w:noProof/>
            <w:webHidden/>
          </w:rPr>
          <w:t>288</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646" w:history="1">
        <w:r w:rsidR="001C71EE" w:rsidRPr="00193DF2">
          <w:rPr>
            <w:rStyle w:val="Hyperlink"/>
            <w:noProof/>
          </w:rPr>
          <w:t>Глава 21 Специални разпоредби, приложими за плавателни средства, предназначени да бъдат част от тласкан или влачен състав от плавателни съдове или бордово свързана група</w:t>
        </w:r>
        <w:r w:rsidR="001C71EE">
          <w:rPr>
            <w:noProof/>
            <w:webHidden/>
          </w:rPr>
          <w:tab/>
        </w:r>
        <w:r w:rsidR="001C71EE">
          <w:rPr>
            <w:noProof/>
            <w:webHidden/>
          </w:rPr>
          <w:fldChar w:fldCharType="begin"/>
        </w:r>
        <w:r w:rsidR="001C71EE">
          <w:rPr>
            <w:noProof/>
            <w:webHidden/>
          </w:rPr>
          <w:instrText xml:space="preserve"> PAGEREF _Toc535827646 \h </w:instrText>
        </w:r>
        <w:r w:rsidR="001C71EE">
          <w:rPr>
            <w:noProof/>
            <w:webHidden/>
          </w:rPr>
        </w:r>
        <w:r w:rsidR="001C71EE">
          <w:rPr>
            <w:noProof/>
            <w:webHidden/>
          </w:rPr>
          <w:fldChar w:fldCharType="separate"/>
        </w:r>
        <w:r w:rsidR="001C71EE">
          <w:rPr>
            <w:noProof/>
            <w:webHidden/>
          </w:rPr>
          <w:t>290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47" w:history="1">
        <w:r w:rsidR="001C71EE" w:rsidRPr="00193DF2">
          <w:rPr>
            <w:rStyle w:val="Hyperlink"/>
            <w:noProof/>
          </w:rPr>
          <w:t>Член 21.01 Плавателни средства, пригодни да тласкат</w:t>
        </w:r>
        <w:r w:rsidR="001C71EE">
          <w:rPr>
            <w:noProof/>
            <w:webHidden/>
          </w:rPr>
          <w:tab/>
        </w:r>
        <w:r w:rsidR="001C71EE">
          <w:rPr>
            <w:noProof/>
            <w:webHidden/>
          </w:rPr>
          <w:fldChar w:fldCharType="begin"/>
        </w:r>
        <w:r w:rsidR="001C71EE">
          <w:rPr>
            <w:noProof/>
            <w:webHidden/>
          </w:rPr>
          <w:instrText xml:space="preserve"> PAGEREF _Toc535827647 \h </w:instrText>
        </w:r>
        <w:r w:rsidR="001C71EE">
          <w:rPr>
            <w:noProof/>
            <w:webHidden/>
          </w:rPr>
        </w:r>
        <w:r w:rsidR="001C71EE">
          <w:rPr>
            <w:noProof/>
            <w:webHidden/>
          </w:rPr>
          <w:fldChar w:fldCharType="separate"/>
        </w:r>
        <w:r w:rsidR="001C71EE">
          <w:rPr>
            <w:noProof/>
            <w:webHidden/>
          </w:rPr>
          <w:t>290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48" w:history="1">
        <w:r w:rsidR="001C71EE" w:rsidRPr="00193DF2">
          <w:rPr>
            <w:rStyle w:val="Hyperlink"/>
            <w:noProof/>
          </w:rPr>
          <w:t>Член 21.02 Плавателни средства, пригодни да бъдат тласкани</w:t>
        </w:r>
        <w:r w:rsidR="001C71EE">
          <w:rPr>
            <w:noProof/>
            <w:webHidden/>
          </w:rPr>
          <w:tab/>
        </w:r>
        <w:r w:rsidR="001C71EE">
          <w:rPr>
            <w:noProof/>
            <w:webHidden/>
          </w:rPr>
          <w:fldChar w:fldCharType="begin"/>
        </w:r>
        <w:r w:rsidR="001C71EE">
          <w:rPr>
            <w:noProof/>
            <w:webHidden/>
          </w:rPr>
          <w:instrText xml:space="preserve"> PAGEREF _Toc535827648 \h </w:instrText>
        </w:r>
        <w:r w:rsidR="001C71EE">
          <w:rPr>
            <w:noProof/>
            <w:webHidden/>
          </w:rPr>
        </w:r>
        <w:r w:rsidR="001C71EE">
          <w:rPr>
            <w:noProof/>
            <w:webHidden/>
          </w:rPr>
          <w:fldChar w:fldCharType="separate"/>
        </w:r>
        <w:r w:rsidR="001C71EE">
          <w:rPr>
            <w:noProof/>
            <w:webHidden/>
          </w:rPr>
          <w:t>290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49" w:history="1">
        <w:r w:rsidR="001C71EE" w:rsidRPr="00193DF2">
          <w:rPr>
            <w:rStyle w:val="Hyperlink"/>
            <w:noProof/>
          </w:rPr>
          <w:t>Член 21.03 Плавателни средства, пригодни да задвижват бордово свързани групи</w:t>
        </w:r>
        <w:r w:rsidR="001C71EE">
          <w:rPr>
            <w:noProof/>
            <w:webHidden/>
          </w:rPr>
          <w:tab/>
        </w:r>
        <w:r w:rsidR="001C71EE">
          <w:rPr>
            <w:noProof/>
            <w:webHidden/>
          </w:rPr>
          <w:fldChar w:fldCharType="begin"/>
        </w:r>
        <w:r w:rsidR="001C71EE">
          <w:rPr>
            <w:noProof/>
            <w:webHidden/>
          </w:rPr>
          <w:instrText xml:space="preserve"> PAGEREF _Toc535827649 \h </w:instrText>
        </w:r>
        <w:r w:rsidR="001C71EE">
          <w:rPr>
            <w:noProof/>
            <w:webHidden/>
          </w:rPr>
        </w:r>
        <w:r w:rsidR="001C71EE">
          <w:rPr>
            <w:noProof/>
            <w:webHidden/>
          </w:rPr>
          <w:fldChar w:fldCharType="separate"/>
        </w:r>
        <w:r w:rsidR="001C71EE">
          <w:rPr>
            <w:noProof/>
            <w:webHidden/>
          </w:rPr>
          <w:t>292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50" w:history="1">
        <w:r w:rsidR="001C71EE" w:rsidRPr="00193DF2">
          <w:rPr>
            <w:rStyle w:val="Hyperlink"/>
            <w:noProof/>
          </w:rPr>
          <w:t>Член 21.04 Плавателни средства, пригодени да бъдат задвижвани като част от състави от плавателни съдове</w:t>
        </w:r>
        <w:r w:rsidR="001C71EE">
          <w:rPr>
            <w:noProof/>
            <w:webHidden/>
          </w:rPr>
          <w:tab/>
        </w:r>
        <w:r w:rsidR="001C71EE">
          <w:rPr>
            <w:noProof/>
            <w:webHidden/>
          </w:rPr>
          <w:fldChar w:fldCharType="begin"/>
        </w:r>
        <w:r w:rsidR="001C71EE">
          <w:rPr>
            <w:noProof/>
            <w:webHidden/>
          </w:rPr>
          <w:instrText xml:space="preserve"> PAGEREF _Toc535827650 \h </w:instrText>
        </w:r>
        <w:r w:rsidR="001C71EE">
          <w:rPr>
            <w:noProof/>
            <w:webHidden/>
          </w:rPr>
        </w:r>
        <w:r w:rsidR="001C71EE">
          <w:rPr>
            <w:noProof/>
            <w:webHidden/>
          </w:rPr>
          <w:fldChar w:fldCharType="separate"/>
        </w:r>
        <w:r w:rsidR="001C71EE">
          <w:rPr>
            <w:noProof/>
            <w:webHidden/>
          </w:rPr>
          <w:t>292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51" w:history="1">
        <w:r w:rsidR="001C71EE" w:rsidRPr="00193DF2">
          <w:rPr>
            <w:rStyle w:val="Hyperlink"/>
            <w:noProof/>
          </w:rPr>
          <w:t>Член 21.05 Плавателни средства, пригодни да бъдат теглени</w:t>
        </w:r>
        <w:r w:rsidR="001C71EE">
          <w:rPr>
            <w:noProof/>
            <w:webHidden/>
          </w:rPr>
          <w:tab/>
        </w:r>
        <w:r w:rsidR="001C71EE">
          <w:rPr>
            <w:noProof/>
            <w:webHidden/>
          </w:rPr>
          <w:fldChar w:fldCharType="begin"/>
        </w:r>
        <w:r w:rsidR="001C71EE">
          <w:rPr>
            <w:noProof/>
            <w:webHidden/>
          </w:rPr>
          <w:instrText xml:space="preserve"> PAGEREF _Toc535827651 \h </w:instrText>
        </w:r>
        <w:r w:rsidR="001C71EE">
          <w:rPr>
            <w:noProof/>
            <w:webHidden/>
          </w:rPr>
        </w:r>
        <w:r w:rsidR="001C71EE">
          <w:rPr>
            <w:noProof/>
            <w:webHidden/>
          </w:rPr>
          <w:fldChar w:fldCharType="separate"/>
        </w:r>
        <w:r w:rsidR="001C71EE">
          <w:rPr>
            <w:noProof/>
            <w:webHidden/>
          </w:rPr>
          <w:t>292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52" w:history="1">
        <w:r w:rsidR="001C71EE" w:rsidRPr="00193DF2">
          <w:rPr>
            <w:rStyle w:val="Hyperlink"/>
            <w:noProof/>
          </w:rPr>
          <w:t>Член 21.06 Ходови изпитвания на състави от плавателни съдове</w:t>
        </w:r>
        <w:r w:rsidR="001C71EE">
          <w:rPr>
            <w:noProof/>
            <w:webHidden/>
          </w:rPr>
          <w:tab/>
        </w:r>
        <w:r w:rsidR="001C71EE">
          <w:rPr>
            <w:noProof/>
            <w:webHidden/>
          </w:rPr>
          <w:fldChar w:fldCharType="begin"/>
        </w:r>
        <w:r w:rsidR="001C71EE">
          <w:rPr>
            <w:noProof/>
            <w:webHidden/>
          </w:rPr>
          <w:instrText xml:space="preserve"> PAGEREF _Toc535827652 \h </w:instrText>
        </w:r>
        <w:r w:rsidR="001C71EE">
          <w:rPr>
            <w:noProof/>
            <w:webHidden/>
          </w:rPr>
        </w:r>
        <w:r w:rsidR="001C71EE">
          <w:rPr>
            <w:noProof/>
            <w:webHidden/>
          </w:rPr>
          <w:fldChar w:fldCharType="separate"/>
        </w:r>
        <w:r w:rsidR="001C71EE">
          <w:rPr>
            <w:noProof/>
            <w:webHidden/>
          </w:rPr>
          <w:t>293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53" w:history="1">
        <w:r w:rsidR="001C71EE" w:rsidRPr="00193DF2">
          <w:rPr>
            <w:rStyle w:val="Hyperlink"/>
            <w:noProof/>
          </w:rPr>
          <w:t>Член 21.07 Вписвания в удостоверението на плавателния съд за плаване по вътрешни водни пътища</w:t>
        </w:r>
        <w:r w:rsidR="001C71EE">
          <w:rPr>
            <w:noProof/>
            <w:webHidden/>
          </w:rPr>
          <w:tab/>
        </w:r>
        <w:r w:rsidR="001C71EE">
          <w:rPr>
            <w:noProof/>
            <w:webHidden/>
          </w:rPr>
          <w:fldChar w:fldCharType="begin"/>
        </w:r>
        <w:r w:rsidR="001C71EE">
          <w:rPr>
            <w:noProof/>
            <w:webHidden/>
          </w:rPr>
          <w:instrText xml:space="preserve"> PAGEREF _Toc535827653 \h </w:instrText>
        </w:r>
        <w:r w:rsidR="001C71EE">
          <w:rPr>
            <w:noProof/>
            <w:webHidden/>
          </w:rPr>
        </w:r>
        <w:r w:rsidR="001C71EE">
          <w:rPr>
            <w:noProof/>
            <w:webHidden/>
          </w:rPr>
          <w:fldChar w:fldCharType="separate"/>
        </w:r>
        <w:r w:rsidR="001C71EE">
          <w:rPr>
            <w:noProof/>
            <w:webHidden/>
          </w:rPr>
          <w:t>294</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654" w:history="1">
        <w:r w:rsidR="001C71EE" w:rsidRPr="00193DF2">
          <w:rPr>
            <w:rStyle w:val="Hyperlink"/>
            <w:noProof/>
          </w:rPr>
          <w:t>Глава 22 Специални разпоредби, приложими за плаващи съоръжения</w:t>
        </w:r>
        <w:r w:rsidR="001C71EE">
          <w:rPr>
            <w:noProof/>
            <w:webHidden/>
          </w:rPr>
          <w:tab/>
        </w:r>
        <w:r w:rsidR="001C71EE">
          <w:rPr>
            <w:noProof/>
            <w:webHidden/>
          </w:rPr>
          <w:fldChar w:fldCharType="begin"/>
        </w:r>
        <w:r w:rsidR="001C71EE">
          <w:rPr>
            <w:noProof/>
            <w:webHidden/>
          </w:rPr>
          <w:instrText xml:space="preserve"> PAGEREF _Toc535827654 \h </w:instrText>
        </w:r>
        <w:r w:rsidR="001C71EE">
          <w:rPr>
            <w:noProof/>
            <w:webHidden/>
          </w:rPr>
        </w:r>
        <w:r w:rsidR="001C71EE">
          <w:rPr>
            <w:noProof/>
            <w:webHidden/>
          </w:rPr>
          <w:fldChar w:fldCharType="separate"/>
        </w:r>
        <w:r w:rsidR="001C71EE">
          <w:rPr>
            <w:noProof/>
            <w:webHidden/>
          </w:rPr>
          <w:t>296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55" w:history="1">
        <w:r w:rsidR="001C71EE" w:rsidRPr="00193DF2">
          <w:rPr>
            <w:rStyle w:val="Hyperlink"/>
            <w:noProof/>
          </w:rPr>
          <w:t>Член 22.01 Общи положения</w:t>
        </w:r>
        <w:r w:rsidR="001C71EE">
          <w:rPr>
            <w:noProof/>
            <w:webHidden/>
          </w:rPr>
          <w:tab/>
        </w:r>
        <w:r w:rsidR="001C71EE">
          <w:rPr>
            <w:noProof/>
            <w:webHidden/>
          </w:rPr>
          <w:fldChar w:fldCharType="begin"/>
        </w:r>
        <w:r w:rsidR="001C71EE">
          <w:rPr>
            <w:noProof/>
            <w:webHidden/>
          </w:rPr>
          <w:instrText xml:space="preserve"> PAGEREF _Toc535827655 \h </w:instrText>
        </w:r>
        <w:r w:rsidR="001C71EE">
          <w:rPr>
            <w:noProof/>
            <w:webHidden/>
          </w:rPr>
        </w:r>
        <w:r w:rsidR="001C71EE">
          <w:rPr>
            <w:noProof/>
            <w:webHidden/>
          </w:rPr>
          <w:fldChar w:fldCharType="separate"/>
        </w:r>
        <w:r w:rsidR="001C71EE">
          <w:rPr>
            <w:noProof/>
            <w:webHidden/>
          </w:rPr>
          <w:t>296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56" w:history="1">
        <w:r w:rsidR="001C71EE" w:rsidRPr="00193DF2">
          <w:rPr>
            <w:rStyle w:val="Hyperlink"/>
            <w:noProof/>
          </w:rPr>
          <w:t>Член 22.02 Изключения</w:t>
        </w:r>
        <w:r w:rsidR="001C71EE">
          <w:rPr>
            <w:noProof/>
            <w:webHidden/>
          </w:rPr>
          <w:tab/>
        </w:r>
        <w:r w:rsidR="001C71EE">
          <w:rPr>
            <w:noProof/>
            <w:webHidden/>
          </w:rPr>
          <w:fldChar w:fldCharType="begin"/>
        </w:r>
        <w:r w:rsidR="001C71EE">
          <w:rPr>
            <w:noProof/>
            <w:webHidden/>
          </w:rPr>
          <w:instrText xml:space="preserve"> PAGEREF _Toc535827656 \h </w:instrText>
        </w:r>
        <w:r w:rsidR="001C71EE">
          <w:rPr>
            <w:noProof/>
            <w:webHidden/>
          </w:rPr>
        </w:r>
        <w:r w:rsidR="001C71EE">
          <w:rPr>
            <w:noProof/>
            <w:webHidden/>
          </w:rPr>
          <w:fldChar w:fldCharType="separate"/>
        </w:r>
        <w:r w:rsidR="001C71EE">
          <w:rPr>
            <w:noProof/>
            <w:webHidden/>
          </w:rPr>
          <w:t>296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57" w:history="1">
        <w:r w:rsidR="001C71EE" w:rsidRPr="00193DF2">
          <w:rPr>
            <w:rStyle w:val="Hyperlink"/>
            <w:noProof/>
          </w:rPr>
          <w:t>Член 22.03 Допълнителни изисквания</w:t>
        </w:r>
        <w:r w:rsidR="001C71EE">
          <w:rPr>
            <w:noProof/>
            <w:webHidden/>
          </w:rPr>
          <w:tab/>
        </w:r>
        <w:r w:rsidR="001C71EE">
          <w:rPr>
            <w:noProof/>
            <w:webHidden/>
          </w:rPr>
          <w:fldChar w:fldCharType="begin"/>
        </w:r>
        <w:r w:rsidR="001C71EE">
          <w:rPr>
            <w:noProof/>
            <w:webHidden/>
          </w:rPr>
          <w:instrText xml:space="preserve"> PAGEREF _Toc535827657 \h </w:instrText>
        </w:r>
        <w:r w:rsidR="001C71EE">
          <w:rPr>
            <w:noProof/>
            <w:webHidden/>
          </w:rPr>
        </w:r>
        <w:r w:rsidR="001C71EE">
          <w:rPr>
            <w:noProof/>
            <w:webHidden/>
          </w:rPr>
          <w:fldChar w:fldCharType="separate"/>
        </w:r>
        <w:r w:rsidR="001C71EE">
          <w:rPr>
            <w:noProof/>
            <w:webHidden/>
          </w:rPr>
          <w:t>298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58" w:history="1">
        <w:r w:rsidR="001C71EE" w:rsidRPr="00193DF2">
          <w:rPr>
            <w:rStyle w:val="Hyperlink"/>
            <w:noProof/>
          </w:rPr>
          <w:t>Член 22.04 Остатъчно разстояние на безопасност</w:t>
        </w:r>
        <w:r w:rsidR="001C71EE">
          <w:rPr>
            <w:noProof/>
            <w:webHidden/>
          </w:rPr>
          <w:tab/>
        </w:r>
        <w:r w:rsidR="001C71EE">
          <w:rPr>
            <w:noProof/>
            <w:webHidden/>
          </w:rPr>
          <w:fldChar w:fldCharType="begin"/>
        </w:r>
        <w:r w:rsidR="001C71EE">
          <w:rPr>
            <w:noProof/>
            <w:webHidden/>
          </w:rPr>
          <w:instrText xml:space="preserve"> PAGEREF _Toc535827658 \h </w:instrText>
        </w:r>
        <w:r w:rsidR="001C71EE">
          <w:rPr>
            <w:noProof/>
            <w:webHidden/>
          </w:rPr>
        </w:r>
        <w:r w:rsidR="001C71EE">
          <w:rPr>
            <w:noProof/>
            <w:webHidden/>
          </w:rPr>
          <w:fldChar w:fldCharType="separate"/>
        </w:r>
        <w:r w:rsidR="001C71EE">
          <w:rPr>
            <w:noProof/>
            <w:webHidden/>
          </w:rPr>
          <w:t>298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59" w:history="1">
        <w:r w:rsidR="001C71EE" w:rsidRPr="00193DF2">
          <w:rPr>
            <w:rStyle w:val="Hyperlink"/>
            <w:noProof/>
          </w:rPr>
          <w:t>Член 22.05 Остатъчен надводен борд</w:t>
        </w:r>
        <w:r w:rsidR="001C71EE">
          <w:rPr>
            <w:noProof/>
            <w:webHidden/>
          </w:rPr>
          <w:tab/>
        </w:r>
        <w:r w:rsidR="001C71EE">
          <w:rPr>
            <w:noProof/>
            <w:webHidden/>
          </w:rPr>
          <w:fldChar w:fldCharType="begin"/>
        </w:r>
        <w:r w:rsidR="001C71EE">
          <w:rPr>
            <w:noProof/>
            <w:webHidden/>
          </w:rPr>
          <w:instrText xml:space="preserve"> PAGEREF _Toc535827659 \h </w:instrText>
        </w:r>
        <w:r w:rsidR="001C71EE">
          <w:rPr>
            <w:noProof/>
            <w:webHidden/>
          </w:rPr>
        </w:r>
        <w:r w:rsidR="001C71EE">
          <w:rPr>
            <w:noProof/>
            <w:webHidden/>
          </w:rPr>
          <w:fldChar w:fldCharType="separate"/>
        </w:r>
        <w:r w:rsidR="001C71EE">
          <w:rPr>
            <w:noProof/>
            <w:webHidden/>
          </w:rPr>
          <w:t>299</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60" w:history="1">
        <w:r w:rsidR="001C71EE" w:rsidRPr="00193DF2">
          <w:rPr>
            <w:rStyle w:val="Hyperlink"/>
            <w:noProof/>
          </w:rPr>
          <w:t>Член 22.06 Изпитване за накреняване</w:t>
        </w:r>
        <w:r w:rsidR="001C71EE">
          <w:rPr>
            <w:noProof/>
            <w:webHidden/>
          </w:rPr>
          <w:tab/>
        </w:r>
        <w:r w:rsidR="001C71EE">
          <w:rPr>
            <w:noProof/>
            <w:webHidden/>
          </w:rPr>
          <w:fldChar w:fldCharType="begin"/>
        </w:r>
        <w:r w:rsidR="001C71EE">
          <w:rPr>
            <w:noProof/>
            <w:webHidden/>
          </w:rPr>
          <w:instrText xml:space="preserve"> PAGEREF _Toc535827660 \h </w:instrText>
        </w:r>
        <w:r w:rsidR="001C71EE">
          <w:rPr>
            <w:noProof/>
            <w:webHidden/>
          </w:rPr>
        </w:r>
        <w:r w:rsidR="001C71EE">
          <w:rPr>
            <w:noProof/>
            <w:webHidden/>
          </w:rPr>
          <w:fldChar w:fldCharType="separate"/>
        </w:r>
        <w:r w:rsidR="001C71EE">
          <w:rPr>
            <w:noProof/>
            <w:webHidden/>
          </w:rPr>
          <w:t>300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61" w:history="1">
        <w:r w:rsidR="001C71EE" w:rsidRPr="00193DF2">
          <w:rPr>
            <w:rStyle w:val="Hyperlink"/>
            <w:noProof/>
          </w:rPr>
          <w:t>Член 22.07 Потвърждаване на устойчивостта</w:t>
        </w:r>
        <w:r w:rsidR="001C71EE">
          <w:rPr>
            <w:noProof/>
            <w:webHidden/>
          </w:rPr>
          <w:tab/>
        </w:r>
        <w:r w:rsidR="001C71EE">
          <w:rPr>
            <w:noProof/>
            <w:webHidden/>
          </w:rPr>
          <w:fldChar w:fldCharType="begin"/>
        </w:r>
        <w:r w:rsidR="001C71EE">
          <w:rPr>
            <w:noProof/>
            <w:webHidden/>
          </w:rPr>
          <w:instrText xml:space="preserve"> PAGEREF _Toc535827661 \h </w:instrText>
        </w:r>
        <w:r w:rsidR="001C71EE">
          <w:rPr>
            <w:noProof/>
            <w:webHidden/>
          </w:rPr>
        </w:r>
        <w:r w:rsidR="001C71EE">
          <w:rPr>
            <w:noProof/>
            <w:webHidden/>
          </w:rPr>
          <w:fldChar w:fldCharType="separate"/>
        </w:r>
        <w:r w:rsidR="001C71EE">
          <w:rPr>
            <w:noProof/>
            <w:webHidden/>
          </w:rPr>
          <w:t>300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62" w:history="1">
        <w:r w:rsidR="001C71EE" w:rsidRPr="00193DF2">
          <w:rPr>
            <w:rStyle w:val="Hyperlink"/>
            <w:noProof/>
          </w:rPr>
          <w:t>Член 22.08 Потвърждаване на устойчивостта при намален остатъчен надводен борд</w:t>
        </w:r>
        <w:r w:rsidR="001C71EE">
          <w:rPr>
            <w:noProof/>
            <w:webHidden/>
          </w:rPr>
          <w:tab/>
        </w:r>
        <w:r w:rsidR="001C71EE">
          <w:rPr>
            <w:noProof/>
            <w:webHidden/>
          </w:rPr>
          <w:fldChar w:fldCharType="begin"/>
        </w:r>
        <w:r w:rsidR="001C71EE">
          <w:rPr>
            <w:noProof/>
            <w:webHidden/>
          </w:rPr>
          <w:instrText xml:space="preserve"> PAGEREF _Toc535827662 \h </w:instrText>
        </w:r>
        <w:r w:rsidR="001C71EE">
          <w:rPr>
            <w:noProof/>
            <w:webHidden/>
          </w:rPr>
        </w:r>
        <w:r w:rsidR="001C71EE">
          <w:rPr>
            <w:noProof/>
            <w:webHidden/>
          </w:rPr>
          <w:fldChar w:fldCharType="separate"/>
        </w:r>
        <w:r w:rsidR="001C71EE">
          <w:rPr>
            <w:noProof/>
            <w:webHidden/>
          </w:rPr>
          <w:t>304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63" w:history="1">
        <w:r w:rsidR="001C71EE" w:rsidRPr="00193DF2">
          <w:rPr>
            <w:rStyle w:val="Hyperlink"/>
            <w:noProof/>
          </w:rPr>
          <w:t>Член 22.09 Марки и скали на газене</w:t>
        </w:r>
        <w:r w:rsidR="001C71EE">
          <w:rPr>
            <w:noProof/>
            <w:webHidden/>
          </w:rPr>
          <w:tab/>
        </w:r>
        <w:r w:rsidR="001C71EE">
          <w:rPr>
            <w:noProof/>
            <w:webHidden/>
          </w:rPr>
          <w:fldChar w:fldCharType="begin"/>
        </w:r>
        <w:r w:rsidR="001C71EE">
          <w:rPr>
            <w:noProof/>
            <w:webHidden/>
          </w:rPr>
          <w:instrText xml:space="preserve"> PAGEREF _Toc535827663 \h </w:instrText>
        </w:r>
        <w:r w:rsidR="001C71EE">
          <w:rPr>
            <w:noProof/>
            <w:webHidden/>
          </w:rPr>
        </w:r>
        <w:r w:rsidR="001C71EE">
          <w:rPr>
            <w:noProof/>
            <w:webHidden/>
          </w:rPr>
          <w:fldChar w:fldCharType="separate"/>
        </w:r>
        <w:r w:rsidR="001C71EE">
          <w:rPr>
            <w:noProof/>
            <w:webHidden/>
          </w:rPr>
          <w:t>306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64" w:history="1">
        <w:r w:rsidR="001C71EE" w:rsidRPr="00193DF2">
          <w:rPr>
            <w:rStyle w:val="Hyperlink"/>
            <w:noProof/>
          </w:rPr>
          <w:t>Член 22.10 Плаващи съоръжения без потвърждение за устойчивост</w:t>
        </w:r>
        <w:r w:rsidR="001C71EE">
          <w:rPr>
            <w:noProof/>
            <w:webHidden/>
          </w:rPr>
          <w:tab/>
        </w:r>
        <w:r w:rsidR="001C71EE">
          <w:rPr>
            <w:noProof/>
            <w:webHidden/>
          </w:rPr>
          <w:fldChar w:fldCharType="begin"/>
        </w:r>
        <w:r w:rsidR="001C71EE">
          <w:rPr>
            <w:noProof/>
            <w:webHidden/>
          </w:rPr>
          <w:instrText xml:space="preserve"> PAGEREF _Toc535827664 \h </w:instrText>
        </w:r>
        <w:r w:rsidR="001C71EE">
          <w:rPr>
            <w:noProof/>
            <w:webHidden/>
          </w:rPr>
        </w:r>
        <w:r w:rsidR="001C71EE">
          <w:rPr>
            <w:noProof/>
            <w:webHidden/>
          </w:rPr>
          <w:fldChar w:fldCharType="separate"/>
        </w:r>
        <w:r w:rsidR="001C71EE">
          <w:rPr>
            <w:noProof/>
            <w:webHidden/>
          </w:rPr>
          <w:t>306</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665" w:history="1">
        <w:r w:rsidR="001C71EE" w:rsidRPr="00193DF2">
          <w:rPr>
            <w:rStyle w:val="Hyperlink"/>
            <w:noProof/>
          </w:rPr>
          <w:t>Глава 23 Специални разпоредби, приложими за плавателни работни средства</w:t>
        </w:r>
        <w:r w:rsidR="001C71EE">
          <w:rPr>
            <w:noProof/>
            <w:webHidden/>
          </w:rPr>
          <w:tab/>
        </w:r>
        <w:r w:rsidR="001C71EE">
          <w:rPr>
            <w:noProof/>
            <w:webHidden/>
          </w:rPr>
          <w:fldChar w:fldCharType="begin"/>
        </w:r>
        <w:r w:rsidR="001C71EE">
          <w:rPr>
            <w:noProof/>
            <w:webHidden/>
          </w:rPr>
          <w:instrText xml:space="preserve"> PAGEREF _Toc535827665 \h </w:instrText>
        </w:r>
        <w:r w:rsidR="001C71EE">
          <w:rPr>
            <w:noProof/>
            <w:webHidden/>
          </w:rPr>
        </w:r>
        <w:r w:rsidR="001C71EE">
          <w:rPr>
            <w:noProof/>
            <w:webHidden/>
          </w:rPr>
          <w:fldChar w:fldCharType="separate"/>
        </w:r>
        <w:r w:rsidR="001C71EE">
          <w:rPr>
            <w:noProof/>
            <w:webHidden/>
          </w:rPr>
          <w:t>307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66" w:history="1">
        <w:r w:rsidR="001C71EE" w:rsidRPr="00193DF2">
          <w:rPr>
            <w:rStyle w:val="Hyperlink"/>
            <w:noProof/>
          </w:rPr>
          <w:t>Член 23.01 Условия за експлоатация</w:t>
        </w:r>
        <w:r w:rsidR="001C71EE">
          <w:rPr>
            <w:noProof/>
            <w:webHidden/>
          </w:rPr>
          <w:tab/>
        </w:r>
        <w:r w:rsidR="001C71EE">
          <w:rPr>
            <w:noProof/>
            <w:webHidden/>
          </w:rPr>
          <w:fldChar w:fldCharType="begin"/>
        </w:r>
        <w:r w:rsidR="001C71EE">
          <w:rPr>
            <w:noProof/>
            <w:webHidden/>
          </w:rPr>
          <w:instrText xml:space="preserve"> PAGEREF _Toc535827666 \h </w:instrText>
        </w:r>
        <w:r w:rsidR="001C71EE">
          <w:rPr>
            <w:noProof/>
            <w:webHidden/>
          </w:rPr>
        </w:r>
        <w:r w:rsidR="001C71EE">
          <w:rPr>
            <w:noProof/>
            <w:webHidden/>
          </w:rPr>
          <w:fldChar w:fldCharType="separate"/>
        </w:r>
        <w:r w:rsidR="001C71EE">
          <w:rPr>
            <w:noProof/>
            <w:webHidden/>
          </w:rPr>
          <w:t>307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67" w:history="1">
        <w:r w:rsidR="001C71EE" w:rsidRPr="00193DF2">
          <w:rPr>
            <w:rStyle w:val="Hyperlink"/>
            <w:noProof/>
          </w:rPr>
          <w:t>Член 23.02 Прилагане на част II</w:t>
        </w:r>
        <w:r w:rsidR="001C71EE">
          <w:rPr>
            <w:noProof/>
            <w:webHidden/>
          </w:rPr>
          <w:tab/>
        </w:r>
        <w:r w:rsidR="001C71EE">
          <w:rPr>
            <w:noProof/>
            <w:webHidden/>
          </w:rPr>
          <w:fldChar w:fldCharType="begin"/>
        </w:r>
        <w:r w:rsidR="001C71EE">
          <w:rPr>
            <w:noProof/>
            <w:webHidden/>
          </w:rPr>
          <w:instrText xml:space="preserve"> PAGEREF _Toc535827667 \h </w:instrText>
        </w:r>
        <w:r w:rsidR="001C71EE">
          <w:rPr>
            <w:noProof/>
            <w:webHidden/>
          </w:rPr>
        </w:r>
        <w:r w:rsidR="001C71EE">
          <w:rPr>
            <w:noProof/>
            <w:webHidden/>
          </w:rPr>
          <w:fldChar w:fldCharType="separate"/>
        </w:r>
        <w:r w:rsidR="001C71EE">
          <w:rPr>
            <w:noProof/>
            <w:webHidden/>
          </w:rPr>
          <w:t>307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68" w:history="1">
        <w:r w:rsidR="001C71EE" w:rsidRPr="00193DF2">
          <w:rPr>
            <w:rStyle w:val="Hyperlink"/>
            <w:noProof/>
          </w:rPr>
          <w:t>Член 23.03 Изключения</w:t>
        </w:r>
        <w:r w:rsidR="001C71EE">
          <w:rPr>
            <w:noProof/>
            <w:webHidden/>
          </w:rPr>
          <w:tab/>
        </w:r>
        <w:r w:rsidR="001C71EE">
          <w:rPr>
            <w:noProof/>
            <w:webHidden/>
          </w:rPr>
          <w:fldChar w:fldCharType="begin"/>
        </w:r>
        <w:r w:rsidR="001C71EE">
          <w:rPr>
            <w:noProof/>
            <w:webHidden/>
          </w:rPr>
          <w:instrText xml:space="preserve"> PAGEREF _Toc535827668 \h </w:instrText>
        </w:r>
        <w:r w:rsidR="001C71EE">
          <w:rPr>
            <w:noProof/>
            <w:webHidden/>
          </w:rPr>
        </w:r>
        <w:r w:rsidR="001C71EE">
          <w:rPr>
            <w:noProof/>
            <w:webHidden/>
          </w:rPr>
          <w:fldChar w:fldCharType="separate"/>
        </w:r>
        <w:r w:rsidR="001C71EE">
          <w:rPr>
            <w:noProof/>
            <w:webHidden/>
          </w:rPr>
          <w:t>307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69" w:history="1">
        <w:r w:rsidR="001C71EE" w:rsidRPr="00193DF2">
          <w:rPr>
            <w:rStyle w:val="Hyperlink"/>
            <w:noProof/>
          </w:rPr>
          <w:t>Член 23.04 Разстояние на безопасност и надводен борд</w:t>
        </w:r>
        <w:r w:rsidR="001C71EE">
          <w:rPr>
            <w:noProof/>
            <w:webHidden/>
          </w:rPr>
          <w:tab/>
        </w:r>
        <w:r w:rsidR="001C71EE">
          <w:rPr>
            <w:noProof/>
            <w:webHidden/>
          </w:rPr>
          <w:fldChar w:fldCharType="begin"/>
        </w:r>
        <w:r w:rsidR="001C71EE">
          <w:rPr>
            <w:noProof/>
            <w:webHidden/>
          </w:rPr>
          <w:instrText xml:space="preserve"> PAGEREF _Toc535827669 \h </w:instrText>
        </w:r>
        <w:r w:rsidR="001C71EE">
          <w:rPr>
            <w:noProof/>
            <w:webHidden/>
          </w:rPr>
        </w:r>
        <w:r w:rsidR="001C71EE">
          <w:rPr>
            <w:noProof/>
            <w:webHidden/>
          </w:rPr>
          <w:fldChar w:fldCharType="separate"/>
        </w:r>
        <w:r w:rsidR="001C71EE">
          <w:rPr>
            <w:noProof/>
            <w:webHidden/>
          </w:rPr>
          <w:t>309</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70" w:history="1">
        <w:r w:rsidR="001C71EE" w:rsidRPr="00193DF2">
          <w:rPr>
            <w:rStyle w:val="Hyperlink"/>
            <w:noProof/>
          </w:rPr>
          <w:t>Член 23.05 Корабни лодки</w:t>
        </w:r>
        <w:r w:rsidR="001C71EE">
          <w:rPr>
            <w:noProof/>
            <w:webHidden/>
          </w:rPr>
          <w:tab/>
        </w:r>
        <w:r w:rsidR="001C71EE">
          <w:rPr>
            <w:noProof/>
            <w:webHidden/>
          </w:rPr>
          <w:fldChar w:fldCharType="begin"/>
        </w:r>
        <w:r w:rsidR="001C71EE">
          <w:rPr>
            <w:noProof/>
            <w:webHidden/>
          </w:rPr>
          <w:instrText xml:space="preserve"> PAGEREF _Toc535827670 \h </w:instrText>
        </w:r>
        <w:r w:rsidR="001C71EE">
          <w:rPr>
            <w:noProof/>
            <w:webHidden/>
          </w:rPr>
        </w:r>
        <w:r w:rsidR="001C71EE">
          <w:rPr>
            <w:noProof/>
            <w:webHidden/>
          </w:rPr>
          <w:fldChar w:fldCharType="separate"/>
        </w:r>
        <w:r w:rsidR="001C71EE">
          <w:rPr>
            <w:noProof/>
            <w:webHidden/>
          </w:rPr>
          <w:t>309</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671" w:history="1">
        <w:r w:rsidR="001C71EE" w:rsidRPr="00193DF2">
          <w:rPr>
            <w:rStyle w:val="Hyperlink"/>
            <w:noProof/>
          </w:rPr>
          <w:t>Глава 24 Специални разпоредби, приложими за традиционните плавателни съдове</w:t>
        </w:r>
        <w:r w:rsidR="001C71EE">
          <w:rPr>
            <w:noProof/>
            <w:webHidden/>
          </w:rPr>
          <w:tab/>
        </w:r>
        <w:r w:rsidR="001C71EE">
          <w:rPr>
            <w:noProof/>
            <w:webHidden/>
          </w:rPr>
          <w:fldChar w:fldCharType="begin"/>
        </w:r>
        <w:r w:rsidR="001C71EE">
          <w:rPr>
            <w:noProof/>
            <w:webHidden/>
          </w:rPr>
          <w:instrText xml:space="preserve"> PAGEREF _Toc535827671 \h </w:instrText>
        </w:r>
        <w:r w:rsidR="001C71EE">
          <w:rPr>
            <w:noProof/>
            <w:webHidden/>
          </w:rPr>
        </w:r>
        <w:r w:rsidR="001C71EE">
          <w:rPr>
            <w:noProof/>
            <w:webHidden/>
          </w:rPr>
          <w:fldChar w:fldCharType="separate"/>
        </w:r>
        <w:r w:rsidR="001C71EE">
          <w:rPr>
            <w:noProof/>
            <w:webHidden/>
          </w:rPr>
          <w:t>310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72" w:history="1">
        <w:r w:rsidR="001C71EE" w:rsidRPr="00193DF2">
          <w:rPr>
            <w:rStyle w:val="Hyperlink"/>
            <w:noProof/>
          </w:rPr>
          <w:t>Член 24.01 Прилагане на части II и III</w:t>
        </w:r>
        <w:r w:rsidR="001C71EE">
          <w:rPr>
            <w:noProof/>
            <w:webHidden/>
          </w:rPr>
          <w:tab/>
        </w:r>
        <w:r w:rsidR="001C71EE">
          <w:rPr>
            <w:noProof/>
            <w:webHidden/>
          </w:rPr>
          <w:fldChar w:fldCharType="begin"/>
        </w:r>
        <w:r w:rsidR="001C71EE">
          <w:rPr>
            <w:noProof/>
            <w:webHidden/>
          </w:rPr>
          <w:instrText xml:space="preserve"> PAGEREF _Toc535827672 \h </w:instrText>
        </w:r>
        <w:r w:rsidR="001C71EE">
          <w:rPr>
            <w:noProof/>
            <w:webHidden/>
          </w:rPr>
        </w:r>
        <w:r w:rsidR="001C71EE">
          <w:rPr>
            <w:noProof/>
            <w:webHidden/>
          </w:rPr>
          <w:fldChar w:fldCharType="separate"/>
        </w:r>
        <w:r w:rsidR="001C71EE">
          <w:rPr>
            <w:noProof/>
            <w:webHidden/>
          </w:rPr>
          <w:t>310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73" w:history="1">
        <w:r w:rsidR="001C71EE" w:rsidRPr="00193DF2">
          <w:rPr>
            <w:rStyle w:val="Hyperlink"/>
            <w:noProof/>
          </w:rPr>
          <w:t>Член 24.02 Признаване и вписване в удостоверението на плавателния съд за плаване по вътрешни водни пътища</w:t>
        </w:r>
        <w:r w:rsidR="001C71EE">
          <w:rPr>
            <w:noProof/>
            <w:webHidden/>
          </w:rPr>
          <w:tab/>
        </w:r>
        <w:r w:rsidR="001C71EE">
          <w:rPr>
            <w:noProof/>
            <w:webHidden/>
          </w:rPr>
          <w:fldChar w:fldCharType="begin"/>
        </w:r>
        <w:r w:rsidR="001C71EE">
          <w:rPr>
            <w:noProof/>
            <w:webHidden/>
          </w:rPr>
          <w:instrText xml:space="preserve"> PAGEREF _Toc535827673 \h </w:instrText>
        </w:r>
        <w:r w:rsidR="001C71EE">
          <w:rPr>
            <w:noProof/>
            <w:webHidden/>
          </w:rPr>
        </w:r>
        <w:r w:rsidR="001C71EE">
          <w:rPr>
            <w:noProof/>
            <w:webHidden/>
          </w:rPr>
          <w:fldChar w:fldCharType="separate"/>
        </w:r>
        <w:r w:rsidR="001C71EE">
          <w:rPr>
            <w:noProof/>
            <w:webHidden/>
          </w:rPr>
          <w:t>310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74" w:history="1">
        <w:r w:rsidR="001C71EE" w:rsidRPr="00193DF2">
          <w:rPr>
            <w:rStyle w:val="Hyperlink"/>
            <w:noProof/>
          </w:rPr>
          <w:t>Член 24.03 Други разпоредби и изисквания</w:t>
        </w:r>
        <w:r w:rsidR="001C71EE">
          <w:rPr>
            <w:noProof/>
            <w:webHidden/>
          </w:rPr>
          <w:tab/>
        </w:r>
        <w:r w:rsidR="001C71EE">
          <w:rPr>
            <w:noProof/>
            <w:webHidden/>
          </w:rPr>
          <w:fldChar w:fldCharType="begin"/>
        </w:r>
        <w:r w:rsidR="001C71EE">
          <w:rPr>
            <w:noProof/>
            <w:webHidden/>
          </w:rPr>
          <w:instrText xml:space="preserve"> PAGEREF _Toc535827674 \h </w:instrText>
        </w:r>
        <w:r w:rsidR="001C71EE">
          <w:rPr>
            <w:noProof/>
            <w:webHidden/>
          </w:rPr>
        </w:r>
        <w:r w:rsidR="001C71EE">
          <w:rPr>
            <w:noProof/>
            <w:webHidden/>
          </w:rPr>
          <w:fldChar w:fldCharType="separate"/>
        </w:r>
        <w:r w:rsidR="001C71EE">
          <w:rPr>
            <w:noProof/>
            <w:webHidden/>
          </w:rPr>
          <w:t>314</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675" w:history="1">
        <w:r w:rsidR="001C71EE" w:rsidRPr="00193DF2">
          <w:rPr>
            <w:rStyle w:val="Hyperlink"/>
            <w:noProof/>
          </w:rPr>
          <w:t>Глава 25 Специални разпоредби, приложими към морски плавателни съдове</w:t>
        </w:r>
        <w:r w:rsidR="001C71EE">
          <w:rPr>
            <w:noProof/>
            <w:webHidden/>
          </w:rPr>
          <w:tab/>
        </w:r>
        <w:r w:rsidR="001C71EE">
          <w:rPr>
            <w:noProof/>
            <w:webHidden/>
          </w:rPr>
          <w:fldChar w:fldCharType="begin"/>
        </w:r>
        <w:r w:rsidR="001C71EE">
          <w:rPr>
            <w:noProof/>
            <w:webHidden/>
          </w:rPr>
          <w:instrText xml:space="preserve"> PAGEREF _Toc535827675 \h </w:instrText>
        </w:r>
        <w:r w:rsidR="001C71EE">
          <w:rPr>
            <w:noProof/>
            <w:webHidden/>
          </w:rPr>
        </w:r>
        <w:r w:rsidR="001C71EE">
          <w:rPr>
            <w:noProof/>
            <w:webHidden/>
          </w:rPr>
          <w:fldChar w:fldCharType="separate"/>
        </w:r>
        <w:r w:rsidR="001C71EE">
          <w:rPr>
            <w:noProof/>
            <w:webHidden/>
          </w:rPr>
          <w:t>316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76" w:history="1">
        <w:r w:rsidR="001C71EE" w:rsidRPr="00193DF2">
          <w:rPr>
            <w:rStyle w:val="Hyperlink"/>
            <w:noProof/>
          </w:rPr>
          <w:t>Член 25.01 Разпоредби за река Рейн (зона R)</w:t>
        </w:r>
        <w:r w:rsidR="001C71EE">
          <w:rPr>
            <w:noProof/>
            <w:webHidden/>
          </w:rPr>
          <w:tab/>
        </w:r>
        <w:r w:rsidR="001C71EE">
          <w:rPr>
            <w:noProof/>
            <w:webHidden/>
          </w:rPr>
          <w:fldChar w:fldCharType="begin"/>
        </w:r>
        <w:r w:rsidR="001C71EE">
          <w:rPr>
            <w:noProof/>
            <w:webHidden/>
          </w:rPr>
          <w:instrText xml:space="preserve"> PAGEREF _Toc535827676 \h </w:instrText>
        </w:r>
        <w:r w:rsidR="001C71EE">
          <w:rPr>
            <w:noProof/>
            <w:webHidden/>
          </w:rPr>
        </w:r>
        <w:r w:rsidR="001C71EE">
          <w:rPr>
            <w:noProof/>
            <w:webHidden/>
          </w:rPr>
          <w:fldChar w:fldCharType="separate"/>
        </w:r>
        <w:r w:rsidR="001C71EE">
          <w:rPr>
            <w:noProof/>
            <w:webHidden/>
          </w:rPr>
          <w:t>316</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677" w:history="1">
        <w:r w:rsidR="001C71EE" w:rsidRPr="00193DF2">
          <w:rPr>
            <w:rStyle w:val="Hyperlink"/>
            <w:noProof/>
          </w:rPr>
          <w:t>Глава 26 Специални разпоредби, приложими за плавателните съдове за отдих</w:t>
        </w:r>
        <w:r w:rsidR="001C71EE">
          <w:rPr>
            <w:noProof/>
            <w:webHidden/>
          </w:rPr>
          <w:tab/>
        </w:r>
        <w:r w:rsidR="001C71EE">
          <w:rPr>
            <w:noProof/>
            <w:webHidden/>
          </w:rPr>
          <w:fldChar w:fldCharType="begin"/>
        </w:r>
        <w:r w:rsidR="001C71EE">
          <w:rPr>
            <w:noProof/>
            <w:webHidden/>
          </w:rPr>
          <w:instrText xml:space="preserve"> PAGEREF _Toc535827677 \h </w:instrText>
        </w:r>
        <w:r w:rsidR="001C71EE">
          <w:rPr>
            <w:noProof/>
            <w:webHidden/>
          </w:rPr>
        </w:r>
        <w:r w:rsidR="001C71EE">
          <w:rPr>
            <w:noProof/>
            <w:webHidden/>
          </w:rPr>
          <w:fldChar w:fldCharType="separate"/>
        </w:r>
        <w:r w:rsidR="001C71EE">
          <w:rPr>
            <w:noProof/>
            <w:webHidden/>
          </w:rPr>
          <w:t>319</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78" w:history="1">
        <w:r w:rsidR="001C71EE" w:rsidRPr="00193DF2">
          <w:rPr>
            <w:rStyle w:val="Hyperlink"/>
            <w:noProof/>
          </w:rPr>
          <w:t>Член 26.01 Прилагане на част II</w:t>
        </w:r>
        <w:r w:rsidR="001C71EE">
          <w:rPr>
            <w:noProof/>
            <w:webHidden/>
          </w:rPr>
          <w:tab/>
        </w:r>
        <w:r w:rsidR="001C71EE">
          <w:rPr>
            <w:noProof/>
            <w:webHidden/>
          </w:rPr>
          <w:fldChar w:fldCharType="begin"/>
        </w:r>
        <w:r w:rsidR="001C71EE">
          <w:rPr>
            <w:noProof/>
            <w:webHidden/>
          </w:rPr>
          <w:instrText xml:space="preserve"> PAGEREF _Toc535827678 \h </w:instrText>
        </w:r>
        <w:r w:rsidR="001C71EE">
          <w:rPr>
            <w:noProof/>
            <w:webHidden/>
          </w:rPr>
        </w:r>
        <w:r w:rsidR="001C71EE">
          <w:rPr>
            <w:noProof/>
            <w:webHidden/>
          </w:rPr>
          <w:fldChar w:fldCharType="separate"/>
        </w:r>
        <w:r w:rsidR="001C71EE">
          <w:rPr>
            <w:noProof/>
            <w:webHidden/>
          </w:rPr>
          <w:t>319</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679" w:history="1">
        <w:r w:rsidR="001C71EE" w:rsidRPr="00193DF2">
          <w:rPr>
            <w:rStyle w:val="Hyperlink"/>
            <w:noProof/>
          </w:rPr>
          <w:t>Глава 27 Специални разпоредби, приложими за плавателни съдове, превозващи контейнери</w:t>
        </w:r>
        <w:r w:rsidR="001C71EE">
          <w:rPr>
            <w:noProof/>
            <w:webHidden/>
          </w:rPr>
          <w:tab/>
        </w:r>
        <w:r w:rsidR="001C71EE">
          <w:rPr>
            <w:noProof/>
            <w:webHidden/>
          </w:rPr>
          <w:fldChar w:fldCharType="begin"/>
        </w:r>
        <w:r w:rsidR="001C71EE">
          <w:rPr>
            <w:noProof/>
            <w:webHidden/>
          </w:rPr>
          <w:instrText xml:space="preserve"> PAGEREF _Toc535827679 \h </w:instrText>
        </w:r>
        <w:r w:rsidR="001C71EE">
          <w:rPr>
            <w:noProof/>
            <w:webHidden/>
          </w:rPr>
        </w:r>
        <w:r w:rsidR="001C71EE">
          <w:rPr>
            <w:noProof/>
            <w:webHidden/>
          </w:rPr>
          <w:fldChar w:fldCharType="separate"/>
        </w:r>
        <w:r w:rsidR="001C71EE">
          <w:rPr>
            <w:noProof/>
            <w:webHidden/>
          </w:rPr>
          <w:t>322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80" w:history="1">
        <w:r w:rsidR="001C71EE" w:rsidRPr="00193DF2">
          <w:rPr>
            <w:rStyle w:val="Hyperlink"/>
            <w:noProof/>
          </w:rPr>
          <w:t>Член 27.01 Общи положения</w:t>
        </w:r>
        <w:r w:rsidR="001C71EE">
          <w:rPr>
            <w:noProof/>
            <w:webHidden/>
          </w:rPr>
          <w:tab/>
        </w:r>
        <w:r w:rsidR="001C71EE">
          <w:rPr>
            <w:noProof/>
            <w:webHidden/>
          </w:rPr>
          <w:fldChar w:fldCharType="begin"/>
        </w:r>
        <w:r w:rsidR="001C71EE">
          <w:rPr>
            <w:noProof/>
            <w:webHidden/>
          </w:rPr>
          <w:instrText xml:space="preserve"> PAGEREF _Toc535827680 \h </w:instrText>
        </w:r>
        <w:r w:rsidR="001C71EE">
          <w:rPr>
            <w:noProof/>
            <w:webHidden/>
          </w:rPr>
        </w:r>
        <w:r w:rsidR="001C71EE">
          <w:rPr>
            <w:noProof/>
            <w:webHidden/>
          </w:rPr>
          <w:fldChar w:fldCharType="separate"/>
        </w:r>
        <w:r w:rsidR="001C71EE">
          <w:rPr>
            <w:noProof/>
            <w:webHidden/>
          </w:rPr>
          <w:t>322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81" w:history="1">
        <w:r w:rsidR="001C71EE" w:rsidRPr="00193DF2">
          <w:rPr>
            <w:rStyle w:val="Hyperlink"/>
            <w:noProof/>
          </w:rPr>
          <w:t>Член 27.02 Ограничителни условия и метод на изчисляване на потвърждението за устойчивост за транспорта на незакрепени контейнери</w:t>
        </w:r>
        <w:r w:rsidR="001C71EE">
          <w:rPr>
            <w:noProof/>
            <w:webHidden/>
          </w:rPr>
          <w:tab/>
        </w:r>
        <w:r w:rsidR="001C71EE">
          <w:rPr>
            <w:noProof/>
            <w:webHidden/>
          </w:rPr>
          <w:fldChar w:fldCharType="begin"/>
        </w:r>
        <w:r w:rsidR="001C71EE">
          <w:rPr>
            <w:noProof/>
            <w:webHidden/>
          </w:rPr>
          <w:instrText xml:space="preserve"> PAGEREF _Toc535827681 \h </w:instrText>
        </w:r>
        <w:r w:rsidR="001C71EE">
          <w:rPr>
            <w:noProof/>
            <w:webHidden/>
          </w:rPr>
        </w:r>
        <w:r w:rsidR="001C71EE">
          <w:rPr>
            <w:noProof/>
            <w:webHidden/>
          </w:rPr>
          <w:fldChar w:fldCharType="separate"/>
        </w:r>
        <w:r w:rsidR="001C71EE">
          <w:rPr>
            <w:noProof/>
            <w:webHidden/>
          </w:rPr>
          <w:t>322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82" w:history="1">
        <w:r w:rsidR="001C71EE" w:rsidRPr="00193DF2">
          <w:rPr>
            <w:rStyle w:val="Hyperlink"/>
            <w:noProof/>
          </w:rPr>
          <w:t>Член 27.03 Ограничителни условия и метод на изчисляване на потвърждението за устойчивост за транспорта на закрепени контейнери</w:t>
        </w:r>
        <w:r w:rsidR="001C71EE">
          <w:rPr>
            <w:noProof/>
            <w:webHidden/>
          </w:rPr>
          <w:tab/>
        </w:r>
        <w:r w:rsidR="001C71EE">
          <w:rPr>
            <w:noProof/>
            <w:webHidden/>
          </w:rPr>
          <w:fldChar w:fldCharType="begin"/>
        </w:r>
        <w:r w:rsidR="001C71EE">
          <w:rPr>
            <w:noProof/>
            <w:webHidden/>
          </w:rPr>
          <w:instrText xml:space="preserve"> PAGEREF _Toc535827682 \h </w:instrText>
        </w:r>
        <w:r w:rsidR="001C71EE">
          <w:rPr>
            <w:noProof/>
            <w:webHidden/>
          </w:rPr>
        </w:r>
        <w:r w:rsidR="001C71EE">
          <w:rPr>
            <w:noProof/>
            <w:webHidden/>
          </w:rPr>
          <w:fldChar w:fldCharType="separate"/>
        </w:r>
        <w:r w:rsidR="001C71EE">
          <w:rPr>
            <w:noProof/>
            <w:webHidden/>
          </w:rPr>
          <w:t>328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83" w:history="1">
        <w:r w:rsidR="001C71EE" w:rsidRPr="00193DF2">
          <w:rPr>
            <w:rStyle w:val="Hyperlink"/>
            <w:noProof/>
          </w:rPr>
          <w:t>Член 27.04 Процедура за оценка на устойчивостта на борда</w:t>
        </w:r>
        <w:r w:rsidR="001C71EE">
          <w:rPr>
            <w:noProof/>
            <w:webHidden/>
          </w:rPr>
          <w:tab/>
        </w:r>
        <w:r w:rsidR="001C71EE">
          <w:rPr>
            <w:noProof/>
            <w:webHidden/>
          </w:rPr>
          <w:fldChar w:fldCharType="begin"/>
        </w:r>
        <w:r w:rsidR="001C71EE">
          <w:rPr>
            <w:noProof/>
            <w:webHidden/>
          </w:rPr>
          <w:instrText xml:space="preserve"> PAGEREF _Toc535827683 \h </w:instrText>
        </w:r>
        <w:r w:rsidR="001C71EE">
          <w:rPr>
            <w:noProof/>
            <w:webHidden/>
          </w:rPr>
        </w:r>
        <w:r w:rsidR="001C71EE">
          <w:rPr>
            <w:noProof/>
            <w:webHidden/>
          </w:rPr>
          <w:fldChar w:fldCharType="separate"/>
        </w:r>
        <w:r w:rsidR="001C71EE">
          <w:rPr>
            <w:noProof/>
            <w:webHidden/>
          </w:rPr>
          <w:t>330</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684" w:history="1">
        <w:r w:rsidR="001C71EE" w:rsidRPr="00193DF2">
          <w:rPr>
            <w:rStyle w:val="Hyperlink"/>
            <w:noProof/>
          </w:rPr>
          <w:t>Глава 28 Специални разпоредби по отношение на плавателни средства с дължина над 110 m</w:t>
        </w:r>
        <w:r w:rsidR="001C71EE">
          <w:rPr>
            <w:noProof/>
            <w:webHidden/>
          </w:rPr>
          <w:tab/>
        </w:r>
        <w:r w:rsidR="001C71EE">
          <w:rPr>
            <w:noProof/>
            <w:webHidden/>
          </w:rPr>
          <w:fldChar w:fldCharType="begin"/>
        </w:r>
        <w:r w:rsidR="001C71EE">
          <w:rPr>
            <w:noProof/>
            <w:webHidden/>
          </w:rPr>
          <w:instrText xml:space="preserve"> PAGEREF _Toc535827684 \h </w:instrText>
        </w:r>
        <w:r w:rsidR="001C71EE">
          <w:rPr>
            <w:noProof/>
            <w:webHidden/>
          </w:rPr>
        </w:r>
        <w:r w:rsidR="001C71EE">
          <w:rPr>
            <w:noProof/>
            <w:webHidden/>
          </w:rPr>
          <w:fldChar w:fldCharType="separate"/>
        </w:r>
        <w:r w:rsidR="001C71EE">
          <w:rPr>
            <w:noProof/>
            <w:webHidden/>
          </w:rPr>
          <w:t>333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85" w:history="1">
        <w:r w:rsidR="001C71EE" w:rsidRPr="00193DF2">
          <w:rPr>
            <w:rStyle w:val="Hyperlink"/>
            <w:noProof/>
          </w:rPr>
          <w:t>Член 28.01 Прилагане на част II</w:t>
        </w:r>
        <w:r w:rsidR="001C71EE">
          <w:rPr>
            <w:noProof/>
            <w:webHidden/>
          </w:rPr>
          <w:tab/>
        </w:r>
        <w:r w:rsidR="001C71EE">
          <w:rPr>
            <w:noProof/>
            <w:webHidden/>
          </w:rPr>
          <w:fldChar w:fldCharType="begin"/>
        </w:r>
        <w:r w:rsidR="001C71EE">
          <w:rPr>
            <w:noProof/>
            <w:webHidden/>
          </w:rPr>
          <w:instrText xml:space="preserve"> PAGEREF _Toc535827685 \h </w:instrText>
        </w:r>
        <w:r w:rsidR="001C71EE">
          <w:rPr>
            <w:noProof/>
            <w:webHidden/>
          </w:rPr>
        </w:r>
        <w:r w:rsidR="001C71EE">
          <w:rPr>
            <w:noProof/>
            <w:webHidden/>
          </w:rPr>
          <w:fldChar w:fldCharType="separate"/>
        </w:r>
        <w:r w:rsidR="001C71EE">
          <w:rPr>
            <w:noProof/>
            <w:webHidden/>
          </w:rPr>
          <w:t>333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86" w:history="1">
        <w:r w:rsidR="001C71EE" w:rsidRPr="00193DF2">
          <w:rPr>
            <w:rStyle w:val="Hyperlink"/>
            <w:noProof/>
          </w:rPr>
          <w:t>Член 28.02 Якост</w:t>
        </w:r>
        <w:r w:rsidR="001C71EE">
          <w:rPr>
            <w:noProof/>
            <w:webHidden/>
          </w:rPr>
          <w:tab/>
        </w:r>
        <w:r w:rsidR="001C71EE">
          <w:rPr>
            <w:noProof/>
            <w:webHidden/>
          </w:rPr>
          <w:fldChar w:fldCharType="begin"/>
        </w:r>
        <w:r w:rsidR="001C71EE">
          <w:rPr>
            <w:noProof/>
            <w:webHidden/>
          </w:rPr>
          <w:instrText xml:space="preserve"> PAGEREF _Toc535827686 \h </w:instrText>
        </w:r>
        <w:r w:rsidR="001C71EE">
          <w:rPr>
            <w:noProof/>
            <w:webHidden/>
          </w:rPr>
        </w:r>
        <w:r w:rsidR="001C71EE">
          <w:rPr>
            <w:noProof/>
            <w:webHidden/>
          </w:rPr>
          <w:fldChar w:fldCharType="separate"/>
        </w:r>
        <w:r w:rsidR="001C71EE">
          <w:rPr>
            <w:noProof/>
            <w:webHidden/>
          </w:rPr>
          <w:t>333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87" w:history="1">
        <w:r w:rsidR="001C71EE" w:rsidRPr="00193DF2">
          <w:rPr>
            <w:rStyle w:val="Hyperlink"/>
            <w:noProof/>
          </w:rPr>
          <w:t>Член 28.03 Плавателност и устойчивост</w:t>
        </w:r>
        <w:r w:rsidR="001C71EE">
          <w:rPr>
            <w:noProof/>
            <w:webHidden/>
          </w:rPr>
          <w:tab/>
        </w:r>
        <w:r w:rsidR="001C71EE">
          <w:rPr>
            <w:noProof/>
            <w:webHidden/>
          </w:rPr>
          <w:fldChar w:fldCharType="begin"/>
        </w:r>
        <w:r w:rsidR="001C71EE">
          <w:rPr>
            <w:noProof/>
            <w:webHidden/>
          </w:rPr>
          <w:instrText xml:space="preserve"> PAGEREF _Toc535827687 \h </w:instrText>
        </w:r>
        <w:r w:rsidR="001C71EE">
          <w:rPr>
            <w:noProof/>
            <w:webHidden/>
          </w:rPr>
        </w:r>
        <w:r w:rsidR="001C71EE">
          <w:rPr>
            <w:noProof/>
            <w:webHidden/>
          </w:rPr>
          <w:fldChar w:fldCharType="separate"/>
        </w:r>
        <w:r w:rsidR="001C71EE">
          <w:rPr>
            <w:noProof/>
            <w:webHidden/>
          </w:rPr>
          <w:t>333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88" w:history="1">
        <w:r w:rsidR="001C71EE" w:rsidRPr="00193DF2">
          <w:rPr>
            <w:rStyle w:val="Hyperlink"/>
            <w:noProof/>
          </w:rPr>
          <w:t>Член 28.04 Допълнителни изисквания</w:t>
        </w:r>
        <w:r w:rsidR="001C71EE">
          <w:rPr>
            <w:noProof/>
            <w:webHidden/>
          </w:rPr>
          <w:tab/>
        </w:r>
        <w:r w:rsidR="001C71EE">
          <w:rPr>
            <w:noProof/>
            <w:webHidden/>
          </w:rPr>
          <w:fldChar w:fldCharType="begin"/>
        </w:r>
        <w:r w:rsidR="001C71EE">
          <w:rPr>
            <w:noProof/>
            <w:webHidden/>
          </w:rPr>
          <w:instrText xml:space="preserve"> PAGEREF _Toc535827688 \h </w:instrText>
        </w:r>
        <w:r w:rsidR="001C71EE">
          <w:rPr>
            <w:noProof/>
            <w:webHidden/>
          </w:rPr>
        </w:r>
        <w:r w:rsidR="001C71EE">
          <w:rPr>
            <w:noProof/>
            <w:webHidden/>
          </w:rPr>
          <w:fldChar w:fldCharType="separate"/>
        </w:r>
        <w:r w:rsidR="001C71EE">
          <w:rPr>
            <w:noProof/>
            <w:webHidden/>
          </w:rPr>
          <w:t>339</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689" w:history="1">
        <w:r w:rsidR="001C71EE" w:rsidRPr="00193DF2">
          <w:rPr>
            <w:rStyle w:val="Hyperlink"/>
            <w:noProof/>
          </w:rPr>
          <w:t>Глава 29 Специални разпоредби, приложими към високоскоростни плавателни съдове</w:t>
        </w:r>
        <w:r w:rsidR="001C71EE">
          <w:rPr>
            <w:noProof/>
            <w:webHidden/>
          </w:rPr>
          <w:tab/>
        </w:r>
        <w:r w:rsidR="001C71EE">
          <w:rPr>
            <w:noProof/>
            <w:webHidden/>
          </w:rPr>
          <w:fldChar w:fldCharType="begin"/>
        </w:r>
        <w:r w:rsidR="001C71EE">
          <w:rPr>
            <w:noProof/>
            <w:webHidden/>
          </w:rPr>
          <w:instrText xml:space="preserve"> PAGEREF _Toc535827689 \h </w:instrText>
        </w:r>
        <w:r w:rsidR="001C71EE">
          <w:rPr>
            <w:noProof/>
            <w:webHidden/>
          </w:rPr>
        </w:r>
        <w:r w:rsidR="001C71EE">
          <w:rPr>
            <w:noProof/>
            <w:webHidden/>
          </w:rPr>
          <w:fldChar w:fldCharType="separate"/>
        </w:r>
        <w:r w:rsidR="001C71EE">
          <w:rPr>
            <w:noProof/>
            <w:webHidden/>
          </w:rPr>
          <w:t>343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90" w:history="1">
        <w:r w:rsidR="001C71EE" w:rsidRPr="00193DF2">
          <w:rPr>
            <w:rStyle w:val="Hyperlink"/>
            <w:noProof/>
          </w:rPr>
          <w:t>Член 29.01 Общи положения</w:t>
        </w:r>
        <w:r w:rsidR="001C71EE">
          <w:rPr>
            <w:noProof/>
            <w:webHidden/>
          </w:rPr>
          <w:tab/>
        </w:r>
        <w:r w:rsidR="001C71EE">
          <w:rPr>
            <w:noProof/>
            <w:webHidden/>
          </w:rPr>
          <w:fldChar w:fldCharType="begin"/>
        </w:r>
        <w:r w:rsidR="001C71EE">
          <w:rPr>
            <w:noProof/>
            <w:webHidden/>
          </w:rPr>
          <w:instrText xml:space="preserve"> PAGEREF _Toc535827690 \h </w:instrText>
        </w:r>
        <w:r w:rsidR="001C71EE">
          <w:rPr>
            <w:noProof/>
            <w:webHidden/>
          </w:rPr>
        </w:r>
        <w:r w:rsidR="001C71EE">
          <w:rPr>
            <w:noProof/>
            <w:webHidden/>
          </w:rPr>
          <w:fldChar w:fldCharType="separate"/>
        </w:r>
        <w:r w:rsidR="001C71EE">
          <w:rPr>
            <w:noProof/>
            <w:webHidden/>
          </w:rPr>
          <w:t>343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91" w:history="1">
        <w:r w:rsidR="001C71EE" w:rsidRPr="00193DF2">
          <w:rPr>
            <w:rStyle w:val="Hyperlink"/>
            <w:noProof/>
          </w:rPr>
          <w:t>Член 29.02 Прилагане на части II и III</w:t>
        </w:r>
        <w:r w:rsidR="001C71EE">
          <w:rPr>
            <w:noProof/>
            <w:webHidden/>
          </w:rPr>
          <w:tab/>
        </w:r>
        <w:r w:rsidR="001C71EE">
          <w:rPr>
            <w:noProof/>
            <w:webHidden/>
          </w:rPr>
          <w:fldChar w:fldCharType="begin"/>
        </w:r>
        <w:r w:rsidR="001C71EE">
          <w:rPr>
            <w:noProof/>
            <w:webHidden/>
          </w:rPr>
          <w:instrText xml:space="preserve"> PAGEREF _Toc535827691 \h </w:instrText>
        </w:r>
        <w:r w:rsidR="001C71EE">
          <w:rPr>
            <w:noProof/>
            <w:webHidden/>
          </w:rPr>
        </w:r>
        <w:r w:rsidR="001C71EE">
          <w:rPr>
            <w:noProof/>
            <w:webHidden/>
          </w:rPr>
          <w:fldChar w:fldCharType="separate"/>
        </w:r>
        <w:r w:rsidR="001C71EE">
          <w:rPr>
            <w:noProof/>
            <w:webHidden/>
          </w:rPr>
          <w:t>343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92" w:history="1">
        <w:r w:rsidR="001C71EE" w:rsidRPr="00193DF2">
          <w:rPr>
            <w:rStyle w:val="Hyperlink"/>
            <w:noProof/>
          </w:rPr>
          <w:t>Член 29.03 Седалки и предпазни колани</w:t>
        </w:r>
        <w:r w:rsidR="001C71EE">
          <w:rPr>
            <w:noProof/>
            <w:webHidden/>
          </w:rPr>
          <w:tab/>
        </w:r>
        <w:r w:rsidR="001C71EE">
          <w:rPr>
            <w:noProof/>
            <w:webHidden/>
          </w:rPr>
          <w:fldChar w:fldCharType="begin"/>
        </w:r>
        <w:r w:rsidR="001C71EE">
          <w:rPr>
            <w:noProof/>
            <w:webHidden/>
          </w:rPr>
          <w:instrText xml:space="preserve"> PAGEREF _Toc535827692 \h </w:instrText>
        </w:r>
        <w:r w:rsidR="001C71EE">
          <w:rPr>
            <w:noProof/>
            <w:webHidden/>
          </w:rPr>
        </w:r>
        <w:r w:rsidR="001C71EE">
          <w:rPr>
            <w:noProof/>
            <w:webHidden/>
          </w:rPr>
          <w:fldChar w:fldCharType="separate"/>
        </w:r>
        <w:r w:rsidR="001C71EE">
          <w:rPr>
            <w:noProof/>
            <w:webHidden/>
          </w:rPr>
          <w:t>345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93" w:history="1">
        <w:r w:rsidR="001C71EE" w:rsidRPr="00193DF2">
          <w:rPr>
            <w:rStyle w:val="Hyperlink"/>
            <w:noProof/>
          </w:rPr>
          <w:t>Член 29.04 Надводен борд</w:t>
        </w:r>
        <w:r w:rsidR="001C71EE">
          <w:rPr>
            <w:noProof/>
            <w:webHidden/>
          </w:rPr>
          <w:tab/>
        </w:r>
        <w:r w:rsidR="001C71EE">
          <w:rPr>
            <w:noProof/>
            <w:webHidden/>
          </w:rPr>
          <w:fldChar w:fldCharType="begin"/>
        </w:r>
        <w:r w:rsidR="001C71EE">
          <w:rPr>
            <w:noProof/>
            <w:webHidden/>
          </w:rPr>
          <w:instrText xml:space="preserve"> PAGEREF _Toc535827693 \h </w:instrText>
        </w:r>
        <w:r w:rsidR="001C71EE">
          <w:rPr>
            <w:noProof/>
            <w:webHidden/>
          </w:rPr>
        </w:r>
        <w:r w:rsidR="001C71EE">
          <w:rPr>
            <w:noProof/>
            <w:webHidden/>
          </w:rPr>
          <w:fldChar w:fldCharType="separate"/>
        </w:r>
        <w:r w:rsidR="001C71EE">
          <w:rPr>
            <w:noProof/>
            <w:webHidden/>
          </w:rPr>
          <w:t>345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94" w:history="1">
        <w:r w:rsidR="001C71EE" w:rsidRPr="00193DF2">
          <w:rPr>
            <w:rStyle w:val="Hyperlink"/>
            <w:noProof/>
          </w:rPr>
          <w:t>Член 29.05 Плавателност, устойчивост и делене на отсеци</w:t>
        </w:r>
        <w:r w:rsidR="001C71EE">
          <w:rPr>
            <w:noProof/>
            <w:webHidden/>
          </w:rPr>
          <w:tab/>
        </w:r>
        <w:r w:rsidR="001C71EE">
          <w:rPr>
            <w:noProof/>
            <w:webHidden/>
          </w:rPr>
          <w:fldChar w:fldCharType="begin"/>
        </w:r>
        <w:r w:rsidR="001C71EE">
          <w:rPr>
            <w:noProof/>
            <w:webHidden/>
          </w:rPr>
          <w:instrText xml:space="preserve"> PAGEREF _Toc535827694 \h </w:instrText>
        </w:r>
        <w:r w:rsidR="001C71EE">
          <w:rPr>
            <w:noProof/>
            <w:webHidden/>
          </w:rPr>
        </w:r>
        <w:r w:rsidR="001C71EE">
          <w:rPr>
            <w:noProof/>
            <w:webHidden/>
          </w:rPr>
          <w:fldChar w:fldCharType="separate"/>
        </w:r>
        <w:r w:rsidR="001C71EE">
          <w:rPr>
            <w:noProof/>
            <w:webHidden/>
          </w:rPr>
          <w:t>345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95" w:history="1">
        <w:r w:rsidR="001C71EE" w:rsidRPr="00193DF2">
          <w:rPr>
            <w:rStyle w:val="Hyperlink"/>
            <w:noProof/>
          </w:rPr>
          <w:t>Член 29.06 Рулева рубка</w:t>
        </w:r>
        <w:r w:rsidR="001C71EE">
          <w:rPr>
            <w:noProof/>
            <w:webHidden/>
          </w:rPr>
          <w:tab/>
        </w:r>
        <w:r w:rsidR="001C71EE">
          <w:rPr>
            <w:noProof/>
            <w:webHidden/>
          </w:rPr>
          <w:fldChar w:fldCharType="begin"/>
        </w:r>
        <w:r w:rsidR="001C71EE">
          <w:rPr>
            <w:noProof/>
            <w:webHidden/>
          </w:rPr>
          <w:instrText xml:space="preserve"> PAGEREF _Toc535827695 \h </w:instrText>
        </w:r>
        <w:r w:rsidR="001C71EE">
          <w:rPr>
            <w:noProof/>
            <w:webHidden/>
          </w:rPr>
        </w:r>
        <w:r w:rsidR="001C71EE">
          <w:rPr>
            <w:noProof/>
            <w:webHidden/>
          </w:rPr>
          <w:fldChar w:fldCharType="separate"/>
        </w:r>
        <w:r w:rsidR="001C71EE">
          <w:rPr>
            <w:noProof/>
            <w:webHidden/>
          </w:rPr>
          <w:t>345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96" w:history="1">
        <w:r w:rsidR="001C71EE" w:rsidRPr="00193DF2">
          <w:rPr>
            <w:rStyle w:val="Hyperlink"/>
            <w:noProof/>
          </w:rPr>
          <w:t>Член 29.07 Допълнително оборудване</w:t>
        </w:r>
        <w:r w:rsidR="001C71EE">
          <w:rPr>
            <w:noProof/>
            <w:webHidden/>
          </w:rPr>
          <w:tab/>
        </w:r>
        <w:r w:rsidR="001C71EE">
          <w:rPr>
            <w:noProof/>
            <w:webHidden/>
          </w:rPr>
          <w:fldChar w:fldCharType="begin"/>
        </w:r>
        <w:r w:rsidR="001C71EE">
          <w:rPr>
            <w:noProof/>
            <w:webHidden/>
          </w:rPr>
          <w:instrText xml:space="preserve"> PAGEREF _Toc535827696 \h </w:instrText>
        </w:r>
        <w:r w:rsidR="001C71EE">
          <w:rPr>
            <w:noProof/>
            <w:webHidden/>
          </w:rPr>
        </w:r>
        <w:r w:rsidR="001C71EE">
          <w:rPr>
            <w:noProof/>
            <w:webHidden/>
          </w:rPr>
          <w:fldChar w:fldCharType="separate"/>
        </w:r>
        <w:r w:rsidR="001C71EE">
          <w:rPr>
            <w:noProof/>
            <w:webHidden/>
          </w:rPr>
          <w:t>347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97" w:history="1">
        <w:r w:rsidR="001C71EE" w:rsidRPr="00193DF2">
          <w:rPr>
            <w:rStyle w:val="Hyperlink"/>
            <w:noProof/>
          </w:rPr>
          <w:t>Член 29.08 Затворени зони</w:t>
        </w:r>
        <w:r w:rsidR="001C71EE">
          <w:rPr>
            <w:noProof/>
            <w:webHidden/>
          </w:rPr>
          <w:tab/>
        </w:r>
        <w:r w:rsidR="001C71EE">
          <w:rPr>
            <w:noProof/>
            <w:webHidden/>
          </w:rPr>
          <w:fldChar w:fldCharType="begin"/>
        </w:r>
        <w:r w:rsidR="001C71EE">
          <w:rPr>
            <w:noProof/>
            <w:webHidden/>
          </w:rPr>
          <w:instrText xml:space="preserve"> PAGEREF _Toc535827697 \h </w:instrText>
        </w:r>
        <w:r w:rsidR="001C71EE">
          <w:rPr>
            <w:noProof/>
            <w:webHidden/>
          </w:rPr>
        </w:r>
        <w:r w:rsidR="001C71EE">
          <w:rPr>
            <w:noProof/>
            <w:webHidden/>
          </w:rPr>
          <w:fldChar w:fldCharType="separate"/>
        </w:r>
        <w:r w:rsidR="001C71EE">
          <w:rPr>
            <w:noProof/>
            <w:webHidden/>
          </w:rPr>
          <w:t>348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98" w:history="1">
        <w:r w:rsidR="001C71EE" w:rsidRPr="00193DF2">
          <w:rPr>
            <w:rStyle w:val="Hyperlink"/>
            <w:noProof/>
          </w:rPr>
          <w:t>Член 29.09 Изходи и маршрути за евакуация</w:t>
        </w:r>
        <w:r w:rsidR="001C71EE">
          <w:rPr>
            <w:noProof/>
            <w:webHidden/>
          </w:rPr>
          <w:tab/>
        </w:r>
        <w:r w:rsidR="001C71EE">
          <w:rPr>
            <w:noProof/>
            <w:webHidden/>
          </w:rPr>
          <w:fldChar w:fldCharType="begin"/>
        </w:r>
        <w:r w:rsidR="001C71EE">
          <w:rPr>
            <w:noProof/>
            <w:webHidden/>
          </w:rPr>
          <w:instrText xml:space="preserve"> PAGEREF _Toc535827698 \h </w:instrText>
        </w:r>
        <w:r w:rsidR="001C71EE">
          <w:rPr>
            <w:noProof/>
            <w:webHidden/>
          </w:rPr>
        </w:r>
        <w:r w:rsidR="001C71EE">
          <w:rPr>
            <w:noProof/>
            <w:webHidden/>
          </w:rPr>
          <w:fldChar w:fldCharType="separate"/>
        </w:r>
        <w:r w:rsidR="001C71EE">
          <w:rPr>
            <w:noProof/>
            <w:webHidden/>
          </w:rPr>
          <w:t>349</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699" w:history="1">
        <w:r w:rsidR="001C71EE" w:rsidRPr="00193DF2">
          <w:rPr>
            <w:rStyle w:val="Hyperlink"/>
            <w:noProof/>
          </w:rPr>
          <w:t>Член 29.10 Противопожарна защита и гасене на пожари</w:t>
        </w:r>
        <w:r w:rsidR="001C71EE">
          <w:rPr>
            <w:noProof/>
            <w:webHidden/>
          </w:rPr>
          <w:tab/>
        </w:r>
        <w:r w:rsidR="001C71EE">
          <w:rPr>
            <w:noProof/>
            <w:webHidden/>
          </w:rPr>
          <w:fldChar w:fldCharType="begin"/>
        </w:r>
        <w:r w:rsidR="001C71EE">
          <w:rPr>
            <w:noProof/>
            <w:webHidden/>
          </w:rPr>
          <w:instrText xml:space="preserve"> PAGEREF _Toc535827699 \h </w:instrText>
        </w:r>
        <w:r w:rsidR="001C71EE">
          <w:rPr>
            <w:noProof/>
            <w:webHidden/>
          </w:rPr>
        </w:r>
        <w:r w:rsidR="001C71EE">
          <w:rPr>
            <w:noProof/>
            <w:webHidden/>
          </w:rPr>
          <w:fldChar w:fldCharType="separate"/>
        </w:r>
        <w:r w:rsidR="001C71EE">
          <w:rPr>
            <w:noProof/>
            <w:webHidden/>
          </w:rPr>
          <w:t>349</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00" w:history="1">
        <w:r w:rsidR="001C71EE" w:rsidRPr="00193DF2">
          <w:rPr>
            <w:rStyle w:val="Hyperlink"/>
            <w:noProof/>
          </w:rPr>
          <w:t>Глава 30 Специални разпоредби, приложими за плавателни средства, оборудвани със системи за задвижване или спомагателни системи, работещи с горива с температура на възпламеняване, по-ниска или равна на 55 °C</w:t>
        </w:r>
        <w:r w:rsidR="001C71EE">
          <w:rPr>
            <w:noProof/>
            <w:webHidden/>
          </w:rPr>
          <w:tab/>
        </w:r>
        <w:r w:rsidR="001C71EE">
          <w:rPr>
            <w:noProof/>
            <w:webHidden/>
          </w:rPr>
          <w:fldChar w:fldCharType="begin"/>
        </w:r>
        <w:r w:rsidR="001C71EE">
          <w:rPr>
            <w:noProof/>
            <w:webHidden/>
          </w:rPr>
          <w:instrText xml:space="preserve"> PAGEREF _Toc535827700 \h </w:instrText>
        </w:r>
        <w:r w:rsidR="001C71EE">
          <w:rPr>
            <w:noProof/>
            <w:webHidden/>
          </w:rPr>
        </w:r>
        <w:r w:rsidR="001C71EE">
          <w:rPr>
            <w:noProof/>
            <w:webHidden/>
          </w:rPr>
          <w:fldChar w:fldCharType="separate"/>
        </w:r>
        <w:r w:rsidR="001C71EE">
          <w:rPr>
            <w:noProof/>
            <w:webHidden/>
          </w:rPr>
          <w:t>351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01" w:history="1">
        <w:r w:rsidR="001C71EE" w:rsidRPr="00193DF2">
          <w:rPr>
            <w:rStyle w:val="Hyperlink"/>
            <w:noProof/>
          </w:rPr>
          <w:t>Член 30.01 Общи положения</w:t>
        </w:r>
        <w:r w:rsidR="001C71EE">
          <w:rPr>
            <w:noProof/>
            <w:webHidden/>
          </w:rPr>
          <w:tab/>
        </w:r>
        <w:r w:rsidR="001C71EE">
          <w:rPr>
            <w:noProof/>
            <w:webHidden/>
          </w:rPr>
          <w:fldChar w:fldCharType="begin"/>
        </w:r>
        <w:r w:rsidR="001C71EE">
          <w:rPr>
            <w:noProof/>
            <w:webHidden/>
          </w:rPr>
          <w:instrText xml:space="preserve"> PAGEREF _Toc535827701 \h </w:instrText>
        </w:r>
        <w:r w:rsidR="001C71EE">
          <w:rPr>
            <w:noProof/>
            <w:webHidden/>
          </w:rPr>
        </w:r>
        <w:r w:rsidR="001C71EE">
          <w:rPr>
            <w:noProof/>
            <w:webHidden/>
          </w:rPr>
          <w:fldChar w:fldCharType="separate"/>
        </w:r>
        <w:r w:rsidR="001C71EE">
          <w:rPr>
            <w:noProof/>
            <w:webHidden/>
          </w:rPr>
          <w:t>351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02" w:history="1">
        <w:r w:rsidR="001C71EE" w:rsidRPr="00193DF2">
          <w:rPr>
            <w:rStyle w:val="Hyperlink"/>
            <w:noProof/>
          </w:rPr>
          <w:t>Член 30.02 Изпитване</w:t>
        </w:r>
        <w:r w:rsidR="001C71EE">
          <w:rPr>
            <w:noProof/>
            <w:webHidden/>
          </w:rPr>
          <w:tab/>
        </w:r>
        <w:r w:rsidR="001C71EE">
          <w:rPr>
            <w:noProof/>
            <w:webHidden/>
          </w:rPr>
          <w:fldChar w:fldCharType="begin"/>
        </w:r>
        <w:r w:rsidR="001C71EE">
          <w:rPr>
            <w:noProof/>
            <w:webHidden/>
          </w:rPr>
          <w:instrText xml:space="preserve"> PAGEREF _Toc535827702 \h </w:instrText>
        </w:r>
        <w:r w:rsidR="001C71EE">
          <w:rPr>
            <w:noProof/>
            <w:webHidden/>
          </w:rPr>
        </w:r>
        <w:r w:rsidR="001C71EE">
          <w:rPr>
            <w:noProof/>
            <w:webHidden/>
          </w:rPr>
          <w:fldChar w:fldCharType="separate"/>
        </w:r>
        <w:r w:rsidR="001C71EE">
          <w:rPr>
            <w:noProof/>
            <w:webHidden/>
          </w:rPr>
          <w:t>353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03" w:history="1">
        <w:r w:rsidR="001C71EE" w:rsidRPr="00193DF2">
          <w:rPr>
            <w:rStyle w:val="Hyperlink"/>
            <w:noProof/>
          </w:rPr>
          <w:t>Член 30.03 Организация на безопасността</w:t>
        </w:r>
        <w:r w:rsidR="001C71EE">
          <w:rPr>
            <w:noProof/>
            <w:webHidden/>
          </w:rPr>
          <w:tab/>
        </w:r>
        <w:r w:rsidR="001C71EE">
          <w:rPr>
            <w:noProof/>
            <w:webHidden/>
          </w:rPr>
          <w:fldChar w:fldCharType="begin"/>
        </w:r>
        <w:r w:rsidR="001C71EE">
          <w:rPr>
            <w:noProof/>
            <w:webHidden/>
          </w:rPr>
          <w:instrText xml:space="preserve"> PAGEREF _Toc535827703 \h </w:instrText>
        </w:r>
        <w:r w:rsidR="001C71EE">
          <w:rPr>
            <w:noProof/>
            <w:webHidden/>
          </w:rPr>
        </w:r>
        <w:r w:rsidR="001C71EE">
          <w:rPr>
            <w:noProof/>
            <w:webHidden/>
          </w:rPr>
          <w:fldChar w:fldCharType="separate"/>
        </w:r>
        <w:r w:rsidR="001C71EE">
          <w:rPr>
            <w:noProof/>
            <w:webHidden/>
          </w:rPr>
          <w:t>353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04" w:history="1">
        <w:r w:rsidR="001C71EE" w:rsidRPr="00193DF2">
          <w:rPr>
            <w:rStyle w:val="Hyperlink"/>
            <w:noProof/>
          </w:rPr>
          <w:t>Член 30.04 (оставено непопълнено)</w:t>
        </w:r>
        <w:r w:rsidR="001C71EE">
          <w:rPr>
            <w:noProof/>
            <w:webHidden/>
          </w:rPr>
          <w:tab/>
        </w:r>
        <w:r w:rsidR="001C71EE">
          <w:rPr>
            <w:noProof/>
            <w:webHidden/>
          </w:rPr>
          <w:fldChar w:fldCharType="begin"/>
        </w:r>
        <w:r w:rsidR="001C71EE">
          <w:rPr>
            <w:noProof/>
            <w:webHidden/>
          </w:rPr>
          <w:instrText xml:space="preserve"> PAGEREF _Toc535827704 \h </w:instrText>
        </w:r>
        <w:r w:rsidR="001C71EE">
          <w:rPr>
            <w:noProof/>
            <w:webHidden/>
          </w:rPr>
        </w:r>
        <w:r w:rsidR="001C71EE">
          <w:rPr>
            <w:noProof/>
            <w:webHidden/>
          </w:rPr>
          <w:fldChar w:fldCharType="separate"/>
        </w:r>
        <w:r w:rsidR="001C71EE">
          <w:rPr>
            <w:noProof/>
            <w:webHidden/>
          </w:rPr>
          <w:t>355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05" w:history="1">
        <w:r w:rsidR="001C71EE" w:rsidRPr="00193DF2">
          <w:rPr>
            <w:rStyle w:val="Hyperlink"/>
            <w:noProof/>
          </w:rPr>
          <w:t>Член 30.05 Обозначаване</w:t>
        </w:r>
        <w:r w:rsidR="001C71EE">
          <w:rPr>
            <w:noProof/>
            <w:webHidden/>
          </w:rPr>
          <w:tab/>
        </w:r>
        <w:r w:rsidR="001C71EE">
          <w:rPr>
            <w:noProof/>
            <w:webHidden/>
          </w:rPr>
          <w:fldChar w:fldCharType="begin"/>
        </w:r>
        <w:r w:rsidR="001C71EE">
          <w:rPr>
            <w:noProof/>
            <w:webHidden/>
          </w:rPr>
          <w:instrText xml:space="preserve"> PAGEREF _Toc535827705 \h </w:instrText>
        </w:r>
        <w:r w:rsidR="001C71EE">
          <w:rPr>
            <w:noProof/>
            <w:webHidden/>
          </w:rPr>
        </w:r>
        <w:r w:rsidR="001C71EE">
          <w:rPr>
            <w:noProof/>
            <w:webHidden/>
          </w:rPr>
          <w:fldChar w:fldCharType="separate"/>
        </w:r>
        <w:r w:rsidR="001C71EE">
          <w:rPr>
            <w:noProof/>
            <w:webHidden/>
          </w:rPr>
          <w:t>355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06" w:history="1">
        <w:r w:rsidR="001C71EE" w:rsidRPr="00193DF2">
          <w:rPr>
            <w:rStyle w:val="Hyperlink"/>
            <w:noProof/>
          </w:rPr>
          <w:t>Член 30.06 Независимо задвижване</w:t>
        </w:r>
        <w:r w:rsidR="001C71EE">
          <w:rPr>
            <w:noProof/>
            <w:webHidden/>
          </w:rPr>
          <w:tab/>
        </w:r>
        <w:r w:rsidR="001C71EE">
          <w:rPr>
            <w:noProof/>
            <w:webHidden/>
          </w:rPr>
          <w:fldChar w:fldCharType="begin"/>
        </w:r>
        <w:r w:rsidR="001C71EE">
          <w:rPr>
            <w:noProof/>
            <w:webHidden/>
          </w:rPr>
          <w:instrText xml:space="preserve"> PAGEREF _Toc535827706 \h </w:instrText>
        </w:r>
        <w:r w:rsidR="001C71EE">
          <w:rPr>
            <w:noProof/>
            <w:webHidden/>
          </w:rPr>
        </w:r>
        <w:r w:rsidR="001C71EE">
          <w:rPr>
            <w:noProof/>
            <w:webHidden/>
          </w:rPr>
          <w:fldChar w:fldCharType="separate"/>
        </w:r>
        <w:r w:rsidR="001C71EE">
          <w:rPr>
            <w:noProof/>
            <w:webHidden/>
          </w:rPr>
          <w:t>356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07" w:history="1">
        <w:r w:rsidR="001C71EE" w:rsidRPr="00193DF2">
          <w:rPr>
            <w:rStyle w:val="Hyperlink"/>
            <w:noProof/>
          </w:rPr>
          <w:t>Член 30.07 Технически служби</w:t>
        </w:r>
        <w:r w:rsidR="001C71EE">
          <w:rPr>
            <w:noProof/>
            <w:webHidden/>
          </w:rPr>
          <w:tab/>
        </w:r>
        <w:r w:rsidR="001C71EE">
          <w:rPr>
            <w:noProof/>
            <w:webHidden/>
          </w:rPr>
          <w:fldChar w:fldCharType="begin"/>
        </w:r>
        <w:r w:rsidR="001C71EE">
          <w:rPr>
            <w:noProof/>
            <w:webHidden/>
          </w:rPr>
          <w:instrText xml:space="preserve"> PAGEREF _Toc535827707 \h </w:instrText>
        </w:r>
        <w:r w:rsidR="001C71EE">
          <w:rPr>
            <w:noProof/>
            <w:webHidden/>
          </w:rPr>
        </w:r>
        <w:r w:rsidR="001C71EE">
          <w:rPr>
            <w:noProof/>
            <w:webHidden/>
          </w:rPr>
          <w:fldChar w:fldCharType="separate"/>
        </w:r>
        <w:r w:rsidR="001C71EE">
          <w:rPr>
            <w:noProof/>
            <w:webHidden/>
          </w:rPr>
          <w:t>356</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08" w:history="1">
        <w:r w:rsidR="001C71EE" w:rsidRPr="00193DF2">
          <w:rPr>
            <w:rStyle w:val="Hyperlink"/>
            <w:noProof/>
          </w:rPr>
          <w:t>Глава 31 Специални разпоредби, приложими за плавателни съдове, които плават с минимален екипаж</w:t>
        </w:r>
        <w:r w:rsidR="001C71EE">
          <w:rPr>
            <w:noProof/>
            <w:webHidden/>
          </w:rPr>
          <w:tab/>
        </w:r>
        <w:r w:rsidR="001C71EE">
          <w:rPr>
            <w:noProof/>
            <w:webHidden/>
          </w:rPr>
          <w:fldChar w:fldCharType="begin"/>
        </w:r>
        <w:r w:rsidR="001C71EE">
          <w:rPr>
            <w:noProof/>
            <w:webHidden/>
          </w:rPr>
          <w:instrText xml:space="preserve"> PAGEREF _Toc535827708 \h </w:instrText>
        </w:r>
        <w:r w:rsidR="001C71EE">
          <w:rPr>
            <w:noProof/>
            <w:webHidden/>
          </w:rPr>
        </w:r>
        <w:r w:rsidR="001C71EE">
          <w:rPr>
            <w:noProof/>
            <w:webHidden/>
          </w:rPr>
          <w:fldChar w:fldCharType="separate"/>
        </w:r>
        <w:r w:rsidR="001C71EE">
          <w:rPr>
            <w:noProof/>
            <w:webHidden/>
          </w:rPr>
          <w:t>358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09" w:history="1">
        <w:r w:rsidR="001C71EE" w:rsidRPr="00193DF2">
          <w:rPr>
            <w:rStyle w:val="Hyperlink"/>
            <w:noProof/>
          </w:rPr>
          <w:t>Член 31.01 Оборудване на плавателния съд</w:t>
        </w:r>
        <w:r w:rsidR="001C71EE">
          <w:rPr>
            <w:noProof/>
            <w:webHidden/>
          </w:rPr>
          <w:tab/>
        </w:r>
        <w:r w:rsidR="001C71EE">
          <w:rPr>
            <w:noProof/>
            <w:webHidden/>
          </w:rPr>
          <w:fldChar w:fldCharType="begin"/>
        </w:r>
        <w:r w:rsidR="001C71EE">
          <w:rPr>
            <w:noProof/>
            <w:webHidden/>
          </w:rPr>
          <w:instrText xml:space="preserve"> PAGEREF _Toc535827709 \h </w:instrText>
        </w:r>
        <w:r w:rsidR="001C71EE">
          <w:rPr>
            <w:noProof/>
            <w:webHidden/>
          </w:rPr>
        </w:r>
        <w:r w:rsidR="001C71EE">
          <w:rPr>
            <w:noProof/>
            <w:webHidden/>
          </w:rPr>
          <w:fldChar w:fldCharType="separate"/>
        </w:r>
        <w:r w:rsidR="001C71EE">
          <w:rPr>
            <w:noProof/>
            <w:webHidden/>
          </w:rPr>
          <w:t>358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10" w:history="1">
        <w:r w:rsidR="001C71EE" w:rsidRPr="00193DF2">
          <w:rPr>
            <w:rStyle w:val="Hyperlink"/>
            <w:noProof/>
          </w:rPr>
          <w:t>Член 31.02 Стандарт S1</w:t>
        </w:r>
        <w:r w:rsidR="001C71EE">
          <w:rPr>
            <w:noProof/>
            <w:webHidden/>
          </w:rPr>
          <w:tab/>
        </w:r>
        <w:r w:rsidR="001C71EE">
          <w:rPr>
            <w:noProof/>
            <w:webHidden/>
          </w:rPr>
          <w:fldChar w:fldCharType="begin"/>
        </w:r>
        <w:r w:rsidR="001C71EE">
          <w:rPr>
            <w:noProof/>
            <w:webHidden/>
          </w:rPr>
          <w:instrText xml:space="preserve"> PAGEREF _Toc535827710 \h </w:instrText>
        </w:r>
        <w:r w:rsidR="001C71EE">
          <w:rPr>
            <w:noProof/>
            <w:webHidden/>
          </w:rPr>
        </w:r>
        <w:r w:rsidR="001C71EE">
          <w:rPr>
            <w:noProof/>
            <w:webHidden/>
          </w:rPr>
          <w:fldChar w:fldCharType="separate"/>
        </w:r>
        <w:r w:rsidR="001C71EE">
          <w:rPr>
            <w:noProof/>
            <w:webHidden/>
          </w:rPr>
          <w:t>358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11" w:history="1">
        <w:r w:rsidR="001C71EE" w:rsidRPr="00193DF2">
          <w:rPr>
            <w:rStyle w:val="Hyperlink"/>
            <w:noProof/>
          </w:rPr>
          <w:t>Член 31.03 Стандарт S2</w:t>
        </w:r>
        <w:r w:rsidR="001C71EE">
          <w:rPr>
            <w:noProof/>
            <w:webHidden/>
          </w:rPr>
          <w:tab/>
        </w:r>
        <w:r w:rsidR="001C71EE">
          <w:rPr>
            <w:noProof/>
            <w:webHidden/>
          </w:rPr>
          <w:fldChar w:fldCharType="begin"/>
        </w:r>
        <w:r w:rsidR="001C71EE">
          <w:rPr>
            <w:noProof/>
            <w:webHidden/>
          </w:rPr>
          <w:instrText xml:space="preserve"> PAGEREF _Toc535827711 \h </w:instrText>
        </w:r>
        <w:r w:rsidR="001C71EE">
          <w:rPr>
            <w:noProof/>
            <w:webHidden/>
          </w:rPr>
        </w:r>
        <w:r w:rsidR="001C71EE">
          <w:rPr>
            <w:noProof/>
            <w:webHidden/>
          </w:rPr>
          <w:fldChar w:fldCharType="separate"/>
        </w:r>
        <w:r w:rsidR="001C71EE">
          <w:rPr>
            <w:noProof/>
            <w:webHidden/>
          </w:rPr>
          <w:t>360</w:t>
        </w:r>
        <w:r w:rsidR="001C71EE">
          <w:rPr>
            <w:noProof/>
            <w:webHidden/>
          </w:rPr>
          <w:fldChar w:fldCharType="end"/>
        </w:r>
      </w:hyperlink>
    </w:p>
    <w:p w:rsidR="001C71EE" w:rsidRDefault="002B712C">
      <w:pPr>
        <w:pStyle w:val="TOC1"/>
        <w:rPr>
          <w:rFonts w:asciiTheme="minorHAnsi" w:eastAsiaTheme="minorEastAsia" w:hAnsiTheme="minorHAnsi" w:cstheme="minorBidi"/>
          <w:b w:val="0"/>
          <w:bCs w:val="0"/>
          <w:caps w:val="0"/>
          <w:noProof/>
          <w:sz w:val="22"/>
          <w:szCs w:val="22"/>
          <w:lang w:val="en-GB" w:eastAsia="en-GB" w:bidi="ar-SA"/>
        </w:rPr>
      </w:pPr>
      <w:hyperlink w:anchor="_Toc535827712" w:history="1">
        <w:r w:rsidR="001C71EE" w:rsidRPr="00193DF2">
          <w:rPr>
            <w:rStyle w:val="Hyperlink"/>
            <w:noProof/>
          </w:rPr>
          <w:t>ЧАСТ IV ПРЕХОДНИ РАЗПОРЕДБИ</w:t>
        </w:r>
        <w:r w:rsidR="001C71EE">
          <w:rPr>
            <w:noProof/>
            <w:webHidden/>
          </w:rPr>
          <w:tab/>
        </w:r>
        <w:r w:rsidR="001C71EE">
          <w:rPr>
            <w:noProof/>
            <w:webHidden/>
          </w:rPr>
          <w:fldChar w:fldCharType="begin"/>
        </w:r>
        <w:r w:rsidR="001C71EE">
          <w:rPr>
            <w:noProof/>
            <w:webHidden/>
          </w:rPr>
          <w:instrText xml:space="preserve"> PAGEREF _Toc535827712 \h </w:instrText>
        </w:r>
        <w:r w:rsidR="001C71EE">
          <w:rPr>
            <w:noProof/>
            <w:webHidden/>
          </w:rPr>
        </w:r>
        <w:r w:rsidR="001C71EE">
          <w:rPr>
            <w:noProof/>
            <w:webHidden/>
          </w:rPr>
          <w:fldChar w:fldCharType="separate"/>
        </w:r>
        <w:r w:rsidR="001C71EE">
          <w:rPr>
            <w:noProof/>
            <w:webHidden/>
          </w:rPr>
          <w:t>362</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13" w:history="1">
        <w:r w:rsidR="001C71EE" w:rsidRPr="00193DF2">
          <w:rPr>
            <w:rStyle w:val="Hyperlink"/>
            <w:noProof/>
          </w:rPr>
          <w:t>Глава 32 Преходни разпоредби за плавателни средства по река Рейн (зона R)</w:t>
        </w:r>
        <w:r w:rsidR="001C71EE">
          <w:rPr>
            <w:noProof/>
            <w:webHidden/>
          </w:rPr>
          <w:tab/>
        </w:r>
        <w:r w:rsidR="001C71EE">
          <w:rPr>
            <w:noProof/>
            <w:webHidden/>
          </w:rPr>
          <w:fldChar w:fldCharType="begin"/>
        </w:r>
        <w:r w:rsidR="001C71EE">
          <w:rPr>
            <w:noProof/>
            <w:webHidden/>
          </w:rPr>
          <w:instrText xml:space="preserve"> PAGEREF _Toc535827713 \h </w:instrText>
        </w:r>
        <w:r w:rsidR="001C71EE">
          <w:rPr>
            <w:noProof/>
            <w:webHidden/>
          </w:rPr>
        </w:r>
        <w:r w:rsidR="001C71EE">
          <w:rPr>
            <w:noProof/>
            <w:webHidden/>
          </w:rPr>
          <w:fldChar w:fldCharType="separate"/>
        </w:r>
        <w:r w:rsidR="001C71EE">
          <w:rPr>
            <w:noProof/>
            <w:webHidden/>
          </w:rPr>
          <w:t>362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14" w:history="1">
        <w:r w:rsidR="001C71EE" w:rsidRPr="00193DF2">
          <w:rPr>
            <w:rStyle w:val="Hyperlink"/>
            <w:noProof/>
          </w:rPr>
          <w:t>Член 32.01</w:t>
        </w:r>
        <w:r w:rsidR="001C71EE">
          <w:rPr>
            <w:noProof/>
            <w:webHidden/>
          </w:rPr>
          <w:tab/>
        </w:r>
        <w:r w:rsidR="001C71EE">
          <w:rPr>
            <w:noProof/>
            <w:webHidden/>
          </w:rPr>
          <w:fldChar w:fldCharType="begin"/>
        </w:r>
        <w:r w:rsidR="001C71EE">
          <w:rPr>
            <w:noProof/>
            <w:webHidden/>
          </w:rPr>
          <w:instrText xml:space="preserve"> PAGEREF _Toc535827714 \h </w:instrText>
        </w:r>
        <w:r w:rsidR="001C71EE">
          <w:rPr>
            <w:noProof/>
            <w:webHidden/>
          </w:rPr>
        </w:r>
        <w:r w:rsidR="001C71EE">
          <w:rPr>
            <w:noProof/>
            <w:webHidden/>
          </w:rPr>
          <w:fldChar w:fldCharType="separate"/>
        </w:r>
        <w:r w:rsidR="001C71EE">
          <w:rPr>
            <w:noProof/>
            <w:webHidden/>
          </w:rPr>
          <w:t>362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15" w:history="1">
        <w:r w:rsidR="001C71EE" w:rsidRPr="00193DF2">
          <w:rPr>
            <w:rStyle w:val="Hyperlink"/>
            <w:noProof/>
          </w:rPr>
          <w:t>Приложимост на преходните разпоредби към плавателни средства, които са вече в експлоатация</w:t>
        </w:r>
        <w:r w:rsidR="001C71EE">
          <w:rPr>
            <w:noProof/>
            <w:webHidden/>
          </w:rPr>
          <w:tab/>
        </w:r>
        <w:r w:rsidR="001C71EE">
          <w:rPr>
            <w:noProof/>
            <w:webHidden/>
          </w:rPr>
          <w:fldChar w:fldCharType="begin"/>
        </w:r>
        <w:r w:rsidR="001C71EE">
          <w:rPr>
            <w:noProof/>
            <w:webHidden/>
          </w:rPr>
          <w:instrText xml:space="preserve"> PAGEREF _Toc535827715 \h </w:instrText>
        </w:r>
        <w:r w:rsidR="001C71EE">
          <w:rPr>
            <w:noProof/>
            <w:webHidden/>
          </w:rPr>
        </w:r>
        <w:r w:rsidR="001C71EE">
          <w:rPr>
            <w:noProof/>
            <w:webHidden/>
          </w:rPr>
          <w:fldChar w:fldCharType="separate"/>
        </w:r>
        <w:r w:rsidR="001C71EE">
          <w:rPr>
            <w:noProof/>
            <w:webHidden/>
          </w:rPr>
          <w:t>362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16" w:history="1">
        <w:r w:rsidR="001C71EE" w:rsidRPr="00193DF2">
          <w:rPr>
            <w:rStyle w:val="Hyperlink"/>
            <w:noProof/>
          </w:rPr>
          <w:t>Член 32.02</w:t>
        </w:r>
        <w:r w:rsidR="001C71EE">
          <w:rPr>
            <w:noProof/>
            <w:webHidden/>
          </w:rPr>
          <w:tab/>
        </w:r>
        <w:r w:rsidR="001C71EE">
          <w:rPr>
            <w:noProof/>
            <w:webHidden/>
          </w:rPr>
          <w:fldChar w:fldCharType="begin"/>
        </w:r>
        <w:r w:rsidR="001C71EE">
          <w:rPr>
            <w:noProof/>
            <w:webHidden/>
          </w:rPr>
          <w:instrText xml:space="preserve"> PAGEREF _Toc535827716 \h </w:instrText>
        </w:r>
        <w:r w:rsidR="001C71EE">
          <w:rPr>
            <w:noProof/>
            <w:webHidden/>
          </w:rPr>
        </w:r>
        <w:r w:rsidR="001C71EE">
          <w:rPr>
            <w:noProof/>
            <w:webHidden/>
          </w:rPr>
          <w:fldChar w:fldCharType="separate"/>
        </w:r>
        <w:r w:rsidR="001C71EE">
          <w:rPr>
            <w:noProof/>
            <w:webHidden/>
          </w:rPr>
          <w:t>362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17" w:history="1">
        <w:r w:rsidR="001C71EE" w:rsidRPr="00193DF2">
          <w:rPr>
            <w:rStyle w:val="Hyperlink"/>
            <w:noProof/>
          </w:rPr>
          <w:t>Преходни разпоредби относно плавателните средства, които вече са в експлоатация</w:t>
        </w:r>
        <w:r w:rsidR="001C71EE">
          <w:rPr>
            <w:noProof/>
            <w:webHidden/>
          </w:rPr>
          <w:tab/>
        </w:r>
        <w:r w:rsidR="001C71EE">
          <w:rPr>
            <w:noProof/>
            <w:webHidden/>
          </w:rPr>
          <w:fldChar w:fldCharType="begin"/>
        </w:r>
        <w:r w:rsidR="001C71EE">
          <w:rPr>
            <w:noProof/>
            <w:webHidden/>
          </w:rPr>
          <w:instrText xml:space="preserve"> PAGEREF _Toc535827717 \h </w:instrText>
        </w:r>
        <w:r w:rsidR="001C71EE">
          <w:rPr>
            <w:noProof/>
            <w:webHidden/>
          </w:rPr>
        </w:r>
        <w:r w:rsidR="001C71EE">
          <w:rPr>
            <w:noProof/>
            <w:webHidden/>
          </w:rPr>
          <w:fldChar w:fldCharType="separate"/>
        </w:r>
        <w:r w:rsidR="001C71EE">
          <w:rPr>
            <w:noProof/>
            <w:webHidden/>
          </w:rPr>
          <w:t>363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18" w:history="1">
        <w:r w:rsidR="001C71EE" w:rsidRPr="00193DF2">
          <w:rPr>
            <w:rStyle w:val="Hyperlink"/>
            <w:noProof/>
          </w:rPr>
          <w:t>Член 32.03</w:t>
        </w:r>
        <w:r w:rsidR="001C71EE">
          <w:rPr>
            <w:noProof/>
            <w:webHidden/>
          </w:rPr>
          <w:tab/>
        </w:r>
        <w:r w:rsidR="001C71EE">
          <w:rPr>
            <w:noProof/>
            <w:webHidden/>
          </w:rPr>
          <w:fldChar w:fldCharType="begin"/>
        </w:r>
        <w:r w:rsidR="001C71EE">
          <w:rPr>
            <w:noProof/>
            <w:webHidden/>
          </w:rPr>
          <w:instrText xml:space="preserve"> PAGEREF _Toc535827718 \h </w:instrText>
        </w:r>
        <w:r w:rsidR="001C71EE">
          <w:rPr>
            <w:noProof/>
            <w:webHidden/>
          </w:rPr>
        </w:r>
        <w:r w:rsidR="001C71EE">
          <w:rPr>
            <w:noProof/>
            <w:webHidden/>
          </w:rPr>
          <w:fldChar w:fldCharType="separate"/>
        </w:r>
        <w:r w:rsidR="001C71EE">
          <w:rPr>
            <w:noProof/>
            <w:webHidden/>
          </w:rPr>
          <w:t>396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19" w:history="1">
        <w:r w:rsidR="001C71EE" w:rsidRPr="00193DF2">
          <w:rPr>
            <w:rStyle w:val="Hyperlink"/>
            <w:noProof/>
          </w:rPr>
          <w:t>Допълнителни преходни разпоредби относно плавателните средства, които са построени до 1 април 1976 г., включително</w:t>
        </w:r>
        <w:r w:rsidR="001C71EE">
          <w:rPr>
            <w:noProof/>
            <w:webHidden/>
          </w:rPr>
          <w:tab/>
        </w:r>
        <w:r w:rsidR="001C71EE">
          <w:rPr>
            <w:noProof/>
            <w:webHidden/>
          </w:rPr>
          <w:fldChar w:fldCharType="begin"/>
        </w:r>
        <w:r w:rsidR="001C71EE">
          <w:rPr>
            <w:noProof/>
            <w:webHidden/>
          </w:rPr>
          <w:instrText xml:space="preserve"> PAGEREF _Toc535827719 \h </w:instrText>
        </w:r>
        <w:r w:rsidR="001C71EE">
          <w:rPr>
            <w:noProof/>
            <w:webHidden/>
          </w:rPr>
        </w:r>
        <w:r w:rsidR="001C71EE">
          <w:rPr>
            <w:noProof/>
            <w:webHidden/>
          </w:rPr>
          <w:fldChar w:fldCharType="separate"/>
        </w:r>
        <w:r w:rsidR="001C71EE">
          <w:rPr>
            <w:noProof/>
            <w:webHidden/>
          </w:rPr>
          <w:t>396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20" w:history="1">
        <w:r w:rsidR="001C71EE" w:rsidRPr="00193DF2">
          <w:rPr>
            <w:rStyle w:val="Hyperlink"/>
            <w:noProof/>
          </w:rPr>
          <w:t>Член 32.04</w:t>
        </w:r>
        <w:r w:rsidR="001C71EE">
          <w:rPr>
            <w:noProof/>
            <w:webHidden/>
          </w:rPr>
          <w:tab/>
        </w:r>
        <w:r w:rsidR="001C71EE">
          <w:rPr>
            <w:noProof/>
            <w:webHidden/>
          </w:rPr>
          <w:fldChar w:fldCharType="begin"/>
        </w:r>
        <w:r w:rsidR="001C71EE">
          <w:rPr>
            <w:noProof/>
            <w:webHidden/>
          </w:rPr>
          <w:instrText xml:space="preserve"> PAGEREF _Toc535827720 \h </w:instrText>
        </w:r>
        <w:r w:rsidR="001C71EE">
          <w:rPr>
            <w:noProof/>
            <w:webHidden/>
          </w:rPr>
        </w:r>
        <w:r w:rsidR="001C71EE">
          <w:rPr>
            <w:noProof/>
            <w:webHidden/>
          </w:rPr>
          <w:fldChar w:fldCharType="separate"/>
        </w:r>
        <w:r w:rsidR="001C71EE">
          <w:rPr>
            <w:noProof/>
            <w:webHidden/>
          </w:rPr>
          <w:t>401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21" w:history="1">
        <w:r w:rsidR="001C71EE" w:rsidRPr="00193DF2">
          <w:rPr>
            <w:rStyle w:val="Hyperlink"/>
            <w:noProof/>
          </w:rPr>
          <w:t>Други преходни разпоредби</w:t>
        </w:r>
        <w:r w:rsidR="001C71EE">
          <w:rPr>
            <w:noProof/>
            <w:webHidden/>
          </w:rPr>
          <w:tab/>
        </w:r>
        <w:r w:rsidR="001C71EE">
          <w:rPr>
            <w:noProof/>
            <w:webHidden/>
          </w:rPr>
          <w:fldChar w:fldCharType="begin"/>
        </w:r>
        <w:r w:rsidR="001C71EE">
          <w:rPr>
            <w:noProof/>
            <w:webHidden/>
          </w:rPr>
          <w:instrText xml:space="preserve"> PAGEREF _Toc535827721 \h </w:instrText>
        </w:r>
        <w:r w:rsidR="001C71EE">
          <w:rPr>
            <w:noProof/>
            <w:webHidden/>
          </w:rPr>
        </w:r>
        <w:r w:rsidR="001C71EE">
          <w:rPr>
            <w:noProof/>
            <w:webHidden/>
          </w:rPr>
          <w:fldChar w:fldCharType="separate"/>
        </w:r>
        <w:r w:rsidR="001C71EE">
          <w:rPr>
            <w:noProof/>
            <w:webHidden/>
          </w:rPr>
          <w:t>401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22" w:history="1">
        <w:r w:rsidR="001C71EE" w:rsidRPr="00193DF2">
          <w:rPr>
            <w:rStyle w:val="Hyperlink"/>
            <w:noProof/>
          </w:rPr>
          <w:t>Член 32.05</w:t>
        </w:r>
        <w:r w:rsidR="001C71EE">
          <w:rPr>
            <w:noProof/>
            <w:webHidden/>
          </w:rPr>
          <w:tab/>
        </w:r>
        <w:r w:rsidR="001C71EE">
          <w:rPr>
            <w:noProof/>
            <w:webHidden/>
          </w:rPr>
          <w:fldChar w:fldCharType="begin"/>
        </w:r>
        <w:r w:rsidR="001C71EE">
          <w:rPr>
            <w:noProof/>
            <w:webHidden/>
          </w:rPr>
          <w:instrText xml:space="preserve"> PAGEREF _Toc535827722 \h </w:instrText>
        </w:r>
        <w:r w:rsidR="001C71EE">
          <w:rPr>
            <w:noProof/>
            <w:webHidden/>
          </w:rPr>
        </w:r>
        <w:r w:rsidR="001C71EE">
          <w:rPr>
            <w:noProof/>
            <w:webHidden/>
          </w:rPr>
          <w:fldChar w:fldCharType="separate"/>
        </w:r>
        <w:r w:rsidR="001C71EE">
          <w:rPr>
            <w:noProof/>
            <w:webHidden/>
          </w:rPr>
          <w:t>403</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23" w:history="1">
        <w:r w:rsidR="001C71EE" w:rsidRPr="00193DF2">
          <w:rPr>
            <w:rStyle w:val="Hyperlink"/>
            <w:noProof/>
          </w:rPr>
          <w:t>Преходни разпоредби за плавателни средства, които не са обхванати от член 32.01</w:t>
        </w:r>
        <w:r w:rsidR="001C71EE">
          <w:rPr>
            <w:noProof/>
            <w:webHidden/>
          </w:rPr>
          <w:tab/>
        </w:r>
        <w:r w:rsidR="001C71EE">
          <w:rPr>
            <w:noProof/>
            <w:webHidden/>
          </w:rPr>
          <w:fldChar w:fldCharType="begin"/>
        </w:r>
        <w:r w:rsidR="001C71EE">
          <w:rPr>
            <w:noProof/>
            <w:webHidden/>
          </w:rPr>
          <w:instrText xml:space="preserve"> PAGEREF _Toc535827723 \h </w:instrText>
        </w:r>
        <w:r w:rsidR="001C71EE">
          <w:rPr>
            <w:noProof/>
            <w:webHidden/>
          </w:rPr>
        </w:r>
        <w:r w:rsidR="001C71EE">
          <w:rPr>
            <w:noProof/>
            <w:webHidden/>
          </w:rPr>
          <w:fldChar w:fldCharType="separate"/>
        </w:r>
        <w:r w:rsidR="001C71EE">
          <w:rPr>
            <w:noProof/>
            <w:webHidden/>
          </w:rPr>
          <w:t>403</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24" w:history="1">
        <w:r w:rsidR="001C71EE" w:rsidRPr="00193DF2">
          <w:rPr>
            <w:rStyle w:val="Hyperlink"/>
            <w:noProof/>
          </w:rPr>
          <w:t>Глава 33 Преходни разпоредби по отношение на плавателните средства, плаващи изключително по водните пътища извън Рейн (зона R)</w:t>
        </w:r>
        <w:r w:rsidR="001C71EE">
          <w:rPr>
            <w:noProof/>
            <w:webHidden/>
          </w:rPr>
          <w:tab/>
        </w:r>
        <w:r w:rsidR="001C71EE">
          <w:rPr>
            <w:noProof/>
            <w:webHidden/>
          </w:rPr>
          <w:fldChar w:fldCharType="begin"/>
        </w:r>
        <w:r w:rsidR="001C71EE">
          <w:rPr>
            <w:noProof/>
            <w:webHidden/>
          </w:rPr>
          <w:instrText xml:space="preserve"> PAGEREF _Toc535827724 \h </w:instrText>
        </w:r>
        <w:r w:rsidR="001C71EE">
          <w:rPr>
            <w:noProof/>
            <w:webHidden/>
          </w:rPr>
        </w:r>
        <w:r w:rsidR="001C71EE">
          <w:rPr>
            <w:noProof/>
            <w:webHidden/>
          </w:rPr>
          <w:fldChar w:fldCharType="separate"/>
        </w:r>
        <w:r w:rsidR="001C71EE">
          <w:rPr>
            <w:noProof/>
            <w:webHidden/>
          </w:rPr>
          <w:t>427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25" w:history="1">
        <w:r w:rsidR="001C71EE" w:rsidRPr="00193DF2">
          <w:rPr>
            <w:rStyle w:val="Hyperlink"/>
            <w:noProof/>
          </w:rPr>
          <w:t>Член 33.01</w:t>
        </w:r>
        <w:r w:rsidR="001C71EE">
          <w:rPr>
            <w:noProof/>
            <w:webHidden/>
          </w:rPr>
          <w:tab/>
        </w:r>
        <w:r w:rsidR="001C71EE">
          <w:rPr>
            <w:noProof/>
            <w:webHidden/>
          </w:rPr>
          <w:fldChar w:fldCharType="begin"/>
        </w:r>
        <w:r w:rsidR="001C71EE">
          <w:rPr>
            <w:noProof/>
            <w:webHidden/>
          </w:rPr>
          <w:instrText xml:space="preserve"> PAGEREF _Toc535827725 \h </w:instrText>
        </w:r>
        <w:r w:rsidR="001C71EE">
          <w:rPr>
            <w:noProof/>
            <w:webHidden/>
          </w:rPr>
        </w:r>
        <w:r w:rsidR="001C71EE">
          <w:rPr>
            <w:noProof/>
            <w:webHidden/>
          </w:rPr>
          <w:fldChar w:fldCharType="separate"/>
        </w:r>
        <w:r w:rsidR="001C71EE">
          <w:rPr>
            <w:noProof/>
            <w:webHidden/>
          </w:rPr>
          <w:t>427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26" w:history="1">
        <w:r w:rsidR="001C71EE" w:rsidRPr="00193DF2">
          <w:rPr>
            <w:rStyle w:val="Hyperlink"/>
            <w:noProof/>
          </w:rPr>
          <w:t>Приложимост на преходните разпоредби към плавателни средства, които са вече в експлоатация</w:t>
        </w:r>
        <w:r w:rsidR="001C71EE">
          <w:rPr>
            <w:noProof/>
            <w:webHidden/>
          </w:rPr>
          <w:tab/>
        </w:r>
        <w:r w:rsidR="001C71EE">
          <w:rPr>
            <w:noProof/>
            <w:webHidden/>
          </w:rPr>
          <w:fldChar w:fldCharType="begin"/>
        </w:r>
        <w:r w:rsidR="001C71EE">
          <w:rPr>
            <w:noProof/>
            <w:webHidden/>
          </w:rPr>
          <w:instrText xml:space="preserve"> PAGEREF _Toc535827726 \h </w:instrText>
        </w:r>
        <w:r w:rsidR="001C71EE">
          <w:rPr>
            <w:noProof/>
            <w:webHidden/>
          </w:rPr>
        </w:r>
        <w:r w:rsidR="001C71EE">
          <w:rPr>
            <w:noProof/>
            <w:webHidden/>
          </w:rPr>
          <w:fldChar w:fldCharType="separate"/>
        </w:r>
        <w:r w:rsidR="001C71EE">
          <w:rPr>
            <w:noProof/>
            <w:webHidden/>
          </w:rPr>
          <w:t>427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27" w:history="1">
        <w:r w:rsidR="001C71EE" w:rsidRPr="00193DF2">
          <w:rPr>
            <w:rStyle w:val="Hyperlink"/>
            <w:noProof/>
          </w:rPr>
          <w:t>Член 33.02</w:t>
        </w:r>
        <w:r w:rsidR="001C71EE">
          <w:rPr>
            <w:noProof/>
            <w:webHidden/>
          </w:rPr>
          <w:tab/>
        </w:r>
        <w:r w:rsidR="001C71EE">
          <w:rPr>
            <w:noProof/>
            <w:webHidden/>
          </w:rPr>
          <w:fldChar w:fldCharType="begin"/>
        </w:r>
        <w:r w:rsidR="001C71EE">
          <w:rPr>
            <w:noProof/>
            <w:webHidden/>
          </w:rPr>
          <w:instrText xml:space="preserve"> PAGEREF _Toc535827727 \h </w:instrText>
        </w:r>
        <w:r w:rsidR="001C71EE">
          <w:rPr>
            <w:noProof/>
            <w:webHidden/>
          </w:rPr>
        </w:r>
        <w:r w:rsidR="001C71EE">
          <w:rPr>
            <w:noProof/>
            <w:webHidden/>
          </w:rPr>
          <w:fldChar w:fldCharType="separate"/>
        </w:r>
        <w:r w:rsidR="001C71EE">
          <w:rPr>
            <w:noProof/>
            <w:webHidden/>
          </w:rPr>
          <w:t>427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28" w:history="1">
        <w:r w:rsidR="001C71EE" w:rsidRPr="00193DF2">
          <w:rPr>
            <w:rStyle w:val="Hyperlink"/>
            <w:noProof/>
          </w:rPr>
          <w:t>Преходни разпоредби относно плавателните средства, които вече са в експлоатация</w:t>
        </w:r>
        <w:r w:rsidR="001C71EE">
          <w:rPr>
            <w:noProof/>
            <w:webHidden/>
          </w:rPr>
          <w:tab/>
        </w:r>
        <w:r w:rsidR="001C71EE">
          <w:rPr>
            <w:noProof/>
            <w:webHidden/>
          </w:rPr>
          <w:fldChar w:fldCharType="begin"/>
        </w:r>
        <w:r w:rsidR="001C71EE">
          <w:rPr>
            <w:noProof/>
            <w:webHidden/>
          </w:rPr>
          <w:instrText xml:space="preserve"> PAGEREF _Toc535827728 \h </w:instrText>
        </w:r>
        <w:r w:rsidR="001C71EE">
          <w:rPr>
            <w:noProof/>
            <w:webHidden/>
          </w:rPr>
        </w:r>
        <w:r w:rsidR="001C71EE">
          <w:rPr>
            <w:noProof/>
            <w:webHidden/>
          </w:rPr>
          <w:fldChar w:fldCharType="separate"/>
        </w:r>
        <w:r w:rsidR="001C71EE">
          <w:rPr>
            <w:noProof/>
            <w:webHidden/>
          </w:rPr>
          <w:t>427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29" w:history="1">
        <w:r w:rsidR="001C71EE" w:rsidRPr="00193DF2">
          <w:rPr>
            <w:rStyle w:val="Hyperlink"/>
            <w:noProof/>
          </w:rPr>
          <w:t>Член 33.03</w:t>
        </w:r>
        <w:r w:rsidR="001C71EE">
          <w:rPr>
            <w:noProof/>
            <w:webHidden/>
          </w:rPr>
          <w:tab/>
        </w:r>
        <w:r w:rsidR="001C71EE">
          <w:rPr>
            <w:noProof/>
            <w:webHidden/>
          </w:rPr>
          <w:fldChar w:fldCharType="begin"/>
        </w:r>
        <w:r w:rsidR="001C71EE">
          <w:rPr>
            <w:noProof/>
            <w:webHidden/>
          </w:rPr>
          <w:instrText xml:space="preserve"> PAGEREF _Toc535827729 \h </w:instrText>
        </w:r>
        <w:r w:rsidR="001C71EE">
          <w:rPr>
            <w:noProof/>
            <w:webHidden/>
          </w:rPr>
        </w:r>
        <w:r w:rsidR="001C71EE">
          <w:rPr>
            <w:noProof/>
            <w:webHidden/>
          </w:rPr>
          <w:fldChar w:fldCharType="separate"/>
        </w:r>
        <w:r w:rsidR="001C71EE">
          <w:rPr>
            <w:noProof/>
            <w:webHidden/>
          </w:rPr>
          <w:t>451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30" w:history="1">
        <w:r w:rsidR="001C71EE" w:rsidRPr="00193DF2">
          <w:rPr>
            <w:rStyle w:val="Hyperlink"/>
            <w:noProof/>
          </w:rPr>
          <w:t>Допълнителни преходни разпоредби относно плавателните средства, които са построени преди 1 януари 1985 г.</w:t>
        </w:r>
        <w:r w:rsidR="001C71EE">
          <w:rPr>
            <w:noProof/>
            <w:webHidden/>
          </w:rPr>
          <w:tab/>
        </w:r>
        <w:r w:rsidR="001C71EE">
          <w:rPr>
            <w:noProof/>
            <w:webHidden/>
          </w:rPr>
          <w:fldChar w:fldCharType="begin"/>
        </w:r>
        <w:r w:rsidR="001C71EE">
          <w:rPr>
            <w:noProof/>
            <w:webHidden/>
          </w:rPr>
          <w:instrText xml:space="preserve"> PAGEREF _Toc535827730 \h </w:instrText>
        </w:r>
        <w:r w:rsidR="001C71EE">
          <w:rPr>
            <w:noProof/>
            <w:webHidden/>
          </w:rPr>
        </w:r>
        <w:r w:rsidR="001C71EE">
          <w:rPr>
            <w:noProof/>
            <w:webHidden/>
          </w:rPr>
          <w:fldChar w:fldCharType="separate"/>
        </w:r>
        <w:r w:rsidR="001C71EE">
          <w:rPr>
            <w:noProof/>
            <w:webHidden/>
          </w:rPr>
          <w:t>451</w:t>
        </w:r>
        <w:r w:rsidR="001C71EE">
          <w:rPr>
            <w:noProof/>
            <w:webHidden/>
          </w:rPr>
          <w:fldChar w:fldCharType="end"/>
        </w:r>
      </w:hyperlink>
    </w:p>
    <w:p w:rsidR="001C71EE" w:rsidRDefault="002B712C">
      <w:pPr>
        <w:pStyle w:val="TOC1"/>
        <w:rPr>
          <w:rFonts w:asciiTheme="minorHAnsi" w:eastAsiaTheme="minorEastAsia" w:hAnsiTheme="minorHAnsi" w:cstheme="minorBidi"/>
          <w:b w:val="0"/>
          <w:bCs w:val="0"/>
          <w:caps w:val="0"/>
          <w:noProof/>
          <w:sz w:val="22"/>
          <w:szCs w:val="22"/>
          <w:lang w:val="en-GB" w:eastAsia="en-GB" w:bidi="ar-SA"/>
        </w:rPr>
      </w:pPr>
      <w:hyperlink w:anchor="_Toc535827731" w:history="1">
        <w:r w:rsidR="001C71EE" w:rsidRPr="00193DF2">
          <w:rPr>
            <w:rStyle w:val="Hyperlink"/>
            <w:noProof/>
          </w:rPr>
          <w:t>Приложения към Европейски стандарт</w:t>
        </w:r>
        <w:r w:rsidR="001C71EE">
          <w:rPr>
            <w:noProof/>
            <w:webHidden/>
          </w:rPr>
          <w:tab/>
        </w:r>
        <w:r w:rsidR="001C71EE">
          <w:rPr>
            <w:noProof/>
            <w:webHidden/>
          </w:rPr>
          <w:fldChar w:fldCharType="begin"/>
        </w:r>
        <w:r w:rsidR="001C71EE">
          <w:rPr>
            <w:noProof/>
            <w:webHidden/>
          </w:rPr>
          <w:instrText xml:space="preserve"> PAGEREF _Toc535827731 \h </w:instrText>
        </w:r>
        <w:r w:rsidR="001C71EE">
          <w:rPr>
            <w:noProof/>
            <w:webHidden/>
          </w:rPr>
        </w:r>
        <w:r w:rsidR="001C71EE">
          <w:rPr>
            <w:noProof/>
            <w:webHidden/>
          </w:rPr>
          <w:fldChar w:fldCharType="separate"/>
        </w:r>
        <w:r w:rsidR="001C71EE">
          <w:rPr>
            <w:noProof/>
            <w:webHidden/>
          </w:rPr>
          <w:t>456</w:t>
        </w:r>
        <w:r w:rsidR="001C71EE">
          <w:rPr>
            <w:noProof/>
            <w:webHidden/>
          </w:rPr>
          <w:fldChar w:fldCharType="end"/>
        </w:r>
      </w:hyperlink>
    </w:p>
    <w:p w:rsidR="001C71EE" w:rsidRDefault="002B712C">
      <w:pPr>
        <w:pStyle w:val="TOC1"/>
        <w:rPr>
          <w:rFonts w:asciiTheme="minorHAnsi" w:eastAsiaTheme="minorEastAsia" w:hAnsiTheme="minorHAnsi" w:cstheme="minorBidi"/>
          <w:b w:val="0"/>
          <w:bCs w:val="0"/>
          <w:caps w:val="0"/>
          <w:noProof/>
          <w:sz w:val="22"/>
          <w:szCs w:val="22"/>
          <w:lang w:val="en-GB" w:eastAsia="en-GB" w:bidi="ar-SA"/>
        </w:rPr>
      </w:pPr>
      <w:hyperlink w:anchor="_Toc535827732" w:history="1">
        <w:r w:rsidR="001C71EE" w:rsidRPr="00193DF2">
          <w:rPr>
            <w:rStyle w:val="Hyperlink"/>
            <w:noProof/>
          </w:rPr>
          <w:t>ЧАСТ I ИДЕНТИФИКАЦИЯ И РЕГИСТЪР НА ПЛАВАТЕЛНИЯ СЪД</w:t>
        </w:r>
        <w:r w:rsidR="001C71EE">
          <w:rPr>
            <w:noProof/>
            <w:webHidden/>
          </w:rPr>
          <w:tab/>
        </w:r>
        <w:r w:rsidR="001C71EE">
          <w:rPr>
            <w:noProof/>
            <w:webHidden/>
          </w:rPr>
          <w:fldChar w:fldCharType="begin"/>
        </w:r>
        <w:r w:rsidR="001C71EE">
          <w:rPr>
            <w:noProof/>
            <w:webHidden/>
          </w:rPr>
          <w:instrText xml:space="preserve"> PAGEREF _Toc535827732 \h </w:instrText>
        </w:r>
        <w:r w:rsidR="001C71EE">
          <w:rPr>
            <w:noProof/>
            <w:webHidden/>
          </w:rPr>
        </w:r>
        <w:r w:rsidR="001C71EE">
          <w:rPr>
            <w:noProof/>
            <w:webHidden/>
          </w:rPr>
          <w:fldChar w:fldCharType="separate"/>
        </w:r>
        <w:r w:rsidR="001C71EE">
          <w:rPr>
            <w:noProof/>
            <w:webHidden/>
          </w:rPr>
          <w:t>458</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33" w:history="1">
        <w:r w:rsidR="001C71EE" w:rsidRPr="00193DF2">
          <w:rPr>
            <w:rStyle w:val="Hyperlink"/>
            <w:noProof/>
          </w:rPr>
          <w:t>Приложение 1 Образец на уникалния Европейски идентификационен номер на плавателния съд (ENI)</w:t>
        </w:r>
        <w:r w:rsidR="001C71EE">
          <w:rPr>
            <w:noProof/>
            <w:webHidden/>
          </w:rPr>
          <w:tab/>
        </w:r>
        <w:r w:rsidR="001C71EE">
          <w:rPr>
            <w:noProof/>
            <w:webHidden/>
          </w:rPr>
          <w:fldChar w:fldCharType="begin"/>
        </w:r>
        <w:r w:rsidR="001C71EE">
          <w:rPr>
            <w:noProof/>
            <w:webHidden/>
          </w:rPr>
          <w:instrText xml:space="preserve"> PAGEREF _Toc535827733 \h </w:instrText>
        </w:r>
        <w:r w:rsidR="001C71EE">
          <w:rPr>
            <w:noProof/>
            <w:webHidden/>
          </w:rPr>
        </w:r>
        <w:r w:rsidR="001C71EE">
          <w:rPr>
            <w:noProof/>
            <w:webHidden/>
          </w:rPr>
          <w:fldChar w:fldCharType="separate"/>
        </w:r>
        <w:r w:rsidR="001C71EE">
          <w:rPr>
            <w:noProof/>
            <w:webHidden/>
          </w:rPr>
          <w:t>458</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34" w:history="1">
        <w:r w:rsidR="001C71EE" w:rsidRPr="00193DF2">
          <w:rPr>
            <w:rStyle w:val="Hyperlink"/>
            <w:noProof/>
          </w:rPr>
          <w:t>Приложение 2 Данни за идентифицирането на плавателен съд</w:t>
        </w:r>
        <w:r w:rsidR="001C71EE">
          <w:rPr>
            <w:noProof/>
            <w:webHidden/>
          </w:rPr>
          <w:tab/>
        </w:r>
        <w:r w:rsidR="001C71EE">
          <w:rPr>
            <w:noProof/>
            <w:webHidden/>
          </w:rPr>
          <w:fldChar w:fldCharType="begin"/>
        </w:r>
        <w:r w:rsidR="001C71EE">
          <w:rPr>
            <w:noProof/>
            <w:webHidden/>
          </w:rPr>
          <w:instrText xml:space="preserve"> PAGEREF _Toc535827734 \h </w:instrText>
        </w:r>
        <w:r w:rsidR="001C71EE">
          <w:rPr>
            <w:noProof/>
            <w:webHidden/>
          </w:rPr>
        </w:r>
        <w:r w:rsidR="001C71EE">
          <w:rPr>
            <w:noProof/>
            <w:webHidden/>
          </w:rPr>
          <w:fldChar w:fldCharType="separate"/>
        </w:r>
        <w:r w:rsidR="001C71EE">
          <w:rPr>
            <w:noProof/>
            <w:webHidden/>
          </w:rPr>
          <w:t>462</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35" w:history="1">
        <w:r w:rsidR="001C71EE" w:rsidRPr="00193DF2">
          <w:rPr>
            <w:rStyle w:val="Hyperlink"/>
            <w:noProof/>
          </w:rPr>
          <w:t>Приложение 3 Образци на удостоверенията на плавателни съдове за плаване по вътрешни водни пътища и образец на регистъра на удостоверенията на плавателни съдове за плаване по вътрешни водни пътища</w:t>
        </w:r>
        <w:r w:rsidR="001C71EE">
          <w:rPr>
            <w:noProof/>
            <w:webHidden/>
          </w:rPr>
          <w:tab/>
        </w:r>
        <w:r w:rsidR="001C71EE">
          <w:rPr>
            <w:noProof/>
            <w:webHidden/>
          </w:rPr>
          <w:fldChar w:fldCharType="begin"/>
        </w:r>
        <w:r w:rsidR="001C71EE">
          <w:rPr>
            <w:noProof/>
            <w:webHidden/>
          </w:rPr>
          <w:instrText xml:space="preserve"> PAGEREF _Toc535827735 \h </w:instrText>
        </w:r>
        <w:r w:rsidR="001C71EE">
          <w:rPr>
            <w:noProof/>
            <w:webHidden/>
          </w:rPr>
        </w:r>
        <w:r w:rsidR="001C71EE">
          <w:rPr>
            <w:noProof/>
            <w:webHidden/>
          </w:rPr>
          <w:fldChar w:fldCharType="separate"/>
        </w:r>
        <w:r w:rsidR="001C71EE">
          <w:rPr>
            <w:noProof/>
            <w:webHidden/>
          </w:rPr>
          <w:t>465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36" w:history="1">
        <w:r w:rsidR="001C71EE" w:rsidRPr="00193DF2">
          <w:rPr>
            <w:rStyle w:val="Hyperlink"/>
            <w:noProof/>
          </w:rPr>
          <w:t>Раздел I</w:t>
        </w:r>
        <w:r w:rsidR="001C71EE">
          <w:rPr>
            <w:noProof/>
            <w:webHidden/>
          </w:rPr>
          <w:tab/>
        </w:r>
        <w:r w:rsidR="001C71EE">
          <w:rPr>
            <w:noProof/>
            <w:webHidden/>
          </w:rPr>
          <w:fldChar w:fldCharType="begin"/>
        </w:r>
        <w:r w:rsidR="001C71EE">
          <w:rPr>
            <w:noProof/>
            <w:webHidden/>
          </w:rPr>
          <w:instrText xml:space="preserve"> PAGEREF _Toc535827736 \h </w:instrText>
        </w:r>
        <w:r w:rsidR="001C71EE">
          <w:rPr>
            <w:noProof/>
            <w:webHidden/>
          </w:rPr>
        </w:r>
        <w:r w:rsidR="001C71EE">
          <w:rPr>
            <w:noProof/>
            <w:webHidden/>
          </w:rPr>
          <w:fldChar w:fldCharType="separate"/>
        </w:r>
        <w:r w:rsidR="001C71EE">
          <w:rPr>
            <w:noProof/>
            <w:webHidden/>
          </w:rPr>
          <w:t>465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37" w:history="1">
        <w:r w:rsidR="001C71EE" w:rsidRPr="00193DF2">
          <w:rPr>
            <w:rStyle w:val="Hyperlink"/>
            <w:noProof/>
          </w:rPr>
          <w:t>Образец на удостоверение на плавателен съд за плаване по вътрешни водни пътища</w:t>
        </w:r>
        <w:r w:rsidR="001C71EE">
          <w:rPr>
            <w:noProof/>
            <w:webHidden/>
          </w:rPr>
          <w:tab/>
        </w:r>
        <w:r w:rsidR="001C71EE">
          <w:rPr>
            <w:noProof/>
            <w:webHidden/>
          </w:rPr>
          <w:fldChar w:fldCharType="begin"/>
        </w:r>
        <w:r w:rsidR="001C71EE">
          <w:rPr>
            <w:noProof/>
            <w:webHidden/>
          </w:rPr>
          <w:instrText xml:space="preserve"> PAGEREF _Toc535827737 \h </w:instrText>
        </w:r>
        <w:r w:rsidR="001C71EE">
          <w:rPr>
            <w:noProof/>
            <w:webHidden/>
          </w:rPr>
        </w:r>
        <w:r w:rsidR="001C71EE">
          <w:rPr>
            <w:noProof/>
            <w:webHidden/>
          </w:rPr>
          <w:fldChar w:fldCharType="separate"/>
        </w:r>
        <w:r w:rsidR="001C71EE">
          <w:rPr>
            <w:noProof/>
            <w:webHidden/>
          </w:rPr>
          <w:t>465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38" w:history="1">
        <w:r w:rsidR="001C71EE" w:rsidRPr="00193DF2">
          <w:rPr>
            <w:rStyle w:val="Hyperlink"/>
            <w:noProof/>
          </w:rPr>
          <w:t>Раздел II</w:t>
        </w:r>
        <w:r w:rsidR="001C71EE">
          <w:rPr>
            <w:noProof/>
            <w:webHidden/>
          </w:rPr>
          <w:tab/>
        </w:r>
        <w:r w:rsidR="001C71EE">
          <w:rPr>
            <w:noProof/>
            <w:webHidden/>
          </w:rPr>
          <w:fldChar w:fldCharType="begin"/>
        </w:r>
        <w:r w:rsidR="001C71EE">
          <w:rPr>
            <w:noProof/>
            <w:webHidden/>
          </w:rPr>
          <w:instrText xml:space="preserve"> PAGEREF _Toc535827738 \h </w:instrText>
        </w:r>
        <w:r w:rsidR="001C71EE">
          <w:rPr>
            <w:noProof/>
            <w:webHidden/>
          </w:rPr>
        </w:r>
        <w:r w:rsidR="001C71EE">
          <w:rPr>
            <w:noProof/>
            <w:webHidden/>
          </w:rPr>
          <w:fldChar w:fldCharType="separate"/>
        </w:r>
        <w:r w:rsidR="001C71EE">
          <w:rPr>
            <w:noProof/>
            <w:webHidden/>
          </w:rPr>
          <w:t>497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39" w:history="1">
        <w:r w:rsidR="001C71EE" w:rsidRPr="00193DF2">
          <w:rPr>
            <w:rStyle w:val="Hyperlink"/>
            <w:noProof/>
          </w:rPr>
          <w:t>Образец на временно удостоверение на плавателния съд за плаване по вътрешни водни пътища</w:t>
        </w:r>
        <w:r w:rsidR="001C71EE">
          <w:rPr>
            <w:noProof/>
            <w:webHidden/>
          </w:rPr>
          <w:tab/>
        </w:r>
        <w:r w:rsidR="001C71EE">
          <w:rPr>
            <w:noProof/>
            <w:webHidden/>
          </w:rPr>
          <w:fldChar w:fldCharType="begin"/>
        </w:r>
        <w:r w:rsidR="001C71EE">
          <w:rPr>
            <w:noProof/>
            <w:webHidden/>
          </w:rPr>
          <w:instrText xml:space="preserve"> PAGEREF _Toc535827739 \h </w:instrText>
        </w:r>
        <w:r w:rsidR="001C71EE">
          <w:rPr>
            <w:noProof/>
            <w:webHidden/>
          </w:rPr>
        </w:r>
        <w:r w:rsidR="001C71EE">
          <w:rPr>
            <w:noProof/>
            <w:webHidden/>
          </w:rPr>
          <w:fldChar w:fldCharType="separate"/>
        </w:r>
        <w:r w:rsidR="001C71EE">
          <w:rPr>
            <w:noProof/>
            <w:webHidden/>
          </w:rPr>
          <w:t>497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40" w:history="1">
        <w:r w:rsidR="001C71EE" w:rsidRPr="00193DF2">
          <w:rPr>
            <w:rStyle w:val="Hyperlink"/>
            <w:noProof/>
          </w:rPr>
          <w:t>Раздел III</w:t>
        </w:r>
        <w:r w:rsidR="001C71EE">
          <w:rPr>
            <w:noProof/>
            <w:webHidden/>
          </w:rPr>
          <w:tab/>
        </w:r>
        <w:r w:rsidR="001C71EE">
          <w:rPr>
            <w:noProof/>
            <w:webHidden/>
          </w:rPr>
          <w:fldChar w:fldCharType="begin"/>
        </w:r>
        <w:r w:rsidR="001C71EE">
          <w:rPr>
            <w:noProof/>
            <w:webHidden/>
          </w:rPr>
          <w:instrText xml:space="preserve"> PAGEREF _Toc535827740 \h </w:instrText>
        </w:r>
        <w:r w:rsidR="001C71EE">
          <w:rPr>
            <w:noProof/>
            <w:webHidden/>
          </w:rPr>
        </w:r>
        <w:r w:rsidR="001C71EE">
          <w:rPr>
            <w:noProof/>
            <w:webHidden/>
          </w:rPr>
          <w:fldChar w:fldCharType="separate"/>
        </w:r>
        <w:r w:rsidR="001C71EE">
          <w:rPr>
            <w:noProof/>
            <w:webHidden/>
          </w:rPr>
          <w:t>500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41" w:history="1">
        <w:r w:rsidR="001C71EE" w:rsidRPr="00193DF2">
          <w:rPr>
            <w:rStyle w:val="Hyperlink"/>
            <w:noProof/>
          </w:rPr>
          <w:t>Образец на допълнително удостоверение на плавателния съд за плаване по вътрешни водни пътища на Съюза</w:t>
        </w:r>
        <w:r w:rsidR="001C71EE">
          <w:rPr>
            <w:noProof/>
            <w:webHidden/>
          </w:rPr>
          <w:tab/>
        </w:r>
        <w:r w:rsidR="001C71EE">
          <w:rPr>
            <w:noProof/>
            <w:webHidden/>
          </w:rPr>
          <w:fldChar w:fldCharType="begin"/>
        </w:r>
        <w:r w:rsidR="001C71EE">
          <w:rPr>
            <w:noProof/>
            <w:webHidden/>
          </w:rPr>
          <w:instrText xml:space="preserve"> PAGEREF _Toc535827741 \h </w:instrText>
        </w:r>
        <w:r w:rsidR="001C71EE">
          <w:rPr>
            <w:noProof/>
            <w:webHidden/>
          </w:rPr>
        </w:r>
        <w:r w:rsidR="001C71EE">
          <w:rPr>
            <w:noProof/>
            <w:webHidden/>
          </w:rPr>
          <w:fldChar w:fldCharType="separate"/>
        </w:r>
        <w:r w:rsidR="001C71EE">
          <w:rPr>
            <w:noProof/>
            <w:webHidden/>
          </w:rPr>
          <w:t>500</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42" w:history="1">
        <w:r w:rsidR="001C71EE" w:rsidRPr="00193DF2">
          <w:rPr>
            <w:rStyle w:val="Hyperlink"/>
            <w:noProof/>
          </w:rPr>
          <w:t>Раздел IV</w:t>
        </w:r>
        <w:r w:rsidR="001C71EE">
          <w:rPr>
            <w:noProof/>
            <w:webHidden/>
          </w:rPr>
          <w:tab/>
        </w:r>
        <w:r w:rsidR="001C71EE">
          <w:rPr>
            <w:noProof/>
            <w:webHidden/>
          </w:rPr>
          <w:fldChar w:fldCharType="begin"/>
        </w:r>
        <w:r w:rsidR="001C71EE">
          <w:rPr>
            <w:noProof/>
            <w:webHidden/>
          </w:rPr>
          <w:instrText xml:space="preserve"> PAGEREF _Toc535827742 \h </w:instrText>
        </w:r>
        <w:r w:rsidR="001C71EE">
          <w:rPr>
            <w:noProof/>
            <w:webHidden/>
          </w:rPr>
        </w:r>
        <w:r w:rsidR="001C71EE">
          <w:rPr>
            <w:noProof/>
            <w:webHidden/>
          </w:rPr>
          <w:fldChar w:fldCharType="separate"/>
        </w:r>
        <w:r w:rsidR="001C71EE">
          <w:rPr>
            <w:noProof/>
            <w:webHidden/>
          </w:rPr>
          <w:t>504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43" w:history="1">
        <w:r w:rsidR="001C71EE" w:rsidRPr="00193DF2">
          <w:rPr>
            <w:rStyle w:val="Hyperlink"/>
            <w:noProof/>
          </w:rPr>
          <w:t>Образец на удостоверение за морски плавателен съд, плаващ по река Рейн</w:t>
        </w:r>
        <w:r w:rsidR="001C71EE">
          <w:rPr>
            <w:noProof/>
            <w:webHidden/>
          </w:rPr>
          <w:tab/>
        </w:r>
        <w:r w:rsidR="001C71EE">
          <w:rPr>
            <w:noProof/>
            <w:webHidden/>
          </w:rPr>
          <w:fldChar w:fldCharType="begin"/>
        </w:r>
        <w:r w:rsidR="001C71EE">
          <w:rPr>
            <w:noProof/>
            <w:webHidden/>
          </w:rPr>
          <w:instrText xml:space="preserve"> PAGEREF _Toc535827743 \h </w:instrText>
        </w:r>
        <w:r w:rsidR="001C71EE">
          <w:rPr>
            <w:noProof/>
            <w:webHidden/>
          </w:rPr>
        </w:r>
        <w:r w:rsidR="001C71EE">
          <w:rPr>
            <w:noProof/>
            <w:webHidden/>
          </w:rPr>
          <w:fldChar w:fldCharType="separate"/>
        </w:r>
        <w:r w:rsidR="001C71EE">
          <w:rPr>
            <w:noProof/>
            <w:webHidden/>
          </w:rPr>
          <w:t>504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44" w:history="1">
        <w:r w:rsidR="001C71EE" w:rsidRPr="00193DF2">
          <w:rPr>
            <w:rStyle w:val="Hyperlink"/>
            <w:noProof/>
          </w:rPr>
          <w:t>Раздел V</w:t>
        </w:r>
        <w:r w:rsidR="001C71EE">
          <w:rPr>
            <w:noProof/>
            <w:webHidden/>
          </w:rPr>
          <w:tab/>
        </w:r>
        <w:r w:rsidR="001C71EE">
          <w:rPr>
            <w:noProof/>
            <w:webHidden/>
          </w:rPr>
          <w:fldChar w:fldCharType="begin"/>
        </w:r>
        <w:r w:rsidR="001C71EE">
          <w:rPr>
            <w:noProof/>
            <w:webHidden/>
          </w:rPr>
          <w:instrText xml:space="preserve"> PAGEREF _Toc535827744 \h </w:instrText>
        </w:r>
        <w:r w:rsidR="001C71EE">
          <w:rPr>
            <w:noProof/>
            <w:webHidden/>
          </w:rPr>
        </w:r>
        <w:r w:rsidR="001C71EE">
          <w:rPr>
            <w:noProof/>
            <w:webHidden/>
          </w:rPr>
          <w:fldChar w:fldCharType="separate"/>
        </w:r>
        <w:r w:rsidR="001C71EE">
          <w:rPr>
            <w:noProof/>
            <w:webHidden/>
          </w:rPr>
          <w:t>507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45" w:history="1">
        <w:r w:rsidR="001C71EE" w:rsidRPr="00193DF2">
          <w:rPr>
            <w:rStyle w:val="Hyperlink"/>
            <w:noProof/>
          </w:rPr>
          <w:t>Образец на приложение „Традиционен плавателен съд“ към удостоверението на плавателния съд за плаване по вътрешни водни пътища съгласно глава 24</w:t>
        </w:r>
        <w:r w:rsidR="001C71EE">
          <w:rPr>
            <w:noProof/>
            <w:webHidden/>
          </w:rPr>
          <w:tab/>
        </w:r>
        <w:r w:rsidR="001C71EE">
          <w:rPr>
            <w:noProof/>
            <w:webHidden/>
          </w:rPr>
          <w:fldChar w:fldCharType="begin"/>
        </w:r>
        <w:r w:rsidR="001C71EE">
          <w:rPr>
            <w:noProof/>
            <w:webHidden/>
          </w:rPr>
          <w:instrText xml:space="preserve"> PAGEREF _Toc535827745 \h </w:instrText>
        </w:r>
        <w:r w:rsidR="001C71EE">
          <w:rPr>
            <w:noProof/>
            <w:webHidden/>
          </w:rPr>
        </w:r>
        <w:r w:rsidR="001C71EE">
          <w:rPr>
            <w:noProof/>
            <w:webHidden/>
          </w:rPr>
          <w:fldChar w:fldCharType="separate"/>
        </w:r>
        <w:r w:rsidR="001C71EE">
          <w:rPr>
            <w:noProof/>
            <w:webHidden/>
          </w:rPr>
          <w:t>507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46" w:history="1">
        <w:r w:rsidR="001C71EE" w:rsidRPr="00193DF2">
          <w:rPr>
            <w:rStyle w:val="Hyperlink"/>
            <w:noProof/>
          </w:rPr>
          <w:t>Раздел VI</w:t>
        </w:r>
        <w:r w:rsidR="001C71EE">
          <w:rPr>
            <w:noProof/>
            <w:webHidden/>
          </w:rPr>
          <w:tab/>
        </w:r>
        <w:r w:rsidR="001C71EE">
          <w:rPr>
            <w:noProof/>
            <w:webHidden/>
          </w:rPr>
          <w:fldChar w:fldCharType="begin"/>
        </w:r>
        <w:r w:rsidR="001C71EE">
          <w:rPr>
            <w:noProof/>
            <w:webHidden/>
          </w:rPr>
          <w:instrText xml:space="preserve"> PAGEREF _Toc535827746 \h </w:instrText>
        </w:r>
        <w:r w:rsidR="001C71EE">
          <w:rPr>
            <w:noProof/>
            <w:webHidden/>
          </w:rPr>
        </w:r>
        <w:r w:rsidR="001C71EE">
          <w:rPr>
            <w:noProof/>
            <w:webHidden/>
          </w:rPr>
          <w:fldChar w:fldCharType="separate"/>
        </w:r>
        <w:r w:rsidR="001C71EE">
          <w:rPr>
            <w:noProof/>
            <w:webHidden/>
          </w:rPr>
          <w:t>511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47" w:history="1">
        <w:r w:rsidR="001C71EE" w:rsidRPr="00193DF2">
          <w:rPr>
            <w:rStyle w:val="Hyperlink"/>
            <w:noProof/>
          </w:rPr>
          <w:t>Образец на регистър на удостоверенията на плавателни съдове за плаване по вътрешни водни пътища</w:t>
        </w:r>
        <w:r w:rsidR="001C71EE">
          <w:rPr>
            <w:noProof/>
            <w:webHidden/>
          </w:rPr>
          <w:tab/>
        </w:r>
        <w:r w:rsidR="001C71EE">
          <w:rPr>
            <w:noProof/>
            <w:webHidden/>
          </w:rPr>
          <w:fldChar w:fldCharType="begin"/>
        </w:r>
        <w:r w:rsidR="001C71EE">
          <w:rPr>
            <w:noProof/>
            <w:webHidden/>
          </w:rPr>
          <w:instrText xml:space="preserve"> PAGEREF _Toc535827747 \h </w:instrText>
        </w:r>
        <w:r w:rsidR="001C71EE">
          <w:rPr>
            <w:noProof/>
            <w:webHidden/>
          </w:rPr>
        </w:r>
        <w:r w:rsidR="001C71EE">
          <w:rPr>
            <w:noProof/>
            <w:webHidden/>
          </w:rPr>
          <w:fldChar w:fldCharType="separate"/>
        </w:r>
        <w:r w:rsidR="001C71EE">
          <w:rPr>
            <w:noProof/>
            <w:webHidden/>
          </w:rPr>
          <w:t>511</w:t>
        </w:r>
        <w:r w:rsidR="001C71EE">
          <w:rPr>
            <w:noProof/>
            <w:webHidden/>
          </w:rPr>
          <w:fldChar w:fldCharType="end"/>
        </w:r>
      </w:hyperlink>
    </w:p>
    <w:p w:rsidR="001C71EE" w:rsidRDefault="002B712C">
      <w:pPr>
        <w:pStyle w:val="TOC1"/>
        <w:rPr>
          <w:rFonts w:asciiTheme="minorHAnsi" w:eastAsiaTheme="minorEastAsia" w:hAnsiTheme="minorHAnsi" w:cstheme="minorBidi"/>
          <w:b w:val="0"/>
          <w:bCs w:val="0"/>
          <w:caps w:val="0"/>
          <w:noProof/>
          <w:sz w:val="22"/>
          <w:szCs w:val="22"/>
          <w:lang w:val="en-GB" w:eastAsia="en-GB" w:bidi="ar-SA"/>
        </w:rPr>
      </w:pPr>
      <w:hyperlink w:anchor="_Toc535827748" w:history="1">
        <w:r w:rsidR="001C71EE" w:rsidRPr="00193DF2">
          <w:rPr>
            <w:rStyle w:val="Hyperlink"/>
            <w:noProof/>
          </w:rPr>
          <w:t>ЧАСТ II ДОПЪЛНИТЕЛНИ ИЗИСКВАНИЯ ЗА СПЕЦИФИЧНО ОБОРУДВАНЕ, ИЗПОЛЗВАНО НА БОРДА</w:t>
        </w:r>
        <w:r w:rsidR="001C71EE">
          <w:rPr>
            <w:noProof/>
            <w:webHidden/>
          </w:rPr>
          <w:tab/>
        </w:r>
        <w:r w:rsidR="001C71EE">
          <w:rPr>
            <w:noProof/>
            <w:webHidden/>
          </w:rPr>
          <w:fldChar w:fldCharType="begin"/>
        </w:r>
        <w:r w:rsidR="001C71EE">
          <w:rPr>
            <w:noProof/>
            <w:webHidden/>
          </w:rPr>
          <w:instrText xml:space="preserve"> PAGEREF _Toc535827748 \h </w:instrText>
        </w:r>
        <w:r w:rsidR="001C71EE">
          <w:rPr>
            <w:noProof/>
            <w:webHidden/>
          </w:rPr>
        </w:r>
        <w:r w:rsidR="001C71EE">
          <w:rPr>
            <w:noProof/>
            <w:webHidden/>
          </w:rPr>
          <w:fldChar w:fldCharType="separate"/>
        </w:r>
        <w:r w:rsidR="001C71EE">
          <w:rPr>
            <w:noProof/>
            <w:webHidden/>
          </w:rPr>
          <w:t>518</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49" w:history="1">
        <w:r w:rsidR="001C71EE" w:rsidRPr="00193DF2">
          <w:rPr>
            <w:rStyle w:val="Hyperlink"/>
            <w:noProof/>
          </w:rPr>
          <w:t>Приложение 4 Знаци за безопасност</w:t>
        </w:r>
        <w:r w:rsidR="001C71EE">
          <w:rPr>
            <w:noProof/>
            <w:webHidden/>
          </w:rPr>
          <w:tab/>
        </w:r>
        <w:r w:rsidR="001C71EE">
          <w:rPr>
            <w:noProof/>
            <w:webHidden/>
          </w:rPr>
          <w:fldChar w:fldCharType="begin"/>
        </w:r>
        <w:r w:rsidR="001C71EE">
          <w:rPr>
            <w:noProof/>
            <w:webHidden/>
          </w:rPr>
          <w:instrText xml:space="preserve"> PAGEREF _Toc535827749 \h </w:instrText>
        </w:r>
        <w:r w:rsidR="001C71EE">
          <w:rPr>
            <w:noProof/>
            <w:webHidden/>
          </w:rPr>
        </w:r>
        <w:r w:rsidR="001C71EE">
          <w:rPr>
            <w:noProof/>
            <w:webHidden/>
          </w:rPr>
          <w:fldChar w:fldCharType="separate"/>
        </w:r>
        <w:r w:rsidR="001C71EE">
          <w:rPr>
            <w:noProof/>
            <w:webHidden/>
          </w:rPr>
          <w:t>518</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50" w:history="1">
        <w:r w:rsidR="001C71EE" w:rsidRPr="00193DF2">
          <w:rPr>
            <w:rStyle w:val="Hyperlink"/>
            <w:noProof/>
          </w:rPr>
          <w:t>Приложение 5 Навигационни и информационни устройства</w:t>
        </w:r>
        <w:r w:rsidR="001C71EE">
          <w:rPr>
            <w:noProof/>
            <w:webHidden/>
          </w:rPr>
          <w:tab/>
        </w:r>
        <w:r w:rsidR="001C71EE">
          <w:rPr>
            <w:noProof/>
            <w:webHidden/>
          </w:rPr>
          <w:fldChar w:fldCharType="begin"/>
        </w:r>
        <w:r w:rsidR="001C71EE">
          <w:rPr>
            <w:noProof/>
            <w:webHidden/>
          </w:rPr>
          <w:instrText xml:space="preserve"> PAGEREF _Toc535827750 \h </w:instrText>
        </w:r>
        <w:r w:rsidR="001C71EE">
          <w:rPr>
            <w:noProof/>
            <w:webHidden/>
          </w:rPr>
        </w:r>
        <w:r w:rsidR="001C71EE">
          <w:rPr>
            <w:noProof/>
            <w:webHidden/>
          </w:rPr>
          <w:fldChar w:fldCharType="separate"/>
        </w:r>
        <w:r w:rsidR="001C71EE">
          <w:rPr>
            <w:noProof/>
            <w:webHidden/>
          </w:rPr>
          <w:t>524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51" w:history="1">
        <w:r w:rsidR="001C71EE" w:rsidRPr="00193DF2">
          <w:rPr>
            <w:rStyle w:val="Hyperlink"/>
            <w:noProof/>
          </w:rPr>
          <w:t>Раздел I</w:t>
        </w:r>
        <w:r w:rsidR="001C71EE">
          <w:rPr>
            <w:noProof/>
            <w:webHidden/>
          </w:rPr>
          <w:tab/>
        </w:r>
        <w:r w:rsidR="001C71EE">
          <w:rPr>
            <w:noProof/>
            <w:webHidden/>
          </w:rPr>
          <w:fldChar w:fldCharType="begin"/>
        </w:r>
        <w:r w:rsidR="001C71EE">
          <w:rPr>
            <w:noProof/>
            <w:webHidden/>
          </w:rPr>
          <w:instrText xml:space="preserve"> PAGEREF _Toc535827751 \h </w:instrText>
        </w:r>
        <w:r w:rsidR="001C71EE">
          <w:rPr>
            <w:noProof/>
            <w:webHidden/>
          </w:rPr>
        </w:r>
        <w:r w:rsidR="001C71EE">
          <w:rPr>
            <w:noProof/>
            <w:webHidden/>
          </w:rPr>
          <w:fldChar w:fldCharType="separate"/>
        </w:r>
        <w:r w:rsidR="001C71EE">
          <w:rPr>
            <w:noProof/>
            <w:webHidden/>
          </w:rPr>
          <w:t>527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52" w:history="1">
        <w:r w:rsidR="001C71EE" w:rsidRPr="00193DF2">
          <w:rPr>
            <w:rStyle w:val="Hyperlink"/>
            <w:noProof/>
          </w:rPr>
          <w:t>Минимални изисквания и условия на изпитване на навигационното радиолокационно оборудване, използвано по вътрешните водни пътища</w:t>
        </w:r>
        <w:r w:rsidR="001C71EE">
          <w:rPr>
            <w:noProof/>
            <w:webHidden/>
          </w:rPr>
          <w:tab/>
        </w:r>
        <w:r w:rsidR="001C71EE">
          <w:rPr>
            <w:noProof/>
            <w:webHidden/>
          </w:rPr>
          <w:fldChar w:fldCharType="begin"/>
        </w:r>
        <w:r w:rsidR="001C71EE">
          <w:rPr>
            <w:noProof/>
            <w:webHidden/>
          </w:rPr>
          <w:instrText xml:space="preserve"> PAGEREF _Toc535827752 \h </w:instrText>
        </w:r>
        <w:r w:rsidR="001C71EE">
          <w:rPr>
            <w:noProof/>
            <w:webHidden/>
          </w:rPr>
        </w:r>
        <w:r w:rsidR="001C71EE">
          <w:rPr>
            <w:noProof/>
            <w:webHidden/>
          </w:rPr>
          <w:fldChar w:fldCharType="separate"/>
        </w:r>
        <w:r w:rsidR="001C71EE">
          <w:rPr>
            <w:noProof/>
            <w:webHidden/>
          </w:rPr>
          <w:t>527</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53" w:history="1">
        <w:r w:rsidR="001C71EE" w:rsidRPr="00193DF2">
          <w:rPr>
            <w:rStyle w:val="Hyperlink"/>
            <w:noProof/>
          </w:rPr>
          <w:t>Раздел II</w:t>
        </w:r>
        <w:r w:rsidR="001C71EE">
          <w:rPr>
            <w:noProof/>
            <w:webHidden/>
          </w:rPr>
          <w:tab/>
        </w:r>
        <w:r w:rsidR="001C71EE">
          <w:rPr>
            <w:noProof/>
            <w:webHidden/>
          </w:rPr>
          <w:fldChar w:fldCharType="begin"/>
        </w:r>
        <w:r w:rsidR="001C71EE">
          <w:rPr>
            <w:noProof/>
            <w:webHidden/>
          </w:rPr>
          <w:instrText xml:space="preserve"> PAGEREF _Toc535827753 \h </w:instrText>
        </w:r>
        <w:r w:rsidR="001C71EE">
          <w:rPr>
            <w:noProof/>
            <w:webHidden/>
          </w:rPr>
        </w:r>
        <w:r w:rsidR="001C71EE">
          <w:rPr>
            <w:noProof/>
            <w:webHidden/>
          </w:rPr>
          <w:fldChar w:fldCharType="separate"/>
        </w:r>
        <w:r w:rsidR="001C71EE">
          <w:rPr>
            <w:noProof/>
            <w:webHidden/>
          </w:rPr>
          <w:t>535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54" w:history="1">
        <w:r w:rsidR="001C71EE" w:rsidRPr="00193DF2">
          <w:rPr>
            <w:rStyle w:val="Hyperlink"/>
            <w:noProof/>
          </w:rPr>
          <w:t>Минимални изисквания и условия на изпитване на индикаторите на ъгловата скорост на поворот, използвани по вътрешните водни пътища</w:t>
        </w:r>
        <w:r w:rsidR="001C71EE">
          <w:rPr>
            <w:noProof/>
            <w:webHidden/>
          </w:rPr>
          <w:tab/>
        </w:r>
        <w:r w:rsidR="001C71EE">
          <w:rPr>
            <w:noProof/>
            <w:webHidden/>
          </w:rPr>
          <w:fldChar w:fldCharType="begin"/>
        </w:r>
        <w:r w:rsidR="001C71EE">
          <w:rPr>
            <w:noProof/>
            <w:webHidden/>
          </w:rPr>
          <w:instrText xml:space="preserve"> PAGEREF _Toc535827754 \h </w:instrText>
        </w:r>
        <w:r w:rsidR="001C71EE">
          <w:rPr>
            <w:noProof/>
            <w:webHidden/>
          </w:rPr>
        </w:r>
        <w:r w:rsidR="001C71EE">
          <w:rPr>
            <w:noProof/>
            <w:webHidden/>
          </w:rPr>
          <w:fldChar w:fldCharType="separate"/>
        </w:r>
        <w:r w:rsidR="001C71EE">
          <w:rPr>
            <w:noProof/>
            <w:webHidden/>
          </w:rPr>
          <w:t>535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55" w:history="1">
        <w:r w:rsidR="001C71EE" w:rsidRPr="00193DF2">
          <w:rPr>
            <w:rStyle w:val="Hyperlink"/>
            <w:noProof/>
          </w:rPr>
          <w:t>Раздел III</w:t>
        </w:r>
        <w:r w:rsidR="001C71EE">
          <w:rPr>
            <w:noProof/>
            <w:webHidden/>
          </w:rPr>
          <w:tab/>
        </w:r>
        <w:r w:rsidR="001C71EE">
          <w:rPr>
            <w:noProof/>
            <w:webHidden/>
          </w:rPr>
          <w:fldChar w:fldCharType="begin"/>
        </w:r>
        <w:r w:rsidR="001C71EE">
          <w:rPr>
            <w:noProof/>
            <w:webHidden/>
          </w:rPr>
          <w:instrText xml:space="preserve"> PAGEREF _Toc535827755 \h </w:instrText>
        </w:r>
        <w:r w:rsidR="001C71EE">
          <w:rPr>
            <w:noProof/>
            <w:webHidden/>
          </w:rPr>
        </w:r>
        <w:r w:rsidR="001C71EE">
          <w:rPr>
            <w:noProof/>
            <w:webHidden/>
          </w:rPr>
          <w:fldChar w:fldCharType="separate"/>
        </w:r>
        <w:r w:rsidR="001C71EE">
          <w:rPr>
            <w:noProof/>
            <w:webHidden/>
          </w:rPr>
          <w:t>554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56" w:history="1">
        <w:r w:rsidR="001C71EE" w:rsidRPr="00193DF2">
          <w:rPr>
            <w:rStyle w:val="Hyperlink"/>
            <w:noProof/>
          </w:rPr>
          <w:t>Изисквания по отношение на монтажа и изпитванията на показателите на навигационното радиолокационно оборудване и индикаторите на ъгловата скорост на поворот, използвани по вътрешните водни пътища</w:t>
        </w:r>
        <w:r w:rsidR="001C71EE">
          <w:rPr>
            <w:noProof/>
            <w:webHidden/>
          </w:rPr>
          <w:tab/>
        </w:r>
        <w:r w:rsidR="001C71EE">
          <w:rPr>
            <w:noProof/>
            <w:webHidden/>
          </w:rPr>
          <w:fldChar w:fldCharType="begin"/>
        </w:r>
        <w:r w:rsidR="001C71EE">
          <w:rPr>
            <w:noProof/>
            <w:webHidden/>
          </w:rPr>
          <w:instrText xml:space="preserve"> PAGEREF _Toc535827756 \h </w:instrText>
        </w:r>
        <w:r w:rsidR="001C71EE">
          <w:rPr>
            <w:noProof/>
            <w:webHidden/>
          </w:rPr>
        </w:r>
        <w:r w:rsidR="001C71EE">
          <w:rPr>
            <w:noProof/>
            <w:webHidden/>
          </w:rPr>
          <w:fldChar w:fldCharType="separate"/>
        </w:r>
        <w:r w:rsidR="001C71EE">
          <w:rPr>
            <w:noProof/>
            <w:webHidden/>
          </w:rPr>
          <w:t>554</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57" w:history="1">
        <w:r w:rsidR="001C71EE" w:rsidRPr="00193DF2">
          <w:rPr>
            <w:rStyle w:val="Hyperlink"/>
            <w:noProof/>
          </w:rPr>
          <w:t>Раздел IV</w:t>
        </w:r>
        <w:r w:rsidR="001C71EE">
          <w:rPr>
            <w:noProof/>
            <w:webHidden/>
          </w:rPr>
          <w:tab/>
        </w:r>
        <w:r w:rsidR="001C71EE">
          <w:rPr>
            <w:noProof/>
            <w:webHidden/>
          </w:rPr>
          <w:fldChar w:fldCharType="begin"/>
        </w:r>
        <w:r w:rsidR="001C71EE">
          <w:rPr>
            <w:noProof/>
            <w:webHidden/>
          </w:rPr>
          <w:instrText xml:space="preserve"> PAGEREF _Toc535827757 \h </w:instrText>
        </w:r>
        <w:r w:rsidR="001C71EE">
          <w:rPr>
            <w:noProof/>
            <w:webHidden/>
          </w:rPr>
        </w:r>
        <w:r w:rsidR="001C71EE">
          <w:rPr>
            <w:noProof/>
            <w:webHidden/>
          </w:rPr>
          <w:fldChar w:fldCharType="separate"/>
        </w:r>
        <w:r w:rsidR="001C71EE">
          <w:rPr>
            <w:noProof/>
            <w:webHidden/>
          </w:rPr>
          <w:t>561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58" w:history="1">
        <w:r w:rsidR="001C71EE" w:rsidRPr="00193DF2">
          <w:rPr>
            <w:rStyle w:val="Hyperlink"/>
            <w:noProof/>
          </w:rPr>
          <w:t>Минимални изисквания, изисквания по отношение на монтажа и изпитванията на показателите на оборудване за AIS за вътрешните водни пътища във вътрешното корабоплаване</w:t>
        </w:r>
        <w:r w:rsidR="001C71EE">
          <w:rPr>
            <w:noProof/>
            <w:webHidden/>
          </w:rPr>
          <w:tab/>
        </w:r>
        <w:r w:rsidR="001C71EE">
          <w:rPr>
            <w:noProof/>
            <w:webHidden/>
          </w:rPr>
          <w:fldChar w:fldCharType="begin"/>
        </w:r>
        <w:r w:rsidR="001C71EE">
          <w:rPr>
            <w:noProof/>
            <w:webHidden/>
          </w:rPr>
          <w:instrText xml:space="preserve"> PAGEREF _Toc535827758 \h </w:instrText>
        </w:r>
        <w:r w:rsidR="001C71EE">
          <w:rPr>
            <w:noProof/>
            <w:webHidden/>
          </w:rPr>
        </w:r>
        <w:r w:rsidR="001C71EE">
          <w:rPr>
            <w:noProof/>
            <w:webHidden/>
          </w:rPr>
          <w:fldChar w:fldCharType="separate"/>
        </w:r>
        <w:r w:rsidR="001C71EE">
          <w:rPr>
            <w:noProof/>
            <w:webHidden/>
          </w:rPr>
          <w:t>561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59" w:history="1">
        <w:r w:rsidR="001C71EE" w:rsidRPr="00193DF2">
          <w:rPr>
            <w:rStyle w:val="Hyperlink"/>
            <w:noProof/>
          </w:rPr>
          <w:t>Раздел V</w:t>
        </w:r>
        <w:r w:rsidR="001C71EE">
          <w:rPr>
            <w:noProof/>
            <w:webHidden/>
          </w:rPr>
          <w:tab/>
        </w:r>
        <w:r w:rsidR="001C71EE">
          <w:rPr>
            <w:noProof/>
            <w:webHidden/>
          </w:rPr>
          <w:fldChar w:fldCharType="begin"/>
        </w:r>
        <w:r w:rsidR="001C71EE">
          <w:rPr>
            <w:noProof/>
            <w:webHidden/>
          </w:rPr>
          <w:instrText xml:space="preserve"> PAGEREF _Toc535827759 \h </w:instrText>
        </w:r>
        <w:r w:rsidR="001C71EE">
          <w:rPr>
            <w:noProof/>
            <w:webHidden/>
          </w:rPr>
        </w:r>
        <w:r w:rsidR="001C71EE">
          <w:rPr>
            <w:noProof/>
            <w:webHidden/>
          </w:rPr>
          <w:fldChar w:fldCharType="separate"/>
        </w:r>
        <w:r w:rsidR="001C71EE">
          <w:rPr>
            <w:noProof/>
            <w:webHidden/>
          </w:rPr>
          <w:t>565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60" w:history="1">
        <w:r w:rsidR="001C71EE" w:rsidRPr="00193DF2">
          <w:rPr>
            <w:rStyle w:val="Hyperlink"/>
            <w:noProof/>
          </w:rPr>
          <w:t>Минимални изисквания, изисквания по отношение на монтажа и изпитванията на показателите на тахографи за вътрешно корабоплаване</w:t>
        </w:r>
        <w:r w:rsidR="001C71EE">
          <w:rPr>
            <w:noProof/>
            <w:webHidden/>
          </w:rPr>
          <w:tab/>
        </w:r>
        <w:r w:rsidR="001C71EE">
          <w:rPr>
            <w:noProof/>
            <w:webHidden/>
          </w:rPr>
          <w:fldChar w:fldCharType="begin"/>
        </w:r>
        <w:r w:rsidR="001C71EE">
          <w:rPr>
            <w:noProof/>
            <w:webHidden/>
          </w:rPr>
          <w:instrText xml:space="preserve"> PAGEREF _Toc535827760 \h </w:instrText>
        </w:r>
        <w:r w:rsidR="001C71EE">
          <w:rPr>
            <w:noProof/>
            <w:webHidden/>
          </w:rPr>
        </w:r>
        <w:r w:rsidR="001C71EE">
          <w:rPr>
            <w:noProof/>
            <w:webHidden/>
          </w:rPr>
          <w:fldChar w:fldCharType="separate"/>
        </w:r>
        <w:r w:rsidR="001C71EE">
          <w:rPr>
            <w:noProof/>
            <w:webHidden/>
          </w:rPr>
          <w:t>565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61" w:history="1">
        <w:r w:rsidR="001C71EE" w:rsidRPr="00193DF2">
          <w:rPr>
            <w:rStyle w:val="Hyperlink"/>
            <w:noProof/>
          </w:rPr>
          <w:t>Раздел VI</w:t>
        </w:r>
        <w:r w:rsidR="001C71EE">
          <w:rPr>
            <w:noProof/>
            <w:webHidden/>
          </w:rPr>
          <w:tab/>
        </w:r>
        <w:r w:rsidR="001C71EE">
          <w:rPr>
            <w:noProof/>
            <w:webHidden/>
          </w:rPr>
          <w:fldChar w:fldCharType="begin"/>
        </w:r>
        <w:r w:rsidR="001C71EE">
          <w:rPr>
            <w:noProof/>
            <w:webHidden/>
          </w:rPr>
          <w:instrText xml:space="preserve"> PAGEREF _Toc535827761 \h </w:instrText>
        </w:r>
        <w:r w:rsidR="001C71EE">
          <w:rPr>
            <w:noProof/>
            <w:webHidden/>
          </w:rPr>
        </w:r>
        <w:r w:rsidR="001C71EE">
          <w:rPr>
            <w:noProof/>
            <w:webHidden/>
          </w:rPr>
          <w:fldChar w:fldCharType="separate"/>
        </w:r>
        <w:r w:rsidR="001C71EE">
          <w:rPr>
            <w:noProof/>
            <w:webHidden/>
          </w:rPr>
          <w:t>571</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62" w:history="1">
        <w:r w:rsidR="001C71EE" w:rsidRPr="00193DF2">
          <w:rPr>
            <w:rStyle w:val="Hyperlink"/>
            <w:noProof/>
          </w:rPr>
          <w:t>Удостоверение за монтажа и показателите за навигационно радиолокационно оборудване, индикатори на ъгловата скорост на поворот, оборудване за AIS за вътрешните водни пътища</w:t>
        </w:r>
        <w:r w:rsidR="001C71EE">
          <w:rPr>
            <w:noProof/>
            <w:webHidden/>
          </w:rPr>
          <w:tab/>
        </w:r>
        <w:r w:rsidR="001C71EE">
          <w:rPr>
            <w:noProof/>
            <w:webHidden/>
          </w:rPr>
          <w:fldChar w:fldCharType="begin"/>
        </w:r>
        <w:r w:rsidR="001C71EE">
          <w:rPr>
            <w:noProof/>
            <w:webHidden/>
          </w:rPr>
          <w:instrText xml:space="preserve"> PAGEREF _Toc535827762 \h </w:instrText>
        </w:r>
        <w:r w:rsidR="001C71EE">
          <w:rPr>
            <w:noProof/>
            <w:webHidden/>
          </w:rPr>
        </w:r>
        <w:r w:rsidR="001C71EE">
          <w:rPr>
            <w:noProof/>
            <w:webHidden/>
          </w:rPr>
          <w:fldChar w:fldCharType="separate"/>
        </w:r>
        <w:r w:rsidR="001C71EE">
          <w:rPr>
            <w:noProof/>
            <w:webHidden/>
          </w:rPr>
          <w:t>571</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63" w:history="1">
        <w:r w:rsidR="001C71EE" w:rsidRPr="00193DF2">
          <w:rPr>
            <w:rStyle w:val="Hyperlink"/>
            <w:noProof/>
          </w:rPr>
          <w:t>Приложение 6 Протокол за параметрите на двигателя</w:t>
        </w:r>
        <w:r w:rsidR="001C71EE">
          <w:rPr>
            <w:noProof/>
            <w:webHidden/>
          </w:rPr>
          <w:tab/>
        </w:r>
        <w:r w:rsidR="001C71EE">
          <w:rPr>
            <w:noProof/>
            <w:webHidden/>
          </w:rPr>
          <w:fldChar w:fldCharType="begin"/>
        </w:r>
        <w:r w:rsidR="001C71EE">
          <w:rPr>
            <w:noProof/>
            <w:webHidden/>
          </w:rPr>
          <w:instrText xml:space="preserve"> PAGEREF _Toc535827763 \h </w:instrText>
        </w:r>
        <w:r w:rsidR="001C71EE">
          <w:rPr>
            <w:noProof/>
            <w:webHidden/>
          </w:rPr>
        </w:r>
        <w:r w:rsidR="001C71EE">
          <w:rPr>
            <w:noProof/>
            <w:webHidden/>
          </w:rPr>
          <w:fldChar w:fldCharType="separate"/>
        </w:r>
        <w:r w:rsidR="001C71EE">
          <w:rPr>
            <w:noProof/>
            <w:webHidden/>
          </w:rPr>
          <w:t>574</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64" w:history="1">
        <w:r w:rsidR="001C71EE" w:rsidRPr="00193DF2">
          <w:rPr>
            <w:rStyle w:val="Hyperlink"/>
            <w:noProof/>
          </w:rPr>
          <w:t>Приложение 7 Бордови станции за пречистване на отпадъчни води</w:t>
        </w:r>
        <w:r w:rsidR="001C71EE">
          <w:rPr>
            <w:noProof/>
            <w:webHidden/>
          </w:rPr>
          <w:tab/>
        </w:r>
        <w:r w:rsidR="001C71EE">
          <w:rPr>
            <w:noProof/>
            <w:webHidden/>
          </w:rPr>
          <w:fldChar w:fldCharType="begin"/>
        </w:r>
        <w:r w:rsidR="001C71EE">
          <w:rPr>
            <w:noProof/>
            <w:webHidden/>
          </w:rPr>
          <w:instrText xml:space="preserve"> PAGEREF _Toc535827764 \h </w:instrText>
        </w:r>
        <w:r w:rsidR="001C71EE">
          <w:rPr>
            <w:noProof/>
            <w:webHidden/>
          </w:rPr>
        </w:r>
        <w:r w:rsidR="001C71EE">
          <w:rPr>
            <w:noProof/>
            <w:webHidden/>
          </w:rPr>
          <w:fldChar w:fldCharType="separate"/>
        </w:r>
        <w:r w:rsidR="001C71EE">
          <w:rPr>
            <w:noProof/>
            <w:webHidden/>
          </w:rPr>
          <w:t>582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65" w:history="1">
        <w:r w:rsidR="001C71EE" w:rsidRPr="00193DF2">
          <w:rPr>
            <w:rStyle w:val="Hyperlink"/>
            <w:noProof/>
          </w:rPr>
          <w:t>Раздел I</w:t>
        </w:r>
        <w:r w:rsidR="001C71EE">
          <w:rPr>
            <w:noProof/>
            <w:webHidden/>
          </w:rPr>
          <w:tab/>
        </w:r>
        <w:r w:rsidR="001C71EE">
          <w:rPr>
            <w:noProof/>
            <w:webHidden/>
          </w:rPr>
          <w:fldChar w:fldCharType="begin"/>
        </w:r>
        <w:r w:rsidR="001C71EE">
          <w:rPr>
            <w:noProof/>
            <w:webHidden/>
          </w:rPr>
          <w:instrText xml:space="preserve"> PAGEREF _Toc535827765 \h </w:instrText>
        </w:r>
        <w:r w:rsidR="001C71EE">
          <w:rPr>
            <w:noProof/>
            <w:webHidden/>
          </w:rPr>
        </w:r>
        <w:r w:rsidR="001C71EE">
          <w:rPr>
            <w:noProof/>
            <w:webHidden/>
          </w:rPr>
          <w:fldChar w:fldCharType="separate"/>
        </w:r>
        <w:r w:rsidR="001C71EE">
          <w:rPr>
            <w:noProof/>
            <w:webHidden/>
          </w:rPr>
          <w:t>585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66" w:history="1">
        <w:r w:rsidR="001C71EE" w:rsidRPr="00193DF2">
          <w:rPr>
            <w:rStyle w:val="Hyperlink"/>
            <w:noProof/>
          </w:rPr>
          <w:t>Допълнителни разпоредби</w:t>
        </w:r>
        <w:r w:rsidR="001C71EE">
          <w:rPr>
            <w:noProof/>
            <w:webHidden/>
          </w:rPr>
          <w:tab/>
        </w:r>
        <w:r w:rsidR="001C71EE">
          <w:rPr>
            <w:noProof/>
            <w:webHidden/>
          </w:rPr>
          <w:fldChar w:fldCharType="begin"/>
        </w:r>
        <w:r w:rsidR="001C71EE">
          <w:rPr>
            <w:noProof/>
            <w:webHidden/>
          </w:rPr>
          <w:instrText xml:space="preserve"> PAGEREF _Toc535827766 \h </w:instrText>
        </w:r>
        <w:r w:rsidR="001C71EE">
          <w:rPr>
            <w:noProof/>
            <w:webHidden/>
          </w:rPr>
        </w:r>
        <w:r w:rsidR="001C71EE">
          <w:rPr>
            <w:noProof/>
            <w:webHidden/>
          </w:rPr>
          <w:fldChar w:fldCharType="separate"/>
        </w:r>
        <w:r w:rsidR="001C71EE">
          <w:rPr>
            <w:noProof/>
            <w:webHidden/>
          </w:rPr>
          <w:t>585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67" w:history="1">
        <w:r w:rsidR="001C71EE" w:rsidRPr="00193DF2">
          <w:rPr>
            <w:rStyle w:val="Hyperlink"/>
            <w:noProof/>
          </w:rPr>
          <w:t>Раздел II</w:t>
        </w:r>
        <w:r w:rsidR="001C71EE">
          <w:rPr>
            <w:noProof/>
            <w:webHidden/>
          </w:rPr>
          <w:tab/>
        </w:r>
        <w:r w:rsidR="001C71EE">
          <w:rPr>
            <w:noProof/>
            <w:webHidden/>
          </w:rPr>
          <w:fldChar w:fldCharType="begin"/>
        </w:r>
        <w:r w:rsidR="001C71EE">
          <w:rPr>
            <w:noProof/>
            <w:webHidden/>
          </w:rPr>
          <w:instrText xml:space="preserve"> PAGEREF _Toc535827767 \h </w:instrText>
        </w:r>
        <w:r w:rsidR="001C71EE">
          <w:rPr>
            <w:noProof/>
            <w:webHidden/>
          </w:rPr>
        </w:r>
        <w:r w:rsidR="001C71EE">
          <w:rPr>
            <w:noProof/>
            <w:webHidden/>
          </w:rPr>
          <w:fldChar w:fldCharType="separate"/>
        </w:r>
        <w:r w:rsidR="001C71EE">
          <w:rPr>
            <w:noProof/>
            <w:webHidden/>
          </w:rPr>
          <w:t>592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68" w:history="1">
        <w:r w:rsidR="001C71EE" w:rsidRPr="00193DF2">
          <w:rPr>
            <w:rStyle w:val="Hyperlink"/>
            <w:noProof/>
          </w:rPr>
          <w:t>Информационен документ №...</w:t>
        </w:r>
        <w:r w:rsidR="001C71EE" w:rsidRPr="00193DF2">
          <w:rPr>
            <w:rStyle w:val="Hyperlink"/>
            <w:noProof/>
            <w:vertAlign w:val="superscript"/>
          </w:rPr>
          <w:t xml:space="preserve"> </w:t>
        </w:r>
        <w:r w:rsidR="001C71EE" w:rsidRPr="00193DF2">
          <w:rPr>
            <w:rStyle w:val="Hyperlink"/>
            <w:noProof/>
          </w:rPr>
          <w:t>във връзка с одобрението на типа на бордовите станции за пречистване на отпадъчни води, предназначени за инсталиране на плавателните съдове по вътрешните водни пътища</w:t>
        </w:r>
        <w:r w:rsidR="001C71EE">
          <w:rPr>
            <w:noProof/>
            <w:webHidden/>
          </w:rPr>
          <w:tab/>
        </w:r>
        <w:r w:rsidR="001C71EE">
          <w:rPr>
            <w:noProof/>
            <w:webHidden/>
          </w:rPr>
          <w:fldChar w:fldCharType="begin"/>
        </w:r>
        <w:r w:rsidR="001C71EE">
          <w:rPr>
            <w:noProof/>
            <w:webHidden/>
          </w:rPr>
          <w:instrText xml:space="preserve"> PAGEREF _Toc535827768 \h </w:instrText>
        </w:r>
        <w:r w:rsidR="001C71EE">
          <w:rPr>
            <w:noProof/>
            <w:webHidden/>
          </w:rPr>
        </w:r>
        <w:r w:rsidR="001C71EE">
          <w:rPr>
            <w:noProof/>
            <w:webHidden/>
          </w:rPr>
          <w:fldChar w:fldCharType="separate"/>
        </w:r>
        <w:r w:rsidR="001C71EE">
          <w:rPr>
            <w:noProof/>
            <w:webHidden/>
          </w:rPr>
          <w:t>592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69" w:history="1">
        <w:r w:rsidR="001C71EE" w:rsidRPr="00193DF2">
          <w:rPr>
            <w:rStyle w:val="Hyperlink"/>
            <w:noProof/>
          </w:rPr>
          <w:t>Раздел III</w:t>
        </w:r>
        <w:r w:rsidR="001C71EE">
          <w:rPr>
            <w:noProof/>
            <w:webHidden/>
          </w:rPr>
          <w:tab/>
        </w:r>
        <w:r w:rsidR="001C71EE">
          <w:rPr>
            <w:noProof/>
            <w:webHidden/>
          </w:rPr>
          <w:fldChar w:fldCharType="begin"/>
        </w:r>
        <w:r w:rsidR="001C71EE">
          <w:rPr>
            <w:noProof/>
            <w:webHidden/>
          </w:rPr>
          <w:instrText xml:space="preserve"> PAGEREF _Toc535827769 \h </w:instrText>
        </w:r>
        <w:r w:rsidR="001C71EE">
          <w:rPr>
            <w:noProof/>
            <w:webHidden/>
          </w:rPr>
        </w:r>
        <w:r w:rsidR="001C71EE">
          <w:rPr>
            <w:noProof/>
            <w:webHidden/>
          </w:rPr>
          <w:fldChar w:fldCharType="separate"/>
        </w:r>
        <w:r w:rsidR="001C71EE">
          <w:rPr>
            <w:noProof/>
            <w:webHidden/>
          </w:rPr>
          <w:t>596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70" w:history="1">
        <w:r w:rsidR="001C71EE" w:rsidRPr="00193DF2">
          <w:rPr>
            <w:rStyle w:val="Hyperlink"/>
            <w:noProof/>
          </w:rPr>
          <w:t>Удостоверение за одобрение на типа</w:t>
        </w:r>
        <w:r w:rsidR="001C71EE">
          <w:rPr>
            <w:noProof/>
            <w:webHidden/>
          </w:rPr>
          <w:tab/>
        </w:r>
        <w:r w:rsidR="001C71EE">
          <w:rPr>
            <w:noProof/>
            <w:webHidden/>
          </w:rPr>
          <w:fldChar w:fldCharType="begin"/>
        </w:r>
        <w:r w:rsidR="001C71EE">
          <w:rPr>
            <w:noProof/>
            <w:webHidden/>
          </w:rPr>
          <w:instrText xml:space="preserve"> PAGEREF _Toc535827770 \h </w:instrText>
        </w:r>
        <w:r w:rsidR="001C71EE">
          <w:rPr>
            <w:noProof/>
            <w:webHidden/>
          </w:rPr>
        </w:r>
        <w:r w:rsidR="001C71EE">
          <w:rPr>
            <w:noProof/>
            <w:webHidden/>
          </w:rPr>
          <w:fldChar w:fldCharType="separate"/>
        </w:r>
        <w:r w:rsidR="001C71EE">
          <w:rPr>
            <w:noProof/>
            <w:webHidden/>
          </w:rPr>
          <w:t>596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71" w:history="1">
        <w:r w:rsidR="001C71EE" w:rsidRPr="00193DF2">
          <w:rPr>
            <w:rStyle w:val="Hyperlink"/>
            <w:noProof/>
          </w:rPr>
          <w:t>Раздел IV</w:t>
        </w:r>
        <w:r w:rsidR="001C71EE">
          <w:rPr>
            <w:noProof/>
            <w:webHidden/>
          </w:rPr>
          <w:tab/>
        </w:r>
        <w:r w:rsidR="001C71EE">
          <w:rPr>
            <w:noProof/>
            <w:webHidden/>
          </w:rPr>
          <w:fldChar w:fldCharType="begin"/>
        </w:r>
        <w:r w:rsidR="001C71EE">
          <w:rPr>
            <w:noProof/>
            <w:webHidden/>
          </w:rPr>
          <w:instrText xml:space="preserve"> PAGEREF _Toc535827771 \h </w:instrText>
        </w:r>
        <w:r w:rsidR="001C71EE">
          <w:rPr>
            <w:noProof/>
            <w:webHidden/>
          </w:rPr>
        </w:r>
        <w:r w:rsidR="001C71EE">
          <w:rPr>
            <w:noProof/>
            <w:webHidden/>
          </w:rPr>
          <w:fldChar w:fldCharType="separate"/>
        </w:r>
        <w:r w:rsidR="001C71EE">
          <w:rPr>
            <w:noProof/>
            <w:webHidden/>
          </w:rPr>
          <w:t>606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72" w:history="1">
        <w:r w:rsidR="001C71EE" w:rsidRPr="00193DF2">
          <w:rPr>
            <w:rStyle w:val="Hyperlink"/>
            <w:noProof/>
          </w:rPr>
          <w:t>Система за номериране на одобренията на типа</w:t>
        </w:r>
        <w:r w:rsidR="001C71EE">
          <w:rPr>
            <w:noProof/>
            <w:webHidden/>
          </w:rPr>
          <w:tab/>
        </w:r>
        <w:r w:rsidR="001C71EE">
          <w:rPr>
            <w:noProof/>
            <w:webHidden/>
          </w:rPr>
          <w:fldChar w:fldCharType="begin"/>
        </w:r>
        <w:r w:rsidR="001C71EE">
          <w:rPr>
            <w:noProof/>
            <w:webHidden/>
          </w:rPr>
          <w:instrText xml:space="preserve"> PAGEREF _Toc535827772 \h </w:instrText>
        </w:r>
        <w:r w:rsidR="001C71EE">
          <w:rPr>
            <w:noProof/>
            <w:webHidden/>
          </w:rPr>
        </w:r>
        <w:r w:rsidR="001C71EE">
          <w:rPr>
            <w:noProof/>
            <w:webHidden/>
          </w:rPr>
          <w:fldChar w:fldCharType="separate"/>
        </w:r>
        <w:r w:rsidR="001C71EE">
          <w:rPr>
            <w:noProof/>
            <w:webHidden/>
          </w:rPr>
          <w:t>606</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73" w:history="1">
        <w:r w:rsidR="001C71EE" w:rsidRPr="00193DF2">
          <w:rPr>
            <w:rStyle w:val="Hyperlink"/>
            <w:noProof/>
          </w:rPr>
          <w:t>Раздел V</w:t>
        </w:r>
        <w:r w:rsidR="001C71EE">
          <w:rPr>
            <w:noProof/>
            <w:webHidden/>
          </w:rPr>
          <w:tab/>
        </w:r>
        <w:r w:rsidR="001C71EE">
          <w:rPr>
            <w:noProof/>
            <w:webHidden/>
          </w:rPr>
          <w:fldChar w:fldCharType="begin"/>
        </w:r>
        <w:r w:rsidR="001C71EE">
          <w:rPr>
            <w:noProof/>
            <w:webHidden/>
          </w:rPr>
          <w:instrText xml:space="preserve"> PAGEREF _Toc535827773 \h </w:instrText>
        </w:r>
        <w:r w:rsidR="001C71EE">
          <w:rPr>
            <w:noProof/>
            <w:webHidden/>
          </w:rPr>
        </w:r>
        <w:r w:rsidR="001C71EE">
          <w:rPr>
            <w:noProof/>
            <w:webHidden/>
          </w:rPr>
          <w:fldChar w:fldCharType="separate"/>
        </w:r>
        <w:r w:rsidR="001C71EE">
          <w:rPr>
            <w:noProof/>
            <w:webHidden/>
          </w:rPr>
          <w:t>609</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74" w:history="1">
        <w:r w:rsidR="001C71EE" w:rsidRPr="00193DF2">
          <w:rPr>
            <w:rStyle w:val="Hyperlink"/>
            <w:noProof/>
          </w:rPr>
          <w:t>Обобщение на одобренията на типа за типовете бордови станции за пречистване на отпадъчни води</w:t>
        </w:r>
        <w:r w:rsidR="001C71EE">
          <w:rPr>
            <w:noProof/>
            <w:webHidden/>
          </w:rPr>
          <w:tab/>
        </w:r>
        <w:r w:rsidR="001C71EE">
          <w:rPr>
            <w:noProof/>
            <w:webHidden/>
          </w:rPr>
          <w:fldChar w:fldCharType="begin"/>
        </w:r>
        <w:r w:rsidR="001C71EE">
          <w:rPr>
            <w:noProof/>
            <w:webHidden/>
          </w:rPr>
          <w:instrText xml:space="preserve"> PAGEREF _Toc535827774 \h </w:instrText>
        </w:r>
        <w:r w:rsidR="001C71EE">
          <w:rPr>
            <w:noProof/>
            <w:webHidden/>
          </w:rPr>
        </w:r>
        <w:r w:rsidR="001C71EE">
          <w:rPr>
            <w:noProof/>
            <w:webHidden/>
          </w:rPr>
          <w:fldChar w:fldCharType="separate"/>
        </w:r>
        <w:r w:rsidR="001C71EE">
          <w:rPr>
            <w:noProof/>
            <w:webHidden/>
          </w:rPr>
          <w:t>609</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75" w:history="1">
        <w:r w:rsidR="001C71EE" w:rsidRPr="00193DF2">
          <w:rPr>
            <w:rStyle w:val="Hyperlink"/>
            <w:noProof/>
          </w:rPr>
          <w:t>Раздел VI</w:t>
        </w:r>
        <w:r w:rsidR="001C71EE">
          <w:rPr>
            <w:noProof/>
            <w:webHidden/>
          </w:rPr>
          <w:tab/>
        </w:r>
        <w:r w:rsidR="001C71EE">
          <w:rPr>
            <w:noProof/>
            <w:webHidden/>
          </w:rPr>
          <w:fldChar w:fldCharType="begin"/>
        </w:r>
        <w:r w:rsidR="001C71EE">
          <w:rPr>
            <w:noProof/>
            <w:webHidden/>
          </w:rPr>
          <w:instrText xml:space="preserve"> PAGEREF _Toc535827775 \h </w:instrText>
        </w:r>
        <w:r w:rsidR="001C71EE">
          <w:rPr>
            <w:noProof/>
            <w:webHidden/>
          </w:rPr>
        </w:r>
        <w:r w:rsidR="001C71EE">
          <w:rPr>
            <w:noProof/>
            <w:webHidden/>
          </w:rPr>
          <w:fldChar w:fldCharType="separate"/>
        </w:r>
        <w:r w:rsidR="001C71EE">
          <w:rPr>
            <w:noProof/>
            <w:webHidden/>
          </w:rPr>
          <w:t>612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76" w:history="1">
        <w:r w:rsidR="001C71EE" w:rsidRPr="00193DF2">
          <w:rPr>
            <w:rStyle w:val="Hyperlink"/>
            <w:noProof/>
          </w:rPr>
          <w:t>Обобщение на произведените бордови станции за пречистване на отпадъчни води</w:t>
        </w:r>
        <w:r w:rsidR="001C71EE">
          <w:rPr>
            <w:noProof/>
            <w:webHidden/>
          </w:rPr>
          <w:tab/>
        </w:r>
        <w:r w:rsidR="001C71EE">
          <w:rPr>
            <w:noProof/>
            <w:webHidden/>
          </w:rPr>
          <w:fldChar w:fldCharType="begin"/>
        </w:r>
        <w:r w:rsidR="001C71EE">
          <w:rPr>
            <w:noProof/>
            <w:webHidden/>
          </w:rPr>
          <w:instrText xml:space="preserve"> PAGEREF _Toc535827776 \h </w:instrText>
        </w:r>
        <w:r w:rsidR="001C71EE">
          <w:rPr>
            <w:noProof/>
            <w:webHidden/>
          </w:rPr>
        </w:r>
        <w:r w:rsidR="001C71EE">
          <w:rPr>
            <w:noProof/>
            <w:webHidden/>
          </w:rPr>
          <w:fldChar w:fldCharType="separate"/>
        </w:r>
        <w:r w:rsidR="001C71EE">
          <w:rPr>
            <w:noProof/>
            <w:webHidden/>
          </w:rPr>
          <w:t>612</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77" w:history="1">
        <w:r w:rsidR="001C71EE" w:rsidRPr="00193DF2">
          <w:rPr>
            <w:rStyle w:val="Hyperlink"/>
            <w:noProof/>
          </w:rPr>
          <w:t>Раздел VII</w:t>
        </w:r>
        <w:r w:rsidR="001C71EE">
          <w:rPr>
            <w:noProof/>
            <w:webHidden/>
          </w:rPr>
          <w:tab/>
        </w:r>
        <w:r w:rsidR="001C71EE">
          <w:rPr>
            <w:noProof/>
            <w:webHidden/>
          </w:rPr>
          <w:fldChar w:fldCharType="begin"/>
        </w:r>
        <w:r w:rsidR="001C71EE">
          <w:rPr>
            <w:noProof/>
            <w:webHidden/>
          </w:rPr>
          <w:instrText xml:space="preserve"> PAGEREF _Toc535827777 \h </w:instrText>
        </w:r>
        <w:r w:rsidR="001C71EE">
          <w:rPr>
            <w:noProof/>
            <w:webHidden/>
          </w:rPr>
        </w:r>
        <w:r w:rsidR="001C71EE">
          <w:rPr>
            <w:noProof/>
            <w:webHidden/>
          </w:rPr>
          <w:fldChar w:fldCharType="separate"/>
        </w:r>
        <w:r w:rsidR="001C71EE">
          <w:rPr>
            <w:noProof/>
            <w:webHidden/>
          </w:rPr>
          <w:t>615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78" w:history="1">
        <w:r w:rsidR="001C71EE" w:rsidRPr="00193DF2">
          <w:rPr>
            <w:rStyle w:val="Hyperlink"/>
            <w:noProof/>
          </w:rPr>
          <w:t>Спецификация за бордови станции за пречистване на отпадъчни води с одобрение на типа</w:t>
        </w:r>
        <w:r w:rsidR="001C71EE">
          <w:rPr>
            <w:noProof/>
            <w:webHidden/>
          </w:rPr>
          <w:tab/>
        </w:r>
        <w:r w:rsidR="001C71EE">
          <w:rPr>
            <w:noProof/>
            <w:webHidden/>
          </w:rPr>
          <w:fldChar w:fldCharType="begin"/>
        </w:r>
        <w:r w:rsidR="001C71EE">
          <w:rPr>
            <w:noProof/>
            <w:webHidden/>
          </w:rPr>
          <w:instrText xml:space="preserve"> PAGEREF _Toc535827778 \h </w:instrText>
        </w:r>
        <w:r w:rsidR="001C71EE">
          <w:rPr>
            <w:noProof/>
            <w:webHidden/>
          </w:rPr>
        </w:r>
        <w:r w:rsidR="001C71EE">
          <w:rPr>
            <w:noProof/>
            <w:webHidden/>
          </w:rPr>
          <w:fldChar w:fldCharType="separate"/>
        </w:r>
        <w:r w:rsidR="001C71EE">
          <w:rPr>
            <w:noProof/>
            <w:webHidden/>
          </w:rPr>
          <w:t>615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79" w:history="1">
        <w:r w:rsidR="001C71EE" w:rsidRPr="00193DF2">
          <w:rPr>
            <w:rStyle w:val="Hyperlink"/>
            <w:noProof/>
          </w:rPr>
          <w:t>Раздел VIII</w:t>
        </w:r>
        <w:r w:rsidR="001C71EE">
          <w:rPr>
            <w:noProof/>
            <w:webHidden/>
          </w:rPr>
          <w:tab/>
        </w:r>
        <w:r w:rsidR="001C71EE">
          <w:rPr>
            <w:noProof/>
            <w:webHidden/>
          </w:rPr>
          <w:fldChar w:fldCharType="begin"/>
        </w:r>
        <w:r w:rsidR="001C71EE">
          <w:rPr>
            <w:noProof/>
            <w:webHidden/>
          </w:rPr>
          <w:instrText xml:space="preserve"> PAGEREF _Toc535827779 \h </w:instrText>
        </w:r>
        <w:r w:rsidR="001C71EE">
          <w:rPr>
            <w:noProof/>
            <w:webHidden/>
          </w:rPr>
        </w:r>
        <w:r w:rsidR="001C71EE">
          <w:rPr>
            <w:noProof/>
            <w:webHidden/>
          </w:rPr>
          <w:fldChar w:fldCharType="separate"/>
        </w:r>
        <w:r w:rsidR="001C71EE">
          <w:rPr>
            <w:noProof/>
            <w:webHidden/>
          </w:rPr>
          <w:t>618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80" w:history="1">
        <w:r w:rsidR="001C71EE" w:rsidRPr="00193DF2">
          <w:rPr>
            <w:rStyle w:val="Hyperlink"/>
            <w:noProof/>
          </w:rPr>
          <w:t>Протокол за параметри на бордовата станция за пречистване на отпадъчни води за специално изпитване</w:t>
        </w:r>
        <w:r w:rsidR="001C71EE">
          <w:rPr>
            <w:noProof/>
            <w:webHidden/>
          </w:rPr>
          <w:tab/>
        </w:r>
        <w:r w:rsidR="001C71EE">
          <w:rPr>
            <w:noProof/>
            <w:webHidden/>
          </w:rPr>
          <w:fldChar w:fldCharType="begin"/>
        </w:r>
        <w:r w:rsidR="001C71EE">
          <w:rPr>
            <w:noProof/>
            <w:webHidden/>
          </w:rPr>
          <w:instrText xml:space="preserve"> PAGEREF _Toc535827780 \h </w:instrText>
        </w:r>
        <w:r w:rsidR="001C71EE">
          <w:rPr>
            <w:noProof/>
            <w:webHidden/>
          </w:rPr>
        </w:r>
        <w:r w:rsidR="001C71EE">
          <w:rPr>
            <w:noProof/>
            <w:webHidden/>
          </w:rPr>
          <w:fldChar w:fldCharType="separate"/>
        </w:r>
        <w:r w:rsidR="001C71EE">
          <w:rPr>
            <w:noProof/>
            <w:webHidden/>
          </w:rPr>
          <w:t>618</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81" w:history="1">
        <w:r w:rsidR="001C71EE" w:rsidRPr="00193DF2">
          <w:rPr>
            <w:rStyle w:val="Hyperlink"/>
            <w:noProof/>
          </w:rPr>
          <w:t>Раздел IX</w:t>
        </w:r>
        <w:r w:rsidR="001C71EE">
          <w:rPr>
            <w:noProof/>
            <w:webHidden/>
          </w:rPr>
          <w:tab/>
        </w:r>
        <w:r w:rsidR="001C71EE">
          <w:rPr>
            <w:noProof/>
            <w:webHidden/>
          </w:rPr>
          <w:fldChar w:fldCharType="begin"/>
        </w:r>
        <w:r w:rsidR="001C71EE">
          <w:rPr>
            <w:noProof/>
            <w:webHidden/>
          </w:rPr>
          <w:instrText xml:space="preserve"> PAGEREF _Toc535827781 \h </w:instrText>
        </w:r>
        <w:r w:rsidR="001C71EE">
          <w:rPr>
            <w:noProof/>
            <w:webHidden/>
          </w:rPr>
        </w:r>
        <w:r w:rsidR="001C71EE">
          <w:rPr>
            <w:noProof/>
            <w:webHidden/>
          </w:rPr>
          <w:fldChar w:fldCharType="separate"/>
        </w:r>
        <w:r w:rsidR="001C71EE">
          <w:rPr>
            <w:noProof/>
            <w:webHidden/>
          </w:rPr>
          <w:t>625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82" w:history="1">
        <w:r w:rsidR="001C71EE" w:rsidRPr="00193DF2">
          <w:rPr>
            <w:rStyle w:val="Hyperlink"/>
            <w:noProof/>
          </w:rPr>
          <w:t>Процедура на изпитване</w:t>
        </w:r>
        <w:r w:rsidR="001C71EE">
          <w:rPr>
            <w:noProof/>
            <w:webHidden/>
          </w:rPr>
          <w:tab/>
        </w:r>
        <w:r w:rsidR="001C71EE">
          <w:rPr>
            <w:noProof/>
            <w:webHidden/>
          </w:rPr>
          <w:fldChar w:fldCharType="begin"/>
        </w:r>
        <w:r w:rsidR="001C71EE">
          <w:rPr>
            <w:noProof/>
            <w:webHidden/>
          </w:rPr>
          <w:instrText xml:space="preserve"> PAGEREF _Toc535827782 \h </w:instrText>
        </w:r>
        <w:r w:rsidR="001C71EE">
          <w:rPr>
            <w:noProof/>
            <w:webHidden/>
          </w:rPr>
        </w:r>
        <w:r w:rsidR="001C71EE">
          <w:rPr>
            <w:noProof/>
            <w:webHidden/>
          </w:rPr>
          <w:fldChar w:fldCharType="separate"/>
        </w:r>
        <w:r w:rsidR="001C71EE">
          <w:rPr>
            <w:noProof/>
            <w:webHidden/>
          </w:rPr>
          <w:t>625</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83" w:history="1">
        <w:r w:rsidR="001C71EE" w:rsidRPr="00193DF2">
          <w:rPr>
            <w:rStyle w:val="Hyperlink"/>
            <w:noProof/>
          </w:rPr>
          <w:t>Приложение 8 Допълнителни разпоредби, приложими за експлоатацията на плавателни средства с горива с температура на възпламеняване по-ниска или равна на 55 °C</w:t>
        </w:r>
        <w:r w:rsidR="001C71EE">
          <w:rPr>
            <w:noProof/>
            <w:webHidden/>
          </w:rPr>
          <w:tab/>
        </w:r>
        <w:r w:rsidR="001C71EE">
          <w:rPr>
            <w:noProof/>
            <w:webHidden/>
          </w:rPr>
          <w:fldChar w:fldCharType="begin"/>
        </w:r>
        <w:r w:rsidR="001C71EE">
          <w:rPr>
            <w:noProof/>
            <w:webHidden/>
          </w:rPr>
          <w:instrText xml:space="preserve"> PAGEREF _Toc535827783 \h </w:instrText>
        </w:r>
        <w:r w:rsidR="001C71EE">
          <w:rPr>
            <w:noProof/>
            <w:webHidden/>
          </w:rPr>
        </w:r>
        <w:r w:rsidR="001C71EE">
          <w:rPr>
            <w:noProof/>
            <w:webHidden/>
          </w:rPr>
          <w:fldChar w:fldCharType="separate"/>
        </w:r>
        <w:r w:rsidR="001C71EE">
          <w:rPr>
            <w:noProof/>
            <w:webHidden/>
          </w:rPr>
          <w:t>645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84" w:history="1">
        <w:r w:rsidR="001C71EE" w:rsidRPr="00193DF2">
          <w:rPr>
            <w:rStyle w:val="Hyperlink"/>
            <w:noProof/>
          </w:rPr>
          <w:t>Раздел I</w:t>
        </w:r>
        <w:r w:rsidR="001C71EE">
          <w:rPr>
            <w:noProof/>
            <w:webHidden/>
          </w:rPr>
          <w:tab/>
        </w:r>
        <w:r w:rsidR="001C71EE">
          <w:rPr>
            <w:noProof/>
            <w:webHidden/>
          </w:rPr>
          <w:fldChar w:fldCharType="begin"/>
        </w:r>
        <w:r w:rsidR="001C71EE">
          <w:rPr>
            <w:noProof/>
            <w:webHidden/>
          </w:rPr>
          <w:instrText xml:space="preserve"> PAGEREF _Toc535827784 \h </w:instrText>
        </w:r>
        <w:r w:rsidR="001C71EE">
          <w:rPr>
            <w:noProof/>
            <w:webHidden/>
          </w:rPr>
        </w:r>
        <w:r w:rsidR="001C71EE">
          <w:rPr>
            <w:noProof/>
            <w:webHidden/>
          </w:rPr>
          <w:fldChar w:fldCharType="separate"/>
        </w:r>
        <w:r w:rsidR="001C71EE">
          <w:rPr>
            <w:noProof/>
            <w:webHidden/>
          </w:rPr>
          <w:t>645</w:t>
        </w:r>
        <w:r w:rsidR="001C71EE">
          <w:rPr>
            <w:noProof/>
            <w:webHidden/>
          </w:rPr>
          <w:fldChar w:fldCharType="end"/>
        </w:r>
      </w:hyperlink>
    </w:p>
    <w:p w:rsidR="001C71EE" w:rsidRDefault="002B712C">
      <w:pPr>
        <w:pStyle w:val="TOC3"/>
        <w:rPr>
          <w:rFonts w:asciiTheme="minorHAnsi" w:eastAsiaTheme="minorEastAsia" w:hAnsiTheme="minorHAnsi" w:cstheme="minorBidi"/>
          <w:i w:val="0"/>
          <w:iCs w:val="0"/>
          <w:noProof/>
          <w:sz w:val="22"/>
          <w:szCs w:val="22"/>
          <w:lang w:val="en-GB" w:eastAsia="en-GB" w:bidi="ar-SA"/>
        </w:rPr>
      </w:pPr>
      <w:hyperlink w:anchor="_Toc535827785" w:history="1">
        <w:r w:rsidR="001C71EE" w:rsidRPr="00193DF2">
          <w:rPr>
            <w:rStyle w:val="Hyperlink"/>
            <w:noProof/>
          </w:rPr>
          <w:t>Втечнен природен газ (ВПГ)</w:t>
        </w:r>
        <w:r w:rsidR="001C71EE">
          <w:rPr>
            <w:noProof/>
            <w:webHidden/>
          </w:rPr>
          <w:tab/>
        </w:r>
        <w:r w:rsidR="001C71EE">
          <w:rPr>
            <w:noProof/>
            <w:webHidden/>
          </w:rPr>
          <w:fldChar w:fldCharType="begin"/>
        </w:r>
        <w:r w:rsidR="001C71EE">
          <w:rPr>
            <w:noProof/>
            <w:webHidden/>
          </w:rPr>
          <w:instrText xml:space="preserve"> PAGEREF _Toc535827785 \h </w:instrText>
        </w:r>
        <w:r w:rsidR="001C71EE">
          <w:rPr>
            <w:noProof/>
            <w:webHidden/>
          </w:rPr>
        </w:r>
        <w:r w:rsidR="001C71EE">
          <w:rPr>
            <w:noProof/>
            <w:webHidden/>
          </w:rPr>
          <w:fldChar w:fldCharType="separate"/>
        </w:r>
        <w:r w:rsidR="001C71EE">
          <w:rPr>
            <w:noProof/>
            <w:webHidden/>
          </w:rPr>
          <w:t>645</w:t>
        </w:r>
        <w:r w:rsidR="001C71EE">
          <w:rPr>
            <w:noProof/>
            <w:webHidden/>
          </w:rPr>
          <w:fldChar w:fldCharType="end"/>
        </w:r>
      </w:hyperlink>
    </w:p>
    <w:p w:rsidR="001C71EE" w:rsidRDefault="002B712C">
      <w:pPr>
        <w:pStyle w:val="TOC1"/>
        <w:rPr>
          <w:rFonts w:asciiTheme="minorHAnsi" w:eastAsiaTheme="minorEastAsia" w:hAnsiTheme="minorHAnsi" w:cstheme="minorBidi"/>
          <w:b w:val="0"/>
          <w:bCs w:val="0"/>
          <w:caps w:val="0"/>
          <w:noProof/>
          <w:sz w:val="22"/>
          <w:szCs w:val="22"/>
          <w:lang w:val="en-GB" w:eastAsia="en-GB" w:bidi="ar-SA"/>
        </w:rPr>
      </w:pPr>
      <w:hyperlink w:anchor="_Toc535827786" w:history="1">
        <w:r w:rsidR="001C71EE" w:rsidRPr="00193DF2">
          <w:rPr>
            <w:rStyle w:val="Hyperlink"/>
            <w:noProof/>
          </w:rPr>
          <w:t>Инструкции за прилагането на техническия стандарт</w:t>
        </w:r>
        <w:r w:rsidR="001C71EE">
          <w:rPr>
            <w:noProof/>
            <w:webHidden/>
          </w:rPr>
          <w:tab/>
        </w:r>
        <w:r w:rsidR="001C71EE">
          <w:rPr>
            <w:noProof/>
            <w:webHidden/>
          </w:rPr>
          <w:fldChar w:fldCharType="begin"/>
        </w:r>
        <w:r w:rsidR="001C71EE">
          <w:rPr>
            <w:noProof/>
            <w:webHidden/>
          </w:rPr>
          <w:instrText xml:space="preserve"> PAGEREF _Toc535827786 \h </w:instrText>
        </w:r>
        <w:r w:rsidR="001C71EE">
          <w:rPr>
            <w:noProof/>
            <w:webHidden/>
          </w:rPr>
        </w:r>
        <w:r w:rsidR="001C71EE">
          <w:rPr>
            <w:noProof/>
            <w:webHidden/>
          </w:rPr>
          <w:fldChar w:fldCharType="separate"/>
        </w:r>
        <w:r w:rsidR="001C71EE">
          <w:rPr>
            <w:noProof/>
            <w:webHidden/>
          </w:rPr>
          <w:t>397</w:t>
        </w:r>
        <w:r w:rsidR="001C71EE">
          <w:rPr>
            <w:noProof/>
            <w:webHidden/>
          </w:rPr>
          <w:fldChar w:fldCharType="end"/>
        </w:r>
      </w:hyperlink>
    </w:p>
    <w:p w:rsidR="001C71EE" w:rsidRDefault="002B712C">
      <w:pPr>
        <w:pStyle w:val="TOC1"/>
        <w:rPr>
          <w:rFonts w:asciiTheme="minorHAnsi" w:eastAsiaTheme="minorEastAsia" w:hAnsiTheme="minorHAnsi" w:cstheme="minorBidi"/>
          <w:b w:val="0"/>
          <w:bCs w:val="0"/>
          <w:caps w:val="0"/>
          <w:noProof/>
          <w:sz w:val="22"/>
          <w:szCs w:val="22"/>
          <w:lang w:val="en-GB" w:eastAsia="en-GB" w:bidi="ar-SA"/>
        </w:rPr>
      </w:pPr>
      <w:hyperlink w:anchor="_Toc535827787" w:history="1">
        <w:r w:rsidR="001C71EE" w:rsidRPr="00193DF2">
          <w:rPr>
            <w:rStyle w:val="Hyperlink"/>
            <w:noProof/>
          </w:rPr>
          <w:t>ЧАСТ I ОБЩИ ПОЛОЖЕНИЯ</w:t>
        </w:r>
        <w:r w:rsidR="001C71EE">
          <w:rPr>
            <w:noProof/>
            <w:webHidden/>
          </w:rPr>
          <w:tab/>
        </w:r>
        <w:r w:rsidR="001C71EE">
          <w:rPr>
            <w:noProof/>
            <w:webHidden/>
          </w:rPr>
          <w:fldChar w:fldCharType="begin"/>
        </w:r>
        <w:r w:rsidR="001C71EE">
          <w:rPr>
            <w:noProof/>
            <w:webHidden/>
          </w:rPr>
          <w:instrText xml:space="preserve"> PAGEREF _Toc535827787 \h </w:instrText>
        </w:r>
        <w:r w:rsidR="001C71EE">
          <w:rPr>
            <w:noProof/>
            <w:webHidden/>
          </w:rPr>
        </w:r>
        <w:r w:rsidR="001C71EE">
          <w:rPr>
            <w:noProof/>
            <w:webHidden/>
          </w:rPr>
          <w:fldChar w:fldCharType="separate"/>
        </w:r>
        <w:r w:rsidR="001C71EE">
          <w:rPr>
            <w:noProof/>
            <w:webHidden/>
          </w:rPr>
          <w:t>399</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88" w:history="1">
        <w:r w:rsidR="001C71EE" w:rsidRPr="00193DF2">
          <w:rPr>
            <w:rStyle w:val="Hyperlink"/>
            <w:noProof/>
          </w:rPr>
          <w:t>ESI-I-1 Попълване на удостоверенията на плавателни съдове за плаване по вътрешни водни пътища</w:t>
        </w:r>
        <w:r w:rsidR="001C71EE">
          <w:rPr>
            <w:noProof/>
            <w:webHidden/>
          </w:rPr>
          <w:tab/>
        </w:r>
        <w:r w:rsidR="001C71EE">
          <w:rPr>
            <w:noProof/>
            <w:webHidden/>
          </w:rPr>
          <w:fldChar w:fldCharType="begin"/>
        </w:r>
        <w:r w:rsidR="001C71EE">
          <w:rPr>
            <w:noProof/>
            <w:webHidden/>
          </w:rPr>
          <w:instrText xml:space="preserve"> PAGEREF _Toc535827788 \h </w:instrText>
        </w:r>
        <w:r w:rsidR="001C71EE">
          <w:rPr>
            <w:noProof/>
            <w:webHidden/>
          </w:rPr>
        </w:r>
        <w:r w:rsidR="001C71EE">
          <w:rPr>
            <w:noProof/>
            <w:webHidden/>
          </w:rPr>
          <w:fldChar w:fldCharType="separate"/>
        </w:r>
        <w:r w:rsidR="001C71EE">
          <w:rPr>
            <w:noProof/>
            <w:webHidden/>
          </w:rPr>
          <w:t>399</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89" w:history="1">
        <w:r w:rsidR="001C71EE" w:rsidRPr="00193DF2">
          <w:rPr>
            <w:rStyle w:val="Hyperlink"/>
            <w:noProof/>
          </w:rPr>
          <w:t>ESI-I-2 Експерти и компетентни лица</w:t>
        </w:r>
        <w:r w:rsidR="001C71EE">
          <w:rPr>
            <w:noProof/>
            <w:webHidden/>
          </w:rPr>
          <w:tab/>
        </w:r>
        <w:r w:rsidR="001C71EE">
          <w:rPr>
            <w:noProof/>
            <w:webHidden/>
          </w:rPr>
          <w:fldChar w:fldCharType="begin"/>
        </w:r>
        <w:r w:rsidR="001C71EE">
          <w:rPr>
            <w:noProof/>
            <w:webHidden/>
          </w:rPr>
          <w:instrText xml:space="preserve"> PAGEREF _Toc535827789 \h </w:instrText>
        </w:r>
        <w:r w:rsidR="001C71EE">
          <w:rPr>
            <w:noProof/>
            <w:webHidden/>
          </w:rPr>
        </w:r>
        <w:r w:rsidR="001C71EE">
          <w:rPr>
            <w:noProof/>
            <w:webHidden/>
          </w:rPr>
          <w:fldChar w:fldCharType="separate"/>
        </w:r>
        <w:r w:rsidR="001C71EE">
          <w:rPr>
            <w:noProof/>
            <w:webHidden/>
          </w:rPr>
          <w:t>410</w:t>
        </w:r>
        <w:r w:rsidR="001C71EE">
          <w:rPr>
            <w:noProof/>
            <w:webHidden/>
          </w:rPr>
          <w:fldChar w:fldCharType="end"/>
        </w:r>
      </w:hyperlink>
    </w:p>
    <w:p w:rsidR="001C71EE" w:rsidRDefault="002B712C">
      <w:pPr>
        <w:pStyle w:val="TOC1"/>
        <w:rPr>
          <w:rFonts w:asciiTheme="minorHAnsi" w:eastAsiaTheme="minorEastAsia" w:hAnsiTheme="minorHAnsi" w:cstheme="minorBidi"/>
          <w:b w:val="0"/>
          <w:bCs w:val="0"/>
          <w:caps w:val="0"/>
          <w:noProof/>
          <w:sz w:val="22"/>
          <w:szCs w:val="22"/>
          <w:lang w:val="en-GB" w:eastAsia="en-GB" w:bidi="ar-SA"/>
        </w:rPr>
      </w:pPr>
      <w:hyperlink w:anchor="_Toc535827790" w:history="1">
        <w:r w:rsidR="001C71EE" w:rsidRPr="00193DF2">
          <w:rPr>
            <w:rStyle w:val="Hyperlink"/>
            <w:noProof/>
          </w:rPr>
          <w:t>ЧАСТ II РАЗПОРЕДБИ ОТНОСНО КОРАБНАТА КОНСТРУКЦИЯ, СЪОРЪЖЕНИЯТА И ОБОРУДВАНЕТО</w:t>
        </w:r>
        <w:r w:rsidR="001C71EE">
          <w:rPr>
            <w:noProof/>
            <w:webHidden/>
          </w:rPr>
          <w:tab/>
        </w:r>
        <w:r w:rsidR="001C71EE">
          <w:rPr>
            <w:noProof/>
            <w:webHidden/>
          </w:rPr>
          <w:fldChar w:fldCharType="begin"/>
        </w:r>
        <w:r w:rsidR="001C71EE">
          <w:rPr>
            <w:noProof/>
            <w:webHidden/>
          </w:rPr>
          <w:instrText xml:space="preserve"> PAGEREF _Toc535827790 \h </w:instrText>
        </w:r>
        <w:r w:rsidR="001C71EE">
          <w:rPr>
            <w:noProof/>
            <w:webHidden/>
          </w:rPr>
        </w:r>
        <w:r w:rsidR="001C71EE">
          <w:rPr>
            <w:noProof/>
            <w:webHidden/>
          </w:rPr>
          <w:fldChar w:fldCharType="separate"/>
        </w:r>
        <w:r w:rsidR="001C71EE">
          <w:rPr>
            <w:noProof/>
            <w:webHidden/>
          </w:rPr>
          <w:t>414</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91" w:history="1">
        <w:r w:rsidR="001C71EE" w:rsidRPr="00193DF2">
          <w:rPr>
            <w:rStyle w:val="Hyperlink"/>
            <w:noProof/>
          </w:rPr>
          <w:t>ESI-II-1 Минимална дебелина на корпуса на баржите</w:t>
        </w:r>
        <w:r w:rsidR="001C71EE">
          <w:rPr>
            <w:noProof/>
            <w:webHidden/>
          </w:rPr>
          <w:tab/>
        </w:r>
        <w:r w:rsidR="001C71EE">
          <w:rPr>
            <w:noProof/>
            <w:webHidden/>
          </w:rPr>
          <w:fldChar w:fldCharType="begin"/>
        </w:r>
        <w:r w:rsidR="001C71EE">
          <w:rPr>
            <w:noProof/>
            <w:webHidden/>
          </w:rPr>
          <w:instrText xml:space="preserve"> PAGEREF _Toc535827791 \h </w:instrText>
        </w:r>
        <w:r w:rsidR="001C71EE">
          <w:rPr>
            <w:noProof/>
            <w:webHidden/>
          </w:rPr>
        </w:r>
        <w:r w:rsidR="001C71EE">
          <w:rPr>
            <w:noProof/>
            <w:webHidden/>
          </w:rPr>
          <w:fldChar w:fldCharType="separate"/>
        </w:r>
        <w:r w:rsidR="001C71EE">
          <w:rPr>
            <w:noProof/>
            <w:webHidden/>
          </w:rPr>
          <w:t>414</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92" w:history="1">
        <w:r w:rsidR="001C71EE" w:rsidRPr="00193DF2">
          <w:rPr>
            <w:rStyle w:val="Hyperlink"/>
            <w:noProof/>
          </w:rPr>
          <w:t>ESI-II-2 Монтиране на листове от допълнителна корабна обшивка на корпуса</w:t>
        </w:r>
        <w:r w:rsidR="001C71EE">
          <w:rPr>
            <w:noProof/>
            <w:webHidden/>
          </w:rPr>
          <w:tab/>
        </w:r>
        <w:r w:rsidR="001C71EE">
          <w:rPr>
            <w:noProof/>
            <w:webHidden/>
          </w:rPr>
          <w:fldChar w:fldCharType="begin"/>
        </w:r>
        <w:r w:rsidR="001C71EE">
          <w:rPr>
            <w:noProof/>
            <w:webHidden/>
          </w:rPr>
          <w:instrText xml:space="preserve"> PAGEREF _Toc535827792 \h </w:instrText>
        </w:r>
        <w:r w:rsidR="001C71EE">
          <w:rPr>
            <w:noProof/>
            <w:webHidden/>
          </w:rPr>
        </w:r>
        <w:r w:rsidR="001C71EE">
          <w:rPr>
            <w:noProof/>
            <w:webHidden/>
          </w:rPr>
          <w:fldChar w:fldCharType="separate"/>
        </w:r>
        <w:r w:rsidR="001C71EE">
          <w:rPr>
            <w:noProof/>
            <w:webHidden/>
          </w:rPr>
          <w:t>416</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93" w:history="1">
        <w:r w:rsidR="001C71EE" w:rsidRPr="00193DF2">
          <w:rPr>
            <w:rStyle w:val="Hyperlink"/>
            <w:noProof/>
          </w:rPr>
          <w:t>ESI-II-3 Минимална предписана скорост на движение напред, способност за спиране и способност за движение на заден ход</w:t>
        </w:r>
        <w:r w:rsidR="001C71EE">
          <w:rPr>
            <w:noProof/>
            <w:webHidden/>
          </w:rPr>
          <w:tab/>
        </w:r>
        <w:r w:rsidR="001C71EE">
          <w:rPr>
            <w:noProof/>
            <w:webHidden/>
          </w:rPr>
          <w:fldChar w:fldCharType="begin"/>
        </w:r>
        <w:r w:rsidR="001C71EE">
          <w:rPr>
            <w:noProof/>
            <w:webHidden/>
          </w:rPr>
          <w:instrText xml:space="preserve"> PAGEREF _Toc535827793 \h </w:instrText>
        </w:r>
        <w:r w:rsidR="001C71EE">
          <w:rPr>
            <w:noProof/>
            <w:webHidden/>
          </w:rPr>
        </w:r>
        <w:r w:rsidR="001C71EE">
          <w:rPr>
            <w:noProof/>
            <w:webHidden/>
          </w:rPr>
          <w:fldChar w:fldCharType="separate"/>
        </w:r>
        <w:r w:rsidR="001C71EE">
          <w:rPr>
            <w:noProof/>
            <w:webHidden/>
          </w:rPr>
          <w:t>420</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94" w:history="1">
        <w:r w:rsidR="001C71EE" w:rsidRPr="00193DF2">
          <w:rPr>
            <w:rStyle w:val="Hyperlink"/>
            <w:noProof/>
          </w:rPr>
          <w:t>ESI-II-4 Способност за отклоняване и извършване на поворот</w:t>
        </w:r>
        <w:r w:rsidR="001C71EE">
          <w:rPr>
            <w:noProof/>
            <w:webHidden/>
          </w:rPr>
          <w:tab/>
        </w:r>
        <w:r w:rsidR="001C71EE">
          <w:rPr>
            <w:noProof/>
            <w:webHidden/>
          </w:rPr>
          <w:fldChar w:fldCharType="begin"/>
        </w:r>
        <w:r w:rsidR="001C71EE">
          <w:rPr>
            <w:noProof/>
            <w:webHidden/>
          </w:rPr>
          <w:instrText xml:space="preserve"> PAGEREF _Toc535827794 \h </w:instrText>
        </w:r>
        <w:r w:rsidR="001C71EE">
          <w:rPr>
            <w:noProof/>
            <w:webHidden/>
          </w:rPr>
        </w:r>
        <w:r w:rsidR="001C71EE">
          <w:rPr>
            <w:noProof/>
            <w:webHidden/>
          </w:rPr>
          <w:fldChar w:fldCharType="separate"/>
        </w:r>
        <w:r w:rsidR="001C71EE">
          <w:rPr>
            <w:noProof/>
            <w:webHidden/>
          </w:rPr>
          <w:t>461</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95" w:history="1">
        <w:r w:rsidR="001C71EE" w:rsidRPr="00193DF2">
          <w:rPr>
            <w:rStyle w:val="Hyperlink"/>
            <w:noProof/>
          </w:rPr>
          <w:t>ESI-II-5 Измервания на шума</w:t>
        </w:r>
        <w:r w:rsidR="001C71EE">
          <w:rPr>
            <w:noProof/>
            <w:webHidden/>
          </w:rPr>
          <w:tab/>
        </w:r>
        <w:r w:rsidR="001C71EE">
          <w:rPr>
            <w:noProof/>
            <w:webHidden/>
          </w:rPr>
          <w:fldChar w:fldCharType="begin"/>
        </w:r>
        <w:r w:rsidR="001C71EE">
          <w:rPr>
            <w:noProof/>
            <w:webHidden/>
          </w:rPr>
          <w:instrText xml:space="preserve"> PAGEREF _Toc535827795 \h </w:instrText>
        </w:r>
        <w:r w:rsidR="001C71EE">
          <w:rPr>
            <w:noProof/>
            <w:webHidden/>
          </w:rPr>
        </w:r>
        <w:r w:rsidR="001C71EE">
          <w:rPr>
            <w:noProof/>
            <w:webHidden/>
          </w:rPr>
          <w:fldChar w:fldCharType="separate"/>
        </w:r>
        <w:r w:rsidR="001C71EE">
          <w:rPr>
            <w:noProof/>
            <w:webHidden/>
          </w:rPr>
          <w:t>469</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96" w:history="1">
        <w:r w:rsidR="001C71EE" w:rsidRPr="00193DF2">
          <w:rPr>
            <w:rStyle w:val="Hyperlink"/>
            <w:noProof/>
          </w:rPr>
          <w:t>ESI-II-6 Подходящи спомагателни средства за наблюдаване на мъртвата зона</w:t>
        </w:r>
        <w:r w:rsidR="001C71EE">
          <w:rPr>
            <w:noProof/>
            <w:webHidden/>
          </w:rPr>
          <w:tab/>
        </w:r>
        <w:r w:rsidR="001C71EE">
          <w:rPr>
            <w:noProof/>
            <w:webHidden/>
          </w:rPr>
          <w:fldChar w:fldCharType="begin"/>
        </w:r>
        <w:r w:rsidR="001C71EE">
          <w:rPr>
            <w:noProof/>
            <w:webHidden/>
          </w:rPr>
          <w:instrText xml:space="preserve"> PAGEREF _Toc535827796 \h </w:instrText>
        </w:r>
        <w:r w:rsidR="001C71EE">
          <w:rPr>
            <w:noProof/>
            <w:webHidden/>
          </w:rPr>
        </w:r>
        <w:r w:rsidR="001C71EE">
          <w:rPr>
            <w:noProof/>
            <w:webHidden/>
          </w:rPr>
          <w:fldChar w:fldCharType="separate"/>
        </w:r>
        <w:r w:rsidR="001C71EE">
          <w:rPr>
            <w:noProof/>
            <w:webHidden/>
          </w:rPr>
          <w:t>476</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97" w:history="1">
        <w:r w:rsidR="001C71EE" w:rsidRPr="00193DF2">
          <w:rPr>
            <w:rStyle w:val="Hyperlink"/>
            <w:noProof/>
          </w:rPr>
          <w:t>ESI-II-7 Съоръжения за събиране на използвани масла</w:t>
        </w:r>
        <w:r w:rsidR="001C71EE">
          <w:rPr>
            <w:noProof/>
            <w:webHidden/>
          </w:rPr>
          <w:tab/>
        </w:r>
        <w:r w:rsidR="001C71EE">
          <w:rPr>
            <w:noProof/>
            <w:webHidden/>
          </w:rPr>
          <w:fldChar w:fldCharType="begin"/>
        </w:r>
        <w:r w:rsidR="001C71EE">
          <w:rPr>
            <w:noProof/>
            <w:webHidden/>
          </w:rPr>
          <w:instrText xml:space="preserve"> PAGEREF _Toc535827797 \h </w:instrText>
        </w:r>
        <w:r w:rsidR="001C71EE">
          <w:rPr>
            <w:noProof/>
            <w:webHidden/>
          </w:rPr>
        </w:r>
        <w:r w:rsidR="001C71EE">
          <w:rPr>
            <w:noProof/>
            <w:webHidden/>
          </w:rPr>
          <w:fldChar w:fldCharType="separate"/>
        </w:r>
        <w:r w:rsidR="001C71EE">
          <w:rPr>
            <w:noProof/>
            <w:webHidden/>
          </w:rPr>
          <w:t>487</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98" w:history="1">
        <w:r w:rsidR="001C71EE" w:rsidRPr="00193DF2">
          <w:rPr>
            <w:rStyle w:val="Hyperlink"/>
            <w:noProof/>
          </w:rPr>
          <w:t>ESI-II-8 (оставено непопълнено)</w:t>
        </w:r>
        <w:r w:rsidR="001C71EE">
          <w:rPr>
            <w:noProof/>
            <w:webHidden/>
          </w:rPr>
          <w:tab/>
        </w:r>
        <w:r w:rsidR="001C71EE">
          <w:rPr>
            <w:noProof/>
            <w:webHidden/>
          </w:rPr>
          <w:fldChar w:fldCharType="begin"/>
        </w:r>
        <w:r w:rsidR="001C71EE">
          <w:rPr>
            <w:noProof/>
            <w:webHidden/>
          </w:rPr>
          <w:instrText xml:space="preserve"> PAGEREF _Toc535827798 \h </w:instrText>
        </w:r>
        <w:r w:rsidR="001C71EE">
          <w:rPr>
            <w:noProof/>
            <w:webHidden/>
          </w:rPr>
        </w:r>
        <w:r w:rsidR="001C71EE">
          <w:rPr>
            <w:noProof/>
            <w:webHidden/>
          </w:rPr>
          <w:fldChar w:fldCharType="separate"/>
        </w:r>
        <w:r w:rsidR="001C71EE">
          <w:rPr>
            <w:noProof/>
            <w:webHidden/>
          </w:rPr>
          <w:t>489</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799" w:history="1">
        <w:r w:rsidR="001C71EE" w:rsidRPr="00193DF2">
          <w:rPr>
            <w:rStyle w:val="Hyperlink"/>
            <w:noProof/>
          </w:rPr>
          <w:t>ESI-II-9 Специални котви с намалена маса</w:t>
        </w:r>
        <w:r w:rsidR="001C71EE">
          <w:rPr>
            <w:noProof/>
            <w:webHidden/>
          </w:rPr>
          <w:tab/>
        </w:r>
        <w:r w:rsidR="001C71EE">
          <w:rPr>
            <w:noProof/>
            <w:webHidden/>
          </w:rPr>
          <w:fldChar w:fldCharType="begin"/>
        </w:r>
        <w:r w:rsidR="001C71EE">
          <w:rPr>
            <w:noProof/>
            <w:webHidden/>
          </w:rPr>
          <w:instrText xml:space="preserve"> PAGEREF _Toc535827799 \h </w:instrText>
        </w:r>
        <w:r w:rsidR="001C71EE">
          <w:rPr>
            <w:noProof/>
            <w:webHidden/>
          </w:rPr>
        </w:r>
        <w:r w:rsidR="001C71EE">
          <w:rPr>
            <w:noProof/>
            <w:webHidden/>
          </w:rPr>
          <w:fldChar w:fldCharType="separate"/>
        </w:r>
        <w:r w:rsidR="001C71EE">
          <w:rPr>
            <w:noProof/>
            <w:webHidden/>
          </w:rPr>
          <w:t>491</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800" w:history="1">
        <w:r w:rsidR="001C71EE" w:rsidRPr="00193DF2">
          <w:rPr>
            <w:rStyle w:val="Hyperlink"/>
            <w:noProof/>
          </w:rPr>
          <w:t>ESI-II-10 Автоматични спринклерни системи за вода под налягане</w:t>
        </w:r>
        <w:r w:rsidR="001C71EE">
          <w:rPr>
            <w:noProof/>
            <w:webHidden/>
          </w:rPr>
          <w:tab/>
        </w:r>
        <w:r w:rsidR="001C71EE">
          <w:rPr>
            <w:noProof/>
            <w:webHidden/>
          </w:rPr>
          <w:fldChar w:fldCharType="begin"/>
        </w:r>
        <w:r w:rsidR="001C71EE">
          <w:rPr>
            <w:noProof/>
            <w:webHidden/>
          </w:rPr>
          <w:instrText xml:space="preserve"> PAGEREF _Toc535827800 \h </w:instrText>
        </w:r>
        <w:r w:rsidR="001C71EE">
          <w:rPr>
            <w:noProof/>
            <w:webHidden/>
          </w:rPr>
        </w:r>
        <w:r w:rsidR="001C71EE">
          <w:rPr>
            <w:noProof/>
            <w:webHidden/>
          </w:rPr>
          <w:fldChar w:fldCharType="separate"/>
        </w:r>
        <w:r w:rsidR="001C71EE">
          <w:rPr>
            <w:noProof/>
            <w:webHidden/>
          </w:rPr>
          <w:t>502</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801" w:history="1">
        <w:r w:rsidR="001C71EE" w:rsidRPr="00193DF2">
          <w:rPr>
            <w:rStyle w:val="Hyperlink"/>
            <w:noProof/>
          </w:rPr>
          <w:t>ESI-II-11 Управляемост на плавателния съд на собствен ход</w:t>
        </w:r>
        <w:r w:rsidR="001C71EE">
          <w:rPr>
            <w:noProof/>
            <w:webHidden/>
          </w:rPr>
          <w:tab/>
        </w:r>
        <w:r w:rsidR="001C71EE">
          <w:rPr>
            <w:noProof/>
            <w:webHidden/>
          </w:rPr>
          <w:fldChar w:fldCharType="begin"/>
        </w:r>
        <w:r w:rsidR="001C71EE">
          <w:rPr>
            <w:noProof/>
            <w:webHidden/>
          </w:rPr>
          <w:instrText xml:space="preserve"> PAGEREF _Toc535827801 \h </w:instrText>
        </w:r>
        <w:r w:rsidR="001C71EE">
          <w:rPr>
            <w:noProof/>
            <w:webHidden/>
          </w:rPr>
        </w:r>
        <w:r w:rsidR="001C71EE">
          <w:rPr>
            <w:noProof/>
            <w:webHidden/>
          </w:rPr>
          <w:fldChar w:fldCharType="separate"/>
        </w:r>
        <w:r w:rsidR="001C71EE">
          <w:rPr>
            <w:noProof/>
            <w:webHidden/>
          </w:rPr>
          <w:t>505</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802" w:history="1">
        <w:r w:rsidR="001C71EE" w:rsidRPr="00193DF2">
          <w:rPr>
            <w:rStyle w:val="Hyperlink"/>
            <w:noProof/>
          </w:rPr>
          <w:t>ESI-II-12 Подходяща пожароизвестителна система</w:t>
        </w:r>
        <w:r w:rsidR="001C71EE">
          <w:rPr>
            <w:noProof/>
            <w:webHidden/>
          </w:rPr>
          <w:tab/>
        </w:r>
        <w:r w:rsidR="001C71EE">
          <w:rPr>
            <w:noProof/>
            <w:webHidden/>
          </w:rPr>
          <w:fldChar w:fldCharType="begin"/>
        </w:r>
        <w:r w:rsidR="001C71EE">
          <w:rPr>
            <w:noProof/>
            <w:webHidden/>
          </w:rPr>
          <w:instrText xml:space="preserve"> PAGEREF _Toc535827802 \h </w:instrText>
        </w:r>
        <w:r w:rsidR="001C71EE">
          <w:rPr>
            <w:noProof/>
            <w:webHidden/>
          </w:rPr>
        </w:r>
        <w:r w:rsidR="001C71EE">
          <w:rPr>
            <w:noProof/>
            <w:webHidden/>
          </w:rPr>
          <w:fldChar w:fldCharType="separate"/>
        </w:r>
        <w:r w:rsidR="001C71EE">
          <w:rPr>
            <w:noProof/>
            <w:webHidden/>
          </w:rPr>
          <w:t>507</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803" w:history="1">
        <w:r w:rsidR="001C71EE" w:rsidRPr="00193DF2">
          <w:rPr>
            <w:rStyle w:val="Hyperlink"/>
            <w:noProof/>
          </w:rPr>
          <w:t>ESI-II-13 (оставено непопълнено)</w:t>
        </w:r>
        <w:r w:rsidR="001C71EE">
          <w:rPr>
            <w:noProof/>
            <w:webHidden/>
          </w:rPr>
          <w:tab/>
        </w:r>
        <w:r w:rsidR="001C71EE">
          <w:rPr>
            <w:noProof/>
            <w:webHidden/>
          </w:rPr>
          <w:fldChar w:fldCharType="begin"/>
        </w:r>
        <w:r w:rsidR="001C71EE">
          <w:rPr>
            <w:noProof/>
            <w:webHidden/>
          </w:rPr>
          <w:instrText xml:space="preserve"> PAGEREF _Toc535827803 \h </w:instrText>
        </w:r>
        <w:r w:rsidR="001C71EE">
          <w:rPr>
            <w:noProof/>
            <w:webHidden/>
          </w:rPr>
        </w:r>
        <w:r w:rsidR="001C71EE">
          <w:rPr>
            <w:noProof/>
            <w:webHidden/>
          </w:rPr>
          <w:fldChar w:fldCharType="separate"/>
        </w:r>
        <w:r w:rsidR="001C71EE">
          <w:rPr>
            <w:noProof/>
            <w:webHidden/>
          </w:rPr>
          <w:t>517</w:t>
        </w:r>
        <w:r w:rsidR="001C71EE">
          <w:rPr>
            <w:noProof/>
            <w:webHidden/>
          </w:rPr>
          <w:fldChar w:fldCharType="end"/>
        </w:r>
      </w:hyperlink>
    </w:p>
    <w:p w:rsidR="001C71EE" w:rsidRDefault="002B712C">
      <w:pPr>
        <w:pStyle w:val="TOC1"/>
        <w:rPr>
          <w:rFonts w:asciiTheme="minorHAnsi" w:eastAsiaTheme="minorEastAsia" w:hAnsiTheme="minorHAnsi" w:cstheme="minorBidi"/>
          <w:b w:val="0"/>
          <w:bCs w:val="0"/>
          <w:caps w:val="0"/>
          <w:noProof/>
          <w:sz w:val="22"/>
          <w:szCs w:val="22"/>
          <w:lang w:val="en-GB" w:eastAsia="en-GB" w:bidi="ar-SA"/>
        </w:rPr>
      </w:pPr>
      <w:hyperlink w:anchor="_Toc535827804" w:history="1">
        <w:r w:rsidR="001C71EE" w:rsidRPr="00193DF2">
          <w:rPr>
            <w:rStyle w:val="Hyperlink"/>
            <w:noProof/>
          </w:rPr>
          <w:t>ЧАСТ III СПЕЦИАЛНИ РАЗПОРЕДБИ</w:t>
        </w:r>
        <w:r w:rsidR="001C71EE">
          <w:rPr>
            <w:noProof/>
            <w:webHidden/>
          </w:rPr>
          <w:tab/>
        </w:r>
        <w:r w:rsidR="001C71EE">
          <w:rPr>
            <w:noProof/>
            <w:webHidden/>
          </w:rPr>
          <w:fldChar w:fldCharType="begin"/>
        </w:r>
        <w:r w:rsidR="001C71EE">
          <w:rPr>
            <w:noProof/>
            <w:webHidden/>
          </w:rPr>
          <w:instrText xml:space="preserve"> PAGEREF _Toc535827804 \h </w:instrText>
        </w:r>
        <w:r w:rsidR="001C71EE">
          <w:rPr>
            <w:noProof/>
            <w:webHidden/>
          </w:rPr>
        </w:r>
        <w:r w:rsidR="001C71EE">
          <w:rPr>
            <w:noProof/>
            <w:webHidden/>
          </w:rPr>
          <w:fldChar w:fldCharType="separate"/>
        </w:r>
        <w:r w:rsidR="001C71EE">
          <w:rPr>
            <w:noProof/>
            <w:webHidden/>
          </w:rPr>
          <w:t>519</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805" w:history="1">
        <w:r w:rsidR="001C71EE" w:rsidRPr="00193DF2">
          <w:rPr>
            <w:rStyle w:val="Hyperlink"/>
            <w:noProof/>
          </w:rPr>
          <w:t>ESI-III-1 Прилагане на изискванията на глава 19</w:t>
        </w:r>
        <w:r w:rsidR="001C71EE">
          <w:rPr>
            <w:noProof/>
            <w:webHidden/>
          </w:rPr>
          <w:tab/>
        </w:r>
        <w:r w:rsidR="001C71EE">
          <w:rPr>
            <w:noProof/>
            <w:webHidden/>
          </w:rPr>
          <w:fldChar w:fldCharType="begin"/>
        </w:r>
        <w:r w:rsidR="001C71EE">
          <w:rPr>
            <w:noProof/>
            <w:webHidden/>
          </w:rPr>
          <w:instrText xml:space="preserve"> PAGEREF _Toc535827805 \h </w:instrText>
        </w:r>
        <w:r w:rsidR="001C71EE">
          <w:rPr>
            <w:noProof/>
            <w:webHidden/>
          </w:rPr>
        </w:r>
        <w:r w:rsidR="001C71EE">
          <w:rPr>
            <w:noProof/>
            <w:webHidden/>
          </w:rPr>
          <w:fldChar w:fldCharType="separate"/>
        </w:r>
        <w:r w:rsidR="001C71EE">
          <w:rPr>
            <w:noProof/>
            <w:webHidden/>
          </w:rPr>
          <w:t>519</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806" w:history="1">
        <w:r w:rsidR="001C71EE" w:rsidRPr="00193DF2">
          <w:rPr>
            <w:rStyle w:val="Hyperlink"/>
            <w:noProof/>
          </w:rPr>
          <w:t>ESI-III-2 Специфични нужди на лица с намалена подвижност по отношение на безопасността</w:t>
        </w:r>
        <w:r w:rsidR="001C71EE">
          <w:rPr>
            <w:noProof/>
            <w:webHidden/>
          </w:rPr>
          <w:tab/>
        </w:r>
        <w:r w:rsidR="001C71EE">
          <w:rPr>
            <w:noProof/>
            <w:webHidden/>
          </w:rPr>
          <w:fldChar w:fldCharType="begin"/>
        </w:r>
        <w:r w:rsidR="001C71EE">
          <w:rPr>
            <w:noProof/>
            <w:webHidden/>
          </w:rPr>
          <w:instrText xml:space="preserve"> PAGEREF _Toc535827806 \h </w:instrText>
        </w:r>
        <w:r w:rsidR="001C71EE">
          <w:rPr>
            <w:noProof/>
            <w:webHidden/>
          </w:rPr>
        </w:r>
        <w:r w:rsidR="001C71EE">
          <w:rPr>
            <w:noProof/>
            <w:webHidden/>
          </w:rPr>
          <w:fldChar w:fldCharType="separate"/>
        </w:r>
        <w:r w:rsidR="001C71EE">
          <w:rPr>
            <w:noProof/>
            <w:webHidden/>
          </w:rPr>
          <w:t>522</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807" w:history="1">
        <w:r w:rsidR="001C71EE" w:rsidRPr="00193DF2">
          <w:rPr>
            <w:rStyle w:val="Hyperlink"/>
            <w:noProof/>
          </w:rPr>
          <w:t>ESI-III-3 Здравина на водонепроницаеми прозорци</w:t>
        </w:r>
        <w:r w:rsidR="001C71EE">
          <w:rPr>
            <w:noProof/>
            <w:webHidden/>
          </w:rPr>
          <w:tab/>
        </w:r>
        <w:r w:rsidR="001C71EE">
          <w:rPr>
            <w:noProof/>
            <w:webHidden/>
          </w:rPr>
          <w:fldChar w:fldCharType="begin"/>
        </w:r>
        <w:r w:rsidR="001C71EE">
          <w:rPr>
            <w:noProof/>
            <w:webHidden/>
          </w:rPr>
          <w:instrText xml:space="preserve"> PAGEREF _Toc535827807 \h </w:instrText>
        </w:r>
        <w:r w:rsidR="001C71EE">
          <w:rPr>
            <w:noProof/>
            <w:webHidden/>
          </w:rPr>
        </w:r>
        <w:r w:rsidR="001C71EE">
          <w:rPr>
            <w:noProof/>
            <w:webHidden/>
          </w:rPr>
          <w:fldChar w:fldCharType="separate"/>
        </w:r>
        <w:r w:rsidR="001C71EE">
          <w:rPr>
            <w:noProof/>
            <w:webHidden/>
          </w:rPr>
          <w:t>529</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808" w:history="1">
        <w:r w:rsidR="001C71EE" w:rsidRPr="00193DF2">
          <w:rPr>
            <w:rStyle w:val="Hyperlink"/>
            <w:noProof/>
          </w:rPr>
          <w:t>ESI-III-4 Система от указатели за безопасност</w:t>
        </w:r>
        <w:r w:rsidR="001C71EE">
          <w:rPr>
            <w:noProof/>
            <w:webHidden/>
          </w:rPr>
          <w:tab/>
        </w:r>
        <w:r w:rsidR="001C71EE">
          <w:rPr>
            <w:noProof/>
            <w:webHidden/>
          </w:rPr>
          <w:fldChar w:fldCharType="begin"/>
        </w:r>
        <w:r w:rsidR="001C71EE">
          <w:rPr>
            <w:noProof/>
            <w:webHidden/>
          </w:rPr>
          <w:instrText xml:space="preserve"> PAGEREF _Toc535827808 \h </w:instrText>
        </w:r>
        <w:r w:rsidR="001C71EE">
          <w:rPr>
            <w:noProof/>
            <w:webHidden/>
          </w:rPr>
        </w:r>
        <w:r w:rsidR="001C71EE">
          <w:rPr>
            <w:noProof/>
            <w:webHidden/>
          </w:rPr>
          <w:fldChar w:fldCharType="separate"/>
        </w:r>
        <w:r w:rsidR="001C71EE">
          <w:rPr>
            <w:noProof/>
            <w:webHidden/>
          </w:rPr>
          <w:t>532</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809" w:history="1">
        <w:r w:rsidR="001C71EE" w:rsidRPr="00193DF2">
          <w:rPr>
            <w:rStyle w:val="Hyperlink"/>
            <w:noProof/>
          </w:rPr>
          <w:t>ESI-III-5 Подходящо оборудване за сигнализиране за наличието на газ</w:t>
        </w:r>
        <w:r w:rsidR="001C71EE">
          <w:rPr>
            <w:noProof/>
            <w:webHidden/>
          </w:rPr>
          <w:tab/>
        </w:r>
        <w:r w:rsidR="001C71EE">
          <w:rPr>
            <w:noProof/>
            <w:webHidden/>
          </w:rPr>
          <w:fldChar w:fldCharType="begin"/>
        </w:r>
        <w:r w:rsidR="001C71EE">
          <w:rPr>
            <w:noProof/>
            <w:webHidden/>
          </w:rPr>
          <w:instrText xml:space="preserve"> PAGEREF _Toc535827809 \h </w:instrText>
        </w:r>
        <w:r w:rsidR="001C71EE">
          <w:rPr>
            <w:noProof/>
            <w:webHidden/>
          </w:rPr>
        </w:r>
        <w:r w:rsidR="001C71EE">
          <w:rPr>
            <w:noProof/>
            <w:webHidden/>
          </w:rPr>
          <w:fldChar w:fldCharType="separate"/>
        </w:r>
        <w:r w:rsidR="001C71EE">
          <w:rPr>
            <w:noProof/>
            <w:webHidden/>
          </w:rPr>
          <w:t>539</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810" w:history="1">
        <w:r w:rsidR="001C71EE" w:rsidRPr="00193DF2">
          <w:rPr>
            <w:rStyle w:val="Hyperlink"/>
            <w:noProof/>
          </w:rPr>
          <w:t>ESI-III-6 Свързващи системи и устройства за плавателни средства, годни да задвижват или да бъдат задвижвани в твърдо свързана съвкупност</w:t>
        </w:r>
        <w:r w:rsidR="001C71EE">
          <w:rPr>
            <w:noProof/>
            <w:webHidden/>
          </w:rPr>
          <w:tab/>
        </w:r>
        <w:r w:rsidR="001C71EE">
          <w:rPr>
            <w:noProof/>
            <w:webHidden/>
          </w:rPr>
          <w:fldChar w:fldCharType="begin"/>
        </w:r>
        <w:r w:rsidR="001C71EE">
          <w:rPr>
            <w:noProof/>
            <w:webHidden/>
          </w:rPr>
          <w:instrText xml:space="preserve"> PAGEREF _Toc535827810 \h </w:instrText>
        </w:r>
        <w:r w:rsidR="001C71EE">
          <w:rPr>
            <w:noProof/>
            <w:webHidden/>
          </w:rPr>
        </w:r>
        <w:r w:rsidR="001C71EE">
          <w:rPr>
            <w:noProof/>
            <w:webHidden/>
          </w:rPr>
          <w:fldChar w:fldCharType="separate"/>
        </w:r>
        <w:r w:rsidR="001C71EE">
          <w:rPr>
            <w:noProof/>
            <w:webHidden/>
          </w:rPr>
          <w:t>546</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811" w:history="1">
        <w:r w:rsidR="001C71EE" w:rsidRPr="00193DF2">
          <w:rPr>
            <w:rStyle w:val="Hyperlink"/>
            <w:noProof/>
          </w:rPr>
          <w:t>ESI-III-7 Горивни резервоари на плаващи съоръжения</w:t>
        </w:r>
        <w:r w:rsidR="001C71EE">
          <w:rPr>
            <w:noProof/>
            <w:webHidden/>
          </w:rPr>
          <w:tab/>
        </w:r>
        <w:r w:rsidR="001C71EE">
          <w:rPr>
            <w:noProof/>
            <w:webHidden/>
          </w:rPr>
          <w:fldChar w:fldCharType="begin"/>
        </w:r>
        <w:r w:rsidR="001C71EE">
          <w:rPr>
            <w:noProof/>
            <w:webHidden/>
          </w:rPr>
          <w:instrText xml:space="preserve"> PAGEREF _Toc535827811 \h </w:instrText>
        </w:r>
        <w:r w:rsidR="001C71EE">
          <w:rPr>
            <w:noProof/>
            <w:webHidden/>
          </w:rPr>
        </w:r>
        <w:r w:rsidR="001C71EE">
          <w:rPr>
            <w:noProof/>
            <w:webHidden/>
          </w:rPr>
          <w:fldChar w:fldCharType="separate"/>
        </w:r>
        <w:r w:rsidR="001C71EE">
          <w:rPr>
            <w:noProof/>
            <w:webHidden/>
          </w:rPr>
          <w:t>553</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812" w:history="1">
        <w:r w:rsidR="001C71EE" w:rsidRPr="00193DF2">
          <w:rPr>
            <w:rStyle w:val="Hyperlink"/>
            <w:noProof/>
          </w:rPr>
          <w:t>ESI-III-8 Плавателни съдове за отдих</w:t>
        </w:r>
        <w:r w:rsidR="001C71EE">
          <w:rPr>
            <w:noProof/>
            <w:webHidden/>
          </w:rPr>
          <w:tab/>
        </w:r>
        <w:r w:rsidR="001C71EE">
          <w:rPr>
            <w:noProof/>
            <w:webHidden/>
          </w:rPr>
          <w:fldChar w:fldCharType="begin"/>
        </w:r>
        <w:r w:rsidR="001C71EE">
          <w:rPr>
            <w:noProof/>
            <w:webHidden/>
          </w:rPr>
          <w:instrText xml:space="preserve"> PAGEREF _Toc535827812 \h </w:instrText>
        </w:r>
        <w:r w:rsidR="001C71EE">
          <w:rPr>
            <w:noProof/>
            <w:webHidden/>
          </w:rPr>
        </w:r>
        <w:r w:rsidR="001C71EE">
          <w:rPr>
            <w:noProof/>
            <w:webHidden/>
          </w:rPr>
          <w:fldChar w:fldCharType="separate"/>
        </w:r>
        <w:r w:rsidR="001C71EE">
          <w:rPr>
            <w:noProof/>
            <w:webHidden/>
          </w:rPr>
          <w:t>555</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813" w:history="1">
        <w:r w:rsidR="001C71EE" w:rsidRPr="00193DF2">
          <w:rPr>
            <w:rStyle w:val="Hyperlink"/>
            <w:noProof/>
          </w:rPr>
          <w:t>ESI-III-9 Доказателство за плавателност, диферент и устойчивост на разделените части на плавателен съд</w:t>
        </w:r>
        <w:r w:rsidR="001C71EE">
          <w:rPr>
            <w:noProof/>
            <w:webHidden/>
          </w:rPr>
          <w:tab/>
        </w:r>
        <w:r w:rsidR="001C71EE">
          <w:rPr>
            <w:noProof/>
            <w:webHidden/>
          </w:rPr>
          <w:fldChar w:fldCharType="begin"/>
        </w:r>
        <w:r w:rsidR="001C71EE">
          <w:rPr>
            <w:noProof/>
            <w:webHidden/>
          </w:rPr>
          <w:instrText xml:space="preserve"> PAGEREF _Toc535827813 \h </w:instrText>
        </w:r>
        <w:r w:rsidR="001C71EE">
          <w:rPr>
            <w:noProof/>
            <w:webHidden/>
          </w:rPr>
        </w:r>
        <w:r w:rsidR="001C71EE">
          <w:rPr>
            <w:noProof/>
            <w:webHidden/>
          </w:rPr>
          <w:fldChar w:fldCharType="separate"/>
        </w:r>
        <w:r w:rsidR="001C71EE">
          <w:rPr>
            <w:noProof/>
            <w:webHidden/>
          </w:rPr>
          <w:t>557</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814" w:history="1">
        <w:r w:rsidR="001C71EE" w:rsidRPr="00193DF2">
          <w:rPr>
            <w:rStyle w:val="Hyperlink"/>
            <w:noProof/>
          </w:rPr>
          <w:t>ESI-III-10 Оборудване за плавателни съдове, които ще бъдат експлоатирани съгласно стандарти S1 или S2</w:t>
        </w:r>
        <w:r w:rsidR="001C71EE">
          <w:rPr>
            <w:noProof/>
            <w:webHidden/>
          </w:rPr>
          <w:tab/>
        </w:r>
        <w:r w:rsidR="001C71EE">
          <w:rPr>
            <w:noProof/>
            <w:webHidden/>
          </w:rPr>
          <w:fldChar w:fldCharType="begin"/>
        </w:r>
        <w:r w:rsidR="001C71EE">
          <w:rPr>
            <w:noProof/>
            <w:webHidden/>
          </w:rPr>
          <w:instrText xml:space="preserve"> PAGEREF _Toc535827814 \h </w:instrText>
        </w:r>
        <w:r w:rsidR="001C71EE">
          <w:rPr>
            <w:noProof/>
            <w:webHidden/>
          </w:rPr>
        </w:r>
        <w:r w:rsidR="001C71EE">
          <w:rPr>
            <w:noProof/>
            <w:webHidden/>
          </w:rPr>
          <w:fldChar w:fldCharType="separate"/>
        </w:r>
        <w:r w:rsidR="001C71EE">
          <w:rPr>
            <w:noProof/>
            <w:webHidden/>
          </w:rPr>
          <w:t>560</w:t>
        </w:r>
        <w:r w:rsidR="001C71EE">
          <w:rPr>
            <w:noProof/>
            <w:webHidden/>
          </w:rPr>
          <w:fldChar w:fldCharType="end"/>
        </w:r>
      </w:hyperlink>
    </w:p>
    <w:p w:rsidR="001C71EE" w:rsidRDefault="002B712C">
      <w:pPr>
        <w:pStyle w:val="TOC1"/>
        <w:rPr>
          <w:rFonts w:asciiTheme="minorHAnsi" w:eastAsiaTheme="minorEastAsia" w:hAnsiTheme="minorHAnsi" w:cstheme="minorBidi"/>
          <w:b w:val="0"/>
          <w:bCs w:val="0"/>
          <w:caps w:val="0"/>
          <w:noProof/>
          <w:sz w:val="22"/>
          <w:szCs w:val="22"/>
          <w:lang w:val="en-GB" w:eastAsia="en-GB" w:bidi="ar-SA"/>
        </w:rPr>
      </w:pPr>
      <w:hyperlink w:anchor="_Toc535827815" w:history="1">
        <w:r w:rsidR="001C71EE" w:rsidRPr="00193DF2">
          <w:rPr>
            <w:rStyle w:val="Hyperlink"/>
            <w:noProof/>
          </w:rPr>
          <w:t>ЧАСТ IV ПРЕХОДНИ РАЗПОРЕДБИ</w:t>
        </w:r>
        <w:r w:rsidR="001C71EE">
          <w:rPr>
            <w:noProof/>
            <w:webHidden/>
          </w:rPr>
          <w:tab/>
        </w:r>
        <w:r w:rsidR="001C71EE">
          <w:rPr>
            <w:noProof/>
            <w:webHidden/>
          </w:rPr>
          <w:fldChar w:fldCharType="begin"/>
        </w:r>
        <w:r w:rsidR="001C71EE">
          <w:rPr>
            <w:noProof/>
            <w:webHidden/>
          </w:rPr>
          <w:instrText xml:space="preserve"> PAGEREF _Toc535827815 \h </w:instrText>
        </w:r>
        <w:r w:rsidR="001C71EE">
          <w:rPr>
            <w:noProof/>
            <w:webHidden/>
          </w:rPr>
        </w:r>
        <w:r w:rsidR="001C71EE">
          <w:rPr>
            <w:noProof/>
            <w:webHidden/>
          </w:rPr>
          <w:fldChar w:fldCharType="separate"/>
        </w:r>
        <w:r w:rsidR="001C71EE">
          <w:rPr>
            <w:noProof/>
            <w:webHidden/>
          </w:rPr>
          <w:t>568</w:t>
        </w:r>
        <w:r w:rsidR="001C71EE">
          <w:rPr>
            <w:noProof/>
            <w:webHidden/>
          </w:rPr>
          <w:fldChar w:fldCharType="end"/>
        </w:r>
      </w:hyperlink>
    </w:p>
    <w:p w:rsidR="001C71EE" w:rsidRDefault="002B712C">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827816" w:history="1">
        <w:r w:rsidR="001C71EE" w:rsidRPr="00193DF2">
          <w:rPr>
            <w:rStyle w:val="Hyperlink"/>
            <w:noProof/>
          </w:rPr>
          <w:t>ESI-IV-1 Прилагане на преходни разпоредби</w:t>
        </w:r>
        <w:r w:rsidR="001C71EE">
          <w:rPr>
            <w:noProof/>
            <w:webHidden/>
          </w:rPr>
          <w:tab/>
        </w:r>
        <w:r w:rsidR="001C71EE">
          <w:rPr>
            <w:noProof/>
            <w:webHidden/>
          </w:rPr>
          <w:fldChar w:fldCharType="begin"/>
        </w:r>
        <w:r w:rsidR="001C71EE">
          <w:rPr>
            <w:noProof/>
            <w:webHidden/>
          </w:rPr>
          <w:instrText xml:space="preserve"> PAGEREF _Toc535827816 \h </w:instrText>
        </w:r>
        <w:r w:rsidR="001C71EE">
          <w:rPr>
            <w:noProof/>
            <w:webHidden/>
          </w:rPr>
        </w:r>
        <w:r w:rsidR="001C71EE">
          <w:rPr>
            <w:noProof/>
            <w:webHidden/>
          </w:rPr>
          <w:fldChar w:fldCharType="separate"/>
        </w:r>
        <w:r w:rsidR="001C71EE">
          <w:rPr>
            <w:noProof/>
            <w:webHidden/>
          </w:rPr>
          <w:t>568</w:t>
        </w:r>
        <w:r w:rsidR="001C71EE">
          <w:rPr>
            <w:noProof/>
            <w:webHidden/>
          </w:rPr>
          <w:fldChar w:fldCharType="end"/>
        </w:r>
      </w:hyperlink>
    </w:p>
    <w:p w:rsidR="001D0E7F" w:rsidRPr="009072DA" w:rsidRDefault="00D01002">
      <w:pPr>
        <w:pStyle w:val="TOC2"/>
        <w:tabs>
          <w:tab w:val="right" w:leader="dot" w:pos="9060"/>
        </w:tabs>
        <w:spacing w:line="240" w:lineRule="atLeast"/>
        <w:ind w:right="709"/>
        <w:rPr>
          <w:rFonts w:asciiTheme="minorHAnsi" w:eastAsiaTheme="minorEastAsia" w:hAnsiTheme="minorHAnsi" w:cs="Arial"/>
          <w:smallCaps w:val="0"/>
          <w:sz w:val="22"/>
        </w:rPr>
      </w:pPr>
      <w:r w:rsidRPr="009072DA">
        <w:rPr>
          <w:rFonts w:cs="Arial"/>
        </w:rPr>
        <w:fldChar w:fldCharType="end"/>
      </w:r>
    </w:p>
    <w:p w:rsidR="00FE7BE7" w:rsidRPr="009072DA" w:rsidRDefault="00FE7BE7" w:rsidP="005F5F39">
      <w:pPr>
        <w:rPr>
          <w:rFonts w:cs="Arial"/>
          <w:szCs w:val="20"/>
          <w:lang w:val="bg-BG"/>
        </w:rPr>
      </w:pPr>
    </w:p>
    <w:p w:rsidR="00C8674F" w:rsidRPr="009072DA" w:rsidRDefault="00C8674F" w:rsidP="00E1027C">
      <w:pPr>
        <w:spacing w:line="240" w:lineRule="atLeast"/>
        <w:rPr>
          <w:rFonts w:cs="Arial"/>
          <w:szCs w:val="20"/>
          <w:lang w:val="bg-BG"/>
        </w:rPr>
      </w:pPr>
    </w:p>
    <w:p w:rsidR="00731F7D" w:rsidRPr="009072DA" w:rsidRDefault="00731F7D" w:rsidP="00E1027C">
      <w:pPr>
        <w:spacing w:line="240" w:lineRule="atLeast"/>
        <w:rPr>
          <w:rFonts w:cs="Arial"/>
          <w:szCs w:val="20"/>
          <w:lang w:val="bg-BG"/>
        </w:rPr>
        <w:sectPr w:rsidR="00731F7D" w:rsidRPr="009072DA" w:rsidSect="006327E3">
          <w:headerReference w:type="default" r:id="rId15"/>
          <w:footerReference w:type="default" r:id="rId16"/>
          <w:headerReference w:type="first" r:id="rId17"/>
          <w:footerReference w:type="first" r:id="rId18"/>
          <w:footnotePr>
            <w:numRestart w:val="eachPage"/>
          </w:footnotePr>
          <w:pgSz w:w="11906" w:h="16838" w:code="9"/>
          <w:pgMar w:top="1418" w:right="1418" w:bottom="1418" w:left="1418" w:header="709" w:footer="709" w:gutter="0"/>
          <w:pgNumType w:fmt="lowerRoman"/>
          <w:cols w:space="709"/>
          <w:titlePg/>
          <w:docGrid w:linePitch="326"/>
        </w:sectPr>
      </w:pPr>
    </w:p>
    <w:p w:rsidR="00360D41" w:rsidRPr="009072DA" w:rsidRDefault="00360D41" w:rsidP="004B2505">
      <w:pPr>
        <w:pStyle w:val="ES-Titre1"/>
      </w:pPr>
      <w:bookmarkStart w:id="0" w:name="_Toc384624875"/>
      <w:bookmarkStart w:id="1" w:name="_Toc491854002"/>
      <w:bookmarkStart w:id="2" w:name="_Toc535827443"/>
      <w:r w:rsidRPr="009072DA">
        <w:lastRenderedPageBreak/>
        <w:t>ЧАСТ I</w:t>
      </w:r>
      <w:r w:rsidRPr="009072DA">
        <w:br/>
      </w:r>
      <w:bookmarkEnd w:id="0"/>
      <w:r w:rsidRPr="009072DA">
        <w:t>ОБЩИ ПОЛОЖЕНИЯ</w:t>
      </w:r>
      <w:bookmarkEnd w:id="1"/>
      <w:bookmarkEnd w:id="2"/>
    </w:p>
    <w:p w:rsidR="00A2046F" w:rsidRPr="009072DA" w:rsidRDefault="00A2046F" w:rsidP="00A2046F">
      <w:pPr>
        <w:pStyle w:val="ESch"/>
        <w:tabs>
          <w:tab w:val="left" w:pos="2325"/>
        </w:tabs>
        <w:rPr>
          <w:lang w:val="bg-BG"/>
        </w:rPr>
      </w:pPr>
      <w:bookmarkStart w:id="3" w:name="_Toc384624876"/>
    </w:p>
    <w:p w:rsidR="00360D41" w:rsidRPr="009072DA" w:rsidRDefault="00DE4417" w:rsidP="00B267B5">
      <w:pPr>
        <w:pStyle w:val="ES-Titre2"/>
        <w:pageBreakBefore w:val="0"/>
      </w:pPr>
      <w:bookmarkStart w:id="4" w:name="_Toc491854003"/>
      <w:bookmarkStart w:id="5" w:name="_Toc535827444"/>
      <w:r w:rsidRPr="009072DA">
        <w:t>Глава 1</w:t>
      </w:r>
      <w:r w:rsidRPr="009072DA">
        <w:br/>
      </w:r>
      <w:bookmarkEnd w:id="3"/>
      <w:r w:rsidRPr="009072DA">
        <w:t>Общи положения</w:t>
      </w:r>
      <w:bookmarkEnd w:id="4"/>
      <w:bookmarkEnd w:id="5"/>
    </w:p>
    <w:p w:rsidR="004B2505" w:rsidRPr="009072DA" w:rsidRDefault="004B2505" w:rsidP="00E1027C">
      <w:pPr>
        <w:pStyle w:val="ES-Titre3"/>
        <w:spacing w:line="240" w:lineRule="atLeast"/>
        <w:rPr>
          <w:lang w:val="bg-BG"/>
        </w:rPr>
      </w:pPr>
      <w:bookmarkStart w:id="6" w:name="_Toc384624877"/>
    </w:p>
    <w:p w:rsidR="00360D41" w:rsidRPr="009072DA" w:rsidRDefault="00360D41" w:rsidP="00E1027C">
      <w:pPr>
        <w:pStyle w:val="ES-Titre3"/>
        <w:spacing w:line="240" w:lineRule="atLeast"/>
        <w:rPr>
          <w:i/>
          <w:lang w:val="bg-BG"/>
        </w:rPr>
      </w:pPr>
      <w:bookmarkStart w:id="7" w:name="_Toc491854004"/>
      <w:bookmarkStart w:id="8" w:name="_Toc535827445"/>
      <w:r w:rsidRPr="009072DA">
        <w:rPr>
          <w:lang w:val="bg-BG"/>
        </w:rPr>
        <w:t>Член 1.01</w:t>
      </w:r>
      <w:r w:rsidRPr="009072DA">
        <w:rPr>
          <w:lang w:val="bg-BG"/>
        </w:rPr>
        <w:br/>
      </w:r>
      <w:bookmarkEnd w:id="6"/>
      <w:bookmarkEnd w:id="7"/>
      <w:bookmarkEnd w:id="8"/>
      <w:r w:rsidR="00D51D54" w:rsidRPr="009072DA">
        <w:rPr>
          <w:i/>
          <w:lang w:val="bg-BG"/>
        </w:rPr>
        <w:t>Определения</w:t>
      </w:r>
    </w:p>
    <w:p w:rsidR="004B2505" w:rsidRPr="009072DA" w:rsidRDefault="004B2505" w:rsidP="00E1027C">
      <w:pPr>
        <w:spacing w:line="240" w:lineRule="atLeast"/>
        <w:rPr>
          <w:snapToGrid w:val="0"/>
          <w:lang w:val="bg-BG"/>
        </w:rPr>
      </w:pPr>
    </w:p>
    <w:p w:rsidR="00DE4417" w:rsidRPr="009072DA" w:rsidRDefault="00DE4417" w:rsidP="009A1D30">
      <w:pPr>
        <w:rPr>
          <w:rFonts w:cs="Arial"/>
          <w:szCs w:val="20"/>
          <w:lang w:val="bg-BG"/>
        </w:rPr>
      </w:pPr>
      <w:r w:rsidRPr="009072DA">
        <w:rPr>
          <w:lang w:val="bg-BG"/>
        </w:rPr>
        <w:t>За целите на настоящия стандарт се прилагат следните определения</w:t>
      </w:r>
    </w:p>
    <w:p w:rsidR="00DE4417" w:rsidRPr="009072DA" w:rsidRDefault="00DE4417" w:rsidP="009A1D30">
      <w:pPr>
        <w:rPr>
          <w:rFonts w:cs="Arial"/>
          <w:b/>
          <w:color w:val="000000"/>
          <w:szCs w:val="20"/>
          <w:lang w:val="bg-BG"/>
        </w:rPr>
      </w:pPr>
    </w:p>
    <w:p w:rsidR="00151656" w:rsidRPr="009072DA" w:rsidRDefault="00151656" w:rsidP="00151656">
      <w:pPr>
        <w:pStyle w:val="ESchgras"/>
        <w:rPr>
          <w:lang w:val="bg-BG"/>
        </w:rPr>
      </w:pPr>
      <w:r w:rsidRPr="009072DA">
        <w:rPr>
          <w:lang w:val="bg-BG"/>
        </w:rPr>
        <w:t>1.</w:t>
      </w:r>
      <w:r w:rsidRPr="009072DA">
        <w:rPr>
          <w:lang w:val="bg-BG"/>
        </w:rPr>
        <w:tab/>
        <w:t>Видове плавателни средства</w:t>
      </w:r>
    </w:p>
    <w:p w:rsidR="00511BF6" w:rsidRPr="009072DA" w:rsidRDefault="00511BF6" w:rsidP="00391A9D">
      <w:pPr>
        <w:pStyle w:val="ESch"/>
        <w:tabs>
          <w:tab w:val="left" w:pos="2325"/>
        </w:tabs>
        <w:rPr>
          <w:lang w:val="bg-BG"/>
        </w:rPr>
      </w:pPr>
    </w:p>
    <w:p w:rsidR="00DE4417" w:rsidRPr="009072DA" w:rsidRDefault="00DE4417" w:rsidP="00511BF6">
      <w:pPr>
        <w:pStyle w:val="ESch"/>
        <w:rPr>
          <w:lang w:val="bg-BG"/>
        </w:rPr>
      </w:pPr>
      <w:r w:rsidRPr="009072DA">
        <w:rPr>
          <w:lang w:val="bg-BG"/>
        </w:rPr>
        <w:t>1.1</w:t>
      </w:r>
      <w:r w:rsidRPr="009072DA">
        <w:rPr>
          <w:lang w:val="bg-BG"/>
        </w:rPr>
        <w:tab/>
        <w:t>„плавателно средство“: плавателен съд или плаващо съоръжение;</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1.2</w:t>
      </w:r>
      <w:r w:rsidRPr="009072DA">
        <w:rPr>
          <w:lang w:val="bg-BG"/>
        </w:rPr>
        <w:tab/>
        <w:t>„плавателен съд“: плавателен съд по вътрешните водни пътища или морски кораб;</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1.3</w:t>
      </w:r>
      <w:r w:rsidRPr="009072DA">
        <w:rPr>
          <w:lang w:val="bg-BG"/>
        </w:rPr>
        <w:tab/>
        <w:t>„плавателен съд по вътрешните водни пътища“: плавателен съд, предназначен за плаване единствено или главно по вътрешните водни пътища;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1.4</w:t>
      </w:r>
      <w:r w:rsidRPr="009072DA">
        <w:rPr>
          <w:lang w:val="bg-BG"/>
        </w:rPr>
        <w:tab/>
        <w:t>„морски кораб“: плавателен съд, одобрен и предназначен главно за морско или крайбрежно плаване;</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1.5</w:t>
      </w:r>
      <w:r w:rsidRPr="009072DA">
        <w:rPr>
          <w:lang w:val="bg-BG"/>
        </w:rPr>
        <w:tab/>
        <w:t>„моторен плавателен съд“: моторен товарен плавателен съд или моторен танкер;</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1.6</w:t>
      </w:r>
      <w:r w:rsidRPr="009072DA">
        <w:rPr>
          <w:lang w:val="bg-BG"/>
        </w:rPr>
        <w:tab/>
        <w:t>„моторен танкер“: плавателен съд, предназначен за превоз на товари в неподвижно закрепени резервоари и построен да плава независимо, използвайки собствено задвижване;</w:t>
      </w:r>
    </w:p>
    <w:p w:rsidR="00B267B5" w:rsidRPr="009072DA" w:rsidRDefault="00B267B5" w:rsidP="00511BF6">
      <w:pPr>
        <w:pStyle w:val="ESch"/>
        <w:rPr>
          <w:rFonts w:cs="Arial"/>
          <w:szCs w:val="20"/>
          <w:lang w:val="bg-BG"/>
        </w:rPr>
      </w:pPr>
    </w:p>
    <w:p w:rsidR="00DE4417" w:rsidRPr="009072DA" w:rsidRDefault="00DE4417" w:rsidP="00511BF6">
      <w:pPr>
        <w:pStyle w:val="ESch"/>
        <w:rPr>
          <w:lang w:val="bg-BG"/>
        </w:rPr>
      </w:pPr>
      <w:r w:rsidRPr="009072DA">
        <w:rPr>
          <w:lang w:val="bg-BG"/>
        </w:rPr>
        <w:t>1.7</w:t>
      </w:r>
      <w:r w:rsidRPr="009072DA">
        <w:rPr>
          <w:lang w:val="bg-BG"/>
        </w:rPr>
        <w:tab/>
        <w:t>„моторен товарен плавателен съд“: плавателен съд, различен от моторен танкер, предназначен за превоз на товари и построен да плава независимо, използвайки собствено задвижване;</w:t>
      </w:r>
    </w:p>
    <w:p w:rsidR="009A1D30" w:rsidRPr="009072DA" w:rsidRDefault="009A1D30" w:rsidP="00511BF6">
      <w:pPr>
        <w:pStyle w:val="ESch"/>
        <w:rPr>
          <w:rFonts w:cs="Arial"/>
          <w:szCs w:val="20"/>
          <w:lang w:val="bg-BG"/>
        </w:rPr>
      </w:pPr>
    </w:p>
    <w:p w:rsidR="00DE4417" w:rsidRPr="009072DA" w:rsidRDefault="00DE4417" w:rsidP="00511BF6">
      <w:pPr>
        <w:pStyle w:val="ESch"/>
        <w:rPr>
          <w:rFonts w:cs="Arial"/>
          <w:szCs w:val="20"/>
          <w:lang w:val="bg-BG"/>
        </w:rPr>
      </w:pPr>
      <w:r w:rsidRPr="009072DA">
        <w:rPr>
          <w:lang w:val="bg-BG"/>
        </w:rPr>
        <w:lastRenderedPageBreak/>
        <w:t>1.8</w:t>
      </w:r>
      <w:r w:rsidRPr="009072DA">
        <w:rPr>
          <w:lang w:val="bg-BG"/>
        </w:rPr>
        <w:tab/>
        <w:t>„баржа за канал“: плавателен съд по вътрешните водни пътища с дължина не по-голяма от 38,5 m и широчина не по-голяма от 5,05 m;</w:t>
      </w:r>
    </w:p>
    <w:p w:rsidR="009A1D30" w:rsidRPr="009072DA" w:rsidRDefault="009A1D30" w:rsidP="00511BF6">
      <w:pPr>
        <w:pStyle w:val="ESch"/>
        <w:rPr>
          <w:lang w:val="bg-BG"/>
        </w:rPr>
      </w:pPr>
    </w:p>
    <w:p w:rsidR="00DE4417" w:rsidRPr="009072DA" w:rsidRDefault="00DE4417" w:rsidP="00511BF6">
      <w:pPr>
        <w:pStyle w:val="ESch"/>
        <w:rPr>
          <w:lang w:val="bg-BG"/>
        </w:rPr>
      </w:pPr>
      <w:r w:rsidRPr="009072DA">
        <w:rPr>
          <w:lang w:val="bg-BG"/>
        </w:rPr>
        <w:t>1.9</w:t>
      </w:r>
      <w:r w:rsidRPr="009072DA">
        <w:rPr>
          <w:lang w:val="bg-BG"/>
        </w:rPr>
        <w:tab/>
        <w:t>„влекач“: плавателен съд, построен специално, за да извършва дейности по влачене;</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1.10</w:t>
      </w:r>
      <w:r w:rsidRPr="009072DA">
        <w:rPr>
          <w:lang w:val="bg-BG"/>
        </w:rPr>
        <w:tab/>
        <w:t>„тласкач“: плавателен съд, построен специално, за да задвижва тласкани състави;</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1.11</w:t>
      </w:r>
      <w:r w:rsidRPr="009072DA">
        <w:rPr>
          <w:lang w:val="bg-BG"/>
        </w:rPr>
        <w:tab/>
        <w:t>„баржа“: сухотоварна баржа или наливна баржа;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1.12</w:t>
      </w:r>
      <w:r w:rsidRPr="009072DA">
        <w:rPr>
          <w:lang w:val="bg-BG"/>
        </w:rPr>
        <w:tab/>
        <w:t>„наливна баржа“: плавателен съд, предназначен за превоз на товари в закрепени неподвижно резервоари и построен да бъде влачен, нямащ собствено задвижване или имащ такова само за ограничени маневри;</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1.13</w:t>
      </w:r>
      <w:r w:rsidRPr="009072DA">
        <w:rPr>
          <w:lang w:val="bg-BG"/>
        </w:rPr>
        <w:tab/>
        <w:t>„сухотоварна баржа“: плавателен съд, който не е наливна баржа, предназначен за превоз на товари и построен да бъде влачен, нямащ собствено задвижване или имащ такова само за ограничени маневри;</w:t>
      </w:r>
    </w:p>
    <w:p w:rsidR="009A1D30" w:rsidRPr="009072DA" w:rsidRDefault="009A1D30" w:rsidP="00511BF6">
      <w:pPr>
        <w:pStyle w:val="ESch"/>
        <w:rPr>
          <w:rFonts w:cs="Arial"/>
          <w:szCs w:val="20"/>
          <w:lang w:val="bg-BG"/>
        </w:rPr>
      </w:pPr>
    </w:p>
    <w:p w:rsidR="00DE4417" w:rsidRPr="009072DA" w:rsidRDefault="00DE4417" w:rsidP="00511BF6">
      <w:pPr>
        <w:pStyle w:val="ESch"/>
        <w:rPr>
          <w:rFonts w:cs="Arial"/>
          <w:szCs w:val="20"/>
          <w:lang w:val="bg-BG"/>
        </w:rPr>
      </w:pPr>
      <w:r w:rsidRPr="009072DA">
        <w:rPr>
          <w:lang w:val="bg-BG"/>
        </w:rPr>
        <w:t>1.14</w:t>
      </w:r>
      <w:r w:rsidRPr="009072DA">
        <w:rPr>
          <w:lang w:val="bg-BG"/>
        </w:rPr>
        <w:tab/>
        <w:t>„лихтер“: наливен лихтер, товарен лихтер или корабен бордови лихтер;</w:t>
      </w:r>
    </w:p>
    <w:p w:rsidR="009A1D30" w:rsidRPr="009072DA" w:rsidRDefault="009A1D30" w:rsidP="00511BF6">
      <w:pPr>
        <w:pStyle w:val="ESch"/>
        <w:rPr>
          <w:rFonts w:cs="Arial"/>
          <w:szCs w:val="20"/>
          <w:lang w:val="bg-BG"/>
        </w:rPr>
      </w:pPr>
    </w:p>
    <w:p w:rsidR="009A1D30" w:rsidRPr="009072DA" w:rsidRDefault="009A1D30" w:rsidP="00511BF6">
      <w:pPr>
        <w:pStyle w:val="ESch"/>
        <w:rPr>
          <w:rFonts w:cs="Arial"/>
          <w:szCs w:val="20"/>
          <w:lang w:val="bg-BG"/>
        </w:rPr>
      </w:pPr>
      <w:r w:rsidRPr="009072DA">
        <w:rPr>
          <w:lang w:val="bg-BG"/>
        </w:rPr>
        <w:br w:type="page"/>
      </w:r>
    </w:p>
    <w:p w:rsidR="00DE4417" w:rsidRPr="009072DA" w:rsidRDefault="00DE4417" w:rsidP="00511BF6">
      <w:pPr>
        <w:pStyle w:val="ESch"/>
        <w:rPr>
          <w:lang w:val="bg-BG"/>
        </w:rPr>
      </w:pPr>
      <w:r w:rsidRPr="009072DA">
        <w:rPr>
          <w:lang w:val="bg-BG"/>
        </w:rPr>
        <w:lastRenderedPageBreak/>
        <w:t>1.15</w:t>
      </w:r>
      <w:r w:rsidRPr="009072DA">
        <w:rPr>
          <w:lang w:val="bg-BG"/>
        </w:rPr>
        <w:tab/>
        <w:t>„наливен лихтер“: плавателен съд, предназначен за превоз на товари в закрепени неподвижно резервоари, построен или специално модифициран да бъде тласкан, нямащ собствено задвижване или имащ такова само за ограничени маневри, когато не е част от тласкан състав;</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1.16</w:t>
      </w:r>
      <w:r w:rsidRPr="009072DA">
        <w:rPr>
          <w:lang w:val="bg-BG"/>
        </w:rPr>
        <w:tab/>
        <w:t>„товарен лихтер“: плавателен съд, който не е наливен лихтер, предназначен за превоз на товари и построен или специално модифициран да бъде тласкан, нямащ собствено задвижване или имащ такова само за ограничени маневри, когато не е част от тласкан състав;</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1.17</w:t>
      </w:r>
      <w:r w:rsidRPr="009072DA">
        <w:rPr>
          <w:lang w:val="bg-BG"/>
        </w:rPr>
        <w:tab/>
        <w:t>„корабен бордови лихтер“: лихтер, построен, за да бъде превозван на борда на морски кораби и да плава по вътрешни водни пътища;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1.18</w:t>
      </w:r>
      <w:r w:rsidRPr="009072DA">
        <w:rPr>
          <w:lang w:val="bg-BG"/>
        </w:rPr>
        <w:tab/>
        <w:t>„пътнически плавателен съд“: плавателен съд за дневни пътувания или плавателен съд с каюти, построен и оборудван да превозва повече от 12 пътника;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1.19</w:t>
      </w:r>
      <w:r w:rsidRPr="009072DA">
        <w:rPr>
          <w:lang w:val="bg-BG"/>
        </w:rPr>
        <w:tab/>
        <w:t>„пътнически ветроходен плавателен съд“: пътнически плавателен съд, построен и оборудван така, че да може да се движи и с платна;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1.20</w:t>
      </w:r>
      <w:r w:rsidRPr="009072DA">
        <w:rPr>
          <w:lang w:val="bg-BG"/>
        </w:rPr>
        <w:tab/>
        <w:t>„плавателен съд за дневни пътувания“: пътнически плавателен съд без каюти за нощувка на пътниците;</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1.21</w:t>
      </w:r>
      <w:r w:rsidRPr="009072DA">
        <w:rPr>
          <w:lang w:val="bg-BG"/>
        </w:rPr>
        <w:tab/>
        <w:t>„плавателен съд с каюти“: пътнически плавателен съд с каюти за нощувка на пътниците;</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1.22</w:t>
      </w:r>
      <w:r w:rsidRPr="009072DA">
        <w:rPr>
          <w:lang w:val="bg-BG"/>
        </w:rPr>
        <w:tab/>
        <w:t>„високоскоростен плавателен съд“: самоходно плавателно средство, способно да развива скорости над 40 km/h по отношение на водата;</w:t>
      </w:r>
    </w:p>
    <w:p w:rsidR="009A1D30" w:rsidRPr="009072DA" w:rsidRDefault="009A1D30" w:rsidP="00511BF6">
      <w:pPr>
        <w:pStyle w:val="ESch"/>
        <w:rPr>
          <w:rFonts w:cs="Arial"/>
          <w:szCs w:val="20"/>
          <w:lang w:val="bg-BG"/>
        </w:rPr>
      </w:pPr>
    </w:p>
    <w:p w:rsidR="00DE4417" w:rsidRPr="009072DA" w:rsidRDefault="009A1D30" w:rsidP="00511BF6">
      <w:pPr>
        <w:pStyle w:val="ESch"/>
        <w:rPr>
          <w:lang w:val="bg-BG"/>
        </w:rPr>
      </w:pPr>
      <w:r w:rsidRPr="009072DA">
        <w:rPr>
          <w:lang w:val="bg-BG"/>
        </w:rPr>
        <w:t>1.23</w:t>
      </w:r>
      <w:r w:rsidRPr="009072DA">
        <w:rPr>
          <w:lang w:val="bg-BG"/>
        </w:rPr>
        <w:tab/>
        <w:t>„плаващо съоръжение“: плаваща инсталация, носеща механично оборудване, например кранове, драги, екскаватори или елеватори;</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1.24</w:t>
      </w:r>
      <w:r w:rsidRPr="009072DA">
        <w:rPr>
          <w:lang w:val="bg-BG"/>
        </w:rPr>
        <w:tab/>
        <w:t>„плавателно работно средство“: плавателен съд, подходящо построен и оборудван за използване на работни площадки, като баржа за мелиорационни дейности, саморазтоварваща се или понтонна баржа, понтон или баржа за струпване на камъни;</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1.25</w:t>
      </w:r>
      <w:r w:rsidRPr="009072DA">
        <w:rPr>
          <w:lang w:val="bg-BG"/>
        </w:rPr>
        <w:tab/>
        <w:t>„плавателен съд за отдих“: плавателен съд, който не е пътнически плавателен съд и е предназначен за спорт или развлечение;</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1.26</w:t>
      </w:r>
      <w:r w:rsidRPr="009072DA">
        <w:rPr>
          <w:lang w:val="bg-BG"/>
        </w:rPr>
        <w:tab/>
        <w:t>„корабна лодка“: лодка за използване при превоз, спасителни операции, спасяване на хора или имущество и за работни цели;</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1.27</w:t>
      </w:r>
      <w:r w:rsidRPr="009072DA">
        <w:rPr>
          <w:lang w:val="bg-BG"/>
        </w:rPr>
        <w:tab/>
        <w:t>„плаващо устройство“: всяка плаваща инсталация, която обикновено не е предназначена за местене, например плаващ басейн, док, кей или навес за лодки;</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1.28</w:t>
      </w:r>
      <w:r w:rsidRPr="009072DA">
        <w:rPr>
          <w:lang w:val="bg-BG"/>
        </w:rPr>
        <w:tab/>
        <w:t>„плаващ обект“: сал или друга конструкция, обект или съвкупност, способен/способна да плава, който/която не е плавателен съд, плаващо съоръжение или плаващо устройство;</w:t>
      </w:r>
    </w:p>
    <w:p w:rsidR="009A1D30" w:rsidRPr="009072DA" w:rsidRDefault="009A1D30" w:rsidP="00511BF6">
      <w:pPr>
        <w:pStyle w:val="ESch"/>
        <w:rPr>
          <w:rFonts w:cs="Arial"/>
          <w:b/>
          <w:szCs w:val="20"/>
          <w:lang w:val="bg-BG"/>
        </w:rPr>
      </w:pPr>
    </w:p>
    <w:p w:rsidR="00881510" w:rsidRPr="009072DA" w:rsidRDefault="00881510" w:rsidP="00511BF6">
      <w:pPr>
        <w:pStyle w:val="ESch"/>
        <w:rPr>
          <w:lang w:val="bg-BG"/>
        </w:rPr>
      </w:pPr>
      <w:r w:rsidRPr="009072DA">
        <w:rPr>
          <w:lang w:val="bg-BG"/>
        </w:rPr>
        <w:t>1.29</w:t>
      </w:r>
      <w:r w:rsidRPr="009072DA">
        <w:rPr>
          <w:lang w:val="bg-BG"/>
        </w:rPr>
        <w:tab/>
        <w:t>„традиционен плавателен съд“: плавателно средство, за което се счита, че трябва да бъде запазено въз основа на неговата възраст, техническо естество или строеж, неговата рядкост, значението му за запазване на традиционните принципи на мореходството или техники на плаването по вътрешни водни пътища, или значението, което е имало в определен исторически период, и което се използва по-специално за демонстрационни цели — то самото или негова реплика;</w:t>
      </w:r>
    </w:p>
    <w:p w:rsidR="00881510" w:rsidRPr="009072DA" w:rsidRDefault="00881510" w:rsidP="00511BF6">
      <w:pPr>
        <w:pStyle w:val="ESch"/>
        <w:rPr>
          <w:lang w:val="bg-BG"/>
        </w:rPr>
      </w:pPr>
    </w:p>
    <w:p w:rsidR="00881510" w:rsidRPr="009072DA" w:rsidRDefault="00881510" w:rsidP="00881510">
      <w:pPr>
        <w:pStyle w:val="ESch"/>
        <w:rPr>
          <w:lang w:val="bg-BG"/>
        </w:rPr>
      </w:pPr>
      <w:r w:rsidRPr="009072DA">
        <w:rPr>
          <w:lang w:val="bg-BG"/>
        </w:rPr>
        <w:t>1.30</w:t>
      </w:r>
      <w:r w:rsidRPr="009072DA">
        <w:rPr>
          <w:lang w:val="bg-BG"/>
        </w:rPr>
        <w:tab/>
        <w:t>„Реплика на традиционен плавателен съд“ плавателен съд, който до голяма степен е изграден от оригинални материали чрез използване на подходящ метод на строителство въз основа на планове или образци, като традиционен плавателен съд;</w:t>
      </w:r>
    </w:p>
    <w:p w:rsidR="00881510" w:rsidRPr="009072DA" w:rsidRDefault="00881510" w:rsidP="00511BF6">
      <w:pPr>
        <w:pStyle w:val="ESch"/>
        <w:rPr>
          <w:rFonts w:cs="Arial"/>
          <w:b/>
          <w:szCs w:val="20"/>
          <w:lang w:val="bg-BG"/>
        </w:rPr>
      </w:pPr>
    </w:p>
    <w:p w:rsidR="003B0440" w:rsidRPr="009072DA" w:rsidRDefault="003B0440">
      <w:pPr>
        <w:rPr>
          <w:rFonts w:cs="Arial"/>
          <w:b/>
          <w:szCs w:val="20"/>
          <w:lang w:val="bg-BG"/>
        </w:rPr>
      </w:pPr>
      <w:r w:rsidRPr="009072DA">
        <w:rPr>
          <w:lang w:val="bg-BG"/>
        </w:rPr>
        <w:br w:type="page"/>
      </w:r>
    </w:p>
    <w:p w:rsidR="009A1D30" w:rsidRPr="009072DA" w:rsidRDefault="009A1D30" w:rsidP="00511BF6">
      <w:pPr>
        <w:pStyle w:val="ESch"/>
        <w:rPr>
          <w:rFonts w:cs="Arial"/>
          <w:b/>
          <w:szCs w:val="20"/>
          <w:lang w:val="bg-BG"/>
        </w:rPr>
      </w:pPr>
    </w:p>
    <w:p w:rsidR="00DE4417" w:rsidRPr="009072DA" w:rsidRDefault="00DE4417" w:rsidP="00511BF6">
      <w:pPr>
        <w:pStyle w:val="ESch"/>
        <w:rPr>
          <w:lang w:val="bg-BG"/>
        </w:rPr>
      </w:pPr>
      <w:r w:rsidRPr="009072DA">
        <w:rPr>
          <w:b/>
          <w:lang w:val="bg-BG"/>
        </w:rPr>
        <w:t>2.</w:t>
      </w:r>
      <w:r w:rsidRPr="009072DA">
        <w:rPr>
          <w:lang w:val="bg-BG"/>
        </w:rPr>
        <w:tab/>
      </w:r>
      <w:r w:rsidRPr="009072DA">
        <w:rPr>
          <w:b/>
          <w:lang w:val="bg-BG"/>
        </w:rPr>
        <w:t>Съвкупности от плавателни средства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2.1</w:t>
      </w:r>
      <w:r w:rsidRPr="009072DA">
        <w:rPr>
          <w:lang w:val="bg-BG"/>
        </w:rPr>
        <w:tab/>
        <w:t>„състав“: твърдо свързан или влачен състав  от плавателни средства;</w:t>
      </w:r>
    </w:p>
    <w:p w:rsidR="009A1D30" w:rsidRPr="009072DA" w:rsidRDefault="009A1D30" w:rsidP="00511BF6">
      <w:pPr>
        <w:pStyle w:val="ESch"/>
        <w:rPr>
          <w:rFonts w:cs="Arial"/>
          <w:szCs w:val="20"/>
          <w:lang w:val="bg-BG"/>
        </w:rPr>
      </w:pPr>
    </w:p>
    <w:p w:rsidR="00DE4417" w:rsidRPr="009072DA" w:rsidRDefault="00DE4417" w:rsidP="00511BF6">
      <w:pPr>
        <w:pStyle w:val="ESch"/>
        <w:rPr>
          <w:rFonts w:cs="Arial"/>
          <w:szCs w:val="20"/>
          <w:lang w:val="bg-BG"/>
        </w:rPr>
      </w:pPr>
      <w:r w:rsidRPr="009072DA">
        <w:rPr>
          <w:lang w:val="bg-BG"/>
        </w:rPr>
        <w:t>2.2</w:t>
      </w:r>
      <w:r w:rsidRPr="009072DA">
        <w:rPr>
          <w:lang w:val="bg-BG"/>
        </w:rPr>
        <w:tab/>
        <w:t>„формирование“: начинът, по който е образуван съставът от плавателни средства;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2.3</w:t>
      </w:r>
      <w:r w:rsidRPr="009072DA">
        <w:rPr>
          <w:lang w:val="bg-BG"/>
        </w:rPr>
        <w:tab/>
        <w:t>„твърдо свързан състав“: тласкан състав или бордово свързана група;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2.4</w:t>
      </w:r>
      <w:r w:rsidRPr="009072DA">
        <w:rPr>
          <w:lang w:val="bg-BG"/>
        </w:rPr>
        <w:tab/>
        <w:t>„тласкан състав“: съвкупност от твърдо свързани плавателни средства, най-малко едно от които е разположено пред плавателното средство, обезпечаващо придвижването на състава, наричано „тласкач“; състав, състоящ се от тласкач и тласкани плавателни средства, при съединяването на които се допуска подвижност във връзката, също се разглежда като твърдо свързан състав;</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2.5</w:t>
      </w:r>
      <w:r w:rsidRPr="009072DA">
        <w:rPr>
          <w:lang w:val="bg-BG"/>
        </w:rPr>
        <w:tab/>
        <w:t>„бордово свързана група“: съвкупност от плавателни средства, твърдо свързани борд към борд, нито едно от които не е разположено пред плавателното средство, задвижващо съвкупността;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2.6</w:t>
      </w:r>
      <w:r w:rsidRPr="009072DA">
        <w:rPr>
          <w:lang w:val="bg-BG"/>
        </w:rPr>
        <w:tab/>
        <w:t>„влачен състав“: съвкупност от едно или повече плавателни средства, плаващи устройства или плаващи обекти, влачени от едно или повече самоходни плавателни средства, явяващи се част от състава;</w:t>
      </w:r>
    </w:p>
    <w:p w:rsidR="009A1D30" w:rsidRPr="009072DA" w:rsidRDefault="009A1D30" w:rsidP="00511BF6">
      <w:pPr>
        <w:pStyle w:val="ESch"/>
        <w:rPr>
          <w:rFonts w:cs="Arial"/>
          <w:b/>
          <w:szCs w:val="20"/>
          <w:lang w:val="bg-BG"/>
        </w:rPr>
      </w:pPr>
    </w:p>
    <w:p w:rsidR="009A1D30" w:rsidRPr="009072DA" w:rsidRDefault="009A1D30" w:rsidP="00511BF6">
      <w:pPr>
        <w:pStyle w:val="ESch"/>
        <w:rPr>
          <w:rFonts w:cs="Arial"/>
          <w:b/>
          <w:szCs w:val="20"/>
          <w:lang w:val="bg-BG"/>
        </w:rPr>
      </w:pPr>
    </w:p>
    <w:p w:rsidR="00DE4417" w:rsidRPr="009072DA" w:rsidRDefault="00DE4417" w:rsidP="00511BF6">
      <w:pPr>
        <w:pStyle w:val="ESch"/>
        <w:rPr>
          <w:b/>
          <w:lang w:val="bg-BG"/>
        </w:rPr>
      </w:pPr>
      <w:r w:rsidRPr="009072DA">
        <w:rPr>
          <w:b/>
          <w:lang w:val="bg-BG"/>
        </w:rPr>
        <w:t>3.</w:t>
      </w:r>
      <w:r w:rsidRPr="009072DA">
        <w:rPr>
          <w:lang w:val="bg-BG"/>
        </w:rPr>
        <w:tab/>
      </w:r>
      <w:r w:rsidRPr="009072DA">
        <w:rPr>
          <w:b/>
          <w:lang w:val="bg-BG"/>
        </w:rPr>
        <w:t>Особени зони на борда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3.1</w:t>
      </w:r>
      <w:r w:rsidRPr="009072DA">
        <w:rPr>
          <w:lang w:val="bg-BG"/>
        </w:rPr>
        <w:tab/>
        <w:t>„главно машинно отделение“: помещение, в което са монтирани двигателите за задвижването;</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3.2</w:t>
      </w:r>
      <w:r w:rsidRPr="009072DA">
        <w:rPr>
          <w:lang w:val="bg-BG"/>
        </w:rPr>
        <w:tab/>
        <w:t>„машинно отделение“: помещение, в което са монтирани двигатели с вътрешно горене;</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3.3</w:t>
      </w:r>
      <w:r w:rsidRPr="009072DA">
        <w:rPr>
          <w:lang w:val="bg-BG"/>
        </w:rPr>
        <w:tab/>
        <w:t>„котелно отделение“: помещение с работещи с гориво установки, предназначени за производство на пара или подгряване на течен топлоносител;</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lastRenderedPageBreak/>
        <w:t>3.4</w:t>
      </w:r>
      <w:r w:rsidRPr="009072DA">
        <w:rPr>
          <w:lang w:val="bg-BG"/>
        </w:rPr>
        <w:tab/>
        <w:t>„електрическо сервизно помещение“: означава помещение, в което са разположени компоненти от електрическа задвижваща система като контролни табла или електрически двигатели и което не е главно машинно отделение или машинно отделение;</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3.5</w:t>
      </w:r>
      <w:r w:rsidRPr="009072DA">
        <w:rPr>
          <w:lang w:val="bg-BG"/>
        </w:rPr>
        <w:tab/>
        <w:t>„закрита надстройка“: водонепроницаема, твърда, непрекъсната конструкция с твърди стени, съединени с палубата по стабилен и водонепроницаем начин;</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3.6</w:t>
      </w:r>
      <w:r w:rsidRPr="009072DA">
        <w:rPr>
          <w:lang w:val="bg-BG"/>
        </w:rPr>
        <w:tab/>
        <w:t>„рулева рубка“: помещението, в което са инсталирани всички прибори за управление и наблюдение, необходими за маневриране на плавателния съд;</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3.7</w:t>
      </w:r>
      <w:r w:rsidRPr="009072DA">
        <w:rPr>
          <w:lang w:val="bg-BG"/>
        </w:rPr>
        <w:tab/>
        <w:t>„жилищно помещение“: пространство, предназначено за използване от лицата, които обикновено живеят на борда; такива помещения са камбузи, складови помещения, тоалетни и хигиенни помещения, перални съоръжения, проходи, но не и рулевата рубка;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3.8</w:t>
      </w:r>
      <w:r w:rsidRPr="009072DA">
        <w:rPr>
          <w:lang w:val="bg-BG"/>
        </w:rPr>
        <w:tab/>
        <w:t>„помещения за пътници“: помещения на борда, предвидени за пътниците, и затворени места като салони, офиси, магазини, фризьорски салони, сушилни, перални, сауни, тоалетни, хигиенни помещения, проходи, свързващи коридори и стълбища, които не са оградени със стени;</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3.9</w:t>
      </w:r>
      <w:r w:rsidRPr="009072DA">
        <w:rPr>
          <w:lang w:val="bg-BG"/>
        </w:rPr>
        <w:tab/>
        <w:t>„център за управление“: рулева рубка, място, което съдържа авариен електрически захранващ агрегат или части от него или място с център, с постоянно присъствие на обслужващия персонал или членове на екипажа, например за оборудване за противопожарна сигнализация, дистанционно управление на врати или противопожарни клапани;</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3.10</w:t>
      </w:r>
      <w:r w:rsidRPr="009072DA">
        <w:rPr>
          <w:lang w:val="bg-BG"/>
        </w:rPr>
        <w:tab/>
        <w:t>„стълбищна шахта“: клетката на вътрешно стълбище или на асансьор;</w:t>
      </w:r>
    </w:p>
    <w:p w:rsidR="009A1D30" w:rsidRPr="009072DA" w:rsidRDefault="009A1D30" w:rsidP="00511BF6">
      <w:pPr>
        <w:pStyle w:val="ESch"/>
        <w:rPr>
          <w:rFonts w:cs="Arial"/>
          <w:szCs w:val="20"/>
          <w:lang w:val="bg-BG"/>
        </w:rPr>
      </w:pPr>
    </w:p>
    <w:p w:rsidR="003B0440" w:rsidRPr="009072DA" w:rsidRDefault="003B0440">
      <w:pPr>
        <w:rPr>
          <w:rFonts w:cs="Arial"/>
          <w:szCs w:val="20"/>
          <w:lang w:val="bg-BG"/>
        </w:rPr>
      </w:pPr>
      <w:r w:rsidRPr="009072DA">
        <w:rPr>
          <w:lang w:val="bg-BG"/>
        </w:rPr>
        <w:br w:type="page"/>
      </w:r>
    </w:p>
    <w:p w:rsidR="003B0440" w:rsidRPr="009072DA" w:rsidRDefault="003B0440" w:rsidP="00511BF6">
      <w:pPr>
        <w:pStyle w:val="ESch"/>
        <w:rPr>
          <w:rFonts w:cs="Arial"/>
          <w:szCs w:val="20"/>
          <w:lang w:val="bg-BG"/>
        </w:rPr>
      </w:pPr>
    </w:p>
    <w:p w:rsidR="00DE4417" w:rsidRPr="009072DA" w:rsidRDefault="00DE4417" w:rsidP="00511BF6">
      <w:pPr>
        <w:pStyle w:val="ESch"/>
        <w:rPr>
          <w:rFonts w:cs="Arial"/>
          <w:szCs w:val="20"/>
          <w:lang w:val="bg-BG"/>
        </w:rPr>
      </w:pPr>
      <w:r w:rsidRPr="009072DA">
        <w:rPr>
          <w:lang w:val="bg-BG"/>
        </w:rPr>
        <w:t>3.11</w:t>
      </w:r>
      <w:r w:rsidRPr="009072DA">
        <w:rPr>
          <w:lang w:val="bg-BG"/>
        </w:rPr>
        <w:tab/>
        <w:t>„салон“: жилищно помещение или помещение за пътници. На борда на пътническите плавателни съдове камбузът не се разглежда като салон;</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3.12</w:t>
      </w:r>
      <w:r w:rsidRPr="009072DA">
        <w:rPr>
          <w:lang w:val="bg-BG"/>
        </w:rPr>
        <w:tab/>
        <w:t>„камбуз“: помещение с печка или друг подобен уред за готвене;</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3.13</w:t>
      </w:r>
      <w:r w:rsidRPr="009072DA">
        <w:rPr>
          <w:lang w:val="bg-BG"/>
        </w:rPr>
        <w:tab/>
        <w:t>„складово помещение“: помещение  за съхранение на запалими течности или помещение с площ над 4 m</w:t>
      </w:r>
      <w:r w:rsidRPr="009072DA">
        <w:rPr>
          <w:vertAlign w:val="superscript"/>
          <w:lang w:val="bg-BG"/>
        </w:rPr>
        <w:t>2</w:t>
      </w:r>
      <w:r w:rsidRPr="009072DA">
        <w:rPr>
          <w:lang w:val="bg-BG"/>
        </w:rPr>
        <w:t xml:space="preserve"> за съхранение на провизии;</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3.14</w:t>
      </w:r>
      <w:r w:rsidRPr="009072DA">
        <w:rPr>
          <w:lang w:val="bg-BG"/>
        </w:rPr>
        <w:tab/>
        <w:t>„трюм“: част от плавателния съд, ограничена от носови и кърмови прегради, открита или закрита посредством капаци на люкове, предназначена за превоз на стоки, които са опаковани или насипни, или за поместване на резервоари, непредставляващи част от корпуса;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3.15</w:t>
      </w:r>
      <w:r w:rsidRPr="009072DA">
        <w:rPr>
          <w:lang w:val="bg-BG"/>
        </w:rPr>
        <w:tab/>
        <w:t>„неподвижно закрепен резервоар“: резервоар, съединен с плавателния съд, стените на който са образувани от самия корпус или са отделени от корпуса;</w:t>
      </w:r>
    </w:p>
    <w:p w:rsidR="009A1D30" w:rsidRPr="009072DA" w:rsidRDefault="009A1D30" w:rsidP="00511BF6">
      <w:pPr>
        <w:pStyle w:val="ESch"/>
        <w:rPr>
          <w:rFonts w:cs="Arial"/>
          <w:szCs w:val="20"/>
          <w:lang w:val="bg-BG"/>
        </w:rPr>
      </w:pPr>
    </w:p>
    <w:p w:rsidR="00DE4417" w:rsidRPr="009072DA" w:rsidRDefault="00D71B1A" w:rsidP="00511BF6">
      <w:pPr>
        <w:pStyle w:val="ESch"/>
        <w:rPr>
          <w:lang w:val="bg-BG"/>
        </w:rPr>
      </w:pPr>
      <w:r w:rsidRPr="009072DA">
        <w:rPr>
          <w:lang w:val="bg-BG"/>
        </w:rPr>
        <w:t>3.16</w:t>
      </w:r>
      <w:r w:rsidRPr="009072DA">
        <w:rPr>
          <w:lang w:val="bg-BG"/>
        </w:rPr>
        <w:tab/>
        <w:t>„работно място“: мястото, където членовете на екипажа изпълняват своите задължения, включително траповете, крановете и корабните лодки;</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3.17</w:t>
      </w:r>
      <w:r w:rsidRPr="009072DA">
        <w:rPr>
          <w:lang w:val="bg-BG"/>
        </w:rPr>
        <w:tab/>
        <w:t>„проход“: място, предназначено за нормално придвижване на лица и товари;</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3.18</w:t>
      </w:r>
      <w:r w:rsidRPr="009072DA">
        <w:rPr>
          <w:lang w:val="bg-BG"/>
        </w:rPr>
        <w:tab/>
        <w:t xml:space="preserve">„безопасна зона“: зоната, ограничена отвън от вертикална повърхност, преминаваща на разстояние 1/5 </w:t>
      </w:r>
      <m:oMath>
        <m:r>
          <w:rPr>
            <w:rFonts w:ascii="Cambria Math" w:hAnsi="Cambria Math" w:cs="Arial"/>
            <w:szCs w:val="20"/>
            <w:lang w:val="bg-BG"/>
          </w:rPr>
          <m:t>B</m:t>
        </m:r>
        <m:r>
          <w:rPr>
            <w:rFonts w:ascii="Cambria Math" w:eastAsia="Calibri" w:hAnsi="Cambria Math" w:cs="Arial"/>
            <w:snapToGrid w:val="0"/>
            <w:color w:val="000000"/>
            <w:position w:val="-6"/>
            <w:sz w:val="14"/>
            <w:szCs w:val="20"/>
            <w:lang w:val="bg-BG"/>
          </w:rPr>
          <m:t>WL</m:t>
        </m:r>
      </m:oMath>
      <w:r w:rsidRPr="009072DA">
        <w:rPr>
          <w:lang w:val="bg-BG"/>
        </w:rPr>
        <w:t xml:space="preserve"> успоредно на контура на корпуса в равнината на максималното газене;</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3.19</w:t>
      </w:r>
      <w:r w:rsidRPr="009072DA">
        <w:rPr>
          <w:lang w:val="bg-BG"/>
        </w:rPr>
        <w:tab/>
        <w:t>„сборни пунктове“: части на плавателния съд, които са специално защитени и в които хората се събират в случай на опасност;</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3.20</w:t>
      </w:r>
      <w:r w:rsidRPr="009072DA">
        <w:rPr>
          <w:lang w:val="bg-BG"/>
        </w:rPr>
        <w:tab/>
        <w:t>„пунктове за евакуация“: част от сборните пунктове на плавателния съд, откъдето може да се осъществява евакуация на пътниците;</w:t>
      </w:r>
    </w:p>
    <w:p w:rsidR="009A1D30" w:rsidRPr="009072DA" w:rsidRDefault="009A1D30" w:rsidP="00511BF6">
      <w:pPr>
        <w:pStyle w:val="ESch"/>
        <w:rPr>
          <w:rFonts w:cs="Arial"/>
          <w:b/>
          <w:szCs w:val="20"/>
          <w:lang w:val="bg-BG"/>
        </w:rPr>
      </w:pPr>
    </w:p>
    <w:p w:rsidR="00BF3595" w:rsidRPr="009072DA" w:rsidRDefault="00BF3595" w:rsidP="00BF3595">
      <w:pPr>
        <w:pStyle w:val="ESch"/>
        <w:spacing w:line="220" w:lineRule="atLeast"/>
        <w:rPr>
          <w:lang w:val="bg-BG"/>
        </w:rPr>
      </w:pPr>
      <w:r w:rsidRPr="009072DA">
        <w:rPr>
          <w:lang w:val="bg-BG"/>
        </w:rPr>
        <w:t>3.21</w:t>
      </w:r>
      <w:r w:rsidRPr="009072DA">
        <w:rPr>
          <w:lang w:val="bg-BG"/>
        </w:rPr>
        <w:tab/>
        <w:t>„експлозивна атмосфера“: смес с въздуха, при атмосферни условия, на запалими вещества под формата на газ, изпарения, прах, влакна или летящи частици, която, след като веднъж бъде запалена, позволява самостоятелно разпространение на пламъка;</w:t>
      </w:r>
    </w:p>
    <w:p w:rsidR="00BF3595" w:rsidRPr="009072DA" w:rsidRDefault="00BF3595" w:rsidP="00BF3595">
      <w:pPr>
        <w:pStyle w:val="ESch"/>
        <w:rPr>
          <w:lang w:val="bg-BG"/>
        </w:rPr>
      </w:pPr>
    </w:p>
    <w:p w:rsidR="00BF3595" w:rsidRPr="009072DA" w:rsidRDefault="00BF3595" w:rsidP="00BF3595">
      <w:pPr>
        <w:pStyle w:val="ESch"/>
        <w:rPr>
          <w:lang w:val="bg-BG"/>
        </w:rPr>
      </w:pPr>
      <w:r w:rsidRPr="009072DA">
        <w:rPr>
          <w:lang w:val="bg-BG"/>
        </w:rPr>
        <w:t>3.22</w:t>
      </w:r>
      <w:r w:rsidRPr="009072DA">
        <w:rPr>
          <w:lang w:val="bg-BG"/>
        </w:rPr>
        <w:tab/>
        <w:t>„опасна зона“: зона, в която е налице или може да се очаква да е налице атмосфера, съдържаща експлозивни газове в количества, изискващи специални предпазни мерки относно конструкцията, инсталирането и използването на оборудването;</w:t>
      </w:r>
    </w:p>
    <w:p w:rsidR="00BF3595" w:rsidRPr="009072DA" w:rsidRDefault="00BF3595" w:rsidP="00BF3595">
      <w:pPr>
        <w:pStyle w:val="ESch"/>
        <w:rPr>
          <w:lang w:val="bg-BG"/>
        </w:rPr>
      </w:pPr>
    </w:p>
    <w:p w:rsidR="00BF3595" w:rsidRPr="009072DA" w:rsidRDefault="00BF3595" w:rsidP="00BF3595">
      <w:pPr>
        <w:adjustRightInd w:val="0"/>
        <w:ind w:left="567" w:hanging="567"/>
        <w:rPr>
          <w:rFonts w:cs="Arial"/>
          <w:szCs w:val="20"/>
          <w:lang w:val="bg-BG"/>
        </w:rPr>
      </w:pPr>
      <w:r w:rsidRPr="009072DA">
        <w:rPr>
          <w:lang w:val="bg-BG"/>
        </w:rPr>
        <w:t>3.23</w:t>
      </w:r>
      <w:r w:rsidRPr="009072DA">
        <w:rPr>
          <w:lang w:val="bg-BG"/>
        </w:rPr>
        <w:tab/>
        <w:t>„зони“: класификация на опасните зони въз основа на честотата на възникване и времетраенето до разсейване на експлозивна атмосфера;</w:t>
      </w:r>
    </w:p>
    <w:p w:rsidR="00BF3595" w:rsidRPr="009072DA" w:rsidRDefault="00BF3595" w:rsidP="00E46F58">
      <w:pPr>
        <w:pStyle w:val="ESch"/>
        <w:rPr>
          <w:lang w:val="bg-BG"/>
        </w:rPr>
      </w:pPr>
    </w:p>
    <w:p w:rsidR="00BF3595" w:rsidRPr="009072DA" w:rsidRDefault="00D52D91" w:rsidP="00E46F58">
      <w:pPr>
        <w:pStyle w:val="ESchpar"/>
        <w:rPr>
          <w:lang w:val="bg-BG"/>
        </w:rPr>
      </w:pPr>
      <w:r w:rsidRPr="009072DA">
        <w:rPr>
          <w:lang w:val="bg-BG"/>
        </w:rPr>
        <w:t>„Зона 0“: зони, в които експлозивна атмосфера съществува непрекъснато, или за дълги периоди, или често.</w:t>
      </w:r>
    </w:p>
    <w:p w:rsidR="00BF3595" w:rsidRPr="009072DA" w:rsidRDefault="00BF3595" w:rsidP="00E46F58">
      <w:pPr>
        <w:pStyle w:val="ESch"/>
        <w:rPr>
          <w:lang w:val="bg-BG"/>
        </w:rPr>
      </w:pPr>
    </w:p>
    <w:p w:rsidR="00BF3595" w:rsidRPr="009072DA" w:rsidRDefault="00D52D91" w:rsidP="00E46F58">
      <w:pPr>
        <w:pStyle w:val="ESchpar"/>
        <w:rPr>
          <w:lang w:val="bg-BG"/>
        </w:rPr>
      </w:pPr>
      <w:r w:rsidRPr="009072DA">
        <w:rPr>
          <w:lang w:val="bg-BG"/>
        </w:rPr>
        <w:t>„Зона 1“: зони, в които при нормални условия на работа понякога е вероятно да възникне експлозивна атмосфера.</w:t>
      </w:r>
    </w:p>
    <w:p w:rsidR="00BF3595" w:rsidRPr="009072DA" w:rsidRDefault="00BF3595" w:rsidP="00E46F58">
      <w:pPr>
        <w:pStyle w:val="ESch"/>
        <w:rPr>
          <w:lang w:val="bg-BG"/>
        </w:rPr>
      </w:pPr>
    </w:p>
    <w:p w:rsidR="00BF3595" w:rsidRPr="009072DA" w:rsidRDefault="00D52D91" w:rsidP="00E46F58">
      <w:pPr>
        <w:pStyle w:val="ESchpar"/>
        <w:rPr>
          <w:lang w:val="bg-BG"/>
        </w:rPr>
      </w:pPr>
      <w:r w:rsidRPr="009072DA">
        <w:rPr>
          <w:lang w:val="bg-BG"/>
        </w:rPr>
        <w:t>„Зона 2“: зони, в които при нормални условия на работа не е вероятно да възникне експлозивна атмосфера, но дори и да възникне, ще се задържи само за кратък период. Тези зони включват зоните непосредствено граничещи със зона 1, които не са отделени една от друга по газонепроницаем начин.</w:t>
      </w:r>
    </w:p>
    <w:p w:rsidR="00BF3595" w:rsidRPr="009072DA" w:rsidRDefault="00BF3595" w:rsidP="00E46F58">
      <w:pPr>
        <w:pStyle w:val="ESch"/>
        <w:rPr>
          <w:lang w:val="bg-BG"/>
        </w:rPr>
      </w:pPr>
    </w:p>
    <w:p w:rsidR="008D24FF" w:rsidRPr="009072DA" w:rsidRDefault="008D24FF">
      <w:pPr>
        <w:rPr>
          <w:lang w:val="bg-BG"/>
        </w:rPr>
      </w:pPr>
      <w:r w:rsidRPr="009072DA">
        <w:rPr>
          <w:lang w:val="bg-BG"/>
        </w:rPr>
        <w:br w:type="page"/>
      </w:r>
    </w:p>
    <w:p w:rsidR="008D24FF" w:rsidRPr="009072DA" w:rsidRDefault="008D24FF" w:rsidP="00E46F58">
      <w:pPr>
        <w:pStyle w:val="ESch"/>
        <w:rPr>
          <w:lang w:val="bg-BG"/>
        </w:rPr>
      </w:pPr>
    </w:p>
    <w:p w:rsidR="00BF3595" w:rsidRPr="009072DA" w:rsidRDefault="00BF3595" w:rsidP="00BF3595">
      <w:pPr>
        <w:pStyle w:val="ESch"/>
        <w:rPr>
          <w:strike/>
          <w:lang w:val="bg-BG"/>
        </w:rPr>
      </w:pPr>
      <w:r w:rsidRPr="009072DA">
        <w:rPr>
          <w:lang w:val="bg-BG"/>
        </w:rPr>
        <w:t>3.24</w:t>
      </w:r>
      <w:r w:rsidRPr="009072DA">
        <w:rPr>
          <w:lang w:val="bg-BG"/>
        </w:rPr>
        <w:tab/>
        <w:t>„сертифициран обезопасен вид електрическо оборудване“:</w:t>
      </w:r>
      <w:r w:rsidRPr="009072DA">
        <w:rPr>
          <w:rStyle w:val="FootnoteReference"/>
          <w:lang w:val="bg-BG"/>
        </w:rPr>
        <w:t xml:space="preserve">  </w:t>
      </w:r>
      <w:r w:rsidRPr="009072DA">
        <w:rPr>
          <w:lang w:val="bg-BG"/>
        </w:rPr>
        <w:t>електрическо оборудване, което е било изпитано и одобрено от компетентния орган по отношение на безопасността на експлоатация в експлозивна атмосфера;</w:t>
      </w:r>
    </w:p>
    <w:p w:rsidR="009A1D30" w:rsidRPr="009072DA" w:rsidRDefault="009A1D30" w:rsidP="00E46F58">
      <w:pPr>
        <w:pStyle w:val="ESch"/>
        <w:rPr>
          <w:lang w:val="bg-BG"/>
        </w:rPr>
      </w:pPr>
    </w:p>
    <w:p w:rsidR="00BF3595" w:rsidRPr="009072DA" w:rsidRDefault="00BF3595" w:rsidP="008D24FF">
      <w:pPr>
        <w:pStyle w:val="ESch"/>
        <w:rPr>
          <w:lang w:val="bg-BG"/>
        </w:rPr>
      </w:pPr>
    </w:p>
    <w:p w:rsidR="00DE4417" w:rsidRPr="009072DA" w:rsidRDefault="00DE4417" w:rsidP="00511BF6">
      <w:pPr>
        <w:pStyle w:val="ESch"/>
        <w:rPr>
          <w:lang w:val="bg-BG"/>
        </w:rPr>
      </w:pPr>
      <w:r w:rsidRPr="009072DA">
        <w:rPr>
          <w:b/>
          <w:lang w:val="bg-BG"/>
        </w:rPr>
        <w:t>4.</w:t>
      </w:r>
      <w:r w:rsidRPr="009072DA">
        <w:rPr>
          <w:lang w:val="bg-BG"/>
        </w:rPr>
        <w:tab/>
      </w:r>
      <w:r w:rsidRPr="009072DA">
        <w:rPr>
          <w:b/>
          <w:lang w:val="bg-BG"/>
        </w:rPr>
        <w:t>Морски инженерни термини</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4.1</w:t>
      </w:r>
      <w:r w:rsidRPr="009072DA">
        <w:rPr>
          <w:lang w:val="bg-BG"/>
        </w:rPr>
        <w:tab/>
        <w:t>„равнина на максималното газене“: водна равнина, съответстваща на максималното газене, при което плавателното средство се допуска да плава;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4.2</w:t>
      </w:r>
      <w:r w:rsidRPr="009072DA">
        <w:rPr>
          <w:lang w:val="bg-BG"/>
        </w:rPr>
        <w:tab/>
        <w:t>„разстояние на безопасност“: разстоянието между равнината на максималното газене и успоредната равнина, преминаваща през най-ниската точка, над която плавателното средство не се счита за водонепроницаемо;</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4.3</w:t>
      </w:r>
      <w:r w:rsidRPr="009072DA">
        <w:rPr>
          <w:lang w:val="bg-BG"/>
        </w:rPr>
        <w:tab/>
        <w:t>„остатъчно разстояние на безопасност“: вертикалното оставащо разстояние, в случай че плавателният съд се накрени на една страна, между равнището на водата и най-ниската точка на потопената страна, под което плавателният съд не се счита за водонепроницаем;</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4.4</w:t>
      </w:r>
      <w:r w:rsidRPr="009072DA">
        <w:rPr>
          <w:lang w:val="bg-BG"/>
        </w:rPr>
        <w:tab/>
        <w:t>„надводен борд“ или „</w:t>
      </w:r>
      <m:oMath>
        <m:r>
          <w:rPr>
            <w:rFonts w:ascii="Cambria Math" w:hAnsi="Cambria Math" w:cs="Arial"/>
            <w:szCs w:val="20"/>
            <w:lang w:val="bg-BG"/>
          </w:rPr>
          <m:t>F</m:t>
        </m:r>
      </m:oMath>
      <w:r w:rsidRPr="009072DA">
        <w:rPr>
          <w:lang w:val="bg-BG"/>
        </w:rPr>
        <w:t>“: разстоянието между равнината на максималното газене и успоредната равнина, преминаваща през най-ниската точка на фалшборда или, при липса на фалшборд, през най-ниската точка от горния ръб на страната на кораба;</w:t>
      </w:r>
    </w:p>
    <w:p w:rsidR="009A1D30" w:rsidRPr="009072DA" w:rsidRDefault="009A1D30" w:rsidP="00511BF6">
      <w:pPr>
        <w:pStyle w:val="ESch"/>
        <w:rPr>
          <w:rFonts w:cs="Arial"/>
          <w:szCs w:val="20"/>
          <w:lang w:val="bg-BG"/>
        </w:rPr>
      </w:pPr>
    </w:p>
    <w:p w:rsidR="00DE4417" w:rsidRPr="009072DA" w:rsidRDefault="00DE4417" w:rsidP="00511BF6">
      <w:pPr>
        <w:pStyle w:val="ESch"/>
        <w:rPr>
          <w:rFonts w:cs="Arial"/>
          <w:szCs w:val="20"/>
          <w:lang w:val="bg-BG"/>
        </w:rPr>
      </w:pPr>
      <w:r w:rsidRPr="009072DA">
        <w:rPr>
          <w:lang w:val="bg-BG"/>
        </w:rPr>
        <w:t>4.5</w:t>
      </w:r>
      <w:r w:rsidRPr="009072DA">
        <w:rPr>
          <w:lang w:val="bg-BG"/>
        </w:rPr>
        <w:tab/>
        <w:t>„остатъчен надводен борд“: вертикалното оставащо разстояние, в случай че плавателният съд се накрени на една страна, между равнището на водата и горната повърхност на палубата в най-ниската точка на потопената страна или, при липса на палуба, в най-ниската точка на горния край на стоящата страна на кораба;</w:t>
      </w:r>
    </w:p>
    <w:p w:rsidR="008D2FD5" w:rsidRPr="009072DA" w:rsidRDefault="008D2FD5" w:rsidP="00511BF6">
      <w:pPr>
        <w:pStyle w:val="ESch"/>
        <w:rPr>
          <w:rFonts w:cs="Arial"/>
          <w:szCs w:val="20"/>
          <w:lang w:val="bg-BG"/>
        </w:rPr>
      </w:pPr>
    </w:p>
    <w:p w:rsidR="00DE4417" w:rsidRPr="009072DA" w:rsidRDefault="00DE4417" w:rsidP="00511BF6">
      <w:pPr>
        <w:pStyle w:val="ESch"/>
        <w:rPr>
          <w:lang w:val="bg-BG"/>
        </w:rPr>
      </w:pPr>
      <w:r w:rsidRPr="009072DA">
        <w:rPr>
          <w:lang w:val="bg-BG"/>
        </w:rPr>
        <w:t>4.6</w:t>
      </w:r>
      <w:r w:rsidRPr="009072DA">
        <w:rPr>
          <w:lang w:val="bg-BG"/>
        </w:rPr>
        <w:tab/>
        <w:t>„пределна линия“: въображаема линия върху бордовата обшивка, минаваща на не по-малко от 10 cm под палубата на преградите и не по-малко от 10 cm под най-ниската точка на страничната обшивка, която не е водонепроницаема. При липса на палуба на преградите се използва линия, минаваща на не по-малко от 10 cm под най-ниската линия, до която външната обшивка е водонепроницаема;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4.7</w:t>
      </w:r>
      <w:r w:rsidRPr="009072DA">
        <w:rPr>
          <w:lang w:val="bg-BG"/>
        </w:rPr>
        <w:tab/>
        <w:t>„обемно водоизместване“ или „</w:t>
      </w:r>
      <m:oMath>
        <m:r>
          <w:rPr>
            <w:rFonts w:ascii="Cambria Math" w:hAnsi="Cambria Math" w:cs="Arial"/>
            <w:szCs w:val="20"/>
            <w:lang w:val="bg-BG"/>
          </w:rPr>
          <m:t>∀</m:t>
        </m:r>
      </m:oMath>
      <w:r w:rsidRPr="009072DA">
        <w:rPr>
          <w:lang w:val="bg-BG"/>
        </w:rPr>
        <w:t>“: обемът на изместената от плавателния съд вода в кубически метри;</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4.8</w:t>
      </w:r>
      <w:r w:rsidRPr="009072DA">
        <w:rPr>
          <w:lang w:val="bg-BG"/>
        </w:rPr>
        <w:tab/>
        <w:t>„теглово водоизместване“ или „</w:t>
      </w:r>
      <m:oMath>
        <m:r>
          <w:rPr>
            <w:rFonts w:ascii="Cambria Math" w:hAnsi="Cambria Math" w:cs="Arial"/>
            <w:szCs w:val="20"/>
            <w:lang w:val="bg-BG"/>
          </w:rPr>
          <m:t>∆</m:t>
        </m:r>
      </m:oMath>
      <w:r w:rsidRPr="009072DA">
        <w:rPr>
          <w:lang w:val="bg-BG"/>
        </w:rPr>
        <w:t>“: общото тегло на плавателния съд, включително товара, в тонове;</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4.9</w:t>
      </w:r>
      <w:r w:rsidRPr="009072DA">
        <w:rPr>
          <w:lang w:val="bg-BG"/>
        </w:rPr>
        <w:tab/>
        <w:t>„коефициент на обща пълнота“ или „</w:t>
      </w:r>
      <m:oMath>
        <m:sSub>
          <m:sSubPr>
            <m:ctrlPr>
              <w:rPr>
                <w:rFonts w:ascii="Cambria Math" w:hAnsi="Cambria Math" w:cs="Arial"/>
                <w:i/>
                <w:sz w:val="18"/>
                <w:szCs w:val="18"/>
                <w:lang w:val="bg-BG"/>
              </w:rPr>
            </m:ctrlPr>
          </m:sSubPr>
          <m:e>
            <m:r>
              <w:rPr>
                <w:rFonts w:ascii="Cambria Math" w:hAnsi="Cambria Math" w:cs="Arial"/>
                <w:sz w:val="18"/>
                <w:szCs w:val="18"/>
                <w:lang w:val="bg-BG"/>
              </w:rPr>
              <m:t>C</m:t>
            </m:r>
          </m:e>
          <m:sub>
            <m:r>
              <w:rPr>
                <w:rFonts w:ascii="Cambria Math" w:hAnsi="Cambria Math" w:cs="Arial"/>
                <w:sz w:val="18"/>
                <w:szCs w:val="18"/>
                <w:lang w:val="bg-BG"/>
              </w:rPr>
              <m:t>B</m:t>
            </m:r>
          </m:sub>
        </m:sSub>
      </m:oMath>
      <w:r w:rsidRPr="009072DA">
        <w:rPr>
          <w:lang w:val="bg-BG"/>
        </w:rPr>
        <w:t xml:space="preserve">“: съотношението между обемното водоизместване и произведението от дължината </w:t>
      </w:r>
      <m:oMath>
        <m:sSub>
          <m:sSubPr>
            <m:ctrlPr>
              <w:rPr>
                <w:rFonts w:ascii="Cambria Math" w:hAnsi="Cambria Math" w:cs="Arial"/>
                <w:i/>
                <w:sz w:val="18"/>
                <w:szCs w:val="18"/>
                <w:lang w:val="bg-BG"/>
              </w:rPr>
            </m:ctrlPr>
          </m:sSubPr>
          <m:e>
            <m:r>
              <w:rPr>
                <w:rFonts w:ascii="Cambria Math" w:hAnsi="Cambria Math" w:cs="Arial"/>
                <w:sz w:val="18"/>
                <w:szCs w:val="18"/>
                <w:lang w:val="bg-BG"/>
              </w:rPr>
              <m:t>L</m:t>
            </m:r>
          </m:e>
          <m:sub>
            <m:r>
              <w:rPr>
                <w:rFonts w:ascii="Cambria Math" w:hAnsi="Cambria Math" w:cs="Arial"/>
                <w:sz w:val="18"/>
                <w:szCs w:val="18"/>
                <w:lang w:val="bg-BG"/>
              </w:rPr>
              <m:t>WL</m:t>
            </m:r>
          </m:sub>
        </m:sSub>
      </m:oMath>
      <w:r w:rsidRPr="009072DA">
        <w:rPr>
          <w:lang w:val="bg-BG"/>
        </w:rPr>
        <w:t xml:space="preserve">, ширината </w:t>
      </w:r>
      <m:oMath>
        <m:sSub>
          <m:sSubPr>
            <m:ctrlPr>
              <w:rPr>
                <w:rFonts w:ascii="Cambria Math" w:hAnsi="Cambria Math" w:cs="Arial"/>
                <w:i/>
                <w:sz w:val="18"/>
                <w:szCs w:val="18"/>
                <w:lang w:val="bg-BG"/>
              </w:rPr>
            </m:ctrlPr>
          </m:sSubPr>
          <m:e>
            <m:r>
              <w:rPr>
                <w:rFonts w:ascii="Cambria Math" w:hAnsi="Cambria Math" w:cs="Arial"/>
                <w:sz w:val="18"/>
                <w:szCs w:val="18"/>
                <w:lang w:val="bg-BG"/>
              </w:rPr>
              <m:t>B</m:t>
            </m:r>
          </m:e>
          <m:sub>
            <m:r>
              <w:rPr>
                <w:rFonts w:ascii="Cambria Math" w:hAnsi="Cambria Math" w:cs="Arial"/>
                <w:sz w:val="18"/>
                <w:szCs w:val="18"/>
                <w:lang w:val="bg-BG"/>
              </w:rPr>
              <m:t>WL</m:t>
            </m:r>
          </m:sub>
        </m:sSub>
      </m:oMath>
      <w:r w:rsidRPr="009072DA">
        <w:rPr>
          <w:lang w:val="bg-BG"/>
        </w:rPr>
        <w:t xml:space="preserve"> и газенето </w:t>
      </w:r>
      <m:oMath>
        <m:r>
          <w:rPr>
            <w:rFonts w:ascii="Cambria Math" w:hAnsi="Cambria Math" w:cs="Arial"/>
            <w:szCs w:val="20"/>
            <w:lang w:val="bg-BG"/>
          </w:rPr>
          <m:t>T</m:t>
        </m:r>
      </m:oMath>
      <w:r w:rsidRPr="009072DA">
        <w:rPr>
          <w:lang w:val="bg-BG"/>
        </w:rPr>
        <w:t>;</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4.10</w:t>
      </w:r>
      <w:r w:rsidRPr="009072DA">
        <w:rPr>
          <w:lang w:val="bg-BG"/>
        </w:rPr>
        <w:tab/>
        <w:t>„надводна диаметрална равнина“ или „</w:t>
      </w:r>
      <m:oMath>
        <m:sSub>
          <m:sSubPr>
            <m:ctrlPr>
              <w:rPr>
                <w:rFonts w:ascii="Cambria Math" w:hAnsi="Cambria Math" w:cs="Arial"/>
                <w:i/>
                <w:sz w:val="18"/>
                <w:szCs w:val="18"/>
                <w:lang w:val="bg-BG"/>
              </w:rPr>
            </m:ctrlPr>
          </m:sSubPr>
          <m:e>
            <m:r>
              <w:rPr>
                <w:rFonts w:ascii="Cambria Math" w:hAnsi="Cambria Math" w:cs="Arial"/>
                <w:sz w:val="18"/>
                <w:szCs w:val="18"/>
                <w:lang w:val="bg-BG"/>
              </w:rPr>
              <m:t>A</m:t>
            </m:r>
          </m:e>
          <m:sub>
            <m:r>
              <w:rPr>
                <w:rFonts w:ascii="Cambria Math" w:hAnsi="Cambria Math" w:cs="Arial"/>
                <w:sz w:val="18"/>
                <w:szCs w:val="18"/>
                <w:lang w:val="bg-BG"/>
              </w:rPr>
              <m:t>V</m:t>
            </m:r>
          </m:sub>
        </m:sSub>
      </m:oMath>
      <w:r w:rsidRPr="009072DA">
        <w:rPr>
          <w:lang w:val="bg-BG"/>
        </w:rPr>
        <w:t>“: диаметралната равнина на плавателния съд над водолинията в m</w:t>
      </w:r>
      <w:r w:rsidRPr="009072DA">
        <w:rPr>
          <w:vertAlign w:val="superscript"/>
          <w:lang w:val="bg-BG"/>
        </w:rPr>
        <w:t>2</w:t>
      </w:r>
      <w:r w:rsidRPr="009072DA">
        <w:rPr>
          <w:lang w:val="bg-BG"/>
        </w:rPr>
        <w:t>;</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4.11</w:t>
      </w:r>
      <w:r w:rsidRPr="009072DA">
        <w:rPr>
          <w:lang w:val="bg-BG"/>
        </w:rPr>
        <w:tab/>
        <w:t>„палуба на преградите“: палубата, до която достигат изискваните водонепроницаеми прегради и от която се измерва надводният борд;</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4.12</w:t>
      </w:r>
      <w:r w:rsidRPr="009072DA">
        <w:rPr>
          <w:lang w:val="bg-BG"/>
        </w:rPr>
        <w:tab/>
        <w:t>„преграда“: стена с определена височина, обикновено вертикална, разделяща плавателния съд и свързана с долната част на същия, обшивката или други прегради;</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4.13</w:t>
      </w:r>
      <w:r w:rsidRPr="009072DA">
        <w:rPr>
          <w:lang w:val="bg-BG"/>
        </w:rPr>
        <w:tab/>
        <w:t>„напречна преграда“: преграда, простираща се от единия до другия борд на плавателния съд;</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4.14</w:t>
      </w:r>
      <w:r w:rsidRPr="009072DA">
        <w:rPr>
          <w:lang w:val="bg-BG"/>
        </w:rPr>
        <w:tab/>
        <w:t>„стена“: разделителна повърхност, в повечето случаи вертикална;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4.15</w:t>
      </w:r>
      <w:r w:rsidRPr="009072DA">
        <w:rPr>
          <w:lang w:val="bg-BG"/>
        </w:rPr>
        <w:tab/>
        <w:t>„разделителна стена“: стена, която не е водонепроницаема;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4.16</w:t>
      </w:r>
      <w:r w:rsidRPr="009072DA">
        <w:rPr>
          <w:lang w:val="bg-BG"/>
        </w:rPr>
        <w:tab/>
        <w:t>„дължина“ или „</w:t>
      </w:r>
      <m:oMath>
        <m:r>
          <w:rPr>
            <w:rFonts w:ascii="Cambria Math" w:hAnsi="Cambria Math" w:cs="Arial"/>
            <w:szCs w:val="20"/>
            <w:lang w:val="bg-BG"/>
          </w:rPr>
          <m:t>L</m:t>
        </m:r>
      </m:oMath>
      <w:r w:rsidRPr="009072DA">
        <w:rPr>
          <w:lang w:val="bg-BG"/>
        </w:rPr>
        <w:t>“: максималната дължина на корпуса в метри, като се изключат руля и бушпритa;</w:t>
      </w:r>
    </w:p>
    <w:p w:rsidR="009A1D30" w:rsidRPr="009072DA" w:rsidRDefault="009A1D30" w:rsidP="00511BF6">
      <w:pPr>
        <w:pStyle w:val="ESch"/>
        <w:rPr>
          <w:rFonts w:cs="Arial"/>
          <w:szCs w:val="20"/>
          <w:lang w:val="bg-BG"/>
        </w:rPr>
      </w:pPr>
    </w:p>
    <w:p w:rsidR="008D24FF" w:rsidRPr="009072DA" w:rsidRDefault="008D24FF">
      <w:pPr>
        <w:rPr>
          <w:rFonts w:cs="Arial"/>
          <w:szCs w:val="20"/>
          <w:lang w:val="bg-BG"/>
        </w:rPr>
      </w:pPr>
      <w:r w:rsidRPr="009072DA">
        <w:rPr>
          <w:lang w:val="bg-BG"/>
        </w:rPr>
        <w:br w:type="page"/>
      </w:r>
    </w:p>
    <w:p w:rsidR="008D24FF" w:rsidRPr="009072DA" w:rsidRDefault="008D24FF" w:rsidP="00511BF6">
      <w:pPr>
        <w:pStyle w:val="ESch"/>
        <w:rPr>
          <w:rFonts w:cs="Arial"/>
          <w:szCs w:val="20"/>
          <w:lang w:val="bg-BG"/>
        </w:rPr>
      </w:pPr>
    </w:p>
    <w:p w:rsidR="00DE4417" w:rsidRPr="009072DA" w:rsidRDefault="00DE4417" w:rsidP="00511BF6">
      <w:pPr>
        <w:pStyle w:val="ESch"/>
        <w:rPr>
          <w:lang w:val="bg-BG"/>
        </w:rPr>
      </w:pPr>
      <w:r w:rsidRPr="009072DA">
        <w:rPr>
          <w:lang w:val="bg-BG"/>
        </w:rPr>
        <w:t>4.17</w:t>
      </w:r>
      <w:r w:rsidRPr="009072DA">
        <w:rPr>
          <w:lang w:val="bg-BG"/>
        </w:rPr>
        <w:tab/>
        <w:t>„обща дължина“или „</w:t>
      </w:r>
      <m:oMath>
        <m:sSub>
          <m:sSubPr>
            <m:ctrlPr>
              <w:rPr>
                <w:rFonts w:ascii="Cambria Math" w:hAnsi="Cambria Math" w:cs="Arial"/>
                <w:i/>
                <w:sz w:val="18"/>
                <w:szCs w:val="18"/>
                <w:lang w:val="bg-BG"/>
              </w:rPr>
            </m:ctrlPr>
          </m:sSubPr>
          <m:e>
            <m:r>
              <w:rPr>
                <w:rFonts w:ascii="Cambria Math" w:hAnsi="Cambria Math" w:cs="Arial"/>
                <w:sz w:val="18"/>
                <w:szCs w:val="18"/>
                <w:lang w:val="bg-BG"/>
              </w:rPr>
              <m:t>L</m:t>
            </m:r>
          </m:e>
          <m:sub>
            <m:r>
              <w:rPr>
                <w:rFonts w:ascii="Cambria Math" w:hAnsi="Cambria Math" w:cs="Arial"/>
                <w:sz w:val="18"/>
                <w:szCs w:val="18"/>
                <w:lang w:val="bg-BG"/>
              </w:rPr>
              <m:t>OA</m:t>
            </m:r>
          </m:sub>
        </m:sSub>
      </m:oMath>
      <w:r w:rsidRPr="009072DA">
        <w:rPr>
          <w:lang w:val="bg-BG"/>
        </w:rPr>
        <w:t>“: максималната дължина на плавателното средство в метри, включително цялото закрепено оборудване като части от рулевата система или захранващия агрегат, механични или други подобни приспособления;</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4.18</w:t>
      </w:r>
      <w:r w:rsidRPr="009072DA">
        <w:rPr>
          <w:lang w:val="bg-BG"/>
        </w:rPr>
        <w:tab/>
        <w:t>„дължина на водолинията“ или „</w:t>
      </w:r>
      <m:oMath>
        <m:sSub>
          <m:sSubPr>
            <m:ctrlPr>
              <w:rPr>
                <w:rFonts w:ascii="Cambria Math" w:hAnsi="Cambria Math" w:cs="Arial"/>
                <w:i/>
                <w:sz w:val="18"/>
                <w:szCs w:val="18"/>
                <w:lang w:val="bg-BG"/>
              </w:rPr>
            </m:ctrlPr>
          </m:sSubPr>
          <m:e>
            <m:r>
              <w:rPr>
                <w:rFonts w:ascii="Cambria Math" w:hAnsi="Cambria Math" w:cs="Arial"/>
                <w:sz w:val="18"/>
                <w:szCs w:val="18"/>
                <w:lang w:val="bg-BG"/>
              </w:rPr>
              <m:t>L</m:t>
            </m:r>
          </m:e>
          <m:sub>
            <m:r>
              <w:rPr>
                <w:rFonts w:ascii="Cambria Math" w:hAnsi="Cambria Math" w:cs="Arial"/>
                <w:sz w:val="18"/>
                <w:szCs w:val="18"/>
                <w:lang w:val="bg-BG"/>
              </w:rPr>
              <m:t>WL</m:t>
            </m:r>
          </m:sub>
        </m:sSub>
      </m:oMath>
      <w:r w:rsidRPr="009072DA">
        <w:rPr>
          <w:lang w:val="bg-BG"/>
        </w:rPr>
        <w:t>“: дължината на корпуса в метри, измерена при максималното газене;</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4.19</w:t>
      </w:r>
      <w:r w:rsidRPr="009072DA">
        <w:rPr>
          <w:lang w:val="bg-BG"/>
        </w:rPr>
        <w:tab/>
        <w:t>„ширина“ или „</w:t>
      </w:r>
      <m:oMath>
        <m:r>
          <w:rPr>
            <w:rFonts w:ascii="Cambria Math" w:hAnsi="Cambria Math" w:cs="Arial"/>
            <w:szCs w:val="20"/>
            <w:lang w:val="bg-BG"/>
          </w:rPr>
          <m:t>B</m:t>
        </m:r>
      </m:oMath>
      <w:r w:rsidRPr="009072DA">
        <w:rPr>
          <w:lang w:val="bg-BG"/>
        </w:rPr>
        <w:t>“: максималната ширина на корпуса в метри, измерена по външния край на обшивката на корпуса (като се изключат гребни колела, протектори и др. подобни);</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4.20</w:t>
      </w:r>
      <w:r w:rsidRPr="009072DA">
        <w:rPr>
          <w:lang w:val="bg-BG"/>
        </w:rPr>
        <w:tab/>
        <w:t>„обща ширина“ или „</w:t>
      </w:r>
      <m:oMath>
        <m:sSub>
          <m:sSubPr>
            <m:ctrlPr>
              <w:rPr>
                <w:rFonts w:ascii="Cambria Math" w:hAnsi="Cambria Math" w:cs="Arial"/>
                <w:i/>
                <w:sz w:val="18"/>
                <w:szCs w:val="18"/>
                <w:lang w:val="bg-BG"/>
              </w:rPr>
            </m:ctrlPr>
          </m:sSubPr>
          <m:e>
            <m:r>
              <w:rPr>
                <w:rFonts w:ascii="Cambria Math" w:hAnsi="Cambria Math" w:cs="Arial"/>
                <w:sz w:val="18"/>
                <w:szCs w:val="18"/>
                <w:lang w:val="bg-BG"/>
              </w:rPr>
              <m:t>B</m:t>
            </m:r>
          </m:e>
          <m:sub>
            <m:r>
              <w:rPr>
                <w:rFonts w:ascii="Cambria Math" w:hAnsi="Cambria Math" w:cs="Arial"/>
                <w:sz w:val="18"/>
                <w:szCs w:val="18"/>
                <w:lang w:val="bg-BG"/>
              </w:rPr>
              <m:t>OA</m:t>
            </m:r>
          </m:sub>
        </m:sSub>
      </m:oMath>
      <w:r w:rsidRPr="009072DA">
        <w:rPr>
          <w:lang w:val="bg-BG"/>
        </w:rPr>
        <w:t>“: максималната ширина на плавателното средство в метри, включително гребни колела, протектори, механични устройства или подобни;</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4.21</w:t>
      </w:r>
      <w:r w:rsidRPr="009072DA">
        <w:rPr>
          <w:lang w:val="bg-BG"/>
        </w:rPr>
        <w:tab/>
        <w:t>„ширина на водолинията“ или „</w:t>
      </w:r>
      <m:oMath>
        <m:sSub>
          <m:sSubPr>
            <m:ctrlPr>
              <w:rPr>
                <w:rFonts w:ascii="Cambria Math" w:hAnsi="Cambria Math" w:cs="Arial"/>
                <w:i/>
                <w:sz w:val="18"/>
                <w:szCs w:val="18"/>
                <w:lang w:val="bg-BG"/>
              </w:rPr>
            </m:ctrlPr>
          </m:sSubPr>
          <m:e>
            <m:r>
              <w:rPr>
                <w:rFonts w:ascii="Cambria Math" w:hAnsi="Cambria Math" w:cs="Arial"/>
                <w:sz w:val="18"/>
                <w:szCs w:val="18"/>
                <w:lang w:val="bg-BG"/>
              </w:rPr>
              <m:t>B</m:t>
            </m:r>
          </m:e>
          <m:sub>
            <m:r>
              <w:rPr>
                <w:rFonts w:ascii="Cambria Math" w:hAnsi="Cambria Math" w:cs="Arial"/>
                <w:sz w:val="18"/>
                <w:szCs w:val="18"/>
                <w:lang w:val="bg-BG"/>
              </w:rPr>
              <m:t>WL</m:t>
            </m:r>
          </m:sub>
        </m:sSub>
      </m:oMath>
      <w:r w:rsidRPr="009072DA">
        <w:rPr>
          <w:lang w:val="bg-BG"/>
        </w:rPr>
        <w:t>“: ширина на корпуса в метри, измерена от външния край на обшивката на корпуса в линията на максималното газене;</w:t>
      </w:r>
    </w:p>
    <w:p w:rsidR="009A1D30" w:rsidRPr="009072DA" w:rsidRDefault="009A1D30" w:rsidP="00511BF6">
      <w:pPr>
        <w:pStyle w:val="ESch"/>
        <w:rPr>
          <w:rFonts w:cs="Arial"/>
          <w:szCs w:val="20"/>
          <w:lang w:val="bg-BG"/>
        </w:rPr>
      </w:pPr>
    </w:p>
    <w:p w:rsidR="00DE4417" w:rsidRPr="009072DA" w:rsidRDefault="00DE4417" w:rsidP="00511BF6">
      <w:pPr>
        <w:pStyle w:val="ESch"/>
        <w:rPr>
          <w:rFonts w:cs="Arial"/>
          <w:szCs w:val="20"/>
          <w:lang w:val="bg-BG"/>
        </w:rPr>
      </w:pPr>
      <w:r w:rsidRPr="009072DA">
        <w:rPr>
          <w:lang w:val="bg-BG"/>
        </w:rPr>
        <w:t>4.22</w:t>
      </w:r>
      <w:r w:rsidRPr="009072DA">
        <w:rPr>
          <w:lang w:val="bg-BG"/>
        </w:rPr>
        <w:tab/>
        <w:t>„височина“ или „</w:t>
      </w:r>
      <m:oMath>
        <m:r>
          <w:rPr>
            <w:rFonts w:ascii="Cambria Math" w:hAnsi="Cambria Math" w:cs="Arial"/>
            <w:szCs w:val="20"/>
            <w:lang w:val="bg-BG"/>
          </w:rPr>
          <m:t>H</m:t>
        </m:r>
      </m:oMath>
      <w:r w:rsidRPr="009072DA">
        <w:rPr>
          <w:lang w:val="bg-BG"/>
        </w:rPr>
        <w:t>“: най-късото вертикално разстояние в метри между най-ниската точка на корпуса или кила и най-ниската точка на палубата отстрани на плавателния съд;</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4.23</w:t>
      </w:r>
      <w:r w:rsidRPr="009072DA">
        <w:rPr>
          <w:lang w:val="bg-BG"/>
        </w:rPr>
        <w:tab/>
        <w:t>„газене“ или „</w:t>
      </w:r>
      <m:oMath>
        <m:r>
          <w:rPr>
            <w:rFonts w:ascii="Cambria Math" w:hAnsi="Cambria Math" w:cs="Arial"/>
            <w:szCs w:val="20"/>
            <w:lang w:val="bg-BG"/>
          </w:rPr>
          <m:t>T</m:t>
        </m:r>
      </m:oMath>
      <w:r w:rsidRPr="009072DA">
        <w:rPr>
          <w:lang w:val="bg-BG"/>
        </w:rPr>
        <w:t>“: вертикалното разстояние в метри между най-ниската точка на корпуса, като не се взимат предвид кила или други прикрепени приспособления и линията на максимално газене;</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4.24</w:t>
      </w:r>
      <w:r w:rsidRPr="009072DA">
        <w:rPr>
          <w:lang w:val="bg-BG"/>
        </w:rPr>
        <w:tab/>
        <w:t>„общо газене или „</w:t>
      </w:r>
      <m:oMath>
        <m:sSub>
          <m:sSubPr>
            <m:ctrlPr>
              <w:rPr>
                <w:rFonts w:ascii="Cambria Math" w:hAnsi="Cambria Math" w:cs="Arial"/>
                <w:i/>
                <w:sz w:val="18"/>
                <w:szCs w:val="18"/>
                <w:lang w:val="bg-BG"/>
              </w:rPr>
            </m:ctrlPr>
          </m:sSubPr>
          <m:e>
            <m:r>
              <w:rPr>
                <w:rFonts w:ascii="Cambria Math" w:hAnsi="Cambria Math" w:cs="Arial"/>
                <w:sz w:val="18"/>
                <w:szCs w:val="18"/>
                <w:lang w:val="bg-BG"/>
              </w:rPr>
              <m:t>T</m:t>
            </m:r>
          </m:e>
          <m:sub>
            <m:r>
              <w:rPr>
                <w:rFonts w:ascii="Cambria Math" w:hAnsi="Cambria Math" w:cs="Arial"/>
                <w:sz w:val="18"/>
                <w:szCs w:val="18"/>
                <w:lang w:val="bg-BG"/>
              </w:rPr>
              <m:t>OA</m:t>
            </m:r>
          </m:sub>
        </m:sSub>
      </m:oMath>
      <w:r w:rsidRPr="009072DA">
        <w:rPr>
          <w:lang w:val="bg-BG"/>
        </w:rPr>
        <w:t>“: вертикалното разстояние в метри между най-ниската точка на корпуса, включително килът или други прикрепени приспособления и линията на максимално газене;</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4.25</w:t>
      </w:r>
      <w:r w:rsidRPr="009072DA">
        <w:rPr>
          <w:lang w:val="bg-BG"/>
        </w:rPr>
        <w:tab/>
        <w:t>„носови перпендикуляр“: вертикалната линия в предната точка на пресичане на корпуса с линията на максимално газене;</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4.26</w:t>
      </w:r>
      <w:r w:rsidRPr="009072DA">
        <w:rPr>
          <w:lang w:val="bg-BG"/>
        </w:rPr>
        <w:tab/>
        <w:t>„габаритна ширина на палубния проход“: разстоянието между вертикалната линия, преминаваща през най-изпъкналата част от люковия комингс върху бордовата част на палубата и вертикалната линия, преминаваща през вътрешния ръб на ограждението (фалшборд, парапет на ниво на ходилата) от външната страна на бордовата част на палубата;</w:t>
      </w:r>
    </w:p>
    <w:p w:rsidR="009A1D30" w:rsidRPr="009072DA" w:rsidRDefault="009A1D30" w:rsidP="00511BF6">
      <w:pPr>
        <w:pStyle w:val="ESch"/>
        <w:rPr>
          <w:rFonts w:cs="Arial"/>
          <w:szCs w:val="20"/>
          <w:lang w:val="bg-BG"/>
        </w:rPr>
      </w:pPr>
    </w:p>
    <w:p w:rsidR="00850AFF" w:rsidRPr="009072DA" w:rsidRDefault="00850AFF" w:rsidP="00511BF6">
      <w:pPr>
        <w:pStyle w:val="ESch"/>
        <w:rPr>
          <w:rFonts w:cs="Arial"/>
          <w:szCs w:val="20"/>
          <w:lang w:val="bg-BG"/>
        </w:rPr>
      </w:pPr>
    </w:p>
    <w:p w:rsidR="00DE4417" w:rsidRPr="009072DA" w:rsidRDefault="00DE4417" w:rsidP="00511BF6">
      <w:pPr>
        <w:pStyle w:val="ESch"/>
        <w:rPr>
          <w:lang w:val="bg-BG"/>
        </w:rPr>
      </w:pPr>
      <w:r w:rsidRPr="009072DA">
        <w:rPr>
          <w:b/>
          <w:lang w:val="bg-BG"/>
        </w:rPr>
        <w:t>5.</w:t>
      </w:r>
      <w:r w:rsidRPr="009072DA">
        <w:rPr>
          <w:lang w:val="bg-BG"/>
        </w:rPr>
        <w:tab/>
      </w:r>
      <w:r w:rsidRPr="009072DA">
        <w:rPr>
          <w:b/>
          <w:lang w:val="bg-BG"/>
        </w:rPr>
        <w:t>Рулева система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5.1</w:t>
      </w:r>
      <w:r w:rsidRPr="009072DA">
        <w:rPr>
          <w:lang w:val="bg-BG"/>
        </w:rPr>
        <w:tab/>
        <w:t>„рулева система“: цялото оборудване, необходимо за управление на плавателния съд, за осигуряване на маневреността, посочена в глава 5;</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5.2</w:t>
      </w:r>
      <w:r w:rsidRPr="009072DA">
        <w:rPr>
          <w:lang w:val="bg-BG"/>
        </w:rPr>
        <w:tab/>
        <w:t>„рул“: рул или рулове с балери, включително секторните румпели и компонентите, свързващи се с рулевия апарат;</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5.3</w:t>
      </w:r>
      <w:r w:rsidRPr="009072DA">
        <w:rPr>
          <w:lang w:val="bg-BG"/>
        </w:rPr>
        <w:tab/>
        <w:t>„рулеви апарат“: част от рулевата система, която осигурява движението на руля;</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5.4</w:t>
      </w:r>
      <w:r w:rsidRPr="009072DA">
        <w:rPr>
          <w:lang w:val="bg-BG"/>
        </w:rPr>
        <w:tab/>
        <w:t>„задвижващо звено“: задвижване на рулевия апарат, разположено между източника на енергия и рулевия апарат;</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5.5</w:t>
      </w:r>
      <w:r w:rsidRPr="009072DA">
        <w:rPr>
          <w:lang w:val="bg-BG"/>
        </w:rPr>
        <w:tab/>
        <w:t>(оставено непопълнено);</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5.6</w:t>
      </w:r>
      <w:r w:rsidRPr="009072DA">
        <w:rPr>
          <w:lang w:val="bg-BG"/>
        </w:rPr>
        <w:tab/>
        <w:t>„уредба за управление на руля“: съставните части и електрическите вериги за работа на силово задвижвана уредба за управление на руля;</w:t>
      </w:r>
    </w:p>
    <w:p w:rsidR="009A1D30" w:rsidRPr="009072DA" w:rsidRDefault="009A1D30" w:rsidP="00511BF6">
      <w:pPr>
        <w:pStyle w:val="ESch"/>
        <w:rPr>
          <w:rFonts w:cs="Arial"/>
          <w:szCs w:val="20"/>
          <w:lang w:val="bg-BG"/>
        </w:rPr>
      </w:pPr>
    </w:p>
    <w:p w:rsidR="008D24FF" w:rsidRPr="009072DA" w:rsidRDefault="008D24FF">
      <w:pPr>
        <w:rPr>
          <w:rFonts w:cs="Arial"/>
          <w:szCs w:val="20"/>
          <w:lang w:val="bg-BG"/>
        </w:rPr>
      </w:pPr>
      <w:r w:rsidRPr="009072DA">
        <w:rPr>
          <w:lang w:val="bg-BG"/>
        </w:rPr>
        <w:br w:type="page"/>
      </w:r>
    </w:p>
    <w:p w:rsidR="008D24FF" w:rsidRPr="009072DA" w:rsidRDefault="008D24FF" w:rsidP="00511BF6">
      <w:pPr>
        <w:pStyle w:val="ESch"/>
        <w:rPr>
          <w:rFonts w:cs="Arial"/>
          <w:szCs w:val="20"/>
          <w:lang w:val="bg-BG"/>
        </w:rPr>
      </w:pPr>
    </w:p>
    <w:p w:rsidR="00DE4417" w:rsidRPr="009072DA" w:rsidRDefault="00DE4417" w:rsidP="00511BF6">
      <w:pPr>
        <w:pStyle w:val="ESch"/>
        <w:rPr>
          <w:lang w:val="bg-BG"/>
        </w:rPr>
      </w:pPr>
      <w:r w:rsidRPr="009072DA">
        <w:rPr>
          <w:lang w:val="bg-BG"/>
        </w:rPr>
        <w:t>5.7</w:t>
      </w:r>
      <w:r w:rsidRPr="009072DA">
        <w:rPr>
          <w:lang w:val="bg-BG"/>
        </w:rPr>
        <w:tab/>
        <w:t>„задвижващо звено на рулевия апарат“: уредът за управление на рулевия апарат, неговото задвижващо звено и източник на енергия;</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5.8</w:t>
      </w:r>
      <w:r w:rsidRPr="009072DA">
        <w:rPr>
          <w:lang w:val="bg-BG"/>
        </w:rPr>
        <w:tab/>
        <w:t>„ръчно задвижване“: система, посредством която ръчното управление на  щурвала задвижва руля чрез механична трансмисия, без какъвто и да е допълнителен източник на енергия;</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5.9</w:t>
      </w:r>
      <w:r w:rsidRPr="009072DA">
        <w:rPr>
          <w:lang w:val="bg-BG"/>
        </w:rPr>
        <w:tab/>
        <w:t>„ръчно управляемо хидравлично задвижване“: ръчно управление, което задейства хидравлична предавка;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5.10</w:t>
      </w:r>
      <w:r w:rsidRPr="009072DA">
        <w:rPr>
          <w:lang w:val="bg-BG"/>
        </w:rPr>
        <w:tab/>
        <w:t>„регулатор на ъгловата скорост на поворот“: оборудване, което автоматично достига и поддържа дадена ъглова скорост на извършване на поворот на плавателния съд в съответствие с предварително избрани стойности;</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5.11</w:t>
      </w:r>
      <w:r w:rsidRPr="009072DA">
        <w:rPr>
          <w:lang w:val="bg-BG"/>
        </w:rPr>
        <w:tab/>
        <w:t>„рулева рубка, проектирана за управление с радиолокационни средства от едно лице“: рулева рубка, оборудвана по такъв начин, че при плаване с радиолокатор плавателният съд да може да бъде управляван от едно лице;</w:t>
      </w:r>
    </w:p>
    <w:p w:rsidR="009A1D30" w:rsidRPr="009072DA" w:rsidRDefault="009A1D30" w:rsidP="008D24FF">
      <w:pPr>
        <w:pStyle w:val="ESch"/>
        <w:rPr>
          <w:lang w:val="bg-BG"/>
        </w:rPr>
      </w:pPr>
    </w:p>
    <w:p w:rsidR="008D24FF" w:rsidRPr="009072DA" w:rsidRDefault="008D24FF" w:rsidP="008D24FF">
      <w:pPr>
        <w:pStyle w:val="ESch"/>
        <w:rPr>
          <w:lang w:val="bg-BG"/>
        </w:rPr>
      </w:pPr>
    </w:p>
    <w:p w:rsidR="00DE4417" w:rsidRPr="009072DA" w:rsidRDefault="00DE4417" w:rsidP="00511BF6">
      <w:pPr>
        <w:pStyle w:val="ESch"/>
        <w:rPr>
          <w:b/>
          <w:lang w:val="bg-BG"/>
        </w:rPr>
      </w:pPr>
      <w:r w:rsidRPr="009072DA">
        <w:rPr>
          <w:b/>
          <w:lang w:val="bg-BG"/>
        </w:rPr>
        <w:t>6.</w:t>
      </w:r>
      <w:r w:rsidRPr="009072DA">
        <w:rPr>
          <w:lang w:val="bg-BG"/>
        </w:rPr>
        <w:tab/>
      </w:r>
      <w:r w:rsidRPr="009072DA">
        <w:rPr>
          <w:b/>
          <w:lang w:val="bg-BG"/>
        </w:rPr>
        <w:t>Свойства на конструктивните елементи и материали</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6.1</w:t>
      </w:r>
      <w:r w:rsidRPr="009072DA">
        <w:rPr>
          <w:lang w:val="bg-BG"/>
        </w:rPr>
        <w:tab/>
        <w:t>„водонепроницаем“: конструктивен елемент или устройство, монтирани така, че да не допускат проникване на вода;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6.2</w:t>
      </w:r>
      <w:r w:rsidRPr="009072DA">
        <w:rPr>
          <w:lang w:val="bg-BG"/>
        </w:rPr>
        <w:tab/>
        <w:t>„защитен от пръски и атмосферни въздействия“: конструктивен елемент или устройство, монтирани така, че при нормални условия да пропускат само незначително количество вода;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6.3</w:t>
      </w:r>
      <w:r w:rsidRPr="009072DA">
        <w:rPr>
          <w:lang w:val="bg-BG"/>
        </w:rPr>
        <w:tab/>
        <w:t>„газонепроницаем“: конструктивен елемент или устройство, монтирани така, че да предотвратяват проникването на газ или пара;</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t>6.4</w:t>
      </w:r>
      <w:r w:rsidRPr="009072DA">
        <w:rPr>
          <w:lang w:val="bg-BG"/>
        </w:rPr>
        <w:tab/>
        <w:t>„негорим“ вещество, което нито гори, нито отделя запалими пари в такива количества, че те да са способни да се възпламенят спонтанно при достигане на температура около 750 °С;</w:t>
      </w:r>
    </w:p>
    <w:p w:rsidR="009A1D30" w:rsidRPr="009072DA" w:rsidRDefault="009A1D30" w:rsidP="00511BF6">
      <w:pPr>
        <w:pStyle w:val="ESch"/>
        <w:rPr>
          <w:rFonts w:cs="Arial"/>
          <w:szCs w:val="20"/>
          <w:lang w:val="bg-BG"/>
        </w:rPr>
      </w:pPr>
    </w:p>
    <w:p w:rsidR="00DE4417" w:rsidRPr="009072DA" w:rsidRDefault="00DE4417" w:rsidP="00511BF6">
      <w:pPr>
        <w:pStyle w:val="ESch"/>
        <w:rPr>
          <w:lang w:val="bg-BG"/>
        </w:rPr>
      </w:pPr>
      <w:r w:rsidRPr="009072DA">
        <w:rPr>
          <w:lang w:val="bg-BG"/>
        </w:rPr>
        <w:lastRenderedPageBreak/>
        <w:t>6.5</w:t>
      </w:r>
      <w:r w:rsidRPr="009072DA">
        <w:rPr>
          <w:lang w:val="bg-BG"/>
        </w:rPr>
        <w:tab/>
        <w:t>„забавящ горенето“: материал, който не се запалва лесно или чиято повърхност най-малкото ограничава разпространяването на пламъци съгласно процедурата на изпитване, посочена в член 19.11, точка 1, буква в);</w:t>
      </w:r>
    </w:p>
    <w:p w:rsidR="009A1D30" w:rsidRPr="009072DA" w:rsidRDefault="009A1D30" w:rsidP="00511BF6">
      <w:pPr>
        <w:pStyle w:val="ESch"/>
        <w:rPr>
          <w:rFonts w:cs="Arial"/>
          <w:szCs w:val="20"/>
          <w:lang w:val="bg-BG"/>
        </w:rPr>
      </w:pPr>
    </w:p>
    <w:p w:rsidR="00BF3595" w:rsidRPr="009072DA" w:rsidRDefault="00BF3595" w:rsidP="00BF3595">
      <w:pPr>
        <w:pStyle w:val="ESch"/>
        <w:rPr>
          <w:lang w:val="bg-BG"/>
        </w:rPr>
      </w:pPr>
      <w:r w:rsidRPr="009072DA">
        <w:rPr>
          <w:lang w:val="bg-BG"/>
        </w:rPr>
        <w:t>6.6</w:t>
      </w:r>
      <w:r w:rsidRPr="009072DA">
        <w:rPr>
          <w:lang w:val="bg-BG"/>
        </w:rPr>
        <w:tab/>
        <w:t>„самогасящ“ характеристика на горящо вещество, която обуславя неговото изгасване в рамките на кратък период от време, след като източникът на запалване бъде отстранен, т.е. то престава да гори;</w:t>
      </w:r>
    </w:p>
    <w:p w:rsidR="00BF3595" w:rsidRPr="009072DA" w:rsidRDefault="00BF3595" w:rsidP="00BF3595">
      <w:pPr>
        <w:pStyle w:val="ESch"/>
        <w:ind w:left="0" w:firstLine="0"/>
        <w:rPr>
          <w:rFonts w:cs="Arial"/>
          <w:szCs w:val="20"/>
          <w:lang w:val="bg-BG"/>
        </w:rPr>
      </w:pPr>
    </w:p>
    <w:p w:rsidR="00DE4417" w:rsidRPr="009072DA" w:rsidRDefault="00BF3595" w:rsidP="00511BF6">
      <w:pPr>
        <w:pStyle w:val="ESch"/>
        <w:rPr>
          <w:lang w:val="bg-BG"/>
        </w:rPr>
      </w:pPr>
      <w:r w:rsidRPr="009072DA">
        <w:rPr>
          <w:lang w:val="bg-BG"/>
        </w:rPr>
        <w:t>6.7</w:t>
      </w:r>
      <w:r w:rsidRPr="009072DA">
        <w:rPr>
          <w:lang w:val="bg-BG"/>
        </w:rPr>
        <w:tab/>
        <w:t>„огнеустойчивост“: свойството на конструктивните елементи или устройства, както е удостоверено от процедурата на изпитване, посочена в член 19.11, точка 1, буква г);</w:t>
      </w:r>
    </w:p>
    <w:p w:rsidR="009A1D30" w:rsidRPr="009072DA" w:rsidRDefault="009A1D30" w:rsidP="00511BF6">
      <w:pPr>
        <w:pStyle w:val="ESch"/>
        <w:rPr>
          <w:rFonts w:cs="Arial"/>
          <w:szCs w:val="20"/>
          <w:lang w:val="bg-BG"/>
        </w:rPr>
      </w:pPr>
    </w:p>
    <w:p w:rsidR="00DE4417" w:rsidRPr="009072DA" w:rsidRDefault="00BF3595" w:rsidP="00511BF6">
      <w:pPr>
        <w:pStyle w:val="ESch"/>
        <w:rPr>
          <w:rFonts w:cs="Arial"/>
          <w:szCs w:val="20"/>
          <w:lang w:val="bg-BG"/>
        </w:rPr>
      </w:pPr>
      <w:r w:rsidRPr="009072DA">
        <w:rPr>
          <w:lang w:val="bg-BG"/>
        </w:rPr>
        <w:t>6.8</w:t>
      </w:r>
      <w:r w:rsidRPr="009072DA">
        <w:rPr>
          <w:lang w:val="bg-BG"/>
        </w:rPr>
        <w:tab/>
        <w:t>„Кодекс на процедурите за противопожарни изпитвания“: Международният кодекс за прилагане на процедури за пожарни изпитания (Кодекс FTP), приет с Резолюция MSC.307 (88)</w:t>
      </w:r>
      <w:r w:rsidRPr="009072DA">
        <w:rPr>
          <w:vertAlign w:val="superscript"/>
          <w:lang w:val="bg-BG"/>
        </w:rPr>
        <w:footnoteReference w:id="1"/>
      </w:r>
      <w:r w:rsidRPr="009072DA">
        <w:rPr>
          <w:lang w:val="bg-BG"/>
        </w:rPr>
        <w:t xml:space="preserve"> от Комитета по морска безопасност на Международната морска организация (ИМО);</w:t>
      </w:r>
    </w:p>
    <w:p w:rsidR="009A1D30" w:rsidRPr="009072DA" w:rsidRDefault="009A1D30" w:rsidP="00511BF6">
      <w:pPr>
        <w:pStyle w:val="ESch"/>
        <w:rPr>
          <w:rFonts w:cs="Arial"/>
          <w:szCs w:val="20"/>
          <w:lang w:val="bg-BG"/>
        </w:rPr>
      </w:pPr>
    </w:p>
    <w:p w:rsidR="009A1D30" w:rsidRPr="009072DA" w:rsidRDefault="009A1D30" w:rsidP="00511BF6">
      <w:pPr>
        <w:pStyle w:val="ESch"/>
        <w:rPr>
          <w:rFonts w:cs="Arial"/>
          <w:szCs w:val="20"/>
          <w:lang w:val="bg-BG"/>
        </w:rPr>
      </w:pPr>
    </w:p>
    <w:p w:rsidR="009A1D30" w:rsidRPr="009072DA" w:rsidRDefault="009A1D30" w:rsidP="00511BF6">
      <w:pPr>
        <w:pStyle w:val="ESch"/>
        <w:rPr>
          <w:lang w:val="bg-BG"/>
        </w:rPr>
      </w:pPr>
      <w:r w:rsidRPr="009072DA">
        <w:rPr>
          <w:b/>
          <w:lang w:val="bg-BG"/>
        </w:rPr>
        <w:t>7.</w:t>
      </w:r>
      <w:r w:rsidRPr="009072DA">
        <w:rPr>
          <w:lang w:val="bg-BG"/>
        </w:rPr>
        <w:tab/>
      </w:r>
      <w:r w:rsidRPr="009072DA">
        <w:rPr>
          <w:b/>
          <w:lang w:val="bg-BG"/>
        </w:rPr>
        <w:t>Сигнални светлини, навигационното и информационното оборудване</w:t>
      </w:r>
    </w:p>
    <w:p w:rsidR="009A1D30" w:rsidRPr="009072DA" w:rsidRDefault="009A1D30" w:rsidP="00511BF6">
      <w:pPr>
        <w:pStyle w:val="ESch"/>
        <w:rPr>
          <w:rFonts w:cs="Arial"/>
          <w:szCs w:val="20"/>
          <w:lang w:val="bg-BG"/>
        </w:rPr>
      </w:pPr>
    </w:p>
    <w:p w:rsidR="009A1D30" w:rsidRPr="009072DA" w:rsidRDefault="009A1D30" w:rsidP="003B0440">
      <w:pPr>
        <w:pStyle w:val="ESch"/>
        <w:rPr>
          <w:lang w:val="bg-BG"/>
        </w:rPr>
      </w:pPr>
      <w:r w:rsidRPr="009072DA">
        <w:rPr>
          <w:lang w:val="bg-BG"/>
        </w:rPr>
        <w:t>7.1</w:t>
      </w:r>
      <w:r w:rsidRPr="009072DA">
        <w:rPr>
          <w:lang w:val="bg-BG"/>
        </w:rPr>
        <w:tab/>
        <w:t>„сигнални светлини“: светлина от навигационни светлини за обозначаване на плавателни съдове;</w:t>
      </w:r>
    </w:p>
    <w:p w:rsidR="009A1D30" w:rsidRPr="009072DA" w:rsidRDefault="009A1D30" w:rsidP="00511BF6">
      <w:pPr>
        <w:pStyle w:val="ESch"/>
        <w:rPr>
          <w:rFonts w:cs="Arial"/>
          <w:szCs w:val="20"/>
          <w:lang w:val="bg-BG"/>
        </w:rPr>
      </w:pPr>
    </w:p>
    <w:p w:rsidR="009A1D30" w:rsidRPr="009072DA" w:rsidRDefault="009A1D30" w:rsidP="00511BF6">
      <w:pPr>
        <w:pStyle w:val="ESch"/>
        <w:rPr>
          <w:lang w:val="bg-BG"/>
        </w:rPr>
      </w:pPr>
      <w:r w:rsidRPr="009072DA">
        <w:rPr>
          <w:lang w:val="bg-BG"/>
        </w:rPr>
        <w:t>7.2</w:t>
      </w:r>
      <w:r w:rsidRPr="009072DA">
        <w:rPr>
          <w:lang w:val="bg-BG"/>
        </w:rPr>
        <w:tab/>
        <w:t>„светлинни сигнали“: светлина, използвана в допълнение на оптични или звукови сигнали;</w:t>
      </w:r>
    </w:p>
    <w:p w:rsidR="009A1D30" w:rsidRPr="009072DA" w:rsidRDefault="009A1D30" w:rsidP="00511BF6">
      <w:pPr>
        <w:pStyle w:val="ESch"/>
        <w:rPr>
          <w:rFonts w:cs="Arial"/>
          <w:szCs w:val="20"/>
          <w:lang w:val="bg-BG"/>
        </w:rPr>
      </w:pPr>
    </w:p>
    <w:p w:rsidR="008D24FF" w:rsidRPr="009072DA" w:rsidRDefault="008D24FF">
      <w:pPr>
        <w:rPr>
          <w:rFonts w:cs="Arial"/>
          <w:szCs w:val="20"/>
          <w:lang w:val="bg-BG"/>
        </w:rPr>
      </w:pPr>
      <w:r w:rsidRPr="009072DA">
        <w:rPr>
          <w:lang w:val="bg-BG"/>
        </w:rPr>
        <w:br w:type="page"/>
      </w:r>
    </w:p>
    <w:p w:rsidR="008D24FF" w:rsidRPr="009072DA" w:rsidRDefault="008D24FF" w:rsidP="00511BF6">
      <w:pPr>
        <w:pStyle w:val="ESch"/>
        <w:rPr>
          <w:rFonts w:cs="Arial"/>
          <w:szCs w:val="20"/>
          <w:lang w:val="bg-BG"/>
        </w:rPr>
      </w:pPr>
    </w:p>
    <w:p w:rsidR="009A1D30" w:rsidRPr="009072DA" w:rsidRDefault="009A1D30" w:rsidP="003B0440">
      <w:pPr>
        <w:pStyle w:val="ESch"/>
        <w:rPr>
          <w:lang w:val="bg-BG"/>
        </w:rPr>
      </w:pPr>
      <w:r w:rsidRPr="009072DA">
        <w:rPr>
          <w:lang w:val="bg-BG"/>
        </w:rPr>
        <w:t>7.3</w:t>
      </w:r>
      <w:r w:rsidRPr="009072DA">
        <w:rPr>
          <w:lang w:val="bg-BG"/>
        </w:rPr>
        <w:tab/>
        <w:t>„навигационно радиолокационно оборудване“: електронно навигационно помощно средство за откриване и показване на заобикалящите обекти и трафика;</w:t>
      </w:r>
    </w:p>
    <w:p w:rsidR="009A1D30" w:rsidRPr="009072DA" w:rsidRDefault="009A1D30" w:rsidP="00511BF6">
      <w:pPr>
        <w:pStyle w:val="ESch"/>
        <w:rPr>
          <w:rFonts w:cs="Arial"/>
          <w:szCs w:val="20"/>
          <w:lang w:val="bg-BG"/>
        </w:rPr>
      </w:pPr>
    </w:p>
    <w:p w:rsidR="009A1D30" w:rsidRPr="009072DA" w:rsidRDefault="009A1D30" w:rsidP="00511BF6">
      <w:pPr>
        <w:pStyle w:val="ESch"/>
        <w:rPr>
          <w:lang w:val="bg-BG"/>
        </w:rPr>
      </w:pPr>
      <w:r w:rsidRPr="009072DA">
        <w:rPr>
          <w:lang w:val="bg-BG"/>
        </w:rPr>
        <w:t>7.4</w:t>
      </w:r>
      <w:r w:rsidRPr="009072DA">
        <w:rPr>
          <w:lang w:val="bg-BG"/>
        </w:rPr>
        <w:tab/>
        <w:t xml:space="preserve">„ECDIS за вътрешните водни пътища“: система, </w:t>
      </w:r>
      <w:r w:rsidRPr="009072DA">
        <w:rPr>
          <w:color w:val="000000"/>
          <w:lang w:val="bg-BG"/>
        </w:rPr>
        <w:t>използвана по смисъла на текущия стандарт за ECDIS за вътрешните водни пътища</w:t>
      </w:r>
      <w:r w:rsidRPr="009072DA">
        <w:rPr>
          <w:lang w:val="bg-BG"/>
        </w:rPr>
        <w:t xml:space="preserve"> за изобразяване на електронни навигационни карти за вътрешните води и съпътстващата информация, която показва избраната информация от собствени електронни навигационни карти за вътрешните води и може по избор да предоставя информация от другите датчици на плавателното средство;</w:t>
      </w:r>
    </w:p>
    <w:p w:rsidR="009A1D30" w:rsidRPr="009072DA" w:rsidRDefault="009A1D30" w:rsidP="00511BF6">
      <w:pPr>
        <w:pStyle w:val="ESch"/>
        <w:rPr>
          <w:rFonts w:cs="Arial"/>
          <w:szCs w:val="20"/>
          <w:lang w:val="bg-BG"/>
        </w:rPr>
      </w:pPr>
    </w:p>
    <w:p w:rsidR="009A1D30" w:rsidRPr="009072DA" w:rsidRDefault="009A1D30" w:rsidP="00511BF6">
      <w:pPr>
        <w:pStyle w:val="ESch"/>
        <w:rPr>
          <w:lang w:val="bg-BG"/>
        </w:rPr>
      </w:pPr>
      <w:r w:rsidRPr="009072DA">
        <w:rPr>
          <w:lang w:val="bg-BG"/>
        </w:rPr>
        <w:t>7.5</w:t>
      </w:r>
      <w:r w:rsidRPr="009072DA">
        <w:rPr>
          <w:lang w:val="bg-BG"/>
        </w:rPr>
        <w:tab/>
        <w:t>„оборудване за ECDIS за вътрешните водни пътища“: инсталация за изобразяване на електронни навигационни карти за вътрешните води, която може да работи в два различни режима: информационен режим и навигационен режим;</w:t>
      </w:r>
    </w:p>
    <w:p w:rsidR="009A1D30" w:rsidRPr="009072DA" w:rsidRDefault="009A1D30" w:rsidP="00511BF6">
      <w:pPr>
        <w:pStyle w:val="ESch"/>
        <w:rPr>
          <w:rFonts w:cs="Arial"/>
          <w:szCs w:val="20"/>
          <w:lang w:val="bg-BG"/>
        </w:rPr>
      </w:pPr>
    </w:p>
    <w:p w:rsidR="009A1D30" w:rsidRPr="009072DA" w:rsidRDefault="009A1D30" w:rsidP="00511BF6">
      <w:pPr>
        <w:pStyle w:val="ESch"/>
        <w:rPr>
          <w:lang w:val="bg-BG"/>
        </w:rPr>
      </w:pPr>
      <w:r w:rsidRPr="009072DA">
        <w:rPr>
          <w:lang w:val="bg-BG"/>
        </w:rPr>
        <w:t>7.6</w:t>
      </w:r>
      <w:r w:rsidRPr="009072DA">
        <w:rPr>
          <w:lang w:val="bg-BG"/>
        </w:rPr>
        <w:tab/>
        <w:t>„информационен режим“: използване на ECDIS за вътрешни водни пътища само за информационни цели, без засичане с радиолокатор;</w:t>
      </w:r>
    </w:p>
    <w:p w:rsidR="009A1D30" w:rsidRPr="009072DA" w:rsidRDefault="009A1D30" w:rsidP="00511BF6">
      <w:pPr>
        <w:pStyle w:val="ESch"/>
        <w:rPr>
          <w:rFonts w:cs="Arial"/>
          <w:szCs w:val="20"/>
          <w:lang w:val="bg-BG"/>
        </w:rPr>
      </w:pPr>
    </w:p>
    <w:p w:rsidR="009A1D30" w:rsidRPr="009072DA" w:rsidRDefault="009A1D30" w:rsidP="00511BF6">
      <w:pPr>
        <w:pStyle w:val="ESch"/>
        <w:rPr>
          <w:rFonts w:cs="Arial"/>
          <w:szCs w:val="20"/>
          <w:lang w:val="bg-BG"/>
        </w:rPr>
      </w:pPr>
      <w:r w:rsidRPr="009072DA">
        <w:rPr>
          <w:lang w:val="bg-BG"/>
        </w:rPr>
        <w:t>7.7</w:t>
      </w:r>
      <w:r w:rsidRPr="009072DA">
        <w:rPr>
          <w:lang w:val="bg-BG"/>
        </w:rPr>
        <w:tab/>
        <w:t>„навигационен режим“: използване на ECDIS за вътрешни водни пътища със засичане с радиолокатор за навигация на плавателно средство ;</w:t>
      </w:r>
    </w:p>
    <w:p w:rsidR="009A1D30" w:rsidRPr="009072DA" w:rsidRDefault="009A1D30" w:rsidP="00511BF6">
      <w:pPr>
        <w:pStyle w:val="ESch"/>
        <w:rPr>
          <w:rFonts w:cs="Arial"/>
          <w:szCs w:val="20"/>
          <w:lang w:val="bg-BG"/>
        </w:rPr>
      </w:pPr>
    </w:p>
    <w:p w:rsidR="009A1D30" w:rsidRPr="009072DA" w:rsidRDefault="009A1D30" w:rsidP="003B0440">
      <w:pPr>
        <w:pStyle w:val="ESch"/>
        <w:rPr>
          <w:color w:val="000000"/>
          <w:lang w:val="bg-BG"/>
        </w:rPr>
      </w:pPr>
      <w:r w:rsidRPr="009072DA">
        <w:rPr>
          <w:lang w:val="bg-BG"/>
        </w:rPr>
        <w:t>7.8</w:t>
      </w:r>
      <w:r w:rsidRPr="009072DA">
        <w:rPr>
          <w:lang w:val="bg-BG"/>
        </w:rPr>
        <w:tab/>
        <w:t>„оборудване за AIS за вътрешни водни пътища“: оборудване, монтирано на борда на плавателен съд и използвано по смисъла на настоящия стандарт VTT;</w:t>
      </w:r>
    </w:p>
    <w:p w:rsidR="009A1D30" w:rsidRPr="009072DA" w:rsidRDefault="009A1D30" w:rsidP="00511BF6">
      <w:pPr>
        <w:pStyle w:val="ESch"/>
        <w:rPr>
          <w:rFonts w:cs="Arial"/>
          <w:color w:val="000000"/>
          <w:szCs w:val="20"/>
          <w:lang w:val="bg-BG"/>
        </w:rPr>
      </w:pPr>
    </w:p>
    <w:p w:rsidR="00881510" w:rsidRPr="009072DA" w:rsidRDefault="008D24FF" w:rsidP="00881510">
      <w:pPr>
        <w:adjustRightInd w:val="0"/>
        <w:ind w:left="567" w:hanging="567"/>
        <w:rPr>
          <w:rFonts w:ascii="ArialMT" w:eastAsiaTheme="minorEastAsia" w:hAnsi="ArialMT" w:cs="ArialMT"/>
          <w:szCs w:val="20"/>
          <w:lang w:val="bg-BG"/>
        </w:rPr>
      </w:pPr>
      <w:r w:rsidRPr="009072DA">
        <w:rPr>
          <w:rFonts w:ascii="ArialMT" w:hAnsi="ArialMT"/>
          <w:lang w:val="bg-BG"/>
        </w:rPr>
        <w:t>7.9</w:t>
      </w:r>
      <w:r w:rsidRPr="009072DA">
        <w:rPr>
          <w:lang w:val="bg-BG"/>
        </w:rPr>
        <w:tab/>
        <w:t>„</w:t>
      </w:r>
      <w:r w:rsidRPr="009072DA">
        <w:rPr>
          <w:rFonts w:ascii="ArialMT" w:hAnsi="ArialMT"/>
          <w:spacing w:val="-2"/>
          <w:lang w:val="bg-BG"/>
        </w:rPr>
        <w:t>стандарт VTT</w:t>
      </w:r>
      <w:r w:rsidRPr="009072DA">
        <w:rPr>
          <w:lang w:val="bg-BG"/>
        </w:rPr>
        <w:t xml:space="preserve">“: </w:t>
      </w:r>
      <w:r w:rsidRPr="009072DA">
        <w:rPr>
          <w:rFonts w:ascii="ArialMT" w:hAnsi="ArialMT"/>
          <w:spacing w:val="-2"/>
          <w:lang w:val="bg-BG"/>
        </w:rPr>
        <w:t>стандартът на ЦККР, наречен „Стандарт за проследяване и локализиране на плавателните съдове за вътрешно плаване“, издание 1.2</w:t>
      </w:r>
      <w:r w:rsidRPr="009072DA">
        <w:rPr>
          <w:rStyle w:val="FootnoteReference"/>
          <w:rFonts w:ascii="ArialMT" w:eastAsiaTheme="minorEastAsia" w:hAnsi="ArialMT"/>
          <w:spacing w:val="-2"/>
          <w:lang w:val="bg-BG"/>
        </w:rPr>
        <w:footnoteReference w:id="2"/>
      </w:r>
      <w:r w:rsidRPr="009072DA">
        <w:rPr>
          <w:rFonts w:ascii="ArialMT" w:hAnsi="ArialMT"/>
          <w:spacing w:val="-2"/>
          <w:lang w:val="bg-BG"/>
        </w:rPr>
        <w:t>, или техническите спецификации, определени в Регламент за изпълнение (ЕС) № 689/2012</w:t>
      </w:r>
      <w:r w:rsidRPr="009072DA">
        <w:rPr>
          <w:rStyle w:val="FootnoteReference"/>
          <w:rFonts w:ascii="ArialMT" w:eastAsiaTheme="minorEastAsia" w:hAnsi="ArialMT"/>
          <w:spacing w:val="-2"/>
          <w:lang w:val="bg-BG"/>
        </w:rPr>
        <w:footnoteReference w:id="3"/>
      </w:r>
      <w:r w:rsidRPr="009072DA">
        <w:rPr>
          <w:rFonts w:ascii="ArialMT" w:hAnsi="ArialMT"/>
          <w:spacing w:val="-2"/>
          <w:lang w:val="bg-BG"/>
        </w:rPr>
        <w:t>;</w:t>
      </w:r>
    </w:p>
    <w:p w:rsidR="00881510" w:rsidRPr="009072DA" w:rsidRDefault="00881510" w:rsidP="00881510">
      <w:pPr>
        <w:adjustRightInd w:val="0"/>
        <w:ind w:left="567" w:hanging="567"/>
        <w:rPr>
          <w:rFonts w:ascii="ArialMT" w:eastAsiaTheme="minorEastAsia" w:hAnsi="ArialMT" w:cs="ArialMT"/>
          <w:szCs w:val="20"/>
          <w:lang w:val="bg-BG"/>
        </w:rPr>
      </w:pPr>
    </w:p>
    <w:p w:rsidR="00881510" w:rsidRPr="009072DA" w:rsidRDefault="008D24FF" w:rsidP="00881510">
      <w:pPr>
        <w:adjustRightInd w:val="0"/>
        <w:ind w:left="567" w:hanging="567"/>
        <w:rPr>
          <w:rFonts w:ascii="ArialMT" w:hAnsi="ArialMT"/>
          <w:szCs w:val="20"/>
          <w:lang w:val="bg-BG"/>
        </w:rPr>
      </w:pPr>
      <w:r w:rsidRPr="009072DA">
        <w:rPr>
          <w:rFonts w:ascii="ArialMT" w:hAnsi="ArialMT"/>
          <w:lang w:val="bg-BG"/>
        </w:rPr>
        <w:t>7.10</w:t>
      </w:r>
      <w:r w:rsidRPr="009072DA">
        <w:rPr>
          <w:lang w:val="bg-BG"/>
        </w:rPr>
        <w:tab/>
        <w:t>„</w:t>
      </w:r>
      <w:r w:rsidRPr="009072DA">
        <w:rPr>
          <w:rFonts w:ascii="ArialMT" w:hAnsi="ArialMT"/>
          <w:lang w:val="bg-BG"/>
        </w:rPr>
        <w:t>стандарт за ECDIS за вътрешните водни пътища</w:t>
      </w:r>
      <w:r w:rsidRPr="009072DA">
        <w:rPr>
          <w:lang w:val="bg-BG"/>
        </w:rPr>
        <w:t>“</w:t>
      </w:r>
      <w:r w:rsidRPr="009072DA">
        <w:rPr>
          <w:rFonts w:ascii="ArialMT" w:hAnsi="ArialMT"/>
          <w:lang w:val="bg-BG"/>
        </w:rPr>
        <w:t xml:space="preserve">: стандартът на ЦККР „Система за изобразяване на електронни карти и информация за корабоплаването по </w:t>
      </w:r>
      <w:r w:rsidRPr="009072DA">
        <w:rPr>
          <w:rFonts w:ascii="ArialMT" w:hAnsi="ArialMT"/>
          <w:lang w:val="bg-BG"/>
        </w:rPr>
        <w:lastRenderedPageBreak/>
        <w:t>вътрешните водни пътища“, издание 2.3</w:t>
      </w:r>
      <w:r w:rsidRPr="009072DA">
        <w:rPr>
          <w:rStyle w:val="FootnoteReference"/>
          <w:rFonts w:ascii="ArialMT" w:eastAsiaTheme="minorEastAsia" w:hAnsi="ArialMT"/>
          <w:lang w:val="bg-BG"/>
        </w:rPr>
        <w:footnoteReference w:id="4"/>
      </w:r>
      <w:r w:rsidRPr="009072DA">
        <w:rPr>
          <w:rFonts w:ascii="ArialMT" w:hAnsi="ArialMT"/>
          <w:lang w:val="bg-BG"/>
        </w:rPr>
        <w:t>, или техническите спецификации, определени в Регламент за изпълнение (ЕС) № 909/2013</w:t>
      </w:r>
      <w:r w:rsidRPr="009072DA">
        <w:rPr>
          <w:rStyle w:val="FootnoteReference"/>
          <w:rFonts w:ascii="ArialMT" w:eastAsiaTheme="minorEastAsia" w:hAnsi="ArialMT"/>
          <w:lang w:val="bg-BG"/>
        </w:rPr>
        <w:footnoteReference w:id="5"/>
      </w:r>
      <w:r w:rsidRPr="009072DA">
        <w:rPr>
          <w:rFonts w:ascii="ArialMT" w:hAnsi="ArialMT"/>
          <w:lang w:val="bg-BG"/>
        </w:rPr>
        <w:t>;</w:t>
      </w:r>
    </w:p>
    <w:p w:rsidR="00FA4437" w:rsidRPr="009072DA" w:rsidRDefault="00FA4437" w:rsidP="00881510">
      <w:pPr>
        <w:adjustRightInd w:val="0"/>
        <w:ind w:left="567" w:hanging="567"/>
        <w:rPr>
          <w:rFonts w:ascii="ArialMT" w:hAnsi="ArialMT"/>
          <w:szCs w:val="20"/>
          <w:lang w:val="bg-BG"/>
        </w:rPr>
      </w:pPr>
    </w:p>
    <w:p w:rsidR="00FA4437" w:rsidRPr="009072DA" w:rsidRDefault="00FA4437" w:rsidP="003B0440">
      <w:pPr>
        <w:pStyle w:val="ESch"/>
        <w:rPr>
          <w:lang w:val="bg-BG"/>
        </w:rPr>
      </w:pPr>
      <w:r w:rsidRPr="009072DA">
        <w:rPr>
          <w:lang w:val="bg-BG"/>
        </w:rPr>
        <w:t>7.11</w:t>
      </w:r>
      <w:r w:rsidRPr="009072DA">
        <w:rPr>
          <w:lang w:val="bg-BG"/>
        </w:rPr>
        <w:tab/>
        <w:t>„стандарт за изпитване на автоматична система за идентификация (AIS) за вътрешните водни пътища“: Издание 2.0 на „Стандарт за изпитване на автоматична система за идентификация (AIS) за вътрешните водни пътища“ на Европейския комитет за изготвяне на стандарти за вътрешното корабоплаване (CESNI)</w:t>
      </w:r>
      <w:r w:rsidRPr="009072DA">
        <w:rPr>
          <w:vertAlign w:val="superscript"/>
          <w:lang w:val="bg-BG"/>
        </w:rPr>
        <w:footnoteReference w:id="6"/>
      </w:r>
      <w:r w:rsidRPr="009072DA">
        <w:rPr>
          <w:lang w:val="bg-BG"/>
        </w:rPr>
        <w:t>;</w:t>
      </w:r>
    </w:p>
    <w:p w:rsidR="008D24FF" w:rsidRPr="009072DA" w:rsidRDefault="008D24FF" w:rsidP="00511BF6">
      <w:pPr>
        <w:pStyle w:val="ESch"/>
        <w:rPr>
          <w:lang w:val="bg-BG"/>
        </w:rPr>
      </w:pPr>
    </w:p>
    <w:p w:rsidR="003971A3" w:rsidRPr="009072DA" w:rsidRDefault="003971A3" w:rsidP="00511BF6">
      <w:pPr>
        <w:pStyle w:val="ESch"/>
        <w:rPr>
          <w:lang w:val="bg-BG"/>
        </w:rPr>
      </w:pPr>
    </w:p>
    <w:p w:rsidR="009A1D30" w:rsidRPr="009072DA" w:rsidRDefault="009A1D30" w:rsidP="00511BF6">
      <w:pPr>
        <w:pStyle w:val="ESch"/>
        <w:rPr>
          <w:rFonts w:cs="Arial"/>
          <w:b/>
          <w:color w:val="000000"/>
          <w:szCs w:val="20"/>
          <w:lang w:val="bg-BG"/>
        </w:rPr>
      </w:pPr>
      <w:r w:rsidRPr="009072DA">
        <w:rPr>
          <w:b/>
          <w:color w:val="000000"/>
          <w:lang w:val="bg-BG"/>
        </w:rPr>
        <w:t>8.</w:t>
      </w:r>
      <w:r w:rsidRPr="009072DA">
        <w:rPr>
          <w:lang w:val="bg-BG"/>
        </w:rPr>
        <w:tab/>
      </w:r>
      <w:r w:rsidRPr="009072DA">
        <w:rPr>
          <w:b/>
          <w:color w:val="000000"/>
          <w:lang w:val="bg-BG"/>
        </w:rPr>
        <w:t>Двигатели</w:t>
      </w:r>
    </w:p>
    <w:p w:rsidR="00E61447" w:rsidRPr="009072DA" w:rsidRDefault="00E61447" w:rsidP="00511BF6">
      <w:pPr>
        <w:pStyle w:val="ESch"/>
        <w:rPr>
          <w:rFonts w:cs="Arial"/>
          <w:color w:val="000000"/>
          <w:szCs w:val="20"/>
          <w:lang w:val="bg-BG"/>
        </w:rPr>
      </w:pPr>
    </w:p>
    <w:p w:rsidR="0087027F" w:rsidRPr="009072DA" w:rsidRDefault="0087027F" w:rsidP="00AE3F86">
      <w:pPr>
        <w:pStyle w:val="ESch"/>
        <w:ind w:firstLine="0"/>
        <w:rPr>
          <w:color w:val="000000"/>
          <w:lang w:val="bg-BG"/>
        </w:rPr>
      </w:pPr>
      <w:r w:rsidRPr="009072DA">
        <w:rPr>
          <w:color w:val="000000"/>
          <w:lang w:val="bg-BG"/>
        </w:rPr>
        <w:t>(оставено непопълнено);</w:t>
      </w:r>
    </w:p>
    <w:p w:rsidR="009A1D30" w:rsidRPr="009072DA" w:rsidRDefault="009A1D30" w:rsidP="00511BF6">
      <w:pPr>
        <w:pStyle w:val="ESch"/>
        <w:rPr>
          <w:lang w:val="bg-BG"/>
        </w:rPr>
      </w:pPr>
    </w:p>
    <w:p w:rsidR="006971A7" w:rsidRPr="009072DA" w:rsidRDefault="006971A7" w:rsidP="00511BF6">
      <w:pPr>
        <w:pStyle w:val="ESch"/>
        <w:rPr>
          <w:lang w:val="bg-BG"/>
        </w:rPr>
      </w:pPr>
    </w:p>
    <w:p w:rsidR="008D2FD5" w:rsidRPr="009072DA" w:rsidRDefault="008D2FD5" w:rsidP="00511BF6">
      <w:pPr>
        <w:pStyle w:val="ESch"/>
        <w:rPr>
          <w:b/>
          <w:lang w:val="bg-BG"/>
        </w:rPr>
      </w:pPr>
      <w:r w:rsidRPr="009072DA">
        <w:rPr>
          <w:b/>
          <w:lang w:val="bg-BG"/>
        </w:rPr>
        <w:t>9.</w:t>
      </w:r>
      <w:r w:rsidRPr="009072DA">
        <w:rPr>
          <w:lang w:val="bg-BG"/>
        </w:rPr>
        <w:tab/>
      </w:r>
      <w:r w:rsidRPr="009072DA">
        <w:rPr>
          <w:b/>
          <w:lang w:val="bg-BG"/>
        </w:rPr>
        <w:t>Бордови станции за пречистване на отпадъчни води</w:t>
      </w:r>
    </w:p>
    <w:p w:rsidR="0087027F" w:rsidRPr="009072DA" w:rsidRDefault="0087027F" w:rsidP="008D24FF">
      <w:pPr>
        <w:pStyle w:val="ESch"/>
        <w:rPr>
          <w:lang w:val="bg-BG"/>
        </w:rPr>
      </w:pPr>
    </w:p>
    <w:p w:rsidR="0087027F" w:rsidRPr="009072DA" w:rsidRDefault="0087027F" w:rsidP="00AE3F86">
      <w:pPr>
        <w:pStyle w:val="ESch"/>
        <w:ind w:firstLine="0"/>
        <w:rPr>
          <w:rFonts w:cs="Arial"/>
          <w:color w:val="000000"/>
          <w:szCs w:val="20"/>
          <w:lang w:val="bg-BG"/>
        </w:rPr>
      </w:pPr>
      <w:r w:rsidRPr="009072DA">
        <w:rPr>
          <w:color w:val="000000"/>
          <w:lang w:val="bg-BG"/>
        </w:rPr>
        <w:t>(оставено непопълнено);</w:t>
      </w:r>
    </w:p>
    <w:p w:rsidR="00197F7A" w:rsidRPr="009072DA" w:rsidRDefault="00197F7A" w:rsidP="00511BF6">
      <w:pPr>
        <w:pStyle w:val="ESch"/>
        <w:rPr>
          <w:lang w:val="bg-BG"/>
        </w:rPr>
      </w:pPr>
    </w:p>
    <w:p w:rsidR="008D24FF" w:rsidRPr="009072DA" w:rsidRDefault="008D24FF">
      <w:pPr>
        <w:rPr>
          <w:lang w:val="bg-BG"/>
        </w:rPr>
      </w:pPr>
      <w:r w:rsidRPr="009072DA">
        <w:rPr>
          <w:lang w:val="bg-BG"/>
        </w:rPr>
        <w:br w:type="page"/>
      </w:r>
    </w:p>
    <w:p w:rsidR="006971A7" w:rsidRPr="009072DA" w:rsidRDefault="006971A7" w:rsidP="00511BF6">
      <w:pPr>
        <w:pStyle w:val="ESch"/>
        <w:rPr>
          <w:lang w:val="bg-BG"/>
        </w:rPr>
      </w:pPr>
    </w:p>
    <w:p w:rsidR="00E61447" w:rsidRPr="009072DA" w:rsidRDefault="00E61447" w:rsidP="00E61447">
      <w:pPr>
        <w:pStyle w:val="ESch"/>
        <w:rPr>
          <w:lang w:val="bg-BG"/>
        </w:rPr>
      </w:pPr>
      <w:r w:rsidRPr="009072DA">
        <w:rPr>
          <w:b/>
          <w:lang w:val="bg-BG"/>
        </w:rPr>
        <w:t>10.</w:t>
      </w:r>
      <w:r w:rsidRPr="009072DA">
        <w:rPr>
          <w:lang w:val="bg-BG"/>
        </w:rPr>
        <w:tab/>
      </w:r>
      <w:r w:rsidRPr="009072DA">
        <w:rPr>
          <w:b/>
          <w:lang w:val="bg-BG"/>
        </w:rPr>
        <w:t>Класификационни организации, експерти и компетентни лица</w:t>
      </w:r>
    </w:p>
    <w:p w:rsidR="00E61447" w:rsidRPr="009072DA" w:rsidRDefault="00E61447" w:rsidP="00E61447">
      <w:pPr>
        <w:pStyle w:val="ESch"/>
        <w:rPr>
          <w:rFonts w:cs="Arial"/>
          <w:szCs w:val="20"/>
          <w:lang w:val="bg-BG"/>
        </w:rPr>
      </w:pPr>
    </w:p>
    <w:p w:rsidR="00E61447" w:rsidRPr="009072DA" w:rsidRDefault="00E61447" w:rsidP="00E61447">
      <w:pPr>
        <w:pStyle w:val="ESch"/>
        <w:rPr>
          <w:lang w:val="bg-BG"/>
        </w:rPr>
      </w:pPr>
      <w:r w:rsidRPr="009072DA">
        <w:rPr>
          <w:lang w:val="bg-BG"/>
        </w:rPr>
        <w:t>10.1.</w:t>
      </w:r>
      <w:r w:rsidRPr="009072DA">
        <w:rPr>
          <w:lang w:val="bg-BG"/>
        </w:rPr>
        <w:tab/>
        <w:t>„призната класификационна организация“: класификационна организация, която е призната в съответствие с процедурите на ЦККР или ЕС.</w:t>
      </w:r>
    </w:p>
    <w:p w:rsidR="00E61447" w:rsidRPr="009072DA" w:rsidRDefault="00E61447" w:rsidP="00E61447">
      <w:pPr>
        <w:pStyle w:val="ESch"/>
        <w:rPr>
          <w:rFonts w:cs="Arial"/>
          <w:szCs w:val="20"/>
          <w:lang w:val="bg-BG"/>
        </w:rPr>
      </w:pPr>
    </w:p>
    <w:p w:rsidR="00E61447" w:rsidRPr="009072DA" w:rsidRDefault="00E61447" w:rsidP="00E61447">
      <w:pPr>
        <w:pStyle w:val="ESch"/>
        <w:rPr>
          <w:lang w:val="bg-BG"/>
        </w:rPr>
      </w:pPr>
      <w:r w:rsidRPr="009072DA">
        <w:rPr>
          <w:lang w:val="bg-BG"/>
        </w:rPr>
        <w:t>10.2</w:t>
      </w:r>
      <w:r w:rsidRPr="009072DA">
        <w:rPr>
          <w:lang w:val="bg-BG"/>
        </w:rPr>
        <w:tab/>
        <w:t>„най-висок клас“: най-висок клас се присвоява на даден плавателен съд, когато</w:t>
      </w:r>
    </w:p>
    <w:p w:rsidR="00E61447" w:rsidRPr="009072DA" w:rsidRDefault="00E61447" w:rsidP="00E61447">
      <w:pPr>
        <w:pStyle w:val="ESlet"/>
        <w:rPr>
          <w:lang w:val="bg-BG"/>
        </w:rPr>
      </w:pPr>
      <w:r w:rsidRPr="009072DA">
        <w:rPr>
          <w:lang w:val="bg-BG"/>
        </w:rPr>
        <w:t>-</w:t>
      </w:r>
      <w:r w:rsidRPr="009072DA">
        <w:rPr>
          <w:lang w:val="bg-BG"/>
        </w:rPr>
        <w:tab/>
        <w:t>корпусът, включително рулевият апарат и апаратът за маневриране, както и котвите и котвените вериги, отговарят на правилата, установени от призната класификационна организация, и са изградени и изпитани под неин надзор.</w:t>
      </w:r>
    </w:p>
    <w:p w:rsidR="00E61447" w:rsidRPr="009072DA" w:rsidRDefault="00E61447" w:rsidP="00E61447">
      <w:pPr>
        <w:pStyle w:val="ESlet"/>
        <w:rPr>
          <w:lang w:val="bg-BG"/>
        </w:rPr>
      </w:pPr>
      <w:r w:rsidRPr="009072DA">
        <w:rPr>
          <w:lang w:val="bg-BG"/>
        </w:rPr>
        <w:t>-</w:t>
      </w:r>
      <w:r w:rsidRPr="009072DA">
        <w:rPr>
          <w:lang w:val="bg-BG"/>
        </w:rPr>
        <w:tab/>
        <w:t>задвижващият механизъм и спомагателните двигатели, механичното и електрическото оборудване, изисквани за корабни услуги, са били произведени и изпитани в съответствие с правилата на класификационната организация и инсталирани под неин надзор; устройството като цяло е преминало успешно изпитвания след инсталацията.</w:t>
      </w:r>
    </w:p>
    <w:p w:rsidR="00E61447" w:rsidRPr="009072DA" w:rsidRDefault="00E61447" w:rsidP="00E61447">
      <w:pPr>
        <w:pStyle w:val="ESch"/>
        <w:rPr>
          <w:lang w:val="bg-BG"/>
        </w:rPr>
      </w:pPr>
    </w:p>
    <w:p w:rsidR="00E61447" w:rsidRPr="009072DA" w:rsidRDefault="00E61447" w:rsidP="00E61447">
      <w:pPr>
        <w:pStyle w:val="ESch"/>
        <w:rPr>
          <w:rFonts w:cs="Arial"/>
          <w:szCs w:val="20"/>
          <w:lang w:val="bg-BG"/>
        </w:rPr>
      </w:pPr>
      <w:r w:rsidRPr="009072DA">
        <w:rPr>
          <w:lang w:val="bg-BG"/>
        </w:rPr>
        <w:t xml:space="preserve">10.3 </w:t>
      </w:r>
      <w:r w:rsidRPr="009072DA">
        <w:rPr>
          <w:lang w:val="bg-BG"/>
        </w:rPr>
        <w:tab/>
        <w:t>„експерт“: лице, признато от компетентния орган или от упълномощена институция, със специализирани познания в съответната област въз основа на професионалната си подготовка и опит, напълно запознато със съответните правила и регламенти и общоприетите технически правила (напр. стандартите EN, съответното законодателство, техническите правила) и способно да провери съответните системи и оборудване и да даде експертна оценка за тях;</w:t>
      </w:r>
    </w:p>
    <w:p w:rsidR="00E61447" w:rsidRPr="009072DA" w:rsidRDefault="00E61447" w:rsidP="00E61447">
      <w:pPr>
        <w:pStyle w:val="ESch"/>
        <w:rPr>
          <w:lang w:val="bg-BG"/>
        </w:rPr>
      </w:pPr>
    </w:p>
    <w:p w:rsidR="00E61447" w:rsidRPr="009072DA" w:rsidRDefault="00E61447" w:rsidP="00E61447">
      <w:pPr>
        <w:pStyle w:val="ESch"/>
        <w:rPr>
          <w:lang w:val="bg-BG"/>
        </w:rPr>
      </w:pPr>
      <w:r w:rsidRPr="009072DA">
        <w:rPr>
          <w:lang w:val="bg-BG"/>
        </w:rPr>
        <w:t>10.4</w:t>
      </w:r>
      <w:r w:rsidRPr="009072DA">
        <w:rPr>
          <w:lang w:val="bg-BG"/>
        </w:rPr>
        <w:tab/>
        <w:t>„компетентно лице“: лице, което е придобило достатъчни познания в съответната област въз основа на професионалната си подготовка и опит и е достатъчно запознато със съответните правила и регламенти и общоприетите технически правила (напр. стандартите EN, съответното законодателство, техническите правила), за да може да направи оценка на оперативната безопасност на съответните системи и оборудване;</w:t>
      </w:r>
    </w:p>
    <w:p w:rsidR="00E61447" w:rsidRPr="009072DA" w:rsidRDefault="00E61447" w:rsidP="00080F6D">
      <w:pPr>
        <w:pStyle w:val="ESch"/>
        <w:rPr>
          <w:lang w:val="bg-BG"/>
        </w:rPr>
      </w:pPr>
    </w:p>
    <w:p w:rsidR="00BF3595" w:rsidRPr="009072DA" w:rsidRDefault="00BF3595" w:rsidP="00080F6D">
      <w:pPr>
        <w:pStyle w:val="ESch"/>
        <w:rPr>
          <w:lang w:val="bg-BG"/>
        </w:rPr>
      </w:pPr>
    </w:p>
    <w:p w:rsidR="00BF3595" w:rsidRPr="009072DA" w:rsidRDefault="00BF3595" w:rsidP="00BF3595">
      <w:pPr>
        <w:pStyle w:val="ESch"/>
        <w:rPr>
          <w:b/>
          <w:bCs/>
          <w:iCs/>
          <w:lang w:val="bg-BG"/>
        </w:rPr>
      </w:pPr>
      <w:r w:rsidRPr="009072DA">
        <w:rPr>
          <w:b/>
          <w:lang w:val="bg-BG"/>
        </w:rPr>
        <w:t>11.</w:t>
      </w:r>
      <w:r w:rsidRPr="009072DA">
        <w:rPr>
          <w:lang w:val="bg-BG"/>
        </w:rPr>
        <w:tab/>
      </w:r>
      <w:r w:rsidRPr="009072DA">
        <w:rPr>
          <w:b/>
          <w:lang w:val="bg-BG"/>
        </w:rPr>
        <w:t>Електрическо оборудване, инсталации и системи за задвижване</w:t>
      </w:r>
    </w:p>
    <w:p w:rsidR="00BF3595" w:rsidRPr="009072DA" w:rsidRDefault="00BF3595" w:rsidP="00080F6D">
      <w:pPr>
        <w:pStyle w:val="ESch"/>
        <w:rPr>
          <w:lang w:val="bg-BG"/>
        </w:rPr>
      </w:pPr>
    </w:p>
    <w:p w:rsidR="00BF3595" w:rsidRPr="009072DA" w:rsidRDefault="00BF3595" w:rsidP="00BF3595">
      <w:pPr>
        <w:pStyle w:val="ESch"/>
        <w:rPr>
          <w:lang w:val="bg-BG"/>
        </w:rPr>
      </w:pPr>
      <w:r w:rsidRPr="009072DA">
        <w:rPr>
          <w:lang w:val="bg-BG"/>
        </w:rPr>
        <w:t>11.1</w:t>
      </w:r>
      <w:r w:rsidRPr="009072DA">
        <w:rPr>
          <w:lang w:val="bg-BG"/>
        </w:rPr>
        <w:tab/>
        <w:t>„източник на енергия“: енергиен носител или преобразувател на енергия, използван за производство на полезна енергия. За системи за задвижване на руля — подаването на мощност към рулевото задвижващо звено и рулевия апарат, получена от корабната електрическа мрежа, батерия, акумулатор или двигател с вътрешно горене;</w:t>
      </w:r>
    </w:p>
    <w:p w:rsidR="00BF3595" w:rsidRPr="009072DA" w:rsidRDefault="00BF3595" w:rsidP="00BF3595">
      <w:pPr>
        <w:pStyle w:val="ESch"/>
        <w:rPr>
          <w:lang w:val="bg-BG"/>
        </w:rPr>
      </w:pPr>
    </w:p>
    <w:p w:rsidR="00BF3595" w:rsidRPr="009072DA" w:rsidRDefault="00BF3595" w:rsidP="00BF3595">
      <w:pPr>
        <w:pStyle w:val="ESch"/>
        <w:rPr>
          <w:lang w:val="bg-BG"/>
        </w:rPr>
      </w:pPr>
      <w:r w:rsidRPr="009072DA">
        <w:rPr>
          <w:lang w:val="bg-BG"/>
        </w:rPr>
        <w:lastRenderedPageBreak/>
        <w:t>11.2</w:t>
      </w:r>
      <w:r w:rsidRPr="009072DA">
        <w:rPr>
          <w:lang w:val="bg-BG"/>
        </w:rPr>
        <w:tab/>
        <w:t>„източник на електроенергия“ енергиен източник, от който се получава електрическа мощност;</w:t>
      </w:r>
    </w:p>
    <w:p w:rsidR="00BF3595" w:rsidRPr="009072DA" w:rsidRDefault="00BF3595" w:rsidP="00BF3595">
      <w:pPr>
        <w:pStyle w:val="ESch"/>
        <w:rPr>
          <w:lang w:val="bg-BG"/>
        </w:rPr>
      </w:pPr>
    </w:p>
    <w:p w:rsidR="00BF3595" w:rsidRPr="009072DA" w:rsidRDefault="00BF3595" w:rsidP="00BF3595">
      <w:pPr>
        <w:pStyle w:val="ESch"/>
        <w:rPr>
          <w:lang w:val="bg-BG"/>
        </w:rPr>
      </w:pPr>
      <w:r w:rsidRPr="009072DA">
        <w:rPr>
          <w:lang w:val="bg-BG"/>
        </w:rPr>
        <w:t>11.3</w:t>
      </w:r>
      <w:r w:rsidRPr="009072DA">
        <w:rPr>
          <w:lang w:val="bg-BG"/>
        </w:rPr>
        <w:tab/>
        <w:t>„акумулатор“ е устройството с възможност за зареждане, за съхранение на електрическа енергия  на електрохимичен принцип;</w:t>
      </w:r>
    </w:p>
    <w:p w:rsidR="00BF3595" w:rsidRPr="009072DA" w:rsidRDefault="00BF3595" w:rsidP="00BF3595">
      <w:pPr>
        <w:pStyle w:val="ESch"/>
        <w:rPr>
          <w:lang w:val="bg-BG"/>
        </w:rPr>
      </w:pPr>
    </w:p>
    <w:p w:rsidR="00BF3595" w:rsidRPr="009072DA" w:rsidRDefault="00BF3595" w:rsidP="00BF3595">
      <w:pPr>
        <w:pStyle w:val="ESch"/>
        <w:rPr>
          <w:lang w:val="bg-BG"/>
        </w:rPr>
      </w:pPr>
      <w:r w:rsidRPr="009072DA">
        <w:rPr>
          <w:lang w:val="bg-BG"/>
        </w:rPr>
        <w:t>11.4</w:t>
      </w:r>
      <w:r w:rsidRPr="009072DA">
        <w:rPr>
          <w:lang w:val="bg-BG"/>
        </w:rPr>
        <w:tab/>
        <w:t>„батерия“ е устройството без възможност за зареждане, за съхранение на електрическа енергия на електрохимичен принцип;</w:t>
      </w:r>
    </w:p>
    <w:p w:rsidR="00ED26E0" w:rsidRPr="009072DA" w:rsidRDefault="00ED26E0" w:rsidP="00080F6D">
      <w:pPr>
        <w:pStyle w:val="ESch"/>
        <w:rPr>
          <w:lang w:val="bg-BG"/>
        </w:rPr>
      </w:pPr>
    </w:p>
    <w:p w:rsidR="001851F8" w:rsidRPr="009072DA" w:rsidRDefault="00BF3595" w:rsidP="003971A3">
      <w:pPr>
        <w:pStyle w:val="ESch"/>
        <w:rPr>
          <w:rFonts w:eastAsia="Calibri"/>
          <w:highlight w:val="lightGray"/>
          <w:lang w:val="bg-BG"/>
        </w:rPr>
      </w:pPr>
      <w:r w:rsidRPr="009072DA">
        <w:rPr>
          <w:lang w:val="bg-BG"/>
        </w:rPr>
        <w:t>11.5</w:t>
      </w:r>
      <w:r w:rsidRPr="009072DA">
        <w:rPr>
          <w:lang w:val="bg-BG"/>
        </w:rPr>
        <w:tab/>
        <w:t>„силова електроника“ инсталация, уред, модул или устройство за преобразуване на електрическа енергия с превключващи електронни устройства или система, която се състои от такива елементи;</w:t>
      </w:r>
    </w:p>
    <w:p w:rsidR="001851F8" w:rsidRPr="009072DA" w:rsidRDefault="001851F8">
      <w:pPr>
        <w:rPr>
          <w:rFonts w:eastAsia="Calibri"/>
          <w:lang w:val="bg-BG"/>
        </w:rPr>
      </w:pPr>
    </w:p>
    <w:p w:rsidR="003971A3" w:rsidRPr="009072DA" w:rsidRDefault="003971A3">
      <w:pPr>
        <w:rPr>
          <w:lang w:val="bg-BG"/>
        </w:rPr>
      </w:pPr>
      <w:r w:rsidRPr="009072DA">
        <w:rPr>
          <w:lang w:val="bg-BG"/>
        </w:rPr>
        <w:br w:type="page"/>
      </w:r>
    </w:p>
    <w:p w:rsidR="00BF3595" w:rsidRPr="009072DA" w:rsidRDefault="00BF3595" w:rsidP="00080F6D">
      <w:pPr>
        <w:pStyle w:val="ESch"/>
        <w:rPr>
          <w:lang w:val="bg-BG"/>
        </w:rPr>
      </w:pPr>
    </w:p>
    <w:p w:rsidR="00DE4417" w:rsidRPr="009072DA" w:rsidRDefault="00DE4417" w:rsidP="00511BF6">
      <w:pPr>
        <w:pStyle w:val="ESch"/>
        <w:rPr>
          <w:b/>
          <w:color w:val="000000"/>
          <w:lang w:val="bg-BG"/>
        </w:rPr>
      </w:pPr>
      <w:r w:rsidRPr="009072DA">
        <w:rPr>
          <w:b/>
          <w:color w:val="000000"/>
          <w:lang w:val="bg-BG"/>
        </w:rPr>
        <w:t>12.</w:t>
      </w:r>
      <w:r w:rsidRPr="009072DA">
        <w:rPr>
          <w:lang w:val="bg-BG"/>
        </w:rPr>
        <w:tab/>
      </w:r>
      <w:r w:rsidRPr="009072DA">
        <w:rPr>
          <w:b/>
          <w:color w:val="000000"/>
          <w:lang w:val="bg-BG"/>
        </w:rPr>
        <w:t>Други термини</w:t>
      </w:r>
    </w:p>
    <w:p w:rsidR="00DE4417" w:rsidRPr="009072DA" w:rsidRDefault="00DE4417" w:rsidP="00511BF6">
      <w:pPr>
        <w:pStyle w:val="ESch"/>
        <w:rPr>
          <w:lang w:val="bg-BG"/>
        </w:rPr>
      </w:pPr>
    </w:p>
    <w:p w:rsidR="00DE4417" w:rsidRPr="009072DA" w:rsidRDefault="00DE4417" w:rsidP="00511BF6">
      <w:pPr>
        <w:pStyle w:val="ESch"/>
        <w:rPr>
          <w:lang w:val="bg-BG"/>
        </w:rPr>
      </w:pPr>
      <w:r w:rsidRPr="009072DA">
        <w:rPr>
          <w:lang w:val="bg-BG"/>
        </w:rPr>
        <w:t>12.1</w:t>
      </w:r>
      <w:r w:rsidRPr="009072DA">
        <w:rPr>
          <w:lang w:val="bg-BG"/>
        </w:rPr>
        <w:tab/>
        <w:t>„обслужващ персонал“: всички служители на борда на пътнически плавателен съд, които не са членове на екипажа;</w:t>
      </w:r>
    </w:p>
    <w:p w:rsidR="00D71B1A" w:rsidRPr="009072DA" w:rsidRDefault="00D71B1A" w:rsidP="00511BF6">
      <w:pPr>
        <w:pStyle w:val="ESch"/>
        <w:rPr>
          <w:rFonts w:cs="Arial"/>
          <w:szCs w:val="20"/>
          <w:lang w:val="bg-BG"/>
        </w:rPr>
      </w:pPr>
    </w:p>
    <w:p w:rsidR="00ED26E0" w:rsidRPr="009072DA" w:rsidRDefault="00DE4417" w:rsidP="00FA4437">
      <w:pPr>
        <w:pStyle w:val="ESch"/>
        <w:rPr>
          <w:lang w:val="bg-BG"/>
        </w:rPr>
      </w:pPr>
      <w:r w:rsidRPr="009072DA">
        <w:rPr>
          <w:lang w:val="bg-BG"/>
        </w:rPr>
        <w:t>12.2</w:t>
      </w:r>
      <w:r w:rsidRPr="009072DA">
        <w:rPr>
          <w:lang w:val="bg-BG"/>
        </w:rPr>
        <w:tab/>
        <w:t>„лица с намалена подвижност“: лица с определени проблеми при ползването на обществен транспорт, като възрастни хора, хора с недъзи или със сетивни увреждания, в инвалидни колички, бременни жени и лица, които придружават малки деца;</w:t>
      </w:r>
    </w:p>
    <w:p w:rsidR="00ED26E0" w:rsidRPr="009072DA" w:rsidRDefault="00ED26E0" w:rsidP="00511BF6">
      <w:pPr>
        <w:pStyle w:val="ESch"/>
        <w:rPr>
          <w:rFonts w:cs="Arial"/>
          <w:szCs w:val="20"/>
          <w:lang w:val="bg-BG"/>
        </w:rPr>
      </w:pPr>
    </w:p>
    <w:p w:rsidR="00DE4417" w:rsidRPr="009072DA" w:rsidRDefault="00DE4417" w:rsidP="00511BF6">
      <w:pPr>
        <w:pStyle w:val="ESch"/>
        <w:rPr>
          <w:lang w:val="bg-BG"/>
        </w:rPr>
      </w:pPr>
      <w:r w:rsidRPr="009072DA">
        <w:rPr>
          <w:lang w:val="bg-BG"/>
        </w:rPr>
        <w:t>12.3</w:t>
      </w:r>
      <w:r w:rsidRPr="009072DA">
        <w:rPr>
          <w:lang w:val="bg-BG"/>
        </w:rPr>
        <w:tab/>
        <w:t>„ADN“ (Европейско споразумение за международен превоз на опасни товари по вътрешните водни пътища). Правилата, приложени към Европейското споразумение за международен превоз на опасни товари по вътрешните водни пътища (ADN) в неговата настояща версия;</w:t>
      </w:r>
    </w:p>
    <w:p w:rsidR="00D71B1A" w:rsidRPr="009072DA" w:rsidRDefault="00D71B1A" w:rsidP="00511BF6">
      <w:pPr>
        <w:pStyle w:val="ESch"/>
        <w:rPr>
          <w:rFonts w:cs="Arial"/>
          <w:szCs w:val="20"/>
          <w:lang w:val="bg-BG"/>
        </w:rPr>
      </w:pPr>
    </w:p>
    <w:p w:rsidR="00DE4417" w:rsidRPr="009072DA" w:rsidRDefault="00DE4417" w:rsidP="00511BF6">
      <w:pPr>
        <w:pStyle w:val="ESch"/>
        <w:rPr>
          <w:lang w:val="bg-BG"/>
        </w:rPr>
      </w:pPr>
      <w:r w:rsidRPr="009072DA">
        <w:rPr>
          <w:lang w:val="bg-BG"/>
        </w:rPr>
        <w:t>12.4</w:t>
      </w:r>
      <w:r w:rsidRPr="009072DA">
        <w:rPr>
          <w:lang w:val="bg-BG"/>
        </w:rPr>
        <w:tab/>
        <w:t>„удостоверение на плавателния съд за плаване по вътрешни водни пътища“: удостоверение за вътрешно корабоплаване на Съюза или удостоверение съгласно Правилата за инспекция на плавателните съдове по река Рейн, издадено от компетентния орган и потвърждаващо съответствието с техническите изисквания.</w:t>
      </w:r>
    </w:p>
    <w:p w:rsidR="00DE4417" w:rsidRPr="009072DA" w:rsidRDefault="00DE4417" w:rsidP="00511BF6">
      <w:pPr>
        <w:pStyle w:val="ESch"/>
        <w:rPr>
          <w:lang w:val="bg-BG"/>
        </w:rPr>
      </w:pPr>
    </w:p>
    <w:p w:rsidR="005849A9" w:rsidRPr="009072DA" w:rsidRDefault="005849A9" w:rsidP="00511BF6">
      <w:pPr>
        <w:pStyle w:val="ESch"/>
        <w:rPr>
          <w:lang w:val="bg-BG"/>
        </w:rPr>
      </w:pPr>
    </w:p>
    <w:p w:rsidR="00DE4417" w:rsidRPr="009072DA" w:rsidRDefault="00DE4417" w:rsidP="00D71B1A">
      <w:pPr>
        <w:pStyle w:val="ES-Titre3"/>
        <w:rPr>
          <w:sz w:val="20"/>
          <w:lang w:val="bg-BG"/>
        </w:rPr>
      </w:pPr>
      <w:bookmarkStart w:id="9" w:name="_Toc491854005"/>
      <w:bookmarkStart w:id="10" w:name="_Toc535827446"/>
      <w:r w:rsidRPr="009072DA">
        <w:rPr>
          <w:lang w:val="bg-BG"/>
        </w:rPr>
        <w:t>Член 1.02</w:t>
      </w:r>
      <w:r w:rsidRPr="009072DA">
        <w:rPr>
          <w:lang w:val="bg-BG"/>
        </w:rPr>
        <w:br/>
      </w:r>
      <w:r w:rsidRPr="009072DA">
        <w:rPr>
          <w:i/>
          <w:lang w:val="bg-BG"/>
        </w:rPr>
        <w:t>Инструкции за прилагането на настоящия стандарт</w:t>
      </w:r>
      <w:bookmarkEnd w:id="9"/>
      <w:bookmarkEnd w:id="10"/>
    </w:p>
    <w:p w:rsidR="00D71B1A" w:rsidRPr="009072DA" w:rsidRDefault="00D71B1A" w:rsidP="00DE4417">
      <w:pPr>
        <w:rPr>
          <w:rFonts w:cs="Arial"/>
          <w:szCs w:val="20"/>
          <w:lang w:val="bg-BG"/>
        </w:rPr>
      </w:pPr>
    </w:p>
    <w:p w:rsidR="00DE4417" w:rsidRPr="009072DA" w:rsidRDefault="00DE4417" w:rsidP="00DE4417">
      <w:pPr>
        <w:rPr>
          <w:rFonts w:cs="Arial"/>
          <w:szCs w:val="20"/>
          <w:lang w:val="bg-BG"/>
        </w:rPr>
      </w:pPr>
      <w:r w:rsidRPr="009072DA">
        <w:rPr>
          <w:lang w:val="bg-BG"/>
        </w:rPr>
        <w:t xml:space="preserve">Указанията, приложени към настоящия стандарт, имат за цел да улеснят и стандартизират прилагането му. </w:t>
      </w:r>
    </w:p>
    <w:p w:rsidR="00AE58CD" w:rsidRPr="009072DA" w:rsidRDefault="00AE58CD" w:rsidP="00E630F7">
      <w:pPr>
        <w:spacing w:line="240" w:lineRule="atLeast"/>
        <w:rPr>
          <w:lang w:val="bg-BG"/>
        </w:rPr>
      </w:pPr>
    </w:p>
    <w:p w:rsidR="00AE58CD" w:rsidRPr="009072DA" w:rsidRDefault="00AE58CD" w:rsidP="00E630F7">
      <w:pPr>
        <w:spacing w:line="240" w:lineRule="atLeast"/>
        <w:rPr>
          <w:lang w:val="bg-BG"/>
        </w:rPr>
      </w:pPr>
    </w:p>
    <w:p w:rsidR="001E33AF" w:rsidRPr="009072DA" w:rsidRDefault="001E33AF" w:rsidP="00E1027C">
      <w:pPr>
        <w:spacing w:line="240" w:lineRule="atLeast"/>
        <w:rPr>
          <w:lang w:val="bg-BG"/>
        </w:rPr>
      </w:pPr>
    </w:p>
    <w:p w:rsidR="00CA6E56" w:rsidRPr="009072DA" w:rsidRDefault="00CA6E56" w:rsidP="00CA6E56">
      <w:pPr>
        <w:pStyle w:val="ES-Titre2"/>
      </w:pPr>
      <w:bookmarkStart w:id="11" w:name="_Toc491854006"/>
      <w:bookmarkStart w:id="12" w:name="_Toc535827447"/>
      <w:r w:rsidRPr="009072DA">
        <w:lastRenderedPageBreak/>
        <w:t>Глава 2</w:t>
      </w:r>
      <w:r w:rsidRPr="009072DA">
        <w:br/>
        <w:t>Процедура</w:t>
      </w:r>
      <w:bookmarkEnd w:id="11"/>
      <w:bookmarkEnd w:id="12"/>
    </w:p>
    <w:p w:rsidR="00AE3F86" w:rsidRPr="009072DA" w:rsidRDefault="00AE3F86" w:rsidP="00E1027C">
      <w:pPr>
        <w:spacing w:line="240" w:lineRule="atLeast"/>
        <w:rPr>
          <w:lang w:val="bg-BG"/>
        </w:rPr>
      </w:pPr>
    </w:p>
    <w:p w:rsidR="00F935C7" w:rsidRPr="009072DA" w:rsidRDefault="00F935C7" w:rsidP="00F935C7">
      <w:pPr>
        <w:spacing w:line="240" w:lineRule="atLeast"/>
        <w:jc w:val="center"/>
        <w:rPr>
          <w:lang w:val="bg-BG"/>
        </w:rPr>
      </w:pPr>
      <w:r w:rsidRPr="009072DA">
        <w:rPr>
          <w:lang w:val="bg-BG"/>
        </w:rPr>
        <w:t>(оставено непопълнено)</w:t>
      </w:r>
    </w:p>
    <w:p w:rsidR="006971A7" w:rsidRPr="009072DA" w:rsidRDefault="006971A7" w:rsidP="00F935C7">
      <w:pPr>
        <w:spacing w:line="240" w:lineRule="atLeast"/>
        <w:jc w:val="center"/>
        <w:rPr>
          <w:lang w:val="bg-BG"/>
        </w:rPr>
      </w:pPr>
    </w:p>
    <w:p w:rsidR="006971A7" w:rsidRPr="009072DA" w:rsidRDefault="006971A7" w:rsidP="00F935C7">
      <w:pPr>
        <w:spacing w:line="240" w:lineRule="atLeast"/>
        <w:jc w:val="center"/>
        <w:rPr>
          <w:lang w:val="bg-BG"/>
        </w:rPr>
      </w:pPr>
    </w:p>
    <w:p w:rsidR="006971A7" w:rsidRPr="009072DA" w:rsidRDefault="006971A7" w:rsidP="00F935C7">
      <w:pPr>
        <w:spacing w:line="240" w:lineRule="atLeast"/>
        <w:jc w:val="center"/>
        <w:rPr>
          <w:lang w:val="bg-BG"/>
        </w:rPr>
      </w:pPr>
    </w:p>
    <w:p w:rsidR="006971A7" w:rsidRPr="009072DA" w:rsidRDefault="006971A7" w:rsidP="00F935C7">
      <w:pPr>
        <w:spacing w:line="240" w:lineRule="atLeast"/>
        <w:jc w:val="center"/>
        <w:rPr>
          <w:lang w:val="bg-BG"/>
        </w:rPr>
      </w:pPr>
    </w:p>
    <w:p w:rsidR="006D6907" w:rsidRPr="009072DA" w:rsidRDefault="006D6907" w:rsidP="00F935C7">
      <w:pPr>
        <w:spacing w:line="240" w:lineRule="atLeast"/>
        <w:jc w:val="center"/>
        <w:rPr>
          <w:lang w:val="bg-BG"/>
        </w:rPr>
      </w:pPr>
      <w:r w:rsidRPr="009072DA">
        <w:rPr>
          <w:lang w:val="bg-BG"/>
        </w:rPr>
        <w:br w:type="page"/>
      </w:r>
    </w:p>
    <w:p w:rsidR="006971A7" w:rsidRPr="009072DA" w:rsidRDefault="006971A7" w:rsidP="00F935C7">
      <w:pPr>
        <w:spacing w:line="240" w:lineRule="atLeast"/>
        <w:jc w:val="center"/>
        <w:rPr>
          <w:lang w:val="bg-BG"/>
        </w:rPr>
      </w:pPr>
    </w:p>
    <w:p w:rsidR="00AE3F86" w:rsidRPr="009072DA" w:rsidRDefault="00AE3F86" w:rsidP="00F935C7">
      <w:pPr>
        <w:spacing w:line="240" w:lineRule="atLeast"/>
        <w:jc w:val="center"/>
        <w:rPr>
          <w:lang w:val="bg-BG"/>
        </w:rPr>
      </w:pPr>
    </w:p>
    <w:p w:rsidR="00AE3F86" w:rsidRPr="009072DA" w:rsidRDefault="00AE3F86" w:rsidP="00F935C7">
      <w:pPr>
        <w:spacing w:line="240" w:lineRule="atLeast"/>
        <w:jc w:val="center"/>
        <w:rPr>
          <w:lang w:val="bg-BG"/>
        </w:rPr>
        <w:sectPr w:rsidR="00AE3F86" w:rsidRPr="009072DA" w:rsidSect="0010389F">
          <w:headerReference w:type="default" r:id="rId19"/>
          <w:headerReference w:type="first" r:id="rId20"/>
          <w:footnotePr>
            <w:numRestart w:val="eachPage"/>
          </w:footnotePr>
          <w:pgSz w:w="11906" w:h="16838" w:code="9"/>
          <w:pgMar w:top="1418" w:right="1418" w:bottom="1418" w:left="1418" w:header="709" w:footer="709" w:gutter="0"/>
          <w:pgNumType w:start="1"/>
          <w:cols w:space="709"/>
          <w:titlePg/>
          <w:docGrid w:linePitch="272"/>
        </w:sectPr>
      </w:pPr>
    </w:p>
    <w:p w:rsidR="00436930" w:rsidRPr="009072DA" w:rsidRDefault="00D71B1A" w:rsidP="00887B58">
      <w:pPr>
        <w:pStyle w:val="ES-Titre1"/>
      </w:pPr>
      <w:bookmarkStart w:id="13" w:name="_Toc491854007"/>
      <w:bookmarkStart w:id="14" w:name="_Toc535827448"/>
      <w:r w:rsidRPr="009072DA">
        <w:lastRenderedPageBreak/>
        <w:t>ЧАСТ II</w:t>
      </w:r>
      <w:r w:rsidRPr="009072DA">
        <w:br/>
        <w:t>РАЗПОРЕДБИ ОТНОСНО КОРАБНАТА КОНСТРУКЦИЯ, СЪОРЪЖЕНИЯТА И ОБОРУДВАНЕТО</w:t>
      </w:r>
      <w:bookmarkEnd w:id="13"/>
      <w:bookmarkEnd w:id="14"/>
    </w:p>
    <w:p w:rsidR="00887B58" w:rsidRPr="009072DA" w:rsidRDefault="00887B58" w:rsidP="00887B58">
      <w:pPr>
        <w:pStyle w:val="ES-Titre2"/>
        <w:pageBreakBefore w:val="0"/>
      </w:pPr>
    </w:p>
    <w:p w:rsidR="00436930" w:rsidRPr="009072DA" w:rsidRDefault="00436930" w:rsidP="00887B58">
      <w:pPr>
        <w:pStyle w:val="ES-Titre2"/>
        <w:pageBreakBefore w:val="0"/>
      </w:pPr>
      <w:bookmarkStart w:id="15" w:name="_Toc491854008"/>
      <w:bookmarkStart w:id="16" w:name="_Toc535827449"/>
      <w:r w:rsidRPr="009072DA">
        <w:t>Глава 3</w:t>
      </w:r>
      <w:r w:rsidRPr="009072DA">
        <w:br/>
        <w:t>Изисквания към корабната конструкция</w:t>
      </w:r>
      <w:bookmarkEnd w:id="15"/>
      <w:bookmarkEnd w:id="16"/>
    </w:p>
    <w:p w:rsidR="00887B58" w:rsidRPr="009072DA" w:rsidRDefault="00887B58" w:rsidP="00887B58">
      <w:pPr>
        <w:pStyle w:val="ES-Titre3"/>
        <w:spacing w:line="240" w:lineRule="atLeast"/>
        <w:rPr>
          <w:lang w:val="bg-BG"/>
        </w:rPr>
      </w:pPr>
    </w:p>
    <w:p w:rsidR="003F616C" w:rsidRPr="009072DA" w:rsidRDefault="003F616C" w:rsidP="003F616C">
      <w:pPr>
        <w:pStyle w:val="ES-Titre3"/>
        <w:rPr>
          <w:lang w:val="bg-BG"/>
        </w:rPr>
      </w:pPr>
      <w:bookmarkStart w:id="17" w:name="_Toc491854009"/>
      <w:bookmarkStart w:id="18" w:name="_Toc535827450"/>
      <w:r w:rsidRPr="009072DA">
        <w:rPr>
          <w:lang w:val="bg-BG"/>
        </w:rPr>
        <w:t>Член 3.01</w:t>
      </w:r>
      <w:r w:rsidRPr="009072DA">
        <w:rPr>
          <w:lang w:val="bg-BG"/>
        </w:rPr>
        <w:br/>
      </w:r>
      <w:r w:rsidRPr="009072DA">
        <w:rPr>
          <w:i/>
          <w:lang w:val="bg-BG"/>
        </w:rPr>
        <w:t>Основни правила</w:t>
      </w:r>
      <w:bookmarkEnd w:id="17"/>
      <w:bookmarkEnd w:id="18"/>
    </w:p>
    <w:p w:rsidR="003F616C" w:rsidRPr="009072DA" w:rsidRDefault="003F616C" w:rsidP="003F616C">
      <w:pPr>
        <w:rPr>
          <w:rFonts w:cs="Arial"/>
          <w:szCs w:val="20"/>
          <w:lang w:val="bg-BG"/>
        </w:rPr>
      </w:pPr>
    </w:p>
    <w:p w:rsidR="003F616C" w:rsidRPr="009072DA" w:rsidRDefault="003F616C" w:rsidP="003F616C">
      <w:pPr>
        <w:rPr>
          <w:rFonts w:cs="Arial"/>
          <w:szCs w:val="20"/>
          <w:lang w:val="bg-BG"/>
        </w:rPr>
      </w:pPr>
      <w:r w:rsidRPr="009072DA">
        <w:rPr>
          <w:lang w:val="bg-BG"/>
        </w:rPr>
        <w:t>Плавателните съдове се строят в съответствие с добрата корабостроителна практика.</w:t>
      </w:r>
    </w:p>
    <w:p w:rsidR="003F616C" w:rsidRPr="009072DA" w:rsidRDefault="003F616C" w:rsidP="003F616C">
      <w:pPr>
        <w:rPr>
          <w:rFonts w:cs="Arial"/>
          <w:szCs w:val="20"/>
          <w:lang w:val="bg-BG"/>
        </w:rPr>
      </w:pPr>
    </w:p>
    <w:p w:rsidR="003F616C" w:rsidRPr="009072DA" w:rsidRDefault="003F616C" w:rsidP="003F616C">
      <w:pPr>
        <w:rPr>
          <w:rFonts w:cs="Arial"/>
          <w:szCs w:val="20"/>
          <w:lang w:val="bg-BG"/>
        </w:rPr>
      </w:pPr>
    </w:p>
    <w:p w:rsidR="003F616C" w:rsidRPr="009072DA" w:rsidRDefault="003F616C" w:rsidP="003F616C">
      <w:pPr>
        <w:pStyle w:val="ES-Titre3"/>
        <w:rPr>
          <w:lang w:val="bg-BG"/>
        </w:rPr>
      </w:pPr>
      <w:bookmarkStart w:id="19" w:name="_Toc491854010"/>
      <w:bookmarkStart w:id="20" w:name="_Toc535827451"/>
      <w:r w:rsidRPr="009072DA">
        <w:rPr>
          <w:lang w:val="bg-BG"/>
        </w:rPr>
        <w:t>Член 3.02</w:t>
      </w:r>
      <w:r w:rsidRPr="009072DA">
        <w:rPr>
          <w:lang w:val="bg-BG"/>
        </w:rPr>
        <w:br/>
      </w:r>
      <w:r w:rsidRPr="009072DA">
        <w:rPr>
          <w:i/>
          <w:lang w:val="bg-BG"/>
        </w:rPr>
        <w:t>Якост и устойчивост</w:t>
      </w:r>
      <w:bookmarkEnd w:id="19"/>
      <w:bookmarkEnd w:id="20"/>
    </w:p>
    <w:p w:rsidR="003F616C" w:rsidRPr="009072DA" w:rsidRDefault="003F616C" w:rsidP="003F616C">
      <w:pPr>
        <w:rPr>
          <w:rFonts w:cs="Arial"/>
          <w:szCs w:val="20"/>
          <w:lang w:val="bg-BG"/>
        </w:rPr>
      </w:pPr>
    </w:p>
    <w:p w:rsidR="003F616C" w:rsidRPr="009072DA" w:rsidRDefault="00511BF6" w:rsidP="00511BF6">
      <w:pPr>
        <w:pStyle w:val="ESch"/>
        <w:rPr>
          <w:lang w:val="bg-BG"/>
        </w:rPr>
      </w:pPr>
      <w:r w:rsidRPr="009072DA">
        <w:rPr>
          <w:lang w:val="bg-BG"/>
        </w:rPr>
        <w:t>1.</w:t>
      </w:r>
      <w:r w:rsidRPr="009072DA">
        <w:rPr>
          <w:lang w:val="bg-BG"/>
        </w:rPr>
        <w:tab/>
        <w:t>Корпусът трябва да бъде достатъчно здрав, за да издържи на натоварването, на което обикновено е подложен.</w:t>
      </w:r>
    </w:p>
    <w:p w:rsidR="003F616C" w:rsidRPr="009072DA" w:rsidRDefault="005C7859" w:rsidP="00511BF6">
      <w:pPr>
        <w:pStyle w:val="ESlet"/>
        <w:rPr>
          <w:lang w:val="bg-BG"/>
        </w:rPr>
      </w:pPr>
      <w:r w:rsidRPr="009072DA">
        <w:rPr>
          <w:lang w:val="bg-BG"/>
        </w:rPr>
        <w:t>a)</w:t>
      </w:r>
      <w:r w:rsidRPr="009072DA">
        <w:rPr>
          <w:lang w:val="bg-BG"/>
        </w:rPr>
        <w:tab/>
        <w:t>В случай на новопостроени плавателни съдове или такива със значителни преустройства, които влияят на якостта на корпуса, достатъчната якост следва да се демонстрира с представяне на доказателства за проектни изчисления. Тези доказателства не се изискват, когато е представено удостоверение за класификация или атестация от призната класификационна организация.</w:t>
      </w:r>
    </w:p>
    <w:p w:rsidR="003F616C" w:rsidRPr="009072DA" w:rsidRDefault="005C7859" w:rsidP="00511BF6">
      <w:pPr>
        <w:pStyle w:val="ESlet"/>
        <w:rPr>
          <w:rFonts w:cs="Arial"/>
          <w:szCs w:val="20"/>
          <w:lang w:val="bg-BG"/>
        </w:rPr>
      </w:pPr>
      <w:r w:rsidRPr="009072DA">
        <w:rPr>
          <w:lang w:val="bg-BG"/>
        </w:rPr>
        <w:t>б)</w:t>
      </w:r>
      <w:r w:rsidRPr="009072DA">
        <w:rPr>
          <w:lang w:val="bg-BG"/>
        </w:rPr>
        <w:tab/>
        <w:t>В случай на периодична проверка, минималната дебелина на листите от обшивката на дъното, скула и бордовете на плавателни съдове от стомана следва да бъде не по-малка от по-голямата от стойностите, получени по следните формули:</w:t>
      </w:r>
    </w:p>
    <w:p w:rsidR="00767591" w:rsidRPr="009072DA" w:rsidRDefault="00767591" w:rsidP="00A31E1B">
      <w:pPr>
        <w:spacing w:before="60"/>
        <w:ind w:left="1417"/>
        <w:rPr>
          <w:lang w:val="bg-BG"/>
        </w:rPr>
      </w:pPr>
      <w:r w:rsidRPr="009072DA">
        <w:rPr>
          <w:lang w:val="bg-BG"/>
        </w:rPr>
        <w:t>1.</w:t>
      </w:r>
      <w:r w:rsidRPr="009072DA">
        <w:rPr>
          <w:lang w:val="bg-BG"/>
        </w:rPr>
        <w:tab/>
        <w:t xml:space="preserve">за плавателни съдове с дължина над 40 m: </w:t>
      </w:r>
      <m:oMath>
        <m:sSub>
          <m:sSubPr>
            <m:ctrlPr>
              <w:rPr>
                <w:rFonts w:ascii="Cambria Math" w:hAnsi="Cambria Math" w:cs="Arial"/>
                <w:i/>
                <w:szCs w:val="20"/>
                <w:lang w:val="bg-BG"/>
              </w:rPr>
            </m:ctrlPr>
          </m:sSubPr>
          <m:e>
            <m:r>
              <w:rPr>
                <w:rFonts w:ascii="Cambria Math" w:hAnsi="Cambria Math" w:cs="Arial"/>
                <w:szCs w:val="20"/>
                <w:lang w:val="bg-BG"/>
              </w:rPr>
              <m:t>t</m:t>
            </m:r>
          </m:e>
          <m:sub>
            <m:r>
              <w:rPr>
                <w:rFonts w:ascii="Cambria Math" w:hAnsi="Cambria Math" w:cs="Arial"/>
                <w:szCs w:val="20"/>
                <w:lang w:val="bg-BG"/>
              </w:rPr>
              <m:t>min</m:t>
            </m:r>
          </m:sub>
        </m:sSub>
        <m:r>
          <w:rPr>
            <w:rFonts w:ascii="Cambria Math" w:hAnsi="Cambria Math" w:cs="Arial"/>
            <w:szCs w:val="20"/>
            <w:lang w:val="bg-BG"/>
          </w:rPr>
          <m:t xml:space="preserve">=f ∙b ∙c </m:t>
        </m:r>
        <m:d>
          <m:dPr>
            <m:ctrlPr>
              <w:rPr>
                <w:rFonts w:ascii="Cambria Math" w:hAnsi="Cambria Math" w:cs="Arial"/>
                <w:i/>
                <w:szCs w:val="20"/>
                <w:lang w:val="bg-BG"/>
              </w:rPr>
            </m:ctrlPr>
          </m:dPr>
          <m:e>
            <m:r>
              <w:rPr>
                <w:rFonts w:ascii="Cambria Math" w:hAnsi="Cambria Math" w:cs="Arial"/>
                <w:szCs w:val="20"/>
                <w:lang w:val="bg-BG"/>
              </w:rPr>
              <m:t>2,3+0,04 L</m:t>
            </m:r>
          </m:e>
        </m:d>
        <m:d>
          <m:dPr>
            <m:begChr m:val="["/>
            <m:endChr m:val="]"/>
            <m:ctrlPr>
              <w:rPr>
                <w:rFonts w:ascii="Cambria Math" w:hAnsi="Cambria Math" w:cs="Arial"/>
                <w:i/>
                <w:szCs w:val="20"/>
                <w:lang w:val="bg-BG"/>
              </w:rPr>
            </m:ctrlPr>
          </m:dPr>
          <m:e>
            <m:r>
              <w:rPr>
                <w:rFonts w:ascii="Cambria Math" w:hAnsi="Cambria Math" w:cs="Arial"/>
                <w:szCs w:val="20"/>
                <w:lang w:val="bg-BG"/>
              </w:rPr>
              <m:t>mm</m:t>
            </m:r>
          </m:e>
        </m:d>
        <m:r>
          <w:rPr>
            <w:rFonts w:ascii="Cambria Math" w:hAnsi="Cambria Math" w:cs="Arial"/>
            <w:szCs w:val="20"/>
            <w:lang w:val="bg-BG"/>
          </w:rPr>
          <m:t>;</m:t>
        </m:r>
      </m:oMath>
    </w:p>
    <w:p w:rsidR="00767591" w:rsidRPr="009072DA" w:rsidRDefault="00767591" w:rsidP="00767591">
      <w:pPr>
        <w:spacing w:before="60" w:line="240" w:lineRule="atLeast"/>
        <w:ind w:left="1418"/>
        <w:rPr>
          <w:rFonts w:eastAsia="Calibri"/>
          <w:lang w:val="bg-BG"/>
        </w:rPr>
      </w:pPr>
      <w:r w:rsidRPr="009072DA">
        <w:rPr>
          <w:lang w:val="bg-BG"/>
        </w:rPr>
        <w:t xml:space="preserve">за плавателни съдове с дължина не повече от 40 m: </w:t>
      </w:r>
      <m:oMath>
        <m:sSub>
          <m:sSubPr>
            <m:ctrlPr>
              <w:rPr>
                <w:rFonts w:ascii="Cambria Math" w:hAnsi="Cambria Math" w:cs="Arial"/>
                <w:i/>
                <w:szCs w:val="20"/>
                <w:lang w:val="bg-BG"/>
              </w:rPr>
            </m:ctrlPr>
          </m:sSubPr>
          <m:e>
            <m:r>
              <w:rPr>
                <w:rFonts w:ascii="Cambria Math" w:hAnsi="Cambria Math" w:cs="Arial"/>
                <w:szCs w:val="20"/>
                <w:lang w:val="bg-BG"/>
              </w:rPr>
              <m:t>t</m:t>
            </m:r>
          </m:e>
          <m:sub>
            <m:r>
              <w:rPr>
                <w:rFonts w:ascii="Cambria Math" w:hAnsi="Cambria Math" w:cs="Arial"/>
                <w:szCs w:val="20"/>
                <w:lang w:val="bg-BG"/>
              </w:rPr>
              <m:t>min</m:t>
            </m:r>
          </m:sub>
        </m:sSub>
        <m:r>
          <w:rPr>
            <w:rFonts w:ascii="Cambria Math" w:hAnsi="Cambria Math" w:cs="Arial"/>
            <w:szCs w:val="20"/>
            <w:lang w:val="bg-BG"/>
          </w:rPr>
          <m:t xml:space="preserve">=f ∙b ∙c </m:t>
        </m:r>
        <m:d>
          <m:dPr>
            <m:ctrlPr>
              <w:rPr>
                <w:rFonts w:ascii="Cambria Math" w:hAnsi="Cambria Math" w:cs="Arial"/>
                <w:i/>
                <w:szCs w:val="20"/>
                <w:lang w:val="bg-BG"/>
              </w:rPr>
            </m:ctrlPr>
          </m:dPr>
          <m:e>
            <m:r>
              <w:rPr>
                <w:rFonts w:ascii="Cambria Math" w:hAnsi="Cambria Math" w:cs="Arial"/>
                <w:szCs w:val="20"/>
                <w:lang w:val="bg-BG"/>
              </w:rPr>
              <m:t>1,5+0,06 L</m:t>
            </m:r>
          </m:e>
        </m:d>
        <m:d>
          <m:dPr>
            <m:begChr m:val="["/>
            <m:endChr m:val="]"/>
            <m:ctrlPr>
              <w:rPr>
                <w:rFonts w:ascii="Cambria Math" w:hAnsi="Cambria Math" w:cs="Arial"/>
                <w:i/>
                <w:szCs w:val="20"/>
                <w:lang w:val="bg-BG"/>
              </w:rPr>
            </m:ctrlPr>
          </m:dPr>
          <m:e>
            <m:r>
              <w:rPr>
                <w:rFonts w:ascii="Cambria Math" w:hAnsi="Cambria Math" w:cs="Arial"/>
                <w:szCs w:val="20"/>
                <w:lang w:val="bg-BG"/>
              </w:rPr>
              <m:t>mm</m:t>
            </m:r>
          </m:e>
        </m:d>
        <m:r>
          <w:rPr>
            <w:rFonts w:ascii="Cambria Math" w:hAnsi="Cambria Math" w:cs="Arial"/>
            <w:szCs w:val="20"/>
            <w:lang w:val="bg-BG"/>
          </w:rPr>
          <m:t xml:space="preserve">, </m:t>
        </m:r>
      </m:oMath>
      <w:r w:rsidRPr="009072DA">
        <w:rPr>
          <w:lang w:val="bg-BG"/>
        </w:rPr>
        <w:t>но не по-малко от 3,00 mm.</w:t>
      </w:r>
    </w:p>
    <w:p w:rsidR="00767591" w:rsidRPr="009072DA" w:rsidRDefault="00767591" w:rsidP="00767591">
      <w:pPr>
        <w:spacing w:before="60" w:line="240" w:lineRule="atLeast"/>
        <w:ind w:left="1418"/>
        <w:rPr>
          <w:rFonts w:eastAsia="Calibri"/>
          <w:lang w:val="bg-BG"/>
        </w:rPr>
      </w:pPr>
      <w:r w:rsidRPr="009072DA">
        <w:rPr>
          <w:lang w:val="bg-BG"/>
        </w:rPr>
        <w:t>2.</w:t>
      </w:r>
      <w:r w:rsidRPr="009072DA">
        <w:rPr>
          <w:lang w:val="bg-BG"/>
        </w:rPr>
        <w:tab/>
      </w:r>
      <m:oMath>
        <m:r>
          <w:rPr>
            <w:rFonts w:ascii="Cambria Math" w:eastAsia="Calibri" w:hAnsi="Cambria Math"/>
            <w:lang w:val="bg-BG"/>
          </w:rPr>
          <m:t>t</m:t>
        </m:r>
        <m:r>
          <w:rPr>
            <w:rFonts w:ascii="Cambria Math" w:eastAsia="Calibri" w:hAnsi="Cambria Math"/>
            <w:snapToGrid w:val="0"/>
            <w:color w:val="000000"/>
            <w:position w:val="-6"/>
            <w:sz w:val="14"/>
            <w:lang w:val="bg-BG"/>
          </w:rPr>
          <m:t>min</m:t>
        </m:r>
        <m:r>
          <w:rPr>
            <w:rFonts w:ascii="Cambria Math" w:eastAsia="Calibri" w:hAnsi="Cambria Math"/>
            <w:lang w:val="bg-BG"/>
          </w:rPr>
          <m:t xml:space="preserve"> = 0,005 ∙ a </m:t>
        </m:r>
        <m:r>
          <m:rPr>
            <m:sty m:val="p"/>
          </m:rPr>
          <w:rPr>
            <w:rFonts w:ascii="Cambria Math" w:eastAsia="Calibri" w:hAnsi="Cambria Math"/>
            <w:noProof/>
            <w:lang w:eastAsia="en-GB"/>
          </w:rPr>
          <w:drawing>
            <wp:inline distT="0" distB="0" distL="0" distR="0" wp14:anchorId="35491986" wp14:editId="506507CA">
              <wp:extent cx="273050" cy="273050"/>
              <wp:effectExtent l="0" t="0" r="0" b="0"/>
              <wp:docPr id="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inline>
          </w:drawing>
        </m:r>
        <m:r>
          <w:rPr>
            <w:rFonts w:ascii="Cambria Math" w:eastAsia="Calibri" w:hAnsi="Cambria Math"/>
            <w:lang w:val="bg-BG"/>
          </w:rPr>
          <m:t xml:space="preserve"> [mm].</m:t>
        </m:r>
      </m:oMath>
    </w:p>
    <w:p w:rsidR="00767591" w:rsidRPr="009072DA" w:rsidRDefault="00767591" w:rsidP="00767591">
      <w:pPr>
        <w:rPr>
          <w:lang w:val="bg-BG"/>
        </w:rPr>
      </w:pPr>
    </w:p>
    <w:p w:rsidR="003F616C" w:rsidRPr="009072DA" w:rsidRDefault="003F616C" w:rsidP="00767591">
      <w:pPr>
        <w:ind w:left="1417"/>
        <w:rPr>
          <w:lang w:val="bg-BG"/>
        </w:rPr>
      </w:pPr>
      <w:r w:rsidRPr="009072DA">
        <w:rPr>
          <w:lang w:val="bg-BG"/>
        </w:rPr>
        <w:t>където:</w:t>
      </w:r>
    </w:p>
    <w:p w:rsidR="003F616C" w:rsidRPr="009072DA" w:rsidRDefault="00431542" w:rsidP="00511BF6">
      <w:pPr>
        <w:tabs>
          <w:tab w:val="left" w:pos="1418"/>
          <w:tab w:val="left" w:pos="1843"/>
        </w:tabs>
        <w:spacing w:before="60" w:line="240" w:lineRule="atLeast"/>
        <w:ind w:left="1843" w:hanging="850"/>
        <w:rPr>
          <w:rFonts w:eastAsia="Calibri"/>
          <w:lang w:val="bg-BG"/>
        </w:rPr>
      </w:pPr>
      <m:oMath>
        <m:r>
          <w:rPr>
            <w:rFonts w:ascii="Cambria Math" w:eastAsia="Calibri" w:hAnsi="Cambria Math"/>
            <w:lang w:val="bg-BG"/>
          </w:rPr>
          <m:t>a</m:t>
        </m:r>
      </m:oMath>
      <w:r w:rsidRPr="009072DA">
        <w:rPr>
          <w:lang w:val="bg-BG"/>
        </w:rPr>
        <w:tab/>
        <w:t>=</w:t>
      </w:r>
      <w:r w:rsidRPr="009072DA">
        <w:rPr>
          <w:lang w:val="bg-BG"/>
        </w:rPr>
        <w:tab/>
        <w:t>разстоянието между дънните ребра на плавателния съд (mm);</w:t>
      </w:r>
    </w:p>
    <w:p w:rsidR="003F616C" w:rsidRPr="009072DA" w:rsidRDefault="00431542" w:rsidP="00511BF6">
      <w:pPr>
        <w:tabs>
          <w:tab w:val="left" w:pos="1418"/>
          <w:tab w:val="left" w:pos="1843"/>
        </w:tabs>
        <w:spacing w:before="60" w:line="240" w:lineRule="atLeast"/>
        <w:ind w:left="1843" w:hanging="850"/>
        <w:rPr>
          <w:rFonts w:eastAsia="Calibri"/>
          <w:lang w:val="bg-BG"/>
        </w:rPr>
      </w:pPr>
      <m:oMath>
        <m:r>
          <w:rPr>
            <w:rFonts w:ascii="Cambria Math" w:eastAsia="Calibri" w:hAnsi="Cambria Math"/>
            <w:lang w:val="bg-BG"/>
          </w:rPr>
          <w:lastRenderedPageBreak/>
          <m:t>f</m:t>
        </m:r>
      </m:oMath>
      <w:r w:rsidRPr="009072DA">
        <w:rPr>
          <w:lang w:val="bg-BG"/>
        </w:rPr>
        <w:tab/>
        <w:t>=</w:t>
      </w:r>
      <w:r w:rsidRPr="009072DA">
        <w:rPr>
          <w:lang w:val="bg-BG"/>
        </w:rPr>
        <w:tab/>
        <w:t>коефициент, зависещ от разстоянието между дънните ребра на корпуса</w:t>
      </w:r>
    </w:p>
    <w:p w:rsidR="00767591" w:rsidRPr="009072DA" w:rsidRDefault="00731F17" w:rsidP="00511BF6">
      <w:pPr>
        <w:tabs>
          <w:tab w:val="left" w:pos="2268"/>
        </w:tabs>
        <w:spacing w:before="60" w:line="240" w:lineRule="atLeast"/>
        <w:ind w:left="2694" w:hanging="851"/>
        <w:rPr>
          <w:rFonts w:eastAsia="Calibri"/>
          <w:lang w:val="bg-BG"/>
        </w:rPr>
      </w:pPr>
      <m:oMath>
        <m:r>
          <w:rPr>
            <w:rFonts w:ascii="Cambria Math" w:eastAsia="Calibri" w:hAnsi="Cambria Math"/>
            <w:lang w:val="bg-BG"/>
          </w:rPr>
          <m:t>f = 1</m:t>
        </m:r>
      </m:oMath>
      <w:r w:rsidRPr="009072DA">
        <w:rPr>
          <w:lang w:val="bg-BG"/>
        </w:rPr>
        <w:t xml:space="preserve"> за </w:t>
      </w:r>
      <m:oMath>
        <m:r>
          <w:rPr>
            <w:rFonts w:ascii="Cambria Math" w:eastAsia="Calibri" w:hAnsi="Cambria Math"/>
            <w:lang w:val="bg-BG"/>
          </w:rPr>
          <m:t>a ≤500 mm,</m:t>
        </m:r>
      </m:oMath>
      <w:r w:rsidRPr="009072DA">
        <w:rPr>
          <w:lang w:val="bg-BG"/>
        </w:rPr>
        <w:t xml:space="preserve"> </w:t>
      </w:r>
    </w:p>
    <w:p w:rsidR="003F616C" w:rsidRPr="009072DA" w:rsidRDefault="00731F17" w:rsidP="00511BF6">
      <w:pPr>
        <w:tabs>
          <w:tab w:val="left" w:pos="2268"/>
        </w:tabs>
        <w:spacing w:before="60" w:line="240" w:lineRule="atLeast"/>
        <w:ind w:left="2694" w:hanging="851"/>
        <w:rPr>
          <w:rFonts w:eastAsia="Calibri"/>
          <w:lang w:val="bg-BG"/>
        </w:rPr>
      </w:pPr>
      <m:oMath>
        <m:r>
          <w:rPr>
            <w:rFonts w:ascii="Cambria Math" w:eastAsia="Calibri" w:hAnsi="Cambria Math"/>
            <w:lang w:val="bg-BG"/>
          </w:rPr>
          <m:t>f= 1 + 0,0013 (a - 500)</m:t>
        </m:r>
      </m:oMath>
      <w:r w:rsidRPr="009072DA">
        <w:rPr>
          <w:lang w:val="bg-BG"/>
        </w:rPr>
        <w:t xml:space="preserve"> за </w:t>
      </w:r>
      <m:oMath>
        <m:r>
          <w:rPr>
            <w:rFonts w:ascii="Cambria Math" w:eastAsia="Calibri" w:hAnsi="Cambria Math"/>
            <w:lang w:val="bg-BG"/>
          </w:rPr>
          <m:t>a &gt; 500 mm;</m:t>
        </m:r>
      </m:oMath>
    </w:p>
    <w:p w:rsidR="003F616C" w:rsidRPr="009072DA" w:rsidRDefault="00431542" w:rsidP="00511BF6">
      <w:pPr>
        <w:tabs>
          <w:tab w:val="left" w:pos="1418"/>
          <w:tab w:val="left" w:pos="1843"/>
        </w:tabs>
        <w:spacing w:before="60" w:line="240" w:lineRule="atLeast"/>
        <w:ind w:left="1843" w:hanging="850"/>
        <w:rPr>
          <w:rFonts w:eastAsia="Calibri"/>
          <w:lang w:val="bg-BG"/>
        </w:rPr>
      </w:pPr>
      <m:oMath>
        <m:r>
          <w:rPr>
            <w:rFonts w:ascii="Cambria Math" w:eastAsia="Calibri" w:hAnsi="Cambria Math"/>
            <w:lang w:val="bg-BG"/>
          </w:rPr>
          <m:t>b</m:t>
        </m:r>
      </m:oMath>
      <w:r w:rsidRPr="009072DA">
        <w:rPr>
          <w:lang w:val="bg-BG"/>
        </w:rPr>
        <w:tab/>
        <w:t>=</w:t>
      </w:r>
      <w:r w:rsidRPr="009072DA">
        <w:rPr>
          <w:lang w:val="bg-BG"/>
        </w:rPr>
        <w:tab/>
        <w:t>коефициент за обшивката на дъно, бордове или скул</w:t>
      </w:r>
    </w:p>
    <w:p w:rsidR="003F616C" w:rsidRPr="009072DA" w:rsidRDefault="00731F17" w:rsidP="00511BF6">
      <w:pPr>
        <w:tabs>
          <w:tab w:val="left" w:pos="2268"/>
        </w:tabs>
        <w:spacing w:before="60" w:line="240" w:lineRule="atLeast"/>
        <w:ind w:left="2694" w:hanging="851"/>
        <w:rPr>
          <w:rFonts w:eastAsia="Calibri"/>
          <w:lang w:val="bg-BG"/>
        </w:rPr>
      </w:pPr>
      <m:oMath>
        <m:r>
          <w:rPr>
            <w:rFonts w:ascii="Cambria Math" w:eastAsia="Calibri" w:hAnsi="Cambria Math"/>
            <w:lang w:val="bg-BG"/>
          </w:rPr>
          <m:t>b = 1,0</m:t>
        </m:r>
      </m:oMath>
      <w:r w:rsidRPr="009072DA">
        <w:rPr>
          <w:lang w:val="bg-BG"/>
        </w:rPr>
        <w:t xml:space="preserve"> за дънна и бордова обшивка, </w:t>
      </w:r>
    </w:p>
    <w:p w:rsidR="003F616C" w:rsidRPr="009072DA" w:rsidRDefault="00731F17" w:rsidP="00511BF6">
      <w:pPr>
        <w:tabs>
          <w:tab w:val="left" w:pos="2268"/>
        </w:tabs>
        <w:spacing w:before="60" w:line="240" w:lineRule="atLeast"/>
        <w:ind w:left="2694" w:hanging="851"/>
        <w:rPr>
          <w:rFonts w:eastAsia="Calibri"/>
          <w:lang w:val="bg-BG"/>
        </w:rPr>
      </w:pPr>
      <m:oMath>
        <m:r>
          <w:rPr>
            <w:rFonts w:ascii="Cambria Math" w:eastAsia="Calibri" w:hAnsi="Cambria Math"/>
            <w:lang w:val="bg-BG"/>
          </w:rPr>
          <m:t>b = 1,25</m:t>
        </m:r>
      </m:oMath>
      <w:r w:rsidRPr="009072DA">
        <w:rPr>
          <w:lang w:val="bg-BG"/>
        </w:rPr>
        <w:t xml:space="preserve"> за скулови листове.</w:t>
      </w:r>
    </w:p>
    <w:p w:rsidR="00767591" w:rsidRPr="009072DA" w:rsidRDefault="00767591" w:rsidP="00767591">
      <w:pPr>
        <w:rPr>
          <w:rFonts w:cs="Arial"/>
          <w:szCs w:val="20"/>
          <w:lang w:val="bg-BG"/>
        </w:rPr>
      </w:pPr>
    </w:p>
    <w:p w:rsidR="003F616C" w:rsidRPr="009072DA" w:rsidRDefault="00731F17" w:rsidP="009058C5">
      <w:pPr>
        <w:tabs>
          <w:tab w:val="left" w:pos="1418"/>
          <w:tab w:val="left" w:pos="1843"/>
        </w:tabs>
        <w:spacing w:before="60" w:line="240" w:lineRule="atLeast"/>
        <w:ind w:left="1843" w:hanging="850"/>
        <w:rPr>
          <w:rFonts w:eastAsia="Calibri"/>
          <w:lang w:val="bg-BG"/>
        </w:rPr>
      </w:pPr>
      <m:oMath>
        <m:r>
          <w:rPr>
            <w:rFonts w:ascii="Cambria Math" w:hAnsi="Cambria Math" w:cs="Arial"/>
            <w:lang w:val="bg-BG"/>
          </w:rPr>
          <m:t>f = 1</m:t>
        </m:r>
      </m:oMath>
      <w:r w:rsidRPr="009072DA">
        <w:rPr>
          <w:lang w:val="bg-BG"/>
        </w:rPr>
        <w:tab/>
        <w:t>може да се приеме за разстоянието между дънните ребра на плавателния съд, когато се пресмята минималната дебелина на бордовата обшивка. Обаче минималната дебелина на скуловия пояс не може да бъде по-малка от дебелината на обшивката на дъното или борда.</w:t>
      </w:r>
    </w:p>
    <w:p w:rsidR="003F616C" w:rsidRPr="009072DA" w:rsidRDefault="00431542" w:rsidP="009058C5">
      <w:pPr>
        <w:tabs>
          <w:tab w:val="left" w:pos="1418"/>
          <w:tab w:val="left" w:pos="1843"/>
        </w:tabs>
        <w:spacing w:before="60" w:line="240" w:lineRule="atLeast"/>
        <w:ind w:left="1843" w:hanging="850"/>
        <w:rPr>
          <w:rFonts w:eastAsia="Calibri"/>
          <w:lang w:val="bg-BG"/>
        </w:rPr>
      </w:pPr>
      <m:oMath>
        <m:r>
          <w:rPr>
            <w:rFonts w:ascii="Cambria Math" w:eastAsia="Calibri" w:hAnsi="Cambria Math"/>
            <w:lang w:val="bg-BG"/>
          </w:rPr>
          <m:t>c</m:t>
        </m:r>
      </m:oMath>
      <w:r w:rsidRPr="009072DA">
        <w:rPr>
          <w:lang w:val="bg-BG"/>
        </w:rPr>
        <w:tab/>
        <w:t>=</w:t>
      </w:r>
      <w:r w:rsidRPr="009072DA">
        <w:rPr>
          <w:lang w:val="bg-BG"/>
        </w:rPr>
        <w:tab/>
        <w:t>коефициент, зависещ от типа на конструкцията:</w:t>
      </w:r>
    </w:p>
    <w:p w:rsidR="00767591" w:rsidRPr="009072DA" w:rsidRDefault="00731F17" w:rsidP="00731F17">
      <w:pPr>
        <w:tabs>
          <w:tab w:val="left" w:pos="2835"/>
        </w:tabs>
        <w:spacing w:before="60" w:line="240" w:lineRule="atLeast"/>
        <w:ind w:left="2835" w:hanging="992"/>
        <w:rPr>
          <w:rFonts w:eastAsia="Calibri"/>
          <w:lang w:val="bg-BG"/>
        </w:rPr>
      </w:pPr>
      <m:oMath>
        <m:r>
          <w:rPr>
            <w:rFonts w:ascii="Cambria Math" w:eastAsia="Calibri" w:hAnsi="Cambria Math"/>
            <w:lang w:val="bg-BG"/>
          </w:rPr>
          <m:t>c = 0,95</m:t>
        </m:r>
      </m:oMath>
      <w:r w:rsidRPr="009072DA">
        <w:rPr>
          <w:lang w:val="bg-BG"/>
        </w:rPr>
        <w:tab/>
        <w:t>за плавателни съдове с двойно дъно и кух отсек, когато преградата между кухия отсек и трюма е на една линия по вертикалата с комингса,</w:t>
      </w:r>
    </w:p>
    <w:p w:rsidR="003F616C" w:rsidRPr="009072DA" w:rsidRDefault="00731F17" w:rsidP="00731F17">
      <w:pPr>
        <w:tabs>
          <w:tab w:val="left" w:pos="2835"/>
        </w:tabs>
        <w:spacing w:before="60" w:line="240" w:lineRule="atLeast"/>
        <w:ind w:left="2835" w:hanging="992"/>
        <w:rPr>
          <w:rFonts w:eastAsia="Calibri"/>
          <w:lang w:val="bg-BG"/>
        </w:rPr>
      </w:pPr>
      <m:oMath>
        <m:r>
          <w:rPr>
            <w:rFonts w:ascii="Cambria Math" w:eastAsia="Calibri" w:hAnsi="Cambria Math"/>
            <w:lang w:val="bg-BG"/>
          </w:rPr>
          <m:t>c = 1,0</m:t>
        </m:r>
      </m:oMath>
      <w:r w:rsidRPr="009072DA">
        <w:rPr>
          <w:lang w:val="bg-BG"/>
        </w:rPr>
        <w:tab/>
        <w:t>за всички други типове конструкции.</w:t>
      </w:r>
    </w:p>
    <w:p w:rsidR="003F616C" w:rsidRPr="009072DA" w:rsidRDefault="00850AFF" w:rsidP="00511BF6">
      <w:pPr>
        <w:pStyle w:val="ESlet"/>
        <w:rPr>
          <w:lang w:val="bg-BG"/>
        </w:rPr>
      </w:pPr>
      <w:r w:rsidRPr="009072DA">
        <w:rPr>
          <w:lang w:val="bg-BG"/>
        </w:rPr>
        <w:br w:type="page"/>
      </w:r>
      <w:r w:rsidRPr="009072DA">
        <w:rPr>
          <w:lang w:val="bg-BG"/>
        </w:rPr>
        <w:lastRenderedPageBreak/>
        <w:t>в)</w:t>
      </w:r>
      <w:r w:rsidRPr="009072DA">
        <w:rPr>
          <w:lang w:val="bg-BG"/>
        </w:rPr>
        <w:tab/>
        <w:t>В плавателните съдове с надлъжни прегради, имащи двойно дъно и кухи отсеци, минималната стойност, изчислена за дебелината на обшивката съгласно формулите в буква б), може да бъде намалена до изчислена стойност, удостоверена от призната класификационна организация като достатъчна якост на корпуса (надлъжна, напречна и местна якост).</w:t>
      </w:r>
    </w:p>
    <w:p w:rsidR="003F616C" w:rsidRPr="009072DA" w:rsidRDefault="003F616C" w:rsidP="009058C5">
      <w:pPr>
        <w:pStyle w:val="ESletpar"/>
        <w:rPr>
          <w:lang w:val="bg-BG"/>
        </w:rPr>
      </w:pPr>
      <w:r w:rsidRPr="009072DA">
        <w:rPr>
          <w:lang w:val="bg-BG"/>
        </w:rPr>
        <w:t>Обшивката се подменя, ако дебелината на листите на обшивката на дъното, скула и бордовете се окаже под допустимите стойности, определени по този начин.</w:t>
      </w:r>
    </w:p>
    <w:p w:rsidR="003F616C" w:rsidRPr="009072DA" w:rsidRDefault="003F616C" w:rsidP="009058C5">
      <w:pPr>
        <w:pStyle w:val="ESletpar"/>
        <w:rPr>
          <w:rFonts w:cs="Arial"/>
          <w:szCs w:val="20"/>
          <w:lang w:val="bg-BG"/>
        </w:rPr>
      </w:pPr>
      <w:r w:rsidRPr="009072DA">
        <w:rPr>
          <w:lang w:val="bg-BG"/>
        </w:rPr>
        <w:t>Минималните стойности, изчислени в съответствие с метода, са пределни стойности, като се взема предвид нормално и еднакво ниво на изхабяване и при условие че се използва корабостроителна стомана и вътрешните конструктивни части, като например рами, дънен шпангоут, основните надлъжни и напречни конструктивни елементи са в добро състояние и че корпусът не показва признаци за никакво претоварване на надлъжната якост.</w:t>
      </w:r>
    </w:p>
    <w:p w:rsidR="003F616C" w:rsidRPr="009072DA" w:rsidRDefault="003F616C" w:rsidP="009058C5">
      <w:pPr>
        <w:pStyle w:val="ESletpar"/>
        <w:rPr>
          <w:rFonts w:cs="Arial"/>
          <w:szCs w:val="20"/>
          <w:lang w:val="bg-BG"/>
        </w:rPr>
      </w:pPr>
      <w:r w:rsidRPr="009072DA">
        <w:rPr>
          <w:lang w:val="bg-BG"/>
        </w:rPr>
        <w:t>Ако като тези стойности не могат да бъдат постигани, въпросните листове се ремонтират или заменят. Все пак се допускат по-малки дебелини (с разлика не повече от 10 % от изчислените стойности)за отделни места за малки области.</w:t>
      </w:r>
    </w:p>
    <w:p w:rsidR="00767591" w:rsidRPr="009072DA" w:rsidRDefault="00767591" w:rsidP="006A4BCB">
      <w:pPr>
        <w:pStyle w:val="ESch"/>
        <w:rPr>
          <w:lang w:val="bg-BG"/>
        </w:rPr>
      </w:pPr>
    </w:p>
    <w:p w:rsidR="003F616C" w:rsidRPr="009072DA" w:rsidRDefault="003F616C" w:rsidP="008E6308">
      <w:pPr>
        <w:pStyle w:val="ESch"/>
        <w:rPr>
          <w:lang w:val="bg-BG"/>
        </w:rPr>
      </w:pPr>
      <w:r w:rsidRPr="009072DA">
        <w:rPr>
          <w:lang w:val="bg-BG"/>
        </w:rPr>
        <w:t>2.</w:t>
      </w:r>
      <w:r w:rsidRPr="009072DA">
        <w:rPr>
          <w:lang w:val="bg-BG"/>
        </w:rPr>
        <w:tab/>
        <w:t>Когато се използва материал, различен от стомана, за построяването на корпуса, чрез изчисления се доказва, че якостта на корпуса (надлъжна, напречна и местна) е най-малко равна на якостта, която би била постигната при използване на стомана при допускане на минимална дебелина в съответствие с точка 1. Ако са представени удостоверение за клас или декларация, издадени от призната класификационна организация, доказването с изчисления може да бъде пропуснато.</w:t>
      </w:r>
    </w:p>
    <w:p w:rsidR="00767591" w:rsidRPr="009072DA" w:rsidRDefault="00767591" w:rsidP="003F616C">
      <w:pPr>
        <w:rPr>
          <w:rFonts w:cs="Arial"/>
          <w:szCs w:val="20"/>
          <w:lang w:val="bg-BG"/>
        </w:rPr>
      </w:pPr>
    </w:p>
    <w:p w:rsidR="003F616C" w:rsidRPr="009072DA" w:rsidRDefault="003F616C" w:rsidP="008E6308">
      <w:pPr>
        <w:pStyle w:val="ESch"/>
        <w:rPr>
          <w:lang w:val="bg-BG"/>
        </w:rPr>
      </w:pPr>
      <w:r w:rsidRPr="009072DA">
        <w:rPr>
          <w:lang w:val="bg-BG"/>
        </w:rPr>
        <w:t>3.</w:t>
      </w:r>
      <w:r w:rsidRPr="009072DA">
        <w:rPr>
          <w:lang w:val="bg-BG"/>
        </w:rPr>
        <w:tab/>
        <w:t>Устойчивостта на плавателните съдове трябва да съответства на предвидената им употреба.</w:t>
      </w:r>
    </w:p>
    <w:p w:rsidR="00767591" w:rsidRPr="009072DA" w:rsidRDefault="00767591" w:rsidP="003F616C">
      <w:pPr>
        <w:rPr>
          <w:rFonts w:cs="Arial"/>
          <w:i/>
          <w:szCs w:val="20"/>
          <w:lang w:val="bg-BG"/>
        </w:rPr>
      </w:pPr>
    </w:p>
    <w:p w:rsidR="00767591" w:rsidRPr="009072DA" w:rsidRDefault="00767591" w:rsidP="003F616C">
      <w:pPr>
        <w:rPr>
          <w:rFonts w:cs="Arial"/>
          <w:i/>
          <w:szCs w:val="20"/>
          <w:lang w:val="bg-BG"/>
        </w:rPr>
      </w:pPr>
    </w:p>
    <w:p w:rsidR="003F616C" w:rsidRPr="009072DA" w:rsidRDefault="003F616C" w:rsidP="00767591">
      <w:pPr>
        <w:pStyle w:val="ES-Titre3"/>
        <w:rPr>
          <w:lang w:val="bg-BG"/>
        </w:rPr>
      </w:pPr>
      <w:bookmarkStart w:id="21" w:name="_Toc491854011"/>
      <w:bookmarkStart w:id="22" w:name="_Toc535827452"/>
      <w:r w:rsidRPr="009072DA">
        <w:rPr>
          <w:lang w:val="bg-BG"/>
        </w:rPr>
        <w:t>Член 3.03</w:t>
      </w:r>
      <w:r w:rsidRPr="009072DA">
        <w:rPr>
          <w:lang w:val="bg-BG"/>
        </w:rPr>
        <w:br/>
      </w:r>
      <w:r w:rsidRPr="009072DA">
        <w:rPr>
          <w:i/>
          <w:lang w:val="bg-BG"/>
        </w:rPr>
        <w:t>Корпус</w:t>
      </w:r>
      <w:bookmarkEnd w:id="21"/>
      <w:bookmarkEnd w:id="22"/>
    </w:p>
    <w:p w:rsidR="00767591" w:rsidRPr="009072DA" w:rsidRDefault="00767591" w:rsidP="003F616C">
      <w:pPr>
        <w:rPr>
          <w:rFonts w:cs="Arial"/>
          <w:szCs w:val="20"/>
          <w:lang w:val="bg-BG"/>
        </w:rPr>
      </w:pPr>
    </w:p>
    <w:p w:rsidR="003F616C" w:rsidRPr="009072DA" w:rsidRDefault="003F616C" w:rsidP="009058C5">
      <w:pPr>
        <w:pStyle w:val="ESch"/>
        <w:rPr>
          <w:lang w:val="bg-BG"/>
        </w:rPr>
      </w:pPr>
      <w:r w:rsidRPr="009072DA">
        <w:rPr>
          <w:lang w:val="bg-BG"/>
        </w:rPr>
        <w:t>1.</w:t>
      </w:r>
      <w:r w:rsidRPr="009072DA">
        <w:rPr>
          <w:lang w:val="bg-BG"/>
        </w:rPr>
        <w:tab/>
        <w:t>Прегради, издигащи се до палубата, а ако няма палуба — до планшира, трябва да бъдат монтирани в следните точки:</w:t>
      </w:r>
    </w:p>
    <w:p w:rsidR="003F616C" w:rsidRPr="009072DA" w:rsidRDefault="005C7859" w:rsidP="008E6308">
      <w:pPr>
        <w:pStyle w:val="ESlet"/>
        <w:rPr>
          <w:lang w:val="bg-BG"/>
        </w:rPr>
      </w:pPr>
      <w:r w:rsidRPr="009072DA">
        <w:rPr>
          <w:lang w:val="bg-BG"/>
        </w:rPr>
        <w:t>a)</w:t>
      </w:r>
      <w:r w:rsidRPr="009072DA">
        <w:rPr>
          <w:lang w:val="bg-BG"/>
        </w:rPr>
        <w:tab/>
        <w:t>Първата носова непроницаема преграда се разполага на подходящо разстояние от носа на плавателния съд така, че да се осигури плавателността на натоварен плавателен съд при остатъчно разстояние на безопасност от 100 mm при навлизане на вода във водонепроницаемия отсек пред първата носова непроницаема преграда.</w:t>
      </w:r>
    </w:p>
    <w:p w:rsidR="003F616C" w:rsidRPr="009072DA" w:rsidRDefault="003F616C" w:rsidP="008E6308">
      <w:pPr>
        <w:pStyle w:val="ESletpar"/>
        <w:rPr>
          <w:lang w:val="bg-BG"/>
        </w:rPr>
      </w:pPr>
      <w:r w:rsidRPr="009072DA">
        <w:rPr>
          <w:lang w:val="bg-BG"/>
        </w:rPr>
        <w:t xml:space="preserve">В общия случай изискването, посочено в първа алинея, се счита за изпълнено, когато първата носова непроницаема преграда е поставена на разстояние между </w:t>
      </w:r>
      <m:oMath>
        <m:r>
          <w:rPr>
            <w:rFonts w:ascii="Cambria Math" w:hAnsi="Cambria Math" w:cs="Arial"/>
            <w:szCs w:val="20"/>
            <w:lang w:val="bg-BG"/>
          </w:rPr>
          <m:t>0,04 L</m:t>
        </m:r>
      </m:oMath>
      <w:r w:rsidRPr="009072DA">
        <w:rPr>
          <w:lang w:val="bg-BG"/>
        </w:rPr>
        <w:t xml:space="preserve"> и </w:t>
      </w:r>
      <m:oMath>
        <m:r>
          <w:rPr>
            <w:rFonts w:ascii="Cambria Math" w:hAnsi="Cambria Math" w:cs="Arial"/>
            <w:szCs w:val="20"/>
            <w:lang w:val="bg-BG"/>
          </w:rPr>
          <w:lastRenderedPageBreak/>
          <m:t>0,04 L + 2 m</m:t>
        </m:r>
      </m:oMath>
      <w:r w:rsidRPr="009072DA">
        <w:rPr>
          <w:lang w:val="bg-BG"/>
        </w:rPr>
        <w:t xml:space="preserve"> , измерено от носовия перпендикуляр в равнината на максималното газене.</w:t>
      </w:r>
    </w:p>
    <w:p w:rsidR="003F616C" w:rsidRPr="009072DA" w:rsidRDefault="003F616C" w:rsidP="008E6308">
      <w:pPr>
        <w:pStyle w:val="ESletpar"/>
        <w:rPr>
          <w:lang w:val="bg-BG"/>
        </w:rPr>
      </w:pPr>
      <w:r w:rsidRPr="009072DA">
        <w:rPr>
          <w:lang w:val="bg-BG"/>
        </w:rPr>
        <w:t xml:space="preserve">Ако това разстояние надвишава </w:t>
      </w:r>
      <m:oMath>
        <m:r>
          <w:rPr>
            <w:rFonts w:ascii="Cambria Math" w:hAnsi="Cambria Math" w:cs="Arial"/>
            <w:szCs w:val="20"/>
            <w:lang w:val="bg-BG"/>
          </w:rPr>
          <m:t>0,04 L + 2 m</m:t>
        </m:r>
      </m:oMath>
      <w:r w:rsidRPr="009072DA">
        <w:rPr>
          <w:lang w:val="bg-BG"/>
        </w:rPr>
        <w:t>, изискването, посочено в първа алинея, следва да се докаже с изчисления.</w:t>
      </w:r>
    </w:p>
    <w:p w:rsidR="00767591" w:rsidRPr="009072DA" w:rsidRDefault="003F616C" w:rsidP="008E6308">
      <w:pPr>
        <w:pStyle w:val="ESletpar"/>
        <w:rPr>
          <w:rFonts w:cs="Arial"/>
          <w:szCs w:val="20"/>
          <w:lang w:val="bg-BG"/>
        </w:rPr>
      </w:pPr>
      <w:r w:rsidRPr="009072DA">
        <w:rPr>
          <w:lang w:val="bg-BG"/>
        </w:rPr>
        <w:t xml:space="preserve">Разстоянието може да бъде намалено до </w:t>
      </w:r>
      <m:oMath>
        <m:r>
          <w:rPr>
            <w:rFonts w:ascii="Cambria Math" w:hAnsi="Cambria Math" w:cs="Arial"/>
            <w:szCs w:val="20"/>
            <w:lang w:val="bg-BG"/>
          </w:rPr>
          <m:t>0,03 L</m:t>
        </m:r>
      </m:oMath>
      <w:r w:rsidRPr="009072DA">
        <w:rPr>
          <w:lang w:val="bg-BG"/>
        </w:rPr>
        <w:t>. В такъв случай спазването на изискването, посочено в първа алинея, се доказва с изчисления, като се допуска, че отсекът пред първата носова непроницаема преграда и прилежащите отсеци са пълни с вода.</w:t>
      </w:r>
    </w:p>
    <w:p w:rsidR="00C62373" w:rsidRPr="009072DA" w:rsidRDefault="00C62373" w:rsidP="00767591">
      <w:pPr>
        <w:rPr>
          <w:rFonts w:cs="Arial"/>
          <w:szCs w:val="20"/>
          <w:lang w:val="bg-BG"/>
        </w:rPr>
      </w:pPr>
    </w:p>
    <w:p w:rsidR="00C62373" w:rsidRPr="009072DA" w:rsidRDefault="00C62373" w:rsidP="00767591">
      <w:pPr>
        <w:rPr>
          <w:rFonts w:cs="Arial"/>
          <w:szCs w:val="20"/>
          <w:lang w:val="bg-BG"/>
        </w:rPr>
      </w:pPr>
    </w:p>
    <w:p w:rsidR="00767591" w:rsidRPr="009072DA" w:rsidRDefault="00767591" w:rsidP="00321E38">
      <w:pPr>
        <w:rPr>
          <w:rFonts w:cs="Arial"/>
          <w:szCs w:val="20"/>
          <w:lang w:val="bg-BG"/>
        </w:rPr>
      </w:pPr>
      <w:r w:rsidRPr="009072DA">
        <w:rPr>
          <w:lang w:val="bg-BG"/>
        </w:rPr>
        <w:br w:type="page"/>
      </w:r>
    </w:p>
    <w:p w:rsidR="003F616C" w:rsidRPr="009072DA" w:rsidRDefault="003F616C" w:rsidP="008E6308">
      <w:pPr>
        <w:pStyle w:val="ESlet"/>
        <w:rPr>
          <w:rFonts w:cs="Arial"/>
          <w:szCs w:val="20"/>
          <w:lang w:val="bg-BG"/>
        </w:rPr>
      </w:pPr>
      <w:r w:rsidRPr="009072DA">
        <w:rPr>
          <w:lang w:val="bg-BG"/>
        </w:rPr>
        <w:lastRenderedPageBreak/>
        <w:t>б)</w:t>
      </w:r>
      <w:r w:rsidRPr="009072DA">
        <w:rPr>
          <w:lang w:val="bg-BG"/>
        </w:rPr>
        <w:tab/>
        <w:t xml:space="preserve">Ахтерпиковата преграда се разполага на подходящо разстояние от кърмата, когато дължината на плавателния съд </w:t>
      </w:r>
      <m:oMath>
        <m:r>
          <w:rPr>
            <w:rFonts w:ascii="Cambria Math" w:hAnsi="Cambria Math" w:cs="Arial"/>
            <w:szCs w:val="20"/>
            <w:lang w:val="bg-BG"/>
          </w:rPr>
          <m:t>L</m:t>
        </m:r>
      </m:oMath>
      <w:r w:rsidRPr="009072DA">
        <w:rPr>
          <w:lang w:val="bg-BG"/>
        </w:rPr>
        <w:t xml:space="preserve"> надвишава 25 m по такъв начин, че да се осигури плавателността на натоварен плавателен съд при остатъчно разстояние на безопасност от 100 mm при влизане на вода във водонепроницаемия отсек над равнището на ахтерпиковата преграда.</w:t>
      </w:r>
    </w:p>
    <w:p w:rsidR="003F616C" w:rsidRPr="009072DA" w:rsidRDefault="003F616C" w:rsidP="008E6308">
      <w:pPr>
        <w:pStyle w:val="ESletpar"/>
        <w:rPr>
          <w:rFonts w:cs="Arial"/>
          <w:szCs w:val="20"/>
          <w:lang w:val="bg-BG"/>
        </w:rPr>
      </w:pPr>
      <w:r w:rsidRPr="009072DA">
        <w:rPr>
          <w:lang w:val="bg-BG"/>
        </w:rPr>
        <w:t xml:space="preserve">В общия случай изискването, посочено в първа алинея, се счита за изпълнено, ако ахтерпиковата преграда е поставена на разстояние между 1,4 m и </w:t>
      </w:r>
      <m:oMath>
        <m:r>
          <w:rPr>
            <w:rFonts w:ascii="Cambria Math" w:hAnsi="Cambria Math" w:cs="Arial"/>
            <w:szCs w:val="20"/>
            <w:lang w:val="bg-BG"/>
          </w:rPr>
          <m:t>0,04 L + 2 m</m:t>
        </m:r>
      </m:oMath>
      <w:r w:rsidRPr="009072DA">
        <w:rPr>
          <w:lang w:val="bg-BG"/>
        </w:rPr>
        <w:t xml:space="preserve"> измерени от задната точка на пресичане на корпуса с линията на максималното газене.</w:t>
      </w:r>
    </w:p>
    <w:p w:rsidR="003F616C" w:rsidRPr="009072DA" w:rsidRDefault="003F616C" w:rsidP="008E6308">
      <w:pPr>
        <w:pStyle w:val="ESletpar"/>
        <w:rPr>
          <w:rFonts w:cs="Arial"/>
          <w:szCs w:val="20"/>
          <w:lang w:val="bg-BG"/>
        </w:rPr>
      </w:pPr>
      <w:r w:rsidRPr="009072DA">
        <w:rPr>
          <w:lang w:val="bg-BG"/>
        </w:rPr>
        <w:t xml:space="preserve">Ако това разстояние е по-голямо от </w:t>
      </w:r>
      <m:oMath>
        <m:r>
          <w:rPr>
            <w:rFonts w:ascii="Cambria Math" w:hAnsi="Cambria Math" w:cs="Arial"/>
            <w:szCs w:val="20"/>
            <w:lang w:val="bg-BG"/>
          </w:rPr>
          <m:t>0,04 L + 2 m</m:t>
        </m:r>
      </m:oMath>
      <w:r w:rsidRPr="009072DA">
        <w:rPr>
          <w:lang w:val="bg-BG"/>
        </w:rPr>
        <w:t>, изискването, посочено в първата алинея, се доказва чрез изчисления.</w:t>
      </w:r>
    </w:p>
    <w:p w:rsidR="003F616C" w:rsidRPr="009072DA" w:rsidRDefault="003F616C" w:rsidP="008E6308">
      <w:pPr>
        <w:pStyle w:val="ESletpar"/>
        <w:rPr>
          <w:lang w:val="bg-BG"/>
        </w:rPr>
      </w:pPr>
      <w:r w:rsidRPr="009072DA">
        <w:rPr>
          <w:lang w:val="bg-BG"/>
        </w:rPr>
        <w:t>Това разстояние може да се намали до 1 m. В такъв случай спазването на изискването, посочено в първа алинея, се доказва с изчисление, като се допуска, че отсекът зад ахтерпиковата преграда и непосредствено прилежащите отсеци са пълни с вода.</w:t>
      </w:r>
    </w:p>
    <w:p w:rsidR="00767591" w:rsidRPr="009072DA" w:rsidRDefault="00767591" w:rsidP="008E6308">
      <w:pPr>
        <w:pStyle w:val="ESch"/>
        <w:rPr>
          <w:rFonts w:cs="Arial"/>
          <w:szCs w:val="20"/>
          <w:lang w:val="bg-BG"/>
        </w:rPr>
      </w:pPr>
    </w:p>
    <w:p w:rsidR="005A78A5" w:rsidRPr="009072DA" w:rsidRDefault="003F616C" w:rsidP="00321E38">
      <w:pPr>
        <w:pStyle w:val="ESch"/>
        <w:rPr>
          <w:rFonts w:cs="Arial"/>
          <w:szCs w:val="20"/>
          <w:lang w:val="bg-BG"/>
        </w:rPr>
      </w:pPr>
      <w:r w:rsidRPr="009072DA">
        <w:rPr>
          <w:lang w:val="bg-BG"/>
        </w:rPr>
        <w:t>2.</w:t>
      </w:r>
      <w:r w:rsidRPr="009072DA">
        <w:rPr>
          <w:lang w:val="bg-BG"/>
        </w:rPr>
        <w:tab/>
        <w:t xml:space="preserve">Никакви помещения или инсталации, необходими за безопасността или експлоатацията на плавателния съд, не могат да се намират пред равнината на първата носова непроницаема преграда или зад ахтерпиковата преграда. </w:t>
      </w:r>
    </w:p>
    <w:p w:rsidR="005A78A5" w:rsidRPr="009072DA" w:rsidRDefault="005A78A5" w:rsidP="00321E38">
      <w:pPr>
        <w:pStyle w:val="ESch"/>
        <w:rPr>
          <w:rFonts w:cs="Arial"/>
          <w:szCs w:val="20"/>
          <w:lang w:val="bg-BG"/>
        </w:rPr>
      </w:pPr>
    </w:p>
    <w:p w:rsidR="003F616C" w:rsidRPr="009072DA" w:rsidRDefault="003F616C" w:rsidP="005A78A5">
      <w:pPr>
        <w:pStyle w:val="ESchpar"/>
        <w:rPr>
          <w:lang w:val="bg-BG"/>
        </w:rPr>
      </w:pPr>
      <w:r w:rsidRPr="009072DA">
        <w:rPr>
          <w:lang w:val="bg-BG"/>
        </w:rPr>
        <w:t>Това изискване не се прилага за котвеното устройство или рулевия апарат.</w:t>
      </w:r>
    </w:p>
    <w:p w:rsidR="00767591" w:rsidRPr="009072DA" w:rsidRDefault="00767591" w:rsidP="00321E38">
      <w:pPr>
        <w:pStyle w:val="ESch"/>
        <w:rPr>
          <w:rFonts w:cs="Arial"/>
          <w:szCs w:val="20"/>
          <w:lang w:val="bg-BG"/>
        </w:rPr>
      </w:pPr>
    </w:p>
    <w:p w:rsidR="003F616C" w:rsidRPr="009072DA" w:rsidRDefault="003F616C" w:rsidP="00321E38">
      <w:pPr>
        <w:pStyle w:val="ESch"/>
        <w:rPr>
          <w:lang w:val="bg-BG"/>
        </w:rPr>
      </w:pPr>
      <w:r w:rsidRPr="009072DA">
        <w:rPr>
          <w:lang w:val="bg-BG"/>
        </w:rPr>
        <w:t>3.</w:t>
      </w:r>
      <w:r w:rsidRPr="009072DA">
        <w:rPr>
          <w:lang w:val="bg-BG"/>
        </w:rPr>
        <w:tab/>
        <w:t>Жилищните помещения, машинните и котелните отделения и всички работни пространства, които са част от тях, трябва да бъдат разделени от трюмовете с водонепроницаеми напречни прегради, стигащи до палубата.</w:t>
      </w:r>
    </w:p>
    <w:p w:rsidR="00767591" w:rsidRPr="009072DA" w:rsidRDefault="00767591" w:rsidP="00321E38">
      <w:pPr>
        <w:pStyle w:val="ESch"/>
        <w:rPr>
          <w:rFonts w:cs="Arial"/>
          <w:szCs w:val="20"/>
          <w:lang w:val="bg-BG"/>
        </w:rPr>
      </w:pPr>
    </w:p>
    <w:p w:rsidR="003F616C" w:rsidRPr="009072DA" w:rsidRDefault="003F616C" w:rsidP="00321E38">
      <w:pPr>
        <w:pStyle w:val="ESch"/>
        <w:rPr>
          <w:lang w:val="bg-BG"/>
        </w:rPr>
      </w:pPr>
      <w:r w:rsidRPr="009072DA">
        <w:rPr>
          <w:lang w:val="bg-BG"/>
        </w:rPr>
        <w:t>4.</w:t>
      </w:r>
      <w:r w:rsidRPr="009072DA">
        <w:rPr>
          <w:lang w:val="bg-BG"/>
        </w:rPr>
        <w:tab/>
        <w:t>Жилищните помещения трябва да бъдат отделни от машинните и котелните отделения и трюмовете чрез газонепроницаеми прегради и да бъдат достъпни директно откъм палубата. Там, където няма такъв достъп, трябва да има авариен изход, водещ директно към палубата.</w:t>
      </w:r>
    </w:p>
    <w:p w:rsidR="00767591" w:rsidRPr="009072DA" w:rsidRDefault="00767591" w:rsidP="00321E38">
      <w:pPr>
        <w:pStyle w:val="ESch"/>
        <w:rPr>
          <w:rFonts w:cs="Arial"/>
          <w:szCs w:val="20"/>
          <w:lang w:val="bg-BG"/>
        </w:rPr>
      </w:pPr>
    </w:p>
    <w:p w:rsidR="003F616C" w:rsidRPr="009072DA" w:rsidRDefault="003F616C" w:rsidP="00321E38">
      <w:pPr>
        <w:pStyle w:val="ESch"/>
        <w:rPr>
          <w:lang w:val="bg-BG"/>
        </w:rPr>
      </w:pPr>
      <w:r w:rsidRPr="009072DA">
        <w:rPr>
          <w:lang w:val="bg-BG"/>
        </w:rPr>
        <w:t>5.</w:t>
      </w:r>
      <w:r w:rsidRPr="009072DA">
        <w:rPr>
          <w:lang w:val="bg-BG"/>
        </w:rPr>
        <w:tab/>
        <w:t>Преградите, посочени в точки 1 и 3, и отделителните прегради на областите, посочени в точка 4, не трябва да имат отвори.</w:t>
      </w:r>
    </w:p>
    <w:p w:rsidR="00767591" w:rsidRPr="009072DA" w:rsidRDefault="00767591" w:rsidP="00321E38">
      <w:pPr>
        <w:pStyle w:val="ESch"/>
        <w:rPr>
          <w:rFonts w:cs="Arial"/>
          <w:szCs w:val="20"/>
          <w:lang w:val="bg-BG"/>
        </w:rPr>
      </w:pPr>
    </w:p>
    <w:p w:rsidR="003F616C" w:rsidRPr="009072DA" w:rsidRDefault="003F616C" w:rsidP="00321E38">
      <w:pPr>
        <w:pStyle w:val="ESchpar"/>
        <w:rPr>
          <w:lang w:val="bg-BG"/>
        </w:rPr>
      </w:pPr>
      <w:r w:rsidRPr="009072DA">
        <w:rPr>
          <w:lang w:val="bg-BG"/>
        </w:rPr>
        <w:t>Все пак, врати в ахтерпиковата преграда и проходи, по-специално за валове и тръбопроводи са разрешени, при условие че са проектирани така, че да не увреждат ефикасността на преградата и на отделянето на зоните. Врати в кърмовата преграда са разрешени само ако може да се определя чрез дистанционно следене от рулевата рубка дали те са отворени или затворени и ако носят следното указание и от двете страни:</w:t>
      </w:r>
    </w:p>
    <w:p w:rsidR="00767591" w:rsidRPr="009072DA" w:rsidRDefault="00767591" w:rsidP="003F616C">
      <w:pPr>
        <w:rPr>
          <w:rFonts w:cs="Arial"/>
          <w:szCs w:val="20"/>
          <w:lang w:val="bg-BG"/>
        </w:rPr>
      </w:pPr>
    </w:p>
    <w:p w:rsidR="003F616C" w:rsidRPr="009072DA" w:rsidRDefault="003F616C" w:rsidP="00321E38">
      <w:pPr>
        <w:jc w:val="center"/>
        <w:rPr>
          <w:rFonts w:cs="Arial"/>
          <w:szCs w:val="20"/>
          <w:lang w:val="bg-BG"/>
        </w:rPr>
      </w:pPr>
      <w:r w:rsidRPr="009072DA">
        <w:rPr>
          <w:lang w:val="bg-BG"/>
        </w:rPr>
        <w:lastRenderedPageBreak/>
        <w:t>„Вратата да се затваря веднага след ползване“.</w:t>
      </w:r>
    </w:p>
    <w:p w:rsidR="00767591" w:rsidRPr="009072DA" w:rsidRDefault="00767591" w:rsidP="003F616C">
      <w:pPr>
        <w:rPr>
          <w:rFonts w:cs="Arial"/>
          <w:szCs w:val="20"/>
          <w:lang w:val="bg-BG"/>
        </w:rPr>
      </w:pPr>
    </w:p>
    <w:p w:rsidR="003F616C" w:rsidRPr="009072DA" w:rsidRDefault="003F616C" w:rsidP="00321E38">
      <w:pPr>
        <w:pStyle w:val="ESch"/>
        <w:rPr>
          <w:lang w:val="bg-BG"/>
        </w:rPr>
      </w:pPr>
      <w:r w:rsidRPr="009072DA">
        <w:rPr>
          <w:lang w:val="bg-BG"/>
        </w:rPr>
        <w:t>6.</w:t>
      </w:r>
      <w:r w:rsidRPr="009072DA">
        <w:rPr>
          <w:lang w:val="bg-BG"/>
        </w:rPr>
        <w:tab/>
        <w:t>Водоприемните и водоотвеждащите устройства и свързаните с тях водопроводи трябва да са такива, че да не е възможно непреднамерено попадане на вода в плавателния съд.</w:t>
      </w:r>
    </w:p>
    <w:p w:rsidR="00767591" w:rsidRPr="009072DA" w:rsidRDefault="00767591" w:rsidP="00321E38">
      <w:pPr>
        <w:pStyle w:val="ESch"/>
        <w:rPr>
          <w:rFonts w:cs="Arial"/>
          <w:szCs w:val="20"/>
          <w:lang w:val="bg-BG"/>
        </w:rPr>
      </w:pPr>
    </w:p>
    <w:p w:rsidR="003F616C" w:rsidRPr="009072DA" w:rsidRDefault="003F616C" w:rsidP="00321E38">
      <w:pPr>
        <w:pStyle w:val="ESch"/>
        <w:rPr>
          <w:lang w:val="bg-BG"/>
        </w:rPr>
      </w:pPr>
      <w:r w:rsidRPr="009072DA">
        <w:rPr>
          <w:lang w:val="bg-BG"/>
        </w:rPr>
        <w:t>7.</w:t>
      </w:r>
      <w:r w:rsidRPr="009072DA">
        <w:rPr>
          <w:lang w:val="bg-BG"/>
        </w:rPr>
        <w:tab/>
        <w:t>Предните части на плавателните съдове трябва да са построени така, че котвите да не стърчат навън нито изцяло, нито частично извън страничната обшивка.</w:t>
      </w:r>
    </w:p>
    <w:p w:rsidR="003F616C" w:rsidRPr="009072DA" w:rsidRDefault="00767591" w:rsidP="003F616C">
      <w:pPr>
        <w:rPr>
          <w:rFonts w:cs="Arial"/>
          <w:szCs w:val="20"/>
          <w:lang w:val="bg-BG"/>
        </w:rPr>
      </w:pPr>
      <w:r w:rsidRPr="009072DA">
        <w:rPr>
          <w:lang w:val="bg-BG"/>
        </w:rPr>
        <w:br w:type="page"/>
      </w:r>
    </w:p>
    <w:p w:rsidR="003F616C" w:rsidRPr="009072DA" w:rsidRDefault="003F616C" w:rsidP="00767591">
      <w:pPr>
        <w:pStyle w:val="ES-Titre3"/>
        <w:rPr>
          <w:i/>
          <w:lang w:val="bg-BG"/>
        </w:rPr>
      </w:pPr>
      <w:bookmarkStart w:id="23" w:name="_Toc491854012"/>
      <w:bookmarkStart w:id="24" w:name="_Toc535827453"/>
      <w:r w:rsidRPr="009072DA">
        <w:rPr>
          <w:lang w:val="bg-BG"/>
        </w:rPr>
        <w:lastRenderedPageBreak/>
        <w:t>Член 3.04</w:t>
      </w:r>
      <w:r w:rsidRPr="009072DA">
        <w:rPr>
          <w:lang w:val="bg-BG"/>
        </w:rPr>
        <w:br/>
      </w:r>
      <w:r w:rsidRPr="009072DA">
        <w:rPr>
          <w:i/>
          <w:lang w:val="bg-BG"/>
        </w:rPr>
        <w:t>Машинни и котелни отделения, бункери</w:t>
      </w:r>
      <w:bookmarkEnd w:id="23"/>
      <w:bookmarkEnd w:id="24"/>
    </w:p>
    <w:p w:rsidR="00767591" w:rsidRPr="009072DA" w:rsidRDefault="00767591" w:rsidP="003F616C">
      <w:pPr>
        <w:rPr>
          <w:rFonts w:cs="Arial"/>
          <w:szCs w:val="20"/>
          <w:lang w:val="bg-BG"/>
        </w:rPr>
      </w:pPr>
    </w:p>
    <w:p w:rsidR="003F616C" w:rsidRPr="009072DA" w:rsidRDefault="003F616C" w:rsidP="00954259">
      <w:pPr>
        <w:pStyle w:val="ESch"/>
        <w:rPr>
          <w:lang w:val="bg-BG"/>
        </w:rPr>
      </w:pPr>
      <w:r w:rsidRPr="009072DA">
        <w:rPr>
          <w:lang w:val="bg-BG"/>
        </w:rPr>
        <w:t>1.</w:t>
      </w:r>
      <w:r w:rsidRPr="009072DA">
        <w:rPr>
          <w:lang w:val="bg-BG"/>
        </w:rPr>
        <w:tab/>
        <w:t>Машинните и котелните отделения се организират по такъв начин, че оборудването там да може да се използва, обслужва и поддържа лесно и безопасно.</w:t>
      </w:r>
    </w:p>
    <w:p w:rsidR="00767591" w:rsidRPr="009072DA" w:rsidRDefault="00767591" w:rsidP="00954259">
      <w:pPr>
        <w:pStyle w:val="ESch"/>
        <w:rPr>
          <w:rFonts w:cs="Arial"/>
          <w:szCs w:val="20"/>
          <w:lang w:val="bg-BG"/>
        </w:rPr>
      </w:pPr>
    </w:p>
    <w:p w:rsidR="003F616C" w:rsidRPr="009072DA" w:rsidRDefault="003F616C" w:rsidP="00954259">
      <w:pPr>
        <w:pStyle w:val="ESch"/>
        <w:rPr>
          <w:lang w:val="bg-BG"/>
        </w:rPr>
      </w:pPr>
      <w:r w:rsidRPr="009072DA">
        <w:rPr>
          <w:lang w:val="bg-BG"/>
        </w:rPr>
        <w:t>2.</w:t>
      </w:r>
      <w:r w:rsidRPr="009072DA">
        <w:rPr>
          <w:lang w:val="bg-BG"/>
        </w:rPr>
        <w:tab/>
        <w:t>Складовете за течно гориво или смазочен материал, помещения за пътници и жилищните помещения не могат да имат общи стени, които да са под статичното налягане на течността, когато са в нормална експлоатация.</w:t>
      </w:r>
    </w:p>
    <w:p w:rsidR="00767591" w:rsidRPr="009072DA" w:rsidRDefault="00767591" w:rsidP="00954259">
      <w:pPr>
        <w:pStyle w:val="ESch"/>
        <w:rPr>
          <w:rFonts w:cs="Arial"/>
          <w:szCs w:val="20"/>
          <w:lang w:val="bg-BG"/>
        </w:rPr>
      </w:pPr>
    </w:p>
    <w:p w:rsidR="003F616C" w:rsidRPr="009072DA" w:rsidRDefault="003F616C" w:rsidP="00954259">
      <w:pPr>
        <w:pStyle w:val="ESch"/>
        <w:rPr>
          <w:lang w:val="bg-BG"/>
        </w:rPr>
      </w:pPr>
      <w:r w:rsidRPr="009072DA">
        <w:rPr>
          <w:lang w:val="bg-BG"/>
        </w:rPr>
        <w:t>3.</w:t>
      </w:r>
      <w:r w:rsidRPr="009072DA">
        <w:rPr>
          <w:lang w:val="bg-BG"/>
        </w:rPr>
        <w:tab/>
        <w:t>Стените, таваните и вратите на машинните и котелните отделения и бункерите се изработват от стомана или друг еквивалентен негорим материал.</w:t>
      </w:r>
    </w:p>
    <w:p w:rsidR="00767591" w:rsidRPr="009072DA" w:rsidRDefault="00767591" w:rsidP="00954259">
      <w:pPr>
        <w:pStyle w:val="ESch"/>
        <w:rPr>
          <w:rFonts w:cs="Arial"/>
          <w:szCs w:val="20"/>
          <w:lang w:val="bg-BG"/>
        </w:rPr>
      </w:pPr>
    </w:p>
    <w:p w:rsidR="003F616C" w:rsidRPr="009072DA" w:rsidRDefault="003F616C" w:rsidP="00954259">
      <w:pPr>
        <w:pStyle w:val="ESchpar"/>
        <w:rPr>
          <w:lang w:val="bg-BG"/>
        </w:rPr>
      </w:pPr>
      <w:r w:rsidRPr="009072DA">
        <w:rPr>
          <w:lang w:val="bg-BG"/>
        </w:rPr>
        <w:t>Изолационният материал, използван в машинните отделения, трябва да бъде защитен срещу проникване на гориво и горивни пари.</w:t>
      </w:r>
    </w:p>
    <w:p w:rsidR="00767591" w:rsidRPr="009072DA" w:rsidRDefault="00767591" w:rsidP="00954259">
      <w:pPr>
        <w:pStyle w:val="ESchpar"/>
        <w:rPr>
          <w:rFonts w:cs="Arial"/>
          <w:szCs w:val="20"/>
          <w:lang w:val="bg-BG"/>
        </w:rPr>
      </w:pPr>
    </w:p>
    <w:p w:rsidR="003F616C" w:rsidRPr="009072DA" w:rsidRDefault="003F616C" w:rsidP="00954259">
      <w:pPr>
        <w:pStyle w:val="ESchpar"/>
        <w:rPr>
          <w:lang w:val="bg-BG"/>
        </w:rPr>
      </w:pPr>
      <w:r w:rsidRPr="009072DA">
        <w:rPr>
          <w:lang w:val="bg-BG"/>
        </w:rPr>
        <w:t>Всички отвори в стените, таваните и вратите на машинните отделения, котелните отделения и бункерите са такива, че да могат да се затварят от външната страна на помещението. Заключващите устройства трябва да са изработени от стомана или друг еквивалентен негорим материал.</w:t>
      </w:r>
    </w:p>
    <w:p w:rsidR="00767591" w:rsidRPr="009072DA" w:rsidRDefault="00767591" w:rsidP="00954259">
      <w:pPr>
        <w:pStyle w:val="ESch"/>
        <w:rPr>
          <w:rFonts w:cs="Arial"/>
          <w:szCs w:val="20"/>
          <w:lang w:val="bg-BG"/>
        </w:rPr>
      </w:pPr>
    </w:p>
    <w:p w:rsidR="003F616C" w:rsidRPr="009072DA" w:rsidRDefault="003F616C" w:rsidP="00954259">
      <w:pPr>
        <w:pStyle w:val="ESch"/>
        <w:rPr>
          <w:lang w:val="bg-BG"/>
        </w:rPr>
      </w:pPr>
      <w:r w:rsidRPr="009072DA">
        <w:rPr>
          <w:lang w:val="bg-BG"/>
        </w:rPr>
        <w:t>4.</w:t>
      </w:r>
      <w:r w:rsidRPr="009072DA">
        <w:rPr>
          <w:lang w:val="bg-BG"/>
        </w:rPr>
        <w:tab/>
        <w:t>Машинните и котелните отделения и другите пространства, от които могат бъдат изпуснати запалими или отровни газове, трябва да бъдат с подходяща вентилация.</w:t>
      </w:r>
    </w:p>
    <w:p w:rsidR="00767591" w:rsidRPr="009072DA" w:rsidRDefault="00767591" w:rsidP="00954259">
      <w:pPr>
        <w:pStyle w:val="ESch"/>
        <w:rPr>
          <w:rFonts w:cs="Arial"/>
          <w:szCs w:val="20"/>
          <w:lang w:val="bg-BG"/>
        </w:rPr>
      </w:pPr>
    </w:p>
    <w:p w:rsidR="003F616C" w:rsidRPr="009072DA" w:rsidRDefault="003F616C" w:rsidP="00954259">
      <w:pPr>
        <w:pStyle w:val="ESch"/>
        <w:rPr>
          <w:lang w:val="bg-BG"/>
        </w:rPr>
      </w:pPr>
      <w:r w:rsidRPr="009072DA">
        <w:rPr>
          <w:lang w:val="bg-BG"/>
        </w:rPr>
        <w:t>5.</w:t>
      </w:r>
      <w:r w:rsidRPr="009072DA">
        <w:rPr>
          <w:lang w:val="bg-BG"/>
        </w:rPr>
        <w:tab/>
        <w:t>Вътрешните трапове на стълбите и подвижните стълби, осигуряващи достъп до машинните и котелните отделения и бункерите, трябва да са здраво закрепени и да са направени от стомана или друг удароустойчив и негорим материал.</w:t>
      </w:r>
    </w:p>
    <w:p w:rsidR="00767591" w:rsidRPr="009072DA" w:rsidRDefault="00767591" w:rsidP="00954259">
      <w:pPr>
        <w:pStyle w:val="ESch"/>
        <w:rPr>
          <w:rFonts w:cs="Arial"/>
          <w:szCs w:val="20"/>
          <w:lang w:val="bg-BG"/>
        </w:rPr>
      </w:pPr>
    </w:p>
    <w:p w:rsidR="003F616C" w:rsidRPr="009072DA" w:rsidRDefault="003F616C" w:rsidP="00954259">
      <w:pPr>
        <w:pStyle w:val="ESch"/>
        <w:rPr>
          <w:rFonts w:cs="Arial"/>
          <w:szCs w:val="20"/>
          <w:lang w:val="bg-BG"/>
        </w:rPr>
      </w:pPr>
      <w:r w:rsidRPr="009072DA">
        <w:rPr>
          <w:lang w:val="bg-BG"/>
        </w:rPr>
        <w:t>6.</w:t>
      </w:r>
      <w:r w:rsidRPr="009072DA">
        <w:rPr>
          <w:lang w:val="bg-BG"/>
        </w:rPr>
        <w:tab/>
        <w:t>Машинните и котелните отделения трябва да имат два изхода, един от които може да бъде авариен изход.</w:t>
      </w:r>
    </w:p>
    <w:p w:rsidR="00767591" w:rsidRPr="009072DA" w:rsidRDefault="00767591" w:rsidP="00954259">
      <w:pPr>
        <w:pStyle w:val="ESch"/>
        <w:rPr>
          <w:lang w:val="bg-BG"/>
        </w:rPr>
      </w:pPr>
    </w:p>
    <w:p w:rsidR="003F616C" w:rsidRPr="009072DA" w:rsidRDefault="003F616C" w:rsidP="00954259">
      <w:pPr>
        <w:pStyle w:val="ESchpar"/>
        <w:rPr>
          <w:rFonts w:cs="Arial"/>
          <w:szCs w:val="20"/>
          <w:lang w:val="bg-BG"/>
        </w:rPr>
      </w:pPr>
      <w:r w:rsidRPr="009072DA">
        <w:rPr>
          <w:lang w:val="bg-BG"/>
        </w:rPr>
        <w:t>Може да не е необходим втори изход, в случай че:</w:t>
      </w:r>
    </w:p>
    <w:p w:rsidR="003F616C" w:rsidRPr="009072DA" w:rsidRDefault="005C7859" w:rsidP="00954259">
      <w:pPr>
        <w:pStyle w:val="ESlet"/>
        <w:rPr>
          <w:rFonts w:cs="Arial"/>
          <w:szCs w:val="20"/>
          <w:lang w:val="bg-BG"/>
        </w:rPr>
      </w:pPr>
      <w:r w:rsidRPr="009072DA">
        <w:rPr>
          <w:lang w:val="bg-BG"/>
        </w:rPr>
        <w:t>a)</w:t>
      </w:r>
      <w:r w:rsidRPr="009072DA">
        <w:rPr>
          <w:lang w:val="bg-BG"/>
        </w:rPr>
        <w:tab/>
        <w:t>общата подова площ (средната дължина × средната ширина на равнището на подовата настилка) на машинното или котелното отделение не надхвърля 35 m</w:t>
      </w:r>
      <w:r w:rsidRPr="009072DA">
        <w:rPr>
          <w:vertAlign w:val="superscript"/>
          <w:lang w:val="bg-BG"/>
        </w:rPr>
        <w:t>2</w:t>
      </w:r>
      <w:r w:rsidRPr="009072DA">
        <w:rPr>
          <w:lang w:val="bg-BG"/>
        </w:rPr>
        <w:t>; и</w:t>
      </w:r>
    </w:p>
    <w:p w:rsidR="003F616C" w:rsidRPr="009072DA" w:rsidRDefault="005C7859" w:rsidP="00954259">
      <w:pPr>
        <w:pStyle w:val="ESlet"/>
        <w:rPr>
          <w:lang w:val="bg-BG"/>
        </w:rPr>
      </w:pPr>
      <w:r w:rsidRPr="009072DA">
        <w:rPr>
          <w:lang w:val="bg-BG"/>
        </w:rPr>
        <w:t>б)</w:t>
      </w:r>
      <w:r w:rsidRPr="009072DA">
        <w:rPr>
          <w:lang w:val="bg-BG"/>
        </w:rPr>
        <w:tab/>
        <w:t>разстоянието между всяка точка, където се осъществяват дейностите по обслужване или поддръжка и изхода или основата на вътрешния трап близо до изхода, осигуряващ достъп навън, не е повече от 5 m; и</w:t>
      </w:r>
    </w:p>
    <w:p w:rsidR="003F616C" w:rsidRPr="009072DA" w:rsidRDefault="005C7859" w:rsidP="00954259">
      <w:pPr>
        <w:pStyle w:val="ESlet"/>
        <w:rPr>
          <w:lang w:val="bg-BG"/>
        </w:rPr>
      </w:pPr>
      <w:r w:rsidRPr="009072DA">
        <w:rPr>
          <w:lang w:val="bg-BG"/>
        </w:rPr>
        <w:lastRenderedPageBreak/>
        <w:t>в)</w:t>
      </w:r>
      <w:r w:rsidRPr="009072DA">
        <w:rPr>
          <w:lang w:val="bg-BG"/>
        </w:rPr>
        <w:tab/>
        <w:t>пожарогасителят е разположен в точката за обслужване, която е най-далеч от вратата на изхода и освен това, посредством дерогация от член 13.03, точка 1, буква д), където инсталираната мощност на двигателите не надхвърля 100 kW.</w:t>
      </w:r>
    </w:p>
    <w:p w:rsidR="00767591" w:rsidRPr="009072DA" w:rsidRDefault="00767591" w:rsidP="003F616C">
      <w:pPr>
        <w:rPr>
          <w:rFonts w:cs="Arial"/>
          <w:szCs w:val="20"/>
          <w:lang w:val="bg-BG"/>
        </w:rPr>
      </w:pPr>
    </w:p>
    <w:p w:rsidR="003F616C" w:rsidRPr="009072DA" w:rsidRDefault="003F616C" w:rsidP="003F616C">
      <w:pPr>
        <w:rPr>
          <w:rFonts w:cs="Arial"/>
          <w:szCs w:val="20"/>
          <w:lang w:val="bg-BG"/>
        </w:rPr>
      </w:pPr>
      <w:r w:rsidRPr="009072DA">
        <w:rPr>
          <w:lang w:val="bg-BG"/>
        </w:rPr>
        <w:t>7.</w:t>
      </w:r>
      <w:r w:rsidRPr="009072DA">
        <w:rPr>
          <w:lang w:val="bg-BG"/>
        </w:rPr>
        <w:tab/>
        <w:t>Допустимото ниво на звуковото налягане в машинните отделения не трябва да надвишава 110 dB(A). Точките на измерване се избират като функция на необходимата дейност за поддръжка при обичайна експлоатация на агрегата, монтиран вътре.</w:t>
      </w:r>
    </w:p>
    <w:p w:rsidR="008D7EA6" w:rsidRPr="009072DA" w:rsidRDefault="008D7EA6" w:rsidP="00F6236E">
      <w:pPr>
        <w:spacing w:line="240" w:lineRule="atLeast"/>
        <w:ind w:left="567" w:hanging="567"/>
        <w:rPr>
          <w:rFonts w:eastAsia="Calibri"/>
          <w:lang w:val="bg-BG"/>
        </w:rPr>
      </w:pPr>
    </w:p>
    <w:p w:rsidR="008D7EA6" w:rsidRPr="009072DA" w:rsidRDefault="008D7EA6" w:rsidP="00F6236E">
      <w:pPr>
        <w:spacing w:line="240" w:lineRule="atLeast"/>
        <w:ind w:left="567" w:hanging="567"/>
        <w:rPr>
          <w:rFonts w:eastAsia="Calibri"/>
          <w:lang w:val="bg-BG"/>
        </w:rPr>
      </w:pPr>
    </w:p>
    <w:p w:rsidR="008D7EA6" w:rsidRPr="009072DA" w:rsidRDefault="008D7EA6" w:rsidP="00F6236E">
      <w:pPr>
        <w:spacing w:line="240" w:lineRule="atLeast"/>
        <w:ind w:left="567" w:hanging="567"/>
        <w:rPr>
          <w:rFonts w:eastAsia="Calibri"/>
          <w:lang w:val="bg-BG"/>
        </w:rPr>
        <w:sectPr w:rsidR="008D7EA6" w:rsidRPr="009072DA" w:rsidSect="00AC5CC1">
          <w:headerReference w:type="default" r:id="rId22"/>
          <w:headerReference w:type="first" r:id="rId23"/>
          <w:footnotePr>
            <w:numRestart w:val="eachPage"/>
          </w:footnotePr>
          <w:pgSz w:w="11906" w:h="16838" w:code="9"/>
          <w:pgMar w:top="1418" w:right="1418" w:bottom="1418" w:left="1418" w:header="709" w:footer="709" w:gutter="0"/>
          <w:cols w:space="709"/>
          <w:titlePg/>
          <w:docGrid w:linePitch="272"/>
        </w:sectPr>
      </w:pPr>
    </w:p>
    <w:p w:rsidR="001F1A9D" w:rsidRPr="009072DA" w:rsidRDefault="0060175E" w:rsidP="00E1027C">
      <w:pPr>
        <w:pStyle w:val="ES-Titre2"/>
      </w:pPr>
      <w:bookmarkStart w:id="25" w:name="_Toc491854013"/>
      <w:bookmarkStart w:id="26" w:name="_Toc535827454"/>
      <w:r w:rsidRPr="009072DA">
        <w:lastRenderedPageBreak/>
        <w:t>Глава 4</w:t>
      </w:r>
      <w:r w:rsidRPr="009072DA">
        <w:br/>
        <w:t>Разстояние на безопасност, надводен борд и марки за газене</w:t>
      </w:r>
      <w:bookmarkEnd w:id="25"/>
      <w:bookmarkEnd w:id="26"/>
    </w:p>
    <w:p w:rsidR="00EF4E24" w:rsidRPr="009072DA" w:rsidRDefault="00EF4E24" w:rsidP="00E1027C">
      <w:pPr>
        <w:pStyle w:val="ES-Titre3"/>
        <w:spacing w:line="240" w:lineRule="atLeast"/>
        <w:rPr>
          <w:lang w:val="bg-BG"/>
        </w:rPr>
      </w:pPr>
    </w:p>
    <w:p w:rsidR="001F1A9D" w:rsidRPr="009072DA" w:rsidRDefault="001F1A9D" w:rsidP="00E1027C">
      <w:pPr>
        <w:pStyle w:val="ES-Titre3"/>
        <w:spacing w:line="240" w:lineRule="atLeast"/>
        <w:rPr>
          <w:lang w:val="bg-BG"/>
        </w:rPr>
      </w:pPr>
      <w:bookmarkStart w:id="27" w:name="_Toc491854014"/>
      <w:bookmarkStart w:id="28" w:name="_Toc535827455"/>
      <w:r w:rsidRPr="009072DA">
        <w:rPr>
          <w:lang w:val="bg-BG"/>
        </w:rPr>
        <w:t>Член 4.01</w:t>
      </w:r>
      <w:r w:rsidRPr="009072DA">
        <w:rPr>
          <w:lang w:val="bg-BG"/>
        </w:rPr>
        <w:br/>
      </w:r>
      <w:r w:rsidRPr="009072DA">
        <w:rPr>
          <w:i/>
          <w:lang w:val="bg-BG"/>
        </w:rPr>
        <w:t>Разстояние на безопасност</w:t>
      </w:r>
      <w:bookmarkEnd w:id="27"/>
      <w:bookmarkEnd w:id="28"/>
    </w:p>
    <w:p w:rsidR="00EF4E24" w:rsidRPr="009072DA" w:rsidRDefault="00EF4E24" w:rsidP="00E1027C">
      <w:pPr>
        <w:spacing w:line="240" w:lineRule="atLeast"/>
        <w:rPr>
          <w:rFonts w:eastAsia="Calibri"/>
          <w:szCs w:val="20"/>
          <w:lang w:val="bg-BG"/>
        </w:rPr>
      </w:pPr>
    </w:p>
    <w:p w:rsidR="001F1A9D" w:rsidRPr="009072DA" w:rsidRDefault="001F1A9D" w:rsidP="00954259">
      <w:pPr>
        <w:pStyle w:val="ESch"/>
        <w:rPr>
          <w:rFonts w:eastAsia="Calibri"/>
          <w:lang w:val="bg-BG"/>
        </w:rPr>
      </w:pPr>
      <w:r w:rsidRPr="009072DA">
        <w:rPr>
          <w:lang w:val="bg-BG"/>
        </w:rPr>
        <w:t>1.</w:t>
      </w:r>
      <w:r w:rsidRPr="009072DA">
        <w:rPr>
          <w:lang w:val="bg-BG"/>
        </w:rPr>
        <w:tab/>
        <w:t>Разстоянието на безопасност трябва да бъде поне 300 mm.</w:t>
      </w:r>
    </w:p>
    <w:p w:rsidR="00EF4E24" w:rsidRPr="009072DA" w:rsidRDefault="00EF4E24" w:rsidP="00954259">
      <w:pPr>
        <w:pStyle w:val="ESch"/>
        <w:rPr>
          <w:rFonts w:eastAsia="Calibri"/>
          <w:lang w:val="bg-BG"/>
        </w:rPr>
      </w:pPr>
    </w:p>
    <w:p w:rsidR="001F1A9D" w:rsidRPr="009072DA" w:rsidRDefault="001F1A9D" w:rsidP="00954259">
      <w:pPr>
        <w:pStyle w:val="ESch"/>
        <w:rPr>
          <w:rFonts w:eastAsia="Calibri"/>
          <w:lang w:val="bg-BG"/>
        </w:rPr>
      </w:pPr>
      <w:r w:rsidRPr="009072DA">
        <w:rPr>
          <w:lang w:val="bg-BG"/>
        </w:rPr>
        <w:t>2.</w:t>
      </w:r>
      <w:r w:rsidRPr="009072DA">
        <w:rPr>
          <w:lang w:val="bg-BG"/>
        </w:rPr>
        <w:tab/>
        <w:t>Разстоянието на безопасност при плавателни съдове, чиито отвори не могат да бъдат затваряни чрез устройства, защитаващи от пръски и атмосферни въздействия, както и за плавателни съдове, плаващи с непокрити трюмове, се увеличава по такъв начин, че всеки от тези отвори да се намира поне на 500 mm от равнината на максимално газене.</w:t>
      </w:r>
    </w:p>
    <w:p w:rsidR="001F1A9D" w:rsidRPr="009072DA" w:rsidRDefault="001F1A9D" w:rsidP="00E1027C">
      <w:pPr>
        <w:spacing w:line="240" w:lineRule="atLeast"/>
        <w:rPr>
          <w:rFonts w:eastAsia="Calibri"/>
          <w:lang w:val="bg-BG"/>
        </w:rPr>
      </w:pPr>
    </w:p>
    <w:p w:rsidR="00EE7E64" w:rsidRPr="009072DA" w:rsidRDefault="00EE7E64" w:rsidP="00E1027C">
      <w:pPr>
        <w:spacing w:line="240" w:lineRule="atLeast"/>
        <w:rPr>
          <w:rFonts w:eastAsia="Calibri"/>
          <w:lang w:val="bg-BG"/>
        </w:rPr>
      </w:pPr>
    </w:p>
    <w:p w:rsidR="001F1A9D" w:rsidRPr="009072DA" w:rsidRDefault="001F1A9D" w:rsidP="00E1027C">
      <w:pPr>
        <w:pStyle w:val="ES-Titre3"/>
        <w:spacing w:line="240" w:lineRule="atLeast"/>
        <w:rPr>
          <w:lang w:val="bg-BG"/>
        </w:rPr>
      </w:pPr>
      <w:bookmarkStart w:id="29" w:name="_Toc491854015"/>
      <w:bookmarkStart w:id="30" w:name="_Toc535827456"/>
      <w:r w:rsidRPr="009072DA">
        <w:rPr>
          <w:lang w:val="bg-BG"/>
        </w:rPr>
        <w:t>Член 4.02</w:t>
      </w:r>
      <w:r w:rsidRPr="009072DA">
        <w:rPr>
          <w:lang w:val="bg-BG"/>
        </w:rPr>
        <w:br/>
      </w:r>
      <w:r w:rsidRPr="009072DA">
        <w:rPr>
          <w:i/>
          <w:lang w:val="bg-BG"/>
        </w:rPr>
        <w:t>Надводен борд</w:t>
      </w:r>
      <w:bookmarkEnd w:id="29"/>
      <w:bookmarkEnd w:id="30"/>
    </w:p>
    <w:p w:rsidR="00EF4E24" w:rsidRPr="009072DA" w:rsidRDefault="00EF4E24" w:rsidP="00E1027C">
      <w:pPr>
        <w:spacing w:line="240" w:lineRule="atLeast"/>
        <w:rPr>
          <w:rFonts w:eastAsia="Calibri"/>
          <w:lang w:val="bg-BG"/>
        </w:rPr>
      </w:pPr>
    </w:p>
    <w:p w:rsidR="001F1A9D" w:rsidRPr="009072DA" w:rsidRDefault="001F1A9D" w:rsidP="00F6236E">
      <w:pPr>
        <w:spacing w:line="240" w:lineRule="atLeast"/>
        <w:ind w:left="567" w:hanging="567"/>
        <w:rPr>
          <w:rFonts w:eastAsia="Calibri"/>
          <w:szCs w:val="20"/>
          <w:lang w:val="bg-BG"/>
        </w:rPr>
      </w:pPr>
      <w:r w:rsidRPr="009072DA">
        <w:rPr>
          <w:lang w:val="bg-BG"/>
        </w:rPr>
        <w:t>1.</w:t>
      </w:r>
      <w:r w:rsidRPr="009072DA">
        <w:rPr>
          <w:lang w:val="bg-BG"/>
        </w:rPr>
        <w:tab/>
        <w:t>Надводният борд на плавателни съдове с непрекъсната палуба, без седлова извивка и надстройки, трябва да бъде 150 mm.</w:t>
      </w:r>
    </w:p>
    <w:p w:rsidR="00EF4E24" w:rsidRPr="009072DA" w:rsidRDefault="00EF4E24" w:rsidP="00F6236E">
      <w:pPr>
        <w:spacing w:line="240" w:lineRule="atLeast"/>
        <w:ind w:left="567" w:hanging="567"/>
        <w:rPr>
          <w:rFonts w:eastAsia="Calibri"/>
          <w:szCs w:val="20"/>
          <w:lang w:val="bg-BG"/>
        </w:rPr>
      </w:pPr>
    </w:p>
    <w:p w:rsidR="001F1A9D" w:rsidRPr="009072DA" w:rsidRDefault="001F1A9D" w:rsidP="00F6236E">
      <w:pPr>
        <w:spacing w:line="240" w:lineRule="atLeast"/>
        <w:ind w:left="567" w:hanging="567"/>
        <w:rPr>
          <w:rFonts w:eastAsia="Calibri"/>
          <w:szCs w:val="20"/>
          <w:lang w:val="bg-BG"/>
        </w:rPr>
      </w:pPr>
      <w:r w:rsidRPr="009072DA">
        <w:rPr>
          <w:lang w:val="bg-BG"/>
        </w:rPr>
        <w:t>2.</w:t>
      </w:r>
      <w:r w:rsidRPr="009072DA">
        <w:rPr>
          <w:lang w:val="bg-BG"/>
        </w:rPr>
        <w:tab/>
        <w:t>Надводният борд на плавателни съдове със седлова извивка и надстройки се изчислява по следната формула:</w:t>
      </w:r>
    </w:p>
    <w:p w:rsidR="00576124" w:rsidRPr="009072DA" w:rsidRDefault="00576124" w:rsidP="00F6236E">
      <w:pPr>
        <w:spacing w:line="240" w:lineRule="atLeast"/>
        <w:ind w:left="567" w:hanging="567"/>
        <w:rPr>
          <w:rFonts w:eastAsia="Calibri"/>
          <w:szCs w:val="20"/>
          <w:lang w:val="bg-BG"/>
        </w:rPr>
      </w:pPr>
    </w:p>
    <w:p w:rsidR="001F1A9D" w:rsidRPr="009072DA" w:rsidRDefault="0026577D" w:rsidP="007E2368">
      <w:pPr>
        <w:spacing w:line="240" w:lineRule="atLeast"/>
        <w:jc w:val="center"/>
        <w:rPr>
          <w:rFonts w:eastAsia="Calibri"/>
          <w:szCs w:val="20"/>
          <w:lang w:val="bg-BG"/>
        </w:rPr>
      </w:pPr>
      <m:oMathPara>
        <m:oMath>
          <m:r>
            <w:rPr>
              <w:rFonts w:ascii="Cambria Math" w:eastAsia="Calibri" w:hAnsi="Cambria Math" w:cs="Arial"/>
              <w:lang w:val="bg-BG"/>
            </w:rPr>
            <m:t xml:space="preserve">F=150 </m:t>
          </m:r>
          <m:d>
            <m:dPr>
              <m:ctrlPr>
                <w:rPr>
                  <w:rFonts w:ascii="Cambria Math" w:eastAsia="Calibri" w:hAnsi="Cambria Math" w:cs="Arial"/>
                  <w:i/>
                  <w:lang w:val="bg-BG"/>
                </w:rPr>
              </m:ctrlPr>
            </m:dPr>
            <m:e>
              <m:r>
                <w:rPr>
                  <w:rFonts w:ascii="Cambria Math" w:eastAsia="Calibri" w:hAnsi="Cambria Math" w:cs="Arial"/>
                  <w:lang w:val="bg-BG"/>
                </w:rPr>
                <m:t>1- α</m:t>
              </m:r>
            </m:e>
          </m:d>
          <m:r>
            <w:rPr>
              <w:rFonts w:ascii="Cambria Math" w:eastAsia="Calibri" w:hAnsi="Cambria Math" w:cs="Arial"/>
              <w:lang w:val="bg-BG"/>
            </w:rPr>
            <m:t>-</m:t>
          </m:r>
          <m:f>
            <m:fPr>
              <m:ctrlPr>
                <w:rPr>
                  <w:rFonts w:ascii="Cambria Math" w:eastAsia="Calibri" w:hAnsi="Cambria Math" w:cs="Arial"/>
                  <w:i/>
                  <w:lang w:val="bg-BG"/>
                </w:rPr>
              </m:ctrlPr>
            </m:fPr>
            <m:num>
              <m:sSub>
                <m:sSubPr>
                  <m:ctrlPr>
                    <w:rPr>
                      <w:rFonts w:ascii="Cambria Math" w:eastAsia="Calibri" w:hAnsi="Cambria Math" w:cs="Arial"/>
                      <w:i/>
                      <w:lang w:val="bg-BG"/>
                    </w:rPr>
                  </m:ctrlPr>
                </m:sSubPr>
                <m:e>
                  <m:r>
                    <w:rPr>
                      <w:rFonts w:ascii="Cambria Math" w:eastAsia="Calibri" w:hAnsi="Cambria Math" w:cs="Arial"/>
                      <w:lang w:val="bg-BG"/>
                    </w:rPr>
                    <m:t>β</m:t>
                  </m:r>
                </m:e>
                <m:sub>
                  <m:r>
                    <w:rPr>
                      <w:rFonts w:ascii="Cambria Math" w:eastAsia="Calibri" w:hAnsi="Cambria Math" w:cs="Arial"/>
                      <w:lang w:val="bg-BG"/>
                    </w:rPr>
                    <m:t>v</m:t>
                  </m:r>
                </m:sub>
              </m:sSub>
              <m:r>
                <w:rPr>
                  <w:rFonts w:ascii="Cambria Math" w:eastAsia="Calibri" w:hAnsi="Cambria Math" w:cs="Arial"/>
                  <w:lang w:val="bg-BG"/>
                </w:rPr>
                <m:t>∙</m:t>
              </m:r>
              <m:sSub>
                <m:sSubPr>
                  <m:ctrlPr>
                    <w:rPr>
                      <w:rFonts w:ascii="Cambria Math" w:eastAsia="Calibri" w:hAnsi="Cambria Math" w:cs="Arial"/>
                      <w:i/>
                      <w:lang w:val="bg-BG"/>
                    </w:rPr>
                  </m:ctrlPr>
                </m:sSubPr>
                <m:e>
                  <m:r>
                    <w:rPr>
                      <w:rFonts w:ascii="Cambria Math" w:eastAsia="Calibri" w:hAnsi="Cambria Math" w:cs="Arial"/>
                      <w:sz w:val="18"/>
                      <w:lang w:val="bg-BG"/>
                    </w:rPr>
                    <m:t>Se</m:t>
                  </m:r>
                </m:e>
                <m:sub>
                  <m:r>
                    <w:rPr>
                      <w:rFonts w:ascii="Cambria Math" w:eastAsia="Calibri" w:hAnsi="Cambria Math" w:cs="Arial"/>
                      <w:lang w:val="bg-BG"/>
                    </w:rPr>
                    <m:t>v</m:t>
                  </m:r>
                </m:sub>
              </m:sSub>
              <m:r>
                <w:rPr>
                  <w:rFonts w:ascii="Cambria Math" w:eastAsia="Calibri" w:hAnsi="Cambria Math" w:cs="Arial"/>
                  <w:lang w:val="bg-BG"/>
                </w:rPr>
                <m:t xml:space="preserve">+ </m:t>
              </m:r>
              <m:sSub>
                <m:sSubPr>
                  <m:ctrlPr>
                    <w:rPr>
                      <w:rFonts w:ascii="Cambria Math" w:eastAsia="Calibri" w:hAnsi="Cambria Math" w:cs="Arial"/>
                      <w:i/>
                      <w:lang w:val="bg-BG"/>
                    </w:rPr>
                  </m:ctrlPr>
                </m:sSubPr>
                <m:e>
                  <m:r>
                    <w:rPr>
                      <w:rFonts w:ascii="Cambria Math" w:eastAsia="Calibri" w:hAnsi="Cambria Math" w:cs="Arial"/>
                      <w:lang w:val="bg-BG"/>
                    </w:rPr>
                    <m:t>β</m:t>
                  </m:r>
                </m:e>
                <m:sub>
                  <m:r>
                    <w:rPr>
                      <w:rFonts w:ascii="Cambria Math" w:eastAsia="Calibri" w:hAnsi="Cambria Math" w:cs="Arial"/>
                      <w:lang w:val="bg-BG"/>
                    </w:rPr>
                    <m:t>a</m:t>
                  </m:r>
                </m:sub>
              </m:sSub>
              <m:r>
                <w:rPr>
                  <w:rFonts w:ascii="Cambria Math" w:eastAsia="Calibri" w:hAnsi="Cambria Math" w:cs="Arial"/>
                  <w:lang w:val="bg-BG"/>
                </w:rPr>
                <m:t xml:space="preserve">∙ </m:t>
              </m:r>
              <m:sSub>
                <m:sSubPr>
                  <m:ctrlPr>
                    <w:rPr>
                      <w:rFonts w:ascii="Cambria Math" w:eastAsia="Calibri" w:hAnsi="Cambria Math" w:cs="Arial"/>
                      <w:i/>
                      <w:lang w:val="bg-BG"/>
                    </w:rPr>
                  </m:ctrlPr>
                </m:sSubPr>
                <m:e>
                  <m:r>
                    <w:rPr>
                      <w:rFonts w:ascii="Cambria Math" w:eastAsia="Calibri" w:hAnsi="Cambria Math" w:cs="Arial"/>
                      <w:lang w:val="bg-BG"/>
                    </w:rPr>
                    <m:t>Se</m:t>
                  </m:r>
                </m:e>
                <m:sub>
                  <m:r>
                    <w:rPr>
                      <w:rFonts w:ascii="Cambria Math" w:eastAsia="Calibri" w:hAnsi="Cambria Math" w:cs="Arial"/>
                      <w:lang w:val="bg-BG"/>
                    </w:rPr>
                    <m:t>a</m:t>
                  </m:r>
                </m:sub>
              </m:sSub>
            </m:num>
            <m:den>
              <m:r>
                <w:rPr>
                  <w:rFonts w:ascii="Cambria Math" w:eastAsia="Calibri" w:hAnsi="Cambria Math" w:cs="Arial"/>
                  <w:lang w:val="bg-BG"/>
                </w:rPr>
                <m:t>15</m:t>
              </m:r>
            </m:den>
          </m:f>
          <m:r>
            <m:rPr>
              <m:sty m:val="p"/>
            </m:rPr>
            <w:rPr>
              <w:rFonts w:ascii="Cambria Math" w:eastAsia="Calibri" w:hAnsi="Cambria Math" w:cs="Arial"/>
              <w:lang w:val="bg-BG"/>
            </w:rPr>
            <m:t xml:space="preserve">  [mm]</m:t>
          </m:r>
          <m:r>
            <m:rPr>
              <m:sty m:val="p"/>
            </m:rPr>
            <w:rPr>
              <w:rFonts w:eastAsia="Calibri" w:cs="Arial"/>
              <w:lang w:val="bg-BG"/>
            </w:rPr>
            <w:br/>
          </m:r>
        </m:oMath>
      </m:oMathPara>
    </w:p>
    <w:p w:rsidR="001F1A9D" w:rsidRPr="009072DA" w:rsidRDefault="0060175E" w:rsidP="00F6236E">
      <w:pPr>
        <w:spacing w:line="240" w:lineRule="atLeast"/>
        <w:ind w:left="850" w:hanging="283"/>
        <w:rPr>
          <w:rFonts w:eastAsia="Calibri"/>
          <w:szCs w:val="20"/>
          <w:lang w:val="bg-BG"/>
        </w:rPr>
      </w:pPr>
      <w:r w:rsidRPr="009072DA">
        <w:rPr>
          <w:lang w:val="bg-BG"/>
        </w:rPr>
        <w:t>където:</w:t>
      </w:r>
    </w:p>
    <w:p w:rsidR="001F1A9D" w:rsidRPr="009072DA" w:rsidRDefault="00395A9E" w:rsidP="00F6236E">
      <w:pPr>
        <w:spacing w:before="60" w:line="240" w:lineRule="atLeast"/>
        <w:ind w:left="993" w:hanging="426"/>
        <w:rPr>
          <w:rFonts w:eastAsia="Calibri"/>
          <w:szCs w:val="20"/>
          <w:lang w:val="bg-BG"/>
        </w:rPr>
      </w:pPr>
      <m:oMath>
        <m:r>
          <w:rPr>
            <w:rFonts w:ascii="Cambria Math" w:eastAsia="Calibri" w:hAnsi="Cambria Math"/>
            <w:szCs w:val="20"/>
            <w:lang w:val="bg-BG"/>
          </w:rPr>
          <m:t>α</m:t>
        </m:r>
      </m:oMath>
      <w:r w:rsidRPr="009072DA">
        <w:rPr>
          <w:lang w:val="bg-BG"/>
        </w:rPr>
        <w:tab/>
        <w:t>е коефициент за корекция, който отчита всички съответни надстройки;</w:t>
      </w:r>
    </w:p>
    <w:p w:rsidR="001F1A9D" w:rsidRPr="009072DA" w:rsidRDefault="002B712C" w:rsidP="00F6236E">
      <w:pPr>
        <w:spacing w:before="60" w:line="240" w:lineRule="atLeast"/>
        <w:ind w:left="993" w:hanging="426"/>
        <w:rPr>
          <w:rFonts w:eastAsia="Calibri"/>
          <w:szCs w:val="20"/>
          <w:lang w:val="bg-BG"/>
        </w:rPr>
      </w:pPr>
      <m:oMath>
        <m:sSub>
          <m:sSubPr>
            <m:ctrlPr>
              <w:rPr>
                <w:rFonts w:ascii="Cambria Math" w:eastAsia="Calibri" w:hAnsi="Cambria Math"/>
                <w:i/>
                <w:szCs w:val="20"/>
                <w:lang w:val="bg-BG"/>
              </w:rPr>
            </m:ctrlPr>
          </m:sSubPr>
          <m:e>
            <m:r>
              <w:rPr>
                <w:rFonts w:ascii="Cambria Math" w:eastAsia="Calibri" w:hAnsi="Cambria Math"/>
                <w:szCs w:val="20"/>
                <w:lang w:val="bg-BG"/>
              </w:rPr>
              <m:t>β</m:t>
            </m:r>
          </m:e>
          <m:sub>
            <m:r>
              <w:rPr>
                <w:rFonts w:ascii="Cambria Math" w:eastAsia="Calibri" w:hAnsi="Cambria Math"/>
                <w:szCs w:val="20"/>
                <w:lang w:val="bg-BG"/>
              </w:rPr>
              <m:t>v</m:t>
            </m:r>
          </m:sub>
        </m:sSub>
      </m:oMath>
      <w:r w:rsidR="007B1046" w:rsidRPr="009072DA">
        <w:rPr>
          <w:lang w:val="bg-BG"/>
        </w:rPr>
        <w:t xml:space="preserve"> </w:t>
      </w:r>
      <w:r w:rsidR="007B1046" w:rsidRPr="009072DA">
        <w:rPr>
          <w:lang w:val="bg-BG"/>
        </w:rPr>
        <w:tab/>
        <w:t xml:space="preserve">е коефициент за коригиране влиянието на издигането на палубата в носовата част в резултат на наличието на надстройки в предната четвърт на дължината </w:t>
      </w:r>
      <m:oMath>
        <m:r>
          <w:rPr>
            <w:rFonts w:ascii="Cambria Math" w:hAnsi="Cambria Math" w:cs="Arial"/>
            <w:szCs w:val="20"/>
            <w:lang w:val="bg-BG"/>
          </w:rPr>
          <m:t>L</m:t>
        </m:r>
      </m:oMath>
      <w:r w:rsidR="007B1046" w:rsidRPr="009072DA">
        <w:rPr>
          <w:lang w:val="bg-BG"/>
        </w:rPr>
        <w:t xml:space="preserve"> на плавателния съд;</w:t>
      </w:r>
    </w:p>
    <w:p w:rsidR="001F1A9D" w:rsidRPr="009072DA" w:rsidRDefault="002B712C" w:rsidP="00F6236E">
      <w:pPr>
        <w:spacing w:before="60" w:line="240" w:lineRule="atLeast"/>
        <w:ind w:left="993" w:hanging="426"/>
        <w:rPr>
          <w:rFonts w:eastAsia="Calibri"/>
          <w:szCs w:val="20"/>
          <w:lang w:val="bg-BG"/>
        </w:rPr>
      </w:pPr>
      <m:oMath>
        <m:sSub>
          <m:sSubPr>
            <m:ctrlPr>
              <w:rPr>
                <w:rFonts w:ascii="Cambria Math" w:eastAsia="Calibri" w:hAnsi="Cambria Math"/>
                <w:i/>
                <w:szCs w:val="20"/>
                <w:lang w:val="bg-BG"/>
              </w:rPr>
            </m:ctrlPr>
          </m:sSubPr>
          <m:e>
            <m:r>
              <w:rPr>
                <w:rFonts w:ascii="Cambria Math" w:eastAsia="Calibri" w:hAnsi="Cambria Math"/>
                <w:szCs w:val="20"/>
                <w:lang w:val="bg-BG"/>
              </w:rPr>
              <m:t>β</m:t>
            </m:r>
          </m:e>
          <m:sub>
            <m:r>
              <w:rPr>
                <w:rFonts w:ascii="Cambria Math" w:eastAsia="Calibri" w:hAnsi="Cambria Math"/>
                <w:szCs w:val="20"/>
                <w:lang w:val="bg-BG"/>
              </w:rPr>
              <m:t>a</m:t>
            </m:r>
          </m:sub>
        </m:sSub>
      </m:oMath>
      <w:r w:rsidR="007B1046" w:rsidRPr="009072DA">
        <w:rPr>
          <w:lang w:val="bg-BG"/>
        </w:rPr>
        <w:tab/>
        <w:t xml:space="preserve">е коефициент за коригиране влиянието на издигането на палубата в кърмовата част в резултат на наличието на надстройки в задната четвърт на дължината </w:t>
      </w:r>
      <m:oMath>
        <m:r>
          <w:rPr>
            <w:rFonts w:ascii="Cambria Math" w:hAnsi="Cambria Math" w:cs="Arial"/>
            <w:szCs w:val="20"/>
            <w:lang w:val="bg-BG"/>
          </w:rPr>
          <m:t>L</m:t>
        </m:r>
      </m:oMath>
      <w:r w:rsidR="007B1046" w:rsidRPr="009072DA">
        <w:rPr>
          <w:lang w:val="bg-BG"/>
        </w:rPr>
        <w:t xml:space="preserve"> на плавателния съд;</w:t>
      </w:r>
    </w:p>
    <w:p w:rsidR="001F1A9D" w:rsidRPr="009072DA" w:rsidRDefault="002B712C" w:rsidP="00F6236E">
      <w:pPr>
        <w:spacing w:before="60" w:line="240" w:lineRule="atLeast"/>
        <w:ind w:left="993" w:hanging="426"/>
        <w:rPr>
          <w:rFonts w:eastAsia="Calibri"/>
          <w:szCs w:val="20"/>
          <w:lang w:val="bg-BG"/>
        </w:rPr>
      </w:pPr>
      <m:oMath>
        <m:sSub>
          <m:sSubPr>
            <m:ctrlPr>
              <w:rPr>
                <w:rFonts w:ascii="Cambria Math" w:eastAsia="Calibri" w:hAnsi="Cambria Math"/>
                <w:i/>
                <w:szCs w:val="20"/>
                <w:lang w:val="bg-BG"/>
              </w:rPr>
            </m:ctrlPr>
          </m:sSubPr>
          <m:e>
            <m:r>
              <w:rPr>
                <w:rFonts w:ascii="Cambria Math" w:eastAsia="Calibri" w:hAnsi="Cambria Math"/>
                <w:szCs w:val="20"/>
                <w:lang w:val="bg-BG"/>
              </w:rPr>
              <m:t>Se</m:t>
            </m:r>
          </m:e>
          <m:sub>
            <m:r>
              <w:rPr>
                <w:rFonts w:ascii="Cambria Math" w:eastAsia="Calibri" w:hAnsi="Cambria Math"/>
                <w:szCs w:val="20"/>
                <w:lang w:val="bg-BG"/>
              </w:rPr>
              <m:t>v</m:t>
            </m:r>
          </m:sub>
        </m:sSub>
      </m:oMath>
      <w:r w:rsidR="007B1046" w:rsidRPr="009072DA">
        <w:rPr>
          <w:lang w:val="bg-BG"/>
        </w:rPr>
        <w:tab/>
        <w:t>е ефективното издигане на палубата в носовата част в mm;</w:t>
      </w:r>
    </w:p>
    <w:p w:rsidR="001F1A9D" w:rsidRPr="009072DA" w:rsidRDefault="002B712C" w:rsidP="00F6236E">
      <w:pPr>
        <w:spacing w:before="60" w:line="240" w:lineRule="atLeast"/>
        <w:ind w:left="993" w:hanging="426"/>
        <w:rPr>
          <w:rFonts w:eastAsia="Calibri"/>
          <w:szCs w:val="20"/>
          <w:lang w:val="bg-BG"/>
        </w:rPr>
      </w:pPr>
      <m:oMath>
        <m:sSub>
          <m:sSubPr>
            <m:ctrlPr>
              <w:rPr>
                <w:rFonts w:ascii="Cambria Math" w:eastAsia="Calibri" w:hAnsi="Cambria Math"/>
                <w:i/>
                <w:szCs w:val="20"/>
                <w:lang w:val="bg-BG"/>
              </w:rPr>
            </m:ctrlPr>
          </m:sSubPr>
          <m:e>
            <m:r>
              <w:rPr>
                <w:rFonts w:ascii="Cambria Math" w:eastAsia="Calibri" w:hAnsi="Cambria Math"/>
                <w:szCs w:val="20"/>
                <w:lang w:val="bg-BG"/>
              </w:rPr>
              <m:t>Se</m:t>
            </m:r>
          </m:e>
          <m:sub>
            <m:r>
              <w:rPr>
                <w:rFonts w:ascii="Cambria Math" w:eastAsia="Calibri" w:hAnsi="Cambria Math"/>
                <w:szCs w:val="20"/>
                <w:lang w:val="bg-BG"/>
              </w:rPr>
              <m:t>a</m:t>
            </m:r>
          </m:sub>
        </m:sSub>
      </m:oMath>
      <w:r w:rsidR="007B1046" w:rsidRPr="009072DA">
        <w:rPr>
          <w:lang w:val="bg-BG"/>
        </w:rPr>
        <w:tab/>
        <w:t xml:space="preserve">е ефективното издигане на палубата в кърмовата част в mm. </w:t>
      </w:r>
    </w:p>
    <w:p w:rsidR="00EE7E64" w:rsidRPr="009072DA" w:rsidRDefault="00EE7E64" w:rsidP="00E1027C">
      <w:pPr>
        <w:spacing w:line="240" w:lineRule="atLeast"/>
        <w:rPr>
          <w:rFonts w:eastAsia="Calibri"/>
          <w:szCs w:val="20"/>
          <w:lang w:val="bg-BG"/>
        </w:rPr>
      </w:pPr>
    </w:p>
    <w:p w:rsidR="001F1A9D" w:rsidRPr="009072DA" w:rsidRDefault="001F1A9D" w:rsidP="00F6236E">
      <w:pPr>
        <w:spacing w:line="240" w:lineRule="atLeast"/>
        <w:ind w:left="567" w:hanging="567"/>
        <w:rPr>
          <w:rFonts w:eastAsia="Calibri"/>
          <w:szCs w:val="20"/>
          <w:lang w:val="bg-BG"/>
        </w:rPr>
      </w:pPr>
      <w:r w:rsidRPr="009072DA">
        <w:rPr>
          <w:lang w:val="bg-BG"/>
        </w:rPr>
        <w:t>3.</w:t>
      </w:r>
      <w:r w:rsidRPr="009072DA">
        <w:rPr>
          <w:lang w:val="bg-BG"/>
        </w:rPr>
        <w:tab/>
        <w:t xml:space="preserve">Коефициентът </w:t>
      </w:r>
      <m:oMath>
        <m:r>
          <w:rPr>
            <w:rFonts w:ascii="Cambria Math" w:eastAsia="Calibri" w:hAnsi="Cambria Math"/>
            <w:szCs w:val="20"/>
            <w:lang w:val="bg-BG"/>
          </w:rPr>
          <m:t>α</m:t>
        </m:r>
      </m:oMath>
      <w:r w:rsidRPr="009072DA">
        <w:rPr>
          <w:lang w:val="bg-BG"/>
        </w:rPr>
        <w:t xml:space="preserve"> се изчислява, като се използва следната формула:</w:t>
      </w:r>
    </w:p>
    <w:p w:rsidR="00395A9E" w:rsidRPr="009072DA" w:rsidRDefault="00395A9E" w:rsidP="00F6236E">
      <w:pPr>
        <w:spacing w:line="240" w:lineRule="atLeast"/>
        <w:ind w:left="567" w:hanging="567"/>
        <w:rPr>
          <w:rFonts w:eastAsia="Calibri"/>
          <w:szCs w:val="20"/>
          <w:lang w:val="bg-BG"/>
        </w:rPr>
      </w:pPr>
    </w:p>
    <w:p w:rsidR="0082441A" w:rsidRPr="009072DA" w:rsidRDefault="00006207" w:rsidP="007E2368">
      <w:pPr>
        <w:spacing w:line="240" w:lineRule="atLeast"/>
        <w:rPr>
          <w:rFonts w:eastAsia="Calibri"/>
          <w:szCs w:val="20"/>
          <w:lang w:val="bg-BG"/>
        </w:rPr>
      </w:pPr>
      <m:oMathPara>
        <m:oMath>
          <m:r>
            <w:rPr>
              <w:rFonts w:ascii="Cambria Math" w:eastAsia="Calibri" w:hAnsi="Cambria Math" w:cs="Cambria Math"/>
              <w:szCs w:val="20"/>
              <w:lang w:val="bg-BG"/>
            </w:rPr>
            <m:t>α</m:t>
          </m:r>
          <m:r>
            <m:rPr>
              <m:sty m:val="p"/>
            </m:rPr>
            <w:rPr>
              <w:rFonts w:ascii="Cambria Math" w:eastAsia="Calibri" w:hAnsi="Cambria Math" w:cs="Cambria Math"/>
              <w:szCs w:val="20"/>
              <w:lang w:val="bg-BG"/>
            </w:rPr>
            <m:t>=</m:t>
          </m:r>
          <m:f>
            <m:fPr>
              <m:ctrlPr>
                <w:rPr>
                  <w:rFonts w:ascii="Cambria Math" w:eastAsia="Calibri" w:hAnsi="Cambria Math"/>
                  <w:szCs w:val="20"/>
                  <w:lang w:val="bg-BG"/>
                </w:rPr>
              </m:ctrlPr>
            </m:fPr>
            <m:num>
              <m:nary>
                <m:naryPr>
                  <m:chr m:val="∑"/>
                  <m:limLoc m:val="undOvr"/>
                  <m:subHide m:val="1"/>
                  <m:supHide m:val="1"/>
                  <m:ctrlPr>
                    <w:rPr>
                      <w:rFonts w:ascii="Cambria Math" w:eastAsia="Calibri" w:hAnsi="Cambria Math" w:cs="Cambria Math"/>
                      <w:szCs w:val="20"/>
                      <w:lang w:val="bg-BG"/>
                    </w:rPr>
                  </m:ctrlPr>
                </m:naryPr>
                <m:sub/>
                <m:sup/>
                <m:e>
                  <m:sSub>
                    <m:sSubPr>
                      <m:ctrlPr>
                        <w:rPr>
                          <w:rFonts w:ascii="Cambria Math" w:eastAsia="Calibri" w:hAnsi="Cambria Math" w:cs="Cambria Math"/>
                          <w:i/>
                          <w:szCs w:val="20"/>
                          <w:lang w:val="bg-BG"/>
                        </w:rPr>
                      </m:ctrlPr>
                    </m:sSubPr>
                    <m:e>
                      <m:r>
                        <w:rPr>
                          <w:rFonts w:ascii="Cambria Math" w:eastAsia="Calibri" w:hAnsi="Cambria Math" w:cs="Cambria Math"/>
                          <w:szCs w:val="20"/>
                          <w:lang w:val="bg-BG"/>
                        </w:rPr>
                        <m:t>le</m:t>
                      </m:r>
                    </m:e>
                    <m:sub>
                      <m:r>
                        <w:rPr>
                          <w:rFonts w:ascii="Cambria Math" w:eastAsia="Calibri" w:hAnsi="Cambria Math" w:cs="Cambria Math"/>
                          <w:szCs w:val="20"/>
                          <w:lang w:val="bg-BG"/>
                        </w:rPr>
                        <m:t>a</m:t>
                      </m:r>
                    </m:sub>
                  </m:sSub>
                </m:e>
              </m:nary>
              <m:r>
                <m:rPr>
                  <m:sty m:val="p"/>
                </m:rPr>
                <w:rPr>
                  <w:rFonts w:ascii="Cambria Math" w:eastAsia="Calibri" w:hAnsi="Cambria Math" w:cs="Cambria Math"/>
                  <w:szCs w:val="20"/>
                  <w:lang w:val="bg-BG"/>
                </w:rPr>
                <m:t xml:space="preserve">+ </m:t>
              </m:r>
              <m:nary>
                <m:naryPr>
                  <m:chr m:val="∑"/>
                  <m:limLoc m:val="undOvr"/>
                  <m:subHide m:val="1"/>
                  <m:supHide m:val="1"/>
                  <m:ctrlPr>
                    <w:rPr>
                      <w:rFonts w:ascii="Cambria Math" w:eastAsia="Calibri" w:hAnsi="Cambria Math" w:cs="Cambria Math"/>
                      <w:szCs w:val="20"/>
                      <w:lang w:val="bg-BG"/>
                    </w:rPr>
                  </m:ctrlPr>
                </m:naryPr>
                <m:sub/>
                <m:sup/>
                <m:e>
                  <m:sSub>
                    <m:sSubPr>
                      <m:ctrlPr>
                        <w:rPr>
                          <w:rFonts w:ascii="Cambria Math" w:eastAsia="Calibri" w:hAnsi="Cambria Math" w:cs="Cambria Math"/>
                          <w:i/>
                          <w:szCs w:val="20"/>
                          <w:lang w:val="bg-BG"/>
                        </w:rPr>
                      </m:ctrlPr>
                    </m:sSubPr>
                    <m:e>
                      <m:r>
                        <w:rPr>
                          <w:rFonts w:ascii="Cambria Math" w:eastAsia="Calibri" w:hAnsi="Cambria Math" w:cs="Cambria Math"/>
                          <w:szCs w:val="20"/>
                          <w:lang w:val="bg-BG"/>
                        </w:rPr>
                        <m:t>le</m:t>
                      </m:r>
                    </m:e>
                    <m:sub>
                      <m:r>
                        <w:rPr>
                          <w:rFonts w:ascii="Cambria Math" w:eastAsia="Calibri" w:hAnsi="Cambria Math" w:cs="Cambria Math"/>
                          <w:szCs w:val="20"/>
                          <w:lang w:val="bg-BG"/>
                        </w:rPr>
                        <m:t>m</m:t>
                      </m:r>
                    </m:sub>
                  </m:sSub>
                </m:e>
              </m:nary>
              <m:r>
                <w:rPr>
                  <w:rFonts w:ascii="Cambria Math" w:eastAsia="Calibri" w:hAnsi="Cambria Math" w:cs="Cambria Math"/>
                  <w:szCs w:val="20"/>
                  <w:lang w:val="bg-BG"/>
                </w:rPr>
                <m:t xml:space="preserve">+ </m:t>
              </m:r>
              <m:nary>
                <m:naryPr>
                  <m:chr m:val="∑"/>
                  <m:limLoc m:val="undOvr"/>
                  <m:subHide m:val="1"/>
                  <m:supHide m:val="1"/>
                  <m:ctrlPr>
                    <w:rPr>
                      <w:rFonts w:ascii="Cambria Math" w:eastAsia="Calibri" w:hAnsi="Cambria Math" w:cs="Cambria Math"/>
                      <w:szCs w:val="20"/>
                      <w:lang w:val="bg-BG"/>
                    </w:rPr>
                  </m:ctrlPr>
                </m:naryPr>
                <m:sub/>
                <m:sup/>
                <m:e>
                  <m:sSub>
                    <m:sSubPr>
                      <m:ctrlPr>
                        <w:rPr>
                          <w:rFonts w:ascii="Cambria Math" w:eastAsia="Calibri" w:hAnsi="Cambria Math" w:cs="Cambria Math"/>
                          <w:i/>
                          <w:szCs w:val="20"/>
                          <w:lang w:val="bg-BG"/>
                        </w:rPr>
                      </m:ctrlPr>
                    </m:sSubPr>
                    <m:e>
                      <m:r>
                        <w:rPr>
                          <w:rFonts w:ascii="Cambria Math" w:eastAsia="Calibri" w:hAnsi="Cambria Math" w:cs="Cambria Math"/>
                          <w:szCs w:val="20"/>
                          <w:lang w:val="bg-BG"/>
                        </w:rPr>
                        <m:t>le</m:t>
                      </m:r>
                    </m:e>
                    <m:sub>
                      <m:r>
                        <w:rPr>
                          <w:rFonts w:ascii="Cambria Math" w:eastAsia="Calibri" w:hAnsi="Cambria Math" w:cs="Cambria Math"/>
                          <w:szCs w:val="20"/>
                          <w:lang w:val="bg-BG"/>
                        </w:rPr>
                        <m:t>v</m:t>
                      </m:r>
                    </m:sub>
                  </m:sSub>
                </m:e>
              </m:nary>
            </m:num>
            <m:den>
              <m:r>
                <m:rPr>
                  <m:sty m:val="p"/>
                </m:rPr>
                <w:rPr>
                  <w:rFonts w:ascii="Cambria Math" w:eastAsia="Calibri" w:hAnsi="Cambria Math" w:cs="Cambria Math"/>
                  <w:szCs w:val="20"/>
                  <w:lang w:val="bg-BG"/>
                </w:rPr>
                <m:t>L</m:t>
              </m:r>
            </m:den>
          </m:f>
        </m:oMath>
      </m:oMathPara>
    </w:p>
    <w:p w:rsidR="001F1A9D" w:rsidRPr="009072DA" w:rsidRDefault="001F1A9D" w:rsidP="00E1027C">
      <w:pPr>
        <w:spacing w:line="240" w:lineRule="atLeast"/>
        <w:rPr>
          <w:rFonts w:eastAsia="Calibri"/>
          <w:szCs w:val="20"/>
          <w:lang w:val="bg-BG"/>
        </w:rPr>
      </w:pPr>
    </w:p>
    <w:p w:rsidR="001F1A9D" w:rsidRPr="009072DA" w:rsidRDefault="0060175E" w:rsidP="00F6236E">
      <w:pPr>
        <w:spacing w:line="240" w:lineRule="atLeast"/>
        <w:ind w:left="567"/>
        <w:rPr>
          <w:rFonts w:eastAsia="Calibri"/>
          <w:szCs w:val="20"/>
          <w:lang w:val="bg-BG"/>
        </w:rPr>
      </w:pPr>
      <w:r w:rsidRPr="009072DA">
        <w:rPr>
          <w:lang w:val="bg-BG"/>
        </w:rPr>
        <w:t>където:</w:t>
      </w:r>
    </w:p>
    <w:p w:rsidR="001F1A9D" w:rsidRPr="009072DA" w:rsidRDefault="002B712C" w:rsidP="00F6236E">
      <w:pPr>
        <w:spacing w:before="60" w:line="240" w:lineRule="atLeast"/>
        <w:ind w:left="993" w:hanging="426"/>
        <w:rPr>
          <w:rFonts w:eastAsia="Calibri"/>
          <w:szCs w:val="20"/>
          <w:lang w:val="bg-BG"/>
        </w:rPr>
      </w:pPr>
      <m:oMath>
        <m:sSub>
          <m:sSubPr>
            <m:ctrlPr>
              <w:rPr>
                <w:rFonts w:ascii="Cambria Math" w:eastAsia="Calibri" w:hAnsi="Cambria Math"/>
                <w:i/>
                <w:szCs w:val="20"/>
                <w:lang w:val="bg-BG"/>
              </w:rPr>
            </m:ctrlPr>
          </m:sSubPr>
          <m:e>
            <m:r>
              <w:rPr>
                <w:rFonts w:ascii="Cambria Math" w:eastAsia="Calibri" w:hAnsi="Cambria Math"/>
                <w:szCs w:val="20"/>
                <w:lang w:val="bg-BG"/>
              </w:rPr>
              <m:t>le</m:t>
            </m:r>
          </m:e>
          <m:sub>
            <m:r>
              <w:rPr>
                <w:rFonts w:ascii="Cambria Math" w:eastAsia="Calibri" w:hAnsi="Cambria Math"/>
                <w:szCs w:val="20"/>
                <w:lang w:val="bg-BG"/>
              </w:rPr>
              <m:t>m</m:t>
            </m:r>
          </m:sub>
        </m:sSub>
      </m:oMath>
      <w:r w:rsidR="007B1046" w:rsidRPr="009072DA">
        <w:rPr>
          <w:lang w:val="bg-BG"/>
        </w:rPr>
        <w:t xml:space="preserve"> </w:t>
      </w:r>
      <w:r w:rsidR="007B1046" w:rsidRPr="009072DA">
        <w:rPr>
          <w:lang w:val="bg-BG"/>
        </w:rPr>
        <w:tab/>
        <w:t xml:space="preserve">е действителната дължина в метри на надстройка, намираща се в средната част, съответстваща на половината от дължината </w:t>
      </w:r>
      <m:oMath>
        <m:r>
          <w:rPr>
            <w:rFonts w:ascii="Cambria Math" w:hAnsi="Cambria Math" w:cs="Arial"/>
            <w:szCs w:val="20"/>
            <w:lang w:val="bg-BG"/>
          </w:rPr>
          <m:t>L</m:t>
        </m:r>
      </m:oMath>
      <w:r w:rsidR="007B1046" w:rsidRPr="009072DA">
        <w:rPr>
          <w:lang w:val="bg-BG"/>
        </w:rPr>
        <w:t xml:space="preserve"> на плавателния съд;</w:t>
      </w:r>
    </w:p>
    <w:p w:rsidR="001F1A9D" w:rsidRPr="009072DA" w:rsidRDefault="002B712C" w:rsidP="00F6236E">
      <w:pPr>
        <w:spacing w:before="60" w:line="240" w:lineRule="atLeast"/>
        <w:ind w:left="993" w:hanging="426"/>
        <w:rPr>
          <w:rFonts w:eastAsia="Calibri"/>
          <w:szCs w:val="20"/>
          <w:lang w:val="bg-BG"/>
        </w:rPr>
      </w:pPr>
      <m:oMath>
        <m:sSub>
          <m:sSubPr>
            <m:ctrlPr>
              <w:rPr>
                <w:rFonts w:ascii="Cambria Math" w:eastAsia="Calibri" w:hAnsi="Cambria Math"/>
                <w:i/>
                <w:szCs w:val="20"/>
                <w:lang w:val="bg-BG"/>
              </w:rPr>
            </m:ctrlPr>
          </m:sSubPr>
          <m:e>
            <m:r>
              <w:rPr>
                <w:rFonts w:ascii="Cambria Math" w:eastAsia="Calibri" w:hAnsi="Cambria Math"/>
                <w:szCs w:val="20"/>
                <w:lang w:val="bg-BG"/>
              </w:rPr>
              <m:t>le</m:t>
            </m:r>
          </m:e>
          <m:sub>
            <m:r>
              <w:rPr>
                <w:rFonts w:ascii="Cambria Math" w:eastAsia="Calibri" w:hAnsi="Cambria Math"/>
                <w:szCs w:val="20"/>
                <w:lang w:val="bg-BG"/>
              </w:rPr>
              <m:t>v</m:t>
            </m:r>
          </m:sub>
        </m:sSub>
      </m:oMath>
      <w:r w:rsidR="007B1046" w:rsidRPr="009072DA">
        <w:rPr>
          <w:lang w:val="bg-BG"/>
        </w:rPr>
        <w:tab/>
        <w:t xml:space="preserve">е действителната дължина в метри на надстройка, намираща се в предната четвърт от дължината на плавателния съд </w:t>
      </w:r>
      <m:oMath>
        <m:r>
          <w:rPr>
            <w:rFonts w:ascii="Cambria Math" w:hAnsi="Cambria Math" w:cs="Arial"/>
            <w:szCs w:val="20"/>
            <w:lang w:val="bg-BG"/>
          </w:rPr>
          <m:t>L</m:t>
        </m:r>
      </m:oMath>
      <w:r w:rsidR="007B1046" w:rsidRPr="009072DA">
        <w:rPr>
          <w:lang w:val="bg-BG"/>
        </w:rPr>
        <w:t>;</w:t>
      </w:r>
    </w:p>
    <w:p w:rsidR="001F1A9D" w:rsidRPr="009072DA" w:rsidRDefault="002B712C" w:rsidP="00F6236E">
      <w:pPr>
        <w:spacing w:before="60" w:line="240" w:lineRule="atLeast"/>
        <w:ind w:left="993" w:hanging="426"/>
        <w:rPr>
          <w:rFonts w:eastAsia="Calibri"/>
          <w:szCs w:val="20"/>
          <w:lang w:val="bg-BG"/>
        </w:rPr>
      </w:pPr>
      <m:oMath>
        <m:sSub>
          <m:sSubPr>
            <m:ctrlPr>
              <w:rPr>
                <w:rFonts w:ascii="Cambria Math" w:eastAsia="Calibri" w:hAnsi="Cambria Math"/>
                <w:i/>
                <w:szCs w:val="20"/>
                <w:lang w:val="bg-BG"/>
              </w:rPr>
            </m:ctrlPr>
          </m:sSubPr>
          <m:e>
            <m:r>
              <w:rPr>
                <w:rFonts w:ascii="Cambria Math" w:eastAsia="Calibri" w:hAnsi="Cambria Math"/>
                <w:szCs w:val="20"/>
                <w:lang w:val="bg-BG"/>
              </w:rPr>
              <m:t>le</m:t>
            </m:r>
          </m:e>
          <m:sub>
            <m:r>
              <w:rPr>
                <w:rFonts w:ascii="Cambria Math" w:eastAsia="Calibri" w:hAnsi="Cambria Math"/>
                <w:szCs w:val="20"/>
                <w:lang w:val="bg-BG"/>
              </w:rPr>
              <m:t>a</m:t>
            </m:r>
          </m:sub>
        </m:sSub>
      </m:oMath>
      <w:r w:rsidR="007B1046" w:rsidRPr="009072DA">
        <w:rPr>
          <w:lang w:val="bg-BG"/>
        </w:rPr>
        <w:tab/>
      </w:r>
      <w:r w:rsidR="007B1046" w:rsidRPr="009072DA">
        <w:rPr>
          <w:vertAlign w:val="subscript"/>
          <w:lang w:val="bg-BG"/>
        </w:rPr>
        <w:t xml:space="preserve"> </w:t>
      </w:r>
      <w:r w:rsidR="007B1046" w:rsidRPr="009072DA">
        <w:rPr>
          <w:lang w:val="bg-BG"/>
        </w:rPr>
        <w:t xml:space="preserve">е действителната дължина в метри на надстройка, намираща се в задната четвърт от дължината на плавателния съд </w:t>
      </w:r>
      <m:oMath>
        <m:r>
          <w:rPr>
            <w:rFonts w:ascii="Cambria Math" w:hAnsi="Cambria Math" w:cs="Arial"/>
            <w:szCs w:val="20"/>
            <w:lang w:val="bg-BG"/>
          </w:rPr>
          <m:t>L</m:t>
        </m:r>
      </m:oMath>
      <w:r w:rsidR="007B1046" w:rsidRPr="009072DA">
        <w:rPr>
          <w:lang w:val="bg-BG"/>
        </w:rPr>
        <w:t>.</w:t>
      </w:r>
    </w:p>
    <w:p w:rsidR="00745DD2" w:rsidRPr="009072DA" w:rsidRDefault="00745DD2" w:rsidP="00E1027C">
      <w:pPr>
        <w:spacing w:line="240" w:lineRule="atLeast"/>
        <w:ind w:left="850"/>
        <w:rPr>
          <w:rFonts w:eastAsia="Calibri"/>
          <w:szCs w:val="20"/>
          <w:lang w:val="bg-BG"/>
        </w:rPr>
      </w:pPr>
    </w:p>
    <w:p w:rsidR="004316CC" w:rsidRPr="009072DA" w:rsidRDefault="004316CC" w:rsidP="00E1027C">
      <w:pPr>
        <w:spacing w:line="240" w:lineRule="atLeast"/>
        <w:ind w:left="850"/>
        <w:rPr>
          <w:rFonts w:eastAsia="Calibri"/>
          <w:szCs w:val="20"/>
          <w:lang w:val="bg-BG"/>
        </w:rPr>
      </w:pPr>
      <w:r w:rsidRPr="009072DA">
        <w:rPr>
          <w:lang w:val="bg-BG"/>
        </w:rPr>
        <w:br w:type="page"/>
      </w:r>
    </w:p>
    <w:p w:rsidR="001F1A9D" w:rsidRPr="009072DA" w:rsidRDefault="0060175E" w:rsidP="00F6236E">
      <w:pPr>
        <w:spacing w:line="240" w:lineRule="atLeast"/>
        <w:ind w:left="567"/>
        <w:rPr>
          <w:rFonts w:eastAsia="Calibri"/>
          <w:szCs w:val="20"/>
          <w:lang w:val="bg-BG"/>
        </w:rPr>
      </w:pPr>
      <w:r w:rsidRPr="009072DA">
        <w:rPr>
          <w:lang w:val="bg-BG"/>
        </w:rPr>
        <w:lastRenderedPageBreak/>
        <w:t>Действителната дължина на надстройка се изчислява по следните формули:</w:t>
      </w:r>
    </w:p>
    <w:p w:rsidR="0058606C" w:rsidRPr="009072DA" w:rsidRDefault="0058606C" w:rsidP="0060175E">
      <w:pPr>
        <w:tabs>
          <w:tab w:val="left" w:pos="1485"/>
        </w:tabs>
        <w:spacing w:line="240" w:lineRule="atLeast"/>
        <w:ind w:left="567"/>
        <w:rPr>
          <w:rFonts w:eastAsia="Calibri"/>
          <w:szCs w:val="20"/>
          <w:lang w:val="bg-BG"/>
        </w:rPr>
      </w:pPr>
    </w:p>
    <w:p w:rsidR="0026577D" w:rsidRPr="009072DA" w:rsidRDefault="002B712C" w:rsidP="007E2368">
      <w:pPr>
        <w:tabs>
          <w:tab w:val="left" w:pos="1485"/>
        </w:tabs>
        <w:spacing w:line="240" w:lineRule="atLeast"/>
        <w:rPr>
          <w:rFonts w:eastAsia="Calibri"/>
          <w:szCs w:val="20"/>
          <w:lang w:val="bg-BG"/>
        </w:rPr>
      </w:pPr>
      <m:oMathPara>
        <m:oMath>
          <m:sSub>
            <m:sSubPr>
              <m:ctrlPr>
                <w:rPr>
                  <w:rFonts w:ascii="Cambria Math" w:eastAsia="Calibri" w:hAnsi="Cambria Math" w:cs="Arial"/>
                  <w:i/>
                  <w:lang w:val="bg-BG"/>
                </w:rPr>
              </m:ctrlPr>
            </m:sSubPr>
            <m:e>
              <m:r>
                <w:rPr>
                  <w:rFonts w:ascii="Cambria Math" w:eastAsia="Calibri" w:hAnsi="Cambria Math" w:cs="Arial"/>
                  <w:lang w:val="bg-BG"/>
                </w:rPr>
                <m:t>le</m:t>
              </m:r>
            </m:e>
            <m:sub>
              <m:r>
                <w:rPr>
                  <w:rFonts w:ascii="Cambria Math" w:eastAsia="Calibri" w:hAnsi="Cambria Math" w:cs="Arial"/>
                  <w:lang w:val="bg-BG"/>
                </w:rPr>
                <m:t>m</m:t>
              </m:r>
            </m:sub>
          </m:sSub>
          <m:r>
            <w:rPr>
              <w:rFonts w:ascii="Cambria Math" w:eastAsia="Calibri" w:hAnsi="Cambria Math" w:cs="Arial"/>
              <w:lang w:val="bg-BG"/>
            </w:rPr>
            <m:t>=l ∙</m:t>
          </m:r>
          <m:d>
            <m:dPr>
              <m:ctrlPr>
                <w:rPr>
                  <w:rFonts w:ascii="Cambria Math" w:eastAsia="Calibri" w:hAnsi="Cambria Math" w:cs="Arial"/>
                  <w:i/>
                  <w:lang w:val="bg-BG"/>
                </w:rPr>
              </m:ctrlPr>
            </m:dPr>
            <m:e>
              <m:r>
                <w:rPr>
                  <w:rFonts w:ascii="Cambria Math" w:eastAsia="Calibri" w:hAnsi="Cambria Math" w:cs="Arial"/>
                  <w:lang w:val="bg-BG"/>
                </w:rPr>
                <m:t xml:space="preserve">2,5 ∙ </m:t>
              </m:r>
              <m:f>
                <m:fPr>
                  <m:ctrlPr>
                    <w:rPr>
                      <w:rFonts w:ascii="Cambria Math" w:eastAsia="Calibri" w:hAnsi="Cambria Math" w:cs="Arial"/>
                      <w:i/>
                      <w:lang w:val="bg-BG"/>
                    </w:rPr>
                  </m:ctrlPr>
                </m:fPr>
                <m:num>
                  <m:r>
                    <w:rPr>
                      <w:rFonts w:ascii="Cambria Math" w:eastAsia="Calibri" w:hAnsi="Cambria Math" w:cs="Arial"/>
                      <w:lang w:val="bg-BG"/>
                    </w:rPr>
                    <m:t>b</m:t>
                  </m:r>
                </m:num>
                <m:den>
                  <m:r>
                    <w:rPr>
                      <w:rFonts w:ascii="Cambria Math" w:eastAsia="Calibri" w:hAnsi="Cambria Math" w:cs="Arial"/>
                      <w:lang w:val="bg-BG"/>
                    </w:rPr>
                    <m:t>B</m:t>
                  </m:r>
                </m:den>
              </m:f>
              <m:r>
                <w:rPr>
                  <w:rFonts w:ascii="Cambria Math" w:eastAsia="Calibri" w:hAnsi="Cambria Math" w:cs="Arial"/>
                  <w:lang w:val="bg-BG"/>
                </w:rPr>
                <m:t>-1,5</m:t>
              </m:r>
            </m:e>
          </m:d>
          <m:r>
            <w:rPr>
              <w:rFonts w:ascii="Cambria Math" w:eastAsia="Calibri" w:hAnsi="Cambria Math" w:cs="Arial"/>
              <w:lang w:val="bg-BG"/>
            </w:rPr>
            <m:t xml:space="preserve"> ∙ </m:t>
          </m:r>
          <m:f>
            <m:fPr>
              <m:ctrlPr>
                <w:rPr>
                  <w:rFonts w:ascii="Cambria Math" w:eastAsia="Calibri" w:hAnsi="Cambria Math" w:cs="Arial"/>
                  <w:i/>
                  <w:lang w:val="bg-BG"/>
                </w:rPr>
              </m:ctrlPr>
            </m:fPr>
            <m:num>
              <m:r>
                <w:rPr>
                  <w:rFonts w:ascii="Cambria Math" w:eastAsia="Calibri" w:hAnsi="Cambria Math" w:cs="Arial"/>
                  <w:lang w:val="bg-BG"/>
                </w:rPr>
                <m:t>h</m:t>
              </m:r>
            </m:num>
            <m:den>
              <m:r>
                <w:rPr>
                  <w:rFonts w:ascii="Cambria Math" w:eastAsia="Calibri" w:hAnsi="Cambria Math" w:cs="Arial"/>
                  <w:lang w:val="bg-BG"/>
                </w:rPr>
                <m:t>0,36</m:t>
              </m:r>
            </m:den>
          </m:f>
          <m:r>
            <m:rPr>
              <m:sty m:val="p"/>
            </m:rPr>
            <w:rPr>
              <w:rFonts w:ascii="Cambria Math" w:eastAsia="Calibri" w:hAnsi="Cambria Math" w:cs="Arial"/>
              <w:lang w:val="bg-BG"/>
            </w:rPr>
            <m:t xml:space="preserve">  [m]</m:t>
          </m:r>
          <m:r>
            <m:rPr>
              <m:sty m:val="p"/>
            </m:rPr>
            <w:rPr>
              <w:rFonts w:eastAsia="Calibri" w:cs="Arial"/>
              <w:lang w:val="bg-BG"/>
            </w:rPr>
            <w:br/>
          </m:r>
        </m:oMath>
      </m:oMathPara>
    </w:p>
    <w:p w:rsidR="001F1A9D" w:rsidRPr="009072DA" w:rsidRDefault="002B712C" w:rsidP="007E2368">
      <w:pPr>
        <w:tabs>
          <w:tab w:val="left" w:pos="1485"/>
        </w:tabs>
        <w:spacing w:line="240" w:lineRule="atLeast"/>
        <w:rPr>
          <w:rFonts w:eastAsia="Calibri"/>
          <w:szCs w:val="20"/>
          <w:lang w:val="bg-BG"/>
        </w:rPr>
      </w:pPr>
      <m:oMathPara>
        <m:oMath>
          <m:sSub>
            <m:sSubPr>
              <m:ctrlPr>
                <w:rPr>
                  <w:rFonts w:ascii="Cambria Math" w:eastAsia="Calibri" w:hAnsi="Cambria Math" w:cs="Arial"/>
                  <w:i/>
                  <w:lang w:val="bg-BG"/>
                </w:rPr>
              </m:ctrlPr>
            </m:sSubPr>
            <m:e>
              <m:r>
                <w:rPr>
                  <w:rFonts w:ascii="Cambria Math" w:eastAsia="Calibri" w:hAnsi="Cambria Math" w:cs="Arial"/>
                  <w:lang w:val="bg-BG"/>
                </w:rPr>
                <m:t>le</m:t>
              </m:r>
            </m:e>
            <m:sub>
              <m:r>
                <w:rPr>
                  <w:rFonts w:ascii="Cambria Math" w:eastAsia="Calibri" w:hAnsi="Cambria Math" w:cs="Arial"/>
                  <w:lang w:val="bg-BG"/>
                </w:rPr>
                <m:t>v</m:t>
              </m:r>
            </m:sub>
          </m:sSub>
          <m:r>
            <w:rPr>
              <w:rFonts w:ascii="Cambria Math" w:eastAsia="Calibri" w:hAnsi="Cambria Math" w:cs="Arial"/>
              <w:lang w:val="bg-BG"/>
            </w:rPr>
            <m:t xml:space="preserve">, resp.  </m:t>
          </m:r>
          <m:sSub>
            <m:sSubPr>
              <m:ctrlPr>
                <w:rPr>
                  <w:rFonts w:ascii="Cambria Math" w:eastAsia="Calibri" w:hAnsi="Cambria Math" w:cs="Arial"/>
                  <w:i/>
                  <w:lang w:val="bg-BG"/>
                </w:rPr>
              </m:ctrlPr>
            </m:sSubPr>
            <m:e>
              <m:r>
                <w:rPr>
                  <w:rFonts w:ascii="Cambria Math" w:eastAsia="Calibri" w:hAnsi="Cambria Math" w:cs="Arial"/>
                  <w:lang w:val="bg-BG"/>
                </w:rPr>
                <m:t>le</m:t>
              </m:r>
            </m:e>
            <m:sub>
              <m:r>
                <w:rPr>
                  <w:rFonts w:ascii="Cambria Math" w:eastAsia="Calibri" w:hAnsi="Cambria Math" w:cs="Arial"/>
                  <w:lang w:val="bg-BG"/>
                </w:rPr>
                <m:t>a</m:t>
              </m:r>
            </m:sub>
          </m:sSub>
          <m:r>
            <w:rPr>
              <w:rFonts w:ascii="Cambria Math" w:eastAsia="Calibri" w:hAnsi="Cambria Math" w:cs="Arial"/>
              <w:lang w:val="bg-BG"/>
            </w:rPr>
            <m:t>=l ∙</m:t>
          </m:r>
          <m:d>
            <m:dPr>
              <m:ctrlPr>
                <w:rPr>
                  <w:rFonts w:ascii="Cambria Math" w:eastAsia="Calibri" w:hAnsi="Cambria Math" w:cs="Arial"/>
                  <w:i/>
                  <w:lang w:val="bg-BG"/>
                </w:rPr>
              </m:ctrlPr>
            </m:dPr>
            <m:e>
              <m:r>
                <w:rPr>
                  <w:rFonts w:ascii="Cambria Math" w:eastAsia="Calibri" w:hAnsi="Cambria Math" w:cs="Arial"/>
                  <w:lang w:val="bg-BG"/>
                </w:rPr>
                <m:t xml:space="preserve">2,5 ∙ </m:t>
              </m:r>
              <m:f>
                <m:fPr>
                  <m:ctrlPr>
                    <w:rPr>
                      <w:rFonts w:ascii="Cambria Math" w:eastAsia="Calibri" w:hAnsi="Cambria Math" w:cs="Arial"/>
                      <w:i/>
                      <w:lang w:val="bg-BG"/>
                    </w:rPr>
                  </m:ctrlPr>
                </m:fPr>
                <m:num>
                  <m:r>
                    <w:rPr>
                      <w:rFonts w:ascii="Cambria Math" w:eastAsia="Calibri" w:hAnsi="Cambria Math" w:cs="Arial"/>
                      <w:lang w:val="bg-BG"/>
                    </w:rPr>
                    <m:t>b</m:t>
                  </m:r>
                </m:num>
                <m:den>
                  <m:sSub>
                    <m:sSubPr>
                      <m:ctrlPr>
                        <w:rPr>
                          <w:rFonts w:ascii="Cambria Math" w:eastAsia="Calibri" w:hAnsi="Cambria Math" w:cs="Arial"/>
                          <w:i/>
                          <w:lang w:val="bg-BG"/>
                        </w:rPr>
                      </m:ctrlPr>
                    </m:sSubPr>
                    <m:e>
                      <m:r>
                        <w:rPr>
                          <w:rFonts w:ascii="Cambria Math" w:eastAsia="Calibri" w:hAnsi="Cambria Math" w:cs="Arial"/>
                          <w:lang w:val="bg-BG"/>
                        </w:rPr>
                        <m:t>B</m:t>
                      </m:r>
                    </m:e>
                    <m:sub>
                      <m:r>
                        <w:rPr>
                          <w:rFonts w:ascii="Cambria Math" w:eastAsia="Calibri" w:hAnsi="Cambria Math" w:cs="Arial"/>
                          <w:lang w:val="bg-BG"/>
                        </w:rPr>
                        <m:t>1</m:t>
                      </m:r>
                    </m:sub>
                  </m:sSub>
                </m:den>
              </m:f>
              <m:r>
                <w:rPr>
                  <w:rFonts w:ascii="Cambria Math" w:eastAsia="Calibri" w:hAnsi="Cambria Math" w:cs="Arial"/>
                  <w:lang w:val="bg-BG"/>
                </w:rPr>
                <m:t>-1,5</m:t>
              </m:r>
            </m:e>
          </m:d>
          <m:r>
            <w:rPr>
              <w:rFonts w:ascii="Cambria Math" w:eastAsia="Calibri" w:hAnsi="Cambria Math" w:cs="Arial"/>
              <w:lang w:val="bg-BG"/>
            </w:rPr>
            <m:t xml:space="preserve"> ∙ </m:t>
          </m:r>
          <m:f>
            <m:fPr>
              <m:ctrlPr>
                <w:rPr>
                  <w:rFonts w:ascii="Cambria Math" w:eastAsia="Calibri" w:hAnsi="Cambria Math" w:cs="Arial"/>
                  <w:i/>
                  <w:lang w:val="bg-BG"/>
                </w:rPr>
              </m:ctrlPr>
            </m:fPr>
            <m:num>
              <m:r>
                <w:rPr>
                  <w:rFonts w:ascii="Cambria Math" w:eastAsia="Calibri" w:hAnsi="Cambria Math" w:cs="Arial"/>
                  <w:lang w:val="bg-BG"/>
                </w:rPr>
                <m:t>h</m:t>
              </m:r>
            </m:num>
            <m:den>
              <m:r>
                <w:rPr>
                  <w:rFonts w:ascii="Cambria Math" w:eastAsia="Calibri" w:hAnsi="Cambria Math" w:cs="Arial"/>
                  <w:lang w:val="bg-BG"/>
                </w:rPr>
                <m:t>0,36</m:t>
              </m:r>
            </m:den>
          </m:f>
          <m:r>
            <m:rPr>
              <m:sty m:val="p"/>
            </m:rPr>
            <w:rPr>
              <w:rFonts w:ascii="Cambria Math" w:eastAsia="Calibri" w:hAnsi="Cambria Math" w:cs="Arial"/>
              <w:lang w:val="bg-BG"/>
            </w:rPr>
            <m:t xml:space="preserve">  </m:t>
          </m:r>
          <m:d>
            <m:dPr>
              <m:begChr m:val="["/>
              <m:endChr m:val="]"/>
              <m:ctrlPr>
                <w:rPr>
                  <w:rFonts w:ascii="Cambria Math" w:eastAsia="Calibri" w:hAnsi="Cambria Math" w:cs="Arial"/>
                  <w:lang w:val="bg-BG"/>
                </w:rPr>
              </m:ctrlPr>
            </m:dPr>
            <m:e>
              <m:r>
                <m:rPr>
                  <m:sty m:val="p"/>
                </m:rPr>
                <w:rPr>
                  <w:rFonts w:ascii="Cambria Math" w:eastAsia="Calibri" w:hAnsi="Cambria Math" w:cs="Arial"/>
                  <w:lang w:val="bg-BG"/>
                </w:rPr>
                <m:t>m</m:t>
              </m:r>
            </m:e>
          </m:d>
          <m:r>
            <m:rPr>
              <m:sty m:val="p"/>
            </m:rPr>
            <w:rPr>
              <w:rFonts w:ascii="Cambria Math" w:eastAsia="Calibri" w:hAnsi="Cambria Math" w:cs="Arial"/>
              <w:lang w:val="bg-BG"/>
            </w:rPr>
            <m:t>.</m:t>
          </m:r>
          <m:r>
            <m:rPr>
              <m:sty m:val="p"/>
            </m:rPr>
            <w:rPr>
              <w:rFonts w:eastAsia="Calibri" w:cs="Arial"/>
              <w:lang w:val="bg-BG"/>
            </w:rPr>
            <w:br/>
          </m:r>
        </m:oMath>
      </m:oMathPara>
    </w:p>
    <w:p w:rsidR="001F1A9D" w:rsidRPr="009072DA" w:rsidRDefault="0060175E" w:rsidP="00F6236E">
      <w:pPr>
        <w:spacing w:line="240" w:lineRule="atLeast"/>
        <w:ind w:left="567"/>
        <w:rPr>
          <w:rFonts w:eastAsia="Calibri"/>
          <w:szCs w:val="20"/>
          <w:lang w:val="bg-BG"/>
        </w:rPr>
      </w:pPr>
      <w:r w:rsidRPr="009072DA">
        <w:rPr>
          <w:lang w:val="bg-BG"/>
        </w:rPr>
        <w:t>където:</w:t>
      </w:r>
    </w:p>
    <w:p w:rsidR="001F1A9D" w:rsidRPr="009072DA" w:rsidRDefault="0026577D" w:rsidP="004316CC">
      <w:pPr>
        <w:spacing w:before="60" w:line="240" w:lineRule="atLeast"/>
        <w:ind w:left="992"/>
        <w:rPr>
          <w:rFonts w:eastAsia="Calibri"/>
          <w:szCs w:val="20"/>
          <w:lang w:val="bg-BG"/>
        </w:rPr>
      </w:pPr>
      <m:oMath>
        <m:r>
          <w:rPr>
            <w:rFonts w:ascii="Cambria Math" w:eastAsia="Calibri" w:hAnsi="Cambria Math"/>
            <w:szCs w:val="20"/>
            <w:lang w:val="bg-BG"/>
          </w:rPr>
          <m:t>l</m:t>
        </m:r>
      </m:oMath>
      <w:r w:rsidRPr="009072DA">
        <w:rPr>
          <w:lang w:val="bg-BG"/>
        </w:rPr>
        <w:tab/>
        <w:t>е действителната дължина в метри на въпросната надстройка;</w:t>
      </w:r>
    </w:p>
    <w:p w:rsidR="001F1A9D" w:rsidRPr="009072DA" w:rsidRDefault="0026577D" w:rsidP="004316CC">
      <w:pPr>
        <w:spacing w:before="60" w:line="240" w:lineRule="atLeast"/>
        <w:ind w:left="992"/>
        <w:rPr>
          <w:rFonts w:eastAsia="Calibri"/>
          <w:szCs w:val="20"/>
          <w:lang w:val="bg-BG"/>
        </w:rPr>
      </w:pPr>
      <m:oMath>
        <m:r>
          <w:rPr>
            <w:rFonts w:ascii="Cambria Math" w:eastAsia="Calibri" w:hAnsi="Cambria Math"/>
            <w:szCs w:val="20"/>
            <w:lang w:val="bg-BG"/>
          </w:rPr>
          <m:t>b</m:t>
        </m:r>
      </m:oMath>
      <w:r w:rsidRPr="009072DA">
        <w:rPr>
          <w:lang w:val="bg-BG"/>
        </w:rPr>
        <w:tab/>
        <w:t>е ширината в метри на въпросната надстройка;</w:t>
      </w:r>
    </w:p>
    <w:p w:rsidR="001F1A9D" w:rsidRPr="009072DA" w:rsidRDefault="002B712C" w:rsidP="004316CC">
      <w:pPr>
        <w:spacing w:before="60" w:line="240" w:lineRule="atLeast"/>
        <w:ind w:left="992"/>
        <w:rPr>
          <w:rFonts w:eastAsia="Calibri"/>
          <w:szCs w:val="20"/>
          <w:lang w:val="bg-BG"/>
        </w:rPr>
      </w:pPr>
      <m:oMath>
        <m:sSub>
          <m:sSubPr>
            <m:ctrlPr>
              <w:rPr>
                <w:rFonts w:ascii="Cambria Math" w:eastAsia="Calibri" w:hAnsi="Cambria Math"/>
                <w:i/>
                <w:szCs w:val="20"/>
                <w:lang w:val="bg-BG"/>
              </w:rPr>
            </m:ctrlPr>
          </m:sSubPr>
          <m:e>
            <m:r>
              <w:rPr>
                <w:rFonts w:ascii="Cambria Math" w:eastAsia="Calibri" w:hAnsi="Cambria Math"/>
                <w:szCs w:val="20"/>
                <w:lang w:val="bg-BG"/>
              </w:rPr>
              <m:t>B</m:t>
            </m:r>
          </m:e>
          <m:sub>
            <m:r>
              <w:rPr>
                <w:rFonts w:ascii="Cambria Math" w:eastAsia="Calibri" w:hAnsi="Cambria Math"/>
                <w:szCs w:val="20"/>
                <w:lang w:val="bg-BG"/>
              </w:rPr>
              <m:t>1</m:t>
            </m:r>
          </m:sub>
        </m:sSub>
      </m:oMath>
      <w:r w:rsidR="007B1046" w:rsidRPr="009072DA">
        <w:rPr>
          <w:lang w:val="bg-BG"/>
        </w:rPr>
        <w:t xml:space="preserve"> </w:t>
      </w:r>
      <w:r w:rsidR="007B1046" w:rsidRPr="009072DA">
        <w:rPr>
          <w:lang w:val="bg-BG"/>
        </w:rPr>
        <w:tab/>
        <w:t>е ширината на плавателния съд в метри, измерена по външната страна на страничната обшивка на равнището на палубата, в средата (по дължина) на въпросната надстройка;</w:t>
      </w:r>
    </w:p>
    <w:p w:rsidR="001F1A9D" w:rsidRPr="009072DA" w:rsidRDefault="0026577D" w:rsidP="004316CC">
      <w:pPr>
        <w:spacing w:before="60" w:line="240" w:lineRule="atLeast"/>
        <w:ind w:left="992"/>
        <w:rPr>
          <w:rFonts w:eastAsia="Calibri"/>
          <w:szCs w:val="20"/>
          <w:lang w:val="bg-BG"/>
        </w:rPr>
      </w:pPr>
      <m:oMath>
        <m:r>
          <w:rPr>
            <w:rFonts w:ascii="Cambria Math" w:eastAsia="Calibri" w:hAnsi="Cambria Math"/>
            <w:szCs w:val="20"/>
            <w:lang w:val="bg-BG"/>
          </w:rPr>
          <m:t>h</m:t>
        </m:r>
      </m:oMath>
      <w:r w:rsidRPr="009072DA">
        <w:rPr>
          <w:lang w:val="bg-BG"/>
        </w:rPr>
        <w:tab/>
        <w:t xml:space="preserve">е височината в метри на въпросната надстройка. При люковете обаче, </w:t>
      </w:r>
      <m:oMath>
        <m:r>
          <w:rPr>
            <w:rFonts w:ascii="Cambria Math" w:eastAsia="Calibri" w:hAnsi="Cambria Math"/>
            <w:szCs w:val="20"/>
            <w:lang w:val="bg-BG"/>
          </w:rPr>
          <m:t>h</m:t>
        </m:r>
      </m:oMath>
      <w:r w:rsidRPr="009072DA">
        <w:rPr>
          <w:lang w:val="bg-BG"/>
        </w:rPr>
        <w:t xml:space="preserve"> се получава, като се намали височината на комингса с половината от разстоянието на безопасност съгласно член 4.01. В никакъв случай стойност, превишаваща 0,36 m, не може да бъде използвана за </w:t>
      </w:r>
      <m:oMath>
        <m:r>
          <w:rPr>
            <w:rFonts w:ascii="Cambria Math" w:eastAsia="Calibri" w:hAnsi="Cambria Math"/>
            <w:szCs w:val="20"/>
            <w:lang w:val="bg-BG"/>
          </w:rPr>
          <m:t>h</m:t>
        </m:r>
      </m:oMath>
      <w:r w:rsidRPr="009072DA">
        <w:rPr>
          <w:lang w:val="bg-BG"/>
        </w:rPr>
        <w:t>.</w:t>
      </w:r>
    </w:p>
    <w:p w:rsidR="001F1A9D" w:rsidRPr="009072DA" w:rsidRDefault="0060175E" w:rsidP="004316CC">
      <w:pPr>
        <w:spacing w:before="60" w:line="240" w:lineRule="atLeast"/>
        <w:ind w:left="992"/>
        <w:rPr>
          <w:rFonts w:eastAsia="Calibri"/>
          <w:szCs w:val="20"/>
          <w:lang w:val="bg-BG"/>
        </w:rPr>
      </w:pPr>
      <w:r w:rsidRPr="009072DA">
        <w:rPr>
          <w:lang w:val="bg-BG"/>
        </w:rPr>
        <w:t xml:space="preserve">Ако </w:t>
      </w:r>
      <m:oMath>
        <m:f>
          <m:fPr>
            <m:ctrlPr>
              <w:rPr>
                <w:rFonts w:ascii="Cambria Math" w:eastAsia="Calibri" w:hAnsi="Cambria Math"/>
                <w:i/>
                <w:sz w:val="24"/>
                <w:szCs w:val="20"/>
                <w:lang w:val="bg-BG"/>
              </w:rPr>
            </m:ctrlPr>
          </m:fPr>
          <m:num>
            <m:r>
              <w:rPr>
                <w:rFonts w:ascii="Cambria Math" w:eastAsia="Calibri" w:hAnsi="Cambria Math"/>
                <w:sz w:val="24"/>
                <w:szCs w:val="20"/>
                <w:lang w:val="bg-BG"/>
              </w:rPr>
              <m:t>b</m:t>
            </m:r>
          </m:num>
          <m:den>
            <m:r>
              <w:rPr>
                <w:rFonts w:ascii="Cambria Math" w:eastAsia="Calibri" w:hAnsi="Cambria Math"/>
                <w:sz w:val="24"/>
                <w:szCs w:val="20"/>
                <w:lang w:val="bg-BG"/>
              </w:rPr>
              <m:t>B</m:t>
            </m:r>
          </m:den>
        </m:f>
      </m:oMath>
      <w:r w:rsidRPr="009072DA">
        <w:rPr>
          <w:sz w:val="24"/>
          <w:lang w:val="bg-BG"/>
        </w:rPr>
        <w:t xml:space="preserve"> </w:t>
      </w:r>
      <w:r w:rsidRPr="009072DA">
        <w:rPr>
          <w:lang w:val="bg-BG"/>
        </w:rPr>
        <w:t xml:space="preserve">или </w:t>
      </w:r>
      <m:oMath>
        <m:f>
          <m:fPr>
            <m:ctrlPr>
              <w:rPr>
                <w:rFonts w:ascii="Cambria Math" w:eastAsia="Calibri" w:hAnsi="Cambria Math"/>
                <w:i/>
                <w:sz w:val="24"/>
                <w:szCs w:val="20"/>
                <w:lang w:val="bg-BG"/>
              </w:rPr>
            </m:ctrlPr>
          </m:fPr>
          <m:num>
            <m:r>
              <w:rPr>
                <w:rFonts w:ascii="Cambria Math" w:eastAsia="Calibri" w:hAnsi="Cambria Math"/>
                <w:sz w:val="24"/>
                <w:szCs w:val="20"/>
                <w:lang w:val="bg-BG"/>
              </w:rPr>
              <m:t>b</m:t>
            </m:r>
          </m:num>
          <m:den>
            <m:sSub>
              <m:sSubPr>
                <m:ctrlPr>
                  <w:rPr>
                    <w:rFonts w:ascii="Cambria Math" w:eastAsia="Calibri" w:hAnsi="Cambria Math"/>
                    <w:i/>
                    <w:sz w:val="24"/>
                    <w:szCs w:val="20"/>
                    <w:lang w:val="bg-BG"/>
                  </w:rPr>
                </m:ctrlPr>
              </m:sSubPr>
              <m:e>
                <m:r>
                  <w:rPr>
                    <w:rFonts w:ascii="Cambria Math" w:eastAsia="Calibri" w:hAnsi="Cambria Math"/>
                    <w:sz w:val="24"/>
                    <w:szCs w:val="20"/>
                    <w:lang w:val="bg-BG"/>
                  </w:rPr>
                  <m:t>B</m:t>
                </m:r>
              </m:e>
              <m:sub>
                <m:r>
                  <w:rPr>
                    <w:rFonts w:ascii="Cambria Math" w:eastAsia="Calibri" w:hAnsi="Cambria Math"/>
                    <w:sz w:val="24"/>
                    <w:szCs w:val="20"/>
                    <w:lang w:val="bg-BG"/>
                  </w:rPr>
                  <m:t>1</m:t>
                </m:r>
              </m:sub>
            </m:sSub>
          </m:den>
        </m:f>
        <m:r>
          <w:rPr>
            <w:rFonts w:ascii="Cambria Math" w:eastAsia="Calibri" w:hAnsi="Cambria Math"/>
            <w:sz w:val="24"/>
            <w:szCs w:val="20"/>
            <w:lang w:val="bg-BG"/>
          </w:rPr>
          <m:t xml:space="preserve"> </m:t>
        </m:r>
      </m:oMath>
      <w:r w:rsidRPr="009072DA">
        <w:rPr>
          <w:lang w:val="bg-BG"/>
        </w:rPr>
        <w:t xml:space="preserve">е по-малко от 0,6, действителната дължина </w:t>
      </w:r>
      <m:oMath>
        <m:r>
          <w:rPr>
            <w:rFonts w:ascii="Cambria Math" w:eastAsia="Calibri" w:hAnsi="Cambria Math"/>
            <w:szCs w:val="20"/>
            <w:lang w:val="bg-BG"/>
          </w:rPr>
          <m:t>le</m:t>
        </m:r>
      </m:oMath>
      <w:r w:rsidRPr="009072DA">
        <w:rPr>
          <w:lang w:val="bg-BG"/>
        </w:rPr>
        <w:t xml:space="preserve"> на надстройката е нула.</w:t>
      </w:r>
    </w:p>
    <w:p w:rsidR="00745DD2" w:rsidRPr="009072DA" w:rsidRDefault="00745DD2" w:rsidP="00E1027C">
      <w:pPr>
        <w:spacing w:line="240" w:lineRule="atLeast"/>
        <w:rPr>
          <w:rFonts w:eastAsia="Calibri"/>
          <w:szCs w:val="20"/>
          <w:lang w:val="bg-BG"/>
        </w:rPr>
      </w:pPr>
    </w:p>
    <w:p w:rsidR="001F1A9D" w:rsidRPr="009072DA" w:rsidRDefault="001F1A9D" w:rsidP="00111867">
      <w:pPr>
        <w:pStyle w:val="ESch"/>
        <w:rPr>
          <w:rFonts w:eastAsia="Calibri"/>
          <w:lang w:val="bg-BG"/>
        </w:rPr>
      </w:pPr>
      <w:r w:rsidRPr="009072DA">
        <w:rPr>
          <w:lang w:val="bg-BG"/>
        </w:rPr>
        <w:t>4.</w:t>
      </w:r>
      <w:r w:rsidRPr="009072DA">
        <w:rPr>
          <w:lang w:val="bg-BG"/>
        </w:rPr>
        <w:tab/>
        <w:t xml:space="preserve">Коефициентите </w:t>
      </w:r>
      <m:oMath>
        <m:sSub>
          <m:sSubPr>
            <m:ctrlPr>
              <w:rPr>
                <w:rFonts w:ascii="Cambria Math" w:eastAsia="Calibri" w:hAnsi="Cambria Math"/>
                <w:i/>
                <w:szCs w:val="20"/>
                <w:lang w:val="bg-BG"/>
              </w:rPr>
            </m:ctrlPr>
          </m:sSubPr>
          <m:e>
            <m:r>
              <w:rPr>
                <w:rFonts w:ascii="Cambria Math" w:eastAsia="Calibri" w:hAnsi="Cambria Math"/>
                <w:szCs w:val="20"/>
                <w:lang w:val="bg-BG"/>
              </w:rPr>
              <m:t>β</m:t>
            </m:r>
          </m:e>
          <m:sub>
            <m:r>
              <w:rPr>
                <w:rFonts w:ascii="Cambria Math" w:eastAsia="Calibri" w:hAnsi="Cambria Math"/>
                <w:szCs w:val="20"/>
                <w:lang w:val="bg-BG"/>
              </w:rPr>
              <m:t>v</m:t>
            </m:r>
          </m:sub>
        </m:sSub>
      </m:oMath>
      <w:r w:rsidRPr="009072DA">
        <w:rPr>
          <w:lang w:val="bg-BG"/>
        </w:rPr>
        <w:t xml:space="preserve">и </w:t>
      </w:r>
      <m:oMath>
        <m:sSub>
          <m:sSubPr>
            <m:ctrlPr>
              <w:rPr>
                <w:rFonts w:ascii="Cambria Math" w:eastAsia="Calibri" w:hAnsi="Cambria Math"/>
                <w:i/>
                <w:szCs w:val="20"/>
                <w:lang w:val="bg-BG"/>
              </w:rPr>
            </m:ctrlPr>
          </m:sSubPr>
          <m:e>
            <m:r>
              <w:rPr>
                <w:rFonts w:ascii="Cambria Math" w:eastAsia="Calibri" w:hAnsi="Cambria Math"/>
                <w:szCs w:val="20"/>
                <w:lang w:val="bg-BG"/>
              </w:rPr>
              <m:t>β</m:t>
            </m:r>
          </m:e>
          <m:sub>
            <m:r>
              <w:rPr>
                <w:rFonts w:ascii="Cambria Math" w:eastAsia="Calibri" w:hAnsi="Cambria Math"/>
                <w:szCs w:val="20"/>
                <w:lang w:val="bg-BG"/>
              </w:rPr>
              <m:t>a</m:t>
            </m:r>
          </m:sub>
        </m:sSub>
      </m:oMath>
      <w:r w:rsidRPr="009072DA">
        <w:rPr>
          <w:lang w:val="bg-BG"/>
        </w:rPr>
        <w:t xml:space="preserve"> се изчисляват, като се използват следните формули:</w:t>
      </w:r>
    </w:p>
    <w:p w:rsidR="00BE2487" w:rsidRPr="009072DA" w:rsidRDefault="00BE2487" w:rsidP="00111867">
      <w:pPr>
        <w:pStyle w:val="ESch"/>
        <w:rPr>
          <w:rFonts w:eastAsia="Calibri"/>
          <w:lang w:val="bg-BG"/>
        </w:rPr>
      </w:pPr>
    </w:p>
    <w:p w:rsidR="00BE2487" w:rsidRPr="009072DA" w:rsidRDefault="002B712C" w:rsidP="007E2368">
      <w:pPr>
        <w:pStyle w:val="ESch"/>
        <w:ind w:left="0" w:firstLine="0"/>
        <w:jc w:val="center"/>
        <w:rPr>
          <w:rFonts w:eastAsia="Calibri"/>
          <w:lang w:val="bg-BG"/>
        </w:rPr>
      </w:pPr>
      <m:oMathPara>
        <m:oMath>
          <m:sSub>
            <m:sSubPr>
              <m:ctrlPr>
                <w:rPr>
                  <w:rFonts w:ascii="Cambria Math" w:eastAsia="Calibri" w:hAnsi="Cambria Math"/>
                  <w:i/>
                  <w:lang w:val="bg-BG"/>
                </w:rPr>
              </m:ctrlPr>
            </m:sSubPr>
            <m:e>
              <m:r>
                <w:rPr>
                  <w:rFonts w:ascii="Cambria Math" w:eastAsia="Calibri" w:hAnsi="Cambria Math"/>
                  <w:lang w:val="bg-BG"/>
                </w:rPr>
                <m:t>B</m:t>
              </m:r>
            </m:e>
            <m:sub>
              <m:r>
                <w:rPr>
                  <w:rFonts w:ascii="Cambria Math" w:eastAsia="Calibri" w:hAnsi="Cambria Math"/>
                  <w:lang w:val="bg-BG"/>
                </w:rPr>
                <m:t xml:space="preserve">v </m:t>
              </m:r>
            </m:sub>
          </m:sSub>
          <m:r>
            <w:rPr>
              <w:rFonts w:ascii="Cambria Math" w:eastAsia="Calibri" w:hAnsi="Cambria Math"/>
              <w:lang w:val="bg-BG"/>
            </w:rPr>
            <m:t xml:space="preserve">=1- </m:t>
          </m:r>
          <m:f>
            <m:fPr>
              <m:ctrlPr>
                <w:rPr>
                  <w:rFonts w:ascii="Cambria Math" w:eastAsia="Calibri" w:hAnsi="Cambria Math"/>
                  <w:i/>
                  <w:lang w:val="bg-BG"/>
                </w:rPr>
              </m:ctrlPr>
            </m:fPr>
            <m:num>
              <m:r>
                <w:rPr>
                  <w:rFonts w:ascii="Cambria Math" w:eastAsia="Calibri" w:hAnsi="Cambria Math"/>
                  <w:lang w:val="bg-BG"/>
                </w:rPr>
                <m:t xml:space="preserve">3 ∙ </m:t>
              </m:r>
              <m:sSub>
                <m:sSubPr>
                  <m:ctrlPr>
                    <w:rPr>
                      <w:rFonts w:ascii="Cambria Math" w:eastAsia="Calibri" w:hAnsi="Cambria Math"/>
                      <w:i/>
                      <w:lang w:val="bg-BG"/>
                    </w:rPr>
                  </m:ctrlPr>
                </m:sSubPr>
                <m:e>
                  <m:r>
                    <w:rPr>
                      <w:rFonts w:ascii="Cambria Math" w:eastAsia="Calibri" w:hAnsi="Cambria Math"/>
                      <w:lang w:val="bg-BG"/>
                    </w:rPr>
                    <m:t>le</m:t>
                  </m:r>
                </m:e>
                <m:sub>
                  <m:r>
                    <w:rPr>
                      <w:rFonts w:ascii="Cambria Math" w:eastAsia="Calibri" w:hAnsi="Cambria Math"/>
                      <w:lang w:val="bg-BG"/>
                    </w:rPr>
                    <m:t>v</m:t>
                  </m:r>
                </m:sub>
              </m:sSub>
            </m:num>
            <m:den>
              <m:r>
                <w:rPr>
                  <w:rFonts w:ascii="Cambria Math" w:eastAsia="Calibri" w:hAnsi="Cambria Math"/>
                  <w:lang w:val="bg-BG"/>
                </w:rPr>
                <m:t>L</m:t>
              </m:r>
            </m:den>
          </m:f>
        </m:oMath>
      </m:oMathPara>
    </w:p>
    <w:p w:rsidR="0097552D" w:rsidRPr="009072DA" w:rsidRDefault="0097552D" w:rsidP="007E2368">
      <w:pPr>
        <w:pStyle w:val="ESch"/>
        <w:ind w:left="0" w:firstLine="0"/>
        <w:jc w:val="center"/>
        <w:rPr>
          <w:rFonts w:eastAsia="Calibri"/>
          <w:lang w:val="bg-BG"/>
        </w:rPr>
      </w:pPr>
    </w:p>
    <w:p w:rsidR="0097552D" w:rsidRPr="009072DA" w:rsidRDefault="002B712C" w:rsidP="007E2368">
      <w:pPr>
        <w:pStyle w:val="ESch"/>
        <w:ind w:left="0" w:firstLine="0"/>
        <w:jc w:val="center"/>
        <w:rPr>
          <w:rFonts w:eastAsia="Calibri"/>
          <w:lang w:val="bg-BG"/>
        </w:rPr>
      </w:pPr>
      <m:oMathPara>
        <m:oMath>
          <m:sSub>
            <m:sSubPr>
              <m:ctrlPr>
                <w:rPr>
                  <w:rFonts w:ascii="Cambria Math" w:eastAsia="Calibri" w:hAnsi="Cambria Math"/>
                  <w:i/>
                  <w:lang w:val="bg-BG"/>
                </w:rPr>
              </m:ctrlPr>
            </m:sSubPr>
            <m:e>
              <m:r>
                <w:rPr>
                  <w:rFonts w:ascii="Cambria Math" w:eastAsia="Calibri" w:hAnsi="Cambria Math"/>
                  <w:lang w:val="bg-BG"/>
                </w:rPr>
                <m:t>B</m:t>
              </m:r>
            </m:e>
            <m:sub>
              <m:r>
                <w:rPr>
                  <w:rFonts w:ascii="Cambria Math" w:eastAsia="Calibri" w:hAnsi="Cambria Math"/>
                  <w:lang w:val="bg-BG"/>
                </w:rPr>
                <m:t xml:space="preserve">a </m:t>
              </m:r>
            </m:sub>
          </m:sSub>
          <m:r>
            <w:rPr>
              <w:rFonts w:ascii="Cambria Math" w:eastAsia="Calibri" w:hAnsi="Cambria Math"/>
              <w:lang w:val="bg-BG"/>
            </w:rPr>
            <m:t xml:space="preserve">=1- </m:t>
          </m:r>
          <m:f>
            <m:fPr>
              <m:ctrlPr>
                <w:rPr>
                  <w:rFonts w:ascii="Cambria Math" w:eastAsia="Calibri" w:hAnsi="Cambria Math"/>
                  <w:i/>
                  <w:lang w:val="bg-BG"/>
                </w:rPr>
              </m:ctrlPr>
            </m:fPr>
            <m:num>
              <m:r>
                <w:rPr>
                  <w:rFonts w:ascii="Cambria Math" w:eastAsia="Calibri" w:hAnsi="Cambria Math"/>
                  <w:lang w:val="bg-BG"/>
                </w:rPr>
                <m:t xml:space="preserve">3 ∙ </m:t>
              </m:r>
              <m:sSub>
                <m:sSubPr>
                  <m:ctrlPr>
                    <w:rPr>
                      <w:rFonts w:ascii="Cambria Math" w:eastAsia="Calibri" w:hAnsi="Cambria Math"/>
                      <w:i/>
                      <w:lang w:val="bg-BG"/>
                    </w:rPr>
                  </m:ctrlPr>
                </m:sSubPr>
                <m:e>
                  <m:r>
                    <w:rPr>
                      <w:rFonts w:ascii="Cambria Math" w:eastAsia="Calibri" w:hAnsi="Cambria Math"/>
                      <w:lang w:val="bg-BG"/>
                    </w:rPr>
                    <m:t>le</m:t>
                  </m:r>
                </m:e>
                <m:sub>
                  <m:r>
                    <w:rPr>
                      <w:rFonts w:ascii="Cambria Math" w:eastAsia="Calibri" w:hAnsi="Cambria Math"/>
                      <w:lang w:val="bg-BG"/>
                    </w:rPr>
                    <m:t>a</m:t>
                  </m:r>
                </m:sub>
              </m:sSub>
            </m:num>
            <m:den>
              <m:r>
                <w:rPr>
                  <w:rFonts w:ascii="Cambria Math" w:eastAsia="Calibri" w:hAnsi="Cambria Math"/>
                  <w:lang w:val="bg-BG"/>
                </w:rPr>
                <m:t>L</m:t>
              </m:r>
            </m:den>
          </m:f>
        </m:oMath>
      </m:oMathPara>
    </w:p>
    <w:p w:rsidR="00745DD2" w:rsidRPr="009072DA" w:rsidRDefault="00745DD2" w:rsidP="00E1027C">
      <w:pPr>
        <w:spacing w:line="240" w:lineRule="atLeast"/>
        <w:rPr>
          <w:rFonts w:eastAsia="Calibri"/>
          <w:szCs w:val="20"/>
          <w:lang w:val="bg-BG"/>
        </w:rPr>
      </w:pPr>
    </w:p>
    <w:p w:rsidR="001F1A9D" w:rsidRPr="009072DA" w:rsidRDefault="001F1A9D" w:rsidP="00111867">
      <w:pPr>
        <w:pStyle w:val="ESch"/>
        <w:rPr>
          <w:lang w:val="bg-BG"/>
        </w:rPr>
      </w:pPr>
      <w:r w:rsidRPr="009072DA">
        <w:rPr>
          <w:lang w:val="bg-BG"/>
        </w:rPr>
        <w:t>5.</w:t>
      </w:r>
      <w:r w:rsidRPr="009072DA">
        <w:rPr>
          <w:lang w:val="bg-BG"/>
        </w:rPr>
        <w:tab/>
        <w:t xml:space="preserve">Ефективното издигане на кърмата/носа </w:t>
      </w:r>
      <m:oMath>
        <m:sSub>
          <m:sSubPr>
            <m:ctrlPr>
              <w:rPr>
                <w:rFonts w:ascii="Cambria Math" w:eastAsia="Calibri" w:hAnsi="Cambria Math"/>
                <w:i/>
                <w:szCs w:val="20"/>
                <w:lang w:val="bg-BG"/>
              </w:rPr>
            </m:ctrlPr>
          </m:sSubPr>
          <m:e>
            <m:r>
              <w:rPr>
                <w:rFonts w:ascii="Cambria Math" w:eastAsia="Calibri" w:hAnsi="Cambria Math"/>
                <w:szCs w:val="20"/>
                <w:lang w:val="bg-BG"/>
              </w:rPr>
              <m:t>Se</m:t>
            </m:r>
          </m:e>
          <m:sub>
            <m:r>
              <w:rPr>
                <w:rFonts w:ascii="Cambria Math" w:eastAsia="Calibri" w:hAnsi="Cambria Math"/>
                <w:szCs w:val="20"/>
                <w:lang w:val="bg-BG"/>
              </w:rPr>
              <m:t>v</m:t>
            </m:r>
          </m:sub>
        </m:sSub>
      </m:oMath>
      <w:r w:rsidRPr="009072DA">
        <w:rPr>
          <w:lang w:val="bg-BG"/>
        </w:rPr>
        <w:t>/</w:t>
      </w:r>
      <m:oMath>
        <m:sSub>
          <m:sSubPr>
            <m:ctrlPr>
              <w:rPr>
                <w:rFonts w:ascii="Cambria Math" w:eastAsia="Calibri" w:hAnsi="Cambria Math"/>
                <w:i/>
                <w:szCs w:val="20"/>
                <w:lang w:val="bg-BG"/>
              </w:rPr>
            </m:ctrlPr>
          </m:sSubPr>
          <m:e>
            <m:r>
              <w:rPr>
                <w:rFonts w:ascii="Cambria Math" w:eastAsia="Calibri" w:hAnsi="Cambria Math"/>
                <w:szCs w:val="20"/>
                <w:lang w:val="bg-BG"/>
              </w:rPr>
              <m:t>Se</m:t>
            </m:r>
          </m:e>
          <m:sub>
            <m:r>
              <w:rPr>
                <w:rFonts w:ascii="Cambria Math" w:eastAsia="Calibri" w:hAnsi="Cambria Math"/>
                <w:szCs w:val="20"/>
                <w:lang w:val="bg-BG"/>
              </w:rPr>
              <m:t>a</m:t>
            </m:r>
          </m:sub>
        </m:sSub>
      </m:oMath>
      <w:r w:rsidRPr="009072DA">
        <w:rPr>
          <w:lang w:val="bg-BG"/>
        </w:rPr>
        <w:t xml:space="preserve"> се изчислява по следните формули: </w:t>
      </w:r>
    </w:p>
    <w:p w:rsidR="007E2368" w:rsidRPr="009072DA" w:rsidRDefault="007E2368" w:rsidP="00111867">
      <w:pPr>
        <w:pStyle w:val="ESch"/>
        <w:rPr>
          <w:lang w:val="bg-BG"/>
        </w:rPr>
      </w:pPr>
    </w:p>
    <w:p w:rsidR="007E2368" w:rsidRPr="009072DA" w:rsidRDefault="002B712C" w:rsidP="007E2368">
      <w:pPr>
        <w:pStyle w:val="ESch"/>
        <w:ind w:left="0" w:firstLine="0"/>
        <w:jc w:val="center"/>
        <w:rPr>
          <w:rFonts w:eastAsia="Calibri"/>
          <w:lang w:val="bg-BG"/>
        </w:rPr>
      </w:pPr>
      <m:oMathPara>
        <m:oMath>
          <m:sSub>
            <m:sSubPr>
              <m:ctrlPr>
                <w:rPr>
                  <w:rFonts w:ascii="Cambria Math" w:eastAsia="Calibri" w:hAnsi="Cambria Math"/>
                  <w:i/>
                  <w:lang w:val="bg-BG"/>
                </w:rPr>
              </m:ctrlPr>
            </m:sSubPr>
            <m:e>
              <m:r>
                <w:rPr>
                  <w:rFonts w:ascii="Cambria Math" w:eastAsia="Calibri" w:hAnsi="Cambria Math"/>
                  <w:lang w:val="bg-BG"/>
                </w:rPr>
                <m:t>Se</m:t>
              </m:r>
            </m:e>
            <m:sub>
              <m:r>
                <w:rPr>
                  <w:rFonts w:ascii="Cambria Math" w:eastAsia="Calibri" w:hAnsi="Cambria Math"/>
                  <w:lang w:val="bg-BG"/>
                </w:rPr>
                <m:t>v</m:t>
              </m:r>
            </m:sub>
          </m:sSub>
          <m:r>
            <w:rPr>
              <w:rFonts w:ascii="Cambria Math" w:eastAsia="Calibri" w:hAnsi="Cambria Math"/>
              <w:lang w:val="bg-BG"/>
            </w:rPr>
            <m:t xml:space="preserve">= </m:t>
          </m:r>
          <m:sSub>
            <m:sSubPr>
              <m:ctrlPr>
                <w:rPr>
                  <w:rFonts w:ascii="Cambria Math" w:eastAsia="Calibri" w:hAnsi="Cambria Math"/>
                  <w:i/>
                  <w:lang w:val="bg-BG"/>
                </w:rPr>
              </m:ctrlPr>
            </m:sSubPr>
            <m:e>
              <m:r>
                <w:rPr>
                  <w:rFonts w:ascii="Cambria Math" w:eastAsia="Calibri" w:hAnsi="Cambria Math"/>
                  <w:lang w:val="bg-BG"/>
                </w:rPr>
                <m:t>S</m:t>
              </m:r>
            </m:e>
            <m:sub>
              <m:r>
                <w:rPr>
                  <w:rFonts w:ascii="Cambria Math" w:eastAsia="Calibri" w:hAnsi="Cambria Math"/>
                  <w:lang w:val="bg-BG"/>
                </w:rPr>
                <m:t>v</m:t>
              </m:r>
            </m:sub>
          </m:sSub>
          <m:r>
            <w:rPr>
              <w:rFonts w:ascii="Cambria Math" w:eastAsia="Calibri" w:hAnsi="Cambria Math"/>
              <w:lang w:val="bg-BG"/>
            </w:rPr>
            <m:t>∙p</m:t>
          </m:r>
        </m:oMath>
      </m:oMathPara>
    </w:p>
    <w:p w:rsidR="007E2368" w:rsidRPr="009072DA" w:rsidRDefault="007E2368" w:rsidP="007E2368">
      <w:pPr>
        <w:pStyle w:val="ESch"/>
        <w:ind w:left="0" w:firstLine="0"/>
        <w:jc w:val="center"/>
        <w:rPr>
          <w:rFonts w:eastAsia="Calibri"/>
          <w:lang w:val="bg-BG"/>
        </w:rPr>
      </w:pPr>
    </w:p>
    <w:p w:rsidR="007E2368" w:rsidRPr="009072DA" w:rsidRDefault="002B712C" w:rsidP="007E2368">
      <w:pPr>
        <w:pStyle w:val="ESch"/>
        <w:ind w:left="0" w:firstLine="0"/>
        <w:jc w:val="center"/>
        <w:rPr>
          <w:rFonts w:eastAsia="Calibri"/>
          <w:lang w:val="bg-BG"/>
        </w:rPr>
      </w:pPr>
      <m:oMathPara>
        <m:oMath>
          <m:sSub>
            <m:sSubPr>
              <m:ctrlPr>
                <w:rPr>
                  <w:rFonts w:ascii="Cambria Math" w:eastAsia="Calibri" w:hAnsi="Cambria Math"/>
                  <w:i/>
                  <w:lang w:val="bg-BG"/>
                </w:rPr>
              </m:ctrlPr>
            </m:sSubPr>
            <m:e>
              <m:r>
                <w:rPr>
                  <w:rFonts w:ascii="Cambria Math" w:eastAsia="Calibri" w:hAnsi="Cambria Math"/>
                  <w:lang w:val="bg-BG"/>
                </w:rPr>
                <m:t>Se</m:t>
              </m:r>
            </m:e>
            <m:sub>
              <m:r>
                <w:rPr>
                  <w:rFonts w:ascii="Cambria Math" w:eastAsia="Calibri" w:hAnsi="Cambria Math"/>
                  <w:lang w:val="bg-BG"/>
                </w:rPr>
                <m:t>a</m:t>
              </m:r>
            </m:sub>
          </m:sSub>
          <m:r>
            <w:rPr>
              <w:rFonts w:ascii="Cambria Math" w:eastAsia="Calibri" w:hAnsi="Cambria Math"/>
              <w:lang w:val="bg-BG"/>
            </w:rPr>
            <m:t xml:space="preserve">= </m:t>
          </m:r>
          <m:sSub>
            <m:sSubPr>
              <m:ctrlPr>
                <w:rPr>
                  <w:rFonts w:ascii="Cambria Math" w:eastAsia="Calibri" w:hAnsi="Cambria Math"/>
                  <w:i/>
                  <w:lang w:val="bg-BG"/>
                </w:rPr>
              </m:ctrlPr>
            </m:sSubPr>
            <m:e>
              <m:r>
                <w:rPr>
                  <w:rFonts w:ascii="Cambria Math" w:eastAsia="Calibri" w:hAnsi="Cambria Math"/>
                  <w:lang w:val="bg-BG"/>
                </w:rPr>
                <m:t>S</m:t>
              </m:r>
            </m:e>
            <m:sub>
              <m:r>
                <w:rPr>
                  <w:rFonts w:ascii="Cambria Math" w:eastAsia="Calibri" w:hAnsi="Cambria Math"/>
                  <w:lang w:val="bg-BG"/>
                </w:rPr>
                <m:t>a</m:t>
              </m:r>
            </m:sub>
          </m:sSub>
          <m:r>
            <w:rPr>
              <w:rFonts w:ascii="Cambria Math" w:eastAsia="Calibri" w:hAnsi="Cambria Math"/>
              <w:lang w:val="bg-BG"/>
            </w:rPr>
            <m:t>∙p</m:t>
          </m:r>
        </m:oMath>
      </m:oMathPara>
    </w:p>
    <w:p w:rsidR="001F1A9D" w:rsidRPr="009072DA" w:rsidRDefault="001F1A9D" w:rsidP="007E2368">
      <w:pPr>
        <w:spacing w:line="240" w:lineRule="atLeast"/>
        <w:rPr>
          <w:rFonts w:eastAsia="Calibri"/>
          <w:szCs w:val="20"/>
          <w:lang w:val="bg-BG"/>
        </w:rPr>
      </w:pPr>
    </w:p>
    <w:p w:rsidR="001F1A9D" w:rsidRPr="009072DA" w:rsidRDefault="0060175E" w:rsidP="00F6236E">
      <w:pPr>
        <w:spacing w:line="240" w:lineRule="atLeast"/>
        <w:ind w:left="567"/>
        <w:rPr>
          <w:rFonts w:eastAsia="Calibri"/>
          <w:szCs w:val="20"/>
          <w:lang w:val="bg-BG"/>
        </w:rPr>
      </w:pPr>
      <w:r w:rsidRPr="009072DA">
        <w:rPr>
          <w:lang w:val="bg-BG"/>
        </w:rPr>
        <w:lastRenderedPageBreak/>
        <w:t>където:</w:t>
      </w:r>
    </w:p>
    <w:p w:rsidR="001F1A9D" w:rsidRPr="009072DA" w:rsidRDefault="002B712C" w:rsidP="00F6236E">
      <w:pPr>
        <w:spacing w:before="60" w:line="240" w:lineRule="atLeast"/>
        <w:ind w:left="993" w:hanging="426"/>
        <w:rPr>
          <w:rFonts w:eastAsia="Calibri"/>
          <w:szCs w:val="20"/>
          <w:lang w:val="bg-BG"/>
        </w:rPr>
      </w:pPr>
      <m:oMath>
        <m:sSub>
          <m:sSubPr>
            <m:ctrlPr>
              <w:rPr>
                <w:rFonts w:ascii="Cambria Math" w:eastAsia="Calibri" w:hAnsi="Cambria Math"/>
                <w:i/>
                <w:szCs w:val="20"/>
                <w:lang w:val="bg-BG"/>
              </w:rPr>
            </m:ctrlPr>
          </m:sSubPr>
          <m:e>
            <m:r>
              <w:rPr>
                <w:rFonts w:ascii="Cambria Math" w:eastAsia="Calibri" w:hAnsi="Cambria Math"/>
                <w:szCs w:val="20"/>
                <w:lang w:val="bg-BG"/>
              </w:rPr>
              <m:t>S</m:t>
            </m:r>
          </m:e>
          <m:sub>
            <m:r>
              <w:rPr>
                <w:rFonts w:ascii="Cambria Math" w:eastAsia="Calibri" w:hAnsi="Cambria Math"/>
                <w:szCs w:val="20"/>
                <w:lang w:val="bg-BG"/>
              </w:rPr>
              <m:t>v</m:t>
            </m:r>
          </m:sub>
        </m:sSub>
      </m:oMath>
      <w:r w:rsidR="007B1046" w:rsidRPr="009072DA">
        <w:rPr>
          <w:lang w:val="bg-BG"/>
        </w:rPr>
        <w:tab/>
        <w:t xml:space="preserve"> e действителното издигане на палубата в носовата част в mm; обаче </w:t>
      </w:r>
      <m:oMath>
        <m:sSub>
          <m:sSubPr>
            <m:ctrlPr>
              <w:rPr>
                <w:rFonts w:ascii="Cambria Math" w:eastAsia="Calibri" w:hAnsi="Cambria Math"/>
                <w:i/>
                <w:szCs w:val="20"/>
                <w:lang w:val="bg-BG"/>
              </w:rPr>
            </m:ctrlPr>
          </m:sSubPr>
          <m:e>
            <m:r>
              <w:rPr>
                <w:rFonts w:ascii="Cambria Math" w:eastAsia="Calibri" w:hAnsi="Cambria Math"/>
                <w:szCs w:val="20"/>
                <w:lang w:val="bg-BG"/>
              </w:rPr>
              <m:t>S</m:t>
            </m:r>
          </m:e>
          <m:sub>
            <m:r>
              <w:rPr>
                <w:rFonts w:ascii="Cambria Math" w:eastAsia="Calibri" w:hAnsi="Cambria Math"/>
                <w:szCs w:val="20"/>
                <w:lang w:val="bg-BG"/>
              </w:rPr>
              <m:t>v</m:t>
            </m:r>
          </m:sub>
        </m:sSub>
      </m:oMath>
      <w:r w:rsidR="007B1046" w:rsidRPr="009072DA">
        <w:rPr>
          <w:lang w:val="bg-BG"/>
        </w:rPr>
        <w:t xml:space="preserve"> не може да се приема за по-голямо от 1000 mm;</w:t>
      </w:r>
    </w:p>
    <w:p w:rsidR="001F1A9D" w:rsidRPr="009072DA" w:rsidRDefault="002B712C" w:rsidP="00F6236E">
      <w:pPr>
        <w:spacing w:before="60" w:line="240" w:lineRule="atLeast"/>
        <w:ind w:left="993" w:hanging="426"/>
        <w:rPr>
          <w:rFonts w:eastAsia="Calibri"/>
          <w:szCs w:val="20"/>
          <w:lang w:val="bg-BG"/>
        </w:rPr>
      </w:pPr>
      <m:oMath>
        <m:sSub>
          <m:sSubPr>
            <m:ctrlPr>
              <w:rPr>
                <w:rFonts w:ascii="Cambria Math" w:eastAsia="Calibri" w:hAnsi="Cambria Math"/>
                <w:i/>
                <w:szCs w:val="20"/>
                <w:lang w:val="bg-BG"/>
              </w:rPr>
            </m:ctrlPr>
          </m:sSubPr>
          <m:e>
            <m:r>
              <w:rPr>
                <w:rFonts w:ascii="Cambria Math" w:eastAsia="Calibri" w:hAnsi="Cambria Math"/>
                <w:szCs w:val="20"/>
                <w:lang w:val="bg-BG"/>
              </w:rPr>
              <m:t>S</m:t>
            </m:r>
          </m:e>
          <m:sub>
            <m:r>
              <w:rPr>
                <w:rFonts w:ascii="Cambria Math" w:eastAsia="Calibri" w:hAnsi="Cambria Math"/>
                <w:szCs w:val="20"/>
                <w:lang w:val="bg-BG"/>
              </w:rPr>
              <m:t>a</m:t>
            </m:r>
          </m:sub>
        </m:sSub>
      </m:oMath>
      <w:r w:rsidR="007B1046" w:rsidRPr="009072DA">
        <w:rPr>
          <w:lang w:val="bg-BG"/>
        </w:rPr>
        <w:tab/>
        <w:t xml:space="preserve">e действителното издигане на палубата в кърмовата част в mm; обаче </w:t>
      </w:r>
      <m:oMath>
        <m:sSub>
          <m:sSubPr>
            <m:ctrlPr>
              <w:rPr>
                <w:rFonts w:ascii="Cambria Math" w:eastAsia="Calibri" w:hAnsi="Cambria Math"/>
                <w:i/>
                <w:szCs w:val="20"/>
                <w:lang w:val="bg-BG"/>
              </w:rPr>
            </m:ctrlPr>
          </m:sSubPr>
          <m:e>
            <m:r>
              <w:rPr>
                <w:rFonts w:ascii="Cambria Math" w:eastAsia="Calibri" w:hAnsi="Cambria Math"/>
                <w:szCs w:val="20"/>
                <w:lang w:val="bg-BG"/>
              </w:rPr>
              <m:t>S</m:t>
            </m:r>
          </m:e>
          <m:sub>
            <m:r>
              <w:rPr>
                <w:rFonts w:ascii="Cambria Math" w:eastAsia="Calibri" w:hAnsi="Cambria Math"/>
                <w:szCs w:val="20"/>
                <w:lang w:val="bg-BG"/>
              </w:rPr>
              <m:t>a</m:t>
            </m:r>
          </m:sub>
        </m:sSub>
      </m:oMath>
      <w:r w:rsidR="007B1046" w:rsidRPr="009072DA">
        <w:rPr>
          <w:lang w:val="bg-BG"/>
        </w:rPr>
        <w:t xml:space="preserve"> не може да се приема за по-голямо от 500 mm;</w:t>
      </w:r>
    </w:p>
    <w:p w:rsidR="001F1A9D" w:rsidRPr="009072DA" w:rsidRDefault="0026577D" w:rsidP="00F6236E">
      <w:pPr>
        <w:spacing w:before="60" w:line="240" w:lineRule="atLeast"/>
        <w:ind w:left="993" w:hanging="426"/>
        <w:rPr>
          <w:rFonts w:eastAsia="Calibri"/>
          <w:szCs w:val="20"/>
          <w:lang w:val="bg-BG"/>
        </w:rPr>
      </w:pPr>
      <m:oMath>
        <m:r>
          <w:rPr>
            <w:rFonts w:ascii="Cambria Math" w:eastAsia="Calibri" w:hAnsi="Cambria Math"/>
            <w:szCs w:val="20"/>
            <w:lang w:val="bg-BG"/>
          </w:rPr>
          <m:t>p</m:t>
        </m:r>
      </m:oMath>
      <w:r w:rsidRPr="009072DA">
        <w:rPr>
          <w:lang w:val="bg-BG"/>
        </w:rPr>
        <w:tab/>
        <w:t>е коефициент, изчислен по следната формула:</w:t>
      </w:r>
    </w:p>
    <w:p w:rsidR="003232B5" w:rsidRPr="009072DA" w:rsidRDefault="003232B5" w:rsidP="003232B5">
      <w:pPr>
        <w:pStyle w:val="ESch"/>
        <w:spacing w:before="60"/>
        <w:ind w:left="0" w:firstLine="0"/>
        <w:jc w:val="center"/>
        <w:rPr>
          <w:rFonts w:eastAsia="Calibri"/>
          <w:lang w:val="bg-BG"/>
        </w:rPr>
      </w:pPr>
      <m:oMathPara>
        <m:oMath>
          <m:r>
            <w:rPr>
              <w:rFonts w:ascii="Cambria Math" w:eastAsia="Calibri" w:hAnsi="Cambria Math"/>
              <w:lang w:val="bg-BG"/>
            </w:rPr>
            <m:t xml:space="preserve">p =4∙ </m:t>
          </m:r>
          <m:f>
            <m:fPr>
              <m:ctrlPr>
                <w:rPr>
                  <w:rFonts w:ascii="Cambria Math" w:eastAsia="Calibri" w:hAnsi="Cambria Math"/>
                  <w:i/>
                  <w:lang w:val="bg-BG"/>
                </w:rPr>
              </m:ctrlPr>
            </m:fPr>
            <m:num>
              <m:r>
                <w:rPr>
                  <w:rFonts w:ascii="Cambria Math" w:eastAsia="Calibri" w:hAnsi="Cambria Math"/>
                  <w:lang w:val="bg-BG"/>
                </w:rPr>
                <m:t>x</m:t>
              </m:r>
            </m:num>
            <m:den>
              <m:r>
                <w:rPr>
                  <w:rFonts w:ascii="Cambria Math" w:eastAsia="Calibri" w:hAnsi="Cambria Math"/>
                  <w:lang w:val="bg-BG"/>
                </w:rPr>
                <m:t>L</m:t>
              </m:r>
            </m:den>
          </m:f>
        </m:oMath>
      </m:oMathPara>
    </w:p>
    <w:p w:rsidR="001F1A9D" w:rsidRPr="009072DA" w:rsidRDefault="0026577D" w:rsidP="00F6236E">
      <w:pPr>
        <w:spacing w:before="60" w:line="240" w:lineRule="atLeast"/>
        <w:ind w:left="993" w:hanging="426"/>
        <w:rPr>
          <w:rFonts w:eastAsia="Calibri"/>
          <w:szCs w:val="20"/>
          <w:lang w:val="bg-BG"/>
        </w:rPr>
      </w:pPr>
      <m:oMath>
        <m:r>
          <w:rPr>
            <w:rFonts w:ascii="Cambria Math" w:eastAsia="Calibri" w:hAnsi="Cambria Math"/>
            <w:szCs w:val="20"/>
            <w:lang w:val="bg-BG"/>
          </w:rPr>
          <m:t>x</m:t>
        </m:r>
      </m:oMath>
      <w:r w:rsidRPr="009072DA">
        <w:rPr>
          <w:lang w:val="bg-BG"/>
        </w:rPr>
        <w:tab/>
        <w:t xml:space="preserve">е абсцисата, измерена от най-външната точка, в която наклонът е 0,25 </w:t>
      </w:r>
      <m:oMath>
        <m:sSub>
          <m:sSubPr>
            <m:ctrlPr>
              <w:rPr>
                <w:rFonts w:ascii="Cambria Math" w:eastAsia="Calibri" w:hAnsi="Cambria Math"/>
                <w:i/>
                <w:szCs w:val="20"/>
                <w:lang w:val="bg-BG"/>
              </w:rPr>
            </m:ctrlPr>
          </m:sSubPr>
          <m:e>
            <m:r>
              <w:rPr>
                <w:rFonts w:ascii="Cambria Math" w:eastAsia="Calibri" w:hAnsi="Cambria Math"/>
                <w:szCs w:val="20"/>
                <w:lang w:val="bg-BG"/>
              </w:rPr>
              <m:t>S</m:t>
            </m:r>
          </m:e>
          <m:sub>
            <m:r>
              <w:rPr>
                <w:rFonts w:ascii="Cambria Math" w:eastAsia="Calibri" w:hAnsi="Cambria Math"/>
                <w:szCs w:val="20"/>
                <w:lang w:val="bg-BG"/>
              </w:rPr>
              <m:t>v</m:t>
            </m:r>
          </m:sub>
        </m:sSub>
      </m:oMath>
      <w:r w:rsidRPr="009072DA">
        <w:rPr>
          <w:lang w:val="bg-BG"/>
        </w:rPr>
        <w:t xml:space="preserve"> или 0,25 </w:t>
      </w:r>
      <m:oMath>
        <m:sSub>
          <m:sSubPr>
            <m:ctrlPr>
              <w:rPr>
                <w:rFonts w:ascii="Cambria Math" w:eastAsia="Calibri" w:hAnsi="Cambria Math"/>
                <w:i/>
                <w:szCs w:val="20"/>
                <w:lang w:val="bg-BG"/>
              </w:rPr>
            </m:ctrlPr>
          </m:sSubPr>
          <m:e>
            <m:r>
              <w:rPr>
                <w:rFonts w:ascii="Cambria Math" w:eastAsia="Calibri" w:hAnsi="Cambria Math"/>
                <w:szCs w:val="20"/>
                <w:lang w:val="bg-BG"/>
              </w:rPr>
              <m:t>S</m:t>
            </m:r>
          </m:e>
          <m:sub>
            <m:r>
              <w:rPr>
                <w:rFonts w:ascii="Cambria Math" w:eastAsia="Calibri" w:hAnsi="Cambria Math"/>
                <w:szCs w:val="20"/>
                <w:lang w:val="bg-BG"/>
              </w:rPr>
              <m:t>a</m:t>
            </m:r>
          </m:sub>
        </m:sSub>
      </m:oMath>
      <w:r w:rsidRPr="009072DA">
        <w:rPr>
          <w:lang w:val="bg-BG"/>
        </w:rPr>
        <w:t xml:space="preserve"> (виж фигурата).</w:t>
      </w:r>
    </w:p>
    <w:p w:rsidR="008D5C11" w:rsidRPr="009072DA" w:rsidRDefault="008D5C11">
      <w:pPr>
        <w:rPr>
          <w:rFonts w:eastAsia="Calibri"/>
          <w:szCs w:val="20"/>
          <w:lang w:val="bg-BG"/>
        </w:rPr>
      </w:pPr>
      <w:r w:rsidRPr="009072DA">
        <w:rPr>
          <w:lang w:val="bg-BG"/>
        </w:rPr>
        <w:br w:type="page"/>
      </w:r>
    </w:p>
    <w:p w:rsidR="008D5C11" w:rsidRPr="009072DA" w:rsidRDefault="008D5C11" w:rsidP="00F6236E">
      <w:pPr>
        <w:spacing w:before="60" w:line="240" w:lineRule="atLeast"/>
        <w:ind w:left="993" w:hanging="426"/>
        <w:rPr>
          <w:rFonts w:eastAsia="Calibri"/>
          <w:szCs w:val="20"/>
          <w:lang w:val="bg-BG"/>
        </w:rPr>
      </w:pPr>
    </w:p>
    <w:p w:rsidR="008D5C11" w:rsidRPr="009072DA" w:rsidRDefault="00EB7F5F" w:rsidP="00EB7F5F">
      <w:pPr>
        <w:jc w:val="center"/>
        <w:rPr>
          <w:rFonts w:cs="Arial"/>
          <w:szCs w:val="20"/>
          <w:lang w:val="bg-BG"/>
        </w:rPr>
      </w:pPr>
      <w:r w:rsidRPr="009072DA">
        <w:rPr>
          <w:rFonts w:cs="Arial"/>
          <w:noProof/>
          <w:szCs w:val="20"/>
          <w:lang w:eastAsia="en-GB"/>
        </w:rPr>
        <w:drawing>
          <wp:inline distT="0" distB="0" distL="0" distR="0" wp14:anchorId="4EE8AF9E" wp14:editId="4FA61511">
            <wp:extent cx="3709416" cy="1597152"/>
            <wp:effectExtent l="0" t="0" r="5715" b="317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_trin_4_02en.jpg"/>
                    <pic:cNvPicPr/>
                  </pic:nvPicPr>
                  <pic:blipFill>
                    <a:blip r:embed="rId24">
                      <a:extLst>
                        <a:ext uri="{28A0092B-C50C-407E-A947-70E740481C1C}">
                          <a14:useLocalDpi xmlns:a14="http://schemas.microsoft.com/office/drawing/2010/main" val="0"/>
                        </a:ext>
                      </a:extLst>
                    </a:blip>
                    <a:stretch>
                      <a:fillRect/>
                    </a:stretch>
                  </pic:blipFill>
                  <pic:spPr>
                    <a:xfrm>
                      <a:off x="0" y="0"/>
                      <a:ext cx="3709416" cy="1597152"/>
                    </a:xfrm>
                    <a:prstGeom prst="rect">
                      <a:avLst/>
                    </a:prstGeom>
                  </pic:spPr>
                </pic:pic>
              </a:graphicData>
            </a:graphic>
          </wp:inline>
        </w:drawing>
      </w:r>
    </w:p>
    <w:p w:rsidR="00EB7F5F" w:rsidRPr="009072DA" w:rsidRDefault="00EB7F5F" w:rsidP="006025D0">
      <w:pPr>
        <w:spacing w:line="240" w:lineRule="atLeast"/>
        <w:ind w:left="567"/>
        <w:rPr>
          <w:rFonts w:cs="Arial"/>
          <w:szCs w:val="20"/>
          <w:lang w:val="bg-BG"/>
        </w:rPr>
      </w:pPr>
    </w:p>
    <w:p w:rsidR="00745DD2" w:rsidRPr="009072DA" w:rsidRDefault="006025D0" w:rsidP="006025D0">
      <w:pPr>
        <w:spacing w:line="240" w:lineRule="atLeast"/>
        <w:ind w:left="567"/>
        <w:rPr>
          <w:rFonts w:cs="Arial"/>
          <w:szCs w:val="20"/>
          <w:lang w:val="bg-BG"/>
        </w:rPr>
      </w:pPr>
      <w:r w:rsidRPr="009072DA">
        <w:rPr>
          <w:lang w:val="bg-BG"/>
        </w:rPr>
        <w:t xml:space="preserve">Коефициентът </w:t>
      </w:r>
      <m:oMath>
        <m:r>
          <w:rPr>
            <w:rFonts w:ascii="Cambria Math" w:eastAsia="Calibri" w:hAnsi="Cambria Math"/>
            <w:szCs w:val="20"/>
            <w:lang w:val="bg-BG"/>
          </w:rPr>
          <m:t>p</m:t>
        </m:r>
      </m:oMath>
      <w:r w:rsidRPr="009072DA">
        <w:rPr>
          <w:lang w:val="bg-BG"/>
        </w:rPr>
        <w:t xml:space="preserve"> обаче не може да се приема за по-голям от 1.</w:t>
      </w:r>
    </w:p>
    <w:p w:rsidR="003232B5" w:rsidRPr="009072DA" w:rsidRDefault="003232B5" w:rsidP="006025D0">
      <w:pPr>
        <w:spacing w:line="240" w:lineRule="atLeast"/>
        <w:ind w:left="567"/>
        <w:rPr>
          <w:rFonts w:cs="Arial"/>
          <w:szCs w:val="20"/>
          <w:lang w:val="bg-BG"/>
        </w:rPr>
      </w:pPr>
    </w:p>
    <w:p w:rsidR="001F1A9D" w:rsidRPr="009072DA" w:rsidRDefault="001F1A9D" w:rsidP="00F6236E">
      <w:pPr>
        <w:spacing w:line="240" w:lineRule="atLeast"/>
        <w:ind w:left="567" w:hanging="567"/>
        <w:rPr>
          <w:rFonts w:eastAsia="Calibri"/>
          <w:szCs w:val="20"/>
          <w:lang w:val="bg-BG"/>
        </w:rPr>
      </w:pPr>
      <w:r w:rsidRPr="009072DA">
        <w:rPr>
          <w:lang w:val="bg-BG"/>
        </w:rPr>
        <w:t>6.</w:t>
      </w:r>
      <w:r w:rsidRPr="009072DA">
        <w:rPr>
          <w:lang w:val="bg-BG"/>
        </w:rPr>
        <w:tab/>
        <w:t xml:space="preserve">Ако </w:t>
      </w:r>
      <m:oMath>
        <m:sSub>
          <m:sSubPr>
            <m:ctrlPr>
              <w:rPr>
                <w:rFonts w:ascii="Cambria Math" w:eastAsia="Calibri" w:hAnsi="Cambria Math"/>
                <w:i/>
                <w:szCs w:val="20"/>
                <w:lang w:val="bg-BG"/>
              </w:rPr>
            </m:ctrlPr>
          </m:sSubPr>
          <m:e>
            <m:r>
              <w:rPr>
                <w:rFonts w:ascii="Cambria Math" w:eastAsia="Calibri" w:hAnsi="Cambria Math"/>
                <w:szCs w:val="20"/>
                <w:lang w:val="bg-BG"/>
              </w:rPr>
              <m:t>β</m:t>
            </m:r>
          </m:e>
          <m:sub>
            <m:r>
              <w:rPr>
                <w:rFonts w:ascii="Cambria Math" w:eastAsia="Calibri" w:hAnsi="Cambria Math"/>
                <w:szCs w:val="20"/>
                <w:lang w:val="bg-BG"/>
              </w:rPr>
              <m:t>a</m:t>
            </m:r>
          </m:sub>
        </m:sSub>
        <m:r>
          <w:rPr>
            <w:rFonts w:ascii="Cambria Math" w:eastAsia="Calibri" w:hAnsi="Cambria Math"/>
            <w:szCs w:val="20"/>
            <w:lang w:val="bg-BG"/>
          </w:rPr>
          <m:t xml:space="preserve">∙ </m:t>
        </m:r>
        <m:sSub>
          <m:sSubPr>
            <m:ctrlPr>
              <w:rPr>
                <w:rFonts w:ascii="Cambria Math" w:eastAsia="Calibri" w:hAnsi="Cambria Math"/>
                <w:i/>
                <w:szCs w:val="20"/>
                <w:lang w:val="bg-BG"/>
              </w:rPr>
            </m:ctrlPr>
          </m:sSubPr>
          <m:e>
            <m:r>
              <w:rPr>
                <w:rFonts w:ascii="Cambria Math" w:eastAsia="Calibri" w:hAnsi="Cambria Math"/>
                <w:szCs w:val="20"/>
                <w:lang w:val="bg-BG"/>
              </w:rPr>
              <m:t>Se</m:t>
            </m:r>
          </m:e>
          <m:sub>
            <m:r>
              <w:rPr>
                <w:rFonts w:ascii="Cambria Math" w:eastAsia="Calibri" w:hAnsi="Cambria Math"/>
                <w:szCs w:val="20"/>
                <w:lang w:val="bg-BG"/>
              </w:rPr>
              <m:t>a</m:t>
            </m:r>
          </m:sub>
        </m:sSub>
      </m:oMath>
      <w:r w:rsidRPr="009072DA">
        <w:rPr>
          <w:lang w:val="bg-BG"/>
        </w:rPr>
        <w:t xml:space="preserve"> е по-голямо от </w:t>
      </w:r>
      <m:oMath>
        <m:sSub>
          <m:sSubPr>
            <m:ctrlPr>
              <w:rPr>
                <w:rFonts w:ascii="Cambria Math" w:eastAsia="Calibri" w:hAnsi="Cambria Math"/>
                <w:i/>
                <w:szCs w:val="20"/>
                <w:lang w:val="bg-BG"/>
              </w:rPr>
            </m:ctrlPr>
          </m:sSubPr>
          <m:e>
            <m:r>
              <w:rPr>
                <w:rFonts w:ascii="Cambria Math" w:eastAsia="Calibri" w:hAnsi="Cambria Math"/>
                <w:szCs w:val="20"/>
                <w:lang w:val="bg-BG"/>
              </w:rPr>
              <m:t>β</m:t>
            </m:r>
          </m:e>
          <m:sub>
            <m:r>
              <w:rPr>
                <w:rFonts w:ascii="Cambria Math" w:eastAsia="Calibri" w:hAnsi="Cambria Math"/>
                <w:szCs w:val="20"/>
                <w:lang w:val="bg-BG"/>
              </w:rPr>
              <m:t>v</m:t>
            </m:r>
          </m:sub>
        </m:sSub>
        <m:r>
          <w:rPr>
            <w:rFonts w:ascii="Cambria Math" w:eastAsia="Calibri" w:hAnsi="Cambria Math"/>
            <w:szCs w:val="20"/>
            <w:lang w:val="bg-BG"/>
          </w:rPr>
          <m:t xml:space="preserve">∙ </m:t>
        </m:r>
        <m:sSub>
          <m:sSubPr>
            <m:ctrlPr>
              <w:rPr>
                <w:rFonts w:ascii="Cambria Math" w:eastAsia="Calibri" w:hAnsi="Cambria Math"/>
                <w:i/>
                <w:szCs w:val="20"/>
                <w:lang w:val="bg-BG"/>
              </w:rPr>
            </m:ctrlPr>
          </m:sSubPr>
          <m:e>
            <m:r>
              <w:rPr>
                <w:rFonts w:ascii="Cambria Math" w:eastAsia="Calibri" w:hAnsi="Cambria Math"/>
                <w:szCs w:val="20"/>
                <w:lang w:val="bg-BG"/>
              </w:rPr>
              <m:t>Se</m:t>
            </m:r>
          </m:e>
          <m:sub>
            <m:r>
              <w:rPr>
                <w:rFonts w:ascii="Cambria Math" w:eastAsia="Calibri" w:hAnsi="Cambria Math"/>
                <w:szCs w:val="20"/>
                <w:lang w:val="bg-BG"/>
              </w:rPr>
              <m:t>v</m:t>
            </m:r>
          </m:sub>
        </m:sSub>
      </m:oMath>
      <w:r w:rsidRPr="009072DA">
        <w:rPr>
          <w:lang w:val="bg-BG"/>
        </w:rPr>
        <w:t xml:space="preserve">, за стойност на </w:t>
      </w:r>
      <m:oMath>
        <m:sSub>
          <m:sSubPr>
            <m:ctrlPr>
              <w:rPr>
                <w:rFonts w:ascii="Cambria Math" w:eastAsia="Calibri" w:hAnsi="Cambria Math"/>
                <w:i/>
                <w:szCs w:val="20"/>
                <w:lang w:val="bg-BG"/>
              </w:rPr>
            </m:ctrlPr>
          </m:sSubPr>
          <m:e>
            <m:r>
              <w:rPr>
                <w:rFonts w:ascii="Cambria Math" w:eastAsia="Calibri" w:hAnsi="Cambria Math"/>
                <w:szCs w:val="20"/>
                <w:lang w:val="bg-BG"/>
              </w:rPr>
              <m:t>β</m:t>
            </m:r>
          </m:e>
          <m:sub>
            <m:r>
              <w:rPr>
                <w:rFonts w:ascii="Cambria Math" w:eastAsia="Calibri" w:hAnsi="Cambria Math"/>
                <w:szCs w:val="20"/>
                <w:lang w:val="bg-BG"/>
              </w:rPr>
              <m:t>v</m:t>
            </m:r>
          </m:sub>
        </m:sSub>
        <m:r>
          <w:rPr>
            <w:rFonts w:ascii="Cambria Math" w:eastAsia="Calibri" w:hAnsi="Cambria Math"/>
            <w:szCs w:val="20"/>
            <w:lang w:val="bg-BG"/>
          </w:rPr>
          <m:t xml:space="preserve">∙ </m:t>
        </m:r>
        <m:sSub>
          <m:sSubPr>
            <m:ctrlPr>
              <w:rPr>
                <w:rFonts w:ascii="Cambria Math" w:eastAsia="Calibri" w:hAnsi="Cambria Math"/>
                <w:i/>
                <w:szCs w:val="20"/>
                <w:lang w:val="bg-BG"/>
              </w:rPr>
            </m:ctrlPr>
          </m:sSubPr>
          <m:e>
            <m:r>
              <w:rPr>
                <w:rFonts w:ascii="Cambria Math" w:eastAsia="Calibri" w:hAnsi="Cambria Math"/>
                <w:szCs w:val="20"/>
                <w:lang w:val="bg-BG"/>
              </w:rPr>
              <m:t>Se</m:t>
            </m:r>
          </m:e>
          <m:sub>
            <m:r>
              <w:rPr>
                <w:rFonts w:ascii="Cambria Math" w:eastAsia="Calibri" w:hAnsi="Cambria Math"/>
                <w:szCs w:val="20"/>
                <w:lang w:val="bg-BG"/>
              </w:rPr>
              <m:t>v</m:t>
            </m:r>
          </m:sub>
        </m:sSub>
      </m:oMath>
      <w:r w:rsidRPr="009072DA">
        <w:rPr>
          <w:lang w:val="bg-BG"/>
        </w:rPr>
        <w:t xml:space="preserve"> се приема </w:t>
      </w:r>
      <m:oMath>
        <m:sSub>
          <m:sSubPr>
            <m:ctrlPr>
              <w:rPr>
                <w:rFonts w:ascii="Cambria Math" w:eastAsia="Calibri" w:hAnsi="Cambria Math"/>
                <w:i/>
                <w:szCs w:val="20"/>
                <w:lang w:val="bg-BG"/>
              </w:rPr>
            </m:ctrlPr>
          </m:sSubPr>
          <m:e>
            <m:r>
              <w:rPr>
                <w:rFonts w:ascii="Cambria Math" w:eastAsia="Calibri" w:hAnsi="Cambria Math"/>
                <w:szCs w:val="20"/>
                <w:lang w:val="bg-BG"/>
              </w:rPr>
              <m:t>β</m:t>
            </m:r>
          </m:e>
          <m:sub>
            <m:r>
              <w:rPr>
                <w:rFonts w:ascii="Cambria Math" w:eastAsia="Calibri" w:hAnsi="Cambria Math"/>
                <w:szCs w:val="20"/>
                <w:lang w:val="bg-BG"/>
              </w:rPr>
              <m:t>a</m:t>
            </m:r>
          </m:sub>
        </m:sSub>
        <m:r>
          <w:rPr>
            <w:rFonts w:ascii="Cambria Math" w:eastAsia="Calibri" w:hAnsi="Cambria Math"/>
            <w:szCs w:val="20"/>
            <w:lang w:val="bg-BG"/>
          </w:rPr>
          <m:t xml:space="preserve">∙ </m:t>
        </m:r>
        <m:sSub>
          <m:sSubPr>
            <m:ctrlPr>
              <w:rPr>
                <w:rFonts w:ascii="Cambria Math" w:eastAsia="Calibri" w:hAnsi="Cambria Math"/>
                <w:i/>
                <w:szCs w:val="20"/>
                <w:lang w:val="bg-BG"/>
              </w:rPr>
            </m:ctrlPr>
          </m:sSubPr>
          <m:e>
            <m:r>
              <w:rPr>
                <w:rFonts w:ascii="Cambria Math" w:eastAsia="Calibri" w:hAnsi="Cambria Math"/>
                <w:szCs w:val="20"/>
                <w:lang w:val="bg-BG"/>
              </w:rPr>
              <m:t>Se</m:t>
            </m:r>
          </m:e>
          <m:sub>
            <m:r>
              <w:rPr>
                <w:rFonts w:ascii="Cambria Math" w:eastAsia="Calibri" w:hAnsi="Cambria Math"/>
                <w:szCs w:val="20"/>
                <w:lang w:val="bg-BG"/>
              </w:rPr>
              <m:t>a</m:t>
            </m:r>
          </m:sub>
        </m:sSub>
      </m:oMath>
      <w:r w:rsidRPr="009072DA">
        <w:rPr>
          <w:lang w:val="bg-BG"/>
        </w:rPr>
        <w:t>.</w:t>
      </w:r>
    </w:p>
    <w:p w:rsidR="005C1DF0" w:rsidRPr="009072DA" w:rsidRDefault="005C1DF0" w:rsidP="00E1027C">
      <w:pPr>
        <w:spacing w:line="240" w:lineRule="atLeast"/>
        <w:rPr>
          <w:rFonts w:eastAsia="Calibri"/>
          <w:lang w:val="bg-BG"/>
        </w:rPr>
      </w:pPr>
    </w:p>
    <w:p w:rsidR="00533048" w:rsidRPr="009072DA" w:rsidRDefault="00533048" w:rsidP="00E1027C">
      <w:pPr>
        <w:spacing w:line="240" w:lineRule="atLeast"/>
        <w:rPr>
          <w:rFonts w:eastAsia="Calibri"/>
          <w:lang w:val="bg-BG"/>
        </w:rPr>
      </w:pPr>
    </w:p>
    <w:p w:rsidR="006025D0" w:rsidRPr="009072DA" w:rsidRDefault="006025D0" w:rsidP="006025D0">
      <w:pPr>
        <w:pStyle w:val="ES-Titre3"/>
        <w:spacing w:line="240" w:lineRule="atLeast"/>
        <w:rPr>
          <w:lang w:val="bg-BG"/>
        </w:rPr>
      </w:pPr>
      <w:bookmarkStart w:id="31" w:name="_Toc491854016"/>
      <w:bookmarkStart w:id="32" w:name="_Toc535827457"/>
      <w:r w:rsidRPr="009072DA">
        <w:rPr>
          <w:lang w:val="bg-BG"/>
        </w:rPr>
        <w:t>Член 4.03</w:t>
      </w:r>
      <w:r w:rsidRPr="009072DA">
        <w:rPr>
          <w:lang w:val="bg-BG"/>
        </w:rPr>
        <w:br/>
      </w:r>
      <w:r w:rsidRPr="009072DA">
        <w:rPr>
          <w:i/>
          <w:lang w:val="bg-BG"/>
        </w:rPr>
        <w:t>Минимален надводен борд</w:t>
      </w:r>
      <w:bookmarkEnd w:id="31"/>
      <w:bookmarkEnd w:id="32"/>
    </w:p>
    <w:p w:rsidR="006025D0" w:rsidRPr="009072DA" w:rsidRDefault="006025D0" w:rsidP="00C62373">
      <w:pPr>
        <w:spacing w:line="240" w:lineRule="atLeast"/>
        <w:rPr>
          <w:rFonts w:eastAsia="Calibri"/>
          <w:lang w:val="bg-BG"/>
        </w:rPr>
      </w:pPr>
    </w:p>
    <w:p w:rsidR="006025D0" w:rsidRPr="009072DA" w:rsidRDefault="006025D0" w:rsidP="00111867">
      <w:pPr>
        <w:pStyle w:val="ESgauche"/>
        <w:rPr>
          <w:rFonts w:eastAsia="Calibri"/>
          <w:noProof w:val="0"/>
          <w:lang w:val="bg-BG"/>
        </w:rPr>
      </w:pPr>
      <w:r w:rsidRPr="009072DA">
        <w:rPr>
          <w:noProof w:val="0"/>
          <w:lang w:val="bg-BG"/>
        </w:rPr>
        <w:t>Като се имат предвид намаленията, посочени в член 4.02, минималният надводен борд не може да бъде по-малък от 0 mm.</w:t>
      </w:r>
    </w:p>
    <w:p w:rsidR="006025D0" w:rsidRPr="009072DA" w:rsidRDefault="006025D0" w:rsidP="00E1027C">
      <w:pPr>
        <w:spacing w:line="240" w:lineRule="atLeast"/>
        <w:rPr>
          <w:rFonts w:eastAsia="Calibri"/>
          <w:lang w:val="bg-BG"/>
        </w:rPr>
      </w:pPr>
    </w:p>
    <w:p w:rsidR="00500018" w:rsidRPr="009072DA" w:rsidRDefault="00500018" w:rsidP="00E1027C">
      <w:pPr>
        <w:spacing w:line="240" w:lineRule="atLeast"/>
        <w:rPr>
          <w:rFonts w:eastAsia="Calibri"/>
          <w:lang w:val="bg-BG"/>
        </w:rPr>
      </w:pPr>
    </w:p>
    <w:p w:rsidR="006025D0" w:rsidRPr="009072DA" w:rsidRDefault="006025D0" w:rsidP="006025D0">
      <w:pPr>
        <w:pStyle w:val="ES-Titre3"/>
        <w:rPr>
          <w:lang w:val="bg-BG"/>
        </w:rPr>
      </w:pPr>
      <w:bookmarkStart w:id="33" w:name="_Toc491854017"/>
      <w:bookmarkStart w:id="34" w:name="_Toc535827458"/>
      <w:r w:rsidRPr="009072DA">
        <w:rPr>
          <w:lang w:val="bg-BG"/>
        </w:rPr>
        <w:t>Член 4.04</w:t>
      </w:r>
      <w:r w:rsidRPr="009072DA">
        <w:rPr>
          <w:lang w:val="bg-BG"/>
        </w:rPr>
        <w:br/>
      </w:r>
      <w:r w:rsidRPr="009072DA">
        <w:rPr>
          <w:i/>
          <w:lang w:val="bg-BG"/>
        </w:rPr>
        <w:t>Марки за газене</w:t>
      </w:r>
      <w:bookmarkEnd w:id="33"/>
      <w:bookmarkEnd w:id="34"/>
    </w:p>
    <w:p w:rsidR="00111867" w:rsidRPr="009072DA" w:rsidRDefault="00111867" w:rsidP="006025D0">
      <w:pPr>
        <w:rPr>
          <w:lang w:val="bg-BG"/>
        </w:rPr>
      </w:pPr>
    </w:p>
    <w:p w:rsidR="00853731" w:rsidRPr="009072DA" w:rsidRDefault="00853731" w:rsidP="00853731">
      <w:pPr>
        <w:pStyle w:val="ESch"/>
        <w:rPr>
          <w:lang w:val="bg-BG"/>
        </w:rPr>
      </w:pPr>
      <w:r w:rsidRPr="009072DA">
        <w:rPr>
          <w:lang w:val="bg-BG"/>
        </w:rPr>
        <w:t>1.</w:t>
      </w:r>
      <w:r w:rsidRPr="009072DA">
        <w:rPr>
          <w:lang w:val="bg-BG"/>
        </w:rPr>
        <w:tab/>
        <w:t>За целите на членове 4.04 и 4.05, зона R е еквивалентна на зона 3.</w:t>
      </w:r>
    </w:p>
    <w:p w:rsidR="00853731" w:rsidRPr="009072DA" w:rsidRDefault="00853731" w:rsidP="006025D0">
      <w:pPr>
        <w:rPr>
          <w:lang w:val="bg-BG"/>
        </w:rPr>
      </w:pPr>
    </w:p>
    <w:p w:rsidR="00C62373" w:rsidRPr="009072DA" w:rsidRDefault="00853731" w:rsidP="00111867">
      <w:pPr>
        <w:pStyle w:val="ESch"/>
        <w:rPr>
          <w:lang w:val="bg-BG"/>
        </w:rPr>
      </w:pPr>
      <w:r w:rsidRPr="009072DA">
        <w:rPr>
          <w:lang w:val="bg-BG"/>
        </w:rPr>
        <w:t>2.</w:t>
      </w:r>
      <w:r w:rsidRPr="009072DA">
        <w:rPr>
          <w:lang w:val="bg-BG"/>
        </w:rPr>
        <w:tab/>
        <w:t xml:space="preserve">Равнината на максималното газене трябва да бъде определена така, че да осигурява съответствие с изискванията за минимален надводен борд и минимално разстояние на безопасност. От съображения за безопасност обаче контролният орган може да определи по-голяма стойност за разстоянието на безопасност или надводния борд. </w:t>
      </w:r>
    </w:p>
    <w:p w:rsidR="00C62373" w:rsidRPr="009072DA" w:rsidRDefault="00C62373" w:rsidP="00111867">
      <w:pPr>
        <w:pStyle w:val="ESch"/>
        <w:rPr>
          <w:lang w:val="bg-BG"/>
        </w:rPr>
      </w:pPr>
    </w:p>
    <w:p w:rsidR="006025D0" w:rsidRPr="009072DA" w:rsidRDefault="006025D0" w:rsidP="00C62373">
      <w:pPr>
        <w:pStyle w:val="ESchpar"/>
        <w:rPr>
          <w:lang w:val="bg-BG"/>
        </w:rPr>
      </w:pPr>
      <w:r w:rsidRPr="009072DA">
        <w:rPr>
          <w:lang w:val="bg-BG"/>
        </w:rPr>
        <w:t>Равнината на максималното газене се определя най-малкото за зона 3.</w:t>
      </w:r>
    </w:p>
    <w:p w:rsidR="00500018" w:rsidRPr="009072DA" w:rsidRDefault="00500018" w:rsidP="00111867">
      <w:pPr>
        <w:pStyle w:val="ESch"/>
        <w:rPr>
          <w:lang w:val="bg-BG"/>
        </w:rPr>
      </w:pPr>
    </w:p>
    <w:p w:rsidR="006025D0" w:rsidRPr="009072DA" w:rsidRDefault="00853731" w:rsidP="00111867">
      <w:pPr>
        <w:pStyle w:val="ESch"/>
        <w:rPr>
          <w:lang w:val="bg-BG"/>
        </w:rPr>
      </w:pPr>
      <w:r w:rsidRPr="009072DA">
        <w:rPr>
          <w:lang w:val="bg-BG"/>
        </w:rPr>
        <w:lastRenderedPageBreak/>
        <w:t>3.</w:t>
      </w:r>
      <w:r w:rsidRPr="009072DA">
        <w:rPr>
          <w:lang w:val="bg-BG"/>
        </w:rPr>
        <w:tab/>
        <w:t>Равнината на максималното газене се обозначава с ясно видими неизтриваеми марки за газене.</w:t>
      </w:r>
    </w:p>
    <w:p w:rsidR="00500018" w:rsidRPr="009072DA" w:rsidRDefault="00500018" w:rsidP="00111867">
      <w:pPr>
        <w:pStyle w:val="ESch"/>
        <w:rPr>
          <w:lang w:val="bg-BG"/>
        </w:rPr>
      </w:pPr>
    </w:p>
    <w:p w:rsidR="006025D0" w:rsidRPr="009072DA" w:rsidRDefault="00853731" w:rsidP="00111867">
      <w:pPr>
        <w:pStyle w:val="ESch"/>
        <w:rPr>
          <w:lang w:val="bg-BG"/>
        </w:rPr>
      </w:pPr>
      <w:r w:rsidRPr="009072DA">
        <w:rPr>
          <w:lang w:val="bg-BG"/>
        </w:rPr>
        <w:t>4.</w:t>
      </w:r>
      <w:r w:rsidRPr="009072DA">
        <w:rPr>
          <w:lang w:val="bg-BG"/>
        </w:rPr>
        <w:tab/>
        <w:t>Mарките за газене за зона 3 представляват правоъгълник с дължина 300 mm и височина 40 mm, основата на който е хоризонтална и съвпада с равнината на максималното разрешено газене. Всички останали марки за газене съдържат такъв правоъгълник.</w:t>
      </w:r>
    </w:p>
    <w:p w:rsidR="00500018" w:rsidRPr="009072DA" w:rsidRDefault="00500018" w:rsidP="00111867">
      <w:pPr>
        <w:pStyle w:val="ESch"/>
        <w:rPr>
          <w:lang w:val="bg-BG"/>
        </w:rPr>
      </w:pPr>
    </w:p>
    <w:p w:rsidR="006025D0" w:rsidRPr="009072DA" w:rsidRDefault="00853731" w:rsidP="00111867">
      <w:pPr>
        <w:pStyle w:val="ESch"/>
        <w:rPr>
          <w:lang w:val="bg-BG"/>
        </w:rPr>
      </w:pPr>
      <w:r w:rsidRPr="009072DA">
        <w:rPr>
          <w:lang w:val="bg-BG"/>
        </w:rPr>
        <w:t>5.</w:t>
      </w:r>
      <w:r w:rsidRPr="009072DA">
        <w:rPr>
          <w:lang w:val="bg-BG"/>
        </w:rPr>
        <w:tab/>
        <w:t xml:space="preserve">Плавателните съдове трябва да имат поне три двойки марки за газене, едната двойка от тях трябва да е на 1/2 от дължината </w:t>
      </w:r>
      <m:oMath>
        <m:r>
          <w:rPr>
            <w:rFonts w:ascii="Cambria Math" w:hAnsi="Cambria Math" w:cs="Arial"/>
            <w:szCs w:val="20"/>
            <w:lang w:val="bg-BG"/>
          </w:rPr>
          <m:t>L</m:t>
        </m:r>
      </m:oMath>
      <w:r w:rsidRPr="009072DA">
        <w:rPr>
          <w:lang w:val="bg-BG"/>
        </w:rPr>
        <w:t xml:space="preserve">, а другите две — съответно на разстояние от носа и кърмата, равно приблизително на 1/6 от дължината </w:t>
      </w:r>
      <m:oMath>
        <m:r>
          <w:rPr>
            <w:rFonts w:ascii="Cambria Math" w:hAnsi="Cambria Math" w:cs="Arial"/>
            <w:szCs w:val="20"/>
            <w:lang w:val="bg-BG"/>
          </w:rPr>
          <m:t>L</m:t>
        </m:r>
      </m:oMath>
      <w:r w:rsidRPr="009072DA">
        <w:rPr>
          <w:lang w:val="bg-BG"/>
        </w:rPr>
        <w:t>.</w:t>
      </w:r>
    </w:p>
    <w:p w:rsidR="00500018" w:rsidRPr="009072DA" w:rsidRDefault="00500018" w:rsidP="00111867">
      <w:pPr>
        <w:pStyle w:val="ESch"/>
        <w:rPr>
          <w:lang w:val="bg-BG"/>
        </w:rPr>
      </w:pPr>
    </w:p>
    <w:p w:rsidR="006025D0" w:rsidRPr="009072DA" w:rsidRDefault="006025D0" w:rsidP="00111867">
      <w:pPr>
        <w:pStyle w:val="ESchpar"/>
        <w:rPr>
          <w:lang w:val="bg-BG"/>
        </w:rPr>
      </w:pPr>
      <w:r w:rsidRPr="009072DA">
        <w:rPr>
          <w:lang w:val="bg-BG"/>
        </w:rPr>
        <w:t>Въпреки това,</w:t>
      </w:r>
    </w:p>
    <w:p w:rsidR="006025D0" w:rsidRPr="009072DA" w:rsidRDefault="005C7859" w:rsidP="00DF19D3">
      <w:pPr>
        <w:pStyle w:val="ESlet"/>
        <w:rPr>
          <w:lang w:val="bg-BG"/>
        </w:rPr>
      </w:pPr>
      <w:r w:rsidRPr="009072DA">
        <w:rPr>
          <w:lang w:val="bg-BG"/>
        </w:rPr>
        <w:t>a)</w:t>
      </w:r>
      <w:r w:rsidRPr="009072DA">
        <w:rPr>
          <w:lang w:val="bg-BG"/>
        </w:rPr>
        <w:tab/>
        <w:t xml:space="preserve">когато плавателният съд е с дължина </w:t>
      </w:r>
      <m:oMath>
        <m:r>
          <w:rPr>
            <w:rFonts w:ascii="Cambria Math" w:hAnsi="Cambria Math" w:cs="Arial"/>
            <w:szCs w:val="20"/>
            <w:lang w:val="bg-BG"/>
          </w:rPr>
          <m:t>L</m:t>
        </m:r>
      </m:oMath>
      <w:r w:rsidRPr="009072DA">
        <w:rPr>
          <w:lang w:val="bg-BG"/>
        </w:rPr>
        <w:t xml:space="preserve">, по-малка от 40 m, е достатъчно да бъдат поставени две двойки марки на разстояние от носа и кърмата, съответно приблизително равно на четвърт от дължината </w:t>
      </w:r>
      <m:oMath>
        <m:r>
          <w:rPr>
            <w:rFonts w:ascii="Cambria Math" w:hAnsi="Cambria Math" w:cs="Arial"/>
            <w:szCs w:val="20"/>
            <w:lang w:val="bg-BG"/>
          </w:rPr>
          <m:t>L</m:t>
        </m:r>
      </m:oMath>
      <w:r w:rsidRPr="009072DA">
        <w:rPr>
          <w:lang w:val="bg-BG"/>
        </w:rPr>
        <w:t>;</w:t>
      </w:r>
    </w:p>
    <w:p w:rsidR="006025D0" w:rsidRPr="009072DA" w:rsidRDefault="005C7859" w:rsidP="00DF19D3">
      <w:pPr>
        <w:pStyle w:val="ESlet"/>
        <w:rPr>
          <w:lang w:val="bg-BG"/>
        </w:rPr>
      </w:pPr>
      <w:r w:rsidRPr="009072DA">
        <w:rPr>
          <w:lang w:val="bg-BG"/>
        </w:rPr>
        <w:t>б)</w:t>
      </w:r>
      <w:r w:rsidRPr="009072DA">
        <w:rPr>
          <w:lang w:val="bg-BG"/>
        </w:rPr>
        <w:tab/>
        <w:t>когато плавателните съдове не са предназначени за превоз на товари, една двойка марки, разположена приблизително по средата на плавателния съд е достатъчна.</w:t>
      </w:r>
    </w:p>
    <w:p w:rsidR="00500018" w:rsidRPr="009072DA" w:rsidRDefault="00500018" w:rsidP="00500018">
      <w:pPr>
        <w:rPr>
          <w:lang w:val="bg-BG"/>
        </w:rPr>
      </w:pPr>
      <w:r w:rsidRPr="009072DA">
        <w:rPr>
          <w:lang w:val="bg-BG"/>
        </w:rPr>
        <w:br w:type="page"/>
      </w:r>
    </w:p>
    <w:p w:rsidR="006025D0" w:rsidRPr="009072DA" w:rsidRDefault="00853731" w:rsidP="00844E91">
      <w:pPr>
        <w:pStyle w:val="ESch"/>
        <w:rPr>
          <w:lang w:val="bg-BG"/>
        </w:rPr>
      </w:pPr>
      <w:r w:rsidRPr="009072DA">
        <w:rPr>
          <w:lang w:val="bg-BG"/>
        </w:rPr>
        <w:lastRenderedPageBreak/>
        <w:t>6.</w:t>
      </w:r>
      <w:r w:rsidRPr="009072DA">
        <w:rPr>
          <w:lang w:val="bg-BG"/>
        </w:rPr>
        <w:tab/>
        <w:t>Марки или означения, които престанат да бъдат валидни след допълнителна проверка, се заличават или маркират като невалидни под наблюдението на контролния орган. Ако марка за газене следва да се заличи, тя може да бъде заменена само под наблюдението на контролен орган.</w:t>
      </w:r>
    </w:p>
    <w:p w:rsidR="00500018" w:rsidRPr="009072DA" w:rsidRDefault="00500018" w:rsidP="00844E91">
      <w:pPr>
        <w:pStyle w:val="ESch"/>
        <w:rPr>
          <w:lang w:val="bg-BG"/>
        </w:rPr>
      </w:pPr>
    </w:p>
    <w:p w:rsidR="006025D0" w:rsidRPr="009072DA" w:rsidRDefault="00853731" w:rsidP="00844E91">
      <w:pPr>
        <w:pStyle w:val="ESch"/>
        <w:rPr>
          <w:lang w:val="bg-BG"/>
        </w:rPr>
      </w:pPr>
      <w:r w:rsidRPr="009072DA">
        <w:rPr>
          <w:lang w:val="bg-BG"/>
        </w:rPr>
        <w:t>7.</w:t>
      </w:r>
      <w:r w:rsidRPr="009072DA">
        <w:rPr>
          <w:lang w:val="bg-BG"/>
        </w:rPr>
        <w:tab/>
        <w:t>В случай че плавателният съд е измерен съгласно Конвенцията за измерване на плавателните съдове от вътрешното корабоплаване от 1966 г. и равнината на маркировките от измерването отговаря на изискванията на настоящия стандарт, тези маркировки от измерването заместват марките за газене; това трябва да бъде споменато в удостоверението на плавателния съд за плаване по вътрешни водни пътища.</w:t>
      </w:r>
    </w:p>
    <w:p w:rsidR="00500018" w:rsidRPr="009072DA" w:rsidRDefault="00500018" w:rsidP="00844E91">
      <w:pPr>
        <w:pStyle w:val="ESch"/>
        <w:rPr>
          <w:lang w:val="bg-BG"/>
        </w:rPr>
      </w:pPr>
    </w:p>
    <w:p w:rsidR="006025D0" w:rsidRPr="009072DA" w:rsidRDefault="00853731" w:rsidP="00844E91">
      <w:pPr>
        <w:pStyle w:val="ESch"/>
        <w:rPr>
          <w:lang w:val="bg-BG"/>
        </w:rPr>
      </w:pPr>
      <w:r w:rsidRPr="009072DA">
        <w:rPr>
          <w:lang w:val="bg-BG"/>
        </w:rPr>
        <w:t>8.</w:t>
      </w:r>
      <w:r w:rsidRPr="009072DA">
        <w:rPr>
          <w:lang w:val="bg-BG"/>
        </w:rPr>
        <w:tab/>
        <w:t>За плавателни съдове, които оперират в зони на вътрешните водни пътища, различни от зона 3 (зони 1, 2 или 4), двойките товарни маркировки на носа и кърмата, посочени в точка 4, се допълват чрез прибавяне на вертикална линия към тази линия или, в случай на повече зони, няколко допълнителни линии за газене с дължина 150 mm се разполагат близо до носа по отношение на марката за газене за зона 3.</w:t>
      </w:r>
    </w:p>
    <w:p w:rsidR="00500018" w:rsidRPr="009072DA" w:rsidRDefault="00500018" w:rsidP="00844E91">
      <w:pPr>
        <w:pStyle w:val="ESch"/>
        <w:rPr>
          <w:lang w:val="bg-BG"/>
        </w:rPr>
      </w:pPr>
    </w:p>
    <w:p w:rsidR="00500018" w:rsidRPr="009072DA" w:rsidRDefault="00500018" w:rsidP="00320866">
      <w:pPr>
        <w:pStyle w:val="ESchpar"/>
        <w:rPr>
          <w:lang w:val="bg-BG"/>
        </w:rPr>
      </w:pPr>
      <w:r w:rsidRPr="009072DA">
        <w:rPr>
          <w:lang w:val="bg-BG"/>
        </w:rPr>
        <w:t>Тази вертикална линия и хоризонталната линия са с дебелина 30 mm. В допълнение към марката за газене при носа на плавателния съд, съответните номера на зони се посочват с цифри с височина 60 mm × 40 mm ширина (виж фиг. 1).</w:t>
      </w:r>
    </w:p>
    <w:p w:rsidR="00500018" w:rsidRPr="009072DA" w:rsidRDefault="00500018" w:rsidP="00500018">
      <w:pPr>
        <w:rPr>
          <w:lang w:val="bg-BG"/>
        </w:rPr>
      </w:pPr>
    </w:p>
    <w:p w:rsidR="00500018" w:rsidRPr="009072DA" w:rsidRDefault="00500018" w:rsidP="00500018">
      <w:pPr>
        <w:rPr>
          <w:lang w:val="bg-BG"/>
        </w:rPr>
      </w:pPr>
    </w:p>
    <w:p w:rsidR="006025D0" w:rsidRPr="009072DA" w:rsidRDefault="00014931" w:rsidP="00500018">
      <w:pPr>
        <w:jc w:val="center"/>
        <w:rPr>
          <w:lang w:val="bg-BG"/>
        </w:rPr>
      </w:pPr>
      <w:r w:rsidRPr="009072DA">
        <w:rPr>
          <w:noProof/>
          <w:lang w:eastAsia="en-GB"/>
        </w:rPr>
        <w:drawing>
          <wp:inline distT="0" distB="0" distL="0" distR="0" wp14:anchorId="318310C2" wp14:editId="0C26A551">
            <wp:extent cx="4654550" cy="3484880"/>
            <wp:effectExtent l="0" t="0" r="0" b="1270"/>
            <wp:docPr id="28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54550" cy="3484880"/>
                    </a:xfrm>
                    <a:prstGeom prst="rect">
                      <a:avLst/>
                    </a:prstGeom>
                    <a:noFill/>
                  </pic:spPr>
                </pic:pic>
              </a:graphicData>
            </a:graphic>
          </wp:inline>
        </w:drawing>
      </w:r>
    </w:p>
    <w:p w:rsidR="006025D0" w:rsidRPr="009072DA" w:rsidRDefault="00500018" w:rsidP="00500018">
      <w:pPr>
        <w:jc w:val="center"/>
        <w:rPr>
          <w:i/>
          <w:lang w:val="bg-BG"/>
        </w:rPr>
      </w:pPr>
      <w:r w:rsidRPr="009072DA">
        <w:rPr>
          <w:i/>
          <w:lang w:val="bg-BG"/>
        </w:rPr>
        <w:t>Фигура 1</w:t>
      </w:r>
    </w:p>
    <w:p w:rsidR="006025D0" w:rsidRPr="009072DA" w:rsidRDefault="00500018" w:rsidP="006025D0">
      <w:pPr>
        <w:rPr>
          <w:lang w:val="bg-BG"/>
        </w:rPr>
      </w:pPr>
      <w:r w:rsidRPr="009072DA">
        <w:rPr>
          <w:lang w:val="bg-BG"/>
        </w:rPr>
        <w:lastRenderedPageBreak/>
        <w:br w:type="page"/>
      </w:r>
    </w:p>
    <w:p w:rsidR="006025D0" w:rsidRPr="009072DA" w:rsidRDefault="006025D0" w:rsidP="00500018">
      <w:pPr>
        <w:pStyle w:val="ES-Titre3"/>
        <w:rPr>
          <w:i/>
          <w:lang w:val="bg-BG"/>
        </w:rPr>
      </w:pPr>
      <w:bookmarkStart w:id="35" w:name="_Toc491854018"/>
      <w:bookmarkStart w:id="36" w:name="_Toc535827459"/>
      <w:r w:rsidRPr="009072DA">
        <w:rPr>
          <w:lang w:val="bg-BG"/>
        </w:rPr>
        <w:lastRenderedPageBreak/>
        <w:t>Член 4.05</w:t>
      </w:r>
      <w:r w:rsidRPr="009072DA">
        <w:rPr>
          <w:lang w:val="bg-BG"/>
        </w:rPr>
        <w:br/>
      </w:r>
      <w:r w:rsidRPr="009072DA">
        <w:rPr>
          <w:i/>
          <w:lang w:val="bg-BG"/>
        </w:rPr>
        <w:t>Максимално газене при натоварени плавателни съдове, чиито трюмове невинаги са покрити с цел защита от пръски и атмосферни влияния</w:t>
      </w:r>
      <w:bookmarkEnd w:id="35"/>
      <w:bookmarkEnd w:id="36"/>
    </w:p>
    <w:p w:rsidR="00320866" w:rsidRPr="009072DA" w:rsidRDefault="00320866" w:rsidP="00500018">
      <w:pPr>
        <w:rPr>
          <w:lang w:val="bg-BG"/>
        </w:rPr>
      </w:pPr>
    </w:p>
    <w:p w:rsidR="006025D0" w:rsidRPr="009072DA" w:rsidRDefault="006025D0" w:rsidP="00320866">
      <w:pPr>
        <w:pStyle w:val="ESgauche"/>
        <w:rPr>
          <w:noProof w:val="0"/>
          <w:lang w:val="bg-BG"/>
        </w:rPr>
      </w:pPr>
      <w:r w:rsidRPr="009072DA">
        <w:rPr>
          <w:noProof w:val="0"/>
          <w:lang w:val="bg-BG"/>
        </w:rPr>
        <w:t>Ако равнината на максималното газене за зона 3 за даден плавателен съд се определя, като се приема, че трюмовете могат да бъдат затваряни по такъв начин, че да бъдат защитени от пръски и атмосферни влияния, и ако разстоянието между равнината на максималното газене и горния край на комингса е по-малко от 500 mm, трябва да се определи максималното газене за плаване с непокрити трюмове.</w:t>
      </w:r>
    </w:p>
    <w:p w:rsidR="00500018" w:rsidRPr="009072DA" w:rsidRDefault="00500018" w:rsidP="00320866">
      <w:pPr>
        <w:pStyle w:val="ESgauche"/>
        <w:rPr>
          <w:noProof w:val="0"/>
          <w:lang w:val="bg-BG"/>
        </w:rPr>
      </w:pPr>
    </w:p>
    <w:p w:rsidR="006025D0" w:rsidRPr="009072DA" w:rsidRDefault="006025D0" w:rsidP="00320866">
      <w:pPr>
        <w:pStyle w:val="ESgauche"/>
        <w:rPr>
          <w:noProof w:val="0"/>
          <w:lang w:val="bg-BG"/>
        </w:rPr>
      </w:pPr>
      <w:r w:rsidRPr="009072DA">
        <w:rPr>
          <w:noProof w:val="0"/>
          <w:lang w:val="bg-BG"/>
        </w:rPr>
        <w:t>Следният текст се вписва в удостоверението на плавателния съд за плаване по вътрешни водни пътища:</w:t>
      </w:r>
    </w:p>
    <w:p w:rsidR="00500018" w:rsidRPr="009072DA" w:rsidRDefault="00500018" w:rsidP="006025D0">
      <w:pPr>
        <w:rPr>
          <w:lang w:val="bg-BG"/>
        </w:rPr>
      </w:pPr>
    </w:p>
    <w:p w:rsidR="006025D0" w:rsidRPr="009072DA" w:rsidRDefault="004271FC" w:rsidP="00500018">
      <w:pPr>
        <w:jc w:val="center"/>
        <w:rPr>
          <w:lang w:val="bg-BG"/>
        </w:rPr>
      </w:pPr>
      <w:r w:rsidRPr="009072DA">
        <w:rPr>
          <w:lang w:val="bg-BG"/>
        </w:rPr>
        <w:t>„При напълно или частично отворени товарни люкове плавателният съд може да се товари само до газене на … mm под марката за газене за зона 3 / зона R.“</w:t>
      </w:r>
    </w:p>
    <w:p w:rsidR="006025D0" w:rsidRPr="009072DA" w:rsidRDefault="006025D0" w:rsidP="006025D0">
      <w:pPr>
        <w:rPr>
          <w:lang w:val="bg-BG"/>
        </w:rPr>
      </w:pPr>
    </w:p>
    <w:p w:rsidR="00500018" w:rsidRPr="009072DA" w:rsidRDefault="00500018" w:rsidP="006025D0">
      <w:pPr>
        <w:rPr>
          <w:lang w:val="bg-BG"/>
        </w:rPr>
      </w:pPr>
    </w:p>
    <w:p w:rsidR="006025D0" w:rsidRPr="009072DA" w:rsidRDefault="006025D0" w:rsidP="00500018">
      <w:pPr>
        <w:pStyle w:val="ES-Titre3"/>
        <w:rPr>
          <w:i/>
          <w:lang w:val="bg-BG"/>
        </w:rPr>
      </w:pPr>
      <w:bookmarkStart w:id="37" w:name="_Toc491854019"/>
      <w:bookmarkStart w:id="38" w:name="_Toc535827460"/>
      <w:r w:rsidRPr="009072DA">
        <w:rPr>
          <w:lang w:val="bg-BG"/>
        </w:rPr>
        <w:t>Член 4.06</w:t>
      </w:r>
      <w:r w:rsidRPr="009072DA">
        <w:rPr>
          <w:lang w:val="bg-BG"/>
        </w:rPr>
        <w:br/>
      </w:r>
      <w:r w:rsidRPr="009072DA">
        <w:rPr>
          <w:i/>
          <w:lang w:val="bg-BG"/>
        </w:rPr>
        <w:t>Скали на газене</w:t>
      </w:r>
      <w:bookmarkEnd w:id="37"/>
      <w:bookmarkEnd w:id="38"/>
    </w:p>
    <w:p w:rsidR="00500018" w:rsidRPr="009072DA" w:rsidRDefault="00500018" w:rsidP="00320866">
      <w:pPr>
        <w:pStyle w:val="ESch"/>
        <w:rPr>
          <w:lang w:val="bg-BG"/>
        </w:rPr>
      </w:pPr>
    </w:p>
    <w:p w:rsidR="006025D0" w:rsidRPr="009072DA" w:rsidRDefault="006025D0" w:rsidP="00320866">
      <w:pPr>
        <w:pStyle w:val="ESch"/>
        <w:rPr>
          <w:lang w:val="bg-BG"/>
        </w:rPr>
      </w:pPr>
      <w:r w:rsidRPr="009072DA">
        <w:rPr>
          <w:lang w:val="bg-BG"/>
        </w:rPr>
        <w:t>1.</w:t>
      </w:r>
      <w:r w:rsidRPr="009072DA">
        <w:rPr>
          <w:lang w:val="bg-BG"/>
        </w:rPr>
        <w:tab/>
        <w:t>Всеки плавателен съд, чието газене може да надхвърли 1 m, има скала на газене от всяка страна на кърмата; той може да има допълнителна скала на газене.</w:t>
      </w:r>
    </w:p>
    <w:p w:rsidR="00500018" w:rsidRPr="009072DA" w:rsidRDefault="00500018" w:rsidP="00320866">
      <w:pPr>
        <w:pStyle w:val="ESch"/>
        <w:rPr>
          <w:lang w:val="bg-BG"/>
        </w:rPr>
      </w:pPr>
    </w:p>
    <w:p w:rsidR="006025D0" w:rsidRPr="009072DA" w:rsidRDefault="006025D0" w:rsidP="00320866">
      <w:pPr>
        <w:pStyle w:val="ESch"/>
        <w:rPr>
          <w:lang w:val="bg-BG"/>
        </w:rPr>
      </w:pPr>
      <w:r w:rsidRPr="009072DA">
        <w:rPr>
          <w:lang w:val="bg-BG"/>
        </w:rPr>
        <w:t>2.</w:t>
      </w:r>
      <w:r w:rsidRPr="009072DA">
        <w:rPr>
          <w:lang w:val="bg-BG"/>
        </w:rPr>
        <w:tab/>
        <w:t>Нулевата точка на всяка скала на газене е разположена вертикално под скалата на газене в равнината, успоредна на равнината на максималното газене и минаваща през най-ниската точка на корпуса или на кила, ако има такъв. Вертикалното разстояние над нулевата точка е градуирано в дециметри. Това градуиране се нанася на всяка скала от водолинията в състояние без товар до 100 mm над равнището при максималното газене посредством перфорирани или гравирани линии, боядисани в два различни цвята по такъв начин, че да бъдат ясно видими. Това градуиране се обозначава с цифри отстрани на скалата поне на всеки пет дециметра, както и на върха на скалата.</w:t>
      </w:r>
    </w:p>
    <w:p w:rsidR="00500018" w:rsidRPr="009072DA" w:rsidRDefault="00500018" w:rsidP="00320866">
      <w:pPr>
        <w:pStyle w:val="ESch"/>
        <w:rPr>
          <w:lang w:val="bg-BG"/>
        </w:rPr>
      </w:pPr>
    </w:p>
    <w:p w:rsidR="006025D0" w:rsidRPr="009072DA" w:rsidRDefault="006025D0" w:rsidP="00320866">
      <w:pPr>
        <w:pStyle w:val="ESch"/>
        <w:rPr>
          <w:lang w:val="bg-BG"/>
        </w:rPr>
      </w:pPr>
      <w:r w:rsidRPr="009072DA">
        <w:rPr>
          <w:lang w:val="bg-BG"/>
        </w:rPr>
        <w:t>3.</w:t>
      </w:r>
      <w:r w:rsidRPr="009072DA">
        <w:rPr>
          <w:lang w:val="bg-BG"/>
        </w:rPr>
        <w:tab/>
        <w:t>Двете мерителни скали на кърмата, установени съгласно конвенцията, упомената в член 4.04, точка 7, могат да заместват скалите на газене, при условие че те са градуирани в съответствие с горните изисквания и, когато е необходимо, включват цифри, показващи газенето.</w:t>
      </w:r>
    </w:p>
    <w:p w:rsidR="00745DD2" w:rsidRPr="009072DA" w:rsidRDefault="00745DD2" w:rsidP="00E1027C">
      <w:pPr>
        <w:spacing w:line="240" w:lineRule="atLeast"/>
        <w:rPr>
          <w:rFonts w:eastAsia="Calibri"/>
          <w:lang w:val="bg-BG"/>
        </w:rPr>
      </w:pPr>
    </w:p>
    <w:p w:rsidR="001F1A9D" w:rsidRPr="009072DA" w:rsidRDefault="001F1A9D" w:rsidP="00745DD2">
      <w:pPr>
        <w:pStyle w:val="ES-Titre3"/>
        <w:spacing w:line="240" w:lineRule="atLeast"/>
        <w:jc w:val="both"/>
        <w:rPr>
          <w:b w:val="0"/>
          <w:sz w:val="20"/>
          <w:lang w:val="bg-BG"/>
        </w:rPr>
      </w:pPr>
    </w:p>
    <w:p w:rsidR="005E15D4" w:rsidRPr="009072DA" w:rsidRDefault="005E15D4" w:rsidP="005E15D4">
      <w:pPr>
        <w:pStyle w:val="ES-Titre3"/>
        <w:rPr>
          <w:i/>
          <w:lang w:val="bg-BG"/>
        </w:rPr>
      </w:pPr>
      <w:bookmarkStart w:id="39" w:name="_Toc491854020"/>
      <w:bookmarkStart w:id="40" w:name="_Toc535827461"/>
      <w:r w:rsidRPr="009072DA">
        <w:rPr>
          <w:lang w:val="bg-BG"/>
        </w:rPr>
        <w:lastRenderedPageBreak/>
        <w:t>Член 4.07</w:t>
      </w:r>
      <w:r w:rsidRPr="009072DA">
        <w:rPr>
          <w:lang w:val="bg-BG"/>
        </w:rPr>
        <w:br/>
      </w:r>
      <w:r w:rsidRPr="009072DA">
        <w:rPr>
          <w:i/>
          <w:lang w:val="bg-BG"/>
        </w:rPr>
        <w:t>Специфични изисквания, приложими за плавателните съдове, плаващи по водни пътища от зона 4</w:t>
      </w:r>
      <w:bookmarkEnd w:id="39"/>
      <w:bookmarkEnd w:id="40"/>
    </w:p>
    <w:p w:rsidR="00745DD2" w:rsidRPr="009072DA" w:rsidRDefault="00745DD2" w:rsidP="00745DD2">
      <w:pPr>
        <w:pStyle w:val="ES-Titre3"/>
        <w:spacing w:line="240" w:lineRule="atLeast"/>
        <w:jc w:val="both"/>
        <w:rPr>
          <w:b w:val="0"/>
          <w:sz w:val="20"/>
          <w:lang w:val="bg-BG"/>
        </w:rPr>
      </w:pPr>
    </w:p>
    <w:p w:rsidR="005E15D4" w:rsidRPr="009072DA" w:rsidRDefault="005E15D4" w:rsidP="005E15D4">
      <w:pPr>
        <w:pStyle w:val="ESch"/>
        <w:rPr>
          <w:lang w:val="bg-BG"/>
        </w:rPr>
      </w:pPr>
      <w:r w:rsidRPr="009072DA">
        <w:rPr>
          <w:lang w:val="bg-BG"/>
        </w:rPr>
        <w:t xml:space="preserve">1. </w:t>
      </w:r>
      <w:r w:rsidRPr="009072DA">
        <w:rPr>
          <w:lang w:val="bg-BG"/>
        </w:rPr>
        <w:tab/>
        <w:t>Чрез дерогация от член 4.01, точка 1 и точка 2, при плавателните съдове, плаващи по водни пътища от зона 4, разстоянието на безопасност на врати и отвори, различни от люкове за трюмове се намалява, както следва:</w:t>
      </w:r>
    </w:p>
    <w:p w:rsidR="005E15D4" w:rsidRPr="009072DA" w:rsidRDefault="005E15D4" w:rsidP="00493339">
      <w:pPr>
        <w:pStyle w:val="ESlet"/>
        <w:rPr>
          <w:lang w:val="bg-BG"/>
        </w:rPr>
      </w:pPr>
      <w:r w:rsidRPr="009072DA">
        <w:rPr>
          <w:lang w:val="bg-BG"/>
        </w:rPr>
        <w:t>a)</w:t>
      </w:r>
      <w:r w:rsidRPr="009072DA">
        <w:rPr>
          <w:lang w:val="bg-BG"/>
        </w:rPr>
        <w:tab/>
        <w:t>за отвори, които могат да бъдат затворени така, че да са защитени от пръски и атмосферни въздействия, до 150 mm;</w:t>
      </w:r>
    </w:p>
    <w:p w:rsidR="005E15D4" w:rsidRPr="009072DA" w:rsidRDefault="005E15D4" w:rsidP="00493339">
      <w:pPr>
        <w:pStyle w:val="ESlet"/>
        <w:rPr>
          <w:lang w:val="bg-BG"/>
        </w:rPr>
      </w:pPr>
      <w:r w:rsidRPr="009072DA">
        <w:rPr>
          <w:lang w:val="bg-BG"/>
        </w:rPr>
        <w:t>б)</w:t>
      </w:r>
      <w:r w:rsidRPr="009072DA">
        <w:rPr>
          <w:lang w:val="bg-BG"/>
        </w:rPr>
        <w:tab/>
        <w:t>за отвори, които не могат да бъдат затворени, така че да са защитени от пръски и атмосферни въздействия, до 200 mm;</w:t>
      </w:r>
    </w:p>
    <w:p w:rsidR="005E15D4" w:rsidRPr="009072DA" w:rsidRDefault="005E15D4" w:rsidP="005E15D4">
      <w:pPr>
        <w:pStyle w:val="ESch"/>
        <w:rPr>
          <w:lang w:val="bg-BG"/>
        </w:rPr>
      </w:pPr>
    </w:p>
    <w:p w:rsidR="00745DD2" w:rsidRPr="009072DA" w:rsidRDefault="005E15D4" w:rsidP="005E15D4">
      <w:pPr>
        <w:pStyle w:val="ESch"/>
        <w:rPr>
          <w:lang w:val="bg-BG"/>
        </w:rPr>
      </w:pPr>
      <w:r w:rsidRPr="009072DA">
        <w:rPr>
          <w:lang w:val="bg-BG"/>
        </w:rPr>
        <w:t xml:space="preserve">2. </w:t>
      </w:r>
      <w:r w:rsidRPr="009072DA">
        <w:rPr>
          <w:lang w:val="bg-BG"/>
        </w:rPr>
        <w:tab/>
        <w:t>Чрез дерогация от член 4.02 минималният надводен борд за плавателните съдове, плаващи по водни пътища от зона 4, е 0 mm, ако разстоянието на безопасност съгласно точка 1 е спазено.</w:t>
      </w:r>
    </w:p>
    <w:p w:rsidR="00A60727" w:rsidRPr="009072DA" w:rsidRDefault="00A60727" w:rsidP="005E15D4">
      <w:pPr>
        <w:pStyle w:val="ESch"/>
        <w:rPr>
          <w:lang w:val="bg-BG"/>
        </w:rPr>
      </w:pPr>
    </w:p>
    <w:p w:rsidR="00A60727" w:rsidRPr="009072DA" w:rsidRDefault="00A60727" w:rsidP="005E15D4">
      <w:pPr>
        <w:pStyle w:val="ESch"/>
        <w:rPr>
          <w:lang w:val="bg-BG"/>
        </w:rPr>
      </w:pPr>
    </w:p>
    <w:p w:rsidR="006D6907" w:rsidRPr="009072DA" w:rsidRDefault="006D6907" w:rsidP="005E15D4">
      <w:pPr>
        <w:pStyle w:val="ESch"/>
        <w:rPr>
          <w:lang w:val="bg-BG"/>
        </w:rPr>
      </w:pPr>
      <w:r w:rsidRPr="009072DA">
        <w:rPr>
          <w:lang w:val="bg-BG"/>
        </w:rPr>
        <w:br w:type="page"/>
      </w:r>
    </w:p>
    <w:p w:rsidR="006D6907" w:rsidRPr="009072DA" w:rsidRDefault="006D6907" w:rsidP="005E15D4">
      <w:pPr>
        <w:pStyle w:val="ESch"/>
        <w:rPr>
          <w:lang w:val="bg-BG"/>
        </w:rPr>
      </w:pPr>
    </w:p>
    <w:p w:rsidR="006D6907" w:rsidRPr="009072DA" w:rsidRDefault="006D6907" w:rsidP="005E15D4">
      <w:pPr>
        <w:pStyle w:val="ESch"/>
        <w:rPr>
          <w:lang w:val="bg-BG"/>
        </w:rPr>
      </w:pPr>
    </w:p>
    <w:p w:rsidR="00A60727" w:rsidRPr="009072DA" w:rsidRDefault="00A60727" w:rsidP="005E15D4">
      <w:pPr>
        <w:pStyle w:val="ESch"/>
        <w:rPr>
          <w:lang w:val="bg-BG"/>
        </w:rPr>
      </w:pPr>
    </w:p>
    <w:p w:rsidR="00A06CEC" w:rsidRPr="009072DA" w:rsidRDefault="00A06CEC" w:rsidP="00E1027C">
      <w:pPr>
        <w:pStyle w:val="ES-Titre2"/>
      </w:pPr>
      <w:bookmarkStart w:id="41" w:name="_Toc491854021"/>
      <w:bookmarkStart w:id="42" w:name="_Toc535827462"/>
      <w:r w:rsidRPr="009072DA">
        <w:lastRenderedPageBreak/>
        <w:t>Глава 5</w:t>
      </w:r>
      <w:r w:rsidRPr="009072DA">
        <w:br/>
        <w:t>Маневреност</w:t>
      </w:r>
      <w:bookmarkEnd w:id="41"/>
      <w:bookmarkEnd w:id="42"/>
    </w:p>
    <w:p w:rsidR="00745DD2" w:rsidRPr="009072DA" w:rsidRDefault="00745DD2" w:rsidP="00E1027C">
      <w:pPr>
        <w:pStyle w:val="ES-Titre3"/>
        <w:spacing w:line="240" w:lineRule="atLeast"/>
        <w:rPr>
          <w:lang w:val="bg-BG"/>
        </w:rPr>
      </w:pPr>
    </w:p>
    <w:p w:rsidR="00500018" w:rsidRPr="009072DA" w:rsidRDefault="00500018" w:rsidP="00500018">
      <w:pPr>
        <w:pStyle w:val="ES-Titre3"/>
        <w:rPr>
          <w:lang w:val="bg-BG"/>
        </w:rPr>
      </w:pPr>
      <w:bookmarkStart w:id="43" w:name="_Toc491854022"/>
      <w:bookmarkStart w:id="44" w:name="_Toc535827463"/>
      <w:r w:rsidRPr="009072DA">
        <w:rPr>
          <w:lang w:val="bg-BG"/>
        </w:rPr>
        <w:t>Член 5.01</w:t>
      </w:r>
      <w:r w:rsidRPr="009072DA">
        <w:rPr>
          <w:lang w:val="bg-BG"/>
        </w:rPr>
        <w:br/>
      </w:r>
      <w:r w:rsidRPr="009072DA">
        <w:rPr>
          <w:i/>
          <w:lang w:val="bg-BG"/>
        </w:rPr>
        <w:t>Общи положения</w:t>
      </w:r>
      <w:bookmarkEnd w:id="43"/>
      <w:bookmarkEnd w:id="44"/>
    </w:p>
    <w:p w:rsidR="00500018" w:rsidRPr="009072DA" w:rsidRDefault="00500018" w:rsidP="00500018">
      <w:pPr>
        <w:rPr>
          <w:szCs w:val="20"/>
          <w:lang w:val="bg-BG"/>
        </w:rPr>
      </w:pPr>
    </w:p>
    <w:p w:rsidR="00500018" w:rsidRPr="009072DA" w:rsidRDefault="00F64273" w:rsidP="000225FB">
      <w:pPr>
        <w:pStyle w:val="ESch"/>
        <w:rPr>
          <w:lang w:val="bg-BG"/>
        </w:rPr>
      </w:pPr>
      <w:r w:rsidRPr="009072DA">
        <w:rPr>
          <w:lang w:val="bg-BG"/>
        </w:rPr>
        <w:t>1.</w:t>
      </w:r>
      <w:r w:rsidRPr="009072DA">
        <w:rPr>
          <w:lang w:val="bg-BG"/>
        </w:rPr>
        <w:tab/>
        <w:t>Плавателните съдове и съставите от плавателни съдове трябва да притежават съответна мореходност и маневреност.</w:t>
      </w:r>
    </w:p>
    <w:p w:rsidR="00500018" w:rsidRPr="009072DA" w:rsidRDefault="00500018" w:rsidP="000225FB">
      <w:pPr>
        <w:pStyle w:val="ESch"/>
        <w:rPr>
          <w:lang w:val="bg-BG"/>
        </w:rPr>
      </w:pPr>
    </w:p>
    <w:p w:rsidR="00500018" w:rsidRPr="009072DA" w:rsidRDefault="00F64273" w:rsidP="000225FB">
      <w:pPr>
        <w:pStyle w:val="ESch"/>
        <w:rPr>
          <w:lang w:val="bg-BG"/>
        </w:rPr>
      </w:pPr>
      <w:r w:rsidRPr="009072DA">
        <w:rPr>
          <w:lang w:val="bg-BG"/>
        </w:rPr>
        <w:t>2.</w:t>
      </w:r>
      <w:r w:rsidRPr="009072DA">
        <w:rPr>
          <w:lang w:val="bg-BG"/>
        </w:rPr>
        <w:tab/>
        <w:t>Плавателните съдове без собствено задвижване, предназначени да бъдат влачени, трябва да отговарят на конкретните изисквания, определени от контролния орган.</w:t>
      </w:r>
    </w:p>
    <w:p w:rsidR="00500018" w:rsidRPr="009072DA" w:rsidRDefault="00500018" w:rsidP="000225FB">
      <w:pPr>
        <w:pStyle w:val="ESch"/>
        <w:rPr>
          <w:lang w:val="bg-BG"/>
        </w:rPr>
      </w:pPr>
    </w:p>
    <w:p w:rsidR="00500018" w:rsidRPr="009072DA" w:rsidRDefault="00F64273" w:rsidP="000225FB">
      <w:pPr>
        <w:pStyle w:val="ESch"/>
        <w:rPr>
          <w:lang w:val="bg-BG"/>
        </w:rPr>
      </w:pPr>
      <w:r w:rsidRPr="009072DA">
        <w:rPr>
          <w:lang w:val="bg-BG"/>
        </w:rPr>
        <w:t>3.</w:t>
      </w:r>
      <w:r w:rsidRPr="009072DA">
        <w:rPr>
          <w:lang w:val="bg-BG"/>
        </w:rPr>
        <w:tab/>
        <w:t>Плавателните съдове със собствено задвижване и съставите от плавателни съдове трябва да отговарят на изискванията, посочени в членове 5.02—5.10.</w:t>
      </w:r>
    </w:p>
    <w:p w:rsidR="00500018" w:rsidRPr="009072DA" w:rsidRDefault="00500018" w:rsidP="00065064">
      <w:pPr>
        <w:pStyle w:val="ESch"/>
        <w:rPr>
          <w:lang w:val="bg-BG"/>
        </w:rPr>
      </w:pPr>
    </w:p>
    <w:p w:rsidR="00500018" w:rsidRPr="009072DA" w:rsidRDefault="00500018" w:rsidP="00500018">
      <w:pPr>
        <w:rPr>
          <w:szCs w:val="20"/>
          <w:lang w:val="bg-BG"/>
        </w:rPr>
      </w:pPr>
    </w:p>
    <w:p w:rsidR="00500018" w:rsidRPr="009072DA" w:rsidRDefault="00500018" w:rsidP="00500018">
      <w:pPr>
        <w:pStyle w:val="ES-Titre3"/>
        <w:rPr>
          <w:lang w:val="bg-BG"/>
        </w:rPr>
      </w:pPr>
      <w:bookmarkStart w:id="45" w:name="_Toc535827464"/>
      <w:bookmarkStart w:id="46" w:name="_Toc491854023"/>
      <w:r w:rsidRPr="009072DA">
        <w:rPr>
          <w:lang w:val="bg-BG"/>
        </w:rPr>
        <w:t>Член 5.02</w:t>
      </w:r>
      <w:r w:rsidRPr="009072DA">
        <w:rPr>
          <w:lang w:val="bg-BG"/>
        </w:rPr>
        <w:br/>
      </w:r>
      <w:r w:rsidRPr="009072DA">
        <w:rPr>
          <w:i/>
          <w:lang w:val="bg-BG"/>
        </w:rPr>
        <w:t>Ходови изпитвания</w:t>
      </w:r>
      <w:bookmarkEnd w:id="45"/>
      <w:r w:rsidRPr="009072DA">
        <w:rPr>
          <w:i/>
          <w:lang w:val="bg-BG"/>
        </w:rPr>
        <w:t xml:space="preserve"> </w:t>
      </w:r>
      <w:bookmarkEnd w:id="46"/>
    </w:p>
    <w:p w:rsidR="00500018" w:rsidRPr="009072DA" w:rsidRDefault="00500018" w:rsidP="00320866">
      <w:pPr>
        <w:pStyle w:val="ESch"/>
        <w:rPr>
          <w:lang w:val="bg-BG"/>
        </w:rPr>
      </w:pPr>
    </w:p>
    <w:p w:rsidR="00500018" w:rsidRPr="009072DA" w:rsidRDefault="00500018" w:rsidP="00320866">
      <w:pPr>
        <w:pStyle w:val="ESch"/>
        <w:rPr>
          <w:lang w:val="bg-BG"/>
        </w:rPr>
      </w:pPr>
      <w:r w:rsidRPr="009072DA">
        <w:rPr>
          <w:lang w:val="bg-BG"/>
        </w:rPr>
        <w:t>1.</w:t>
      </w:r>
      <w:r w:rsidRPr="009072DA">
        <w:rPr>
          <w:lang w:val="bg-BG"/>
        </w:rPr>
        <w:tab/>
        <w:t>Мореходността и маневреността се проверяват чрез ходови изпитвания. По-специално трябва да се проверява спазването на изискванията по членове 5.06—5.10.</w:t>
      </w:r>
    </w:p>
    <w:p w:rsidR="00500018" w:rsidRPr="009072DA" w:rsidRDefault="00500018" w:rsidP="00320866">
      <w:pPr>
        <w:pStyle w:val="ESch"/>
        <w:rPr>
          <w:lang w:val="bg-BG"/>
        </w:rPr>
      </w:pPr>
    </w:p>
    <w:p w:rsidR="00500018" w:rsidRPr="009072DA" w:rsidRDefault="00500018" w:rsidP="00320866">
      <w:pPr>
        <w:pStyle w:val="ESch"/>
        <w:rPr>
          <w:lang w:val="bg-BG"/>
        </w:rPr>
      </w:pPr>
      <w:r w:rsidRPr="009072DA">
        <w:rPr>
          <w:lang w:val="bg-BG"/>
        </w:rPr>
        <w:t>2.</w:t>
      </w:r>
      <w:r w:rsidRPr="009072DA">
        <w:rPr>
          <w:lang w:val="bg-BG"/>
        </w:rPr>
        <w:tab/>
        <w:t>Контролният орган има право да отмени всички или част от изпитванията, когато съответствието с изискванията за мореходност и маневреност е доказано по друг начин.</w:t>
      </w:r>
    </w:p>
    <w:p w:rsidR="00500018" w:rsidRPr="009072DA" w:rsidRDefault="00500018" w:rsidP="00500018">
      <w:pPr>
        <w:rPr>
          <w:szCs w:val="20"/>
          <w:lang w:val="bg-BG"/>
        </w:rPr>
      </w:pPr>
    </w:p>
    <w:p w:rsidR="00500018" w:rsidRPr="009072DA" w:rsidRDefault="00500018" w:rsidP="00500018">
      <w:pPr>
        <w:rPr>
          <w:szCs w:val="20"/>
          <w:lang w:val="bg-BG"/>
        </w:rPr>
      </w:pPr>
    </w:p>
    <w:p w:rsidR="00500018" w:rsidRPr="009072DA" w:rsidRDefault="00500018" w:rsidP="00500018">
      <w:pPr>
        <w:pStyle w:val="ES-Titre3"/>
        <w:rPr>
          <w:lang w:val="bg-BG"/>
        </w:rPr>
      </w:pPr>
      <w:bookmarkStart w:id="47" w:name="_Toc491854024"/>
      <w:bookmarkStart w:id="48" w:name="_Toc535827465"/>
      <w:r w:rsidRPr="009072DA">
        <w:rPr>
          <w:lang w:val="bg-BG"/>
        </w:rPr>
        <w:t>Член 5.03</w:t>
      </w:r>
      <w:r w:rsidRPr="009072DA">
        <w:rPr>
          <w:lang w:val="bg-BG"/>
        </w:rPr>
        <w:br/>
      </w:r>
      <w:r w:rsidRPr="009072DA">
        <w:rPr>
          <w:i/>
          <w:lang w:val="bg-BG"/>
        </w:rPr>
        <w:t>Изпитвателен полигон</w:t>
      </w:r>
      <w:bookmarkEnd w:id="47"/>
      <w:bookmarkEnd w:id="48"/>
    </w:p>
    <w:p w:rsidR="00500018" w:rsidRPr="009072DA" w:rsidRDefault="00500018" w:rsidP="00320866">
      <w:pPr>
        <w:pStyle w:val="ESch"/>
        <w:rPr>
          <w:lang w:val="bg-BG"/>
        </w:rPr>
      </w:pPr>
    </w:p>
    <w:p w:rsidR="00500018" w:rsidRPr="009072DA" w:rsidRDefault="00500018" w:rsidP="00320866">
      <w:pPr>
        <w:pStyle w:val="ESch"/>
        <w:rPr>
          <w:lang w:val="bg-BG"/>
        </w:rPr>
      </w:pPr>
      <w:r w:rsidRPr="009072DA">
        <w:rPr>
          <w:lang w:val="bg-BG"/>
        </w:rPr>
        <w:t>1.</w:t>
      </w:r>
      <w:r w:rsidRPr="009072DA">
        <w:rPr>
          <w:lang w:val="bg-BG"/>
        </w:rPr>
        <w:tab/>
        <w:t>Ходовите изпитвания, посочени в член 5.02, се провеждат на полигони от вътрешните водни пътища, които са определени от компетентните органи.</w:t>
      </w:r>
    </w:p>
    <w:p w:rsidR="00500018" w:rsidRPr="009072DA" w:rsidRDefault="00500018" w:rsidP="00320866">
      <w:pPr>
        <w:pStyle w:val="ESch"/>
        <w:rPr>
          <w:lang w:val="bg-BG"/>
        </w:rPr>
      </w:pPr>
    </w:p>
    <w:p w:rsidR="00500018" w:rsidRPr="009072DA" w:rsidRDefault="00500018" w:rsidP="00320866">
      <w:pPr>
        <w:pStyle w:val="ESch"/>
        <w:rPr>
          <w:lang w:val="bg-BG"/>
        </w:rPr>
      </w:pPr>
      <w:r w:rsidRPr="009072DA">
        <w:rPr>
          <w:lang w:val="bg-BG"/>
        </w:rPr>
        <w:t>2.</w:t>
      </w:r>
      <w:r w:rsidRPr="009072DA">
        <w:rPr>
          <w:lang w:val="bg-BG"/>
        </w:rPr>
        <w:tab/>
        <w:t xml:space="preserve">Тези изпитвателни полигони се разполагат по протежение на течаща или тиха вода, по възможност в прав участък, с дължина поне 2 km и достатъчна широчина, и се </w:t>
      </w:r>
      <w:r w:rsidRPr="009072DA">
        <w:rPr>
          <w:lang w:val="bg-BG"/>
        </w:rPr>
        <w:lastRenderedPageBreak/>
        <w:t>обозначават с добре различими знаци за определяне на положението на плавателния съд.</w:t>
      </w:r>
    </w:p>
    <w:p w:rsidR="00500018" w:rsidRPr="009072DA" w:rsidRDefault="00500018" w:rsidP="00320866">
      <w:pPr>
        <w:pStyle w:val="ESch"/>
        <w:rPr>
          <w:lang w:val="bg-BG"/>
        </w:rPr>
      </w:pPr>
    </w:p>
    <w:p w:rsidR="00500018" w:rsidRPr="009072DA" w:rsidRDefault="00500018" w:rsidP="00320866">
      <w:pPr>
        <w:pStyle w:val="ESch"/>
        <w:rPr>
          <w:lang w:val="bg-BG"/>
        </w:rPr>
      </w:pPr>
      <w:r w:rsidRPr="009072DA">
        <w:rPr>
          <w:lang w:val="bg-BG"/>
        </w:rPr>
        <w:t>3.</w:t>
      </w:r>
      <w:r w:rsidRPr="009072DA">
        <w:rPr>
          <w:lang w:val="bg-BG"/>
        </w:rPr>
        <w:tab/>
        <w:t>Трябва да бъде възможно контролният орган да определя хидроложките данни като дълбочина на водата, широчина на фарватера и средна скорост на течението в навигационния участък като функция на различни водни нива.</w:t>
      </w:r>
    </w:p>
    <w:p w:rsidR="00500018" w:rsidRPr="009072DA" w:rsidRDefault="00500018" w:rsidP="00320866">
      <w:pPr>
        <w:pStyle w:val="ESch"/>
        <w:rPr>
          <w:lang w:val="bg-BG"/>
        </w:rPr>
      </w:pPr>
    </w:p>
    <w:p w:rsidR="00500018" w:rsidRPr="009072DA" w:rsidRDefault="00500018" w:rsidP="00533048">
      <w:pPr>
        <w:pStyle w:val="ESch"/>
        <w:rPr>
          <w:lang w:val="bg-BG"/>
        </w:rPr>
      </w:pPr>
    </w:p>
    <w:p w:rsidR="00500018" w:rsidRPr="009072DA" w:rsidRDefault="00500018" w:rsidP="00500018">
      <w:pPr>
        <w:pStyle w:val="ES-Titre3"/>
        <w:rPr>
          <w:lang w:val="bg-BG"/>
        </w:rPr>
      </w:pPr>
      <w:bookmarkStart w:id="49" w:name="_Toc491854025"/>
      <w:bookmarkStart w:id="50" w:name="_Toc535827466"/>
      <w:r w:rsidRPr="009072DA">
        <w:rPr>
          <w:lang w:val="bg-BG"/>
        </w:rPr>
        <w:t>Член 5.04</w:t>
      </w:r>
      <w:r w:rsidRPr="009072DA">
        <w:rPr>
          <w:lang w:val="bg-BG"/>
        </w:rPr>
        <w:br/>
      </w:r>
      <w:r w:rsidRPr="009072DA">
        <w:rPr>
          <w:i/>
          <w:lang w:val="bg-BG"/>
        </w:rPr>
        <w:t>Степен на натоварване на плавателни съдове и състави от плавателни съдове при ходовите изпитвания</w:t>
      </w:r>
      <w:bookmarkEnd w:id="49"/>
      <w:bookmarkEnd w:id="50"/>
    </w:p>
    <w:p w:rsidR="00500018" w:rsidRPr="009072DA" w:rsidRDefault="00500018" w:rsidP="00500018">
      <w:pPr>
        <w:rPr>
          <w:szCs w:val="20"/>
          <w:lang w:val="bg-BG"/>
        </w:rPr>
      </w:pPr>
    </w:p>
    <w:p w:rsidR="00500018" w:rsidRPr="009072DA" w:rsidRDefault="00500018" w:rsidP="00320866">
      <w:pPr>
        <w:pStyle w:val="ESgauche"/>
        <w:rPr>
          <w:noProof w:val="0"/>
          <w:lang w:val="bg-BG"/>
        </w:rPr>
      </w:pPr>
      <w:r w:rsidRPr="009072DA">
        <w:rPr>
          <w:noProof w:val="0"/>
          <w:lang w:val="bg-BG"/>
        </w:rPr>
        <w:t>По време на ходовите изпитвания плавателните съдове и съставите от плавателни съдове, предвидени да превозват стоки, се натоварват до не по-малко от 70 % от пълната им товароподемност, като натоварването се разпределя така, че да гарантира движението на плавателния съд на равен кил, доколкото е възможно. Ако изпитванията се провеждат с по-малък товар, разрешението за плаване по течението се ограничава до това количество товар.</w:t>
      </w:r>
    </w:p>
    <w:p w:rsidR="00500018" w:rsidRPr="009072DA" w:rsidRDefault="00500018" w:rsidP="00500018">
      <w:pPr>
        <w:rPr>
          <w:szCs w:val="20"/>
          <w:lang w:val="bg-BG"/>
        </w:rPr>
      </w:pPr>
      <w:r w:rsidRPr="009072DA">
        <w:rPr>
          <w:lang w:val="bg-BG"/>
        </w:rPr>
        <w:br w:type="page"/>
      </w:r>
    </w:p>
    <w:p w:rsidR="00500018" w:rsidRPr="009072DA" w:rsidRDefault="00500018" w:rsidP="00500018">
      <w:pPr>
        <w:pStyle w:val="ES-Titre3"/>
        <w:rPr>
          <w:lang w:val="bg-BG"/>
        </w:rPr>
      </w:pPr>
      <w:bookmarkStart w:id="51" w:name="_Toc491854026"/>
      <w:bookmarkStart w:id="52" w:name="_Toc535827467"/>
      <w:r w:rsidRPr="009072DA">
        <w:rPr>
          <w:lang w:val="bg-BG"/>
        </w:rPr>
        <w:lastRenderedPageBreak/>
        <w:t>Член 5.05</w:t>
      </w:r>
      <w:r w:rsidRPr="009072DA">
        <w:rPr>
          <w:lang w:val="bg-BG"/>
        </w:rPr>
        <w:br/>
      </w:r>
      <w:r w:rsidRPr="009072DA">
        <w:rPr>
          <w:i/>
          <w:lang w:val="bg-BG"/>
        </w:rPr>
        <w:t>Използване на бордови съоръжения при ходовите изпитвания</w:t>
      </w:r>
      <w:bookmarkEnd w:id="51"/>
      <w:bookmarkEnd w:id="52"/>
    </w:p>
    <w:p w:rsidR="00500018" w:rsidRPr="009072DA" w:rsidRDefault="00500018" w:rsidP="00500018">
      <w:pPr>
        <w:rPr>
          <w:szCs w:val="20"/>
          <w:lang w:val="bg-BG"/>
        </w:rPr>
      </w:pPr>
    </w:p>
    <w:p w:rsidR="00500018" w:rsidRPr="009072DA" w:rsidRDefault="00500018" w:rsidP="00320866">
      <w:pPr>
        <w:pStyle w:val="ESch"/>
        <w:rPr>
          <w:lang w:val="bg-BG"/>
        </w:rPr>
      </w:pPr>
      <w:r w:rsidRPr="009072DA">
        <w:rPr>
          <w:lang w:val="bg-BG"/>
        </w:rPr>
        <w:t>1.</w:t>
      </w:r>
      <w:r w:rsidRPr="009072DA">
        <w:rPr>
          <w:lang w:val="bg-BG"/>
        </w:rPr>
        <w:tab/>
        <w:t>По време на ходовото изпитване може да се използва цялото оборудване, посочено в точки 34 и 52 от удостоверението на плавателния съд за плаване по вътрешни водни пътища, което може да се задейства от рулевата рубка, с изключение на котвите.</w:t>
      </w:r>
    </w:p>
    <w:p w:rsidR="00500018" w:rsidRPr="009072DA" w:rsidRDefault="00500018" w:rsidP="00320866">
      <w:pPr>
        <w:pStyle w:val="ESch"/>
        <w:rPr>
          <w:lang w:val="bg-BG"/>
        </w:rPr>
      </w:pPr>
    </w:p>
    <w:p w:rsidR="00500018" w:rsidRPr="009072DA" w:rsidRDefault="00500018" w:rsidP="00320866">
      <w:pPr>
        <w:pStyle w:val="ESch"/>
        <w:rPr>
          <w:lang w:val="bg-BG"/>
        </w:rPr>
      </w:pPr>
      <w:r w:rsidRPr="009072DA">
        <w:rPr>
          <w:lang w:val="bg-BG"/>
        </w:rPr>
        <w:t>2.</w:t>
      </w:r>
      <w:r w:rsidRPr="009072DA">
        <w:rPr>
          <w:lang w:val="bg-BG"/>
        </w:rPr>
        <w:tab/>
        <w:t>Все пак, при изпитването, включващо поворот срещу течението, посочено в член 5.10, могат да се използват кърмови котви.</w:t>
      </w:r>
    </w:p>
    <w:p w:rsidR="00500018" w:rsidRPr="009072DA" w:rsidRDefault="00500018" w:rsidP="00500018">
      <w:pPr>
        <w:rPr>
          <w:szCs w:val="20"/>
          <w:lang w:val="bg-BG"/>
        </w:rPr>
      </w:pPr>
    </w:p>
    <w:p w:rsidR="00500018" w:rsidRPr="009072DA" w:rsidRDefault="00500018" w:rsidP="00500018">
      <w:pPr>
        <w:pStyle w:val="ES-Titre3"/>
        <w:rPr>
          <w:lang w:val="bg-BG"/>
        </w:rPr>
      </w:pPr>
      <w:bookmarkStart w:id="53" w:name="_Toc491854027"/>
      <w:bookmarkStart w:id="54" w:name="_Toc535827468"/>
      <w:r w:rsidRPr="009072DA">
        <w:rPr>
          <w:lang w:val="bg-BG"/>
        </w:rPr>
        <w:t>Член 5.06</w:t>
      </w:r>
      <w:r w:rsidRPr="009072DA">
        <w:rPr>
          <w:lang w:val="bg-BG"/>
        </w:rPr>
        <w:br/>
      </w:r>
      <w:r w:rsidRPr="009072DA">
        <w:rPr>
          <w:i/>
          <w:lang w:val="bg-BG"/>
        </w:rPr>
        <w:t>Предписана скорост (напред)</w:t>
      </w:r>
      <w:bookmarkEnd w:id="53"/>
      <w:bookmarkEnd w:id="54"/>
    </w:p>
    <w:p w:rsidR="003D32C2" w:rsidRPr="009072DA" w:rsidRDefault="003D32C2" w:rsidP="00500018">
      <w:pPr>
        <w:rPr>
          <w:rFonts w:cs="Arial"/>
          <w:szCs w:val="20"/>
          <w:lang w:val="bg-BG"/>
        </w:rPr>
      </w:pPr>
    </w:p>
    <w:p w:rsidR="00500018" w:rsidRPr="009072DA" w:rsidRDefault="00500018" w:rsidP="00320866">
      <w:pPr>
        <w:pStyle w:val="ESch"/>
        <w:rPr>
          <w:lang w:val="bg-BG"/>
        </w:rPr>
      </w:pPr>
      <w:r w:rsidRPr="009072DA">
        <w:rPr>
          <w:lang w:val="bg-BG"/>
        </w:rPr>
        <w:t>1.</w:t>
      </w:r>
      <w:r w:rsidRPr="009072DA">
        <w:rPr>
          <w:lang w:val="bg-BG"/>
        </w:rPr>
        <w:tab/>
        <w:t>Плавателните съдове и съставите от плавателни съдове трябва да достигнат скорост спрямо водата от най-малко 13 km/h. Това изискване не е задължително, когато тласкачи работят самостоятелно.</w:t>
      </w:r>
    </w:p>
    <w:p w:rsidR="003D32C2" w:rsidRPr="009072DA" w:rsidRDefault="003D32C2" w:rsidP="00320866">
      <w:pPr>
        <w:pStyle w:val="ESch"/>
        <w:rPr>
          <w:lang w:val="bg-BG"/>
        </w:rPr>
      </w:pPr>
    </w:p>
    <w:p w:rsidR="00500018" w:rsidRPr="009072DA" w:rsidRDefault="00500018" w:rsidP="00320866">
      <w:pPr>
        <w:pStyle w:val="ESch"/>
        <w:rPr>
          <w:lang w:val="bg-BG"/>
        </w:rPr>
      </w:pPr>
      <w:r w:rsidRPr="009072DA">
        <w:rPr>
          <w:lang w:val="bg-BG"/>
        </w:rPr>
        <w:t>2.</w:t>
      </w:r>
      <w:r w:rsidRPr="009072DA">
        <w:rPr>
          <w:lang w:val="bg-BG"/>
        </w:rPr>
        <w:tab/>
        <w:t>Контролният орган може да разреши изключения за плавателните съдове и съставите от плавателни съдове, които плават само в устия и пристанища.</w:t>
      </w:r>
    </w:p>
    <w:p w:rsidR="003D32C2" w:rsidRPr="009072DA" w:rsidRDefault="003D32C2" w:rsidP="00320866">
      <w:pPr>
        <w:pStyle w:val="ESch"/>
        <w:rPr>
          <w:lang w:val="bg-BG"/>
        </w:rPr>
      </w:pPr>
    </w:p>
    <w:p w:rsidR="00500018" w:rsidRPr="009072DA" w:rsidRDefault="00500018" w:rsidP="00320866">
      <w:pPr>
        <w:pStyle w:val="ESch"/>
        <w:rPr>
          <w:lang w:val="bg-BG"/>
        </w:rPr>
      </w:pPr>
      <w:r w:rsidRPr="009072DA">
        <w:rPr>
          <w:lang w:val="bg-BG"/>
        </w:rPr>
        <w:t>3.</w:t>
      </w:r>
      <w:r w:rsidRPr="009072DA">
        <w:rPr>
          <w:lang w:val="bg-BG"/>
        </w:rPr>
        <w:tab/>
        <w:t>Контролният орган проверява способността на ненатоварения плавателен съд да развива скорост, по-голяма от 40 km/h спрямо водата. Ако това може да бъде потвърдено, в точка 52 от удостоверението на плавателния съд за плаване по вътрешни водни пътища се записва:</w:t>
      </w:r>
    </w:p>
    <w:p w:rsidR="003D32C2" w:rsidRPr="009072DA" w:rsidRDefault="003D32C2" w:rsidP="00320866">
      <w:pPr>
        <w:pStyle w:val="ESch"/>
        <w:rPr>
          <w:lang w:val="bg-BG"/>
        </w:rPr>
      </w:pPr>
    </w:p>
    <w:p w:rsidR="00500018" w:rsidRPr="009072DA" w:rsidRDefault="00500018" w:rsidP="003D32C2">
      <w:pPr>
        <w:jc w:val="center"/>
        <w:rPr>
          <w:rFonts w:cs="Arial"/>
          <w:szCs w:val="20"/>
          <w:lang w:val="bg-BG"/>
        </w:rPr>
      </w:pPr>
      <w:r w:rsidRPr="009072DA">
        <w:rPr>
          <w:lang w:val="bg-BG"/>
        </w:rPr>
        <w:t>„Плавателният съд е способен да развива скорост, по-голяма от 40 km/h спрямо водата.“</w:t>
      </w:r>
    </w:p>
    <w:p w:rsidR="00500018" w:rsidRPr="009072DA" w:rsidRDefault="00500018" w:rsidP="00500018">
      <w:pPr>
        <w:rPr>
          <w:rFonts w:cs="Arial"/>
          <w:szCs w:val="20"/>
          <w:lang w:val="bg-BG"/>
        </w:rPr>
      </w:pPr>
    </w:p>
    <w:p w:rsidR="003D32C2" w:rsidRPr="009072DA" w:rsidRDefault="003D32C2" w:rsidP="00500018">
      <w:pPr>
        <w:rPr>
          <w:rFonts w:cs="Arial"/>
          <w:szCs w:val="20"/>
          <w:lang w:val="bg-BG"/>
        </w:rPr>
      </w:pPr>
    </w:p>
    <w:p w:rsidR="00500018" w:rsidRPr="009072DA" w:rsidRDefault="00500018" w:rsidP="003D32C2">
      <w:pPr>
        <w:pStyle w:val="ES-Titre3"/>
        <w:rPr>
          <w:lang w:val="bg-BG"/>
        </w:rPr>
      </w:pPr>
      <w:bookmarkStart w:id="55" w:name="_Toc491854028"/>
      <w:bookmarkStart w:id="56" w:name="_Toc535827469"/>
      <w:r w:rsidRPr="009072DA">
        <w:rPr>
          <w:lang w:val="bg-BG"/>
        </w:rPr>
        <w:t>Член 5.07</w:t>
      </w:r>
      <w:r w:rsidRPr="009072DA">
        <w:rPr>
          <w:lang w:val="bg-BG"/>
        </w:rPr>
        <w:br/>
      </w:r>
      <w:r w:rsidRPr="009072DA">
        <w:rPr>
          <w:i/>
          <w:lang w:val="bg-BG"/>
        </w:rPr>
        <w:t>Способност за спиране</w:t>
      </w:r>
      <w:bookmarkEnd w:id="55"/>
      <w:bookmarkEnd w:id="56"/>
    </w:p>
    <w:p w:rsidR="003D32C2" w:rsidRPr="009072DA" w:rsidRDefault="003D32C2" w:rsidP="00500018">
      <w:pPr>
        <w:rPr>
          <w:rFonts w:cs="Arial"/>
          <w:szCs w:val="20"/>
          <w:lang w:val="bg-BG"/>
        </w:rPr>
      </w:pPr>
    </w:p>
    <w:p w:rsidR="00500018" w:rsidRPr="009072DA" w:rsidRDefault="00500018" w:rsidP="00320866">
      <w:pPr>
        <w:pStyle w:val="ESch"/>
        <w:rPr>
          <w:lang w:val="bg-BG"/>
        </w:rPr>
      </w:pPr>
      <w:r w:rsidRPr="009072DA">
        <w:rPr>
          <w:lang w:val="bg-BG"/>
        </w:rPr>
        <w:t>1.</w:t>
      </w:r>
      <w:r w:rsidRPr="009072DA">
        <w:rPr>
          <w:lang w:val="bg-BG"/>
        </w:rPr>
        <w:tab/>
        <w:t>Плавателните съдове и съставите от плавателни съдове трябва да могат да спират своевременно в посока по течението, като остават достатъчно маневрени.</w:t>
      </w:r>
    </w:p>
    <w:p w:rsidR="003D32C2" w:rsidRPr="009072DA" w:rsidRDefault="003D32C2" w:rsidP="00320866">
      <w:pPr>
        <w:pStyle w:val="ESch"/>
        <w:rPr>
          <w:lang w:val="bg-BG"/>
        </w:rPr>
      </w:pPr>
    </w:p>
    <w:p w:rsidR="00500018" w:rsidRPr="009072DA" w:rsidRDefault="00500018" w:rsidP="00320866">
      <w:pPr>
        <w:pStyle w:val="ESch"/>
        <w:rPr>
          <w:lang w:val="bg-BG"/>
        </w:rPr>
      </w:pPr>
      <w:r w:rsidRPr="009072DA">
        <w:rPr>
          <w:lang w:val="bg-BG"/>
        </w:rPr>
        <w:lastRenderedPageBreak/>
        <w:t>2.</w:t>
      </w:r>
      <w:r w:rsidRPr="009072DA">
        <w:rPr>
          <w:lang w:val="bg-BG"/>
        </w:rPr>
        <w:tab/>
        <w:t xml:space="preserve">При плавателните съдове и съставите от плавателни съдове с дължина </w:t>
      </w:r>
      <m:oMath>
        <m:r>
          <w:rPr>
            <w:rFonts w:ascii="Cambria Math" w:hAnsi="Cambria Math"/>
            <w:lang w:val="bg-BG"/>
          </w:rPr>
          <m:t>L</m:t>
        </m:r>
      </m:oMath>
      <w:r w:rsidRPr="009072DA">
        <w:rPr>
          <w:lang w:val="bg-BG"/>
        </w:rPr>
        <w:t xml:space="preserve"> не по-голяма от 86 m и широчина </w:t>
      </w:r>
      <m:oMath>
        <m:r>
          <w:rPr>
            <w:rFonts w:ascii="Cambria Math" w:hAnsi="Cambria Math"/>
            <w:lang w:val="bg-BG"/>
          </w:rPr>
          <m:t>B</m:t>
        </m:r>
      </m:oMath>
      <w:r w:rsidRPr="009072DA">
        <w:rPr>
          <w:lang w:val="bg-BG"/>
        </w:rPr>
        <w:t xml:space="preserve"> не по-голяма от 22,90 m, способността за спиране, упомената по-горе, може да се замени със способността за извършване на поворот.</w:t>
      </w:r>
    </w:p>
    <w:p w:rsidR="003D32C2" w:rsidRPr="009072DA" w:rsidRDefault="003D32C2" w:rsidP="00320866">
      <w:pPr>
        <w:pStyle w:val="ESch"/>
        <w:rPr>
          <w:lang w:val="bg-BG"/>
        </w:rPr>
      </w:pPr>
    </w:p>
    <w:p w:rsidR="00500018" w:rsidRPr="009072DA" w:rsidRDefault="00500018" w:rsidP="00320866">
      <w:pPr>
        <w:pStyle w:val="ESch"/>
        <w:rPr>
          <w:lang w:val="bg-BG"/>
        </w:rPr>
      </w:pPr>
      <w:r w:rsidRPr="009072DA">
        <w:rPr>
          <w:lang w:val="bg-BG"/>
        </w:rPr>
        <w:t>3.</w:t>
      </w:r>
      <w:r w:rsidRPr="009072DA">
        <w:rPr>
          <w:lang w:val="bg-BG"/>
        </w:rPr>
        <w:tab/>
        <w:t>Способността за спиране се доказва чрез маневри за спиране, изпълнени на изпитвателен полигон, както е посочено в член 5.03, а способността за извършване на поворот — чрез маневри по извършване на поворот съгласно член 5.10.</w:t>
      </w:r>
    </w:p>
    <w:p w:rsidR="00500018" w:rsidRPr="009072DA" w:rsidRDefault="00500018" w:rsidP="00500018">
      <w:pPr>
        <w:rPr>
          <w:szCs w:val="20"/>
          <w:lang w:val="bg-BG"/>
        </w:rPr>
      </w:pPr>
    </w:p>
    <w:p w:rsidR="003D32C2" w:rsidRPr="009072DA" w:rsidRDefault="003D32C2" w:rsidP="00500018">
      <w:pPr>
        <w:rPr>
          <w:szCs w:val="20"/>
          <w:lang w:val="bg-BG"/>
        </w:rPr>
      </w:pPr>
    </w:p>
    <w:p w:rsidR="00500018" w:rsidRPr="009072DA" w:rsidRDefault="00500018" w:rsidP="003D32C2">
      <w:pPr>
        <w:pStyle w:val="ES-Titre3"/>
        <w:rPr>
          <w:lang w:val="bg-BG"/>
        </w:rPr>
      </w:pPr>
      <w:bookmarkStart w:id="57" w:name="_Toc491854029"/>
      <w:bookmarkStart w:id="58" w:name="_Toc535827470"/>
      <w:r w:rsidRPr="009072DA">
        <w:rPr>
          <w:lang w:val="bg-BG"/>
        </w:rPr>
        <w:t>Член 5.08</w:t>
      </w:r>
      <w:r w:rsidRPr="009072DA">
        <w:rPr>
          <w:lang w:val="bg-BG"/>
        </w:rPr>
        <w:br/>
      </w:r>
      <w:r w:rsidRPr="009072DA">
        <w:rPr>
          <w:i/>
          <w:lang w:val="bg-BG"/>
        </w:rPr>
        <w:t>Способност за движение на заден ход</w:t>
      </w:r>
      <w:bookmarkEnd w:id="57"/>
      <w:bookmarkEnd w:id="58"/>
    </w:p>
    <w:p w:rsidR="003D32C2" w:rsidRPr="009072DA" w:rsidRDefault="003D32C2" w:rsidP="003D32C2">
      <w:pPr>
        <w:rPr>
          <w:szCs w:val="20"/>
          <w:lang w:val="bg-BG"/>
        </w:rPr>
      </w:pPr>
    </w:p>
    <w:p w:rsidR="00500018" w:rsidRPr="009072DA" w:rsidRDefault="00500018" w:rsidP="00320866">
      <w:pPr>
        <w:pStyle w:val="ESgauche"/>
        <w:rPr>
          <w:noProof w:val="0"/>
          <w:lang w:val="bg-BG"/>
        </w:rPr>
      </w:pPr>
      <w:r w:rsidRPr="009072DA">
        <w:rPr>
          <w:noProof w:val="0"/>
          <w:lang w:val="bg-BG"/>
        </w:rPr>
        <w:t>Когато маневрата за спиране, изисквана съгласно член 5.07, се изпълнява в тихи води, след нея се прави ходово изпитване при движение на заден ход.</w:t>
      </w:r>
    </w:p>
    <w:p w:rsidR="003D32C2" w:rsidRPr="009072DA" w:rsidRDefault="003D32C2" w:rsidP="00500018">
      <w:pPr>
        <w:rPr>
          <w:szCs w:val="20"/>
          <w:lang w:val="bg-BG"/>
        </w:rPr>
      </w:pPr>
      <w:r w:rsidRPr="009072DA">
        <w:rPr>
          <w:lang w:val="bg-BG"/>
        </w:rPr>
        <w:br w:type="page"/>
      </w:r>
    </w:p>
    <w:p w:rsidR="00500018" w:rsidRPr="009072DA" w:rsidRDefault="00500018" w:rsidP="003D32C2">
      <w:pPr>
        <w:pStyle w:val="ES-Titre3"/>
        <w:rPr>
          <w:i/>
          <w:lang w:val="bg-BG"/>
        </w:rPr>
      </w:pPr>
      <w:bookmarkStart w:id="59" w:name="_Toc491854030"/>
      <w:bookmarkStart w:id="60" w:name="_Toc535827471"/>
      <w:r w:rsidRPr="009072DA">
        <w:rPr>
          <w:lang w:val="bg-BG"/>
        </w:rPr>
        <w:lastRenderedPageBreak/>
        <w:t>Член 5.09</w:t>
      </w:r>
      <w:r w:rsidRPr="009072DA">
        <w:rPr>
          <w:lang w:val="bg-BG"/>
        </w:rPr>
        <w:br/>
      </w:r>
      <w:r w:rsidRPr="009072DA">
        <w:rPr>
          <w:i/>
          <w:lang w:val="bg-BG"/>
        </w:rPr>
        <w:t>Способност за отклоняване</w:t>
      </w:r>
      <w:bookmarkEnd w:id="59"/>
      <w:bookmarkEnd w:id="60"/>
    </w:p>
    <w:p w:rsidR="003D32C2" w:rsidRPr="009072DA" w:rsidRDefault="003D32C2" w:rsidP="003D32C2">
      <w:pPr>
        <w:pStyle w:val="ES-Titre3"/>
        <w:rPr>
          <w:lang w:val="bg-BG"/>
        </w:rPr>
      </w:pPr>
    </w:p>
    <w:p w:rsidR="00500018" w:rsidRPr="009072DA" w:rsidRDefault="00500018" w:rsidP="00320866">
      <w:pPr>
        <w:pStyle w:val="ESgauche"/>
        <w:rPr>
          <w:noProof w:val="0"/>
          <w:lang w:val="bg-BG"/>
        </w:rPr>
      </w:pPr>
      <w:r w:rsidRPr="009072DA">
        <w:rPr>
          <w:noProof w:val="0"/>
          <w:lang w:val="bg-BG"/>
        </w:rPr>
        <w:t>Плавателните съдове и съставите от плавателни съдове трябва да могат своевременно да предприемат действия за отклоняване. Способността за отклоняване се доказва чрез маневри за отклоняване, извършени на изпитвателен полигон, както е посочено в член 5.03.</w:t>
      </w:r>
    </w:p>
    <w:p w:rsidR="00500018" w:rsidRPr="009072DA" w:rsidRDefault="00500018" w:rsidP="00500018">
      <w:pPr>
        <w:rPr>
          <w:szCs w:val="20"/>
          <w:lang w:val="bg-BG"/>
        </w:rPr>
      </w:pPr>
    </w:p>
    <w:p w:rsidR="003D32C2" w:rsidRPr="009072DA" w:rsidRDefault="003D32C2" w:rsidP="00500018">
      <w:pPr>
        <w:rPr>
          <w:szCs w:val="20"/>
          <w:lang w:val="bg-BG"/>
        </w:rPr>
      </w:pPr>
    </w:p>
    <w:p w:rsidR="00500018" w:rsidRPr="009072DA" w:rsidRDefault="00500018" w:rsidP="003D32C2">
      <w:pPr>
        <w:pStyle w:val="ES-Titre3"/>
        <w:rPr>
          <w:lang w:val="bg-BG"/>
        </w:rPr>
      </w:pPr>
      <w:bookmarkStart w:id="61" w:name="_Toc491854031"/>
      <w:bookmarkStart w:id="62" w:name="_Toc535827472"/>
      <w:r w:rsidRPr="009072DA">
        <w:rPr>
          <w:lang w:val="bg-BG"/>
        </w:rPr>
        <w:t>Член 5.10</w:t>
      </w:r>
      <w:r w:rsidRPr="009072DA">
        <w:rPr>
          <w:lang w:val="bg-BG"/>
        </w:rPr>
        <w:br/>
      </w:r>
      <w:r w:rsidRPr="009072DA">
        <w:rPr>
          <w:i/>
          <w:lang w:val="bg-BG"/>
        </w:rPr>
        <w:t>Способност за извършване на поворот</w:t>
      </w:r>
      <w:bookmarkEnd w:id="61"/>
      <w:bookmarkEnd w:id="62"/>
    </w:p>
    <w:p w:rsidR="003D32C2" w:rsidRPr="009072DA" w:rsidRDefault="003D32C2" w:rsidP="003D32C2">
      <w:pPr>
        <w:rPr>
          <w:szCs w:val="20"/>
          <w:lang w:val="bg-BG"/>
        </w:rPr>
      </w:pPr>
    </w:p>
    <w:p w:rsidR="00500018" w:rsidRPr="009072DA" w:rsidRDefault="00500018" w:rsidP="003D32C2">
      <w:pPr>
        <w:rPr>
          <w:szCs w:val="20"/>
          <w:lang w:val="bg-BG"/>
        </w:rPr>
      </w:pPr>
      <w:r w:rsidRPr="009072DA">
        <w:rPr>
          <w:lang w:val="bg-BG"/>
        </w:rPr>
        <w:t xml:space="preserve">Плавателните съдове и съставите от плавателни съдове с дължина </w:t>
      </w:r>
      <m:oMath>
        <m:r>
          <w:rPr>
            <w:rFonts w:ascii="Cambria Math" w:hAnsi="Cambria Math"/>
            <w:szCs w:val="20"/>
            <w:lang w:val="bg-BG"/>
          </w:rPr>
          <m:t>L</m:t>
        </m:r>
      </m:oMath>
      <w:r w:rsidRPr="009072DA">
        <w:rPr>
          <w:lang w:val="bg-BG"/>
        </w:rPr>
        <w:t xml:space="preserve"> не по-голяма от 86 m или с ширина </w:t>
      </w:r>
      <m:oMath>
        <m:r>
          <w:rPr>
            <w:rFonts w:ascii="Cambria Math" w:hAnsi="Cambria Math"/>
            <w:szCs w:val="20"/>
            <w:lang w:val="bg-BG"/>
          </w:rPr>
          <m:t>B</m:t>
        </m:r>
      </m:oMath>
      <w:r w:rsidRPr="009072DA">
        <w:rPr>
          <w:lang w:val="bg-BG"/>
        </w:rPr>
        <w:t xml:space="preserve"> не по-голяма от 22,90 m трябва да могат да извършват поворот своевременно.</w:t>
      </w:r>
    </w:p>
    <w:p w:rsidR="003D32C2" w:rsidRPr="009072DA" w:rsidRDefault="003D32C2" w:rsidP="00500018">
      <w:pPr>
        <w:rPr>
          <w:szCs w:val="20"/>
          <w:lang w:val="bg-BG"/>
        </w:rPr>
      </w:pPr>
    </w:p>
    <w:p w:rsidR="00500018" w:rsidRPr="009072DA" w:rsidRDefault="00500018" w:rsidP="00500018">
      <w:pPr>
        <w:rPr>
          <w:szCs w:val="20"/>
          <w:lang w:val="bg-BG"/>
        </w:rPr>
      </w:pPr>
      <w:r w:rsidRPr="009072DA">
        <w:rPr>
          <w:lang w:val="bg-BG"/>
        </w:rPr>
        <w:t>Способността за извършване на поворот може да бъде заместена от способността за спиране, упомената в член 5.07.</w:t>
      </w:r>
    </w:p>
    <w:p w:rsidR="003D32C2" w:rsidRPr="009072DA" w:rsidRDefault="003D32C2" w:rsidP="00500018">
      <w:pPr>
        <w:rPr>
          <w:szCs w:val="20"/>
          <w:lang w:val="bg-BG"/>
        </w:rPr>
      </w:pPr>
    </w:p>
    <w:p w:rsidR="00500018" w:rsidRPr="009072DA" w:rsidRDefault="00500018" w:rsidP="00500018">
      <w:pPr>
        <w:rPr>
          <w:szCs w:val="20"/>
          <w:lang w:val="bg-BG"/>
        </w:rPr>
      </w:pPr>
      <w:r w:rsidRPr="009072DA">
        <w:rPr>
          <w:lang w:val="bg-BG"/>
        </w:rPr>
        <w:t>Способността за извършване на поворот се доказва с маневри по извършване на поворот срещу течението.</w:t>
      </w:r>
    </w:p>
    <w:p w:rsidR="00A06CEC" w:rsidRPr="009072DA" w:rsidRDefault="00A06CEC" w:rsidP="003D32C2">
      <w:pPr>
        <w:spacing w:line="240" w:lineRule="atLeast"/>
        <w:rPr>
          <w:lang w:val="bg-BG"/>
        </w:rPr>
      </w:pPr>
    </w:p>
    <w:p w:rsidR="00745DD2" w:rsidRPr="009072DA" w:rsidRDefault="00745DD2" w:rsidP="00E1027C">
      <w:pPr>
        <w:spacing w:line="240" w:lineRule="atLeast"/>
        <w:rPr>
          <w:lang w:val="bg-BG"/>
        </w:rPr>
      </w:pPr>
    </w:p>
    <w:p w:rsidR="008D7EA6" w:rsidRPr="009072DA" w:rsidRDefault="008D7EA6" w:rsidP="003D32C2">
      <w:pPr>
        <w:spacing w:line="240" w:lineRule="atLeast"/>
        <w:rPr>
          <w:lang w:val="bg-BG"/>
        </w:rPr>
      </w:pPr>
    </w:p>
    <w:p w:rsidR="006D6907" w:rsidRPr="009072DA" w:rsidRDefault="006D6907" w:rsidP="003D32C2">
      <w:pPr>
        <w:spacing w:line="240" w:lineRule="atLeast"/>
        <w:rPr>
          <w:lang w:val="bg-BG"/>
        </w:rPr>
      </w:pPr>
      <w:r w:rsidRPr="009072DA">
        <w:rPr>
          <w:lang w:val="bg-BG"/>
        </w:rPr>
        <w:br w:type="page"/>
      </w:r>
    </w:p>
    <w:p w:rsidR="006D6907" w:rsidRPr="009072DA" w:rsidRDefault="006D6907" w:rsidP="003D32C2">
      <w:pPr>
        <w:spacing w:line="240" w:lineRule="atLeast"/>
        <w:rPr>
          <w:lang w:val="bg-BG"/>
        </w:rPr>
      </w:pPr>
    </w:p>
    <w:p w:rsidR="0063454C" w:rsidRPr="009072DA" w:rsidRDefault="0063454C" w:rsidP="00745DD2">
      <w:pPr>
        <w:spacing w:line="240" w:lineRule="atLeast"/>
        <w:rPr>
          <w:lang w:val="bg-BG"/>
        </w:rPr>
        <w:sectPr w:rsidR="0063454C" w:rsidRPr="009072DA" w:rsidSect="00AC5CC1">
          <w:headerReference w:type="first" r:id="rId26"/>
          <w:footnotePr>
            <w:numRestart w:val="eachPage"/>
          </w:footnotePr>
          <w:pgSz w:w="11906" w:h="16838" w:code="9"/>
          <w:pgMar w:top="1418" w:right="1418" w:bottom="1418" w:left="1418" w:header="709" w:footer="709" w:gutter="0"/>
          <w:cols w:space="709"/>
          <w:titlePg/>
          <w:docGrid w:linePitch="272"/>
        </w:sectPr>
      </w:pPr>
    </w:p>
    <w:p w:rsidR="003D32C2" w:rsidRPr="009072DA" w:rsidRDefault="003D32C2" w:rsidP="003D32C2">
      <w:pPr>
        <w:pStyle w:val="ES-Titre2"/>
        <w:spacing w:line="240" w:lineRule="auto"/>
      </w:pPr>
      <w:bookmarkStart w:id="63" w:name="_Toc491854032"/>
      <w:bookmarkStart w:id="64" w:name="_Toc535827473"/>
      <w:r w:rsidRPr="009072DA">
        <w:lastRenderedPageBreak/>
        <w:t>Глава 6</w:t>
      </w:r>
      <w:r w:rsidRPr="009072DA">
        <w:br/>
        <w:t>Рулева система</w:t>
      </w:r>
      <w:bookmarkEnd w:id="63"/>
      <w:bookmarkEnd w:id="64"/>
    </w:p>
    <w:p w:rsidR="00745DD2" w:rsidRPr="009072DA" w:rsidRDefault="00745DD2" w:rsidP="00E1027C">
      <w:pPr>
        <w:pStyle w:val="ES-Titre3"/>
        <w:spacing w:line="240" w:lineRule="atLeast"/>
        <w:rPr>
          <w:lang w:val="bg-BG"/>
        </w:rPr>
      </w:pPr>
    </w:p>
    <w:p w:rsidR="003D32C2" w:rsidRPr="009072DA" w:rsidRDefault="003D32C2" w:rsidP="003D32C2">
      <w:pPr>
        <w:pStyle w:val="ES-Titre3"/>
        <w:rPr>
          <w:lang w:val="bg-BG"/>
        </w:rPr>
      </w:pPr>
      <w:bookmarkStart w:id="65" w:name="_Toc491854033"/>
      <w:bookmarkStart w:id="66" w:name="_Toc535827474"/>
      <w:r w:rsidRPr="009072DA">
        <w:rPr>
          <w:lang w:val="bg-BG"/>
        </w:rPr>
        <w:t>Член 6.01</w:t>
      </w:r>
      <w:r w:rsidRPr="009072DA">
        <w:rPr>
          <w:lang w:val="bg-BG"/>
        </w:rPr>
        <w:br/>
      </w:r>
      <w:r w:rsidRPr="009072DA">
        <w:rPr>
          <w:i/>
          <w:lang w:val="bg-BG"/>
        </w:rPr>
        <w:t>Общи изисквания</w:t>
      </w:r>
      <w:bookmarkEnd w:id="65"/>
      <w:bookmarkEnd w:id="66"/>
    </w:p>
    <w:p w:rsidR="003D32C2" w:rsidRPr="009072DA" w:rsidRDefault="003D32C2" w:rsidP="003D32C2">
      <w:pPr>
        <w:rPr>
          <w:lang w:val="bg-BG"/>
        </w:rPr>
      </w:pPr>
    </w:p>
    <w:p w:rsidR="003D32C2" w:rsidRPr="009072DA" w:rsidRDefault="003D32C2" w:rsidP="00320866">
      <w:pPr>
        <w:pStyle w:val="ESch"/>
        <w:rPr>
          <w:lang w:val="bg-BG"/>
        </w:rPr>
      </w:pPr>
      <w:r w:rsidRPr="009072DA">
        <w:rPr>
          <w:lang w:val="bg-BG"/>
        </w:rPr>
        <w:t>1.</w:t>
      </w:r>
      <w:r w:rsidRPr="009072DA">
        <w:rPr>
          <w:lang w:val="bg-BG"/>
        </w:rPr>
        <w:tab/>
        <w:t>Плавателните съдове трябва да бъдат оборудвани с надеждна рулева система за осигуряване като минимум на маневреността, изисквана съгласно глава 5.</w:t>
      </w:r>
    </w:p>
    <w:p w:rsidR="003D32C2" w:rsidRPr="009072DA" w:rsidRDefault="003D32C2" w:rsidP="00320866">
      <w:pPr>
        <w:pStyle w:val="ESch"/>
        <w:rPr>
          <w:lang w:val="bg-BG"/>
        </w:rPr>
      </w:pPr>
    </w:p>
    <w:p w:rsidR="003D32C2" w:rsidRPr="009072DA" w:rsidRDefault="003D32C2" w:rsidP="00320866">
      <w:pPr>
        <w:pStyle w:val="ESch"/>
        <w:rPr>
          <w:lang w:val="bg-BG"/>
        </w:rPr>
      </w:pPr>
      <w:r w:rsidRPr="009072DA">
        <w:rPr>
          <w:lang w:val="bg-BG"/>
        </w:rPr>
        <w:t>2.</w:t>
      </w:r>
      <w:r w:rsidRPr="009072DA">
        <w:rPr>
          <w:lang w:val="bg-BG"/>
        </w:rPr>
        <w:tab/>
        <w:t>Рулевите системи с усилвател трябва да бъдат проектирани по такъв начин, че кормилото да не може да променя положението си без команда.</w:t>
      </w:r>
    </w:p>
    <w:p w:rsidR="003D32C2" w:rsidRPr="009072DA" w:rsidRDefault="003D32C2" w:rsidP="00320866">
      <w:pPr>
        <w:pStyle w:val="ESch"/>
        <w:rPr>
          <w:lang w:val="bg-BG"/>
        </w:rPr>
      </w:pPr>
    </w:p>
    <w:p w:rsidR="003D32C2" w:rsidRPr="009072DA" w:rsidRDefault="003D32C2" w:rsidP="00320866">
      <w:pPr>
        <w:pStyle w:val="ESch"/>
        <w:rPr>
          <w:lang w:val="bg-BG"/>
        </w:rPr>
      </w:pPr>
      <w:r w:rsidRPr="009072DA">
        <w:rPr>
          <w:lang w:val="bg-BG"/>
        </w:rPr>
        <w:t>3.</w:t>
      </w:r>
      <w:r w:rsidRPr="009072DA">
        <w:rPr>
          <w:lang w:val="bg-BG"/>
        </w:rPr>
        <w:tab/>
        <w:t>Рулевата система като цяло трябва да е проектирана за постоянен крен до 15° и температура на околната среда от — 20 °С до + 50 °С.</w:t>
      </w:r>
    </w:p>
    <w:p w:rsidR="003D32C2" w:rsidRPr="009072DA" w:rsidRDefault="003D32C2" w:rsidP="00320866">
      <w:pPr>
        <w:pStyle w:val="ESch"/>
        <w:rPr>
          <w:lang w:val="bg-BG"/>
        </w:rPr>
      </w:pPr>
    </w:p>
    <w:p w:rsidR="003D32C2" w:rsidRPr="009072DA" w:rsidRDefault="003D32C2" w:rsidP="00320866">
      <w:pPr>
        <w:pStyle w:val="ESch"/>
        <w:rPr>
          <w:lang w:val="bg-BG"/>
        </w:rPr>
      </w:pPr>
      <w:r w:rsidRPr="009072DA">
        <w:rPr>
          <w:lang w:val="bg-BG"/>
        </w:rPr>
        <w:t>4.</w:t>
      </w:r>
      <w:r w:rsidRPr="009072DA">
        <w:rPr>
          <w:lang w:val="bg-BG"/>
        </w:rPr>
        <w:tab/>
        <w:t>Съставните части на рулевата система трябва да са достатъчно здрави, за да могат винаги да издържат на натоварванията, на които могат да бъдат подложени при нормална експлоатация. Никакви външни сили, приложени към руля, не трябва да нарушават работоспособността на рулевия апарат и неговото задвижващо звено.</w:t>
      </w:r>
    </w:p>
    <w:p w:rsidR="003D32C2" w:rsidRPr="009072DA" w:rsidRDefault="003D32C2" w:rsidP="00320866">
      <w:pPr>
        <w:pStyle w:val="ESch"/>
        <w:rPr>
          <w:lang w:val="bg-BG"/>
        </w:rPr>
      </w:pPr>
    </w:p>
    <w:p w:rsidR="003D32C2" w:rsidRPr="009072DA" w:rsidRDefault="003D32C2" w:rsidP="00320866">
      <w:pPr>
        <w:pStyle w:val="ESch"/>
        <w:rPr>
          <w:lang w:val="bg-BG"/>
        </w:rPr>
      </w:pPr>
      <w:r w:rsidRPr="009072DA">
        <w:rPr>
          <w:lang w:val="bg-BG"/>
        </w:rPr>
        <w:t>5.</w:t>
      </w:r>
      <w:r w:rsidRPr="009072DA">
        <w:rPr>
          <w:lang w:val="bg-BG"/>
        </w:rPr>
        <w:tab/>
        <w:t>Рулевата система включва задвижващо звено с усилвател, ако това се изисква с оглед на силата, необходима за задействане на руля.</w:t>
      </w:r>
    </w:p>
    <w:p w:rsidR="003D32C2" w:rsidRPr="009072DA" w:rsidRDefault="003D32C2" w:rsidP="00320866">
      <w:pPr>
        <w:pStyle w:val="ESch"/>
        <w:rPr>
          <w:lang w:val="bg-BG"/>
        </w:rPr>
      </w:pPr>
    </w:p>
    <w:p w:rsidR="003D32C2" w:rsidRPr="009072DA" w:rsidRDefault="003D32C2" w:rsidP="00320866">
      <w:pPr>
        <w:pStyle w:val="ESch"/>
        <w:rPr>
          <w:lang w:val="bg-BG"/>
        </w:rPr>
      </w:pPr>
      <w:r w:rsidRPr="009072DA">
        <w:rPr>
          <w:lang w:val="bg-BG"/>
        </w:rPr>
        <w:t>6.</w:t>
      </w:r>
      <w:r w:rsidRPr="009072DA">
        <w:rPr>
          <w:lang w:val="bg-BG"/>
        </w:rPr>
        <w:tab/>
        <w:t>Рулевият апарат със задвижващо звено с усилвател се предпазва от претоварвания посредством система, която ограничава въртящия момент, създаван от задвижващото звено.</w:t>
      </w:r>
    </w:p>
    <w:p w:rsidR="003D32C2" w:rsidRPr="009072DA" w:rsidRDefault="003D32C2" w:rsidP="00320866">
      <w:pPr>
        <w:pStyle w:val="ESch"/>
        <w:rPr>
          <w:lang w:val="bg-BG"/>
        </w:rPr>
      </w:pPr>
    </w:p>
    <w:p w:rsidR="003D32C2" w:rsidRPr="009072DA" w:rsidRDefault="003D32C2" w:rsidP="00320866">
      <w:pPr>
        <w:pStyle w:val="ESch"/>
        <w:rPr>
          <w:lang w:val="bg-BG"/>
        </w:rPr>
      </w:pPr>
      <w:r w:rsidRPr="009072DA">
        <w:rPr>
          <w:lang w:val="bg-BG"/>
        </w:rPr>
        <w:t>7.</w:t>
      </w:r>
      <w:r w:rsidRPr="009072DA">
        <w:rPr>
          <w:lang w:val="bg-BG"/>
        </w:rPr>
        <w:tab/>
        <w:t>Отворите на руля са проектирани така, че да предотвратяват изпускането на замърсяващи водата масла.</w:t>
      </w:r>
    </w:p>
    <w:p w:rsidR="003D32C2" w:rsidRPr="009072DA" w:rsidRDefault="003D32C2" w:rsidP="00320866">
      <w:pPr>
        <w:pStyle w:val="ESch"/>
        <w:rPr>
          <w:lang w:val="bg-BG"/>
        </w:rPr>
      </w:pPr>
    </w:p>
    <w:p w:rsidR="003D32C2" w:rsidRPr="009072DA" w:rsidRDefault="003D32C2" w:rsidP="003D32C2">
      <w:pPr>
        <w:rPr>
          <w:lang w:val="bg-BG"/>
        </w:rPr>
      </w:pPr>
    </w:p>
    <w:p w:rsidR="003D32C2" w:rsidRPr="009072DA" w:rsidRDefault="003D32C2" w:rsidP="003D32C2">
      <w:pPr>
        <w:pStyle w:val="ES-Titre3"/>
        <w:rPr>
          <w:lang w:val="bg-BG"/>
        </w:rPr>
      </w:pPr>
      <w:bookmarkStart w:id="67" w:name="_Toc491854034"/>
      <w:bookmarkStart w:id="68" w:name="_Toc535827475"/>
      <w:r w:rsidRPr="009072DA">
        <w:rPr>
          <w:lang w:val="bg-BG"/>
        </w:rPr>
        <w:t>Член 6.02</w:t>
      </w:r>
      <w:r w:rsidRPr="009072DA">
        <w:rPr>
          <w:i/>
          <w:lang w:val="bg-BG"/>
        </w:rPr>
        <w:br/>
        <w:t>Задвижващо звено на рулевия апарат</w:t>
      </w:r>
      <w:bookmarkEnd w:id="67"/>
      <w:bookmarkEnd w:id="68"/>
    </w:p>
    <w:p w:rsidR="003D32C2" w:rsidRPr="009072DA" w:rsidRDefault="003D32C2" w:rsidP="003D32C2">
      <w:pPr>
        <w:rPr>
          <w:lang w:val="bg-BG"/>
        </w:rPr>
      </w:pPr>
    </w:p>
    <w:p w:rsidR="003D32C2" w:rsidRPr="009072DA" w:rsidRDefault="003D32C2" w:rsidP="00320866">
      <w:pPr>
        <w:pStyle w:val="ESch"/>
        <w:rPr>
          <w:lang w:val="bg-BG"/>
        </w:rPr>
      </w:pPr>
      <w:r w:rsidRPr="009072DA">
        <w:rPr>
          <w:lang w:val="bg-BG"/>
        </w:rPr>
        <w:t>1.</w:t>
      </w:r>
      <w:r w:rsidRPr="009072DA">
        <w:rPr>
          <w:lang w:val="bg-BG"/>
        </w:rPr>
        <w:tab/>
        <w:t xml:space="preserve">Ако рулевият апарат е със задвижващо звено с усилвател, трябва да има второ независимо задвижващо звено или допълнително ръчно задвижване. В случай на </w:t>
      </w:r>
      <w:r w:rsidRPr="009072DA">
        <w:rPr>
          <w:lang w:val="bg-BG"/>
        </w:rPr>
        <w:lastRenderedPageBreak/>
        <w:t>повреда или авария на задвижващото звено на системата за рулево управление, второто независимо задвижващо звено или ръчното задвижване трябва да бъде пуснато в действие в рамките на 5 секунди.</w:t>
      </w:r>
    </w:p>
    <w:p w:rsidR="003D32C2" w:rsidRPr="009072DA" w:rsidRDefault="003D32C2" w:rsidP="00320866">
      <w:pPr>
        <w:pStyle w:val="ESch"/>
        <w:rPr>
          <w:lang w:val="bg-BG"/>
        </w:rPr>
      </w:pPr>
    </w:p>
    <w:p w:rsidR="003D32C2" w:rsidRPr="009072DA" w:rsidRDefault="003D32C2" w:rsidP="00320866">
      <w:pPr>
        <w:pStyle w:val="ESch"/>
        <w:rPr>
          <w:lang w:val="bg-BG"/>
        </w:rPr>
      </w:pPr>
      <w:r w:rsidRPr="009072DA">
        <w:rPr>
          <w:lang w:val="bg-BG"/>
        </w:rPr>
        <w:t>2.</w:t>
      </w:r>
      <w:r w:rsidRPr="009072DA">
        <w:rPr>
          <w:lang w:val="bg-BG"/>
        </w:rPr>
        <w:tab/>
        <w:t>Ако второто задвижващо звено или ръчното задвижване не заработят автоматично, трябва да има възможност това да се направи незабавно с едно единствено едйствие на рулевия, което да е едновременно просто и бързо.</w:t>
      </w:r>
    </w:p>
    <w:p w:rsidR="003D32C2" w:rsidRPr="009072DA" w:rsidRDefault="003D32C2" w:rsidP="00320866">
      <w:pPr>
        <w:pStyle w:val="ESch"/>
        <w:rPr>
          <w:lang w:val="bg-BG"/>
        </w:rPr>
      </w:pPr>
    </w:p>
    <w:p w:rsidR="003D32C2" w:rsidRPr="009072DA" w:rsidRDefault="003D32C2" w:rsidP="00320866">
      <w:pPr>
        <w:pStyle w:val="ESch"/>
        <w:rPr>
          <w:lang w:val="bg-BG"/>
        </w:rPr>
      </w:pPr>
      <w:r w:rsidRPr="009072DA">
        <w:rPr>
          <w:lang w:val="bg-BG"/>
        </w:rPr>
        <w:t>3.</w:t>
      </w:r>
      <w:r w:rsidRPr="009072DA">
        <w:rPr>
          <w:lang w:val="bg-BG"/>
        </w:rPr>
        <w:tab/>
        <w:t>Второто задвижващо звено или ръчното задвижване също осигуряват маневреността, изисквана съгласно глава 5.</w:t>
      </w:r>
    </w:p>
    <w:p w:rsidR="003D32C2" w:rsidRPr="009072DA" w:rsidRDefault="003D32C2" w:rsidP="003D32C2">
      <w:pPr>
        <w:rPr>
          <w:lang w:val="bg-BG"/>
        </w:rPr>
      </w:pPr>
      <w:r w:rsidRPr="009072DA">
        <w:rPr>
          <w:lang w:val="bg-BG"/>
        </w:rPr>
        <w:br w:type="page"/>
      </w:r>
    </w:p>
    <w:p w:rsidR="003D32C2" w:rsidRPr="009072DA" w:rsidRDefault="003D32C2" w:rsidP="003D32C2">
      <w:pPr>
        <w:pStyle w:val="ES-Titre3"/>
        <w:rPr>
          <w:lang w:val="bg-BG"/>
        </w:rPr>
      </w:pPr>
      <w:bookmarkStart w:id="69" w:name="_Toc491854035"/>
      <w:bookmarkStart w:id="70" w:name="_Toc535827476"/>
      <w:r w:rsidRPr="009072DA">
        <w:rPr>
          <w:lang w:val="bg-BG"/>
        </w:rPr>
        <w:lastRenderedPageBreak/>
        <w:t>Член 6.03</w:t>
      </w:r>
      <w:r w:rsidRPr="009072DA">
        <w:rPr>
          <w:lang w:val="bg-BG"/>
        </w:rPr>
        <w:br/>
      </w:r>
      <w:r w:rsidRPr="009072DA">
        <w:rPr>
          <w:i/>
          <w:lang w:val="bg-BG"/>
        </w:rPr>
        <w:t>Хидравлично задвижващо звено на рулевия апарат</w:t>
      </w:r>
      <w:bookmarkEnd w:id="69"/>
      <w:bookmarkEnd w:id="70"/>
    </w:p>
    <w:p w:rsidR="003D32C2" w:rsidRPr="009072DA" w:rsidRDefault="003D32C2" w:rsidP="003D32C2">
      <w:pPr>
        <w:rPr>
          <w:lang w:val="bg-BG"/>
        </w:rPr>
      </w:pPr>
    </w:p>
    <w:p w:rsidR="003D32C2" w:rsidRPr="009072DA" w:rsidRDefault="003D32C2" w:rsidP="00320866">
      <w:pPr>
        <w:pStyle w:val="ESch"/>
        <w:rPr>
          <w:lang w:val="bg-BG"/>
        </w:rPr>
      </w:pPr>
      <w:r w:rsidRPr="009072DA">
        <w:rPr>
          <w:lang w:val="bg-BG"/>
        </w:rPr>
        <w:t>1.</w:t>
      </w:r>
      <w:r w:rsidRPr="009072DA">
        <w:rPr>
          <w:lang w:val="bg-BG"/>
        </w:rPr>
        <w:tab/>
        <w:t>Към хидравличното задвижващо звено на рулевия апарат не могат да бъдат свързвани други консуматори на мощност.</w:t>
      </w:r>
    </w:p>
    <w:p w:rsidR="003D32C2" w:rsidRPr="009072DA" w:rsidRDefault="003D32C2" w:rsidP="00320866">
      <w:pPr>
        <w:pStyle w:val="ESch"/>
        <w:rPr>
          <w:lang w:val="bg-BG"/>
        </w:rPr>
      </w:pPr>
    </w:p>
    <w:p w:rsidR="003D32C2" w:rsidRPr="009072DA" w:rsidRDefault="003D32C2" w:rsidP="00320866">
      <w:pPr>
        <w:pStyle w:val="ESch"/>
        <w:rPr>
          <w:lang w:val="bg-BG"/>
        </w:rPr>
      </w:pPr>
      <w:r w:rsidRPr="009072DA">
        <w:rPr>
          <w:lang w:val="bg-BG"/>
        </w:rPr>
        <w:t>2.</w:t>
      </w:r>
      <w:r w:rsidRPr="009072DA">
        <w:rPr>
          <w:lang w:val="bg-BG"/>
        </w:rPr>
        <w:tab/>
        <w:t>Хидравличните резервоари трябва да бъдат снабдени с предупредителна система, която следи за спадане на нивото на маслото под минималното ниво, необходимо за безопасна работа.</w:t>
      </w:r>
    </w:p>
    <w:p w:rsidR="003D32C2" w:rsidRPr="009072DA" w:rsidRDefault="003D32C2" w:rsidP="00320866">
      <w:pPr>
        <w:pStyle w:val="ESch"/>
        <w:rPr>
          <w:lang w:val="bg-BG"/>
        </w:rPr>
      </w:pPr>
    </w:p>
    <w:p w:rsidR="003D32C2" w:rsidRPr="009072DA" w:rsidRDefault="003D32C2" w:rsidP="00320866">
      <w:pPr>
        <w:pStyle w:val="ESch"/>
        <w:rPr>
          <w:lang w:val="bg-BG"/>
        </w:rPr>
      </w:pPr>
      <w:r w:rsidRPr="009072DA">
        <w:rPr>
          <w:lang w:val="bg-BG"/>
        </w:rPr>
        <w:t>3.</w:t>
      </w:r>
      <w:r w:rsidRPr="009072DA">
        <w:rPr>
          <w:lang w:val="bg-BG"/>
        </w:rPr>
        <w:tab/>
        <w:t>Размерите, планът и подредбата на тръбопроводите следва доколкото е възможно да изключват механични повреди или повреди от пожар.</w:t>
      </w:r>
    </w:p>
    <w:p w:rsidR="003D32C2" w:rsidRPr="009072DA" w:rsidRDefault="003D32C2" w:rsidP="00320866">
      <w:pPr>
        <w:pStyle w:val="ESch"/>
        <w:rPr>
          <w:lang w:val="bg-BG"/>
        </w:rPr>
      </w:pPr>
    </w:p>
    <w:p w:rsidR="003D32C2" w:rsidRPr="009072DA" w:rsidRDefault="003D32C2" w:rsidP="00320866">
      <w:pPr>
        <w:pStyle w:val="ESch"/>
        <w:rPr>
          <w:lang w:val="bg-BG"/>
        </w:rPr>
      </w:pPr>
      <w:r w:rsidRPr="009072DA">
        <w:rPr>
          <w:lang w:val="bg-BG"/>
        </w:rPr>
        <w:t>4.</w:t>
      </w:r>
      <w:r w:rsidRPr="009072DA">
        <w:rPr>
          <w:lang w:val="bg-BG"/>
        </w:rPr>
        <w:tab/>
        <w:t>Хидравличните маркучи:</w:t>
      </w:r>
    </w:p>
    <w:p w:rsidR="003D32C2" w:rsidRPr="009072DA" w:rsidRDefault="005C7859" w:rsidP="00553616">
      <w:pPr>
        <w:pStyle w:val="ESlet"/>
        <w:rPr>
          <w:lang w:val="bg-BG"/>
        </w:rPr>
      </w:pPr>
      <w:r w:rsidRPr="009072DA">
        <w:rPr>
          <w:lang w:val="bg-BG"/>
        </w:rPr>
        <w:t>a)</w:t>
      </w:r>
      <w:r w:rsidRPr="009072DA">
        <w:rPr>
          <w:lang w:val="bg-BG"/>
        </w:rPr>
        <w:tab/>
        <w:t>трябва да се разрешават, само ако поглъщането на вибрациите или свободата на движение на компонентите прави използването им неизбежно;</w:t>
      </w:r>
    </w:p>
    <w:p w:rsidR="003D32C2" w:rsidRPr="009072DA" w:rsidRDefault="005C7859" w:rsidP="00553616">
      <w:pPr>
        <w:pStyle w:val="ESlet"/>
        <w:rPr>
          <w:lang w:val="bg-BG"/>
        </w:rPr>
      </w:pPr>
      <w:r w:rsidRPr="009072DA">
        <w:rPr>
          <w:lang w:val="bg-BG"/>
        </w:rPr>
        <w:t>б)</w:t>
      </w:r>
      <w:r w:rsidRPr="009072DA">
        <w:rPr>
          <w:lang w:val="bg-BG"/>
        </w:rPr>
        <w:tab/>
        <w:t>трябва да бъдат предназначени поне за максималното работно налягане;</w:t>
      </w:r>
    </w:p>
    <w:p w:rsidR="003D32C2" w:rsidRPr="009072DA" w:rsidRDefault="005C7859" w:rsidP="00553616">
      <w:pPr>
        <w:pStyle w:val="ESlet"/>
        <w:rPr>
          <w:lang w:val="bg-BG"/>
        </w:rPr>
      </w:pPr>
      <w:r w:rsidRPr="009072DA">
        <w:rPr>
          <w:lang w:val="bg-BG"/>
        </w:rPr>
        <w:t>в)</w:t>
      </w:r>
      <w:r w:rsidRPr="009072DA">
        <w:rPr>
          <w:lang w:val="bg-BG"/>
        </w:rPr>
        <w:tab/>
        <w:t>трябва да се подменят най-малко на всеки осем години.</w:t>
      </w:r>
    </w:p>
    <w:p w:rsidR="003D32C2" w:rsidRPr="009072DA" w:rsidRDefault="003D32C2" w:rsidP="003D32C2">
      <w:pPr>
        <w:rPr>
          <w:lang w:val="bg-BG"/>
        </w:rPr>
      </w:pPr>
    </w:p>
    <w:p w:rsidR="003D32C2" w:rsidRPr="009072DA" w:rsidRDefault="003D32C2" w:rsidP="00320866">
      <w:pPr>
        <w:pStyle w:val="ESch"/>
        <w:rPr>
          <w:lang w:val="bg-BG"/>
        </w:rPr>
      </w:pPr>
      <w:r w:rsidRPr="009072DA">
        <w:rPr>
          <w:lang w:val="bg-BG"/>
        </w:rPr>
        <w:t>5.</w:t>
      </w:r>
      <w:r w:rsidRPr="009072DA">
        <w:rPr>
          <w:lang w:val="bg-BG"/>
        </w:rPr>
        <w:tab/>
        <w:t>Хидравличните цилиндри, хидравличните помпи и хидравличните двигатели, както и електродвигателите се проверяват най-малко на всеки осем години от специализирана фирма и, ако е необходимо, се ремонтират.</w:t>
      </w:r>
    </w:p>
    <w:p w:rsidR="003D32C2" w:rsidRPr="009072DA" w:rsidRDefault="003D32C2" w:rsidP="003D32C2">
      <w:pPr>
        <w:rPr>
          <w:lang w:val="bg-BG"/>
        </w:rPr>
      </w:pPr>
    </w:p>
    <w:p w:rsidR="003D32C2" w:rsidRPr="009072DA" w:rsidRDefault="003D32C2" w:rsidP="00B079AF">
      <w:pPr>
        <w:rPr>
          <w:lang w:val="bg-BG"/>
        </w:rPr>
      </w:pPr>
    </w:p>
    <w:p w:rsidR="003D32C2" w:rsidRPr="009072DA" w:rsidRDefault="003D32C2" w:rsidP="003D32C2">
      <w:pPr>
        <w:pStyle w:val="ES-Titre3"/>
        <w:rPr>
          <w:lang w:val="bg-BG"/>
        </w:rPr>
      </w:pPr>
      <w:bookmarkStart w:id="71" w:name="_Toc491854036"/>
      <w:bookmarkStart w:id="72" w:name="_Toc535827477"/>
      <w:r w:rsidRPr="009072DA">
        <w:rPr>
          <w:lang w:val="bg-BG"/>
        </w:rPr>
        <w:t>Член 6.04</w:t>
      </w:r>
      <w:r w:rsidRPr="009072DA">
        <w:rPr>
          <w:lang w:val="bg-BG"/>
        </w:rPr>
        <w:br/>
      </w:r>
      <w:r w:rsidRPr="009072DA">
        <w:rPr>
          <w:i/>
          <w:lang w:val="bg-BG"/>
        </w:rPr>
        <w:t>Източник на енергия</w:t>
      </w:r>
      <w:bookmarkEnd w:id="71"/>
      <w:bookmarkEnd w:id="72"/>
    </w:p>
    <w:p w:rsidR="003D32C2" w:rsidRPr="009072DA" w:rsidRDefault="003D32C2" w:rsidP="003D32C2">
      <w:pPr>
        <w:rPr>
          <w:lang w:val="bg-BG"/>
        </w:rPr>
      </w:pPr>
    </w:p>
    <w:p w:rsidR="003D32C2" w:rsidRPr="009072DA" w:rsidRDefault="003D32C2" w:rsidP="00320866">
      <w:pPr>
        <w:pStyle w:val="ESch"/>
        <w:rPr>
          <w:lang w:val="bg-BG"/>
        </w:rPr>
      </w:pPr>
      <w:r w:rsidRPr="009072DA">
        <w:rPr>
          <w:lang w:val="bg-BG"/>
        </w:rPr>
        <w:t>1.</w:t>
      </w:r>
      <w:r w:rsidRPr="009072DA">
        <w:rPr>
          <w:lang w:val="bg-BG"/>
        </w:rPr>
        <w:tab/>
        <w:t>Рулевите системи, оборудвани с две задвижващи звена с усилвател, трябва да имат най-малко два източника на електрическа енергия.</w:t>
      </w:r>
    </w:p>
    <w:p w:rsidR="003D32C2" w:rsidRPr="009072DA" w:rsidRDefault="003D32C2" w:rsidP="00320866">
      <w:pPr>
        <w:pStyle w:val="ESch"/>
        <w:rPr>
          <w:lang w:val="bg-BG"/>
        </w:rPr>
      </w:pPr>
    </w:p>
    <w:p w:rsidR="003D32C2" w:rsidRPr="009072DA" w:rsidRDefault="003D32C2" w:rsidP="00320866">
      <w:pPr>
        <w:pStyle w:val="ESch"/>
        <w:rPr>
          <w:lang w:val="bg-BG"/>
        </w:rPr>
      </w:pPr>
      <w:r w:rsidRPr="009072DA">
        <w:rPr>
          <w:lang w:val="bg-BG"/>
        </w:rPr>
        <w:t>2.</w:t>
      </w:r>
      <w:r w:rsidRPr="009072DA">
        <w:rPr>
          <w:lang w:val="bg-BG"/>
        </w:rPr>
        <w:tab/>
        <w:t>Когато резервният източник на енергия на рулевия апарат с усилвател не е достъпен непрекъснато по време на движение на плавателния съд, той се заменя с буферно устройство с достатъчен капацитет за привеждане в действие на системата.</w:t>
      </w:r>
    </w:p>
    <w:p w:rsidR="003D32C2" w:rsidRPr="009072DA" w:rsidRDefault="003D32C2" w:rsidP="00320866">
      <w:pPr>
        <w:pStyle w:val="ESch"/>
        <w:rPr>
          <w:lang w:val="bg-BG"/>
        </w:rPr>
      </w:pPr>
    </w:p>
    <w:p w:rsidR="003D32C2" w:rsidRPr="009072DA" w:rsidRDefault="003D32C2" w:rsidP="00320866">
      <w:pPr>
        <w:pStyle w:val="ESch"/>
        <w:rPr>
          <w:lang w:val="bg-BG"/>
        </w:rPr>
      </w:pPr>
      <w:r w:rsidRPr="009072DA">
        <w:rPr>
          <w:lang w:val="bg-BG"/>
        </w:rPr>
        <w:lastRenderedPageBreak/>
        <w:t>3.</w:t>
      </w:r>
      <w:r w:rsidRPr="009072DA">
        <w:rPr>
          <w:lang w:val="bg-BG"/>
        </w:rPr>
        <w:tab/>
        <w:t>Когато става въпрос за източници на електроенергия, не се допуска включване на други потребители към източника, захранващ рулевата система.</w:t>
      </w:r>
    </w:p>
    <w:p w:rsidR="003D32C2" w:rsidRPr="009072DA" w:rsidRDefault="003D32C2" w:rsidP="003D32C2">
      <w:pPr>
        <w:rPr>
          <w:lang w:val="bg-BG"/>
        </w:rPr>
      </w:pPr>
    </w:p>
    <w:p w:rsidR="003D32C2" w:rsidRPr="009072DA" w:rsidRDefault="003D32C2" w:rsidP="003D32C2">
      <w:pPr>
        <w:rPr>
          <w:lang w:val="bg-BG"/>
        </w:rPr>
      </w:pPr>
    </w:p>
    <w:p w:rsidR="003D32C2" w:rsidRPr="009072DA" w:rsidRDefault="003D32C2" w:rsidP="003D32C2">
      <w:pPr>
        <w:pStyle w:val="ES-Titre3"/>
        <w:rPr>
          <w:lang w:val="bg-BG"/>
        </w:rPr>
      </w:pPr>
      <w:bookmarkStart w:id="73" w:name="_Toc491854037"/>
      <w:bookmarkStart w:id="74" w:name="_Toc535827478"/>
      <w:r w:rsidRPr="009072DA">
        <w:rPr>
          <w:lang w:val="bg-BG"/>
        </w:rPr>
        <w:t>Член 6.05</w:t>
      </w:r>
      <w:r w:rsidRPr="009072DA">
        <w:rPr>
          <w:lang w:val="bg-BG"/>
        </w:rPr>
        <w:br/>
      </w:r>
      <w:r w:rsidRPr="009072DA">
        <w:rPr>
          <w:i/>
          <w:lang w:val="bg-BG"/>
        </w:rPr>
        <w:t>Ръчно задвижване</w:t>
      </w:r>
      <w:bookmarkEnd w:id="73"/>
      <w:bookmarkEnd w:id="74"/>
    </w:p>
    <w:p w:rsidR="003D32C2" w:rsidRPr="009072DA" w:rsidRDefault="003D32C2" w:rsidP="003D32C2">
      <w:pPr>
        <w:rPr>
          <w:lang w:val="bg-BG"/>
        </w:rPr>
      </w:pPr>
    </w:p>
    <w:p w:rsidR="003D32C2" w:rsidRPr="009072DA" w:rsidRDefault="003D32C2" w:rsidP="00320866">
      <w:pPr>
        <w:pStyle w:val="ESch"/>
        <w:rPr>
          <w:lang w:val="bg-BG"/>
        </w:rPr>
      </w:pPr>
      <w:r w:rsidRPr="009072DA">
        <w:rPr>
          <w:lang w:val="bg-BG"/>
        </w:rPr>
        <w:t>1.</w:t>
      </w:r>
      <w:r w:rsidRPr="009072DA">
        <w:rPr>
          <w:lang w:val="bg-BG"/>
        </w:rPr>
        <w:tab/>
        <w:t>Колелото на ръчното задвижване не трябва да се задвижва от задвижващо звено с усилвател.</w:t>
      </w:r>
    </w:p>
    <w:p w:rsidR="003D32C2" w:rsidRPr="009072DA" w:rsidRDefault="003D32C2" w:rsidP="00320866">
      <w:pPr>
        <w:pStyle w:val="ESch"/>
        <w:rPr>
          <w:lang w:val="bg-BG"/>
        </w:rPr>
      </w:pPr>
    </w:p>
    <w:p w:rsidR="003D32C2" w:rsidRPr="009072DA" w:rsidRDefault="003D32C2" w:rsidP="00320866">
      <w:pPr>
        <w:pStyle w:val="ESch"/>
        <w:rPr>
          <w:lang w:val="bg-BG"/>
        </w:rPr>
      </w:pPr>
      <w:r w:rsidRPr="009072DA">
        <w:rPr>
          <w:lang w:val="bg-BG"/>
        </w:rPr>
        <w:t>2.</w:t>
      </w:r>
      <w:r w:rsidRPr="009072DA">
        <w:rPr>
          <w:lang w:val="bg-BG"/>
        </w:rPr>
        <w:tab/>
        <w:t>Независимо от положението на руля при автоматично включване на ръчното задвижване не трябва да се допуска обратен удар на колелото.</w:t>
      </w:r>
    </w:p>
    <w:p w:rsidR="003D32C2" w:rsidRPr="009072DA" w:rsidRDefault="003D32C2" w:rsidP="003D32C2">
      <w:pPr>
        <w:pStyle w:val="ES-Titre3"/>
        <w:rPr>
          <w:lang w:val="bg-BG"/>
        </w:rPr>
      </w:pPr>
      <w:r w:rsidRPr="009072DA">
        <w:rPr>
          <w:lang w:val="bg-BG"/>
        </w:rPr>
        <w:br w:type="page"/>
      </w:r>
    </w:p>
    <w:p w:rsidR="003D32C2" w:rsidRPr="009072DA" w:rsidRDefault="003D32C2" w:rsidP="003D32C2">
      <w:pPr>
        <w:pStyle w:val="ES-Titre3"/>
        <w:rPr>
          <w:i/>
          <w:lang w:val="bg-BG"/>
        </w:rPr>
      </w:pPr>
      <w:bookmarkStart w:id="75" w:name="_Toc491854038"/>
      <w:bookmarkStart w:id="76" w:name="_Toc535827479"/>
      <w:r w:rsidRPr="009072DA">
        <w:rPr>
          <w:lang w:val="bg-BG"/>
        </w:rPr>
        <w:lastRenderedPageBreak/>
        <w:t>Член 6.06</w:t>
      </w:r>
      <w:r w:rsidRPr="009072DA">
        <w:rPr>
          <w:lang w:val="bg-BG"/>
        </w:rPr>
        <w:br/>
      </w:r>
      <w:r w:rsidRPr="009072DA">
        <w:rPr>
          <w:i/>
          <w:lang w:val="bg-BG"/>
        </w:rPr>
        <w:t>Системи с винто-рулеви колони, водометни и крилчати движители и носови подрулващи устройства</w:t>
      </w:r>
      <w:bookmarkEnd w:id="75"/>
      <w:bookmarkEnd w:id="76"/>
    </w:p>
    <w:p w:rsidR="003D32C2" w:rsidRPr="009072DA" w:rsidRDefault="003D32C2" w:rsidP="003D32C2">
      <w:pPr>
        <w:rPr>
          <w:lang w:val="bg-BG"/>
        </w:rPr>
      </w:pPr>
    </w:p>
    <w:p w:rsidR="003D32C2" w:rsidRPr="009072DA" w:rsidRDefault="003D32C2" w:rsidP="00320866">
      <w:pPr>
        <w:pStyle w:val="ESch"/>
        <w:rPr>
          <w:lang w:val="bg-BG"/>
        </w:rPr>
      </w:pPr>
      <w:r w:rsidRPr="009072DA">
        <w:rPr>
          <w:lang w:val="bg-BG"/>
        </w:rPr>
        <w:t>1.</w:t>
      </w:r>
      <w:r w:rsidRPr="009072DA">
        <w:rPr>
          <w:lang w:val="bg-BG"/>
        </w:rPr>
        <w:tab/>
        <w:t xml:space="preserve">Когато посоката на упора на винто-рулевите колони, на водометния или на крилчатия движител или на носовото подрулващо устройство се управлява дистанционно, с помощта на електрически, хидравлични или пневматични средства, се осигуряват две независими уредби за управление на руля между рулевата рубка и винто-рулевата колона или носовото подрулващо устройство, които отговарят </w:t>
      </w:r>
      <w:r w:rsidRPr="009072DA">
        <w:rPr>
          <w:i/>
          <w:lang w:val="bg-BG"/>
        </w:rPr>
        <w:t>mutatis mutandis</w:t>
      </w:r>
      <w:r w:rsidRPr="009072DA">
        <w:rPr>
          <w:lang w:val="bg-BG"/>
        </w:rPr>
        <w:t xml:space="preserve"> на изискванията от членове 6.01 до 6.05.</w:t>
      </w:r>
    </w:p>
    <w:p w:rsidR="003D32C2" w:rsidRPr="009072DA" w:rsidRDefault="003D32C2" w:rsidP="003D32C2">
      <w:pPr>
        <w:rPr>
          <w:lang w:val="bg-BG"/>
        </w:rPr>
      </w:pPr>
    </w:p>
    <w:p w:rsidR="003D32C2" w:rsidRPr="009072DA" w:rsidRDefault="003D32C2" w:rsidP="00320866">
      <w:pPr>
        <w:pStyle w:val="ESchpar"/>
        <w:rPr>
          <w:lang w:val="bg-BG"/>
        </w:rPr>
      </w:pPr>
      <w:r w:rsidRPr="009072DA">
        <w:rPr>
          <w:lang w:val="bg-BG"/>
        </w:rPr>
        <w:t>Тези системи не са предмет на настоящия параграф, ако не са необходими за постигане на маневреността, изисквана от глава 5, или, ако са необходими само при изпитванията за спиране.</w:t>
      </w:r>
    </w:p>
    <w:p w:rsidR="003D32C2" w:rsidRPr="009072DA" w:rsidRDefault="003D32C2" w:rsidP="003D32C2">
      <w:pPr>
        <w:rPr>
          <w:lang w:val="bg-BG"/>
        </w:rPr>
      </w:pPr>
    </w:p>
    <w:p w:rsidR="003D32C2" w:rsidRPr="009072DA" w:rsidRDefault="003D32C2" w:rsidP="00320866">
      <w:pPr>
        <w:pStyle w:val="ESch"/>
        <w:rPr>
          <w:lang w:val="bg-BG"/>
        </w:rPr>
      </w:pPr>
      <w:r w:rsidRPr="009072DA">
        <w:rPr>
          <w:lang w:val="bg-BG"/>
        </w:rPr>
        <w:t>2.</w:t>
      </w:r>
      <w:r w:rsidRPr="009072DA">
        <w:rPr>
          <w:lang w:val="bg-BG"/>
        </w:rPr>
        <w:tab/>
        <w:t>При наличие на две или повече независими винто-рулеви колони, водометни или крилчати движители не е необходима резервна система за управление, в случай че плавателният съд запазва маневреността си, изисквана от глава 5, при повреда на едно от тези устройства.</w:t>
      </w:r>
    </w:p>
    <w:p w:rsidR="003D32C2" w:rsidRPr="009072DA" w:rsidRDefault="003D32C2" w:rsidP="003D32C2">
      <w:pPr>
        <w:rPr>
          <w:lang w:val="bg-BG"/>
        </w:rPr>
      </w:pPr>
    </w:p>
    <w:p w:rsidR="003D32C2" w:rsidRPr="009072DA" w:rsidRDefault="003D32C2" w:rsidP="003D32C2">
      <w:pPr>
        <w:rPr>
          <w:lang w:val="bg-BG"/>
        </w:rPr>
      </w:pPr>
    </w:p>
    <w:p w:rsidR="003D32C2" w:rsidRPr="009072DA" w:rsidRDefault="003D32C2" w:rsidP="003D32C2">
      <w:pPr>
        <w:pStyle w:val="ES-Titre3"/>
        <w:rPr>
          <w:lang w:val="bg-BG"/>
        </w:rPr>
      </w:pPr>
      <w:bookmarkStart w:id="77" w:name="_Toc491854039"/>
      <w:bookmarkStart w:id="78" w:name="_Toc535827480"/>
      <w:r w:rsidRPr="009072DA">
        <w:rPr>
          <w:lang w:val="bg-BG"/>
        </w:rPr>
        <w:t>Член 6.07</w:t>
      </w:r>
      <w:r w:rsidRPr="009072DA">
        <w:rPr>
          <w:lang w:val="bg-BG"/>
        </w:rPr>
        <w:br/>
      </w:r>
      <w:r w:rsidRPr="009072DA">
        <w:rPr>
          <w:i/>
          <w:lang w:val="bg-BG"/>
        </w:rPr>
        <w:t>Индикатори и устройства за следене</w:t>
      </w:r>
      <w:bookmarkEnd w:id="77"/>
      <w:bookmarkEnd w:id="78"/>
    </w:p>
    <w:p w:rsidR="003D32C2" w:rsidRPr="009072DA" w:rsidRDefault="003D32C2" w:rsidP="003D32C2">
      <w:pPr>
        <w:rPr>
          <w:lang w:val="bg-BG"/>
        </w:rPr>
      </w:pPr>
    </w:p>
    <w:p w:rsidR="003D32C2" w:rsidRPr="009072DA" w:rsidRDefault="003D32C2" w:rsidP="00320866">
      <w:pPr>
        <w:pStyle w:val="ESch"/>
        <w:rPr>
          <w:lang w:val="bg-BG"/>
        </w:rPr>
      </w:pPr>
      <w:r w:rsidRPr="009072DA">
        <w:rPr>
          <w:lang w:val="bg-BG"/>
        </w:rPr>
        <w:t>1.</w:t>
      </w:r>
      <w:r w:rsidRPr="009072DA">
        <w:rPr>
          <w:lang w:val="bg-BG"/>
        </w:rPr>
        <w:tab/>
        <w:t>Положението на руля трябва да бъде ясно показано на поста за управление. В случай че индикаторът на положението на руля е електрически, той трябва да има собствено захранване.</w:t>
      </w:r>
    </w:p>
    <w:p w:rsidR="003D32C2" w:rsidRPr="009072DA" w:rsidRDefault="003D32C2" w:rsidP="00320866">
      <w:pPr>
        <w:pStyle w:val="ESch"/>
        <w:rPr>
          <w:lang w:val="bg-BG"/>
        </w:rPr>
      </w:pPr>
    </w:p>
    <w:p w:rsidR="003D32C2" w:rsidRPr="009072DA" w:rsidRDefault="003D32C2" w:rsidP="00320866">
      <w:pPr>
        <w:pStyle w:val="ESch"/>
        <w:rPr>
          <w:lang w:val="bg-BG"/>
        </w:rPr>
      </w:pPr>
      <w:r w:rsidRPr="009072DA">
        <w:rPr>
          <w:lang w:val="bg-BG"/>
        </w:rPr>
        <w:t>2.</w:t>
      </w:r>
      <w:r w:rsidRPr="009072DA">
        <w:rPr>
          <w:lang w:val="bg-BG"/>
        </w:rPr>
        <w:tab/>
        <w:t>В поста за управление трябва да има оптична и звукова сигнализация за сигнализиране на:</w:t>
      </w:r>
    </w:p>
    <w:p w:rsidR="003D32C2" w:rsidRPr="009072DA" w:rsidRDefault="005C7859" w:rsidP="00320866">
      <w:pPr>
        <w:pStyle w:val="ESlet"/>
        <w:rPr>
          <w:lang w:val="bg-BG"/>
        </w:rPr>
      </w:pPr>
      <w:r w:rsidRPr="009072DA">
        <w:rPr>
          <w:lang w:val="bg-BG"/>
        </w:rPr>
        <w:t>a)</w:t>
      </w:r>
      <w:r w:rsidRPr="009072DA">
        <w:rPr>
          <w:lang w:val="bg-BG"/>
        </w:rPr>
        <w:tab/>
        <w:t>ниво на маслото в хидравличните резервоари под нивото за минимално съдържание съгласно член 6.03, точка 2 и спадане на работното налягане в хидравличната система;</w:t>
      </w:r>
    </w:p>
    <w:p w:rsidR="003D32C2" w:rsidRPr="009072DA" w:rsidRDefault="005C7859" w:rsidP="00320866">
      <w:pPr>
        <w:pStyle w:val="ESlet"/>
        <w:rPr>
          <w:lang w:val="bg-BG"/>
        </w:rPr>
      </w:pPr>
      <w:r w:rsidRPr="009072DA">
        <w:rPr>
          <w:lang w:val="bg-BG"/>
        </w:rPr>
        <w:t>б)</w:t>
      </w:r>
      <w:r w:rsidRPr="009072DA">
        <w:rPr>
          <w:lang w:val="bg-BG"/>
        </w:rPr>
        <w:tab/>
        <w:t>повреда на електрическото захранване на уредбата за управление на руля;</w:t>
      </w:r>
    </w:p>
    <w:p w:rsidR="003D32C2" w:rsidRPr="009072DA" w:rsidRDefault="005C7859" w:rsidP="00320866">
      <w:pPr>
        <w:pStyle w:val="ESlet"/>
        <w:rPr>
          <w:lang w:val="bg-BG"/>
        </w:rPr>
      </w:pPr>
      <w:r w:rsidRPr="009072DA">
        <w:rPr>
          <w:lang w:val="bg-BG"/>
        </w:rPr>
        <w:t>в)</w:t>
      </w:r>
      <w:r w:rsidRPr="009072DA">
        <w:rPr>
          <w:lang w:val="bg-BG"/>
        </w:rPr>
        <w:tab/>
        <w:t>повреда на електрическото захранване на задвижващите звена;</w:t>
      </w:r>
    </w:p>
    <w:p w:rsidR="003D32C2" w:rsidRPr="009072DA" w:rsidRDefault="003D32C2" w:rsidP="00320866">
      <w:pPr>
        <w:pStyle w:val="ESlet"/>
        <w:rPr>
          <w:lang w:val="bg-BG"/>
        </w:rPr>
      </w:pPr>
      <w:r w:rsidRPr="009072DA">
        <w:rPr>
          <w:lang w:val="bg-BG"/>
        </w:rPr>
        <w:t>г)</w:t>
      </w:r>
      <w:r w:rsidRPr="009072DA">
        <w:rPr>
          <w:lang w:val="bg-BG"/>
        </w:rPr>
        <w:tab/>
        <w:t>повреда на регулатора на ъгловата скорост на поворот;</w:t>
      </w:r>
    </w:p>
    <w:p w:rsidR="003D32C2" w:rsidRPr="009072DA" w:rsidRDefault="003D32C2" w:rsidP="00320866">
      <w:pPr>
        <w:pStyle w:val="ESlet"/>
        <w:rPr>
          <w:lang w:val="bg-BG"/>
        </w:rPr>
      </w:pPr>
      <w:r w:rsidRPr="009072DA">
        <w:rPr>
          <w:lang w:val="bg-BG"/>
        </w:rPr>
        <w:t>д)</w:t>
      </w:r>
      <w:r w:rsidRPr="009072DA">
        <w:rPr>
          <w:lang w:val="bg-BG"/>
        </w:rPr>
        <w:tab/>
        <w:t>повреда на изискваните буферни устройства.</w:t>
      </w:r>
    </w:p>
    <w:p w:rsidR="003D32C2" w:rsidRPr="009072DA" w:rsidRDefault="003D32C2" w:rsidP="003D32C2">
      <w:pPr>
        <w:rPr>
          <w:lang w:val="bg-BG"/>
        </w:rPr>
      </w:pPr>
    </w:p>
    <w:p w:rsidR="008A407A" w:rsidRPr="009072DA" w:rsidRDefault="008A407A" w:rsidP="003D32C2">
      <w:pPr>
        <w:rPr>
          <w:lang w:val="bg-BG"/>
        </w:rPr>
      </w:pPr>
    </w:p>
    <w:p w:rsidR="003D32C2" w:rsidRPr="009072DA" w:rsidRDefault="003D32C2" w:rsidP="003D32C2">
      <w:pPr>
        <w:pStyle w:val="ES-Titre3"/>
        <w:rPr>
          <w:i/>
          <w:lang w:val="bg-BG"/>
        </w:rPr>
      </w:pPr>
      <w:bookmarkStart w:id="79" w:name="_Toc491854040"/>
      <w:bookmarkStart w:id="80" w:name="_Toc535827481"/>
      <w:r w:rsidRPr="009072DA">
        <w:rPr>
          <w:lang w:val="bg-BG"/>
        </w:rPr>
        <w:t>Член 6.08</w:t>
      </w:r>
      <w:r w:rsidRPr="009072DA">
        <w:rPr>
          <w:lang w:val="bg-BG"/>
        </w:rPr>
        <w:br/>
      </w:r>
      <w:r w:rsidRPr="009072DA">
        <w:rPr>
          <w:i/>
          <w:lang w:val="bg-BG"/>
        </w:rPr>
        <w:t>Регулатори на ъгловата скорост на поворот</w:t>
      </w:r>
      <w:bookmarkEnd w:id="79"/>
      <w:bookmarkEnd w:id="80"/>
    </w:p>
    <w:p w:rsidR="008A407A" w:rsidRPr="009072DA" w:rsidRDefault="008A407A" w:rsidP="00320866">
      <w:pPr>
        <w:pStyle w:val="ESch"/>
        <w:rPr>
          <w:lang w:val="bg-BG"/>
        </w:rPr>
      </w:pPr>
    </w:p>
    <w:p w:rsidR="003D32C2" w:rsidRPr="009072DA" w:rsidRDefault="003D32C2" w:rsidP="00320866">
      <w:pPr>
        <w:pStyle w:val="ESch"/>
        <w:rPr>
          <w:lang w:val="bg-BG"/>
        </w:rPr>
      </w:pPr>
      <w:r w:rsidRPr="009072DA">
        <w:rPr>
          <w:lang w:val="bg-BG"/>
        </w:rPr>
        <w:t>1.</w:t>
      </w:r>
      <w:r w:rsidRPr="009072DA">
        <w:rPr>
          <w:lang w:val="bg-BG"/>
        </w:rPr>
        <w:tab/>
        <w:t>Регулаторите на ъгловата скорост на поворот и техните съставни части отговарят на изискванията, определени в член 10.20.</w:t>
      </w:r>
    </w:p>
    <w:p w:rsidR="003D32C2" w:rsidRPr="009072DA" w:rsidRDefault="003D32C2" w:rsidP="00320866">
      <w:pPr>
        <w:pStyle w:val="ESch"/>
        <w:rPr>
          <w:lang w:val="bg-BG"/>
        </w:rPr>
      </w:pPr>
    </w:p>
    <w:p w:rsidR="003D32C2" w:rsidRPr="009072DA" w:rsidRDefault="003D32C2" w:rsidP="00320866">
      <w:pPr>
        <w:pStyle w:val="ESch"/>
        <w:rPr>
          <w:lang w:val="bg-BG"/>
        </w:rPr>
      </w:pPr>
      <w:r w:rsidRPr="009072DA">
        <w:rPr>
          <w:lang w:val="bg-BG"/>
        </w:rPr>
        <w:t>2.</w:t>
      </w:r>
      <w:r w:rsidRPr="009072DA">
        <w:rPr>
          <w:lang w:val="bg-BG"/>
        </w:rPr>
        <w:tab/>
        <w:t>Правилното функциониране на регулатора на ъгловата скорост на поворот се показва на поста за управление чрез зелена индикаторна светлина.</w:t>
      </w:r>
    </w:p>
    <w:p w:rsidR="003D32C2" w:rsidRPr="009072DA" w:rsidRDefault="003D32C2" w:rsidP="003D32C2">
      <w:pPr>
        <w:rPr>
          <w:lang w:val="bg-BG"/>
        </w:rPr>
      </w:pPr>
    </w:p>
    <w:p w:rsidR="003D32C2" w:rsidRPr="009072DA" w:rsidRDefault="003D32C2" w:rsidP="00320866">
      <w:pPr>
        <w:pStyle w:val="ESchpar"/>
        <w:rPr>
          <w:lang w:val="bg-BG"/>
        </w:rPr>
      </w:pPr>
      <w:r w:rsidRPr="009072DA">
        <w:rPr>
          <w:lang w:val="bg-BG"/>
        </w:rPr>
        <w:t>Следи се за липса или недопустими колебания в подаваното напрежение и за недопустими спадове в скоростта на въртене на жироскопа.</w:t>
      </w:r>
    </w:p>
    <w:p w:rsidR="003D32C2" w:rsidRPr="009072DA" w:rsidRDefault="003D32C2" w:rsidP="003D32C2">
      <w:pPr>
        <w:rPr>
          <w:lang w:val="bg-BG"/>
        </w:rPr>
      </w:pPr>
      <w:r w:rsidRPr="009072DA">
        <w:rPr>
          <w:lang w:val="bg-BG"/>
        </w:rPr>
        <w:br w:type="page"/>
      </w:r>
    </w:p>
    <w:p w:rsidR="003D32C2" w:rsidRPr="009072DA" w:rsidRDefault="003D32C2" w:rsidP="008A407A">
      <w:pPr>
        <w:pStyle w:val="ESch"/>
        <w:rPr>
          <w:lang w:val="bg-BG"/>
        </w:rPr>
      </w:pPr>
      <w:r w:rsidRPr="009072DA">
        <w:rPr>
          <w:lang w:val="bg-BG"/>
        </w:rPr>
        <w:lastRenderedPageBreak/>
        <w:t>3.</w:t>
      </w:r>
      <w:r w:rsidRPr="009072DA">
        <w:rPr>
          <w:lang w:val="bg-BG"/>
        </w:rPr>
        <w:tab/>
        <w:t>Когато освен регулатора на ъгловата скорост на поворот има и други системи за управление, трябва да бъде възможно на поста за управление да се направи ясно разграничение коя от системите е била активирана. Трябва да има възможност за незабавно преминаване от една система към друга. Регулаторът на ъгловата скорост на поворот не трябва да влияе на рулевите системи.</w:t>
      </w:r>
    </w:p>
    <w:p w:rsidR="003D32C2" w:rsidRPr="009072DA" w:rsidRDefault="003D32C2" w:rsidP="008A407A">
      <w:pPr>
        <w:pStyle w:val="ESch"/>
        <w:rPr>
          <w:lang w:val="bg-BG"/>
        </w:rPr>
      </w:pPr>
    </w:p>
    <w:p w:rsidR="003D32C2" w:rsidRPr="009072DA" w:rsidRDefault="003D32C2" w:rsidP="008A407A">
      <w:pPr>
        <w:pStyle w:val="ESch"/>
        <w:rPr>
          <w:lang w:val="bg-BG"/>
        </w:rPr>
      </w:pPr>
      <w:r w:rsidRPr="009072DA">
        <w:rPr>
          <w:lang w:val="bg-BG"/>
        </w:rPr>
        <w:t>4.</w:t>
      </w:r>
      <w:r w:rsidRPr="009072DA">
        <w:rPr>
          <w:lang w:val="bg-BG"/>
        </w:rPr>
        <w:tab/>
        <w:t>Електрозахранването на регулатора на ъгловата скорост на поворот трябва да e независимо от други консуматори на мощност.</w:t>
      </w:r>
    </w:p>
    <w:p w:rsidR="003D32C2" w:rsidRPr="009072DA" w:rsidRDefault="003D32C2" w:rsidP="008A407A">
      <w:pPr>
        <w:pStyle w:val="ESch"/>
        <w:rPr>
          <w:lang w:val="bg-BG"/>
        </w:rPr>
      </w:pPr>
    </w:p>
    <w:p w:rsidR="003D32C2" w:rsidRPr="009072DA" w:rsidRDefault="003D32C2" w:rsidP="008A407A">
      <w:pPr>
        <w:pStyle w:val="ESch"/>
        <w:rPr>
          <w:lang w:val="bg-BG"/>
        </w:rPr>
      </w:pPr>
      <w:r w:rsidRPr="009072DA">
        <w:rPr>
          <w:lang w:val="bg-BG"/>
        </w:rPr>
        <w:t>5.</w:t>
      </w:r>
      <w:r w:rsidRPr="009072DA">
        <w:rPr>
          <w:lang w:val="bg-BG"/>
        </w:rPr>
        <w:tab/>
        <w:t>Жироскопите, датчиците и индикаторите на ъгловата скорост на поворот, използвани в регулаторите на ъгловата скорост на поворот, трябва да отговарят на минималните изисквания от минималните спецификации и условията на изпитване по отношение на мониторите за указване на промяната на курса за вътрешните водни пътища, както е посочено в раздел II от приложение 5.</w:t>
      </w:r>
    </w:p>
    <w:p w:rsidR="003D32C2" w:rsidRPr="009072DA" w:rsidRDefault="003D32C2" w:rsidP="003D32C2">
      <w:pPr>
        <w:rPr>
          <w:lang w:val="bg-BG"/>
        </w:rPr>
      </w:pPr>
    </w:p>
    <w:p w:rsidR="003D32C2" w:rsidRPr="009072DA" w:rsidRDefault="003D32C2" w:rsidP="003D32C2">
      <w:pPr>
        <w:rPr>
          <w:lang w:val="bg-BG"/>
        </w:rPr>
      </w:pPr>
    </w:p>
    <w:p w:rsidR="003D32C2" w:rsidRPr="009072DA" w:rsidRDefault="003D32C2" w:rsidP="003D32C2">
      <w:pPr>
        <w:pStyle w:val="ES-Titre3"/>
        <w:rPr>
          <w:lang w:val="bg-BG"/>
        </w:rPr>
      </w:pPr>
      <w:bookmarkStart w:id="81" w:name="_Toc491854041"/>
      <w:bookmarkStart w:id="82" w:name="_Toc535827482"/>
      <w:r w:rsidRPr="009072DA">
        <w:rPr>
          <w:lang w:val="bg-BG"/>
        </w:rPr>
        <w:t>Член 6.09</w:t>
      </w:r>
      <w:r w:rsidRPr="009072DA">
        <w:rPr>
          <w:lang w:val="bg-BG"/>
        </w:rPr>
        <w:br/>
      </w:r>
      <w:r w:rsidRPr="009072DA">
        <w:rPr>
          <w:i/>
          <w:lang w:val="bg-BG"/>
        </w:rPr>
        <w:t>Изпитване</w:t>
      </w:r>
      <w:bookmarkEnd w:id="81"/>
      <w:bookmarkEnd w:id="82"/>
    </w:p>
    <w:p w:rsidR="008A407A" w:rsidRPr="009072DA" w:rsidRDefault="008A407A" w:rsidP="008A407A">
      <w:pPr>
        <w:pStyle w:val="ESch"/>
        <w:rPr>
          <w:lang w:val="bg-BG"/>
        </w:rPr>
      </w:pPr>
    </w:p>
    <w:p w:rsidR="003D32C2" w:rsidRPr="009072DA" w:rsidRDefault="003D32C2" w:rsidP="008A407A">
      <w:pPr>
        <w:pStyle w:val="ESch"/>
        <w:rPr>
          <w:lang w:val="bg-BG"/>
        </w:rPr>
      </w:pPr>
      <w:r w:rsidRPr="009072DA">
        <w:rPr>
          <w:lang w:val="bg-BG"/>
        </w:rPr>
        <w:t>1.</w:t>
      </w:r>
      <w:r w:rsidRPr="009072DA">
        <w:rPr>
          <w:lang w:val="bg-BG"/>
        </w:rPr>
        <w:tab/>
        <w:t>Правилното монтиране на рулевата система се проверява от контролен орган. За тази цел контролният орган може да изисква следните документи:</w:t>
      </w:r>
    </w:p>
    <w:p w:rsidR="003D32C2" w:rsidRPr="009072DA" w:rsidRDefault="005C7859" w:rsidP="008A407A">
      <w:pPr>
        <w:pStyle w:val="ESlet"/>
        <w:rPr>
          <w:lang w:val="bg-BG"/>
        </w:rPr>
      </w:pPr>
      <w:r w:rsidRPr="009072DA">
        <w:rPr>
          <w:lang w:val="bg-BG"/>
        </w:rPr>
        <w:t>a)</w:t>
      </w:r>
      <w:r w:rsidRPr="009072DA">
        <w:rPr>
          <w:lang w:val="bg-BG"/>
        </w:rPr>
        <w:tab/>
        <w:t>описание на рулевата система;</w:t>
      </w:r>
    </w:p>
    <w:p w:rsidR="003D32C2" w:rsidRPr="009072DA" w:rsidRDefault="005C7859" w:rsidP="008A407A">
      <w:pPr>
        <w:pStyle w:val="ESlet"/>
        <w:rPr>
          <w:lang w:val="bg-BG"/>
        </w:rPr>
      </w:pPr>
      <w:r w:rsidRPr="009072DA">
        <w:rPr>
          <w:lang w:val="bg-BG"/>
        </w:rPr>
        <w:t>б)</w:t>
      </w:r>
      <w:r w:rsidRPr="009072DA">
        <w:rPr>
          <w:lang w:val="bg-BG"/>
        </w:rPr>
        <w:tab/>
        <w:t>чертежи и информация за задвижващите звена на рулевия апарат и уредбата за управление на руля;</w:t>
      </w:r>
    </w:p>
    <w:p w:rsidR="003D32C2" w:rsidRPr="009072DA" w:rsidRDefault="005C7859" w:rsidP="008A407A">
      <w:pPr>
        <w:pStyle w:val="ESlet"/>
        <w:rPr>
          <w:lang w:val="bg-BG"/>
        </w:rPr>
      </w:pPr>
      <w:r w:rsidRPr="009072DA">
        <w:rPr>
          <w:lang w:val="bg-BG"/>
        </w:rPr>
        <w:t>в)</w:t>
      </w:r>
      <w:r w:rsidRPr="009072DA">
        <w:rPr>
          <w:lang w:val="bg-BG"/>
        </w:rPr>
        <w:tab/>
        <w:t>информация относно рулевия апарат;</w:t>
      </w:r>
    </w:p>
    <w:p w:rsidR="003D32C2" w:rsidRPr="009072DA" w:rsidRDefault="003D32C2" w:rsidP="008A407A">
      <w:pPr>
        <w:pStyle w:val="ESlet"/>
        <w:rPr>
          <w:lang w:val="bg-BG"/>
        </w:rPr>
      </w:pPr>
      <w:r w:rsidRPr="009072DA">
        <w:rPr>
          <w:lang w:val="bg-BG"/>
        </w:rPr>
        <w:t>г)</w:t>
      </w:r>
      <w:r w:rsidRPr="009072DA">
        <w:rPr>
          <w:lang w:val="bg-BG"/>
        </w:rPr>
        <w:tab/>
        <w:t>електрическа схема на свързване;</w:t>
      </w:r>
    </w:p>
    <w:p w:rsidR="003D32C2" w:rsidRPr="009072DA" w:rsidRDefault="003D32C2" w:rsidP="008A407A">
      <w:pPr>
        <w:pStyle w:val="ESlet"/>
        <w:rPr>
          <w:lang w:val="bg-BG"/>
        </w:rPr>
      </w:pPr>
      <w:r w:rsidRPr="009072DA">
        <w:rPr>
          <w:lang w:val="bg-BG"/>
        </w:rPr>
        <w:t>д)</w:t>
      </w:r>
      <w:r w:rsidRPr="009072DA">
        <w:rPr>
          <w:lang w:val="bg-BG"/>
        </w:rPr>
        <w:tab/>
        <w:t>описание на регулатора на ъгловата скорост на поворот;</w:t>
      </w:r>
    </w:p>
    <w:p w:rsidR="003D32C2" w:rsidRPr="009072DA" w:rsidRDefault="003D32C2" w:rsidP="008A407A">
      <w:pPr>
        <w:pStyle w:val="ESlet"/>
        <w:rPr>
          <w:lang w:val="bg-BG"/>
        </w:rPr>
      </w:pPr>
      <w:r w:rsidRPr="009072DA">
        <w:rPr>
          <w:lang w:val="bg-BG"/>
        </w:rPr>
        <w:t>е)</w:t>
      </w:r>
      <w:r w:rsidRPr="009072DA">
        <w:rPr>
          <w:lang w:val="bg-BG"/>
        </w:rPr>
        <w:tab/>
        <w:t>инструкции за експлоатация и поддръжка на рулевата система.</w:t>
      </w:r>
    </w:p>
    <w:p w:rsidR="003D32C2" w:rsidRPr="009072DA" w:rsidRDefault="003D32C2" w:rsidP="003D32C2">
      <w:pPr>
        <w:rPr>
          <w:lang w:val="bg-BG"/>
        </w:rPr>
      </w:pPr>
    </w:p>
    <w:p w:rsidR="003D32C2" w:rsidRPr="009072DA" w:rsidRDefault="003D32C2" w:rsidP="008A407A">
      <w:pPr>
        <w:pStyle w:val="ESch"/>
        <w:rPr>
          <w:lang w:val="bg-BG"/>
        </w:rPr>
      </w:pPr>
      <w:r w:rsidRPr="009072DA">
        <w:rPr>
          <w:lang w:val="bg-BG"/>
        </w:rPr>
        <w:t>2.</w:t>
      </w:r>
      <w:r w:rsidRPr="009072DA">
        <w:rPr>
          <w:lang w:val="bg-BG"/>
        </w:rPr>
        <w:tab/>
        <w:t>Функционирането на цялата рулева система се проверява чрез ходово изпитване. Ако е монтиран регулатор на ъгловата скорост на поворот, се проверява дали могат да бъдат осигурени надеждно поддържане на предварително определен курс и безопасно преодоляване на завои.</w:t>
      </w:r>
    </w:p>
    <w:p w:rsidR="003D32C2" w:rsidRPr="009072DA" w:rsidRDefault="003D32C2" w:rsidP="008A407A">
      <w:pPr>
        <w:pStyle w:val="ESch"/>
        <w:rPr>
          <w:lang w:val="bg-BG"/>
        </w:rPr>
      </w:pPr>
    </w:p>
    <w:p w:rsidR="003D32C2" w:rsidRPr="009072DA" w:rsidRDefault="003D32C2" w:rsidP="008A407A">
      <w:pPr>
        <w:pStyle w:val="ESch"/>
        <w:rPr>
          <w:lang w:val="bg-BG"/>
        </w:rPr>
      </w:pPr>
      <w:r w:rsidRPr="009072DA">
        <w:rPr>
          <w:lang w:val="bg-BG"/>
        </w:rPr>
        <w:t>3.</w:t>
      </w:r>
      <w:r w:rsidRPr="009072DA">
        <w:rPr>
          <w:lang w:val="bg-BG"/>
        </w:rPr>
        <w:tab/>
        <w:t>Силово задвижваните рулеви системи  трябва да бъдат проверявани от компетентно лице:</w:t>
      </w:r>
    </w:p>
    <w:p w:rsidR="003D32C2" w:rsidRPr="009072DA" w:rsidRDefault="005C7859" w:rsidP="008C2125">
      <w:pPr>
        <w:pStyle w:val="ESlet"/>
        <w:rPr>
          <w:lang w:val="bg-BG"/>
        </w:rPr>
      </w:pPr>
      <w:r w:rsidRPr="009072DA">
        <w:rPr>
          <w:lang w:val="bg-BG"/>
        </w:rPr>
        <w:t>a)</w:t>
      </w:r>
      <w:r w:rsidRPr="009072DA">
        <w:rPr>
          <w:lang w:val="bg-BG"/>
        </w:rPr>
        <w:tab/>
        <w:t>преди пускането им в експлоатация;</w:t>
      </w:r>
    </w:p>
    <w:p w:rsidR="003D32C2" w:rsidRPr="009072DA" w:rsidRDefault="005C7859" w:rsidP="008C2125">
      <w:pPr>
        <w:pStyle w:val="ESlet"/>
        <w:rPr>
          <w:lang w:val="bg-BG"/>
        </w:rPr>
      </w:pPr>
      <w:r w:rsidRPr="009072DA">
        <w:rPr>
          <w:lang w:val="bg-BG"/>
        </w:rPr>
        <w:lastRenderedPageBreak/>
        <w:t>б)</w:t>
      </w:r>
      <w:r w:rsidRPr="009072DA">
        <w:rPr>
          <w:lang w:val="bg-BG"/>
        </w:rPr>
        <w:tab/>
        <w:t>след повреда;</w:t>
      </w:r>
    </w:p>
    <w:p w:rsidR="003D32C2" w:rsidRPr="009072DA" w:rsidRDefault="005C7859" w:rsidP="008C2125">
      <w:pPr>
        <w:pStyle w:val="ESlet"/>
        <w:rPr>
          <w:lang w:val="bg-BG"/>
        </w:rPr>
      </w:pPr>
      <w:r w:rsidRPr="009072DA">
        <w:rPr>
          <w:lang w:val="bg-BG"/>
        </w:rPr>
        <w:t>в)</w:t>
      </w:r>
      <w:r w:rsidRPr="009072DA">
        <w:rPr>
          <w:lang w:val="bg-BG"/>
        </w:rPr>
        <w:tab/>
        <w:t>след всяка промяна  или ремонт;</w:t>
      </w:r>
    </w:p>
    <w:p w:rsidR="003D32C2" w:rsidRPr="009072DA" w:rsidRDefault="005C7859" w:rsidP="008C2125">
      <w:pPr>
        <w:pStyle w:val="ESlet"/>
        <w:rPr>
          <w:lang w:val="bg-BG"/>
        </w:rPr>
      </w:pPr>
      <w:r w:rsidRPr="009072DA">
        <w:rPr>
          <w:lang w:val="bg-BG"/>
        </w:rPr>
        <w:t>г)</w:t>
      </w:r>
      <w:r w:rsidRPr="009072DA">
        <w:rPr>
          <w:lang w:val="bg-BG"/>
        </w:rPr>
        <w:tab/>
        <w:t>редовно, поне веднъж на три години.</w:t>
      </w:r>
    </w:p>
    <w:p w:rsidR="003D32C2" w:rsidRPr="009072DA" w:rsidRDefault="003D32C2" w:rsidP="003D32C2">
      <w:pPr>
        <w:rPr>
          <w:lang w:val="bg-BG"/>
        </w:rPr>
      </w:pPr>
    </w:p>
    <w:p w:rsidR="003D32C2" w:rsidRPr="009072DA" w:rsidRDefault="003D32C2" w:rsidP="008A407A">
      <w:pPr>
        <w:pStyle w:val="ESch"/>
        <w:rPr>
          <w:lang w:val="bg-BG"/>
        </w:rPr>
      </w:pPr>
      <w:r w:rsidRPr="009072DA">
        <w:rPr>
          <w:lang w:val="bg-BG"/>
        </w:rPr>
        <w:t>4.</w:t>
      </w:r>
      <w:r w:rsidRPr="009072DA">
        <w:rPr>
          <w:lang w:val="bg-BG"/>
        </w:rPr>
        <w:tab/>
        <w:t>Проверката трябва да обхване поне:</w:t>
      </w:r>
    </w:p>
    <w:p w:rsidR="003D32C2" w:rsidRPr="009072DA" w:rsidRDefault="005C7859" w:rsidP="008A407A">
      <w:pPr>
        <w:pStyle w:val="ESlet"/>
        <w:rPr>
          <w:lang w:val="bg-BG"/>
        </w:rPr>
      </w:pPr>
      <w:r w:rsidRPr="009072DA">
        <w:rPr>
          <w:lang w:val="bg-BG"/>
        </w:rPr>
        <w:t>a)</w:t>
      </w:r>
      <w:r w:rsidRPr="009072DA">
        <w:rPr>
          <w:lang w:val="bg-BG"/>
        </w:rPr>
        <w:tab/>
        <w:t>проверка на съответствието с утвърдените чертежи и при периодични проверки, дали са внасяни изменения в системата за рулево управление;</w:t>
      </w:r>
    </w:p>
    <w:p w:rsidR="003D32C2" w:rsidRPr="009072DA" w:rsidRDefault="005C7859" w:rsidP="008A407A">
      <w:pPr>
        <w:pStyle w:val="ESlet"/>
        <w:rPr>
          <w:lang w:val="bg-BG"/>
        </w:rPr>
      </w:pPr>
      <w:r w:rsidRPr="009072DA">
        <w:rPr>
          <w:lang w:val="bg-BG"/>
        </w:rPr>
        <w:t>б)</w:t>
      </w:r>
      <w:r w:rsidRPr="009072DA">
        <w:rPr>
          <w:lang w:val="bg-BG"/>
        </w:rPr>
        <w:tab/>
        <w:t>функционално изпитване на системата за рулево управление за всички експлоатационни възможности;</w:t>
      </w:r>
    </w:p>
    <w:p w:rsidR="003D32C2" w:rsidRPr="009072DA" w:rsidRDefault="005C7859" w:rsidP="008A407A">
      <w:pPr>
        <w:pStyle w:val="ESlet"/>
        <w:rPr>
          <w:lang w:val="bg-BG"/>
        </w:rPr>
      </w:pPr>
      <w:r w:rsidRPr="009072DA">
        <w:rPr>
          <w:lang w:val="bg-BG"/>
        </w:rPr>
        <w:t>в)</w:t>
      </w:r>
      <w:r w:rsidRPr="009072DA">
        <w:rPr>
          <w:lang w:val="bg-BG"/>
        </w:rPr>
        <w:tab/>
        <w:t>визуална проверка и проверка за херметичност на хидравличните елементи, по-специално вентили, тръбопроводи, хидравлични маркучи, хидравлични цилиндри, хидравлични помпи и хидравлични филтри;</w:t>
      </w:r>
    </w:p>
    <w:p w:rsidR="003D32C2" w:rsidRPr="009072DA" w:rsidRDefault="005C7859" w:rsidP="008A407A">
      <w:pPr>
        <w:pStyle w:val="ESlet"/>
        <w:rPr>
          <w:lang w:val="bg-BG"/>
        </w:rPr>
      </w:pPr>
      <w:r w:rsidRPr="009072DA">
        <w:rPr>
          <w:lang w:val="bg-BG"/>
        </w:rPr>
        <w:t>г)</w:t>
      </w:r>
      <w:r w:rsidRPr="009072DA">
        <w:rPr>
          <w:lang w:val="bg-BG"/>
        </w:rPr>
        <w:tab/>
        <w:t>визуална проверка на електрическите елементи, по-специално релета, електродвигатели и предпазни средства;</w:t>
      </w:r>
    </w:p>
    <w:p w:rsidR="003D32C2" w:rsidRPr="009072DA" w:rsidRDefault="003D32C2" w:rsidP="008A407A">
      <w:pPr>
        <w:pStyle w:val="ESlet"/>
        <w:rPr>
          <w:lang w:val="bg-BG"/>
        </w:rPr>
      </w:pPr>
      <w:r w:rsidRPr="009072DA">
        <w:rPr>
          <w:lang w:val="bg-BG"/>
        </w:rPr>
        <w:t>д)</w:t>
      </w:r>
      <w:r w:rsidRPr="009072DA">
        <w:rPr>
          <w:lang w:val="bg-BG"/>
        </w:rPr>
        <w:tab/>
        <w:t>проверка на оптичните и звукови контролни прибори.</w:t>
      </w:r>
    </w:p>
    <w:p w:rsidR="003D32C2" w:rsidRPr="009072DA" w:rsidRDefault="003D32C2" w:rsidP="003D32C2">
      <w:pPr>
        <w:rPr>
          <w:lang w:val="bg-BG"/>
        </w:rPr>
      </w:pPr>
    </w:p>
    <w:p w:rsidR="003D32C2" w:rsidRPr="009072DA" w:rsidRDefault="003D32C2" w:rsidP="008A407A">
      <w:pPr>
        <w:pStyle w:val="ESch"/>
        <w:rPr>
          <w:lang w:val="bg-BG"/>
        </w:rPr>
      </w:pPr>
      <w:r w:rsidRPr="009072DA">
        <w:rPr>
          <w:lang w:val="bg-BG"/>
        </w:rPr>
        <w:t>5.</w:t>
      </w:r>
      <w:r w:rsidRPr="009072DA">
        <w:rPr>
          <w:lang w:val="bg-BG"/>
        </w:rPr>
        <w:tab/>
        <w:t>Издава се удостоверение за проверката, подписано от компетентното лице и посочващо датата ѝ.</w:t>
      </w:r>
    </w:p>
    <w:p w:rsidR="003D32C2" w:rsidRPr="009072DA" w:rsidRDefault="003D32C2" w:rsidP="003D32C2">
      <w:pPr>
        <w:rPr>
          <w:lang w:val="bg-BG"/>
        </w:rPr>
      </w:pPr>
    </w:p>
    <w:p w:rsidR="00822C1C" w:rsidRPr="009072DA" w:rsidRDefault="00822C1C" w:rsidP="00822C1C">
      <w:pPr>
        <w:pStyle w:val="ES-Titre2"/>
      </w:pPr>
      <w:bookmarkStart w:id="83" w:name="_Toc491854042"/>
      <w:bookmarkStart w:id="84" w:name="_Toc535827483"/>
      <w:r w:rsidRPr="009072DA">
        <w:lastRenderedPageBreak/>
        <w:t>Глава 7</w:t>
      </w:r>
      <w:r w:rsidRPr="009072DA">
        <w:br/>
        <w:t>Рулева рубка</w:t>
      </w:r>
      <w:bookmarkEnd w:id="83"/>
      <w:bookmarkEnd w:id="84"/>
    </w:p>
    <w:p w:rsidR="00822C1C" w:rsidRPr="009072DA" w:rsidRDefault="00822C1C" w:rsidP="00822C1C">
      <w:pPr>
        <w:rPr>
          <w:rFonts w:cs="Arial"/>
          <w:b/>
          <w:i/>
          <w:szCs w:val="20"/>
          <w:lang w:val="bg-BG"/>
        </w:rPr>
      </w:pPr>
    </w:p>
    <w:p w:rsidR="00822C1C" w:rsidRPr="009072DA" w:rsidRDefault="00822C1C" w:rsidP="00822C1C">
      <w:pPr>
        <w:pStyle w:val="ES-Titre3"/>
        <w:rPr>
          <w:lang w:val="bg-BG"/>
        </w:rPr>
      </w:pPr>
      <w:bookmarkStart w:id="85" w:name="_Toc491854043"/>
      <w:bookmarkStart w:id="86" w:name="_Toc535827484"/>
      <w:r w:rsidRPr="009072DA">
        <w:rPr>
          <w:lang w:val="bg-BG"/>
        </w:rPr>
        <w:t>Член 7.01</w:t>
      </w:r>
      <w:r w:rsidRPr="009072DA">
        <w:rPr>
          <w:lang w:val="bg-BG"/>
        </w:rPr>
        <w:br/>
      </w:r>
      <w:r w:rsidRPr="009072DA">
        <w:rPr>
          <w:i/>
          <w:lang w:val="bg-BG"/>
        </w:rPr>
        <w:t>Общи положения</w:t>
      </w:r>
      <w:bookmarkEnd w:id="85"/>
      <w:bookmarkEnd w:id="86"/>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1.</w:t>
      </w:r>
      <w:r w:rsidRPr="009072DA">
        <w:rPr>
          <w:lang w:val="bg-BG"/>
        </w:rPr>
        <w:tab/>
        <w:t>Рулевите рубки се разполагат по такъв начин, че рулевият да може във всеки момент да изпълнява задълженията си, докато плавателният съд е в движение.</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2.</w:t>
      </w:r>
      <w:r w:rsidRPr="009072DA">
        <w:rPr>
          <w:lang w:val="bg-BG"/>
        </w:rPr>
        <w:tab/>
        <w:t>При нормални условия на експлоатация звуковото налягане, създавано от плавателния съд и измервано на равнището на главата на рулевия на поста за управление, трябва да не превишава 70 dB(A).</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3.</w:t>
      </w:r>
      <w:r w:rsidRPr="009072DA">
        <w:rPr>
          <w:lang w:val="bg-BG"/>
        </w:rPr>
        <w:tab/>
        <w:t>Когато рулева рубка е била проектирана за управление с радиолокационни средства от едно лице, рулевият трябва да може да изпълнява задачата си в седнало положение и всички прибори за показване и следене и уреди за управление, необходими за експлоатацията на плавателния съд, се разполагат по такъв начин, че рулевият да може да ги използва удобно по време на движение на плавателния съд, без да напуска своята позиция или да изпуска от поглед екрана на радиолокатора.</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p>
    <w:p w:rsidR="00822C1C" w:rsidRPr="009072DA" w:rsidRDefault="00822C1C" w:rsidP="00822C1C">
      <w:pPr>
        <w:pStyle w:val="ES-Titre3"/>
        <w:rPr>
          <w:lang w:val="bg-BG"/>
        </w:rPr>
      </w:pPr>
      <w:bookmarkStart w:id="87" w:name="_Toc491854044"/>
      <w:bookmarkStart w:id="88" w:name="_Toc535827485"/>
      <w:r w:rsidRPr="009072DA">
        <w:rPr>
          <w:lang w:val="bg-BG"/>
        </w:rPr>
        <w:t>Член 7.02</w:t>
      </w:r>
      <w:r w:rsidRPr="009072DA">
        <w:rPr>
          <w:lang w:val="bg-BG"/>
        </w:rPr>
        <w:br/>
      </w:r>
      <w:r w:rsidRPr="009072DA">
        <w:rPr>
          <w:i/>
          <w:lang w:val="bg-BG"/>
        </w:rPr>
        <w:t>Безпрепятствена видимост</w:t>
      </w:r>
      <w:bookmarkEnd w:id="87"/>
      <w:bookmarkEnd w:id="88"/>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1.</w:t>
      </w:r>
      <w:r w:rsidRPr="009072DA">
        <w:rPr>
          <w:lang w:val="bg-BG"/>
        </w:rPr>
        <w:tab/>
        <w:t>Трябва да има съответна безпрепятствена видимост във всички посоки от поста за управление.</w:t>
      </w:r>
    </w:p>
    <w:p w:rsidR="00822C1C" w:rsidRPr="009072DA" w:rsidRDefault="00822C1C" w:rsidP="00822C1C">
      <w:pPr>
        <w:pStyle w:val="ESch"/>
        <w:rPr>
          <w:szCs w:val="20"/>
          <w:lang w:val="bg-BG"/>
        </w:rPr>
      </w:pPr>
    </w:p>
    <w:p w:rsidR="00822C1C" w:rsidRPr="009072DA" w:rsidRDefault="00BF58F6" w:rsidP="00822C1C">
      <w:pPr>
        <w:pStyle w:val="ESch"/>
        <w:rPr>
          <w:szCs w:val="20"/>
          <w:lang w:val="bg-BG"/>
        </w:rPr>
      </w:pPr>
      <w:r w:rsidRPr="009072DA">
        <w:rPr>
          <w:lang w:val="bg-BG"/>
        </w:rPr>
        <w:t>2.</w:t>
      </w:r>
      <w:r w:rsidRPr="009072DA">
        <w:rPr>
          <w:lang w:val="bg-BG"/>
        </w:rPr>
        <w:tab/>
        <w:t>Мъртвата зона за рулевия пред плавателния съд в състояние без товар и с половината от припасите, но без баласт, не трябва да превишава 250 m.</w:t>
      </w:r>
    </w:p>
    <w:p w:rsidR="00822C1C" w:rsidRPr="009072DA" w:rsidRDefault="00822C1C" w:rsidP="00822C1C">
      <w:pPr>
        <w:pStyle w:val="ESch"/>
        <w:rPr>
          <w:szCs w:val="20"/>
          <w:lang w:val="bg-BG"/>
        </w:rPr>
      </w:pPr>
    </w:p>
    <w:p w:rsidR="00822C1C" w:rsidRPr="009072DA" w:rsidRDefault="00822C1C" w:rsidP="00822C1C">
      <w:pPr>
        <w:pStyle w:val="ESchpar"/>
        <w:rPr>
          <w:lang w:val="bg-BG"/>
        </w:rPr>
      </w:pPr>
      <w:r w:rsidRPr="009072DA">
        <w:rPr>
          <w:lang w:val="bg-BG"/>
        </w:rPr>
        <w:t>За допълнително намаляване на мъртвата зона трябва да се използват само подходящи помощни средства.</w:t>
      </w:r>
    </w:p>
    <w:p w:rsidR="00822C1C" w:rsidRPr="009072DA" w:rsidRDefault="00822C1C" w:rsidP="00822C1C">
      <w:pPr>
        <w:pStyle w:val="ESch"/>
        <w:rPr>
          <w:szCs w:val="20"/>
          <w:lang w:val="bg-BG"/>
        </w:rPr>
      </w:pPr>
    </w:p>
    <w:p w:rsidR="00822C1C" w:rsidRPr="009072DA" w:rsidRDefault="00822C1C" w:rsidP="00822C1C">
      <w:pPr>
        <w:pStyle w:val="ESchpar"/>
        <w:rPr>
          <w:lang w:val="bg-BG"/>
        </w:rPr>
      </w:pPr>
      <w:r w:rsidRPr="009072DA">
        <w:rPr>
          <w:lang w:val="bg-BG"/>
        </w:rPr>
        <w:t>Помощните средства за намаляване на мъртвата зона  могат да не бъдат взети под внимание при проверката.</w:t>
      </w:r>
    </w:p>
    <w:p w:rsidR="00822C1C" w:rsidRPr="009072DA" w:rsidRDefault="00822C1C" w:rsidP="00822C1C">
      <w:pPr>
        <w:pStyle w:val="ESch"/>
        <w:rPr>
          <w:szCs w:val="20"/>
          <w:lang w:val="bg-BG"/>
        </w:rPr>
      </w:pPr>
    </w:p>
    <w:p w:rsidR="00822C1C" w:rsidRPr="009072DA" w:rsidRDefault="00BF58F6" w:rsidP="00822C1C">
      <w:pPr>
        <w:pStyle w:val="ESch"/>
        <w:rPr>
          <w:szCs w:val="20"/>
          <w:lang w:val="bg-BG"/>
        </w:rPr>
      </w:pPr>
      <w:r w:rsidRPr="009072DA">
        <w:rPr>
          <w:lang w:val="bg-BG"/>
        </w:rPr>
        <w:lastRenderedPageBreak/>
        <w:t>3.</w:t>
      </w:r>
      <w:r w:rsidRPr="009072DA">
        <w:rPr>
          <w:lang w:val="bg-BG"/>
        </w:rPr>
        <w:tab/>
        <w:t>Полето на безпрепятствена видимост за рулевия при неговото обичайно положение трябва да бъде поне на 240°от хоризонта и поне 140° в полукръг пред плавателния съд.</w:t>
      </w:r>
    </w:p>
    <w:p w:rsidR="00822C1C" w:rsidRPr="009072DA" w:rsidRDefault="00822C1C" w:rsidP="00822C1C">
      <w:pPr>
        <w:pStyle w:val="ESchpar"/>
        <w:rPr>
          <w:szCs w:val="20"/>
          <w:lang w:val="bg-BG"/>
        </w:rPr>
      </w:pPr>
    </w:p>
    <w:p w:rsidR="00822C1C" w:rsidRPr="009072DA" w:rsidRDefault="00822C1C" w:rsidP="00822C1C">
      <w:pPr>
        <w:pStyle w:val="ESchpar"/>
        <w:rPr>
          <w:lang w:val="bg-BG"/>
        </w:rPr>
      </w:pPr>
      <w:r w:rsidRPr="009072DA">
        <w:rPr>
          <w:lang w:val="bg-BG"/>
        </w:rPr>
        <w:t>Никакви рамки на прозорци, постове или надстройки не могат да бъдат разположени по обичайната ос на наблюдение на рулевия.</w:t>
      </w:r>
    </w:p>
    <w:p w:rsidR="00822C1C" w:rsidRPr="009072DA" w:rsidRDefault="00822C1C" w:rsidP="00822C1C">
      <w:pPr>
        <w:pStyle w:val="ESchpar"/>
        <w:rPr>
          <w:szCs w:val="20"/>
          <w:lang w:val="bg-BG"/>
        </w:rPr>
      </w:pPr>
    </w:p>
    <w:p w:rsidR="00822C1C" w:rsidRPr="009072DA" w:rsidRDefault="00822C1C" w:rsidP="00822C1C">
      <w:pPr>
        <w:pStyle w:val="ESchpar"/>
        <w:rPr>
          <w:lang w:val="bg-BG"/>
        </w:rPr>
      </w:pPr>
      <w:r w:rsidRPr="009072DA">
        <w:rPr>
          <w:lang w:val="bg-BG"/>
        </w:rPr>
        <w:t xml:space="preserve">Дори в случай, когато е осигурено поле на безпрепятствена видимост от поне 240° от хоризонта, контролният орган има право да изиска други мерки и в частност монтиране на подходящи помощни средства, ако не е осигурена достатъчна безпрепятствена видимост назад. </w:t>
      </w:r>
    </w:p>
    <w:p w:rsidR="00822C1C" w:rsidRPr="009072DA" w:rsidRDefault="00822C1C" w:rsidP="00822C1C">
      <w:pPr>
        <w:pStyle w:val="ESchpar"/>
        <w:rPr>
          <w:szCs w:val="20"/>
          <w:lang w:val="bg-BG"/>
        </w:rPr>
      </w:pPr>
    </w:p>
    <w:p w:rsidR="00822C1C" w:rsidRPr="009072DA" w:rsidRDefault="00822C1C" w:rsidP="00822C1C">
      <w:pPr>
        <w:pStyle w:val="ESchpar"/>
        <w:rPr>
          <w:lang w:val="bg-BG"/>
        </w:rPr>
      </w:pPr>
      <w:r w:rsidRPr="009072DA">
        <w:rPr>
          <w:lang w:val="bg-BG"/>
        </w:rPr>
        <w:t>Долният край на страничните прозорци трябва да бъде разположен колкото е възможно по-ниско, а горният край на страничните и задните прозорци трябва да бъде разположен колкото може по-високо.</w:t>
      </w:r>
    </w:p>
    <w:p w:rsidR="00822C1C" w:rsidRPr="009072DA" w:rsidRDefault="00822C1C" w:rsidP="00822C1C">
      <w:pPr>
        <w:pStyle w:val="ESchpar"/>
        <w:rPr>
          <w:szCs w:val="20"/>
          <w:lang w:val="bg-BG"/>
        </w:rPr>
      </w:pPr>
    </w:p>
    <w:p w:rsidR="00822C1C" w:rsidRPr="009072DA" w:rsidRDefault="00822C1C" w:rsidP="00822C1C">
      <w:pPr>
        <w:pStyle w:val="ESchpar"/>
        <w:rPr>
          <w:lang w:val="bg-BG"/>
        </w:rPr>
      </w:pPr>
      <w:r w:rsidRPr="009072DA">
        <w:rPr>
          <w:lang w:val="bg-BG"/>
        </w:rPr>
        <w:t>При определяне дали изискванията на настоящия член относно видимостта от рулевата рубка са изпълнени, се приема, че рулевият има височината на нивото на очите от 1,65 m над пода в рулевата рубка на поста за управление.</w:t>
      </w:r>
    </w:p>
    <w:p w:rsidR="00822C1C" w:rsidRPr="009072DA" w:rsidRDefault="00822C1C" w:rsidP="00822C1C">
      <w:pPr>
        <w:pStyle w:val="ESch"/>
        <w:rPr>
          <w:szCs w:val="20"/>
          <w:lang w:val="bg-BG"/>
        </w:rPr>
      </w:pPr>
    </w:p>
    <w:p w:rsidR="00D94C10" w:rsidRPr="009072DA" w:rsidRDefault="00D94C10" w:rsidP="00822C1C">
      <w:pPr>
        <w:pStyle w:val="ESch"/>
        <w:rPr>
          <w:szCs w:val="20"/>
          <w:lang w:val="bg-BG"/>
        </w:rPr>
      </w:pPr>
      <w:r w:rsidRPr="009072DA">
        <w:rPr>
          <w:lang w:val="bg-BG"/>
        </w:rPr>
        <w:br w:type="page"/>
      </w:r>
    </w:p>
    <w:p w:rsidR="00822C1C" w:rsidRPr="009072DA" w:rsidRDefault="00822C1C" w:rsidP="00822C1C">
      <w:pPr>
        <w:pStyle w:val="ESch"/>
        <w:rPr>
          <w:szCs w:val="20"/>
          <w:lang w:val="bg-BG"/>
        </w:rPr>
      </w:pPr>
      <w:r w:rsidRPr="009072DA">
        <w:rPr>
          <w:lang w:val="bg-BG"/>
        </w:rPr>
        <w:lastRenderedPageBreak/>
        <w:t>4.</w:t>
      </w:r>
      <w:r w:rsidRPr="009072DA">
        <w:rPr>
          <w:lang w:val="bg-BG"/>
        </w:rPr>
        <w:tab/>
        <w:t>Горният край на гледащите напред прозорци на рулевата рубка трябва да бъде достатъчно висок, за да позволи безпрепятствен поглед напред на лице, намиращо се на поста за управление.</w:t>
      </w:r>
    </w:p>
    <w:p w:rsidR="00822C1C" w:rsidRPr="009072DA" w:rsidRDefault="00822C1C" w:rsidP="00822C1C">
      <w:pPr>
        <w:pStyle w:val="ESchpar"/>
        <w:rPr>
          <w:szCs w:val="20"/>
          <w:lang w:val="bg-BG"/>
        </w:rPr>
      </w:pPr>
    </w:p>
    <w:p w:rsidR="00822C1C" w:rsidRPr="009072DA" w:rsidRDefault="00822C1C" w:rsidP="00822C1C">
      <w:pPr>
        <w:pStyle w:val="ESchpar"/>
        <w:rPr>
          <w:lang w:val="bg-BG"/>
        </w:rPr>
      </w:pPr>
      <w:r w:rsidRPr="009072DA">
        <w:rPr>
          <w:lang w:val="bg-BG"/>
        </w:rPr>
        <w:t>Това изискване се счита за изпълнено, когато лице на поста за управление с височина на нивото на очите 1,80 m има безпрепятствен поглед напред при ъгъл поне 10 градуса над хоризонталата на равнището на височината на очите.</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5.</w:t>
      </w:r>
      <w:r w:rsidRPr="009072DA">
        <w:rPr>
          <w:lang w:val="bg-BG"/>
        </w:rPr>
        <w:tab/>
        <w:t>При всякакви атмосферни условия трябва да има подходящи средства за осигуряване на ясна видимост на предните стъкла.</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6.</w:t>
      </w:r>
      <w:r w:rsidRPr="009072DA">
        <w:rPr>
          <w:lang w:val="bg-BG"/>
        </w:rPr>
        <w:tab/>
        <w:t>Остъкляването в рулевите рубки трябва да е от безопасно стъкло и да е с пропускане на светлината не по-малко от 75 %.</w:t>
      </w:r>
    </w:p>
    <w:p w:rsidR="00822C1C" w:rsidRPr="009072DA" w:rsidRDefault="00822C1C" w:rsidP="00822C1C">
      <w:pPr>
        <w:pStyle w:val="ESch"/>
        <w:rPr>
          <w:szCs w:val="20"/>
          <w:lang w:val="bg-BG"/>
        </w:rPr>
      </w:pPr>
    </w:p>
    <w:p w:rsidR="00822C1C" w:rsidRPr="009072DA" w:rsidRDefault="00822C1C" w:rsidP="00822C1C">
      <w:pPr>
        <w:pStyle w:val="ESchpar"/>
        <w:rPr>
          <w:szCs w:val="20"/>
          <w:lang w:val="bg-BG"/>
        </w:rPr>
      </w:pPr>
      <w:r w:rsidRPr="009072DA">
        <w:rPr>
          <w:lang w:val="bg-BG"/>
        </w:rPr>
        <w:t xml:space="preserve">За избягване на отражения, предните стъкла на рулевата рубка трябва да са незаслепяващи или монтирани така, че ефективно да не позволяват отражения. </w:t>
      </w:r>
    </w:p>
    <w:p w:rsidR="00822C1C" w:rsidRPr="009072DA" w:rsidRDefault="00822C1C" w:rsidP="00822C1C">
      <w:pPr>
        <w:pStyle w:val="ESchpar"/>
        <w:rPr>
          <w:szCs w:val="20"/>
          <w:lang w:val="bg-BG"/>
        </w:rPr>
      </w:pPr>
    </w:p>
    <w:p w:rsidR="00822C1C" w:rsidRPr="009072DA" w:rsidRDefault="006777B9" w:rsidP="00822C1C">
      <w:pPr>
        <w:pStyle w:val="ESchpar"/>
        <w:rPr>
          <w:lang w:val="bg-BG"/>
        </w:rPr>
      </w:pPr>
      <w:r w:rsidRPr="009072DA">
        <w:rPr>
          <w:lang w:val="bg-BG"/>
        </w:rPr>
        <w:t>Изискването на второто изречение се счита за изпълнено, когато прозорците се под наклон спрямо вертикалната равнина на ъгъл не по-малък от 10° и не по-голям от 25°.</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p>
    <w:p w:rsidR="00822C1C" w:rsidRPr="009072DA" w:rsidRDefault="00822C1C" w:rsidP="00822C1C">
      <w:pPr>
        <w:pStyle w:val="ES-Titre3"/>
        <w:rPr>
          <w:i/>
          <w:lang w:val="bg-BG"/>
        </w:rPr>
      </w:pPr>
      <w:bookmarkStart w:id="89" w:name="_Toc491854045"/>
      <w:bookmarkStart w:id="90" w:name="_Toc535827486"/>
      <w:r w:rsidRPr="009072DA">
        <w:rPr>
          <w:lang w:val="bg-BG"/>
        </w:rPr>
        <w:t>Член 7.03</w:t>
      </w:r>
      <w:r w:rsidRPr="009072DA">
        <w:rPr>
          <w:lang w:val="bg-BG"/>
        </w:rPr>
        <w:br/>
      </w:r>
      <w:r w:rsidRPr="009072DA">
        <w:rPr>
          <w:i/>
          <w:lang w:val="bg-BG"/>
        </w:rPr>
        <w:t>Общи изисквания към оборудването за управление, индикация и следене</w:t>
      </w:r>
      <w:bookmarkEnd w:id="89"/>
      <w:bookmarkEnd w:id="90"/>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1.</w:t>
      </w:r>
      <w:r w:rsidRPr="009072DA">
        <w:rPr>
          <w:lang w:val="bg-BG"/>
        </w:rPr>
        <w:tab/>
        <w:t>Оборудването за управление, необходимо за експлоатацията на плавателния съд, трябва да се привежда лесно в работно положение. Това положение трябва да е недвусмислено ясно.</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2.</w:t>
      </w:r>
      <w:r w:rsidRPr="009072DA">
        <w:rPr>
          <w:lang w:val="bg-BG"/>
        </w:rPr>
        <w:tab/>
        <w:t>Инструментите за следене трябва да бъдат лесни за разчитане. Трябва да има възможност тяхното осветяване да бъде намалявано до край. Източниците на светлина трябва да не са натрапчиви, нито да затрудняват разчитането на инструментите за следене.</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3.</w:t>
      </w:r>
      <w:r w:rsidRPr="009072DA">
        <w:rPr>
          <w:lang w:val="bg-BG"/>
        </w:rPr>
        <w:tab/>
        <w:t>Трябва да има система за изпробване на предупредителните и индикаторните светлини.</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lastRenderedPageBreak/>
        <w:t>4.</w:t>
      </w:r>
      <w:r w:rsidRPr="009072DA">
        <w:rPr>
          <w:lang w:val="bg-BG"/>
        </w:rPr>
        <w:tab/>
        <w:t>Трябва да бъде възможно ясно да се установява дали дадена система работи. Ако нейната работа се сигнализира с индикаторна светлина, светлината е зелена.</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5.</w:t>
      </w:r>
      <w:r w:rsidRPr="009072DA">
        <w:rPr>
          <w:lang w:val="bg-BG"/>
        </w:rPr>
        <w:tab/>
        <w:t>Всяка неизправност или повреда на системите, които се следят, се обозначава с червени алармени светлини.</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6.</w:t>
      </w:r>
      <w:r w:rsidRPr="009072DA">
        <w:rPr>
          <w:lang w:val="bg-BG"/>
        </w:rPr>
        <w:tab/>
        <w:t>Звуково предупреждение трябва да се задейства с червената предупредителна светлина. Звуковите предупреждения могат да се дават с единичен, общ сигнал. Нивото на звуковото налягане на този сигнал трябва да е по-високо от максималното ниво на звуковото налягане на околния шум в поста за управление с поне 3 dB (A).</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7.</w:t>
      </w:r>
      <w:r w:rsidRPr="009072DA">
        <w:rPr>
          <w:lang w:val="bg-BG"/>
        </w:rPr>
        <w:tab/>
        <w:t>Звуковото предупреждение трябва да може да бъде изключвано, след като неизправността или повредата е потвърдена. Това изключване не трябва да пречи аларменият сигнал да бъде задействан от друга неизправност. Червените алармени светлини се изключват само когато неизправността бъде отстранена.</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8.</w:t>
      </w:r>
      <w:r w:rsidRPr="009072DA">
        <w:rPr>
          <w:lang w:val="bg-BG"/>
        </w:rPr>
        <w:tab/>
        <w:t>Устройствата за индикация и следене трябва да бъдат превключвани автоматично към друг захранващ източник, ако техният източник на енергия откаже.</w:t>
      </w:r>
    </w:p>
    <w:p w:rsidR="00822C1C" w:rsidRPr="009072DA" w:rsidRDefault="00822C1C" w:rsidP="00822C1C">
      <w:pPr>
        <w:pStyle w:val="ESch"/>
        <w:rPr>
          <w:szCs w:val="20"/>
          <w:lang w:val="bg-BG"/>
        </w:rPr>
      </w:pPr>
    </w:p>
    <w:p w:rsidR="00822C1C" w:rsidRPr="009072DA" w:rsidRDefault="00D94C10" w:rsidP="00822C1C">
      <w:pPr>
        <w:pStyle w:val="ESch"/>
        <w:rPr>
          <w:szCs w:val="20"/>
          <w:lang w:val="bg-BG"/>
        </w:rPr>
      </w:pPr>
      <w:r w:rsidRPr="009072DA">
        <w:rPr>
          <w:lang w:val="bg-BG"/>
        </w:rPr>
        <w:br w:type="page"/>
      </w:r>
    </w:p>
    <w:p w:rsidR="00822C1C" w:rsidRPr="009072DA" w:rsidRDefault="00822C1C" w:rsidP="00822C1C">
      <w:pPr>
        <w:pStyle w:val="ES-Titre3"/>
        <w:rPr>
          <w:lang w:val="bg-BG"/>
        </w:rPr>
      </w:pPr>
      <w:bookmarkStart w:id="91" w:name="_Toc491854046"/>
      <w:bookmarkStart w:id="92" w:name="_Toc535827487"/>
      <w:r w:rsidRPr="009072DA">
        <w:rPr>
          <w:lang w:val="bg-BG"/>
        </w:rPr>
        <w:lastRenderedPageBreak/>
        <w:t>Член 7.04</w:t>
      </w:r>
      <w:r w:rsidRPr="009072DA">
        <w:rPr>
          <w:lang w:val="bg-BG"/>
        </w:rPr>
        <w:br/>
      </w:r>
      <w:r w:rsidRPr="009072DA">
        <w:rPr>
          <w:i/>
          <w:lang w:val="bg-BG"/>
        </w:rPr>
        <w:t>Специфични изисквания към оборудването за управление, индикация и следене на главните двигатели и рулевата система</w:t>
      </w:r>
      <w:bookmarkEnd w:id="91"/>
      <w:bookmarkEnd w:id="92"/>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1.</w:t>
      </w:r>
      <w:r w:rsidRPr="009072DA">
        <w:rPr>
          <w:lang w:val="bg-BG"/>
        </w:rPr>
        <w:tab/>
        <w:t>Трябва да има възможност за управление и следене на главните двигатели и рулевите системи от поста за управление. Главните двигатели, оборудвани със съединител, който може да се задейства от поста за управление, или задвижващи гребни винтове, които могат да бъдат управлявани от поста за управление, трябва само да могат да бъдат пускани и спирани от машинното отделение.</w:t>
      </w:r>
    </w:p>
    <w:p w:rsidR="00D94C10" w:rsidRPr="009072DA" w:rsidRDefault="00D94C10" w:rsidP="00822C1C">
      <w:pPr>
        <w:pStyle w:val="ESch"/>
        <w:rPr>
          <w:szCs w:val="20"/>
          <w:lang w:val="bg-BG"/>
        </w:rPr>
      </w:pPr>
    </w:p>
    <w:p w:rsidR="00822C1C" w:rsidRPr="009072DA" w:rsidRDefault="00822C1C" w:rsidP="00822C1C">
      <w:pPr>
        <w:pStyle w:val="ESch"/>
        <w:rPr>
          <w:szCs w:val="20"/>
          <w:lang w:val="bg-BG"/>
        </w:rPr>
      </w:pPr>
      <w:r w:rsidRPr="009072DA">
        <w:rPr>
          <w:lang w:val="bg-BG"/>
        </w:rPr>
        <w:t>2.</w:t>
      </w:r>
      <w:r w:rsidRPr="009072DA">
        <w:rPr>
          <w:lang w:val="bg-BG"/>
        </w:rPr>
        <w:tab/>
        <w:t>Уредът за управление на всеки главен двигател трябва да е под формата на отделна ръкохватка, движеща се по дъга във вертикална равнина, приблизително успоредна на надлъжната ос на плавателния съд. Преместването на тази ръкохватка по посока към носа на плавателния съд трябва да води до движение напред, а преместването на ръкохватката към кърмата трябва да води до движение на плавателния съд назад. Включването на съединителя и обръщането на посоката на движение трябва да стават около неутралното положение на ръкохватката. Ръкохватката трябва да може да се поставя в неутрално положение.</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3.</w:t>
      </w:r>
      <w:r w:rsidRPr="009072DA">
        <w:rPr>
          <w:lang w:val="bg-BG"/>
        </w:rPr>
        <w:tab/>
        <w:t>Посоката на задвижващата тяга, действаща на плавателния съд, както и скоростта на въртене на гребния винт или главните двигатели трябва да бъдат показвани.</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4.</w:t>
      </w:r>
      <w:r w:rsidRPr="009072DA">
        <w:rPr>
          <w:lang w:val="bg-BG"/>
        </w:rPr>
        <w:tab/>
        <w:t>Уредите за индикация и следене, изисквани съгласно член 6.07, точка 2, член 8.03, точка 2 и член 8.05, точка 13, се разполагат на поста за управление.</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5.</w:t>
      </w:r>
      <w:r w:rsidRPr="009072DA">
        <w:rPr>
          <w:lang w:val="bg-BG"/>
        </w:rPr>
        <w:tab/>
        <w:t>Плавателни съдове с рулеви рубки, проектирани за управление  с радиолокационни средства от едно лице, се управляват с помощта на ръкохватка. Тази ръкохватка трябва да може лесно да се придвижва с ръка. Положението на ръкохватката по отношение на надлъжната ос на плавателния съд трябва точно да съответства на положението на перата на руля. Има възможност ръкохватката да бъде оставяна в произволно положение, без това да изменя положението на перата на руля. Неутралното положение на ръкохватката трябва да е ясно означено.</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6.</w:t>
      </w:r>
      <w:r w:rsidRPr="009072DA">
        <w:rPr>
          <w:lang w:val="bg-BG"/>
        </w:rPr>
        <w:tab/>
        <w:t xml:space="preserve">Когато плавателният съд е снабден с носови рул или специален рул, особено за движение назад, те се командват от рулеви рубки, които са проектирани за управление  с радиолокационни средства от едно лице, със специални ръкохватки, съответстващи </w:t>
      </w:r>
      <w:r w:rsidRPr="009072DA">
        <w:rPr>
          <w:i/>
          <w:lang w:val="bg-BG"/>
        </w:rPr>
        <w:t>mutatis mutandis</w:t>
      </w:r>
      <w:r w:rsidRPr="009072DA">
        <w:rPr>
          <w:lang w:val="bg-BG"/>
        </w:rPr>
        <w:t xml:space="preserve"> на изискванията, изложени в точка 5.</w:t>
      </w:r>
    </w:p>
    <w:p w:rsidR="00822C1C" w:rsidRPr="009072DA" w:rsidRDefault="00822C1C" w:rsidP="00822C1C">
      <w:pPr>
        <w:pStyle w:val="ESch"/>
        <w:rPr>
          <w:szCs w:val="20"/>
          <w:lang w:val="bg-BG"/>
        </w:rPr>
      </w:pPr>
    </w:p>
    <w:p w:rsidR="00822C1C" w:rsidRPr="009072DA" w:rsidRDefault="00822C1C" w:rsidP="00822C1C">
      <w:pPr>
        <w:pStyle w:val="ESchpar"/>
        <w:rPr>
          <w:lang w:val="bg-BG"/>
        </w:rPr>
      </w:pPr>
      <w:r w:rsidRPr="009072DA">
        <w:rPr>
          <w:lang w:val="bg-BG"/>
        </w:rPr>
        <w:t>Това изискване важи също и когато при състави от плавателни средства се използва рулева система, монтирана на плавателно средство, различно от задвижващото състава плавателно средство.</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7.</w:t>
      </w:r>
      <w:r w:rsidRPr="009072DA">
        <w:rPr>
          <w:lang w:val="bg-BG"/>
        </w:rPr>
        <w:tab/>
        <w:t>Когато се използват регулатори на ъгловата скорост на поворот, трябва да е възможно органът за управление на ъгловата скорост на поворот да бъде освободен във всяко едно положение, без да се променя избраната скорост.</w:t>
      </w:r>
    </w:p>
    <w:p w:rsidR="00822C1C" w:rsidRPr="009072DA" w:rsidRDefault="00822C1C" w:rsidP="00822C1C">
      <w:pPr>
        <w:pStyle w:val="ESch"/>
        <w:rPr>
          <w:szCs w:val="20"/>
          <w:lang w:val="bg-BG"/>
        </w:rPr>
      </w:pPr>
    </w:p>
    <w:p w:rsidR="00822C1C" w:rsidRPr="009072DA" w:rsidRDefault="00822C1C" w:rsidP="00822C1C">
      <w:pPr>
        <w:pStyle w:val="ESchpar"/>
        <w:rPr>
          <w:lang w:val="bg-BG"/>
        </w:rPr>
      </w:pPr>
      <w:r w:rsidRPr="009072DA">
        <w:rPr>
          <w:lang w:val="bg-BG"/>
        </w:rPr>
        <w:t>Уредът за управление се движи по достатъчно широка дъга, с което да се гарантира управление със съответната прецизност. Неутралното положение трябва да бъде ясно разграничено от другите положения. Трябва да има възможност за увеличаване или намаляване на нивото на осветеност.</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8.</w:t>
      </w:r>
      <w:r w:rsidRPr="009072DA">
        <w:rPr>
          <w:lang w:val="bg-BG"/>
        </w:rPr>
        <w:tab/>
        <w:t>Инсталациите за дистанционно управление за цялата рулева система се инсталират трайно и се разполагат така, че избраният курс да бъде ясно видим. Ако оборудването за дистанционно управление може да бъде изключено, то е оборудвано с индикаторно устройство, показващо съответните работни състояния „работи“ или „не работи“.  Разположението и боравенето с уредите за управление е функционално.</w:t>
      </w:r>
    </w:p>
    <w:p w:rsidR="00822C1C" w:rsidRPr="009072DA" w:rsidRDefault="00822C1C" w:rsidP="00822C1C">
      <w:pPr>
        <w:pStyle w:val="ESch"/>
        <w:rPr>
          <w:szCs w:val="20"/>
          <w:lang w:val="bg-BG"/>
        </w:rPr>
      </w:pPr>
    </w:p>
    <w:p w:rsidR="00D94C10" w:rsidRPr="009072DA" w:rsidRDefault="00D94C10" w:rsidP="00822C1C">
      <w:pPr>
        <w:pStyle w:val="ESch"/>
        <w:rPr>
          <w:szCs w:val="20"/>
          <w:lang w:val="bg-BG"/>
        </w:rPr>
      </w:pPr>
      <w:r w:rsidRPr="009072DA">
        <w:rPr>
          <w:lang w:val="bg-BG"/>
        </w:rPr>
        <w:br w:type="page"/>
      </w:r>
    </w:p>
    <w:p w:rsidR="00822C1C" w:rsidRPr="009072DA" w:rsidRDefault="00822C1C" w:rsidP="00822C1C">
      <w:pPr>
        <w:pStyle w:val="ESchpar"/>
        <w:rPr>
          <w:lang w:val="bg-BG"/>
        </w:rPr>
      </w:pPr>
      <w:r w:rsidRPr="009072DA">
        <w:rPr>
          <w:lang w:val="bg-BG"/>
        </w:rPr>
        <w:lastRenderedPageBreak/>
        <w:t>За системите, които са помощни към рулевата система, като работещо носово подрулващо устройство, оборудване за дистанционно управление, което не е монтирано трайно, се смята за допустимо, при условие че такава помощна инсталация може по всяко време да бъде активирана с команда от рулевата рубка.</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9.</w:t>
      </w:r>
      <w:r w:rsidRPr="009072DA">
        <w:rPr>
          <w:lang w:val="bg-BG"/>
        </w:rPr>
        <w:tab/>
        <w:t>При системите с винто-рулеви колони, водометни и крилчати движители и носови подрулващи устройства като оборудване за управление, индикация и следене могат да бъдат приети и еквивалентни устройства.</w:t>
      </w:r>
    </w:p>
    <w:p w:rsidR="00822C1C" w:rsidRPr="009072DA" w:rsidRDefault="00822C1C" w:rsidP="00822C1C">
      <w:pPr>
        <w:pStyle w:val="ESchpar"/>
        <w:rPr>
          <w:szCs w:val="20"/>
          <w:lang w:val="bg-BG"/>
        </w:rPr>
      </w:pPr>
    </w:p>
    <w:p w:rsidR="00822C1C" w:rsidRPr="009072DA" w:rsidRDefault="00822C1C" w:rsidP="00822C1C">
      <w:pPr>
        <w:pStyle w:val="ESchpar"/>
        <w:rPr>
          <w:lang w:val="bg-BG"/>
        </w:rPr>
      </w:pPr>
      <w:r w:rsidRPr="009072DA">
        <w:rPr>
          <w:lang w:val="bg-BG"/>
        </w:rPr>
        <w:t xml:space="preserve">Изискванията, изложени в точки 1 — 8, се прилагат </w:t>
      </w:r>
      <w:r w:rsidRPr="009072DA">
        <w:rPr>
          <w:i/>
          <w:lang w:val="bg-BG"/>
        </w:rPr>
        <w:t>mutatis mutandis</w:t>
      </w:r>
      <w:r w:rsidRPr="009072DA">
        <w:rPr>
          <w:lang w:val="bg-BG"/>
        </w:rPr>
        <w:t xml:space="preserve"> предвид специфичните характеристики и разположение, избрани за горепосочените активни звена за управление и задвижване. По аналогия с точка 2 всяко звено се управлява посредством ръкохватка, движеща се по дъга във вертикална равнина, приблизително успоредна на посоката на бутане на звеното. От положението на ръкохватката трябва да е ясна посоката на бутане, упражнена върху плавателния съд.</w:t>
      </w:r>
    </w:p>
    <w:p w:rsidR="00822C1C" w:rsidRPr="009072DA" w:rsidRDefault="00822C1C" w:rsidP="00822C1C">
      <w:pPr>
        <w:pStyle w:val="ESchpar"/>
        <w:rPr>
          <w:szCs w:val="20"/>
          <w:lang w:val="bg-BG"/>
        </w:rPr>
      </w:pPr>
    </w:p>
    <w:p w:rsidR="00822C1C" w:rsidRPr="009072DA" w:rsidRDefault="00822C1C" w:rsidP="00822C1C">
      <w:pPr>
        <w:pStyle w:val="ESchpar"/>
        <w:rPr>
          <w:lang w:val="bg-BG"/>
        </w:rPr>
      </w:pPr>
      <w:r w:rsidRPr="009072DA">
        <w:rPr>
          <w:lang w:val="bg-BG"/>
        </w:rPr>
        <w:t>Ако винто-рулевата колона или крилчатият движител не се управляват с ръкохватки, контролният орган може да позволи дерогации от точка 2. Тези дерогации се вписват в точка 52 от удостоверението на плавателния съд за плаване по вътрешни водни пътища.</w:t>
      </w:r>
    </w:p>
    <w:p w:rsidR="00822C1C" w:rsidRPr="009072DA" w:rsidRDefault="00822C1C" w:rsidP="00822C1C">
      <w:pPr>
        <w:pStyle w:val="ESch"/>
        <w:rPr>
          <w:szCs w:val="20"/>
          <w:lang w:val="bg-BG"/>
        </w:rPr>
      </w:pPr>
    </w:p>
    <w:p w:rsidR="00D94C10" w:rsidRPr="009072DA" w:rsidRDefault="00D94C10" w:rsidP="00822C1C">
      <w:pPr>
        <w:pStyle w:val="ESch"/>
        <w:rPr>
          <w:szCs w:val="20"/>
          <w:lang w:val="bg-BG"/>
        </w:rPr>
      </w:pPr>
    </w:p>
    <w:p w:rsidR="00DD67C0" w:rsidRPr="009072DA" w:rsidRDefault="00822C1C" w:rsidP="00DD67C0">
      <w:pPr>
        <w:spacing w:line="240" w:lineRule="atLeast"/>
        <w:jc w:val="center"/>
        <w:rPr>
          <w:rFonts w:cs="Arial"/>
          <w:bCs/>
          <w:i/>
          <w:lang w:val="bg-BG"/>
        </w:rPr>
      </w:pPr>
      <w:r w:rsidRPr="009072DA">
        <w:rPr>
          <w:b/>
          <w:lang w:val="bg-BG"/>
        </w:rPr>
        <w:t>Член 7.05</w:t>
      </w:r>
      <w:r w:rsidRPr="009072DA">
        <w:rPr>
          <w:lang w:val="bg-BG"/>
        </w:rPr>
        <w:br/>
      </w:r>
      <w:r w:rsidRPr="009072DA">
        <w:rPr>
          <w:b/>
          <w:i/>
          <w:lang w:val="bg-BG"/>
        </w:rPr>
        <w:t>Навигационни светлини, светлинни и звукови сигнали</w:t>
      </w:r>
    </w:p>
    <w:p w:rsidR="00DD67C0" w:rsidRPr="009072DA" w:rsidRDefault="00DD67C0" w:rsidP="00DD67C0">
      <w:pPr>
        <w:spacing w:line="240" w:lineRule="atLeast"/>
        <w:rPr>
          <w:rFonts w:cs="Arial"/>
          <w:bCs/>
          <w:i/>
          <w:lang w:val="bg-BG"/>
        </w:rPr>
      </w:pPr>
    </w:p>
    <w:p w:rsidR="00DD67C0" w:rsidRPr="009072DA" w:rsidRDefault="00DD67C0" w:rsidP="0071721E">
      <w:pPr>
        <w:pStyle w:val="ESch"/>
        <w:rPr>
          <w:lang w:val="bg-BG"/>
        </w:rPr>
      </w:pPr>
      <w:r w:rsidRPr="009072DA">
        <w:rPr>
          <w:lang w:val="bg-BG"/>
        </w:rPr>
        <w:t>1.</w:t>
      </w:r>
      <w:r w:rsidRPr="009072DA">
        <w:rPr>
          <w:lang w:val="bg-BG"/>
        </w:rPr>
        <w:tab/>
        <w:t>Навигационните светлини, техните осветители и принадлежности носят маркировка за одобрение, предписана от Директива 2014/90/ЕС</w:t>
      </w:r>
      <w:r w:rsidRPr="009072DA">
        <w:rPr>
          <w:vertAlign w:val="superscript"/>
          <w:lang w:val="bg-BG"/>
        </w:rPr>
        <w:footnoteReference w:id="7"/>
      </w:r>
      <w:r w:rsidRPr="009072DA">
        <w:rPr>
          <w:lang w:val="bg-BG"/>
        </w:rPr>
        <w:t xml:space="preserve">, с измененията.“ </w:t>
      </w:r>
    </w:p>
    <w:p w:rsidR="00DD67C0" w:rsidRPr="009072DA" w:rsidRDefault="00DD67C0" w:rsidP="0071721E">
      <w:pPr>
        <w:pStyle w:val="ESch"/>
        <w:rPr>
          <w:rFonts w:cs="Arial"/>
          <w:bCs/>
          <w:i/>
          <w:lang w:val="bg-BG"/>
        </w:rPr>
      </w:pPr>
    </w:p>
    <w:p w:rsidR="00DD67C0" w:rsidRPr="009072DA" w:rsidRDefault="00DD67C0" w:rsidP="0071721E">
      <w:pPr>
        <w:pStyle w:val="ESch"/>
        <w:rPr>
          <w:lang w:val="bg-BG"/>
        </w:rPr>
      </w:pPr>
      <w:r w:rsidRPr="009072DA">
        <w:rPr>
          <w:lang w:val="bg-BG"/>
        </w:rPr>
        <w:t>2.</w:t>
      </w:r>
      <w:r w:rsidRPr="009072DA">
        <w:rPr>
          <w:lang w:val="bg-BG"/>
        </w:rPr>
        <w:tab/>
        <w:t>Текущите индикаторни светлини или други еквивалентни устройства, като например сигнални светлини за следене на навигационните светлини, се монтират в рулевата рубка, освен ако следенето може да се осъществява пряко от рулевата рубка.</w:t>
      </w:r>
    </w:p>
    <w:p w:rsidR="00DD67C0" w:rsidRPr="009072DA" w:rsidRDefault="00DD67C0" w:rsidP="0071721E">
      <w:pPr>
        <w:pStyle w:val="ESch"/>
        <w:rPr>
          <w:lang w:val="bg-BG"/>
        </w:rPr>
      </w:pPr>
    </w:p>
    <w:p w:rsidR="00DD67C0" w:rsidRPr="009072DA" w:rsidRDefault="0071721E" w:rsidP="0071721E">
      <w:pPr>
        <w:pStyle w:val="ESch"/>
        <w:rPr>
          <w:lang w:val="bg-BG"/>
        </w:rPr>
      </w:pPr>
      <w:r w:rsidRPr="009072DA">
        <w:rPr>
          <w:lang w:val="bg-BG"/>
        </w:rPr>
        <w:t>3.</w:t>
      </w:r>
      <w:r w:rsidRPr="009072DA">
        <w:rPr>
          <w:lang w:val="bg-BG"/>
        </w:rPr>
        <w:tab/>
        <w:t>В рулевите рубки, проектирани за управление  с радиолокационни средства от едно лице, на пулта за управление се монтират сигнални светлини с цел следене на навигационните светлини и светлинните сигнали. Ключовете на навигационните светлини трябва да са интегрирани в сигналните светлини или да са в съседство с тях и принадлежността им към тях трябва да е означена ясно.</w:t>
      </w:r>
    </w:p>
    <w:p w:rsidR="00DD67C0" w:rsidRPr="009072DA" w:rsidRDefault="00DD67C0" w:rsidP="0071721E">
      <w:pPr>
        <w:pStyle w:val="ESch"/>
        <w:rPr>
          <w:lang w:val="bg-BG"/>
        </w:rPr>
      </w:pPr>
    </w:p>
    <w:p w:rsidR="00DD67C0" w:rsidRPr="009072DA" w:rsidRDefault="00DD67C0" w:rsidP="0071721E">
      <w:pPr>
        <w:pStyle w:val="ESchpar"/>
        <w:rPr>
          <w:lang w:val="bg-BG"/>
        </w:rPr>
      </w:pPr>
      <w:r w:rsidRPr="009072DA">
        <w:rPr>
          <w:lang w:val="bg-BG"/>
        </w:rPr>
        <w:t>Разположението и цветът на сигналните светлини за навигационните светлини и светлинните сигнали трябва да съответстват на действителното положение и цвят на тези светлини и сигнали.</w:t>
      </w:r>
    </w:p>
    <w:p w:rsidR="00DD67C0" w:rsidRPr="009072DA" w:rsidRDefault="00DD67C0" w:rsidP="0071721E">
      <w:pPr>
        <w:pStyle w:val="ESch"/>
        <w:rPr>
          <w:lang w:val="bg-BG"/>
        </w:rPr>
      </w:pPr>
    </w:p>
    <w:p w:rsidR="00DD67C0" w:rsidRPr="009072DA" w:rsidRDefault="00DD67C0" w:rsidP="0071721E">
      <w:pPr>
        <w:pStyle w:val="ESchpar"/>
        <w:rPr>
          <w:lang w:val="bg-BG"/>
        </w:rPr>
      </w:pPr>
      <w:r w:rsidRPr="009072DA">
        <w:rPr>
          <w:lang w:val="bg-BG"/>
        </w:rPr>
        <w:t>Повредата на навигационна светлина или светлинен сигнал води до изгасване на съответната сигнална светлина или до подаване на сигнал по друг начин.</w:t>
      </w:r>
    </w:p>
    <w:p w:rsidR="00DD67C0" w:rsidRPr="009072DA" w:rsidRDefault="00DD67C0" w:rsidP="0071721E">
      <w:pPr>
        <w:pStyle w:val="ESch"/>
        <w:rPr>
          <w:lang w:val="bg-BG"/>
        </w:rPr>
      </w:pPr>
    </w:p>
    <w:p w:rsidR="00822C1C" w:rsidRPr="009072DA" w:rsidRDefault="00DD67C0" w:rsidP="0071721E">
      <w:pPr>
        <w:pStyle w:val="ESch"/>
        <w:rPr>
          <w:lang w:val="bg-BG"/>
        </w:rPr>
      </w:pPr>
      <w:r w:rsidRPr="009072DA">
        <w:rPr>
          <w:lang w:val="bg-BG"/>
        </w:rPr>
        <w:t>4.</w:t>
      </w:r>
      <w:r w:rsidRPr="009072DA">
        <w:rPr>
          <w:lang w:val="bg-BG"/>
        </w:rPr>
        <w:tab/>
        <w:t>В рулевите рубки, проектирани за управление с радиолокационни средства от едно лице, трябва да може звуковите сигнали да бъдат задействани с прекъсвач, задействан с крак. Това изискване не се прилага за сигнала „не се приближавай“ в съответствие с приложимите разпоредби на навигационните служби на държавите членки.</w:t>
      </w:r>
    </w:p>
    <w:p w:rsidR="00D94C10" w:rsidRPr="009072DA" w:rsidRDefault="00D94C10" w:rsidP="00822C1C">
      <w:pPr>
        <w:pStyle w:val="ESch"/>
        <w:rPr>
          <w:szCs w:val="20"/>
          <w:lang w:val="bg-BG"/>
        </w:rPr>
      </w:pPr>
      <w:r w:rsidRPr="009072DA">
        <w:rPr>
          <w:lang w:val="bg-BG"/>
        </w:rPr>
        <w:br w:type="page"/>
      </w:r>
    </w:p>
    <w:p w:rsidR="00822C1C" w:rsidRPr="009072DA" w:rsidRDefault="00822C1C" w:rsidP="00822C1C">
      <w:pPr>
        <w:pStyle w:val="ES-Titre3"/>
        <w:rPr>
          <w:lang w:val="bg-BG"/>
        </w:rPr>
      </w:pPr>
      <w:bookmarkStart w:id="93" w:name="_Toc491854047"/>
      <w:bookmarkStart w:id="94" w:name="_Toc535827488"/>
      <w:r w:rsidRPr="009072DA">
        <w:rPr>
          <w:lang w:val="bg-BG"/>
        </w:rPr>
        <w:lastRenderedPageBreak/>
        <w:t>Член 7.06</w:t>
      </w:r>
      <w:r w:rsidRPr="009072DA">
        <w:rPr>
          <w:lang w:val="bg-BG"/>
        </w:rPr>
        <w:br/>
      </w:r>
      <w:r w:rsidRPr="009072DA">
        <w:rPr>
          <w:i/>
          <w:lang w:val="bg-BG"/>
        </w:rPr>
        <w:t>Навигационни и информационни устройства</w:t>
      </w:r>
      <w:bookmarkEnd w:id="93"/>
      <w:bookmarkEnd w:id="94"/>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1.</w:t>
      </w:r>
      <w:r w:rsidRPr="009072DA">
        <w:rPr>
          <w:lang w:val="bg-BG"/>
        </w:rPr>
        <w:tab/>
        <w:t xml:space="preserve">Навигационното радиолокационно оборудване и индикаторите на ъгловата скорост на поворот трябва да отговарят на изискванията, посочени в приложение 5. Спазването на изискванията трябва да се определя от одобрението на типа, издадено от компетентния орган. </w:t>
      </w:r>
    </w:p>
    <w:p w:rsidR="00822C1C" w:rsidRPr="009072DA" w:rsidRDefault="00822C1C" w:rsidP="00822C1C">
      <w:pPr>
        <w:pStyle w:val="ESch"/>
        <w:rPr>
          <w:szCs w:val="20"/>
          <w:lang w:val="bg-BG"/>
        </w:rPr>
      </w:pPr>
    </w:p>
    <w:p w:rsidR="00DD67C0" w:rsidRPr="009072DA" w:rsidRDefault="00822C1C" w:rsidP="00DD67C0">
      <w:pPr>
        <w:pStyle w:val="ESch"/>
        <w:rPr>
          <w:szCs w:val="20"/>
          <w:lang w:val="bg-BG"/>
        </w:rPr>
      </w:pPr>
      <w:r w:rsidRPr="009072DA">
        <w:rPr>
          <w:lang w:val="bg-BG"/>
        </w:rPr>
        <w:t>2.</w:t>
      </w:r>
      <w:r w:rsidRPr="009072DA">
        <w:rPr>
          <w:lang w:val="bg-BG"/>
        </w:rPr>
        <w:tab/>
        <w:t>Оборудване за ECDIS за вътрешните водни пътища, което може да се използва в навигационен режим, се третира като навигационно радиолокационно оборудване. То трябва да отговаря на изискванията на стандарта за ECDIS за вътрешните водни пътища. Трябва да са спазени изискванията по приложение 5.</w:t>
      </w:r>
    </w:p>
    <w:p w:rsidR="00822C1C" w:rsidRPr="009072DA" w:rsidRDefault="00822C1C" w:rsidP="00DD67C0">
      <w:pPr>
        <w:pStyle w:val="ESch"/>
        <w:rPr>
          <w:szCs w:val="20"/>
          <w:lang w:val="bg-BG"/>
        </w:rPr>
      </w:pPr>
    </w:p>
    <w:p w:rsidR="00822C1C" w:rsidRPr="009072DA" w:rsidRDefault="008418DC" w:rsidP="00822C1C">
      <w:pPr>
        <w:pStyle w:val="ESch"/>
        <w:rPr>
          <w:rFonts w:cs="Arial"/>
          <w:szCs w:val="20"/>
          <w:lang w:val="bg-BG"/>
        </w:rPr>
      </w:pPr>
      <w:r w:rsidRPr="009072DA">
        <w:rPr>
          <w:lang w:val="bg-BG"/>
        </w:rPr>
        <w:t>3.</w:t>
      </w:r>
      <w:r w:rsidRPr="009072DA">
        <w:rPr>
          <w:lang w:val="bg-BG"/>
        </w:rPr>
        <w:tab/>
        <w:t>Оборудването за AIS за вътрешни водни пътища трябва да отговаря на изискванията на настоящия стандарт за изпитване за AIS за вътрешни водни пътища. Трябва да са спазени изискванията по приложение 5.</w:t>
      </w:r>
    </w:p>
    <w:p w:rsidR="008418DC" w:rsidRPr="009072DA" w:rsidRDefault="008418DC" w:rsidP="00822C1C">
      <w:pPr>
        <w:pStyle w:val="ESch"/>
        <w:rPr>
          <w:szCs w:val="20"/>
          <w:lang w:val="bg-BG"/>
        </w:rPr>
      </w:pPr>
    </w:p>
    <w:p w:rsidR="00822C1C" w:rsidRPr="009072DA" w:rsidRDefault="00822C1C" w:rsidP="00822C1C">
      <w:pPr>
        <w:pStyle w:val="ESch"/>
        <w:rPr>
          <w:szCs w:val="20"/>
          <w:lang w:val="bg-BG"/>
        </w:rPr>
      </w:pPr>
      <w:r w:rsidRPr="009072DA">
        <w:rPr>
          <w:lang w:val="bg-BG"/>
        </w:rPr>
        <w:t>4.</w:t>
      </w:r>
      <w:r w:rsidRPr="009072DA">
        <w:rPr>
          <w:lang w:val="bg-BG"/>
        </w:rPr>
        <w:tab/>
        <w:t>Индикаторът на ъгловата скорост на поворот се разполага пред рулевия и в неговото полезрение.</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5.</w:t>
      </w:r>
      <w:r w:rsidRPr="009072DA">
        <w:rPr>
          <w:lang w:val="bg-BG"/>
        </w:rPr>
        <w:tab/>
        <w:t>В рулеви рубки, проектирани за управление с радиолокационни средства от едно лице:</w:t>
      </w:r>
    </w:p>
    <w:p w:rsidR="00822C1C" w:rsidRPr="009072DA" w:rsidRDefault="005C7859" w:rsidP="00822C1C">
      <w:pPr>
        <w:pStyle w:val="ESlet"/>
        <w:rPr>
          <w:lang w:val="bg-BG"/>
        </w:rPr>
      </w:pPr>
      <w:r w:rsidRPr="009072DA">
        <w:rPr>
          <w:lang w:val="bg-BG"/>
        </w:rPr>
        <w:t>a)</w:t>
      </w:r>
      <w:r w:rsidRPr="009072DA">
        <w:rPr>
          <w:lang w:val="bg-BG"/>
        </w:rPr>
        <w:tab/>
        <w:t>екранът на радиолокатора не трябва да е изместен значително извън оста на полезрението на рулевия при нормалното му положение;</w:t>
      </w:r>
    </w:p>
    <w:p w:rsidR="00822C1C" w:rsidRPr="009072DA" w:rsidRDefault="005C7859" w:rsidP="00822C1C">
      <w:pPr>
        <w:pStyle w:val="ESlet"/>
        <w:rPr>
          <w:lang w:val="bg-BG"/>
        </w:rPr>
      </w:pPr>
      <w:r w:rsidRPr="009072DA">
        <w:rPr>
          <w:lang w:val="bg-BG"/>
        </w:rPr>
        <w:t>б)</w:t>
      </w:r>
      <w:r w:rsidRPr="009072DA">
        <w:rPr>
          <w:lang w:val="bg-BG"/>
        </w:rPr>
        <w:tab/>
        <w:t>радиолокационното изображение трябва да продължава да се вижда идеално без маска или екран, каквито и да са условията на осветлението извън рулевата рубка;</w:t>
      </w:r>
    </w:p>
    <w:p w:rsidR="00822C1C" w:rsidRPr="009072DA" w:rsidRDefault="005C7859" w:rsidP="00822C1C">
      <w:pPr>
        <w:pStyle w:val="ESlet"/>
        <w:rPr>
          <w:lang w:val="bg-BG"/>
        </w:rPr>
      </w:pPr>
      <w:r w:rsidRPr="009072DA">
        <w:rPr>
          <w:lang w:val="bg-BG"/>
        </w:rPr>
        <w:t>в)</w:t>
      </w:r>
      <w:r w:rsidRPr="009072DA">
        <w:rPr>
          <w:lang w:val="bg-BG"/>
        </w:rPr>
        <w:tab/>
        <w:t>индикаторът на ъгловата скорост на поворот трябва да е монтиран точно над радиолокационното изображение или под него или да е вграден в него.</w:t>
      </w:r>
    </w:p>
    <w:p w:rsidR="00822C1C" w:rsidRPr="009072DA" w:rsidRDefault="00822C1C" w:rsidP="00822C1C">
      <w:pPr>
        <w:pStyle w:val="ESch"/>
        <w:rPr>
          <w:szCs w:val="20"/>
          <w:lang w:val="bg-BG"/>
        </w:rPr>
      </w:pPr>
    </w:p>
    <w:p w:rsidR="00822C1C" w:rsidRPr="009072DA" w:rsidRDefault="00822C1C" w:rsidP="00822C1C">
      <w:pPr>
        <w:pStyle w:val="ESch"/>
        <w:rPr>
          <w:lang w:val="bg-BG"/>
        </w:rPr>
      </w:pPr>
    </w:p>
    <w:p w:rsidR="00822C1C" w:rsidRPr="009072DA" w:rsidRDefault="00822C1C" w:rsidP="00822C1C">
      <w:pPr>
        <w:pStyle w:val="ES-Titre3"/>
        <w:rPr>
          <w:lang w:val="bg-BG"/>
        </w:rPr>
      </w:pPr>
      <w:bookmarkStart w:id="95" w:name="_Toc491854048"/>
      <w:bookmarkStart w:id="96" w:name="_Toc535827489"/>
      <w:r w:rsidRPr="009072DA">
        <w:rPr>
          <w:lang w:val="bg-BG"/>
        </w:rPr>
        <w:t>Член 7.07</w:t>
      </w:r>
      <w:r w:rsidRPr="009072DA">
        <w:rPr>
          <w:lang w:val="bg-BG"/>
        </w:rPr>
        <w:br/>
      </w:r>
      <w:r w:rsidRPr="009072DA">
        <w:rPr>
          <w:i/>
          <w:lang w:val="bg-BG"/>
        </w:rPr>
        <w:t>Радио телефонни системи за плавателни съдове с рулеви рубки, проектирани за управление  с радиолокационни средства от едно лице</w:t>
      </w:r>
      <w:bookmarkEnd w:id="95"/>
      <w:bookmarkEnd w:id="96"/>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1.</w:t>
      </w:r>
      <w:r w:rsidRPr="009072DA">
        <w:rPr>
          <w:lang w:val="bg-BG"/>
        </w:rPr>
        <w:tab/>
        <w:t>Когато рулевите рубки на плавателен съд са проектирани за управление с радиолокационни средства от едно лице, приемането на информация от мрежите на плавателния съд и мрежата за навигационна информация трябва да се осъществява чрез високоговорител, а изпращането на информация — чрез фиксиран микрофон. Режимите на изпращане/приемане се избират с натискане на бутон.</w:t>
      </w:r>
    </w:p>
    <w:p w:rsidR="00822C1C" w:rsidRPr="009072DA" w:rsidRDefault="00822C1C" w:rsidP="00822C1C">
      <w:pPr>
        <w:pStyle w:val="ESch"/>
        <w:rPr>
          <w:szCs w:val="20"/>
          <w:lang w:val="bg-BG"/>
        </w:rPr>
      </w:pPr>
    </w:p>
    <w:p w:rsidR="00822C1C" w:rsidRPr="009072DA" w:rsidRDefault="00822C1C" w:rsidP="00822C1C">
      <w:pPr>
        <w:pStyle w:val="ESchpar"/>
        <w:rPr>
          <w:szCs w:val="20"/>
          <w:lang w:val="bg-BG"/>
        </w:rPr>
      </w:pPr>
      <w:r w:rsidRPr="009072DA">
        <w:rPr>
          <w:lang w:val="bg-BG"/>
        </w:rPr>
        <w:t>Не трябва да е възможно да се използват микрофоните на тези мрежи за публични съобщителни мрежи.</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2.</w:t>
      </w:r>
      <w:r w:rsidRPr="009072DA">
        <w:rPr>
          <w:lang w:val="bg-BG"/>
        </w:rPr>
        <w:tab/>
        <w:t>Когато рулевите рубки на плавателни съдове, проектирани за управление  с радиолокационни средства от едно лице, са оборудвани с радиотелефонна система за публична съобщителна мрежа, приемането трябва да е възможно от мястото на рулевия.</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p>
    <w:p w:rsidR="00B006DB" w:rsidRPr="009072DA" w:rsidRDefault="00B006DB" w:rsidP="00822C1C">
      <w:pPr>
        <w:pStyle w:val="ESch"/>
        <w:rPr>
          <w:szCs w:val="20"/>
          <w:lang w:val="bg-BG"/>
        </w:rPr>
      </w:pPr>
      <w:r w:rsidRPr="009072DA">
        <w:rPr>
          <w:lang w:val="bg-BG"/>
        </w:rPr>
        <w:br w:type="page"/>
      </w:r>
    </w:p>
    <w:p w:rsidR="00822C1C" w:rsidRPr="009072DA" w:rsidRDefault="00822C1C" w:rsidP="00822C1C">
      <w:pPr>
        <w:pStyle w:val="ES-Titre3"/>
        <w:rPr>
          <w:lang w:val="bg-BG"/>
        </w:rPr>
      </w:pPr>
      <w:bookmarkStart w:id="97" w:name="_Toc491854049"/>
      <w:bookmarkStart w:id="98" w:name="_Toc535827490"/>
      <w:r w:rsidRPr="009072DA">
        <w:rPr>
          <w:lang w:val="bg-BG"/>
        </w:rPr>
        <w:lastRenderedPageBreak/>
        <w:t>Член 7.08</w:t>
      </w:r>
      <w:r w:rsidRPr="009072DA">
        <w:rPr>
          <w:lang w:val="bg-BG"/>
        </w:rPr>
        <w:br/>
      </w:r>
      <w:r w:rsidRPr="009072DA">
        <w:rPr>
          <w:i/>
          <w:lang w:val="bg-BG"/>
        </w:rPr>
        <w:t>Съоръжения за вътрешнокорабна комуникация на борда</w:t>
      </w:r>
      <w:bookmarkEnd w:id="97"/>
      <w:bookmarkEnd w:id="98"/>
    </w:p>
    <w:p w:rsidR="00822C1C" w:rsidRPr="009072DA" w:rsidRDefault="00822C1C" w:rsidP="00822C1C">
      <w:pPr>
        <w:pStyle w:val="ESch"/>
        <w:rPr>
          <w:szCs w:val="20"/>
          <w:lang w:val="bg-BG"/>
        </w:rPr>
      </w:pPr>
    </w:p>
    <w:p w:rsidR="00822C1C" w:rsidRPr="009072DA" w:rsidRDefault="00822C1C" w:rsidP="00822C1C">
      <w:pPr>
        <w:pStyle w:val="ESgauche"/>
        <w:rPr>
          <w:noProof w:val="0"/>
          <w:lang w:val="bg-BG"/>
        </w:rPr>
      </w:pPr>
      <w:r w:rsidRPr="009072DA">
        <w:rPr>
          <w:noProof w:val="0"/>
          <w:lang w:val="bg-BG"/>
        </w:rPr>
        <w:t>Трябва да са осигурени съоръжения за вътрешнокорабна комуникация на борда на плавателните съдове с рулеви рубки, проектирани за управление  с радиолокационни средства от едно лице.</w:t>
      </w:r>
    </w:p>
    <w:p w:rsidR="00822C1C" w:rsidRPr="009072DA" w:rsidRDefault="00822C1C" w:rsidP="00822C1C">
      <w:pPr>
        <w:pStyle w:val="ESgauche"/>
        <w:rPr>
          <w:noProof w:val="0"/>
          <w:lang w:val="bg-BG"/>
        </w:rPr>
      </w:pPr>
    </w:p>
    <w:p w:rsidR="00822C1C" w:rsidRPr="009072DA" w:rsidRDefault="00822C1C" w:rsidP="00B006DB">
      <w:pPr>
        <w:pStyle w:val="ESgauche"/>
        <w:rPr>
          <w:noProof w:val="0"/>
          <w:lang w:val="bg-BG"/>
        </w:rPr>
      </w:pPr>
      <w:r w:rsidRPr="009072DA">
        <w:rPr>
          <w:noProof w:val="0"/>
          <w:lang w:val="bg-BG"/>
        </w:rPr>
        <w:t>Трябва да е възможно да се установят комуникационни връзки от поста за управление:</w:t>
      </w:r>
    </w:p>
    <w:p w:rsidR="00822C1C" w:rsidRPr="009072DA" w:rsidRDefault="005C7859" w:rsidP="00B006DB">
      <w:pPr>
        <w:pStyle w:val="ESletgauche"/>
        <w:rPr>
          <w:lang w:val="bg-BG"/>
        </w:rPr>
      </w:pPr>
      <w:r w:rsidRPr="009072DA">
        <w:rPr>
          <w:lang w:val="bg-BG"/>
        </w:rPr>
        <w:t>a)</w:t>
      </w:r>
      <w:r w:rsidRPr="009072DA">
        <w:rPr>
          <w:lang w:val="bg-BG"/>
        </w:rPr>
        <w:tab/>
        <w:t>с носа на плавателния съд или състава от плавателни съдове;</w:t>
      </w:r>
    </w:p>
    <w:p w:rsidR="00822C1C" w:rsidRPr="009072DA" w:rsidRDefault="005C7859" w:rsidP="00B006DB">
      <w:pPr>
        <w:pStyle w:val="ESletgauche"/>
        <w:rPr>
          <w:lang w:val="bg-BG"/>
        </w:rPr>
      </w:pPr>
      <w:r w:rsidRPr="009072DA">
        <w:rPr>
          <w:lang w:val="bg-BG"/>
        </w:rPr>
        <w:t>б)</w:t>
      </w:r>
      <w:r w:rsidRPr="009072DA">
        <w:rPr>
          <w:lang w:val="bg-BG"/>
        </w:rPr>
        <w:tab/>
        <w:t>с кърмата на плавателния съд или състава от плавателни съдове, ако пряка връзка не е възможна от поста за управление;</w:t>
      </w:r>
    </w:p>
    <w:p w:rsidR="00822C1C" w:rsidRPr="009072DA" w:rsidRDefault="005C7859" w:rsidP="00B006DB">
      <w:pPr>
        <w:pStyle w:val="ESletgauche"/>
        <w:rPr>
          <w:lang w:val="bg-BG"/>
        </w:rPr>
      </w:pPr>
      <w:r w:rsidRPr="009072DA">
        <w:rPr>
          <w:lang w:val="bg-BG"/>
        </w:rPr>
        <w:t>в)</w:t>
      </w:r>
      <w:r w:rsidRPr="009072DA">
        <w:rPr>
          <w:lang w:val="bg-BG"/>
        </w:rPr>
        <w:tab/>
        <w:t>с жилищните помещения на екипажа;</w:t>
      </w:r>
    </w:p>
    <w:p w:rsidR="00822C1C" w:rsidRPr="009072DA" w:rsidRDefault="005C7859" w:rsidP="00B006DB">
      <w:pPr>
        <w:pStyle w:val="ESletgauche"/>
        <w:rPr>
          <w:lang w:val="bg-BG"/>
        </w:rPr>
      </w:pPr>
      <w:r w:rsidRPr="009072DA">
        <w:rPr>
          <w:lang w:val="bg-BG"/>
        </w:rPr>
        <w:t>г)</w:t>
      </w:r>
      <w:r w:rsidRPr="009072DA">
        <w:rPr>
          <w:lang w:val="bg-BG"/>
        </w:rPr>
        <w:tab/>
        <w:t>с каютата на капитана.</w:t>
      </w:r>
    </w:p>
    <w:p w:rsidR="00822C1C" w:rsidRPr="009072DA" w:rsidRDefault="00822C1C" w:rsidP="00822C1C">
      <w:pPr>
        <w:pStyle w:val="ESgauche"/>
        <w:rPr>
          <w:noProof w:val="0"/>
          <w:szCs w:val="20"/>
          <w:lang w:val="bg-BG"/>
        </w:rPr>
      </w:pPr>
    </w:p>
    <w:p w:rsidR="00822C1C" w:rsidRPr="009072DA" w:rsidRDefault="00822C1C" w:rsidP="00822C1C">
      <w:pPr>
        <w:pStyle w:val="ESgauche"/>
        <w:rPr>
          <w:noProof w:val="0"/>
          <w:szCs w:val="20"/>
          <w:lang w:val="bg-BG"/>
        </w:rPr>
      </w:pPr>
      <w:r w:rsidRPr="009072DA">
        <w:rPr>
          <w:noProof w:val="0"/>
          <w:lang w:val="bg-BG"/>
        </w:rPr>
        <w:t>Приемането на всички места на тези вътрешни комуникационни връзки става чрез високоговорител, а предаването — чрез фиксиран микрофон. Връзката с носа и кърмата на плавателния съд или състава от плавателни съдове може да бъде от радиотелефонен тип.</w:t>
      </w:r>
    </w:p>
    <w:p w:rsidR="00822C1C" w:rsidRPr="009072DA" w:rsidRDefault="00822C1C" w:rsidP="00822C1C">
      <w:pPr>
        <w:pStyle w:val="ESgauche"/>
        <w:rPr>
          <w:noProof w:val="0"/>
          <w:szCs w:val="20"/>
          <w:lang w:val="bg-BG"/>
        </w:rPr>
      </w:pPr>
    </w:p>
    <w:p w:rsidR="00822C1C" w:rsidRPr="009072DA" w:rsidRDefault="00822C1C" w:rsidP="00822C1C">
      <w:pPr>
        <w:pStyle w:val="ESgauche"/>
        <w:rPr>
          <w:noProof w:val="0"/>
          <w:lang w:val="bg-BG"/>
        </w:rPr>
      </w:pPr>
    </w:p>
    <w:p w:rsidR="00822C1C" w:rsidRPr="009072DA" w:rsidRDefault="00822C1C" w:rsidP="00822C1C">
      <w:pPr>
        <w:pStyle w:val="ES-Titre3"/>
        <w:rPr>
          <w:lang w:val="bg-BG"/>
        </w:rPr>
      </w:pPr>
      <w:bookmarkStart w:id="99" w:name="_Toc491854050"/>
      <w:bookmarkStart w:id="100" w:name="_Toc535827491"/>
      <w:r w:rsidRPr="009072DA">
        <w:rPr>
          <w:lang w:val="bg-BG"/>
        </w:rPr>
        <w:t>Член 7.09</w:t>
      </w:r>
      <w:r w:rsidRPr="009072DA">
        <w:rPr>
          <w:lang w:val="bg-BG"/>
        </w:rPr>
        <w:br/>
      </w:r>
      <w:r w:rsidRPr="009072DA">
        <w:rPr>
          <w:i/>
          <w:lang w:val="bg-BG"/>
        </w:rPr>
        <w:t>Алармена система</w:t>
      </w:r>
      <w:bookmarkEnd w:id="99"/>
      <w:bookmarkEnd w:id="100"/>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1.</w:t>
      </w:r>
      <w:r w:rsidRPr="009072DA">
        <w:rPr>
          <w:lang w:val="bg-BG"/>
        </w:rPr>
        <w:tab/>
        <w:t>Трябва да има самостоятелна алармена система, която позволява да бъдат достигнати жилищните помещения, машинните отделения и, където е приложимо, отделните помпени отделения, да бъдат достигнати.</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2.</w:t>
      </w:r>
      <w:r w:rsidRPr="009072DA">
        <w:rPr>
          <w:lang w:val="bg-BG"/>
        </w:rPr>
        <w:tab/>
        <w:t>В обсега на рулевия трябва да има прекъсвач за включване и изключване на алармения сигнал; прекъсвачи, които автоматично се връщат в положение изключено, след като бъдат освободени, не се допускат.</w:t>
      </w:r>
    </w:p>
    <w:p w:rsidR="00822C1C" w:rsidRPr="009072DA" w:rsidRDefault="00822C1C" w:rsidP="00822C1C">
      <w:pPr>
        <w:pStyle w:val="ESch"/>
        <w:rPr>
          <w:szCs w:val="20"/>
          <w:lang w:val="bg-BG"/>
        </w:rPr>
      </w:pPr>
    </w:p>
    <w:p w:rsidR="00822C1C" w:rsidRPr="009072DA" w:rsidRDefault="00822C1C" w:rsidP="00822C1C">
      <w:pPr>
        <w:pStyle w:val="ESch"/>
        <w:rPr>
          <w:szCs w:val="20"/>
          <w:lang w:val="bg-BG"/>
        </w:rPr>
      </w:pPr>
      <w:r w:rsidRPr="009072DA">
        <w:rPr>
          <w:lang w:val="bg-BG"/>
        </w:rPr>
        <w:t>3.</w:t>
      </w:r>
      <w:r w:rsidRPr="009072DA">
        <w:rPr>
          <w:lang w:val="bg-BG"/>
        </w:rPr>
        <w:tab/>
        <w:t>Нивото на силата на звука на алармения сигнал е не по-малко от 75 dB (A) в жилищните помещения.</w:t>
      </w:r>
    </w:p>
    <w:p w:rsidR="00822C1C" w:rsidRPr="009072DA" w:rsidRDefault="00822C1C" w:rsidP="00822C1C">
      <w:pPr>
        <w:pStyle w:val="ESch"/>
        <w:rPr>
          <w:szCs w:val="20"/>
          <w:lang w:val="bg-BG"/>
        </w:rPr>
      </w:pPr>
    </w:p>
    <w:p w:rsidR="00822C1C" w:rsidRPr="009072DA" w:rsidRDefault="00822C1C" w:rsidP="00822C1C">
      <w:pPr>
        <w:pStyle w:val="ESchpar"/>
        <w:rPr>
          <w:szCs w:val="20"/>
          <w:lang w:val="bg-BG"/>
        </w:rPr>
      </w:pPr>
      <w:r w:rsidRPr="009072DA">
        <w:rPr>
          <w:lang w:val="bg-BG"/>
        </w:rPr>
        <w:t>В машинните отделения и помпените отделения аларменият сигнал трябва да е под формата на мигаща светлина, видима от всички страни и ясно забележима от всяка точка.</w:t>
      </w:r>
    </w:p>
    <w:p w:rsidR="00822C1C" w:rsidRPr="009072DA" w:rsidRDefault="00822C1C" w:rsidP="00B006DB">
      <w:pPr>
        <w:pStyle w:val="ESch"/>
        <w:rPr>
          <w:szCs w:val="20"/>
          <w:lang w:val="bg-BG"/>
        </w:rPr>
      </w:pPr>
    </w:p>
    <w:p w:rsidR="00822C1C" w:rsidRPr="009072DA" w:rsidRDefault="00822C1C" w:rsidP="00B006DB">
      <w:pPr>
        <w:pStyle w:val="ESch"/>
        <w:rPr>
          <w:lang w:val="bg-BG"/>
        </w:rPr>
      </w:pPr>
    </w:p>
    <w:p w:rsidR="00822C1C" w:rsidRPr="009072DA" w:rsidRDefault="00822C1C" w:rsidP="00822C1C">
      <w:pPr>
        <w:pStyle w:val="ES-Titre3"/>
        <w:rPr>
          <w:lang w:val="bg-BG"/>
        </w:rPr>
      </w:pPr>
      <w:bookmarkStart w:id="101" w:name="_Toc491854051"/>
      <w:bookmarkStart w:id="102" w:name="_Toc535827492"/>
      <w:r w:rsidRPr="009072DA">
        <w:rPr>
          <w:lang w:val="bg-BG"/>
        </w:rPr>
        <w:t>Член 7.10</w:t>
      </w:r>
      <w:r w:rsidRPr="009072DA">
        <w:rPr>
          <w:lang w:val="bg-BG"/>
        </w:rPr>
        <w:br/>
      </w:r>
      <w:r w:rsidRPr="009072DA">
        <w:rPr>
          <w:i/>
          <w:lang w:val="bg-BG"/>
        </w:rPr>
        <w:t>Отопление и вентилация</w:t>
      </w:r>
      <w:bookmarkEnd w:id="101"/>
      <w:bookmarkEnd w:id="102"/>
    </w:p>
    <w:p w:rsidR="00822C1C" w:rsidRPr="009072DA" w:rsidRDefault="00822C1C" w:rsidP="00822C1C">
      <w:pPr>
        <w:pStyle w:val="ESch"/>
        <w:rPr>
          <w:szCs w:val="20"/>
          <w:lang w:val="bg-BG"/>
        </w:rPr>
      </w:pPr>
    </w:p>
    <w:p w:rsidR="003F558E" w:rsidRPr="009072DA" w:rsidRDefault="00822C1C" w:rsidP="003F558E">
      <w:pPr>
        <w:pStyle w:val="ESgauche"/>
        <w:rPr>
          <w:noProof w:val="0"/>
          <w:szCs w:val="20"/>
          <w:lang w:val="bg-BG"/>
        </w:rPr>
      </w:pPr>
      <w:r w:rsidRPr="009072DA">
        <w:rPr>
          <w:noProof w:val="0"/>
          <w:lang w:val="bg-BG"/>
        </w:rPr>
        <w:t>Рулевите рубки са оборудвани с ефикасни отоплителни и вентилационни системи, които могат да бъдат регулирани.</w:t>
      </w:r>
    </w:p>
    <w:p w:rsidR="003F558E" w:rsidRPr="009072DA" w:rsidRDefault="003F558E" w:rsidP="003F558E">
      <w:pPr>
        <w:pStyle w:val="ESgauche"/>
        <w:rPr>
          <w:noProof w:val="0"/>
          <w:szCs w:val="20"/>
          <w:lang w:val="bg-BG"/>
        </w:rPr>
      </w:pPr>
    </w:p>
    <w:p w:rsidR="003F558E" w:rsidRPr="009072DA" w:rsidRDefault="003F558E" w:rsidP="003F558E">
      <w:pPr>
        <w:pStyle w:val="ESgauche"/>
        <w:rPr>
          <w:noProof w:val="0"/>
          <w:lang w:val="bg-BG"/>
        </w:rPr>
      </w:pPr>
    </w:p>
    <w:p w:rsidR="00822C1C" w:rsidRPr="009072DA" w:rsidRDefault="00822C1C" w:rsidP="003F558E">
      <w:pPr>
        <w:pStyle w:val="ES-Titre3"/>
        <w:rPr>
          <w:i/>
          <w:lang w:val="bg-BG"/>
        </w:rPr>
      </w:pPr>
      <w:bookmarkStart w:id="103" w:name="_Toc491854052"/>
      <w:bookmarkStart w:id="104" w:name="_Toc535827493"/>
      <w:r w:rsidRPr="009072DA">
        <w:rPr>
          <w:lang w:val="bg-BG"/>
        </w:rPr>
        <w:t>Член 7.11</w:t>
      </w:r>
      <w:r w:rsidRPr="009072DA">
        <w:rPr>
          <w:lang w:val="bg-BG"/>
        </w:rPr>
        <w:br/>
      </w:r>
      <w:r w:rsidRPr="009072DA">
        <w:rPr>
          <w:i/>
          <w:lang w:val="bg-BG"/>
        </w:rPr>
        <w:t>Оборудване за работа с кърмови котви</w:t>
      </w:r>
      <w:bookmarkEnd w:id="103"/>
      <w:bookmarkEnd w:id="104"/>
    </w:p>
    <w:p w:rsidR="003F558E" w:rsidRPr="009072DA" w:rsidRDefault="003F558E" w:rsidP="00822C1C">
      <w:pPr>
        <w:pStyle w:val="ESch"/>
        <w:rPr>
          <w:szCs w:val="20"/>
          <w:lang w:val="bg-BG"/>
        </w:rPr>
      </w:pPr>
    </w:p>
    <w:p w:rsidR="00822C1C" w:rsidRPr="009072DA" w:rsidRDefault="00822C1C" w:rsidP="003F558E">
      <w:pPr>
        <w:pStyle w:val="ESgauche"/>
        <w:rPr>
          <w:noProof w:val="0"/>
          <w:szCs w:val="20"/>
          <w:lang w:val="bg-BG"/>
        </w:rPr>
      </w:pPr>
      <w:r w:rsidRPr="009072DA">
        <w:rPr>
          <w:noProof w:val="0"/>
          <w:lang w:val="bg-BG"/>
        </w:rPr>
        <w:t>На борда на плавателни съдове и състави с рулеви рубки, оборудвани за управление с радиолокационни средства от едно лице, с дължина над 86 m или ширина над 22,90 m трябва да е възможно рулевият да спуска кърмовите котви от своя пост.</w:t>
      </w:r>
    </w:p>
    <w:p w:rsidR="003F558E" w:rsidRPr="009072DA" w:rsidRDefault="003F558E" w:rsidP="003F558E">
      <w:pPr>
        <w:pStyle w:val="ESgauche"/>
        <w:rPr>
          <w:noProof w:val="0"/>
          <w:szCs w:val="20"/>
          <w:lang w:val="bg-BG"/>
        </w:rPr>
      </w:pPr>
    </w:p>
    <w:p w:rsidR="003F558E" w:rsidRPr="009072DA" w:rsidRDefault="003F558E" w:rsidP="003F558E">
      <w:pPr>
        <w:pStyle w:val="ESgauche"/>
        <w:rPr>
          <w:noProof w:val="0"/>
          <w:lang w:val="bg-BG"/>
        </w:rPr>
      </w:pPr>
    </w:p>
    <w:p w:rsidR="00B006DB" w:rsidRPr="009072DA" w:rsidRDefault="00B006DB" w:rsidP="003F558E">
      <w:pPr>
        <w:pStyle w:val="ESgauche"/>
        <w:rPr>
          <w:noProof w:val="0"/>
          <w:lang w:val="bg-BG"/>
        </w:rPr>
      </w:pPr>
      <w:r w:rsidRPr="009072DA">
        <w:rPr>
          <w:noProof w:val="0"/>
          <w:lang w:val="bg-BG"/>
        </w:rPr>
        <w:br w:type="page"/>
      </w:r>
    </w:p>
    <w:p w:rsidR="008418DC" w:rsidRPr="009072DA" w:rsidRDefault="00822C1C" w:rsidP="003B0440">
      <w:pPr>
        <w:pStyle w:val="ES-Titre3"/>
        <w:rPr>
          <w:i/>
          <w:snapToGrid w:val="0"/>
          <w:lang w:val="bg-BG"/>
        </w:rPr>
      </w:pPr>
      <w:bookmarkStart w:id="105" w:name="_Toc491854053"/>
      <w:bookmarkStart w:id="106" w:name="_Toc535827494"/>
      <w:r w:rsidRPr="009072DA">
        <w:rPr>
          <w:lang w:val="bg-BG"/>
        </w:rPr>
        <w:lastRenderedPageBreak/>
        <w:t>Член 7.12</w:t>
      </w:r>
      <w:r w:rsidRPr="009072DA">
        <w:rPr>
          <w:lang w:val="bg-BG"/>
        </w:rPr>
        <w:br/>
      </w:r>
      <w:r w:rsidRPr="009072DA">
        <w:rPr>
          <w:i/>
          <w:snapToGrid w:val="0"/>
          <w:lang w:val="bg-BG"/>
        </w:rPr>
        <w:t>Издигащи се рулеви рубки</w:t>
      </w:r>
      <w:bookmarkEnd w:id="105"/>
      <w:bookmarkEnd w:id="106"/>
    </w:p>
    <w:p w:rsidR="008418DC" w:rsidRPr="009072DA" w:rsidRDefault="008418DC" w:rsidP="008418DC">
      <w:pPr>
        <w:tabs>
          <w:tab w:val="left" w:pos="851"/>
        </w:tabs>
        <w:adjustRightInd w:val="0"/>
        <w:spacing w:line="240" w:lineRule="atLeast"/>
        <w:jc w:val="center"/>
        <w:rPr>
          <w:rFonts w:cs="Arial"/>
          <w:b/>
          <w:bCs/>
          <w:snapToGrid w:val="0"/>
          <w:szCs w:val="20"/>
          <w:lang w:val="bg-BG"/>
        </w:rPr>
      </w:pPr>
    </w:p>
    <w:p w:rsidR="008418DC" w:rsidRPr="009072DA" w:rsidRDefault="008418DC" w:rsidP="001F1AC2">
      <w:pPr>
        <w:pStyle w:val="ESch"/>
        <w:rPr>
          <w:lang w:val="bg-BG"/>
        </w:rPr>
      </w:pPr>
      <w:r w:rsidRPr="009072DA">
        <w:rPr>
          <w:lang w:val="bg-BG"/>
        </w:rPr>
        <w:t>1.</w:t>
      </w:r>
      <w:r w:rsidRPr="009072DA">
        <w:rPr>
          <w:lang w:val="bg-BG"/>
        </w:rPr>
        <w:tab/>
        <w:t xml:space="preserve">Механично задвижваната рулева рубка с подемен механизъм и нейното оборудване трябва да са проектирани по такъв начин, че безопасността на лицата на борда да не е застрашена. </w:t>
      </w:r>
    </w:p>
    <w:p w:rsidR="008418DC" w:rsidRPr="009072DA" w:rsidRDefault="008418DC" w:rsidP="001F1AC2">
      <w:pPr>
        <w:pStyle w:val="ESch"/>
        <w:rPr>
          <w:lang w:val="bg-BG"/>
        </w:rPr>
      </w:pPr>
    </w:p>
    <w:p w:rsidR="008418DC" w:rsidRPr="009072DA" w:rsidRDefault="008418DC" w:rsidP="001F1AC2">
      <w:pPr>
        <w:pStyle w:val="ESch"/>
        <w:rPr>
          <w:lang w:val="bg-BG"/>
        </w:rPr>
      </w:pPr>
      <w:r w:rsidRPr="009072DA">
        <w:rPr>
          <w:lang w:val="bg-BG"/>
        </w:rPr>
        <w:t>2.</w:t>
      </w:r>
      <w:r w:rsidRPr="009072DA">
        <w:rPr>
          <w:lang w:val="bg-BG"/>
        </w:rPr>
        <w:tab/>
        <w:t xml:space="preserve">Рулевата рубка с подемен механизъм не трябва да застрашава устойчивостта на плавателния съд. </w:t>
      </w:r>
    </w:p>
    <w:p w:rsidR="008418DC" w:rsidRPr="009072DA" w:rsidRDefault="008418DC" w:rsidP="001F1AC2">
      <w:pPr>
        <w:pStyle w:val="ESch"/>
        <w:rPr>
          <w:lang w:val="bg-BG"/>
        </w:rPr>
      </w:pPr>
    </w:p>
    <w:p w:rsidR="008418DC" w:rsidRPr="009072DA" w:rsidRDefault="008418DC" w:rsidP="001F1AC2">
      <w:pPr>
        <w:pStyle w:val="ESch"/>
        <w:rPr>
          <w:lang w:val="bg-BG"/>
        </w:rPr>
      </w:pPr>
      <w:r w:rsidRPr="009072DA">
        <w:rPr>
          <w:lang w:val="bg-BG"/>
        </w:rPr>
        <w:t>3.</w:t>
      </w:r>
      <w:r w:rsidRPr="009072DA">
        <w:rPr>
          <w:lang w:val="bg-BG"/>
        </w:rPr>
        <w:tab/>
        <w:t>Операциите, извършвани от рулевата рубка, не трябва да бъдат възпрепятствани при вдигане и сваляне. Трябва да е възможно да се влиза и излиза безопасно от рулевата рубка, независимо от положението ѝ.</w:t>
      </w:r>
    </w:p>
    <w:p w:rsidR="008418DC" w:rsidRPr="009072DA" w:rsidRDefault="008418DC" w:rsidP="001F1AC2">
      <w:pPr>
        <w:pStyle w:val="ESch"/>
        <w:rPr>
          <w:lang w:val="bg-BG"/>
        </w:rPr>
      </w:pPr>
    </w:p>
    <w:p w:rsidR="008418DC" w:rsidRPr="009072DA" w:rsidRDefault="008418DC" w:rsidP="001F1AC2">
      <w:pPr>
        <w:pStyle w:val="ESch"/>
        <w:rPr>
          <w:lang w:val="bg-BG"/>
        </w:rPr>
      </w:pPr>
      <w:r w:rsidRPr="009072DA">
        <w:rPr>
          <w:lang w:val="bg-BG"/>
        </w:rPr>
        <w:t>4.</w:t>
      </w:r>
      <w:r w:rsidRPr="009072DA">
        <w:rPr>
          <w:lang w:val="bg-BG"/>
        </w:rPr>
        <w:tab/>
        <w:t>Трябва да е възможно да се работи с подемния механизъм от вътрешността на рулевата рубка. Следните указания трябва да са разположени на поста за управление:</w:t>
      </w:r>
    </w:p>
    <w:p w:rsidR="008418DC" w:rsidRPr="009072DA" w:rsidRDefault="008418DC" w:rsidP="003B0440">
      <w:pPr>
        <w:pStyle w:val="ESlet"/>
        <w:rPr>
          <w:lang w:val="bg-BG"/>
        </w:rPr>
      </w:pPr>
      <w:r w:rsidRPr="009072DA">
        <w:rPr>
          <w:lang w:val="bg-BG"/>
        </w:rPr>
        <w:t xml:space="preserve">a) </w:t>
      </w:r>
      <w:r w:rsidRPr="009072DA">
        <w:rPr>
          <w:lang w:val="bg-BG"/>
        </w:rPr>
        <w:tab/>
        <w:t>налично напрежение,</w:t>
      </w:r>
    </w:p>
    <w:p w:rsidR="008418DC" w:rsidRPr="009072DA" w:rsidRDefault="008418DC" w:rsidP="003B0440">
      <w:pPr>
        <w:pStyle w:val="ESlet"/>
        <w:rPr>
          <w:lang w:val="bg-BG"/>
        </w:rPr>
      </w:pPr>
      <w:r w:rsidRPr="009072DA">
        <w:rPr>
          <w:lang w:val="bg-BG"/>
        </w:rPr>
        <w:t xml:space="preserve">б) </w:t>
      </w:r>
      <w:r w:rsidRPr="009072DA">
        <w:rPr>
          <w:lang w:val="bg-BG"/>
        </w:rPr>
        <w:tab/>
        <w:t>рулева рубка в най-ниско положение,</w:t>
      </w:r>
    </w:p>
    <w:p w:rsidR="008418DC" w:rsidRPr="009072DA" w:rsidRDefault="008418DC" w:rsidP="003B0440">
      <w:pPr>
        <w:pStyle w:val="ESlet"/>
        <w:rPr>
          <w:lang w:val="bg-BG"/>
        </w:rPr>
      </w:pPr>
      <w:r w:rsidRPr="009072DA">
        <w:rPr>
          <w:lang w:val="bg-BG"/>
        </w:rPr>
        <w:t xml:space="preserve">в) </w:t>
      </w:r>
      <w:r w:rsidRPr="009072DA">
        <w:rPr>
          <w:lang w:val="bg-BG"/>
        </w:rPr>
        <w:tab/>
        <w:t>рулева рубка в най-високо положение,</w:t>
      </w:r>
    </w:p>
    <w:p w:rsidR="008418DC" w:rsidRPr="009072DA" w:rsidRDefault="008418DC" w:rsidP="003B0440">
      <w:pPr>
        <w:pStyle w:val="ESlet"/>
        <w:rPr>
          <w:lang w:val="bg-BG"/>
        </w:rPr>
      </w:pPr>
      <w:r w:rsidRPr="009072DA">
        <w:rPr>
          <w:lang w:val="bg-BG"/>
        </w:rPr>
        <w:t xml:space="preserve">г) </w:t>
      </w:r>
      <w:r w:rsidRPr="009072DA">
        <w:rPr>
          <w:lang w:val="bg-BG"/>
        </w:rPr>
        <w:tab/>
        <w:t>рулевата рубка е заключена във фиксирана позиция (ако е приложимо).</w:t>
      </w:r>
    </w:p>
    <w:p w:rsidR="008418DC" w:rsidRPr="009072DA" w:rsidRDefault="008418DC" w:rsidP="001F1AC2">
      <w:pPr>
        <w:pStyle w:val="ESch"/>
        <w:rPr>
          <w:lang w:val="bg-BG"/>
        </w:rPr>
      </w:pPr>
    </w:p>
    <w:p w:rsidR="008418DC" w:rsidRPr="009072DA" w:rsidRDefault="008418DC" w:rsidP="001F1AC2">
      <w:pPr>
        <w:pStyle w:val="ESch"/>
        <w:rPr>
          <w:lang w:val="bg-BG"/>
        </w:rPr>
      </w:pPr>
      <w:r w:rsidRPr="009072DA">
        <w:rPr>
          <w:lang w:val="bg-BG"/>
        </w:rPr>
        <w:t>5.</w:t>
      </w:r>
      <w:r w:rsidRPr="009072DA">
        <w:rPr>
          <w:lang w:val="bg-BG"/>
        </w:rPr>
        <w:tab/>
        <w:t>Повдигащият механизъм трябва да позволява рулевата рубка да спира във всички позиции. Ако съществува възможност за заключване на рулевата рубка в определена позиция, механизмът за повдигане автоматично се деактивира при заключване. Освобождаване на заключването трябва да е възможно при всички работни условия.</w:t>
      </w:r>
    </w:p>
    <w:p w:rsidR="008418DC" w:rsidRPr="009072DA" w:rsidRDefault="008418DC" w:rsidP="001F1AC2">
      <w:pPr>
        <w:pStyle w:val="ESch"/>
        <w:rPr>
          <w:lang w:val="bg-BG"/>
        </w:rPr>
      </w:pPr>
    </w:p>
    <w:p w:rsidR="008418DC" w:rsidRPr="009072DA" w:rsidRDefault="008418DC" w:rsidP="001F1AC2">
      <w:pPr>
        <w:pStyle w:val="ESch"/>
        <w:rPr>
          <w:lang w:val="bg-BG"/>
        </w:rPr>
      </w:pPr>
      <w:r w:rsidRPr="009072DA">
        <w:rPr>
          <w:lang w:val="bg-BG"/>
        </w:rPr>
        <w:t>6.</w:t>
      </w:r>
      <w:r w:rsidRPr="009072DA">
        <w:rPr>
          <w:lang w:val="bg-BG"/>
        </w:rPr>
        <w:tab/>
        <w:t>Повдигащият механизъм трябва да бъде проектиран по такъв начин, че излизането извън крайните позиции да не е възможно.</w:t>
      </w:r>
    </w:p>
    <w:p w:rsidR="008418DC" w:rsidRPr="009072DA" w:rsidRDefault="008418DC" w:rsidP="001F1AC2">
      <w:pPr>
        <w:pStyle w:val="ESch"/>
        <w:rPr>
          <w:lang w:val="bg-BG"/>
        </w:rPr>
      </w:pPr>
    </w:p>
    <w:p w:rsidR="008418DC" w:rsidRPr="009072DA" w:rsidRDefault="008418DC" w:rsidP="001F1AC2">
      <w:pPr>
        <w:pStyle w:val="ESch"/>
        <w:rPr>
          <w:lang w:val="bg-BG"/>
        </w:rPr>
      </w:pPr>
      <w:r w:rsidRPr="009072DA">
        <w:rPr>
          <w:lang w:val="bg-BG"/>
        </w:rPr>
        <w:t>7.</w:t>
      </w:r>
      <w:r w:rsidRPr="009072DA">
        <w:rPr>
          <w:lang w:val="bg-BG"/>
        </w:rPr>
        <w:tab/>
        <w:t xml:space="preserve">Трябва да бъдат осигурени мерки за избягване на неконтролирано спускане на рулевата рубка. Трябва да бъдат инсталирани подходящи защитни елементи за предотвратяване на риска от нараняване, който може да произтече от спускането. Всички операции по спускане трябва автоматично да задействат оптичен и ясно различим звуков предупредителен сигнал. </w:t>
      </w:r>
    </w:p>
    <w:p w:rsidR="008418DC" w:rsidRPr="009072DA" w:rsidRDefault="008418DC" w:rsidP="001F1AC2">
      <w:pPr>
        <w:pStyle w:val="ESch"/>
        <w:rPr>
          <w:lang w:val="bg-BG"/>
        </w:rPr>
      </w:pPr>
    </w:p>
    <w:p w:rsidR="008418DC" w:rsidRPr="009072DA" w:rsidRDefault="008418DC" w:rsidP="001F1AC2">
      <w:pPr>
        <w:pStyle w:val="ESch"/>
        <w:rPr>
          <w:lang w:val="bg-BG"/>
        </w:rPr>
      </w:pPr>
      <w:r w:rsidRPr="009072DA">
        <w:rPr>
          <w:lang w:val="bg-BG"/>
        </w:rPr>
        <w:t>8.</w:t>
      </w:r>
      <w:r w:rsidRPr="009072DA">
        <w:rPr>
          <w:lang w:val="bg-BG"/>
        </w:rPr>
        <w:tab/>
        <w:t xml:space="preserve">Издигащите се рулеви рубки трябва да са оборудвани със система за аварийно спускане, която е независима от нормалния механизъм за повдигане и може да се използва дори и </w:t>
      </w:r>
      <w:r w:rsidRPr="009072DA">
        <w:rPr>
          <w:lang w:val="bg-BG"/>
        </w:rPr>
        <w:lastRenderedPageBreak/>
        <w:t>в случай на прекъсване на електрическото захранване. Тази аварийна система се управлява от рулевата рубка. При използване на аварийната система, скоростта на спускане трябва да бъде не по-ниска от скоростта на спускане при нормални условия.</w:t>
      </w:r>
    </w:p>
    <w:p w:rsidR="008418DC" w:rsidRPr="009072DA" w:rsidRDefault="008418DC" w:rsidP="001F1AC2">
      <w:pPr>
        <w:pStyle w:val="ESch"/>
        <w:rPr>
          <w:lang w:val="bg-BG"/>
        </w:rPr>
      </w:pPr>
    </w:p>
    <w:p w:rsidR="008418DC" w:rsidRPr="009072DA" w:rsidRDefault="008418DC" w:rsidP="001F1AC2">
      <w:pPr>
        <w:pStyle w:val="ESch"/>
        <w:rPr>
          <w:lang w:val="bg-BG"/>
        </w:rPr>
      </w:pPr>
      <w:r w:rsidRPr="009072DA">
        <w:rPr>
          <w:lang w:val="bg-BG"/>
        </w:rPr>
        <w:t>9.</w:t>
      </w:r>
      <w:r w:rsidRPr="009072DA">
        <w:rPr>
          <w:lang w:val="bg-BG"/>
        </w:rPr>
        <w:tab/>
        <w:t>(оставено непопълнено)</w:t>
      </w:r>
    </w:p>
    <w:p w:rsidR="008418DC" w:rsidRPr="009072DA" w:rsidRDefault="008418DC" w:rsidP="001F1AC2">
      <w:pPr>
        <w:pStyle w:val="ESch"/>
        <w:rPr>
          <w:lang w:val="bg-BG"/>
        </w:rPr>
      </w:pPr>
    </w:p>
    <w:p w:rsidR="008418DC" w:rsidRPr="009072DA" w:rsidRDefault="008418DC" w:rsidP="001F1AC2">
      <w:pPr>
        <w:pStyle w:val="ESch"/>
        <w:rPr>
          <w:lang w:val="bg-BG"/>
        </w:rPr>
      </w:pPr>
      <w:r w:rsidRPr="009072DA">
        <w:rPr>
          <w:lang w:val="bg-BG"/>
        </w:rPr>
        <w:t>10.</w:t>
      </w:r>
      <w:r w:rsidRPr="009072DA">
        <w:rPr>
          <w:lang w:val="bg-BG"/>
        </w:rPr>
        <w:tab/>
        <w:t>Хидравличните маркучи:</w:t>
      </w:r>
    </w:p>
    <w:p w:rsidR="008418DC" w:rsidRPr="009072DA" w:rsidRDefault="008418DC" w:rsidP="001F1AC2">
      <w:pPr>
        <w:pStyle w:val="ESlet"/>
        <w:rPr>
          <w:lang w:val="bg-BG"/>
        </w:rPr>
      </w:pPr>
      <w:r w:rsidRPr="009072DA">
        <w:rPr>
          <w:lang w:val="bg-BG"/>
        </w:rPr>
        <w:t>a)</w:t>
      </w:r>
      <w:r w:rsidRPr="009072DA">
        <w:rPr>
          <w:lang w:val="bg-BG"/>
        </w:rPr>
        <w:tab/>
        <w:t>трябва да се разрешават, само ако поглъщането на вибрациите или свободата на движение на компонентите прави използването им неизбежно;</w:t>
      </w:r>
    </w:p>
    <w:p w:rsidR="008418DC" w:rsidRPr="009072DA" w:rsidRDefault="008418DC" w:rsidP="001F1AC2">
      <w:pPr>
        <w:pStyle w:val="ESlet"/>
        <w:rPr>
          <w:lang w:val="bg-BG"/>
        </w:rPr>
      </w:pPr>
      <w:r w:rsidRPr="009072DA">
        <w:rPr>
          <w:lang w:val="bg-BG"/>
        </w:rPr>
        <w:t>б)</w:t>
      </w:r>
      <w:r w:rsidRPr="009072DA">
        <w:rPr>
          <w:lang w:val="bg-BG"/>
        </w:rPr>
        <w:tab/>
        <w:t>трябва да бъдат предназначени поне за максималното работно налягане;</w:t>
      </w:r>
    </w:p>
    <w:p w:rsidR="008418DC" w:rsidRPr="009072DA" w:rsidRDefault="008418DC" w:rsidP="001F1AC2">
      <w:pPr>
        <w:pStyle w:val="ESlet"/>
        <w:rPr>
          <w:lang w:val="bg-BG"/>
        </w:rPr>
      </w:pPr>
      <w:r w:rsidRPr="009072DA">
        <w:rPr>
          <w:lang w:val="bg-BG"/>
        </w:rPr>
        <w:t>в)</w:t>
      </w:r>
      <w:r w:rsidRPr="009072DA">
        <w:rPr>
          <w:lang w:val="bg-BG"/>
        </w:rPr>
        <w:tab/>
        <w:t xml:space="preserve">трябва да се подменят най-малко на всеки осем години. </w:t>
      </w:r>
    </w:p>
    <w:p w:rsidR="008418DC" w:rsidRPr="009072DA" w:rsidRDefault="008418DC" w:rsidP="008418DC">
      <w:pPr>
        <w:widowControl w:val="0"/>
        <w:rPr>
          <w:rFonts w:cs="Arial"/>
          <w:szCs w:val="20"/>
          <w:lang w:val="bg-BG"/>
        </w:rPr>
      </w:pPr>
    </w:p>
    <w:p w:rsidR="008418DC" w:rsidRPr="009072DA" w:rsidRDefault="008418DC" w:rsidP="001F1AC2">
      <w:pPr>
        <w:pStyle w:val="ESch"/>
        <w:rPr>
          <w:lang w:val="bg-BG"/>
        </w:rPr>
      </w:pPr>
      <w:r w:rsidRPr="009072DA">
        <w:rPr>
          <w:lang w:val="bg-BG"/>
        </w:rPr>
        <w:t>11.</w:t>
      </w:r>
      <w:r w:rsidRPr="009072DA">
        <w:rPr>
          <w:lang w:val="bg-BG"/>
        </w:rPr>
        <w:tab/>
        <w:t xml:space="preserve">Издигащите се рулеви рубки и техните уреди се проверяват редовно, но поне веднъж на всеки дванадесет месеца от компетентно лице. Безопасността на инсталацията се установява посредством визуална проверка и проверка за задоволителното функциониране. </w:t>
      </w:r>
    </w:p>
    <w:p w:rsidR="008418DC" w:rsidRPr="009072DA" w:rsidRDefault="008418DC" w:rsidP="003B0440">
      <w:pPr>
        <w:pStyle w:val="ESch"/>
        <w:rPr>
          <w:lang w:val="bg-BG"/>
        </w:rPr>
      </w:pPr>
    </w:p>
    <w:p w:rsidR="008418DC" w:rsidRPr="009072DA" w:rsidRDefault="008418DC" w:rsidP="003B0440">
      <w:pPr>
        <w:pStyle w:val="ESch"/>
        <w:rPr>
          <w:lang w:val="bg-BG"/>
        </w:rPr>
      </w:pPr>
      <w:r w:rsidRPr="009072DA">
        <w:rPr>
          <w:lang w:val="bg-BG"/>
        </w:rPr>
        <w:br w:type="page"/>
      </w:r>
    </w:p>
    <w:p w:rsidR="008418DC" w:rsidRPr="009072DA" w:rsidRDefault="008418DC" w:rsidP="001F1AC2">
      <w:pPr>
        <w:pStyle w:val="ESch"/>
        <w:rPr>
          <w:lang w:val="bg-BG"/>
        </w:rPr>
      </w:pPr>
      <w:r w:rsidRPr="009072DA">
        <w:rPr>
          <w:lang w:val="bg-BG"/>
        </w:rPr>
        <w:lastRenderedPageBreak/>
        <w:t>12.</w:t>
      </w:r>
      <w:r w:rsidRPr="009072DA">
        <w:rPr>
          <w:lang w:val="bg-BG"/>
        </w:rPr>
        <w:tab/>
        <w:t xml:space="preserve">Издигащите се рулевите рубки и техните уреди се проверяват от експерт: </w:t>
      </w:r>
    </w:p>
    <w:p w:rsidR="008418DC" w:rsidRPr="009072DA" w:rsidRDefault="008418DC" w:rsidP="003B0440">
      <w:pPr>
        <w:pStyle w:val="ESlet"/>
        <w:rPr>
          <w:lang w:val="bg-BG"/>
        </w:rPr>
      </w:pPr>
      <w:r w:rsidRPr="009072DA">
        <w:rPr>
          <w:lang w:val="bg-BG"/>
        </w:rPr>
        <w:t>a)</w:t>
      </w:r>
      <w:r w:rsidRPr="009072DA">
        <w:rPr>
          <w:lang w:val="bg-BG"/>
        </w:rPr>
        <w:tab/>
        <w:t xml:space="preserve">преди първоначално пускане в експлоатация; </w:t>
      </w:r>
    </w:p>
    <w:p w:rsidR="008418DC" w:rsidRPr="009072DA" w:rsidRDefault="008418DC" w:rsidP="003B0440">
      <w:pPr>
        <w:pStyle w:val="ESlet"/>
        <w:rPr>
          <w:lang w:val="bg-BG"/>
        </w:rPr>
      </w:pPr>
      <w:r w:rsidRPr="009072DA">
        <w:rPr>
          <w:lang w:val="bg-BG"/>
        </w:rPr>
        <w:t>б)</w:t>
      </w:r>
      <w:r w:rsidRPr="009072DA">
        <w:rPr>
          <w:lang w:val="bg-BG"/>
        </w:rPr>
        <w:tab/>
        <w:t>преди повторно пускане в експлоатация след всяко по-съществено изменение или ремонт; и</w:t>
      </w:r>
    </w:p>
    <w:p w:rsidR="008418DC" w:rsidRPr="009072DA" w:rsidRDefault="008418DC" w:rsidP="003B0440">
      <w:pPr>
        <w:pStyle w:val="ESlet"/>
        <w:rPr>
          <w:lang w:val="bg-BG"/>
        </w:rPr>
      </w:pPr>
      <w:r w:rsidRPr="009072DA">
        <w:rPr>
          <w:lang w:val="bg-BG"/>
        </w:rPr>
        <w:t>в)</w:t>
      </w:r>
      <w:r w:rsidRPr="009072DA">
        <w:rPr>
          <w:lang w:val="bg-BG"/>
        </w:rPr>
        <w:tab/>
        <w:t>редовно, най-малко на всеки пет години.</w:t>
      </w:r>
    </w:p>
    <w:p w:rsidR="003B0440" w:rsidRPr="009072DA" w:rsidRDefault="003B0440" w:rsidP="003B0440">
      <w:pPr>
        <w:pStyle w:val="ESchpar"/>
        <w:rPr>
          <w:lang w:val="bg-BG"/>
        </w:rPr>
      </w:pPr>
    </w:p>
    <w:p w:rsidR="008418DC" w:rsidRPr="009072DA" w:rsidRDefault="008418DC" w:rsidP="003B0440">
      <w:pPr>
        <w:pStyle w:val="ESchpar"/>
        <w:rPr>
          <w:lang w:val="bg-BG"/>
        </w:rPr>
      </w:pPr>
      <w:r w:rsidRPr="009072DA">
        <w:rPr>
          <w:lang w:val="bg-BG"/>
        </w:rPr>
        <w:t>При тези проверки доказателства за достатъчна якост и устойчивост се предоставят чрез изчисления.</w:t>
      </w:r>
    </w:p>
    <w:p w:rsidR="008418DC" w:rsidRPr="009072DA" w:rsidRDefault="008418DC" w:rsidP="003B0440">
      <w:pPr>
        <w:pStyle w:val="ESchpar"/>
        <w:rPr>
          <w:lang w:val="bg-BG"/>
        </w:rPr>
      </w:pPr>
    </w:p>
    <w:p w:rsidR="003F558E" w:rsidRPr="009072DA" w:rsidRDefault="008418DC" w:rsidP="003B0440">
      <w:pPr>
        <w:pStyle w:val="ESchpar"/>
        <w:rPr>
          <w:lang w:val="bg-BG"/>
        </w:rPr>
      </w:pPr>
      <w:r w:rsidRPr="009072DA">
        <w:rPr>
          <w:lang w:val="bg-BG"/>
        </w:rPr>
        <w:t>Издава се удостоверение за проверката, подписано от експерта и посочващо датата на проверката.</w:t>
      </w:r>
    </w:p>
    <w:p w:rsidR="008418DC" w:rsidRPr="009072DA" w:rsidRDefault="008418DC" w:rsidP="003B0440">
      <w:pPr>
        <w:pStyle w:val="ESch"/>
        <w:rPr>
          <w:lang w:val="bg-BG"/>
        </w:rPr>
      </w:pPr>
    </w:p>
    <w:p w:rsidR="008418DC" w:rsidRPr="009072DA" w:rsidRDefault="008418DC" w:rsidP="003B0440">
      <w:pPr>
        <w:pStyle w:val="ESch"/>
        <w:rPr>
          <w:lang w:val="bg-BG"/>
        </w:rPr>
      </w:pPr>
    </w:p>
    <w:p w:rsidR="00822C1C" w:rsidRPr="009072DA" w:rsidRDefault="00822C1C" w:rsidP="003F558E">
      <w:pPr>
        <w:pStyle w:val="ES-Titre3"/>
        <w:rPr>
          <w:i/>
          <w:lang w:val="bg-BG"/>
        </w:rPr>
      </w:pPr>
      <w:bookmarkStart w:id="107" w:name="_Toc491854054"/>
      <w:bookmarkStart w:id="108" w:name="_Toc535827495"/>
      <w:r w:rsidRPr="009072DA">
        <w:rPr>
          <w:lang w:val="bg-BG"/>
        </w:rPr>
        <w:t>Член 7.13</w:t>
      </w:r>
      <w:r w:rsidRPr="009072DA">
        <w:rPr>
          <w:lang w:val="bg-BG"/>
        </w:rPr>
        <w:br/>
      </w:r>
      <w:r w:rsidRPr="009072DA">
        <w:rPr>
          <w:i/>
          <w:lang w:val="bg-BG"/>
        </w:rPr>
        <w:t>Вписване в удостоверението на плавателния съд за плаване по вътрешни водни пътища за плавателни съдове с рулеви рубки, проектирани за управление  с радиолокационни средства от едно лице</w:t>
      </w:r>
      <w:bookmarkEnd w:id="107"/>
      <w:bookmarkEnd w:id="108"/>
    </w:p>
    <w:p w:rsidR="003F558E" w:rsidRPr="009072DA" w:rsidRDefault="003F558E" w:rsidP="00822C1C">
      <w:pPr>
        <w:pStyle w:val="ESch"/>
        <w:rPr>
          <w:szCs w:val="20"/>
          <w:lang w:val="bg-BG"/>
        </w:rPr>
      </w:pPr>
    </w:p>
    <w:p w:rsidR="00822C1C" w:rsidRPr="009072DA" w:rsidRDefault="00822C1C" w:rsidP="003F558E">
      <w:pPr>
        <w:pStyle w:val="ESgauche"/>
        <w:rPr>
          <w:noProof w:val="0"/>
          <w:lang w:val="bg-BG"/>
        </w:rPr>
      </w:pPr>
      <w:r w:rsidRPr="009072DA">
        <w:rPr>
          <w:noProof w:val="0"/>
          <w:lang w:val="bg-BG"/>
        </w:rPr>
        <w:t>В случай че даден плавателен съд отговаря на специалните разпоредби относно рулевите рубки, проектирани за управление с радиолокационни средства от едно лице, както е определено в член 7.01, точка 3, член 7.04, точки 5 и 6, член 7.05, точки 3 и 4, член 7.06, точка 2 и членове 7.07, 7.08 и 7.11, в удостоверението на плавателния съд за плаване по вътрешни водни пътища се вписва следното:</w:t>
      </w:r>
    </w:p>
    <w:p w:rsidR="003F558E" w:rsidRPr="009072DA" w:rsidRDefault="003F558E" w:rsidP="003F558E">
      <w:pPr>
        <w:pStyle w:val="ESgauche"/>
        <w:rPr>
          <w:noProof w:val="0"/>
          <w:szCs w:val="20"/>
          <w:lang w:val="bg-BG"/>
        </w:rPr>
      </w:pPr>
    </w:p>
    <w:p w:rsidR="00822C1C" w:rsidRPr="009072DA" w:rsidRDefault="00461781" w:rsidP="003F558E">
      <w:pPr>
        <w:pStyle w:val="ESgauche"/>
        <w:jc w:val="center"/>
        <w:rPr>
          <w:noProof w:val="0"/>
          <w:lang w:val="bg-BG"/>
        </w:rPr>
      </w:pPr>
      <w:r w:rsidRPr="009072DA">
        <w:rPr>
          <w:noProof w:val="0"/>
          <w:lang w:val="bg-BG"/>
        </w:rPr>
        <w:t xml:space="preserve">„Плавателният съд е оборудван с рулева рубка, проектирана за управление  с радиолокационни средства от едно лице“. </w:t>
      </w:r>
    </w:p>
    <w:p w:rsidR="00DC11E8" w:rsidRPr="009072DA" w:rsidRDefault="00DC11E8" w:rsidP="00E35772">
      <w:pPr>
        <w:spacing w:line="240" w:lineRule="atLeast"/>
        <w:ind w:left="567" w:hanging="567"/>
        <w:rPr>
          <w:szCs w:val="20"/>
          <w:lang w:val="bg-BG"/>
        </w:rPr>
      </w:pPr>
    </w:p>
    <w:p w:rsidR="00DC11E8" w:rsidRPr="009072DA" w:rsidRDefault="00DC11E8" w:rsidP="00E35772">
      <w:pPr>
        <w:spacing w:line="240" w:lineRule="atLeast"/>
        <w:ind w:left="567" w:hanging="567"/>
        <w:rPr>
          <w:lang w:val="bg-BG"/>
        </w:rPr>
      </w:pPr>
    </w:p>
    <w:p w:rsidR="005344DA" w:rsidRPr="009072DA" w:rsidRDefault="006D6907" w:rsidP="00E35772">
      <w:pPr>
        <w:spacing w:line="240" w:lineRule="atLeast"/>
        <w:ind w:left="567" w:hanging="567"/>
        <w:rPr>
          <w:lang w:val="bg-BG"/>
        </w:rPr>
      </w:pPr>
      <w:r w:rsidRPr="009072DA">
        <w:rPr>
          <w:lang w:val="bg-BG"/>
        </w:rPr>
        <w:br w:type="page"/>
      </w:r>
    </w:p>
    <w:p w:rsidR="00763ADA" w:rsidRPr="009072DA" w:rsidRDefault="00E24808" w:rsidP="00763ADA">
      <w:pPr>
        <w:pStyle w:val="ES-Titre2"/>
      </w:pPr>
      <w:bookmarkStart w:id="109" w:name="_Toc491854055"/>
      <w:bookmarkStart w:id="110" w:name="_Toc535827496"/>
      <w:r w:rsidRPr="009072DA">
        <w:lastRenderedPageBreak/>
        <w:t>Глава 8</w:t>
      </w:r>
      <w:r w:rsidRPr="009072DA">
        <w:br/>
        <w:t>Конструкция на двигателя</w:t>
      </w:r>
      <w:bookmarkEnd w:id="109"/>
      <w:bookmarkEnd w:id="110"/>
    </w:p>
    <w:p w:rsidR="00E24808" w:rsidRPr="009072DA" w:rsidRDefault="00E24808" w:rsidP="00E24808">
      <w:pPr>
        <w:rPr>
          <w:rFonts w:cs="Arial"/>
          <w:b/>
          <w:i/>
          <w:szCs w:val="20"/>
          <w:lang w:val="bg-BG"/>
        </w:rPr>
      </w:pPr>
    </w:p>
    <w:p w:rsidR="00E24808" w:rsidRPr="009072DA" w:rsidRDefault="00E24808" w:rsidP="00E24808">
      <w:pPr>
        <w:pStyle w:val="ES-Titre3"/>
        <w:rPr>
          <w:lang w:val="bg-BG"/>
        </w:rPr>
      </w:pPr>
      <w:bookmarkStart w:id="111" w:name="_Toc491854056"/>
      <w:bookmarkStart w:id="112" w:name="_Toc535827497"/>
      <w:r w:rsidRPr="009072DA">
        <w:rPr>
          <w:lang w:val="bg-BG"/>
        </w:rPr>
        <w:t>Член 8.01</w:t>
      </w:r>
      <w:r w:rsidRPr="009072DA">
        <w:rPr>
          <w:lang w:val="bg-BG"/>
        </w:rPr>
        <w:br/>
      </w:r>
      <w:r w:rsidRPr="009072DA">
        <w:rPr>
          <w:i/>
          <w:lang w:val="bg-BG"/>
        </w:rPr>
        <w:t>Общи положения</w:t>
      </w:r>
      <w:bookmarkEnd w:id="111"/>
      <w:bookmarkEnd w:id="112"/>
    </w:p>
    <w:p w:rsidR="00266522" w:rsidRPr="009072DA" w:rsidRDefault="00266522" w:rsidP="00E24808">
      <w:pPr>
        <w:rPr>
          <w:rFonts w:cs="Arial"/>
          <w:szCs w:val="20"/>
          <w:lang w:val="bg-BG"/>
        </w:rPr>
      </w:pPr>
    </w:p>
    <w:p w:rsidR="00E24808" w:rsidRPr="009072DA" w:rsidRDefault="00E24808" w:rsidP="00266522">
      <w:pPr>
        <w:pStyle w:val="ESch"/>
        <w:rPr>
          <w:lang w:val="bg-BG"/>
        </w:rPr>
      </w:pPr>
      <w:r w:rsidRPr="009072DA">
        <w:rPr>
          <w:lang w:val="bg-BG"/>
        </w:rPr>
        <w:t>1.</w:t>
      </w:r>
      <w:r w:rsidRPr="009072DA">
        <w:rPr>
          <w:lang w:val="bg-BG"/>
        </w:rPr>
        <w:tab/>
        <w:t>Двигателите и тяхното спомагателно оборудване трябва да са проектирани, построени и монтирани в съответствие с най-добрата практика.</w:t>
      </w:r>
    </w:p>
    <w:p w:rsidR="000B60B9" w:rsidRPr="009072DA" w:rsidRDefault="000B60B9" w:rsidP="00266522">
      <w:pPr>
        <w:pStyle w:val="ESch"/>
        <w:rPr>
          <w:lang w:val="bg-BG"/>
        </w:rPr>
      </w:pPr>
    </w:p>
    <w:p w:rsidR="00E24808" w:rsidRPr="009072DA" w:rsidRDefault="00E24808" w:rsidP="00266522">
      <w:pPr>
        <w:pStyle w:val="ESch"/>
        <w:rPr>
          <w:lang w:val="bg-BG"/>
        </w:rPr>
      </w:pPr>
      <w:r w:rsidRPr="009072DA">
        <w:rPr>
          <w:lang w:val="bg-BG"/>
        </w:rPr>
        <w:t>2.</w:t>
      </w:r>
      <w:r w:rsidRPr="009072DA">
        <w:rPr>
          <w:lang w:val="bg-BG"/>
        </w:rPr>
        <w:tab/>
        <w:t>Съдовете под налягане, предназначени за експлоатация на борда на плавателния съд, се проверяват от експерт с цел да се удостовери, че са безопасни за експлоатация:</w:t>
      </w:r>
    </w:p>
    <w:p w:rsidR="00E24808" w:rsidRPr="009072DA" w:rsidRDefault="005C7859" w:rsidP="00266522">
      <w:pPr>
        <w:pStyle w:val="ESlet"/>
        <w:rPr>
          <w:lang w:val="bg-BG"/>
        </w:rPr>
      </w:pPr>
      <w:r w:rsidRPr="009072DA">
        <w:rPr>
          <w:lang w:val="bg-BG"/>
        </w:rPr>
        <w:t>a)</w:t>
      </w:r>
      <w:r w:rsidRPr="009072DA">
        <w:rPr>
          <w:lang w:val="bg-BG"/>
        </w:rPr>
        <w:tab/>
        <w:t>преди първоначално пускане в експлоатация;</w:t>
      </w:r>
    </w:p>
    <w:p w:rsidR="00E24808" w:rsidRPr="009072DA" w:rsidRDefault="005C7859" w:rsidP="00266522">
      <w:pPr>
        <w:pStyle w:val="ESlet"/>
        <w:rPr>
          <w:lang w:val="bg-BG"/>
        </w:rPr>
      </w:pPr>
      <w:r w:rsidRPr="009072DA">
        <w:rPr>
          <w:lang w:val="bg-BG"/>
        </w:rPr>
        <w:t>б)</w:t>
      </w:r>
      <w:r w:rsidRPr="009072DA">
        <w:rPr>
          <w:lang w:val="bg-BG"/>
        </w:rPr>
        <w:tab/>
        <w:t>преди повторно пускане в експлоатация след всяко изменение или ремонт; и</w:t>
      </w:r>
    </w:p>
    <w:p w:rsidR="00E24808" w:rsidRPr="009072DA" w:rsidRDefault="005C7859" w:rsidP="00266522">
      <w:pPr>
        <w:pStyle w:val="ESlet"/>
        <w:rPr>
          <w:lang w:val="bg-BG"/>
        </w:rPr>
      </w:pPr>
      <w:r w:rsidRPr="009072DA">
        <w:rPr>
          <w:lang w:val="bg-BG"/>
        </w:rPr>
        <w:t>в)</w:t>
      </w:r>
      <w:r w:rsidRPr="009072DA">
        <w:rPr>
          <w:lang w:val="bg-BG"/>
        </w:rPr>
        <w:tab/>
        <w:t>редовно, най-малко на всеки пет години.</w:t>
      </w:r>
    </w:p>
    <w:p w:rsidR="000B60B9" w:rsidRPr="009072DA" w:rsidRDefault="000B60B9" w:rsidP="00E24808">
      <w:pPr>
        <w:rPr>
          <w:rFonts w:cs="Arial"/>
          <w:szCs w:val="20"/>
          <w:lang w:val="bg-BG"/>
        </w:rPr>
      </w:pPr>
    </w:p>
    <w:p w:rsidR="00E24808" w:rsidRPr="009072DA" w:rsidRDefault="00E24808" w:rsidP="00266522">
      <w:pPr>
        <w:pStyle w:val="ESchpar"/>
        <w:rPr>
          <w:lang w:val="bg-BG"/>
        </w:rPr>
      </w:pPr>
      <w:r w:rsidRPr="009072DA">
        <w:rPr>
          <w:lang w:val="bg-BG"/>
        </w:rPr>
        <w:t>Проверката включва вътрешна и външна проверка. Съдове за сгъстен въздух, чиято вътрешност не може да бъде надлежно проверена или чието състояние не може да бъде ясно установено по време на вътрешния контрол, подлежат на допълнително безразрушително изпитване или на изпитване на хидравличното налягане.</w:t>
      </w:r>
    </w:p>
    <w:p w:rsidR="000B60B9" w:rsidRPr="009072DA" w:rsidRDefault="000B60B9" w:rsidP="00266522">
      <w:pPr>
        <w:pStyle w:val="ESchpar"/>
        <w:rPr>
          <w:lang w:val="bg-BG"/>
        </w:rPr>
      </w:pPr>
    </w:p>
    <w:p w:rsidR="00E24808" w:rsidRPr="009072DA" w:rsidRDefault="00E24808" w:rsidP="00266522">
      <w:pPr>
        <w:pStyle w:val="ESchpar"/>
        <w:rPr>
          <w:lang w:val="bg-BG"/>
        </w:rPr>
      </w:pPr>
      <w:r w:rsidRPr="009072DA">
        <w:rPr>
          <w:lang w:val="bg-BG"/>
        </w:rPr>
        <w:t>Издава се удостоверение за проверката, подписано от експерта и посочващо датата на проверката.</w:t>
      </w:r>
    </w:p>
    <w:p w:rsidR="000B60B9" w:rsidRPr="009072DA" w:rsidRDefault="000B60B9" w:rsidP="00266522">
      <w:pPr>
        <w:pStyle w:val="ESchpar"/>
        <w:rPr>
          <w:lang w:val="bg-BG"/>
        </w:rPr>
      </w:pPr>
    </w:p>
    <w:p w:rsidR="00E24808" w:rsidRPr="009072DA" w:rsidRDefault="00D329B3" w:rsidP="00266522">
      <w:pPr>
        <w:pStyle w:val="ESchpar"/>
        <w:rPr>
          <w:lang w:val="bg-BG"/>
        </w:rPr>
      </w:pPr>
      <w:r w:rsidRPr="009072DA">
        <w:rPr>
          <w:lang w:val="bg-BG"/>
        </w:rPr>
        <w:t>Други съоръжения, които изискват редовна проверка, в частност парните котли, другите съдове под налягане и техните принадлежности, както и асансьорите, трябва да съответстват на разпоредбите, валидни в една от държавите членки.</w:t>
      </w:r>
    </w:p>
    <w:p w:rsidR="000B60B9" w:rsidRPr="009072DA" w:rsidRDefault="000B60B9" w:rsidP="00266522">
      <w:pPr>
        <w:pStyle w:val="ESchpar"/>
        <w:rPr>
          <w:lang w:val="bg-BG"/>
        </w:rPr>
      </w:pPr>
    </w:p>
    <w:p w:rsidR="00E24808" w:rsidRPr="009072DA" w:rsidRDefault="00E24808" w:rsidP="00266522">
      <w:pPr>
        <w:pStyle w:val="ESch"/>
        <w:rPr>
          <w:lang w:val="bg-BG"/>
        </w:rPr>
      </w:pPr>
      <w:r w:rsidRPr="009072DA">
        <w:rPr>
          <w:lang w:val="bg-BG"/>
        </w:rPr>
        <w:t>3.</w:t>
      </w:r>
      <w:r w:rsidRPr="009072DA">
        <w:rPr>
          <w:lang w:val="bg-BG"/>
        </w:rPr>
        <w:tab/>
        <w:t>Могат да бъдат монтирани само двигатели с вътрешно горене, работещи с гориво с пламна температура над 55 °С.</w:t>
      </w:r>
    </w:p>
    <w:p w:rsidR="00E24808" w:rsidRPr="009072DA" w:rsidRDefault="00E24808" w:rsidP="00E24808">
      <w:pPr>
        <w:rPr>
          <w:rFonts w:cs="Arial"/>
          <w:szCs w:val="20"/>
          <w:lang w:val="bg-BG"/>
        </w:rPr>
      </w:pPr>
    </w:p>
    <w:p w:rsidR="000B60B9" w:rsidRPr="009072DA" w:rsidRDefault="000B60B9" w:rsidP="00E24808">
      <w:pPr>
        <w:rPr>
          <w:rFonts w:cs="Arial"/>
          <w:szCs w:val="20"/>
          <w:lang w:val="bg-BG"/>
        </w:rPr>
      </w:pPr>
    </w:p>
    <w:p w:rsidR="00E24808" w:rsidRPr="009072DA" w:rsidRDefault="00E24808" w:rsidP="000B60B9">
      <w:pPr>
        <w:pStyle w:val="ES-Titre3"/>
        <w:rPr>
          <w:lang w:val="bg-BG"/>
        </w:rPr>
      </w:pPr>
      <w:bookmarkStart w:id="113" w:name="_Toc491854057"/>
      <w:bookmarkStart w:id="114" w:name="_Toc535827498"/>
      <w:r w:rsidRPr="009072DA">
        <w:rPr>
          <w:lang w:val="bg-BG"/>
        </w:rPr>
        <w:t>Член 8.02</w:t>
      </w:r>
      <w:r w:rsidRPr="009072DA">
        <w:rPr>
          <w:lang w:val="bg-BG"/>
        </w:rPr>
        <w:br/>
      </w:r>
      <w:r w:rsidRPr="009072DA">
        <w:rPr>
          <w:i/>
          <w:lang w:val="bg-BG"/>
        </w:rPr>
        <w:t>Оборудване за безопасност</w:t>
      </w:r>
      <w:bookmarkEnd w:id="113"/>
      <w:bookmarkEnd w:id="114"/>
    </w:p>
    <w:p w:rsidR="000B60B9" w:rsidRPr="009072DA" w:rsidRDefault="000B60B9" w:rsidP="00E24808">
      <w:pPr>
        <w:rPr>
          <w:rFonts w:cs="Arial"/>
          <w:szCs w:val="20"/>
          <w:lang w:val="bg-BG"/>
        </w:rPr>
      </w:pPr>
    </w:p>
    <w:p w:rsidR="00E24808" w:rsidRPr="009072DA" w:rsidRDefault="00E24808" w:rsidP="00266522">
      <w:pPr>
        <w:pStyle w:val="ESch"/>
        <w:rPr>
          <w:lang w:val="bg-BG"/>
        </w:rPr>
      </w:pPr>
      <w:r w:rsidRPr="009072DA">
        <w:rPr>
          <w:lang w:val="bg-BG"/>
        </w:rPr>
        <w:lastRenderedPageBreak/>
        <w:t>1.</w:t>
      </w:r>
      <w:r w:rsidRPr="009072DA">
        <w:rPr>
          <w:lang w:val="bg-BG"/>
        </w:rPr>
        <w:tab/>
        <w:t>Двигателите се монтират и оборудват така, че да бъдат достъпни за работа и поддържане и да не застрашават обслужващия персонал, отговарящ за тези дейности. Те трябва да могат да бъдат обезопасени срещу случайно пускане.</w:t>
      </w:r>
    </w:p>
    <w:p w:rsidR="000B60B9" w:rsidRPr="009072DA" w:rsidRDefault="000B60B9" w:rsidP="00266522">
      <w:pPr>
        <w:pStyle w:val="ESch"/>
        <w:rPr>
          <w:lang w:val="bg-BG"/>
        </w:rPr>
      </w:pPr>
    </w:p>
    <w:p w:rsidR="00E24808" w:rsidRPr="009072DA" w:rsidRDefault="00E24808" w:rsidP="00266522">
      <w:pPr>
        <w:pStyle w:val="ESch"/>
        <w:rPr>
          <w:lang w:val="bg-BG"/>
        </w:rPr>
      </w:pPr>
      <w:r w:rsidRPr="009072DA">
        <w:rPr>
          <w:lang w:val="bg-BG"/>
        </w:rPr>
        <w:t>2.</w:t>
      </w:r>
      <w:r w:rsidRPr="009072DA">
        <w:rPr>
          <w:lang w:val="bg-BG"/>
        </w:rPr>
        <w:tab/>
        <w:t>Главните двигатели, спомагателното оборудване, парните котли, съдовете под налягане и техните принадлежности трябва да бъдат оборудвани с обезопасяващи устройства.</w:t>
      </w:r>
    </w:p>
    <w:p w:rsidR="000B60B9" w:rsidRPr="009072DA" w:rsidRDefault="000B60B9" w:rsidP="00266522">
      <w:pPr>
        <w:pStyle w:val="ESch"/>
        <w:rPr>
          <w:lang w:val="bg-BG"/>
        </w:rPr>
      </w:pPr>
    </w:p>
    <w:p w:rsidR="00E24808" w:rsidRPr="009072DA" w:rsidRDefault="00E24808" w:rsidP="00266522">
      <w:pPr>
        <w:pStyle w:val="ESch"/>
        <w:rPr>
          <w:lang w:val="bg-BG"/>
        </w:rPr>
      </w:pPr>
      <w:r w:rsidRPr="009072DA">
        <w:rPr>
          <w:lang w:val="bg-BG"/>
        </w:rPr>
        <w:t>3.</w:t>
      </w:r>
      <w:r w:rsidRPr="009072DA">
        <w:rPr>
          <w:lang w:val="bg-BG"/>
        </w:rPr>
        <w:tab/>
        <w:t>В случай на извънредна ситуация трябва също така да е възможно да се изключат двигателите, задвижващи нагнетателните и смукателните вентилатори от място извън помещението, където те са монтирани, и от място извън машинното отделение.</w:t>
      </w:r>
    </w:p>
    <w:p w:rsidR="000B60B9" w:rsidRPr="009072DA" w:rsidRDefault="000B60B9" w:rsidP="00266522">
      <w:pPr>
        <w:pStyle w:val="ESch"/>
        <w:rPr>
          <w:lang w:val="bg-BG"/>
        </w:rPr>
      </w:pPr>
    </w:p>
    <w:p w:rsidR="00E24808" w:rsidRPr="009072DA" w:rsidRDefault="00E24808" w:rsidP="00266522">
      <w:pPr>
        <w:pStyle w:val="ESch"/>
        <w:rPr>
          <w:lang w:val="bg-BG"/>
        </w:rPr>
      </w:pPr>
      <w:r w:rsidRPr="009072DA">
        <w:rPr>
          <w:lang w:val="bg-BG"/>
        </w:rPr>
        <w:t>4.</w:t>
      </w:r>
      <w:r w:rsidRPr="009072DA">
        <w:rPr>
          <w:lang w:val="bg-BG"/>
        </w:rPr>
        <w:tab/>
        <w:t>При необходимост съединителите на тръби, които пренасят мазут, смазочни масла и масла, използвани в силови трансмисии, в системи за управление и задействане и в системи за отопление, се екранират или предпазват по друг подходящ начин, за да се избегне пръскането или изтичането на масло върху горещи повърхности, в смукателното устройство на двигателя или други източници на запалване. Броят на съединенията по тези тръбопроводни системи се свежда до минимум.</w:t>
      </w:r>
    </w:p>
    <w:p w:rsidR="000B60B9" w:rsidRPr="009072DA" w:rsidRDefault="000B60B9" w:rsidP="00266522">
      <w:pPr>
        <w:pStyle w:val="ESch"/>
        <w:rPr>
          <w:lang w:val="bg-BG"/>
        </w:rPr>
      </w:pPr>
    </w:p>
    <w:p w:rsidR="00266522" w:rsidRPr="009072DA" w:rsidRDefault="00266522" w:rsidP="00266522">
      <w:pPr>
        <w:pStyle w:val="ESch"/>
        <w:rPr>
          <w:lang w:val="bg-BG"/>
        </w:rPr>
      </w:pPr>
      <w:r w:rsidRPr="009072DA">
        <w:rPr>
          <w:lang w:val="bg-BG"/>
        </w:rPr>
        <w:br w:type="page"/>
      </w:r>
    </w:p>
    <w:p w:rsidR="00E24808" w:rsidRPr="009072DA" w:rsidRDefault="00E24808" w:rsidP="00266522">
      <w:pPr>
        <w:pStyle w:val="ESch"/>
        <w:rPr>
          <w:lang w:val="bg-BG"/>
        </w:rPr>
      </w:pPr>
      <w:r w:rsidRPr="009072DA">
        <w:rPr>
          <w:lang w:val="bg-BG"/>
        </w:rPr>
        <w:lastRenderedPageBreak/>
        <w:t>5.</w:t>
      </w:r>
      <w:r w:rsidRPr="009072DA">
        <w:rPr>
          <w:lang w:val="bg-BG"/>
        </w:rPr>
        <w:tab/>
        <w:t>Външни тръби за пренасяне на гориво под високо налягане за дизелови двигатели между помпите за гориво под високо налягане и горивните дюзи се обезопасяват посредством тръбопроводи с кожух, способни да задържат горивото в случай на повреда на тръба под високо налягане. Тръбопроводната система с кожух включва устройства за събиране на течове и трябва да е предвидена алармена сигнализация, която се задейства при повреда в горивната тръба, като алармена сигнализация не се изисква при двигатели с не повече от два цилиндъра. Тръбопроводни системи с кожух не са необходими при двигатели на открити палуби, задвижващи брашпили и шпилове.</w:t>
      </w:r>
    </w:p>
    <w:p w:rsidR="000B60B9" w:rsidRPr="009072DA" w:rsidRDefault="000B60B9" w:rsidP="00E24808">
      <w:pPr>
        <w:rPr>
          <w:rFonts w:cs="Arial"/>
          <w:szCs w:val="20"/>
          <w:lang w:val="bg-BG"/>
        </w:rPr>
      </w:pPr>
    </w:p>
    <w:p w:rsidR="00E24808" w:rsidRPr="009072DA" w:rsidRDefault="00E24808" w:rsidP="00266522">
      <w:pPr>
        <w:pStyle w:val="ESch"/>
        <w:rPr>
          <w:lang w:val="bg-BG"/>
        </w:rPr>
      </w:pPr>
      <w:r w:rsidRPr="009072DA">
        <w:rPr>
          <w:lang w:val="bg-BG"/>
        </w:rPr>
        <w:t>6.</w:t>
      </w:r>
      <w:r w:rsidRPr="009072DA">
        <w:rPr>
          <w:lang w:val="bg-BG"/>
        </w:rPr>
        <w:tab/>
        <w:t>Изолацията на частите на двигателите трябва да съответства на изискванията на член 3.04, точка 3, втора алинея.</w:t>
      </w:r>
    </w:p>
    <w:p w:rsidR="00E24808" w:rsidRPr="009072DA" w:rsidRDefault="00E24808" w:rsidP="00E24808">
      <w:pPr>
        <w:rPr>
          <w:rFonts w:cs="Arial"/>
          <w:szCs w:val="20"/>
          <w:lang w:val="bg-BG"/>
        </w:rPr>
      </w:pPr>
    </w:p>
    <w:p w:rsidR="00266522" w:rsidRPr="009072DA" w:rsidRDefault="00266522" w:rsidP="00E24808">
      <w:pPr>
        <w:rPr>
          <w:rFonts w:cs="Arial"/>
          <w:szCs w:val="20"/>
          <w:lang w:val="bg-BG"/>
        </w:rPr>
      </w:pPr>
    </w:p>
    <w:p w:rsidR="00E24808" w:rsidRPr="009072DA" w:rsidRDefault="00E24808" w:rsidP="000B60B9">
      <w:pPr>
        <w:pStyle w:val="ES-Titre3"/>
        <w:rPr>
          <w:lang w:val="bg-BG"/>
        </w:rPr>
      </w:pPr>
      <w:bookmarkStart w:id="115" w:name="_Toc491854058"/>
      <w:bookmarkStart w:id="116" w:name="_Toc535827499"/>
      <w:r w:rsidRPr="009072DA">
        <w:rPr>
          <w:lang w:val="bg-BG"/>
        </w:rPr>
        <w:t>Член 8.03</w:t>
      </w:r>
      <w:r w:rsidRPr="009072DA">
        <w:rPr>
          <w:lang w:val="bg-BG"/>
        </w:rPr>
        <w:br/>
      </w:r>
      <w:r w:rsidRPr="009072DA">
        <w:rPr>
          <w:i/>
          <w:lang w:val="bg-BG"/>
        </w:rPr>
        <w:t>Задвижващи системи</w:t>
      </w:r>
      <w:bookmarkEnd w:id="115"/>
      <w:bookmarkEnd w:id="116"/>
    </w:p>
    <w:p w:rsidR="000B60B9" w:rsidRPr="009072DA" w:rsidRDefault="000B60B9" w:rsidP="00E24808">
      <w:pPr>
        <w:rPr>
          <w:rFonts w:cs="Arial"/>
          <w:szCs w:val="20"/>
          <w:lang w:val="bg-BG"/>
        </w:rPr>
      </w:pPr>
    </w:p>
    <w:p w:rsidR="00E24808" w:rsidRPr="009072DA" w:rsidRDefault="00E24808" w:rsidP="00266522">
      <w:pPr>
        <w:pStyle w:val="ESch"/>
        <w:rPr>
          <w:lang w:val="bg-BG"/>
        </w:rPr>
      </w:pPr>
      <w:r w:rsidRPr="009072DA">
        <w:rPr>
          <w:lang w:val="bg-BG"/>
        </w:rPr>
        <w:t>1.</w:t>
      </w:r>
      <w:r w:rsidRPr="009072DA">
        <w:rPr>
          <w:lang w:val="bg-BG"/>
        </w:rPr>
        <w:tab/>
        <w:t>Трябва да е възможно да бъде пускано, спирано и реверсирано задвижването на кораба по надежден и бърз начин.</w:t>
      </w:r>
    </w:p>
    <w:p w:rsidR="000B60B9" w:rsidRPr="009072DA" w:rsidRDefault="000B60B9" w:rsidP="00266522">
      <w:pPr>
        <w:pStyle w:val="ESch"/>
        <w:rPr>
          <w:lang w:val="bg-BG"/>
        </w:rPr>
      </w:pPr>
    </w:p>
    <w:p w:rsidR="00E24808" w:rsidRPr="009072DA" w:rsidRDefault="00E24808" w:rsidP="00266522">
      <w:pPr>
        <w:pStyle w:val="ESch"/>
        <w:rPr>
          <w:lang w:val="bg-BG"/>
        </w:rPr>
      </w:pPr>
      <w:r w:rsidRPr="009072DA">
        <w:rPr>
          <w:lang w:val="bg-BG"/>
        </w:rPr>
        <w:t>2.</w:t>
      </w:r>
      <w:r w:rsidRPr="009072DA">
        <w:rPr>
          <w:lang w:val="bg-BG"/>
        </w:rPr>
        <w:tab/>
        <w:t>Следните области се следят с подходящи устройства, които задействат алармена система, след като бъде достигната критична стойност:</w:t>
      </w:r>
    </w:p>
    <w:p w:rsidR="00E24808" w:rsidRPr="009072DA" w:rsidRDefault="005C7859" w:rsidP="00266522">
      <w:pPr>
        <w:pStyle w:val="ESlet"/>
        <w:rPr>
          <w:lang w:val="bg-BG"/>
        </w:rPr>
      </w:pPr>
      <w:r w:rsidRPr="009072DA">
        <w:rPr>
          <w:lang w:val="bg-BG"/>
        </w:rPr>
        <w:t>a)</w:t>
      </w:r>
      <w:r w:rsidRPr="009072DA">
        <w:rPr>
          <w:lang w:val="bg-BG"/>
        </w:rPr>
        <w:tab/>
        <w:t>температурата на охлаждащата вода на главните двигатели;</w:t>
      </w:r>
    </w:p>
    <w:p w:rsidR="00E24808" w:rsidRPr="009072DA" w:rsidRDefault="005C7859" w:rsidP="00266522">
      <w:pPr>
        <w:pStyle w:val="ESlet"/>
        <w:rPr>
          <w:lang w:val="bg-BG"/>
        </w:rPr>
      </w:pPr>
      <w:r w:rsidRPr="009072DA">
        <w:rPr>
          <w:lang w:val="bg-BG"/>
        </w:rPr>
        <w:t>б)</w:t>
      </w:r>
      <w:r w:rsidRPr="009072DA">
        <w:rPr>
          <w:lang w:val="bg-BG"/>
        </w:rPr>
        <w:tab/>
        <w:t>налягането на смазочното масло за главните двигатели и трансмисии,</w:t>
      </w:r>
    </w:p>
    <w:p w:rsidR="00E24808" w:rsidRPr="009072DA" w:rsidRDefault="005C7859" w:rsidP="00266522">
      <w:pPr>
        <w:pStyle w:val="ESlet"/>
        <w:rPr>
          <w:lang w:val="bg-BG"/>
        </w:rPr>
      </w:pPr>
      <w:r w:rsidRPr="009072DA">
        <w:rPr>
          <w:lang w:val="bg-BG"/>
        </w:rPr>
        <w:t>в)</w:t>
      </w:r>
      <w:r w:rsidRPr="009072DA">
        <w:rPr>
          <w:lang w:val="bg-BG"/>
        </w:rPr>
        <w:tab/>
        <w:t>налягането на маслото и въздуха на звената за заден ход на главните двигатели, реверсивните механизми или гребните винтове.</w:t>
      </w:r>
    </w:p>
    <w:p w:rsidR="000B60B9" w:rsidRPr="009072DA" w:rsidRDefault="000B60B9" w:rsidP="00266522">
      <w:pPr>
        <w:pStyle w:val="ESch"/>
        <w:rPr>
          <w:lang w:val="bg-BG"/>
        </w:rPr>
      </w:pPr>
    </w:p>
    <w:p w:rsidR="00E24808" w:rsidRPr="009072DA" w:rsidRDefault="00E24808" w:rsidP="00266522">
      <w:pPr>
        <w:pStyle w:val="ESch"/>
        <w:rPr>
          <w:lang w:val="bg-BG"/>
        </w:rPr>
      </w:pPr>
      <w:r w:rsidRPr="009072DA">
        <w:rPr>
          <w:lang w:val="bg-BG"/>
        </w:rPr>
        <w:t>3.</w:t>
      </w:r>
      <w:r w:rsidRPr="009072DA">
        <w:rPr>
          <w:lang w:val="bg-BG"/>
        </w:rPr>
        <w:tab/>
        <w:t>Когато плавателните съдове имат само един задвижващ двигател, не трябва да е възможно той да се изключва автоматично, освен за защита срещу прекалено висока честота на въртене.</w:t>
      </w:r>
    </w:p>
    <w:p w:rsidR="000B60B9" w:rsidRPr="009072DA" w:rsidRDefault="000B60B9" w:rsidP="00266522">
      <w:pPr>
        <w:pStyle w:val="ESch"/>
        <w:rPr>
          <w:lang w:val="bg-BG"/>
        </w:rPr>
      </w:pPr>
    </w:p>
    <w:p w:rsidR="00E24808" w:rsidRPr="009072DA" w:rsidRDefault="00E24808" w:rsidP="00266522">
      <w:pPr>
        <w:pStyle w:val="ESch"/>
        <w:rPr>
          <w:lang w:val="bg-BG"/>
        </w:rPr>
      </w:pPr>
      <w:r w:rsidRPr="009072DA">
        <w:rPr>
          <w:lang w:val="bg-BG"/>
        </w:rPr>
        <w:t>4.</w:t>
      </w:r>
      <w:r w:rsidRPr="009072DA">
        <w:rPr>
          <w:lang w:val="bg-BG"/>
        </w:rPr>
        <w:tab/>
        <w:t>Когато плавателните съдове имат само един задвижващ двигател, този двигател може да бъде оборудван с автоматично устройство за намаляване на честотата на въртене само ако автоматичното намаляване на честотата на въртене се обозначава оптично и звуково в рулевата рубка и устройството за намаляване на оборотите на двигателя може да бъде изключено от рулевия пост.</w:t>
      </w:r>
    </w:p>
    <w:p w:rsidR="000B60B9" w:rsidRPr="009072DA" w:rsidRDefault="000B60B9" w:rsidP="00266522">
      <w:pPr>
        <w:pStyle w:val="ESch"/>
        <w:rPr>
          <w:lang w:val="bg-BG"/>
        </w:rPr>
      </w:pPr>
    </w:p>
    <w:p w:rsidR="00E24808" w:rsidRPr="009072DA" w:rsidRDefault="00E24808" w:rsidP="00266522">
      <w:pPr>
        <w:pStyle w:val="ESch"/>
        <w:rPr>
          <w:lang w:val="bg-BG"/>
        </w:rPr>
      </w:pPr>
      <w:r w:rsidRPr="009072DA">
        <w:rPr>
          <w:lang w:val="bg-BG"/>
        </w:rPr>
        <w:t>5.</w:t>
      </w:r>
      <w:r w:rsidRPr="009072DA">
        <w:rPr>
          <w:lang w:val="bg-BG"/>
        </w:rPr>
        <w:tab/>
        <w:t>Отворите за валовете трябва да са проектирани по такъв начин, че да се предотвратява изпускането на масла, замърсяващи водата.</w:t>
      </w:r>
    </w:p>
    <w:p w:rsidR="00E24808" w:rsidRPr="009072DA" w:rsidRDefault="00E24808" w:rsidP="00E24808">
      <w:pPr>
        <w:rPr>
          <w:rFonts w:cs="Arial"/>
          <w:szCs w:val="20"/>
          <w:lang w:val="bg-BG"/>
        </w:rPr>
      </w:pPr>
    </w:p>
    <w:p w:rsidR="00E24808" w:rsidRPr="009072DA" w:rsidRDefault="00E24808" w:rsidP="000B60B9">
      <w:pPr>
        <w:pStyle w:val="ES-Titre3"/>
        <w:rPr>
          <w:i/>
          <w:lang w:val="bg-BG"/>
        </w:rPr>
      </w:pPr>
      <w:bookmarkStart w:id="117" w:name="_Toc491854059"/>
      <w:bookmarkStart w:id="118" w:name="_Toc535827500"/>
      <w:r w:rsidRPr="009072DA">
        <w:rPr>
          <w:lang w:val="bg-BG"/>
        </w:rPr>
        <w:t>Член 8.04</w:t>
      </w:r>
      <w:r w:rsidRPr="009072DA">
        <w:rPr>
          <w:lang w:val="bg-BG"/>
        </w:rPr>
        <w:br/>
      </w:r>
      <w:r w:rsidRPr="009072DA">
        <w:rPr>
          <w:i/>
          <w:lang w:val="bg-BG"/>
        </w:rPr>
        <w:t>Изпускателна система на двигателя</w:t>
      </w:r>
      <w:bookmarkEnd w:id="117"/>
      <w:bookmarkEnd w:id="118"/>
    </w:p>
    <w:p w:rsidR="000B60B9" w:rsidRPr="009072DA" w:rsidRDefault="000B60B9" w:rsidP="00E24808">
      <w:pPr>
        <w:rPr>
          <w:rFonts w:cs="Arial"/>
          <w:szCs w:val="20"/>
          <w:lang w:val="bg-BG"/>
        </w:rPr>
      </w:pPr>
    </w:p>
    <w:p w:rsidR="00E24808" w:rsidRPr="009072DA" w:rsidRDefault="00E24808" w:rsidP="00266522">
      <w:pPr>
        <w:pStyle w:val="ESch"/>
        <w:rPr>
          <w:lang w:val="bg-BG"/>
        </w:rPr>
      </w:pPr>
      <w:r w:rsidRPr="009072DA">
        <w:rPr>
          <w:lang w:val="bg-BG"/>
        </w:rPr>
        <w:t>1.</w:t>
      </w:r>
      <w:r w:rsidRPr="009072DA">
        <w:rPr>
          <w:lang w:val="bg-BG"/>
        </w:rPr>
        <w:tab/>
        <w:t>Отработилите газове трябва да се отвеждат напълно извън плавателния съд.</w:t>
      </w:r>
    </w:p>
    <w:p w:rsidR="000B60B9" w:rsidRPr="009072DA" w:rsidRDefault="000B60B9" w:rsidP="00266522">
      <w:pPr>
        <w:pStyle w:val="ESch"/>
        <w:rPr>
          <w:lang w:val="bg-BG"/>
        </w:rPr>
      </w:pPr>
    </w:p>
    <w:p w:rsidR="00E24808" w:rsidRPr="009072DA" w:rsidRDefault="00E24808" w:rsidP="00266522">
      <w:pPr>
        <w:pStyle w:val="ESch"/>
        <w:rPr>
          <w:lang w:val="bg-BG"/>
        </w:rPr>
      </w:pPr>
      <w:r w:rsidRPr="009072DA">
        <w:rPr>
          <w:lang w:val="bg-BG"/>
        </w:rPr>
        <w:t>2.</w:t>
      </w:r>
      <w:r w:rsidRPr="009072DA">
        <w:rPr>
          <w:lang w:val="bg-BG"/>
        </w:rPr>
        <w:tab/>
        <w:t>Предприемат се всички подходящи мерки, за да се предотврати навлизането на отработени газове в различните отделения. В рамките на тези мерки, изходящите тръби, които преминават през жилищно помещение или рулевата рубка, трябва да са покрити в този отрязък със защитна газонепроницаема обвивка. Хлабината между изходящата тръба и тази обвивка трябва да е отворена към въздуха на открито.</w:t>
      </w:r>
    </w:p>
    <w:p w:rsidR="000B60B9" w:rsidRPr="009072DA" w:rsidRDefault="000B60B9" w:rsidP="00266522">
      <w:pPr>
        <w:pStyle w:val="ESch"/>
        <w:rPr>
          <w:lang w:val="bg-BG"/>
        </w:rPr>
      </w:pPr>
    </w:p>
    <w:p w:rsidR="00E24808" w:rsidRPr="009072DA" w:rsidRDefault="00E24808" w:rsidP="00266522">
      <w:pPr>
        <w:pStyle w:val="ESch"/>
        <w:rPr>
          <w:lang w:val="bg-BG"/>
        </w:rPr>
      </w:pPr>
      <w:r w:rsidRPr="009072DA">
        <w:rPr>
          <w:lang w:val="bg-BG"/>
        </w:rPr>
        <w:t>3.</w:t>
      </w:r>
      <w:r w:rsidRPr="009072DA">
        <w:rPr>
          <w:lang w:val="bg-BG"/>
        </w:rPr>
        <w:tab/>
        <w:t>Изпускателните тръби трябва да се монтират и обезопасяват по такъв начин, че да не могат да причинят пожар.</w:t>
      </w:r>
    </w:p>
    <w:p w:rsidR="000B60B9" w:rsidRPr="009072DA" w:rsidRDefault="000B60B9" w:rsidP="00266522">
      <w:pPr>
        <w:pStyle w:val="ESch"/>
        <w:rPr>
          <w:lang w:val="bg-BG"/>
        </w:rPr>
      </w:pPr>
    </w:p>
    <w:p w:rsidR="00E24808" w:rsidRPr="009072DA" w:rsidRDefault="00E24808" w:rsidP="00266522">
      <w:pPr>
        <w:pStyle w:val="ESch"/>
        <w:rPr>
          <w:lang w:val="bg-BG"/>
        </w:rPr>
      </w:pPr>
      <w:r w:rsidRPr="009072DA">
        <w:rPr>
          <w:lang w:val="bg-BG"/>
        </w:rPr>
        <w:t>4.</w:t>
      </w:r>
      <w:r w:rsidRPr="009072DA">
        <w:rPr>
          <w:lang w:val="bg-BG"/>
        </w:rPr>
        <w:tab/>
        <w:t>Изпускателните тръби трябва да се изолират или охлаждат в машинните отделения по подходящ начин. Извън машинните отделения защитата от физически контакт може да се приеме за достатъчна мярка.</w:t>
      </w:r>
    </w:p>
    <w:p w:rsidR="00E24808" w:rsidRPr="009072DA" w:rsidRDefault="00E24808" w:rsidP="00E24808">
      <w:pPr>
        <w:rPr>
          <w:rFonts w:cs="Arial"/>
          <w:szCs w:val="20"/>
          <w:lang w:val="bg-BG"/>
        </w:rPr>
      </w:pPr>
    </w:p>
    <w:p w:rsidR="000B60B9" w:rsidRPr="009072DA" w:rsidRDefault="00266522" w:rsidP="00E24808">
      <w:pPr>
        <w:rPr>
          <w:rFonts w:cs="Arial"/>
          <w:szCs w:val="20"/>
          <w:lang w:val="bg-BG"/>
        </w:rPr>
      </w:pPr>
      <w:r w:rsidRPr="009072DA">
        <w:rPr>
          <w:lang w:val="bg-BG"/>
        </w:rPr>
        <w:br w:type="page"/>
      </w:r>
    </w:p>
    <w:p w:rsidR="00E24808" w:rsidRPr="009072DA" w:rsidRDefault="00E24808" w:rsidP="000B60B9">
      <w:pPr>
        <w:pStyle w:val="ES-Titre3"/>
        <w:rPr>
          <w:lang w:val="bg-BG"/>
        </w:rPr>
      </w:pPr>
      <w:bookmarkStart w:id="119" w:name="_Toc491854060"/>
      <w:bookmarkStart w:id="120" w:name="_Toc535827501"/>
      <w:r w:rsidRPr="009072DA">
        <w:rPr>
          <w:lang w:val="bg-BG"/>
        </w:rPr>
        <w:lastRenderedPageBreak/>
        <w:t>Член 8.05</w:t>
      </w:r>
      <w:r w:rsidRPr="009072DA">
        <w:rPr>
          <w:lang w:val="bg-BG"/>
        </w:rPr>
        <w:br/>
      </w:r>
      <w:r w:rsidRPr="009072DA">
        <w:rPr>
          <w:i/>
          <w:lang w:val="bg-BG"/>
        </w:rPr>
        <w:t>Резервоари за гориво, тръби и принадлежности</w:t>
      </w:r>
      <w:bookmarkEnd w:id="119"/>
      <w:bookmarkEnd w:id="120"/>
    </w:p>
    <w:p w:rsidR="000B60B9" w:rsidRPr="009072DA" w:rsidRDefault="000B60B9" w:rsidP="00E24808">
      <w:pPr>
        <w:rPr>
          <w:rFonts w:cs="Arial"/>
          <w:szCs w:val="20"/>
          <w:lang w:val="bg-BG"/>
        </w:rPr>
      </w:pPr>
    </w:p>
    <w:p w:rsidR="00E24808" w:rsidRPr="009072DA" w:rsidRDefault="000B60B9" w:rsidP="00266522">
      <w:pPr>
        <w:pStyle w:val="ESch"/>
        <w:rPr>
          <w:lang w:val="bg-BG"/>
        </w:rPr>
      </w:pPr>
      <w:r w:rsidRPr="009072DA">
        <w:rPr>
          <w:lang w:val="bg-BG"/>
        </w:rPr>
        <w:t xml:space="preserve">1. </w:t>
      </w:r>
      <w:r w:rsidRPr="009072DA">
        <w:rPr>
          <w:lang w:val="bg-BG"/>
        </w:rPr>
        <w:tab/>
        <w:t>Течните горива се съхраняват в стоманени резервоари, които са неразделна част от корпуса или са здраво прикрепени към корпуса. Ако се изисква от конструкцията на плавателния съд, може да се използва равностоен по отношение на огнеустойчивостта материал. Тези изисквания не важат за резервоари с вместимост не повече от 12 литра, които са фабрично вградени в спомагателно оборудване. Резервоарите за гориво нямат общи повърхности с резервоарите за питейна вода.</w:t>
      </w:r>
    </w:p>
    <w:p w:rsidR="000B60B9" w:rsidRPr="009072DA" w:rsidRDefault="000B60B9" w:rsidP="00266522">
      <w:pPr>
        <w:pStyle w:val="ESch"/>
        <w:rPr>
          <w:lang w:val="bg-BG"/>
        </w:rPr>
      </w:pPr>
    </w:p>
    <w:p w:rsidR="00E24808" w:rsidRPr="009072DA" w:rsidRDefault="00E24808" w:rsidP="00266522">
      <w:pPr>
        <w:pStyle w:val="ESch"/>
        <w:rPr>
          <w:lang w:val="bg-BG"/>
        </w:rPr>
      </w:pPr>
      <w:r w:rsidRPr="009072DA">
        <w:rPr>
          <w:lang w:val="bg-BG"/>
        </w:rPr>
        <w:t>2.</w:t>
      </w:r>
      <w:r w:rsidRPr="009072DA">
        <w:rPr>
          <w:lang w:val="bg-BG"/>
        </w:rPr>
        <w:tab/>
        <w:t>Резервоарите за гориво и техните тръбопроводи и други принадлежности трябва да са оформени и разположени по такъв начин, че нито гориво, нито газове от него да могат случайно да попаднат във вътрешността на плавателния съд. Клапаните на резервоара, предназначени за вземане на проби от горивото или източване на вода, се затварят автоматично.</w:t>
      </w:r>
    </w:p>
    <w:p w:rsidR="000B60B9" w:rsidRPr="009072DA" w:rsidRDefault="000B60B9" w:rsidP="00266522">
      <w:pPr>
        <w:pStyle w:val="ESch"/>
        <w:rPr>
          <w:lang w:val="bg-BG"/>
        </w:rPr>
      </w:pPr>
    </w:p>
    <w:p w:rsidR="00E24808" w:rsidRPr="009072DA" w:rsidRDefault="00E24808" w:rsidP="00266522">
      <w:pPr>
        <w:pStyle w:val="ESch"/>
        <w:rPr>
          <w:lang w:val="bg-BG"/>
        </w:rPr>
      </w:pPr>
      <w:r w:rsidRPr="009072DA">
        <w:rPr>
          <w:lang w:val="bg-BG"/>
        </w:rPr>
        <w:t>3.</w:t>
      </w:r>
      <w:r w:rsidRPr="009072DA">
        <w:rPr>
          <w:lang w:val="bg-BG"/>
        </w:rPr>
        <w:tab/>
        <w:t>Резервоарите за гориво не могат да се разполагат пред първата носова непроницаема преграда или зад ахтерпиковата преграда.</w:t>
      </w:r>
    </w:p>
    <w:p w:rsidR="000B60B9" w:rsidRPr="009072DA" w:rsidRDefault="000B60B9" w:rsidP="00266522">
      <w:pPr>
        <w:pStyle w:val="ESch"/>
        <w:rPr>
          <w:lang w:val="bg-BG"/>
        </w:rPr>
      </w:pPr>
    </w:p>
    <w:p w:rsidR="00E24808" w:rsidRPr="009072DA" w:rsidRDefault="00E24808" w:rsidP="00266522">
      <w:pPr>
        <w:pStyle w:val="ESch"/>
        <w:rPr>
          <w:lang w:val="bg-BG"/>
        </w:rPr>
      </w:pPr>
      <w:r w:rsidRPr="009072DA">
        <w:rPr>
          <w:lang w:val="bg-BG"/>
        </w:rPr>
        <w:t>4.</w:t>
      </w:r>
      <w:r w:rsidRPr="009072DA">
        <w:rPr>
          <w:lang w:val="bg-BG"/>
        </w:rPr>
        <w:tab/>
        <w:t>Резервоарите за гориво и техните принадлежности не могат да се разполагат точно над двигателите или изпускателните тръби.</w:t>
      </w:r>
    </w:p>
    <w:p w:rsidR="000B60B9" w:rsidRPr="009072DA" w:rsidRDefault="000B60B9" w:rsidP="00266522">
      <w:pPr>
        <w:pStyle w:val="ESch"/>
        <w:rPr>
          <w:lang w:val="bg-BG"/>
        </w:rPr>
      </w:pPr>
    </w:p>
    <w:p w:rsidR="00E24808" w:rsidRPr="009072DA" w:rsidRDefault="00E24808" w:rsidP="00266522">
      <w:pPr>
        <w:pStyle w:val="ESch"/>
        <w:rPr>
          <w:lang w:val="bg-BG"/>
        </w:rPr>
      </w:pPr>
      <w:r w:rsidRPr="009072DA">
        <w:rPr>
          <w:lang w:val="bg-BG"/>
        </w:rPr>
        <w:t>5.</w:t>
      </w:r>
      <w:r w:rsidRPr="009072DA">
        <w:rPr>
          <w:lang w:val="bg-BG"/>
        </w:rPr>
        <w:tab/>
        <w:t>Отворите за зареждане на резервоарите за гориво трябва да са маркирани ясно.</w:t>
      </w:r>
    </w:p>
    <w:p w:rsidR="000B60B9" w:rsidRPr="009072DA" w:rsidRDefault="000B60B9" w:rsidP="00266522">
      <w:pPr>
        <w:pStyle w:val="ESch"/>
        <w:rPr>
          <w:lang w:val="bg-BG"/>
        </w:rPr>
      </w:pPr>
    </w:p>
    <w:p w:rsidR="00E24808" w:rsidRPr="009072DA" w:rsidRDefault="00E24808" w:rsidP="00266522">
      <w:pPr>
        <w:pStyle w:val="ESch"/>
        <w:rPr>
          <w:lang w:val="bg-BG"/>
        </w:rPr>
      </w:pPr>
      <w:r w:rsidRPr="009072DA">
        <w:rPr>
          <w:lang w:val="bg-BG"/>
        </w:rPr>
        <w:t>6.</w:t>
      </w:r>
      <w:r w:rsidRPr="009072DA">
        <w:rPr>
          <w:lang w:val="bg-BG"/>
        </w:rPr>
        <w:tab/>
        <w:t>Отворът на пълнещата тръба на резервоарите за течни горива e на палубата, с изключение на резервоари за дневен разход. Пълнещата тръба трябва да е снабдена със съединител в съответствие с европейски стандарт EN 12827: 1999.</w:t>
      </w:r>
    </w:p>
    <w:p w:rsidR="000B60B9" w:rsidRPr="009072DA" w:rsidRDefault="000B60B9" w:rsidP="00266522">
      <w:pPr>
        <w:pStyle w:val="ESch"/>
        <w:rPr>
          <w:lang w:val="bg-BG"/>
        </w:rPr>
      </w:pPr>
    </w:p>
    <w:p w:rsidR="00E24808" w:rsidRPr="009072DA" w:rsidRDefault="00E24808" w:rsidP="00266522">
      <w:pPr>
        <w:pStyle w:val="ESchpar"/>
        <w:rPr>
          <w:lang w:val="bg-BG"/>
        </w:rPr>
      </w:pPr>
      <w:r w:rsidRPr="009072DA">
        <w:rPr>
          <w:lang w:val="bg-BG"/>
        </w:rPr>
        <w:t>Тези резервоари трябва да са оборудвани с тръбен отдушник, завършващ на открито над палубата и да са монтирани по такъв начин, че да не е възможно проникването на вода. Напречното сечение на отвеждащата тръба е поне 1,25 пъти по-голямо от напречното сечение на пълнещата тръба.</w:t>
      </w:r>
    </w:p>
    <w:p w:rsidR="000B60B9" w:rsidRPr="009072DA" w:rsidRDefault="000B60B9" w:rsidP="00266522">
      <w:pPr>
        <w:pStyle w:val="ESchpar"/>
        <w:rPr>
          <w:lang w:val="bg-BG"/>
        </w:rPr>
      </w:pPr>
    </w:p>
    <w:p w:rsidR="00E24808" w:rsidRPr="009072DA" w:rsidRDefault="004004C5" w:rsidP="00266522">
      <w:pPr>
        <w:pStyle w:val="ESchpar"/>
        <w:rPr>
          <w:lang w:val="bg-BG"/>
        </w:rPr>
      </w:pPr>
      <w:r w:rsidRPr="009072DA">
        <w:rPr>
          <w:lang w:val="bg-BG"/>
        </w:rPr>
        <w:t>Ако резервоарите са свързани, напречното сечение на свързващата тръба е поне 1,25 пъти по-голямо от напречното сечение на пълнещата тръба.</w:t>
      </w:r>
    </w:p>
    <w:p w:rsidR="000B60B9" w:rsidRPr="009072DA" w:rsidRDefault="000B60B9" w:rsidP="00266522">
      <w:pPr>
        <w:pStyle w:val="ESch"/>
        <w:rPr>
          <w:lang w:val="bg-BG"/>
        </w:rPr>
      </w:pPr>
    </w:p>
    <w:p w:rsidR="00E24808" w:rsidRPr="009072DA" w:rsidRDefault="00E24808" w:rsidP="00266522">
      <w:pPr>
        <w:pStyle w:val="ESch"/>
        <w:rPr>
          <w:lang w:val="bg-BG"/>
        </w:rPr>
      </w:pPr>
      <w:r w:rsidRPr="009072DA">
        <w:rPr>
          <w:lang w:val="bg-BG"/>
        </w:rPr>
        <w:lastRenderedPageBreak/>
        <w:t>7.</w:t>
      </w:r>
      <w:r w:rsidRPr="009072DA">
        <w:rPr>
          <w:lang w:val="bg-BG"/>
        </w:rPr>
        <w:tab/>
        <w:t>Непосредствено на изходите на резервоарите тръбопроводите за разпределяне на гориво трябва да са оборудвани с бързозатварящ се клапан, който може да бъде задействан от палубата, дори когато въпросните помещения са затворени.</w:t>
      </w:r>
    </w:p>
    <w:p w:rsidR="000B60B9" w:rsidRPr="009072DA" w:rsidRDefault="000B60B9" w:rsidP="00266522">
      <w:pPr>
        <w:pStyle w:val="ESch"/>
        <w:rPr>
          <w:lang w:val="bg-BG"/>
        </w:rPr>
      </w:pPr>
    </w:p>
    <w:p w:rsidR="00E24808" w:rsidRPr="009072DA" w:rsidRDefault="00E24808" w:rsidP="00266522">
      <w:pPr>
        <w:pStyle w:val="ESchpar"/>
        <w:rPr>
          <w:lang w:val="bg-BG"/>
        </w:rPr>
      </w:pPr>
      <w:r w:rsidRPr="009072DA">
        <w:rPr>
          <w:lang w:val="bg-BG"/>
        </w:rPr>
        <w:t>Ако устройството за задействане е защитено с капак, той не трябва да може да се заключва.</w:t>
      </w:r>
    </w:p>
    <w:p w:rsidR="000B60B9" w:rsidRPr="009072DA" w:rsidRDefault="000B60B9" w:rsidP="00266522">
      <w:pPr>
        <w:pStyle w:val="ESchpar"/>
        <w:rPr>
          <w:lang w:val="bg-BG"/>
        </w:rPr>
      </w:pPr>
    </w:p>
    <w:p w:rsidR="00E24808" w:rsidRPr="009072DA" w:rsidRDefault="00E24808" w:rsidP="00266522">
      <w:pPr>
        <w:pStyle w:val="ESchpar"/>
        <w:rPr>
          <w:lang w:val="bg-BG"/>
        </w:rPr>
      </w:pPr>
      <w:r w:rsidRPr="009072DA">
        <w:rPr>
          <w:lang w:val="bg-BG"/>
        </w:rPr>
        <w:t>Устройството за задействане следва да бъде маркирано в червено. Ако устройството е скрито, то се отбелязва със символ за „бързозатварящ се клапан на резервоар“ в съответствие с фигура 9 от приложение 4, с дължина на страната минимум 10 cm.</w:t>
      </w:r>
    </w:p>
    <w:p w:rsidR="000B60B9" w:rsidRPr="009072DA" w:rsidRDefault="000B60B9" w:rsidP="00266522">
      <w:pPr>
        <w:pStyle w:val="ESch"/>
        <w:rPr>
          <w:lang w:val="bg-BG"/>
        </w:rPr>
      </w:pPr>
    </w:p>
    <w:p w:rsidR="00E24808" w:rsidRPr="009072DA" w:rsidRDefault="00E24808" w:rsidP="00266522">
      <w:pPr>
        <w:pStyle w:val="ESchpar"/>
        <w:rPr>
          <w:lang w:val="bg-BG"/>
        </w:rPr>
      </w:pPr>
      <w:r w:rsidRPr="009072DA">
        <w:rPr>
          <w:lang w:val="bg-BG"/>
        </w:rPr>
        <w:t>Първата алинея не се отнася за резервоари за гориво, директно монтирани на двигателя.</w:t>
      </w:r>
    </w:p>
    <w:p w:rsidR="000B60B9" w:rsidRPr="009072DA" w:rsidRDefault="000B60B9" w:rsidP="00266522">
      <w:pPr>
        <w:pStyle w:val="ESch"/>
        <w:rPr>
          <w:lang w:val="bg-BG"/>
        </w:rPr>
      </w:pPr>
    </w:p>
    <w:p w:rsidR="00E24808" w:rsidRPr="009072DA" w:rsidRDefault="00E24808" w:rsidP="00266522">
      <w:pPr>
        <w:pStyle w:val="ESch"/>
        <w:rPr>
          <w:lang w:val="bg-BG"/>
        </w:rPr>
      </w:pPr>
      <w:r w:rsidRPr="009072DA">
        <w:rPr>
          <w:lang w:val="bg-BG"/>
        </w:rPr>
        <w:t>8.</w:t>
      </w:r>
      <w:r w:rsidRPr="009072DA">
        <w:rPr>
          <w:lang w:val="bg-BG"/>
        </w:rPr>
        <w:tab/>
        <w:t>Тръбите за гориво, техните съединения, уплътнения и фитинги се правят от материали, годни да издържат на механичните, химичните и топлинните натоварвания, на които е вероятно да бъдат подложени. Тръбите за гориво не трябва да се излагат на неблагоприятното влияние на топлина и трябва има възможност да бъдат проверявани по цялата им дължина.</w:t>
      </w:r>
    </w:p>
    <w:p w:rsidR="000B60B9" w:rsidRPr="009072DA" w:rsidRDefault="000B60B9" w:rsidP="00266522">
      <w:pPr>
        <w:pStyle w:val="ESch"/>
        <w:rPr>
          <w:lang w:val="bg-BG"/>
        </w:rPr>
      </w:pPr>
    </w:p>
    <w:p w:rsidR="00266522" w:rsidRPr="009072DA" w:rsidRDefault="00266522" w:rsidP="00266522">
      <w:pPr>
        <w:pStyle w:val="ESch"/>
        <w:rPr>
          <w:lang w:val="bg-BG"/>
        </w:rPr>
      </w:pPr>
      <w:r w:rsidRPr="009072DA">
        <w:rPr>
          <w:lang w:val="bg-BG"/>
        </w:rPr>
        <w:br w:type="page"/>
      </w:r>
    </w:p>
    <w:p w:rsidR="00E24808" w:rsidRPr="009072DA" w:rsidRDefault="00E24808" w:rsidP="00266522">
      <w:pPr>
        <w:pStyle w:val="ESch"/>
        <w:rPr>
          <w:lang w:val="bg-BG"/>
        </w:rPr>
      </w:pPr>
      <w:r w:rsidRPr="009072DA">
        <w:rPr>
          <w:lang w:val="bg-BG"/>
        </w:rPr>
        <w:lastRenderedPageBreak/>
        <w:t>9.</w:t>
      </w:r>
      <w:r w:rsidRPr="009072DA">
        <w:rPr>
          <w:lang w:val="bg-BG"/>
        </w:rPr>
        <w:tab/>
        <w:t>Резервоарите за гориво трябва да са оборудвани с подходящо устройство за измерване на вместимостта. Устройствата за измерване на вместимостта трябва да могат да се отчитат до равнището на максимално напълване. Водомерните стъкла трябва да са ефикасно защитени срещу повреда от удар, снабдени с автоматично затварящо устройство в основата си, а горните им краища да са свързани с резервоарите над равнището им на максимално напълване. Материалът, използван за водомерните стъкла, не трябва да се деформира при нормални температури на средата. Измервателните тръби не трябва да завършват в жилищните пространства. Измервателните тръби, които завършват в машинно или котелно отделение, трябва да са оборудвани с подходящи затварящи устройства.</w:t>
      </w:r>
    </w:p>
    <w:p w:rsidR="000B60B9" w:rsidRPr="009072DA" w:rsidRDefault="000B60B9" w:rsidP="00266522">
      <w:pPr>
        <w:pStyle w:val="ESch"/>
        <w:rPr>
          <w:lang w:val="bg-BG"/>
        </w:rPr>
      </w:pPr>
    </w:p>
    <w:p w:rsidR="00E24808" w:rsidRPr="009072DA" w:rsidRDefault="00E24808" w:rsidP="00266522">
      <w:pPr>
        <w:pStyle w:val="ESch"/>
        <w:tabs>
          <w:tab w:val="left" w:pos="567"/>
        </w:tabs>
        <w:ind w:left="993" w:hanging="993"/>
        <w:rPr>
          <w:lang w:val="bg-BG"/>
        </w:rPr>
      </w:pPr>
      <w:r w:rsidRPr="009072DA">
        <w:rPr>
          <w:lang w:val="bg-BG"/>
        </w:rPr>
        <w:t>10.</w:t>
      </w:r>
      <w:r w:rsidRPr="009072DA">
        <w:rPr>
          <w:lang w:val="bg-BG"/>
        </w:rPr>
        <w:tab/>
        <w:t>a)</w:t>
      </w:r>
      <w:r w:rsidRPr="009072DA">
        <w:rPr>
          <w:lang w:val="bg-BG"/>
        </w:rPr>
        <w:tab/>
        <w:t>Горивните резервоари се обезопасяват срещу разлив на гориво при зареждане посредством подходящи бордови технически устройства, които се записват в точка 52 от удостоверението на плавателния съд за плаване по вътрешни водни пътища.</w:t>
      </w:r>
    </w:p>
    <w:p w:rsidR="000B60B9" w:rsidRPr="009072DA" w:rsidRDefault="000B60B9" w:rsidP="000B60B9">
      <w:pPr>
        <w:rPr>
          <w:rFonts w:cs="Arial"/>
          <w:szCs w:val="20"/>
          <w:lang w:val="bg-BG"/>
        </w:rPr>
      </w:pPr>
    </w:p>
    <w:p w:rsidR="00E24808" w:rsidRPr="009072DA" w:rsidRDefault="005C7859" w:rsidP="00266522">
      <w:pPr>
        <w:pStyle w:val="ESlet"/>
        <w:rPr>
          <w:lang w:val="bg-BG"/>
        </w:rPr>
      </w:pPr>
      <w:r w:rsidRPr="009072DA">
        <w:rPr>
          <w:lang w:val="bg-BG"/>
        </w:rPr>
        <w:t>б)</w:t>
      </w:r>
      <w:r w:rsidRPr="009072DA">
        <w:rPr>
          <w:lang w:val="bg-BG"/>
        </w:rPr>
        <w:tab/>
        <w:t>Ако горивото се зарежда от станции за зареждане, които имат собствени технически устройства против разлив на гориво на борда по време на зареждане, изискванията към оборудването, посочени в буква а) и точка 11, не се прилагат.</w:t>
      </w:r>
    </w:p>
    <w:p w:rsidR="000B60B9" w:rsidRPr="009072DA" w:rsidRDefault="000B60B9" w:rsidP="00E24808">
      <w:pPr>
        <w:rPr>
          <w:rFonts w:cs="Arial"/>
          <w:szCs w:val="20"/>
          <w:lang w:val="bg-BG"/>
        </w:rPr>
      </w:pPr>
    </w:p>
    <w:p w:rsidR="00E24808" w:rsidRPr="009072DA" w:rsidRDefault="00E24808" w:rsidP="00266522">
      <w:pPr>
        <w:pStyle w:val="ESch"/>
        <w:rPr>
          <w:lang w:val="bg-BG"/>
        </w:rPr>
      </w:pPr>
      <w:r w:rsidRPr="009072DA">
        <w:rPr>
          <w:lang w:val="bg-BG"/>
        </w:rPr>
        <w:t>11.</w:t>
      </w:r>
      <w:r w:rsidRPr="009072DA">
        <w:rPr>
          <w:lang w:val="bg-BG"/>
        </w:rPr>
        <w:tab/>
        <w:t>Ако резервоарите за гориво са снабдени с автоматично спирателно устройство, датчиците спират зареждането с гориво, когато резервоарът е 97 % пълен; това оборудване трябва да съответства на изискванията за „безотказност“.</w:t>
      </w:r>
    </w:p>
    <w:p w:rsidR="000B60B9" w:rsidRPr="009072DA" w:rsidRDefault="000B60B9" w:rsidP="00266522">
      <w:pPr>
        <w:pStyle w:val="ESch"/>
        <w:rPr>
          <w:lang w:val="bg-BG"/>
        </w:rPr>
      </w:pPr>
    </w:p>
    <w:p w:rsidR="000B60B9" w:rsidRPr="009072DA" w:rsidRDefault="008418DC" w:rsidP="008418DC">
      <w:pPr>
        <w:pStyle w:val="ESch"/>
        <w:ind w:firstLine="0"/>
        <w:rPr>
          <w:lang w:val="bg-BG"/>
        </w:rPr>
      </w:pPr>
      <w:r w:rsidRPr="009072DA">
        <w:rPr>
          <w:lang w:val="bg-BG"/>
        </w:rPr>
        <w:t>Ако датчикът задейства електрически контакт, който може да прекъсне веригата, предоставена от станцията за зареждане с гориво чрез двоичен сигнал, трябва да има възможност за предаване на сигнала до станцията за зареждане с гориво чрез водонепроницаем електрически съединител, който отговаря на изискванията на международен стандарт IEC 60309</w:t>
      </w:r>
      <w:r w:rsidRPr="009072DA">
        <w:rPr>
          <w:lang w:val="bg-BG"/>
        </w:rPr>
        <w:softHyphen/>
        <w:t>1: 2012 за 40—50 V DC, с корпус с бял цвят и положение на заземителния контакт десет часа.</w:t>
      </w:r>
    </w:p>
    <w:p w:rsidR="008418DC" w:rsidRPr="009072DA" w:rsidRDefault="008418DC" w:rsidP="00266522">
      <w:pPr>
        <w:pStyle w:val="ESch"/>
        <w:rPr>
          <w:lang w:val="bg-BG"/>
        </w:rPr>
      </w:pPr>
    </w:p>
    <w:p w:rsidR="00E24808" w:rsidRPr="009072DA" w:rsidRDefault="00E24808" w:rsidP="00266522">
      <w:pPr>
        <w:pStyle w:val="ESch"/>
        <w:rPr>
          <w:lang w:val="bg-BG"/>
        </w:rPr>
      </w:pPr>
      <w:r w:rsidRPr="009072DA">
        <w:rPr>
          <w:lang w:val="bg-BG"/>
        </w:rPr>
        <w:t>12.</w:t>
      </w:r>
      <w:r w:rsidRPr="009072DA">
        <w:rPr>
          <w:lang w:val="bg-BG"/>
        </w:rPr>
        <w:tab/>
        <w:t>Резервоарите за гориво трябва да са снабдени с отвори, които имат противотечови запушалки, позволяващи почистване и проверка.</w:t>
      </w:r>
    </w:p>
    <w:p w:rsidR="000B60B9" w:rsidRPr="009072DA" w:rsidRDefault="000B60B9" w:rsidP="00266522">
      <w:pPr>
        <w:pStyle w:val="ESch"/>
        <w:rPr>
          <w:lang w:val="bg-BG"/>
        </w:rPr>
      </w:pPr>
    </w:p>
    <w:p w:rsidR="00E24808" w:rsidRPr="009072DA" w:rsidRDefault="00E24808" w:rsidP="008418DC">
      <w:pPr>
        <w:pStyle w:val="ESch"/>
        <w:rPr>
          <w:lang w:val="bg-BG"/>
        </w:rPr>
      </w:pPr>
      <w:r w:rsidRPr="009072DA">
        <w:rPr>
          <w:lang w:val="bg-BG"/>
        </w:rPr>
        <w:t>13.</w:t>
      </w:r>
      <w:r w:rsidRPr="009072DA">
        <w:rPr>
          <w:lang w:val="bg-BG"/>
        </w:rPr>
        <w:tab/>
        <w:t>Резервоарите за гориво, пряко захранващи задвижващите двигатели и двигателите, необходими за корабоплаването, трябва да бъдат оборудвани с устройство, което генерира светлинен и звуков сигнал в рулевата рубка, когато нивото на горивото не е достатъчно за по-нататъшно нормално функциониране.</w:t>
      </w:r>
    </w:p>
    <w:p w:rsidR="008418DC" w:rsidRPr="009072DA" w:rsidRDefault="008418DC" w:rsidP="008418DC">
      <w:pPr>
        <w:pStyle w:val="ESch"/>
        <w:rPr>
          <w:rFonts w:cs="Arial"/>
          <w:szCs w:val="20"/>
          <w:lang w:val="bg-BG"/>
        </w:rPr>
      </w:pPr>
    </w:p>
    <w:p w:rsidR="000B60B9" w:rsidRPr="009072DA" w:rsidRDefault="000B60B9" w:rsidP="00E24808">
      <w:pPr>
        <w:rPr>
          <w:rFonts w:cs="Arial"/>
          <w:szCs w:val="20"/>
          <w:lang w:val="bg-BG"/>
        </w:rPr>
      </w:pPr>
    </w:p>
    <w:p w:rsidR="00E24808" w:rsidRPr="009072DA" w:rsidRDefault="00E24808" w:rsidP="000B60B9">
      <w:pPr>
        <w:pStyle w:val="ES-Titre3"/>
        <w:rPr>
          <w:lang w:val="bg-BG"/>
        </w:rPr>
      </w:pPr>
      <w:bookmarkStart w:id="121" w:name="_Toc491854061"/>
      <w:bookmarkStart w:id="122" w:name="_Toc535827502"/>
      <w:r w:rsidRPr="009072DA">
        <w:rPr>
          <w:lang w:val="bg-BG"/>
        </w:rPr>
        <w:lastRenderedPageBreak/>
        <w:t>Член 8.06</w:t>
      </w:r>
      <w:r w:rsidRPr="009072DA">
        <w:rPr>
          <w:lang w:val="bg-BG"/>
        </w:rPr>
        <w:br/>
      </w:r>
      <w:r w:rsidRPr="009072DA">
        <w:rPr>
          <w:i/>
          <w:lang w:val="bg-BG"/>
        </w:rPr>
        <w:t>Съхраняване на смазочно масло, тръби и принадлежности</w:t>
      </w:r>
      <w:bookmarkEnd w:id="121"/>
      <w:bookmarkEnd w:id="122"/>
    </w:p>
    <w:p w:rsidR="000B60B9" w:rsidRPr="009072DA" w:rsidRDefault="000B60B9" w:rsidP="00E24808">
      <w:pPr>
        <w:rPr>
          <w:rFonts w:cs="Arial"/>
          <w:szCs w:val="20"/>
          <w:lang w:val="bg-BG"/>
        </w:rPr>
      </w:pPr>
    </w:p>
    <w:p w:rsidR="00E24808" w:rsidRPr="009072DA" w:rsidRDefault="00E24808" w:rsidP="005A3E0D">
      <w:pPr>
        <w:pStyle w:val="ESch"/>
        <w:rPr>
          <w:lang w:val="bg-BG"/>
        </w:rPr>
      </w:pPr>
      <w:r w:rsidRPr="009072DA">
        <w:rPr>
          <w:lang w:val="bg-BG"/>
        </w:rPr>
        <w:t>1.</w:t>
      </w:r>
      <w:r w:rsidRPr="009072DA">
        <w:rPr>
          <w:lang w:val="bg-BG"/>
        </w:rPr>
        <w:tab/>
        <w:t>Смазочното масло се съхранява в стоманени резервоари, които са неразделна част от корпуса или са здраво прикрепени към корпуса. Ако се изисква от конструкцията на плавателния съд, може да се използва равностоен по отношение на огнеустойчивостта материал. Тези изисквания не важат за резервоари с вместимост не повече от 25 литра. Резервоарите за смазочно масло нямат общи повърхности с резервоарите за питейна вода.</w:t>
      </w:r>
    </w:p>
    <w:p w:rsidR="000B60B9" w:rsidRPr="009072DA" w:rsidRDefault="000B60B9" w:rsidP="005A3E0D">
      <w:pPr>
        <w:pStyle w:val="ESch"/>
        <w:rPr>
          <w:lang w:val="bg-BG"/>
        </w:rPr>
      </w:pPr>
    </w:p>
    <w:p w:rsidR="00E24808" w:rsidRPr="009072DA" w:rsidRDefault="00E24808" w:rsidP="005A3E0D">
      <w:pPr>
        <w:pStyle w:val="ESch"/>
        <w:rPr>
          <w:lang w:val="bg-BG"/>
        </w:rPr>
      </w:pPr>
      <w:r w:rsidRPr="009072DA">
        <w:rPr>
          <w:lang w:val="bg-BG"/>
        </w:rPr>
        <w:t>2.</w:t>
      </w:r>
      <w:r w:rsidRPr="009072DA">
        <w:rPr>
          <w:lang w:val="bg-BG"/>
        </w:rPr>
        <w:tab/>
        <w:t>Резервоарите за смазочни масла, техните тръбопроводи и други принадлежности се оформят и разполагат по такъв начин, че нито смазочно масло, нито изпаренията от него да могат случайно да попаднат във вътрешността на плавателния съд.</w:t>
      </w:r>
    </w:p>
    <w:p w:rsidR="000B60B9" w:rsidRPr="009072DA" w:rsidRDefault="000B60B9" w:rsidP="005A3E0D">
      <w:pPr>
        <w:pStyle w:val="ESch"/>
        <w:rPr>
          <w:lang w:val="bg-BG"/>
        </w:rPr>
      </w:pPr>
    </w:p>
    <w:p w:rsidR="00E24808" w:rsidRPr="009072DA" w:rsidRDefault="00E24808" w:rsidP="005A3E0D">
      <w:pPr>
        <w:pStyle w:val="ESch"/>
        <w:rPr>
          <w:lang w:val="bg-BG"/>
        </w:rPr>
      </w:pPr>
      <w:r w:rsidRPr="009072DA">
        <w:rPr>
          <w:lang w:val="bg-BG"/>
        </w:rPr>
        <w:t>3.</w:t>
      </w:r>
      <w:r w:rsidRPr="009072DA">
        <w:rPr>
          <w:lang w:val="bg-BG"/>
        </w:rPr>
        <w:tab/>
        <w:t>Резервоарите за смазочно масло не могат да се намират пред първата носова непроницаема преграда.</w:t>
      </w:r>
    </w:p>
    <w:p w:rsidR="000B60B9" w:rsidRPr="009072DA" w:rsidRDefault="000B60B9" w:rsidP="005A3E0D">
      <w:pPr>
        <w:pStyle w:val="ESch"/>
        <w:rPr>
          <w:lang w:val="bg-BG"/>
        </w:rPr>
      </w:pPr>
    </w:p>
    <w:p w:rsidR="005A3E0D" w:rsidRPr="009072DA" w:rsidRDefault="005A3E0D" w:rsidP="005A3E0D">
      <w:pPr>
        <w:pStyle w:val="ESch"/>
        <w:rPr>
          <w:lang w:val="bg-BG"/>
        </w:rPr>
      </w:pPr>
      <w:r w:rsidRPr="009072DA">
        <w:rPr>
          <w:lang w:val="bg-BG"/>
        </w:rPr>
        <w:br w:type="page"/>
      </w:r>
    </w:p>
    <w:p w:rsidR="00E24808" w:rsidRPr="009072DA" w:rsidRDefault="00E24808" w:rsidP="005A3E0D">
      <w:pPr>
        <w:pStyle w:val="ESch"/>
        <w:rPr>
          <w:lang w:val="bg-BG"/>
        </w:rPr>
      </w:pPr>
      <w:r w:rsidRPr="009072DA">
        <w:rPr>
          <w:lang w:val="bg-BG"/>
        </w:rPr>
        <w:lastRenderedPageBreak/>
        <w:t>4.</w:t>
      </w:r>
      <w:r w:rsidRPr="009072DA">
        <w:rPr>
          <w:lang w:val="bg-BG"/>
        </w:rPr>
        <w:tab/>
        <w:t>Резервоарите за смазочно масло и техните принадлежности не могат да се разполагат точно над двигателите или изпускателните тръби.</w:t>
      </w:r>
    </w:p>
    <w:p w:rsidR="000B60B9" w:rsidRPr="009072DA" w:rsidRDefault="000B60B9" w:rsidP="005A3E0D">
      <w:pPr>
        <w:pStyle w:val="ESch"/>
        <w:rPr>
          <w:lang w:val="bg-BG"/>
        </w:rPr>
      </w:pPr>
    </w:p>
    <w:p w:rsidR="00E24808" w:rsidRPr="009072DA" w:rsidRDefault="00E24808" w:rsidP="005A3E0D">
      <w:pPr>
        <w:pStyle w:val="ESch"/>
        <w:rPr>
          <w:lang w:val="bg-BG"/>
        </w:rPr>
      </w:pPr>
      <w:r w:rsidRPr="009072DA">
        <w:rPr>
          <w:lang w:val="bg-BG"/>
        </w:rPr>
        <w:t>5.</w:t>
      </w:r>
      <w:r w:rsidRPr="009072DA">
        <w:rPr>
          <w:lang w:val="bg-BG"/>
        </w:rPr>
        <w:tab/>
        <w:t>Отворите за зареждане на резервоарите за смазочни масла трябва да са маркирани ясно.</w:t>
      </w:r>
    </w:p>
    <w:p w:rsidR="000B60B9" w:rsidRPr="009072DA" w:rsidRDefault="000B60B9" w:rsidP="005A3E0D">
      <w:pPr>
        <w:pStyle w:val="ESch"/>
        <w:rPr>
          <w:lang w:val="bg-BG"/>
        </w:rPr>
      </w:pPr>
    </w:p>
    <w:p w:rsidR="00E24808" w:rsidRPr="009072DA" w:rsidRDefault="00E24808" w:rsidP="005A3E0D">
      <w:pPr>
        <w:pStyle w:val="ESch"/>
        <w:rPr>
          <w:lang w:val="bg-BG"/>
        </w:rPr>
      </w:pPr>
      <w:r w:rsidRPr="009072DA">
        <w:rPr>
          <w:lang w:val="bg-BG"/>
        </w:rPr>
        <w:t>6.</w:t>
      </w:r>
      <w:r w:rsidRPr="009072DA">
        <w:rPr>
          <w:lang w:val="bg-BG"/>
        </w:rPr>
        <w:tab/>
        <w:t>Тръбите за смазочно масло, техните съединения, уплътнения и фитинги се правят от материали, годни да издържат на механичните, химичните и топлинните натоварвания, на които е вероятно да бъдат подложени. Тръбите не трябва да се излагат на неблагоприятното влияние на топлина и трябва да бъде възможно да бъдат проверявани по цялата им дължина.</w:t>
      </w:r>
    </w:p>
    <w:p w:rsidR="000B60B9" w:rsidRPr="009072DA" w:rsidRDefault="000B60B9" w:rsidP="005A3E0D">
      <w:pPr>
        <w:pStyle w:val="ESch"/>
        <w:rPr>
          <w:lang w:val="bg-BG"/>
        </w:rPr>
      </w:pPr>
    </w:p>
    <w:p w:rsidR="00E24808" w:rsidRPr="009072DA" w:rsidRDefault="00E24808" w:rsidP="005A3E0D">
      <w:pPr>
        <w:pStyle w:val="ESch"/>
        <w:rPr>
          <w:lang w:val="bg-BG"/>
        </w:rPr>
      </w:pPr>
      <w:r w:rsidRPr="009072DA">
        <w:rPr>
          <w:lang w:val="bg-BG"/>
        </w:rPr>
        <w:t>7.</w:t>
      </w:r>
      <w:r w:rsidRPr="009072DA">
        <w:rPr>
          <w:lang w:val="bg-BG"/>
        </w:rPr>
        <w:tab/>
        <w:t>Резервоарите за смазочно масло трябва да са оборудвани с подходящо устройство за измерване на вместимостта. Устройствата за измерване на вместимостта трябва да могат да се отчитат до равнището на максимално напълване. Водомерните стъкла трябва да са ефикасно защитени срещу повреда от удар, снабдени с автоматично затварящо устройство в основата си, а горните им краища да са свързани с резервоарите над равнището им на максимално напълване. Материалът, използван за водомерните стъкла, не трябва да се деформира при нормални температури на средата. Измервателните тръби не трябва да завършват в жилищните пространства. Измервателните тръби, които завършват в машинно или котелно отделение, трябва да са оборудвани с подходящи затварящи устройства.</w:t>
      </w:r>
    </w:p>
    <w:p w:rsidR="00E24808" w:rsidRPr="009072DA" w:rsidRDefault="00E24808" w:rsidP="00E24808">
      <w:pPr>
        <w:rPr>
          <w:rFonts w:cs="Arial"/>
          <w:szCs w:val="20"/>
          <w:lang w:val="bg-BG"/>
        </w:rPr>
      </w:pPr>
    </w:p>
    <w:p w:rsidR="000B60B9" w:rsidRPr="009072DA" w:rsidRDefault="000B60B9" w:rsidP="00E24808">
      <w:pPr>
        <w:rPr>
          <w:rFonts w:cs="Arial"/>
          <w:szCs w:val="20"/>
          <w:lang w:val="bg-BG"/>
        </w:rPr>
      </w:pPr>
    </w:p>
    <w:p w:rsidR="00E24808" w:rsidRPr="009072DA" w:rsidRDefault="00E24808" w:rsidP="000B60B9">
      <w:pPr>
        <w:pStyle w:val="ES-Titre3"/>
        <w:rPr>
          <w:i/>
          <w:lang w:val="bg-BG"/>
        </w:rPr>
      </w:pPr>
      <w:bookmarkStart w:id="123" w:name="_Toc535827503"/>
      <w:bookmarkStart w:id="124" w:name="_Toc491854062"/>
      <w:r w:rsidRPr="009072DA">
        <w:rPr>
          <w:lang w:val="bg-BG"/>
        </w:rPr>
        <w:t>Член 8.07</w:t>
      </w:r>
      <w:r w:rsidRPr="009072DA">
        <w:rPr>
          <w:lang w:val="bg-BG"/>
        </w:rPr>
        <w:br/>
      </w:r>
      <w:r w:rsidRPr="009072DA">
        <w:rPr>
          <w:i/>
          <w:lang w:val="bg-BG"/>
        </w:rPr>
        <w:t>Съхранение на масла, използвани в силови трансмисии, системи за управление и задействане и системи за отопление, тръбопроводи и принадлежности</w:t>
      </w:r>
      <w:bookmarkEnd w:id="123"/>
      <w:r w:rsidRPr="009072DA">
        <w:rPr>
          <w:i/>
          <w:lang w:val="bg-BG"/>
        </w:rPr>
        <w:t xml:space="preserve"> </w:t>
      </w:r>
      <w:bookmarkEnd w:id="124"/>
    </w:p>
    <w:p w:rsidR="005A3E0D" w:rsidRPr="009072DA" w:rsidRDefault="005A3E0D" w:rsidP="00E24808">
      <w:pPr>
        <w:rPr>
          <w:rFonts w:cs="Arial"/>
          <w:szCs w:val="20"/>
          <w:lang w:val="bg-BG"/>
        </w:rPr>
      </w:pPr>
    </w:p>
    <w:p w:rsidR="00E24808" w:rsidRPr="009072DA" w:rsidRDefault="00E24808" w:rsidP="005A3E0D">
      <w:pPr>
        <w:pStyle w:val="ESch"/>
        <w:rPr>
          <w:lang w:val="bg-BG"/>
        </w:rPr>
      </w:pPr>
      <w:r w:rsidRPr="009072DA">
        <w:rPr>
          <w:lang w:val="bg-BG"/>
        </w:rPr>
        <w:t>1.</w:t>
      </w:r>
      <w:r w:rsidRPr="009072DA">
        <w:rPr>
          <w:lang w:val="bg-BG"/>
        </w:rPr>
        <w:tab/>
        <w:t>Масла, използвани в силови трансмисии, системи за управление и задействане и системи за отопление, се съхраняват в стоманени резервоари, които са неразделна част от корпуса или са здраво прикрепени към корпуса. Ако се изисква от конструкцията на плавателния съд, може да се използва равностоен по отношение на огнеустойчивостта материал. Тези изисквания не важат за резервоари с вместимост не повече от 25 литра. Резервоарите за масло, посочени в първото изречение, не трябва да имат общи повърхности с резервоарите за питейна вода.</w:t>
      </w:r>
    </w:p>
    <w:p w:rsidR="000B60B9" w:rsidRPr="009072DA" w:rsidRDefault="000B60B9" w:rsidP="005A3E0D">
      <w:pPr>
        <w:pStyle w:val="ESch"/>
        <w:rPr>
          <w:lang w:val="bg-BG"/>
        </w:rPr>
      </w:pPr>
    </w:p>
    <w:p w:rsidR="00E24808" w:rsidRPr="009072DA" w:rsidRDefault="00E24808" w:rsidP="005A3E0D">
      <w:pPr>
        <w:pStyle w:val="ESch"/>
        <w:rPr>
          <w:lang w:val="bg-BG"/>
        </w:rPr>
      </w:pPr>
      <w:r w:rsidRPr="009072DA">
        <w:rPr>
          <w:lang w:val="bg-BG"/>
        </w:rPr>
        <w:t>2.</w:t>
      </w:r>
      <w:r w:rsidRPr="009072DA">
        <w:rPr>
          <w:lang w:val="bg-BG"/>
        </w:rPr>
        <w:tab/>
        <w:t>Резервоарите за масло съобразно точка 1 и техните тръбопроводи и други принадлежности трябва да са оформени и разположени по такъв начин, че нито такова масло, нито изпарения от него да могат случайно да попаднат във вътрешността на плавателния съд.</w:t>
      </w:r>
    </w:p>
    <w:p w:rsidR="000B60B9" w:rsidRPr="009072DA" w:rsidRDefault="000B60B9" w:rsidP="005A3E0D">
      <w:pPr>
        <w:pStyle w:val="ESch"/>
        <w:rPr>
          <w:lang w:val="bg-BG"/>
        </w:rPr>
      </w:pPr>
    </w:p>
    <w:p w:rsidR="00E24808" w:rsidRPr="009072DA" w:rsidRDefault="00E24808" w:rsidP="005A3E0D">
      <w:pPr>
        <w:pStyle w:val="ESch"/>
        <w:rPr>
          <w:lang w:val="bg-BG"/>
        </w:rPr>
      </w:pPr>
      <w:r w:rsidRPr="009072DA">
        <w:rPr>
          <w:lang w:val="bg-BG"/>
        </w:rPr>
        <w:lastRenderedPageBreak/>
        <w:t>3.</w:t>
      </w:r>
      <w:r w:rsidRPr="009072DA">
        <w:rPr>
          <w:lang w:val="bg-BG"/>
        </w:rPr>
        <w:tab/>
        <w:t>Резервоарите за масло, посочени в точка 1, не могат да се намират пред първата носова непроницаема преграда.</w:t>
      </w:r>
    </w:p>
    <w:p w:rsidR="000B60B9" w:rsidRPr="009072DA" w:rsidRDefault="000B60B9" w:rsidP="005A3E0D">
      <w:pPr>
        <w:pStyle w:val="ESch"/>
        <w:rPr>
          <w:lang w:val="bg-BG"/>
        </w:rPr>
      </w:pPr>
    </w:p>
    <w:p w:rsidR="00E24808" w:rsidRPr="009072DA" w:rsidRDefault="00E24808" w:rsidP="005A3E0D">
      <w:pPr>
        <w:pStyle w:val="ESch"/>
        <w:rPr>
          <w:lang w:val="bg-BG"/>
        </w:rPr>
      </w:pPr>
      <w:r w:rsidRPr="009072DA">
        <w:rPr>
          <w:lang w:val="bg-BG"/>
        </w:rPr>
        <w:t>4.</w:t>
      </w:r>
      <w:r w:rsidRPr="009072DA">
        <w:rPr>
          <w:lang w:val="bg-BG"/>
        </w:rPr>
        <w:tab/>
        <w:t>Резервоарите за масло, посочени в точка 1, и техните принадлежности не могат да се разполагат точно над двигателите или изпускателните тръби.</w:t>
      </w:r>
    </w:p>
    <w:p w:rsidR="000B60B9" w:rsidRPr="009072DA" w:rsidRDefault="000B60B9" w:rsidP="005A3E0D">
      <w:pPr>
        <w:pStyle w:val="ESch"/>
        <w:rPr>
          <w:lang w:val="bg-BG"/>
        </w:rPr>
      </w:pPr>
    </w:p>
    <w:p w:rsidR="00E24808" w:rsidRPr="009072DA" w:rsidRDefault="00E24808" w:rsidP="005A3E0D">
      <w:pPr>
        <w:pStyle w:val="ESch"/>
        <w:rPr>
          <w:lang w:val="bg-BG"/>
        </w:rPr>
      </w:pPr>
      <w:r w:rsidRPr="009072DA">
        <w:rPr>
          <w:lang w:val="bg-BG"/>
        </w:rPr>
        <w:t>5.</w:t>
      </w:r>
      <w:r w:rsidRPr="009072DA">
        <w:rPr>
          <w:lang w:val="bg-BG"/>
        </w:rPr>
        <w:tab/>
        <w:t>Отворите за зареждане на резервоарите за масло, посочени в точка 1, трябва да са маркирани ясно.</w:t>
      </w:r>
    </w:p>
    <w:p w:rsidR="000B60B9" w:rsidRPr="009072DA" w:rsidRDefault="000B60B9" w:rsidP="005A3E0D">
      <w:pPr>
        <w:pStyle w:val="ESch"/>
        <w:rPr>
          <w:lang w:val="bg-BG"/>
        </w:rPr>
      </w:pPr>
    </w:p>
    <w:p w:rsidR="00E24808" w:rsidRPr="009072DA" w:rsidRDefault="00E24808" w:rsidP="005A3E0D">
      <w:pPr>
        <w:pStyle w:val="ESch"/>
        <w:rPr>
          <w:lang w:val="bg-BG"/>
        </w:rPr>
      </w:pPr>
      <w:r w:rsidRPr="009072DA">
        <w:rPr>
          <w:lang w:val="bg-BG"/>
        </w:rPr>
        <w:t>6.</w:t>
      </w:r>
      <w:r w:rsidRPr="009072DA">
        <w:rPr>
          <w:lang w:val="bg-BG"/>
        </w:rPr>
        <w:tab/>
        <w:t>Тръбите за масло по точка 1, техните съединения, уплътнения и фитинги се правят от материали, годни да издържат на механичните, химичните и топлинните натоварвания, на които е вероятно да бъдат подложени. Тръбите не трябва да се излагат на неблагоприятното влияние на топлина и трябва да бъде възможно да бъдат проверявани по цялата им дължина.</w:t>
      </w:r>
    </w:p>
    <w:p w:rsidR="000B60B9" w:rsidRPr="009072DA" w:rsidRDefault="000B60B9" w:rsidP="005A3E0D">
      <w:pPr>
        <w:pStyle w:val="ESch"/>
        <w:rPr>
          <w:lang w:val="bg-BG"/>
        </w:rPr>
      </w:pPr>
    </w:p>
    <w:p w:rsidR="005A3E0D" w:rsidRPr="009072DA" w:rsidRDefault="005A3E0D" w:rsidP="005A3E0D">
      <w:pPr>
        <w:pStyle w:val="ESch"/>
        <w:rPr>
          <w:lang w:val="bg-BG"/>
        </w:rPr>
      </w:pPr>
      <w:r w:rsidRPr="009072DA">
        <w:rPr>
          <w:lang w:val="bg-BG"/>
        </w:rPr>
        <w:br w:type="page"/>
      </w:r>
    </w:p>
    <w:p w:rsidR="00E24808" w:rsidRPr="009072DA" w:rsidRDefault="00E24808" w:rsidP="005A3E0D">
      <w:pPr>
        <w:pStyle w:val="ESch"/>
        <w:rPr>
          <w:lang w:val="bg-BG"/>
        </w:rPr>
      </w:pPr>
      <w:r w:rsidRPr="009072DA">
        <w:rPr>
          <w:lang w:val="bg-BG"/>
        </w:rPr>
        <w:lastRenderedPageBreak/>
        <w:t>7.</w:t>
      </w:r>
      <w:r w:rsidRPr="009072DA">
        <w:rPr>
          <w:lang w:val="bg-BG"/>
        </w:rPr>
        <w:tab/>
        <w:t>Резервоарите за масло, посочени в точка 1, трябва да са оборудвани с подходящо устройство за измерване на вместимостта. Устройствата за измерване на вместимостта трябва да могат да се отчитат до равнището на максимално напълване. Водомерните стъкла трябва да са ефикасно защитени срещу повреда от удар, снабдени с автоматично затварящо устройство в основата си, а горните им краища да са свързани с резервоарите над равнището им на максимално напълване. Материалът, използван за водомерните стъкла, не трябва да се деформира при нормални температури на средата. Измервателните тръби не трябва да завършват в жилищните пространства. Измервателните тръби, които завършват в машинно или котелно отделение, трябва да са оборудвани с подходящи затварящи устройства.</w:t>
      </w:r>
    </w:p>
    <w:p w:rsidR="000B60B9" w:rsidRPr="009072DA" w:rsidRDefault="000B60B9" w:rsidP="00E24808">
      <w:pPr>
        <w:rPr>
          <w:rFonts w:cs="Arial"/>
          <w:szCs w:val="20"/>
          <w:lang w:val="bg-BG"/>
        </w:rPr>
      </w:pPr>
    </w:p>
    <w:p w:rsidR="00E24808" w:rsidRPr="009072DA" w:rsidRDefault="00E24808" w:rsidP="00E24808">
      <w:pPr>
        <w:rPr>
          <w:rFonts w:cs="Arial"/>
          <w:szCs w:val="20"/>
          <w:lang w:val="bg-BG"/>
        </w:rPr>
      </w:pPr>
    </w:p>
    <w:p w:rsidR="00E24808" w:rsidRPr="009072DA" w:rsidRDefault="00E24808" w:rsidP="000B60B9">
      <w:pPr>
        <w:pStyle w:val="ES-Titre3"/>
        <w:rPr>
          <w:i/>
          <w:lang w:val="bg-BG"/>
        </w:rPr>
      </w:pPr>
      <w:bookmarkStart w:id="125" w:name="_Toc491854063"/>
      <w:bookmarkStart w:id="126" w:name="_Toc535827504"/>
      <w:r w:rsidRPr="009072DA">
        <w:rPr>
          <w:lang w:val="bg-BG"/>
        </w:rPr>
        <w:t>Член 8.08</w:t>
      </w:r>
      <w:r w:rsidRPr="009072DA">
        <w:rPr>
          <w:lang w:val="bg-BG"/>
        </w:rPr>
        <w:br/>
      </w:r>
      <w:r w:rsidRPr="009072DA">
        <w:rPr>
          <w:i/>
          <w:lang w:val="bg-BG"/>
        </w:rPr>
        <w:t>Системи за изпомпване и осушаване на трюма</w:t>
      </w:r>
      <w:bookmarkEnd w:id="125"/>
      <w:bookmarkEnd w:id="126"/>
    </w:p>
    <w:p w:rsidR="000B60B9" w:rsidRPr="009072DA" w:rsidRDefault="000B60B9" w:rsidP="00E24808">
      <w:pPr>
        <w:rPr>
          <w:rFonts w:cs="Arial"/>
          <w:szCs w:val="20"/>
          <w:lang w:val="bg-BG"/>
        </w:rPr>
      </w:pPr>
    </w:p>
    <w:p w:rsidR="00E24808" w:rsidRPr="009072DA" w:rsidRDefault="00E24808" w:rsidP="005A3E0D">
      <w:pPr>
        <w:pStyle w:val="ESch"/>
        <w:rPr>
          <w:lang w:val="bg-BG"/>
        </w:rPr>
      </w:pPr>
      <w:r w:rsidRPr="009072DA">
        <w:rPr>
          <w:lang w:val="bg-BG"/>
        </w:rPr>
        <w:t>1.</w:t>
      </w:r>
      <w:r w:rsidRPr="009072DA">
        <w:rPr>
          <w:lang w:val="bg-BG"/>
        </w:rPr>
        <w:tab/>
        <w:t>Трябва да бъде възможно изпомпването на всеки водонепроницаем отсек поотделно. Това изискване обаче не се отнася за водонепроницаемите отсеци, които обикновено са запечатани херметично при експлоатация.</w:t>
      </w:r>
    </w:p>
    <w:p w:rsidR="000B60B9" w:rsidRPr="009072DA" w:rsidRDefault="000B60B9" w:rsidP="005A3E0D">
      <w:pPr>
        <w:pStyle w:val="ESch"/>
        <w:rPr>
          <w:lang w:val="bg-BG"/>
        </w:rPr>
      </w:pPr>
    </w:p>
    <w:p w:rsidR="00E24808" w:rsidRPr="009072DA" w:rsidRDefault="00E24808" w:rsidP="005A3E0D">
      <w:pPr>
        <w:pStyle w:val="ESch"/>
        <w:rPr>
          <w:lang w:val="bg-BG"/>
        </w:rPr>
      </w:pPr>
      <w:r w:rsidRPr="009072DA">
        <w:rPr>
          <w:lang w:val="bg-BG"/>
        </w:rPr>
        <w:t>2.</w:t>
      </w:r>
      <w:r w:rsidRPr="009072DA">
        <w:rPr>
          <w:lang w:val="bg-BG"/>
        </w:rPr>
        <w:tab/>
        <w:t>Плавателни съдове, които изискват екипаж, трябва да са оборудвани с две отделни осушителни помпи, които не са монтирани на едно и също място. Поне една от тях трябва да се задвижва с мотор. Все пак, при плавателни съдове с мощност до 225 kW или пълна товароподемност под 350 t или когато плавателни съдове, които не са предназначени за превоз на стоки, имат водоизместване по-малко от 250 m</w:t>
      </w:r>
      <w:r w:rsidRPr="009072DA">
        <w:rPr>
          <w:vertAlign w:val="superscript"/>
          <w:lang w:val="bg-BG"/>
        </w:rPr>
        <w:t>3</w:t>
      </w:r>
      <w:r w:rsidRPr="009072DA">
        <w:rPr>
          <w:lang w:val="bg-BG"/>
        </w:rPr>
        <w:t>, една помпа е достатъчна, независимо дали е с ръчно задвижване или с двигател.</w:t>
      </w:r>
    </w:p>
    <w:p w:rsidR="000B60B9" w:rsidRPr="009072DA" w:rsidRDefault="000B60B9" w:rsidP="005A3E0D">
      <w:pPr>
        <w:pStyle w:val="ESch"/>
        <w:rPr>
          <w:lang w:val="bg-BG"/>
        </w:rPr>
      </w:pPr>
    </w:p>
    <w:p w:rsidR="00E24808" w:rsidRPr="009072DA" w:rsidRDefault="00E24808" w:rsidP="005A3E0D">
      <w:pPr>
        <w:pStyle w:val="ESchpar"/>
        <w:rPr>
          <w:lang w:val="bg-BG"/>
        </w:rPr>
      </w:pPr>
      <w:r w:rsidRPr="009072DA">
        <w:rPr>
          <w:lang w:val="bg-BG"/>
        </w:rPr>
        <w:t>Всяка от помпите трябва да може да се използва на всеки водонепроницаем отсек.</w:t>
      </w:r>
    </w:p>
    <w:p w:rsidR="000B60B9" w:rsidRPr="009072DA" w:rsidRDefault="000B60B9" w:rsidP="005A3E0D">
      <w:pPr>
        <w:pStyle w:val="ESch"/>
        <w:rPr>
          <w:lang w:val="bg-BG"/>
        </w:rPr>
      </w:pPr>
    </w:p>
    <w:p w:rsidR="00E24808" w:rsidRPr="009072DA" w:rsidRDefault="00E24808" w:rsidP="005A3E0D">
      <w:pPr>
        <w:pStyle w:val="ESch"/>
        <w:rPr>
          <w:lang w:val="bg-BG"/>
        </w:rPr>
      </w:pPr>
      <w:r w:rsidRPr="009072DA">
        <w:rPr>
          <w:lang w:val="bg-BG"/>
        </w:rPr>
        <w:t>3.</w:t>
      </w:r>
      <w:r w:rsidRPr="009072DA">
        <w:rPr>
          <w:lang w:val="bg-BG"/>
        </w:rPr>
        <w:tab/>
        <w:t xml:space="preserve">Минималният капацитет на изпомпване </w:t>
      </w:r>
      <m:oMath>
        <m:sSub>
          <m:sSubPr>
            <m:ctrlPr>
              <w:rPr>
                <w:rFonts w:ascii="Cambria Math" w:hAnsi="Cambria Math"/>
                <w:i/>
                <w:lang w:val="bg-BG"/>
              </w:rPr>
            </m:ctrlPr>
          </m:sSubPr>
          <m:e>
            <m:r>
              <w:rPr>
                <w:rFonts w:ascii="Cambria Math" w:hAnsi="Cambria Math"/>
                <w:lang w:val="bg-BG"/>
              </w:rPr>
              <m:t>Q</m:t>
            </m:r>
          </m:e>
          <m:sub>
            <m:r>
              <w:rPr>
                <w:rFonts w:ascii="Cambria Math" w:hAnsi="Cambria Math"/>
                <w:lang w:val="bg-BG"/>
              </w:rPr>
              <m:t>1</m:t>
            </m:r>
          </m:sub>
        </m:sSub>
      </m:oMath>
      <w:r w:rsidRPr="009072DA">
        <w:rPr>
          <w:lang w:val="bg-BG"/>
        </w:rPr>
        <w:t xml:space="preserve"> на първата осушителна помпа се пресмята по следната формула:</w:t>
      </w:r>
    </w:p>
    <w:p w:rsidR="00E000F9" w:rsidRPr="009072DA" w:rsidRDefault="002B712C" w:rsidP="00E000F9">
      <w:pPr>
        <w:pStyle w:val="ESch"/>
        <w:ind w:left="0" w:firstLine="0"/>
        <w:jc w:val="center"/>
        <w:rPr>
          <w:lang w:val="bg-BG"/>
        </w:rPr>
      </w:pPr>
      <m:oMathPara>
        <m:oMath>
          <m:sSub>
            <m:sSubPr>
              <m:ctrlPr>
                <w:rPr>
                  <w:rFonts w:ascii="Cambria Math" w:hAnsi="Cambria Math"/>
                  <w:i/>
                  <w:lang w:val="bg-BG"/>
                </w:rPr>
              </m:ctrlPr>
            </m:sSubPr>
            <m:e>
              <m:r>
                <w:rPr>
                  <w:rFonts w:ascii="Cambria Math" w:hAnsi="Cambria Math"/>
                  <w:lang w:val="bg-BG"/>
                </w:rPr>
                <m:t>Q</m:t>
              </m:r>
            </m:e>
            <m:sub>
              <m:r>
                <w:rPr>
                  <w:rFonts w:ascii="Cambria Math" w:hAnsi="Cambria Math"/>
                  <w:lang w:val="bg-BG"/>
                </w:rPr>
                <m:t>1</m:t>
              </m:r>
            </m:sub>
          </m:sSub>
          <m:r>
            <w:rPr>
              <w:rFonts w:ascii="Cambria Math" w:hAnsi="Cambria Math"/>
              <w:lang w:val="bg-BG"/>
            </w:rPr>
            <m:t xml:space="preserve">=0,1 ∙ </m:t>
          </m:r>
          <m:sSup>
            <m:sSupPr>
              <m:ctrlPr>
                <w:rPr>
                  <w:rFonts w:ascii="Cambria Math" w:hAnsi="Cambria Math"/>
                  <w:i/>
                  <w:lang w:val="bg-BG"/>
                </w:rPr>
              </m:ctrlPr>
            </m:sSupPr>
            <m:e>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1</m:t>
                  </m:r>
                </m:sub>
              </m:sSub>
            </m:e>
            <m:sup>
              <m:r>
                <w:rPr>
                  <w:rFonts w:ascii="Cambria Math" w:hAnsi="Cambria Math"/>
                  <w:lang w:val="bg-BG"/>
                </w:rPr>
                <m:t>2</m:t>
              </m:r>
            </m:sup>
          </m:sSup>
          <m:r>
            <w:rPr>
              <w:rFonts w:ascii="Cambria Math" w:hAnsi="Cambria Math"/>
              <w:lang w:val="bg-BG"/>
            </w:rPr>
            <m:t xml:space="preserve"> [l/min]</m:t>
          </m:r>
        </m:oMath>
      </m:oMathPara>
    </w:p>
    <w:p w:rsidR="00E000F9" w:rsidRPr="009072DA" w:rsidRDefault="00E000F9" w:rsidP="00E000F9">
      <w:pPr>
        <w:pStyle w:val="ESch"/>
        <w:ind w:left="0" w:firstLine="0"/>
        <w:rPr>
          <w:lang w:val="bg-BG"/>
        </w:rPr>
      </w:pPr>
    </w:p>
    <w:p w:rsidR="000B60B9" w:rsidRPr="009072DA" w:rsidRDefault="002B712C" w:rsidP="0089015B">
      <w:pPr>
        <w:pStyle w:val="ESchpar"/>
        <w:spacing w:before="60"/>
        <w:rPr>
          <w:lang w:val="bg-BG"/>
        </w:rPr>
      </w:pPr>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1</m:t>
            </m:r>
          </m:sub>
        </m:sSub>
      </m:oMath>
      <w:r w:rsidR="007B1046" w:rsidRPr="009072DA">
        <w:rPr>
          <w:lang w:val="bg-BG"/>
        </w:rPr>
        <w:t xml:space="preserve"> се пресмята по формулата:</w:t>
      </w:r>
    </w:p>
    <w:p w:rsidR="00230288" w:rsidRPr="009072DA" w:rsidRDefault="00230288" w:rsidP="0089015B">
      <w:pPr>
        <w:pStyle w:val="ESchpar"/>
        <w:spacing w:before="60"/>
        <w:rPr>
          <w:lang w:val="bg-BG"/>
        </w:rPr>
      </w:pPr>
    </w:p>
    <w:p w:rsidR="00230288" w:rsidRPr="009072DA" w:rsidRDefault="002B712C" w:rsidP="00230288">
      <w:pPr>
        <w:pStyle w:val="ESch"/>
        <w:ind w:left="0" w:firstLine="0"/>
        <w:jc w:val="center"/>
        <w:rPr>
          <w:lang w:val="bg-BG"/>
        </w:rPr>
      </w:pPr>
      <m:oMathPara>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1</m:t>
              </m:r>
            </m:sub>
          </m:sSub>
          <m:r>
            <w:rPr>
              <w:rFonts w:ascii="Cambria Math" w:hAnsi="Cambria Math"/>
              <w:lang w:val="bg-BG"/>
            </w:rPr>
            <m:t xml:space="preserve">=1,5 ∙ </m:t>
          </m:r>
          <m:rad>
            <m:radPr>
              <m:degHide m:val="1"/>
              <m:ctrlPr>
                <w:rPr>
                  <w:rFonts w:ascii="Cambria Math" w:hAnsi="Cambria Math"/>
                  <w:i/>
                  <w:lang w:val="bg-BG"/>
                </w:rPr>
              </m:ctrlPr>
            </m:radPr>
            <m:deg/>
            <m:e>
              <m:r>
                <w:rPr>
                  <w:rFonts w:ascii="Cambria Math" w:hAnsi="Cambria Math"/>
                  <w:lang w:val="bg-BG"/>
                </w:rPr>
                <m:t xml:space="preserve">L </m:t>
              </m:r>
              <m:d>
                <m:dPr>
                  <m:ctrlPr>
                    <w:rPr>
                      <w:rFonts w:ascii="Cambria Math" w:hAnsi="Cambria Math"/>
                      <w:i/>
                      <w:lang w:val="bg-BG"/>
                    </w:rPr>
                  </m:ctrlPr>
                </m:dPr>
                <m:e>
                  <m:r>
                    <w:rPr>
                      <w:rFonts w:ascii="Cambria Math" w:hAnsi="Cambria Math"/>
                      <w:lang w:val="bg-BG"/>
                    </w:rPr>
                    <m:t>B+H</m:t>
                  </m:r>
                </m:e>
              </m:d>
            </m:e>
          </m:rad>
          <m:r>
            <w:rPr>
              <w:rFonts w:ascii="Cambria Math" w:hAnsi="Cambria Math"/>
              <w:lang w:val="bg-BG"/>
            </w:rPr>
            <m:t>+25  [mm]</m:t>
          </m:r>
        </m:oMath>
      </m:oMathPara>
    </w:p>
    <w:p w:rsidR="000B60B9" w:rsidRPr="009072DA" w:rsidRDefault="000B60B9" w:rsidP="0089015B">
      <w:pPr>
        <w:pStyle w:val="ESchpar"/>
        <w:rPr>
          <w:lang w:val="bg-BG"/>
        </w:rPr>
      </w:pPr>
    </w:p>
    <w:p w:rsidR="000B60B9" w:rsidRPr="009072DA" w:rsidRDefault="000B60B9" w:rsidP="0089015B">
      <w:pPr>
        <w:pStyle w:val="ESchpar"/>
        <w:rPr>
          <w:rFonts w:cs="Arial"/>
          <w:szCs w:val="20"/>
          <w:lang w:val="bg-BG"/>
        </w:rPr>
      </w:pPr>
      <w:r w:rsidRPr="009072DA">
        <w:rPr>
          <w:lang w:val="bg-BG"/>
        </w:rPr>
        <w:t xml:space="preserve">Минималният капацитет на изпомпване </w:t>
      </w:r>
      <m:oMath>
        <m:sSub>
          <m:sSubPr>
            <m:ctrlPr>
              <w:rPr>
                <w:rFonts w:ascii="Cambria Math" w:hAnsi="Cambria Math"/>
                <w:i/>
                <w:lang w:val="bg-BG"/>
              </w:rPr>
            </m:ctrlPr>
          </m:sSubPr>
          <m:e>
            <m:r>
              <w:rPr>
                <w:rFonts w:ascii="Cambria Math" w:hAnsi="Cambria Math"/>
                <w:lang w:val="bg-BG"/>
              </w:rPr>
              <m:t>Q</m:t>
            </m:r>
          </m:e>
          <m:sub>
            <m:r>
              <w:rPr>
                <w:rFonts w:ascii="Cambria Math" w:hAnsi="Cambria Math"/>
                <w:lang w:val="bg-BG"/>
              </w:rPr>
              <m:t>2</m:t>
            </m:r>
          </m:sub>
        </m:sSub>
      </m:oMath>
      <w:r w:rsidRPr="009072DA">
        <w:rPr>
          <w:lang w:val="bg-BG"/>
        </w:rPr>
        <w:t xml:space="preserve"> на втората осушителна помпа се пресмята по следната формула:</w:t>
      </w:r>
    </w:p>
    <w:p w:rsidR="000B60B9" w:rsidRPr="009072DA" w:rsidRDefault="002B712C" w:rsidP="00B079AF">
      <w:pPr>
        <w:pStyle w:val="ESchpar"/>
        <w:spacing w:before="60"/>
        <w:jc w:val="center"/>
        <w:rPr>
          <w:lang w:val="bg-BG"/>
        </w:rPr>
      </w:pPr>
      <m:oMathPara>
        <m:oMath>
          <m:sSub>
            <m:sSubPr>
              <m:ctrlPr>
                <w:rPr>
                  <w:rFonts w:ascii="Cambria Math" w:hAnsi="Cambria Math"/>
                  <w:i/>
                  <w:lang w:val="bg-BG"/>
                </w:rPr>
              </m:ctrlPr>
            </m:sSubPr>
            <m:e>
              <m:r>
                <w:rPr>
                  <w:rFonts w:ascii="Cambria Math" w:hAnsi="Cambria Math"/>
                  <w:lang w:val="bg-BG"/>
                </w:rPr>
                <m:t>Q</m:t>
              </m:r>
            </m:e>
            <m:sub>
              <m:r>
                <w:rPr>
                  <w:rFonts w:ascii="Cambria Math" w:hAnsi="Cambria Math"/>
                  <w:lang w:val="bg-BG"/>
                </w:rPr>
                <m:t>2</m:t>
              </m:r>
            </m:sub>
          </m:sSub>
          <m:r>
            <w:rPr>
              <w:rFonts w:ascii="Cambria Math" w:hAnsi="Cambria Math"/>
              <w:lang w:val="bg-BG"/>
            </w:rPr>
            <m:t xml:space="preserve">=0,1 ∙ </m:t>
          </m:r>
          <m:sSup>
            <m:sSupPr>
              <m:ctrlPr>
                <w:rPr>
                  <w:rFonts w:ascii="Cambria Math" w:hAnsi="Cambria Math"/>
                  <w:i/>
                  <w:lang w:val="bg-BG"/>
                </w:rPr>
              </m:ctrlPr>
            </m:sSupPr>
            <m:e>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2</m:t>
                  </m:r>
                </m:sub>
              </m:sSub>
            </m:e>
            <m:sup>
              <m:r>
                <w:rPr>
                  <w:rFonts w:ascii="Cambria Math" w:hAnsi="Cambria Math"/>
                  <w:lang w:val="bg-BG"/>
                </w:rPr>
                <m:t>2</m:t>
              </m:r>
            </m:sup>
          </m:sSup>
          <m:r>
            <w:rPr>
              <w:rFonts w:ascii="Cambria Math" w:hAnsi="Cambria Math"/>
              <w:lang w:val="bg-BG"/>
            </w:rPr>
            <m:t xml:space="preserve"> [l/min]</m:t>
          </m:r>
        </m:oMath>
      </m:oMathPara>
    </w:p>
    <w:p w:rsidR="000B60B9" w:rsidRPr="009072DA" w:rsidRDefault="002B712C" w:rsidP="0089015B">
      <w:pPr>
        <w:pStyle w:val="ESchpar"/>
        <w:spacing w:before="60"/>
        <w:rPr>
          <w:rFonts w:cs="Arial"/>
          <w:szCs w:val="20"/>
          <w:lang w:val="bg-BG"/>
        </w:rPr>
      </w:pPr>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2</m:t>
            </m:r>
          </m:sub>
        </m:sSub>
      </m:oMath>
      <w:r w:rsidR="007B1046" w:rsidRPr="009072DA">
        <w:rPr>
          <w:lang w:val="bg-BG"/>
        </w:rPr>
        <w:t xml:space="preserve"> се пресмята по формулата:</w:t>
      </w:r>
    </w:p>
    <w:p w:rsidR="00230288" w:rsidRPr="009072DA" w:rsidRDefault="00230288" w:rsidP="0089015B">
      <w:pPr>
        <w:pStyle w:val="ESchpar"/>
        <w:spacing w:before="60"/>
        <w:rPr>
          <w:lang w:val="bg-BG"/>
        </w:rPr>
      </w:pPr>
    </w:p>
    <w:p w:rsidR="00230288" w:rsidRPr="009072DA" w:rsidRDefault="002B712C" w:rsidP="00230288">
      <w:pPr>
        <w:pStyle w:val="ESch"/>
        <w:ind w:left="0" w:firstLine="0"/>
        <w:jc w:val="center"/>
        <w:rPr>
          <w:lang w:val="bg-BG"/>
        </w:rPr>
      </w:pPr>
      <m:oMathPara>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2</m:t>
              </m:r>
            </m:sub>
          </m:sSub>
          <m:r>
            <w:rPr>
              <w:rFonts w:ascii="Cambria Math" w:hAnsi="Cambria Math"/>
              <w:lang w:val="bg-BG"/>
            </w:rPr>
            <m:t xml:space="preserve">=2 ∙ </m:t>
          </m:r>
          <m:rad>
            <m:radPr>
              <m:degHide m:val="1"/>
              <m:ctrlPr>
                <w:rPr>
                  <w:rFonts w:ascii="Cambria Math" w:hAnsi="Cambria Math"/>
                  <w:i/>
                  <w:lang w:val="bg-BG"/>
                </w:rPr>
              </m:ctrlPr>
            </m:radPr>
            <m:deg/>
            <m:e>
              <m:r>
                <w:rPr>
                  <w:rFonts w:ascii="Cambria Math" w:hAnsi="Cambria Math"/>
                  <w:lang w:val="bg-BG"/>
                </w:rPr>
                <m:t xml:space="preserve">l </m:t>
              </m:r>
              <m:d>
                <m:dPr>
                  <m:ctrlPr>
                    <w:rPr>
                      <w:rFonts w:ascii="Cambria Math" w:hAnsi="Cambria Math"/>
                      <w:i/>
                      <w:lang w:val="bg-BG"/>
                    </w:rPr>
                  </m:ctrlPr>
                </m:dPr>
                <m:e>
                  <m:r>
                    <w:rPr>
                      <w:rFonts w:ascii="Cambria Math" w:hAnsi="Cambria Math"/>
                      <w:lang w:val="bg-BG"/>
                    </w:rPr>
                    <m:t>B+H</m:t>
                  </m:r>
                </m:e>
              </m:d>
            </m:e>
          </m:rad>
          <m:r>
            <w:rPr>
              <w:rFonts w:ascii="Cambria Math" w:hAnsi="Cambria Math"/>
              <w:lang w:val="bg-BG"/>
            </w:rPr>
            <m:t>+25  [mm]</m:t>
          </m:r>
        </m:oMath>
      </m:oMathPara>
    </w:p>
    <w:p w:rsidR="00230288" w:rsidRPr="009072DA" w:rsidRDefault="00230288" w:rsidP="0089015B">
      <w:pPr>
        <w:pStyle w:val="ESchpar"/>
        <w:spacing w:before="60"/>
        <w:rPr>
          <w:lang w:val="bg-BG"/>
        </w:rPr>
      </w:pPr>
    </w:p>
    <w:p w:rsidR="00E24808" w:rsidRPr="009072DA" w:rsidRDefault="00480E5E" w:rsidP="002C0EB8">
      <w:pPr>
        <w:pStyle w:val="ESlet"/>
        <w:rPr>
          <w:lang w:val="bg-BG"/>
        </w:rPr>
      </w:pPr>
      <w:r w:rsidRPr="009072DA">
        <w:rPr>
          <w:lang w:val="bg-BG"/>
        </w:rPr>
        <w:t xml:space="preserve">Все пак, стойността </w:t>
      </w:r>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2</m:t>
            </m:r>
          </m:sub>
        </m:sSub>
      </m:oMath>
      <w:r w:rsidRPr="009072DA">
        <w:rPr>
          <w:lang w:val="bg-BG"/>
        </w:rPr>
        <w:t xml:space="preserve"> не трябва да надвишава стойността </w:t>
      </w:r>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1</m:t>
            </m:r>
          </m:sub>
        </m:sSub>
      </m:oMath>
      <w:r w:rsidRPr="009072DA">
        <w:rPr>
          <w:lang w:val="bg-BG"/>
        </w:rPr>
        <w:t>.</w:t>
      </w:r>
    </w:p>
    <w:p w:rsidR="00E24808" w:rsidRPr="009072DA" w:rsidRDefault="00E24808" w:rsidP="002C0EB8">
      <w:pPr>
        <w:pStyle w:val="ESlet"/>
        <w:rPr>
          <w:lang w:val="bg-BG"/>
        </w:rPr>
      </w:pPr>
      <w:r w:rsidRPr="009072DA">
        <w:rPr>
          <w:lang w:val="bg-BG"/>
        </w:rPr>
        <w:t xml:space="preserve">За пресмятането на </w:t>
      </w:r>
      <m:oMath>
        <m:sSub>
          <m:sSubPr>
            <m:ctrlPr>
              <w:rPr>
                <w:rFonts w:ascii="Cambria Math" w:hAnsi="Cambria Math"/>
                <w:i/>
                <w:lang w:val="bg-BG"/>
              </w:rPr>
            </m:ctrlPr>
          </m:sSubPr>
          <m:e>
            <m:r>
              <w:rPr>
                <w:rFonts w:ascii="Cambria Math" w:hAnsi="Cambria Math"/>
                <w:lang w:val="bg-BG"/>
              </w:rPr>
              <m:t>Q</m:t>
            </m:r>
          </m:e>
          <m:sub>
            <m:r>
              <w:rPr>
                <w:rFonts w:ascii="Cambria Math" w:hAnsi="Cambria Math"/>
                <w:lang w:val="bg-BG"/>
              </w:rPr>
              <m:t>2</m:t>
            </m:r>
          </m:sub>
        </m:sSub>
      </m:oMath>
      <w:r w:rsidRPr="009072DA">
        <w:rPr>
          <w:lang w:val="bg-BG"/>
        </w:rPr>
        <w:t xml:space="preserve"> </w:t>
      </w:r>
      <m:oMath>
        <m:r>
          <w:rPr>
            <w:rFonts w:ascii="Cambria Math" w:hAnsi="Cambria Math"/>
            <w:lang w:val="bg-BG"/>
          </w:rPr>
          <m:t>l</m:t>
        </m:r>
      </m:oMath>
      <w:r w:rsidRPr="009072DA">
        <w:rPr>
          <w:lang w:val="bg-BG"/>
        </w:rPr>
        <w:t xml:space="preserve"> представлява дължината на най-дългия водонепроницаем отсек.</w:t>
      </w:r>
    </w:p>
    <w:p w:rsidR="00FA096B" w:rsidRPr="009072DA" w:rsidRDefault="00FA096B" w:rsidP="000B60B9">
      <w:pPr>
        <w:rPr>
          <w:lang w:val="bg-BG"/>
        </w:rPr>
      </w:pPr>
    </w:p>
    <w:p w:rsidR="00E24808" w:rsidRPr="009072DA" w:rsidRDefault="00E24808" w:rsidP="002C0EB8">
      <w:pPr>
        <w:pStyle w:val="ESlet"/>
        <w:rPr>
          <w:lang w:val="bg-BG"/>
        </w:rPr>
      </w:pPr>
      <w:r w:rsidRPr="009072DA">
        <w:rPr>
          <w:lang w:val="bg-BG"/>
        </w:rPr>
        <w:t xml:space="preserve">В тези формули: </w:t>
      </w:r>
    </w:p>
    <w:p w:rsidR="00E24808" w:rsidRPr="009072DA" w:rsidRDefault="00230288" w:rsidP="002C0EB8">
      <w:pPr>
        <w:pStyle w:val="ESlet"/>
        <w:rPr>
          <w:lang w:val="bg-BG"/>
        </w:rPr>
      </w:pPr>
      <m:oMath>
        <m:r>
          <w:rPr>
            <w:rFonts w:ascii="Cambria Math" w:hAnsi="Cambria Math"/>
            <w:lang w:val="bg-BG"/>
          </w:rPr>
          <m:t>l</m:t>
        </m:r>
      </m:oMath>
      <w:r w:rsidRPr="009072DA">
        <w:rPr>
          <w:lang w:val="bg-BG"/>
        </w:rPr>
        <w:tab/>
        <w:t>е дължината на въпросния водонепроницаем отсек в [m];</w:t>
      </w:r>
    </w:p>
    <w:p w:rsidR="00E24808" w:rsidRPr="009072DA" w:rsidRDefault="002B712C" w:rsidP="002C0EB8">
      <w:pPr>
        <w:pStyle w:val="ESlet"/>
        <w:rPr>
          <w:lang w:val="bg-BG"/>
        </w:rPr>
      </w:pPr>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1</m:t>
            </m:r>
          </m:sub>
        </m:sSub>
      </m:oMath>
      <w:r w:rsidR="007B1046" w:rsidRPr="009072DA">
        <w:rPr>
          <w:lang w:val="bg-BG"/>
        </w:rPr>
        <w:tab/>
        <w:t>е изчисленият вътрешен диаметър на главната тръба в [mm];</w:t>
      </w:r>
    </w:p>
    <w:p w:rsidR="00E24808" w:rsidRPr="009072DA" w:rsidRDefault="002B712C" w:rsidP="002C0EB8">
      <w:pPr>
        <w:pStyle w:val="ESlet"/>
        <w:rPr>
          <w:lang w:val="bg-BG"/>
        </w:rPr>
      </w:pPr>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2</m:t>
            </m:r>
          </m:sub>
        </m:sSub>
      </m:oMath>
      <w:r w:rsidR="007B1046" w:rsidRPr="009072DA">
        <w:rPr>
          <w:lang w:val="bg-BG"/>
        </w:rPr>
        <w:tab/>
        <w:t>е изчисленият вътрешен диаметър на отводната тръба в [mm].</w:t>
      </w:r>
    </w:p>
    <w:p w:rsidR="00FA096B" w:rsidRPr="009072DA" w:rsidRDefault="00FA096B" w:rsidP="00E24808">
      <w:pPr>
        <w:rPr>
          <w:rFonts w:cs="Arial"/>
          <w:szCs w:val="20"/>
          <w:lang w:val="bg-BG"/>
        </w:rPr>
      </w:pPr>
    </w:p>
    <w:p w:rsidR="0089015B" w:rsidRPr="009072DA" w:rsidRDefault="0089015B" w:rsidP="00E24808">
      <w:pPr>
        <w:rPr>
          <w:rFonts w:cs="Arial"/>
          <w:szCs w:val="20"/>
          <w:lang w:val="bg-BG"/>
        </w:rPr>
      </w:pPr>
      <w:r w:rsidRPr="009072DA">
        <w:rPr>
          <w:lang w:val="bg-BG"/>
        </w:rPr>
        <w:br w:type="page"/>
      </w:r>
    </w:p>
    <w:p w:rsidR="00E24808" w:rsidRPr="009072DA" w:rsidRDefault="00E24808" w:rsidP="0089015B">
      <w:pPr>
        <w:pStyle w:val="ESch"/>
        <w:rPr>
          <w:lang w:val="bg-BG"/>
        </w:rPr>
      </w:pPr>
      <w:r w:rsidRPr="009072DA">
        <w:rPr>
          <w:lang w:val="bg-BG"/>
        </w:rPr>
        <w:lastRenderedPageBreak/>
        <w:t>4.</w:t>
      </w:r>
      <w:r w:rsidRPr="009072DA">
        <w:rPr>
          <w:lang w:val="bg-BG"/>
        </w:rPr>
        <w:tab/>
        <w:t xml:space="preserve">Когато осушителните помпи са свързани със система за осушаване, осушителните тръби трябва да са с вътрешен диаметър най-малко </w:t>
      </w:r>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1</m:t>
            </m:r>
          </m:sub>
        </m:sSub>
      </m:oMath>
      <w:r w:rsidRPr="009072DA">
        <w:rPr>
          <w:lang w:val="bg-BG"/>
        </w:rPr>
        <w:t xml:space="preserve">, в mm, а отводните тръби с вътрешен диаметър най-малко </w:t>
      </w:r>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2</m:t>
            </m:r>
          </m:sub>
        </m:sSub>
      </m:oMath>
      <w:r w:rsidRPr="009072DA">
        <w:rPr>
          <w:lang w:val="bg-BG"/>
        </w:rPr>
        <w:t>, в mm.</w:t>
      </w:r>
    </w:p>
    <w:p w:rsidR="00FA096B" w:rsidRPr="009072DA" w:rsidRDefault="00FA096B" w:rsidP="00E24808">
      <w:pPr>
        <w:rPr>
          <w:rFonts w:cs="Arial"/>
          <w:szCs w:val="20"/>
          <w:lang w:val="bg-BG"/>
        </w:rPr>
      </w:pPr>
    </w:p>
    <w:p w:rsidR="00E24808" w:rsidRPr="009072DA" w:rsidRDefault="00E24808" w:rsidP="0089015B">
      <w:pPr>
        <w:pStyle w:val="ESchpar"/>
        <w:rPr>
          <w:lang w:val="bg-BG"/>
        </w:rPr>
      </w:pPr>
      <w:r w:rsidRPr="009072DA">
        <w:rPr>
          <w:lang w:val="bg-BG"/>
        </w:rPr>
        <w:t xml:space="preserve">Когато дължината на плавателните съдове </w:t>
      </w:r>
      <m:oMath>
        <m:r>
          <w:rPr>
            <w:rFonts w:ascii="Cambria Math" w:hAnsi="Cambria Math"/>
            <w:lang w:val="bg-BG"/>
          </w:rPr>
          <m:t>L</m:t>
        </m:r>
      </m:oMath>
      <w:r w:rsidRPr="009072DA">
        <w:rPr>
          <w:lang w:val="bg-BG"/>
        </w:rPr>
        <w:t xml:space="preserve"> е по-малко от 25 m, стойностите </w:t>
      </w:r>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1</m:t>
            </m:r>
          </m:sub>
        </m:sSub>
      </m:oMath>
      <w:r w:rsidRPr="009072DA">
        <w:rPr>
          <w:lang w:val="bg-BG"/>
        </w:rPr>
        <w:t xml:space="preserve"> и </w:t>
      </w:r>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2</m:t>
            </m:r>
          </m:sub>
        </m:sSub>
      </m:oMath>
      <w:r w:rsidRPr="009072DA">
        <w:rPr>
          <w:lang w:val="bg-BG"/>
        </w:rPr>
        <w:t xml:space="preserve"> могат да бъдат намалени до 35 mm.</w:t>
      </w:r>
    </w:p>
    <w:p w:rsidR="00FA096B" w:rsidRPr="009072DA" w:rsidRDefault="00FA096B" w:rsidP="0089015B">
      <w:pPr>
        <w:pStyle w:val="ESch"/>
        <w:rPr>
          <w:lang w:val="bg-BG"/>
        </w:rPr>
      </w:pPr>
    </w:p>
    <w:p w:rsidR="00E24808" w:rsidRPr="009072DA" w:rsidRDefault="00E24808" w:rsidP="0089015B">
      <w:pPr>
        <w:pStyle w:val="ESch"/>
        <w:rPr>
          <w:lang w:val="bg-BG"/>
        </w:rPr>
      </w:pPr>
      <w:r w:rsidRPr="009072DA">
        <w:rPr>
          <w:lang w:val="bg-BG"/>
        </w:rPr>
        <w:t>5.</w:t>
      </w:r>
      <w:r w:rsidRPr="009072DA">
        <w:rPr>
          <w:lang w:val="bg-BG"/>
        </w:rPr>
        <w:tab/>
        <w:t>Разрешени са единствено самозасмукващи осушителни помпи.</w:t>
      </w:r>
    </w:p>
    <w:p w:rsidR="00FA096B" w:rsidRPr="009072DA" w:rsidRDefault="00FA096B" w:rsidP="0089015B">
      <w:pPr>
        <w:pStyle w:val="ESch"/>
        <w:rPr>
          <w:lang w:val="bg-BG"/>
        </w:rPr>
      </w:pPr>
    </w:p>
    <w:p w:rsidR="00E24808" w:rsidRPr="009072DA" w:rsidRDefault="00E24808" w:rsidP="0089015B">
      <w:pPr>
        <w:pStyle w:val="ESch"/>
        <w:rPr>
          <w:lang w:val="bg-BG"/>
        </w:rPr>
      </w:pPr>
      <w:r w:rsidRPr="009072DA">
        <w:rPr>
          <w:lang w:val="bg-BG"/>
        </w:rPr>
        <w:t>6.</w:t>
      </w:r>
      <w:r w:rsidRPr="009072DA">
        <w:rPr>
          <w:lang w:val="bg-BG"/>
        </w:rPr>
        <w:tab/>
        <w:t>Трябва да има поне по една всмукателна цедилка от дясната и лявата страна на всички отцеждащи се отсеци с плоско дъно, които са по-широки от 5 m.</w:t>
      </w:r>
    </w:p>
    <w:p w:rsidR="00FA096B" w:rsidRPr="009072DA" w:rsidRDefault="00FA096B" w:rsidP="0089015B">
      <w:pPr>
        <w:pStyle w:val="ESch"/>
        <w:rPr>
          <w:lang w:val="bg-BG"/>
        </w:rPr>
      </w:pPr>
    </w:p>
    <w:p w:rsidR="00E24808" w:rsidRPr="009072DA" w:rsidRDefault="00E24808" w:rsidP="0089015B">
      <w:pPr>
        <w:pStyle w:val="ESch"/>
        <w:rPr>
          <w:lang w:val="bg-BG"/>
        </w:rPr>
      </w:pPr>
      <w:r w:rsidRPr="009072DA">
        <w:rPr>
          <w:lang w:val="bg-BG"/>
        </w:rPr>
        <w:t>7.</w:t>
      </w:r>
      <w:r w:rsidRPr="009072DA">
        <w:rPr>
          <w:lang w:val="bg-BG"/>
        </w:rPr>
        <w:tab/>
        <w:t>Трябва да е възможно отводняване на ахтерпика през главното машинно отделение чрез лесно достъпно, автоматично затварящо приспособление.</w:t>
      </w:r>
    </w:p>
    <w:p w:rsidR="00FA096B" w:rsidRPr="009072DA" w:rsidRDefault="00FA096B" w:rsidP="0089015B">
      <w:pPr>
        <w:pStyle w:val="ESch"/>
        <w:rPr>
          <w:lang w:val="bg-BG"/>
        </w:rPr>
      </w:pPr>
    </w:p>
    <w:p w:rsidR="00E24808" w:rsidRPr="009072DA" w:rsidRDefault="00E24808" w:rsidP="0089015B">
      <w:pPr>
        <w:pStyle w:val="ESch"/>
        <w:rPr>
          <w:lang w:val="bg-BG"/>
        </w:rPr>
      </w:pPr>
      <w:r w:rsidRPr="009072DA">
        <w:rPr>
          <w:lang w:val="bg-BG"/>
        </w:rPr>
        <w:t>8.</w:t>
      </w:r>
      <w:r w:rsidRPr="009072DA">
        <w:rPr>
          <w:lang w:val="bg-BG"/>
        </w:rPr>
        <w:tab/>
        <w:t>Отклонителните тръби от отделни отсеци трябва да са свързани с главната осушителна тръба посредством заключващи се обратни клапани.</w:t>
      </w:r>
    </w:p>
    <w:p w:rsidR="00FA096B" w:rsidRPr="009072DA" w:rsidRDefault="00FA096B" w:rsidP="0089015B">
      <w:pPr>
        <w:pStyle w:val="ESch"/>
        <w:rPr>
          <w:lang w:val="bg-BG"/>
        </w:rPr>
      </w:pPr>
    </w:p>
    <w:p w:rsidR="00E24808" w:rsidRPr="009072DA" w:rsidRDefault="00E24808" w:rsidP="0089015B">
      <w:pPr>
        <w:pStyle w:val="ESchpar"/>
        <w:rPr>
          <w:lang w:val="bg-BG"/>
        </w:rPr>
      </w:pPr>
      <w:r w:rsidRPr="009072DA">
        <w:rPr>
          <w:lang w:val="bg-BG"/>
        </w:rPr>
        <w:t>Отсеци или други пространства, оборудвани за приемане на баласт, се свързват с осушителна система само чрез обикновено затварящо устройство. Това изискване не се прилага за трюмовете, които могат да приемат баласт. Такива трюмове се запълват с баластна вода чрез баластни тръбопроводи, които са монтирани постоянно и отделно от осушителни тръби или чрез отводни тръби, които могат да се свържат с главната осушителна тръба чрез гъвкави тръби или гъвкави преходници. Клапаните за приемане на вода, намиращи се в дъното на трюма, не могат да се използват за тази цел.</w:t>
      </w:r>
    </w:p>
    <w:p w:rsidR="00FA096B" w:rsidRPr="009072DA" w:rsidRDefault="00FA096B" w:rsidP="0089015B">
      <w:pPr>
        <w:pStyle w:val="ESch"/>
        <w:rPr>
          <w:lang w:val="bg-BG"/>
        </w:rPr>
      </w:pPr>
    </w:p>
    <w:p w:rsidR="00E24808" w:rsidRPr="009072DA" w:rsidRDefault="00E24808" w:rsidP="0089015B">
      <w:pPr>
        <w:pStyle w:val="ESch"/>
        <w:rPr>
          <w:lang w:val="bg-BG"/>
        </w:rPr>
      </w:pPr>
      <w:r w:rsidRPr="009072DA">
        <w:rPr>
          <w:lang w:val="bg-BG"/>
        </w:rPr>
        <w:t>9.</w:t>
      </w:r>
      <w:r w:rsidRPr="009072DA">
        <w:rPr>
          <w:lang w:val="bg-BG"/>
        </w:rPr>
        <w:tab/>
        <w:t>Дъната на трюмовете се оборудват с измервателни устройства.</w:t>
      </w:r>
    </w:p>
    <w:p w:rsidR="00FA096B" w:rsidRPr="009072DA" w:rsidRDefault="00FA096B" w:rsidP="0089015B">
      <w:pPr>
        <w:pStyle w:val="ESch"/>
        <w:rPr>
          <w:lang w:val="bg-BG"/>
        </w:rPr>
      </w:pPr>
    </w:p>
    <w:p w:rsidR="00E24808" w:rsidRPr="009072DA" w:rsidRDefault="00E24808" w:rsidP="0089015B">
      <w:pPr>
        <w:pStyle w:val="ESch"/>
        <w:rPr>
          <w:lang w:val="bg-BG"/>
        </w:rPr>
      </w:pPr>
      <w:r w:rsidRPr="009072DA">
        <w:rPr>
          <w:lang w:val="bg-BG"/>
        </w:rPr>
        <w:t>10.</w:t>
      </w:r>
      <w:r w:rsidRPr="009072DA">
        <w:rPr>
          <w:lang w:val="bg-BG"/>
        </w:rPr>
        <w:tab/>
        <w:t>Когато осушителна система включва постоянно монтирани тръбопроводи, осушителните тръби на дъното на трюма, предназначени за изпомпване на нефтосъдържащи води, са оборудвани с пробки, които са пломбирани на място от контролния орган. Броят и разположението на тези пробки се посочват в удостоверението на плавателния съд за плаване по вътрешни водни пътища.</w:t>
      </w:r>
    </w:p>
    <w:p w:rsidR="0089015B" w:rsidRPr="009072DA" w:rsidRDefault="0089015B" w:rsidP="0089015B">
      <w:pPr>
        <w:pStyle w:val="ESch"/>
        <w:rPr>
          <w:lang w:val="bg-BG"/>
        </w:rPr>
      </w:pPr>
    </w:p>
    <w:p w:rsidR="00E24808" w:rsidRPr="009072DA" w:rsidRDefault="00E24808" w:rsidP="0089015B">
      <w:pPr>
        <w:pStyle w:val="ESch"/>
        <w:rPr>
          <w:lang w:val="bg-BG"/>
        </w:rPr>
      </w:pPr>
      <w:r w:rsidRPr="009072DA">
        <w:rPr>
          <w:lang w:val="bg-BG"/>
        </w:rPr>
        <w:t>11.</w:t>
      </w:r>
      <w:r w:rsidRPr="009072DA">
        <w:rPr>
          <w:lang w:val="bg-BG"/>
        </w:rPr>
        <w:tab/>
        <w:t>Заключването на пробките в положение се разглежда като еквивалентно на пломбиране съгласно точка 10. Ключът или ключовете за заключване на пробките се означават съответно и се съхраняват на маркирано и лесно достъпно място в машинното отделение.</w:t>
      </w:r>
    </w:p>
    <w:p w:rsidR="00E24808" w:rsidRPr="009072DA" w:rsidRDefault="00E24808" w:rsidP="00E24808">
      <w:pPr>
        <w:rPr>
          <w:rFonts w:cs="Arial"/>
          <w:szCs w:val="20"/>
          <w:lang w:val="bg-BG"/>
        </w:rPr>
      </w:pPr>
    </w:p>
    <w:p w:rsidR="00FA096B" w:rsidRPr="009072DA" w:rsidRDefault="00FA096B" w:rsidP="00E24808">
      <w:pPr>
        <w:rPr>
          <w:rFonts w:cs="Arial"/>
          <w:szCs w:val="20"/>
          <w:lang w:val="bg-BG"/>
        </w:rPr>
      </w:pPr>
    </w:p>
    <w:p w:rsidR="00E24808" w:rsidRPr="009072DA" w:rsidRDefault="00E24808" w:rsidP="00FA096B">
      <w:pPr>
        <w:pStyle w:val="ES-Titre3"/>
        <w:rPr>
          <w:lang w:val="bg-BG"/>
        </w:rPr>
      </w:pPr>
      <w:bookmarkStart w:id="127" w:name="_Toc491854064"/>
      <w:bookmarkStart w:id="128" w:name="_Toc535827505"/>
      <w:r w:rsidRPr="009072DA">
        <w:rPr>
          <w:lang w:val="bg-BG"/>
        </w:rPr>
        <w:t>Член 8.09</w:t>
      </w:r>
      <w:r w:rsidRPr="009072DA">
        <w:rPr>
          <w:lang w:val="bg-BG"/>
        </w:rPr>
        <w:br/>
      </w:r>
      <w:r w:rsidRPr="009072DA">
        <w:rPr>
          <w:i/>
          <w:lang w:val="bg-BG"/>
        </w:rPr>
        <w:t>Съхранение на замърсена с нефтопродукти вода и отработени масла</w:t>
      </w:r>
      <w:bookmarkEnd w:id="127"/>
      <w:bookmarkEnd w:id="128"/>
    </w:p>
    <w:p w:rsidR="00FA096B" w:rsidRPr="009072DA" w:rsidRDefault="00FA096B" w:rsidP="00E24808">
      <w:pPr>
        <w:rPr>
          <w:rFonts w:cs="Arial"/>
          <w:szCs w:val="20"/>
          <w:lang w:val="bg-BG"/>
        </w:rPr>
      </w:pPr>
    </w:p>
    <w:p w:rsidR="00E24808" w:rsidRPr="009072DA" w:rsidRDefault="00E24808" w:rsidP="0089015B">
      <w:pPr>
        <w:pStyle w:val="ESch"/>
        <w:rPr>
          <w:lang w:val="bg-BG"/>
        </w:rPr>
      </w:pPr>
      <w:r w:rsidRPr="009072DA">
        <w:rPr>
          <w:lang w:val="bg-BG"/>
        </w:rPr>
        <w:t>1.</w:t>
      </w:r>
      <w:r w:rsidRPr="009072DA">
        <w:rPr>
          <w:lang w:val="bg-BG"/>
        </w:rPr>
        <w:tab/>
        <w:t>Трябва да е възможно да се съхранява на борда водата, замърсена с нефтопродукти и натрупана при експлоатацията. Трюмът на машинното отделение се разглежда като място за съхранение за тази цел.</w:t>
      </w:r>
    </w:p>
    <w:p w:rsidR="00FA096B" w:rsidRPr="009072DA" w:rsidRDefault="00FA096B" w:rsidP="0089015B">
      <w:pPr>
        <w:pStyle w:val="ESch"/>
        <w:rPr>
          <w:lang w:val="bg-BG"/>
        </w:rPr>
      </w:pPr>
    </w:p>
    <w:p w:rsidR="00E24808" w:rsidRPr="009072DA" w:rsidRDefault="00E24808" w:rsidP="0089015B">
      <w:pPr>
        <w:pStyle w:val="ESch"/>
        <w:rPr>
          <w:lang w:val="bg-BG"/>
        </w:rPr>
      </w:pPr>
      <w:r w:rsidRPr="009072DA">
        <w:rPr>
          <w:lang w:val="bg-BG"/>
        </w:rPr>
        <w:t>2.</w:t>
      </w:r>
      <w:r w:rsidRPr="009072DA">
        <w:rPr>
          <w:lang w:val="bg-BG"/>
        </w:rPr>
        <w:tab/>
        <w:t>За съхранение на отработени масла в машинното отделение трябва да има един или няколко определени съда, чиято вместимост е не по-малка от 1,5 пъти количеството на отработени масла от картерите на всички монтирани двигатели с вътрешно горене и трансмисии, заедно с хидравличните течности от резервоарите с хидравлична течност.</w:t>
      </w:r>
    </w:p>
    <w:p w:rsidR="00FA096B" w:rsidRPr="009072DA" w:rsidRDefault="00FA096B" w:rsidP="0089015B">
      <w:pPr>
        <w:pStyle w:val="ESch"/>
        <w:rPr>
          <w:lang w:val="bg-BG"/>
        </w:rPr>
      </w:pPr>
    </w:p>
    <w:p w:rsidR="00E24808" w:rsidRPr="009072DA" w:rsidRDefault="00E24808" w:rsidP="0089015B">
      <w:pPr>
        <w:pStyle w:val="ESchpar"/>
        <w:rPr>
          <w:lang w:val="bg-BG"/>
        </w:rPr>
      </w:pPr>
      <w:r w:rsidRPr="009072DA">
        <w:rPr>
          <w:lang w:val="bg-BG"/>
        </w:rPr>
        <w:t xml:space="preserve">Съединенията, използвани за опразване на съдовете, посочени по-горе, трябва да съответстват на европейски стандарт EN 1305: 1996. </w:t>
      </w:r>
    </w:p>
    <w:p w:rsidR="0063454C" w:rsidRPr="009072DA" w:rsidRDefault="0063454C" w:rsidP="0089015B">
      <w:pPr>
        <w:pStyle w:val="ESch"/>
        <w:rPr>
          <w:lang w:val="bg-BG"/>
        </w:rPr>
      </w:pPr>
    </w:p>
    <w:p w:rsidR="00E24808" w:rsidRPr="009072DA" w:rsidRDefault="00E24808" w:rsidP="0089015B">
      <w:pPr>
        <w:pStyle w:val="ESch"/>
        <w:rPr>
          <w:lang w:val="bg-BG"/>
        </w:rPr>
      </w:pPr>
      <w:r w:rsidRPr="009072DA">
        <w:rPr>
          <w:lang w:val="bg-BG"/>
        </w:rPr>
        <w:t>3.</w:t>
      </w:r>
      <w:r w:rsidRPr="009072DA">
        <w:rPr>
          <w:lang w:val="bg-BG"/>
        </w:rPr>
        <w:tab/>
        <w:t>При плавателни съдове използвани само за кратки курсове, контролният орган може да разрешава изключения от изискванията на точка 2.</w:t>
      </w:r>
    </w:p>
    <w:p w:rsidR="00E24808" w:rsidRPr="009072DA" w:rsidRDefault="00E24808" w:rsidP="009622D2">
      <w:pPr>
        <w:pStyle w:val="ESch"/>
        <w:rPr>
          <w:lang w:val="bg-BG"/>
        </w:rPr>
      </w:pPr>
    </w:p>
    <w:p w:rsidR="00FA096B" w:rsidRPr="009072DA" w:rsidRDefault="00FA096B" w:rsidP="009622D2">
      <w:pPr>
        <w:pStyle w:val="ESch"/>
        <w:rPr>
          <w:lang w:val="bg-BG"/>
        </w:rPr>
      </w:pPr>
    </w:p>
    <w:p w:rsidR="0063454C" w:rsidRPr="009072DA" w:rsidRDefault="0063454C">
      <w:pPr>
        <w:rPr>
          <w:rFonts w:eastAsia="Calibri"/>
          <w:b/>
          <w:lang w:val="bg-BG"/>
        </w:rPr>
      </w:pPr>
      <w:r w:rsidRPr="009072DA">
        <w:rPr>
          <w:lang w:val="bg-BG"/>
        </w:rPr>
        <w:br w:type="page"/>
      </w:r>
    </w:p>
    <w:p w:rsidR="00E24808" w:rsidRPr="009072DA" w:rsidRDefault="00E24808" w:rsidP="00FA096B">
      <w:pPr>
        <w:pStyle w:val="ES-Titre3"/>
        <w:rPr>
          <w:lang w:val="bg-BG"/>
        </w:rPr>
      </w:pPr>
      <w:bookmarkStart w:id="129" w:name="_Toc491854065"/>
      <w:bookmarkStart w:id="130" w:name="_Toc535827506"/>
      <w:r w:rsidRPr="009072DA">
        <w:rPr>
          <w:lang w:val="bg-BG"/>
        </w:rPr>
        <w:lastRenderedPageBreak/>
        <w:t>Член 8.10</w:t>
      </w:r>
      <w:r w:rsidRPr="009072DA">
        <w:rPr>
          <w:lang w:val="bg-BG"/>
        </w:rPr>
        <w:br/>
      </w:r>
      <w:r w:rsidRPr="009072DA">
        <w:rPr>
          <w:i/>
          <w:lang w:val="bg-BG"/>
        </w:rPr>
        <w:t>Шум от плавателните съдове</w:t>
      </w:r>
      <w:bookmarkEnd w:id="129"/>
      <w:bookmarkEnd w:id="130"/>
    </w:p>
    <w:p w:rsidR="00FA096B" w:rsidRPr="009072DA" w:rsidRDefault="00FA096B" w:rsidP="00E24808">
      <w:pPr>
        <w:rPr>
          <w:rFonts w:cs="Arial"/>
          <w:szCs w:val="20"/>
          <w:lang w:val="bg-BG"/>
        </w:rPr>
      </w:pPr>
    </w:p>
    <w:p w:rsidR="00E24808" w:rsidRPr="009072DA" w:rsidRDefault="00E24808" w:rsidP="0089015B">
      <w:pPr>
        <w:pStyle w:val="ESch"/>
        <w:rPr>
          <w:lang w:val="bg-BG"/>
        </w:rPr>
      </w:pPr>
      <w:r w:rsidRPr="009072DA">
        <w:rPr>
          <w:lang w:val="bg-BG"/>
        </w:rPr>
        <w:t>1.</w:t>
      </w:r>
      <w:r w:rsidRPr="009072DA">
        <w:rPr>
          <w:lang w:val="bg-BG"/>
        </w:rPr>
        <w:tab/>
        <w:t>Шумът, произвеждан от плавателния съд в движение, и по-специално шумовете от всмукване на въздух и изпускането на отработени газове на двигателя, трябва да бъдат заглушавани с използване на подходящи средства.</w:t>
      </w:r>
    </w:p>
    <w:p w:rsidR="00FA096B" w:rsidRPr="009072DA" w:rsidRDefault="00FA096B" w:rsidP="0089015B">
      <w:pPr>
        <w:pStyle w:val="ESch"/>
        <w:rPr>
          <w:lang w:val="bg-BG"/>
        </w:rPr>
      </w:pPr>
    </w:p>
    <w:p w:rsidR="00E24808" w:rsidRPr="009072DA" w:rsidRDefault="00E24808" w:rsidP="0089015B">
      <w:pPr>
        <w:pStyle w:val="ESch"/>
        <w:rPr>
          <w:lang w:val="bg-BG"/>
        </w:rPr>
      </w:pPr>
      <w:r w:rsidRPr="009072DA">
        <w:rPr>
          <w:lang w:val="bg-BG"/>
        </w:rPr>
        <w:t>2.</w:t>
      </w:r>
      <w:r w:rsidRPr="009072DA">
        <w:rPr>
          <w:lang w:val="bg-BG"/>
        </w:rPr>
        <w:tab/>
        <w:t>Шумът, създаван от плавателния съд в движение, не трябва да надвишава 75 dB(A), измерен на 25 m встрани от борда.</w:t>
      </w:r>
    </w:p>
    <w:p w:rsidR="00FA096B" w:rsidRPr="009072DA" w:rsidRDefault="00FA096B" w:rsidP="0089015B">
      <w:pPr>
        <w:pStyle w:val="ESch"/>
        <w:rPr>
          <w:lang w:val="bg-BG"/>
        </w:rPr>
      </w:pPr>
    </w:p>
    <w:p w:rsidR="00E24808" w:rsidRPr="009072DA" w:rsidRDefault="00E24808" w:rsidP="0089015B">
      <w:pPr>
        <w:pStyle w:val="ESch"/>
        <w:rPr>
          <w:lang w:val="bg-BG"/>
        </w:rPr>
      </w:pPr>
      <w:r w:rsidRPr="009072DA">
        <w:rPr>
          <w:lang w:val="bg-BG"/>
        </w:rPr>
        <w:t>3.</w:t>
      </w:r>
      <w:r w:rsidRPr="009072DA">
        <w:rPr>
          <w:lang w:val="bg-BG"/>
        </w:rPr>
        <w:tab/>
        <w:t>Освен дейностите по претоварване, шумът, създаван от плавателен съд на място, не трябва да надвишава 65 dB(A), измерен на 25 m встрани от борда.</w:t>
      </w:r>
    </w:p>
    <w:p w:rsidR="0033095A" w:rsidRPr="009072DA" w:rsidRDefault="0033095A" w:rsidP="00763ADA">
      <w:pPr>
        <w:rPr>
          <w:lang w:val="bg-BG"/>
        </w:rPr>
      </w:pPr>
    </w:p>
    <w:p w:rsidR="00917628" w:rsidRPr="009072DA" w:rsidRDefault="00917628" w:rsidP="00763ADA">
      <w:pPr>
        <w:rPr>
          <w:lang w:val="bg-BG"/>
        </w:rPr>
      </w:pPr>
    </w:p>
    <w:p w:rsidR="00917628" w:rsidRPr="009072DA" w:rsidRDefault="00917628" w:rsidP="00763ADA">
      <w:pPr>
        <w:rPr>
          <w:lang w:val="bg-BG"/>
        </w:rPr>
      </w:pPr>
    </w:p>
    <w:p w:rsidR="00917628" w:rsidRPr="009072DA" w:rsidRDefault="00917628" w:rsidP="00763ADA">
      <w:pPr>
        <w:rPr>
          <w:lang w:val="bg-BG"/>
        </w:rPr>
      </w:pPr>
    </w:p>
    <w:p w:rsidR="00917628" w:rsidRPr="009072DA" w:rsidRDefault="00917628" w:rsidP="00763ADA">
      <w:pPr>
        <w:rPr>
          <w:lang w:val="bg-BG"/>
        </w:rPr>
      </w:pPr>
    </w:p>
    <w:p w:rsidR="00917628" w:rsidRPr="009072DA" w:rsidRDefault="00917628" w:rsidP="00763ADA">
      <w:pPr>
        <w:rPr>
          <w:lang w:val="bg-BG"/>
        </w:rPr>
      </w:pPr>
    </w:p>
    <w:p w:rsidR="0033095A" w:rsidRPr="009072DA" w:rsidRDefault="002D2D76" w:rsidP="0033095A">
      <w:pPr>
        <w:pStyle w:val="ES-Titre2"/>
      </w:pPr>
      <w:bookmarkStart w:id="131" w:name="_Toc491854066"/>
      <w:bookmarkStart w:id="132" w:name="_Toc535827507"/>
      <w:r w:rsidRPr="009072DA">
        <w:lastRenderedPageBreak/>
        <w:t>Глава 9</w:t>
      </w:r>
      <w:r w:rsidRPr="009072DA">
        <w:br/>
        <w:t>Емисии на газообразни и прахообразни замърсители от двигатели с вътрешно горене</w:t>
      </w:r>
      <w:bookmarkEnd w:id="131"/>
      <w:bookmarkEnd w:id="132"/>
      <w:r w:rsidRPr="009072DA">
        <w:t xml:space="preserve"> </w:t>
      </w:r>
    </w:p>
    <w:p w:rsidR="003915AC" w:rsidRPr="009072DA" w:rsidRDefault="003915AC" w:rsidP="00917628">
      <w:pPr>
        <w:pStyle w:val="ESch"/>
        <w:rPr>
          <w:lang w:val="bg-BG"/>
        </w:rPr>
      </w:pPr>
    </w:p>
    <w:p w:rsidR="004B6F54" w:rsidRPr="009072DA" w:rsidRDefault="004B6F54" w:rsidP="004B6F54">
      <w:pPr>
        <w:pStyle w:val="ES-Titre3"/>
        <w:rPr>
          <w:lang w:val="bg-BG"/>
        </w:rPr>
      </w:pPr>
      <w:bookmarkStart w:id="133" w:name="_Toc491854067"/>
      <w:bookmarkStart w:id="134" w:name="_Toc535827508"/>
      <w:r w:rsidRPr="009072DA">
        <w:rPr>
          <w:lang w:val="bg-BG"/>
        </w:rPr>
        <w:t>Член 9.00</w:t>
      </w:r>
      <w:r w:rsidRPr="009072DA">
        <w:rPr>
          <w:lang w:val="bg-BG"/>
        </w:rPr>
        <w:br/>
      </w:r>
      <w:r w:rsidRPr="009072DA">
        <w:rPr>
          <w:i/>
          <w:lang w:val="bg-BG"/>
        </w:rPr>
        <w:t>Определения</w:t>
      </w:r>
      <w:bookmarkEnd w:id="133"/>
      <w:bookmarkEnd w:id="134"/>
    </w:p>
    <w:p w:rsidR="002A434E" w:rsidRPr="009072DA" w:rsidRDefault="002A434E" w:rsidP="004B6F54">
      <w:pPr>
        <w:rPr>
          <w:rFonts w:cs="Arial"/>
          <w:szCs w:val="20"/>
          <w:lang w:val="bg-BG"/>
        </w:rPr>
      </w:pPr>
    </w:p>
    <w:p w:rsidR="00DE2419" w:rsidRPr="009072DA" w:rsidRDefault="00DE2419" w:rsidP="00DE2419">
      <w:pPr>
        <w:pStyle w:val="ESgauche"/>
        <w:rPr>
          <w:noProof w:val="0"/>
          <w:lang w:val="bg-BG"/>
        </w:rPr>
      </w:pPr>
      <w:r w:rsidRPr="009072DA">
        <w:rPr>
          <w:noProof w:val="0"/>
          <w:lang w:val="bg-BG"/>
        </w:rPr>
        <w:t>За целите на настоящата глава се прилагат следните определения:</w:t>
      </w:r>
    </w:p>
    <w:p w:rsidR="00DE2419" w:rsidRPr="009072DA" w:rsidRDefault="00DE2419" w:rsidP="00DE2419">
      <w:pPr>
        <w:pStyle w:val="ESch"/>
        <w:rPr>
          <w:lang w:val="bg-BG"/>
        </w:rPr>
      </w:pPr>
    </w:p>
    <w:p w:rsidR="00DE2419" w:rsidRPr="009072DA" w:rsidRDefault="00DE2419" w:rsidP="00DE2419">
      <w:pPr>
        <w:pStyle w:val="ESch"/>
        <w:rPr>
          <w:lang w:val="bg-BG"/>
        </w:rPr>
      </w:pPr>
      <w:r w:rsidRPr="009072DA">
        <w:rPr>
          <w:lang w:val="bg-BG"/>
        </w:rPr>
        <w:t>1.</w:t>
      </w:r>
      <w:r w:rsidRPr="009072DA">
        <w:rPr>
          <w:lang w:val="bg-BG"/>
        </w:rPr>
        <w:tab/>
        <w:t>„двигател с вътрешно горене“: преобразувател на енергия, различен от газова турбина, проектиран да преобразува химичната енергия (входяща) в механична енергия (изходяща) чрез процес на вътрешно горене; той включва, ако такива са монтирани, система за контрол на емисиите и комуникационен интерфейс (апаратна част и съобщения) между блока(овете) за електронно управление на системата на двигателя и всеки друг контролен блок;</w:t>
      </w:r>
    </w:p>
    <w:p w:rsidR="00DE2419" w:rsidRPr="009072DA" w:rsidRDefault="00DE2419" w:rsidP="00DE2419">
      <w:pPr>
        <w:pStyle w:val="ESch"/>
        <w:rPr>
          <w:lang w:val="bg-BG"/>
        </w:rPr>
      </w:pPr>
    </w:p>
    <w:p w:rsidR="00DE2419" w:rsidRPr="009072DA" w:rsidRDefault="00DE2419" w:rsidP="00DE2419">
      <w:pPr>
        <w:pStyle w:val="ESch"/>
        <w:rPr>
          <w:lang w:val="bg-BG"/>
        </w:rPr>
      </w:pPr>
      <w:r w:rsidRPr="009072DA">
        <w:rPr>
          <w:lang w:val="bg-BG"/>
        </w:rPr>
        <w:t>2.</w:t>
      </w:r>
      <w:r w:rsidRPr="009072DA">
        <w:rPr>
          <w:lang w:val="bg-BG"/>
        </w:rPr>
        <w:tab/>
        <w:t>„одобряване на типа“: процедурата, чрез която компетентният орган удостоверява, че даден тип двигател или фамилия двигатели отговаря на съответните административни разпоредби и технически изисквания по отношение на равнищата на емисиите от газообразни замърсители и частици, изпускани от двигателя (двигателите);</w:t>
      </w:r>
    </w:p>
    <w:p w:rsidR="00DE2419" w:rsidRPr="009072DA" w:rsidRDefault="00DE2419" w:rsidP="00DE2419">
      <w:pPr>
        <w:pStyle w:val="ESch"/>
        <w:rPr>
          <w:lang w:val="bg-BG"/>
        </w:rPr>
      </w:pPr>
    </w:p>
    <w:p w:rsidR="00DE2419" w:rsidRPr="009072DA" w:rsidRDefault="00DE2419" w:rsidP="00DE2419">
      <w:pPr>
        <w:pStyle w:val="ESch"/>
        <w:rPr>
          <w:lang w:val="bg-BG"/>
        </w:rPr>
      </w:pPr>
      <w:r w:rsidRPr="009072DA">
        <w:rPr>
          <w:lang w:val="bg-BG"/>
        </w:rPr>
        <w:t>3.</w:t>
      </w:r>
      <w:r w:rsidRPr="009072DA">
        <w:rPr>
          <w:lang w:val="bg-BG"/>
        </w:rPr>
        <w:tab/>
        <w:t>„фамилия двигатели“: група от двигатели, обособена от производител на двигатели, които поради своята конструкция притежават сходни характеристики относно емисиите на отработили газове и отговарят на приложимите изисквания за пределните стойности на емисиите;</w:t>
      </w:r>
    </w:p>
    <w:p w:rsidR="00DE2419" w:rsidRPr="009072DA" w:rsidRDefault="00DE2419" w:rsidP="00DE2419">
      <w:pPr>
        <w:pStyle w:val="ESch"/>
        <w:rPr>
          <w:lang w:val="bg-BG"/>
        </w:rPr>
      </w:pPr>
    </w:p>
    <w:p w:rsidR="00DE2419" w:rsidRPr="009072DA" w:rsidRDefault="00DE2419" w:rsidP="00DE2419">
      <w:pPr>
        <w:pStyle w:val="ESch"/>
        <w:rPr>
          <w:sz w:val="18"/>
          <w:lang w:val="bg-BG"/>
        </w:rPr>
      </w:pPr>
      <w:r w:rsidRPr="009072DA">
        <w:rPr>
          <w:lang w:val="bg-BG"/>
        </w:rPr>
        <w:t>4.</w:t>
      </w:r>
      <w:r w:rsidRPr="009072DA">
        <w:rPr>
          <w:lang w:val="bg-BG"/>
        </w:rPr>
        <w:tab/>
        <w:t xml:space="preserve">„еталонна мощност“: полезната мощност, която </w:t>
      </w:r>
      <w:bookmarkStart w:id="135" w:name="_DV_C386"/>
      <w:r w:rsidRPr="009072DA">
        <w:rPr>
          <w:lang w:val="bg-BG"/>
        </w:rPr>
        <w:t xml:space="preserve"> се </w:t>
      </w:r>
      <w:bookmarkStart w:id="136" w:name="_DV_M298"/>
      <w:bookmarkEnd w:id="135"/>
      <w:bookmarkEnd w:id="136"/>
      <w:r w:rsidRPr="009072DA">
        <w:rPr>
          <w:lang w:val="bg-BG"/>
        </w:rPr>
        <w:t xml:space="preserve"> използва за определяне на приложимите пределни стойности на емисиите за двигателя; </w:t>
      </w:r>
    </w:p>
    <w:p w:rsidR="00DE2419" w:rsidRPr="009072DA" w:rsidRDefault="00DE2419" w:rsidP="00DE2419">
      <w:pPr>
        <w:pStyle w:val="ESch"/>
        <w:rPr>
          <w:lang w:val="bg-BG"/>
        </w:rPr>
      </w:pPr>
    </w:p>
    <w:p w:rsidR="00DE2419" w:rsidRPr="009072DA" w:rsidRDefault="00DE2419" w:rsidP="00DE2419">
      <w:pPr>
        <w:pStyle w:val="ESch"/>
        <w:rPr>
          <w:lang w:val="bg-BG"/>
        </w:rPr>
      </w:pPr>
      <w:r w:rsidRPr="009072DA">
        <w:rPr>
          <w:lang w:val="bg-BG"/>
        </w:rPr>
        <w:t>5.</w:t>
      </w:r>
      <w:r w:rsidRPr="009072DA">
        <w:rPr>
          <w:lang w:val="bg-BG"/>
        </w:rPr>
        <w:tab/>
        <w:t xml:space="preserve">„производител на двигател“: всяко физическо или юридическо лице, което отговаря пред органа по одобряването за всички аспекти на процеса на одобряване на типа или разрешаване на двигателя и за гарантиране на съответствие на производството на двигатели и което отговаря също за теми, свързани с надзора на пазара за произведените двигатели, независимо дали то участва пряко във всички етапи на проектирането и изработването на двигателя, който е предмет на </w:t>
      </w:r>
      <w:bookmarkStart w:id="137" w:name="_DV_C457"/>
      <w:r w:rsidRPr="009072DA">
        <w:rPr>
          <w:lang w:val="bg-BG"/>
        </w:rPr>
        <w:t>процеса на</w:t>
      </w:r>
      <w:bookmarkStart w:id="138" w:name="_DV_M380"/>
      <w:bookmarkEnd w:id="137"/>
      <w:bookmarkEnd w:id="138"/>
      <w:r w:rsidRPr="009072DA">
        <w:rPr>
          <w:lang w:val="bg-BG"/>
        </w:rPr>
        <w:t xml:space="preserve">одобряване на типа; </w:t>
      </w:r>
    </w:p>
    <w:p w:rsidR="00DE2419" w:rsidRPr="009072DA" w:rsidRDefault="00DE2419" w:rsidP="00DE2419">
      <w:pPr>
        <w:pStyle w:val="ESch"/>
        <w:rPr>
          <w:lang w:val="bg-BG"/>
        </w:rPr>
      </w:pPr>
    </w:p>
    <w:p w:rsidR="00DE2419" w:rsidRPr="009072DA" w:rsidRDefault="00DE2419" w:rsidP="00DE2419">
      <w:pPr>
        <w:pStyle w:val="ESch"/>
        <w:rPr>
          <w:lang w:val="bg-BG"/>
        </w:rPr>
      </w:pPr>
      <w:r w:rsidRPr="009072DA">
        <w:rPr>
          <w:lang w:val="bg-BG"/>
        </w:rPr>
        <w:t>6.</w:t>
      </w:r>
      <w:r w:rsidRPr="009072DA">
        <w:rPr>
          <w:lang w:val="bg-BG"/>
        </w:rPr>
        <w:tab/>
        <w:t xml:space="preserve">„протокол за параметрите на двигателя“: документ съгласно приложение 6, в който са надлежно регистрирани всички параметри, заедно с промените, включително съставните </w:t>
      </w:r>
      <w:r w:rsidRPr="009072DA">
        <w:rPr>
          <w:lang w:val="bg-BG"/>
        </w:rPr>
        <w:lastRenderedPageBreak/>
        <w:t>елементи и настройките на двигателя, които засягат нивото на емисиите на газообразни и прахови замърсяващи вещества от двигателя.</w:t>
      </w:r>
    </w:p>
    <w:p w:rsidR="00DE2419" w:rsidRPr="009072DA" w:rsidRDefault="00DE2419" w:rsidP="00DE2419">
      <w:pPr>
        <w:pStyle w:val="ESch"/>
        <w:rPr>
          <w:lang w:val="bg-BG"/>
        </w:rPr>
      </w:pPr>
    </w:p>
    <w:p w:rsidR="00DE2419" w:rsidRPr="009072DA" w:rsidRDefault="00DE2419" w:rsidP="00DE2419">
      <w:pPr>
        <w:rPr>
          <w:szCs w:val="20"/>
          <w:lang w:val="bg-BG"/>
        </w:rPr>
      </w:pPr>
    </w:p>
    <w:p w:rsidR="00DE2419" w:rsidRPr="009072DA" w:rsidRDefault="00DE2419" w:rsidP="00DE2419">
      <w:pPr>
        <w:pStyle w:val="ES-Titre3"/>
        <w:rPr>
          <w:i/>
          <w:lang w:val="bg-BG"/>
        </w:rPr>
      </w:pPr>
      <w:bookmarkStart w:id="139" w:name="_Toc453317268"/>
      <w:bookmarkStart w:id="140" w:name="_Toc491854068"/>
      <w:bookmarkStart w:id="141" w:name="_Toc535827509"/>
      <w:r w:rsidRPr="009072DA">
        <w:rPr>
          <w:lang w:val="bg-BG"/>
        </w:rPr>
        <w:t>Член 9.01</w:t>
      </w:r>
      <w:r w:rsidRPr="009072DA">
        <w:rPr>
          <w:lang w:val="bg-BG"/>
        </w:rPr>
        <w:br/>
      </w:r>
      <w:r w:rsidRPr="009072DA">
        <w:rPr>
          <w:i/>
          <w:lang w:val="bg-BG"/>
        </w:rPr>
        <w:t>Общи разпоредби</w:t>
      </w:r>
      <w:bookmarkEnd w:id="139"/>
      <w:bookmarkEnd w:id="140"/>
      <w:bookmarkEnd w:id="141"/>
    </w:p>
    <w:p w:rsidR="00DE2419" w:rsidRPr="009072DA" w:rsidRDefault="00DE2419" w:rsidP="00DE2419">
      <w:pPr>
        <w:pStyle w:val="ESgauche"/>
        <w:rPr>
          <w:noProof w:val="0"/>
          <w:lang w:val="bg-BG"/>
        </w:rPr>
      </w:pPr>
    </w:p>
    <w:p w:rsidR="00DE2419" w:rsidRPr="009072DA" w:rsidRDefault="00DE2419" w:rsidP="00DE2419">
      <w:pPr>
        <w:pStyle w:val="ESch"/>
        <w:rPr>
          <w:lang w:val="bg-BG"/>
        </w:rPr>
      </w:pPr>
      <w:r w:rsidRPr="009072DA">
        <w:rPr>
          <w:lang w:val="bg-BG"/>
        </w:rPr>
        <w:t>1.</w:t>
      </w:r>
      <w:r w:rsidRPr="009072DA">
        <w:rPr>
          <w:lang w:val="bg-BG"/>
        </w:rPr>
        <w:tab/>
        <w:t xml:space="preserve">Разпоредбите на настоящата глава се прилагат за всички двигатели с вътрешно горене с еталонна мощност, по-голяма или равна на 19 kW, монтирани на борда на плавателното средство. </w:t>
      </w:r>
    </w:p>
    <w:p w:rsidR="00DE2419" w:rsidRPr="009072DA" w:rsidRDefault="00DE2419" w:rsidP="00DE2419">
      <w:pPr>
        <w:pStyle w:val="ESch"/>
        <w:rPr>
          <w:lang w:val="bg-BG"/>
        </w:rPr>
      </w:pPr>
    </w:p>
    <w:p w:rsidR="00211AAA" w:rsidRPr="009072DA" w:rsidRDefault="00211AAA">
      <w:pPr>
        <w:rPr>
          <w:lang w:val="bg-BG"/>
        </w:rPr>
      </w:pPr>
      <w:r w:rsidRPr="009072DA">
        <w:rPr>
          <w:lang w:val="bg-BG"/>
        </w:rPr>
        <w:br w:type="page"/>
      </w:r>
    </w:p>
    <w:p w:rsidR="00211AAA" w:rsidRPr="009072DA" w:rsidRDefault="00211AAA" w:rsidP="00DE2419">
      <w:pPr>
        <w:pStyle w:val="ESch"/>
        <w:rPr>
          <w:lang w:val="bg-BG"/>
        </w:rPr>
      </w:pPr>
    </w:p>
    <w:p w:rsidR="00DE2419" w:rsidRPr="009072DA" w:rsidRDefault="00DE2419" w:rsidP="00DE2419">
      <w:pPr>
        <w:pStyle w:val="ESch"/>
        <w:rPr>
          <w:lang w:val="bg-BG"/>
        </w:rPr>
      </w:pPr>
      <w:r w:rsidRPr="009072DA">
        <w:rPr>
          <w:lang w:val="bg-BG"/>
        </w:rPr>
        <w:t>2.</w:t>
      </w:r>
      <w:r w:rsidRPr="009072DA">
        <w:rPr>
          <w:lang w:val="bg-BG"/>
        </w:rPr>
        <w:tab/>
        <w:t>Двигателите с вътрешно горене отговарят на изискванията на Регламент (ЕС) 2016/1628</w:t>
      </w:r>
      <w:r w:rsidRPr="009072DA">
        <w:rPr>
          <w:rStyle w:val="FootnoteReference"/>
          <w:lang w:val="bg-BG"/>
        </w:rPr>
        <w:footnoteReference w:id="8"/>
      </w:r>
      <w:r w:rsidRPr="009072DA">
        <w:rPr>
          <w:lang w:val="bg-BG"/>
        </w:rPr>
        <w:t xml:space="preserve">. Само двигатели с вътрешно горене от категориите </w:t>
      </w:r>
    </w:p>
    <w:p w:rsidR="00DE2419" w:rsidRPr="009072DA" w:rsidRDefault="00DE2419" w:rsidP="00DE2419">
      <w:pPr>
        <w:pStyle w:val="ESlet"/>
        <w:rPr>
          <w:lang w:val="bg-BG"/>
        </w:rPr>
      </w:pPr>
      <w:r w:rsidRPr="009072DA">
        <w:rPr>
          <w:lang w:val="bg-BG"/>
        </w:rPr>
        <w:t>a)</w:t>
      </w:r>
      <w:r w:rsidRPr="009072DA">
        <w:rPr>
          <w:lang w:val="bg-BG"/>
        </w:rPr>
        <w:tab/>
        <w:t xml:space="preserve">IWP, </w:t>
      </w:r>
    </w:p>
    <w:p w:rsidR="00DE2419" w:rsidRPr="009072DA" w:rsidRDefault="00DE2419" w:rsidP="00DE2419">
      <w:pPr>
        <w:pStyle w:val="ESlet"/>
        <w:rPr>
          <w:lang w:val="bg-BG"/>
        </w:rPr>
      </w:pPr>
      <w:r w:rsidRPr="009072DA">
        <w:rPr>
          <w:lang w:val="bg-BG"/>
        </w:rPr>
        <w:t>б)</w:t>
      </w:r>
      <w:r w:rsidRPr="009072DA">
        <w:rPr>
          <w:lang w:val="bg-BG"/>
        </w:rPr>
        <w:tab/>
        <w:t xml:space="preserve">IWA, </w:t>
      </w:r>
    </w:p>
    <w:p w:rsidR="00DE2419" w:rsidRPr="009072DA" w:rsidRDefault="00DE2419" w:rsidP="00DE2419">
      <w:pPr>
        <w:pStyle w:val="ESlet"/>
        <w:rPr>
          <w:lang w:val="bg-BG"/>
        </w:rPr>
      </w:pPr>
      <w:r w:rsidRPr="009072DA">
        <w:rPr>
          <w:lang w:val="bg-BG"/>
        </w:rPr>
        <w:t>в)</w:t>
      </w:r>
      <w:r w:rsidRPr="009072DA">
        <w:rPr>
          <w:lang w:val="bg-BG"/>
        </w:rPr>
        <w:tab/>
        <w:t xml:space="preserve">NRE с еталонна мощност под 560 kW, или </w:t>
      </w:r>
    </w:p>
    <w:p w:rsidR="00DE2419" w:rsidRPr="009072DA" w:rsidRDefault="00DE2419" w:rsidP="00DE2419">
      <w:pPr>
        <w:pStyle w:val="ESlet"/>
        <w:rPr>
          <w:lang w:val="bg-BG"/>
        </w:rPr>
      </w:pPr>
      <w:r w:rsidRPr="009072DA">
        <w:rPr>
          <w:lang w:val="bg-BG"/>
        </w:rPr>
        <w:t>г)</w:t>
      </w:r>
      <w:r w:rsidRPr="009072DA">
        <w:rPr>
          <w:lang w:val="bg-BG"/>
        </w:rPr>
        <w:tab/>
        <w:t>двигатели, признати за еквивалентни съгласно Регламент (ЕС) 2016/1628</w:t>
      </w:r>
    </w:p>
    <w:p w:rsidR="00DE2419" w:rsidRPr="009072DA" w:rsidRDefault="00DE2419" w:rsidP="00DE2419">
      <w:pPr>
        <w:pStyle w:val="ESletpar"/>
        <w:ind w:left="567"/>
        <w:rPr>
          <w:lang w:val="bg-BG"/>
        </w:rPr>
      </w:pPr>
      <w:r w:rsidRPr="009072DA">
        <w:rPr>
          <w:lang w:val="bg-BG"/>
        </w:rPr>
        <w:t>трябва да бъдат монтирани. Това съответствие се установява посредством удостоверение за одобрение на типа.</w:t>
      </w:r>
    </w:p>
    <w:p w:rsidR="00DE2419" w:rsidRPr="009072DA" w:rsidRDefault="00DE2419" w:rsidP="00DE2419">
      <w:pPr>
        <w:pStyle w:val="ESch"/>
        <w:rPr>
          <w:lang w:val="bg-BG"/>
        </w:rPr>
      </w:pPr>
    </w:p>
    <w:p w:rsidR="00DE2419" w:rsidRPr="009072DA" w:rsidRDefault="00DE2419" w:rsidP="00DE2419">
      <w:pPr>
        <w:pStyle w:val="ESch"/>
        <w:rPr>
          <w:lang w:val="bg-BG"/>
        </w:rPr>
      </w:pPr>
      <w:r w:rsidRPr="009072DA">
        <w:rPr>
          <w:lang w:val="bg-BG"/>
        </w:rPr>
        <w:t>3.</w:t>
      </w:r>
      <w:r w:rsidRPr="009072DA">
        <w:rPr>
          <w:lang w:val="bg-BG"/>
        </w:rPr>
        <w:tab/>
        <w:t>Копия от удостоверението за одобрение на типа, инструкциите на производителя на двигателя и протокола за параметрите на двигателя се съхраняват на борда.</w:t>
      </w:r>
    </w:p>
    <w:p w:rsidR="00DE2419" w:rsidRPr="009072DA" w:rsidRDefault="00DE2419" w:rsidP="00DE2419">
      <w:pPr>
        <w:pStyle w:val="ESch"/>
        <w:rPr>
          <w:lang w:val="bg-BG"/>
        </w:rPr>
      </w:pPr>
    </w:p>
    <w:p w:rsidR="00DE2419" w:rsidRPr="009072DA" w:rsidRDefault="00DE2419" w:rsidP="00DE2419">
      <w:pPr>
        <w:pStyle w:val="ESch"/>
        <w:rPr>
          <w:lang w:val="bg-BG"/>
        </w:rPr>
      </w:pPr>
      <w:r w:rsidRPr="009072DA">
        <w:rPr>
          <w:lang w:val="bg-BG"/>
        </w:rPr>
        <w:t>4.</w:t>
      </w:r>
      <w:r w:rsidRPr="009072DA">
        <w:rPr>
          <w:lang w:val="bg-BG"/>
        </w:rPr>
        <w:tab/>
        <w:t>Mонтирането на резервни двигатели, както са определени в Регламент (ЕС) 2016/1628, е забранено.</w:t>
      </w:r>
    </w:p>
    <w:p w:rsidR="00DE2419" w:rsidRPr="009072DA" w:rsidRDefault="00DE2419" w:rsidP="00DE2419">
      <w:pPr>
        <w:pStyle w:val="ESch"/>
        <w:rPr>
          <w:rFonts w:cs="Arial"/>
          <w:szCs w:val="20"/>
          <w:lang w:val="bg-BG"/>
        </w:rPr>
      </w:pPr>
    </w:p>
    <w:p w:rsidR="00DE2419" w:rsidRPr="009072DA" w:rsidRDefault="00DE2419" w:rsidP="00DE2419">
      <w:pPr>
        <w:pStyle w:val="ESch"/>
        <w:rPr>
          <w:lang w:val="bg-BG"/>
        </w:rPr>
      </w:pPr>
      <w:r w:rsidRPr="009072DA">
        <w:rPr>
          <w:lang w:val="bg-BG"/>
        </w:rPr>
        <w:t>5.</w:t>
      </w:r>
      <w:r w:rsidRPr="009072DA">
        <w:rPr>
          <w:lang w:val="bg-BG"/>
        </w:rPr>
        <w:tab/>
        <w:t>За целите на изпълнението на задачите съгласно настоящата глава, контролният орган може да наеме техническа служба. За целите на настоящия стандарт се признават само техническите служби, нотифицирани съгласно Регламент (ЕС) 2016/1628.</w:t>
      </w:r>
    </w:p>
    <w:p w:rsidR="00DE2419" w:rsidRPr="009072DA" w:rsidRDefault="00DE2419" w:rsidP="00DE2419">
      <w:pPr>
        <w:pStyle w:val="ESch"/>
        <w:rPr>
          <w:lang w:val="bg-BG"/>
        </w:rPr>
      </w:pPr>
    </w:p>
    <w:p w:rsidR="00DE2419" w:rsidRPr="009072DA" w:rsidRDefault="00DE2419" w:rsidP="00DE2419">
      <w:pPr>
        <w:pStyle w:val="ESch"/>
        <w:rPr>
          <w:lang w:val="bg-BG"/>
        </w:rPr>
      </w:pPr>
    </w:p>
    <w:p w:rsidR="00DE2419" w:rsidRPr="009072DA" w:rsidRDefault="00DE2419" w:rsidP="00DE2419">
      <w:pPr>
        <w:pStyle w:val="ES-Titre3"/>
        <w:rPr>
          <w:i/>
          <w:lang w:val="bg-BG"/>
        </w:rPr>
      </w:pPr>
      <w:bookmarkStart w:id="142" w:name="_Toc491854069"/>
      <w:bookmarkStart w:id="143" w:name="_Toc535827510"/>
      <w:r w:rsidRPr="009072DA">
        <w:rPr>
          <w:lang w:val="bg-BG"/>
        </w:rPr>
        <w:t>Член 9.02</w:t>
      </w:r>
      <w:r w:rsidRPr="009072DA">
        <w:rPr>
          <w:lang w:val="bg-BG"/>
        </w:rPr>
        <w:br/>
      </w:r>
      <w:r w:rsidRPr="009072DA">
        <w:rPr>
          <w:i/>
          <w:lang w:val="bg-BG"/>
        </w:rPr>
        <w:t>Вписване в удостоверението на плавателния съд за плаване по вътрешни водни пътища</w:t>
      </w:r>
      <w:bookmarkEnd w:id="142"/>
      <w:bookmarkEnd w:id="143"/>
    </w:p>
    <w:p w:rsidR="00DE2419" w:rsidRPr="009072DA" w:rsidRDefault="00DE2419" w:rsidP="00DE2419">
      <w:pPr>
        <w:pStyle w:val="ESch"/>
        <w:rPr>
          <w:lang w:val="bg-BG"/>
        </w:rPr>
      </w:pPr>
    </w:p>
    <w:p w:rsidR="00DE2419" w:rsidRPr="009072DA" w:rsidRDefault="00DE2419" w:rsidP="00DE2419">
      <w:pPr>
        <w:pStyle w:val="ESgauche"/>
        <w:rPr>
          <w:noProof w:val="0"/>
          <w:lang w:val="bg-BG"/>
        </w:rPr>
      </w:pPr>
      <w:r w:rsidRPr="009072DA">
        <w:rPr>
          <w:noProof w:val="0"/>
          <w:lang w:val="bg-BG"/>
        </w:rPr>
        <w:t xml:space="preserve">Идентификационният номер и когато е приложимо, номерът на одобрението на типа на всички двигатели с вътрешно горене на борда на плавателно средство се вписват в точка 52 от удостоверението на плавателния съд за плаване по вътрешни водни пътища. </w:t>
      </w:r>
    </w:p>
    <w:p w:rsidR="00DE2419" w:rsidRPr="009072DA" w:rsidRDefault="00DE2419" w:rsidP="00DE2419">
      <w:pPr>
        <w:pStyle w:val="ESch"/>
        <w:rPr>
          <w:lang w:val="bg-BG"/>
        </w:rPr>
      </w:pPr>
    </w:p>
    <w:p w:rsidR="00DE2419" w:rsidRPr="009072DA" w:rsidRDefault="00DE2419" w:rsidP="00DE2419">
      <w:pPr>
        <w:pStyle w:val="ESch"/>
        <w:rPr>
          <w:lang w:val="bg-BG"/>
        </w:rPr>
      </w:pPr>
    </w:p>
    <w:p w:rsidR="00DE2419" w:rsidRPr="009072DA" w:rsidRDefault="00DE2419" w:rsidP="00DE2419">
      <w:pPr>
        <w:pStyle w:val="ES-Titre3"/>
        <w:spacing w:line="240" w:lineRule="atLeast"/>
        <w:rPr>
          <w:lang w:val="bg-BG"/>
        </w:rPr>
      </w:pPr>
      <w:bookmarkStart w:id="144" w:name="_Toc491854070"/>
      <w:bookmarkStart w:id="145" w:name="_Toc535827511"/>
      <w:r w:rsidRPr="009072DA">
        <w:rPr>
          <w:lang w:val="bg-BG"/>
        </w:rPr>
        <w:t>Член 9.03</w:t>
      </w:r>
      <w:r w:rsidRPr="009072DA">
        <w:rPr>
          <w:i/>
          <w:lang w:val="bg-BG"/>
        </w:rPr>
        <w:br/>
        <w:t>Разпоредби за монтирането на двигатели с вътрешно горене</w:t>
      </w:r>
      <w:bookmarkEnd w:id="144"/>
      <w:bookmarkEnd w:id="145"/>
    </w:p>
    <w:p w:rsidR="00DE2419" w:rsidRPr="009072DA" w:rsidRDefault="00DE2419" w:rsidP="00DE2419">
      <w:pPr>
        <w:pStyle w:val="ESch"/>
        <w:rPr>
          <w:lang w:val="bg-BG"/>
        </w:rPr>
      </w:pPr>
    </w:p>
    <w:p w:rsidR="00DE2419" w:rsidRPr="009072DA" w:rsidRDefault="00DE2419" w:rsidP="00DE2419">
      <w:pPr>
        <w:pStyle w:val="ESgauche"/>
        <w:rPr>
          <w:noProof w:val="0"/>
          <w:lang w:val="bg-BG"/>
        </w:rPr>
      </w:pPr>
      <w:r w:rsidRPr="009072DA">
        <w:rPr>
          <w:noProof w:val="0"/>
          <w:lang w:val="bg-BG"/>
        </w:rPr>
        <w:t>Монтажът на двигателите в плавателните средства трябва да съответства на ограниченията, определени в приложното поле на одобрението на типа.</w:t>
      </w:r>
    </w:p>
    <w:p w:rsidR="00DE2419" w:rsidRPr="009072DA" w:rsidRDefault="00DE2419" w:rsidP="00DE2419">
      <w:pPr>
        <w:pStyle w:val="ESch"/>
        <w:ind w:left="0" w:firstLine="0"/>
        <w:rPr>
          <w:szCs w:val="20"/>
          <w:lang w:val="bg-BG"/>
        </w:rPr>
      </w:pPr>
    </w:p>
    <w:p w:rsidR="00DE2419" w:rsidRPr="009072DA" w:rsidRDefault="00DE2419" w:rsidP="00DE2419">
      <w:pPr>
        <w:pStyle w:val="ESch"/>
        <w:ind w:left="0" w:firstLine="0"/>
        <w:rPr>
          <w:lang w:val="bg-BG"/>
        </w:rPr>
      </w:pPr>
    </w:p>
    <w:p w:rsidR="00DE2419" w:rsidRPr="009072DA" w:rsidRDefault="00DE2419" w:rsidP="00DE2419">
      <w:pPr>
        <w:pStyle w:val="ES-Titre3"/>
        <w:spacing w:line="240" w:lineRule="atLeast"/>
        <w:rPr>
          <w:lang w:val="bg-BG"/>
        </w:rPr>
      </w:pPr>
      <w:bookmarkStart w:id="146" w:name="_Toc491854071"/>
      <w:bookmarkStart w:id="147" w:name="_Toc535827512"/>
      <w:r w:rsidRPr="009072DA">
        <w:rPr>
          <w:lang w:val="bg-BG"/>
        </w:rPr>
        <w:t>Член 9.04</w:t>
      </w:r>
      <w:r w:rsidRPr="009072DA">
        <w:rPr>
          <w:i/>
          <w:lang w:val="bg-BG"/>
        </w:rPr>
        <w:br/>
        <w:t>Инструкции на производителя на двигателя</w:t>
      </w:r>
      <w:bookmarkEnd w:id="146"/>
      <w:bookmarkEnd w:id="147"/>
    </w:p>
    <w:p w:rsidR="00DE2419" w:rsidRPr="009072DA" w:rsidRDefault="00DE2419" w:rsidP="00DE2419">
      <w:pPr>
        <w:pStyle w:val="ESch"/>
        <w:rPr>
          <w:lang w:val="bg-BG"/>
        </w:rPr>
      </w:pPr>
    </w:p>
    <w:p w:rsidR="00DE2419" w:rsidRPr="009072DA" w:rsidRDefault="00DE2419" w:rsidP="00DE2419">
      <w:pPr>
        <w:pStyle w:val="ESch"/>
        <w:rPr>
          <w:lang w:val="bg-BG"/>
        </w:rPr>
      </w:pPr>
      <w:r w:rsidRPr="009072DA">
        <w:rPr>
          <w:lang w:val="bg-BG"/>
        </w:rPr>
        <w:t>1.</w:t>
      </w:r>
      <w:r w:rsidRPr="009072DA">
        <w:rPr>
          <w:lang w:val="bg-BG"/>
        </w:rPr>
        <w:tab/>
        <w:t xml:space="preserve">В инструкциите, които производителят на двигателя трябва да изготви, се посочват съответните компоненти на отработилите газове, както и реглажите и параметрите, чрез които може да бъде постигнато непрекъснато съответствие с пределните нива на емисиите на отработили газове. </w:t>
      </w:r>
    </w:p>
    <w:p w:rsidR="00DE2419" w:rsidRPr="009072DA" w:rsidRDefault="00DE2419" w:rsidP="00DE2419">
      <w:pPr>
        <w:pStyle w:val="ListParagraph"/>
        <w:spacing w:line="240" w:lineRule="atLeast"/>
        <w:ind w:left="567" w:hanging="567"/>
        <w:rPr>
          <w:rFonts w:ascii="Arial" w:eastAsia="Times New Roman" w:hAnsi="Arial" w:cs="Arial"/>
          <w:sz w:val="20"/>
          <w:szCs w:val="20"/>
          <w:lang w:val="bg-BG"/>
        </w:rPr>
      </w:pPr>
    </w:p>
    <w:p w:rsidR="00DE2419" w:rsidRPr="009072DA" w:rsidRDefault="00DE2419" w:rsidP="00DE2419">
      <w:pPr>
        <w:pStyle w:val="ESch"/>
        <w:rPr>
          <w:lang w:val="bg-BG"/>
        </w:rPr>
      </w:pPr>
      <w:r w:rsidRPr="009072DA">
        <w:rPr>
          <w:lang w:val="bg-BG"/>
        </w:rPr>
        <w:t>2.</w:t>
      </w:r>
      <w:r w:rsidRPr="009072DA">
        <w:rPr>
          <w:lang w:val="bg-BG"/>
        </w:rPr>
        <w:tab/>
        <w:t>Инструкциите трябва да съдържат най-малко следните данни:</w:t>
      </w:r>
    </w:p>
    <w:p w:rsidR="00DE2419" w:rsidRPr="009072DA" w:rsidRDefault="00DE2419" w:rsidP="00DE2419">
      <w:pPr>
        <w:pStyle w:val="ESlet"/>
        <w:rPr>
          <w:lang w:val="bg-BG"/>
        </w:rPr>
      </w:pPr>
      <w:r w:rsidRPr="009072DA">
        <w:rPr>
          <w:lang w:val="bg-BG"/>
        </w:rPr>
        <w:t>a)</w:t>
      </w:r>
      <w:r w:rsidRPr="009072DA">
        <w:rPr>
          <w:lang w:val="bg-BG"/>
        </w:rPr>
        <w:tab/>
        <w:t>тип на двигателя и когато е уместно, фамилията двигатели с посочване на еталонна мощност и честотата на въртене;</w:t>
      </w:r>
    </w:p>
    <w:p w:rsidR="00DE2419" w:rsidRPr="009072DA" w:rsidRDefault="00DE2419" w:rsidP="00DE2419">
      <w:pPr>
        <w:pStyle w:val="ESlet"/>
        <w:rPr>
          <w:lang w:val="bg-BG"/>
        </w:rPr>
      </w:pPr>
      <w:r w:rsidRPr="009072DA">
        <w:rPr>
          <w:lang w:val="bg-BG"/>
        </w:rPr>
        <w:t>б)</w:t>
      </w:r>
      <w:r w:rsidRPr="009072DA">
        <w:rPr>
          <w:lang w:val="bg-BG"/>
        </w:rPr>
        <w:tab/>
        <w:t>списък на съставните елементи и параметрите на двигателя от значение за отделянето на отработили газове;</w:t>
      </w:r>
    </w:p>
    <w:p w:rsidR="00211AAA" w:rsidRPr="009072DA" w:rsidRDefault="00211AAA">
      <w:pPr>
        <w:rPr>
          <w:lang w:val="bg-BG"/>
        </w:rPr>
      </w:pPr>
      <w:r w:rsidRPr="009072DA">
        <w:rPr>
          <w:lang w:val="bg-BG"/>
        </w:rPr>
        <w:br w:type="page"/>
      </w:r>
    </w:p>
    <w:p w:rsidR="00211AAA" w:rsidRPr="009072DA" w:rsidRDefault="00211AAA" w:rsidP="00DE2419">
      <w:pPr>
        <w:pStyle w:val="ESlet"/>
        <w:rPr>
          <w:lang w:val="bg-BG"/>
        </w:rPr>
      </w:pPr>
    </w:p>
    <w:p w:rsidR="00DE2419" w:rsidRPr="009072DA" w:rsidRDefault="00DE2419" w:rsidP="00DE2419">
      <w:pPr>
        <w:pStyle w:val="ESlet"/>
        <w:rPr>
          <w:lang w:val="bg-BG"/>
        </w:rPr>
      </w:pPr>
      <w:r w:rsidRPr="009072DA">
        <w:rPr>
          <w:lang w:val="bg-BG"/>
        </w:rPr>
        <w:t>в)</w:t>
      </w:r>
      <w:r w:rsidRPr="009072DA">
        <w:rPr>
          <w:lang w:val="bg-BG"/>
        </w:rPr>
        <w:tab/>
        <w:t>точни характеристики за идентифициране на позволените съставни елементи, които са от значение за отделянето на отработили газове (например серийните номера върху съставните елементи);</w:t>
      </w:r>
    </w:p>
    <w:p w:rsidR="00DE2419" w:rsidRPr="009072DA" w:rsidRDefault="00DE2419" w:rsidP="00DE2419">
      <w:pPr>
        <w:pStyle w:val="ESlet"/>
        <w:rPr>
          <w:lang w:val="bg-BG"/>
        </w:rPr>
      </w:pPr>
      <w:r w:rsidRPr="009072DA">
        <w:rPr>
          <w:lang w:val="bg-BG"/>
        </w:rPr>
        <w:t>г)</w:t>
      </w:r>
      <w:r w:rsidRPr="009072DA">
        <w:rPr>
          <w:lang w:val="bg-BG"/>
        </w:rPr>
        <w:tab/>
        <w:t>параметрите на двигателя, имащи отношение към отделянето на отработили газове, като например регулировъчните диапазони за момента на впръскване, допустимата температура на водата за охлаждане, максималното обратно налягане на отработилите газове.</w:t>
      </w:r>
    </w:p>
    <w:p w:rsidR="00DE2419" w:rsidRPr="009072DA" w:rsidRDefault="00DE2419" w:rsidP="00DE2419">
      <w:pPr>
        <w:pStyle w:val="ESch"/>
        <w:rPr>
          <w:lang w:val="bg-BG"/>
        </w:rPr>
      </w:pPr>
    </w:p>
    <w:p w:rsidR="00DE2419" w:rsidRPr="009072DA" w:rsidRDefault="00DE2419" w:rsidP="00DE2419">
      <w:pPr>
        <w:pStyle w:val="ESch"/>
        <w:rPr>
          <w:lang w:val="bg-BG"/>
        </w:rPr>
      </w:pPr>
    </w:p>
    <w:p w:rsidR="00DE2419" w:rsidRPr="009072DA" w:rsidRDefault="00DE2419" w:rsidP="00DE2419">
      <w:pPr>
        <w:pStyle w:val="ES-Titre3"/>
        <w:rPr>
          <w:i/>
          <w:lang w:val="bg-BG"/>
        </w:rPr>
      </w:pPr>
      <w:bookmarkStart w:id="148" w:name="_Toc491854072"/>
      <w:bookmarkStart w:id="149" w:name="_Toc535827513"/>
      <w:r w:rsidRPr="009072DA">
        <w:rPr>
          <w:lang w:val="bg-BG"/>
        </w:rPr>
        <w:t>Член 9.05</w:t>
      </w:r>
      <w:r w:rsidRPr="009072DA">
        <w:rPr>
          <w:lang w:val="bg-BG"/>
        </w:rPr>
        <w:br/>
      </w:r>
      <w:r w:rsidRPr="009072DA">
        <w:rPr>
          <w:i/>
          <w:lang w:val="bg-BG"/>
        </w:rPr>
        <w:t>Изпитвания на двигатели с вътрешно горене</w:t>
      </w:r>
      <w:bookmarkEnd w:id="148"/>
      <w:bookmarkEnd w:id="149"/>
    </w:p>
    <w:p w:rsidR="00DE2419" w:rsidRPr="009072DA" w:rsidRDefault="00DE2419" w:rsidP="00DE2419">
      <w:pPr>
        <w:pStyle w:val="ESch"/>
        <w:rPr>
          <w:lang w:val="bg-BG"/>
        </w:rPr>
      </w:pPr>
    </w:p>
    <w:p w:rsidR="00DE2419" w:rsidRPr="009072DA" w:rsidRDefault="00DE2419" w:rsidP="00DE2419">
      <w:pPr>
        <w:pStyle w:val="ESch"/>
        <w:rPr>
          <w:rFonts w:cs="Arial"/>
          <w:szCs w:val="20"/>
          <w:lang w:val="bg-BG"/>
        </w:rPr>
      </w:pPr>
      <w:r w:rsidRPr="009072DA">
        <w:rPr>
          <w:lang w:val="bg-BG"/>
        </w:rPr>
        <w:t>1.</w:t>
      </w:r>
      <w:r w:rsidRPr="009072DA">
        <w:rPr>
          <w:lang w:val="bg-BG"/>
        </w:rPr>
        <w:tab/>
        <w:t>По време на изпитването на монтажа и в случай на междинни и специални изпитвания, контролният орган проверява текущото състояние на двигателя по отношение на съставните елементи, реглажите и параметрите, посочени в инструкциите на производителя на двигателя и протокола за параметрите на двигателя.</w:t>
      </w:r>
    </w:p>
    <w:p w:rsidR="00DE2419" w:rsidRPr="009072DA" w:rsidRDefault="00DE2419" w:rsidP="00DE2419">
      <w:pPr>
        <w:pStyle w:val="ESch"/>
        <w:rPr>
          <w:lang w:val="bg-BG"/>
        </w:rPr>
      </w:pPr>
    </w:p>
    <w:p w:rsidR="00DE2419" w:rsidRPr="009072DA" w:rsidRDefault="00DE2419" w:rsidP="00DE2419">
      <w:pPr>
        <w:pStyle w:val="ESch"/>
        <w:rPr>
          <w:rFonts w:cs="Arial"/>
          <w:szCs w:val="20"/>
          <w:lang w:val="bg-BG"/>
        </w:rPr>
      </w:pPr>
      <w:r w:rsidRPr="009072DA">
        <w:rPr>
          <w:lang w:val="bg-BG"/>
        </w:rPr>
        <w:t>2.</w:t>
      </w:r>
      <w:r w:rsidRPr="009072DA">
        <w:rPr>
          <w:lang w:val="bg-BG"/>
        </w:rPr>
        <w:tab/>
        <w:t>Резултатите от изпитванията съгласно точка 1 се регистрират в протокола за параметрите на двигателя в съответствие с приложение 6.</w:t>
      </w:r>
    </w:p>
    <w:p w:rsidR="00DE2419" w:rsidRPr="009072DA" w:rsidRDefault="00DE2419" w:rsidP="00DE2419">
      <w:pPr>
        <w:pStyle w:val="ESch"/>
        <w:rPr>
          <w:rFonts w:cs="Arial"/>
          <w:szCs w:val="20"/>
          <w:lang w:val="bg-BG"/>
        </w:rPr>
      </w:pPr>
    </w:p>
    <w:p w:rsidR="00DE2419" w:rsidRPr="009072DA" w:rsidRDefault="00DE2419" w:rsidP="00DE2419">
      <w:pPr>
        <w:pStyle w:val="ESch"/>
        <w:rPr>
          <w:lang w:val="bg-BG"/>
        </w:rPr>
      </w:pPr>
      <w:r w:rsidRPr="009072DA">
        <w:rPr>
          <w:lang w:val="bg-BG"/>
        </w:rPr>
        <w:t>3.</w:t>
      </w:r>
      <w:r w:rsidRPr="009072DA">
        <w:rPr>
          <w:lang w:val="bg-BG"/>
        </w:rPr>
        <w:tab/>
        <w:t>Ако монтажът, междинните и специалните изпитвания покажат, че по отношение на своите параметри, съставни елементи и настройки, двигателите с вътрешно горене, монтирани на борда, отговарят на спецификациите, посочени в документите, обхванати от член 9.01, точка 3, може да се приеме, че емисиите на отработили газове и частици от двигателите с вътрешно горене са съобразени с пределно допустимите стойности.</w:t>
      </w:r>
    </w:p>
    <w:p w:rsidR="00DE2419" w:rsidRPr="009072DA" w:rsidRDefault="00DE2419" w:rsidP="00DE2419">
      <w:pPr>
        <w:pStyle w:val="ESch"/>
        <w:rPr>
          <w:rFonts w:cs="Arial"/>
          <w:szCs w:val="20"/>
          <w:lang w:val="bg-BG"/>
        </w:rPr>
      </w:pPr>
    </w:p>
    <w:p w:rsidR="00DE2419" w:rsidRPr="009072DA" w:rsidRDefault="00DE2419" w:rsidP="00DE2419">
      <w:pPr>
        <w:pStyle w:val="ESchpar"/>
        <w:rPr>
          <w:snapToGrid w:val="0"/>
          <w:color w:val="000000"/>
          <w:lang w:val="bg-BG"/>
        </w:rPr>
      </w:pPr>
      <w:r w:rsidRPr="009072DA">
        <w:rPr>
          <w:lang w:val="bg-BG"/>
        </w:rPr>
        <w:t xml:space="preserve">Ако контролният орган установи, че двигател с вътрешно горене не отговаря на изискванията, посочени в документите, обхванати от член 9.01, точка 3, той изисква </w:t>
      </w:r>
      <w:r w:rsidRPr="009072DA">
        <w:rPr>
          <w:snapToGrid w:val="0"/>
          <w:color w:val="000000"/>
          <w:lang w:val="bg-BG"/>
        </w:rPr>
        <w:t>да се предприемат стъпки за възстановяване на съответствието на двигателя с вътрешно горене.</w:t>
      </w:r>
    </w:p>
    <w:p w:rsidR="00DE2419" w:rsidRPr="009072DA" w:rsidRDefault="00DE2419" w:rsidP="00DE2419">
      <w:pPr>
        <w:pStyle w:val="ESch"/>
        <w:rPr>
          <w:lang w:val="bg-BG"/>
        </w:rPr>
      </w:pPr>
    </w:p>
    <w:p w:rsidR="00DE2419" w:rsidRPr="009072DA" w:rsidRDefault="00DE2419" w:rsidP="00DE2419">
      <w:pPr>
        <w:pStyle w:val="ESch"/>
        <w:rPr>
          <w:lang w:val="bg-BG"/>
        </w:rPr>
      </w:pPr>
      <w:r w:rsidRPr="009072DA">
        <w:rPr>
          <w:lang w:val="bg-BG"/>
        </w:rPr>
        <w:t>4.</w:t>
      </w:r>
      <w:r w:rsidRPr="009072DA">
        <w:rPr>
          <w:lang w:val="bg-BG"/>
        </w:rPr>
        <w:tab/>
        <w:t xml:space="preserve">В случай на двигатели с </w:t>
      </w:r>
      <w:r w:rsidRPr="009072DA">
        <w:rPr>
          <w:snapToGrid w:val="0"/>
          <w:color w:val="000000"/>
          <w:lang w:val="bg-BG"/>
        </w:rPr>
        <w:t>вътрешно горене</w:t>
      </w:r>
      <w:r w:rsidRPr="009072DA">
        <w:rPr>
          <w:lang w:val="bg-BG"/>
        </w:rPr>
        <w:t xml:space="preserve"> със системи за обработка на отработилите газове се извършват проверки за установяване дали тези системи работят правилно в контекста на монтажа, междинното или специалното изпитване. </w:t>
      </w:r>
    </w:p>
    <w:p w:rsidR="00DE2419" w:rsidRPr="009072DA" w:rsidRDefault="00DE2419" w:rsidP="00DE2419">
      <w:pPr>
        <w:pStyle w:val="ESch"/>
        <w:rPr>
          <w:lang w:val="bg-BG"/>
        </w:rPr>
      </w:pPr>
    </w:p>
    <w:p w:rsidR="00DE2419" w:rsidRPr="009072DA" w:rsidRDefault="00DE2419" w:rsidP="00DE2419">
      <w:pPr>
        <w:pStyle w:val="ESch"/>
        <w:rPr>
          <w:lang w:val="bg-BG"/>
        </w:rPr>
      </w:pPr>
    </w:p>
    <w:p w:rsidR="00DE2419" w:rsidRPr="009072DA" w:rsidRDefault="00DE2419" w:rsidP="00DE2419">
      <w:pPr>
        <w:pStyle w:val="ES-Titre3"/>
        <w:rPr>
          <w:i/>
          <w:lang w:val="bg-BG"/>
        </w:rPr>
      </w:pPr>
      <w:bookmarkStart w:id="150" w:name="_Toc491854073"/>
      <w:bookmarkStart w:id="151" w:name="_Toc535827514"/>
      <w:r w:rsidRPr="009072DA">
        <w:rPr>
          <w:lang w:val="bg-BG"/>
        </w:rPr>
        <w:t>Член 9.06</w:t>
      </w:r>
      <w:r w:rsidRPr="009072DA">
        <w:rPr>
          <w:lang w:val="bg-BG"/>
        </w:rPr>
        <w:br/>
      </w:r>
      <w:r w:rsidRPr="009072DA">
        <w:rPr>
          <w:i/>
          <w:lang w:val="bg-BG"/>
        </w:rPr>
        <w:t>Изпитвания на монтажа</w:t>
      </w:r>
      <w:bookmarkEnd w:id="150"/>
      <w:bookmarkEnd w:id="151"/>
    </w:p>
    <w:p w:rsidR="00DE2419" w:rsidRPr="009072DA" w:rsidRDefault="00DE2419" w:rsidP="00DE2419">
      <w:pPr>
        <w:pStyle w:val="ESch"/>
        <w:rPr>
          <w:lang w:val="bg-BG"/>
        </w:rPr>
      </w:pPr>
    </w:p>
    <w:p w:rsidR="00DE2419" w:rsidRPr="009072DA" w:rsidRDefault="00DE2419" w:rsidP="00DE2419">
      <w:pPr>
        <w:pStyle w:val="ESch"/>
        <w:rPr>
          <w:lang w:val="bg-BG"/>
        </w:rPr>
      </w:pPr>
      <w:r w:rsidRPr="009072DA">
        <w:rPr>
          <w:lang w:val="bg-BG"/>
        </w:rPr>
        <w:t>1.</w:t>
      </w:r>
      <w:r w:rsidRPr="009072DA">
        <w:rPr>
          <w:lang w:val="bg-BG"/>
        </w:rPr>
        <w:tab/>
        <w:t xml:space="preserve">След монтирането на двигател с </w:t>
      </w:r>
      <w:r w:rsidRPr="009072DA">
        <w:rPr>
          <w:snapToGrid w:val="0"/>
          <w:color w:val="000000"/>
          <w:lang w:val="bg-BG"/>
        </w:rPr>
        <w:t xml:space="preserve">вътрешно горене </w:t>
      </w:r>
      <w:r w:rsidRPr="009072DA">
        <w:rPr>
          <w:lang w:val="bg-BG"/>
        </w:rPr>
        <w:t xml:space="preserve">на борда, но преди да започне използването му се провежда изпитване на монтажа. Това изпитване, което е част от първоначалната проверка на плавателното средство или от специална проверка по повод на монтирането на съответния двигател с </w:t>
      </w:r>
      <w:r w:rsidRPr="009072DA">
        <w:rPr>
          <w:snapToGrid w:val="0"/>
          <w:color w:val="000000"/>
          <w:lang w:val="bg-BG"/>
        </w:rPr>
        <w:t>вътрешно горене</w:t>
      </w:r>
      <w:r w:rsidRPr="009072DA">
        <w:rPr>
          <w:lang w:val="bg-BG"/>
        </w:rPr>
        <w:t>, довежда или до регистрация на двигателя в удостоверението на плавателния съд за плаване по вътрешни водни пътища, което следва да бъде издадено за първи път, или до изменение на съществуващото удостоверение на плавателния съд за плаване по вътрешни водни пътища.</w:t>
      </w:r>
    </w:p>
    <w:p w:rsidR="00DE2419" w:rsidRPr="009072DA" w:rsidRDefault="00DE2419" w:rsidP="00DE2419">
      <w:pPr>
        <w:pStyle w:val="ESch"/>
        <w:rPr>
          <w:lang w:val="bg-BG"/>
        </w:rPr>
      </w:pPr>
    </w:p>
    <w:p w:rsidR="00DE2419" w:rsidRPr="009072DA" w:rsidRDefault="00DE2419" w:rsidP="00DE2419">
      <w:pPr>
        <w:pStyle w:val="ESch"/>
        <w:rPr>
          <w:rFonts w:cs="Arial"/>
          <w:szCs w:val="20"/>
          <w:lang w:val="bg-BG"/>
        </w:rPr>
      </w:pPr>
      <w:r w:rsidRPr="009072DA">
        <w:rPr>
          <w:lang w:val="bg-BG"/>
        </w:rPr>
        <w:t>2.</w:t>
      </w:r>
      <w:r w:rsidRPr="009072DA">
        <w:rPr>
          <w:lang w:val="bg-BG"/>
        </w:rPr>
        <w:tab/>
        <w:t xml:space="preserve">По време на изпитването на монтажа проверката на контролния орган трябва да гарантира, че даден двигател, монтиран на борда, все още отговаря на техническите изисквания относно нивото на емисиите на газообразни замърсители и прахови частици, дори след като е претърпял изменения или адаптации след издаването на одобрението на типа. </w:t>
      </w:r>
    </w:p>
    <w:p w:rsidR="00DE2419" w:rsidRPr="009072DA" w:rsidRDefault="00DE2419" w:rsidP="00DE2419">
      <w:pPr>
        <w:pStyle w:val="ESch"/>
        <w:rPr>
          <w:lang w:val="bg-BG"/>
        </w:rPr>
      </w:pPr>
    </w:p>
    <w:p w:rsidR="00211AAA" w:rsidRPr="009072DA" w:rsidRDefault="00211AAA">
      <w:pPr>
        <w:rPr>
          <w:lang w:val="bg-BG"/>
        </w:rPr>
      </w:pPr>
      <w:r w:rsidRPr="009072DA">
        <w:rPr>
          <w:lang w:val="bg-BG"/>
        </w:rPr>
        <w:br w:type="page"/>
      </w:r>
    </w:p>
    <w:p w:rsidR="00211AAA" w:rsidRPr="009072DA" w:rsidRDefault="00211AAA" w:rsidP="00DE2419">
      <w:pPr>
        <w:pStyle w:val="ESch"/>
        <w:rPr>
          <w:lang w:val="bg-BG"/>
        </w:rPr>
      </w:pPr>
    </w:p>
    <w:p w:rsidR="00DE2419" w:rsidRPr="009072DA" w:rsidRDefault="00DE2419" w:rsidP="00DE2419">
      <w:pPr>
        <w:pStyle w:val="ESch"/>
        <w:rPr>
          <w:lang w:val="bg-BG"/>
        </w:rPr>
      </w:pPr>
      <w:r w:rsidRPr="009072DA">
        <w:rPr>
          <w:lang w:val="bg-BG"/>
        </w:rPr>
        <w:t>3.</w:t>
      </w:r>
      <w:r w:rsidRPr="009072DA">
        <w:rPr>
          <w:lang w:val="bg-BG"/>
        </w:rPr>
        <w:tab/>
        <w:t xml:space="preserve">Контролният орган може да не извърши изпитване на монтажа съгласно точка 1, ако двигател с </w:t>
      </w:r>
      <w:r w:rsidRPr="009072DA">
        <w:rPr>
          <w:snapToGrid w:val="0"/>
          <w:color w:val="000000"/>
          <w:lang w:val="bg-BG"/>
        </w:rPr>
        <w:t xml:space="preserve">вътрешно горене </w:t>
      </w:r>
      <w:r w:rsidRPr="009072DA">
        <w:rPr>
          <w:lang w:val="bg-BG"/>
        </w:rPr>
        <w:t xml:space="preserve">с еталонна мощност </w:t>
      </w:r>
      <m:oMath>
        <m:sSub>
          <m:sSubPr>
            <m:ctrlPr>
              <w:rPr>
                <w:rFonts w:ascii="Cambria Math" w:hAnsi="Cambria Math" w:cs="Arial"/>
                <w:i/>
                <w:szCs w:val="20"/>
                <w:lang w:val="bg-BG"/>
              </w:rPr>
            </m:ctrlPr>
          </m:sSubPr>
          <m:e>
            <m:r>
              <w:rPr>
                <w:rFonts w:ascii="Cambria Math" w:hAnsi="Cambria Math" w:cs="Arial"/>
                <w:szCs w:val="20"/>
                <w:lang w:val="bg-BG"/>
              </w:rPr>
              <m:t>P</m:t>
            </m:r>
          </m:e>
          <m:sub>
            <m:r>
              <w:rPr>
                <w:rFonts w:ascii="Cambria Math" w:hAnsi="Cambria Math" w:cs="Arial"/>
                <w:szCs w:val="20"/>
                <w:lang w:val="bg-BG"/>
              </w:rPr>
              <m:t>N</m:t>
            </m:r>
          </m:sub>
        </m:sSub>
      </m:oMath>
      <w:r w:rsidRPr="009072DA">
        <w:rPr>
          <w:lang w:val="bg-BG"/>
        </w:rPr>
        <w:t xml:space="preserve"> по-малка от 130 kW е заменен с двигател с вътрешно горене, попадащ в обхвата на същото одобрение на типа съгласно член 9.01, точка 2. Като предпоставка за това се съобщава на контролния орган за замяната на двигателя и му се предоставя копие на документа за одобрение на типа и данни за идентификационния номер на монтирания наново двигател. Контролният орган извършва съответните изменения в точка 52 от удостоверението на плавателния съд за плаване по вътрешни водни пътища.</w:t>
      </w:r>
    </w:p>
    <w:p w:rsidR="00DE2419" w:rsidRPr="009072DA" w:rsidRDefault="00DE2419" w:rsidP="00DE2419">
      <w:pPr>
        <w:pStyle w:val="ESch"/>
        <w:rPr>
          <w:lang w:val="bg-BG"/>
        </w:rPr>
      </w:pPr>
    </w:p>
    <w:p w:rsidR="00DE2419" w:rsidRPr="009072DA" w:rsidRDefault="00DE2419" w:rsidP="00DE2419">
      <w:pPr>
        <w:pStyle w:val="ESlet"/>
        <w:spacing w:before="0"/>
        <w:ind w:left="567" w:hanging="567"/>
        <w:rPr>
          <w:lang w:val="bg-BG"/>
        </w:rPr>
      </w:pPr>
    </w:p>
    <w:p w:rsidR="00DE2419" w:rsidRPr="009072DA" w:rsidRDefault="00DE2419" w:rsidP="00DE2419">
      <w:pPr>
        <w:pStyle w:val="ES-Titre3"/>
        <w:rPr>
          <w:i/>
          <w:lang w:val="bg-BG"/>
        </w:rPr>
      </w:pPr>
      <w:bookmarkStart w:id="152" w:name="_Toc491854074"/>
      <w:bookmarkStart w:id="153" w:name="_Toc535827515"/>
      <w:r w:rsidRPr="009072DA">
        <w:rPr>
          <w:lang w:val="bg-BG"/>
        </w:rPr>
        <w:t>Член 9.07</w:t>
      </w:r>
      <w:r w:rsidRPr="009072DA">
        <w:rPr>
          <w:lang w:val="bg-BG"/>
        </w:rPr>
        <w:br/>
      </w:r>
      <w:r w:rsidRPr="009072DA">
        <w:rPr>
          <w:i/>
          <w:lang w:val="bg-BG"/>
        </w:rPr>
        <w:t>Междинни изпитвания</w:t>
      </w:r>
      <w:bookmarkEnd w:id="152"/>
      <w:bookmarkEnd w:id="153"/>
    </w:p>
    <w:p w:rsidR="00DE2419" w:rsidRPr="009072DA" w:rsidRDefault="00DE2419" w:rsidP="00DE2419">
      <w:pPr>
        <w:pStyle w:val="ESch"/>
        <w:rPr>
          <w:lang w:val="bg-BG"/>
        </w:rPr>
      </w:pPr>
    </w:p>
    <w:p w:rsidR="00DE2419" w:rsidRPr="009072DA" w:rsidRDefault="00DE2419" w:rsidP="00DE2419">
      <w:pPr>
        <w:pStyle w:val="ESch"/>
        <w:rPr>
          <w:szCs w:val="20"/>
          <w:lang w:val="bg-BG"/>
        </w:rPr>
      </w:pPr>
      <w:r w:rsidRPr="009072DA">
        <w:rPr>
          <w:lang w:val="bg-BG"/>
        </w:rPr>
        <w:t>1.</w:t>
      </w:r>
      <w:r w:rsidRPr="009072DA">
        <w:rPr>
          <w:lang w:val="bg-BG"/>
        </w:rPr>
        <w:tab/>
        <w:t xml:space="preserve">В случай на междинни изпитвания проверката на контролния орган трябва да гарантира, че монтиран на борда двигател все още отговаря на техническите изисквания относно нивото на емисиите на газообразни замърсители и прахови частици, дори след като е претърпял изменения или адаптации след изпитването на монтажа. </w:t>
      </w:r>
    </w:p>
    <w:p w:rsidR="00DE2419" w:rsidRPr="009072DA" w:rsidRDefault="00DE2419" w:rsidP="00DE2419">
      <w:pPr>
        <w:pStyle w:val="ESch"/>
        <w:rPr>
          <w:szCs w:val="20"/>
          <w:lang w:val="bg-BG"/>
        </w:rPr>
      </w:pPr>
    </w:p>
    <w:p w:rsidR="00DE2419" w:rsidRPr="009072DA" w:rsidRDefault="00DE2419" w:rsidP="00DE2419">
      <w:pPr>
        <w:pStyle w:val="ESch"/>
        <w:rPr>
          <w:szCs w:val="20"/>
          <w:lang w:val="bg-BG"/>
        </w:rPr>
      </w:pPr>
      <w:r w:rsidRPr="009072DA">
        <w:rPr>
          <w:lang w:val="bg-BG"/>
        </w:rPr>
        <w:t>2.</w:t>
      </w:r>
      <w:r w:rsidRPr="009072DA">
        <w:rPr>
          <w:lang w:val="bg-BG"/>
        </w:rPr>
        <w:tab/>
        <w:t>Междинните изпитвания на двигател с вътрешно горене се извършват в контекста на периодична проверка на плавателното средство.</w:t>
      </w:r>
    </w:p>
    <w:p w:rsidR="00DE2419" w:rsidRPr="009072DA" w:rsidRDefault="00DE2419" w:rsidP="00DE2419">
      <w:pPr>
        <w:pStyle w:val="ESch"/>
        <w:rPr>
          <w:szCs w:val="20"/>
          <w:lang w:val="bg-BG"/>
        </w:rPr>
      </w:pPr>
    </w:p>
    <w:p w:rsidR="00DE2419" w:rsidRPr="009072DA" w:rsidRDefault="00DE2419" w:rsidP="00DE2419">
      <w:pPr>
        <w:pStyle w:val="ESch"/>
        <w:rPr>
          <w:szCs w:val="20"/>
          <w:lang w:val="bg-BG"/>
        </w:rPr>
      </w:pPr>
    </w:p>
    <w:p w:rsidR="00DE2419" w:rsidRPr="009072DA" w:rsidRDefault="00DE2419" w:rsidP="00DE2419">
      <w:pPr>
        <w:pStyle w:val="ES-Titre3"/>
        <w:rPr>
          <w:i/>
          <w:lang w:val="bg-BG"/>
        </w:rPr>
      </w:pPr>
      <w:bookmarkStart w:id="154" w:name="_Toc491854075"/>
      <w:bookmarkStart w:id="155" w:name="_Toc535827516"/>
      <w:r w:rsidRPr="009072DA">
        <w:rPr>
          <w:lang w:val="bg-BG"/>
        </w:rPr>
        <w:t>Член 9.08</w:t>
      </w:r>
      <w:r w:rsidRPr="009072DA">
        <w:rPr>
          <w:lang w:val="bg-BG"/>
        </w:rPr>
        <w:br/>
      </w:r>
      <w:r w:rsidRPr="009072DA">
        <w:rPr>
          <w:i/>
          <w:lang w:val="bg-BG"/>
        </w:rPr>
        <w:t>Специални изпитвания</w:t>
      </w:r>
      <w:bookmarkEnd w:id="154"/>
      <w:bookmarkEnd w:id="155"/>
    </w:p>
    <w:p w:rsidR="00DE2419" w:rsidRPr="009072DA" w:rsidRDefault="00DE2419" w:rsidP="00DE2419">
      <w:pPr>
        <w:pStyle w:val="ESch"/>
        <w:rPr>
          <w:lang w:val="bg-BG"/>
        </w:rPr>
      </w:pPr>
    </w:p>
    <w:p w:rsidR="00DE2419" w:rsidRPr="009072DA" w:rsidRDefault="00DE2419" w:rsidP="00DE2419">
      <w:pPr>
        <w:pStyle w:val="ESch"/>
        <w:rPr>
          <w:szCs w:val="20"/>
          <w:lang w:val="bg-BG"/>
        </w:rPr>
      </w:pPr>
      <w:r w:rsidRPr="009072DA">
        <w:rPr>
          <w:lang w:val="bg-BG"/>
        </w:rPr>
        <w:t>1.</w:t>
      </w:r>
      <w:r w:rsidRPr="009072DA">
        <w:rPr>
          <w:lang w:val="bg-BG"/>
        </w:rPr>
        <w:tab/>
        <w:t xml:space="preserve">В случай на специални изпитвания, проверката на контролния орган трябва да гарантира, че монтиран на борда двигател все още отговаря на техническите изисквания относно нивото на емисиите на газообразни замърсители и прахови частици след всяка значителна промяна. </w:t>
      </w:r>
    </w:p>
    <w:p w:rsidR="00DE2419" w:rsidRPr="009072DA" w:rsidRDefault="00DE2419" w:rsidP="00DE2419">
      <w:pPr>
        <w:pStyle w:val="ESch"/>
        <w:rPr>
          <w:lang w:val="bg-BG"/>
        </w:rPr>
      </w:pPr>
    </w:p>
    <w:p w:rsidR="00DE2419" w:rsidRPr="009072DA" w:rsidRDefault="00DE2419" w:rsidP="00DE2419">
      <w:pPr>
        <w:pStyle w:val="ESch"/>
        <w:rPr>
          <w:lang w:val="bg-BG"/>
        </w:rPr>
      </w:pPr>
      <w:r w:rsidRPr="009072DA">
        <w:rPr>
          <w:lang w:val="bg-BG"/>
        </w:rPr>
        <w:t>2.</w:t>
      </w:r>
      <w:r w:rsidRPr="009072DA">
        <w:rPr>
          <w:lang w:val="bg-BG"/>
        </w:rPr>
        <w:tab/>
        <w:t>След всяка значителна промяна по двигателя, която може потенциално да повлияе на емисиите на газообразни и прахови замърсители от двигателя с вътрешно горене, трябва винаги да се провежда специално изпитване.</w:t>
      </w:r>
    </w:p>
    <w:p w:rsidR="00DE2419" w:rsidRPr="009072DA" w:rsidRDefault="00DE2419" w:rsidP="00DE2419">
      <w:pPr>
        <w:rPr>
          <w:rFonts w:cs="Arial"/>
          <w:szCs w:val="20"/>
          <w:lang w:val="bg-BG"/>
        </w:rPr>
      </w:pPr>
    </w:p>
    <w:p w:rsidR="00DE2419" w:rsidRPr="009072DA" w:rsidRDefault="00DE2419" w:rsidP="00DE2419">
      <w:pPr>
        <w:pStyle w:val="ESch"/>
        <w:rPr>
          <w:lang w:val="bg-BG"/>
        </w:rPr>
      </w:pPr>
    </w:p>
    <w:p w:rsidR="00DE2419" w:rsidRPr="009072DA" w:rsidRDefault="00DE2419" w:rsidP="00DE2419">
      <w:pPr>
        <w:pStyle w:val="ES-Titre3"/>
        <w:rPr>
          <w:i/>
          <w:lang w:val="bg-BG"/>
        </w:rPr>
      </w:pPr>
      <w:bookmarkStart w:id="156" w:name="_Toc491854076"/>
      <w:bookmarkStart w:id="157" w:name="_Toc535827517"/>
      <w:r w:rsidRPr="009072DA">
        <w:rPr>
          <w:lang w:val="bg-BG"/>
        </w:rPr>
        <w:t>Член 9.09</w:t>
      </w:r>
      <w:r w:rsidRPr="009072DA">
        <w:rPr>
          <w:lang w:val="bg-BG"/>
        </w:rPr>
        <w:br/>
      </w:r>
      <w:r w:rsidRPr="009072DA">
        <w:rPr>
          <w:i/>
          <w:lang w:val="bg-BG"/>
        </w:rPr>
        <w:t>Специфични изисквания относно системи за последваща обработка на отработилите газове</w:t>
      </w:r>
      <w:bookmarkEnd w:id="156"/>
      <w:bookmarkEnd w:id="157"/>
    </w:p>
    <w:p w:rsidR="00DE2419" w:rsidRPr="009072DA" w:rsidRDefault="00DE2419" w:rsidP="00DE2419">
      <w:pPr>
        <w:pStyle w:val="ESch"/>
        <w:rPr>
          <w:lang w:val="bg-BG"/>
        </w:rPr>
      </w:pPr>
    </w:p>
    <w:p w:rsidR="00DE2419" w:rsidRPr="009072DA" w:rsidRDefault="00DE2419" w:rsidP="00DE2419">
      <w:pPr>
        <w:pStyle w:val="ESch"/>
        <w:rPr>
          <w:rFonts w:cs="Arial"/>
          <w:szCs w:val="20"/>
          <w:lang w:val="bg-BG"/>
        </w:rPr>
      </w:pPr>
      <w:r w:rsidRPr="009072DA">
        <w:rPr>
          <w:lang w:val="bg-BG"/>
        </w:rPr>
        <w:t>1.</w:t>
      </w:r>
      <w:r w:rsidRPr="009072DA">
        <w:rPr>
          <w:lang w:val="bg-BG"/>
        </w:rPr>
        <w:tab/>
        <w:t xml:space="preserve">Системите за последваща обработка на отработилите газове не трябва да нарушават безопасната експлоатация на плавателното средство, включително на задвижващата система и електрозахранването, нито да блокират изпускателната уредба. </w:t>
      </w:r>
    </w:p>
    <w:p w:rsidR="00DE2419" w:rsidRPr="009072DA" w:rsidRDefault="00DE2419" w:rsidP="00DE2419">
      <w:pPr>
        <w:pStyle w:val="ESch"/>
        <w:rPr>
          <w:rFonts w:cs="Arial"/>
          <w:szCs w:val="20"/>
          <w:lang w:val="bg-BG"/>
        </w:rPr>
      </w:pPr>
    </w:p>
    <w:p w:rsidR="00DE2419" w:rsidRPr="009072DA" w:rsidRDefault="00DE2419" w:rsidP="00DE2419">
      <w:pPr>
        <w:pStyle w:val="ESch"/>
        <w:rPr>
          <w:rFonts w:ascii="ArialMT" w:hAnsi="ArialMT" w:cs="ArialMT"/>
          <w:szCs w:val="20"/>
          <w:lang w:val="bg-BG"/>
        </w:rPr>
      </w:pPr>
      <w:r w:rsidRPr="009072DA">
        <w:rPr>
          <w:rFonts w:ascii="ArialMT" w:hAnsi="ArialMT"/>
          <w:lang w:val="bg-BG"/>
        </w:rPr>
        <w:t>2.</w:t>
      </w:r>
      <w:r w:rsidRPr="009072DA">
        <w:rPr>
          <w:lang w:val="bg-BG"/>
        </w:rPr>
        <w:tab/>
      </w:r>
      <w:r w:rsidRPr="009072DA">
        <w:rPr>
          <w:rFonts w:ascii="ArialMT" w:hAnsi="ArialMT"/>
          <w:lang w:val="bg-BG"/>
        </w:rPr>
        <w:t>Когато система за последваща обработка на отработилите газове на двигателите с вътрешно горене, които осигуряват главното задвижване на плавателното средство, е оборудвана с устройство, позволяващо нейното заобикаляне, то трябва да отговаря на следните условия:</w:t>
      </w:r>
    </w:p>
    <w:p w:rsidR="00DE2419" w:rsidRPr="009072DA" w:rsidRDefault="00DE2419" w:rsidP="00DE2419">
      <w:pPr>
        <w:pStyle w:val="ESlet"/>
        <w:rPr>
          <w:lang w:val="bg-BG"/>
        </w:rPr>
      </w:pPr>
      <w:r w:rsidRPr="009072DA">
        <w:rPr>
          <w:lang w:val="bg-BG"/>
        </w:rPr>
        <w:t>a)</w:t>
      </w:r>
      <w:r w:rsidRPr="009072DA">
        <w:rPr>
          <w:lang w:val="bg-BG"/>
        </w:rPr>
        <w:tab/>
        <w:t>В случай на отказ на системата за последваща обработка на отработилите газове, активирането на устройството за заобикалянето ѝ трябва да позволява на плавателното средство да остане управляемо на собствен ход.</w:t>
      </w:r>
    </w:p>
    <w:p w:rsidR="00DE2419" w:rsidRPr="009072DA" w:rsidRDefault="00DE2419" w:rsidP="00DE2419">
      <w:pPr>
        <w:pStyle w:val="ESlet"/>
        <w:rPr>
          <w:lang w:val="bg-BG"/>
        </w:rPr>
      </w:pPr>
      <w:r w:rsidRPr="009072DA">
        <w:rPr>
          <w:lang w:val="bg-BG"/>
        </w:rPr>
        <w:t>б)</w:t>
      </w:r>
      <w:r w:rsidRPr="009072DA">
        <w:rPr>
          <w:lang w:val="bg-BG"/>
        </w:rPr>
        <w:tab/>
        <w:t>В случай на задействане на устройството за заобикаляне на системата за последваща обработка системата за управление на това устройство подава звуков и светлинен алармен сигнал в рулевата рубка.</w:t>
      </w:r>
    </w:p>
    <w:p w:rsidR="00DE2419" w:rsidRPr="009072DA" w:rsidRDefault="00DE2419" w:rsidP="00DE2419">
      <w:pPr>
        <w:pStyle w:val="ESlet"/>
        <w:rPr>
          <w:rFonts w:cs="Arial"/>
          <w:lang w:val="bg-BG"/>
        </w:rPr>
      </w:pPr>
      <w:r w:rsidRPr="009072DA">
        <w:rPr>
          <w:lang w:val="bg-BG"/>
        </w:rPr>
        <w:t>в)</w:t>
      </w:r>
      <w:r w:rsidRPr="009072DA">
        <w:rPr>
          <w:lang w:val="bg-BG"/>
        </w:rPr>
        <w:tab/>
        <w:t>Системата за управление на устройството за заобикаляне на системата за последваща обработка записва в постоянна компютърна памет всички инциденти във връзка с работата на двигателя с използването на това устройство. Информацията трябва да бъде лесно достъпна за компетентните органи.</w:t>
      </w:r>
    </w:p>
    <w:p w:rsidR="00DE2419" w:rsidRPr="009072DA" w:rsidRDefault="00DE2419" w:rsidP="00DE2419">
      <w:pPr>
        <w:pStyle w:val="ESch"/>
        <w:rPr>
          <w:lang w:val="bg-BG"/>
        </w:rPr>
      </w:pPr>
    </w:p>
    <w:p w:rsidR="00211AAA" w:rsidRPr="009072DA" w:rsidRDefault="00211AAA">
      <w:pPr>
        <w:rPr>
          <w:lang w:val="bg-BG"/>
        </w:rPr>
      </w:pPr>
      <w:r w:rsidRPr="009072DA">
        <w:rPr>
          <w:lang w:val="bg-BG"/>
        </w:rPr>
        <w:br w:type="page"/>
      </w:r>
    </w:p>
    <w:p w:rsidR="00211AAA" w:rsidRPr="009072DA" w:rsidRDefault="00211AAA" w:rsidP="00DE2419">
      <w:pPr>
        <w:pStyle w:val="ESch"/>
        <w:rPr>
          <w:lang w:val="bg-BG"/>
        </w:rPr>
      </w:pPr>
    </w:p>
    <w:p w:rsidR="00DE2419" w:rsidRPr="009072DA" w:rsidRDefault="00DE2419" w:rsidP="00DE2419">
      <w:pPr>
        <w:pStyle w:val="ESch"/>
        <w:rPr>
          <w:lang w:val="bg-BG"/>
        </w:rPr>
      </w:pPr>
      <w:r w:rsidRPr="009072DA">
        <w:rPr>
          <w:lang w:val="bg-BG"/>
        </w:rPr>
        <w:t>3.</w:t>
      </w:r>
      <w:r w:rsidRPr="009072DA">
        <w:rPr>
          <w:lang w:val="bg-BG"/>
        </w:rPr>
        <w:tab/>
        <w:t>Когато в съответствие с член 25, параграф 3, буква е) от Регламент (ЕС) 2016/1628 е инсталирана диагностична система за контрол, изискваните алармени системи трябва да задействат звуков и оптичен алармен сигнал в рулевата рубка в случай на неизправности.</w:t>
      </w:r>
    </w:p>
    <w:p w:rsidR="00DE2419" w:rsidRPr="009072DA" w:rsidRDefault="00DE2419" w:rsidP="00DE2419">
      <w:pPr>
        <w:pStyle w:val="ESch"/>
        <w:rPr>
          <w:lang w:val="bg-BG"/>
        </w:rPr>
      </w:pPr>
    </w:p>
    <w:p w:rsidR="00DE2419" w:rsidRPr="009072DA" w:rsidRDefault="00DE2419" w:rsidP="00DE2419">
      <w:pPr>
        <w:pStyle w:val="ESch"/>
        <w:rPr>
          <w:lang w:val="bg-BG"/>
        </w:rPr>
      </w:pPr>
      <w:r w:rsidRPr="009072DA">
        <w:rPr>
          <w:lang w:val="bg-BG"/>
        </w:rPr>
        <w:t>4.</w:t>
      </w:r>
      <w:r w:rsidRPr="009072DA">
        <w:rPr>
          <w:lang w:val="bg-BG"/>
        </w:rPr>
        <w:tab/>
        <w:t xml:space="preserve">Ако система за последваща обработка на отработили газове разчита на използването на реагент за намаляване на емисиите, изискваните алармени системи трябва да  сигнализират на екипажа за нуждата от напълване на резервоара за реагент преди той да се изпразни, или за необходимостта от подмяна на реагента, ако той не отговаря на спецификациите за концентрация. </w:t>
      </w:r>
    </w:p>
    <w:p w:rsidR="00DE2419" w:rsidRPr="009072DA" w:rsidRDefault="00DE2419" w:rsidP="00DE2419">
      <w:pPr>
        <w:pStyle w:val="ESch"/>
        <w:rPr>
          <w:lang w:val="bg-BG"/>
        </w:rPr>
      </w:pPr>
    </w:p>
    <w:p w:rsidR="00DE2419" w:rsidRPr="009072DA" w:rsidRDefault="00DE2419" w:rsidP="00DE2419">
      <w:pPr>
        <w:pStyle w:val="ESchpar"/>
        <w:rPr>
          <w:lang w:val="bg-BG"/>
        </w:rPr>
      </w:pPr>
      <w:r w:rsidRPr="009072DA">
        <w:rPr>
          <w:lang w:val="bg-BG"/>
        </w:rPr>
        <w:t>Когато диагностичната система за контрол, инсталирана в съответствие с член 25, параграф 3, буква е) от Регламент (ЕС) 2016/1628, може да активира намаление на мощността на двигателя с вътрешно горене, трябва да са изпълнени следните изисквания:</w:t>
      </w:r>
    </w:p>
    <w:p w:rsidR="00DE2419" w:rsidRPr="00DC50C7" w:rsidRDefault="00DE2419" w:rsidP="00DE2419">
      <w:pPr>
        <w:spacing w:before="60" w:line="240" w:lineRule="atLeast"/>
        <w:ind w:left="993" w:hanging="426"/>
        <w:rPr>
          <w:rFonts w:cs="ArialMT"/>
          <w:szCs w:val="20"/>
          <w:lang w:val="bg-BG"/>
        </w:rPr>
      </w:pPr>
      <w:r w:rsidRPr="00DC50C7">
        <w:rPr>
          <w:lang w:val="bg-BG"/>
        </w:rPr>
        <w:t>a)</w:t>
      </w:r>
      <w:r w:rsidRPr="00DC50C7">
        <w:rPr>
          <w:lang w:val="bg-BG"/>
        </w:rPr>
        <w:tab/>
        <w:t>Задействането на намалението на мощността трябва да позволява на плавателното средство да остане управляемо на собствен ход.</w:t>
      </w:r>
    </w:p>
    <w:p w:rsidR="00DE2419" w:rsidRPr="00DC50C7" w:rsidRDefault="00DE2419" w:rsidP="00DE2419">
      <w:pPr>
        <w:spacing w:before="60" w:line="240" w:lineRule="atLeast"/>
        <w:ind w:left="993" w:hanging="426"/>
        <w:rPr>
          <w:rFonts w:cs="ArialMT"/>
          <w:szCs w:val="20"/>
          <w:lang w:val="bg-BG"/>
        </w:rPr>
      </w:pPr>
      <w:r w:rsidRPr="00DC50C7">
        <w:rPr>
          <w:lang w:val="bg-BG"/>
        </w:rPr>
        <w:t>б)</w:t>
      </w:r>
      <w:r w:rsidRPr="00DC50C7">
        <w:rPr>
          <w:lang w:val="bg-BG"/>
        </w:rPr>
        <w:tab/>
        <w:t>В случай на задействане на намаление на мощността, системата за контрол трябва да подава звуков и светлинен алармен сигнал в рулевата рубка.</w:t>
      </w:r>
    </w:p>
    <w:p w:rsidR="00DE2419" w:rsidRPr="00DC50C7" w:rsidRDefault="00DE2419" w:rsidP="00DE2419">
      <w:pPr>
        <w:pStyle w:val="ESch"/>
        <w:rPr>
          <w:lang w:val="bg-BG"/>
        </w:rPr>
      </w:pPr>
    </w:p>
    <w:p w:rsidR="00DE2419" w:rsidRPr="00DC50C7" w:rsidRDefault="00DE2419" w:rsidP="00DE2419">
      <w:pPr>
        <w:pStyle w:val="ESch"/>
        <w:rPr>
          <w:rFonts w:cs="ArialMT"/>
          <w:lang w:val="bg-BG"/>
        </w:rPr>
      </w:pPr>
      <w:r w:rsidRPr="00DC50C7">
        <w:rPr>
          <w:lang w:val="bg-BG"/>
        </w:rPr>
        <w:t>5.</w:t>
      </w:r>
      <w:r w:rsidRPr="00DC50C7">
        <w:rPr>
          <w:lang w:val="bg-BG"/>
        </w:rPr>
        <w:tab/>
        <w:t xml:space="preserve">Изискването по точка 1 се счита за изпълнено, когато плавателният съд е оборудван с </w:t>
      </w:r>
    </w:p>
    <w:p w:rsidR="00DE2419" w:rsidRPr="009072DA" w:rsidRDefault="00DE2419" w:rsidP="00DE2419">
      <w:pPr>
        <w:pStyle w:val="ESlet"/>
        <w:rPr>
          <w:lang w:val="bg-BG"/>
        </w:rPr>
      </w:pPr>
      <w:r w:rsidRPr="009072DA">
        <w:rPr>
          <w:lang w:val="bg-BG"/>
        </w:rPr>
        <w:t>a)</w:t>
      </w:r>
      <w:r w:rsidRPr="009072DA">
        <w:rPr>
          <w:lang w:val="bg-BG"/>
        </w:rPr>
        <w:tab/>
        <w:t>втора независима система за задвижване (дори ако тази втора система също включва система за обработка на отработилите газове), която позволява на плавателното средство да остане управляемо на собствен ход; или</w:t>
      </w:r>
    </w:p>
    <w:p w:rsidR="00DE2419" w:rsidRPr="009072DA" w:rsidRDefault="00DE2419" w:rsidP="00DE2419">
      <w:pPr>
        <w:pStyle w:val="ESlet"/>
        <w:rPr>
          <w:lang w:val="bg-BG"/>
        </w:rPr>
      </w:pPr>
      <w:r w:rsidRPr="009072DA">
        <w:rPr>
          <w:lang w:val="bg-BG"/>
        </w:rPr>
        <w:t>б)</w:t>
      </w:r>
      <w:r w:rsidRPr="009072DA">
        <w:rPr>
          <w:lang w:val="bg-BG"/>
        </w:rPr>
        <w:tab/>
        <w:t xml:space="preserve">система за последваща обработка с устройство за нейното заобикаляне съгласно точка 2. </w:t>
      </w:r>
    </w:p>
    <w:p w:rsidR="002D2D76" w:rsidRPr="009072DA" w:rsidRDefault="002D2D76" w:rsidP="002D2D76">
      <w:pPr>
        <w:rPr>
          <w:rFonts w:cs="Arial"/>
          <w:szCs w:val="20"/>
          <w:lang w:val="bg-BG"/>
        </w:rPr>
      </w:pPr>
    </w:p>
    <w:p w:rsidR="00E9195A" w:rsidRPr="009072DA" w:rsidRDefault="00E9195A" w:rsidP="00245091">
      <w:pPr>
        <w:rPr>
          <w:lang w:val="bg-BG"/>
        </w:rPr>
      </w:pPr>
    </w:p>
    <w:p w:rsidR="00ED1CB3" w:rsidRPr="009072DA" w:rsidRDefault="00ED1CB3" w:rsidP="00245091">
      <w:pPr>
        <w:rPr>
          <w:lang w:val="bg-BG"/>
        </w:rPr>
      </w:pPr>
    </w:p>
    <w:p w:rsidR="00ED1CB3" w:rsidRPr="009072DA" w:rsidRDefault="00ED1CB3">
      <w:pPr>
        <w:rPr>
          <w:lang w:val="bg-BG"/>
        </w:rPr>
      </w:pPr>
      <w:r w:rsidRPr="009072DA">
        <w:rPr>
          <w:lang w:val="bg-BG"/>
        </w:rPr>
        <w:br w:type="page"/>
      </w:r>
    </w:p>
    <w:p w:rsidR="00ED1CB3" w:rsidRPr="009072DA" w:rsidRDefault="00ED1CB3" w:rsidP="00245091">
      <w:pPr>
        <w:rPr>
          <w:lang w:val="bg-BG"/>
        </w:rPr>
      </w:pPr>
    </w:p>
    <w:p w:rsidR="00ED1CB3" w:rsidRPr="009072DA" w:rsidRDefault="00ED1CB3" w:rsidP="00245091">
      <w:pPr>
        <w:rPr>
          <w:lang w:val="bg-BG"/>
        </w:rPr>
      </w:pPr>
    </w:p>
    <w:p w:rsidR="00ED1CB3" w:rsidRPr="009072DA" w:rsidRDefault="00ED1CB3" w:rsidP="00245091">
      <w:pPr>
        <w:rPr>
          <w:lang w:val="bg-BG"/>
        </w:rPr>
      </w:pPr>
    </w:p>
    <w:p w:rsidR="00E9195A" w:rsidRPr="009072DA" w:rsidRDefault="00E9195A" w:rsidP="00245091">
      <w:pPr>
        <w:rPr>
          <w:lang w:val="bg-BG"/>
        </w:rPr>
      </w:pPr>
    </w:p>
    <w:p w:rsidR="0033095A" w:rsidRPr="009072DA" w:rsidRDefault="008A12E7" w:rsidP="0033095A">
      <w:pPr>
        <w:pStyle w:val="ES-Titre2"/>
      </w:pPr>
      <w:bookmarkStart w:id="158" w:name="_Toc491854077"/>
      <w:bookmarkStart w:id="159" w:name="_Toc535827518"/>
      <w:r w:rsidRPr="009072DA">
        <w:lastRenderedPageBreak/>
        <w:t>Глава 10</w:t>
      </w:r>
      <w:r w:rsidRPr="009072DA">
        <w:br/>
        <w:t>Електрическо оборудване и електрически инсталации</w:t>
      </w:r>
      <w:bookmarkEnd w:id="158"/>
      <w:bookmarkEnd w:id="159"/>
    </w:p>
    <w:p w:rsidR="0033095A" w:rsidRPr="009072DA" w:rsidRDefault="0033095A" w:rsidP="00763ADA">
      <w:pPr>
        <w:rPr>
          <w:lang w:val="bg-BG"/>
        </w:rPr>
      </w:pPr>
    </w:p>
    <w:p w:rsidR="008A12E7" w:rsidRPr="009072DA" w:rsidRDefault="008A12E7" w:rsidP="008A12E7">
      <w:pPr>
        <w:pStyle w:val="ES-Titre3"/>
        <w:rPr>
          <w:i/>
          <w:lang w:val="bg-BG"/>
        </w:rPr>
      </w:pPr>
      <w:bookmarkStart w:id="160" w:name="_Toc491854078"/>
      <w:bookmarkStart w:id="161" w:name="_Toc535827519"/>
      <w:r w:rsidRPr="009072DA">
        <w:rPr>
          <w:lang w:val="bg-BG"/>
        </w:rPr>
        <w:t>Член 10.01</w:t>
      </w:r>
      <w:r w:rsidRPr="009072DA">
        <w:rPr>
          <w:lang w:val="bg-BG"/>
        </w:rPr>
        <w:br/>
      </w:r>
      <w:r w:rsidRPr="009072DA">
        <w:rPr>
          <w:i/>
          <w:lang w:val="bg-BG"/>
        </w:rPr>
        <w:t>Общи положения</w:t>
      </w:r>
      <w:bookmarkEnd w:id="160"/>
      <w:bookmarkEnd w:id="161"/>
    </w:p>
    <w:p w:rsidR="008A12E7" w:rsidRPr="009072DA" w:rsidRDefault="008A12E7" w:rsidP="008A12E7">
      <w:pPr>
        <w:rPr>
          <w:rFonts w:cs="Arial"/>
          <w:szCs w:val="20"/>
          <w:lang w:val="bg-BG"/>
        </w:rPr>
      </w:pPr>
    </w:p>
    <w:p w:rsidR="001F02E6" w:rsidRPr="009072DA" w:rsidRDefault="001F02E6" w:rsidP="001F02E6">
      <w:pPr>
        <w:pStyle w:val="ESch"/>
        <w:rPr>
          <w:rFonts w:eastAsia="Calibri"/>
          <w:lang w:val="bg-BG"/>
        </w:rPr>
      </w:pPr>
      <w:r w:rsidRPr="009072DA">
        <w:rPr>
          <w:lang w:val="bg-BG"/>
        </w:rPr>
        <w:t>1.</w:t>
      </w:r>
      <w:r w:rsidRPr="009072DA">
        <w:rPr>
          <w:lang w:val="bg-BG"/>
        </w:rPr>
        <w:tab/>
        <w:t>Когато няма специални изисквания за определени части от електрическата инсталация или електрическото оборудване, равнището на безопасност се смята за задоволително, ако тези части са монтирани в съответствие с одобрен европейски стандарт или според изискванията на призната класификационна организация.</w:t>
      </w:r>
    </w:p>
    <w:p w:rsidR="001F02E6" w:rsidRPr="009072DA" w:rsidRDefault="001F02E6" w:rsidP="001F02E6">
      <w:pPr>
        <w:pStyle w:val="ESchpar"/>
        <w:rPr>
          <w:rFonts w:eastAsia="Calibri"/>
          <w:lang w:val="bg-BG"/>
        </w:rPr>
      </w:pPr>
    </w:p>
    <w:p w:rsidR="001F02E6" w:rsidRPr="009072DA" w:rsidRDefault="001F02E6" w:rsidP="001F02E6">
      <w:pPr>
        <w:pStyle w:val="ESchpar"/>
        <w:rPr>
          <w:rFonts w:eastAsia="Calibri"/>
          <w:lang w:val="bg-BG"/>
        </w:rPr>
      </w:pPr>
      <w:r w:rsidRPr="009072DA">
        <w:rPr>
          <w:lang w:val="bg-BG"/>
        </w:rPr>
        <w:t>Съответните документи трябва да бъдат представени на контролния орган.</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2.</w:t>
      </w:r>
      <w:r w:rsidRPr="009072DA">
        <w:rPr>
          <w:lang w:val="bg-BG"/>
        </w:rPr>
        <w:tab/>
        <w:t>Следните документи, носещи печата на контролния орган, трябва да са налични на борда:</w:t>
      </w:r>
    </w:p>
    <w:p w:rsidR="001F02E6" w:rsidRPr="009072DA" w:rsidRDefault="001F02E6" w:rsidP="001F02E6">
      <w:pPr>
        <w:pStyle w:val="ESlet"/>
        <w:rPr>
          <w:rFonts w:eastAsia="Calibri"/>
          <w:lang w:val="bg-BG"/>
        </w:rPr>
      </w:pPr>
      <w:r w:rsidRPr="009072DA">
        <w:rPr>
          <w:lang w:val="bg-BG"/>
        </w:rPr>
        <w:t>a)</w:t>
      </w:r>
      <w:r w:rsidRPr="009072DA">
        <w:rPr>
          <w:lang w:val="bg-BG"/>
        </w:rPr>
        <w:tab/>
        <w:t>общи планове на цялата електрическа инсталация;</w:t>
      </w:r>
    </w:p>
    <w:p w:rsidR="001F02E6" w:rsidRPr="009072DA" w:rsidRDefault="001F02E6" w:rsidP="001F02E6">
      <w:pPr>
        <w:pStyle w:val="ESlet"/>
        <w:rPr>
          <w:rFonts w:eastAsia="Calibri" w:cs="Arial"/>
          <w:szCs w:val="20"/>
          <w:lang w:val="bg-BG"/>
        </w:rPr>
      </w:pPr>
      <w:r w:rsidRPr="009072DA">
        <w:rPr>
          <w:lang w:val="bg-BG"/>
        </w:rPr>
        <w:t>б)</w:t>
      </w:r>
      <w:r w:rsidRPr="009072DA">
        <w:rPr>
          <w:lang w:val="bg-BG"/>
        </w:rPr>
        <w:tab/>
        <w:t>планове на главни разпределителни табла, аварийни разпределителни табла, разпределителни табла, които показват най-важните технически данни като големината на номиналния ток на предпазителите и превключващите устройства;</w:t>
      </w:r>
    </w:p>
    <w:p w:rsidR="001F02E6" w:rsidRPr="009072DA" w:rsidRDefault="001F02E6" w:rsidP="001F02E6">
      <w:pPr>
        <w:pStyle w:val="ESlet"/>
        <w:rPr>
          <w:rFonts w:eastAsia="Calibri"/>
          <w:lang w:val="bg-BG"/>
        </w:rPr>
      </w:pPr>
      <w:r w:rsidRPr="009072DA">
        <w:rPr>
          <w:lang w:val="bg-BG"/>
        </w:rPr>
        <w:t>в)</w:t>
      </w:r>
      <w:r w:rsidRPr="009072DA">
        <w:rPr>
          <w:lang w:val="bg-BG"/>
        </w:rPr>
        <w:tab/>
        <w:t>указания за изискванията за мощност на електрическото работно оборудване;</w:t>
      </w:r>
    </w:p>
    <w:p w:rsidR="001F02E6" w:rsidRPr="009072DA" w:rsidRDefault="001F02E6" w:rsidP="001F02E6">
      <w:pPr>
        <w:pStyle w:val="ESlet"/>
        <w:rPr>
          <w:rFonts w:eastAsia="Calibri"/>
          <w:lang w:val="bg-BG"/>
        </w:rPr>
      </w:pPr>
      <w:r w:rsidRPr="009072DA">
        <w:rPr>
          <w:lang w:val="bg-BG"/>
        </w:rPr>
        <w:t>г)</w:t>
      </w:r>
      <w:r w:rsidRPr="009072DA">
        <w:rPr>
          <w:lang w:val="bg-BG"/>
        </w:rPr>
        <w:tab/>
        <w:t>видовете кабели, посочващи напречните сечения на проводниците;</w:t>
      </w:r>
    </w:p>
    <w:p w:rsidR="001F02E6" w:rsidRPr="009072DA" w:rsidRDefault="001F02E6" w:rsidP="001F02E6">
      <w:pPr>
        <w:pStyle w:val="ESlet"/>
        <w:rPr>
          <w:rFonts w:eastAsia="Calibri"/>
          <w:lang w:val="bg-BG"/>
        </w:rPr>
      </w:pPr>
      <w:r w:rsidRPr="009072DA">
        <w:rPr>
          <w:lang w:val="bg-BG"/>
        </w:rPr>
        <w:t>д)</w:t>
      </w:r>
      <w:r w:rsidRPr="009072DA">
        <w:rPr>
          <w:lang w:val="bg-BG"/>
        </w:rPr>
        <w:tab/>
        <w:t>за системите за електрическо задвижване на плавателния съд, планове на разпределителното табло, както и документация за електрическия задвижващ двигател;</w:t>
      </w:r>
    </w:p>
    <w:p w:rsidR="001F02E6" w:rsidRPr="009072DA" w:rsidRDefault="001F02E6" w:rsidP="001F02E6">
      <w:pPr>
        <w:pStyle w:val="ESlet"/>
        <w:rPr>
          <w:rFonts w:eastAsia="Calibri"/>
          <w:lang w:val="bg-BG"/>
        </w:rPr>
      </w:pPr>
      <w:r w:rsidRPr="009072DA">
        <w:rPr>
          <w:lang w:val="bg-BG"/>
        </w:rPr>
        <w:t>е)</w:t>
      </w:r>
      <w:r w:rsidRPr="009072DA">
        <w:rPr>
          <w:lang w:val="bg-BG"/>
        </w:rPr>
        <w:tab/>
        <w:t>планове на системите за електронно управление на руля, регулиране, сигнализация и безопасност;</w:t>
      </w:r>
    </w:p>
    <w:p w:rsidR="001F02E6" w:rsidRPr="009072DA" w:rsidRDefault="001F02E6" w:rsidP="001F02E6">
      <w:pPr>
        <w:pStyle w:val="ESlet"/>
        <w:rPr>
          <w:rFonts w:eastAsia="Calibri"/>
          <w:lang w:val="bg-BG"/>
        </w:rPr>
      </w:pPr>
      <w:r w:rsidRPr="009072DA">
        <w:rPr>
          <w:lang w:val="bg-BG"/>
        </w:rPr>
        <w:t>ж)</w:t>
      </w:r>
      <w:r w:rsidRPr="009072DA">
        <w:rPr>
          <w:lang w:val="bg-BG"/>
        </w:rPr>
        <w:tab/>
        <w:t>планове на управляващи вериги.</w:t>
      </w:r>
    </w:p>
    <w:p w:rsidR="001F02E6" w:rsidRPr="009072DA" w:rsidRDefault="001F02E6" w:rsidP="001F02E6">
      <w:pPr>
        <w:pStyle w:val="ESchpar"/>
        <w:rPr>
          <w:rFonts w:eastAsia="Calibri"/>
          <w:lang w:val="bg-BG"/>
        </w:rPr>
      </w:pPr>
    </w:p>
    <w:p w:rsidR="001F02E6" w:rsidRPr="009072DA" w:rsidRDefault="001F02E6" w:rsidP="001F02E6">
      <w:pPr>
        <w:pStyle w:val="ESchpar"/>
        <w:rPr>
          <w:rFonts w:eastAsia="Calibri"/>
          <w:lang w:val="bg-BG"/>
        </w:rPr>
      </w:pPr>
      <w:r w:rsidRPr="009072DA">
        <w:rPr>
          <w:lang w:val="bg-BG"/>
        </w:rPr>
        <w:t>За плавателни средства без екипаж, тези документи не трябва да бъдат на борда, но трябва да са винаги на разположение при собственика.</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3.</w:t>
      </w:r>
      <w:r w:rsidRPr="009072DA">
        <w:rPr>
          <w:lang w:val="bg-BG"/>
        </w:rPr>
        <w:tab/>
        <w:t>Оборудването и инсталациите трябва да бъдат проектирани за постоянен крен на плавателното средство до 15°, както и вътрешна температура от 0 °C до + 40 °C и температура на палубата от - 20 °С до + 40 °С. Те трябва да бъдат изцяло функционални до тези граници.</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lastRenderedPageBreak/>
        <w:t>4.</w:t>
      </w:r>
      <w:r w:rsidRPr="009072DA">
        <w:rPr>
          <w:lang w:val="bg-BG"/>
        </w:rPr>
        <w:tab/>
        <w:t>Електрическото оборудване и съоръженията трябва да бъдат лесно достъпни и лесни за поддръжка.</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5.</w:t>
      </w:r>
      <w:r w:rsidRPr="009072DA">
        <w:rPr>
          <w:lang w:val="bg-BG"/>
        </w:rPr>
        <w:tab/>
        <w:t>Електрическото оборудване и електрическите инсталации трябва да бъдат проектирани и монтирани така, че вибрациите, които възникват при нормална експлоатация на борда, да не причиняват неизправности или повреда.</w:t>
      </w:r>
    </w:p>
    <w:p w:rsidR="008A12E7" w:rsidRPr="009072DA" w:rsidRDefault="008A12E7" w:rsidP="008A12E7">
      <w:pPr>
        <w:rPr>
          <w:rFonts w:cs="Arial"/>
          <w:szCs w:val="20"/>
          <w:lang w:val="bg-BG"/>
        </w:rPr>
      </w:pPr>
    </w:p>
    <w:p w:rsidR="008A12E7" w:rsidRPr="009072DA" w:rsidRDefault="008A12E7" w:rsidP="008A12E7">
      <w:pPr>
        <w:rPr>
          <w:rFonts w:cs="Arial"/>
          <w:szCs w:val="20"/>
          <w:lang w:val="bg-BG"/>
        </w:rPr>
      </w:pPr>
    </w:p>
    <w:p w:rsidR="008A12E7" w:rsidRPr="009072DA" w:rsidRDefault="008A12E7" w:rsidP="008A12E7">
      <w:pPr>
        <w:pStyle w:val="ES-Titre3"/>
        <w:rPr>
          <w:lang w:val="bg-BG"/>
        </w:rPr>
      </w:pPr>
      <w:bookmarkStart w:id="162" w:name="_Toc491854079"/>
      <w:bookmarkStart w:id="163" w:name="_Toc535827520"/>
      <w:r w:rsidRPr="009072DA">
        <w:rPr>
          <w:lang w:val="bg-BG"/>
        </w:rPr>
        <w:t>Член 10.02</w:t>
      </w:r>
      <w:r w:rsidRPr="009072DA">
        <w:rPr>
          <w:lang w:val="bg-BG"/>
        </w:rPr>
        <w:br/>
      </w:r>
      <w:r w:rsidRPr="009072DA">
        <w:rPr>
          <w:i/>
          <w:lang w:val="bg-BG"/>
        </w:rPr>
        <w:t>Електроснабдителни системи</w:t>
      </w:r>
      <w:bookmarkEnd w:id="162"/>
      <w:bookmarkEnd w:id="163"/>
    </w:p>
    <w:p w:rsidR="008A12E7" w:rsidRPr="009072DA" w:rsidRDefault="008A12E7" w:rsidP="008A12E7">
      <w:pPr>
        <w:rPr>
          <w:rFonts w:cs="Arial"/>
          <w:szCs w:val="20"/>
          <w:lang w:val="bg-BG"/>
        </w:rPr>
      </w:pPr>
    </w:p>
    <w:p w:rsidR="001F02E6" w:rsidRPr="009072DA" w:rsidRDefault="001F02E6" w:rsidP="001F02E6">
      <w:pPr>
        <w:pStyle w:val="ESch"/>
        <w:rPr>
          <w:rFonts w:eastAsia="Calibri"/>
          <w:lang w:val="bg-BG"/>
        </w:rPr>
      </w:pPr>
      <w:r w:rsidRPr="009072DA">
        <w:rPr>
          <w:lang w:val="bg-BG"/>
        </w:rPr>
        <w:t>1.</w:t>
      </w:r>
      <w:r w:rsidRPr="009072DA">
        <w:rPr>
          <w:lang w:val="bg-BG"/>
        </w:rPr>
        <w:tab/>
        <w:t>Когато плавателното средство е оборудвано с електрическа система, тази инсталация трябва да има поне два източника на енергия, така че при повреда на единия източник на енергия другият да може да захранва потребителското оборудване, необходимо за безопасната експлоатация в продължение на най-малко 30 минути.</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2.</w:t>
      </w:r>
      <w:r w:rsidRPr="009072DA">
        <w:rPr>
          <w:lang w:val="bg-BG"/>
        </w:rPr>
        <w:tab/>
        <w:t>Подходящото оразмеряване на електрическото захранване се доказва посредством изчисляване на потреблението. Съответен коефициент на използване може да бъде взет предвид.</w:t>
      </w:r>
    </w:p>
    <w:p w:rsidR="001F02E6" w:rsidRPr="009072DA" w:rsidRDefault="001F02E6" w:rsidP="001F02E6">
      <w:pPr>
        <w:pStyle w:val="ESch"/>
        <w:rPr>
          <w:rFonts w:eastAsia="Calibri"/>
          <w:lang w:val="bg-BG"/>
        </w:rPr>
      </w:pPr>
    </w:p>
    <w:p w:rsidR="00481591" w:rsidRPr="009072DA" w:rsidRDefault="001F02E6" w:rsidP="001F02E6">
      <w:pPr>
        <w:pStyle w:val="ESch"/>
        <w:rPr>
          <w:lang w:val="bg-BG"/>
        </w:rPr>
      </w:pPr>
      <w:r w:rsidRPr="009072DA">
        <w:rPr>
          <w:lang w:val="bg-BG"/>
        </w:rPr>
        <w:t>3.</w:t>
      </w:r>
      <w:r w:rsidRPr="009072DA">
        <w:rPr>
          <w:lang w:val="bg-BG"/>
        </w:rPr>
        <w:tab/>
        <w:t>Независимо от точка 1 по горе, член 6.04 се прилага за източници на енергия за рулеви системи.</w:t>
      </w:r>
    </w:p>
    <w:p w:rsidR="008A12E7" w:rsidRPr="009072DA" w:rsidRDefault="008A12E7" w:rsidP="001F02E6">
      <w:pPr>
        <w:pStyle w:val="ESch"/>
        <w:rPr>
          <w:rFonts w:eastAsia="Calibri"/>
          <w:lang w:val="bg-BG"/>
        </w:rPr>
      </w:pPr>
      <w:r w:rsidRPr="009072DA">
        <w:rPr>
          <w:lang w:val="bg-BG"/>
        </w:rPr>
        <w:br w:type="page"/>
      </w:r>
    </w:p>
    <w:p w:rsidR="008A12E7" w:rsidRPr="009072DA" w:rsidRDefault="008A12E7" w:rsidP="008A12E7">
      <w:pPr>
        <w:pStyle w:val="ES-Titre3"/>
        <w:rPr>
          <w:i/>
          <w:lang w:val="bg-BG"/>
        </w:rPr>
      </w:pPr>
      <w:bookmarkStart w:id="164" w:name="_Toc491854080"/>
      <w:bookmarkStart w:id="165" w:name="_Toc535827521"/>
      <w:r w:rsidRPr="009072DA">
        <w:rPr>
          <w:lang w:val="bg-BG"/>
        </w:rPr>
        <w:lastRenderedPageBreak/>
        <w:t>Член 10.03</w:t>
      </w:r>
      <w:r w:rsidRPr="009072DA">
        <w:rPr>
          <w:lang w:val="bg-BG"/>
        </w:rPr>
        <w:br/>
      </w:r>
      <w:r w:rsidRPr="009072DA">
        <w:rPr>
          <w:i/>
          <w:lang w:val="bg-BG"/>
        </w:rPr>
        <w:t>Защита срещу достъп до опасни части, срещу чужди твърди тела и проникване на вода</w:t>
      </w:r>
      <w:bookmarkEnd w:id="164"/>
      <w:bookmarkEnd w:id="165"/>
    </w:p>
    <w:p w:rsidR="008A12E7" w:rsidRPr="009072DA" w:rsidRDefault="008A12E7" w:rsidP="008A12E7">
      <w:pPr>
        <w:rPr>
          <w:rFonts w:cs="Arial"/>
          <w:szCs w:val="20"/>
          <w:lang w:val="bg-BG"/>
        </w:rPr>
      </w:pPr>
    </w:p>
    <w:p w:rsidR="001F02E6" w:rsidRPr="009072DA" w:rsidRDefault="001F02E6" w:rsidP="001F02E6">
      <w:pPr>
        <w:pStyle w:val="ESgauche"/>
        <w:rPr>
          <w:rFonts w:eastAsia="Calibri"/>
          <w:noProof w:val="0"/>
          <w:lang w:val="bg-BG"/>
        </w:rPr>
      </w:pPr>
      <w:r w:rsidRPr="009072DA">
        <w:rPr>
          <w:noProof w:val="0"/>
          <w:lang w:val="bg-BG"/>
        </w:rPr>
        <w:t>Видовете минимална защита за части на трайна електрическа инсталация са изложени в следната таблица:</w:t>
      </w:r>
    </w:p>
    <w:p w:rsidR="008A12E7" w:rsidRPr="009072DA" w:rsidRDefault="008A12E7" w:rsidP="008A12E7">
      <w:pPr>
        <w:rPr>
          <w:rFonts w:cs="Arial"/>
          <w:szCs w:val="20"/>
          <w:lang w:val="bg-BG"/>
        </w:rPr>
      </w:pPr>
    </w:p>
    <w:tbl>
      <w:tblPr>
        <w:tblW w:w="9356" w:type="dxa"/>
        <w:tblInd w:w="8" w:type="dxa"/>
        <w:tblLayout w:type="fixed"/>
        <w:tblCellMar>
          <w:left w:w="0" w:type="dxa"/>
          <w:right w:w="0" w:type="dxa"/>
        </w:tblCellMar>
        <w:tblLook w:val="0000" w:firstRow="0" w:lastRow="0" w:firstColumn="0" w:lastColumn="0" w:noHBand="0" w:noVBand="0"/>
      </w:tblPr>
      <w:tblGrid>
        <w:gridCol w:w="2835"/>
        <w:gridCol w:w="1080"/>
        <w:gridCol w:w="960"/>
        <w:gridCol w:w="960"/>
        <w:gridCol w:w="1253"/>
        <w:gridCol w:w="1154"/>
        <w:gridCol w:w="1114"/>
      </w:tblGrid>
      <w:tr w:rsidR="001F02E6" w:rsidRPr="008D2440" w:rsidTr="001F02E6">
        <w:trPr>
          <w:cantSplit/>
        </w:trPr>
        <w:tc>
          <w:tcPr>
            <w:tcW w:w="2835" w:type="dxa"/>
            <w:tcBorders>
              <w:top w:val="single" w:sz="6" w:space="0" w:color="auto"/>
              <w:left w:val="single" w:sz="6" w:space="0" w:color="auto"/>
              <w:right w:val="single" w:sz="6" w:space="0" w:color="auto"/>
            </w:tcBorders>
          </w:tcPr>
          <w:p w:rsidR="001F02E6" w:rsidRPr="009072DA" w:rsidRDefault="001F02E6" w:rsidP="001F02E6">
            <w:pPr>
              <w:keepNext/>
              <w:keepLines/>
              <w:spacing w:before="60" w:after="60" w:line="240" w:lineRule="atLeast"/>
              <w:jc w:val="center"/>
              <w:rPr>
                <w:rFonts w:eastAsia="Calibri" w:cs="Arial"/>
                <w:sz w:val="18"/>
                <w:szCs w:val="18"/>
                <w:lang w:val="bg-BG"/>
              </w:rPr>
            </w:pPr>
          </w:p>
        </w:tc>
        <w:tc>
          <w:tcPr>
            <w:tcW w:w="6521" w:type="dxa"/>
            <w:gridSpan w:val="6"/>
            <w:tcBorders>
              <w:top w:val="single" w:sz="6" w:space="0" w:color="auto"/>
              <w:left w:val="nil"/>
              <w:bottom w:val="single" w:sz="6" w:space="0" w:color="auto"/>
              <w:right w:val="single" w:sz="6" w:space="0" w:color="auto"/>
            </w:tcBorders>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Вид минимална защита в съответствие с европейски стандарт EN 60529: 2014</w:t>
            </w:r>
          </w:p>
        </w:tc>
      </w:tr>
      <w:tr w:rsidR="001F02E6" w:rsidRPr="009072DA" w:rsidTr="001F02E6">
        <w:trPr>
          <w:cantSplit/>
          <w:trHeight w:val="668"/>
        </w:trPr>
        <w:tc>
          <w:tcPr>
            <w:tcW w:w="2835" w:type="dxa"/>
            <w:tcBorders>
              <w:left w:val="single" w:sz="6" w:space="0" w:color="auto"/>
              <w:bottom w:val="single" w:sz="12" w:space="0" w:color="auto"/>
              <w:right w:val="single" w:sz="6" w:space="0" w:color="auto"/>
            </w:tcBorders>
          </w:tcPr>
          <w:p w:rsidR="001F02E6" w:rsidRPr="009072DA" w:rsidRDefault="001F02E6" w:rsidP="001F02E6">
            <w:pPr>
              <w:keepNext/>
              <w:keepLines/>
              <w:spacing w:before="60" w:after="60" w:line="240" w:lineRule="atLeast"/>
              <w:jc w:val="center"/>
              <w:rPr>
                <w:rFonts w:eastAsia="Calibri" w:cs="Arial"/>
                <w:sz w:val="18"/>
                <w:szCs w:val="18"/>
                <w:lang w:val="bg-BG"/>
              </w:rPr>
            </w:pPr>
            <w:r w:rsidRPr="009072DA">
              <w:rPr>
                <w:sz w:val="18"/>
                <w:lang w:val="bg-BG"/>
              </w:rPr>
              <w:t>Местоположение</w:t>
            </w:r>
          </w:p>
        </w:tc>
        <w:tc>
          <w:tcPr>
            <w:tcW w:w="1080" w:type="dxa"/>
            <w:tcBorders>
              <w:top w:val="single" w:sz="6" w:space="0" w:color="auto"/>
              <w:left w:val="nil"/>
              <w:bottom w:val="single" w:sz="12" w:space="0" w:color="auto"/>
              <w:right w:val="single" w:sz="6" w:space="0" w:color="auto"/>
            </w:tcBorders>
          </w:tcPr>
          <w:p w:rsidR="001F02E6" w:rsidRPr="009072DA" w:rsidRDefault="001F02E6" w:rsidP="00481591">
            <w:pPr>
              <w:keepNext/>
              <w:keepLines/>
              <w:spacing w:before="40" w:after="40" w:line="220" w:lineRule="atLeast"/>
              <w:jc w:val="center"/>
              <w:rPr>
                <w:rFonts w:eastAsia="Calibri" w:cs="Arial"/>
                <w:sz w:val="18"/>
                <w:szCs w:val="18"/>
                <w:lang w:val="bg-BG"/>
              </w:rPr>
            </w:pPr>
            <w:r w:rsidRPr="009072DA">
              <w:rPr>
                <w:sz w:val="18"/>
                <w:lang w:val="bg-BG"/>
              </w:rPr>
              <w:t>Генератори</w:t>
            </w:r>
          </w:p>
        </w:tc>
        <w:tc>
          <w:tcPr>
            <w:tcW w:w="960" w:type="dxa"/>
            <w:tcBorders>
              <w:top w:val="single" w:sz="6" w:space="0" w:color="auto"/>
              <w:left w:val="single" w:sz="6" w:space="0" w:color="auto"/>
              <w:bottom w:val="single" w:sz="12" w:space="0" w:color="auto"/>
              <w:right w:val="single" w:sz="6" w:space="0" w:color="auto"/>
            </w:tcBorders>
          </w:tcPr>
          <w:p w:rsidR="001F02E6" w:rsidRPr="009072DA" w:rsidRDefault="001F02E6" w:rsidP="00481591">
            <w:pPr>
              <w:keepNext/>
              <w:keepLines/>
              <w:spacing w:before="40" w:after="40" w:line="220" w:lineRule="atLeast"/>
              <w:jc w:val="center"/>
              <w:rPr>
                <w:rFonts w:eastAsia="Calibri" w:cs="Arial"/>
                <w:sz w:val="18"/>
                <w:szCs w:val="18"/>
                <w:lang w:val="bg-BG"/>
              </w:rPr>
            </w:pPr>
            <w:r w:rsidRPr="009072DA">
              <w:rPr>
                <w:sz w:val="18"/>
                <w:lang w:val="bg-BG"/>
              </w:rPr>
              <w:t>Двигатели</w:t>
            </w:r>
          </w:p>
        </w:tc>
        <w:tc>
          <w:tcPr>
            <w:tcW w:w="960" w:type="dxa"/>
            <w:tcBorders>
              <w:top w:val="single" w:sz="6" w:space="0" w:color="auto"/>
              <w:left w:val="single" w:sz="6" w:space="0" w:color="auto"/>
              <w:bottom w:val="single" w:sz="12" w:space="0" w:color="auto"/>
              <w:right w:val="single" w:sz="6" w:space="0" w:color="auto"/>
            </w:tcBorders>
          </w:tcPr>
          <w:p w:rsidR="001F02E6" w:rsidRPr="009072DA" w:rsidRDefault="001F02E6" w:rsidP="00481591">
            <w:pPr>
              <w:keepNext/>
              <w:keepLines/>
              <w:spacing w:before="40" w:after="40" w:line="220" w:lineRule="atLeast"/>
              <w:jc w:val="center"/>
              <w:rPr>
                <w:rFonts w:eastAsia="Calibri" w:cs="Arial"/>
                <w:sz w:val="18"/>
                <w:szCs w:val="18"/>
                <w:lang w:val="bg-BG"/>
              </w:rPr>
            </w:pPr>
            <w:r w:rsidRPr="009072DA">
              <w:rPr>
                <w:sz w:val="18"/>
                <w:lang w:val="bg-BG"/>
              </w:rPr>
              <w:t>Транс</w:t>
            </w:r>
            <w:r w:rsidR="00DC50C7">
              <w:rPr>
                <w:sz w:val="18"/>
                <w:lang w:val="bg-BG"/>
              </w:rPr>
              <w:t>-</w:t>
            </w:r>
            <w:r w:rsidRPr="009072DA">
              <w:rPr>
                <w:sz w:val="18"/>
                <w:szCs w:val="18"/>
                <w:lang w:val="bg-BG"/>
              </w:rPr>
              <w:br/>
            </w:r>
            <w:r w:rsidRPr="009072DA">
              <w:rPr>
                <w:sz w:val="18"/>
                <w:lang w:val="bg-BG"/>
              </w:rPr>
              <w:t>форматори</w:t>
            </w:r>
          </w:p>
        </w:tc>
        <w:tc>
          <w:tcPr>
            <w:tcW w:w="1253" w:type="dxa"/>
            <w:tcBorders>
              <w:top w:val="single" w:sz="6" w:space="0" w:color="auto"/>
              <w:left w:val="single" w:sz="6" w:space="0" w:color="auto"/>
              <w:bottom w:val="single" w:sz="12" w:space="0" w:color="auto"/>
              <w:right w:val="single" w:sz="6" w:space="0" w:color="auto"/>
            </w:tcBorders>
          </w:tcPr>
          <w:p w:rsidR="001F02E6" w:rsidRPr="009072DA" w:rsidRDefault="001F02E6" w:rsidP="00481591">
            <w:pPr>
              <w:keepNext/>
              <w:keepLines/>
              <w:spacing w:before="40" w:after="40" w:line="220" w:lineRule="atLeast"/>
              <w:jc w:val="center"/>
              <w:rPr>
                <w:rFonts w:eastAsia="Calibri" w:cs="Arial"/>
                <w:sz w:val="18"/>
                <w:szCs w:val="18"/>
                <w:lang w:val="bg-BG"/>
              </w:rPr>
            </w:pPr>
            <w:r w:rsidRPr="009072DA">
              <w:rPr>
                <w:sz w:val="18"/>
                <w:lang w:val="bg-BG"/>
              </w:rPr>
              <w:t>Разпределителни табла</w:t>
            </w:r>
            <w:r w:rsidRPr="009072DA">
              <w:rPr>
                <w:sz w:val="18"/>
                <w:szCs w:val="18"/>
                <w:lang w:val="bg-BG"/>
              </w:rPr>
              <w:br/>
            </w:r>
            <w:r w:rsidRPr="009072DA">
              <w:rPr>
                <w:sz w:val="18"/>
                <w:lang w:val="bg-BG"/>
              </w:rPr>
              <w:t>Разпределение</w:t>
            </w:r>
            <w:r w:rsidRPr="009072DA">
              <w:rPr>
                <w:sz w:val="18"/>
                <w:szCs w:val="18"/>
                <w:lang w:val="bg-BG"/>
              </w:rPr>
              <w:br/>
            </w:r>
            <w:r w:rsidRPr="009072DA">
              <w:rPr>
                <w:sz w:val="18"/>
                <w:lang w:val="bg-BG"/>
              </w:rPr>
              <w:t>Превключватели</w:t>
            </w:r>
          </w:p>
        </w:tc>
        <w:tc>
          <w:tcPr>
            <w:tcW w:w="1154" w:type="dxa"/>
            <w:tcBorders>
              <w:top w:val="single" w:sz="6" w:space="0" w:color="auto"/>
              <w:left w:val="single" w:sz="6" w:space="0" w:color="auto"/>
              <w:bottom w:val="single" w:sz="12" w:space="0" w:color="auto"/>
              <w:right w:val="single" w:sz="6" w:space="0" w:color="auto"/>
            </w:tcBorders>
          </w:tcPr>
          <w:p w:rsidR="001F02E6" w:rsidRPr="009072DA" w:rsidRDefault="001F02E6" w:rsidP="00481591">
            <w:pPr>
              <w:keepNext/>
              <w:keepLines/>
              <w:spacing w:before="40" w:after="40" w:line="220" w:lineRule="atLeast"/>
              <w:jc w:val="center"/>
              <w:rPr>
                <w:rFonts w:eastAsia="Calibri" w:cs="Arial"/>
                <w:sz w:val="18"/>
                <w:szCs w:val="18"/>
                <w:lang w:val="bg-BG"/>
              </w:rPr>
            </w:pPr>
            <w:r w:rsidRPr="009072DA">
              <w:rPr>
                <w:sz w:val="18"/>
                <w:lang w:val="bg-BG"/>
              </w:rPr>
              <w:t>Арматура за инсталации</w:t>
            </w:r>
            <w:r w:rsidRPr="009072DA">
              <w:rPr>
                <w:sz w:val="18"/>
                <w:vertAlign w:val="superscript"/>
                <w:lang w:val="bg-BG"/>
              </w:rPr>
              <w:t>(4)</w:t>
            </w:r>
          </w:p>
        </w:tc>
        <w:tc>
          <w:tcPr>
            <w:tcW w:w="1114" w:type="dxa"/>
            <w:tcBorders>
              <w:top w:val="single" w:sz="6" w:space="0" w:color="auto"/>
              <w:left w:val="single" w:sz="6" w:space="0" w:color="auto"/>
              <w:bottom w:val="single" w:sz="12" w:space="0" w:color="auto"/>
              <w:right w:val="single" w:sz="6" w:space="0" w:color="auto"/>
            </w:tcBorders>
          </w:tcPr>
          <w:p w:rsidR="001F02E6" w:rsidRPr="009072DA" w:rsidRDefault="001F02E6" w:rsidP="00481591">
            <w:pPr>
              <w:keepNext/>
              <w:keepLines/>
              <w:spacing w:before="40" w:after="40" w:line="220" w:lineRule="atLeast"/>
              <w:jc w:val="center"/>
              <w:rPr>
                <w:rFonts w:eastAsia="Calibri" w:cs="Arial"/>
                <w:sz w:val="18"/>
                <w:szCs w:val="18"/>
                <w:lang w:val="bg-BG"/>
              </w:rPr>
            </w:pPr>
            <w:r w:rsidRPr="009072DA">
              <w:rPr>
                <w:sz w:val="18"/>
                <w:lang w:val="bg-BG"/>
              </w:rPr>
              <w:t>Осветителни уреди/пожарни датчици</w:t>
            </w:r>
          </w:p>
        </w:tc>
      </w:tr>
      <w:tr w:rsidR="001F02E6" w:rsidRPr="009072DA" w:rsidTr="00481591">
        <w:trPr>
          <w:cantSplit/>
        </w:trPr>
        <w:tc>
          <w:tcPr>
            <w:tcW w:w="2835" w:type="dxa"/>
            <w:tcBorders>
              <w:top w:val="single" w:sz="12" w:space="0" w:color="auto"/>
              <w:left w:val="single" w:sz="6" w:space="0" w:color="auto"/>
              <w:bottom w:val="single" w:sz="6" w:space="0" w:color="auto"/>
              <w:right w:val="single" w:sz="6" w:space="0" w:color="auto"/>
            </w:tcBorders>
          </w:tcPr>
          <w:p w:rsidR="001F02E6" w:rsidRPr="009072DA"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bg-BG"/>
              </w:rPr>
            </w:pPr>
            <w:r w:rsidRPr="009072DA">
              <w:rPr>
                <w:sz w:val="18"/>
                <w:lang w:val="bg-BG"/>
              </w:rPr>
              <w:t xml:space="preserve">Оперативни рубки, машинни отделения и помещения на рулевия апарат </w:t>
            </w:r>
            <w:r w:rsidRPr="009072DA">
              <w:rPr>
                <w:lang w:val="bg-BG"/>
              </w:rPr>
              <w:tab/>
            </w:r>
            <w:r w:rsidRPr="009072DA">
              <w:rPr>
                <w:lang w:val="bg-BG"/>
              </w:rPr>
              <w:tab/>
            </w:r>
          </w:p>
        </w:tc>
        <w:tc>
          <w:tcPr>
            <w:tcW w:w="1080" w:type="dxa"/>
            <w:tcBorders>
              <w:top w:val="single" w:sz="12" w:space="0" w:color="auto"/>
              <w:left w:val="nil"/>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22</w:t>
            </w:r>
          </w:p>
        </w:tc>
        <w:tc>
          <w:tcPr>
            <w:tcW w:w="960" w:type="dxa"/>
            <w:tcBorders>
              <w:top w:val="single" w:sz="12"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22</w:t>
            </w:r>
          </w:p>
        </w:tc>
        <w:tc>
          <w:tcPr>
            <w:tcW w:w="960" w:type="dxa"/>
            <w:tcBorders>
              <w:top w:val="single" w:sz="12"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22</w:t>
            </w:r>
            <w:r w:rsidRPr="009072DA">
              <w:rPr>
                <w:sz w:val="18"/>
                <w:vertAlign w:val="superscript"/>
                <w:lang w:val="bg-BG"/>
              </w:rPr>
              <w:t>(2)</w:t>
            </w:r>
          </w:p>
        </w:tc>
        <w:tc>
          <w:tcPr>
            <w:tcW w:w="1253" w:type="dxa"/>
            <w:tcBorders>
              <w:top w:val="single" w:sz="12"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22</w:t>
            </w:r>
            <w:r w:rsidRPr="009072DA">
              <w:rPr>
                <w:sz w:val="18"/>
                <w:vertAlign w:val="superscript"/>
                <w:lang w:val="bg-BG"/>
              </w:rPr>
              <w:t>(1) (2)</w:t>
            </w:r>
          </w:p>
        </w:tc>
        <w:tc>
          <w:tcPr>
            <w:tcW w:w="1154" w:type="dxa"/>
            <w:tcBorders>
              <w:top w:val="single" w:sz="12"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44</w:t>
            </w:r>
          </w:p>
        </w:tc>
        <w:tc>
          <w:tcPr>
            <w:tcW w:w="1114" w:type="dxa"/>
            <w:tcBorders>
              <w:top w:val="single" w:sz="12"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22</w:t>
            </w:r>
          </w:p>
        </w:tc>
      </w:tr>
      <w:tr w:rsidR="001F02E6" w:rsidRPr="009072DA" w:rsidTr="00481591">
        <w:trPr>
          <w:cantSplit/>
          <w:trHeight w:val="292"/>
        </w:trPr>
        <w:tc>
          <w:tcPr>
            <w:tcW w:w="2835" w:type="dxa"/>
            <w:tcBorders>
              <w:top w:val="single" w:sz="6" w:space="0" w:color="auto"/>
              <w:left w:val="single" w:sz="6" w:space="0" w:color="auto"/>
              <w:bottom w:val="single" w:sz="6" w:space="0" w:color="auto"/>
              <w:right w:val="single" w:sz="6" w:space="0" w:color="auto"/>
            </w:tcBorders>
          </w:tcPr>
          <w:p w:rsidR="001F02E6" w:rsidRPr="009072DA"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bg-BG"/>
              </w:rPr>
            </w:pPr>
            <w:r w:rsidRPr="009072DA">
              <w:rPr>
                <w:sz w:val="18"/>
                <w:lang w:val="bg-BG"/>
              </w:rPr>
              <w:t xml:space="preserve">Трюмове </w:t>
            </w:r>
            <w:r w:rsidRPr="009072DA">
              <w:rPr>
                <w:lang w:val="bg-BG"/>
              </w:rPr>
              <w:tab/>
            </w:r>
          </w:p>
        </w:tc>
        <w:tc>
          <w:tcPr>
            <w:tcW w:w="1080" w:type="dxa"/>
            <w:tcBorders>
              <w:top w:val="single" w:sz="6" w:space="0" w:color="auto"/>
              <w:left w:val="nil"/>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55</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55</w:t>
            </w:r>
          </w:p>
        </w:tc>
      </w:tr>
      <w:tr w:rsidR="001F02E6" w:rsidRPr="009072DA"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9072DA"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bg-BG"/>
              </w:rPr>
            </w:pPr>
            <w:r w:rsidRPr="009072DA">
              <w:rPr>
                <w:sz w:val="18"/>
                <w:lang w:val="bg-BG"/>
              </w:rPr>
              <w:t xml:space="preserve">Помещения за акумулатори и шкафове за бои </w:t>
            </w:r>
            <w:r w:rsidRPr="009072DA">
              <w:rPr>
                <w:lang w:val="bg-BG"/>
              </w:rPr>
              <w:tab/>
            </w:r>
          </w:p>
        </w:tc>
        <w:tc>
          <w:tcPr>
            <w:tcW w:w="1080" w:type="dxa"/>
            <w:tcBorders>
              <w:top w:val="single" w:sz="6" w:space="0" w:color="auto"/>
              <w:left w:val="nil"/>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44 и (Ex)</w:t>
            </w:r>
            <w:r w:rsidRPr="009072DA">
              <w:rPr>
                <w:sz w:val="18"/>
                <w:vertAlign w:val="superscript"/>
                <w:lang w:val="bg-BG"/>
              </w:rPr>
              <w:t>(3)</w:t>
            </w:r>
          </w:p>
        </w:tc>
      </w:tr>
      <w:tr w:rsidR="001F02E6" w:rsidRPr="009072DA"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9072DA"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bg-BG"/>
              </w:rPr>
            </w:pPr>
            <w:r w:rsidRPr="009072DA">
              <w:rPr>
                <w:sz w:val="18"/>
                <w:lang w:val="bg-BG"/>
              </w:rPr>
              <w:t xml:space="preserve">Открити палуби и открити постове за управление </w:t>
            </w:r>
            <w:r w:rsidRPr="009072DA">
              <w:rPr>
                <w:lang w:val="bg-BG"/>
              </w:rPr>
              <w:tab/>
            </w:r>
          </w:p>
        </w:tc>
        <w:tc>
          <w:tcPr>
            <w:tcW w:w="1080" w:type="dxa"/>
            <w:tcBorders>
              <w:top w:val="single" w:sz="6" w:space="0" w:color="auto"/>
              <w:left w:val="nil"/>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55</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55</w:t>
            </w:r>
          </w:p>
        </w:tc>
      </w:tr>
      <w:tr w:rsidR="001F02E6" w:rsidRPr="009072DA"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9072DA"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bg-BG"/>
              </w:rPr>
            </w:pPr>
            <w:r w:rsidRPr="009072DA">
              <w:rPr>
                <w:sz w:val="18"/>
                <w:lang w:val="bg-BG"/>
              </w:rPr>
              <w:t xml:space="preserve">Затворена рулева рубка </w:t>
            </w:r>
            <w:r w:rsidRPr="009072DA">
              <w:rPr>
                <w:lang w:val="bg-BG"/>
              </w:rPr>
              <w:tab/>
            </w:r>
          </w:p>
        </w:tc>
        <w:tc>
          <w:tcPr>
            <w:tcW w:w="1080" w:type="dxa"/>
            <w:tcBorders>
              <w:top w:val="single" w:sz="6" w:space="0" w:color="auto"/>
              <w:left w:val="nil"/>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22</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22</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22</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22</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22</w:t>
            </w:r>
          </w:p>
        </w:tc>
      </w:tr>
      <w:tr w:rsidR="001F02E6" w:rsidRPr="009072DA"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9072DA"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bg-BG"/>
              </w:rPr>
            </w:pPr>
            <w:r w:rsidRPr="009072DA">
              <w:rPr>
                <w:sz w:val="18"/>
                <w:lang w:val="bg-BG"/>
              </w:rPr>
              <w:t xml:space="preserve">Жилищни помещения с изключение на санитарни и мокри помещения </w:t>
            </w:r>
            <w:r w:rsidRPr="009072DA">
              <w:rPr>
                <w:lang w:val="bg-BG"/>
              </w:rPr>
              <w:tab/>
            </w:r>
          </w:p>
        </w:tc>
        <w:tc>
          <w:tcPr>
            <w:tcW w:w="1080" w:type="dxa"/>
            <w:tcBorders>
              <w:top w:val="single" w:sz="6" w:space="0" w:color="auto"/>
              <w:left w:val="nil"/>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22</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20</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20</w:t>
            </w:r>
          </w:p>
        </w:tc>
      </w:tr>
      <w:tr w:rsidR="001F02E6" w:rsidRPr="009072DA"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9072DA"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bg-BG"/>
              </w:rPr>
            </w:pPr>
            <w:r w:rsidRPr="009072DA">
              <w:rPr>
                <w:sz w:val="18"/>
                <w:lang w:val="bg-BG"/>
              </w:rPr>
              <w:t xml:space="preserve">Санитарни и мокри помещения </w:t>
            </w:r>
            <w:r w:rsidRPr="009072DA">
              <w:rPr>
                <w:lang w:val="bg-BG"/>
              </w:rPr>
              <w:tab/>
            </w:r>
          </w:p>
        </w:tc>
        <w:tc>
          <w:tcPr>
            <w:tcW w:w="1080" w:type="dxa"/>
            <w:tcBorders>
              <w:top w:val="single" w:sz="6" w:space="0" w:color="auto"/>
              <w:left w:val="nil"/>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44</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44</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44</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9072DA" w:rsidRDefault="001F02E6" w:rsidP="00481591">
            <w:pPr>
              <w:keepNext/>
              <w:keepLines/>
              <w:spacing w:before="60" w:after="60" w:line="240" w:lineRule="atLeast"/>
              <w:jc w:val="center"/>
              <w:rPr>
                <w:rFonts w:eastAsia="Calibri" w:cs="Arial"/>
                <w:sz w:val="18"/>
                <w:szCs w:val="18"/>
                <w:lang w:val="bg-BG"/>
              </w:rPr>
            </w:pPr>
            <w:r w:rsidRPr="009072DA">
              <w:rPr>
                <w:sz w:val="18"/>
                <w:lang w:val="bg-BG"/>
              </w:rPr>
              <w:t>IP 44</w:t>
            </w:r>
          </w:p>
        </w:tc>
      </w:tr>
      <w:tr w:rsidR="001F02E6" w:rsidRPr="008D2440" w:rsidTr="001F02E6">
        <w:trPr>
          <w:cantSplit/>
        </w:trPr>
        <w:tc>
          <w:tcPr>
            <w:tcW w:w="9356" w:type="dxa"/>
            <w:gridSpan w:val="7"/>
            <w:tcBorders>
              <w:top w:val="single" w:sz="6" w:space="0" w:color="auto"/>
              <w:left w:val="single" w:sz="6" w:space="0" w:color="auto"/>
              <w:bottom w:val="single" w:sz="6" w:space="0" w:color="auto"/>
              <w:right w:val="single" w:sz="6" w:space="0" w:color="auto"/>
            </w:tcBorders>
          </w:tcPr>
          <w:p w:rsidR="001F02E6" w:rsidRPr="009072DA" w:rsidRDefault="001F02E6" w:rsidP="001F02E6">
            <w:pPr>
              <w:widowControl w:val="0"/>
              <w:tabs>
                <w:tab w:val="left" w:pos="142"/>
              </w:tabs>
              <w:overflowPunct w:val="0"/>
              <w:adjustRightInd w:val="0"/>
              <w:spacing w:before="40" w:after="20" w:line="240" w:lineRule="atLeast"/>
              <w:ind w:left="57"/>
              <w:textAlignment w:val="baseline"/>
              <w:rPr>
                <w:rFonts w:eastAsia="Calibri" w:cs="Arial"/>
                <w:sz w:val="18"/>
                <w:szCs w:val="18"/>
                <w:lang w:val="bg-BG"/>
              </w:rPr>
            </w:pPr>
            <w:r w:rsidRPr="009072DA">
              <w:rPr>
                <w:sz w:val="18"/>
                <w:lang w:val="bg-BG"/>
              </w:rPr>
              <w:t>Забележки:</w:t>
            </w:r>
          </w:p>
          <w:p w:rsidR="001F02E6" w:rsidRPr="009072DA" w:rsidRDefault="001F02E6" w:rsidP="001F02E6">
            <w:pPr>
              <w:widowControl w:val="0"/>
              <w:overflowPunct w:val="0"/>
              <w:adjustRightInd w:val="0"/>
              <w:spacing w:before="20" w:after="20"/>
              <w:ind w:left="426" w:hanging="369"/>
              <w:textAlignment w:val="baseline"/>
              <w:rPr>
                <w:rFonts w:eastAsia="Calibri" w:cs="Arial"/>
                <w:sz w:val="18"/>
                <w:szCs w:val="18"/>
                <w:lang w:val="bg-BG"/>
              </w:rPr>
            </w:pPr>
            <w:r w:rsidRPr="009072DA">
              <w:rPr>
                <w:sz w:val="18"/>
                <w:vertAlign w:val="superscript"/>
                <w:lang w:val="bg-BG"/>
              </w:rPr>
              <w:t>(1)</w:t>
            </w:r>
            <w:r w:rsidRPr="009072DA">
              <w:rPr>
                <w:lang w:val="bg-BG"/>
              </w:rPr>
              <w:tab/>
            </w:r>
            <w:r w:rsidRPr="009072DA">
              <w:rPr>
                <w:sz w:val="18"/>
                <w:lang w:val="bg-BG"/>
              </w:rPr>
              <w:t>Когато оборудването отделя големи количества топлина: IP 12.</w:t>
            </w:r>
          </w:p>
          <w:p w:rsidR="001F02E6" w:rsidRPr="009072DA" w:rsidRDefault="001F02E6" w:rsidP="001F02E6">
            <w:pPr>
              <w:widowControl w:val="0"/>
              <w:overflowPunct w:val="0"/>
              <w:adjustRightInd w:val="0"/>
              <w:spacing w:before="20" w:after="20"/>
              <w:ind w:left="426" w:hanging="369"/>
              <w:textAlignment w:val="baseline"/>
              <w:rPr>
                <w:rFonts w:eastAsia="Calibri" w:cs="Arial"/>
                <w:sz w:val="18"/>
                <w:szCs w:val="18"/>
                <w:lang w:val="bg-BG"/>
              </w:rPr>
            </w:pPr>
            <w:r w:rsidRPr="009072DA">
              <w:rPr>
                <w:sz w:val="18"/>
                <w:vertAlign w:val="superscript"/>
                <w:lang w:val="bg-BG"/>
              </w:rPr>
              <w:t>(2)</w:t>
            </w:r>
            <w:r w:rsidRPr="009072DA">
              <w:rPr>
                <w:lang w:val="bg-BG"/>
              </w:rPr>
              <w:tab/>
            </w:r>
            <w:r w:rsidRPr="009072DA">
              <w:rPr>
                <w:sz w:val="18"/>
                <w:lang w:val="bg-BG"/>
              </w:rPr>
              <w:t>Когато видът защита не е осигурен от самото оборудване, местоположението на оборудването трябва да отговаря на условията, посочени в таблицата.</w:t>
            </w:r>
          </w:p>
          <w:p w:rsidR="001F02E6" w:rsidRPr="009072DA" w:rsidRDefault="001F02E6" w:rsidP="001F02E6">
            <w:pPr>
              <w:widowControl w:val="0"/>
              <w:tabs>
                <w:tab w:val="left" w:pos="567"/>
              </w:tabs>
              <w:overflowPunct w:val="0"/>
              <w:adjustRightInd w:val="0"/>
              <w:spacing w:before="20" w:after="20"/>
              <w:ind w:left="426" w:hanging="369"/>
              <w:textAlignment w:val="baseline"/>
              <w:rPr>
                <w:rFonts w:eastAsia="Calibri" w:cs="Arial"/>
                <w:sz w:val="18"/>
                <w:szCs w:val="18"/>
                <w:lang w:val="bg-BG"/>
              </w:rPr>
            </w:pPr>
            <w:r w:rsidRPr="009072DA">
              <w:rPr>
                <w:sz w:val="18"/>
                <w:vertAlign w:val="superscript"/>
                <w:lang w:val="bg-BG"/>
              </w:rPr>
              <w:t>(3)</w:t>
            </w:r>
            <w:r w:rsidRPr="009072DA">
              <w:rPr>
                <w:lang w:val="bg-BG"/>
              </w:rPr>
              <w:tab/>
            </w:r>
            <w:r w:rsidRPr="009072DA">
              <w:rPr>
                <w:sz w:val="18"/>
                <w:lang w:val="bg-BG"/>
              </w:rPr>
              <w:t xml:space="preserve">Сертифициран обезопасен вид електрическо оборудване, например инсталации </w:t>
            </w:r>
          </w:p>
          <w:p w:rsidR="001F02E6" w:rsidRPr="009072DA" w:rsidRDefault="001F02E6" w:rsidP="001F02E6">
            <w:pPr>
              <w:widowControl w:val="0"/>
              <w:overflowPunct w:val="0"/>
              <w:adjustRightInd w:val="0"/>
              <w:spacing w:before="20" w:after="20"/>
              <w:ind w:left="709" w:hanging="283"/>
              <w:textAlignment w:val="baseline"/>
              <w:rPr>
                <w:rFonts w:eastAsia="Calibri" w:cs="Arial"/>
                <w:sz w:val="18"/>
                <w:szCs w:val="18"/>
                <w:lang w:val="bg-BG"/>
              </w:rPr>
            </w:pPr>
            <w:r w:rsidRPr="009072DA">
              <w:rPr>
                <w:sz w:val="18"/>
                <w:lang w:val="bg-BG"/>
              </w:rPr>
              <w:t>a)</w:t>
            </w:r>
            <w:r w:rsidRPr="009072DA">
              <w:rPr>
                <w:lang w:val="bg-BG"/>
              </w:rPr>
              <w:tab/>
            </w:r>
            <w:r w:rsidRPr="009072DA">
              <w:rPr>
                <w:sz w:val="18"/>
                <w:lang w:val="bg-BG"/>
              </w:rPr>
              <w:t>разрешено съгласно европейските стандарти серия EN 60079 във версията им в сила на 6 юли 2017 г.,</w:t>
            </w:r>
          </w:p>
          <w:p w:rsidR="001F02E6" w:rsidRPr="009072DA" w:rsidRDefault="001F02E6" w:rsidP="001F02E6">
            <w:pPr>
              <w:spacing w:line="240" w:lineRule="atLeast"/>
              <w:ind w:left="709" w:hanging="283"/>
              <w:rPr>
                <w:sz w:val="18"/>
                <w:szCs w:val="18"/>
                <w:lang w:val="bg-BG"/>
              </w:rPr>
            </w:pPr>
            <w:r w:rsidRPr="009072DA">
              <w:rPr>
                <w:sz w:val="18"/>
                <w:lang w:val="bg-BG"/>
              </w:rPr>
              <w:t>б)</w:t>
            </w:r>
            <w:r w:rsidRPr="009072DA">
              <w:rPr>
                <w:lang w:val="bg-BG"/>
              </w:rPr>
              <w:tab/>
            </w:r>
            <w:r w:rsidRPr="009072DA">
              <w:rPr>
                <w:sz w:val="18"/>
                <w:lang w:val="bg-BG"/>
              </w:rPr>
              <w:t>по-нисък минимален вид защита, в зависимост от проекта, например някои видове пожарни датчици.</w:t>
            </w:r>
          </w:p>
          <w:p w:rsidR="001F02E6" w:rsidRPr="009072DA" w:rsidRDefault="001F02E6" w:rsidP="001F02E6">
            <w:pPr>
              <w:widowControl w:val="0"/>
              <w:overflowPunct w:val="0"/>
              <w:adjustRightInd w:val="0"/>
              <w:spacing w:before="40" w:after="40"/>
              <w:ind w:left="57"/>
              <w:textAlignment w:val="baseline"/>
              <w:rPr>
                <w:rFonts w:cs="Arial"/>
                <w:sz w:val="18"/>
                <w:szCs w:val="18"/>
                <w:vertAlign w:val="superscript"/>
                <w:lang w:val="bg-BG"/>
              </w:rPr>
            </w:pPr>
            <w:r w:rsidRPr="009072DA">
              <w:rPr>
                <w:sz w:val="18"/>
                <w:lang w:val="bg-BG"/>
              </w:rPr>
              <w:t>Ако устройствата за осветяване или пожарни датчици се използват в шкафове за акумулатор и бои, двете условия трябва да бъдат спазени.</w:t>
            </w:r>
          </w:p>
          <w:p w:rsidR="001F02E6" w:rsidRPr="009072DA" w:rsidRDefault="001F02E6" w:rsidP="000403EC">
            <w:pPr>
              <w:widowControl w:val="0"/>
              <w:tabs>
                <w:tab w:val="left" w:pos="426"/>
              </w:tabs>
              <w:overflowPunct w:val="0"/>
              <w:adjustRightInd w:val="0"/>
              <w:spacing w:before="20" w:after="40" w:line="240" w:lineRule="atLeast"/>
              <w:ind w:left="426" w:hanging="369"/>
              <w:textAlignment w:val="baseline"/>
              <w:rPr>
                <w:rFonts w:eastAsia="Calibri" w:cs="Arial"/>
                <w:sz w:val="16"/>
                <w:szCs w:val="16"/>
                <w:lang w:val="bg-BG"/>
              </w:rPr>
            </w:pPr>
            <w:r w:rsidRPr="009072DA">
              <w:rPr>
                <w:sz w:val="18"/>
                <w:vertAlign w:val="superscript"/>
                <w:lang w:val="bg-BG"/>
              </w:rPr>
              <w:t>(4)</w:t>
            </w:r>
            <w:r w:rsidRPr="009072DA">
              <w:rPr>
                <w:lang w:val="bg-BG"/>
              </w:rPr>
              <w:tab/>
            </w:r>
            <w:r w:rsidRPr="009072DA">
              <w:rPr>
                <w:sz w:val="18"/>
                <w:lang w:val="bg-BG"/>
              </w:rPr>
              <w:t xml:space="preserve">За </w:t>
            </w:r>
            <w:r w:rsidR="00DC50C7" w:rsidRPr="009072DA">
              <w:rPr>
                <w:sz w:val="18"/>
                <w:lang w:val="bg-BG"/>
              </w:rPr>
              <w:t>арматура</w:t>
            </w:r>
            <w:r w:rsidRPr="009072DA">
              <w:rPr>
                <w:sz w:val="18"/>
                <w:lang w:val="bg-BG"/>
              </w:rPr>
              <w:t xml:space="preserve"> за инсталации за ток от 125 A и по-голям: IP 66 (EN 60529 : 2014).</w:t>
            </w:r>
          </w:p>
        </w:tc>
      </w:tr>
    </w:tbl>
    <w:p w:rsidR="008A12E7" w:rsidRPr="009072DA" w:rsidRDefault="008A12E7" w:rsidP="008A12E7">
      <w:pPr>
        <w:rPr>
          <w:rFonts w:cs="Arial"/>
          <w:szCs w:val="20"/>
          <w:lang w:val="bg-BG"/>
        </w:rPr>
      </w:pPr>
    </w:p>
    <w:p w:rsidR="008A12E7" w:rsidRPr="009072DA" w:rsidRDefault="008A12E7" w:rsidP="00533048">
      <w:pPr>
        <w:rPr>
          <w:rFonts w:cs="Arial"/>
          <w:szCs w:val="20"/>
          <w:lang w:val="bg-BG"/>
        </w:rPr>
      </w:pPr>
    </w:p>
    <w:p w:rsidR="008A12E7" w:rsidRPr="009072DA" w:rsidRDefault="008A12E7" w:rsidP="001D61F0">
      <w:pPr>
        <w:pStyle w:val="ES-Titre3"/>
        <w:rPr>
          <w:lang w:val="bg-BG"/>
        </w:rPr>
      </w:pPr>
      <w:bookmarkStart w:id="166" w:name="_Toc491854081"/>
      <w:bookmarkStart w:id="167" w:name="_Toc535827522"/>
      <w:r w:rsidRPr="009072DA">
        <w:rPr>
          <w:lang w:val="bg-BG"/>
        </w:rPr>
        <w:t>Член 10.04</w:t>
      </w:r>
      <w:r w:rsidRPr="009072DA">
        <w:rPr>
          <w:lang w:val="bg-BG"/>
        </w:rPr>
        <w:br/>
      </w:r>
      <w:r w:rsidRPr="009072DA">
        <w:rPr>
          <w:i/>
          <w:lang w:val="bg-BG"/>
        </w:rPr>
        <w:t>Защита от експлозия</w:t>
      </w:r>
      <w:bookmarkEnd w:id="166"/>
      <w:bookmarkEnd w:id="167"/>
    </w:p>
    <w:p w:rsidR="001D61F0" w:rsidRPr="009072DA" w:rsidRDefault="001D61F0" w:rsidP="001D61F0">
      <w:pPr>
        <w:rPr>
          <w:rFonts w:cs="Arial"/>
          <w:szCs w:val="20"/>
          <w:lang w:val="bg-BG"/>
        </w:rPr>
      </w:pPr>
    </w:p>
    <w:p w:rsidR="001F02E6" w:rsidRPr="009072DA" w:rsidRDefault="001F02E6" w:rsidP="001F02E6">
      <w:pPr>
        <w:pStyle w:val="ESch"/>
        <w:rPr>
          <w:rFonts w:eastAsia="Calibri" w:cs="Arial"/>
          <w:lang w:val="bg-BG"/>
        </w:rPr>
      </w:pPr>
      <w:r w:rsidRPr="009072DA">
        <w:rPr>
          <w:lang w:val="bg-BG"/>
        </w:rPr>
        <w:t>1.</w:t>
      </w:r>
      <w:r w:rsidRPr="009072DA">
        <w:rPr>
          <w:lang w:val="bg-BG"/>
        </w:rPr>
        <w:tab/>
        <w:t xml:space="preserve">Само взривообезопасено електрическо оборудване (удостоверена безопасност) може да се монтира в помещенията или зоните, където е вероятно да се натрупва експлозивна </w:t>
      </w:r>
      <w:r w:rsidRPr="009072DA">
        <w:rPr>
          <w:lang w:val="bg-BG"/>
        </w:rPr>
        <w:lastRenderedPageBreak/>
        <w:t xml:space="preserve">атмосфера. Това оборудване трябва да бъде изпитано и одобрено по отношение на неговата оперативна безопасност в експлозивна атмосфера от изпитваща институция, призната въз основа на национални разпоредби на една от държавите членки. </w:t>
      </w:r>
    </w:p>
    <w:p w:rsidR="001F02E6" w:rsidRPr="009072DA" w:rsidRDefault="001F02E6" w:rsidP="001F02E6">
      <w:pPr>
        <w:pStyle w:val="ESch"/>
        <w:rPr>
          <w:rFonts w:eastAsia="Calibri"/>
          <w:lang w:val="bg-BG"/>
        </w:rPr>
      </w:pPr>
    </w:p>
    <w:p w:rsidR="001F02E6" w:rsidRPr="009072DA" w:rsidRDefault="001F02E6" w:rsidP="001F02E6">
      <w:pPr>
        <w:pStyle w:val="ESchpar"/>
        <w:rPr>
          <w:rFonts w:eastAsia="Calibri"/>
          <w:lang w:val="bg-BG"/>
        </w:rPr>
      </w:pPr>
      <w:r w:rsidRPr="009072DA">
        <w:rPr>
          <w:lang w:val="bg-BG"/>
        </w:rPr>
        <w:t>Монтажът в тези помещения или зони на превключващи устройства за осветителни тела и други електрически съоръжения трябва да се избягва доколкото е възможно. При установяването на взривобезопасността трябва да се вземат предвид характеристиките на атмосферата, която е вероятно да възникне (група на взривен потенциал, температурен клас) и на изискванията на съответната зона.</w:t>
      </w:r>
    </w:p>
    <w:p w:rsidR="001F02E6" w:rsidRPr="009072DA" w:rsidRDefault="001F02E6" w:rsidP="001F02E6">
      <w:pPr>
        <w:pStyle w:val="ESchpar"/>
        <w:rPr>
          <w:rFonts w:eastAsia="Calibri"/>
          <w:lang w:val="bg-BG"/>
        </w:rPr>
      </w:pPr>
    </w:p>
    <w:p w:rsidR="00AA5633" w:rsidRPr="009072DA" w:rsidRDefault="00AA5633">
      <w:pPr>
        <w:rPr>
          <w:rFonts w:eastAsia="Calibri"/>
          <w:lang w:val="bg-BG"/>
        </w:rPr>
      </w:pPr>
      <w:r w:rsidRPr="009072DA">
        <w:rPr>
          <w:lang w:val="bg-BG"/>
        </w:rPr>
        <w:br w:type="page"/>
      </w:r>
    </w:p>
    <w:p w:rsidR="00AA5633" w:rsidRPr="009072DA" w:rsidRDefault="00AA5633" w:rsidP="001F02E6">
      <w:pPr>
        <w:pStyle w:val="ESchpar"/>
        <w:rPr>
          <w:rFonts w:eastAsia="Calibri"/>
          <w:lang w:val="bg-BG"/>
        </w:rPr>
      </w:pPr>
    </w:p>
    <w:p w:rsidR="001F02E6" w:rsidRPr="009072DA" w:rsidRDefault="001F02E6" w:rsidP="001F02E6">
      <w:pPr>
        <w:pStyle w:val="ESchpar"/>
        <w:rPr>
          <w:rFonts w:eastAsia="Calibri"/>
          <w:strike/>
          <w:lang w:val="bg-BG"/>
        </w:rPr>
      </w:pPr>
      <w:r w:rsidRPr="009072DA">
        <w:rPr>
          <w:lang w:val="bg-BG"/>
        </w:rPr>
        <w:t xml:space="preserve">Информацията и ограниченията в удостоверенията за одобрение на оборудването трябва да бъдат спазвани. </w:t>
      </w:r>
    </w:p>
    <w:p w:rsidR="001F02E6" w:rsidRPr="009072DA" w:rsidRDefault="001F02E6" w:rsidP="001F02E6">
      <w:pPr>
        <w:pStyle w:val="ESchpar"/>
        <w:rPr>
          <w:rFonts w:eastAsia="Calibri"/>
          <w:lang w:val="bg-BG"/>
        </w:rPr>
      </w:pPr>
    </w:p>
    <w:p w:rsidR="001F02E6" w:rsidRPr="009072DA" w:rsidRDefault="001F02E6" w:rsidP="001F02E6">
      <w:pPr>
        <w:pStyle w:val="ESchpar"/>
        <w:rPr>
          <w:lang w:val="bg-BG"/>
        </w:rPr>
      </w:pPr>
      <w:r w:rsidRPr="009072DA">
        <w:rPr>
          <w:lang w:val="bg-BG"/>
        </w:rPr>
        <w:t>Класифицирането и оценяването на области с риск от експлозия трябва да се извършват и документират в съответствие с международни стандарти EN 60079-10-1 : 2015 и EN 60079</w:t>
      </w:r>
      <w:r w:rsidR="00373CDE" w:rsidRPr="00373CDE">
        <w:rPr>
          <w:lang w:val="bg-BG"/>
        </w:rPr>
        <w:t>-</w:t>
      </w:r>
      <w:r w:rsidRPr="009072DA">
        <w:rPr>
          <w:lang w:val="bg-BG"/>
        </w:rPr>
        <w:t>10-2 : 2015.</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2.</w:t>
      </w:r>
      <w:r w:rsidRPr="009072DA">
        <w:rPr>
          <w:lang w:val="bg-BG"/>
        </w:rPr>
        <w:tab/>
        <w:t>Приложими правила за опасни зони:</w:t>
      </w:r>
    </w:p>
    <w:p w:rsidR="001F02E6" w:rsidRPr="009072DA" w:rsidRDefault="001F02E6" w:rsidP="001F02E6">
      <w:pPr>
        <w:pStyle w:val="ESlet"/>
        <w:rPr>
          <w:rFonts w:eastAsia="Calibri"/>
          <w:lang w:val="bg-BG"/>
        </w:rPr>
      </w:pPr>
      <w:r w:rsidRPr="009072DA">
        <w:rPr>
          <w:lang w:val="bg-BG"/>
        </w:rPr>
        <w:t>a)</w:t>
      </w:r>
      <w:r w:rsidRPr="009072DA">
        <w:rPr>
          <w:lang w:val="bg-BG"/>
        </w:rPr>
        <w:tab/>
        <w:t>В зона 0 са разрешени само конструктивно безопасни вериги (клас на защита Ex ia) в съответствие с международен стандарт IEC 60079-11: 2012.</w:t>
      </w:r>
    </w:p>
    <w:p w:rsidR="001F02E6" w:rsidRPr="009072DA" w:rsidRDefault="001F02E6" w:rsidP="001F02E6">
      <w:pPr>
        <w:pStyle w:val="ESlet"/>
        <w:rPr>
          <w:rFonts w:eastAsia="Calibri"/>
          <w:lang w:val="bg-BG"/>
        </w:rPr>
      </w:pPr>
      <w:r w:rsidRPr="009072DA">
        <w:rPr>
          <w:lang w:val="bg-BG"/>
        </w:rPr>
        <w:t>б)</w:t>
      </w:r>
      <w:r w:rsidRPr="009072DA">
        <w:rPr>
          <w:lang w:val="bg-BG"/>
        </w:rPr>
        <w:tab/>
        <w:t xml:space="preserve">В зона 1 е разрешено само защитено от експлозии електрическо оборудване (удостоверена безопасност). </w:t>
      </w:r>
    </w:p>
    <w:p w:rsidR="001F02E6" w:rsidRPr="009072DA" w:rsidRDefault="001F02E6" w:rsidP="001F02E6">
      <w:pPr>
        <w:pStyle w:val="ESlet"/>
        <w:rPr>
          <w:rFonts w:eastAsia="Calibri"/>
          <w:lang w:val="bg-BG"/>
        </w:rPr>
      </w:pPr>
      <w:r w:rsidRPr="009072DA">
        <w:rPr>
          <w:lang w:val="bg-BG"/>
        </w:rPr>
        <w:t>в)</w:t>
      </w:r>
      <w:r w:rsidRPr="009072DA">
        <w:rPr>
          <w:lang w:val="bg-BG"/>
        </w:rPr>
        <w:tab/>
        <w:t xml:space="preserve">В зона 2 е необходимо да бъдат предприети мерки за защита на електрическите съоръжения, които са подходящи за вида и предназначението на работното оборудване. </w:t>
      </w:r>
    </w:p>
    <w:p w:rsidR="001F02E6" w:rsidRPr="009072DA" w:rsidRDefault="001F02E6" w:rsidP="001F02E6">
      <w:pPr>
        <w:pStyle w:val="EStiret"/>
        <w:rPr>
          <w:rFonts w:eastAsia="Calibri"/>
          <w:noProof w:val="0"/>
          <w:lang w:val="bg-BG"/>
        </w:rPr>
      </w:pPr>
      <w:r w:rsidRPr="009072DA">
        <w:rPr>
          <w:noProof w:val="0"/>
          <w:lang w:val="bg-BG"/>
        </w:rPr>
        <w:t>Одобрението в тези области е ограничено до:</w:t>
      </w:r>
    </w:p>
    <w:p w:rsidR="001F02E6" w:rsidRPr="009072DA" w:rsidRDefault="001F02E6" w:rsidP="001F02E6">
      <w:pPr>
        <w:pStyle w:val="EStiret"/>
        <w:rPr>
          <w:rFonts w:eastAsia="Calibri"/>
          <w:noProof w:val="0"/>
          <w:lang w:val="bg-BG"/>
        </w:rPr>
      </w:pPr>
      <w:r w:rsidRPr="009072DA">
        <w:rPr>
          <w:noProof w:val="0"/>
          <w:lang w:val="bg-BG"/>
        </w:rPr>
        <w:t>aa)</w:t>
      </w:r>
      <w:r w:rsidRPr="009072DA">
        <w:rPr>
          <w:noProof w:val="0"/>
          <w:lang w:val="bg-BG"/>
        </w:rPr>
        <w:tab/>
        <w:t>защитено от експлозии електрическо оборудване (удостоверена безопасност), или</w:t>
      </w:r>
    </w:p>
    <w:p w:rsidR="001F02E6" w:rsidRPr="009072DA" w:rsidRDefault="001F02E6" w:rsidP="001F02E6">
      <w:pPr>
        <w:pStyle w:val="EStiret"/>
        <w:rPr>
          <w:rFonts w:eastAsia="Calibri"/>
          <w:noProof w:val="0"/>
          <w:lang w:val="bg-BG"/>
        </w:rPr>
      </w:pPr>
      <w:r w:rsidRPr="009072DA">
        <w:rPr>
          <w:noProof w:val="0"/>
          <w:lang w:val="bg-BG"/>
        </w:rPr>
        <w:t>бб)</w:t>
      </w:r>
      <w:r w:rsidRPr="009072DA">
        <w:rPr>
          <w:noProof w:val="0"/>
          <w:lang w:val="bg-BG"/>
        </w:rPr>
        <w:tab/>
        <w:t xml:space="preserve">работно оборудване, което при нормална експлоатация не произвежда искри и чиито повърхности могат да влязат в контакт с външен въздух, и което не достига до недопустими температури, или </w:t>
      </w:r>
    </w:p>
    <w:p w:rsidR="001F02E6" w:rsidRPr="009072DA" w:rsidRDefault="001F02E6" w:rsidP="001F02E6">
      <w:pPr>
        <w:pStyle w:val="EStiret"/>
        <w:rPr>
          <w:rFonts w:eastAsia="Calibri"/>
          <w:noProof w:val="0"/>
          <w:lang w:val="bg-BG"/>
        </w:rPr>
      </w:pPr>
      <w:r w:rsidRPr="009072DA">
        <w:rPr>
          <w:noProof w:val="0"/>
          <w:lang w:val="bg-BG"/>
        </w:rPr>
        <w:t>вв)</w:t>
      </w:r>
      <w:r w:rsidRPr="009072DA">
        <w:rPr>
          <w:noProof w:val="0"/>
          <w:lang w:val="bg-BG"/>
        </w:rPr>
        <w:tab/>
        <w:t>работно оборудване, което е защитено чрез херметизиране или което е капсулирано по устойчив на пари начин (минимален клас защита IP 55) и чиито повърхности не достигат недопустими температури.</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3.</w:t>
      </w:r>
      <w:r w:rsidRPr="009072DA">
        <w:rPr>
          <w:lang w:val="bg-BG"/>
        </w:rPr>
        <w:tab/>
        <w:t>За защита от експлозии на прах, се прилагат изискванията в съответствие с европейски стандарт EN 60079-10-2 : 2015.</w:t>
      </w:r>
    </w:p>
    <w:p w:rsidR="008A12E7" w:rsidRPr="009072DA" w:rsidRDefault="008A12E7" w:rsidP="008A12E7">
      <w:pPr>
        <w:rPr>
          <w:rFonts w:cs="Arial"/>
          <w:szCs w:val="20"/>
          <w:lang w:val="bg-BG"/>
        </w:rPr>
      </w:pPr>
    </w:p>
    <w:p w:rsidR="001D61F0" w:rsidRPr="009072DA" w:rsidRDefault="001D61F0" w:rsidP="008A12E7">
      <w:pPr>
        <w:rPr>
          <w:rFonts w:cs="Arial"/>
          <w:szCs w:val="20"/>
          <w:lang w:val="bg-BG"/>
        </w:rPr>
      </w:pPr>
    </w:p>
    <w:p w:rsidR="008A12E7" w:rsidRPr="009072DA" w:rsidRDefault="008A12E7" w:rsidP="001D61F0">
      <w:pPr>
        <w:pStyle w:val="ES-Titre3"/>
        <w:rPr>
          <w:lang w:val="bg-BG"/>
        </w:rPr>
      </w:pPr>
      <w:bookmarkStart w:id="168" w:name="_Toc491854082"/>
      <w:bookmarkStart w:id="169" w:name="_Toc535827523"/>
      <w:r w:rsidRPr="009072DA">
        <w:rPr>
          <w:lang w:val="bg-BG"/>
        </w:rPr>
        <w:t>Член 10.05</w:t>
      </w:r>
      <w:r w:rsidRPr="009072DA">
        <w:rPr>
          <w:lang w:val="bg-BG"/>
        </w:rPr>
        <w:br/>
      </w:r>
      <w:r w:rsidRPr="009072DA">
        <w:rPr>
          <w:i/>
          <w:lang w:val="bg-BG"/>
        </w:rPr>
        <w:t>Заземяване</w:t>
      </w:r>
      <w:bookmarkEnd w:id="168"/>
      <w:bookmarkEnd w:id="169"/>
    </w:p>
    <w:p w:rsidR="001D61F0" w:rsidRPr="009072DA" w:rsidRDefault="001D61F0" w:rsidP="008A12E7">
      <w:pPr>
        <w:rPr>
          <w:rFonts w:cs="Arial"/>
          <w:szCs w:val="20"/>
          <w:lang w:val="bg-BG"/>
        </w:rPr>
      </w:pPr>
    </w:p>
    <w:p w:rsidR="001F02E6" w:rsidRPr="009072DA" w:rsidRDefault="001F02E6" w:rsidP="001F02E6">
      <w:pPr>
        <w:pStyle w:val="ESch"/>
        <w:rPr>
          <w:rFonts w:eastAsia="Calibri"/>
          <w:lang w:val="bg-BG"/>
        </w:rPr>
      </w:pPr>
      <w:r w:rsidRPr="009072DA">
        <w:rPr>
          <w:lang w:val="bg-BG"/>
        </w:rPr>
        <w:t>1.</w:t>
      </w:r>
      <w:r w:rsidRPr="009072DA">
        <w:rPr>
          <w:lang w:val="bg-BG"/>
        </w:rPr>
        <w:tab/>
        <w:t>Заземяване се изисква за електрически инсталации с напрежение над 50 V.</w:t>
      </w:r>
    </w:p>
    <w:p w:rsidR="001F02E6" w:rsidRPr="009072DA" w:rsidRDefault="001F02E6" w:rsidP="001F02E6">
      <w:pPr>
        <w:pStyle w:val="ESch"/>
        <w:rPr>
          <w:rFonts w:eastAsia="Calibri"/>
          <w:sz w:val="18"/>
          <w:lang w:val="bg-BG"/>
        </w:rPr>
      </w:pPr>
    </w:p>
    <w:p w:rsidR="001F02E6" w:rsidRPr="009072DA" w:rsidRDefault="001F02E6" w:rsidP="001F02E6">
      <w:pPr>
        <w:pStyle w:val="ESch"/>
        <w:rPr>
          <w:rFonts w:eastAsia="Calibri"/>
          <w:lang w:val="bg-BG"/>
        </w:rPr>
      </w:pPr>
      <w:r w:rsidRPr="009072DA">
        <w:rPr>
          <w:lang w:val="bg-BG"/>
        </w:rPr>
        <w:lastRenderedPageBreak/>
        <w:t>2.</w:t>
      </w:r>
      <w:r w:rsidRPr="009072DA">
        <w:rPr>
          <w:lang w:val="bg-BG"/>
        </w:rPr>
        <w:tab/>
        <w:t>Изложени метални части, които при нормални работни условия не са под напрежение, като фундаменти и кожуси на електрическата система на електрически инсталации и немобилни електрически съоръжения, се заземяват отделно, ако не са инсталирани по такъв начин, че да са в пряк контакт с корпуса на плавателното средство .</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3.</w:t>
      </w:r>
      <w:r w:rsidRPr="009072DA">
        <w:rPr>
          <w:lang w:val="bg-BG"/>
        </w:rPr>
        <w:tab/>
        <w:t>Обвивките на подвижните електрически съоръжения трябва да бъдат заземени чрез допълнителен проводник, по който обикновено не тече ток и който е интегриран в захранващия кабел. Това изискване не се прилага, когато се използва трансформатор за изолация или когато оборудването има защитна изолация (двойна изолация).</w:t>
      </w:r>
    </w:p>
    <w:p w:rsidR="001F02E6" w:rsidRPr="009072DA" w:rsidRDefault="001F02E6" w:rsidP="001F02E6">
      <w:pPr>
        <w:pStyle w:val="ESch"/>
        <w:rPr>
          <w:rFonts w:eastAsia="Calibri"/>
          <w:lang w:val="bg-BG"/>
        </w:rPr>
      </w:pPr>
    </w:p>
    <w:p w:rsidR="00666810" w:rsidRPr="009072DA" w:rsidRDefault="00666810">
      <w:pPr>
        <w:rPr>
          <w:rFonts w:eastAsia="Calibri"/>
          <w:lang w:val="bg-BG"/>
        </w:rPr>
      </w:pPr>
      <w:r w:rsidRPr="009072DA">
        <w:rPr>
          <w:lang w:val="bg-BG"/>
        </w:rPr>
        <w:br w:type="page"/>
      </w:r>
    </w:p>
    <w:p w:rsidR="00666810" w:rsidRPr="009072DA" w:rsidRDefault="00666810"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4.</w:t>
      </w:r>
      <w:r w:rsidRPr="009072DA">
        <w:rPr>
          <w:lang w:val="bg-BG"/>
        </w:rPr>
        <w:tab/>
        <w:t>Напречното сечение на проводниците за заземяване трябва да е най-малко равно на стойностите, получени от следната таблица:</w:t>
      </w:r>
    </w:p>
    <w:p w:rsidR="008A12E7" w:rsidRPr="009072DA" w:rsidRDefault="008A12E7" w:rsidP="008A12E7">
      <w:pPr>
        <w:rPr>
          <w:rFonts w:cs="Arial"/>
          <w:szCs w:val="20"/>
          <w:lang w:val="bg-BG"/>
        </w:rPr>
      </w:pPr>
    </w:p>
    <w:tbl>
      <w:tblPr>
        <w:tblW w:w="0" w:type="auto"/>
        <w:jc w:val="center"/>
        <w:tblLayout w:type="fixed"/>
        <w:tblCellMar>
          <w:left w:w="70" w:type="dxa"/>
          <w:right w:w="70" w:type="dxa"/>
        </w:tblCellMar>
        <w:tblLook w:val="0000" w:firstRow="0" w:lastRow="0" w:firstColumn="0" w:lastColumn="0" w:noHBand="0" w:noVBand="0"/>
      </w:tblPr>
      <w:tblGrid>
        <w:gridCol w:w="2214"/>
        <w:gridCol w:w="2833"/>
        <w:gridCol w:w="3062"/>
      </w:tblGrid>
      <w:tr w:rsidR="001F02E6" w:rsidRPr="008D2440" w:rsidTr="001F02E6">
        <w:trPr>
          <w:cantSplit/>
          <w:jc w:val="center"/>
        </w:trPr>
        <w:tc>
          <w:tcPr>
            <w:tcW w:w="2214" w:type="dxa"/>
            <w:vMerge w:val="restart"/>
            <w:tcBorders>
              <w:top w:val="single" w:sz="6" w:space="0" w:color="auto"/>
              <w:left w:val="single" w:sz="6" w:space="0" w:color="auto"/>
              <w:right w:val="single" w:sz="6" w:space="0" w:color="auto"/>
            </w:tcBorders>
            <w:vAlign w:val="center"/>
          </w:tcPr>
          <w:p w:rsidR="001F02E6" w:rsidRPr="009072DA" w:rsidRDefault="001F02E6" w:rsidP="001F02E6">
            <w:pPr>
              <w:tabs>
                <w:tab w:val="left" w:pos="1632"/>
                <w:tab w:val="left" w:pos="3456"/>
              </w:tabs>
              <w:spacing w:before="60" w:after="60" w:line="240" w:lineRule="atLeast"/>
              <w:jc w:val="center"/>
              <w:rPr>
                <w:rFonts w:cs="Arial"/>
                <w:sz w:val="18"/>
                <w:szCs w:val="18"/>
                <w:lang w:val="bg-BG"/>
              </w:rPr>
            </w:pPr>
            <w:r w:rsidRPr="009072DA">
              <w:rPr>
                <w:sz w:val="18"/>
                <w:lang w:val="bg-BG"/>
              </w:rPr>
              <w:t>Напречно сечение на външни проводници (S)</w:t>
            </w:r>
            <w:r w:rsidRPr="009072DA">
              <w:rPr>
                <w:sz w:val="18"/>
                <w:szCs w:val="18"/>
                <w:lang w:val="bg-BG"/>
              </w:rPr>
              <w:br/>
            </w:r>
            <w:r w:rsidRPr="009072DA">
              <w:rPr>
                <w:sz w:val="18"/>
                <w:lang w:val="bg-BG"/>
              </w:rPr>
              <w:t>[mm</w:t>
            </w:r>
            <w:r w:rsidRPr="009072DA">
              <w:rPr>
                <w:sz w:val="16"/>
                <w:vertAlign w:val="superscript"/>
                <w:lang w:val="bg-BG"/>
              </w:rPr>
              <w:t>2</w:t>
            </w:r>
            <w:r w:rsidRPr="009072DA">
              <w:rPr>
                <w:sz w:val="18"/>
                <w:lang w:val="bg-BG"/>
              </w:rPr>
              <w:t>]</w:t>
            </w:r>
          </w:p>
        </w:tc>
        <w:tc>
          <w:tcPr>
            <w:tcW w:w="5895" w:type="dxa"/>
            <w:gridSpan w:val="2"/>
            <w:tcBorders>
              <w:top w:val="single" w:sz="6" w:space="0" w:color="auto"/>
              <w:right w:val="single" w:sz="6" w:space="0" w:color="auto"/>
            </w:tcBorders>
            <w:vAlign w:val="center"/>
          </w:tcPr>
          <w:p w:rsidR="001F02E6" w:rsidRPr="009072DA" w:rsidRDefault="001F02E6" w:rsidP="001F02E6">
            <w:pPr>
              <w:tabs>
                <w:tab w:val="left" w:pos="1632"/>
                <w:tab w:val="left" w:pos="3456"/>
              </w:tabs>
              <w:spacing w:before="60" w:after="60" w:line="240" w:lineRule="atLeast"/>
              <w:ind w:left="17" w:hanging="17"/>
              <w:jc w:val="center"/>
              <w:rPr>
                <w:rFonts w:cs="Arial"/>
                <w:sz w:val="18"/>
                <w:szCs w:val="18"/>
                <w:lang w:val="bg-BG"/>
              </w:rPr>
            </w:pPr>
            <w:r w:rsidRPr="009072DA">
              <w:rPr>
                <w:sz w:val="18"/>
                <w:lang w:val="bg-BG"/>
              </w:rPr>
              <w:t>Минимално сечение на заземяващи проводници</w:t>
            </w:r>
          </w:p>
        </w:tc>
      </w:tr>
      <w:tr w:rsidR="001F02E6" w:rsidRPr="009072DA" w:rsidTr="001F02E6">
        <w:trPr>
          <w:cantSplit/>
          <w:jc w:val="center"/>
        </w:trPr>
        <w:tc>
          <w:tcPr>
            <w:tcW w:w="2214" w:type="dxa"/>
            <w:vMerge/>
            <w:tcBorders>
              <w:left w:val="single" w:sz="6" w:space="0" w:color="auto"/>
              <w:bottom w:val="single" w:sz="12" w:space="0" w:color="auto"/>
              <w:right w:val="single" w:sz="6" w:space="0" w:color="auto"/>
            </w:tcBorders>
            <w:vAlign w:val="center"/>
          </w:tcPr>
          <w:p w:rsidR="001F02E6" w:rsidRPr="009072DA" w:rsidRDefault="001F02E6" w:rsidP="001F02E6">
            <w:pPr>
              <w:tabs>
                <w:tab w:val="left" w:pos="1632"/>
                <w:tab w:val="left" w:pos="3456"/>
              </w:tabs>
              <w:spacing w:before="60" w:after="60" w:line="240" w:lineRule="atLeast"/>
              <w:jc w:val="center"/>
              <w:rPr>
                <w:rFonts w:cs="Arial"/>
                <w:sz w:val="18"/>
                <w:szCs w:val="18"/>
                <w:lang w:val="bg-BG"/>
              </w:rPr>
            </w:pPr>
          </w:p>
        </w:tc>
        <w:tc>
          <w:tcPr>
            <w:tcW w:w="2833" w:type="dxa"/>
            <w:tcBorders>
              <w:bottom w:val="single" w:sz="12" w:space="0" w:color="auto"/>
              <w:right w:val="single" w:sz="6" w:space="0" w:color="auto"/>
            </w:tcBorders>
            <w:vAlign w:val="center"/>
          </w:tcPr>
          <w:p w:rsidR="001F02E6" w:rsidRPr="009072DA" w:rsidRDefault="001F02E6" w:rsidP="001F02E6">
            <w:pPr>
              <w:tabs>
                <w:tab w:val="left" w:pos="1632"/>
                <w:tab w:val="left" w:pos="3456"/>
              </w:tabs>
              <w:spacing w:before="60" w:after="60" w:line="240" w:lineRule="atLeast"/>
              <w:jc w:val="center"/>
              <w:rPr>
                <w:rFonts w:cs="Arial"/>
                <w:sz w:val="18"/>
                <w:szCs w:val="18"/>
                <w:lang w:val="bg-BG"/>
              </w:rPr>
            </w:pPr>
            <w:r w:rsidRPr="009072DA">
              <w:rPr>
                <w:sz w:val="18"/>
                <w:lang w:val="bg-BG"/>
              </w:rPr>
              <w:t>в изолирани кабели</w:t>
            </w:r>
            <w:r w:rsidRPr="009072DA">
              <w:rPr>
                <w:sz w:val="18"/>
                <w:szCs w:val="18"/>
                <w:lang w:val="bg-BG"/>
              </w:rPr>
              <w:br/>
            </w:r>
            <w:r w:rsidRPr="009072DA">
              <w:rPr>
                <w:sz w:val="18"/>
                <w:lang w:val="bg-BG"/>
              </w:rPr>
              <w:t>[mm</w:t>
            </w:r>
            <w:r w:rsidRPr="009072DA">
              <w:rPr>
                <w:sz w:val="16"/>
                <w:vertAlign w:val="superscript"/>
                <w:lang w:val="bg-BG"/>
              </w:rPr>
              <w:t>2</w:t>
            </w:r>
            <w:r w:rsidRPr="009072DA">
              <w:rPr>
                <w:sz w:val="18"/>
                <w:lang w:val="bg-BG"/>
              </w:rPr>
              <w:t>]</w:t>
            </w:r>
          </w:p>
        </w:tc>
        <w:tc>
          <w:tcPr>
            <w:tcW w:w="3062" w:type="dxa"/>
            <w:tcBorders>
              <w:left w:val="single" w:sz="6" w:space="0" w:color="auto"/>
              <w:bottom w:val="single" w:sz="12" w:space="0" w:color="auto"/>
              <w:right w:val="single" w:sz="6" w:space="0" w:color="auto"/>
            </w:tcBorders>
            <w:vAlign w:val="center"/>
          </w:tcPr>
          <w:p w:rsidR="001F02E6" w:rsidRPr="009072DA" w:rsidRDefault="001F02E6" w:rsidP="001F02E6">
            <w:pPr>
              <w:tabs>
                <w:tab w:val="left" w:pos="1632"/>
                <w:tab w:val="left" w:pos="3456"/>
              </w:tabs>
              <w:spacing w:before="60" w:after="60" w:line="240" w:lineRule="atLeast"/>
              <w:jc w:val="center"/>
              <w:rPr>
                <w:rFonts w:cs="Arial"/>
                <w:sz w:val="18"/>
                <w:szCs w:val="18"/>
                <w:lang w:val="bg-BG"/>
              </w:rPr>
            </w:pPr>
            <w:r w:rsidRPr="009072DA">
              <w:rPr>
                <w:sz w:val="18"/>
                <w:lang w:val="bg-BG"/>
              </w:rPr>
              <w:t xml:space="preserve">монтирани отделно </w:t>
            </w:r>
            <w:r w:rsidRPr="009072DA">
              <w:rPr>
                <w:sz w:val="18"/>
                <w:szCs w:val="18"/>
                <w:lang w:val="bg-BG"/>
              </w:rPr>
              <w:br/>
            </w:r>
            <w:r w:rsidRPr="009072DA">
              <w:rPr>
                <w:sz w:val="18"/>
                <w:lang w:val="bg-BG"/>
              </w:rPr>
              <w:t>[mm</w:t>
            </w:r>
            <w:r w:rsidRPr="009072DA">
              <w:rPr>
                <w:sz w:val="16"/>
                <w:vertAlign w:val="superscript"/>
                <w:lang w:val="bg-BG"/>
              </w:rPr>
              <w:t>2</w:t>
            </w:r>
            <w:r w:rsidRPr="009072DA">
              <w:rPr>
                <w:sz w:val="18"/>
                <w:lang w:val="bg-BG"/>
              </w:rPr>
              <w:t>]</w:t>
            </w:r>
          </w:p>
        </w:tc>
      </w:tr>
      <w:tr w:rsidR="001F02E6" w:rsidRPr="009072DA" w:rsidTr="001F02E6">
        <w:trPr>
          <w:cantSplit/>
          <w:jc w:val="center"/>
        </w:trPr>
        <w:tc>
          <w:tcPr>
            <w:tcW w:w="2214" w:type="dxa"/>
            <w:tcBorders>
              <w:top w:val="single" w:sz="12" w:space="0" w:color="auto"/>
              <w:left w:val="single" w:sz="6" w:space="0" w:color="auto"/>
              <w:bottom w:val="single" w:sz="6" w:space="0" w:color="auto"/>
            </w:tcBorders>
            <w:vAlign w:val="center"/>
          </w:tcPr>
          <w:p w:rsidR="001F02E6" w:rsidRPr="009072DA" w:rsidRDefault="001F02E6" w:rsidP="001F02E6">
            <w:pPr>
              <w:tabs>
                <w:tab w:val="left" w:pos="1632"/>
                <w:tab w:val="left" w:pos="3456"/>
              </w:tabs>
              <w:spacing w:before="60" w:after="60" w:line="240" w:lineRule="atLeast"/>
              <w:jc w:val="center"/>
              <w:rPr>
                <w:rFonts w:cs="Arial"/>
                <w:sz w:val="18"/>
                <w:szCs w:val="18"/>
                <w:lang w:val="bg-BG"/>
              </w:rPr>
            </w:pPr>
            <w:r w:rsidRPr="009072DA">
              <w:rPr>
                <w:sz w:val="18"/>
                <w:lang w:val="bg-BG"/>
              </w:rPr>
              <w:t>0,5 ≤ S ≤ 4</w:t>
            </w:r>
          </w:p>
        </w:tc>
        <w:tc>
          <w:tcPr>
            <w:tcW w:w="2833" w:type="dxa"/>
            <w:tcBorders>
              <w:top w:val="single" w:sz="12" w:space="0" w:color="auto"/>
              <w:left w:val="single" w:sz="6" w:space="0" w:color="auto"/>
              <w:bottom w:val="single" w:sz="6" w:space="0" w:color="auto"/>
              <w:right w:val="single" w:sz="6" w:space="0" w:color="auto"/>
            </w:tcBorders>
            <w:vAlign w:val="center"/>
          </w:tcPr>
          <w:p w:rsidR="001F02E6" w:rsidRPr="009072DA" w:rsidRDefault="001F02E6" w:rsidP="00AA5633">
            <w:pPr>
              <w:tabs>
                <w:tab w:val="left" w:pos="1632"/>
                <w:tab w:val="left" w:pos="3456"/>
              </w:tabs>
              <w:spacing w:before="60" w:after="60" w:line="240" w:lineRule="atLeast"/>
              <w:jc w:val="center"/>
              <w:rPr>
                <w:rFonts w:cs="Arial"/>
                <w:sz w:val="18"/>
                <w:szCs w:val="18"/>
                <w:lang w:val="bg-BG"/>
              </w:rPr>
            </w:pPr>
            <w:r w:rsidRPr="009072DA">
              <w:rPr>
                <w:sz w:val="18"/>
                <w:lang w:val="bg-BG"/>
              </w:rPr>
              <w:t>същото напречно сечение като за</w:t>
            </w:r>
            <w:r w:rsidRPr="009072DA">
              <w:rPr>
                <w:rFonts w:ascii="MS Gothic" w:hAnsi="MS Gothic"/>
                <w:sz w:val="18"/>
                <w:lang w:val="bg-BG"/>
              </w:rPr>
              <w:t> </w:t>
            </w:r>
            <w:r w:rsidRPr="009072DA">
              <w:rPr>
                <w:sz w:val="18"/>
                <w:lang w:val="bg-BG"/>
              </w:rPr>
              <w:t>външния проводник</w:t>
            </w:r>
          </w:p>
        </w:tc>
        <w:tc>
          <w:tcPr>
            <w:tcW w:w="3062" w:type="dxa"/>
            <w:tcBorders>
              <w:top w:val="single" w:sz="12" w:space="0" w:color="auto"/>
              <w:left w:val="single" w:sz="6" w:space="0" w:color="auto"/>
              <w:bottom w:val="single" w:sz="6" w:space="0" w:color="auto"/>
              <w:right w:val="single" w:sz="6" w:space="0" w:color="auto"/>
            </w:tcBorders>
            <w:vAlign w:val="center"/>
          </w:tcPr>
          <w:p w:rsidR="001F02E6" w:rsidRPr="009072DA" w:rsidRDefault="001F02E6" w:rsidP="00AA5633">
            <w:pPr>
              <w:tabs>
                <w:tab w:val="left" w:pos="1632"/>
                <w:tab w:val="left" w:pos="3456"/>
              </w:tabs>
              <w:spacing w:before="60" w:after="60" w:line="240" w:lineRule="atLeast"/>
              <w:jc w:val="center"/>
              <w:rPr>
                <w:rFonts w:cs="Arial"/>
                <w:sz w:val="18"/>
                <w:szCs w:val="18"/>
                <w:lang w:val="bg-BG"/>
              </w:rPr>
            </w:pPr>
            <w:r w:rsidRPr="009072DA">
              <w:rPr>
                <w:sz w:val="18"/>
                <w:lang w:val="bg-BG"/>
              </w:rPr>
              <w:t>4</w:t>
            </w:r>
          </w:p>
        </w:tc>
      </w:tr>
      <w:tr w:rsidR="001F02E6" w:rsidRPr="008D2440"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9072DA" w:rsidRDefault="001F02E6" w:rsidP="001F02E6">
            <w:pPr>
              <w:tabs>
                <w:tab w:val="left" w:pos="1632"/>
                <w:tab w:val="left" w:pos="3456"/>
              </w:tabs>
              <w:spacing w:before="60" w:after="60" w:line="240" w:lineRule="atLeast"/>
              <w:jc w:val="center"/>
              <w:rPr>
                <w:rFonts w:cs="Arial"/>
                <w:sz w:val="18"/>
                <w:szCs w:val="18"/>
                <w:lang w:val="bg-BG"/>
              </w:rPr>
            </w:pPr>
            <w:r w:rsidRPr="009072DA">
              <w:rPr>
                <w:sz w:val="18"/>
                <w:lang w:val="bg-BG"/>
              </w:rPr>
              <w:t>4 &lt; S ≤ 16</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9072DA" w:rsidRDefault="001F02E6" w:rsidP="00AA5633">
            <w:pPr>
              <w:tabs>
                <w:tab w:val="left" w:pos="1632"/>
                <w:tab w:val="left" w:pos="3456"/>
              </w:tabs>
              <w:spacing w:before="60" w:after="60" w:line="240" w:lineRule="atLeast"/>
              <w:jc w:val="center"/>
              <w:rPr>
                <w:rFonts w:cs="Arial"/>
                <w:sz w:val="18"/>
                <w:szCs w:val="18"/>
                <w:lang w:val="bg-BG"/>
              </w:rPr>
            </w:pPr>
            <w:r w:rsidRPr="009072DA">
              <w:rPr>
                <w:sz w:val="18"/>
                <w:lang w:val="bg-BG"/>
              </w:rPr>
              <w:t>същото напречно сечение като за външния проводник</w:t>
            </w:r>
          </w:p>
        </w:tc>
      </w:tr>
      <w:tr w:rsidR="001F02E6" w:rsidRPr="009072DA"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9072DA" w:rsidRDefault="001F02E6" w:rsidP="001F02E6">
            <w:pPr>
              <w:tabs>
                <w:tab w:val="left" w:pos="1632"/>
                <w:tab w:val="left" w:pos="3456"/>
              </w:tabs>
              <w:spacing w:before="60" w:after="60" w:line="240" w:lineRule="atLeast"/>
              <w:jc w:val="center"/>
              <w:rPr>
                <w:rFonts w:cs="Arial"/>
                <w:sz w:val="18"/>
                <w:szCs w:val="18"/>
                <w:lang w:val="bg-BG"/>
              </w:rPr>
            </w:pPr>
            <w:r w:rsidRPr="009072DA">
              <w:rPr>
                <w:sz w:val="18"/>
                <w:lang w:val="bg-BG"/>
              </w:rPr>
              <w:t>16 &lt; S ≤ 35</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9072DA" w:rsidRDefault="001F02E6" w:rsidP="00AA5633">
            <w:pPr>
              <w:tabs>
                <w:tab w:val="left" w:pos="1632"/>
                <w:tab w:val="left" w:pos="3456"/>
              </w:tabs>
              <w:spacing w:before="60" w:after="60" w:line="240" w:lineRule="atLeast"/>
              <w:jc w:val="center"/>
              <w:rPr>
                <w:rFonts w:cs="Arial"/>
                <w:sz w:val="18"/>
                <w:szCs w:val="18"/>
                <w:lang w:val="bg-BG"/>
              </w:rPr>
            </w:pPr>
            <w:r w:rsidRPr="009072DA">
              <w:rPr>
                <w:sz w:val="18"/>
                <w:lang w:val="bg-BG"/>
              </w:rPr>
              <w:t>16</w:t>
            </w:r>
          </w:p>
        </w:tc>
      </w:tr>
      <w:tr w:rsidR="001F02E6" w:rsidRPr="008D2440"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9072DA" w:rsidRDefault="001F02E6" w:rsidP="001F02E6">
            <w:pPr>
              <w:tabs>
                <w:tab w:val="left" w:pos="1632"/>
                <w:tab w:val="left" w:pos="3456"/>
              </w:tabs>
              <w:spacing w:before="60" w:after="60" w:line="240" w:lineRule="atLeast"/>
              <w:jc w:val="center"/>
              <w:rPr>
                <w:rFonts w:cs="Arial"/>
                <w:sz w:val="18"/>
                <w:szCs w:val="18"/>
                <w:lang w:val="bg-BG"/>
              </w:rPr>
            </w:pPr>
            <w:r w:rsidRPr="009072DA">
              <w:rPr>
                <w:sz w:val="18"/>
                <w:lang w:val="bg-BG"/>
              </w:rPr>
              <w:t>35 &lt; S ≤ 120</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9072DA" w:rsidRDefault="001F02E6" w:rsidP="00AA5633">
            <w:pPr>
              <w:tabs>
                <w:tab w:val="left" w:pos="1632"/>
                <w:tab w:val="left" w:pos="3456"/>
              </w:tabs>
              <w:spacing w:before="60" w:after="60" w:line="240" w:lineRule="atLeast"/>
              <w:jc w:val="center"/>
              <w:rPr>
                <w:rFonts w:cs="Arial"/>
                <w:sz w:val="18"/>
                <w:szCs w:val="18"/>
                <w:lang w:val="bg-BG"/>
              </w:rPr>
            </w:pPr>
            <w:r w:rsidRPr="009072DA">
              <w:rPr>
                <w:sz w:val="18"/>
                <w:lang w:val="bg-BG"/>
              </w:rPr>
              <w:t>половината от напречно сечение на външния проводник</w:t>
            </w:r>
          </w:p>
        </w:tc>
      </w:tr>
      <w:tr w:rsidR="001F02E6" w:rsidRPr="009072DA"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9072DA" w:rsidRDefault="001F02E6" w:rsidP="001F02E6">
            <w:pPr>
              <w:tabs>
                <w:tab w:val="left" w:pos="1632"/>
                <w:tab w:val="left" w:pos="3456"/>
              </w:tabs>
              <w:spacing w:before="60" w:after="60" w:line="240" w:lineRule="atLeast"/>
              <w:jc w:val="center"/>
              <w:rPr>
                <w:rFonts w:cs="Arial"/>
                <w:sz w:val="18"/>
                <w:szCs w:val="18"/>
                <w:lang w:val="bg-BG"/>
              </w:rPr>
            </w:pPr>
            <w:r w:rsidRPr="009072DA">
              <w:rPr>
                <w:sz w:val="18"/>
                <w:lang w:val="bg-BG"/>
              </w:rPr>
              <w:t>S &gt; 120</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9072DA" w:rsidRDefault="001F02E6" w:rsidP="001F02E6">
            <w:pPr>
              <w:tabs>
                <w:tab w:val="left" w:pos="1632"/>
                <w:tab w:val="left" w:pos="3456"/>
              </w:tabs>
              <w:spacing w:before="60" w:after="60" w:line="240" w:lineRule="atLeast"/>
              <w:jc w:val="center"/>
              <w:rPr>
                <w:rFonts w:cs="Arial"/>
                <w:sz w:val="18"/>
                <w:szCs w:val="18"/>
                <w:lang w:val="bg-BG"/>
              </w:rPr>
            </w:pPr>
            <w:r w:rsidRPr="009072DA">
              <w:rPr>
                <w:sz w:val="18"/>
                <w:lang w:val="bg-BG"/>
              </w:rPr>
              <w:t>70</w:t>
            </w:r>
          </w:p>
        </w:tc>
      </w:tr>
    </w:tbl>
    <w:p w:rsidR="001D61F0" w:rsidRPr="009072DA" w:rsidRDefault="001D61F0" w:rsidP="008A12E7">
      <w:pPr>
        <w:rPr>
          <w:rFonts w:cs="Arial"/>
          <w:szCs w:val="20"/>
          <w:lang w:val="bg-BG"/>
        </w:rPr>
      </w:pPr>
    </w:p>
    <w:p w:rsidR="001D61F0" w:rsidRPr="009072DA" w:rsidRDefault="001D61F0" w:rsidP="008A12E7">
      <w:pPr>
        <w:rPr>
          <w:rFonts w:cs="Arial"/>
          <w:szCs w:val="20"/>
          <w:lang w:val="bg-BG"/>
        </w:rPr>
      </w:pPr>
    </w:p>
    <w:p w:rsidR="00C5222B" w:rsidRPr="009072DA" w:rsidRDefault="00C5222B">
      <w:pPr>
        <w:rPr>
          <w:rFonts w:cs="Arial"/>
          <w:szCs w:val="20"/>
          <w:lang w:val="bg-BG"/>
        </w:rPr>
      </w:pPr>
      <w:r w:rsidRPr="009072DA">
        <w:rPr>
          <w:lang w:val="bg-BG"/>
        </w:rPr>
        <w:br w:type="page"/>
      </w:r>
    </w:p>
    <w:p w:rsidR="00C5222B" w:rsidRPr="009072DA" w:rsidRDefault="00C5222B" w:rsidP="008A12E7">
      <w:pPr>
        <w:rPr>
          <w:rFonts w:cs="Arial"/>
          <w:szCs w:val="20"/>
          <w:lang w:val="bg-BG"/>
        </w:rPr>
      </w:pPr>
    </w:p>
    <w:p w:rsidR="008A12E7" w:rsidRPr="009072DA" w:rsidRDefault="008A12E7" w:rsidP="001D61F0">
      <w:pPr>
        <w:pStyle w:val="ES-Titre3"/>
        <w:rPr>
          <w:lang w:val="bg-BG"/>
        </w:rPr>
      </w:pPr>
      <w:bookmarkStart w:id="170" w:name="_Toc491854083"/>
      <w:bookmarkStart w:id="171" w:name="_Toc535827524"/>
      <w:r w:rsidRPr="009072DA">
        <w:rPr>
          <w:lang w:val="bg-BG"/>
        </w:rPr>
        <w:t>Член 10.06</w:t>
      </w:r>
      <w:r w:rsidRPr="009072DA">
        <w:rPr>
          <w:lang w:val="bg-BG"/>
        </w:rPr>
        <w:br/>
      </w:r>
      <w:r w:rsidRPr="009072DA">
        <w:rPr>
          <w:i/>
          <w:lang w:val="bg-BG"/>
        </w:rPr>
        <w:t>Максимално допустимо напрежение</w:t>
      </w:r>
      <w:bookmarkEnd w:id="170"/>
      <w:bookmarkEnd w:id="171"/>
    </w:p>
    <w:p w:rsidR="001D61F0" w:rsidRPr="009072DA" w:rsidRDefault="001D61F0" w:rsidP="008A12E7">
      <w:pPr>
        <w:rPr>
          <w:rFonts w:cs="Arial"/>
          <w:szCs w:val="20"/>
          <w:lang w:val="bg-BG"/>
        </w:rPr>
      </w:pPr>
    </w:p>
    <w:p w:rsidR="008A12E7" w:rsidRPr="009072DA" w:rsidRDefault="008A12E7" w:rsidP="001F02E6">
      <w:pPr>
        <w:pStyle w:val="ESch"/>
        <w:numPr>
          <w:ilvl w:val="0"/>
          <w:numId w:val="17"/>
        </w:numPr>
        <w:rPr>
          <w:lang w:val="bg-BG"/>
        </w:rPr>
      </w:pPr>
      <w:r w:rsidRPr="009072DA">
        <w:rPr>
          <w:lang w:val="bg-BG"/>
        </w:rPr>
        <w:t>Следните напрежения не трябва да се превишават:</w:t>
      </w:r>
    </w:p>
    <w:p w:rsidR="001F02E6" w:rsidRPr="009072DA" w:rsidRDefault="001F02E6" w:rsidP="001F02E6">
      <w:pPr>
        <w:pStyle w:val="ESch"/>
        <w:ind w:left="930" w:firstLine="0"/>
        <w:rPr>
          <w:lang w:val="bg-BG"/>
        </w:rPr>
      </w:pPr>
    </w:p>
    <w:tbl>
      <w:tblPr>
        <w:tblW w:w="9116" w:type="dxa"/>
        <w:tblInd w:w="34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3960"/>
        <w:gridCol w:w="1680"/>
        <w:gridCol w:w="1680"/>
        <w:gridCol w:w="1796"/>
      </w:tblGrid>
      <w:tr w:rsidR="001F02E6" w:rsidRPr="009072DA" w:rsidTr="001F02E6">
        <w:trPr>
          <w:cantSplit/>
          <w:tblHeader/>
        </w:trPr>
        <w:tc>
          <w:tcPr>
            <w:tcW w:w="3960" w:type="dxa"/>
            <w:vMerge w:val="restart"/>
            <w:vAlign w:val="center"/>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 xml:space="preserve">Вид оборудване или инсталация </w:t>
            </w:r>
          </w:p>
        </w:tc>
        <w:tc>
          <w:tcPr>
            <w:tcW w:w="5156" w:type="dxa"/>
            <w:gridSpan w:val="3"/>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Максимално допустимо напрежение</w:t>
            </w:r>
          </w:p>
        </w:tc>
      </w:tr>
      <w:tr w:rsidR="001F02E6" w:rsidRPr="009072DA" w:rsidTr="001F02E6">
        <w:trPr>
          <w:cantSplit/>
          <w:tblHeader/>
        </w:trPr>
        <w:tc>
          <w:tcPr>
            <w:tcW w:w="3960" w:type="dxa"/>
            <w:vMerge/>
            <w:tcBorders>
              <w:bottom w:val="single" w:sz="12" w:space="0" w:color="auto"/>
            </w:tcBorders>
          </w:tcPr>
          <w:p w:rsidR="001F02E6" w:rsidRPr="009072DA" w:rsidRDefault="001F02E6" w:rsidP="00666810">
            <w:pPr>
              <w:spacing w:before="60" w:after="60" w:line="240" w:lineRule="atLeast"/>
              <w:rPr>
                <w:rFonts w:eastAsia="Calibri" w:cs="Arial"/>
                <w:sz w:val="18"/>
                <w:szCs w:val="18"/>
                <w:lang w:val="bg-BG"/>
              </w:rPr>
            </w:pPr>
          </w:p>
        </w:tc>
        <w:tc>
          <w:tcPr>
            <w:tcW w:w="1680" w:type="dxa"/>
            <w:tcBorders>
              <w:bottom w:val="single" w:sz="12" w:space="0" w:color="auto"/>
            </w:tcBorders>
            <w:vAlign w:val="center"/>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Постоянен ток</w:t>
            </w:r>
          </w:p>
        </w:tc>
        <w:tc>
          <w:tcPr>
            <w:tcW w:w="1680" w:type="dxa"/>
            <w:tcBorders>
              <w:bottom w:val="single" w:sz="12" w:space="0" w:color="auto"/>
            </w:tcBorders>
            <w:vAlign w:val="center"/>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Еднофазен променлив ток</w:t>
            </w:r>
          </w:p>
        </w:tc>
        <w:tc>
          <w:tcPr>
            <w:tcW w:w="1796" w:type="dxa"/>
            <w:tcBorders>
              <w:bottom w:val="single" w:sz="12" w:space="0" w:color="auto"/>
            </w:tcBorders>
            <w:vAlign w:val="center"/>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Трифазен променлив ток</w:t>
            </w:r>
          </w:p>
        </w:tc>
      </w:tr>
      <w:tr w:rsidR="001F02E6" w:rsidRPr="009072DA" w:rsidTr="00AA5633">
        <w:tc>
          <w:tcPr>
            <w:tcW w:w="3960" w:type="dxa"/>
            <w:tcBorders>
              <w:top w:val="single" w:sz="12" w:space="0" w:color="auto"/>
            </w:tcBorders>
            <w:vAlign w:val="bottom"/>
          </w:tcPr>
          <w:p w:rsidR="001F02E6" w:rsidRPr="009072DA" w:rsidRDefault="001F02E6" w:rsidP="00666810">
            <w:pPr>
              <w:tabs>
                <w:tab w:val="left" w:leader="dot" w:pos="3621"/>
              </w:tabs>
              <w:spacing w:before="60" w:after="60" w:line="240" w:lineRule="atLeast"/>
              <w:ind w:left="360" w:hanging="357"/>
              <w:rPr>
                <w:rFonts w:eastAsia="Calibri" w:cs="Arial"/>
                <w:sz w:val="18"/>
                <w:szCs w:val="18"/>
                <w:lang w:val="bg-BG"/>
              </w:rPr>
            </w:pPr>
            <w:r w:rsidRPr="009072DA">
              <w:rPr>
                <w:sz w:val="18"/>
                <w:lang w:val="bg-BG"/>
              </w:rPr>
              <w:t>a)</w:t>
            </w:r>
            <w:r w:rsidRPr="009072DA">
              <w:rPr>
                <w:lang w:val="bg-BG"/>
              </w:rPr>
              <w:tab/>
            </w:r>
            <w:r w:rsidRPr="009072DA">
              <w:rPr>
                <w:sz w:val="18"/>
                <w:lang w:val="bg-BG"/>
              </w:rPr>
              <w:t xml:space="preserve">Захранващи и отоплителни инсталации, включително съединителните муфи за общо ползване </w:t>
            </w:r>
            <w:r w:rsidRPr="009072DA">
              <w:rPr>
                <w:lang w:val="bg-BG"/>
              </w:rPr>
              <w:tab/>
            </w:r>
          </w:p>
        </w:tc>
        <w:tc>
          <w:tcPr>
            <w:tcW w:w="1680" w:type="dxa"/>
            <w:tcBorders>
              <w:top w:val="single" w:sz="12" w:space="0" w:color="auto"/>
            </w:tcBorders>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250 V</w:t>
            </w:r>
          </w:p>
        </w:tc>
        <w:tc>
          <w:tcPr>
            <w:tcW w:w="1680" w:type="dxa"/>
            <w:tcBorders>
              <w:top w:val="single" w:sz="12" w:space="0" w:color="auto"/>
            </w:tcBorders>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250 V</w:t>
            </w:r>
          </w:p>
        </w:tc>
        <w:tc>
          <w:tcPr>
            <w:tcW w:w="1796" w:type="dxa"/>
            <w:tcBorders>
              <w:top w:val="single" w:sz="12" w:space="0" w:color="auto"/>
            </w:tcBorders>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690 V</w:t>
            </w:r>
          </w:p>
        </w:tc>
      </w:tr>
      <w:tr w:rsidR="001F02E6" w:rsidRPr="009072DA" w:rsidTr="00AA5633">
        <w:tc>
          <w:tcPr>
            <w:tcW w:w="3960" w:type="dxa"/>
            <w:vAlign w:val="bottom"/>
          </w:tcPr>
          <w:p w:rsidR="001F02E6" w:rsidRPr="009072DA" w:rsidRDefault="001F02E6" w:rsidP="00666810">
            <w:pPr>
              <w:tabs>
                <w:tab w:val="left" w:leader="dot" w:pos="3621"/>
              </w:tabs>
              <w:spacing w:before="60" w:after="60" w:line="240" w:lineRule="atLeast"/>
              <w:ind w:left="360" w:hanging="357"/>
              <w:rPr>
                <w:rFonts w:eastAsia="Calibri" w:cs="Arial"/>
                <w:sz w:val="18"/>
                <w:szCs w:val="18"/>
                <w:lang w:val="bg-BG"/>
              </w:rPr>
            </w:pPr>
            <w:r w:rsidRPr="009072DA">
              <w:rPr>
                <w:sz w:val="18"/>
                <w:lang w:val="bg-BG"/>
              </w:rPr>
              <w:t>б)</w:t>
            </w:r>
            <w:r w:rsidRPr="009072DA">
              <w:rPr>
                <w:lang w:val="bg-BG"/>
              </w:rPr>
              <w:tab/>
            </w:r>
            <w:r w:rsidRPr="009072DA">
              <w:rPr>
                <w:sz w:val="18"/>
                <w:lang w:val="bg-BG"/>
              </w:rPr>
              <w:t xml:space="preserve">Инсталации за осветление, предаване на заповеди и информация, включително гнезда за общо ползване </w:t>
            </w:r>
            <w:r w:rsidRPr="009072DA">
              <w:rPr>
                <w:lang w:val="bg-BG"/>
              </w:rPr>
              <w:tab/>
            </w:r>
          </w:p>
        </w:tc>
        <w:tc>
          <w:tcPr>
            <w:tcW w:w="1680" w:type="dxa"/>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250 V</w:t>
            </w:r>
          </w:p>
        </w:tc>
        <w:tc>
          <w:tcPr>
            <w:tcW w:w="1680" w:type="dxa"/>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250 V</w:t>
            </w:r>
          </w:p>
        </w:tc>
        <w:tc>
          <w:tcPr>
            <w:tcW w:w="1796" w:type="dxa"/>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w:t>
            </w:r>
          </w:p>
        </w:tc>
      </w:tr>
      <w:tr w:rsidR="001F02E6" w:rsidRPr="009072DA" w:rsidTr="00AA5633">
        <w:tc>
          <w:tcPr>
            <w:tcW w:w="3960" w:type="dxa"/>
            <w:vAlign w:val="bottom"/>
          </w:tcPr>
          <w:p w:rsidR="001F02E6" w:rsidRPr="009072DA" w:rsidRDefault="001F02E6" w:rsidP="005C5181">
            <w:pPr>
              <w:tabs>
                <w:tab w:val="left" w:leader="dot" w:pos="3621"/>
              </w:tabs>
              <w:spacing w:before="60" w:after="60" w:line="240" w:lineRule="atLeast"/>
              <w:ind w:left="360" w:hanging="357"/>
              <w:rPr>
                <w:rFonts w:eastAsia="Calibri" w:cs="Arial"/>
                <w:sz w:val="18"/>
                <w:szCs w:val="18"/>
                <w:lang w:val="bg-BG"/>
              </w:rPr>
            </w:pPr>
            <w:r w:rsidRPr="009072DA">
              <w:rPr>
                <w:sz w:val="18"/>
                <w:lang w:val="bg-BG"/>
              </w:rPr>
              <w:t>в)</w:t>
            </w:r>
            <w:r w:rsidRPr="009072DA">
              <w:rPr>
                <w:lang w:val="bg-BG"/>
              </w:rPr>
              <w:tab/>
            </w:r>
            <w:r w:rsidRPr="009072DA">
              <w:rPr>
                <w:sz w:val="18"/>
                <w:lang w:val="bg-BG"/>
              </w:rPr>
              <w:t>Съединителни муфи за електрозахранване на подвижните електрически съоръжения, използвани на открити палуби или в ограничени или влажни, изградени от метал помещения, различни от котли и резервоари</w:t>
            </w:r>
          </w:p>
        </w:tc>
        <w:tc>
          <w:tcPr>
            <w:tcW w:w="1680" w:type="dxa"/>
            <w:vAlign w:val="bottom"/>
          </w:tcPr>
          <w:p w:rsidR="001F02E6" w:rsidRPr="009072DA" w:rsidRDefault="001F02E6" w:rsidP="00666810">
            <w:pPr>
              <w:spacing w:before="60" w:after="60" w:line="240" w:lineRule="atLeast"/>
              <w:jc w:val="center"/>
              <w:rPr>
                <w:rFonts w:eastAsia="Calibri" w:cs="Arial"/>
                <w:sz w:val="18"/>
                <w:szCs w:val="18"/>
                <w:lang w:val="bg-BG"/>
              </w:rPr>
            </w:pPr>
          </w:p>
        </w:tc>
        <w:tc>
          <w:tcPr>
            <w:tcW w:w="1680" w:type="dxa"/>
            <w:vAlign w:val="bottom"/>
          </w:tcPr>
          <w:p w:rsidR="001F02E6" w:rsidRPr="009072DA" w:rsidRDefault="001F02E6" w:rsidP="00666810">
            <w:pPr>
              <w:spacing w:before="60" w:after="60" w:line="240" w:lineRule="atLeast"/>
              <w:jc w:val="center"/>
              <w:rPr>
                <w:rFonts w:eastAsia="Calibri" w:cs="Arial"/>
                <w:sz w:val="18"/>
                <w:szCs w:val="18"/>
                <w:lang w:val="bg-BG"/>
              </w:rPr>
            </w:pPr>
          </w:p>
        </w:tc>
        <w:tc>
          <w:tcPr>
            <w:tcW w:w="1796" w:type="dxa"/>
            <w:vAlign w:val="bottom"/>
          </w:tcPr>
          <w:p w:rsidR="001F02E6" w:rsidRPr="009072DA" w:rsidRDefault="001F02E6" w:rsidP="00666810">
            <w:pPr>
              <w:spacing w:before="60" w:after="60" w:line="240" w:lineRule="atLeast"/>
              <w:jc w:val="center"/>
              <w:rPr>
                <w:rFonts w:eastAsia="Calibri" w:cs="Arial"/>
                <w:sz w:val="18"/>
                <w:szCs w:val="18"/>
                <w:lang w:val="bg-BG"/>
              </w:rPr>
            </w:pPr>
          </w:p>
        </w:tc>
      </w:tr>
      <w:tr w:rsidR="001F02E6" w:rsidRPr="009072DA" w:rsidTr="00AA5633">
        <w:tc>
          <w:tcPr>
            <w:tcW w:w="3960" w:type="dxa"/>
            <w:vAlign w:val="bottom"/>
          </w:tcPr>
          <w:p w:rsidR="001F02E6" w:rsidRPr="009072DA" w:rsidRDefault="001F02E6" w:rsidP="00666810">
            <w:pPr>
              <w:tabs>
                <w:tab w:val="left" w:leader="dot" w:pos="3621"/>
              </w:tabs>
              <w:spacing w:before="60" w:after="60" w:line="240" w:lineRule="atLeast"/>
              <w:ind w:left="720" w:hanging="357"/>
              <w:rPr>
                <w:rFonts w:eastAsia="Calibri" w:cs="Arial"/>
                <w:sz w:val="18"/>
                <w:szCs w:val="18"/>
                <w:lang w:val="bg-BG"/>
              </w:rPr>
            </w:pPr>
            <w:r w:rsidRPr="009072DA">
              <w:rPr>
                <w:sz w:val="18"/>
                <w:lang w:val="bg-BG"/>
              </w:rPr>
              <w:t>1.</w:t>
            </w:r>
            <w:r w:rsidRPr="009072DA">
              <w:rPr>
                <w:lang w:val="bg-BG"/>
              </w:rPr>
              <w:tab/>
            </w:r>
            <w:r w:rsidRPr="009072DA">
              <w:rPr>
                <w:sz w:val="18"/>
                <w:lang w:val="bg-BG"/>
              </w:rPr>
              <w:t xml:space="preserve">Общи положения </w:t>
            </w:r>
            <w:r w:rsidRPr="009072DA">
              <w:rPr>
                <w:lang w:val="bg-BG"/>
              </w:rPr>
              <w:tab/>
            </w:r>
          </w:p>
        </w:tc>
        <w:tc>
          <w:tcPr>
            <w:tcW w:w="1680" w:type="dxa"/>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50 V</w:t>
            </w:r>
            <w:r w:rsidRPr="009072DA">
              <w:rPr>
                <w:sz w:val="18"/>
                <w:vertAlign w:val="superscript"/>
                <w:lang w:val="bg-BG"/>
              </w:rPr>
              <w:t>(1)</w:t>
            </w:r>
          </w:p>
        </w:tc>
        <w:tc>
          <w:tcPr>
            <w:tcW w:w="1680" w:type="dxa"/>
            <w:vAlign w:val="bottom"/>
          </w:tcPr>
          <w:p w:rsidR="001F02E6" w:rsidRPr="009072DA" w:rsidRDefault="001F02E6" w:rsidP="00666810">
            <w:pPr>
              <w:spacing w:before="60" w:after="60" w:line="240" w:lineRule="atLeast"/>
              <w:jc w:val="center"/>
              <w:rPr>
                <w:rFonts w:eastAsia="Calibri" w:cs="Arial"/>
                <w:sz w:val="18"/>
                <w:szCs w:val="18"/>
                <w:vertAlign w:val="superscript"/>
                <w:lang w:val="bg-BG"/>
              </w:rPr>
            </w:pPr>
            <w:r w:rsidRPr="009072DA">
              <w:rPr>
                <w:sz w:val="18"/>
                <w:lang w:val="bg-BG"/>
              </w:rPr>
              <w:t>50 V</w:t>
            </w:r>
            <w:r w:rsidRPr="009072DA">
              <w:rPr>
                <w:sz w:val="18"/>
                <w:vertAlign w:val="superscript"/>
                <w:lang w:val="bg-BG"/>
              </w:rPr>
              <w:t>(1)</w:t>
            </w:r>
          </w:p>
        </w:tc>
        <w:tc>
          <w:tcPr>
            <w:tcW w:w="1796" w:type="dxa"/>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w:t>
            </w:r>
          </w:p>
        </w:tc>
      </w:tr>
      <w:tr w:rsidR="001F02E6" w:rsidRPr="009072DA" w:rsidTr="00AA5633">
        <w:tc>
          <w:tcPr>
            <w:tcW w:w="3960" w:type="dxa"/>
            <w:vAlign w:val="bottom"/>
          </w:tcPr>
          <w:p w:rsidR="001F02E6" w:rsidRPr="009072DA" w:rsidRDefault="001F02E6" w:rsidP="003A47CF">
            <w:pPr>
              <w:tabs>
                <w:tab w:val="left" w:leader="dot" w:pos="3621"/>
              </w:tabs>
              <w:spacing w:before="60" w:after="60" w:line="240" w:lineRule="atLeast"/>
              <w:ind w:left="720" w:hanging="357"/>
              <w:rPr>
                <w:rFonts w:eastAsia="Calibri" w:cs="Arial"/>
                <w:sz w:val="18"/>
                <w:szCs w:val="18"/>
                <w:lang w:val="bg-BG"/>
              </w:rPr>
            </w:pPr>
            <w:r w:rsidRPr="009072DA">
              <w:rPr>
                <w:sz w:val="18"/>
                <w:lang w:val="bg-BG"/>
              </w:rPr>
              <w:t>2.</w:t>
            </w:r>
            <w:r w:rsidRPr="009072DA">
              <w:rPr>
                <w:lang w:val="bg-BG"/>
              </w:rPr>
              <w:tab/>
            </w:r>
            <w:r w:rsidRPr="009072DA">
              <w:rPr>
                <w:sz w:val="18"/>
                <w:lang w:val="bg-BG"/>
              </w:rPr>
              <w:t xml:space="preserve">В случай че се използва трансформатор за изолация, обслужващ едно използвано оборудване </w:t>
            </w:r>
            <w:r w:rsidRPr="009072DA">
              <w:rPr>
                <w:lang w:val="bg-BG"/>
              </w:rPr>
              <w:tab/>
            </w:r>
          </w:p>
        </w:tc>
        <w:tc>
          <w:tcPr>
            <w:tcW w:w="1680" w:type="dxa"/>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w:t>
            </w:r>
          </w:p>
        </w:tc>
        <w:tc>
          <w:tcPr>
            <w:tcW w:w="1680" w:type="dxa"/>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250 V</w:t>
            </w:r>
            <w:r w:rsidRPr="009072DA">
              <w:rPr>
                <w:sz w:val="18"/>
                <w:vertAlign w:val="superscript"/>
                <w:lang w:val="bg-BG"/>
              </w:rPr>
              <w:t>2)</w:t>
            </w:r>
          </w:p>
        </w:tc>
        <w:tc>
          <w:tcPr>
            <w:tcW w:w="1796" w:type="dxa"/>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w:t>
            </w:r>
          </w:p>
        </w:tc>
      </w:tr>
      <w:tr w:rsidR="001F02E6" w:rsidRPr="009072DA" w:rsidTr="00AA5633">
        <w:tc>
          <w:tcPr>
            <w:tcW w:w="3960" w:type="dxa"/>
            <w:vAlign w:val="bottom"/>
          </w:tcPr>
          <w:p w:rsidR="001F02E6" w:rsidRPr="009072DA" w:rsidRDefault="001F02E6" w:rsidP="00666810">
            <w:pPr>
              <w:tabs>
                <w:tab w:val="left" w:leader="dot" w:pos="3621"/>
              </w:tabs>
              <w:spacing w:before="60" w:after="60" w:line="240" w:lineRule="atLeast"/>
              <w:ind w:left="720" w:hanging="357"/>
              <w:rPr>
                <w:rFonts w:eastAsia="Calibri" w:cs="Arial"/>
                <w:sz w:val="18"/>
                <w:szCs w:val="18"/>
                <w:lang w:val="bg-BG"/>
              </w:rPr>
            </w:pPr>
            <w:r w:rsidRPr="009072DA">
              <w:rPr>
                <w:sz w:val="18"/>
                <w:lang w:val="bg-BG"/>
              </w:rPr>
              <w:t>3.</w:t>
            </w:r>
            <w:r w:rsidRPr="009072DA">
              <w:rPr>
                <w:lang w:val="bg-BG"/>
              </w:rPr>
              <w:tab/>
            </w:r>
            <w:r w:rsidRPr="009072DA">
              <w:rPr>
                <w:sz w:val="18"/>
                <w:lang w:val="bg-BG"/>
              </w:rPr>
              <w:t xml:space="preserve">В случай че се използва оборудване, снабдено със защитна изолация (двойна изолация) </w:t>
            </w:r>
            <w:r w:rsidRPr="009072DA">
              <w:rPr>
                <w:lang w:val="bg-BG"/>
              </w:rPr>
              <w:tab/>
            </w:r>
          </w:p>
        </w:tc>
        <w:tc>
          <w:tcPr>
            <w:tcW w:w="1680" w:type="dxa"/>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250 V</w:t>
            </w:r>
          </w:p>
        </w:tc>
        <w:tc>
          <w:tcPr>
            <w:tcW w:w="1680" w:type="dxa"/>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250 V</w:t>
            </w:r>
          </w:p>
        </w:tc>
        <w:tc>
          <w:tcPr>
            <w:tcW w:w="1796" w:type="dxa"/>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w:t>
            </w:r>
          </w:p>
        </w:tc>
      </w:tr>
      <w:tr w:rsidR="001F02E6" w:rsidRPr="009072DA" w:rsidTr="00AA5633">
        <w:tc>
          <w:tcPr>
            <w:tcW w:w="3960" w:type="dxa"/>
            <w:vAlign w:val="bottom"/>
          </w:tcPr>
          <w:p w:rsidR="001F02E6" w:rsidRPr="009072DA" w:rsidRDefault="001F02E6" w:rsidP="00666810">
            <w:pPr>
              <w:tabs>
                <w:tab w:val="left" w:leader="dot" w:pos="3621"/>
              </w:tabs>
              <w:spacing w:before="60" w:after="60" w:line="240" w:lineRule="atLeast"/>
              <w:ind w:left="720" w:hanging="357"/>
              <w:rPr>
                <w:rFonts w:eastAsia="Calibri" w:cs="Arial"/>
                <w:sz w:val="18"/>
                <w:szCs w:val="18"/>
                <w:lang w:val="bg-BG"/>
              </w:rPr>
            </w:pPr>
            <w:r w:rsidRPr="009072DA">
              <w:rPr>
                <w:sz w:val="18"/>
                <w:lang w:val="bg-BG"/>
              </w:rPr>
              <w:t>4.</w:t>
            </w:r>
            <w:r w:rsidRPr="009072DA">
              <w:rPr>
                <w:lang w:val="bg-BG"/>
              </w:rPr>
              <w:tab/>
            </w:r>
            <w:r w:rsidRPr="009072DA">
              <w:rPr>
                <w:sz w:val="18"/>
                <w:lang w:val="bg-BG"/>
              </w:rPr>
              <w:t xml:space="preserve">В случай че се използва използване на прекъсвач на остатъчен ток ≤ 30 mA </w:t>
            </w:r>
            <w:r w:rsidRPr="009072DA">
              <w:rPr>
                <w:lang w:val="bg-BG"/>
              </w:rPr>
              <w:tab/>
            </w:r>
          </w:p>
        </w:tc>
        <w:tc>
          <w:tcPr>
            <w:tcW w:w="1680" w:type="dxa"/>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w:t>
            </w:r>
          </w:p>
        </w:tc>
        <w:tc>
          <w:tcPr>
            <w:tcW w:w="1680" w:type="dxa"/>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250 V</w:t>
            </w:r>
          </w:p>
        </w:tc>
        <w:tc>
          <w:tcPr>
            <w:tcW w:w="1796" w:type="dxa"/>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690 V</w:t>
            </w:r>
          </w:p>
        </w:tc>
      </w:tr>
      <w:tr w:rsidR="001F02E6" w:rsidRPr="009072DA" w:rsidTr="00666810">
        <w:trPr>
          <w:cantSplit/>
        </w:trPr>
        <w:tc>
          <w:tcPr>
            <w:tcW w:w="3960" w:type="dxa"/>
            <w:vAlign w:val="bottom"/>
          </w:tcPr>
          <w:p w:rsidR="001F02E6" w:rsidRPr="009072DA" w:rsidRDefault="001F02E6" w:rsidP="00666810">
            <w:pPr>
              <w:tabs>
                <w:tab w:val="left" w:leader="dot" w:pos="3621"/>
              </w:tabs>
              <w:spacing w:before="60" w:after="60" w:line="240" w:lineRule="atLeast"/>
              <w:ind w:left="360" w:hanging="357"/>
              <w:rPr>
                <w:rFonts w:eastAsia="Calibri" w:cs="Arial"/>
                <w:sz w:val="18"/>
                <w:szCs w:val="18"/>
                <w:lang w:val="bg-BG"/>
              </w:rPr>
            </w:pPr>
            <w:r w:rsidRPr="009072DA">
              <w:rPr>
                <w:sz w:val="18"/>
                <w:lang w:val="bg-BG"/>
              </w:rPr>
              <w:t>г)</w:t>
            </w:r>
            <w:r w:rsidRPr="009072DA">
              <w:rPr>
                <w:lang w:val="bg-BG"/>
              </w:rPr>
              <w:tab/>
            </w:r>
            <w:r w:rsidRPr="009072DA">
              <w:rPr>
                <w:sz w:val="18"/>
                <w:lang w:val="bg-BG"/>
              </w:rPr>
              <w:t xml:space="preserve">Мобилно електрическо оборудване (например електрически устройства за контейнери, двигатели, вентилатори и помпи), които обичайно не се коригират по време на работа, чиито открити тоководещи части са заземени с помощта на защитен проводник, интегриран в свързващия кабел, и които са свързани с корпуса, не само от този защитен проводник, а от тяхното местоположение или от друг проводник </w:t>
            </w:r>
            <w:r w:rsidRPr="009072DA">
              <w:rPr>
                <w:lang w:val="bg-BG"/>
              </w:rPr>
              <w:tab/>
            </w:r>
          </w:p>
        </w:tc>
        <w:tc>
          <w:tcPr>
            <w:tcW w:w="1680" w:type="dxa"/>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250 V</w:t>
            </w:r>
          </w:p>
        </w:tc>
        <w:tc>
          <w:tcPr>
            <w:tcW w:w="1680" w:type="dxa"/>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250 V</w:t>
            </w:r>
          </w:p>
        </w:tc>
        <w:tc>
          <w:tcPr>
            <w:tcW w:w="1796" w:type="dxa"/>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690 V</w:t>
            </w:r>
          </w:p>
        </w:tc>
      </w:tr>
      <w:tr w:rsidR="001F02E6" w:rsidRPr="009072DA" w:rsidTr="00AA5633">
        <w:tc>
          <w:tcPr>
            <w:tcW w:w="3960" w:type="dxa"/>
            <w:vAlign w:val="bottom"/>
          </w:tcPr>
          <w:p w:rsidR="001F02E6" w:rsidRPr="009072DA" w:rsidRDefault="001F02E6" w:rsidP="00666810">
            <w:pPr>
              <w:tabs>
                <w:tab w:val="left" w:leader="dot" w:pos="3621"/>
              </w:tabs>
              <w:spacing w:before="60" w:after="60" w:line="240" w:lineRule="atLeast"/>
              <w:ind w:left="360" w:hanging="357"/>
              <w:rPr>
                <w:rFonts w:eastAsia="Calibri" w:cs="Arial"/>
                <w:sz w:val="18"/>
                <w:szCs w:val="18"/>
                <w:lang w:val="bg-BG"/>
              </w:rPr>
            </w:pPr>
            <w:r w:rsidRPr="009072DA">
              <w:rPr>
                <w:sz w:val="18"/>
                <w:lang w:val="bg-BG"/>
              </w:rPr>
              <w:t>д)</w:t>
            </w:r>
            <w:r w:rsidRPr="009072DA">
              <w:rPr>
                <w:lang w:val="bg-BG"/>
              </w:rPr>
              <w:tab/>
            </w:r>
            <w:r w:rsidRPr="009072DA">
              <w:rPr>
                <w:sz w:val="18"/>
                <w:lang w:val="bg-BG"/>
              </w:rPr>
              <w:t xml:space="preserve">Съединителни муфи за електрозахранване на мобилно електрическо оборудване, използвано в котли и резервоари </w:t>
            </w:r>
            <w:r w:rsidRPr="009072DA">
              <w:rPr>
                <w:lang w:val="bg-BG"/>
              </w:rPr>
              <w:tab/>
            </w:r>
          </w:p>
        </w:tc>
        <w:tc>
          <w:tcPr>
            <w:tcW w:w="1680" w:type="dxa"/>
            <w:vAlign w:val="bottom"/>
          </w:tcPr>
          <w:p w:rsidR="001F02E6" w:rsidRPr="009072DA" w:rsidRDefault="001F02E6" w:rsidP="00666810">
            <w:pPr>
              <w:spacing w:before="60" w:after="60" w:line="240" w:lineRule="atLeast"/>
              <w:jc w:val="center"/>
              <w:rPr>
                <w:rFonts w:eastAsia="Calibri" w:cs="Arial"/>
                <w:sz w:val="18"/>
                <w:szCs w:val="18"/>
                <w:vertAlign w:val="superscript"/>
                <w:lang w:val="bg-BG"/>
              </w:rPr>
            </w:pPr>
            <w:r w:rsidRPr="009072DA">
              <w:rPr>
                <w:sz w:val="18"/>
                <w:lang w:val="bg-BG"/>
              </w:rPr>
              <w:t>50 V</w:t>
            </w:r>
            <w:r w:rsidRPr="009072DA">
              <w:rPr>
                <w:sz w:val="18"/>
                <w:vertAlign w:val="superscript"/>
                <w:lang w:val="bg-BG"/>
              </w:rPr>
              <w:t>1)</w:t>
            </w:r>
          </w:p>
        </w:tc>
        <w:tc>
          <w:tcPr>
            <w:tcW w:w="1680" w:type="dxa"/>
            <w:vAlign w:val="bottom"/>
          </w:tcPr>
          <w:p w:rsidR="001F02E6" w:rsidRPr="009072DA" w:rsidRDefault="001F02E6" w:rsidP="00666810">
            <w:pPr>
              <w:spacing w:before="60" w:after="60" w:line="240" w:lineRule="atLeast"/>
              <w:jc w:val="center"/>
              <w:rPr>
                <w:rFonts w:eastAsia="Calibri" w:cs="Arial"/>
                <w:sz w:val="18"/>
                <w:szCs w:val="18"/>
                <w:vertAlign w:val="superscript"/>
                <w:lang w:val="bg-BG"/>
              </w:rPr>
            </w:pPr>
            <w:r w:rsidRPr="009072DA">
              <w:rPr>
                <w:sz w:val="18"/>
                <w:lang w:val="bg-BG"/>
              </w:rPr>
              <w:t>50 V</w:t>
            </w:r>
            <w:r w:rsidRPr="009072DA">
              <w:rPr>
                <w:sz w:val="18"/>
                <w:vertAlign w:val="superscript"/>
                <w:lang w:val="bg-BG"/>
              </w:rPr>
              <w:t>(1)</w:t>
            </w:r>
          </w:p>
        </w:tc>
        <w:tc>
          <w:tcPr>
            <w:tcW w:w="1796" w:type="dxa"/>
            <w:vAlign w:val="bottom"/>
          </w:tcPr>
          <w:p w:rsidR="001F02E6" w:rsidRPr="009072DA" w:rsidRDefault="001F02E6" w:rsidP="00666810">
            <w:pPr>
              <w:spacing w:before="60" w:after="60" w:line="240" w:lineRule="atLeast"/>
              <w:jc w:val="center"/>
              <w:rPr>
                <w:rFonts w:eastAsia="Calibri" w:cs="Arial"/>
                <w:sz w:val="18"/>
                <w:szCs w:val="18"/>
                <w:lang w:val="bg-BG"/>
              </w:rPr>
            </w:pPr>
            <w:r w:rsidRPr="009072DA">
              <w:rPr>
                <w:sz w:val="18"/>
                <w:lang w:val="bg-BG"/>
              </w:rPr>
              <w:t>-</w:t>
            </w:r>
          </w:p>
        </w:tc>
      </w:tr>
      <w:tr w:rsidR="001F02E6" w:rsidRPr="008D2440" w:rsidTr="001F02E6">
        <w:tc>
          <w:tcPr>
            <w:tcW w:w="9116" w:type="dxa"/>
            <w:gridSpan w:val="4"/>
          </w:tcPr>
          <w:p w:rsidR="001F02E6" w:rsidRPr="009072DA" w:rsidRDefault="001F02E6" w:rsidP="00666810">
            <w:pPr>
              <w:spacing w:before="60" w:after="60" w:line="240" w:lineRule="atLeast"/>
              <w:rPr>
                <w:rFonts w:eastAsia="Calibri" w:cs="Arial"/>
                <w:sz w:val="18"/>
                <w:szCs w:val="18"/>
                <w:lang w:val="bg-BG"/>
              </w:rPr>
            </w:pPr>
            <w:r w:rsidRPr="009072DA">
              <w:rPr>
                <w:sz w:val="18"/>
                <w:lang w:val="bg-BG"/>
              </w:rPr>
              <w:t>Забележки:</w:t>
            </w:r>
          </w:p>
          <w:p w:rsidR="001F02E6" w:rsidRPr="009072DA" w:rsidRDefault="00666810" w:rsidP="00666810">
            <w:pPr>
              <w:spacing w:before="60" w:after="60" w:line="240" w:lineRule="atLeast"/>
              <w:ind w:left="240" w:hanging="240"/>
              <w:rPr>
                <w:rFonts w:eastAsia="Calibri" w:cs="Arial"/>
                <w:sz w:val="18"/>
                <w:szCs w:val="18"/>
                <w:lang w:val="bg-BG"/>
              </w:rPr>
            </w:pPr>
            <w:r w:rsidRPr="009072DA">
              <w:rPr>
                <w:sz w:val="18"/>
                <w:vertAlign w:val="superscript"/>
                <w:lang w:val="bg-BG"/>
              </w:rPr>
              <w:lastRenderedPageBreak/>
              <w:t>(1)</w:t>
            </w:r>
            <w:r w:rsidRPr="009072DA">
              <w:rPr>
                <w:lang w:val="bg-BG"/>
              </w:rPr>
              <w:tab/>
            </w:r>
            <w:r w:rsidRPr="009072DA">
              <w:rPr>
                <w:sz w:val="18"/>
                <w:lang w:val="bg-BG"/>
              </w:rPr>
              <w:t>Когато това напрежение идва от мрежи с по-високо напрежение, трябва да се използва галванична изолация (трансформатор за изолация).</w:t>
            </w:r>
          </w:p>
          <w:p w:rsidR="001F02E6" w:rsidRPr="009072DA" w:rsidRDefault="00666810" w:rsidP="00666810">
            <w:pPr>
              <w:spacing w:before="60" w:after="60" w:line="240" w:lineRule="atLeast"/>
              <w:ind w:left="240" w:hanging="240"/>
              <w:rPr>
                <w:rFonts w:eastAsia="Calibri" w:cs="Arial"/>
                <w:sz w:val="18"/>
                <w:szCs w:val="18"/>
                <w:lang w:val="bg-BG"/>
              </w:rPr>
            </w:pPr>
            <w:r w:rsidRPr="009072DA">
              <w:rPr>
                <w:sz w:val="18"/>
                <w:vertAlign w:val="superscript"/>
                <w:lang w:val="bg-BG"/>
              </w:rPr>
              <w:t>(2)</w:t>
            </w:r>
            <w:r w:rsidRPr="009072DA">
              <w:rPr>
                <w:lang w:val="bg-BG"/>
              </w:rPr>
              <w:tab/>
            </w:r>
            <w:r w:rsidRPr="009072DA">
              <w:rPr>
                <w:sz w:val="18"/>
                <w:lang w:val="bg-BG"/>
              </w:rPr>
              <w:t>Вторичната електрическа верига трябва да бъде изолирана от шасито за всички полярности.</w:t>
            </w:r>
          </w:p>
        </w:tc>
      </w:tr>
    </w:tbl>
    <w:p w:rsidR="001F02E6" w:rsidRPr="009072DA" w:rsidRDefault="001F02E6" w:rsidP="001F02E6">
      <w:pPr>
        <w:pStyle w:val="ESch"/>
        <w:rPr>
          <w:lang w:val="bg-BG"/>
        </w:rPr>
      </w:pPr>
    </w:p>
    <w:p w:rsidR="00AB2818" w:rsidRPr="009072DA" w:rsidRDefault="00AB2818">
      <w:pPr>
        <w:rPr>
          <w:lang w:val="bg-BG"/>
        </w:rPr>
      </w:pPr>
      <w:r w:rsidRPr="009072DA">
        <w:rPr>
          <w:lang w:val="bg-BG"/>
        </w:rPr>
        <w:br w:type="page"/>
      </w:r>
    </w:p>
    <w:p w:rsidR="00AB2818" w:rsidRPr="009072DA" w:rsidRDefault="00AB2818" w:rsidP="001F02E6">
      <w:pPr>
        <w:pStyle w:val="ESch"/>
        <w:rPr>
          <w:lang w:val="bg-BG"/>
        </w:rPr>
      </w:pPr>
    </w:p>
    <w:p w:rsidR="001F02E6" w:rsidRPr="009072DA" w:rsidRDefault="001F02E6" w:rsidP="001F02E6">
      <w:pPr>
        <w:pStyle w:val="ESch"/>
        <w:rPr>
          <w:rFonts w:eastAsia="Calibri"/>
          <w:lang w:val="bg-BG"/>
        </w:rPr>
      </w:pPr>
      <w:r w:rsidRPr="009072DA">
        <w:rPr>
          <w:lang w:val="bg-BG"/>
        </w:rPr>
        <w:t>2.</w:t>
      </w:r>
      <w:r w:rsidRPr="009072DA">
        <w:rPr>
          <w:lang w:val="bg-BG"/>
        </w:rPr>
        <w:tab/>
        <w:t>Ако необходимите защитни мерки са спазени, по-високо напрежение е допустимо:</w:t>
      </w:r>
    </w:p>
    <w:p w:rsidR="001F02E6" w:rsidRPr="009072DA" w:rsidRDefault="001F02E6" w:rsidP="001F02E6">
      <w:pPr>
        <w:pStyle w:val="ESlet"/>
        <w:rPr>
          <w:rFonts w:eastAsia="Calibri"/>
          <w:lang w:val="bg-BG"/>
        </w:rPr>
      </w:pPr>
      <w:r w:rsidRPr="009072DA">
        <w:rPr>
          <w:lang w:val="bg-BG"/>
        </w:rPr>
        <w:t>a)</w:t>
      </w:r>
      <w:r w:rsidRPr="009072DA">
        <w:rPr>
          <w:lang w:val="bg-BG"/>
        </w:rPr>
        <w:tab/>
        <w:t>за захранващи инсталации, чиято мощност налага това;</w:t>
      </w:r>
    </w:p>
    <w:p w:rsidR="001F02E6" w:rsidRPr="009072DA" w:rsidRDefault="001F02E6" w:rsidP="001F02E6">
      <w:pPr>
        <w:pStyle w:val="ESlet"/>
        <w:rPr>
          <w:rFonts w:eastAsia="Calibri"/>
          <w:lang w:val="bg-BG"/>
        </w:rPr>
      </w:pPr>
      <w:r w:rsidRPr="009072DA">
        <w:rPr>
          <w:lang w:val="bg-BG"/>
        </w:rPr>
        <w:t>б)</w:t>
      </w:r>
      <w:r w:rsidRPr="009072DA">
        <w:rPr>
          <w:lang w:val="bg-BG"/>
        </w:rPr>
        <w:tab/>
        <w:t>за специални инсталации на борда, като радиоинсталации и запалителни устройства.</w:t>
      </w:r>
    </w:p>
    <w:p w:rsidR="008A12E7" w:rsidRPr="009072DA" w:rsidRDefault="008A12E7" w:rsidP="008A12E7">
      <w:pPr>
        <w:rPr>
          <w:rFonts w:cs="Arial"/>
          <w:szCs w:val="20"/>
          <w:lang w:val="bg-BG"/>
        </w:rPr>
      </w:pPr>
    </w:p>
    <w:p w:rsidR="001F02E6" w:rsidRPr="009072DA" w:rsidRDefault="001F02E6" w:rsidP="001F02E6">
      <w:pPr>
        <w:pStyle w:val="ESch"/>
        <w:rPr>
          <w:rFonts w:eastAsia="Calibri"/>
          <w:lang w:val="bg-BG"/>
        </w:rPr>
      </w:pPr>
      <w:r w:rsidRPr="009072DA">
        <w:rPr>
          <w:lang w:val="bg-BG"/>
        </w:rPr>
        <w:t>3.</w:t>
      </w:r>
      <w:r w:rsidRPr="009072DA">
        <w:rPr>
          <w:lang w:val="bg-BG"/>
        </w:rPr>
        <w:tab/>
        <w:t>Контролният орган може да разреши други изключения в обосновани случаи, ако изискваните защитни мерки са спазени.</w:t>
      </w:r>
    </w:p>
    <w:p w:rsidR="001F02E6" w:rsidRPr="009072DA" w:rsidRDefault="001F02E6" w:rsidP="008A12E7">
      <w:pPr>
        <w:rPr>
          <w:rFonts w:cs="Arial"/>
          <w:szCs w:val="20"/>
          <w:lang w:val="bg-BG"/>
        </w:rPr>
      </w:pPr>
    </w:p>
    <w:p w:rsidR="00666810" w:rsidRPr="009072DA" w:rsidRDefault="00666810" w:rsidP="008A12E7">
      <w:pPr>
        <w:rPr>
          <w:rFonts w:cs="Arial"/>
          <w:szCs w:val="20"/>
          <w:lang w:val="bg-BG"/>
        </w:rPr>
      </w:pPr>
    </w:p>
    <w:p w:rsidR="008A12E7" w:rsidRPr="009072DA" w:rsidRDefault="008A12E7" w:rsidP="00651EFD">
      <w:pPr>
        <w:pStyle w:val="ES-Titre3"/>
        <w:rPr>
          <w:lang w:val="bg-BG"/>
        </w:rPr>
      </w:pPr>
      <w:bookmarkStart w:id="172" w:name="_Toc491854084"/>
      <w:bookmarkStart w:id="173" w:name="_Toc535827525"/>
      <w:r w:rsidRPr="009072DA">
        <w:rPr>
          <w:lang w:val="bg-BG"/>
        </w:rPr>
        <w:t>Член 10.07</w:t>
      </w:r>
      <w:r w:rsidRPr="009072DA">
        <w:rPr>
          <w:lang w:val="bg-BG"/>
        </w:rPr>
        <w:br/>
      </w:r>
      <w:r w:rsidRPr="009072DA">
        <w:rPr>
          <w:i/>
          <w:lang w:val="bg-BG"/>
        </w:rPr>
        <w:t>Разпределителни системи</w:t>
      </w:r>
      <w:bookmarkEnd w:id="172"/>
      <w:bookmarkEnd w:id="173"/>
    </w:p>
    <w:p w:rsidR="00651EFD" w:rsidRPr="009072DA" w:rsidRDefault="00651EFD" w:rsidP="008A12E7">
      <w:pPr>
        <w:rPr>
          <w:rFonts w:cs="Arial"/>
          <w:szCs w:val="20"/>
          <w:lang w:val="bg-BG"/>
        </w:rPr>
      </w:pPr>
    </w:p>
    <w:p w:rsidR="001F02E6" w:rsidRPr="009072DA" w:rsidRDefault="001F02E6" w:rsidP="001F02E6">
      <w:pPr>
        <w:pStyle w:val="ESch"/>
        <w:rPr>
          <w:rFonts w:eastAsia="Calibri"/>
          <w:lang w:val="bg-BG"/>
        </w:rPr>
      </w:pPr>
      <w:r w:rsidRPr="009072DA">
        <w:rPr>
          <w:lang w:val="bg-BG"/>
        </w:rPr>
        <w:t>1.</w:t>
      </w:r>
      <w:r w:rsidRPr="009072DA">
        <w:rPr>
          <w:lang w:val="bg-BG"/>
        </w:rPr>
        <w:tab/>
        <w:t>Следните разпределителни системи са допустими за прав ток и еднофазен променлив ток:</w:t>
      </w:r>
    </w:p>
    <w:p w:rsidR="001F02E6" w:rsidRPr="009072DA" w:rsidRDefault="001F02E6" w:rsidP="001F02E6">
      <w:pPr>
        <w:pStyle w:val="ESlet"/>
        <w:rPr>
          <w:rFonts w:eastAsia="Calibri"/>
          <w:lang w:val="bg-BG"/>
        </w:rPr>
      </w:pPr>
      <w:r w:rsidRPr="009072DA">
        <w:rPr>
          <w:lang w:val="bg-BG"/>
        </w:rPr>
        <w:t>a)</w:t>
      </w:r>
      <w:r w:rsidRPr="009072DA">
        <w:rPr>
          <w:lang w:val="bg-BG"/>
        </w:rPr>
        <w:tab/>
        <w:t>2-проводникови системи, от които една е заземена (L1/N/PE);</w:t>
      </w:r>
    </w:p>
    <w:p w:rsidR="001F02E6" w:rsidRPr="009072DA" w:rsidRDefault="001F02E6" w:rsidP="001F02E6">
      <w:pPr>
        <w:pStyle w:val="ESlet"/>
        <w:rPr>
          <w:rFonts w:eastAsia="Calibri"/>
          <w:lang w:val="bg-BG"/>
        </w:rPr>
      </w:pPr>
      <w:r w:rsidRPr="009072DA">
        <w:rPr>
          <w:lang w:val="bg-BG"/>
        </w:rPr>
        <w:t>б)</w:t>
      </w:r>
      <w:r w:rsidRPr="009072DA">
        <w:rPr>
          <w:lang w:val="bg-BG"/>
        </w:rPr>
        <w:tab/>
        <w:t>еднопроводникови системи, използващи корпуса като обратен проводник, само за местни инсталации (например стартерни устройства за двигатели с вътрешно горене) (L1/PEN);</w:t>
      </w:r>
    </w:p>
    <w:p w:rsidR="001F02E6" w:rsidRPr="009072DA" w:rsidRDefault="001F02E6" w:rsidP="001F02E6">
      <w:pPr>
        <w:pStyle w:val="ESlet"/>
        <w:rPr>
          <w:rFonts w:eastAsia="Calibri"/>
          <w:lang w:val="bg-BG"/>
        </w:rPr>
      </w:pPr>
      <w:r w:rsidRPr="009072DA">
        <w:rPr>
          <w:lang w:val="bg-BG"/>
        </w:rPr>
        <w:t>в)</w:t>
      </w:r>
      <w:r w:rsidRPr="009072DA">
        <w:rPr>
          <w:lang w:val="bg-BG"/>
        </w:rPr>
        <w:tab/>
        <w:t>2-проводникови системи, изолирани от корпуса (L1/L2/PE).</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2.</w:t>
      </w:r>
      <w:r w:rsidRPr="009072DA">
        <w:rPr>
          <w:lang w:val="bg-BG"/>
        </w:rPr>
        <w:tab/>
        <w:t>Следните разпределителни системи са допустими за трифазен променлив ток:</w:t>
      </w:r>
    </w:p>
    <w:p w:rsidR="001F02E6" w:rsidRPr="009072DA" w:rsidRDefault="001F02E6" w:rsidP="001F02E6">
      <w:pPr>
        <w:pStyle w:val="ESlet"/>
        <w:rPr>
          <w:rFonts w:eastAsia="Calibri"/>
          <w:lang w:val="bg-BG"/>
        </w:rPr>
      </w:pPr>
      <w:r w:rsidRPr="009072DA">
        <w:rPr>
          <w:lang w:val="bg-BG"/>
        </w:rPr>
        <w:t>a)</w:t>
      </w:r>
      <w:r w:rsidRPr="009072DA">
        <w:rPr>
          <w:lang w:val="bg-BG"/>
        </w:rPr>
        <w:tab/>
        <w:t>4-проводникови системи със заземяване на неутралната точка, неизползващи корпуса като обратен проводник (L1/L2/L3/N/PE) = мрежа (TN-S) или мрежа (ТТ);</w:t>
      </w:r>
    </w:p>
    <w:p w:rsidR="001F02E6" w:rsidRPr="009072DA" w:rsidRDefault="001F02E6" w:rsidP="001F02E6">
      <w:pPr>
        <w:pStyle w:val="ESlet"/>
        <w:rPr>
          <w:rFonts w:eastAsia="Calibri"/>
          <w:lang w:val="bg-BG"/>
        </w:rPr>
      </w:pPr>
      <w:r w:rsidRPr="009072DA">
        <w:rPr>
          <w:lang w:val="bg-BG"/>
        </w:rPr>
        <w:t>б)</w:t>
      </w:r>
      <w:r w:rsidRPr="009072DA">
        <w:rPr>
          <w:lang w:val="bg-BG"/>
        </w:rPr>
        <w:tab/>
        <w:t>3-проводникова система, изолирана от корпуса (L1/L2/L3/PE) = мрежа (IT);</w:t>
      </w:r>
    </w:p>
    <w:p w:rsidR="001F02E6" w:rsidRPr="009072DA" w:rsidRDefault="001F02E6" w:rsidP="001F02E6">
      <w:pPr>
        <w:pStyle w:val="ESlet"/>
        <w:rPr>
          <w:rFonts w:eastAsia="Calibri"/>
          <w:lang w:val="bg-BG"/>
        </w:rPr>
      </w:pPr>
      <w:r w:rsidRPr="009072DA">
        <w:rPr>
          <w:lang w:val="bg-BG"/>
        </w:rPr>
        <w:t>в)</w:t>
      </w:r>
      <w:r w:rsidRPr="009072DA">
        <w:rPr>
          <w:lang w:val="bg-BG"/>
        </w:rPr>
        <w:tab/>
        <w:t>3-проводникова система със заземяване на неутралната точка, използваща корпуса като обратен проводник, освен при крайни контури (L1/L2/L3/PEN).</w:t>
      </w:r>
    </w:p>
    <w:p w:rsidR="001F02E6" w:rsidRPr="009072DA" w:rsidRDefault="001F02E6" w:rsidP="00AA5633">
      <w:pPr>
        <w:pStyle w:val="ESch"/>
        <w:rPr>
          <w:rFonts w:eastAsia="Calibri"/>
          <w:lang w:val="bg-BG"/>
        </w:rPr>
      </w:pPr>
    </w:p>
    <w:p w:rsidR="001F02E6" w:rsidRPr="009072DA" w:rsidRDefault="001F02E6" w:rsidP="001F02E6">
      <w:pPr>
        <w:pStyle w:val="ESch"/>
        <w:rPr>
          <w:lang w:val="bg-BG"/>
        </w:rPr>
      </w:pPr>
      <w:r w:rsidRPr="009072DA">
        <w:rPr>
          <w:lang w:val="bg-BG"/>
        </w:rPr>
        <w:t>3.</w:t>
      </w:r>
      <w:r w:rsidRPr="009072DA">
        <w:rPr>
          <w:lang w:val="bg-BG"/>
        </w:rPr>
        <w:tab/>
        <w:t>Контролният орган има право да допусне използването на други разпределителни системи.</w:t>
      </w:r>
    </w:p>
    <w:p w:rsidR="00651EFD" w:rsidRPr="009072DA" w:rsidRDefault="00651EFD" w:rsidP="00AA5633">
      <w:pPr>
        <w:pStyle w:val="ESch"/>
        <w:rPr>
          <w:lang w:val="bg-BG"/>
        </w:rPr>
      </w:pPr>
    </w:p>
    <w:p w:rsidR="00651EFD" w:rsidRPr="009072DA" w:rsidRDefault="00651EFD" w:rsidP="00AA5633">
      <w:pPr>
        <w:pStyle w:val="ESch"/>
        <w:rPr>
          <w:lang w:val="bg-BG"/>
        </w:rPr>
      </w:pPr>
    </w:p>
    <w:p w:rsidR="008A12E7" w:rsidRPr="009072DA" w:rsidRDefault="008A12E7" w:rsidP="00651EFD">
      <w:pPr>
        <w:pStyle w:val="ES-Titre3"/>
        <w:rPr>
          <w:lang w:val="bg-BG"/>
        </w:rPr>
      </w:pPr>
      <w:bookmarkStart w:id="174" w:name="_Toc491854085"/>
      <w:bookmarkStart w:id="175" w:name="_Toc535827526"/>
      <w:r w:rsidRPr="009072DA">
        <w:rPr>
          <w:lang w:val="bg-BG"/>
        </w:rPr>
        <w:t>Член 10.08</w:t>
      </w:r>
      <w:r w:rsidRPr="009072DA">
        <w:rPr>
          <w:lang w:val="bg-BG"/>
        </w:rPr>
        <w:br/>
      </w:r>
      <w:r w:rsidRPr="009072DA">
        <w:rPr>
          <w:i/>
          <w:lang w:val="bg-BG"/>
        </w:rPr>
        <w:t>Връзка с брега или други външни мрежи</w:t>
      </w:r>
      <w:bookmarkEnd w:id="174"/>
      <w:bookmarkEnd w:id="175"/>
    </w:p>
    <w:p w:rsidR="00651EFD" w:rsidRPr="009072DA" w:rsidRDefault="00651EFD" w:rsidP="008A12E7">
      <w:pPr>
        <w:rPr>
          <w:rFonts w:cs="Arial"/>
          <w:szCs w:val="20"/>
          <w:lang w:val="bg-BG"/>
        </w:rPr>
      </w:pPr>
    </w:p>
    <w:p w:rsidR="001F02E6" w:rsidRPr="009072DA" w:rsidRDefault="001F02E6" w:rsidP="001F02E6">
      <w:pPr>
        <w:pStyle w:val="ESch"/>
        <w:rPr>
          <w:rFonts w:eastAsia="Calibri"/>
          <w:lang w:val="bg-BG"/>
        </w:rPr>
      </w:pPr>
      <w:r w:rsidRPr="009072DA">
        <w:rPr>
          <w:lang w:val="bg-BG"/>
        </w:rPr>
        <w:t>1.</w:t>
      </w:r>
      <w:r w:rsidRPr="009072DA">
        <w:rPr>
          <w:lang w:val="bg-BG"/>
        </w:rPr>
        <w:tab/>
        <w:t>Подаващата единица, т.е. цялото бордно оборудване за предаване на електричество за плавателното средство, трябва да бъде проектирана, както следва:</w:t>
      </w:r>
    </w:p>
    <w:p w:rsidR="001F02E6" w:rsidRPr="009072DA" w:rsidRDefault="001F02E6" w:rsidP="001F02E6">
      <w:pPr>
        <w:pStyle w:val="ESlet"/>
        <w:rPr>
          <w:rFonts w:eastAsia="Calibri"/>
          <w:lang w:val="bg-BG"/>
        </w:rPr>
      </w:pPr>
      <w:r w:rsidRPr="009072DA">
        <w:rPr>
          <w:lang w:val="bg-BG"/>
        </w:rPr>
        <w:t>a)</w:t>
      </w:r>
      <w:r w:rsidRPr="009072DA">
        <w:rPr>
          <w:lang w:val="bg-BG"/>
        </w:rPr>
        <w:tab/>
        <w:t>Прехвърляне от наземни електрозахранващи системи:</w:t>
      </w:r>
    </w:p>
    <w:p w:rsidR="001F02E6" w:rsidRPr="009072DA" w:rsidRDefault="001F02E6" w:rsidP="001F02E6">
      <w:pPr>
        <w:pStyle w:val="EStiret"/>
        <w:rPr>
          <w:rFonts w:eastAsia="Calibri"/>
          <w:noProof w:val="0"/>
          <w:lang w:val="bg-BG"/>
        </w:rPr>
      </w:pPr>
      <w:r w:rsidRPr="009072DA">
        <w:rPr>
          <w:noProof w:val="0"/>
          <w:lang w:val="bg-BG"/>
        </w:rPr>
        <w:t>aa)</w:t>
      </w:r>
      <w:r w:rsidRPr="009072DA">
        <w:rPr>
          <w:noProof w:val="0"/>
          <w:lang w:val="bg-BG"/>
        </w:rPr>
        <w:tab/>
        <w:t>За ток до 125 А трябва да са спазени изискванията на европейските стандарти EN 15869-1 и EN 15869-3 във версията им в сила към 6 юли 2017 г.</w:t>
      </w:r>
    </w:p>
    <w:p w:rsidR="001F02E6" w:rsidRPr="009072DA" w:rsidRDefault="001F02E6" w:rsidP="001F02E6">
      <w:pPr>
        <w:pStyle w:val="EStiret"/>
        <w:rPr>
          <w:rFonts w:eastAsia="Calibri"/>
          <w:noProof w:val="0"/>
          <w:lang w:val="bg-BG"/>
        </w:rPr>
      </w:pPr>
      <w:r w:rsidRPr="009072DA">
        <w:rPr>
          <w:noProof w:val="0"/>
          <w:lang w:val="bg-BG"/>
        </w:rPr>
        <w:t>бб)</w:t>
      </w:r>
      <w:r w:rsidRPr="009072DA">
        <w:rPr>
          <w:noProof w:val="0"/>
          <w:lang w:val="bg-BG"/>
        </w:rPr>
        <w:tab/>
        <w:t>За ток, по-голям от 250 А, трябва да са спазени изискванията на европейски стандарти EN 16840: 2017.</w:t>
      </w:r>
    </w:p>
    <w:p w:rsidR="001F02E6" w:rsidRPr="009072DA" w:rsidRDefault="001F02E6" w:rsidP="001F02E6">
      <w:pPr>
        <w:pStyle w:val="ESlet"/>
        <w:rPr>
          <w:rFonts w:eastAsia="Calibri"/>
          <w:lang w:val="bg-BG"/>
        </w:rPr>
      </w:pPr>
      <w:r w:rsidRPr="009072DA">
        <w:rPr>
          <w:lang w:val="bg-BG"/>
        </w:rPr>
        <w:t>б)</w:t>
      </w:r>
      <w:r w:rsidRPr="009072DA">
        <w:rPr>
          <w:lang w:val="bg-BG"/>
        </w:rPr>
        <w:tab/>
        <w:t>Във всички останали случаи се прилагат изискванията по точки 2 — 9. Счита се, че посочените изисквания са спазени, ако стандартите, посочени в буква а), са спазени при въпросното използване.</w:t>
      </w:r>
    </w:p>
    <w:p w:rsidR="001F02E6" w:rsidRPr="009072DA" w:rsidRDefault="001F02E6" w:rsidP="001F02E6">
      <w:pPr>
        <w:pStyle w:val="ESch"/>
        <w:spacing w:line="240" w:lineRule="auto"/>
        <w:rPr>
          <w:rFonts w:eastAsia="Calibri"/>
          <w:sz w:val="18"/>
          <w:szCs w:val="18"/>
          <w:lang w:val="bg-BG"/>
        </w:rPr>
      </w:pPr>
    </w:p>
    <w:p w:rsidR="001F02E6" w:rsidRPr="009072DA" w:rsidRDefault="001F02E6" w:rsidP="001F02E6">
      <w:pPr>
        <w:pStyle w:val="ESch"/>
        <w:rPr>
          <w:rFonts w:eastAsia="Calibri"/>
          <w:lang w:val="bg-BG"/>
        </w:rPr>
      </w:pPr>
      <w:r w:rsidRPr="009072DA">
        <w:rPr>
          <w:lang w:val="bg-BG"/>
        </w:rPr>
        <w:t>2.</w:t>
      </w:r>
      <w:r w:rsidRPr="009072DA">
        <w:rPr>
          <w:lang w:val="bg-BG"/>
        </w:rPr>
        <w:tab/>
        <w:t>Входящите захранващи линии от брегови мрежи или други външни мрежи към бордовата електрическа уредба трябва да имат постоянна връзка на борда под формата на фиксирани терминали или фиксирани съединителни муфи. Кабели от оптични връзки не подлежат на натоварване на опън.</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3.</w:t>
      </w:r>
      <w:r w:rsidRPr="009072DA">
        <w:rPr>
          <w:lang w:val="bg-BG"/>
        </w:rPr>
        <w:tab/>
        <w:t>Когато напрежението на връзката превиши 50 V, корпусът трябва да бъде заземен. Връзката за заземяване трябва да бъде маркирана по специален начин.</w:t>
      </w:r>
    </w:p>
    <w:p w:rsidR="001F02E6" w:rsidRPr="009072DA" w:rsidRDefault="001F02E6" w:rsidP="001F02E6">
      <w:pPr>
        <w:pStyle w:val="ESch"/>
        <w:rPr>
          <w:rFonts w:eastAsia="Calibri"/>
          <w:lang w:val="bg-BG"/>
        </w:rPr>
      </w:pPr>
    </w:p>
    <w:p w:rsidR="00AB2818" w:rsidRPr="009072DA" w:rsidRDefault="00AB2818">
      <w:pPr>
        <w:rPr>
          <w:rFonts w:eastAsia="Calibri"/>
          <w:lang w:val="bg-BG"/>
        </w:rPr>
      </w:pPr>
      <w:r w:rsidRPr="009072DA">
        <w:rPr>
          <w:lang w:val="bg-BG"/>
        </w:rPr>
        <w:br w:type="page"/>
      </w:r>
    </w:p>
    <w:p w:rsidR="00AB2818" w:rsidRPr="009072DA" w:rsidRDefault="00AB2818"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4.</w:t>
      </w:r>
      <w:r w:rsidRPr="009072DA">
        <w:rPr>
          <w:lang w:val="bg-BG"/>
        </w:rPr>
        <w:tab/>
        <w:t>Защитните устройства на връзките</w:t>
      </w:r>
      <w:r w:rsidRPr="009072DA">
        <w:rPr>
          <w:rStyle w:val="Heading4Char"/>
          <w:lang w:val="bg-BG"/>
        </w:rPr>
        <w:t xml:space="preserve"> </w:t>
      </w:r>
      <w:r w:rsidRPr="009072DA">
        <w:rPr>
          <w:lang w:val="bg-BG"/>
        </w:rPr>
        <w:t>трябва да могат да се заключват по такъв начин, че да не допускат едновременна работа на генераторите на бордовата мрежа и брегова мрежа или друга външна мрежа. Кратък период на едновременна работа се разрешава при преминаване от една система към друга без прекъсване на напрежението.</w:t>
      </w:r>
    </w:p>
    <w:p w:rsidR="001F02E6" w:rsidRPr="009072DA" w:rsidRDefault="001F02E6" w:rsidP="001F02E6">
      <w:pPr>
        <w:pStyle w:val="ESch"/>
        <w:spacing w:line="240" w:lineRule="auto"/>
        <w:rPr>
          <w:rFonts w:eastAsia="Calibri"/>
          <w:sz w:val="18"/>
          <w:szCs w:val="18"/>
          <w:lang w:val="bg-BG"/>
        </w:rPr>
      </w:pPr>
    </w:p>
    <w:p w:rsidR="001F02E6" w:rsidRPr="009072DA" w:rsidRDefault="001F02E6" w:rsidP="001F02E6">
      <w:pPr>
        <w:pStyle w:val="ESch"/>
        <w:rPr>
          <w:rFonts w:eastAsia="Calibri"/>
          <w:lang w:val="bg-BG"/>
        </w:rPr>
      </w:pPr>
      <w:r w:rsidRPr="009072DA">
        <w:rPr>
          <w:lang w:val="bg-BG"/>
        </w:rPr>
        <w:t>5.</w:t>
      </w:r>
      <w:r w:rsidRPr="009072DA">
        <w:rPr>
          <w:lang w:val="bg-BG"/>
        </w:rPr>
        <w:tab/>
        <w:t>Връзката трябва да бъде защитена срещу къси съединения и претоварване.</w:t>
      </w:r>
    </w:p>
    <w:p w:rsidR="001F02E6" w:rsidRPr="009072DA" w:rsidRDefault="001F02E6" w:rsidP="001F02E6">
      <w:pPr>
        <w:pStyle w:val="ESch"/>
        <w:spacing w:line="240" w:lineRule="auto"/>
        <w:rPr>
          <w:rFonts w:eastAsia="Calibri"/>
          <w:sz w:val="18"/>
          <w:szCs w:val="18"/>
          <w:lang w:val="bg-BG"/>
        </w:rPr>
      </w:pPr>
    </w:p>
    <w:p w:rsidR="001F02E6" w:rsidRPr="009072DA" w:rsidRDefault="001F02E6" w:rsidP="001F02E6">
      <w:pPr>
        <w:pStyle w:val="ESch"/>
        <w:rPr>
          <w:rFonts w:eastAsia="Calibri"/>
          <w:lang w:val="bg-BG"/>
        </w:rPr>
      </w:pPr>
      <w:r w:rsidRPr="009072DA">
        <w:rPr>
          <w:lang w:val="bg-BG"/>
        </w:rPr>
        <w:t>6.</w:t>
      </w:r>
      <w:r w:rsidRPr="009072DA">
        <w:rPr>
          <w:lang w:val="bg-BG"/>
        </w:rPr>
        <w:tab/>
        <w:t>Основното електрическо разпределително табло има индикатор, който показва дали връзката е под напрежение.</w:t>
      </w:r>
    </w:p>
    <w:p w:rsidR="001F02E6" w:rsidRPr="009072DA" w:rsidRDefault="001F02E6" w:rsidP="001F02E6">
      <w:pPr>
        <w:pStyle w:val="ESch"/>
        <w:spacing w:line="240" w:lineRule="auto"/>
        <w:rPr>
          <w:rFonts w:eastAsia="Calibri"/>
          <w:sz w:val="18"/>
          <w:szCs w:val="18"/>
          <w:lang w:val="bg-BG"/>
        </w:rPr>
      </w:pPr>
    </w:p>
    <w:p w:rsidR="001F02E6" w:rsidRPr="009072DA" w:rsidRDefault="001F02E6" w:rsidP="001F02E6">
      <w:pPr>
        <w:pStyle w:val="ESch"/>
        <w:rPr>
          <w:rFonts w:eastAsia="Calibri"/>
          <w:lang w:val="bg-BG"/>
        </w:rPr>
      </w:pPr>
      <w:r w:rsidRPr="009072DA">
        <w:rPr>
          <w:lang w:val="bg-BG"/>
        </w:rPr>
        <w:t>7.</w:t>
      </w:r>
      <w:r w:rsidRPr="009072DA">
        <w:rPr>
          <w:lang w:val="bg-BG"/>
        </w:rPr>
        <w:tab/>
        <w:t>Трябва да бъдат инсталирани индикаторни устройства, за да да може да се сравнява полярността при постоянен ток и последователността на фазите при променлив ток между връзката и бордовата мрежа.</w:t>
      </w:r>
    </w:p>
    <w:p w:rsidR="001F02E6" w:rsidRPr="009072DA" w:rsidRDefault="001F02E6" w:rsidP="001F02E6">
      <w:pPr>
        <w:pStyle w:val="ESch"/>
        <w:spacing w:line="240" w:lineRule="auto"/>
        <w:rPr>
          <w:rFonts w:eastAsia="Calibri"/>
          <w:sz w:val="18"/>
          <w:szCs w:val="18"/>
          <w:lang w:val="bg-BG"/>
        </w:rPr>
      </w:pPr>
    </w:p>
    <w:p w:rsidR="001F02E6" w:rsidRPr="009072DA" w:rsidRDefault="001F02E6" w:rsidP="001F02E6">
      <w:pPr>
        <w:pStyle w:val="ESch"/>
        <w:rPr>
          <w:rFonts w:eastAsia="Calibri"/>
          <w:lang w:val="bg-BG"/>
        </w:rPr>
      </w:pPr>
      <w:r w:rsidRPr="009072DA">
        <w:rPr>
          <w:lang w:val="bg-BG"/>
        </w:rPr>
        <w:t>8.</w:t>
      </w:r>
      <w:r w:rsidRPr="009072DA">
        <w:rPr>
          <w:lang w:val="bg-BG"/>
        </w:rPr>
        <w:tab/>
        <w:t>Табло върху връзката трябва да посочва:</w:t>
      </w:r>
    </w:p>
    <w:p w:rsidR="001F02E6" w:rsidRPr="009072DA" w:rsidRDefault="001F02E6" w:rsidP="001F02E6">
      <w:pPr>
        <w:pStyle w:val="ESlet"/>
        <w:rPr>
          <w:rFonts w:eastAsia="Calibri"/>
          <w:lang w:val="bg-BG"/>
        </w:rPr>
      </w:pPr>
      <w:r w:rsidRPr="009072DA">
        <w:rPr>
          <w:lang w:val="bg-BG"/>
        </w:rPr>
        <w:t>a)</w:t>
      </w:r>
      <w:r w:rsidRPr="009072DA">
        <w:rPr>
          <w:lang w:val="bg-BG"/>
        </w:rPr>
        <w:tab/>
        <w:t>мерките, необходими за осъществяване на връзката;</w:t>
      </w:r>
    </w:p>
    <w:p w:rsidR="001F02E6" w:rsidRPr="009072DA" w:rsidRDefault="001F02E6" w:rsidP="001F02E6">
      <w:pPr>
        <w:pStyle w:val="ESlet"/>
        <w:rPr>
          <w:rFonts w:eastAsia="Calibri"/>
          <w:lang w:val="bg-BG"/>
        </w:rPr>
      </w:pPr>
      <w:r w:rsidRPr="009072DA">
        <w:rPr>
          <w:lang w:val="bg-BG"/>
        </w:rPr>
        <w:t>б)</w:t>
      </w:r>
      <w:r w:rsidRPr="009072DA">
        <w:rPr>
          <w:lang w:val="bg-BG"/>
        </w:rPr>
        <w:tab/>
        <w:t>вида на тока и номиналното напрежение, а при променлив ток — честотата.</w:t>
      </w:r>
    </w:p>
    <w:p w:rsidR="001F02E6" w:rsidRPr="009072DA" w:rsidRDefault="001F02E6" w:rsidP="001F02E6">
      <w:pPr>
        <w:pStyle w:val="ESch"/>
        <w:spacing w:line="240" w:lineRule="auto"/>
        <w:rPr>
          <w:rFonts w:eastAsia="Calibri"/>
          <w:sz w:val="18"/>
          <w:szCs w:val="18"/>
          <w:lang w:val="bg-BG"/>
        </w:rPr>
      </w:pPr>
    </w:p>
    <w:p w:rsidR="001F02E6" w:rsidRPr="009072DA" w:rsidRDefault="001F02E6" w:rsidP="001F02E6">
      <w:pPr>
        <w:pStyle w:val="ESch"/>
        <w:rPr>
          <w:rStyle w:val="Heading4Char"/>
          <w:lang w:val="bg-BG"/>
        </w:rPr>
      </w:pPr>
      <w:r w:rsidRPr="009072DA">
        <w:rPr>
          <w:lang w:val="bg-BG"/>
        </w:rPr>
        <w:t>9.</w:t>
      </w:r>
      <w:r w:rsidRPr="009072DA">
        <w:rPr>
          <w:lang w:val="bg-BG"/>
        </w:rPr>
        <w:tab/>
        <w:t>Ако се използват гнезда, разчетени за сила на тока над 16 A, трябва да се предприемат стъпки за гарантиране, че включването и изключването могат да стават само когато линията не е под напрежение.</w:t>
      </w:r>
      <w:r w:rsidRPr="009072DA">
        <w:rPr>
          <w:rStyle w:val="Heading4Char"/>
          <w:lang w:val="bg-BG"/>
        </w:rPr>
        <w:t xml:space="preserve"> </w:t>
      </w:r>
    </w:p>
    <w:p w:rsidR="008A12E7" w:rsidRPr="009072DA" w:rsidRDefault="008A12E7" w:rsidP="008A12E7">
      <w:pPr>
        <w:rPr>
          <w:rFonts w:cs="Arial"/>
          <w:szCs w:val="20"/>
          <w:lang w:val="bg-BG"/>
        </w:rPr>
      </w:pPr>
    </w:p>
    <w:p w:rsidR="00651EFD" w:rsidRPr="009072DA" w:rsidRDefault="00651EFD" w:rsidP="008A12E7">
      <w:pPr>
        <w:rPr>
          <w:rFonts w:cs="Arial"/>
          <w:szCs w:val="20"/>
          <w:lang w:val="bg-BG"/>
        </w:rPr>
      </w:pPr>
    </w:p>
    <w:p w:rsidR="008A12E7" w:rsidRPr="009072DA" w:rsidRDefault="008A12E7" w:rsidP="00651EFD">
      <w:pPr>
        <w:pStyle w:val="ES-Titre3"/>
        <w:rPr>
          <w:lang w:val="bg-BG"/>
        </w:rPr>
      </w:pPr>
      <w:bookmarkStart w:id="176" w:name="_Toc535827527"/>
      <w:bookmarkStart w:id="177" w:name="_Toc491854086"/>
      <w:r w:rsidRPr="009072DA">
        <w:rPr>
          <w:lang w:val="bg-BG"/>
        </w:rPr>
        <w:t>Член 10.09</w:t>
      </w:r>
      <w:r w:rsidRPr="009072DA">
        <w:rPr>
          <w:lang w:val="bg-BG"/>
        </w:rPr>
        <w:br/>
      </w:r>
      <w:r w:rsidRPr="009072DA">
        <w:rPr>
          <w:i/>
          <w:lang w:val="bg-BG"/>
        </w:rPr>
        <w:t>Електрозахранване за друго плавателното средство</w:t>
      </w:r>
      <w:bookmarkEnd w:id="176"/>
      <w:r w:rsidRPr="009072DA">
        <w:rPr>
          <w:i/>
          <w:lang w:val="bg-BG"/>
        </w:rPr>
        <w:t xml:space="preserve"> </w:t>
      </w:r>
      <w:bookmarkEnd w:id="177"/>
    </w:p>
    <w:p w:rsidR="00651EFD" w:rsidRPr="009072DA" w:rsidRDefault="00651EFD" w:rsidP="008A12E7">
      <w:pPr>
        <w:rPr>
          <w:rFonts w:cs="Arial"/>
          <w:szCs w:val="20"/>
          <w:lang w:val="bg-BG"/>
        </w:rPr>
      </w:pPr>
    </w:p>
    <w:p w:rsidR="001F02E6" w:rsidRPr="009072DA" w:rsidRDefault="001F02E6" w:rsidP="001F02E6">
      <w:pPr>
        <w:pStyle w:val="ESch"/>
        <w:rPr>
          <w:rFonts w:eastAsia="Calibri"/>
          <w:strike/>
          <w:lang w:val="bg-BG"/>
        </w:rPr>
      </w:pPr>
      <w:r w:rsidRPr="009072DA">
        <w:rPr>
          <w:lang w:val="bg-BG"/>
        </w:rPr>
        <w:t>1.</w:t>
      </w:r>
      <w:r w:rsidRPr="009072DA">
        <w:rPr>
          <w:lang w:val="bg-BG"/>
        </w:rPr>
        <w:tab/>
        <w:t xml:space="preserve">Когато електроенергия се подава към друго плавателно средство, трябва да съществува отделна връзка. </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2.</w:t>
      </w:r>
      <w:r w:rsidRPr="009072DA">
        <w:rPr>
          <w:lang w:val="bg-BG"/>
        </w:rPr>
        <w:tab/>
        <w:t xml:space="preserve">Член 10.08, точка 2 и точки 4 — 9 се прилага </w:t>
      </w:r>
      <w:r w:rsidRPr="009072DA">
        <w:rPr>
          <w:i/>
          <w:lang w:val="bg-BG"/>
        </w:rPr>
        <w:t>mutatis mutandis</w:t>
      </w:r>
      <w:r w:rsidRPr="009072DA">
        <w:rPr>
          <w:lang w:val="bg-BG"/>
        </w:rPr>
        <w:t>.</w:t>
      </w:r>
    </w:p>
    <w:p w:rsidR="008A12E7" w:rsidRPr="009072DA" w:rsidRDefault="008A12E7" w:rsidP="00253FD8">
      <w:pPr>
        <w:pStyle w:val="ESch"/>
        <w:rPr>
          <w:lang w:val="bg-BG"/>
        </w:rPr>
      </w:pPr>
    </w:p>
    <w:p w:rsidR="00651EFD" w:rsidRPr="009072DA" w:rsidRDefault="00651EFD" w:rsidP="008A12E7">
      <w:pPr>
        <w:rPr>
          <w:rFonts w:cs="Arial"/>
          <w:szCs w:val="20"/>
          <w:lang w:val="bg-BG"/>
        </w:rPr>
      </w:pPr>
    </w:p>
    <w:p w:rsidR="008A12E7" w:rsidRPr="009072DA" w:rsidRDefault="008A12E7" w:rsidP="00651EFD">
      <w:pPr>
        <w:pStyle w:val="ES-Titre3"/>
        <w:rPr>
          <w:lang w:val="bg-BG"/>
        </w:rPr>
      </w:pPr>
      <w:bookmarkStart w:id="178" w:name="_Toc491854087"/>
      <w:bookmarkStart w:id="179" w:name="_Toc535827528"/>
      <w:r w:rsidRPr="009072DA">
        <w:rPr>
          <w:lang w:val="bg-BG"/>
        </w:rPr>
        <w:t>Член 10.10</w:t>
      </w:r>
      <w:r w:rsidRPr="009072DA">
        <w:rPr>
          <w:lang w:val="bg-BG"/>
        </w:rPr>
        <w:br/>
      </w:r>
      <w:r w:rsidRPr="009072DA">
        <w:rPr>
          <w:i/>
          <w:lang w:val="bg-BG"/>
        </w:rPr>
        <w:t>Генератори, двигатели и трансформатори</w:t>
      </w:r>
      <w:bookmarkEnd w:id="178"/>
      <w:bookmarkEnd w:id="179"/>
    </w:p>
    <w:p w:rsidR="00651EFD" w:rsidRPr="009072DA" w:rsidRDefault="00651EFD" w:rsidP="008A12E7">
      <w:pPr>
        <w:rPr>
          <w:rFonts w:cs="Arial"/>
          <w:szCs w:val="20"/>
          <w:lang w:val="bg-BG"/>
        </w:rPr>
      </w:pPr>
    </w:p>
    <w:p w:rsidR="001F02E6" w:rsidRPr="009072DA" w:rsidRDefault="001F02E6" w:rsidP="001F02E6">
      <w:pPr>
        <w:pStyle w:val="ESch"/>
        <w:rPr>
          <w:rFonts w:eastAsia="Calibri"/>
          <w:lang w:val="bg-BG"/>
        </w:rPr>
      </w:pPr>
      <w:r w:rsidRPr="009072DA">
        <w:rPr>
          <w:lang w:val="bg-BG"/>
        </w:rPr>
        <w:t>1.</w:t>
      </w:r>
      <w:r w:rsidRPr="009072DA">
        <w:rPr>
          <w:lang w:val="bg-BG"/>
        </w:rPr>
        <w:tab/>
        <w:t>Генератори, задвижвани от главния двигател, от вала на гребен винт или от спомагателни устройства, предназначени за друга функция, следва да бъдат проектирани като функция от диапазона на честотите на въртене, които могат да възникнат по време на експлоатация.</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2.</w:t>
      </w:r>
      <w:r w:rsidRPr="009072DA">
        <w:rPr>
          <w:lang w:val="bg-BG"/>
        </w:rPr>
        <w:tab/>
        <w:t>Трансформаторите трябва да бъдат монтирани на проветриви места или в добре проветрени помещения.</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3.</w:t>
      </w:r>
      <w:r w:rsidRPr="009072DA">
        <w:rPr>
          <w:lang w:val="bg-BG"/>
        </w:rPr>
        <w:tab/>
        <w:t>Първичните и вторични намотки на трансформатори се изпълняват по електрически изолиран начин. Автотрансформаторите са изключени от настоящия документ.</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4.</w:t>
      </w:r>
      <w:r w:rsidRPr="009072DA">
        <w:rPr>
          <w:lang w:val="bg-BG"/>
        </w:rPr>
        <w:tab/>
        <w:t>Трябва да са налице съответни изводи от номиналното напрежение  за установяване на вторичното напрежение на трансформаторите. Автотрансформаторите са изключени от настоящия документ.</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5.</w:t>
      </w:r>
      <w:r w:rsidRPr="009072DA">
        <w:rPr>
          <w:lang w:val="bg-BG"/>
        </w:rPr>
        <w:tab/>
        <w:t>Двигатели, генератори и трансформатори се предоставят от производителя с табела, която освен наименованието на дружеството, серийния номер на машината и номиналната мощност трябва да съдържа основните данни за мощността.</w:t>
      </w:r>
    </w:p>
    <w:p w:rsidR="008A12E7" w:rsidRPr="009072DA" w:rsidRDefault="008A12E7" w:rsidP="008A12E7">
      <w:pPr>
        <w:rPr>
          <w:rFonts w:cs="Arial"/>
          <w:szCs w:val="20"/>
          <w:lang w:val="bg-BG"/>
        </w:rPr>
      </w:pPr>
    </w:p>
    <w:p w:rsidR="00AB2818" w:rsidRPr="009072DA" w:rsidRDefault="00AB2818">
      <w:pPr>
        <w:rPr>
          <w:rFonts w:cs="Arial"/>
          <w:szCs w:val="20"/>
          <w:lang w:val="bg-BG"/>
        </w:rPr>
      </w:pPr>
      <w:r w:rsidRPr="009072DA">
        <w:rPr>
          <w:lang w:val="bg-BG"/>
        </w:rPr>
        <w:br w:type="page"/>
      </w:r>
    </w:p>
    <w:p w:rsidR="00651EFD" w:rsidRPr="009072DA" w:rsidRDefault="00651EFD" w:rsidP="008A12E7">
      <w:pPr>
        <w:rPr>
          <w:rFonts w:cs="Arial"/>
          <w:szCs w:val="20"/>
          <w:lang w:val="bg-BG"/>
        </w:rPr>
      </w:pPr>
    </w:p>
    <w:p w:rsidR="008A12E7" w:rsidRPr="009072DA" w:rsidRDefault="008A12E7" w:rsidP="00651EFD">
      <w:pPr>
        <w:pStyle w:val="ES-Titre3"/>
        <w:rPr>
          <w:lang w:val="bg-BG"/>
        </w:rPr>
      </w:pPr>
      <w:bookmarkStart w:id="180" w:name="_Toc491854088"/>
      <w:bookmarkStart w:id="181" w:name="_Toc535827529"/>
      <w:r w:rsidRPr="009072DA">
        <w:rPr>
          <w:lang w:val="bg-BG"/>
        </w:rPr>
        <w:t>Член 10.11</w:t>
      </w:r>
      <w:r w:rsidRPr="009072DA">
        <w:rPr>
          <w:lang w:val="bg-BG"/>
        </w:rPr>
        <w:br/>
      </w:r>
      <w:r w:rsidRPr="009072DA">
        <w:rPr>
          <w:i/>
          <w:lang w:val="bg-BG"/>
        </w:rPr>
        <w:t>Батерии, акумулатори и техните зарядни устройства</w:t>
      </w:r>
      <w:bookmarkEnd w:id="180"/>
      <w:bookmarkEnd w:id="181"/>
    </w:p>
    <w:p w:rsidR="00651EFD" w:rsidRPr="009072DA" w:rsidRDefault="00651EFD" w:rsidP="008A12E7">
      <w:pPr>
        <w:rPr>
          <w:rFonts w:cs="Arial"/>
          <w:szCs w:val="20"/>
          <w:lang w:val="bg-BG"/>
        </w:rPr>
      </w:pPr>
    </w:p>
    <w:p w:rsidR="001F02E6" w:rsidRPr="009072DA" w:rsidRDefault="001F02E6" w:rsidP="001F02E6">
      <w:pPr>
        <w:pStyle w:val="ESch"/>
        <w:rPr>
          <w:rFonts w:eastAsia="Calibri"/>
          <w:lang w:val="bg-BG"/>
        </w:rPr>
      </w:pPr>
      <w:r w:rsidRPr="009072DA">
        <w:rPr>
          <w:lang w:val="bg-BG"/>
        </w:rPr>
        <w:t>1.</w:t>
      </w:r>
      <w:r w:rsidRPr="009072DA">
        <w:rPr>
          <w:lang w:val="bg-BG"/>
        </w:rPr>
        <w:tab/>
        <w:t>Акумулаторите са достъпни и поставени така, че да не се изместват от движението на плавателното средство. Те не се поставят на места, където са изложени на прекомерна топлина, силен студ, пръски, пара или изпарения.</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2.</w:t>
      </w:r>
      <w:r w:rsidRPr="009072DA">
        <w:rPr>
          <w:lang w:val="bg-BG"/>
        </w:rPr>
        <w:tab/>
        <w:t>Акумулаторите не трябва да бъдат поставяни в рулевата рубка, жилищните помещения и трюмовете, а в случай на пътнически плавателни съдове, в каюти, помещения за пътници и камбузи. Първото изречение не се прилага за акумулатори:</w:t>
      </w:r>
    </w:p>
    <w:p w:rsidR="001F02E6" w:rsidRPr="009072DA" w:rsidRDefault="001F02E6" w:rsidP="001F02E6">
      <w:pPr>
        <w:pStyle w:val="ESlet"/>
        <w:rPr>
          <w:rFonts w:eastAsia="Calibri"/>
          <w:lang w:val="bg-BG"/>
        </w:rPr>
      </w:pPr>
      <w:r w:rsidRPr="009072DA">
        <w:rPr>
          <w:lang w:val="bg-BG"/>
        </w:rPr>
        <w:t>a)</w:t>
      </w:r>
      <w:r w:rsidRPr="009072DA">
        <w:rPr>
          <w:lang w:val="bg-BG"/>
        </w:rPr>
        <w:tab/>
        <w:t>в мобилните устройства; или</w:t>
      </w:r>
    </w:p>
    <w:p w:rsidR="001F02E6" w:rsidRPr="009072DA" w:rsidRDefault="001F02E6" w:rsidP="001F02E6">
      <w:pPr>
        <w:pStyle w:val="ESlet"/>
        <w:rPr>
          <w:rFonts w:eastAsia="Calibri"/>
          <w:lang w:val="bg-BG"/>
        </w:rPr>
      </w:pPr>
      <w:r w:rsidRPr="009072DA">
        <w:rPr>
          <w:lang w:val="bg-BG"/>
        </w:rPr>
        <w:t>б)</w:t>
      </w:r>
      <w:r w:rsidRPr="009072DA">
        <w:rPr>
          <w:lang w:val="bg-BG"/>
        </w:rPr>
        <w:tab/>
        <w:t>с мощност за зареждане, по-малка от 0,2 kW.</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3.</w:t>
      </w:r>
      <w:r w:rsidRPr="009072DA">
        <w:rPr>
          <w:lang w:val="bg-BG"/>
        </w:rPr>
        <w:tab/>
        <w:t>Акумулатори, изискващи мощност за зареждане над 2,0 kW, се монтират в специално предвидено за тях помещение. Ако са разположени на палубата, те могат също така да бъдат поставени в шкаф. Ако е възможно акумулаторите да отделят газ, това помещевие или този шкаф трябва да имат механична вентилация към откритата палуба (подаван и отвеждан въздух).</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4.</w:t>
      </w:r>
      <w:r w:rsidRPr="009072DA">
        <w:rPr>
          <w:lang w:val="bg-BG"/>
        </w:rPr>
        <w:tab/>
        <w:t>Мощността за зареждане се изчислява въз основа на максималния заряден ток и номиналното напрежение на акумулатора, като отчита характерните криви на зареждане на зарядното устройство.</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5.</w:t>
      </w:r>
      <w:r w:rsidRPr="009072DA">
        <w:rPr>
          <w:lang w:val="bg-BG"/>
        </w:rPr>
        <w:tab/>
        <w:t>Акумулаторите, изискващи мощност за зареждане над 2,0 kW, могат също да бъдат инсталирани под палубите в шкаф или кутия. Те могат така също да бъдат монтирани без кутия в машинно отделение, електрическо сервизно помещение или на всяко друго добре проветриво място, при условие че са обезопасени срещу падащи предмети и капеща вода.</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6.</w:t>
      </w:r>
      <w:r w:rsidRPr="009072DA">
        <w:rPr>
          <w:lang w:val="bg-BG"/>
        </w:rPr>
        <w:tab/>
        <w:t>Вътрешните повърхности на всички помещения, шкафове или сандъци, както и рафтове или други компоненти, предвидени за акумулатори,трябва да бъдат защитени срещу агресивното действие на електролита.</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7.</w:t>
      </w:r>
      <w:r w:rsidRPr="009072DA">
        <w:rPr>
          <w:lang w:val="bg-BG"/>
        </w:rPr>
        <w:tab/>
        <w:t xml:space="preserve">Трябва да бъде осигурена ефективна вентилация, когато акумулаторите са монтирани в затворено помещение, шкаф или сандък. Механична вентилация трябва да бъде осигурена за мощност на зареждане над </w:t>
      </w:r>
    </w:p>
    <w:p w:rsidR="001F02E6" w:rsidRPr="009072DA" w:rsidRDefault="001F02E6" w:rsidP="001F02E6">
      <w:pPr>
        <w:pStyle w:val="ESlet"/>
        <w:rPr>
          <w:rFonts w:eastAsia="Calibri"/>
          <w:lang w:val="bg-BG"/>
        </w:rPr>
      </w:pPr>
      <w:r w:rsidRPr="009072DA">
        <w:rPr>
          <w:lang w:val="bg-BG"/>
        </w:rPr>
        <w:t>a)</w:t>
      </w:r>
      <w:r w:rsidRPr="009072DA">
        <w:rPr>
          <w:lang w:val="bg-BG"/>
        </w:rPr>
        <w:tab/>
        <w:t>2,0 kW за никел-кадмиеви акумулатори;</w:t>
      </w:r>
    </w:p>
    <w:p w:rsidR="001F02E6" w:rsidRPr="009072DA" w:rsidRDefault="001F02E6" w:rsidP="001F02E6">
      <w:pPr>
        <w:pStyle w:val="ESlet"/>
        <w:rPr>
          <w:rFonts w:eastAsia="Calibri"/>
          <w:lang w:val="bg-BG"/>
        </w:rPr>
      </w:pPr>
      <w:r w:rsidRPr="009072DA">
        <w:rPr>
          <w:lang w:val="bg-BG"/>
        </w:rPr>
        <w:lastRenderedPageBreak/>
        <w:t>б)</w:t>
      </w:r>
      <w:r w:rsidRPr="009072DA">
        <w:rPr>
          <w:lang w:val="bg-BG"/>
        </w:rPr>
        <w:tab/>
        <w:t>3,0 kW за оловни акумулатори.</w:t>
      </w:r>
    </w:p>
    <w:p w:rsidR="001F02E6" w:rsidRPr="009072DA" w:rsidRDefault="001F02E6" w:rsidP="001F02E6">
      <w:pPr>
        <w:pStyle w:val="ESchpar"/>
        <w:rPr>
          <w:rFonts w:eastAsia="Calibri"/>
          <w:lang w:val="bg-BG"/>
        </w:rPr>
      </w:pPr>
    </w:p>
    <w:p w:rsidR="001F02E6" w:rsidRPr="009072DA" w:rsidRDefault="001F02E6" w:rsidP="001F02E6">
      <w:pPr>
        <w:pStyle w:val="ESchpar"/>
        <w:rPr>
          <w:rFonts w:eastAsia="Calibri"/>
          <w:lang w:val="bg-BG"/>
        </w:rPr>
      </w:pPr>
      <w:r w:rsidRPr="009072DA">
        <w:rPr>
          <w:lang w:val="bg-BG"/>
        </w:rPr>
        <w:t xml:space="preserve">Въздухът трябва да влиза откъм пода и да се изпуска през тавана, така че да се осигури пълното изхвърляне на газовете. </w:t>
      </w:r>
    </w:p>
    <w:p w:rsidR="001F02E6" w:rsidRPr="009072DA" w:rsidRDefault="001F02E6" w:rsidP="001F02E6">
      <w:pPr>
        <w:pStyle w:val="ESchpar"/>
        <w:rPr>
          <w:rFonts w:eastAsia="Calibri"/>
          <w:lang w:val="bg-BG"/>
        </w:rPr>
      </w:pPr>
    </w:p>
    <w:p w:rsidR="001F02E6" w:rsidRPr="009072DA" w:rsidRDefault="001F02E6" w:rsidP="001F02E6">
      <w:pPr>
        <w:pStyle w:val="ESchpar"/>
        <w:rPr>
          <w:rFonts w:eastAsia="Calibri"/>
          <w:lang w:val="bg-BG"/>
        </w:rPr>
      </w:pPr>
      <w:r w:rsidRPr="009072DA">
        <w:rPr>
          <w:lang w:val="bg-BG"/>
        </w:rPr>
        <w:t>Вентилационните тръби не трябва да съдържат устройства, които възпрепятстват въздушния поток като спирачни вентили.</w:t>
      </w:r>
    </w:p>
    <w:p w:rsidR="001F02E6" w:rsidRPr="009072DA" w:rsidRDefault="001F02E6" w:rsidP="001F02E6">
      <w:pPr>
        <w:pStyle w:val="ESch"/>
        <w:rPr>
          <w:rFonts w:eastAsia="Calibri"/>
          <w:lang w:val="bg-BG"/>
        </w:rPr>
      </w:pPr>
    </w:p>
    <w:p w:rsidR="001F02E6" w:rsidRPr="009072DA" w:rsidRDefault="001F02E6" w:rsidP="001F02E6">
      <w:pPr>
        <w:pStyle w:val="ESch"/>
        <w:spacing w:after="120"/>
        <w:rPr>
          <w:rFonts w:eastAsia="Calibri"/>
          <w:lang w:val="bg-BG"/>
        </w:rPr>
      </w:pPr>
      <w:r w:rsidRPr="009072DA">
        <w:rPr>
          <w:lang w:val="bg-BG"/>
        </w:rPr>
        <w:t>8.</w:t>
      </w:r>
      <w:r w:rsidRPr="009072DA">
        <w:rPr>
          <w:lang w:val="bg-BG"/>
        </w:rPr>
        <w:tab/>
        <w:t>Необходимият дебит на въздуха (</w:t>
      </w:r>
      <m:oMath>
        <m:r>
          <w:rPr>
            <w:rFonts w:ascii="Cambria Math" w:hAnsi="Cambria Math"/>
            <w:lang w:val="bg-BG"/>
          </w:rPr>
          <m:t>Q</m:t>
        </m:r>
      </m:oMath>
      <w:r w:rsidRPr="009072DA">
        <w:rPr>
          <w:lang w:val="bg-BG"/>
        </w:rPr>
        <w:t>) се изчислява по следната формула:</w:t>
      </w:r>
    </w:p>
    <w:p w:rsidR="001F02E6" w:rsidRPr="009072DA" w:rsidRDefault="001F02E6" w:rsidP="001F02E6">
      <w:pPr>
        <w:pStyle w:val="ESch"/>
        <w:jc w:val="center"/>
        <w:rPr>
          <w:lang w:val="bg-BG"/>
        </w:rPr>
      </w:pPr>
      <m:oMath>
        <m:r>
          <w:rPr>
            <w:rFonts w:ascii="Cambria Math" w:hAnsi="Cambria Math"/>
            <w:lang w:val="bg-BG"/>
          </w:rPr>
          <m:t>Q=f ∙</m:t>
        </m:r>
        <m:sSub>
          <m:sSubPr>
            <m:ctrlPr>
              <w:rPr>
                <w:rFonts w:ascii="Cambria Math" w:hAnsi="Cambria Math"/>
                <w:i/>
                <w:lang w:val="bg-BG"/>
              </w:rPr>
            </m:ctrlPr>
          </m:sSubPr>
          <m:e>
            <m:r>
              <w:rPr>
                <w:rFonts w:ascii="Cambria Math" w:hAnsi="Cambria Math"/>
                <w:lang w:val="bg-BG"/>
              </w:rPr>
              <m:t>I</m:t>
            </m:r>
          </m:e>
          <m:sub>
            <m:r>
              <w:rPr>
                <w:rFonts w:ascii="Cambria Math" w:hAnsi="Cambria Math"/>
                <w:lang w:val="bg-BG"/>
              </w:rPr>
              <m:t>gas</m:t>
            </m:r>
          </m:sub>
        </m:sSub>
        <m:r>
          <w:rPr>
            <w:rFonts w:ascii="Cambria Math" w:hAnsi="Cambria Math"/>
            <w:lang w:val="bg-BG"/>
          </w:rPr>
          <m:t xml:space="preserve"> ∙n </m:t>
        </m:r>
        <m:d>
          <m:dPr>
            <m:begChr m:val="["/>
            <m:endChr m:val="]"/>
            <m:ctrlPr>
              <w:rPr>
                <w:rFonts w:ascii="Cambria Math" w:hAnsi="Cambria Math"/>
                <w:i/>
                <w:lang w:val="bg-BG"/>
              </w:rPr>
            </m:ctrlPr>
          </m:dPr>
          <m:e>
            <m:sSup>
              <m:sSupPr>
                <m:ctrlPr>
                  <w:rPr>
                    <w:rFonts w:ascii="Cambria Math" w:hAnsi="Cambria Math"/>
                    <w:i/>
                    <w:lang w:val="bg-BG"/>
                  </w:rPr>
                </m:ctrlPr>
              </m:sSupPr>
              <m:e>
                <m:r>
                  <w:rPr>
                    <w:rFonts w:ascii="Cambria Math" w:hAnsi="Cambria Math"/>
                    <w:lang w:val="bg-BG"/>
                  </w:rPr>
                  <m:t>m</m:t>
                </m:r>
              </m:e>
              <m:sup>
                <m:r>
                  <w:rPr>
                    <w:rFonts w:ascii="Cambria Math" w:hAnsi="Cambria Math"/>
                    <w:lang w:val="bg-BG"/>
                  </w:rPr>
                  <m:t>3</m:t>
                </m:r>
              </m:sup>
            </m:sSup>
            <m:r>
              <w:rPr>
                <w:rFonts w:ascii="Cambria Math" w:hAnsi="Cambria Math"/>
                <w:lang w:val="bg-BG"/>
              </w:rPr>
              <m:t>/h</m:t>
            </m:r>
          </m:e>
        </m:d>
      </m:oMath>
      <w:r w:rsidRPr="009072DA">
        <w:rPr>
          <w:lang w:val="bg-BG"/>
        </w:rPr>
        <w:t>.</w:t>
      </w:r>
    </w:p>
    <w:p w:rsidR="001F02E6" w:rsidRPr="009072DA" w:rsidRDefault="001F02E6" w:rsidP="001F02E6">
      <w:pPr>
        <w:pStyle w:val="ESchpar"/>
        <w:rPr>
          <w:rFonts w:eastAsia="Calibri"/>
          <w:lang w:val="bg-BG"/>
        </w:rPr>
      </w:pPr>
      <w:r w:rsidRPr="009072DA">
        <w:rPr>
          <w:lang w:val="bg-BG"/>
        </w:rPr>
        <w:t>където</w:t>
      </w:r>
    </w:p>
    <w:p w:rsidR="001F02E6" w:rsidRPr="009072DA" w:rsidRDefault="001F02E6" w:rsidP="001F02E6">
      <w:pPr>
        <w:pStyle w:val="ESlet"/>
        <w:ind w:left="1276" w:hanging="709"/>
        <w:rPr>
          <w:rFonts w:eastAsia="Calibri"/>
          <w:lang w:val="bg-BG"/>
        </w:rPr>
      </w:pPr>
      <m:oMath>
        <m:r>
          <w:rPr>
            <w:rFonts w:ascii="Cambria Math" w:eastAsia="Calibri" w:hAnsi="Cambria Math"/>
            <w:lang w:val="bg-BG"/>
          </w:rPr>
          <m:t>f</m:t>
        </m:r>
      </m:oMath>
      <w:r w:rsidRPr="009072DA">
        <w:rPr>
          <w:lang w:val="bg-BG"/>
        </w:rPr>
        <w:t xml:space="preserve"> =</w:t>
      </w:r>
      <w:r w:rsidRPr="009072DA">
        <w:rPr>
          <w:lang w:val="bg-BG"/>
        </w:rPr>
        <w:tab/>
        <w:t>0,11 за акумулатори с течни електролити;</w:t>
      </w:r>
    </w:p>
    <w:p w:rsidR="001F02E6" w:rsidRPr="009072DA" w:rsidRDefault="001F02E6" w:rsidP="001F02E6">
      <w:pPr>
        <w:pStyle w:val="ESlet"/>
        <w:ind w:left="1276" w:hanging="709"/>
        <w:rPr>
          <w:rFonts w:eastAsia="Calibri"/>
          <w:lang w:val="bg-BG"/>
        </w:rPr>
      </w:pPr>
      <m:oMath>
        <m:r>
          <w:rPr>
            <w:rFonts w:ascii="Cambria Math" w:eastAsia="Calibri" w:hAnsi="Cambria Math"/>
            <w:lang w:val="bg-BG"/>
          </w:rPr>
          <m:t>f</m:t>
        </m:r>
      </m:oMath>
      <w:r w:rsidRPr="009072DA">
        <w:rPr>
          <w:lang w:val="bg-BG"/>
        </w:rPr>
        <w:t xml:space="preserve"> =</w:t>
      </w:r>
      <w:r w:rsidRPr="009072DA">
        <w:rPr>
          <w:lang w:val="bg-BG"/>
        </w:rPr>
        <w:tab/>
        <w:t>0,03 за акумулатори със затворени клетки (електролит блокиран в гел, нетъкани влакнести материали);</w:t>
      </w:r>
    </w:p>
    <w:p w:rsidR="001F02E6" w:rsidRPr="009072DA" w:rsidRDefault="002B712C" w:rsidP="001F02E6">
      <w:pPr>
        <w:pStyle w:val="ESlet"/>
        <w:ind w:left="1276" w:hanging="709"/>
        <w:rPr>
          <w:rFonts w:eastAsia="Calibri"/>
          <w:lang w:val="bg-BG"/>
        </w:rPr>
      </w:pPr>
      <m:oMath>
        <m:sSub>
          <m:sSubPr>
            <m:ctrlPr>
              <w:rPr>
                <w:rFonts w:ascii="Cambria Math" w:hAnsi="Cambria Math"/>
                <w:i/>
                <w:lang w:val="bg-BG"/>
              </w:rPr>
            </m:ctrlPr>
          </m:sSubPr>
          <m:e>
            <m:r>
              <w:rPr>
                <w:rFonts w:ascii="Cambria Math" w:hAnsi="Cambria Math"/>
                <w:lang w:val="bg-BG"/>
              </w:rPr>
              <m:t>I</m:t>
            </m:r>
          </m:e>
          <m:sub>
            <m:r>
              <w:rPr>
                <w:rFonts w:ascii="Cambria Math" w:hAnsi="Cambria Math"/>
                <w:lang w:val="bg-BG"/>
              </w:rPr>
              <m:t>gas</m:t>
            </m:r>
          </m:sub>
        </m:sSub>
      </m:oMath>
      <w:r w:rsidR="007B1046" w:rsidRPr="009072DA">
        <w:rPr>
          <w:lang w:val="bg-BG"/>
        </w:rPr>
        <w:t xml:space="preserve"> =</w:t>
      </w:r>
      <w:r w:rsidR="007B1046" w:rsidRPr="009072DA">
        <w:rPr>
          <w:lang w:val="bg-BG"/>
        </w:rPr>
        <w:tab/>
        <w:t>¼ от максималния ток на зарядното устройство в А ;</w:t>
      </w:r>
    </w:p>
    <w:p w:rsidR="001F02E6" w:rsidRPr="009072DA" w:rsidRDefault="001F02E6" w:rsidP="001F02E6">
      <w:pPr>
        <w:pStyle w:val="ESlet"/>
        <w:ind w:left="1276" w:hanging="709"/>
        <w:rPr>
          <w:rFonts w:eastAsia="Calibri"/>
          <w:lang w:val="bg-BG"/>
        </w:rPr>
      </w:pPr>
      <m:oMath>
        <m:r>
          <w:rPr>
            <w:rFonts w:ascii="Cambria Math" w:eastAsia="Calibri" w:hAnsi="Cambria Math"/>
            <w:lang w:val="bg-BG"/>
          </w:rPr>
          <m:t>n</m:t>
        </m:r>
      </m:oMath>
      <w:r w:rsidRPr="009072DA">
        <w:rPr>
          <w:lang w:val="bg-BG"/>
        </w:rPr>
        <w:t xml:space="preserve"> =</w:t>
      </w:r>
      <w:r w:rsidRPr="009072DA">
        <w:rPr>
          <w:lang w:val="bg-BG"/>
        </w:rPr>
        <w:tab/>
        <w:t>брой клетки в серийна верига.</w:t>
      </w:r>
    </w:p>
    <w:p w:rsidR="001F02E6" w:rsidRPr="009072DA" w:rsidRDefault="001F02E6" w:rsidP="001F02E6">
      <w:pPr>
        <w:pStyle w:val="ESchpar"/>
        <w:rPr>
          <w:rFonts w:eastAsia="Calibri"/>
          <w:lang w:val="bg-BG"/>
        </w:rPr>
      </w:pPr>
    </w:p>
    <w:p w:rsidR="00AB2818" w:rsidRPr="009072DA" w:rsidRDefault="00AB2818">
      <w:pPr>
        <w:rPr>
          <w:rFonts w:eastAsia="Calibri"/>
          <w:lang w:val="bg-BG"/>
        </w:rPr>
      </w:pPr>
      <w:r w:rsidRPr="009072DA">
        <w:rPr>
          <w:lang w:val="bg-BG"/>
        </w:rPr>
        <w:br w:type="page"/>
      </w:r>
    </w:p>
    <w:p w:rsidR="00AB2818" w:rsidRPr="009072DA" w:rsidRDefault="00AB2818" w:rsidP="001F02E6">
      <w:pPr>
        <w:pStyle w:val="ESchpar"/>
        <w:rPr>
          <w:rFonts w:eastAsia="Calibri"/>
          <w:lang w:val="bg-BG"/>
        </w:rPr>
      </w:pPr>
    </w:p>
    <w:p w:rsidR="001F02E6" w:rsidRPr="009072DA" w:rsidRDefault="001F02E6" w:rsidP="001F02E6">
      <w:pPr>
        <w:pStyle w:val="ESchpar"/>
        <w:rPr>
          <w:rFonts w:eastAsia="Calibri"/>
          <w:lang w:val="bg-BG"/>
        </w:rPr>
      </w:pPr>
      <w:r w:rsidRPr="009072DA">
        <w:rPr>
          <w:lang w:val="bg-BG"/>
        </w:rPr>
        <w:t>При буферните акумулатори на бордовата мрежа, други методи на изчисление, които отчитат характерната крива на зареждане на зарядните устройства, могат да бъдат приети от контролния орган, при условие че тези методи се основават на разпоредбите на признати класификационни организации или на съответните стандарти.</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9.</w:t>
      </w:r>
      <w:r w:rsidRPr="009072DA">
        <w:rPr>
          <w:lang w:val="bg-BG"/>
        </w:rPr>
        <w:tab/>
        <w:t>При естествено проветряване напречното сечение на въздуховодите трябва да е достатъчно за необходимия дебит на въздуха въз основа на скорост на въздушния поток от 0,5 m/s. Напречното сечение обаче трябва да има минимална стойност</w:t>
      </w:r>
    </w:p>
    <w:p w:rsidR="001F02E6" w:rsidRPr="009072DA" w:rsidRDefault="001F02E6" w:rsidP="001F02E6">
      <w:pPr>
        <w:pStyle w:val="ESlet"/>
        <w:rPr>
          <w:rFonts w:eastAsia="Calibri"/>
          <w:lang w:val="bg-BG"/>
        </w:rPr>
      </w:pPr>
      <w:r w:rsidRPr="009072DA">
        <w:rPr>
          <w:lang w:val="bg-BG"/>
        </w:rPr>
        <w:t>a)</w:t>
      </w:r>
      <w:r w:rsidRPr="009072DA">
        <w:rPr>
          <w:lang w:val="bg-BG"/>
        </w:rPr>
        <w:tab/>
        <w:t>80 cm</w:t>
      </w:r>
      <w:r w:rsidRPr="009072DA">
        <w:rPr>
          <w:vertAlign w:val="superscript"/>
          <w:lang w:val="bg-BG"/>
        </w:rPr>
        <w:t>2</w:t>
      </w:r>
      <w:r w:rsidRPr="009072DA">
        <w:rPr>
          <w:lang w:val="bg-BG"/>
        </w:rPr>
        <w:t xml:space="preserve"> за оловни акумулатори;</w:t>
      </w:r>
    </w:p>
    <w:p w:rsidR="001F02E6" w:rsidRPr="009072DA" w:rsidRDefault="001F02E6" w:rsidP="001F02E6">
      <w:pPr>
        <w:pStyle w:val="ESlet"/>
        <w:rPr>
          <w:rFonts w:eastAsia="Calibri"/>
          <w:lang w:val="bg-BG"/>
        </w:rPr>
      </w:pPr>
      <w:r w:rsidRPr="009072DA">
        <w:rPr>
          <w:lang w:val="bg-BG"/>
        </w:rPr>
        <w:t>б)</w:t>
      </w:r>
      <w:r w:rsidRPr="009072DA">
        <w:rPr>
          <w:lang w:val="bg-BG"/>
        </w:rPr>
        <w:tab/>
        <w:t>120 cm</w:t>
      </w:r>
      <w:r w:rsidRPr="009072DA">
        <w:rPr>
          <w:vertAlign w:val="superscript"/>
          <w:lang w:val="bg-BG"/>
        </w:rPr>
        <w:t>2</w:t>
      </w:r>
      <w:r w:rsidRPr="009072DA">
        <w:rPr>
          <w:lang w:val="bg-BG"/>
        </w:rPr>
        <w:t xml:space="preserve"> за никел-кадмиеви акумулатори.</w:t>
      </w:r>
    </w:p>
    <w:p w:rsidR="001F02E6" w:rsidRPr="009072DA" w:rsidRDefault="001F02E6" w:rsidP="001F02E6">
      <w:pPr>
        <w:spacing w:line="240" w:lineRule="atLeast"/>
        <w:ind w:left="567" w:hanging="567"/>
        <w:rPr>
          <w:rFonts w:eastAsia="Calibri" w:cs="Arial"/>
          <w:szCs w:val="20"/>
          <w:lang w:val="bg-BG"/>
        </w:rPr>
      </w:pPr>
    </w:p>
    <w:p w:rsidR="001F02E6" w:rsidRPr="009072DA" w:rsidRDefault="001F02E6" w:rsidP="001F02E6">
      <w:pPr>
        <w:pStyle w:val="ESch"/>
        <w:rPr>
          <w:rFonts w:eastAsia="Calibri" w:cs="Arial"/>
          <w:lang w:val="bg-BG"/>
        </w:rPr>
      </w:pPr>
      <w:r w:rsidRPr="009072DA">
        <w:rPr>
          <w:lang w:val="bg-BG"/>
        </w:rPr>
        <w:t>10.</w:t>
      </w:r>
      <w:r w:rsidRPr="009072DA">
        <w:rPr>
          <w:lang w:val="bg-BG"/>
        </w:rPr>
        <w:tab/>
        <w:t>При механично проветряване, трябва да бъде осигурен вентилатор, за предпочитане с изпускащо устройство; неговият мотор трябва да е извън газовия поток и въздушния поток. Вентилаторите трябва да бъдат с конструкция, която да изключва произвеждането на искри поради допир между лопатката и обшивката на вентилатора и да не допускат електростатични заряди.</w:t>
      </w:r>
    </w:p>
    <w:p w:rsidR="001F02E6" w:rsidRPr="009072DA" w:rsidRDefault="001F02E6" w:rsidP="001F02E6">
      <w:pPr>
        <w:pStyle w:val="ESch"/>
        <w:rPr>
          <w:rFonts w:eastAsia="Calibri"/>
          <w:lang w:val="bg-BG"/>
        </w:rPr>
      </w:pPr>
    </w:p>
    <w:p w:rsidR="001F02E6" w:rsidRPr="009072DA" w:rsidRDefault="001F02E6" w:rsidP="001F02E6">
      <w:pPr>
        <w:spacing w:line="240" w:lineRule="atLeast"/>
        <w:ind w:left="567" w:hanging="567"/>
        <w:rPr>
          <w:rFonts w:eastAsia="Calibri" w:cs="Arial"/>
          <w:szCs w:val="20"/>
          <w:lang w:val="bg-BG"/>
        </w:rPr>
      </w:pPr>
      <w:r w:rsidRPr="009072DA">
        <w:rPr>
          <w:lang w:val="bg-BG"/>
        </w:rPr>
        <w:t>11.</w:t>
      </w:r>
      <w:r w:rsidRPr="009072DA">
        <w:rPr>
          <w:lang w:val="bg-BG"/>
        </w:rPr>
        <w:tab/>
        <w:t>На вратите или на капаците на помещенията, шкафовете или кутиите с акумулатори се поставя символ  за „Забранено паленето на огън и пушенето“ съгласно фигура 2 от приложение 4, с диаметър от най-малко 10 cm.</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12.</w:t>
      </w:r>
      <w:r w:rsidRPr="009072DA">
        <w:rPr>
          <w:lang w:val="bg-BG"/>
        </w:rPr>
        <w:tab/>
        <w:t>Зарядните устройства трябва по принцип да бъдат проектирани така, че разредените акумулатори да могат да бъдат заредени в рамките на максимум 15 часа на 80 % от техния номинален капацитет, без да се превишава токът на максималната допустима скорост на зареждане.</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13.</w:t>
      </w:r>
      <w:r w:rsidRPr="009072DA">
        <w:rPr>
          <w:lang w:val="bg-BG"/>
        </w:rPr>
        <w:tab/>
        <w:t>Трябва да се използват само автоматични зарядни устройства, които съответстват на характеристиките на зареждане на вида акумулатор.</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14.</w:t>
      </w:r>
      <w:r w:rsidRPr="009072DA">
        <w:rPr>
          <w:lang w:val="bg-BG"/>
        </w:rPr>
        <w:tab/>
        <w:t>Когато едновременно със зареждането се захранва потребителско оборудване, при избора на зарядно устройство трябва да бъдат взети под внимание изискванията за мощност на потребителското оборудване. Трябва да бъде поддържано напрежение на зареждане с максимална стойност до 120 % от номиналното напрежение, независимо от настоящите изисквания към мощността.</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szCs w:val="20"/>
          <w:lang w:val="bg-BG"/>
        </w:rPr>
      </w:pPr>
      <w:r w:rsidRPr="009072DA">
        <w:rPr>
          <w:lang w:val="bg-BG"/>
        </w:rPr>
        <w:t>15.</w:t>
      </w:r>
      <w:r w:rsidRPr="009072DA">
        <w:rPr>
          <w:lang w:val="bg-BG"/>
        </w:rPr>
        <w:tab/>
        <w:t>Изискванията на европейски стандарт EN 62619, във версията му в сила от 6 юли 2017 г. и EN 62620: 2015 се прилагат за литиево-йонни акумулатори.</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16.</w:t>
      </w:r>
      <w:r w:rsidRPr="009072DA">
        <w:rPr>
          <w:lang w:val="bg-BG"/>
        </w:rPr>
        <w:tab/>
        <w:t>Трябва да се използват системи за управление на акумулатори с цел следене на акумулаторите, ако това е възможно. Литиево-йонните акумулатори трябва да бъдат оборудвани с такива системи.</w:t>
      </w:r>
    </w:p>
    <w:p w:rsidR="001F02E6" w:rsidRPr="009072DA" w:rsidRDefault="001F02E6" w:rsidP="00AA5633">
      <w:pPr>
        <w:pStyle w:val="ESch"/>
        <w:rPr>
          <w:rFonts w:eastAsia="Calibri"/>
          <w:lang w:val="bg-BG"/>
        </w:rPr>
      </w:pPr>
    </w:p>
    <w:p w:rsidR="001F02E6" w:rsidRPr="009072DA" w:rsidRDefault="001F02E6" w:rsidP="001F02E6">
      <w:pPr>
        <w:pStyle w:val="ESchpar"/>
        <w:rPr>
          <w:rFonts w:eastAsia="Calibri"/>
          <w:lang w:val="bg-BG"/>
        </w:rPr>
      </w:pPr>
      <w:r w:rsidRPr="009072DA">
        <w:rPr>
          <w:lang w:val="bg-BG"/>
        </w:rPr>
        <w:t>Тези системи включват като минимум следните функционални възможности:</w:t>
      </w:r>
    </w:p>
    <w:p w:rsidR="001F02E6" w:rsidRPr="009072DA" w:rsidRDefault="001F02E6" w:rsidP="001F02E6">
      <w:pPr>
        <w:pStyle w:val="ESlet"/>
        <w:rPr>
          <w:rFonts w:eastAsia="Calibri"/>
          <w:lang w:val="bg-BG"/>
        </w:rPr>
      </w:pPr>
      <w:r w:rsidRPr="009072DA">
        <w:rPr>
          <w:lang w:val="bg-BG"/>
        </w:rPr>
        <w:t>a)</w:t>
      </w:r>
      <w:r w:rsidRPr="009072DA">
        <w:rPr>
          <w:lang w:val="bg-BG"/>
        </w:rPr>
        <w:tab/>
        <w:t>защита на клетки (късо съединение, външна, вътрешна, ток на претоварване, дълбоко изпускане и др.);</w:t>
      </w:r>
    </w:p>
    <w:p w:rsidR="001F02E6" w:rsidRPr="009072DA" w:rsidRDefault="001F02E6" w:rsidP="001F02E6">
      <w:pPr>
        <w:pStyle w:val="ESlet"/>
        <w:rPr>
          <w:rFonts w:eastAsia="Calibri"/>
          <w:lang w:val="bg-BG"/>
        </w:rPr>
      </w:pPr>
      <w:r w:rsidRPr="009072DA">
        <w:rPr>
          <w:lang w:val="bg-BG"/>
        </w:rPr>
        <w:t>б)</w:t>
      </w:r>
      <w:r w:rsidRPr="009072DA">
        <w:rPr>
          <w:lang w:val="bg-BG"/>
        </w:rPr>
        <w:tab/>
        <w:t>контрол на зареждането, при условие че това не става с помощта на зарядното устройство;</w:t>
      </w:r>
    </w:p>
    <w:p w:rsidR="001F02E6" w:rsidRPr="009072DA" w:rsidRDefault="001F02E6" w:rsidP="001F02E6">
      <w:pPr>
        <w:pStyle w:val="ESlet"/>
        <w:rPr>
          <w:rFonts w:eastAsia="Calibri"/>
          <w:lang w:val="bg-BG"/>
        </w:rPr>
      </w:pPr>
      <w:r w:rsidRPr="009072DA">
        <w:rPr>
          <w:lang w:val="bg-BG"/>
        </w:rPr>
        <w:t>в)</w:t>
      </w:r>
      <w:r w:rsidRPr="009072DA">
        <w:rPr>
          <w:lang w:val="bg-BG"/>
        </w:rPr>
        <w:tab/>
        <w:t>управление на товара;</w:t>
      </w:r>
    </w:p>
    <w:p w:rsidR="001F02E6" w:rsidRPr="009072DA" w:rsidRDefault="001F02E6" w:rsidP="001F02E6">
      <w:pPr>
        <w:pStyle w:val="ESlet"/>
        <w:rPr>
          <w:rFonts w:eastAsia="Calibri"/>
          <w:lang w:val="bg-BG"/>
        </w:rPr>
      </w:pPr>
      <w:r w:rsidRPr="009072DA">
        <w:rPr>
          <w:lang w:val="bg-BG"/>
        </w:rPr>
        <w:t>г)</w:t>
      </w:r>
      <w:r w:rsidRPr="009072DA">
        <w:rPr>
          <w:lang w:val="bg-BG"/>
        </w:rPr>
        <w:tab/>
        <w:t>определяне на нивото на зареждане;</w:t>
      </w:r>
    </w:p>
    <w:p w:rsidR="001F02E6" w:rsidRPr="009072DA" w:rsidRDefault="001F02E6" w:rsidP="001F02E6">
      <w:pPr>
        <w:pStyle w:val="ESlet"/>
        <w:rPr>
          <w:rFonts w:eastAsia="Calibri"/>
          <w:lang w:val="bg-BG"/>
        </w:rPr>
      </w:pPr>
      <w:r w:rsidRPr="009072DA">
        <w:rPr>
          <w:lang w:val="bg-BG"/>
        </w:rPr>
        <w:t>д)</w:t>
      </w:r>
      <w:r w:rsidRPr="009072DA">
        <w:rPr>
          <w:lang w:val="bg-BG"/>
        </w:rPr>
        <w:tab/>
        <w:t>балансиране на клетките;</w:t>
      </w:r>
    </w:p>
    <w:p w:rsidR="001F02E6" w:rsidRPr="009072DA" w:rsidRDefault="001F02E6" w:rsidP="001F02E6">
      <w:pPr>
        <w:pStyle w:val="ESlet"/>
        <w:rPr>
          <w:rFonts w:eastAsia="Calibri"/>
          <w:lang w:val="bg-BG"/>
        </w:rPr>
      </w:pPr>
      <w:r w:rsidRPr="009072DA">
        <w:rPr>
          <w:lang w:val="bg-BG"/>
        </w:rPr>
        <w:t>е)</w:t>
      </w:r>
      <w:r w:rsidRPr="009072DA">
        <w:rPr>
          <w:lang w:val="bg-BG"/>
        </w:rPr>
        <w:tab/>
        <w:t>контрол на температурата.</w:t>
      </w:r>
    </w:p>
    <w:p w:rsidR="001F02E6" w:rsidRPr="009072DA" w:rsidRDefault="001F02E6" w:rsidP="00AA5633">
      <w:pPr>
        <w:pStyle w:val="ESch"/>
        <w:rPr>
          <w:rFonts w:eastAsia="Calibri"/>
          <w:lang w:val="bg-BG"/>
        </w:rPr>
      </w:pPr>
    </w:p>
    <w:p w:rsidR="001F02E6" w:rsidRPr="009072DA" w:rsidRDefault="001F02E6" w:rsidP="001F02E6">
      <w:pPr>
        <w:pStyle w:val="ESlet"/>
        <w:ind w:left="567"/>
        <w:rPr>
          <w:rFonts w:eastAsia="Calibri"/>
          <w:lang w:val="bg-BG"/>
        </w:rPr>
      </w:pPr>
      <w:r w:rsidRPr="009072DA">
        <w:rPr>
          <w:lang w:val="bg-BG"/>
        </w:rPr>
        <w:t>В зависимост от използването, ако е възможно, те трябва да включват още следните функционални възможности:</w:t>
      </w:r>
    </w:p>
    <w:p w:rsidR="001F02E6" w:rsidRPr="009072DA" w:rsidRDefault="001F02E6" w:rsidP="001F02E6">
      <w:pPr>
        <w:pStyle w:val="ESlet"/>
        <w:rPr>
          <w:rFonts w:eastAsia="Calibri"/>
          <w:lang w:val="bg-BG"/>
        </w:rPr>
      </w:pPr>
      <w:r w:rsidRPr="009072DA">
        <w:rPr>
          <w:lang w:val="bg-BG"/>
        </w:rPr>
        <w:t>ж)</w:t>
      </w:r>
      <w:r w:rsidRPr="009072DA">
        <w:rPr>
          <w:lang w:val="bg-BG"/>
        </w:rPr>
        <w:tab/>
        <w:t>определяне на остаряването, остатъчния капацитет, вътрешно съпротивление и т.н.;</w:t>
      </w:r>
    </w:p>
    <w:p w:rsidR="001F02E6" w:rsidRPr="009072DA" w:rsidRDefault="001F02E6" w:rsidP="001F02E6">
      <w:pPr>
        <w:pStyle w:val="ESlet"/>
        <w:rPr>
          <w:rFonts w:eastAsia="Calibri"/>
          <w:lang w:val="bg-BG"/>
        </w:rPr>
      </w:pPr>
      <w:r w:rsidRPr="009072DA">
        <w:rPr>
          <w:lang w:val="bg-BG"/>
        </w:rPr>
        <w:t>з)</w:t>
      </w:r>
      <w:r w:rsidRPr="009072DA">
        <w:rPr>
          <w:lang w:val="bg-BG"/>
        </w:rPr>
        <w:tab/>
        <w:t>комуникация (напр. с инвертори и контролни прибори);</w:t>
      </w:r>
    </w:p>
    <w:p w:rsidR="00AB2818" w:rsidRPr="009072DA" w:rsidRDefault="00AB2818">
      <w:pPr>
        <w:rPr>
          <w:lang w:val="bg-BG"/>
        </w:rPr>
      </w:pPr>
      <w:r w:rsidRPr="009072DA">
        <w:rPr>
          <w:lang w:val="bg-BG"/>
        </w:rPr>
        <w:br w:type="page"/>
      </w:r>
    </w:p>
    <w:p w:rsidR="00AB2818" w:rsidRPr="009072DA" w:rsidRDefault="00AB2818" w:rsidP="001F02E6">
      <w:pPr>
        <w:pStyle w:val="ESlet"/>
        <w:rPr>
          <w:lang w:val="bg-BG"/>
        </w:rPr>
      </w:pPr>
    </w:p>
    <w:p w:rsidR="001F02E6" w:rsidRPr="009072DA" w:rsidRDefault="001F02E6" w:rsidP="001F02E6">
      <w:pPr>
        <w:pStyle w:val="ESlet"/>
        <w:rPr>
          <w:rFonts w:eastAsia="Calibri"/>
          <w:lang w:val="bg-BG"/>
        </w:rPr>
      </w:pPr>
      <w:r w:rsidRPr="009072DA">
        <w:rPr>
          <w:lang w:val="bg-BG"/>
        </w:rPr>
        <w:t>и)</w:t>
      </w:r>
      <w:r w:rsidRPr="009072DA">
        <w:rPr>
          <w:lang w:val="bg-BG"/>
        </w:rPr>
        <w:tab/>
        <w:t>проверка на автентичността и идентификация;</w:t>
      </w:r>
    </w:p>
    <w:p w:rsidR="001F02E6" w:rsidRPr="009072DA" w:rsidRDefault="001F02E6" w:rsidP="001F02E6">
      <w:pPr>
        <w:pStyle w:val="ESlet"/>
        <w:rPr>
          <w:rFonts w:eastAsia="Calibri"/>
          <w:lang w:val="bg-BG"/>
        </w:rPr>
      </w:pPr>
      <w:r w:rsidRPr="009072DA">
        <w:rPr>
          <w:lang w:val="bg-BG"/>
        </w:rPr>
        <w:t>й)</w:t>
      </w:r>
      <w:r w:rsidRPr="009072DA">
        <w:rPr>
          <w:lang w:val="bg-BG"/>
        </w:rPr>
        <w:tab/>
        <w:t>история.</w:t>
      </w:r>
    </w:p>
    <w:p w:rsidR="001F02E6" w:rsidRPr="009072DA" w:rsidRDefault="001F02E6" w:rsidP="001F02E6">
      <w:pPr>
        <w:pStyle w:val="ESch"/>
        <w:rPr>
          <w:rFonts w:eastAsia="Calibri"/>
          <w:lang w:val="bg-BG"/>
        </w:rPr>
      </w:pPr>
    </w:p>
    <w:p w:rsidR="001F02E6" w:rsidRPr="009072DA" w:rsidRDefault="001F02E6" w:rsidP="001F02E6">
      <w:pPr>
        <w:pStyle w:val="ESch"/>
        <w:rPr>
          <w:lang w:val="bg-BG"/>
        </w:rPr>
      </w:pPr>
      <w:r w:rsidRPr="009072DA">
        <w:rPr>
          <w:lang w:val="bg-BG"/>
        </w:rPr>
        <w:t>17.</w:t>
      </w:r>
      <w:r w:rsidRPr="009072DA">
        <w:rPr>
          <w:lang w:val="bg-BG"/>
        </w:rPr>
        <w:tab/>
        <w:t xml:space="preserve">За батерии, точки 1 — 12 и точка 16 се прилагат </w:t>
      </w:r>
      <w:r w:rsidRPr="009072DA">
        <w:rPr>
          <w:i/>
          <w:lang w:val="bg-BG"/>
        </w:rPr>
        <w:t>mutatis mutandis.</w:t>
      </w:r>
    </w:p>
    <w:p w:rsidR="008A12E7" w:rsidRPr="009072DA" w:rsidRDefault="008A12E7" w:rsidP="00AA5633">
      <w:pPr>
        <w:pStyle w:val="ESch"/>
        <w:rPr>
          <w:lang w:val="bg-BG"/>
        </w:rPr>
      </w:pPr>
    </w:p>
    <w:p w:rsidR="00651EFD" w:rsidRPr="009072DA" w:rsidRDefault="00651EFD" w:rsidP="00AA5633">
      <w:pPr>
        <w:pStyle w:val="ESch"/>
        <w:rPr>
          <w:lang w:val="bg-BG"/>
        </w:rPr>
      </w:pPr>
    </w:p>
    <w:p w:rsidR="008A12E7" w:rsidRPr="009072DA" w:rsidRDefault="008A12E7" w:rsidP="00651EFD">
      <w:pPr>
        <w:pStyle w:val="ES-Titre3"/>
        <w:rPr>
          <w:lang w:val="bg-BG"/>
        </w:rPr>
      </w:pPr>
      <w:bookmarkStart w:id="182" w:name="_Toc491854089"/>
      <w:bookmarkStart w:id="183" w:name="_Toc535827530"/>
      <w:r w:rsidRPr="009072DA">
        <w:rPr>
          <w:lang w:val="bg-BG"/>
        </w:rPr>
        <w:t>Член 10.12</w:t>
      </w:r>
      <w:r w:rsidRPr="009072DA">
        <w:rPr>
          <w:lang w:val="bg-BG"/>
        </w:rPr>
        <w:br/>
      </w:r>
      <w:r w:rsidRPr="009072DA">
        <w:rPr>
          <w:i/>
          <w:lang w:val="bg-BG"/>
        </w:rPr>
        <w:t>Комутационна и пусковорегулиращата апаратура</w:t>
      </w:r>
      <w:bookmarkEnd w:id="182"/>
      <w:bookmarkEnd w:id="183"/>
    </w:p>
    <w:p w:rsidR="00651EFD" w:rsidRPr="009072DA" w:rsidRDefault="00651EFD" w:rsidP="008A12E7">
      <w:pPr>
        <w:rPr>
          <w:rFonts w:cs="Arial"/>
          <w:szCs w:val="20"/>
          <w:lang w:val="bg-BG"/>
        </w:rPr>
      </w:pPr>
    </w:p>
    <w:p w:rsidR="001F02E6" w:rsidRPr="009072DA" w:rsidRDefault="001F02E6" w:rsidP="001F02E6">
      <w:pPr>
        <w:pStyle w:val="ESch"/>
        <w:rPr>
          <w:rFonts w:eastAsia="Calibri"/>
          <w:lang w:val="bg-BG"/>
        </w:rPr>
      </w:pPr>
      <w:r w:rsidRPr="009072DA">
        <w:rPr>
          <w:lang w:val="bg-BG"/>
        </w:rPr>
        <w:t>1.</w:t>
      </w:r>
      <w:r w:rsidRPr="009072DA">
        <w:rPr>
          <w:lang w:val="bg-BG"/>
        </w:rPr>
        <w:tab/>
        <w:t>Разпределителни табла</w:t>
      </w:r>
    </w:p>
    <w:p w:rsidR="001F02E6" w:rsidRPr="009072DA" w:rsidRDefault="001F02E6" w:rsidP="001F02E6">
      <w:pPr>
        <w:pStyle w:val="ESlet"/>
        <w:rPr>
          <w:rFonts w:eastAsia="Calibri"/>
          <w:lang w:val="bg-BG"/>
        </w:rPr>
      </w:pPr>
      <w:r w:rsidRPr="009072DA">
        <w:rPr>
          <w:lang w:val="bg-BG"/>
        </w:rPr>
        <w:t>a)</w:t>
      </w:r>
      <w:r w:rsidRPr="009072DA">
        <w:rPr>
          <w:lang w:val="bg-BG"/>
        </w:rPr>
        <w:tab/>
        <w:t>Оборудването, ключовете, предпазителите и инструментите на таблата трябва да бъдат подредени на видно място и достъпни за поддръжка и ремонт.</w:t>
      </w:r>
    </w:p>
    <w:p w:rsidR="001F02E6" w:rsidRPr="009072DA" w:rsidRDefault="001F02E6" w:rsidP="001F02E6">
      <w:pPr>
        <w:pStyle w:val="EStiret"/>
        <w:ind w:left="993" w:hanging="1"/>
        <w:rPr>
          <w:rFonts w:eastAsia="Calibri"/>
          <w:noProof w:val="0"/>
          <w:lang w:val="bg-BG"/>
        </w:rPr>
      </w:pPr>
      <w:r w:rsidRPr="009072DA">
        <w:rPr>
          <w:noProof w:val="0"/>
          <w:lang w:val="bg-BG"/>
        </w:rPr>
        <w:t>Терминалите за напрежение до 50 V и за напрежения над 50 V трябва да са разделени и съответно означени.</w:t>
      </w:r>
    </w:p>
    <w:p w:rsidR="001F02E6" w:rsidRPr="009072DA" w:rsidRDefault="001F02E6" w:rsidP="001F02E6">
      <w:pPr>
        <w:pStyle w:val="ESlet"/>
        <w:rPr>
          <w:rFonts w:eastAsia="Calibri"/>
          <w:lang w:val="bg-BG"/>
        </w:rPr>
      </w:pPr>
      <w:r w:rsidRPr="009072DA">
        <w:rPr>
          <w:lang w:val="bg-BG"/>
        </w:rPr>
        <w:t>б)</w:t>
      </w:r>
      <w:r w:rsidRPr="009072DA">
        <w:rPr>
          <w:lang w:val="bg-BG"/>
        </w:rPr>
        <w:tab/>
        <w:t>Табели с маркировка, указващи веригата, трябва да бъдат прикрепени към разпределителните табла за всички прекъсвачи и уреди.</w:t>
      </w:r>
    </w:p>
    <w:p w:rsidR="001F02E6" w:rsidRPr="009072DA" w:rsidRDefault="001F02E6" w:rsidP="001F02E6">
      <w:pPr>
        <w:pStyle w:val="ESletpar"/>
        <w:rPr>
          <w:rFonts w:eastAsia="Calibri"/>
          <w:lang w:val="bg-BG"/>
        </w:rPr>
      </w:pPr>
      <w:r w:rsidRPr="009072DA">
        <w:rPr>
          <w:lang w:val="bg-BG"/>
        </w:rPr>
        <w:t>Номиналният ток и веригата трябва да бъдат посочени за предпазителите.</w:t>
      </w:r>
    </w:p>
    <w:p w:rsidR="001F02E6" w:rsidRPr="009072DA" w:rsidRDefault="001F02E6" w:rsidP="001F02E6">
      <w:pPr>
        <w:pStyle w:val="ESlet"/>
        <w:rPr>
          <w:rFonts w:eastAsia="Calibri"/>
          <w:lang w:val="bg-BG"/>
        </w:rPr>
      </w:pPr>
      <w:r w:rsidRPr="009072DA">
        <w:rPr>
          <w:lang w:val="bg-BG"/>
        </w:rPr>
        <w:t>в)</w:t>
      </w:r>
      <w:r w:rsidRPr="009072DA">
        <w:rPr>
          <w:lang w:val="bg-BG"/>
        </w:rPr>
        <w:tab/>
        <w:t>Когато оборудване с работно напрежение над 50 V се монтира зад врати, тоководещите елементи на това оборудване трябва да са обезопасени против случаен допир, когато вратите са отворени.</w:t>
      </w:r>
    </w:p>
    <w:p w:rsidR="001F02E6" w:rsidRPr="009072DA" w:rsidRDefault="001F02E6" w:rsidP="001F02E6">
      <w:pPr>
        <w:pStyle w:val="ESlet"/>
        <w:rPr>
          <w:rFonts w:eastAsia="Calibri"/>
          <w:lang w:val="bg-BG"/>
        </w:rPr>
      </w:pPr>
      <w:r w:rsidRPr="009072DA">
        <w:rPr>
          <w:lang w:val="bg-BG"/>
        </w:rPr>
        <w:t>г)</w:t>
      </w:r>
      <w:r w:rsidRPr="009072DA">
        <w:rPr>
          <w:lang w:val="bg-BG"/>
        </w:rPr>
        <w:tab/>
        <w:t>Материалите, от които са направени разпределителните табла, трябва да са с достатъчна механична якост и трайност, да са забавящи горенето, самогасящи се и да не са хигроскопични.</w:t>
      </w:r>
    </w:p>
    <w:p w:rsidR="001F02E6" w:rsidRPr="009072DA" w:rsidRDefault="001F02E6" w:rsidP="001F02E6">
      <w:pPr>
        <w:pStyle w:val="ESlet"/>
        <w:rPr>
          <w:rFonts w:eastAsia="Calibri"/>
          <w:lang w:val="bg-BG"/>
        </w:rPr>
      </w:pPr>
      <w:r w:rsidRPr="009072DA">
        <w:rPr>
          <w:lang w:val="bg-BG"/>
        </w:rPr>
        <w:t>д)</w:t>
      </w:r>
      <w:r w:rsidRPr="009072DA">
        <w:rPr>
          <w:lang w:val="bg-BG"/>
        </w:rPr>
        <w:tab/>
        <w:t>При ниско напрежение: предпазители с висок капацитет за предпазване от разрушаване са монтирани в разпределителни табла, a принадлежности и оборудване за физическа защита са на разположение за монтаж и изваждане на подобни патрони.</w:t>
      </w:r>
    </w:p>
    <w:p w:rsidR="001F02E6" w:rsidRPr="009072DA" w:rsidRDefault="001F02E6" w:rsidP="001F02E6">
      <w:pPr>
        <w:pStyle w:val="ESch"/>
        <w:rPr>
          <w:lang w:val="bg-BG"/>
        </w:rPr>
      </w:pPr>
    </w:p>
    <w:p w:rsidR="001F02E6" w:rsidRPr="009072DA" w:rsidRDefault="001F02E6" w:rsidP="001F02E6">
      <w:pPr>
        <w:pStyle w:val="ESch"/>
        <w:rPr>
          <w:rFonts w:eastAsia="Calibri"/>
          <w:lang w:val="bg-BG"/>
        </w:rPr>
      </w:pPr>
      <w:r w:rsidRPr="009072DA">
        <w:rPr>
          <w:lang w:val="bg-BG"/>
        </w:rPr>
        <w:t>2.</w:t>
      </w:r>
      <w:r w:rsidRPr="009072DA">
        <w:rPr>
          <w:lang w:val="bg-BG"/>
        </w:rPr>
        <w:tab/>
        <w:t>Прекъсвачи, предпазители</w:t>
      </w:r>
    </w:p>
    <w:p w:rsidR="001F02E6" w:rsidRPr="009072DA" w:rsidRDefault="001F02E6" w:rsidP="001F02E6">
      <w:pPr>
        <w:pStyle w:val="ESlet"/>
        <w:rPr>
          <w:rFonts w:eastAsia="Calibri"/>
          <w:lang w:val="bg-BG"/>
        </w:rPr>
      </w:pPr>
      <w:r w:rsidRPr="009072DA">
        <w:rPr>
          <w:lang w:val="bg-BG"/>
        </w:rPr>
        <w:t>a)</w:t>
      </w:r>
      <w:r w:rsidRPr="009072DA">
        <w:rPr>
          <w:lang w:val="bg-BG"/>
        </w:rPr>
        <w:tab/>
        <w:t xml:space="preserve">Веригите на генератора и потребителско оборудване трябва да са защитени срещу къси съединения и ток на претоварване по всички незаземени проводници. За тази цел могат да бъдат използвани превключващи устройства, задействани при късо съединение и претоварване, или предпазители (с патрони). </w:t>
      </w:r>
    </w:p>
    <w:p w:rsidR="001F02E6" w:rsidRPr="009072DA" w:rsidRDefault="001F02E6" w:rsidP="001F02E6">
      <w:pPr>
        <w:pStyle w:val="ESletpar"/>
        <w:rPr>
          <w:rFonts w:eastAsia="Calibri"/>
          <w:lang w:val="bg-BG"/>
        </w:rPr>
      </w:pPr>
      <w:r w:rsidRPr="009072DA">
        <w:rPr>
          <w:lang w:val="bg-BG"/>
        </w:rPr>
        <w:t xml:space="preserve">Веригите, захранващи рулевата система съгласно член 6.04, и техните управляващи вериги трябва да са защитени само срещу късо съединение. Когато прекъсвачът е </w:t>
      </w:r>
      <w:r w:rsidRPr="009072DA">
        <w:rPr>
          <w:lang w:val="bg-BG"/>
        </w:rPr>
        <w:lastRenderedPageBreak/>
        <w:t>топлинен, той се неутрализира или се настройва за не по-малко от двойния размер на номиналния ток.</w:t>
      </w:r>
    </w:p>
    <w:p w:rsidR="001F02E6" w:rsidRPr="009072DA" w:rsidRDefault="001F02E6" w:rsidP="001F02E6">
      <w:pPr>
        <w:pStyle w:val="ESlet"/>
        <w:rPr>
          <w:rFonts w:eastAsia="Calibri"/>
          <w:lang w:val="bg-BG"/>
        </w:rPr>
      </w:pPr>
      <w:r w:rsidRPr="009072DA">
        <w:rPr>
          <w:lang w:val="bg-BG"/>
        </w:rPr>
        <w:t>б)</w:t>
      </w:r>
      <w:r w:rsidRPr="009072DA">
        <w:rPr>
          <w:lang w:val="bg-BG"/>
        </w:rPr>
        <w:tab/>
        <w:t>Изводите за потребителско оборудване от главното разпределително табло включват прекъсвач за натоварване или прекъсвач за номинален ток над 16 А</w:t>
      </w:r>
    </w:p>
    <w:p w:rsidR="001F02E6" w:rsidRPr="009072DA" w:rsidRDefault="001F02E6" w:rsidP="001F02E6">
      <w:pPr>
        <w:pStyle w:val="ESlet"/>
        <w:rPr>
          <w:rFonts w:eastAsia="Calibri"/>
          <w:lang w:val="bg-BG"/>
        </w:rPr>
      </w:pPr>
      <w:r w:rsidRPr="009072DA">
        <w:rPr>
          <w:lang w:val="bg-BG"/>
        </w:rPr>
        <w:t>в)</w:t>
      </w:r>
      <w:r w:rsidRPr="009072DA">
        <w:rPr>
          <w:lang w:val="bg-BG"/>
        </w:rPr>
        <w:tab/>
        <w:t>Потребителското оборудване, необходимо за задвижване на плавателния съд, за рулеви системи съгласно глава 6, за индикатори за положението на руля, за системи за навигация или безопасност, както и потребителско оборудване с номинален ток над 16 А трябва да се захранват от отделни вериги.</w:t>
      </w:r>
    </w:p>
    <w:p w:rsidR="001F02E6" w:rsidRPr="009072DA" w:rsidRDefault="001F02E6" w:rsidP="001F02E6">
      <w:pPr>
        <w:pStyle w:val="ESlet"/>
        <w:rPr>
          <w:rFonts w:eastAsia="Calibri"/>
          <w:lang w:val="bg-BG"/>
        </w:rPr>
      </w:pPr>
      <w:r w:rsidRPr="009072DA">
        <w:rPr>
          <w:lang w:val="bg-BG"/>
        </w:rPr>
        <w:t>г)</w:t>
      </w:r>
      <w:r w:rsidRPr="009072DA">
        <w:rPr>
          <w:lang w:val="bg-BG"/>
        </w:rPr>
        <w:tab/>
        <w:t>Веригите на потребителското оборудване, необходими за задвижване и маневриране на плавателния съд, се захранват направо от главното разпределително табло.</w:t>
      </w:r>
    </w:p>
    <w:p w:rsidR="001F02E6" w:rsidRPr="009072DA" w:rsidRDefault="001F02E6" w:rsidP="001F02E6">
      <w:pPr>
        <w:pStyle w:val="ESlet"/>
        <w:rPr>
          <w:rFonts w:eastAsia="Calibri"/>
          <w:lang w:val="bg-BG"/>
        </w:rPr>
      </w:pPr>
      <w:r w:rsidRPr="009072DA">
        <w:rPr>
          <w:lang w:val="bg-BG"/>
        </w:rPr>
        <w:t>д)</w:t>
      </w:r>
      <w:r w:rsidRPr="009072DA">
        <w:rPr>
          <w:lang w:val="bg-BG"/>
        </w:rPr>
        <w:tab/>
        <w:t>Превключващите устройства се избират на база на номиналния ток, топлинната или динамичната издръжливост и изключвателната способност. Прекъсвачите едновременно изключват всички проводници под напрежение. Мястото на прекъсване трябва да бъде лесно за идентифициране.</w:t>
      </w:r>
    </w:p>
    <w:p w:rsidR="001F02E6" w:rsidRPr="009072DA" w:rsidRDefault="001F02E6" w:rsidP="001F02E6">
      <w:pPr>
        <w:pStyle w:val="ESlet"/>
        <w:rPr>
          <w:rFonts w:eastAsia="Calibri"/>
          <w:lang w:val="bg-BG"/>
        </w:rPr>
      </w:pPr>
      <w:r w:rsidRPr="009072DA">
        <w:rPr>
          <w:lang w:val="bg-BG"/>
        </w:rPr>
        <w:t>е)</w:t>
      </w:r>
      <w:r w:rsidRPr="009072DA">
        <w:rPr>
          <w:lang w:val="bg-BG"/>
        </w:rPr>
        <w:tab/>
        <w:t>Патроните трябва да бъдат закрити и стопяеми и следва да бъдат изработени от порцелан или еквивалентен материал. Трябва да е възможна замяната им без никаква опасност от контакт.</w:t>
      </w:r>
    </w:p>
    <w:p w:rsidR="001F02E6" w:rsidRPr="009072DA" w:rsidRDefault="001F02E6" w:rsidP="001F02E6">
      <w:pPr>
        <w:pStyle w:val="ESch"/>
        <w:rPr>
          <w:rFonts w:eastAsia="Calibri"/>
          <w:lang w:val="bg-BG"/>
        </w:rPr>
      </w:pPr>
    </w:p>
    <w:p w:rsidR="00AB2818" w:rsidRPr="009072DA" w:rsidRDefault="00AB2818">
      <w:pPr>
        <w:rPr>
          <w:rFonts w:eastAsia="Calibri"/>
          <w:lang w:val="bg-BG"/>
        </w:rPr>
      </w:pPr>
      <w:r w:rsidRPr="009072DA">
        <w:rPr>
          <w:lang w:val="bg-BG"/>
        </w:rPr>
        <w:br w:type="page"/>
      </w:r>
    </w:p>
    <w:p w:rsidR="00AB2818" w:rsidRPr="009072DA" w:rsidRDefault="00AB2818"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3.</w:t>
      </w:r>
      <w:r w:rsidRPr="009072DA">
        <w:rPr>
          <w:lang w:val="bg-BG"/>
        </w:rPr>
        <w:tab/>
        <w:t>Измерващи и следящи устройства</w:t>
      </w:r>
    </w:p>
    <w:p w:rsidR="001F02E6" w:rsidRPr="009072DA" w:rsidRDefault="001F02E6" w:rsidP="001F02E6">
      <w:pPr>
        <w:pStyle w:val="ESlet"/>
        <w:rPr>
          <w:rFonts w:eastAsia="Calibri"/>
          <w:lang w:val="bg-BG"/>
        </w:rPr>
      </w:pPr>
      <w:r w:rsidRPr="009072DA">
        <w:rPr>
          <w:lang w:val="bg-BG"/>
        </w:rPr>
        <w:t>a)</w:t>
      </w:r>
      <w:r w:rsidRPr="009072DA">
        <w:rPr>
          <w:lang w:val="bg-BG"/>
        </w:rPr>
        <w:tab/>
        <w:t>Веригите на генератора, акумулатора и разпределението трябва да бъдат оборудвани с уреди за измерване и следене, необходими за безопасна експлоатация на инсталацията.</w:t>
      </w:r>
    </w:p>
    <w:p w:rsidR="001F02E6" w:rsidRPr="009072DA" w:rsidRDefault="001F02E6" w:rsidP="001F02E6">
      <w:pPr>
        <w:pStyle w:val="ESlet"/>
        <w:rPr>
          <w:rFonts w:eastAsia="Calibri"/>
          <w:lang w:val="bg-BG"/>
        </w:rPr>
      </w:pPr>
      <w:r w:rsidRPr="009072DA">
        <w:rPr>
          <w:lang w:val="bg-BG"/>
        </w:rPr>
        <w:t>б)</w:t>
      </w:r>
      <w:r w:rsidRPr="009072DA">
        <w:rPr>
          <w:lang w:val="bg-BG"/>
        </w:rPr>
        <w:tab/>
        <w:t>Незаземени мрежи, където напрежението е над 50 V трябва да включват устройство за следене на изолацията, снабдено със светлинна и звукова сигнализация. В помощните инсталации, като управляващите вериги, устройството за следене на изолацията може да бъде пропуснато.</w:t>
      </w:r>
    </w:p>
    <w:p w:rsidR="001F02E6" w:rsidRPr="009072DA" w:rsidRDefault="001F02E6" w:rsidP="001F02E6">
      <w:pPr>
        <w:pStyle w:val="ESch"/>
        <w:rPr>
          <w:rFonts w:eastAsia="Calibri"/>
          <w:lang w:val="bg-BG"/>
        </w:rPr>
      </w:pPr>
    </w:p>
    <w:p w:rsidR="001F02E6" w:rsidRPr="009072DA" w:rsidRDefault="001F02E6" w:rsidP="001F02E6">
      <w:pPr>
        <w:pStyle w:val="ESch"/>
        <w:rPr>
          <w:rFonts w:eastAsia="Calibri"/>
          <w:lang w:val="bg-BG"/>
        </w:rPr>
      </w:pPr>
      <w:r w:rsidRPr="009072DA">
        <w:rPr>
          <w:lang w:val="bg-BG"/>
        </w:rPr>
        <w:t>4.</w:t>
      </w:r>
      <w:r w:rsidRPr="009072DA">
        <w:rPr>
          <w:lang w:val="bg-BG"/>
        </w:rPr>
        <w:tab/>
        <w:t>Поставяне на разпределителни табла</w:t>
      </w:r>
    </w:p>
    <w:p w:rsidR="001F02E6" w:rsidRPr="009072DA" w:rsidRDefault="001F02E6" w:rsidP="001F02E6">
      <w:pPr>
        <w:pStyle w:val="ESlet"/>
        <w:rPr>
          <w:rFonts w:eastAsia="Calibri"/>
          <w:lang w:val="bg-BG"/>
        </w:rPr>
      </w:pPr>
      <w:r w:rsidRPr="009072DA">
        <w:rPr>
          <w:lang w:val="bg-BG"/>
        </w:rPr>
        <w:t>a)</w:t>
      </w:r>
      <w:r w:rsidRPr="009072DA">
        <w:rPr>
          <w:lang w:val="bg-BG"/>
        </w:rPr>
        <w:tab/>
        <w:t>Разпределителните табла се разполагат в достъпни и добре проветриви помещения, за да бъдат обезопасени срещу вода и механична повреда.</w:t>
      </w:r>
    </w:p>
    <w:p w:rsidR="001F02E6" w:rsidRPr="009072DA" w:rsidRDefault="001F02E6" w:rsidP="001F02E6">
      <w:pPr>
        <w:pStyle w:val="ESletpar"/>
        <w:rPr>
          <w:rFonts w:eastAsia="Calibri"/>
          <w:lang w:val="bg-BG"/>
        </w:rPr>
      </w:pPr>
      <w:r w:rsidRPr="009072DA">
        <w:rPr>
          <w:lang w:val="bg-BG"/>
        </w:rPr>
        <w:t>Тръбите и въздуховодите се разполагат така, че при течове комутационната апаратура и пусковорегулиращата апаратура да не могат да бъдат повредени. Ако тръбите трябва задължително да бъдат монтирани близо до разпределителни табла, те не трябва да имат разглобяеми връзки в близост.</w:t>
      </w:r>
    </w:p>
    <w:p w:rsidR="001F02E6" w:rsidRPr="009072DA" w:rsidRDefault="001F02E6" w:rsidP="001F02E6">
      <w:pPr>
        <w:pStyle w:val="ESlet"/>
        <w:rPr>
          <w:rFonts w:eastAsia="Calibri"/>
          <w:lang w:val="bg-BG"/>
        </w:rPr>
      </w:pPr>
      <w:r w:rsidRPr="009072DA">
        <w:rPr>
          <w:lang w:val="bg-BG"/>
        </w:rPr>
        <w:t>б)</w:t>
      </w:r>
      <w:r w:rsidRPr="009072DA">
        <w:rPr>
          <w:lang w:val="bg-BG"/>
        </w:rPr>
        <w:tab/>
        <w:t>Шкафовете и нишите в стените, където са монтирани незащитени прекъсвачи, следва да са от забавящ горенето материал или защитени с метална или друга незапалима обвивка.</w:t>
      </w:r>
    </w:p>
    <w:p w:rsidR="001F02E6" w:rsidRPr="009072DA" w:rsidRDefault="001F02E6" w:rsidP="001F02E6">
      <w:pPr>
        <w:pStyle w:val="ESlet"/>
        <w:rPr>
          <w:rFonts w:eastAsia="Calibri"/>
          <w:lang w:val="bg-BG"/>
        </w:rPr>
      </w:pPr>
      <w:r w:rsidRPr="009072DA">
        <w:rPr>
          <w:lang w:val="bg-BG"/>
        </w:rPr>
        <w:t>в)</w:t>
      </w:r>
      <w:r w:rsidRPr="009072DA">
        <w:rPr>
          <w:lang w:val="bg-BG"/>
        </w:rPr>
        <w:tab/>
        <w:t>Когато напрежението е над 50 V, пред главното разпределително табло, където седи операторът, се поставят скари или изолиращи подложки.</w:t>
      </w:r>
    </w:p>
    <w:p w:rsidR="008A12E7" w:rsidRPr="009072DA" w:rsidRDefault="008A12E7" w:rsidP="00AA5633">
      <w:pPr>
        <w:pStyle w:val="ESch"/>
        <w:rPr>
          <w:lang w:val="bg-BG"/>
        </w:rPr>
      </w:pPr>
    </w:p>
    <w:p w:rsidR="00651EFD" w:rsidRPr="009072DA" w:rsidRDefault="00651EFD" w:rsidP="00AA5633">
      <w:pPr>
        <w:pStyle w:val="ESch"/>
        <w:rPr>
          <w:lang w:val="bg-BG"/>
        </w:rPr>
      </w:pPr>
    </w:p>
    <w:p w:rsidR="008A12E7" w:rsidRPr="009072DA" w:rsidRDefault="008A12E7" w:rsidP="00F87682">
      <w:pPr>
        <w:pStyle w:val="ES-Titre3"/>
        <w:spacing w:line="240" w:lineRule="atLeast"/>
        <w:rPr>
          <w:lang w:val="bg-BG"/>
        </w:rPr>
      </w:pPr>
      <w:bookmarkStart w:id="184" w:name="_Toc491854090"/>
      <w:bookmarkStart w:id="185" w:name="_Toc535827531"/>
      <w:r w:rsidRPr="009072DA">
        <w:rPr>
          <w:lang w:val="bg-BG"/>
        </w:rPr>
        <w:t>Член 10.13</w:t>
      </w:r>
      <w:r w:rsidRPr="009072DA">
        <w:rPr>
          <w:lang w:val="bg-BG"/>
        </w:rPr>
        <w:br/>
      </w:r>
      <w:r w:rsidRPr="009072DA">
        <w:rPr>
          <w:i/>
          <w:lang w:val="bg-BG"/>
        </w:rPr>
        <w:t>Аварийни прекъсвачи</w:t>
      </w:r>
      <w:bookmarkEnd w:id="184"/>
      <w:bookmarkEnd w:id="185"/>
    </w:p>
    <w:p w:rsidR="006B754E" w:rsidRPr="009072DA" w:rsidRDefault="006B754E" w:rsidP="006B754E">
      <w:pPr>
        <w:rPr>
          <w:rFonts w:cs="Arial"/>
          <w:szCs w:val="20"/>
          <w:lang w:val="bg-BG"/>
        </w:rPr>
      </w:pPr>
    </w:p>
    <w:p w:rsidR="0091718D" w:rsidRPr="009072DA" w:rsidRDefault="0091718D" w:rsidP="0091718D">
      <w:pPr>
        <w:pStyle w:val="ESgauche"/>
        <w:rPr>
          <w:rFonts w:eastAsia="Calibri"/>
          <w:noProof w:val="0"/>
          <w:lang w:val="bg-BG"/>
        </w:rPr>
      </w:pPr>
      <w:r w:rsidRPr="009072DA">
        <w:rPr>
          <w:noProof w:val="0"/>
          <w:lang w:val="bg-BG"/>
        </w:rPr>
        <w:t>За маслени горелки, маслени помпи и помпи за гориво, сепаратори на масло и гориво и вентилатори на машинното отделение, аварийните прекъсвачи се монтират на централно място извън помещенията на оборудването.</w:t>
      </w:r>
    </w:p>
    <w:p w:rsidR="008A12E7" w:rsidRPr="009072DA" w:rsidRDefault="008A12E7" w:rsidP="008A12E7">
      <w:pPr>
        <w:rPr>
          <w:rFonts w:cs="Arial"/>
          <w:szCs w:val="20"/>
          <w:lang w:val="bg-BG"/>
        </w:rPr>
      </w:pPr>
    </w:p>
    <w:p w:rsidR="00BD4F1D" w:rsidRPr="009072DA" w:rsidRDefault="00BD4F1D" w:rsidP="008A12E7">
      <w:pPr>
        <w:rPr>
          <w:rFonts w:cs="Arial"/>
          <w:szCs w:val="20"/>
          <w:lang w:val="bg-BG"/>
        </w:rPr>
      </w:pPr>
    </w:p>
    <w:p w:rsidR="008A12E7" w:rsidRPr="009072DA" w:rsidRDefault="008A12E7" w:rsidP="00F87682">
      <w:pPr>
        <w:pStyle w:val="ES-Titre3"/>
        <w:spacing w:line="240" w:lineRule="atLeast"/>
        <w:rPr>
          <w:lang w:val="bg-BG"/>
        </w:rPr>
      </w:pPr>
      <w:bookmarkStart w:id="186" w:name="_Toc491854091"/>
      <w:bookmarkStart w:id="187" w:name="_Toc535827532"/>
      <w:r w:rsidRPr="009072DA">
        <w:rPr>
          <w:lang w:val="bg-BG"/>
        </w:rPr>
        <w:t>Член 10.14</w:t>
      </w:r>
      <w:r w:rsidRPr="009072DA">
        <w:rPr>
          <w:lang w:val="bg-BG"/>
        </w:rPr>
        <w:br/>
      </w:r>
      <w:r w:rsidRPr="009072DA">
        <w:rPr>
          <w:i/>
          <w:lang w:val="bg-BG"/>
        </w:rPr>
        <w:t>Арматура за инсталации</w:t>
      </w:r>
      <w:bookmarkEnd w:id="186"/>
      <w:bookmarkEnd w:id="187"/>
    </w:p>
    <w:p w:rsidR="00651EFD" w:rsidRPr="009072DA" w:rsidRDefault="00651EFD" w:rsidP="008A12E7">
      <w:pPr>
        <w:rPr>
          <w:rFonts w:cs="Arial"/>
          <w:szCs w:val="20"/>
          <w:lang w:val="bg-BG"/>
        </w:rPr>
      </w:pPr>
    </w:p>
    <w:p w:rsidR="008A12E7" w:rsidRPr="009072DA" w:rsidRDefault="008A12E7" w:rsidP="00BD4F1D">
      <w:pPr>
        <w:pStyle w:val="ESch"/>
        <w:rPr>
          <w:lang w:val="bg-BG"/>
        </w:rPr>
      </w:pPr>
      <w:r w:rsidRPr="009072DA">
        <w:rPr>
          <w:lang w:val="bg-BG"/>
        </w:rPr>
        <w:t>1.</w:t>
      </w:r>
      <w:r w:rsidRPr="009072DA">
        <w:rPr>
          <w:lang w:val="bg-BG"/>
        </w:rPr>
        <w:tab/>
        <w:t>Кабелните кутии се оразмеряват в зависимост от свързваните кабели и трябва да съответстват на използваните видове кабели.</w:t>
      </w:r>
    </w:p>
    <w:p w:rsidR="00651EFD" w:rsidRPr="009072DA" w:rsidRDefault="00651EFD" w:rsidP="00BD4F1D">
      <w:pPr>
        <w:pStyle w:val="ESch"/>
        <w:rPr>
          <w:lang w:val="bg-BG"/>
        </w:rPr>
      </w:pPr>
    </w:p>
    <w:p w:rsidR="008A12E7" w:rsidRPr="009072DA" w:rsidRDefault="008A12E7" w:rsidP="00BD4F1D">
      <w:pPr>
        <w:pStyle w:val="ESch"/>
        <w:rPr>
          <w:lang w:val="bg-BG"/>
        </w:rPr>
      </w:pPr>
      <w:r w:rsidRPr="009072DA">
        <w:rPr>
          <w:lang w:val="bg-BG"/>
        </w:rPr>
        <w:t>2.</w:t>
      </w:r>
      <w:r w:rsidRPr="009072DA">
        <w:rPr>
          <w:lang w:val="bg-BG"/>
        </w:rPr>
        <w:tab/>
        <w:t>Трябва да е невъзможно да бъдат объркани съединителните муфи за разпределителните вериги с различни напрежения или честоти.</w:t>
      </w:r>
    </w:p>
    <w:p w:rsidR="00651EFD" w:rsidRPr="009072DA" w:rsidRDefault="00651EFD" w:rsidP="00BD4F1D">
      <w:pPr>
        <w:pStyle w:val="ESch"/>
        <w:rPr>
          <w:lang w:val="bg-BG"/>
        </w:rPr>
      </w:pPr>
    </w:p>
    <w:p w:rsidR="008A12E7" w:rsidRPr="009072DA" w:rsidRDefault="008A12E7" w:rsidP="00BD4F1D">
      <w:pPr>
        <w:pStyle w:val="ESch"/>
        <w:rPr>
          <w:lang w:val="bg-BG"/>
        </w:rPr>
      </w:pPr>
      <w:r w:rsidRPr="009072DA">
        <w:rPr>
          <w:lang w:val="bg-BG"/>
        </w:rPr>
        <w:t>3.</w:t>
      </w:r>
      <w:r w:rsidRPr="009072DA">
        <w:rPr>
          <w:lang w:val="bg-BG"/>
        </w:rPr>
        <w:tab/>
        <w:t>Прекъсвачите трябва да изключват едновременно всички незаземени проводници във веригата. Все пак за незаземени вериги се допускат еднополюсни прекъсвачи при веригите за осветление на жилищни помещения, с изключение на пералните, хигиенните, миялните и други помещения с мокри съоръжения.</w:t>
      </w:r>
    </w:p>
    <w:p w:rsidR="00651EFD" w:rsidRPr="009072DA" w:rsidRDefault="00651EFD" w:rsidP="00BD4F1D">
      <w:pPr>
        <w:pStyle w:val="ESch"/>
        <w:rPr>
          <w:lang w:val="bg-BG"/>
        </w:rPr>
      </w:pPr>
    </w:p>
    <w:p w:rsidR="008A12E7" w:rsidRPr="009072DA" w:rsidRDefault="008A12E7" w:rsidP="00BD4F1D">
      <w:pPr>
        <w:pStyle w:val="ESch"/>
        <w:rPr>
          <w:lang w:val="bg-BG"/>
        </w:rPr>
      </w:pPr>
      <w:r w:rsidRPr="009072DA">
        <w:rPr>
          <w:lang w:val="bg-BG"/>
        </w:rPr>
        <w:t>4.</w:t>
      </w:r>
      <w:r w:rsidRPr="009072DA">
        <w:rPr>
          <w:lang w:val="bg-BG"/>
        </w:rPr>
        <w:tab/>
        <w:t>Когато токът превишава 16 А, трябва да има възможност да се блокират съединителните муфи с помощта на ключ по такъв начин, че съединителите да могат да се съединяват и разединяват само при изключено захранване.</w:t>
      </w:r>
    </w:p>
    <w:p w:rsidR="00651EFD" w:rsidRPr="009072DA" w:rsidRDefault="00651EFD" w:rsidP="008A12E7">
      <w:pPr>
        <w:rPr>
          <w:rFonts w:cs="Arial"/>
          <w:szCs w:val="20"/>
          <w:lang w:val="bg-BG"/>
        </w:rPr>
      </w:pPr>
    </w:p>
    <w:p w:rsidR="00651EFD" w:rsidRPr="009072DA" w:rsidRDefault="00651EFD" w:rsidP="008A12E7">
      <w:pPr>
        <w:rPr>
          <w:rFonts w:cs="Arial"/>
          <w:szCs w:val="20"/>
          <w:lang w:val="bg-BG"/>
        </w:rPr>
      </w:pPr>
    </w:p>
    <w:p w:rsidR="00AB2818" w:rsidRPr="009072DA" w:rsidRDefault="00AB2818">
      <w:pPr>
        <w:rPr>
          <w:rFonts w:cs="Arial"/>
          <w:szCs w:val="20"/>
          <w:lang w:val="bg-BG"/>
        </w:rPr>
      </w:pPr>
      <w:r w:rsidRPr="009072DA">
        <w:rPr>
          <w:lang w:val="bg-BG"/>
        </w:rPr>
        <w:br w:type="page"/>
      </w:r>
    </w:p>
    <w:p w:rsidR="00AB2818" w:rsidRPr="009072DA" w:rsidRDefault="00AB2818" w:rsidP="008A12E7">
      <w:pPr>
        <w:rPr>
          <w:rFonts w:cs="Arial"/>
          <w:szCs w:val="20"/>
          <w:lang w:val="bg-BG"/>
        </w:rPr>
      </w:pPr>
    </w:p>
    <w:p w:rsidR="008A12E7" w:rsidRPr="009072DA" w:rsidRDefault="008A12E7" w:rsidP="00651EFD">
      <w:pPr>
        <w:pStyle w:val="ES-Titre3"/>
        <w:rPr>
          <w:lang w:val="bg-BG"/>
        </w:rPr>
      </w:pPr>
      <w:bookmarkStart w:id="188" w:name="_Toc491854092"/>
      <w:bookmarkStart w:id="189" w:name="_Toc535827533"/>
      <w:r w:rsidRPr="009072DA">
        <w:rPr>
          <w:lang w:val="bg-BG"/>
        </w:rPr>
        <w:t>Член 10.15</w:t>
      </w:r>
      <w:r w:rsidRPr="009072DA">
        <w:rPr>
          <w:lang w:val="bg-BG"/>
        </w:rPr>
        <w:br/>
      </w:r>
      <w:r w:rsidRPr="009072DA">
        <w:rPr>
          <w:i/>
          <w:lang w:val="bg-BG"/>
        </w:rPr>
        <w:t>Кабели, изолирани кабели и кабелни системи</w:t>
      </w:r>
      <w:bookmarkEnd w:id="188"/>
      <w:bookmarkEnd w:id="189"/>
    </w:p>
    <w:p w:rsidR="00651EFD" w:rsidRPr="009072DA" w:rsidRDefault="00651EFD" w:rsidP="008A12E7">
      <w:pPr>
        <w:rPr>
          <w:rFonts w:cs="Arial"/>
          <w:szCs w:val="20"/>
          <w:lang w:val="bg-BG"/>
        </w:rPr>
      </w:pPr>
    </w:p>
    <w:p w:rsidR="00A07DE6" w:rsidRPr="009072DA" w:rsidRDefault="00A07DE6" w:rsidP="00A07DE6">
      <w:pPr>
        <w:pStyle w:val="ESch"/>
        <w:rPr>
          <w:rFonts w:eastAsia="Calibri"/>
          <w:lang w:val="bg-BG"/>
        </w:rPr>
      </w:pPr>
      <w:r w:rsidRPr="009072DA">
        <w:rPr>
          <w:lang w:val="bg-BG"/>
        </w:rPr>
        <w:t>1.</w:t>
      </w:r>
      <w:r w:rsidRPr="009072DA">
        <w:rPr>
          <w:lang w:val="bg-BG"/>
        </w:rPr>
        <w:tab/>
        <w:t>Кабелите трябва да бъдат забавящи горенето, самогасящи, водо- и маслоустойчиви.</w:t>
      </w:r>
    </w:p>
    <w:p w:rsidR="00A07DE6" w:rsidRPr="009072DA" w:rsidRDefault="00A07DE6" w:rsidP="00A07DE6">
      <w:pPr>
        <w:pStyle w:val="ESch"/>
        <w:rPr>
          <w:rFonts w:eastAsia="Calibri"/>
          <w:lang w:val="bg-BG"/>
        </w:rPr>
      </w:pPr>
    </w:p>
    <w:p w:rsidR="00A07DE6" w:rsidRPr="009072DA" w:rsidRDefault="00A07DE6" w:rsidP="00A07DE6">
      <w:pPr>
        <w:pStyle w:val="ESchpar"/>
        <w:rPr>
          <w:rFonts w:eastAsia="Calibri"/>
          <w:lang w:val="bg-BG"/>
        </w:rPr>
      </w:pPr>
      <w:r w:rsidRPr="009072DA">
        <w:rPr>
          <w:lang w:val="bg-BG"/>
        </w:rPr>
        <w:t>В жилищните помещения контролният орган може да разреши използването на други видове кабели, при условие, че те са ефективно защитени, забавящи горенето или самогасящи се.</w:t>
      </w:r>
    </w:p>
    <w:p w:rsidR="00A07DE6" w:rsidRPr="009072DA" w:rsidRDefault="00A07DE6" w:rsidP="00A07DE6">
      <w:pPr>
        <w:pStyle w:val="ESchpar"/>
        <w:rPr>
          <w:rFonts w:eastAsia="Calibri"/>
          <w:lang w:val="bg-BG"/>
        </w:rPr>
      </w:pPr>
    </w:p>
    <w:p w:rsidR="00A07DE6" w:rsidRPr="009072DA" w:rsidRDefault="00A07DE6" w:rsidP="00A07DE6">
      <w:pPr>
        <w:pStyle w:val="ESchpar"/>
        <w:rPr>
          <w:rFonts w:eastAsia="Calibri"/>
          <w:lang w:val="bg-BG"/>
        </w:rPr>
      </w:pPr>
      <w:r w:rsidRPr="009072DA">
        <w:rPr>
          <w:lang w:val="bg-BG"/>
        </w:rPr>
        <w:t xml:space="preserve">За да се костатира, че електрическите кабели са забавящи горенето, </w:t>
      </w:r>
    </w:p>
    <w:p w:rsidR="00A07DE6" w:rsidRPr="009072DA" w:rsidRDefault="00A07DE6" w:rsidP="00A07DE6">
      <w:pPr>
        <w:pStyle w:val="ESlet"/>
        <w:rPr>
          <w:rFonts w:eastAsia="Calibri"/>
          <w:lang w:val="bg-BG"/>
        </w:rPr>
      </w:pPr>
      <w:r w:rsidRPr="009072DA">
        <w:rPr>
          <w:lang w:val="bg-BG"/>
        </w:rPr>
        <w:t>a)</w:t>
      </w:r>
      <w:r w:rsidRPr="009072DA">
        <w:rPr>
          <w:lang w:val="bg-BG"/>
        </w:rPr>
        <w:tab/>
        <w:t>изискванията на европейските стандарти серии EN 60332-1 и EN 60332</w:t>
      </w:r>
      <w:r w:rsidR="002B712C" w:rsidRPr="002B712C">
        <w:rPr>
          <w:lang w:val="bg-BG"/>
        </w:rPr>
        <w:t>-</w:t>
      </w:r>
      <w:r w:rsidRPr="009072DA">
        <w:rPr>
          <w:lang w:val="bg-BG"/>
        </w:rPr>
        <w:t>3 във версията им в сила към 6 юли 2017 г. или</w:t>
      </w:r>
    </w:p>
    <w:p w:rsidR="001427DF" w:rsidRPr="009072DA" w:rsidRDefault="00A07DE6" w:rsidP="00A07DE6">
      <w:pPr>
        <w:pStyle w:val="ESlet"/>
        <w:rPr>
          <w:lang w:val="bg-BG"/>
        </w:rPr>
      </w:pPr>
      <w:r w:rsidRPr="009072DA">
        <w:rPr>
          <w:lang w:val="bg-BG"/>
        </w:rPr>
        <w:t>б)</w:t>
      </w:r>
      <w:r w:rsidRPr="009072DA">
        <w:rPr>
          <w:lang w:val="bg-BG"/>
        </w:rPr>
        <w:tab/>
        <w:t>равностойни регламенти на една от държавите членки</w:t>
      </w:r>
    </w:p>
    <w:p w:rsidR="00A07DE6" w:rsidRPr="009072DA" w:rsidRDefault="001427DF" w:rsidP="00A07DE6">
      <w:pPr>
        <w:pStyle w:val="ESlet"/>
        <w:rPr>
          <w:rFonts w:eastAsia="Calibri"/>
          <w:lang w:val="bg-BG"/>
        </w:rPr>
      </w:pPr>
      <w:r w:rsidRPr="009072DA">
        <w:rPr>
          <w:lang w:val="bg-BG"/>
        </w:rPr>
        <w:t>трябва да бъдат спазени.</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2.</w:t>
      </w:r>
      <w:r w:rsidRPr="009072DA">
        <w:rPr>
          <w:lang w:val="bg-BG"/>
        </w:rPr>
        <w:tab/>
        <w:t>Проводниците на кабели, използвани за силови и осветителни вериги, трябва да са с напречно сечение минимум 1,5 mm</w:t>
      </w:r>
      <w:r w:rsidRPr="009072DA">
        <w:rPr>
          <w:vertAlign w:val="superscript"/>
          <w:lang w:val="bg-BG"/>
        </w:rPr>
        <w:t>2</w:t>
      </w:r>
      <w:r w:rsidRPr="009072DA">
        <w:rPr>
          <w:lang w:val="bg-BG"/>
        </w:rPr>
        <w:t xml:space="preserve"> на проводник.</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3.</w:t>
      </w:r>
      <w:r w:rsidRPr="009072DA">
        <w:rPr>
          <w:lang w:val="bg-BG"/>
        </w:rPr>
        <w:tab/>
        <w:t>Металната армировка, оплетка или броня на кабелите при нормални работни условия не трябва да се използва като проводник или за заземяване.</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4.</w:t>
      </w:r>
      <w:r w:rsidRPr="009072DA">
        <w:rPr>
          <w:lang w:val="bg-BG"/>
        </w:rPr>
        <w:tab/>
        <w:t>Металната оплетка и броня на кабелите в силови и осветителни инсталации се заземява поне в единия край.</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5.</w:t>
      </w:r>
      <w:r w:rsidRPr="009072DA">
        <w:rPr>
          <w:lang w:val="bg-BG"/>
        </w:rPr>
        <w:tab/>
        <w:t>Напречното сечение на кабелите трябва да съответства на крайната допустима максимална температура на кабелите (максимално допустим ток) и допустимия спад в напрежението. Такъв спад между главното разпределително табло и най-малко благоприятната точка на инсталацията не трябва да е повече от 5 % от номиналното напрежение за осветлението и повече от 7 % за силовите или отоплителните инсталации.</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6.</w:t>
      </w:r>
      <w:r w:rsidRPr="009072DA">
        <w:rPr>
          <w:lang w:val="bg-BG"/>
        </w:rPr>
        <w:tab/>
        <w:t>Кабелите трябва да са защитени срещу механични повреди.</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7.</w:t>
      </w:r>
      <w:r w:rsidRPr="009072DA">
        <w:rPr>
          <w:lang w:val="bg-BG"/>
        </w:rPr>
        <w:tab/>
        <w:t xml:space="preserve">Кабелните връзки трябва да са защитени срещу механичен товар и натоварване на опън </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8.</w:t>
      </w:r>
      <w:r w:rsidRPr="009072DA">
        <w:rPr>
          <w:lang w:val="bg-BG"/>
        </w:rPr>
        <w:tab/>
        <w:t>Когато кабелите преминават през прегради или палуби, механичната якост, водонепропускливостта и необходимите противопожарни свойства (например негорими, забавящи горенето, огнеустойчиви свойства) на въпросните прегради или палуби не трябва да се засягат от пробивите на тези кабели.</w:t>
      </w:r>
    </w:p>
    <w:p w:rsidR="00A07DE6" w:rsidRPr="009072DA" w:rsidRDefault="00A07DE6" w:rsidP="00A07DE6">
      <w:pPr>
        <w:pStyle w:val="ESch"/>
        <w:rPr>
          <w:rFonts w:eastAsia="Calibri"/>
          <w:highlight w:val="yellow"/>
          <w:lang w:val="bg-BG"/>
        </w:rPr>
      </w:pPr>
    </w:p>
    <w:p w:rsidR="00A07DE6" w:rsidRPr="009072DA" w:rsidRDefault="00A07DE6" w:rsidP="00A07DE6">
      <w:pPr>
        <w:pStyle w:val="ESch"/>
        <w:rPr>
          <w:rFonts w:eastAsia="Calibri"/>
          <w:lang w:val="bg-BG"/>
        </w:rPr>
      </w:pPr>
      <w:r w:rsidRPr="009072DA">
        <w:rPr>
          <w:lang w:val="bg-BG"/>
        </w:rPr>
        <w:t>9.</w:t>
      </w:r>
      <w:r w:rsidRPr="009072DA">
        <w:rPr>
          <w:lang w:val="bg-BG"/>
        </w:rPr>
        <w:tab/>
        <w:t>Краищата и връзките на всички проводници трябва да бъдат проектирани по такъв начин, че първоначалните електрични, механични, противопожарни свойства (например негорими, забавящи горенето, огнеустойчиви свойства) на кабела да бъдат запазени. Това изискване се счита за изпълнено, ако краищата и връзките отговарят на:</w:t>
      </w:r>
    </w:p>
    <w:p w:rsidR="00A07DE6" w:rsidRPr="009072DA" w:rsidRDefault="00A07DE6" w:rsidP="00A07DE6">
      <w:pPr>
        <w:pStyle w:val="ESlet"/>
        <w:rPr>
          <w:rFonts w:eastAsia="Calibri"/>
          <w:lang w:val="bg-BG"/>
        </w:rPr>
      </w:pPr>
      <w:r w:rsidRPr="009072DA">
        <w:rPr>
          <w:lang w:val="bg-BG"/>
        </w:rPr>
        <w:t>a)</w:t>
      </w:r>
      <w:r w:rsidRPr="009072DA">
        <w:rPr>
          <w:lang w:val="bg-BG"/>
        </w:rPr>
        <w:tab/>
        <w:t>международен стандарт IEC 60092</w:t>
      </w:r>
      <w:r w:rsidR="002B712C" w:rsidRPr="002B712C">
        <w:rPr>
          <w:lang w:val="bg-BG"/>
        </w:rPr>
        <w:t>-</w:t>
      </w:r>
      <w:r w:rsidRPr="009072DA">
        <w:rPr>
          <w:lang w:val="bg-BG"/>
        </w:rPr>
        <w:t xml:space="preserve">352 : 2005 номер 3.28 във връзка с приложение Г към стандарта или </w:t>
      </w:r>
    </w:p>
    <w:p w:rsidR="00A07DE6" w:rsidRPr="009072DA" w:rsidRDefault="00A07DE6" w:rsidP="00A07DE6">
      <w:pPr>
        <w:pStyle w:val="ESlet"/>
        <w:rPr>
          <w:rFonts w:eastAsia="Calibri"/>
          <w:lang w:val="bg-BG"/>
        </w:rPr>
      </w:pPr>
      <w:r w:rsidRPr="009072DA">
        <w:rPr>
          <w:lang w:val="bg-BG"/>
        </w:rPr>
        <w:t>б)</w:t>
      </w:r>
      <w:r w:rsidRPr="009072DA">
        <w:rPr>
          <w:lang w:val="bg-BG"/>
        </w:rPr>
        <w:tab/>
        <w:t>еквивалентен регламент или стандарт, признат от една от държавите членки.</w:t>
      </w:r>
    </w:p>
    <w:p w:rsidR="00A07DE6" w:rsidRPr="009072DA" w:rsidRDefault="00A07DE6" w:rsidP="00A07DE6">
      <w:pPr>
        <w:pStyle w:val="ESlet"/>
        <w:rPr>
          <w:rFonts w:eastAsia="Calibri"/>
          <w:lang w:val="bg-BG"/>
        </w:rPr>
      </w:pPr>
      <w:r w:rsidRPr="009072DA">
        <w:rPr>
          <w:lang w:val="bg-BG"/>
        </w:rPr>
        <w:t>Броят на кабелните връзки трябва да бъде сведен до минимум.</w:t>
      </w:r>
    </w:p>
    <w:p w:rsidR="00A07DE6" w:rsidRPr="009072DA" w:rsidRDefault="00A07DE6" w:rsidP="00A07DE6">
      <w:pPr>
        <w:pStyle w:val="ESch"/>
        <w:rPr>
          <w:rFonts w:eastAsia="Calibri"/>
          <w:lang w:val="bg-BG"/>
        </w:rPr>
      </w:pPr>
    </w:p>
    <w:p w:rsidR="00A07DE6" w:rsidRPr="009072DA" w:rsidRDefault="00A07DE6" w:rsidP="00A07DE6">
      <w:pPr>
        <w:pStyle w:val="ESch"/>
        <w:ind w:firstLine="0"/>
        <w:rPr>
          <w:rFonts w:eastAsia="Calibri"/>
          <w:lang w:val="bg-BG"/>
        </w:rPr>
      </w:pPr>
      <w:r w:rsidRPr="009072DA">
        <w:rPr>
          <w:lang w:val="bg-BG"/>
        </w:rPr>
        <w:t>За поправката или замяната на кабели, изречение 1 се счита за изпълнено, ако кабелните връзки отговарят на международен стандарт IEC 60092</w:t>
      </w:r>
      <w:r w:rsidR="002B712C" w:rsidRPr="002B712C">
        <w:rPr>
          <w:lang w:val="bg-BG"/>
        </w:rPr>
        <w:t>-</w:t>
      </w:r>
      <w:r w:rsidRPr="009072DA">
        <w:rPr>
          <w:lang w:val="bg-BG"/>
        </w:rPr>
        <w:t>352: 2005 номер 3.28 във връзка с приложение Г към стандарта или правила, признати от държава членка като равностойни.</w:t>
      </w:r>
    </w:p>
    <w:p w:rsidR="00A07DE6" w:rsidRPr="009072DA" w:rsidRDefault="00A07DE6" w:rsidP="00A07DE6">
      <w:pPr>
        <w:rPr>
          <w:lang w:val="bg-BG"/>
        </w:rPr>
      </w:pPr>
    </w:p>
    <w:p w:rsidR="00AB2818" w:rsidRPr="009072DA" w:rsidRDefault="00AB2818">
      <w:pPr>
        <w:rPr>
          <w:lang w:val="bg-BG"/>
        </w:rPr>
      </w:pPr>
      <w:r w:rsidRPr="009072DA">
        <w:rPr>
          <w:lang w:val="bg-BG"/>
        </w:rPr>
        <w:br w:type="page"/>
      </w:r>
    </w:p>
    <w:p w:rsidR="00AB2818" w:rsidRPr="009072DA" w:rsidRDefault="00AB2818" w:rsidP="00A07DE6">
      <w:pPr>
        <w:rPr>
          <w:lang w:val="bg-BG"/>
        </w:rPr>
      </w:pPr>
    </w:p>
    <w:p w:rsidR="00A07DE6" w:rsidRPr="009072DA" w:rsidRDefault="00A07DE6" w:rsidP="00A07DE6">
      <w:pPr>
        <w:pStyle w:val="ESch"/>
        <w:rPr>
          <w:rFonts w:eastAsia="Calibri"/>
          <w:lang w:val="bg-BG"/>
        </w:rPr>
      </w:pPr>
      <w:r w:rsidRPr="009072DA">
        <w:rPr>
          <w:lang w:val="bg-BG"/>
        </w:rPr>
        <w:t>10.</w:t>
      </w:r>
      <w:r w:rsidRPr="009072DA">
        <w:rPr>
          <w:lang w:val="bg-BG"/>
        </w:rPr>
        <w:tab/>
        <w:t>Кабелите, свързани с издигащи се рулеви рубки, трябва да са достатъчно гъвкави и да са оборудвани с изолация с достатъчна гъвкавост при температури до — 20 °С, както и да са устойчиви на водна пара и други изпарения, ултравиолетови лъчи и озон.</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11.</w:t>
      </w:r>
      <w:r w:rsidRPr="009072DA">
        <w:rPr>
          <w:lang w:val="bg-BG"/>
        </w:rPr>
        <w:tab/>
        <w:t>При изработването на отворите за преминаването на кабелния сноп противопожарните свойства на преградата не трябва да бъдат накърнявани. Това следва да се счита за изпълнено, ако кабелите отговарят на разпоредбите на европейския стандарт EN 60332—3, във версията му в сила към 6 юли 2017 г., или на някое от правилата, признати като равностойни от държава членка. Ако случаят не е такъв, противопожарно оборудване трябва да бъде осигурено в отворите за дълги кабелни снопове (над 6 m вертикално и 14 m хоризонтално), ако кабелите не са напълно затворени от кабелни проводи.</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12.</w:t>
      </w:r>
      <w:r w:rsidRPr="009072DA">
        <w:rPr>
          <w:lang w:val="bg-BG"/>
        </w:rPr>
        <w:tab/>
        <w:t>Кабелите от авариен източник на електроенергия до потребителско оборудване трябва да бъдат положени, доколкото е възможно, в безопасната зона.</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13.</w:t>
      </w:r>
      <w:r w:rsidRPr="009072DA">
        <w:rPr>
          <w:lang w:val="bg-BG"/>
        </w:rPr>
        <w:tab/>
        <w:t xml:space="preserve">Преминаването на кабели в зони с високи температури на околната среда следва да се избягва. Ако това не е възможно, </w:t>
      </w:r>
    </w:p>
    <w:p w:rsidR="00A07DE6" w:rsidRPr="009072DA" w:rsidRDefault="00A07DE6" w:rsidP="00A07DE6">
      <w:pPr>
        <w:pStyle w:val="ESlet"/>
        <w:rPr>
          <w:rFonts w:eastAsia="Calibri"/>
          <w:lang w:val="bg-BG"/>
        </w:rPr>
      </w:pPr>
      <w:r w:rsidRPr="009072DA">
        <w:rPr>
          <w:lang w:val="bg-BG"/>
        </w:rPr>
        <w:t>a)</w:t>
      </w:r>
      <w:r w:rsidRPr="009072DA">
        <w:rPr>
          <w:lang w:val="bg-BG"/>
        </w:rPr>
        <w:tab/>
        <w:t xml:space="preserve">температурата на околната среда трябва да бъде взета предвид при определяне на максимално допустимия ток или </w:t>
      </w:r>
    </w:p>
    <w:p w:rsidR="00A07DE6" w:rsidRPr="009072DA" w:rsidRDefault="00A07DE6" w:rsidP="00A07DE6">
      <w:pPr>
        <w:pStyle w:val="ESlet"/>
        <w:rPr>
          <w:rFonts w:eastAsia="Calibri"/>
          <w:lang w:val="bg-BG"/>
        </w:rPr>
      </w:pPr>
      <w:r w:rsidRPr="009072DA">
        <w:rPr>
          <w:lang w:val="bg-BG"/>
        </w:rPr>
        <w:t>б)</w:t>
      </w:r>
      <w:r w:rsidRPr="009072DA">
        <w:rPr>
          <w:lang w:val="bg-BG"/>
        </w:rPr>
        <w:tab/>
        <w:t>кабелът трябва да бъде защитен от повреди от топлина и огън.</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14.</w:t>
      </w:r>
      <w:r w:rsidRPr="009072DA">
        <w:rPr>
          <w:lang w:val="bg-BG"/>
        </w:rPr>
        <w:tab/>
        <w:t>Основните и аварийните захранващи кабели не трябва да преминават през едно и също помещение. Контролният орган може да отмени това изискване, ако:</w:t>
      </w:r>
    </w:p>
    <w:p w:rsidR="00A07DE6" w:rsidRPr="009072DA" w:rsidRDefault="00A07DE6" w:rsidP="00A07DE6">
      <w:pPr>
        <w:pStyle w:val="ESlet"/>
        <w:rPr>
          <w:rFonts w:eastAsia="Calibri"/>
          <w:lang w:val="bg-BG"/>
        </w:rPr>
      </w:pPr>
      <w:r w:rsidRPr="009072DA">
        <w:rPr>
          <w:lang w:val="bg-BG"/>
        </w:rPr>
        <w:t>a)</w:t>
      </w:r>
      <w:r w:rsidRPr="009072DA">
        <w:rPr>
          <w:lang w:val="bg-BG"/>
        </w:rPr>
        <w:tab/>
        <w:t>основните и аварийните захранващи кабели са положени максимално раздалечени едни от други или</w:t>
      </w:r>
    </w:p>
    <w:p w:rsidR="00A07DE6" w:rsidRPr="009072DA" w:rsidRDefault="00A07DE6" w:rsidP="00A07DE6">
      <w:pPr>
        <w:pStyle w:val="ESlet"/>
        <w:rPr>
          <w:rFonts w:eastAsia="Calibri"/>
          <w:lang w:val="bg-BG"/>
        </w:rPr>
      </w:pPr>
      <w:r w:rsidRPr="009072DA">
        <w:rPr>
          <w:lang w:val="bg-BG"/>
        </w:rPr>
        <w:t>б)</w:t>
      </w:r>
      <w:r w:rsidRPr="009072DA">
        <w:rPr>
          <w:lang w:val="bg-BG"/>
        </w:rPr>
        <w:tab/>
        <w:t xml:space="preserve">кабелите за аварийно електрозахранване са огнеустойчиви. Това изискване се счита за изпълнено, ако те отговарят на изискванията на международни стандарти серии IEC 60331 във версията им в сила на 6 юли 2017 г.  </w:t>
      </w:r>
    </w:p>
    <w:p w:rsidR="008A12E7" w:rsidRPr="009072DA" w:rsidRDefault="008A12E7" w:rsidP="00A07DE6">
      <w:pPr>
        <w:rPr>
          <w:rFonts w:cs="Arial"/>
          <w:szCs w:val="20"/>
          <w:lang w:val="bg-BG"/>
        </w:rPr>
      </w:pPr>
    </w:p>
    <w:p w:rsidR="002A778C" w:rsidRPr="009072DA" w:rsidRDefault="002A778C" w:rsidP="008A12E7">
      <w:pPr>
        <w:rPr>
          <w:rFonts w:cs="Arial"/>
          <w:szCs w:val="20"/>
          <w:lang w:val="bg-BG"/>
        </w:rPr>
      </w:pPr>
    </w:p>
    <w:p w:rsidR="008A12E7" w:rsidRPr="009072DA" w:rsidRDefault="008A12E7" w:rsidP="00651EFD">
      <w:pPr>
        <w:pStyle w:val="ES-Titre3"/>
        <w:rPr>
          <w:lang w:val="bg-BG"/>
        </w:rPr>
      </w:pPr>
      <w:bookmarkStart w:id="190" w:name="_Toc491854093"/>
      <w:bookmarkStart w:id="191" w:name="_Toc535827534"/>
      <w:r w:rsidRPr="009072DA">
        <w:rPr>
          <w:lang w:val="bg-BG"/>
        </w:rPr>
        <w:t>Член 10.16</w:t>
      </w:r>
      <w:r w:rsidRPr="009072DA">
        <w:rPr>
          <w:lang w:val="bg-BG"/>
        </w:rPr>
        <w:br/>
      </w:r>
      <w:r w:rsidRPr="009072DA">
        <w:rPr>
          <w:i/>
          <w:lang w:val="bg-BG"/>
        </w:rPr>
        <w:t>Осветителни инсталации</w:t>
      </w:r>
      <w:bookmarkEnd w:id="190"/>
      <w:bookmarkEnd w:id="191"/>
    </w:p>
    <w:p w:rsidR="00651EFD" w:rsidRPr="009072DA" w:rsidRDefault="00651EFD" w:rsidP="008A12E7">
      <w:pPr>
        <w:rPr>
          <w:rFonts w:cs="Arial"/>
          <w:szCs w:val="20"/>
          <w:lang w:val="bg-BG"/>
        </w:rPr>
      </w:pPr>
    </w:p>
    <w:p w:rsidR="00A07DE6" w:rsidRPr="009072DA" w:rsidRDefault="00A07DE6" w:rsidP="00A07DE6">
      <w:pPr>
        <w:pStyle w:val="ESch"/>
        <w:rPr>
          <w:rFonts w:eastAsia="Calibri"/>
          <w:lang w:val="bg-BG"/>
        </w:rPr>
      </w:pPr>
      <w:r w:rsidRPr="009072DA">
        <w:rPr>
          <w:lang w:val="bg-BG"/>
        </w:rPr>
        <w:t>1.</w:t>
      </w:r>
      <w:r w:rsidRPr="009072DA">
        <w:rPr>
          <w:lang w:val="bg-BG"/>
        </w:rPr>
        <w:tab/>
        <w:t>Осветителните уреди се монтират така, че отделяната от тях топлина да не може да запали намиращите се в близост запалими предмети или части.</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lastRenderedPageBreak/>
        <w:t>2.</w:t>
      </w:r>
      <w:r w:rsidRPr="009072DA">
        <w:rPr>
          <w:lang w:val="bg-BG"/>
        </w:rPr>
        <w:tab/>
        <w:t>Осветителните уреди на откритите палуби се монтират така, че да не затрудняват разпознаването на сигналните светлини.</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3.</w:t>
      </w:r>
      <w:r w:rsidRPr="009072DA">
        <w:rPr>
          <w:lang w:val="bg-BG"/>
        </w:rPr>
        <w:tab/>
        <w:t>Когато два или повече осветителни уреда са монтирани в машинно или котелно отделение, те трябва да бъдат разпределени между поне две вериги. Това изискване се прилага и за помещения, в които са монтирани охладително оборудване, хидравлично оборудване или електрически двигатели.</w:t>
      </w:r>
    </w:p>
    <w:p w:rsidR="008A12E7" w:rsidRPr="009072DA" w:rsidRDefault="008A12E7" w:rsidP="008A12E7">
      <w:pPr>
        <w:rPr>
          <w:rFonts w:cs="Arial"/>
          <w:szCs w:val="20"/>
          <w:lang w:val="bg-BG"/>
        </w:rPr>
      </w:pPr>
    </w:p>
    <w:p w:rsidR="00651EFD" w:rsidRPr="009072DA" w:rsidRDefault="00651EFD" w:rsidP="008A12E7">
      <w:pPr>
        <w:rPr>
          <w:rFonts w:cs="Arial"/>
          <w:szCs w:val="20"/>
          <w:lang w:val="bg-BG"/>
        </w:rPr>
      </w:pPr>
    </w:p>
    <w:p w:rsidR="008A12E7" w:rsidRPr="009072DA" w:rsidRDefault="008A12E7" w:rsidP="00651EFD">
      <w:pPr>
        <w:pStyle w:val="ES-Titre3"/>
        <w:rPr>
          <w:lang w:val="bg-BG"/>
        </w:rPr>
      </w:pPr>
      <w:bookmarkStart w:id="192" w:name="_Toc491854094"/>
      <w:bookmarkStart w:id="193" w:name="_Toc535827535"/>
      <w:r w:rsidRPr="009072DA">
        <w:rPr>
          <w:lang w:val="bg-BG"/>
        </w:rPr>
        <w:t>Член 10.17</w:t>
      </w:r>
      <w:r w:rsidRPr="009072DA">
        <w:rPr>
          <w:lang w:val="bg-BG"/>
        </w:rPr>
        <w:br/>
      </w:r>
      <w:r w:rsidRPr="009072DA">
        <w:rPr>
          <w:i/>
          <w:lang w:val="bg-BG"/>
        </w:rPr>
        <w:t>Навигационни светлини</w:t>
      </w:r>
      <w:bookmarkEnd w:id="192"/>
      <w:bookmarkEnd w:id="193"/>
    </w:p>
    <w:p w:rsidR="00651EFD" w:rsidRPr="009072DA" w:rsidRDefault="00651EFD" w:rsidP="008A12E7">
      <w:pPr>
        <w:rPr>
          <w:rFonts w:cs="Arial"/>
          <w:szCs w:val="20"/>
          <w:lang w:val="bg-BG"/>
        </w:rPr>
      </w:pPr>
    </w:p>
    <w:p w:rsidR="00A07DE6" w:rsidRPr="009072DA" w:rsidRDefault="00A07DE6" w:rsidP="00A07DE6">
      <w:pPr>
        <w:pStyle w:val="ESch"/>
        <w:rPr>
          <w:rFonts w:eastAsia="Calibri"/>
          <w:lang w:val="bg-BG"/>
        </w:rPr>
      </w:pPr>
      <w:r w:rsidRPr="009072DA">
        <w:rPr>
          <w:lang w:val="bg-BG"/>
        </w:rPr>
        <w:t>1.</w:t>
      </w:r>
      <w:r w:rsidRPr="009072DA">
        <w:rPr>
          <w:lang w:val="bg-BG"/>
        </w:rPr>
        <w:tab/>
        <w:t>Разпределителните табла за навигационните светлини се монтират в рулевата рубка. Те се захранват от отделен кабел от главното разпределително табло или от две независими вторични разпределителни мрежи.</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2.</w:t>
      </w:r>
      <w:r w:rsidRPr="009072DA">
        <w:rPr>
          <w:lang w:val="bg-BG"/>
        </w:rPr>
        <w:tab/>
        <w:t>Навигационните светлини се захранват, обезопасяват и контролират поотделно от разпределителното табло за навигационни светлини.</w:t>
      </w:r>
    </w:p>
    <w:p w:rsidR="00A07DE6" w:rsidRPr="009072DA" w:rsidRDefault="00A07DE6" w:rsidP="00A07DE6">
      <w:pPr>
        <w:pStyle w:val="ESch"/>
        <w:rPr>
          <w:rFonts w:eastAsia="Calibri"/>
          <w:lang w:val="bg-BG"/>
        </w:rPr>
      </w:pPr>
    </w:p>
    <w:p w:rsidR="00AB2818" w:rsidRPr="009072DA" w:rsidRDefault="00AB2818">
      <w:pPr>
        <w:rPr>
          <w:rFonts w:eastAsia="Calibri"/>
          <w:lang w:val="bg-BG"/>
        </w:rPr>
      </w:pPr>
      <w:r w:rsidRPr="009072DA">
        <w:rPr>
          <w:lang w:val="bg-BG"/>
        </w:rPr>
        <w:br w:type="page"/>
      </w:r>
    </w:p>
    <w:p w:rsidR="00AB2818" w:rsidRPr="009072DA" w:rsidRDefault="00AB2818"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3.</w:t>
      </w:r>
      <w:r w:rsidRPr="009072DA">
        <w:rPr>
          <w:lang w:val="bg-BG"/>
        </w:rPr>
        <w:tab/>
        <w:t>Повреда на устройството съгласно член 7.05, точка 2 не трябва да влошава работата на навигационните светлини, които то контролира.</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 xml:space="preserve">4. </w:t>
      </w:r>
      <w:r w:rsidRPr="009072DA">
        <w:rPr>
          <w:lang w:val="bg-BG"/>
        </w:rPr>
        <w:tab/>
        <w:t>Няколко сигнални светлини, образуващи функционална група и монтирани заедно на едно място, могат да бъдат захранвани, контролирани и следени съвместно. Устройството за следене трябва да е в състояние да установява повреда във всяка от тези светлини. Не трябва да бъде възможно двата светлинни източника да се използват едновременно като двойна светлина (две светлини, монтирани една над друга в една кутия).</w:t>
      </w:r>
    </w:p>
    <w:p w:rsidR="008A12E7" w:rsidRPr="009072DA" w:rsidRDefault="008A12E7" w:rsidP="00651EFD">
      <w:pPr>
        <w:rPr>
          <w:rFonts w:cs="Arial"/>
          <w:szCs w:val="20"/>
          <w:lang w:val="bg-BG"/>
        </w:rPr>
      </w:pPr>
    </w:p>
    <w:p w:rsidR="008A12E7" w:rsidRPr="009072DA" w:rsidRDefault="008A12E7" w:rsidP="008A12E7">
      <w:pPr>
        <w:rPr>
          <w:rFonts w:cs="Arial"/>
          <w:szCs w:val="20"/>
          <w:lang w:val="bg-BG"/>
        </w:rPr>
      </w:pPr>
    </w:p>
    <w:p w:rsidR="008A12E7" w:rsidRPr="009072DA" w:rsidRDefault="008A12E7" w:rsidP="00651EFD">
      <w:pPr>
        <w:pStyle w:val="ES-Titre3"/>
        <w:rPr>
          <w:lang w:val="bg-BG"/>
        </w:rPr>
      </w:pPr>
      <w:bookmarkStart w:id="194" w:name="_Toc491854095"/>
      <w:bookmarkStart w:id="195" w:name="_Toc535827536"/>
      <w:r w:rsidRPr="009072DA">
        <w:rPr>
          <w:lang w:val="bg-BG"/>
        </w:rPr>
        <w:t>Член 10.18</w:t>
      </w:r>
      <w:r w:rsidRPr="009072DA">
        <w:rPr>
          <w:lang w:val="bg-BG"/>
        </w:rPr>
        <w:br/>
      </w:r>
      <w:r w:rsidRPr="009072DA">
        <w:rPr>
          <w:i/>
          <w:lang w:val="bg-BG"/>
        </w:rPr>
        <w:t>Силова електроника</w:t>
      </w:r>
      <w:bookmarkEnd w:id="194"/>
      <w:bookmarkEnd w:id="195"/>
    </w:p>
    <w:p w:rsidR="00651EFD" w:rsidRPr="009072DA" w:rsidRDefault="00651EFD" w:rsidP="00651EFD">
      <w:pPr>
        <w:rPr>
          <w:rFonts w:cs="Arial"/>
          <w:szCs w:val="20"/>
          <w:lang w:val="bg-BG"/>
        </w:rPr>
      </w:pPr>
    </w:p>
    <w:p w:rsidR="00A07DE6" w:rsidRPr="009072DA" w:rsidRDefault="00A07DE6" w:rsidP="00A07DE6">
      <w:pPr>
        <w:pStyle w:val="ESch"/>
        <w:rPr>
          <w:rFonts w:eastAsia="Calibri"/>
          <w:lang w:val="bg-BG"/>
        </w:rPr>
      </w:pPr>
      <w:r w:rsidRPr="009072DA">
        <w:rPr>
          <w:lang w:val="bg-BG"/>
        </w:rPr>
        <w:t>1.</w:t>
      </w:r>
      <w:r w:rsidRPr="009072DA">
        <w:rPr>
          <w:lang w:val="bg-BG"/>
        </w:rPr>
        <w:tab/>
        <w:t>Отделно устройство за изключване от електрическата мрежа трябва да бъде предоставено за всяка силова електронна система. Комбинацията бушон – превключвател следва да може да се използва за потребителско оборудване до номинален ток от 315 A. Във всички други случаи от страна на мрежата трябва да е осигурен прекъсвач на веригата.</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2.</w:t>
      </w:r>
      <w:r w:rsidRPr="009072DA">
        <w:rPr>
          <w:lang w:val="bg-BG"/>
        </w:rPr>
        <w:tab/>
        <w:t>Силовата електроника следва да бъде лесно достъпна за ремонт и измервания. Трябва да са осигурени подходящи устройства за проверка на функциите и откриване на неизправности.</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3.</w:t>
      </w:r>
      <w:r w:rsidRPr="009072DA">
        <w:rPr>
          <w:lang w:val="bg-BG"/>
        </w:rPr>
        <w:tab/>
        <w:t>Електрониката за управление и сигнализация трябва да бъде галванично разделена от енергийните мрежи.</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4.</w:t>
      </w:r>
      <w:r w:rsidRPr="009072DA">
        <w:rPr>
          <w:lang w:val="bg-BG"/>
        </w:rPr>
        <w:tab/>
        <w:t>Преобразуващи системи трябва да осигуряват безопасното функциониране, дори с най-големите допустими колебания в напрежението и честотата. При недопустимо високи колебания на честотата и/или напрежението на захранването, системата трябва да се изключва сама или да остава в безопасно експлоатационно състояние.</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5.</w:t>
      </w:r>
      <w:r w:rsidRPr="009072DA">
        <w:rPr>
          <w:lang w:val="bg-BG"/>
        </w:rPr>
        <w:tab/>
        <w:t xml:space="preserve">Електрическите заряди в модулите следва да бъдат намалени до напрежение под 50 V за по-малко от 5 секунди след изключване от мрежата. Ако е необходимо повече време за разреждане, върху изделието трябва да бъде поставен предупредителен знак. </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6.</w:t>
      </w:r>
      <w:r w:rsidRPr="009072DA">
        <w:rPr>
          <w:lang w:val="bg-BG"/>
        </w:rPr>
        <w:tab/>
        <w:t>Отказът на сигналите за външен контрол не трябва да води до опасно състояние.</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7.</w:t>
      </w:r>
      <w:r w:rsidRPr="009072DA">
        <w:rPr>
          <w:lang w:val="bg-BG"/>
        </w:rPr>
        <w:tab/>
        <w:t>Силовата електроника трябва да е проектирана и монтирана по такъв начин, че отказ на контролното напрежение да не води до опасности или повреда на системата или устройството, където силовата електроника е инсталирана, или на цялата система.</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8.</w:t>
      </w:r>
      <w:r w:rsidRPr="009072DA">
        <w:rPr>
          <w:lang w:val="bg-BG"/>
        </w:rPr>
        <w:tab/>
        <w:t>В инсталация, необходима за задвижването и маневреността, както и за безопасността на екипажа, плавателното средство или товара, трябва да бъдат за компоненти за следене на отделни захранващи електронни модули и подсистеми за улесняване на откриването на грешки при поява на неизправност и предотвратяване на наличието на неразкрити грешки.</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9.</w:t>
      </w:r>
      <w:r w:rsidRPr="009072DA">
        <w:rPr>
          <w:lang w:val="bg-BG"/>
        </w:rPr>
        <w:tab/>
        <w:t>Следенето на силовата електроника трябва надеждно да открива грешки и да не позволява те да остават неразкрити.</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10.</w:t>
      </w:r>
      <w:r w:rsidRPr="009072DA">
        <w:rPr>
          <w:lang w:val="bg-BG"/>
        </w:rPr>
        <w:tab/>
        <w:t>С изключение на компоненти, само устройства на силова електроника, преминали проверка на типа, могат да бъдат използвани. Ако силовата електроника има защитни устройства и устройства за следене, прегледът трябва да включва също доказателство за праговете за реагиране и координирано взаимодействие на цялото защитно оборудване и оборудване за следене. Протоколът за проверка на типа трябва да се включи в документацията на системата.</w:t>
      </w:r>
    </w:p>
    <w:p w:rsidR="008A12E7" w:rsidRPr="009072DA" w:rsidRDefault="008A12E7" w:rsidP="00AA5633">
      <w:pPr>
        <w:pStyle w:val="ESch"/>
        <w:rPr>
          <w:lang w:val="bg-BG"/>
        </w:rPr>
      </w:pPr>
    </w:p>
    <w:p w:rsidR="00AB2818" w:rsidRPr="009072DA" w:rsidRDefault="00AB2818">
      <w:pPr>
        <w:rPr>
          <w:lang w:val="bg-BG"/>
        </w:rPr>
      </w:pPr>
      <w:r w:rsidRPr="009072DA">
        <w:rPr>
          <w:lang w:val="bg-BG"/>
        </w:rPr>
        <w:br w:type="page"/>
      </w:r>
    </w:p>
    <w:p w:rsidR="004E6822" w:rsidRPr="009072DA" w:rsidRDefault="004E6822" w:rsidP="00AA5633">
      <w:pPr>
        <w:pStyle w:val="ESch"/>
        <w:rPr>
          <w:lang w:val="bg-BG"/>
        </w:rPr>
      </w:pPr>
    </w:p>
    <w:p w:rsidR="008A12E7" w:rsidRPr="009072DA" w:rsidRDefault="008A12E7" w:rsidP="00651EFD">
      <w:pPr>
        <w:pStyle w:val="ES-Titre3"/>
        <w:rPr>
          <w:lang w:val="bg-BG"/>
        </w:rPr>
      </w:pPr>
      <w:bookmarkStart w:id="196" w:name="_Toc491854096"/>
      <w:bookmarkStart w:id="197" w:name="_Toc535827537"/>
      <w:r w:rsidRPr="009072DA">
        <w:rPr>
          <w:lang w:val="bg-BG"/>
        </w:rPr>
        <w:t>Член 10.19</w:t>
      </w:r>
      <w:r w:rsidRPr="009072DA">
        <w:rPr>
          <w:lang w:val="bg-BG"/>
        </w:rPr>
        <w:br/>
      </w:r>
      <w:r w:rsidRPr="009072DA">
        <w:rPr>
          <w:i/>
          <w:lang w:val="bg-BG"/>
        </w:rPr>
        <w:t>Алармени системи и системи за безопасност за механични инсталации</w:t>
      </w:r>
      <w:bookmarkEnd w:id="196"/>
      <w:bookmarkEnd w:id="197"/>
    </w:p>
    <w:p w:rsidR="00651EFD" w:rsidRPr="009072DA" w:rsidRDefault="00651EFD" w:rsidP="008A12E7">
      <w:pPr>
        <w:rPr>
          <w:rFonts w:cs="Arial"/>
          <w:szCs w:val="20"/>
          <w:lang w:val="bg-BG"/>
        </w:rPr>
      </w:pPr>
    </w:p>
    <w:p w:rsidR="00A07DE6" w:rsidRPr="009072DA" w:rsidRDefault="00A07DE6" w:rsidP="00A07DE6">
      <w:pPr>
        <w:pStyle w:val="ESgauche"/>
        <w:rPr>
          <w:rFonts w:eastAsia="Calibri"/>
          <w:noProof w:val="0"/>
          <w:lang w:val="bg-BG"/>
        </w:rPr>
      </w:pPr>
      <w:r w:rsidRPr="009072DA">
        <w:rPr>
          <w:noProof w:val="0"/>
          <w:lang w:val="bg-BG"/>
        </w:rPr>
        <w:t>Алармените системи и системите за безопасност, използвани за следене и защита на механичното оборудване, трябва да отговарят на следните изисквания:</w:t>
      </w:r>
    </w:p>
    <w:p w:rsidR="00A07DE6" w:rsidRPr="009072DA" w:rsidRDefault="00A07DE6" w:rsidP="00AA5633">
      <w:pPr>
        <w:pStyle w:val="ESch"/>
        <w:rPr>
          <w:rFonts w:eastAsia="Calibri"/>
          <w:lang w:val="bg-BG"/>
        </w:rPr>
      </w:pPr>
    </w:p>
    <w:p w:rsidR="00A07DE6" w:rsidRPr="009072DA" w:rsidRDefault="00A07DE6" w:rsidP="00A07DE6">
      <w:pPr>
        <w:pStyle w:val="ESch"/>
        <w:rPr>
          <w:rFonts w:eastAsia="Calibri"/>
          <w:lang w:val="bg-BG"/>
        </w:rPr>
      </w:pPr>
      <w:r w:rsidRPr="009072DA">
        <w:rPr>
          <w:lang w:val="bg-BG"/>
        </w:rPr>
        <w:t>1.</w:t>
      </w:r>
      <w:r w:rsidRPr="009072DA">
        <w:rPr>
          <w:lang w:val="bg-BG"/>
        </w:rPr>
        <w:tab/>
        <w:t>Алармени системи:</w:t>
      </w:r>
    </w:p>
    <w:p w:rsidR="00A07DE6" w:rsidRPr="009072DA" w:rsidRDefault="00A07DE6" w:rsidP="00A07DE6">
      <w:pPr>
        <w:pStyle w:val="ESchpar"/>
        <w:rPr>
          <w:rFonts w:eastAsia="Calibri"/>
          <w:lang w:val="bg-BG"/>
        </w:rPr>
      </w:pPr>
    </w:p>
    <w:p w:rsidR="00A07DE6" w:rsidRPr="009072DA" w:rsidRDefault="00A07DE6" w:rsidP="00A07DE6">
      <w:pPr>
        <w:pStyle w:val="ESchpar"/>
        <w:rPr>
          <w:rFonts w:eastAsia="Calibri"/>
          <w:lang w:val="bg-BG"/>
        </w:rPr>
      </w:pPr>
      <w:r w:rsidRPr="009072DA">
        <w:rPr>
          <w:lang w:val="bg-BG"/>
        </w:rPr>
        <w:t>Алармените системи трябва да бъдат конструирани така, че евентуална повреда в алармена системата да не може да доведе до повреда на оборудването или инсталацията, които се наблюдават.</w:t>
      </w:r>
    </w:p>
    <w:p w:rsidR="00A07DE6" w:rsidRPr="009072DA" w:rsidRDefault="00A07DE6" w:rsidP="00A07DE6">
      <w:pPr>
        <w:pStyle w:val="ESchpar"/>
        <w:rPr>
          <w:rFonts w:eastAsia="Calibri"/>
          <w:lang w:val="bg-BG"/>
        </w:rPr>
      </w:pPr>
    </w:p>
    <w:p w:rsidR="00A07DE6" w:rsidRPr="009072DA" w:rsidRDefault="00A07DE6" w:rsidP="00A07DE6">
      <w:pPr>
        <w:pStyle w:val="ESchpar"/>
        <w:rPr>
          <w:rFonts w:eastAsia="Calibri"/>
          <w:lang w:val="bg-BG"/>
        </w:rPr>
      </w:pPr>
      <w:r w:rsidRPr="009072DA">
        <w:rPr>
          <w:lang w:val="bg-BG"/>
        </w:rPr>
        <w:t>Двоичните предаващи устройства се проектират на принципа на тока на покой или принципа на проследяване на работното напрежение.</w:t>
      </w:r>
    </w:p>
    <w:p w:rsidR="00A07DE6" w:rsidRPr="009072DA" w:rsidRDefault="00A07DE6" w:rsidP="00A07DE6">
      <w:pPr>
        <w:pStyle w:val="ESchpar"/>
        <w:rPr>
          <w:rFonts w:eastAsia="Calibri"/>
          <w:lang w:val="bg-BG"/>
        </w:rPr>
      </w:pPr>
    </w:p>
    <w:p w:rsidR="00A07DE6" w:rsidRPr="009072DA" w:rsidRDefault="00A07DE6" w:rsidP="00A07DE6">
      <w:pPr>
        <w:pStyle w:val="ESchpar"/>
        <w:rPr>
          <w:rFonts w:eastAsia="Calibri"/>
          <w:lang w:val="bg-BG"/>
        </w:rPr>
      </w:pPr>
      <w:r w:rsidRPr="009072DA">
        <w:rPr>
          <w:lang w:val="bg-BG"/>
        </w:rPr>
        <w:t>Оптичните предупредителни сигнали трябва да останат видими, докато неизправността не бъде отстранена; алармената сигнализация с потвърждение трябва да е различима от алармена сигнализация без потвърждение. Всяка алармена сигнализация трябва да включва също звуков сигнал. Трябва да има възможност за изключване на звуковата алармена сигнализация. Изключването на един алармен сигнал не трябва да пречи на друг сигнал да се задейства по друга причина.</w:t>
      </w:r>
    </w:p>
    <w:p w:rsidR="00A07DE6" w:rsidRPr="009072DA" w:rsidRDefault="00A07DE6" w:rsidP="00A07DE6">
      <w:pPr>
        <w:pStyle w:val="ESchpar"/>
        <w:rPr>
          <w:rFonts w:eastAsia="Calibri"/>
          <w:lang w:val="bg-BG"/>
        </w:rPr>
      </w:pPr>
    </w:p>
    <w:p w:rsidR="00A07DE6" w:rsidRPr="009072DA" w:rsidRDefault="00A07DE6" w:rsidP="00A07DE6">
      <w:pPr>
        <w:pStyle w:val="ESchpar"/>
        <w:rPr>
          <w:rFonts w:eastAsia="Calibri"/>
          <w:lang w:val="bg-BG"/>
        </w:rPr>
      </w:pPr>
      <w:r w:rsidRPr="009072DA">
        <w:rPr>
          <w:lang w:val="bg-BG"/>
        </w:rPr>
        <w:t>Изключения са разрешени от контролния орган при алармени системи, които включват по-малко от пет точки на измерване.</w:t>
      </w:r>
    </w:p>
    <w:p w:rsidR="00A07DE6" w:rsidRPr="009072DA" w:rsidRDefault="00A07DE6" w:rsidP="00A07DE6">
      <w:pPr>
        <w:pStyle w:val="ESch"/>
        <w:rPr>
          <w:rFonts w:eastAsia="Calibri"/>
          <w:lang w:val="bg-BG"/>
        </w:rPr>
      </w:pPr>
    </w:p>
    <w:p w:rsidR="00A07DE6" w:rsidRPr="009072DA" w:rsidRDefault="00A07DE6" w:rsidP="00A07DE6">
      <w:pPr>
        <w:pStyle w:val="ESch"/>
        <w:rPr>
          <w:rFonts w:eastAsia="Calibri"/>
          <w:lang w:val="bg-BG"/>
        </w:rPr>
      </w:pPr>
      <w:r w:rsidRPr="009072DA">
        <w:rPr>
          <w:lang w:val="bg-BG"/>
        </w:rPr>
        <w:t>2.</w:t>
      </w:r>
      <w:r w:rsidRPr="009072DA">
        <w:rPr>
          <w:lang w:val="bg-BG"/>
        </w:rPr>
        <w:tab/>
        <w:t>Системи за безопасност:</w:t>
      </w:r>
    </w:p>
    <w:p w:rsidR="00A07DE6" w:rsidRPr="009072DA" w:rsidRDefault="00A07DE6" w:rsidP="00A07DE6">
      <w:pPr>
        <w:pStyle w:val="ESchpar"/>
        <w:rPr>
          <w:rFonts w:eastAsia="Calibri"/>
          <w:lang w:val="bg-BG"/>
        </w:rPr>
      </w:pPr>
    </w:p>
    <w:p w:rsidR="00A07DE6" w:rsidRPr="009072DA" w:rsidRDefault="00A07DE6" w:rsidP="00A07DE6">
      <w:pPr>
        <w:pStyle w:val="ESchpar"/>
        <w:rPr>
          <w:rFonts w:eastAsia="Calibri"/>
          <w:lang w:val="bg-BG"/>
        </w:rPr>
      </w:pPr>
      <w:r w:rsidRPr="009072DA">
        <w:rPr>
          <w:lang w:val="bg-BG"/>
        </w:rPr>
        <w:t>Системите за безопасност се проектират така, че да спрат или забавят работата на засегнатото съоръжение или да подадат сигнал до станция с постоянен персонал да направи това преди да се е стигнало до критична ситуация.</w:t>
      </w:r>
    </w:p>
    <w:p w:rsidR="00A07DE6" w:rsidRPr="009072DA" w:rsidRDefault="00A07DE6" w:rsidP="00A07DE6">
      <w:pPr>
        <w:pStyle w:val="ESchpar"/>
        <w:rPr>
          <w:rFonts w:eastAsia="Calibri"/>
          <w:lang w:val="bg-BG"/>
        </w:rPr>
      </w:pPr>
    </w:p>
    <w:p w:rsidR="00A07DE6" w:rsidRPr="009072DA" w:rsidRDefault="00A07DE6" w:rsidP="00A07DE6">
      <w:pPr>
        <w:pStyle w:val="ESchpar"/>
        <w:rPr>
          <w:rFonts w:eastAsia="Calibri"/>
          <w:lang w:val="bg-BG"/>
        </w:rPr>
      </w:pPr>
      <w:r w:rsidRPr="009072DA">
        <w:rPr>
          <w:lang w:val="bg-BG"/>
        </w:rPr>
        <w:t>Двоичните предаващи устройства се проектират съгласно принципа на работния ток.</w:t>
      </w:r>
    </w:p>
    <w:p w:rsidR="00A07DE6" w:rsidRPr="009072DA" w:rsidRDefault="00A07DE6" w:rsidP="00A07DE6">
      <w:pPr>
        <w:pStyle w:val="ESchpar"/>
        <w:rPr>
          <w:rFonts w:eastAsia="Calibri"/>
          <w:lang w:val="bg-BG"/>
        </w:rPr>
      </w:pPr>
    </w:p>
    <w:p w:rsidR="00A07DE6" w:rsidRPr="009072DA" w:rsidRDefault="00A07DE6" w:rsidP="00A07DE6">
      <w:pPr>
        <w:pStyle w:val="ESchpar"/>
        <w:rPr>
          <w:rFonts w:eastAsia="Calibri"/>
          <w:lang w:val="bg-BG"/>
        </w:rPr>
      </w:pPr>
      <w:r w:rsidRPr="009072DA">
        <w:rPr>
          <w:lang w:val="bg-BG"/>
        </w:rPr>
        <w:t>Ако системите за безопасност не са проектирани да бъдат самоследящи се, тяхното функциониране трябва да може да бъде проверявано.</w:t>
      </w:r>
    </w:p>
    <w:p w:rsidR="00A07DE6" w:rsidRPr="009072DA" w:rsidRDefault="00A07DE6" w:rsidP="00A07DE6">
      <w:pPr>
        <w:pStyle w:val="ESchpar"/>
        <w:rPr>
          <w:rFonts w:eastAsia="Calibri"/>
          <w:lang w:val="bg-BG"/>
        </w:rPr>
      </w:pPr>
    </w:p>
    <w:p w:rsidR="00A07DE6" w:rsidRPr="009072DA" w:rsidRDefault="00A07DE6" w:rsidP="00A07DE6">
      <w:pPr>
        <w:pStyle w:val="ESchpar"/>
        <w:rPr>
          <w:rFonts w:eastAsia="Calibri"/>
          <w:lang w:val="bg-BG"/>
        </w:rPr>
      </w:pPr>
      <w:r w:rsidRPr="009072DA">
        <w:rPr>
          <w:lang w:val="bg-BG"/>
        </w:rPr>
        <w:t>Системите за безопасност трябва да са независими от други системи.</w:t>
      </w:r>
    </w:p>
    <w:p w:rsidR="008A12E7" w:rsidRPr="009072DA" w:rsidRDefault="008A12E7" w:rsidP="008A12E7">
      <w:pPr>
        <w:rPr>
          <w:rFonts w:cs="Arial"/>
          <w:szCs w:val="20"/>
          <w:lang w:val="bg-BG"/>
        </w:rPr>
      </w:pPr>
    </w:p>
    <w:p w:rsidR="0009596F" w:rsidRPr="009072DA" w:rsidRDefault="0009596F" w:rsidP="008A12E7">
      <w:pPr>
        <w:rPr>
          <w:rFonts w:cs="Arial"/>
          <w:szCs w:val="20"/>
          <w:lang w:val="bg-BG"/>
        </w:rPr>
      </w:pPr>
    </w:p>
    <w:p w:rsidR="008A12E7" w:rsidRPr="009072DA" w:rsidRDefault="008A12E7" w:rsidP="00F06174">
      <w:pPr>
        <w:pStyle w:val="ES-Titre3"/>
        <w:rPr>
          <w:lang w:val="bg-BG"/>
        </w:rPr>
      </w:pPr>
      <w:bookmarkStart w:id="198" w:name="_Toc491854097"/>
      <w:bookmarkStart w:id="199" w:name="_Toc535827538"/>
      <w:r w:rsidRPr="009072DA">
        <w:rPr>
          <w:lang w:val="bg-BG"/>
        </w:rPr>
        <w:t>Член 10.20</w:t>
      </w:r>
      <w:r w:rsidRPr="009072DA">
        <w:rPr>
          <w:lang w:val="bg-BG"/>
        </w:rPr>
        <w:br/>
      </w:r>
      <w:r w:rsidRPr="009072DA">
        <w:rPr>
          <w:i/>
          <w:lang w:val="bg-BG"/>
        </w:rPr>
        <w:t>Условия на изпитване на електронни съоръжения</w:t>
      </w:r>
      <w:bookmarkEnd w:id="198"/>
      <w:bookmarkEnd w:id="199"/>
    </w:p>
    <w:p w:rsidR="00F06174" w:rsidRPr="009072DA" w:rsidRDefault="00F06174" w:rsidP="00F06174">
      <w:pPr>
        <w:rPr>
          <w:rFonts w:cs="Arial"/>
          <w:szCs w:val="20"/>
          <w:lang w:val="bg-BG"/>
        </w:rPr>
      </w:pPr>
    </w:p>
    <w:p w:rsidR="00A07DE6" w:rsidRPr="009072DA" w:rsidRDefault="00A07DE6" w:rsidP="00A07DE6">
      <w:pPr>
        <w:spacing w:line="240" w:lineRule="atLeast"/>
        <w:ind w:left="567" w:hanging="567"/>
        <w:rPr>
          <w:lang w:val="bg-BG"/>
        </w:rPr>
      </w:pPr>
      <w:r w:rsidRPr="009072DA">
        <w:rPr>
          <w:lang w:val="bg-BG"/>
        </w:rPr>
        <w:t>1.</w:t>
      </w:r>
      <w:r w:rsidRPr="009072DA">
        <w:rPr>
          <w:lang w:val="bg-BG"/>
        </w:rPr>
        <w:tab/>
        <w:t>Общи положения</w:t>
      </w:r>
    </w:p>
    <w:p w:rsidR="00A07DE6" w:rsidRPr="009072DA" w:rsidRDefault="00A07DE6" w:rsidP="00A07DE6">
      <w:pPr>
        <w:spacing w:line="240" w:lineRule="atLeast"/>
        <w:ind w:left="567"/>
        <w:rPr>
          <w:lang w:val="bg-BG"/>
        </w:rPr>
      </w:pPr>
    </w:p>
    <w:p w:rsidR="00A07DE6" w:rsidRPr="009072DA" w:rsidRDefault="00A07DE6" w:rsidP="00A07DE6">
      <w:pPr>
        <w:spacing w:line="240" w:lineRule="atLeast"/>
        <w:ind w:left="567"/>
        <w:rPr>
          <w:lang w:val="bg-BG"/>
        </w:rPr>
      </w:pPr>
      <w:r w:rsidRPr="009072DA">
        <w:rPr>
          <w:lang w:val="bg-BG"/>
        </w:rPr>
        <w:t>Условията за изпитване, описани в точка 2, се прилагат само за електронно оборудване, необходимо за рулевата система и задвижващия механизъм на плавателните средства, включително спомагателните им устройства.</w:t>
      </w:r>
    </w:p>
    <w:p w:rsidR="00A07DE6" w:rsidRPr="009072DA" w:rsidRDefault="00A07DE6" w:rsidP="00A07DE6">
      <w:pPr>
        <w:spacing w:line="240" w:lineRule="atLeast"/>
        <w:ind w:left="567" w:hanging="567"/>
        <w:rPr>
          <w:lang w:val="bg-BG"/>
        </w:rPr>
      </w:pPr>
    </w:p>
    <w:p w:rsidR="00A07DE6" w:rsidRPr="009072DA" w:rsidRDefault="00A07DE6" w:rsidP="00A07DE6">
      <w:pPr>
        <w:spacing w:line="240" w:lineRule="atLeast"/>
        <w:ind w:left="567" w:hanging="567"/>
        <w:rPr>
          <w:lang w:val="bg-BG"/>
        </w:rPr>
      </w:pPr>
      <w:r w:rsidRPr="009072DA">
        <w:rPr>
          <w:lang w:val="bg-BG"/>
        </w:rPr>
        <w:t>2.</w:t>
      </w:r>
      <w:r w:rsidRPr="009072DA">
        <w:rPr>
          <w:lang w:val="bg-BG"/>
        </w:rPr>
        <w:tab/>
        <w:t>Условия на изпитване</w:t>
      </w:r>
    </w:p>
    <w:p w:rsidR="00A07DE6" w:rsidRPr="009072DA" w:rsidRDefault="00A07DE6" w:rsidP="00A07DE6">
      <w:pPr>
        <w:spacing w:before="60" w:line="240" w:lineRule="atLeast"/>
        <w:ind w:left="992"/>
        <w:rPr>
          <w:lang w:val="bg-BG"/>
        </w:rPr>
      </w:pPr>
      <w:r w:rsidRPr="009072DA">
        <w:rPr>
          <w:lang w:val="bg-BG"/>
        </w:rPr>
        <w:t>a)</w:t>
      </w:r>
      <w:r w:rsidRPr="009072DA">
        <w:rPr>
          <w:lang w:val="bg-BG"/>
        </w:rPr>
        <w:tab/>
        <w:t>Натоварванията, произтичащи от следните изпитвания, не трябва да причиняват повреда или неизправност на електронното оборудване. Изпитванията съгласно съответните международни стандарти, като например IEC 60092—504: 2016, освен изпитването на студоустойчивост, се извършват с включено оборудване. Тези изпитвания включват проверка на правилната работа.</w:t>
      </w:r>
    </w:p>
    <w:p w:rsidR="00AB2818" w:rsidRPr="009072DA" w:rsidRDefault="00AB2818">
      <w:pPr>
        <w:rPr>
          <w:lang w:val="bg-BG"/>
        </w:rPr>
      </w:pPr>
      <w:r w:rsidRPr="009072DA">
        <w:rPr>
          <w:lang w:val="bg-BG"/>
        </w:rPr>
        <w:br w:type="page"/>
      </w:r>
    </w:p>
    <w:p w:rsidR="00AB2818" w:rsidRPr="009072DA" w:rsidRDefault="00AB2818" w:rsidP="00A07DE6">
      <w:pPr>
        <w:spacing w:before="60" w:line="240" w:lineRule="atLeast"/>
        <w:ind w:left="992"/>
        <w:rPr>
          <w:lang w:val="bg-BG"/>
        </w:rPr>
      </w:pPr>
    </w:p>
    <w:p w:rsidR="00A07DE6" w:rsidRPr="009072DA" w:rsidRDefault="00A07DE6" w:rsidP="00A07DE6">
      <w:pPr>
        <w:spacing w:before="60" w:line="240" w:lineRule="atLeast"/>
        <w:ind w:left="992"/>
        <w:rPr>
          <w:lang w:val="bg-BG"/>
        </w:rPr>
      </w:pPr>
      <w:r w:rsidRPr="009072DA">
        <w:rPr>
          <w:lang w:val="bg-BG"/>
        </w:rPr>
        <w:t>б)</w:t>
      </w:r>
      <w:r w:rsidRPr="009072DA">
        <w:rPr>
          <w:lang w:val="bg-BG"/>
        </w:rPr>
        <w:tab/>
        <w:t>Промени в напрежението и честотата</w:t>
      </w:r>
    </w:p>
    <w:p w:rsidR="00A07DE6" w:rsidRPr="009072DA" w:rsidRDefault="00A07DE6" w:rsidP="00A07DE6">
      <w:pPr>
        <w:spacing w:line="240" w:lineRule="atLeast"/>
        <w:ind w:left="567" w:hanging="567"/>
        <w:rPr>
          <w:lang w:val="bg-BG"/>
        </w:rPr>
      </w:pPr>
    </w:p>
    <w:tbl>
      <w:tblPr>
        <w:tblW w:w="0" w:type="auto"/>
        <w:jc w:val="center"/>
        <w:tblLayout w:type="fixed"/>
        <w:tblCellMar>
          <w:left w:w="70" w:type="dxa"/>
          <w:right w:w="70" w:type="dxa"/>
        </w:tblCellMar>
        <w:tblLook w:val="0000" w:firstRow="0" w:lastRow="0" w:firstColumn="0" w:lastColumn="0" w:noHBand="0" w:noVBand="0"/>
      </w:tblPr>
      <w:tblGrid>
        <w:gridCol w:w="1985"/>
        <w:gridCol w:w="1701"/>
        <w:gridCol w:w="2155"/>
        <w:gridCol w:w="2155"/>
      </w:tblGrid>
      <w:tr w:rsidR="00A07DE6" w:rsidRPr="009072DA" w:rsidTr="00A07DE6">
        <w:trPr>
          <w:cantSplit/>
          <w:jc w:val="center"/>
        </w:trPr>
        <w:tc>
          <w:tcPr>
            <w:tcW w:w="1985" w:type="dxa"/>
            <w:tcBorders>
              <w:top w:val="single" w:sz="6" w:space="0" w:color="auto"/>
              <w:left w:val="single" w:sz="6" w:space="0" w:color="auto"/>
            </w:tcBorders>
            <w:vAlign w:val="center"/>
          </w:tcPr>
          <w:p w:rsidR="00A07DE6" w:rsidRPr="009072DA" w:rsidRDefault="00A07DE6" w:rsidP="00A07DE6">
            <w:pPr>
              <w:spacing w:before="60" w:after="60" w:line="240" w:lineRule="atLeast"/>
              <w:jc w:val="center"/>
              <w:rPr>
                <w:sz w:val="18"/>
                <w:lang w:val="bg-BG"/>
              </w:rPr>
            </w:pPr>
          </w:p>
        </w:tc>
        <w:tc>
          <w:tcPr>
            <w:tcW w:w="1701" w:type="dxa"/>
            <w:tcBorders>
              <w:top w:val="single" w:sz="6" w:space="0" w:color="auto"/>
              <w:left w:val="single" w:sz="6" w:space="0" w:color="auto"/>
              <w:right w:val="single" w:sz="6" w:space="0" w:color="auto"/>
            </w:tcBorders>
            <w:vAlign w:val="center"/>
          </w:tcPr>
          <w:p w:rsidR="00A07DE6" w:rsidRPr="009072DA" w:rsidRDefault="00A07DE6" w:rsidP="00A07DE6">
            <w:pPr>
              <w:spacing w:before="60" w:after="60" w:line="240" w:lineRule="atLeast"/>
              <w:jc w:val="center"/>
              <w:rPr>
                <w:sz w:val="18"/>
                <w:lang w:val="bg-BG"/>
              </w:rPr>
            </w:pPr>
            <w:r w:rsidRPr="009072DA">
              <w:rPr>
                <w:sz w:val="18"/>
                <w:lang w:val="bg-BG"/>
              </w:rPr>
              <w:t>Параметри</w:t>
            </w:r>
          </w:p>
        </w:tc>
        <w:tc>
          <w:tcPr>
            <w:tcW w:w="4310" w:type="dxa"/>
            <w:gridSpan w:val="2"/>
            <w:tcBorders>
              <w:top w:val="single" w:sz="6" w:space="0" w:color="auto"/>
              <w:right w:val="single" w:sz="6" w:space="0" w:color="auto"/>
            </w:tcBorders>
            <w:vAlign w:val="center"/>
          </w:tcPr>
          <w:p w:rsidR="00A07DE6" w:rsidRPr="009072DA" w:rsidRDefault="00A07DE6" w:rsidP="00A07DE6">
            <w:pPr>
              <w:spacing w:before="60" w:after="60" w:line="240" w:lineRule="atLeast"/>
              <w:jc w:val="center"/>
              <w:rPr>
                <w:sz w:val="18"/>
                <w:lang w:val="bg-BG"/>
              </w:rPr>
            </w:pPr>
            <w:r w:rsidRPr="009072DA">
              <w:rPr>
                <w:sz w:val="18"/>
                <w:lang w:val="bg-BG"/>
              </w:rPr>
              <w:t>Промени</w:t>
            </w:r>
          </w:p>
        </w:tc>
      </w:tr>
      <w:tr w:rsidR="00A07DE6" w:rsidRPr="009072DA" w:rsidTr="00A07DE6">
        <w:trPr>
          <w:cantSplit/>
          <w:jc w:val="center"/>
        </w:trPr>
        <w:tc>
          <w:tcPr>
            <w:tcW w:w="1985" w:type="dxa"/>
            <w:tcBorders>
              <w:left w:val="single" w:sz="6" w:space="0" w:color="auto"/>
              <w:bottom w:val="single" w:sz="12" w:space="0" w:color="auto"/>
              <w:right w:val="single" w:sz="6" w:space="0" w:color="auto"/>
            </w:tcBorders>
            <w:vAlign w:val="center"/>
          </w:tcPr>
          <w:p w:rsidR="00A07DE6" w:rsidRPr="009072DA" w:rsidRDefault="00A07DE6" w:rsidP="00A07DE6">
            <w:pPr>
              <w:spacing w:before="60" w:after="60" w:line="240" w:lineRule="atLeast"/>
              <w:jc w:val="center"/>
              <w:rPr>
                <w:sz w:val="18"/>
                <w:lang w:val="bg-BG"/>
              </w:rPr>
            </w:pPr>
          </w:p>
        </w:tc>
        <w:tc>
          <w:tcPr>
            <w:tcW w:w="1701" w:type="dxa"/>
            <w:tcBorders>
              <w:left w:val="single" w:sz="6" w:space="0" w:color="auto"/>
              <w:bottom w:val="single" w:sz="12" w:space="0" w:color="auto"/>
              <w:right w:val="single" w:sz="6" w:space="0" w:color="auto"/>
            </w:tcBorders>
            <w:vAlign w:val="center"/>
          </w:tcPr>
          <w:p w:rsidR="00A07DE6" w:rsidRPr="009072DA" w:rsidRDefault="00A07DE6" w:rsidP="00A07DE6">
            <w:pPr>
              <w:spacing w:before="60" w:after="60" w:line="240" w:lineRule="atLeast"/>
              <w:jc w:val="center"/>
              <w:rPr>
                <w:sz w:val="18"/>
                <w:lang w:val="bg-BG"/>
              </w:rPr>
            </w:pPr>
          </w:p>
        </w:tc>
        <w:tc>
          <w:tcPr>
            <w:tcW w:w="2155" w:type="dxa"/>
            <w:tcBorders>
              <w:left w:val="single" w:sz="6" w:space="0" w:color="auto"/>
              <w:bottom w:val="single" w:sz="12" w:space="0" w:color="auto"/>
              <w:right w:val="single" w:sz="6" w:space="0" w:color="auto"/>
            </w:tcBorders>
            <w:vAlign w:val="center"/>
          </w:tcPr>
          <w:p w:rsidR="00A07DE6" w:rsidRPr="009072DA" w:rsidRDefault="00A07DE6" w:rsidP="00A07DE6">
            <w:pPr>
              <w:spacing w:before="60" w:after="60" w:line="240" w:lineRule="atLeast"/>
              <w:jc w:val="center"/>
              <w:rPr>
                <w:sz w:val="18"/>
                <w:lang w:val="bg-BG"/>
              </w:rPr>
            </w:pPr>
            <w:r w:rsidRPr="009072DA">
              <w:rPr>
                <w:sz w:val="18"/>
                <w:lang w:val="bg-BG"/>
              </w:rPr>
              <w:t>продължителни</w:t>
            </w:r>
          </w:p>
        </w:tc>
        <w:tc>
          <w:tcPr>
            <w:tcW w:w="2155" w:type="dxa"/>
            <w:tcBorders>
              <w:left w:val="single" w:sz="6" w:space="0" w:color="auto"/>
              <w:bottom w:val="single" w:sz="12" w:space="0" w:color="auto"/>
              <w:right w:val="single" w:sz="6" w:space="0" w:color="auto"/>
            </w:tcBorders>
            <w:vAlign w:val="center"/>
          </w:tcPr>
          <w:p w:rsidR="00A07DE6" w:rsidRPr="009072DA" w:rsidRDefault="00A07DE6" w:rsidP="00A07DE6">
            <w:pPr>
              <w:spacing w:before="60" w:after="60" w:line="240" w:lineRule="atLeast"/>
              <w:jc w:val="center"/>
              <w:rPr>
                <w:sz w:val="18"/>
                <w:lang w:val="bg-BG"/>
              </w:rPr>
            </w:pPr>
            <w:r w:rsidRPr="009072DA">
              <w:rPr>
                <w:sz w:val="18"/>
                <w:lang w:val="bg-BG"/>
              </w:rPr>
              <w:t>краткотрайни</w:t>
            </w:r>
          </w:p>
        </w:tc>
      </w:tr>
      <w:tr w:rsidR="00A07DE6" w:rsidRPr="009072DA" w:rsidTr="00A07DE6">
        <w:trPr>
          <w:cantSplit/>
          <w:trHeight w:val="763"/>
          <w:jc w:val="center"/>
        </w:trPr>
        <w:tc>
          <w:tcPr>
            <w:tcW w:w="1985" w:type="dxa"/>
            <w:tcBorders>
              <w:top w:val="single" w:sz="12" w:space="0" w:color="auto"/>
              <w:left w:val="single" w:sz="6" w:space="0" w:color="auto"/>
              <w:bottom w:val="single" w:sz="6" w:space="0" w:color="auto"/>
              <w:right w:val="single" w:sz="6" w:space="0" w:color="auto"/>
            </w:tcBorders>
            <w:vAlign w:val="center"/>
          </w:tcPr>
          <w:p w:rsidR="00A07DE6" w:rsidRPr="009072DA" w:rsidRDefault="00A07DE6" w:rsidP="00A07DE6">
            <w:pPr>
              <w:spacing w:before="60" w:after="60" w:line="240" w:lineRule="atLeast"/>
              <w:rPr>
                <w:sz w:val="18"/>
                <w:lang w:val="bg-BG"/>
              </w:rPr>
            </w:pPr>
            <w:r w:rsidRPr="009072DA">
              <w:rPr>
                <w:sz w:val="18"/>
                <w:lang w:val="bg-BG"/>
              </w:rPr>
              <w:t>Обща</w:t>
            </w:r>
          </w:p>
        </w:tc>
        <w:tc>
          <w:tcPr>
            <w:tcW w:w="1701" w:type="dxa"/>
            <w:tcBorders>
              <w:top w:val="single" w:sz="12" w:space="0" w:color="auto"/>
              <w:left w:val="single" w:sz="6" w:space="0" w:color="auto"/>
              <w:bottom w:val="single" w:sz="6" w:space="0" w:color="auto"/>
              <w:right w:val="single" w:sz="6" w:space="0" w:color="auto"/>
            </w:tcBorders>
            <w:vAlign w:val="center"/>
          </w:tcPr>
          <w:p w:rsidR="00A07DE6" w:rsidRPr="009072DA" w:rsidRDefault="00A07DE6" w:rsidP="00A07DE6">
            <w:pPr>
              <w:spacing w:before="60" w:after="60" w:line="240" w:lineRule="atLeast"/>
              <w:jc w:val="center"/>
              <w:rPr>
                <w:sz w:val="18"/>
                <w:lang w:val="bg-BG"/>
              </w:rPr>
            </w:pPr>
            <w:r w:rsidRPr="009072DA">
              <w:rPr>
                <w:sz w:val="18"/>
                <w:lang w:val="bg-BG"/>
              </w:rPr>
              <w:t>Честота</w:t>
            </w:r>
            <w:r w:rsidRPr="009072DA">
              <w:rPr>
                <w:sz w:val="18"/>
                <w:lang w:val="bg-BG"/>
              </w:rPr>
              <w:br/>
              <w:t>напрежение</w:t>
            </w:r>
          </w:p>
        </w:tc>
        <w:tc>
          <w:tcPr>
            <w:tcW w:w="2155" w:type="dxa"/>
            <w:tcBorders>
              <w:top w:val="single" w:sz="12" w:space="0" w:color="auto"/>
              <w:left w:val="single" w:sz="6" w:space="0" w:color="auto"/>
              <w:bottom w:val="single" w:sz="6" w:space="0" w:color="auto"/>
              <w:right w:val="single" w:sz="6" w:space="0" w:color="auto"/>
            </w:tcBorders>
            <w:vAlign w:val="center"/>
          </w:tcPr>
          <w:p w:rsidR="00A07DE6" w:rsidRPr="009072DA" w:rsidRDefault="00A07DE6" w:rsidP="00A07DE6">
            <w:pPr>
              <w:spacing w:before="60" w:after="60" w:line="240" w:lineRule="atLeast"/>
              <w:jc w:val="center"/>
              <w:rPr>
                <w:sz w:val="18"/>
                <w:lang w:val="bg-BG"/>
              </w:rPr>
            </w:pPr>
            <w:r w:rsidRPr="009072DA">
              <w:rPr>
                <w:sz w:val="18"/>
                <w:lang w:val="bg-BG"/>
              </w:rPr>
              <w:sym w:font="Symbol" w:char="F0B1"/>
            </w:r>
            <w:r w:rsidRPr="009072DA">
              <w:rPr>
                <w:sz w:val="18"/>
                <w:lang w:val="bg-BG"/>
              </w:rPr>
              <w:t xml:space="preserve"> 5 %</w:t>
            </w:r>
            <w:r w:rsidRPr="009072DA">
              <w:rPr>
                <w:sz w:val="18"/>
                <w:lang w:val="bg-BG"/>
              </w:rPr>
              <w:br/>
            </w:r>
            <w:r w:rsidRPr="009072DA">
              <w:rPr>
                <w:sz w:val="18"/>
                <w:lang w:val="bg-BG"/>
              </w:rPr>
              <w:sym w:font="Symbol" w:char="F0B1"/>
            </w:r>
            <w:r w:rsidRPr="009072DA">
              <w:rPr>
                <w:sz w:val="18"/>
                <w:lang w:val="bg-BG"/>
              </w:rPr>
              <w:t xml:space="preserve"> 10 %</w:t>
            </w:r>
          </w:p>
        </w:tc>
        <w:tc>
          <w:tcPr>
            <w:tcW w:w="2155" w:type="dxa"/>
            <w:tcBorders>
              <w:top w:val="single" w:sz="12" w:space="0" w:color="auto"/>
              <w:left w:val="single" w:sz="6" w:space="0" w:color="auto"/>
              <w:bottom w:val="single" w:sz="6" w:space="0" w:color="auto"/>
              <w:right w:val="single" w:sz="6" w:space="0" w:color="auto"/>
            </w:tcBorders>
            <w:vAlign w:val="center"/>
          </w:tcPr>
          <w:p w:rsidR="00A07DE6" w:rsidRPr="009072DA" w:rsidRDefault="00A07DE6" w:rsidP="00A07DE6">
            <w:pPr>
              <w:spacing w:before="60" w:after="60" w:line="240" w:lineRule="atLeast"/>
              <w:jc w:val="center"/>
              <w:rPr>
                <w:sz w:val="18"/>
                <w:lang w:val="bg-BG"/>
              </w:rPr>
            </w:pPr>
            <w:r w:rsidRPr="009072DA">
              <w:rPr>
                <w:sz w:val="18"/>
                <w:lang w:val="bg-BG"/>
              </w:rPr>
              <w:sym w:font="Symbol" w:char="F0B1"/>
            </w:r>
            <w:r w:rsidRPr="009072DA">
              <w:rPr>
                <w:sz w:val="18"/>
                <w:lang w:val="bg-BG"/>
              </w:rPr>
              <w:t xml:space="preserve"> 10 % 5 s</w:t>
            </w:r>
            <w:r w:rsidRPr="009072DA">
              <w:rPr>
                <w:sz w:val="18"/>
                <w:lang w:val="bg-BG"/>
              </w:rPr>
              <w:br/>
            </w:r>
            <w:r w:rsidRPr="009072DA">
              <w:rPr>
                <w:sz w:val="18"/>
                <w:lang w:val="bg-BG"/>
              </w:rPr>
              <w:sym w:font="Symbol" w:char="F0B1"/>
            </w:r>
            <w:r w:rsidRPr="009072DA">
              <w:rPr>
                <w:sz w:val="18"/>
                <w:lang w:val="bg-BG"/>
              </w:rPr>
              <w:t xml:space="preserve"> 20 % 1,5 s</w:t>
            </w:r>
          </w:p>
        </w:tc>
      </w:tr>
      <w:tr w:rsidR="00A07DE6" w:rsidRPr="009072DA" w:rsidTr="00A07DE6">
        <w:trPr>
          <w:cantSplit/>
          <w:trHeight w:val="689"/>
          <w:jc w:val="center"/>
        </w:trPr>
        <w:tc>
          <w:tcPr>
            <w:tcW w:w="1985" w:type="dxa"/>
            <w:tcBorders>
              <w:top w:val="single" w:sz="6" w:space="0" w:color="auto"/>
              <w:left w:val="single" w:sz="6" w:space="0" w:color="auto"/>
              <w:bottom w:val="single" w:sz="6" w:space="0" w:color="auto"/>
              <w:right w:val="single" w:sz="6" w:space="0" w:color="auto"/>
            </w:tcBorders>
            <w:vAlign w:val="center"/>
          </w:tcPr>
          <w:p w:rsidR="00A07DE6" w:rsidRPr="009072DA" w:rsidRDefault="00A07DE6" w:rsidP="00A07DE6">
            <w:pPr>
              <w:spacing w:before="60" w:after="60" w:line="240" w:lineRule="atLeast"/>
              <w:rPr>
                <w:sz w:val="18"/>
                <w:lang w:val="bg-BG"/>
              </w:rPr>
            </w:pPr>
            <w:r w:rsidRPr="009072DA">
              <w:rPr>
                <w:sz w:val="18"/>
                <w:lang w:val="bg-BG"/>
              </w:rPr>
              <w:t>Работа на батерията</w:t>
            </w:r>
          </w:p>
        </w:tc>
        <w:tc>
          <w:tcPr>
            <w:tcW w:w="1701" w:type="dxa"/>
            <w:tcBorders>
              <w:top w:val="single" w:sz="6" w:space="0" w:color="auto"/>
              <w:left w:val="single" w:sz="6" w:space="0" w:color="auto"/>
              <w:bottom w:val="single" w:sz="6" w:space="0" w:color="auto"/>
              <w:right w:val="single" w:sz="6" w:space="0" w:color="auto"/>
            </w:tcBorders>
            <w:vAlign w:val="center"/>
          </w:tcPr>
          <w:p w:rsidR="00A07DE6" w:rsidRPr="009072DA" w:rsidRDefault="00A07DE6" w:rsidP="00A07DE6">
            <w:pPr>
              <w:spacing w:before="60" w:after="60" w:line="240" w:lineRule="atLeast"/>
              <w:jc w:val="center"/>
              <w:rPr>
                <w:sz w:val="18"/>
                <w:lang w:val="bg-BG"/>
              </w:rPr>
            </w:pPr>
            <w:r w:rsidRPr="009072DA">
              <w:rPr>
                <w:sz w:val="18"/>
                <w:lang w:val="bg-BG"/>
              </w:rPr>
              <w:t>напрежение</w:t>
            </w:r>
          </w:p>
        </w:tc>
        <w:tc>
          <w:tcPr>
            <w:tcW w:w="2155" w:type="dxa"/>
            <w:tcBorders>
              <w:top w:val="single" w:sz="6" w:space="0" w:color="auto"/>
              <w:left w:val="single" w:sz="6" w:space="0" w:color="auto"/>
              <w:bottom w:val="single" w:sz="6" w:space="0" w:color="auto"/>
              <w:right w:val="single" w:sz="6" w:space="0" w:color="auto"/>
            </w:tcBorders>
            <w:vAlign w:val="center"/>
          </w:tcPr>
          <w:p w:rsidR="00A07DE6" w:rsidRPr="009072DA" w:rsidRDefault="00A07DE6" w:rsidP="00A07DE6">
            <w:pPr>
              <w:spacing w:before="60" w:after="60" w:line="240" w:lineRule="atLeast"/>
              <w:jc w:val="center"/>
              <w:rPr>
                <w:sz w:val="18"/>
                <w:lang w:val="bg-BG"/>
              </w:rPr>
            </w:pPr>
            <w:r w:rsidRPr="009072DA">
              <w:rPr>
                <w:sz w:val="18"/>
                <w:lang w:val="bg-BG"/>
              </w:rPr>
              <w:t>+ 30 % / - 25 %</w:t>
            </w:r>
          </w:p>
        </w:tc>
        <w:tc>
          <w:tcPr>
            <w:tcW w:w="2155" w:type="dxa"/>
            <w:tcBorders>
              <w:top w:val="single" w:sz="6" w:space="0" w:color="auto"/>
              <w:left w:val="single" w:sz="6" w:space="0" w:color="auto"/>
              <w:bottom w:val="single" w:sz="6" w:space="0" w:color="auto"/>
              <w:right w:val="single" w:sz="6" w:space="0" w:color="auto"/>
            </w:tcBorders>
            <w:vAlign w:val="center"/>
          </w:tcPr>
          <w:p w:rsidR="00A07DE6" w:rsidRPr="009072DA" w:rsidRDefault="00A07DE6" w:rsidP="00A07DE6">
            <w:pPr>
              <w:spacing w:before="60" w:after="60" w:line="240" w:lineRule="atLeast"/>
              <w:jc w:val="center"/>
              <w:rPr>
                <w:sz w:val="18"/>
                <w:lang w:val="bg-BG"/>
              </w:rPr>
            </w:pPr>
            <w:r w:rsidRPr="009072DA">
              <w:rPr>
                <w:sz w:val="18"/>
                <w:lang w:val="bg-BG"/>
              </w:rPr>
              <w:t>-</w:t>
            </w:r>
          </w:p>
        </w:tc>
      </w:tr>
    </w:tbl>
    <w:p w:rsidR="00A07DE6" w:rsidRPr="009072DA" w:rsidRDefault="00A07DE6" w:rsidP="00A07DE6">
      <w:pPr>
        <w:spacing w:line="240" w:lineRule="atLeast"/>
        <w:ind w:left="567" w:hanging="567"/>
        <w:rPr>
          <w:lang w:val="bg-BG"/>
        </w:rPr>
      </w:pPr>
    </w:p>
    <w:p w:rsidR="00A07DE6" w:rsidRPr="009072DA" w:rsidRDefault="00A07DE6" w:rsidP="00A07DE6">
      <w:pPr>
        <w:spacing w:before="60" w:line="240" w:lineRule="atLeast"/>
        <w:ind w:left="992"/>
        <w:rPr>
          <w:lang w:val="bg-BG"/>
        </w:rPr>
      </w:pPr>
      <w:r w:rsidRPr="009072DA">
        <w:rPr>
          <w:lang w:val="bg-BG"/>
        </w:rPr>
        <w:t>в)</w:t>
      </w:r>
      <w:r w:rsidRPr="009072DA">
        <w:rPr>
          <w:lang w:val="bg-BG"/>
        </w:rPr>
        <w:tab/>
        <w:t>Изпитване на топлоустойчивост</w:t>
      </w:r>
    </w:p>
    <w:p w:rsidR="00A07DE6" w:rsidRPr="009072DA" w:rsidRDefault="00A07DE6" w:rsidP="00A07DE6">
      <w:pPr>
        <w:spacing w:before="60" w:line="240" w:lineRule="atLeast"/>
        <w:ind w:left="992"/>
        <w:rPr>
          <w:lang w:val="bg-BG"/>
        </w:rPr>
      </w:pPr>
      <w:r w:rsidRPr="009072DA">
        <w:rPr>
          <w:lang w:val="bg-BG"/>
        </w:rPr>
        <w:t>Екземплярът се загрява до температура от 55 °С в рамките на половин час. След като температурата бъде достигната, тя се поддържа 16 часа. След това се провежда работно изпитване.</w:t>
      </w:r>
    </w:p>
    <w:p w:rsidR="00A07DE6" w:rsidRPr="009072DA" w:rsidRDefault="00A07DE6" w:rsidP="00E9735B">
      <w:pPr>
        <w:pStyle w:val="ESlet"/>
        <w:rPr>
          <w:lang w:val="bg-BG"/>
        </w:rPr>
      </w:pPr>
      <w:r w:rsidRPr="009072DA">
        <w:rPr>
          <w:lang w:val="bg-BG"/>
        </w:rPr>
        <w:t>г)</w:t>
      </w:r>
      <w:r w:rsidRPr="009072DA">
        <w:rPr>
          <w:lang w:val="bg-BG"/>
        </w:rPr>
        <w:tab/>
        <w:t>Изпитване на студоустойчивост</w:t>
      </w:r>
    </w:p>
    <w:p w:rsidR="00A07DE6" w:rsidRPr="009072DA" w:rsidRDefault="00A07DE6" w:rsidP="00A07DE6">
      <w:pPr>
        <w:spacing w:before="60" w:line="240" w:lineRule="atLeast"/>
        <w:ind w:left="992"/>
        <w:rPr>
          <w:lang w:val="bg-BG"/>
        </w:rPr>
      </w:pPr>
      <w:r w:rsidRPr="009072DA">
        <w:rPr>
          <w:lang w:val="bg-BG"/>
        </w:rPr>
        <w:t>Екземплярът се изключва и охлажда до -25 °С и се държи при тази температура два часа. След това температурата се повишава до 0 °С и се провежда работно изпитване.</w:t>
      </w:r>
    </w:p>
    <w:p w:rsidR="00A07DE6" w:rsidRPr="009072DA" w:rsidRDefault="00A07DE6" w:rsidP="00E9735B">
      <w:pPr>
        <w:pStyle w:val="ESlet"/>
        <w:rPr>
          <w:lang w:val="bg-BG"/>
        </w:rPr>
      </w:pPr>
      <w:r w:rsidRPr="009072DA">
        <w:rPr>
          <w:lang w:val="bg-BG"/>
        </w:rPr>
        <w:t>д)</w:t>
      </w:r>
      <w:r w:rsidRPr="009072DA">
        <w:rPr>
          <w:lang w:val="bg-BG"/>
        </w:rPr>
        <w:tab/>
        <w:t>Изпитване на вибрации</w:t>
      </w:r>
    </w:p>
    <w:p w:rsidR="00A07DE6" w:rsidRPr="009072DA" w:rsidRDefault="00A07DE6" w:rsidP="00A07DE6">
      <w:pPr>
        <w:spacing w:before="60" w:line="240" w:lineRule="atLeast"/>
        <w:ind w:left="992"/>
        <w:rPr>
          <w:lang w:val="bg-BG"/>
        </w:rPr>
      </w:pPr>
      <w:r w:rsidRPr="009072DA">
        <w:rPr>
          <w:lang w:val="bg-BG"/>
        </w:rPr>
        <w:t>Изпитването на вибрации се извършва по трите оси при резонансната честота на оборудването или на компонентите за период от 90 минути във всеки отделен случай. Ако не се появи ясен резонанс, изпитването на вибрации се извършва при 30 Hz.</w:t>
      </w:r>
    </w:p>
    <w:p w:rsidR="00A07DE6" w:rsidRPr="009072DA" w:rsidRDefault="00A07DE6" w:rsidP="00350277">
      <w:pPr>
        <w:pStyle w:val="ESletpar"/>
        <w:rPr>
          <w:lang w:val="bg-BG"/>
        </w:rPr>
      </w:pPr>
      <w:r w:rsidRPr="009072DA">
        <w:rPr>
          <w:lang w:val="bg-BG"/>
        </w:rPr>
        <w:t>Изпитването на вибрации се извършва при синусоидални колебания в следните граници:</w:t>
      </w:r>
    </w:p>
    <w:p w:rsidR="00A07DE6" w:rsidRPr="009072DA" w:rsidRDefault="00A07DE6" w:rsidP="00350277">
      <w:pPr>
        <w:pStyle w:val="ESletpar"/>
        <w:rPr>
          <w:lang w:val="bg-BG"/>
        </w:rPr>
      </w:pPr>
      <w:r w:rsidRPr="009072DA">
        <w:rPr>
          <w:lang w:val="bg-BG"/>
        </w:rPr>
        <w:t>Общи положения:</w:t>
      </w:r>
    </w:p>
    <w:p w:rsidR="00A07DE6" w:rsidRPr="009072DA" w:rsidRDefault="00A07DE6" w:rsidP="00A07DE6">
      <w:pPr>
        <w:spacing w:before="60" w:line="240" w:lineRule="atLeast"/>
        <w:ind w:left="992"/>
        <w:rPr>
          <w:lang w:val="bg-BG"/>
        </w:rPr>
      </w:pPr>
      <m:oMath>
        <m:r>
          <w:rPr>
            <w:rFonts w:ascii="Cambria Math" w:hAnsi="Cambria Math"/>
            <w:lang w:val="bg-BG"/>
          </w:rPr>
          <m:t>f</m:t>
        </m:r>
      </m:oMath>
      <w:r w:rsidRPr="009072DA">
        <w:rPr>
          <w:lang w:val="bg-BG"/>
        </w:rPr>
        <w:t xml:space="preserve"> = 2,0 до 13,2 Hz; </w:t>
      </w:r>
      <m:oMath>
        <m:r>
          <w:rPr>
            <w:rFonts w:ascii="Cambria Math" w:hAnsi="Cambria Math"/>
            <w:lang w:val="bg-BG"/>
          </w:rPr>
          <m:t>a</m:t>
        </m:r>
      </m:oMath>
      <w:r w:rsidRPr="009072DA">
        <w:rPr>
          <w:lang w:val="bg-BG"/>
        </w:rPr>
        <w:t xml:space="preserve"> = ± 1 mm</w:t>
      </w:r>
    </w:p>
    <w:p w:rsidR="00A07DE6" w:rsidRPr="009072DA" w:rsidRDefault="00A07DE6" w:rsidP="00A07DE6">
      <w:pPr>
        <w:spacing w:before="60" w:line="240" w:lineRule="atLeast"/>
        <w:ind w:left="992"/>
        <w:rPr>
          <w:lang w:val="bg-BG"/>
        </w:rPr>
      </w:pPr>
      <w:r w:rsidRPr="009072DA">
        <w:rPr>
          <w:lang w:val="bg-BG"/>
        </w:rPr>
        <w:t xml:space="preserve">(амплитудата </w:t>
      </w:r>
      <m:oMath>
        <m:r>
          <w:rPr>
            <w:rFonts w:ascii="Cambria Math" w:hAnsi="Cambria Math"/>
            <w:lang w:val="bg-BG"/>
          </w:rPr>
          <m:t>a</m:t>
        </m:r>
      </m:oMath>
      <w:r w:rsidRPr="009072DA">
        <w:rPr>
          <w:lang w:val="bg-BG"/>
        </w:rPr>
        <w:t xml:space="preserve"> = 1/2 широчина на вибрацията)</w:t>
      </w:r>
    </w:p>
    <w:p w:rsidR="00A07DE6" w:rsidRPr="009072DA" w:rsidRDefault="00A07DE6" w:rsidP="00A07DE6">
      <w:pPr>
        <w:spacing w:before="60" w:line="240" w:lineRule="atLeast"/>
        <w:ind w:left="992"/>
        <w:rPr>
          <w:lang w:val="bg-BG"/>
        </w:rPr>
      </w:pPr>
      <m:oMath>
        <m:r>
          <w:rPr>
            <w:rFonts w:ascii="Cambria Math" w:hAnsi="Cambria Math"/>
            <w:lang w:val="bg-BG"/>
          </w:rPr>
          <m:t>f</m:t>
        </m:r>
      </m:oMath>
      <w:r w:rsidRPr="009072DA">
        <w:rPr>
          <w:lang w:val="bg-BG"/>
        </w:rPr>
        <w:t xml:space="preserve"> = 13,2 Hz до 100 Hz: ускорение ± 0,7 g.</w:t>
      </w:r>
    </w:p>
    <w:p w:rsidR="00A07DE6" w:rsidRPr="009072DA" w:rsidRDefault="00A07DE6" w:rsidP="00A07DE6">
      <w:pPr>
        <w:spacing w:before="60" w:line="240" w:lineRule="atLeast"/>
        <w:ind w:left="992"/>
        <w:rPr>
          <w:lang w:val="bg-BG"/>
        </w:rPr>
      </w:pPr>
      <w:r w:rsidRPr="009072DA">
        <w:rPr>
          <w:lang w:val="bg-BG"/>
        </w:rPr>
        <w:t>Работното оборудване, предназначено за монтиране на двигатели с вътрешно горене или рулевия апарат се изпитва, както следва:</w:t>
      </w:r>
    </w:p>
    <w:p w:rsidR="00A07DE6" w:rsidRPr="009072DA" w:rsidRDefault="00A07DE6" w:rsidP="00A07DE6">
      <w:pPr>
        <w:spacing w:before="60" w:line="240" w:lineRule="atLeast"/>
        <w:ind w:left="992"/>
        <w:rPr>
          <w:lang w:val="bg-BG"/>
        </w:rPr>
      </w:pPr>
      <m:oMath>
        <m:r>
          <w:rPr>
            <w:rFonts w:ascii="Cambria Math" w:hAnsi="Cambria Math"/>
            <w:lang w:val="bg-BG"/>
          </w:rPr>
          <m:t>f</m:t>
        </m:r>
      </m:oMath>
      <w:r w:rsidRPr="009072DA">
        <w:rPr>
          <w:lang w:val="bg-BG"/>
        </w:rPr>
        <w:t xml:space="preserve"> = 2,0 до 25 Hz; </w:t>
      </w:r>
      <m:oMath>
        <m:r>
          <w:rPr>
            <w:rFonts w:ascii="Cambria Math" w:hAnsi="Cambria Math"/>
            <w:lang w:val="bg-BG"/>
          </w:rPr>
          <m:t>a</m:t>
        </m:r>
      </m:oMath>
      <w:r w:rsidRPr="009072DA">
        <w:rPr>
          <w:lang w:val="bg-BG"/>
        </w:rPr>
        <w:t xml:space="preserve"> = ± 1,6 mm</w:t>
      </w:r>
    </w:p>
    <w:p w:rsidR="00A07DE6" w:rsidRPr="009072DA" w:rsidRDefault="00A07DE6" w:rsidP="00A07DE6">
      <w:pPr>
        <w:spacing w:before="60" w:line="240" w:lineRule="atLeast"/>
        <w:ind w:left="992"/>
        <w:rPr>
          <w:lang w:val="bg-BG"/>
        </w:rPr>
      </w:pPr>
      <w:r w:rsidRPr="009072DA">
        <w:rPr>
          <w:lang w:val="bg-BG"/>
        </w:rPr>
        <w:t xml:space="preserve">(амплитудата </w:t>
      </w:r>
      <m:oMath>
        <m:r>
          <w:rPr>
            <w:rFonts w:ascii="Cambria Math" w:hAnsi="Cambria Math"/>
            <w:lang w:val="bg-BG"/>
          </w:rPr>
          <m:t>a</m:t>
        </m:r>
      </m:oMath>
      <w:r w:rsidRPr="009072DA">
        <w:rPr>
          <w:lang w:val="bg-BG"/>
        </w:rPr>
        <w:t xml:space="preserve"> = 1/2 широчина на вибрацията)</w:t>
      </w:r>
    </w:p>
    <w:p w:rsidR="00A07DE6" w:rsidRPr="009072DA" w:rsidRDefault="00A07DE6" w:rsidP="00A07DE6">
      <w:pPr>
        <w:spacing w:before="60" w:line="240" w:lineRule="atLeast"/>
        <w:ind w:left="992"/>
        <w:rPr>
          <w:lang w:val="bg-BG"/>
        </w:rPr>
      </w:pPr>
      <m:oMath>
        <m:r>
          <w:rPr>
            <w:rFonts w:ascii="Cambria Math" w:hAnsi="Cambria Math"/>
            <w:lang w:val="bg-BG"/>
          </w:rPr>
          <m:t>f</m:t>
        </m:r>
      </m:oMath>
      <w:r w:rsidRPr="009072DA">
        <w:rPr>
          <w:lang w:val="bg-BG"/>
        </w:rPr>
        <w:t xml:space="preserve"> = 25 Hz до 100 Hz; ускорение ± 4 g.</w:t>
      </w:r>
    </w:p>
    <w:p w:rsidR="00A07DE6" w:rsidRPr="009072DA" w:rsidRDefault="00A07DE6" w:rsidP="00350277">
      <w:pPr>
        <w:pStyle w:val="ESletpar"/>
        <w:rPr>
          <w:lang w:val="bg-BG"/>
        </w:rPr>
      </w:pPr>
      <w:r w:rsidRPr="009072DA">
        <w:rPr>
          <w:lang w:val="bg-BG"/>
        </w:rPr>
        <w:lastRenderedPageBreak/>
        <w:t>Датчиците, предназначени за монтиране в изпускателните тръби на двигатели с вътрешно горене, могат да бъдат изложени на значително по-големи натоварвания. Това следва да се вземе под внимание по време на изпитванията.</w:t>
      </w:r>
    </w:p>
    <w:p w:rsidR="00A07DE6" w:rsidRPr="009072DA" w:rsidRDefault="00A07DE6" w:rsidP="00350277">
      <w:pPr>
        <w:pStyle w:val="ESch"/>
        <w:rPr>
          <w:lang w:val="bg-BG"/>
        </w:rPr>
      </w:pPr>
    </w:p>
    <w:p w:rsidR="00A07DE6" w:rsidRPr="009072DA" w:rsidRDefault="00A07DE6" w:rsidP="00A07DE6">
      <w:pPr>
        <w:spacing w:line="240" w:lineRule="atLeast"/>
        <w:ind w:left="567" w:hanging="567"/>
        <w:rPr>
          <w:lang w:val="bg-BG"/>
        </w:rPr>
      </w:pPr>
      <w:r w:rsidRPr="009072DA">
        <w:rPr>
          <w:lang w:val="bg-BG"/>
        </w:rPr>
        <w:t>4.</w:t>
      </w:r>
      <w:r w:rsidRPr="009072DA">
        <w:rPr>
          <w:lang w:val="bg-BG"/>
        </w:rPr>
        <w:tab/>
        <w:t>Изпитването за електромагнитна съвместимост се провежда въз основа на европейски стандарти EN 61000-4-2: 2009, EN 61000-4-3 : 2010, EN 61000</w:t>
      </w:r>
      <w:r w:rsidR="002B712C" w:rsidRPr="002B712C">
        <w:rPr>
          <w:lang w:val="bg-BG"/>
        </w:rPr>
        <w:t>-</w:t>
      </w:r>
      <w:r w:rsidRPr="009072DA">
        <w:rPr>
          <w:lang w:val="bg-BG"/>
        </w:rPr>
        <w:t>4</w:t>
      </w:r>
      <w:r w:rsidR="002B712C" w:rsidRPr="002B712C">
        <w:rPr>
          <w:lang w:val="bg-BG"/>
        </w:rPr>
        <w:t>-</w:t>
      </w:r>
      <w:r w:rsidRPr="009072DA">
        <w:rPr>
          <w:lang w:val="bg-BG"/>
        </w:rPr>
        <w:t>4 : 2012, при номер на степен на изпитване 3.</w:t>
      </w:r>
    </w:p>
    <w:p w:rsidR="00A07DE6" w:rsidRPr="009072DA" w:rsidRDefault="00A07DE6" w:rsidP="00A07DE6">
      <w:pPr>
        <w:spacing w:line="240" w:lineRule="atLeast"/>
        <w:ind w:left="992"/>
        <w:rPr>
          <w:lang w:val="bg-BG"/>
        </w:rPr>
      </w:pPr>
    </w:p>
    <w:p w:rsidR="00A07DE6" w:rsidRPr="009072DA" w:rsidRDefault="00A07DE6" w:rsidP="00A07DE6">
      <w:pPr>
        <w:spacing w:line="240" w:lineRule="atLeast"/>
        <w:ind w:left="567" w:hanging="567"/>
        <w:rPr>
          <w:lang w:val="bg-BG"/>
        </w:rPr>
      </w:pPr>
      <w:r w:rsidRPr="009072DA">
        <w:rPr>
          <w:lang w:val="bg-BG"/>
        </w:rPr>
        <w:t>5.</w:t>
      </w:r>
      <w:r w:rsidRPr="009072DA">
        <w:rPr>
          <w:lang w:val="bg-BG"/>
        </w:rPr>
        <w:tab/>
        <w:t>Доказателство, че електронното оборудване е подходящо за тези условия на изпитване, се предоставя от неговия производител. Удостоверение от призната класификационна организация също се смята за доказателство.</w:t>
      </w:r>
    </w:p>
    <w:p w:rsidR="00283317" w:rsidRPr="009072DA" w:rsidRDefault="00283317" w:rsidP="00283317">
      <w:pPr>
        <w:rPr>
          <w:rFonts w:cs="Arial"/>
          <w:szCs w:val="20"/>
          <w:lang w:val="bg-BG"/>
        </w:rPr>
      </w:pPr>
    </w:p>
    <w:p w:rsidR="00B04291" w:rsidRPr="009072DA" w:rsidRDefault="00B04291" w:rsidP="00AA5633">
      <w:pPr>
        <w:pStyle w:val="ESch"/>
        <w:rPr>
          <w:lang w:val="bg-BG"/>
        </w:rPr>
      </w:pPr>
      <w:bookmarkStart w:id="200" w:name="_Toc436115054"/>
    </w:p>
    <w:p w:rsidR="00E9735B" w:rsidRPr="009072DA" w:rsidRDefault="00E9735B">
      <w:pPr>
        <w:rPr>
          <w:lang w:val="bg-BG"/>
        </w:rPr>
      </w:pPr>
      <w:r w:rsidRPr="009072DA">
        <w:rPr>
          <w:lang w:val="bg-BG"/>
        </w:rPr>
        <w:br w:type="page"/>
      </w:r>
    </w:p>
    <w:p w:rsidR="00E9735B" w:rsidRPr="009072DA" w:rsidRDefault="00E9735B" w:rsidP="00AA5633">
      <w:pPr>
        <w:pStyle w:val="ESch"/>
        <w:rPr>
          <w:lang w:val="bg-BG"/>
        </w:rPr>
      </w:pPr>
    </w:p>
    <w:p w:rsidR="00B04291" w:rsidRPr="009072DA" w:rsidRDefault="00B04291" w:rsidP="00B04291">
      <w:pPr>
        <w:pStyle w:val="ES-Titre3"/>
        <w:rPr>
          <w:i/>
          <w:lang w:val="bg-BG"/>
        </w:rPr>
      </w:pPr>
      <w:bookmarkStart w:id="201" w:name="_Toc491854098"/>
      <w:bookmarkStart w:id="202" w:name="_Toc535827539"/>
      <w:r w:rsidRPr="009072DA">
        <w:rPr>
          <w:lang w:val="bg-BG"/>
        </w:rPr>
        <w:t>Член 10.21</w:t>
      </w:r>
      <w:r w:rsidRPr="009072DA">
        <w:rPr>
          <w:lang w:val="bg-BG"/>
        </w:rPr>
        <w:br/>
      </w:r>
      <w:r w:rsidRPr="009072DA">
        <w:rPr>
          <w:i/>
          <w:lang w:val="bg-BG"/>
        </w:rPr>
        <w:t>Електромагнитна съвместимост</w:t>
      </w:r>
      <w:bookmarkEnd w:id="200"/>
      <w:bookmarkEnd w:id="201"/>
      <w:bookmarkEnd w:id="202"/>
    </w:p>
    <w:p w:rsidR="00B04291" w:rsidRPr="009072DA" w:rsidRDefault="00B04291" w:rsidP="00B04291">
      <w:pPr>
        <w:pStyle w:val="ESch"/>
        <w:rPr>
          <w:lang w:val="bg-BG"/>
        </w:rPr>
      </w:pPr>
    </w:p>
    <w:p w:rsidR="00B04291" w:rsidRPr="009072DA" w:rsidRDefault="00B04291" w:rsidP="00B04291">
      <w:pPr>
        <w:pStyle w:val="ESgauche"/>
        <w:rPr>
          <w:noProof w:val="0"/>
          <w:lang w:val="bg-BG"/>
        </w:rPr>
      </w:pPr>
      <w:r w:rsidRPr="009072DA">
        <w:rPr>
          <w:noProof w:val="0"/>
          <w:lang w:val="bg-BG"/>
        </w:rPr>
        <w:t>Функционирането на електрическите и електронните съоръжения не трябва да се влияе от електромагнитни смущения. Общите мерки, които са с еднаква важност, обхващат:</w:t>
      </w:r>
    </w:p>
    <w:p w:rsidR="00B04291" w:rsidRPr="009072DA" w:rsidRDefault="00B04291" w:rsidP="00B04291">
      <w:pPr>
        <w:pStyle w:val="ESletgauche"/>
        <w:rPr>
          <w:lang w:val="bg-BG"/>
        </w:rPr>
      </w:pPr>
      <w:r w:rsidRPr="009072DA">
        <w:rPr>
          <w:lang w:val="bg-BG"/>
        </w:rPr>
        <w:t>a)</w:t>
      </w:r>
      <w:r w:rsidRPr="009072DA">
        <w:rPr>
          <w:lang w:val="bg-BG"/>
        </w:rPr>
        <w:tab/>
        <w:t>прекъсване на пътищата за разпространяване на смущенията между източника и засегнатото оборудване;</w:t>
      </w:r>
    </w:p>
    <w:p w:rsidR="00B04291" w:rsidRPr="009072DA" w:rsidRDefault="00B04291" w:rsidP="00B04291">
      <w:pPr>
        <w:pStyle w:val="ESletgauche"/>
        <w:rPr>
          <w:lang w:val="bg-BG"/>
        </w:rPr>
      </w:pPr>
      <w:r w:rsidRPr="009072DA">
        <w:rPr>
          <w:lang w:val="bg-BG"/>
        </w:rPr>
        <w:t>б)</w:t>
      </w:r>
      <w:r w:rsidRPr="009072DA">
        <w:rPr>
          <w:lang w:val="bg-BG"/>
        </w:rPr>
        <w:tab/>
        <w:t>намаляване на причините за смущения при източника им;</w:t>
      </w:r>
    </w:p>
    <w:p w:rsidR="00B04291" w:rsidRPr="009072DA" w:rsidRDefault="00B04291" w:rsidP="00B04291">
      <w:pPr>
        <w:pStyle w:val="ESletgauche"/>
        <w:rPr>
          <w:lang w:val="bg-BG"/>
        </w:rPr>
      </w:pPr>
      <w:r w:rsidRPr="009072DA">
        <w:rPr>
          <w:lang w:val="bg-BG"/>
        </w:rPr>
        <w:t>в)</w:t>
      </w:r>
      <w:r w:rsidRPr="009072DA">
        <w:rPr>
          <w:lang w:val="bg-BG"/>
        </w:rPr>
        <w:tab/>
        <w:t>намаляване на чувствителността на съответните устройства към смущения.</w:t>
      </w:r>
    </w:p>
    <w:p w:rsidR="00283317" w:rsidRPr="009072DA" w:rsidRDefault="00283317" w:rsidP="00283317">
      <w:pPr>
        <w:rPr>
          <w:rFonts w:cs="Arial"/>
          <w:szCs w:val="20"/>
          <w:lang w:val="bg-BG"/>
        </w:rPr>
      </w:pPr>
    </w:p>
    <w:p w:rsidR="00350277" w:rsidRPr="009072DA" w:rsidRDefault="00350277">
      <w:pPr>
        <w:rPr>
          <w:rFonts w:cs="Arial"/>
          <w:szCs w:val="20"/>
          <w:lang w:val="bg-BG"/>
        </w:rPr>
      </w:pPr>
    </w:p>
    <w:p w:rsidR="00E9735B" w:rsidRPr="009072DA" w:rsidRDefault="00E9735B">
      <w:pPr>
        <w:rPr>
          <w:rFonts w:cs="Arial"/>
          <w:szCs w:val="20"/>
          <w:lang w:val="bg-BG"/>
        </w:rPr>
      </w:pPr>
      <w:r w:rsidRPr="009072DA">
        <w:rPr>
          <w:lang w:val="bg-BG"/>
        </w:rPr>
        <w:br w:type="page"/>
      </w:r>
    </w:p>
    <w:p w:rsidR="00350277" w:rsidRPr="009072DA" w:rsidRDefault="00350277" w:rsidP="00283317">
      <w:pPr>
        <w:rPr>
          <w:rFonts w:cs="Arial"/>
          <w:szCs w:val="20"/>
          <w:lang w:val="bg-BG"/>
        </w:rPr>
      </w:pPr>
    </w:p>
    <w:p w:rsidR="00E9735B" w:rsidRPr="009072DA" w:rsidRDefault="00E9735B" w:rsidP="00283317">
      <w:pPr>
        <w:rPr>
          <w:rFonts w:cs="Arial"/>
          <w:szCs w:val="20"/>
          <w:lang w:val="bg-BG"/>
        </w:rPr>
      </w:pPr>
    </w:p>
    <w:p w:rsidR="00350277" w:rsidRPr="009072DA" w:rsidRDefault="00350277" w:rsidP="00283317">
      <w:pPr>
        <w:rPr>
          <w:rFonts w:cs="Arial"/>
          <w:szCs w:val="20"/>
          <w:lang w:val="bg-BG"/>
        </w:rPr>
      </w:pPr>
    </w:p>
    <w:p w:rsidR="00F6371D" w:rsidRPr="009072DA" w:rsidRDefault="00F06174" w:rsidP="00F6371D">
      <w:pPr>
        <w:pStyle w:val="ES-Titre2"/>
      </w:pPr>
      <w:bookmarkStart w:id="203" w:name="_Toc491854099"/>
      <w:bookmarkStart w:id="204" w:name="_Toc535827540"/>
      <w:r w:rsidRPr="009072DA">
        <w:lastRenderedPageBreak/>
        <w:t>Глава 11</w:t>
      </w:r>
      <w:r w:rsidRPr="009072DA">
        <w:br/>
        <w:t>Електрически задвижващи системи</w:t>
      </w:r>
      <w:bookmarkEnd w:id="203"/>
      <w:bookmarkEnd w:id="204"/>
    </w:p>
    <w:p w:rsidR="009E1A19" w:rsidRPr="009072DA" w:rsidRDefault="009E1A19" w:rsidP="009E1A19">
      <w:pPr>
        <w:rPr>
          <w:lang w:val="bg-BG"/>
        </w:rPr>
      </w:pPr>
    </w:p>
    <w:p w:rsidR="009E1A19" w:rsidRPr="009072DA" w:rsidRDefault="009E1A19" w:rsidP="009E1A19">
      <w:pPr>
        <w:jc w:val="center"/>
        <w:rPr>
          <w:lang w:val="bg-BG"/>
        </w:rPr>
      </w:pPr>
      <w:r w:rsidRPr="009072DA">
        <w:rPr>
          <w:lang w:val="bg-BG"/>
        </w:rPr>
        <w:t>(оставено непопълнено)</w:t>
      </w:r>
    </w:p>
    <w:p w:rsidR="00283317" w:rsidRPr="009072DA" w:rsidRDefault="00283317" w:rsidP="009E1A19">
      <w:pPr>
        <w:jc w:val="center"/>
        <w:rPr>
          <w:lang w:val="bg-BG"/>
        </w:rPr>
      </w:pPr>
    </w:p>
    <w:p w:rsidR="00283317" w:rsidRPr="009072DA" w:rsidRDefault="00283317" w:rsidP="009E1A19">
      <w:pPr>
        <w:jc w:val="center"/>
        <w:rPr>
          <w:lang w:val="bg-BG"/>
        </w:rPr>
      </w:pPr>
    </w:p>
    <w:p w:rsidR="0093091E" w:rsidRPr="009072DA" w:rsidRDefault="000222E9" w:rsidP="009E1A19">
      <w:pPr>
        <w:jc w:val="center"/>
        <w:rPr>
          <w:lang w:val="bg-BG"/>
        </w:rPr>
      </w:pPr>
      <w:r w:rsidRPr="009072DA">
        <w:rPr>
          <w:lang w:val="bg-BG"/>
        </w:rPr>
        <w:br w:type="page"/>
      </w:r>
    </w:p>
    <w:p w:rsidR="00283317" w:rsidRPr="009072DA" w:rsidRDefault="00283317" w:rsidP="009E1A19">
      <w:pPr>
        <w:jc w:val="center"/>
        <w:rPr>
          <w:lang w:val="bg-BG"/>
        </w:rPr>
      </w:pPr>
    </w:p>
    <w:p w:rsidR="00283317" w:rsidRPr="009072DA" w:rsidRDefault="00283317" w:rsidP="009E1A19">
      <w:pPr>
        <w:jc w:val="center"/>
        <w:rPr>
          <w:lang w:val="bg-BG"/>
        </w:rPr>
      </w:pPr>
    </w:p>
    <w:p w:rsidR="00F6371D" w:rsidRPr="009072DA" w:rsidRDefault="00F06174" w:rsidP="00F6371D">
      <w:pPr>
        <w:pStyle w:val="ES-Titre2"/>
      </w:pPr>
      <w:bookmarkStart w:id="205" w:name="_Toc491854100"/>
      <w:bookmarkStart w:id="206" w:name="_Toc535827541"/>
      <w:r w:rsidRPr="009072DA">
        <w:lastRenderedPageBreak/>
        <w:t>Глава 12</w:t>
      </w:r>
      <w:r w:rsidRPr="009072DA">
        <w:br/>
        <w:t>Електронно оборудване и системи</w:t>
      </w:r>
      <w:bookmarkEnd w:id="205"/>
      <w:bookmarkEnd w:id="206"/>
    </w:p>
    <w:p w:rsidR="009E1A19" w:rsidRPr="009072DA" w:rsidRDefault="009E1A19" w:rsidP="009E1A19">
      <w:pPr>
        <w:jc w:val="center"/>
        <w:rPr>
          <w:lang w:val="bg-BG"/>
        </w:rPr>
      </w:pPr>
    </w:p>
    <w:p w:rsidR="009E1A19" w:rsidRPr="009072DA" w:rsidRDefault="009E1A19" w:rsidP="009E1A19">
      <w:pPr>
        <w:jc w:val="center"/>
        <w:rPr>
          <w:lang w:val="bg-BG"/>
        </w:rPr>
      </w:pPr>
      <w:r w:rsidRPr="009072DA">
        <w:rPr>
          <w:lang w:val="bg-BG"/>
        </w:rPr>
        <w:t>(оставено непопълнено)</w:t>
      </w:r>
    </w:p>
    <w:p w:rsidR="00283317" w:rsidRPr="009072DA" w:rsidRDefault="00283317" w:rsidP="009E1A19">
      <w:pPr>
        <w:jc w:val="center"/>
        <w:rPr>
          <w:lang w:val="bg-BG"/>
        </w:rPr>
      </w:pPr>
    </w:p>
    <w:p w:rsidR="00283317" w:rsidRPr="009072DA" w:rsidRDefault="00283317" w:rsidP="009E1A19">
      <w:pPr>
        <w:jc w:val="center"/>
        <w:rPr>
          <w:lang w:val="bg-BG"/>
        </w:rPr>
      </w:pPr>
    </w:p>
    <w:p w:rsidR="000222E9" w:rsidRPr="009072DA" w:rsidRDefault="000222E9" w:rsidP="009E1A19">
      <w:pPr>
        <w:jc w:val="center"/>
        <w:rPr>
          <w:lang w:val="bg-BG"/>
        </w:rPr>
      </w:pPr>
    </w:p>
    <w:p w:rsidR="000222E9" w:rsidRPr="009072DA" w:rsidRDefault="000222E9" w:rsidP="009E1A19">
      <w:pPr>
        <w:jc w:val="center"/>
        <w:rPr>
          <w:lang w:val="bg-BG"/>
        </w:rPr>
      </w:pPr>
      <w:r w:rsidRPr="009072DA">
        <w:rPr>
          <w:lang w:val="bg-BG"/>
        </w:rPr>
        <w:br w:type="page"/>
      </w:r>
    </w:p>
    <w:p w:rsidR="00283317" w:rsidRPr="009072DA" w:rsidRDefault="00283317" w:rsidP="009E1A19">
      <w:pPr>
        <w:jc w:val="center"/>
        <w:rPr>
          <w:lang w:val="bg-BG"/>
        </w:rPr>
      </w:pPr>
    </w:p>
    <w:p w:rsidR="00F6371D" w:rsidRPr="009072DA" w:rsidRDefault="00F06174" w:rsidP="00F6371D">
      <w:pPr>
        <w:pStyle w:val="ES-Titre2"/>
      </w:pPr>
      <w:bookmarkStart w:id="207" w:name="_Toc491854101"/>
      <w:bookmarkStart w:id="208" w:name="_Toc535827542"/>
      <w:r w:rsidRPr="009072DA">
        <w:lastRenderedPageBreak/>
        <w:t>Глава 13</w:t>
      </w:r>
      <w:r w:rsidRPr="009072DA">
        <w:br/>
        <w:t>Оборудване</w:t>
      </w:r>
      <w:bookmarkEnd w:id="207"/>
      <w:bookmarkEnd w:id="208"/>
    </w:p>
    <w:p w:rsidR="00E65F26" w:rsidRPr="009072DA" w:rsidRDefault="00E65F26" w:rsidP="00E65F26">
      <w:pPr>
        <w:pStyle w:val="ESch"/>
        <w:rPr>
          <w:lang w:val="bg-BG"/>
        </w:rPr>
      </w:pPr>
    </w:p>
    <w:p w:rsidR="00E65F26" w:rsidRPr="009072DA" w:rsidRDefault="00E65F26" w:rsidP="00E65F26">
      <w:pPr>
        <w:pStyle w:val="ES-Titre3"/>
        <w:rPr>
          <w:i/>
          <w:lang w:val="bg-BG"/>
        </w:rPr>
      </w:pPr>
      <w:bookmarkStart w:id="209" w:name="_Toc491854102"/>
      <w:bookmarkStart w:id="210" w:name="_Toc535827543"/>
      <w:r w:rsidRPr="009072DA">
        <w:rPr>
          <w:lang w:val="bg-BG"/>
        </w:rPr>
        <w:t>Член 13.01</w:t>
      </w:r>
      <w:r w:rsidRPr="009072DA">
        <w:rPr>
          <w:lang w:val="bg-BG"/>
        </w:rPr>
        <w:br/>
      </w:r>
      <w:r w:rsidRPr="009072DA">
        <w:rPr>
          <w:i/>
          <w:lang w:val="bg-BG"/>
        </w:rPr>
        <w:t>Котвено оборудване</w:t>
      </w:r>
      <w:bookmarkEnd w:id="209"/>
      <w:bookmarkEnd w:id="210"/>
    </w:p>
    <w:p w:rsidR="00312E1A" w:rsidRPr="009072DA" w:rsidRDefault="00312E1A" w:rsidP="00E65F26">
      <w:pPr>
        <w:pStyle w:val="ESch"/>
        <w:rPr>
          <w:lang w:val="bg-BG"/>
        </w:rPr>
      </w:pPr>
    </w:p>
    <w:p w:rsidR="00E65F26" w:rsidRPr="009072DA" w:rsidRDefault="00E65F26" w:rsidP="00E65F26">
      <w:pPr>
        <w:pStyle w:val="ESch"/>
        <w:rPr>
          <w:lang w:val="bg-BG"/>
        </w:rPr>
      </w:pPr>
      <w:r w:rsidRPr="009072DA">
        <w:rPr>
          <w:lang w:val="bg-BG"/>
        </w:rPr>
        <w:t>1.</w:t>
      </w:r>
      <w:r w:rsidRPr="009072DA">
        <w:rPr>
          <w:lang w:val="bg-BG"/>
        </w:rPr>
        <w:tab/>
        <w:t xml:space="preserve">Плавателните съдове, предназначени за превоз на товари, с изключение на корабните бордови лихтери, чиято дължина </w:t>
      </w:r>
      <m:oMath>
        <m:r>
          <w:rPr>
            <w:rFonts w:ascii="Cambria Math" w:hAnsi="Cambria Math"/>
            <w:lang w:val="bg-BG"/>
          </w:rPr>
          <m:t>L</m:t>
        </m:r>
      </m:oMath>
      <w:r w:rsidRPr="009072DA">
        <w:rPr>
          <w:lang w:val="bg-BG"/>
        </w:rPr>
        <w:t xml:space="preserve"> не превишава 40 m, трябва да бъдат оборудвани с носови котви, чиято обща маса </w:t>
      </w:r>
      <m:oMath>
        <m:r>
          <w:rPr>
            <w:rFonts w:ascii="Cambria Math" w:hAnsi="Cambria Math"/>
            <w:lang w:val="bg-BG"/>
          </w:rPr>
          <m:t>P</m:t>
        </m:r>
      </m:oMath>
      <w:r w:rsidRPr="009072DA">
        <w:rPr>
          <w:lang w:val="bg-BG"/>
        </w:rPr>
        <w:t xml:space="preserve"> се изчислява по следната формула:</w:t>
      </w:r>
    </w:p>
    <w:p w:rsidR="00754A0C" w:rsidRPr="009072DA" w:rsidRDefault="00754A0C" w:rsidP="00E65F26">
      <w:pPr>
        <w:pStyle w:val="ESch"/>
        <w:rPr>
          <w:lang w:val="bg-BG"/>
        </w:rPr>
      </w:pPr>
    </w:p>
    <w:p w:rsidR="00754A0C" w:rsidRPr="009072DA" w:rsidRDefault="00754A0C" w:rsidP="00AD0020">
      <w:pPr>
        <w:pStyle w:val="ESch"/>
        <w:ind w:left="0" w:firstLine="0"/>
        <w:jc w:val="center"/>
        <w:rPr>
          <w:lang w:val="bg-BG"/>
        </w:rPr>
      </w:pPr>
      <m:oMathPara>
        <m:oMath>
          <m:r>
            <w:rPr>
              <w:rFonts w:ascii="Cambria Math" w:hAnsi="Cambria Math"/>
              <w:lang w:val="bg-BG"/>
            </w:rPr>
            <m:t>P=k ∙B ∙T [kg]</m:t>
          </m:r>
        </m:oMath>
      </m:oMathPara>
    </w:p>
    <w:p w:rsidR="00E65F26" w:rsidRPr="009072DA" w:rsidRDefault="00E65F26" w:rsidP="00E65F26">
      <w:pPr>
        <w:pStyle w:val="ESch"/>
        <w:rPr>
          <w:lang w:val="bg-BG"/>
        </w:rPr>
      </w:pPr>
    </w:p>
    <w:p w:rsidR="00E65F26" w:rsidRPr="009072DA" w:rsidRDefault="00E65F26" w:rsidP="00E65F26">
      <w:pPr>
        <w:pStyle w:val="ESchpar"/>
        <w:rPr>
          <w:lang w:val="bg-BG"/>
        </w:rPr>
      </w:pPr>
      <w:r w:rsidRPr="009072DA">
        <w:rPr>
          <w:lang w:val="bg-BG"/>
        </w:rPr>
        <w:t>където</w:t>
      </w:r>
    </w:p>
    <w:p w:rsidR="00E65F26" w:rsidRPr="009072DA" w:rsidRDefault="00754A0C" w:rsidP="00E65F26">
      <w:pPr>
        <w:pStyle w:val="ESlet"/>
        <w:rPr>
          <w:lang w:val="bg-BG"/>
        </w:rPr>
      </w:pPr>
      <m:oMath>
        <m:r>
          <w:rPr>
            <w:rFonts w:ascii="Cambria Math" w:hAnsi="Cambria Math"/>
            <w:lang w:val="bg-BG"/>
          </w:rPr>
          <m:t>k</m:t>
        </m:r>
      </m:oMath>
      <w:r w:rsidRPr="009072DA">
        <w:rPr>
          <w:lang w:val="bg-BG"/>
        </w:rPr>
        <w:tab/>
        <w:t xml:space="preserve">е коефициент, който отчита връзката между дължината </w:t>
      </w:r>
      <m:oMath>
        <m:r>
          <w:rPr>
            <w:rFonts w:ascii="Cambria Math" w:hAnsi="Cambria Math"/>
            <w:lang w:val="bg-BG"/>
          </w:rPr>
          <m:t>L</m:t>
        </m:r>
      </m:oMath>
      <w:r w:rsidRPr="009072DA">
        <w:rPr>
          <w:lang w:val="bg-BG"/>
        </w:rPr>
        <w:t>, широчината</w:t>
      </w:r>
      <m:oMath>
        <m:r>
          <w:rPr>
            <w:rFonts w:ascii="Cambria Math" w:hAnsi="Cambria Math"/>
            <w:lang w:val="bg-BG"/>
          </w:rPr>
          <m:t xml:space="preserve"> B</m:t>
        </m:r>
      </m:oMath>
      <w:r w:rsidRPr="009072DA">
        <w:rPr>
          <w:lang w:val="bg-BG"/>
        </w:rPr>
        <w:t xml:space="preserve"> и вида на плавателния съд:</w:t>
      </w:r>
    </w:p>
    <w:p w:rsidR="00AD0020" w:rsidRPr="009072DA" w:rsidRDefault="001C4EBE" w:rsidP="00AD0020">
      <w:pPr>
        <w:pStyle w:val="ESlet"/>
        <w:ind w:left="0"/>
        <w:jc w:val="center"/>
        <w:rPr>
          <w:lang w:val="bg-BG"/>
        </w:rPr>
      </w:pPr>
      <m:oMathPara>
        <m:oMath>
          <m:r>
            <w:rPr>
              <w:rFonts w:ascii="Cambria Math" w:hAnsi="Cambria Math"/>
              <w:lang w:val="bg-BG"/>
            </w:rPr>
            <m:t xml:space="preserve">k= c </m:t>
          </m:r>
          <m:rad>
            <m:radPr>
              <m:degHide m:val="1"/>
              <m:ctrlPr>
                <w:rPr>
                  <w:rFonts w:ascii="Cambria Math" w:hAnsi="Cambria Math"/>
                  <w:i/>
                  <w:lang w:val="bg-BG"/>
                </w:rPr>
              </m:ctrlPr>
            </m:radPr>
            <m:deg/>
            <m:e>
              <m:f>
                <m:fPr>
                  <m:ctrlPr>
                    <w:rPr>
                      <w:rFonts w:ascii="Cambria Math" w:hAnsi="Cambria Math"/>
                      <w:i/>
                      <w:lang w:val="bg-BG"/>
                    </w:rPr>
                  </m:ctrlPr>
                </m:fPr>
                <m:num>
                  <m:r>
                    <w:rPr>
                      <w:rFonts w:ascii="Cambria Math" w:hAnsi="Cambria Math"/>
                      <w:lang w:val="bg-BG"/>
                    </w:rPr>
                    <m:t>L</m:t>
                  </m:r>
                </m:num>
                <m:den>
                  <m:r>
                    <w:rPr>
                      <w:rFonts w:ascii="Cambria Math" w:hAnsi="Cambria Math"/>
                      <w:lang w:val="bg-BG"/>
                    </w:rPr>
                    <m:t>8 ∙B</m:t>
                  </m:r>
                </m:den>
              </m:f>
            </m:e>
          </m:rad>
        </m:oMath>
      </m:oMathPara>
    </w:p>
    <w:p w:rsidR="00E65F26" w:rsidRPr="009072DA" w:rsidRDefault="00E65F26" w:rsidP="00E65F26">
      <w:pPr>
        <w:pStyle w:val="ESch"/>
        <w:jc w:val="center"/>
        <w:rPr>
          <w:rStyle w:val="FootnoteReference"/>
          <w:rFonts w:cs="Arial"/>
          <w:sz w:val="18"/>
          <w:szCs w:val="18"/>
          <w:lang w:val="bg-BG"/>
        </w:rPr>
      </w:pPr>
    </w:p>
    <w:p w:rsidR="00E65F26" w:rsidRPr="009072DA" w:rsidRDefault="00E65F26" w:rsidP="00E65F26">
      <w:pPr>
        <w:pStyle w:val="ESletpar"/>
        <w:rPr>
          <w:lang w:val="bg-BG"/>
        </w:rPr>
      </w:pPr>
      <w:r w:rsidRPr="009072DA">
        <w:rPr>
          <w:lang w:val="bg-BG"/>
        </w:rPr>
        <w:t xml:space="preserve">за лихтери обаче се приема </w:t>
      </w:r>
      <m:oMath>
        <m:r>
          <w:rPr>
            <w:rFonts w:ascii="Cambria Math" w:hAnsi="Cambria Math"/>
            <w:lang w:val="bg-BG"/>
          </w:rPr>
          <m:t>k=c</m:t>
        </m:r>
      </m:oMath>
      <w:r w:rsidRPr="009072DA">
        <w:rPr>
          <w:lang w:val="bg-BG"/>
        </w:rPr>
        <w:t xml:space="preserve"> ;</w:t>
      </w:r>
    </w:p>
    <w:p w:rsidR="00E65F26" w:rsidRPr="009072DA" w:rsidRDefault="00754A0C" w:rsidP="00E65F26">
      <w:pPr>
        <w:pStyle w:val="ESlet"/>
        <w:rPr>
          <w:lang w:val="bg-BG"/>
        </w:rPr>
      </w:pPr>
      <m:oMath>
        <m:r>
          <w:rPr>
            <w:rFonts w:ascii="Cambria Math" w:hAnsi="Cambria Math"/>
            <w:lang w:val="bg-BG"/>
          </w:rPr>
          <m:t>c</m:t>
        </m:r>
      </m:oMath>
      <w:r w:rsidRPr="009072DA">
        <w:rPr>
          <w:lang w:val="bg-BG"/>
        </w:rPr>
        <w:tab/>
        <w:t>е емпиричен коефициент, даден в следната таблица:</w:t>
      </w:r>
    </w:p>
    <w:p w:rsidR="00E65F26" w:rsidRPr="009072DA" w:rsidRDefault="00E65F26" w:rsidP="00E65F26">
      <w:pPr>
        <w:pStyle w:val="ESchpar"/>
        <w:rPr>
          <w:lang w:val="bg-BG"/>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02"/>
        <w:gridCol w:w="3402"/>
      </w:tblGrid>
      <w:tr w:rsidR="00E65F26" w:rsidRPr="009072DA" w:rsidTr="0097624C">
        <w:trPr>
          <w:jc w:val="center"/>
        </w:trPr>
        <w:tc>
          <w:tcPr>
            <w:tcW w:w="3402" w:type="dxa"/>
            <w:shd w:val="clear" w:color="auto" w:fill="auto"/>
          </w:tcPr>
          <w:p w:rsidR="00E65F26" w:rsidRPr="009072DA" w:rsidRDefault="00E65F26" w:rsidP="00481A0E">
            <w:pPr>
              <w:pStyle w:val="ESch"/>
              <w:spacing w:before="60" w:after="60"/>
              <w:ind w:left="0" w:firstLine="0"/>
              <w:jc w:val="center"/>
              <w:rPr>
                <w:sz w:val="18"/>
                <w:lang w:val="bg-BG"/>
              </w:rPr>
            </w:pPr>
            <w:r w:rsidRPr="009072DA">
              <w:rPr>
                <w:sz w:val="18"/>
                <w:lang w:val="bg-BG"/>
              </w:rPr>
              <w:t>Пълна товароподемност [t]</w:t>
            </w:r>
          </w:p>
        </w:tc>
        <w:tc>
          <w:tcPr>
            <w:tcW w:w="3402" w:type="dxa"/>
            <w:shd w:val="clear" w:color="auto" w:fill="auto"/>
          </w:tcPr>
          <w:p w:rsidR="00E65F26" w:rsidRPr="009072DA" w:rsidRDefault="00E65F26" w:rsidP="0097624C">
            <w:pPr>
              <w:pStyle w:val="ESch"/>
              <w:spacing w:before="60" w:after="60"/>
              <w:ind w:left="0" w:firstLine="0"/>
              <w:jc w:val="center"/>
              <w:rPr>
                <w:sz w:val="18"/>
                <w:lang w:val="bg-BG"/>
              </w:rPr>
            </w:pPr>
            <w:r w:rsidRPr="009072DA">
              <w:rPr>
                <w:sz w:val="18"/>
                <w:lang w:val="bg-BG"/>
              </w:rPr>
              <w:t xml:space="preserve">Коефициент </w:t>
            </w:r>
            <m:oMath>
              <m:r>
                <w:rPr>
                  <w:rFonts w:ascii="Cambria Math" w:hAnsi="Cambria Math"/>
                  <w:lang w:val="bg-BG"/>
                </w:rPr>
                <m:t>c</m:t>
              </m:r>
            </m:oMath>
          </w:p>
        </w:tc>
      </w:tr>
      <w:tr w:rsidR="00E65F26" w:rsidRPr="009072DA" w:rsidTr="0097624C">
        <w:trPr>
          <w:jc w:val="center"/>
        </w:trPr>
        <w:tc>
          <w:tcPr>
            <w:tcW w:w="3402" w:type="dxa"/>
            <w:shd w:val="clear" w:color="auto" w:fill="auto"/>
          </w:tcPr>
          <w:p w:rsidR="00E65F26" w:rsidRPr="009072DA" w:rsidRDefault="00E65F26" w:rsidP="0097624C">
            <w:pPr>
              <w:pStyle w:val="ESch"/>
              <w:spacing w:before="60" w:after="60"/>
              <w:ind w:left="0" w:firstLine="0"/>
              <w:rPr>
                <w:sz w:val="18"/>
                <w:lang w:val="bg-BG"/>
              </w:rPr>
            </w:pPr>
            <w:r w:rsidRPr="009072DA">
              <w:rPr>
                <w:sz w:val="18"/>
                <w:lang w:val="bg-BG"/>
              </w:rPr>
              <w:t>до 400 включително</w:t>
            </w:r>
          </w:p>
        </w:tc>
        <w:tc>
          <w:tcPr>
            <w:tcW w:w="3402" w:type="dxa"/>
            <w:shd w:val="clear" w:color="auto" w:fill="auto"/>
          </w:tcPr>
          <w:p w:rsidR="00E65F26" w:rsidRPr="009072DA" w:rsidRDefault="00E65F26" w:rsidP="0097624C">
            <w:pPr>
              <w:pStyle w:val="ESch"/>
              <w:spacing w:before="60" w:after="60"/>
              <w:ind w:left="0" w:firstLine="0"/>
              <w:jc w:val="center"/>
              <w:rPr>
                <w:sz w:val="18"/>
                <w:lang w:val="bg-BG"/>
              </w:rPr>
            </w:pPr>
            <w:r w:rsidRPr="009072DA">
              <w:rPr>
                <w:sz w:val="18"/>
                <w:lang w:val="bg-BG"/>
              </w:rPr>
              <w:t>45</w:t>
            </w:r>
          </w:p>
        </w:tc>
      </w:tr>
      <w:tr w:rsidR="00E65F26" w:rsidRPr="009072DA" w:rsidTr="0097624C">
        <w:trPr>
          <w:jc w:val="center"/>
        </w:trPr>
        <w:tc>
          <w:tcPr>
            <w:tcW w:w="3402" w:type="dxa"/>
            <w:shd w:val="clear" w:color="auto" w:fill="auto"/>
          </w:tcPr>
          <w:p w:rsidR="00E65F26" w:rsidRPr="009072DA" w:rsidRDefault="00E65F26" w:rsidP="0097624C">
            <w:pPr>
              <w:pStyle w:val="ESch"/>
              <w:spacing w:before="60" w:after="60"/>
              <w:ind w:left="0" w:firstLine="0"/>
              <w:rPr>
                <w:sz w:val="18"/>
                <w:lang w:val="bg-BG"/>
              </w:rPr>
            </w:pPr>
            <w:r w:rsidRPr="009072DA">
              <w:rPr>
                <w:sz w:val="18"/>
                <w:lang w:val="bg-BG"/>
              </w:rPr>
              <w:t>от 400 до 650 включително</w:t>
            </w:r>
          </w:p>
        </w:tc>
        <w:tc>
          <w:tcPr>
            <w:tcW w:w="3402" w:type="dxa"/>
            <w:shd w:val="clear" w:color="auto" w:fill="auto"/>
          </w:tcPr>
          <w:p w:rsidR="00E65F26" w:rsidRPr="009072DA" w:rsidRDefault="00E65F26" w:rsidP="0097624C">
            <w:pPr>
              <w:pStyle w:val="ESch"/>
              <w:spacing w:before="60" w:after="60"/>
              <w:ind w:left="0" w:firstLine="0"/>
              <w:jc w:val="center"/>
              <w:rPr>
                <w:sz w:val="18"/>
                <w:lang w:val="bg-BG"/>
              </w:rPr>
            </w:pPr>
            <w:r w:rsidRPr="009072DA">
              <w:rPr>
                <w:sz w:val="18"/>
                <w:lang w:val="bg-BG"/>
              </w:rPr>
              <w:t>55</w:t>
            </w:r>
          </w:p>
        </w:tc>
      </w:tr>
      <w:tr w:rsidR="00E65F26" w:rsidRPr="009072DA" w:rsidTr="0097624C">
        <w:trPr>
          <w:jc w:val="center"/>
        </w:trPr>
        <w:tc>
          <w:tcPr>
            <w:tcW w:w="3402" w:type="dxa"/>
            <w:shd w:val="clear" w:color="auto" w:fill="auto"/>
          </w:tcPr>
          <w:p w:rsidR="00E65F26" w:rsidRPr="009072DA" w:rsidRDefault="00E65F26" w:rsidP="0097624C">
            <w:pPr>
              <w:pStyle w:val="ESch"/>
              <w:spacing w:before="60" w:after="60"/>
              <w:ind w:left="0" w:firstLine="0"/>
              <w:rPr>
                <w:sz w:val="18"/>
                <w:lang w:val="bg-BG"/>
              </w:rPr>
            </w:pPr>
            <w:r w:rsidRPr="009072DA">
              <w:rPr>
                <w:sz w:val="18"/>
                <w:lang w:val="bg-BG"/>
              </w:rPr>
              <w:t>от 650 до 1000 включително</w:t>
            </w:r>
          </w:p>
        </w:tc>
        <w:tc>
          <w:tcPr>
            <w:tcW w:w="3402" w:type="dxa"/>
            <w:shd w:val="clear" w:color="auto" w:fill="auto"/>
          </w:tcPr>
          <w:p w:rsidR="00E65F26" w:rsidRPr="009072DA" w:rsidRDefault="00E65F26" w:rsidP="0097624C">
            <w:pPr>
              <w:pStyle w:val="ESch"/>
              <w:spacing w:before="60" w:after="60"/>
              <w:ind w:left="0" w:firstLine="0"/>
              <w:jc w:val="center"/>
              <w:rPr>
                <w:sz w:val="18"/>
                <w:lang w:val="bg-BG"/>
              </w:rPr>
            </w:pPr>
            <w:r w:rsidRPr="009072DA">
              <w:rPr>
                <w:sz w:val="18"/>
                <w:lang w:val="bg-BG"/>
              </w:rPr>
              <w:t>65</w:t>
            </w:r>
          </w:p>
        </w:tc>
      </w:tr>
      <w:tr w:rsidR="00E65F26" w:rsidRPr="009072DA" w:rsidTr="0097624C">
        <w:trPr>
          <w:jc w:val="center"/>
        </w:trPr>
        <w:tc>
          <w:tcPr>
            <w:tcW w:w="3402" w:type="dxa"/>
            <w:shd w:val="clear" w:color="auto" w:fill="auto"/>
          </w:tcPr>
          <w:p w:rsidR="00E65F26" w:rsidRPr="009072DA" w:rsidRDefault="00E65F26" w:rsidP="0097624C">
            <w:pPr>
              <w:pStyle w:val="ESch"/>
              <w:spacing w:before="60" w:after="60"/>
              <w:ind w:left="0" w:firstLine="0"/>
              <w:rPr>
                <w:sz w:val="18"/>
                <w:lang w:val="bg-BG"/>
              </w:rPr>
            </w:pPr>
            <w:r w:rsidRPr="009072DA">
              <w:rPr>
                <w:sz w:val="18"/>
                <w:lang w:val="bg-BG"/>
              </w:rPr>
              <w:t>над 1000</w:t>
            </w:r>
          </w:p>
        </w:tc>
        <w:tc>
          <w:tcPr>
            <w:tcW w:w="3402" w:type="dxa"/>
            <w:shd w:val="clear" w:color="auto" w:fill="auto"/>
          </w:tcPr>
          <w:p w:rsidR="00E65F26" w:rsidRPr="009072DA" w:rsidRDefault="00E65F26" w:rsidP="0097624C">
            <w:pPr>
              <w:pStyle w:val="ESch"/>
              <w:spacing w:before="60" w:after="60"/>
              <w:ind w:left="0" w:firstLine="0"/>
              <w:jc w:val="center"/>
              <w:rPr>
                <w:sz w:val="18"/>
                <w:lang w:val="bg-BG"/>
              </w:rPr>
            </w:pPr>
            <w:r w:rsidRPr="009072DA">
              <w:rPr>
                <w:sz w:val="18"/>
                <w:lang w:val="bg-BG"/>
              </w:rPr>
              <w:t>70</w:t>
            </w:r>
          </w:p>
        </w:tc>
      </w:tr>
    </w:tbl>
    <w:p w:rsidR="00E65F26" w:rsidRPr="009072DA" w:rsidRDefault="00E65F26" w:rsidP="00E65F26">
      <w:pPr>
        <w:pStyle w:val="ESchpar"/>
        <w:rPr>
          <w:lang w:val="bg-BG"/>
        </w:rPr>
      </w:pPr>
    </w:p>
    <w:p w:rsidR="00E65F26" w:rsidRPr="009072DA" w:rsidRDefault="00E65F26" w:rsidP="00E65F26">
      <w:pPr>
        <w:pStyle w:val="ESchpar"/>
        <w:rPr>
          <w:lang w:val="bg-BG"/>
        </w:rPr>
      </w:pPr>
      <w:r w:rsidRPr="009072DA">
        <w:rPr>
          <w:lang w:val="bg-BG"/>
        </w:rPr>
        <w:t xml:space="preserve">При плавателни съдове, чиято пълна товароподемност не превишава 400 t и които предвид конструкцията и предназначението си се използват само по предварително определени кратки маршрути, контролният орган може да приеме за носовите котви да се изискват само 2/3 от общата маса </w:t>
      </w:r>
      <m:oMath>
        <m:r>
          <w:rPr>
            <w:rFonts w:ascii="Cambria Math" w:hAnsi="Cambria Math"/>
            <w:lang w:val="bg-BG"/>
          </w:rPr>
          <m:t>P</m:t>
        </m:r>
      </m:oMath>
      <w:r w:rsidRPr="009072DA">
        <w:rPr>
          <w:lang w:val="bg-BG"/>
        </w:rPr>
        <w:t>.</w:t>
      </w:r>
    </w:p>
    <w:p w:rsidR="00E65F26" w:rsidRPr="009072DA" w:rsidRDefault="00E65F26" w:rsidP="00E65F26">
      <w:pPr>
        <w:pStyle w:val="ESch"/>
        <w:rPr>
          <w:lang w:val="bg-BG"/>
        </w:rPr>
      </w:pPr>
    </w:p>
    <w:p w:rsidR="00E65F26" w:rsidRPr="009072DA" w:rsidRDefault="00E65F26" w:rsidP="00E65F26">
      <w:pPr>
        <w:pStyle w:val="ESlet"/>
        <w:tabs>
          <w:tab w:val="left" w:pos="567"/>
        </w:tabs>
        <w:ind w:hanging="992"/>
        <w:rPr>
          <w:lang w:val="bg-BG"/>
        </w:rPr>
      </w:pPr>
      <w:r w:rsidRPr="009072DA">
        <w:rPr>
          <w:lang w:val="bg-BG"/>
        </w:rPr>
        <w:t>2.</w:t>
      </w:r>
      <w:r w:rsidRPr="009072DA">
        <w:rPr>
          <w:lang w:val="bg-BG"/>
        </w:rPr>
        <w:tab/>
        <w:t>a)</w:t>
      </w:r>
      <w:r w:rsidRPr="009072DA">
        <w:rPr>
          <w:lang w:val="bg-BG"/>
        </w:rPr>
        <w:tab/>
        <w:t xml:space="preserve">Пътническите плавателни съдове и плавателните съдове, които не са предназначени за превоз на товари, с изключение на тласкачите, се оборудват с носови котви, чиято обща маса </w:t>
      </w:r>
      <m:oMath>
        <m:r>
          <w:rPr>
            <w:rFonts w:ascii="Cambria Math" w:hAnsi="Cambria Math"/>
            <w:lang w:val="bg-BG"/>
          </w:rPr>
          <m:t>P</m:t>
        </m:r>
      </m:oMath>
      <w:r w:rsidRPr="009072DA">
        <w:rPr>
          <w:lang w:val="bg-BG"/>
        </w:rPr>
        <w:t xml:space="preserve"> се изчислява по следната формула:</w:t>
      </w:r>
    </w:p>
    <w:p w:rsidR="00E65F26" w:rsidRPr="009072DA" w:rsidRDefault="00E65F26" w:rsidP="00E65F26">
      <w:pPr>
        <w:pStyle w:val="ESch"/>
        <w:rPr>
          <w:lang w:val="bg-BG"/>
        </w:rPr>
      </w:pPr>
    </w:p>
    <w:p w:rsidR="000E4A73" w:rsidRPr="009072DA" w:rsidRDefault="000E4A73" w:rsidP="000E4A73">
      <w:pPr>
        <w:pStyle w:val="ESch"/>
        <w:ind w:left="0" w:firstLine="0"/>
        <w:jc w:val="center"/>
        <w:rPr>
          <w:lang w:val="bg-BG"/>
        </w:rPr>
      </w:pPr>
      <m:oMathPara>
        <m:oMath>
          <m:r>
            <w:rPr>
              <w:rFonts w:ascii="Cambria Math" w:hAnsi="Cambria Math"/>
              <w:lang w:val="bg-BG"/>
            </w:rPr>
            <m:t>P=k ∙B ∙T [kg]</m:t>
          </m:r>
        </m:oMath>
      </m:oMathPara>
    </w:p>
    <w:p w:rsidR="000E4A73" w:rsidRPr="009072DA" w:rsidRDefault="000E4A73" w:rsidP="000E4A73">
      <w:pPr>
        <w:pStyle w:val="ESch"/>
        <w:jc w:val="center"/>
        <w:rPr>
          <w:lang w:val="bg-BG"/>
        </w:rPr>
      </w:pPr>
    </w:p>
    <w:p w:rsidR="00E65F26" w:rsidRPr="009072DA" w:rsidRDefault="005C7859" w:rsidP="00E65F26">
      <w:pPr>
        <w:pStyle w:val="ESlet"/>
        <w:rPr>
          <w:rFonts w:eastAsia="Calibri"/>
          <w:lang w:val="bg-BG"/>
        </w:rPr>
      </w:pPr>
      <w:r w:rsidRPr="009072DA">
        <w:rPr>
          <w:lang w:val="bg-BG"/>
        </w:rPr>
        <w:t>б)</w:t>
      </w:r>
      <w:r w:rsidRPr="009072DA">
        <w:rPr>
          <w:lang w:val="bg-BG"/>
        </w:rPr>
        <w:tab/>
        <w:t xml:space="preserve">Чрез дерогация от буква а) и предвид приложимите разпоредби на навигационните служби за някои области на корабоплаването в държавите членки, за пътнически плавателни съдове, за чиито носови котви общата маса </w:t>
      </w:r>
      <m:oMath>
        <m:r>
          <w:rPr>
            <w:rFonts w:ascii="Cambria Math" w:hAnsi="Cambria Math"/>
            <w:lang w:val="bg-BG"/>
          </w:rPr>
          <m:t>P</m:t>
        </m:r>
      </m:oMath>
      <w:r w:rsidRPr="009072DA">
        <w:rPr>
          <w:lang w:val="bg-BG"/>
        </w:rPr>
        <w:t xml:space="preserve"> е била получена чрез следната формула, в точка 52 на удостоверението на плавателния съд за плаване по вътрешни водни пътища се вписва, че общата маса на носовите котви отговаря на изискванията, установени в член 13.01, точка 2, буква б):</w:t>
      </w:r>
    </w:p>
    <w:p w:rsidR="003552BC" w:rsidRPr="009072DA" w:rsidRDefault="003552BC" w:rsidP="00E65F26">
      <w:pPr>
        <w:pStyle w:val="ESlet"/>
        <w:rPr>
          <w:sz w:val="18"/>
          <w:lang w:val="bg-BG"/>
        </w:rPr>
      </w:pPr>
    </w:p>
    <w:p w:rsidR="000E4A73" w:rsidRPr="009072DA" w:rsidRDefault="000E4A73" w:rsidP="00497A37">
      <w:pPr>
        <w:pStyle w:val="ESch"/>
        <w:spacing w:before="60"/>
        <w:ind w:left="0" w:firstLine="0"/>
        <w:jc w:val="center"/>
        <w:rPr>
          <w:lang w:val="bg-BG"/>
        </w:rPr>
      </w:pPr>
      <m:oMathPara>
        <m:oMath>
          <m:r>
            <w:rPr>
              <w:rFonts w:ascii="Cambria Math" w:hAnsi="Cambria Math"/>
              <w:lang w:val="bg-BG"/>
            </w:rPr>
            <m:t xml:space="preserve">P=k ∙B ∙T+4 </m:t>
          </m:r>
          <m:sSub>
            <m:sSubPr>
              <m:ctrlPr>
                <w:rPr>
                  <w:rFonts w:ascii="Cambria Math" w:hAnsi="Cambria Math"/>
                  <w:i/>
                  <w:lang w:val="bg-BG"/>
                </w:rPr>
              </m:ctrlPr>
            </m:sSubPr>
            <m:e>
              <m:r>
                <w:rPr>
                  <w:rFonts w:ascii="Cambria Math" w:hAnsi="Cambria Math"/>
                  <w:lang w:val="bg-BG"/>
                </w:rPr>
                <m:t>A</m:t>
              </m:r>
            </m:e>
            <m:sub>
              <m:r>
                <w:rPr>
                  <w:rFonts w:ascii="Cambria Math" w:hAnsi="Cambria Math"/>
                  <w:lang w:val="bg-BG"/>
                </w:rPr>
                <m:t>f</m:t>
              </m:r>
            </m:sub>
          </m:sSub>
          <m:r>
            <w:rPr>
              <w:rFonts w:ascii="Cambria Math" w:hAnsi="Cambria Math"/>
              <w:lang w:val="bg-BG"/>
            </w:rPr>
            <m:t xml:space="preserve"> [kg]</m:t>
          </m:r>
        </m:oMath>
      </m:oMathPara>
    </w:p>
    <w:p w:rsidR="000E4A73" w:rsidRPr="009072DA" w:rsidRDefault="000E4A73" w:rsidP="00E65F26">
      <w:pPr>
        <w:pStyle w:val="ESch"/>
        <w:rPr>
          <w:lang w:val="bg-BG"/>
        </w:rPr>
      </w:pPr>
    </w:p>
    <w:p w:rsidR="003552BC" w:rsidRPr="009072DA" w:rsidRDefault="003552BC">
      <w:pPr>
        <w:rPr>
          <w:lang w:val="bg-BG"/>
        </w:rPr>
      </w:pPr>
      <w:r w:rsidRPr="009072DA">
        <w:rPr>
          <w:lang w:val="bg-BG"/>
        </w:rPr>
        <w:br w:type="page"/>
      </w:r>
    </w:p>
    <w:p w:rsidR="003552BC" w:rsidRPr="009072DA" w:rsidRDefault="003552BC" w:rsidP="00E65F26">
      <w:pPr>
        <w:pStyle w:val="ESch"/>
        <w:rPr>
          <w:lang w:val="bg-BG"/>
        </w:rPr>
      </w:pPr>
    </w:p>
    <w:p w:rsidR="00E65F26" w:rsidRPr="009072DA" w:rsidRDefault="00E65F26" w:rsidP="00E65F26">
      <w:pPr>
        <w:pStyle w:val="ESchpar"/>
        <w:rPr>
          <w:lang w:val="bg-BG"/>
        </w:rPr>
      </w:pPr>
      <w:r w:rsidRPr="009072DA">
        <w:rPr>
          <w:lang w:val="bg-BG"/>
        </w:rPr>
        <w:t>където:</w:t>
      </w:r>
    </w:p>
    <w:p w:rsidR="00E65F26" w:rsidRPr="009072DA" w:rsidRDefault="000E4A73" w:rsidP="00E65F26">
      <w:pPr>
        <w:pStyle w:val="ESlet"/>
        <w:rPr>
          <w:rStyle w:val="FootnoteReference"/>
          <w:rFonts w:cs="Arial"/>
          <w:sz w:val="18"/>
          <w:szCs w:val="18"/>
          <w:lang w:val="bg-BG"/>
        </w:rPr>
      </w:pPr>
      <m:oMath>
        <m:r>
          <w:rPr>
            <w:rFonts w:ascii="Cambria Math" w:hAnsi="Cambria Math"/>
            <w:lang w:val="bg-BG"/>
          </w:rPr>
          <m:t>k</m:t>
        </m:r>
      </m:oMath>
      <w:r w:rsidRPr="009072DA">
        <w:rPr>
          <w:lang w:val="bg-BG"/>
        </w:rPr>
        <w:tab/>
        <w:t xml:space="preserve">е коефициентът, отговарящ на точка 1, при което обаче за определяне на стойността на емпиричния коефициент </w:t>
      </w:r>
      <m:oMath>
        <m:r>
          <w:rPr>
            <w:rFonts w:ascii="Cambria Math" w:hAnsi="Cambria Math"/>
            <w:lang w:val="bg-BG"/>
          </w:rPr>
          <m:t>c</m:t>
        </m:r>
      </m:oMath>
      <w:r w:rsidRPr="009072DA">
        <w:rPr>
          <w:lang w:val="bg-BG"/>
        </w:rPr>
        <w:t xml:space="preserve"> вместо пълната товароподемност се използва обемното водоизместване в m</w:t>
      </w:r>
      <w:r w:rsidRPr="009072DA">
        <w:rPr>
          <w:vertAlign w:val="superscript"/>
          <w:lang w:val="bg-BG"/>
        </w:rPr>
        <w:t>3</w:t>
      </w:r>
      <w:r w:rsidRPr="009072DA">
        <w:rPr>
          <w:lang w:val="bg-BG"/>
        </w:rPr>
        <w:t>, записано в удостоверението на плавателния съд за плаване по вътрешни водни пътища.</w:t>
      </w:r>
    </w:p>
    <w:p w:rsidR="00E65F26" w:rsidRPr="009072DA" w:rsidRDefault="002B712C" w:rsidP="00E65F26">
      <w:pPr>
        <w:pStyle w:val="ESlet"/>
        <w:rPr>
          <w:lang w:val="bg-BG"/>
        </w:rPr>
      </w:pPr>
      <m:oMath>
        <m:sSub>
          <m:sSubPr>
            <m:ctrlPr>
              <w:rPr>
                <w:rFonts w:ascii="Cambria Math" w:hAnsi="Cambria Math"/>
                <w:i/>
                <w:lang w:val="bg-BG"/>
              </w:rPr>
            </m:ctrlPr>
          </m:sSubPr>
          <m:e>
            <m:r>
              <w:rPr>
                <w:rFonts w:ascii="Cambria Math" w:hAnsi="Cambria Math"/>
                <w:lang w:val="bg-BG"/>
              </w:rPr>
              <m:t>A</m:t>
            </m:r>
          </m:e>
          <m:sub>
            <m:r>
              <w:rPr>
                <w:rFonts w:ascii="Cambria Math" w:hAnsi="Cambria Math"/>
                <w:lang w:val="bg-BG"/>
              </w:rPr>
              <m:t>f</m:t>
            </m:r>
          </m:sub>
        </m:sSub>
      </m:oMath>
      <w:r w:rsidR="007B1046" w:rsidRPr="009072DA">
        <w:rPr>
          <w:lang w:val="bg-BG"/>
        </w:rPr>
        <w:tab/>
        <w:t>е челната площ на проекцията на повърхността, изложена на вятъра в m</w:t>
      </w:r>
      <w:r w:rsidR="007B1046" w:rsidRPr="009072DA">
        <w:rPr>
          <w:position w:val="6"/>
          <w:sz w:val="12"/>
          <w:lang w:val="bg-BG"/>
        </w:rPr>
        <w:t>2</w:t>
      </w:r>
      <w:r w:rsidR="007B1046" w:rsidRPr="009072DA">
        <w:rPr>
          <w:lang w:val="bg-BG"/>
        </w:rPr>
        <w:t>.</w:t>
      </w:r>
    </w:p>
    <w:p w:rsidR="00E65F26" w:rsidRPr="009072DA" w:rsidRDefault="00E65F26" w:rsidP="00E65F26">
      <w:pPr>
        <w:pStyle w:val="ESch"/>
        <w:rPr>
          <w:lang w:val="bg-BG"/>
        </w:rPr>
      </w:pPr>
    </w:p>
    <w:p w:rsidR="00E65F26" w:rsidRPr="009072DA" w:rsidRDefault="00E65F26" w:rsidP="00E65F26">
      <w:pPr>
        <w:pStyle w:val="ESch"/>
        <w:rPr>
          <w:lang w:val="bg-BG"/>
        </w:rPr>
      </w:pPr>
      <w:r w:rsidRPr="009072DA">
        <w:rPr>
          <w:lang w:val="bg-BG"/>
        </w:rPr>
        <w:t>3.</w:t>
      </w:r>
      <w:r w:rsidRPr="009072DA">
        <w:rPr>
          <w:lang w:val="bg-BG"/>
        </w:rPr>
        <w:tab/>
        <w:t xml:space="preserve">Плавателните съдове, посочени в точка 1, чиято дължина </w:t>
      </w:r>
      <m:oMath>
        <m:r>
          <w:rPr>
            <w:rFonts w:ascii="Cambria Math" w:hAnsi="Cambria Math"/>
            <w:lang w:val="bg-BG"/>
          </w:rPr>
          <m:t>L</m:t>
        </m:r>
      </m:oMath>
      <w:r w:rsidRPr="009072DA">
        <w:rPr>
          <w:lang w:val="bg-BG"/>
        </w:rPr>
        <w:t xml:space="preserve"> не надвишава 86 m, трябва да бъдат оборудвани с кърмови котви, чиято обща маса е равна на 25 % от масата </w:t>
      </w:r>
      <m:oMath>
        <m:r>
          <w:rPr>
            <w:rFonts w:ascii="Cambria Math" w:hAnsi="Cambria Math"/>
            <w:lang w:val="bg-BG"/>
          </w:rPr>
          <m:t>P</m:t>
        </m:r>
      </m:oMath>
      <w:r w:rsidRPr="009072DA">
        <w:rPr>
          <w:lang w:val="bg-BG"/>
        </w:rPr>
        <w:t>.</w:t>
      </w:r>
    </w:p>
    <w:p w:rsidR="00E65F26" w:rsidRPr="009072DA" w:rsidRDefault="00E65F26" w:rsidP="00E65F26">
      <w:pPr>
        <w:pStyle w:val="ESch"/>
        <w:rPr>
          <w:lang w:val="bg-BG"/>
        </w:rPr>
      </w:pPr>
    </w:p>
    <w:p w:rsidR="00E65F26" w:rsidRPr="009072DA" w:rsidRDefault="00E65F26" w:rsidP="00E65F26">
      <w:pPr>
        <w:pStyle w:val="ESchpar"/>
        <w:rPr>
          <w:lang w:val="bg-BG"/>
        </w:rPr>
      </w:pPr>
      <w:r w:rsidRPr="009072DA">
        <w:rPr>
          <w:lang w:val="bg-BG"/>
        </w:rPr>
        <w:t xml:space="preserve">Плавателните съдове, чиято дължина </w:t>
      </w:r>
      <m:oMath>
        <m:r>
          <w:rPr>
            <w:rFonts w:ascii="Cambria Math" w:hAnsi="Cambria Math"/>
            <w:lang w:val="bg-BG"/>
          </w:rPr>
          <m:t>L</m:t>
        </m:r>
      </m:oMath>
      <w:r w:rsidRPr="009072DA">
        <w:rPr>
          <w:lang w:val="bg-BG"/>
        </w:rPr>
        <w:t xml:space="preserve"> е по-голяма от 86 m, трябва да бъдат оборудвани с кърмови котви, чиято обща маса е равна на 50 % от масата </w:t>
      </w:r>
      <m:oMath>
        <m:r>
          <w:rPr>
            <w:rFonts w:ascii="Cambria Math" w:hAnsi="Cambria Math"/>
            <w:lang w:val="bg-BG"/>
          </w:rPr>
          <m:t>P</m:t>
        </m:r>
      </m:oMath>
      <w:r w:rsidRPr="009072DA">
        <w:rPr>
          <w:lang w:val="bg-BG"/>
        </w:rPr>
        <w:t xml:space="preserve"> , изчислена в съответствие с точка 1 или точка 2.</w:t>
      </w:r>
    </w:p>
    <w:p w:rsidR="00E65F26" w:rsidRPr="009072DA" w:rsidRDefault="00E65F26" w:rsidP="00E65F26">
      <w:pPr>
        <w:pStyle w:val="ESchpar"/>
        <w:rPr>
          <w:lang w:val="bg-BG"/>
        </w:rPr>
      </w:pPr>
    </w:p>
    <w:p w:rsidR="00E65F26" w:rsidRPr="009072DA" w:rsidRDefault="00E65F26" w:rsidP="00E65F26">
      <w:pPr>
        <w:pStyle w:val="ESchpar"/>
        <w:rPr>
          <w:lang w:val="bg-BG"/>
        </w:rPr>
      </w:pPr>
      <w:r w:rsidRPr="009072DA">
        <w:rPr>
          <w:lang w:val="bg-BG"/>
        </w:rPr>
        <w:t>Кърмови котви не се изискват за:</w:t>
      </w:r>
    </w:p>
    <w:p w:rsidR="00E65F26" w:rsidRPr="009072DA" w:rsidRDefault="005C7859" w:rsidP="00E65F26">
      <w:pPr>
        <w:pStyle w:val="ESlet"/>
        <w:rPr>
          <w:lang w:val="bg-BG"/>
        </w:rPr>
      </w:pPr>
      <w:r w:rsidRPr="009072DA">
        <w:rPr>
          <w:lang w:val="bg-BG"/>
        </w:rPr>
        <w:t>a)</w:t>
      </w:r>
      <w:r w:rsidRPr="009072DA">
        <w:rPr>
          <w:lang w:val="bg-BG"/>
        </w:rPr>
        <w:tab/>
        <w:t>плавателни съдове, при които масата на кърмовата котва е по-малка от 150 kg; при плавателните съдове, посочени в точка 1, последна алинея, намалената маса на носовите котви трябва да бъде взета предвид;</w:t>
      </w:r>
    </w:p>
    <w:p w:rsidR="00E65F26" w:rsidRPr="009072DA" w:rsidRDefault="005C7859" w:rsidP="00E65F26">
      <w:pPr>
        <w:pStyle w:val="ESlet"/>
        <w:rPr>
          <w:lang w:val="bg-BG"/>
        </w:rPr>
      </w:pPr>
      <w:r w:rsidRPr="009072DA">
        <w:rPr>
          <w:lang w:val="bg-BG"/>
        </w:rPr>
        <w:t>б)</w:t>
      </w:r>
      <w:r w:rsidRPr="009072DA">
        <w:rPr>
          <w:lang w:val="bg-BG"/>
        </w:rPr>
        <w:tab/>
        <w:t>лихтери.</w:t>
      </w:r>
    </w:p>
    <w:p w:rsidR="00E65F26" w:rsidRPr="009072DA" w:rsidRDefault="00E65F26" w:rsidP="00E65F26">
      <w:pPr>
        <w:pStyle w:val="ESch"/>
        <w:rPr>
          <w:lang w:val="bg-BG"/>
        </w:rPr>
      </w:pPr>
    </w:p>
    <w:p w:rsidR="00E65F26" w:rsidRPr="009072DA" w:rsidRDefault="00E65F26" w:rsidP="00E65F26">
      <w:pPr>
        <w:pStyle w:val="ESch"/>
        <w:rPr>
          <w:lang w:val="bg-BG"/>
        </w:rPr>
      </w:pPr>
      <w:r w:rsidRPr="009072DA">
        <w:rPr>
          <w:lang w:val="bg-BG"/>
        </w:rPr>
        <w:t>4.</w:t>
      </w:r>
      <w:r w:rsidRPr="009072DA">
        <w:rPr>
          <w:lang w:val="bg-BG"/>
        </w:rPr>
        <w:tab/>
        <w:t xml:space="preserve">Плавателни съдове, предназначени за задвижване на твърдо свързани състави, чиято дължина не превишава 86 m, се оборудват с кърмови котви, чиято обща маса е равна на 25 % от максималната маса </w:t>
      </w:r>
      <m:oMath>
        <m:r>
          <w:rPr>
            <w:rFonts w:ascii="Cambria Math" w:hAnsi="Cambria Math"/>
            <w:lang w:val="bg-BG"/>
          </w:rPr>
          <m:t>P</m:t>
        </m:r>
      </m:oMath>
      <w:r w:rsidRPr="009072DA">
        <w:rPr>
          <w:lang w:val="bg-BG"/>
        </w:rPr>
        <w:t>, изчислена в съответствие с точка 1 за формированията (които се приемат за навигационна единица), одобрени и записани в удостоверението на плавателния съд за плаване по вътрешни водни пътища.</w:t>
      </w:r>
    </w:p>
    <w:p w:rsidR="00E65F26" w:rsidRPr="009072DA" w:rsidRDefault="00E65F26" w:rsidP="00E65F26">
      <w:pPr>
        <w:pStyle w:val="ESch"/>
        <w:rPr>
          <w:lang w:val="bg-BG"/>
        </w:rPr>
      </w:pPr>
    </w:p>
    <w:p w:rsidR="00E65F26" w:rsidRPr="009072DA" w:rsidRDefault="00E65F26" w:rsidP="00E65F26">
      <w:pPr>
        <w:pStyle w:val="ESchpar"/>
        <w:rPr>
          <w:lang w:val="bg-BG"/>
        </w:rPr>
      </w:pPr>
      <w:r w:rsidRPr="009072DA">
        <w:rPr>
          <w:lang w:val="bg-BG"/>
        </w:rPr>
        <w:t xml:space="preserve">Плавателните съдове, предназначени за задвижване надолу по течението на твърдо свързани състави, чиято дължина превишава 86 m, се оборудват с кърмови котви, чиято обща маса е равна на 50 % от максималната маса </w:t>
      </w:r>
      <m:oMath>
        <m:r>
          <w:rPr>
            <w:rFonts w:ascii="Cambria Math" w:hAnsi="Cambria Math"/>
            <w:lang w:val="bg-BG"/>
          </w:rPr>
          <m:t>P</m:t>
        </m:r>
      </m:oMath>
      <w:r w:rsidRPr="009072DA">
        <w:rPr>
          <w:lang w:val="bg-BG"/>
        </w:rPr>
        <w:t>, изчислена в съответствие с точка 1 за формированията (които се приемат за навигационна единица), одобрени и записани в удостоверението на плавателния съд за плаване по вътрешни водни пътища.</w:t>
      </w:r>
    </w:p>
    <w:p w:rsidR="00E65F26" w:rsidRPr="009072DA" w:rsidRDefault="00E65F26" w:rsidP="00E65F26">
      <w:pPr>
        <w:pStyle w:val="ESch"/>
        <w:rPr>
          <w:lang w:val="bg-BG"/>
        </w:rPr>
      </w:pPr>
    </w:p>
    <w:p w:rsidR="00E65F26" w:rsidRPr="009072DA" w:rsidRDefault="00E65F26" w:rsidP="00E65F26">
      <w:pPr>
        <w:pStyle w:val="ESch"/>
        <w:rPr>
          <w:lang w:val="bg-BG"/>
        </w:rPr>
      </w:pPr>
      <w:r w:rsidRPr="009072DA">
        <w:rPr>
          <w:lang w:val="bg-BG"/>
        </w:rPr>
        <w:t>5.</w:t>
      </w:r>
      <w:r w:rsidRPr="009072DA">
        <w:rPr>
          <w:lang w:val="bg-BG"/>
        </w:rPr>
        <w:tab/>
        <w:t>Масите на котвите, определени в съответствие с точки 1 — 4, могат да бъдат намалявани за някои специални котви.</w:t>
      </w:r>
    </w:p>
    <w:p w:rsidR="00E65F26" w:rsidRPr="009072DA" w:rsidRDefault="00E65F26" w:rsidP="00E65F26">
      <w:pPr>
        <w:pStyle w:val="ESch"/>
        <w:rPr>
          <w:lang w:val="bg-BG"/>
        </w:rPr>
      </w:pPr>
    </w:p>
    <w:p w:rsidR="00E65F26" w:rsidRPr="009072DA" w:rsidRDefault="00E65F26" w:rsidP="00E65F26">
      <w:pPr>
        <w:pStyle w:val="ESch"/>
        <w:rPr>
          <w:lang w:val="bg-BG"/>
        </w:rPr>
      </w:pPr>
      <w:r w:rsidRPr="009072DA">
        <w:rPr>
          <w:lang w:val="bg-BG"/>
        </w:rPr>
        <w:lastRenderedPageBreak/>
        <w:t>6.</w:t>
      </w:r>
      <w:r w:rsidRPr="009072DA">
        <w:rPr>
          <w:lang w:val="bg-BG"/>
        </w:rPr>
        <w:tab/>
        <w:t xml:space="preserve">Общата маса </w:t>
      </w:r>
      <m:oMath>
        <m:r>
          <w:rPr>
            <w:rFonts w:ascii="Cambria Math" w:hAnsi="Cambria Math"/>
            <w:lang w:val="bg-BG"/>
          </w:rPr>
          <m:t>P</m:t>
        </m:r>
      </m:oMath>
      <w:r w:rsidRPr="009072DA">
        <w:rPr>
          <w:lang w:val="bg-BG"/>
        </w:rPr>
        <w:t>, определена за носовите котви, може да се разпределя между една или две котви. Тя може да се намали с до 15 %, ако плавателният съд е оборудван само с една носова котва и клюзовата тръба е разположена в диаметралната равнина.</w:t>
      </w:r>
    </w:p>
    <w:p w:rsidR="00E65F26" w:rsidRPr="009072DA" w:rsidRDefault="00E65F26" w:rsidP="00E65F26">
      <w:pPr>
        <w:pStyle w:val="ESch"/>
        <w:rPr>
          <w:lang w:val="bg-BG"/>
        </w:rPr>
      </w:pPr>
    </w:p>
    <w:p w:rsidR="00E65F26" w:rsidRPr="009072DA" w:rsidRDefault="00E65F26" w:rsidP="00E65F26">
      <w:pPr>
        <w:pStyle w:val="ESchpar"/>
        <w:rPr>
          <w:lang w:val="bg-BG"/>
        </w:rPr>
      </w:pPr>
      <w:r w:rsidRPr="009072DA">
        <w:rPr>
          <w:lang w:val="bg-BG"/>
        </w:rPr>
        <w:t>Общата маса, изисквана за кърмовите котви за тласкачи и плавателни съдове, чиято максимална дължина превишава 86 m, може да бъде разпределена между една или две котви.</w:t>
      </w:r>
    </w:p>
    <w:p w:rsidR="00E65F26" w:rsidRPr="009072DA" w:rsidRDefault="00E65F26" w:rsidP="00E65F26">
      <w:pPr>
        <w:pStyle w:val="ESch"/>
        <w:rPr>
          <w:lang w:val="bg-BG"/>
        </w:rPr>
      </w:pPr>
    </w:p>
    <w:p w:rsidR="00E65F26" w:rsidRPr="009072DA" w:rsidRDefault="00E65F26" w:rsidP="00E65F26">
      <w:pPr>
        <w:pStyle w:val="ESchpar"/>
        <w:rPr>
          <w:lang w:val="bg-BG"/>
        </w:rPr>
      </w:pPr>
      <w:r w:rsidRPr="009072DA">
        <w:rPr>
          <w:lang w:val="bg-BG"/>
        </w:rPr>
        <w:t>Масата на най-леката котва не може да бъде по-малко от 45 % от тази обща маса.</w:t>
      </w:r>
    </w:p>
    <w:p w:rsidR="00E65F26" w:rsidRPr="009072DA" w:rsidRDefault="00E65F26" w:rsidP="00E65F26">
      <w:pPr>
        <w:pStyle w:val="ESch"/>
        <w:rPr>
          <w:lang w:val="bg-BG"/>
        </w:rPr>
      </w:pPr>
    </w:p>
    <w:p w:rsidR="00E65F26" w:rsidRPr="009072DA" w:rsidRDefault="00E65F26" w:rsidP="00E65F26">
      <w:pPr>
        <w:pStyle w:val="ESch"/>
        <w:rPr>
          <w:lang w:val="bg-BG"/>
        </w:rPr>
      </w:pPr>
      <w:r w:rsidRPr="009072DA">
        <w:rPr>
          <w:lang w:val="bg-BG"/>
        </w:rPr>
        <w:t>7.</w:t>
      </w:r>
      <w:r w:rsidRPr="009072DA">
        <w:rPr>
          <w:lang w:val="bg-BG"/>
        </w:rPr>
        <w:tab/>
        <w:t>Чугунени котви не са разрешени.</w:t>
      </w:r>
    </w:p>
    <w:p w:rsidR="00E65F26" w:rsidRPr="009072DA" w:rsidRDefault="00E65F26" w:rsidP="00E65F26">
      <w:pPr>
        <w:pStyle w:val="ESch"/>
        <w:rPr>
          <w:lang w:val="bg-BG"/>
        </w:rPr>
      </w:pPr>
    </w:p>
    <w:p w:rsidR="00E65F26" w:rsidRPr="009072DA" w:rsidRDefault="00E65F26" w:rsidP="00E65F26">
      <w:pPr>
        <w:pStyle w:val="ESch"/>
        <w:rPr>
          <w:lang w:val="bg-BG"/>
        </w:rPr>
      </w:pPr>
      <w:r w:rsidRPr="009072DA">
        <w:rPr>
          <w:lang w:val="bg-BG"/>
        </w:rPr>
        <w:t>8.</w:t>
      </w:r>
      <w:r w:rsidRPr="009072DA">
        <w:rPr>
          <w:lang w:val="bg-BG"/>
        </w:rPr>
        <w:tab/>
        <w:t>На котвите се посочва тяхната маса с цифри, които изпъкват релефно и са трайни.</w:t>
      </w:r>
    </w:p>
    <w:p w:rsidR="00E65F26" w:rsidRPr="009072DA" w:rsidRDefault="00E65F26" w:rsidP="00E65F26">
      <w:pPr>
        <w:pStyle w:val="ESch"/>
        <w:rPr>
          <w:lang w:val="bg-BG"/>
        </w:rPr>
      </w:pPr>
    </w:p>
    <w:p w:rsidR="00E65F26" w:rsidRPr="009072DA" w:rsidRDefault="00E65F26" w:rsidP="00E65F26">
      <w:pPr>
        <w:pStyle w:val="ESch"/>
        <w:rPr>
          <w:lang w:val="bg-BG"/>
        </w:rPr>
      </w:pPr>
      <w:r w:rsidRPr="009072DA">
        <w:rPr>
          <w:lang w:val="bg-BG"/>
        </w:rPr>
        <w:t>9.</w:t>
      </w:r>
      <w:r w:rsidRPr="009072DA">
        <w:rPr>
          <w:lang w:val="bg-BG"/>
        </w:rPr>
        <w:tab/>
        <w:t>Котви с маса над 50 kg трябва да бъдат оборудвани с брашпили.</w:t>
      </w:r>
    </w:p>
    <w:p w:rsidR="00E65F26" w:rsidRPr="009072DA" w:rsidRDefault="00E65F26" w:rsidP="00E65F26">
      <w:pPr>
        <w:pStyle w:val="ESch"/>
        <w:rPr>
          <w:lang w:val="bg-BG"/>
        </w:rPr>
      </w:pPr>
    </w:p>
    <w:p w:rsidR="00E65F26" w:rsidRPr="009072DA" w:rsidRDefault="00E65F26" w:rsidP="00E65F26">
      <w:pPr>
        <w:pStyle w:val="ESch"/>
        <w:rPr>
          <w:lang w:val="bg-BG"/>
        </w:rPr>
      </w:pPr>
      <w:r w:rsidRPr="009072DA">
        <w:rPr>
          <w:lang w:val="bg-BG"/>
        </w:rPr>
        <w:t>10.</w:t>
      </w:r>
      <w:r w:rsidRPr="009072DA">
        <w:rPr>
          <w:lang w:val="bg-BG"/>
        </w:rPr>
        <w:tab/>
        <w:t>Всяка носова котвена верига има минимална дължина от:</w:t>
      </w:r>
    </w:p>
    <w:p w:rsidR="00E65F26" w:rsidRPr="009072DA" w:rsidRDefault="005C7859" w:rsidP="00E65F26">
      <w:pPr>
        <w:pStyle w:val="ESlet"/>
        <w:rPr>
          <w:lang w:val="bg-BG"/>
        </w:rPr>
      </w:pPr>
      <w:r w:rsidRPr="009072DA">
        <w:rPr>
          <w:lang w:val="bg-BG"/>
        </w:rPr>
        <w:t>a)</w:t>
      </w:r>
      <w:r w:rsidRPr="009072DA">
        <w:rPr>
          <w:lang w:val="bg-BG"/>
        </w:rPr>
        <w:tab/>
        <w:t xml:space="preserve">40 m за плавателни съдове, чиято дължина </w:t>
      </w:r>
      <m:oMath>
        <m:r>
          <w:rPr>
            <w:rFonts w:ascii="Cambria Math" w:hAnsi="Cambria Math"/>
            <w:lang w:val="bg-BG"/>
          </w:rPr>
          <m:t>L</m:t>
        </m:r>
      </m:oMath>
      <w:r w:rsidRPr="009072DA">
        <w:rPr>
          <w:lang w:val="bg-BG"/>
        </w:rPr>
        <w:t xml:space="preserve"> не превишава 40 m;</w:t>
      </w:r>
    </w:p>
    <w:p w:rsidR="00E65F26" w:rsidRPr="009072DA" w:rsidRDefault="005C7859" w:rsidP="00E65F26">
      <w:pPr>
        <w:pStyle w:val="ESlet"/>
        <w:rPr>
          <w:lang w:val="bg-BG"/>
        </w:rPr>
      </w:pPr>
      <w:r w:rsidRPr="009072DA">
        <w:rPr>
          <w:lang w:val="bg-BG"/>
        </w:rPr>
        <w:t>б)</w:t>
      </w:r>
      <w:r w:rsidRPr="009072DA">
        <w:rPr>
          <w:lang w:val="bg-BG"/>
        </w:rPr>
        <w:tab/>
        <w:t xml:space="preserve">най-малко 10 m повече от дължината </w:t>
      </w:r>
      <m:oMath>
        <m:r>
          <w:rPr>
            <w:rFonts w:ascii="Cambria Math" w:hAnsi="Cambria Math"/>
            <w:lang w:val="bg-BG"/>
          </w:rPr>
          <m:t>L</m:t>
        </m:r>
      </m:oMath>
      <w:r w:rsidRPr="009072DA">
        <w:rPr>
          <w:lang w:val="bg-BG"/>
        </w:rPr>
        <w:t xml:space="preserve"> на плавателния съд, ако той е с дължина между 30 и 50 метра;</w:t>
      </w:r>
    </w:p>
    <w:p w:rsidR="00E65F26" w:rsidRPr="009072DA" w:rsidRDefault="005C7859" w:rsidP="00E65F26">
      <w:pPr>
        <w:pStyle w:val="ESlet"/>
        <w:rPr>
          <w:lang w:val="bg-BG"/>
        </w:rPr>
      </w:pPr>
      <w:r w:rsidRPr="009072DA">
        <w:rPr>
          <w:lang w:val="bg-BG"/>
        </w:rPr>
        <w:t>в)</w:t>
      </w:r>
      <w:r w:rsidRPr="009072DA">
        <w:rPr>
          <w:lang w:val="bg-BG"/>
        </w:rPr>
        <w:tab/>
        <w:t xml:space="preserve">60 m за плавателни съдове, чиято дължина </w:t>
      </w:r>
      <m:oMath>
        <m:r>
          <w:rPr>
            <w:rFonts w:ascii="Cambria Math" w:hAnsi="Cambria Math"/>
            <w:lang w:val="bg-BG"/>
          </w:rPr>
          <m:t>L</m:t>
        </m:r>
      </m:oMath>
      <w:r w:rsidRPr="009072DA">
        <w:rPr>
          <w:lang w:val="bg-BG"/>
        </w:rPr>
        <w:t xml:space="preserve"> превишава 50 m.</w:t>
      </w:r>
    </w:p>
    <w:p w:rsidR="00E65F26" w:rsidRPr="009072DA" w:rsidRDefault="00E65F26" w:rsidP="00E65F26">
      <w:pPr>
        <w:pStyle w:val="ESch"/>
        <w:rPr>
          <w:lang w:val="bg-BG"/>
        </w:rPr>
      </w:pPr>
    </w:p>
    <w:p w:rsidR="003552BC" w:rsidRPr="009072DA" w:rsidRDefault="003552BC">
      <w:pPr>
        <w:rPr>
          <w:lang w:val="bg-BG"/>
        </w:rPr>
      </w:pPr>
      <w:r w:rsidRPr="009072DA">
        <w:rPr>
          <w:lang w:val="bg-BG"/>
        </w:rPr>
        <w:br w:type="page"/>
      </w:r>
    </w:p>
    <w:p w:rsidR="00E65F26" w:rsidRPr="009072DA" w:rsidRDefault="00E65F26" w:rsidP="00E65F26">
      <w:pPr>
        <w:pStyle w:val="ESchpar"/>
        <w:rPr>
          <w:lang w:val="bg-BG"/>
        </w:rPr>
      </w:pPr>
      <w:r w:rsidRPr="009072DA">
        <w:rPr>
          <w:lang w:val="bg-BG"/>
        </w:rPr>
        <w:lastRenderedPageBreak/>
        <w:t>Всяка от веригите на кърмовите котви е с минимална дължина от 40 m. Когато обаче плавателните съдове трябва да спират с носа по течението, те трябва да бъдат оборудвани с вериги на кърмовите котви с минимална дължина от 60 m.</w:t>
      </w:r>
    </w:p>
    <w:p w:rsidR="00E65F26" w:rsidRPr="009072DA" w:rsidRDefault="00E65F26" w:rsidP="00E65F26">
      <w:pPr>
        <w:pStyle w:val="ESch"/>
        <w:rPr>
          <w:lang w:val="bg-BG"/>
        </w:rPr>
      </w:pPr>
    </w:p>
    <w:p w:rsidR="00E65F26" w:rsidRPr="009072DA" w:rsidRDefault="00E65F26" w:rsidP="00E65F26">
      <w:pPr>
        <w:pStyle w:val="ESch"/>
        <w:rPr>
          <w:lang w:val="bg-BG"/>
        </w:rPr>
      </w:pPr>
      <w:r w:rsidRPr="009072DA">
        <w:rPr>
          <w:lang w:val="bg-BG"/>
        </w:rPr>
        <w:t>11.</w:t>
      </w:r>
      <w:r w:rsidRPr="009072DA">
        <w:rPr>
          <w:lang w:val="bg-BG"/>
        </w:rPr>
        <w:tab/>
        <w:t xml:space="preserve">Минималното натоварване на скъсване </w:t>
      </w:r>
      <m:oMath>
        <m:r>
          <w:rPr>
            <w:rFonts w:ascii="Cambria Math" w:hAnsi="Cambria Math"/>
            <w:lang w:val="bg-BG"/>
          </w:rPr>
          <m:t>R</m:t>
        </m:r>
      </m:oMath>
      <w:r w:rsidRPr="009072DA">
        <w:rPr>
          <w:lang w:val="bg-BG"/>
        </w:rPr>
        <w:t xml:space="preserve"> на котвените вериги се изчислява по следните формули:</w:t>
      </w:r>
    </w:p>
    <w:p w:rsidR="00E65F26" w:rsidRPr="009072DA" w:rsidRDefault="005C7859" w:rsidP="00E65F26">
      <w:pPr>
        <w:pStyle w:val="ESlet"/>
        <w:rPr>
          <w:lang w:val="bg-BG"/>
        </w:rPr>
      </w:pPr>
      <w:r w:rsidRPr="009072DA">
        <w:rPr>
          <w:lang w:val="bg-BG"/>
        </w:rPr>
        <w:t>a)</w:t>
      </w:r>
      <w:r w:rsidRPr="009072DA">
        <w:rPr>
          <w:lang w:val="bg-BG"/>
        </w:rPr>
        <w:tab/>
        <w:t>за котви с маса до 500 kg:</w:t>
      </w:r>
    </w:p>
    <w:p w:rsidR="000E4A73" w:rsidRPr="009072DA" w:rsidRDefault="000E4A73" w:rsidP="00E65F26">
      <w:pPr>
        <w:pStyle w:val="ESlet"/>
        <w:rPr>
          <w:lang w:val="bg-BG"/>
        </w:rPr>
      </w:pPr>
    </w:p>
    <w:p w:rsidR="000E4A73" w:rsidRPr="009072DA" w:rsidRDefault="000E4A73" w:rsidP="000E4A73">
      <w:pPr>
        <w:pStyle w:val="ESlet"/>
        <w:ind w:left="0"/>
        <w:jc w:val="center"/>
        <w:rPr>
          <w:lang w:val="bg-BG"/>
        </w:rPr>
      </w:pPr>
      <m:oMathPara>
        <m:oMath>
          <m:r>
            <w:rPr>
              <w:rFonts w:ascii="Cambria Math" w:hAnsi="Cambria Math"/>
              <w:lang w:val="bg-BG"/>
            </w:rPr>
            <m:t>R=0,35 ∙</m:t>
          </m:r>
          <m:sSup>
            <m:sSupPr>
              <m:ctrlPr>
                <w:rPr>
                  <w:rFonts w:ascii="Cambria Math" w:hAnsi="Cambria Math"/>
                  <w:i/>
                  <w:lang w:val="bg-BG"/>
                </w:rPr>
              </m:ctrlPr>
            </m:sSupPr>
            <m:e>
              <m:r>
                <w:rPr>
                  <w:rFonts w:ascii="Cambria Math" w:hAnsi="Cambria Math"/>
                  <w:lang w:val="bg-BG"/>
                </w:rPr>
                <m:t>P</m:t>
              </m:r>
            </m:e>
            <m:sup>
              <m:r>
                <w:rPr>
                  <w:rFonts w:ascii="Cambria Math" w:hAnsi="Cambria Math"/>
                  <w:lang w:val="bg-BG"/>
                </w:rPr>
                <m:t>'</m:t>
              </m:r>
            </m:sup>
          </m:sSup>
          <m:r>
            <w:rPr>
              <w:rFonts w:ascii="Cambria Math" w:hAnsi="Cambria Math"/>
              <w:lang w:val="bg-BG"/>
            </w:rPr>
            <m:t>[kN]</m:t>
          </m:r>
        </m:oMath>
      </m:oMathPara>
    </w:p>
    <w:p w:rsidR="000E4A73" w:rsidRPr="009072DA" w:rsidRDefault="000E4A73" w:rsidP="00E65F26">
      <w:pPr>
        <w:pStyle w:val="ESlet"/>
        <w:rPr>
          <w:lang w:val="bg-BG"/>
        </w:rPr>
      </w:pPr>
    </w:p>
    <w:p w:rsidR="00E65F26" w:rsidRPr="009072DA" w:rsidRDefault="005C7859" w:rsidP="00E65F26">
      <w:pPr>
        <w:pStyle w:val="ESlet"/>
        <w:rPr>
          <w:lang w:val="bg-BG"/>
        </w:rPr>
      </w:pPr>
      <w:r w:rsidRPr="009072DA">
        <w:rPr>
          <w:lang w:val="bg-BG"/>
        </w:rPr>
        <w:t>б)</w:t>
      </w:r>
      <w:r w:rsidRPr="009072DA">
        <w:rPr>
          <w:lang w:val="bg-BG"/>
        </w:rPr>
        <w:tab/>
        <w:t>за котви с маса над 500 kg, но не повече от 2000 kg:</w:t>
      </w:r>
    </w:p>
    <w:p w:rsidR="003D2E2F" w:rsidRPr="009072DA" w:rsidRDefault="003D2E2F" w:rsidP="003D2E2F">
      <w:pPr>
        <w:pStyle w:val="ESgauche"/>
        <w:jc w:val="center"/>
        <w:rPr>
          <w:noProof w:val="0"/>
          <w:lang w:val="bg-BG"/>
        </w:rPr>
      </w:pPr>
    </w:p>
    <w:p w:rsidR="007F43E9" w:rsidRPr="009072DA" w:rsidRDefault="007F43E9" w:rsidP="007F43E9">
      <w:pPr>
        <w:pStyle w:val="ESlet"/>
        <w:ind w:left="0"/>
        <w:jc w:val="center"/>
        <w:rPr>
          <w:lang w:val="bg-BG"/>
        </w:rPr>
      </w:pPr>
      <m:oMathPara>
        <m:oMath>
          <m:r>
            <w:rPr>
              <w:rFonts w:ascii="Cambria Math" w:hAnsi="Cambria Math"/>
              <w:lang w:val="bg-BG"/>
            </w:rPr>
            <m:t>R=</m:t>
          </m:r>
          <m:d>
            <m:dPr>
              <m:ctrlPr>
                <w:rPr>
                  <w:rFonts w:ascii="Cambria Math" w:hAnsi="Cambria Math"/>
                  <w:i/>
                  <w:lang w:val="bg-BG"/>
                </w:rPr>
              </m:ctrlPr>
            </m:dPr>
            <m:e>
              <m:r>
                <w:rPr>
                  <w:rFonts w:ascii="Cambria Math" w:hAnsi="Cambria Math"/>
                  <w:lang w:val="bg-BG"/>
                </w:rPr>
                <m:t xml:space="preserve">0,35- </m:t>
              </m:r>
              <m:f>
                <m:fPr>
                  <m:ctrlPr>
                    <w:rPr>
                      <w:rFonts w:ascii="Cambria Math" w:hAnsi="Cambria Math"/>
                      <w:i/>
                      <w:lang w:val="bg-BG"/>
                    </w:rPr>
                  </m:ctrlPr>
                </m:fPr>
                <m:num>
                  <m:sSup>
                    <m:sSupPr>
                      <m:ctrlPr>
                        <w:rPr>
                          <w:rFonts w:ascii="Cambria Math" w:hAnsi="Cambria Math"/>
                          <w:i/>
                          <w:lang w:val="bg-BG"/>
                        </w:rPr>
                      </m:ctrlPr>
                    </m:sSupPr>
                    <m:e>
                      <m:r>
                        <w:rPr>
                          <w:rFonts w:ascii="Cambria Math" w:hAnsi="Cambria Math"/>
                          <w:lang w:val="bg-BG"/>
                        </w:rPr>
                        <m:t>P</m:t>
                      </m:r>
                    </m:e>
                    <m:sup>
                      <m:r>
                        <w:rPr>
                          <w:rFonts w:ascii="Cambria Math" w:hAnsi="Cambria Math"/>
                          <w:lang w:val="bg-BG"/>
                        </w:rPr>
                        <m:t>'</m:t>
                      </m:r>
                    </m:sup>
                  </m:sSup>
                  <m:r>
                    <w:rPr>
                      <w:rFonts w:ascii="Cambria Math" w:hAnsi="Cambria Math"/>
                      <w:lang w:val="bg-BG"/>
                    </w:rPr>
                    <m:t>-500</m:t>
                  </m:r>
                </m:num>
                <m:den>
                  <m:r>
                    <w:rPr>
                      <w:rFonts w:ascii="Cambria Math" w:hAnsi="Cambria Math"/>
                      <w:lang w:val="bg-BG"/>
                    </w:rPr>
                    <m:t>15000</m:t>
                  </m:r>
                </m:den>
              </m:f>
            </m:e>
          </m:d>
          <m:sSup>
            <m:sSupPr>
              <m:ctrlPr>
                <w:rPr>
                  <w:rFonts w:ascii="Cambria Math" w:hAnsi="Cambria Math"/>
                  <w:i/>
                  <w:lang w:val="bg-BG"/>
                </w:rPr>
              </m:ctrlPr>
            </m:sSupPr>
            <m:e>
              <m:r>
                <w:rPr>
                  <w:rFonts w:ascii="Cambria Math" w:hAnsi="Cambria Math"/>
                  <w:lang w:val="bg-BG"/>
                </w:rPr>
                <m:t>P</m:t>
              </m:r>
            </m:e>
            <m:sup>
              <m:r>
                <w:rPr>
                  <w:rFonts w:ascii="Cambria Math" w:hAnsi="Cambria Math"/>
                  <w:lang w:val="bg-BG"/>
                </w:rPr>
                <m:t>'</m:t>
              </m:r>
            </m:sup>
          </m:sSup>
          <m:r>
            <w:rPr>
              <w:rFonts w:ascii="Cambria Math" w:hAnsi="Cambria Math"/>
              <w:lang w:val="bg-BG"/>
            </w:rPr>
            <m:t xml:space="preserve"> [kN]</m:t>
          </m:r>
        </m:oMath>
      </m:oMathPara>
    </w:p>
    <w:p w:rsidR="007F43E9" w:rsidRPr="009072DA" w:rsidRDefault="007F43E9" w:rsidP="003D2E2F">
      <w:pPr>
        <w:pStyle w:val="ESgauche"/>
        <w:jc w:val="center"/>
        <w:rPr>
          <w:noProof w:val="0"/>
          <w:lang w:val="bg-BG"/>
        </w:rPr>
      </w:pPr>
    </w:p>
    <w:p w:rsidR="00E65F26" w:rsidRPr="009072DA" w:rsidRDefault="005C7859" w:rsidP="00E65F26">
      <w:pPr>
        <w:pStyle w:val="ESlet"/>
        <w:rPr>
          <w:lang w:val="bg-BG"/>
        </w:rPr>
      </w:pPr>
      <w:r w:rsidRPr="009072DA">
        <w:rPr>
          <w:lang w:val="bg-BG"/>
        </w:rPr>
        <w:t>в)</w:t>
      </w:r>
      <w:r w:rsidRPr="009072DA">
        <w:rPr>
          <w:lang w:val="bg-BG"/>
        </w:rPr>
        <w:tab/>
        <w:t>за котви с маса над 2000 kg:</w:t>
      </w:r>
    </w:p>
    <w:p w:rsidR="003D2E2F" w:rsidRPr="009072DA" w:rsidRDefault="003D2E2F" w:rsidP="003D2E2F">
      <w:pPr>
        <w:pStyle w:val="ESgauche"/>
        <w:jc w:val="center"/>
        <w:rPr>
          <w:noProof w:val="0"/>
          <w:lang w:val="bg-BG"/>
        </w:rPr>
      </w:pPr>
    </w:p>
    <w:p w:rsidR="007F43E9" w:rsidRPr="009072DA" w:rsidRDefault="007F43E9" w:rsidP="007F43E9">
      <w:pPr>
        <w:pStyle w:val="ESlet"/>
        <w:ind w:left="0"/>
        <w:jc w:val="center"/>
        <w:rPr>
          <w:lang w:val="bg-BG"/>
        </w:rPr>
      </w:pPr>
      <m:oMathPara>
        <m:oMath>
          <m:r>
            <w:rPr>
              <w:rFonts w:ascii="Cambria Math" w:hAnsi="Cambria Math"/>
              <w:lang w:val="bg-BG"/>
            </w:rPr>
            <m:t>R=0,25 ∙</m:t>
          </m:r>
          <m:sSup>
            <m:sSupPr>
              <m:ctrlPr>
                <w:rPr>
                  <w:rFonts w:ascii="Cambria Math" w:hAnsi="Cambria Math"/>
                  <w:i/>
                  <w:lang w:val="bg-BG"/>
                </w:rPr>
              </m:ctrlPr>
            </m:sSupPr>
            <m:e>
              <m:r>
                <w:rPr>
                  <w:rFonts w:ascii="Cambria Math" w:hAnsi="Cambria Math"/>
                  <w:lang w:val="bg-BG"/>
                </w:rPr>
                <m:t>P</m:t>
              </m:r>
            </m:e>
            <m:sup>
              <m:r>
                <w:rPr>
                  <w:rFonts w:ascii="Cambria Math" w:hAnsi="Cambria Math"/>
                  <w:lang w:val="bg-BG"/>
                </w:rPr>
                <m:t>'</m:t>
              </m:r>
            </m:sup>
          </m:sSup>
          <m:r>
            <w:rPr>
              <w:rFonts w:ascii="Cambria Math" w:hAnsi="Cambria Math"/>
              <w:lang w:val="bg-BG"/>
            </w:rPr>
            <m:t>[kN]</m:t>
          </m:r>
        </m:oMath>
      </m:oMathPara>
    </w:p>
    <w:p w:rsidR="007F43E9" w:rsidRPr="009072DA" w:rsidRDefault="007F43E9" w:rsidP="007F43E9">
      <w:pPr>
        <w:pStyle w:val="ESlet"/>
        <w:rPr>
          <w:lang w:val="bg-BG"/>
        </w:rPr>
      </w:pPr>
    </w:p>
    <w:p w:rsidR="00E65F26" w:rsidRPr="009072DA" w:rsidRDefault="00E65F26" w:rsidP="00E65F26">
      <w:pPr>
        <w:pStyle w:val="ESchpar"/>
        <w:rPr>
          <w:lang w:val="bg-BG"/>
        </w:rPr>
      </w:pPr>
      <w:r w:rsidRPr="009072DA">
        <w:rPr>
          <w:lang w:val="bg-BG"/>
        </w:rPr>
        <w:t>където</w:t>
      </w:r>
    </w:p>
    <w:p w:rsidR="00E65F26" w:rsidRPr="009072DA" w:rsidRDefault="000E4A73" w:rsidP="00C973E6">
      <w:pPr>
        <w:pStyle w:val="ESlet"/>
        <w:rPr>
          <w:rStyle w:val="FootnoteReference"/>
          <w:rFonts w:cs="Arial"/>
          <w:sz w:val="18"/>
          <w:szCs w:val="18"/>
          <w:lang w:val="bg-BG"/>
        </w:rPr>
      </w:pPr>
      <m:oMath>
        <m:r>
          <w:rPr>
            <w:rFonts w:ascii="Cambria Math" w:hAnsi="Cambria Math"/>
            <w:lang w:val="bg-BG"/>
          </w:rPr>
          <m:t>P'</m:t>
        </m:r>
      </m:oMath>
      <w:r w:rsidRPr="009072DA">
        <w:rPr>
          <w:lang w:val="bg-BG"/>
        </w:rPr>
        <w:t xml:space="preserve"> е теоретичната маса на всяка котва, определена в съответствие с точки 1 — 4 и 6.</w:t>
      </w:r>
    </w:p>
    <w:p w:rsidR="00E65F26" w:rsidRPr="009072DA" w:rsidRDefault="00E65F26" w:rsidP="009A25DA">
      <w:pPr>
        <w:pStyle w:val="ESchpar"/>
        <w:rPr>
          <w:lang w:val="bg-BG"/>
        </w:rPr>
      </w:pPr>
    </w:p>
    <w:p w:rsidR="00E65F26" w:rsidRPr="009072DA" w:rsidRDefault="00E65F26" w:rsidP="009A25DA">
      <w:pPr>
        <w:pStyle w:val="ESchpar"/>
        <w:rPr>
          <w:lang w:val="bg-BG"/>
        </w:rPr>
      </w:pPr>
      <w:r w:rsidRPr="009072DA">
        <w:rPr>
          <w:lang w:val="bg-BG"/>
        </w:rPr>
        <w:t>Натоварването на скъсване на котвените вериги се посочва съгласно стандарт, който е в сила в една от държавите членки.</w:t>
      </w:r>
    </w:p>
    <w:p w:rsidR="00E65F26" w:rsidRPr="009072DA" w:rsidRDefault="00E65F26" w:rsidP="00E65F26">
      <w:pPr>
        <w:pStyle w:val="ESch"/>
        <w:rPr>
          <w:lang w:val="bg-BG"/>
        </w:rPr>
      </w:pPr>
    </w:p>
    <w:p w:rsidR="00E65F26" w:rsidRPr="009072DA" w:rsidRDefault="00E65F26" w:rsidP="00E65F26">
      <w:pPr>
        <w:pStyle w:val="ESch"/>
        <w:rPr>
          <w:lang w:val="bg-BG"/>
        </w:rPr>
      </w:pPr>
      <w:r w:rsidRPr="009072DA">
        <w:rPr>
          <w:lang w:val="bg-BG"/>
        </w:rPr>
        <w:t>12.</w:t>
      </w:r>
      <w:r w:rsidRPr="009072DA">
        <w:rPr>
          <w:lang w:val="bg-BG"/>
        </w:rPr>
        <w:tab/>
        <w:t>Когато котви имат по-голяма маса, отколкото изискваната по точки 1 — 6, натоварването на скъсване на котвената верига се определя като функция от действителната маса на котвата.</w:t>
      </w:r>
    </w:p>
    <w:p w:rsidR="00E65F26" w:rsidRPr="009072DA" w:rsidRDefault="00E65F26" w:rsidP="00E65F26">
      <w:pPr>
        <w:pStyle w:val="ESch"/>
        <w:rPr>
          <w:lang w:val="bg-BG"/>
        </w:rPr>
      </w:pPr>
    </w:p>
    <w:p w:rsidR="00E65F26" w:rsidRPr="009072DA" w:rsidRDefault="00E65F26" w:rsidP="009A25DA">
      <w:pPr>
        <w:pStyle w:val="ESchpar"/>
        <w:rPr>
          <w:lang w:val="bg-BG"/>
        </w:rPr>
      </w:pPr>
      <w:r w:rsidRPr="009072DA">
        <w:rPr>
          <w:lang w:val="bg-BG"/>
        </w:rPr>
        <w:t>В случаите, когато по-тежки котви със съответно по-здрави котвени вериги са на борда, само минималните стойности на масата и минималното изисквано натоварване на скъсване съгласно точки 1 — 6 и 11 се вписват в удостоверението на плавателния съд за плаване по вътрешни водни пътища.</w:t>
      </w:r>
    </w:p>
    <w:p w:rsidR="00E65F26" w:rsidRPr="009072DA" w:rsidRDefault="00E65F26" w:rsidP="00E65F26">
      <w:pPr>
        <w:pStyle w:val="ESch"/>
        <w:rPr>
          <w:lang w:val="bg-BG"/>
        </w:rPr>
      </w:pPr>
    </w:p>
    <w:p w:rsidR="00E65F26" w:rsidRPr="009072DA" w:rsidRDefault="00E65F26" w:rsidP="00E65F26">
      <w:pPr>
        <w:pStyle w:val="ESch"/>
        <w:rPr>
          <w:lang w:val="bg-BG"/>
        </w:rPr>
      </w:pPr>
      <w:r w:rsidRPr="009072DA">
        <w:rPr>
          <w:lang w:val="bg-BG"/>
        </w:rPr>
        <w:lastRenderedPageBreak/>
        <w:t>13.</w:t>
      </w:r>
      <w:r w:rsidRPr="009072DA">
        <w:rPr>
          <w:lang w:val="bg-BG"/>
        </w:rPr>
        <w:tab/>
        <w:t>Съединителите (шарнирните съединения) между котвата и веригата трябва да издържат на разкъсващо усилие с 20 % по-високо от натоварването на скъсване на съответната верига.</w:t>
      </w:r>
    </w:p>
    <w:p w:rsidR="00E65F26" w:rsidRPr="009072DA" w:rsidRDefault="00E65F26" w:rsidP="00E65F26">
      <w:pPr>
        <w:pStyle w:val="ESch"/>
        <w:rPr>
          <w:lang w:val="bg-BG"/>
        </w:rPr>
      </w:pPr>
    </w:p>
    <w:p w:rsidR="00E65F26" w:rsidRPr="009072DA" w:rsidRDefault="00E65F26" w:rsidP="00E65F26">
      <w:pPr>
        <w:pStyle w:val="ESch"/>
        <w:rPr>
          <w:lang w:val="bg-BG"/>
        </w:rPr>
      </w:pPr>
      <w:r w:rsidRPr="009072DA">
        <w:rPr>
          <w:lang w:val="bg-BG"/>
        </w:rPr>
        <w:t>14.</w:t>
      </w:r>
      <w:r w:rsidRPr="009072DA">
        <w:rPr>
          <w:lang w:val="bg-BG"/>
        </w:rPr>
        <w:tab/>
        <w:t>Допуска се използването на въжета вместо котвени вериги. Въжетата трябва да имат същото натоварване на скъсване, както изискваното за веригите, но трябва да са с 20 % по-дълги.</w:t>
      </w:r>
    </w:p>
    <w:p w:rsidR="00E65F26" w:rsidRPr="009072DA" w:rsidRDefault="00E65F26" w:rsidP="00E65F26">
      <w:pPr>
        <w:pStyle w:val="ESch"/>
        <w:rPr>
          <w:lang w:val="bg-BG"/>
        </w:rPr>
      </w:pPr>
    </w:p>
    <w:p w:rsidR="009A25DA" w:rsidRPr="009072DA" w:rsidRDefault="009A25DA" w:rsidP="00E65F26">
      <w:pPr>
        <w:pStyle w:val="ESch"/>
        <w:rPr>
          <w:lang w:val="bg-BG"/>
        </w:rPr>
      </w:pPr>
    </w:p>
    <w:p w:rsidR="00E65F26" w:rsidRPr="009072DA" w:rsidRDefault="00E65F26" w:rsidP="00E65F26">
      <w:pPr>
        <w:pStyle w:val="ES-Titre3"/>
        <w:rPr>
          <w:i/>
          <w:lang w:val="bg-BG"/>
        </w:rPr>
      </w:pPr>
      <w:bookmarkStart w:id="211" w:name="_Toc491854103"/>
      <w:bookmarkStart w:id="212" w:name="_Toc535827544"/>
      <w:r w:rsidRPr="009072DA">
        <w:rPr>
          <w:lang w:val="bg-BG"/>
        </w:rPr>
        <w:t>Член 13.02</w:t>
      </w:r>
      <w:r w:rsidRPr="009072DA">
        <w:rPr>
          <w:lang w:val="bg-BG"/>
        </w:rPr>
        <w:br/>
      </w:r>
      <w:r w:rsidRPr="009072DA">
        <w:rPr>
          <w:i/>
          <w:lang w:val="bg-BG"/>
        </w:rPr>
        <w:t>Друго оборудване</w:t>
      </w:r>
      <w:bookmarkEnd w:id="211"/>
      <w:bookmarkEnd w:id="212"/>
    </w:p>
    <w:p w:rsidR="00E65F26" w:rsidRPr="009072DA" w:rsidRDefault="00E65F26" w:rsidP="00E65F26">
      <w:pPr>
        <w:pStyle w:val="ESch"/>
        <w:rPr>
          <w:lang w:val="bg-BG"/>
        </w:rPr>
      </w:pPr>
    </w:p>
    <w:p w:rsidR="00E65F26" w:rsidRPr="009072DA" w:rsidRDefault="00E65F26" w:rsidP="00E65F26">
      <w:pPr>
        <w:pStyle w:val="ESch"/>
        <w:rPr>
          <w:lang w:val="bg-BG"/>
        </w:rPr>
      </w:pPr>
      <w:r w:rsidRPr="009072DA">
        <w:rPr>
          <w:lang w:val="bg-BG"/>
        </w:rPr>
        <w:t>1.</w:t>
      </w:r>
      <w:r w:rsidRPr="009072DA">
        <w:rPr>
          <w:lang w:val="bg-BG"/>
        </w:rPr>
        <w:tab/>
        <w:t>Най-малко следното оборудване в съответствие с приложимите разпоредби на навигационната служба, които са в сила в една от държавите членки, трябва да е осигурено на борда:</w:t>
      </w:r>
    </w:p>
    <w:p w:rsidR="00E65F26" w:rsidRPr="009072DA" w:rsidRDefault="005C7859" w:rsidP="00E65F26">
      <w:pPr>
        <w:pStyle w:val="ESlet"/>
        <w:rPr>
          <w:lang w:val="bg-BG"/>
        </w:rPr>
      </w:pPr>
      <w:r w:rsidRPr="009072DA">
        <w:rPr>
          <w:lang w:val="bg-BG"/>
        </w:rPr>
        <w:t>a)</w:t>
      </w:r>
      <w:r w:rsidRPr="009072DA">
        <w:rPr>
          <w:lang w:val="bg-BG"/>
        </w:rPr>
        <w:tab/>
        <w:t>радиотелефонно оборудване;</w:t>
      </w:r>
    </w:p>
    <w:p w:rsidR="00E65F26" w:rsidRPr="009072DA" w:rsidRDefault="005C7859" w:rsidP="00E65F26">
      <w:pPr>
        <w:pStyle w:val="ESlet"/>
        <w:rPr>
          <w:lang w:val="bg-BG"/>
        </w:rPr>
      </w:pPr>
      <w:r w:rsidRPr="009072DA">
        <w:rPr>
          <w:lang w:val="bg-BG"/>
        </w:rPr>
        <w:t>б)</w:t>
      </w:r>
      <w:r w:rsidRPr="009072DA">
        <w:rPr>
          <w:lang w:val="bg-BG"/>
        </w:rPr>
        <w:tab/>
        <w:t>прибори и устройства за излъчване на светлинни и звукови сигнали и за сигнализация на плавателния съд;</w:t>
      </w:r>
    </w:p>
    <w:p w:rsidR="00E65F26" w:rsidRPr="009072DA" w:rsidRDefault="005C7859" w:rsidP="00E65F26">
      <w:pPr>
        <w:pStyle w:val="ESlet"/>
        <w:rPr>
          <w:lang w:val="bg-BG"/>
        </w:rPr>
      </w:pPr>
      <w:r w:rsidRPr="009072DA">
        <w:rPr>
          <w:lang w:val="bg-BG"/>
        </w:rPr>
        <w:t>в)</w:t>
      </w:r>
      <w:r w:rsidRPr="009072DA">
        <w:rPr>
          <w:lang w:val="bg-BG"/>
        </w:rPr>
        <w:tab/>
        <w:t>самостоятелни резервни светлини за предписаните швартови светлини.</w:t>
      </w:r>
    </w:p>
    <w:p w:rsidR="00E65F26" w:rsidRPr="009072DA" w:rsidRDefault="00E65F26" w:rsidP="00E65F26">
      <w:pPr>
        <w:pStyle w:val="ESch"/>
        <w:rPr>
          <w:lang w:val="bg-BG"/>
        </w:rPr>
      </w:pPr>
    </w:p>
    <w:p w:rsidR="003552BC" w:rsidRPr="009072DA" w:rsidRDefault="003552BC">
      <w:pPr>
        <w:rPr>
          <w:lang w:val="bg-BG"/>
        </w:rPr>
      </w:pPr>
      <w:r w:rsidRPr="009072DA">
        <w:rPr>
          <w:lang w:val="bg-BG"/>
        </w:rPr>
        <w:br w:type="page"/>
      </w:r>
    </w:p>
    <w:p w:rsidR="003552BC" w:rsidRPr="009072DA" w:rsidRDefault="003552BC" w:rsidP="00E65F26">
      <w:pPr>
        <w:pStyle w:val="ESch"/>
        <w:rPr>
          <w:lang w:val="bg-BG"/>
        </w:rPr>
      </w:pPr>
    </w:p>
    <w:p w:rsidR="00E65F26" w:rsidRPr="009072DA" w:rsidRDefault="00E65F26" w:rsidP="00E65F26">
      <w:pPr>
        <w:pStyle w:val="ESch"/>
        <w:rPr>
          <w:lang w:val="bg-BG"/>
        </w:rPr>
      </w:pPr>
      <w:r w:rsidRPr="009072DA">
        <w:rPr>
          <w:lang w:val="bg-BG"/>
        </w:rPr>
        <w:t>2.</w:t>
      </w:r>
      <w:r w:rsidRPr="009072DA">
        <w:rPr>
          <w:lang w:val="bg-BG"/>
        </w:rPr>
        <w:tab/>
        <w:t>Трябва да бъдат налични и следните съдове:</w:t>
      </w:r>
    </w:p>
    <w:p w:rsidR="00E65F26" w:rsidRPr="009072DA" w:rsidRDefault="005C7859" w:rsidP="00E65F26">
      <w:pPr>
        <w:pStyle w:val="ESlet"/>
        <w:rPr>
          <w:lang w:val="bg-BG"/>
        </w:rPr>
      </w:pPr>
      <w:r w:rsidRPr="009072DA">
        <w:rPr>
          <w:lang w:val="bg-BG"/>
        </w:rPr>
        <w:t>a)</w:t>
      </w:r>
      <w:r w:rsidRPr="009072DA">
        <w:rPr>
          <w:lang w:val="bg-BG"/>
        </w:rPr>
        <w:tab/>
        <w:t>маркиран съд за битови отпадъци;</w:t>
      </w:r>
    </w:p>
    <w:p w:rsidR="00E65F26" w:rsidRPr="009072DA" w:rsidRDefault="005C7859" w:rsidP="00E65F26">
      <w:pPr>
        <w:pStyle w:val="ESlet"/>
        <w:rPr>
          <w:lang w:val="bg-BG"/>
        </w:rPr>
      </w:pPr>
      <w:r w:rsidRPr="009072DA">
        <w:rPr>
          <w:lang w:val="bg-BG"/>
        </w:rPr>
        <w:t>б)</w:t>
      </w:r>
      <w:r w:rsidRPr="009072DA">
        <w:rPr>
          <w:lang w:val="bg-BG"/>
        </w:rPr>
        <w:tab/>
        <w:t>отделни, маркирани съдове, с херметично затварящи се капаци, изработени от стомана или друг устойчив, незапалим материал, с подходящи размери и вместимост най-малко 10 l, за събиране на</w:t>
      </w:r>
    </w:p>
    <w:p w:rsidR="00E65F26" w:rsidRPr="009072DA" w:rsidRDefault="0029453D" w:rsidP="00E65F26">
      <w:pPr>
        <w:pStyle w:val="EStiret"/>
        <w:rPr>
          <w:noProof w:val="0"/>
          <w:lang w:val="bg-BG"/>
        </w:rPr>
      </w:pPr>
      <w:r w:rsidRPr="009072DA">
        <w:rPr>
          <w:noProof w:val="0"/>
          <w:lang w:val="bg-BG"/>
        </w:rPr>
        <w:t>aa)</w:t>
      </w:r>
      <w:r w:rsidRPr="009072DA">
        <w:rPr>
          <w:noProof w:val="0"/>
          <w:lang w:val="bg-BG"/>
        </w:rPr>
        <w:tab/>
        <w:t>замърсени с масло парцали;</w:t>
      </w:r>
    </w:p>
    <w:p w:rsidR="00E65F26" w:rsidRPr="009072DA" w:rsidRDefault="0029453D" w:rsidP="00E65F26">
      <w:pPr>
        <w:pStyle w:val="EStiret"/>
        <w:rPr>
          <w:noProof w:val="0"/>
          <w:lang w:val="bg-BG"/>
        </w:rPr>
      </w:pPr>
      <w:r w:rsidRPr="009072DA">
        <w:rPr>
          <w:noProof w:val="0"/>
          <w:lang w:val="bg-BG"/>
        </w:rPr>
        <w:t>бб)</w:t>
      </w:r>
      <w:r w:rsidRPr="009072DA">
        <w:rPr>
          <w:noProof w:val="0"/>
          <w:lang w:val="bg-BG"/>
        </w:rPr>
        <w:tab/>
        <w:t>опасни или замърсяващи твърди отпадъци;</w:t>
      </w:r>
    </w:p>
    <w:p w:rsidR="00E65F26" w:rsidRPr="009072DA" w:rsidRDefault="0029453D" w:rsidP="00E65F26">
      <w:pPr>
        <w:pStyle w:val="EStiret"/>
        <w:rPr>
          <w:noProof w:val="0"/>
          <w:lang w:val="bg-BG"/>
        </w:rPr>
      </w:pPr>
      <w:r w:rsidRPr="009072DA">
        <w:rPr>
          <w:noProof w:val="0"/>
          <w:lang w:val="bg-BG"/>
        </w:rPr>
        <w:t>вв)</w:t>
      </w:r>
      <w:r w:rsidRPr="009072DA">
        <w:rPr>
          <w:noProof w:val="0"/>
          <w:lang w:val="bg-BG"/>
        </w:rPr>
        <w:tab/>
        <w:t>опасни или замърсяващи течни отпадъци;</w:t>
      </w:r>
    </w:p>
    <w:p w:rsidR="00E65F26" w:rsidRPr="009072DA" w:rsidRDefault="00E65F26" w:rsidP="00E65F26">
      <w:pPr>
        <w:pStyle w:val="EStiret"/>
        <w:rPr>
          <w:noProof w:val="0"/>
          <w:lang w:val="bg-BG"/>
        </w:rPr>
      </w:pPr>
      <w:r w:rsidRPr="009072DA">
        <w:rPr>
          <w:noProof w:val="0"/>
          <w:lang w:val="bg-BG"/>
        </w:rPr>
        <w:t>и, доколкото те могат да възникнат, за събиране на</w:t>
      </w:r>
    </w:p>
    <w:p w:rsidR="00E65F26" w:rsidRPr="009072DA" w:rsidRDefault="00E65F26" w:rsidP="00E65F26">
      <w:pPr>
        <w:pStyle w:val="EStiret"/>
        <w:rPr>
          <w:noProof w:val="0"/>
          <w:lang w:val="bg-BG"/>
        </w:rPr>
      </w:pPr>
      <w:r w:rsidRPr="009072DA">
        <w:rPr>
          <w:noProof w:val="0"/>
          <w:lang w:val="bg-BG"/>
        </w:rPr>
        <w:t>гг)</w:t>
      </w:r>
      <w:r w:rsidRPr="009072DA">
        <w:rPr>
          <w:noProof w:val="0"/>
          <w:lang w:val="bg-BG"/>
        </w:rPr>
        <w:tab/>
        <w:t>нефтосъдържащи води;</w:t>
      </w:r>
    </w:p>
    <w:p w:rsidR="00E65F26" w:rsidRPr="009072DA" w:rsidRDefault="00E65F26" w:rsidP="00E65F26">
      <w:pPr>
        <w:pStyle w:val="EStiret"/>
        <w:rPr>
          <w:noProof w:val="0"/>
          <w:lang w:val="bg-BG"/>
        </w:rPr>
      </w:pPr>
      <w:r w:rsidRPr="009072DA">
        <w:rPr>
          <w:noProof w:val="0"/>
          <w:lang w:val="bg-BG"/>
        </w:rPr>
        <w:t>дд)</w:t>
      </w:r>
      <w:r w:rsidRPr="009072DA">
        <w:rPr>
          <w:noProof w:val="0"/>
          <w:lang w:val="bg-BG"/>
        </w:rPr>
        <w:tab/>
        <w:t>други отпадъци, съдържащи масла или грес.</w:t>
      </w:r>
    </w:p>
    <w:p w:rsidR="009A25DA" w:rsidRPr="009072DA" w:rsidRDefault="009A25DA" w:rsidP="00E65F26">
      <w:pPr>
        <w:pStyle w:val="ESch"/>
        <w:rPr>
          <w:lang w:val="bg-BG"/>
        </w:rPr>
      </w:pPr>
    </w:p>
    <w:p w:rsidR="00E65F26" w:rsidRPr="009072DA" w:rsidRDefault="00E65F26" w:rsidP="00E65F26">
      <w:pPr>
        <w:pStyle w:val="ESch"/>
        <w:rPr>
          <w:lang w:val="bg-BG"/>
        </w:rPr>
      </w:pPr>
      <w:r w:rsidRPr="009072DA">
        <w:rPr>
          <w:lang w:val="bg-BG"/>
        </w:rPr>
        <w:t>3.</w:t>
      </w:r>
      <w:r w:rsidRPr="009072DA">
        <w:rPr>
          <w:lang w:val="bg-BG"/>
        </w:rPr>
        <w:tab/>
        <w:t>В допълнение оборудването включва като минимум:</w:t>
      </w:r>
    </w:p>
    <w:p w:rsidR="00E65F26" w:rsidRPr="009072DA" w:rsidRDefault="005C7859" w:rsidP="009A25DA">
      <w:pPr>
        <w:pStyle w:val="ESlet"/>
        <w:rPr>
          <w:lang w:val="bg-BG"/>
        </w:rPr>
      </w:pPr>
      <w:r w:rsidRPr="009072DA">
        <w:rPr>
          <w:lang w:val="bg-BG"/>
        </w:rPr>
        <w:t>a)</w:t>
      </w:r>
      <w:r w:rsidRPr="009072DA">
        <w:rPr>
          <w:lang w:val="bg-BG"/>
        </w:rPr>
        <w:tab/>
        <w:t>швартови въжета;</w:t>
      </w:r>
    </w:p>
    <w:p w:rsidR="00E65F26" w:rsidRPr="009072DA" w:rsidRDefault="00E65F26" w:rsidP="009A25DA">
      <w:pPr>
        <w:pStyle w:val="ESletpar"/>
        <w:rPr>
          <w:lang w:val="bg-BG"/>
        </w:rPr>
      </w:pPr>
      <w:r w:rsidRPr="009072DA">
        <w:rPr>
          <w:lang w:val="bg-BG"/>
        </w:rPr>
        <w:t>Плавателните съдове са оборудвани с три швартови стоманени въжета. Минималните им дължини са най-малко следните:</w:t>
      </w:r>
    </w:p>
    <w:p w:rsidR="00E65F26" w:rsidRPr="009072DA" w:rsidRDefault="00E65F26" w:rsidP="00894579">
      <w:pPr>
        <w:pStyle w:val="EStiret"/>
        <w:tabs>
          <w:tab w:val="left" w:pos="2694"/>
        </w:tabs>
        <w:rPr>
          <w:rStyle w:val="FootnoteReference"/>
          <w:rFonts w:cs="Arial"/>
          <w:noProof w:val="0"/>
          <w:sz w:val="18"/>
          <w:szCs w:val="18"/>
          <w:vertAlign w:val="baseline"/>
          <w:lang w:val="bg-BG"/>
        </w:rPr>
      </w:pPr>
      <w:r w:rsidRPr="009072DA">
        <w:rPr>
          <w:noProof w:val="0"/>
          <w:lang w:val="bg-BG"/>
        </w:rPr>
        <w:t xml:space="preserve">първо въже: </w:t>
      </w:r>
      <w:r w:rsidRPr="009072DA">
        <w:rPr>
          <w:noProof w:val="0"/>
          <w:lang w:val="bg-BG"/>
        </w:rPr>
        <w:tab/>
      </w:r>
      <m:oMath>
        <m:r>
          <w:rPr>
            <w:rFonts w:ascii="Cambria Math" w:hAnsi="Cambria Math"/>
            <w:noProof w:val="0"/>
            <w:lang w:val="bg-BG"/>
          </w:rPr>
          <m:t>L+20 m</m:t>
        </m:r>
      </m:oMath>
      <w:r w:rsidRPr="009072DA">
        <w:rPr>
          <w:noProof w:val="0"/>
          <w:lang w:val="bg-BG"/>
        </w:rPr>
        <w:t xml:space="preserve"> но не повече от 100 m,</w:t>
      </w:r>
    </w:p>
    <w:p w:rsidR="00E65F26" w:rsidRPr="009072DA" w:rsidRDefault="00E65F26" w:rsidP="00894579">
      <w:pPr>
        <w:pStyle w:val="EStiret"/>
        <w:tabs>
          <w:tab w:val="left" w:pos="2694"/>
        </w:tabs>
        <w:rPr>
          <w:rStyle w:val="FootnoteReference"/>
          <w:rFonts w:cs="Arial"/>
          <w:noProof w:val="0"/>
          <w:sz w:val="18"/>
          <w:szCs w:val="18"/>
          <w:vertAlign w:val="baseline"/>
          <w:lang w:val="bg-BG"/>
        </w:rPr>
      </w:pPr>
      <w:r w:rsidRPr="009072DA">
        <w:rPr>
          <w:noProof w:val="0"/>
          <w:lang w:val="bg-BG"/>
        </w:rPr>
        <w:t>второ въже:</w:t>
      </w:r>
      <w:r w:rsidRPr="009072DA">
        <w:rPr>
          <w:noProof w:val="0"/>
          <w:lang w:val="bg-BG"/>
        </w:rPr>
        <w:tab/>
        <w:t>2/3 от първото въже,</w:t>
      </w:r>
    </w:p>
    <w:p w:rsidR="00E65F26" w:rsidRPr="009072DA" w:rsidRDefault="00E65F26" w:rsidP="00894579">
      <w:pPr>
        <w:pStyle w:val="EStiret"/>
        <w:tabs>
          <w:tab w:val="left" w:pos="2694"/>
        </w:tabs>
        <w:rPr>
          <w:rStyle w:val="FootnoteReference"/>
          <w:rFonts w:cs="Arial"/>
          <w:noProof w:val="0"/>
          <w:sz w:val="18"/>
          <w:szCs w:val="18"/>
          <w:vertAlign w:val="baseline"/>
          <w:lang w:val="bg-BG"/>
        </w:rPr>
      </w:pPr>
      <w:r w:rsidRPr="009072DA">
        <w:rPr>
          <w:noProof w:val="0"/>
          <w:lang w:val="bg-BG"/>
        </w:rPr>
        <w:t>трето въже:</w:t>
      </w:r>
      <w:r w:rsidRPr="009072DA">
        <w:rPr>
          <w:noProof w:val="0"/>
          <w:lang w:val="bg-BG"/>
        </w:rPr>
        <w:tab/>
        <w:t>1/3 от първото въже.</w:t>
      </w:r>
    </w:p>
    <w:p w:rsidR="00E65F26" w:rsidRPr="009072DA" w:rsidRDefault="00E65F26" w:rsidP="009A25DA">
      <w:pPr>
        <w:pStyle w:val="ESletpar"/>
        <w:rPr>
          <w:lang w:val="bg-BG"/>
        </w:rPr>
      </w:pPr>
      <w:r w:rsidRPr="009072DA">
        <w:rPr>
          <w:lang w:val="bg-BG"/>
        </w:rPr>
        <w:t xml:space="preserve">Най-късото въже не се изисква на борда на плавателни съдове, чиято </w:t>
      </w:r>
      <m:oMath>
        <m:r>
          <w:rPr>
            <w:rFonts w:ascii="Cambria Math" w:hAnsi="Cambria Math"/>
            <w:lang w:val="bg-BG"/>
          </w:rPr>
          <m:t>L</m:t>
        </m:r>
      </m:oMath>
      <w:r w:rsidRPr="009072DA">
        <w:rPr>
          <w:lang w:val="bg-BG"/>
        </w:rPr>
        <w:t xml:space="preserve"> е по-малка от 20 m.</w:t>
      </w:r>
    </w:p>
    <w:p w:rsidR="00E65F26" w:rsidRPr="009072DA" w:rsidRDefault="00E65F26" w:rsidP="009A25DA">
      <w:pPr>
        <w:pStyle w:val="ESletpar"/>
        <w:rPr>
          <w:lang w:val="bg-BG"/>
        </w:rPr>
      </w:pPr>
      <w:r w:rsidRPr="009072DA">
        <w:rPr>
          <w:lang w:val="bg-BG"/>
        </w:rPr>
        <w:t xml:space="preserve">Въжетата трябва да имат натоварване на скъсване </w:t>
      </w:r>
      <m:oMath>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s</m:t>
            </m:r>
          </m:sub>
        </m:sSub>
      </m:oMath>
      <w:r w:rsidRPr="009072DA">
        <w:rPr>
          <w:lang w:val="bg-BG"/>
        </w:rPr>
        <w:t>, което се изчислява чрез използването на следната формула;</w:t>
      </w:r>
    </w:p>
    <w:p w:rsidR="00894579" w:rsidRPr="009072DA" w:rsidRDefault="00894579" w:rsidP="009A25DA">
      <w:pPr>
        <w:pStyle w:val="ESletpar"/>
        <w:rPr>
          <w:lang w:val="bg-BG"/>
        </w:rPr>
      </w:pPr>
    </w:p>
    <w:p w:rsidR="00E65F26" w:rsidRPr="009072DA" w:rsidRDefault="00894579" w:rsidP="001B5ABA">
      <w:pPr>
        <w:pStyle w:val="ESgauche"/>
        <w:jc w:val="center"/>
        <w:rPr>
          <w:noProof w:val="0"/>
          <w:lang w:val="bg-BG"/>
        </w:rPr>
      </w:pPr>
      <w:r w:rsidRPr="009072DA">
        <w:rPr>
          <w:noProof w:val="0"/>
          <w:lang w:val="bg-BG"/>
        </w:rPr>
        <w:t xml:space="preserve">за </w:t>
      </w:r>
      <m:oMath>
        <m:r>
          <w:rPr>
            <w:rFonts w:ascii="Cambria Math" w:hAnsi="Cambria Math"/>
            <w:noProof w:val="0"/>
            <w:lang w:val="bg-BG"/>
          </w:rPr>
          <m:t>L ∙B ∙T</m:t>
        </m:r>
      </m:oMath>
      <w:r w:rsidRPr="009072DA">
        <w:rPr>
          <w:noProof w:val="0"/>
          <w:lang w:val="bg-BG"/>
        </w:rPr>
        <w:t xml:space="preserve"> до 1000 m</w:t>
      </w:r>
      <w:r w:rsidRPr="009072DA">
        <w:rPr>
          <w:noProof w:val="0"/>
          <w:vertAlign w:val="superscript"/>
          <w:lang w:val="bg-BG"/>
        </w:rPr>
        <w:t>3</w:t>
      </w:r>
      <w:r w:rsidRPr="009072DA">
        <w:rPr>
          <w:noProof w:val="0"/>
          <w:lang w:val="bg-BG"/>
        </w:rPr>
        <w:t xml:space="preserve">: </w:t>
      </w:r>
      <m:oMath>
        <m:sSub>
          <m:sSubPr>
            <m:ctrlPr>
              <w:rPr>
                <w:rFonts w:ascii="Cambria Math" w:hAnsi="Cambria Math"/>
                <w:i/>
                <w:noProof w:val="0"/>
                <w:lang w:val="bg-BG"/>
              </w:rPr>
            </m:ctrlPr>
          </m:sSubPr>
          <m:e>
            <m:r>
              <w:rPr>
                <w:rFonts w:ascii="Cambria Math" w:hAnsi="Cambria Math"/>
                <w:noProof w:val="0"/>
                <w:lang w:val="bg-BG"/>
              </w:rPr>
              <m:t>R</m:t>
            </m:r>
          </m:e>
          <m:sub>
            <m:r>
              <w:rPr>
                <w:rFonts w:ascii="Cambria Math" w:hAnsi="Cambria Math"/>
                <w:noProof w:val="0"/>
                <w:lang w:val="bg-BG"/>
              </w:rPr>
              <m:t>s</m:t>
            </m:r>
          </m:sub>
        </m:sSub>
        <m:r>
          <w:rPr>
            <w:rFonts w:ascii="Cambria Math" w:hAnsi="Cambria Math"/>
            <w:noProof w:val="0"/>
            <w:lang w:val="bg-BG"/>
          </w:rPr>
          <m:t xml:space="preserve">=60+ </m:t>
        </m:r>
        <m:f>
          <m:fPr>
            <m:ctrlPr>
              <w:rPr>
                <w:rFonts w:ascii="Cambria Math" w:hAnsi="Cambria Math"/>
                <w:i/>
                <w:noProof w:val="0"/>
                <w:lang w:val="bg-BG"/>
              </w:rPr>
            </m:ctrlPr>
          </m:fPr>
          <m:num>
            <m:r>
              <w:rPr>
                <w:rFonts w:ascii="Cambria Math" w:hAnsi="Cambria Math"/>
                <w:noProof w:val="0"/>
                <w:lang w:val="bg-BG"/>
              </w:rPr>
              <m:t>L ∙B ∙T</m:t>
            </m:r>
          </m:num>
          <m:den>
            <m:r>
              <w:rPr>
                <w:rFonts w:ascii="Cambria Math" w:hAnsi="Cambria Math"/>
                <w:noProof w:val="0"/>
                <w:lang w:val="bg-BG"/>
              </w:rPr>
              <m:t>10</m:t>
            </m:r>
          </m:den>
        </m:f>
        <m:r>
          <w:rPr>
            <w:rFonts w:ascii="Cambria Math" w:hAnsi="Cambria Math"/>
            <w:noProof w:val="0"/>
            <w:lang w:val="bg-BG"/>
          </w:rPr>
          <m:t xml:space="preserve"> </m:t>
        </m:r>
        <m:d>
          <m:dPr>
            <m:begChr m:val="["/>
            <m:endChr m:val="]"/>
            <m:ctrlPr>
              <w:rPr>
                <w:rFonts w:ascii="Cambria Math" w:hAnsi="Cambria Math"/>
                <w:i/>
                <w:noProof w:val="0"/>
                <w:lang w:val="bg-BG"/>
              </w:rPr>
            </m:ctrlPr>
          </m:dPr>
          <m:e>
            <m:r>
              <w:rPr>
                <w:rFonts w:ascii="Cambria Math" w:hAnsi="Cambria Math"/>
                <w:noProof w:val="0"/>
                <w:lang w:val="bg-BG"/>
              </w:rPr>
              <m:t>kN</m:t>
            </m:r>
          </m:e>
        </m:d>
        <m:r>
          <w:rPr>
            <w:rFonts w:ascii="Cambria Math" w:hAnsi="Cambria Math"/>
            <w:noProof w:val="0"/>
            <w:lang w:val="bg-BG"/>
          </w:rPr>
          <m:t>;</m:t>
        </m:r>
      </m:oMath>
    </w:p>
    <w:p w:rsidR="001B5ABA" w:rsidRPr="009072DA" w:rsidRDefault="001B5ABA" w:rsidP="001B5ABA">
      <w:pPr>
        <w:pStyle w:val="ESgauche"/>
        <w:jc w:val="center"/>
        <w:rPr>
          <w:noProof w:val="0"/>
          <w:lang w:val="bg-BG"/>
        </w:rPr>
      </w:pPr>
    </w:p>
    <w:p w:rsidR="009A25DA" w:rsidRPr="009072DA" w:rsidRDefault="009A25DA" w:rsidP="001B5ABA">
      <w:pPr>
        <w:pStyle w:val="ESgauche"/>
        <w:jc w:val="center"/>
        <w:rPr>
          <w:noProof w:val="0"/>
          <w:lang w:val="bg-BG"/>
        </w:rPr>
      </w:pPr>
      <w:r w:rsidRPr="009072DA">
        <w:rPr>
          <w:noProof w:val="0"/>
          <w:lang w:val="bg-BG"/>
        </w:rPr>
        <w:t xml:space="preserve">за </w:t>
      </w:r>
      <m:oMath>
        <m:r>
          <w:rPr>
            <w:rFonts w:ascii="Cambria Math" w:hAnsi="Cambria Math"/>
            <w:noProof w:val="0"/>
            <w:lang w:val="bg-BG"/>
          </w:rPr>
          <m:t>L ∙B ∙T</m:t>
        </m:r>
      </m:oMath>
      <w:r w:rsidRPr="009072DA">
        <w:rPr>
          <w:noProof w:val="0"/>
          <w:lang w:val="bg-BG"/>
        </w:rPr>
        <w:t xml:space="preserve"> над 1000 m</w:t>
      </w:r>
      <w:r w:rsidRPr="009072DA">
        <w:rPr>
          <w:noProof w:val="0"/>
          <w:vertAlign w:val="superscript"/>
          <w:lang w:val="bg-BG"/>
        </w:rPr>
        <w:t>3</w:t>
      </w:r>
      <w:r w:rsidRPr="009072DA">
        <w:rPr>
          <w:noProof w:val="0"/>
          <w:lang w:val="bg-BG"/>
        </w:rPr>
        <w:t xml:space="preserve">: </w:t>
      </w:r>
      <m:oMath>
        <m:sSub>
          <m:sSubPr>
            <m:ctrlPr>
              <w:rPr>
                <w:rFonts w:ascii="Cambria Math" w:hAnsi="Cambria Math"/>
                <w:i/>
                <w:noProof w:val="0"/>
                <w:lang w:val="bg-BG"/>
              </w:rPr>
            </m:ctrlPr>
          </m:sSubPr>
          <m:e>
            <m:r>
              <w:rPr>
                <w:rFonts w:ascii="Cambria Math" w:hAnsi="Cambria Math"/>
                <w:noProof w:val="0"/>
                <w:lang w:val="bg-BG"/>
              </w:rPr>
              <m:t>R</m:t>
            </m:r>
          </m:e>
          <m:sub>
            <m:r>
              <w:rPr>
                <w:rFonts w:ascii="Cambria Math" w:hAnsi="Cambria Math"/>
                <w:noProof w:val="0"/>
                <w:lang w:val="bg-BG"/>
              </w:rPr>
              <m:t>s</m:t>
            </m:r>
          </m:sub>
        </m:sSub>
        <m:r>
          <w:rPr>
            <w:rFonts w:ascii="Cambria Math" w:hAnsi="Cambria Math"/>
            <w:noProof w:val="0"/>
            <w:lang w:val="bg-BG"/>
          </w:rPr>
          <m:t xml:space="preserve">=150+ </m:t>
        </m:r>
        <m:f>
          <m:fPr>
            <m:ctrlPr>
              <w:rPr>
                <w:rFonts w:ascii="Cambria Math" w:hAnsi="Cambria Math"/>
                <w:i/>
                <w:noProof w:val="0"/>
                <w:lang w:val="bg-BG"/>
              </w:rPr>
            </m:ctrlPr>
          </m:fPr>
          <m:num>
            <m:r>
              <w:rPr>
                <w:rFonts w:ascii="Cambria Math" w:hAnsi="Cambria Math"/>
                <w:noProof w:val="0"/>
                <w:lang w:val="bg-BG"/>
              </w:rPr>
              <m:t>L ∙B ∙T</m:t>
            </m:r>
          </m:num>
          <m:den>
            <m:r>
              <w:rPr>
                <w:rFonts w:ascii="Cambria Math" w:hAnsi="Cambria Math"/>
                <w:noProof w:val="0"/>
                <w:lang w:val="bg-BG"/>
              </w:rPr>
              <m:t>100</m:t>
            </m:r>
          </m:den>
        </m:f>
        <m:r>
          <w:rPr>
            <w:rFonts w:ascii="Cambria Math" w:hAnsi="Cambria Math"/>
            <w:noProof w:val="0"/>
            <w:lang w:val="bg-BG"/>
          </w:rPr>
          <m:t xml:space="preserve"> </m:t>
        </m:r>
        <m:d>
          <m:dPr>
            <m:begChr m:val="["/>
            <m:endChr m:val="]"/>
            <m:ctrlPr>
              <w:rPr>
                <w:rFonts w:ascii="Cambria Math" w:hAnsi="Cambria Math"/>
                <w:i/>
                <w:noProof w:val="0"/>
                <w:lang w:val="bg-BG"/>
              </w:rPr>
            </m:ctrlPr>
          </m:dPr>
          <m:e>
            <m:r>
              <w:rPr>
                <w:rFonts w:ascii="Cambria Math" w:hAnsi="Cambria Math"/>
                <w:noProof w:val="0"/>
                <w:lang w:val="bg-BG"/>
              </w:rPr>
              <m:t>kN</m:t>
            </m:r>
          </m:e>
        </m:d>
        <m:r>
          <w:rPr>
            <w:rFonts w:ascii="Cambria Math" w:hAnsi="Cambria Math"/>
            <w:noProof w:val="0"/>
            <w:lang w:val="bg-BG"/>
          </w:rPr>
          <m:t>.</m:t>
        </m:r>
      </m:oMath>
    </w:p>
    <w:p w:rsidR="00D20B98" w:rsidRPr="009072DA" w:rsidRDefault="00D20B98" w:rsidP="0034064A">
      <w:pPr>
        <w:pStyle w:val="ESletpar"/>
        <w:spacing w:before="0"/>
        <w:rPr>
          <w:lang w:val="bg-BG"/>
        </w:rPr>
      </w:pPr>
    </w:p>
    <w:p w:rsidR="0088585A" w:rsidRPr="009072DA" w:rsidRDefault="0088585A" w:rsidP="009A25DA">
      <w:pPr>
        <w:pStyle w:val="ESletpar"/>
        <w:rPr>
          <w:lang w:val="bg-BG"/>
        </w:rPr>
      </w:pPr>
      <w:r w:rsidRPr="009072DA">
        <w:rPr>
          <w:lang w:val="bg-BG"/>
        </w:rPr>
        <w:t>За изискваните въжета на борда трябва да е налично удостоверение в съответствие с европейски стандарт EN 10204: 2004, под № 3.1.</w:t>
      </w:r>
    </w:p>
    <w:p w:rsidR="00E65F26" w:rsidRPr="009072DA" w:rsidRDefault="00E65F26" w:rsidP="009A25DA">
      <w:pPr>
        <w:pStyle w:val="ESletpar"/>
        <w:rPr>
          <w:lang w:val="bg-BG"/>
        </w:rPr>
      </w:pPr>
      <w:r w:rsidRPr="009072DA">
        <w:rPr>
          <w:lang w:val="bg-BG"/>
        </w:rPr>
        <w:lastRenderedPageBreak/>
        <w:t>Тези въжета могат да бъдат заместени с въжета със същата дължина и натоварване на скъсване. Минималното натоварване на скъсване на тези въжета се посочва в удостоверението.</w:t>
      </w:r>
    </w:p>
    <w:p w:rsidR="00E65F26" w:rsidRPr="009072DA" w:rsidRDefault="005C7859" w:rsidP="009A25DA">
      <w:pPr>
        <w:pStyle w:val="ESlet"/>
        <w:rPr>
          <w:lang w:val="bg-BG"/>
        </w:rPr>
      </w:pPr>
      <w:r w:rsidRPr="009072DA">
        <w:rPr>
          <w:lang w:val="bg-BG"/>
        </w:rPr>
        <w:t>б)</w:t>
      </w:r>
      <w:r w:rsidRPr="009072DA">
        <w:rPr>
          <w:lang w:val="bg-BG"/>
        </w:rPr>
        <w:tab/>
        <w:t>буксирни въжета;</w:t>
      </w:r>
    </w:p>
    <w:p w:rsidR="00E65F26" w:rsidRPr="009072DA" w:rsidRDefault="00E65F26" w:rsidP="009A25DA">
      <w:pPr>
        <w:pStyle w:val="ESletpar"/>
        <w:rPr>
          <w:lang w:val="bg-BG"/>
        </w:rPr>
      </w:pPr>
      <w:r w:rsidRPr="009072DA">
        <w:rPr>
          <w:lang w:val="bg-BG"/>
        </w:rPr>
        <w:t>Влекачите се оборудват с определен брой въжета, които са подходящи за експлоатацията им.</w:t>
      </w:r>
    </w:p>
    <w:p w:rsidR="00E65F26" w:rsidRPr="009072DA" w:rsidRDefault="00E65F26" w:rsidP="009A25DA">
      <w:pPr>
        <w:pStyle w:val="ESletpar"/>
        <w:rPr>
          <w:lang w:val="bg-BG"/>
        </w:rPr>
      </w:pPr>
      <w:r w:rsidRPr="009072DA">
        <w:rPr>
          <w:lang w:val="bg-BG"/>
        </w:rPr>
        <w:t xml:space="preserve">Основното въже обаче е с дължина поне 100 m и има натоварването на скъсване в kN, не по-малко от една трета от общата мощност на главния(те) двигател(и) в kW. </w:t>
      </w:r>
    </w:p>
    <w:p w:rsidR="00E65F26" w:rsidRPr="009072DA" w:rsidRDefault="00E65F26" w:rsidP="009A25DA">
      <w:pPr>
        <w:pStyle w:val="ESletpar"/>
        <w:rPr>
          <w:lang w:val="bg-BG"/>
        </w:rPr>
      </w:pPr>
      <w:r w:rsidRPr="009072DA">
        <w:rPr>
          <w:lang w:val="bg-BG"/>
        </w:rPr>
        <w:t>Моторните плавателни съдове и тласкачите, които са способни и да теглят, се оборудват с буксирно въже с дължина поне 100 m, чието натоварване на скъсване в kN е не по-малко от една четвърт от общата мощност на главния(ите) двигател(и) в kW.</w:t>
      </w:r>
    </w:p>
    <w:p w:rsidR="00E65F26" w:rsidRPr="009072DA" w:rsidRDefault="005C7859" w:rsidP="009A25DA">
      <w:pPr>
        <w:pStyle w:val="ESlet"/>
        <w:rPr>
          <w:lang w:val="bg-BG"/>
        </w:rPr>
      </w:pPr>
      <w:r w:rsidRPr="009072DA">
        <w:rPr>
          <w:lang w:val="bg-BG"/>
        </w:rPr>
        <w:t>в)</w:t>
      </w:r>
      <w:r w:rsidRPr="009072DA">
        <w:rPr>
          <w:lang w:val="bg-BG"/>
        </w:rPr>
        <w:tab/>
        <w:t>хвъргало;</w:t>
      </w:r>
    </w:p>
    <w:p w:rsidR="00E65F26" w:rsidRPr="009072DA" w:rsidRDefault="005C7859" w:rsidP="009A25DA">
      <w:pPr>
        <w:pStyle w:val="ESlet"/>
        <w:rPr>
          <w:lang w:val="bg-BG"/>
        </w:rPr>
      </w:pPr>
      <w:r w:rsidRPr="009072DA">
        <w:rPr>
          <w:lang w:val="bg-BG"/>
        </w:rPr>
        <w:t>г)</w:t>
      </w:r>
      <w:r w:rsidRPr="009072DA">
        <w:rPr>
          <w:lang w:val="bg-BG"/>
        </w:rPr>
        <w:tab/>
        <w:t>бордови трап с ширина най-малко 0,40 m и дължина 4 m, чиито странични краища са обозначени с ярко оцветена ивица; този трап е оборудван с леери. Контролният орган може да разреши по-къси трапове за малки плавателни съдове;</w:t>
      </w:r>
    </w:p>
    <w:p w:rsidR="00E65F26" w:rsidRPr="009072DA" w:rsidRDefault="0029453D" w:rsidP="009A25DA">
      <w:pPr>
        <w:pStyle w:val="ESlet"/>
        <w:rPr>
          <w:lang w:val="bg-BG"/>
        </w:rPr>
      </w:pPr>
      <w:r w:rsidRPr="009072DA">
        <w:rPr>
          <w:lang w:val="bg-BG"/>
        </w:rPr>
        <w:t>д)</w:t>
      </w:r>
      <w:r w:rsidRPr="009072DA">
        <w:rPr>
          <w:lang w:val="bg-BG"/>
        </w:rPr>
        <w:tab/>
        <w:t>канджа;</w:t>
      </w:r>
    </w:p>
    <w:p w:rsidR="009A25DA" w:rsidRPr="009072DA" w:rsidRDefault="009A25DA" w:rsidP="009A25DA">
      <w:pPr>
        <w:pStyle w:val="ESlet"/>
        <w:rPr>
          <w:lang w:val="bg-BG"/>
        </w:rPr>
      </w:pPr>
    </w:p>
    <w:p w:rsidR="009A25DA" w:rsidRPr="009072DA" w:rsidRDefault="009A25DA" w:rsidP="009A25DA">
      <w:pPr>
        <w:pStyle w:val="ESlet"/>
        <w:rPr>
          <w:lang w:val="bg-BG"/>
        </w:rPr>
      </w:pPr>
      <w:r w:rsidRPr="009072DA">
        <w:rPr>
          <w:lang w:val="bg-BG"/>
        </w:rPr>
        <w:br w:type="page"/>
      </w:r>
    </w:p>
    <w:p w:rsidR="00E65F26" w:rsidRPr="009072DA" w:rsidRDefault="0029453D" w:rsidP="009A25DA">
      <w:pPr>
        <w:pStyle w:val="ESlet"/>
        <w:rPr>
          <w:lang w:val="bg-BG"/>
        </w:rPr>
      </w:pPr>
      <w:r w:rsidRPr="009072DA">
        <w:rPr>
          <w:lang w:val="bg-BG"/>
        </w:rPr>
        <w:lastRenderedPageBreak/>
        <w:t>е)</w:t>
      </w:r>
      <w:r w:rsidRPr="009072DA">
        <w:rPr>
          <w:lang w:val="bg-BG"/>
        </w:rPr>
        <w:tab/>
        <w:t>подходящ комплект за първа помощ със съдържание, което съответства на стандарта на държава членка. Комплектът за първа помощ се държи в каюта или в рулевата рубка и се съхранява така, че да бъде лесно и безопасно достъпен при необходимост. Ако комплектите за първа помощ се съхраняват под капак, същият се маркира със символа за комплект за първа помощ съгласно фигура 8 от приложение 4, с дължина на страната не по-малко от 10 cm;</w:t>
      </w:r>
    </w:p>
    <w:p w:rsidR="00E65F26" w:rsidRPr="009072DA" w:rsidRDefault="0029453D" w:rsidP="009A25DA">
      <w:pPr>
        <w:pStyle w:val="ESlet"/>
        <w:rPr>
          <w:lang w:val="bg-BG"/>
        </w:rPr>
      </w:pPr>
      <w:r w:rsidRPr="009072DA">
        <w:rPr>
          <w:lang w:val="bg-BG"/>
        </w:rPr>
        <w:t>ж)</w:t>
      </w:r>
      <w:r w:rsidRPr="009072DA">
        <w:rPr>
          <w:lang w:val="bg-BG"/>
        </w:rPr>
        <w:tab/>
        <w:t>бинокъл 7 × 50 или с по-голям диаметър на лещите;</w:t>
      </w:r>
    </w:p>
    <w:p w:rsidR="00E65F26" w:rsidRPr="009072DA" w:rsidRDefault="0029453D" w:rsidP="009A25DA">
      <w:pPr>
        <w:pStyle w:val="ESlet"/>
        <w:rPr>
          <w:lang w:val="bg-BG"/>
        </w:rPr>
      </w:pPr>
      <w:r w:rsidRPr="009072DA">
        <w:rPr>
          <w:lang w:val="bg-BG"/>
        </w:rPr>
        <w:t>з)</w:t>
      </w:r>
      <w:r w:rsidRPr="009072DA">
        <w:rPr>
          <w:lang w:val="bg-BG"/>
        </w:rPr>
        <w:tab/>
        <w:t>табела с инструкции за спасяване и оказване на първа помощ на давещи се;</w:t>
      </w:r>
    </w:p>
    <w:p w:rsidR="00E65F26" w:rsidRPr="009072DA" w:rsidRDefault="0029453D" w:rsidP="009A25DA">
      <w:pPr>
        <w:pStyle w:val="ESlet"/>
        <w:rPr>
          <w:lang w:val="bg-BG"/>
        </w:rPr>
      </w:pPr>
      <w:r w:rsidRPr="009072DA">
        <w:rPr>
          <w:lang w:val="bg-BG"/>
        </w:rPr>
        <w:t>и)</w:t>
      </w:r>
      <w:r w:rsidRPr="009072DA">
        <w:rPr>
          <w:lang w:val="bg-BG"/>
        </w:rPr>
        <w:tab/>
        <w:t>прожектор, който може да се управлява от рулевата рубка.</w:t>
      </w:r>
    </w:p>
    <w:p w:rsidR="009A25DA" w:rsidRPr="009072DA" w:rsidRDefault="009A25DA" w:rsidP="00E65F26">
      <w:pPr>
        <w:pStyle w:val="ESch"/>
        <w:rPr>
          <w:lang w:val="bg-BG"/>
        </w:rPr>
      </w:pPr>
    </w:p>
    <w:p w:rsidR="00E65F26" w:rsidRPr="009072DA" w:rsidRDefault="00E65F26" w:rsidP="00E65F26">
      <w:pPr>
        <w:pStyle w:val="ESch"/>
        <w:rPr>
          <w:lang w:val="bg-BG"/>
        </w:rPr>
      </w:pPr>
      <w:r w:rsidRPr="009072DA">
        <w:rPr>
          <w:lang w:val="bg-BG"/>
        </w:rPr>
        <w:t>4.</w:t>
      </w:r>
      <w:r w:rsidRPr="009072DA">
        <w:rPr>
          <w:lang w:val="bg-BG"/>
        </w:rPr>
        <w:tab/>
        <w:t>Трябва да е налице стълба или подвижна стълба за качване на плавателните съдове, чиято странична височина над водолинията в ненатоварено състояние надвишава 1,50 m.</w:t>
      </w:r>
    </w:p>
    <w:p w:rsidR="00E65F26" w:rsidRPr="009072DA" w:rsidRDefault="00E65F26" w:rsidP="00E65F26">
      <w:pPr>
        <w:pStyle w:val="ESch"/>
        <w:rPr>
          <w:lang w:val="bg-BG"/>
        </w:rPr>
      </w:pPr>
    </w:p>
    <w:p w:rsidR="009A25DA" w:rsidRPr="009072DA" w:rsidRDefault="009A25DA" w:rsidP="00E65F26">
      <w:pPr>
        <w:pStyle w:val="ESch"/>
        <w:rPr>
          <w:lang w:val="bg-BG"/>
        </w:rPr>
      </w:pPr>
    </w:p>
    <w:p w:rsidR="00E65F26" w:rsidRPr="009072DA" w:rsidRDefault="00E65F26" w:rsidP="009A25DA">
      <w:pPr>
        <w:pStyle w:val="ES-Titre3"/>
        <w:rPr>
          <w:i/>
          <w:lang w:val="bg-BG"/>
        </w:rPr>
      </w:pPr>
      <w:bookmarkStart w:id="213" w:name="_Toc491854104"/>
      <w:bookmarkStart w:id="214" w:name="_Toc535827545"/>
      <w:r w:rsidRPr="009072DA">
        <w:rPr>
          <w:lang w:val="bg-BG"/>
        </w:rPr>
        <w:t>Член 13.03</w:t>
      </w:r>
      <w:r w:rsidRPr="009072DA">
        <w:rPr>
          <w:lang w:val="bg-BG"/>
        </w:rPr>
        <w:br/>
      </w:r>
      <w:r w:rsidRPr="009072DA">
        <w:rPr>
          <w:i/>
          <w:lang w:val="bg-BG"/>
        </w:rPr>
        <w:t>Преносими пожарогасители</w:t>
      </w:r>
      <w:bookmarkEnd w:id="213"/>
      <w:bookmarkEnd w:id="214"/>
    </w:p>
    <w:p w:rsidR="009A25DA" w:rsidRPr="009072DA" w:rsidRDefault="009A25DA" w:rsidP="00E65F26">
      <w:pPr>
        <w:pStyle w:val="ESch"/>
        <w:rPr>
          <w:lang w:val="bg-BG"/>
        </w:rPr>
      </w:pPr>
    </w:p>
    <w:p w:rsidR="00E65F26" w:rsidRPr="009072DA" w:rsidRDefault="00E65F26" w:rsidP="00E65F26">
      <w:pPr>
        <w:pStyle w:val="ESch"/>
        <w:rPr>
          <w:lang w:val="bg-BG"/>
        </w:rPr>
      </w:pPr>
      <w:r w:rsidRPr="009072DA">
        <w:rPr>
          <w:lang w:val="bg-BG"/>
        </w:rPr>
        <w:t>1.</w:t>
      </w:r>
      <w:r w:rsidRPr="009072DA">
        <w:rPr>
          <w:lang w:val="bg-BG"/>
        </w:rPr>
        <w:tab/>
        <w:t>Трябва да е осигурен най-малко един преносим пожарогасител в съответствие с европейски стандарти EN 3-7: 2007 и EN 3-8 : 2007 на всяко от следните места:</w:t>
      </w:r>
    </w:p>
    <w:p w:rsidR="00E65F26" w:rsidRPr="009072DA" w:rsidRDefault="005C7859" w:rsidP="009A25DA">
      <w:pPr>
        <w:pStyle w:val="ESlet"/>
        <w:rPr>
          <w:lang w:val="bg-BG"/>
        </w:rPr>
      </w:pPr>
      <w:r w:rsidRPr="009072DA">
        <w:rPr>
          <w:lang w:val="bg-BG"/>
        </w:rPr>
        <w:t>a)</w:t>
      </w:r>
      <w:r w:rsidRPr="009072DA">
        <w:rPr>
          <w:lang w:val="bg-BG"/>
        </w:rPr>
        <w:tab/>
        <w:t>в рулевата рубка;</w:t>
      </w:r>
    </w:p>
    <w:p w:rsidR="00E65F26" w:rsidRPr="009072DA" w:rsidRDefault="005C7859" w:rsidP="009A25DA">
      <w:pPr>
        <w:pStyle w:val="ESlet"/>
        <w:rPr>
          <w:lang w:val="bg-BG"/>
        </w:rPr>
      </w:pPr>
      <w:r w:rsidRPr="009072DA">
        <w:rPr>
          <w:lang w:val="bg-BG"/>
        </w:rPr>
        <w:t>б)</w:t>
      </w:r>
      <w:r w:rsidRPr="009072DA">
        <w:rPr>
          <w:lang w:val="bg-BG"/>
        </w:rPr>
        <w:tab/>
        <w:t>близо до всеки вход към жилищните помещения от палубата;</w:t>
      </w:r>
    </w:p>
    <w:p w:rsidR="00E65F26" w:rsidRPr="009072DA" w:rsidRDefault="005C7859" w:rsidP="009A25DA">
      <w:pPr>
        <w:pStyle w:val="ESlet"/>
        <w:rPr>
          <w:lang w:val="bg-BG"/>
        </w:rPr>
      </w:pPr>
      <w:r w:rsidRPr="009072DA">
        <w:rPr>
          <w:lang w:val="bg-BG"/>
        </w:rPr>
        <w:t>в)</w:t>
      </w:r>
      <w:r w:rsidRPr="009072DA">
        <w:rPr>
          <w:lang w:val="bg-BG"/>
        </w:rPr>
        <w:tab/>
        <w:t>близо до всеки вход към обслужващите пространства, до които няма достъп от жилищните помещения и в които се помещават отоплителни, кухненски или хладилни устройства на твърдо или течно гориво, или втечнен газ;</w:t>
      </w:r>
    </w:p>
    <w:p w:rsidR="00E65F26" w:rsidRPr="009072DA" w:rsidRDefault="005C7859" w:rsidP="009A25DA">
      <w:pPr>
        <w:pStyle w:val="ESlet"/>
        <w:rPr>
          <w:lang w:val="bg-BG"/>
        </w:rPr>
      </w:pPr>
      <w:r w:rsidRPr="009072DA">
        <w:rPr>
          <w:lang w:val="bg-BG"/>
        </w:rPr>
        <w:t>г)</w:t>
      </w:r>
      <w:r w:rsidRPr="009072DA">
        <w:rPr>
          <w:lang w:val="bg-BG"/>
        </w:rPr>
        <w:tab/>
        <w:t>на всеки вход към машинните и котелните отделения;</w:t>
      </w:r>
    </w:p>
    <w:p w:rsidR="00E65F26" w:rsidRPr="009072DA" w:rsidRDefault="0029453D" w:rsidP="009A25DA">
      <w:pPr>
        <w:pStyle w:val="ESlet"/>
        <w:rPr>
          <w:lang w:val="bg-BG"/>
        </w:rPr>
      </w:pPr>
      <w:r w:rsidRPr="009072DA">
        <w:rPr>
          <w:lang w:val="bg-BG"/>
        </w:rPr>
        <w:t>д)</w:t>
      </w:r>
      <w:r w:rsidRPr="009072DA">
        <w:rPr>
          <w:lang w:val="bg-BG"/>
        </w:rPr>
        <w:tab/>
        <w:t>на подходящи места под нивото на палубата в машинните и котелните отделения, така че всяка точка в помещението да е на не повече от 10 m извървяно разстояние от пожарогасител.</w:t>
      </w:r>
    </w:p>
    <w:p w:rsidR="009A25DA" w:rsidRPr="009072DA" w:rsidRDefault="009A25DA" w:rsidP="00E65F26">
      <w:pPr>
        <w:pStyle w:val="ESch"/>
        <w:rPr>
          <w:lang w:val="bg-BG"/>
        </w:rPr>
      </w:pPr>
    </w:p>
    <w:p w:rsidR="00E65F26" w:rsidRPr="009072DA" w:rsidRDefault="00E65F26" w:rsidP="00E65F26">
      <w:pPr>
        <w:pStyle w:val="ESch"/>
        <w:rPr>
          <w:lang w:val="bg-BG"/>
        </w:rPr>
      </w:pPr>
      <w:r w:rsidRPr="009072DA">
        <w:rPr>
          <w:lang w:val="bg-BG"/>
        </w:rPr>
        <w:t>2.</w:t>
      </w:r>
      <w:r w:rsidRPr="009072DA">
        <w:rPr>
          <w:lang w:val="bg-BG"/>
        </w:rPr>
        <w:tab/>
        <w:t>Като преносими пожарогасители, изисквани съгласно точка 1, могат да се използват само прахови пожарогасители с вместимост най-малко 6 kg или други преносими пожарогасители със същата вместимост. Те са подходящи за гасене на пожари от класове А, Б и В.</w:t>
      </w:r>
    </w:p>
    <w:p w:rsidR="009A25DA" w:rsidRPr="009072DA" w:rsidRDefault="009A25DA" w:rsidP="00E65F26">
      <w:pPr>
        <w:pStyle w:val="ESch"/>
        <w:rPr>
          <w:lang w:val="bg-BG"/>
        </w:rPr>
      </w:pPr>
    </w:p>
    <w:p w:rsidR="00E65F26" w:rsidRPr="009072DA" w:rsidRDefault="00E65F26" w:rsidP="009A25DA">
      <w:pPr>
        <w:pStyle w:val="ESchpar"/>
        <w:rPr>
          <w:lang w:val="bg-BG"/>
        </w:rPr>
      </w:pPr>
      <w:r w:rsidRPr="009072DA">
        <w:rPr>
          <w:lang w:val="bg-BG"/>
        </w:rPr>
        <w:t>Чрез дерогация за плавателни съдове без уредби за втечнен газ се допускат пожарогасители с химическа пяна, използващи воден разтвор за образуване на пенен филм (AFFF-AR), устойчив на замръзване до -20 °C, дори ако не са подходящи за гасене на пожари от клас В. Тези пожарогасители трябва да имат минимална вместимост 9 l.</w:t>
      </w:r>
    </w:p>
    <w:p w:rsidR="009A25DA" w:rsidRPr="009072DA" w:rsidRDefault="009A25DA" w:rsidP="00E65F26">
      <w:pPr>
        <w:pStyle w:val="ESch"/>
        <w:rPr>
          <w:lang w:val="bg-BG"/>
        </w:rPr>
      </w:pPr>
    </w:p>
    <w:p w:rsidR="00E65F26" w:rsidRPr="009072DA" w:rsidRDefault="00E65F26" w:rsidP="009A25DA">
      <w:pPr>
        <w:pStyle w:val="ESchpar"/>
        <w:rPr>
          <w:lang w:val="bg-BG"/>
        </w:rPr>
      </w:pPr>
      <w:r w:rsidRPr="009072DA">
        <w:rPr>
          <w:lang w:val="bg-BG"/>
        </w:rPr>
        <w:t>Всички пожарогасители трябва да бъдат подходящи за гасене на пожари в електрически инсталации с напрежение до 1000 V.</w:t>
      </w:r>
    </w:p>
    <w:p w:rsidR="009A25DA" w:rsidRPr="009072DA" w:rsidRDefault="009A25DA" w:rsidP="00E65F26">
      <w:pPr>
        <w:pStyle w:val="ESch"/>
        <w:rPr>
          <w:lang w:val="bg-BG"/>
        </w:rPr>
      </w:pPr>
    </w:p>
    <w:p w:rsidR="00E65F26" w:rsidRPr="009072DA" w:rsidRDefault="00E65F26" w:rsidP="00E65F26">
      <w:pPr>
        <w:pStyle w:val="ESch"/>
        <w:rPr>
          <w:lang w:val="bg-BG"/>
        </w:rPr>
      </w:pPr>
      <w:r w:rsidRPr="009072DA">
        <w:rPr>
          <w:lang w:val="bg-BG"/>
        </w:rPr>
        <w:t>3.</w:t>
      </w:r>
      <w:r w:rsidRPr="009072DA">
        <w:rPr>
          <w:lang w:val="bg-BG"/>
        </w:rPr>
        <w:tab/>
        <w:t>Освен праховите пожарогасители могат да се използват и такива с вода или пяна, които са подходящи най-малкото за класа пожар, който би възникнал най-вероятно в помещението, за което са предвидени.</w:t>
      </w:r>
    </w:p>
    <w:p w:rsidR="009A25DA" w:rsidRPr="009072DA" w:rsidRDefault="009A25DA" w:rsidP="00E65F26">
      <w:pPr>
        <w:pStyle w:val="ESch"/>
        <w:rPr>
          <w:lang w:val="bg-BG"/>
        </w:rPr>
      </w:pPr>
    </w:p>
    <w:p w:rsidR="00E65F26" w:rsidRPr="009072DA" w:rsidRDefault="00E65F26" w:rsidP="00E65F26">
      <w:pPr>
        <w:pStyle w:val="ESch"/>
        <w:rPr>
          <w:lang w:val="bg-BG"/>
        </w:rPr>
      </w:pPr>
      <w:r w:rsidRPr="009072DA">
        <w:rPr>
          <w:lang w:val="bg-BG"/>
        </w:rPr>
        <w:t>4.</w:t>
      </w:r>
      <w:r w:rsidRPr="009072DA">
        <w:rPr>
          <w:lang w:val="bg-BG"/>
        </w:rPr>
        <w:tab/>
        <w:t>Преносимите пожарогасители с СО</w:t>
      </w:r>
      <w:r w:rsidRPr="009072DA">
        <w:rPr>
          <w:vertAlign w:val="subscript"/>
          <w:lang w:val="bg-BG"/>
        </w:rPr>
        <w:t>2</w:t>
      </w:r>
      <w:r w:rsidRPr="009072DA">
        <w:rPr>
          <w:lang w:val="bg-BG"/>
        </w:rPr>
        <w:t xml:space="preserve"> като пожарогасителен агент могат да се използват само за гасене на пожар в камбуз и електрическа инсталация. Вместимостта на тези пожарогасители не може да превишава 1 kg на 15 m</w:t>
      </w:r>
      <w:r w:rsidRPr="009072DA">
        <w:rPr>
          <w:vertAlign w:val="superscript"/>
          <w:lang w:val="bg-BG"/>
        </w:rPr>
        <w:t>3</w:t>
      </w:r>
      <w:r w:rsidRPr="009072DA">
        <w:rPr>
          <w:lang w:val="bg-BG"/>
        </w:rPr>
        <w:t xml:space="preserve"> от помещението, в което са поставени за ползване.</w:t>
      </w:r>
    </w:p>
    <w:p w:rsidR="009A25DA" w:rsidRPr="009072DA" w:rsidRDefault="009A25DA" w:rsidP="00E65F26">
      <w:pPr>
        <w:pStyle w:val="ESch"/>
        <w:rPr>
          <w:lang w:val="bg-BG"/>
        </w:rPr>
      </w:pPr>
    </w:p>
    <w:p w:rsidR="009A25DA" w:rsidRPr="009072DA" w:rsidRDefault="009A25DA" w:rsidP="00E65F26">
      <w:pPr>
        <w:pStyle w:val="ESch"/>
        <w:rPr>
          <w:lang w:val="bg-BG"/>
        </w:rPr>
      </w:pPr>
      <w:r w:rsidRPr="009072DA">
        <w:rPr>
          <w:lang w:val="bg-BG"/>
        </w:rPr>
        <w:br w:type="page"/>
      </w:r>
    </w:p>
    <w:p w:rsidR="00E65F26" w:rsidRPr="009072DA" w:rsidRDefault="00E65F26" w:rsidP="00E65F26">
      <w:pPr>
        <w:pStyle w:val="ESch"/>
        <w:rPr>
          <w:lang w:val="bg-BG"/>
        </w:rPr>
      </w:pPr>
      <w:r w:rsidRPr="009072DA">
        <w:rPr>
          <w:lang w:val="bg-BG"/>
        </w:rPr>
        <w:lastRenderedPageBreak/>
        <w:t>5.</w:t>
      </w:r>
      <w:r w:rsidRPr="009072DA">
        <w:rPr>
          <w:lang w:val="bg-BG"/>
        </w:rPr>
        <w:tab/>
        <w:t>Преносимите пожарогасители се проверяват най-малкото веднъж на две години от компетентно лице. Етикет от проверката, подписан от компетентното лице и съдържащ датата на проверката, се поставя върху пожарогасителя.</w:t>
      </w:r>
    </w:p>
    <w:p w:rsidR="009A25DA" w:rsidRPr="009072DA" w:rsidRDefault="009A25DA" w:rsidP="00E65F26">
      <w:pPr>
        <w:pStyle w:val="ESch"/>
        <w:rPr>
          <w:lang w:val="bg-BG"/>
        </w:rPr>
      </w:pPr>
    </w:p>
    <w:p w:rsidR="00E65F26" w:rsidRPr="009072DA" w:rsidRDefault="00E65F26" w:rsidP="00E65F26">
      <w:pPr>
        <w:pStyle w:val="ESch"/>
        <w:rPr>
          <w:lang w:val="bg-BG"/>
        </w:rPr>
      </w:pPr>
      <w:r w:rsidRPr="009072DA">
        <w:rPr>
          <w:lang w:val="bg-BG"/>
        </w:rPr>
        <w:t>6.</w:t>
      </w:r>
      <w:r w:rsidRPr="009072DA">
        <w:rPr>
          <w:lang w:val="bg-BG"/>
        </w:rPr>
        <w:tab/>
        <w:t>Ако преносимите пожарогасители са монтирани по такъв начин, че да не се виждат панелът, който ги закрива, се маркира със символа за пожарогасител съгласно фигура 3 от приложение 4, с дължина на страната не по-малко от 10 сm.</w:t>
      </w:r>
    </w:p>
    <w:p w:rsidR="00E65F26" w:rsidRPr="009072DA" w:rsidRDefault="00E65F26" w:rsidP="00E65F26">
      <w:pPr>
        <w:pStyle w:val="ESch"/>
        <w:rPr>
          <w:lang w:val="bg-BG"/>
        </w:rPr>
      </w:pPr>
    </w:p>
    <w:p w:rsidR="00824063" w:rsidRPr="009072DA" w:rsidRDefault="00824063" w:rsidP="00E65F26">
      <w:pPr>
        <w:pStyle w:val="ESch"/>
        <w:rPr>
          <w:lang w:val="bg-BG"/>
        </w:rPr>
      </w:pPr>
    </w:p>
    <w:p w:rsidR="00E65F26" w:rsidRPr="009072DA" w:rsidRDefault="00E65F26" w:rsidP="009A25DA">
      <w:pPr>
        <w:pStyle w:val="ES-Titre3"/>
        <w:rPr>
          <w:i/>
          <w:lang w:val="bg-BG"/>
        </w:rPr>
      </w:pPr>
      <w:bookmarkStart w:id="215" w:name="_Toc491854105"/>
      <w:bookmarkStart w:id="216" w:name="_Toc535827546"/>
      <w:r w:rsidRPr="009072DA">
        <w:rPr>
          <w:lang w:val="bg-BG"/>
        </w:rPr>
        <w:t>Член 13.04</w:t>
      </w:r>
      <w:r w:rsidRPr="009072DA">
        <w:rPr>
          <w:lang w:val="bg-BG"/>
        </w:rPr>
        <w:br/>
      </w:r>
      <w:r w:rsidRPr="009072DA">
        <w:rPr>
          <w:i/>
          <w:lang w:val="bg-BG"/>
        </w:rPr>
        <w:t>Постоянно монтирани противопожарни системи за защита на жилищни помещения,</w:t>
      </w:r>
      <w:r w:rsidRPr="009072DA">
        <w:rPr>
          <w:i/>
          <w:lang w:val="bg-BG"/>
        </w:rPr>
        <w:br/>
        <w:t>рулеви рубки и помещения за пътници</w:t>
      </w:r>
      <w:bookmarkEnd w:id="215"/>
      <w:bookmarkEnd w:id="216"/>
    </w:p>
    <w:p w:rsidR="009A25DA" w:rsidRPr="009072DA" w:rsidRDefault="009A25DA" w:rsidP="00E65F26">
      <w:pPr>
        <w:pStyle w:val="ESch"/>
        <w:rPr>
          <w:lang w:val="bg-BG"/>
        </w:rPr>
      </w:pPr>
    </w:p>
    <w:p w:rsidR="00E65F26" w:rsidRPr="009072DA" w:rsidRDefault="00E65F26" w:rsidP="00E65F26">
      <w:pPr>
        <w:pStyle w:val="ESch"/>
        <w:rPr>
          <w:lang w:val="bg-BG"/>
        </w:rPr>
      </w:pPr>
      <w:r w:rsidRPr="009072DA">
        <w:rPr>
          <w:lang w:val="bg-BG"/>
        </w:rPr>
        <w:t>1.</w:t>
      </w:r>
      <w:r w:rsidRPr="009072DA">
        <w:rPr>
          <w:lang w:val="bg-BG"/>
        </w:rPr>
        <w:tab/>
        <w:t>За защитата на жилищните пространства, рулевите рубки и помещенията за пътници като неподвижно монтирани противопожарни системи се приемат само подходящи автоматични спринклерни системи за вода под налягане.</w:t>
      </w:r>
    </w:p>
    <w:p w:rsidR="00824063" w:rsidRPr="009072DA" w:rsidRDefault="00824063" w:rsidP="00E65F26">
      <w:pPr>
        <w:pStyle w:val="ESch"/>
        <w:rPr>
          <w:lang w:val="bg-BG"/>
        </w:rPr>
      </w:pPr>
    </w:p>
    <w:p w:rsidR="00E65F26" w:rsidRPr="009072DA" w:rsidRDefault="00E65F26" w:rsidP="00E65F26">
      <w:pPr>
        <w:pStyle w:val="ESch"/>
        <w:rPr>
          <w:lang w:val="bg-BG"/>
        </w:rPr>
      </w:pPr>
      <w:r w:rsidRPr="009072DA">
        <w:rPr>
          <w:lang w:val="bg-BG"/>
        </w:rPr>
        <w:t>2.</w:t>
      </w:r>
      <w:r w:rsidRPr="009072DA">
        <w:rPr>
          <w:lang w:val="bg-BG"/>
        </w:rPr>
        <w:tab/>
        <w:t>Монтирането или преустрояването на системите се извършва само от специализирани фирми.</w:t>
      </w:r>
    </w:p>
    <w:p w:rsidR="00824063" w:rsidRPr="009072DA" w:rsidRDefault="00824063" w:rsidP="00E65F26">
      <w:pPr>
        <w:pStyle w:val="ESch"/>
        <w:rPr>
          <w:lang w:val="bg-BG"/>
        </w:rPr>
      </w:pPr>
    </w:p>
    <w:p w:rsidR="00E65F26" w:rsidRPr="009072DA" w:rsidRDefault="00E65F26" w:rsidP="00E65F26">
      <w:pPr>
        <w:pStyle w:val="ESch"/>
        <w:rPr>
          <w:lang w:val="bg-BG"/>
        </w:rPr>
      </w:pPr>
      <w:r w:rsidRPr="009072DA">
        <w:rPr>
          <w:lang w:val="bg-BG"/>
        </w:rPr>
        <w:t>3.</w:t>
      </w:r>
      <w:r w:rsidRPr="009072DA">
        <w:rPr>
          <w:lang w:val="bg-BG"/>
        </w:rPr>
        <w:tab/>
        <w:t>Системите се изработват от стомана или равностойни негорими материали.</w:t>
      </w:r>
    </w:p>
    <w:p w:rsidR="00824063" w:rsidRPr="009072DA" w:rsidRDefault="00824063" w:rsidP="00E65F26">
      <w:pPr>
        <w:pStyle w:val="ESch"/>
        <w:rPr>
          <w:lang w:val="bg-BG"/>
        </w:rPr>
      </w:pPr>
    </w:p>
    <w:p w:rsidR="00E65F26" w:rsidRPr="009072DA" w:rsidRDefault="00E65F26" w:rsidP="00E65F26">
      <w:pPr>
        <w:pStyle w:val="ESch"/>
        <w:rPr>
          <w:lang w:val="bg-BG"/>
        </w:rPr>
      </w:pPr>
      <w:r w:rsidRPr="009072DA">
        <w:rPr>
          <w:lang w:val="bg-BG"/>
        </w:rPr>
        <w:t>4.</w:t>
      </w:r>
      <w:r w:rsidRPr="009072DA">
        <w:rPr>
          <w:lang w:val="bg-BG"/>
        </w:rPr>
        <w:tab/>
        <w:t>Системите трябва да могат да разпръскват вода с дебит най-малко от 5 l/m</w:t>
      </w:r>
      <w:r w:rsidRPr="009072DA">
        <w:rPr>
          <w:vertAlign w:val="superscript"/>
          <w:lang w:val="bg-BG"/>
        </w:rPr>
        <w:t>2</w:t>
      </w:r>
      <w:r w:rsidRPr="009072DA">
        <w:rPr>
          <w:lang w:val="bg-BG"/>
        </w:rPr>
        <w:t xml:space="preserve"> в минута върху площта на най-голямото помещение, подлежащо на защита.</w:t>
      </w:r>
    </w:p>
    <w:p w:rsidR="00824063" w:rsidRPr="009072DA" w:rsidRDefault="00824063" w:rsidP="00E65F26">
      <w:pPr>
        <w:pStyle w:val="ESch"/>
        <w:rPr>
          <w:lang w:val="bg-BG"/>
        </w:rPr>
      </w:pPr>
    </w:p>
    <w:p w:rsidR="00E65F26" w:rsidRPr="009072DA" w:rsidRDefault="00E65F26" w:rsidP="00E65F26">
      <w:pPr>
        <w:pStyle w:val="ESch"/>
        <w:rPr>
          <w:lang w:val="bg-BG"/>
        </w:rPr>
      </w:pPr>
      <w:r w:rsidRPr="009072DA">
        <w:rPr>
          <w:lang w:val="bg-BG"/>
        </w:rPr>
        <w:t>5.</w:t>
      </w:r>
      <w:r w:rsidRPr="009072DA">
        <w:rPr>
          <w:lang w:val="bg-BG"/>
        </w:rPr>
        <w:tab/>
        <w:t>Системи, разпръскващи по-малки количества вода, трябва да имат одобрение на типа съгласно Резолюция А.800 (19)</w:t>
      </w:r>
      <w:r w:rsidRPr="009072DA">
        <w:rPr>
          <w:rStyle w:val="FootnoteReference"/>
          <w:lang w:val="bg-BG"/>
        </w:rPr>
        <w:footnoteReference w:id="9"/>
      </w:r>
      <w:r w:rsidRPr="009072DA">
        <w:rPr>
          <w:lang w:val="bg-BG"/>
        </w:rPr>
        <w:t xml:space="preserve"> на ИМО или друг стандарт, признат от една от държавите членки. Одобряването на типа се извърша от призната класификационна организация или акредитирана институция за изпитвания. </w:t>
      </w:r>
      <w:r w:rsidRPr="009072DA">
        <w:rPr>
          <w:rFonts w:ascii="ArialMT" w:hAnsi="ArialMT"/>
          <w:lang w:val="bg-BG"/>
        </w:rPr>
        <w:t>Акредитираната институция за изпитвания спазва европейски стандарт EN ISO/IEC 17025: 2005.</w:t>
      </w:r>
    </w:p>
    <w:p w:rsidR="00824063" w:rsidRPr="009072DA" w:rsidRDefault="00824063" w:rsidP="00E65F26">
      <w:pPr>
        <w:pStyle w:val="ESch"/>
        <w:rPr>
          <w:lang w:val="bg-BG"/>
        </w:rPr>
      </w:pPr>
    </w:p>
    <w:p w:rsidR="00E65F26" w:rsidRPr="009072DA" w:rsidRDefault="00E65F26" w:rsidP="00E65F26">
      <w:pPr>
        <w:pStyle w:val="ESch"/>
        <w:rPr>
          <w:lang w:val="bg-BG"/>
        </w:rPr>
      </w:pPr>
      <w:r w:rsidRPr="009072DA">
        <w:rPr>
          <w:lang w:val="bg-BG"/>
        </w:rPr>
        <w:t>6.</w:t>
      </w:r>
      <w:r w:rsidRPr="009072DA">
        <w:rPr>
          <w:lang w:val="bg-BG"/>
        </w:rPr>
        <w:tab/>
        <w:t>Системите трябва да се проверяват от експерт:</w:t>
      </w:r>
    </w:p>
    <w:p w:rsidR="00E65F26" w:rsidRPr="009072DA" w:rsidRDefault="005C7859" w:rsidP="00824063">
      <w:pPr>
        <w:pStyle w:val="ESlet"/>
        <w:rPr>
          <w:lang w:val="bg-BG"/>
        </w:rPr>
      </w:pPr>
      <w:r w:rsidRPr="009072DA">
        <w:rPr>
          <w:lang w:val="bg-BG"/>
        </w:rPr>
        <w:t>a)</w:t>
      </w:r>
      <w:r w:rsidRPr="009072DA">
        <w:rPr>
          <w:lang w:val="bg-BG"/>
        </w:rPr>
        <w:tab/>
        <w:t>преди първоначално пускане в експлоатация;</w:t>
      </w:r>
    </w:p>
    <w:p w:rsidR="00E65F26" w:rsidRPr="009072DA" w:rsidRDefault="005C7859" w:rsidP="00824063">
      <w:pPr>
        <w:pStyle w:val="ESlet"/>
        <w:rPr>
          <w:lang w:val="bg-BG"/>
        </w:rPr>
      </w:pPr>
      <w:r w:rsidRPr="009072DA">
        <w:rPr>
          <w:lang w:val="bg-BG"/>
        </w:rPr>
        <w:lastRenderedPageBreak/>
        <w:t>б)</w:t>
      </w:r>
      <w:r w:rsidRPr="009072DA">
        <w:rPr>
          <w:lang w:val="bg-BG"/>
        </w:rPr>
        <w:tab/>
        <w:t>преди повторно пускане в експлоатация, след като са били задействани;</w:t>
      </w:r>
    </w:p>
    <w:p w:rsidR="00E65F26" w:rsidRPr="009072DA" w:rsidRDefault="005C7859" w:rsidP="00824063">
      <w:pPr>
        <w:pStyle w:val="ESlet"/>
        <w:rPr>
          <w:lang w:val="bg-BG"/>
        </w:rPr>
      </w:pPr>
      <w:r w:rsidRPr="009072DA">
        <w:rPr>
          <w:lang w:val="bg-BG"/>
        </w:rPr>
        <w:t>в)</w:t>
      </w:r>
      <w:r w:rsidRPr="009072DA">
        <w:rPr>
          <w:lang w:val="bg-BG"/>
        </w:rPr>
        <w:tab/>
        <w:t>преди повторно пускане в експлоатация след всяко по-съществено изменение или ремонт; и</w:t>
      </w:r>
    </w:p>
    <w:p w:rsidR="00E65F26" w:rsidRPr="009072DA" w:rsidRDefault="005C7859" w:rsidP="00824063">
      <w:pPr>
        <w:pStyle w:val="ESlet"/>
        <w:rPr>
          <w:lang w:val="bg-BG"/>
        </w:rPr>
      </w:pPr>
      <w:r w:rsidRPr="009072DA">
        <w:rPr>
          <w:lang w:val="bg-BG"/>
        </w:rPr>
        <w:t>г)</w:t>
      </w:r>
      <w:r w:rsidRPr="009072DA">
        <w:rPr>
          <w:lang w:val="bg-BG"/>
        </w:rPr>
        <w:tab/>
        <w:t>редовно, най-малко на всеки две години.</w:t>
      </w:r>
    </w:p>
    <w:p w:rsidR="00824063" w:rsidRPr="009072DA" w:rsidRDefault="00824063" w:rsidP="00E65F26">
      <w:pPr>
        <w:pStyle w:val="ESch"/>
        <w:rPr>
          <w:lang w:val="bg-BG"/>
        </w:rPr>
      </w:pPr>
    </w:p>
    <w:p w:rsidR="00E65F26" w:rsidRPr="009072DA" w:rsidRDefault="00E65F26" w:rsidP="00824063">
      <w:pPr>
        <w:pStyle w:val="ESchpar"/>
        <w:rPr>
          <w:lang w:val="bg-BG"/>
        </w:rPr>
      </w:pPr>
      <w:r w:rsidRPr="009072DA">
        <w:rPr>
          <w:lang w:val="bg-BG"/>
        </w:rPr>
        <w:t>Проверките, посочени в буква г), могат да бъдат извършвани от компетентно лице от компетентна фирма, специализирана в пожарогасителни системи.</w:t>
      </w:r>
    </w:p>
    <w:p w:rsidR="00824063" w:rsidRPr="009072DA" w:rsidRDefault="00824063" w:rsidP="00E65F26">
      <w:pPr>
        <w:pStyle w:val="ESch"/>
        <w:rPr>
          <w:lang w:val="bg-BG"/>
        </w:rPr>
      </w:pPr>
    </w:p>
    <w:p w:rsidR="00E65F26" w:rsidRPr="009072DA" w:rsidRDefault="00E65F26" w:rsidP="00E65F26">
      <w:pPr>
        <w:pStyle w:val="ESch"/>
        <w:rPr>
          <w:lang w:val="bg-BG"/>
        </w:rPr>
      </w:pPr>
      <w:r w:rsidRPr="009072DA">
        <w:rPr>
          <w:lang w:val="bg-BG"/>
        </w:rPr>
        <w:t>7.</w:t>
      </w:r>
      <w:r w:rsidRPr="009072DA">
        <w:rPr>
          <w:lang w:val="bg-BG"/>
        </w:rPr>
        <w:tab/>
        <w:t>При извършване на проверката в съответствие с точка 6, експертът или компетентното лице проверява дали системите отговарят на изискванията на настоящия член.</w:t>
      </w:r>
    </w:p>
    <w:p w:rsidR="00824063" w:rsidRPr="009072DA" w:rsidRDefault="00824063" w:rsidP="00E65F26">
      <w:pPr>
        <w:pStyle w:val="ESch"/>
        <w:rPr>
          <w:lang w:val="bg-BG"/>
        </w:rPr>
      </w:pPr>
    </w:p>
    <w:p w:rsidR="00E65F26" w:rsidRPr="009072DA" w:rsidRDefault="00E65F26" w:rsidP="00824063">
      <w:pPr>
        <w:pStyle w:val="ESchpar"/>
        <w:rPr>
          <w:lang w:val="bg-BG"/>
        </w:rPr>
      </w:pPr>
      <w:r w:rsidRPr="009072DA">
        <w:rPr>
          <w:lang w:val="bg-BG"/>
        </w:rPr>
        <w:t>Проверката включва като минимум:</w:t>
      </w:r>
    </w:p>
    <w:p w:rsidR="00E65F26" w:rsidRPr="009072DA" w:rsidRDefault="005C7859" w:rsidP="00824063">
      <w:pPr>
        <w:pStyle w:val="ESlet"/>
        <w:rPr>
          <w:lang w:val="bg-BG"/>
        </w:rPr>
      </w:pPr>
      <w:r w:rsidRPr="009072DA">
        <w:rPr>
          <w:lang w:val="bg-BG"/>
        </w:rPr>
        <w:t>a)</w:t>
      </w:r>
      <w:r w:rsidRPr="009072DA">
        <w:rPr>
          <w:lang w:val="bg-BG"/>
        </w:rPr>
        <w:tab/>
        <w:t>външен оглед на цялата система;</w:t>
      </w:r>
    </w:p>
    <w:p w:rsidR="00E65F26" w:rsidRPr="009072DA" w:rsidRDefault="005C7859" w:rsidP="00824063">
      <w:pPr>
        <w:pStyle w:val="ESlet"/>
        <w:rPr>
          <w:lang w:val="bg-BG"/>
        </w:rPr>
      </w:pPr>
      <w:r w:rsidRPr="009072DA">
        <w:rPr>
          <w:lang w:val="bg-BG"/>
        </w:rPr>
        <w:t>б)</w:t>
      </w:r>
      <w:r w:rsidRPr="009072DA">
        <w:rPr>
          <w:lang w:val="bg-BG"/>
        </w:rPr>
        <w:tab/>
        <w:t>функционално изпитване на системите за безопасност и дюзите;</w:t>
      </w:r>
    </w:p>
    <w:p w:rsidR="00E65F26" w:rsidRPr="009072DA" w:rsidRDefault="005C7859" w:rsidP="00824063">
      <w:pPr>
        <w:pStyle w:val="ESlet"/>
        <w:rPr>
          <w:lang w:val="bg-BG"/>
        </w:rPr>
      </w:pPr>
      <w:r w:rsidRPr="009072DA">
        <w:rPr>
          <w:lang w:val="bg-BG"/>
        </w:rPr>
        <w:t>в)</w:t>
      </w:r>
      <w:r w:rsidRPr="009072DA">
        <w:rPr>
          <w:lang w:val="bg-BG"/>
        </w:rPr>
        <w:tab/>
        <w:t>функционално изпитване на резервоарите под налягане и помпената система.</w:t>
      </w:r>
    </w:p>
    <w:p w:rsidR="00824063" w:rsidRPr="009072DA" w:rsidRDefault="00824063" w:rsidP="00E65F26">
      <w:pPr>
        <w:pStyle w:val="ESch"/>
        <w:rPr>
          <w:lang w:val="bg-BG"/>
        </w:rPr>
      </w:pPr>
    </w:p>
    <w:p w:rsidR="00824063" w:rsidRPr="009072DA" w:rsidRDefault="00824063" w:rsidP="00E65F26">
      <w:pPr>
        <w:pStyle w:val="ESch"/>
        <w:rPr>
          <w:lang w:val="bg-BG"/>
        </w:rPr>
      </w:pPr>
      <w:r w:rsidRPr="009072DA">
        <w:rPr>
          <w:lang w:val="bg-BG"/>
        </w:rPr>
        <w:br w:type="page"/>
      </w:r>
    </w:p>
    <w:p w:rsidR="00E65F26" w:rsidRPr="009072DA" w:rsidRDefault="00E65F26" w:rsidP="00E65F26">
      <w:pPr>
        <w:pStyle w:val="ESch"/>
        <w:rPr>
          <w:lang w:val="bg-BG"/>
        </w:rPr>
      </w:pPr>
      <w:r w:rsidRPr="009072DA">
        <w:rPr>
          <w:lang w:val="bg-BG"/>
        </w:rPr>
        <w:lastRenderedPageBreak/>
        <w:t>8.</w:t>
      </w:r>
      <w:r w:rsidRPr="009072DA">
        <w:rPr>
          <w:lang w:val="bg-BG"/>
        </w:rPr>
        <w:tab/>
        <w:t>Издава се удостоверение за проверката, подписано от експерта или компетентното лице и посочващо датата на проверката.</w:t>
      </w:r>
    </w:p>
    <w:p w:rsidR="00824063" w:rsidRPr="009072DA" w:rsidRDefault="00824063" w:rsidP="00E65F26">
      <w:pPr>
        <w:pStyle w:val="ESch"/>
        <w:rPr>
          <w:lang w:val="bg-BG"/>
        </w:rPr>
      </w:pPr>
    </w:p>
    <w:p w:rsidR="00E65F26" w:rsidRPr="009072DA" w:rsidRDefault="00E65F26" w:rsidP="00E65F26">
      <w:pPr>
        <w:pStyle w:val="ESch"/>
        <w:rPr>
          <w:lang w:val="bg-BG"/>
        </w:rPr>
      </w:pPr>
      <w:r w:rsidRPr="009072DA">
        <w:rPr>
          <w:lang w:val="bg-BG"/>
        </w:rPr>
        <w:t>9.</w:t>
      </w:r>
      <w:r w:rsidRPr="009072DA">
        <w:rPr>
          <w:lang w:val="bg-BG"/>
        </w:rPr>
        <w:tab/>
        <w:t>Броят на монтираните системи се записва в удостоверението на плавателния съд за плаване по вътрешни водни пътища.</w:t>
      </w:r>
    </w:p>
    <w:p w:rsidR="00E65F26" w:rsidRPr="009072DA" w:rsidRDefault="00E65F26" w:rsidP="00E65F26">
      <w:pPr>
        <w:pStyle w:val="ESch"/>
        <w:rPr>
          <w:lang w:val="bg-BG"/>
        </w:rPr>
      </w:pPr>
    </w:p>
    <w:p w:rsidR="00E65F26" w:rsidRPr="009072DA" w:rsidRDefault="00E65F26" w:rsidP="00E65F26">
      <w:pPr>
        <w:pStyle w:val="ESch"/>
        <w:rPr>
          <w:lang w:val="bg-BG"/>
        </w:rPr>
      </w:pPr>
    </w:p>
    <w:p w:rsidR="00E65F26" w:rsidRPr="009072DA" w:rsidRDefault="00E65F26" w:rsidP="00824063">
      <w:pPr>
        <w:pStyle w:val="ES-Titre3"/>
        <w:rPr>
          <w:i/>
          <w:lang w:val="bg-BG"/>
        </w:rPr>
      </w:pPr>
      <w:bookmarkStart w:id="217" w:name="_Toc491854106"/>
      <w:bookmarkStart w:id="218" w:name="_Toc535827547"/>
      <w:r w:rsidRPr="009072DA">
        <w:rPr>
          <w:lang w:val="bg-BG"/>
        </w:rPr>
        <w:t>Член 13.05</w:t>
      </w:r>
      <w:r w:rsidRPr="009072DA">
        <w:rPr>
          <w:lang w:val="bg-BG"/>
        </w:rPr>
        <w:br/>
      </w:r>
      <w:r w:rsidRPr="009072DA">
        <w:rPr>
          <w:i/>
          <w:lang w:val="bg-BG"/>
        </w:rPr>
        <w:t>Постоянно монтирани противопожарни системи за защита на машинните, котелните и помпените отделения</w:t>
      </w:r>
      <w:bookmarkEnd w:id="217"/>
      <w:bookmarkEnd w:id="218"/>
    </w:p>
    <w:p w:rsidR="00824063" w:rsidRPr="009072DA" w:rsidRDefault="00824063" w:rsidP="00E65F26">
      <w:pPr>
        <w:pStyle w:val="ESch"/>
        <w:rPr>
          <w:lang w:val="bg-BG"/>
        </w:rPr>
      </w:pPr>
    </w:p>
    <w:p w:rsidR="00E65F26" w:rsidRPr="009072DA" w:rsidRDefault="00E65F26" w:rsidP="00E65F26">
      <w:pPr>
        <w:pStyle w:val="ESch"/>
        <w:rPr>
          <w:lang w:val="bg-BG"/>
        </w:rPr>
      </w:pPr>
      <w:r w:rsidRPr="009072DA">
        <w:rPr>
          <w:lang w:val="bg-BG"/>
        </w:rPr>
        <w:t>1.</w:t>
      </w:r>
      <w:r w:rsidRPr="009072DA">
        <w:rPr>
          <w:lang w:val="bg-BG"/>
        </w:rPr>
        <w:tab/>
        <w:t>Пожарогасителни агенти</w:t>
      </w:r>
    </w:p>
    <w:p w:rsidR="00824063" w:rsidRPr="009072DA" w:rsidRDefault="00824063" w:rsidP="00E65F26">
      <w:pPr>
        <w:pStyle w:val="ESch"/>
        <w:rPr>
          <w:lang w:val="bg-BG"/>
        </w:rPr>
      </w:pPr>
    </w:p>
    <w:p w:rsidR="00E65F26" w:rsidRPr="009072DA" w:rsidRDefault="00E65F26" w:rsidP="00824063">
      <w:pPr>
        <w:pStyle w:val="ESchpar"/>
        <w:rPr>
          <w:lang w:val="bg-BG"/>
        </w:rPr>
      </w:pPr>
      <w:r w:rsidRPr="009072DA">
        <w:rPr>
          <w:lang w:val="bg-BG"/>
        </w:rPr>
        <w:t>За защита на машинни отделения, котелни отделения и помпени отделения могат да се използват следните пожарогасителни агенти в неподвижно монтирани противопожарни системи:</w:t>
      </w:r>
    </w:p>
    <w:p w:rsidR="00E65F26" w:rsidRPr="009072DA" w:rsidRDefault="005C7859" w:rsidP="00824063">
      <w:pPr>
        <w:pStyle w:val="ESlet"/>
        <w:rPr>
          <w:lang w:val="bg-BG"/>
        </w:rPr>
      </w:pPr>
      <w:r w:rsidRPr="009072DA">
        <w:rPr>
          <w:lang w:val="bg-BG"/>
        </w:rPr>
        <w:t>a)</w:t>
      </w:r>
      <w:r w:rsidRPr="009072DA">
        <w:rPr>
          <w:lang w:val="bg-BG"/>
        </w:rPr>
        <w:tab/>
        <w:t>CO</w:t>
      </w:r>
      <w:r w:rsidRPr="009072DA">
        <w:rPr>
          <w:vertAlign w:val="subscript"/>
          <w:lang w:val="bg-BG"/>
        </w:rPr>
        <w:t xml:space="preserve">2 </w:t>
      </w:r>
      <w:r w:rsidRPr="009072DA">
        <w:rPr>
          <w:lang w:val="bg-BG"/>
        </w:rPr>
        <w:t>(въглероден диоксид);</w:t>
      </w:r>
    </w:p>
    <w:p w:rsidR="00E65F26" w:rsidRPr="009072DA" w:rsidRDefault="005C7859" w:rsidP="00824063">
      <w:pPr>
        <w:pStyle w:val="ESlet"/>
        <w:rPr>
          <w:lang w:val="bg-BG"/>
        </w:rPr>
      </w:pPr>
      <w:r w:rsidRPr="009072DA">
        <w:rPr>
          <w:lang w:val="bg-BG"/>
        </w:rPr>
        <w:t>б)</w:t>
      </w:r>
      <w:r w:rsidRPr="009072DA">
        <w:rPr>
          <w:lang w:val="bg-BG"/>
        </w:rPr>
        <w:tab/>
        <w:t>HFC 227 еа (хептафлуорпропан);</w:t>
      </w:r>
    </w:p>
    <w:p w:rsidR="00E65F26" w:rsidRPr="009072DA" w:rsidRDefault="005C7859" w:rsidP="00824063">
      <w:pPr>
        <w:pStyle w:val="ESlet"/>
        <w:rPr>
          <w:lang w:val="bg-BG"/>
        </w:rPr>
      </w:pPr>
      <w:r w:rsidRPr="009072DA">
        <w:rPr>
          <w:lang w:val="bg-BG"/>
        </w:rPr>
        <w:t>в)</w:t>
      </w:r>
      <w:r w:rsidRPr="009072DA">
        <w:rPr>
          <w:lang w:val="bg-BG"/>
        </w:rPr>
        <w:tab/>
        <w:t>IG-541 (52 % азот, 40 % аргон, 8 % въглероден двуокис);</w:t>
      </w:r>
    </w:p>
    <w:p w:rsidR="00E65F26" w:rsidRPr="009072DA" w:rsidRDefault="005C7859" w:rsidP="00824063">
      <w:pPr>
        <w:pStyle w:val="ESlet"/>
        <w:rPr>
          <w:lang w:val="bg-BG"/>
        </w:rPr>
      </w:pPr>
      <w:r w:rsidRPr="009072DA">
        <w:rPr>
          <w:lang w:val="bg-BG"/>
        </w:rPr>
        <w:t>г)</w:t>
      </w:r>
      <w:r w:rsidRPr="009072DA">
        <w:rPr>
          <w:lang w:val="bg-BG"/>
        </w:rPr>
        <w:tab/>
        <w:t>FK-5-1-12 (додекафлуоро-2-метилпентан-3-он);</w:t>
      </w:r>
    </w:p>
    <w:p w:rsidR="0088585A" w:rsidRPr="009072DA" w:rsidRDefault="0088585A" w:rsidP="00824063">
      <w:pPr>
        <w:pStyle w:val="ESlet"/>
        <w:rPr>
          <w:lang w:val="bg-BG"/>
        </w:rPr>
      </w:pPr>
      <w:r w:rsidRPr="009072DA">
        <w:rPr>
          <w:lang w:val="bg-BG"/>
        </w:rPr>
        <w:t>д)</w:t>
      </w:r>
      <w:r w:rsidRPr="009072DA">
        <w:rPr>
          <w:lang w:val="bg-BG"/>
        </w:rPr>
        <w:tab/>
        <w:t>вода.</w:t>
      </w:r>
    </w:p>
    <w:p w:rsidR="00E65F26" w:rsidRPr="009072DA" w:rsidRDefault="00E65F26" w:rsidP="00E65F26">
      <w:pPr>
        <w:pStyle w:val="ESch"/>
        <w:rPr>
          <w:lang w:val="bg-BG"/>
        </w:rPr>
      </w:pPr>
    </w:p>
    <w:p w:rsidR="00E65F26" w:rsidRPr="009072DA" w:rsidRDefault="00E65F26" w:rsidP="00E65F26">
      <w:pPr>
        <w:pStyle w:val="ESch"/>
        <w:rPr>
          <w:lang w:val="bg-BG"/>
        </w:rPr>
      </w:pPr>
      <w:r w:rsidRPr="009072DA">
        <w:rPr>
          <w:lang w:val="bg-BG"/>
        </w:rPr>
        <w:t>2.</w:t>
      </w:r>
      <w:r w:rsidRPr="009072DA">
        <w:rPr>
          <w:lang w:val="bg-BG"/>
        </w:rPr>
        <w:tab/>
        <w:t>Вентилация, засмукване на въздух</w:t>
      </w:r>
    </w:p>
    <w:p w:rsidR="00E65F26" w:rsidRPr="009072DA" w:rsidRDefault="005C7859" w:rsidP="00824063">
      <w:pPr>
        <w:pStyle w:val="ESlet"/>
        <w:rPr>
          <w:lang w:val="bg-BG"/>
        </w:rPr>
      </w:pPr>
      <w:r w:rsidRPr="009072DA">
        <w:rPr>
          <w:lang w:val="bg-BG"/>
        </w:rPr>
        <w:t>a)</w:t>
      </w:r>
      <w:r w:rsidRPr="009072DA">
        <w:rPr>
          <w:lang w:val="bg-BG"/>
        </w:rPr>
        <w:tab/>
        <w:t>Въздухът за горене за задвижващите двигатели не трябва да се взема от помещения, които трябва да бъдат защитени с неподвижно монтирани противопожарни системи. Това не важи, когато са налице две отделни независими и херметично отделени главни машинни отделения или ако освен главното машинно отделение има отделно машинно отделение за носовото подрулващо устройство, което да осигурява способност на плавателния съд да остане управляем на собствен ход в случай на пожар в главното машинно отделение.</w:t>
      </w:r>
    </w:p>
    <w:p w:rsidR="00E65F26" w:rsidRPr="009072DA" w:rsidRDefault="005C7859" w:rsidP="00824063">
      <w:pPr>
        <w:pStyle w:val="ESlet"/>
        <w:rPr>
          <w:lang w:val="bg-BG"/>
        </w:rPr>
      </w:pPr>
      <w:r w:rsidRPr="009072DA">
        <w:rPr>
          <w:lang w:val="bg-BG"/>
        </w:rPr>
        <w:t>б)</w:t>
      </w:r>
      <w:r w:rsidRPr="009072DA">
        <w:rPr>
          <w:lang w:val="bg-BG"/>
        </w:rPr>
        <w:tab/>
        <w:t>Принудителната вентилация в защитеното помещение се изключва автоматично, ако противопожарната система се задейства.</w:t>
      </w:r>
    </w:p>
    <w:p w:rsidR="00E65F26" w:rsidRPr="009072DA" w:rsidRDefault="005C7859" w:rsidP="00824063">
      <w:pPr>
        <w:pStyle w:val="ESlet"/>
        <w:rPr>
          <w:lang w:val="bg-BG"/>
        </w:rPr>
      </w:pPr>
      <w:r w:rsidRPr="009072DA">
        <w:rPr>
          <w:lang w:val="bg-BG"/>
        </w:rPr>
        <w:t>в)</w:t>
      </w:r>
      <w:r w:rsidRPr="009072DA">
        <w:rPr>
          <w:lang w:val="bg-BG"/>
        </w:rPr>
        <w:tab/>
        <w:t>Трябва да има налице устройства, чрез които всички отвори, откъдето може да проникне въздух или да се изпусне газ от защитеното помещение, да могат да бъдат бързо затваряни. Трябва да може ясно да се установява дали те са отворени или затворени.</w:t>
      </w:r>
    </w:p>
    <w:p w:rsidR="00E65F26" w:rsidRPr="009072DA" w:rsidRDefault="005C7859" w:rsidP="00824063">
      <w:pPr>
        <w:pStyle w:val="ESlet"/>
        <w:rPr>
          <w:lang w:val="bg-BG"/>
        </w:rPr>
      </w:pPr>
      <w:r w:rsidRPr="009072DA">
        <w:rPr>
          <w:lang w:val="bg-BG"/>
        </w:rPr>
        <w:lastRenderedPageBreak/>
        <w:t>г)</w:t>
      </w:r>
      <w:r w:rsidRPr="009072DA">
        <w:rPr>
          <w:lang w:val="bg-BG"/>
        </w:rPr>
        <w:tab/>
        <w:t>Въздухът, който излиза от предпазните изпускателни клапани на съдовете за сгъстен въздух, монтирани в машинните отделения, трябва да се извежда навън в атмосферата.</w:t>
      </w:r>
    </w:p>
    <w:p w:rsidR="00E65F26" w:rsidRPr="009072DA" w:rsidRDefault="0029453D" w:rsidP="00824063">
      <w:pPr>
        <w:pStyle w:val="ESlet"/>
        <w:rPr>
          <w:lang w:val="bg-BG"/>
        </w:rPr>
      </w:pPr>
      <w:r w:rsidRPr="009072DA">
        <w:rPr>
          <w:lang w:val="bg-BG"/>
        </w:rPr>
        <w:t>д)</w:t>
      </w:r>
      <w:r w:rsidRPr="009072DA">
        <w:rPr>
          <w:lang w:val="bg-BG"/>
        </w:rPr>
        <w:tab/>
        <w:t>Свръхналягането или разреждането, възникващи от притока на пожарогасителни агенти, не трябва да разрушават елементите на околните прегради в защитеното помещение. Трябва да е възможно налягането да се изравнява безопасно.</w:t>
      </w:r>
    </w:p>
    <w:p w:rsidR="00E65F26" w:rsidRPr="009072DA" w:rsidRDefault="0029453D" w:rsidP="00824063">
      <w:pPr>
        <w:pStyle w:val="ESlet"/>
        <w:rPr>
          <w:lang w:val="bg-BG"/>
        </w:rPr>
      </w:pPr>
      <w:r w:rsidRPr="009072DA">
        <w:rPr>
          <w:lang w:val="bg-BG"/>
        </w:rPr>
        <w:t>е)</w:t>
      </w:r>
      <w:r w:rsidRPr="009072DA">
        <w:rPr>
          <w:lang w:val="bg-BG"/>
        </w:rPr>
        <w:tab/>
        <w:t>Защитените помещения трябва да разполагат със средства за отвеждане на пожарогасителния агент и газовете от пожара. Трябва да е възможно тези средства да бъдат управлявани от места извън защитените помещения и които не биха станали недостъпни вследствие пожар вътре в тези пространства. Ако са налице неподвижно монтирани аспирационни чадъри, трябва да е невъзможно те да бъдат задействани, докато се гаси пожар.</w:t>
      </w:r>
    </w:p>
    <w:p w:rsidR="00824063" w:rsidRPr="009072DA" w:rsidRDefault="00824063" w:rsidP="00E65F26">
      <w:pPr>
        <w:pStyle w:val="ESch"/>
        <w:rPr>
          <w:lang w:val="bg-BG"/>
        </w:rPr>
      </w:pPr>
    </w:p>
    <w:p w:rsidR="00E65F26" w:rsidRPr="009072DA" w:rsidRDefault="00E65F26" w:rsidP="00E65F26">
      <w:pPr>
        <w:pStyle w:val="ESch"/>
        <w:rPr>
          <w:lang w:val="bg-BG"/>
        </w:rPr>
      </w:pPr>
      <w:r w:rsidRPr="009072DA">
        <w:rPr>
          <w:lang w:val="bg-BG"/>
        </w:rPr>
        <w:t>3.</w:t>
      </w:r>
      <w:r w:rsidRPr="009072DA">
        <w:rPr>
          <w:lang w:val="bg-BG"/>
        </w:rPr>
        <w:tab/>
        <w:t>Пожароизвестителна система</w:t>
      </w:r>
    </w:p>
    <w:p w:rsidR="00824063" w:rsidRPr="009072DA" w:rsidRDefault="00824063" w:rsidP="00824063">
      <w:pPr>
        <w:pStyle w:val="ESchpar"/>
        <w:rPr>
          <w:lang w:val="bg-BG"/>
        </w:rPr>
      </w:pPr>
    </w:p>
    <w:p w:rsidR="00E65F26" w:rsidRPr="009072DA" w:rsidRDefault="00E65F26" w:rsidP="00824063">
      <w:pPr>
        <w:pStyle w:val="ESchpar"/>
        <w:rPr>
          <w:lang w:val="bg-BG"/>
        </w:rPr>
      </w:pPr>
      <w:r w:rsidRPr="009072DA">
        <w:rPr>
          <w:lang w:val="bg-BG"/>
        </w:rPr>
        <w:t>Защитеното помещение се наблюдава с подходяща пожароизвестителна система. Аларменият сигнал трябва да се възприема в рулевата рубка, жилищните помещения и защитеното помещение.</w:t>
      </w:r>
    </w:p>
    <w:p w:rsidR="00824063" w:rsidRPr="009072DA" w:rsidRDefault="00824063" w:rsidP="00E65F26">
      <w:pPr>
        <w:pStyle w:val="ESch"/>
        <w:rPr>
          <w:lang w:val="bg-BG"/>
        </w:rPr>
      </w:pPr>
    </w:p>
    <w:p w:rsidR="00824063" w:rsidRPr="009072DA" w:rsidRDefault="00824063" w:rsidP="00E65F26">
      <w:pPr>
        <w:pStyle w:val="ESch"/>
        <w:rPr>
          <w:lang w:val="bg-BG"/>
        </w:rPr>
      </w:pPr>
      <w:r w:rsidRPr="009072DA">
        <w:rPr>
          <w:lang w:val="bg-BG"/>
        </w:rPr>
        <w:br w:type="page"/>
      </w:r>
    </w:p>
    <w:p w:rsidR="00E65F26" w:rsidRPr="009072DA" w:rsidRDefault="00E65F26" w:rsidP="00E65F26">
      <w:pPr>
        <w:pStyle w:val="ESch"/>
        <w:rPr>
          <w:lang w:val="bg-BG"/>
        </w:rPr>
      </w:pPr>
      <w:r w:rsidRPr="009072DA">
        <w:rPr>
          <w:lang w:val="bg-BG"/>
        </w:rPr>
        <w:lastRenderedPageBreak/>
        <w:t>4.</w:t>
      </w:r>
      <w:r w:rsidRPr="009072DA">
        <w:rPr>
          <w:lang w:val="bg-BG"/>
        </w:rPr>
        <w:tab/>
        <w:t>Тръбопроводна система</w:t>
      </w:r>
    </w:p>
    <w:p w:rsidR="00E65F26" w:rsidRPr="009072DA" w:rsidRDefault="005C7859" w:rsidP="00824063">
      <w:pPr>
        <w:pStyle w:val="ESlet"/>
        <w:rPr>
          <w:lang w:val="bg-BG"/>
        </w:rPr>
      </w:pPr>
      <w:r w:rsidRPr="009072DA">
        <w:rPr>
          <w:lang w:val="bg-BG"/>
        </w:rPr>
        <w:t>a)</w:t>
      </w:r>
      <w:r w:rsidRPr="009072DA">
        <w:rPr>
          <w:lang w:val="bg-BG"/>
        </w:rPr>
        <w:tab/>
        <w:t>Пожарогасителният агент се пренася до защитеното помещение и разпръсква в него чрез фиксирана тръбопроводна система. В защитеното помещение тръбите и съответните им фитинги трябва да са изработени от стомана. Тръбите, свързващи резервоарите и удължителните елементи се изключват, при условие че използваните материали имат равностойни свойства в случай на пожар. Тръбите трябва да са защитени срещу корозия отвън и отвътре.</w:t>
      </w:r>
    </w:p>
    <w:p w:rsidR="00E65F26" w:rsidRPr="009072DA" w:rsidRDefault="005C7859" w:rsidP="00824063">
      <w:pPr>
        <w:pStyle w:val="ESlet"/>
        <w:rPr>
          <w:lang w:val="bg-BG"/>
        </w:rPr>
      </w:pPr>
      <w:r w:rsidRPr="009072DA">
        <w:rPr>
          <w:lang w:val="bg-BG"/>
        </w:rPr>
        <w:t>б)</w:t>
      </w:r>
      <w:r w:rsidRPr="009072DA">
        <w:rPr>
          <w:lang w:val="bg-BG"/>
        </w:rPr>
        <w:tab/>
        <w:t>Изпускателните струйници се оразмеряват и оборудват по такъв начин, че пожарогасителният агент да се разпределя равномерно. По-специално, пожарогасителният агент трябва да бъде ефективен и под плочите на настилката.</w:t>
      </w:r>
    </w:p>
    <w:p w:rsidR="00824063" w:rsidRPr="009072DA" w:rsidRDefault="00824063" w:rsidP="00E65F26">
      <w:pPr>
        <w:pStyle w:val="ESch"/>
        <w:rPr>
          <w:lang w:val="bg-BG"/>
        </w:rPr>
      </w:pPr>
    </w:p>
    <w:p w:rsidR="00E65F26" w:rsidRPr="009072DA" w:rsidRDefault="00E65F26" w:rsidP="00E65F26">
      <w:pPr>
        <w:pStyle w:val="ESch"/>
        <w:rPr>
          <w:lang w:val="bg-BG"/>
        </w:rPr>
      </w:pPr>
      <w:r w:rsidRPr="009072DA">
        <w:rPr>
          <w:lang w:val="bg-BG"/>
        </w:rPr>
        <w:t>5.</w:t>
      </w:r>
      <w:r w:rsidRPr="009072DA">
        <w:rPr>
          <w:lang w:val="bg-BG"/>
        </w:rPr>
        <w:tab/>
        <w:t>Задействащо устройство</w:t>
      </w:r>
    </w:p>
    <w:p w:rsidR="00E65F26" w:rsidRPr="009072DA" w:rsidRDefault="005C7859" w:rsidP="00824063">
      <w:pPr>
        <w:pStyle w:val="ESlet"/>
        <w:rPr>
          <w:lang w:val="bg-BG"/>
        </w:rPr>
      </w:pPr>
      <w:r w:rsidRPr="009072DA">
        <w:rPr>
          <w:lang w:val="bg-BG"/>
        </w:rPr>
        <w:t>a)</w:t>
      </w:r>
      <w:r w:rsidRPr="009072DA">
        <w:rPr>
          <w:lang w:val="bg-BG"/>
        </w:rPr>
        <w:tab/>
        <w:t>Противопожарни системи с автоматично задействане не се допускат.</w:t>
      </w:r>
    </w:p>
    <w:p w:rsidR="00E65F26" w:rsidRPr="009072DA" w:rsidRDefault="005C7859" w:rsidP="00824063">
      <w:pPr>
        <w:pStyle w:val="ESlet"/>
        <w:rPr>
          <w:lang w:val="bg-BG"/>
        </w:rPr>
      </w:pPr>
      <w:r w:rsidRPr="009072DA">
        <w:rPr>
          <w:lang w:val="bg-BG"/>
        </w:rPr>
        <w:t>б)</w:t>
      </w:r>
      <w:r w:rsidRPr="009072DA">
        <w:rPr>
          <w:lang w:val="bg-BG"/>
        </w:rPr>
        <w:tab/>
        <w:t>Трябва да бъде възможно противопожарната система да се задейства от подходящо място извън защитеното помещение.</w:t>
      </w:r>
    </w:p>
    <w:p w:rsidR="00E65F26" w:rsidRPr="009072DA" w:rsidRDefault="005C7859" w:rsidP="00824063">
      <w:pPr>
        <w:pStyle w:val="ESlet"/>
        <w:rPr>
          <w:lang w:val="bg-BG"/>
        </w:rPr>
      </w:pPr>
      <w:r w:rsidRPr="009072DA">
        <w:rPr>
          <w:lang w:val="bg-BG"/>
        </w:rPr>
        <w:t>в)</w:t>
      </w:r>
      <w:r w:rsidRPr="009072DA">
        <w:rPr>
          <w:lang w:val="bg-BG"/>
        </w:rPr>
        <w:tab/>
        <w:t>Задействащите устройства се инсталират по такъв начин, че да могат да бъдат използвани дори и в случай на пожар, и необходимото количество пожарогасителен агент да може все още да бъде подадено дори при повреда от пожар или експлозия в защитеното помещение.</w:t>
      </w:r>
    </w:p>
    <w:p w:rsidR="00E65F26" w:rsidRPr="009072DA" w:rsidRDefault="00C44D3C" w:rsidP="00824063">
      <w:pPr>
        <w:pStyle w:val="ESletpar"/>
        <w:rPr>
          <w:lang w:val="bg-BG"/>
        </w:rPr>
      </w:pPr>
      <w:r w:rsidRPr="009072DA">
        <w:rPr>
          <w:lang w:val="bg-BG"/>
        </w:rPr>
        <w:t>Немеханичните задействащи устройства трябва да се захранват от два различни и независими един от друг източника на енергия. Тези източници на енергия се намират извън защитеното помещение. Линиите за управление в защитеното помещение се проектират така, че да останат функционални в течение поне на 30 минути в случай на пожар. Това изискване се смята за изпълнено по отношение на електрическата инсталация, ако тя е в съответствие с международен стандарт IEC 60331</w:t>
      </w:r>
      <w:r w:rsidRPr="009072DA">
        <w:rPr>
          <w:lang w:val="bg-BG"/>
        </w:rPr>
        <w:softHyphen/>
        <w:t>21: 1999.</w:t>
      </w:r>
    </w:p>
    <w:p w:rsidR="00E65F26" w:rsidRPr="009072DA" w:rsidRDefault="00E65F26" w:rsidP="00824063">
      <w:pPr>
        <w:pStyle w:val="ESletpar"/>
        <w:rPr>
          <w:lang w:val="bg-BG"/>
        </w:rPr>
      </w:pPr>
      <w:r w:rsidRPr="009072DA">
        <w:rPr>
          <w:lang w:val="bg-BG"/>
        </w:rPr>
        <w:t>Ако задействащите устройства се монтират по такъв начин, че да не се виждат, панелът, който ги закрива, трябва да е маркиран със символа „Противопожарна инсталация“ съгласно фигура 6 от приложение 4, с дължина на страната от поне 10</w:t>
      </w:r>
      <w:r w:rsidR="00DC50C7">
        <w:rPr>
          <w:lang w:val="bg-BG"/>
        </w:rPr>
        <w:t> </w:t>
      </w:r>
      <w:r w:rsidRPr="009072DA">
        <w:rPr>
          <w:lang w:val="bg-BG"/>
        </w:rPr>
        <w:t>сm и следния текст с червени букви на бял фон:</w:t>
      </w:r>
    </w:p>
    <w:p w:rsidR="00E65F26" w:rsidRPr="009072DA" w:rsidRDefault="0064343D" w:rsidP="001B5ABA">
      <w:pPr>
        <w:pStyle w:val="ESletpar"/>
        <w:jc w:val="center"/>
        <w:rPr>
          <w:lang w:val="bg-BG"/>
        </w:rPr>
      </w:pPr>
      <w:r w:rsidRPr="009072DA">
        <w:rPr>
          <w:lang w:val="bg-BG"/>
        </w:rPr>
        <w:t>„Feuerlöscheinrichtung</w:t>
      </w:r>
    </w:p>
    <w:p w:rsidR="00E65F26" w:rsidRPr="009072DA" w:rsidRDefault="00E65F26" w:rsidP="001B5ABA">
      <w:pPr>
        <w:pStyle w:val="ESletpar"/>
        <w:jc w:val="center"/>
        <w:rPr>
          <w:lang w:val="bg-BG"/>
        </w:rPr>
      </w:pPr>
      <w:r w:rsidRPr="009072DA">
        <w:rPr>
          <w:lang w:val="bg-BG"/>
        </w:rPr>
        <w:t>Installation d'extinction</w:t>
      </w:r>
    </w:p>
    <w:p w:rsidR="00E65F26" w:rsidRPr="009072DA" w:rsidRDefault="00E65F26" w:rsidP="001B5ABA">
      <w:pPr>
        <w:pStyle w:val="ESletpar"/>
        <w:jc w:val="center"/>
        <w:rPr>
          <w:lang w:val="bg-BG"/>
        </w:rPr>
      </w:pPr>
      <w:r w:rsidRPr="009072DA">
        <w:rPr>
          <w:lang w:val="bg-BG"/>
        </w:rPr>
        <w:t>Brandblusinstallatie</w:t>
      </w:r>
    </w:p>
    <w:p w:rsidR="00E65F26" w:rsidRPr="009072DA" w:rsidRDefault="00E65F26" w:rsidP="001B5ABA">
      <w:pPr>
        <w:pStyle w:val="ESletpar"/>
        <w:jc w:val="center"/>
        <w:rPr>
          <w:lang w:val="bg-BG"/>
        </w:rPr>
      </w:pPr>
      <w:r w:rsidRPr="009072DA">
        <w:rPr>
          <w:lang w:val="bg-BG"/>
        </w:rPr>
        <w:t>Fire-fighting installation</w:t>
      </w:r>
      <w:r w:rsidR="00DC50C7" w:rsidRPr="009072DA">
        <w:rPr>
          <w:lang w:val="bg-BG"/>
        </w:rPr>
        <w:t>“</w:t>
      </w:r>
      <w:r w:rsidRPr="009072DA">
        <w:rPr>
          <w:lang w:val="bg-BG"/>
        </w:rPr>
        <w:t>.</w:t>
      </w:r>
    </w:p>
    <w:p w:rsidR="00E65F26" w:rsidRPr="009072DA" w:rsidRDefault="005C7859" w:rsidP="00824063">
      <w:pPr>
        <w:pStyle w:val="ESlet"/>
        <w:rPr>
          <w:lang w:val="bg-BG"/>
        </w:rPr>
      </w:pPr>
      <w:r w:rsidRPr="009072DA">
        <w:rPr>
          <w:lang w:val="bg-BG"/>
        </w:rPr>
        <w:t>г)</w:t>
      </w:r>
      <w:r w:rsidRPr="009072DA">
        <w:rPr>
          <w:lang w:val="bg-BG"/>
        </w:rPr>
        <w:tab/>
        <w:t>Ако противопожарната система е предназначена за защитата на няколко помещения, задействащите устройства за всяко помещение трябва да бъдат отделни и ясно указани.</w:t>
      </w:r>
    </w:p>
    <w:p w:rsidR="00E65F26" w:rsidRPr="009072DA" w:rsidRDefault="0029453D" w:rsidP="00824063">
      <w:pPr>
        <w:pStyle w:val="ESlet"/>
        <w:rPr>
          <w:lang w:val="bg-BG"/>
        </w:rPr>
      </w:pPr>
      <w:r w:rsidRPr="009072DA">
        <w:rPr>
          <w:lang w:val="bg-BG"/>
        </w:rPr>
        <w:t>д)</w:t>
      </w:r>
      <w:r w:rsidRPr="009072DA">
        <w:rPr>
          <w:lang w:val="bg-BG"/>
        </w:rPr>
        <w:tab/>
        <w:t>До всяко задействащо устройство ясно и неизличимо трябва да са изложени, на един от езиците на държавите членки, инструкции за действие. Те трябва да съдържат, в частност, инструкции относно:</w:t>
      </w:r>
    </w:p>
    <w:p w:rsidR="00E65F26" w:rsidRPr="009072DA" w:rsidRDefault="0029453D" w:rsidP="00574385">
      <w:pPr>
        <w:pStyle w:val="EStiret"/>
        <w:rPr>
          <w:noProof w:val="0"/>
          <w:lang w:val="bg-BG"/>
        </w:rPr>
      </w:pPr>
      <w:r w:rsidRPr="009072DA">
        <w:rPr>
          <w:noProof w:val="0"/>
          <w:lang w:val="bg-BG"/>
        </w:rPr>
        <w:lastRenderedPageBreak/>
        <w:t>aa)</w:t>
      </w:r>
      <w:r w:rsidRPr="009072DA">
        <w:rPr>
          <w:noProof w:val="0"/>
          <w:lang w:val="bg-BG"/>
        </w:rPr>
        <w:tab/>
        <w:t>задействането на противопожарната система;</w:t>
      </w:r>
    </w:p>
    <w:p w:rsidR="00E65F26" w:rsidRPr="009072DA" w:rsidRDefault="0029453D" w:rsidP="00574385">
      <w:pPr>
        <w:pStyle w:val="EStiret"/>
        <w:rPr>
          <w:noProof w:val="0"/>
          <w:lang w:val="bg-BG"/>
        </w:rPr>
      </w:pPr>
      <w:r w:rsidRPr="009072DA">
        <w:rPr>
          <w:noProof w:val="0"/>
          <w:lang w:val="bg-BG"/>
        </w:rPr>
        <w:t>бб)</w:t>
      </w:r>
      <w:r w:rsidRPr="009072DA">
        <w:rPr>
          <w:noProof w:val="0"/>
          <w:lang w:val="bg-BG"/>
        </w:rPr>
        <w:tab/>
        <w:t>необходимостта от проверка за гарантиране, че всички хора са излезли от защитеното помещение;</w:t>
      </w:r>
    </w:p>
    <w:p w:rsidR="00E65F26" w:rsidRPr="009072DA" w:rsidRDefault="00E65F26" w:rsidP="00574385">
      <w:pPr>
        <w:pStyle w:val="EStiret"/>
        <w:rPr>
          <w:noProof w:val="0"/>
          <w:lang w:val="bg-BG"/>
        </w:rPr>
      </w:pPr>
      <w:r w:rsidRPr="009072DA">
        <w:rPr>
          <w:noProof w:val="0"/>
          <w:lang w:val="bg-BG"/>
        </w:rPr>
        <w:t>вв)</w:t>
      </w:r>
      <w:r w:rsidRPr="009072DA">
        <w:rPr>
          <w:noProof w:val="0"/>
          <w:lang w:val="bg-BG"/>
        </w:rPr>
        <w:tab/>
        <w:t>действие, предприемано от екипажа, когато ппротивопожарната система се задейства, и при достъп до защитеното помещение след задействане или заливане, по-специално по отношение на евентуално наличие на опасни вещества;</w:t>
      </w:r>
    </w:p>
    <w:p w:rsidR="00E65F26" w:rsidRPr="009072DA" w:rsidRDefault="00E65F26" w:rsidP="00574385">
      <w:pPr>
        <w:pStyle w:val="EStiret"/>
        <w:rPr>
          <w:noProof w:val="0"/>
          <w:lang w:val="bg-BG"/>
        </w:rPr>
      </w:pPr>
      <w:r w:rsidRPr="009072DA">
        <w:rPr>
          <w:noProof w:val="0"/>
          <w:lang w:val="bg-BG"/>
        </w:rPr>
        <w:t>гг)</w:t>
      </w:r>
      <w:r w:rsidRPr="009072DA">
        <w:rPr>
          <w:noProof w:val="0"/>
          <w:lang w:val="bg-BG"/>
        </w:rPr>
        <w:tab/>
        <w:t>мерките, които трябва да предприема екипажът в случай на повреда на противопожарната система.</w:t>
      </w:r>
    </w:p>
    <w:p w:rsidR="00E65F26" w:rsidRPr="009072DA" w:rsidRDefault="0029453D" w:rsidP="00824063">
      <w:pPr>
        <w:pStyle w:val="ESlet"/>
        <w:rPr>
          <w:lang w:val="bg-BG"/>
        </w:rPr>
      </w:pPr>
      <w:r w:rsidRPr="009072DA">
        <w:rPr>
          <w:lang w:val="bg-BG"/>
        </w:rPr>
        <w:t>е)</w:t>
      </w:r>
      <w:r w:rsidRPr="009072DA">
        <w:rPr>
          <w:lang w:val="bg-BG"/>
        </w:rPr>
        <w:tab/>
        <w:t>Инструкциите за експлоатация трябва да посочват, че преди задействането на противопожарната система двигателите с вътрешно горене, засмукващи въздух от защитеното помещение, се изключват.</w:t>
      </w:r>
    </w:p>
    <w:p w:rsidR="00824063" w:rsidRPr="009072DA" w:rsidRDefault="00824063" w:rsidP="00E65F26">
      <w:pPr>
        <w:pStyle w:val="ESch"/>
        <w:rPr>
          <w:lang w:val="bg-BG"/>
        </w:rPr>
      </w:pPr>
    </w:p>
    <w:p w:rsidR="004C4825" w:rsidRPr="009072DA" w:rsidRDefault="004C4825">
      <w:pPr>
        <w:rPr>
          <w:lang w:val="bg-BG"/>
        </w:rPr>
      </w:pPr>
      <w:r w:rsidRPr="009072DA">
        <w:rPr>
          <w:lang w:val="bg-BG"/>
        </w:rPr>
        <w:br w:type="page"/>
      </w:r>
    </w:p>
    <w:p w:rsidR="00E65F26" w:rsidRPr="009072DA" w:rsidRDefault="00E65F26" w:rsidP="00E65F26">
      <w:pPr>
        <w:pStyle w:val="ESch"/>
        <w:rPr>
          <w:lang w:val="bg-BG"/>
        </w:rPr>
      </w:pPr>
      <w:r w:rsidRPr="009072DA">
        <w:rPr>
          <w:lang w:val="bg-BG"/>
        </w:rPr>
        <w:lastRenderedPageBreak/>
        <w:t>6.</w:t>
      </w:r>
      <w:r w:rsidRPr="009072DA">
        <w:rPr>
          <w:lang w:val="bg-BG"/>
        </w:rPr>
        <w:tab/>
        <w:t>Предупредителна система</w:t>
      </w:r>
    </w:p>
    <w:p w:rsidR="00E65F26" w:rsidRPr="009072DA" w:rsidRDefault="005C7859" w:rsidP="00824063">
      <w:pPr>
        <w:pStyle w:val="ESlet"/>
        <w:rPr>
          <w:lang w:val="bg-BG"/>
        </w:rPr>
      </w:pPr>
      <w:r w:rsidRPr="009072DA">
        <w:rPr>
          <w:lang w:val="bg-BG"/>
        </w:rPr>
        <w:t>a)</w:t>
      </w:r>
      <w:r w:rsidRPr="009072DA">
        <w:rPr>
          <w:lang w:val="bg-BG"/>
        </w:rPr>
        <w:tab/>
        <w:t>Постоянно монтираните противопожарни системи трябва да са оборудвани със звукови и оптични предупредителни.</w:t>
      </w:r>
    </w:p>
    <w:p w:rsidR="00E65F26" w:rsidRPr="009072DA" w:rsidRDefault="005C7859" w:rsidP="00824063">
      <w:pPr>
        <w:pStyle w:val="ESlet"/>
        <w:rPr>
          <w:lang w:val="bg-BG"/>
        </w:rPr>
      </w:pPr>
      <w:r w:rsidRPr="009072DA">
        <w:rPr>
          <w:lang w:val="bg-BG"/>
        </w:rPr>
        <w:t>б)</w:t>
      </w:r>
      <w:r w:rsidRPr="009072DA">
        <w:rPr>
          <w:lang w:val="bg-BG"/>
        </w:rPr>
        <w:tab/>
        <w:t>Предупредителната система се задейства автоматично веднага след първото задействане на противопожарната система. Предупредителният сигнал звучи в рамките на съответен период преди изпускането на пожарогасителния агент без да бъде възможно той да бъде изключен.</w:t>
      </w:r>
    </w:p>
    <w:p w:rsidR="00E65F26" w:rsidRPr="009072DA" w:rsidRDefault="005C7859" w:rsidP="00824063">
      <w:pPr>
        <w:pStyle w:val="ESlet"/>
        <w:rPr>
          <w:lang w:val="bg-BG"/>
        </w:rPr>
      </w:pPr>
      <w:r w:rsidRPr="009072DA">
        <w:rPr>
          <w:lang w:val="bg-BG"/>
        </w:rPr>
        <w:t>в)</w:t>
      </w:r>
      <w:r w:rsidRPr="009072DA">
        <w:rPr>
          <w:lang w:val="bg-BG"/>
        </w:rPr>
        <w:tab/>
        <w:t>Предупредителните сигнали трябва да са ясно видими в защитените помещения и в подстъпите към тях и да се чуват ясно, дори и при експлоатационни условия с най-висок присъщ шум. Те трябва да се отличават явно от всички други звукови и оптични сигнали в защитеното помещение.</w:t>
      </w:r>
    </w:p>
    <w:p w:rsidR="00E65F26" w:rsidRPr="009072DA" w:rsidRDefault="005C7859" w:rsidP="00824063">
      <w:pPr>
        <w:pStyle w:val="ESlet"/>
        <w:rPr>
          <w:lang w:val="bg-BG"/>
        </w:rPr>
      </w:pPr>
      <w:r w:rsidRPr="009072DA">
        <w:rPr>
          <w:lang w:val="bg-BG"/>
        </w:rPr>
        <w:t>г)</w:t>
      </w:r>
      <w:r w:rsidRPr="009072DA">
        <w:rPr>
          <w:lang w:val="bg-BG"/>
        </w:rPr>
        <w:tab/>
        <w:t>Звуковите предупредителни сигнали трябва да се чуват ясно и в прилежащите помещения, дори и когато свързващите врати са затворени и при експлоатационни условия с най-висок присъщ шум.</w:t>
      </w:r>
    </w:p>
    <w:p w:rsidR="00E65F26" w:rsidRPr="009072DA" w:rsidRDefault="0029453D" w:rsidP="00824063">
      <w:pPr>
        <w:pStyle w:val="ESlet"/>
        <w:rPr>
          <w:lang w:val="bg-BG"/>
        </w:rPr>
      </w:pPr>
      <w:r w:rsidRPr="009072DA">
        <w:rPr>
          <w:lang w:val="bg-BG"/>
        </w:rPr>
        <w:t>д)</w:t>
      </w:r>
      <w:r w:rsidRPr="009072DA">
        <w:rPr>
          <w:lang w:val="bg-BG"/>
        </w:rPr>
        <w:tab/>
        <w:t>В случай че предупредителната система не е самоследяща се по отношение на късите съединения, прекъсването на кабели и спадовете в напрежението, трябва да е възможно да се проверява дали тя работи правилно.</w:t>
      </w:r>
    </w:p>
    <w:p w:rsidR="00E65F26" w:rsidRPr="009072DA" w:rsidRDefault="0029453D" w:rsidP="00824063">
      <w:pPr>
        <w:pStyle w:val="ESlet"/>
        <w:rPr>
          <w:lang w:val="bg-BG"/>
        </w:rPr>
      </w:pPr>
      <w:r w:rsidRPr="009072DA">
        <w:rPr>
          <w:lang w:val="bg-BG"/>
        </w:rPr>
        <w:t>е)</w:t>
      </w:r>
      <w:r w:rsidRPr="009072DA">
        <w:rPr>
          <w:lang w:val="bg-BG"/>
        </w:rPr>
        <w:tab/>
        <w:t>При всеки вход към помещение, в което може да се подаде пожарогасителен агент, се поставя ясно видимо съобщение със следния текст с червени букви на бял фон:</w:t>
      </w:r>
    </w:p>
    <w:p w:rsidR="00E65F26" w:rsidRPr="009072DA" w:rsidRDefault="00FA3A9A" w:rsidP="001B5ABA">
      <w:pPr>
        <w:pStyle w:val="ESgauche"/>
        <w:spacing w:before="60"/>
        <w:jc w:val="center"/>
        <w:rPr>
          <w:noProof w:val="0"/>
          <w:lang w:val="bg-BG"/>
        </w:rPr>
      </w:pPr>
      <w:r w:rsidRPr="009072DA">
        <w:rPr>
          <w:noProof w:val="0"/>
          <w:lang w:val="bg-BG"/>
        </w:rPr>
        <w:t>„</w:t>
      </w:r>
      <w:r w:rsidR="0064343D" w:rsidRPr="009072DA">
        <w:rPr>
          <w:noProof w:val="0"/>
          <w:lang w:val="bg-BG"/>
        </w:rPr>
        <w:t>Vorsicht, Feuerlöscheinrichtung!</w:t>
      </w:r>
    </w:p>
    <w:p w:rsidR="00E65F26" w:rsidRPr="009072DA" w:rsidRDefault="00E65F26" w:rsidP="001B5ABA">
      <w:pPr>
        <w:pStyle w:val="ESgauche"/>
        <w:jc w:val="center"/>
        <w:rPr>
          <w:noProof w:val="0"/>
          <w:lang w:val="bg-BG"/>
        </w:rPr>
      </w:pPr>
      <w:r w:rsidRPr="009072DA">
        <w:rPr>
          <w:noProof w:val="0"/>
          <w:lang w:val="bg-BG"/>
        </w:rPr>
        <w:t>Bei Ertönen des Warnsignals (Beschreibung des Signals) den Raum sofort verlassen!</w:t>
      </w:r>
    </w:p>
    <w:p w:rsidR="00EC2B81" w:rsidRPr="009072DA" w:rsidRDefault="00EC2B81" w:rsidP="001B5ABA">
      <w:pPr>
        <w:pStyle w:val="ESgauche"/>
        <w:jc w:val="center"/>
        <w:rPr>
          <w:noProof w:val="0"/>
          <w:lang w:val="bg-BG"/>
        </w:rPr>
      </w:pPr>
    </w:p>
    <w:p w:rsidR="00E65F26" w:rsidRPr="009072DA" w:rsidRDefault="00E65F26" w:rsidP="001B5ABA">
      <w:pPr>
        <w:pStyle w:val="ESgauche"/>
        <w:jc w:val="center"/>
        <w:rPr>
          <w:noProof w:val="0"/>
          <w:lang w:val="bg-BG"/>
        </w:rPr>
      </w:pPr>
      <w:r w:rsidRPr="009072DA">
        <w:rPr>
          <w:noProof w:val="0"/>
          <w:lang w:val="bg-BG"/>
        </w:rPr>
        <w:t>Attention, installation d'extinction d'incendie !</w:t>
      </w:r>
    </w:p>
    <w:p w:rsidR="00E65F26" w:rsidRPr="009072DA" w:rsidRDefault="00E65F26" w:rsidP="001B5ABA">
      <w:pPr>
        <w:pStyle w:val="ESgauche"/>
        <w:jc w:val="center"/>
        <w:rPr>
          <w:noProof w:val="0"/>
          <w:lang w:val="bg-BG"/>
        </w:rPr>
      </w:pPr>
      <w:r w:rsidRPr="009072DA">
        <w:rPr>
          <w:noProof w:val="0"/>
          <w:lang w:val="bg-BG"/>
        </w:rPr>
        <w:t>Quitter immédiatement ce local au signal (description du signal) !</w:t>
      </w:r>
    </w:p>
    <w:p w:rsidR="00EC2B81" w:rsidRPr="009072DA" w:rsidRDefault="00EC2B81" w:rsidP="001B5ABA">
      <w:pPr>
        <w:pStyle w:val="ESgauche"/>
        <w:jc w:val="center"/>
        <w:rPr>
          <w:noProof w:val="0"/>
          <w:lang w:val="bg-BG"/>
        </w:rPr>
      </w:pPr>
    </w:p>
    <w:p w:rsidR="00E65F26" w:rsidRPr="009072DA" w:rsidRDefault="00E65F26" w:rsidP="001B5ABA">
      <w:pPr>
        <w:pStyle w:val="ESgauche"/>
        <w:jc w:val="center"/>
        <w:rPr>
          <w:noProof w:val="0"/>
          <w:lang w:val="bg-BG"/>
        </w:rPr>
      </w:pPr>
      <w:r w:rsidRPr="009072DA">
        <w:rPr>
          <w:noProof w:val="0"/>
          <w:lang w:val="bg-BG"/>
        </w:rPr>
        <w:t>Let op, brandblusinstallatie!</w:t>
      </w:r>
    </w:p>
    <w:p w:rsidR="00E65F26" w:rsidRPr="009072DA" w:rsidRDefault="00E65F26" w:rsidP="001B5ABA">
      <w:pPr>
        <w:pStyle w:val="ESgauche"/>
        <w:jc w:val="center"/>
        <w:rPr>
          <w:noProof w:val="0"/>
          <w:lang w:val="bg-BG"/>
        </w:rPr>
      </w:pPr>
      <w:r w:rsidRPr="009072DA">
        <w:rPr>
          <w:noProof w:val="0"/>
          <w:lang w:val="bg-BG"/>
        </w:rPr>
        <w:t>Bij het in werking treden van het alarmsignaal (omschrijving van het signaal) deze ruimte onmiddellijk verlaten!</w:t>
      </w:r>
    </w:p>
    <w:p w:rsidR="00EC2B81" w:rsidRPr="009072DA" w:rsidRDefault="00EC2B81" w:rsidP="001B5ABA">
      <w:pPr>
        <w:pStyle w:val="ESgauche"/>
        <w:jc w:val="center"/>
        <w:rPr>
          <w:noProof w:val="0"/>
          <w:lang w:val="bg-BG"/>
        </w:rPr>
      </w:pPr>
    </w:p>
    <w:p w:rsidR="00E65F26" w:rsidRPr="009072DA" w:rsidRDefault="00E65F26" w:rsidP="001B5ABA">
      <w:pPr>
        <w:pStyle w:val="ESgauche"/>
        <w:jc w:val="center"/>
        <w:rPr>
          <w:noProof w:val="0"/>
          <w:lang w:val="bg-BG"/>
        </w:rPr>
      </w:pPr>
      <w:r w:rsidRPr="009072DA">
        <w:rPr>
          <w:noProof w:val="0"/>
          <w:lang w:val="bg-BG"/>
        </w:rPr>
        <w:t>Warning, fire-fighting installation!</w:t>
      </w:r>
    </w:p>
    <w:p w:rsidR="00E65F26" w:rsidRPr="009072DA" w:rsidRDefault="00E65F26" w:rsidP="001B5ABA">
      <w:pPr>
        <w:pStyle w:val="ESgauche"/>
        <w:jc w:val="center"/>
        <w:rPr>
          <w:noProof w:val="0"/>
          <w:lang w:val="bg-BG"/>
        </w:rPr>
      </w:pPr>
      <w:r w:rsidRPr="009072DA">
        <w:rPr>
          <w:noProof w:val="0"/>
          <w:lang w:val="bg-BG"/>
        </w:rPr>
        <w:t>Leave the room as soon as the warning signal sounds (description of signal)!</w:t>
      </w:r>
      <w:r w:rsidR="00FA3A9A" w:rsidRPr="009072DA">
        <w:rPr>
          <w:noProof w:val="0"/>
          <w:lang w:val="bg-BG"/>
        </w:rPr>
        <w:t>“</w:t>
      </w:r>
      <w:r w:rsidR="00FA3A9A">
        <w:rPr>
          <w:noProof w:val="0"/>
          <w:lang w:val="bg-BG"/>
        </w:rPr>
        <w:t>.</w:t>
      </w:r>
    </w:p>
    <w:p w:rsidR="00824063" w:rsidRPr="009072DA" w:rsidRDefault="00824063" w:rsidP="001B5ABA">
      <w:pPr>
        <w:pStyle w:val="ESgauche"/>
        <w:jc w:val="center"/>
        <w:rPr>
          <w:noProof w:val="0"/>
          <w:lang w:val="bg-BG"/>
        </w:rPr>
      </w:pPr>
    </w:p>
    <w:p w:rsidR="00E65F26" w:rsidRPr="009072DA" w:rsidRDefault="00E65F26" w:rsidP="00E65F26">
      <w:pPr>
        <w:pStyle w:val="ESch"/>
        <w:rPr>
          <w:lang w:val="bg-BG"/>
        </w:rPr>
      </w:pPr>
      <w:r w:rsidRPr="009072DA">
        <w:rPr>
          <w:lang w:val="bg-BG"/>
        </w:rPr>
        <w:t>7.</w:t>
      </w:r>
      <w:r w:rsidRPr="009072DA">
        <w:rPr>
          <w:lang w:val="bg-BG"/>
        </w:rPr>
        <w:tab/>
        <w:t>Резервоари под налягане, арматура и тръби под налягане</w:t>
      </w:r>
    </w:p>
    <w:p w:rsidR="00E65F26" w:rsidRPr="009072DA" w:rsidRDefault="005C7859" w:rsidP="00824063">
      <w:pPr>
        <w:pStyle w:val="ESlet"/>
        <w:rPr>
          <w:lang w:val="bg-BG"/>
        </w:rPr>
      </w:pPr>
      <w:r w:rsidRPr="009072DA">
        <w:rPr>
          <w:lang w:val="bg-BG"/>
        </w:rPr>
        <w:t>a)</w:t>
      </w:r>
      <w:r w:rsidRPr="009072DA">
        <w:rPr>
          <w:lang w:val="bg-BG"/>
        </w:rPr>
        <w:tab/>
        <w:t>Резервоарите под налягане, арматурата и тръбите под налягане трябва да съответстват на действащите разпоредби в една от държавите членки.</w:t>
      </w:r>
    </w:p>
    <w:p w:rsidR="00E65F26" w:rsidRPr="009072DA" w:rsidRDefault="005C7859" w:rsidP="00824063">
      <w:pPr>
        <w:pStyle w:val="ESlet"/>
        <w:rPr>
          <w:lang w:val="bg-BG"/>
        </w:rPr>
      </w:pPr>
      <w:r w:rsidRPr="009072DA">
        <w:rPr>
          <w:lang w:val="bg-BG"/>
        </w:rPr>
        <w:lastRenderedPageBreak/>
        <w:t>б)</w:t>
      </w:r>
      <w:r w:rsidRPr="009072DA">
        <w:rPr>
          <w:lang w:val="bg-BG"/>
        </w:rPr>
        <w:tab/>
        <w:t>Резервоарите под налягане трябва да са монтирани в съответствие с инструкциите на производителя.</w:t>
      </w:r>
    </w:p>
    <w:p w:rsidR="00E65F26" w:rsidRPr="009072DA" w:rsidRDefault="005C7859" w:rsidP="00824063">
      <w:pPr>
        <w:pStyle w:val="ESlet"/>
        <w:rPr>
          <w:lang w:val="bg-BG"/>
        </w:rPr>
      </w:pPr>
      <w:r w:rsidRPr="009072DA">
        <w:rPr>
          <w:lang w:val="bg-BG"/>
        </w:rPr>
        <w:t>в)</w:t>
      </w:r>
      <w:r w:rsidRPr="009072DA">
        <w:rPr>
          <w:lang w:val="bg-BG"/>
        </w:rPr>
        <w:tab/>
        <w:t>Резервоарите под налягане, арматурата и тръбите под налягане не трябва да се монтират в жилищните помещения.</w:t>
      </w:r>
    </w:p>
    <w:p w:rsidR="00E65F26" w:rsidRPr="009072DA" w:rsidRDefault="005C7859" w:rsidP="00824063">
      <w:pPr>
        <w:pStyle w:val="ESlet"/>
        <w:rPr>
          <w:lang w:val="bg-BG"/>
        </w:rPr>
      </w:pPr>
      <w:r w:rsidRPr="009072DA">
        <w:rPr>
          <w:lang w:val="bg-BG"/>
        </w:rPr>
        <w:t>г)</w:t>
      </w:r>
      <w:r w:rsidRPr="009072DA">
        <w:rPr>
          <w:lang w:val="bg-BG"/>
        </w:rPr>
        <w:tab/>
        <w:t>Температурата в шкафовете и пространствата за монтаж, в които има резервоари под налягане, не трябва да превишава 50 °С.</w:t>
      </w:r>
    </w:p>
    <w:p w:rsidR="00E65F26" w:rsidRPr="009072DA" w:rsidRDefault="0029453D" w:rsidP="00824063">
      <w:pPr>
        <w:pStyle w:val="ESlet"/>
        <w:rPr>
          <w:lang w:val="bg-BG"/>
        </w:rPr>
      </w:pPr>
      <w:r w:rsidRPr="009072DA">
        <w:rPr>
          <w:lang w:val="bg-BG"/>
        </w:rPr>
        <w:t>д)</w:t>
      </w:r>
      <w:r w:rsidRPr="009072DA">
        <w:rPr>
          <w:lang w:val="bg-BG"/>
        </w:rPr>
        <w:tab/>
        <w:t>Шкафовете или пространствата за монтаж на палубата се укрепват неподвижно на мястото си и се оборудват с отдушници, които се подреждат по такъв начин, че в случай на изпускане от резервоар под налягане, газ да не може да проникне във вътрешността на плавателния съд. Преки връзки с други помещения не се допускат.</w:t>
      </w:r>
    </w:p>
    <w:p w:rsidR="00824063" w:rsidRPr="009072DA" w:rsidRDefault="00824063" w:rsidP="00E65F26">
      <w:pPr>
        <w:pStyle w:val="ESch"/>
        <w:rPr>
          <w:lang w:val="bg-BG"/>
        </w:rPr>
      </w:pPr>
    </w:p>
    <w:p w:rsidR="00771FEA" w:rsidRPr="009072DA" w:rsidRDefault="00771FEA" w:rsidP="00E65F26">
      <w:pPr>
        <w:pStyle w:val="ESch"/>
        <w:rPr>
          <w:lang w:val="bg-BG"/>
        </w:rPr>
      </w:pPr>
      <w:r w:rsidRPr="009072DA">
        <w:rPr>
          <w:lang w:val="bg-BG"/>
        </w:rPr>
        <w:br w:type="page"/>
      </w:r>
    </w:p>
    <w:p w:rsidR="00E65F26" w:rsidRPr="009072DA" w:rsidRDefault="00E65F26" w:rsidP="00E65F26">
      <w:pPr>
        <w:pStyle w:val="ESch"/>
        <w:rPr>
          <w:lang w:val="bg-BG"/>
        </w:rPr>
      </w:pPr>
      <w:r w:rsidRPr="009072DA">
        <w:rPr>
          <w:lang w:val="bg-BG"/>
        </w:rPr>
        <w:lastRenderedPageBreak/>
        <w:t>8.</w:t>
      </w:r>
      <w:r w:rsidRPr="009072DA">
        <w:rPr>
          <w:lang w:val="bg-BG"/>
        </w:rPr>
        <w:tab/>
        <w:t>Количество на пожарогасителния агент</w:t>
      </w:r>
    </w:p>
    <w:p w:rsidR="00824063" w:rsidRPr="009072DA" w:rsidRDefault="00824063" w:rsidP="00824063">
      <w:pPr>
        <w:pStyle w:val="ESchpar"/>
        <w:rPr>
          <w:lang w:val="bg-BG"/>
        </w:rPr>
      </w:pPr>
    </w:p>
    <w:p w:rsidR="00E65F26" w:rsidRPr="009072DA" w:rsidRDefault="00E65F26" w:rsidP="00824063">
      <w:pPr>
        <w:pStyle w:val="ESchpar"/>
        <w:rPr>
          <w:lang w:val="bg-BG"/>
        </w:rPr>
      </w:pPr>
      <w:r w:rsidRPr="009072DA">
        <w:rPr>
          <w:lang w:val="bg-BG"/>
        </w:rPr>
        <w:t>Ако количеството на пожарогасителния агент е предвидено за използване в повече от едно помещение, общото налично количество пожарогасителен агент не е необходимо да бъде по-голямо от количеството, необходимо за най-голямото защитено помещение.</w:t>
      </w:r>
    </w:p>
    <w:p w:rsidR="00824063" w:rsidRPr="009072DA" w:rsidRDefault="00824063" w:rsidP="00E65F26">
      <w:pPr>
        <w:pStyle w:val="ESch"/>
        <w:rPr>
          <w:lang w:val="bg-BG"/>
        </w:rPr>
      </w:pPr>
    </w:p>
    <w:p w:rsidR="00E65F26" w:rsidRPr="009072DA" w:rsidRDefault="00E65F26" w:rsidP="00E65F26">
      <w:pPr>
        <w:pStyle w:val="ESch"/>
        <w:rPr>
          <w:lang w:val="bg-BG"/>
        </w:rPr>
      </w:pPr>
      <w:r w:rsidRPr="009072DA">
        <w:rPr>
          <w:lang w:val="bg-BG"/>
        </w:rPr>
        <w:t>9.</w:t>
      </w:r>
      <w:r w:rsidRPr="009072DA">
        <w:rPr>
          <w:lang w:val="bg-BG"/>
        </w:rPr>
        <w:tab/>
        <w:t>Монтаж, проверка и документиране</w:t>
      </w:r>
    </w:p>
    <w:p w:rsidR="00E65F26" w:rsidRPr="009072DA" w:rsidRDefault="005C7859" w:rsidP="00824063">
      <w:pPr>
        <w:pStyle w:val="ESlet"/>
        <w:rPr>
          <w:lang w:val="bg-BG"/>
        </w:rPr>
      </w:pPr>
      <w:r w:rsidRPr="009072DA">
        <w:rPr>
          <w:lang w:val="bg-BG"/>
        </w:rPr>
        <w:t>a)</w:t>
      </w:r>
      <w:r w:rsidRPr="009072DA">
        <w:rPr>
          <w:lang w:val="bg-BG"/>
        </w:rPr>
        <w:tab/>
        <w:t>Монтажът или преустройството на системата се осъществяват само от фирма, специализирана в противопожарни системи. Изискванията, определени от производителя на пожарогасителния агент и на системата (спецификация на продукта, спецификация, свързани с безопасността), трябва да са спазени. Поддръжка, по-специално на състоянието на разпръскващите дюзи, се извършва редовно в съответствие с инструкциите на производителя на системата или производителя на пожарогасителния агент (спецификация).</w:t>
      </w:r>
    </w:p>
    <w:p w:rsidR="00E65F26" w:rsidRPr="009072DA" w:rsidRDefault="005C7859" w:rsidP="00824063">
      <w:pPr>
        <w:pStyle w:val="ESlet"/>
        <w:rPr>
          <w:lang w:val="bg-BG"/>
        </w:rPr>
      </w:pPr>
      <w:r w:rsidRPr="009072DA">
        <w:rPr>
          <w:lang w:val="bg-BG"/>
        </w:rPr>
        <w:t>б)</w:t>
      </w:r>
      <w:r w:rsidRPr="009072DA">
        <w:rPr>
          <w:lang w:val="bg-BG"/>
        </w:rPr>
        <w:tab/>
        <w:t>Системата трябва да се проверява от експерт:</w:t>
      </w:r>
    </w:p>
    <w:p w:rsidR="00E65F26" w:rsidRPr="009072DA" w:rsidRDefault="0029453D" w:rsidP="00771FEA">
      <w:pPr>
        <w:pStyle w:val="EStiret"/>
        <w:rPr>
          <w:noProof w:val="0"/>
          <w:lang w:val="bg-BG"/>
        </w:rPr>
      </w:pPr>
      <w:r w:rsidRPr="009072DA">
        <w:rPr>
          <w:noProof w:val="0"/>
          <w:lang w:val="bg-BG"/>
        </w:rPr>
        <w:t>aa)</w:t>
      </w:r>
      <w:r w:rsidRPr="009072DA">
        <w:rPr>
          <w:noProof w:val="0"/>
          <w:lang w:val="bg-BG"/>
        </w:rPr>
        <w:tab/>
        <w:t>преди първоначално пускане в експлоатация;</w:t>
      </w:r>
    </w:p>
    <w:p w:rsidR="00E65F26" w:rsidRPr="009072DA" w:rsidRDefault="0029453D" w:rsidP="00771FEA">
      <w:pPr>
        <w:pStyle w:val="EStiret"/>
        <w:rPr>
          <w:noProof w:val="0"/>
          <w:lang w:val="bg-BG"/>
        </w:rPr>
      </w:pPr>
      <w:r w:rsidRPr="009072DA">
        <w:rPr>
          <w:noProof w:val="0"/>
          <w:lang w:val="bg-BG"/>
        </w:rPr>
        <w:t>бб)</w:t>
      </w:r>
      <w:r w:rsidRPr="009072DA">
        <w:rPr>
          <w:noProof w:val="0"/>
          <w:lang w:val="bg-BG"/>
        </w:rPr>
        <w:tab/>
        <w:t>преди повторно пускане в експлоатация, след като е била задействана;</w:t>
      </w:r>
    </w:p>
    <w:p w:rsidR="00E65F26" w:rsidRPr="009072DA" w:rsidRDefault="00E65F26" w:rsidP="00771FEA">
      <w:pPr>
        <w:pStyle w:val="EStiret"/>
        <w:rPr>
          <w:noProof w:val="0"/>
          <w:lang w:val="bg-BG"/>
        </w:rPr>
      </w:pPr>
      <w:r w:rsidRPr="009072DA">
        <w:rPr>
          <w:noProof w:val="0"/>
          <w:lang w:val="bg-BG"/>
        </w:rPr>
        <w:t>вв)</w:t>
      </w:r>
      <w:r w:rsidRPr="009072DA">
        <w:rPr>
          <w:noProof w:val="0"/>
          <w:lang w:val="bg-BG"/>
        </w:rPr>
        <w:tab/>
        <w:t>преди повторно пускане в експлоатация след всяко по-съществено изменение или ремонт; и</w:t>
      </w:r>
    </w:p>
    <w:p w:rsidR="00E65F26" w:rsidRPr="009072DA" w:rsidRDefault="00E65F26" w:rsidP="00771FEA">
      <w:pPr>
        <w:pStyle w:val="EStiret"/>
        <w:rPr>
          <w:noProof w:val="0"/>
          <w:lang w:val="bg-BG"/>
        </w:rPr>
      </w:pPr>
      <w:r w:rsidRPr="009072DA">
        <w:rPr>
          <w:noProof w:val="0"/>
          <w:lang w:val="bg-BG"/>
        </w:rPr>
        <w:t>гг)</w:t>
      </w:r>
      <w:r w:rsidRPr="009072DA">
        <w:rPr>
          <w:noProof w:val="0"/>
          <w:lang w:val="bg-BG"/>
        </w:rPr>
        <w:tab/>
        <w:t>редовно, най-малко на всеки две години.</w:t>
      </w:r>
    </w:p>
    <w:p w:rsidR="00E65F26" w:rsidRPr="009072DA" w:rsidRDefault="00E65F26" w:rsidP="00771FEA">
      <w:pPr>
        <w:pStyle w:val="ESletpar"/>
        <w:rPr>
          <w:lang w:val="bg-BG"/>
        </w:rPr>
      </w:pPr>
      <w:r w:rsidRPr="009072DA">
        <w:rPr>
          <w:lang w:val="bg-BG"/>
        </w:rPr>
        <w:t>Проверките, посочени в буква гг), могат да бъдат извършвани от компетентно лице от компетентна фирма, специализирана в пожарогасителни системи.</w:t>
      </w:r>
    </w:p>
    <w:p w:rsidR="00E65F26" w:rsidRPr="009072DA" w:rsidRDefault="005C7859" w:rsidP="00824063">
      <w:pPr>
        <w:pStyle w:val="ESlet"/>
        <w:rPr>
          <w:lang w:val="bg-BG"/>
        </w:rPr>
      </w:pPr>
      <w:r w:rsidRPr="009072DA">
        <w:rPr>
          <w:lang w:val="bg-BG"/>
        </w:rPr>
        <w:t>в)</w:t>
      </w:r>
      <w:r w:rsidRPr="009072DA">
        <w:rPr>
          <w:lang w:val="bg-BG"/>
        </w:rPr>
        <w:tab/>
        <w:t>При проверката експертът или компетентното лице проверява дали системата отговаря на изискванията на настоящия член.</w:t>
      </w:r>
    </w:p>
    <w:p w:rsidR="00E65F26" w:rsidRPr="009072DA" w:rsidRDefault="005C7859" w:rsidP="00824063">
      <w:pPr>
        <w:pStyle w:val="ESlet"/>
        <w:rPr>
          <w:lang w:val="bg-BG"/>
        </w:rPr>
      </w:pPr>
      <w:r w:rsidRPr="009072DA">
        <w:rPr>
          <w:lang w:val="bg-BG"/>
        </w:rPr>
        <w:t>г)</w:t>
      </w:r>
      <w:r w:rsidRPr="009072DA">
        <w:rPr>
          <w:lang w:val="bg-BG"/>
        </w:rPr>
        <w:tab/>
        <w:t>Проверката обхваща най-малко следното:</w:t>
      </w:r>
    </w:p>
    <w:p w:rsidR="00E65F26" w:rsidRPr="009072DA" w:rsidRDefault="0029453D" w:rsidP="00771FEA">
      <w:pPr>
        <w:pStyle w:val="EStiret"/>
        <w:rPr>
          <w:noProof w:val="0"/>
          <w:lang w:val="bg-BG"/>
        </w:rPr>
      </w:pPr>
      <w:r w:rsidRPr="009072DA">
        <w:rPr>
          <w:noProof w:val="0"/>
          <w:lang w:val="bg-BG"/>
        </w:rPr>
        <w:t>aa)</w:t>
      </w:r>
      <w:r w:rsidRPr="009072DA">
        <w:rPr>
          <w:noProof w:val="0"/>
          <w:lang w:val="bg-BG"/>
        </w:rPr>
        <w:tab/>
        <w:t>външен оглед на цялата инсталация;</w:t>
      </w:r>
    </w:p>
    <w:p w:rsidR="00E65F26" w:rsidRPr="009072DA" w:rsidRDefault="0029453D" w:rsidP="00824063">
      <w:pPr>
        <w:pStyle w:val="EStiret"/>
        <w:rPr>
          <w:noProof w:val="0"/>
          <w:lang w:val="bg-BG"/>
        </w:rPr>
      </w:pPr>
      <w:r w:rsidRPr="009072DA">
        <w:rPr>
          <w:noProof w:val="0"/>
          <w:lang w:val="bg-BG"/>
        </w:rPr>
        <w:t>бб)</w:t>
      </w:r>
      <w:r w:rsidRPr="009072DA">
        <w:rPr>
          <w:noProof w:val="0"/>
          <w:lang w:val="bg-BG"/>
        </w:rPr>
        <w:tab/>
        <w:t>проверка на непроницаемостта на тръбите;</w:t>
      </w:r>
    </w:p>
    <w:p w:rsidR="00E65F26" w:rsidRPr="009072DA" w:rsidRDefault="00E65F26" w:rsidP="00824063">
      <w:pPr>
        <w:pStyle w:val="EStiret"/>
        <w:rPr>
          <w:noProof w:val="0"/>
          <w:lang w:val="bg-BG"/>
        </w:rPr>
      </w:pPr>
      <w:r w:rsidRPr="009072DA">
        <w:rPr>
          <w:noProof w:val="0"/>
          <w:lang w:val="bg-BG"/>
        </w:rPr>
        <w:t>вв)</w:t>
      </w:r>
      <w:r w:rsidRPr="009072DA">
        <w:rPr>
          <w:noProof w:val="0"/>
          <w:lang w:val="bg-BG"/>
        </w:rPr>
        <w:tab/>
        <w:t>проверка на работата на системите за контрол и задействане;</w:t>
      </w:r>
    </w:p>
    <w:p w:rsidR="00E65F26" w:rsidRPr="009072DA" w:rsidRDefault="00E65F26" w:rsidP="00824063">
      <w:pPr>
        <w:pStyle w:val="EStiret"/>
        <w:rPr>
          <w:noProof w:val="0"/>
          <w:lang w:val="bg-BG"/>
        </w:rPr>
      </w:pPr>
      <w:r w:rsidRPr="009072DA">
        <w:rPr>
          <w:noProof w:val="0"/>
          <w:lang w:val="bg-BG"/>
        </w:rPr>
        <w:t>гг)</w:t>
      </w:r>
      <w:r w:rsidRPr="009072DA">
        <w:rPr>
          <w:noProof w:val="0"/>
          <w:lang w:val="bg-BG"/>
        </w:rPr>
        <w:tab/>
        <w:t>проверка на налягането и съдържанието на резервоара;</w:t>
      </w:r>
    </w:p>
    <w:p w:rsidR="00E65F26" w:rsidRPr="009072DA" w:rsidRDefault="00E65F26" w:rsidP="00824063">
      <w:pPr>
        <w:pStyle w:val="EStiret"/>
        <w:rPr>
          <w:noProof w:val="0"/>
          <w:lang w:val="bg-BG"/>
        </w:rPr>
      </w:pPr>
      <w:r w:rsidRPr="009072DA">
        <w:rPr>
          <w:noProof w:val="0"/>
          <w:lang w:val="bg-BG"/>
        </w:rPr>
        <w:t>дд)</w:t>
      </w:r>
      <w:r w:rsidRPr="009072DA">
        <w:rPr>
          <w:noProof w:val="0"/>
          <w:lang w:val="bg-BG"/>
        </w:rPr>
        <w:tab/>
        <w:t>проверка на херметичността и механизмите за заключване на защитеното помещение;</w:t>
      </w:r>
    </w:p>
    <w:p w:rsidR="00E65F26" w:rsidRPr="009072DA" w:rsidRDefault="00E65F26" w:rsidP="00824063">
      <w:pPr>
        <w:pStyle w:val="EStiret"/>
        <w:rPr>
          <w:noProof w:val="0"/>
          <w:lang w:val="bg-BG"/>
        </w:rPr>
      </w:pPr>
      <w:r w:rsidRPr="009072DA">
        <w:rPr>
          <w:noProof w:val="0"/>
          <w:lang w:val="bg-BG"/>
        </w:rPr>
        <w:t>ее)</w:t>
      </w:r>
      <w:r w:rsidRPr="009072DA">
        <w:rPr>
          <w:noProof w:val="0"/>
          <w:lang w:val="bg-BG"/>
        </w:rPr>
        <w:tab/>
        <w:t>проверка на пожароизвестителната система;</w:t>
      </w:r>
    </w:p>
    <w:p w:rsidR="00E65F26" w:rsidRPr="009072DA" w:rsidRDefault="00E65F26" w:rsidP="00824063">
      <w:pPr>
        <w:pStyle w:val="EStiret"/>
        <w:rPr>
          <w:noProof w:val="0"/>
          <w:lang w:val="bg-BG"/>
        </w:rPr>
      </w:pPr>
      <w:r w:rsidRPr="009072DA">
        <w:rPr>
          <w:noProof w:val="0"/>
          <w:lang w:val="bg-BG"/>
        </w:rPr>
        <w:t>жж)</w:t>
      </w:r>
      <w:r w:rsidRPr="009072DA">
        <w:rPr>
          <w:noProof w:val="0"/>
          <w:lang w:val="bg-BG"/>
        </w:rPr>
        <w:tab/>
        <w:t>проверка на предупредителната система.</w:t>
      </w:r>
    </w:p>
    <w:p w:rsidR="00E65F26" w:rsidRPr="009072DA" w:rsidRDefault="0029453D" w:rsidP="00824063">
      <w:pPr>
        <w:pStyle w:val="ESlet"/>
        <w:rPr>
          <w:lang w:val="bg-BG"/>
        </w:rPr>
      </w:pPr>
      <w:r w:rsidRPr="009072DA">
        <w:rPr>
          <w:lang w:val="bg-BG"/>
        </w:rPr>
        <w:t>д)</w:t>
      </w:r>
      <w:r w:rsidRPr="009072DA">
        <w:rPr>
          <w:lang w:val="bg-BG"/>
        </w:rPr>
        <w:tab/>
        <w:t>Издава се удостоверение за проверката, подписано от експерта и посочващо датата на проверката.</w:t>
      </w:r>
    </w:p>
    <w:p w:rsidR="00E65F26" w:rsidRPr="009072DA" w:rsidRDefault="0029453D" w:rsidP="00824063">
      <w:pPr>
        <w:pStyle w:val="ESlet"/>
        <w:rPr>
          <w:lang w:val="bg-BG"/>
        </w:rPr>
      </w:pPr>
      <w:r w:rsidRPr="009072DA">
        <w:rPr>
          <w:lang w:val="bg-BG"/>
        </w:rPr>
        <w:lastRenderedPageBreak/>
        <w:t>е)</w:t>
      </w:r>
      <w:r w:rsidRPr="009072DA">
        <w:rPr>
          <w:lang w:val="bg-BG"/>
        </w:rPr>
        <w:tab/>
        <w:t>Броят на неподвижно монтираните противопожарни системи се записва в удостоверението на плавателния съд за плаване по вътрешни водни пътища.</w:t>
      </w:r>
    </w:p>
    <w:p w:rsidR="00824063" w:rsidRPr="009072DA" w:rsidRDefault="00824063" w:rsidP="00E65F26">
      <w:pPr>
        <w:pStyle w:val="ESch"/>
        <w:rPr>
          <w:lang w:val="bg-BG"/>
        </w:rPr>
      </w:pPr>
    </w:p>
    <w:p w:rsidR="00E65F26" w:rsidRPr="009072DA" w:rsidRDefault="00E65F26" w:rsidP="00E65F26">
      <w:pPr>
        <w:pStyle w:val="ESch"/>
        <w:rPr>
          <w:lang w:val="bg-BG"/>
        </w:rPr>
      </w:pPr>
      <w:r w:rsidRPr="009072DA">
        <w:rPr>
          <w:lang w:val="bg-BG"/>
        </w:rPr>
        <w:t>10.</w:t>
      </w:r>
      <w:r w:rsidRPr="009072DA">
        <w:rPr>
          <w:lang w:val="bg-BG"/>
        </w:rPr>
        <w:tab/>
        <w:t>Противопожарни системи с CO</w:t>
      </w:r>
      <w:r w:rsidRPr="009072DA">
        <w:rPr>
          <w:vertAlign w:val="subscript"/>
          <w:lang w:val="bg-BG"/>
        </w:rPr>
        <w:t>2</w:t>
      </w:r>
    </w:p>
    <w:p w:rsidR="00824063" w:rsidRPr="009072DA" w:rsidRDefault="00824063" w:rsidP="00824063">
      <w:pPr>
        <w:pStyle w:val="ESchpar"/>
        <w:rPr>
          <w:lang w:val="bg-BG"/>
        </w:rPr>
      </w:pPr>
    </w:p>
    <w:p w:rsidR="00E65F26" w:rsidRPr="009072DA" w:rsidRDefault="00E65F26" w:rsidP="00824063">
      <w:pPr>
        <w:pStyle w:val="ESchpar"/>
        <w:rPr>
          <w:lang w:val="bg-BG"/>
        </w:rPr>
      </w:pPr>
      <w:r w:rsidRPr="009072DA">
        <w:rPr>
          <w:lang w:val="bg-BG"/>
        </w:rPr>
        <w:t>Противопожарните системи с използване на CO</w:t>
      </w:r>
      <w:r w:rsidRPr="009072DA">
        <w:rPr>
          <w:vertAlign w:val="subscript"/>
          <w:lang w:val="bg-BG"/>
        </w:rPr>
        <w:t>2</w:t>
      </w:r>
      <w:r w:rsidRPr="009072DA">
        <w:rPr>
          <w:lang w:val="bg-BG"/>
        </w:rPr>
        <w:t xml:space="preserve"> като пожарогасителен агент следва да са съобразени с изброените по-долу разпоредби в допълнение към изискванията по точки 1 — 9:</w:t>
      </w:r>
    </w:p>
    <w:p w:rsidR="00E65F26" w:rsidRPr="009072DA" w:rsidRDefault="005C7859" w:rsidP="00824063">
      <w:pPr>
        <w:pStyle w:val="ESlet"/>
        <w:rPr>
          <w:lang w:val="bg-BG"/>
        </w:rPr>
      </w:pPr>
      <w:r w:rsidRPr="009072DA">
        <w:rPr>
          <w:lang w:val="bg-BG"/>
        </w:rPr>
        <w:t>a)</w:t>
      </w:r>
      <w:r w:rsidRPr="009072DA">
        <w:rPr>
          <w:lang w:val="bg-BG"/>
        </w:rPr>
        <w:tab/>
        <w:t>контейнерите за CO</w:t>
      </w:r>
      <w:r w:rsidRPr="009072DA">
        <w:rPr>
          <w:vertAlign w:val="subscript"/>
          <w:lang w:val="bg-BG"/>
        </w:rPr>
        <w:t>2</w:t>
      </w:r>
      <w:r w:rsidRPr="009072DA">
        <w:rPr>
          <w:lang w:val="bg-BG"/>
        </w:rPr>
        <w:t xml:space="preserve"> се разполагат извън защитеното помещение на място или в шкаф, херметично отделени от останалите помещения. Вратите на тези пространства на съоръженията и шкафовете се отварят навън, могат да се заключват и върху тях от външната страна се поставя символът „Предупреждение за обща опасност“ в съответствие с фигура 4 от приложение 4, с височина поне 5 cm заедно с маркировката „СО</w:t>
      </w:r>
      <w:r w:rsidRPr="009072DA">
        <w:rPr>
          <w:vertAlign w:val="subscript"/>
          <w:lang w:val="bg-BG"/>
        </w:rPr>
        <w:t>2</w:t>
      </w:r>
      <w:r w:rsidRPr="009072DA">
        <w:rPr>
          <w:lang w:val="bg-BG"/>
        </w:rPr>
        <w:t>“ със същите цвят и височина.</w:t>
      </w:r>
    </w:p>
    <w:p w:rsidR="00E65F26" w:rsidRPr="009072DA" w:rsidRDefault="005C7859" w:rsidP="00824063">
      <w:pPr>
        <w:pStyle w:val="ESlet"/>
        <w:rPr>
          <w:lang w:val="bg-BG"/>
        </w:rPr>
      </w:pPr>
      <w:r w:rsidRPr="009072DA">
        <w:rPr>
          <w:lang w:val="bg-BG"/>
        </w:rPr>
        <w:t>б)</w:t>
      </w:r>
      <w:r w:rsidRPr="009072DA">
        <w:rPr>
          <w:lang w:val="bg-BG"/>
        </w:rPr>
        <w:tab/>
        <w:t>Местата за монтиране на контейнерите за CO</w:t>
      </w:r>
      <w:r w:rsidRPr="009072DA">
        <w:rPr>
          <w:vertAlign w:val="subscript"/>
          <w:lang w:val="bg-BG"/>
        </w:rPr>
        <w:t>2</w:t>
      </w:r>
      <w:r w:rsidRPr="009072DA">
        <w:rPr>
          <w:lang w:val="bg-BG"/>
        </w:rPr>
        <w:t xml:space="preserve"> под палубите са достъпни само от откритата палуба. Тези места имат собствена подходяща система за изкуствена вентилация с отвеждащи въздуховоди, изцяло отделена от другите вентилационни системи на борда.</w:t>
      </w:r>
    </w:p>
    <w:p w:rsidR="00771FEA" w:rsidRPr="009072DA" w:rsidRDefault="00771FEA" w:rsidP="00824063">
      <w:pPr>
        <w:pStyle w:val="ESlet"/>
        <w:rPr>
          <w:lang w:val="bg-BG"/>
        </w:rPr>
      </w:pPr>
    </w:p>
    <w:p w:rsidR="00771FEA" w:rsidRPr="009072DA" w:rsidRDefault="00771FEA" w:rsidP="00824063">
      <w:pPr>
        <w:pStyle w:val="ESlet"/>
        <w:rPr>
          <w:lang w:val="bg-BG"/>
        </w:rPr>
      </w:pPr>
      <w:r w:rsidRPr="009072DA">
        <w:rPr>
          <w:lang w:val="bg-BG"/>
        </w:rPr>
        <w:br w:type="page"/>
      </w:r>
    </w:p>
    <w:p w:rsidR="00E65F26" w:rsidRPr="009072DA" w:rsidRDefault="005C7859" w:rsidP="00824063">
      <w:pPr>
        <w:pStyle w:val="ESlet"/>
        <w:rPr>
          <w:lang w:val="bg-BG"/>
        </w:rPr>
      </w:pPr>
      <w:r w:rsidRPr="009072DA">
        <w:rPr>
          <w:lang w:val="bg-BG"/>
        </w:rPr>
        <w:lastRenderedPageBreak/>
        <w:t>в)</w:t>
      </w:r>
      <w:r w:rsidRPr="009072DA">
        <w:rPr>
          <w:lang w:val="bg-BG"/>
        </w:rPr>
        <w:tab/>
        <w:t>Контейнерите за СО</w:t>
      </w:r>
      <w:r w:rsidRPr="009072DA">
        <w:rPr>
          <w:vertAlign w:val="subscript"/>
          <w:lang w:val="bg-BG"/>
        </w:rPr>
        <w:t>2</w:t>
      </w:r>
      <w:r w:rsidRPr="009072DA">
        <w:rPr>
          <w:lang w:val="bg-BG"/>
        </w:rPr>
        <w:t xml:space="preserve"> не се пълнят повече от 0,75 kg/l. Относителният обем на газа CO</w:t>
      </w:r>
      <w:r w:rsidRPr="009072DA">
        <w:rPr>
          <w:vertAlign w:val="subscript"/>
          <w:lang w:val="bg-BG"/>
        </w:rPr>
        <w:t>2</w:t>
      </w:r>
      <w:r w:rsidRPr="009072DA">
        <w:rPr>
          <w:lang w:val="bg-BG"/>
        </w:rPr>
        <w:t>, който не е под налягане, се приема за 0,56 m</w:t>
      </w:r>
      <w:r w:rsidRPr="009072DA">
        <w:rPr>
          <w:vertAlign w:val="superscript"/>
          <w:lang w:val="bg-BG"/>
        </w:rPr>
        <w:t>3</w:t>
      </w:r>
      <w:r w:rsidRPr="009072DA">
        <w:rPr>
          <w:lang w:val="bg-BG"/>
        </w:rPr>
        <w:t>/kg.</w:t>
      </w:r>
    </w:p>
    <w:p w:rsidR="00E65F26" w:rsidRPr="009072DA" w:rsidRDefault="005C7859" w:rsidP="00824063">
      <w:pPr>
        <w:pStyle w:val="ESlet"/>
        <w:rPr>
          <w:lang w:val="bg-BG"/>
        </w:rPr>
      </w:pPr>
      <w:r w:rsidRPr="009072DA">
        <w:rPr>
          <w:lang w:val="bg-BG"/>
        </w:rPr>
        <w:t>г)</w:t>
      </w:r>
      <w:r w:rsidRPr="009072DA">
        <w:rPr>
          <w:lang w:val="bg-BG"/>
        </w:rPr>
        <w:tab/>
        <w:t>Обемът СО</w:t>
      </w:r>
      <w:r w:rsidRPr="009072DA">
        <w:rPr>
          <w:vertAlign w:val="subscript"/>
          <w:lang w:val="bg-BG"/>
        </w:rPr>
        <w:t>2</w:t>
      </w:r>
      <w:r w:rsidRPr="009072DA">
        <w:rPr>
          <w:lang w:val="bg-BG"/>
        </w:rPr>
        <w:t xml:space="preserve"> за защитеното помещение е поне 40 % от брутния му обем. Трябва да е възможно този обем да бъде подаден за 120 s и да се провери дали подаването е приключило.</w:t>
      </w:r>
    </w:p>
    <w:p w:rsidR="00E65F26" w:rsidRPr="009072DA" w:rsidRDefault="0029453D" w:rsidP="00824063">
      <w:pPr>
        <w:pStyle w:val="ESlet"/>
        <w:rPr>
          <w:lang w:val="bg-BG"/>
        </w:rPr>
      </w:pPr>
      <w:r w:rsidRPr="009072DA">
        <w:rPr>
          <w:lang w:val="bg-BG"/>
        </w:rPr>
        <w:t>д)</w:t>
      </w:r>
      <w:r w:rsidRPr="009072DA">
        <w:rPr>
          <w:lang w:val="bg-BG"/>
        </w:rPr>
        <w:tab/>
        <w:t>Отварянето на вентилите на контейнера и използването на вентила за подаване се извършват посредством отделни действия за управление.</w:t>
      </w:r>
    </w:p>
    <w:p w:rsidR="00E65F26" w:rsidRPr="009072DA" w:rsidRDefault="0029453D" w:rsidP="00824063">
      <w:pPr>
        <w:pStyle w:val="ESlet"/>
        <w:rPr>
          <w:lang w:val="bg-BG"/>
        </w:rPr>
      </w:pPr>
      <w:r w:rsidRPr="009072DA">
        <w:rPr>
          <w:lang w:val="bg-BG"/>
        </w:rPr>
        <w:t>е)</w:t>
      </w:r>
      <w:r w:rsidRPr="009072DA">
        <w:rPr>
          <w:lang w:val="bg-BG"/>
        </w:rPr>
        <w:tab/>
        <w:t>Подходящото време, посочено в точка 6, буква б), трябва да бъде най-малко 20 секунди. Трябва да има надеждно устройство за осигуряване на закъснението преди подаването на газа СО</w:t>
      </w:r>
      <w:r w:rsidRPr="009072DA">
        <w:rPr>
          <w:vertAlign w:val="subscript"/>
          <w:lang w:val="bg-BG"/>
        </w:rPr>
        <w:t>2</w:t>
      </w:r>
      <w:r w:rsidRPr="009072DA">
        <w:rPr>
          <w:lang w:val="bg-BG"/>
        </w:rPr>
        <w:t>.</w:t>
      </w:r>
    </w:p>
    <w:p w:rsidR="00824063" w:rsidRPr="009072DA" w:rsidRDefault="00824063" w:rsidP="00E65F26">
      <w:pPr>
        <w:pStyle w:val="ESch"/>
        <w:rPr>
          <w:lang w:val="bg-BG"/>
        </w:rPr>
      </w:pPr>
    </w:p>
    <w:p w:rsidR="00E65F26" w:rsidRPr="009072DA" w:rsidRDefault="00E65F26" w:rsidP="00E65F26">
      <w:pPr>
        <w:pStyle w:val="ESch"/>
        <w:rPr>
          <w:lang w:val="bg-BG"/>
        </w:rPr>
      </w:pPr>
      <w:r w:rsidRPr="009072DA">
        <w:rPr>
          <w:lang w:val="bg-BG"/>
        </w:rPr>
        <w:t>11.</w:t>
      </w:r>
      <w:r w:rsidRPr="009072DA">
        <w:rPr>
          <w:lang w:val="bg-BG"/>
        </w:rPr>
        <w:tab/>
        <w:t>Противопожарни системи с HFC-227ea</w:t>
      </w:r>
    </w:p>
    <w:p w:rsidR="00824063" w:rsidRPr="009072DA" w:rsidRDefault="00824063" w:rsidP="00824063">
      <w:pPr>
        <w:pStyle w:val="ESchpar"/>
        <w:rPr>
          <w:lang w:val="bg-BG"/>
        </w:rPr>
      </w:pPr>
    </w:p>
    <w:p w:rsidR="00E65F26" w:rsidRPr="009072DA" w:rsidRDefault="00E65F26" w:rsidP="00824063">
      <w:pPr>
        <w:pStyle w:val="ESchpar"/>
        <w:rPr>
          <w:lang w:val="bg-BG"/>
        </w:rPr>
      </w:pPr>
      <w:r w:rsidRPr="009072DA">
        <w:rPr>
          <w:lang w:val="bg-BG"/>
        </w:rPr>
        <w:t>Противопожарните системи, използващи HFC-227ea като пожарогасителен агент, трябва да са съобразени с изброените по-долу разпоредби в допълнение към изискванията по точки 1 — 9:</w:t>
      </w:r>
    </w:p>
    <w:p w:rsidR="00E65F26" w:rsidRPr="009072DA" w:rsidRDefault="005C7859" w:rsidP="00824063">
      <w:pPr>
        <w:pStyle w:val="ESlet"/>
        <w:rPr>
          <w:lang w:val="bg-BG"/>
        </w:rPr>
      </w:pPr>
      <w:r w:rsidRPr="009072DA">
        <w:rPr>
          <w:lang w:val="bg-BG"/>
        </w:rPr>
        <w:t>a)</w:t>
      </w:r>
      <w:r w:rsidRPr="009072DA">
        <w:rPr>
          <w:lang w:val="bg-BG"/>
        </w:rPr>
        <w:tab/>
        <w:t>Ако са налице няколко защитени помещения, всяко с различен брутен обем, всяко помещение се оборудва с отделна противопожарна система.</w:t>
      </w:r>
    </w:p>
    <w:p w:rsidR="00E65F26" w:rsidRPr="009072DA" w:rsidRDefault="005C7859" w:rsidP="00824063">
      <w:pPr>
        <w:pStyle w:val="ESlet"/>
        <w:rPr>
          <w:lang w:val="bg-BG"/>
        </w:rPr>
      </w:pPr>
      <w:r w:rsidRPr="009072DA">
        <w:rPr>
          <w:lang w:val="bg-BG"/>
        </w:rPr>
        <w:t>б)</w:t>
      </w:r>
      <w:r w:rsidRPr="009072DA">
        <w:rPr>
          <w:lang w:val="bg-BG"/>
        </w:rPr>
        <w:tab/>
        <w:t>Всеки контейнер с HFC-227ea, който се монтира в защитеното помещение, трябва да е оборудван с предпазен изпускателен клапан. Същият трябва да изпуска безопасно съдържанието на контейнера в защитеното помещение, ако контейнерът е изложен на въздействията на пожар, а противопожарната система не е задействана.</w:t>
      </w:r>
    </w:p>
    <w:p w:rsidR="00E65F26" w:rsidRPr="009072DA" w:rsidRDefault="005C7859" w:rsidP="00824063">
      <w:pPr>
        <w:pStyle w:val="ESlet"/>
        <w:rPr>
          <w:lang w:val="bg-BG"/>
        </w:rPr>
      </w:pPr>
      <w:r w:rsidRPr="009072DA">
        <w:rPr>
          <w:lang w:val="bg-BG"/>
        </w:rPr>
        <w:t>в)</w:t>
      </w:r>
      <w:r w:rsidRPr="009072DA">
        <w:rPr>
          <w:lang w:val="bg-BG"/>
        </w:rPr>
        <w:tab/>
        <w:t>Всеки контейнер е оборудван с устройство за проверка на налягането на газа.</w:t>
      </w:r>
    </w:p>
    <w:p w:rsidR="00E65F26" w:rsidRPr="009072DA" w:rsidRDefault="005C7859" w:rsidP="00824063">
      <w:pPr>
        <w:pStyle w:val="ESlet"/>
        <w:rPr>
          <w:lang w:val="bg-BG"/>
        </w:rPr>
      </w:pPr>
      <w:r w:rsidRPr="009072DA">
        <w:rPr>
          <w:lang w:val="bg-BG"/>
        </w:rPr>
        <w:t>г)</w:t>
      </w:r>
      <w:r w:rsidRPr="009072DA">
        <w:rPr>
          <w:lang w:val="bg-BG"/>
        </w:rPr>
        <w:tab/>
        <w:t>Контейнерите не се пълнят повече от 1,15 kg/l. Относителният обем на HFC-227ea, който не е под налягане, се приема за 0,1374 m</w:t>
      </w:r>
      <w:r w:rsidRPr="009072DA">
        <w:rPr>
          <w:vertAlign w:val="superscript"/>
          <w:lang w:val="bg-BG"/>
        </w:rPr>
        <w:t>3</w:t>
      </w:r>
      <w:r w:rsidRPr="009072DA">
        <w:rPr>
          <w:lang w:val="bg-BG"/>
        </w:rPr>
        <w:t>/kg.</w:t>
      </w:r>
    </w:p>
    <w:p w:rsidR="00E65F26" w:rsidRPr="009072DA" w:rsidRDefault="0029453D" w:rsidP="00824063">
      <w:pPr>
        <w:pStyle w:val="ESlet"/>
        <w:rPr>
          <w:lang w:val="bg-BG"/>
        </w:rPr>
      </w:pPr>
      <w:r w:rsidRPr="009072DA">
        <w:rPr>
          <w:lang w:val="bg-BG"/>
        </w:rPr>
        <w:t>д)</w:t>
      </w:r>
      <w:r w:rsidRPr="009072DA">
        <w:rPr>
          <w:lang w:val="bg-BG"/>
        </w:rPr>
        <w:tab/>
        <w:t>Обемът HFC-227ea за защитеното помещение е поне 8 % от брутния обем на помещението. Този обем се подава за 10 секунди.</w:t>
      </w:r>
    </w:p>
    <w:p w:rsidR="00E65F26" w:rsidRPr="009072DA" w:rsidRDefault="0029453D" w:rsidP="00824063">
      <w:pPr>
        <w:pStyle w:val="ESlet"/>
        <w:rPr>
          <w:lang w:val="bg-BG"/>
        </w:rPr>
      </w:pPr>
      <w:r w:rsidRPr="009072DA">
        <w:rPr>
          <w:lang w:val="bg-BG"/>
        </w:rPr>
        <w:t>е)</w:t>
      </w:r>
      <w:r w:rsidRPr="009072DA">
        <w:rPr>
          <w:lang w:val="bg-BG"/>
        </w:rPr>
        <w:tab/>
        <w:t>Контейнерите за HFC-227ea се оборудват с датчик за налягане, който задейства звуков и оптичен алармен сигнал в рулевата рубка в случай на недопустима загуба на пропелент. Ако няма рулева рубка, този алармен сигнал се подава извън защитеното помещение.</w:t>
      </w:r>
    </w:p>
    <w:p w:rsidR="00E65F26" w:rsidRPr="009072DA" w:rsidRDefault="0029453D" w:rsidP="00824063">
      <w:pPr>
        <w:pStyle w:val="ESlet"/>
        <w:rPr>
          <w:lang w:val="bg-BG"/>
        </w:rPr>
      </w:pPr>
      <w:r w:rsidRPr="009072DA">
        <w:rPr>
          <w:lang w:val="bg-BG"/>
        </w:rPr>
        <w:t>ж)</w:t>
      </w:r>
      <w:r w:rsidRPr="009072DA">
        <w:rPr>
          <w:lang w:val="bg-BG"/>
        </w:rPr>
        <w:tab/>
        <w:t>След заливане концентрацията в защитеното помещение не трябва да надвишава 10,5 %.</w:t>
      </w:r>
    </w:p>
    <w:p w:rsidR="00E65F26" w:rsidRPr="009072DA" w:rsidRDefault="0029453D" w:rsidP="00824063">
      <w:pPr>
        <w:pStyle w:val="ESlet"/>
        <w:rPr>
          <w:lang w:val="bg-BG"/>
        </w:rPr>
      </w:pPr>
      <w:r w:rsidRPr="009072DA">
        <w:rPr>
          <w:lang w:val="bg-BG"/>
        </w:rPr>
        <w:t>з)</w:t>
      </w:r>
      <w:r w:rsidRPr="009072DA">
        <w:rPr>
          <w:lang w:val="bg-BG"/>
        </w:rPr>
        <w:tab/>
        <w:t>Противопожарната система не трябва да съдържа части, изработени от алуминий.</w:t>
      </w:r>
    </w:p>
    <w:p w:rsidR="00824063" w:rsidRPr="009072DA" w:rsidRDefault="00824063" w:rsidP="00E65F26">
      <w:pPr>
        <w:pStyle w:val="ESch"/>
        <w:rPr>
          <w:lang w:val="bg-BG"/>
        </w:rPr>
      </w:pPr>
    </w:p>
    <w:p w:rsidR="00E65F26" w:rsidRPr="009072DA" w:rsidRDefault="00E65F26" w:rsidP="00E65F26">
      <w:pPr>
        <w:pStyle w:val="ESch"/>
        <w:rPr>
          <w:lang w:val="bg-BG"/>
        </w:rPr>
      </w:pPr>
      <w:r w:rsidRPr="009072DA">
        <w:rPr>
          <w:lang w:val="bg-BG"/>
        </w:rPr>
        <w:t>12.</w:t>
      </w:r>
      <w:r w:rsidRPr="009072DA">
        <w:rPr>
          <w:lang w:val="bg-BG"/>
        </w:rPr>
        <w:tab/>
        <w:t>Противопожарни системи с IG-541</w:t>
      </w:r>
    </w:p>
    <w:p w:rsidR="00824063" w:rsidRPr="009072DA" w:rsidRDefault="00824063" w:rsidP="00E65F26">
      <w:pPr>
        <w:pStyle w:val="ESch"/>
        <w:rPr>
          <w:lang w:val="bg-BG"/>
        </w:rPr>
      </w:pPr>
    </w:p>
    <w:p w:rsidR="00E65F26" w:rsidRPr="009072DA" w:rsidRDefault="00E65F26" w:rsidP="00824063">
      <w:pPr>
        <w:pStyle w:val="ESchpar"/>
        <w:rPr>
          <w:lang w:val="bg-BG"/>
        </w:rPr>
      </w:pPr>
      <w:r w:rsidRPr="009072DA">
        <w:rPr>
          <w:lang w:val="bg-BG"/>
        </w:rPr>
        <w:t>Противопожарните системи, използващи IG-541 като пожарогасителен агент, трябва  да са съобразени с изброените по-долу разпоредби в допълнение към изискванията по точки 1 — 9:</w:t>
      </w:r>
    </w:p>
    <w:p w:rsidR="00E65F26" w:rsidRPr="009072DA" w:rsidRDefault="005C7859" w:rsidP="00824063">
      <w:pPr>
        <w:pStyle w:val="ESlet"/>
        <w:rPr>
          <w:lang w:val="bg-BG"/>
        </w:rPr>
      </w:pPr>
      <w:r w:rsidRPr="009072DA">
        <w:rPr>
          <w:lang w:val="bg-BG"/>
        </w:rPr>
        <w:t>a)</w:t>
      </w:r>
      <w:r w:rsidRPr="009072DA">
        <w:rPr>
          <w:lang w:val="bg-BG"/>
        </w:rPr>
        <w:tab/>
        <w:t>Ако са налице няколко защитени помещения, всяко с различен брутен обем, всяко помещение се оборудва с отделна противопожарна система.</w:t>
      </w:r>
    </w:p>
    <w:p w:rsidR="00E65F26" w:rsidRPr="009072DA" w:rsidRDefault="005C7859" w:rsidP="00824063">
      <w:pPr>
        <w:pStyle w:val="ESlet"/>
        <w:rPr>
          <w:lang w:val="bg-BG"/>
        </w:rPr>
      </w:pPr>
      <w:r w:rsidRPr="009072DA">
        <w:rPr>
          <w:lang w:val="bg-BG"/>
        </w:rPr>
        <w:t>б)</w:t>
      </w:r>
      <w:r w:rsidRPr="009072DA">
        <w:rPr>
          <w:lang w:val="bg-BG"/>
        </w:rPr>
        <w:tab/>
        <w:t>Всеки контейнер с IG-541, който се монтира в защитеното помещение, трябва да е оборудван с предпазен изпускателен клапан. Същият трябва да изпуска безопасно съдържанието на контейнера в защитеното помещение, ако бъде изложен на въздействията на пожар, а противопожарната система не е задействана.</w:t>
      </w:r>
    </w:p>
    <w:p w:rsidR="00E65F26" w:rsidRPr="009072DA" w:rsidRDefault="005C7859" w:rsidP="00824063">
      <w:pPr>
        <w:pStyle w:val="ESlet"/>
        <w:rPr>
          <w:lang w:val="bg-BG"/>
        </w:rPr>
      </w:pPr>
      <w:r w:rsidRPr="009072DA">
        <w:rPr>
          <w:lang w:val="bg-BG"/>
        </w:rPr>
        <w:t>в)</w:t>
      </w:r>
      <w:r w:rsidRPr="009072DA">
        <w:rPr>
          <w:lang w:val="bg-BG"/>
        </w:rPr>
        <w:tab/>
        <w:t>Всеки контейнер трябва да е оборудван с устройство за проверка на съдържанието.</w:t>
      </w:r>
    </w:p>
    <w:p w:rsidR="00771FEA" w:rsidRPr="009072DA" w:rsidRDefault="00771FEA" w:rsidP="00824063">
      <w:pPr>
        <w:pStyle w:val="ESlet"/>
        <w:rPr>
          <w:lang w:val="bg-BG"/>
        </w:rPr>
      </w:pPr>
    </w:p>
    <w:p w:rsidR="00771FEA" w:rsidRPr="009072DA" w:rsidRDefault="00771FEA" w:rsidP="00824063">
      <w:pPr>
        <w:pStyle w:val="ESlet"/>
        <w:rPr>
          <w:lang w:val="bg-BG"/>
        </w:rPr>
      </w:pPr>
      <w:r w:rsidRPr="009072DA">
        <w:rPr>
          <w:lang w:val="bg-BG"/>
        </w:rPr>
        <w:br w:type="page"/>
      </w:r>
    </w:p>
    <w:p w:rsidR="00E65F26" w:rsidRPr="009072DA" w:rsidRDefault="005C7859" w:rsidP="00824063">
      <w:pPr>
        <w:pStyle w:val="ESlet"/>
        <w:rPr>
          <w:lang w:val="bg-BG"/>
        </w:rPr>
      </w:pPr>
      <w:r w:rsidRPr="009072DA">
        <w:rPr>
          <w:lang w:val="bg-BG"/>
        </w:rPr>
        <w:lastRenderedPageBreak/>
        <w:t>г)</w:t>
      </w:r>
      <w:r w:rsidRPr="009072DA">
        <w:rPr>
          <w:lang w:val="bg-BG"/>
        </w:rPr>
        <w:tab/>
        <w:t>Налягането при запълване на контейнера не трябва да превишава 200 bar при + 15 °С.</w:t>
      </w:r>
    </w:p>
    <w:p w:rsidR="00E65F26" w:rsidRPr="009072DA" w:rsidRDefault="0029453D" w:rsidP="00824063">
      <w:pPr>
        <w:pStyle w:val="ESlet"/>
        <w:rPr>
          <w:lang w:val="bg-BG"/>
        </w:rPr>
      </w:pPr>
      <w:r w:rsidRPr="009072DA">
        <w:rPr>
          <w:lang w:val="bg-BG"/>
        </w:rPr>
        <w:t>д)</w:t>
      </w:r>
      <w:r w:rsidRPr="009072DA">
        <w:rPr>
          <w:lang w:val="bg-BG"/>
        </w:rPr>
        <w:tab/>
        <w:t>Обемът IG-541 за защитеното помещение трябва да е поне 44 % и не повече от 50 % от брутния обем на помещението. Този обем трябва да се подава за 120 секунди.</w:t>
      </w:r>
    </w:p>
    <w:p w:rsidR="00824063" w:rsidRPr="009072DA" w:rsidRDefault="00824063" w:rsidP="00E65F26">
      <w:pPr>
        <w:pStyle w:val="ESch"/>
        <w:rPr>
          <w:lang w:val="bg-BG"/>
        </w:rPr>
      </w:pPr>
    </w:p>
    <w:p w:rsidR="00E65F26" w:rsidRPr="009072DA" w:rsidRDefault="00E65F26" w:rsidP="00E65F26">
      <w:pPr>
        <w:pStyle w:val="ESch"/>
        <w:rPr>
          <w:lang w:val="bg-BG"/>
        </w:rPr>
      </w:pPr>
      <w:r w:rsidRPr="009072DA">
        <w:rPr>
          <w:lang w:val="bg-BG"/>
        </w:rPr>
        <w:t>13.</w:t>
      </w:r>
      <w:r w:rsidRPr="009072DA">
        <w:rPr>
          <w:lang w:val="bg-BG"/>
        </w:rPr>
        <w:tab/>
        <w:t>Противопожарни системи с FK-5-1-12</w:t>
      </w:r>
    </w:p>
    <w:p w:rsidR="00824063" w:rsidRPr="009072DA" w:rsidRDefault="00824063" w:rsidP="00E65F26">
      <w:pPr>
        <w:pStyle w:val="ESch"/>
        <w:rPr>
          <w:lang w:val="bg-BG"/>
        </w:rPr>
      </w:pPr>
    </w:p>
    <w:p w:rsidR="00E65F26" w:rsidRPr="009072DA" w:rsidRDefault="00E65F26" w:rsidP="00824063">
      <w:pPr>
        <w:pStyle w:val="ESchpar"/>
        <w:rPr>
          <w:lang w:val="bg-BG"/>
        </w:rPr>
      </w:pPr>
      <w:r w:rsidRPr="009072DA">
        <w:rPr>
          <w:lang w:val="bg-BG"/>
        </w:rPr>
        <w:t>Противопожарните системи, използващи FK-5-1-12 като пожарогасителен агент, трябва да са съобразени с изброените по-долу разпоредби в допълнение към изискванията по точки 1 — 9:</w:t>
      </w:r>
    </w:p>
    <w:p w:rsidR="00E65F26" w:rsidRPr="009072DA" w:rsidRDefault="005C7859" w:rsidP="00824063">
      <w:pPr>
        <w:pStyle w:val="ESlet"/>
        <w:rPr>
          <w:lang w:val="bg-BG"/>
        </w:rPr>
      </w:pPr>
      <w:r w:rsidRPr="009072DA">
        <w:rPr>
          <w:lang w:val="bg-BG"/>
        </w:rPr>
        <w:t>a)</w:t>
      </w:r>
      <w:r w:rsidRPr="009072DA">
        <w:rPr>
          <w:lang w:val="bg-BG"/>
        </w:rPr>
        <w:tab/>
        <w:t>Ако трябва да бъдат защитени няколко помещения, всяко с различен брутен обем, всяко помещение трябва да е оборудвано с отделна ппротивопожарна система.</w:t>
      </w:r>
    </w:p>
    <w:p w:rsidR="00E65F26" w:rsidRPr="009072DA" w:rsidRDefault="005C7859" w:rsidP="00824063">
      <w:pPr>
        <w:pStyle w:val="ESlet"/>
        <w:rPr>
          <w:lang w:val="bg-BG"/>
        </w:rPr>
      </w:pPr>
      <w:r w:rsidRPr="009072DA">
        <w:rPr>
          <w:lang w:val="bg-BG"/>
        </w:rPr>
        <w:t>б)</w:t>
      </w:r>
      <w:r w:rsidRPr="009072DA">
        <w:rPr>
          <w:lang w:val="bg-BG"/>
        </w:rPr>
        <w:tab/>
        <w:t>Всеки контейнер с FK-5-1-12, монтиран в защитеното помещение, трябва да е оборудван с предпазен изпускателен клапан. Предпазният изпускателен клапан трябва да изпуска безопасно съдържанието на контейнера в защитеното помещение, ако контейнерът е изложен на въздействията на пожар, а противопожарната система не е задействана.</w:t>
      </w:r>
    </w:p>
    <w:p w:rsidR="00E65F26" w:rsidRPr="009072DA" w:rsidRDefault="005C7859" w:rsidP="00824063">
      <w:pPr>
        <w:pStyle w:val="ESlet"/>
        <w:rPr>
          <w:lang w:val="bg-BG"/>
        </w:rPr>
      </w:pPr>
      <w:r w:rsidRPr="009072DA">
        <w:rPr>
          <w:lang w:val="bg-BG"/>
        </w:rPr>
        <w:t>в)</w:t>
      </w:r>
      <w:r w:rsidRPr="009072DA">
        <w:rPr>
          <w:lang w:val="bg-BG"/>
        </w:rPr>
        <w:tab/>
        <w:t>Всеки контейнер трябва да е оборудван с устройство за проверка на налягането на газа.</w:t>
      </w:r>
    </w:p>
    <w:p w:rsidR="00E65F26" w:rsidRPr="009072DA" w:rsidRDefault="005C7859" w:rsidP="00824063">
      <w:pPr>
        <w:pStyle w:val="ESlet"/>
        <w:rPr>
          <w:lang w:val="bg-BG"/>
        </w:rPr>
      </w:pPr>
      <w:r w:rsidRPr="009072DA">
        <w:rPr>
          <w:lang w:val="bg-BG"/>
        </w:rPr>
        <w:t>г)</w:t>
      </w:r>
      <w:r w:rsidRPr="009072DA">
        <w:rPr>
          <w:lang w:val="bg-BG"/>
        </w:rPr>
        <w:tab/>
        <w:t>Контейнерите не се пълнят повече от 1,00 kg/l. Относителният обем на FK-5-1-12, който не е под налягане, се приема за 0,0719 m</w:t>
      </w:r>
      <w:r w:rsidRPr="009072DA">
        <w:rPr>
          <w:vertAlign w:val="superscript"/>
          <w:lang w:val="bg-BG"/>
        </w:rPr>
        <w:t>3</w:t>
      </w:r>
      <w:r w:rsidRPr="009072DA">
        <w:rPr>
          <w:lang w:val="bg-BG"/>
        </w:rPr>
        <w:t>/kg.</w:t>
      </w:r>
    </w:p>
    <w:p w:rsidR="00E65F26" w:rsidRPr="009072DA" w:rsidRDefault="0029453D" w:rsidP="00824063">
      <w:pPr>
        <w:pStyle w:val="ESlet"/>
        <w:rPr>
          <w:lang w:val="bg-BG"/>
        </w:rPr>
      </w:pPr>
      <w:r w:rsidRPr="009072DA">
        <w:rPr>
          <w:lang w:val="bg-BG"/>
        </w:rPr>
        <w:t>д)</w:t>
      </w:r>
      <w:r w:rsidRPr="009072DA">
        <w:rPr>
          <w:lang w:val="bg-BG"/>
        </w:rPr>
        <w:tab/>
        <w:t>Обемът FK-5-1-12 за защитеното помещение е поне 5,5 % от брутния обем на помещението. Този обем се подава за 10 секунди.</w:t>
      </w:r>
    </w:p>
    <w:p w:rsidR="00E65F26" w:rsidRPr="009072DA" w:rsidRDefault="0029453D" w:rsidP="00824063">
      <w:pPr>
        <w:pStyle w:val="ESlet"/>
        <w:rPr>
          <w:lang w:val="bg-BG"/>
        </w:rPr>
      </w:pPr>
      <w:r w:rsidRPr="009072DA">
        <w:rPr>
          <w:lang w:val="bg-BG"/>
        </w:rPr>
        <w:t>е)</w:t>
      </w:r>
      <w:r w:rsidRPr="009072DA">
        <w:rPr>
          <w:lang w:val="bg-BG"/>
        </w:rPr>
        <w:tab/>
        <w:t>Контейнери с FK-5-1-12 се оборудват с датчик за налягане, който задейства звуков и оптичен алармен сигнал в рулевата рубка в случай на недопустима загуба на пропелент. Ако няма рулева рубка, този алармен сигнал се подава извън защитеното помещение.</w:t>
      </w:r>
    </w:p>
    <w:p w:rsidR="00E65F26" w:rsidRPr="009072DA" w:rsidRDefault="0029453D" w:rsidP="00824063">
      <w:pPr>
        <w:pStyle w:val="ESlet"/>
        <w:rPr>
          <w:lang w:val="bg-BG"/>
        </w:rPr>
      </w:pPr>
      <w:r w:rsidRPr="009072DA">
        <w:rPr>
          <w:lang w:val="bg-BG"/>
        </w:rPr>
        <w:t>ж)</w:t>
      </w:r>
      <w:r w:rsidRPr="009072DA">
        <w:rPr>
          <w:lang w:val="bg-BG"/>
        </w:rPr>
        <w:tab/>
        <w:t>След заливане концентрацията в защитеното помещение не трябва да надвишава 10,0 %.</w:t>
      </w:r>
    </w:p>
    <w:p w:rsidR="00C44D3C" w:rsidRPr="009072DA" w:rsidRDefault="00C44D3C" w:rsidP="00C44D3C">
      <w:pPr>
        <w:widowControl w:val="0"/>
        <w:ind w:left="1276"/>
        <w:rPr>
          <w:lang w:val="bg-BG"/>
        </w:rPr>
      </w:pPr>
    </w:p>
    <w:p w:rsidR="00C44D3C" w:rsidRPr="009072DA" w:rsidRDefault="00C44D3C" w:rsidP="00C44D3C">
      <w:pPr>
        <w:pStyle w:val="ESch"/>
        <w:rPr>
          <w:lang w:val="bg-BG"/>
        </w:rPr>
      </w:pPr>
      <w:r w:rsidRPr="009072DA">
        <w:rPr>
          <w:lang w:val="bg-BG"/>
        </w:rPr>
        <w:t>14.</w:t>
      </w:r>
      <w:r w:rsidRPr="009072DA">
        <w:rPr>
          <w:lang w:val="bg-BG"/>
        </w:rPr>
        <w:tab/>
        <w:t xml:space="preserve">Противопожарни системи, използващи вода като пожарогасителен агент </w:t>
      </w:r>
    </w:p>
    <w:p w:rsidR="00C44D3C" w:rsidRPr="009072DA" w:rsidRDefault="00C44D3C" w:rsidP="00980973">
      <w:pPr>
        <w:pStyle w:val="ESch"/>
        <w:rPr>
          <w:highlight w:val="lightGray"/>
          <w:lang w:val="bg-BG"/>
        </w:rPr>
      </w:pPr>
    </w:p>
    <w:p w:rsidR="00C44D3C" w:rsidRPr="009072DA" w:rsidRDefault="00C44D3C" w:rsidP="00C44D3C">
      <w:pPr>
        <w:pStyle w:val="ESchpar"/>
        <w:rPr>
          <w:szCs w:val="20"/>
          <w:lang w:val="bg-BG"/>
        </w:rPr>
      </w:pPr>
      <w:r w:rsidRPr="009072DA">
        <w:rPr>
          <w:lang w:val="bg-BG"/>
        </w:rPr>
        <w:t xml:space="preserve">Противопожарните системи с използване на вода като пожарогасителен агент могат да подават този агент в защитеното помещение само под формата на водна мъгла. Размерът на капчиците трябва да бъде между 5 и 300 микрона. </w:t>
      </w:r>
    </w:p>
    <w:p w:rsidR="00C44D3C" w:rsidRPr="009072DA" w:rsidRDefault="00C44D3C" w:rsidP="00980973">
      <w:pPr>
        <w:pStyle w:val="ESch"/>
        <w:rPr>
          <w:lang w:val="bg-BG"/>
        </w:rPr>
      </w:pPr>
    </w:p>
    <w:p w:rsidR="00C44D3C" w:rsidRPr="009072DA" w:rsidRDefault="00C44D3C" w:rsidP="00980973">
      <w:pPr>
        <w:pStyle w:val="ESchpar"/>
        <w:rPr>
          <w:lang w:val="bg-BG"/>
        </w:rPr>
      </w:pPr>
      <w:r w:rsidRPr="009072DA">
        <w:rPr>
          <w:lang w:val="bg-BG"/>
        </w:rPr>
        <w:lastRenderedPageBreak/>
        <w:t xml:space="preserve">В допълнение към изискванията, установени от точки 1 — 7 и 9, и тези от точка 8, прилагани </w:t>
      </w:r>
      <w:r w:rsidRPr="009072DA">
        <w:rPr>
          <w:i/>
          <w:lang w:val="bg-BG"/>
        </w:rPr>
        <w:t>mutatis mutandis</w:t>
      </w:r>
      <w:r w:rsidRPr="009072DA">
        <w:rPr>
          <w:lang w:val="bg-BG"/>
        </w:rPr>
        <w:t>, тези противопожарни системи трябва да са в съответствие със следните разпоредби:</w:t>
      </w:r>
    </w:p>
    <w:p w:rsidR="00C44D3C" w:rsidRPr="009072DA" w:rsidRDefault="00C44D3C" w:rsidP="00980973">
      <w:pPr>
        <w:pStyle w:val="ESlet"/>
        <w:rPr>
          <w:rFonts w:cs="Arial"/>
          <w:lang w:val="bg-BG"/>
        </w:rPr>
      </w:pPr>
      <w:r w:rsidRPr="009072DA">
        <w:rPr>
          <w:lang w:val="bg-BG"/>
        </w:rPr>
        <w:t>a)</w:t>
      </w:r>
      <w:r w:rsidRPr="009072DA">
        <w:rPr>
          <w:lang w:val="bg-BG"/>
        </w:rPr>
        <w:tab/>
        <w:t>Противопожарната система трябва да има одобрение на типа в съответствие с MSC/Circ. 1165</w:t>
      </w:r>
      <w:r w:rsidRPr="009072DA">
        <w:rPr>
          <w:vertAlign w:val="superscript"/>
          <w:lang w:val="bg-BG"/>
        </w:rPr>
        <w:footnoteReference w:id="10"/>
      </w:r>
      <w:r w:rsidRPr="009072DA">
        <w:rPr>
          <w:lang w:val="bg-BG"/>
        </w:rPr>
        <w:t xml:space="preserve"> или друг стандарт, признат от една от държавите членки. Одобряването на типа се извърша от призната класификационна организация или акредитирана институция за изпитвания. Акредитираната институция за изпитвания трябва да отговаря на европейския стандарт за общи изисквания за компетентността на лаборатории за изпитване и калибриране (EN ISO/IEC 17025: 2005).</w:t>
      </w:r>
    </w:p>
    <w:p w:rsidR="00C44D3C" w:rsidRPr="009072DA" w:rsidRDefault="00C44D3C" w:rsidP="00980973">
      <w:pPr>
        <w:pStyle w:val="ESlet"/>
        <w:rPr>
          <w:snapToGrid w:val="0"/>
          <w:lang w:val="bg-BG"/>
        </w:rPr>
      </w:pPr>
      <w:r w:rsidRPr="009072DA">
        <w:rPr>
          <w:lang w:val="bg-BG"/>
        </w:rPr>
        <w:t>б)</w:t>
      </w:r>
      <w:r w:rsidRPr="009072DA">
        <w:rPr>
          <w:lang w:val="bg-BG"/>
        </w:rPr>
        <w:tab/>
        <w:t>Противопожарната система трябва да бъде оразмерена според най-голямото от защитените помещения и трябва да бъде в състояние да разпръсква вода непрекъснато в помещението за период не по-кратък от 30 минути.</w:t>
      </w:r>
    </w:p>
    <w:p w:rsidR="00C44D3C" w:rsidRPr="009072DA" w:rsidRDefault="00C44D3C" w:rsidP="00980973">
      <w:pPr>
        <w:pStyle w:val="ESlet"/>
        <w:rPr>
          <w:lang w:val="bg-BG"/>
        </w:rPr>
      </w:pPr>
      <w:r w:rsidRPr="009072DA">
        <w:rPr>
          <w:lang w:val="bg-BG"/>
        </w:rPr>
        <w:br w:type="page"/>
      </w:r>
    </w:p>
    <w:p w:rsidR="00C44D3C" w:rsidRPr="009072DA" w:rsidRDefault="00C44D3C" w:rsidP="00980973">
      <w:pPr>
        <w:pStyle w:val="ESlet"/>
        <w:rPr>
          <w:rFonts w:cs="Arial"/>
          <w:lang w:val="bg-BG"/>
        </w:rPr>
      </w:pPr>
      <w:r w:rsidRPr="009072DA">
        <w:rPr>
          <w:lang w:val="bg-BG"/>
        </w:rPr>
        <w:lastRenderedPageBreak/>
        <w:t>в)</w:t>
      </w:r>
      <w:r w:rsidRPr="009072DA">
        <w:rPr>
          <w:lang w:val="bg-BG"/>
        </w:rPr>
        <w:tab/>
        <w:t xml:space="preserve">Помпите, техните механизми за превключване и клапани, които са необходими за работата на системата, трябва да бъдат монтирани в помещение извън защитените помещения. Помещението, в което са монтирани, трябва да бъде отделено от съседните с разделителни стени най-малко от тип A30. </w:t>
      </w:r>
    </w:p>
    <w:p w:rsidR="00C44D3C" w:rsidRPr="009072DA" w:rsidRDefault="00C44D3C" w:rsidP="00980973">
      <w:pPr>
        <w:pStyle w:val="ESlet"/>
        <w:rPr>
          <w:rFonts w:cs="Arial"/>
          <w:lang w:val="bg-BG"/>
        </w:rPr>
      </w:pPr>
      <w:r w:rsidRPr="009072DA">
        <w:rPr>
          <w:lang w:val="bg-BG"/>
        </w:rPr>
        <w:t>г)</w:t>
      </w:r>
      <w:r w:rsidRPr="009072DA">
        <w:rPr>
          <w:lang w:val="bg-BG"/>
        </w:rPr>
        <w:tab/>
        <w:t>Противопожарната система трябва да бъде изцяло пълна с вода по всяко време, поне що се отнася до бързодействащите клапани, и следва да бъде под необходимото първоначално работно налягане. Помпите за водоснабдяване трябва да се задействат автоматично с пускането на системата. Системата трябва да е с непрекъснато работещо водоснабдяване. Трябва да бъдат взети мерки, за да се гарантира, че наличието на примеси не оказва влияние върху работата на системата.</w:t>
      </w:r>
    </w:p>
    <w:p w:rsidR="00C44D3C" w:rsidRPr="009072DA" w:rsidRDefault="00C44D3C" w:rsidP="00980973">
      <w:pPr>
        <w:pStyle w:val="ESlet"/>
        <w:rPr>
          <w:rFonts w:cs="Arial"/>
          <w:lang w:val="bg-BG"/>
        </w:rPr>
      </w:pPr>
      <w:r w:rsidRPr="009072DA">
        <w:rPr>
          <w:lang w:val="bg-BG"/>
        </w:rPr>
        <w:t>д)</w:t>
      </w:r>
      <w:r w:rsidRPr="009072DA">
        <w:rPr>
          <w:lang w:val="bg-BG"/>
        </w:rPr>
        <w:tab/>
        <w:t>Капацитетът и конструкцията на тръбопроводната мрежа на системата трябва да се основават на хидравлично изчисление.</w:t>
      </w:r>
    </w:p>
    <w:p w:rsidR="00C44D3C" w:rsidRPr="009072DA" w:rsidRDefault="00C44D3C" w:rsidP="00980973">
      <w:pPr>
        <w:pStyle w:val="ESlet"/>
        <w:rPr>
          <w:rFonts w:cs="Arial"/>
          <w:lang w:val="bg-BG"/>
        </w:rPr>
      </w:pPr>
      <w:r w:rsidRPr="009072DA">
        <w:rPr>
          <w:lang w:val="bg-BG"/>
        </w:rPr>
        <w:t>е)</w:t>
      </w:r>
      <w:r w:rsidRPr="009072DA">
        <w:rPr>
          <w:lang w:val="bg-BG"/>
        </w:rPr>
        <w:tab/>
        <w:t xml:space="preserve">Броят и разположението на дюзите трябва да гарантират достатъчно разпределение на водата в помещенията, които трябва да бъдат защитени. Разпръскващите дюзи трябва да бъдат разположени така, че да се гарантира, че водната мъгла се разпространява из цялото защитено помещение, особено в районите, където има по-голям риск от пожар, включително зад приспособления и под пода. </w:t>
      </w:r>
    </w:p>
    <w:p w:rsidR="00C44D3C" w:rsidRPr="009072DA" w:rsidRDefault="00C44D3C" w:rsidP="00980973">
      <w:pPr>
        <w:pStyle w:val="ESlet"/>
        <w:rPr>
          <w:rFonts w:cs="Arial"/>
          <w:lang w:val="bg-BG"/>
        </w:rPr>
      </w:pPr>
      <w:r w:rsidRPr="009072DA">
        <w:rPr>
          <w:lang w:val="bg-BG"/>
        </w:rPr>
        <w:t>ж)</w:t>
      </w:r>
      <w:r w:rsidRPr="009072DA">
        <w:rPr>
          <w:lang w:val="bg-BG"/>
        </w:rPr>
        <w:tab/>
        <w:t>Електрическите компоненти на противопожарната системата в защитеното помещение трябва като минимум да отговарят на клас на защита IP54. Системата трябва да съдържа два независими източника на енергия с автоматично превключване. Един от източниците на енергия трябва да се намира извън защитеното помещение. Всеки източник на енергия сам по себе си трябва да може да гарантира функционирането на системата.</w:t>
      </w:r>
    </w:p>
    <w:p w:rsidR="00C44D3C" w:rsidRPr="009072DA" w:rsidRDefault="00C44D3C" w:rsidP="00980973">
      <w:pPr>
        <w:pStyle w:val="ESlet"/>
        <w:rPr>
          <w:rFonts w:cs="Arial"/>
          <w:lang w:val="bg-BG"/>
        </w:rPr>
      </w:pPr>
      <w:r w:rsidRPr="009072DA">
        <w:rPr>
          <w:lang w:val="bg-BG"/>
        </w:rPr>
        <w:t>з)</w:t>
      </w:r>
      <w:r w:rsidRPr="009072DA">
        <w:rPr>
          <w:lang w:val="bg-BG"/>
        </w:rPr>
        <w:tab/>
        <w:t xml:space="preserve">Противопожарната система трябва да има резервни помпи. </w:t>
      </w:r>
    </w:p>
    <w:p w:rsidR="00C44D3C" w:rsidRPr="009072DA" w:rsidRDefault="00C44D3C" w:rsidP="00980973">
      <w:pPr>
        <w:pStyle w:val="ESlet"/>
        <w:rPr>
          <w:rFonts w:cs="Arial"/>
          <w:lang w:val="bg-BG"/>
        </w:rPr>
      </w:pPr>
      <w:r w:rsidRPr="009072DA">
        <w:rPr>
          <w:lang w:val="bg-BG"/>
        </w:rPr>
        <w:t>и)</w:t>
      </w:r>
      <w:r w:rsidRPr="009072DA">
        <w:rPr>
          <w:lang w:val="bg-BG"/>
        </w:rPr>
        <w:tab/>
        <w:t>Противопожарната система трябва да бъде оборудвана с устройство за следене, което задейства алармен сигнал в рулевата рубка в следните случаи:</w:t>
      </w:r>
    </w:p>
    <w:p w:rsidR="00C44D3C" w:rsidRPr="009072DA" w:rsidRDefault="00C44D3C" w:rsidP="00C44D3C">
      <w:pPr>
        <w:pStyle w:val="EStiret"/>
        <w:rPr>
          <w:noProof w:val="0"/>
          <w:lang w:val="bg-BG"/>
        </w:rPr>
      </w:pPr>
      <w:r w:rsidRPr="009072DA">
        <w:rPr>
          <w:noProof w:val="0"/>
          <w:lang w:val="bg-BG"/>
        </w:rPr>
        <w:t>-</w:t>
      </w:r>
      <w:r w:rsidRPr="009072DA">
        <w:rPr>
          <w:noProof w:val="0"/>
          <w:lang w:val="bg-BG"/>
        </w:rPr>
        <w:tab/>
        <w:t>спад в нивото на водата в резервоара (ако има такъв),</w:t>
      </w:r>
    </w:p>
    <w:p w:rsidR="00C44D3C" w:rsidRPr="009072DA" w:rsidRDefault="00C44D3C" w:rsidP="00C44D3C">
      <w:pPr>
        <w:pStyle w:val="EStiret"/>
        <w:rPr>
          <w:noProof w:val="0"/>
          <w:lang w:val="bg-BG"/>
        </w:rPr>
      </w:pPr>
      <w:r w:rsidRPr="009072DA">
        <w:rPr>
          <w:noProof w:val="0"/>
          <w:lang w:val="bg-BG"/>
        </w:rPr>
        <w:t>-</w:t>
      </w:r>
      <w:r w:rsidRPr="009072DA">
        <w:rPr>
          <w:noProof w:val="0"/>
          <w:lang w:val="bg-BG"/>
        </w:rPr>
        <w:tab/>
        <w:t>прекъсване на електрическото захранване,</w:t>
      </w:r>
    </w:p>
    <w:p w:rsidR="00C44D3C" w:rsidRPr="009072DA" w:rsidRDefault="00C44D3C" w:rsidP="00C44D3C">
      <w:pPr>
        <w:pStyle w:val="EStiret"/>
        <w:rPr>
          <w:noProof w:val="0"/>
          <w:lang w:val="bg-BG"/>
        </w:rPr>
      </w:pPr>
      <w:r w:rsidRPr="009072DA">
        <w:rPr>
          <w:noProof w:val="0"/>
          <w:lang w:val="bg-BG"/>
        </w:rPr>
        <w:t>-</w:t>
      </w:r>
      <w:r w:rsidRPr="009072DA">
        <w:rPr>
          <w:noProof w:val="0"/>
          <w:lang w:val="bg-BG"/>
        </w:rPr>
        <w:tab/>
        <w:t>загуба на налягане в тръбопровода на системата с ниско налягане,</w:t>
      </w:r>
    </w:p>
    <w:p w:rsidR="00C44D3C" w:rsidRPr="009072DA" w:rsidRDefault="00C44D3C" w:rsidP="00C44D3C">
      <w:pPr>
        <w:pStyle w:val="EStiret"/>
        <w:rPr>
          <w:noProof w:val="0"/>
          <w:lang w:val="bg-BG"/>
        </w:rPr>
      </w:pPr>
      <w:r w:rsidRPr="009072DA">
        <w:rPr>
          <w:noProof w:val="0"/>
          <w:lang w:val="bg-BG"/>
        </w:rPr>
        <w:t>-</w:t>
      </w:r>
      <w:r w:rsidRPr="009072DA">
        <w:rPr>
          <w:noProof w:val="0"/>
          <w:lang w:val="bg-BG"/>
        </w:rPr>
        <w:tab/>
        <w:t>загубата на налягане в кръга за високо налягане,</w:t>
      </w:r>
    </w:p>
    <w:p w:rsidR="00C44D3C" w:rsidRPr="009072DA" w:rsidRDefault="00C44D3C" w:rsidP="00C44D3C">
      <w:pPr>
        <w:pStyle w:val="EStiret"/>
        <w:rPr>
          <w:noProof w:val="0"/>
          <w:lang w:val="bg-BG"/>
        </w:rPr>
      </w:pPr>
      <w:r w:rsidRPr="009072DA">
        <w:rPr>
          <w:noProof w:val="0"/>
          <w:lang w:val="bg-BG"/>
        </w:rPr>
        <w:t>-</w:t>
      </w:r>
      <w:r w:rsidRPr="009072DA">
        <w:rPr>
          <w:noProof w:val="0"/>
          <w:lang w:val="bg-BG"/>
        </w:rPr>
        <w:tab/>
        <w:t>когато системата е активирана.</w:t>
      </w:r>
    </w:p>
    <w:p w:rsidR="00C44D3C" w:rsidRPr="009072DA" w:rsidRDefault="00C44D3C" w:rsidP="00980973">
      <w:pPr>
        <w:pStyle w:val="ESlet"/>
        <w:rPr>
          <w:lang w:val="bg-BG"/>
        </w:rPr>
      </w:pPr>
      <w:r w:rsidRPr="009072DA">
        <w:rPr>
          <w:lang w:val="bg-BG"/>
        </w:rPr>
        <w:t>й)</w:t>
      </w:r>
      <w:r w:rsidRPr="009072DA">
        <w:rPr>
          <w:lang w:val="bg-BG"/>
        </w:rPr>
        <w:tab/>
        <w:t xml:space="preserve">Документите, необходими за инсталирането, функционалните изпитвания и документиране на инсталацията, посочени в точка точка 9, трябва да включват най-малкото: </w:t>
      </w:r>
    </w:p>
    <w:p w:rsidR="00C44D3C" w:rsidRPr="009072DA" w:rsidRDefault="00C44D3C" w:rsidP="00C44D3C">
      <w:pPr>
        <w:pStyle w:val="EStiret"/>
        <w:rPr>
          <w:noProof w:val="0"/>
          <w:lang w:val="bg-BG"/>
        </w:rPr>
      </w:pPr>
      <w:r w:rsidRPr="009072DA">
        <w:rPr>
          <w:noProof w:val="0"/>
          <w:lang w:val="bg-BG"/>
        </w:rPr>
        <w:t xml:space="preserve">- </w:t>
      </w:r>
      <w:r w:rsidRPr="009072DA">
        <w:rPr>
          <w:noProof w:val="0"/>
          <w:lang w:val="bg-BG"/>
        </w:rPr>
        <w:tab/>
        <w:t>схема на системата, показваща участъци на тръбите и видовете разпръскващи дюзи,</w:t>
      </w:r>
    </w:p>
    <w:p w:rsidR="00C44D3C" w:rsidRPr="009072DA" w:rsidRDefault="00C44D3C" w:rsidP="00C44D3C">
      <w:pPr>
        <w:pStyle w:val="EStiret"/>
        <w:rPr>
          <w:noProof w:val="0"/>
          <w:lang w:val="bg-BG"/>
        </w:rPr>
      </w:pPr>
      <w:r w:rsidRPr="009072DA">
        <w:rPr>
          <w:noProof w:val="0"/>
          <w:lang w:val="bg-BG"/>
        </w:rPr>
        <w:t xml:space="preserve">- </w:t>
      </w:r>
      <w:r w:rsidRPr="009072DA">
        <w:rPr>
          <w:noProof w:val="0"/>
          <w:lang w:val="bg-BG"/>
        </w:rPr>
        <w:tab/>
        <w:t>хидравличното изчисление, посочено в буква г),</w:t>
      </w:r>
    </w:p>
    <w:p w:rsidR="00C44D3C" w:rsidRPr="009072DA" w:rsidRDefault="00C44D3C" w:rsidP="00C44D3C">
      <w:pPr>
        <w:pStyle w:val="EStiret"/>
        <w:rPr>
          <w:noProof w:val="0"/>
          <w:lang w:val="bg-BG"/>
        </w:rPr>
      </w:pPr>
      <w:r w:rsidRPr="009072DA">
        <w:rPr>
          <w:noProof w:val="0"/>
          <w:lang w:val="bg-BG"/>
        </w:rPr>
        <w:t xml:space="preserve">- </w:t>
      </w:r>
      <w:r w:rsidRPr="009072DA">
        <w:rPr>
          <w:noProof w:val="0"/>
          <w:lang w:val="bg-BG"/>
        </w:rPr>
        <w:tab/>
        <w:t>техническата документация на производителя, която обхваща всички аспекти на инсталацията,</w:t>
      </w:r>
    </w:p>
    <w:p w:rsidR="00C44D3C" w:rsidRPr="009072DA" w:rsidRDefault="00C44D3C" w:rsidP="00C44D3C">
      <w:pPr>
        <w:pStyle w:val="EStiret"/>
        <w:rPr>
          <w:noProof w:val="0"/>
          <w:lang w:val="bg-BG"/>
        </w:rPr>
      </w:pPr>
      <w:r w:rsidRPr="009072DA">
        <w:rPr>
          <w:noProof w:val="0"/>
          <w:lang w:val="bg-BG"/>
        </w:rPr>
        <w:lastRenderedPageBreak/>
        <w:t xml:space="preserve">- </w:t>
      </w:r>
      <w:r w:rsidRPr="009072DA">
        <w:rPr>
          <w:noProof w:val="0"/>
          <w:lang w:val="bg-BG"/>
        </w:rPr>
        <w:tab/>
        <w:t>ръководството за техническа поддръжка.</w:t>
      </w:r>
    </w:p>
    <w:p w:rsidR="00E65F26" w:rsidRPr="009072DA" w:rsidRDefault="00E65F26" w:rsidP="00E65F26">
      <w:pPr>
        <w:pStyle w:val="ESch"/>
        <w:rPr>
          <w:lang w:val="bg-BG"/>
        </w:rPr>
      </w:pPr>
    </w:p>
    <w:p w:rsidR="00771FEA" w:rsidRPr="009072DA" w:rsidRDefault="00771FEA" w:rsidP="00E65F26">
      <w:pPr>
        <w:pStyle w:val="ESch"/>
        <w:rPr>
          <w:lang w:val="bg-BG"/>
        </w:rPr>
      </w:pPr>
    </w:p>
    <w:p w:rsidR="00C83149" w:rsidRPr="009072DA" w:rsidRDefault="00C83149" w:rsidP="00C83149">
      <w:pPr>
        <w:pStyle w:val="ES-Titre3"/>
        <w:rPr>
          <w:i/>
          <w:lang w:val="bg-BG"/>
        </w:rPr>
      </w:pPr>
      <w:bookmarkStart w:id="219" w:name="_Toc491854107"/>
      <w:bookmarkStart w:id="220" w:name="_Toc535827548"/>
      <w:r w:rsidRPr="009072DA">
        <w:rPr>
          <w:lang w:val="bg-BG"/>
        </w:rPr>
        <w:t>Член 13.06</w:t>
      </w:r>
      <w:r w:rsidRPr="009072DA">
        <w:rPr>
          <w:lang w:val="bg-BG"/>
        </w:rPr>
        <w:br/>
      </w:r>
      <w:r w:rsidRPr="009072DA">
        <w:rPr>
          <w:i/>
          <w:lang w:val="bg-BG"/>
        </w:rPr>
        <w:t>Постоянно монтирани противопожарни системи за защита на предмети</w:t>
      </w:r>
      <w:bookmarkEnd w:id="219"/>
      <w:bookmarkEnd w:id="220"/>
    </w:p>
    <w:p w:rsidR="00C83149" w:rsidRPr="009072DA" w:rsidRDefault="00C83149" w:rsidP="00E65F26">
      <w:pPr>
        <w:pStyle w:val="ESch"/>
        <w:rPr>
          <w:lang w:val="bg-BG"/>
        </w:rPr>
      </w:pPr>
    </w:p>
    <w:p w:rsidR="00C83149" w:rsidRPr="009072DA" w:rsidRDefault="00C83149" w:rsidP="00C83149">
      <w:pPr>
        <w:pStyle w:val="ESgauche"/>
        <w:rPr>
          <w:noProof w:val="0"/>
          <w:lang w:val="bg-BG"/>
        </w:rPr>
      </w:pPr>
      <w:r w:rsidRPr="009072DA">
        <w:rPr>
          <w:noProof w:val="0"/>
          <w:lang w:val="bg-BG"/>
        </w:rPr>
        <w:t>Постоянно монтирани противопожарни системи за защита на предмети са забранени.</w:t>
      </w:r>
    </w:p>
    <w:p w:rsidR="00C83149" w:rsidRPr="009072DA" w:rsidRDefault="00C83149" w:rsidP="00E65F26">
      <w:pPr>
        <w:pStyle w:val="ESch"/>
        <w:rPr>
          <w:lang w:val="bg-BG"/>
        </w:rPr>
      </w:pPr>
    </w:p>
    <w:p w:rsidR="00C83149" w:rsidRPr="009072DA" w:rsidRDefault="00C83149" w:rsidP="00E65F26">
      <w:pPr>
        <w:pStyle w:val="ESch"/>
        <w:rPr>
          <w:lang w:val="bg-BG"/>
        </w:rPr>
      </w:pPr>
    </w:p>
    <w:p w:rsidR="00C44D3C" w:rsidRPr="009072DA" w:rsidRDefault="00C44D3C">
      <w:pPr>
        <w:rPr>
          <w:rFonts w:eastAsia="Calibri"/>
          <w:b/>
          <w:lang w:val="bg-BG"/>
        </w:rPr>
      </w:pPr>
      <w:r w:rsidRPr="009072DA">
        <w:rPr>
          <w:lang w:val="bg-BG"/>
        </w:rPr>
        <w:br w:type="page"/>
      </w:r>
    </w:p>
    <w:p w:rsidR="00E65F26" w:rsidRPr="009072DA" w:rsidRDefault="00E65F26" w:rsidP="00824063">
      <w:pPr>
        <w:pStyle w:val="ES-Titre3"/>
        <w:rPr>
          <w:i/>
          <w:lang w:val="bg-BG"/>
        </w:rPr>
      </w:pPr>
      <w:bookmarkStart w:id="221" w:name="_Toc491854108"/>
      <w:bookmarkStart w:id="222" w:name="_Toc535827549"/>
      <w:r w:rsidRPr="009072DA">
        <w:rPr>
          <w:lang w:val="bg-BG"/>
        </w:rPr>
        <w:lastRenderedPageBreak/>
        <w:t>Член 13.07</w:t>
      </w:r>
      <w:r w:rsidRPr="009072DA">
        <w:rPr>
          <w:lang w:val="bg-BG"/>
        </w:rPr>
        <w:br/>
      </w:r>
      <w:r w:rsidRPr="009072DA">
        <w:rPr>
          <w:i/>
          <w:lang w:val="bg-BG"/>
        </w:rPr>
        <w:t>Корабни лодки</w:t>
      </w:r>
      <w:bookmarkEnd w:id="221"/>
      <w:bookmarkEnd w:id="222"/>
    </w:p>
    <w:p w:rsidR="00824063" w:rsidRPr="009072DA" w:rsidRDefault="00824063" w:rsidP="00E65F26">
      <w:pPr>
        <w:pStyle w:val="ESch"/>
        <w:rPr>
          <w:lang w:val="bg-BG"/>
        </w:rPr>
      </w:pPr>
    </w:p>
    <w:p w:rsidR="00E65F26" w:rsidRPr="009072DA" w:rsidRDefault="00E65F26" w:rsidP="00E65F26">
      <w:pPr>
        <w:pStyle w:val="ESch"/>
        <w:rPr>
          <w:lang w:val="bg-BG"/>
        </w:rPr>
      </w:pPr>
      <w:r w:rsidRPr="009072DA">
        <w:rPr>
          <w:lang w:val="bg-BG"/>
        </w:rPr>
        <w:t>1.</w:t>
      </w:r>
      <w:r w:rsidRPr="009072DA">
        <w:rPr>
          <w:lang w:val="bg-BG"/>
        </w:rPr>
        <w:tab/>
        <w:t>Изброените плавателни средства трябва да носят на борда си корабни лодки в съответствие с европейски стандарт EN 1914 : 2016:</w:t>
      </w:r>
    </w:p>
    <w:p w:rsidR="00E65F26" w:rsidRPr="009072DA" w:rsidRDefault="005C7859" w:rsidP="00824063">
      <w:pPr>
        <w:pStyle w:val="ESlet"/>
        <w:rPr>
          <w:lang w:val="bg-BG"/>
        </w:rPr>
      </w:pPr>
      <w:r w:rsidRPr="009072DA">
        <w:rPr>
          <w:lang w:val="bg-BG"/>
        </w:rPr>
        <w:t>a)</w:t>
      </w:r>
      <w:r w:rsidRPr="009072DA">
        <w:rPr>
          <w:lang w:val="bg-BG"/>
        </w:rPr>
        <w:tab/>
        <w:t>моторни плавателни съдове и баржи с товароподемност над 150 t;</w:t>
      </w:r>
    </w:p>
    <w:p w:rsidR="00E65F26" w:rsidRPr="009072DA" w:rsidRDefault="005C7859" w:rsidP="00824063">
      <w:pPr>
        <w:pStyle w:val="ESlet"/>
        <w:rPr>
          <w:lang w:val="bg-BG"/>
        </w:rPr>
      </w:pPr>
      <w:r w:rsidRPr="009072DA">
        <w:rPr>
          <w:lang w:val="bg-BG"/>
        </w:rPr>
        <w:t>б)</w:t>
      </w:r>
      <w:r w:rsidRPr="009072DA">
        <w:rPr>
          <w:lang w:val="bg-BG"/>
        </w:rPr>
        <w:tab/>
        <w:t>влекачи и тласкачи с обемно водоизместване над 150 m</w:t>
      </w:r>
      <w:r w:rsidRPr="009072DA">
        <w:rPr>
          <w:vertAlign w:val="superscript"/>
          <w:lang w:val="bg-BG"/>
        </w:rPr>
        <w:t>3</w:t>
      </w:r>
      <w:r w:rsidRPr="009072DA">
        <w:rPr>
          <w:lang w:val="bg-BG"/>
        </w:rPr>
        <w:t>;</w:t>
      </w:r>
    </w:p>
    <w:p w:rsidR="00E65F26" w:rsidRPr="009072DA" w:rsidRDefault="005C7859" w:rsidP="00824063">
      <w:pPr>
        <w:pStyle w:val="ESlet"/>
        <w:rPr>
          <w:lang w:val="bg-BG"/>
        </w:rPr>
      </w:pPr>
      <w:r w:rsidRPr="009072DA">
        <w:rPr>
          <w:lang w:val="bg-BG"/>
        </w:rPr>
        <w:t>в)</w:t>
      </w:r>
      <w:r w:rsidRPr="009072DA">
        <w:rPr>
          <w:lang w:val="bg-BG"/>
        </w:rPr>
        <w:tab/>
        <w:t>плаващи съоръжения:</w:t>
      </w:r>
    </w:p>
    <w:p w:rsidR="00E65F26" w:rsidRPr="009072DA" w:rsidRDefault="005C7859" w:rsidP="00824063">
      <w:pPr>
        <w:pStyle w:val="ESlet"/>
        <w:rPr>
          <w:lang w:val="bg-BG"/>
        </w:rPr>
      </w:pPr>
      <w:r w:rsidRPr="009072DA">
        <w:rPr>
          <w:lang w:val="bg-BG"/>
        </w:rPr>
        <w:t>г)</w:t>
      </w:r>
      <w:r w:rsidRPr="009072DA">
        <w:rPr>
          <w:lang w:val="bg-BG"/>
        </w:rPr>
        <w:tab/>
        <w:t>пътнически плавателни съдове.</w:t>
      </w:r>
    </w:p>
    <w:p w:rsidR="00771FEA" w:rsidRPr="009072DA" w:rsidRDefault="00771FEA" w:rsidP="00E65F26">
      <w:pPr>
        <w:pStyle w:val="ESch"/>
        <w:rPr>
          <w:lang w:val="bg-BG"/>
        </w:rPr>
      </w:pPr>
    </w:p>
    <w:p w:rsidR="00E65F26" w:rsidRPr="009072DA" w:rsidRDefault="00E65F26" w:rsidP="00E65F26">
      <w:pPr>
        <w:pStyle w:val="ESch"/>
        <w:rPr>
          <w:lang w:val="bg-BG"/>
        </w:rPr>
      </w:pPr>
      <w:r w:rsidRPr="009072DA">
        <w:rPr>
          <w:lang w:val="bg-BG"/>
        </w:rPr>
        <w:t>2.</w:t>
      </w:r>
      <w:r w:rsidRPr="009072DA">
        <w:rPr>
          <w:lang w:val="bg-BG"/>
        </w:rPr>
        <w:tab/>
        <w:t>Трябва да е възможно корабните лодки да се спускат безопасно на вода от едно лице в рамките на пет минути от първото необходимо ръчно действие. Когато се използва силово спускателно устройство, то е от такъв вид, че безопасното и бързо спускане да не бъде затруднено, ако има повреда в захранването.</w:t>
      </w:r>
    </w:p>
    <w:p w:rsidR="00824063" w:rsidRPr="009072DA" w:rsidRDefault="00824063" w:rsidP="00E65F26">
      <w:pPr>
        <w:pStyle w:val="ESch"/>
        <w:rPr>
          <w:lang w:val="bg-BG"/>
        </w:rPr>
      </w:pPr>
    </w:p>
    <w:p w:rsidR="00E65F26" w:rsidRPr="009072DA" w:rsidRDefault="00E65F26" w:rsidP="00E65F26">
      <w:pPr>
        <w:pStyle w:val="ESch"/>
        <w:rPr>
          <w:lang w:val="bg-BG"/>
        </w:rPr>
      </w:pPr>
      <w:r w:rsidRPr="009072DA">
        <w:rPr>
          <w:lang w:val="bg-BG"/>
        </w:rPr>
        <w:t>3.</w:t>
      </w:r>
      <w:r w:rsidRPr="009072DA">
        <w:rPr>
          <w:lang w:val="bg-BG"/>
        </w:rPr>
        <w:tab/>
        <w:t>Надуваемите корабни лодки се проверяват съгласно указанията на производителя.</w:t>
      </w:r>
    </w:p>
    <w:p w:rsidR="00E65F26" w:rsidRPr="009072DA" w:rsidRDefault="00E65F26" w:rsidP="00E65F26">
      <w:pPr>
        <w:pStyle w:val="ESch"/>
        <w:rPr>
          <w:lang w:val="bg-BG"/>
        </w:rPr>
      </w:pPr>
    </w:p>
    <w:p w:rsidR="00771FEA" w:rsidRPr="009072DA" w:rsidRDefault="00771FEA" w:rsidP="00E65F26">
      <w:pPr>
        <w:pStyle w:val="ESch"/>
        <w:rPr>
          <w:lang w:val="bg-BG"/>
        </w:rPr>
      </w:pPr>
    </w:p>
    <w:p w:rsidR="00771FEA" w:rsidRPr="009072DA" w:rsidRDefault="00771FEA" w:rsidP="00E65F26">
      <w:pPr>
        <w:pStyle w:val="ESch"/>
        <w:rPr>
          <w:lang w:val="bg-BG"/>
        </w:rPr>
      </w:pPr>
    </w:p>
    <w:p w:rsidR="00E65F26" w:rsidRPr="009072DA" w:rsidRDefault="00E65F26" w:rsidP="00824063">
      <w:pPr>
        <w:pStyle w:val="ES-Titre3"/>
        <w:rPr>
          <w:i/>
          <w:lang w:val="bg-BG"/>
        </w:rPr>
      </w:pPr>
      <w:bookmarkStart w:id="223" w:name="_Toc491854109"/>
      <w:bookmarkStart w:id="224" w:name="_Toc535827550"/>
      <w:r w:rsidRPr="009072DA">
        <w:rPr>
          <w:lang w:val="bg-BG"/>
        </w:rPr>
        <w:t>Член 13.08</w:t>
      </w:r>
      <w:r w:rsidRPr="009072DA">
        <w:rPr>
          <w:lang w:val="bg-BG"/>
        </w:rPr>
        <w:br/>
      </w:r>
      <w:r w:rsidRPr="009072DA">
        <w:rPr>
          <w:i/>
          <w:lang w:val="bg-BG"/>
        </w:rPr>
        <w:t>Спасителни кръгове и спасителни жилетки</w:t>
      </w:r>
      <w:bookmarkEnd w:id="223"/>
      <w:bookmarkEnd w:id="224"/>
    </w:p>
    <w:p w:rsidR="00824063" w:rsidRPr="009072DA" w:rsidRDefault="00824063" w:rsidP="00E65F26">
      <w:pPr>
        <w:pStyle w:val="ESch"/>
        <w:rPr>
          <w:lang w:val="bg-BG"/>
        </w:rPr>
      </w:pPr>
    </w:p>
    <w:p w:rsidR="00E65F26" w:rsidRPr="009072DA" w:rsidRDefault="00E65F26" w:rsidP="00E65F26">
      <w:pPr>
        <w:pStyle w:val="ESch"/>
        <w:rPr>
          <w:lang w:val="bg-BG"/>
        </w:rPr>
      </w:pPr>
      <w:r w:rsidRPr="009072DA">
        <w:rPr>
          <w:lang w:val="bg-BG"/>
        </w:rPr>
        <w:t>1.</w:t>
      </w:r>
      <w:r w:rsidRPr="009072DA">
        <w:rPr>
          <w:lang w:val="bg-BG"/>
        </w:rPr>
        <w:tab/>
        <w:t xml:space="preserve">На борда на плавателното средство трябва да има най-малко три спасителни кръга: </w:t>
      </w:r>
    </w:p>
    <w:p w:rsidR="00E65F26" w:rsidRPr="009072DA" w:rsidRDefault="00E65F26" w:rsidP="00574385">
      <w:pPr>
        <w:pStyle w:val="ESlet"/>
        <w:rPr>
          <w:lang w:val="bg-BG"/>
        </w:rPr>
      </w:pPr>
      <w:r w:rsidRPr="009072DA">
        <w:rPr>
          <w:lang w:val="bg-BG"/>
        </w:rPr>
        <w:t>-</w:t>
      </w:r>
      <w:r w:rsidRPr="009072DA">
        <w:rPr>
          <w:lang w:val="bg-BG"/>
        </w:rPr>
        <w:tab/>
        <w:t>в съответствие с европейски стандарт EN 14144: 2003; или</w:t>
      </w:r>
    </w:p>
    <w:p w:rsidR="00E65F26" w:rsidRPr="009072DA" w:rsidRDefault="00E65F26" w:rsidP="00574385">
      <w:pPr>
        <w:pStyle w:val="ESlet"/>
        <w:rPr>
          <w:lang w:val="bg-BG"/>
        </w:rPr>
      </w:pPr>
      <w:r w:rsidRPr="009072DA">
        <w:rPr>
          <w:lang w:val="bg-BG"/>
        </w:rPr>
        <w:t>-</w:t>
      </w:r>
      <w:r w:rsidRPr="009072DA">
        <w:rPr>
          <w:lang w:val="bg-BG"/>
        </w:rPr>
        <w:tab/>
        <w:t>в съответствие с разпоредбите на Международната конвенцията за безопасност на човешкия живот на море от 1974 г. (Конвенция SOLAS от 1974 г.), глава III, правило 7.1 и Международния кодекс за спасителните средства, параграф 2.1.</w:t>
      </w:r>
    </w:p>
    <w:p w:rsidR="00824063" w:rsidRPr="009072DA" w:rsidRDefault="00824063" w:rsidP="00E65F26">
      <w:pPr>
        <w:pStyle w:val="ESch"/>
        <w:rPr>
          <w:lang w:val="bg-BG"/>
        </w:rPr>
      </w:pPr>
    </w:p>
    <w:p w:rsidR="00E65F26" w:rsidRPr="009072DA" w:rsidRDefault="00E65F26" w:rsidP="00574385">
      <w:pPr>
        <w:pStyle w:val="ESchpar"/>
        <w:rPr>
          <w:lang w:val="bg-BG"/>
        </w:rPr>
      </w:pPr>
      <w:r w:rsidRPr="009072DA">
        <w:rPr>
          <w:lang w:val="bg-BG"/>
        </w:rPr>
        <w:t>Те трябва да са в състояние на готовност за употреба и да са закрепени на палубата на съответните места, но без да са неподвижно закрепени към стойката си. Поне един спасителен кръг се разполага в непосредствена близост до рулевата рубка и е оборудван с автоматично включваща се светлина на батерия, която не загасва във водата.</w:t>
      </w:r>
    </w:p>
    <w:p w:rsidR="00574385" w:rsidRPr="009072DA" w:rsidRDefault="00574385" w:rsidP="00E65F26">
      <w:pPr>
        <w:pStyle w:val="ESch"/>
        <w:rPr>
          <w:lang w:val="bg-BG"/>
        </w:rPr>
      </w:pPr>
    </w:p>
    <w:p w:rsidR="00E65F26" w:rsidRPr="009072DA" w:rsidRDefault="00E65F26" w:rsidP="00E65F26">
      <w:pPr>
        <w:pStyle w:val="ESch"/>
        <w:rPr>
          <w:lang w:val="bg-BG"/>
        </w:rPr>
      </w:pPr>
      <w:r w:rsidRPr="009072DA">
        <w:rPr>
          <w:lang w:val="bg-BG"/>
        </w:rPr>
        <w:t>2.</w:t>
      </w:r>
      <w:r w:rsidRPr="009072DA">
        <w:rPr>
          <w:lang w:val="bg-BG"/>
        </w:rPr>
        <w:tab/>
        <w:t xml:space="preserve">Индивидуално означени, автоматично надуваеми спасителни жилетки трябва да са достъпни за всяко лице, което е редовно на борда на плавателно средство. Тези спасителни жилетки трябва да съответстват на: </w:t>
      </w:r>
    </w:p>
    <w:p w:rsidR="00E65F26" w:rsidRPr="009072DA" w:rsidRDefault="00E65F26" w:rsidP="00574385">
      <w:pPr>
        <w:pStyle w:val="ESlet"/>
        <w:rPr>
          <w:lang w:val="bg-BG"/>
        </w:rPr>
      </w:pPr>
      <w:r w:rsidRPr="009072DA">
        <w:rPr>
          <w:lang w:val="bg-BG"/>
        </w:rPr>
        <w:lastRenderedPageBreak/>
        <w:t>-</w:t>
      </w:r>
      <w:r w:rsidRPr="009072DA">
        <w:rPr>
          <w:lang w:val="bg-BG"/>
        </w:rPr>
        <w:tab/>
        <w:t>Европейски стандарти EN ISO 12402-2 : 2006, EN ISO 12402-3 : 2006, EN ISO 12402</w:t>
      </w:r>
      <w:r w:rsidRPr="009072DA">
        <w:rPr>
          <w:lang w:val="bg-BG"/>
        </w:rPr>
        <w:softHyphen/>
        <w:t>4 : 2006; или</w:t>
      </w:r>
    </w:p>
    <w:p w:rsidR="00E65F26" w:rsidRPr="009072DA" w:rsidRDefault="00E65F26" w:rsidP="00574385">
      <w:pPr>
        <w:pStyle w:val="ESlet"/>
        <w:rPr>
          <w:lang w:val="bg-BG"/>
        </w:rPr>
      </w:pPr>
      <w:r w:rsidRPr="009072DA">
        <w:rPr>
          <w:lang w:val="bg-BG"/>
        </w:rPr>
        <w:t>-</w:t>
      </w:r>
      <w:r w:rsidRPr="009072DA">
        <w:rPr>
          <w:lang w:val="bg-BG"/>
        </w:rPr>
        <w:tab/>
        <w:t>Международната конвенцията за безопасност на човешкия живот на море от 1974 г. (Конвенция SOLAS от 1974 г.), глава III, правило 7.2 и Международния кодекс за спасителните средства, параграф 2.2.</w:t>
      </w:r>
    </w:p>
    <w:p w:rsidR="00574385" w:rsidRPr="009072DA" w:rsidRDefault="00574385" w:rsidP="00574385">
      <w:pPr>
        <w:pStyle w:val="ESchpar"/>
        <w:rPr>
          <w:lang w:val="bg-BG"/>
        </w:rPr>
      </w:pPr>
    </w:p>
    <w:p w:rsidR="00E65F26" w:rsidRPr="009072DA" w:rsidRDefault="00E65F26" w:rsidP="00574385">
      <w:pPr>
        <w:pStyle w:val="ESchpar"/>
        <w:rPr>
          <w:lang w:val="bg-BG"/>
        </w:rPr>
      </w:pPr>
      <w:r w:rsidRPr="009072DA">
        <w:rPr>
          <w:lang w:val="bg-BG"/>
        </w:rPr>
        <w:t>Ненадуваеми спасителни жилетки, които отговарят на посочените стандарти, трябва да бъдат допустими също и за деца.</w:t>
      </w:r>
    </w:p>
    <w:p w:rsidR="00574385" w:rsidRPr="009072DA" w:rsidRDefault="00574385" w:rsidP="00E65F26">
      <w:pPr>
        <w:pStyle w:val="ESch"/>
        <w:rPr>
          <w:lang w:val="bg-BG"/>
        </w:rPr>
      </w:pPr>
    </w:p>
    <w:p w:rsidR="00E65F26" w:rsidRPr="009072DA" w:rsidRDefault="00E65F26" w:rsidP="00E65F26">
      <w:pPr>
        <w:pStyle w:val="ESch"/>
        <w:rPr>
          <w:lang w:val="bg-BG"/>
        </w:rPr>
      </w:pPr>
      <w:r w:rsidRPr="009072DA">
        <w:rPr>
          <w:lang w:val="bg-BG"/>
        </w:rPr>
        <w:t>3.</w:t>
      </w:r>
      <w:r w:rsidRPr="009072DA">
        <w:rPr>
          <w:lang w:val="bg-BG"/>
        </w:rPr>
        <w:tab/>
        <w:t>Спасителните жилетки се проверяват в съответствие с инструкциите на производителя.</w:t>
      </w:r>
    </w:p>
    <w:p w:rsidR="00E65F26" w:rsidRPr="009072DA" w:rsidRDefault="00E65F26" w:rsidP="00E65F26">
      <w:pPr>
        <w:pStyle w:val="ESch"/>
        <w:rPr>
          <w:lang w:val="bg-BG"/>
        </w:rPr>
      </w:pPr>
    </w:p>
    <w:p w:rsidR="00AD0BF7" w:rsidRPr="009072DA" w:rsidRDefault="00AD0BF7" w:rsidP="00E65F26">
      <w:pPr>
        <w:pStyle w:val="ESch"/>
        <w:rPr>
          <w:lang w:val="bg-BG"/>
        </w:rPr>
      </w:pPr>
    </w:p>
    <w:p w:rsidR="00AD0BF7" w:rsidRPr="009072DA" w:rsidRDefault="00B51D33" w:rsidP="00E65F26">
      <w:pPr>
        <w:pStyle w:val="ESch"/>
        <w:rPr>
          <w:lang w:val="bg-BG"/>
        </w:rPr>
      </w:pPr>
      <w:r w:rsidRPr="009072DA">
        <w:rPr>
          <w:lang w:val="bg-BG"/>
        </w:rPr>
        <w:br w:type="page"/>
      </w:r>
    </w:p>
    <w:p w:rsidR="005144F5" w:rsidRPr="009072DA" w:rsidRDefault="00F06174" w:rsidP="00F6371D">
      <w:pPr>
        <w:pStyle w:val="ES-Titre2"/>
      </w:pPr>
      <w:bookmarkStart w:id="225" w:name="_Toc491854110"/>
      <w:bookmarkStart w:id="226" w:name="_Toc535827551"/>
      <w:r w:rsidRPr="009072DA">
        <w:lastRenderedPageBreak/>
        <w:t>Глава 14</w:t>
      </w:r>
      <w:r w:rsidRPr="009072DA">
        <w:br/>
        <w:t>Безопасност на работното място</w:t>
      </w:r>
      <w:bookmarkEnd w:id="225"/>
      <w:bookmarkEnd w:id="226"/>
    </w:p>
    <w:p w:rsidR="005144F5" w:rsidRPr="009072DA" w:rsidRDefault="005144F5" w:rsidP="005144F5">
      <w:pPr>
        <w:rPr>
          <w:lang w:val="bg-BG"/>
        </w:rPr>
      </w:pPr>
    </w:p>
    <w:p w:rsidR="00F06174" w:rsidRPr="009072DA" w:rsidRDefault="00F06174" w:rsidP="00DE69C7">
      <w:pPr>
        <w:pStyle w:val="ES-Titre3"/>
        <w:rPr>
          <w:lang w:val="bg-BG"/>
        </w:rPr>
      </w:pPr>
      <w:bookmarkStart w:id="227" w:name="_Toc491854111"/>
      <w:bookmarkStart w:id="228" w:name="_Toc535827552"/>
      <w:r w:rsidRPr="009072DA">
        <w:rPr>
          <w:lang w:val="bg-BG"/>
        </w:rPr>
        <w:t>Член 14.01</w:t>
      </w:r>
      <w:r w:rsidRPr="009072DA">
        <w:rPr>
          <w:lang w:val="bg-BG"/>
        </w:rPr>
        <w:br/>
      </w:r>
      <w:r w:rsidRPr="009072DA">
        <w:rPr>
          <w:i/>
          <w:lang w:val="bg-BG"/>
        </w:rPr>
        <w:t>Общи положения</w:t>
      </w:r>
      <w:bookmarkEnd w:id="227"/>
      <w:bookmarkEnd w:id="228"/>
    </w:p>
    <w:p w:rsidR="00725D4A" w:rsidRPr="009072DA" w:rsidRDefault="00725D4A" w:rsidP="00F06174">
      <w:pPr>
        <w:rPr>
          <w:rFonts w:cs="Arial"/>
          <w:szCs w:val="20"/>
          <w:lang w:val="bg-BG"/>
        </w:rPr>
      </w:pPr>
    </w:p>
    <w:p w:rsidR="00F06174" w:rsidRPr="009072DA" w:rsidRDefault="00F06174" w:rsidP="00725D4A">
      <w:pPr>
        <w:pStyle w:val="ESch"/>
        <w:rPr>
          <w:lang w:val="bg-BG"/>
        </w:rPr>
      </w:pPr>
      <w:r w:rsidRPr="009072DA">
        <w:rPr>
          <w:lang w:val="bg-BG"/>
        </w:rPr>
        <w:t>1.</w:t>
      </w:r>
      <w:r w:rsidRPr="009072DA">
        <w:rPr>
          <w:lang w:val="bg-BG"/>
        </w:rPr>
        <w:tab/>
        <w:t xml:space="preserve">Плавателните съдове трябва да бъдат конструирани, организирани и оборудвани по такъв начин, че да позволят на лицата да работят и да се придвижват в тях безопасно в проходите. </w:t>
      </w:r>
    </w:p>
    <w:p w:rsidR="00DE69C7" w:rsidRPr="009072DA" w:rsidRDefault="00DE69C7" w:rsidP="00725D4A">
      <w:pPr>
        <w:pStyle w:val="ESch"/>
        <w:rPr>
          <w:lang w:val="bg-BG"/>
        </w:rPr>
      </w:pPr>
    </w:p>
    <w:p w:rsidR="00F06174" w:rsidRPr="009072DA" w:rsidRDefault="00F06174" w:rsidP="00725D4A">
      <w:pPr>
        <w:pStyle w:val="ESch"/>
        <w:rPr>
          <w:lang w:val="bg-BG"/>
        </w:rPr>
      </w:pPr>
      <w:r w:rsidRPr="009072DA">
        <w:rPr>
          <w:lang w:val="bg-BG"/>
        </w:rPr>
        <w:t>2.</w:t>
      </w:r>
      <w:r w:rsidRPr="009072DA">
        <w:rPr>
          <w:lang w:val="bg-BG"/>
        </w:rPr>
        <w:tab/>
        <w:t xml:space="preserve">Неподвижно монтирани съоръжения, които са необходими за работа на борда, се разполагат, подреждат и обезопасяват по такъв начин, че да позволят безопасна и лесна експлоатация, ползване и поддръжка. При необходимост преносимите или силно нагряващи се компоненти трябва да бъдат снабдени с предпазни устройства. </w:t>
      </w:r>
    </w:p>
    <w:p w:rsidR="00F06174" w:rsidRPr="009072DA" w:rsidRDefault="00F06174" w:rsidP="00725D4A">
      <w:pPr>
        <w:pStyle w:val="ESch"/>
        <w:rPr>
          <w:lang w:val="bg-BG"/>
        </w:rPr>
      </w:pPr>
    </w:p>
    <w:p w:rsidR="00DE69C7" w:rsidRPr="009072DA" w:rsidRDefault="00DE69C7" w:rsidP="00F06174">
      <w:pPr>
        <w:rPr>
          <w:rFonts w:cs="Arial"/>
          <w:szCs w:val="20"/>
          <w:lang w:val="bg-BG"/>
        </w:rPr>
      </w:pPr>
    </w:p>
    <w:p w:rsidR="00F06174" w:rsidRPr="009072DA" w:rsidRDefault="00F06174" w:rsidP="00DE69C7">
      <w:pPr>
        <w:pStyle w:val="ES-Titre3"/>
        <w:rPr>
          <w:i/>
          <w:lang w:val="bg-BG"/>
        </w:rPr>
      </w:pPr>
      <w:bookmarkStart w:id="229" w:name="_Toc491854112"/>
      <w:bookmarkStart w:id="230" w:name="_Toc535827553"/>
      <w:r w:rsidRPr="009072DA">
        <w:rPr>
          <w:lang w:val="bg-BG"/>
        </w:rPr>
        <w:t>Член 14.02</w:t>
      </w:r>
      <w:r w:rsidRPr="009072DA">
        <w:rPr>
          <w:lang w:val="bg-BG"/>
        </w:rPr>
        <w:br/>
      </w:r>
      <w:r w:rsidRPr="009072DA">
        <w:rPr>
          <w:i/>
          <w:lang w:val="bg-BG"/>
        </w:rPr>
        <w:t>Защита срещу падане</w:t>
      </w:r>
      <w:bookmarkEnd w:id="229"/>
      <w:bookmarkEnd w:id="230"/>
    </w:p>
    <w:p w:rsidR="00DE69C7" w:rsidRPr="009072DA" w:rsidRDefault="00DE69C7" w:rsidP="00F06174">
      <w:pPr>
        <w:rPr>
          <w:rFonts w:cs="Arial"/>
          <w:szCs w:val="20"/>
          <w:lang w:val="bg-BG"/>
        </w:rPr>
      </w:pPr>
    </w:p>
    <w:p w:rsidR="00F06174" w:rsidRPr="009072DA" w:rsidRDefault="00F06174" w:rsidP="00725D4A">
      <w:pPr>
        <w:pStyle w:val="ESch"/>
        <w:rPr>
          <w:lang w:val="bg-BG"/>
        </w:rPr>
      </w:pPr>
      <w:r w:rsidRPr="009072DA">
        <w:rPr>
          <w:lang w:val="bg-BG"/>
        </w:rPr>
        <w:t>1.</w:t>
      </w:r>
      <w:r w:rsidRPr="009072DA">
        <w:rPr>
          <w:lang w:val="bg-BG"/>
        </w:rPr>
        <w:tab/>
        <w:t>Палубите и палубните проходи трябва да са равни и в нито една точка да не създават опасност от препъване; не трябва да e възможно образуването на локви.</w:t>
      </w:r>
    </w:p>
    <w:p w:rsidR="00DE69C7" w:rsidRPr="009072DA" w:rsidRDefault="00DE69C7" w:rsidP="00725D4A">
      <w:pPr>
        <w:pStyle w:val="ESch"/>
        <w:rPr>
          <w:lang w:val="bg-BG"/>
        </w:rPr>
      </w:pPr>
    </w:p>
    <w:p w:rsidR="00F06174" w:rsidRPr="009072DA" w:rsidRDefault="00F06174" w:rsidP="00725D4A">
      <w:pPr>
        <w:pStyle w:val="ESch"/>
        <w:rPr>
          <w:lang w:val="bg-BG"/>
        </w:rPr>
      </w:pPr>
      <w:r w:rsidRPr="009072DA">
        <w:rPr>
          <w:lang w:val="bg-BG"/>
        </w:rPr>
        <w:t>2.</w:t>
      </w:r>
      <w:r w:rsidRPr="009072DA">
        <w:rPr>
          <w:lang w:val="bg-BG"/>
        </w:rPr>
        <w:tab/>
        <w:t>Палубите, палубните проходи, подове на машинното отделение, площадките, стълбищата и горните части на кнехтовете на палубния проход трябва да имат покрития, предпазващи от подхлъзване.</w:t>
      </w:r>
    </w:p>
    <w:p w:rsidR="00DE69C7" w:rsidRPr="009072DA" w:rsidRDefault="00DE69C7" w:rsidP="00725D4A">
      <w:pPr>
        <w:pStyle w:val="ESch"/>
        <w:rPr>
          <w:lang w:val="bg-BG"/>
        </w:rPr>
      </w:pPr>
    </w:p>
    <w:p w:rsidR="00F06174" w:rsidRPr="009072DA" w:rsidRDefault="00F06174" w:rsidP="00725D4A">
      <w:pPr>
        <w:pStyle w:val="ESch"/>
        <w:rPr>
          <w:lang w:val="bg-BG"/>
        </w:rPr>
      </w:pPr>
      <w:r w:rsidRPr="009072DA">
        <w:rPr>
          <w:lang w:val="bg-BG"/>
        </w:rPr>
        <w:t>3.</w:t>
      </w:r>
      <w:r w:rsidRPr="009072DA">
        <w:rPr>
          <w:lang w:val="bg-BG"/>
        </w:rPr>
        <w:tab/>
        <w:t>Горните части на кнехтовете на палубните проходи и всякакви препятствия в проходите, като например краищата на стъпалата, трябва да са маркирани с цвят, контрастен на околната палуба.</w:t>
      </w:r>
    </w:p>
    <w:p w:rsidR="00DE69C7" w:rsidRPr="009072DA" w:rsidRDefault="00DE69C7" w:rsidP="00725D4A">
      <w:pPr>
        <w:pStyle w:val="ESch"/>
        <w:rPr>
          <w:lang w:val="bg-BG"/>
        </w:rPr>
      </w:pPr>
    </w:p>
    <w:p w:rsidR="00F06174" w:rsidRPr="009072DA" w:rsidRDefault="00F06174" w:rsidP="00725D4A">
      <w:pPr>
        <w:pStyle w:val="ESch"/>
        <w:rPr>
          <w:lang w:val="bg-BG"/>
        </w:rPr>
      </w:pPr>
      <w:r w:rsidRPr="009072DA">
        <w:rPr>
          <w:lang w:val="bg-BG"/>
        </w:rPr>
        <w:t>4.</w:t>
      </w:r>
      <w:r w:rsidRPr="009072DA">
        <w:rPr>
          <w:lang w:val="bg-BG"/>
        </w:rPr>
        <w:tab/>
      </w:r>
      <w:r w:rsidRPr="009072DA">
        <w:rPr>
          <w:color w:val="000000"/>
          <w:lang w:val="bg-BG"/>
        </w:rPr>
        <w:t>Външните краища на палубите и палубните проходи, както и работните места, на които лицата биха могли да паднат от повече от 1 m, се оборудват с фалшборд или комингс с височина най-малко 0,90 m или с непрекъснато предпазно заграждение съгласно европейски стандарт EN 711: 2016</w:t>
      </w:r>
      <w:r w:rsidRPr="009072DA">
        <w:rPr>
          <w:lang w:val="bg-BG"/>
        </w:rPr>
        <w:t>. Когато бордови защитни ограждения са прибиращи се,</w:t>
      </w:r>
    </w:p>
    <w:p w:rsidR="00F06174" w:rsidRPr="009072DA" w:rsidRDefault="005C7859" w:rsidP="00725D4A">
      <w:pPr>
        <w:pStyle w:val="ESlet"/>
        <w:rPr>
          <w:lang w:val="bg-BG"/>
        </w:rPr>
      </w:pPr>
      <w:r w:rsidRPr="009072DA">
        <w:rPr>
          <w:lang w:val="bg-BG"/>
        </w:rPr>
        <w:t>a)</w:t>
      </w:r>
      <w:r w:rsidRPr="009072DA">
        <w:rPr>
          <w:lang w:val="bg-BG"/>
        </w:rPr>
        <w:tab/>
        <w:t>към комингса на височина от 0,7 до 1,1 m допълнително се закрепва непрекъснат леер с диаметър от 0,02 до 0,04 m; и</w:t>
      </w:r>
    </w:p>
    <w:p w:rsidR="00F06174" w:rsidRPr="009072DA" w:rsidRDefault="005C7859" w:rsidP="00725D4A">
      <w:pPr>
        <w:pStyle w:val="ESlet"/>
        <w:rPr>
          <w:lang w:val="bg-BG"/>
        </w:rPr>
      </w:pPr>
      <w:r w:rsidRPr="009072DA">
        <w:rPr>
          <w:lang w:val="bg-BG"/>
        </w:rPr>
        <w:lastRenderedPageBreak/>
        <w:t>б)</w:t>
      </w:r>
      <w:r w:rsidRPr="009072DA">
        <w:rPr>
          <w:lang w:val="bg-BG"/>
        </w:rPr>
        <w:tab/>
        <w:t>знаци в съответствие с приложение 4, фигура 10, най-малко 15 cm в диаметър, се поставят на ясно видими места в точката, в която започва палубният проход.</w:t>
      </w:r>
    </w:p>
    <w:p w:rsidR="00F06174" w:rsidRPr="009072DA" w:rsidRDefault="00F06174" w:rsidP="00DE69C7">
      <w:pPr>
        <w:rPr>
          <w:rFonts w:cs="Arial"/>
          <w:szCs w:val="20"/>
          <w:lang w:val="bg-BG"/>
        </w:rPr>
      </w:pPr>
    </w:p>
    <w:p w:rsidR="00F06174" w:rsidRPr="009072DA" w:rsidRDefault="00F06174" w:rsidP="00725D4A">
      <w:pPr>
        <w:pStyle w:val="ESch"/>
        <w:rPr>
          <w:lang w:val="bg-BG"/>
        </w:rPr>
      </w:pPr>
      <w:r w:rsidRPr="009072DA">
        <w:rPr>
          <w:lang w:val="bg-BG"/>
        </w:rPr>
        <w:t>5.</w:t>
      </w:r>
      <w:r w:rsidRPr="009072DA">
        <w:rPr>
          <w:lang w:val="bg-BG"/>
        </w:rPr>
        <w:tab/>
        <w:t>Чрез дерогация от точка 4, при лихтери и баржи без жилищни помещения, фалшборд и предпазни заграждения не се изискват, когато:</w:t>
      </w:r>
    </w:p>
    <w:p w:rsidR="00F06174" w:rsidRPr="009072DA" w:rsidRDefault="005C7859" w:rsidP="00725D4A">
      <w:pPr>
        <w:pStyle w:val="ESlet"/>
        <w:rPr>
          <w:lang w:val="bg-BG"/>
        </w:rPr>
      </w:pPr>
      <w:r w:rsidRPr="009072DA">
        <w:rPr>
          <w:lang w:val="bg-BG"/>
        </w:rPr>
        <w:t>a)</w:t>
      </w:r>
      <w:r w:rsidRPr="009072DA">
        <w:rPr>
          <w:lang w:val="bg-BG"/>
        </w:rPr>
        <w:tab/>
        <w:t>на външните краища на палубите и палубните проходи са монтирани парапети на ниво на ходилата;</w:t>
      </w:r>
    </w:p>
    <w:p w:rsidR="00F06174" w:rsidRPr="009072DA" w:rsidRDefault="005C7859" w:rsidP="00725D4A">
      <w:pPr>
        <w:pStyle w:val="ESlet"/>
        <w:rPr>
          <w:lang w:val="bg-BG"/>
        </w:rPr>
      </w:pPr>
      <w:r w:rsidRPr="009072DA">
        <w:rPr>
          <w:lang w:val="bg-BG"/>
        </w:rPr>
        <w:t>б)</w:t>
      </w:r>
      <w:r w:rsidRPr="009072DA">
        <w:rPr>
          <w:lang w:val="bg-BG"/>
        </w:rPr>
        <w:tab/>
        <w:t>в съответствие с точка 4, буква a) към комингса са закрепени леери; и</w:t>
      </w:r>
    </w:p>
    <w:p w:rsidR="00F06174" w:rsidRPr="009072DA" w:rsidRDefault="005C7859" w:rsidP="00725D4A">
      <w:pPr>
        <w:pStyle w:val="ESlet"/>
        <w:rPr>
          <w:lang w:val="bg-BG"/>
        </w:rPr>
      </w:pPr>
      <w:r w:rsidRPr="009072DA">
        <w:rPr>
          <w:lang w:val="bg-BG"/>
        </w:rPr>
        <w:t>в)</w:t>
      </w:r>
      <w:r w:rsidRPr="009072DA">
        <w:rPr>
          <w:lang w:val="bg-BG"/>
        </w:rPr>
        <w:tab/>
        <w:t>знаци в съответствие с приложение 4, фигура 10, най-малко 15 cm в диаметър, са нанесени на ясно видими места на палубата.</w:t>
      </w:r>
    </w:p>
    <w:p w:rsidR="00DE69C7" w:rsidRPr="009072DA" w:rsidRDefault="00DE69C7" w:rsidP="00F06174">
      <w:pPr>
        <w:rPr>
          <w:rFonts w:cs="Arial"/>
          <w:szCs w:val="20"/>
          <w:lang w:val="bg-BG"/>
        </w:rPr>
      </w:pPr>
    </w:p>
    <w:p w:rsidR="00F06174" w:rsidRPr="009072DA" w:rsidRDefault="00F06174" w:rsidP="00725D4A">
      <w:pPr>
        <w:pStyle w:val="ESch"/>
        <w:rPr>
          <w:lang w:val="bg-BG"/>
        </w:rPr>
      </w:pPr>
      <w:r w:rsidRPr="009072DA">
        <w:rPr>
          <w:lang w:val="bg-BG"/>
        </w:rPr>
        <w:t>6.</w:t>
      </w:r>
      <w:r w:rsidRPr="009072DA">
        <w:rPr>
          <w:lang w:val="bg-BG"/>
        </w:rPr>
        <w:tab/>
        <w:t>Чрез дерогация от точка 4, при равнопалубни плавателни съдове и плавателни съдове със сандъкоподобна палубна надстройка не се изисква предпазните заграждения да се монтират директно по външните краища на палубите или на палубните проходи, когато:</w:t>
      </w:r>
    </w:p>
    <w:p w:rsidR="00F06174" w:rsidRPr="009072DA" w:rsidRDefault="005C7859" w:rsidP="00725D4A">
      <w:pPr>
        <w:pStyle w:val="ESlet"/>
        <w:rPr>
          <w:lang w:val="bg-BG"/>
        </w:rPr>
      </w:pPr>
      <w:r w:rsidRPr="009072DA">
        <w:rPr>
          <w:lang w:val="bg-BG"/>
        </w:rPr>
        <w:t>a)</w:t>
      </w:r>
      <w:r w:rsidRPr="009072DA">
        <w:rPr>
          <w:lang w:val="bg-BG"/>
        </w:rPr>
        <w:tab/>
        <w:t xml:space="preserve">проходите минават през тези палуби; </w:t>
      </w:r>
    </w:p>
    <w:p w:rsidR="00F06174" w:rsidRPr="0066065A" w:rsidRDefault="00725D4A" w:rsidP="00725D4A">
      <w:pPr>
        <w:pStyle w:val="ESlet"/>
        <w:rPr>
          <w:lang w:val="bg-BG"/>
        </w:rPr>
      </w:pPr>
      <w:r w:rsidRPr="009072DA">
        <w:rPr>
          <w:lang w:val="bg-BG"/>
        </w:rPr>
        <w:br w:type="page"/>
      </w:r>
      <w:r w:rsidRPr="0066065A">
        <w:rPr>
          <w:lang w:val="bg-BG"/>
        </w:rPr>
        <w:lastRenderedPageBreak/>
        <w:t>б)</w:t>
      </w:r>
      <w:r w:rsidRPr="0066065A">
        <w:rPr>
          <w:lang w:val="bg-BG"/>
        </w:rPr>
        <w:tab/>
        <w:t>проходите и работните места на тези палуби са оградени с неподвижни предпазни заграждения в съответствие с EN 711: 2016; и</w:t>
      </w:r>
    </w:p>
    <w:p w:rsidR="00F06174" w:rsidRPr="009072DA" w:rsidRDefault="00F06174" w:rsidP="00725D4A">
      <w:pPr>
        <w:pStyle w:val="ESlet"/>
        <w:rPr>
          <w:lang w:val="bg-BG"/>
        </w:rPr>
      </w:pPr>
      <w:r w:rsidRPr="009072DA">
        <w:rPr>
          <w:lang w:val="bg-BG"/>
        </w:rPr>
        <w:t>в)</w:t>
      </w:r>
      <w:r w:rsidRPr="009072DA">
        <w:rPr>
          <w:lang w:val="bg-BG"/>
        </w:rPr>
        <w:tab/>
        <w:t>знаци в съответствие с приложение 4, фигура 10, най-малко 15 cm в диаметър, са нанесени на ясно видими места на преходите към зони, незащитени с предпазни заграждения.</w:t>
      </w:r>
    </w:p>
    <w:p w:rsidR="00DE69C7" w:rsidRPr="009072DA" w:rsidRDefault="00DE69C7" w:rsidP="00F06174">
      <w:pPr>
        <w:rPr>
          <w:rFonts w:cs="Arial"/>
          <w:szCs w:val="20"/>
          <w:lang w:val="bg-BG"/>
        </w:rPr>
      </w:pPr>
    </w:p>
    <w:p w:rsidR="00F06174" w:rsidRPr="009072DA" w:rsidRDefault="00F06174" w:rsidP="00725D4A">
      <w:pPr>
        <w:pStyle w:val="ESch"/>
        <w:rPr>
          <w:lang w:val="bg-BG"/>
        </w:rPr>
      </w:pPr>
      <w:r w:rsidRPr="009072DA">
        <w:rPr>
          <w:lang w:val="bg-BG"/>
        </w:rPr>
        <w:t>7.</w:t>
      </w:r>
      <w:r w:rsidRPr="009072DA">
        <w:rPr>
          <w:lang w:val="bg-BG"/>
        </w:rPr>
        <w:tab/>
        <w:t>На работните места, където съществува опасност лицата да паднат от повече от 1 m, контролният орган може да изиска подходящи приспособления и оборудване за осигуряване на безопасност на работата.</w:t>
      </w:r>
    </w:p>
    <w:p w:rsidR="00F06174" w:rsidRPr="009072DA" w:rsidRDefault="00F06174" w:rsidP="00F06174">
      <w:pPr>
        <w:rPr>
          <w:rFonts w:cs="Arial"/>
          <w:szCs w:val="20"/>
          <w:lang w:val="bg-BG"/>
        </w:rPr>
      </w:pPr>
    </w:p>
    <w:p w:rsidR="00F06174" w:rsidRPr="009072DA" w:rsidRDefault="00F06174" w:rsidP="00F06174">
      <w:pPr>
        <w:rPr>
          <w:rFonts w:cs="Arial"/>
          <w:szCs w:val="20"/>
          <w:lang w:val="bg-BG"/>
        </w:rPr>
      </w:pPr>
    </w:p>
    <w:p w:rsidR="00F06174" w:rsidRPr="009072DA" w:rsidRDefault="00F06174" w:rsidP="00DE69C7">
      <w:pPr>
        <w:pStyle w:val="ES-Titre3"/>
        <w:rPr>
          <w:lang w:val="bg-BG"/>
        </w:rPr>
      </w:pPr>
      <w:bookmarkStart w:id="231" w:name="_Toc491854113"/>
      <w:bookmarkStart w:id="232" w:name="_Toc535827554"/>
      <w:r w:rsidRPr="009072DA">
        <w:rPr>
          <w:lang w:val="bg-BG"/>
        </w:rPr>
        <w:t>Член 14.03</w:t>
      </w:r>
      <w:r w:rsidRPr="009072DA">
        <w:rPr>
          <w:lang w:val="bg-BG"/>
        </w:rPr>
        <w:br/>
      </w:r>
      <w:r w:rsidRPr="009072DA">
        <w:rPr>
          <w:i/>
          <w:lang w:val="bg-BG"/>
        </w:rPr>
        <w:t>Размери на работното място</w:t>
      </w:r>
      <w:bookmarkEnd w:id="231"/>
      <w:bookmarkEnd w:id="232"/>
    </w:p>
    <w:p w:rsidR="00DE69C7" w:rsidRPr="009072DA" w:rsidRDefault="00DE69C7" w:rsidP="00DE69C7">
      <w:pPr>
        <w:rPr>
          <w:rFonts w:cs="Arial"/>
          <w:szCs w:val="20"/>
          <w:lang w:val="bg-BG"/>
        </w:rPr>
      </w:pPr>
    </w:p>
    <w:p w:rsidR="00F06174" w:rsidRPr="009072DA" w:rsidRDefault="00F06174" w:rsidP="00725D4A">
      <w:pPr>
        <w:pStyle w:val="ESgauche"/>
        <w:rPr>
          <w:noProof w:val="0"/>
          <w:lang w:val="bg-BG"/>
        </w:rPr>
      </w:pPr>
      <w:r w:rsidRPr="009072DA">
        <w:rPr>
          <w:noProof w:val="0"/>
          <w:lang w:val="bg-BG"/>
        </w:rPr>
        <w:t>Работните места трябва да са достатъчно големи за осигуряване на достатъчно свобода за движение на всяко работещо там лице.</w:t>
      </w:r>
    </w:p>
    <w:p w:rsidR="00F06174" w:rsidRPr="009072DA" w:rsidRDefault="00F06174" w:rsidP="00F06174">
      <w:pPr>
        <w:rPr>
          <w:rFonts w:cs="Arial"/>
          <w:szCs w:val="20"/>
          <w:lang w:val="bg-BG"/>
        </w:rPr>
      </w:pPr>
    </w:p>
    <w:p w:rsidR="00DE69C7" w:rsidRPr="009072DA" w:rsidRDefault="00DE69C7" w:rsidP="00F06174">
      <w:pPr>
        <w:rPr>
          <w:rFonts w:cs="Arial"/>
          <w:szCs w:val="20"/>
          <w:lang w:val="bg-BG"/>
        </w:rPr>
      </w:pPr>
    </w:p>
    <w:p w:rsidR="00F06174" w:rsidRPr="009072DA" w:rsidRDefault="00F06174" w:rsidP="00DE69C7">
      <w:pPr>
        <w:pStyle w:val="ES-Titre3"/>
        <w:rPr>
          <w:sz w:val="20"/>
          <w:lang w:val="bg-BG"/>
        </w:rPr>
      </w:pPr>
      <w:bookmarkStart w:id="233" w:name="_Toc491854114"/>
      <w:bookmarkStart w:id="234" w:name="_Toc535827555"/>
      <w:r w:rsidRPr="009072DA">
        <w:rPr>
          <w:lang w:val="bg-BG"/>
        </w:rPr>
        <w:t>Член 14.04</w:t>
      </w:r>
      <w:r w:rsidRPr="009072DA">
        <w:rPr>
          <w:lang w:val="bg-BG"/>
        </w:rPr>
        <w:br/>
      </w:r>
      <w:r w:rsidRPr="009072DA">
        <w:rPr>
          <w:i/>
          <w:lang w:val="bg-BG"/>
        </w:rPr>
        <w:t>Палубни проходи</w:t>
      </w:r>
      <w:bookmarkEnd w:id="233"/>
      <w:bookmarkEnd w:id="234"/>
    </w:p>
    <w:p w:rsidR="00DE69C7" w:rsidRPr="009072DA" w:rsidRDefault="00DE69C7" w:rsidP="00F06174">
      <w:pPr>
        <w:rPr>
          <w:rFonts w:cs="Arial"/>
          <w:szCs w:val="20"/>
          <w:lang w:val="bg-BG"/>
        </w:rPr>
      </w:pPr>
    </w:p>
    <w:p w:rsidR="00F06174" w:rsidRPr="009072DA" w:rsidRDefault="00F06174" w:rsidP="00725D4A">
      <w:pPr>
        <w:pStyle w:val="ESch"/>
        <w:rPr>
          <w:lang w:val="bg-BG"/>
        </w:rPr>
      </w:pPr>
      <w:r w:rsidRPr="009072DA">
        <w:rPr>
          <w:lang w:val="bg-BG"/>
        </w:rPr>
        <w:t xml:space="preserve">1. </w:t>
      </w:r>
      <w:r w:rsidRPr="009072DA">
        <w:rPr>
          <w:lang w:val="bg-BG"/>
        </w:rPr>
        <w:tab/>
        <w:t>Габаритната ширина на палубния проход е най-малко 0,60 m. Тази цифра може да се намали до 0,50 m в някои точки, които са необходими за експлоатацията на плавателния съд, като например при крановете за миене на палубата. Тя може да се намали до 0,40 m при кнехтовете и утките.</w:t>
      </w:r>
    </w:p>
    <w:p w:rsidR="00DE69C7" w:rsidRPr="009072DA" w:rsidRDefault="00DE69C7" w:rsidP="00725D4A">
      <w:pPr>
        <w:pStyle w:val="ESch"/>
        <w:rPr>
          <w:lang w:val="bg-BG"/>
        </w:rPr>
      </w:pPr>
    </w:p>
    <w:p w:rsidR="00F06174" w:rsidRPr="009072DA" w:rsidRDefault="00F06174" w:rsidP="00725D4A">
      <w:pPr>
        <w:pStyle w:val="ESch"/>
        <w:rPr>
          <w:lang w:val="bg-BG"/>
        </w:rPr>
      </w:pPr>
      <w:r w:rsidRPr="009072DA">
        <w:rPr>
          <w:lang w:val="bg-BG"/>
        </w:rPr>
        <w:t>2.</w:t>
      </w:r>
      <w:r w:rsidRPr="009072DA">
        <w:rPr>
          <w:lang w:val="bg-BG"/>
        </w:rPr>
        <w:tab/>
        <w:t>До височина от 0,90 m над палубния проход, габаритната ширина на този палубен проход може да бъде намалена до 0,50 m при условие че габаритната ширина по-нагоре, между външния край на корпуса и вътрешния край на трюма, е не по-малка от 0,65 m.</w:t>
      </w:r>
    </w:p>
    <w:p w:rsidR="00DE69C7" w:rsidRPr="009072DA" w:rsidRDefault="00DE69C7" w:rsidP="00725D4A">
      <w:pPr>
        <w:pStyle w:val="ESch"/>
        <w:rPr>
          <w:lang w:val="bg-BG"/>
        </w:rPr>
      </w:pPr>
    </w:p>
    <w:p w:rsidR="00F06174" w:rsidRPr="009072DA" w:rsidRDefault="00F06174" w:rsidP="00725D4A">
      <w:pPr>
        <w:pStyle w:val="ESch"/>
        <w:rPr>
          <w:lang w:val="bg-BG"/>
        </w:rPr>
      </w:pPr>
      <w:r w:rsidRPr="009072DA">
        <w:rPr>
          <w:lang w:val="bg-BG"/>
        </w:rPr>
        <w:t xml:space="preserve">3. </w:t>
      </w:r>
      <w:r w:rsidRPr="009072DA">
        <w:rPr>
          <w:lang w:val="bg-BG"/>
        </w:rPr>
        <w:tab/>
        <w:t>Изискванията на точки 1 и 2 се прилагат до височина от 2,00 m над палубния проход.</w:t>
      </w:r>
    </w:p>
    <w:p w:rsidR="00F06174" w:rsidRPr="009072DA" w:rsidRDefault="00F06174" w:rsidP="00F06174">
      <w:pPr>
        <w:rPr>
          <w:rFonts w:cs="Arial"/>
          <w:szCs w:val="20"/>
          <w:lang w:val="bg-BG"/>
        </w:rPr>
      </w:pPr>
    </w:p>
    <w:p w:rsidR="00F06174" w:rsidRPr="009072DA" w:rsidRDefault="00F06174" w:rsidP="00F06174">
      <w:pPr>
        <w:rPr>
          <w:rFonts w:cs="Arial"/>
          <w:szCs w:val="20"/>
          <w:lang w:val="bg-BG"/>
        </w:rPr>
      </w:pPr>
    </w:p>
    <w:p w:rsidR="00F06174" w:rsidRPr="009072DA" w:rsidRDefault="00F06174" w:rsidP="00DE69C7">
      <w:pPr>
        <w:pStyle w:val="ES-Titre3"/>
        <w:rPr>
          <w:i/>
          <w:sz w:val="20"/>
          <w:lang w:val="bg-BG"/>
        </w:rPr>
      </w:pPr>
      <w:bookmarkStart w:id="235" w:name="_Toc491854115"/>
      <w:bookmarkStart w:id="236" w:name="_Toc535827556"/>
      <w:r w:rsidRPr="009072DA">
        <w:rPr>
          <w:lang w:val="bg-BG"/>
        </w:rPr>
        <w:t>Член 14.05</w:t>
      </w:r>
      <w:r w:rsidRPr="009072DA">
        <w:rPr>
          <w:lang w:val="bg-BG"/>
        </w:rPr>
        <w:br/>
      </w:r>
      <w:r w:rsidRPr="009072DA">
        <w:rPr>
          <w:i/>
          <w:lang w:val="bg-BG"/>
        </w:rPr>
        <w:t>Достъп до работните места</w:t>
      </w:r>
      <w:bookmarkEnd w:id="235"/>
      <w:bookmarkEnd w:id="236"/>
    </w:p>
    <w:p w:rsidR="00DE69C7" w:rsidRPr="009072DA" w:rsidRDefault="00DE69C7" w:rsidP="00F06174">
      <w:pPr>
        <w:rPr>
          <w:rFonts w:cs="Arial"/>
          <w:szCs w:val="20"/>
          <w:lang w:val="bg-BG"/>
        </w:rPr>
      </w:pPr>
    </w:p>
    <w:p w:rsidR="00F06174" w:rsidRPr="009072DA" w:rsidRDefault="00F06174" w:rsidP="00725D4A">
      <w:pPr>
        <w:pStyle w:val="ESch"/>
        <w:rPr>
          <w:lang w:val="bg-BG"/>
        </w:rPr>
      </w:pPr>
      <w:r w:rsidRPr="009072DA">
        <w:rPr>
          <w:lang w:val="bg-BG"/>
        </w:rPr>
        <w:t>1.</w:t>
      </w:r>
      <w:r w:rsidRPr="009072DA">
        <w:rPr>
          <w:lang w:val="bg-BG"/>
        </w:rPr>
        <w:tab/>
        <w:t>Входовете и проходите за придвижване на лица и предмети трябва да са с достатъчни размери и да са разположени така, че:</w:t>
      </w:r>
    </w:p>
    <w:p w:rsidR="00F06174" w:rsidRPr="009072DA" w:rsidRDefault="005C7859" w:rsidP="00725D4A">
      <w:pPr>
        <w:pStyle w:val="ESlet"/>
        <w:rPr>
          <w:lang w:val="bg-BG"/>
        </w:rPr>
      </w:pPr>
      <w:r w:rsidRPr="009072DA">
        <w:rPr>
          <w:lang w:val="bg-BG"/>
        </w:rPr>
        <w:t>a)</w:t>
      </w:r>
      <w:r w:rsidRPr="009072DA">
        <w:rPr>
          <w:lang w:val="bg-BG"/>
        </w:rPr>
        <w:tab/>
        <w:t>пред входовете да има достатъчно място, за да не задържа придвижването;</w:t>
      </w:r>
    </w:p>
    <w:p w:rsidR="00F06174" w:rsidRPr="009072DA" w:rsidRDefault="005C7859" w:rsidP="00725D4A">
      <w:pPr>
        <w:pStyle w:val="ESlet"/>
        <w:rPr>
          <w:lang w:val="bg-BG"/>
        </w:rPr>
      </w:pPr>
      <w:r w:rsidRPr="009072DA">
        <w:rPr>
          <w:lang w:val="bg-BG"/>
        </w:rPr>
        <w:t>б)</w:t>
      </w:r>
      <w:r w:rsidRPr="009072DA">
        <w:rPr>
          <w:lang w:val="bg-BG"/>
        </w:rPr>
        <w:tab/>
        <w:t>габаритната ширина на прохода да е в съответствие с предназначението на работното място и да не е по-малка от 0,60 m, с изключение на плавателни средства с широчина по-малка от 8 m, при които широчината на прохода може да се намали до 0,50 m;</w:t>
      </w:r>
    </w:p>
    <w:p w:rsidR="00F06174" w:rsidRPr="009072DA" w:rsidRDefault="005C7859" w:rsidP="00725D4A">
      <w:pPr>
        <w:pStyle w:val="ESlet"/>
        <w:rPr>
          <w:lang w:val="bg-BG"/>
        </w:rPr>
      </w:pPr>
      <w:r w:rsidRPr="009072DA">
        <w:rPr>
          <w:lang w:val="bg-BG"/>
        </w:rPr>
        <w:t>в)</w:t>
      </w:r>
      <w:r w:rsidRPr="009072DA">
        <w:rPr>
          <w:lang w:val="bg-BG"/>
        </w:rPr>
        <w:tab/>
        <w:t>габаритната височина на проходите, включително прага, да е не по-малка от 1,90 m.</w:t>
      </w:r>
    </w:p>
    <w:p w:rsidR="00DE69C7" w:rsidRPr="009072DA" w:rsidRDefault="00DE69C7" w:rsidP="00F06174">
      <w:pPr>
        <w:rPr>
          <w:rFonts w:cs="Arial"/>
          <w:szCs w:val="20"/>
          <w:lang w:val="bg-BG"/>
        </w:rPr>
      </w:pPr>
    </w:p>
    <w:p w:rsidR="00F06174" w:rsidRPr="009072DA" w:rsidRDefault="00F06174" w:rsidP="00725D4A">
      <w:pPr>
        <w:pStyle w:val="ESch"/>
        <w:rPr>
          <w:lang w:val="bg-BG"/>
        </w:rPr>
      </w:pPr>
      <w:r w:rsidRPr="009072DA">
        <w:rPr>
          <w:lang w:val="bg-BG"/>
        </w:rPr>
        <w:t>2.</w:t>
      </w:r>
      <w:r w:rsidRPr="009072DA">
        <w:rPr>
          <w:lang w:val="bg-BG"/>
        </w:rPr>
        <w:tab/>
        <w:t>Вратите трябва да са разположени така, че да е възможно да се отварят и затварят безопасно от всяка страна. Те трябва да са защитени срещу случайно отваряне или затваряне.</w:t>
      </w:r>
    </w:p>
    <w:p w:rsidR="00DE69C7" w:rsidRPr="009072DA" w:rsidRDefault="00DE69C7" w:rsidP="00725D4A">
      <w:pPr>
        <w:pStyle w:val="ESch"/>
        <w:rPr>
          <w:lang w:val="bg-BG"/>
        </w:rPr>
      </w:pPr>
    </w:p>
    <w:p w:rsidR="00101CB2" w:rsidRPr="009072DA" w:rsidRDefault="00101CB2">
      <w:pPr>
        <w:rPr>
          <w:lang w:val="bg-BG"/>
        </w:rPr>
      </w:pPr>
      <w:r w:rsidRPr="009072DA">
        <w:rPr>
          <w:lang w:val="bg-BG"/>
        </w:rPr>
        <w:br w:type="page"/>
      </w:r>
    </w:p>
    <w:p w:rsidR="00F06174" w:rsidRPr="009072DA" w:rsidRDefault="00F06174" w:rsidP="00725D4A">
      <w:pPr>
        <w:pStyle w:val="ESch"/>
        <w:rPr>
          <w:lang w:val="bg-BG"/>
        </w:rPr>
      </w:pPr>
      <w:r w:rsidRPr="009072DA">
        <w:rPr>
          <w:lang w:val="bg-BG"/>
        </w:rPr>
        <w:lastRenderedPageBreak/>
        <w:t>3.</w:t>
      </w:r>
      <w:r w:rsidRPr="009072DA">
        <w:rPr>
          <w:lang w:val="bg-BG"/>
        </w:rPr>
        <w:tab/>
        <w:t>Подходящи стълбища, подвижни стълби или стъпала трябва да бъдат монтирани във входове, изходи и проходи, където има повече от 0,50 m разлика в равнището на пода.</w:t>
      </w:r>
    </w:p>
    <w:p w:rsidR="00DE69C7" w:rsidRPr="009072DA" w:rsidRDefault="00DE69C7" w:rsidP="00725D4A">
      <w:pPr>
        <w:pStyle w:val="ESch"/>
        <w:rPr>
          <w:lang w:val="bg-BG"/>
        </w:rPr>
      </w:pPr>
    </w:p>
    <w:p w:rsidR="00F06174" w:rsidRPr="009072DA" w:rsidRDefault="00F06174" w:rsidP="00725D4A">
      <w:pPr>
        <w:pStyle w:val="ESch"/>
        <w:rPr>
          <w:lang w:val="bg-BG"/>
        </w:rPr>
      </w:pPr>
      <w:r w:rsidRPr="009072DA">
        <w:rPr>
          <w:lang w:val="bg-BG"/>
        </w:rPr>
        <w:t>4.</w:t>
      </w:r>
      <w:r w:rsidRPr="009072DA">
        <w:rPr>
          <w:lang w:val="bg-BG"/>
        </w:rPr>
        <w:tab/>
        <w:t>Работни места, където постоянно работят хора, се оборудват със стълбища, ако има разлика в нивата на пода от повече от 1,00 m. Това изискване не се отнася за аварийните изходи.</w:t>
      </w:r>
    </w:p>
    <w:p w:rsidR="00DE69C7" w:rsidRPr="009072DA" w:rsidRDefault="00DE69C7" w:rsidP="00725D4A">
      <w:pPr>
        <w:pStyle w:val="ESch"/>
        <w:rPr>
          <w:lang w:val="bg-BG"/>
        </w:rPr>
      </w:pPr>
    </w:p>
    <w:p w:rsidR="00F06174" w:rsidRPr="009072DA" w:rsidRDefault="00F06174" w:rsidP="00725D4A">
      <w:pPr>
        <w:pStyle w:val="ESch"/>
        <w:rPr>
          <w:lang w:val="bg-BG"/>
        </w:rPr>
      </w:pPr>
      <w:r w:rsidRPr="009072DA">
        <w:rPr>
          <w:lang w:val="bg-BG"/>
        </w:rPr>
        <w:t>5.</w:t>
      </w:r>
      <w:r w:rsidRPr="009072DA">
        <w:rPr>
          <w:lang w:val="bg-BG"/>
        </w:rPr>
        <w:tab/>
        <w:t>Плавателните съдове с трюмове трябва да имат поне едно неподвижно монтирано средство за достъп във всеки край на всеки трюм.</w:t>
      </w:r>
    </w:p>
    <w:p w:rsidR="00DE69C7" w:rsidRPr="009072DA" w:rsidRDefault="00DE69C7" w:rsidP="00725D4A">
      <w:pPr>
        <w:pStyle w:val="ESch"/>
        <w:rPr>
          <w:lang w:val="bg-BG"/>
        </w:rPr>
      </w:pPr>
    </w:p>
    <w:p w:rsidR="00F06174" w:rsidRPr="009072DA" w:rsidRDefault="00F06174" w:rsidP="00725D4A">
      <w:pPr>
        <w:pStyle w:val="ESchpar"/>
        <w:rPr>
          <w:lang w:val="bg-BG"/>
        </w:rPr>
      </w:pPr>
      <w:r w:rsidRPr="009072DA">
        <w:rPr>
          <w:lang w:val="bg-BG"/>
        </w:rPr>
        <w:t>Чрез дерогация от първото изречение неподвижно монтираното средство за достъп може да не се изисква, ако се осигурят поне две подвижни стълби, които излизат поне с 3 стъпала над водозащитния борд на люка при ъгъл на наклон от 60°.</w:t>
      </w:r>
    </w:p>
    <w:p w:rsidR="00F06174" w:rsidRPr="009072DA" w:rsidRDefault="00F06174" w:rsidP="00F06174">
      <w:pPr>
        <w:rPr>
          <w:rFonts w:cs="Arial"/>
          <w:szCs w:val="20"/>
          <w:lang w:val="bg-BG"/>
        </w:rPr>
      </w:pPr>
    </w:p>
    <w:p w:rsidR="00725D4A" w:rsidRPr="009072DA" w:rsidRDefault="00725D4A" w:rsidP="00F06174">
      <w:pPr>
        <w:rPr>
          <w:rFonts w:cs="Arial"/>
          <w:szCs w:val="20"/>
          <w:lang w:val="bg-BG"/>
        </w:rPr>
      </w:pPr>
    </w:p>
    <w:p w:rsidR="00F06174" w:rsidRPr="009072DA" w:rsidRDefault="00F06174" w:rsidP="00DE69C7">
      <w:pPr>
        <w:pStyle w:val="ES-Titre3"/>
        <w:rPr>
          <w:sz w:val="20"/>
          <w:lang w:val="bg-BG"/>
        </w:rPr>
      </w:pPr>
      <w:bookmarkStart w:id="237" w:name="_Toc491854116"/>
      <w:bookmarkStart w:id="238" w:name="_Toc535827557"/>
      <w:r w:rsidRPr="009072DA">
        <w:rPr>
          <w:lang w:val="bg-BG"/>
        </w:rPr>
        <w:t>Член 14.06</w:t>
      </w:r>
      <w:r w:rsidRPr="009072DA">
        <w:rPr>
          <w:lang w:val="bg-BG"/>
        </w:rPr>
        <w:br/>
      </w:r>
      <w:r w:rsidRPr="009072DA">
        <w:rPr>
          <w:i/>
          <w:lang w:val="bg-BG"/>
        </w:rPr>
        <w:t>Изходи и аварийни изходи</w:t>
      </w:r>
      <w:bookmarkEnd w:id="237"/>
      <w:bookmarkEnd w:id="238"/>
    </w:p>
    <w:p w:rsidR="00DE69C7" w:rsidRPr="009072DA" w:rsidRDefault="00DE69C7" w:rsidP="00F06174">
      <w:pPr>
        <w:rPr>
          <w:rFonts w:cs="Arial"/>
          <w:szCs w:val="20"/>
          <w:lang w:val="bg-BG"/>
        </w:rPr>
      </w:pPr>
    </w:p>
    <w:p w:rsidR="00F06174" w:rsidRPr="009072DA" w:rsidRDefault="00F06174" w:rsidP="00725D4A">
      <w:pPr>
        <w:pStyle w:val="ESch"/>
        <w:rPr>
          <w:lang w:val="bg-BG"/>
        </w:rPr>
      </w:pPr>
      <w:r w:rsidRPr="009072DA">
        <w:rPr>
          <w:lang w:val="bg-BG"/>
        </w:rPr>
        <w:t>1.</w:t>
      </w:r>
      <w:r w:rsidRPr="009072DA">
        <w:rPr>
          <w:lang w:val="bg-BG"/>
        </w:rPr>
        <w:tab/>
        <w:t>Броят, разположението и размерите на изходите, включително аварийните изходи, трябва да съответстват на предназначението и размерите на съответното помещение. В случай че един от изходите е авариен, той ясно се обозначава като такъв.</w:t>
      </w:r>
    </w:p>
    <w:p w:rsidR="00DE69C7" w:rsidRPr="009072DA" w:rsidRDefault="00DE69C7" w:rsidP="00725D4A">
      <w:pPr>
        <w:pStyle w:val="ESch"/>
        <w:rPr>
          <w:lang w:val="bg-BG"/>
        </w:rPr>
      </w:pPr>
    </w:p>
    <w:p w:rsidR="00F06174" w:rsidRPr="009072DA" w:rsidRDefault="00F06174" w:rsidP="00725D4A">
      <w:pPr>
        <w:pStyle w:val="ESch"/>
        <w:rPr>
          <w:lang w:val="bg-BG"/>
        </w:rPr>
      </w:pPr>
      <w:r w:rsidRPr="009072DA">
        <w:rPr>
          <w:lang w:val="bg-BG"/>
        </w:rPr>
        <w:t>2.</w:t>
      </w:r>
      <w:r w:rsidRPr="009072DA">
        <w:rPr>
          <w:lang w:val="bg-BG"/>
        </w:rPr>
        <w:tab/>
        <w:t>Аварийните изходи, прозорците или капаците на светлиците, използвани като аварийни изходи, трябва да са със светло сечение на отвора не по-малко от 0,36 m</w:t>
      </w:r>
      <w:r w:rsidRPr="009072DA">
        <w:rPr>
          <w:vertAlign w:val="superscript"/>
          <w:lang w:val="bg-BG"/>
        </w:rPr>
        <w:t>2</w:t>
      </w:r>
      <w:r w:rsidRPr="009072DA">
        <w:rPr>
          <w:lang w:val="bg-BG"/>
        </w:rPr>
        <w:t xml:space="preserve"> и най-малкият размер трябва да е не по-малък от 0,50 m.</w:t>
      </w:r>
    </w:p>
    <w:p w:rsidR="00F06174" w:rsidRPr="009072DA" w:rsidRDefault="00F06174" w:rsidP="00F06174">
      <w:pPr>
        <w:rPr>
          <w:rFonts w:cs="Arial"/>
          <w:szCs w:val="20"/>
          <w:lang w:val="bg-BG"/>
        </w:rPr>
      </w:pPr>
    </w:p>
    <w:p w:rsidR="00F06174" w:rsidRPr="009072DA" w:rsidRDefault="00F06174" w:rsidP="00DE69C7">
      <w:pPr>
        <w:pStyle w:val="ES-Titre3"/>
        <w:rPr>
          <w:sz w:val="20"/>
          <w:lang w:val="bg-BG"/>
        </w:rPr>
      </w:pPr>
      <w:bookmarkStart w:id="239" w:name="_Toc491854117"/>
      <w:bookmarkStart w:id="240" w:name="_Toc535827558"/>
      <w:r w:rsidRPr="009072DA">
        <w:rPr>
          <w:lang w:val="bg-BG"/>
        </w:rPr>
        <w:t>Член 14.07</w:t>
      </w:r>
      <w:r w:rsidRPr="009072DA">
        <w:rPr>
          <w:lang w:val="bg-BG"/>
        </w:rPr>
        <w:br/>
      </w:r>
      <w:r w:rsidRPr="009072DA">
        <w:rPr>
          <w:i/>
          <w:lang w:val="bg-BG"/>
        </w:rPr>
        <w:t>Подвижни стълби, стъпала и подобни приспособления</w:t>
      </w:r>
      <w:bookmarkEnd w:id="239"/>
      <w:bookmarkEnd w:id="240"/>
    </w:p>
    <w:p w:rsidR="00DE69C7" w:rsidRPr="009072DA" w:rsidRDefault="00DE69C7" w:rsidP="00F06174">
      <w:pPr>
        <w:rPr>
          <w:rFonts w:cs="Arial"/>
          <w:szCs w:val="20"/>
          <w:lang w:val="bg-BG"/>
        </w:rPr>
      </w:pPr>
    </w:p>
    <w:p w:rsidR="00F06174" w:rsidRPr="009072DA" w:rsidRDefault="00F06174" w:rsidP="00725D4A">
      <w:pPr>
        <w:pStyle w:val="ESch"/>
        <w:rPr>
          <w:lang w:val="bg-BG"/>
        </w:rPr>
      </w:pPr>
      <w:r w:rsidRPr="009072DA">
        <w:rPr>
          <w:lang w:val="bg-BG"/>
        </w:rPr>
        <w:t>1.</w:t>
      </w:r>
      <w:r w:rsidRPr="009072DA">
        <w:rPr>
          <w:lang w:val="bg-BG"/>
        </w:rPr>
        <w:tab/>
        <w:t>Стълбищата и подвижните стълби трябва да бъдат сигурно закрепени. Стълбищата трябва да са широки не по-малко от 0,60 m и габаритната ширина между леерите трябва да е не по-малко от 0,60 m; дълбочината на стъпалото трябва да е не по-малко от 0,15 m; стъпалата трябва да са с повърхности против подхлъзване, а стълбища с повече от три стъпала — с леери.</w:t>
      </w:r>
    </w:p>
    <w:p w:rsidR="00DE69C7" w:rsidRPr="009072DA" w:rsidRDefault="00DE69C7" w:rsidP="00725D4A">
      <w:pPr>
        <w:pStyle w:val="ESch"/>
        <w:rPr>
          <w:lang w:val="bg-BG"/>
        </w:rPr>
      </w:pPr>
    </w:p>
    <w:p w:rsidR="00F06174" w:rsidRPr="009072DA" w:rsidRDefault="00F06174" w:rsidP="00725D4A">
      <w:pPr>
        <w:pStyle w:val="ESch"/>
        <w:rPr>
          <w:lang w:val="bg-BG"/>
        </w:rPr>
      </w:pPr>
      <w:r w:rsidRPr="009072DA">
        <w:rPr>
          <w:lang w:val="bg-BG"/>
        </w:rPr>
        <w:lastRenderedPageBreak/>
        <w:t>2.</w:t>
      </w:r>
      <w:r w:rsidRPr="009072DA">
        <w:rPr>
          <w:lang w:val="bg-BG"/>
        </w:rPr>
        <w:tab/>
        <w:t>Подвижните стълби и отделно монтираните стъпала имат габаритна ширина не по-малко от 0,30 m; стъпалата трябва да са не повече от 0,30 m едно от друго, а разстоянието между стъпала и конструкциите да е не по-малко от 0,15 m.</w:t>
      </w:r>
    </w:p>
    <w:p w:rsidR="00DE69C7" w:rsidRPr="009072DA" w:rsidRDefault="00DE69C7" w:rsidP="00725D4A">
      <w:pPr>
        <w:pStyle w:val="ESch"/>
        <w:rPr>
          <w:lang w:val="bg-BG"/>
        </w:rPr>
      </w:pPr>
    </w:p>
    <w:p w:rsidR="00F06174" w:rsidRPr="009072DA" w:rsidRDefault="00CD654F" w:rsidP="00725D4A">
      <w:pPr>
        <w:pStyle w:val="ESch"/>
        <w:rPr>
          <w:lang w:val="bg-BG"/>
        </w:rPr>
      </w:pPr>
      <w:r w:rsidRPr="009072DA">
        <w:rPr>
          <w:lang w:val="bg-BG"/>
        </w:rPr>
        <w:t>3.</w:t>
      </w:r>
      <w:r w:rsidRPr="009072DA">
        <w:rPr>
          <w:lang w:val="bg-BG"/>
        </w:rPr>
        <w:tab/>
        <w:t>Подвижните стълби и отделно монтираните стъпала трябва да са ясно разпознаваеми отгоре и да са оборудвани с ръкохватки за безопасност над отворите за изход.</w:t>
      </w:r>
    </w:p>
    <w:p w:rsidR="00DE69C7" w:rsidRPr="009072DA" w:rsidRDefault="00DE69C7" w:rsidP="00725D4A">
      <w:pPr>
        <w:pStyle w:val="ESch"/>
        <w:rPr>
          <w:lang w:val="bg-BG"/>
        </w:rPr>
      </w:pPr>
    </w:p>
    <w:p w:rsidR="00F06174" w:rsidRPr="009072DA" w:rsidRDefault="00F06174" w:rsidP="00725D4A">
      <w:pPr>
        <w:pStyle w:val="ESch"/>
        <w:rPr>
          <w:lang w:val="bg-BG"/>
        </w:rPr>
      </w:pPr>
      <w:r w:rsidRPr="009072DA">
        <w:rPr>
          <w:lang w:val="bg-BG"/>
        </w:rPr>
        <w:t>4.</w:t>
      </w:r>
      <w:r w:rsidRPr="009072DA">
        <w:rPr>
          <w:lang w:val="bg-BG"/>
        </w:rPr>
        <w:tab/>
        <w:t>Подвижните стълби трябва да бъдат поне 0,40 m широки и с ширина поне 0,50 m в основата си; трябва да е възможно те да се подсигуряват така, че да не се преобръщат или подхлъзват; стъпалата трябва да бъдат надеждно прикрепени към подпорите.</w:t>
      </w:r>
    </w:p>
    <w:p w:rsidR="00F06174" w:rsidRPr="009072DA" w:rsidRDefault="00F06174" w:rsidP="00F06174">
      <w:pPr>
        <w:rPr>
          <w:rFonts w:cs="Arial"/>
          <w:szCs w:val="20"/>
          <w:lang w:val="bg-BG"/>
        </w:rPr>
      </w:pPr>
    </w:p>
    <w:p w:rsidR="00DE69C7" w:rsidRPr="009072DA" w:rsidRDefault="00DE69C7" w:rsidP="00F06174">
      <w:pPr>
        <w:rPr>
          <w:rFonts w:cs="Arial"/>
          <w:szCs w:val="20"/>
          <w:lang w:val="bg-BG"/>
        </w:rPr>
      </w:pPr>
    </w:p>
    <w:p w:rsidR="00F06174" w:rsidRPr="009072DA" w:rsidRDefault="00F06174" w:rsidP="00DE69C7">
      <w:pPr>
        <w:pStyle w:val="ES-Titre3"/>
        <w:rPr>
          <w:lang w:val="bg-BG"/>
        </w:rPr>
      </w:pPr>
      <w:bookmarkStart w:id="241" w:name="_Toc491854118"/>
      <w:bookmarkStart w:id="242" w:name="_Toc535827559"/>
      <w:r w:rsidRPr="009072DA">
        <w:rPr>
          <w:lang w:val="bg-BG"/>
        </w:rPr>
        <w:t>Член 14.08</w:t>
      </w:r>
      <w:r w:rsidRPr="009072DA">
        <w:rPr>
          <w:lang w:val="bg-BG"/>
        </w:rPr>
        <w:br/>
      </w:r>
      <w:r w:rsidRPr="009072DA">
        <w:rPr>
          <w:i/>
          <w:lang w:val="bg-BG"/>
        </w:rPr>
        <w:t>Вътрешни помещения</w:t>
      </w:r>
      <w:bookmarkEnd w:id="241"/>
      <w:bookmarkEnd w:id="242"/>
    </w:p>
    <w:p w:rsidR="00DE69C7" w:rsidRPr="009072DA" w:rsidRDefault="00DE69C7" w:rsidP="00F06174">
      <w:pPr>
        <w:rPr>
          <w:rFonts w:cs="Arial"/>
          <w:szCs w:val="20"/>
          <w:lang w:val="bg-BG"/>
        </w:rPr>
      </w:pPr>
    </w:p>
    <w:p w:rsidR="00F06174" w:rsidRPr="009072DA" w:rsidRDefault="00F06174" w:rsidP="00725D4A">
      <w:pPr>
        <w:pStyle w:val="ESch"/>
        <w:rPr>
          <w:lang w:val="bg-BG"/>
        </w:rPr>
      </w:pPr>
      <w:r w:rsidRPr="009072DA">
        <w:rPr>
          <w:lang w:val="bg-BG"/>
        </w:rPr>
        <w:t>1.</w:t>
      </w:r>
      <w:r w:rsidRPr="009072DA">
        <w:rPr>
          <w:lang w:val="bg-BG"/>
        </w:rPr>
        <w:tab/>
        <w:t>Размерите, разположението и оформлението на вътрешните работни места трябва да съответстват на работата, която се извършва и да отговарят на изискванията за опазване здравето и безопасността. Те трябва да са оборудвани с достатъчно незаслепяващо осветление и вентилационни устройства. При необходимост те се оборудват с отоплителни уреди, които могат да поддържат подходяща температура.</w:t>
      </w:r>
    </w:p>
    <w:p w:rsidR="00DE69C7" w:rsidRPr="009072DA" w:rsidRDefault="00DE69C7" w:rsidP="00725D4A">
      <w:pPr>
        <w:pStyle w:val="ESch"/>
        <w:rPr>
          <w:lang w:val="bg-BG"/>
        </w:rPr>
      </w:pPr>
    </w:p>
    <w:p w:rsidR="00725D4A" w:rsidRPr="009072DA" w:rsidRDefault="00725D4A" w:rsidP="00725D4A">
      <w:pPr>
        <w:pStyle w:val="ESch"/>
        <w:rPr>
          <w:lang w:val="bg-BG"/>
        </w:rPr>
      </w:pPr>
      <w:r w:rsidRPr="009072DA">
        <w:rPr>
          <w:lang w:val="bg-BG"/>
        </w:rPr>
        <w:br w:type="page"/>
      </w:r>
    </w:p>
    <w:p w:rsidR="00F06174" w:rsidRPr="009072DA" w:rsidRDefault="00F06174" w:rsidP="00725D4A">
      <w:pPr>
        <w:pStyle w:val="ESch"/>
        <w:rPr>
          <w:lang w:val="bg-BG"/>
        </w:rPr>
      </w:pPr>
      <w:r w:rsidRPr="009072DA">
        <w:rPr>
          <w:lang w:val="bg-BG"/>
        </w:rPr>
        <w:lastRenderedPageBreak/>
        <w:t>2.</w:t>
      </w:r>
      <w:r w:rsidRPr="009072DA">
        <w:rPr>
          <w:lang w:val="bg-BG"/>
        </w:rPr>
        <w:tab/>
        <w:t>Подовете на вътрешните работни пространства трябва да са стабилни и издръжливи и да са проектирани така, че да не причиняват препъване или подхлъзване. В отворено положение отворите в палубите и подовете трябва да бъдат обезопасени против падане. Прозорците и светлиците трябва да са разположени така, че с тях да се борави и да се почистват безопасно.</w:t>
      </w:r>
    </w:p>
    <w:p w:rsidR="00F06174" w:rsidRPr="009072DA" w:rsidRDefault="00F06174" w:rsidP="00F06174">
      <w:pPr>
        <w:rPr>
          <w:rFonts w:cs="Arial"/>
          <w:szCs w:val="20"/>
          <w:lang w:val="bg-BG"/>
        </w:rPr>
      </w:pPr>
    </w:p>
    <w:p w:rsidR="00DE69C7" w:rsidRPr="009072DA" w:rsidRDefault="00DE69C7" w:rsidP="00F06174">
      <w:pPr>
        <w:rPr>
          <w:rFonts w:cs="Arial"/>
          <w:szCs w:val="20"/>
          <w:lang w:val="bg-BG"/>
        </w:rPr>
      </w:pPr>
    </w:p>
    <w:p w:rsidR="00F06174" w:rsidRPr="009072DA" w:rsidRDefault="00F06174" w:rsidP="00DE69C7">
      <w:pPr>
        <w:pStyle w:val="ES-Titre3"/>
        <w:rPr>
          <w:lang w:val="bg-BG"/>
        </w:rPr>
      </w:pPr>
      <w:bookmarkStart w:id="243" w:name="_Toc491854119"/>
      <w:bookmarkStart w:id="244" w:name="_Toc535827560"/>
      <w:r w:rsidRPr="009072DA">
        <w:rPr>
          <w:lang w:val="bg-BG"/>
        </w:rPr>
        <w:t>Член 14.09</w:t>
      </w:r>
      <w:r w:rsidRPr="009072DA">
        <w:rPr>
          <w:lang w:val="bg-BG"/>
        </w:rPr>
        <w:br/>
      </w:r>
      <w:r w:rsidRPr="009072DA">
        <w:rPr>
          <w:i/>
          <w:lang w:val="bg-BG"/>
        </w:rPr>
        <w:t>Защита против шум и вибрации</w:t>
      </w:r>
      <w:bookmarkEnd w:id="243"/>
      <w:bookmarkEnd w:id="244"/>
    </w:p>
    <w:p w:rsidR="00DE69C7" w:rsidRPr="009072DA" w:rsidRDefault="00DE69C7" w:rsidP="00F06174">
      <w:pPr>
        <w:rPr>
          <w:rFonts w:cs="Arial"/>
          <w:szCs w:val="20"/>
          <w:lang w:val="bg-BG"/>
        </w:rPr>
      </w:pPr>
    </w:p>
    <w:p w:rsidR="00F06174" w:rsidRPr="009072DA" w:rsidRDefault="00F06174" w:rsidP="00725D4A">
      <w:pPr>
        <w:pStyle w:val="ESch"/>
        <w:rPr>
          <w:lang w:val="bg-BG"/>
        </w:rPr>
      </w:pPr>
      <w:r w:rsidRPr="009072DA">
        <w:rPr>
          <w:lang w:val="bg-BG"/>
        </w:rPr>
        <w:t>1.</w:t>
      </w:r>
      <w:r w:rsidRPr="009072DA">
        <w:rPr>
          <w:lang w:val="bg-BG"/>
        </w:rPr>
        <w:tab/>
        <w:t>Работните помещения трябва да са така разположени, оборудвани и проектирани, че работниците да не са изложени на вредни вибрации.</w:t>
      </w:r>
    </w:p>
    <w:p w:rsidR="00DE69C7" w:rsidRPr="009072DA" w:rsidRDefault="00DE69C7" w:rsidP="00725D4A">
      <w:pPr>
        <w:pStyle w:val="ESch"/>
        <w:rPr>
          <w:lang w:val="bg-BG"/>
        </w:rPr>
      </w:pPr>
    </w:p>
    <w:p w:rsidR="00F06174" w:rsidRPr="009072DA" w:rsidRDefault="00F06174" w:rsidP="00725D4A">
      <w:pPr>
        <w:pStyle w:val="ESch"/>
        <w:rPr>
          <w:lang w:val="bg-BG"/>
        </w:rPr>
      </w:pPr>
      <w:r w:rsidRPr="009072DA">
        <w:rPr>
          <w:lang w:val="bg-BG"/>
        </w:rPr>
        <w:t>2.</w:t>
      </w:r>
      <w:r w:rsidRPr="009072DA">
        <w:rPr>
          <w:lang w:val="bg-BG"/>
        </w:rPr>
        <w:tab/>
        <w:t>Освен това, постоянните работните помещения трябва да бъдат така конструирани и обезшумени, че здравето и безопасността на служителите да не са засегнати от шума.</w:t>
      </w:r>
    </w:p>
    <w:p w:rsidR="00DE69C7" w:rsidRPr="009072DA" w:rsidRDefault="00DE69C7" w:rsidP="00725D4A">
      <w:pPr>
        <w:pStyle w:val="ESch"/>
        <w:rPr>
          <w:lang w:val="bg-BG"/>
        </w:rPr>
      </w:pPr>
    </w:p>
    <w:p w:rsidR="00F06174" w:rsidRPr="009072DA" w:rsidRDefault="00F06174" w:rsidP="00725D4A">
      <w:pPr>
        <w:pStyle w:val="ESch"/>
        <w:rPr>
          <w:lang w:val="bg-BG"/>
        </w:rPr>
      </w:pPr>
      <w:r w:rsidRPr="009072DA">
        <w:rPr>
          <w:lang w:val="bg-BG"/>
        </w:rPr>
        <w:t>3.</w:t>
      </w:r>
      <w:r w:rsidRPr="009072DA">
        <w:rPr>
          <w:lang w:val="bg-BG"/>
        </w:rPr>
        <w:tab/>
        <w:t>За работници, които е вероятно да бъдат изложени на шум с ниво надвишава 85 dB (A) всеки ден, се осигуряват лични средства за защита. В работните помещения, където равнището на шум превишава 90 dB (A), се обозначава, че носенето на средства за защита от шум е задължително посредством символа: „Носете средство за защита от шум“ с диаметър не по-малко от 10 cm в съответствие с фигура 7 от приложение 4.</w:t>
      </w:r>
    </w:p>
    <w:p w:rsidR="00F06174" w:rsidRPr="009072DA" w:rsidRDefault="00F06174" w:rsidP="00F06174">
      <w:pPr>
        <w:rPr>
          <w:rFonts w:cs="Arial"/>
          <w:szCs w:val="20"/>
          <w:lang w:val="bg-BG"/>
        </w:rPr>
      </w:pPr>
    </w:p>
    <w:p w:rsidR="00C973E6" w:rsidRPr="009072DA" w:rsidRDefault="00C973E6" w:rsidP="00F06174">
      <w:pPr>
        <w:rPr>
          <w:rFonts w:cs="Arial"/>
          <w:szCs w:val="20"/>
          <w:lang w:val="bg-BG"/>
        </w:rPr>
      </w:pPr>
    </w:p>
    <w:p w:rsidR="00F06174" w:rsidRPr="009072DA" w:rsidRDefault="00F06174" w:rsidP="00DE69C7">
      <w:pPr>
        <w:pStyle w:val="ES-Titre3"/>
        <w:rPr>
          <w:sz w:val="20"/>
          <w:lang w:val="bg-BG"/>
        </w:rPr>
      </w:pPr>
      <w:bookmarkStart w:id="245" w:name="_Toc491854120"/>
      <w:bookmarkStart w:id="246" w:name="_Toc535827561"/>
      <w:r w:rsidRPr="009072DA">
        <w:rPr>
          <w:lang w:val="bg-BG"/>
        </w:rPr>
        <w:t>Член 14.10</w:t>
      </w:r>
      <w:r w:rsidRPr="009072DA">
        <w:rPr>
          <w:lang w:val="bg-BG"/>
        </w:rPr>
        <w:br/>
      </w:r>
      <w:r w:rsidRPr="009072DA">
        <w:rPr>
          <w:i/>
          <w:lang w:val="bg-BG"/>
        </w:rPr>
        <w:t>Капаци на люковете</w:t>
      </w:r>
      <w:bookmarkEnd w:id="245"/>
      <w:bookmarkEnd w:id="246"/>
    </w:p>
    <w:p w:rsidR="00725D4A" w:rsidRPr="009072DA" w:rsidRDefault="00725D4A" w:rsidP="00725D4A">
      <w:pPr>
        <w:pStyle w:val="ESch"/>
        <w:rPr>
          <w:lang w:val="bg-BG"/>
        </w:rPr>
      </w:pPr>
    </w:p>
    <w:p w:rsidR="00F06174" w:rsidRPr="009072DA" w:rsidRDefault="00F06174" w:rsidP="00725D4A">
      <w:pPr>
        <w:pStyle w:val="ESch"/>
        <w:rPr>
          <w:lang w:val="bg-BG"/>
        </w:rPr>
      </w:pPr>
      <w:r w:rsidRPr="009072DA">
        <w:rPr>
          <w:lang w:val="bg-BG"/>
        </w:rPr>
        <w:t xml:space="preserve">1. </w:t>
      </w:r>
      <w:r w:rsidRPr="009072DA">
        <w:rPr>
          <w:lang w:val="bg-BG"/>
        </w:rPr>
        <w:tab/>
        <w:t>Капаците на люковете трябва да бъдат лесни за достъп и боравене. Съставните части на капаците, тежащи над 40 kg, се проектират така, че да се плъзгат или се оборудват с механични устройства за отваряне. Капаците на люковете, движени от подемници, са оборудвани със съответни и леснодостъпни устройства за закрепване. Капаците на люковете, които не са взаимозаменяеми, и горните прагове се маркират ясно, за да се означат люковете, към които те принадлежат и правилното им разполагане върху тези люкове.</w:t>
      </w:r>
    </w:p>
    <w:p w:rsidR="00756D4B" w:rsidRPr="009072DA" w:rsidRDefault="00756D4B" w:rsidP="00725D4A">
      <w:pPr>
        <w:pStyle w:val="ESch"/>
        <w:rPr>
          <w:lang w:val="bg-BG"/>
        </w:rPr>
      </w:pPr>
    </w:p>
    <w:p w:rsidR="00F06174" w:rsidRPr="009072DA" w:rsidRDefault="00F06174" w:rsidP="00725D4A">
      <w:pPr>
        <w:pStyle w:val="ESch"/>
        <w:rPr>
          <w:lang w:val="bg-BG"/>
        </w:rPr>
      </w:pPr>
      <w:r w:rsidRPr="009072DA">
        <w:rPr>
          <w:lang w:val="bg-BG"/>
        </w:rPr>
        <w:t>2.</w:t>
      </w:r>
      <w:r w:rsidRPr="009072DA">
        <w:rPr>
          <w:lang w:val="bg-BG"/>
        </w:rPr>
        <w:tab/>
        <w:t>Капаците на люковете трябва да бъдат обезопасени против накланяне от вятъра или от оборудването за товарене. Плъзгащите се капаци са снабдени със стопори, непозволяващи случайно хоризонтално изместване от повече от 0,40 m;  те могат да се фиксират в крайното си положение. За застопоряване на подредени един върху друг капаци на люкове се осигуряват съответни устройства.</w:t>
      </w:r>
    </w:p>
    <w:p w:rsidR="00756D4B" w:rsidRPr="009072DA" w:rsidRDefault="00756D4B" w:rsidP="00725D4A">
      <w:pPr>
        <w:pStyle w:val="ESch"/>
        <w:rPr>
          <w:lang w:val="bg-BG"/>
        </w:rPr>
      </w:pPr>
    </w:p>
    <w:p w:rsidR="00F06174" w:rsidRPr="009072DA" w:rsidRDefault="00F06174" w:rsidP="00725D4A">
      <w:pPr>
        <w:pStyle w:val="ESch"/>
        <w:rPr>
          <w:lang w:val="bg-BG"/>
        </w:rPr>
      </w:pPr>
      <w:r w:rsidRPr="009072DA">
        <w:rPr>
          <w:lang w:val="bg-BG"/>
        </w:rPr>
        <w:t>3.</w:t>
      </w:r>
      <w:r w:rsidRPr="009072DA">
        <w:rPr>
          <w:lang w:val="bg-BG"/>
        </w:rPr>
        <w:tab/>
        <w:t>Подаването на енергия за механично задвижваните капаци на люкове трябва да прекъсва автоматично, когато ключът за управление се освободи.</w:t>
      </w:r>
    </w:p>
    <w:p w:rsidR="00756D4B" w:rsidRPr="009072DA" w:rsidRDefault="00756D4B" w:rsidP="00725D4A">
      <w:pPr>
        <w:pStyle w:val="ESch"/>
        <w:rPr>
          <w:lang w:val="bg-BG"/>
        </w:rPr>
      </w:pPr>
    </w:p>
    <w:p w:rsidR="00F06174" w:rsidRPr="009072DA" w:rsidRDefault="00F06174" w:rsidP="00725D4A">
      <w:pPr>
        <w:pStyle w:val="ESch"/>
        <w:rPr>
          <w:lang w:val="bg-BG"/>
        </w:rPr>
      </w:pPr>
      <w:r w:rsidRPr="009072DA">
        <w:rPr>
          <w:lang w:val="bg-BG"/>
        </w:rPr>
        <w:t>4.</w:t>
      </w:r>
      <w:r w:rsidRPr="009072DA">
        <w:rPr>
          <w:lang w:val="bg-BG"/>
        </w:rPr>
        <w:tab/>
        <w:t>Капаците на люковете трябва да издържат натоварванията, на които е вероятно да бъдат подложени: Капаците на люковете, проектирани за ходене по тях, трябва да могат да издържат концентрирани натоварвания от най-малко 75 kg. Капаците на люковете, които не са проектирани за ходене по тях, трябва да са обозначени като такива. Върху капаците на люковете, проектирани да носят товар на палубата, трябва да е отбелязан  допустимият товар в t/m</w:t>
      </w:r>
      <w:r w:rsidRPr="009072DA">
        <w:rPr>
          <w:vertAlign w:val="superscript"/>
          <w:lang w:val="bg-BG"/>
        </w:rPr>
        <w:t>2</w:t>
      </w:r>
      <w:r w:rsidRPr="009072DA">
        <w:rPr>
          <w:lang w:val="bg-BG"/>
        </w:rPr>
        <w:t>. Когато се изискват подпори за постигане на максимално допустимия товар, това трябва да е отбелязано на подходящото място; в такъв случай необходимите скици се съхраняват на борда.</w:t>
      </w:r>
    </w:p>
    <w:p w:rsidR="00F06174" w:rsidRPr="009072DA" w:rsidRDefault="00F06174" w:rsidP="00F06174">
      <w:pPr>
        <w:rPr>
          <w:rFonts w:cs="Arial"/>
          <w:szCs w:val="20"/>
          <w:lang w:val="bg-BG"/>
        </w:rPr>
      </w:pPr>
    </w:p>
    <w:p w:rsidR="00756D4B" w:rsidRPr="009072DA" w:rsidRDefault="00725D4A" w:rsidP="00F06174">
      <w:pPr>
        <w:rPr>
          <w:rFonts w:cs="Arial"/>
          <w:szCs w:val="20"/>
          <w:lang w:val="bg-BG"/>
        </w:rPr>
      </w:pPr>
      <w:r w:rsidRPr="009072DA">
        <w:rPr>
          <w:lang w:val="bg-BG"/>
        </w:rPr>
        <w:br w:type="page"/>
      </w:r>
    </w:p>
    <w:p w:rsidR="00F06174" w:rsidRPr="009072DA" w:rsidRDefault="00F06174" w:rsidP="00756D4B">
      <w:pPr>
        <w:pStyle w:val="ES-Titre3"/>
        <w:rPr>
          <w:lang w:val="bg-BG"/>
        </w:rPr>
      </w:pPr>
      <w:bookmarkStart w:id="247" w:name="_Toc491854121"/>
      <w:bookmarkStart w:id="248" w:name="_Toc535827562"/>
      <w:r w:rsidRPr="009072DA">
        <w:rPr>
          <w:lang w:val="bg-BG"/>
        </w:rPr>
        <w:lastRenderedPageBreak/>
        <w:t>Член 14.11</w:t>
      </w:r>
      <w:r w:rsidRPr="009072DA">
        <w:rPr>
          <w:lang w:val="bg-BG"/>
        </w:rPr>
        <w:br/>
      </w:r>
      <w:r w:rsidRPr="009072DA">
        <w:rPr>
          <w:i/>
          <w:lang w:val="bg-BG"/>
        </w:rPr>
        <w:t>Лебедки</w:t>
      </w:r>
      <w:bookmarkEnd w:id="247"/>
      <w:bookmarkEnd w:id="248"/>
    </w:p>
    <w:p w:rsidR="00725D4A" w:rsidRPr="009072DA" w:rsidRDefault="00725D4A" w:rsidP="00725D4A">
      <w:pPr>
        <w:pStyle w:val="ESch"/>
        <w:rPr>
          <w:lang w:val="bg-BG"/>
        </w:rPr>
      </w:pPr>
    </w:p>
    <w:p w:rsidR="00F06174" w:rsidRPr="009072DA" w:rsidRDefault="00F06174" w:rsidP="00725D4A">
      <w:pPr>
        <w:pStyle w:val="ESch"/>
        <w:rPr>
          <w:lang w:val="bg-BG"/>
        </w:rPr>
      </w:pPr>
      <w:r w:rsidRPr="009072DA">
        <w:rPr>
          <w:lang w:val="bg-BG"/>
        </w:rPr>
        <w:t>1.</w:t>
      </w:r>
      <w:r w:rsidRPr="009072DA">
        <w:rPr>
          <w:lang w:val="bg-BG"/>
        </w:rPr>
        <w:tab/>
        <w:t>Лебедките трябва да са проектирани по такъв начин, че да позволяват работата да се извършва безопасно. Те трябва да бъдат оборудвани с устройства, които предотвратяват самоволното пускане на товара. Лебедките, които не заключват автоматично, се оборудват със спирачка, която е способна да устои на теглителната им сила.</w:t>
      </w:r>
    </w:p>
    <w:p w:rsidR="00756D4B" w:rsidRPr="009072DA" w:rsidRDefault="00756D4B" w:rsidP="00725D4A">
      <w:pPr>
        <w:pStyle w:val="ESch"/>
        <w:rPr>
          <w:lang w:val="bg-BG"/>
        </w:rPr>
      </w:pPr>
    </w:p>
    <w:p w:rsidR="00F06174" w:rsidRPr="009072DA" w:rsidRDefault="00F06174" w:rsidP="00725D4A">
      <w:pPr>
        <w:pStyle w:val="ESch"/>
        <w:rPr>
          <w:lang w:val="bg-BG"/>
        </w:rPr>
      </w:pPr>
      <w:r w:rsidRPr="009072DA">
        <w:rPr>
          <w:lang w:val="bg-BG"/>
        </w:rPr>
        <w:t>2.</w:t>
      </w:r>
      <w:r w:rsidRPr="009072DA">
        <w:rPr>
          <w:lang w:val="bg-BG"/>
        </w:rPr>
        <w:tab/>
        <w:t>Ръчните лебедки трябва да са оборудвани с устройства против обратен удар при въртене на манивелата. Лебедките с ръчен и механичен привод се проектират така, че механичният привод да не привежда в действие ръчното управление.</w:t>
      </w:r>
    </w:p>
    <w:p w:rsidR="00F06174" w:rsidRPr="009072DA" w:rsidRDefault="00F06174" w:rsidP="00F06174">
      <w:pPr>
        <w:rPr>
          <w:rFonts w:cs="Arial"/>
          <w:szCs w:val="20"/>
          <w:lang w:val="bg-BG"/>
        </w:rPr>
      </w:pPr>
    </w:p>
    <w:p w:rsidR="00725D4A" w:rsidRPr="009072DA" w:rsidRDefault="00725D4A" w:rsidP="00F06174">
      <w:pPr>
        <w:rPr>
          <w:rFonts w:cs="Arial"/>
          <w:szCs w:val="20"/>
          <w:lang w:val="bg-BG"/>
        </w:rPr>
      </w:pPr>
    </w:p>
    <w:p w:rsidR="00F06174" w:rsidRPr="009072DA" w:rsidRDefault="00F06174" w:rsidP="00756D4B">
      <w:pPr>
        <w:pStyle w:val="ES-Titre3"/>
        <w:rPr>
          <w:lang w:val="bg-BG"/>
        </w:rPr>
      </w:pPr>
      <w:bookmarkStart w:id="249" w:name="_Toc491854122"/>
      <w:bookmarkStart w:id="250" w:name="_Toc535827563"/>
      <w:r w:rsidRPr="009072DA">
        <w:rPr>
          <w:lang w:val="bg-BG"/>
        </w:rPr>
        <w:t>Член 14.12</w:t>
      </w:r>
      <w:r w:rsidRPr="009072DA">
        <w:rPr>
          <w:lang w:val="bg-BG"/>
        </w:rPr>
        <w:br/>
      </w:r>
      <w:r w:rsidRPr="009072DA">
        <w:rPr>
          <w:i/>
          <w:lang w:val="bg-BG"/>
        </w:rPr>
        <w:t>Кранове</w:t>
      </w:r>
      <w:bookmarkEnd w:id="249"/>
      <w:bookmarkEnd w:id="250"/>
    </w:p>
    <w:p w:rsidR="00756D4B" w:rsidRPr="009072DA" w:rsidRDefault="00756D4B" w:rsidP="00F06174">
      <w:pPr>
        <w:rPr>
          <w:rFonts w:cs="Arial"/>
          <w:szCs w:val="20"/>
          <w:lang w:val="bg-BG"/>
        </w:rPr>
      </w:pPr>
    </w:p>
    <w:p w:rsidR="00F06174" w:rsidRPr="009072DA" w:rsidRDefault="00F06174" w:rsidP="00725D4A">
      <w:pPr>
        <w:pStyle w:val="ESch"/>
        <w:rPr>
          <w:lang w:val="bg-BG"/>
        </w:rPr>
      </w:pPr>
      <w:r w:rsidRPr="009072DA">
        <w:rPr>
          <w:lang w:val="bg-BG"/>
        </w:rPr>
        <w:t>1.</w:t>
      </w:r>
      <w:r w:rsidRPr="009072DA">
        <w:rPr>
          <w:lang w:val="bg-BG"/>
        </w:rPr>
        <w:tab/>
        <w:t>Крановете се проектират в съответствие с най-добрата практика. Силите, възникващи по време на работата с тях, трябва да бъдат предавани безопасно на конструкцията на плавателния съд; те не трябва да влошават неговата устойчивост.</w:t>
      </w:r>
    </w:p>
    <w:p w:rsidR="00756D4B" w:rsidRPr="009072DA" w:rsidRDefault="00756D4B" w:rsidP="00725D4A">
      <w:pPr>
        <w:pStyle w:val="ESch"/>
        <w:rPr>
          <w:lang w:val="bg-BG"/>
        </w:rPr>
      </w:pPr>
    </w:p>
    <w:p w:rsidR="00F06174" w:rsidRPr="009072DA" w:rsidRDefault="00F06174" w:rsidP="00725D4A">
      <w:pPr>
        <w:pStyle w:val="ESch"/>
        <w:rPr>
          <w:lang w:val="bg-BG"/>
        </w:rPr>
      </w:pPr>
      <w:r w:rsidRPr="009072DA">
        <w:rPr>
          <w:lang w:val="bg-BG"/>
        </w:rPr>
        <w:t>2.</w:t>
      </w:r>
      <w:r w:rsidRPr="009072DA">
        <w:rPr>
          <w:lang w:val="bg-BG"/>
        </w:rPr>
        <w:tab/>
        <w:t>Върху крановете се поставя табелка на производителя, съдържаща следната информация:</w:t>
      </w:r>
    </w:p>
    <w:p w:rsidR="00F06174" w:rsidRPr="009072DA" w:rsidRDefault="005C7859" w:rsidP="00725D4A">
      <w:pPr>
        <w:pStyle w:val="ESlet"/>
        <w:rPr>
          <w:lang w:val="bg-BG"/>
        </w:rPr>
      </w:pPr>
      <w:r w:rsidRPr="009072DA">
        <w:rPr>
          <w:lang w:val="bg-BG"/>
        </w:rPr>
        <w:t>a)</w:t>
      </w:r>
      <w:r w:rsidRPr="009072DA">
        <w:rPr>
          <w:lang w:val="bg-BG"/>
        </w:rPr>
        <w:tab/>
        <w:t>име и адрес на производителя;</w:t>
      </w:r>
    </w:p>
    <w:p w:rsidR="00F06174" w:rsidRPr="009072DA" w:rsidRDefault="005C7859" w:rsidP="00725D4A">
      <w:pPr>
        <w:pStyle w:val="ESlet"/>
        <w:rPr>
          <w:lang w:val="bg-BG"/>
        </w:rPr>
      </w:pPr>
      <w:r w:rsidRPr="009072DA">
        <w:rPr>
          <w:lang w:val="bg-BG"/>
        </w:rPr>
        <w:t>б)</w:t>
      </w:r>
      <w:r w:rsidRPr="009072DA">
        <w:rPr>
          <w:lang w:val="bg-BG"/>
        </w:rPr>
        <w:tab/>
        <w:t>маркировката „CE“, заедно с годината на производство;</w:t>
      </w:r>
    </w:p>
    <w:p w:rsidR="00F06174" w:rsidRPr="009072DA" w:rsidRDefault="005C7859" w:rsidP="00725D4A">
      <w:pPr>
        <w:pStyle w:val="ESlet"/>
        <w:rPr>
          <w:lang w:val="bg-BG"/>
        </w:rPr>
      </w:pPr>
      <w:r w:rsidRPr="009072DA">
        <w:rPr>
          <w:lang w:val="bg-BG"/>
        </w:rPr>
        <w:t>в)</w:t>
      </w:r>
      <w:r w:rsidRPr="009072DA">
        <w:rPr>
          <w:lang w:val="bg-BG"/>
        </w:rPr>
        <w:tab/>
        <w:t>серия или тип;</w:t>
      </w:r>
    </w:p>
    <w:p w:rsidR="00F06174" w:rsidRPr="009072DA" w:rsidRDefault="005C7859" w:rsidP="00725D4A">
      <w:pPr>
        <w:pStyle w:val="ESlet"/>
        <w:rPr>
          <w:lang w:val="bg-BG"/>
        </w:rPr>
      </w:pPr>
      <w:r w:rsidRPr="009072DA">
        <w:rPr>
          <w:lang w:val="bg-BG"/>
        </w:rPr>
        <w:t>г)</w:t>
      </w:r>
      <w:r w:rsidRPr="009072DA">
        <w:rPr>
          <w:lang w:val="bg-BG"/>
        </w:rPr>
        <w:tab/>
        <w:t>сериен номер, ако има такъв.</w:t>
      </w:r>
    </w:p>
    <w:p w:rsidR="00756D4B" w:rsidRPr="009072DA" w:rsidRDefault="00756D4B" w:rsidP="00F06174">
      <w:pPr>
        <w:rPr>
          <w:rFonts w:cs="Arial"/>
          <w:szCs w:val="20"/>
          <w:lang w:val="bg-BG"/>
        </w:rPr>
      </w:pPr>
    </w:p>
    <w:p w:rsidR="00F06174" w:rsidRPr="009072DA" w:rsidRDefault="00F06174" w:rsidP="00725D4A">
      <w:pPr>
        <w:pStyle w:val="ESch"/>
        <w:rPr>
          <w:lang w:val="bg-BG"/>
        </w:rPr>
      </w:pPr>
      <w:r w:rsidRPr="009072DA">
        <w:rPr>
          <w:lang w:val="bg-BG"/>
        </w:rPr>
        <w:t>3.</w:t>
      </w:r>
      <w:r w:rsidRPr="009072DA">
        <w:rPr>
          <w:lang w:val="bg-BG"/>
        </w:rPr>
        <w:tab/>
        <w:t>Максималната разрешена товароподемност трябва да е незаличимо нанесена върху крановете ясно и четливо.</w:t>
      </w:r>
    </w:p>
    <w:p w:rsidR="00756D4B" w:rsidRPr="009072DA" w:rsidRDefault="00756D4B" w:rsidP="00725D4A">
      <w:pPr>
        <w:pStyle w:val="ESch"/>
        <w:rPr>
          <w:lang w:val="bg-BG"/>
        </w:rPr>
      </w:pPr>
    </w:p>
    <w:p w:rsidR="00F06174" w:rsidRPr="009072DA" w:rsidRDefault="00F06174" w:rsidP="00725D4A">
      <w:pPr>
        <w:pStyle w:val="ESchpar"/>
        <w:rPr>
          <w:lang w:val="bg-BG"/>
        </w:rPr>
      </w:pPr>
      <w:r w:rsidRPr="009072DA">
        <w:rPr>
          <w:lang w:val="bg-BG"/>
        </w:rPr>
        <w:t>Когато безопасната товароподемност на крана не превишава 2000 kg, достатъчно е върху крана да се маркира ясно и четливо безопасната товароподемност при максималния обсег.</w:t>
      </w:r>
    </w:p>
    <w:p w:rsidR="00756D4B" w:rsidRPr="009072DA" w:rsidRDefault="00756D4B" w:rsidP="00725D4A">
      <w:pPr>
        <w:pStyle w:val="ESch"/>
        <w:rPr>
          <w:lang w:val="bg-BG"/>
        </w:rPr>
      </w:pPr>
    </w:p>
    <w:p w:rsidR="00F06174" w:rsidRPr="009072DA" w:rsidRDefault="00F06174" w:rsidP="00725D4A">
      <w:pPr>
        <w:pStyle w:val="ESch"/>
        <w:rPr>
          <w:lang w:val="bg-BG"/>
        </w:rPr>
      </w:pPr>
      <w:r w:rsidRPr="009072DA">
        <w:rPr>
          <w:lang w:val="bg-BG"/>
        </w:rPr>
        <w:t>4.</w:t>
      </w:r>
      <w:r w:rsidRPr="009072DA">
        <w:rPr>
          <w:lang w:val="bg-BG"/>
        </w:rPr>
        <w:tab/>
        <w:t xml:space="preserve">Наличието на устройства за предпазване от рисковете от премазване или отрязване е задължително. Външните части на крана трябва да имат минимално разстояние на </w:t>
      </w:r>
      <w:r w:rsidRPr="009072DA">
        <w:rPr>
          <w:lang w:val="bg-BG"/>
        </w:rPr>
        <w:lastRenderedPageBreak/>
        <w:t>безопасност от 0,50 m спрямо определена надстройката на работните места и в проходите.</w:t>
      </w:r>
    </w:p>
    <w:p w:rsidR="00756D4B" w:rsidRPr="009072DA" w:rsidRDefault="00756D4B" w:rsidP="00725D4A">
      <w:pPr>
        <w:pStyle w:val="ESch"/>
        <w:rPr>
          <w:lang w:val="bg-BG"/>
        </w:rPr>
      </w:pPr>
    </w:p>
    <w:p w:rsidR="00F06174" w:rsidRPr="009072DA" w:rsidRDefault="00F06174" w:rsidP="00725D4A">
      <w:pPr>
        <w:pStyle w:val="ESch"/>
        <w:rPr>
          <w:lang w:val="bg-BG"/>
        </w:rPr>
      </w:pPr>
      <w:r w:rsidRPr="009072DA">
        <w:rPr>
          <w:lang w:val="bg-BG"/>
        </w:rPr>
        <w:t>5.</w:t>
      </w:r>
      <w:r w:rsidRPr="009072DA">
        <w:rPr>
          <w:lang w:val="bg-BG"/>
        </w:rPr>
        <w:tab/>
        <w:t>Трябва да е възможно да бъдат защитени силово задвижваните кранове от непозволено използване. Те трябва да могат да бъдат задвижвани само от мястото за управление на крана. Уредът за управление трябва да е с автоматично възвръщане (бутони без самозадържане); техните посоки на движение трябва да са недвусмислено определени.</w:t>
      </w:r>
    </w:p>
    <w:p w:rsidR="00756D4B" w:rsidRPr="009072DA" w:rsidRDefault="00756D4B" w:rsidP="00725D4A">
      <w:pPr>
        <w:pStyle w:val="ESch"/>
        <w:rPr>
          <w:lang w:val="bg-BG"/>
        </w:rPr>
      </w:pPr>
    </w:p>
    <w:p w:rsidR="00F06174" w:rsidRPr="009072DA" w:rsidRDefault="00F06174" w:rsidP="00725D4A">
      <w:pPr>
        <w:pStyle w:val="ESchpar"/>
        <w:rPr>
          <w:lang w:val="bg-BG"/>
        </w:rPr>
      </w:pPr>
      <w:r w:rsidRPr="009072DA">
        <w:rPr>
          <w:lang w:val="bg-BG"/>
        </w:rPr>
        <w:t>Ако движещата сила откаже, трябва да е невъзможно товарът да падне безконтролно. Не се допускат непреднамерени движения на крана.</w:t>
      </w:r>
    </w:p>
    <w:p w:rsidR="00756D4B" w:rsidRPr="009072DA" w:rsidRDefault="00756D4B" w:rsidP="00725D4A">
      <w:pPr>
        <w:pStyle w:val="ESchpar"/>
        <w:rPr>
          <w:lang w:val="bg-BG"/>
        </w:rPr>
      </w:pPr>
    </w:p>
    <w:p w:rsidR="00F06174" w:rsidRPr="009072DA" w:rsidRDefault="00F06174" w:rsidP="00725D4A">
      <w:pPr>
        <w:pStyle w:val="ESchpar"/>
        <w:rPr>
          <w:lang w:val="bg-BG"/>
        </w:rPr>
      </w:pPr>
      <w:r w:rsidRPr="009072DA">
        <w:rPr>
          <w:lang w:val="bg-BG"/>
        </w:rPr>
        <w:t>Всяко движение нагоре на повдигащото устройство и всяко надвишаване на безопасния работен товар трябва да се ограничават от подходящо устройство. Всяко движение надолу на повдигащото устройство се ограничава, ако при предвидени проектни експлоатационни условия в момента на прикрепване на куката върху барабана, може да останат по-малко от две кабелни намотки. Съответното обратно движение трябва да е все още възможно след задействането на автоматичните ограничаващи устройства.</w:t>
      </w:r>
    </w:p>
    <w:p w:rsidR="00756D4B" w:rsidRPr="009072DA" w:rsidRDefault="00756D4B" w:rsidP="00725D4A">
      <w:pPr>
        <w:pStyle w:val="ESchpar"/>
        <w:rPr>
          <w:lang w:val="bg-BG"/>
        </w:rPr>
      </w:pPr>
    </w:p>
    <w:p w:rsidR="00725D4A" w:rsidRPr="009072DA" w:rsidRDefault="00725D4A" w:rsidP="00725D4A">
      <w:pPr>
        <w:pStyle w:val="ESchpar"/>
        <w:rPr>
          <w:lang w:val="bg-BG"/>
        </w:rPr>
      </w:pPr>
      <w:r w:rsidRPr="009072DA">
        <w:rPr>
          <w:lang w:val="bg-BG"/>
        </w:rPr>
        <w:br w:type="page"/>
      </w:r>
    </w:p>
    <w:p w:rsidR="00F06174" w:rsidRPr="009072DA" w:rsidRDefault="00F06174" w:rsidP="00725D4A">
      <w:pPr>
        <w:pStyle w:val="ESchpar"/>
        <w:rPr>
          <w:lang w:val="bg-BG"/>
        </w:rPr>
      </w:pPr>
      <w:r w:rsidRPr="009072DA">
        <w:rPr>
          <w:lang w:val="bg-BG"/>
        </w:rPr>
        <w:lastRenderedPageBreak/>
        <w:t>Натоварването на скъсване на кабелите за боравене с такелажа трябва да е равно на петкратния размер на допустимия товар на кабелите. Структурата на кабелите трябва да е без дефекти и конструкцията им е подходяща за използване с кранове.</w:t>
      </w:r>
    </w:p>
    <w:p w:rsidR="00756D4B" w:rsidRPr="009072DA" w:rsidRDefault="00756D4B" w:rsidP="00725D4A">
      <w:pPr>
        <w:pStyle w:val="ESch"/>
        <w:rPr>
          <w:lang w:val="bg-BG"/>
        </w:rPr>
      </w:pPr>
    </w:p>
    <w:p w:rsidR="00F06174" w:rsidRPr="009072DA" w:rsidRDefault="00F06174" w:rsidP="00725D4A">
      <w:pPr>
        <w:pStyle w:val="ESch"/>
        <w:rPr>
          <w:lang w:val="bg-BG"/>
        </w:rPr>
      </w:pPr>
      <w:r w:rsidRPr="009072DA">
        <w:rPr>
          <w:lang w:val="bg-BG"/>
        </w:rPr>
        <w:t>6.</w:t>
      </w:r>
      <w:r w:rsidRPr="009072DA">
        <w:rPr>
          <w:lang w:val="bg-BG"/>
        </w:rPr>
        <w:tab/>
        <w:t>Крановете се проверяват от експерт:</w:t>
      </w:r>
    </w:p>
    <w:p w:rsidR="00F06174" w:rsidRPr="009072DA" w:rsidRDefault="005C7859" w:rsidP="00064BFC">
      <w:pPr>
        <w:pStyle w:val="ESlet"/>
        <w:rPr>
          <w:lang w:val="bg-BG"/>
        </w:rPr>
      </w:pPr>
      <w:r w:rsidRPr="009072DA">
        <w:rPr>
          <w:lang w:val="bg-BG"/>
        </w:rPr>
        <w:t>a)</w:t>
      </w:r>
      <w:r w:rsidRPr="009072DA">
        <w:rPr>
          <w:lang w:val="bg-BG"/>
        </w:rPr>
        <w:tab/>
        <w:t>преди първоначално пускане в експлоатация;</w:t>
      </w:r>
    </w:p>
    <w:p w:rsidR="00F06174" w:rsidRPr="009072DA" w:rsidRDefault="005C7859" w:rsidP="00064BFC">
      <w:pPr>
        <w:pStyle w:val="ESlet"/>
        <w:rPr>
          <w:lang w:val="bg-BG"/>
        </w:rPr>
      </w:pPr>
      <w:r w:rsidRPr="009072DA">
        <w:rPr>
          <w:lang w:val="bg-BG"/>
        </w:rPr>
        <w:t>б)</w:t>
      </w:r>
      <w:r w:rsidRPr="009072DA">
        <w:rPr>
          <w:lang w:val="bg-BG"/>
        </w:rPr>
        <w:tab/>
        <w:t>преди повторно пускане в експлоатация след всяко по-съществено изменение или ремонт; и</w:t>
      </w:r>
    </w:p>
    <w:p w:rsidR="00F06174" w:rsidRPr="009072DA" w:rsidRDefault="005C7859" w:rsidP="00064BFC">
      <w:pPr>
        <w:pStyle w:val="ESlet"/>
        <w:rPr>
          <w:lang w:val="bg-BG"/>
        </w:rPr>
      </w:pPr>
      <w:r w:rsidRPr="009072DA">
        <w:rPr>
          <w:lang w:val="bg-BG"/>
        </w:rPr>
        <w:t>в)</w:t>
      </w:r>
      <w:r w:rsidRPr="009072DA">
        <w:rPr>
          <w:lang w:val="bg-BG"/>
        </w:rPr>
        <w:tab/>
        <w:t>редовно, най-малко на всеки десет години.</w:t>
      </w:r>
    </w:p>
    <w:p w:rsidR="00756D4B" w:rsidRPr="009072DA" w:rsidRDefault="00756D4B" w:rsidP="00F06174">
      <w:pPr>
        <w:rPr>
          <w:rFonts w:cs="Arial"/>
          <w:szCs w:val="20"/>
          <w:lang w:val="bg-BG"/>
        </w:rPr>
      </w:pPr>
    </w:p>
    <w:p w:rsidR="00F06174" w:rsidRPr="009072DA" w:rsidRDefault="00F06174" w:rsidP="00064BFC">
      <w:pPr>
        <w:pStyle w:val="ESchpar"/>
        <w:rPr>
          <w:lang w:val="bg-BG"/>
        </w:rPr>
      </w:pPr>
      <w:r w:rsidRPr="009072DA">
        <w:rPr>
          <w:lang w:val="bg-BG"/>
        </w:rPr>
        <w:t>При проверката доказателства за достатъчна якост и устойчивост се предоставят чрез изчисления и изпитване на натоварването на борда.</w:t>
      </w:r>
    </w:p>
    <w:p w:rsidR="00756D4B" w:rsidRPr="009072DA" w:rsidRDefault="00756D4B" w:rsidP="00064BFC">
      <w:pPr>
        <w:pStyle w:val="ESchpar"/>
        <w:rPr>
          <w:lang w:val="bg-BG"/>
        </w:rPr>
      </w:pPr>
    </w:p>
    <w:p w:rsidR="00F06174" w:rsidRPr="009072DA" w:rsidRDefault="00F06174" w:rsidP="00064BFC">
      <w:pPr>
        <w:pStyle w:val="ESchpar"/>
        <w:rPr>
          <w:lang w:val="bg-BG"/>
        </w:rPr>
      </w:pPr>
      <w:r w:rsidRPr="009072DA">
        <w:rPr>
          <w:lang w:val="bg-BG"/>
        </w:rPr>
        <w:t>Когато безопасната товароподемност на крана не превишава 2000 kg, експертът има право да прецени, че доказването чрез изчисления може да бъде заместено изцяло или частично с изпитване с товар 1,25 пъти по-голям от безопасната товароподемност, което да се проведе за целия обхват на експлоатация.</w:t>
      </w:r>
    </w:p>
    <w:p w:rsidR="00756D4B" w:rsidRPr="009072DA" w:rsidRDefault="00756D4B" w:rsidP="00064BFC">
      <w:pPr>
        <w:pStyle w:val="ESchpar"/>
        <w:rPr>
          <w:lang w:val="bg-BG"/>
        </w:rPr>
      </w:pPr>
    </w:p>
    <w:p w:rsidR="00F06174" w:rsidRPr="009072DA" w:rsidRDefault="00F06174" w:rsidP="00064BFC">
      <w:pPr>
        <w:pStyle w:val="ESchpar"/>
        <w:rPr>
          <w:lang w:val="bg-BG"/>
        </w:rPr>
      </w:pPr>
      <w:r w:rsidRPr="009072DA">
        <w:rPr>
          <w:lang w:val="bg-BG"/>
        </w:rPr>
        <w:t>Издава се удостоверение за проверката, подписано от експерта и посочващо датата на проверката.</w:t>
      </w:r>
    </w:p>
    <w:p w:rsidR="00064BFC" w:rsidRPr="009072DA" w:rsidRDefault="00064BFC" w:rsidP="00F06174">
      <w:pPr>
        <w:rPr>
          <w:rFonts w:cs="Arial"/>
          <w:szCs w:val="20"/>
          <w:lang w:val="bg-BG"/>
        </w:rPr>
      </w:pPr>
    </w:p>
    <w:p w:rsidR="00F06174" w:rsidRPr="009072DA" w:rsidRDefault="00F06174" w:rsidP="00064BFC">
      <w:pPr>
        <w:pStyle w:val="ESch"/>
        <w:rPr>
          <w:lang w:val="bg-BG"/>
        </w:rPr>
      </w:pPr>
      <w:r w:rsidRPr="009072DA">
        <w:rPr>
          <w:lang w:val="bg-BG"/>
        </w:rPr>
        <w:t>7.</w:t>
      </w:r>
      <w:r w:rsidRPr="009072DA">
        <w:rPr>
          <w:lang w:val="bg-BG"/>
        </w:rPr>
        <w:tab/>
        <w:t>Крановете се проверяват редовно и във всеки случай поне веднъж годишно от компетентно лице. При проверката безопасното експлоатационно състояние на крана се определя с визуален оглед и оперативна проверка.</w:t>
      </w:r>
    </w:p>
    <w:p w:rsidR="00756D4B" w:rsidRPr="009072DA" w:rsidRDefault="00756D4B" w:rsidP="00064BFC">
      <w:pPr>
        <w:pStyle w:val="ESch"/>
        <w:rPr>
          <w:lang w:val="bg-BG"/>
        </w:rPr>
      </w:pPr>
    </w:p>
    <w:p w:rsidR="00F06174" w:rsidRPr="009072DA" w:rsidRDefault="00F06174" w:rsidP="00064BFC">
      <w:pPr>
        <w:pStyle w:val="ESchpar"/>
        <w:rPr>
          <w:lang w:val="bg-BG"/>
        </w:rPr>
      </w:pPr>
      <w:r w:rsidRPr="009072DA">
        <w:rPr>
          <w:lang w:val="bg-BG"/>
        </w:rPr>
        <w:t>Издава се удостоверение за проверката, подписано от компетентното лице и посочващо датата на проверката.</w:t>
      </w:r>
    </w:p>
    <w:p w:rsidR="00F06174" w:rsidRPr="009072DA" w:rsidRDefault="00F06174" w:rsidP="00064BFC">
      <w:pPr>
        <w:pStyle w:val="ESch"/>
        <w:rPr>
          <w:lang w:val="bg-BG"/>
        </w:rPr>
      </w:pPr>
    </w:p>
    <w:p w:rsidR="00F06174" w:rsidRPr="009072DA" w:rsidRDefault="00F06174" w:rsidP="00064BFC">
      <w:pPr>
        <w:pStyle w:val="ESch"/>
        <w:rPr>
          <w:lang w:val="bg-BG"/>
        </w:rPr>
      </w:pPr>
      <w:r w:rsidRPr="009072DA">
        <w:rPr>
          <w:lang w:val="bg-BG"/>
        </w:rPr>
        <w:t>8.</w:t>
      </w:r>
      <w:r w:rsidRPr="009072DA">
        <w:rPr>
          <w:lang w:val="bg-BG"/>
        </w:rPr>
        <w:tab/>
        <w:t>Крановете с безопасна товароподемност над 2000 kg, или тези, използвани за претоварване, или които са монтирани върху подемни крикове, понтони и друго плаващо съоръжение или плавателно работно средство, трябва освен това да отговарят на изискванията на една от държавите членки.</w:t>
      </w:r>
    </w:p>
    <w:p w:rsidR="00756D4B" w:rsidRPr="009072DA" w:rsidRDefault="00756D4B" w:rsidP="00064BFC">
      <w:pPr>
        <w:pStyle w:val="ESch"/>
        <w:rPr>
          <w:lang w:val="bg-BG"/>
        </w:rPr>
      </w:pPr>
    </w:p>
    <w:p w:rsidR="00F06174" w:rsidRPr="009072DA" w:rsidRDefault="00F06174" w:rsidP="00064BFC">
      <w:pPr>
        <w:pStyle w:val="ESch"/>
        <w:rPr>
          <w:lang w:val="bg-BG"/>
        </w:rPr>
      </w:pPr>
      <w:r w:rsidRPr="009072DA">
        <w:rPr>
          <w:lang w:val="bg-BG"/>
        </w:rPr>
        <w:t>9.</w:t>
      </w:r>
      <w:r w:rsidRPr="009072DA">
        <w:rPr>
          <w:lang w:val="bg-BG"/>
        </w:rPr>
        <w:tab/>
        <w:t>Инструкциите за работа на производителя на крана се съхраняват на борда. Те съдържат най-малко следната информация:</w:t>
      </w:r>
    </w:p>
    <w:p w:rsidR="00F06174" w:rsidRPr="009072DA" w:rsidRDefault="005C7859" w:rsidP="00064BFC">
      <w:pPr>
        <w:pStyle w:val="ESlet"/>
        <w:rPr>
          <w:lang w:val="bg-BG"/>
        </w:rPr>
      </w:pPr>
      <w:r w:rsidRPr="009072DA">
        <w:rPr>
          <w:lang w:val="bg-BG"/>
        </w:rPr>
        <w:t>a)</w:t>
      </w:r>
      <w:r w:rsidRPr="009072DA">
        <w:rPr>
          <w:lang w:val="bg-BG"/>
        </w:rPr>
        <w:tab/>
        <w:t>работен обхват и функция на уредите за управление;</w:t>
      </w:r>
    </w:p>
    <w:p w:rsidR="00F06174" w:rsidRPr="009072DA" w:rsidRDefault="005C7859" w:rsidP="00064BFC">
      <w:pPr>
        <w:pStyle w:val="ESlet"/>
        <w:rPr>
          <w:lang w:val="bg-BG"/>
        </w:rPr>
      </w:pPr>
      <w:r w:rsidRPr="009072DA">
        <w:rPr>
          <w:lang w:val="bg-BG"/>
        </w:rPr>
        <w:lastRenderedPageBreak/>
        <w:t>б)</w:t>
      </w:r>
      <w:r w:rsidRPr="009072DA">
        <w:rPr>
          <w:lang w:val="bg-BG"/>
        </w:rPr>
        <w:tab/>
        <w:t>максимално допустима безопасна товароподемност като функция от обсега;</w:t>
      </w:r>
    </w:p>
    <w:p w:rsidR="00F06174" w:rsidRPr="009072DA" w:rsidRDefault="005C7859" w:rsidP="00064BFC">
      <w:pPr>
        <w:pStyle w:val="ESlet"/>
        <w:rPr>
          <w:lang w:val="bg-BG"/>
        </w:rPr>
      </w:pPr>
      <w:r w:rsidRPr="009072DA">
        <w:rPr>
          <w:lang w:val="bg-BG"/>
        </w:rPr>
        <w:t>в)</w:t>
      </w:r>
      <w:r w:rsidRPr="009072DA">
        <w:rPr>
          <w:lang w:val="bg-BG"/>
        </w:rPr>
        <w:tab/>
        <w:t>максимално допустим наклон на крана;</w:t>
      </w:r>
    </w:p>
    <w:p w:rsidR="00F06174" w:rsidRPr="009072DA" w:rsidRDefault="005C7859" w:rsidP="00064BFC">
      <w:pPr>
        <w:pStyle w:val="ESlet"/>
        <w:rPr>
          <w:lang w:val="bg-BG"/>
        </w:rPr>
      </w:pPr>
      <w:r w:rsidRPr="009072DA">
        <w:rPr>
          <w:lang w:val="bg-BG"/>
        </w:rPr>
        <w:t>г)</w:t>
      </w:r>
      <w:r w:rsidRPr="009072DA">
        <w:rPr>
          <w:lang w:val="bg-BG"/>
        </w:rPr>
        <w:tab/>
        <w:t>инструкции за сглобяване и поддръжка;</w:t>
      </w:r>
    </w:p>
    <w:p w:rsidR="00F06174" w:rsidRPr="009072DA" w:rsidRDefault="0029453D" w:rsidP="00064BFC">
      <w:pPr>
        <w:pStyle w:val="ESlet"/>
        <w:rPr>
          <w:lang w:val="bg-BG"/>
        </w:rPr>
      </w:pPr>
      <w:r w:rsidRPr="009072DA">
        <w:rPr>
          <w:lang w:val="bg-BG"/>
        </w:rPr>
        <w:t>д)</w:t>
      </w:r>
      <w:r w:rsidRPr="009072DA">
        <w:rPr>
          <w:lang w:val="bg-BG"/>
        </w:rPr>
        <w:tab/>
        <w:t>общи технически данни.</w:t>
      </w:r>
    </w:p>
    <w:p w:rsidR="00F06174" w:rsidRPr="009072DA" w:rsidRDefault="00F06174" w:rsidP="00B239F2">
      <w:pPr>
        <w:pStyle w:val="ESlet"/>
        <w:ind w:left="0"/>
        <w:rPr>
          <w:rFonts w:cs="Arial"/>
          <w:szCs w:val="20"/>
          <w:lang w:val="bg-BG"/>
        </w:rPr>
      </w:pPr>
    </w:p>
    <w:p w:rsidR="00756D4B" w:rsidRPr="009072DA" w:rsidRDefault="00756D4B" w:rsidP="00B239F2">
      <w:pPr>
        <w:rPr>
          <w:rFonts w:cs="Arial"/>
          <w:szCs w:val="20"/>
          <w:lang w:val="bg-BG"/>
        </w:rPr>
      </w:pPr>
    </w:p>
    <w:p w:rsidR="00F06174" w:rsidRPr="009072DA" w:rsidRDefault="00F06174" w:rsidP="00756D4B">
      <w:pPr>
        <w:pStyle w:val="ES-Titre3"/>
        <w:rPr>
          <w:lang w:val="bg-BG"/>
        </w:rPr>
      </w:pPr>
      <w:bookmarkStart w:id="251" w:name="_Toc491854123"/>
      <w:bookmarkStart w:id="252" w:name="_Toc535827564"/>
      <w:r w:rsidRPr="009072DA">
        <w:rPr>
          <w:lang w:val="bg-BG"/>
        </w:rPr>
        <w:t>Член 14.13</w:t>
      </w:r>
      <w:r w:rsidRPr="009072DA">
        <w:rPr>
          <w:lang w:val="bg-BG"/>
        </w:rPr>
        <w:br/>
      </w:r>
      <w:r w:rsidRPr="009072DA">
        <w:rPr>
          <w:i/>
          <w:lang w:val="bg-BG"/>
        </w:rPr>
        <w:t>Съхранение на запалими течности</w:t>
      </w:r>
      <w:bookmarkEnd w:id="251"/>
      <w:bookmarkEnd w:id="252"/>
    </w:p>
    <w:p w:rsidR="00756D4B" w:rsidRPr="009072DA" w:rsidRDefault="00756D4B" w:rsidP="00756D4B">
      <w:pPr>
        <w:rPr>
          <w:rFonts w:cs="Arial"/>
          <w:szCs w:val="20"/>
          <w:lang w:val="bg-BG"/>
        </w:rPr>
      </w:pPr>
    </w:p>
    <w:p w:rsidR="00F06174" w:rsidRPr="009072DA" w:rsidRDefault="00F06174" w:rsidP="00064BFC">
      <w:pPr>
        <w:pStyle w:val="ESgauche"/>
        <w:rPr>
          <w:noProof w:val="0"/>
          <w:lang w:val="bg-BG"/>
        </w:rPr>
      </w:pPr>
      <w:r w:rsidRPr="009072DA">
        <w:rPr>
          <w:noProof w:val="0"/>
          <w:lang w:val="bg-BG"/>
        </w:rPr>
        <w:t>За съхранението на запалими течности с точка на възпламеняване под 55 °C на палубата трябва да има шкаф с вентилация, изработен от негорими материали. Отвън върху него трябва да има знак „Паленето на огън и пушенето забранени“ с диаметър от поне 10 cm в съответствие с фигура 2 от приложение 4.</w:t>
      </w:r>
    </w:p>
    <w:p w:rsidR="00F6371D" w:rsidRPr="009072DA" w:rsidRDefault="00F6371D" w:rsidP="00A9660C">
      <w:pPr>
        <w:rPr>
          <w:lang w:val="bg-BG"/>
        </w:rPr>
      </w:pPr>
    </w:p>
    <w:p w:rsidR="006161E9" w:rsidRPr="009072DA" w:rsidRDefault="006161E9" w:rsidP="006161E9">
      <w:pPr>
        <w:pStyle w:val="ES-Titre2"/>
        <w:rPr>
          <w:szCs w:val="24"/>
        </w:rPr>
      </w:pPr>
      <w:bookmarkStart w:id="253" w:name="_Toc491854124"/>
      <w:bookmarkStart w:id="254" w:name="_Toc535827565"/>
      <w:r w:rsidRPr="009072DA">
        <w:lastRenderedPageBreak/>
        <w:t>Глава 15</w:t>
      </w:r>
      <w:r w:rsidRPr="009072DA">
        <w:br/>
        <w:t>Жилищни помещения</w:t>
      </w:r>
      <w:bookmarkEnd w:id="253"/>
      <w:bookmarkEnd w:id="254"/>
    </w:p>
    <w:p w:rsidR="006161E9" w:rsidRPr="009072DA" w:rsidRDefault="006161E9" w:rsidP="006161E9">
      <w:pPr>
        <w:rPr>
          <w:lang w:val="bg-BG"/>
        </w:rPr>
      </w:pPr>
    </w:p>
    <w:p w:rsidR="006161E9" w:rsidRPr="009072DA" w:rsidRDefault="006161E9" w:rsidP="006161E9">
      <w:pPr>
        <w:pStyle w:val="ES-Titre3"/>
        <w:rPr>
          <w:lang w:val="bg-BG"/>
        </w:rPr>
      </w:pPr>
      <w:bookmarkStart w:id="255" w:name="_Toc491854125"/>
      <w:bookmarkStart w:id="256" w:name="_Toc535827566"/>
      <w:r w:rsidRPr="009072DA">
        <w:rPr>
          <w:lang w:val="bg-BG"/>
        </w:rPr>
        <w:t>Член 15.01</w:t>
      </w:r>
      <w:r w:rsidRPr="009072DA">
        <w:rPr>
          <w:lang w:val="bg-BG"/>
        </w:rPr>
        <w:br/>
      </w:r>
      <w:r w:rsidRPr="009072DA">
        <w:rPr>
          <w:i/>
          <w:lang w:val="bg-BG"/>
        </w:rPr>
        <w:t>Общи положения</w:t>
      </w:r>
      <w:bookmarkEnd w:id="255"/>
      <w:bookmarkEnd w:id="256"/>
    </w:p>
    <w:p w:rsidR="006161E9" w:rsidRPr="009072DA" w:rsidRDefault="006161E9"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1.</w:t>
      </w:r>
      <w:r w:rsidRPr="009072DA">
        <w:rPr>
          <w:lang w:val="bg-BG"/>
        </w:rPr>
        <w:tab/>
        <w:t xml:space="preserve">Плавателните съдове трябва да имат жилищни помещения за лицата, които обичайно са настанени на борда и поне за минималния състав на екипажа. </w:t>
      </w:r>
    </w:p>
    <w:p w:rsidR="00811428" w:rsidRPr="009072DA" w:rsidRDefault="00811428" w:rsidP="00811428">
      <w:pPr>
        <w:pStyle w:val="ESch"/>
        <w:rPr>
          <w:szCs w:val="20"/>
          <w:lang w:val="bg-BG"/>
        </w:rPr>
      </w:pPr>
    </w:p>
    <w:p w:rsidR="006161E9" w:rsidRPr="009072DA" w:rsidRDefault="006161E9" w:rsidP="00811428">
      <w:pPr>
        <w:pStyle w:val="ESch"/>
        <w:rPr>
          <w:rFonts w:cs="Arial"/>
          <w:i/>
          <w:szCs w:val="20"/>
          <w:lang w:val="bg-BG"/>
        </w:rPr>
      </w:pPr>
      <w:r w:rsidRPr="009072DA">
        <w:rPr>
          <w:lang w:val="bg-BG"/>
        </w:rPr>
        <w:t>2.</w:t>
      </w:r>
      <w:r w:rsidRPr="009072DA">
        <w:rPr>
          <w:lang w:val="bg-BG"/>
        </w:rPr>
        <w:tab/>
        <w:t>Жилищните помещения трябва да бъдат проектирани, разположени и оборудвани така, че да отговарят на изискванията за опазването на здравето, безопасността и комфорта на хората на борда. Те трябва да са безопасно и лесно достъпни и подходящо изолирани срещу топлина и студ.</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3.</w:t>
      </w:r>
      <w:r w:rsidRPr="009072DA">
        <w:rPr>
          <w:lang w:val="bg-BG"/>
        </w:rPr>
        <w:tab/>
        <w:t>Контролният орган може да разреши изключения от разпоредбите на настоящата глава, ако здравето и безопасността на лицата на борда са осигурени посредством други мерки.</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4.</w:t>
      </w:r>
      <w:r w:rsidRPr="009072DA">
        <w:rPr>
          <w:lang w:val="bg-BG"/>
        </w:rPr>
        <w:tab/>
        <w:t>Контролният орган вписва в удостоверението на плавателния съд за плаване по вътрешни водни пътища евентуалните ограничения по отношение на дневните експлоатационни периоди на плавателния съд и неговия режим на работа, произтичащи от изключенията съгласно точка 3.</w:t>
      </w:r>
    </w:p>
    <w:p w:rsidR="006161E9" w:rsidRPr="009072DA" w:rsidRDefault="006161E9" w:rsidP="00811428">
      <w:pPr>
        <w:pStyle w:val="ESch"/>
        <w:rPr>
          <w:rFonts w:cs="Arial"/>
          <w:szCs w:val="20"/>
          <w:lang w:val="bg-BG"/>
        </w:rPr>
      </w:pPr>
    </w:p>
    <w:p w:rsidR="00A60E37" w:rsidRPr="009072DA" w:rsidRDefault="00A60E37" w:rsidP="00811428">
      <w:pPr>
        <w:pStyle w:val="ESch"/>
        <w:rPr>
          <w:rFonts w:cs="Arial"/>
          <w:szCs w:val="20"/>
          <w:lang w:val="bg-BG"/>
        </w:rPr>
      </w:pPr>
    </w:p>
    <w:p w:rsidR="006161E9" w:rsidRPr="009072DA" w:rsidRDefault="006161E9" w:rsidP="00811428">
      <w:pPr>
        <w:pStyle w:val="ES-Titre3"/>
        <w:rPr>
          <w:i/>
          <w:lang w:val="bg-BG"/>
        </w:rPr>
      </w:pPr>
      <w:bookmarkStart w:id="257" w:name="_Toc491854126"/>
      <w:bookmarkStart w:id="258" w:name="_Toc535827567"/>
      <w:r w:rsidRPr="009072DA">
        <w:rPr>
          <w:lang w:val="bg-BG"/>
        </w:rPr>
        <w:t>Член 15.02</w:t>
      </w:r>
      <w:r w:rsidRPr="009072DA">
        <w:rPr>
          <w:lang w:val="bg-BG"/>
        </w:rPr>
        <w:br/>
      </w:r>
      <w:r w:rsidRPr="009072DA">
        <w:rPr>
          <w:i/>
          <w:lang w:val="bg-BG"/>
        </w:rPr>
        <w:t>Специални изисквания към проектирането на жилищни помещения</w:t>
      </w:r>
      <w:bookmarkEnd w:id="257"/>
      <w:bookmarkEnd w:id="258"/>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1.</w:t>
      </w:r>
      <w:r w:rsidRPr="009072DA">
        <w:rPr>
          <w:lang w:val="bg-BG"/>
        </w:rPr>
        <w:tab/>
        <w:t>Трябва да има възможност жилищните помещения да се проветряват в достатъчна степен, дори когато вратите са затворени; освен това жилищните помещения за общо ползване трябва да получават достатъчно дневна светлина и по възможност са с изглед навън.</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2.</w:t>
      </w:r>
      <w:r w:rsidRPr="009072DA">
        <w:rPr>
          <w:lang w:val="bg-BG"/>
        </w:rPr>
        <w:tab/>
        <w:t>Когато няма проход от равнището на палубата към жилищните помещения и разликата в равнището е 0,30 m или повече, достъпът до жилищните помещения трябва да се осигурява със стълбища.</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3.</w:t>
      </w:r>
      <w:r w:rsidRPr="009072DA">
        <w:rPr>
          <w:lang w:val="bg-BG"/>
        </w:rPr>
        <w:tab/>
        <w:t>В носовите части на плавателния съд нито един от подовете не трябва да бъде повече от 1,20 m под равнината на максимално газене.</w:t>
      </w:r>
    </w:p>
    <w:p w:rsidR="00811428" w:rsidRPr="009072DA" w:rsidRDefault="00811428" w:rsidP="00811428">
      <w:pPr>
        <w:pStyle w:val="ESch"/>
        <w:rPr>
          <w:spacing w:val="-2"/>
          <w:szCs w:val="20"/>
          <w:lang w:val="bg-BG"/>
        </w:rPr>
      </w:pPr>
    </w:p>
    <w:p w:rsidR="006161E9" w:rsidRPr="009072DA" w:rsidRDefault="006161E9" w:rsidP="00811428">
      <w:pPr>
        <w:pStyle w:val="ESch"/>
        <w:rPr>
          <w:rFonts w:cs="Arial"/>
          <w:szCs w:val="20"/>
          <w:lang w:val="bg-BG"/>
        </w:rPr>
      </w:pPr>
      <w:r w:rsidRPr="009072DA">
        <w:rPr>
          <w:lang w:val="bg-BG"/>
        </w:rPr>
        <w:t>4.</w:t>
      </w:r>
      <w:r w:rsidRPr="009072DA">
        <w:rPr>
          <w:lang w:val="bg-BG"/>
        </w:rPr>
        <w:tab/>
        <w:t>Жилищните помещения за общо ползване и спалните каюти  трябва да имат поне два изхода, максимално раздалечени един от друг и и служещи като маршрути за евакуация. Единият изход може да бъде определен за авариен. Това не важи за помещения с изход, водещ направо на палубата или към коридор, който служи като маршрут за евакуация, при условие че коридорът има два изхода, раздалечени един от друг, водещи към левия и към десния борд. Аварийните изходи, които могат да включват светлици и прозорци, трябва да имат светло сечение от най-малко 0,36 m</w:t>
      </w:r>
      <w:r w:rsidRPr="009072DA">
        <w:rPr>
          <w:spacing w:val="-2"/>
          <w:vertAlign w:val="superscript"/>
          <w:lang w:val="bg-BG"/>
        </w:rPr>
        <w:t>2</w:t>
      </w:r>
      <w:r w:rsidRPr="009072DA">
        <w:rPr>
          <w:lang w:val="bg-BG"/>
        </w:rPr>
        <w:t xml:space="preserve"> и дължина на най-късата страна, не по-малка от 0,50 m, и да позволяват бърза евакуация в аварийни ситуации. Изолацията и покритията на маршрутите за евакуация се изработват от забавящи горенето материали и използваемостта на маршрутите за евакуация във всеки момент се гарантира с подходящи средства като подвижни стълби или отделно монтирани стъпала.</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5.</w:t>
      </w:r>
      <w:r w:rsidRPr="009072DA">
        <w:rPr>
          <w:lang w:val="bg-BG"/>
        </w:rPr>
        <w:tab/>
        <w:t>Жилищните помещения трябва да са защитени срещу недопустим шум и вибрации. Приемливите равнища на шума не трябва да превишават:</w:t>
      </w:r>
    </w:p>
    <w:p w:rsidR="006161E9" w:rsidRPr="009072DA" w:rsidRDefault="005C7859" w:rsidP="00811428">
      <w:pPr>
        <w:pStyle w:val="ESlet"/>
        <w:rPr>
          <w:rFonts w:cs="Arial"/>
          <w:lang w:val="bg-BG"/>
        </w:rPr>
      </w:pPr>
      <w:r w:rsidRPr="009072DA">
        <w:rPr>
          <w:lang w:val="bg-BG"/>
        </w:rPr>
        <w:t>a)</w:t>
      </w:r>
      <w:r w:rsidRPr="009072DA">
        <w:rPr>
          <w:lang w:val="bg-BG"/>
        </w:rPr>
        <w:tab/>
        <w:t>70 dB(A) в жилищните помещения за общо ползване;</w:t>
      </w:r>
    </w:p>
    <w:p w:rsidR="006161E9" w:rsidRPr="009072DA" w:rsidRDefault="005C7859" w:rsidP="00811428">
      <w:pPr>
        <w:pStyle w:val="ESlet"/>
        <w:rPr>
          <w:rFonts w:cs="Arial"/>
          <w:lang w:val="bg-BG"/>
        </w:rPr>
      </w:pPr>
      <w:r w:rsidRPr="009072DA">
        <w:rPr>
          <w:lang w:val="bg-BG"/>
        </w:rPr>
        <w:t>б)</w:t>
      </w:r>
      <w:r w:rsidRPr="009072DA">
        <w:rPr>
          <w:lang w:val="bg-BG"/>
        </w:rPr>
        <w:tab/>
        <w:t>60 dB(А) в спалните каюти. Тази разпоредба не се прилага за плавателни съдове, които работят изключително извън периодите за почивка на екипажа, както са определени от националното законодателство на държавите членки.</w:t>
      </w:r>
    </w:p>
    <w:p w:rsidR="00811428" w:rsidRPr="009072DA" w:rsidRDefault="00811428" w:rsidP="00811428">
      <w:pPr>
        <w:pStyle w:val="ESch"/>
        <w:rPr>
          <w:szCs w:val="20"/>
          <w:lang w:val="bg-BG"/>
        </w:rPr>
      </w:pPr>
    </w:p>
    <w:p w:rsidR="006161E9" w:rsidRPr="009072DA" w:rsidRDefault="008C3FE7" w:rsidP="00A60E37">
      <w:pPr>
        <w:pStyle w:val="ESchpar"/>
        <w:rPr>
          <w:rFonts w:cs="Arial"/>
          <w:lang w:val="bg-BG"/>
        </w:rPr>
      </w:pPr>
      <w:r w:rsidRPr="009072DA">
        <w:rPr>
          <w:lang w:val="bg-BG"/>
        </w:rPr>
        <w:t>Ограничението по отношение на дневния период на работа, посочен в буква б), се вписва в удостоверението на плавателния съд за плаване по вътрешни водни пътища.</w:t>
      </w:r>
    </w:p>
    <w:p w:rsidR="00811428" w:rsidRPr="009072DA" w:rsidRDefault="00811428" w:rsidP="00811428">
      <w:pPr>
        <w:pStyle w:val="ESch"/>
        <w:rPr>
          <w:szCs w:val="20"/>
          <w:lang w:val="bg-BG"/>
        </w:rPr>
      </w:pPr>
    </w:p>
    <w:p w:rsidR="00A60E37" w:rsidRPr="009072DA" w:rsidRDefault="00A60E37" w:rsidP="00811428">
      <w:pPr>
        <w:pStyle w:val="ESch"/>
        <w:rPr>
          <w:szCs w:val="20"/>
          <w:lang w:val="bg-BG"/>
        </w:rPr>
      </w:pPr>
      <w:r w:rsidRPr="009072DA">
        <w:rPr>
          <w:lang w:val="bg-BG"/>
        </w:rPr>
        <w:br w:type="page"/>
      </w:r>
    </w:p>
    <w:p w:rsidR="006161E9" w:rsidRPr="009072DA" w:rsidRDefault="006161E9" w:rsidP="00811428">
      <w:pPr>
        <w:pStyle w:val="ESch"/>
        <w:rPr>
          <w:rFonts w:cs="Arial"/>
          <w:szCs w:val="20"/>
          <w:lang w:val="bg-BG"/>
        </w:rPr>
      </w:pPr>
      <w:r w:rsidRPr="009072DA">
        <w:rPr>
          <w:lang w:val="bg-BG"/>
        </w:rPr>
        <w:lastRenderedPageBreak/>
        <w:t>6.</w:t>
      </w:r>
      <w:r w:rsidRPr="009072DA">
        <w:rPr>
          <w:lang w:val="bg-BG"/>
        </w:rPr>
        <w:tab/>
        <w:t>Височината на жилищните помещения трябва да е не по-малко от 2,00 m.</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7.</w:t>
      </w:r>
      <w:r w:rsidRPr="009072DA">
        <w:rPr>
          <w:lang w:val="bg-BG"/>
        </w:rPr>
        <w:tab/>
        <w:t>Като правило плавателните съдове трябва да имат поне едно жилищно помещение за общо ползване, отделено от спалните каюти.</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8.</w:t>
      </w:r>
      <w:r w:rsidRPr="009072DA">
        <w:rPr>
          <w:lang w:val="bg-BG"/>
        </w:rPr>
        <w:tab/>
        <w:t>Свободната разгъната площ на жилищните помещения за общо ползване трябва да е не по-малко от 2 m</w:t>
      </w:r>
      <w:r w:rsidRPr="009072DA">
        <w:rPr>
          <w:vertAlign w:val="superscript"/>
          <w:lang w:val="bg-BG"/>
        </w:rPr>
        <w:t>2</w:t>
      </w:r>
      <w:r w:rsidRPr="009072DA">
        <w:rPr>
          <w:lang w:val="bg-BG"/>
        </w:rPr>
        <w:t xml:space="preserve"> на човек и във всеки случай не по-малко от 8 m</w:t>
      </w:r>
      <w:r w:rsidRPr="009072DA">
        <w:rPr>
          <w:vertAlign w:val="superscript"/>
          <w:lang w:val="bg-BG"/>
        </w:rPr>
        <w:t>2</w:t>
      </w:r>
      <w:r w:rsidRPr="009072DA">
        <w:rPr>
          <w:lang w:val="bg-BG"/>
        </w:rPr>
        <w:t xml:space="preserve"> общо (без да се броят мебелите, с изключение на масите и столовете).</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9.</w:t>
      </w:r>
      <w:r w:rsidRPr="009072DA">
        <w:rPr>
          <w:lang w:val="bg-BG"/>
        </w:rPr>
        <w:tab/>
        <w:t>Кубатурата на индивидуалните жилищни помещения и спалните каюти трябва да е не по-малко от 7 m</w:t>
      </w:r>
      <w:r w:rsidRPr="009072DA">
        <w:rPr>
          <w:vertAlign w:val="superscript"/>
          <w:lang w:val="bg-BG"/>
        </w:rPr>
        <w:t>3</w:t>
      </w:r>
      <w:r w:rsidRPr="009072DA">
        <w:rPr>
          <w:lang w:val="bg-BG"/>
        </w:rPr>
        <w:t xml:space="preserve"> за всяко помещение.</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10.</w:t>
      </w:r>
      <w:r w:rsidRPr="009072DA">
        <w:rPr>
          <w:lang w:val="bg-BG"/>
        </w:rPr>
        <w:tab/>
        <w:t>Обемът въздух на човек трябва да е поне 3,5 m</w:t>
      </w:r>
      <w:r w:rsidRPr="009072DA">
        <w:rPr>
          <w:vertAlign w:val="superscript"/>
          <w:lang w:val="bg-BG"/>
        </w:rPr>
        <w:t>3</w:t>
      </w:r>
      <w:r w:rsidRPr="009072DA">
        <w:rPr>
          <w:lang w:val="bg-BG"/>
        </w:rPr>
        <w:t xml:space="preserve"> в индивидуалните жилищни помещения. В спалните каюти той трябва да бъде поне 5 m</w:t>
      </w:r>
      <w:r w:rsidRPr="009072DA">
        <w:rPr>
          <w:vertAlign w:val="superscript"/>
          <w:lang w:val="bg-BG"/>
        </w:rPr>
        <w:t>3</w:t>
      </w:r>
      <w:r w:rsidRPr="009072DA">
        <w:rPr>
          <w:lang w:val="bg-BG"/>
        </w:rPr>
        <w:t xml:space="preserve"> за първия обитател и поне 3 m</w:t>
      </w:r>
      <w:r w:rsidRPr="009072DA">
        <w:rPr>
          <w:vertAlign w:val="superscript"/>
          <w:lang w:val="bg-BG"/>
        </w:rPr>
        <w:t>3</w:t>
      </w:r>
      <w:r w:rsidRPr="009072DA">
        <w:rPr>
          <w:lang w:val="bg-BG"/>
        </w:rPr>
        <w:t xml:space="preserve"> за всеки допълнителен обитател (без да се смята обемът на мебелите). Спалните каюти, доколкото е възможно, са предназначени за не повече от двама човека. Койките се поставят на не по-малко от 0,30 m над пода. Когато една койка е поставена над друга, височината над всяка от тях трябва да e не по-малко от 0,60 m.</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11.</w:t>
      </w:r>
      <w:r w:rsidRPr="009072DA">
        <w:rPr>
          <w:lang w:val="bg-BG"/>
        </w:rPr>
        <w:tab/>
        <w:t>Вратите трябва да имат просвет, чийто горен край е не по-малко от 1,90 m над палубата или над пода, като откритата широчина е не по-малко от 0,60 m. Предписаната височина може да се осигури посредством плъзгащи се панели или капаци или такива на панти. Вратите трябва да се отварят навън и е възможно да бъдат отваряни от всяка страна. Праговете не трябва да са високи повече от 0,40 m, без това да нарушава разпоредбите на другите регламенти за безопасност.</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12</w:t>
      </w:r>
      <w:r w:rsidRPr="009072DA">
        <w:rPr>
          <w:lang w:val="bg-BG"/>
        </w:rPr>
        <w:tab/>
        <w:t>Стълбищата трябва да бъдат неподвижно монтирани и безопасно проходими. Те се считат за такива, когато:</w:t>
      </w:r>
    </w:p>
    <w:p w:rsidR="006161E9" w:rsidRPr="009072DA" w:rsidRDefault="005C7859" w:rsidP="00811428">
      <w:pPr>
        <w:pStyle w:val="ESlet"/>
        <w:rPr>
          <w:rFonts w:cs="Arial"/>
          <w:lang w:val="bg-BG"/>
        </w:rPr>
      </w:pPr>
      <w:r w:rsidRPr="009072DA">
        <w:rPr>
          <w:lang w:val="bg-BG"/>
        </w:rPr>
        <w:t>a)</w:t>
      </w:r>
      <w:r w:rsidRPr="009072DA">
        <w:rPr>
          <w:lang w:val="bg-BG"/>
        </w:rPr>
        <w:tab/>
        <w:t>са поне 0,60 m широки;</w:t>
      </w:r>
    </w:p>
    <w:p w:rsidR="006161E9" w:rsidRPr="009072DA" w:rsidRDefault="005C7859" w:rsidP="00811428">
      <w:pPr>
        <w:pStyle w:val="ESlet"/>
        <w:rPr>
          <w:rFonts w:cs="Arial"/>
          <w:lang w:val="bg-BG"/>
        </w:rPr>
      </w:pPr>
      <w:r w:rsidRPr="009072DA">
        <w:rPr>
          <w:lang w:val="bg-BG"/>
        </w:rPr>
        <w:t>б)</w:t>
      </w:r>
      <w:r w:rsidRPr="009072DA">
        <w:rPr>
          <w:lang w:val="bg-BG"/>
        </w:rPr>
        <w:tab/>
        <w:t>стъпалото е с дълбочина поне 0,15 m;</w:t>
      </w:r>
    </w:p>
    <w:p w:rsidR="006161E9" w:rsidRPr="009072DA" w:rsidRDefault="005C7859" w:rsidP="00811428">
      <w:pPr>
        <w:pStyle w:val="ESlet"/>
        <w:rPr>
          <w:rFonts w:cs="Arial"/>
          <w:lang w:val="bg-BG"/>
        </w:rPr>
      </w:pPr>
      <w:r w:rsidRPr="009072DA">
        <w:rPr>
          <w:lang w:val="bg-BG"/>
        </w:rPr>
        <w:t>в)</w:t>
      </w:r>
      <w:r w:rsidRPr="009072DA">
        <w:rPr>
          <w:lang w:val="bg-BG"/>
        </w:rPr>
        <w:tab/>
        <w:t>стъпалата са нехлъзгащи се; и</w:t>
      </w:r>
    </w:p>
    <w:p w:rsidR="006161E9" w:rsidRPr="009072DA" w:rsidRDefault="005C7859" w:rsidP="00811428">
      <w:pPr>
        <w:pStyle w:val="ESlet"/>
        <w:rPr>
          <w:rFonts w:cs="Arial"/>
          <w:lang w:val="bg-BG"/>
        </w:rPr>
      </w:pPr>
      <w:r w:rsidRPr="009072DA">
        <w:rPr>
          <w:lang w:val="bg-BG"/>
        </w:rPr>
        <w:t>г)</w:t>
      </w:r>
      <w:r w:rsidRPr="009072DA">
        <w:rPr>
          <w:lang w:val="bg-BG"/>
        </w:rPr>
        <w:tab/>
        <w:t>стълбите с повече от три стъпала са оборудвани с поне един леер или ръкохватка.</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13.</w:t>
      </w:r>
      <w:r w:rsidRPr="009072DA">
        <w:rPr>
          <w:lang w:val="bg-BG"/>
        </w:rPr>
        <w:tab/>
        <w:t xml:space="preserve">Тръбите, по които преминават опасни газове или течности и особено тези под толкова високо налягане, че изтичане може да изложи хората на опасност, не трябва да се разполагат в жилищните помещения или в коридори, водещи към тях. Това не се отнася </w:t>
      </w:r>
      <w:r w:rsidRPr="009072DA">
        <w:rPr>
          <w:lang w:val="bg-BG"/>
        </w:rPr>
        <w:lastRenderedPageBreak/>
        <w:t>за тръбите на уредбите за втечнен газ за битови нужди, тръбите за водна пара и тези на хидравличната система, при условие че те са поставени в метални кожуси.</w:t>
      </w:r>
    </w:p>
    <w:p w:rsidR="006161E9" w:rsidRPr="009072DA" w:rsidRDefault="006161E9" w:rsidP="00811428">
      <w:pPr>
        <w:pStyle w:val="ESch"/>
        <w:rPr>
          <w:rFonts w:cs="Arial"/>
          <w:szCs w:val="20"/>
          <w:lang w:val="bg-BG"/>
        </w:rPr>
      </w:pPr>
    </w:p>
    <w:p w:rsidR="00A60E37" w:rsidRPr="009072DA" w:rsidRDefault="00A60E37" w:rsidP="00811428">
      <w:pPr>
        <w:pStyle w:val="ESch"/>
        <w:rPr>
          <w:rFonts w:cs="Arial"/>
          <w:szCs w:val="20"/>
          <w:lang w:val="bg-BG"/>
        </w:rPr>
      </w:pPr>
    </w:p>
    <w:p w:rsidR="006161E9" w:rsidRPr="009072DA" w:rsidRDefault="006161E9" w:rsidP="00811428">
      <w:pPr>
        <w:pStyle w:val="ES-Titre3"/>
        <w:rPr>
          <w:i/>
          <w:lang w:val="bg-BG"/>
        </w:rPr>
      </w:pPr>
      <w:bookmarkStart w:id="259" w:name="_Toc491854127"/>
      <w:bookmarkStart w:id="260" w:name="_Toc535827568"/>
      <w:r w:rsidRPr="009072DA">
        <w:rPr>
          <w:lang w:val="bg-BG"/>
        </w:rPr>
        <w:t>Член 15.03</w:t>
      </w:r>
      <w:r w:rsidRPr="009072DA">
        <w:rPr>
          <w:lang w:val="bg-BG"/>
        </w:rPr>
        <w:br/>
      </w:r>
      <w:r w:rsidRPr="009072DA">
        <w:rPr>
          <w:i/>
          <w:lang w:val="bg-BG"/>
        </w:rPr>
        <w:t>Санитарни съоръжения</w:t>
      </w:r>
      <w:bookmarkEnd w:id="259"/>
      <w:bookmarkEnd w:id="260"/>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1.</w:t>
      </w:r>
      <w:r w:rsidRPr="009072DA">
        <w:rPr>
          <w:lang w:val="bg-BG"/>
        </w:rPr>
        <w:tab/>
        <w:t>Поне следните санитарни съоръжения трябва да бъдат осигурени на плавателни съдове с жилищни помещения:</w:t>
      </w:r>
    </w:p>
    <w:p w:rsidR="006161E9" w:rsidRPr="009072DA" w:rsidRDefault="005C7859" w:rsidP="00811428">
      <w:pPr>
        <w:pStyle w:val="ESlet"/>
        <w:rPr>
          <w:rFonts w:cs="Arial"/>
          <w:lang w:val="bg-BG"/>
        </w:rPr>
      </w:pPr>
      <w:r w:rsidRPr="009072DA">
        <w:rPr>
          <w:lang w:val="bg-BG"/>
        </w:rPr>
        <w:t>a)</w:t>
      </w:r>
      <w:r w:rsidRPr="009072DA">
        <w:rPr>
          <w:lang w:val="bg-BG"/>
        </w:rPr>
        <w:tab/>
        <w:t>една тоалетна на всяко жилищно помещение или на шест души от екипажа. Тя трябва да може да се проветрява с чист въздух;</w:t>
      </w:r>
    </w:p>
    <w:p w:rsidR="006161E9" w:rsidRPr="009072DA" w:rsidRDefault="005C7859" w:rsidP="00811428">
      <w:pPr>
        <w:pStyle w:val="ESlet"/>
        <w:rPr>
          <w:rFonts w:cs="Arial"/>
          <w:lang w:val="bg-BG"/>
        </w:rPr>
      </w:pPr>
      <w:r w:rsidRPr="009072DA">
        <w:rPr>
          <w:lang w:val="bg-BG"/>
        </w:rPr>
        <w:t>б)</w:t>
      </w:r>
      <w:r w:rsidRPr="009072DA">
        <w:rPr>
          <w:lang w:val="bg-BG"/>
        </w:rPr>
        <w:tab/>
        <w:t>умивалник с отводна тръба, свързан с топла и студена питейна вода на всяка жилищна единица или на четири души от екипажа;</w:t>
      </w:r>
    </w:p>
    <w:p w:rsidR="006161E9" w:rsidRPr="009072DA" w:rsidRDefault="005C7859" w:rsidP="00811428">
      <w:pPr>
        <w:pStyle w:val="ESlet"/>
        <w:rPr>
          <w:rFonts w:cs="Arial"/>
          <w:lang w:val="bg-BG"/>
        </w:rPr>
      </w:pPr>
      <w:r w:rsidRPr="009072DA">
        <w:rPr>
          <w:lang w:val="bg-BG"/>
        </w:rPr>
        <w:t>в)</w:t>
      </w:r>
      <w:r w:rsidRPr="009072DA">
        <w:rPr>
          <w:lang w:val="bg-BG"/>
        </w:rPr>
        <w:tab/>
        <w:t>вана или душ, свързани с топла и студена питейна вода на всяка жилищна единица или на шест души от екипажа.</w:t>
      </w:r>
    </w:p>
    <w:p w:rsidR="00811428" w:rsidRPr="009072DA" w:rsidRDefault="00811428" w:rsidP="00811428">
      <w:pPr>
        <w:pStyle w:val="ESlet"/>
        <w:rPr>
          <w:szCs w:val="20"/>
          <w:lang w:val="bg-BG"/>
        </w:rPr>
      </w:pPr>
    </w:p>
    <w:p w:rsidR="00A60E37" w:rsidRPr="009072DA" w:rsidRDefault="00A60E37" w:rsidP="00811428">
      <w:pPr>
        <w:pStyle w:val="ESlet"/>
        <w:rPr>
          <w:szCs w:val="20"/>
          <w:lang w:val="bg-BG"/>
        </w:rPr>
      </w:pPr>
      <w:r w:rsidRPr="009072DA">
        <w:rPr>
          <w:lang w:val="bg-BG"/>
        </w:rPr>
        <w:br w:type="page"/>
      </w:r>
    </w:p>
    <w:p w:rsidR="006161E9" w:rsidRPr="009072DA" w:rsidRDefault="006161E9" w:rsidP="00811428">
      <w:pPr>
        <w:pStyle w:val="ESch"/>
        <w:rPr>
          <w:rFonts w:cs="Arial"/>
          <w:szCs w:val="20"/>
          <w:lang w:val="bg-BG"/>
        </w:rPr>
      </w:pPr>
      <w:r w:rsidRPr="009072DA">
        <w:rPr>
          <w:lang w:val="bg-BG"/>
        </w:rPr>
        <w:lastRenderedPageBreak/>
        <w:t>2.</w:t>
      </w:r>
      <w:r w:rsidRPr="009072DA">
        <w:rPr>
          <w:lang w:val="bg-BG"/>
        </w:rPr>
        <w:tab/>
        <w:t>Санитарните съоръжения трябва да бъдат в непосредствена близост до жилищните помещения. Тоалетните не трябва да имат пряка връзка с камбузите, каюткомпаниите и комбинираните жилищни помещения за общо ползване/камбузи.</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3.</w:t>
      </w:r>
      <w:r w:rsidRPr="009072DA">
        <w:rPr>
          <w:lang w:val="bg-BG"/>
        </w:rPr>
        <w:tab/>
        <w:t>Тоалетните трябва да са с площ поне 1 m</w:t>
      </w:r>
      <w:r w:rsidRPr="009072DA">
        <w:rPr>
          <w:vertAlign w:val="superscript"/>
          <w:lang w:val="bg-BG"/>
        </w:rPr>
        <w:t>2</w:t>
      </w:r>
      <w:r w:rsidRPr="009072DA">
        <w:rPr>
          <w:lang w:val="bg-BG"/>
        </w:rPr>
        <w:t>, ширина не по-малка от 0,75 m и дължина не по-малка от 1,10 m. Тоалетните в спалните каюти за не повече от двама човека могат да бъдат по-малки. Когато в тоалетната има и умивалник и/или душ, площта се увеличава най-малкото с площта, заемана от умивалника и/или душа (или ваната).</w:t>
      </w:r>
    </w:p>
    <w:p w:rsidR="006161E9" w:rsidRPr="009072DA" w:rsidRDefault="006161E9" w:rsidP="00811428">
      <w:pPr>
        <w:pStyle w:val="ESch"/>
        <w:rPr>
          <w:rFonts w:cs="Arial"/>
          <w:szCs w:val="20"/>
          <w:lang w:val="bg-BG"/>
        </w:rPr>
      </w:pPr>
    </w:p>
    <w:p w:rsidR="00A60E37" w:rsidRPr="009072DA" w:rsidRDefault="00A60E37" w:rsidP="00811428">
      <w:pPr>
        <w:pStyle w:val="ESch"/>
        <w:rPr>
          <w:rFonts w:cs="Arial"/>
          <w:szCs w:val="20"/>
          <w:lang w:val="bg-BG"/>
        </w:rPr>
      </w:pPr>
    </w:p>
    <w:p w:rsidR="006161E9" w:rsidRPr="009072DA" w:rsidRDefault="006161E9" w:rsidP="00811428">
      <w:pPr>
        <w:pStyle w:val="ES-Titre3"/>
        <w:rPr>
          <w:i/>
          <w:lang w:val="bg-BG"/>
        </w:rPr>
      </w:pPr>
      <w:bookmarkStart w:id="261" w:name="_Toc491854128"/>
      <w:bookmarkStart w:id="262" w:name="_Toc535827569"/>
      <w:r w:rsidRPr="009072DA">
        <w:rPr>
          <w:lang w:val="bg-BG"/>
        </w:rPr>
        <w:t>Член 15.04</w:t>
      </w:r>
      <w:r w:rsidRPr="009072DA">
        <w:rPr>
          <w:lang w:val="bg-BG"/>
        </w:rPr>
        <w:br/>
      </w:r>
      <w:r w:rsidRPr="009072DA">
        <w:rPr>
          <w:i/>
          <w:lang w:val="bg-BG"/>
        </w:rPr>
        <w:t>Камбузи</w:t>
      </w:r>
      <w:bookmarkEnd w:id="261"/>
      <w:bookmarkEnd w:id="262"/>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1.</w:t>
      </w:r>
      <w:r w:rsidRPr="009072DA">
        <w:rPr>
          <w:lang w:val="bg-BG"/>
        </w:rPr>
        <w:tab/>
        <w:t>Камбузите могат да бъдат комбинирани с жилищни помещения за общо ползване.</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2.</w:t>
      </w:r>
      <w:r w:rsidRPr="009072DA">
        <w:rPr>
          <w:lang w:val="bg-BG"/>
        </w:rPr>
        <w:tab/>
        <w:t>Камбузите обхващат:</w:t>
      </w:r>
    </w:p>
    <w:p w:rsidR="006161E9" w:rsidRPr="009072DA" w:rsidRDefault="005C7859" w:rsidP="00811428">
      <w:pPr>
        <w:pStyle w:val="ESlet"/>
        <w:rPr>
          <w:rFonts w:cs="Arial"/>
          <w:lang w:val="bg-BG"/>
        </w:rPr>
      </w:pPr>
      <w:r w:rsidRPr="009072DA">
        <w:rPr>
          <w:lang w:val="bg-BG"/>
        </w:rPr>
        <w:t>a)</w:t>
      </w:r>
      <w:r w:rsidRPr="009072DA">
        <w:rPr>
          <w:lang w:val="bg-BG"/>
        </w:rPr>
        <w:tab/>
        <w:t>готварска печка;</w:t>
      </w:r>
    </w:p>
    <w:p w:rsidR="006161E9" w:rsidRPr="009072DA" w:rsidRDefault="005C7859" w:rsidP="00811428">
      <w:pPr>
        <w:pStyle w:val="ESlet"/>
        <w:rPr>
          <w:rFonts w:cs="Arial"/>
          <w:lang w:val="bg-BG"/>
        </w:rPr>
      </w:pPr>
      <w:r w:rsidRPr="009072DA">
        <w:rPr>
          <w:lang w:val="bg-BG"/>
        </w:rPr>
        <w:t>б)</w:t>
      </w:r>
      <w:r w:rsidRPr="009072DA">
        <w:rPr>
          <w:lang w:val="bg-BG"/>
        </w:rPr>
        <w:tab/>
        <w:t>кухненска мивка с канализация;</w:t>
      </w:r>
    </w:p>
    <w:p w:rsidR="006161E9" w:rsidRPr="009072DA" w:rsidRDefault="005C7859" w:rsidP="00811428">
      <w:pPr>
        <w:pStyle w:val="ESlet"/>
        <w:rPr>
          <w:rFonts w:cs="Arial"/>
          <w:lang w:val="bg-BG"/>
        </w:rPr>
      </w:pPr>
      <w:r w:rsidRPr="009072DA">
        <w:rPr>
          <w:lang w:val="bg-BG"/>
        </w:rPr>
        <w:t>в)</w:t>
      </w:r>
      <w:r w:rsidRPr="009072DA">
        <w:rPr>
          <w:lang w:val="bg-BG"/>
        </w:rPr>
        <w:tab/>
        <w:t>инсталация за подаване на питейна вода;</w:t>
      </w:r>
    </w:p>
    <w:p w:rsidR="006161E9" w:rsidRPr="009072DA" w:rsidRDefault="005C7859" w:rsidP="00811428">
      <w:pPr>
        <w:pStyle w:val="ESlet"/>
        <w:rPr>
          <w:rFonts w:cs="Arial"/>
          <w:lang w:val="bg-BG"/>
        </w:rPr>
      </w:pPr>
      <w:r w:rsidRPr="009072DA">
        <w:rPr>
          <w:lang w:val="bg-BG"/>
        </w:rPr>
        <w:t>г)</w:t>
      </w:r>
      <w:r w:rsidRPr="009072DA">
        <w:rPr>
          <w:lang w:val="bg-BG"/>
        </w:rPr>
        <w:tab/>
        <w:t>хладилник;</w:t>
      </w:r>
    </w:p>
    <w:p w:rsidR="006161E9" w:rsidRPr="009072DA" w:rsidRDefault="0029453D" w:rsidP="00811428">
      <w:pPr>
        <w:pStyle w:val="ESlet"/>
        <w:rPr>
          <w:rFonts w:cs="Arial"/>
          <w:lang w:val="bg-BG"/>
        </w:rPr>
      </w:pPr>
      <w:r w:rsidRPr="009072DA">
        <w:rPr>
          <w:lang w:val="bg-BG"/>
        </w:rPr>
        <w:t>д)</w:t>
      </w:r>
      <w:r w:rsidRPr="009072DA">
        <w:rPr>
          <w:lang w:val="bg-BG"/>
        </w:rPr>
        <w:tab/>
        <w:t>достатъчно място за складиране и за работа.</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3.</w:t>
      </w:r>
      <w:r w:rsidRPr="009072DA">
        <w:rPr>
          <w:lang w:val="bg-BG"/>
        </w:rPr>
        <w:tab/>
        <w:t>Каюткомпаниите и комбинираните камбузи/жилищни помещения за общо ползване трябва да са достатъчно обширни, за да поберат съответния брой членове на екипажа, които обикновено ги използват по едно и също време. Местата за сядане трябва да са с ширина не по-малка от 0,60 m.</w:t>
      </w:r>
    </w:p>
    <w:p w:rsidR="006161E9" w:rsidRPr="009072DA" w:rsidRDefault="006161E9" w:rsidP="00811428">
      <w:pPr>
        <w:pStyle w:val="ESch"/>
        <w:rPr>
          <w:rFonts w:cs="Arial"/>
          <w:szCs w:val="20"/>
          <w:lang w:val="bg-BG"/>
        </w:rPr>
      </w:pPr>
    </w:p>
    <w:p w:rsidR="00A60E37" w:rsidRPr="009072DA" w:rsidRDefault="00A60E37" w:rsidP="00811428">
      <w:pPr>
        <w:pStyle w:val="ESch"/>
        <w:rPr>
          <w:rFonts w:cs="Arial"/>
          <w:szCs w:val="20"/>
          <w:lang w:val="bg-BG"/>
        </w:rPr>
      </w:pPr>
    </w:p>
    <w:p w:rsidR="006161E9" w:rsidRPr="009072DA" w:rsidRDefault="006161E9" w:rsidP="00811428">
      <w:pPr>
        <w:pStyle w:val="ES-Titre3"/>
        <w:rPr>
          <w:i/>
          <w:lang w:val="bg-BG"/>
        </w:rPr>
      </w:pPr>
      <w:bookmarkStart w:id="263" w:name="_Toc491854129"/>
      <w:bookmarkStart w:id="264" w:name="_Toc535827570"/>
      <w:r w:rsidRPr="009072DA">
        <w:rPr>
          <w:lang w:val="bg-BG"/>
        </w:rPr>
        <w:t>Член 15.05</w:t>
      </w:r>
      <w:r w:rsidRPr="009072DA">
        <w:rPr>
          <w:lang w:val="bg-BG"/>
        </w:rPr>
        <w:br/>
      </w:r>
      <w:r w:rsidRPr="009072DA">
        <w:rPr>
          <w:i/>
          <w:lang w:val="bg-BG"/>
        </w:rPr>
        <w:t>Инсталации за питейна вода</w:t>
      </w:r>
      <w:bookmarkEnd w:id="263"/>
      <w:bookmarkEnd w:id="264"/>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1.</w:t>
      </w:r>
      <w:r w:rsidRPr="009072DA">
        <w:rPr>
          <w:lang w:val="bg-BG"/>
        </w:rPr>
        <w:tab/>
        <w:t>Плавателните съдове с жилищни помещения трябва да разполагат с инсталация за питейна вода. Отворите за пълнене на резервоарите за питейна вода и маркучите за питейна вода се маркират като предназначени само за питейна вода. Гърловините за пълнене на питейна вода се монтират над палубата.</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lastRenderedPageBreak/>
        <w:t>2.</w:t>
      </w:r>
      <w:r w:rsidRPr="009072DA">
        <w:rPr>
          <w:lang w:val="bg-BG"/>
        </w:rPr>
        <w:tab/>
        <w:t>Инсталациите за питейна вода трябва:</w:t>
      </w:r>
    </w:p>
    <w:p w:rsidR="006161E9" w:rsidRPr="009072DA" w:rsidRDefault="005C7859" w:rsidP="00811428">
      <w:pPr>
        <w:pStyle w:val="ESlet"/>
        <w:rPr>
          <w:rFonts w:cs="Arial"/>
          <w:lang w:val="bg-BG"/>
        </w:rPr>
      </w:pPr>
      <w:r w:rsidRPr="009072DA">
        <w:rPr>
          <w:lang w:val="bg-BG"/>
        </w:rPr>
        <w:t>a)</w:t>
      </w:r>
      <w:r w:rsidRPr="009072DA">
        <w:rPr>
          <w:lang w:val="bg-BG"/>
        </w:rPr>
        <w:tab/>
        <w:t>да са покрити по вътрешните си повърхности с материал, който е устойчив на корозия и не представлява физиологична опасност;</w:t>
      </w:r>
    </w:p>
    <w:p w:rsidR="006161E9" w:rsidRPr="009072DA" w:rsidRDefault="005C7859" w:rsidP="00811428">
      <w:pPr>
        <w:pStyle w:val="ESlet"/>
        <w:rPr>
          <w:rFonts w:cs="Arial"/>
          <w:lang w:val="bg-BG"/>
        </w:rPr>
      </w:pPr>
      <w:r w:rsidRPr="009072DA">
        <w:rPr>
          <w:lang w:val="bg-BG"/>
        </w:rPr>
        <w:t>б)</w:t>
      </w:r>
      <w:r w:rsidRPr="009072DA">
        <w:rPr>
          <w:lang w:val="bg-BG"/>
        </w:rPr>
        <w:tab/>
        <w:t>да нямат участъци на тръбите, където не е гарантиран редовен поток вода; и</w:t>
      </w:r>
    </w:p>
    <w:p w:rsidR="006161E9" w:rsidRPr="009072DA" w:rsidRDefault="005C7859" w:rsidP="00811428">
      <w:pPr>
        <w:pStyle w:val="ESlet"/>
        <w:rPr>
          <w:rFonts w:cs="Arial"/>
          <w:lang w:val="bg-BG"/>
        </w:rPr>
      </w:pPr>
      <w:r w:rsidRPr="009072DA">
        <w:rPr>
          <w:lang w:val="bg-BG"/>
        </w:rPr>
        <w:t>в)</w:t>
      </w:r>
      <w:r w:rsidRPr="009072DA">
        <w:rPr>
          <w:lang w:val="bg-BG"/>
        </w:rPr>
        <w:tab/>
        <w:t>да бъдат защитени срещу прекомерно нагряване.</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3.</w:t>
      </w:r>
      <w:r w:rsidRPr="009072DA">
        <w:rPr>
          <w:lang w:val="bg-BG"/>
        </w:rPr>
        <w:tab/>
        <w:t>В допълнение към точка 2 резервоарите за питейна вода:</w:t>
      </w:r>
    </w:p>
    <w:p w:rsidR="006161E9" w:rsidRPr="009072DA" w:rsidRDefault="005C7859" w:rsidP="00811428">
      <w:pPr>
        <w:pStyle w:val="ESlet"/>
        <w:rPr>
          <w:rFonts w:cs="Arial"/>
          <w:lang w:val="bg-BG"/>
        </w:rPr>
      </w:pPr>
      <w:r w:rsidRPr="009072DA">
        <w:rPr>
          <w:lang w:val="bg-BG"/>
        </w:rPr>
        <w:t>a)</w:t>
      </w:r>
      <w:r w:rsidRPr="009072DA">
        <w:rPr>
          <w:lang w:val="bg-BG"/>
        </w:rPr>
        <w:tab/>
        <w:t>трябва да имат вместимост не по-малко от 150 литра на лице от обичайно живеещите на борда и най-малко за всеки член на екипажа;</w:t>
      </w:r>
    </w:p>
    <w:p w:rsidR="006161E9" w:rsidRPr="009072DA" w:rsidRDefault="005C7859" w:rsidP="00811428">
      <w:pPr>
        <w:pStyle w:val="ESlet"/>
        <w:rPr>
          <w:rFonts w:cs="Arial"/>
          <w:lang w:val="bg-BG"/>
        </w:rPr>
      </w:pPr>
      <w:r w:rsidRPr="009072DA">
        <w:rPr>
          <w:lang w:val="bg-BG"/>
        </w:rPr>
        <w:t>б)</w:t>
      </w:r>
      <w:r w:rsidRPr="009072DA">
        <w:rPr>
          <w:lang w:val="bg-BG"/>
        </w:rPr>
        <w:tab/>
        <w:t>трябва да имат подходящ заключващ се отвор, който да позволява почистване на вътрешността;</w:t>
      </w:r>
    </w:p>
    <w:p w:rsidR="006161E9" w:rsidRPr="009072DA" w:rsidRDefault="005C7859" w:rsidP="00811428">
      <w:pPr>
        <w:pStyle w:val="ESlet"/>
        <w:rPr>
          <w:rFonts w:cs="Arial"/>
          <w:lang w:val="bg-BG"/>
        </w:rPr>
      </w:pPr>
      <w:r w:rsidRPr="009072DA">
        <w:rPr>
          <w:lang w:val="bg-BG"/>
        </w:rPr>
        <w:t>в)</w:t>
      </w:r>
      <w:r w:rsidRPr="009072DA">
        <w:rPr>
          <w:lang w:val="bg-BG"/>
        </w:rPr>
        <w:tab/>
        <w:t>трябва да имат индикатор за нивото на водата;</w:t>
      </w:r>
    </w:p>
    <w:p w:rsidR="006161E9" w:rsidRPr="009072DA" w:rsidRDefault="005C7859" w:rsidP="00811428">
      <w:pPr>
        <w:pStyle w:val="ESlet"/>
        <w:rPr>
          <w:rFonts w:cs="Arial"/>
          <w:lang w:val="bg-BG"/>
        </w:rPr>
      </w:pPr>
      <w:r w:rsidRPr="009072DA">
        <w:rPr>
          <w:lang w:val="bg-BG"/>
        </w:rPr>
        <w:t>г)</w:t>
      </w:r>
      <w:r w:rsidRPr="009072DA">
        <w:rPr>
          <w:lang w:val="bg-BG"/>
        </w:rPr>
        <w:tab/>
        <w:t>трябва да имат вентилационни тръби, които водят на открито или са снабдени с подходящи филтри.</w:t>
      </w:r>
    </w:p>
    <w:p w:rsidR="00811428" w:rsidRPr="009072DA" w:rsidRDefault="00811428" w:rsidP="00811428">
      <w:pPr>
        <w:pStyle w:val="ESch"/>
        <w:rPr>
          <w:szCs w:val="20"/>
          <w:lang w:val="bg-BG"/>
        </w:rPr>
      </w:pPr>
    </w:p>
    <w:p w:rsidR="00A60E37" w:rsidRPr="009072DA" w:rsidRDefault="00A60E37" w:rsidP="00811428">
      <w:pPr>
        <w:pStyle w:val="ESch"/>
        <w:rPr>
          <w:szCs w:val="20"/>
          <w:lang w:val="bg-BG"/>
        </w:rPr>
      </w:pPr>
      <w:r w:rsidRPr="009072DA">
        <w:rPr>
          <w:lang w:val="bg-BG"/>
        </w:rPr>
        <w:br w:type="page"/>
      </w:r>
    </w:p>
    <w:p w:rsidR="006161E9" w:rsidRPr="009072DA" w:rsidRDefault="006161E9" w:rsidP="00811428">
      <w:pPr>
        <w:pStyle w:val="ESch"/>
        <w:rPr>
          <w:rFonts w:cs="Arial"/>
          <w:szCs w:val="20"/>
          <w:lang w:val="bg-BG"/>
        </w:rPr>
      </w:pPr>
      <w:r w:rsidRPr="009072DA">
        <w:rPr>
          <w:lang w:val="bg-BG"/>
        </w:rPr>
        <w:lastRenderedPageBreak/>
        <w:t>4.</w:t>
      </w:r>
      <w:r w:rsidRPr="009072DA">
        <w:rPr>
          <w:lang w:val="bg-BG"/>
        </w:rPr>
        <w:tab/>
        <w:t>Резервоарите за питейна вода не трябва да имат общи стени с резервоари, предназначени за други нужди. Тръбите за питейна вода не трябва да преминават през резервоари, съдържащи други течности. Не се разрешени връзки между системата за снабдяване с питейна вода и други тръби. Тръби, по които преминават газ или течности различни от питейна вода, не трябва да преминават през резервоари за питейна вода.</w:t>
      </w:r>
    </w:p>
    <w:p w:rsidR="00811428" w:rsidRPr="009072DA" w:rsidRDefault="00811428" w:rsidP="00811428">
      <w:pPr>
        <w:pStyle w:val="ESch"/>
        <w:rPr>
          <w:szCs w:val="20"/>
          <w:lang w:val="bg-BG"/>
        </w:rPr>
      </w:pPr>
    </w:p>
    <w:p w:rsidR="006161E9" w:rsidRPr="009072DA" w:rsidRDefault="006161E9" w:rsidP="00811428">
      <w:pPr>
        <w:pStyle w:val="ESch"/>
        <w:rPr>
          <w:szCs w:val="20"/>
          <w:lang w:val="bg-BG"/>
        </w:rPr>
      </w:pPr>
      <w:r w:rsidRPr="009072DA">
        <w:rPr>
          <w:lang w:val="bg-BG"/>
        </w:rPr>
        <w:t>5.</w:t>
      </w:r>
      <w:r w:rsidRPr="009072DA">
        <w:rPr>
          <w:lang w:val="bg-BG"/>
        </w:rPr>
        <w:tab/>
        <w:t>Съдовете за съхраняване на питейна вода под налягане работят само с незамърсен сгъстен въздух.  Ако сгъстеният въздух е получен чрез компресори, непосредствено пред съда под налягане се поставят въздушни филтри и маслоотделители, освен ако водата и въздухът не са отделени посредством мембрана.</w:t>
      </w:r>
    </w:p>
    <w:p w:rsidR="00811428" w:rsidRPr="009072DA" w:rsidRDefault="00811428" w:rsidP="00811428">
      <w:pPr>
        <w:pStyle w:val="ESch"/>
        <w:rPr>
          <w:szCs w:val="20"/>
          <w:lang w:val="bg-BG"/>
        </w:rPr>
      </w:pPr>
    </w:p>
    <w:p w:rsidR="00811428" w:rsidRPr="009072DA" w:rsidRDefault="00811428" w:rsidP="00811428">
      <w:pPr>
        <w:pStyle w:val="ESch"/>
        <w:rPr>
          <w:rFonts w:cs="Arial"/>
          <w:szCs w:val="20"/>
          <w:lang w:val="bg-BG"/>
        </w:rPr>
      </w:pPr>
    </w:p>
    <w:p w:rsidR="006161E9" w:rsidRPr="009072DA" w:rsidRDefault="006161E9" w:rsidP="00811428">
      <w:pPr>
        <w:pStyle w:val="ES-Titre3"/>
        <w:rPr>
          <w:i/>
          <w:lang w:val="bg-BG"/>
        </w:rPr>
      </w:pPr>
      <w:bookmarkStart w:id="265" w:name="_Toc491854130"/>
      <w:bookmarkStart w:id="266" w:name="_Toc535827571"/>
      <w:r w:rsidRPr="009072DA">
        <w:rPr>
          <w:lang w:val="bg-BG"/>
        </w:rPr>
        <w:t>Член 15.06</w:t>
      </w:r>
      <w:r w:rsidRPr="009072DA">
        <w:rPr>
          <w:lang w:val="bg-BG"/>
        </w:rPr>
        <w:br/>
      </w:r>
      <w:r w:rsidRPr="009072DA">
        <w:rPr>
          <w:i/>
          <w:lang w:val="bg-BG"/>
        </w:rPr>
        <w:t>Отопление и вентилация</w:t>
      </w:r>
      <w:bookmarkEnd w:id="265"/>
      <w:bookmarkEnd w:id="266"/>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1.</w:t>
      </w:r>
      <w:r w:rsidRPr="009072DA">
        <w:rPr>
          <w:lang w:val="bg-BG"/>
        </w:rPr>
        <w:tab/>
        <w:t>Трябва да е възможно жилищните помещения да бъдат отоплявани съобразно предназначението им. Отоплителните инсталации трябва да са съобразени с метеорологичните условия, които могат да възникнат.</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2.</w:t>
      </w:r>
      <w:r w:rsidRPr="009072DA">
        <w:rPr>
          <w:lang w:val="bg-BG"/>
        </w:rPr>
        <w:tab/>
        <w:t>Трябва да е възможно жилищните помещения за общо ползване и спалните каюти да бъдат проветрявани в достатъчна степен, дори когато вратите са затворени. Вентилацията трябва да осигурява достатъчна циркулация на въздуха при всякакви климатични условия.</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3.</w:t>
      </w:r>
      <w:r w:rsidRPr="009072DA">
        <w:rPr>
          <w:lang w:val="bg-BG"/>
        </w:rPr>
        <w:tab/>
        <w:t>Помещенията трябва да бъдат проектирани и разположени така, че да не допускат, доколкото е възможно, проникване на замърсен въздух от други части на плавателния съд, като машинните отделения или трюмовете; когато се използва принудителна вентилация, входните отвори се поставят така, че да бъдат спазени горните изисквания.</w:t>
      </w:r>
    </w:p>
    <w:p w:rsidR="006161E9" w:rsidRPr="009072DA" w:rsidRDefault="006161E9" w:rsidP="00811428">
      <w:pPr>
        <w:pStyle w:val="ESch"/>
        <w:rPr>
          <w:rFonts w:cs="Arial"/>
          <w:i/>
          <w:szCs w:val="20"/>
          <w:lang w:val="bg-BG"/>
        </w:rPr>
      </w:pPr>
    </w:p>
    <w:p w:rsidR="00811428" w:rsidRPr="009072DA" w:rsidRDefault="00811428" w:rsidP="00811428">
      <w:pPr>
        <w:pStyle w:val="ESch"/>
        <w:rPr>
          <w:rFonts w:cs="Arial"/>
          <w:i/>
          <w:szCs w:val="20"/>
          <w:lang w:val="bg-BG"/>
        </w:rPr>
      </w:pPr>
    </w:p>
    <w:p w:rsidR="006161E9" w:rsidRPr="009072DA" w:rsidRDefault="006161E9" w:rsidP="00811428">
      <w:pPr>
        <w:pStyle w:val="ES-Titre3"/>
        <w:rPr>
          <w:i/>
          <w:lang w:val="bg-BG"/>
        </w:rPr>
      </w:pPr>
      <w:bookmarkStart w:id="267" w:name="_Toc491854131"/>
      <w:bookmarkStart w:id="268" w:name="_Toc535827572"/>
      <w:r w:rsidRPr="009072DA">
        <w:rPr>
          <w:lang w:val="bg-BG"/>
        </w:rPr>
        <w:t>Член 15.07</w:t>
      </w:r>
      <w:r w:rsidRPr="009072DA">
        <w:rPr>
          <w:lang w:val="bg-BG"/>
        </w:rPr>
        <w:br/>
      </w:r>
      <w:r w:rsidRPr="009072DA">
        <w:rPr>
          <w:i/>
          <w:lang w:val="bg-BG"/>
        </w:rPr>
        <w:t>Други съоръжения в жилищните помещения</w:t>
      </w:r>
      <w:bookmarkEnd w:id="267"/>
      <w:bookmarkEnd w:id="268"/>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1.</w:t>
      </w:r>
      <w:r w:rsidRPr="009072DA">
        <w:rPr>
          <w:lang w:val="bg-BG"/>
        </w:rPr>
        <w:tab/>
        <w:t>Всеки член на екипажа, живеещ на борда, трябва да разполага с индивидуална койка и отделен шкаф за дрехи, снабден с ключалка. Вътрешните размери на койката трябва да бъдат не по-малко от 2,00 m дължина и 0,90 m ширина.</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2.</w:t>
      </w:r>
      <w:r w:rsidRPr="009072DA">
        <w:rPr>
          <w:lang w:val="bg-BG"/>
        </w:rPr>
        <w:tab/>
        <w:t>Трябва да бъдат осигурени подходящи места за съхраняване и сушене на работни дрехи, но не в спалните помещения.</w:t>
      </w:r>
    </w:p>
    <w:p w:rsidR="00811428" w:rsidRPr="009072DA" w:rsidRDefault="00811428" w:rsidP="00811428">
      <w:pPr>
        <w:pStyle w:val="ESch"/>
        <w:rPr>
          <w:szCs w:val="20"/>
          <w:lang w:val="bg-BG"/>
        </w:rPr>
      </w:pPr>
    </w:p>
    <w:p w:rsidR="006161E9" w:rsidRPr="009072DA" w:rsidRDefault="006161E9" w:rsidP="00811428">
      <w:pPr>
        <w:pStyle w:val="ESch"/>
        <w:rPr>
          <w:rFonts w:cs="Arial"/>
          <w:szCs w:val="20"/>
          <w:lang w:val="bg-BG"/>
        </w:rPr>
      </w:pPr>
      <w:r w:rsidRPr="009072DA">
        <w:rPr>
          <w:lang w:val="bg-BG"/>
        </w:rPr>
        <w:t>3.</w:t>
      </w:r>
      <w:r w:rsidRPr="009072DA">
        <w:rPr>
          <w:lang w:val="bg-BG"/>
        </w:rPr>
        <w:tab/>
        <w:t>Всички жилищни помещения трябва да са оборудвани с електрическо осветление. Допълнителни лампи на газ или друго течно гориво могат да се използват само в жилищните помещения за общо ползване. Осветителните устройства на течно гориво трябва да са от метал и да използват само горива с температура на възпламеняване над 55 °С или течен парафин. Те се поставят или прикрепват по такъв начин, че да не създават опасност от пожар.</w:t>
      </w:r>
    </w:p>
    <w:p w:rsidR="00AE4E9D" w:rsidRPr="009072DA" w:rsidRDefault="00AE4E9D" w:rsidP="00811428">
      <w:pPr>
        <w:pStyle w:val="ESch"/>
        <w:rPr>
          <w:szCs w:val="20"/>
          <w:lang w:val="bg-BG"/>
        </w:rPr>
      </w:pPr>
    </w:p>
    <w:p w:rsidR="00260F40" w:rsidRPr="009072DA" w:rsidRDefault="00260F40" w:rsidP="00811428">
      <w:pPr>
        <w:pStyle w:val="ESch"/>
        <w:rPr>
          <w:szCs w:val="20"/>
          <w:lang w:val="bg-BG"/>
        </w:rPr>
      </w:pPr>
    </w:p>
    <w:p w:rsidR="00260F40" w:rsidRPr="009072DA" w:rsidRDefault="00260F40" w:rsidP="00260F40">
      <w:pPr>
        <w:pStyle w:val="ES-Titre2"/>
        <w:rPr>
          <w:szCs w:val="24"/>
        </w:rPr>
      </w:pPr>
      <w:bookmarkStart w:id="269" w:name="_Toc491854132"/>
      <w:bookmarkStart w:id="270" w:name="_Toc535827573"/>
      <w:r w:rsidRPr="009072DA">
        <w:lastRenderedPageBreak/>
        <w:t>Глава 16</w:t>
      </w:r>
      <w:r w:rsidRPr="009072DA">
        <w:br/>
        <w:t>Оборудване за отопление, приготвяне на храна и охлаждане, работещо с гориво</w:t>
      </w:r>
      <w:bookmarkEnd w:id="269"/>
      <w:bookmarkEnd w:id="270"/>
    </w:p>
    <w:p w:rsidR="00260F40" w:rsidRPr="009072DA" w:rsidRDefault="00260F40" w:rsidP="00260F40">
      <w:pPr>
        <w:rPr>
          <w:lang w:val="bg-BG"/>
        </w:rPr>
      </w:pPr>
    </w:p>
    <w:p w:rsidR="00260F40" w:rsidRPr="009072DA" w:rsidRDefault="00260F40" w:rsidP="00260F40">
      <w:pPr>
        <w:pStyle w:val="ES-Titre3"/>
        <w:rPr>
          <w:lang w:val="bg-BG"/>
        </w:rPr>
      </w:pPr>
      <w:bookmarkStart w:id="271" w:name="_Toc491854133"/>
      <w:bookmarkStart w:id="272" w:name="_Toc535827574"/>
      <w:r w:rsidRPr="009072DA">
        <w:rPr>
          <w:lang w:val="bg-BG"/>
        </w:rPr>
        <w:t>Член 16.01</w:t>
      </w:r>
      <w:r w:rsidRPr="009072DA">
        <w:rPr>
          <w:lang w:val="bg-BG"/>
        </w:rPr>
        <w:br/>
      </w:r>
      <w:r w:rsidRPr="009072DA">
        <w:rPr>
          <w:i/>
          <w:lang w:val="bg-BG"/>
        </w:rPr>
        <w:t>Общи положения</w:t>
      </w:r>
      <w:bookmarkEnd w:id="271"/>
      <w:bookmarkEnd w:id="272"/>
    </w:p>
    <w:p w:rsidR="00260F40" w:rsidRPr="009072DA" w:rsidRDefault="00260F40" w:rsidP="00811428">
      <w:pPr>
        <w:pStyle w:val="ESch"/>
        <w:rPr>
          <w:szCs w:val="20"/>
          <w:lang w:val="bg-BG"/>
        </w:rPr>
      </w:pPr>
    </w:p>
    <w:p w:rsidR="00260F40" w:rsidRPr="009072DA" w:rsidRDefault="00260F40" w:rsidP="00260F40">
      <w:pPr>
        <w:pStyle w:val="ESch"/>
        <w:rPr>
          <w:rFonts w:cs="Arial"/>
          <w:lang w:val="bg-BG"/>
        </w:rPr>
      </w:pPr>
      <w:r w:rsidRPr="009072DA">
        <w:rPr>
          <w:lang w:val="bg-BG"/>
        </w:rPr>
        <w:t>1.</w:t>
      </w:r>
      <w:r w:rsidRPr="009072DA">
        <w:rPr>
          <w:lang w:val="bg-BG"/>
        </w:rPr>
        <w:tab/>
        <w:t>Оборудването за отопление, приготвяне на храна и охлаждане, работещо с втечнен газ, трябва да отговаря на изискванията на глава 17.</w:t>
      </w:r>
    </w:p>
    <w:p w:rsidR="00260F40" w:rsidRPr="009072DA" w:rsidRDefault="00260F40" w:rsidP="00260F40">
      <w:pPr>
        <w:pStyle w:val="ESch"/>
        <w:rPr>
          <w:lang w:val="bg-BG"/>
        </w:rPr>
      </w:pPr>
    </w:p>
    <w:p w:rsidR="00260F40" w:rsidRPr="009072DA" w:rsidRDefault="00260F40" w:rsidP="00260F40">
      <w:pPr>
        <w:pStyle w:val="ESch"/>
        <w:rPr>
          <w:rFonts w:cs="Arial"/>
          <w:lang w:val="bg-BG"/>
        </w:rPr>
      </w:pPr>
      <w:r w:rsidRPr="009072DA">
        <w:rPr>
          <w:lang w:val="bg-BG"/>
        </w:rPr>
        <w:t>2.</w:t>
      </w:r>
      <w:r w:rsidRPr="009072DA">
        <w:rPr>
          <w:lang w:val="bg-BG"/>
        </w:rPr>
        <w:tab/>
        <w:t>Оборудването за отопление, приготвяне на храна и охлаждане, заедно с неговите съпътстващи принадлежности, трябва да бъде проектирано и монтирано така, че да не е опасно дори в случай на прегряване. То се монтира така, че да не може да се преобърне или да бъде разместено случайно.</w:t>
      </w:r>
    </w:p>
    <w:p w:rsidR="00260F40" w:rsidRPr="009072DA" w:rsidRDefault="00260F40" w:rsidP="00260F40">
      <w:pPr>
        <w:pStyle w:val="ESch"/>
        <w:rPr>
          <w:lang w:val="bg-BG"/>
        </w:rPr>
      </w:pPr>
    </w:p>
    <w:p w:rsidR="00260F40" w:rsidRPr="009072DA" w:rsidRDefault="00260F40" w:rsidP="00260F40">
      <w:pPr>
        <w:pStyle w:val="ESch"/>
        <w:rPr>
          <w:rFonts w:cs="Arial"/>
          <w:lang w:val="bg-BG"/>
        </w:rPr>
      </w:pPr>
      <w:r w:rsidRPr="009072DA">
        <w:rPr>
          <w:lang w:val="bg-BG"/>
        </w:rPr>
        <w:t>3.</w:t>
      </w:r>
      <w:r w:rsidRPr="009072DA">
        <w:rPr>
          <w:lang w:val="bg-BG"/>
        </w:rPr>
        <w:tab/>
        <w:t>Оборудването, посочено в точка 2, не се монтира на места, в които се използват или съхраняват вещества с температура на възпламеняване под 55 °С. Димоотводните тръби на тези инсталации не преминават през такива места.</w:t>
      </w:r>
    </w:p>
    <w:p w:rsidR="00260F40" w:rsidRPr="009072DA" w:rsidRDefault="00260F40" w:rsidP="00260F40">
      <w:pPr>
        <w:pStyle w:val="ESch"/>
        <w:rPr>
          <w:lang w:val="bg-BG"/>
        </w:rPr>
      </w:pPr>
    </w:p>
    <w:p w:rsidR="00260F40" w:rsidRPr="009072DA" w:rsidRDefault="00260F40" w:rsidP="00260F40">
      <w:pPr>
        <w:pStyle w:val="ESch"/>
        <w:rPr>
          <w:rFonts w:cs="Arial"/>
          <w:lang w:val="bg-BG"/>
        </w:rPr>
      </w:pPr>
      <w:r w:rsidRPr="009072DA">
        <w:rPr>
          <w:lang w:val="bg-BG"/>
        </w:rPr>
        <w:t>4.</w:t>
      </w:r>
      <w:r w:rsidRPr="009072DA">
        <w:rPr>
          <w:lang w:val="bg-BG"/>
        </w:rPr>
        <w:tab/>
        <w:t>Трябва да е осигурено подаването на въздуха, необходим за горенето.</w:t>
      </w:r>
    </w:p>
    <w:p w:rsidR="00260F40" w:rsidRPr="009072DA" w:rsidRDefault="00260F40" w:rsidP="00260F40">
      <w:pPr>
        <w:pStyle w:val="ESch"/>
        <w:rPr>
          <w:lang w:val="bg-BG"/>
        </w:rPr>
      </w:pPr>
    </w:p>
    <w:p w:rsidR="00260F40" w:rsidRPr="009072DA" w:rsidRDefault="00260F40" w:rsidP="00260F40">
      <w:pPr>
        <w:pStyle w:val="ESch"/>
        <w:rPr>
          <w:rFonts w:cs="Arial"/>
          <w:lang w:val="bg-BG"/>
        </w:rPr>
      </w:pPr>
      <w:r w:rsidRPr="009072DA">
        <w:rPr>
          <w:lang w:val="bg-BG"/>
        </w:rPr>
        <w:t>5.</w:t>
      </w:r>
      <w:r w:rsidRPr="009072DA">
        <w:rPr>
          <w:lang w:val="bg-BG"/>
        </w:rPr>
        <w:tab/>
        <w:t>Отоплителните прибори трябва да са здраво свързани с димоотводните тръби, които се оборудват с подходящи заслони или устройства, осигуряващи защита против вятъра. Те се разполагат така, че да е възможно почистването.</w:t>
      </w:r>
    </w:p>
    <w:p w:rsidR="00260F40" w:rsidRPr="009072DA" w:rsidRDefault="00260F40" w:rsidP="00260F40">
      <w:pPr>
        <w:pStyle w:val="ESch"/>
        <w:rPr>
          <w:rFonts w:cs="Arial"/>
          <w:lang w:val="bg-BG"/>
        </w:rPr>
      </w:pPr>
    </w:p>
    <w:p w:rsidR="00260F40" w:rsidRPr="009072DA" w:rsidRDefault="00260F40" w:rsidP="00260F40">
      <w:pPr>
        <w:pStyle w:val="ESch"/>
        <w:rPr>
          <w:rFonts w:cs="Arial"/>
          <w:lang w:val="bg-BG"/>
        </w:rPr>
      </w:pPr>
    </w:p>
    <w:p w:rsidR="00260F40" w:rsidRPr="009072DA" w:rsidRDefault="00260F40" w:rsidP="00260F40">
      <w:pPr>
        <w:pStyle w:val="ES-Titre3"/>
        <w:rPr>
          <w:rFonts w:cs="Arial"/>
          <w:i/>
          <w:lang w:val="bg-BG"/>
        </w:rPr>
      </w:pPr>
      <w:bookmarkStart w:id="273" w:name="_Toc491854134"/>
      <w:bookmarkStart w:id="274" w:name="_Toc535827575"/>
      <w:r w:rsidRPr="009072DA">
        <w:rPr>
          <w:lang w:val="bg-BG"/>
        </w:rPr>
        <w:t>Член 16.02</w:t>
      </w:r>
      <w:r w:rsidRPr="009072DA">
        <w:rPr>
          <w:lang w:val="bg-BG"/>
        </w:rPr>
        <w:br/>
      </w:r>
      <w:r w:rsidRPr="009072DA">
        <w:rPr>
          <w:i/>
          <w:lang w:val="bg-BG"/>
        </w:rPr>
        <w:t>Използване на течни горива и оборудване, работещо с мазут</w:t>
      </w:r>
      <w:bookmarkEnd w:id="273"/>
      <w:bookmarkEnd w:id="274"/>
    </w:p>
    <w:p w:rsidR="00260F40" w:rsidRPr="009072DA" w:rsidRDefault="00260F40" w:rsidP="00260F40">
      <w:pPr>
        <w:pStyle w:val="ESch"/>
        <w:rPr>
          <w:lang w:val="bg-BG"/>
        </w:rPr>
      </w:pPr>
    </w:p>
    <w:p w:rsidR="00260F40" w:rsidRPr="009072DA" w:rsidRDefault="00260F40" w:rsidP="00260F40">
      <w:pPr>
        <w:pStyle w:val="ESch"/>
        <w:rPr>
          <w:rFonts w:cs="Arial"/>
          <w:lang w:val="bg-BG"/>
        </w:rPr>
      </w:pPr>
      <w:r w:rsidRPr="009072DA">
        <w:rPr>
          <w:lang w:val="bg-BG"/>
        </w:rPr>
        <w:t>1.</w:t>
      </w:r>
      <w:r w:rsidRPr="009072DA">
        <w:rPr>
          <w:lang w:val="bg-BG"/>
        </w:rPr>
        <w:tab/>
        <w:t>Оборудването за отопление, приготвяне на храна и охлаждане, работещо с течно гориво, трябва да може да се използва само горива с температура на възпламеняване над 55 °C.</w:t>
      </w:r>
    </w:p>
    <w:p w:rsidR="00260F40" w:rsidRPr="009072DA" w:rsidRDefault="00260F40" w:rsidP="00260F40">
      <w:pPr>
        <w:pStyle w:val="ESch"/>
        <w:rPr>
          <w:lang w:val="bg-BG"/>
        </w:rPr>
      </w:pPr>
    </w:p>
    <w:p w:rsidR="00260F40" w:rsidRPr="009072DA" w:rsidRDefault="00260F40" w:rsidP="00260F40">
      <w:pPr>
        <w:pStyle w:val="ESch"/>
        <w:rPr>
          <w:rFonts w:cs="Arial"/>
          <w:lang w:val="bg-BG"/>
        </w:rPr>
      </w:pPr>
      <w:r w:rsidRPr="009072DA">
        <w:rPr>
          <w:lang w:val="bg-BG"/>
        </w:rPr>
        <w:t>2.</w:t>
      </w:r>
      <w:r w:rsidRPr="009072DA">
        <w:rPr>
          <w:lang w:val="bg-BG"/>
        </w:rPr>
        <w:tab/>
        <w:t>Чрез дерогация от точка 1 уреди за готвене и устройства за отопление и охлаждане, снабдени с фитилени горелки и работещи с течен парафин, могат да се използват в жилищните помещения и рулевата рубка, при условие че вместимостта на резервоара за гориво не превишава 12 литра.</w:t>
      </w:r>
    </w:p>
    <w:p w:rsidR="00260F40" w:rsidRPr="009072DA" w:rsidRDefault="00260F40" w:rsidP="00260F40">
      <w:pPr>
        <w:pStyle w:val="ESch"/>
        <w:rPr>
          <w:lang w:val="bg-BG"/>
        </w:rPr>
      </w:pPr>
    </w:p>
    <w:p w:rsidR="00260F40" w:rsidRPr="009072DA" w:rsidRDefault="00260F40" w:rsidP="00260F40">
      <w:pPr>
        <w:pStyle w:val="ESch"/>
        <w:rPr>
          <w:rFonts w:cs="Arial"/>
          <w:lang w:val="bg-BG"/>
        </w:rPr>
      </w:pPr>
      <w:r w:rsidRPr="009072DA">
        <w:rPr>
          <w:lang w:val="bg-BG"/>
        </w:rPr>
        <w:lastRenderedPageBreak/>
        <w:t>3.</w:t>
      </w:r>
      <w:r w:rsidRPr="009072DA">
        <w:rPr>
          <w:lang w:val="bg-BG"/>
        </w:rPr>
        <w:tab/>
        <w:t>Уредите, снабдени с фитилени горелки:</w:t>
      </w:r>
    </w:p>
    <w:p w:rsidR="00260F40" w:rsidRPr="009072DA" w:rsidRDefault="005C7859" w:rsidP="00260F40">
      <w:pPr>
        <w:pStyle w:val="ESlet"/>
        <w:rPr>
          <w:rFonts w:cs="Arial"/>
          <w:lang w:val="bg-BG"/>
        </w:rPr>
      </w:pPr>
      <w:r w:rsidRPr="009072DA">
        <w:rPr>
          <w:lang w:val="bg-BG"/>
        </w:rPr>
        <w:t>a)</w:t>
      </w:r>
      <w:r w:rsidRPr="009072DA">
        <w:rPr>
          <w:lang w:val="bg-BG"/>
        </w:rPr>
        <w:tab/>
        <w:t>се оборудват с метален резервоар за гориво, чийто отвор за пълнене се заключва и няма спойки от мек метал под равнището на максимално напълване, и се проектират и монтират така, че резервоарът за гориво да не може да бъде отворен или изпразнен случайно;</w:t>
      </w:r>
    </w:p>
    <w:p w:rsidR="00260F40" w:rsidRPr="009072DA" w:rsidRDefault="005C7859" w:rsidP="00260F40">
      <w:pPr>
        <w:pStyle w:val="ESlet"/>
        <w:rPr>
          <w:rFonts w:cs="Arial"/>
          <w:lang w:val="bg-BG"/>
        </w:rPr>
      </w:pPr>
      <w:r w:rsidRPr="009072DA">
        <w:rPr>
          <w:lang w:val="bg-BG"/>
        </w:rPr>
        <w:t>б)</w:t>
      </w:r>
      <w:r w:rsidRPr="009072DA">
        <w:rPr>
          <w:lang w:val="bg-BG"/>
        </w:rPr>
        <w:tab/>
        <w:t>могат да се запалват без помощта на друга запалителна течност; и</w:t>
      </w:r>
    </w:p>
    <w:p w:rsidR="00260F40" w:rsidRPr="009072DA" w:rsidRDefault="005C7859" w:rsidP="00260F40">
      <w:pPr>
        <w:pStyle w:val="ESlet"/>
        <w:rPr>
          <w:rFonts w:cs="Arial"/>
          <w:lang w:val="bg-BG"/>
        </w:rPr>
      </w:pPr>
      <w:r w:rsidRPr="009072DA">
        <w:rPr>
          <w:lang w:val="bg-BG"/>
        </w:rPr>
        <w:t>в)</w:t>
      </w:r>
      <w:r w:rsidRPr="009072DA">
        <w:rPr>
          <w:lang w:val="bg-BG"/>
        </w:rPr>
        <w:tab/>
        <w:t>се монтират така, че да се осигури безопасното отвеждане на отработените газове.</w:t>
      </w:r>
    </w:p>
    <w:p w:rsidR="00260F40" w:rsidRPr="009072DA" w:rsidRDefault="00260F40" w:rsidP="00260F40">
      <w:pPr>
        <w:pStyle w:val="ESch"/>
        <w:rPr>
          <w:rFonts w:cs="Arial"/>
          <w:lang w:val="bg-BG"/>
        </w:rPr>
      </w:pPr>
    </w:p>
    <w:p w:rsidR="00260F40" w:rsidRPr="009072DA" w:rsidRDefault="00260F40" w:rsidP="00260F40">
      <w:pPr>
        <w:pStyle w:val="ESch"/>
        <w:rPr>
          <w:rFonts w:cs="Arial"/>
          <w:lang w:val="bg-BG"/>
        </w:rPr>
      </w:pPr>
    </w:p>
    <w:p w:rsidR="00260F40" w:rsidRPr="009072DA" w:rsidRDefault="00260F40" w:rsidP="00260F40">
      <w:pPr>
        <w:pStyle w:val="ES-Titre3"/>
        <w:rPr>
          <w:rFonts w:cs="Arial"/>
          <w:i/>
          <w:lang w:val="bg-BG"/>
        </w:rPr>
      </w:pPr>
      <w:bookmarkStart w:id="275" w:name="_Toc491854135"/>
      <w:bookmarkStart w:id="276" w:name="_Toc535827576"/>
      <w:r w:rsidRPr="009072DA">
        <w:rPr>
          <w:lang w:val="bg-BG"/>
        </w:rPr>
        <w:t>Член 16.03</w:t>
      </w:r>
      <w:r w:rsidRPr="009072DA">
        <w:rPr>
          <w:lang w:val="bg-BG"/>
        </w:rPr>
        <w:br/>
      </w:r>
      <w:r w:rsidRPr="009072DA">
        <w:rPr>
          <w:i/>
          <w:lang w:val="bg-BG"/>
        </w:rPr>
        <w:t>Печки с изпарителни мазутни горелки и отоплителни устройства с разпрашаващи нафтови горелки</w:t>
      </w:r>
      <w:bookmarkEnd w:id="275"/>
      <w:bookmarkEnd w:id="276"/>
    </w:p>
    <w:p w:rsidR="00260F40" w:rsidRPr="009072DA" w:rsidRDefault="00260F40" w:rsidP="00260F40">
      <w:pPr>
        <w:pStyle w:val="ESch"/>
        <w:rPr>
          <w:lang w:val="bg-BG"/>
        </w:rPr>
      </w:pPr>
    </w:p>
    <w:p w:rsidR="00260F40" w:rsidRPr="009072DA" w:rsidRDefault="00260F40" w:rsidP="00260F40">
      <w:pPr>
        <w:pStyle w:val="ESch"/>
        <w:rPr>
          <w:rFonts w:cs="Arial"/>
          <w:lang w:val="bg-BG"/>
        </w:rPr>
      </w:pPr>
      <w:r w:rsidRPr="009072DA">
        <w:rPr>
          <w:lang w:val="bg-BG"/>
        </w:rPr>
        <w:t>1.</w:t>
      </w:r>
      <w:r w:rsidRPr="009072DA">
        <w:rPr>
          <w:lang w:val="bg-BG"/>
        </w:rPr>
        <w:tab/>
        <w:t>Печките с изпарителни мазутни горелки и отоплителните устройства с разпрашаващи нафтови горелки се изработват в съответствие с най-добрите практики.</w:t>
      </w:r>
    </w:p>
    <w:p w:rsidR="00260F40" w:rsidRPr="009072DA" w:rsidRDefault="00260F40" w:rsidP="00260F40">
      <w:pPr>
        <w:pStyle w:val="ESch"/>
        <w:rPr>
          <w:lang w:val="bg-BG"/>
        </w:rPr>
      </w:pPr>
    </w:p>
    <w:p w:rsidR="00260F40" w:rsidRPr="009072DA" w:rsidRDefault="00260F40" w:rsidP="00260F40">
      <w:pPr>
        <w:pStyle w:val="ESch"/>
        <w:rPr>
          <w:lang w:val="bg-BG"/>
        </w:rPr>
      </w:pPr>
      <w:r w:rsidRPr="009072DA">
        <w:rPr>
          <w:lang w:val="bg-BG"/>
        </w:rPr>
        <w:br w:type="page"/>
      </w:r>
    </w:p>
    <w:p w:rsidR="00260F40" w:rsidRPr="009072DA" w:rsidRDefault="00260F40" w:rsidP="00260F40">
      <w:pPr>
        <w:pStyle w:val="ESch"/>
        <w:rPr>
          <w:rFonts w:cs="Arial"/>
          <w:lang w:val="bg-BG"/>
        </w:rPr>
      </w:pPr>
      <w:r w:rsidRPr="009072DA">
        <w:rPr>
          <w:lang w:val="bg-BG"/>
        </w:rPr>
        <w:lastRenderedPageBreak/>
        <w:t>2.</w:t>
      </w:r>
      <w:r w:rsidRPr="009072DA">
        <w:rPr>
          <w:lang w:val="bg-BG"/>
        </w:rPr>
        <w:tab/>
        <w:t>Когато печка с изпарителни мазутни горелки и отоплително устройство с разпрашаващи нафтови горелки се инсталира в машинното отделение, подаването на въздух за отоплителното устройство и двигателите се конструира така, че отоплителното устройство и двигателите да могат да работят правилно и безопасно независимо едно от друго. При необходимост се осигурява отделно подаване на въздух. Оборудването се монтира по такъв начин, че никакъв пламък от горелката да не може да достигне до други части на инсталациите на машинното отделение.</w:t>
      </w:r>
    </w:p>
    <w:p w:rsidR="00260F40" w:rsidRPr="009072DA" w:rsidRDefault="00260F40" w:rsidP="00260F40">
      <w:pPr>
        <w:pStyle w:val="ESch"/>
        <w:rPr>
          <w:rFonts w:cs="Arial"/>
          <w:lang w:val="bg-BG"/>
        </w:rPr>
      </w:pPr>
    </w:p>
    <w:p w:rsidR="00260F40" w:rsidRPr="009072DA" w:rsidRDefault="00260F40" w:rsidP="00260F40">
      <w:pPr>
        <w:pStyle w:val="ESch"/>
        <w:rPr>
          <w:rFonts w:cs="Arial"/>
          <w:lang w:val="bg-BG"/>
        </w:rPr>
      </w:pPr>
    </w:p>
    <w:p w:rsidR="00260F40" w:rsidRPr="009072DA" w:rsidRDefault="00260F40" w:rsidP="00260F40">
      <w:pPr>
        <w:pStyle w:val="ES-Titre3"/>
        <w:rPr>
          <w:rFonts w:cs="Arial"/>
          <w:i/>
          <w:lang w:val="bg-BG"/>
        </w:rPr>
      </w:pPr>
      <w:bookmarkStart w:id="277" w:name="_Toc491854136"/>
      <w:bookmarkStart w:id="278" w:name="_Toc535827577"/>
      <w:r w:rsidRPr="009072DA">
        <w:rPr>
          <w:lang w:val="bg-BG"/>
        </w:rPr>
        <w:t>Член 16.04</w:t>
      </w:r>
      <w:r w:rsidRPr="009072DA">
        <w:rPr>
          <w:lang w:val="bg-BG"/>
        </w:rPr>
        <w:br/>
      </w:r>
      <w:r w:rsidRPr="009072DA">
        <w:rPr>
          <w:i/>
          <w:lang w:val="bg-BG"/>
        </w:rPr>
        <w:t>Печки с изпарителни мазутни горелки</w:t>
      </w:r>
      <w:bookmarkEnd w:id="277"/>
      <w:bookmarkEnd w:id="278"/>
    </w:p>
    <w:p w:rsidR="00260F40" w:rsidRPr="009072DA" w:rsidRDefault="00260F40" w:rsidP="00260F40">
      <w:pPr>
        <w:pStyle w:val="ESch"/>
        <w:rPr>
          <w:i/>
          <w:lang w:val="bg-BG"/>
        </w:rPr>
      </w:pPr>
    </w:p>
    <w:p w:rsidR="00260F40" w:rsidRPr="009072DA" w:rsidRDefault="00260F40" w:rsidP="00260F40">
      <w:pPr>
        <w:pStyle w:val="ESch"/>
        <w:rPr>
          <w:rFonts w:cs="Arial"/>
          <w:lang w:val="bg-BG"/>
        </w:rPr>
      </w:pPr>
      <w:r w:rsidRPr="009072DA">
        <w:rPr>
          <w:lang w:val="bg-BG"/>
        </w:rPr>
        <w:t>1.</w:t>
      </w:r>
      <w:r w:rsidRPr="009072DA">
        <w:rPr>
          <w:lang w:val="bg-BG"/>
        </w:rPr>
        <w:tab/>
        <w:t>Трябва да е възможно печките с изпарителни мазутни горелки да се запалват без помощта на друга запалителна течност. Те се закрепват над метално корито за събиране на течности, което обхваща всички части, пренасящи горивото, със стени с височина поне 20 mm и което има вместимост от поне два литра.</w:t>
      </w:r>
    </w:p>
    <w:p w:rsidR="00260F40" w:rsidRPr="009072DA" w:rsidRDefault="00260F40" w:rsidP="00260F40">
      <w:pPr>
        <w:pStyle w:val="ESch"/>
        <w:rPr>
          <w:lang w:val="bg-BG"/>
        </w:rPr>
      </w:pPr>
    </w:p>
    <w:p w:rsidR="00260F40" w:rsidRPr="009072DA" w:rsidRDefault="00260F40" w:rsidP="00260F40">
      <w:pPr>
        <w:pStyle w:val="ESch"/>
        <w:rPr>
          <w:rFonts w:cs="Arial"/>
          <w:lang w:val="bg-BG"/>
        </w:rPr>
      </w:pPr>
      <w:r w:rsidRPr="009072DA">
        <w:rPr>
          <w:lang w:val="bg-BG"/>
        </w:rPr>
        <w:t>2.</w:t>
      </w:r>
      <w:r w:rsidRPr="009072DA">
        <w:rPr>
          <w:lang w:val="bg-BG"/>
        </w:rPr>
        <w:tab/>
        <w:t>За печките с изпарителни мазутни горелки, монтирани в машинното отделение, страните на металното корито за събиране на течности, посочено в точка 1, са с височина не по-малко от 200 mm. Долният край на изпарителната горелка трябва да е разположен над края на коритото. Освен това горният край на металното корито за събиране на течности се показва поне 100 mm над пода.</w:t>
      </w:r>
    </w:p>
    <w:p w:rsidR="00260F40" w:rsidRPr="009072DA" w:rsidRDefault="00260F40" w:rsidP="00260F40">
      <w:pPr>
        <w:pStyle w:val="ESch"/>
        <w:rPr>
          <w:lang w:val="bg-BG"/>
        </w:rPr>
      </w:pPr>
    </w:p>
    <w:p w:rsidR="00260F40" w:rsidRPr="009072DA" w:rsidRDefault="00260F40" w:rsidP="00260F40">
      <w:pPr>
        <w:pStyle w:val="ESch"/>
        <w:rPr>
          <w:rFonts w:cs="Arial"/>
          <w:lang w:val="bg-BG"/>
        </w:rPr>
      </w:pPr>
      <w:r w:rsidRPr="009072DA">
        <w:rPr>
          <w:lang w:val="bg-BG"/>
        </w:rPr>
        <w:t>3.</w:t>
      </w:r>
      <w:r w:rsidRPr="009072DA">
        <w:rPr>
          <w:lang w:val="bg-BG"/>
        </w:rPr>
        <w:tab/>
        <w:t>Печките с изпарителни мазутни горелки се оборудват с подходящ регулатор, който при всички условия осигурява на практика постоянен приток на гориво към горелката и който не допуска изтичане на гориво, ако пламъкът изгасне. За подходящи се приемат регулатори, които работят правилно дори и подложени на вибрации и наклонени до 12° и които, освен че са снабдени с поплавък за регулиране на нивото, имат още:</w:t>
      </w:r>
    </w:p>
    <w:p w:rsidR="00260F40" w:rsidRPr="009072DA" w:rsidRDefault="005C7859" w:rsidP="00260F40">
      <w:pPr>
        <w:pStyle w:val="ESlet"/>
        <w:rPr>
          <w:rFonts w:cs="Arial"/>
          <w:lang w:val="bg-BG"/>
        </w:rPr>
      </w:pPr>
      <w:r w:rsidRPr="009072DA">
        <w:rPr>
          <w:lang w:val="bg-BG"/>
        </w:rPr>
        <w:t>a)</w:t>
      </w:r>
      <w:r w:rsidRPr="009072DA">
        <w:rPr>
          <w:lang w:val="bg-BG"/>
        </w:rPr>
        <w:tab/>
        <w:t>втори поплавък, който безопасно и надеждно спира подаването на гориво, когато бъде превишено допустимото равнище, или</w:t>
      </w:r>
    </w:p>
    <w:p w:rsidR="00260F40" w:rsidRPr="009072DA" w:rsidRDefault="005C7859" w:rsidP="00260F40">
      <w:pPr>
        <w:pStyle w:val="ESlet"/>
        <w:rPr>
          <w:rFonts w:cs="Arial"/>
          <w:lang w:val="bg-BG"/>
        </w:rPr>
      </w:pPr>
      <w:r w:rsidRPr="009072DA">
        <w:rPr>
          <w:lang w:val="bg-BG"/>
        </w:rPr>
        <w:t>б)</w:t>
      </w:r>
      <w:r w:rsidRPr="009072DA">
        <w:rPr>
          <w:lang w:val="bg-BG"/>
        </w:rPr>
        <w:tab/>
        <w:t>преливна тръба, но само в случай че металното корито за събиране на течности е с достатъчна вместимост, за да може да побере като минимум съдържанието на резервоара за гориво.</w:t>
      </w:r>
    </w:p>
    <w:p w:rsidR="00260F40" w:rsidRPr="009072DA" w:rsidRDefault="00260F40" w:rsidP="00260F40">
      <w:pPr>
        <w:pStyle w:val="ESch"/>
        <w:rPr>
          <w:lang w:val="bg-BG"/>
        </w:rPr>
      </w:pPr>
    </w:p>
    <w:p w:rsidR="00260F40" w:rsidRPr="009072DA" w:rsidRDefault="00260F40" w:rsidP="00260F40">
      <w:pPr>
        <w:pStyle w:val="ESch"/>
        <w:rPr>
          <w:rFonts w:cs="Arial"/>
          <w:lang w:val="bg-BG"/>
        </w:rPr>
      </w:pPr>
      <w:r w:rsidRPr="009072DA">
        <w:rPr>
          <w:lang w:val="bg-BG"/>
        </w:rPr>
        <w:t>4.</w:t>
      </w:r>
      <w:r w:rsidRPr="009072DA">
        <w:rPr>
          <w:lang w:val="bg-BG"/>
        </w:rPr>
        <w:tab/>
        <w:t>Когато резервоарът за гориво на печка с изпарителни мазутни горелки е монтиран отделно:</w:t>
      </w:r>
    </w:p>
    <w:p w:rsidR="00260F40" w:rsidRPr="009072DA" w:rsidRDefault="005C7859" w:rsidP="00260F40">
      <w:pPr>
        <w:pStyle w:val="ESlet"/>
        <w:rPr>
          <w:rFonts w:cs="Arial"/>
          <w:lang w:val="bg-BG"/>
        </w:rPr>
      </w:pPr>
      <w:r w:rsidRPr="009072DA">
        <w:rPr>
          <w:lang w:val="bg-BG"/>
        </w:rPr>
        <w:t>a)</w:t>
      </w:r>
      <w:r w:rsidRPr="009072DA">
        <w:rPr>
          <w:lang w:val="bg-BG"/>
        </w:rPr>
        <w:tab/>
        <w:t>денивелацията между резервоара и захранването на горелката не може да превишава определената в инструкциите за работа от производителя;</w:t>
      </w:r>
    </w:p>
    <w:p w:rsidR="00260F40" w:rsidRPr="009072DA" w:rsidRDefault="005C7859" w:rsidP="00260F40">
      <w:pPr>
        <w:pStyle w:val="ESlet"/>
        <w:rPr>
          <w:rFonts w:cs="Arial"/>
          <w:lang w:val="bg-BG"/>
        </w:rPr>
      </w:pPr>
      <w:r w:rsidRPr="009072DA">
        <w:rPr>
          <w:lang w:val="bg-BG"/>
        </w:rPr>
        <w:t>б)</w:t>
      </w:r>
      <w:r w:rsidRPr="009072DA">
        <w:rPr>
          <w:lang w:val="bg-BG"/>
        </w:rPr>
        <w:tab/>
        <w:t>той трябва да е монтиран така, че да не се нагрява недопустимо;</w:t>
      </w:r>
    </w:p>
    <w:p w:rsidR="00260F40" w:rsidRPr="009072DA" w:rsidRDefault="005C7859" w:rsidP="00260F40">
      <w:pPr>
        <w:pStyle w:val="ESlet"/>
        <w:rPr>
          <w:rFonts w:cs="Arial"/>
          <w:lang w:val="bg-BG"/>
        </w:rPr>
      </w:pPr>
      <w:r w:rsidRPr="009072DA">
        <w:rPr>
          <w:lang w:val="bg-BG"/>
        </w:rPr>
        <w:t>в)</w:t>
      </w:r>
      <w:r w:rsidRPr="009072DA">
        <w:rPr>
          <w:lang w:val="bg-BG"/>
        </w:rPr>
        <w:tab/>
        <w:t>трябва да е възможно подаването на гориво да се прекъсва от палубата.</w:t>
      </w:r>
    </w:p>
    <w:p w:rsidR="00260F40" w:rsidRPr="009072DA" w:rsidRDefault="00260F40" w:rsidP="00260F40">
      <w:pPr>
        <w:pStyle w:val="ESch"/>
        <w:rPr>
          <w:lang w:val="bg-BG"/>
        </w:rPr>
      </w:pPr>
    </w:p>
    <w:p w:rsidR="00260F40" w:rsidRPr="009072DA" w:rsidRDefault="00260F40" w:rsidP="00260F40">
      <w:pPr>
        <w:pStyle w:val="ESch"/>
        <w:rPr>
          <w:rFonts w:cs="Arial"/>
          <w:lang w:val="bg-BG"/>
        </w:rPr>
      </w:pPr>
      <w:r w:rsidRPr="009072DA">
        <w:rPr>
          <w:lang w:val="bg-BG"/>
        </w:rPr>
        <w:t>5.</w:t>
      </w:r>
      <w:r w:rsidRPr="009072DA">
        <w:rPr>
          <w:lang w:val="bg-BG"/>
        </w:rPr>
        <w:tab/>
        <w:t>Димоходите на печките с изпарителни мазутни горелки се оборудват с устройство, което възпрепятства обръщане на течението.</w:t>
      </w:r>
    </w:p>
    <w:p w:rsidR="00260F40" w:rsidRPr="009072DA" w:rsidRDefault="00260F40" w:rsidP="00260F40">
      <w:pPr>
        <w:pStyle w:val="ESch"/>
        <w:rPr>
          <w:rFonts w:cs="Arial"/>
          <w:lang w:val="bg-BG"/>
        </w:rPr>
      </w:pPr>
    </w:p>
    <w:p w:rsidR="00260F40" w:rsidRPr="009072DA" w:rsidRDefault="00260F40" w:rsidP="00260F40">
      <w:pPr>
        <w:pStyle w:val="ESch"/>
        <w:rPr>
          <w:rFonts w:cs="Arial"/>
          <w:lang w:val="bg-BG"/>
        </w:rPr>
      </w:pPr>
    </w:p>
    <w:p w:rsidR="00260F40" w:rsidRPr="009072DA" w:rsidRDefault="00260F40" w:rsidP="00260F40">
      <w:pPr>
        <w:pStyle w:val="ES-Titre3"/>
        <w:rPr>
          <w:rFonts w:cs="Arial"/>
          <w:i/>
          <w:lang w:val="bg-BG"/>
        </w:rPr>
      </w:pPr>
      <w:bookmarkStart w:id="279" w:name="_Toc491854137"/>
      <w:bookmarkStart w:id="280" w:name="_Toc535827578"/>
      <w:r w:rsidRPr="009072DA">
        <w:rPr>
          <w:lang w:val="bg-BG"/>
        </w:rPr>
        <w:t>Член 16.05</w:t>
      </w:r>
      <w:r w:rsidRPr="009072DA">
        <w:rPr>
          <w:lang w:val="bg-BG"/>
        </w:rPr>
        <w:br/>
      </w:r>
      <w:r w:rsidRPr="009072DA">
        <w:rPr>
          <w:i/>
          <w:lang w:val="bg-BG"/>
        </w:rPr>
        <w:t>Отоплителни устройства с разпрашаващи нафтови горелки</w:t>
      </w:r>
      <w:bookmarkEnd w:id="279"/>
      <w:bookmarkEnd w:id="280"/>
    </w:p>
    <w:p w:rsidR="00260F40" w:rsidRPr="009072DA" w:rsidRDefault="00260F40" w:rsidP="00260F40">
      <w:pPr>
        <w:pStyle w:val="ESch"/>
        <w:rPr>
          <w:lang w:val="bg-BG"/>
        </w:rPr>
      </w:pPr>
    </w:p>
    <w:p w:rsidR="00260F40" w:rsidRPr="009072DA" w:rsidRDefault="00260F40" w:rsidP="00260F40">
      <w:pPr>
        <w:pStyle w:val="ESgauche"/>
        <w:rPr>
          <w:rFonts w:cs="Arial"/>
          <w:noProof w:val="0"/>
          <w:lang w:val="bg-BG"/>
        </w:rPr>
      </w:pPr>
      <w:r w:rsidRPr="009072DA">
        <w:rPr>
          <w:noProof w:val="0"/>
          <w:lang w:val="bg-BG"/>
        </w:rPr>
        <w:t>Отоплителните устройства с разпрашаващи нафтови горелки трябва да съответстват в частност на следните изисквания:</w:t>
      </w:r>
    </w:p>
    <w:p w:rsidR="00260F40" w:rsidRPr="009072DA" w:rsidRDefault="005C7859" w:rsidP="00260F40">
      <w:pPr>
        <w:pStyle w:val="ESletgauche"/>
        <w:rPr>
          <w:rFonts w:cs="Arial"/>
          <w:lang w:val="bg-BG"/>
        </w:rPr>
      </w:pPr>
      <w:r w:rsidRPr="009072DA">
        <w:rPr>
          <w:lang w:val="bg-BG"/>
        </w:rPr>
        <w:t>a)</w:t>
      </w:r>
      <w:r w:rsidRPr="009072DA">
        <w:rPr>
          <w:lang w:val="bg-BG"/>
        </w:rPr>
        <w:tab/>
        <w:t>осигурена е подходяща вентилация на горелката преди подаване на гориво;</w:t>
      </w:r>
    </w:p>
    <w:p w:rsidR="00260F40" w:rsidRPr="009072DA" w:rsidRDefault="005C7859" w:rsidP="00260F40">
      <w:pPr>
        <w:pStyle w:val="ESletgauche"/>
        <w:rPr>
          <w:rFonts w:cs="Arial"/>
          <w:lang w:val="bg-BG"/>
        </w:rPr>
      </w:pPr>
      <w:r w:rsidRPr="009072DA">
        <w:rPr>
          <w:lang w:val="bg-BG"/>
        </w:rPr>
        <w:t>б)</w:t>
      </w:r>
      <w:r w:rsidRPr="009072DA">
        <w:rPr>
          <w:lang w:val="bg-BG"/>
        </w:rPr>
        <w:tab/>
        <w:t>подаването на гориво се регулира с термостат;</w:t>
      </w:r>
    </w:p>
    <w:p w:rsidR="00260F40" w:rsidRPr="009072DA" w:rsidRDefault="005C7859" w:rsidP="00260F40">
      <w:pPr>
        <w:pStyle w:val="ESletgauche"/>
        <w:rPr>
          <w:rFonts w:cs="Arial"/>
          <w:lang w:val="bg-BG"/>
        </w:rPr>
      </w:pPr>
      <w:r w:rsidRPr="009072DA">
        <w:rPr>
          <w:lang w:val="bg-BG"/>
        </w:rPr>
        <w:t>в)</w:t>
      </w:r>
      <w:r w:rsidRPr="009072DA">
        <w:rPr>
          <w:lang w:val="bg-BG"/>
        </w:rPr>
        <w:tab/>
        <w:t>горивото се запалва от електрически уред или запалителен факел;</w:t>
      </w:r>
    </w:p>
    <w:p w:rsidR="00260F40" w:rsidRPr="009072DA" w:rsidRDefault="00260F40" w:rsidP="00260F40">
      <w:pPr>
        <w:pStyle w:val="ESletgauche"/>
        <w:rPr>
          <w:lang w:val="bg-BG"/>
        </w:rPr>
      </w:pPr>
    </w:p>
    <w:p w:rsidR="00260F40" w:rsidRPr="009072DA" w:rsidRDefault="00260F40" w:rsidP="00260F40">
      <w:pPr>
        <w:pStyle w:val="ESletgauche"/>
        <w:rPr>
          <w:lang w:val="bg-BG"/>
        </w:rPr>
      </w:pPr>
      <w:r w:rsidRPr="009072DA">
        <w:rPr>
          <w:lang w:val="bg-BG"/>
        </w:rPr>
        <w:br w:type="page"/>
      </w:r>
    </w:p>
    <w:p w:rsidR="00260F40" w:rsidRPr="009072DA" w:rsidRDefault="005C7859" w:rsidP="00260F40">
      <w:pPr>
        <w:pStyle w:val="ESletgauche"/>
        <w:rPr>
          <w:rFonts w:cs="Arial"/>
          <w:lang w:val="bg-BG"/>
        </w:rPr>
      </w:pPr>
      <w:r w:rsidRPr="009072DA">
        <w:rPr>
          <w:lang w:val="bg-BG"/>
        </w:rPr>
        <w:lastRenderedPageBreak/>
        <w:t>г)</w:t>
      </w:r>
      <w:r w:rsidRPr="009072DA">
        <w:rPr>
          <w:lang w:val="bg-BG"/>
        </w:rPr>
        <w:tab/>
        <w:t>устройството за следене на пламъка спира подаването на гориво в случай на изгасване на пламъка;</w:t>
      </w:r>
    </w:p>
    <w:p w:rsidR="00260F40" w:rsidRPr="009072DA" w:rsidRDefault="0029453D" w:rsidP="00260F40">
      <w:pPr>
        <w:pStyle w:val="ESletgauche"/>
        <w:rPr>
          <w:lang w:val="bg-BG"/>
        </w:rPr>
      </w:pPr>
      <w:r w:rsidRPr="009072DA">
        <w:rPr>
          <w:lang w:val="bg-BG"/>
        </w:rPr>
        <w:t>д)</w:t>
      </w:r>
      <w:r w:rsidRPr="009072DA">
        <w:rPr>
          <w:lang w:val="bg-BG"/>
        </w:rPr>
        <w:tab/>
        <w:t>основният прекъсвач е поставен на леснодостъпно място извън помещението на монтиране.</w:t>
      </w:r>
    </w:p>
    <w:p w:rsidR="00260F40" w:rsidRPr="009072DA" w:rsidRDefault="00260F40" w:rsidP="00260F40">
      <w:pPr>
        <w:pStyle w:val="ESletgauche"/>
        <w:rPr>
          <w:lang w:val="bg-BG"/>
        </w:rPr>
      </w:pPr>
    </w:p>
    <w:p w:rsidR="00260F40" w:rsidRPr="009072DA" w:rsidRDefault="00260F40" w:rsidP="00260F40">
      <w:pPr>
        <w:pStyle w:val="ESch"/>
        <w:rPr>
          <w:rFonts w:cs="Arial"/>
          <w:lang w:val="bg-BG"/>
        </w:rPr>
      </w:pPr>
    </w:p>
    <w:p w:rsidR="00260F40" w:rsidRPr="009072DA" w:rsidRDefault="00260F40" w:rsidP="00260F40">
      <w:pPr>
        <w:pStyle w:val="ES-Titre3"/>
        <w:rPr>
          <w:rFonts w:cs="Arial"/>
          <w:i/>
          <w:lang w:val="bg-BG"/>
        </w:rPr>
      </w:pPr>
      <w:bookmarkStart w:id="281" w:name="_Toc491854138"/>
      <w:bookmarkStart w:id="282" w:name="_Toc535827579"/>
      <w:r w:rsidRPr="009072DA">
        <w:rPr>
          <w:lang w:val="bg-BG"/>
        </w:rPr>
        <w:t>Член 16.06</w:t>
      </w:r>
      <w:r w:rsidRPr="009072DA">
        <w:rPr>
          <w:lang w:val="bg-BG"/>
        </w:rPr>
        <w:br/>
      </w:r>
      <w:r w:rsidRPr="009072DA">
        <w:rPr>
          <w:i/>
          <w:lang w:val="bg-BG"/>
        </w:rPr>
        <w:t>Вентилаторни отоплителни устройства</w:t>
      </w:r>
      <w:bookmarkEnd w:id="281"/>
      <w:bookmarkEnd w:id="282"/>
    </w:p>
    <w:p w:rsidR="00260F40" w:rsidRPr="009072DA" w:rsidRDefault="00260F40" w:rsidP="00260F40">
      <w:pPr>
        <w:pStyle w:val="ESch"/>
        <w:rPr>
          <w:lang w:val="bg-BG"/>
        </w:rPr>
      </w:pPr>
    </w:p>
    <w:p w:rsidR="00260F40" w:rsidRPr="009072DA" w:rsidRDefault="00260F40" w:rsidP="00260F40">
      <w:pPr>
        <w:pStyle w:val="ESgauche"/>
        <w:rPr>
          <w:rFonts w:cs="Arial"/>
          <w:noProof w:val="0"/>
          <w:lang w:val="bg-BG"/>
        </w:rPr>
      </w:pPr>
      <w:r w:rsidRPr="009072DA">
        <w:rPr>
          <w:noProof w:val="0"/>
          <w:lang w:val="bg-BG"/>
        </w:rPr>
        <w:t>Вентилаторните отоплителни устройства, състоящи се от горивна камера, около която въздухът за отопление се придвижва под налягане към система за разпределение или към помещение, трябва да съответстват на следните изисквания:</w:t>
      </w:r>
    </w:p>
    <w:p w:rsidR="00260F40" w:rsidRPr="009072DA" w:rsidRDefault="005C7859" w:rsidP="00260F40">
      <w:pPr>
        <w:pStyle w:val="ESletgauche"/>
        <w:rPr>
          <w:rFonts w:cs="Arial"/>
          <w:lang w:val="bg-BG"/>
        </w:rPr>
      </w:pPr>
      <w:r w:rsidRPr="009072DA">
        <w:rPr>
          <w:lang w:val="bg-BG"/>
        </w:rPr>
        <w:t>a)</w:t>
      </w:r>
      <w:r w:rsidRPr="009072DA">
        <w:rPr>
          <w:lang w:val="bg-BG"/>
        </w:rPr>
        <w:tab/>
        <w:t>Ако горивото се разпрашава под налягане, въздухът за горенето се подава от инжектора.</w:t>
      </w:r>
    </w:p>
    <w:p w:rsidR="00260F40" w:rsidRPr="009072DA" w:rsidRDefault="005C7859" w:rsidP="00260F40">
      <w:pPr>
        <w:pStyle w:val="ESletgauche"/>
        <w:rPr>
          <w:rFonts w:cs="Arial"/>
          <w:lang w:val="bg-BG"/>
        </w:rPr>
      </w:pPr>
      <w:r w:rsidRPr="009072DA">
        <w:rPr>
          <w:lang w:val="bg-BG"/>
        </w:rPr>
        <w:t>б)</w:t>
      </w:r>
      <w:r w:rsidRPr="009072DA">
        <w:rPr>
          <w:lang w:val="bg-BG"/>
        </w:rPr>
        <w:tab/>
        <w:t>Горивната камера трябва да е добре проветрена, преди горелката да се запали. Проветряването може да се смята за приключило, ако инжекторът за въздуха за горене продължава да работи, след като пламъкът изгасне.</w:t>
      </w:r>
    </w:p>
    <w:p w:rsidR="00260F40" w:rsidRPr="009072DA" w:rsidRDefault="005C7859" w:rsidP="00260F40">
      <w:pPr>
        <w:pStyle w:val="ESletgauche"/>
        <w:rPr>
          <w:rFonts w:cs="Arial"/>
          <w:lang w:val="bg-BG"/>
        </w:rPr>
      </w:pPr>
      <w:r w:rsidRPr="009072DA">
        <w:rPr>
          <w:lang w:val="bg-BG"/>
        </w:rPr>
        <w:t>в)</w:t>
      </w:r>
      <w:r w:rsidRPr="009072DA">
        <w:rPr>
          <w:lang w:val="bg-BG"/>
        </w:rPr>
        <w:tab/>
        <w:t>Подаването на гориво се прекратява автоматично ако:</w:t>
      </w:r>
    </w:p>
    <w:p w:rsidR="00260F40" w:rsidRPr="009072DA" w:rsidRDefault="00260F40" w:rsidP="00260F40">
      <w:pPr>
        <w:pStyle w:val="ESletgauche"/>
        <w:ind w:firstLine="0"/>
        <w:rPr>
          <w:rFonts w:cs="Arial"/>
          <w:lang w:val="bg-BG"/>
        </w:rPr>
      </w:pPr>
      <w:r w:rsidRPr="009072DA">
        <w:rPr>
          <w:lang w:val="bg-BG"/>
        </w:rPr>
        <w:t>пламъкът изгасне;</w:t>
      </w:r>
    </w:p>
    <w:p w:rsidR="00260F40" w:rsidRPr="009072DA" w:rsidRDefault="00260F40" w:rsidP="00260F40">
      <w:pPr>
        <w:pStyle w:val="ESletgauche"/>
        <w:ind w:firstLine="0"/>
        <w:rPr>
          <w:rFonts w:cs="Arial"/>
          <w:lang w:val="bg-BG"/>
        </w:rPr>
      </w:pPr>
      <w:r w:rsidRPr="009072DA">
        <w:rPr>
          <w:lang w:val="bg-BG"/>
        </w:rPr>
        <w:t>подаваният въздух за горене се окаже недостатъчен;</w:t>
      </w:r>
    </w:p>
    <w:p w:rsidR="00260F40" w:rsidRPr="009072DA" w:rsidRDefault="00260F40" w:rsidP="00260F40">
      <w:pPr>
        <w:pStyle w:val="ESletgauche"/>
        <w:ind w:firstLine="0"/>
        <w:rPr>
          <w:rFonts w:cs="Arial"/>
          <w:lang w:val="bg-BG"/>
        </w:rPr>
      </w:pPr>
      <w:r w:rsidRPr="009072DA">
        <w:rPr>
          <w:lang w:val="bg-BG"/>
        </w:rPr>
        <w:t>нагретият въздух надхвърли предварително зададена температура; или</w:t>
      </w:r>
    </w:p>
    <w:p w:rsidR="00260F40" w:rsidRPr="009072DA" w:rsidRDefault="00260F40" w:rsidP="00260F40">
      <w:pPr>
        <w:pStyle w:val="ESletgauche"/>
        <w:ind w:firstLine="0"/>
        <w:rPr>
          <w:rFonts w:cs="Arial"/>
          <w:lang w:val="bg-BG"/>
        </w:rPr>
      </w:pPr>
      <w:r w:rsidRPr="009072DA">
        <w:rPr>
          <w:lang w:val="bg-BG"/>
        </w:rPr>
        <w:t>захранването на предпазни средства откаже.</w:t>
      </w:r>
    </w:p>
    <w:p w:rsidR="00260F40" w:rsidRPr="009072DA" w:rsidRDefault="00260F40" w:rsidP="00260F40">
      <w:pPr>
        <w:pStyle w:val="ESletgauche"/>
        <w:ind w:firstLine="0"/>
        <w:rPr>
          <w:rFonts w:cs="Arial"/>
          <w:lang w:val="bg-BG"/>
        </w:rPr>
      </w:pPr>
      <w:r w:rsidRPr="009072DA">
        <w:rPr>
          <w:lang w:val="bg-BG"/>
        </w:rPr>
        <w:t>В горните случаи подаването на гориво не се възобновява автоматично след спиране.</w:t>
      </w:r>
    </w:p>
    <w:p w:rsidR="00260F40" w:rsidRPr="009072DA" w:rsidRDefault="005C7859" w:rsidP="00260F40">
      <w:pPr>
        <w:pStyle w:val="ESletgauche"/>
        <w:rPr>
          <w:rFonts w:cs="Arial"/>
          <w:lang w:val="bg-BG"/>
        </w:rPr>
      </w:pPr>
      <w:r w:rsidRPr="009072DA">
        <w:rPr>
          <w:lang w:val="bg-BG"/>
        </w:rPr>
        <w:t>г)</w:t>
      </w:r>
      <w:r w:rsidRPr="009072DA">
        <w:rPr>
          <w:lang w:val="bg-BG"/>
        </w:rPr>
        <w:tab/>
        <w:t>Съществува възможност да се изключват инжекторите за въздуха за горене и за въздуха за отопление от място извън помещението, където се намира отоплителното устройство;</w:t>
      </w:r>
    </w:p>
    <w:p w:rsidR="00260F40" w:rsidRPr="009072DA" w:rsidRDefault="0029453D" w:rsidP="00260F40">
      <w:pPr>
        <w:pStyle w:val="ESletgauche"/>
        <w:rPr>
          <w:rFonts w:cs="Arial"/>
          <w:lang w:val="bg-BG"/>
        </w:rPr>
      </w:pPr>
      <w:r w:rsidRPr="009072DA">
        <w:rPr>
          <w:lang w:val="bg-BG"/>
        </w:rPr>
        <w:t>д)</w:t>
      </w:r>
      <w:r w:rsidRPr="009072DA">
        <w:rPr>
          <w:lang w:val="bg-BG"/>
        </w:rPr>
        <w:tab/>
        <w:t>Ако въздухът за отопление се засмуква отвън, входните отвори трябва да се намират възможно най-високо над палубата.  Те трябва да са монтирани така, че да не влизат дъждовна вода и пръски.</w:t>
      </w:r>
    </w:p>
    <w:p w:rsidR="00260F40" w:rsidRPr="009072DA" w:rsidRDefault="0029453D" w:rsidP="00260F40">
      <w:pPr>
        <w:pStyle w:val="ESletgauche"/>
        <w:rPr>
          <w:rFonts w:cs="Arial"/>
          <w:lang w:val="bg-BG"/>
        </w:rPr>
      </w:pPr>
      <w:r w:rsidRPr="009072DA">
        <w:rPr>
          <w:lang w:val="bg-BG"/>
        </w:rPr>
        <w:t>е)</w:t>
      </w:r>
      <w:r w:rsidRPr="009072DA">
        <w:rPr>
          <w:lang w:val="bg-BG"/>
        </w:rPr>
        <w:tab/>
        <w:t>Въздушните тръби за отопление трябва да а изработени от метал.</w:t>
      </w:r>
    </w:p>
    <w:p w:rsidR="00260F40" w:rsidRPr="009072DA" w:rsidRDefault="0029453D" w:rsidP="00260F40">
      <w:pPr>
        <w:pStyle w:val="ESletgauche"/>
        <w:rPr>
          <w:rFonts w:cs="Arial"/>
          <w:lang w:val="bg-BG"/>
        </w:rPr>
      </w:pPr>
      <w:r w:rsidRPr="009072DA">
        <w:rPr>
          <w:lang w:val="bg-BG"/>
        </w:rPr>
        <w:t>ж)</w:t>
      </w:r>
      <w:r w:rsidRPr="009072DA">
        <w:rPr>
          <w:lang w:val="bg-BG"/>
        </w:rPr>
        <w:tab/>
        <w:t>Нe трябва да e възможно да се затварят напълно изходните отвори за въздуха за отопление.</w:t>
      </w:r>
    </w:p>
    <w:p w:rsidR="00260F40" w:rsidRPr="009072DA" w:rsidRDefault="0029453D" w:rsidP="00260F40">
      <w:pPr>
        <w:pStyle w:val="ESletgauche"/>
        <w:rPr>
          <w:rFonts w:cs="Arial"/>
          <w:lang w:val="bg-BG"/>
        </w:rPr>
      </w:pPr>
      <w:r w:rsidRPr="009072DA">
        <w:rPr>
          <w:lang w:val="bg-BG"/>
        </w:rPr>
        <w:t>з)</w:t>
      </w:r>
      <w:r w:rsidRPr="009072DA">
        <w:rPr>
          <w:lang w:val="bg-BG"/>
        </w:rPr>
        <w:tab/>
        <w:t>Не трябва да е възможно течове на гориво да достигат до тръбите за въздуха за отопление;</w:t>
      </w:r>
    </w:p>
    <w:p w:rsidR="00260F40" w:rsidRPr="009072DA" w:rsidRDefault="0029453D" w:rsidP="00260F40">
      <w:pPr>
        <w:pStyle w:val="ESletgauche"/>
        <w:rPr>
          <w:rFonts w:cs="Arial"/>
          <w:lang w:val="bg-BG"/>
        </w:rPr>
      </w:pPr>
      <w:r w:rsidRPr="009072DA">
        <w:rPr>
          <w:lang w:val="bg-BG"/>
        </w:rPr>
        <w:t>и)</w:t>
      </w:r>
      <w:r w:rsidRPr="009072DA">
        <w:rPr>
          <w:lang w:val="bg-BG"/>
        </w:rPr>
        <w:tab/>
        <w:t>Не трябва да е възможно отоплителни устройства с нагнетяване на въздуха да черпят от въздуха за отопление от машинното отделение.</w:t>
      </w:r>
    </w:p>
    <w:p w:rsidR="00260F40" w:rsidRPr="009072DA" w:rsidRDefault="00260F40" w:rsidP="00260F40">
      <w:pPr>
        <w:pStyle w:val="ESch"/>
        <w:rPr>
          <w:rFonts w:cs="Arial"/>
          <w:lang w:val="bg-BG"/>
        </w:rPr>
      </w:pPr>
    </w:p>
    <w:p w:rsidR="00260F40" w:rsidRPr="009072DA" w:rsidRDefault="00260F40" w:rsidP="00260F40">
      <w:pPr>
        <w:pStyle w:val="ESch"/>
        <w:rPr>
          <w:rFonts w:cs="Arial"/>
          <w:lang w:val="bg-BG"/>
        </w:rPr>
      </w:pPr>
    </w:p>
    <w:p w:rsidR="00260F40" w:rsidRPr="009072DA" w:rsidRDefault="00260F40" w:rsidP="00260F40">
      <w:pPr>
        <w:pStyle w:val="ES-Titre3"/>
        <w:rPr>
          <w:rFonts w:cs="Arial"/>
          <w:i/>
          <w:lang w:val="bg-BG"/>
        </w:rPr>
      </w:pPr>
      <w:bookmarkStart w:id="283" w:name="_Toc491854139"/>
      <w:bookmarkStart w:id="284" w:name="_Toc535827580"/>
      <w:r w:rsidRPr="009072DA">
        <w:rPr>
          <w:lang w:val="bg-BG"/>
        </w:rPr>
        <w:t>Член 16.07</w:t>
      </w:r>
      <w:r w:rsidRPr="009072DA">
        <w:rPr>
          <w:lang w:val="bg-BG"/>
        </w:rPr>
        <w:br/>
      </w:r>
      <w:r w:rsidRPr="009072DA">
        <w:rPr>
          <w:i/>
          <w:lang w:val="bg-BG"/>
        </w:rPr>
        <w:t>Отопление с твърдо гориво</w:t>
      </w:r>
      <w:bookmarkEnd w:id="283"/>
      <w:bookmarkEnd w:id="284"/>
    </w:p>
    <w:p w:rsidR="00260F40" w:rsidRPr="009072DA" w:rsidRDefault="00260F40" w:rsidP="00260F40">
      <w:pPr>
        <w:pStyle w:val="ESch"/>
        <w:rPr>
          <w:lang w:val="bg-BG"/>
        </w:rPr>
      </w:pPr>
    </w:p>
    <w:p w:rsidR="00260F40" w:rsidRPr="009072DA" w:rsidRDefault="00260F40" w:rsidP="00260F40">
      <w:pPr>
        <w:pStyle w:val="ESch"/>
        <w:rPr>
          <w:rFonts w:cs="Arial"/>
          <w:lang w:val="bg-BG"/>
        </w:rPr>
      </w:pPr>
      <w:r w:rsidRPr="009072DA">
        <w:rPr>
          <w:lang w:val="bg-BG"/>
        </w:rPr>
        <w:t>1.</w:t>
      </w:r>
      <w:r w:rsidRPr="009072DA">
        <w:rPr>
          <w:lang w:val="bg-BG"/>
        </w:rPr>
        <w:tab/>
        <w:t>Отоплителните уреди с твърдо гориво са разположени върху метална подложка с повдигнати краища, така че никакво възпламенено гориво или горещи сажди да не може да падне извън тази подложка.</w:t>
      </w:r>
    </w:p>
    <w:p w:rsidR="00260F40" w:rsidRPr="009072DA" w:rsidRDefault="00260F40" w:rsidP="00260F40">
      <w:pPr>
        <w:pStyle w:val="ESch"/>
        <w:rPr>
          <w:lang w:val="bg-BG"/>
        </w:rPr>
      </w:pPr>
    </w:p>
    <w:p w:rsidR="00260F40" w:rsidRPr="009072DA" w:rsidRDefault="00260F40" w:rsidP="00260F40">
      <w:pPr>
        <w:pStyle w:val="ESchpar"/>
        <w:rPr>
          <w:rFonts w:cs="Arial"/>
          <w:lang w:val="bg-BG"/>
        </w:rPr>
      </w:pPr>
      <w:r w:rsidRPr="009072DA">
        <w:rPr>
          <w:lang w:val="bg-BG"/>
        </w:rPr>
        <w:t>Това изискване не важи за уреди, монтирани в отсеци от негорими материали и предназначени само за помещаване на котли.</w:t>
      </w:r>
    </w:p>
    <w:p w:rsidR="00260F40" w:rsidRPr="009072DA" w:rsidRDefault="00260F40" w:rsidP="00260F40">
      <w:pPr>
        <w:pStyle w:val="ESch"/>
        <w:rPr>
          <w:lang w:val="bg-BG"/>
        </w:rPr>
      </w:pPr>
    </w:p>
    <w:p w:rsidR="00260F40" w:rsidRPr="009072DA" w:rsidRDefault="00260F40" w:rsidP="00260F40">
      <w:pPr>
        <w:pStyle w:val="ESch"/>
        <w:rPr>
          <w:rFonts w:cs="Arial"/>
          <w:lang w:val="bg-BG"/>
        </w:rPr>
      </w:pPr>
      <w:r w:rsidRPr="009072DA">
        <w:rPr>
          <w:lang w:val="bg-BG"/>
        </w:rPr>
        <w:t>2.</w:t>
      </w:r>
      <w:r w:rsidRPr="009072DA">
        <w:rPr>
          <w:lang w:val="bg-BG"/>
        </w:rPr>
        <w:tab/>
        <w:t>Отоплителните котли с твърдо гориво са оборудвани с контролни уреди с термостат за регулиране притока на въздуха, необходим за горене.</w:t>
      </w:r>
    </w:p>
    <w:p w:rsidR="00260F40" w:rsidRPr="009072DA" w:rsidRDefault="00260F40" w:rsidP="00260F40">
      <w:pPr>
        <w:pStyle w:val="ESch"/>
        <w:rPr>
          <w:lang w:val="bg-BG"/>
        </w:rPr>
      </w:pPr>
    </w:p>
    <w:p w:rsidR="00260F40" w:rsidRPr="009072DA" w:rsidRDefault="00260F40" w:rsidP="00260F40">
      <w:pPr>
        <w:pStyle w:val="ESch"/>
        <w:rPr>
          <w:rFonts w:cs="Arial"/>
          <w:lang w:val="bg-BG"/>
        </w:rPr>
      </w:pPr>
      <w:r w:rsidRPr="009072DA">
        <w:rPr>
          <w:lang w:val="bg-BG"/>
        </w:rPr>
        <w:t>3.</w:t>
      </w:r>
      <w:r w:rsidRPr="009072DA">
        <w:rPr>
          <w:lang w:val="bg-BG"/>
        </w:rPr>
        <w:tab/>
        <w:t>В близост до всеки отоплителен прибор се поставят средства, с които саждите да могат бързо да бъдат загасени.</w:t>
      </w:r>
    </w:p>
    <w:p w:rsidR="00260F40" w:rsidRPr="009072DA" w:rsidRDefault="00260F40" w:rsidP="00811428">
      <w:pPr>
        <w:pStyle w:val="ESch"/>
        <w:rPr>
          <w:szCs w:val="20"/>
          <w:lang w:val="bg-BG"/>
        </w:rPr>
      </w:pPr>
    </w:p>
    <w:p w:rsidR="00B51D33" w:rsidRPr="009072DA" w:rsidRDefault="00B51D33" w:rsidP="00811428">
      <w:pPr>
        <w:pStyle w:val="ESch"/>
        <w:rPr>
          <w:szCs w:val="20"/>
          <w:lang w:val="bg-BG"/>
        </w:rPr>
      </w:pPr>
      <w:r w:rsidRPr="009072DA">
        <w:rPr>
          <w:lang w:val="bg-BG"/>
        </w:rPr>
        <w:br w:type="page"/>
      </w:r>
    </w:p>
    <w:p w:rsidR="00B51D33" w:rsidRPr="009072DA" w:rsidRDefault="00B51D33" w:rsidP="00811428">
      <w:pPr>
        <w:pStyle w:val="ESch"/>
        <w:rPr>
          <w:szCs w:val="20"/>
          <w:lang w:val="bg-BG"/>
        </w:rPr>
      </w:pPr>
    </w:p>
    <w:p w:rsidR="00D96486" w:rsidRPr="009072DA" w:rsidRDefault="00D96486" w:rsidP="00811428">
      <w:pPr>
        <w:pStyle w:val="ESch"/>
        <w:rPr>
          <w:szCs w:val="20"/>
          <w:lang w:val="bg-BG"/>
        </w:rPr>
      </w:pPr>
    </w:p>
    <w:p w:rsidR="00AE4E9D" w:rsidRPr="009072DA" w:rsidRDefault="00AE4E9D" w:rsidP="00AE4E9D">
      <w:pPr>
        <w:pStyle w:val="ES-Titre2"/>
        <w:rPr>
          <w:szCs w:val="24"/>
        </w:rPr>
      </w:pPr>
      <w:bookmarkStart w:id="285" w:name="_Toc491854140"/>
      <w:bookmarkStart w:id="286" w:name="_Toc535827581"/>
      <w:r w:rsidRPr="009072DA">
        <w:lastRenderedPageBreak/>
        <w:t>Глава 17</w:t>
      </w:r>
      <w:r w:rsidRPr="009072DA">
        <w:br/>
        <w:t>Битови уредби, работещи с втечнен газ</w:t>
      </w:r>
      <w:bookmarkEnd w:id="285"/>
      <w:bookmarkEnd w:id="286"/>
    </w:p>
    <w:p w:rsidR="00AE4E9D" w:rsidRPr="009072DA" w:rsidRDefault="00AE4E9D" w:rsidP="00AE4E9D">
      <w:pPr>
        <w:rPr>
          <w:lang w:val="bg-BG"/>
        </w:rPr>
      </w:pPr>
    </w:p>
    <w:p w:rsidR="00AE4E9D" w:rsidRPr="009072DA" w:rsidRDefault="00AE4E9D" w:rsidP="00AE4E9D">
      <w:pPr>
        <w:pStyle w:val="ES-Titre3"/>
        <w:rPr>
          <w:lang w:val="bg-BG"/>
        </w:rPr>
      </w:pPr>
      <w:bookmarkStart w:id="287" w:name="_Toc491854141"/>
      <w:bookmarkStart w:id="288" w:name="_Toc535827582"/>
      <w:r w:rsidRPr="009072DA">
        <w:rPr>
          <w:lang w:val="bg-BG"/>
        </w:rPr>
        <w:t>Член 17.01</w:t>
      </w:r>
      <w:r w:rsidRPr="009072DA">
        <w:rPr>
          <w:lang w:val="bg-BG"/>
        </w:rPr>
        <w:br/>
      </w:r>
      <w:r w:rsidRPr="009072DA">
        <w:rPr>
          <w:i/>
          <w:lang w:val="bg-BG"/>
        </w:rPr>
        <w:t>Общи положения</w:t>
      </w:r>
      <w:bookmarkEnd w:id="287"/>
      <w:bookmarkEnd w:id="288"/>
    </w:p>
    <w:p w:rsidR="00AE4E9D" w:rsidRPr="009072DA" w:rsidRDefault="00AE4E9D" w:rsidP="00AE4E9D">
      <w:pPr>
        <w:pStyle w:val="ESch"/>
        <w:rPr>
          <w:lang w:val="bg-BG"/>
        </w:rPr>
      </w:pPr>
    </w:p>
    <w:p w:rsidR="00AE4E9D" w:rsidRPr="009072DA" w:rsidRDefault="00AE4E9D" w:rsidP="00AE4E9D">
      <w:pPr>
        <w:pStyle w:val="ESch"/>
        <w:rPr>
          <w:szCs w:val="20"/>
          <w:lang w:val="bg-BG"/>
        </w:rPr>
      </w:pPr>
      <w:r w:rsidRPr="009072DA">
        <w:rPr>
          <w:lang w:val="bg-BG"/>
        </w:rPr>
        <w:t>1.</w:t>
      </w:r>
      <w:r w:rsidRPr="009072DA">
        <w:rPr>
          <w:lang w:val="bg-BG"/>
        </w:rPr>
        <w:tab/>
        <w:t>Битовите уредби, работещи с втечнен газ, се състоят основно от захранваща секция, включваща една или повече газови бутилки и един или повече регулатори на налягането, разпределителна система и определен брой уреди, работещи на газ.</w:t>
      </w:r>
    </w:p>
    <w:p w:rsidR="00AE4E9D" w:rsidRPr="009072DA" w:rsidRDefault="00AE4E9D" w:rsidP="00AE4E9D">
      <w:pPr>
        <w:pStyle w:val="ESch"/>
        <w:rPr>
          <w:szCs w:val="20"/>
          <w:lang w:val="bg-BG"/>
        </w:rPr>
      </w:pPr>
    </w:p>
    <w:p w:rsidR="00AE4E9D" w:rsidRPr="009072DA" w:rsidRDefault="00AE4E9D" w:rsidP="00AE4E9D">
      <w:pPr>
        <w:pStyle w:val="ESchpar"/>
        <w:rPr>
          <w:lang w:val="bg-BG"/>
        </w:rPr>
      </w:pPr>
      <w:r w:rsidRPr="009072DA">
        <w:rPr>
          <w:lang w:val="bg-BG"/>
        </w:rPr>
        <w:t xml:space="preserve">Резервните и празните бутилки, които не са в захранващата секция, не се смятат за част от инсталацията. Член 17.05 се прилага за тях </w:t>
      </w:r>
      <w:r w:rsidRPr="009072DA">
        <w:rPr>
          <w:i/>
          <w:lang w:val="bg-BG"/>
        </w:rPr>
        <w:t>mutatis mutandis</w:t>
      </w:r>
      <w:r w:rsidRPr="009072DA">
        <w:rPr>
          <w:lang w:val="bg-BG"/>
        </w:rPr>
        <w:t>.</w:t>
      </w:r>
    </w:p>
    <w:p w:rsidR="00AE4E9D" w:rsidRPr="009072DA" w:rsidRDefault="00AE4E9D" w:rsidP="00AE4E9D">
      <w:pPr>
        <w:pStyle w:val="ESch"/>
        <w:rPr>
          <w:szCs w:val="20"/>
          <w:lang w:val="bg-BG"/>
        </w:rPr>
      </w:pPr>
    </w:p>
    <w:p w:rsidR="00AE4E9D" w:rsidRPr="009072DA" w:rsidRDefault="00AE4E9D" w:rsidP="00AE4E9D">
      <w:pPr>
        <w:pStyle w:val="ESch"/>
        <w:rPr>
          <w:szCs w:val="20"/>
          <w:lang w:val="bg-BG"/>
        </w:rPr>
      </w:pPr>
      <w:r w:rsidRPr="009072DA">
        <w:rPr>
          <w:lang w:val="bg-BG"/>
        </w:rPr>
        <w:t>2.</w:t>
      </w:r>
      <w:r w:rsidRPr="009072DA">
        <w:rPr>
          <w:lang w:val="bg-BG"/>
        </w:rPr>
        <w:tab/>
        <w:t>Инсталациите могат да работят само с технически пропан.</w:t>
      </w:r>
    </w:p>
    <w:p w:rsidR="00AE4E9D" w:rsidRPr="009072DA" w:rsidRDefault="00AE4E9D" w:rsidP="00AE4E9D">
      <w:pPr>
        <w:pStyle w:val="ESch"/>
        <w:rPr>
          <w:szCs w:val="20"/>
          <w:lang w:val="bg-BG"/>
        </w:rPr>
      </w:pPr>
    </w:p>
    <w:p w:rsidR="001D67AA" w:rsidRPr="009072DA" w:rsidRDefault="001D67AA" w:rsidP="00AE4E9D">
      <w:pPr>
        <w:pStyle w:val="ESch"/>
        <w:rPr>
          <w:szCs w:val="20"/>
          <w:lang w:val="bg-BG"/>
        </w:rPr>
      </w:pPr>
    </w:p>
    <w:p w:rsidR="00AE4E9D" w:rsidRPr="009072DA" w:rsidRDefault="00AE4E9D" w:rsidP="00AE4E9D">
      <w:pPr>
        <w:pStyle w:val="ES-Titre3"/>
        <w:rPr>
          <w:lang w:val="bg-BG"/>
        </w:rPr>
      </w:pPr>
      <w:bookmarkStart w:id="289" w:name="_Toc491854142"/>
      <w:bookmarkStart w:id="290" w:name="_Toc535827583"/>
      <w:r w:rsidRPr="009072DA">
        <w:rPr>
          <w:lang w:val="bg-BG"/>
        </w:rPr>
        <w:t>Член 17.02</w:t>
      </w:r>
      <w:r w:rsidRPr="009072DA">
        <w:rPr>
          <w:lang w:val="bg-BG"/>
        </w:rPr>
        <w:br/>
      </w:r>
      <w:r w:rsidRPr="009072DA">
        <w:rPr>
          <w:i/>
          <w:lang w:val="bg-BG"/>
        </w:rPr>
        <w:t>Инсталации</w:t>
      </w:r>
      <w:bookmarkEnd w:id="289"/>
      <w:bookmarkEnd w:id="290"/>
    </w:p>
    <w:p w:rsidR="001D67AA" w:rsidRPr="009072DA" w:rsidRDefault="001D67AA" w:rsidP="00AE4E9D">
      <w:pPr>
        <w:pStyle w:val="ESch"/>
        <w:rPr>
          <w:szCs w:val="20"/>
          <w:lang w:val="bg-BG"/>
        </w:rPr>
      </w:pPr>
    </w:p>
    <w:p w:rsidR="00AE4E9D" w:rsidRPr="009072DA" w:rsidRDefault="00AE4E9D" w:rsidP="00AE4E9D">
      <w:pPr>
        <w:pStyle w:val="ESch"/>
        <w:rPr>
          <w:rFonts w:cs="Arial"/>
          <w:szCs w:val="20"/>
          <w:lang w:val="bg-BG"/>
        </w:rPr>
      </w:pPr>
      <w:r w:rsidRPr="009072DA">
        <w:rPr>
          <w:lang w:val="bg-BG"/>
        </w:rPr>
        <w:t>1.</w:t>
      </w:r>
      <w:r w:rsidRPr="009072DA">
        <w:rPr>
          <w:lang w:val="bg-BG"/>
        </w:rPr>
        <w:tab/>
        <w:t>Уредбите за втечнен газ са изцяло настроени за работа с пропан и се изграждат и монтират съгласно най-добрата практика.</w:t>
      </w:r>
    </w:p>
    <w:p w:rsidR="001D67AA" w:rsidRPr="009072DA" w:rsidRDefault="001D67AA" w:rsidP="00AE4E9D">
      <w:pPr>
        <w:pStyle w:val="ESch"/>
        <w:rPr>
          <w:szCs w:val="20"/>
          <w:lang w:val="bg-BG"/>
        </w:rPr>
      </w:pPr>
    </w:p>
    <w:p w:rsidR="00AE4E9D" w:rsidRPr="009072DA" w:rsidRDefault="00AE4E9D" w:rsidP="00AE4E9D">
      <w:pPr>
        <w:pStyle w:val="ESch"/>
        <w:rPr>
          <w:rFonts w:cs="Arial"/>
          <w:szCs w:val="20"/>
          <w:lang w:val="bg-BG"/>
        </w:rPr>
      </w:pPr>
      <w:r w:rsidRPr="009072DA">
        <w:rPr>
          <w:lang w:val="bg-BG"/>
        </w:rPr>
        <w:t>2.</w:t>
      </w:r>
      <w:r w:rsidRPr="009072DA">
        <w:rPr>
          <w:lang w:val="bg-BG"/>
        </w:rPr>
        <w:tab/>
        <w:t>Уредбите за втечнен газ могат да се използват само за битови нужди в жилищните помещения и рулевата рубка и за съответните цели на пътническите плавателни съдове.</w:t>
      </w:r>
    </w:p>
    <w:p w:rsidR="001D67AA" w:rsidRPr="009072DA" w:rsidRDefault="001D67AA" w:rsidP="00AE4E9D">
      <w:pPr>
        <w:pStyle w:val="ESch"/>
        <w:rPr>
          <w:szCs w:val="20"/>
          <w:lang w:val="bg-BG"/>
        </w:rPr>
      </w:pPr>
    </w:p>
    <w:p w:rsidR="00AE4E9D" w:rsidRPr="009072DA" w:rsidRDefault="00AE4E9D" w:rsidP="00AE4E9D">
      <w:pPr>
        <w:pStyle w:val="ESch"/>
        <w:rPr>
          <w:rFonts w:cs="Arial"/>
          <w:szCs w:val="20"/>
          <w:lang w:val="bg-BG"/>
        </w:rPr>
      </w:pPr>
      <w:r w:rsidRPr="009072DA">
        <w:rPr>
          <w:lang w:val="bg-BG"/>
        </w:rPr>
        <w:t>3.</w:t>
      </w:r>
      <w:r w:rsidRPr="009072DA">
        <w:rPr>
          <w:lang w:val="bg-BG"/>
        </w:rPr>
        <w:tab/>
        <w:t>Може да има няколко отделни инсталации на борда. Една инсталация не трябва да се използва за обслужване на жилищни помещения, разделени едно от друго от трюм или неподвижно закрепен резервоар.</w:t>
      </w:r>
    </w:p>
    <w:p w:rsidR="001D67AA" w:rsidRPr="009072DA" w:rsidRDefault="001D67AA" w:rsidP="00AE4E9D">
      <w:pPr>
        <w:pStyle w:val="ESch"/>
        <w:rPr>
          <w:szCs w:val="20"/>
          <w:lang w:val="bg-BG"/>
        </w:rPr>
      </w:pPr>
    </w:p>
    <w:p w:rsidR="00AE4E9D" w:rsidRPr="009072DA" w:rsidRDefault="00AE4E9D" w:rsidP="00AE4E9D">
      <w:pPr>
        <w:pStyle w:val="ESch"/>
        <w:rPr>
          <w:szCs w:val="20"/>
          <w:lang w:val="bg-BG"/>
        </w:rPr>
      </w:pPr>
      <w:r w:rsidRPr="009072DA">
        <w:rPr>
          <w:lang w:val="bg-BG"/>
        </w:rPr>
        <w:t>4.</w:t>
      </w:r>
      <w:r w:rsidRPr="009072DA">
        <w:rPr>
          <w:lang w:val="bg-BG"/>
        </w:rPr>
        <w:tab/>
        <w:t>Нито една част от уредбата за втечнен газ не трябва да бъде разположена в машинното отделение.</w:t>
      </w:r>
    </w:p>
    <w:p w:rsidR="001D67AA" w:rsidRPr="009072DA" w:rsidRDefault="001D67AA" w:rsidP="00AE4E9D">
      <w:pPr>
        <w:pStyle w:val="ESch"/>
        <w:rPr>
          <w:szCs w:val="20"/>
          <w:lang w:val="bg-BG"/>
        </w:rPr>
      </w:pPr>
    </w:p>
    <w:p w:rsidR="001D67AA" w:rsidRPr="009072DA" w:rsidRDefault="001D67AA" w:rsidP="00AE4E9D">
      <w:pPr>
        <w:pStyle w:val="ESch"/>
        <w:rPr>
          <w:rFonts w:cs="Arial"/>
          <w:szCs w:val="20"/>
          <w:lang w:val="bg-BG"/>
        </w:rPr>
      </w:pPr>
    </w:p>
    <w:p w:rsidR="00AE4E9D" w:rsidRPr="009072DA" w:rsidRDefault="00AE4E9D" w:rsidP="00AE4E9D">
      <w:pPr>
        <w:pStyle w:val="ES-Titre3"/>
        <w:rPr>
          <w:lang w:val="bg-BG"/>
        </w:rPr>
      </w:pPr>
      <w:bookmarkStart w:id="291" w:name="_Toc491854143"/>
      <w:bookmarkStart w:id="292" w:name="_Toc535827584"/>
      <w:r w:rsidRPr="009072DA">
        <w:rPr>
          <w:lang w:val="bg-BG"/>
        </w:rPr>
        <w:t>Член 17.03</w:t>
      </w:r>
      <w:r w:rsidRPr="009072DA">
        <w:rPr>
          <w:lang w:val="bg-BG"/>
        </w:rPr>
        <w:br/>
      </w:r>
      <w:r w:rsidRPr="009072DA">
        <w:rPr>
          <w:i/>
          <w:lang w:val="bg-BG"/>
        </w:rPr>
        <w:t>Бутилки</w:t>
      </w:r>
      <w:bookmarkEnd w:id="291"/>
      <w:bookmarkEnd w:id="292"/>
    </w:p>
    <w:p w:rsidR="001D67AA" w:rsidRPr="009072DA" w:rsidRDefault="001D67AA" w:rsidP="001D67AA">
      <w:pPr>
        <w:pStyle w:val="ESch"/>
        <w:rPr>
          <w:lang w:val="bg-BG"/>
        </w:rPr>
      </w:pPr>
    </w:p>
    <w:p w:rsidR="00AE4E9D" w:rsidRPr="009072DA" w:rsidRDefault="00AE4E9D" w:rsidP="001D67AA">
      <w:pPr>
        <w:pStyle w:val="ESch"/>
        <w:rPr>
          <w:lang w:val="bg-BG"/>
        </w:rPr>
      </w:pPr>
      <w:r w:rsidRPr="009072DA">
        <w:rPr>
          <w:lang w:val="bg-BG"/>
        </w:rPr>
        <w:t>1.</w:t>
      </w:r>
      <w:r w:rsidRPr="009072DA">
        <w:rPr>
          <w:lang w:val="bg-BG"/>
        </w:rPr>
        <w:tab/>
        <w:t>Разрешени са само бутилки с одобрена вместимост между 5 и 35 kg. При пътническите плавателни съдове контролният орган може да одобри използване на бутилки с по-голяма вместимост.</w:t>
      </w:r>
    </w:p>
    <w:p w:rsidR="001D67AA" w:rsidRPr="009072DA" w:rsidRDefault="001D67AA" w:rsidP="001D67AA">
      <w:pPr>
        <w:pStyle w:val="ESch"/>
        <w:rPr>
          <w:lang w:val="bg-BG"/>
        </w:rPr>
      </w:pPr>
    </w:p>
    <w:p w:rsidR="00AE4E9D" w:rsidRPr="009072DA" w:rsidRDefault="00AE4E9D" w:rsidP="001D67AA">
      <w:pPr>
        <w:pStyle w:val="ESch"/>
        <w:rPr>
          <w:lang w:val="bg-BG"/>
        </w:rPr>
      </w:pPr>
      <w:r w:rsidRPr="009072DA">
        <w:rPr>
          <w:lang w:val="bg-BG"/>
        </w:rPr>
        <w:t>2.</w:t>
      </w:r>
      <w:r w:rsidRPr="009072DA">
        <w:rPr>
          <w:lang w:val="bg-BG"/>
        </w:rPr>
        <w:tab/>
        <w:t>Бутилките трябва да отговарят на настоящите изисквания в една от държавите членки.</w:t>
      </w:r>
    </w:p>
    <w:p w:rsidR="001D67AA" w:rsidRPr="009072DA" w:rsidRDefault="001D67AA" w:rsidP="001D67AA">
      <w:pPr>
        <w:pStyle w:val="ESch"/>
        <w:rPr>
          <w:lang w:val="bg-BG"/>
        </w:rPr>
      </w:pPr>
    </w:p>
    <w:p w:rsidR="00AE4E9D" w:rsidRPr="009072DA" w:rsidRDefault="00AE4E9D" w:rsidP="001D67AA">
      <w:pPr>
        <w:pStyle w:val="ESchpar"/>
        <w:rPr>
          <w:lang w:val="bg-BG"/>
        </w:rPr>
      </w:pPr>
      <w:r w:rsidRPr="009072DA">
        <w:rPr>
          <w:lang w:val="bg-BG"/>
        </w:rPr>
        <w:t>Тези бутилки трябва да имат официален печат, удостоверяващ, че са приети след изискваните изпитвания.</w:t>
      </w:r>
    </w:p>
    <w:p w:rsidR="00AE4E9D" w:rsidRPr="009072DA" w:rsidRDefault="00AE4E9D" w:rsidP="001D67AA">
      <w:pPr>
        <w:pStyle w:val="ESch"/>
        <w:rPr>
          <w:lang w:val="bg-BG"/>
        </w:rPr>
      </w:pPr>
    </w:p>
    <w:p w:rsidR="001D67AA" w:rsidRPr="009072DA" w:rsidRDefault="001D67AA" w:rsidP="001D67AA">
      <w:pPr>
        <w:pStyle w:val="ESch"/>
        <w:rPr>
          <w:lang w:val="bg-BG"/>
        </w:rPr>
      </w:pPr>
    </w:p>
    <w:p w:rsidR="00AE4E9D" w:rsidRPr="009072DA" w:rsidRDefault="00AE4E9D" w:rsidP="00AE4E9D">
      <w:pPr>
        <w:pStyle w:val="ES-Titre3"/>
        <w:rPr>
          <w:i/>
          <w:lang w:val="bg-BG"/>
        </w:rPr>
      </w:pPr>
      <w:bookmarkStart w:id="293" w:name="_Toc491854144"/>
      <w:bookmarkStart w:id="294" w:name="_Toc535827585"/>
      <w:r w:rsidRPr="009072DA">
        <w:rPr>
          <w:lang w:val="bg-BG"/>
        </w:rPr>
        <w:t>Член 17.04</w:t>
      </w:r>
      <w:r w:rsidRPr="009072DA">
        <w:rPr>
          <w:lang w:val="bg-BG"/>
        </w:rPr>
        <w:br/>
      </w:r>
      <w:r w:rsidRPr="009072DA">
        <w:rPr>
          <w:i/>
          <w:lang w:val="bg-BG"/>
        </w:rPr>
        <w:t>Местоположение и разположение на захранващите секции</w:t>
      </w:r>
      <w:bookmarkEnd w:id="293"/>
      <w:bookmarkEnd w:id="294"/>
    </w:p>
    <w:p w:rsidR="001D67AA" w:rsidRPr="009072DA" w:rsidRDefault="001D67AA" w:rsidP="001D67AA">
      <w:pPr>
        <w:pStyle w:val="ESch"/>
        <w:rPr>
          <w:lang w:val="bg-BG"/>
        </w:rPr>
      </w:pPr>
    </w:p>
    <w:p w:rsidR="00AE4E9D" w:rsidRPr="009072DA" w:rsidRDefault="00AE4E9D" w:rsidP="001D67AA">
      <w:pPr>
        <w:pStyle w:val="ESch"/>
        <w:rPr>
          <w:lang w:val="bg-BG"/>
        </w:rPr>
      </w:pPr>
      <w:r w:rsidRPr="009072DA">
        <w:rPr>
          <w:lang w:val="bg-BG"/>
        </w:rPr>
        <w:t>1.</w:t>
      </w:r>
      <w:r w:rsidRPr="009072DA">
        <w:rPr>
          <w:lang w:val="bg-BG"/>
        </w:rPr>
        <w:tab/>
        <w:t>Захранващите секции трябва да са монтирани на палубата в отделен шкаф или стенен долап, разположен извън жилищните помещения на такова място, че да не пречи на движението на борда. Те не могат обаче да се монтират на предния или задния фалшборд. Шкафът може да бъде стенен шкаф, вграден в надстройката, при условие че е газонепроницаем и може да се отваря отвън на надстройката. Той трябва да е разположен така, че разпределителните тръби, водещи до газопотребителните пунктове, да са възможно най-къси.</w:t>
      </w:r>
    </w:p>
    <w:p w:rsidR="001D67AA" w:rsidRPr="009072DA" w:rsidRDefault="001D67AA" w:rsidP="001D67AA">
      <w:pPr>
        <w:pStyle w:val="ESch"/>
        <w:rPr>
          <w:lang w:val="bg-BG"/>
        </w:rPr>
      </w:pPr>
    </w:p>
    <w:p w:rsidR="001D67AA" w:rsidRPr="009072DA" w:rsidRDefault="001D67AA" w:rsidP="001D67AA">
      <w:pPr>
        <w:pStyle w:val="ESch"/>
        <w:rPr>
          <w:lang w:val="bg-BG"/>
        </w:rPr>
      </w:pPr>
      <w:r w:rsidRPr="009072DA">
        <w:rPr>
          <w:lang w:val="bg-BG"/>
        </w:rPr>
        <w:br w:type="page"/>
      </w:r>
    </w:p>
    <w:p w:rsidR="00AE4E9D" w:rsidRPr="009072DA" w:rsidRDefault="00AE4E9D" w:rsidP="001D67AA">
      <w:pPr>
        <w:pStyle w:val="ESchpar"/>
        <w:rPr>
          <w:lang w:val="bg-BG"/>
        </w:rPr>
      </w:pPr>
      <w:r w:rsidRPr="009072DA">
        <w:rPr>
          <w:lang w:val="bg-BG"/>
        </w:rPr>
        <w:lastRenderedPageBreak/>
        <w:t>Не може да се използват едновременно повече бутилки, отколкото са необходими за работата на инсталацията. Няколко бутилки могат да бъдат свързани само ако се използва автоматичен реверсиращ разклонител. До четири бутилки могат да бъдат свързани за една захранващата секция. Броят на бутилките на борда, включително резервните бутилки, не трябва да надвишава шест на съоръжение.</w:t>
      </w:r>
    </w:p>
    <w:p w:rsidR="00397B6A" w:rsidRPr="009072DA" w:rsidRDefault="00397B6A" w:rsidP="001D67AA">
      <w:pPr>
        <w:pStyle w:val="ESchpar"/>
        <w:rPr>
          <w:lang w:val="bg-BG"/>
        </w:rPr>
      </w:pPr>
    </w:p>
    <w:p w:rsidR="00AE4E9D" w:rsidRPr="009072DA" w:rsidRDefault="00AE4E9D" w:rsidP="001D67AA">
      <w:pPr>
        <w:pStyle w:val="ESchpar"/>
        <w:rPr>
          <w:lang w:val="bg-BG"/>
        </w:rPr>
      </w:pPr>
      <w:r w:rsidRPr="009072DA">
        <w:rPr>
          <w:lang w:val="bg-BG"/>
        </w:rPr>
        <w:t>До шест бутилки могат да бъдат свързани на пътническите плавателни съдове с камбузи или столови за пътниците. Броят на бутилките на борда, включително резервните бутилки, не трябва да надвишава девет на съоръжение.</w:t>
      </w:r>
    </w:p>
    <w:p w:rsidR="001D67AA" w:rsidRPr="009072DA" w:rsidRDefault="001D67AA" w:rsidP="001D67AA">
      <w:pPr>
        <w:pStyle w:val="ESchpar"/>
        <w:rPr>
          <w:lang w:val="bg-BG"/>
        </w:rPr>
      </w:pPr>
    </w:p>
    <w:p w:rsidR="00AE4E9D" w:rsidRPr="009072DA" w:rsidRDefault="00AE4E9D" w:rsidP="001D67AA">
      <w:pPr>
        <w:pStyle w:val="ESchpar"/>
        <w:rPr>
          <w:lang w:val="bg-BG"/>
        </w:rPr>
      </w:pPr>
      <w:r w:rsidRPr="009072DA">
        <w:rPr>
          <w:lang w:val="bg-BG"/>
        </w:rPr>
        <w:t>Регулаторът на налягането, или в случай на двустепенно занижаване на налягането, първият регулатор се монтира на преградата в същия шкаф, както и бутилките.</w:t>
      </w:r>
    </w:p>
    <w:p w:rsidR="001D67AA" w:rsidRPr="009072DA" w:rsidRDefault="001D67AA" w:rsidP="001D67AA">
      <w:pPr>
        <w:pStyle w:val="ESchpar"/>
        <w:rPr>
          <w:lang w:val="bg-BG"/>
        </w:rPr>
      </w:pPr>
    </w:p>
    <w:p w:rsidR="00AE4E9D" w:rsidRPr="009072DA" w:rsidRDefault="00AE4E9D" w:rsidP="001D67AA">
      <w:pPr>
        <w:pStyle w:val="ESch"/>
        <w:rPr>
          <w:lang w:val="bg-BG"/>
        </w:rPr>
      </w:pPr>
      <w:r w:rsidRPr="009072DA">
        <w:rPr>
          <w:lang w:val="bg-BG"/>
        </w:rPr>
        <w:t>2.</w:t>
      </w:r>
      <w:r w:rsidRPr="009072DA">
        <w:rPr>
          <w:lang w:val="bg-BG"/>
        </w:rPr>
        <w:tab/>
        <w:t>Захранващите секции трябва да са разположени така, че всяко изтичане на газ да може да излезе от шкафа в атмосферата, без какъвто и да е риск да проникне във вътрешността на плавателния съд или да влезе в досег с източник на възпламеняване.</w:t>
      </w:r>
    </w:p>
    <w:p w:rsidR="001D67AA" w:rsidRPr="009072DA" w:rsidRDefault="001D67AA" w:rsidP="001D67AA">
      <w:pPr>
        <w:pStyle w:val="ESch"/>
        <w:rPr>
          <w:lang w:val="bg-BG"/>
        </w:rPr>
      </w:pPr>
    </w:p>
    <w:p w:rsidR="00AE4E9D" w:rsidRPr="009072DA" w:rsidRDefault="00AE4E9D" w:rsidP="001D67AA">
      <w:pPr>
        <w:pStyle w:val="ESch"/>
        <w:rPr>
          <w:lang w:val="bg-BG"/>
        </w:rPr>
      </w:pPr>
      <w:r w:rsidRPr="009072DA">
        <w:rPr>
          <w:lang w:val="bg-BG"/>
        </w:rPr>
        <w:t>3.</w:t>
      </w:r>
      <w:r w:rsidRPr="009072DA">
        <w:rPr>
          <w:lang w:val="bg-BG"/>
        </w:rPr>
        <w:tab/>
        <w:t>Шкафовете трябва да са направени от материали, забавящи горенето и да се проветряват достатъчно посредством отвори в горната и долната част. Бутилките трябва да са разположени вертикално в шкафа по такъв начин, че да не могат да се обърнат.</w:t>
      </w:r>
    </w:p>
    <w:p w:rsidR="001D67AA" w:rsidRPr="009072DA" w:rsidRDefault="001D67AA" w:rsidP="001D67AA">
      <w:pPr>
        <w:pStyle w:val="ESch"/>
        <w:rPr>
          <w:lang w:val="bg-BG"/>
        </w:rPr>
      </w:pPr>
    </w:p>
    <w:p w:rsidR="00AE4E9D" w:rsidRPr="009072DA" w:rsidRDefault="00AE4E9D" w:rsidP="001D67AA">
      <w:pPr>
        <w:pStyle w:val="ESch"/>
        <w:rPr>
          <w:lang w:val="bg-BG"/>
        </w:rPr>
      </w:pPr>
      <w:r w:rsidRPr="009072DA">
        <w:rPr>
          <w:lang w:val="bg-BG"/>
        </w:rPr>
        <w:t>4.</w:t>
      </w:r>
      <w:r w:rsidRPr="009072DA">
        <w:rPr>
          <w:lang w:val="bg-BG"/>
        </w:rPr>
        <w:tab/>
        <w:t>Шкафовете трябва да са така конструирани и разположени, че температурата на бутилките да не може да превишава 50 °С.</w:t>
      </w:r>
    </w:p>
    <w:p w:rsidR="001D67AA" w:rsidRPr="009072DA" w:rsidRDefault="001D67AA" w:rsidP="001D67AA">
      <w:pPr>
        <w:pStyle w:val="ESch"/>
        <w:rPr>
          <w:lang w:val="bg-BG"/>
        </w:rPr>
      </w:pPr>
    </w:p>
    <w:p w:rsidR="00AE4E9D" w:rsidRPr="009072DA" w:rsidRDefault="00AE4E9D" w:rsidP="001D67AA">
      <w:pPr>
        <w:pStyle w:val="ESch"/>
        <w:rPr>
          <w:lang w:val="bg-BG"/>
        </w:rPr>
      </w:pPr>
      <w:r w:rsidRPr="009072DA">
        <w:rPr>
          <w:lang w:val="bg-BG"/>
        </w:rPr>
        <w:t>5.</w:t>
      </w:r>
      <w:r w:rsidRPr="009072DA">
        <w:rPr>
          <w:lang w:val="bg-BG"/>
        </w:rPr>
        <w:tab/>
        <w:t>Надписите „Втечнен газ“ и „Паленето на огън и пушенето забранени“ с диаметър от поне 10 cm в съответствие с фигура 2 от приложение 4 се поставят на външната страна на шкафа.</w:t>
      </w:r>
    </w:p>
    <w:p w:rsidR="001D67AA" w:rsidRPr="009072DA" w:rsidRDefault="001D67AA" w:rsidP="001D67AA">
      <w:pPr>
        <w:pStyle w:val="ESch"/>
        <w:rPr>
          <w:lang w:val="bg-BG"/>
        </w:rPr>
      </w:pPr>
    </w:p>
    <w:p w:rsidR="00AE4E9D" w:rsidRPr="009072DA" w:rsidRDefault="00AE4E9D" w:rsidP="001D67AA">
      <w:pPr>
        <w:pStyle w:val="ESch"/>
        <w:rPr>
          <w:lang w:val="bg-BG"/>
        </w:rPr>
      </w:pPr>
    </w:p>
    <w:p w:rsidR="00AE4E9D" w:rsidRPr="009072DA" w:rsidRDefault="00AE4E9D" w:rsidP="00AE4E9D">
      <w:pPr>
        <w:pStyle w:val="ES-Titre3"/>
        <w:rPr>
          <w:i/>
          <w:lang w:val="bg-BG"/>
        </w:rPr>
      </w:pPr>
      <w:bookmarkStart w:id="295" w:name="_Toc491854145"/>
      <w:bookmarkStart w:id="296" w:name="_Toc535827586"/>
      <w:r w:rsidRPr="009072DA">
        <w:rPr>
          <w:lang w:val="bg-BG"/>
        </w:rPr>
        <w:t>Член 17.05</w:t>
      </w:r>
      <w:r w:rsidRPr="009072DA">
        <w:rPr>
          <w:lang w:val="bg-BG"/>
        </w:rPr>
        <w:br/>
      </w:r>
      <w:r w:rsidRPr="009072DA">
        <w:rPr>
          <w:i/>
          <w:lang w:val="bg-BG"/>
        </w:rPr>
        <w:t>Резервни и празни бутилки</w:t>
      </w:r>
      <w:bookmarkEnd w:id="295"/>
      <w:bookmarkEnd w:id="296"/>
    </w:p>
    <w:p w:rsidR="001D67AA" w:rsidRPr="009072DA" w:rsidRDefault="001D67AA" w:rsidP="001D67AA">
      <w:pPr>
        <w:pStyle w:val="ESch"/>
        <w:rPr>
          <w:lang w:val="bg-BG"/>
        </w:rPr>
      </w:pPr>
    </w:p>
    <w:p w:rsidR="00AE4E9D" w:rsidRPr="009072DA" w:rsidRDefault="00AE4E9D" w:rsidP="001D67AA">
      <w:pPr>
        <w:pStyle w:val="ESgauche"/>
        <w:rPr>
          <w:noProof w:val="0"/>
          <w:lang w:val="bg-BG"/>
        </w:rPr>
      </w:pPr>
      <w:r w:rsidRPr="009072DA">
        <w:rPr>
          <w:noProof w:val="0"/>
          <w:lang w:val="bg-BG"/>
        </w:rPr>
        <w:t>Резервните и празните бутилки, които не се намират в захранващата секция, трябва да се складират извън жилищните помещения и рулевата рубка в шкаф, конструиран в съответствие с член 17.04.</w:t>
      </w:r>
    </w:p>
    <w:p w:rsidR="00AE4E9D" w:rsidRPr="009072DA" w:rsidRDefault="00AE4E9D" w:rsidP="001D67AA">
      <w:pPr>
        <w:pStyle w:val="ESch"/>
        <w:rPr>
          <w:lang w:val="bg-BG"/>
        </w:rPr>
      </w:pPr>
    </w:p>
    <w:p w:rsidR="001D67AA" w:rsidRPr="009072DA" w:rsidRDefault="001D67AA" w:rsidP="001D67AA">
      <w:pPr>
        <w:pStyle w:val="ESch"/>
        <w:rPr>
          <w:lang w:val="bg-BG"/>
        </w:rPr>
      </w:pPr>
    </w:p>
    <w:p w:rsidR="00AE4E9D" w:rsidRPr="009072DA" w:rsidRDefault="00AE4E9D" w:rsidP="00AE4E9D">
      <w:pPr>
        <w:pStyle w:val="ES-Titre3"/>
        <w:rPr>
          <w:i/>
          <w:lang w:val="bg-BG"/>
        </w:rPr>
      </w:pPr>
      <w:bookmarkStart w:id="297" w:name="_Toc491854146"/>
      <w:bookmarkStart w:id="298" w:name="_Toc535827587"/>
      <w:r w:rsidRPr="009072DA">
        <w:rPr>
          <w:lang w:val="bg-BG"/>
        </w:rPr>
        <w:lastRenderedPageBreak/>
        <w:t>Член 17.06</w:t>
      </w:r>
      <w:r w:rsidRPr="009072DA">
        <w:rPr>
          <w:lang w:val="bg-BG"/>
        </w:rPr>
        <w:br/>
      </w:r>
      <w:r w:rsidRPr="009072DA">
        <w:rPr>
          <w:i/>
          <w:lang w:val="bg-BG"/>
        </w:rPr>
        <w:t>Регулатори на налягането</w:t>
      </w:r>
      <w:bookmarkEnd w:id="297"/>
      <w:bookmarkEnd w:id="298"/>
    </w:p>
    <w:p w:rsidR="001D67AA" w:rsidRPr="009072DA" w:rsidRDefault="001D67AA" w:rsidP="001D67AA">
      <w:pPr>
        <w:pStyle w:val="ESch"/>
        <w:rPr>
          <w:lang w:val="bg-BG"/>
        </w:rPr>
      </w:pPr>
    </w:p>
    <w:p w:rsidR="00AE4E9D" w:rsidRPr="009072DA" w:rsidRDefault="00AE4E9D" w:rsidP="001D67AA">
      <w:pPr>
        <w:pStyle w:val="ESch"/>
        <w:rPr>
          <w:lang w:val="bg-BG"/>
        </w:rPr>
      </w:pPr>
      <w:r w:rsidRPr="009072DA">
        <w:rPr>
          <w:lang w:val="bg-BG"/>
        </w:rPr>
        <w:t>1.</w:t>
      </w:r>
      <w:r w:rsidRPr="009072DA">
        <w:rPr>
          <w:lang w:val="bg-BG"/>
        </w:rPr>
        <w:tab/>
        <w:t>Уредите, работещи на газ, могат да се свързват с бутилките само посредством разпределителна система, оборудвана с един или повече регулатори на налягането на газа до нормалното работно налягане. Налягането може да бъде намалено с една или две степени. Всички регулатори на налягането се настройват за налягането, определено в съответствие с член 17.07.</w:t>
      </w:r>
    </w:p>
    <w:p w:rsidR="001D67AA" w:rsidRPr="009072DA" w:rsidRDefault="001D67AA" w:rsidP="001D67AA">
      <w:pPr>
        <w:pStyle w:val="ESch"/>
        <w:rPr>
          <w:lang w:val="bg-BG"/>
        </w:rPr>
      </w:pPr>
    </w:p>
    <w:p w:rsidR="00AE4E9D" w:rsidRPr="009072DA" w:rsidRDefault="00AE4E9D" w:rsidP="001D67AA">
      <w:pPr>
        <w:pStyle w:val="ESch"/>
        <w:rPr>
          <w:lang w:val="bg-BG"/>
        </w:rPr>
      </w:pPr>
      <w:r w:rsidRPr="009072DA">
        <w:rPr>
          <w:lang w:val="bg-BG"/>
        </w:rPr>
        <w:t>2.</w:t>
      </w:r>
      <w:r w:rsidRPr="009072DA">
        <w:rPr>
          <w:lang w:val="bg-BG"/>
        </w:rPr>
        <w:tab/>
        <w:t>Крайните регулатори на налягането имат или са пряко свързани с приспособление за автоматична защита на газопроводите от прекомерно налягане в случай на повреда на регулатора на налягането. Гарантира се, че всеки газ, който предпазното устройство допусне да изтече, се отвежда в атмосферата, без какъвто и да е риск за проникване във вътрешността на плавателния съд или за влизане в досег с източник на възпламеняване; При необходимост се монтира специален тръбопровод за тази цел.</w:t>
      </w:r>
    </w:p>
    <w:p w:rsidR="001D67AA" w:rsidRPr="009072DA" w:rsidRDefault="001D67AA" w:rsidP="001D67AA">
      <w:pPr>
        <w:pStyle w:val="ESch"/>
        <w:rPr>
          <w:lang w:val="bg-BG"/>
        </w:rPr>
      </w:pPr>
    </w:p>
    <w:p w:rsidR="00AE4E9D" w:rsidRPr="009072DA" w:rsidRDefault="00AE4E9D" w:rsidP="001D67AA">
      <w:pPr>
        <w:pStyle w:val="ESch"/>
        <w:rPr>
          <w:lang w:val="bg-BG"/>
        </w:rPr>
      </w:pPr>
      <w:r w:rsidRPr="009072DA">
        <w:rPr>
          <w:lang w:val="bg-BG"/>
        </w:rPr>
        <w:t>3.</w:t>
      </w:r>
      <w:r w:rsidRPr="009072DA">
        <w:rPr>
          <w:lang w:val="bg-BG"/>
        </w:rPr>
        <w:tab/>
        <w:t>Защитните устройства и вентилационните отвори трябва да са защитени срещу проникване на вода.</w:t>
      </w:r>
    </w:p>
    <w:p w:rsidR="00AE4E9D" w:rsidRPr="009072DA" w:rsidRDefault="00AE4E9D" w:rsidP="001D67AA">
      <w:pPr>
        <w:pStyle w:val="ESch"/>
        <w:rPr>
          <w:lang w:val="bg-BG"/>
        </w:rPr>
      </w:pPr>
    </w:p>
    <w:p w:rsidR="001D67AA" w:rsidRPr="009072DA" w:rsidRDefault="001D67AA" w:rsidP="001D67AA">
      <w:pPr>
        <w:pStyle w:val="ESch"/>
        <w:rPr>
          <w:lang w:val="bg-BG"/>
        </w:rPr>
      </w:pPr>
      <w:r w:rsidRPr="009072DA">
        <w:rPr>
          <w:lang w:val="bg-BG"/>
        </w:rPr>
        <w:br w:type="page"/>
      </w:r>
    </w:p>
    <w:p w:rsidR="00AE4E9D" w:rsidRPr="009072DA" w:rsidRDefault="00AE4E9D" w:rsidP="00AE4E9D">
      <w:pPr>
        <w:pStyle w:val="ES-Titre3"/>
        <w:rPr>
          <w:i/>
          <w:lang w:val="bg-BG"/>
        </w:rPr>
      </w:pPr>
      <w:bookmarkStart w:id="299" w:name="_Toc491854147"/>
      <w:bookmarkStart w:id="300" w:name="_Toc535827588"/>
      <w:r w:rsidRPr="009072DA">
        <w:rPr>
          <w:lang w:val="bg-BG"/>
        </w:rPr>
        <w:lastRenderedPageBreak/>
        <w:t>Член 17.07</w:t>
      </w:r>
      <w:r w:rsidRPr="009072DA">
        <w:rPr>
          <w:lang w:val="bg-BG"/>
        </w:rPr>
        <w:br/>
      </w:r>
      <w:r w:rsidRPr="009072DA">
        <w:rPr>
          <w:i/>
          <w:lang w:val="bg-BG"/>
        </w:rPr>
        <w:t>Налягане</w:t>
      </w:r>
      <w:bookmarkEnd w:id="299"/>
      <w:bookmarkEnd w:id="300"/>
    </w:p>
    <w:p w:rsidR="001D67AA" w:rsidRPr="009072DA" w:rsidRDefault="001D67AA" w:rsidP="001D67AA">
      <w:pPr>
        <w:pStyle w:val="ESch"/>
        <w:rPr>
          <w:lang w:val="bg-BG"/>
        </w:rPr>
      </w:pPr>
    </w:p>
    <w:p w:rsidR="00AE4E9D" w:rsidRPr="009072DA" w:rsidRDefault="00AE4E9D" w:rsidP="001D67AA">
      <w:pPr>
        <w:pStyle w:val="ESch"/>
        <w:rPr>
          <w:lang w:val="bg-BG"/>
        </w:rPr>
      </w:pPr>
      <w:r w:rsidRPr="009072DA">
        <w:rPr>
          <w:lang w:val="bg-BG"/>
        </w:rPr>
        <w:t>1.</w:t>
      </w:r>
      <w:r w:rsidRPr="009072DA">
        <w:rPr>
          <w:lang w:val="bg-BG"/>
        </w:rPr>
        <w:tab/>
        <w:t>Когато се използват системи за двустепенно занижаване на налягането, средното налягане не трябва да е повече от 2,5 bar над атмосферното налягане.</w:t>
      </w:r>
    </w:p>
    <w:p w:rsidR="001D67AA" w:rsidRPr="009072DA" w:rsidRDefault="001D67AA" w:rsidP="001D67AA">
      <w:pPr>
        <w:pStyle w:val="ESch"/>
        <w:rPr>
          <w:lang w:val="bg-BG"/>
        </w:rPr>
      </w:pPr>
    </w:p>
    <w:p w:rsidR="00AE4E9D" w:rsidRPr="009072DA" w:rsidRDefault="00AE4E9D" w:rsidP="001D67AA">
      <w:pPr>
        <w:pStyle w:val="ESch"/>
        <w:rPr>
          <w:lang w:val="bg-BG"/>
        </w:rPr>
      </w:pPr>
      <w:r w:rsidRPr="009072DA">
        <w:rPr>
          <w:lang w:val="bg-BG"/>
        </w:rPr>
        <w:t>2.</w:t>
      </w:r>
      <w:r w:rsidRPr="009072DA">
        <w:rPr>
          <w:lang w:val="bg-BG"/>
        </w:rPr>
        <w:tab/>
        <w:t>Налягането на изхода на последния регулатор  на налягането не трябва да е по-голямо с повече от 0,05 bar от атмосферното налягане, с допуск от 10 %.</w:t>
      </w:r>
    </w:p>
    <w:p w:rsidR="00AE4E9D" w:rsidRPr="009072DA" w:rsidRDefault="00AE4E9D" w:rsidP="001D67AA">
      <w:pPr>
        <w:pStyle w:val="ESch"/>
        <w:rPr>
          <w:lang w:val="bg-BG"/>
        </w:rPr>
      </w:pPr>
    </w:p>
    <w:p w:rsidR="001D67AA" w:rsidRPr="009072DA" w:rsidRDefault="001D67AA" w:rsidP="001D67AA">
      <w:pPr>
        <w:pStyle w:val="ESch"/>
        <w:rPr>
          <w:lang w:val="bg-BG"/>
        </w:rPr>
      </w:pPr>
    </w:p>
    <w:p w:rsidR="00AE4E9D" w:rsidRPr="009072DA" w:rsidRDefault="00AE4E9D" w:rsidP="00AE4E9D">
      <w:pPr>
        <w:pStyle w:val="ES-Titre3"/>
        <w:rPr>
          <w:i/>
          <w:lang w:val="bg-BG"/>
        </w:rPr>
      </w:pPr>
      <w:bookmarkStart w:id="301" w:name="_Toc491854148"/>
      <w:bookmarkStart w:id="302" w:name="_Toc535827589"/>
      <w:r w:rsidRPr="009072DA">
        <w:rPr>
          <w:lang w:val="bg-BG"/>
        </w:rPr>
        <w:t>Член 17.08</w:t>
      </w:r>
      <w:r w:rsidRPr="009072DA">
        <w:rPr>
          <w:lang w:val="bg-BG"/>
        </w:rPr>
        <w:br/>
      </w:r>
      <w:r w:rsidRPr="009072DA">
        <w:rPr>
          <w:i/>
          <w:lang w:val="bg-BG"/>
        </w:rPr>
        <w:t>Тръбопроводи и гъвкави тръби</w:t>
      </w:r>
      <w:bookmarkEnd w:id="301"/>
      <w:bookmarkEnd w:id="302"/>
    </w:p>
    <w:p w:rsidR="001D67AA" w:rsidRPr="009072DA" w:rsidRDefault="001D67AA" w:rsidP="001D67AA">
      <w:pPr>
        <w:pStyle w:val="ESch"/>
        <w:rPr>
          <w:lang w:val="bg-BG"/>
        </w:rPr>
      </w:pPr>
    </w:p>
    <w:p w:rsidR="00AE4E9D" w:rsidRPr="009072DA" w:rsidRDefault="00AE4E9D" w:rsidP="001D67AA">
      <w:pPr>
        <w:pStyle w:val="ESch"/>
        <w:rPr>
          <w:lang w:val="bg-BG"/>
        </w:rPr>
      </w:pPr>
      <w:r w:rsidRPr="009072DA">
        <w:rPr>
          <w:lang w:val="bg-BG"/>
        </w:rPr>
        <w:t>1.</w:t>
      </w:r>
      <w:r w:rsidRPr="009072DA">
        <w:rPr>
          <w:lang w:val="bg-BG"/>
        </w:rPr>
        <w:tab/>
        <w:t>Тръбите трябва да бъдат неподвижно монтирани стоманени или медни тръби.</w:t>
      </w:r>
    </w:p>
    <w:p w:rsidR="001D67AA" w:rsidRPr="009072DA" w:rsidRDefault="001D67AA" w:rsidP="001D67AA">
      <w:pPr>
        <w:pStyle w:val="ESchpar"/>
        <w:rPr>
          <w:lang w:val="bg-BG"/>
        </w:rPr>
      </w:pPr>
    </w:p>
    <w:p w:rsidR="00AE4E9D" w:rsidRPr="009072DA" w:rsidRDefault="00AE4E9D" w:rsidP="001D67AA">
      <w:pPr>
        <w:pStyle w:val="ESchpar"/>
        <w:rPr>
          <w:lang w:val="bg-BG"/>
        </w:rPr>
      </w:pPr>
      <w:r w:rsidRPr="009072DA">
        <w:rPr>
          <w:lang w:val="bg-BG"/>
        </w:rPr>
        <w:t>Обаче тръбопроводите, свързани с бутилките, трябва да са гъвкави тръби за високо налягане или спирални тръбопроводи, пригодни за газ пропан. Уредите, работещи на газ, могат, в случай че не са закрепени стационарно, да бъдат свързани чрез подходящи гъвкави тръби не по-дълги от 1 m.</w:t>
      </w:r>
    </w:p>
    <w:p w:rsidR="001D67AA" w:rsidRPr="009072DA" w:rsidRDefault="001D67AA" w:rsidP="001D67AA">
      <w:pPr>
        <w:pStyle w:val="ESch"/>
        <w:rPr>
          <w:lang w:val="bg-BG"/>
        </w:rPr>
      </w:pPr>
    </w:p>
    <w:p w:rsidR="00AE4E9D" w:rsidRPr="009072DA" w:rsidRDefault="00AE4E9D" w:rsidP="001D67AA">
      <w:pPr>
        <w:pStyle w:val="ESch"/>
        <w:rPr>
          <w:lang w:val="bg-BG"/>
        </w:rPr>
      </w:pPr>
      <w:r w:rsidRPr="009072DA">
        <w:rPr>
          <w:lang w:val="bg-BG"/>
        </w:rPr>
        <w:t>2.</w:t>
      </w:r>
      <w:r w:rsidRPr="009072DA">
        <w:rPr>
          <w:lang w:val="bg-BG"/>
        </w:rPr>
        <w:tab/>
        <w:t>Тръбите трябва да могат да издържат на всякакви натоварвания, по специално свързани с корозията и механичната якост, които могат да възникнат при нормалните работни условия на борда, и техните характеристики и разположение трябва да са такива, че да осигуряват задоволителен приток на газ с необходимото налягане до уредите, работещи на газ.</w:t>
      </w:r>
    </w:p>
    <w:p w:rsidR="001D67AA" w:rsidRPr="009072DA" w:rsidRDefault="001D67AA" w:rsidP="001D67AA">
      <w:pPr>
        <w:pStyle w:val="ESch"/>
        <w:rPr>
          <w:lang w:val="bg-BG"/>
        </w:rPr>
      </w:pPr>
    </w:p>
    <w:p w:rsidR="00AE4E9D" w:rsidRPr="009072DA" w:rsidRDefault="00AE4E9D" w:rsidP="001D67AA">
      <w:pPr>
        <w:pStyle w:val="ESch"/>
        <w:rPr>
          <w:lang w:val="bg-BG"/>
        </w:rPr>
      </w:pPr>
      <w:r w:rsidRPr="009072DA">
        <w:rPr>
          <w:lang w:val="bg-BG"/>
        </w:rPr>
        <w:t>3.</w:t>
      </w:r>
      <w:r w:rsidRPr="009072DA">
        <w:rPr>
          <w:lang w:val="bg-BG"/>
        </w:rPr>
        <w:tab/>
        <w:t>Тръбите трябва да имат възможно най-малко съединения. Тръбите и съединенията трябва да са газонепроницаеми и остават газонепроницаеми независимо от всяка вибрация или разтягане, на които могат да бъдат подложени.</w:t>
      </w:r>
    </w:p>
    <w:p w:rsidR="001D67AA" w:rsidRPr="009072DA" w:rsidRDefault="001D67AA" w:rsidP="001D67AA">
      <w:pPr>
        <w:pStyle w:val="ESch"/>
        <w:rPr>
          <w:lang w:val="bg-BG"/>
        </w:rPr>
      </w:pPr>
    </w:p>
    <w:p w:rsidR="00AE4E9D" w:rsidRPr="009072DA" w:rsidRDefault="00AE4E9D" w:rsidP="001D67AA">
      <w:pPr>
        <w:pStyle w:val="ESch"/>
        <w:rPr>
          <w:lang w:val="bg-BG"/>
        </w:rPr>
      </w:pPr>
      <w:r w:rsidRPr="009072DA">
        <w:rPr>
          <w:lang w:val="bg-BG"/>
        </w:rPr>
        <w:t>4.</w:t>
      </w:r>
      <w:r w:rsidRPr="009072DA">
        <w:rPr>
          <w:lang w:val="bg-BG"/>
        </w:rPr>
        <w:tab/>
        <w:t>Тръбите трябва да са леснодостъпни, добре закрепени и защитени във всяка точка, където могат да бъдат обект на удар или триене, особено когато преминават през стоманени прегради или метални разделители. Цялата повърхност на стоманените тръби трябва да е обработена против корозия.</w:t>
      </w:r>
    </w:p>
    <w:p w:rsidR="001D67AA" w:rsidRPr="009072DA" w:rsidRDefault="001D67AA" w:rsidP="001D67AA">
      <w:pPr>
        <w:pStyle w:val="ESch"/>
        <w:rPr>
          <w:lang w:val="bg-BG"/>
        </w:rPr>
      </w:pPr>
    </w:p>
    <w:p w:rsidR="00AE4E9D" w:rsidRPr="009072DA" w:rsidRDefault="00AE4E9D" w:rsidP="001D67AA">
      <w:pPr>
        <w:pStyle w:val="ESch"/>
        <w:rPr>
          <w:rStyle w:val="HeaderChar"/>
          <w:rFonts w:ascii="Arial" w:hAnsi="Arial"/>
          <w:sz w:val="20"/>
          <w:lang w:val="bg-BG"/>
        </w:rPr>
      </w:pPr>
      <w:r w:rsidRPr="009072DA">
        <w:rPr>
          <w:lang w:val="bg-BG"/>
        </w:rPr>
        <w:t>5.</w:t>
      </w:r>
      <w:r w:rsidRPr="009072DA">
        <w:rPr>
          <w:lang w:val="bg-BG"/>
        </w:rPr>
        <w:tab/>
        <w:t xml:space="preserve">Гъвкавите тръби и техните съединители трябва да са в състояние да издържат на всякакви натоварвания, които могат да възникнат при нормалните работни условия на </w:t>
      </w:r>
      <w:r w:rsidRPr="009072DA">
        <w:rPr>
          <w:lang w:val="bg-BG"/>
        </w:rPr>
        <w:lastRenderedPageBreak/>
        <w:t>борда. Те трябва да са монтирани така, че да не са подложени на напрежение, да не се прегряват и да могат да бъдат проверявани по цялата им дължина.</w:t>
      </w:r>
    </w:p>
    <w:p w:rsidR="00AE4E9D" w:rsidRPr="009072DA" w:rsidRDefault="00AE4E9D" w:rsidP="001D67AA">
      <w:pPr>
        <w:pStyle w:val="ESch"/>
        <w:rPr>
          <w:lang w:val="bg-BG"/>
        </w:rPr>
      </w:pPr>
    </w:p>
    <w:p w:rsidR="001D67AA" w:rsidRPr="009072DA" w:rsidRDefault="001D67AA" w:rsidP="001D67AA">
      <w:pPr>
        <w:pStyle w:val="ESch"/>
        <w:rPr>
          <w:lang w:val="bg-BG"/>
        </w:rPr>
      </w:pPr>
    </w:p>
    <w:p w:rsidR="00AE4E9D" w:rsidRPr="009072DA" w:rsidRDefault="00AE4E9D" w:rsidP="00AE4E9D">
      <w:pPr>
        <w:pStyle w:val="ES-Titre3"/>
        <w:rPr>
          <w:i/>
          <w:lang w:val="bg-BG"/>
        </w:rPr>
      </w:pPr>
      <w:bookmarkStart w:id="303" w:name="_Toc491854149"/>
      <w:bookmarkStart w:id="304" w:name="_Toc535827590"/>
      <w:r w:rsidRPr="009072DA">
        <w:rPr>
          <w:lang w:val="bg-BG"/>
        </w:rPr>
        <w:t>Член 17.09</w:t>
      </w:r>
      <w:r w:rsidRPr="009072DA">
        <w:rPr>
          <w:lang w:val="bg-BG"/>
        </w:rPr>
        <w:br/>
      </w:r>
      <w:r w:rsidRPr="009072DA">
        <w:rPr>
          <w:i/>
          <w:lang w:val="bg-BG"/>
        </w:rPr>
        <w:t>Разпределителна система</w:t>
      </w:r>
      <w:bookmarkEnd w:id="303"/>
      <w:bookmarkEnd w:id="304"/>
    </w:p>
    <w:p w:rsidR="001D67AA" w:rsidRPr="009072DA" w:rsidRDefault="001D67AA" w:rsidP="001D67AA">
      <w:pPr>
        <w:pStyle w:val="ESch"/>
        <w:rPr>
          <w:lang w:val="bg-BG"/>
        </w:rPr>
      </w:pPr>
    </w:p>
    <w:p w:rsidR="00AE4E9D" w:rsidRPr="009072DA" w:rsidRDefault="00AE4E9D" w:rsidP="001D67AA">
      <w:pPr>
        <w:pStyle w:val="ESch"/>
        <w:rPr>
          <w:lang w:val="bg-BG"/>
        </w:rPr>
      </w:pPr>
      <w:r w:rsidRPr="009072DA">
        <w:rPr>
          <w:lang w:val="bg-BG"/>
        </w:rPr>
        <w:t>1.</w:t>
      </w:r>
      <w:r w:rsidRPr="009072DA">
        <w:rPr>
          <w:lang w:val="bg-BG"/>
        </w:rPr>
        <w:tab/>
        <w:t>Трябва да има възможност за изключване на цялата система за разпределение чрез главен вентил, който по всяко време е бързо и леснодостъпен.</w:t>
      </w:r>
    </w:p>
    <w:p w:rsidR="001D67AA" w:rsidRPr="009072DA" w:rsidRDefault="001D67AA" w:rsidP="001D67AA">
      <w:pPr>
        <w:pStyle w:val="ESch"/>
        <w:rPr>
          <w:lang w:val="bg-BG"/>
        </w:rPr>
      </w:pPr>
    </w:p>
    <w:p w:rsidR="00AE4E9D" w:rsidRPr="009072DA" w:rsidRDefault="00AE4E9D" w:rsidP="001D67AA">
      <w:pPr>
        <w:pStyle w:val="ESch"/>
        <w:rPr>
          <w:lang w:val="bg-BG"/>
        </w:rPr>
      </w:pPr>
      <w:r w:rsidRPr="009072DA">
        <w:rPr>
          <w:lang w:val="bg-BG"/>
        </w:rPr>
        <w:t>2.</w:t>
      </w:r>
      <w:r w:rsidRPr="009072DA">
        <w:rPr>
          <w:lang w:val="bg-BG"/>
        </w:rPr>
        <w:tab/>
        <w:t>Всеки уред, работещ на газ, трябва да се захранва от отделно разклонение на разпределителната система и всяко разклонение да се контролира с отделно затварящо устройство.</w:t>
      </w:r>
    </w:p>
    <w:p w:rsidR="001D67AA" w:rsidRPr="009072DA" w:rsidRDefault="001D67AA" w:rsidP="001D67AA">
      <w:pPr>
        <w:pStyle w:val="ESch"/>
        <w:rPr>
          <w:lang w:val="bg-BG"/>
        </w:rPr>
      </w:pPr>
    </w:p>
    <w:p w:rsidR="005662C0" w:rsidRPr="009072DA" w:rsidRDefault="005662C0" w:rsidP="001D67AA">
      <w:pPr>
        <w:pStyle w:val="ESch"/>
        <w:rPr>
          <w:lang w:val="bg-BG"/>
        </w:rPr>
      </w:pPr>
      <w:r w:rsidRPr="009072DA">
        <w:rPr>
          <w:lang w:val="bg-BG"/>
        </w:rPr>
        <w:br w:type="page"/>
      </w:r>
    </w:p>
    <w:p w:rsidR="00AE4E9D" w:rsidRPr="009072DA" w:rsidRDefault="00AE4E9D" w:rsidP="001D67AA">
      <w:pPr>
        <w:pStyle w:val="ESch"/>
        <w:rPr>
          <w:lang w:val="bg-BG"/>
        </w:rPr>
      </w:pPr>
      <w:r w:rsidRPr="009072DA">
        <w:rPr>
          <w:lang w:val="bg-BG"/>
        </w:rPr>
        <w:lastRenderedPageBreak/>
        <w:t>3.</w:t>
      </w:r>
      <w:r w:rsidRPr="009072DA">
        <w:rPr>
          <w:lang w:val="bg-BG"/>
        </w:rPr>
        <w:tab/>
        <w:t>Вентилите трябва да са поставени на места, където са защитени от атмосферно влияние и въздействие.</w:t>
      </w:r>
    </w:p>
    <w:p w:rsidR="001D67AA" w:rsidRPr="009072DA" w:rsidRDefault="001D67AA" w:rsidP="001D67AA">
      <w:pPr>
        <w:pStyle w:val="ESch"/>
        <w:rPr>
          <w:lang w:val="bg-BG"/>
        </w:rPr>
      </w:pPr>
    </w:p>
    <w:p w:rsidR="00AE4E9D" w:rsidRPr="009072DA" w:rsidRDefault="00AE4E9D" w:rsidP="001D67AA">
      <w:pPr>
        <w:pStyle w:val="ESch"/>
        <w:rPr>
          <w:lang w:val="bg-BG"/>
        </w:rPr>
      </w:pPr>
      <w:r w:rsidRPr="009072DA">
        <w:rPr>
          <w:lang w:val="bg-BG"/>
        </w:rPr>
        <w:t>4.</w:t>
      </w:r>
      <w:r w:rsidRPr="009072DA">
        <w:rPr>
          <w:lang w:val="bg-BG"/>
        </w:rPr>
        <w:tab/>
        <w:t>След всеки регулатор на налягането се монтира връзка за проверка. Чрез затварящо устройство трябва да се гарантира, че при изпитванията на налягането регулаторът на налягането няма да бъде подложен на изпитвателното налягане.</w:t>
      </w:r>
    </w:p>
    <w:p w:rsidR="00AE4E9D" w:rsidRPr="009072DA" w:rsidRDefault="00AE4E9D" w:rsidP="001D67AA">
      <w:pPr>
        <w:pStyle w:val="ESch"/>
        <w:rPr>
          <w:lang w:val="bg-BG"/>
        </w:rPr>
      </w:pPr>
    </w:p>
    <w:p w:rsidR="001D67AA" w:rsidRPr="009072DA" w:rsidRDefault="001D67AA" w:rsidP="001D67AA">
      <w:pPr>
        <w:pStyle w:val="ESch"/>
        <w:rPr>
          <w:lang w:val="bg-BG"/>
        </w:rPr>
      </w:pPr>
    </w:p>
    <w:p w:rsidR="00AE4E9D" w:rsidRPr="009072DA" w:rsidRDefault="00AE4E9D" w:rsidP="00AE4E9D">
      <w:pPr>
        <w:pStyle w:val="ES-Titre3"/>
        <w:rPr>
          <w:i/>
          <w:lang w:val="bg-BG"/>
        </w:rPr>
      </w:pPr>
      <w:bookmarkStart w:id="305" w:name="_Toc491854150"/>
      <w:bookmarkStart w:id="306" w:name="_Toc535827591"/>
      <w:r w:rsidRPr="009072DA">
        <w:rPr>
          <w:lang w:val="bg-BG"/>
        </w:rPr>
        <w:t>Член 17.10</w:t>
      </w:r>
      <w:r w:rsidRPr="009072DA">
        <w:rPr>
          <w:lang w:val="bg-BG"/>
        </w:rPr>
        <w:br/>
      </w:r>
      <w:r w:rsidRPr="009072DA">
        <w:rPr>
          <w:i/>
          <w:lang w:val="bg-BG"/>
        </w:rPr>
        <w:t>Консумиращи газ уреди и тяхното монтиране</w:t>
      </w:r>
      <w:bookmarkEnd w:id="305"/>
      <w:bookmarkEnd w:id="306"/>
    </w:p>
    <w:p w:rsidR="005662C0" w:rsidRPr="009072DA" w:rsidRDefault="005662C0" w:rsidP="005662C0">
      <w:pPr>
        <w:pStyle w:val="ESch"/>
        <w:rPr>
          <w:lang w:val="bg-BG"/>
        </w:rPr>
      </w:pPr>
    </w:p>
    <w:p w:rsidR="00AE4E9D" w:rsidRPr="009072DA" w:rsidRDefault="00AE4E9D" w:rsidP="005662C0">
      <w:pPr>
        <w:pStyle w:val="ESch"/>
        <w:rPr>
          <w:lang w:val="bg-BG"/>
        </w:rPr>
      </w:pPr>
      <w:r w:rsidRPr="009072DA">
        <w:rPr>
          <w:lang w:val="bg-BG"/>
        </w:rPr>
        <w:t>1.</w:t>
      </w:r>
      <w:r w:rsidRPr="009072DA">
        <w:rPr>
          <w:lang w:val="bg-BG"/>
        </w:rPr>
        <w:tab/>
        <w:t>Единствените уреди, които могат да се монтират, са такива, работещи с пропан, одобрени в една от държавите членки и оборудвани с устройства, които ефективно предотвратяват изпускането на газ в случай на загасване на пламъка или на запалителния факел.</w:t>
      </w:r>
    </w:p>
    <w:p w:rsidR="005662C0" w:rsidRPr="009072DA" w:rsidRDefault="005662C0" w:rsidP="005662C0">
      <w:pPr>
        <w:pStyle w:val="ESch"/>
        <w:rPr>
          <w:lang w:val="bg-BG"/>
        </w:rPr>
      </w:pPr>
    </w:p>
    <w:p w:rsidR="00AE4E9D" w:rsidRPr="009072DA" w:rsidRDefault="00AE4E9D" w:rsidP="005662C0">
      <w:pPr>
        <w:pStyle w:val="ESch"/>
        <w:rPr>
          <w:lang w:val="bg-BG"/>
        </w:rPr>
      </w:pPr>
      <w:r w:rsidRPr="009072DA">
        <w:rPr>
          <w:lang w:val="bg-BG"/>
        </w:rPr>
        <w:t>2.</w:t>
      </w:r>
      <w:r w:rsidRPr="009072DA">
        <w:rPr>
          <w:lang w:val="bg-BG"/>
        </w:rPr>
        <w:tab/>
        <w:t>Уредите се разполагат и свързват така, че да не могат да се обърнат или да бъдат случайно разместени и да бъде избегнат всеки риск от случайно изкривяване на свързващите тръби.</w:t>
      </w:r>
    </w:p>
    <w:p w:rsidR="005662C0" w:rsidRPr="009072DA" w:rsidRDefault="005662C0" w:rsidP="005662C0">
      <w:pPr>
        <w:pStyle w:val="ESch"/>
        <w:rPr>
          <w:lang w:val="bg-BG"/>
        </w:rPr>
      </w:pPr>
    </w:p>
    <w:p w:rsidR="00AE4E9D" w:rsidRPr="009072DA" w:rsidRDefault="00AE4E9D" w:rsidP="005662C0">
      <w:pPr>
        <w:pStyle w:val="ESch"/>
        <w:rPr>
          <w:lang w:val="bg-BG"/>
        </w:rPr>
      </w:pPr>
      <w:r w:rsidRPr="009072DA">
        <w:rPr>
          <w:lang w:val="bg-BG"/>
        </w:rPr>
        <w:t>3.</w:t>
      </w:r>
      <w:r w:rsidRPr="009072DA">
        <w:rPr>
          <w:lang w:val="bg-BG"/>
        </w:rPr>
        <w:tab/>
        <w:t>Отоплителните и водоподгряващите уреди и хладилниците се свързват към димоотвод за отвеждане на газовете от горенето на открито.</w:t>
      </w:r>
    </w:p>
    <w:p w:rsidR="005662C0" w:rsidRPr="009072DA" w:rsidRDefault="005662C0" w:rsidP="005662C0">
      <w:pPr>
        <w:pStyle w:val="ESch"/>
        <w:rPr>
          <w:lang w:val="bg-BG"/>
        </w:rPr>
      </w:pPr>
    </w:p>
    <w:p w:rsidR="00AE4E9D" w:rsidRPr="009072DA" w:rsidRDefault="00AE4E9D" w:rsidP="005662C0">
      <w:pPr>
        <w:pStyle w:val="ESch"/>
        <w:rPr>
          <w:lang w:val="bg-BG"/>
        </w:rPr>
      </w:pPr>
      <w:r w:rsidRPr="009072DA">
        <w:rPr>
          <w:lang w:val="bg-BG"/>
        </w:rPr>
        <w:t>4.</w:t>
      </w:r>
      <w:r w:rsidRPr="009072DA">
        <w:rPr>
          <w:lang w:val="bg-BG"/>
        </w:rPr>
        <w:tab/>
        <w:t>Монтиране на уреди, работещи на газ, е позволено в рулевата рубка само ако същата е така построена, че никакъв случайно изтекъл газ да не може да проникне в долните части на плавателното средство и особено през отворите на връзките за управление, водещи към машинното отделение.</w:t>
      </w:r>
    </w:p>
    <w:p w:rsidR="005662C0" w:rsidRPr="009072DA" w:rsidRDefault="005662C0" w:rsidP="005662C0">
      <w:pPr>
        <w:pStyle w:val="ESch"/>
        <w:rPr>
          <w:lang w:val="bg-BG"/>
        </w:rPr>
      </w:pPr>
    </w:p>
    <w:p w:rsidR="00AE4E9D" w:rsidRPr="009072DA" w:rsidRDefault="00AE4E9D" w:rsidP="005662C0">
      <w:pPr>
        <w:pStyle w:val="ESch"/>
        <w:rPr>
          <w:lang w:val="bg-BG"/>
        </w:rPr>
      </w:pPr>
      <w:r w:rsidRPr="009072DA">
        <w:rPr>
          <w:lang w:val="bg-BG"/>
        </w:rPr>
        <w:t>5.</w:t>
      </w:r>
      <w:r w:rsidRPr="009072DA">
        <w:rPr>
          <w:lang w:val="bg-BG"/>
        </w:rPr>
        <w:tab/>
        <w:t>Уреди, работещи на газ, могат да бъдат монтирани в спалните помещения само ако горенето им е независимо от околния въздух в помещенията.</w:t>
      </w:r>
    </w:p>
    <w:p w:rsidR="005662C0" w:rsidRPr="009072DA" w:rsidRDefault="005662C0" w:rsidP="005662C0">
      <w:pPr>
        <w:pStyle w:val="ESch"/>
        <w:rPr>
          <w:lang w:val="bg-BG"/>
        </w:rPr>
      </w:pPr>
    </w:p>
    <w:p w:rsidR="00AE4E9D" w:rsidRPr="009072DA" w:rsidRDefault="00AE4E9D" w:rsidP="005662C0">
      <w:pPr>
        <w:pStyle w:val="ESch"/>
        <w:rPr>
          <w:lang w:val="bg-BG"/>
        </w:rPr>
      </w:pPr>
      <w:r w:rsidRPr="009072DA">
        <w:rPr>
          <w:lang w:val="bg-BG"/>
        </w:rPr>
        <w:t>6.</w:t>
      </w:r>
      <w:r w:rsidRPr="009072DA">
        <w:rPr>
          <w:lang w:val="bg-BG"/>
        </w:rPr>
        <w:tab/>
        <w:t>Уреди, работещи на газ, при които горенето зависи от въздуха в помещенията, трябва да се разполагат в достатъчно обширни помещения.</w:t>
      </w:r>
    </w:p>
    <w:p w:rsidR="00AE4E9D" w:rsidRPr="009072DA" w:rsidRDefault="00AE4E9D" w:rsidP="005662C0">
      <w:pPr>
        <w:pStyle w:val="ESch"/>
        <w:rPr>
          <w:lang w:val="bg-BG"/>
        </w:rPr>
      </w:pPr>
    </w:p>
    <w:p w:rsidR="005662C0" w:rsidRPr="009072DA" w:rsidRDefault="005662C0" w:rsidP="005662C0">
      <w:pPr>
        <w:pStyle w:val="ESch"/>
        <w:rPr>
          <w:lang w:val="bg-BG"/>
        </w:rPr>
      </w:pPr>
    </w:p>
    <w:p w:rsidR="00AE4E9D" w:rsidRPr="009072DA" w:rsidRDefault="00AE4E9D" w:rsidP="00AE4E9D">
      <w:pPr>
        <w:pStyle w:val="ES-Titre3"/>
        <w:rPr>
          <w:i/>
          <w:lang w:val="bg-BG"/>
        </w:rPr>
      </w:pPr>
      <w:bookmarkStart w:id="307" w:name="_Toc491854151"/>
      <w:bookmarkStart w:id="308" w:name="_Toc535827592"/>
      <w:r w:rsidRPr="009072DA">
        <w:rPr>
          <w:lang w:val="bg-BG"/>
        </w:rPr>
        <w:t>Член 17.11</w:t>
      </w:r>
      <w:r w:rsidRPr="009072DA">
        <w:rPr>
          <w:lang w:val="bg-BG"/>
        </w:rPr>
        <w:br/>
      </w:r>
      <w:r w:rsidRPr="009072DA">
        <w:rPr>
          <w:i/>
          <w:lang w:val="bg-BG"/>
        </w:rPr>
        <w:t>Вентилация и отвеждане на отработените газове</w:t>
      </w:r>
      <w:bookmarkEnd w:id="307"/>
      <w:bookmarkEnd w:id="308"/>
    </w:p>
    <w:p w:rsidR="005662C0" w:rsidRPr="009072DA" w:rsidRDefault="005662C0" w:rsidP="005662C0">
      <w:pPr>
        <w:pStyle w:val="ESch"/>
        <w:rPr>
          <w:lang w:val="bg-BG"/>
        </w:rPr>
      </w:pPr>
    </w:p>
    <w:p w:rsidR="00AE4E9D" w:rsidRPr="009072DA" w:rsidRDefault="00AE4E9D" w:rsidP="005662C0">
      <w:pPr>
        <w:pStyle w:val="ESch"/>
        <w:rPr>
          <w:lang w:val="bg-BG"/>
        </w:rPr>
      </w:pPr>
      <w:r w:rsidRPr="009072DA">
        <w:rPr>
          <w:lang w:val="bg-BG"/>
        </w:rPr>
        <w:t>1.</w:t>
      </w:r>
      <w:r w:rsidRPr="009072DA">
        <w:rPr>
          <w:lang w:val="bg-BG"/>
        </w:rPr>
        <w:tab/>
        <w:t>В помещения, в които има уреди, работещи на газ, в които горенето зависи от околния въздух, подаването на въздух и отвеждането на отработените газове трябва да се осигурява чрез вентилационни отвори с подходящи размери, със светло сечение от поне 150 cm</w:t>
      </w:r>
      <w:r w:rsidRPr="009072DA">
        <w:rPr>
          <w:vertAlign w:val="superscript"/>
          <w:lang w:val="bg-BG"/>
        </w:rPr>
        <w:t>2</w:t>
      </w:r>
      <w:r w:rsidRPr="009072DA">
        <w:rPr>
          <w:lang w:val="bg-BG"/>
        </w:rPr>
        <w:t xml:space="preserve"> на отвор.</w:t>
      </w:r>
    </w:p>
    <w:p w:rsidR="005662C0" w:rsidRPr="009072DA" w:rsidRDefault="005662C0" w:rsidP="005662C0">
      <w:pPr>
        <w:pStyle w:val="ESch"/>
        <w:rPr>
          <w:lang w:val="bg-BG"/>
        </w:rPr>
      </w:pPr>
    </w:p>
    <w:p w:rsidR="00AE4E9D" w:rsidRPr="009072DA" w:rsidRDefault="00AE4E9D" w:rsidP="005662C0">
      <w:pPr>
        <w:pStyle w:val="ESch"/>
        <w:rPr>
          <w:lang w:val="bg-BG"/>
        </w:rPr>
      </w:pPr>
      <w:r w:rsidRPr="009072DA">
        <w:rPr>
          <w:lang w:val="bg-BG"/>
        </w:rPr>
        <w:t>2.</w:t>
      </w:r>
      <w:r w:rsidRPr="009072DA">
        <w:rPr>
          <w:lang w:val="bg-BG"/>
        </w:rPr>
        <w:tab/>
        <w:t>Вентилационните отвори не трябва да имат затварящо устройство и да водят към спални помещения.</w:t>
      </w:r>
    </w:p>
    <w:p w:rsidR="005662C0" w:rsidRPr="009072DA" w:rsidRDefault="005662C0" w:rsidP="005662C0">
      <w:pPr>
        <w:pStyle w:val="ESch"/>
        <w:rPr>
          <w:lang w:val="bg-BG"/>
        </w:rPr>
      </w:pPr>
    </w:p>
    <w:p w:rsidR="00AE4E9D" w:rsidRPr="009072DA" w:rsidRDefault="00AE4E9D" w:rsidP="005662C0">
      <w:pPr>
        <w:pStyle w:val="ESch"/>
        <w:rPr>
          <w:lang w:val="bg-BG"/>
        </w:rPr>
      </w:pPr>
      <w:r w:rsidRPr="009072DA">
        <w:rPr>
          <w:lang w:val="bg-BG"/>
        </w:rPr>
        <w:t>3.</w:t>
      </w:r>
      <w:r w:rsidRPr="009072DA">
        <w:rPr>
          <w:lang w:val="bg-BG"/>
        </w:rPr>
        <w:tab/>
        <w:t>Устройствата за отвеждане трябва да бъдат проектирани така, че да осигуряват цялостното отвеждане на отработените газове. Те трябва да са надеждни за работа и направени от негорими материали. Тяхното функциониране не трябва да се влияе от принудителната вентилация.</w:t>
      </w:r>
    </w:p>
    <w:p w:rsidR="00AE4E9D" w:rsidRPr="009072DA" w:rsidRDefault="00AE4E9D" w:rsidP="005662C0">
      <w:pPr>
        <w:pStyle w:val="ESch"/>
        <w:rPr>
          <w:lang w:val="bg-BG"/>
        </w:rPr>
      </w:pPr>
    </w:p>
    <w:p w:rsidR="005662C0" w:rsidRPr="009072DA" w:rsidRDefault="005662C0" w:rsidP="005662C0">
      <w:pPr>
        <w:pStyle w:val="ESch"/>
        <w:rPr>
          <w:lang w:val="bg-BG"/>
        </w:rPr>
      </w:pPr>
      <w:r w:rsidRPr="009072DA">
        <w:rPr>
          <w:lang w:val="bg-BG"/>
        </w:rPr>
        <w:br w:type="page"/>
      </w:r>
    </w:p>
    <w:p w:rsidR="00AE4E9D" w:rsidRPr="009072DA" w:rsidRDefault="00AE4E9D" w:rsidP="00AE4E9D">
      <w:pPr>
        <w:pStyle w:val="ES-Titre3"/>
        <w:rPr>
          <w:i/>
          <w:lang w:val="bg-BG"/>
        </w:rPr>
      </w:pPr>
      <w:bookmarkStart w:id="309" w:name="_Toc491854152"/>
      <w:bookmarkStart w:id="310" w:name="_Toc535827593"/>
      <w:r w:rsidRPr="009072DA">
        <w:rPr>
          <w:lang w:val="bg-BG"/>
        </w:rPr>
        <w:lastRenderedPageBreak/>
        <w:t>Член 17.12</w:t>
      </w:r>
      <w:r w:rsidRPr="009072DA">
        <w:rPr>
          <w:lang w:val="bg-BG"/>
        </w:rPr>
        <w:br/>
      </w:r>
      <w:r w:rsidRPr="009072DA">
        <w:rPr>
          <w:i/>
          <w:lang w:val="bg-BG"/>
        </w:rPr>
        <w:t>Инструкции за експлоатация</w:t>
      </w:r>
      <w:bookmarkEnd w:id="309"/>
      <w:bookmarkEnd w:id="310"/>
    </w:p>
    <w:p w:rsidR="005662C0" w:rsidRPr="009072DA" w:rsidRDefault="005662C0" w:rsidP="005662C0">
      <w:pPr>
        <w:pStyle w:val="ESgauche"/>
        <w:rPr>
          <w:noProof w:val="0"/>
          <w:lang w:val="bg-BG"/>
        </w:rPr>
      </w:pPr>
    </w:p>
    <w:p w:rsidR="00AE4E9D" w:rsidRPr="009072DA" w:rsidRDefault="00AE4E9D" w:rsidP="005662C0">
      <w:pPr>
        <w:pStyle w:val="ESgauche"/>
        <w:rPr>
          <w:noProof w:val="0"/>
          <w:lang w:val="bg-BG"/>
        </w:rPr>
      </w:pPr>
      <w:r w:rsidRPr="009072DA">
        <w:rPr>
          <w:noProof w:val="0"/>
          <w:lang w:val="bg-BG"/>
        </w:rPr>
        <w:t>Инструкцията за експлоатация се поставя на борда на подходящо място. Тя съдържа най-малко следното:</w:t>
      </w:r>
    </w:p>
    <w:p w:rsidR="005662C0" w:rsidRPr="009072DA" w:rsidRDefault="005662C0" w:rsidP="005662C0">
      <w:pPr>
        <w:pStyle w:val="ESgauche"/>
        <w:rPr>
          <w:noProof w:val="0"/>
          <w:lang w:val="bg-BG"/>
        </w:rPr>
      </w:pPr>
    </w:p>
    <w:p w:rsidR="00AE4E9D" w:rsidRPr="009072DA" w:rsidRDefault="0064343D" w:rsidP="005D13EF">
      <w:pPr>
        <w:pStyle w:val="ESgauche"/>
        <w:jc w:val="center"/>
        <w:rPr>
          <w:noProof w:val="0"/>
          <w:lang w:val="bg-BG"/>
        </w:rPr>
      </w:pPr>
      <w:r w:rsidRPr="009072DA">
        <w:rPr>
          <w:noProof w:val="0"/>
          <w:lang w:val="bg-BG"/>
        </w:rPr>
        <w:t>„Кранчетата на бутилките, които не са свързани към разпределителната система, трябва да бъдат затворени, дори ако съдовете се смятат за празни“.</w:t>
      </w:r>
    </w:p>
    <w:p w:rsidR="005662C0" w:rsidRPr="009072DA" w:rsidRDefault="005662C0" w:rsidP="005D13EF">
      <w:pPr>
        <w:pStyle w:val="ESgauche"/>
        <w:jc w:val="center"/>
        <w:rPr>
          <w:noProof w:val="0"/>
          <w:lang w:val="bg-BG"/>
        </w:rPr>
      </w:pPr>
    </w:p>
    <w:p w:rsidR="00AE4E9D" w:rsidRPr="009072DA" w:rsidRDefault="0064343D" w:rsidP="005D13EF">
      <w:pPr>
        <w:pStyle w:val="ESgauche"/>
        <w:jc w:val="center"/>
        <w:rPr>
          <w:noProof w:val="0"/>
          <w:lang w:val="bg-BG"/>
        </w:rPr>
      </w:pPr>
      <w:r w:rsidRPr="009072DA">
        <w:rPr>
          <w:noProof w:val="0"/>
          <w:lang w:val="bg-BG"/>
        </w:rPr>
        <w:t>„Гъвкавите тръби трябва да се сменят толкова често, колкото го изисква тяхното състояние“.</w:t>
      </w:r>
    </w:p>
    <w:p w:rsidR="005662C0" w:rsidRPr="009072DA" w:rsidRDefault="005662C0" w:rsidP="005D13EF">
      <w:pPr>
        <w:pStyle w:val="ESgauche"/>
        <w:jc w:val="center"/>
        <w:rPr>
          <w:noProof w:val="0"/>
          <w:lang w:val="bg-BG"/>
        </w:rPr>
      </w:pPr>
    </w:p>
    <w:p w:rsidR="00AE4E9D" w:rsidRPr="009072DA" w:rsidRDefault="0064343D" w:rsidP="005D13EF">
      <w:pPr>
        <w:pStyle w:val="ESgauche"/>
        <w:jc w:val="center"/>
        <w:rPr>
          <w:noProof w:val="0"/>
          <w:lang w:val="bg-BG"/>
        </w:rPr>
      </w:pPr>
      <w:r w:rsidRPr="009072DA">
        <w:rPr>
          <w:noProof w:val="0"/>
          <w:lang w:val="bg-BG"/>
        </w:rPr>
        <w:t>„Всички уреди, работещи с газ, трябва да бъдат свързани или съответните съединителни тръби да бъдат запечатани“.</w:t>
      </w:r>
    </w:p>
    <w:p w:rsidR="00AE4E9D" w:rsidRPr="009072DA" w:rsidRDefault="00AE4E9D" w:rsidP="005662C0">
      <w:pPr>
        <w:pStyle w:val="ESch"/>
        <w:rPr>
          <w:lang w:val="bg-BG"/>
        </w:rPr>
      </w:pPr>
    </w:p>
    <w:p w:rsidR="005662C0" w:rsidRPr="009072DA" w:rsidRDefault="005662C0" w:rsidP="005662C0">
      <w:pPr>
        <w:pStyle w:val="ESch"/>
        <w:rPr>
          <w:lang w:val="bg-BG"/>
        </w:rPr>
      </w:pPr>
    </w:p>
    <w:p w:rsidR="00AE4E9D" w:rsidRPr="009072DA" w:rsidRDefault="00AE4E9D" w:rsidP="00AE4E9D">
      <w:pPr>
        <w:pStyle w:val="ES-Titre3"/>
        <w:rPr>
          <w:i/>
          <w:lang w:val="bg-BG"/>
        </w:rPr>
      </w:pPr>
      <w:bookmarkStart w:id="311" w:name="_Toc491854153"/>
      <w:bookmarkStart w:id="312" w:name="_Toc535827594"/>
      <w:r w:rsidRPr="009072DA">
        <w:rPr>
          <w:lang w:val="bg-BG"/>
        </w:rPr>
        <w:t>Член 17.13</w:t>
      </w:r>
      <w:r w:rsidRPr="009072DA">
        <w:rPr>
          <w:lang w:val="bg-BG"/>
        </w:rPr>
        <w:br/>
      </w:r>
      <w:r w:rsidRPr="009072DA">
        <w:rPr>
          <w:i/>
          <w:lang w:val="bg-BG"/>
        </w:rPr>
        <w:t>Приемно изпитване</w:t>
      </w:r>
      <w:bookmarkEnd w:id="311"/>
      <w:bookmarkEnd w:id="312"/>
    </w:p>
    <w:p w:rsidR="005662C0" w:rsidRPr="009072DA" w:rsidRDefault="005662C0" w:rsidP="005662C0">
      <w:pPr>
        <w:pStyle w:val="ESch"/>
        <w:rPr>
          <w:lang w:val="bg-BG"/>
        </w:rPr>
      </w:pPr>
    </w:p>
    <w:p w:rsidR="00AE4E9D" w:rsidRPr="009072DA" w:rsidRDefault="00AE4E9D" w:rsidP="005662C0">
      <w:pPr>
        <w:pStyle w:val="ESgauche"/>
        <w:rPr>
          <w:noProof w:val="0"/>
          <w:lang w:val="bg-BG"/>
        </w:rPr>
      </w:pPr>
      <w:r w:rsidRPr="009072DA">
        <w:rPr>
          <w:noProof w:val="0"/>
          <w:lang w:val="bg-BG"/>
        </w:rPr>
        <w:t>Уредбите за втечнен газ се проверяват от експерт с цел да се установи дали уредбата отговаря на изискванията на настоящата глава:</w:t>
      </w:r>
    </w:p>
    <w:p w:rsidR="00AE4E9D" w:rsidRPr="009072DA" w:rsidRDefault="005C7859" w:rsidP="005662C0">
      <w:pPr>
        <w:pStyle w:val="ESletgauche"/>
        <w:rPr>
          <w:lang w:val="bg-BG"/>
        </w:rPr>
      </w:pPr>
      <w:r w:rsidRPr="009072DA">
        <w:rPr>
          <w:lang w:val="bg-BG"/>
        </w:rPr>
        <w:t>a)</w:t>
      </w:r>
      <w:r w:rsidRPr="009072DA">
        <w:rPr>
          <w:lang w:val="bg-BG"/>
        </w:rPr>
        <w:tab/>
        <w:t>преди първоначално пускане в експлоатация;</w:t>
      </w:r>
    </w:p>
    <w:p w:rsidR="00AE4E9D" w:rsidRPr="009072DA" w:rsidRDefault="005C7859" w:rsidP="005662C0">
      <w:pPr>
        <w:pStyle w:val="ESletgauche"/>
        <w:rPr>
          <w:lang w:val="bg-BG"/>
        </w:rPr>
      </w:pPr>
      <w:r w:rsidRPr="009072DA">
        <w:rPr>
          <w:lang w:val="bg-BG"/>
        </w:rPr>
        <w:t>б)</w:t>
      </w:r>
      <w:r w:rsidRPr="009072DA">
        <w:rPr>
          <w:lang w:val="bg-BG"/>
        </w:rPr>
        <w:tab/>
        <w:t>преди повторно пускане в експлоатация след всяко по-съществено изменение или ремонт; и</w:t>
      </w:r>
    </w:p>
    <w:p w:rsidR="00AE4E9D" w:rsidRPr="009072DA" w:rsidRDefault="005C7859" w:rsidP="005662C0">
      <w:pPr>
        <w:pStyle w:val="ESletgauche"/>
        <w:rPr>
          <w:lang w:val="bg-BG"/>
        </w:rPr>
      </w:pPr>
      <w:r w:rsidRPr="009072DA">
        <w:rPr>
          <w:lang w:val="bg-BG"/>
        </w:rPr>
        <w:t>в)</w:t>
      </w:r>
      <w:r w:rsidRPr="009072DA">
        <w:rPr>
          <w:lang w:val="bg-BG"/>
        </w:rPr>
        <w:tab/>
        <w:t>при всяко подновяване на удостоверението, посочено в член 17.15.</w:t>
      </w:r>
    </w:p>
    <w:p w:rsidR="00AE4E9D" w:rsidRPr="009072DA" w:rsidRDefault="00AE4E9D" w:rsidP="005662C0">
      <w:pPr>
        <w:pStyle w:val="ESgauche"/>
        <w:rPr>
          <w:noProof w:val="0"/>
          <w:lang w:val="bg-BG"/>
        </w:rPr>
      </w:pPr>
    </w:p>
    <w:p w:rsidR="00AE4E9D" w:rsidRPr="009072DA" w:rsidRDefault="00AE4E9D" w:rsidP="005662C0">
      <w:pPr>
        <w:pStyle w:val="ESgauche"/>
        <w:rPr>
          <w:noProof w:val="0"/>
          <w:lang w:val="bg-BG"/>
        </w:rPr>
      </w:pPr>
      <w:r w:rsidRPr="009072DA">
        <w:rPr>
          <w:noProof w:val="0"/>
          <w:lang w:val="bg-BG"/>
        </w:rPr>
        <w:t>Издава се удостоверение за проверката, подписано от експерта и посочващо датата на проверката. Копие от удостоверението за проверката се представя на контролния орган.</w:t>
      </w:r>
    </w:p>
    <w:p w:rsidR="00AE4E9D" w:rsidRPr="009072DA" w:rsidRDefault="00AE4E9D" w:rsidP="005662C0">
      <w:pPr>
        <w:pStyle w:val="ESgauche"/>
        <w:rPr>
          <w:noProof w:val="0"/>
          <w:lang w:val="bg-BG"/>
        </w:rPr>
      </w:pPr>
    </w:p>
    <w:p w:rsidR="005662C0" w:rsidRPr="009072DA" w:rsidRDefault="005662C0" w:rsidP="005662C0">
      <w:pPr>
        <w:pStyle w:val="ESgauche"/>
        <w:rPr>
          <w:noProof w:val="0"/>
          <w:lang w:val="bg-BG"/>
        </w:rPr>
      </w:pPr>
    </w:p>
    <w:p w:rsidR="00AE4E9D" w:rsidRPr="009072DA" w:rsidRDefault="00AE4E9D" w:rsidP="00AE4E9D">
      <w:pPr>
        <w:pStyle w:val="ES-Titre3"/>
        <w:rPr>
          <w:i/>
          <w:lang w:val="bg-BG"/>
        </w:rPr>
      </w:pPr>
      <w:bookmarkStart w:id="313" w:name="_Toc491854154"/>
      <w:bookmarkStart w:id="314" w:name="_Toc535827595"/>
      <w:r w:rsidRPr="009072DA">
        <w:rPr>
          <w:lang w:val="bg-BG"/>
        </w:rPr>
        <w:t>Член 17.14</w:t>
      </w:r>
      <w:r w:rsidRPr="009072DA">
        <w:rPr>
          <w:lang w:val="bg-BG"/>
        </w:rPr>
        <w:br/>
      </w:r>
      <w:r w:rsidRPr="009072DA">
        <w:rPr>
          <w:i/>
          <w:lang w:val="bg-BG"/>
        </w:rPr>
        <w:t>Условия на изпитване</w:t>
      </w:r>
      <w:bookmarkEnd w:id="313"/>
      <w:bookmarkEnd w:id="314"/>
    </w:p>
    <w:p w:rsidR="005662C0" w:rsidRPr="009072DA" w:rsidRDefault="005662C0" w:rsidP="005662C0">
      <w:pPr>
        <w:pStyle w:val="ESgauche"/>
        <w:rPr>
          <w:noProof w:val="0"/>
          <w:lang w:val="bg-BG"/>
        </w:rPr>
      </w:pPr>
    </w:p>
    <w:p w:rsidR="00AE4E9D" w:rsidRPr="009072DA" w:rsidRDefault="00AE4E9D" w:rsidP="005662C0">
      <w:pPr>
        <w:pStyle w:val="ESgauche"/>
        <w:rPr>
          <w:noProof w:val="0"/>
          <w:lang w:val="bg-BG"/>
        </w:rPr>
      </w:pPr>
      <w:r w:rsidRPr="009072DA">
        <w:rPr>
          <w:noProof w:val="0"/>
          <w:lang w:val="bg-BG"/>
        </w:rPr>
        <w:t>Изпитването на инсталацията се извършва при следните условия:</w:t>
      </w:r>
    </w:p>
    <w:p w:rsidR="005662C0" w:rsidRPr="009072DA" w:rsidRDefault="005662C0" w:rsidP="005662C0">
      <w:pPr>
        <w:pStyle w:val="ESch"/>
        <w:rPr>
          <w:lang w:val="bg-BG"/>
        </w:rPr>
      </w:pPr>
    </w:p>
    <w:p w:rsidR="00AE4E9D" w:rsidRPr="009072DA" w:rsidRDefault="00AE4E9D" w:rsidP="005662C0">
      <w:pPr>
        <w:pStyle w:val="ESch"/>
        <w:rPr>
          <w:lang w:val="bg-BG"/>
        </w:rPr>
      </w:pPr>
      <w:r w:rsidRPr="009072DA">
        <w:rPr>
          <w:lang w:val="bg-BG"/>
        </w:rPr>
        <w:lastRenderedPageBreak/>
        <w:t>1.</w:t>
      </w:r>
      <w:r w:rsidRPr="009072DA">
        <w:rPr>
          <w:lang w:val="bg-BG"/>
        </w:rPr>
        <w:tab/>
        <w:t>Тръбите със средно налягане между затварящото устройство, упоменато в член 17.09, точка 4, на първия регулатор на налягането и вентилите, поставени преди крайния регулатор на налягането:</w:t>
      </w:r>
    </w:p>
    <w:p w:rsidR="00AE4E9D" w:rsidRPr="009072DA" w:rsidRDefault="005C7859" w:rsidP="005662C0">
      <w:pPr>
        <w:pStyle w:val="ESlet"/>
        <w:rPr>
          <w:lang w:val="bg-BG"/>
        </w:rPr>
      </w:pPr>
      <w:r w:rsidRPr="009072DA">
        <w:rPr>
          <w:lang w:val="bg-BG"/>
        </w:rPr>
        <w:t>a)</w:t>
      </w:r>
      <w:r w:rsidRPr="009072DA">
        <w:rPr>
          <w:lang w:val="bg-BG"/>
        </w:rPr>
        <w:tab/>
        <w:t>изпитване за налягане, извършвано с въздух, инертен газ или течност с налягане 20 bar над атмосферното налягане;</w:t>
      </w:r>
    </w:p>
    <w:p w:rsidR="00AE4E9D" w:rsidRPr="009072DA" w:rsidRDefault="005C7859" w:rsidP="005662C0">
      <w:pPr>
        <w:pStyle w:val="ESlet"/>
        <w:rPr>
          <w:lang w:val="bg-BG"/>
        </w:rPr>
      </w:pPr>
      <w:r w:rsidRPr="009072DA">
        <w:rPr>
          <w:lang w:val="bg-BG"/>
        </w:rPr>
        <w:t>б)</w:t>
      </w:r>
      <w:r w:rsidRPr="009072DA">
        <w:rPr>
          <w:lang w:val="bg-BG"/>
        </w:rPr>
        <w:tab/>
        <w:t>изпитване за газонепроницаемост, извършено с въздух или инертен газ с налягане 3,5 bar над атмосферното налягане.</w:t>
      </w:r>
    </w:p>
    <w:p w:rsidR="005662C0" w:rsidRPr="009072DA" w:rsidRDefault="005662C0" w:rsidP="005662C0">
      <w:pPr>
        <w:pStyle w:val="ESch"/>
        <w:rPr>
          <w:lang w:val="bg-BG"/>
        </w:rPr>
      </w:pPr>
    </w:p>
    <w:p w:rsidR="00AE4E9D" w:rsidRPr="009072DA" w:rsidRDefault="00AE4E9D" w:rsidP="005662C0">
      <w:pPr>
        <w:pStyle w:val="ESch"/>
        <w:rPr>
          <w:lang w:val="bg-BG"/>
        </w:rPr>
      </w:pPr>
      <w:r w:rsidRPr="009072DA">
        <w:rPr>
          <w:lang w:val="bg-BG"/>
        </w:rPr>
        <w:t>2.</w:t>
      </w:r>
      <w:r w:rsidRPr="009072DA">
        <w:rPr>
          <w:lang w:val="bg-BG"/>
        </w:rPr>
        <w:tab/>
        <w:t>Тръбите с работно налягане между затварящо устройство, упоменато в член 17.09, точка 4, на единствения регулатор на налягането или крайния регулатор на налягането и вентилите монтирани пред уредите, работещи на газ:</w:t>
      </w:r>
    </w:p>
    <w:p w:rsidR="00AE4E9D" w:rsidRPr="009072DA" w:rsidRDefault="00AE4E9D" w:rsidP="00572BD3">
      <w:pPr>
        <w:pStyle w:val="ESletpar"/>
        <w:rPr>
          <w:lang w:val="bg-BG"/>
        </w:rPr>
      </w:pPr>
      <w:r w:rsidRPr="009072DA">
        <w:rPr>
          <w:lang w:val="bg-BG"/>
        </w:rPr>
        <w:t>изпитване за газонепроницаемост, извършено с въздух или инертен газ с налягане 1 bar над атмосферното налягане.</w:t>
      </w:r>
    </w:p>
    <w:p w:rsidR="005662C0" w:rsidRPr="009072DA" w:rsidRDefault="005662C0" w:rsidP="005662C0">
      <w:pPr>
        <w:pStyle w:val="ESch"/>
        <w:rPr>
          <w:lang w:val="bg-BG"/>
        </w:rPr>
      </w:pPr>
    </w:p>
    <w:p w:rsidR="00AE4E9D" w:rsidRPr="009072DA" w:rsidRDefault="00AE4E9D" w:rsidP="005662C0">
      <w:pPr>
        <w:pStyle w:val="ESch"/>
        <w:rPr>
          <w:lang w:val="bg-BG"/>
        </w:rPr>
      </w:pPr>
      <w:r w:rsidRPr="009072DA">
        <w:rPr>
          <w:lang w:val="bg-BG"/>
        </w:rPr>
        <w:t>3.</w:t>
      </w:r>
      <w:r w:rsidRPr="009072DA">
        <w:rPr>
          <w:lang w:val="bg-BG"/>
        </w:rPr>
        <w:tab/>
        <w:t>Тръбите, разположени между затварящо устройство, упоменато в член 17.09, точка 4, на единствения регулатор на налягането или крайния регулатор на налягането и устройствата за управление на уредите, работещи на газ:</w:t>
      </w:r>
    </w:p>
    <w:p w:rsidR="00AE4E9D" w:rsidRPr="009072DA" w:rsidRDefault="00AE4E9D" w:rsidP="00572BD3">
      <w:pPr>
        <w:pStyle w:val="ESletpar"/>
        <w:rPr>
          <w:lang w:val="bg-BG"/>
        </w:rPr>
      </w:pPr>
      <w:r w:rsidRPr="009072DA">
        <w:rPr>
          <w:lang w:val="bg-BG"/>
        </w:rPr>
        <w:t>изпитване за газонепроницаемост при налягане 0,15 bar над атмосферното налягане.</w:t>
      </w:r>
    </w:p>
    <w:p w:rsidR="005662C0" w:rsidRPr="009072DA" w:rsidRDefault="005662C0" w:rsidP="005662C0">
      <w:pPr>
        <w:pStyle w:val="ESch"/>
        <w:rPr>
          <w:lang w:val="bg-BG"/>
        </w:rPr>
      </w:pPr>
    </w:p>
    <w:p w:rsidR="005662C0" w:rsidRPr="009072DA" w:rsidRDefault="005662C0" w:rsidP="005662C0">
      <w:pPr>
        <w:pStyle w:val="ESch"/>
        <w:rPr>
          <w:lang w:val="bg-BG"/>
        </w:rPr>
      </w:pPr>
      <w:r w:rsidRPr="009072DA">
        <w:rPr>
          <w:lang w:val="bg-BG"/>
        </w:rPr>
        <w:br w:type="page"/>
      </w:r>
    </w:p>
    <w:p w:rsidR="00AE4E9D" w:rsidRPr="009072DA" w:rsidRDefault="00AE4E9D" w:rsidP="005662C0">
      <w:pPr>
        <w:pStyle w:val="ESch"/>
        <w:rPr>
          <w:lang w:val="bg-BG"/>
        </w:rPr>
      </w:pPr>
      <w:r w:rsidRPr="009072DA">
        <w:rPr>
          <w:lang w:val="bg-BG"/>
        </w:rPr>
        <w:lastRenderedPageBreak/>
        <w:t>4.</w:t>
      </w:r>
      <w:r w:rsidRPr="009072DA">
        <w:rPr>
          <w:lang w:val="bg-BG"/>
        </w:rPr>
        <w:tab/>
        <w:t>В изпитванията съгласно точка 1, буква б), точка 2 и точка 3 тръбите се считат за газонепроницаеми, ако след изтичането на достатъчно време, което да позволи изравняването на температурата с тази на околната среда, не се наблюдава спад в изпитвателното налягане в продължение на следващите 10 минути.</w:t>
      </w:r>
    </w:p>
    <w:p w:rsidR="005662C0" w:rsidRPr="009072DA" w:rsidRDefault="005662C0" w:rsidP="005662C0">
      <w:pPr>
        <w:pStyle w:val="ESch"/>
        <w:rPr>
          <w:lang w:val="bg-BG"/>
        </w:rPr>
      </w:pPr>
    </w:p>
    <w:p w:rsidR="00AE4E9D" w:rsidRPr="009072DA" w:rsidRDefault="00AE4E9D" w:rsidP="005662C0">
      <w:pPr>
        <w:pStyle w:val="ESch"/>
        <w:rPr>
          <w:lang w:val="bg-BG"/>
        </w:rPr>
      </w:pPr>
      <w:r w:rsidRPr="009072DA">
        <w:rPr>
          <w:lang w:val="bg-BG"/>
        </w:rPr>
        <w:t>5.</w:t>
      </w:r>
      <w:r w:rsidRPr="009072DA">
        <w:rPr>
          <w:lang w:val="bg-BG"/>
        </w:rPr>
        <w:tab/>
        <w:t>Свързващите части на бутилките, тръбите и другите фитинги, подложени на налягане в бутилките, и всички свръзки между регулаторите на налягането и разпределителната тръба:</w:t>
      </w:r>
    </w:p>
    <w:p w:rsidR="00AE4E9D" w:rsidRPr="009072DA" w:rsidRDefault="00AE4E9D" w:rsidP="00572BD3">
      <w:pPr>
        <w:pStyle w:val="ESletpar"/>
        <w:rPr>
          <w:lang w:val="bg-BG"/>
        </w:rPr>
      </w:pPr>
      <w:r w:rsidRPr="009072DA">
        <w:rPr>
          <w:lang w:val="bg-BG"/>
        </w:rPr>
        <w:t>изпитване за газонепроницаемост, извършено с пенообразуващо вещество при работно налягане.</w:t>
      </w:r>
    </w:p>
    <w:p w:rsidR="005662C0" w:rsidRPr="009072DA" w:rsidRDefault="005662C0" w:rsidP="005662C0">
      <w:pPr>
        <w:pStyle w:val="ESch"/>
        <w:rPr>
          <w:lang w:val="bg-BG"/>
        </w:rPr>
      </w:pPr>
    </w:p>
    <w:p w:rsidR="00AE4E9D" w:rsidRPr="009072DA" w:rsidRDefault="00AE4E9D" w:rsidP="005662C0">
      <w:pPr>
        <w:pStyle w:val="ESch"/>
        <w:rPr>
          <w:lang w:val="bg-BG"/>
        </w:rPr>
      </w:pPr>
      <w:r w:rsidRPr="009072DA">
        <w:rPr>
          <w:lang w:val="bg-BG"/>
        </w:rPr>
        <w:t>6.</w:t>
      </w:r>
      <w:r w:rsidRPr="009072DA">
        <w:rPr>
          <w:lang w:val="bg-BG"/>
        </w:rPr>
        <w:tab/>
        <w:t>Всички уреди, работещи на газ, се задействат при номинален капацитет и изпитват за задоволително и стабилно горене при различните задавани степени за капацитета.</w:t>
      </w:r>
    </w:p>
    <w:p w:rsidR="006058B1" w:rsidRPr="009072DA" w:rsidRDefault="006058B1" w:rsidP="005662C0">
      <w:pPr>
        <w:pStyle w:val="ESchpar"/>
        <w:rPr>
          <w:lang w:val="bg-BG"/>
        </w:rPr>
      </w:pPr>
    </w:p>
    <w:p w:rsidR="00AE4E9D" w:rsidRPr="009072DA" w:rsidRDefault="00AE4E9D" w:rsidP="005662C0">
      <w:pPr>
        <w:pStyle w:val="ESchpar"/>
        <w:rPr>
          <w:lang w:val="bg-BG"/>
        </w:rPr>
      </w:pPr>
      <w:r w:rsidRPr="009072DA">
        <w:rPr>
          <w:lang w:val="bg-BG"/>
        </w:rPr>
        <w:t>Устройствата, които контролират за изгасване на огъня, се проверяват, за да се гарантира тяхното задоволително функциониране.</w:t>
      </w:r>
    </w:p>
    <w:p w:rsidR="005662C0" w:rsidRPr="009072DA" w:rsidRDefault="005662C0" w:rsidP="005662C0">
      <w:pPr>
        <w:pStyle w:val="ESch"/>
        <w:rPr>
          <w:lang w:val="bg-BG"/>
        </w:rPr>
      </w:pPr>
    </w:p>
    <w:p w:rsidR="00AE4E9D" w:rsidRPr="009072DA" w:rsidRDefault="00AE4E9D" w:rsidP="005662C0">
      <w:pPr>
        <w:pStyle w:val="ESch"/>
        <w:rPr>
          <w:lang w:val="bg-BG"/>
        </w:rPr>
      </w:pPr>
      <w:r w:rsidRPr="009072DA">
        <w:rPr>
          <w:lang w:val="bg-BG"/>
        </w:rPr>
        <w:t>7.</w:t>
      </w:r>
      <w:r w:rsidRPr="009072DA">
        <w:rPr>
          <w:lang w:val="bg-BG"/>
        </w:rPr>
        <w:tab/>
        <w:t>След изпитването съгласно точка 6 се проверява по отношение на всеки уред, работещ на газ, свързан с димоотвод, дали след петминутно действие при номинален капацитет и затворени прозорци и врати и с работещи вентилационни устройства, през отвора за всмукване на въздух в помещението проникват отработени газове.</w:t>
      </w:r>
    </w:p>
    <w:p w:rsidR="005662C0" w:rsidRPr="009072DA" w:rsidRDefault="005662C0" w:rsidP="005662C0">
      <w:pPr>
        <w:pStyle w:val="ESch"/>
        <w:rPr>
          <w:lang w:val="bg-BG"/>
        </w:rPr>
      </w:pPr>
    </w:p>
    <w:p w:rsidR="00AE4E9D" w:rsidRPr="009072DA" w:rsidRDefault="00AE4E9D" w:rsidP="005662C0">
      <w:pPr>
        <w:pStyle w:val="ESchpar"/>
        <w:rPr>
          <w:lang w:val="bg-BG"/>
        </w:rPr>
      </w:pPr>
      <w:r w:rsidRPr="009072DA">
        <w:rPr>
          <w:lang w:val="bg-BG"/>
        </w:rPr>
        <w:t>Ако има повече от моментно изпускане на такива газове, причината веднага се установява и отстранява. Уредът не се одобрява за употреба, докато всички дефекти не бъдат отстранени.</w:t>
      </w:r>
    </w:p>
    <w:p w:rsidR="00AE4E9D" w:rsidRPr="009072DA" w:rsidRDefault="00AE4E9D" w:rsidP="005662C0">
      <w:pPr>
        <w:pStyle w:val="ESch"/>
        <w:rPr>
          <w:lang w:val="bg-BG"/>
        </w:rPr>
      </w:pPr>
    </w:p>
    <w:p w:rsidR="005662C0" w:rsidRPr="009072DA" w:rsidRDefault="005662C0" w:rsidP="005662C0">
      <w:pPr>
        <w:pStyle w:val="ESch"/>
        <w:rPr>
          <w:lang w:val="bg-BG"/>
        </w:rPr>
      </w:pPr>
    </w:p>
    <w:p w:rsidR="00AE4E9D" w:rsidRPr="009072DA" w:rsidRDefault="00AE4E9D" w:rsidP="00AE4E9D">
      <w:pPr>
        <w:pStyle w:val="ES-Titre3"/>
        <w:rPr>
          <w:lang w:val="bg-BG"/>
        </w:rPr>
      </w:pPr>
      <w:bookmarkStart w:id="315" w:name="_Toc491854155"/>
      <w:bookmarkStart w:id="316" w:name="_Toc535827596"/>
      <w:r w:rsidRPr="009072DA">
        <w:rPr>
          <w:lang w:val="bg-BG"/>
        </w:rPr>
        <w:t>Член 17.15</w:t>
      </w:r>
      <w:r w:rsidRPr="009072DA">
        <w:rPr>
          <w:lang w:val="bg-BG"/>
        </w:rPr>
        <w:br/>
      </w:r>
      <w:r w:rsidRPr="009072DA">
        <w:rPr>
          <w:i/>
          <w:lang w:val="bg-BG"/>
        </w:rPr>
        <w:t>Атестация</w:t>
      </w:r>
      <w:bookmarkEnd w:id="315"/>
      <w:bookmarkEnd w:id="316"/>
    </w:p>
    <w:p w:rsidR="005662C0" w:rsidRPr="009072DA" w:rsidRDefault="005662C0" w:rsidP="005662C0">
      <w:pPr>
        <w:pStyle w:val="ESch"/>
        <w:rPr>
          <w:lang w:val="bg-BG"/>
        </w:rPr>
      </w:pPr>
    </w:p>
    <w:p w:rsidR="00AE4E9D" w:rsidRPr="009072DA" w:rsidRDefault="00AE4E9D" w:rsidP="005662C0">
      <w:pPr>
        <w:pStyle w:val="ESch"/>
        <w:rPr>
          <w:lang w:val="bg-BG"/>
        </w:rPr>
      </w:pPr>
      <w:r w:rsidRPr="009072DA">
        <w:rPr>
          <w:lang w:val="bg-BG"/>
        </w:rPr>
        <w:t>1.</w:t>
      </w:r>
      <w:r w:rsidRPr="009072DA">
        <w:rPr>
          <w:lang w:val="bg-BG"/>
        </w:rPr>
        <w:tab/>
        <w:t>Удостоверението на плавателния съд за плаване по вътрешни водни пътища трябва да съдържа атестация в смисъл, че всички съоръжения за втечнен газ отговарят на изискванията на настоящата глава.</w:t>
      </w:r>
    </w:p>
    <w:p w:rsidR="005662C0" w:rsidRPr="009072DA" w:rsidRDefault="005662C0" w:rsidP="005662C0">
      <w:pPr>
        <w:pStyle w:val="ESch"/>
        <w:rPr>
          <w:lang w:val="bg-BG"/>
        </w:rPr>
      </w:pPr>
    </w:p>
    <w:p w:rsidR="00AE4E9D" w:rsidRPr="009072DA" w:rsidRDefault="00AE4E9D" w:rsidP="005662C0">
      <w:pPr>
        <w:pStyle w:val="ESch"/>
        <w:rPr>
          <w:lang w:val="bg-BG"/>
        </w:rPr>
      </w:pPr>
      <w:r w:rsidRPr="009072DA">
        <w:rPr>
          <w:lang w:val="bg-BG"/>
        </w:rPr>
        <w:t>2.</w:t>
      </w:r>
      <w:r w:rsidRPr="009072DA">
        <w:rPr>
          <w:lang w:val="bg-BG"/>
        </w:rPr>
        <w:tab/>
        <w:t>Атестацията се издава от контролния орган след приемното изпитване, упоменато в член 17.13.</w:t>
      </w:r>
    </w:p>
    <w:p w:rsidR="005662C0" w:rsidRPr="009072DA" w:rsidRDefault="005662C0" w:rsidP="005662C0">
      <w:pPr>
        <w:pStyle w:val="ESch"/>
        <w:rPr>
          <w:lang w:val="bg-BG"/>
        </w:rPr>
      </w:pPr>
    </w:p>
    <w:p w:rsidR="00AE4E9D" w:rsidRPr="009072DA" w:rsidRDefault="00AE4E9D" w:rsidP="005662C0">
      <w:pPr>
        <w:pStyle w:val="ESch"/>
        <w:rPr>
          <w:lang w:val="bg-BG"/>
        </w:rPr>
      </w:pPr>
      <w:r w:rsidRPr="009072DA">
        <w:rPr>
          <w:lang w:val="bg-BG"/>
        </w:rPr>
        <w:lastRenderedPageBreak/>
        <w:t>3.</w:t>
      </w:r>
      <w:r w:rsidRPr="009072DA">
        <w:rPr>
          <w:lang w:val="bg-BG"/>
        </w:rPr>
        <w:tab/>
        <w:t>Атестацията е валидна за срок не по-дълъг от три години. Тя може да бъде подновена само след ново приемното изпитване, извършено в съответствие с член 17.13.</w:t>
      </w:r>
    </w:p>
    <w:p w:rsidR="005662C0" w:rsidRPr="009072DA" w:rsidRDefault="005662C0" w:rsidP="005662C0">
      <w:pPr>
        <w:pStyle w:val="ESch"/>
        <w:rPr>
          <w:lang w:val="bg-BG"/>
        </w:rPr>
      </w:pPr>
    </w:p>
    <w:p w:rsidR="00AE4E9D" w:rsidRPr="009072DA" w:rsidRDefault="00AE4E9D" w:rsidP="005662C0">
      <w:pPr>
        <w:pStyle w:val="ESchpar"/>
        <w:rPr>
          <w:lang w:val="bg-BG"/>
        </w:rPr>
      </w:pPr>
      <w:r w:rsidRPr="009072DA">
        <w:rPr>
          <w:lang w:val="bg-BG"/>
        </w:rPr>
        <w:t>По изключение, когато корабособственикът или негов представител представи обосновано искане, контролният орган може да удължи валидността на атестацията за не повече от три месеца без извършване на приемното изпитване, което се посочва в член 17.13. Това удължаване се вписва в удостоверението на плавателния съд за плаване по вътрешни водни пътища.</w:t>
      </w:r>
    </w:p>
    <w:p w:rsidR="00AE4E9D" w:rsidRPr="009072DA" w:rsidRDefault="00AE4E9D" w:rsidP="005662C0">
      <w:pPr>
        <w:pStyle w:val="ESch"/>
        <w:rPr>
          <w:lang w:val="bg-BG"/>
        </w:rPr>
      </w:pPr>
    </w:p>
    <w:p w:rsidR="00973DAA" w:rsidRPr="009072DA" w:rsidRDefault="00973DAA" w:rsidP="005662C0">
      <w:pPr>
        <w:pStyle w:val="ESch"/>
        <w:rPr>
          <w:lang w:val="bg-BG"/>
        </w:rPr>
      </w:pPr>
    </w:p>
    <w:p w:rsidR="00AC39F0" w:rsidRPr="009072DA" w:rsidRDefault="00AC39F0" w:rsidP="005662C0">
      <w:pPr>
        <w:pStyle w:val="ESch"/>
        <w:rPr>
          <w:lang w:val="bg-BG"/>
        </w:rPr>
      </w:pPr>
    </w:p>
    <w:p w:rsidR="00AC39F0" w:rsidRPr="009072DA" w:rsidRDefault="00AC39F0" w:rsidP="005662C0">
      <w:pPr>
        <w:pStyle w:val="ESch"/>
        <w:rPr>
          <w:lang w:val="bg-BG"/>
        </w:rPr>
      </w:pPr>
    </w:p>
    <w:p w:rsidR="00AC39F0" w:rsidRPr="009072DA" w:rsidRDefault="00AC39F0" w:rsidP="00AC39F0">
      <w:pPr>
        <w:pStyle w:val="ES-Titre2"/>
        <w:rPr>
          <w:szCs w:val="24"/>
        </w:rPr>
      </w:pPr>
      <w:bookmarkStart w:id="317" w:name="_Toc491854156"/>
      <w:bookmarkStart w:id="318" w:name="_Toc535827597"/>
      <w:r w:rsidRPr="009072DA">
        <w:lastRenderedPageBreak/>
        <w:t>Глава 18</w:t>
      </w:r>
      <w:r w:rsidRPr="009072DA">
        <w:br/>
      </w:r>
      <w:r w:rsidRPr="009072DA">
        <w:rPr>
          <w:sz w:val="22"/>
        </w:rPr>
        <w:t>Бордови станции за пречистване на отпадъчни води</w:t>
      </w:r>
      <w:bookmarkEnd w:id="317"/>
      <w:bookmarkEnd w:id="318"/>
    </w:p>
    <w:p w:rsidR="00AC39F0" w:rsidRPr="009072DA" w:rsidRDefault="00AC39F0" w:rsidP="00917628">
      <w:pPr>
        <w:pStyle w:val="ESch"/>
        <w:rPr>
          <w:lang w:val="bg-BG"/>
        </w:rPr>
      </w:pPr>
    </w:p>
    <w:p w:rsidR="00F935C7" w:rsidRPr="009072DA" w:rsidRDefault="00F935C7" w:rsidP="00F935C7">
      <w:pPr>
        <w:pStyle w:val="ES-Titre3"/>
        <w:rPr>
          <w:lang w:val="bg-BG"/>
        </w:rPr>
      </w:pPr>
      <w:bookmarkStart w:id="319" w:name="_Toc491854157"/>
      <w:bookmarkStart w:id="320" w:name="_Toc535827598"/>
      <w:r w:rsidRPr="009072DA">
        <w:rPr>
          <w:lang w:val="bg-BG"/>
        </w:rPr>
        <w:t>Член 18.00</w:t>
      </w:r>
      <w:r w:rsidRPr="009072DA">
        <w:rPr>
          <w:lang w:val="bg-BG"/>
        </w:rPr>
        <w:br/>
      </w:r>
      <w:r w:rsidRPr="009072DA">
        <w:rPr>
          <w:i/>
          <w:lang w:val="bg-BG"/>
        </w:rPr>
        <w:t>Определения</w:t>
      </w:r>
      <w:bookmarkEnd w:id="319"/>
      <w:bookmarkEnd w:id="320"/>
    </w:p>
    <w:p w:rsidR="002A434E" w:rsidRPr="009072DA" w:rsidRDefault="002A434E" w:rsidP="002A434E">
      <w:pPr>
        <w:rPr>
          <w:rFonts w:cs="Arial"/>
          <w:szCs w:val="20"/>
          <w:lang w:val="bg-BG"/>
        </w:rPr>
      </w:pPr>
    </w:p>
    <w:p w:rsidR="002A434E" w:rsidRPr="009072DA" w:rsidRDefault="002A434E" w:rsidP="002A434E">
      <w:pPr>
        <w:rPr>
          <w:rFonts w:cs="Arial"/>
          <w:szCs w:val="20"/>
          <w:lang w:val="bg-BG"/>
        </w:rPr>
      </w:pPr>
      <w:r w:rsidRPr="009072DA">
        <w:rPr>
          <w:lang w:val="bg-BG"/>
        </w:rPr>
        <w:t>В настоящата глава:</w:t>
      </w:r>
    </w:p>
    <w:p w:rsidR="00F935C7" w:rsidRPr="009072DA" w:rsidRDefault="00F935C7" w:rsidP="00E61447">
      <w:pPr>
        <w:pStyle w:val="ESch"/>
        <w:rPr>
          <w:lang w:val="bg-BG"/>
        </w:rPr>
      </w:pPr>
    </w:p>
    <w:p w:rsidR="00E61447" w:rsidRPr="009072DA" w:rsidRDefault="00E61447" w:rsidP="00E61447">
      <w:pPr>
        <w:pStyle w:val="ESch"/>
        <w:rPr>
          <w:rFonts w:cs="Arial"/>
          <w:szCs w:val="18"/>
          <w:lang w:val="bg-BG"/>
        </w:rPr>
      </w:pPr>
      <w:r w:rsidRPr="009072DA">
        <w:rPr>
          <w:lang w:val="bg-BG"/>
        </w:rPr>
        <w:t>1.</w:t>
      </w:r>
      <w:r w:rsidRPr="009072DA">
        <w:rPr>
          <w:lang w:val="bg-BG"/>
        </w:rPr>
        <w:tab/>
        <w:t>„бордова станция за пречистване на отпадъчни води“: станция за пречистване на отпадъчни води с компактна конструкция, предназначена за пречистване на натрупваните на борда количества битови отпадъчни води;</w:t>
      </w:r>
    </w:p>
    <w:p w:rsidR="00E61447" w:rsidRPr="009072DA" w:rsidRDefault="00E61447" w:rsidP="00E61447">
      <w:pPr>
        <w:pStyle w:val="ESch"/>
        <w:rPr>
          <w:lang w:val="bg-BG"/>
        </w:rPr>
      </w:pPr>
    </w:p>
    <w:p w:rsidR="00E61447" w:rsidRPr="009072DA" w:rsidRDefault="00E61447" w:rsidP="00E61447">
      <w:pPr>
        <w:pStyle w:val="ESch"/>
        <w:rPr>
          <w:rFonts w:cs="Arial"/>
          <w:szCs w:val="18"/>
          <w:lang w:val="bg-BG"/>
        </w:rPr>
      </w:pPr>
      <w:r w:rsidRPr="009072DA">
        <w:rPr>
          <w:lang w:val="bg-BG"/>
        </w:rPr>
        <w:t>2.</w:t>
      </w:r>
      <w:r w:rsidRPr="009072DA">
        <w:rPr>
          <w:lang w:val="bg-BG"/>
        </w:rPr>
        <w:tab/>
        <w:t>„одобрение на типа“: решението, с което компетентният орган потвърждава, че бордова станция за пречистване на отпадъчни води отговаря на техническите изисквания на глава 18;</w:t>
      </w:r>
    </w:p>
    <w:p w:rsidR="00E61447" w:rsidRPr="009072DA" w:rsidRDefault="00E61447" w:rsidP="00E61447">
      <w:pPr>
        <w:pStyle w:val="ESch"/>
        <w:rPr>
          <w:lang w:val="bg-BG"/>
        </w:rPr>
      </w:pPr>
    </w:p>
    <w:p w:rsidR="00E61447" w:rsidRPr="009072DA" w:rsidRDefault="00E61447" w:rsidP="00E61447">
      <w:pPr>
        <w:pStyle w:val="ESch"/>
        <w:rPr>
          <w:rFonts w:cs="Arial"/>
          <w:szCs w:val="18"/>
          <w:lang w:val="bg-BG"/>
        </w:rPr>
      </w:pPr>
      <w:r w:rsidRPr="009072DA">
        <w:rPr>
          <w:lang w:val="bg-BG"/>
        </w:rPr>
        <w:t>3.</w:t>
      </w:r>
      <w:r w:rsidRPr="009072DA">
        <w:rPr>
          <w:lang w:val="bg-BG"/>
        </w:rPr>
        <w:tab/>
        <w:t>„специално изпитване“: процедурата, провеждана в съответствие с член 18.09, чрез която компетентният орган гарантира, че бордовата станция за пречистване на отпадъчни води, използвана на плавателно средство, отговаря на изискванията на глава 18;</w:t>
      </w:r>
    </w:p>
    <w:p w:rsidR="00E61447" w:rsidRPr="009072DA" w:rsidRDefault="00E61447" w:rsidP="00E61447">
      <w:pPr>
        <w:pStyle w:val="ESch"/>
        <w:rPr>
          <w:lang w:val="bg-BG"/>
        </w:rPr>
      </w:pPr>
    </w:p>
    <w:p w:rsidR="00E61447" w:rsidRPr="009072DA" w:rsidRDefault="00E61447" w:rsidP="00E61447">
      <w:pPr>
        <w:pStyle w:val="ESch"/>
        <w:rPr>
          <w:rFonts w:cs="Arial"/>
          <w:szCs w:val="18"/>
          <w:lang w:val="bg-BG"/>
        </w:rPr>
      </w:pPr>
      <w:r w:rsidRPr="009072DA">
        <w:rPr>
          <w:lang w:val="bg-BG"/>
        </w:rPr>
        <w:t>4.</w:t>
      </w:r>
      <w:r w:rsidRPr="009072DA">
        <w:rPr>
          <w:lang w:val="bg-BG"/>
        </w:rPr>
        <w:tab/>
        <w:t>„производител“: лицето или организацията, които са отговорни пред компетентния орган за всички аспекти на процедурата за одобряване на типа и за гарантиране на съответствието на производството. Не е нужно това лице или организация да участва във всички етапи на изграждането на бордовата станция за пречистване на отпадъчни води. Ако бордовата станция за пречистване на отпадъчни води бъде преустроена чрез промени или модернизиране след първоначалното си произвеждане, за да бъде използвана на плавателно средство за целите на глава 18, лицето или организацията, направили промените или модернизирането, се считат за производител;</w:t>
      </w:r>
    </w:p>
    <w:p w:rsidR="00E61447" w:rsidRPr="009072DA" w:rsidRDefault="00E61447" w:rsidP="00E61447">
      <w:pPr>
        <w:pStyle w:val="ESch"/>
        <w:rPr>
          <w:lang w:val="bg-BG"/>
        </w:rPr>
      </w:pPr>
    </w:p>
    <w:p w:rsidR="00E61447" w:rsidRPr="009072DA" w:rsidRDefault="00E61447" w:rsidP="00E61447">
      <w:pPr>
        <w:pStyle w:val="ESch"/>
        <w:rPr>
          <w:rFonts w:cs="Arial"/>
          <w:szCs w:val="18"/>
          <w:lang w:val="bg-BG"/>
        </w:rPr>
      </w:pPr>
      <w:r w:rsidRPr="009072DA">
        <w:rPr>
          <w:lang w:val="bg-BG"/>
        </w:rPr>
        <w:t>5.</w:t>
      </w:r>
      <w:r w:rsidRPr="009072DA">
        <w:rPr>
          <w:lang w:val="bg-BG"/>
        </w:rPr>
        <w:tab/>
        <w:t>„информационен документ“: документът, определен в приложение 7, раздел II, в който е поместена информацията, която трябва да бъде представена от заявителя;</w:t>
      </w:r>
    </w:p>
    <w:p w:rsidR="00E61447" w:rsidRPr="009072DA" w:rsidRDefault="00E61447" w:rsidP="00E61447">
      <w:pPr>
        <w:pStyle w:val="ESch"/>
        <w:rPr>
          <w:lang w:val="bg-BG"/>
        </w:rPr>
      </w:pPr>
    </w:p>
    <w:p w:rsidR="00E61447" w:rsidRPr="009072DA" w:rsidRDefault="00E61447" w:rsidP="00E61447">
      <w:pPr>
        <w:pStyle w:val="ESch"/>
        <w:rPr>
          <w:rFonts w:cs="Arial"/>
          <w:szCs w:val="18"/>
          <w:lang w:val="bg-BG"/>
        </w:rPr>
      </w:pPr>
      <w:r w:rsidRPr="009072DA">
        <w:rPr>
          <w:lang w:val="bg-BG"/>
        </w:rPr>
        <w:t>6.</w:t>
      </w:r>
      <w:r w:rsidRPr="009072DA">
        <w:rPr>
          <w:lang w:val="bg-BG"/>
        </w:rPr>
        <w:tab/>
        <w:t>„информационно досие“: пълен набор от данни, чертежи, снимки или други документи, предоставени от заявителя на техническата служба или на компетентния орган, както е указано в информационния документ;</w:t>
      </w:r>
    </w:p>
    <w:p w:rsidR="00E61447" w:rsidRPr="009072DA" w:rsidRDefault="00E61447" w:rsidP="00E61447">
      <w:pPr>
        <w:pStyle w:val="ESch"/>
        <w:rPr>
          <w:lang w:val="bg-BG"/>
        </w:rPr>
      </w:pPr>
    </w:p>
    <w:p w:rsidR="00E61447" w:rsidRPr="009072DA" w:rsidRDefault="00E61447" w:rsidP="00E61447">
      <w:pPr>
        <w:pStyle w:val="ESch"/>
        <w:rPr>
          <w:rFonts w:cs="Arial"/>
          <w:szCs w:val="18"/>
          <w:lang w:val="bg-BG"/>
        </w:rPr>
      </w:pPr>
      <w:r w:rsidRPr="009072DA">
        <w:rPr>
          <w:lang w:val="bg-BG"/>
        </w:rPr>
        <w:lastRenderedPageBreak/>
        <w:t>7.</w:t>
      </w:r>
      <w:r w:rsidRPr="009072DA">
        <w:rPr>
          <w:lang w:val="bg-BG"/>
        </w:rPr>
        <w:tab/>
        <w:t>„информационен пакет“: информационното досие плюс всички протоколи от изпитвания или други документи, които техническата служба или компетентният орган са приложили към информационното досие при изпълнение на функциите си;</w:t>
      </w:r>
    </w:p>
    <w:p w:rsidR="00E61447" w:rsidRPr="009072DA" w:rsidRDefault="00E61447" w:rsidP="00E61447">
      <w:pPr>
        <w:pStyle w:val="ESch"/>
        <w:rPr>
          <w:lang w:val="bg-BG"/>
        </w:rPr>
      </w:pPr>
    </w:p>
    <w:p w:rsidR="00E61447" w:rsidRPr="009072DA" w:rsidRDefault="00E61447" w:rsidP="00E61447">
      <w:pPr>
        <w:pStyle w:val="ESch"/>
        <w:rPr>
          <w:rFonts w:cs="Arial"/>
          <w:szCs w:val="18"/>
          <w:lang w:val="bg-BG"/>
        </w:rPr>
      </w:pPr>
      <w:r w:rsidRPr="009072DA">
        <w:rPr>
          <w:lang w:val="bg-BG"/>
        </w:rPr>
        <w:t>8.</w:t>
      </w:r>
      <w:r w:rsidRPr="009072DA">
        <w:rPr>
          <w:lang w:val="bg-BG"/>
        </w:rPr>
        <w:tab/>
        <w:t>„удостоверение за одобрение на типа“ е документ, изготвен в съответствие с приложение 7, раздел III, с който компетентният орган удостоверява одобрението на типа;</w:t>
      </w:r>
    </w:p>
    <w:p w:rsidR="00E61447" w:rsidRPr="009072DA" w:rsidRDefault="00E61447" w:rsidP="00E61447">
      <w:pPr>
        <w:pStyle w:val="ESch"/>
        <w:rPr>
          <w:lang w:val="bg-BG"/>
        </w:rPr>
      </w:pPr>
    </w:p>
    <w:p w:rsidR="00E61447" w:rsidRPr="009072DA" w:rsidRDefault="00E61447" w:rsidP="00E61447">
      <w:pPr>
        <w:pStyle w:val="ESch"/>
        <w:rPr>
          <w:rFonts w:cs="Arial"/>
          <w:szCs w:val="18"/>
          <w:lang w:val="bg-BG"/>
        </w:rPr>
      </w:pPr>
      <w:r w:rsidRPr="009072DA">
        <w:rPr>
          <w:lang w:val="bg-BG"/>
        </w:rPr>
        <w:t>9.</w:t>
      </w:r>
      <w:r w:rsidRPr="009072DA">
        <w:rPr>
          <w:lang w:val="bg-BG"/>
        </w:rPr>
        <w:tab/>
        <w:t>„протокол за параметрите на бордовата станция за пречистване на отпадъчни води“: документ, изготвен в съответствие с приложение 7, раздел VIII, в който се записват всички параметри, включително компоненти и регулировки на бордовата станция за пречистване на отпадъчни води, които оказват въздействие върху нивото на пречистване на отпадъчните води, включително и промените в тях;</w:t>
      </w:r>
    </w:p>
    <w:p w:rsidR="00E61447" w:rsidRPr="009072DA" w:rsidRDefault="00E61447" w:rsidP="00E61447">
      <w:pPr>
        <w:pStyle w:val="ESch"/>
        <w:rPr>
          <w:lang w:val="bg-BG"/>
        </w:rPr>
      </w:pPr>
    </w:p>
    <w:p w:rsidR="00E61447" w:rsidRPr="009072DA" w:rsidRDefault="00E61447" w:rsidP="00E61447">
      <w:pPr>
        <w:pStyle w:val="ESch"/>
        <w:rPr>
          <w:rFonts w:cs="Arial"/>
          <w:szCs w:val="18"/>
          <w:lang w:val="bg-BG"/>
        </w:rPr>
      </w:pPr>
      <w:r w:rsidRPr="009072DA">
        <w:rPr>
          <w:lang w:val="bg-BG"/>
        </w:rPr>
        <w:t>10.</w:t>
      </w:r>
      <w:r w:rsidRPr="009072DA">
        <w:rPr>
          <w:lang w:val="bg-BG"/>
        </w:rPr>
        <w:tab/>
        <w:t>„ръководство на производителя за проверка на компонентите и параметрите, свързани с пречистването отпадъчни води“: документ, съставен в съответствие с член 18.09, точка 4 за целите на извършването на специалното изпитване;</w:t>
      </w:r>
    </w:p>
    <w:p w:rsidR="00E61447" w:rsidRPr="009072DA" w:rsidRDefault="00E61447" w:rsidP="00E61447">
      <w:pPr>
        <w:pStyle w:val="ESch"/>
        <w:rPr>
          <w:lang w:val="bg-BG"/>
        </w:rPr>
      </w:pPr>
    </w:p>
    <w:p w:rsidR="00E61447" w:rsidRPr="009072DA" w:rsidRDefault="00E61447" w:rsidP="00E61447">
      <w:pPr>
        <w:pStyle w:val="ESch"/>
        <w:rPr>
          <w:rFonts w:cs="Arial"/>
          <w:szCs w:val="18"/>
          <w:lang w:val="bg-BG"/>
        </w:rPr>
      </w:pPr>
      <w:r w:rsidRPr="009072DA">
        <w:rPr>
          <w:lang w:val="bg-BG"/>
        </w:rPr>
        <w:t>11.</w:t>
      </w:r>
      <w:r w:rsidRPr="009072DA">
        <w:rPr>
          <w:lang w:val="bg-BG"/>
        </w:rPr>
        <w:tab/>
        <w:t>„битови отпадъчни води“: отпадъчните води от камбузите, каюткомпаниите, умивалните и пералните помещения, както и фекалните води;</w:t>
      </w:r>
    </w:p>
    <w:p w:rsidR="00E61447" w:rsidRPr="009072DA" w:rsidRDefault="00E61447" w:rsidP="00E61447">
      <w:pPr>
        <w:pStyle w:val="ESch"/>
        <w:rPr>
          <w:lang w:val="bg-BG"/>
        </w:rPr>
      </w:pPr>
    </w:p>
    <w:p w:rsidR="00E61447" w:rsidRPr="009072DA" w:rsidRDefault="00E61447" w:rsidP="00E61447">
      <w:pPr>
        <w:pStyle w:val="ESch"/>
        <w:rPr>
          <w:rFonts w:cs="Arial"/>
          <w:szCs w:val="18"/>
          <w:lang w:val="bg-BG"/>
        </w:rPr>
      </w:pPr>
      <w:r w:rsidRPr="009072DA">
        <w:rPr>
          <w:lang w:val="bg-BG"/>
        </w:rPr>
        <w:t>12.</w:t>
      </w:r>
      <w:r w:rsidRPr="009072DA">
        <w:rPr>
          <w:lang w:val="bg-BG"/>
        </w:rPr>
        <w:tab/>
        <w:t>„утайка от отпадъчни води“: остатъци, натрупвани от експлоатацията на станцията за пречистване на отпадъчни води на борда на плавателното средство.</w:t>
      </w:r>
    </w:p>
    <w:p w:rsidR="00E61447" w:rsidRPr="009072DA" w:rsidRDefault="00E61447" w:rsidP="00E61447">
      <w:pPr>
        <w:pStyle w:val="ESch"/>
        <w:rPr>
          <w:lang w:val="bg-BG"/>
        </w:rPr>
      </w:pPr>
    </w:p>
    <w:p w:rsidR="00E61447" w:rsidRPr="009072DA" w:rsidRDefault="00917628" w:rsidP="00917628">
      <w:pPr>
        <w:pStyle w:val="ESch"/>
        <w:rPr>
          <w:lang w:val="bg-BG"/>
        </w:rPr>
      </w:pPr>
      <w:r w:rsidRPr="009072DA">
        <w:rPr>
          <w:lang w:val="bg-BG"/>
        </w:rPr>
        <w:br w:type="page"/>
      </w:r>
    </w:p>
    <w:p w:rsidR="00AC39F0" w:rsidRPr="009072DA" w:rsidRDefault="00AC39F0" w:rsidP="00AC39F0">
      <w:pPr>
        <w:pStyle w:val="ES-Titre3"/>
        <w:rPr>
          <w:lang w:val="bg-BG"/>
        </w:rPr>
      </w:pPr>
      <w:bookmarkStart w:id="321" w:name="_Toc491854158"/>
      <w:bookmarkStart w:id="322" w:name="_Toc535827599"/>
      <w:r w:rsidRPr="009072DA">
        <w:rPr>
          <w:lang w:val="bg-BG"/>
        </w:rPr>
        <w:lastRenderedPageBreak/>
        <w:t>Член 18.01</w:t>
      </w:r>
      <w:r w:rsidRPr="009072DA">
        <w:rPr>
          <w:lang w:val="bg-BG"/>
        </w:rPr>
        <w:br/>
      </w:r>
      <w:r w:rsidRPr="009072DA">
        <w:rPr>
          <w:i/>
          <w:lang w:val="bg-BG"/>
        </w:rPr>
        <w:t>Общи разпоредби</w:t>
      </w:r>
      <w:bookmarkEnd w:id="321"/>
      <w:bookmarkEnd w:id="322"/>
    </w:p>
    <w:p w:rsidR="00AC39F0" w:rsidRPr="009072DA" w:rsidRDefault="00AC39F0" w:rsidP="005662C0">
      <w:pPr>
        <w:pStyle w:val="ESch"/>
        <w:rPr>
          <w:lang w:val="bg-BG"/>
        </w:rPr>
      </w:pPr>
    </w:p>
    <w:p w:rsidR="00AC39F0" w:rsidRPr="009072DA" w:rsidRDefault="00AC39F0" w:rsidP="00AC39F0">
      <w:pPr>
        <w:pStyle w:val="ESch"/>
        <w:rPr>
          <w:rFonts w:cs="Arial"/>
          <w:szCs w:val="20"/>
          <w:lang w:val="bg-BG"/>
        </w:rPr>
      </w:pPr>
      <w:r w:rsidRPr="009072DA">
        <w:rPr>
          <w:lang w:val="bg-BG"/>
        </w:rPr>
        <w:t>1.</w:t>
      </w:r>
      <w:r w:rsidRPr="009072DA">
        <w:rPr>
          <w:lang w:val="bg-BG"/>
        </w:rPr>
        <w:tab/>
        <w:t>Настоящата глава се прилага за всички бордови станции за пречистване на отпадъчни води, които са монтирани на борда на плавателни средства.</w:t>
      </w:r>
    </w:p>
    <w:p w:rsidR="00AC39F0" w:rsidRPr="009072DA" w:rsidRDefault="00AC39F0" w:rsidP="00AC39F0">
      <w:pPr>
        <w:pStyle w:val="ESch"/>
        <w:rPr>
          <w:szCs w:val="20"/>
          <w:lang w:val="bg-BG"/>
        </w:rPr>
      </w:pPr>
    </w:p>
    <w:p w:rsidR="00AC39F0" w:rsidRPr="009072DA" w:rsidRDefault="00AC39F0" w:rsidP="00AC39F0">
      <w:pPr>
        <w:pStyle w:val="ESch"/>
        <w:tabs>
          <w:tab w:val="left" w:pos="567"/>
        </w:tabs>
        <w:ind w:left="993" w:hanging="993"/>
        <w:rPr>
          <w:rFonts w:cs="Arial"/>
          <w:szCs w:val="20"/>
          <w:lang w:val="bg-BG"/>
        </w:rPr>
      </w:pPr>
      <w:r w:rsidRPr="009072DA">
        <w:rPr>
          <w:lang w:val="bg-BG"/>
        </w:rPr>
        <w:t>2.</w:t>
      </w:r>
      <w:r w:rsidRPr="009072DA">
        <w:rPr>
          <w:lang w:val="bg-BG"/>
        </w:rPr>
        <w:tab/>
        <w:t>a)</w:t>
      </w:r>
      <w:r w:rsidRPr="009072DA">
        <w:rPr>
          <w:lang w:val="bg-BG"/>
        </w:rPr>
        <w:tab/>
        <w:t>Бордовите станции за пречистване на отпадъчни води трябва да отговарят на следните пределни стойности при изпитване на типа:</w:t>
      </w:r>
    </w:p>
    <w:p w:rsidR="00AC39F0" w:rsidRPr="009072DA" w:rsidRDefault="00AC39F0" w:rsidP="00AC39F0">
      <w:pPr>
        <w:pStyle w:val="ESch"/>
        <w:rPr>
          <w:szCs w:val="20"/>
          <w:lang w:val="bg-BG"/>
        </w:rPr>
      </w:pPr>
    </w:p>
    <w:p w:rsidR="00AC39F0" w:rsidRPr="009072DA" w:rsidRDefault="00AC39F0" w:rsidP="00AC39F0">
      <w:pPr>
        <w:pStyle w:val="ESletpar"/>
        <w:rPr>
          <w:rFonts w:cs="Arial"/>
          <w:lang w:val="bg-BG"/>
        </w:rPr>
      </w:pPr>
      <w:r w:rsidRPr="009072DA">
        <w:rPr>
          <w:lang w:val="bg-BG"/>
        </w:rPr>
        <w:t xml:space="preserve">Таблица </w:t>
      </w:r>
      <w:r w:rsidRPr="009072DA">
        <w:rPr>
          <w:lang w:val="bg-BG"/>
        </w:rPr>
        <w:fldChar w:fldCharType="begin"/>
      </w:r>
      <w:r w:rsidRPr="009072DA">
        <w:rPr>
          <w:lang w:val="bg-BG"/>
        </w:rPr>
        <w:instrText xml:space="preserve"> SEQ Tabelle \* ARABIC </w:instrText>
      </w:r>
      <w:r w:rsidRPr="009072DA">
        <w:rPr>
          <w:lang w:val="bg-BG"/>
        </w:rPr>
        <w:fldChar w:fldCharType="separate"/>
      </w:r>
      <w:r w:rsidR="001C71EE">
        <w:rPr>
          <w:noProof/>
          <w:lang w:val="bg-BG"/>
        </w:rPr>
        <w:t>1</w:t>
      </w:r>
      <w:r w:rsidRPr="009072DA">
        <w:rPr>
          <w:lang w:val="bg-BG"/>
        </w:rPr>
        <w:fldChar w:fldCharType="end"/>
      </w:r>
      <w:r w:rsidRPr="009072DA">
        <w:rPr>
          <w:lang w:val="bg-BG"/>
        </w:rPr>
        <w:t>: Пределни стойности, които трябва да бъдат спазвани за изходящия поток при експлоатацията на бордовата станция за пречистване на отпадъчни води (изпитваната пречиствателна станция) по време на изпитването на типа</w:t>
      </w:r>
    </w:p>
    <w:p w:rsidR="00AC39F0" w:rsidRPr="009072DA" w:rsidRDefault="00AC39F0" w:rsidP="00AC39F0">
      <w:pPr>
        <w:pStyle w:val="ESch"/>
        <w:rPr>
          <w:szCs w:val="20"/>
          <w:lang w:val="bg-BG"/>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29"/>
        <w:gridCol w:w="1588"/>
        <w:gridCol w:w="2608"/>
      </w:tblGrid>
      <w:tr w:rsidR="000E1B99" w:rsidRPr="009072DA" w:rsidTr="00EB78D3">
        <w:trPr>
          <w:trHeight w:val="836"/>
          <w:jc w:val="center"/>
        </w:trPr>
        <w:tc>
          <w:tcPr>
            <w:tcW w:w="3629" w:type="dxa"/>
            <w:vAlign w:val="center"/>
          </w:tcPr>
          <w:p w:rsidR="000E1B99" w:rsidRPr="009072DA" w:rsidRDefault="000E1B99" w:rsidP="00274EE8">
            <w:pPr>
              <w:spacing w:before="60" w:after="60" w:line="240" w:lineRule="atLeast"/>
              <w:jc w:val="center"/>
              <w:rPr>
                <w:sz w:val="18"/>
                <w:szCs w:val="18"/>
                <w:lang w:val="bg-BG"/>
              </w:rPr>
            </w:pPr>
            <w:r w:rsidRPr="009072DA">
              <w:rPr>
                <w:sz w:val="18"/>
                <w:lang w:val="bg-BG"/>
              </w:rPr>
              <w:t>Параметър</w:t>
            </w:r>
          </w:p>
        </w:tc>
        <w:tc>
          <w:tcPr>
            <w:tcW w:w="1588" w:type="dxa"/>
            <w:vAlign w:val="center"/>
          </w:tcPr>
          <w:p w:rsidR="000E1B99" w:rsidRPr="009072DA" w:rsidRDefault="000E1B99" w:rsidP="00274EE8">
            <w:pPr>
              <w:spacing w:before="60" w:after="60" w:line="240" w:lineRule="atLeast"/>
              <w:jc w:val="center"/>
              <w:rPr>
                <w:sz w:val="18"/>
                <w:szCs w:val="18"/>
                <w:lang w:val="bg-BG"/>
              </w:rPr>
            </w:pPr>
            <w:r w:rsidRPr="009072DA">
              <w:rPr>
                <w:sz w:val="18"/>
                <w:lang w:val="bg-BG"/>
              </w:rPr>
              <w:t>Концентрация (етап II)</w:t>
            </w:r>
          </w:p>
        </w:tc>
        <w:tc>
          <w:tcPr>
            <w:tcW w:w="2608" w:type="dxa"/>
            <w:vAlign w:val="center"/>
          </w:tcPr>
          <w:p w:rsidR="000E1B99" w:rsidRPr="009072DA" w:rsidRDefault="000E1B99" w:rsidP="00274EE8">
            <w:pPr>
              <w:spacing w:before="60" w:after="60" w:line="240" w:lineRule="atLeast"/>
              <w:jc w:val="center"/>
              <w:rPr>
                <w:sz w:val="18"/>
                <w:szCs w:val="18"/>
                <w:lang w:val="bg-BG"/>
              </w:rPr>
            </w:pPr>
            <w:r w:rsidRPr="009072DA">
              <w:rPr>
                <w:sz w:val="18"/>
                <w:lang w:val="bg-BG"/>
              </w:rPr>
              <w:t>Проба</w:t>
            </w:r>
          </w:p>
        </w:tc>
      </w:tr>
      <w:tr w:rsidR="000E1B99" w:rsidRPr="008D2440" w:rsidTr="00EB78D3">
        <w:trPr>
          <w:jc w:val="center"/>
        </w:trPr>
        <w:tc>
          <w:tcPr>
            <w:tcW w:w="3629" w:type="dxa"/>
            <w:vMerge w:val="restart"/>
            <w:vAlign w:val="center"/>
          </w:tcPr>
          <w:p w:rsidR="000E1B99" w:rsidRPr="009072DA" w:rsidRDefault="000E1B99" w:rsidP="0085414C">
            <w:pPr>
              <w:spacing w:before="60" w:after="60" w:line="240" w:lineRule="atLeast"/>
              <w:rPr>
                <w:sz w:val="18"/>
                <w:szCs w:val="18"/>
                <w:vertAlign w:val="superscript"/>
                <w:lang w:val="bg-BG"/>
              </w:rPr>
            </w:pPr>
            <w:r w:rsidRPr="009072DA">
              <w:rPr>
                <w:sz w:val="18"/>
                <w:lang w:val="bg-BG"/>
              </w:rPr>
              <w:t>Биохимична потребност от кислород (</w:t>
            </w:r>
            <m:oMath>
              <m:sSub>
                <m:sSubPr>
                  <m:ctrlPr>
                    <w:rPr>
                      <w:rFonts w:ascii="Cambria Math" w:hAnsi="Cambria Math"/>
                      <w:i/>
                      <w:sz w:val="18"/>
                      <w:szCs w:val="18"/>
                      <w:lang w:val="bg-BG"/>
                    </w:rPr>
                  </m:ctrlPr>
                </m:sSubPr>
                <m:e>
                  <m:r>
                    <w:rPr>
                      <w:rFonts w:ascii="Cambria Math" w:hAnsi="Cambria Math"/>
                      <w:sz w:val="18"/>
                      <w:szCs w:val="18"/>
                      <w:lang w:val="bg-BG"/>
                    </w:rPr>
                    <m:t>BOD</m:t>
                  </m:r>
                </m:e>
                <m:sub>
                  <m:r>
                    <w:rPr>
                      <w:rFonts w:ascii="Cambria Math" w:hAnsi="Cambria Math"/>
                      <w:sz w:val="18"/>
                      <w:szCs w:val="18"/>
                      <w:lang w:val="bg-BG"/>
                    </w:rPr>
                    <m:t>5</m:t>
                  </m:r>
                </m:sub>
              </m:sSub>
            </m:oMath>
            <w:r w:rsidRPr="009072DA">
              <w:rPr>
                <w:sz w:val="18"/>
                <w:lang w:val="bg-BG"/>
              </w:rPr>
              <w:t>)</w:t>
            </w:r>
            <w:r w:rsidRPr="009072DA">
              <w:rPr>
                <w:sz w:val="18"/>
                <w:szCs w:val="18"/>
                <w:lang w:val="bg-BG"/>
              </w:rPr>
              <w:br/>
            </w:r>
            <w:r w:rsidRPr="009072DA">
              <w:rPr>
                <w:sz w:val="18"/>
                <w:lang w:val="bg-BG"/>
              </w:rPr>
              <w:t>ISO 5815-1 и 5815-2 : 2003</w:t>
            </w:r>
            <w:r w:rsidRPr="009072DA">
              <w:rPr>
                <w:sz w:val="18"/>
                <w:vertAlign w:val="superscript"/>
                <w:lang w:val="bg-BG"/>
              </w:rPr>
              <w:t>1</w:t>
            </w:r>
          </w:p>
        </w:tc>
        <w:tc>
          <w:tcPr>
            <w:tcW w:w="1588" w:type="dxa"/>
            <w:vAlign w:val="center"/>
          </w:tcPr>
          <w:p w:rsidR="000E1B99" w:rsidRPr="009072DA" w:rsidRDefault="000E1B99" w:rsidP="00274EE8">
            <w:pPr>
              <w:spacing w:before="60" w:after="60" w:line="240" w:lineRule="atLeast"/>
              <w:jc w:val="center"/>
              <w:rPr>
                <w:sz w:val="18"/>
                <w:szCs w:val="18"/>
                <w:lang w:val="bg-BG"/>
              </w:rPr>
            </w:pPr>
            <w:r w:rsidRPr="009072DA">
              <w:rPr>
                <w:sz w:val="18"/>
                <w:lang w:val="bg-BG"/>
              </w:rPr>
              <w:t>20 mg/l</w:t>
            </w:r>
          </w:p>
        </w:tc>
        <w:tc>
          <w:tcPr>
            <w:tcW w:w="2608" w:type="dxa"/>
            <w:vAlign w:val="center"/>
          </w:tcPr>
          <w:p w:rsidR="000E1B99" w:rsidRPr="009072DA" w:rsidRDefault="000E1B99" w:rsidP="00274EE8">
            <w:pPr>
              <w:spacing w:before="60" w:after="60" w:line="240" w:lineRule="atLeast"/>
              <w:rPr>
                <w:sz w:val="18"/>
                <w:szCs w:val="18"/>
                <w:lang w:val="bg-BG"/>
              </w:rPr>
            </w:pPr>
            <w:r w:rsidRPr="009072DA">
              <w:rPr>
                <w:sz w:val="18"/>
                <w:lang w:val="bg-BG"/>
              </w:rPr>
              <w:t>24-часова комбинирана проба, с хомогенизиране</w:t>
            </w:r>
          </w:p>
        </w:tc>
      </w:tr>
      <w:tr w:rsidR="000E1B99" w:rsidRPr="009072DA" w:rsidTr="00EB78D3">
        <w:trPr>
          <w:jc w:val="center"/>
        </w:trPr>
        <w:tc>
          <w:tcPr>
            <w:tcW w:w="3629" w:type="dxa"/>
            <w:vMerge/>
            <w:vAlign w:val="center"/>
          </w:tcPr>
          <w:p w:rsidR="000E1B99" w:rsidRPr="009072DA" w:rsidRDefault="000E1B99" w:rsidP="00274EE8">
            <w:pPr>
              <w:spacing w:before="60" w:after="60" w:line="240" w:lineRule="atLeast"/>
              <w:rPr>
                <w:sz w:val="18"/>
                <w:szCs w:val="18"/>
                <w:lang w:val="bg-BG"/>
              </w:rPr>
            </w:pPr>
          </w:p>
        </w:tc>
        <w:tc>
          <w:tcPr>
            <w:tcW w:w="1588" w:type="dxa"/>
            <w:vAlign w:val="center"/>
          </w:tcPr>
          <w:p w:rsidR="000E1B99" w:rsidRPr="009072DA" w:rsidRDefault="000E1B99" w:rsidP="00274EE8">
            <w:pPr>
              <w:spacing w:before="60" w:after="60" w:line="240" w:lineRule="atLeast"/>
              <w:jc w:val="center"/>
              <w:rPr>
                <w:sz w:val="18"/>
                <w:szCs w:val="18"/>
                <w:lang w:val="bg-BG"/>
              </w:rPr>
            </w:pPr>
            <w:r w:rsidRPr="009072DA">
              <w:rPr>
                <w:sz w:val="18"/>
                <w:lang w:val="bg-BG"/>
              </w:rPr>
              <w:t>25 mg/l</w:t>
            </w:r>
          </w:p>
        </w:tc>
        <w:tc>
          <w:tcPr>
            <w:tcW w:w="2608" w:type="dxa"/>
            <w:vAlign w:val="center"/>
          </w:tcPr>
          <w:p w:rsidR="000E1B99" w:rsidRPr="009072DA" w:rsidRDefault="000E1B99" w:rsidP="00274EE8">
            <w:pPr>
              <w:spacing w:before="60" w:after="60" w:line="240" w:lineRule="atLeast"/>
              <w:rPr>
                <w:sz w:val="18"/>
                <w:szCs w:val="18"/>
                <w:lang w:val="bg-BG"/>
              </w:rPr>
            </w:pPr>
            <w:r w:rsidRPr="009072DA">
              <w:rPr>
                <w:sz w:val="18"/>
                <w:lang w:val="bg-BG"/>
              </w:rPr>
              <w:t>Случайна проба, с хомогенизиране</w:t>
            </w:r>
          </w:p>
        </w:tc>
      </w:tr>
      <w:tr w:rsidR="000E1B99" w:rsidRPr="008D2440" w:rsidTr="00EB78D3">
        <w:trPr>
          <w:jc w:val="center"/>
        </w:trPr>
        <w:tc>
          <w:tcPr>
            <w:tcW w:w="3629" w:type="dxa"/>
            <w:vMerge w:val="restart"/>
            <w:vAlign w:val="center"/>
          </w:tcPr>
          <w:p w:rsidR="000E1B99" w:rsidRPr="009072DA" w:rsidRDefault="000E1B99" w:rsidP="0085414C">
            <w:pPr>
              <w:spacing w:before="60" w:after="60" w:line="240" w:lineRule="atLeast"/>
              <w:rPr>
                <w:sz w:val="18"/>
                <w:szCs w:val="18"/>
                <w:lang w:val="bg-BG"/>
              </w:rPr>
            </w:pPr>
            <w:r w:rsidRPr="009072DA">
              <w:rPr>
                <w:sz w:val="18"/>
                <w:lang w:val="bg-BG"/>
              </w:rPr>
              <w:t>Химична потребност от кислород (ХПК)</w:t>
            </w:r>
            <w:r w:rsidRPr="009072DA">
              <w:rPr>
                <w:sz w:val="18"/>
                <w:vertAlign w:val="superscript"/>
                <w:lang w:val="bg-BG"/>
              </w:rPr>
              <w:t>2</w:t>
            </w:r>
            <w:r w:rsidRPr="009072DA">
              <w:rPr>
                <w:sz w:val="18"/>
                <w:lang w:val="bg-BG"/>
              </w:rPr>
              <w:t xml:space="preserve"> </w:t>
            </w:r>
            <w:r w:rsidRPr="009072DA">
              <w:rPr>
                <w:sz w:val="18"/>
                <w:szCs w:val="18"/>
                <w:lang w:val="bg-BG"/>
              </w:rPr>
              <w:br/>
            </w:r>
            <w:r w:rsidRPr="009072DA">
              <w:rPr>
                <w:sz w:val="18"/>
                <w:lang w:val="bg-BG"/>
              </w:rPr>
              <w:t>ISO 6060 : 1989</w:t>
            </w:r>
            <w:r w:rsidRPr="009072DA">
              <w:rPr>
                <w:sz w:val="18"/>
                <w:vertAlign w:val="superscript"/>
                <w:lang w:val="bg-BG"/>
              </w:rPr>
              <w:t>1)</w:t>
            </w:r>
          </w:p>
        </w:tc>
        <w:tc>
          <w:tcPr>
            <w:tcW w:w="1588" w:type="dxa"/>
            <w:vAlign w:val="center"/>
          </w:tcPr>
          <w:p w:rsidR="000E1B99" w:rsidRPr="009072DA" w:rsidRDefault="000E1B99" w:rsidP="00274EE8">
            <w:pPr>
              <w:spacing w:before="60" w:after="60" w:line="240" w:lineRule="atLeast"/>
              <w:jc w:val="center"/>
              <w:rPr>
                <w:sz w:val="18"/>
                <w:szCs w:val="18"/>
                <w:lang w:val="bg-BG"/>
              </w:rPr>
            </w:pPr>
            <w:r w:rsidRPr="009072DA">
              <w:rPr>
                <w:sz w:val="18"/>
                <w:lang w:val="bg-BG"/>
              </w:rPr>
              <w:t>100 mg/l</w:t>
            </w:r>
          </w:p>
        </w:tc>
        <w:tc>
          <w:tcPr>
            <w:tcW w:w="2608" w:type="dxa"/>
            <w:vAlign w:val="center"/>
          </w:tcPr>
          <w:p w:rsidR="000E1B99" w:rsidRPr="009072DA" w:rsidRDefault="000E1B99" w:rsidP="00274EE8">
            <w:pPr>
              <w:spacing w:before="60" w:after="60" w:line="240" w:lineRule="atLeast"/>
              <w:rPr>
                <w:sz w:val="18"/>
                <w:szCs w:val="18"/>
                <w:lang w:val="bg-BG"/>
              </w:rPr>
            </w:pPr>
            <w:r w:rsidRPr="009072DA">
              <w:rPr>
                <w:sz w:val="18"/>
                <w:lang w:val="bg-BG"/>
              </w:rPr>
              <w:t>24-часова комбинирана проба, с хомогенизиране</w:t>
            </w:r>
          </w:p>
        </w:tc>
      </w:tr>
      <w:tr w:rsidR="000E1B99" w:rsidRPr="009072DA" w:rsidTr="00EB78D3">
        <w:trPr>
          <w:jc w:val="center"/>
        </w:trPr>
        <w:tc>
          <w:tcPr>
            <w:tcW w:w="3629" w:type="dxa"/>
            <w:vMerge/>
            <w:vAlign w:val="center"/>
          </w:tcPr>
          <w:p w:rsidR="000E1B99" w:rsidRPr="009072DA" w:rsidRDefault="000E1B99" w:rsidP="00274EE8">
            <w:pPr>
              <w:spacing w:before="60" w:after="60" w:line="240" w:lineRule="atLeast"/>
              <w:rPr>
                <w:sz w:val="18"/>
                <w:szCs w:val="18"/>
                <w:lang w:val="bg-BG"/>
              </w:rPr>
            </w:pPr>
          </w:p>
        </w:tc>
        <w:tc>
          <w:tcPr>
            <w:tcW w:w="1588" w:type="dxa"/>
            <w:vAlign w:val="center"/>
          </w:tcPr>
          <w:p w:rsidR="000E1B99" w:rsidRPr="009072DA" w:rsidRDefault="000E1B99" w:rsidP="00274EE8">
            <w:pPr>
              <w:spacing w:before="60" w:after="60" w:line="240" w:lineRule="atLeast"/>
              <w:jc w:val="center"/>
              <w:rPr>
                <w:sz w:val="18"/>
                <w:szCs w:val="18"/>
                <w:lang w:val="bg-BG"/>
              </w:rPr>
            </w:pPr>
            <w:r w:rsidRPr="009072DA">
              <w:rPr>
                <w:sz w:val="18"/>
                <w:lang w:val="bg-BG"/>
              </w:rPr>
              <w:t>125 mg/l</w:t>
            </w:r>
          </w:p>
        </w:tc>
        <w:tc>
          <w:tcPr>
            <w:tcW w:w="2608" w:type="dxa"/>
            <w:vAlign w:val="center"/>
          </w:tcPr>
          <w:p w:rsidR="000E1B99" w:rsidRPr="009072DA" w:rsidRDefault="000E1B99" w:rsidP="00274EE8">
            <w:pPr>
              <w:spacing w:before="60" w:after="60" w:line="240" w:lineRule="atLeast"/>
              <w:rPr>
                <w:sz w:val="18"/>
                <w:szCs w:val="18"/>
                <w:lang w:val="bg-BG"/>
              </w:rPr>
            </w:pPr>
            <w:r w:rsidRPr="009072DA">
              <w:rPr>
                <w:sz w:val="18"/>
                <w:lang w:val="bg-BG"/>
              </w:rPr>
              <w:t>Случайна проба, с хомогенизиране</w:t>
            </w:r>
          </w:p>
        </w:tc>
      </w:tr>
      <w:tr w:rsidR="000E1B99" w:rsidRPr="008D2440" w:rsidTr="00EB78D3">
        <w:trPr>
          <w:jc w:val="center"/>
        </w:trPr>
        <w:tc>
          <w:tcPr>
            <w:tcW w:w="3629" w:type="dxa"/>
            <w:vMerge w:val="restart"/>
            <w:vAlign w:val="center"/>
          </w:tcPr>
          <w:p w:rsidR="000E1B99" w:rsidRPr="009072DA" w:rsidRDefault="000E1B99" w:rsidP="0085414C">
            <w:pPr>
              <w:spacing w:before="60" w:after="60" w:line="240" w:lineRule="atLeast"/>
              <w:rPr>
                <w:sz w:val="18"/>
                <w:szCs w:val="18"/>
                <w:vertAlign w:val="superscript"/>
                <w:lang w:val="bg-BG"/>
              </w:rPr>
            </w:pPr>
            <w:r w:rsidRPr="009072DA">
              <w:rPr>
                <w:sz w:val="18"/>
                <w:lang w:val="bg-BG"/>
              </w:rPr>
              <w:t>Общо съдържание на органичен въглерод (ОСОВ)</w:t>
            </w:r>
            <w:r w:rsidRPr="009072DA">
              <w:rPr>
                <w:sz w:val="18"/>
                <w:szCs w:val="18"/>
                <w:lang w:val="bg-BG"/>
              </w:rPr>
              <w:br/>
            </w:r>
            <w:r w:rsidRPr="009072DA">
              <w:rPr>
                <w:sz w:val="18"/>
                <w:lang w:val="bg-BG"/>
              </w:rPr>
              <w:t>EN 1484 : 1997</w:t>
            </w:r>
            <w:r w:rsidRPr="009072DA">
              <w:rPr>
                <w:sz w:val="18"/>
                <w:vertAlign w:val="superscript"/>
                <w:lang w:val="bg-BG"/>
              </w:rPr>
              <w:t>1</w:t>
            </w:r>
          </w:p>
        </w:tc>
        <w:tc>
          <w:tcPr>
            <w:tcW w:w="1588" w:type="dxa"/>
            <w:vAlign w:val="center"/>
          </w:tcPr>
          <w:p w:rsidR="000E1B99" w:rsidRPr="009072DA" w:rsidRDefault="000E1B99" w:rsidP="00274EE8">
            <w:pPr>
              <w:spacing w:before="60" w:after="60" w:line="240" w:lineRule="atLeast"/>
              <w:jc w:val="center"/>
              <w:rPr>
                <w:sz w:val="18"/>
                <w:szCs w:val="18"/>
                <w:lang w:val="bg-BG"/>
              </w:rPr>
            </w:pPr>
            <w:r w:rsidRPr="009072DA">
              <w:rPr>
                <w:sz w:val="18"/>
                <w:lang w:val="bg-BG"/>
              </w:rPr>
              <w:t>35 mg/l</w:t>
            </w:r>
          </w:p>
        </w:tc>
        <w:tc>
          <w:tcPr>
            <w:tcW w:w="2608" w:type="dxa"/>
            <w:vAlign w:val="center"/>
          </w:tcPr>
          <w:p w:rsidR="000E1B99" w:rsidRPr="009072DA" w:rsidRDefault="000E1B99" w:rsidP="00274EE8">
            <w:pPr>
              <w:spacing w:before="60" w:after="60" w:line="240" w:lineRule="atLeast"/>
              <w:rPr>
                <w:sz w:val="18"/>
                <w:szCs w:val="18"/>
                <w:lang w:val="bg-BG"/>
              </w:rPr>
            </w:pPr>
            <w:r w:rsidRPr="009072DA">
              <w:rPr>
                <w:sz w:val="18"/>
                <w:lang w:val="bg-BG"/>
              </w:rPr>
              <w:t>24-часова комбинирана проба, с хомогенизиране</w:t>
            </w:r>
          </w:p>
        </w:tc>
      </w:tr>
      <w:tr w:rsidR="000E1B99" w:rsidRPr="009072DA" w:rsidTr="00EB78D3">
        <w:trPr>
          <w:jc w:val="center"/>
        </w:trPr>
        <w:tc>
          <w:tcPr>
            <w:tcW w:w="3629" w:type="dxa"/>
            <w:vMerge/>
            <w:vAlign w:val="center"/>
          </w:tcPr>
          <w:p w:rsidR="000E1B99" w:rsidRPr="009072DA" w:rsidRDefault="000E1B99" w:rsidP="00274EE8">
            <w:pPr>
              <w:spacing w:before="60" w:after="60" w:line="240" w:lineRule="atLeast"/>
              <w:rPr>
                <w:sz w:val="18"/>
                <w:szCs w:val="18"/>
                <w:lang w:val="bg-BG"/>
              </w:rPr>
            </w:pPr>
          </w:p>
        </w:tc>
        <w:tc>
          <w:tcPr>
            <w:tcW w:w="1588" w:type="dxa"/>
            <w:vAlign w:val="center"/>
          </w:tcPr>
          <w:p w:rsidR="000E1B99" w:rsidRPr="009072DA" w:rsidRDefault="000E1B99" w:rsidP="00274EE8">
            <w:pPr>
              <w:spacing w:before="60" w:after="60" w:line="240" w:lineRule="atLeast"/>
              <w:jc w:val="center"/>
              <w:rPr>
                <w:sz w:val="18"/>
                <w:szCs w:val="18"/>
                <w:lang w:val="bg-BG"/>
              </w:rPr>
            </w:pPr>
            <w:r w:rsidRPr="009072DA">
              <w:rPr>
                <w:sz w:val="18"/>
                <w:lang w:val="bg-BG"/>
              </w:rPr>
              <w:t>45 mg/l</w:t>
            </w:r>
          </w:p>
        </w:tc>
        <w:tc>
          <w:tcPr>
            <w:tcW w:w="2608" w:type="dxa"/>
            <w:vAlign w:val="center"/>
          </w:tcPr>
          <w:p w:rsidR="000E1B99" w:rsidRPr="009072DA" w:rsidRDefault="000E1B99" w:rsidP="00274EE8">
            <w:pPr>
              <w:spacing w:before="60" w:after="60" w:line="240" w:lineRule="atLeast"/>
              <w:rPr>
                <w:sz w:val="18"/>
                <w:szCs w:val="18"/>
                <w:lang w:val="bg-BG"/>
              </w:rPr>
            </w:pPr>
            <w:r w:rsidRPr="009072DA">
              <w:rPr>
                <w:sz w:val="18"/>
                <w:lang w:val="bg-BG"/>
              </w:rPr>
              <w:t>Случайна проба, с хомогенизиране</w:t>
            </w:r>
          </w:p>
        </w:tc>
      </w:tr>
    </w:tbl>
    <w:p w:rsidR="00AC39F0" w:rsidRPr="009072DA" w:rsidRDefault="00AC39F0" w:rsidP="000F3425">
      <w:pPr>
        <w:spacing w:before="60"/>
        <w:ind w:left="992"/>
        <w:rPr>
          <w:sz w:val="16"/>
          <w:szCs w:val="16"/>
          <w:lang w:val="bg-BG"/>
        </w:rPr>
      </w:pPr>
      <w:r w:rsidRPr="009072DA">
        <w:rPr>
          <w:sz w:val="14"/>
          <w:lang w:val="bg-BG"/>
        </w:rPr>
        <w:t>1)</w:t>
      </w:r>
      <w:r w:rsidRPr="009072DA">
        <w:rPr>
          <w:lang w:val="bg-BG"/>
        </w:rPr>
        <w:tab/>
      </w:r>
      <w:r w:rsidRPr="009072DA">
        <w:rPr>
          <w:sz w:val="16"/>
          <w:lang w:val="bg-BG"/>
        </w:rPr>
        <w:t>Държавите членки могат да прилагат еквивалентни процедури.</w:t>
      </w:r>
    </w:p>
    <w:p w:rsidR="00AC39F0" w:rsidRPr="009072DA" w:rsidRDefault="00AC39F0" w:rsidP="000F3425">
      <w:pPr>
        <w:ind w:left="992"/>
        <w:rPr>
          <w:sz w:val="16"/>
          <w:szCs w:val="16"/>
          <w:lang w:val="bg-BG"/>
        </w:rPr>
      </w:pPr>
      <w:r w:rsidRPr="009072DA">
        <w:rPr>
          <w:sz w:val="14"/>
          <w:lang w:val="bg-BG"/>
        </w:rPr>
        <w:t>2)</w:t>
      </w:r>
      <w:r w:rsidRPr="009072DA">
        <w:rPr>
          <w:lang w:val="bg-BG"/>
        </w:rPr>
        <w:tab/>
      </w:r>
      <w:r w:rsidRPr="009072DA">
        <w:rPr>
          <w:sz w:val="16"/>
          <w:lang w:val="bg-BG"/>
        </w:rPr>
        <w:t>Вместо химичната потребност от кислород (ХПК), общото съдържание на органичен въглерод (ОСОВ) може също да бъде използвано за целите на проверката.</w:t>
      </w:r>
    </w:p>
    <w:p w:rsidR="00AC39F0" w:rsidRPr="009072DA" w:rsidRDefault="00AC39F0" w:rsidP="00AC39F0">
      <w:pPr>
        <w:pStyle w:val="ESch"/>
        <w:rPr>
          <w:szCs w:val="20"/>
          <w:lang w:val="bg-BG"/>
        </w:rPr>
      </w:pPr>
    </w:p>
    <w:p w:rsidR="003D0171" w:rsidRPr="009072DA" w:rsidRDefault="003D0171" w:rsidP="00AC39F0">
      <w:pPr>
        <w:pStyle w:val="ESch"/>
        <w:rPr>
          <w:szCs w:val="20"/>
          <w:lang w:val="bg-BG"/>
        </w:rPr>
      </w:pPr>
      <w:r w:rsidRPr="009072DA">
        <w:rPr>
          <w:lang w:val="bg-BG"/>
        </w:rPr>
        <w:br w:type="page"/>
      </w:r>
    </w:p>
    <w:p w:rsidR="00AC39F0" w:rsidRPr="009072DA" w:rsidRDefault="005C7859" w:rsidP="00AC39F0">
      <w:pPr>
        <w:pStyle w:val="ESlet"/>
        <w:rPr>
          <w:rFonts w:cs="Arial"/>
          <w:lang w:val="bg-BG"/>
        </w:rPr>
      </w:pPr>
      <w:r w:rsidRPr="009072DA">
        <w:rPr>
          <w:lang w:val="bg-BG"/>
        </w:rPr>
        <w:lastRenderedPageBreak/>
        <w:t>б)</w:t>
      </w:r>
      <w:r w:rsidRPr="009072DA">
        <w:rPr>
          <w:lang w:val="bg-BG"/>
        </w:rPr>
        <w:tab/>
        <w:t>Бордовите станции за пречистване на отпадъчни води трябва да отговарят на следните контролни стойности по време на работа:</w:t>
      </w:r>
    </w:p>
    <w:p w:rsidR="00AC39F0" w:rsidRPr="009072DA" w:rsidRDefault="00AC39F0" w:rsidP="00AC39F0">
      <w:pPr>
        <w:pStyle w:val="ESch"/>
        <w:rPr>
          <w:szCs w:val="20"/>
          <w:lang w:val="bg-BG"/>
        </w:rPr>
      </w:pPr>
    </w:p>
    <w:p w:rsidR="00AC39F0" w:rsidRPr="009072DA" w:rsidRDefault="00AC39F0" w:rsidP="00AC39F0">
      <w:pPr>
        <w:pStyle w:val="ESletpar"/>
        <w:rPr>
          <w:rFonts w:cs="Arial"/>
          <w:lang w:val="bg-BG"/>
        </w:rPr>
      </w:pPr>
      <w:r w:rsidRPr="009072DA">
        <w:rPr>
          <w:lang w:val="bg-BG"/>
        </w:rPr>
        <w:t>Таблица 2: Контролни стойности, които трябва да са спазени за изходящия поток на бордовата станция за пречистване на отпадъчни води по време на работа</w:t>
      </w:r>
    </w:p>
    <w:p w:rsidR="00AC39F0" w:rsidRPr="009072DA" w:rsidRDefault="00AC39F0" w:rsidP="00AC39F0">
      <w:pPr>
        <w:pStyle w:val="ESch"/>
        <w:rPr>
          <w:szCs w:val="20"/>
          <w:lang w:val="bg-BG"/>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29"/>
        <w:gridCol w:w="1588"/>
        <w:gridCol w:w="2608"/>
      </w:tblGrid>
      <w:tr w:rsidR="000E1B99" w:rsidRPr="009072DA" w:rsidTr="000E1B99">
        <w:trPr>
          <w:trHeight w:val="836"/>
          <w:jc w:val="center"/>
        </w:trPr>
        <w:tc>
          <w:tcPr>
            <w:tcW w:w="3629" w:type="dxa"/>
            <w:vAlign w:val="center"/>
          </w:tcPr>
          <w:p w:rsidR="000E1B99" w:rsidRPr="009072DA" w:rsidRDefault="000E1B99" w:rsidP="00B33A41">
            <w:pPr>
              <w:spacing w:before="60" w:after="60" w:line="240" w:lineRule="atLeast"/>
              <w:jc w:val="center"/>
              <w:rPr>
                <w:sz w:val="18"/>
                <w:szCs w:val="18"/>
                <w:lang w:val="bg-BG"/>
              </w:rPr>
            </w:pPr>
            <w:r w:rsidRPr="009072DA">
              <w:rPr>
                <w:sz w:val="18"/>
                <w:lang w:val="bg-BG"/>
              </w:rPr>
              <w:t>Параметър</w:t>
            </w:r>
          </w:p>
        </w:tc>
        <w:tc>
          <w:tcPr>
            <w:tcW w:w="1588" w:type="dxa"/>
            <w:vAlign w:val="center"/>
          </w:tcPr>
          <w:p w:rsidR="000E1B99" w:rsidRPr="009072DA" w:rsidRDefault="000E1B99" w:rsidP="00B33A41">
            <w:pPr>
              <w:spacing w:before="60" w:after="60" w:line="240" w:lineRule="atLeast"/>
              <w:jc w:val="center"/>
              <w:rPr>
                <w:sz w:val="18"/>
                <w:szCs w:val="18"/>
                <w:lang w:val="bg-BG"/>
              </w:rPr>
            </w:pPr>
            <w:r w:rsidRPr="009072DA">
              <w:rPr>
                <w:sz w:val="18"/>
                <w:lang w:val="bg-BG"/>
              </w:rPr>
              <w:t>Концентрация (етап II)</w:t>
            </w:r>
          </w:p>
        </w:tc>
        <w:tc>
          <w:tcPr>
            <w:tcW w:w="2608" w:type="dxa"/>
            <w:vAlign w:val="center"/>
          </w:tcPr>
          <w:p w:rsidR="000E1B99" w:rsidRPr="009072DA" w:rsidRDefault="000E1B99" w:rsidP="00B33A41">
            <w:pPr>
              <w:spacing w:before="60" w:after="60" w:line="240" w:lineRule="atLeast"/>
              <w:jc w:val="center"/>
              <w:rPr>
                <w:sz w:val="18"/>
                <w:szCs w:val="18"/>
                <w:lang w:val="bg-BG"/>
              </w:rPr>
            </w:pPr>
            <w:r w:rsidRPr="009072DA">
              <w:rPr>
                <w:sz w:val="18"/>
                <w:lang w:val="bg-BG"/>
              </w:rPr>
              <w:t>Проба</w:t>
            </w:r>
          </w:p>
        </w:tc>
      </w:tr>
      <w:tr w:rsidR="000E1B99" w:rsidRPr="009072DA" w:rsidTr="000E1B99">
        <w:trPr>
          <w:trHeight w:val="1080"/>
          <w:jc w:val="center"/>
        </w:trPr>
        <w:tc>
          <w:tcPr>
            <w:tcW w:w="3629" w:type="dxa"/>
            <w:vAlign w:val="center"/>
          </w:tcPr>
          <w:p w:rsidR="000E1B99" w:rsidRPr="009072DA" w:rsidRDefault="000E1B99" w:rsidP="00B33A41">
            <w:pPr>
              <w:spacing w:before="60" w:after="60" w:line="240" w:lineRule="atLeast"/>
              <w:rPr>
                <w:sz w:val="18"/>
                <w:szCs w:val="18"/>
                <w:vertAlign w:val="superscript"/>
                <w:lang w:val="bg-BG"/>
              </w:rPr>
            </w:pPr>
            <w:r w:rsidRPr="009072DA">
              <w:rPr>
                <w:sz w:val="18"/>
                <w:lang w:val="bg-BG"/>
              </w:rPr>
              <w:t>Биохимична потребност от кислород (</w:t>
            </w:r>
            <m:oMath>
              <m:sSub>
                <m:sSubPr>
                  <m:ctrlPr>
                    <w:rPr>
                      <w:rFonts w:ascii="Cambria Math" w:hAnsi="Cambria Math"/>
                      <w:i/>
                      <w:sz w:val="18"/>
                      <w:szCs w:val="18"/>
                      <w:lang w:val="bg-BG"/>
                    </w:rPr>
                  </m:ctrlPr>
                </m:sSubPr>
                <m:e>
                  <m:r>
                    <w:rPr>
                      <w:rFonts w:ascii="Cambria Math" w:hAnsi="Cambria Math"/>
                      <w:sz w:val="18"/>
                      <w:szCs w:val="18"/>
                      <w:lang w:val="bg-BG"/>
                    </w:rPr>
                    <m:t>BOD</m:t>
                  </m:r>
                </m:e>
                <m:sub>
                  <m:r>
                    <w:rPr>
                      <w:rFonts w:ascii="Cambria Math" w:hAnsi="Cambria Math"/>
                      <w:sz w:val="18"/>
                      <w:szCs w:val="18"/>
                      <w:lang w:val="bg-BG"/>
                    </w:rPr>
                    <m:t>5</m:t>
                  </m:r>
                </m:sub>
              </m:sSub>
            </m:oMath>
            <w:r w:rsidRPr="009072DA">
              <w:rPr>
                <w:sz w:val="18"/>
                <w:lang w:val="bg-BG"/>
              </w:rPr>
              <w:t>)</w:t>
            </w:r>
            <w:r w:rsidRPr="009072DA">
              <w:rPr>
                <w:sz w:val="18"/>
                <w:szCs w:val="18"/>
                <w:lang w:val="bg-BG"/>
              </w:rPr>
              <w:br/>
            </w:r>
            <w:r w:rsidRPr="009072DA">
              <w:rPr>
                <w:sz w:val="18"/>
                <w:lang w:val="bg-BG"/>
              </w:rPr>
              <w:t>ISO 5815-1 и 5815-2 (2003)</w:t>
            </w:r>
            <w:r w:rsidRPr="009072DA">
              <w:rPr>
                <w:sz w:val="18"/>
                <w:vertAlign w:val="superscript"/>
                <w:lang w:val="bg-BG"/>
              </w:rPr>
              <w:t>1</w:t>
            </w:r>
          </w:p>
        </w:tc>
        <w:tc>
          <w:tcPr>
            <w:tcW w:w="1588" w:type="dxa"/>
            <w:vAlign w:val="center"/>
          </w:tcPr>
          <w:p w:rsidR="000E1B99" w:rsidRPr="009072DA" w:rsidRDefault="000E1B99" w:rsidP="00B33A41">
            <w:pPr>
              <w:suppressAutoHyphens/>
              <w:snapToGrid w:val="0"/>
              <w:spacing w:before="60" w:after="60" w:line="240" w:lineRule="atLeast"/>
              <w:jc w:val="center"/>
              <w:rPr>
                <w:rFonts w:cs="Arial"/>
                <w:sz w:val="18"/>
                <w:szCs w:val="18"/>
                <w:lang w:val="bg-BG"/>
              </w:rPr>
            </w:pPr>
            <w:r w:rsidRPr="009072DA">
              <w:rPr>
                <w:sz w:val="18"/>
                <w:lang w:val="bg-BG"/>
              </w:rPr>
              <w:t>25 mg/l</w:t>
            </w:r>
          </w:p>
        </w:tc>
        <w:tc>
          <w:tcPr>
            <w:tcW w:w="2608" w:type="dxa"/>
            <w:vAlign w:val="center"/>
          </w:tcPr>
          <w:p w:rsidR="000E1B99" w:rsidRPr="009072DA" w:rsidRDefault="000E1B99" w:rsidP="00B33A41">
            <w:pPr>
              <w:spacing w:before="60" w:after="60" w:line="240" w:lineRule="atLeast"/>
              <w:rPr>
                <w:sz w:val="18"/>
                <w:szCs w:val="18"/>
                <w:lang w:val="bg-BG"/>
              </w:rPr>
            </w:pPr>
            <w:r w:rsidRPr="009072DA">
              <w:rPr>
                <w:sz w:val="18"/>
                <w:lang w:val="bg-BG"/>
              </w:rPr>
              <w:t>Случайна проба, с хомогенизиране</w:t>
            </w:r>
          </w:p>
        </w:tc>
      </w:tr>
      <w:tr w:rsidR="000E1B99" w:rsidRPr="009072DA" w:rsidTr="000E1B99">
        <w:trPr>
          <w:jc w:val="center"/>
        </w:trPr>
        <w:tc>
          <w:tcPr>
            <w:tcW w:w="3629" w:type="dxa"/>
            <w:vMerge w:val="restart"/>
            <w:vAlign w:val="center"/>
          </w:tcPr>
          <w:p w:rsidR="000E1B99" w:rsidRPr="009072DA" w:rsidRDefault="000E1B99" w:rsidP="00B33A41">
            <w:pPr>
              <w:spacing w:before="60" w:after="60" w:line="240" w:lineRule="atLeast"/>
              <w:rPr>
                <w:sz w:val="18"/>
                <w:szCs w:val="18"/>
                <w:lang w:val="bg-BG"/>
              </w:rPr>
            </w:pPr>
            <w:r w:rsidRPr="009072DA">
              <w:rPr>
                <w:sz w:val="18"/>
                <w:lang w:val="bg-BG"/>
              </w:rPr>
              <w:t>Химична потребност от кислород (ХПК)</w:t>
            </w:r>
            <w:r w:rsidRPr="009072DA">
              <w:rPr>
                <w:sz w:val="18"/>
                <w:vertAlign w:val="superscript"/>
                <w:lang w:val="bg-BG"/>
              </w:rPr>
              <w:t xml:space="preserve">2 </w:t>
            </w:r>
            <w:r w:rsidRPr="009072DA">
              <w:rPr>
                <w:sz w:val="18"/>
                <w:szCs w:val="18"/>
                <w:vertAlign w:val="superscript"/>
                <w:lang w:val="bg-BG"/>
              </w:rPr>
              <w:br/>
            </w:r>
            <w:r w:rsidRPr="009072DA">
              <w:rPr>
                <w:sz w:val="18"/>
                <w:lang w:val="bg-BG"/>
              </w:rPr>
              <w:t>ISO 6060 (1989)</w:t>
            </w:r>
            <w:r w:rsidRPr="009072DA">
              <w:rPr>
                <w:sz w:val="18"/>
                <w:vertAlign w:val="superscript"/>
                <w:lang w:val="bg-BG"/>
              </w:rPr>
              <w:t>1</w:t>
            </w:r>
          </w:p>
        </w:tc>
        <w:tc>
          <w:tcPr>
            <w:tcW w:w="1588" w:type="dxa"/>
            <w:vAlign w:val="center"/>
          </w:tcPr>
          <w:p w:rsidR="000E1B99" w:rsidRPr="009072DA" w:rsidRDefault="000E1B99" w:rsidP="00B33A41">
            <w:pPr>
              <w:suppressAutoHyphens/>
              <w:snapToGrid w:val="0"/>
              <w:spacing w:before="60" w:after="60" w:line="240" w:lineRule="atLeast"/>
              <w:jc w:val="center"/>
              <w:rPr>
                <w:rFonts w:cs="Arial"/>
                <w:sz w:val="18"/>
                <w:szCs w:val="18"/>
                <w:lang w:val="bg-BG"/>
              </w:rPr>
            </w:pPr>
            <w:r w:rsidRPr="009072DA">
              <w:rPr>
                <w:sz w:val="18"/>
                <w:lang w:val="bg-BG"/>
              </w:rPr>
              <w:t>125 mg/l</w:t>
            </w:r>
          </w:p>
        </w:tc>
        <w:tc>
          <w:tcPr>
            <w:tcW w:w="2608" w:type="dxa"/>
            <w:vAlign w:val="center"/>
          </w:tcPr>
          <w:p w:rsidR="000E1B99" w:rsidRPr="009072DA" w:rsidRDefault="000E1B99" w:rsidP="00B33A41">
            <w:pPr>
              <w:spacing w:before="60" w:after="60" w:line="240" w:lineRule="atLeast"/>
              <w:rPr>
                <w:sz w:val="18"/>
                <w:szCs w:val="18"/>
                <w:lang w:val="bg-BG"/>
              </w:rPr>
            </w:pPr>
            <w:r w:rsidRPr="009072DA">
              <w:rPr>
                <w:sz w:val="18"/>
                <w:lang w:val="bg-BG"/>
              </w:rPr>
              <w:t>Случайна проба, с хомогенизиране</w:t>
            </w:r>
          </w:p>
        </w:tc>
      </w:tr>
      <w:tr w:rsidR="000E1B99" w:rsidRPr="009072DA" w:rsidTr="000E1B99">
        <w:trPr>
          <w:jc w:val="center"/>
        </w:trPr>
        <w:tc>
          <w:tcPr>
            <w:tcW w:w="3629" w:type="dxa"/>
            <w:vMerge/>
            <w:vAlign w:val="center"/>
          </w:tcPr>
          <w:p w:rsidR="000E1B99" w:rsidRPr="009072DA" w:rsidRDefault="000E1B99" w:rsidP="00B33A41">
            <w:pPr>
              <w:spacing w:before="60" w:after="60" w:line="240" w:lineRule="atLeast"/>
              <w:rPr>
                <w:sz w:val="18"/>
                <w:szCs w:val="18"/>
                <w:lang w:val="bg-BG"/>
              </w:rPr>
            </w:pPr>
          </w:p>
        </w:tc>
        <w:tc>
          <w:tcPr>
            <w:tcW w:w="1588" w:type="dxa"/>
            <w:vAlign w:val="center"/>
          </w:tcPr>
          <w:p w:rsidR="000E1B99" w:rsidRPr="009072DA" w:rsidRDefault="000E1B99" w:rsidP="00B33A41">
            <w:pPr>
              <w:suppressAutoHyphens/>
              <w:snapToGrid w:val="0"/>
              <w:spacing w:before="60" w:after="60" w:line="240" w:lineRule="atLeast"/>
              <w:jc w:val="center"/>
              <w:rPr>
                <w:rFonts w:cs="Arial"/>
                <w:sz w:val="18"/>
                <w:szCs w:val="18"/>
                <w:lang w:val="bg-BG"/>
              </w:rPr>
            </w:pPr>
            <w:r w:rsidRPr="009072DA">
              <w:rPr>
                <w:sz w:val="18"/>
                <w:lang w:val="bg-BG"/>
              </w:rPr>
              <w:t>150 mg/l</w:t>
            </w:r>
          </w:p>
        </w:tc>
        <w:tc>
          <w:tcPr>
            <w:tcW w:w="2608" w:type="dxa"/>
            <w:vAlign w:val="center"/>
          </w:tcPr>
          <w:p w:rsidR="000E1B99" w:rsidRPr="009072DA" w:rsidRDefault="000E1B99" w:rsidP="00B33A41">
            <w:pPr>
              <w:spacing w:before="60" w:after="60" w:line="240" w:lineRule="atLeast"/>
              <w:rPr>
                <w:sz w:val="18"/>
                <w:szCs w:val="18"/>
                <w:lang w:val="bg-BG"/>
              </w:rPr>
            </w:pPr>
            <w:r w:rsidRPr="009072DA">
              <w:rPr>
                <w:sz w:val="18"/>
                <w:lang w:val="bg-BG"/>
              </w:rPr>
              <w:t>Случайна проба</w:t>
            </w:r>
          </w:p>
        </w:tc>
      </w:tr>
      <w:tr w:rsidR="000E1B99" w:rsidRPr="009072DA" w:rsidTr="000E1B99">
        <w:trPr>
          <w:trHeight w:val="730"/>
          <w:jc w:val="center"/>
        </w:trPr>
        <w:tc>
          <w:tcPr>
            <w:tcW w:w="3629" w:type="dxa"/>
            <w:vAlign w:val="center"/>
          </w:tcPr>
          <w:p w:rsidR="000E1B99" w:rsidRPr="009072DA" w:rsidRDefault="000E1B99" w:rsidP="00B33A41">
            <w:pPr>
              <w:spacing w:before="60" w:after="60" w:line="240" w:lineRule="atLeast"/>
              <w:rPr>
                <w:sz w:val="18"/>
                <w:szCs w:val="18"/>
                <w:vertAlign w:val="superscript"/>
                <w:lang w:val="bg-BG"/>
              </w:rPr>
            </w:pPr>
            <w:r w:rsidRPr="009072DA">
              <w:rPr>
                <w:sz w:val="18"/>
                <w:lang w:val="bg-BG"/>
              </w:rPr>
              <w:t xml:space="preserve">Общо съдържание на органичен въглерод (ОСОВ) </w:t>
            </w:r>
            <w:r w:rsidRPr="009072DA">
              <w:rPr>
                <w:sz w:val="18"/>
                <w:szCs w:val="18"/>
                <w:lang w:val="bg-BG"/>
              </w:rPr>
              <w:br/>
            </w:r>
            <w:r w:rsidRPr="009072DA">
              <w:rPr>
                <w:sz w:val="18"/>
                <w:lang w:val="bg-BG"/>
              </w:rPr>
              <w:t>EN 1484 (1997)</w:t>
            </w:r>
            <w:r w:rsidRPr="009072DA">
              <w:rPr>
                <w:sz w:val="18"/>
                <w:vertAlign w:val="superscript"/>
                <w:lang w:val="bg-BG"/>
              </w:rPr>
              <w:t>1</w:t>
            </w:r>
          </w:p>
        </w:tc>
        <w:tc>
          <w:tcPr>
            <w:tcW w:w="1588" w:type="dxa"/>
            <w:vAlign w:val="center"/>
          </w:tcPr>
          <w:p w:rsidR="000E1B99" w:rsidRPr="009072DA" w:rsidRDefault="000E1B99" w:rsidP="00B33A41">
            <w:pPr>
              <w:suppressAutoHyphens/>
              <w:snapToGrid w:val="0"/>
              <w:spacing w:before="60" w:after="60" w:line="240" w:lineRule="atLeast"/>
              <w:jc w:val="center"/>
              <w:rPr>
                <w:rFonts w:cs="Arial"/>
                <w:sz w:val="18"/>
                <w:szCs w:val="18"/>
                <w:lang w:val="bg-BG"/>
              </w:rPr>
            </w:pPr>
            <w:r w:rsidRPr="009072DA">
              <w:rPr>
                <w:sz w:val="18"/>
                <w:lang w:val="bg-BG"/>
              </w:rPr>
              <w:t>45 mg/l</w:t>
            </w:r>
          </w:p>
        </w:tc>
        <w:tc>
          <w:tcPr>
            <w:tcW w:w="2608" w:type="dxa"/>
            <w:vAlign w:val="center"/>
          </w:tcPr>
          <w:p w:rsidR="000E1B99" w:rsidRPr="009072DA" w:rsidRDefault="000E1B99" w:rsidP="00B33A41">
            <w:pPr>
              <w:spacing w:before="60" w:after="60" w:line="240" w:lineRule="atLeast"/>
              <w:rPr>
                <w:sz w:val="18"/>
                <w:szCs w:val="18"/>
                <w:lang w:val="bg-BG"/>
              </w:rPr>
            </w:pPr>
            <w:r w:rsidRPr="009072DA">
              <w:rPr>
                <w:sz w:val="18"/>
                <w:lang w:val="bg-BG"/>
              </w:rPr>
              <w:t>Случайна проба, с хомогенизиране</w:t>
            </w:r>
          </w:p>
        </w:tc>
      </w:tr>
    </w:tbl>
    <w:p w:rsidR="003D0171" w:rsidRPr="009072DA" w:rsidRDefault="003D0171" w:rsidP="000E1B99">
      <w:pPr>
        <w:spacing w:before="60" w:line="240" w:lineRule="atLeast"/>
        <w:ind w:left="993" w:hanging="426"/>
        <w:rPr>
          <w:sz w:val="16"/>
          <w:szCs w:val="16"/>
          <w:lang w:val="bg-BG"/>
        </w:rPr>
      </w:pPr>
      <w:r w:rsidRPr="009072DA">
        <w:rPr>
          <w:sz w:val="16"/>
          <w:lang w:val="bg-BG"/>
        </w:rPr>
        <w:t>1</w:t>
      </w:r>
      <w:r w:rsidRPr="009072DA">
        <w:rPr>
          <w:lang w:val="bg-BG"/>
        </w:rPr>
        <w:tab/>
      </w:r>
      <w:r w:rsidRPr="009072DA">
        <w:rPr>
          <w:sz w:val="16"/>
          <w:lang w:val="bg-BG"/>
        </w:rPr>
        <w:t>Държавите членки могат да прилагат еквивалентни процедури.</w:t>
      </w:r>
    </w:p>
    <w:p w:rsidR="003D0171" w:rsidRPr="009072DA" w:rsidRDefault="003D0171" w:rsidP="000E1B99">
      <w:pPr>
        <w:spacing w:before="60" w:line="240" w:lineRule="atLeast"/>
        <w:ind w:left="993" w:hanging="426"/>
        <w:rPr>
          <w:sz w:val="16"/>
          <w:szCs w:val="16"/>
          <w:lang w:val="bg-BG"/>
        </w:rPr>
      </w:pPr>
      <w:r w:rsidRPr="009072DA">
        <w:rPr>
          <w:sz w:val="16"/>
          <w:lang w:val="bg-BG"/>
        </w:rPr>
        <w:t>2</w:t>
      </w:r>
      <w:r w:rsidRPr="009072DA">
        <w:rPr>
          <w:lang w:val="bg-BG"/>
        </w:rPr>
        <w:tab/>
      </w:r>
      <w:r w:rsidRPr="009072DA">
        <w:rPr>
          <w:sz w:val="16"/>
          <w:lang w:val="bg-BG"/>
        </w:rPr>
        <w:t>Вместо химичната потребност от кислород (ХПК), общото съдържание на органичен въглерод (ОСОВ) може също да бъде използвано за целите на проверката.</w:t>
      </w:r>
    </w:p>
    <w:p w:rsidR="003D0171" w:rsidRPr="009072DA" w:rsidRDefault="003D0171" w:rsidP="00AC39F0">
      <w:pPr>
        <w:pStyle w:val="ESch"/>
        <w:rPr>
          <w:rFonts w:cs="Arial"/>
          <w:szCs w:val="20"/>
          <w:lang w:val="bg-BG"/>
        </w:rPr>
      </w:pPr>
    </w:p>
    <w:p w:rsidR="00AC39F0" w:rsidRPr="009072DA" w:rsidRDefault="00AC39F0" w:rsidP="00AC39F0">
      <w:pPr>
        <w:pStyle w:val="ESch"/>
        <w:rPr>
          <w:rFonts w:cs="Arial"/>
          <w:szCs w:val="20"/>
          <w:lang w:val="bg-BG"/>
        </w:rPr>
      </w:pPr>
      <w:r w:rsidRPr="009072DA">
        <w:rPr>
          <w:lang w:val="bg-BG"/>
        </w:rPr>
        <w:t>3.</w:t>
      </w:r>
      <w:r w:rsidRPr="009072DA">
        <w:rPr>
          <w:lang w:val="bg-BG"/>
        </w:rPr>
        <w:tab/>
        <w:t>Процеси, които използват продукти, съдържащи хлор, не са допустими.</w:t>
      </w:r>
    </w:p>
    <w:p w:rsidR="00AC39F0" w:rsidRPr="009072DA" w:rsidRDefault="00AC39F0" w:rsidP="00AC39F0">
      <w:pPr>
        <w:pStyle w:val="ESch"/>
        <w:rPr>
          <w:szCs w:val="20"/>
          <w:lang w:val="bg-BG"/>
        </w:rPr>
      </w:pPr>
    </w:p>
    <w:p w:rsidR="00AC39F0" w:rsidRPr="009072DA" w:rsidRDefault="00AC39F0" w:rsidP="00AC39F0">
      <w:pPr>
        <w:pStyle w:val="ESchpar"/>
        <w:rPr>
          <w:rFonts w:cs="Arial"/>
          <w:lang w:val="bg-BG"/>
        </w:rPr>
      </w:pPr>
      <w:r w:rsidRPr="009072DA">
        <w:rPr>
          <w:lang w:val="bg-BG"/>
        </w:rPr>
        <w:t>Също така не се допуска да бъдат разреждани битовите отпадъчни води, за да бъде намалено специфичното замърсяване и по този начин да бъде възможно изхвърлянето им.</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4.</w:t>
      </w:r>
      <w:r w:rsidRPr="009072DA">
        <w:rPr>
          <w:lang w:val="bg-BG"/>
        </w:rPr>
        <w:tab/>
        <w:t>Предприемат се адекватни мерки за складиране, съхранение (ако е необходимо) и изхвърляне на утайките от отпадъчни води. Те трябва да включват също така план за управление на утайките от отпадъчните води.</w:t>
      </w:r>
    </w:p>
    <w:p w:rsidR="00AC39F0" w:rsidRPr="009072DA" w:rsidRDefault="00AC39F0" w:rsidP="00AC39F0">
      <w:pPr>
        <w:pStyle w:val="ESch"/>
        <w:rPr>
          <w:szCs w:val="20"/>
          <w:lang w:val="bg-BG"/>
        </w:rPr>
      </w:pPr>
    </w:p>
    <w:p w:rsidR="00AC39F0" w:rsidRPr="009072DA" w:rsidRDefault="00AC39F0" w:rsidP="00AC39F0">
      <w:pPr>
        <w:pStyle w:val="ESch"/>
        <w:rPr>
          <w:szCs w:val="20"/>
          <w:lang w:val="bg-BG"/>
        </w:rPr>
      </w:pPr>
      <w:r w:rsidRPr="009072DA">
        <w:rPr>
          <w:lang w:val="bg-BG"/>
        </w:rPr>
        <w:t>5.</w:t>
      </w:r>
      <w:r w:rsidRPr="009072DA">
        <w:rPr>
          <w:lang w:val="bg-BG"/>
        </w:rPr>
        <w:tab/>
        <w:t>Пределните стойности, определени в таблица 1 в точка 2, буква a), трябва да бъдат потвърдени чрез изпитване на типа и определени чрез одобрение на типа. Одобрението на типа се удостоверява в удостоверението за одобрение на типа. Преди монтирането на бордова станция за пречистване на отпадъчни води, копие от сертификата за одобрение на типа трябва да бъде изпратено на контролния орган. Копия от удостоверението за одобрение на типа и протокола за параметрите на бордовата станция за пречистване на отпадъчни води се съхраняват на борда.</w:t>
      </w:r>
    </w:p>
    <w:p w:rsidR="00C509E3" w:rsidRPr="009072DA" w:rsidRDefault="00C509E3"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6.</w:t>
      </w:r>
      <w:r w:rsidRPr="009072DA">
        <w:rPr>
          <w:lang w:val="bg-BG"/>
        </w:rPr>
        <w:tab/>
        <w:t>След като бордовата станция за пречистване на отпадъчни води бъде монтирана на борда, производителят провежда изпитване на показателите преди началото на редовна експлоатация. Бордовата станция за пречистване на отпадъчни води се записва в точка 52 от удостоверението на плавателния съд за плаване по вътрешни водни пътища, със следните данни за нея:</w:t>
      </w:r>
    </w:p>
    <w:p w:rsidR="00AC39F0" w:rsidRPr="009072DA" w:rsidRDefault="005C7859" w:rsidP="00AC39F0">
      <w:pPr>
        <w:pStyle w:val="ESlet"/>
        <w:rPr>
          <w:rFonts w:cs="Arial"/>
          <w:lang w:val="bg-BG"/>
        </w:rPr>
      </w:pPr>
      <w:r w:rsidRPr="009072DA">
        <w:rPr>
          <w:lang w:val="bg-BG"/>
        </w:rPr>
        <w:t>a)</w:t>
      </w:r>
      <w:r w:rsidRPr="009072DA">
        <w:rPr>
          <w:lang w:val="bg-BG"/>
        </w:rPr>
        <w:tab/>
        <w:t>име;</w:t>
      </w:r>
    </w:p>
    <w:p w:rsidR="00AC39F0" w:rsidRPr="009072DA" w:rsidRDefault="005C7859" w:rsidP="00AC39F0">
      <w:pPr>
        <w:pStyle w:val="ESlet"/>
        <w:rPr>
          <w:lang w:val="bg-BG"/>
        </w:rPr>
      </w:pPr>
      <w:r w:rsidRPr="009072DA">
        <w:rPr>
          <w:lang w:val="bg-BG"/>
        </w:rPr>
        <w:t>б)</w:t>
      </w:r>
      <w:r w:rsidRPr="009072DA">
        <w:rPr>
          <w:lang w:val="bg-BG"/>
        </w:rPr>
        <w:tab/>
        <w:t>номер на одобрението на типа;</w:t>
      </w:r>
    </w:p>
    <w:p w:rsidR="00AC39F0" w:rsidRPr="009072DA" w:rsidRDefault="005C7859" w:rsidP="00AC39F0">
      <w:pPr>
        <w:pStyle w:val="ESlet"/>
        <w:rPr>
          <w:rFonts w:cs="Arial"/>
          <w:lang w:val="bg-BG"/>
        </w:rPr>
      </w:pPr>
      <w:r w:rsidRPr="009072DA">
        <w:rPr>
          <w:lang w:val="bg-BG"/>
        </w:rPr>
        <w:t>в)</w:t>
      </w:r>
      <w:r w:rsidRPr="009072DA">
        <w:rPr>
          <w:lang w:val="bg-BG"/>
        </w:rPr>
        <w:tab/>
        <w:t>сериен номер;</w:t>
      </w:r>
    </w:p>
    <w:p w:rsidR="00AC39F0" w:rsidRPr="009072DA" w:rsidRDefault="005C7859" w:rsidP="00AC39F0">
      <w:pPr>
        <w:pStyle w:val="ESlet"/>
        <w:rPr>
          <w:rFonts w:cs="Arial"/>
          <w:lang w:val="bg-BG"/>
        </w:rPr>
      </w:pPr>
      <w:r w:rsidRPr="009072DA">
        <w:rPr>
          <w:lang w:val="bg-BG"/>
        </w:rPr>
        <w:t>г)</w:t>
      </w:r>
      <w:r w:rsidRPr="009072DA">
        <w:rPr>
          <w:lang w:val="bg-BG"/>
        </w:rPr>
        <w:tab/>
        <w:t>година на построяване.</w:t>
      </w:r>
    </w:p>
    <w:p w:rsidR="00AC39F0" w:rsidRPr="009072DA" w:rsidRDefault="00AC39F0" w:rsidP="00AC39F0">
      <w:pPr>
        <w:pStyle w:val="ESch"/>
        <w:rPr>
          <w:szCs w:val="20"/>
          <w:lang w:val="bg-BG"/>
        </w:rPr>
      </w:pPr>
    </w:p>
    <w:p w:rsidR="00B33A41" w:rsidRPr="009072DA" w:rsidRDefault="00B33A41" w:rsidP="00AC39F0">
      <w:pPr>
        <w:pStyle w:val="ESch"/>
        <w:rPr>
          <w:szCs w:val="20"/>
          <w:lang w:val="bg-BG"/>
        </w:rPr>
      </w:pPr>
      <w:r w:rsidRPr="009072DA">
        <w:rPr>
          <w:lang w:val="bg-BG"/>
        </w:rPr>
        <w:br w:type="page"/>
      </w:r>
    </w:p>
    <w:p w:rsidR="00AC39F0" w:rsidRPr="009072DA" w:rsidRDefault="00AC39F0" w:rsidP="00AC39F0">
      <w:pPr>
        <w:pStyle w:val="ESch"/>
        <w:rPr>
          <w:rFonts w:cs="Arial"/>
          <w:szCs w:val="20"/>
          <w:lang w:val="bg-BG"/>
        </w:rPr>
      </w:pPr>
      <w:r w:rsidRPr="009072DA">
        <w:rPr>
          <w:lang w:val="bg-BG"/>
        </w:rPr>
        <w:lastRenderedPageBreak/>
        <w:t xml:space="preserve">7. </w:t>
      </w:r>
      <w:r w:rsidRPr="009072DA">
        <w:rPr>
          <w:lang w:val="bg-BG"/>
        </w:rPr>
        <w:tab/>
        <w:t>След всяка значителна промяна в дадена бордова станция за пречистване на отпадъчни води, която има въздействие върху пречистването, се извършва специално изпитване в съответствие с член 18.09, точка 3.</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8.</w:t>
      </w:r>
      <w:r w:rsidRPr="009072DA">
        <w:rPr>
          <w:lang w:val="bg-BG"/>
        </w:rPr>
        <w:tab/>
        <w:t>За целите на изпълнението на задачите съгласно настоящата глава, компетентният орган може да наеме техническа служба.</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 xml:space="preserve">9. </w:t>
      </w:r>
      <w:r w:rsidRPr="009072DA">
        <w:rPr>
          <w:lang w:val="bg-BG"/>
        </w:rPr>
        <w:tab/>
        <w:t>На бордовата станция за пречистване на отпадъчни води се извършва редовно техническа поддръжка в съответствие с указанията на производителя, за да се гарантира, че е в пълна изправност. За потвърждаване на такава техническа поддръжка, на борда трябва да има журнал за поддръжката.</w:t>
      </w:r>
    </w:p>
    <w:p w:rsidR="00AC39F0" w:rsidRPr="009072DA" w:rsidRDefault="00AC39F0" w:rsidP="00AC39F0">
      <w:pPr>
        <w:pStyle w:val="ESch"/>
        <w:rPr>
          <w:rFonts w:cs="Arial"/>
          <w:szCs w:val="20"/>
          <w:lang w:val="bg-BG"/>
        </w:rPr>
      </w:pPr>
    </w:p>
    <w:p w:rsidR="00B33A41" w:rsidRPr="009072DA" w:rsidRDefault="00B33A41" w:rsidP="00AC39F0">
      <w:pPr>
        <w:pStyle w:val="ESch"/>
        <w:rPr>
          <w:rFonts w:cs="Arial"/>
          <w:szCs w:val="20"/>
          <w:lang w:val="bg-BG"/>
        </w:rPr>
      </w:pPr>
    </w:p>
    <w:p w:rsidR="00AC39F0" w:rsidRPr="009072DA" w:rsidRDefault="00AC39F0" w:rsidP="00AC39F0">
      <w:pPr>
        <w:pStyle w:val="ES-Titre3"/>
        <w:rPr>
          <w:rFonts w:cs="Arial"/>
          <w:i/>
          <w:lang w:val="bg-BG"/>
        </w:rPr>
      </w:pPr>
      <w:bookmarkStart w:id="323" w:name="_Toc491854159"/>
      <w:bookmarkStart w:id="324" w:name="_Toc535827600"/>
      <w:r w:rsidRPr="009072DA">
        <w:rPr>
          <w:lang w:val="bg-BG"/>
        </w:rPr>
        <w:t>Член 18.02</w:t>
      </w:r>
      <w:r w:rsidRPr="009072DA">
        <w:rPr>
          <w:lang w:val="bg-BG"/>
        </w:rPr>
        <w:br/>
      </w:r>
      <w:r w:rsidRPr="009072DA">
        <w:rPr>
          <w:i/>
          <w:lang w:val="bg-BG"/>
        </w:rPr>
        <w:t>Заявление за одобрение на типа</w:t>
      </w:r>
      <w:bookmarkEnd w:id="323"/>
      <w:bookmarkEnd w:id="324"/>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1.</w:t>
      </w:r>
      <w:r w:rsidRPr="009072DA">
        <w:rPr>
          <w:lang w:val="bg-BG"/>
        </w:rPr>
        <w:tab/>
        <w:t>Производителят подава пред компетентния орган заявление за одобрение на типа на бордова станция за пречистване на отпадъчни води. Към заявлението се прилагат информационно досие в съответствие с член 18.00, точка 6 и проектопротокол за параметрите на бордовата станция за пречистване на отпадъчни води в съответствие с член 18.00, точка 9, както и проект на ръководство на производителя за проверка на компоненти и параметри, свързани с пречистването на отпадъчните води за въпросния тип бордова пречиствателна станция в съответствие с член 18.00, точка 10. За изпитването на типа производителят демонстрира прототип на бордовата станция за пречистване на отпадъчни води.</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2.</w:t>
      </w:r>
      <w:r w:rsidRPr="009072DA">
        <w:rPr>
          <w:lang w:val="bg-BG"/>
        </w:rPr>
        <w:tab/>
        <w:t>Ако при конкретно заявление за одобрение на типа на бордова станция за пречистване на отпадъчни води компетентният орган счете, че заявлението, подадено във връзка с представения прототип на станция, не е представително за характеристиките на този тип бордова станция за пречистване на отпадъчни води, както е описано в приложение 7, раздел II, допълнение 1, то за одобрение в съответствие с точка 1 трябва да бъде предоставен друг прототип (ако е необходимо — допълнителен), който се определя от компетентния орган.</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3.</w:t>
      </w:r>
      <w:r w:rsidRPr="009072DA">
        <w:rPr>
          <w:lang w:val="bg-BG"/>
        </w:rPr>
        <w:tab/>
        <w:t>Заявление за одобрение на типа на бордова станция за пречистване на отпадъчни води не може да бъде подавано до повече от един компетентен орган. За всеки тип бордова станция за пречистване на отпадъчни води, който трябва да бъде одобрен, се подава отделно заявление.</w:t>
      </w:r>
    </w:p>
    <w:p w:rsidR="00AC39F0" w:rsidRPr="009072DA" w:rsidRDefault="00AC39F0" w:rsidP="00AC39F0">
      <w:pPr>
        <w:pStyle w:val="ESch"/>
        <w:rPr>
          <w:rFonts w:cs="Arial"/>
          <w:szCs w:val="20"/>
          <w:lang w:val="bg-BG"/>
        </w:rPr>
      </w:pPr>
    </w:p>
    <w:p w:rsidR="00AC39F0" w:rsidRPr="009072DA" w:rsidRDefault="00AC39F0" w:rsidP="00AC39F0">
      <w:pPr>
        <w:pStyle w:val="ESch"/>
        <w:rPr>
          <w:rFonts w:cs="Arial"/>
          <w:szCs w:val="20"/>
          <w:lang w:val="bg-BG"/>
        </w:rPr>
      </w:pPr>
    </w:p>
    <w:p w:rsidR="00AC39F0" w:rsidRPr="009072DA" w:rsidRDefault="00AC39F0" w:rsidP="00AC39F0">
      <w:pPr>
        <w:pStyle w:val="ES-Titre3"/>
        <w:rPr>
          <w:rFonts w:cs="Arial"/>
          <w:i/>
          <w:lang w:val="bg-BG"/>
        </w:rPr>
      </w:pPr>
      <w:bookmarkStart w:id="325" w:name="_Toc491854160"/>
      <w:bookmarkStart w:id="326" w:name="_Toc535827601"/>
      <w:r w:rsidRPr="009072DA">
        <w:rPr>
          <w:lang w:val="bg-BG"/>
        </w:rPr>
        <w:lastRenderedPageBreak/>
        <w:t>Член 18.03</w:t>
      </w:r>
      <w:r w:rsidRPr="009072DA">
        <w:rPr>
          <w:lang w:val="bg-BG"/>
        </w:rPr>
        <w:br/>
      </w:r>
      <w:r w:rsidRPr="009072DA">
        <w:rPr>
          <w:i/>
          <w:lang w:val="bg-BG"/>
        </w:rPr>
        <w:t>Процедура за одобряване на типа</w:t>
      </w:r>
      <w:bookmarkEnd w:id="325"/>
      <w:bookmarkEnd w:id="326"/>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1.</w:t>
      </w:r>
      <w:r w:rsidRPr="009072DA">
        <w:rPr>
          <w:lang w:val="bg-BG"/>
        </w:rPr>
        <w:tab/>
        <w:t>Компетентният орган, до който е подадено заявлението, издава одобрението на типа за типа бордова станция за пречистване на отпадъчни води, който съответства на описанията в информационното досие и отговаря на изискванията на настоящата глава. Изпълнението на тези изисквания се разглежда в съответствие с приложение 7, раздел IX.</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2.</w:t>
      </w:r>
      <w:r w:rsidRPr="009072DA">
        <w:rPr>
          <w:lang w:val="bg-BG"/>
        </w:rPr>
        <w:tab/>
        <w:t>За всеки тип бордова станция за пречистване на отпадъчни води, която одобрява, компетентният орган попълва всички съответни части на удостоверението за одобрение на типа, образецът за което е даден в приложение 7, раздел III, и съставя или проверява съдържанието на азбучния указател към информационния пакет. Удостоверенията за одобрение на типа се номерират в съответствие с метода, описан в приложение 7, раздел IV. Изготвеният сертификат за одобрение на типа и приложенията към него се предават на заявителя.</w:t>
      </w:r>
    </w:p>
    <w:p w:rsidR="00AC39F0" w:rsidRPr="009072DA" w:rsidRDefault="00AC39F0" w:rsidP="00AC39F0">
      <w:pPr>
        <w:pStyle w:val="ESch"/>
        <w:rPr>
          <w:szCs w:val="20"/>
          <w:lang w:val="bg-BG"/>
        </w:rPr>
      </w:pPr>
    </w:p>
    <w:p w:rsidR="00B33A41" w:rsidRPr="009072DA" w:rsidRDefault="00B33A41" w:rsidP="00AC39F0">
      <w:pPr>
        <w:pStyle w:val="ESch"/>
        <w:rPr>
          <w:szCs w:val="20"/>
          <w:lang w:val="bg-BG"/>
        </w:rPr>
      </w:pPr>
      <w:r w:rsidRPr="009072DA">
        <w:rPr>
          <w:lang w:val="bg-BG"/>
        </w:rPr>
        <w:br w:type="page"/>
      </w:r>
    </w:p>
    <w:p w:rsidR="00AC39F0" w:rsidRPr="009072DA" w:rsidRDefault="00AC39F0" w:rsidP="00AC39F0">
      <w:pPr>
        <w:pStyle w:val="ESch"/>
        <w:rPr>
          <w:rFonts w:cs="Arial"/>
          <w:szCs w:val="20"/>
          <w:lang w:val="bg-BG"/>
        </w:rPr>
      </w:pPr>
      <w:r w:rsidRPr="009072DA">
        <w:rPr>
          <w:lang w:val="bg-BG"/>
        </w:rPr>
        <w:lastRenderedPageBreak/>
        <w:t>3.</w:t>
      </w:r>
      <w:r w:rsidRPr="009072DA">
        <w:rPr>
          <w:lang w:val="bg-BG"/>
        </w:rPr>
        <w:tab/>
        <w:t>Ако бордовата станция за пречистване на отпадъчни води, подлежаща на одобряване, може да изпълнява функцията си или притежава специфични свойства само в комбинация с други компоненти на плавателното средство, на което тя ще се инсталира, и ако по тази причина съответствието с едно или повече изисквания може да бъде проверено само ако подлежащата на одобряване бордова станция за пречистване на отпадъчни води работи заедно с други реални или симулирани компоненти на плавателното средство, обхватът на одобрението на типа на тази бордова станция за пречистване на отпадъчни води следва да бъде съответно ограничен. В такива случаи всички ограничения за използването и всички изисквания за монтажа се описват подробно в удостоверението за одобрение на типа за този тип пречиствателна станция.</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p>
    <w:p w:rsidR="00AC39F0" w:rsidRPr="009072DA" w:rsidRDefault="00AC39F0" w:rsidP="00AC39F0">
      <w:pPr>
        <w:pStyle w:val="ES-Titre3"/>
        <w:rPr>
          <w:rFonts w:cs="Arial"/>
          <w:i/>
          <w:lang w:val="bg-BG"/>
        </w:rPr>
      </w:pPr>
      <w:bookmarkStart w:id="327" w:name="_Toc491854161"/>
      <w:bookmarkStart w:id="328" w:name="_Toc535827602"/>
      <w:r w:rsidRPr="009072DA">
        <w:rPr>
          <w:lang w:val="bg-BG"/>
        </w:rPr>
        <w:t>Член 18.04</w:t>
      </w:r>
      <w:r w:rsidRPr="009072DA">
        <w:rPr>
          <w:lang w:val="bg-BG"/>
        </w:rPr>
        <w:br/>
      </w:r>
      <w:r w:rsidRPr="009072DA">
        <w:rPr>
          <w:i/>
          <w:lang w:val="bg-BG"/>
        </w:rPr>
        <w:t>Изменение на одобренията на типа</w:t>
      </w:r>
      <w:bookmarkEnd w:id="327"/>
      <w:bookmarkEnd w:id="328"/>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1.</w:t>
      </w:r>
      <w:r w:rsidRPr="009072DA">
        <w:rPr>
          <w:lang w:val="bg-BG"/>
        </w:rPr>
        <w:tab/>
        <w:t>Компетентният орган, който е издал одобрението на типа взема необходимите мерки, за да гарантира, че ще бъде информиран за всяка промяна в данните, съдържащи се в информационния пакет.</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2.</w:t>
      </w:r>
      <w:r w:rsidRPr="009072DA">
        <w:rPr>
          <w:lang w:val="bg-BG"/>
        </w:rPr>
        <w:tab/>
        <w:t>Заявлението за изменение или удължаване на дадено одобрение на типа се подава само до компетентния орган, който е издал първоначалното одобрение на типа.</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3.</w:t>
      </w:r>
      <w:r w:rsidRPr="009072DA">
        <w:rPr>
          <w:lang w:val="bg-BG"/>
        </w:rPr>
        <w:tab/>
        <w:t>Ако характеристиките на бордовата станция за пречистване на отпадъчни води, както са описани в информационния пакет, са променени, компетентният орган:</w:t>
      </w:r>
    </w:p>
    <w:p w:rsidR="00AC39F0" w:rsidRPr="009072DA" w:rsidRDefault="005C7859" w:rsidP="00AC39F0">
      <w:pPr>
        <w:pStyle w:val="ESlet"/>
        <w:rPr>
          <w:rFonts w:cs="Arial"/>
          <w:lang w:val="bg-BG"/>
        </w:rPr>
      </w:pPr>
      <w:r w:rsidRPr="009072DA">
        <w:rPr>
          <w:lang w:val="bg-BG"/>
        </w:rPr>
        <w:t>a)</w:t>
      </w:r>
      <w:r w:rsidRPr="009072DA">
        <w:rPr>
          <w:lang w:val="bg-BG"/>
        </w:rPr>
        <w:tab/>
        <w:t>според необходимостта издава преразгледаните страници от информационния пакет, отбелязвайки всяка от тях, за да посочи ясно естеството на промяната и датата на преиздаване. Всеки път когато се издават преразгледани страници, азбучният указател на информационния пакет, приложен към удостоверението за одобрение на типа, също бива съответно актуализиран;</w:t>
      </w:r>
    </w:p>
    <w:p w:rsidR="00AC39F0" w:rsidRPr="009072DA" w:rsidRDefault="005C7859" w:rsidP="00AC39F0">
      <w:pPr>
        <w:pStyle w:val="ESlet"/>
        <w:rPr>
          <w:rFonts w:cs="Arial"/>
          <w:lang w:val="bg-BG"/>
        </w:rPr>
      </w:pPr>
      <w:r w:rsidRPr="009072DA">
        <w:rPr>
          <w:lang w:val="bg-BG"/>
        </w:rPr>
        <w:t>б)</w:t>
      </w:r>
      <w:r w:rsidRPr="009072DA">
        <w:rPr>
          <w:lang w:val="bg-BG"/>
        </w:rPr>
        <w:tab/>
        <w:t>издава преразгледано удостоверение за одобрение на типа (с номер, обозначаващ удължаването), ако някаква информация в него (без приложенията към него) се е променила или ако минималните изисквания от настоящата глава са били изменени след датата на издаване на първоначалното одобрение. В преразгледаното удостоверение за одобрение трябва ясно да е посочена причината за промяната, както и датата на преиздаването.</w:t>
      </w:r>
    </w:p>
    <w:p w:rsidR="00AC39F0" w:rsidRPr="009072DA" w:rsidRDefault="00AC39F0" w:rsidP="00AC39F0">
      <w:pPr>
        <w:pStyle w:val="ESletpar"/>
        <w:rPr>
          <w:rFonts w:cs="Arial"/>
          <w:lang w:val="bg-BG"/>
        </w:rPr>
      </w:pPr>
      <w:r w:rsidRPr="009072DA">
        <w:rPr>
          <w:lang w:val="bg-BG"/>
        </w:rPr>
        <w:t>Ако компетентният орган, който е издал одобрението на типа, счете, че е обосновано провеждането на нови проби или изпитвания поради промяна в информационния пакет, той уведомява производителя за това и издава документите, посочени по-горе, само след успешно приключване на новите проби или изпитвания.</w:t>
      </w:r>
    </w:p>
    <w:p w:rsidR="00AC39F0" w:rsidRPr="009072DA" w:rsidRDefault="00AC39F0" w:rsidP="00AC39F0">
      <w:pPr>
        <w:pStyle w:val="ESch"/>
        <w:rPr>
          <w:rFonts w:cs="Arial"/>
          <w:szCs w:val="20"/>
          <w:lang w:val="bg-BG"/>
        </w:rPr>
      </w:pPr>
    </w:p>
    <w:p w:rsidR="00AC39F0" w:rsidRPr="009072DA" w:rsidRDefault="00AC39F0" w:rsidP="00AC39F0">
      <w:pPr>
        <w:pStyle w:val="ESch"/>
        <w:rPr>
          <w:rFonts w:cs="Arial"/>
          <w:szCs w:val="20"/>
          <w:lang w:val="bg-BG"/>
        </w:rPr>
      </w:pPr>
    </w:p>
    <w:p w:rsidR="00B33A41" w:rsidRPr="009072DA" w:rsidRDefault="00B33A41" w:rsidP="00AC39F0">
      <w:pPr>
        <w:pStyle w:val="ESch"/>
        <w:rPr>
          <w:rFonts w:cs="Arial"/>
          <w:szCs w:val="20"/>
          <w:lang w:val="bg-BG"/>
        </w:rPr>
      </w:pPr>
      <w:r w:rsidRPr="009072DA">
        <w:rPr>
          <w:lang w:val="bg-BG"/>
        </w:rPr>
        <w:br w:type="page"/>
      </w:r>
    </w:p>
    <w:p w:rsidR="00AC39F0" w:rsidRPr="009072DA" w:rsidRDefault="00AC39F0" w:rsidP="00AC39F0">
      <w:pPr>
        <w:pStyle w:val="ES-Titre3"/>
        <w:rPr>
          <w:rFonts w:cs="Arial"/>
          <w:lang w:val="bg-BG"/>
        </w:rPr>
      </w:pPr>
      <w:bookmarkStart w:id="329" w:name="_Toc491854162"/>
      <w:bookmarkStart w:id="330" w:name="_Toc535827603"/>
      <w:r w:rsidRPr="009072DA">
        <w:rPr>
          <w:lang w:val="bg-BG"/>
        </w:rPr>
        <w:lastRenderedPageBreak/>
        <w:t>Член 18.05</w:t>
      </w:r>
      <w:r w:rsidRPr="009072DA">
        <w:rPr>
          <w:lang w:val="bg-BG"/>
        </w:rPr>
        <w:br/>
      </w:r>
      <w:r w:rsidRPr="009072DA">
        <w:rPr>
          <w:i/>
          <w:lang w:val="bg-BG"/>
        </w:rPr>
        <w:t>Съответствие на одобрението на типа</w:t>
      </w:r>
      <w:bookmarkEnd w:id="329"/>
      <w:bookmarkEnd w:id="330"/>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1.</w:t>
      </w:r>
      <w:r w:rsidRPr="009072DA">
        <w:rPr>
          <w:lang w:val="bg-BG"/>
        </w:rPr>
        <w:tab/>
        <w:t>Върху всяка бордова станция за пречистване на отпадъчни води, произведена в съответствие с одобрението на типа, производителят поставя маркировките, определени в приложение 7, раздел I, включително номера на одобрението на типа.</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2.</w:t>
      </w:r>
      <w:r w:rsidRPr="009072DA">
        <w:rPr>
          <w:lang w:val="bg-BG"/>
        </w:rPr>
        <w:tab/>
        <w:t>Ако в одобрението на типа се съдържат ограничения за използването в съответствие с член 18.03, точка 3, производителят прилага към всяка произведена единица подробна информация относно тези ограничения и всички изисквания за инсталиране.</w:t>
      </w:r>
    </w:p>
    <w:p w:rsidR="00AC39F0" w:rsidRPr="009072DA" w:rsidRDefault="00AC39F0" w:rsidP="00AC39F0">
      <w:pPr>
        <w:pStyle w:val="ESch"/>
        <w:rPr>
          <w:lang w:val="bg-BG"/>
        </w:rPr>
      </w:pPr>
    </w:p>
    <w:p w:rsidR="00AC39F0" w:rsidRPr="009072DA" w:rsidRDefault="00AC39F0" w:rsidP="00AC39F0">
      <w:pPr>
        <w:pStyle w:val="ESch"/>
        <w:rPr>
          <w:rFonts w:cs="Arial"/>
          <w:lang w:val="bg-BG"/>
        </w:rPr>
      </w:pPr>
      <w:r w:rsidRPr="009072DA">
        <w:rPr>
          <w:lang w:val="bg-BG"/>
        </w:rPr>
        <w:t>3.</w:t>
      </w:r>
      <w:r w:rsidRPr="009072DA">
        <w:rPr>
          <w:lang w:val="bg-BG"/>
        </w:rPr>
        <w:tab/>
        <w:t>Ако бъде поискано от компетентния орган, издал одобрението на типа, производителят представя списък на серийните номера на всички бордови станции за пречистване на отпадъчни води, които са произведени в съответствие с изискванията, формулирани в настоящата глава, считано от последния доклад или от момента, в който тези разпоредби са влезли в сила за първи път, в рамките на 45 работни дни след края на всяка календарна година и непосредствено след всяка допълнителна дата, посочена от компетентния орган.  Списъкът определя взаимовръзките между серийните номера, съответните типове бордови станции за пречистване на отпадъчни води и номерата на одобренията на типа.  Освен това списъкът включва и специална информация за случаите, в които производителят прекратява производството на дадена бордова станция за пречистване на отпадъчни води от одобрен тип.  Ако компетентният орган не поиска редовно предоставяне на такъв списък от производителя, производителят съхранява събираните данни за период от поне 40 години.</w:t>
      </w:r>
    </w:p>
    <w:p w:rsidR="00AC39F0" w:rsidRPr="009072DA" w:rsidRDefault="00AC39F0" w:rsidP="00AC39F0">
      <w:pPr>
        <w:pStyle w:val="ESch"/>
        <w:rPr>
          <w:lang w:val="bg-BG"/>
        </w:rPr>
      </w:pPr>
    </w:p>
    <w:p w:rsidR="00AC39F0" w:rsidRPr="009072DA" w:rsidRDefault="00AC39F0" w:rsidP="00AC39F0">
      <w:pPr>
        <w:pStyle w:val="ESch"/>
        <w:rPr>
          <w:lang w:val="bg-BG"/>
        </w:rPr>
      </w:pPr>
    </w:p>
    <w:p w:rsidR="00AC39F0" w:rsidRPr="009072DA" w:rsidRDefault="00AC39F0" w:rsidP="00AC39F0">
      <w:pPr>
        <w:pStyle w:val="ES-Titre3"/>
        <w:rPr>
          <w:rFonts w:cs="Arial"/>
          <w:i/>
          <w:lang w:val="bg-BG"/>
        </w:rPr>
      </w:pPr>
      <w:bookmarkStart w:id="331" w:name="_Toc491854163"/>
      <w:bookmarkStart w:id="332" w:name="_Toc535827604"/>
      <w:r w:rsidRPr="009072DA">
        <w:rPr>
          <w:lang w:val="bg-BG"/>
        </w:rPr>
        <w:t>Член 18.06</w:t>
      </w:r>
      <w:r w:rsidRPr="009072DA">
        <w:rPr>
          <w:lang w:val="bg-BG"/>
        </w:rPr>
        <w:br/>
      </w:r>
      <w:r w:rsidRPr="009072DA">
        <w:rPr>
          <w:i/>
          <w:lang w:val="bg-BG"/>
        </w:rPr>
        <w:t>Проверка на серийните номера</w:t>
      </w:r>
      <w:bookmarkEnd w:id="331"/>
      <w:bookmarkEnd w:id="332"/>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1.</w:t>
      </w:r>
      <w:r w:rsidRPr="009072DA">
        <w:rPr>
          <w:lang w:val="bg-BG"/>
        </w:rPr>
        <w:tab/>
        <w:t>Компетентният орган, издаващ одобрение на типа, трябва да гарантира, че серийните номера на бордовите станции за пречистване на отпадъчни води, произведени в съответствие с изискванията на настоящата глава, се регистрират и проверяват. Той може да си сътрудничи с други органи, както е определено в настоящата глава, както и с компетентните органи на държавите членки.</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2.</w:t>
      </w:r>
      <w:r w:rsidRPr="009072DA">
        <w:rPr>
          <w:lang w:val="bg-BG"/>
        </w:rPr>
        <w:tab/>
        <w:t>Допълнителна проверка на серийните номера може да бъде извършена заедно с проверката на съответствието на производството с изискванията, определени в член 18.07.</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3.</w:t>
      </w:r>
      <w:r w:rsidRPr="009072DA">
        <w:rPr>
          <w:lang w:val="bg-BG"/>
        </w:rPr>
        <w:tab/>
        <w:t xml:space="preserve">По отношение на проверката на серийните номера, производителят или негови упълномощени представители на територията на държавите членки, при поискване </w:t>
      </w:r>
      <w:r w:rsidRPr="009072DA">
        <w:rPr>
          <w:lang w:val="bg-BG"/>
        </w:rPr>
        <w:lastRenderedPageBreak/>
        <w:t>незабавно предоставят на компетентния орган цялата необходима информация относно директните им купувачи, както и серийните номера на бордовите станции за пречистване на отпадъчни води, които са докладвани като произведени в съответствие с член 18.05, точка 3.</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4.</w:t>
      </w:r>
      <w:r w:rsidRPr="009072DA">
        <w:rPr>
          <w:lang w:val="bg-BG"/>
        </w:rPr>
        <w:tab/>
        <w:t>Ако при поискване от компетентния орган производителят не може да изпълни изискванията, формулирани в член 18.05, одобрението за съответния тип бордова станция за пречистване на отпадъчни води може да бъде отменено. В такъв случай се използва процедурата за уведомяване, указана в член 18.08, точка 4.</w:t>
      </w:r>
    </w:p>
    <w:p w:rsidR="00AC39F0" w:rsidRPr="009072DA" w:rsidRDefault="00AC39F0" w:rsidP="00AC39F0">
      <w:pPr>
        <w:pStyle w:val="ESch"/>
        <w:rPr>
          <w:rFonts w:cs="Arial"/>
          <w:szCs w:val="20"/>
          <w:lang w:val="bg-BG"/>
        </w:rPr>
      </w:pPr>
    </w:p>
    <w:p w:rsidR="00CF5E0F" w:rsidRPr="009072DA" w:rsidRDefault="00CF5E0F">
      <w:pPr>
        <w:rPr>
          <w:rFonts w:cs="Arial"/>
          <w:szCs w:val="20"/>
          <w:lang w:val="bg-BG"/>
        </w:rPr>
      </w:pPr>
      <w:r w:rsidRPr="009072DA">
        <w:rPr>
          <w:lang w:val="bg-BG"/>
        </w:rPr>
        <w:br w:type="page"/>
      </w:r>
    </w:p>
    <w:p w:rsidR="003216FC" w:rsidRPr="009072DA" w:rsidRDefault="003216FC" w:rsidP="00AC39F0">
      <w:pPr>
        <w:pStyle w:val="ESch"/>
        <w:rPr>
          <w:rFonts w:cs="Arial"/>
          <w:szCs w:val="20"/>
          <w:lang w:val="bg-BG"/>
        </w:rPr>
      </w:pPr>
    </w:p>
    <w:p w:rsidR="00AC39F0" w:rsidRPr="009072DA" w:rsidRDefault="00AC39F0" w:rsidP="00AC39F0">
      <w:pPr>
        <w:pStyle w:val="ES-Titre3"/>
        <w:rPr>
          <w:rFonts w:cs="Arial"/>
          <w:i/>
          <w:lang w:val="bg-BG"/>
        </w:rPr>
      </w:pPr>
      <w:bookmarkStart w:id="333" w:name="_Toc491854164"/>
      <w:bookmarkStart w:id="334" w:name="_Toc535827605"/>
      <w:r w:rsidRPr="009072DA">
        <w:rPr>
          <w:lang w:val="bg-BG"/>
        </w:rPr>
        <w:t>Член 18.07</w:t>
      </w:r>
      <w:r w:rsidRPr="009072DA">
        <w:rPr>
          <w:lang w:val="bg-BG"/>
        </w:rPr>
        <w:br/>
      </w:r>
      <w:r w:rsidRPr="009072DA">
        <w:rPr>
          <w:i/>
          <w:lang w:val="bg-BG"/>
        </w:rPr>
        <w:t>Съответствие на производството</w:t>
      </w:r>
      <w:bookmarkEnd w:id="333"/>
      <w:bookmarkEnd w:id="334"/>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1.</w:t>
      </w:r>
      <w:r w:rsidRPr="009072DA">
        <w:rPr>
          <w:lang w:val="bg-BG"/>
        </w:rPr>
        <w:tab/>
        <w:t>Компетентният орган, който издава одобрение на типа, проверява предварително, че са взети подходящите мерки, за да се гарантира ефективна проверка на съответствието на производството по отношение на изискванията на приложение 7, раздел I. Той може да си сътрудничи с други органи, както е определено в настоящата глава, и с компетентните органи на държавите членки.</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2.</w:t>
      </w:r>
      <w:r w:rsidRPr="009072DA">
        <w:rPr>
          <w:lang w:val="bg-BG"/>
        </w:rPr>
        <w:tab/>
        <w:t>Компетентният орган, който е издал дадено одобрение на типа, проверява дали мерките, посочени в точка 1 във връзка с разпоредбите на допълнение 7, раздел I, продължават да бъдат достатъчни и дали всяка бордова станция за пречистване на отпадъчни води, притежаваща номер на одобрение на типа в съответствие с изискванията на настоящата глава, продължава да отговаря на описанието от удостоверението за одобрение на типа и приложенията към него за одобрения тип бордова станция за пречистване на отпадъчни води. Той може да си сътрудничи с други органи, както е определено в настоящата глава, както и с компетентните органи на държавите членки.</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3.</w:t>
      </w:r>
      <w:r w:rsidRPr="009072DA">
        <w:rPr>
          <w:lang w:val="bg-BG"/>
        </w:rPr>
        <w:tab/>
        <w:t>Компетентният орган може да признае сходни изпитвания, извършени от други компетентни органи за еквивалентни на разпоредбите на точки 1 и 2.</w:t>
      </w:r>
    </w:p>
    <w:p w:rsidR="00AC39F0" w:rsidRPr="009072DA" w:rsidRDefault="00AC39F0" w:rsidP="00AC39F0">
      <w:pPr>
        <w:pStyle w:val="ESch"/>
        <w:rPr>
          <w:rFonts w:cs="Arial"/>
          <w:szCs w:val="20"/>
          <w:lang w:val="bg-BG"/>
        </w:rPr>
      </w:pPr>
    </w:p>
    <w:p w:rsidR="00AC39F0" w:rsidRPr="009072DA" w:rsidRDefault="00AC39F0" w:rsidP="00AC39F0">
      <w:pPr>
        <w:pStyle w:val="ESch"/>
        <w:rPr>
          <w:rFonts w:cs="Arial"/>
          <w:szCs w:val="20"/>
          <w:lang w:val="bg-BG"/>
        </w:rPr>
      </w:pPr>
    </w:p>
    <w:p w:rsidR="00AC39F0" w:rsidRPr="009072DA" w:rsidRDefault="00AC39F0" w:rsidP="00AC39F0">
      <w:pPr>
        <w:pStyle w:val="ES-Titre3"/>
        <w:rPr>
          <w:rFonts w:cs="Arial"/>
          <w:i/>
          <w:lang w:val="bg-BG"/>
        </w:rPr>
      </w:pPr>
      <w:bookmarkStart w:id="335" w:name="_Toc491854165"/>
      <w:bookmarkStart w:id="336" w:name="_Toc535827606"/>
      <w:r w:rsidRPr="009072DA">
        <w:rPr>
          <w:lang w:val="bg-BG"/>
        </w:rPr>
        <w:t>Член 18.08</w:t>
      </w:r>
      <w:r w:rsidRPr="009072DA">
        <w:rPr>
          <w:lang w:val="bg-BG"/>
        </w:rPr>
        <w:br/>
      </w:r>
      <w:r w:rsidRPr="009072DA">
        <w:rPr>
          <w:i/>
          <w:lang w:val="bg-BG"/>
        </w:rPr>
        <w:t>Несъответствие с одобрения тип бордова станция за пречистване на отпадъчни води</w:t>
      </w:r>
      <w:bookmarkEnd w:id="335"/>
      <w:bookmarkEnd w:id="336"/>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1.</w:t>
      </w:r>
      <w:r w:rsidRPr="009072DA">
        <w:rPr>
          <w:lang w:val="bg-BG"/>
        </w:rPr>
        <w:tab/>
        <w:t>Счита се, че е налице несъответствие с одобрения тип бордова станция за пречистване на отпадъчни води, когато има отклонения от характеристиките в удостоверението за одобрение на типа или, според конкретния случай, от информационния пакет, които не е бил одобрен в съответствие с член 18.04, точка 3 от компетентния орган, който е издал одобрението на типа.</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2.</w:t>
      </w:r>
      <w:r w:rsidRPr="009072DA">
        <w:rPr>
          <w:lang w:val="bg-BG"/>
        </w:rPr>
        <w:tab/>
        <w:t>Ако компетентният орган, издал одобрение на типа, установи, че бордови станции за пречистване на отпадъчни води не съответстват на типа бордова станция за пречистване на отпадъчни води, за който е издадено одобрението, той взема необходимите мерки, за да гарантира, че бордовите станции за пречистване на отпадъчни води в производство отново ще бъдат в съответствие с типа одобрена бордова станция за пречистване на отпадъчни води. Компетентният орган, който е констатирал несъответствието, уведомява другите компетентни органи за предприетите мерки, които могат да стигнат до отменяне на одобрението на типа.</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lastRenderedPageBreak/>
        <w:t>3.</w:t>
      </w:r>
      <w:r w:rsidRPr="009072DA">
        <w:rPr>
          <w:lang w:val="bg-BG"/>
        </w:rPr>
        <w:tab/>
        <w:t>Ако компетентен орган е в състояние да докаже, че бордови станции за пречистване на отпадъчни води, притежаващи номер на одобрение на типа, не съответстват на одобрения тип бордова станция за пречистване на отпадъчни води, той може да поиска от компетентния орган, издал одобрението на типа, да разпореди проверка на произвеждания тип бордова станция за пречистване на отпадъчни води за съответствие с одобрения тип бордова станция за пречистване на отпадъчни води. Това действие трябва да бъде предприето в рамките на шест месеца от датата на искането.</w:t>
      </w:r>
    </w:p>
    <w:p w:rsidR="00AC39F0" w:rsidRPr="009072DA" w:rsidRDefault="00AC39F0" w:rsidP="00AC39F0">
      <w:pPr>
        <w:pStyle w:val="ESch"/>
        <w:rPr>
          <w:rFonts w:cs="Arial"/>
          <w:szCs w:val="20"/>
          <w:lang w:val="bg-BG"/>
        </w:rPr>
      </w:pPr>
    </w:p>
    <w:p w:rsidR="00AC39F0" w:rsidRPr="009072DA" w:rsidRDefault="00AC39F0" w:rsidP="00AC39F0">
      <w:pPr>
        <w:pStyle w:val="ESch"/>
        <w:rPr>
          <w:rFonts w:cs="Arial"/>
          <w:szCs w:val="20"/>
          <w:lang w:val="bg-BG"/>
        </w:rPr>
      </w:pPr>
    </w:p>
    <w:p w:rsidR="003216FC" w:rsidRPr="009072DA" w:rsidRDefault="003216FC" w:rsidP="00AC39F0">
      <w:pPr>
        <w:pStyle w:val="ESch"/>
        <w:rPr>
          <w:rFonts w:cs="Arial"/>
          <w:szCs w:val="20"/>
          <w:lang w:val="bg-BG"/>
        </w:rPr>
      </w:pPr>
      <w:r w:rsidRPr="009072DA">
        <w:rPr>
          <w:lang w:val="bg-BG"/>
        </w:rPr>
        <w:br w:type="page"/>
      </w:r>
    </w:p>
    <w:p w:rsidR="00AC39F0" w:rsidRPr="009072DA" w:rsidRDefault="00AC39F0" w:rsidP="00AC39F0">
      <w:pPr>
        <w:pStyle w:val="ES-Titre3"/>
        <w:rPr>
          <w:rFonts w:cs="Arial"/>
          <w:i/>
          <w:lang w:val="bg-BG"/>
        </w:rPr>
      </w:pPr>
      <w:bookmarkStart w:id="337" w:name="_Toc491854166"/>
      <w:bookmarkStart w:id="338" w:name="_Toc535827607"/>
      <w:r w:rsidRPr="009072DA">
        <w:rPr>
          <w:lang w:val="bg-BG"/>
        </w:rPr>
        <w:lastRenderedPageBreak/>
        <w:t>Член 18.09</w:t>
      </w:r>
      <w:r w:rsidRPr="009072DA">
        <w:rPr>
          <w:lang w:val="bg-BG"/>
        </w:rPr>
        <w:br/>
      </w:r>
      <w:r w:rsidRPr="009072DA">
        <w:rPr>
          <w:i/>
          <w:lang w:val="bg-BG"/>
        </w:rPr>
        <w:t>Измерване на случайна проба/специално изпитване</w:t>
      </w:r>
      <w:bookmarkEnd w:id="337"/>
      <w:bookmarkEnd w:id="338"/>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1.</w:t>
      </w:r>
      <w:r w:rsidRPr="009072DA">
        <w:rPr>
          <w:lang w:val="bg-BG"/>
        </w:rPr>
        <w:tab/>
        <w:t>Не по-късно от три месеца след пускането в експлоатация на плавателното средство или, в случай на модернизиране на бордова станция за пречистване на отпадъчни води, след като тя бъде инсталирана и бъде проведено подходящо изпитване на показателите, компетентният орган взема случайна проба по време на експлоатацията на плавателното средство с цел проверка на стойностите, определени в член 18.01, точка 2, таблица 2.</w:t>
      </w:r>
    </w:p>
    <w:p w:rsidR="00AC39F0" w:rsidRPr="009072DA" w:rsidRDefault="00AC39F0" w:rsidP="00AC39F0">
      <w:pPr>
        <w:pStyle w:val="ESchpar"/>
        <w:rPr>
          <w:lang w:val="bg-BG"/>
        </w:rPr>
      </w:pPr>
    </w:p>
    <w:p w:rsidR="00AC39F0" w:rsidRPr="009072DA" w:rsidRDefault="00AC39F0" w:rsidP="00AC39F0">
      <w:pPr>
        <w:pStyle w:val="ESchpar"/>
        <w:rPr>
          <w:rFonts w:cs="Arial"/>
          <w:lang w:val="bg-BG"/>
        </w:rPr>
      </w:pPr>
      <w:r w:rsidRPr="009072DA">
        <w:rPr>
          <w:lang w:val="bg-BG"/>
        </w:rPr>
        <w:t>През нееднакви интервали компетентният орган провежда проверки на функционалните възможности на бордовата станция за пречистване на отпадъчни води чрез измервания на случайни проби с цел проверка на стойностите, определени в член 18.01, точка 2, таблица 2.</w:t>
      </w:r>
    </w:p>
    <w:p w:rsidR="00AC39F0" w:rsidRPr="009072DA" w:rsidRDefault="00AC39F0" w:rsidP="00AC39F0">
      <w:pPr>
        <w:pStyle w:val="ESchpar"/>
        <w:rPr>
          <w:lang w:val="bg-BG"/>
        </w:rPr>
      </w:pPr>
    </w:p>
    <w:p w:rsidR="00AC39F0" w:rsidRPr="009072DA" w:rsidRDefault="00AC39F0" w:rsidP="00AC39F0">
      <w:pPr>
        <w:pStyle w:val="ESchpar"/>
        <w:rPr>
          <w:rFonts w:cs="Arial"/>
          <w:lang w:val="bg-BG"/>
        </w:rPr>
      </w:pPr>
      <w:r w:rsidRPr="009072DA">
        <w:rPr>
          <w:lang w:val="bg-BG"/>
        </w:rPr>
        <w:t>Ако компетентният орган установи, че стойностите от измерванията на случайните проби не съответстват на стойностите, определени в член 18.01, точка 1, таблица 2, той може да поиска:</w:t>
      </w:r>
    </w:p>
    <w:p w:rsidR="00AC39F0" w:rsidRPr="009072DA" w:rsidRDefault="005C7859" w:rsidP="00AC39F0">
      <w:pPr>
        <w:pStyle w:val="ESlet"/>
        <w:rPr>
          <w:rFonts w:cs="Arial"/>
          <w:lang w:val="bg-BG"/>
        </w:rPr>
      </w:pPr>
      <w:r w:rsidRPr="009072DA">
        <w:rPr>
          <w:lang w:val="bg-BG"/>
        </w:rPr>
        <w:t xml:space="preserve">a) </w:t>
      </w:r>
      <w:r w:rsidRPr="009072DA">
        <w:rPr>
          <w:lang w:val="bg-BG"/>
        </w:rPr>
        <w:tab/>
        <w:t>неизправностите в бордовата станция за пречистване на отпадъчни води да бъдат отстранени, за да се гарантира доброто ѝ функциониране;</w:t>
      </w:r>
    </w:p>
    <w:p w:rsidR="00AC39F0" w:rsidRPr="009072DA" w:rsidRDefault="005C7859" w:rsidP="00AC39F0">
      <w:pPr>
        <w:pStyle w:val="ESlet"/>
        <w:rPr>
          <w:rFonts w:cs="Arial"/>
          <w:lang w:val="bg-BG"/>
        </w:rPr>
      </w:pPr>
      <w:r w:rsidRPr="009072DA">
        <w:rPr>
          <w:lang w:val="bg-BG"/>
        </w:rPr>
        <w:t xml:space="preserve">б) </w:t>
      </w:r>
      <w:r w:rsidRPr="009072DA">
        <w:rPr>
          <w:lang w:val="bg-BG"/>
        </w:rPr>
        <w:tab/>
        <w:t>бордовата станция за пречистване на отпадъчни води да бъде отново приведена в съответствие с одобрението на типа; или</w:t>
      </w:r>
    </w:p>
    <w:p w:rsidR="00AC39F0" w:rsidRPr="009072DA" w:rsidRDefault="005C7859" w:rsidP="00AC39F0">
      <w:pPr>
        <w:pStyle w:val="ESlet"/>
        <w:rPr>
          <w:lang w:val="bg-BG"/>
        </w:rPr>
      </w:pPr>
      <w:r w:rsidRPr="009072DA">
        <w:rPr>
          <w:lang w:val="bg-BG"/>
        </w:rPr>
        <w:t xml:space="preserve">в) </w:t>
      </w:r>
      <w:r w:rsidRPr="009072DA">
        <w:rPr>
          <w:lang w:val="bg-BG"/>
        </w:rPr>
        <w:tab/>
        <w:t>да бъде проведено специално изпитване в съответствие с точка 3.</w:t>
      </w:r>
    </w:p>
    <w:p w:rsidR="005714D9" w:rsidRPr="009072DA" w:rsidRDefault="005714D9" w:rsidP="00AC39F0">
      <w:pPr>
        <w:pStyle w:val="ESlet"/>
        <w:rPr>
          <w:rFonts w:cs="Arial"/>
          <w:lang w:val="bg-BG"/>
        </w:rPr>
      </w:pPr>
    </w:p>
    <w:p w:rsidR="00AC39F0" w:rsidRPr="009072DA" w:rsidRDefault="00AC39F0" w:rsidP="005714D9">
      <w:pPr>
        <w:pStyle w:val="ESchpar"/>
        <w:rPr>
          <w:lang w:val="bg-BG"/>
        </w:rPr>
      </w:pPr>
      <w:r w:rsidRPr="009072DA">
        <w:rPr>
          <w:lang w:val="bg-BG"/>
        </w:rPr>
        <w:t>След като бъдат отстранени несъответствията и бордовата станция за пречистване на отпадъчни води бъде отново приведена в съответствие с одобрението на типа, компетентният орган може да извършва нови измервания на случайни проби.</w:t>
      </w:r>
    </w:p>
    <w:p w:rsidR="00AC39F0" w:rsidRPr="009072DA" w:rsidRDefault="00AC39F0" w:rsidP="005714D9">
      <w:pPr>
        <w:pStyle w:val="ESchpar"/>
        <w:rPr>
          <w:lang w:val="bg-BG"/>
        </w:rPr>
      </w:pPr>
      <w:r w:rsidRPr="009072DA">
        <w:rPr>
          <w:lang w:val="bg-BG"/>
        </w:rPr>
        <w:t>Ако недостатъците не бъдат отстранени или съответствието на бордовата станция за пречистване на отпадъчни води със спецификациите на одобрението на типа не бъде възстановено, компетентният орган запечатва бордовата станция за пречистване на отпадъчни води и информира контролния орган да направи съответното вписване в точка 52 от удостоверението на плавателния съд за плаване по вътрешни водни пътища.</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2.</w:t>
      </w:r>
      <w:r w:rsidRPr="009072DA">
        <w:rPr>
          <w:lang w:val="bg-BG"/>
        </w:rPr>
        <w:tab/>
        <w:t>Случайните проби се измерват в съответствие със спецификациите от член 18.01, точка 2, таблица 2.</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3.</w:t>
      </w:r>
      <w:r w:rsidRPr="009072DA">
        <w:rPr>
          <w:lang w:val="bg-BG"/>
        </w:rPr>
        <w:tab/>
        <w:t xml:space="preserve">Ако компетентният орган установи някакви несъответствия в бордовата станция за пречистване на отпадъчни води, сочещи отклонение от одобрението на типа, компетентният орган провежда специално изпитване за определяне на нейното текущо състояние по отношение на компонентите, специфицирани в протокола за параметрите </w:t>
      </w:r>
      <w:r w:rsidRPr="009072DA">
        <w:rPr>
          <w:lang w:val="bg-BG"/>
        </w:rPr>
        <w:lastRenderedPageBreak/>
        <w:t>на бордовата станция за пречистване на отпадъчни води, калибрирането и задаването на параметрите на бордовата станция за пречистване на отпадъчни води.</w:t>
      </w:r>
    </w:p>
    <w:p w:rsidR="00AC39F0" w:rsidRPr="009072DA" w:rsidRDefault="00AC39F0" w:rsidP="00AC39F0">
      <w:pPr>
        <w:pStyle w:val="ESch"/>
        <w:rPr>
          <w:szCs w:val="20"/>
          <w:lang w:val="bg-BG"/>
        </w:rPr>
      </w:pPr>
    </w:p>
    <w:p w:rsidR="00AC39F0" w:rsidRPr="009072DA" w:rsidRDefault="00AC39F0" w:rsidP="00AC39F0">
      <w:pPr>
        <w:pStyle w:val="ESchpar"/>
        <w:rPr>
          <w:rFonts w:cs="Arial"/>
          <w:lang w:val="bg-BG"/>
        </w:rPr>
      </w:pPr>
      <w:r w:rsidRPr="009072DA">
        <w:rPr>
          <w:lang w:val="bg-BG"/>
        </w:rPr>
        <w:t>Ако компетентният орган стигне до заключението, че бордовата станция за пречистване на отпадъчни води не е в съответствие с одобрения тип бордова станция за пречистване на отпадъчни води, той може да предприеме следните действия:</w:t>
      </w:r>
    </w:p>
    <w:p w:rsidR="00AC39F0" w:rsidRPr="009072DA" w:rsidRDefault="005C7859" w:rsidP="00AC39F0">
      <w:pPr>
        <w:pStyle w:val="ESlet"/>
        <w:rPr>
          <w:rFonts w:cs="Arial"/>
          <w:lang w:val="bg-BG"/>
        </w:rPr>
      </w:pPr>
      <w:r w:rsidRPr="009072DA">
        <w:rPr>
          <w:lang w:val="bg-BG"/>
        </w:rPr>
        <w:t>a)</w:t>
      </w:r>
      <w:r w:rsidRPr="009072DA">
        <w:rPr>
          <w:lang w:val="bg-BG"/>
        </w:rPr>
        <w:tab/>
        <w:t>да изиска</w:t>
      </w:r>
    </w:p>
    <w:p w:rsidR="00AC39F0" w:rsidRPr="009072DA" w:rsidRDefault="0029453D" w:rsidP="00AC39F0">
      <w:pPr>
        <w:pStyle w:val="EStiret"/>
        <w:rPr>
          <w:rFonts w:cs="Arial"/>
          <w:noProof w:val="0"/>
          <w:lang w:val="bg-BG"/>
        </w:rPr>
      </w:pPr>
      <w:r w:rsidRPr="009072DA">
        <w:rPr>
          <w:noProof w:val="0"/>
          <w:lang w:val="bg-BG"/>
        </w:rPr>
        <w:t>aa)</w:t>
      </w:r>
      <w:r w:rsidRPr="009072DA">
        <w:rPr>
          <w:noProof w:val="0"/>
          <w:lang w:val="bg-BG"/>
        </w:rPr>
        <w:tab/>
        <w:t>съответствието на бордовата станция за пречистване на отпадъчни води да бъде възстановено; или</w:t>
      </w:r>
    </w:p>
    <w:p w:rsidR="00AC39F0" w:rsidRPr="009072DA" w:rsidRDefault="0029453D" w:rsidP="00AC39F0">
      <w:pPr>
        <w:pStyle w:val="EStiret"/>
        <w:rPr>
          <w:rFonts w:cs="Arial"/>
          <w:noProof w:val="0"/>
          <w:lang w:val="bg-BG"/>
        </w:rPr>
      </w:pPr>
      <w:r w:rsidRPr="009072DA">
        <w:rPr>
          <w:noProof w:val="0"/>
          <w:lang w:val="bg-BG"/>
        </w:rPr>
        <w:t>бб)</w:t>
      </w:r>
      <w:r w:rsidRPr="009072DA">
        <w:rPr>
          <w:noProof w:val="0"/>
          <w:lang w:val="bg-BG"/>
        </w:rPr>
        <w:tab/>
        <w:t>одобрението на типа в съответствие с член 18.04 да бъде изменено по съответен начин; или</w:t>
      </w:r>
    </w:p>
    <w:p w:rsidR="00AC39F0" w:rsidRPr="009072DA" w:rsidRDefault="005C7859" w:rsidP="00AC39F0">
      <w:pPr>
        <w:pStyle w:val="ESlet"/>
        <w:rPr>
          <w:lang w:val="bg-BG"/>
        </w:rPr>
      </w:pPr>
      <w:r w:rsidRPr="009072DA">
        <w:rPr>
          <w:lang w:val="bg-BG"/>
        </w:rPr>
        <w:t>б)</w:t>
      </w:r>
      <w:r w:rsidRPr="009072DA">
        <w:rPr>
          <w:lang w:val="bg-BG"/>
        </w:rPr>
        <w:tab/>
        <w:t>да разпореди измерване в съответствие с изпитвателната процедура, както е определено в приложение 7, раздел IX.</w:t>
      </w:r>
    </w:p>
    <w:p w:rsidR="005714D9" w:rsidRPr="009072DA" w:rsidRDefault="005714D9" w:rsidP="00AC39F0">
      <w:pPr>
        <w:pStyle w:val="ESlet"/>
        <w:rPr>
          <w:rFonts w:cs="Arial"/>
          <w:lang w:val="bg-BG"/>
        </w:rPr>
      </w:pPr>
    </w:p>
    <w:p w:rsidR="00AC39F0" w:rsidRPr="009072DA" w:rsidRDefault="00AC39F0" w:rsidP="005A6C74">
      <w:pPr>
        <w:pStyle w:val="ESletpar"/>
        <w:ind w:left="567"/>
        <w:rPr>
          <w:rFonts w:cs="Arial"/>
          <w:lang w:val="bg-BG"/>
        </w:rPr>
      </w:pPr>
      <w:r w:rsidRPr="009072DA">
        <w:rPr>
          <w:lang w:val="bg-BG"/>
        </w:rPr>
        <w:t>Ако не бъде възстановено съответствието или одобрението на типа не бъде съответно изменено, или ако от измерванията, извършени в съответствие с буква б), стане очевидно, че пределните стойности, определени в член 18.01, точка 2, буква a), таблица 1, не са спазени, компетентният орган запечатва бордовата станция за пречистване на отпадъчни води и съобщава на контролния орган да направи съответното вписване в точка 52 от удостоверението на плавателен съд за плаване по вътрешни водни пътища.</w:t>
      </w:r>
    </w:p>
    <w:p w:rsidR="00AC39F0" w:rsidRPr="009072DA" w:rsidRDefault="00AC39F0" w:rsidP="00AC39F0">
      <w:pPr>
        <w:pStyle w:val="ESch"/>
        <w:rPr>
          <w:szCs w:val="20"/>
          <w:lang w:val="bg-BG"/>
        </w:rPr>
      </w:pPr>
    </w:p>
    <w:p w:rsidR="003216FC" w:rsidRPr="009072DA" w:rsidRDefault="003216FC" w:rsidP="00AC39F0">
      <w:pPr>
        <w:pStyle w:val="ESch"/>
        <w:rPr>
          <w:szCs w:val="20"/>
          <w:lang w:val="bg-BG"/>
        </w:rPr>
      </w:pPr>
      <w:r w:rsidRPr="009072DA">
        <w:rPr>
          <w:lang w:val="bg-BG"/>
        </w:rPr>
        <w:br w:type="page"/>
      </w:r>
    </w:p>
    <w:p w:rsidR="00AC39F0" w:rsidRPr="009072DA" w:rsidRDefault="00AC39F0" w:rsidP="00AC39F0">
      <w:pPr>
        <w:pStyle w:val="ESch"/>
        <w:rPr>
          <w:rFonts w:cs="Arial"/>
          <w:szCs w:val="20"/>
          <w:lang w:val="bg-BG"/>
        </w:rPr>
      </w:pPr>
      <w:r w:rsidRPr="009072DA">
        <w:rPr>
          <w:lang w:val="bg-BG"/>
        </w:rPr>
        <w:lastRenderedPageBreak/>
        <w:t xml:space="preserve">4. </w:t>
      </w:r>
      <w:r w:rsidRPr="009072DA">
        <w:rPr>
          <w:lang w:val="bg-BG"/>
        </w:rPr>
        <w:tab/>
        <w:t>Изпитванията в съответствие с точка 3 се извършват въз основа на ръководството на производителя за проверка на свързаните с пречистването на отпадъчни води компоненти и параметри на бордовата станция за пречистване на отпадъчни води. Това ръководство, което се съставя от производителя и се одобрява от компетентен орган, указва свързаните с пречистването компоненти, както и настройките, критериите за оразмеряване и параметрите, които да се прилагат, за да се гарантира, че стойностите, посочени в член 18.01, точка 2, таблици 1 и 2, се поддържат постоянно. То трябва да съдържа най-малко следната информация:</w:t>
      </w:r>
    </w:p>
    <w:p w:rsidR="00AC39F0" w:rsidRPr="009072DA" w:rsidRDefault="005C7859" w:rsidP="00AC39F0">
      <w:pPr>
        <w:pStyle w:val="ESlet"/>
        <w:rPr>
          <w:rFonts w:cs="Arial"/>
          <w:lang w:val="bg-BG"/>
        </w:rPr>
      </w:pPr>
      <w:r w:rsidRPr="009072DA">
        <w:rPr>
          <w:lang w:val="bg-BG"/>
        </w:rPr>
        <w:t>a)</w:t>
      </w:r>
      <w:r w:rsidRPr="009072DA">
        <w:rPr>
          <w:lang w:val="bg-BG"/>
        </w:rPr>
        <w:tab/>
        <w:t>спецификация на типа бордова станция за пречистване на отпадъчни води с описание на процеса и указание дали преди бордовата станция за пречистване на отпадъчни води трябва да бъдат инсталирани резервоари за отпадъчни води;</w:t>
      </w:r>
    </w:p>
    <w:p w:rsidR="00AC39F0" w:rsidRPr="009072DA" w:rsidRDefault="005C7859" w:rsidP="00AC39F0">
      <w:pPr>
        <w:pStyle w:val="ESlet"/>
        <w:rPr>
          <w:rFonts w:cs="Arial"/>
          <w:lang w:val="bg-BG"/>
        </w:rPr>
      </w:pPr>
      <w:r w:rsidRPr="009072DA">
        <w:rPr>
          <w:lang w:val="bg-BG"/>
        </w:rPr>
        <w:t>б)</w:t>
      </w:r>
      <w:r w:rsidRPr="009072DA">
        <w:rPr>
          <w:lang w:val="bg-BG"/>
        </w:rPr>
        <w:tab/>
        <w:t>списък на компонентите, специфични за пречистването на отпадъчните води;</w:t>
      </w:r>
    </w:p>
    <w:p w:rsidR="00AC39F0" w:rsidRPr="009072DA" w:rsidRDefault="005C7859" w:rsidP="00AC39F0">
      <w:pPr>
        <w:pStyle w:val="ESlet"/>
        <w:rPr>
          <w:rFonts w:cs="Arial"/>
          <w:lang w:val="bg-BG"/>
        </w:rPr>
      </w:pPr>
      <w:r w:rsidRPr="009072DA">
        <w:rPr>
          <w:lang w:val="bg-BG"/>
        </w:rPr>
        <w:t>в)</w:t>
      </w:r>
      <w:r w:rsidRPr="009072DA">
        <w:rPr>
          <w:lang w:val="bg-BG"/>
        </w:rPr>
        <w:tab/>
        <w:t>прилаганите критерии за проектиране и оразмеряване, спецификации за оразмеряване и наредби.</w:t>
      </w:r>
    </w:p>
    <w:p w:rsidR="00AC39F0" w:rsidRPr="009072DA" w:rsidRDefault="005C7859" w:rsidP="00AC39F0">
      <w:pPr>
        <w:pStyle w:val="ESlet"/>
        <w:rPr>
          <w:rFonts w:cs="Arial"/>
          <w:lang w:val="bg-BG"/>
        </w:rPr>
      </w:pPr>
      <w:r w:rsidRPr="009072DA">
        <w:rPr>
          <w:lang w:val="bg-BG"/>
        </w:rPr>
        <w:t>г)</w:t>
      </w:r>
      <w:r w:rsidRPr="009072DA">
        <w:rPr>
          <w:lang w:val="bg-BG"/>
        </w:rPr>
        <w:tab/>
        <w:t>схематично представяне на бордовата станция за пречистване на отпадъчни води с идентифициращи характеристики на одобрените компоненти, свързани с пречистването (напр. номера на части върху компонентите).</w:t>
      </w:r>
    </w:p>
    <w:p w:rsidR="00AC39F0" w:rsidRPr="009072DA" w:rsidRDefault="00AC39F0" w:rsidP="00AC39F0">
      <w:pPr>
        <w:pStyle w:val="ESch"/>
        <w:rPr>
          <w:szCs w:val="20"/>
          <w:lang w:val="bg-BG"/>
        </w:rPr>
      </w:pPr>
    </w:p>
    <w:p w:rsidR="00AC39F0" w:rsidRPr="009072DA" w:rsidRDefault="00AC39F0" w:rsidP="00AC39F0">
      <w:pPr>
        <w:pStyle w:val="ESch"/>
        <w:rPr>
          <w:rFonts w:cs="Arial"/>
          <w:szCs w:val="20"/>
          <w:lang w:val="bg-BG"/>
        </w:rPr>
      </w:pPr>
      <w:r w:rsidRPr="009072DA">
        <w:rPr>
          <w:lang w:val="bg-BG"/>
        </w:rPr>
        <w:t>5.</w:t>
      </w:r>
      <w:r w:rsidRPr="009072DA">
        <w:rPr>
          <w:lang w:val="bg-BG"/>
        </w:rPr>
        <w:tab/>
        <w:t>Бордова станция за пречистване на отпадъчни води, която е била запечатана в съответствие с точка 3, трето изречение, може да бъде върната в експлоатация само след специално изпитване в съответствие с точка 3, първа алинея.</w:t>
      </w:r>
    </w:p>
    <w:p w:rsidR="00AC39F0" w:rsidRPr="009072DA" w:rsidRDefault="00AC39F0" w:rsidP="00AC39F0">
      <w:pPr>
        <w:pStyle w:val="ESch"/>
        <w:rPr>
          <w:rFonts w:cs="Arial"/>
          <w:szCs w:val="20"/>
          <w:lang w:val="bg-BG"/>
        </w:rPr>
      </w:pPr>
    </w:p>
    <w:p w:rsidR="00AC39F0" w:rsidRPr="009072DA" w:rsidRDefault="00AC39F0" w:rsidP="00AC39F0">
      <w:pPr>
        <w:pStyle w:val="ESch"/>
        <w:rPr>
          <w:rFonts w:cs="Arial"/>
          <w:szCs w:val="20"/>
          <w:lang w:val="bg-BG"/>
        </w:rPr>
      </w:pPr>
    </w:p>
    <w:p w:rsidR="00AC39F0" w:rsidRPr="009072DA" w:rsidRDefault="00AC39F0" w:rsidP="00AC39F0">
      <w:pPr>
        <w:pStyle w:val="ES-Titre3"/>
        <w:rPr>
          <w:rFonts w:cs="Arial"/>
          <w:i/>
          <w:lang w:val="bg-BG"/>
        </w:rPr>
      </w:pPr>
      <w:bookmarkStart w:id="339" w:name="_Toc491854167"/>
      <w:bookmarkStart w:id="340" w:name="_Toc535827608"/>
      <w:r w:rsidRPr="009072DA">
        <w:rPr>
          <w:lang w:val="bg-BG"/>
        </w:rPr>
        <w:t>Член 18.10</w:t>
      </w:r>
      <w:r w:rsidRPr="009072DA">
        <w:rPr>
          <w:lang w:val="bg-BG"/>
        </w:rPr>
        <w:br/>
      </w:r>
      <w:r w:rsidRPr="009072DA">
        <w:rPr>
          <w:i/>
          <w:lang w:val="bg-BG"/>
        </w:rPr>
        <w:t>Компетентни органи и технически служби</w:t>
      </w:r>
      <w:bookmarkEnd w:id="339"/>
      <w:bookmarkEnd w:id="340"/>
    </w:p>
    <w:p w:rsidR="00AC39F0" w:rsidRPr="009072DA" w:rsidRDefault="00AC39F0" w:rsidP="00AC39F0">
      <w:pPr>
        <w:pStyle w:val="ESgauche"/>
        <w:rPr>
          <w:noProof w:val="0"/>
          <w:lang w:val="bg-BG"/>
        </w:rPr>
      </w:pPr>
    </w:p>
    <w:p w:rsidR="00AC39F0" w:rsidRPr="009072DA" w:rsidRDefault="00072882" w:rsidP="00AC39F0">
      <w:pPr>
        <w:pStyle w:val="ESgauche"/>
        <w:rPr>
          <w:rFonts w:cs="Arial"/>
          <w:noProof w:val="0"/>
          <w:lang w:val="bg-BG"/>
        </w:rPr>
      </w:pPr>
      <w:r w:rsidRPr="009072DA">
        <w:rPr>
          <w:rFonts w:ascii="ArialMT" w:hAnsi="ArialMT"/>
          <w:noProof w:val="0"/>
          <w:lang w:val="bg-BG"/>
        </w:rPr>
        <w:t>Отговорните технически служби трябва да са съобразени с европейски стандарт EN ISO/IEC 17025: 2005, като се вземат предвид следните условия</w:t>
      </w:r>
      <w:r w:rsidRPr="009072DA">
        <w:rPr>
          <w:noProof w:val="0"/>
          <w:lang w:val="bg-BG"/>
        </w:rPr>
        <w:t>:</w:t>
      </w:r>
    </w:p>
    <w:p w:rsidR="00AC39F0" w:rsidRPr="009072DA" w:rsidRDefault="005C7859" w:rsidP="00AC39F0">
      <w:pPr>
        <w:pStyle w:val="ESletgauche"/>
        <w:rPr>
          <w:rFonts w:cs="Arial"/>
          <w:lang w:val="bg-BG"/>
        </w:rPr>
      </w:pPr>
      <w:r w:rsidRPr="009072DA">
        <w:rPr>
          <w:lang w:val="bg-BG"/>
        </w:rPr>
        <w:t>a)</w:t>
      </w:r>
      <w:r w:rsidRPr="009072DA">
        <w:rPr>
          <w:lang w:val="bg-BG"/>
        </w:rPr>
        <w:tab/>
        <w:t>производителите на бордови станции за пречистване на отпадъчни води не могат да бъдат признавани за технически служби;</w:t>
      </w:r>
    </w:p>
    <w:p w:rsidR="00AC39F0" w:rsidRPr="009072DA" w:rsidRDefault="005C7859" w:rsidP="00AC39F0">
      <w:pPr>
        <w:pStyle w:val="ESletgauche"/>
        <w:rPr>
          <w:rFonts w:cs="Arial"/>
          <w:lang w:val="bg-BG"/>
        </w:rPr>
      </w:pPr>
      <w:r w:rsidRPr="009072DA">
        <w:rPr>
          <w:lang w:val="bg-BG"/>
        </w:rPr>
        <w:t>б)</w:t>
      </w:r>
      <w:r w:rsidRPr="009072DA">
        <w:rPr>
          <w:lang w:val="bg-BG"/>
        </w:rPr>
        <w:tab/>
        <w:t>за целите на настоящата глава техническата служба може с разрешението на компетентния орган да използва съоръжения извън собствената си лаборатория.</w:t>
      </w:r>
    </w:p>
    <w:p w:rsidR="00AC39F0" w:rsidRPr="009072DA" w:rsidRDefault="00AC39F0" w:rsidP="00AC39F0">
      <w:pPr>
        <w:pStyle w:val="ESch"/>
        <w:rPr>
          <w:rFonts w:cs="Arial"/>
          <w:szCs w:val="20"/>
          <w:lang w:val="bg-BG"/>
        </w:rPr>
      </w:pPr>
    </w:p>
    <w:p w:rsidR="00AC39F0" w:rsidRPr="009072DA" w:rsidRDefault="00AC39F0" w:rsidP="00AC39F0">
      <w:pPr>
        <w:pStyle w:val="ESch"/>
        <w:rPr>
          <w:rFonts w:cs="Arial"/>
          <w:szCs w:val="20"/>
          <w:lang w:val="bg-BG"/>
        </w:rPr>
      </w:pPr>
    </w:p>
    <w:p w:rsidR="00973DAA" w:rsidRPr="009072DA" w:rsidRDefault="00973DAA" w:rsidP="005662C0">
      <w:pPr>
        <w:pStyle w:val="ESch"/>
        <w:rPr>
          <w:lang w:val="bg-BG"/>
        </w:rPr>
      </w:pPr>
    </w:p>
    <w:p w:rsidR="00A2046F" w:rsidRPr="009072DA" w:rsidRDefault="00A2046F" w:rsidP="005662C0">
      <w:pPr>
        <w:pStyle w:val="ESch"/>
        <w:rPr>
          <w:lang w:val="bg-BG"/>
        </w:rPr>
      </w:pPr>
    </w:p>
    <w:p w:rsidR="00A2046F" w:rsidRPr="009072DA" w:rsidRDefault="00A2046F" w:rsidP="005662C0">
      <w:pPr>
        <w:pStyle w:val="ESch"/>
        <w:rPr>
          <w:lang w:val="bg-BG"/>
        </w:rPr>
      </w:pPr>
      <w:r w:rsidRPr="009072DA">
        <w:rPr>
          <w:lang w:val="bg-BG"/>
        </w:rPr>
        <w:br w:type="page"/>
      </w:r>
    </w:p>
    <w:p w:rsidR="00FD5887" w:rsidRPr="009072DA" w:rsidRDefault="00FD5887" w:rsidP="005662C0">
      <w:pPr>
        <w:pStyle w:val="ESch"/>
        <w:rPr>
          <w:lang w:val="bg-BG"/>
        </w:rPr>
      </w:pPr>
    </w:p>
    <w:p w:rsidR="00FD5887" w:rsidRPr="009072DA" w:rsidRDefault="00FD5887" w:rsidP="005662C0">
      <w:pPr>
        <w:pStyle w:val="ESch"/>
        <w:rPr>
          <w:lang w:val="bg-BG"/>
        </w:rPr>
      </w:pPr>
    </w:p>
    <w:p w:rsidR="00FD5887" w:rsidRPr="009072DA" w:rsidRDefault="00FD5887" w:rsidP="005662C0">
      <w:pPr>
        <w:pStyle w:val="ESch"/>
        <w:rPr>
          <w:lang w:val="bg-BG"/>
        </w:rPr>
      </w:pPr>
    </w:p>
    <w:p w:rsidR="00FD5887" w:rsidRPr="009072DA" w:rsidRDefault="00FD5887" w:rsidP="005662C0">
      <w:pPr>
        <w:pStyle w:val="ESch"/>
        <w:rPr>
          <w:lang w:val="bg-BG"/>
        </w:rPr>
        <w:sectPr w:rsidR="00FD5887" w:rsidRPr="009072DA" w:rsidSect="00AC5CC1">
          <w:footnotePr>
            <w:numRestart w:val="eachPage"/>
          </w:footnotePr>
          <w:pgSz w:w="11906" w:h="16838" w:code="9"/>
          <w:pgMar w:top="1418" w:right="1418" w:bottom="1418" w:left="1418" w:header="709" w:footer="709" w:gutter="0"/>
          <w:cols w:space="709"/>
          <w:titlePg/>
          <w:docGrid w:linePitch="272"/>
        </w:sectPr>
      </w:pPr>
    </w:p>
    <w:p w:rsidR="00A2046F" w:rsidRPr="009072DA" w:rsidRDefault="00A2046F" w:rsidP="005662C0">
      <w:pPr>
        <w:pStyle w:val="ESch"/>
        <w:rPr>
          <w:lang w:val="bg-BG"/>
        </w:rPr>
      </w:pPr>
    </w:p>
    <w:p w:rsidR="00A2046F" w:rsidRPr="009072DA" w:rsidRDefault="00A2046F" w:rsidP="00A2046F">
      <w:pPr>
        <w:pStyle w:val="ES-Titre1"/>
      </w:pPr>
      <w:bookmarkStart w:id="341" w:name="_Toc491854168"/>
      <w:bookmarkStart w:id="342" w:name="_Toc535827609"/>
      <w:r w:rsidRPr="009072DA">
        <w:t>ЧАСТ III</w:t>
      </w:r>
      <w:r w:rsidRPr="009072DA">
        <w:br/>
        <w:t>СПЕЦИАЛНИ РАЗПОРЕДБИ</w:t>
      </w:r>
      <w:bookmarkEnd w:id="341"/>
      <w:bookmarkEnd w:id="342"/>
    </w:p>
    <w:p w:rsidR="00A2046F" w:rsidRPr="009072DA" w:rsidRDefault="00A2046F" w:rsidP="00A2046F">
      <w:pPr>
        <w:rPr>
          <w:lang w:val="bg-BG"/>
        </w:rPr>
      </w:pPr>
    </w:p>
    <w:p w:rsidR="00973DAA" w:rsidRPr="009072DA" w:rsidRDefault="00973DAA" w:rsidP="00A2046F">
      <w:pPr>
        <w:pStyle w:val="ES-Titre2"/>
        <w:pageBreakBefore w:val="0"/>
        <w:rPr>
          <w:szCs w:val="24"/>
        </w:rPr>
      </w:pPr>
      <w:bookmarkStart w:id="343" w:name="_Toc491854169"/>
      <w:bookmarkStart w:id="344" w:name="_Toc535827610"/>
      <w:r w:rsidRPr="009072DA">
        <w:t>Глава 19</w:t>
      </w:r>
      <w:r w:rsidRPr="009072DA">
        <w:br/>
      </w:r>
      <w:r w:rsidRPr="009072DA">
        <w:rPr>
          <w:sz w:val="22"/>
        </w:rPr>
        <w:t>Специални разпоредби, приложими за пътническите плавателни съдове</w:t>
      </w:r>
      <w:bookmarkEnd w:id="343"/>
      <w:bookmarkEnd w:id="344"/>
    </w:p>
    <w:p w:rsidR="00973DAA" w:rsidRPr="009072DA" w:rsidRDefault="00973DAA" w:rsidP="00973DAA">
      <w:pPr>
        <w:rPr>
          <w:lang w:val="bg-BG"/>
        </w:rPr>
      </w:pPr>
    </w:p>
    <w:p w:rsidR="00973DAA" w:rsidRPr="009072DA" w:rsidRDefault="00973DAA" w:rsidP="00973DAA">
      <w:pPr>
        <w:pStyle w:val="ES-Titre3"/>
        <w:rPr>
          <w:lang w:val="bg-BG"/>
        </w:rPr>
      </w:pPr>
      <w:bookmarkStart w:id="345" w:name="_Toc491854170"/>
      <w:bookmarkStart w:id="346" w:name="_Toc535827611"/>
      <w:r w:rsidRPr="009072DA">
        <w:rPr>
          <w:lang w:val="bg-BG"/>
        </w:rPr>
        <w:t>Член 19.01</w:t>
      </w:r>
      <w:r w:rsidRPr="009072DA">
        <w:rPr>
          <w:lang w:val="bg-BG"/>
        </w:rPr>
        <w:br/>
      </w:r>
      <w:r w:rsidRPr="009072DA">
        <w:rPr>
          <w:i/>
          <w:lang w:val="bg-BG"/>
        </w:rPr>
        <w:t>Общи разпоредби</w:t>
      </w:r>
      <w:bookmarkEnd w:id="345"/>
      <w:bookmarkEnd w:id="346"/>
    </w:p>
    <w:p w:rsidR="00973DAA" w:rsidRPr="009072DA" w:rsidRDefault="00973DAA" w:rsidP="00973DAA">
      <w:pPr>
        <w:pStyle w:val="ESch"/>
        <w:rPr>
          <w:lang w:val="bg-BG"/>
        </w:rPr>
      </w:pPr>
    </w:p>
    <w:p w:rsidR="00973DAA" w:rsidRPr="009072DA" w:rsidRDefault="00973DAA" w:rsidP="00973DAA">
      <w:pPr>
        <w:pStyle w:val="ESch"/>
        <w:rPr>
          <w:rFonts w:eastAsia="Calibri" w:cs="Arial"/>
          <w:szCs w:val="18"/>
          <w:lang w:val="bg-BG"/>
        </w:rPr>
      </w:pPr>
      <w:r w:rsidRPr="009072DA">
        <w:rPr>
          <w:lang w:val="bg-BG"/>
        </w:rPr>
        <w:t>1.</w:t>
      </w:r>
      <w:r w:rsidRPr="009072DA">
        <w:rPr>
          <w:lang w:val="bg-BG"/>
        </w:rPr>
        <w:tab/>
        <w:t>Следните разпоредби не се прилагат:</w:t>
      </w:r>
    </w:p>
    <w:p w:rsidR="00973DAA" w:rsidRPr="009072DA" w:rsidRDefault="005C7859" w:rsidP="00973DAA">
      <w:pPr>
        <w:pStyle w:val="ESlet"/>
        <w:rPr>
          <w:rFonts w:eastAsia="Calibri" w:cs="Arial"/>
          <w:szCs w:val="18"/>
          <w:lang w:val="bg-BG"/>
        </w:rPr>
      </w:pPr>
      <w:r w:rsidRPr="009072DA">
        <w:rPr>
          <w:lang w:val="bg-BG"/>
        </w:rPr>
        <w:t>a)</w:t>
      </w:r>
      <w:r w:rsidRPr="009072DA">
        <w:rPr>
          <w:lang w:val="bg-BG"/>
        </w:rPr>
        <w:tab/>
        <w:t>член 3.02, точка 1, буква б);</w:t>
      </w:r>
    </w:p>
    <w:p w:rsidR="00973DAA" w:rsidRPr="009072DA" w:rsidRDefault="005C7859" w:rsidP="00973DAA">
      <w:pPr>
        <w:pStyle w:val="ESlet"/>
        <w:rPr>
          <w:rFonts w:eastAsia="Calibri" w:cs="Arial"/>
          <w:szCs w:val="18"/>
          <w:lang w:val="bg-BG"/>
        </w:rPr>
      </w:pPr>
      <w:r w:rsidRPr="009072DA">
        <w:rPr>
          <w:lang w:val="bg-BG"/>
        </w:rPr>
        <w:t>б)</w:t>
      </w:r>
      <w:r w:rsidRPr="009072DA">
        <w:rPr>
          <w:lang w:val="bg-BG"/>
        </w:rPr>
        <w:tab/>
        <w:t>членове 4.01—4.03;</w:t>
      </w:r>
    </w:p>
    <w:p w:rsidR="00973DAA" w:rsidRPr="009072DA" w:rsidRDefault="005C7859" w:rsidP="00973DAA">
      <w:pPr>
        <w:pStyle w:val="ESlet"/>
        <w:rPr>
          <w:rFonts w:eastAsia="Calibri" w:cs="Arial"/>
          <w:szCs w:val="18"/>
          <w:lang w:val="bg-BG"/>
        </w:rPr>
      </w:pPr>
      <w:r w:rsidRPr="009072DA">
        <w:rPr>
          <w:lang w:val="bg-BG"/>
        </w:rPr>
        <w:t>в)</w:t>
      </w:r>
      <w:r w:rsidRPr="009072DA">
        <w:rPr>
          <w:lang w:val="bg-BG"/>
        </w:rPr>
        <w:tab/>
        <w:t>член 8.08, точка 2, второ изречение, и точка 7;</w:t>
      </w:r>
    </w:p>
    <w:p w:rsidR="00973DAA" w:rsidRPr="009072DA" w:rsidRDefault="005C7859" w:rsidP="00973DAA">
      <w:pPr>
        <w:pStyle w:val="ESlet"/>
        <w:rPr>
          <w:rFonts w:eastAsia="Calibri" w:cs="Arial"/>
          <w:szCs w:val="18"/>
          <w:lang w:val="bg-BG"/>
        </w:rPr>
      </w:pPr>
      <w:r w:rsidRPr="009072DA">
        <w:rPr>
          <w:lang w:val="bg-BG"/>
        </w:rPr>
        <w:t>г)</w:t>
      </w:r>
      <w:r w:rsidRPr="009072DA">
        <w:rPr>
          <w:lang w:val="bg-BG"/>
        </w:rPr>
        <w:tab/>
        <w:t>член 10.14, точка 3, второ изречение за номинални напрежения над 50 V.</w:t>
      </w:r>
    </w:p>
    <w:p w:rsidR="00973DAA" w:rsidRPr="009072DA" w:rsidRDefault="00973DAA"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2.</w:t>
      </w:r>
      <w:r w:rsidRPr="009072DA">
        <w:rPr>
          <w:lang w:val="bg-BG"/>
        </w:rPr>
        <w:tab/>
        <w:t>Следните видове оборудване са забранени на пътническите плавателни съдове:</w:t>
      </w:r>
    </w:p>
    <w:p w:rsidR="00973DAA" w:rsidRPr="009072DA" w:rsidRDefault="005C7859" w:rsidP="00973DAA">
      <w:pPr>
        <w:pStyle w:val="ESlet"/>
        <w:rPr>
          <w:rFonts w:eastAsia="Calibri"/>
          <w:lang w:val="bg-BG"/>
        </w:rPr>
      </w:pPr>
      <w:r w:rsidRPr="009072DA">
        <w:rPr>
          <w:lang w:val="bg-BG"/>
        </w:rPr>
        <w:t>a)</w:t>
      </w:r>
      <w:r w:rsidRPr="009072DA">
        <w:rPr>
          <w:lang w:val="bg-BG"/>
        </w:rPr>
        <w:tab/>
        <w:t>лампи, захранвани с втечнен газ или течно гориво съгласно член 15.07, точка 3 2</w:t>
      </w:r>
      <w:r w:rsidRPr="009072DA">
        <w:rPr>
          <w:vertAlign w:val="superscript"/>
          <w:lang w:val="bg-BG"/>
        </w:rPr>
        <w:t>ро</w:t>
      </w:r>
      <w:r w:rsidRPr="009072DA">
        <w:rPr>
          <w:lang w:val="bg-BG"/>
        </w:rPr>
        <w:t xml:space="preserve"> изречение;</w:t>
      </w:r>
    </w:p>
    <w:p w:rsidR="00973DAA" w:rsidRPr="009072DA" w:rsidRDefault="005C7859" w:rsidP="00973DAA">
      <w:pPr>
        <w:pStyle w:val="ESlet"/>
        <w:rPr>
          <w:rFonts w:eastAsia="Calibri"/>
          <w:lang w:val="bg-BG"/>
        </w:rPr>
      </w:pPr>
      <w:r w:rsidRPr="009072DA">
        <w:rPr>
          <w:lang w:val="bg-BG"/>
        </w:rPr>
        <w:t>б)</w:t>
      </w:r>
      <w:r w:rsidRPr="009072DA">
        <w:rPr>
          <w:lang w:val="bg-BG"/>
        </w:rPr>
        <w:tab/>
        <w:t>устройства, оборудвани с фитилени горелки съгласно член 16.02, точки 2 и 3,</w:t>
      </w:r>
    </w:p>
    <w:p w:rsidR="00973DAA" w:rsidRPr="009072DA" w:rsidRDefault="005C7859" w:rsidP="00973DAA">
      <w:pPr>
        <w:pStyle w:val="ESlet"/>
        <w:rPr>
          <w:rFonts w:eastAsia="Calibri" w:cs="Arial"/>
          <w:szCs w:val="18"/>
          <w:lang w:val="bg-BG"/>
        </w:rPr>
      </w:pPr>
      <w:r w:rsidRPr="009072DA">
        <w:rPr>
          <w:lang w:val="bg-BG"/>
        </w:rPr>
        <w:t>в)</w:t>
      </w:r>
      <w:r w:rsidRPr="009072DA">
        <w:rPr>
          <w:lang w:val="bg-BG"/>
        </w:rPr>
        <w:tab/>
        <w:t>печки с изпарителни мазутни горелки съгласно член 16.04;</w:t>
      </w:r>
    </w:p>
    <w:p w:rsidR="00973DAA" w:rsidRPr="009072DA" w:rsidRDefault="005C7859" w:rsidP="00973DAA">
      <w:pPr>
        <w:pStyle w:val="ESlet"/>
        <w:rPr>
          <w:rFonts w:eastAsia="Calibri" w:cs="Arial"/>
          <w:szCs w:val="18"/>
          <w:lang w:val="bg-BG"/>
        </w:rPr>
      </w:pPr>
      <w:r w:rsidRPr="009072DA">
        <w:rPr>
          <w:lang w:val="bg-BG"/>
        </w:rPr>
        <w:t>г)</w:t>
      </w:r>
      <w:r w:rsidRPr="009072DA">
        <w:rPr>
          <w:lang w:val="bg-BG"/>
        </w:rPr>
        <w:tab/>
        <w:t>отоплителните уреди с твърдо гориво и котли в съответствие с 16.07;</w:t>
      </w:r>
    </w:p>
    <w:p w:rsidR="00973DAA" w:rsidRPr="009072DA" w:rsidRDefault="0029453D" w:rsidP="00973DAA">
      <w:pPr>
        <w:pStyle w:val="ESlet"/>
        <w:rPr>
          <w:rFonts w:eastAsia="Calibri" w:cs="Arial"/>
          <w:szCs w:val="18"/>
          <w:lang w:val="bg-BG"/>
        </w:rPr>
      </w:pPr>
      <w:r w:rsidRPr="009072DA">
        <w:rPr>
          <w:lang w:val="bg-BG"/>
        </w:rPr>
        <w:t>д)</w:t>
      </w:r>
      <w:r w:rsidRPr="009072DA">
        <w:rPr>
          <w:lang w:val="bg-BG"/>
        </w:rPr>
        <w:tab/>
        <w:t>уреди за втечнен газ съгласно глава 17.</w:t>
      </w:r>
    </w:p>
    <w:p w:rsidR="00973DAA" w:rsidRPr="009072DA" w:rsidRDefault="00973DAA"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3.</w:t>
      </w:r>
      <w:r w:rsidRPr="009072DA">
        <w:rPr>
          <w:lang w:val="bg-BG"/>
        </w:rPr>
        <w:tab/>
        <w:t>Плавателни съдове без собствена мощност не могат да бъдат лицензирани за превоз на пътници.</w:t>
      </w:r>
    </w:p>
    <w:p w:rsidR="00573261" w:rsidRPr="009072DA" w:rsidRDefault="00573261" w:rsidP="00973DAA">
      <w:pPr>
        <w:pStyle w:val="ESch"/>
        <w:rPr>
          <w:rFonts w:eastAsia="Calibri"/>
          <w:lang w:val="bg-BG"/>
        </w:rPr>
      </w:pPr>
    </w:p>
    <w:p w:rsidR="00573261" w:rsidRPr="009072DA" w:rsidRDefault="00573261" w:rsidP="00973DAA">
      <w:pPr>
        <w:pStyle w:val="ESch"/>
        <w:rPr>
          <w:rFonts w:eastAsia="Calibri" w:cs="Arial"/>
          <w:szCs w:val="18"/>
          <w:lang w:val="bg-BG"/>
        </w:rPr>
      </w:pPr>
      <w:r w:rsidRPr="009072DA">
        <w:rPr>
          <w:lang w:val="bg-BG"/>
        </w:rPr>
        <w:t>4.</w:t>
      </w:r>
      <w:r w:rsidRPr="009072DA">
        <w:rPr>
          <w:lang w:val="bg-BG"/>
        </w:rPr>
        <w:tab/>
        <w:t>На пътническите плавателни съдове се определят места за ползване от лица с намалена подвижност съобразно разпоредбите на настоящата глава.</w:t>
      </w:r>
    </w:p>
    <w:p w:rsidR="00973DAA" w:rsidRPr="009072DA" w:rsidRDefault="00973DAA" w:rsidP="00973DAA">
      <w:pPr>
        <w:pStyle w:val="ESch"/>
        <w:rPr>
          <w:rFonts w:eastAsia="Calibri"/>
          <w:szCs w:val="18"/>
          <w:lang w:val="bg-BG"/>
        </w:rPr>
      </w:pPr>
    </w:p>
    <w:p w:rsidR="00973DAA" w:rsidRPr="009072DA" w:rsidRDefault="00573261" w:rsidP="00973DAA">
      <w:pPr>
        <w:pStyle w:val="ESch"/>
        <w:rPr>
          <w:rFonts w:eastAsia="Calibri"/>
          <w:szCs w:val="18"/>
          <w:lang w:val="bg-BG"/>
        </w:rPr>
      </w:pPr>
      <w:r w:rsidRPr="009072DA">
        <w:rPr>
          <w:lang w:val="bg-BG"/>
        </w:rPr>
        <w:t>5.</w:t>
      </w:r>
      <w:r w:rsidRPr="009072DA">
        <w:rPr>
          <w:lang w:val="bg-BG"/>
        </w:rPr>
        <w:tab/>
        <w:t xml:space="preserve">Чрез дерогация от член 7.02, точка 2, първо изречение, мъртвата зона за рулевия пред плавателния съд в състояние без товар и с половината от припасите, но без баласт, не </w:t>
      </w:r>
      <w:r w:rsidRPr="009072DA">
        <w:rPr>
          <w:lang w:val="bg-BG"/>
        </w:rPr>
        <w:lastRenderedPageBreak/>
        <w:t>трябва да превишава две дължини на плавателния съд или да не бъде повече от 250 m, според това кое от двете разстояния е по-малко.</w:t>
      </w:r>
    </w:p>
    <w:p w:rsidR="00973DAA" w:rsidRPr="009072DA" w:rsidRDefault="00973DAA" w:rsidP="00973DAA">
      <w:pPr>
        <w:pStyle w:val="ESch"/>
        <w:rPr>
          <w:rFonts w:eastAsia="Calibri" w:cs="Arial"/>
          <w:szCs w:val="18"/>
          <w:lang w:val="bg-BG"/>
        </w:rPr>
      </w:pPr>
    </w:p>
    <w:p w:rsidR="00973DAA" w:rsidRPr="009072DA" w:rsidRDefault="00573261" w:rsidP="00973DAA">
      <w:pPr>
        <w:pStyle w:val="ESch"/>
        <w:rPr>
          <w:rFonts w:eastAsia="Calibri"/>
          <w:szCs w:val="18"/>
          <w:lang w:val="bg-BG"/>
        </w:rPr>
      </w:pPr>
      <w:r w:rsidRPr="009072DA">
        <w:rPr>
          <w:lang w:val="bg-BG"/>
        </w:rPr>
        <w:t>6.</w:t>
      </w:r>
      <w:r w:rsidRPr="009072DA">
        <w:rPr>
          <w:lang w:val="bg-BG"/>
        </w:rPr>
        <w:tab/>
        <w:t>Чрез дерогация от член 7.02, точка 3, трета алинея, пътнически плавателен съд трябва да бъде снабден с подходящи помощни средства, когато не е осигурено достатъчно поле на безпрепятствена видимост назад. Ако тези допълнителни средства не дават възможност за безпрепятствена видимост през нощта, съответното ограничение се записва в точка 52 от удостоверението на плавателния съд за плаване по вътрешните водни пътища.</w:t>
      </w:r>
    </w:p>
    <w:p w:rsidR="00973DAA" w:rsidRPr="009072DA" w:rsidRDefault="00973DAA" w:rsidP="00973DAA">
      <w:pPr>
        <w:pStyle w:val="ESch"/>
        <w:rPr>
          <w:rFonts w:eastAsia="Calibri"/>
          <w:szCs w:val="18"/>
          <w:lang w:val="bg-BG"/>
        </w:rPr>
      </w:pPr>
    </w:p>
    <w:p w:rsidR="00973DAA" w:rsidRPr="009072DA" w:rsidRDefault="00973DAA" w:rsidP="00973DAA">
      <w:pPr>
        <w:pStyle w:val="ESch"/>
        <w:rPr>
          <w:rFonts w:eastAsia="Calibri"/>
          <w:szCs w:val="18"/>
          <w:lang w:val="bg-BG"/>
        </w:rPr>
      </w:pPr>
    </w:p>
    <w:p w:rsidR="00973DAA" w:rsidRPr="009072DA" w:rsidRDefault="00973DAA" w:rsidP="00973DAA">
      <w:pPr>
        <w:pStyle w:val="ES-Titre3"/>
        <w:rPr>
          <w:rFonts w:cs="Arial"/>
          <w:i/>
          <w:szCs w:val="18"/>
          <w:lang w:val="bg-BG"/>
        </w:rPr>
      </w:pPr>
      <w:bookmarkStart w:id="347" w:name="_Toc491854171"/>
      <w:bookmarkStart w:id="348" w:name="_Toc535827612"/>
      <w:r w:rsidRPr="009072DA">
        <w:rPr>
          <w:lang w:val="bg-BG"/>
        </w:rPr>
        <w:t>Член 19.02</w:t>
      </w:r>
      <w:r w:rsidRPr="009072DA">
        <w:rPr>
          <w:lang w:val="bg-BG"/>
        </w:rPr>
        <w:br/>
      </w:r>
      <w:r w:rsidRPr="009072DA">
        <w:rPr>
          <w:i/>
          <w:lang w:val="bg-BG"/>
        </w:rPr>
        <w:t>Корпус</w:t>
      </w:r>
      <w:bookmarkEnd w:id="347"/>
      <w:bookmarkEnd w:id="348"/>
    </w:p>
    <w:p w:rsidR="00973DAA" w:rsidRPr="009072DA" w:rsidRDefault="00973DAA"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 xml:space="preserve">1 </w:t>
      </w:r>
      <w:r w:rsidRPr="009072DA">
        <w:rPr>
          <w:lang w:val="bg-BG"/>
        </w:rPr>
        <w:tab/>
        <w:t>В хода на периодичните проверки, дебелината на външната обшивка на пътническите плавателни съдове се определя, както следва:</w:t>
      </w:r>
    </w:p>
    <w:p w:rsidR="00973DAA" w:rsidRPr="009072DA" w:rsidRDefault="005C7859" w:rsidP="00577ECC">
      <w:pPr>
        <w:pStyle w:val="ESlet"/>
        <w:rPr>
          <w:rFonts w:eastAsia="Calibri"/>
          <w:lang w:val="bg-BG"/>
        </w:rPr>
      </w:pPr>
      <w:r w:rsidRPr="009072DA">
        <w:rPr>
          <w:lang w:val="bg-BG"/>
        </w:rPr>
        <w:t>a)</w:t>
      </w:r>
      <w:r w:rsidRPr="009072DA">
        <w:rPr>
          <w:lang w:val="bg-BG"/>
        </w:rPr>
        <w:tab/>
        <w:t xml:space="preserve">минималната дебелина </w:t>
      </w:r>
      <m:oMath>
        <m:sSub>
          <m:sSubPr>
            <m:ctrlPr>
              <w:rPr>
                <w:rFonts w:ascii="Cambria Math" w:eastAsia="Calibri" w:hAnsi="Cambria Math"/>
                <w:i/>
                <w:lang w:val="bg-BG"/>
              </w:rPr>
            </m:ctrlPr>
          </m:sSubPr>
          <m:e>
            <m:r>
              <w:rPr>
                <w:rFonts w:ascii="Cambria Math" w:eastAsia="Calibri" w:hAnsi="Cambria Math"/>
                <w:lang w:val="bg-BG"/>
              </w:rPr>
              <m:t>t</m:t>
            </m:r>
          </m:e>
          <m:sub>
            <m:r>
              <w:rPr>
                <w:rFonts w:ascii="Cambria Math" w:eastAsia="Calibri" w:hAnsi="Cambria Math"/>
                <w:lang w:val="bg-BG"/>
              </w:rPr>
              <m:t>min</m:t>
            </m:r>
          </m:sub>
        </m:sSub>
      </m:oMath>
      <w:r w:rsidRPr="009072DA">
        <w:rPr>
          <w:lang w:val="bg-BG"/>
        </w:rPr>
        <w:t xml:space="preserve"> на обшивката на дъното, скула и страните на външния корпус на пътнически плавателни съдове се определя съгласно по-голямата стойност от следните формули:</w:t>
      </w:r>
    </w:p>
    <w:p w:rsidR="00661999" w:rsidRPr="009072DA" w:rsidRDefault="002B712C" w:rsidP="00661999">
      <w:pPr>
        <w:pStyle w:val="ESlet"/>
        <w:ind w:firstLine="1"/>
        <w:rPr>
          <w:rFonts w:eastAsia="Calibri" w:cs="Arial"/>
          <w:szCs w:val="18"/>
          <w:lang w:val="bg-BG"/>
        </w:rPr>
      </w:pPr>
      <m:oMathPara>
        <m:oMathParaPr>
          <m:jc m:val="left"/>
        </m:oMathParaPr>
        <m:oMath>
          <m:sSub>
            <m:sSubPr>
              <m:ctrlPr>
                <w:rPr>
                  <w:rFonts w:ascii="Cambria Math" w:eastAsia="Calibri" w:hAnsi="Cambria Math" w:cs="Arial"/>
                  <w:i/>
                  <w:szCs w:val="18"/>
                  <w:lang w:val="bg-BG"/>
                </w:rPr>
              </m:ctrlPr>
            </m:sSubPr>
            <m:e>
              <m:r>
                <w:rPr>
                  <w:rFonts w:ascii="Cambria Math" w:eastAsia="Calibri" w:hAnsi="Cambria Math" w:cs="Arial"/>
                  <w:szCs w:val="18"/>
                  <w:lang w:val="bg-BG"/>
                </w:rPr>
                <m:t>t</m:t>
              </m:r>
            </m:e>
            <m:sub>
              <m:sSub>
                <m:sSubPr>
                  <m:ctrlPr>
                    <w:rPr>
                      <w:rFonts w:ascii="Cambria Math" w:eastAsia="Calibri" w:hAnsi="Cambria Math" w:cs="Arial"/>
                      <w:i/>
                      <w:szCs w:val="18"/>
                      <w:lang w:val="bg-BG"/>
                    </w:rPr>
                  </m:ctrlPr>
                </m:sSubPr>
                <m:e>
                  <m:r>
                    <w:rPr>
                      <w:rFonts w:ascii="Cambria Math" w:eastAsia="Calibri" w:hAnsi="Cambria Math" w:cs="Arial"/>
                      <w:szCs w:val="18"/>
                      <w:lang w:val="bg-BG"/>
                    </w:rPr>
                    <m:t>1</m:t>
                  </m:r>
                </m:e>
                <m:sub>
                  <m:r>
                    <w:rPr>
                      <w:rFonts w:ascii="Cambria Math" w:eastAsia="Calibri" w:hAnsi="Cambria Math" w:cs="Arial"/>
                      <w:szCs w:val="18"/>
                      <w:lang w:val="bg-BG"/>
                    </w:rPr>
                    <m:t>min</m:t>
                  </m:r>
                </m:sub>
              </m:sSub>
              <m:r>
                <w:rPr>
                  <w:rFonts w:ascii="Cambria Math" w:eastAsia="Calibri" w:hAnsi="Cambria Math" w:cs="Arial"/>
                  <w:szCs w:val="18"/>
                  <w:lang w:val="bg-BG"/>
                </w:rPr>
                <m:t xml:space="preserve"> </m:t>
              </m:r>
            </m:sub>
          </m:sSub>
          <m:r>
            <w:rPr>
              <w:rFonts w:ascii="Cambria Math" w:eastAsia="Calibri" w:hAnsi="Cambria Math" w:cs="Arial"/>
              <w:szCs w:val="18"/>
              <w:lang w:val="bg-BG"/>
            </w:rPr>
            <m:t xml:space="preserve">=  0,006 ∙a ∙ </m:t>
          </m:r>
          <m:rad>
            <m:radPr>
              <m:degHide m:val="1"/>
              <m:ctrlPr>
                <w:rPr>
                  <w:rFonts w:ascii="Cambria Math" w:eastAsia="Calibri" w:hAnsi="Cambria Math" w:cs="Arial"/>
                  <w:i/>
                  <w:szCs w:val="18"/>
                  <w:lang w:val="bg-BG"/>
                </w:rPr>
              </m:ctrlPr>
            </m:radPr>
            <m:deg/>
            <m:e>
              <m:r>
                <w:rPr>
                  <w:rFonts w:ascii="Cambria Math" w:eastAsia="Calibri" w:hAnsi="Cambria Math" w:cs="Arial"/>
                  <w:szCs w:val="18"/>
                  <w:lang w:val="bg-BG"/>
                </w:rPr>
                <m:t>T</m:t>
              </m:r>
            </m:e>
          </m:rad>
          <m:r>
            <w:rPr>
              <w:rFonts w:ascii="Cambria Math" w:eastAsia="Calibri" w:hAnsi="Cambria Math" w:cs="Arial"/>
              <w:szCs w:val="18"/>
              <w:lang w:val="bg-BG"/>
            </w:rPr>
            <m:t xml:space="preserve"> </m:t>
          </m:r>
          <m:d>
            <m:dPr>
              <m:begChr m:val="["/>
              <m:endChr m:val="]"/>
              <m:ctrlPr>
                <w:rPr>
                  <w:rFonts w:ascii="Cambria Math" w:eastAsia="Calibri" w:hAnsi="Cambria Math" w:cs="Arial"/>
                  <w:i/>
                  <w:szCs w:val="18"/>
                  <w:lang w:val="bg-BG"/>
                </w:rPr>
              </m:ctrlPr>
            </m:dPr>
            <m:e>
              <m:r>
                <w:rPr>
                  <w:rFonts w:ascii="Cambria Math" w:eastAsia="Calibri" w:hAnsi="Cambria Math" w:cs="Arial"/>
                  <w:szCs w:val="18"/>
                  <w:lang w:val="bg-BG"/>
                </w:rPr>
                <m:t>mm</m:t>
              </m:r>
            </m:e>
          </m:d>
          <m:r>
            <w:rPr>
              <w:rFonts w:ascii="Cambria Math" w:eastAsia="Calibri" w:hAnsi="Cambria Math" w:cs="Arial"/>
              <w:szCs w:val="18"/>
              <w:lang w:val="bg-BG"/>
            </w:rPr>
            <m:t>;</m:t>
          </m:r>
        </m:oMath>
      </m:oMathPara>
    </w:p>
    <w:p w:rsidR="00661999" w:rsidRPr="009072DA" w:rsidRDefault="002B712C" w:rsidP="00661999">
      <w:pPr>
        <w:pStyle w:val="ESlet"/>
        <w:ind w:firstLine="1"/>
        <w:rPr>
          <w:rFonts w:eastAsia="Calibri" w:cs="Arial"/>
          <w:szCs w:val="18"/>
          <w:lang w:val="bg-BG"/>
        </w:rPr>
      </w:pPr>
      <m:oMathPara>
        <m:oMathParaPr>
          <m:jc m:val="left"/>
        </m:oMathParaPr>
        <m:oMath>
          <m:sSub>
            <m:sSubPr>
              <m:ctrlPr>
                <w:rPr>
                  <w:rFonts w:ascii="Cambria Math" w:eastAsia="Calibri" w:hAnsi="Cambria Math" w:cs="Arial"/>
                  <w:i/>
                  <w:szCs w:val="18"/>
                  <w:lang w:val="bg-BG"/>
                </w:rPr>
              </m:ctrlPr>
            </m:sSubPr>
            <m:e>
              <m:r>
                <w:rPr>
                  <w:rFonts w:ascii="Cambria Math" w:eastAsia="Calibri" w:hAnsi="Cambria Math" w:cs="Arial"/>
                  <w:szCs w:val="18"/>
                  <w:lang w:val="bg-BG"/>
                </w:rPr>
                <m:t>t</m:t>
              </m:r>
            </m:e>
            <m:sub>
              <m:sSub>
                <m:sSubPr>
                  <m:ctrlPr>
                    <w:rPr>
                      <w:rFonts w:ascii="Cambria Math" w:eastAsia="Calibri" w:hAnsi="Cambria Math" w:cs="Arial"/>
                      <w:i/>
                      <w:szCs w:val="18"/>
                      <w:lang w:val="bg-BG"/>
                    </w:rPr>
                  </m:ctrlPr>
                </m:sSubPr>
                <m:e>
                  <m:r>
                    <w:rPr>
                      <w:rFonts w:ascii="Cambria Math" w:eastAsia="Calibri" w:hAnsi="Cambria Math" w:cs="Arial"/>
                      <w:szCs w:val="18"/>
                      <w:lang w:val="bg-BG"/>
                    </w:rPr>
                    <m:t>2</m:t>
                  </m:r>
                </m:e>
                <m:sub>
                  <m:r>
                    <w:rPr>
                      <w:rFonts w:ascii="Cambria Math" w:eastAsia="Calibri" w:hAnsi="Cambria Math" w:cs="Arial"/>
                      <w:szCs w:val="18"/>
                      <w:lang w:val="bg-BG"/>
                    </w:rPr>
                    <m:t>min</m:t>
                  </m:r>
                </m:sub>
              </m:sSub>
              <m:r>
                <w:rPr>
                  <w:rFonts w:ascii="Cambria Math" w:eastAsia="Calibri" w:hAnsi="Cambria Math" w:cs="Arial"/>
                  <w:szCs w:val="18"/>
                  <w:lang w:val="bg-BG"/>
                </w:rPr>
                <m:t xml:space="preserve"> </m:t>
              </m:r>
            </m:sub>
          </m:sSub>
          <m:r>
            <w:rPr>
              <w:rFonts w:ascii="Cambria Math" w:eastAsia="Calibri" w:hAnsi="Cambria Math" w:cs="Arial"/>
              <w:szCs w:val="18"/>
              <w:lang w:val="bg-BG"/>
            </w:rPr>
            <m:t xml:space="preserve">=  f ∙0,55 ∙ </m:t>
          </m:r>
          <m:rad>
            <m:radPr>
              <m:degHide m:val="1"/>
              <m:ctrlPr>
                <w:rPr>
                  <w:rFonts w:ascii="Cambria Math" w:eastAsia="Calibri" w:hAnsi="Cambria Math" w:cs="Arial"/>
                  <w:i/>
                  <w:szCs w:val="18"/>
                  <w:lang w:val="bg-BG"/>
                </w:rPr>
              </m:ctrlPr>
            </m:radPr>
            <m:deg/>
            <m:e>
              <m:sSub>
                <m:sSubPr>
                  <m:ctrlPr>
                    <w:rPr>
                      <w:rFonts w:ascii="Cambria Math" w:eastAsia="Calibri" w:hAnsi="Cambria Math" w:cs="Arial"/>
                      <w:i/>
                      <w:szCs w:val="18"/>
                      <w:lang w:val="bg-BG"/>
                    </w:rPr>
                  </m:ctrlPr>
                </m:sSubPr>
                <m:e>
                  <m:r>
                    <w:rPr>
                      <w:rFonts w:ascii="Cambria Math" w:eastAsia="Calibri" w:hAnsi="Cambria Math" w:cs="Arial"/>
                      <w:szCs w:val="18"/>
                      <w:lang w:val="bg-BG"/>
                    </w:rPr>
                    <m:t>L</m:t>
                  </m:r>
                </m:e>
                <m:sub>
                  <m:r>
                    <w:rPr>
                      <w:rFonts w:ascii="Cambria Math" w:eastAsia="Calibri" w:hAnsi="Cambria Math" w:cs="Arial"/>
                      <w:szCs w:val="18"/>
                      <w:lang w:val="bg-BG"/>
                    </w:rPr>
                    <m:t>F</m:t>
                  </m:r>
                </m:sub>
              </m:sSub>
            </m:e>
          </m:rad>
          <m:r>
            <w:rPr>
              <w:rFonts w:ascii="Cambria Math" w:eastAsia="Calibri" w:hAnsi="Cambria Math" w:cs="Arial"/>
              <w:szCs w:val="18"/>
              <w:lang w:val="bg-BG"/>
            </w:rPr>
            <m:t xml:space="preserve"> </m:t>
          </m:r>
          <m:d>
            <m:dPr>
              <m:begChr m:val="["/>
              <m:endChr m:val="]"/>
              <m:ctrlPr>
                <w:rPr>
                  <w:rFonts w:ascii="Cambria Math" w:eastAsia="Calibri" w:hAnsi="Cambria Math" w:cs="Arial"/>
                  <w:i/>
                  <w:szCs w:val="18"/>
                  <w:lang w:val="bg-BG"/>
                </w:rPr>
              </m:ctrlPr>
            </m:dPr>
            <m:e>
              <m:r>
                <w:rPr>
                  <w:rFonts w:ascii="Cambria Math" w:eastAsia="Calibri" w:hAnsi="Cambria Math" w:cs="Arial"/>
                  <w:szCs w:val="18"/>
                  <w:lang w:val="bg-BG"/>
                </w:rPr>
                <m:t>mm</m:t>
              </m:r>
            </m:e>
          </m:d>
          <m:r>
            <w:rPr>
              <w:rFonts w:ascii="Cambria Math" w:eastAsia="Calibri" w:hAnsi="Cambria Math" w:cs="Arial"/>
              <w:szCs w:val="18"/>
              <w:lang w:val="bg-BG"/>
            </w:rPr>
            <m:t>.</m:t>
          </m:r>
        </m:oMath>
      </m:oMathPara>
    </w:p>
    <w:p w:rsidR="004C3399" w:rsidRPr="009072DA" w:rsidRDefault="004C3399" w:rsidP="00577ECC">
      <w:pPr>
        <w:pStyle w:val="ESletpar"/>
        <w:rPr>
          <w:rFonts w:eastAsia="Calibri"/>
          <w:lang w:val="bg-BG"/>
        </w:rPr>
      </w:pPr>
    </w:p>
    <w:p w:rsidR="00973DAA" w:rsidRPr="009072DA" w:rsidRDefault="004C3399" w:rsidP="00577ECC">
      <w:pPr>
        <w:pStyle w:val="ESletpar"/>
        <w:rPr>
          <w:rFonts w:eastAsia="Calibri"/>
          <w:lang w:val="bg-BG"/>
        </w:rPr>
      </w:pPr>
      <w:r w:rsidRPr="009072DA">
        <w:rPr>
          <w:lang w:val="bg-BG"/>
        </w:rPr>
        <w:br w:type="page"/>
      </w:r>
      <w:r w:rsidRPr="009072DA">
        <w:rPr>
          <w:lang w:val="bg-BG"/>
        </w:rPr>
        <w:lastRenderedPageBreak/>
        <w:t>В тези формули:</w:t>
      </w:r>
    </w:p>
    <w:p w:rsidR="00057037" w:rsidRPr="009072DA" w:rsidRDefault="00057037" w:rsidP="00577ECC">
      <w:pPr>
        <w:pStyle w:val="ESletpar"/>
        <w:rPr>
          <w:rFonts w:eastAsia="Calibri" w:cs="Arial"/>
          <w:szCs w:val="18"/>
          <w:lang w:val="bg-BG"/>
        </w:rPr>
      </w:pPr>
      <m:oMathPara>
        <m:oMathParaPr>
          <m:jc m:val="left"/>
        </m:oMathParaPr>
        <m:oMath>
          <m:r>
            <w:rPr>
              <w:rFonts w:ascii="Cambria Math" w:eastAsia="Calibri" w:hAnsi="Cambria Math" w:cs="Arial"/>
              <w:szCs w:val="18"/>
              <w:lang w:val="bg-BG"/>
            </w:rPr>
            <m:t>f=1+0,0013 ∙</m:t>
          </m:r>
          <m:d>
            <m:dPr>
              <m:ctrlPr>
                <w:rPr>
                  <w:rFonts w:ascii="Cambria Math" w:eastAsia="Calibri" w:hAnsi="Cambria Math" w:cs="Arial"/>
                  <w:i/>
                  <w:szCs w:val="18"/>
                  <w:lang w:val="bg-BG"/>
                </w:rPr>
              </m:ctrlPr>
            </m:dPr>
            <m:e>
              <m:r>
                <w:rPr>
                  <w:rFonts w:ascii="Cambria Math" w:eastAsia="Calibri" w:hAnsi="Cambria Math" w:cs="Arial"/>
                  <w:szCs w:val="18"/>
                  <w:lang w:val="bg-BG"/>
                </w:rPr>
                <m:t>a-500</m:t>
              </m:r>
            </m:e>
          </m:d>
          <m:r>
            <w:rPr>
              <w:rFonts w:ascii="Cambria Math" w:eastAsia="Calibri" w:hAnsi="Cambria Math" w:cs="Arial"/>
              <w:szCs w:val="18"/>
              <w:lang w:val="bg-BG"/>
            </w:rPr>
            <m:t>;</m:t>
          </m:r>
        </m:oMath>
      </m:oMathPara>
    </w:p>
    <w:p w:rsidR="00973DAA" w:rsidRPr="009072DA" w:rsidRDefault="00057037" w:rsidP="00577ECC">
      <w:pPr>
        <w:pStyle w:val="EStiret"/>
        <w:rPr>
          <w:rFonts w:eastAsia="Calibri"/>
          <w:noProof w:val="0"/>
          <w:lang w:val="bg-BG"/>
        </w:rPr>
      </w:pPr>
      <m:oMath>
        <m:r>
          <w:rPr>
            <w:rFonts w:ascii="Cambria Math" w:eastAsia="Calibri" w:hAnsi="Cambria Math"/>
            <w:noProof w:val="0"/>
            <w:lang w:val="bg-BG"/>
          </w:rPr>
          <m:t>a</m:t>
        </m:r>
      </m:oMath>
      <w:r w:rsidRPr="009072DA">
        <w:rPr>
          <w:noProof w:val="0"/>
          <w:lang w:val="bg-BG"/>
        </w:rPr>
        <w:t xml:space="preserve"> = надлъжното или напречното разстояние (mm), а когато разстоянието е по-малко от 400 mm, </w:t>
      </w:r>
      <m:oMath>
        <m:r>
          <w:rPr>
            <w:rFonts w:ascii="Cambria Math" w:eastAsia="Calibri" w:hAnsi="Cambria Math"/>
            <w:noProof w:val="0"/>
            <w:lang w:val="bg-BG"/>
          </w:rPr>
          <m:t>a=400 mm</m:t>
        </m:r>
      </m:oMath>
      <w:r w:rsidRPr="009072DA">
        <w:rPr>
          <w:noProof w:val="0"/>
          <w:lang w:val="bg-BG"/>
        </w:rPr>
        <w:t xml:space="preserve"> следва да се въведе;</w:t>
      </w:r>
    </w:p>
    <w:p w:rsidR="00973DAA" w:rsidRPr="009072DA" w:rsidRDefault="005C7859" w:rsidP="00577ECC">
      <w:pPr>
        <w:pStyle w:val="ESlet"/>
        <w:rPr>
          <w:rFonts w:eastAsia="Calibri" w:cs="Arial"/>
          <w:szCs w:val="18"/>
          <w:lang w:val="bg-BG"/>
        </w:rPr>
      </w:pPr>
      <w:r w:rsidRPr="009072DA">
        <w:rPr>
          <w:lang w:val="bg-BG"/>
        </w:rPr>
        <w:t>б)</w:t>
      </w:r>
      <w:r w:rsidRPr="009072DA">
        <w:rPr>
          <w:lang w:val="bg-BG"/>
        </w:rPr>
        <w:tab/>
        <w:t>допустимата минимална стойност за дебелината на обшивката, определена съгласно буква а) по-горе, може да не бъде достигната в случаите, когато допустимата стойност е установена и удостоверена на база математически доказателства за достатъчната якост (надлъжна, напречна или местна) на корпуса на плавателния съд;</w:t>
      </w:r>
    </w:p>
    <w:p w:rsidR="00973DAA" w:rsidRPr="009072DA" w:rsidRDefault="005C7859" w:rsidP="00577ECC">
      <w:pPr>
        <w:pStyle w:val="ESlet"/>
        <w:rPr>
          <w:rFonts w:eastAsia="Calibri" w:cs="Arial"/>
          <w:szCs w:val="18"/>
          <w:lang w:val="bg-BG"/>
        </w:rPr>
      </w:pPr>
      <w:r w:rsidRPr="009072DA">
        <w:rPr>
          <w:lang w:val="bg-BG"/>
        </w:rPr>
        <w:t>в)</w:t>
      </w:r>
      <w:r w:rsidRPr="009072DA">
        <w:rPr>
          <w:lang w:val="bg-BG"/>
        </w:rPr>
        <w:tab/>
        <w:t>в никоя точка от външната обшивка дебелината, изчислена съгласно буква а) или б) по-горе, не може да бъде по-малка от 3 mm;</w:t>
      </w:r>
    </w:p>
    <w:p w:rsidR="00973DAA" w:rsidRPr="009072DA" w:rsidRDefault="005C7859" w:rsidP="00577ECC">
      <w:pPr>
        <w:pStyle w:val="ESlet"/>
        <w:rPr>
          <w:rFonts w:eastAsia="Calibri" w:cs="Arial"/>
          <w:szCs w:val="18"/>
          <w:lang w:val="bg-BG"/>
        </w:rPr>
      </w:pPr>
      <w:r w:rsidRPr="009072DA">
        <w:rPr>
          <w:lang w:val="bg-BG"/>
        </w:rPr>
        <w:t>г)</w:t>
      </w:r>
      <w:r w:rsidRPr="009072DA">
        <w:rPr>
          <w:lang w:val="bg-BG"/>
        </w:rPr>
        <w:tab/>
        <w:t>пластините се обновяват, когато дебелината на обшивката на дъното, скула и страните спадне под минималната стойност, определена съгласно буква а) или б), във връзка с буква в) по-горе.</w:t>
      </w:r>
    </w:p>
    <w:p w:rsidR="00577ECC" w:rsidRPr="009072DA" w:rsidRDefault="00577ECC"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2.</w:t>
      </w:r>
      <w:r w:rsidRPr="009072DA">
        <w:rPr>
          <w:lang w:val="bg-BG"/>
        </w:rPr>
        <w:tab/>
        <w:t>Броят и разположението на преградите се избира така, че в случай на наводняване плавателният съд да се задържи на повърхността съгласно член 19.03, точки 7 — 13. Всяка част от вътрешната конструкция, която има отражение върху ефикасността на разделянето на плавателния съд на отсеци, е водонепроницаема и е проектирана така, че да запазва целостта на отсека.</w:t>
      </w:r>
    </w:p>
    <w:p w:rsidR="00577ECC" w:rsidRPr="009072DA" w:rsidRDefault="00577ECC" w:rsidP="00973DAA">
      <w:pPr>
        <w:pStyle w:val="ESch"/>
        <w:rPr>
          <w:rFonts w:eastAsia="Calibri" w:cs="Arial"/>
          <w:szCs w:val="18"/>
          <w:lang w:val="bg-BG"/>
        </w:rPr>
      </w:pPr>
    </w:p>
    <w:p w:rsidR="00973DAA" w:rsidRPr="009072DA" w:rsidRDefault="00973DAA" w:rsidP="00973DAA">
      <w:pPr>
        <w:pStyle w:val="ESch"/>
        <w:rPr>
          <w:rFonts w:eastAsia="Calibri" w:cs="Arial"/>
          <w:szCs w:val="18"/>
          <w:lang w:val="bg-BG"/>
        </w:rPr>
      </w:pPr>
      <w:r w:rsidRPr="009072DA">
        <w:rPr>
          <w:lang w:val="bg-BG"/>
        </w:rPr>
        <w:t>3.</w:t>
      </w:r>
      <w:r w:rsidRPr="009072DA">
        <w:rPr>
          <w:lang w:val="bg-BG"/>
        </w:rPr>
        <w:tab/>
        <w:t xml:space="preserve">За определяне на разположението на първата носова непроницаема преграда и ахтерпиковата преграда се прилагат разпоредбите на член 3.03, точка 1, но еталонната стойност, която следва да се използва вместо дължината, е дължината на водолинията </w:t>
      </w:r>
      <m:oMath>
        <m:sSub>
          <m:sSubPr>
            <m:ctrlPr>
              <w:rPr>
                <w:rFonts w:ascii="Cambria Math" w:eastAsia="Calibri" w:hAnsi="Cambria Math"/>
                <w:i/>
                <w:lang w:val="bg-BG"/>
              </w:rPr>
            </m:ctrlPr>
          </m:sSubPr>
          <m:e>
            <m:r>
              <w:rPr>
                <w:rFonts w:ascii="Cambria Math" w:eastAsia="Calibri" w:hAnsi="Cambria Math"/>
                <w:lang w:val="bg-BG"/>
              </w:rPr>
              <m:t>L</m:t>
            </m:r>
          </m:e>
          <m:sub>
            <m:r>
              <w:rPr>
                <w:rFonts w:ascii="Cambria Math" w:eastAsia="Calibri" w:hAnsi="Cambria Math"/>
                <w:lang w:val="bg-BG"/>
              </w:rPr>
              <m:t>WL</m:t>
            </m:r>
          </m:sub>
        </m:sSub>
      </m:oMath>
      <w:r w:rsidRPr="009072DA">
        <w:rPr>
          <w:lang w:val="bg-BG"/>
        </w:rPr>
        <w:t>.</w:t>
      </w:r>
    </w:p>
    <w:p w:rsidR="00577ECC" w:rsidRPr="009072DA" w:rsidRDefault="00577ECC"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4.</w:t>
      </w:r>
      <w:r w:rsidRPr="009072DA">
        <w:rPr>
          <w:lang w:val="bg-BG"/>
        </w:rPr>
        <w:tab/>
        <w:t>Напречната преграда може да бъде оборудвана с ниша, ако всички части на тази ниша се намират в безопасната зона.</w:t>
      </w:r>
    </w:p>
    <w:p w:rsidR="00577ECC" w:rsidRPr="009072DA" w:rsidRDefault="00577ECC"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5.</w:t>
      </w:r>
      <w:r w:rsidRPr="009072DA">
        <w:rPr>
          <w:lang w:val="bg-BG"/>
        </w:rPr>
        <w:tab/>
        <w:t>Преградите, които се вземат предвид при изчисляването на устойчивостта в повредено състояние съгласно член 19.03, точки 7 — 13, са водонепроницаеми и стигат до палубата на преградите. Когато няма палуба на преградите, тези прегради достигат до височина поне 0,20 m над пределната линия.</w:t>
      </w:r>
    </w:p>
    <w:p w:rsidR="00577ECC" w:rsidRPr="009072DA" w:rsidRDefault="00577ECC"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6.</w:t>
      </w:r>
      <w:r w:rsidRPr="009072DA">
        <w:rPr>
          <w:lang w:val="bg-BG"/>
        </w:rPr>
        <w:tab/>
        <w:t>Броят на отворите в тези прегради трябва да е възможно най-малък с оглед на конструкцията и нормалната експлоатация на плавателния съд. Отворите и каналите не трябва да имат отрицателно въздействие върху водонепроницаемата функция на преградите.</w:t>
      </w:r>
    </w:p>
    <w:p w:rsidR="00577ECC" w:rsidRPr="009072DA" w:rsidRDefault="00577ECC"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lastRenderedPageBreak/>
        <w:t>7.</w:t>
      </w:r>
      <w:r w:rsidRPr="009072DA">
        <w:rPr>
          <w:lang w:val="bg-BG"/>
        </w:rPr>
        <w:tab/>
        <w:t>Първите носови непроницаеми прегради не трябва да имат отвори и врати.</w:t>
      </w:r>
    </w:p>
    <w:p w:rsidR="00577ECC" w:rsidRPr="009072DA" w:rsidRDefault="00577ECC"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8.</w:t>
      </w:r>
      <w:r w:rsidRPr="009072DA">
        <w:rPr>
          <w:lang w:val="bg-BG"/>
        </w:rPr>
        <w:tab/>
        <w:t>В преградите, отделящи машинните отделения от помещенията за пътниците или екипажа и обслужващия персонал, не трябва да има врати.</w:t>
      </w:r>
    </w:p>
    <w:p w:rsidR="00577ECC" w:rsidRPr="009072DA" w:rsidRDefault="00577ECC"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9.</w:t>
      </w:r>
      <w:r w:rsidRPr="009072DA">
        <w:rPr>
          <w:lang w:val="bg-BG"/>
        </w:rPr>
        <w:tab/>
        <w:t>Ръчно задвижвани врати без дистанционно управление в преградите, посочени в точка 5, се допускат само в пространства, до които пътниците нямат достъп. Те:</w:t>
      </w:r>
    </w:p>
    <w:p w:rsidR="00973DAA" w:rsidRPr="009072DA" w:rsidRDefault="005C7859" w:rsidP="00577ECC">
      <w:pPr>
        <w:pStyle w:val="ESlet"/>
        <w:rPr>
          <w:rFonts w:eastAsia="Calibri" w:cs="Arial"/>
          <w:szCs w:val="18"/>
          <w:lang w:val="bg-BG"/>
        </w:rPr>
      </w:pPr>
      <w:r w:rsidRPr="009072DA">
        <w:rPr>
          <w:lang w:val="bg-BG"/>
        </w:rPr>
        <w:t>a)</w:t>
      </w:r>
      <w:r w:rsidRPr="009072DA">
        <w:rPr>
          <w:lang w:val="bg-BG"/>
        </w:rPr>
        <w:tab/>
        <w:t>трябва да остават постоянно затворени и се отварят само временно с цел достъп;</w:t>
      </w:r>
    </w:p>
    <w:p w:rsidR="00973DAA" w:rsidRPr="009072DA" w:rsidRDefault="005C7859" w:rsidP="00577ECC">
      <w:pPr>
        <w:pStyle w:val="ESlet"/>
        <w:rPr>
          <w:rFonts w:eastAsia="Calibri" w:cs="Arial"/>
          <w:szCs w:val="18"/>
          <w:lang w:val="bg-BG"/>
        </w:rPr>
      </w:pPr>
      <w:r w:rsidRPr="009072DA">
        <w:rPr>
          <w:lang w:val="bg-BG"/>
        </w:rPr>
        <w:t>б)</w:t>
      </w:r>
      <w:r w:rsidRPr="009072DA">
        <w:rPr>
          <w:lang w:val="bg-BG"/>
        </w:rPr>
        <w:tab/>
        <w:t>трябва да бъдат оборудвани с подходящи устройства, позволяващи те да бъдат затваряни бързо и безопасно;</w:t>
      </w:r>
    </w:p>
    <w:p w:rsidR="00973DAA" w:rsidRPr="009072DA" w:rsidRDefault="005C7859" w:rsidP="00577ECC">
      <w:pPr>
        <w:pStyle w:val="ESlet"/>
        <w:rPr>
          <w:rFonts w:eastAsia="Calibri" w:cs="Arial"/>
          <w:szCs w:val="18"/>
          <w:lang w:val="bg-BG"/>
        </w:rPr>
      </w:pPr>
      <w:r w:rsidRPr="009072DA">
        <w:rPr>
          <w:lang w:val="bg-BG"/>
        </w:rPr>
        <w:t>в)</w:t>
      </w:r>
      <w:r w:rsidRPr="009072DA">
        <w:rPr>
          <w:lang w:val="bg-BG"/>
        </w:rPr>
        <w:tab/>
        <w:t>трябва да показват следното уведомление от двете страни на вратите:</w:t>
      </w:r>
    </w:p>
    <w:p w:rsidR="00973DAA" w:rsidRPr="009072DA" w:rsidRDefault="00973DAA" w:rsidP="00577ECC">
      <w:pPr>
        <w:pStyle w:val="ESlet"/>
        <w:jc w:val="center"/>
        <w:rPr>
          <w:rFonts w:eastAsia="Calibri" w:cs="Arial"/>
          <w:szCs w:val="18"/>
          <w:lang w:val="bg-BG"/>
        </w:rPr>
      </w:pPr>
      <w:r w:rsidRPr="009072DA">
        <w:rPr>
          <w:lang w:val="bg-BG"/>
        </w:rPr>
        <w:t>„Вратата да се затваря веднага след преминаване“.</w:t>
      </w:r>
    </w:p>
    <w:p w:rsidR="00577ECC" w:rsidRPr="009072DA" w:rsidRDefault="00577ECC"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10.</w:t>
      </w:r>
      <w:r w:rsidRPr="009072DA">
        <w:rPr>
          <w:lang w:val="bg-BG"/>
        </w:rPr>
        <w:tab/>
        <w:t>Вратите в преградите, посочени в точка 5, които остават отворени продължително време, трябва да отговарят на следните изисквания:</w:t>
      </w:r>
    </w:p>
    <w:p w:rsidR="00973DAA" w:rsidRPr="009072DA" w:rsidRDefault="005C7859" w:rsidP="00577ECC">
      <w:pPr>
        <w:pStyle w:val="ESlet"/>
        <w:rPr>
          <w:rFonts w:eastAsia="Calibri" w:cs="Arial"/>
          <w:szCs w:val="18"/>
          <w:lang w:val="bg-BG"/>
        </w:rPr>
      </w:pPr>
      <w:r w:rsidRPr="009072DA">
        <w:rPr>
          <w:lang w:val="bg-BG"/>
        </w:rPr>
        <w:t>a)</w:t>
      </w:r>
      <w:r w:rsidRPr="009072DA">
        <w:rPr>
          <w:lang w:val="bg-BG"/>
        </w:rPr>
        <w:tab/>
        <w:t>те трябва да могат да се затварят и от двете страни на преградата, както и от леснодостъпна точка над палубата на преградите;</w:t>
      </w:r>
    </w:p>
    <w:p w:rsidR="00973DAA" w:rsidRPr="009072DA" w:rsidRDefault="004C3399" w:rsidP="00577ECC">
      <w:pPr>
        <w:pStyle w:val="ESlet"/>
        <w:rPr>
          <w:rFonts w:eastAsia="Calibri" w:cs="Arial"/>
          <w:szCs w:val="18"/>
          <w:lang w:val="bg-BG"/>
        </w:rPr>
      </w:pPr>
      <w:r w:rsidRPr="009072DA">
        <w:rPr>
          <w:lang w:val="bg-BG"/>
        </w:rPr>
        <w:br w:type="page"/>
      </w:r>
      <w:r w:rsidRPr="009072DA">
        <w:rPr>
          <w:lang w:val="bg-BG"/>
        </w:rPr>
        <w:lastRenderedPageBreak/>
        <w:t>б)</w:t>
      </w:r>
      <w:r w:rsidRPr="009072DA">
        <w:rPr>
          <w:lang w:val="bg-BG"/>
        </w:rPr>
        <w:tab/>
        <w:t>след затваряне с дистанционно управление, вратата трябва да може отново да се отвори на място и да се затвори безопасно. Затварянето не трябва да се затруднява от килими, парапети на ниво на ходилата или други пречки;</w:t>
      </w:r>
    </w:p>
    <w:p w:rsidR="00973DAA" w:rsidRPr="009072DA" w:rsidRDefault="005C7859" w:rsidP="00577ECC">
      <w:pPr>
        <w:pStyle w:val="ESlet"/>
        <w:rPr>
          <w:rFonts w:eastAsia="Calibri" w:cs="Arial"/>
          <w:szCs w:val="18"/>
          <w:lang w:val="bg-BG"/>
        </w:rPr>
      </w:pPr>
      <w:r w:rsidRPr="009072DA">
        <w:rPr>
          <w:lang w:val="bg-BG"/>
        </w:rPr>
        <w:t>в)</w:t>
      </w:r>
      <w:r w:rsidRPr="009072DA">
        <w:rPr>
          <w:lang w:val="bg-BG"/>
        </w:rPr>
        <w:tab/>
        <w:t>времето, което отнема процесът на дистанционно затваряне, трябва да е не по-малко от 30 секунди, но не повече от 60 секунди;</w:t>
      </w:r>
    </w:p>
    <w:p w:rsidR="00973DAA" w:rsidRPr="009072DA" w:rsidRDefault="005C7859" w:rsidP="00577ECC">
      <w:pPr>
        <w:pStyle w:val="ESlet"/>
        <w:rPr>
          <w:rFonts w:eastAsia="Calibri" w:cs="Arial"/>
          <w:szCs w:val="18"/>
          <w:lang w:val="bg-BG"/>
        </w:rPr>
      </w:pPr>
      <w:r w:rsidRPr="009072DA">
        <w:rPr>
          <w:lang w:val="bg-BG"/>
        </w:rPr>
        <w:t>г)</w:t>
      </w:r>
      <w:r w:rsidRPr="009072DA">
        <w:rPr>
          <w:lang w:val="bg-BG"/>
        </w:rPr>
        <w:tab/>
        <w:t>в процеса на затваряне край вратата трябва да се чува звуков предупредителен сигнал;</w:t>
      </w:r>
    </w:p>
    <w:p w:rsidR="00973DAA" w:rsidRPr="009072DA" w:rsidRDefault="0029453D" w:rsidP="00577ECC">
      <w:pPr>
        <w:pStyle w:val="ESlet"/>
        <w:rPr>
          <w:rFonts w:eastAsia="Calibri" w:cs="Arial"/>
          <w:szCs w:val="18"/>
          <w:lang w:val="bg-BG"/>
        </w:rPr>
      </w:pPr>
      <w:r w:rsidRPr="009072DA">
        <w:rPr>
          <w:lang w:val="bg-BG"/>
        </w:rPr>
        <w:t>д)</w:t>
      </w:r>
      <w:r w:rsidRPr="009072DA">
        <w:rPr>
          <w:lang w:val="bg-BG"/>
        </w:rPr>
        <w:tab/>
        <w:t>задвижването на вратата и предупредителният сигнал трябва да могат също да се задвижват независимо от бордовото електрозахранване. На мястото за дистанционно управление трябва да има устройство, което да показва дали вратата е отворена или затворена.</w:t>
      </w:r>
    </w:p>
    <w:p w:rsidR="00577ECC" w:rsidRPr="009072DA" w:rsidRDefault="00577ECC"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11.</w:t>
      </w:r>
      <w:r w:rsidRPr="009072DA">
        <w:rPr>
          <w:lang w:val="bg-BG"/>
        </w:rPr>
        <w:tab/>
        <w:t>Вратите в преградите, посочени в точка 5, и задвижващите ги механизми трябва да се намират в безопасната зона.</w:t>
      </w:r>
    </w:p>
    <w:p w:rsidR="00577ECC" w:rsidRPr="009072DA" w:rsidRDefault="00577ECC"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 xml:space="preserve">12. </w:t>
      </w:r>
      <w:r w:rsidRPr="009072DA">
        <w:rPr>
          <w:lang w:val="bg-BG"/>
        </w:rPr>
        <w:tab/>
        <w:t>Трябва да има предупредителна система в рулевата рубка, която показва кои от вратите в преградите, посочени в точка 5, са отворени.</w:t>
      </w:r>
    </w:p>
    <w:p w:rsidR="00577ECC" w:rsidRPr="009072DA" w:rsidRDefault="00577ECC"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 xml:space="preserve">13. </w:t>
      </w:r>
      <w:r w:rsidRPr="009072DA">
        <w:rPr>
          <w:lang w:val="bg-BG"/>
        </w:rPr>
        <w:tab/>
        <w:t>Тръбите с отворени краища и въздуховодите на вентилацията се огъват по такъв начин, че при всяко възможно наводняване чрез тях да не бъдат наводнени допълнителни пространства или резервоари.</w:t>
      </w:r>
    </w:p>
    <w:p w:rsidR="00973DAA" w:rsidRPr="009072DA" w:rsidRDefault="005C7859" w:rsidP="00577ECC">
      <w:pPr>
        <w:pStyle w:val="ESlet"/>
        <w:rPr>
          <w:rFonts w:eastAsia="Calibri" w:cs="Arial"/>
          <w:szCs w:val="18"/>
          <w:lang w:val="bg-BG"/>
        </w:rPr>
      </w:pPr>
      <w:r w:rsidRPr="009072DA">
        <w:rPr>
          <w:lang w:val="bg-BG"/>
        </w:rPr>
        <w:t>a)</w:t>
      </w:r>
      <w:r w:rsidRPr="009072DA">
        <w:rPr>
          <w:lang w:val="bg-BG"/>
        </w:rPr>
        <w:tab/>
        <w:t>Ако няколко отсека са междинно свързани с тръби или въздуховоди на вентилацията тези тръби или въздуховоди на съответното място се извеждат над водолинията, съответстваща на най-голямото възможно наводняване.</w:t>
      </w:r>
    </w:p>
    <w:p w:rsidR="00973DAA" w:rsidRPr="009072DA" w:rsidRDefault="005C7859" w:rsidP="00577ECC">
      <w:pPr>
        <w:pStyle w:val="ESlet"/>
        <w:rPr>
          <w:rFonts w:eastAsia="Calibri"/>
          <w:lang w:val="bg-BG"/>
        </w:rPr>
      </w:pPr>
      <w:r w:rsidRPr="009072DA">
        <w:rPr>
          <w:lang w:val="bg-BG"/>
        </w:rPr>
        <w:t>б)</w:t>
      </w:r>
      <w:r w:rsidRPr="009072DA">
        <w:rPr>
          <w:lang w:val="bg-BG"/>
        </w:rPr>
        <w:tab/>
        <w:t>Не е задължително тръбите да отговарят на изискването от буква а), ако на тях са монтирани спирателни устройства в местата, където преминават през преградите и които могат да бъдат управлявани дистанционно от точка над палубата на преградите.</w:t>
      </w:r>
    </w:p>
    <w:p w:rsidR="00973DAA" w:rsidRPr="009072DA" w:rsidRDefault="005C7859" w:rsidP="00577ECC">
      <w:pPr>
        <w:pStyle w:val="ESlet"/>
        <w:rPr>
          <w:rFonts w:eastAsia="Calibri"/>
          <w:lang w:val="bg-BG"/>
        </w:rPr>
      </w:pPr>
      <w:r w:rsidRPr="009072DA">
        <w:rPr>
          <w:lang w:val="bg-BG"/>
        </w:rPr>
        <w:t>в)</w:t>
      </w:r>
      <w:r w:rsidRPr="009072DA">
        <w:rPr>
          <w:lang w:val="bg-BG"/>
        </w:rPr>
        <w:tab/>
        <w:t>Когато тръбопровод няма отворен изход към отсек, тръбите се разглеждат като незасегнати, в случай че този отсек бъде засегнат, ако преминава през безопасната зона и е повече от 0,50 cm над дъното на плавателния съд.</w:t>
      </w:r>
    </w:p>
    <w:p w:rsidR="00973DAA" w:rsidRPr="009072DA" w:rsidRDefault="00973DAA"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14.</w:t>
      </w:r>
      <w:r w:rsidRPr="009072DA">
        <w:rPr>
          <w:lang w:val="bg-BG"/>
        </w:rPr>
        <w:tab/>
        <w:t>Лостовете за дистанционно управление на вратите в преградите съгласно точка 10 и спирателните устройства съгласно точка 13, буква б) по-горе над палубата на преградите, се означават като такива.</w:t>
      </w:r>
    </w:p>
    <w:p w:rsidR="00973DAA" w:rsidRPr="009072DA" w:rsidRDefault="00973DAA"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15.</w:t>
      </w:r>
      <w:r w:rsidRPr="009072DA">
        <w:rPr>
          <w:lang w:val="bg-BG"/>
        </w:rPr>
        <w:tab/>
        <w:t>Когато се използват двойни дъна, височината им е не по-малка от 0,60 m, а когато се използват кухи камери, широчината им е не по-малка от 0,60 m.</w:t>
      </w:r>
    </w:p>
    <w:p w:rsidR="00973DAA" w:rsidRPr="009072DA" w:rsidRDefault="00973DAA"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lastRenderedPageBreak/>
        <w:t>16.</w:t>
      </w:r>
      <w:r w:rsidRPr="009072DA">
        <w:rPr>
          <w:lang w:val="bg-BG"/>
        </w:rPr>
        <w:tab/>
        <w:t>Прозорци могат да се разполагат под пределната линия, ако са водонепроницаеми, не се отварят, достатъчно здрави са и отговарят на член 19.06, точка 14.</w:t>
      </w:r>
    </w:p>
    <w:p w:rsidR="00973DAA" w:rsidRPr="009072DA" w:rsidRDefault="00973DAA" w:rsidP="00973DAA">
      <w:pPr>
        <w:pStyle w:val="ESch"/>
        <w:rPr>
          <w:rFonts w:eastAsia="Calibri" w:cs="Arial"/>
          <w:szCs w:val="18"/>
          <w:lang w:val="bg-BG"/>
        </w:rPr>
      </w:pPr>
    </w:p>
    <w:p w:rsidR="00577ECC" w:rsidRPr="009072DA" w:rsidRDefault="00577ECC" w:rsidP="00973DAA">
      <w:pPr>
        <w:pStyle w:val="ESch"/>
        <w:rPr>
          <w:rFonts w:eastAsia="Calibri" w:cs="Arial"/>
          <w:szCs w:val="18"/>
          <w:lang w:val="bg-BG"/>
        </w:rPr>
      </w:pPr>
    </w:p>
    <w:p w:rsidR="00973DAA" w:rsidRPr="009072DA" w:rsidRDefault="00973DAA" w:rsidP="00973DAA">
      <w:pPr>
        <w:pStyle w:val="ES-Titre3"/>
        <w:rPr>
          <w:rFonts w:cs="Arial"/>
          <w:lang w:val="bg-BG"/>
        </w:rPr>
      </w:pPr>
      <w:bookmarkStart w:id="349" w:name="_Toc491854172"/>
      <w:bookmarkStart w:id="350" w:name="_Toc535827613"/>
      <w:r w:rsidRPr="009072DA">
        <w:rPr>
          <w:lang w:val="bg-BG"/>
        </w:rPr>
        <w:t>Член 19.03</w:t>
      </w:r>
      <w:r w:rsidRPr="009072DA">
        <w:rPr>
          <w:lang w:val="bg-BG"/>
        </w:rPr>
        <w:br/>
      </w:r>
      <w:r w:rsidRPr="009072DA">
        <w:rPr>
          <w:i/>
          <w:lang w:val="bg-BG"/>
        </w:rPr>
        <w:t>Устойчивост</w:t>
      </w:r>
      <w:bookmarkEnd w:id="349"/>
      <w:bookmarkEnd w:id="350"/>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w:t>
      </w:r>
      <w:r w:rsidRPr="009072DA">
        <w:rPr>
          <w:lang w:val="bg-BG"/>
        </w:rPr>
        <w:tab/>
        <w:t>Заявителят доказва чрез изчисление въз основа на резултатите от прилагането на стандарт за устойчивост на неповреден плавателен съд, че устойчивостта в неповредено състояние на плавателен съд е подходяща. Всички изчисления трябва да се правят до максималния диферент и газене. Данните от плаващ фар, взети предвид при изчисленията за устойчивостта, се определят чрез изпитване за накреняване.</w:t>
      </w:r>
    </w:p>
    <w:p w:rsidR="00577ECC" w:rsidRPr="009072DA" w:rsidRDefault="00577ECC" w:rsidP="00973DAA">
      <w:pPr>
        <w:pStyle w:val="ESch"/>
        <w:rPr>
          <w:rFonts w:eastAsia="Calibri"/>
          <w:lang w:val="bg-BG"/>
        </w:rPr>
      </w:pPr>
    </w:p>
    <w:p w:rsidR="004C3399" w:rsidRPr="009072DA" w:rsidRDefault="004C3399" w:rsidP="00973DAA">
      <w:pPr>
        <w:pStyle w:val="ESch"/>
        <w:rPr>
          <w:rFonts w:eastAsia="Calibri"/>
          <w:lang w:val="bg-BG"/>
        </w:rPr>
      </w:pPr>
      <w:r w:rsidRPr="009072DA">
        <w:rPr>
          <w:lang w:val="bg-BG"/>
        </w:rPr>
        <w:br w:type="page"/>
      </w:r>
    </w:p>
    <w:p w:rsidR="00973DAA" w:rsidRPr="009072DA" w:rsidRDefault="00973DAA" w:rsidP="00973DAA">
      <w:pPr>
        <w:pStyle w:val="ESch"/>
        <w:rPr>
          <w:rFonts w:eastAsia="Calibri"/>
          <w:lang w:val="bg-BG"/>
        </w:rPr>
      </w:pPr>
      <w:r w:rsidRPr="009072DA">
        <w:rPr>
          <w:lang w:val="bg-BG"/>
        </w:rPr>
        <w:lastRenderedPageBreak/>
        <w:t>2.</w:t>
      </w:r>
      <w:r w:rsidRPr="009072DA">
        <w:rPr>
          <w:lang w:val="bg-BG"/>
        </w:rPr>
        <w:tab/>
        <w:t>Устойчивостта в неповредено състояние на плавателен съд се доказва за следните стандартни условия на натоварване:</w:t>
      </w:r>
    </w:p>
    <w:p w:rsidR="00973DAA" w:rsidRPr="009072DA" w:rsidRDefault="005C7859" w:rsidP="00577ECC">
      <w:pPr>
        <w:pStyle w:val="ESlet"/>
        <w:rPr>
          <w:rFonts w:eastAsia="Calibri"/>
          <w:lang w:val="bg-BG"/>
        </w:rPr>
      </w:pPr>
      <w:r w:rsidRPr="009072DA">
        <w:rPr>
          <w:lang w:val="bg-BG"/>
        </w:rPr>
        <w:t>a)</w:t>
      </w:r>
      <w:r w:rsidRPr="009072DA">
        <w:rPr>
          <w:lang w:val="bg-BG"/>
        </w:rPr>
        <w:tab/>
        <w:t>в началото на пътуването:</w:t>
      </w:r>
    </w:p>
    <w:p w:rsidR="00973DAA" w:rsidRPr="009072DA" w:rsidRDefault="00973DAA" w:rsidP="00577ECC">
      <w:pPr>
        <w:pStyle w:val="ESletpar"/>
        <w:rPr>
          <w:rFonts w:eastAsia="Calibri"/>
          <w:lang w:val="bg-BG"/>
        </w:rPr>
      </w:pPr>
      <w:r w:rsidRPr="009072DA">
        <w:rPr>
          <w:lang w:val="bg-BG"/>
        </w:rPr>
        <w:t>100 % от пътниците, 98 % от горивото и питейната вода, 10 % от отпадъчната вода;</w:t>
      </w:r>
    </w:p>
    <w:p w:rsidR="00973DAA" w:rsidRPr="009072DA" w:rsidRDefault="005C7859" w:rsidP="00577ECC">
      <w:pPr>
        <w:pStyle w:val="ESlet"/>
        <w:rPr>
          <w:rFonts w:eastAsia="Calibri"/>
          <w:lang w:val="bg-BG"/>
        </w:rPr>
      </w:pPr>
      <w:r w:rsidRPr="009072DA">
        <w:rPr>
          <w:lang w:val="bg-BG"/>
        </w:rPr>
        <w:t>б)</w:t>
      </w:r>
      <w:r w:rsidRPr="009072DA">
        <w:rPr>
          <w:lang w:val="bg-BG"/>
        </w:rPr>
        <w:tab/>
        <w:t>по време на пътуването:</w:t>
      </w:r>
    </w:p>
    <w:p w:rsidR="00973DAA" w:rsidRPr="009072DA" w:rsidRDefault="00973DAA" w:rsidP="00577ECC">
      <w:pPr>
        <w:pStyle w:val="ESletpar"/>
        <w:rPr>
          <w:rFonts w:eastAsia="Calibri"/>
          <w:lang w:val="bg-BG"/>
        </w:rPr>
      </w:pPr>
      <w:r w:rsidRPr="009072DA">
        <w:rPr>
          <w:lang w:val="bg-BG"/>
        </w:rPr>
        <w:t>100 % от пътниците, 50 % от горивото и питейната вода, 50 % от отпадъчната вода;</w:t>
      </w:r>
    </w:p>
    <w:p w:rsidR="00973DAA" w:rsidRPr="009072DA" w:rsidRDefault="005C7859" w:rsidP="00577ECC">
      <w:pPr>
        <w:pStyle w:val="ESlet"/>
        <w:rPr>
          <w:rFonts w:eastAsia="Calibri"/>
          <w:lang w:val="bg-BG"/>
        </w:rPr>
      </w:pPr>
      <w:r w:rsidRPr="009072DA">
        <w:rPr>
          <w:lang w:val="bg-BG"/>
        </w:rPr>
        <w:t>в)</w:t>
      </w:r>
      <w:r w:rsidRPr="009072DA">
        <w:rPr>
          <w:lang w:val="bg-BG"/>
        </w:rPr>
        <w:tab/>
        <w:t>в края на пътуването:</w:t>
      </w:r>
    </w:p>
    <w:p w:rsidR="00973DAA" w:rsidRPr="009072DA" w:rsidRDefault="00973DAA" w:rsidP="00577ECC">
      <w:pPr>
        <w:pStyle w:val="ESletpar"/>
        <w:rPr>
          <w:rFonts w:eastAsia="Calibri"/>
          <w:lang w:val="bg-BG"/>
        </w:rPr>
      </w:pPr>
      <w:r w:rsidRPr="009072DA">
        <w:rPr>
          <w:lang w:val="bg-BG"/>
        </w:rPr>
        <w:t>100 % от пътниците, 10 % от горивото и питейната вода, 98 % от отпадъчната вода;</w:t>
      </w:r>
    </w:p>
    <w:p w:rsidR="00973DAA" w:rsidRPr="009072DA" w:rsidRDefault="005C7859" w:rsidP="00577ECC">
      <w:pPr>
        <w:pStyle w:val="ESlet"/>
        <w:rPr>
          <w:rFonts w:eastAsia="Calibri"/>
          <w:lang w:val="bg-BG"/>
        </w:rPr>
      </w:pPr>
      <w:r w:rsidRPr="009072DA">
        <w:rPr>
          <w:lang w:val="bg-BG"/>
        </w:rPr>
        <w:t>г)</w:t>
      </w:r>
      <w:r w:rsidRPr="009072DA">
        <w:rPr>
          <w:lang w:val="bg-BG"/>
        </w:rPr>
        <w:tab/>
        <w:t>плавателен съд без товар:</w:t>
      </w:r>
    </w:p>
    <w:p w:rsidR="00973DAA" w:rsidRPr="009072DA" w:rsidRDefault="00973DAA" w:rsidP="00577ECC">
      <w:pPr>
        <w:pStyle w:val="ESletpar"/>
        <w:rPr>
          <w:rFonts w:eastAsia="Calibri"/>
          <w:lang w:val="bg-BG"/>
        </w:rPr>
      </w:pPr>
      <w:r w:rsidRPr="009072DA">
        <w:rPr>
          <w:lang w:val="bg-BG"/>
        </w:rPr>
        <w:t>без пътници, 10 % от горивото и прясната вода, без отпадъчна вода.</w:t>
      </w:r>
    </w:p>
    <w:p w:rsidR="00577ECC" w:rsidRPr="009072DA" w:rsidRDefault="00577ECC" w:rsidP="00577ECC">
      <w:pPr>
        <w:pStyle w:val="ESchpar"/>
        <w:rPr>
          <w:rFonts w:eastAsia="Calibri"/>
          <w:lang w:val="bg-BG"/>
        </w:rPr>
      </w:pPr>
    </w:p>
    <w:p w:rsidR="00973DAA" w:rsidRPr="009072DA" w:rsidRDefault="00973DAA" w:rsidP="00577ECC">
      <w:pPr>
        <w:pStyle w:val="ESchpar"/>
        <w:rPr>
          <w:rFonts w:eastAsia="Calibri" w:cs="Arial"/>
          <w:szCs w:val="18"/>
          <w:lang w:val="bg-BG"/>
        </w:rPr>
      </w:pPr>
      <w:r w:rsidRPr="009072DA">
        <w:rPr>
          <w:lang w:val="bg-BG"/>
        </w:rPr>
        <w:t>За всички стандартни условия на натоварване баластните резервоари се разглеждат или като празни, или като пълни при нормални експлоатационни условия.</w:t>
      </w:r>
    </w:p>
    <w:p w:rsidR="00577ECC" w:rsidRPr="009072DA" w:rsidRDefault="00577ECC" w:rsidP="00577ECC">
      <w:pPr>
        <w:pStyle w:val="ESchpar"/>
        <w:rPr>
          <w:rFonts w:eastAsia="Calibri"/>
          <w:lang w:val="bg-BG"/>
        </w:rPr>
      </w:pPr>
    </w:p>
    <w:p w:rsidR="00973DAA" w:rsidRPr="009072DA" w:rsidRDefault="00973DAA" w:rsidP="00577ECC">
      <w:pPr>
        <w:pStyle w:val="ESchpar"/>
        <w:rPr>
          <w:rFonts w:eastAsia="Calibri" w:cs="Arial"/>
          <w:szCs w:val="18"/>
          <w:lang w:val="bg-BG"/>
        </w:rPr>
      </w:pPr>
      <w:r w:rsidRPr="009072DA">
        <w:rPr>
          <w:lang w:val="bg-BG"/>
        </w:rPr>
        <w:t>Освен това изискването от раздел 3, буква г) трябва да бъде доказано за следното състояние на натоварване:</w:t>
      </w:r>
    </w:p>
    <w:p w:rsidR="00973DAA" w:rsidRPr="009072DA" w:rsidRDefault="00973DAA" w:rsidP="00633CC5">
      <w:pPr>
        <w:pStyle w:val="ESchpar"/>
        <w:spacing w:before="60"/>
        <w:ind w:left="992"/>
        <w:rPr>
          <w:rFonts w:eastAsia="Calibri" w:cs="Arial"/>
          <w:szCs w:val="18"/>
          <w:lang w:val="bg-BG"/>
        </w:rPr>
      </w:pPr>
      <w:r w:rsidRPr="009072DA">
        <w:rPr>
          <w:lang w:val="bg-BG"/>
        </w:rPr>
        <w:t>100 % от пътниците, 50 % от горивото и питейната вода, 50 % от отпадъчна вода, всички други резервоари за течности (включително баластните танкове) се смятат за напълнени до 50 %.</w:t>
      </w:r>
    </w:p>
    <w:p w:rsidR="00973DAA" w:rsidRPr="009072DA" w:rsidRDefault="00973DAA" w:rsidP="00973DAA">
      <w:pPr>
        <w:pStyle w:val="ESch"/>
        <w:rPr>
          <w:rFonts w:eastAsia="Calibri" w:cs="Arial"/>
          <w:szCs w:val="18"/>
          <w:lang w:val="bg-BG"/>
        </w:rPr>
      </w:pPr>
    </w:p>
    <w:p w:rsidR="00973DAA" w:rsidRPr="009072DA" w:rsidRDefault="00973DAA" w:rsidP="00973DAA">
      <w:pPr>
        <w:pStyle w:val="ESch"/>
        <w:rPr>
          <w:rFonts w:eastAsia="Calibri" w:cs="Arial"/>
          <w:szCs w:val="18"/>
          <w:lang w:val="bg-BG"/>
        </w:rPr>
      </w:pPr>
      <w:r w:rsidRPr="009072DA">
        <w:rPr>
          <w:lang w:val="bg-BG"/>
        </w:rPr>
        <w:t>3.</w:t>
      </w:r>
      <w:r w:rsidRPr="009072DA">
        <w:rPr>
          <w:lang w:val="bg-BG"/>
        </w:rPr>
        <w:tab/>
        <w:t>Доказателството за достатъчна устойчивост в неповредено състояние на плавателен съд чрез изчисления се осигурява чрез използване на следните определения за устойчивост на неповредения плавателен съд и стандартните условия на натоварване, посочени в точка 2, букви а) — г):</w:t>
      </w:r>
    </w:p>
    <w:p w:rsidR="00973DAA" w:rsidRPr="009072DA" w:rsidRDefault="005C7859" w:rsidP="00577ECC">
      <w:pPr>
        <w:pStyle w:val="ESlet"/>
        <w:rPr>
          <w:rFonts w:eastAsia="Calibri" w:cs="Arial"/>
          <w:szCs w:val="18"/>
          <w:lang w:val="bg-BG"/>
        </w:rPr>
      </w:pPr>
      <w:r w:rsidRPr="009072DA">
        <w:rPr>
          <w:lang w:val="bg-BG"/>
        </w:rPr>
        <w:t>a)</w:t>
      </w:r>
      <w:r w:rsidRPr="009072DA">
        <w:rPr>
          <w:lang w:val="bg-BG"/>
        </w:rPr>
        <w:tab/>
        <w:t xml:space="preserve">максималното рамо на изправящия момент </w:t>
      </w:r>
      <m:oMath>
        <m:sSub>
          <m:sSubPr>
            <m:ctrlPr>
              <w:rPr>
                <w:rFonts w:ascii="Cambria Math" w:eastAsia="Calibri" w:hAnsi="Cambria Math"/>
                <w:i/>
                <w:lang w:val="bg-BG"/>
              </w:rPr>
            </m:ctrlPr>
          </m:sSubPr>
          <m:e>
            <m:r>
              <w:rPr>
                <w:rFonts w:ascii="Cambria Math" w:eastAsia="Calibri" w:hAnsi="Cambria Math"/>
                <w:lang w:val="bg-BG"/>
              </w:rPr>
              <m:t>h</m:t>
            </m:r>
          </m:e>
          <m:sub>
            <m:r>
              <w:rPr>
                <w:rFonts w:ascii="Cambria Math" w:eastAsia="Calibri" w:hAnsi="Cambria Math"/>
                <w:lang w:val="bg-BG"/>
              </w:rPr>
              <m:t>max</m:t>
            </m:r>
          </m:sub>
        </m:sSub>
      </m:oMath>
      <w:r w:rsidRPr="009072DA">
        <w:rPr>
          <w:lang w:val="bg-BG"/>
        </w:rPr>
        <w:t xml:space="preserve"> трябва да се получава при ъгъл на крена </w:t>
      </w:r>
      <m:oMath>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max</m:t>
            </m:r>
          </m:sub>
        </m:sSub>
        <m:r>
          <w:rPr>
            <w:rFonts w:ascii="Cambria Math" w:eastAsia="Calibri" w:hAnsi="Cambria Math"/>
            <w:lang w:val="bg-BG"/>
          </w:rPr>
          <m:t xml:space="preserve"> ≥(</m:t>
        </m:r>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mom</m:t>
            </m:r>
          </m:sub>
        </m:sSub>
        <m:r>
          <w:rPr>
            <w:rFonts w:ascii="Cambria Math" w:eastAsia="Calibri" w:hAnsi="Cambria Math"/>
            <w:lang w:val="bg-BG"/>
          </w:rPr>
          <m:t>+3°)</m:t>
        </m:r>
      </m:oMath>
      <w:r w:rsidRPr="009072DA">
        <w:rPr>
          <w:lang w:val="bg-BG"/>
        </w:rPr>
        <w:t xml:space="preserve"> и е не по-малко от 0,20 m. В случай че </w:t>
      </w:r>
      <m:oMath>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f</m:t>
            </m:r>
          </m:sub>
        </m:sSub>
        <m:r>
          <w:rPr>
            <w:rFonts w:ascii="Cambria Math" w:eastAsia="Calibri" w:hAnsi="Cambria Math"/>
            <w:lang w:val="bg-BG"/>
          </w:rPr>
          <m:t>&lt;</m:t>
        </m:r>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max</m:t>
            </m:r>
          </m:sub>
        </m:sSub>
      </m:oMath>
      <w:r w:rsidRPr="009072DA">
        <w:rPr>
          <w:lang w:val="bg-BG"/>
        </w:rPr>
        <w:t xml:space="preserve">, обаче, максималното рамо на изправящия момент при ъгъла на заливане </w:t>
      </w:r>
      <m:oMath>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f</m:t>
            </m:r>
          </m:sub>
        </m:sSub>
      </m:oMath>
      <w:r w:rsidRPr="009072DA">
        <w:rPr>
          <w:lang w:val="bg-BG"/>
        </w:rPr>
        <w:t xml:space="preserve"> не трябва да бъде по-малко от 0,20 m;</w:t>
      </w:r>
    </w:p>
    <w:p w:rsidR="00973DAA" w:rsidRPr="009072DA" w:rsidRDefault="005C7859" w:rsidP="00577ECC">
      <w:pPr>
        <w:pStyle w:val="ESlet"/>
        <w:rPr>
          <w:rFonts w:eastAsia="Calibri" w:cs="Arial"/>
          <w:szCs w:val="18"/>
          <w:lang w:val="bg-BG"/>
        </w:rPr>
      </w:pPr>
      <w:r w:rsidRPr="009072DA">
        <w:rPr>
          <w:lang w:val="bg-BG"/>
        </w:rPr>
        <w:t>б)</w:t>
      </w:r>
      <w:r w:rsidRPr="009072DA">
        <w:rPr>
          <w:lang w:val="bg-BG"/>
        </w:rPr>
        <w:tab/>
        <w:t xml:space="preserve">ъгълът на заливане </w:t>
      </w:r>
      <m:oMath>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f</m:t>
            </m:r>
          </m:sub>
        </m:sSub>
      </m:oMath>
      <w:r w:rsidRPr="009072DA">
        <w:rPr>
          <w:lang w:val="bg-BG"/>
        </w:rPr>
        <w:t xml:space="preserve"> не трябва да е по-малък от </w:t>
      </w:r>
      <m:oMath>
        <m:r>
          <w:rPr>
            <w:rFonts w:ascii="Cambria Math" w:eastAsia="Calibri" w:hAnsi="Cambria Math"/>
            <w:lang w:val="bg-BG"/>
          </w:rPr>
          <m:t>(</m:t>
        </m:r>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mom</m:t>
            </m:r>
          </m:sub>
        </m:sSub>
        <m:r>
          <w:rPr>
            <w:rFonts w:ascii="Cambria Math" w:eastAsia="Calibri" w:hAnsi="Cambria Math"/>
            <w:lang w:val="bg-BG"/>
          </w:rPr>
          <m:t>+3°)</m:t>
        </m:r>
      </m:oMath>
      <w:r w:rsidRPr="009072DA">
        <w:rPr>
          <w:lang w:val="bg-BG"/>
        </w:rPr>
        <w:t>;</w:t>
      </w:r>
    </w:p>
    <w:p w:rsidR="00973DAA" w:rsidRPr="009072DA" w:rsidRDefault="005C7859" w:rsidP="00577ECC">
      <w:pPr>
        <w:pStyle w:val="ESlet"/>
        <w:rPr>
          <w:rFonts w:eastAsia="Calibri"/>
          <w:lang w:val="bg-BG"/>
        </w:rPr>
      </w:pPr>
      <w:r w:rsidRPr="009072DA">
        <w:rPr>
          <w:lang w:val="bg-BG"/>
        </w:rPr>
        <w:t>в)</w:t>
      </w:r>
      <w:r w:rsidRPr="009072DA">
        <w:rPr>
          <w:lang w:val="bg-BG"/>
        </w:rPr>
        <w:tab/>
        <w:t xml:space="preserve">площта </w:t>
      </w:r>
      <m:oMath>
        <m:r>
          <w:rPr>
            <w:rFonts w:ascii="Cambria Math" w:eastAsia="Calibri" w:hAnsi="Cambria Math" w:cs="Arial"/>
            <w:szCs w:val="18"/>
            <w:lang w:val="bg-BG"/>
          </w:rPr>
          <m:t>A</m:t>
        </m:r>
      </m:oMath>
      <w:r w:rsidRPr="009072DA">
        <w:rPr>
          <w:lang w:val="bg-BG"/>
        </w:rPr>
        <w:t xml:space="preserve"> под кривата на рамото на изправящия момент трябва, в зависимост от положението на </w:t>
      </w:r>
      <m:oMath>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f</m:t>
            </m:r>
          </m:sub>
        </m:sSub>
      </m:oMath>
      <w:r w:rsidRPr="009072DA">
        <w:rPr>
          <w:lang w:val="bg-BG"/>
        </w:rPr>
        <w:t xml:space="preserve"> и </w:t>
      </w:r>
      <m:oMath>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max</m:t>
            </m:r>
          </m:sub>
        </m:sSub>
      </m:oMath>
      <w:r w:rsidRPr="009072DA">
        <w:rPr>
          <w:lang w:val="bg-BG"/>
        </w:rPr>
        <w:t>, да достига не по-малки от следните стойности:</w:t>
      </w:r>
    </w:p>
    <w:p w:rsidR="00577ECC" w:rsidRPr="009072DA" w:rsidRDefault="00577ECC" w:rsidP="00577ECC">
      <w:pPr>
        <w:pStyle w:val="ESgauche"/>
        <w:rPr>
          <w:rFonts w:eastAsia="Calibri"/>
          <w:noProof w:val="0"/>
          <w:lang w:val="bg-BG"/>
        </w:rPr>
      </w:pPr>
    </w:p>
    <w:tbl>
      <w:tblPr>
        <w:tblW w:w="0" w:type="auto"/>
        <w:tblLayout w:type="fixed"/>
        <w:tblLook w:val="0000" w:firstRow="0" w:lastRow="0" w:firstColumn="0" w:lastColumn="0" w:noHBand="0" w:noVBand="0"/>
      </w:tblPr>
      <w:tblGrid>
        <w:gridCol w:w="680"/>
        <w:gridCol w:w="2381"/>
        <w:gridCol w:w="1393"/>
        <w:gridCol w:w="4736"/>
      </w:tblGrid>
      <w:tr w:rsidR="00505D66" w:rsidRPr="009072DA" w:rsidTr="009F4F31">
        <w:tc>
          <w:tcPr>
            <w:tcW w:w="680" w:type="dxa"/>
            <w:tcBorders>
              <w:top w:val="single" w:sz="2" w:space="0" w:color="auto"/>
              <w:left w:val="single" w:sz="2" w:space="0" w:color="auto"/>
              <w:bottom w:val="single" w:sz="2" w:space="0" w:color="auto"/>
              <w:right w:val="single" w:sz="2" w:space="0" w:color="auto"/>
            </w:tcBorders>
          </w:tcPr>
          <w:p w:rsidR="00505D66" w:rsidRPr="009072DA" w:rsidRDefault="00505D66" w:rsidP="00505D66">
            <w:pPr>
              <w:spacing w:before="60" w:after="60" w:line="240" w:lineRule="atLeast"/>
              <w:jc w:val="center"/>
              <w:rPr>
                <w:rFonts w:cs="Arial"/>
                <w:sz w:val="18"/>
                <w:szCs w:val="18"/>
                <w:lang w:val="bg-BG"/>
              </w:rPr>
            </w:pPr>
            <w:r w:rsidRPr="009072DA">
              <w:rPr>
                <w:sz w:val="18"/>
                <w:lang w:val="bg-BG"/>
              </w:rPr>
              <w:t>Случай</w:t>
            </w:r>
          </w:p>
        </w:tc>
        <w:tc>
          <w:tcPr>
            <w:tcW w:w="2381" w:type="dxa"/>
            <w:tcBorders>
              <w:top w:val="single" w:sz="2" w:space="0" w:color="auto"/>
              <w:left w:val="single" w:sz="2" w:space="0" w:color="auto"/>
              <w:bottom w:val="single" w:sz="2" w:space="0" w:color="auto"/>
              <w:right w:val="single" w:sz="2" w:space="0" w:color="auto"/>
            </w:tcBorders>
          </w:tcPr>
          <w:p w:rsidR="00505D66" w:rsidRPr="009072DA" w:rsidRDefault="00505D66" w:rsidP="00505D66">
            <w:pPr>
              <w:spacing w:before="60" w:after="60" w:line="240" w:lineRule="atLeast"/>
              <w:jc w:val="center"/>
              <w:rPr>
                <w:rFonts w:cs="Arial"/>
                <w:sz w:val="18"/>
                <w:szCs w:val="18"/>
                <w:lang w:val="bg-BG"/>
              </w:rPr>
            </w:pPr>
          </w:p>
        </w:tc>
        <w:tc>
          <w:tcPr>
            <w:tcW w:w="1393" w:type="dxa"/>
            <w:tcBorders>
              <w:top w:val="single" w:sz="2" w:space="0" w:color="auto"/>
              <w:left w:val="single" w:sz="2" w:space="0" w:color="auto"/>
              <w:bottom w:val="single" w:sz="2" w:space="0" w:color="auto"/>
              <w:right w:val="single" w:sz="2" w:space="0" w:color="auto"/>
            </w:tcBorders>
          </w:tcPr>
          <w:p w:rsidR="00505D66" w:rsidRPr="009072DA" w:rsidRDefault="00505D66" w:rsidP="00505D66">
            <w:pPr>
              <w:spacing w:before="60" w:after="60" w:line="240" w:lineRule="atLeast"/>
              <w:jc w:val="center"/>
              <w:rPr>
                <w:rFonts w:cs="Arial"/>
                <w:sz w:val="18"/>
                <w:szCs w:val="18"/>
                <w:lang w:val="bg-BG"/>
              </w:rPr>
            </w:pPr>
          </w:p>
        </w:tc>
        <w:tc>
          <w:tcPr>
            <w:tcW w:w="4736" w:type="dxa"/>
            <w:tcBorders>
              <w:top w:val="single" w:sz="2" w:space="0" w:color="auto"/>
              <w:left w:val="single" w:sz="2" w:space="0" w:color="auto"/>
              <w:bottom w:val="single" w:sz="2" w:space="0" w:color="auto"/>
              <w:right w:val="single" w:sz="2" w:space="0" w:color="auto"/>
            </w:tcBorders>
          </w:tcPr>
          <w:p w:rsidR="00505D66" w:rsidRPr="009072DA" w:rsidRDefault="00505D66" w:rsidP="00505D66">
            <w:pPr>
              <w:spacing w:before="60" w:after="60" w:line="240" w:lineRule="atLeast"/>
              <w:jc w:val="center"/>
              <w:rPr>
                <w:rFonts w:cs="Arial"/>
                <w:sz w:val="18"/>
                <w:szCs w:val="18"/>
                <w:lang w:val="bg-BG"/>
              </w:rPr>
            </w:pPr>
            <w:r w:rsidRPr="009072DA">
              <w:rPr>
                <w:sz w:val="18"/>
                <w:lang w:val="bg-BG"/>
              </w:rPr>
              <w:t>A</w:t>
            </w:r>
          </w:p>
        </w:tc>
      </w:tr>
      <w:tr w:rsidR="00505D66" w:rsidRPr="008D2440" w:rsidTr="009F4F31">
        <w:tc>
          <w:tcPr>
            <w:tcW w:w="680" w:type="dxa"/>
            <w:tcBorders>
              <w:top w:val="single" w:sz="2" w:space="0" w:color="auto"/>
              <w:left w:val="single" w:sz="2" w:space="0" w:color="auto"/>
              <w:bottom w:val="single" w:sz="2" w:space="0" w:color="auto"/>
              <w:right w:val="single" w:sz="2" w:space="0" w:color="auto"/>
            </w:tcBorders>
          </w:tcPr>
          <w:p w:rsidR="00505D66" w:rsidRPr="009072DA" w:rsidRDefault="00505D66" w:rsidP="00505D66">
            <w:pPr>
              <w:spacing w:before="60" w:after="60" w:line="240" w:lineRule="atLeast"/>
              <w:rPr>
                <w:rFonts w:cs="Arial"/>
                <w:sz w:val="18"/>
                <w:szCs w:val="18"/>
                <w:lang w:val="bg-BG"/>
              </w:rPr>
            </w:pPr>
            <w:r w:rsidRPr="009072DA">
              <w:rPr>
                <w:sz w:val="18"/>
                <w:lang w:val="bg-BG"/>
              </w:rPr>
              <w:t>1</w:t>
            </w:r>
          </w:p>
        </w:tc>
        <w:tc>
          <w:tcPr>
            <w:tcW w:w="2381" w:type="dxa"/>
            <w:tcBorders>
              <w:top w:val="single" w:sz="2" w:space="0" w:color="auto"/>
              <w:left w:val="single" w:sz="2" w:space="0" w:color="auto"/>
              <w:bottom w:val="single" w:sz="2" w:space="0" w:color="auto"/>
              <w:right w:val="single" w:sz="2" w:space="0" w:color="auto"/>
            </w:tcBorders>
          </w:tcPr>
          <w:p w:rsidR="00505D66" w:rsidRPr="009072DA" w:rsidRDefault="002B712C" w:rsidP="009F4F31">
            <w:pPr>
              <w:spacing w:before="60" w:after="60" w:line="240" w:lineRule="atLeast"/>
              <w:rPr>
                <w:rFonts w:cs="Arial"/>
                <w:szCs w:val="20"/>
                <w:lang w:val="bg-BG"/>
              </w:rPr>
            </w:pPr>
            <m:oMath>
              <m:sSub>
                <m:sSubPr>
                  <m:ctrlPr>
                    <w:rPr>
                      <w:rFonts w:ascii="Cambria Math" w:eastAsia="Calibri" w:hAnsi="Cambria Math"/>
                      <w:i/>
                      <w:szCs w:val="20"/>
                      <w:lang w:val="bg-BG"/>
                    </w:rPr>
                  </m:ctrlPr>
                </m:sSubPr>
                <m:e>
                  <m:r>
                    <w:rPr>
                      <w:rFonts w:ascii="Cambria Math" w:eastAsia="Calibri" w:hAnsi="Cambria Math"/>
                      <w:szCs w:val="20"/>
                      <w:lang w:val="bg-BG"/>
                    </w:rPr>
                    <m:t>φ</m:t>
                  </m:r>
                </m:e>
                <m:sub>
                  <m:r>
                    <w:rPr>
                      <w:rFonts w:ascii="Cambria Math" w:eastAsia="Calibri" w:hAnsi="Cambria Math"/>
                      <w:szCs w:val="20"/>
                      <w:lang w:val="bg-BG"/>
                    </w:rPr>
                    <m:t>max</m:t>
                  </m:r>
                </m:sub>
              </m:sSub>
              <m:r>
                <w:rPr>
                  <w:rFonts w:ascii="Cambria Math" w:eastAsia="Calibri" w:hAnsi="Cambria Math"/>
                  <w:szCs w:val="20"/>
                  <w:lang w:val="bg-BG"/>
                </w:rPr>
                <m:t xml:space="preserve"> ≤15°</m:t>
              </m:r>
            </m:oMath>
            <w:r w:rsidR="007B1046" w:rsidRPr="009072DA">
              <w:rPr>
                <w:lang w:val="bg-BG"/>
              </w:rPr>
              <w:t xml:space="preserve"> или </w:t>
            </w:r>
            <m:oMath>
              <m:sSub>
                <m:sSubPr>
                  <m:ctrlPr>
                    <w:rPr>
                      <w:rFonts w:ascii="Cambria Math" w:eastAsia="Calibri" w:hAnsi="Cambria Math"/>
                      <w:i/>
                      <w:szCs w:val="20"/>
                      <w:lang w:val="bg-BG"/>
                    </w:rPr>
                  </m:ctrlPr>
                </m:sSubPr>
                <m:e>
                  <m:r>
                    <w:rPr>
                      <w:rFonts w:ascii="Cambria Math" w:eastAsia="Calibri" w:hAnsi="Cambria Math"/>
                      <w:szCs w:val="20"/>
                      <w:lang w:val="bg-BG"/>
                    </w:rPr>
                    <m:t>φ</m:t>
                  </m:r>
                </m:e>
                <m:sub>
                  <m:r>
                    <w:rPr>
                      <w:rFonts w:ascii="Cambria Math" w:eastAsia="Calibri" w:hAnsi="Cambria Math"/>
                      <w:szCs w:val="20"/>
                      <w:lang w:val="bg-BG"/>
                    </w:rPr>
                    <m:t>f</m:t>
                  </m:r>
                </m:sub>
              </m:sSub>
              <m:r>
                <w:rPr>
                  <w:rFonts w:ascii="Cambria Math" w:eastAsia="Calibri" w:hAnsi="Cambria Math"/>
                  <w:szCs w:val="20"/>
                  <w:lang w:val="bg-BG"/>
                </w:rPr>
                <m:t xml:space="preserve"> ≤15°</m:t>
              </m:r>
            </m:oMath>
          </w:p>
        </w:tc>
        <w:tc>
          <w:tcPr>
            <w:tcW w:w="1393" w:type="dxa"/>
            <w:tcBorders>
              <w:top w:val="single" w:sz="2" w:space="0" w:color="auto"/>
              <w:left w:val="single" w:sz="2" w:space="0" w:color="auto"/>
              <w:bottom w:val="single" w:sz="2" w:space="0" w:color="auto"/>
              <w:right w:val="single" w:sz="2" w:space="0" w:color="auto"/>
            </w:tcBorders>
          </w:tcPr>
          <w:p w:rsidR="00505D66" w:rsidRPr="009072DA" w:rsidRDefault="00505D66" w:rsidP="00505D66">
            <w:pPr>
              <w:spacing w:before="60" w:after="60" w:line="240" w:lineRule="atLeast"/>
              <w:rPr>
                <w:rFonts w:cs="Arial"/>
                <w:sz w:val="18"/>
                <w:szCs w:val="18"/>
                <w:lang w:val="bg-BG"/>
              </w:rPr>
            </w:pPr>
          </w:p>
        </w:tc>
        <w:tc>
          <w:tcPr>
            <w:tcW w:w="4736" w:type="dxa"/>
            <w:tcBorders>
              <w:top w:val="single" w:sz="2" w:space="0" w:color="auto"/>
              <w:left w:val="single" w:sz="2" w:space="0" w:color="auto"/>
              <w:bottom w:val="single" w:sz="2" w:space="0" w:color="auto"/>
              <w:right w:val="single" w:sz="2" w:space="0" w:color="auto"/>
            </w:tcBorders>
          </w:tcPr>
          <w:p w:rsidR="00505D66" w:rsidRPr="009072DA" w:rsidRDefault="00652561" w:rsidP="00652561">
            <w:pPr>
              <w:spacing w:before="60" w:after="60" w:line="240" w:lineRule="atLeast"/>
              <w:rPr>
                <w:rFonts w:cs="Arial"/>
                <w:sz w:val="18"/>
                <w:szCs w:val="18"/>
                <w:lang w:val="bg-BG"/>
              </w:rPr>
            </w:pPr>
            <m:oMath>
              <m:r>
                <w:rPr>
                  <w:rFonts w:ascii="Cambria Math" w:hAnsi="Cambria Math" w:cs="Arial"/>
                  <w:szCs w:val="18"/>
                  <w:lang w:val="bg-BG"/>
                </w:rPr>
                <m:t>0,05 m ∙rad</m:t>
              </m:r>
            </m:oMath>
            <w:r w:rsidRPr="009072DA">
              <w:rPr>
                <w:sz w:val="18"/>
                <w:lang w:val="bg-BG"/>
              </w:rPr>
              <w:t xml:space="preserve"> до по-малкия от ъглите </w:t>
            </w:r>
            <m:oMath>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max</m:t>
                  </m:r>
                </m:sub>
              </m:sSub>
            </m:oMath>
            <w:r w:rsidRPr="009072DA">
              <w:rPr>
                <w:sz w:val="18"/>
                <w:lang w:val="bg-BG"/>
              </w:rPr>
              <w:t xml:space="preserve"> или </w:t>
            </w:r>
            <m:oMath>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f</m:t>
                  </m:r>
                </m:sub>
              </m:sSub>
            </m:oMath>
          </w:p>
        </w:tc>
      </w:tr>
      <w:tr w:rsidR="00505D66" w:rsidRPr="008D2440" w:rsidTr="009F4F31">
        <w:tc>
          <w:tcPr>
            <w:tcW w:w="680" w:type="dxa"/>
            <w:tcBorders>
              <w:top w:val="single" w:sz="2" w:space="0" w:color="auto"/>
              <w:left w:val="single" w:sz="2" w:space="0" w:color="auto"/>
              <w:bottom w:val="single" w:sz="2" w:space="0" w:color="auto"/>
              <w:right w:val="single" w:sz="2" w:space="0" w:color="auto"/>
            </w:tcBorders>
          </w:tcPr>
          <w:p w:rsidR="00505D66" w:rsidRPr="009072DA" w:rsidRDefault="00505D66" w:rsidP="00505D66">
            <w:pPr>
              <w:spacing w:before="60" w:after="60" w:line="240" w:lineRule="atLeast"/>
              <w:rPr>
                <w:rFonts w:cs="Arial"/>
                <w:sz w:val="18"/>
                <w:szCs w:val="18"/>
                <w:lang w:val="bg-BG"/>
              </w:rPr>
            </w:pPr>
            <w:r w:rsidRPr="009072DA">
              <w:rPr>
                <w:sz w:val="18"/>
                <w:lang w:val="bg-BG"/>
              </w:rPr>
              <w:lastRenderedPageBreak/>
              <w:t>2</w:t>
            </w:r>
          </w:p>
        </w:tc>
        <w:tc>
          <w:tcPr>
            <w:tcW w:w="2381" w:type="dxa"/>
            <w:tcBorders>
              <w:top w:val="single" w:sz="2" w:space="0" w:color="auto"/>
              <w:left w:val="single" w:sz="2" w:space="0" w:color="auto"/>
              <w:bottom w:val="single" w:sz="2" w:space="0" w:color="auto"/>
              <w:right w:val="single" w:sz="2" w:space="0" w:color="auto"/>
            </w:tcBorders>
          </w:tcPr>
          <w:p w:rsidR="00505D66" w:rsidRPr="009072DA" w:rsidRDefault="002B712C" w:rsidP="009F4F31">
            <w:pPr>
              <w:spacing w:before="60" w:after="60" w:line="240" w:lineRule="atLeast"/>
              <w:rPr>
                <w:rFonts w:cs="Arial"/>
                <w:szCs w:val="20"/>
                <w:lang w:val="bg-BG"/>
              </w:rPr>
            </w:pPr>
            <m:oMathPara>
              <m:oMath>
                <m:sSub>
                  <m:sSubPr>
                    <m:ctrlPr>
                      <w:rPr>
                        <w:rFonts w:ascii="Cambria Math" w:eastAsia="Calibri" w:hAnsi="Cambria Math"/>
                        <w:i/>
                        <w:szCs w:val="20"/>
                        <w:lang w:val="bg-BG"/>
                      </w:rPr>
                    </m:ctrlPr>
                  </m:sSubPr>
                  <m:e>
                    <m:r>
                      <w:rPr>
                        <w:rFonts w:ascii="Cambria Math" w:eastAsia="Calibri" w:hAnsi="Cambria Math"/>
                        <w:szCs w:val="20"/>
                        <w:lang w:val="bg-BG"/>
                      </w:rPr>
                      <m:t>15° &lt;φ</m:t>
                    </m:r>
                  </m:e>
                  <m:sub>
                    <m:r>
                      <w:rPr>
                        <w:rFonts w:ascii="Cambria Math" w:eastAsia="Calibri" w:hAnsi="Cambria Math"/>
                        <w:szCs w:val="20"/>
                        <w:lang w:val="bg-BG"/>
                      </w:rPr>
                      <m:t>max</m:t>
                    </m:r>
                  </m:sub>
                </m:sSub>
                <m:r>
                  <w:rPr>
                    <w:rFonts w:ascii="Cambria Math" w:eastAsia="Calibri" w:hAnsi="Cambria Math"/>
                    <w:szCs w:val="20"/>
                    <w:lang w:val="bg-BG"/>
                  </w:rPr>
                  <m:t>&lt; 30°</m:t>
                </m:r>
              </m:oMath>
            </m:oMathPara>
          </w:p>
        </w:tc>
        <w:tc>
          <w:tcPr>
            <w:tcW w:w="1393" w:type="dxa"/>
            <w:tcBorders>
              <w:top w:val="single" w:sz="2" w:space="0" w:color="auto"/>
              <w:left w:val="single" w:sz="2" w:space="0" w:color="auto"/>
              <w:bottom w:val="single" w:sz="2" w:space="0" w:color="auto"/>
              <w:right w:val="single" w:sz="2" w:space="0" w:color="auto"/>
            </w:tcBorders>
          </w:tcPr>
          <w:p w:rsidR="00505D66" w:rsidRPr="009072DA" w:rsidRDefault="002B712C" w:rsidP="00D80B34">
            <w:pPr>
              <w:spacing w:before="60" w:after="60" w:line="240" w:lineRule="atLeast"/>
              <w:rPr>
                <w:rFonts w:cs="Arial"/>
                <w:sz w:val="18"/>
                <w:szCs w:val="18"/>
                <w:lang w:val="bg-BG"/>
              </w:rPr>
            </w:pPr>
            <m:oMathPara>
              <m:oMath>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max</m:t>
                    </m:r>
                  </m:sub>
                </m:sSub>
                <m:r>
                  <w:rPr>
                    <w:rFonts w:ascii="Cambria Math" w:eastAsia="Calibri" w:hAnsi="Cambria Math"/>
                    <w:lang w:val="bg-BG"/>
                  </w:rPr>
                  <m:t xml:space="preserve"> ≤</m:t>
                </m:r>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f</m:t>
                    </m:r>
                  </m:sub>
                </m:sSub>
              </m:oMath>
            </m:oMathPara>
          </w:p>
        </w:tc>
        <w:tc>
          <w:tcPr>
            <w:tcW w:w="4736" w:type="dxa"/>
            <w:tcBorders>
              <w:top w:val="single" w:sz="2" w:space="0" w:color="auto"/>
              <w:left w:val="single" w:sz="2" w:space="0" w:color="auto"/>
              <w:bottom w:val="single" w:sz="2" w:space="0" w:color="auto"/>
              <w:right w:val="single" w:sz="2" w:space="0" w:color="auto"/>
            </w:tcBorders>
          </w:tcPr>
          <w:p w:rsidR="00505D66" w:rsidRPr="009072DA" w:rsidRDefault="00652561" w:rsidP="00652561">
            <w:pPr>
              <w:spacing w:before="60" w:after="60" w:line="240" w:lineRule="atLeast"/>
              <w:rPr>
                <w:rFonts w:cs="Arial"/>
                <w:sz w:val="18"/>
                <w:szCs w:val="18"/>
                <w:lang w:val="bg-BG"/>
              </w:rPr>
            </w:pPr>
            <m:oMath>
              <m:r>
                <w:rPr>
                  <w:rFonts w:ascii="Cambria Math" w:hAnsi="Cambria Math" w:cs="Arial"/>
                  <w:szCs w:val="18"/>
                  <w:lang w:val="bg-BG"/>
                </w:rPr>
                <m:t xml:space="preserve">0,035+0,001 ∙(30- </m:t>
              </m:r>
              <m:sSub>
                <m:sSubPr>
                  <m:ctrlPr>
                    <w:rPr>
                      <w:rFonts w:ascii="Cambria Math" w:hAnsi="Cambria Math" w:cs="Arial"/>
                      <w:i/>
                      <w:szCs w:val="18"/>
                      <w:lang w:val="bg-BG"/>
                    </w:rPr>
                  </m:ctrlPr>
                </m:sSubPr>
                <m:e>
                  <m:r>
                    <w:rPr>
                      <w:rFonts w:ascii="Cambria Math" w:hAnsi="Cambria Math" w:cs="Arial"/>
                      <w:szCs w:val="18"/>
                      <w:lang w:val="bg-BG"/>
                    </w:rPr>
                    <m:t>φ</m:t>
                  </m:r>
                </m:e>
                <m:sub>
                  <m:r>
                    <w:rPr>
                      <w:rFonts w:ascii="Cambria Math" w:hAnsi="Cambria Math" w:cs="Arial"/>
                      <w:szCs w:val="18"/>
                      <w:lang w:val="bg-BG"/>
                    </w:rPr>
                    <m:t>max</m:t>
                  </m:r>
                </m:sub>
              </m:sSub>
              <m:r>
                <w:rPr>
                  <w:rFonts w:ascii="Cambria Math" w:hAnsi="Cambria Math" w:cs="Arial"/>
                  <w:szCs w:val="18"/>
                  <w:lang w:val="bg-BG"/>
                </w:rPr>
                <m:t>) m ∙rad</m:t>
              </m:r>
            </m:oMath>
            <w:r w:rsidRPr="009072DA">
              <w:rPr>
                <w:lang w:val="bg-BG"/>
              </w:rPr>
              <w:t xml:space="preserve"> </w:t>
            </w:r>
            <w:r w:rsidRPr="009072DA">
              <w:rPr>
                <w:sz w:val="18"/>
                <w:lang w:val="bg-BG"/>
              </w:rPr>
              <w:t xml:space="preserve">до ъгъла </w:t>
            </w:r>
            <m:oMath>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max</m:t>
                  </m:r>
                </m:sub>
              </m:sSub>
            </m:oMath>
          </w:p>
        </w:tc>
      </w:tr>
      <w:tr w:rsidR="00505D66" w:rsidRPr="008D2440" w:rsidTr="009F4F31">
        <w:tc>
          <w:tcPr>
            <w:tcW w:w="680" w:type="dxa"/>
            <w:tcBorders>
              <w:top w:val="single" w:sz="2" w:space="0" w:color="auto"/>
              <w:left w:val="single" w:sz="2" w:space="0" w:color="auto"/>
              <w:bottom w:val="single" w:sz="2" w:space="0" w:color="auto"/>
              <w:right w:val="single" w:sz="2" w:space="0" w:color="auto"/>
            </w:tcBorders>
          </w:tcPr>
          <w:p w:rsidR="00505D66" w:rsidRPr="009072DA" w:rsidRDefault="00505D66" w:rsidP="00505D66">
            <w:pPr>
              <w:spacing w:before="60" w:after="60" w:line="240" w:lineRule="atLeast"/>
              <w:rPr>
                <w:rFonts w:cs="Arial"/>
                <w:sz w:val="18"/>
                <w:szCs w:val="18"/>
                <w:lang w:val="bg-BG"/>
              </w:rPr>
            </w:pPr>
            <w:r w:rsidRPr="009072DA">
              <w:rPr>
                <w:sz w:val="18"/>
                <w:lang w:val="bg-BG"/>
              </w:rPr>
              <w:t>3</w:t>
            </w:r>
          </w:p>
        </w:tc>
        <w:tc>
          <w:tcPr>
            <w:tcW w:w="2381" w:type="dxa"/>
            <w:tcBorders>
              <w:top w:val="single" w:sz="2" w:space="0" w:color="auto"/>
              <w:left w:val="single" w:sz="2" w:space="0" w:color="auto"/>
              <w:bottom w:val="single" w:sz="2" w:space="0" w:color="auto"/>
              <w:right w:val="single" w:sz="2" w:space="0" w:color="auto"/>
            </w:tcBorders>
          </w:tcPr>
          <w:p w:rsidR="00505D66" w:rsidRPr="009072DA" w:rsidRDefault="002B712C" w:rsidP="00820E6F">
            <w:pPr>
              <w:spacing w:before="60" w:after="60" w:line="240" w:lineRule="atLeast"/>
              <w:rPr>
                <w:rFonts w:cs="Arial"/>
                <w:szCs w:val="20"/>
                <w:lang w:val="bg-BG"/>
              </w:rPr>
            </w:pPr>
            <m:oMathPara>
              <m:oMath>
                <m:sSub>
                  <m:sSubPr>
                    <m:ctrlPr>
                      <w:rPr>
                        <w:rFonts w:ascii="Cambria Math" w:eastAsia="Calibri" w:hAnsi="Cambria Math"/>
                        <w:i/>
                        <w:szCs w:val="20"/>
                        <w:lang w:val="bg-BG"/>
                      </w:rPr>
                    </m:ctrlPr>
                  </m:sSubPr>
                  <m:e>
                    <m:r>
                      <w:rPr>
                        <w:rFonts w:ascii="Cambria Math" w:eastAsia="Calibri" w:hAnsi="Cambria Math"/>
                        <w:szCs w:val="20"/>
                        <w:lang w:val="bg-BG"/>
                      </w:rPr>
                      <m:t>15° &lt;φ</m:t>
                    </m:r>
                  </m:e>
                  <m:sub>
                    <m:r>
                      <w:rPr>
                        <w:rFonts w:ascii="Cambria Math" w:eastAsia="Calibri" w:hAnsi="Cambria Math"/>
                        <w:szCs w:val="20"/>
                        <w:lang w:val="bg-BG"/>
                      </w:rPr>
                      <m:t>f</m:t>
                    </m:r>
                  </m:sub>
                </m:sSub>
                <m:r>
                  <w:rPr>
                    <w:rFonts w:ascii="Cambria Math" w:eastAsia="Calibri" w:hAnsi="Cambria Math"/>
                    <w:szCs w:val="20"/>
                    <w:lang w:val="bg-BG"/>
                  </w:rPr>
                  <m:t>&lt; 30°</m:t>
                </m:r>
              </m:oMath>
            </m:oMathPara>
          </w:p>
        </w:tc>
        <w:tc>
          <w:tcPr>
            <w:tcW w:w="1393" w:type="dxa"/>
            <w:tcBorders>
              <w:top w:val="single" w:sz="2" w:space="0" w:color="auto"/>
              <w:left w:val="single" w:sz="2" w:space="0" w:color="auto"/>
              <w:bottom w:val="single" w:sz="2" w:space="0" w:color="auto"/>
              <w:right w:val="single" w:sz="2" w:space="0" w:color="auto"/>
            </w:tcBorders>
          </w:tcPr>
          <w:p w:rsidR="00505D66" w:rsidRPr="009072DA" w:rsidRDefault="002B712C" w:rsidP="00D80B34">
            <w:pPr>
              <w:spacing w:before="60" w:after="60" w:line="240" w:lineRule="atLeast"/>
              <w:rPr>
                <w:rFonts w:cs="Arial"/>
                <w:sz w:val="18"/>
                <w:szCs w:val="18"/>
                <w:lang w:val="bg-BG"/>
              </w:rPr>
            </w:pPr>
            <m:oMathPara>
              <m:oMath>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max</m:t>
                    </m:r>
                  </m:sub>
                </m:sSub>
                <m:r>
                  <w:rPr>
                    <w:rFonts w:ascii="Cambria Math" w:eastAsia="Calibri" w:hAnsi="Cambria Math"/>
                    <w:lang w:val="bg-BG"/>
                  </w:rPr>
                  <m:t>&gt;</m:t>
                </m:r>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f</m:t>
                    </m:r>
                  </m:sub>
                </m:sSub>
              </m:oMath>
            </m:oMathPara>
          </w:p>
        </w:tc>
        <w:tc>
          <w:tcPr>
            <w:tcW w:w="4736" w:type="dxa"/>
            <w:tcBorders>
              <w:top w:val="single" w:sz="2" w:space="0" w:color="auto"/>
              <w:left w:val="single" w:sz="2" w:space="0" w:color="auto"/>
              <w:bottom w:val="single" w:sz="2" w:space="0" w:color="auto"/>
              <w:right w:val="single" w:sz="2" w:space="0" w:color="auto"/>
            </w:tcBorders>
          </w:tcPr>
          <w:p w:rsidR="00505D66" w:rsidRPr="009072DA" w:rsidRDefault="00652561" w:rsidP="00652561">
            <w:pPr>
              <w:spacing w:before="60" w:after="60" w:line="240" w:lineRule="atLeast"/>
              <w:rPr>
                <w:rFonts w:cs="Arial"/>
                <w:sz w:val="18"/>
                <w:szCs w:val="18"/>
                <w:lang w:val="bg-BG"/>
              </w:rPr>
            </w:pPr>
            <m:oMath>
              <m:r>
                <w:rPr>
                  <w:rFonts w:ascii="Cambria Math" w:hAnsi="Cambria Math" w:cs="Arial"/>
                  <w:szCs w:val="18"/>
                  <w:lang w:val="bg-BG"/>
                </w:rPr>
                <m:t xml:space="preserve">0,035+0,001 ∙(30- </m:t>
              </m:r>
              <m:sSub>
                <m:sSubPr>
                  <m:ctrlPr>
                    <w:rPr>
                      <w:rFonts w:ascii="Cambria Math" w:hAnsi="Cambria Math" w:cs="Arial"/>
                      <w:i/>
                      <w:szCs w:val="18"/>
                      <w:lang w:val="bg-BG"/>
                    </w:rPr>
                  </m:ctrlPr>
                </m:sSubPr>
                <m:e>
                  <m:r>
                    <w:rPr>
                      <w:rFonts w:ascii="Cambria Math" w:hAnsi="Cambria Math" w:cs="Arial"/>
                      <w:szCs w:val="18"/>
                      <w:lang w:val="bg-BG"/>
                    </w:rPr>
                    <m:t>φ</m:t>
                  </m:r>
                </m:e>
                <m:sub>
                  <m:r>
                    <w:rPr>
                      <w:rFonts w:ascii="Cambria Math" w:hAnsi="Cambria Math" w:cs="Arial"/>
                      <w:szCs w:val="18"/>
                      <w:lang w:val="bg-BG"/>
                    </w:rPr>
                    <m:t>f</m:t>
                  </m:r>
                </m:sub>
              </m:sSub>
              <m:r>
                <w:rPr>
                  <w:rFonts w:ascii="Cambria Math" w:hAnsi="Cambria Math" w:cs="Arial"/>
                  <w:szCs w:val="18"/>
                  <w:lang w:val="bg-BG"/>
                </w:rPr>
                <m:t>) m ∙rad</m:t>
              </m:r>
            </m:oMath>
            <w:r w:rsidRPr="009072DA">
              <w:rPr>
                <w:sz w:val="18"/>
                <w:lang w:val="bg-BG"/>
              </w:rPr>
              <w:t xml:space="preserve"> до ъгъла </w:t>
            </w:r>
            <m:oMath>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f</m:t>
                  </m:r>
                </m:sub>
              </m:sSub>
            </m:oMath>
          </w:p>
        </w:tc>
      </w:tr>
      <w:tr w:rsidR="00505D66" w:rsidRPr="008D2440" w:rsidTr="009F4F31">
        <w:tc>
          <w:tcPr>
            <w:tcW w:w="680" w:type="dxa"/>
            <w:tcBorders>
              <w:top w:val="single" w:sz="2" w:space="0" w:color="auto"/>
              <w:left w:val="single" w:sz="2" w:space="0" w:color="auto"/>
              <w:bottom w:val="single" w:sz="2" w:space="0" w:color="auto"/>
              <w:right w:val="single" w:sz="2" w:space="0" w:color="auto"/>
            </w:tcBorders>
          </w:tcPr>
          <w:p w:rsidR="00505D66" w:rsidRPr="009072DA" w:rsidRDefault="00505D66" w:rsidP="00505D66">
            <w:pPr>
              <w:spacing w:before="60" w:after="60" w:line="240" w:lineRule="atLeast"/>
              <w:rPr>
                <w:rFonts w:cs="Arial"/>
                <w:sz w:val="18"/>
                <w:szCs w:val="18"/>
                <w:lang w:val="bg-BG"/>
              </w:rPr>
            </w:pPr>
            <w:r w:rsidRPr="009072DA">
              <w:rPr>
                <w:sz w:val="18"/>
                <w:lang w:val="bg-BG"/>
              </w:rPr>
              <w:t>4</w:t>
            </w:r>
          </w:p>
        </w:tc>
        <w:tc>
          <w:tcPr>
            <w:tcW w:w="2381" w:type="dxa"/>
            <w:tcBorders>
              <w:top w:val="single" w:sz="2" w:space="0" w:color="auto"/>
              <w:left w:val="single" w:sz="2" w:space="0" w:color="auto"/>
              <w:bottom w:val="single" w:sz="2" w:space="0" w:color="auto"/>
              <w:right w:val="single" w:sz="2" w:space="0" w:color="auto"/>
            </w:tcBorders>
          </w:tcPr>
          <w:p w:rsidR="00505D66" w:rsidRPr="009072DA" w:rsidRDefault="002B712C" w:rsidP="009F4F31">
            <w:pPr>
              <w:spacing w:before="60" w:after="60" w:line="240" w:lineRule="atLeast"/>
              <w:rPr>
                <w:rFonts w:cs="Arial"/>
                <w:szCs w:val="20"/>
                <w:lang w:val="bg-BG"/>
              </w:rPr>
            </w:pPr>
            <m:oMath>
              <m:sSub>
                <m:sSubPr>
                  <m:ctrlPr>
                    <w:rPr>
                      <w:rFonts w:ascii="Cambria Math" w:eastAsia="Calibri" w:hAnsi="Cambria Math"/>
                      <w:i/>
                      <w:szCs w:val="20"/>
                      <w:lang w:val="bg-BG"/>
                    </w:rPr>
                  </m:ctrlPr>
                </m:sSubPr>
                <m:e>
                  <m:r>
                    <w:rPr>
                      <w:rFonts w:ascii="Cambria Math" w:eastAsia="Calibri" w:hAnsi="Cambria Math"/>
                      <w:szCs w:val="20"/>
                      <w:lang w:val="bg-BG"/>
                    </w:rPr>
                    <m:t>φ</m:t>
                  </m:r>
                </m:e>
                <m:sub>
                  <m:r>
                    <w:rPr>
                      <w:rFonts w:ascii="Cambria Math" w:eastAsia="Calibri" w:hAnsi="Cambria Math"/>
                      <w:szCs w:val="20"/>
                      <w:lang w:val="bg-BG"/>
                    </w:rPr>
                    <m:t>max</m:t>
                  </m:r>
                </m:sub>
              </m:sSub>
              <m:r>
                <w:rPr>
                  <w:rFonts w:ascii="Cambria Math" w:eastAsia="Calibri" w:hAnsi="Cambria Math"/>
                  <w:szCs w:val="20"/>
                  <w:lang w:val="bg-BG"/>
                </w:rPr>
                <m:t xml:space="preserve"> ≥30°</m:t>
              </m:r>
            </m:oMath>
            <w:r w:rsidR="007B1046" w:rsidRPr="009072DA">
              <w:rPr>
                <w:lang w:val="bg-BG"/>
              </w:rPr>
              <w:t xml:space="preserve"> и </w:t>
            </w:r>
            <m:oMath>
              <m:sSub>
                <m:sSubPr>
                  <m:ctrlPr>
                    <w:rPr>
                      <w:rFonts w:ascii="Cambria Math" w:eastAsia="Calibri" w:hAnsi="Cambria Math"/>
                      <w:i/>
                      <w:szCs w:val="20"/>
                      <w:lang w:val="bg-BG"/>
                    </w:rPr>
                  </m:ctrlPr>
                </m:sSubPr>
                <m:e>
                  <m:r>
                    <w:rPr>
                      <w:rFonts w:ascii="Cambria Math" w:eastAsia="Calibri" w:hAnsi="Cambria Math"/>
                      <w:szCs w:val="20"/>
                      <w:lang w:val="bg-BG"/>
                    </w:rPr>
                    <m:t>φ</m:t>
                  </m:r>
                </m:e>
                <m:sub>
                  <m:r>
                    <w:rPr>
                      <w:rFonts w:ascii="Cambria Math" w:eastAsia="Calibri" w:hAnsi="Cambria Math"/>
                      <w:szCs w:val="20"/>
                      <w:lang w:val="bg-BG"/>
                    </w:rPr>
                    <m:t>f</m:t>
                  </m:r>
                </m:sub>
              </m:sSub>
              <m:r>
                <w:rPr>
                  <w:rFonts w:ascii="Cambria Math" w:eastAsia="Calibri" w:hAnsi="Cambria Math"/>
                  <w:szCs w:val="20"/>
                  <w:lang w:val="bg-BG"/>
                </w:rPr>
                <m:t xml:space="preserve"> ≥30°</m:t>
              </m:r>
            </m:oMath>
          </w:p>
        </w:tc>
        <w:tc>
          <w:tcPr>
            <w:tcW w:w="1393" w:type="dxa"/>
            <w:tcBorders>
              <w:top w:val="single" w:sz="2" w:space="0" w:color="auto"/>
              <w:left w:val="single" w:sz="2" w:space="0" w:color="auto"/>
              <w:bottom w:val="single" w:sz="2" w:space="0" w:color="auto"/>
              <w:right w:val="single" w:sz="2" w:space="0" w:color="auto"/>
            </w:tcBorders>
          </w:tcPr>
          <w:p w:rsidR="00505D66" w:rsidRPr="009072DA" w:rsidRDefault="00505D66" w:rsidP="00505D66">
            <w:pPr>
              <w:spacing w:before="60" w:after="60" w:line="240" w:lineRule="atLeast"/>
              <w:rPr>
                <w:rFonts w:cs="Arial"/>
                <w:sz w:val="18"/>
                <w:szCs w:val="18"/>
                <w:lang w:val="bg-BG"/>
              </w:rPr>
            </w:pPr>
          </w:p>
        </w:tc>
        <w:tc>
          <w:tcPr>
            <w:tcW w:w="4736" w:type="dxa"/>
            <w:tcBorders>
              <w:top w:val="single" w:sz="2" w:space="0" w:color="auto"/>
              <w:left w:val="single" w:sz="2" w:space="0" w:color="auto"/>
              <w:bottom w:val="single" w:sz="2" w:space="0" w:color="auto"/>
              <w:right w:val="single" w:sz="2" w:space="0" w:color="auto"/>
            </w:tcBorders>
          </w:tcPr>
          <w:p w:rsidR="00505D66" w:rsidRPr="009072DA" w:rsidRDefault="00652561" w:rsidP="00652561">
            <w:pPr>
              <w:spacing w:before="60" w:after="60" w:line="240" w:lineRule="atLeast"/>
              <w:rPr>
                <w:rFonts w:cs="Arial"/>
                <w:sz w:val="18"/>
                <w:szCs w:val="18"/>
                <w:lang w:val="bg-BG"/>
              </w:rPr>
            </w:pPr>
            <m:oMath>
              <m:r>
                <w:rPr>
                  <w:rFonts w:ascii="Cambria Math" w:hAnsi="Cambria Math" w:cs="Arial"/>
                  <w:szCs w:val="18"/>
                  <w:lang w:val="bg-BG"/>
                </w:rPr>
                <m:t>0,035 m ∙rad</m:t>
              </m:r>
            </m:oMath>
            <w:r w:rsidRPr="009072DA">
              <w:rPr>
                <w:sz w:val="18"/>
                <w:lang w:val="bg-BG"/>
              </w:rPr>
              <w:t xml:space="preserve"> до ъгъла </w:t>
            </w:r>
            <m:oMath>
              <m:r>
                <w:rPr>
                  <w:rFonts w:ascii="Cambria Math" w:hAnsi="Cambria Math" w:cs="Arial"/>
                  <w:sz w:val="18"/>
                  <w:szCs w:val="18"/>
                  <w:lang w:val="bg-BG"/>
                </w:rPr>
                <m:t>φ</m:t>
              </m:r>
              <m:r>
                <w:rPr>
                  <w:rFonts w:ascii="Cambria Math" w:eastAsia="Calibri" w:hAnsi="Cambria Math"/>
                  <w:lang w:val="bg-BG"/>
                </w:rPr>
                <m:t>=30°</m:t>
              </m:r>
            </m:oMath>
          </w:p>
        </w:tc>
      </w:tr>
    </w:tbl>
    <w:p w:rsidR="00577ECC" w:rsidRPr="009072DA" w:rsidRDefault="00577ECC" w:rsidP="00577ECC">
      <w:pPr>
        <w:pStyle w:val="ESgauche"/>
        <w:rPr>
          <w:rFonts w:eastAsia="Calibri"/>
          <w:noProof w:val="0"/>
          <w:lang w:val="bg-BG"/>
        </w:rPr>
      </w:pPr>
    </w:p>
    <w:p w:rsidR="00973DAA" w:rsidRPr="009072DA" w:rsidRDefault="00973DAA" w:rsidP="00222FDC">
      <w:pPr>
        <w:pStyle w:val="ESletpar"/>
        <w:ind w:left="567"/>
        <w:rPr>
          <w:rFonts w:ascii="Times New Roman" w:hAnsi="Times New Roman" w:cs="Arial"/>
          <w:szCs w:val="18"/>
          <w:lang w:val="bg-BG"/>
        </w:rPr>
      </w:pPr>
      <w:r w:rsidRPr="009072DA">
        <w:rPr>
          <w:lang w:val="bg-BG"/>
        </w:rPr>
        <w:t>Където:</w:t>
      </w:r>
    </w:p>
    <w:p w:rsidR="00973DAA" w:rsidRPr="009072DA" w:rsidRDefault="002B712C" w:rsidP="00222FDC">
      <w:pPr>
        <w:pStyle w:val="EStiret"/>
        <w:ind w:left="1276" w:hanging="709"/>
        <w:rPr>
          <w:rFonts w:eastAsia="Calibri" w:cs="Arial"/>
          <w:noProof w:val="0"/>
          <w:szCs w:val="18"/>
          <w:lang w:val="bg-BG"/>
        </w:rPr>
      </w:pPr>
      <m:oMath>
        <m:sSub>
          <m:sSubPr>
            <m:ctrlPr>
              <w:rPr>
                <w:rFonts w:ascii="Cambria Math" w:eastAsia="Calibri" w:hAnsi="Cambria Math"/>
                <w:i/>
                <w:noProof w:val="0"/>
                <w:snapToGrid/>
                <w:color w:val="auto"/>
                <w:lang w:val="bg-BG"/>
              </w:rPr>
            </m:ctrlPr>
          </m:sSubPr>
          <m:e>
            <m:r>
              <w:rPr>
                <w:rFonts w:ascii="Cambria Math" w:eastAsia="Calibri" w:hAnsi="Cambria Math"/>
                <w:noProof w:val="0"/>
                <w:lang w:val="bg-BG"/>
              </w:rPr>
              <m:t>h</m:t>
            </m:r>
          </m:e>
          <m:sub>
            <m:r>
              <w:rPr>
                <w:rFonts w:ascii="Cambria Math" w:eastAsia="Calibri" w:hAnsi="Cambria Math"/>
                <w:noProof w:val="0"/>
                <w:lang w:val="bg-BG"/>
              </w:rPr>
              <m:t>max</m:t>
            </m:r>
          </m:sub>
        </m:sSub>
      </m:oMath>
      <w:r w:rsidR="007B1046" w:rsidRPr="009072DA">
        <w:rPr>
          <w:noProof w:val="0"/>
          <w:lang w:val="bg-BG"/>
        </w:rPr>
        <w:tab/>
        <w:t>е максималното рамо на изправящия момент;</w:t>
      </w:r>
    </w:p>
    <w:p w:rsidR="00973DAA" w:rsidRPr="009072DA" w:rsidRDefault="00A535DE" w:rsidP="00222FDC">
      <w:pPr>
        <w:pStyle w:val="EStiret"/>
        <w:ind w:left="1276" w:hanging="709"/>
        <w:rPr>
          <w:rFonts w:eastAsia="Calibri" w:cs="Arial"/>
          <w:noProof w:val="0"/>
          <w:szCs w:val="18"/>
          <w:vertAlign w:val="superscript"/>
          <w:lang w:val="bg-BG"/>
        </w:rPr>
      </w:pPr>
      <m:oMath>
        <m:r>
          <w:rPr>
            <w:rFonts w:ascii="Cambria Math" w:eastAsia="Calibri" w:hAnsi="Cambria Math"/>
            <w:noProof w:val="0"/>
            <w:lang w:val="bg-BG"/>
          </w:rPr>
          <m:t>φ</m:t>
        </m:r>
      </m:oMath>
      <w:r w:rsidRPr="009072DA">
        <w:rPr>
          <w:noProof w:val="0"/>
          <w:lang w:val="bg-BG"/>
        </w:rPr>
        <w:tab/>
        <w:t>ъгълът на крен;</w:t>
      </w:r>
    </w:p>
    <w:p w:rsidR="00973DAA" w:rsidRPr="009072DA" w:rsidRDefault="002B712C" w:rsidP="00222FDC">
      <w:pPr>
        <w:pStyle w:val="EStiret"/>
        <w:ind w:left="1276" w:hanging="709"/>
        <w:rPr>
          <w:rFonts w:eastAsia="Calibri" w:cs="Arial"/>
          <w:noProof w:val="0"/>
          <w:szCs w:val="18"/>
          <w:vertAlign w:val="superscript"/>
          <w:lang w:val="bg-BG"/>
        </w:rPr>
      </w:pPr>
      <m:oMath>
        <m:sSub>
          <m:sSubPr>
            <m:ctrlPr>
              <w:rPr>
                <w:rFonts w:ascii="Cambria Math" w:eastAsia="Calibri" w:hAnsi="Cambria Math"/>
                <w:i/>
                <w:noProof w:val="0"/>
                <w:snapToGrid/>
                <w:color w:val="auto"/>
                <w:lang w:val="bg-BG"/>
              </w:rPr>
            </m:ctrlPr>
          </m:sSubPr>
          <m:e>
            <m:r>
              <w:rPr>
                <w:rFonts w:ascii="Cambria Math" w:eastAsia="Calibri" w:hAnsi="Cambria Math"/>
                <w:noProof w:val="0"/>
                <w:lang w:val="bg-BG"/>
              </w:rPr>
              <m:t>φ</m:t>
            </m:r>
          </m:e>
          <m:sub>
            <m:r>
              <w:rPr>
                <w:rFonts w:ascii="Cambria Math" w:eastAsia="Calibri" w:hAnsi="Cambria Math"/>
                <w:noProof w:val="0"/>
                <w:lang w:val="bg-BG"/>
              </w:rPr>
              <m:t>f</m:t>
            </m:r>
          </m:sub>
        </m:sSub>
      </m:oMath>
      <w:r w:rsidR="007B1046" w:rsidRPr="009072DA">
        <w:rPr>
          <w:noProof w:val="0"/>
          <w:lang w:val="bg-BG"/>
        </w:rPr>
        <w:tab/>
        <w:t>ъгълът на заливане, т.е. ъгълът на крен, при който отворите в корпуса, надстройката или рубките, които не могат да се затворят, така че да не пропускат вода, се потапят във водата;</w:t>
      </w:r>
    </w:p>
    <w:p w:rsidR="00973DAA" w:rsidRPr="009072DA" w:rsidRDefault="002B712C" w:rsidP="00222FDC">
      <w:pPr>
        <w:pStyle w:val="EStiret"/>
        <w:ind w:left="1276" w:hanging="709"/>
        <w:rPr>
          <w:rFonts w:eastAsia="Calibri" w:cs="Arial"/>
          <w:noProof w:val="0"/>
          <w:szCs w:val="18"/>
          <w:vertAlign w:val="superscript"/>
          <w:lang w:val="bg-BG"/>
        </w:rPr>
      </w:pPr>
      <m:oMath>
        <m:sSub>
          <m:sSubPr>
            <m:ctrlPr>
              <w:rPr>
                <w:rFonts w:ascii="Cambria Math" w:eastAsia="Calibri" w:hAnsi="Cambria Math"/>
                <w:i/>
                <w:noProof w:val="0"/>
                <w:snapToGrid/>
                <w:color w:val="auto"/>
                <w:lang w:val="bg-BG"/>
              </w:rPr>
            </m:ctrlPr>
          </m:sSubPr>
          <m:e>
            <m:r>
              <w:rPr>
                <w:rFonts w:ascii="Cambria Math" w:eastAsia="Calibri" w:hAnsi="Cambria Math"/>
                <w:noProof w:val="0"/>
                <w:lang w:val="bg-BG"/>
              </w:rPr>
              <m:t>φ</m:t>
            </m:r>
          </m:e>
          <m:sub>
            <m:r>
              <w:rPr>
                <w:rFonts w:ascii="Cambria Math" w:eastAsia="Calibri" w:hAnsi="Cambria Math"/>
                <w:noProof w:val="0"/>
                <w:lang w:val="bg-BG"/>
              </w:rPr>
              <m:t>mom</m:t>
            </m:r>
          </m:sub>
        </m:sSub>
      </m:oMath>
      <w:r w:rsidR="007B1046" w:rsidRPr="009072DA">
        <w:rPr>
          <w:noProof w:val="0"/>
          <w:lang w:val="bg-BG"/>
        </w:rPr>
        <w:tab/>
        <w:t>максималният ъгъл на крен съгласно д);</w:t>
      </w:r>
    </w:p>
    <w:p w:rsidR="00973DAA" w:rsidRPr="009072DA" w:rsidRDefault="002B712C" w:rsidP="00222FDC">
      <w:pPr>
        <w:pStyle w:val="EStiret"/>
        <w:ind w:left="1276" w:hanging="709"/>
        <w:rPr>
          <w:rFonts w:eastAsia="Calibri" w:cs="Arial"/>
          <w:noProof w:val="0"/>
          <w:szCs w:val="18"/>
          <w:vertAlign w:val="superscript"/>
          <w:lang w:val="bg-BG"/>
        </w:rPr>
      </w:pPr>
      <m:oMath>
        <m:sSub>
          <m:sSubPr>
            <m:ctrlPr>
              <w:rPr>
                <w:rFonts w:ascii="Cambria Math" w:eastAsia="Calibri" w:hAnsi="Cambria Math"/>
                <w:i/>
                <w:noProof w:val="0"/>
                <w:snapToGrid/>
                <w:color w:val="auto"/>
                <w:lang w:val="bg-BG"/>
              </w:rPr>
            </m:ctrlPr>
          </m:sSubPr>
          <m:e>
            <m:r>
              <w:rPr>
                <w:rFonts w:ascii="Cambria Math" w:eastAsia="Calibri" w:hAnsi="Cambria Math"/>
                <w:noProof w:val="0"/>
                <w:lang w:val="bg-BG"/>
              </w:rPr>
              <m:t>φ</m:t>
            </m:r>
          </m:e>
          <m:sub>
            <m:r>
              <w:rPr>
                <w:rFonts w:ascii="Cambria Math" w:eastAsia="Calibri" w:hAnsi="Cambria Math"/>
                <w:noProof w:val="0"/>
                <w:lang w:val="bg-BG"/>
              </w:rPr>
              <m:t>max</m:t>
            </m:r>
          </m:sub>
        </m:sSub>
      </m:oMath>
      <w:r w:rsidR="007B1046" w:rsidRPr="009072DA">
        <w:rPr>
          <w:noProof w:val="0"/>
          <w:lang w:val="bg-BG"/>
        </w:rPr>
        <w:tab/>
        <w:t>ъгълът на крен, при който се наблюдава максималното рамо на изправящия момент;</w:t>
      </w:r>
    </w:p>
    <w:p w:rsidR="00973DAA" w:rsidRPr="009072DA" w:rsidRDefault="00F1380E" w:rsidP="00222FDC">
      <w:pPr>
        <w:pStyle w:val="EStiret"/>
        <w:ind w:left="1276" w:hanging="709"/>
        <w:rPr>
          <w:rFonts w:eastAsia="Calibri" w:cs="Arial"/>
          <w:noProof w:val="0"/>
          <w:szCs w:val="18"/>
          <w:vertAlign w:val="superscript"/>
          <w:lang w:val="bg-BG"/>
        </w:rPr>
      </w:pPr>
      <m:oMath>
        <m:r>
          <w:rPr>
            <w:rFonts w:ascii="Cambria Math" w:eastAsia="Calibri" w:hAnsi="Cambria Math" w:cs="Arial"/>
            <w:noProof w:val="0"/>
            <w:szCs w:val="18"/>
            <w:lang w:val="bg-BG"/>
          </w:rPr>
          <m:t>A</m:t>
        </m:r>
      </m:oMath>
      <w:r w:rsidRPr="009072DA">
        <w:rPr>
          <w:noProof w:val="0"/>
          <w:lang w:val="bg-BG"/>
        </w:rPr>
        <w:tab/>
        <w:t>площта под кривата на рамената на изправящия момент;</w:t>
      </w:r>
    </w:p>
    <w:p w:rsidR="00577ECC" w:rsidRPr="009072DA" w:rsidRDefault="00577ECC" w:rsidP="00973DAA">
      <w:pPr>
        <w:pStyle w:val="ESch"/>
        <w:rPr>
          <w:rFonts w:eastAsia="Calibri"/>
          <w:lang w:val="bg-BG"/>
        </w:rPr>
      </w:pPr>
    </w:p>
    <w:p w:rsidR="00505D66" w:rsidRPr="009072DA" w:rsidRDefault="00505D66" w:rsidP="00973DAA">
      <w:pPr>
        <w:pStyle w:val="ESch"/>
        <w:rPr>
          <w:rFonts w:eastAsia="Calibri"/>
          <w:lang w:val="bg-BG"/>
        </w:rPr>
      </w:pPr>
      <w:r w:rsidRPr="009072DA">
        <w:rPr>
          <w:lang w:val="bg-BG"/>
        </w:rPr>
        <w:br w:type="page"/>
      </w:r>
    </w:p>
    <w:p w:rsidR="00973DAA" w:rsidRPr="009072DA" w:rsidRDefault="005C7859" w:rsidP="00577ECC">
      <w:pPr>
        <w:pStyle w:val="ESlet"/>
        <w:rPr>
          <w:rFonts w:eastAsia="Calibri" w:cs="Arial"/>
          <w:szCs w:val="18"/>
          <w:lang w:val="bg-BG"/>
        </w:rPr>
      </w:pPr>
      <w:r w:rsidRPr="009072DA">
        <w:rPr>
          <w:lang w:val="bg-BG"/>
        </w:rPr>
        <w:lastRenderedPageBreak/>
        <w:t>г)</w:t>
      </w:r>
      <w:r w:rsidRPr="009072DA">
        <w:rPr>
          <w:lang w:val="bg-BG"/>
        </w:rPr>
        <w:tab/>
        <w:t xml:space="preserve">първоначалната метацентрична височина, </w:t>
      </w:r>
      <m:oMath>
        <m:sSub>
          <m:sSubPr>
            <m:ctrlPr>
              <w:rPr>
                <w:rFonts w:ascii="Cambria Math" w:eastAsia="Calibri" w:hAnsi="Cambria Math"/>
                <w:i/>
                <w:lang w:val="bg-BG"/>
              </w:rPr>
            </m:ctrlPr>
          </m:sSubPr>
          <m:e>
            <m:r>
              <w:rPr>
                <w:rFonts w:ascii="Cambria Math" w:eastAsia="Calibri" w:hAnsi="Cambria Math"/>
                <w:lang w:val="bg-BG"/>
              </w:rPr>
              <m:t>GM</m:t>
            </m:r>
          </m:e>
          <m:sub>
            <m:r>
              <w:rPr>
                <w:rFonts w:ascii="Cambria Math" w:eastAsia="Calibri" w:hAnsi="Cambria Math"/>
                <w:lang w:val="bg-BG"/>
              </w:rPr>
              <m:t>o</m:t>
            </m:r>
          </m:sub>
        </m:sSub>
      </m:oMath>
      <w:r w:rsidRPr="009072DA">
        <w:rPr>
          <w:lang w:val="bg-BG"/>
        </w:rPr>
        <w:t>, коригирана с ефекта на откритите повърхности в резервоарите за течности, е не по-малка от 0,15 m;</w:t>
      </w:r>
    </w:p>
    <w:p w:rsidR="00973DAA" w:rsidRPr="009072DA" w:rsidRDefault="0029453D" w:rsidP="00577ECC">
      <w:pPr>
        <w:pStyle w:val="ESlet"/>
        <w:rPr>
          <w:rFonts w:eastAsia="Calibri" w:cs="Arial"/>
          <w:szCs w:val="18"/>
          <w:lang w:val="bg-BG"/>
        </w:rPr>
      </w:pPr>
      <w:r w:rsidRPr="009072DA">
        <w:rPr>
          <w:lang w:val="bg-BG"/>
        </w:rPr>
        <w:t>д)</w:t>
      </w:r>
      <w:r w:rsidRPr="009072DA">
        <w:rPr>
          <w:lang w:val="bg-BG"/>
        </w:rPr>
        <w:tab/>
        <w:t xml:space="preserve">във всеки от следните два случая ъгълът на крена </w:t>
      </w:r>
      <m:oMath>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mom</m:t>
            </m:r>
          </m:sub>
        </m:sSub>
      </m:oMath>
      <w:r w:rsidRPr="009072DA">
        <w:rPr>
          <w:lang w:val="bg-BG"/>
        </w:rPr>
        <w:t xml:space="preserve"> не трябва да превишава 12°:</w:t>
      </w:r>
    </w:p>
    <w:p w:rsidR="00973DAA" w:rsidRPr="009072DA" w:rsidRDefault="0029453D" w:rsidP="00577ECC">
      <w:pPr>
        <w:pStyle w:val="EStiret"/>
        <w:rPr>
          <w:rFonts w:eastAsia="Calibri" w:cs="Arial"/>
          <w:noProof w:val="0"/>
          <w:szCs w:val="18"/>
          <w:lang w:val="bg-BG"/>
        </w:rPr>
      </w:pPr>
      <w:r w:rsidRPr="009072DA">
        <w:rPr>
          <w:noProof w:val="0"/>
          <w:lang w:val="bg-BG"/>
        </w:rPr>
        <w:t>aa)</w:t>
      </w:r>
      <w:r w:rsidRPr="009072DA">
        <w:rPr>
          <w:noProof w:val="0"/>
          <w:lang w:val="bg-BG"/>
        </w:rPr>
        <w:tab/>
        <w:t>при прилагането на кренящ момент, дължащ се на пътниците и вятъра, съгласно точки  4 и 5;</w:t>
      </w:r>
    </w:p>
    <w:p w:rsidR="00973DAA" w:rsidRPr="009072DA" w:rsidRDefault="00973DAA" w:rsidP="00577ECC">
      <w:pPr>
        <w:pStyle w:val="EStiret"/>
        <w:rPr>
          <w:rFonts w:eastAsia="Calibri" w:cs="Arial"/>
          <w:noProof w:val="0"/>
          <w:szCs w:val="18"/>
          <w:lang w:val="bg-BG"/>
        </w:rPr>
      </w:pPr>
      <w:r w:rsidRPr="009072DA">
        <w:rPr>
          <w:noProof w:val="0"/>
          <w:lang w:val="bg-BG"/>
        </w:rPr>
        <w:t>бб)</w:t>
      </w:r>
      <w:r w:rsidRPr="009072DA">
        <w:rPr>
          <w:noProof w:val="0"/>
          <w:lang w:val="bg-BG"/>
        </w:rPr>
        <w:tab/>
        <w:t>при прилагането на кренящ момент, дължащ се на пътниците и завъртането, съгласно раздели 4 и 6;</w:t>
      </w:r>
    </w:p>
    <w:p w:rsidR="00973DAA" w:rsidRPr="009072DA" w:rsidRDefault="0029453D" w:rsidP="00577ECC">
      <w:pPr>
        <w:pStyle w:val="ESlet"/>
        <w:rPr>
          <w:rFonts w:eastAsia="Calibri" w:cs="Arial"/>
          <w:szCs w:val="18"/>
          <w:lang w:val="bg-BG"/>
        </w:rPr>
      </w:pPr>
      <w:r w:rsidRPr="009072DA">
        <w:rPr>
          <w:lang w:val="bg-BG"/>
        </w:rPr>
        <w:t>е)</w:t>
      </w:r>
      <w:r w:rsidRPr="009072DA">
        <w:rPr>
          <w:lang w:val="bg-BG"/>
        </w:rPr>
        <w:tab/>
        <w:t>за кренящ момент, дължащ се на моменти от пътниците, вятъра и завъртането, съгласно точки 4, 5 и 6, остатъчният надводен борд трябва да бъде не по-малко от 0,20 m;</w:t>
      </w:r>
    </w:p>
    <w:p w:rsidR="00973DAA" w:rsidRPr="009072DA" w:rsidRDefault="0029453D" w:rsidP="00577ECC">
      <w:pPr>
        <w:pStyle w:val="ESlet"/>
        <w:rPr>
          <w:rFonts w:eastAsia="Calibri" w:cs="Arial"/>
          <w:szCs w:val="18"/>
          <w:lang w:val="bg-BG"/>
        </w:rPr>
      </w:pPr>
      <w:r w:rsidRPr="009072DA">
        <w:rPr>
          <w:lang w:val="bg-BG"/>
        </w:rPr>
        <w:t>ж)</w:t>
      </w:r>
      <w:r w:rsidRPr="009072DA">
        <w:rPr>
          <w:lang w:val="bg-BG"/>
        </w:rPr>
        <w:tab/>
        <w:t>за плавателни съдове с прозорци или други отвори в корпуса, които се намират под палубата на преградите и не се затварят водонепроницаемо, остатъчното разстояние на безопасност e не по-малко от 0,10 m под действието на трите кренящи момента, посочени в буква е).</w:t>
      </w:r>
    </w:p>
    <w:p w:rsidR="00505D66" w:rsidRPr="009072DA" w:rsidRDefault="00505D66"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4.</w:t>
      </w:r>
      <w:r w:rsidRPr="009072DA">
        <w:rPr>
          <w:lang w:val="bg-BG"/>
        </w:rPr>
        <w:tab/>
        <w:t xml:space="preserve">Кренящият момент, дължащ се натрупване на хора от едната страна </w:t>
      </w:r>
      <m:oMath>
        <m:sSub>
          <m:sSubPr>
            <m:ctrlPr>
              <w:rPr>
                <w:rFonts w:ascii="Cambria Math" w:eastAsia="Calibri" w:hAnsi="Cambria Math"/>
                <w:i/>
                <w:lang w:val="bg-BG"/>
              </w:rPr>
            </m:ctrlPr>
          </m:sSubPr>
          <m:e>
            <m:r>
              <w:rPr>
                <w:rFonts w:ascii="Cambria Math" w:eastAsia="Calibri" w:hAnsi="Cambria Math"/>
                <w:lang w:val="bg-BG"/>
              </w:rPr>
              <m:t>M</m:t>
            </m:r>
          </m:e>
          <m:sub>
            <m:r>
              <w:rPr>
                <w:rFonts w:ascii="Cambria Math" w:eastAsia="Calibri" w:hAnsi="Cambria Math"/>
                <w:lang w:val="bg-BG"/>
              </w:rPr>
              <m:t>p</m:t>
            </m:r>
          </m:sub>
        </m:sSub>
      </m:oMath>
      <w:r w:rsidRPr="009072DA">
        <w:rPr>
          <w:lang w:val="bg-BG"/>
        </w:rPr>
        <w:t xml:space="preserve"> се изчислява по следната формула:</w:t>
      </w:r>
    </w:p>
    <w:p w:rsidR="00BB70D1" w:rsidRPr="009072DA" w:rsidRDefault="00BB70D1" w:rsidP="00973DAA">
      <w:pPr>
        <w:pStyle w:val="ESch"/>
        <w:rPr>
          <w:rFonts w:eastAsia="Calibri"/>
          <w:lang w:val="bg-BG"/>
        </w:rPr>
      </w:pPr>
    </w:p>
    <w:p w:rsidR="00BB70D1" w:rsidRPr="009072DA" w:rsidRDefault="002B712C" w:rsidP="00BB70D1">
      <w:pPr>
        <w:pStyle w:val="ESch"/>
        <w:ind w:left="0" w:firstLine="0"/>
        <w:rPr>
          <w:rFonts w:eastAsia="Calibri" w:cs="Arial"/>
          <w:szCs w:val="18"/>
          <w:lang w:val="bg-BG"/>
        </w:rPr>
      </w:pPr>
      <m:oMathPara>
        <m:oMath>
          <m:sSub>
            <m:sSubPr>
              <m:ctrlPr>
                <w:rPr>
                  <w:rFonts w:ascii="Cambria Math" w:eastAsia="Calibri" w:hAnsi="Cambria Math" w:cs="Arial"/>
                  <w:i/>
                  <w:szCs w:val="18"/>
                  <w:lang w:val="bg-BG"/>
                </w:rPr>
              </m:ctrlPr>
            </m:sSubPr>
            <m:e>
              <m:r>
                <w:rPr>
                  <w:rFonts w:ascii="Cambria Math" w:eastAsia="Calibri" w:hAnsi="Cambria Math" w:cs="Arial"/>
                  <w:szCs w:val="18"/>
                  <w:lang w:val="bg-BG"/>
                </w:rPr>
                <m:t>M</m:t>
              </m:r>
            </m:e>
            <m:sub>
              <m:r>
                <w:rPr>
                  <w:rFonts w:ascii="Cambria Math" w:eastAsia="Calibri" w:hAnsi="Cambria Math" w:cs="Arial"/>
                  <w:szCs w:val="18"/>
                  <w:lang w:val="bg-BG"/>
                </w:rPr>
                <m:t>p</m:t>
              </m:r>
            </m:sub>
          </m:sSub>
          <m:r>
            <w:rPr>
              <w:rFonts w:ascii="Cambria Math" w:eastAsia="Calibri" w:hAnsi="Cambria Math" w:cs="Arial"/>
              <w:szCs w:val="18"/>
              <w:lang w:val="bg-BG"/>
            </w:rPr>
            <m:t xml:space="preserve">=g ∙P ∙y=g ∙ </m:t>
          </m:r>
          <m:nary>
            <m:naryPr>
              <m:chr m:val="∑"/>
              <m:limLoc m:val="undOvr"/>
              <m:subHide m:val="1"/>
              <m:supHide m:val="1"/>
              <m:ctrlPr>
                <w:rPr>
                  <w:rFonts w:ascii="Cambria Math" w:eastAsia="Calibri" w:hAnsi="Cambria Math" w:cs="Arial"/>
                  <w:i/>
                  <w:szCs w:val="18"/>
                  <w:lang w:val="bg-BG"/>
                </w:rPr>
              </m:ctrlPr>
            </m:naryPr>
            <m:sub/>
            <m:sup/>
            <m:e>
              <m:sSub>
                <m:sSubPr>
                  <m:ctrlPr>
                    <w:rPr>
                      <w:rFonts w:ascii="Cambria Math" w:eastAsia="Calibri" w:hAnsi="Cambria Math" w:cs="Arial"/>
                      <w:i/>
                      <w:szCs w:val="18"/>
                      <w:lang w:val="bg-BG"/>
                    </w:rPr>
                  </m:ctrlPr>
                </m:sSubPr>
                <m:e>
                  <m:r>
                    <w:rPr>
                      <w:rFonts w:ascii="Cambria Math" w:eastAsia="Calibri" w:hAnsi="Cambria Math" w:cs="Arial"/>
                      <w:szCs w:val="18"/>
                      <w:lang w:val="bg-BG"/>
                    </w:rPr>
                    <m:t>P</m:t>
                  </m:r>
                </m:e>
                <m:sub>
                  <m:r>
                    <w:rPr>
                      <w:rFonts w:ascii="Cambria Math" w:eastAsia="Calibri" w:hAnsi="Cambria Math" w:cs="Arial"/>
                      <w:szCs w:val="18"/>
                      <w:lang w:val="bg-BG"/>
                    </w:rPr>
                    <m:t>i</m:t>
                  </m:r>
                </m:sub>
              </m:sSub>
              <m:r>
                <w:rPr>
                  <w:rFonts w:ascii="Cambria Math" w:eastAsia="Calibri" w:hAnsi="Cambria Math" w:cs="Arial"/>
                  <w:szCs w:val="18"/>
                  <w:lang w:val="bg-BG"/>
                </w:rPr>
                <m:t xml:space="preserve"> ∙</m:t>
              </m:r>
              <m:sSub>
                <m:sSubPr>
                  <m:ctrlPr>
                    <w:rPr>
                      <w:rFonts w:ascii="Cambria Math" w:eastAsia="Calibri" w:hAnsi="Cambria Math" w:cs="Arial"/>
                      <w:i/>
                      <w:szCs w:val="18"/>
                      <w:lang w:val="bg-BG"/>
                    </w:rPr>
                  </m:ctrlPr>
                </m:sSubPr>
                <m:e>
                  <m:r>
                    <w:rPr>
                      <w:rFonts w:ascii="Cambria Math" w:eastAsia="Calibri" w:hAnsi="Cambria Math" w:cs="Arial"/>
                      <w:szCs w:val="18"/>
                      <w:lang w:val="bg-BG"/>
                    </w:rPr>
                    <m:t>y</m:t>
                  </m:r>
                </m:e>
                <m:sub>
                  <m:r>
                    <w:rPr>
                      <w:rFonts w:ascii="Cambria Math" w:eastAsia="Calibri" w:hAnsi="Cambria Math" w:cs="Arial"/>
                      <w:szCs w:val="18"/>
                      <w:lang w:val="bg-BG"/>
                    </w:rPr>
                    <m:t>i</m:t>
                  </m:r>
                </m:sub>
              </m:sSub>
              <m:r>
                <w:rPr>
                  <w:rFonts w:ascii="Cambria Math" w:eastAsia="Calibri" w:hAnsi="Cambria Math" w:cs="Arial"/>
                  <w:szCs w:val="18"/>
                  <w:lang w:val="bg-BG"/>
                </w:rPr>
                <m:t xml:space="preserve"> [kNm]</m:t>
              </m:r>
            </m:e>
          </m:nary>
        </m:oMath>
      </m:oMathPara>
    </w:p>
    <w:p w:rsidR="00505D66" w:rsidRPr="009072DA" w:rsidRDefault="00505D66" w:rsidP="00973DAA">
      <w:pPr>
        <w:pStyle w:val="ESch"/>
        <w:rPr>
          <w:rFonts w:eastAsia="Calibri" w:cs="Arial"/>
          <w:lang w:val="bg-BG"/>
        </w:rPr>
      </w:pPr>
    </w:p>
    <w:p w:rsidR="00973DAA" w:rsidRPr="009072DA" w:rsidRDefault="00DA5DCE" w:rsidP="00505D66">
      <w:pPr>
        <w:pStyle w:val="ESlet"/>
        <w:rPr>
          <w:rFonts w:eastAsia="Calibri"/>
          <w:lang w:val="bg-BG"/>
        </w:rPr>
      </w:pPr>
      <m:oMath>
        <m:r>
          <w:rPr>
            <w:rFonts w:ascii="Cambria Math" w:eastAsia="Calibri" w:hAnsi="Cambria Math" w:cs="Arial"/>
            <w:szCs w:val="18"/>
            <w:lang w:val="bg-BG"/>
          </w:rPr>
          <m:t>P</m:t>
        </m:r>
      </m:oMath>
      <w:r w:rsidRPr="009072DA">
        <w:rPr>
          <w:lang w:val="bg-BG"/>
        </w:rPr>
        <w:t xml:space="preserve"> =</w:t>
      </w:r>
      <w:r w:rsidRPr="009072DA">
        <w:rPr>
          <w:lang w:val="bg-BG"/>
        </w:rPr>
        <w:tab/>
        <w:t>обща маса на лицата на борда [t], изчислена чрез сумиране на максимално разрешения брой пътници с максималния брой членове на обслужващия персонал и екипажа при обичайни експлоатационни условия, като се приеме средна маса на лице от 0,075 t;</w:t>
      </w:r>
    </w:p>
    <w:p w:rsidR="00973DAA" w:rsidRPr="009072DA" w:rsidRDefault="00DA5DCE" w:rsidP="00505D66">
      <w:pPr>
        <w:pStyle w:val="ESlet"/>
        <w:rPr>
          <w:rFonts w:eastAsia="Calibri"/>
          <w:lang w:val="bg-BG"/>
        </w:rPr>
      </w:pPr>
      <m:oMath>
        <m:r>
          <w:rPr>
            <w:rFonts w:ascii="Cambria Math" w:eastAsia="Calibri" w:hAnsi="Cambria Math"/>
            <w:lang w:val="bg-BG"/>
          </w:rPr>
          <m:t>y</m:t>
        </m:r>
      </m:oMath>
      <w:r w:rsidRPr="009072DA">
        <w:rPr>
          <w:lang w:val="bg-BG"/>
        </w:rPr>
        <w:t xml:space="preserve"> =</w:t>
      </w:r>
      <w:r w:rsidRPr="009072DA">
        <w:rPr>
          <w:lang w:val="bg-BG"/>
        </w:rPr>
        <w:tab/>
        <w:t xml:space="preserve">странично разстояние от центъра на тежестта на общата маса на лица </w:t>
      </w:r>
      <m:oMath>
        <m:r>
          <w:rPr>
            <w:rFonts w:ascii="Cambria Math" w:eastAsia="Calibri" w:hAnsi="Cambria Math"/>
            <w:lang w:val="bg-BG"/>
          </w:rPr>
          <m:t>P</m:t>
        </m:r>
      </m:oMath>
      <w:r w:rsidRPr="009072DA">
        <w:rPr>
          <w:lang w:val="bg-BG"/>
        </w:rPr>
        <w:t xml:space="preserve"> от централната линия в [m];</w:t>
      </w:r>
    </w:p>
    <w:p w:rsidR="00973DAA" w:rsidRPr="009072DA" w:rsidRDefault="00DA5DCE" w:rsidP="00505D66">
      <w:pPr>
        <w:pStyle w:val="ESlet"/>
        <w:rPr>
          <w:rFonts w:eastAsia="Calibri"/>
          <w:lang w:val="bg-BG"/>
        </w:rPr>
      </w:pPr>
      <m:oMath>
        <m:r>
          <w:rPr>
            <w:rFonts w:ascii="Cambria Math" w:eastAsia="Calibri" w:hAnsi="Cambria Math"/>
            <w:lang w:val="bg-BG"/>
          </w:rPr>
          <m:t>g</m:t>
        </m:r>
      </m:oMath>
      <w:r w:rsidRPr="009072DA">
        <w:rPr>
          <w:lang w:val="bg-BG"/>
        </w:rPr>
        <w:t xml:space="preserve"> =</w:t>
      </w:r>
      <w:r w:rsidRPr="009072DA">
        <w:rPr>
          <w:lang w:val="bg-BG"/>
        </w:rPr>
        <w:tab/>
        <w:t xml:space="preserve">земното ускорение </w:t>
      </w:r>
      <m:oMath>
        <m:r>
          <w:rPr>
            <w:rFonts w:ascii="Cambria Math" w:eastAsia="Calibri" w:hAnsi="Cambria Math"/>
            <w:szCs w:val="18"/>
            <w:lang w:val="bg-BG"/>
          </w:rPr>
          <m:t>(g=9,81 m/</m:t>
        </m:r>
        <m:sSup>
          <m:sSupPr>
            <m:ctrlPr>
              <w:rPr>
                <w:rFonts w:ascii="Cambria Math" w:eastAsia="Calibri" w:hAnsi="Cambria Math"/>
                <w:i/>
                <w:szCs w:val="18"/>
                <w:lang w:val="bg-BG"/>
              </w:rPr>
            </m:ctrlPr>
          </m:sSupPr>
          <m:e>
            <m:r>
              <w:rPr>
                <w:rFonts w:ascii="Cambria Math" w:eastAsia="Calibri" w:hAnsi="Cambria Math"/>
                <w:szCs w:val="18"/>
                <w:lang w:val="bg-BG"/>
              </w:rPr>
              <m:t>s</m:t>
            </m:r>
          </m:e>
          <m:sup>
            <m:r>
              <w:rPr>
                <w:rFonts w:ascii="Cambria Math" w:eastAsia="Calibri" w:hAnsi="Cambria Math"/>
                <w:szCs w:val="18"/>
                <w:lang w:val="bg-BG"/>
              </w:rPr>
              <m:t>2</m:t>
            </m:r>
          </m:sup>
        </m:sSup>
        <m:r>
          <w:rPr>
            <w:rFonts w:ascii="Cambria Math" w:eastAsia="Calibri" w:hAnsi="Cambria Math"/>
            <w:szCs w:val="18"/>
            <w:lang w:val="bg-BG"/>
          </w:rPr>
          <m:t>)</m:t>
        </m:r>
      </m:oMath>
      <w:r w:rsidRPr="009072DA">
        <w:rPr>
          <w:lang w:val="bg-BG"/>
        </w:rPr>
        <w:t>;</w:t>
      </w:r>
    </w:p>
    <w:p w:rsidR="00973DAA" w:rsidRPr="009072DA" w:rsidRDefault="002B712C" w:rsidP="00505D66">
      <w:pPr>
        <w:pStyle w:val="ESlet"/>
        <w:rPr>
          <w:rFonts w:eastAsia="Calibri"/>
          <w:lang w:val="bg-BG"/>
        </w:rPr>
      </w:pPr>
      <m:oMath>
        <m:sSub>
          <m:sSubPr>
            <m:ctrlPr>
              <w:rPr>
                <w:rFonts w:ascii="Cambria Math" w:eastAsia="Calibri" w:hAnsi="Cambria Math"/>
                <w:i/>
                <w:szCs w:val="18"/>
                <w:lang w:val="bg-BG"/>
              </w:rPr>
            </m:ctrlPr>
          </m:sSubPr>
          <m:e>
            <m:r>
              <w:rPr>
                <w:rFonts w:ascii="Cambria Math" w:eastAsia="Calibri" w:hAnsi="Cambria Math"/>
                <w:szCs w:val="18"/>
                <w:lang w:val="bg-BG"/>
              </w:rPr>
              <m:t>P</m:t>
            </m:r>
          </m:e>
          <m:sub>
            <m:r>
              <w:rPr>
                <w:rFonts w:ascii="Cambria Math" w:eastAsia="Calibri" w:hAnsi="Cambria Math"/>
                <w:szCs w:val="18"/>
                <w:lang w:val="bg-BG"/>
              </w:rPr>
              <m:t>i</m:t>
            </m:r>
          </m:sub>
        </m:sSub>
      </m:oMath>
      <w:r w:rsidR="007B1046" w:rsidRPr="009072DA">
        <w:rPr>
          <w:lang w:val="bg-BG"/>
        </w:rPr>
        <w:t xml:space="preserve"> =</w:t>
      </w:r>
      <w:r w:rsidR="007B1046" w:rsidRPr="009072DA">
        <w:rPr>
          <w:lang w:val="bg-BG"/>
        </w:rPr>
        <w:tab/>
        <w:t xml:space="preserve">масата на лицата, събрани на площ </w:t>
      </w:r>
      <m:oMath>
        <m:sSub>
          <m:sSubPr>
            <m:ctrlPr>
              <w:rPr>
                <w:rFonts w:ascii="Cambria Math" w:eastAsia="Calibri" w:hAnsi="Cambria Math"/>
                <w:i/>
                <w:lang w:val="bg-BG"/>
              </w:rPr>
            </m:ctrlPr>
          </m:sSubPr>
          <m:e>
            <m:r>
              <w:rPr>
                <w:rFonts w:ascii="Cambria Math" w:eastAsia="Calibri" w:hAnsi="Cambria Math"/>
                <w:lang w:val="bg-BG"/>
              </w:rPr>
              <m:t>A</m:t>
            </m:r>
          </m:e>
          <m:sub>
            <m:r>
              <w:rPr>
                <w:rFonts w:ascii="Cambria Math" w:eastAsia="Calibri" w:hAnsi="Cambria Math"/>
                <w:lang w:val="bg-BG"/>
              </w:rPr>
              <m:t>i</m:t>
            </m:r>
          </m:sub>
        </m:sSub>
      </m:oMath>
      <w:r w:rsidR="007B1046" w:rsidRPr="009072DA">
        <w:rPr>
          <w:lang w:val="bg-BG"/>
        </w:rPr>
        <w:t>;</w:t>
      </w:r>
    </w:p>
    <w:p w:rsidR="00BB70D1" w:rsidRPr="009072DA" w:rsidRDefault="002B712C" w:rsidP="00BB70D1">
      <w:pPr>
        <w:pStyle w:val="ESlet"/>
        <w:ind w:left="0"/>
        <w:rPr>
          <w:rFonts w:eastAsia="Calibri"/>
          <w:lang w:val="bg-BG"/>
        </w:rPr>
      </w:pPr>
      <m:oMathPara>
        <m:oMath>
          <m:sSub>
            <m:sSubPr>
              <m:ctrlPr>
                <w:rPr>
                  <w:rFonts w:ascii="Cambria Math" w:eastAsia="Calibri" w:hAnsi="Cambria Math"/>
                  <w:i/>
                  <w:lang w:val="bg-BG"/>
                </w:rPr>
              </m:ctrlPr>
            </m:sSubPr>
            <m:e>
              <m:r>
                <w:rPr>
                  <w:rFonts w:ascii="Cambria Math" w:eastAsia="Calibri" w:hAnsi="Cambria Math"/>
                  <w:lang w:val="bg-BG"/>
                </w:rPr>
                <m:t>P</m:t>
              </m:r>
            </m:e>
            <m:sub>
              <m:r>
                <w:rPr>
                  <w:rFonts w:ascii="Cambria Math" w:eastAsia="Calibri" w:hAnsi="Cambria Math"/>
                  <w:lang w:val="bg-BG"/>
                </w:rPr>
                <m:t>i</m:t>
              </m:r>
            </m:sub>
          </m:sSub>
          <m:r>
            <w:rPr>
              <w:rFonts w:ascii="Cambria Math" w:eastAsia="Calibri" w:hAnsi="Cambria Math"/>
              <w:lang w:val="bg-BG"/>
            </w:rPr>
            <m:t xml:space="preserve">= </m:t>
          </m:r>
          <m:sSub>
            <m:sSubPr>
              <m:ctrlPr>
                <w:rPr>
                  <w:rFonts w:ascii="Cambria Math" w:eastAsia="Calibri" w:hAnsi="Cambria Math"/>
                  <w:i/>
                  <w:lang w:val="bg-BG"/>
                </w:rPr>
              </m:ctrlPr>
            </m:sSubPr>
            <m:e>
              <m:r>
                <w:rPr>
                  <w:rFonts w:ascii="Cambria Math" w:eastAsia="Calibri" w:hAnsi="Cambria Math"/>
                  <w:lang w:val="bg-BG"/>
                </w:rPr>
                <m:t>n</m:t>
              </m:r>
            </m:e>
            <m:sub>
              <m:r>
                <w:rPr>
                  <w:rFonts w:ascii="Cambria Math" w:eastAsia="Calibri" w:hAnsi="Cambria Math"/>
                  <w:lang w:val="bg-BG"/>
                </w:rPr>
                <m:t>i</m:t>
              </m:r>
            </m:sub>
          </m:sSub>
          <m:r>
            <w:rPr>
              <w:rFonts w:ascii="Cambria Math" w:eastAsia="Calibri" w:hAnsi="Cambria Math"/>
              <w:lang w:val="bg-BG"/>
            </w:rPr>
            <m:t xml:space="preserve"> ∙0,075 ∙ </m:t>
          </m:r>
          <m:sSub>
            <m:sSubPr>
              <m:ctrlPr>
                <w:rPr>
                  <w:rFonts w:ascii="Cambria Math" w:eastAsia="Calibri" w:hAnsi="Cambria Math"/>
                  <w:i/>
                  <w:lang w:val="bg-BG"/>
                </w:rPr>
              </m:ctrlPr>
            </m:sSubPr>
            <m:e>
              <m:r>
                <w:rPr>
                  <w:rFonts w:ascii="Cambria Math" w:eastAsia="Calibri" w:hAnsi="Cambria Math"/>
                  <w:lang w:val="bg-BG"/>
                </w:rPr>
                <m:t>A</m:t>
              </m:r>
            </m:e>
            <m:sub>
              <m:r>
                <w:rPr>
                  <w:rFonts w:ascii="Cambria Math" w:eastAsia="Calibri" w:hAnsi="Cambria Math"/>
                  <w:lang w:val="bg-BG"/>
                </w:rPr>
                <m:t>i</m:t>
              </m:r>
            </m:sub>
          </m:sSub>
          <m:r>
            <w:rPr>
              <w:rFonts w:ascii="Cambria Math" w:eastAsia="Calibri" w:hAnsi="Cambria Math"/>
              <w:lang w:val="bg-BG"/>
            </w:rPr>
            <m:t xml:space="preserve"> [t]</m:t>
          </m:r>
        </m:oMath>
      </m:oMathPara>
    </w:p>
    <w:p w:rsidR="00973DAA" w:rsidRPr="009072DA" w:rsidRDefault="00973DAA" w:rsidP="00505D66">
      <w:pPr>
        <w:pStyle w:val="ESchpar"/>
        <w:rPr>
          <w:rFonts w:eastAsia="Calibri"/>
          <w:lang w:val="bg-BG"/>
        </w:rPr>
      </w:pPr>
      <w:r w:rsidRPr="009072DA">
        <w:rPr>
          <w:lang w:val="bg-BG"/>
        </w:rPr>
        <w:t>където</w:t>
      </w:r>
    </w:p>
    <w:p w:rsidR="00973DAA" w:rsidRPr="009072DA" w:rsidRDefault="002B712C" w:rsidP="00505D66">
      <w:pPr>
        <w:pStyle w:val="ESlet"/>
        <w:rPr>
          <w:rFonts w:eastAsia="Calibri"/>
          <w:lang w:val="bg-BG"/>
        </w:rPr>
      </w:pPr>
      <m:oMath>
        <m:sSub>
          <m:sSubPr>
            <m:ctrlPr>
              <w:rPr>
                <w:rFonts w:ascii="Cambria Math" w:eastAsia="Calibri" w:hAnsi="Cambria Math"/>
                <w:i/>
                <w:lang w:val="bg-BG"/>
              </w:rPr>
            </m:ctrlPr>
          </m:sSubPr>
          <m:e>
            <m:r>
              <w:rPr>
                <w:rFonts w:ascii="Cambria Math" w:eastAsia="Calibri" w:hAnsi="Cambria Math"/>
                <w:lang w:val="bg-BG"/>
              </w:rPr>
              <m:t>A</m:t>
            </m:r>
          </m:e>
          <m:sub>
            <m:r>
              <w:rPr>
                <w:rFonts w:ascii="Cambria Math" w:eastAsia="Calibri" w:hAnsi="Cambria Math"/>
                <w:lang w:val="bg-BG"/>
              </w:rPr>
              <m:t>i</m:t>
            </m:r>
          </m:sub>
        </m:sSub>
      </m:oMath>
      <w:r w:rsidR="007B1046" w:rsidRPr="009072DA">
        <w:rPr>
          <w:lang w:val="bg-BG"/>
        </w:rPr>
        <w:t xml:space="preserve"> =</w:t>
      </w:r>
      <w:r w:rsidR="007B1046" w:rsidRPr="009072DA">
        <w:rPr>
          <w:lang w:val="bg-BG"/>
        </w:rPr>
        <w:tab/>
        <w:t>площта, заета от лицата в [m</w:t>
      </w:r>
      <w:r w:rsidR="007B1046" w:rsidRPr="009072DA">
        <w:rPr>
          <w:vertAlign w:val="superscript"/>
          <w:lang w:val="bg-BG"/>
        </w:rPr>
        <w:t>2</w:t>
      </w:r>
      <w:r w:rsidR="007B1046" w:rsidRPr="009072DA">
        <w:rPr>
          <w:lang w:val="bg-BG"/>
        </w:rPr>
        <w:t>];</w:t>
      </w:r>
    </w:p>
    <w:p w:rsidR="00973DAA" w:rsidRPr="009072DA" w:rsidRDefault="002B712C" w:rsidP="00505D66">
      <w:pPr>
        <w:pStyle w:val="ESlet"/>
        <w:rPr>
          <w:rFonts w:eastAsia="Calibri"/>
          <w:lang w:val="bg-BG"/>
        </w:rPr>
      </w:pPr>
      <m:oMath>
        <m:sSub>
          <m:sSubPr>
            <m:ctrlPr>
              <w:rPr>
                <w:rFonts w:ascii="Cambria Math" w:eastAsia="Calibri" w:hAnsi="Cambria Math"/>
                <w:i/>
                <w:lang w:val="bg-BG"/>
              </w:rPr>
            </m:ctrlPr>
          </m:sSubPr>
          <m:e>
            <m:r>
              <w:rPr>
                <w:rFonts w:ascii="Cambria Math" w:eastAsia="Calibri" w:hAnsi="Cambria Math"/>
                <w:lang w:val="bg-BG"/>
              </w:rPr>
              <m:t>n</m:t>
            </m:r>
          </m:e>
          <m:sub>
            <m:r>
              <w:rPr>
                <w:rFonts w:ascii="Cambria Math" w:eastAsia="Calibri" w:hAnsi="Cambria Math"/>
                <w:lang w:val="bg-BG"/>
              </w:rPr>
              <m:t>i</m:t>
            </m:r>
          </m:sub>
        </m:sSub>
      </m:oMath>
      <w:r w:rsidR="007B1046" w:rsidRPr="009072DA">
        <w:rPr>
          <w:lang w:val="bg-BG"/>
        </w:rPr>
        <w:t xml:space="preserve"> =</w:t>
      </w:r>
      <w:r w:rsidR="007B1046" w:rsidRPr="009072DA">
        <w:rPr>
          <w:lang w:val="bg-BG"/>
        </w:rPr>
        <w:tab/>
        <w:t>брой лица на квадратен метър:</w:t>
      </w:r>
    </w:p>
    <w:p w:rsidR="00973DAA" w:rsidRPr="009072DA" w:rsidRDefault="002B712C" w:rsidP="00505D66">
      <w:pPr>
        <w:pStyle w:val="EStiret"/>
        <w:rPr>
          <w:rFonts w:eastAsia="Calibri"/>
          <w:noProof w:val="0"/>
          <w:lang w:val="bg-BG"/>
        </w:rPr>
      </w:pPr>
      <m:oMath>
        <m:sSub>
          <m:sSubPr>
            <m:ctrlPr>
              <w:rPr>
                <w:rFonts w:ascii="Cambria Math" w:eastAsia="Calibri" w:hAnsi="Cambria Math"/>
                <w:i/>
                <w:noProof w:val="0"/>
                <w:lang w:val="bg-BG"/>
              </w:rPr>
            </m:ctrlPr>
          </m:sSubPr>
          <m:e>
            <m:r>
              <w:rPr>
                <w:rFonts w:ascii="Cambria Math" w:eastAsia="Calibri" w:hAnsi="Cambria Math"/>
                <w:noProof w:val="0"/>
                <w:lang w:val="bg-BG"/>
              </w:rPr>
              <m:t>n</m:t>
            </m:r>
          </m:e>
          <m:sub>
            <m:r>
              <w:rPr>
                <w:rFonts w:ascii="Cambria Math" w:eastAsia="Calibri" w:hAnsi="Cambria Math"/>
                <w:noProof w:val="0"/>
                <w:lang w:val="bg-BG"/>
              </w:rPr>
              <m:t>i</m:t>
            </m:r>
          </m:sub>
        </m:sSub>
      </m:oMath>
      <w:r w:rsidR="007B1046" w:rsidRPr="009072DA">
        <w:rPr>
          <w:noProof w:val="0"/>
          <w:lang w:val="bg-BG"/>
        </w:rPr>
        <w:t>=</w:t>
      </w:r>
      <w:r w:rsidR="007B1046" w:rsidRPr="009072DA">
        <w:rPr>
          <w:noProof w:val="0"/>
          <w:lang w:val="bg-BG"/>
        </w:rPr>
        <w:tab/>
        <w:t xml:space="preserve">3,75 за свободната палуба и частите на палубата с подвижни мебели; за частите на палубата с фиксирани мебели за сядане, като например пейки, </w:t>
      </w:r>
      <m:oMath>
        <m:sSub>
          <m:sSubPr>
            <m:ctrlPr>
              <w:rPr>
                <w:rFonts w:ascii="Cambria Math" w:eastAsia="Calibri" w:hAnsi="Cambria Math"/>
                <w:i/>
                <w:noProof w:val="0"/>
                <w:snapToGrid/>
                <w:color w:val="auto"/>
                <w:lang w:val="bg-BG"/>
              </w:rPr>
            </m:ctrlPr>
          </m:sSubPr>
          <m:e>
            <m:r>
              <w:rPr>
                <w:rFonts w:ascii="Cambria Math" w:eastAsia="Calibri" w:hAnsi="Cambria Math"/>
                <w:noProof w:val="0"/>
                <w:lang w:val="bg-BG"/>
              </w:rPr>
              <m:t>n</m:t>
            </m:r>
          </m:e>
          <m:sub>
            <m:r>
              <w:rPr>
                <w:rFonts w:ascii="Cambria Math" w:eastAsia="Calibri" w:hAnsi="Cambria Math"/>
                <w:noProof w:val="0"/>
                <w:lang w:val="bg-BG"/>
              </w:rPr>
              <m:t>i</m:t>
            </m:r>
          </m:sub>
        </m:sSub>
      </m:oMath>
      <w:r w:rsidR="007B1046" w:rsidRPr="009072DA">
        <w:rPr>
          <w:noProof w:val="0"/>
          <w:lang w:val="bg-BG"/>
        </w:rPr>
        <w:t xml:space="preserve"> се пресмята, като се приеме площ от 0,50 m за ширина и 0,75 m за дълбочина на сядане на човек;</w:t>
      </w:r>
    </w:p>
    <w:p w:rsidR="00973DAA" w:rsidRPr="009072DA" w:rsidRDefault="002B712C" w:rsidP="00505D66">
      <w:pPr>
        <w:pStyle w:val="ESlet"/>
        <w:rPr>
          <w:rFonts w:eastAsia="Calibri"/>
          <w:lang w:val="bg-BG"/>
        </w:rPr>
      </w:pPr>
      <m:oMath>
        <m:sSub>
          <m:sSubPr>
            <m:ctrlPr>
              <w:rPr>
                <w:rFonts w:ascii="Cambria Math" w:eastAsia="Calibri" w:hAnsi="Cambria Math"/>
                <w:i/>
                <w:lang w:val="bg-BG"/>
              </w:rPr>
            </m:ctrlPr>
          </m:sSubPr>
          <m:e>
            <m:r>
              <w:rPr>
                <w:rFonts w:ascii="Cambria Math" w:eastAsia="Calibri" w:hAnsi="Cambria Math"/>
                <w:lang w:val="bg-BG"/>
              </w:rPr>
              <m:t>y</m:t>
            </m:r>
          </m:e>
          <m:sub>
            <m:r>
              <w:rPr>
                <w:rFonts w:ascii="Cambria Math" w:eastAsia="Calibri" w:hAnsi="Cambria Math"/>
                <w:lang w:val="bg-BG"/>
              </w:rPr>
              <m:t>i</m:t>
            </m:r>
          </m:sub>
        </m:sSub>
      </m:oMath>
      <w:r w:rsidR="007B1046" w:rsidRPr="009072DA">
        <w:rPr>
          <w:lang w:val="bg-BG"/>
        </w:rPr>
        <w:t xml:space="preserve"> =</w:t>
      </w:r>
      <w:r w:rsidR="007B1046" w:rsidRPr="009072DA">
        <w:rPr>
          <w:lang w:val="bg-BG"/>
        </w:rPr>
        <w:tab/>
        <w:t xml:space="preserve">странично разстояние на геометричния център на площта </w:t>
      </w:r>
      <m:oMath>
        <m:sSub>
          <m:sSubPr>
            <m:ctrlPr>
              <w:rPr>
                <w:rFonts w:ascii="Cambria Math" w:eastAsia="Calibri" w:hAnsi="Cambria Math"/>
                <w:i/>
                <w:lang w:val="bg-BG"/>
              </w:rPr>
            </m:ctrlPr>
          </m:sSubPr>
          <m:e>
            <m:r>
              <w:rPr>
                <w:rFonts w:ascii="Cambria Math" w:eastAsia="Calibri" w:hAnsi="Cambria Math"/>
                <w:lang w:val="bg-BG"/>
              </w:rPr>
              <m:t>A</m:t>
            </m:r>
          </m:e>
          <m:sub>
            <m:r>
              <w:rPr>
                <w:rFonts w:ascii="Cambria Math" w:eastAsia="Calibri" w:hAnsi="Cambria Math"/>
                <w:lang w:val="bg-BG"/>
              </w:rPr>
              <m:t>i</m:t>
            </m:r>
          </m:sub>
        </m:sSub>
      </m:oMath>
      <w:r w:rsidR="007B1046" w:rsidRPr="009072DA">
        <w:rPr>
          <w:lang w:val="bg-BG"/>
        </w:rPr>
        <w:t xml:space="preserve"> от централната линия в [m].</w:t>
      </w:r>
    </w:p>
    <w:p w:rsidR="00505D66" w:rsidRPr="009072DA" w:rsidRDefault="00505D66" w:rsidP="00973DAA">
      <w:pPr>
        <w:pStyle w:val="ESch"/>
        <w:rPr>
          <w:rFonts w:eastAsia="Calibri"/>
          <w:lang w:val="bg-BG"/>
        </w:rPr>
      </w:pPr>
    </w:p>
    <w:p w:rsidR="00973DAA" w:rsidRPr="009072DA" w:rsidRDefault="00973DAA" w:rsidP="00505D66">
      <w:pPr>
        <w:pStyle w:val="ESchpar"/>
        <w:rPr>
          <w:rFonts w:eastAsia="Calibri" w:cs="Arial"/>
          <w:szCs w:val="18"/>
          <w:lang w:val="bg-BG"/>
        </w:rPr>
      </w:pPr>
      <w:r w:rsidRPr="009072DA">
        <w:rPr>
          <w:lang w:val="bg-BG"/>
        </w:rPr>
        <w:t>Изчислението се извършва за струпване на хора и на левия, и на десния борд.</w:t>
      </w:r>
    </w:p>
    <w:p w:rsidR="00505D66" w:rsidRPr="009072DA" w:rsidRDefault="00505D66" w:rsidP="00505D66">
      <w:pPr>
        <w:pStyle w:val="ESchpar"/>
        <w:rPr>
          <w:rFonts w:eastAsia="Calibri"/>
          <w:lang w:val="bg-BG"/>
        </w:rPr>
      </w:pPr>
    </w:p>
    <w:p w:rsidR="00973DAA" w:rsidRPr="009072DA" w:rsidRDefault="00973DAA" w:rsidP="00505D66">
      <w:pPr>
        <w:pStyle w:val="ESchpar"/>
        <w:rPr>
          <w:rFonts w:eastAsia="Calibri" w:cs="Arial"/>
          <w:szCs w:val="18"/>
          <w:lang w:val="bg-BG"/>
        </w:rPr>
      </w:pPr>
      <w:r w:rsidRPr="009072DA">
        <w:rPr>
          <w:lang w:val="bg-BG"/>
        </w:rPr>
        <w:t>Разпределението на лицата трябва да съответства на възможно най-неблагоприятното за устойчивостта разпределение. Каютите следва да се приемат за незаети за изчисляване на момента на лицата.</w:t>
      </w:r>
    </w:p>
    <w:p w:rsidR="00505D66" w:rsidRPr="009072DA" w:rsidRDefault="00505D66" w:rsidP="00505D66">
      <w:pPr>
        <w:pStyle w:val="ESchpar"/>
        <w:rPr>
          <w:rFonts w:eastAsia="Calibri"/>
          <w:lang w:val="bg-BG"/>
        </w:rPr>
      </w:pPr>
    </w:p>
    <w:p w:rsidR="00973DAA" w:rsidRPr="009072DA" w:rsidRDefault="00973DAA" w:rsidP="00505D66">
      <w:pPr>
        <w:pStyle w:val="ESchpar"/>
        <w:rPr>
          <w:rFonts w:eastAsia="Calibri" w:cs="Arial"/>
          <w:szCs w:val="18"/>
          <w:lang w:val="bg-BG"/>
        </w:rPr>
      </w:pPr>
      <w:r w:rsidRPr="009072DA">
        <w:rPr>
          <w:lang w:val="bg-BG"/>
        </w:rPr>
        <w:t xml:space="preserve">За изчислението на случаите на натоварване, центърът на тежестта на човека се приема 1 m над най-ниската точка на палубата при </w:t>
      </w:r>
      <m:oMath>
        <m:r>
          <w:rPr>
            <w:rFonts w:ascii="Cambria Math" w:eastAsia="Calibri" w:hAnsi="Cambria Math"/>
            <w:lang w:val="bg-BG"/>
          </w:rPr>
          <m:t xml:space="preserve">0,5 </m:t>
        </m:r>
        <m:sSub>
          <m:sSubPr>
            <m:ctrlPr>
              <w:rPr>
                <w:rFonts w:ascii="Cambria Math" w:eastAsia="Calibri" w:hAnsi="Cambria Math"/>
                <w:i/>
                <w:lang w:val="bg-BG"/>
              </w:rPr>
            </m:ctrlPr>
          </m:sSubPr>
          <m:e>
            <m:r>
              <w:rPr>
                <w:rFonts w:ascii="Cambria Math" w:eastAsia="Calibri" w:hAnsi="Cambria Math"/>
                <w:lang w:val="bg-BG"/>
              </w:rPr>
              <m:t>L</m:t>
            </m:r>
          </m:e>
          <m:sub>
            <m:r>
              <w:rPr>
                <w:rFonts w:ascii="Cambria Math" w:eastAsia="Calibri" w:hAnsi="Cambria Math"/>
                <w:lang w:val="bg-BG"/>
              </w:rPr>
              <m:t>WL</m:t>
            </m:r>
          </m:sub>
        </m:sSub>
      </m:oMath>
      <w:r w:rsidRPr="009072DA">
        <w:rPr>
          <w:lang w:val="bg-BG"/>
        </w:rPr>
        <w:t>, като се игнорират евентуални изпъкналости или вдлъбнатини на палубата и се приема средна маса на лице от 0,075 t.</w:t>
      </w:r>
    </w:p>
    <w:p w:rsidR="00505D66" w:rsidRPr="009072DA" w:rsidRDefault="00505D66" w:rsidP="00505D66">
      <w:pPr>
        <w:pStyle w:val="ESchpar"/>
        <w:rPr>
          <w:rFonts w:eastAsia="Calibri"/>
          <w:lang w:val="bg-BG"/>
        </w:rPr>
      </w:pPr>
    </w:p>
    <w:p w:rsidR="00505D66" w:rsidRPr="009072DA" w:rsidRDefault="00505D66" w:rsidP="00505D66">
      <w:pPr>
        <w:pStyle w:val="ESchpar"/>
        <w:rPr>
          <w:rFonts w:eastAsia="Calibri"/>
          <w:lang w:val="bg-BG"/>
        </w:rPr>
      </w:pPr>
      <w:r w:rsidRPr="009072DA">
        <w:rPr>
          <w:lang w:val="bg-BG"/>
        </w:rPr>
        <w:br w:type="page"/>
      </w:r>
    </w:p>
    <w:p w:rsidR="00973DAA" w:rsidRPr="009072DA" w:rsidRDefault="00973DAA" w:rsidP="00505D66">
      <w:pPr>
        <w:pStyle w:val="ESchpar"/>
        <w:rPr>
          <w:rFonts w:eastAsia="Calibri"/>
          <w:lang w:val="bg-BG"/>
        </w:rPr>
      </w:pPr>
      <w:r w:rsidRPr="009072DA">
        <w:rPr>
          <w:lang w:val="bg-BG"/>
        </w:rPr>
        <w:lastRenderedPageBreak/>
        <w:t>Подробното пресмятане на частите на палубата, които са заети от хора, може да не е необходимо, ако се използват някои от следните стойности:</w:t>
      </w:r>
    </w:p>
    <w:p w:rsidR="00497622" w:rsidRPr="009072DA" w:rsidRDefault="00497622" w:rsidP="00505D66">
      <w:pPr>
        <w:pStyle w:val="ESchpar"/>
        <w:rPr>
          <w:rFonts w:eastAsia="Calibri"/>
          <w:lang w:val="bg-BG"/>
        </w:rPr>
      </w:pPr>
    </w:p>
    <w:p w:rsidR="00497622" w:rsidRPr="009072DA" w:rsidRDefault="00497622" w:rsidP="00505D66">
      <w:pPr>
        <w:pStyle w:val="ESchpar"/>
        <w:rPr>
          <w:rFonts w:eastAsia="Calibri"/>
          <w:lang w:val="bg-BG"/>
        </w:rPr>
      </w:pPr>
      <m:oMath>
        <m:r>
          <w:rPr>
            <w:rFonts w:ascii="Cambria Math" w:eastAsia="Calibri" w:hAnsi="Cambria Math" w:cs="Arial"/>
            <w:szCs w:val="18"/>
            <w:lang w:val="bg-BG"/>
          </w:rPr>
          <m:t xml:space="preserve">P=1,1 ∙ </m:t>
        </m:r>
        <m:sSub>
          <m:sSubPr>
            <m:ctrlPr>
              <w:rPr>
                <w:rFonts w:ascii="Cambria Math" w:eastAsia="Calibri" w:hAnsi="Cambria Math" w:cs="Arial"/>
                <w:i/>
                <w:szCs w:val="18"/>
                <w:lang w:val="bg-BG"/>
              </w:rPr>
            </m:ctrlPr>
          </m:sSubPr>
          <m:e>
            <m:r>
              <w:rPr>
                <w:rFonts w:ascii="Cambria Math" w:eastAsia="Calibri" w:hAnsi="Cambria Math" w:cs="Arial"/>
                <w:szCs w:val="18"/>
                <w:lang w:val="bg-BG"/>
              </w:rPr>
              <m:t>F</m:t>
            </m:r>
          </m:e>
          <m:sub>
            <m:r>
              <w:rPr>
                <w:rFonts w:ascii="Cambria Math" w:eastAsia="Calibri" w:hAnsi="Cambria Math" w:cs="Arial"/>
                <w:szCs w:val="18"/>
                <w:lang w:val="bg-BG"/>
              </w:rPr>
              <m:t>max</m:t>
            </m:r>
          </m:sub>
        </m:sSub>
        <m:r>
          <w:rPr>
            <w:rFonts w:ascii="Cambria Math" w:eastAsia="Calibri" w:hAnsi="Cambria Math" w:cs="Arial"/>
            <w:szCs w:val="18"/>
            <w:lang w:val="bg-BG"/>
          </w:rPr>
          <m:t>∙0,075</m:t>
        </m:r>
      </m:oMath>
      <w:r w:rsidRPr="009072DA">
        <w:rPr>
          <w:lang w:val="bg-BG"/>
        </w:rPr>
        <w:t xml:space="preserve"> за пътнически плавателни съдове за дневно пътуване</w:t>
      </w:r>
    </w:p>
    <w:p w:rsidR="00497622" w:rsidRPr="009072DA" w:rsidRDefault="00497622" w:rsidP="00497622">
      <w:pPr>
        <w:pStyle w:val="ESchpar"/>
        <w:spacing w:before="60"/>
        <w:ind w:left="992"/>
        <w:rPr>
          <w:rFonts w:eastAsia="Calibri" w:cs="Arial"/>
          <w:szCs w:val="18"/>
          <w:lang w:val="bg-BG"/>
        </w:rPr>
      </w:pPr>
      <m:oMath>
        <m:r>
          <w:rPr>
            <w:rFonts w:ascii="Cambria Math" w:eastAsia="Calibri" w:hAnsi="Cambria Math" w:cs="Arial"/>
            <w:szCs w:val="18"/>
            <w:lang w:val="bg-BG"/>
          </w:rPr>
          <m:t xml:space="preserve">1,5 ∙ </m:t>
        </m:r>
        <m:sSub>
          <m:sSubPr>
            <m:ctrlPr>
              <w:rPr>
                <w:rFonts w:ascii="Cambria Math" w:eastAsia="Calibri" w:hAnsi="Cambria Math" w:cs="Arial"/>
                <w:i/>
                <w:szCs w:val="18"/>
                <w:lang w:val="bg-BG"/>
              </w:rPr>
            </m:ctrlPr>
          </m:sSubPr>
          <m:e>
            <m:r>
              <w:rPr>
                <w:rFonts w:ascii="Cambria Math" w:eastAsia="Calibri" w:hAnsi="Cambria Math" w:cs="Arial"/>
                <w:szCs w:val="18"/>
                <w:lang w:val="bg-BG"/>
              </w:rPr>
              <m:t>F</m:t>
            </m:r>
          </m:e>
          <m:sub>
            <m:r>
              <w:rPr>
                <w:rFonts w:ascii="Cambria Math" w:eastAsia="Calibri" w:hAnsi="Cambria Math" w:cs="Arial"/>
                <w:szCs w:val="18"/>
                <w:lang w:val="bg-BG"/>
              </w:rPr>
              <m:t>max</m:t>
            </m:r>
          </m:sub>
        </m:sSub>
        <m:r>
          <w:rPr>
            <w:rFonts w:ascii="Cambria Math" w:eastAsia="Calibri" w:hAnsi="Cambria Math" w:cs="Arial"/>
            <w:szCs w:val="18"/>
            <w:lang w:val="bg-BG"/>
          </w:rPr>
          <m:t>∙0,075</m:t>
        </m:r>
      </m:oMath>
      <w:r w:rsidRPr="009072DA">
        <w:rPr>
          <w:lang w:val="bg-BG"/>
        </w:rPr>
        <w:t xml:space="preserve"> за плавателни съдове с каюти</w:t>
      </w:r>
    </w:p>
    <w:p w:rsidR="00973DAA" w:rsidRPr="009072DA" w:rsidRDefault="00973DAA" w:rsidP="00505D66">
      <w:pPr>
        <w:pStyle w:val="ESletpar"/>
        <w:rPr>
          <w:rFonts w:eastAsia="Calibri"/>
          <w:lang w:val="bg-BG"/>
        </w:rPr>
      </w:pPr>
      <w:r w:rsidRPr="009072DA">
        <w:rPr>
          <w:lang w:val="bg-BG"/>
        </w:rPr>
        <w:t xml:space="preserve">където </w:t>
      </w:r>
    </w:p>
    <w:p w:rsidR="00973DAA" w:rsidRPr="009072DA" w:rsidRDefault="002B712C" w:rsidP="00505D66">
      <w:pPr>
        <w:pStyle w:val="EStiret"/>
        <w:ind w:left="1701" w:hanging="709"/>
        <w:rPr>
          <w:rFonts w:eastAsia="Calibri"/>
          <w:noProof w:val="0"/>
          <w:lang w:val="bg-BG"/>
        </w:rPr>
      </w:pPr>
      <m:oMath>
        <m:sSub>
          <m:sSubPr>
            <m:ctrlPr>
              <w:rPr>
                <w:rFonts w:ascii="Cambria Math" w:eastAsia="Calibri" w:hAnsi="Cambria Math"/>
                <w:i/>
                <w:noProof w:val="0"/>
                <w:snapToGrid/>
                <w:color w:val="auto"/>
                <w:lang w:val="bg-BG"/>
              </w:rPr>
            </m:ctrlPr>
          </m:sSubPr>
          <m:e>
            <m:r>
              <w:rPr>
                <w:rFonts w:ascii="Cambria Math" w:eastAsia="Calibri" w:hAnsi="Cambria Math"/>
                <w:noProof w:val="0"/>
                <w:lang w:val="bg-BG"/>
              </w:rPr>
              <m:t>F</m:t>
            </m:r>
          </m:e>
          <m:sub>
            <m:r>
              <w:rPr>
                <w:rFonts w:ascii="Cambria Math" w:eastAsia="Calibri" w:hAnsi="Cambria Math"/>
                <w:noProof w:val="0"/>
                <w:lang w:val="bg-BG"/>
              </w:rPr>
              <m:t>max</m:t>
            </m:r>
          </m:sub>
        </m:sSub>
      </m:oMath>
      <w:r w:rsidR="007B1046" w:rsidRPr="009072DA">
        <w:rPr>
          <w:noProof w:val="0"/>
          <w:lang w:val="bg-BG"/>
        </w:rPr>
        <w:t xml:space="preserve"> =</w:t>
      </w:r>
      <w:r w:rsidR="007B1046" w:rsidRPr="009072DA">
        <w:rPr>
          <w:noProof w:val="0"/>
          <w:lang w:val="bg-BG"/>
        </w:rPr>
        <w:tab/>
        <w:t xml:space="preserve">максималния разрешен брой пътници на борда </w:t>
      </w:r>
    </w:p>
    <w:p w:rsidR="00973DAA" w:rsidRPr="009072DA" w:rsidRDefault="00497622" w:rsidP="00505D66">
      <w:pPr>
        <w:pStyle w:val="ESlet"/>
        <w:rPr>
          <w:rFonts w:eastAsia="Calibri"/>
          <w:lang w:val="bg-BG"/>
        </w:rPr>
      </w:pPr>
      <m:oMath>
        <m:r>
          <w:rPr>
            <w:rFonts w:ascii="Cambria Math" w:eastAsia="Calibri" w:hAnsi="Cambria Math"/>
            <w:lang w:val="bg-BG"/>
          </w:rPr>
          <m:t>y=B/2</m:t>
        </m:r>
      </m:oMath>
      <w:r w:rsidRPr="009072DA">
        <w:rPr>
          <w:lang w:val="bg-BG"/>
        </w:rPr>
        <w:t xml:space="preserve"> в [m].</w:t>
      </w:r>
    </w:p>
    <w:p w:rsidR="00505D66" w:rsidRPr="009072DA" w:rsidRDefault="00505D66"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5.</w:t>
      </w:r>
      <w:r w:rsidRPr="009072DA">
        <w:rPr>
          <w:lang w:val="bg-BG"/>
        </w:rPr>
        <w:tab/>
        <w:t xml:space="preserve">Кренящият момент, дължащ се на налягането на вятъра </w:t>
      </w:r>
      <m:oMath>
        <m:sSub>
          <m:sSubPr>
            <m:ctrlPr>
              <w:rPr>
                <w:rFonts w:ascii="Cambria Math" w:eastAsia="Calibri" w:hAnsi="Cambria Math"/>
                <w:i/>
                <w:lang w:val="bg-BG"/>
              </w:rPr>
            </m:ctrlPr>
          </m:sSubPr>
          <m:e>
            <m:r>
              <w:rPr>
                <w:rFonts w:ascii="Cambria Math" w:eastAsia="Calibri" w:hAnsi="Cambria Math"/>
                <w:lang w:val="bg-BG"/>
              </w:rPr>
              <m:t>M</m:t>
            </m:r>
          </m:e>
          <m:sub>
            <m:r>
              <w:rPr>
                <w:rFonts w:ascii="Cambria Math" w:eastAsia="Calibri" w:hAnsi="Cambria Math"/>
                <w:lang w:val="bg-BG"/>
              </w:rPr>
              <m:t>w</m:t>
            </m:r>
          </m:sub>
        </m:sSub>
      </m:oMath>
      <w:r w:rsidRPr="009072DA">
        <w:rPr>
          <w:lang w:val="bg-BG"/>
        </w:rPr>
        <w:t>, се изчислява, както следва:</w:t>
      </w:r>
    </w:p>
    <w:p w:rsidR="00505D66" w:rsidRPr="009072DA" w:rsidRDefault="00505D66" w:rsidP="00973DAA">
      <w:pPr>
        <w:pStyle w:val="ESch"/>
        <w:rPr>
          <w:rFonts w:eastAsia="Calibri" w:cs="Arial"/>
          <w:szCs w:val="18"/>
          <w:lang w:val="bg-BG"/>
        </w:rPr>
      </w:pPr>
    </w:p>
    <w:p w:rsidR="00FE79CB" w:rsidRPr="009072DA" w:rsidRDefault="002B712C" w:rsidP="00FE79CB">
      <w:pPr>
        <w:pStyle w:val="ESch"/>
        <w:ind w:left="0" w:firstLine="0"/>
        <w:rPr>
          <w:rFonts w:eastAsia="Calibri" w:cs="Arial"/>
          <w:szCs w:val="18"/>
          <w:lang w:val="bg-BG"/>
        </w:rPr>
      </w:pPr>
      <m:oMathPara>
        <m:oMath>
          <m:sSub>
            <m:sSubPr>
              <m:ctrlPr>
                <w:rPr>
                  <w:rFonts w:ascii="Cambria Math" w:eastAsia="Calibri" w:hAnsi="Cambria Math" w:cs="Arial"/>
                  <w:i/>
                  <w:szCs w:val="18"/>
                  <w:lang w:val="bg-BG"/>
                </w:rPr>
              </m:ctrlPr>
            </m:sSubPr>
            <m:e>
              <m:r>
                <w:rPr>
                  <w:rFonts w:ascii="Cambria Math" w:eastAsia="Calibri" w:hAnsi="Cambria Math" w:cs="Arial"/>
                  <w:szCs w:val="18"/>
                  <w:lang w:val="bg-BG"/>
                </w:rPr>
                <m:t>M</m:t>
              </m:r>
            </m:e>
            <m:sub>
              <m:r>
                <w:rPr>
                  <w:rFonts w:ascii="Cambria Math" w:eastAsia="Calibri" w:hAnsi="Cambria Math" w:cs="Arial"/>
                  <w:szCs w:val="18"/>
                  <w:lang w:val="bg-BG"/>
                </w:rPr>
                <m:t>w</m:t>
              </m:r>
            </m:sub>
          </m:sSub>
          <m:r>
            <w:rPr>
              <w:rFonts w:ascii="Cambria Math" w:eastAsia="Calibri" w:hAnsi="Cambria Math" w:cs="Arial"/>
              <w:szCs w:val="18"/>
              <w:lang w:val="bg-BG"/>
            </w:rPr>
            <m:t xml:space="preserve">= </m:t>
          </m:r>
          <m:sSub>
            <m:sSubPr>
              <m:ctrlPr>
                <w:rPr>
                  <w:rFonts w:ascii="Cambria Math" w:eastAsia="Calibri" w:hAnsi="Cambria Math" w:cs="Arial"/>
                  <w:i/>
                  <w:szCs w:val="18"/>
                  <w:lang w:val="bg-BG"/>
                </w:rPr>
              </m:ctrlPr>
            </m:sSubPr>
            <m:e>
              <m:r>
                <w:rPr>
                  <w:rFonts w:ascii="Cambria Math" w:eastAsia="Calibri" w:hAnsi="Cambria Math" w:cs="Arial"/>
                  <w:szCs w:val="18"/>
                  <w:lang w:val="bg-BG"/>
                </w:rPr>
                <m:t>p</m:t>
              </m:r>
            </m:e>
            <m:sub>
              <m:r>
                <w:rPr>
                  <w:rFonts w:ascii="Cambria Math" w:eastAsia="Calibri" w:hAnsi="Cambria Math" w:cs="Arial"/>
                  <w:szCs w:val="18"/>
                  <w:lang w:val="bg-BG"/>
                </w:rPr>
                <m:t>w</m:t>
              </m:r>
            </m:sub>
          </m:sSub>
          <m:r>
            <w:rPr>
              <w:rFonts w:ascii="Cambria Math" w:eastAsia="Calibri" w:hAnsi="Cambria Math" w:cs="Arial"/>
              <w:szCs w:val="18"/>
              <w:lang w:val="bg-BG"/>
            </w:rPr>
            <m:t xml:space="preserve"> ∙ </m:t>
          </m:r>
          <m:sSub>
            <m:sSubPr>
              <m:ctrlPr>
                <w:rPr>
                  <w:rFonts w:ascii="Cambria Math" w:eastAsia="Calibri" w:hAnsi="Cambria Math" w:cs="Arial"/>
                  <w:i/>
                  <w:szCs w:val="18"/>
                  <w:lang w:val="bg-BG"/>
                </w:rPr>
              </m:ctrlPr>
            </m:sSubPr>
            <m:e>
              <m:r>
                <w:rPr>
                  <w:rFonts w:ascii="Cambria Math" w:eastAsia="Calibri" w:hAnsi="Cambria Math" w:cs="Arial"/>
                  <w:szCs w:val="18"/>
                  <w:lang w:val="bg-BG"/>
                </w:rPr>
                <m:t>A</m:t>
              </m:r>
            </m:e>
            <m:sub>
              <m:r>
                <w:rPr>
                  <w:rFonts w:ascii="Cambria Math" w:eastAsia="Calibri" w:hAnsi="Cambria Math" w:cs="Arial"/>
                  <w:szCs w:val="18"/>
                  <w:lang w:val="bg-BG"/>
                </w:rPr>
                <m:t>w</m:t>
              </m:r>
            </m:sub>
          </m:sSub>
          <m:r>
            <w:rPr>
              <w:rFonts w:ascii="Cambria Math" w:eastAsia="Calibri" w:hAnsi="Cambria Math" w:cs="Arial"/>
              <w:szCs w:val="18"/>
              <w:lang w:val="bg-BG"/>
            </w:rPr>
            <m:t xml:space="preserve"> ∙</m:t>
          </m:r>
          <m:d>
            <m:dPr>
              <m:ctrlPr>
                <w:rPr>
                  <w:rFonts w:ascii="Cambria Math" w:eastAsia="Calibri" w:hAnsi="Cambria Math" w:cs="Arial"/>
                  <w:i/>
                  <w:szCs w:val="18"/>
                  <w:lang w:val="bg-BG"/>
                </w:rPr>
              </m:ctrlPr>
            </m:dPr>
            <m:e>
              <m:sSub>
                <m:sSubPr>
                  <m:ctrlPr>
                    <w:rPr>
                      <w:rFonts w:ascii="Cambria Math" w:eastAsia="Calibri" w:hAnsi="Cambria Math" w:cs="Arial"/>
                      <w:i/>
                      <w:szCs w:val="18"/>
                      <w:lang w:val="bg-BG"/>
                    </w:rPr>
                  </m:ctrlPr>
                </m:sSubPr>
                <m:e>
                  <m:r>
                    <w:rPr>
                      <w:rFonts w:ascii="Cambria Math" w:eastAsia="Calibri" w:hAnsi="Cambria Math" w:cs="Arial"/>
                      <w:szCs w:val="18"/>
                      <w:lang w:val="bg-BG"/>
                    </w:rPr>
                    <m:t>L</m:t>
                  </m:r>
                </m:e>
                <m:sub>
                  <m:r>
                    <w:rPr>
                      <w:rFonts w:ascii="Cambria Math" w:eastAsia="Calibri" w:hAnsi="Cambria Math" w:cs="Arial"/>
                      <w:szCs w:val="18"/>
                      <w:lang w:val="bg-BG"/>
                    </w:rPr>
                    <m:t>w</m:t>
                  </m:r>
                </m:sub>
              </m:sSub>
              <m:r>
                <w:rPr>
                  <w:rFonts w:ascii="Cambria Math" w:eastAsia="Calibri" w:hAnsi="Cambria Math" w:cs="Arial"/>
                  <w:szCs w:val="18"/>
                  <w:lang w:val="bg-BG"/>
                </w:rPr>
                <m:t>+</m:t>
              </m:r>
              <m:f>
                <m:fPr>
                  <m:ctrlPr>
                    <w:rPr>
                      <w:rFonts w:ascii="Cambria Math" w:eastAsia="Calibri" w:hAnsi="Cambria Math" w:cs="Arial"/>
                      <w:i/>
                      <w:szCs w:val="18"/>
                      <w:lang w:val="bg-BG"/>
                    </w:rPr>
                  </m:ctrlPr>
                </m:fPr>
                <m:num>
                  <m:r>
                    <w:rPr>
                      <w:rFonts w:ascii="Cambria Math" w:eastAsia="Calibri" w:hAnsi="Cambria Math" w:cs="Arial"/>
                      <w:szCs w:val="18"/>
                      <w:lang w:val="bg-BG"/>
                    </w:rPr>
                    <m:t>T</m:t>
                  </m:r>
                </m:num>
                <m:den>
                  <m:r>
                    <w:rPr>
                      <w:rFonts w:ascii="Cambria Math" w:eastAsia="Calibri" w:hAnsi="Cambria Math" w:cs="Arial"/>
                      <w:szCs w:val="18"/>
                      <w:lang w:val="bg-BG"/>
                    </w:rPr>
                    <m:t>2</m:t>
                  </m:r>
                </m:den>
              </m:f>
            </m:e>
          </m:d>
          <m:r>
            <w:rPr>
              <w:rFonts w:ascii="Cambria Math" w:eastAsia="Calibri" w:hAnsi="Cambria Math" w:cs="Arial"/>
              <w:szCs w:val="18"/>
              <w:lang w:val="bg-BG"/>
            </w:rPr>
            <m:t xml:space="preserve"> [kNm]</m:t>
          </m:r>
        </m:oMath>
      </m:oMathPara>
    </w:p>
    <w:p w:rsidR="00FE79CB" w:rsidRPr="009072DA" w:rsidRDefault="00FE79CB" w:rsidP="00973DAA">
      <w:pPr>
        <w:pStyle w:val="ESch"/>
        <w:rPr>
          <w:rFonts w:eastAsia="Calibri" w:cs="Arial"/>
          <w:szCs w:val="18"/>
          <w:lang w:val="bg-BG"/>
        </w:rPr>
      </w:pPr>
    </w:p>
    <w:p w:rsidR="00973DAA" w:rsidRPr="009072DA" w:rsidRDefault="00973DAA" w:rsidP="00505D66">
      <w:pPr>
        <w:pStyle w:val="ESchpar"/>
        <w:rPr>
          <w:rFonts w:eastAsia="Calibri" w:cs="Arial"/>
          <w:szCs w:val="18"/>
          <w:lang w:val="bg-BG"/>
        </w:rPr>
      </w:pPr>
      <w:r w:rsidRPr="009072DA">
        <w:rPr>
          <w:lang w:val="bg-BG"/>
        </w:rPr>
        <w:t>където:</w:t>
      </w:r>
    </w:p>
    <w:p w:rsidR="00973DAA" w:rsidRPr="009072DA" w:rsidRDefault="002B712C" w:rsidP="00505D66">
      <w:pPr>
        <w:pStyle w:val="ESlet"/>
        <w:ind w:left="1134" w:hanging="567"/>
        <w:rPr>
          <w:rFonts w:eastAsia="Calibri" w:cs="Arial"/>
          <w:szCs w:val="18"/>
          <w:lang w:val="bg-BG"/>
        </w:rPr>
      </w:pPr>
      <m:oMath>
        <m:sSub>
          <m:sSubPr>
            <m:ctrlPr>
              <w:rPr>
                <w:rFonts w:ascii="Cambria Math" w:eastAsia="Calibri" w:hAnsi="Cambria Math"/>
                <w:i/>
                <w:lang w:val="bg-BG"/>
              </w:rPr>
            </m:ctrlPr>
          </m:sSubPr>
          <m:e>
            <m:r>
              <w:rPr>
                <w:rFonts w:ascii="Cambria Math" w:eastAsia="Calibri" w:hAnsi="Cambria Math"/>
                <w:lang w:val="bg-BG"/>
              </w:rPr>
              <m:t>p</m:t>
            </m:r>
          </m:e>
          <m:sub>
            <m:r>
              <w:rPr>
                <w:rFonts w:ascii="Cambria Math" w:eastAsia="Calibri" w:hAnsi="Cambria Math"/>
                <w:lang w:val="bg-BG"/>
              </w:rPr>
              <m:t>w</m:t>
            </m:r>
          </m:sub>
        </m:sSub>
      </m:oMath>
      <w:r w:rsidR="007B1046" w:rsidRPr="009072DA">
        <w:rPr>
          <w:lang w:val="bg-BG"/>
        </w:rPr>
        <w:t xml:space="preserve"> =</w:t>
      </w:r>
      <w:r w:rsidR="007B1046" w:rsidRPr="009072DA">
        <w:rPr>
          <w:lang w:val="bg-BG"/>
        </w:rPr>
        <w:tab/>
        <w:t>специфичното налягане на вятъра от 0,25 kN/m²;</w:t>
      </w:r>
    </w:p>
    <w:p w:rsidR="00973DAA" w:rsidRPr="009072DA" w:rsidRDefault="002B712C" w:rsidP="00505D66">
      <w:pPr>
        <w:pStyle w:val="ESlet"/>
        <w:ind w:left="1134" w:hanging="567"/>
        <w:rPr>
          <w:rFonts w:eastAsia="Calibri" w:cs="Arial"/>
          <w:szCs w:val="18"/>
          <w:lang w:val="bg-BG"/>
        </w:rPr>
      </w:pPr>
      <m:oMath>
        <m:sSub>
          <m:sSubPr>
            <m:ctrlPr>
              <w:rPr>
                <w:rFonts w:ascii="Cambria Math" w:eastAsia="Calibri" w:hAnsi="Cambria Math"/>
                <w:i/>
                <w:lang w:val="bg-BG"/>
              </w:rPr>
            </m:ctrlPr>
          </m:sSubPr>
          <m:e>
            <m:r>
              <w:rPr>
                <w:rFonts w:ascii="Cambria Math" w:eastAsia="Calibri" w:hAnsi="Cambria Math"/>
                <w:lang w:val="bg-BG"/>
              </w:rPr>
              <m:t>A</m:t>
            </m:r>
          </m:e>
          <m:sub>
            <m:r>
              <w:rPr>
                <w:rFonts w:ascii="Cambria Math" w:eastAsia="Calibri" w:hAnsi="Cambria Math"/>
                <w:lang w:val="bg-BG"/>
              </w:rPr>
              <m:t>w</m:t>
            </m:r>
          </m:sub>
        </m:sSub>
      </m:oMath>
      <w:r w:rsidR="007B1046" w:rsidRPr="009072DA">
        <w:rPr>
          <w:lang w:val="bg-BG"/>
        </w:rPr>
        <w:t xml:space="preserve"> =</w:t>
      </w:r>
      <w:r w:rsidR="007B1046" w:rsidRPr="009072DA">
        <w:rPr>
          <w:lang w:val="bg-BG"/>
        </w:rPr>
        <w:tab/>
        <w:t>страничната равнина на плавателния съд над равнината на газене съгласно разглежданото състояние на натоварване в [m²];</w:t>
      </w:r>
    </w:p>
    <w:p w:rsidR="00973DAA" w:rsidRPr="009072DA" w:rsidRDefault="002B712C" w:rsidP="00505D66">
      <w:pPr>
        <w:pStyle w:val="ESlet"/>
        <w:ind w:left="1134" w:hanging="567"/>
        <w:rPr>
          <w:rFonts w:eastAsia="Calibri" w:cs="Arial"/>
          <w:szCs w:val="18"/>
          <w:lang w:val="bg-BG"/>
        </w:rPr>
      </w:pPr>
      <m:oMath>
        <m:sSub>
          <m:sSubPr>
            <m:ctrlPr>
              <w:rPr>
                <w:rFonts w:ascii="Cambria Math" w:eastAsia="Calibri" w:hAnsi="Cambria Math"/>
                <w:i/>
                <w:lang w:val="bg-BG"/>
              </w:rPr>
            </m:ctrlPr>
          </m:sSubPr>
          <m:e>
            <m:r>
              <w:rPr>
                <w:rFonts w:ascii="Cambria Math" w:eastAsia="Calibri" w:hAnsi="Cambria Math"/>
                <w:lang w:val="bg-BG"/>
              </w:rPr>
              <m:t>l</m:t>
            </m:r>
          </m:e>
          <m:sub>
            <m:r>
              <w:rPr>
                <w:rFonts w:ascii="Cambria Math" w:eastAsia="Calibri" w:hAnsi="Cambria Math"/>
                <w:lang w:val="bg-BG"/>
              </w:rPr>
              <m:t>w</m:t>
            </m:r>
          </m:sub>
        </m:sSub>
      </m:oMath>
      <w:r w:rsidR="007B1046" w:rsidRPr="009072DA">
        <w:rPr>
          <w:lang w:val="bg-BG"/>
        </w:rPr>
        <w:t xml:space="preserve"> =</w:t>
      </w:r>
      <w:r w:rsidR="007B1046" w:rsidRPr="009072DA">
        <w:rPr>
          <w:lang w:val="bg-BG"/>
        </w:rPr>
        <w:tab/>
        <w:t xml:space="preserve">отстоянието на центъра на тежестта на страничната равнина </w:t>
      </w:r>
      <m:oMath>
        <m:sSub>
          <m:sSubPr>
            <m:ctrlPr>
              <w:rPr>
                <w:rFonts w:ascii="Cambria Math" w:eastAsia="Calibri" w:hAnsi="Cambria Math"/>
                <w:i/>
                <w:lang w:val="bg-BG"/>
              </w:rPr>
            </m:ctrlPr>
          </m:sSubPr>
          <m:e>
            <m:r>
              <w:rPr>
                <w:rFonts w:ascii="Cambria Math" w:eastAsia="Calibri" w:hAnsi="Cambria Math"/>
                <w:lang w:val="bg-BG"/>
              </w:rPr>
              <m:t>A</m:t>
            </m:r>
          </m:e>
          <m:sub>
            <m:r>
              <w:rPr>
                <w:rFonts w:ascii="Cambria Math" w:eastAsia="Calibri" w:hAnsi="Cambria Math"/>
                <w:lang w:val="bg-BG"/>
              </w:rPr>
              <m:t>w</m:t>
            </m:r>
          </m:sub>
        </m:sSub>
      </m:oMath>
      <w:r w:rsidR="007B1046" w:rsidRPr="009072DA">
        <w:rPr>
          <w:lang w:val="bg-BG"/>
        </w:rPr>
        <w:t xml:space="preserve"> от равнината на газене съгласно разглежданото състояние на натоварване в [m].</w:t>
      </w:r>
    </w:p>
    <w:p w:rsidR="00505D66" w:rsidRPr="009072DA" w:rsidRDefault="00505D66" w:rsidP="00973DAA">
      <w:pPr>
        <w:pStyle w:val="ESch"/>
        <w:rPr>
          <w:rFonts w:eastAsia="Calibri"/>
          <w:lang w:val="bg-BG"/>
        </w:rPr>
      </w:pPr>
    </w:p>
    <w:p w:rsidR="00973DAA" w:rsidRPr="009072DA" w:rsidRDefault="00973DAA" w:rsidP="00505D66">
      <w:pPr>
        <w:pStyle w:val="ESchpar"/>
        <w:rPr>
          <w:rFonts w:eastAsia="Calibri" w:cs="Arial"/>
          <w:szCs w:val="18"/>
          <w:lang w:val="bg-BG"/>
        </w:rPr>
      </w:pPr>
      <w:r w:rsidRPr="009072DA">
        <w:rPr>
          <w:lang w:val="bg-BG"/>
        </w:rPr>
        <w:t>При изчисляване на страничната равнина трябва да се вземе предвид евентуално предвидено закриване на палубата от навеси и подобни подвижни съоръжения.</w:t>
      </w:r>
    </w:p>
    <w:p w:rsidR="00505D66" w:rsidRPr="009072DA" w:rsidRDefault="00505D66"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6.</w:t>
      </w:r>
      <w:r w:rsidRPr="009072DA">
        <w:rPr>
          <w:lang w:val="bg-BG"/>
        </w:rPr>
        <w:tab/>
        <w:t xml:space="preserve">Моментът, дължащ се на центробежна сила </w:t>
      </w:r>
      <m:oMath>
        <m:sSub>
          <m:sSubPr>
            <m:ctrlPr>
              <w:rPr>
                <w:rFonts w:ascii="Cambria Math" w:eastAsia="Calibri" w:hAnsi="Cambria Math"/>
                <w:i/>
                <w:lang w:val="bg-BG"/>
              </w:rPr>
            </m:ctrlPr>
          </m:sSubPr>
          <m:e>
            <m:r>
              <w:rPr>
                <w:rFonts w:ascii="Cambria Math" w:eastAsia="Calibri" w:hAnsi="Cambria Math"/>
                <w:lang w:val="bg-BG"/>
              </w:rPr>
              <m:t>M</m:t>
            </m:r>
          </m:e>
          <m:sub>
            <m:r>
              <w:rPr>
                <w:rFonts w:ascii="Cambria Math" w:eastAsia="Calibri" w:hAnsi="Cambria Math"/>
                <w:lang w:val="bg-BG"/>
              </w:rPr>
              <m:t>dr</m:t>
            </m:r>
          </m:sub>
        </m:sSub>
      </m:oMath>
      <w:r w:rsidRPr="009072DA">
        <w:rPr>
          <w:lang w:val="bg-BG"/>
        </w:rPr>
        <w:t>, причинена от завоя на плавателния съд, се пресмята както следва:</w:t>
      </w:r>
    </w:p>
    <w:p w:rsidR="001F199D" w:rsidRPr="009072DA" w:rsidRDefault="001F199D" w:rsidP="00973DAA">
      <w:pPr>
        <w:pStyle w:val="ESch"/>
        <w:rPr>
          <w:rFonts w:eastAsia="Calibri" w:cs="Arial"/>
          <w:szCs w:val="18"/>
          <w:lang w:val="bg-BG"/>
        </w:rPr>
      </w:pPr>
    </w:p>
    <w:p w:rsidR="00F92563" w:rsidRPr="009072DA" w:rsidRDefault="002B712C" w:rsidP="00F92563">
      <w:pPr>
        <w:pStyle w:val="ESch"/>
        <w:ind w:left="0" w:firstLine="0"/>
        <w:rPr>
          <w:rFonts w:eastAsia="Calibri" w:cs="Arial"/>
          <w:szCs w:val="18"/>
          <w:lang w:val="bg-BG"/>
        </w:rPr>
      </w:pPr>
      <m:oMathPara>
        <m:oMath>
          <m:sSub>
            <m:sSubPr>
              <m:ctrlPr>
                <w:rPr>
                  <w:rFonts w:ascii="Cambria Math" w:eastAsia="Calibri" w:hAnsi="Cambria Math" w:cs="Arial"/>
                  <w:i/>
                  <w:szCs w:val="18"/>
                  <w:lang w:val="bg-BG"/>
                </w:rPr>
              </m:ctrlPr>
            </m:sSubPr>
            <m:e>
              <m:r>
                <w:rPr>
                  <w:rFonts w:ascii="Cambria Math" w:eastAsia="Calibri" w:hAnsi="Cambria Math" w:cs="Arial"/>
                  <w:szCs w:val="18"/>
                  <w:lang w:val="bg-BG"/>
                </w:rPr>
                <m:t>M</m:t>
              </m:r>
            </m:e>
            <m:sub>
              <m:r>
                <w:rPr>
                  <w:rFonts w:ascii="Cambria Math" w:eastAsia="Calibri" w:hAnsi="Cambria Math" w:cs="Arial"/>
                  <w:szCs w:val="18"/>
                  <w:lang w:val="bg-BG"/>
                </w:rPr>
                <m:t>dr</m:t>
              </m:r>
            </m:sub>
          </m:sSub>
          <m:r>
            <w:rPr>
              <w:rFonts w:ascii="Cambria Math" w:eastAsia="Calibri" w:hAnsi="Cambria Math" w:cs="Arial"/>
              <w:szCs w:val="18"/>
              <w:lang w:val="bg-BG"/>
            </w:rPr>
            <m:t xml:space="preserve">= </m:t>
          </m:r>
          <m:sSub>
            <m:sSubPr>
              <m:ctrlPr>
                <w:rPr>
                  <w:rFonts w:ascii="Cambria Math" w:eastAsia="Calibri" w:hAnsi="Cambria Math" w:cs="Arial"/>
                  <w:i/>
                  <w:szCs w:val="18"/>
                  <w:lang w:val="bg-BG"/>
                </w:rPr>
              </m:ctrlPr>
            </m:sSubPr>
            <m:e>
              <m:r>
                <w:rPr>
                  <w:rFonts w:ascii="Cambria Math" w:eastAsia="Calibri" w:hAnsi="Cambria Math" w:cs="Arial"/>
                  <w:szCs w:val="18"/>
                  <w:lang w:val="bg-BG"/>
                </w:rPr>
                <m:t>c</m:t>
              </m:r>
            </m:e>
            <m:sub>
              <m:r>
                <w:rPr>
                  <w:rFonts w:ascii="Cambria Math" w:eastAsia="Calibri" w:hAnsi="Cambria Math" w:cs="Arial"/>
                  <w:szCs w:val="18"/>
                  <w:lang w:val="bg-BG"/>
                </w:rPr>
                <m:t>dr</m:t>
              </m:r>
            </m:sub>
          </m:sSub>
          <m:r>
            <w:rPr>
              <w:rFonts w:ascii="Cambria Math" w:eastAsia="Calibri" w:hAnsi="Cambria Math" w:cs="Arial"/>
              <w:szCs w:val="18"/>
              <w:lang w:val="bg-BG"/>
            </w:rPr>
            <m:t xml:space="preserve"> ∙ </m:t>
          </m:r>
          <m:sSub>
            <m:sSubPr>
              <m:ctrlPr>
                <w:rPr>
                  <w:rFonts w:ascii="Cambria Math" w:eastAsia="Calibri" w:hAnsi="Cambria Math" w:cs="Arial"/>
                  <w:i/>
                  <w:szCs w:val="18"/>
                  <w:lang w:val="bg-BG"/>
                </w:rPr>
              </m:ctrlPr>
            </m:sSubPr>
            <m:e>
              <m:r>
                <w:rPr>
                  <w:rFonts w:ascii="Cambria Math" w:eastAsia="Calibri" w:hAnsi="Cambria Math" w:cs="Arial"/>
                  <w:szCs w:val="18"/>
                  <w:lang w:val="bg-BG"/>
                </w:rPr>
                <m:t>C</m:t>
              </m:r>
            </m:e>
            <m:sub>
              <m:r>
                <w:rPr>
                  <w:rFonts w:ascii="Cambria Math" w:eastAsia="Calibri" w:hAnsi="Cambria Math" w:cs="Arial"/>
                  <w:szCs w:val="18"/>
                  <w:lang w:val="bg-BG"/>
                </w:rPr>
                <m:t>B</m:t>
              </m:r>
            </m:sub>
          </m:sSub>
          <m:r>
            <w:rPr>
              <w:rFonts w:ascii="Cambria Math" w:eastAsia="Calibri" w:hAnsi="Cambria Math" w:cs="Arial"/>
              <w:szCs w:val="18"/>
              <w:lang w:val="bg-BG"/>
            </w:rPr>
            <m:t xml:space="preserve"> ∙ </m:t>
          </m:r>
          <m:sSup>
            <m:sSupPr>
              <m:ctrlPr>
                <w:rPr>
                  <w:rFonts w:ascii="Cambria Math" w:eastAsia="Calibri" w:hAnsi="Cambria Math" w:cs="Arial"/>
                  <w:i/>
                  <w:szCs w:val="18"/>
                  <w:lang w:val="bg-BG"/>
                </w:rPr>
              </m:ctrlPr>
            </m:sSupPr>
            <m:e>
              <m:r>
                <w:rPr>
                  <w:rFonts w:ascii="Cambria Math" w:eastAsia="Calibri" w:hAnsi="Cambria Math" w:cs="Arial"/>
                  <w:szCs w:val="18"/>
                  <w:lang w:val="bg-BG"/>
                </w:rPr>
                <m:t>v</m:t>
              </m:r>
            </m:e>
            <m:sup>
              <m:r>
                <w:rPr>
                  <w:rFonts w:ascii="Cambria Math" w:eastAsia="Calibri" w:hAnsi="Cambria Math" w:cs="Arial"/>
                  <w:szCs w:val="18"/>
                  <w:lang w:val="bg-BG"/>
                </w:rPr>
                <m:t>2</m:t>
              </m:r>
            </m:sup>
          </m:sSup>
          <m:r>
            <w:rPr>
              <w:rFonts w:ascii="Cambria Math" w:eastAsia="Calibri" w:hAnsi="Cambria Math" w:cs="Arial"/>
              <w:szCs w:val="18"/>
              <w:lang w:val="bg-BG"/>
            </w:rPr>
            <m:t xml:space="preserve"> ∙</m:t>
          </m:r>
          <m:f>
            <m:fPr>
              <m:ctrlPr>
                <w:rPr>
                  <w:rFonts w:ascii="Cambria Math" w:eastAsia="Calibri" w:hAnsi="Cambria Math" w:cs="Arial"/>
                  <w:i/>
                  <w:szCs w:val="18"/>
                  <w:lang w:val="bg-BG"/>
                </w:rPr>
              </m:ctrlPr>
            </m:fPr>
            <m:num>
              <m:r>
                <w:rPr>
                  <w:rFonts w:ascii="Cambria Math" w:eastAsia="Calibri" w:hAnsi="Cambria Math" w:cs="Arial"/>
                  <w:szCs w:val="18"/>
                  <w:lang w:val="bg-BG"/>
                </w:rPr>
                <m:t>D</m:t>
              </m:r>
            </m:num>
            <m:den>
              <m:sSub>
                <m:sSubPr>
                  <m:ctrlPr>
                    <w:rPr>
                      <w:rFonts w:ascii="Cambria Math" w:eastAsia="Calibri" w:hAnsi="Cambria Math" w:cs="Arial"/>
                      <w:i/>
                      <w:szCs w:val="18"/>
                      <w:lang w:val="bg-BG"/>
                    </w:rPr>
                  </m:ctrlPr>
                </m:sSubPr>
                <m:e>
                  <m:r>
                    <w:rPr>
                      <w:rFonts w:ascii="Cambria Math" w:eastAsia="Calibri" w:hAnsi="Cambria Math" w:cs="Arial"/>
                      <w:szCs w:val="18"/>
                      <w:lang w:val="bg-BG"/>
                    </w:rPr>
                    <m:t>L</m:t>
                  </m:r>
                </m:e>
                <m:sub>
                  <m:r>
                    <w:rPr>
                      <w:rFonts w:ascii="Cambria Math" w:eastAsia="Calibri" w:hAnsi="Cambria Math" w:cs="Arial"/>
                      <w:szCs w:val="18"/>
                      <w:lang w:val="bg-BG"/>
                    </w:rPr>
                    <m:t>WL</m:t>
                  </m:r>
                </m:sub>
              </m:sSub>
            </m:den>
          </m:f>
          <m:r>
            <w:rPr>
              <w:rFonts w:ascii="Cambria Math" w:eastAsia="Calibri" w:hAnsi="Cambria Math" w:cs="Arial"/>
              <w:szCs w:val="18"/>
              <w:lang w:val="bg-BG"/>
            </w:rPr>
            <m:t>∙</m:t>
          </m:r>
          <m:d>
            <m:dPr>
              <m:ctrlPr>
                <w:rPr>
                  <w:rFonts w:ascii="Cambria Math" w:eastAsia="Calibri" w:hAnsi="Cambria Math" w:cs="Arial"/>
                  <w:i/>
                  <w:szCs w:val="18"/>
                  <w:lang w:val="bg-BG"/>
                </w:rPr>
              </m:ctrlPr>
            </m:dPr>
            <m:e>
              <m:r>
                <w:rPr>
                  <w:rFonts w:ascii="Cambria Math" w:eastAsia="Calibri" w:hAnsi="Cambria Math" w:cs="Arial"/>
                  <w:szCs w:val="18"/>
                  <w:lang w:val="bg-BG"/>
                </w:rPr>
                <m:t>KG-</m:t>
              </m:r>
              <m:f>
                <m:fPr>
                  <m:ctrlPr>
                    <w:rPr>
                      <w:rFonts w:ascii="Cambria Math" w:eastAsia="Calibri" w:hAnsi="Cambria Math" w:cs="Arial"/>
                      <w:i/>
                      <w:szCs w:val="18"/>
                      <w:lang w:val="bg-BG"/>
                    </w:rPr>
                  </m:ctrlPr>
                </m:fPr>
                <m:num>
                  <m:r>
                    <w:rPr>
                      <w:rFonts w:ascii="Cambria Math" w:eastAsia="Calibri" w:hAnsi="Cambria Math" w:cs="Arial"/>
                      <w:szCs w:val="18"/>
                      <w:lang w:val="bg-BG"/>
                    </w:rPr>
                    <m:t>T</m:t>
                  </m:r>
                </m:num>
                <m:den>
                  <m:r>
                    <w:rPr>
                      <w:rFonts w:ascii="Cambria Math" w:eastAsia="Calibri" w:hAnsi="Cambria Math" w:cs="Arial"/>
                      <w:szCs w:val="18"/>
                      <w:lang w:val="bg-BG"/>
                    </w:rPr>
                    <m:t>2</m:t>
                  </m:r>
                </m:den>
              </m:f>
            </m:e>
          </m:d>
          <m:r>
            <w:rPr>
              <w:rFonts w:ascii="Cambria Math" w:eastAsia="Calibri" w:hAnsi="Cambria Math" w:cs="Arial"/>
              <w:szCs w:val="18"/>
              <w:lang w:val="bg-BG"/>
            </w:rPr>
            <m:t xml:space="preserve"> [kNm]</m:t>
          </m:r>
        </m:oMath>
      </m:oMathPara>
    </w:p>
    <w:p w:rsidR="00F92563" w:rsidRPr="009072DA" w:rsidRDefault="00F92563" w:rsidP="00973DAA">
      <w:pPr>
        <w:pStyle w:val="ESch"/>
        <w:rPr>
          <w:rFonts w:eastAsia="Calibri" w:cs="Arial"/>
          <w:szCs w:val="18"/>
          <w:lang w:val="bg-BG"/>
        </w:rPr>
      </w:pPr>
    </w:p>
    <w:p w:rsidR="00973DAA" w:rsidRPr="009072DA" w:rsidRDefault="00986505" w:rsidP="001F199D">
      <w:pPr>
        <w:pStyle w:val="ESchpar"/>
        <w:rPr>
          <w:rFonts w:eastAsia="Calibri"/>
          <w:lang w:val="bg-BG"/>
        </w:rPr>
      </w:pPr>
      <w:r w:rsidRPr="009072DA">
        <w:rPr>
          <w:lang w:val="bg-BG"/>
        </w:rPr>
        <w:t>където</w:t>
      </w:r>
    </w:p>
    <w:p w:rsidR="00973DAA" w:rsidRPr="009072DA" w:rsidRDefault="002B712C" w:rsidP="001F199D">
      <w:pPr>
        <w:pStyle w:val="ESlet"/>
        <w:ind w:left="1134" w:hanging="567"/>
        <w:rPr>
          <w:rFonts w:eastAsia="Calibri"/>
          <w:szCs w:val="20"/>
          <w:lang w:val="bg-BG"/>
        </w:rPr>
      </w:pPr>
      <m:oMath>
        <m:sSub>
          <m:sSubPr>
            <m:ctrlPr>
              <w:rPr>
                <w:rFonts w:ascii="Cambria Math" w:eastAsia="Calibri" w:hAnsi="Cambria Math"/>
                <w:i/>
                <w:szCs w:val="18"/>
                <w:lang w:val="bg-BG"/>
              </w:rPr>
            </m:ctrlPr>
          </m:sSubPr>
          <m:e>
            <m:r>
              <w:rPr>
                <w:rFonts w:ascii="Cambria Math" w:eastAsia="Calibri" w:hAnsi="Cambria Math"/>
                <w:szCs w:val="18"/>
                <w:lang w:val="bg-BG"/>
              </w:rPr>
              <m:t>C</m:t>
            </m:r>
          </m:e>
          <m:sub>
            <m:r>
              <w:rPr>
                <w:rFonts w:ascii="Cambria Math" w:eastAsia="Calibri" w:hAnsi="Cambria Math"/>
                <w:szCs w:val="18"/>
                <w:lang w:val="bg-BG"/>
              </w:rPr>
              <m:t>dr</m:t>
            </m:r>
          </m:sub>
        </m:sSub>
      </m:oMath>
      <w:r w:rsidR="007B1046" w:rsidRPr="009072DA">
        <w:rPr>
          <w:lang w:val="bg-BG"/>
        </w:rPr>
        <w:t xml:space="preserve"> =</w:t>
      </w:r>
      <w:r w:rsidR="007B1046" w:rsidRPr="009072DA">
        <w:rPr>
          <w:lang w:val="bg-BG"/>
        </w:rPr>
        <w:tab/>
        <w:t>коефициент 0,45;</w:t>
      </w:r>
    </w:p>
    <w:p w:rsidR="00973DAA" w:rsidRPr="009072DA" w:rsidRDefault="002B712C" w:rsidP="001F199D">
      <w:pPr>
        <w:pStyle w:val="ESlet"/>
        <w:ind w:left="1134" w:hanging="567"/>
        <w:rPr>
          <w:rFonts w:eastAsia="Calibri"/>
          <w:szCs w:val="20"/>
          <w:lang w:val="bg-BG"/>
        </w:rPr>
      </w:pPr>
      <m:oMath>
        <m:sSub>
          <m:sSubPr>
            <m:ctrlPr>
              <w:rPr>
                <w:rFonts w:ascii="Cambria Math" w:eastAsia="Calibri" w:hAnsi="Cambria Math"/>
                <w:i/>
                <w:szCs w:val="18"/>
                <w:lang w:val="bg-BG"/>
              </w:rPr>
            </m:ctrlPr>
          </m:sSubPr>
          <m:e>
            <m:r>
              <w:rPr>
                <w:rFonts w:ascii="Cambria Math" w:eastAsia="Calibri" w:hAnsi="Cambria Math"/>
                <w:szCs w:val="18"/>
                <w:lang w:val="bg-BG"/>
              </w:rPr>
              <m:t>C</m:t>
            </m:r>
          </m:e>
          <m:sub>
            <m:r>
              <w:rPr>
                <w:rFonts w:ascii="Cambria Math" w:eastAsia="Calibri" w:hAnsi="Cambria Math"/>
                <w:szCs w:val="18"/>
                <w:lang w:val="bg-BG"/>
              </w:rPr>
              <m:t>B</m:t>
            </m:r>
          </m:sub>
        </m:sSub>
      </m:oMath>
      <w:r w:rsidR="007B1046" w:rsidRPr="009072DA">
        <w:rPr>
          <w:lang w:val="bg-BG"/>
        </w:rPr>
        <w:t xml:space="preserve"> =</w:t>
      </w:r>
      <w:r w:rsidR="007B1046" w:rsidRPr="009072DA">
        <w:rPr>
          <w:lang w:val="bg-BG"/>
        </w:rPr>
        <w:tab/>
        <w:t>коефициент на общата пълнота (ако не е известен, се приема за 1,0);</w:t>
      </w:r>
    </w:p>
    <w:p w:rsidR="00973DAA" w:rsidRPr="009072DA" w:rsidRDefault="00986505" w:rsidP="001F199D">
      <w:pPr>
        <w:pStyle w:val="ESlet"/>
        <w:ind w:left="1134" w:hanging="567"/>
        <w:rPr>
          <w:rFonts w:eastAsia="Calibri"/>
          <w:szCs w:val="20"/>
          <w:lang w:val="bg-BG"/>
        </w:rPr>
      </w:pPr>
      <m:oMath>
        <m:r>
          <w:rPr>
            <w:rFonts w:ascii="Cambria Math" w:eastAsia="Calibri" w:hAnsi="Cambria Math"/>
            <w:szCs w:val="20"/>
            <w:lang w:val="bg-BG"/>
          </w:rPr>
          <w:lastRenderedPageBreak/>
          <m:t>v</m:t>
        </m:r>
      </m:oMath>
      <w:r w:rsidRPr="009072DA">
        <w:rPr>
          <w:lang w:val="bg-BG"/>
        </w:rPr>
        <w:t xml:space="preserve"> =</w:t>
      </w:r>
      <w:r w:rsidRPr="009072DA">
        <w:rPr>
          <w:lang w:val="bg-BG"/>
        </w:rPr>
        <w:tab/>
        <w:t>максимална скорост на плавателния съд в [m/s];</w:t>
      </w:r>
    </w:p>
    <w:p w:rsidR="00973DAA" w:rsidRPr="009072DA" w:rsidRDefault="00986505" w:rsidP="001F199D">
      <w:pPr>
        <w:pStyle w:val="ESlet"/>
        <w:ind w:left="1134" w:hanging="567"/>
        <w:rPr>
          <w:rFonts w:eastAsia="Calibri"/>
          <w:szCs w:val="20"/>
          <w:lang w:val="bg-BG"/>
        </w:rPr>
      </w:pPr>
      <m:oMath>
        <m:r>
          <w:rPr>
            <w:rFonts w:ascii="Cambria Math" w:eastAsia="Calibri" w:hAnsi="Cambria Math"/>
            <w:szCs w:val="20"/>
            <w:lang w:val="bg-BG"/>
          </w:rPr>
          <m:t>KG</m:t>
        </m:r>
      </m:oMath>
      <w:r w:rsidRPr="009072DA">
        <w:rPr>
          <w:lang w:val="bg-BG"/>
        </w:rPr>
        <w:t xml:space="preserve"> =</w:t>
      </w:r>
      <w:r w:rsidRPr="009072DA">
        <w:rPr>
          <w:lang w:val="bg-BG"/>
        </w:rPr>
        <w:tab/>
        <w:t>разстоянието между центъра на тежестта и линията на кила в [m].</w:t>
      </w:r>
    </w:p>
    <w:p w:rsidR="001F199D" w:rsidRPr="009072DA" w:rsidRDefault="001F199D" w:rsidP="00973DAA">
      <w:pPr>
        <w:pStyle w:val="ESch"/>
        <w:rPr>
          <w:rFonts w:eastAsia="Calibri"/>
          <w:lang w:val="bg-BG"/>
        </w:rPr>
      </w:pPr>
    </w:p>
    <w:p w:rsidR="00973DAA" w:rsidRPr="009072DA" w:rsidRDefault="00973DAA" w:rsidP="001F199D">
      <w:pPr>
        <w:pStyle w:val="ESchpar"/>
        <w:rPr>
          <w:rFonts w:eastAsia="Calibri" w:cs="Arial"/>
          <w:szCs w:val="18"/>
          <w:lang w:val="bg-BG"/>
        </w:rPr>
      </w:pPr>
      <w:r w:rsidRPr="009072DA">
        <w:rPr>
          <w:lang w:val="bg-BG"/>
        </w:rPr>
        <w:t xml:space="preserve">За пътнически плавателни съдове със системи за задвижване съгласно член 6.06, </w:t>
      </w:r>
      <m:oMath>
        <m:sSub>
          <m:sSubPr>
            <m:ctrlPr>
              <w:rPr>
                <w:rFonts w:ascii="Cambria Math" w:eastAsia="Calibri" w:hAnsi="Cambria Math"/>
                <w:i/>
                <w:szCs w:val="18"/>
                <w:lang w:val="bg-BG"/>
              </w:rPr>
            </m:ctrlPr>
          </m:sSubPr>
          <m:e>
            <m:r>
              <w:rPr>
                <w:rFonts w:ascii="Cambria Math" w:eastAsia="Calibri" w:hAnsi="Cambria Math"/>
                <w:szCs w:val="18"/>
                <w:lang w:val="bg-BG"/>
              </w:rPr>
              <m:t>M</m:t>
            </m:r>
          </m:e>
          <m:sub>
            <m:r>
              <w:rPr>
                <w:rFonts w:ascii="Cambria Math" w:eastAsia="Calibri" w:hAnsi="Cambria Math"/>
                <w:szCs w:val="18"/>
                <w:lang w:val="bg-BG"/>
              </w:rPr>
              <m:t>dr</m:t>
            </m:r>
          </m:sub>
        </m:sSub>
      </m:oMath>
      <w:r w:rsidRPr="009072DA">
        <w:rPr>
          <w:lang w:val="bg-BG"/>
        </w:rPr>
        <w:t xml:space="preserve"> се получава или с реални изпитвания, или с изпитвания на макет или от съответните изчисления.</w:t>
      </w:r>
    </w:p>
    <w:p w:rsidR="001F199D" w:rsidRPr="009072DA" w:rsidRDefault="001F199D" w:rsidP="00973DAA">
      <w:pPr>
        <w:pStyle w:val="ESch"/>
        <w:rPr>
          <w:rFonts w:eastAsia="Calibri" w:cs="Arial"/>
          <w:szCs w:val="18"/>
          <w:lang w:val="bg-BG"/>
        </w:rPr>
      </w:pPr>
    </w:p>
    <w:p w:rsidR="00973DAA" w:rsidRPr="009072DA" w:rsidRDefault="00973DAA" w:rsidP="00973DAA">
      <w:pPr>
        <w:pStyle w:val="ESch"/>
        <w:rPr>
          <w:rFonts w:eastAsia="Calibri" w:cs="Arial"/>
          <w:szCs w:val="18"/>
          <w:lang w:val="bg-BG"/>
        </w:rPr>
      </w:pPr>
      <w:r w:rsidRPr="009072DA">
        <w:rPr>
          <w:lang w:val="bg-BG"/>
        </w:rPr>
        <w:t>7.</w:t>
      </w:r>
      <w:r w:rsidRPr="009072DA">
        <w:rPr>
          <w:lang w:val="bg-BG"/>
        </w:rPr>
        <w:tab/>
        <w:t>Заявителят доказва чрез изчисление, че устойчивостта в повредено състояние на плавателния съд е подходяща. Изчислението на крайното състояние на наводняване следва да се основава на метода на „изгубена плавателност“, а междинните състояния на наводняване следва да се изчисляват въз основа на метода на „добавена маса“. Всички изчисления трябва да се правят до максималния диферент и газене.</w:t>
      </w:r>
    </w:p>
    <w:p w:rsidR="001F199D" w:rsidRPr="009072DA" w:rsidRDefault="001F199D"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8.</w:t>
      </w:r>
      <w:r w:rsidRPr="009072DA">
        <w:rPr>
          <w:lang w:val="bg-BG"/>
        </w:rPr>
        <w:tab/>
        <w:t>Плавателността на плавателния съд в случай на наводняване се доказва за стандартните условия на натоварване, определени в точка 2. Също така, математическото доказателство за достатъчната устойчивост се определя за трите междинни фази на наводняване (25, 50 и 75 % от общото наводняване) и за крайния етап на наводняване.</w:t>
      </w:r>
    </w:p>
    <w:p w:rsidR="001F199D" w:rsidRPr="009072DA" w:rsidRDefault="001F199D" w:rsidP="00973DAA">
      <w:pPr>
        <w:pStyle w:val="ESch"/>
        <w:rPr>
          <w:rFonts w:eastAsia="Calibri"/>
          <w:lang w:val="bg-BG"/>
        </w:rPr>
      </w:pPr>
    </w:p>
    <w:p w:rsidR="001F199D" w:rsidRPr="009072DA" w:rsidRDefault="001F199D" w:rsidP="00973DAA">
      <w:pPr>
        <w:pStyle w:val="ESch"/>
        <w:rPr>
          <w:rFonts w:eastAsia="Calibri"/>
          <w:lang w:val="bg-BG"/>
        </w:rPr>
      </w:pPr>
      <w:r w:rsidRPr="009072DA">
        <w:rPr>
          <w:lang w:val="bg-BG"/>
        </w:rPr>
        <w:br w:type="page"/>
      </w:r>
    </w:p>
    <w:p w:rsidR="00973DAA" w:rsidRPr="009072DA" w:rsidRDefault="00973DAA" w:rsidP="00973DAA">
      <w:pPr>
        <w:pStyle w:val="ESch"/>
        <w:rPr>
          <w:rFonts w:eastAsia="Calibri" w:cs="Arial"/>
          <w:szCs w:val="18"/>
          <w:lang w:val="bg-BG"/>
        </w:rPr>
      </w:pPr>
      <w:r w:rsidRPr="009072DA">
        <w:rPr>
          <w:lang w:val="bg-BG"/>
        </w:rPr>
        <w:lastRenderedPageBreak/>
        <w:t>9.</w:t>
      </w:r>
      <w:r w:rsidRPr="009072DA">
        <w:rPr>
          <w:lang w:val="bg-BG"/>
        </w:rPr>
        <w:tab/>
        <w:t>Пътническите плавателни съдове съответстват на изискванията за повреда на един отсек и на два отсека.</w:t>
      </w:r>
    </w:p>
    <w:p w:rsidR="001F199D" w:rsidRPr="009072DA" w:rsidRDefault="001F199D" w:rsidP="00973DAA">
      <w:pPr>
        <w:pStyle w:val="ESch"/>
        <w:rPr>
          <w:rFonts w:eastAsia="Calibri"/>
          <w:lang w:val="bg-BG"/>
        </w:rPr>
      </w:pPr>
    </w:p>
    <w:p w:rsidR="00973DAA" w:rsidRPr="009072DA" w:rsidRDefault="00973DAA" w:rsidP="001F199D">
      <w:pPr>
        <w:pStyle w:val="ESchpar"/>
        <w:rPr>
          <w:rFonts w:eastAsia="Calibri"/>
          <w:lang w:val="bg-BG"/>
        </w:rPr>
      </w:pPr>
      <w:r w:rsidRPr="009072DA">
        <w:rPr>
          <w:lang w:val="bg-BG"/>
        </w:rPr>
        <w:t>Следните допускания относно размера на щетите се взимат под внимание в случай на наводняване:</w:t>
      </w:r>
    </w:p>
    <w:p w:rsidR="001F199D" w:rsidRPr="009072DA" w:rsidRDefault="001F199D" w:rsidP="001F199D">
      <w:pPr>
        <w:pStyle w:val="ESchpar"/>
        <w:rPr>
          <w:rFonts w:eastAsia="Calibri"/>
          <w:lang w:val="bg-BG"/>
        </w:rPr>
      </w:pPr>
    </w:p>
    <w:tbl>
      <w:tblPr>
        <w:tblW w:w="0" w:type="auto"/>
        <w:tblLayout w:type="fixed"/>
        <w:tblLook w:val="0000" w:firstRow="0" w:lastRow="0" w:firstColumn="0" w:lastColumn="0" w:noHBand="0" w:noVBand="0"/>
      </w:tblPr>
      <w:tblGrid>
        <w:gridCol w:w="2786"/>
        <w:gridCol w:w="3250"/>
        <w:gridCol w:w="3250"/>
      </w:tblGrid>
      <w:tr w:rsidR="001F199D" w:rsidRPr="009072DA" w:rsidTr="000804D1">
        <w:tc>
          <w:tcPr>
            <w:tcW w:w="2786" w:type="dxa"/>
            <w:tcBorders>
              <w:top w:val="single" w:sz="2" w:space="0" w:color="auto"/>
              <w:left w:val="single" w:sz="2" w:space="0" w:color="auto"/>
              <w:bottom w:val="single" w:sz="2" w:space="0" w:color="auto"/>
              <w:right w:val="single" w:sz="2" w:space="0" w:color="auto"/>
            </w:tcBorders>
          </w:tcPr>
          <w:p w:rsidR="001F199D" w:rsidRPr="009072DA" w:rsidRDefault="001F199D" w:rsidP="001F199D">
            <w:pPr>
              <w:adjustRightInd w:val="0"/>
              <w:spacing w:before="60" w:after="60" w:line="240" w:lineRule="atLeast"/>
              <w:rPr>
                <w:rFonts w:cs="Arial"/>
                <w:sz w:val="18"/>
                <w:szCs w:val="18"/>
                <w:lang w:val="bg-BG"/>
              </w:rPr>
            </w:pPr>
          </w:p>
        </w:tc>
        <w:tc>
          <w:tcPr>
            <w:tcW w:w="3250" w:type="dxa"/>
            <w:tcBorders>
              <w:top w:val="single" w:sz="2" w:space="0" w:color="auto"/>
              <w:left w:val="single" w:sz="2" w:space="0" w:color="auto"/>
              <w:bottom w:val="single" w:sz="2" w:space="0" w:color="auto"/>
              <w:right w:val="single" w:sz="2" w:space="0" w:color="auto"/>
            </w:tcBorders>
          </w:tcPr>
          <w:p w:rsidR="001F199D" w:rsidRPr="009072DA" w:rsidRDefault="001F199D" w:rsidP="001F199D">
            <w:pPr>
              <w:spacing w:before="60" w:after="60" w:line="240" w:lineRule="atLeast"/>
              <w:jc w:val="center"/>
              <w:rPr>
                <w:rFonts w:cs="Arial"/>
                <w:sz w:val="18"/>
                <w:szCs w:val="18"/>
                <w:lang w:val="bg-BG"/>
              </w:rPr>
            </w:pPr>
            <w:r w:rsidRPr="009072DA">
              <w:rPr>
                <w:sz w:val="18"/>
                <w:lang w:val="bg-BG"/>
              </w:rPr>
              <w:t>Повреда на един отсек</w:t>
            </w:r>
          </w:p>
        </w:tc>
        <w:tc>
          <w:tcPr>
            <w:tcW w:w="3250" w:type="dxa"/>
            <w:tcBorders>
              <w:top w:val="single" w:sz="2" w:space="0" w:color="auto"/>
              <w:left w:val="single" w:sz="2" w:space="0" w:color="auto"/>
              <w:bottom w:val="single" w:sz="2" w:space="0" w:color="auto"/>
              <w:right w:val="single" w:sz="2" w:space="0" w:color="auto"/>
            </w:tcBorders>
          </w:tcPr>
          <w:p w:rsidR="001F199D" w:rsidRPr="009072DA" w:rsidRDefault="001F199D" w:rsidP="001F199D">
            <w:pPr>
              <w:spacing w:before="60" w:after="60" w:line="240" w:lineRule="atLeast"/>
              <w:jc w:val="center"/>
              <w:rPr>
                <w:rFonts w:cs="Arial"/>
                <w:sz w:val="18"/>
                <w:szCs w:val="18"/>
                <w:lang w:val="bg-BG"/>
              </w:rPr>
            </w:pPr>
            <w:r w:rsidRPr="009072DA">
              <w:rPr>
                <w:sz w:val="18"/>
                <w:lang w:val="bg-BG"/>
              </w:rPr>
              <w:t>Повреда на два отсека</w:t>
            </w:r>
          </w:p>
        </w:tc>
      </w:tr>
      <w:tr w:rsidR="001F199D" w:rsidRPr="009072DA" w:rsidTr="000804D1">
        <w:tc>
          <w:tcPr>
            <w:tcW w:w="2786" w:type="dxa"/>
            <w:tcBorders>
              <w:top w:val="single" w:sz="2" w:space="0" w:color="auto"/>
              <w:left w:val="single" w:sz="2" w:space="0" w:color="auto"/>
              <w:bottom w:val="single" w:sz="2" w:space="0" w:color="auto"/>
              <w:right w:val="single" w:sz="2" w:space="0" w:color="auto"/>
            </w:tcBorders>
          </w:tcPr>
          <w:p w:rsidR="001F199D" w:rsidRPr="009072DA" w:rsidRDefault="001F199D" w:rsidP="001F199D">
            <w:pPr>
              <w:spacing w:before="60" w:after="60" w:line="240" w:lineRule="atLeast"/>
              <w:rPr>
                <w:rFonts w:cs="Arial"/>
                <w:sz w:val="18"/>
                <w:szCs w:val="18"/>
                <w:lang w:val="bg-BG"/>
              </w:rPr>
            </w:pPr>
            <w:r w:rsidRPr="009072DA">
              <w:rPr>
                <w:sz w:val="18"/>
                <w:lang w:val="bg-BG"/>
              </w:rPr>
              <w:t>Размер на повредата на борда</w:t>
            </w:r>
          </w:p>
        </w:tc>
        <w:tc>
          <w:tcPr>
            <w:tcW w:w="3250" w:type="dxa"/>
            <w:tcBorders>
              <w:top w:val="single" w:sz="2" w:space="0" w:color="auto"/>
              <w:left w:val="single" w:sz="2" w:space="0" w:color="auto"/>
              <w:bottom w:val="single" w:sz="2" w:space="0" w:color="auto"/>
              <w:right w:val="single" w:sz="2" w:space="0" w:color="auto"/>
            </w:tcBorders>
          </w:tcPr>
          <w:p w:rsidR="001F199D" w:rsidRPr="009072DA" w:rsidRDefault="001F199D" w:rsidP="001F199D">
            <w:pPr>
              <w:spacing w:before="60" w:after="60" w:line="240" w:lineRule="atLeast"/>
              <w:jc w:val="center"/>
              <w:rPr>
                <w:rFonts w:cs="Arial"/>
                <w:sz w:val="18"/>
                <w:szCs w:val="18"/>
                <w:lang w:val="bg-BG"/>
              </w:rPr>
            </w:pPr>
          </w:p>
        </w:tc>
        <w:tc>
          <w:tcPr>
            <w:tcW w:w="3250" w:type="dxa"/>
            <w:tcBorders>
              <w:top w:val="single" w:sz="2" w:space="0" w:color="auto"/>
              <w:left w:val="single" w:sz="2" w:space="0" w:color="auto"/>
              <w:bottom w:val="single" w:sz="2" w:space="0" w:color="auto"/>
              <w:right w:val="single" w:sz="2" w:space="0" w:color="auto"/>
            </w:tcBorders>
          </w:tcPr>
          <w:p w:rsidR="001F199D" w:rsidRPr="009072DA" w:rsidRDefault="001F199D" w:rsidP="001F199D">
            <w:pPr>
              <w:spacing w:before="60" w:after="60" w:line="240" w:lineRule="atLeast"/>
              <w:jc w:val="center"/>
              <w:rPr>
                <w:rFonts w:cs="Arial"/>
                <w:sz w:val="18"/>
                <w:szCs w:val="18"/>
                <w:lang w:val="bg-BG"/>
              </w:rPr>
            </w:pPr>
          </w:p>
        </w:tc>
      </w:tr>
      <w:tr w:rsidR="001F199D" w:rsidRPr="008D2440" w:rsidTr="000804D1">
        <w:tc>
          <w:tcPr>
            <w:tcW w:w="2786" w:type="dxa"/>
            <w:tcBorders>
              <w:top w:val="single" w:sz="2" w:space="0" w:color="auto"/>
              <w:left w:val="single" w:sz="2" w:space="0" w:color="auto"/>
              <w:bottom w:val="single" w:sz="2" w:space="0" w:color="auto"/>
              <w:right w:val="single" w:sz="2" w:space="0" w:color="auto"/>
            </w:tcBorders>
          </w:tcPr>
          <w:p w:rsidR="001F199D" w:rsidRPr="009072DA" w:rsidRDefault="001F199D" w:rsidP="00A22998">
            <w:pPr>
              <w:spacing w:before="60" w:after="60" w:line="240" w:lineRule="atLeast"/>
              <w:rPr>
                <w:rFonts w:cs="Arial"/>
                <w:sz w:val="18"/>
                <w:szCs w:val="18"/>
                <w:lang w:val="bg-BG"/>
              </w:rPr>
            </w:pPr>
            <w:r w:rsidRPr="009072DA">
              <w:rPr>
                <w:sz w:val="18"/>
                <w:lang w:val="bg-BG"/>
              </w:rPr>
              <w:t xml:space="preserve">надлъжна </w:t>
            </w:r>
            <m:oMath>
              <m:r>
                <w:rPr>
                  <w:rFonts w:ascii="Cambria Math" w:hAnsi="Cambria Math" w:cs="Arial"/>
                  <w:sz w:val="18"/>
                  <w:szCs w:val="18"/>
                  <w:lang w:val="bg-BG"/>
                </w:rPr>
                <m:t xml:space="preserve">l </m:t>
              </m:r>
            </m:oMath>
            <w:r w:rsidRPr="009072DA">
              <w:rPr>
                <w:sz w:val="18"/>
                <w:lang w:val="bg-BG"/>
              </w:rPr>
              <w:t>[m]</w:t>
            </w:r>
          </w:p>
        </w:tc>
        <w:tc>
          <w:tcPr>
            <w:tcW w:w="3250" w:type="dxa"/>
            <w:tcBorders>
              <w:top w:val="single" w:sz="2" w:space="0" w:color="auto"/>
              <w:left w:val="single" w:sz="2" w:space="0" w:color="auto"/>
              <w:bottom w:val="single" w:sz="2" w:space="0" w:color="auto"/>
              <w:right w:val="single" w:sz="2" w:space="0" w:color="auto"/>
            </w:tcBorders>
          </w:tcPr>
          <w:p w:rsidR="001F199D" w:rsidRPr="009072DA" w:rsidRDefault="00A22998" w:rsidP="00A22998">
            <w:pPr>
              <w:spacing w:before="60" w:after="60" w:line="240" w:lineRule="atLeast"/>
              <w:rPr>
                <w:rFonts w:cs="Arial"/>
                <w:sz w:val="18"/>
                <w:szCs w:val="18"/>
                <w:lang w:val="bg-BG"/>
              </w:rPr>
            </w:pPr>
            <m:oMath>
              <m:r>
                <w:rPr>
                  <w:rFonts w:ascii="Cambria Math" w:hAnsi="Cambria Math" w:cs="Arial"/>
                  <w:sz w:val="18"/>
                  <w:szCs w:val="18"/>
                  <w:lang w:val="bg-BG"/>
                </w:rPr>
                <m:t xml:space="preserve">0,10 ∙ </m:t>
              </m:r>
              <m:sSub>
                <m:sSubPr>
                  <m:ctrlPr>
                    <w:rPr>
                      <w:rFonts w:ascii="Cambria Math" w:hAnsi="Cambria Math" w:cs="Arial"/>
                      <w:i/>
                      <w:sz w:val="18"/>
                      <w:szCs w:val="18"/>
                      <w:lang w:val="bg-BG"/>
                    </w:rPr>
                  </m:ctrlPr>
                </m:sSubPr>
                <m:e>
                  <m:r>
                    <w:rPr>
                      <w:rFonts w:ascii="Cambria Math" w:hAnsi="Cambria Math" w:cs="Arial"/>
                      <w:sz w:val="18"/>
                      <w:szCs w:val="18"/>
                      <w:lang w:val="bg-BG"/>
                    </w:rPr>
                    <m:t>L</m:t>
                  </m:r>
                </m:e>
                <m:sub>
                  <m:r>
                    <w:rPr>
                      <w:rFonts w:ascii="Cambria Math" w:hAnsi="Cambria Math" w:cs="Arial"/>
                      <w:sz w:val="18"/>
                      <w:szCs w:val="18"/>
                      <w:lang w:val="bg-BG"/>
                    </w:rPr>
                    <m:t>WL</m:t>
                  </m:r>
                </m:sub>
              </m:sSub>
            </m:oMath>
            <w:r w:rsidRPr="009072DA">
              <w:rPr>
                <w:sz w:val="18"/>
                <w:lang w:val="bg-BG"/>
              </w:rPr>
              <w:t>, но не по-малко от 4,00 m</w:t>
            </w:r>
          </w:p>
        </w:tc>
        <w:tc>
          <w:tcPr>
            <w:tcW w:w="3250" w:type="dxa"/>
            <w:tcBorders>
              <w:top w:val="single" w:sz="2" w:space="0" w:color="auto"/>
              <w:left w:val="single" w:sz="2" w:space="0" w:color="auto"/>
              <w:bottom w:val="single" w:sz="2" w:space="0" w:color="auto"/>
              <w:right w:val="single" w:sz="2" w:space="0" w:color="auto"/>
            </w:tcBorders>
          </w:tcPr>
          <w:p w:rsidR="001F199D" w:rsidRPr="009072DA" w:rsidRDefault="00A22998" w:rsidP="00A22998">
            <w:pPr>
              <w:spacing w:before="60" w:after="60" w:line="240" w:lineRule="atLeast"/>
              <w:rPr>
                <w:rFonts w:cs="Arial"/>
                <w:sz w:val="18"/>
                <w:szCs w:val="18"/>
                <w:lang w:val="bg-BG"/>
              </w:rPr>
            </w:pPr>
            <m:oMath>
              <m:r>
                <w:rPr>
                  <w:rFonts w:ascii="Cambria Math" w:hAnsi="Cambria Math" w:cs="Arial"/>
                  <w:sz w:val="18"/>
                  <w:szCs w:val="18"/>
                  <w:lang w:val="bg-BG"/>
                </w:rPr>
                <m:t xml:space="preserve">0,05 ∙ </m:t>
              </m:r>
              <m:sSub>
                <m:sSubPr>
                  <m:ctrlPr>
                    <w:rPr>
                      <w:rFonts w:ascii="Cambria Math" w:hAnsi="Cambria Math" w:cs="Arial"/>
                      <w:i/>
                      <w:sz w:val="18"/>
                      <w:szCs w:val="18"/>
                      <w:lang w:val="bg-BG"/>
                    </w:rPr>
                  </m:ctrlPr>
                </m:sSubPr>
                <m:e>
                  <m:r>
                    <w:rPr>
                      <w:rFonts w:ascii="Cambria Math" w:hAnsi="Cambria Math" w:cs="Arial"/>
                      <w:sz w:val="18"/>
                      <w:szCs w:val="18"/>
                      <w:lang w:val="bg-BG"/>
                    </w:rPr>
                    <m:t>L</m:t>
                  </m:r>
                </m:e>
                <m:sub>
                  <m:r>
                    <w:rPr>
                      <w:rFonts w:ascii="Cambria Math" w:hAnsi="Cambria Math" w:cs="Arial"/>
                      <w:sz w:val="18"/>
                      <w:szCs w:val="18"/>
                      <w:lang w:val="bg-BG"/>
                    </w:rPr>
                    <m:t>WL</m:t>
                  </m:r>
                </m:sub>
              </m:sSub>
            </m:oMath>
            <w:r w:rsidRPr="009072DA">
              <w:rPr>
                <w:sz w:val="18"/>
                <w:lang w:val="bg-BG"/>
              </w:rPr>
              <w:t>, но не по-малко от 2,25 m</w:t>
            </w:r>
          </w:p>
        </w:tc>
      </w:tr>
      <w:tr w:rsidR="001F199D" w:rsidRPr="009072DA" w:rsidTr="000804D1">
        <w:tc>
          <w:tcPr>
            <w:tcW w:w="2786" w:type="dxa"/>
            <w:tcBorders>
              <w:top w:val="single" w:sz="2" w:space="0" w:color="auto"/>
              <w:left w:val="single" w:sz="2" w:space="0" w:color="auto"/>
              <w:bottom w:val="single" w:sz="2" w:space="0" w:color="auto"/>
              <w:right w:val="single" w:sz="2" w:space="0" w:color="auto"/>
            </w:tcBorders>
          </w:tcPr>
          <w:p w:rsidR="001F199D" w:rsidRPr="009072DA" w:rsidRDefault="001F199D" w:rsidP="00A22998">
            <w:pPr>
              <w:spacing w:before="60" w:after="60" w:line="240" w:lineRule="atLeast"/>
              <w:rPr>
                <w:rFonts w:cs="Arial"/>
                <w:sz w:val="18"/>
                <w:szCs w:val="18"/>
                <w:lang w:val="bg-BG"/>
              </w:rPr>
            </w:pPr>
            <w:r w:rsidRPr="009072DA">
              <w:rPr>
                <w:sz w:val="18"/>
                <w:lang w:val="bg-BG"/>
              </w:rPr>
              <w:t xml:space="preserve">напречна </w:t>
            </w:r>
            <m:oMath>
              <m:r>
                <w:rPr>
                  <w:rFonts w:ascii="Cambria Math" w:hAnsi="Cambria Math" w:cs="Arial"/>
                  <w:sz w:val="18"/>
                  <w:szCs w:val="18"/>
                  <w:lang w:val="bg-BG"/>
                </w:rPr>
                <m:t xml:space="preserve">b </m:t>
              </m:r>
            </m:oMath>
            <w:r w:rsidRPr="009072DA">
              <w:rPr>
                <w:sz w:val="18"/>
                <w:lang w:val="bg-BG"/>
              </w:rPr>
              <w:t xml:space="preserve"> [m]</w:t>
            </w:r>
          </w:p>
        </w:tc>
        <w:tc>
          <w:tcPr>
            <w:tcW w:w="3250" w:type="dxa"/>
            <w:tcBorders>
              <w:top w:val="single" w:sz="2" w:space="0" w:color="auto"/>
              <w:left w:val="single" w:sz="2" w:space="0" w:color="auto"/>
              <w:bottom w:val="single" w:sz="2" w:space="0" w:color="auto"/>
              <w:right w:val="single" w:sz="2" w:space="0" w:color="auto"/>
            </w:tcBorders>
          </w:tcPr>
          <w:p w:rsidR="001F199D" w:rsidRPr="009072DA" w:rsidRDefault="001F199D" w:rsidP="001F199D">
            <w:pPr>
              <w:spacing w:before="60" w:after="60" w:line="240" w:lineRule="atLeast"/>
              <w:jc w:val="center"/>
              <w:rPr>
                <w:rFonts w:cs="Arial"/>
                <w:sz w:val="18"/>
                <w:szCs w:val="18"/>
                <w:lang w:val="bg-BG"/>
              </w:rPr>
            </w:pPr>
            <w:r w:rsidRPr="009072DA">
              <w:rPr>
                <w:sz w:val="18"/>
                <w:lang w:val="bg-BG"/>
              </w:rPr>
              <w:t>B/5</w:t>
            </w:r>
          </w:p>
        </w:tc>
        <w:tc>
          <w:tcPr>
            <w:tcW w:w="3250" w:type="dxa"/>
            <w:tcBorders>
              <w:top w:val="single" w:sz="2" w:space="0" w:color="auto"/>
              <w:left w:val="single" w:sz="2" w:space="0" w:color="auto"/>
              <w:bottom w:val="single" w:sz="2" w:space="0" w:color="auto"/>
              <w:right w:val="single" w:sz="2" w:space="0" w:color="auto"/>
            </w:tcBorders>
          </w:tcPr>
          <w:p w:rsidR="001F199D" w:rsidRPr="009072DA" w:rsidRDefault="001F199D" w:rsidP="001F199D">
            <w:pPr>
              <w:spacing w:before="60" w:after="60" w:line="240" w:lineRule="atLeast"/>
              <w:jc w:val="center"/>
              <w:rPr>
                <w:rFonts w:cs="Arial"/>
                <w:sz w:val="18"/>
                <w:szCs w:val="18"/>
                <w:lang w:val="bg-BG"/>
              </w:rPr>
            </w:pPr>
            <w:r w:rsidRPr="009072DA">
              <w:rPr>
                <w:sz w:val="18"/>
                <w:lang w:val="bg-BG"/>
              </w:rPr>
              <w:t>0,59</w:t>
            </w:r>
          </w:p>
        </w:tc>
      </w:tr>
      <w:tr w:rsidR="001F199D" w:rsidRPr="008D2440" w:rsidTr="000804D1">
        <w:tc>
          <w:tcPr>
            <w:tcW w:w="2786" w:type="dxa"/>
            <w:tcBorders>
              <w:top w:val="single" w:sz="2" w:space="0" w:color="auto"/>
              <w:left w:val="single" w:sz="2" w:space="0" w:color="auto"/>
              <w:bottom w:val="single" w:sz="2" w:space="0" w:color="auto"/>
              <w:right w:val="single" w:sz="2" w:space="0" w:color="auto"/>
            </w:tcBorders>
          </w:tcPr>
          <w:p w:rsidR="001F199D" w:rsidRPr="009072DA" w:rsidRDefault="001F199D" w:rsidP="00A22998">
            <w:pPr>
              <w:spacing w:before="60" w:after="60" w:line="240" w:lineRule="atLeast"/>
              <w:rPr>
                <w:rFonts w:cs="Arial"/>
                <w:sz w:val="18"/>
                <w:szCs w:val="18"/>
                <w:lang w:val="bg-BG"/>
              </w:rPr>
            </w:pPr>
            <w:r w:rsidRPr="009072DA">
              <w:rPr>
                <w:sz w:val="18"/>
                <w:lang w:val="bg-BG"/>
              </w:rPr>
              <w:t xml:space="preserve">вертикална </w:t>
            </w:r>
            <m:oMath>
              <m:r>
                <w:rPr>
                  <w:rFonts w:ascii="Cambria Math" w:hAnsi="Cambria Math" w:cs="Arial"/>
                  <w:sz w:val="18"/>
                  <w:szCs w:val="18"/>
                  <w:lang w:val="bg-BG"/>
                </w:rPr>
                <m:t>h</m:t>
              </m:r>
            </m:oMath>
            <w:r w:rsidRPr="009072DA">
              <w:rPr>
                <w:sz w:val="18"/>
                <w:lang w:val="bg-BG"/>
              </w:rPr>
              <w:t xml:space="preserve"> [m]</w:t>
            </w:r>
          </w:p>
        </w:tc>
        <w:tc>
          <w:tcPr>
            <w:tcW w:w="6500" w:type="dxa"/>
            <w:gridSpan w:val="2"/>
            <w:tcBorders>
              <w:top w:val="single" w:sz="2" w:space="0" w:color="auto"/>
              <w:left w:val="single" w:sz="2" w:space="0" w:color="auto"/>
              <w:bottom w:val="single" w:sz="2" w:space="0" w:color="auto"/>
              <w:right w:val="single" w:sz="2" w:space="0" w:color="auto"/>
            </w:tcBorders>
          </w:tcPr>
          <w:p w:rsidR="001F199D" w:rsidRPr="009072DA" w:rsidRDefault="001F199D" w:rsidP="001F199D">
            <w:pPr>
              <w:spacing w:before="60" w:after="60" w:line="240" w:lineRule="atLeast"/>
              <w:rPr>
                <w:rFonts w:cs="Arial"/>
                <w:sz w:val="18"/>
                <w:szCs w:val="18"/>
                <w:lang w:val="bg-BG"/>
              </w:rPr>
            </w:pPr>
            <w:r w:rsidRPr="009072DA">
              <w:rPr>
                <w:sz w:val="18"/>
                <w:lang w:val="bg-BG"/>
              </w:rPr>
              <w:t>от дъното на плавателния съд догоре без ограничение</w:t>
            </w:r>
          </w:p>
        </w:tc>
      </w:tr>
      <w:tr w:rsidR="001F199D" w:rsidRPr="008D2440" w:rsidTr="000804D1">
        <w:tc>
          <w:tcPr>
            <w:tcW w:w="2786" w:type="dxa"/>
            <w:tcBorders>
              <w:top w:val="single" w:sz="2" w:space="0" w:color="auto"/>
              <w:left w:val="single" w:sz="2" w:space="0" w:color="auto"/>
              <w:bottom w:val="single" w:sz="2" w:space="0" w:color="auto"/>
              <w:right w:val="single" w:sz="2" w:space="0" w:color="auto"/>
            </w:tcBorders>
          </w:tcPr>
          <w:p w:rsidR="001F199D" w:rsidRPr="009072DA" w:rsidRDefault="001F199D" w:rsidP="001F199D">
            <w:pPr>
              <w:spacing w:before="60" w:after="60" w:line="240" w:lineRule="atLeast"/>
              <w:rPr>
                <w:rFonts w:cs="Arial"/>
                <w:sz w:val="18"/>
                <w:szCs w:val="18"/>
                <w:lang w:val="bg-BG"/>
              </w:rPr>
            </w:pPr>
            <w:r w:rsidRPr="009072DA">
              <w:rPr>
                <w:sz w:val="18"/>
                <w:lang w:val="bg-BG"/>
              </w:rPr>
              <w:t>Размер на повредата на дъното</w:t>
            </w:r>
          </w:p>
        </w:tc>
        <w:tc>
          <w:tcPr>
            <w:tcW w:w="3250" w:type="dxa"/>
            <w:tcBorders>
              <w:top w:val="single" w:sz="2" w:space="0" w:color="auto"/>
              <w:left w:val="single" w:sz="2" w:space="0" w:color="auto"/>
              <w:bottom w:val="single" w:sz="2" w:space="0" w:color="auto"/>
              <w:right w:val="single" w:sz="2" w:space="0" w:color="auto"/>
            </w:tcBorders>
          </w:tcPr>
          <w:p w:rsidR="001F199D" w:rsidRPr="009072DA" w:rsidRDefault="001F199D" w:rsidP="001F199D">
            <w:pPr>
              <w:spacing w:before="60" w:after="60" w:line="240" w:lineRule="atLeast"/>
              <w:jc w:val="center"/>
              <w:rPr>
                <w:rFonts w:cs="Arial"/>
                <w:sz w:val="18"/>
                <w:szCs w:val="18"/>
                <w:lang w:val="bg-BG"/>
              </w:rPr>
            </w:pPr>
          </w:p>
        </w:tc>
        <w:tc>
          <w:tcPr>
            <w:tcW w:w="3250" w:type="dxa"/>
            <w:tcBorders>
              <w:top w:val="single" w:sz="2" w:space="0" w:color="auto"/>
              <w:left w:val="single" w:sz="2" w:space="0" w:color="auto"/>
              <w:bottom w:val="single" w:sz="2" w:space="0" w:color="auto"/>
              <w:right w:val="single" w:sz="2" w:space="0" w:color="auto"/>
            </w:tcBorders>
          </w:tcPr>
          <w:p w:rsidR="001F199D" w:rsidRPr="009072DA" w:rsidRDefault="001F199D" w:rsidP="001F199D">
            <w:pPr>
              <w:spacing w:before="60" w:after="60" w:line="240" w:lineRule="atLeast"/>
              <w:jc w:val="center"/>
              <w:rPr>
                <w:rFonts w:cs="Arial"/>
                <w:sz w:val="18"/>
                <w:szCs w:val="18"/>
                <w:lang w:val="bg-BG"/>
              </w:rPr>
            </w:pPr>
          </w:p>
        </w:tc>
      </w:tr>
      <w:tr w:rsidR="001F199D" w:rsidRPr="008D2440" w:rsidTr="000804D1">
        <w:tc>
          <w:tcPr>
            <w:tcW w:w="2786" w:type="dxa"/>
            <w:tcBorders>
              <w:top w:val="single" w:sz="2" w:space="0" w:color="auto"/>
              <w:left w:val="single" w:sz="2" w:space="0" w:color="auto"/>
              <w:bottom w:val="single" w:sz="2" w:space="0" w:color="auto"/>
              <w:right w:val="single" w:sz="2" w:space="0" w:color="auto"/>
            </w:tcBorders>
          </w:tcPr>
          <w:p w:rsidR="001F199D" w:rsidRPr="009072DA" w:rsidRDefault="001F199D" w:rsidP="00A22998">
            <w:pPr>
              <w:spacing w:before="60" w:after="60" w:line="240" w:lineRule="atLeast"/>
              <w:rPr>
                <w:rFonts w:cs="Arial"/>
                <w:sz w:val="18"/>
                <w:szCs w:val="18"/>
                <w:lang w:val="bg-BG"/>
              </w:rPr>
            </w:pPr>
            <w:r w:rsidRPr="009072DA">
              <w:rPr>
                <w:sz w:val="18"/>
                <w:lang w:val="bg-BG"/>
              </w:rPr>
              <w:t xml:space="preserve">надлъжна </w:t>
            </w:r>
            <m:oMath>
              <m:r>
                <w:rPr>
                  <w:rFonts w:ascii="Cambria Math" w:hAnsi="Cambria Math" w:cs="Arial"/>
                  <w:sz w:val="18"/>
                  <w:szCs w:val="18"/>
                  <w:lang w:val="bg-BG"/>
                </w:rPr>
                <m:t>l</m:t>
              </m:r>
            </m:oMath>
            <w:r w:rsidRPr="009072DA">
              <w:rPr>
                <w:sz w:val="18"/>
                <w:lang w:val="bg-BG"/>
              </w:rPr>
              <w:t xml:space="preserve"> [m]</w:t>
            </w:r>
          </w:p>
        </w:tc>
        <w:tc>
          <w:tcPr>
            <w:tcW w:w="3250" w:type="dxa"/>
            <w:tcBorders>
              <w:top w:val="single" w:sz="2" w:space="0" w:color="auto"/>
              <w:left w:val="single" w:sz="2" w:space="0" w:color="auto"/>
              <w:bottom w:val="single" w:sz="2" w:space="0" w:color="auto"/>
              <w:right w:val="single" w:sz="2" w:space="0" w:color="auto"/>
            </w:tcBorders>
          </w:tcPr>
          <w:p w:rsidR="001F199D" w:rsidRPr="009072DA" w:rsidRDefault="00A22998" w:rsidP="001F199D">
            <w:pPr>
              <w:spacing w:before="60" w:after="60" w:line="240" w:lineRule="atLeast"/>
              <w:rPr>
                <w:rFonts w:cs="Arial"/>
                <w:sz w:val="18"/>
                <w:szCs w:val="18"/>
                <w:lang w:val="bg-BG"/>
              </w:rPr>
            </w:pPr>
            <m:oMath>
              <m:r>
                <w:rPr>
                  <w:rFonts w:ascii="Cambria Math" w:hAnsi="Cambria Math" w:cs="Arial"/>
                  <w:sz w:val="18"/>
                  <w:szCs w:val="18"/>
                  <w:lang w:val="bg-BG"/>
                </w:rPr>
                <m:t xml:space="preserve">0,10 ∙ </m:t>
              </m:r>
              <m:sSub>
                <m:sSubPr>
                  <m:ctrlPr>
                    <w:rPr>
                      <w:rFonts w:ascii="Cambria Math" w:hAnsi="Cambria Math" w:cs="Arial"/>
                      <w:i/>
                      <w:sz w:val="18"/>
                      <w:szCs w:val="18"/>
                      <w:lang w:val="bg-BG"/>
                    </w:rPr>
                  </m:ctrlPr>
                </m:sSubPr>
                <m:e>
                  <m:r>
                    <w:rPr>
                      <w:rFonts w:ascii="Cambria Math" w:hAnsi="Cambria Math" w:cs="Arial"/>
                      <w:sz w:val="18"/>
                      <w:szCs w:val="18"/>
                      <w:lang w:val="bg-BG"/>
                    </w:rPr>
                    <m:t>L</m:t>
                  </m:r>
                </m:e>
                <m:sub>
                  <m:r>
                    <w:rPr>
                      <w:rFonts w:ascii="Cambria Math" w:hAnsi="Cambria Math" w:cs="Arial"/>
                      <w:sz w:val="18"/>
                      <w:szCs w:val="18"/>
                      <w:lang w:val="bg-BG"/>
                    </w:rPr>
                    <m:t>WL</m:t>
                  </m:r>
                </m:sub>
              </m:sSub>
            </m:oMath>
            <w:r w:rsidRPr="009072DA">
              <w:rPr>
                <w:sz w:val="18"/>
                <w:lang w:val="bg-BG"/>
              </w:rPr>
              <w:t>, но не по-малко от 4,00 m</w:t>
            </w:r>
          </w:p>
        </w:tc>
        <w:tc>
          <w:tcPr>
            <w:tcW w:w="3250" w:type="dxa"/>
            <w:tcBorders>
              <w:top w:val="single" w:sz="2" w:space="0" w:color="auto"/>
              <w:left w:val="single" w:sz="2" w:space="0" w:color="auto"/>
              <w:bottom w:val="single" w:sz="2" w:space="0" w:color="auto"/>
              <w:right w:val="single" w:sz="2" w:space="0" w:color="auto"/>
            </w:tcBorders>
          </w:tcPr>
          <w:p w:rsidR="001F199D" w:rsidRPr="009072DA" w:rsidRDefault="00A22998" w:rsidP="001F199D">
            <w:pPr>
              <w:spacing w:before="60" w:after="60" w:line="240" w:lineRule="atLeast"/>
              <w:rPr>
                <w:rFonts w:cs="Arial"/>
                <w:sz w:val="18"/>
                <w:szCs w:val="18"/>
                <w:lang w:val="bg-BG"/>
              </w:rPr>
            </w:pPr>
            <m:oMath>
              <m:r>
                <w:rPr>
                  <w:rFonts w:ascii="Cambria Math" w:hAnsi="Cambria Math" w:cs="Arial"/>
                  <w:sz w:val="18"/>
                  <w:szCs w:val="18"/>
                  <w:lang w:val="bg-BG"/>
                </w:rPr>
                <m:t xml:space="preserve">0,05 ∙ </m:t>
              </m:r>
              <m:sSub>
                <m:sSubPr>
                  <m:ctrlPr>
                    <w:rPr>
                      <w:rFonts w:ascii="Cambria Math" w:hAnsi="Cambria Math" w:cs="Arial"/>
                      <w:i/>
                      <w:sz w:val="18"/>
                      <w:szCs w:val="18"/>
                      <w:lang w:val="bg-BG"/>
                    </w:rPr>
                  </m:ctrlPr>
                </m:sSubPr>
                <m:e>
                  <m:r>
                    <w:rPr>
                      <w:rFonts w:ascii="Cambria Math" w:hAnsi="Cambria Math" w:cs="Arial"/>
                      <w:sz w:val="18"/>
                      <w:szCs w:val="18"/>
                      <w:lang w:val="bg-BG"/>
                    </w:rPr>
                    <m:t>L</m:t>
                  </m:r>
                </m:e>
                <m:sub>
                  <m:r>
                    <w:rPr>
                      <w:rFonts w:ascii="Cambria Math" w:hAnsi="Cambria Math" w:cs="Arial"/>
                      <w:sz w:val="18"/>
                      <w:szCs w:val="18"/>
                      <w:lang w:val="bg-BG"/>
                    </w:rPr>
                    <m:t>WL</m:t>
                  </m:r>
                </m:sub>
              </m:sSub>
            </m:oMath>
            <w:r w:rsidRPr="009072DA">
              <w:rPr>
                <w:sz w:val="18"/>
                <w:lang w:val="bg-BG"/>
              </w:rPr>
              <w:t>, но не по-малко от 2,25 m</w:t>
            </w:r>
          </w:p>
        </w:tc>
      </w:tr>
      <w:tr w:rsidR="001F199D" w:rsidRPr="009072DA" w:rsidTr="000804D1">
        <w:tc>
          <w:tcPr>
            <w:tcW w:w="2786" w:type="dxa"/>
            <w:tcBorders>
              <w:top w:val="single" w:sz="2" w:space="0" w:color="auto"/>
              <w:left w:val="single" w:sz="2" w:space="0" w:color="auto"/>
              <w:bottom w:val="single" w:sz="2" w:space="0" w:color="auto"/>
              <w:right w:val="single" w:sz="2" w:space="0" w:color="auto"/>
            </w:tcBorders>
          </w:tcPr>
          <w:p w:rsidR="001F199D" w:rsidRPr="009072DA" w:rsidRDefault="001F199D" w:rsidP="001F199D">
            <w:pPr>
              <w:spacing w:before="60" w:after="60" w:line="240" w:lineRule="atLeast"/>
              <w:rPr>
                <w:rFonts w:cs="Arial"/>
                <w:sz w:val="18"/>
                <w:szCs w:val="18"/>
                <w:lang w:val="bg-BG"/>
              </w:rPr>
            </w:pPr>
            <w:r w:rsidRPr="009072DA">
              <w:rPr>
                <w:sz w:val="18"/>
                <w:lang w:val="bg-BG"/>
              </w:rPr>
              <w:t xml:space="preserve">напречна </w:t>
            </w:r>
            <m:oMath>
              <m:r>
                <w:rPr>
                  <w:rFonts w:ascii="Cambria Math" w:hAnsi="Cambria Math" w:cs="Arial"/>
                  <w:sz w:val="18"/>
                  <w:szCs w:val="18"/>
                  <w:lang w:val="bg-BG"/>
                </w:rPr>
                <m:t>b</m:t>
              </m:r>
            </m:oMath>
            <w:r w:rsidRPr="009072DA">
              <w:rPr>
                <w:sz w:val="18"/>
                <w:lang w:val="bg-BG"/>
              </w:rPr>
              <w:t xml:space="preserve"> [m]</w:t>
            </w:r>
          </w:p>
        </w:tc>
        <w:tc>
          <w:tcPr>
            <w:tcW w:w="6500" w:type="dxa"/>
            <w:gridSpan w:val="2"/>
            <w:tcBorders>
              <w:top w:val="single" w:sz="2" w:space="0" w:color="auto"/>
              <w:left w:val="single" w:sz="2" w:space="0" w:color="auto"/>
              <w:bottom w:val="single" w:sz="2" w:space="0" w:color="auto"/>
              <w:right w:val="single" w:sz="2" w:space="0" w:color="auto"/>
            </w:tcBorders>
          </w:tcPr>
          <w:p w:rsidR="001F199D" w:rsidRPr="009072DA" w:rsidRDefault="001F199D" w:rsidP="001F199D">
            <w:pPr>
              <w:spacing w:before="60" w:after="60" w:line="240" w:lineRule="atLeast"/>
              <w:jc w:val="center"/>
              <w:rPr>
                <w:rFonts w:cs="Arial"/>
                <w:sz w:val="18"/>
                <w:szCs w:val="18"/>
                <w:lang w:val="bg-BG"/>
              </w:rPr>
            </w:pPr>
            <w:r w:rsidRPr="009072DA">
              <w:rPr>
                <w:sz w:val="18"/>
                <w:lang w:val="bg-BG"/>
              </w:rPr>
              <w:t>B/5</w:t>
            </w:r>
          </w:p>
        </w:tc>
      </w:tr>
      <w:tr w:rsidR="001F199D" w:rsidRPr="008D2440" w:rsidTr="000804D1">
        <w:tc>
          <w:tcPr>
            <w:tcW w:w="2786" w:type="dxa"/>
            <w:tcBorders>
              <w:top w:val="single" w:sz="2" w:space="0" w:color="auto"/>
              <w:left w:val="single" w:sz="2" w:space="0" w:color="auto"/>
              <w:bottom w:val="single" w:sz="2" w:space="0" w:color="auto"/>
              <w:right w:val="single" w:sz="2" w:space="0" w:color="auto"/>
            </w:tcBorders>
          </w:tcPr>
          <w:p w:rsidR="001F199D" w:rsidRPr="009072DA" w:rsidRDefault="001F199D" w:rsidP="001F199D">
            <w:pPr>
              <w:spacing w:before="60" w:after="60" w:line="240" w:lineRule="atLeast"/>
              <w:rPr>
                <w:rFonts w:cs="Arial"/>
                <w:sz w:val="18"/>
                <w:szCs w:val="18"/>
                <w:lang w:val="bg-BG"/>
              </w:rPr>
            </w:pPr>
            <w:r w:rsidRPr="009072DA">
              <w:rPr>
                <w:sz w:val="18"/>
                <w:lang w:val="bg-BG"/>
              </w:rPr>
              <w:t xml:space="preserve">вертикална </w:t>
            </w:r>
            <m:oMath>
              <m:r>
                <w:rPr>
                  <w:rFonts w:ascii="Cambria Math" w:hAnsi="Cambria Math" w:cs="Arial"/>
                  <w:sz w:val="18"/>
                  <w:szCs w:val="18"/>
                  <w:lang w:val="bg-BG"/>
                </w:rPr>
                <m:t>h</m:t>
              </m:r>
            </m:oMath>
            <w:r w:rsidRPr="009072DA">
              <w:rPr>
                <w:sz w:val="18"/>
                <w:lang w:val="bg-BG"/>
              </w:rPr>
              <w:t xml:space="preserve"> [m]</w:t>
            </w:r>
          </w:p>
        </w:tc>
        <w:tc>
          <w:tcPr>
            <w:tcW w:w="6500" w:type="dxa"/>
            <w:gridSpan w:val="2"/>
            <w:tcBorders>
              <w:top w:val="single" w:sz="2" w:space="0" w:color="auto"/>
              <w:left w:val="single" w:sz="2" w:space="0" w:color="auto"/>
              <w:bottom w:val="single" w:sz="2" w:space="0" w:color="auto"/>
              <w:right w:val="single" w:sz="2" w:space="0" w:color="auto"/>
            </w:tcBorders>
          </w:tcPr>
          <w:p w:rsidR="001F199D" w:rsidRPr="009072DA" w:rsidRDefault="001F199D" w:rsidP="00D639C2">
            <w:pPr>
              <w:spacing w:before="60" w:after="60" w:line="240" w:lineRule="atLeast"/>
              <w:rPr>
                <w:rFonts w:cs="Arial"/>
                <w:sz w:val="18"/>
                <w:szCs w:val="18"/>
                <w:lang w:val="bg-BG"/>
              </w:rPr>
            </w:pPr>
            <w:r w:rsidRPr="009072DA">
              <w:rPr>
                <w:sz w:val="18"/>
                <w:lang w:val="bg-BG"/>
              </w:rPr>
              <w:t>0,59; тръбопроводите, инсталирани в съответствие с член 19.02, точка 13, буква в), се смятат за незасегнати</w:t>
            </w:r>
          </w:p>
        </w:tc>
      </w:tr>
    </w:tbl>
    <w:p w:rsidR="001F199D" w:rsidRPr="009072DA" w:rsidRDefault="001F199D" w:rsidP="001F199D">
      <w:pPr>
        <w:pStyle w:val="ESchpar"/>
        <w:rPr>
          <w:rFonts w:eastAsia="Calibri"/>
          <w:lang w:val="bg-BG"/>
        </w:rPr>
      </w:pPr>
    </w:p>
    <w:p w:rsidR="00973DAA" w:rsidRPr="009072DA" w:rsidRDefault="005C7859" w:rsidP="001F199D">
      <w:pPr>
        <w:pStyle w:val="ESlet"/>
        <w:rPr>
          <w:rFonts w:eastAsia="Calibri" w:cs="Arial"/>
          <w:szCs w:val="18"/>
          <w:lang w:val="bg-BG"/>
        </w:rPr>
      </w:pPr>
      <w:r w:rsidRPr="009072DA">
        <w:rPr>
          <w:lang w:val="bg-BG"/>
        </w:rPr>
        <w:t>a)</w:t>
      </w:r>
      <w:r w:rsidRPr="009072DA">
        <w:rPr>
          <w:lang w:val="bg-BG"/>
        </w:rPr>
        <w:tab/>
        <w:t>при състояние на повреда на един отсек преградите могат да бъдат приети за незасегнати, ако разстоянието между две съседни прегради е по-голямо от дължината на повредата. Надлъжните прегради на разстояние, по-малко от B/3 от корпуса, измерено перпендикулярно на осевата линия от обшивката на корпуса при максимално газене, не се вземат под внимание за целите на изчислението. Ниша в напречна преграда, по-дългa от 2,50 m, се счита за надлъжна преграда.</w:t>
      </w:r>
    </w:p>
    <w:p w:rsidR="00973DAA" w:rsidRPr="009072DA" w:rsidRDefault="005C7859" w:rsidP="001F199D">
      <w:pPr>
        <w:pStyle w:val="ESlet"/>
        <w:rPr>
          <w:rFonts w:eastAsia="Calibri" w:cs="Arial"/>
          <w:szCs w:val="18"/>
          <w:lang w:val="bg-BG"/>
        </w:rPr>
      </w:pPr>
      <w:r w:rsidRPr="009072DA">
        <w:rPr>
          <w:lang w:val="bg-BG"/>
        </w:rPr>
        <w:t>б)</w:t>
      </w:r>
      <w:r w:rsidRPr="009072DA">
        <w:rPr>
          <w:lang w:val="bg-BG"/>
        </w:rPr>
        <w:tab/>
        <w:t>при състояние на повреда на два отсека всяка преграда в рамките на обхвата на повредата се смята за засегната. Това означава, че местоположенията на преградите се избират по такъв начин, че да се осигури плавателният съд да остане на вода след наводняване на два или повече съседни отсека надлъжно.</w:t>
      </w:r>
    </w:p>
    <w:p w:rsidR="00973DAA" w:rsidRPr="009072DA" w:rsidRDefault="005C7859" w:rsidP="001F199D">
      <w:pPr>
        <w:pStyle w:val="ESlet"/>
        <w:rPr>
          <w:rFonts w:eastAsia="Calibri" w:cs="Arial"/>
          <w:szCs w:val="18"/>
          <w:lang w:val="bg-BG"/>
        </w:rPr>
      </w:pPr>
      <w:r w:rsidRPr="009072DA">
        <w:rPr>
          <w:lang w:val="bg-BG"/>
        </w:rPr>
        <w:t>в)</w:t>
      </w:r>
      <w:r w:rsidRPr="009072DA">
        <w:rPr>
          <w:lang w:val="bg-BG"/>
        </w:rPr>
        <w:tab/>
        <w:t>най-ниската точка на всеки отвор, който не е водонепроницаем (например врати, прозорци, люкове за достъп до трюмове), се намира на не по-малко от 0,10 m над повредената водолиния. Палубата на преградите не трябва да е под водата при последния етап на наводняване.</w:t>
      </w:r>
    </w:p>
    <w:p w:rsidR="00973DAA" w:rsidRPr="009072DA" w:rsidRDefault="005C7859" w:rsidP="001F199D">
      <w:pPr>
        <w:pStyle w:val="ESlet"/>
        <w:rPr>
          <w:rFonts w:eastAsia="Calibri" w:cs="Arial"/>
          <w:szCs w:val="18"/>
          <w:lang w:val="bg-BG"/>
        </w:rPr>
      </w:pPr>
      <w:r w:rsidRPr="009072DA">
        <w:rPr>
          <w:lang w:val="bg-BG"/>
        </w:rPr>
        <w:t>г)</w:t>
      </w:r>
      <w:r w:rsidRPr="009072DA">
        <w:rPr>
          <w:lang w:val="bg-BG"/>
        </w:rPr>
        <w:tab/>
        <w:t>проницаемостта се приема за 95 %. Ако бъде доказано чрез изчисления, че средната проницаемост на някой отсек е по-малка от 95 %, изчислената стойност може да се използва вместо това.</w:t>
      </w:r>
    </w:p>
    <w:p w:rsidR="00973DAA" w:rsidRPr="009072DA" w:rsidRDefault="00973DAA" w:rsidP="00324388">
      <w:pPr>
        <w:pStyle w:val="ESletpar"/>
        <w:rPr>
          <w:rFonts w:eastAsia="Calibri"/>
          <w:lang w:val="bg-BG"/>
        </w:rPr>
      </w:pPr>
      <w:r w:rsidRPr="009072DA">
        <w:rPr>
          <w:lang w:val="bg-BG"/>
        </w:rPr>
        <w:t>Стойностите, които трябва да се приемат, не трябва да са по-ниски от:</w:t>
      </w:r>
    </w:p>
    <w:tbl>
      <w:tblPr>
        <w:tblW w:w="8392" w:type="dxa"/>
        <w:tblInd w:w="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61"/>
        <w:gridCol w:w="1531"/>
      </w:tblGrid>
      <w:tr w:rsidR="00324388" w:rsidRPr="009072DA" w:rsidTr="00B0682F">
        <w:tc>
          <w:tcPr>
            <w:tcW w:w="6861" w:type="dxa"/>
            <w:shd w:val="clear" w:color="auto" w:fill="auto"/>
            <w:vAlign w:val="center"/>
          </w:tcPr>
          <w:p w:rsidR="00324388" w:rsidRPr="009072DA" w:rsidRDefault="00324388" w:rsidP="000804D1">
            <w:pPr>
              <w:pStyle w:val="ESlet"/>
              <w:ind w:left="0"/>
              <w:rPr>
                <w:lang w:val="bg-BG"/>
              </w:rPr>
            </w:pPr>
            <w:r w:rsidRPr="009072DA">
              <w:rPr>
                <w:lang w:val="bg-BG"/>
              </w:rPr>
              <w:t>Салони</w:t>
            </w:r>
          </w:p>
        </w:tc>
        <w:tc>
          <w:tcPr>
            <w:tcW w:w="1531" w:type="dxa"/>
            <w:shd w:val="clear" w:color="auto" w:fill="auto"/>
            <w:vAlign w:val="center"/>
          </w:tcPr>
          <w:p w:rsidR="00324388" w:rsidRPr="009072DA" w:rsidRDefault="00324388" w:rsidP="00140690">
            <w:pPr>
              <w:pStyle w:val="ESlet"/>
              <w:ind w:left="0"/>
              <w:jc w:val="center"/>
              <w:rPr>
                <w:lang w:val="bg-BG"/>
              </w:rPr>
            </w:pPr>
            <w:r w:rsidRPr="009072DA">
              <w:rPr>
                <w:lang w:val="bg-BG"/>
              </w:rPr>
              <w:t>95 %</w:t>
            </w:r>
          </w:p>
        </w:tc>
      </w:tr>
      <w:tr w:rsidR="00324388" w:rsidRPr="009072DA" w:rsidTr="00B0682F">
        <w:tc>
          <w:tcPr>
            <w:tcW w:w="6861" w:type="dxa"/>
            <w:shd w:val="clear" w:color="auto" w:fill="auto"/>
            <w:vAlign w:val="center"/>
          </w:tcPr>
          <w:p w:rsidR="00324388" w:rsidRPr="009072DA" w:rsidRDefault="00324388" w:rsidP="000804D1">
            <w:pPr>
              <w:pStyle w:val="ESlet"/>
              <w:ind w:left="0"/>
              <w:rPr>
                <w:lang w:val="bg-BG"/>
              </w:rPr>
            </w:pPr>
            <w:r w:rsidRPr="009072DA">
              <w:rPr>
                <w:lang w:val="bg-BG"/>
              </w:rPr>
              <w:t>Машинни и котелни отделения</w:t>
            </w:r>
          </w:p>
        </w:tc>
        <w:tc>
          <w:tcPr>
            <w:tcW w:w="1531" w:type="dxa"/>
            <w:shd w:val="clear" w:color="auto" w:fill="auto"/>
            <w:vAlign w:val="center"/>
          </w:tcPr>
          <w:p w:rsidR="00324388" w:rsidRPr="009072DA" w:rsidRDefault="00324388" w:rsidP="00140690">
            <w:pPr>
              <w:pStyle w:val="ESlet"/>
              <w:ind w:left="0"/>
              <w:jc w:val="center"/>
              <w:rPr>
                <w:lang w:val="bg-BG"/>
              </w:rPr>
            </w:pPr>
            <w:r w:rsidRPr="009072DA">
              <w:rPr>
                <w:lang w:val="bg-BG"/>
              </w:rPr>
              <w:t>85 %</w:t>
            </w:r>
          </w:p>
        </w:tc>
      </w:tr>
      <w:tr w:rsidR="00324388" w:rsidRPr="009072DA" w:rsidTr="00B0682F">
        <w:tc>
          <w:tcPr>
            <w:tcW w:w="6861" w:type="dxa"/>
            <w:shd w:val="clear" w:color="auto" w:fill="auto"/>
            <w:vAlign w:val="center"/>
          </w:tcPr>
          <w:p w:rsidR="00324388" w:rsidRPr="009072DA" w:rsidRDefault="00324388" w:rsidP="000804D1">
            <w:pPr>
              <w:pStyle w:val="ESlet"/>
              <w:ind w:left="0"/>
              <w:rPr>
                <w:lang w:val="bg-BG"/>
              </w:rPr>
            </w:pPr>
            <w:r w:rsidRPr="009072DA">
              <w:rPr>
                <w:lang w:val="bg-BG"/>
              </w:rPr>
              <w:t>Помещения за багаж и складови помещения</w:t>
            </w:r>
          </w:p>
        </w:tc>
        <w:tc>
          <w:tcPr>
            <w:tcW w:w="1531" w:type="dxa"/>
            <w:shd w:val="clear" w:color="auto" w:fill="auto"/>
            <w:vAlign w:val="center"/>
          </w:tcPr>
          <w:p w:rsidR="00324388" w:rsidRPr="009072DA" w:rsidRDefault="00324388" w:rsidP="00140690">
            <w:pPr>
              <w:pStyle w:val="ESlet"/>
              <w:ind w:left="0"/>
              <w:jc w:val="center"/>
              <w:rPr>
                <w:lang w:val="bg-BG"/>
              </w:rPr>
            </w:pPr>
            <w:r w:rsidRPr="009072DA">
              <w:rPr>
                <w:lang w:val="bg-BG"/>
              </w:rPr>
              <w:t>75 %</w:t>
            </w:r>
          </w:p>
        </w:tc>
      </w:tr>
      <w:tr w:rsidR="00324388" w:rsidRPr="009072DA" w:rsidTr="00B0682F">
        <w:tc>
          <w:tcPr>
            <w:tcW w:w="6861" w:type="dxa"/>
            <w:shd w:val="clear" w:color="auto" w:fill="auto"/>
            <w:vAlign w:val="center"/>
          </w:tcPr>
          <w:p w:rsidR="00324388" w:rsidRPr="009072DA" w:rsidRDefault="00324388" w:rsidP="000804D1">
            <w:pPr>
              <w:pStyle w:val="ESlet"/>
              <w:ind w:left="0"/>
              <w:rPr>
                <w:lang w:val="bg-BG"/>
              </w:rPr>
            </w:pPr>
            <w:r w:rsidRPr="009072DA">
              <w:rPr>
                <w:lang w:val="bg-BG"/>
              </w:rPr>
              <w:lastRenderedPageBreak/>
              <w:t>Двойни дъна, бункери за гориво, баласт и други резервоари, в зависимост от това дали, според тяхното предназначение, за тях се приема, че са пълни или празни за плавателния съд, плаващ на равнината на максималното газене</w:t>
            </w:r>
          </w:p>
        </w:tc>
        <w:tc>
          <w:tcPr>
            <w:tcW w:w="1531" w:type="dxa"/>
            <w:shd w:val="clear" w:color="auto" w:fill="auto"/>
            <w:vAlign w:val="center"/>
          </w:tcPr>
          <w:p w:rsidR="00324388" w:rsidRPr="009072DA" w:rsidRDefault="00324388" w:rsidP="00140690">
            <w:pPr>
              <w:pStyle w:val="ESlet"/>
              <w:ind w:left="0"/>
              <w:jc w:val="center"/>
              <w:rPr>
                <w:lang w:val="bg-BG"/>
              </w:rPr>
            </w:pPr>
            <w:r w:rsidRPr="009072DA">
              <w:rPr>
                <w:lang w:val="bg-BG"/>
              </w:rPr>
              <w:t>0 % или 95 %</w:t>
            </w:r>
          </w:p>
        </w:tc>
      </w:tr>
    </w:tbl>
    <w:p w:rsidR="00973DAA" w:rsidRPr="009072DA" w:rsidRDefault="0029453D" w:rsidP="001F199D">
      <w:pPr>
        <w:pStyle w:val="ESlet"/>
        <w:rPr>
          <w:rFonts w:eastAsia="Calibri" w:cs="Arial"/>
          <w:szCs w:val="18"/>
          <w:lang w:val="bg-BG"/>
        </w:rPr>
      </w:pPr>
      <w:r w:rsidRPr="009072DA">
        <w:rPr>
          <w:lang w:val="bg-BG"/>
        </w:rPr>
        <w:t>д)</w:t>
      </w:r>
      <w:r w:rsidRPr="009072DA">
        <w:rPr>
          <w:lang w:val="bg-BG"/>
        </w:rPr>
        <w:tab/>
        <w:t>в случай че повреда с размери, по-малки от посочените по-горе, води до по-вредни последствия по отношение накреняване или загуба на метацентрична височина, тази повреда се взема под внимание за целите на изчисленията.</w:t>
      </w:r>
    </w:p>
    <w:p w:rsidR="004A3862" w:rsidRPr="009072DA" w:rsidRDefault="004A3862" w:rsidP="00973DAA">
      <w:pPr>
        <w:pStyle w:val="ESch"/>
        <w:rPr>
          <w:rFonts w:eastAsia="Calibri"/>
          <w:lang w:val="bg-BG"/>
        </w:rPr>
      </w:pPr>
      <w:r w:rsidRPr="009072DA">
        <w:rPr>
          <w:lang w:val="bg-BG"/>
        </w:rPr>
        <w:br w:type="page"/>
      </w:r>
    </w:p>
    <w:p w:rsidR="00973DAA" w:rsidRPr="009072DA" w:rsidRDefault="00973DAA" w:rsidP="00973DAA">
      <w:pPr>
        <w:pStyle w:val="ESch"/>
        <w:rPr>
          <w:rFonts w:eastAsia="Calibri" w:cs="Arial"/>
          <w:szCs w:val="18"/>
          <w:lang w:val="bg-BG"/>
        </w:rPr>
      </w:pPr>
      <w:r w:rsidRPr="009072DA">
        <w:rPr>
          <w:lang w:val="bg-BG"/>
        </w:rPr>
        <w:lastRenderedPageBreak/>
        <w:t>10.</w:t>
      </w:r>
      <w:r w:rsidRPr="009072DA">
        <w:rPr>
          <w:lang w:val="bg-BG"/>
        </w:rPr>
        <w:tab/>
        <w:t>За всички междинни етапи на наводняване, посочени в точка 8, трябва да бъдат изпълнени следните изисквания:</w:t>
      </w:r>
    </w:p>
    <w:p w:rsidR="00973DAA" w:rsidRPr="009072DA" w:rsidRDefault="005C7859" w:rsidP="001F199D">
      <w:pPr>
        <w:pStyle w:val="ESlet"/>
        <w:rPr>
          <w:rFonts w:eastAsia="Calibri" w:cs="Arial"/>
          <w:szCs w:val="18"/>
          <w:lang w:val="bg-BG"/>
        </w:rPr>
      </w:pPr>
      <w:r w:rsidRPr="009072DA">
        <w:rPr>
          <w:lang w:val="bg-BG"/>
        </w:rPr>
        <w:t>a)</w:t>
      </w:r>
      <w:r w:rsidRPr="009072DA">
        <w:rPr>
          <w:lang w:val="bg-BG"/>
        </w:rPr>
        <w:tab/>
        <w:t xml:space="preserve">Ъгълът на крен </w:t>
      </w:r>
      <m:oMath>
        <m:r>
          <w:rPr>
            <w:rFonts w:ascii="Cambria Math" w:eastAsia="Calibri" w:hAnsi="Cambria Math"/>
            <w:lang w:val="bg-BG"/>
          </w:rPr>
          <m:t>φ</m:t>
        </m:r>
      </m:oMath>
      <w:r w:rsidRPr="009072DA">
        <w:rPr>
          <w:lang w:val="bg-BG"/>
        </w:rPr>
        <w:t xml:space="preserve"> в равновесното положение на съответния междинен етап не надхвърля 15°.</w:t>
      </w:r>
    </w:p>
    <w:p w:rsidR="00973DAA" w:rsidRPr="009072DA" w:rsidRDefault="005C7859" w:rsidP="001F199D">
      <w:pPr>
        <w:pStyle w:val="ESlet"/>
        <w:rPr>
          <w:rFonts w:eastAsia="Calibri" w:cs="Arial"/>
          <w:szCs w:val="18"/>
          <w:lang w:val="bg-BG"/>
        </w:rPr>
      </w:pPr>
      <w:r w:rsidRPr="009072DA">
        <w:rPr>
          <w:lang w:val="bg-BG"/>
        </w:rPr>
        <w:t>б)</w:t>
      </w:r>
      <w:r w:rsidRPr="009072DA">
        <w:rPr>
          <w:lang w:val="bg-BG"/>
        </w:rPr>
        <w:tab/>
        <w:t xml:space="preserve">Отвъд ъгъла на крен в равновесното положение на въпросния междинен етап, положителната част на кривата на рамото на изправящия момент дава стойност на рамото на изправящия момент </w:t>
      </w:r>
      <m:oMath>
        <m:r>
          <w:rPr>
            <w:rFonts w:ascii="Cambria Math" w:eastAsia="Calibri" w:hAnsi="Cambria Math"/>
            <w:lang w:val="bg-BG"/>
          </w:rPr>
          <m:t xml:space="preserve">GZ ≥0,02 m </m:t>
        </m:r>
      </m:oMath>
      <w:r w:rsidRPr="009072DA">
        <w:rPr>
          <w:lang w:val="bg-BG"/>
        </w:rPr>
        <w:t xml:space="preserve">, преди първият необезопасен отвор да бъде потопен или ъгълът на крен </w:t>
      </w:r>
      <m:oMath>
        <m:r>
          <w:rPr>
            <w:rFonts w:ascii="Cambria Math" w:eastAsia="Calibri" w:hAnsi="Cambria Math"/>
            <w:lang w:val="bg-BG"/>
          </w:rPr>
          <m:t>φ</m:t>
        </m:r>
      </m:oMath>
      <w:r w:rsidRPr="009072DA">
        <w:rPr>
          <w:lang w:val="bg-BG"/>
        </w:rPr>
        <w:t xml:space="preserve"> да достигне 25°.</w:t>
      </w:r>
    </w:p>
    <w:p w:rsidR="00973DAA" w:rsidRPr="009072DA" w:rsidRDefault="005C7859" w:rsidP="001F199D">
      <w:pPr>
        <w:pStyle w:val="ESlet"/>
        <w:rPr>
          <w:rFonts w:eastAsia="Calibri" w:cs="Arial"/>
          <w:szCs w:val="18"/>
          <w:lang w:val="bg-BG"/>
        </w:rPr>
      </w:pPr>
      <w:r w:rsidRPr="009072DA">
        <w:rPr>
          <w:lang w:val="bg-BG"/>
        </w:rPr>
        <w:t>в)</w:t>
      </w:r>
      <w:r w:rsidRPr="009072DA">
        <w:rPr>
          <w:lang w:val="bg-BG"/>
        </w:rPr>
        <w:tab/>
        <w:t>Отворите, които не са водонепроницаеми, не са потопени преди достигане на ъгъла на крен в равновесното положение на въпросния междинен етап.</w:t>
      </w:r>
    </w:p>
    <w:p w:rsidR="00973DAA" w:rsidRPr="009072DA" w:rsidRDefault="005C7859" w:rsidP="001F199D">
      <w:pPr>
        <w:pStyle w:val="ESlet"/>
        <w:rPr>
          <w:rFonts w:eastAsia="Calibri" w:cs="Arial"/>
          <w:szCs w:val="18"/>
          <w:lang w:val="bg-BG"/>
        </w:rPr>
      </w:pPr>
      <w:r w:rsidRPr="009072DA">
        <w:rPr>
          <w:lang w:val="bg-BG"/>
        </w:rPr>
        <w:t>г)</w:t>
      </w:r>
      <w:r w:rsidRPr="009072DA">
        <w:rPr>
          <w:lang w:val="bg-BG"/>
        </w:rPr>
        <w:tab/>
        <w:t>Изчисленията на ефекта на откритата повърхност на всички междинни етапи на наводняване се основават на брутната площ на повредените отсеци.</w:t>
      </w:r>
    </w:p>
    <w:p w:rsidR="001F199D" w:rsidRPr="009072DA" w:rsidRDefault="001F199D"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 xml:space="preserve">11. </w:t>
      </w:r>
      <w:r w:rsidRPr="009072DA">
        <w:rPr>
          <w:lang w:val="bg-BG"/>
        </w:rPr>
        <w:tab/>
        <w:t>В последния етап на наводняването трябва да бъдат изпълнени следните критерии, като се вземе предвид кренящият момент в съответствие с точка 4:</w:t>
      </w:r>
    </w:p>
    <w:p w:rsidR="00973DAA" w:rsidRPr="009072DA" w:rsidRDefault="005C7859" w:rsidP="004A3862">
      <w:pPr>
        <w:pStyle w:val="ESlet"/>
        <w:rPr>
          <w:rFonts w:eastAsia="Calibri" w:cs="Arial"/>
          <w:szCs w:val="18"/>
          <w:lang w:val="bg-BG"/>
        </w:rPr>
      </w:pPr>
      <w:r w:rsidRPr="009072DA">
        <w:rPr>
          <w:lang w:val="bg-BG"/>
        </w:rPr>
        <w:t>a)</w:t>
      </w:r>
      <w:r w:rsidRPr="009072DA">
        <w:rPr>
          <w:lang w:val="bg-BG"/>
        </w:rPr>
        <w:tab/>
        <w:t xml:space="preserve">ъгълът на крен </w:t>
      </w:r>
      <m:oMath>
        <m:sSub>
          <m:sSubPr>
            <m:ctrlPr>
              <w:rPr>
                <w:rFonts w:ascii="Cambria Math" w:eastAsia="Calibri" w:hAnsi="Cambria Math"/>
                <w:i/>
                <w:lang w:val="bg-BG"/>
              </w:rPr>
            </m:ctrlPr>
          </m:sSubPr>
          <m:e>
            <m:r>
              <w:rPr>
                <w:rFonts w:ascii="Cambria Math" w:eastAsia="Calibri" w:hAnsi="Cambria Math"/>
                <w:lang w:val="bg-BG"/>
              </w:rPr>
              <m:t>φ</m:t>
            </m:r>
          </m:e>
          <m:sub>
            <m:r>
              <w:rPr>
                <w:rFonts w:ascii="Cambria Math" w:eastAsia="Calibri" w:hAnsi="Cambria Math"/>
                <w:lang w:val="bg-BG"/>
              </w:rPr>
              <m:t>E</m:t>
            </m:r>
          </m:sub>
        </m:sSub>
      </m:oMath>
      <w:r w:rsidRPr="009072DA">
        <w:rPr>
          <w:lang w:val="bg-BG"/>
        </w:rPr>
        <w:t xml:space="preserve"> не превишава 10°;</w:t>
      </w:r>
    </w:p>
    <w:p w:rsidR="00973DAA" w:rsidRPr="009072DA" w:rsidRDefault="005C7859" w:rsidP="004A3862">
      <w:pPr>
        <w:pStyle w:val="ESlet"/>
        <w:rPr>
          <w:rFonts w:eastAsia="Calibri" w:cs="Arial"/>
          <w:szCs w:val="18"/>
          <w:lang w:val="bg-BG"/>
        </w:rPr>
      </w:pPr>
      <w:r w:rsidRPr="009072DA">
        <w:rPr>
          <w:lang w:val="bg-BG"/>
        </w:rPr>
        <w:t>б)</w:t>
      </w:r>
      <w:r w:rsidRPr="009072DA">
        <w:rPr>
          <w:lang w:val="bg-BG"/>
        </w:rPr>
        <w:tab/>
        <w:t xml:space="preserve">след равновесното положение положителната част на кривата на рамото на изправящия момент трябва да дава стойност за рамото на изправящия момент </w:t>
      </w:r>
      <m:oMath>
        <m:sSub>
          <m:sSubPr>
            <m:ctrlPr>
              <w:rPr>
                <w:rFonts w:ascii="Cambria Math" w:eastAsia="Calibri" w:hAnsi="Cambria Math"/>
                <w:i/>
                <w:lang w:val="bg-BG"/>
              </w:rPr>
            </m:ctrlPr>
          </m:sSubPr>
          <m:e>
            <m:r>
              <w:rPr>
                <w:rFonts w:ascii="Cambria Math" w:eastAsia="Calibri" w:hAnsi="Cambria Math"/>
                <w:lang w:val="bg-BG"/>
              </w:rPr>
              <m:t>GZ</m:t>
            </m:r>
          </m:e>
          <m:sub>
            <m:r>
              <w:rPr>
                <w:rFonts w:ascii="Cambria Math" w:eastAsia="Calibri" w:hAnsi="Cambria Math"/>
                <w:lang w:val="bg-BG"/>
              </w:rPr>
              <m:t>R</m:t>
            </m:r>
          </m:sub>
        </m:sSub>
        <m:r>
          <w:rPr>
            <w:rFonts w:ascii="Cambria Math" w:eastAsia="Calibri" w:hAnsi="Cambria Math"/>
            <w:lang w:val="bg-BG"/>
          </w:rPr>
          <m:t xml:space="preserve"> ≥0,02 m </m:t>
        </m:r>
      </m:oMath>
      <w:r w:rsidRPr="009072DA">
        <w:rPr>
          <w:lang w:val="bg-BG"/>
        </w:rPr>
        <w:t xml:space="preserve">с площ </w:t>
      </w:r>
      <m:oMath>
        <m:r>
          <w:rPr>
            <w:rFonts w:ascii="Cambria Math" w:eastAsia="Calibri" w:hAnsi="Cambria Math"/>
            <w:lang w:val="bg-BG"/>
          </w:rPr>
          <m:t>A ≥0,0025 m ∙rad</m:t>
        </m:r>
      </m:oMath>
      <w:r w:rsidRPr="009072DA">
        <w:rPr>
          <w:lang w:val="bg-BG"/>
        </w:rPr>
        <w:t>. Тази минимални стойности за устойчивост трябва да са изпълнени до момента на потапянето на първия необезопасен отвор или, във всички случаи, преди да се стигне ъгъл на крена от 25°.</w:t>
      </w:r>
    </w:p>
    <w:p w:rsidR="00973DAA" w:rsidRPr="009072DA" w:rsidRDefault="00973DAA" w:rsidP="00973DAA">
      <w:pPr>
        <w:pStyle w:val="ESch"/>
        <w:rPr>
          <w:rFonts w:eastAsia="Calibri"/>
          <w:lang w:val="bg-BG"/>
        </w:rPr>
      </w:pPr>
    </w:p>
    <w:p w:rsidR="009A4333" w:rsidRPr="009072DA" w:rsidRDefault="009A4333" w:rsidP="009A4333">
      <w:pPr>
        <w:pStyle w:val="ESch"/>
        <w:jc w:val="center"/>
        <w:rPr>
          <w:rFonts w:eastAsia="Calibri"/>
          <w:lang w:val="bg-BG"/>
        </w:rPr>
      </w:pPr>
      <w:r w:rsidRPr="009072DA">
        <w:rPr>
          <w:rFonts w:eastAsia="Calibri"/>
          <w:noProof/>
          <w:lang w:eastAsia="en-GB"/>
        </w:rPr>
        <w:drawing>
          <wp:inline distT="0" distB="0" distL="0" distR="0" wp14:anchorId="41A0C8CD" wp14:editId="5044390A">
            <wp:extent cx="5312664" cy="2831592"/>
            <wp:effectExtent l="0" t="0" r="2540" b="698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ES_Trin_19_03_11b_en.jpg"/>
                    <pic:cNvPicPr/>
                  </pic:nvPicPr>
                  <pic:blipFill>
                    <a:blip r:embed="rId27">
                      <a:extLst>
                        <a:ext uri="{28A0092B-C50C-407E-A947-70E740481C1C}">
                          <a14:useLocalDpi xmlns:a14="http://schemas.microsoft.com/office/drawing/2010/main" val="0"/>
                        </a:ext>
                      </a:extLst>
                    </a:blip>
                    <a:stretch>
                      <a:fillRect/>
                    </a:stretch>
                  </pic:blipFill>
                  <pic:spPr>
                    <a:xfrm>
                      <a:off x="0" y="0"/>
                      <a:ext cx="5312664" cy="2831592"/>
                    </a:xfrm>
                    <a:prstGeom prst="rect">
                      <a:avLst/>
                    </a:prstGeom>
                  </pic:spPr>
                </pic:pic>
              </a:graphicData>
            </a:graphic>
          </wp:inline>
        </w:drawing>
      </w:r>
    </w:p>
    <w:p w:rsidR="004A3862" w:rsidRPr="009072DA" w:rsidRDefault="004A3862" w:rsidP="004A3862">
      <w:pPr>
        <w:pStyle w:val="ESch"/>
        <w:ind w:left="0" w:firstLine="0"/>
        <w:jc w:val="center"/>
        <w:rPr>
          <w:rFonts w:eastAsia="Calibri" w:cs="Arial"/>
          <w:szCs w:val="18"/>
          <w:lang w:val="bg-BG"/>
        </w:rPr>
      </w:pPr>
    </w:p>
    <w:p w:rsidR="00973DAA" w:rsidRPr="009072DA" w:rsidRDefault="00973DAA" w:rsidP="004A3862">
      <w:pPr>
        <w:pStyle w:val="EStiret"/>
        <w:rPr>
          <w:rFonts w:eastAsia="Calibri" w:cs="Arial"/>
          <w:noProof w:val="0"/>
          <w:szCs w:val="18"/>
          <w:lang w:val="bg-BG"/>
        </w:rPr>
      </w:pPr>
      <w:r w:rsidRPr="009072DA">
        <w:rPr>
          <w:noProof w:val="0"/>
          <w:lang w:val="bg-BG"/>
        </w:rPr>
        <w:t>Където:</w:t>
      </w:r>
    </w:p>
    <w:p w:rsidR="00973DAA" w:rsidRPr="009072DA" w:rsidRDefault="002B712C" w:rsidP="00E004CF">
      <w:pPr>
        <w:pStyle w:val="EStiret"/>
        <w:ind w:left="1560" w:hanging="568"/>
        <w:rPr>
          <w:rFonts w:eastAsia="Calibri"/>
          <w:noProof w:val="0"/>
          <w:lang w:val="bg-BG"/>
        </w:rPr>
      </w:pPr>
      <m:oMath>
        <m:sSub>
          <m:sSubPr>
            <m:ctrlPr>
              <w:rPr>
                <w:rFonts w:ascii="Cambria Math" w:eastAsia="Calibri" w:hAnsi="Cambria Math"/>
                <w:i/>
                <w:noProof w:val="0"/>
                <w:lang w:val="bg-BG"/>
              </w:rPr>
            </m:ctrlPr>
          </m:sSubPr>
          <m:e>
            <m:r>
              <w:rPr>
                <w:rFonts w:ascii="Cambria Math" w:eastAsia="Calibri" w:hAnsi="Cambria Math"/>
                <w:noProof w:val="0"/>
                <w:lang w:val="bg-BG"/>
              </w:rPr>
              <m:t>φ</m:t>
            </m:r>
          </m:e>
          <m:sub>
            <m:r>
              <w:rPr>
                <w:rFonts w:ascii="Cambria Math" w:eastAsia="Calibri" w:hAnsi="Cambria Math"/>
                <w:noProof w:val="0"/>
                <w:lang w:val="bg-BG"/>
              </w:rPr>
              <m:t>E</m:t>
            </m:r>
          </m:sub>
        </m:sSub>
      </m:oMath>
      <w:r w:rsidR="007B1046" w:rsidRPr="009072DA">
        <w:rPr>
          <w:noProof w:val="0"/>
          <w:lang w:val="bg-BG"/>
        </w:rPr>
        <w:t xml:space="preserve"> </w:t>
      </w:r>
      <w:r w:rsidR="007B1046" w:rsidRPr="009072DA">
        <w:rPr>
          <w:noProof w:val="0"/>
          <w:lang w:val="bg-BG"/>
        </w:rPr>
        <w:tab/>
        <w:t>е ъгълът на крена на последния етап на наводняване, като се отчита моментът в съответствие с раздел 4;</w:t>
      </w:r>
    </w:p>
    <w:p w:rsidR="00973DAA" w:rsidRPr="009072DA" w:rsidRDefault="002B712C" w:rsidP="00E004CF">
      <w:pPr>
        <w:pStyle w:val="EStiret"/>
        <w:ind w:left="1560" w:hanging="568"/>
        <w:rPr>
          <w:rFonts w:eastAsia="Calibri"/>
          <w:noProof w:val="0"/>
          <w:lang w:val="bg-BG"/>
        </w:rPr>
      </w:pPr>
      <m:oMath>
        <m:sSub>
          <m:sSubPr>
            <m:ctrlPr>
              <w:rPr>
                <w:rFonts w:ascii="Cambria Math" w:eastAsia="Calibri" w:hAnsi="Cambria Math"/>
                <w:i/>
                <w:noProof w:val="0"/>
                <w:lang w:val="bg-BG"/>
              </w:rPr>
            </m:ctrlPr>
          </m:sSubPr>
          <m:e>
            <m:r>
              <w:rPr>
                <w:rFonts w:ascii="Cambria Math" w:eastAsia="Calibri" w:hAnsi="Cambria Math"/>
                <w:noProof w:val="0"/>
                <w:lang w:val="bg-BG"/>
              </w:rPr>
              <m:t>φ</m:t>
            </m:r>
          </m:e>
          <m:sub>
            <m:r>
              <w:rPr>
                <w:rFonts w:ascii="Cambria Math" w:eastAsia="Calibri" w:hAnsi="Cambria Math"/>
                <w:noProof w:val="0"/>
                <w:lang w:val="bg-BG"/>
              </w:rPr>
              <m:t>m</m:t>
            </m:r>
          </m:sub>
        </m:sSub>
      </m:oMath>
      <w:r w:rsidR="007B1046" w:rsidRPr="009072DA">
        <w:rPr>
          <w:noProof w:val="0"/>
          <w:lang w:val="bg-BG"/>
        </w:rPr>
        <w:tab/>
        <w:t>е ъгълът на загуба на устойчивост, или ъгълът, при който първият необезопасен отвор бива потопен, или 25°; използва се този ъгъл, който се явява най-малък;</w:t>
      </w:r>
    </w:p>
    <w:p w:rsidR="00973DAA" w:rsidRPr="009072DA" w:rsidRDefault="002B712C" w:rsidP="00E004CF">
      <w:pPr>
        <w:pStyle w:val="EStiret"/>
        <w:ind w:left="1560" w:hanging="568"/>
        <w:rPr>
          <w:rFonts w:eastAsia="Calibri"/>
          <w:noProof w:val="0"/>
          <w:lang w:val="bg-BG"/>
        </w:rPr>
      </w:pPr>
      <m:oMath>
        <m:sSub>
          <m:sSubPr>
            <m:ctrlPr>
              <w:rPr>
                <w:rFonts w:ascii="Cambria Math" w:eastAsia="Calibri" w:hAnsi="Cambria Math"/>
                <w:i/>
                <w:noProof w:val="0"/>
                <w:lang w:val="bg-BG"/>
              </w:rPr>
            </m:ctrlPr>
          </m:sSubPr>
          <m:e>
            <m:r>
              <w:rPr>
                <w:rFonts w:ascii="Cambria Math" w:eastAsia="Calibri" w:hAnsi="Cambria Math"/>
                <w:noProof w:val="0"/>
                <w:lang w:val="bg-BG"/>
              </w:rPr>
              <m:t>GZ</m:t>
            </m:r>
          </m:e>
          <m:sub>
            <m:r>
              <w:rPr>
                <w:rFonts w:ascii="Cambria Math" w:eastAsia="Calibri" w:hAnsi="Cambria Math"/>
                <w:noProof w:val="0"/>
                <w:lang w:val="bg-BG"/>
              </w:rPr>
              <m:t>R</m:t>
            </m:r>
          </m:sub>
        </m:sSub>
      </m:oMath>
      <w:r w:rsidR="007B1046" w:rsidRPr="009072DA">
        <w:rPr>
          <w:noProof w:val="0"/>
          <w:lang w:val="bg-BG"/>
        </w:rPr>
        <w:t xml:space="preserve"> </w:t>
      </w:r>
      <w:r w:rsidR="007B1046" w:rsidRPr="009072DA">
        <w:rPr>
          <w:noProof w:val="0"/>
          <w:lang w:val="bg-BG"/>
        </w:rPr>
        <w:tab/>
        <w:t>е оставащото рамо на изправящия момент на последния етап на наводняване, като се отчита моментът в съответствие с раздел 4;</w:t>
      </w:r>
    </w:p>
    <w:p w:rsidR="00973DAA" w:rsidRPr="009072DA" w:rsidRDefault="002B712C" w:rsidP="00E004CF">
      <w:pPr>
        <w:pStyle w:val="EStiret"/>
        <w:ind w:left="1560" w:hanging="568"/>
        <w:rPr>
          <w:rFonts w:eastAsia="Calibri"/>
          <w:noProof w:val="0"/>
          <w:lang w:val="bg-BG"/>
        </w:rPr>
      </w:pPr>
      <m:oMath>
        <m:sSub>
          <m:sSubPr>
            <m:ctrlPr>
              <w:rPr>
                <w:rFonts w:ascii="Cambria Math" w:eastAsia="Calibri" w:hAnsi="Cambria Math"/>
                <w:i/>
                <w:noProof w:val="0"/>
                <w:lang w:val="bg-BG"/>
              </w:rPr>
            </m:ctrlPr>
          </m:sSubPr>
          <m:e>
            <m:r>
              <w:rPr>
                <w:rFonts w:ascii="Cambria Math" w:eastAsia="Calibri" w:hAnsi="Cambria Math"/>
                <w:noProof w:val="0"/>
                <w:lang w:val="bg-BG"/>
              </w:rPr>
              <m:t>GZ</m:t>
            </m:r>
          </m:e>
          <m:sub>
            <m:r>
              <w:rPr>
                <w:rFonts w:ascii="Cambria Math" w:eastAsia="Calibri" w:hAnsi="Cambria Math"/>
                <w:noProof w:val="0"/>
                <w:lang w:val="bg-BG"/>
              </w:rPr>
              <m:t>K</m:t>
            </m:r>
          </m:sub>
        </m:sSub>
      </m:oMath>
      <w:r w:rsidR="007B1046" w:rsidRPr="009072DA">
        <w:rPr>
          <w:noProof w:val="0"/>
          <w:lang w:val="bg-BG"/>
        </w:rPr>
        <w:tab/>
        <w:t>е рамото на кренящия момент, резултат от момента съгласно раздел 4.</w:t>
      </w:r>
    </w:p>
    <w:p w:rsidR="004A3862" w:rsidRPr="009072DA" w:rsidRDefault="004A3862" w:rsidP="004A3862">
      <w:pPr>
        <w:pStyle w:val="ESlet"/>
        <w:rPr>
          <w:rFonts w:eastAsia="Calibri"/>
          <w:lang w:val="bg-BG"/>
        </w:rPr>
      </w:pPr>
      <w:r w:rsidRPr="009072DA">
        <w:rPr>
          <w:lang w:val="bg-BG"/>
        </w:rPr>
        <w:br w:type="page"/>
      </w:r>
    </w:p>
    <w:p w:rsidR="00973DAA" w:rsidRPr="009072DA" w:rsidRDefault="005C7859" w:rsidP="004A3862">
      <w:pPr>
        <w:pStyle w:val="ESlet"/>
        <w:rPr>
          <w:rFonts w:eastAsia="Calibri" w:cs="Arial"/>
          <w:szCs w:val="18"/>
          <w:lang w:val="bg-BG"/>
        </w:rPr>
      </w:pPr>
      <w:r w:rsidRPr="009072DA">
        <w:rPr>
          <w:lang w:val="bg-BG"/>
        </w:rPr>
        <w:lastRenderedPageBreak/>
        <w:t>в)</w:t>
      </w:r>
      <w:r w:rsidRPr="009072DA">
        <w:rPr>
          <w:lang w:val="bg-BG"/>
        </w:rPr>
        <w:tab/>
        <w:t>отворите, които не са водонепроницаеми, не трябва да са потопени преди достигане на равновесното положение. Ако отворите бъдат потопени преди този момент, за целите на изчисляването на устойчивостта в повредено състояние, помещенията им се смятат за наводнени.</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12.</w:t>
      </w:r>
      <w:r w:rsidRPr="009072DA">
        <w:rPr>
          <w:lang w:val="bg-BG"/>
        </w:rPr>
        <w:tab/>
        <w:t>Спирателните устройства, които могат да се затварят водонепроницаемо, трябва да бъдат маркирани по съответния начин.</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13.</w:t>
      </w:r>
      <w:r w:rsidRPr="009072DA">
        <w:rPr>
          <w:lang w:val="bg-BG"/>
        </w:rPr>
        <w:tab/>
        <w:t>Ако са оформени отвори за взаимно наводняване между отсеците с цел намаляване асиметричното наводняване, трябва да са изпълнени следните условия:</w:t>
      </w:r>
    </w:p>
    <w:p w:rsidR="00973DAA" w:rsidRPr="009072DA" w:rsidRDefault="005C7859" w:rsidP="004A3862">
      <w:pPr>
        <w:pStyle w:val="ESlet"/>
        <w:rPr>
          <w:rFonts w:eastAsia="Calibri" w:cs="Arial"/>
          <w:szCs w:val="18"/>
          <w:lang w:val="bg-BG"/>
        </w:rPr>
      </w:pPr>
      <w:r w:rsidRPr="009072DA">
        <w:rPr>
          <w:lang w:val="bg-BG"/>
        </w:rPr>
        <w:t>a)</w:t>
      </w:r>
      <w:r w:rsidRPr="009072DA">
        <w:rPr>
          <w:lang w:val="bg-BG"/>
        </w:rPr>
        <w:tab/>
        <w:t>за изчисляване на взаимното наводняване между отсеците се прилага Резолюция A.266 (VIII) на ИМО</w:t>
      </w:r>
      <w:r w:rsidRPr="009072DA">
        <w:rPr>
          <w:rStyle w:val="FootnoteReference"/>
          <w:lang w:val="bg-BG"/>
        </w:rPr>
        <w:footnoteReference w:id="11"/>
      </w:r>
      <w:r w:rsidRPr="009072DA">
        <w:rPr>
          <w:lang w:val="bg-BG"/>
        </w:rPr>
        <w:t xml:space="preserve"> ;</w:t>
      </w:r>
    </w:p>
    <w:p w:rsidR="00973DAA" w:rsidRPr="009072DA" w:rsidRDefault="005C7859" w:rsidP="004A3862">
      <w:pPr>
        <w:pStyle w:val="ESlet"/>
        <w:rPr>
          <w:rFonts w:eastAsia="Calibri" w:cs="Arial"/>
          <w:szCs w:val="18"/>
          <w:lang w:val="bg-BG"/>
        </w:rPr>
      </w:pPr>
      <w:r w:rsidRPr="009072DA">
        <w:rPr>
          <w:lang w:val="bg-BG"/>
        </w:rPr>
        <w:t>б)</w:t>
      </w:r>
      <w:r w:rsidRPr="009072DA">
        <w:rPr>
          <w:lang w:val="bg-BG"/>
        </w:rPr>
        <w:tab/>
        <w:t>отворите трябва да бъдат самозадействащи се;</w:t>
      </w:r>
    </w:p>
    <w:p w:rsidR="00973DAA" w:rsidRPr="009072DA" w:rsidRDefault="005C7859" w:rsidP="004A3862">
      <w:pPr>
        <w:pStyle w:val="ESlet"/>
        <w:rPr>
          <w:rFonts w:eastAsia="Calibri" w:cs="Arial"/>
          <w:szCs w:val="18"/>
          <w:lang w:val="bg-BG"/>
        </w:rPr>
      </w:pPr>
      <w:r w:rsidRPr="009072DA">
        <w:rPr>
          <w:lang w:val="bg-BG"/>
        </w:rPr>
        <w:t>в)</w:t>
      </w:r>
      <w:r w:rsidRPr="009072DA">
        <w:rPr>
          <w:lang w:val="bg-BG"/>
        </w:rPr>
        <w:tab/>
        <w:t>отворите не трябва да са оборудвани със спирателни устройства;</w:t>
      </w:r>
    </w:p>
    <w:p w:rsidR="00973DAA" w:rsidRPr="009072DA" w:rsidRDefault="005C7859" w:rsidP="004A3862">
      <w:pPr>
        <w:pStyle w:val="ESlet"/>
        <w:rPr>
          <w:rFonts w:eastAsia="Calibri" w:cs="Arial"/>
          <w:szCs w:val="18"/>
          <w:lang w:val="bg-BG"/>
        </w:rPr>
      </w:pPr>
      <w:r w:rsidRPr="009072DA">
        <w:rPr>
          <w:lang w:val="bg-BG"/>
        </w:rPr>
        <w:t>г)</w:t>
      </w:r>
      <w:r w:rsidRPr="009072DA">
        <w:rPr>
          <w:lang w:val="bg-BG"/>
        </w:rPr>
        <w:tab/>
        <w:t>общото време, предвидено за компенсация, не трябва да надвишава 15 минути.</w:t>
      </w:r>
    </w:p>
    <w:p w:rsidR="00973DAA" w:rsidRPr="009072DA" w:rsidRDefault="00973DAA" w:rsidP="00973DAA">
      <w:pPr>
        <w:pStyle w:val="ESch"/>
        <w:rPr>
          <w:rFonts w:eastAsia="Calibri" w:cs="Arial"/>
          <w:szCs w:val="18"/>
          <w:lang w:val="bg-BG"/>
        </w:rPr>
      </w:pPr>
    </w:p>
    <w:p w:rsidR="004A3862" w:rsidRPr="009072DA" w:rsidRDefault="004A3862" w:rsidP="00973DAA">
      <w:pPr>
        <w:pStyle w:val="ESch"/>
        <w:rPr>
          <w:rFonts w:eastAsia="Calibri" w:cs="Arial"/>
          <w:szCs w:val="18"/>
          <w:lang w:val="bg-BG"/>
        </w:rPr>
      </w:pPr>
    </w:p>
    <w:p w:rsidR="00973DAA" w:rsidRPr="009072DA" w:rsidRDefault="00973DAA" w:rsidP="004A3862">
      <w:pPr>
        <w:pStyle w:val="ES-Titre3"/>
        <w:rPr>
          <w:rFonts w:cs="Arial"/>
          <w:i/>
          <w:szCs w:val="18"/>
          <w:lang w:val="bg-BG"/>
        </w:rPr>
      </w:pPr>
      <w:bookmarkStart w:id="351" w:name="_Toc491854173"/>
      <w:bookmarkStart w:id="352" w:name="_Toc535827614"/>
      <w:r w:rsidRPr="009072DA">
        <w:rPr>
          <w:lang w:val="bg-BG"/>
        </w:rPr>
        <w:t>Член 19.04</w:t>
      </w:r>
      <w:r w:rsidRPr="009072DA">
        <w:rPr>
          <w:lang w:val="bg-BG"/>
        </w:rPr>
        <w:br/>
      </w:r>
      <w:r w:rsidRPr="009072DA">
        <w:rPr>
          <w:i/>
          <w:lang w:val="bg-BG"/>
        </w:rPr>
        <w:t>Разстояние на безопасност и надводен борд</w:t>
      </w:r>
      <w:bookmarkEnd w:id="351"/>
      <w:bookmarkEnd w:id="352"/>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w:t>
      </w:r>
      <w:r w:rsidRPr="009072DA">
        <w:rPr>
          <w:lang w:val="bg-BG"/>
        </w:rPr>
        <w:tab/>
        <w:t>Разстоянието на безопасност трябва да е най-малко равно на сумата от:</w:t>
      </w:r>
    </w:p>
    <w:p w:rsidR="00973DAA" w:rsidRPr="009072DA" w:rsidRDefault="005C7859" w:rsidP="004A3862">
      <w:pPr>
        <w:pStyle w:val="ESlet"/>
        <w:rPr>
          <w:rFonts w:eastAsia="Calibri" w:cs="Arial"/>
          <w:szCs w:val="18"/>
          <w:lang w:val="bg-BG"/>
        </w:rPr>
      </w:pPr>
      <w:r w:rsidRPr="009072DA">
        <w:rPr>
          <w:lang w:val="bg-BG"/>
        </w:rPr>
        <w:t>a)</w:t>
      </w:r>
      <w:r w:rsidRPr="009072DA">
        <w:rPr>
          <w:lang w:val="bg-BG"/>
        </w:rPr>
        <w:tab/>
        <w:t>допълнителното странично потапяне, което, измерено по обшивката на корпуса, се причинява от разрешения ъгъл на крен съгласно член 19.03, точка 3, буква д); и</w:t>
      </w:r>
    </w:p>
    <w:p w:rsidR="00973DAA" w:rsidRPr="009072DA" w:rsidRDefault="005C7859" w:rsidP="004A3862">
      <w:pPr>
        <w:pStyle w:val="ESlet"/>
        <w:rPr>
          <w:rFonts w:eastAsia="Calibri" w:cs="Arial"/>
          <w:szCs w:val="18"/>
          <w:lang w:val="bg-BG"/>
        </w:rPr>
      </w:pPr>
      <w:r w:rsidRPr="009072DA">
        <w:rPr>
          <w:lang w:val="bg-BG"/>
        </w:rPr>
        <w:t>б)</w:t>
      </w:r>
      <w:r w:rsidRPr="009072DA">
        <w:rPr>
          <w:lang w:val="bg-BG"/>
        </w:rPr>
        <w:tab/>
        <w:t>остатъчното разстояние на безопасност съгласно член 19.03, точка 3, буква ж).</w:t>
      </w:r>
    </w:p>
    <w:p w:rsidR="004A3862" w:rsidRPr="009072DA" w:rsidRDefault="004A3862" w:rsidP="00973DAA">
      <w:pPr>
        <w:pStyle w:val="ESch"/>
        <w:rPr>
          <w:rFonts w:eastAsia="Calibri"/>
          <w:lang w:val="bg-BG"/>
        </w:rPr>
      </w:pPr>
    </w:p>
    <w:p w:rsidR="00973DAA" w:rsidRPr="009072DA" w:rsidRDefault="00973DAA" w:rsidP="004A3862">
      <w:pPr>
        <w:pStyle w:val="ESchpar"/>
        <w:rPr>
          <w:rFonts w:eastAsia="Calibri" w:cs="Arial"/>
          <w:szCs w:val="18"/>
          <w:lang w:val="bg-BG"/>
        </w:rPr>
      </w:pPr>
      <w:r w:rsidRPr="009072DA">
        <w:rPr>
          <w:lang w:val="bg-BG"/>
        </w:rPr>
        <w:t>За плавателни съдове без палуба на преградите разстоянието на безопасност трябва да бъде най-малко 0,50 m.</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2.</w:t>
      </w:r>
      <w:r w:rsidRPr="009072DA">
        <w:rPr>
          <w:lang w:val="bg-BG"/>
        </w:rPr>
        <w:tab/>
        <w:t>Надводният борд трябва да бъде най-малко равен на сумата от:</w:t>
      </w:r>
    </w:p>
    <w:p w:rsidR="00973DAA" w:rsidRPr="009072DA" w:rsidRDefault="005C7859" w:rsidP="004A3862">
      <w:pPr>
        <w:pStyle w:val="ESlet"/>
        <w:rPr>
          <w:rFonts w:eastAsia="Calibri" w:cs="Arial"/>
          <w:szCs w:val="18"/>
          <w:lang w:val="bg-BG"/>
        </w:rPr>
      </w:pPr>
      <w:r w:rsidRPr="009072DA">
        <w:rPr>
          <w:lang w:val="bg-BG"/>
        </w:rPr>
        <w:t>a)</w:t>
      </w:r>
      <w:r w:rsidRPr="009072DA">
        <w:rPr>
          <w:lang w:val="bg-BG"/>
        </w:rPr>
        <w:tab/>
        <w:t>допълнителното странично потапяне, което, измерено по обшивката на корпуса, се причинява от ъгъла на крена съгласно член 19.03, точка 3, буква д); и</w:t>
      </w:r>
    </w:p>
    <w:p w:rsidR="00973DAA" w:rsidRPr="009072DA" w:rsidRDefault="005C7859" w:rsidP="004A3862">
      <w:pPr>
        <w:pStyle w:val="ESlet"/>
        <w:rPr>
          <w:rFonts w:eastAsia="Calibri" w:cs="Arial"/>
          <w:szCs w:val="18"/>
          <w:lang w:val="bg-BG"/>
        </w:rPr>
      </w:pPr>
      <w:r w:rsidRPr="009072DA">
        <w:rPr>
          <w:lang w:val="bg-BG"/>
        </w:rPr>
        <w:lastRenderedPageBreak/>
        <w:t>б)</w:t>
      </w:r>
      <w:r w:rsidRPr="009072DA">
        <w:rPr>
          <w:lang w:val="bg-BG"/>
        </w:rPr>
        <w:tab/>
        <w:t>остатъчния надводен борд съгласно член 19.03, точка 3, буква е).</w:t>
      </w:r>
    </w:p>
    <w:p w:rsidR="004A3862" w:rsidRPr="009072DA" w:rsidRDefault="004A3862" w:rsidP="004A3862">
      <w:pPr>
        <w:pStyle w:val="ESchpar"/>
        <w:rPr>
          <w:rFonts w:eastAsia="Calibri"/>
          <w:lang w:val="bg-BG"/>
        </w:rPr>
      </w:pPr>
    </w:p>
    <w:p w:rsidR="00973DAA" w:rsidRPr="009072DA" w:rsidRDefault="00973DAA" w:rsidP="004A3862">
      <w:pPr>
        <w:pStyle w:val="ESchpar"/>
        <w:rPr>
          <w:rFonts w:eastAsia="Calibri" w:cs="Arial"/>
          <w:szCs w:val="18"/>
          <w:lang w:val="bg-BG"/>
        </w:rPr>
      </w:pPr>
      <w:r w:rsidRPr="009072DA">
        <w:rPr>
          <w:lang w:val="bg-BG"/>
        </w:rPr>
        <w:t>Надводният борд обаче трябва да бъде поне 0,30 m.</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3.</w:t>
      </w:r>
      <w:r w:rsidRPr="009072DA">
        <w:rPr>
          <w:lang w:val="bg-BG"/>
        </w:rPr>
        <w:tab/>
        <w:t>Равнината на максималното газене се определя така, че да осигури съответствие с разстоянието на безопасност съгласно точка 1 и надводния борд съгласно точка 2 и членове 19.02 и 19.03.</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4.</w:t>
      </w:r>
      <w:r w:rsidRPr="009072DA">
        <w:rPr>
          <w:lang w:val="bg-BG"/>
        </w:rPr>
        <w:tab/>
        <w:t>От съображения за безопасност контролният орган може да установи по-голямо разстояние на безопасност или по-голям надводен борд.</w:t>
      </w:r>
    </w:p>
    <w:p w:rsidR="00973DAA" w:rsidRPr="009072DA" w:rsidRDefault="00973DAA" w:rsidP="00973DAA">
      <w:pPr>
        <w:pStyle w:val="ESch"/>
        <w:rPr>
          <w:rFonts w:eastAsia="Calibri"/>
          <w:lang w:val="bg-BG"/>
        </w:rPr>
      </w:pPr>
    </w:p>
    <w:p w:rsidR="004A3862" w:rsidRPr="009072DA" w:rsidRDefault="004A3862" w:rsidP="00973DAA">
      <w:pPr>
        <w:pStyle w:val="ESch"/>
        <w:rPr>
          <w:rFonts w:eastAsia="Calibri"/>
          <w:lang w:val="bg-BG"/>
        </w:rPr>
      </w:pPr>
    </w:p>
    <w:p w:rsidR="00973DAA" w:rsidRPr="009072DA" w:rsidRDefault="00973DAA" w:rsidP="004A3862">
      <w:pPr>
        <w:pStyle w:val="ES-Titre3"/>
        <w:rPr>
          <w:rFonts w:cs="Arial"/>
          <w:i/>
          <w:szCs w:val="18"/>
          <w:lang w:val="bg-BG"/>
        </w:rPr>
      </w:pPr>
      <w:bookmarkStart w:id="353" w:name="_Toc491854174"/>
      <w:bookmarkStart w:id="354" w:name="_Toc535827615"/>
      <w:r w:rsidRPr="009072DA">
        <w:rPr>
          <w:lang w:val="bg-BG"/>
        </w:rPr>
        <w:t>Член 19.05</w:t>
      </w:r>
      <w:r w:rsidRPr="009072DA">
        <w:rPr>
          <w:lang w:val="bg-BG"/>
        </w:rPr>
        <w:br/>
      </w:r>
      <w:r w:rsidRPr="009072DA">
        <w:rPr>
          <w:i/>
          <w:lang w:val="bg-BG"/>
        </w:rPr>
        <w:t>Максимално допустим брой пътници</w:t>
      </w:r>
      <w:bookmarkEnd w:id="353"/>
      <w:bookmarkEnd w:id="354"/>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w:t>
      </w:r>
      <w:r w:rsidRPr="009072DA">
        <w:rPr>
          <w:lang w:val="bg-BG"/>
        </w:rPr>
        <w:tab/>
        <w:t>Контролният орган определя максимално допустимия брой пътници и записва цифрата в удостоверението на плавателния съд за плаване по вътрешни водни пътища.</w:t>
      </w:r>
    </w:p>
    <w:p w:rsidR="00FB0A98" w:rsidRPr="009072DA" w:rsidRDefault="00FB0A98"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2.</w:t>
      </w:r>
      <w:r w:rsidRPr="009072DA">
        <w:rPr>
          <w:lang w:val="bg-BG"/>
        </w:rPr>
        <w:tab/>
        <w:t>Максимално допустимият брой пътници не може да превишава някоя от следните стойности:</w:t>
      </w:r>
    </w:p>
    <w:p w:rsidR="00973DAA" w:rsidRPr="009072DA" w:rsidRDefault="005C7859" w:rsidP="004A3862">
      <w:pPr>
        <w:pStyle w:val="ESlet"/>
        <w:rPr>
          <w:rFonts w:eastAsia="Calibri" w:cs="Arial"/>
          <w:szCs w:val="18"/>
          <w:lang w:val="bg-BG"/>
        </w:rPr>
      </w:pPr>
      <w:r w:rsidRPr="009072DA">
        <w:rPr>
          <w:lang w:val="bg-BG"/>
        </w:rPr>
        <w:t>a)</w:t>
      </w:r>
      <w:r w:rsidRPr="009072DA">
        <w:rPr>
          <w:lang w:val="bg-BG"/>
        </w:rPr>
        <w:tab/>
        <w:t>броя пътници, за които наличието на пункт за евакуация съгласно член 19.06, точка 8 е доказано;</w:t>
      </w:r>
    </w:p>
    <w:p w:rsidR="004A3862" w:rsidRPr="009072DA" w:rsidRDefault="004A3862" w:rsidP="004A3862">
      <w:pPr>
        <w:pStyle w:val="ESlet"/>
        <w:rPr>
          <w:rFonts w:eastAsia="Calibri"/>
          <w:lang w:val="bg-BG"/>
        </w:rPr>
      </w:pPr>
      <w:r w:rsidRPr="009072DA">
        <w:rPr>
          <w:lang w:val="bg-BG"/>
        </w:rPr>
        <w:br w:type="page"/>
      </w:r>
    </w:p>
    <w:p w:rsidR="00973DAA" w:rsidRPr="009072DA" w:rsidRDefault="005C7859" w:rsidP="004A3862">
      <w:pPr>
        <w:pStyle w:val="ESlet"/>
        <w:rPr>
          <w:rFonts w:eastAsia="Calibri" w:cs="Arial"/>
          <w:szCs w:val="18"/>
          <w:lang w:val="bg-BG"/>
        </w:rPr>
      </w:pPr>
      <w:r w:rsidRPr="009072DA">
        <w:rPr>
          <w:lang w:val="bg-BG"/>
        </w:rPr>
        <w:lastRenderedPageBreak/>
        <w:t>б)</w:t>
      </w:r>
      <w:r w:rsidRPr="009072DA">
        <w:rPr>
          <w:lang w:val="bg-BG"/>
        </w:rPr>
        <w:tab/>
        <w:t>броя пътници, взет под внимание при пресмятането на устойчивостта съгласно член 19.03;</w:t>
      </w:r>
    </w:p>
    <w:p w:rsidR="00973DAA" w:rsidRPr="009072DA" w:rsidRDefault="005C7859" w:rsidP="004A3862">
      <w:pPr>
        <w:pStyle w:val="ESlet"/>
        <w:rPr>
          <w:rFonts w:eastAsia="Calibri" w:cs="Arial"/>
          <w:szCs w:val="18"/>
          <w:lang w:val="bg-BG"/>
        </w:rPr>
      </w:pPr>
      <w:r w:rsidRPr="009072DA">
        <w:rPr>
          <w:lang w:val="bg-BG"/>
        </w:rPr>
        <w:t>в)</w:t>
      </w:r>
      <w:r w:rsidRPr="009072DA">
        <w:rPr>
          <w:lang w:val="bg-BG"/>
        </w:rPr>
        <w:tab/>
        <w:t>броя на наличните легла за пътници на пътнически плавателни съдове с каюти, използвани за пътувания с нощувки.</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3.</w:t>
      </w:r>
      <w:r w:rsidRPr="009072DA">
        <w:rPr>
          <w:lang w:val="bg-BG"/>
        </w:rPr>
        <w:tab/>
        <w:t>При плавателни съдове с каюти, които се използват също като плавателни съдове за дневни пътувания, броят пътници се изчислява за ползване както като плавателни съдове за дневни пътувания, така и като пътнически плавателни съдове с каюти и се записва в удостоверението на плавателния съд за плаване по вътрешни водни пътища.</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4.</w:t>
      </w:r>
      <w:r w:rsidRPr="009072DA">
        <w:rPr>
          <w:lang w:val="bg-BG"/>
        </w:rPr>
        <w:tab/>
        <w:t>Максимално допустимият брой пътници се посочва на ясно четливи и видими табели на борда на плавателния съд.</w:t>
      </w:r>
    </w:p>
    <w:p w:rsidR="00973DAA" w:rsidRPr="009072DA" w:rsidRDefault="00973DAA" w:rsidP="00973DAA">
      <w:pPr>
        <w:pStyle w:val="ESch"/>
        <w:rPr>
          <w:rFonts w:eastAsia="Calibri" w:cs="Arial"/>
          <w:szCs w:val="18"/>
          <w:lang w:val="bg-BG"/>
        </w:rPr>
      </w:pPr>
    </w:p>
    <w:p w:rsidR="00FB0A98" w:rsidRPr="009072DA" w:rsidRDefault="00FB0A98" w:rsidP="00973DAA">
      <w:pPr>
        <w:pStyle w:val="ESch"/>
        <w:rPr>
          <w:rFonts w:eastAsia="Calibri" w:cs="Arial"/>
          <w:szCs w:val="18"/>
          <w:lang w:val="bg-BG"/>
        </w:rPr>
      </w:pPr>
    </w:p>
    <w:p w:rsidR="00973DAA" w:rsidRPr="009072DA" w:rsidRDefault="00973DAA" w:rsidP="004A3862">
      <w:pPr>
        <w:pStyle w:val="ES-Titre3"/>
        <w:rPr>
          <w:rFonts w:cs="Arial"/>
          <w:i/>
          <w:szCs w:val="18"/>
          <w:lang w:val="bg-BG"/>
        </w:rPr>
      </w:pPr>
      <w:bookmarkStart w:id="355" w:name="_Toc491854175"/>
      <w:bookmarkStart w:id="356" w:name="_Toc535827616"/>
      <w:r w:rsidRPr="009072DA">
        <w:rPr>
          <w:lang w:val="bg-BG"/>
        </w:rPr>
        <w:t>Член 19.06</w:t>
      </w:r>
      <w:r w:rsidRPr="009072DA">
        <w:rPr>
          <w:lang w:val="bg-BG"/>
        </w:rPr>
        <w:br/>
      </w:r>
      <w:r w:rsidRPr="009072DA">
        <w:rPr>
          <w:i/>
          <w:lang w:val="bg-BG"/>
        </w:rPr>
        <w:t>Помещения и пространства за пътници</w:t>
      </w:r>
      <w:bookmarkEnd w:id="355"/>
      <w:bookmarkEnd w:id="356"/>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w:t>
      </w:r>
      <w:r w:rsidRPr="009072DA">
        <w:rPr>
          <w:lang w:val="bg-BG"/>
        </w:rPr>
        <w:tab/>
        <w:t>Помещенията за пътници:</w:t>
      </w:r>
    </w:p>
    <w:p w:rsidR="00973DAA" w:rsidRPr="009072DA" w:rsidRDefault="005C7859" w:rsidP="004A3862">
      <w:pPr>
        <w:pStyle w:val="ESlet"/>
        <w:rPr>
          <w:rFonts w:eastAsia="Calibri" w:cs="Arial"/>
          <w:szCs w:val="18"/>
          <w:lang w:val="bg-BG"/>
        </w:rPr>
      </w:pPr>
      <w:r w:rsidRPr="009072DA">
        <w:rPr>
          <w:lang w:val="bg-BG"/>
        </w:rPr>
        <w:t>a)</w:t>
      </w:r>
      <w:r w:rsidRPr="009072DA">
        <w:rPr>
          <w:lang w:val="bg-BG"/>
        </w:rPr>
        <w:tab/>
        <w:t>на всички палуби трябва да се намират зад равнището на първата носова непроницаема преграда и ако са под палубата на преградите, пред равнината на ахтерпиковата преграда; и и</w:t>
      </w:r>
    </w:p>
    <w:p w:rsidR="00973DAA" w:rsidRPr="009072DA" w:rsidRDefault="005C7859" w:rsidP="004A3862">
      <w:pPr>
        <w:pStyle w:val="ESlet"/>
        <w:rPr>
          <w:rFonts w:eastAsia="Calibri" w:cs="Arial"/>
          <w:szCs w:val="18"/>
          <w:lang w:val="bg-BG"/>
        </w:rPr>
      </w:pPr>
      <w:r w:rsidRPr="009072DA">
        <w:rPr>
          <w:lang w:val="bg-BG"/>
        </w:rPr>
        <w:t>б)</w:t>
      </w:r>
      <w:r w:rsidRPr="009072DA">
        <w:rPr>
          <w:lang w:val="bg-BG"/>
        </w:rPr>
        <w:tab/>
        <w:t>трябва да са отделени по газонепроницаем начин от машинното и котелното отделение.</w:t>
      </w:r>
    </w:p>
    <w:p w:rsidR="004A3862" w:rsidRPr="009072DA" w:rsidRDefault="004A3862" w:rsidP="00973DAA">
      <w:pPr>
        <w:pStyle w:val="ESch"/>
        <w:rPr>
          <w:rFonts w:eastAsia="Calibri"/>
          <w:lang w:val="bg-BG"/>
        </w:rPr>
      </w:pPr>
    </w:p>
    <w:p w:rsidR="00973DAA" w:rsidRPr="009072DA" w:rsidRDefault="00973DAA" w:rsidP="004A3862">
      <w:pPr>
        <w:pStyle w:val="ESchpar"/>
        <w:rPr>
          <w:rFonts w:eastAsia="Calibri" w:cs="Arial"/>
          <w:szCs w:val="18"/>
          <w:lang w:val="bg-BG"/>
        </w:rPr>
      </w:pPr>
      <w:r w:rsidRPr="009072DA">
        <w:rPr>
          <w:lang w:val="bg-BG"/>
        </w:rPr>
        <w:t>Частите на палубата, които са затворени от навеси или подобни подвижни съоръжения не само отгоре, но също така напълно или частично отстрани, трябва да отговарят на същите изисквания като затворените помещения за пътници.</w:t>
      </w:r>
    </w:p>
    <w:p w:rsidR="00973DAA" w:rsidRPr="009072DA" w:rsidRDefault="00973DAA"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2.</w:t>
      </w:r>
      <w:r w:rsidRPr="009072DA">
        <w:rPr>
          <w:lang w:val="bg-BG"/>
        </w:rPr>
        <w:tab/>
        <w:t>Шкафовете и помещенията, посочени в член 14.13 и предназначени за съхранение на запалими течности, са извън пространствата за пътници.</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3.</w:t>
      </w:r>
      <w:r w:rsidRPr="009072DA">
        <w:rPr>
          <w:lang w:val="bg-BG"/>
        </w:rPr>
        <w:tab/>
        <w:t>Броят и ширината на изходите от помещенията за пътници трябва да съответстват на следните изисквания:</w:t>
      </w:r>
    </w:p>
    <w:p w:rsidR="00973DAA" w:rsidRPr="009072DA" w:rsidRDefault="005C7859" w:rsidP="004A3862">
      <w:pPr>
        <w:pStyle w:val="ESlet"/>
        <w:rPr>
          <w:rFonts w:eastAsia="Calibri" w:cs="Arial"/>
          <w:szCs w:val="18"/>
          <w:lang w:val="bg-BG"/>
        </w:rPr>
      </w:pPr>
      <w:r w:rsidRPr="009072DA">
        <w:rPr>
          <w:lang w:val="bg-BG"/>
        </w:rPr>
        <w:t>a)</w:t>
      </w:r>
      <w:r w:rsidRPr="009072DA">
        <w:rPr>
          <w:lang w:val="bg-BG"/>
        </w:rPr>
        <w:tab/>
        <w:t xml:space="preserve">Помещенията или групите от помещения, проектирани или устроени за 30 или повече пътници или включващи койки за 12 или повече пътници, трябва да имат най-малко два изхода. На плавателните съдове за дневни пътувания един от тези два изхода може да бъде заместен от два аварийни изхода. Помещенията, с </w:t>
      </w:r>
      <w:r w:rsidRPr="009072DA">
        <w:rPr>
          <w:lang w:val="bg-BG"/>
        </w:rPr>
        <w:lastRenderedPageBreak/>
        <w:t>изключение на каютите, и групи помещения, които имат само един изход, трябва да имат поне един авариен изход.</w:t>
      </w:r>
    </w:p>
    <w:p w:rsidR="00973DAA" w:rsidRPr="009072DA" w:rsidRDefault="005C7859" w:rsidP="004A3862">
      <w:pPr>
        <w:pStyle w:val="ESlet"/>
        <w:rPr>
          <w:rFonts w:eastAsia="Calibri" w:cs="Arial"/>
          <w:szCs w:val="18"/>
          <w:lang w:val="bg-BG"/>
        </w:rPr>
      </w:pPr>
      <w:r w:rsidRPr="009072DA">
        <w:rPr>
          <w:lang w:val="bg-BG"/>
        </w:rPr>
        <w:t>б)</w:t>
      </w:r>
      <w:r w:rsidRPr="009072DA">
        <w:rPr>
          <w:lang w:val="bg-BG"/>
        </w:rPr>
        <w:tab/>
        <w:t>Ако помещенията се намират под палубата на преградите, един от изходите може да бъде водонепроницаема врата в преградата съгласно член 19.02, точка 10, водеща към съседен отсек, от който може да се стигне директно до горната палуба. Другият изход трябва да извежда пряко или, ако е разрешено по буква а), под формата на авариен изход на открито или към палубата на преградите. Това изискване не важи за отделните каюти.</w:t>
      </w:r>
    </w:p>
    <w:p w:rsidR="00973DAA" w:rsidRPr="009072DA" w:rsidRDefault="005C7859" w:rsidP="004A3862">
      <w:pPr>
        <w:pStyle w:val="ESlet"/>
        <w:rPr>
          <w:rFonts w:eastAsia="Calibri" w:cs="Arial"/>
          <w:szCs w:val="18"/>
          <w:lang w:val="bg-BG"/>
        </w:rPr>
      </w:pPr>
      <w:r w:rsidRPr="009072DA">
        <w:rPr>
          <w:lang w:val="bg-BG"/>
        </w:rPr>
        <w:t>в)</w:t>
      </w:r>
      <w:r w:rsidRPr="009072DA">
        <w:rPr>
          <w:lang w:val="bg-BG"/>
        </w:rPr>
        <w:tab/>
        <w:t>Изходите съгласно букви а) и б) трябва да са подходящо разположени и да имат габаритна ширина от не по-малко от 0,80 m и габаритна височина не по-малко от 2,00 m. За вратите на пътническите каюти и други малки помещения габаритната ширина може да бъде намалена до 0,70 m.</w:t>
      </w:r>
    </w:p>
    <w:p w:rsidR="00973DAA" w:rsidRPr="009072DA" w:rsidRDefault="005C7859" w:rsidP="004A3862">
      <w:pPr>
        <w:pStyle w:val="ESlet"/>
        <w:rPr>
          <w:rFonts w:eastAsia="Calibri" w:cs="Arial"/>
          <w:szCs w:val="18"/>
          <w:lang w:val="bg-BG"/>
        </w:rPr>
      </w:pPr>
      <w:r w:rsidRPr="009072DA">
        <w:rPr>
          <w:lang w:val="bg-BG"/>
        </w:rPr>
        <w:t>г)</w:t>
      </w:r>
      <w:r w:rsidRPr="009072DA">
        <w:rPr>
          <w:lang w:val="bg-BG"/>
        </w:rPr>
        <w:tab/>
        <w:t>В случая на помещения или групи от помещения, предназначени за повече от 80 пътници, сумата от широчините на всички изходи, предназначени за пътниците и използвани от тях при извънредни ситуации, трябва да е не по-малко от 0,01 m на пътник.</w:t>
      </w:r>
    </w:p>
    <w:p w:rsidR="00973DAA" w:rsidRPr="009072DA" w:rsidRDefault="0029453D" w:rsidP="004A3862">
      <w:pPr>
        <w:pStyle w:val="ESlet"/>
        <w:rPr>
          <w:rFonts w:eastAsia="Calibri" w:cs="Arial"/>
          <w:szCs w:val="18"/>
          <w:lang w:val="bg-BG"/>
        </w:rPr>
      </w:pPr>
      <w:r w:rsidRPr="009072DA">
        <w:rPr>
          <w:lang w:val="bg-BG"/>
        </w:rPr>
        <w:t>д)</w:t>
      </w:r>
      <w:r w:rsidRPr="009072DA">
        <w:rPr>
          <w:lang w:val="bg-BG"/>
        </w:rPr>
        <w:tab/>
        <w:t>Ако габаритната ширина на изходите се определя от броя пътници, широчината на всеки изход трябва да е не по-малко от 0,005 m на пътник.</w:t>
      </w:r>
    </w:p>
    <w:p w:rsidR="004A3862" w:rsidRPr="009072DA" w:rsidRDefault="004A3862" w:rsidP="004A3862">
      <w:pPr>
        <w:pStyle w:val="ESlet"/>
        <w:rPr>
          <w:rFonts w:eastAsia="Calibri"/>
          <w:lang w:val="bg-BG"/>
        </w:rPr>
      </w:pPr>
    </w:p>
    <w:p w:rsidR="004A3862" w:rsidRPr="009072DA" w:rsidRDefault="004A3862" w:rsidP="004A3862">
      <w:pPr>
        <w:pStyle w:val="ESlet"/>
        <w:rPr>
          <w:rFonts w:eastAsia="Calibri"/>
          <w:lang w:val="bg-BG"/>
        </w:rPr>
      </w:pPr>
      <w:r w:rsidRPr="009072DA">
        <w:rPr>
          <w:lang w:val="bg-BG"/>
        </w:rPr>
        <w:br w:type="page"/>
      </w:r>
    </w:p>
    <w:p w:rsidR="00973DAA" w:rsidRPr="009072DA" w:rsidRDefault="0029453D" w:rsidP="004A3862">
      <w:pPr>
        <w:pStyle w:val="ESlet"/>
        <w:rPr>
          <w:rFonts w:eastAsia="Calibri" w:cs="Arial"/>
          <w:szCs w:val="18"/>
          <w:lang w:val="bg-BG"/>
        </w:rPr>
      </w:pPr>
      <w:r w:rsidRPr="009072DA">
        <w:rPr>
          <w:lang w:val="bg-BG"/>
        </w:rPr>
        <w:lastRenderedPageBreak/>
        <w:t>е)</w:t>
      </w:r>
      <w:r w:rsidRPr="009072DA">
        <w:rPr>
          <w:lang w:val="bg-BG"/>
        </w:rPr>
        <w:tab/>
        <w:t>Аварийните изходи трябва да имат най-къса страна с дължина не по-малко от 0,60 m или минимален диаметър от 0,70 m. Те трябва да се отварят по посока на евакуацията и са маркирани и от двете страни.</w:t>
      </w:r>
    </w:p>
    <w:p w:rsidR="00973DAA" w:rsidRPr="009072DA" w:rsidRDefault="00973DAA" w:rsidP="004A3862">
      <w:pPr>
        <w:pStyle w:val="ESlet"/>
        <w:rPr>
          <w:rFonts w:eastAsia="Calibri" w:cs="Arial"/>
          <w:szCs w:val="18"/>
          <w:lang w:val="bg-BG"/>
        </w:rPr>
      </w:pPr>
      <w:r w:rsidRPr="009072DA">
        <w:rPr>
          <w:lang w:val="bg-BG"/>
        </w:rPr>
        <w:t>ж)</w:t>
      </w:r>
      <w:r w:rsidRPr="009072DA">
        <w:rPr>
          <w:lang w:val="bg-BG"/>
        </w:rPr>
        <w:tab/>
        <w:t>Изходите на помещенията, предназначени за ползване от лица с намалена подвижност, трябва да имат габаритна ширина не по-малко от 0,90 m. Изходите, обичайно използвани за качване и слизане на хора с намалена подвижност, трябва да имат габаритна ширина не по-малко от 1,50 m.</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4.</w:t>
      </w:r>
      <w:r w:rsidRPr="009072DA">
        <w:rPr>
          <w:lang w:val="bg-BG"/>
        </w:rPr>
        <w:tab/>
        <w:t>Вратите на помещенията за пътници трябва да съответстват на следните изисквания:</w:t>
      </w:r>
    </w:p>
    <w:p w:rsidR="00973DAA" w:rsidRPr="009072DA" w:rsidRDefault="005C7859" w:rsidP="004A3862">
      <w:pPr>
        <w:pStyle w:val="ESlet"/>
        <w:rPr>
          <w:rFonts w:eastAsia="Calibri" w:cs="Arial"/>
          <w:szCs w:val="18"/>
          <w:lang w:val="bg-BG"/>
        </w:rPr>
      </w:pPr>
      <w:r w:rsidRPr="009072DA">
        <w:rPr>
          <w:lang w:val="bg-BG"/>
        </w:rPr>
        <w:t>a)</w:t>
      </w:r>
      <w:r w:rsidRPr="009072DA">
        <w:rPr>
          <w:lang w:val="bg-BG"/>
        </w:rPr>
        <w:tab/>
        <w:t>С изключение на вратите, водещи към свързващите коридори, те могат да се отварят навън или да бъдат изградени като плъзгащи се врати.</w:t>
      </w:r>
    </w:p>
    <w:p w:rsidR="00973DAA" w:rsidRPr="009072DA" w:rsidRDefault="005C7859" w:rsidP="004A3862">
      <w:pPr>
        <w:pStyle w:val="ESlet"/>
        <w:rPr>
          <w:rFonts w:eastAsia="Calibri" w:cs="Arial"/>
          <w:szCs w:val="18"/>
          <w:lang w:val="bg-BG"/>
        </w:rPr>
      </w:pPr>
      <w:r w:rsidRPr="009072DA">
        <w:rPr>
          <w:lang w:val="bg-BG"/>
        </w:rPr>
        <w:t>б)</w:t>
      </w:r>
      <w:r w:rsidRPr="009072DA">
        <w:rPr>
          <w:lang w:val="bg-BG"/>
        </w:rPr>
        <w:tab/>
        <w:t>Вратите на каютите са направени по такъв начин, че да могат също да се отключват отвън по всяко време.</w:t>
      </w:r>
    </w:p>
    <w:p w:rsidR="00973DAA" w:rsidRPr="009072DA" w:rsidRDefault="005C7859" w:rsidP="004A3862">
      <w:pPr>
        <w:pStyle w:val="ESlet"/>
        <w:rPr>
          <w:rFonts w:eastAsia="Calibri" w:cs="Arial"/>
          <w:szCs w:val="18"/>
          <w:lang w:val="bg-BG"/>
        </w:rPr>
      </w:pPr>
      <w:r w:rsidRPr="009072DA">
        <w:rPr>
          <w:lang w:val="bg-BG"/>
        </w:rPr>
        <w:t>в)</w:t>
      </w:r>
      <w:r w:rsidRPr="009072DA">
        <w:rPr>
          <w:lang w:val="bg-BG"/>
        </w:rPr>
        <w:tab/>
        <w:t>Задвижваните врати се отварят лесно в случай на отказ на захранването с енергия на механизма.</w:t>
      </w:r>
    </w:p>
    <w:p w:rsidR="00973DAA" w:rsidRPr="009072DA" w:rsidRDefault="005C7859" w:rsidP="004A3862">
      <w:pPr>
        <w:pStyle w:val="ESlet"/>
        <w:rPr>
          <w:rFonts w:eastAsia="Calibri" w:cs="Arial"/>
          <w:szCs w:val="18"/>
          <w:lang w:val="bg-BG"/>
        </w:rPr>
      </w:pPr>
      <w:r w:rsidRPr="009072DA">
        <w:rPr>
          <w:lang w:val="bg-BG"/>
        </w:rPr>
        <w:t>г)</w:t>
      </w:r>
      <w:r w:rsidRPr="009072DA">
        <w:rPr>
          <w:lang w:val="bg-BG"/>
        </w:rPr>
        <w:tab/>
        <w:t>При вратите, предназначени за ползване от лица с намалена подвижност, има, откъм посоката, в която се отваря вратата, минимален просвет от 0,60 m между вътрешния край на рамката на вратата от страната на бравата и прилежащата перпендикулярна стена.</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5.</w:t>
      </w:r>
      <w:r w:rsidRPr="009072DA">
        <w:rPr>
          <w:lang w:val="bg-BG"/>
        </w:rPr>
        <w:tab/>
        <w:t>Свързващите коридори трябва да отговарят на следните изисквания:</w:t>
      </w:r>
    </w:p>
    <w:p w:rsidR="00973DAA" w:rsidRPr="009072DA" w:rsidRDefault="005C7859" w:rsidP="004A3862">
      <w:pPr>
        <w:pStyle w:val="ESlet"/>
        <w:rPr>
          <w:rFonts w:eastAsia="Calibri" w:cs="Arial"/>
          <w:szCs w:val="18"/>
          <w:lang w:val="bg-BG"/>
        </w:rPr>
      </w:pPr>
      <w:r w:rsidRPr="009072DA">
        <w:rPr>
          <w:lang w:val="bg-BG"/>
        </w:rPr>
        <w:t>a)</w:t>
      </w:r>
      <w:r w:rsidRPr="009072DA">
        <w:rPr>
          <w:lang w:val="bg-BG"/>
        </w:rPr>
        <w:tab/>
        <w:t>Те имат габаритна ширина от поне 0,80 m. Ако водят към помещения, използвани от повече от 80 пътници, те трябва да съответстват на разпоредбите, посочени в точка 3, букви г) и д) по отношение на широчината на изходите, водещи към свързващите коридори.</w:t>
      </w:r>
    </w:p>
    <w:p w:rsidR="00973DAA" w:rsidRPr="009072DA" w:rsidRDefault="005C7859" w:rsidP="004A3862">
      <w:pPr>
        <w:pStyle w:val="ESlet"/>
        <w:rPr>
          <w:rFonts w:eastAsia="Calibri" w:cs="Arial"/>
          <w:szCs w:val="18"/>
          <w:lang w:val="bg-BG"/>
        </w:rPr>
      </w:pPr>
      <w:r w:rsidRPr="009072DA">
        <w:rPr>
          <w:lang w:val="bg-BG"/>
        </w:rPr>
        <w:t>б)</w:t>
      </w:r>
      <w:r w:rsidRPr="009072DA">
        <w:rPr>
          <w:lang w:val="bg-BG"/>
        </w:rPr>
        <w:tab/>
        <w:t>Габаритната им височина е не по-малко от 2,00 m.</w:t>
      </w:r>
    </w:p>
    <w:p w:rsidR="00973DAA" w:rsidRPr="009072DA" w:rsidRDefault="005C7859" w:rsidP="004A3862">
      <w:pPr>
        <w:pStyle w:val="ESlet"/>
        <w:rPr>
          <w:rFonts w:eastAsia="Calibri" w:cs="Arial"/>
          <w:szCs w:val="18"/>
          <w:lang w:val="bg-BG"/>
        </w:rPr>
      </w:pPr>
      <w:r w:rsidRPr="009072DA">
        <w:rPr>
          <w:lang w:val="bg-BG"/>
        </w:rPr>
        <w:t>в)</w:t>
      </w:r>
      <w:r w:rsidRPr="009072DA">
        <w:rPr>
          <w:lang w:val="bg-BG"/>
        </w:rPr>
        <w:tab/>
        <w:t>Свързващите коридори, предназначени за ползване от лица с намалена подвижност, имат габаритна ширина от 1,30 m. Свързващите коридори с ширина над 1,50 m имат леери от всяка страна.</w:t>
      </w:r>
    </w:p>
    <w:p w:rsidR="00973DAA" w:rsidRPr="009072DA" w:rsidRDefault="005C7859" w:rsidP="004A3862">
      <w:pPr>
        <w:pStyle w:val="ESlet"/>
        <w:rPr>
          <w:rFonts w:eastAsia="Calibri" w:cs="Arial"/>
          <w:szCs w:val="18"/>
          <w:lang w:val="bg-BG"/>
        </w:rPr>
      </w:pPr>
      <w:r w:rsidRPr="009072DA">
        <w:rPr>
          <w:lang w:val="bg-BG"/>
        </w:rPr>
        <w:t>г)</w:t>
      </w:r>
      <w:r w:rsidRPr="009072DA">
        <w:rPr>
          <w:lang w:val="bg-BG"/>
        </w:rPr>
        <w:tab/>
        <w:t>Когато част от плавателния съд или помещение, предназначено за пътници, се обслужва само от един свързващ коридор, габаритната му широчина е не по-малко от 1,00 m.</w:t>
      </w:r>
    </w:p>
    <w:p w:rsidR="00973DAA" w:rsidRPr="009072DA" w:rsidRDefault="0029453D" w:rsidP="004A3862">
      <w:pPr>
        <w:pStyle w:val="ESlet"/>
        <w:rPr>
          <w:rFonts w:eastAsia="Calibri" w:cs="Arial"/>
          <w:szCs w:val="18"/>
          <w:lang w:val="bg-BG"/>
        </w:rPr>
      </w:pPr>
      <w:r w:rsidRPr="009072DA">
        <w:rPr>
          <w:lang w:val="bg-BG"/>
        </w:rPr>
        <w:t>д)</w:t>
      </w:r>
      <w:r w:rsidRPr="009072DA">
        <w:rPr>
          <w:lang w:val="bg-BG"/>
        </w:rPr>
        <w:tab/>
        <w:t>Свързващите коридори не трябва да имат стъпала.</w:t>
      </w:r>
    </w:p>
    <w:p w:rsidR="00973DAA" w:rsidRPr="009072DA" w:rsidRDefault="0029453D" w:rsidP="004A3862">
      <w:pPr>
        <w:pStyle w:val="ESlet"/>
        <w:rPr>
          <w:rFonts w:eastAsia="Calibri" w:cs="Arial"/>
          <w:szCs w:val="18"/>
          <w:lang w:val="bg-BG"/>
        </w:rPr>
      </w:pPr>
      <w:r w:rsidRPr="009072DA">
        <w:rPr>
          <w:lang w:val="bg-BG"/>
        </w:rPr>
        <w:t>е)</w:t>
      </w:r>
      <w:r w:rsidRPr="009072DA">
        <w:rPr>
          <w:lang w:val="bg-BG"/>
        </w:rPr>
        <w:tab/>
        <w:t>Те водят само до открити палуби, помещения или стълбища.</w:t>
      </w:r>
    </w:p>
    <w:p w:rsidR="00973DAA" w:rsidRPr="009072DA" w:rsidRDefault="0029453D" w:rsidP="004A3862">
      <w:pPr>
        <w:pStyle w:val="ESlet"/>
        <w:rPr>
          <w:rFonts w:eastAsia="Calibri" w:cs="Arial"/>
          <w:szCs w:val="18"/>
          <w:lang w:val="bg-BG"/>
        </w:rPr>
      </w:pPr>
      <w:r w:rsidRPr="009072DA">
        <w:rPr>
          <w:lang w:val="bg-BG"/>
        </w:rPr>
        <w:t>ж)</w:t>
      </w:r>
      <w:r w:rsidRPr="009072DA">
        <w:rPr>
          <w:lang w:val="bg-BG"/>
        </w:rPr>
        <w:tab/>
        <w:t>Задънените краища на свързващите коридори не са по-дълги от два метра.</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6.</w:t>
      </w:r>
      <w:r w:rsidRPr="009072DA">
        <w:rPr>
          <w:lang w:val="bg-BG"/>
        </w:rPr>
        <w:tab/>
        <w:t>В допълнение към разпоредбите на точка 5, маршрутите за евакуация трябва да отговарят и на следните изисквания:</w:t>
      </w:r>
    </w:p>
    <w:p w:rsidR="00973DAA" w:rsidRPr="009072DA" w:rsidRDefault="005C7859" w:rsidP="004A3862">
      <w:pPr>
        <w:pStyle w:val="ESlet"/>
        <w:rPr>
          <w:rFonts w:eastAsia="Calibri" w:cs="Arial"/>
          <w:szCs w:val="18"/>
          <w:lang w:val="bg-BG"/>
        </w:rPr>
      </w:pPr>
      <w:r w:rsidRPr="009072DA">
        <w:rPr>
          <w:lang w:val="bg-BG"/>
        </w:rPr>
        <w:lastRenderedPageBreak/>
        <w:t>a)</w:t>
      </w:r>
      <w:r w:rsidRPr="009072DA">
        <w:rPr>
          <w:lang w:val="bg-BG"/>
        </w:rPr>
        <w:tab/>
        <w:t>стълбищата, изходите и аварийните изходи са разположени така, че при пожар в която и да е част останалите части да могат да се опразнят безопасно;</w:t>
      </w:r>
    </w:p>
    <w:p w:rsidR="00973DAA" w:rsidRPr="009072DA" w:rsidRDefault="005C7859" w:rsidP="004A3862">
      <w:pPr>
        <w:pStyle w:val="ESlet"/>
        <w:rPr>
          <w:rFonts w:eastAsia="Calibri" w:cs="Arial"/>
          <w:szCs w:val="18"/>
          <w:lang w:val="bg-BG"/>
        </w:rPr>
      </w:pPr>
      <w:r w:rsidRPr="009072DA">
        <w:rPr>
          <w:lang w:val="bg-BG"/>
        </w:rPr>
        <w:t>б)</w:t>
      </w:r>
      <w:r w:rsidRPr="009072DA">
        <w:rPr>
          <w:lang w:val="bg-BG"/>
        </w:rPr>
        <w:tab/>
        <w:t>маршрутите за евакуация водят по най-късия път до пунктовете за евакуация съгласно точка 8;</w:t>
      </w:r>
    </w:p>
    <w:p w:rsidR="00973DAA" w:rsidRPr="009072DA" w:rsidRDefault="005C7859" w:rsidP="004A3862">
      <w:pPr>
        <w:pStyle w:val="ESlet"/>
        <w:rPr>
          <w:rFonts w:eastAsia="Calibri" w:cs="Arial"/>
          <w:szCs w:val="18"/>
          <w:lang w:val="bg-BG"/>
        </w:rPr>
      </w:pPr>
      <w:r w:rsidRPr="009072DA">
        <w:rPr>
          <w:lang w:val="bg-BG"/>
        </w:rPr>
        <w:t>в)</w:t>
      </w:r>
      <w:r w:rsidRPr="009072DA">
        <w:rPr>
          <w:lang w:val="bg-BG"/>
        </w:rPr>
        <w:tab/>
        <w:t>маршрутите за евакуация не преминават през машинните отделения или камбузи;</w:t>
      </w:r>
    </w:p>
    <w:p w:rsidR="00973DAA" w:rsidRPr="009072DA" w:rsidRDefault="005C7859" w:rsidP="004A3862">
      <w:pPr>
        <w:pStyle w:val="ESlet"/>
        <w:rPr>
          <w:rFonts w:eastAsia="Calibri" w:cs="Arial"/>
          <w:szCs w:val="18"/>
          <w:lang w:val="bg-BG"/>
        </w:rPr>
      </w:pPr>
      <w:r w:rsidRPr="009072DA">
        <w:rPr>
          <w:lang w:val="bg-BG"/>
        </w:rPr>
        <w:t>г)</w:t>
      </w:r>
      <w:r w:rsidRPr="009072DA">
        <w:rPr>
          <w:lang w:val="bg-BG"/>
        </w:rPr>
        <w:tab/>
        <w:t>никъде по маршрутите за евакуация няма монтирани стъпала, подвижни стълби и други подобни;</w:t>
      </w:r>
    </w:p>
    <w:p w:rsidR="00973DAA" w:rsidRPr="009072DA" w:rsidRDefault="0029453D" w:rsidP="004A3862">
      <w:pPr>
        <w:pStyle w:val="ESlet"/>
        <w:rPr>
          <w:rFonts w:eastAsia="Calibri" w:cs="Arial"/>
          <w:szCs w:val="18"/>
          <w:lang w:val="bg-BG"/>
        </w:rPr>
      </w:pPr>
      <w:r w:rsidRPr="009072DA">
        <w:rPr>
          <w:lang w:val="bg-BG"/>
        </w:rPr>
        <w:t>д)</w:t>
      </w:r>
      <w:r w:rsidRPr="009072DA">
        <w:rPr>
          <w:lang w:val="bg-BG"/>
        </w:rPr>
        <w:tab/>
        <w:t>вратите към маршрутите за евакуация са конструирани така, че да не намаляват минималната ширина на маршрута за евакуация, упомената в точка 5, буква а) или г);</w:t>
      </w:r>
    </w:p>
    <w:p w:rsidR="00973DAA" w:rsidRPr="009072DA" w:rsidRDefault="0029453D" w:rsidP="004A3862">
      <w:pPr>
        <w:pStyle w:val="ESlet"/>
        <w:rPr>
          <w:rFonts w:eastAsia="Calibri" w:cs="Arial"/>
          <w:szCs w:val="18"/>
          <w:lang w:val="bg-BG"/>
        </w:rPr>
      </w:pPr>
      <w:r w:rsidRPr="009072DA">
        <w:rPr>
          <w:lang w:val="bg-BG"/>
        </w:rPr>
        <w:t>е)</w:t>
      </w:r>
      <w:r w:rsidRPr="009072DA">
        <w:rPr>
          <w:lang w:val="bg-BG"/>
        </w:rPr>
        <w:tab/>
        <w:t>маршрутите за евакуация и аварийните изходи са ясно означени. Знаците се осветяват от системата за аварийно осветление.</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7.</w:t>
      </w:r>
      <w:r w:rsidRPr="009072DA">
        <w:rPr>
          <w:lang w:val="bg-BG"/>
        </w:rPr>
        <w:tab/>
        <w:t>Маршрутите за евакуация и аварийните изходи трябва да имат подходяща система от указатели за безопасност.</w:t>
      </w:r>
    </w:p>
    <w:p w:rsidR="004A3862" w:rsidRPr="009072DA" w:rsidRDefault="004A3862" w:rsidP="00973DAA">
      <w:pPr>
        <w:pStyle w:val="ESch"/>
        <w:rPr>
          <w:rFonts w:eastAsia="Calibri"/>
          <w:lang w:val="bg-BG"/>
        </w:rPr>
      </w:pPr>
    </w:p>
    <w:p w:rsidR="004A3862" w:rsidRPr="009072DA" w:rsidRDefault="004A3862" w:rsidP="00973DAA">
      <w:pPr>
        <w:pStyle w:val="ESch"/>
        <w:rPr>
          <w:rFonts w:eastAsia="Calibri"/>
          <w:lang w:val="bg-BG"/>
        </w:rPr>
      </w:pPr>
      <w:r w:rsidRPr="009072DA">
        <w:rPr>
          <w:lang w:val="bg-BG"/>
        </w:rPr>
        <w:br w:type="page"/>
      </w:r>
    </w:p>
    <w:p w:rsidR="00973DAA" w:rsidRPr="009072DA" w:rsidRDefault="00973DAA" w:rsidP="00973DAA">
      <w:pPr>
        <w:pStyle w:val="ESch"/>
        <w:rPr>
          <w:rFonts w:eastAsia="Calibri" w:cs="Arial"/>
          <w:szCs w:val="18"/>
          <w:lang w:val="bg-BG"/>
        </w:rPr>
      </w:pPr>
      <w:r w:rsidRPr="009072DA">
        <w:rPr>
          <w:lang w:val="bg-BG"/>
        </w:rPr>
        <w:lastRenderedPageBreak/>
        <w:t>8.</w:t>
      </w:r>
      <w:r w:rsidRPr="009072DA">
        <w:rPr>
          <w:lang w:val="bg-BG"/>
        </w:rPr>
        <w:tab/>
        <w:t>За всички лица на борда трябва да има сборни пунктове, които трябва да отговарят на следните изисквания:</w:t>
      </w:r>
    </w:p>
    <w:p w:rsidR="00973DAA" w:rsidRPr="009072DA" w:rsidRDefault="005C7859" w:rsidP="004A3862">
      <w:pPr>
        <w:pStyle w:val="ESlet"/>
        <w:rPr>
          <w:rFonts w:eastAsia="Calibri" w:cs="Arial"/>
          <w:szCs w:val="18"/>
          <w:lang w:val="bg-BG"/>
        </w:rPr>
      </w:pPr>
      <w:r w:rsidRPr="009072DA">
        <w:rPr>
          <w:lang w:val="bg-BG"/>
        </w:rPr>
        <w:t>a)</w:t>
      </w:r>
      <w:r w:rsidRPr="009072DA">
        <w:rPr>
          <w:lang w:val="bg-BG"/>
        </w:rPr>
        <w:tab/>
        <w:t xml:space="preserve">общата площ на сборните пунктове </w:t>
      </w:r>
      <m:oMath>
        <m:sSub>
          <m:sSubPr>
            <m:ctrlPr>
              <w:rPr>
                <w:rFonts w:ascii="Cambria Math" w:eastAsia="Calibri" w:hAnsi="Cambria Math"/>
                <w:i/>
                <w:lang w:val="bg-BG"/>
              </w:rPr>
            </m:ctrlPr>
          </m:sSubPr>
          <m:e>
            <m:r>
              <w:rPr>
                <w:rFonts w:ascii="Cambria Math" w:eastAsia="Calibri" w:hAnsi="Cambria Math"/>
                <w:lang w:val="bg-BG"/>
              </w:rPr>
              <m:t>A</m:t>
            </m:r>
          </m:e>
          <m:sub>
            <m:r>
              <w:rPr>
                <w:rFonts w:ascii="Cambria Math" w:eastAsia="Calibri" w:hAnsi="Cambria Math"/>
                <w:lang w:val="bg-BG"/>
              </w:rPr>
              <m:t>S</m:t>
            </m:r>
          </m:sub>
        </m:sSub>
      </m:oMath>
      <w:r w:rsidRPr="009072DA">
        <w:rPr>
          <w:lang w:val="bg-BG"/>
        </w:rPr>
        <w:t xml:space="preserve"> съответства най-малкото на следната стойност:</w:t>
      </w:r>
    </w:p>
    <w:p w:rsidR="00973DAA" w:rsidRPr="009072DA" w:rsidRDefault="00973DAA" w:rsidP="004A3862">
      <w:pPr>
        <w:pStyle w:val="ESletpar"/>
        <w:rPr>
          <w:rFonts w:eastAsia="Calibri"/>
          <w:lang w:val="bg-BG"/>
        </w:rPr>
      </w:pPr>
      <w:r w:rsidRPr="009072DA">
        <w:rPr>
          <w:lang w:val="bg-BG"/>
        </w:rPr>
        <w:t>Плавателни съдове за дневни пътувания:</w:t>
      </w:r>
      <w:r w:rsidRPr="009072DA">
        <w:rPr>
          <w:lang w:val="bg-BG"/>
        </w:rPr>
        <w:tab/>
      </w:r>
      <m:oMath>
        <m:sSub>
          <m:sSubPr>
            <m:ctrlPr>
              <w:rPr>
                <w:rFonts w:ascii="Cambria Math" w:eastAsia="Calibri" w:hAnsi="Cambria Math"/>
                <w:i/>
                <w:lang w:val="bg-BG"/>
              </w:rPr>
            </m:ctrlPr>
          </m:sSubPr>
          <m:e>
            <m:r>
              <w:rPr>
                <w:rFonts w:ascii="Cambria Math" w:eastAsia="Calibri" w:hAnsi="Cambria Math"/>
                <w:lang w:val="bg-BG"/>
              </w:rPr>
              <m:t>A</m:t>
            </m:r>
          </m:e>
          <m:sub>
            <m:r>
              <w:rPr>
                <w:rFonts w:ascii="Cambria Math" w:eastAsia="Calibri" w:hAnsi="Cambria Math"/>
                <w:lang w:val="bg-BG"/>
              </w:rPr>
              <m:t>S</m:t>
            </m:r>
          </m:sub>
        </m:sSub>
        <m:r>
          <w:rPr>
            <w:rFonts w:ascii="Cambria Math" w:eastAsia="Calibri" w:hAnsi="Cambria Math"/>
            <w:lang w:val="bg-BG"/>
          </w:rPr>
          <m:t xml:space="preserve">=0,35 ∙ </m:t>
        </m:r>
        <m:sSub>
          <m:sSubPr>
            <m:ctrlPr>
              <w:rPr>
                <w:rFonts w:ascii="Cambria Math" w:eastAsia="Calibri" w:hAnsi="Cambria Math"/>
                <w:i/>
                <w:lang w:val="bg-BG"/>
              </w:rPr>
            </m:ctrlPr>
          </m:sSubPr>
          <m:e>
            <m:r>
              <w:rPr>
                <w:rFonts w:ascii="Cambria Math" w:eastAsia="Calibri" w:hAnsi="Cambria Math"/>
                <w:lang w:val="bg-BG"/>
              </w:rPr>
              <m:t>F</m:t>
            </m:r>
          </m:e>
          <m:sub>
            <m:r>
              <w:rPr>
                <w:rFonts w:ascii="Cambria Math" w:eastAsia="Calibri" w:hAnsi="Cambria Math"/>
                <w:lang w:val="bg-BG"/>
              </w:rPr>
              <m:t>max</m:t>
            </m:r>
          </m:sub>
        </m:sSub>
        <m:r>
          <w:rPr>
            <w:rFonts w:ascii="Cambria Math" w:eastAsia="Calibri" w:hAnsi="Cambria Math"/>
            <w:lang w:val="bg-BG"/>
          </w:rPr>
          <m:t xml:space="preserve"> </m:t>
        </m:r>
        <m:d>
          <m:dPr>
            <m:begChr m:val="["/>
            <m:endChr m:val="]"/>
            <m:ctrlPr>
              <w:rPr>
                <w:rFonts w:ascii="Cambria Math" w:eastAsia="Calibri" w:hAnsi="Cambria Math"/>
                <w:i/>
                <w:lang w:val="bg-BG"/>
              </w:rPr>
            </m:ctrlPr>
          </m:dPr>
          <m:e>
            <m:sSup>
              <m:sSupPr>
                <m:ctrlPr>
                  <w:rPr>
                    <w:rFonts w:ascii="Cambria Math" w:eastAsia="Calibri" w:hAnsi="Cambria Math"/>
                    <w:i/>
                    <w:lang w:val="bg-BG"/>
                  </w:rPr>
                </m:ctrlPr>
              </m:sSupPr>
              <m:e>
                <m:r>
                  <w:rPr>
                    <w:rFonts w:ascii="Cambria Math" w:eastAsia="Calibri" w:hAnsi="Cambria Math"/>
                    <w:lang w:val="bg-BG"/>
                  </w:rPr>
                  <m:t>m</m:t>
                </m:r>
              </m:e>
              <m:sup>
                <m:r>
                  <w:rPr>
                    <w:rFonts w:ascii="Cambria Math" w:eastAsia="Calibri" w:hAnsi="Cambria Math"/>
                    <w:lang w:val="bg-BG"/>
                  </w:rPr>
                  <m:t>2</m:t>
                </m:r>
              </m:sup>
            </m:sSup>
          </m:e>
        </m:d>
      </m:oMath>
      <w:r w:rsidRPr="009072DA">
        <w:rPr>
          <w:vertAlign w:val="subscript"/>
          <w:lang w:val="bg-BG"/>
        </w:rPr>
        <w:t xml:space="preserve"> </w:t>
      </w:r>
    </w:p>
    <w:p w:rsidR="00973DAA" w:rsidRPr="009072DA" w:rsidRDefault="00973DAA" w:rsidP="004A3862">
      <w:pPr>
        <w:pStyle w:val="ESletpar"/>
        <w:rPr>
          <w:rFonts w:eastAsia="Calibri"/>
          <w:lang w:val="bg-BG"/>
        </w:rPr>
      </w:pPr>
      <w:r w:rsidRPr="009072DA">
        <w:rPr>
          <w:lang w:val="bg-BG"/>
        </w:rPr>
        <w:t>Плавателни съдове с каюти:</w:t>
      </w:r>
      <w:r w:rsidRPr="009072DA">
        <w:rPr>
          <w:lang w:val="bg-BG"/>
        </w:rPr>
        <w:tab/>
      </w:r>
      <m:oMath>
        <m:sSub>
          <m:sSubPr>
            <m:ctrlPr>
              <w:rPr>
                <w:rFonts w:ascii="Cambria Math" w:eastAsia="Calibri" w:hAnsi="Cambria Math"/>
                <w:i/>
                <w:lang w:val="bg-BG"/>
              </w:rPr>
            </m:ctrlPr>
          </m:sSubPr>
          <m:e>
            <m:r>
              <w:rPr>
                <w:rFonts w:ascii="Cambria Math" w:eastAsia="Calibri" w:hAnsi="Cambria Math"/>
                <w:lang w:val="bg-BG"/>
              </w:rPr>
              <m:t>A</m:t>
            </m:r>
          </m:e>
          <m:sub>
            <m:r>
              <w:rPr>
                <w:rFonts w:ascii="Cambria Math" w:eastAsia="Calibri" w:hAnsi="Cambria Math"/>
                <w:lang w:val="bg-BG"/>
              </w:rPr>
              <m:t>S</m:t>
            </m:r>
          </m:sub>
        </m:sSub>
        <m:r>
          <w:rPr>
            <w:rFonts w:ascii="Cambria Math" w:eastAsia="Calibri" w:hAnsi="Cambria Math"/>
            <w:lang w:val="bg-BG"/>
          </w:rPr>
          <m:t xml:space="preserve">=0,45 ∙ </m:t>
        </m:r>
        <m:sSub>
          <m:sSubPr>
            <m:ctrlPr>
              <w:rPr>
                <w:rFonts w:ascii="Cambria Math" w:eastAsia="Calibri" w:hAnsi="Cambria Math"/>
                <w:i/>
                <w:lang w:val="bg-BG"/>
              </w:rPr>
            </m:ctrlPr>
          </m:sSubPr>
          <m:e>
            <m:r>
              <w:rPr>
                <w:rFonts w:ascii="Cambria Math" w:eastAsia="Calibri" w:hAnsi="Cambria Math"/>
                <w:lang w:val="bg-BG"/>
              </w:rPr>
              <m:t>F</m:t>
            </m:r>
          </m:e>
          <m:sub>
            <m:r>
              <w:rPr>
                <w:rFonts w:ascii="Cambria Math" w:eastAsia="Calibri" w:hAnsi="Cambria Math"/>
                <w:lang w:val="bg-BG"/>
              </w:rPr>
              <m:t>max</m:t>
            </m:r>
          </m:sub>
        </m:sSub>
        <m:r>
          <w:rPr>
            <w:rFonts w:ascii="Cambria Math" w:eastAsia="Calibri" w:hAnsi="Cambria Math"/>
            <w:lang w:val="bg-BG"/>
          </w:rPr>
          <m:t xml:space="preserve"> </m:t>
        </m:r>
        <m:d>
          <m:dPr>
            <m:begChr m:val="["/>
            <m:endChr m:val="]"/>
            <m:ctrlPr>
              <w:rPr>
                <w:rFonts w:ascii="Cambria Math" w:eastAsia="Calibri" w:hAnsi="Cambria Math"/>
                <w:i/>
                <w:lang w:val="bg-BG"/>
              </w:rPr>
            </m:ctrlPr>
          </m:dPr>
          <m:e>
            <m:sSup>
              <m:sSupPr>
                <m:ctrlPr>
                  <w:rPr>
                    <w:rFonts w:ascii="Cambria Math" w:eastAsia="Calibri" w:hAnsi="Cambria Math"/>
                    <w:i/>
                    <w:lang w:val="bg-BG"/>
                  </w:rPr>
                </m:ctrlPr>
              </m:sSupPr>
              <m:e>
                <m:r>
                  <w:rPr>
                    <w:rFonts w:ascii="Cambria Math" w:eastAsia="Calibri" w:hAnsi="Cambria Math"/>
                    <w:lang w:val="bg-BG"/>
                  </w:rPr>
                  <m:t>m</m:t>
                </m:r>
              </m:e>
              <m:sup>
                <m:r>
                  <w:rPr>
                    <w:rFonts w:ascii="Cambria Math" w:eastAsia="Calibri" w:hAnsi="Cambria Math"/>
                    <w:lang w:val="bg-BG"/>
                  </w:rPr>
                  <m:t>2</m:t>
                </m:r>
              </m:sup>
            </m:sSup>
          </m:e>
        </m:d>
      </m:oMath>
    </w:p>
    <w:p w:rsidR="00973DAA" w:rsidRPr="009072DA" w:rsidRDefault="00973DAA" w:rsidP="004A3862">
      <w:pPr>
        <w:pStyle w:val="ESletpar"/>
        <w:rPr>
          <w:rFonts w:eastAsia="Calibri"/>
          <w:lang w:val="bg-BG"/>
        </w:rPr>
      </w:pPr>
      <w:r w:rsidRPr="009072DA">
        <w:rPr>
          <w:lang w:val="bg-BG"/>
        </w:rPr>
        <w:t>където</w:t>
      </w:r>
    </w:p>
    <w:p w:rsidR="00973DAA" w:rsidRPr="009072DA" w:rsidRDefault="002B712C" w:rsidP="004A3862">
      <w:pPr>
        <w:pStyle w:val="ESletpar"/>
        <w:tabs>
          <w:tab w:val="left" w:pos="1701"/>
        </w:tabs>
        <w:rPr>
          <w:rFonts w:eastAsia="Calibri"/>
          <w:szCs w:val="18"/>
          <w:lang w:val="bg-BG"/>
        </w:rPr>
      </w:pPr>
      <m:oMath>
        <m:sSub>
          <m:sSubPr>
            <m:ctrlPr>
              <w:rPr>
                <w:rFonts w:ascii="Cambria Math" w:eastAsia="Calibri" w:hAnsi="Cambria Math"/>
                <w:i/>
                <w:szCs w:val="18"/>
                <w:lang w:val="bg-BG"/>
              </w:rPr>
            </m:ctrlPr>
          </m:sSubPr>
          <m:e>
            <m:r>
              <w:rPr>
                <w:rFonts w:ascii="Cambria Math" w:eastAsia="Calibri" w:hAnsi="Cambria Math"/>
                <w:szCs w:val="18"/>
                <w:lang w:val="bg-BG"/>
              </w:rPr>
              <m:t>F</m:t>
            </m:r>
          </m:e>
          <m:sub>
            <m:r>
              <w:rPr>
                <w:rFonts w:ascii="Cambria Math" w:eastAsia="Calibri" w:hAnsi="Cambria Math"/>
                <w:szCs w:val="18"/>
                <w:lang w:val="bg-BG"/>
              </w:rPr>
              <m:t>max</m:t>
            </m:r>
          </m:sub>
        </m:sSub>
      </m:oMath>
      <w:r w:rsidR="007B1046" w:rsidRPr="009072DA">
        <w:rPr>
          <w:lang w:val="bg-BG"/>
        </w:rPr>
        <w:t xml:space="preserve"> =</w:t>
      </w:r>
      <w:r w:rsidR="007B1046" w:rsidRPr="009072DA">
        <w:rPr>
          <w:lang w:val="bg-BG"/>
        </w:rPr>
        <w:tab/>
        <w:t>максималният разрешен брой пътници на борда.</w:t>
      </w:r>
    </w:p>
    <w:p w:rsidR="00973DAA" w:rsidRPr="009072DA" w:rsidRDefault="005C7859" w:rsidP="004A3862">
      <w:pPr>
        <w:pStyle w:val="ESlet"/>
        <w:rPr>
          <w:rFonts w:eastAsia="Calibri" w:cs="Arial"/>
          <w:szCs w:val="18"/>
          <w:lang w:val="bg-BG"/>
        </w:rPr>
      </w:pPr>
      <w:r w:rsidRPr="009072DA">
        <w:rPr>
          <w:lang w:val="bg-BG"/>
        </w:rPr>
        <w:t>б)</w:t>
      </w:r>
      <w:r w:rsidRPr="009072DA">
        <w:rPr>
          <w:lang w:val="bg-BG"/>
        </w:rPr>
        <w:tab/>
        <w:t>всеки отделен сборен пункт или пункт за евакуация е по-голям от 10 m</w:t>
      </w:r>
      <w:r w:rsidRPr="009072DA">
        <w:rPr>
          <w:vertAlign w:val="superscript"/>
          <w:lang w:val="bg-BG"/>
        </w:rPr>
        <w:t>2</w:t>
      </w:r>
      <w:r w:rsidRPr="009072DA">
        <w:rPr>
          <w:lang w:val="bg-BG"/>
        </w:rPr>
        <w:t>;</w:t>
      </w:r>
    </w:p>
    <w:p w:rsidR="00973DAA" w:rsidRPr="009072DA" w:rsidRDefault="005C7859" w:rsidP="004A3862">
      <w:pPr>
        <w:pStyle w:val="ESlet"/>
        <w:rPr>
          <w:rFonts w:eastAsia="Calibri" w:cs="Arial"/>
          <w:szCs w:val="18"/>
          <w:lang w:val="bg-BG"/>
        </w:rPr>
      </w:pPr>
      <w:r w:rsidRPr="009072DA">
        <w:rPr>
          <w:lang w:val="bg-BG"/>
        </w:rPr>
        <w:t>в)</w:t>
      </w:r>
      <w:r w:rsidRPr="009072DA">
        <w:rPr>
          <w:lang w:val="bg-BG"/>
        </w:rPr>
        <w:tab/>
        <w:t>в сборните пунктове не трябва да има мебели, независимо дали са подвижни или не;</w:t>
      </w:r>
    </w:p>
    <w:p w:rsidR="00973DAA" w:rsidRPr="009072DA" w:rsidRDefault="0029453D" w:rsidP="004A3862">
      <w:pPr>
        <w:pStyle w:val="ESlet"/>
        <w:rPr>
          <w:rFonts w:eastAsia="Calibri" w:cs="Arial"/>
          <w:szCs w:val="18"/>
          <w:lang w:val="bg-BG"/>
        </w:rPr>
      </w:pPr>
      <w:r w:rsidRPr="009072DA">
        <w:rPr>
          <w:lang w:val="bg-BG"/>
        </w:rPr>
        <w:t>г)</w:t>
      </w:r>
      <w:r w:rsidRPr="009072DA">
        <w:rPr>
          <w:lang w:val="bg-BG"/>
        </w:rPr>
        <w:tab/>
        <w:t>ако в помещение, където е обособен сборен пункт, има подвижни мебели, те са подходящо укрепени, за да не се хлъзгат;</w:t>
      </w:r>
    </w:p>
    <w:p w:rsidR="00973DAA" w:rsidRPr="009072DA" w:rsidRDefault="0029453D" w:rsidP="004A3862">
      <w:pPr>
        <w:pStyle w:val="ESlet"/>
        <w:rPr>
          <w:rFonts w:eastAsia="Calibri" w:cs="Arial"/>
          <w:szCs w:val="18"/>
          <w:lang w:val="bg-BG"/>
        </w:rPr>
      </w:pPr>
      <w:r w:rsidRPr="009072DA">
        <w:rPr>
          <w:lang w:val="bg-BG"/>
        </w:rPr>
        <w:t>д)</w:t>
      </w:r>
      <w:r w:rsidRPr="009072DA">
        <w:rPr>
          <w:lang w:val="bg-BG"/>
        </w:rPr>
        <w:tab/>
        <w:t>в случай че неподвижни седалки или скамейки се намират в помещение, в което са определени сборни пунктове, съответният брой лица не се взема под внимание при пресмятането на общата площ на сборните пунктове съгласно буква а). Все пак броят лица, за които са предвидени неподвижни седалки или скамейки в дадено помещение, не трябва да надвишава броя лица, за които има сборни пунктове в това помещение;</w:t>
      </w:r>
    </w:p>
    <w:p w:rsidR="00973DAA" w:rsidRPr="009072DA" w:rsidRDefault="0029453D" w:rsidP="004A3862">
      <w:pPr>
        <w:pStyle w:val="ESlet"/>
        <w:rPr>
          <w:rFonts w:eastAsia="Calibri" w:cs="Arial"/>
          <w:szCs w:val="18"/>
          <w:lang w:val="bg-BG"/>
        </w:rPr>
      </w:pPr>
      <w:r w:rsidRPr="009072DA">
        <w:rPr>
          <w:lang w:val="bg-BG"/>
        </w:rPr>
        <w:t>е)</w:t>
      </w:r>
      <w:r w:rsidRPr="009072DA">
        <w:rPr>
          <w:lang w:val="bg-BG"/>
        </w:rPr>
        <w:tab/>
        <w:t>спасителните средства са леснодостъпни от пунктовете за евакуация;</w:t>
      </w:r>
    </w:p>
    <w:p w:rsidR="00973DAA" w:rsidRPr="009072DA" w:rsidRDefault="0029453D" w:rsidP="004A3862">
      <w:pPr>
        <w:pStyle w:val="ESlet"/>
        <w:rPr>
          <w:rFonts w:eastAsia="Calibri" w:cs="Arial"/>
          <w:szCs w:val="18"/>
          <w:lang w:val="bg-BG"/>
        </w:rPr>
      </w:pPr>
      <w:r w:rsidRPr="009072DA">
        <w:rPr>
          <w:lang w:val="bg-BG"/>
        </w:rPr>
        <w:t>ж)</w:t>
      </w:r>
      <w:r w:rsidRPr="009072DA">
        <w:rPr>
          <w:lang w:val="bg-BG"/>
        </w:rPr>
        <w:tab/>
        <w:t>възможна е безопасна евакуация на хората от пунктовете за евакуация, като се използва всеки борд на плавателния съд;</w:t>
      </w:r>
    </w:p>
    <w:p w:rsidR="00973DAA" w:rsidRPr="009072DA" w:rsidRDefault="0029453D" w:rsidP="004A3862">
      <w:pPr>
        <w:pStyle w:val="ESlet"/>
        <w:rPr>
          <w:rFonts w:eastAsia="Calibri" w:cs="Arial"/>
          <w:szCs w:val="18"/>
          <w:lang w:val="bg-BG"/>
        </w:rPr>
      </w:pPr>
      <w:r w:rsidRPr="009072DA">
        <w:rPr>
          <w:lang w:val="bg-BG"/>
        </w:rPr>
        <w:t>з)</w:t>
      </w:r>
      <w:r w:rsidRPr="009072DA">
        <w:rPr>
          <w:lang w:val="bg-BG"/>
        </w:rPr>
        <w:tab/>
        <w:t>сборните пунктове се намират над пределната линия;</w:t>
      </w:r>
    </w:p>
    <w:p w:rsidR="00973DAA" w:rsidRPr="009072DA" w:rsidRDefault="0029453D" w:rsidP="004A3862">
      <w:pPr>
        <w:pStyle w:val="ESlet"/>
        <w:rPr>
          <w:rFonts w:eastAsia="Calibri" w:cs="Arial"/>
          <w:szCs w:val="18"/>
          <w:lang w:val="bg-BG"/>
        </w:rPr>
      </w:pPr>
      <w:r w:rsidRPr="009072DA">
        <w:rPr>
          <w:lang w:val="bg-BG"/>
        </w:rPr>
        <w:t>и)</w:t>
      </w:r>
      <w:r w:rsidRPr="009072DA">
        <w:rPr>
          <w:lang w:val="bg-BG"/>
        </w:rPr>
        <w:tab/>
        <w:t>сборните пунктове и пунктовете за евакуация са посочени като такива в плана за безопасност и са обозначени на борда на плавателния съд;</w:t>
      </w:r>
    </w:p>
    <w:p w:rsidR="00973DAA" w:rsidRPr="009072DA" w:rsidRDefault="0029453D" w:rsidP="004A3862">
      <w:pPr>
        <w:pStyle w:val="ESlet"/>
        <w:rPr>
          <w:rFonts w:eastAsia="Calibri" w:cs="Arial"/>
          <w:szCs w:val="18"/>
          <w:lang w:val="bg-BG"/>
        </w:rPr>
      </w:pPr>
      <w:r w:rsidRPr="009072DA">
        <w:rPr>
          <w:lang w:val="bg-BG"/>
        </w:rPr>
        <w:t>й)</w:t>
      </w:r>
      <w:r w:rsidRPr="009072DA">
        <w:rPr>
          <w:lang w:val="bg-BG"/>
        </w:rPr>
        <w:tab/>
        <w:t>разпоредбите на букви г) и д) се прилагат също за свободните палуби, на които са определени сборните пунктове.</w:t>
      </w:r>
    </w:p>
    <w:p w:rsidR="00973DAA" w:rsidRPr="009072DA" w:rsidRDefault="0029453D" w:rsidP="004A3862">
      <w:pPr>
        <w:pStyle w:val="ESlet"/>
        <w:rPr>
          <w:rFonts w:eastAsia="Calibri" w:cs="Arial"/>
          <w:szCs w:val="18"/>
          <w:lang w:val="bg-BG"/>
        </w:rPr>
      </w:pPr>
      <w:r w:rsidRPr="009072DA">
        <w:rPr>
          <w:lang w:val="bg-BG"/>
        </w:rPr>
        <w:t>к)</w:t>
      </w:r>
      <w:r w:rsidRPr="009072DA">
        <w:rPr>
          <w:lang w:val="bg-BG"/>
        </w:rPr>
        <w:tab/>
        <w:t>ако на борда има колективни спасителни средства съгласно член 19.09, точка 5, броят лица, за които тези средства са разчетени, може да не се взема предвид при изчисляване на общата площ на сборните пунктове, посочени в буква а).</w:t>
      </w:r>
    </w:p>
    <w:p w:rsidR="00973DAA" w:rsidRPr="009072DA" w:rsidRDefault="0029453D" w:rsidP="004A3862">
      <w:pPr>
        <w:pStyle w:val="ESlet"/>
        <w:rPr>
          <w:rFonts w:eastAsia="Calibri" w:cs="Arial"/>
          <w:szCs w:val="18"/>
          <w:lang w:val="bg-BG"/>
        </w:rPr>
      </w:pPr>
      <w:r w:rsidRPr="009072DA">
        <w:rPr>
          <w:lang w:val="bg-BG"/>
        </w:rPr>
        <w:t>л)</w:t>
      </w:r>
      <w:r w:rsidRPr="009072DA">
        <w:rPr>
          <w:lang w:val="bg-BG"/>
        </w:rPr>
        <w:tab/>
        <w:t>обаче във всички случаи, при които се прилагат приспаданията съгласно букви д), й) и к), общата площ съгласно буква а) е достатъчна за не по-малко от 50 % от максималния допустим брой пътници.</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9.</w:t>
      </w:r>
      <w:r w:rsidRPr="009072DA">
        <w:rPr>
          <w:lang w:val="bg-BG"/>
        </w:rPr>
        <w:tab/>
        <w:t>Стълбищата и техните площадки в пространствата за пътници трябва да съответстват на следните изисквания:</w:t>
      </w:r>
    </w:p>
    <w:p w:rsidR="00973DAA" w:rsidRPr="009072DA" w:rsidRDefault="005C7859" w:rsidP="004A3862">
      <w:pPr>
        <w:pStyle w:val="ESlet"/>
        <w:rPr>
          <w:rFonts w:eastAsia="Calibri" w:cs="Arial"/>
          <w:szCs w:val="18"/>
          <w:lang w:val="bg-BG"/>
        </w:rPr>
      </w:pPr>
      <w:r w:rsidRPr="009072DA">
        <w:rPr>
          <w:lang w:val="bg-BG"/>
        </w:rPr>
        <w:t>a)</w:t>
      </w:r>
      <w:r w:rsidRPr="009072DA">
        <w:rPr>
          <w:lang w:val="bg-BG"/>
        </w:rPr>
        <w:tab/>
        <w:t>изградени са в съответствие с европейски стандарт EN 13056: 2000.</w:t>
      </w:r>
    </w:p>
    <w:p w:rsidR="00973DAA" w:rsidRPr="009072DA" w:rsidRDefault="005C7859" w:rsidP="004A3862">
      <w:pPr>
        <w:pStyle w:val="ESlet"/>
        <w:rPr>
          <w:rFonts w:eastAsia="Calibri" w:cs="Arial"/>
          <w:szCs w:val="18"/>
          <w:lang w:val="bg-BG"/>
        </w:rPr>
      </w:pPr>
      <w:r w:rsidRPr="009072DA">
        <w:rPr>
          <w:lang w:val="bg-BG"/>
        </w:rPr>
        <w:lastRenderedPageBreak/>
        <w:t>б)</w:t>
      </w:r>
      <w:r w:rsidRPr="009072DA">
        <w:rPr>
          <w:lang w:val="bg-BG"/>
        </w:rPr>
        <w:tab/>
        <w:t>имат габаритна ширина от най-малко 0,80 m или, ако водят към свързващи коридори или места, използвани от повече от 80 пътници, поне 0,01 m на пътник;</w:t>
      </w:r>
    </w:p>
    <w:p w:rsidR="00973DAA" w:rsidRPr="009072DA" w:rsidRDefault="005C7859" w:rsidP="004A3862">
      <w:pPr>
        <w:pStyle w:val="ESlet"/>
        <w:rPr>
          <w:rFonts w:eastAsia="Calibri" w:cs="Arial"/>
          <w:szCs w:val="18"/>
          <w:lang w:val="bg-BG"/>
        </w:rPr>
      </w:pPr>
      <w:r w:rsidRPr="009072DA">
        <w:rPr>
          <w:lang w:val="bg-BG"/>
        </w:rPr>
        <w:t>в)</w:t>
      </w:r>
      <w:r w:rsidRPr="009072DA">
        <w:rPr>
          <w:lang w:val="bg-BG"/>
        </w:rPr>
        <w:tab/>
        <w:t>имат габаритна ширина поне 1,00 m, ако са единственият начин за достъп до помещение, предназначено за пътници;</w:t>
      </w:r>
    </w:p>
    <w:p w:rsidR="00973DAA" w:rsidRPr="009072DA" w:rsidRDefault="0029453D" w:rsidP="004A3862">
      <w:pPr>
        <w:pStyle w:val="ESlet"/>
        <w:rPr>
          <w:rFonts w:eastAsia="Calibri" w:cs="Arial"/>
          <w:szCs w:val="18"/>
          <w:lang w:val="bg-BG"/>
        </w:rPr>
      </w:pPr>
      <w:r w:rsidRPr="009072DA">
        <w:rPr>
          <w:lang w:val="bg-BG"/>
        </w:rPr>
        <w:t>г)</w:t>
      </w:r>
      <w:r w:rsidRPr="009072DA">
        <w:rPr>
          <w:lang w:val="bg-BG"/>
        </w:rPr>
        <w:tab/>
        <w:t>ако няма поне по една стълба от всяка страна на плавателния съд в едно и също помещение, те се намират в безопасната зона;</w:t>
      </w:r>
    </w:p>
    <w:p w:rsidR="00973DAA" w:rsidRPr="009072DA" w:rsidRDefault="0029453D" w:rsidP="004A3862">
      <w:pPr>
        <w:pStyle w:val="ESlet"/>
        <w:rPr>
          <w:rFonts w:eastAsia="Calibri" w:cs="Arial"/>
          <w:szCs w:val="18"/>
          <w:lang w:val="bg-BG"/>
        </w:rPr>
      </w:pPr>
      <w:r w:rsidRPr="009072DA">
        <w:rPr>
          <w:lang w:val="bg-BG"/>
        </w:rPr>
        <w:t>д)</w:t>
      </w:r>
      <w:r w:rsidRPr="009072DA">
        <w:rPr>
          <w:lang w:val="bg-BG"/>
        </w:rPr>
        <w:tab/>
        <w:t>в допълнение, стълбищата, предназначени за използване от лица с намалена подвижност, трябва да отговарят на следните изисквания:</w:t>
      </w:r>
    </w:p>
    <w:p w:rsidR="00973DAA" w:rsidRPr="009072DA" w:rsidRDefault="0029453D" w:rsidP="004A3862">
      <w:pPr>
        <w:pStyle w:val="EStiret"/>
        <w:rPr>
          <w:rFonts w:eastAsia="Calibri" w:cs="Arial"/>
          <w:noProof w:val="0"/>
          <w:szCs w:val="18"/>
          <w:lang w:val="bg-BG"/>
        </w:rPr>
      </w:pPr>
      <w:r w:rsidRPr="009072DA">
        <w:rPr>
          <w:noProof w:val="0"/>
          <w:lang w:val="bg-BG"/>
        </w:rPr>
        <w:t>aa)</w:t>
      </w:r>
      <w:r w:rsidRPr="009072DA">
        <w:rPr>
          <w:noProof w:val="0"/>
          <w:lang w:val="bg-BG"/>
        </w:rPr>
        <w:tab/>
        <w:t>наклонът на стълбищата не превишава 38°;</w:t>
      </w:r>
    </w:p>
    <w:p w:rsidR="00973DAA" w:rsidRPr="009072DA" w:rsidRDefault="00973DAA" w:rsidP="004A3862">
      <w:pPr>
        <w:pStyle w:val="EStiret"/>
        <w:rPr>
          <w:rFonts w:eastAsia="Calibri" w:cs="Arial"/>
          <w:noProof w:val="0"/>
          <w:szCs w:val="18"/>
          <w:lang w:val="bg-BG"/>
        </w:rPr>
      </w:pPr>
      <w:r w:rsidRPr="009072DA">
        <w:rPr>
          <w:noProof w:val="0"/>
          <w:lang w:val="bg-BG"/>
        </w:rPr>
        <w:t>бб)</w:t>
      </w:r>
      <w:r w:rsidRPr="009072DA">
        <w:rPr>
          <w:noProof w:val="0"/>
          <w:lang w:val="bg-BG"/>
        </w:rPr>
        <w:tab/>
        <w:t>стълбищата имат габаритна ширина най-малко от 0,90 m;</w:t>
      </w:r>
    </w:p>
    <w:p w:rsidR="00FB0A98" w:rsidRPr="009072DA" w:rsidRDefault="00FB0A98" w:rsidP="004A3862">
      <w:pPr>
        <w:pStyle w:val="EStiret"/>
        <w:rPr>
          <w:rFonts w:eastAsia="Calibri"/>
          <w:noProof w:val="0"/>
          <w:lang w:val="bg-BG"/>
        </w:rPr>
      </w:pPr>
      <w:r w:rsidRPr="009072DA">
        <w:rPr>
          <w:noProof w:val="0"/>
          <w:lang w:val="bg-BG"/>
        </w:rPr>
        <w:br w:type="page"/>
      </w:r>
    </w:p>
    <w:p w:rsidR="00973DAA" w:rsidRPr="009072DA" w:rsidRDefault="00973DAA" w:rsidP="004A3862">
      <w:pPr>
        <w:pStyle w:val="EStiret"/>
        <w:rPr>
          <w:rFonts w:eastAsia="Calibri" w:cs="Arial"/>
          <w:noProof w:val="0"/>
          <w:szCs w:val="18"/>
          <w:lang w:val="bg-BG"/>
        </w:rPr>
      </w:pPr>
      <w:r w:rsidRPr="009072DA">
        <w:rPr>
          <w:noProof w:val="0"/>
          <w:lang w:val="bg-BG"/>
        </w:rPr>
        <w:lastRenderedPageBreak/>
        <w:t>вв)</w:t>
      </w:r>
      <w:r w:rsidRPr="009072DA">
        <w:rPr>
          <w:noProof w:val="0"/>
          <w:lang w:val="bg-BG"/>
        </w:rPr>
        <w:tab/>
        <w:t>спирални стълби не се допускат;</w:t>
      </w:r>
    </w:p>
    <w:p w:rsidR="00973DAA" w:rsidRPr="009072DA" w:rsidRDefault="00973DAA" w:rsidP="004A3862">
      <w:pPr>
        <w:pStyle w:val="EStiret"/>
        <w:rPr>
          <w:rFonts w:eastAsia="Calibri" w:cs="Arial"/>
          <w:noProof w:val="0"/>
          <w:szCs w:val="18"/>
          <w:lang w:val="bg-BG"/>
        </w:rPr>
      </w:pPr>
      <w:r w:rsidRPr="009072DA">
        <w:rPr>
          <w:noProof w:val="0"/>
          <w:lang w:val="bg-BG"/>
        </w:rPr>
        <w:t>гг)</w:t>
      </w:r>
      <w:r w:rsidRPr="009072DA">
        <w:rPr>
          <w:noProof w:val="0"/>
          <w:lang w:val="bg-BG"/>
        </w:rPr>
        <w:tab/>
        <w:t>стълбищата не могат да минават в направление, напречно на плавателния съд;</w:t>
      </w:r>
    </w:p>
    <w:p w:rsidR="00973DAA" w:rsidRPr="009072DA" w:rsidRDefault="00973DAA" w:rsidP="004A3862">
      <w:pPr>
        <w:pStyle w:val="EStiret"/>
        <w:rPr>
          <w:rFonts w:eastAsia="Calibri" w:cs="Arial"/>
          <w:noProof w:val="0"/>
          <w:szCs w:val="18"/>
          <w:lang w:val="bg-BG"/>
        </w:rPr>
      </w:pPr>
      <w:r w:rsidRPr="009072DA">
        <w:rPr>
          <w:noProof w:val="0"/>
          <w:lang w:val="bg-BG"/>
        </w:rPr>
        <w:t>дд)</w:t>
      </w:r>
      <w:r w:rsidRPr="009072DA">
        <w:rPr>
          <w:noProof w:val="0"/>
          <w:lang w:val="bg-BG"/>
        </w:rPr>
        <w:tab/>
        <w:t>леерите на стълбищата достигат до около 0,30 m след горния и долния им край, без да пречат на трасетата на преминаване;</w:t>
      </w:r>
    </w:p>
    <w:p w:rsidR="00973DAA" w:rsidRPr="009072DA" w:rsidRDefault="00973DAA" w:rsidP="004A3862">
      <w:pPr>
        <w:pStyle w:val="EStiret"/>
        <w:rPr>
          <w:rFonts w:eastAsia="Calibri" w:cs="Arial"/>
          <w:noProof w:val="0"/>
          <w:szCs w:val="18"/>
          <w:lang w:val="bg-BG"/>
        </w:rPr>
      </w:pPr>
      <w:r w:rsidRPr="009072DA">
        <w:rPr>
          <w:noProof w:val="0"/>
          <w:lang w:val="bg-BG"/>
        </w:rPr>
        <w:t>ее)</w:t>
      </w:r>
      <w:r w:rsidRPr="009072DA">
        <w:rPr>
          <w:noProof w:val="0"/>
          <w:lang w:val="bg-BG"/>
        </w:rPr>
        <w:tab/>
        <w:t>леерите, предните части най-малко на горното и долното стъпало, както и подовите покрития в краищата на стълбищата, са очертани с ярък цвят.</w:t>
      </w:r>
    </w:p>
    <w:p w:rsidR="00973DAA" w:rsidRPr="009072DA" w:rsidRDefault="00973DAA" w:rsidP="00F50FB5">
      <w:pPr>
        <w:pStyle w:val="ESletpar"/>
        <w:rPr>
          <w:rFonts w:eastAsia="Calibri" w:cs="Arial"/>
          <w:szCs w:val="18"/>
          <w:lang w:val="bg-BG"/>
        </w:rPr>
      </w:pPr>
      <w:r w:rsidRPr="009072DA">
        <w:rPr>
          <w:lang w:val="bg-BG"/>
        </w:rPr>
        <w:t>Асансьорите, предназначени за лица с намалена подвижност и оборудването за повдигане като ескалатори или подемни платформи, са изградени съгласно съответния стандарт или наредба на държава членка.</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10.</w:t>
      </w:r>
      <w:r w:rsidRPr="009072DA">
        <w:rPr>
          <w:lang w:val="bg-BG"/>
        </w:rPr>
        <w:tab/>
        <w:t>Частите на палубата, които са предназначени за пътници и не са закрити, трябва да отговарят на следните изисквания:</w:t>
      </w:r>
    </w:p>
    <w:p w:rsidR="00973DAA" w:rsidRPr="009072DA" w:rsidRDefault="005C7859" w:rsidP="004A3862">
      <w:pPr>
        <w:pStyle w:val="ESlet"/>
        <w:rPr>
          <w:rFonts w:eastAsia="Calibri" w:cs="Arial"/>
          <w:szCs w:val="18"/>
          <w:lang w:val="bg-BG"/>
        </w:rPr>
      </w:pPr>
      <w:r w:rsidRPr="009072DA">
        <w:rPr>
          <w:lang w:val="bg-BG"/>
        </w:rPr>
        <w:t>a)</w:t>
      </w:r>
      <w:r w:rsidRPr="009072DA">
        <w:rPr>
          <w:lang w:val="bg-BG"/>
        </w:rPr>
        <w:tab/>
      </w:r>
      <w:r w:rsidRPr="009072DA">
        <w:rPr>
          <w:rFonts w:ascii="ArialMT" w:hAnsi="ArialMT"/>
          <w:lang w:val="bg-BG"/>
        </w:rPr>
        <w:t>оградени са с фалшборд или предпазни перила с височина най-малко 1,00 m или парапет съобразно европейски стандарт EN 711: 2016, с конструкция тип PF, PG или PZ. Фалшбордовете и парапетите на палубите, предназначени за лица с намалена подвижност, са с височина не по-малко от 1,10 m;</w:t>
      </w:r>
    </w:p>
    <w:p w:rsidR="00973DAA" w:rsidRPr="009072DA" w:rsidRDefault="005C7859" w:rsidP="004A3862">
      <w:pPr>
        <w:pStyle w:val="ESlet"/>
        <w:rPr>
          <w:rFonts w:eastAsia="Calibri" w:cs="Arial"/>
          <w:szCs w:val="18"/>
          <w:lang w:val="bg-BG"/>
        </w:rPr>
      </w:pPr>
      <w:r w:rsidRPr="009072DA">
        <w:rPr>
          <w:lang w:val="bg-BG"/>
        </w:rPr>
        <w:t>б)</w:t>
      </w:r>
      <w:r w:rsidRPr="009072DA">
        <w:rPr>
          <w:lang w:val="bg-BG"/>
        </w:rPr>
        <w:tab/>
        <w:t>отворите и оборудването за качване и слизане, а също отворите за товарене или разтоварване са такива, че да могат да бъдат обезопасени и да имат габаритна ширина не по-малко от 1,00 m. Отворите, използвани обичайно за качване и слизане на лица с намалена подвижност, са с габаритна ширина не по-малко от 1,50 m;</w:t>
      </w:r>
    </w:p>
    <w:p w:rsidR="00973DAA" w:rsidRPr="009072DA" w:rsidRDefault="005C7859" w:rsidP="004A3862">
      <w:pPr>
        <w:pStyle w:val="ESlet"/>
        <w:rPr>
          <w:rFonts w:eastAsia="Calibri" w:cs="Arial"/>
          <w:szCs w:val="18"/>
          <w:lang w:val="bg-BG"/>
        </w:rPr>
      </w:pPr>
      <w:r w:rsidRPr="009072DA">
        <w:rPr>
          <w:lang w:val="bg-BG"/>
        </w:rPr>
        <w:t>в)</w:t>
      </w:r>
      <w:r w:rsidRPr="009072DA">
        <w:rPr>
          <w:lang w:val="bg-BG"/>
        </w:rPr>
        <w:tab/>
        <w:t>ако отворите и оборудването за качване и слизане не могат да се наблюдават от рулевата рубка, се осигуряват подходящи помощни средства за тази цел;</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11.</w:t>
      </w:r>
      <w:r w:rsidRPr="009072DA">
        <w:rPr>
          <w:lang w:val="bg-BG"/>
        </w:rPr>
        <w:tab/>
        <w:t>Частите на плавателния съд, които не са предназначени за пътници, в частност достъпът до рулевата рубка, лебедките и машинните отделения трябва да са такива, че да могат да се обезопасят против неразрешено влизане. При всяко такова място за достъп има знак, съответстващ на фигура 1 от приложение 4, поставен на видно място.</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12.</w:t>
      </w:r>
      <w:r w:rsidRPr="009072DA">
        <w:rPr>
          <w:lang w:val="bg-BG"/>
        </w:rPr>
        <w:tab/>
        <w:t>Корабните трапове се изграждат в съответствие с европейски стандарт EN 14206: 2003. Чрез дерогация от член 13.02, точка 3, буква г), тяхната дължина се допуска да бъде по-малка от 4 m.</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13.</w:t>
      </w:r>
      <w:r w:rsidRPr="009072DA">
        <w:rPr>
          <w:lang w:val="bg-BG"/>
        </w:rPr>
        <w:tab/>
        <w:t>Проходите, предназначени за ползване от лица с намалена подвижност, трябва да са с габаритна ширина не по-малко от 1,30 m и по тях няма прагове и прегради с височина повече от 0,025 m. Стените в проходите, предназначени за ползване от лица с намалена подвижност, трябва да са съоръжени с леери на височина 0,90 m над пода.</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lastRenderedPageBreak/>
        <w:t>14.</w:t>
      </w:r>
      <w:r w:rsidRPr="009072DA">
        <w:rPr>
          <w:lang w:val="bg-BG"/>
        </w:rPr>
        <w:tab/>
        <w:t>Стъклените врати и стени в проходите и също стъклата на прозорците трябва да са изработени от предварително напрегнато или ламинирано стъкло. Те могат също да бъдат произведени от синтетичен материал, при условие че той е разрешен за ползване от противопожарна гледна точка.</w:t>
      </w:r>
    </w:p>
    <w:p w:rsidR="004A3862" w:rsidRPr="009072DA" w:rsidRDefault="004A3862" w:rsidP="00973DAA">
      <w:pPr>
        <w:pStyle w:val="ESch"/>
        <w:rPr>
          <w:rFonts w:eastAsia="Calibri"/>
          <w:lang w:val="bg-BG"/>
        </w:rPr>
      </w:pPr>
    </w:p>
    <w:p w:rsidR="00973DAA" w:rsidRPr="009072DA" w:rsidRDefault="00973DAA" w:rsidP="004A3862">
      <w:pPr>
        <w:pStyle w:val="ESchpar"/>
        <w:rPr>
          <w:rFonts w:eastAsia="Calibri" w:cs="Arial"/>
          <w:szCs w:val="18"/>
          <w:lang w:val="bg-BG"/>
        </w:rPr>
      </w:pPr>
      <w:r w:rsidRPr="009072DA">
        <w:rPr>
          <w:lang w:val="bg-BG"/>
        </w:rPr>
        <w:t>Прозрачните врати и стени, достигащи до пода в проходите, трябва да са маркирани по ясно видим начин.</w:t>
      </w:r>
    </w:p>
    <w:p w:rsidR="004A3862" w:rsidRPr="009072DA" w:rsidRDefault="004A3862" w:rsidP="00973DAA">
      <w:pPr>
        <w:pStyle w:val="ESch"/>
        <w:rPr>
          <w:rFonts w:eastAsia="Calibri" w:cs="Arial"/>
          <w:color w:val="000000"/>
          <w:szCs w:val="20"/>
          <w:lang w:val="bg-BG"/>
        </w:rPr>
      </w:pPr>
    </w:p>
    <w:p w:rsidR="00B72823" w:rsidRPr="009072DA" w:rsidRDefault="00B72823" w:rsidP="00973DAA">
      <w:pPr>
        <w:pStyle w:val="ESch"/>
        <w:rPr>
          <w:rFonts w:eastAsia="Calibri" w:cs="Arial"/>
          <w:color w:val="000000"/>
          <w:szCs w:val="20"/>
          <w:lang w:val="bg-BG"/>
        </w:rPr>
      </w:pPr>
      <w:r w:rsidRPr="009072DA">
        <w:rPr>
          <w:lang w:val="bg-BG"/>
        </w:rPr>
        <w:br w:type="page"/>
      </w:r>
    </w:p>
    <w:p w:rsidR="00973DAA" w:rsidRPr="009072DA" w:rsidRDefault="00973DAA" w:rsidP="00973DAA">
      <w:pPr>
        <w:pStyle w:val="ESch"/>
        <w:rPr>
          <w:rFonts w:eastAsia="Calibri" w:cs="Arial"/>
          <w:szCs w:val="18"/>
          <w:lang w:val="bg-BG"/>
        </w:rPr>
      </w:pPr>
      <w:r w:rsidRPr="009072DA">
        <w:rPr>
          <w:color w:val="000000"/>
          <w:lang w:val="bg-BG"/>
        </w:rPr>
        <w:lastRenderedPageBreak/>
        <w:t>15.</w:t>
      </w:r>
      <w:r w:rsidRPr="009072DA">
        <w:rPr>
          <w:lang w:val="bg-BG"/>
        </w:rPr>
        <w:tab/>
      </w:r>
      <w:r w:rsidRPr="009072DA">
        <w:rPr>
          <w:color w:val="000000"/>
          <w:lang w:val="bg-BG"/>
        </w:rPr>
        <w:t>Надстройките (или техните покриви), състоящи се изцяло от панорамни крила, покрити пространства, създадени от навеси или подобни подвижни съоръжения, както и техните надстройки, трябва да бъдат проектирани така, че тяхната конструкция и използваните материали да не представляват риск за нараняване на лицата на борда в случай на повреда.</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16.</w:t>
      </w:r>
      <w:r w:rsidRPr="009072DA">
        <w:rPr>
          <w:lang w:val="bg-BG"/>
        </w:rPr>
        <w:tab/>
        <w:t>Системите за питейна вода трябва да отговарят поне на изискванията на член 15.05.</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17.</w:t>
      </w:r>
      <w:r w:rsidRPr="009072DA">
        <w:rPr>
          <w:lang w:val="bg-BG"/>
        </w:rPr>
        <w:tab/>
        <w:t>За пътниците трябва да бъдат осигурени тоалетни. Поне една тоалетна трябва да бъде оборудвана за използване от лица с намалена подвижност съгласно съответния стандарт или регламент на държава членка и трябва да бъде достъпна от всички пространства, предвидени за ползване от лица с намалена подвижност.</w:t>
      </w:r>
    </w:p>
    <w:p w:rsidR="004A3862" w:rsidRPr="009072DA" w:rsidRDefault="004A3862" w:rsidP="00973DAA">
      <w:pPr>
        <w:pStyle w:val="ESch"/>
        <w:rPr>
          <w:rFonts w:eastAsia="Calibri"/>
          <w:lang w:val="bg-BG"/>
        </w:rPr>
      </w:pPr>
    </w:p>
    <w:p w:rsidR="00973DAA" w:rsidRPr="009072DA" w:rsidRDefault="00B72823" w:rsidP="00973DAA">
      <w:pPr>
        <w:pStyle w:val="ESch"/>
        <w:rPr>
          <w:rFonts w:eastAsia="Calibri" w:cs="Arial"/>
          <w:szCs w:val="18"/>
          <w:lang w:val="bg-BG"/>
        </w:rPr>
      </w:pPr>
      <w:r w:rsidRPr="009072DA">
        <w:rPr>
          <w:lang w:val="bg-BG"/>
        </w:rPr>
        <w:t>18.</w:t>
      </w:r>
      <w:r w:rsidRPr="009072DA">
        <w:rPr>
          <w:lang w:val="bg-BG"/>
        </w:rPr>
        <w:tab/>
        <w:t>Каютите без отварящи се прозорци трябва да са свързани към вентилационна система.</w:t>
      </w:r>
    </w:p>
    <w:p w:rsidR="004A3862" w:rsidRPr="009072DA" w:rsidRDefault="004A3862"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19.</w:t>
      </w:r>
      <w:r w:rsidRPr="009072DA">
        <w:rPr>
          <w:lang w:val="bg-BG"/>
        </w:rPr>
        <w:tab/>
      </w:r>
      <w:r w:rsidRPr="009072DA">
        <w:rPr>
          <w:i/>
          <w:lang w:val="bg-BG"/>
        </w:rPr>
        <w:t>Mutatis mutandis</w:t>
      </w:r>
      <w:r w:rsidRPr="009072DA">
        <w:rPr>
          <w:lang w:val="bg-BG"/>
        </w:rPr>
        <w:t xml:space="preserve"> каютите, в които са настанени членовете на екипажа или обслужващия персонал, трябва да отговарят на разпоредбите на настоящия член.</w:t>
      </w:r>
    </w:p>
    <w:p w:rsidR="00973DAA" w:rsidRPr="009072DA" w:rsidRDefault="00973DAA" w:rsidP="00973DAA">
      <w:pPr>
        <w:pStyle w:val="ESch"/>
        <w:rPr>
          <w:rFonts w:eastAsia="Calibri" w:cs="Arial"/>
          <w:szCs w:val="18"/>
          <w:lang w:val="bg-BG"/>
        </w:rPr>
      </w:pPr>
    </w:p>
    <w:p w:rsidR="00B72823" w:rsidRPr="009072DA" w:rsidRDefault="00B72823" w:rsidP="00973DAA">
      <w:pPr>
        <w:pStyle w:val="ESch"/>
        <w:rPr>
          <w:rFonts w:eastAsia="Calibri" w:cs="Arial"/>
          <w:szCs w:val="18"/>
          <w:lang w:val="bg-BG"/>
        </w:rPr>
      </w:pPr>
    </w:p>
    <w:p w:rsidR="00973DAA" w:rsidRPr="009072DA" w:rsidRDefault="00973DAA" w:rsidP="00B72823">
      <w:pPr>
        <w:pStyle w:val="ES-Titre3"/>
        <w:rPr>
          <w:i/>
          <w:lang w:val="bg-BG"/>
        </w:rPr>
      </w:pPr>
      <w:bookmarkStart w:id="357" w:name="_Toc491854176"/>
      <w:bookmarkStart w:id="358" w:name="_Toc535827617"/>
      <w:r w:rsidRPr="009072DA">
        <w:rPr>
          <w:lang w:val="bg-BG"/>
        </w:rPr>
        <w:t>Член 19.07</w:t>
      </w:r>
      <w:r w:rsidRPr="009072DA">
        <w:rPr>
          <w:lang w:val="bg-BG"/>
        </w:rPr>
        <w:br/>
      </w:r>
      <w:r w:rsidRPr="009072DA">
        <w:rPr>
          <w:i/>
          <w:lang w:val="bg-BG"/>
        </w:rPr>
        <w:t>Задвижваща система</w:t>
      </w:r>
      <w:bookmarkEnd w:id="357"/>
      <w:bookmarkEnd w:id="358"/>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1.</w:t>
      </w:r>
      <w:r w:rsidRPr="009072DA">
        <w:rPr>
          <w:lang w:val="bg-BG"/>
        </w:rPr>
        <w:tab/>
        <w:t>В допълнение към главната система за задвижване плавателните съдове се оборудват и с втора независима система за задвижване с цел да се гарантира, че в случай на повреда по главната система за задвижване, плавателният съд ще остане управляем на собствен ход.</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2.</w:t>
      </w:r>
      <w:r w:rsidRPr="009072DA">
        <w:rPr>
          <w:lang w:val="bg-BG"/>
        </w:rPr>
        <w:tab/>
        <w:t>Втората независима задвижваща система трябва да бъде разположена в отделно машинно отделение. Ако двете машинни отделения имат общи стени, същите трябва бъдат изградени съгласно член 19.11, точка 2.</w:t>
      </w:r>
    </w:p>
    <w:p w:rsidR="00973DAA" w:rsidRPr="009072DA" w:rsidRDefault="00973DAA" w:rsidP="00973DAA">
      <w:pPr>
        <w:pStyle w:val="ESch"/>
        <w:rPr>
          <w:rFonts w:eastAsia="Calibri" w:cs="Arial"/>
          <w:szCs w:val="18"/>
          <w:lang w:val="bg-BG"/>
        </w:rPr>
      </w:pPr>
    </w:p>
    <w:p w:rsidR="00B72823" w:rsidRPr="009072DA" w:rsidRDefault="00B72823" w:rsidP="00973DAA">
      <w:pPr>
        <w:pStyle w:val="ESch"/>
        <w:rPr>
          <w:rFonts w:eastAsia="Calibri" w:cs="Arial"/>
          <w:szCs w:val="18"/>
          <w:lang w:val="bg-BG"/>
        </w:rPr>
      </w:pPr>
    </w:p>
    <w:p w:rsidR="00973DAA" w:rsidRPr="009072DA" w:rsidRDefault="00973DAA" w:rsidP="00B72823">
      <w:pPr>
        <w:pStyle w:val="ES-Titre3"/>
        <w:rPr>
          <w:rFonts w:cs="Arial"/>
          <w:i/>
          <w:szCs w:val="18"/>
          <w:lang w:val="bg-BG"/>
        </w:rPr>
      </w:pPr>
      <w:bookmarkStart w:id="359" w:name="_Toc491854177"/>
      <w:bookmarkStart w:id="360" w:name="_Toc535827618"/>
      <w:r w:rsidRPr="009072DA">
        <w:rPr>
          <w:lang w:val="bg-BG"/>
        </w:rPr>
        <w:t>Член 19.08</w:t>
      </w:r>
      <w:r w:rsidRPr="009072DA">
        <w:rPr>
          <w:lang w:val="bg-BG"/>
        </w:rPr>
        <w:br/>
      </w:r>
      <w:r w:rsidRPr="009072DA">
        <w:rPr>
          <w:i/>
          <w:lang w:val="bg-BG"/>
        </w:rPr>
        <w:t>Устройства и оборудване за безопасност</w:t>
      </w:r>
      <w:bookmarkEnd w:id="359"/>
      <w:bookmarkEnd w:id="360"/>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 xml:space="preserve">1. </w:t>
      </w:r>
      <w:r w:rsidRPr="009072DA">
        <w:rPr>
          <w:lang w:val="bg-BG"/>
        </w:rPr>
        <w:tab/>
        <w:t xml:space="preserve">Всички пътнически плавателни съдове трябва да имат съоръжения за вътрешнокорабна комуникация в съответствие с член 7.08. Такива съоръжения трябва да има също в </w:t>
      </w:r>
      <w:r w:rsidRPr="009072DA">
        <w:rPr>
          <w:lang w:val="bg-BG"/>
        </w:rPr>
        <w:lastRenderedPageBreak/>
        <w:t>оперативните рубки и, където няма пряка връзка с поста за управление, в пространствата за достъп и сборните пунктове за пътниците, посочени в член 19.06, точка 8.</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2.</w:t>
      </w:r>
      <w:r w:rsidRPr="009072DA">
        <w:rPr>
          <w:lang w:val="bg-BG"/>
        </w:rPr>
        <w:tab/>
        <w:t>Всички пространства за пътниците трябва да могат да бъдат достигнати чрез система от високоговорители. Системата трябва да е проектирана по такъв начин, че да гарантира, че предаваната информация може ясно да бъде разграничена от фоновия шум. Високоговорителите не са задължителни, когато е възможна пряка връзка между рулевата рубка и помещението за пътници.</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3.</w:t>
      </w:r>
      <w:r w:rsidRPr="009072DA">
        <w:rPr>
          <w:lang w:val="bg-BG"/>
        </w:rPr>
        <w:tab/>
        <w:t>Плавателният съд трябва да бъде оборудван с алармена система. Системата трябва да включва:</w:t>
      </w:r>
    </w:p>
    <w:p w:rsidR="00973DAA" w:rsidRPr="009072DA" w:rsidRDefault="005C7859" w:rsidP="00B72823">
      <w:pPr>
        <w:pStyle w:val="ESlet"/>
        <w:rPr>
          <w:rFonts w:eastAsia="Calibri" w:cs="Arial"/>
          <w:szCs w:val="18"/>
          <w:lang w:val="bg-BG"/>
        </w:rPr>
      </w:pPr>
      <w:r w:rsidRPr="009072DA">
        <w:rPr>
          <w:lang w:val="bg-BG"/>
        </w:rPr>
        <w:t>a)</w:t>
      </w:r>
      <w:r w:rsidRPr="009072DA">
        <w:rPr>
          <w:lang w:val="bg-BG"/>
        </w:rPr>
        <w:tab/>
        <w:t>алармена система, която позволява на пътниците, членовете на екипажа и обслужващия персонал да сигнализират на командването и екипажа на плавателния съд.</w:t>
      </w:r>
    </w:p>
    <w:p w:rsidR="00973DAA" w:rsidRPr="009072DA" w:rsidRDefault="00973DAA" w:rsidP="00B72823">
      <w:pPr>
        <w:pStyle w:val="ESletpar"/>
        <w:rPr>
          <w:rFonts w:eastAsia="Calibri" w:cs="Arial"/>
          <w:szCs w:val="18"/>
          <w:lang w:val="bg-BG"/>
        </w:rPr>
      </w:pPr>
      <w:r w:rsidRPr="009072DA">
        <w:rPr>
          <w:lang w:val="bg-BG"/>
        </w:rPr>
        <w:t>Този алармен сигнал следва да се дава само в пространствата, предназначени за командването и екипажа на плавателния съд. Следва да е възможно единствено за командването на плавателния съд да спира алармата. Алармената система трябва да може да бъде задействана най-малко от следните места:</w:t>
      </w:r>
    </w:p>
    <w:p w:rsidR="00973DAA" w:rsidRPr="009072DA" w:rsidRDefault="0029453D" w:rsidP="00B72823">
      <w:pPr>
        <w:pStyle w:val="EStiret"/>
        <w:rPr>
          <w:rFonts w:eastAsia="Calibri" w:cs="Arial"/>
          <w:noProof w:val="0"/>
          <w:szCs w:val="18"/>
          <w:lang w:val="bg-BG"/>
        </w:rPr>
      </w:pPr>
      <w:r w:rsidRPr="009072DA">
        <w:rPr>
          <w:noProof w:val="0"/>
          <w:lang w:val="bg-BG"/>
        </w:rPr>
        <w:t>aa)</w:t>
      </w:r>
      <w:r w:rsidRPr="009072DA">
        <w:rPr>
          <w:noProof w:val="0"/>
          <w:lang w:val="bg-BG"/>
        </w:rPr>
        <w:tab/>
        <w:t>от всяка каюта;</w:t>
      </w:r>
    </w:p>
    <w:p w:rsidR="00B72823" w:rsidRPr="009072DA" w:rsidRDefault="00B72823" w:rsidP="00B72823">
      <w:pPr>
        <w:pStyle w:val="EStiret"/>
        <w:rPr>
          <w:rFonts w:eastAsia="Calibri"/>
          <w:noProof w:val="0"/>
          <w:lang w:val="bg-BG"/>
        </w:rPr>
      </w:pPr>
    </w:p>
    <w:p w:rsidR="00B72823" w:rsidRPr="009072DA" w:rsidRDefault="00B72823" w:rsidP="00B72823">
      <w:pPr>
        <w:pStyle w:val="EStiret"/>
        <w:rPr>
          <w:rFonts w:eastAsia="Calibri"/>
          <w:noProof w:val="0"/>
          <w:lang w:val="bg-BG"/>
        </w:rPr>
      </w:pPr>
      <w:r w:rsidRPr="009072DA">
        <w:rPr>
          <w:noProof w:val="0"/>
          <w:lang w:val="bg-BG"/>
        </w:rPr>
        <w:br w:type="page"/>
      </w:r>
    </w:p>
    <w:p w:rsidR="00973DAA" w:rsidRPr="009072DA" w:rsidRDefault="00973DAA" w:rsidP="00B72823">
      <w:pPr>
        <w:pStyle w:val="EStiret"/>
        <w:rPr>
          <w:rFonts w:eastAsia="Calibri" w:cs="Arial"/>
          <w:noProof w:val="0"/>
          <w:szCs w:val="18"/>
          <w:lang w:val="bg-BG"/>
        </w:rPr>
      </w:pPr>
      <w:r w:rsidRPr="009072DA">
        <w:rPr>
          <w:noProof w:val="0"/>
          <w:lang w:val="bg-BG"/>
        </w:rPr>
        <w:lastRenderedPageBreak/>
        <w:t>бб)</w:t>
      </w:r>
      <w:r w:rsidRPr="009072DA">
        <w:rPr>
          <w:noProof w:val="0"/>
          <w:lang w:val="bg-BG"/>
        </w:rPr>
        <w:tab/>
        <w:t>от коридорите, асансьорите и стълбищните шахти, като разстоянието до най-близкия задействащ бутон не е повече от 10 m и поне по един такъв има във всеки водонепроницаем отсек;</w:t>
      </w:r>
    </w:p>
    <w:p w:rsidR="00973DAA" w:rsidRPr="009072DA" w:rsidRDefault="00973DAA" w:rsidP="00B72823">
      <w:pPr>
        <w:pStyle w:val="EStiret"/>
        <w:rPr>
          <w:rFonts w:eastAsia="Calibri" w:cs="Arial"/>
          <w:noProof w:val="0"/>
          <w:szCs w:val="18"/>
          <w:lang w:val="bg-BG"/>
        </w:rPr>
      </w:pPr>
      <w:r w:rsidRPr="009072DA">
        <w:rPr>
          <w:noProof w:val="0"/>
          <w:lang w:val="bg-BG"/>
        </w:rPr>
        <w:t>вв)</w:t>
      </w:r>
      <w:r w:rsidRPr="009072DA">
        <w:rPr>
          <w:noProof w:val="0"/>
          <w:lang w:val="bg-BG"/>
        </w:rPr>
        <w:tab/>
        <w:t>от салоните, трапезариите и подобни помещения за отдих;</w:t>
      </w:r>
    </w:p>
    <w:p w:rsidR="00973DAA" w:rsidRPr="009072DA" w:rsidRDefault="00973DAA" w:rsidP="00B72823">
      <w:pPr>
        <w:pStyle w:val="EStiret"/>
        <w:rPr>
          <w:rFonts w:eastAsia="Calibri" w:cs="Arial"/>
          <w:noProof w:val="0"/>
          <w:szCs w:val="18"/>
          <w:lang w:val="bg-BG"/>
        </w:rPr>
      </w:pPr>
      <w:r w:rsidRPr="009072DA">
        <w:rPr>
          <w:noProof w:val="0"/>
          <w:lang w:val="bg-BG"/>
        </w:rPr>
        <w:t>гг)</w:t>
      </w:r>
      <w:r w:rsidRPr="009072DA">
        <w:rPr>
          <w:noProof w:val="0"/>
          <w:lang w:val="bg-BG"/>
        </w:rPr>
        <w:tab/>
        <w:t>от тоалетните, предназначени за ползване от лица с намалена подвижност;</w:t>
      </w:r>
    </w:p>
    <w:p w:rsidR="00973DAA" w:rsidRPr="009072DA" w:rsidRDefault="00973DAA" w:rsidP="00B72823">
      <w:pPr>
        <w:pStyle w:val="EStiret"/>
        <w:rPr>
          <w:rFonts w:eastAsia="Calibri" w:cs="Arial"/>
          <w:noProof w:val="0"/>
          <w:szCs w:val="18"/>
          <w:lang w:val="bg-BG"/>
        </w:rPr>
      </w:pPr>
      <w:r w:rsidRPr="009072DA">
        <w:rPr>
          <w:noProof w:val="0"/>
          <w:lang w:val="bg-BG"/>
        </w:rPr>
        <w:t>дд)</w:t>
      </w:r>
      <w:r w:rsidRPr="009072DA">
        <w:rPr>
          <w:noProof w:val="0"/>
          <w:lang w:val="bg-BG"/>
        </w:rPr>
        <w:tab/>
        <w:t>от машинните отделения, камбузите и други помещения, където има опасност от пожар;</w:t>
      </w:r>
    </w:p>
    <w:p w:rsidR="00973DAA" w:rsidRPr="009072DA" w:rsidRDefault="00B72823" w:rsidP="00B72823">
      <w:pPr>
        <w:pStyle w:val="EStiret"/>
        <w:rPr>
          <w:rFonts w:eastAsia="Calibri" w:cs="Arial"/>
          <w:noProof w:val="0"/>
          <w:szCs w:val="18"/>
          <w:lang w:val="bg-BG"/>
        </w:rPr>
      </w:pPr>
      <w:r w:rsidRPr="009072DA">
        <w:rPr>
          <w:noProof w:val="0"/>
          <w:lang w:val="bg-BG"/>
        </w:rPr>
        <w:t>ее)</w:t>
      </w:r>
      <w:r w:rsidRPr="009072DA">
        <w:rPr>
          <w:noProof w:val="0"/>
          <w:lang w:val="bg-BG"/>
        </w:rPr>
        <w:tab/>
        <w:t>от хладилните помещения и другите складови помещения.</w:t>
      </w:r>
    </w:p>
    <w:p w:rsidR="00973DAA" w:rsidRPr="009072DA" w:rsidRDefault="00973DAA" w:rsidP="00B72823">
      <w:pPr>
        <w:pStyle w:val="ESletpar"/>
        <w:rPr>
          <w:rFonts w:eastAsia="Calibri" w:cs="Arial"/>
          <w:szCs w:val="18"/>
          <w:lang w:val="bg-BG"/>
        </w:rPr>
      </w:pPr>
      <w:r w:rsidRPr="009072DA">
        <w:rPr>
          <w:lang w:val="bg-BG"/>
        </w:rPr>
        <w:t>Задействащите бутони за алармата се монтират на височина от 0,85 m до 1,10 m над пода;</w:t>
      </w:r>
    </w:p>
    <w:p w:rsidR="00973DAA" w:rsidRPr="009072DA" w:rsidRDefault="005C7859" w:rsidP="00B72823">
      <w:pPr>
        <w:pStyle w:val="ESlet"/>
        <w:rPr>
          <w:rFonts w:eastAsia="Calibri" w:cs="Arial"/>
          <w:szCs w:val="18"/>
          <w:lang w:val="bg-BG"/>
        </w:rPr>
      </w:pPr>
      <w:r w:rsidRPr="009072DA">
        <w:rPr>
          <w:lang w:val="bg-BG"/>
        </w:rPr>
        <w:t>б)</w:t>
      </w:r>
      <w:r w:rsidRPr="009072DA">
        <w:rPr>
          <w:lang w:val="bg-BG"/>
        </w:rPr>
        <w:tab/>
        <w:t>алармена система, позволяваща на командването на плавателния съд да подава предупредителен сигнал до пътниците.</w:t>
      </w:r>
    </w:p>
    <w:p w:rsidR="00973DAA" w:rsidRPr="009072DA" w:rsidRDefault="00973DAA" w:rsidP="00B72823">
      <w:pPr>
        <w:pStyle w:val="ESletpar"/>
        <w:rPr>
          <w:rFonts w:eastAsia="Calibri" w:cs="Arial"/>
          <w:szCs w:val="18"/>
          <w:lang w:val="bg-BG"/>
        </w:rPr>
      </w:pPr>
      <w:r w:rsidRPr="009072DA">
        <w:rPr>
          <w:lang w:val="bg-BG"/>
        </w:rPr>
        <w:t>Този алармен сигнал трябва да се чува ясно и безпогрешно във всички помещения, достъпни за пътниците. Той трябва да може да се задейства от рулевата рубка и от място, в което постоянно има персонал;</w:t>
      </w:r>
    </w:p>
    <w:p w:rsidR="00973DAA" w:rsidRPr="009072DA" w:rsidRDefault="005C7859" w:rsidP="00B72823">
      <w:pPr>
        <w:pStyle w:val="ESlet"/>
        <w:rPr>
          <w:rFonts w:eastAsia="Calibri" w:cs="Arial"/>
          <w:szCs w:val="18"/>
          <w:lang w:val="bg-BG"/>
        </w:rPr>
      </w:pPr>
      <w:r w:rsidRPr="009072DA">
        <w:rPr>
          <w:lang w:val="bg-BG"/>
        </w:rPr>
        <w:t>в)</w:t>
      </w:r>
      <w:r w:rsidRPr="009072DA">
        <w:rPr>
          <w:lang w:val="bg-BG"/>
        </w:rPr>
        <w:tab/>
        <w:t>алармена система, която позволява на командването на плавателния съд да предупреждава екипажа и обслужващия персонал, посочени в член 7.09, точка 1.</w:t>
      </w:r>
    </w:p>
    <w:p w:rsidR="00973DAA" w:rsidRPr="009072DA" w:rsidRDefault="00973DAA" w:rsidP="00B72823">
      <w:pPr>
        <w:pStyle w:val="ESletpar"/>
        <w:rPr>
          <w:rFonts w:eastAsia="Calibri" w:cs="Arial"/>
          <w:szCs w:val="18"/>
          <w:lang w:val="bg-BG"/>
        </w:rPr>
      </w:pPr>
      <w:r w:rsidRPr="009072DA">
        <w:rPr>
          <w:lang w:val="bg-BG"/>
        </w:rPr>
        <w:t>Алармената система трябва да достига също до помещенията за отдих на обслужващия персонал, хладилните помещения и другите складови помещения.</w:t>
      </w:r>
    </w:p>
    <w:p w:rsidR="00B72823" w:rsidRPr="009072DA" w:rsidRDefault="00B72823" w:rsidP="00B72823">
      <w:pPr>
        <w:pStyle w:val="ESchpar"/>
        <w:rPr>
          <w:rFonts w:eastAsia="Calibri"/>
          <w:lang w:val="bg-BG"/>
        </w:rPr>
      </w:pPr>
    </w:p>
    <w:p w:rsidR="00973DAA" w:rsidRPr="009072DA" w:rsidRDefault="00973DAA" w:rsidP="00B72823">
      <w:pPr>
        <w:pStyle w:val="ESchpar"/>
        <w:rPr>
          <w:rFonts w:eastAsia="Calibri" w:cs="Arial"/>
          <w:szCs w:val="18"/>
          <w:lang w:val="bg-BG"/>
        </w:rPr>
      </w:pPr>
      <w:r w:rsidRPr="009072DA">
        <w:rPr>
          <w:lang w:val="bg-BG"/>
        </w:rPr>
        <w:t>Задействащите бутони за алармения сигнал се обезопасяват против случайно включване.</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4.</w:t>
      </w:r>
      <w:r w:rsidRPr="009072DA">
        <w:rPr>
          <w:lang w:val="bg-BG"/>
        </w:rPr>
        <w:tab/>
        <w:t>Всеки водонепроницаем отсек трябва да е оборудван с алармена система за попадане на вода в трюма.</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5.</w:t>
      </w:r>
      <w:r w:rsidRPr="009072DA">
        <w:rPr>
          <w:lang w:val="bg-BG"/>
        </w:rPr>
        <w:tab/>
        <w:t>В трюма трябва да са осигурени две осушителни помпи, задвижвани от двигатели.</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6.</w:t>
      </w:r>
      <w:r w:rsidRPr="009072DA">
        <w:rPr>
          <w:lang w:val="bg-BG"/>
        </w:rPr>
        <w:tab/>
        <w:t>Трябва да е налице система за изпомпване на водата от трюма с неподвижно монтирани тръби.</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7.</w:t>
      </w:r>
      <w:r w:rsidRPr="009072DA">
        <w:rPr>
          <w:lang w:val="bg-BG"/>
        </w:rPr>
        <w:tab/>
        <w:t>Вратите на хладилното помещение, дори и когато са заключени, трябва също да могат да се отворят отвътре.</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8.</w:t>
      </w:r>
      <w:r w:rsidRPr="009072DA">
        <w:rPr>
          <w:lang w:val="bg-BG"/>
        </w:rPr>
        <w:tab/>
        <w:t>Когато под палубата има тръбни системи с СО</w:t>
      </w:r>
      <w:r w:rsidRPr="009072DA">
        <w:rPr>
          <w:vertAlign w:val="subscript"/>
          <w:lang w:val="bg-BG"/>
        </w:rPr>
        <w:t>2</w:t>
      </w:r>
      <w:r w:rsidRPr="009072DA">
        <w:rPr>
          <w:lang w:val="bg-BG"/>
        </w:rPr>
        <w:t xml:space="preserve">, съответните помещения се оборудват с автоматична вентилационна система, която се задейства автоматично, когато бъде </w:t>
      </w:r>
      <w:r w:rsidRPr="009072DA">
        <w:rPr>
          <w:lang w:val="bg-BG"/>
        </w:rPr>
        <w:lastRenderedPageBreak/>
        <w:t>отворена врата или люк на помещението се отвори. Вентилационните тръби трябва да стигат до 0,05 m над пода на помещението.</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9.</w:t>
      </w:r>
      <w:r w:rsidRPr="009072DA">
        <w:rPr>
          <w:lang w:val="bg-BG"/>
        </w:rPr>
        <w:tab/>
        <w:t>В допълнение към комплекта за първа помощ, упоменат в член 13.02, точка 2, буква е), трябва да са осигурени още комплекти за първа помощ в достатъчни количества. Комплектите за първа помощ и тяхното съхранение трябва да съответстват на изискванията, установени в член 13.02, точка 2, буква е).</w:t>
      </w:r>
    </w:p>
    <w:p w:rsidR="00973DAA" w:rsidRPr="009072DA" w:rsidRDefault="00973DAA" w:rsidP="00973DAA">
      <w:pPr>
        <w:pStyle w:val="ESch"/>
        <w:rPr>
          <w:rFonts w:eastAsia="Calibri" w:cs="Arial"/>
          <w:szCs w:val="18"/>
          <w:lang w:val="bg-BG"/>
        </w:rPr>
      </w:pPr>
    </w:p>
    <w:p w:rsidR="00B72823" w:rsidRPr="009072DA" w:rsidRDefault="00B72823" w:rsidP="00973DAA">
      <w:pPr>
        <w:pStyle w:val="ESch"/>
        <w:rPr>
          <w:rFonts w:eastAsia="Calibri" w:cs="Arial"/>
          <w:szCs w:val="18"/>
          <w:lang w:val="bg-BG"/>
        </w:rPr>
      </w:pPr>
    </w:p>
    <w:p w:rsidR="00973DAA" w:rsidRPr="009072DA" w:rsidRDefault="00973DAA" w:rsidP="00B72823">
      <w:pPr>
        <w:pStyle w:val="ES-Titre3"/>
        <w:rPr>
          <w:rFonts w:cs="Arial"/>
          <w:i/>
          <w:szCs w:val="18"/>
          <w:lang w:val="bg-BG"/>
        </w:rPr>
      </w:pPr>
      <w:bookmarkStart w:id="361" w:name="_Toc491854178"/>
      <w:bookmarkStart w:id="362" w:name="_Toc535827619"/>
      <w:r w:rsidRPr="009072DA">
        <w:rPr>
          <w:lang w:val="bg-BG"/>
        </w:rPr>
        <w:t>Член 19.09</w:t>
      </w:r>
      <w:r w:rsidRPr="009072DA">
        <w:rPr>
          <w:lang w:val="bg-BG"/>
        </w:rPr>
        <w:br/>
      </w:r>
      <w:r w:rsidRPr="009072DA">
        <w:rPr>
          <w:i/>
          <w:lang w:val="bg-BG"/>
        </w:rPr>
        <w:t>Спасително оборудване</w:t>
      </w:r>
      <w:bookmarkEnd w:id="361"/>
      <w:bookmarkEnd w:id="362"/>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w:t>
      </w:r>
      <w:r w:rsidRPr="009072DA">
        <w:rPr>
          <w:lang w:val="bg-BG"/>
        </w:rPr>
        <w:tab/>
        <w:t>В допълнение към спасителните кръгове, посочени в член 13.08, точка 1, всички части на палубата, които са предназначени за пътници и не са закрити, трябва да са оборудвани с подходящи спасителни кръгове, които трябва да са разположени от двете страни на съда, на разстояние не повече от 20 m един от друг. Спасителните кръгове се считат за подходящи ако са съобразени с:</w:t>
      </w:r>
    </w:p>
    <w:p w:rsidR="00973DAA" w:rsidRPr="009072DA" w:rsidRDefault="00973DAA" w:rsidP="00B72823">
      <w:pPr>
        <w:pStyle w:val="ESlet"/>
        <w:rPr>
          <w:rFonts w:eastAsia="Calibri" w:cs="Arial"/>
          <w:szCs w:val="18"/>
          <w:lang w:val="bg-BG"/>
        </w:rPr>
      </w:pPr>
      <w:r w:rsidRPr="009072DA">
        <w:rPr>
          <w:lang w:val="bg-BG"/>
        </w:rPr>
        <w:t>-</w:t>
      </w:r>
      <w:r w:rsidRPr="009072DA">
        <w:rPr>
          <w:lang w:val="bg-BG"/>
        </w:rPr>
        <w:tab/>
        <w:t>Европейски стандарт EN 14144 : 2003; или</w:t>
      </w:r>
    </w:p>
    <w:p w:rsidR="00973DAA" w:rsidRPr="009072DA" w:rsidRDefault="00973DAA" w:rsidP="00B72823">
      <w:pPr>
        <w:pStyle w:val="ESlet"/>
        <w:rPr>
          <w:rFonts w:eastAsia="Calibri"/>
          <w:lang w:val="bg-BG"/>
        </w:rPr>
      </w:pPr>
      <w:r w:rsidRPr="009072DA">
        <w:rPr>
          <w:lang w:val="bg-BG"/>
        </w:rPr>
        <w:t>-</w:t>
      </w:r>
      <w:r w:rsidRPr="009072DA">
        <w:rPr>
          <w:lang w:val="bg-BG"/>
        </w:rPr>
        <w:tab/>
        <w:t>Международната конвенцията за безопасност на човешкия живот на море (Конвенция SOLAS от 1974 г.), глава III, правило 7.1 и Международния кодекс за спасителните средства, параграф 2.1.</w:t>
      </w:r>
    </w:p>
    <w:p w:rsidR="00B72823" w:rsidRPr="009072DA" w:rsidRDefault="00B72823" w:rsidP="00B72823">
      <w:pPr>
        <w:pStyle w:val="ESch"/>
        <w:rPr>
          <w:rFonts w:eastAsia="Calibri"/>
          <w:lang w:val="bg-BG"/>
        </w:rPr>
      </w:pPr>
    </w:p>
    <w:p w:rsidR="00B72823" w:rsidRPr="009072DA" w:rsidRDefault="00B72823" w:rsidP="00B72823">
      <w:pPr>
        <w:pStyle w:val="ESch"/>
        <w:rPr>
          <w:rFonts w:eastAsia="Calibri"/>
          <w:lang w:val="bg-BG"/>
        </w:rPr>
      </w:pPr>
    </w:p>
    <w:p w:rsidR="00B72823" w:rsidRPr="009072DA" w:rsidRDefault="00B72823" w:rsidP="00B72823">
      <w:pPr>
        <w:pStyle w:val="ESch"/>
        <w:rPr>
          <w:rFonts w:eastAsia="Calibri" w:cs="Arial"/>
          <w:szCs w:val="18"/>
          <w:lang w:val="bg-BG"/>
        </w:rPr>
      </w:pPr>
    </w:p>
    <w:p w:rsidR="00B72823" w:rsidRPr="009072DA" w:rsidRDefault="00B72823" w:rsidP="00973DAA">
      <w:pPr>
        <w:pStyle w:val="ESch"/>
        <w:rPr>
          <w:rFonts w:eastAsia="Calibri"/>
          <w:lang w:val="bg-BG"/>
        </w:rPr>
      </w:pPr>
      <w:r w:rsidRPr="009072DA">
        <w:rPr>
          <w:lang w:val="bg-BG"/>
        </w:rPr>
        <w:br w:type="page"/>
      </w:r>
    </w:p>
    <w:p w:rsidR="00973DAA" w:rsidRPr="009072DA" w:rsidRDefault="00973DAA" w:rsidP="00B72823">
      <w:pPr>
        <w:pStyle w:val="ESchpar"/>
        <w:rPr>
          <w:rFonts w:eastAsia="Calibri" w:cs="Arial"/>
          <w:szCs w:val="18"/>
          <w:lang w:val="bg-BG"/>
        </w:rPr>
      </w:pPr>
      <w:r w:rsidRPr="009072DA">
        <w:rPr>
          <w:lang w:val="bg-BG"/>
        </w:rPr>
        <w:lastRenderedPageBreak/>
        <w:t>Половината от предписаните кръгове се оборудват с плаващо въже с дължина не по-малко от 30 m и диаметър от 8 до 11 mm. Останалата част от предписаните кръгове трябва да са оборудвани с автоматично включваща се светлина, захранвана от батерии, която не загасва във вода.</w:t>
      </w:r>
    </w:p>
    <w:p w:rsidR="00B72823" w:rsidRPr="009072DA" w:rsidRDefault="00B72823" w:rsidP="00973DAA">
      <w:pPr>
        <w:pStyle w:val="ESch"/>
        <w:rPr>
          <w:rFonts w:eastAsia="Calibri"/>
          <w:lang w:val="bg-BG"/>
        </w:rPr>
      </w:pPr>
    </w:p>
    <w:p w:rsidR="00973DAA" w:rsidRPr="009072DA" w:rsidRDefault="00B72823" w:rsidP="00973DAA">
      <w:pPr>
        <w:pStyle w:val="ESch"/>
        <w:rPr>
          <w:rFonts w:eastAsia="Calibri" w:cs="Arial"/>
          <w:szCs w:val="18"/>
          <w:lang w:val="bg-BG"/>
        </w:rPr>
      </w:pPr>
      <w:r w:rsidRPr="009072DA">
        <w:rPr>
          <w:lang w:val="bg-BG"/>
        </w:rPr>
        <w:t>2.</w:t>
      </w:r>
      <w:r w:rsidRPr="009072DA">
        <w:rPr>
          <w:lang w:val="bg-BG"/>
        </w:rPr>
        <w:tab/>
        <w:t>Освен спасителните кръгове, посочени в точка 1, на разположение на целия обслужващ персонал трябва да има лично спасително оборудване в съответствие с член 13.08, точка 2. За обслужващия персонал, който не е отговорен за изпълняване на задължения съгласно разписанието по безопасността, се разрешават ненадуваеми или полуавтоматично надуваеми спасителни жилетки в съответствие със стандартите, посочени в член 13.08, точка 2.</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3.</w:t>
      </w:r>
      <w:r w:rsidRPr="009072DA">
        <w:rPr>
          <w:lang w:val="bg-BG"/>
        </w:rPr>
        <w:tab/>
        <w:t>Пътническите плавателни съдове трябва да имат оборудване, позволяващо хората безопасно да бъдат прехвърляни в плитки води, на брега или на друго плавателното средство.</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4.</w:t>
      </w:r>
      <w:r w:rsidRPr="009072DA">
        <w:rPr>
          <w:lang w:val="bg-BG"/>
        </w:rPr>
        <w:tab/>
        <w:t>В допълнение към спасителното оборудване, посочено в точки 1 и 2, личното спасително оборудване съгласно член 13.08, точка 2 трябва да е на разположение за 100 % от максимално допустимия брой пътници. Разрешават се също ненадуваеми или полуавтоматично надуваеми спасителни жилетки в съответствие със стандартите, споменати в член 13.08, точка 2.</w:t>
      </w:r>
    </w:p>
    <w:p w:rsidR="00973DAA" w:rsidRPr="009072DA" w:rsidRDefault="00973DAA" w:rsidP="00973DAA">
      <w:pPr>
        <w:pStyle w:val="ESch"/>
        <w:rPr>
          <w:rFonts w:eastAsia="Calibri" w:cs="Arial"/>
          <w:szCs w:val="18"/>
          <w:lang w:val="bg-BG"/>
        </w:rPr>
      </w:pPr>
    </w:p>
    <w:p w:rsidR="00973DAA" w:rsidRPr="009072DA" w:rsidRDefault="00973DAA" w:rsidP="00973DAA">
      <w:pPr>
        <w:pStyle w:val="ESch"/>
        <w:rPr>
          <w:rFonts w:eastAsia="Calibri" w:cs="Arial"/>
          <w:szCs w:val="18"/>
          <w:lang w:val="bg-BG"/>
        </w:rPr>
      </w:pPr>
      <w:r w:rsidRPr="009072DA">
        <w:rPr>
          <w:lang w:val="bg-BG"/>
        </w:rPr>
        <w:t>5.</w:t>
      </w:r>
      <w:r w:rsidRPr="009072DA">
        <w:rPr>
          <w:lang w:val="bg-BG"/>
        </w:rPr>
        <w:tab/>
        <w:t>Терминът „колективни спасителни средства“ обхваща корабните лодки съгласно член 13.07 и спасителни салове.</w:t>
      </w:r>
    </w:p>
    <w:p w:rsidR="00B72823" w:rsidRPr="009072DA" w:rsidRDefault="00B72823" w:rsidP="00973DAA">
      <w:pPr>
        <w:pStyle w:val="ESch"/>
        <w:rPr>
          <w:rFonts w:eastAsia="Calibri"/>
          <w:lang w:val="bg-BG"/>
        </w:rPr>
      </w:pPr>
    </w:p>
    <w:p w:rsidR="00973DAA" w:rsidRPr="009072DA" w:rsidRDefault="00973DAA" w:rsidP="00B72823">
      <w:pPr>
        <w:pStyle w:val="ESchpar"/>
        <w:rPr>
          <w:rFonts w:eastAsia="Calibri" w:cs="Arial"/>
          <w:szCs w:val="18"/>
          <w:lang w:val="bg-BG"/>
        </w:rPr>
      </w:pPr>
      <w:r w:rsidRPr="009072DA">
        <w:rPr>
          <w:lang w:val="bg-BG"/>
        </w:rPr>
        <w:t>Спасителните салове:</w:t>
      </w:r>
    </w:p>
    <w:p w:rsidR="00973DAA" w:rsidRPr="009072DA" w:rsidRDefault="005C7859" w:rsidP="00B72823">
      <w:pPr>
        <w:pStyle w:val="ESlet"/>
        <w:rPr>
          <w:rFonts w:eastAsia="Calibri" w:cs="Arial"/>
          <w:szCs w:val="18"/>
          <w:lang w:val="bg-BG"/>
        </w:rPr>
      </w:pPr>
      <w:r w:rsidRPr="009072DA">
        <w:rPr>
          <w:lang w:val="bg-BG"/>
        </w:rPr>
        <w:t>a)</w:t>
      </w:r>
      <w:r w:rsidRPr="009072DA">
        <w:rPr>
          <w:lang w:val="bg-BG"/>
        </w:rPr>
        <w:tab/>
        <w:t>имат табелка, посочваща предназначението им и броя лица, за който са одобрени;</w:t>
      </w:r>
    </w:p>
    <w:p w:rsidR="00973DAA" w:rsidRPr="009072DA" w:rsidRDefault="005C7859" w:rsidP="00B72823">
      <w:pPr>
        <w:pStyle w:val="ESlet"/>
        <w:rPr>
          <w:rFonts w:eastAsia="Calibri" w:cs="Arial"/>
          <w:szCs w:val="18"/>
          <w:lang w:val="bg-BG"/>
        </w:rPr>
      </w:pPr>
      <w:r w:rsidRPr="009072DA">
        <w:rPr>
          <w:lang w:val="bg-BG"/>
        </w:rPr>
        <w:t>б)</w:t>
      </w:r>
      <w:r w:rsidRPr="009072DA">
        <w:rPr>
          <w:lang w:val="bg-BG"/>
        </w:rPr>
        <w:tab/>
        <w:t>предлагат достатъчно места за сядане за допустимия брой лица;</w:t>
      </w:r>
    </w:p>
    <w:p w:rsidR="00973DAA" w:rsidRPr="009072DA" w:rsidRDefault="005C7859" w:rsidP="00B72823">
      <w:pPr>
        <w:pStyle w:val="ESlet"/>
        <w:rPr>
          <w:rFonts w:eastAsia="Calibri" w:cs="Arial"/>
          <w:szCs w:val="18"/>
          <w:lang w:val="bg-BG"/>
        </w:rPr>
      </w:pPr>
      <w:r w:rsidRPr="009072DA">
        <w:rPr>
          <w:lang w:val="bg-BG"/>
        </w:rPr>
        <w:t>в)</w:t>
      </w:r>
      <w:r w:rsidRPr="009072DA">
        <w:rPr>
          <w:lang w:val="bg-BG"/>
        </w:rPr>
        <w:tab/>
        <w:t>осигуряват плавателност от най-малко 750 N на човек в сладки води;</w:t>
      </w:r>
    </w:p>
    <w:p w:rsidR="00973DAA" w:rsidRPr="009072DA" w:rsidRDefault="0029453D" w:rsidP="00B72823">
      <w:pPr>
        <w:pStyle w:val="ESlet"/>
        <w:rPr>
          <w:rFonts w:eastAsia="Calibri" w:cs="Arial"/>
          <w:szCs w:val="18"/>
          <w:lang w:val="bg-BG"/>
        </w:rPr>
      </w:pPr>
      <w:r w:rsidRPr="009072DA">
        <w:rPr>
          <w:lang w:val="bg-BG"/>
        </w:rPr>
        <w:t>г)</w:t>
      </w:r>
      <w:r w:rsidRPr="009072DA">
        <w:rPr>
          <w:lang w:val="bg-BG"/>
        </w:rPr>
        <w:tab/>
        <w:t>разполагат с въже, свързано с пътническия плавателен съд, за да не ги отнася течението;</w:t>
      </w:r>
    </w:p>
    <w:p w:rsidR="00973DAA" w:rsidRPr="009072DA" w:rsidRDefault="0029453D" w:rsidP="00B72823">
      <w:pPr>
        <w:pStyle w:val="ESlet"/>
        <w:rPr>
          <w:rFonts w:eastAsia="Calibri" w:cs="Arial"/>
          <w:szCs w:val="18"/>
          <w:lang w:val="bg-BG"/>
        </w:rPr>
      </w:pPr>
      <w:r w:rsidRPr="009072DA">
        <w:rPr>
          <w:lang w:val="bg-BG"/>
        </w:rPr>
        <w:t>д)</w:t>
      </w:r>
      <w:r w:rsidRPr="009072DA">
        <w:rPr>
          <w:lang w:val="bg-BG"/>
        </w:rPr>
        <w:tab/>
        <w:t>са произведени от подходящи материали и са устойчиви на нефт, нефтени продукти и температури до 50 °С;</w:t>
      </w:r>
    </w:p>
    <w:p w:rsidR="00973DAA" w:rsidRPr="009072DA" w:rsidRDefault="0029453D" w:rsidP="00B72823">
      <w:pPr>
        <w:pStyle w:val="ESlet"/>
        <w:rPr>
          <w:rFonts w:eastAsia="Calibri" w:cs="Arial"/>
          <w:szCs w:val="18"/>
          <w:lang w:val="bg-BG"/>
        </w:rPr>
      </w:pPr>
      <w:r w:rsidRPr="009072DA">
        <w:rPr>
          <w:lang w:val="bg-BG"/>
        </w:rPr>
        <w:t>е)</w:t>
      </w:r>
      <w:r w:rsidRPr="009072DA">
        <w:rPr>
          <w:lang w:val="bg-BG"/>
        </w:rPr>
        <w:tab/>
        <w:t>заемат и поддържат стабилно равновесие и във връзка с това са снабдени с подходящи устройства, позволяващи за тях да се хващат посоченият брой лица;</w:t>
      </w:r>
    </w:p>
    <w:p w:rsidR="00973DAA" w:rsidRPr="009072DA" w:rsidRDefault="0029453D" w:rsidP="00B72823">
      <w:pPr>
        <w:pStyle w:val="ESlet"/>
        <w:rPr>
          <w:rFonts w:eastAsia="Calibri" w:cs="Arial"/>
          <w:szCs w:val="18"/>
          <w:lang w:val="bg-BG"/>
        </w:rPr>
      </w:pPr>
      <w:r w:rsidRPr="009072DA">
        <w:rPr>
          <w:lang w:val="bg-BG"/>
        </w:rPr>
        <w:t>ж)</w:t>
      </w:r>
      <w:r w:rsidRPr="009072DA">
        <w:rPr>
          <w:lang w:val="bg-BG"/>
        </w:rPr>
        <w:tab/>
        <w:t>са боядисани във флуоресцентен оранжев цвят или имат флуоресцентни повърхности, видими от всички страни, с  площ не по-малко от 100 сm</w:t>
      </w:r>
      <w:r w:rsidRPr="009072DA">
        <w:rPr>
          <w:vertAlign w:val="superscript"/>
          <w:lang w:val="bg-BG"/>
        </w:rPr>
        <w:t>2</w:t>
      </w:r>
      <w:r w:rsidRPr="009072DA">
        <w:rPr>
          <w:lang w:val="bg-BG"/>
        </w:rPr>
        <w:t>;</w:t>
      </w:r>
    </w:p>
    <w:p w:rsidR="00973DAA" w:rsidRPr="009072DA" w:rsidRDefault="0029453D" w:rsidP="00B72823">
      <w:pPr>
        <w:pStyle w:val="ESlet"/>
        <w:rPr>
          <w:rFonts w:eastAsia="Calibri" w:cs="Arial"/>
          <w:szCs w:val="18"/>
          <w:lang w:val="bg-BG"/>
        </w:rPr>
      </w:pPr>
      <w:r w:rsidRPr="009072DA">
        <w:rPr>
          <w:lang w:val="bg-BG"/>
        </w:rPr>
        <w:lastRenderedPageBreak/>
        <w:t>з)</w:t>
      </w:r>
      <w:r w:rsidRPr="009072DA">
        <w:rPr>
          <w:lang w:val="bg-BG"/>
        </w:rPr>
        <w:tab/>
        <w:t>са такива, че да могат да бъдат извадени от мястото си на съхранение и прехвърлени зад борда бързо и безопасно от един човек или да могат да започнат да плават свободно направо от мястото си на съхранение;</w:t>
      </w:r>
    </w:p>
    <w:p w:rsidR="00973DAA" w:rsidRPr="009072DA" w:rsidRDefault="0029453D" w:rsidP="00B72823">
      <w:pPr>
        <w:pStyle w:val="ESlet"/>
        <w:rPr>
          <w:rFonts w:eastAsia="Calibri" w:cs="Arial"/>
          <w:szCs w:val="18"/>
          <w:lang w:val="bg-BG"/>
        </w:rPr>
      </w:pPr>
      <w:r w:rsidRPr="009072DA">
        <w:rPr>
          <w:lang w:val="bg-BG"/>
        </w:rPr>
        <w:t>и)</w:t>
      </w:r>
      <w:r w:rsidRPr="009072DA">
        <w:rPr>
          <w:lang w:val="bg-BG"/>
        </w:rPr>
        <w:tab/>
        <w:t>са оборудвани със съответни средства за евакуация от пунктовете за евакуация, посочени в член 19.06, точка 8, към спасителните салове, в случай че вертикалното разстояние между палубата и пунктовете за евакуация и равнината на максималното газене е по-голямо от 1 m.</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6.</w:t>
      </w:r>
      <w:r w:rsidRPr="009072DA">
        <w:rPr>
          <w:lang w:val="bg-BG"/>
        </w:rPr>
        <w:tab/>
        <w:t>Допълнителните колективни спасителни средства са елементи от спасителното оборудване, които осигуряват плавателност за няколко лица във водата. Те:</w:t>
      </w:r>
    </w:p>
    <w:p w:rsidR="00973DAA" w:rsidRPr="009072DA" w:rsidRDefault="005C7859" w:rsidP="00B72823">
      <w:pPr>
        <w:pStyle w:val="ESlet"/>
        <w:rPr>
          <w:rFonts w:eastAsia="Calibri" w:cs="Arial"/>
          <w:szCs w:val="18"/>
          <w:lang w:val="bg-BG"/>
        </w:rPr>
      </w:pPr>
      <w:r w:rsidRPr="009072DA">
        <w:rPr>
          <w:lang w:val="bg-BG"/>
        </w:rPr>
        <w:t>a)</w:t>
      </w:r>
      <w:r w:rsidRPr="009072DA">
        <w:rPr>
          <w:lang w:val="bg-BG"/>
        </w:rPr>
        <w:tab/>
        <w:t>имат табелка, посочваща предназначението им и броя лица, за който са одобрени;</w:t>
      </w:r>
    </w:p>
    <w:p w:rsidR="00973DAA" w:rsidRPr="009072DA" w:rsidRDefault="005C7859" w:rsidP="00B72823">
      <w:pPr>
        <w:pStyle w:val="ESlet"/>
        <w:rPr>
          <w:rFonts w:eastAsia="Calibri" w:cs="Arial"/>
          <w:szCs w:val="18"/>
          <w:lang w:val="bg-BG"/>
        </w:rPr>
      </w:pPr>
      <w:r w:rsidRPr="009072DA">
        <w:rPr>
          <w:lang w:val="bg-BG"/>
        </w:rPr>
        <w:t>б)</w:t>
      </w:r>
      <w:r w:rsidRPr="009072DA">
        <w:rPr>
          <w:lang w:val="bg-BG"/>
        </w:rPr>
        <w:tab/>
        <w:t>осигуряват плавателност от най-малко 100 N на човек в сладки води;</w:t>
      </w:r>
    </w:p>
    <w:p w:rsidR="00973DAA" w:rsidRPr="009072DA" w:rsidRDefault="005C7859" w:rsidP="00B72823">
      <w:pPr>
        <w:pStyle w:val="ESlet"/>
        <w:rPr>
          <w:rFonts w:eastAsia="Calibri"/>
          <w:lang w:val="bg-BG"/>
        </w:rPr>
      </w:pPr>
      <w:r w:rsidRPr="009072DA">
        <w:rPr>
          <w:lang w:val="bg-BG"/>
        </w:rPr>
        <w:t>в)</w:t>
      </w:r>
      <w:r w:rsidRPr="009072DA">
        <w:rPr>
          <w:lang w:val="bg-BG"/>
        </w:rPr>
        <w:tab/>
        <w:t>са произведени от подходящи материали и устойчиви на нефт, нефтени продукти и температури до 50 °С;</w:t>
      </w:r>
    </w:p>
    <w:p w:rsidR="00B72823" w:rsidRPr="009072DA" w:rsidRDefault="00B72823" w:rsidP="00B72823">
      <w:pPr>
        <w:pStyle w:val="ESlet"/>
        <w:rPr>
          <w:rFonts w:eastAsia="Calibri"/>
          <w:lang w:val="bg-BG"/>
        </w:rPr>
      </w:pPr>
    </w:p>
    <w:p w:rsidR="00B72823" w:rsidRPr="009072DA" w:rsidRDefault="00B72823" w:rsidP="00B72823">
      <w:pPr>
        <w:pStyle w:val="ESlet"/>
        <w:rPr>
          <w:rFonts w:eastAsia="Calibri" w:cs="Arial"/>
          <w:szCs w:val="18"/>
          <w:lang w:val="bg-BG"/>
        </w:rPr>
      </w:pPr>
    </w:p>
    <w:p w:rsidR="00B72823" w:rsidRPr="009072DA" w:rsidRDefault="00B72823" w:rsidP="00B72823">
      <w:pPr>
        <w:pStyle w:val="ESlet"/>
        <w:rPr>
          <w:rFonts w:eastAsia="Calibri"/>
          <w:lang w:val="bg-BG"/>
        </w:rPr>
      </w:pPr>
      <w:r w:rsidRPr="009072DA">
        <w:rPr>
          <w:lang w:val="bg-BG"/>
        </w:rPr>
        <w:br w:type="page"/>
      </w:r>
    </w:p>
    <w:p w:rsidR="00973DAA" w:rsidRPr="009072DA" w:rsidRDefault="0029453D" w:rsidP="00B72823">
      <w:pPr>
        <w:pStyle w:val="ESlet"/>
        <w:rPr>
          <w:rFonts w:eastAsia="Calibri" w:cs="Arial"/>
          <w:szCs w:val="18"/>
          <w:lang w:val="bg-BG"/>
        </w:rPr>
      </w:pPr>
      <w:r w:rsidRPr="009072DA">
        <w:rPr>
          <w:lang w:val="bg-BG"/>
        </w:rPr>
        <w:lastRenderedPageBreak/>
        <w:t>г)</w:t>
      </w:r>
      <w:r w:rsidRPr="009072DA">
        <w:rPr>
          <w:lang w:val="bg-BG"/>
        </w:rPr>
        <w:tab/>
        <w:t>заемат и поддържат стабилно равновесие и във връзка с това са снабдени с подходящи устройства, позволяващи за тях да се хващат посоченият брой лица;</w:t>
      </w:r>
    </w:p>
    <w:p w:rsidR="00973DAA" w:rsidRPr="009072DA" w:rsidRDefault="0029453D" w:rsidP="00B72823">
      <w:pPr>
        <w:pStyle w:val="ESlet"/>
        <w:rPr>
          <w:rFonts w:eastAsia="Calibri" w:cs="Arial"/>
          <w:szCs w:val="18"/>
          <w:lang w:val="bg-BG"/>
        </w:rPr>
      </w:pPr>
      <w:r w:rsidRPr="009072DA">
        <w:rPr>
          <w:lang w:val="bg-BG"/>
        </w:rPr>
        <w:t>д)</w:t>
      </w:r>
      <w:r w:rsidRPr="009072DA">
        <w:rPr>
          <w:lang w:val="bg-BG"/>
        </w:rPr>
        <w:tab/>
        <w:t>са боядисани във флуоресцентен оранжев цвят или имат флуоресцентни повърхности, видими от всички страни, с площ не по-малко от 100 сm</w:t>
      </w:r>
      <w:r w:rsidRPr="009072DA">
        <w:rPr>
          <w:vertAlign w:val="superscript"/>
          <w:lang w:val="bg-BG"/>
        </w:rPr>
        <w:t>2</w:t>
      </w:r>
      <w:r w:rsidRPr="009072DA">
        <w:rPr>
          <w:lang w:val="bg-BG"/>
        </w:rPr>
        <w:t>;</w:t>
      </w:r>
    </w:p>
    <w:p w:rsidR="00973DAA" w:rsidRPr="009072DA" w:rsidRDefault="0029453D" w:rsidP="00B72823">
      <w:pPr>
        <w:pStyle w:val="ESlet"/>
        <w:rPr>
          <w:rFonts w:eastAsia="Calibri" w:cs="Arial"/>
          <w:szCs w:val="18"/>
          <w:lang w:val="bg-BG"/>
        </w:rPr>
      </w:pPr>
      <w:r w:rsidRPr="009072DA">
        <w:rPr>
          <w:lang w:val="bg-BG"/>
        </w:rPr>
        <w:t>е)</w:t>
      </w:r>
      <w:r w:rsidRPr="009072DA">
        <w:rPr>
          <w:lang w:val="bg-BG"/>
        </w:rPr>
        <w:tab/>
        <w:t>са такива, че да могат да бъдат извадени от мястото си на съхранение и хвърлени зад борда бързо и безопасно от един човек или да могат да започнат да плават свободно направо от мястото си на съхранение.</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7.</w:t>
      </w:r>
      <w:r w:rsidRPr="009072DA">
        <w:rPr>
          <w:lang w:val="bg-BG"/>
        </w:rPr>
        <w:tab/>
        <w:t>Освен това надуваемите колективни спасителните средства трябва:</w:t>
      </w:r>
    </w:p>
    <w:p w:rsidR="00973DAA" w:rsidRPr="009072DA" w:rsidRDefault="005C7859" w:rsidP="00B72823">
      <w:pPr>
        <w:pStyle w:val="ESlet"/>
        <w:rPr>
          <w:rFonts w:eastAsia="Calibri" w:cs="Arial"/>
          <w:szCs w:val="18"/>
          <w:lang w:val="bg-BG"/>
        </w:rPr>
      </w:pPr>
      <w:r w:rsidRPr="009072DA">
        <w:rPr>
          <w:lang w:val="bg-BG"/>
        </w:rPr>
        <w:t>a)</w:t>
      </w:r>
      <w:r w:rsidRPr="009072DA">
        <w:rPr>
          <w:lang w:val="bg-BG"/>
        </w:rPr>
        <w:tab/>
        <w:t>да обхващат поне две отделни въздушни камери;</w:t>
      </w:r>
    </w:p>
    <w:p w:rsidR="00973DAA" w:rsidRPr="009072DA" w:rsidRDefault="005C7859" w:rsidP="00B72823">
      <w:pPr>
        <w:pStyle w:val="ESlet"/>
        <w:rPr>
          <w:rFonts w:eastAsia="Calibri" w:cs="Arial"/>
          <w:szCs w:val="18"/>
          <w:lang w:val="bg-BG"/>
        </w:rPr>
      </w:pPr>
      <w:r w:rsidRPr="009072DA">
        <w:rPr>
          <w:lang w:val="bg-BG"/>
        </w:rPr>
        <w:t>б)</w:t>
      </w:r>
      <w:r w:rsidRPr="009072DA">
        <w:rPr>
          <w:lang w:val="bg-BG"/>
        </w:rPr>
        <w:tab/>
        <w:t>да се надуват автоматично или с ръчно задействане при пускане;</w:t>
      </w:r>
    </w:p>
    <w:p w:rsidR="00973DAA" w:rsidRPr="009072DA" w:rsidRDefault="005C7859" w:rsidP="00B72823">
      <w:pPr>
        <w:pStyle w:val="ESlet"/>
        <w:rPr>
          <w:rFonts w:eastAsia="Calibri"/>
          <w:lang w:val="bg-BG"/>
        </w:rPr>
      </w:pPr>
      <w:r w:rsidRPr="009072DA">
        <w:rPr>
          <w:lang w:val="bg-BG"/>
        </w:rPr>
        <w:t>в)</w:t>
      </w:r>
      <w:r w:rsidRPr="009072DA">
        <w:rPr>
          <w:lang w:val="bg-BG"/>
        </w:rPr>
        <w:tab/>
        <w:t>да заемат и поддържат стабилно равновесие независимо от товара, който носят, дори и ако само половината от въздушните камери са надути.</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8.</w:t>
      </w:r>
      <w:r w:rsidRPr="009072DA">
        <w:rPr>
          <w:lang w:val="bg-BG"/>
        </w:rPr>
        <w:tab/>
        <w:t>Спасителните средства се складират на борда по такъв начин, че да могат да се достигат лесно и безопасно при необходимост. Покритите места за съхранение се маркират ясно.</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9.</w:t>
      </w:r>
      <w:r w:rsidRPr="009072DA">
        <w:rPr>
          <w:lang w:val="bg-BG"/>
        </w:rPr>
        <w:tab/>
        <w:t>Спасителното оборудване се проверява съгласно указанията на производителя.</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10.</w:t>
      </w:r>
      <w:r w:rsidRPr="009072DA">
        <w:rPr>
          <w:lang w:val="bg-BG"/>
        </w:rPr>
        <w:tab/>
        <w:t>Корабната лодка се оборудва с двигател и прожектор.</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11.</w:t>
      </w:r>
      <w:r w:rsidRPr="009072DA">
        <w:rPr>
          <w:lang w:val="bg-BG"/>
        </w:rPr>
        <w:tab/>
        <w:t>Трябва да е налична подходяща носилка.</w:t>
      </w:r>
    </w:p>
    <w:p w:rsidR="00973DAA" w:rsidRPr="009072DA" w:rsidRDefault="00973DAA" w:rsidP="00973DAA">
      <w:pPr>
        <w:pStyle w:val="ESch"/>
        <w:rPr>
          <w:rFonts w:eastAsia="Calibri" w:cs="Arial"/>
          <w:szCs w:val="18"/>
          <w:lang w:val="bg-BG"/>
        </w:rPr>
      </w:pPr>
    </w:p>
    <w:p w:rsidR="00B72823" w:rsidRPr="009072DA" w:rsidRDefault="00B72823" w:rsidP="00973DAA">
      <w:pPr>
        <w:pStyle w:val="ESch"/>
        <w:rPr>
          <w:rFonts w:eastAsia="Calibri" w:cs="Arial"/>
          <w:szCs w:val="18"/>
          <w:lang w:val="bg-BG"/>
        </w:rPr>
      </w:pPr>
    </w:p>
    <w:p w:rsidR="00973DAA" w:rsidRPr="009072DA" w:rsidRDefault="00973DAA" w:rsidP="00B72823">
      <w:pPr>
        <w:pStyle w:val="ES-Titre3"/>
        <w:rPr>
          <w:rFonts w:cs="Arial"/>
          <w:i/>
          <w:szCs w:val="18"/>
          <w:lang w:val="bg-BG"/>
        </w:rPr>
      </w:pPr>
      <w:bookmarkStart w:id="363" w:name="_Toc491854179"/>
      <w:bookmarkStart w:id="364" w:name="_Toc535827620"/>
      <w:r w:rsidRPr="009072DA">
        <w:rPr>
          <w:lang w:val="bg-BG"/>
        </w:rPr>
        <w:t>Член 19.10</w:t>
      </w:r>
      <w:r w:rsidRPr="009072DA">
        <w:rPr>
          <w:lang w:val="bg-BG"/>
        </w:rPr>
        <w:br/>
      </w:r>
      <w:r w:rsidRPr="009072DA">
        <w:rPr>
          <w:i/>
          <w:lang w:val="bg-BG"/>
        </w:rPr>
        <w:t>Електрическо оборудване</w:t>
      </w:r>
      <w:bookmarkEnd w:id="363"/>
      <w:bookmarkEnd w:id="364"/>
    </w:p>
    <w:p w:rsidR="00B72823" w:rsidRPr="009072DA" w:rsidRDefault="00B72823" w:rsidP="00973DAA">
      <w:pPr>
        <w:pStyle w:val="ESch"/>
        <w:rPr>
          <w:rFonts w:eastAsia="Calibri"/>
          <w:lang w:val="bg-BG"/>
        </w:rPr>
      </w:pPr>
    </w:p>
    <w:p w:rsidR="00973DAA" w:rsidRPr="009072DA" w:rsidRDefault="00B72823" w:rsidP="00973DAA">
      <w:pPr>
        <w:pStyle w:val="ESch"/>
        <w:rPr>
          <w:rFonts w:eastAsia="Calibri" w:cs="Arial"/>
          <w:szCs w:val="18"/>
          <w:lang w:val="bg-BG"/>
        </w:rPr>
      </w:pPr>
      <w:r w:rsidRPr="009072DA">
        <w:rPr>
          <w:lang w:val="bg-BG"/>
        </w:rPr>
        <w:t>1.</w:t>
      </w:r>
      <w:r w:rsidRPr="009072DA">
        <w:rPr>
          <w:lang w:val="bg-BG"/>
        </w:rPr>
        <w:tab/>
        <w:t>За осветление се допуска само електрическо оборудване.</w:t>
      </w:r>
    </w:p>
    <w:p w:rsidR="00B72823" w:rsidRPr="009072DA" w:rsidRDefault="00B72823" w:rsidP="00973DAA">
      <w:pPr>
        <w:pStyle w:val="ESch"/>
        <w:rPr>
          <w:rFonts w:eastAsia="Calibri"/>
          <w:lang w:val="bg-BG"/>
        </w:rPr>
      </w:pPr>
    </w:p>
    <w:p w:rsidR="00973DAA" w:rsidRPr="009072DA" w:rsidRDefault="00B72823" w:rsidP="00973DAA">
      <w:pPr>
        <w:pStyle w:val="ESch"/>
        <w:rPr>
          <w:rFonts w:eastAsia="Calibri" w:cs="Arial"/>
          <w:szCs w:val="18"/>
          <w:lang w:val="bg-BG"/>
        </w:rPr>
      </w:pPr>
      <w:r w:rsidRPr="009072DA">
        <w:rPr>
          <w:lang w:val="bg-BG"/>
        </w:rPr>
        <w:t>2.</w:t>
      </w:r>
      <w:r w:rsidRPr="009072DA">
        <w:rPr>
          <w:lang w:val="bg-BG"/>
        </w:rPr>
        <w:tab/>
        <w:t>Член 10.16, точка 3 се прилага също за помещения за пътници.</w:t>
      </w:r>
    </w:p>
    <w:p w:rsidR="00E04714" w:rsidRPr="009072DA" w:rsidRDefault="00E04714"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3.</w:t>
      </w:r>
      <w:r w:rsidRPr="009072DA">
        <w:rPr>
          <w:lang w:val="bg-BG"/>
        </w:rPr>
        <w:tab/>
        <w:t>Трябва да е осигурено  достатъчно осветление и аварийно осветление за следните помещения и места:</w:t>
      </w:r>
    </w:p>
    <w:p w:rsidR="00973DAA" w:rsidRPr="009072DA" w:rsidRDefault="005C7859" w:rsidP="00B72823">
      <w:pPr>
        <w:pStyle w:val="ESlet"/>
        <w:rPr>
          <w:rFonts w:eastAsia="Calibri" w:cs="Arial"/>
          <w:szCs w:val="18"/>
          <w:lang w:val="bg-BG"/>
        </w:rPr>
      </w:pPr>
      <w:r w:rsidRPr="009072DA">
        <w:rPr>
          <w:lang w:val="bg-BG"/>
        </w:rPr>
        <w:lastRenderedPageBreak/>
        <w:t>a)</w:t>
      </w:r>
      <w:r w:rsidRPr="009072DA">
        <w:rPr>
          <w:lang w:val="bg-BG"/>
        </w:rPr>
        <w:tab/>
        <w:t>местата, където се съхранява спасителното оборудване и където то обикновено се подготвя за ползване;</w:t>
      </w:r>
    </w:p>
    <w:p w:rsidR="00973DAA" w:rsidRPr="009072DA" w:rsidRDefault="005C7859" w:rsidP="00B72823">
      <w:pPr>
        <w:pStyle w:val="ESlet"/>
        <w:rPr>
          <w:rFonts w:eastAsia="Calibri" w:cs="Arial"/>
          <w:szCs w:val="18"/>
          <w:lang w:val="bg-BG"/>
        </w:rPr>
      </w:pPr>
      <w:r w:rsidRPr="009072DA">
        <w:rPr>
          <w:lang w:val="bg-BG"/>
        </w:rPr>
        <w:t>б)</w:t>
      </w:r>
      <w:r w:rsidRPr="009072DA">
        <w:rPr>
          <w:lang w:val="bg-BG"/>
        </w:rPr>
        <w:tab/>
        <w:t>маршрутите за евакуация, местата за достъп на пътниците, в това число траповете, входовете и изходите, свързващите коридори, асансьорите и вътрешните трапове на жилищните пространства, корабните каюти и жилищните пространства;</w:t>
      </w:r>
    </w:p>
    <w:p w:rsidR="00973DAA" w:rsidRPr="009072DA" w:rsidRDefault="005C7859" w:rsidP="00B72823">
      <w:pPr>
        <w:pStyle w:val="ESlet"/>
        <w:rPr>
          <w:rFonts w:eastAsia="Calibri"/>
          <w:lang w:val="bg-BG"/>
        </w:rPr>
      </w:pPr>
      <w:r w:rsidRPr="009072DA">
        <w:rPr>
          <w:lang w:val="bg-BG"/>
        </w:rPr>
        <w:t>в)</w:t>
      </w:r>
      <w:r w:rsidRPr="009072DA">
        <w:rPr>
          <w:lang w:val="bg-BG"/>
        </w:rPr>
        <w:tab/>
        <w:t>маркировките на маршрутите за евакуация и аварийните изходи;</w:t>
      </w:r>
    </w:p>
    <w:p w:rsidR="00973DAA" w:rsidRPr="009072DA" w:rsidRDefault="0029453D" w:rsidP="00B72823">
      <w:pPr>
        <w:pStyle w:val="ESlet"/>
        <w:rPr>
          <w:rFonts w:eastAsia="Calibri"/>
          <w:lang w:val="bg-BG"/>
        </w:rPr>
      </w:pPr>
      <w:r w:rsidRPr="009072DA">
        <w:rPr>
          <w:lang w:val="bg-BG"/>
        </w:rPr>
        <w:t>г)</w:t>
      </w:r>
      <w:r w:rsidRPr="009072DA">
        <w:rPr>
          <w:lang w:val="bg-BG"/>
        </w:rPr>
        <w:tab/>
        <w:t>в други области, предвидени за ползване от лица с намалена подвижност;</w:t>
      </w:r>
    </w:p>
    <w:p w:rsidR="00973DAA" w:rsidRPr="009072DA" w:rsidRDefault="0029453D" w:rsidP="00B72823">
      <w:pPr>
        <w:pStyle w:val="ESlet"/>
        <w:rPr>
          <w:rFonts w:eastAsia="Calibri"/>
          <w:lang w:val="bg-BG"/>
        </w:rPr>
      </w:pPr>
      <w:r w:rsidRPr="009072DA">
        <w:rPr>
          <w:lang w:val="bg-BG"/>
        </w:rPr>
        <w:t>д)</w:t>
      </w:r>
      <w:r w:rsidRPr="009072DA">
        <w:rPr>
          <w:lang w:val="bg-BG"/>
        </w:rPr>
        <w:tab/>
        <w:t>оперативните рубки, машинните отделения, помещенията на рулевия механизъм и техните изходи;</w:t>
      </w:r>
    </w:p>
    <w:p w:rsidR="00973DAA" w:rsidRPr="009072DA" w:rsidRDefault="0029453D" w:rsidP="00B72823">
      <w:pPr>
        <w:pStyle w:val="ESlet"/>
        <w:rPr>
          <w:rFonts w:eastAsia="Calibri"/>
          <w:lang w:val="bg-BG"/>
        </w:rPr>
      </w:pPr>
      <w:r w:rsidRPr="009072DA">
        <w:rPr>
          <w:lang w:val="bg-BG"/>
        </w:rPr>
        <w:t>е)</w:t>
      </w:r>
      <w:r w:rsidRPr="009072DA">
        <w:rPr>
          <w:lang w:val="bg-BG"/>
        </w:rPr>
        <w:tab/>
        <w:t>рулева рубка;</w:t>
      </w:r>
    </w:p>
    <w:p w:rsidR="00973DAA" w:rsidRPr="009072DA" w:rsidRDefault="0029453D" w:rsidP="002614C4">
      <w:pPr>
        <w:pStyle w:val="ESlet"/>
        <w:rPr>
          <w:rFonts w:eastAsia="Calibri"/>
          <w:lang w:val="bg-BG"/>
        </w:rPr>
      </w:pPr>
      <w:r w:rsidRPr="009072DA">
        <w:rPr>
          <w:lang w:val="bg-BG"/>
        </w:rPr>
        <w:t>ж)</w:t>
      </w:r>
      <w:r w:rsidRPr="009072DA">
        <w:rPr>
          <w:lang w:val="bg-BG"/>
        </w:rPr>
        <w:tab/>
        <w:t>помещението за аварийния източник на електроенергия;</w:t>
      </w:r>
    </w:p>
    <w:p w:rsidR="00973DAA" w:rsidRPr="009072DA" w:rsidRDefault="0029453D" w:rsidP="00B72823">
      <w:pPr>
        <w:pStyle w:val="ESlet"/>
        <w:rPr>
          <w:rFonts w:eastAsia="Calibri"/>
          <w:lang w:val="bg-BG"/>
        </w:rPr>
      </w:pPr>
      <w:r w:rsidRPr="009072DA">
        <w:rPr>
          <w:lang w:val="bg-BG"/>
        </w:rPr>
        <w:t>з)</w:t>
      </w:r>
      <w:r w:rsidRPr="009072DA">
        <w:rPr>
          <w:lang w:val="bg-BG"/>
        </w:rPr>
        <w:tab/>
        <w:t>местата, където се намират пожарогасителите и управлението на противопожарното оборудване;</w:t>
      </w:r>
    </w:p>
    <w:p w:rsidR="00973DAA" w:rsidRPr="009072DA" w:rsidRDefault="0029453D" w:rsidP="00B72823">
      <w:pPr>
        <w:pStyle w:val="ESlet"/>
        <w:rPr>
          <w:rFonts w:eastAsia="Calibri"/>
          <w:lang w:val="bg-BG"/>
        </w:rPr>
      </w:pPr>
      <w:r w:rsidRPr="009072DA">
        <w:rPr>
          <w:lang w:val="bg-BG"/>
        </w:rPr>
        <w:t>и)</w:t>
      </w:r>
      <w:r w:rsidRPr="009072DA">
        <w:rPr>
          <w:lang w:val="bg-BG"/>
        </w:rPr>
        <w:tab/>
        <w:t>местата, където пътниците, обслужващият персонал и екипажът се събират при опасност.</w:t>
      </w:r>
    </w:p>
    <w:p w:rsidR="00B72823" w:rsidRPr="009072DA" w:rsidRDefault="00B72823" w:rsidP="00973DAA">
      <w:pPr>
        <w:pStyle w:val="ESch"/>
        <w:rPr>
          <w:rFonts w:eastAsia="Calibri"/>
          <w:lang w:val="bg-BG"/>
        </w:rPr>
      </w:pPr>
    </w:p>
    <w:p w:rsidR="00B72823" w:rsidRPr="009072DA" w:rsidRDefault="00B72823" w:rsidP="00973DAA">
      <w:pPr>
        <w:pStyle w:val="ESch"/>
        <w:rPr>
          <w:rFonts w:eastAsia="Calibri"/>
          <w:lang w:val="bg-BG"/>
        </w:rPr>
      </w:pPr>
      <w:r w:rsidRPr="009072DA">
        <w:rPr>
          <w:lang w:val="bg-BG"/>
        </w:rPr>
        <w:br w:type="page"/>
      </w:r>
    </w:p>
    <w:p w:rsidR="00973DAA" w:rsidRPr="009072DA" w:rsidRDefault="00973DAA" w:rsidP="00973DAA">
      <w:pPr>
        <w:pStyle w:val="ESch"/>
        <w:rPr>
          <w:rFonts w:eastAsia="Calibri"/>
          <w:lang w:val="bg-BG"/>
        </w:rPr>
      </w:pPr>
      <w:r w:rsidRPr="009072DA">
        <w:rPr>
          <w:lang w:val="bg-BG"/>
        </w:rPr>
        <w:lastRenderedPageBreak/>
        <w:t>4.</w:t>
      </w:r>
      <w:r w:rsidRPr="009072DA">
        <w:rPr>
          <w:lang w:val="bg-BG"/>
        </w:rPr>
        <w:tab/>
        <w:t>Трябва да има авариен захранващ агрегат, състоящ се от авариен източник на електроенергия и аварийно електрическо табло, които да могат да се включат като резервно захранване при отказ на електрозахранването на следното електрическо оборудване, в случай че оборудването няма собствен източник на електроенергия:</w:t>
      </w:r>
    </w:p>
    <w:p w:rsidR="00973DAA" w:rsidRPr="009072DA" w:rsidRDefault="005C7859" w:rsidP="00B72823">
      <w:pPr>
        <w:pStyle w:val="ESlet"/>
        <w:rPr>
          <w:rFonts w:eastAsia="Calibri"/>
          <w:lang w:val="bg-BG"/>
        </w:rPr>
      </w:pPr>
      <w:r w:rsidRPr="009072DA">
        <w:rPr>
          <w:lang w:val="bg-BG"/>
        </w:rPr>
        <w:t>a)</w:t>
      </w:r>
      <w:r w:rsidRPr="009072DA">
        <w:rPr>
          <w:lang w:val="bg-BG"/>
        </w:rPr>
        <w:tab/>
        <w:t>навигационни светлини;</w:t>
      </w:r>
    </w:p>
    <w:p w:rsidR="00973DAA" w:rsidRPr="009072DA" w:rsidRDefault="005C7859" w:rsidP="00B72823">
      <w:pPr>
        <w:pStyle w:val="ESlet"/>
        <w:rPr>
          <w:rFonts w:eastAsia="Calibri"/>
          <w:lang w:val="bg-BG"/>
        </w:rPr>
      </w:pPr>
      <w:r w:rsidRPr="009072DA">
        <w:rPr>
          <w:lang w:val="bg-BG"/>
        </w:rPr>
        <w:t>б)</w:t>
      </w:r>
      <w:r w:rsidRPr="009072DA">
        <w:rPr>
          <w:lang w:val="bg-BG"/>
        </w:rPr>
        <w:tab/>
        <w:t>звукови предупредителни устройства;</w:t>
      </w:r>
    </w:p>
    <w:p w:rsidR="00973DAA" w:rsidRPr="009072DA" w:rsidRDefault="005C7859" w:rsidP="00B72823">
      <w:pPr>
        <w:pStyle w:val="ESlet"/>
        <w:rPr>
          <w:rFonts w:eastAsia="Calibri"/>
          <w:lang w:val="bg-BG"/>
        </w:rPr>
      </w:pPr>
      <w:r w:rsidRPr="009072DA">
        <w:rPr>
          <w:lang w:val="bg-BG"/>
        </w:rPr>
        <w:t>в)</w:t>
      </w:r>
      <w:r w:rsidRPr="009072DA">
        <w:rPr>
          <w:lang w:val="bg-BG"/>
        </w:rPr>
        <w:tab/>
        <w:t>аварийно осветление в съответствие с точка 3;</w:t>
      </w:r>
    </w:p>
    <w:p w:rsidR="00973DAA" w:rsidRPr="009072DA" w:rsidRDefault="0029453D" w:rsidP="00B72823">
      <w:pPr>
        <w:pStyle w:val="ESlet"/>
        <w:rPr>
          <w:rFonts w:eastAsia="Calibri"/>
          <w:lang w:val="bg-BG"/>
        </w:rPr>
      </w:pPr>
      <w:r w:rsidRPr="009072DA">
        <w:rPr>
          <w:lang w:val="bg-BG"/>
        </w:rPr>
        <w:t>г)</w:t>
      </w:r>
      <w:r w:rsidRPr="009072DA">
        <w:rPr>
          <w:lang w:val="bg-BG"/>
        </w:rPr>
        <w:tab/>
        <w:t>радиотелефонни уредби;</w:t>
      </w:r>
    </w:p>
    <w:p w:rsidR="00973DAA" w:rsidRPr="009072DA" w:rsidRDefault="0029453D" w:rsidP="00B72823">
      <w:pPr>
        <w:pStyle w:val="ESlet"/>
        <w:rPr>
          <w:rFonts w:eastAsia="Calibri"/>
          <w:lang w:val="bg-BG"/>
        </w:rPr>
      </w:pPr>
      <w:r w:rsidRPr="009072DA">
        <w:rPr>
          <w:lang w:val="bg-BG"/>
        </w:rPr>
        <w:t>д)</w:t>
      </w:r>
      <w:r w:rsidRPr="009072DA">
        <w:rPr>
          <w:lang w:val="bg-BG"/>
        </w:rPr>
        <w:tab/>
        <w:t>алармена сигнализация, високоговорителни уредби и системи за бордова съобщителна връзка;</w:t>
      </w:r>
    </w:p>
    <w:p w:rsidR="00973DAA" w:rsidRPr="009072DA" w:rsidRDefault="0029453D" w:rsidP="00B72823">
      <w:pPr>
        <w:pStyle w:val="ESlet"/>
        <w:rPr>
          <w:rFonts w:eastAsia="Calibri"/>
          <w:lang w:val="bg-BG"/>
        </w:rPr>
      </w:pPr>
      <w:r w:rsidRPr="009072DA">
        <w:rPr>
          <w:lang w:val="bg-BG"/>
        </w:rPr>
        <w:t>е)</w:t>
      </w:r>
      <w:r w:rsidRPr="009072DA">
        <w:rPr>
          <w:lang w:val="bg-BG"/>
        </w:rPr>
        <w:tab/>
        <w:t>прожекторите съгласно член 13.02, точка 2, буква и);</w:t>
      </w:r>
    </w:p>
    <w:p w:rsidR="00973DAA" w:rsidRPr="009072DA" w:rsidRDefault="0029453D" w:rsidP="00B72823">
      <w:pPr>
        <w:pStyle w:val="ESlet"/>
        <w:rPr>
          <w:rFonts w:eastAsia="Calibri"/>
          <w:lang w:val="bg-BG"/>
        </w:rPr>
      </w:pPr>
      <w:r w:rsidRPr="009072DA">
        <w:rPr>
          <w:lang w:val="bg-BG"/>
        </w:rPr>
        <w:t>ж)</w:t>
      </w:r>
      <w:r w:rsidRPr="009072DA">
        <w:rPr>
          <w:lang w:val="bg-BG"/>
        </w:rPr>
        <w:tab/>
        <w:t>пожароизвестителна система;</w:t>
      </w:r>
    </w:p>
    <w:p w:rsidR="00973DAA" w:rsidRPr="009072DA" w:rsidRDefault="0029453D" w:rsidP="00B72823">
      <w:pPr>
        <w:pStyle w:val="ESlet"/>
        <w:rPr>
          <w:rFonts w:eastAsia="Calibri"/>
          <w:lang w:val="bg-BG"/>
        </w:rPr>
      </w:pPr>
      <w:r w:rsidRPr="009072DA">
        <w:rPr>
          <w:lang w:val="bg-BG"/>
        </w:rPr>
        <w:t>з)</w:t>
      </w:r>
      <w:r w:rsidRPr="009072DA">
        <w:rPr>
          <w:lang w:val="bg-BG"/>
        </w:rPr>
        <w:tab/>
        <w:t>друго оборудване за безопасност, като автоматичните спринклерни системи под налягане или пожарни помпи;</w:t>
      </w:r>
    </w:p>
    <w:p w:rsidR="00973DAA" w:rsidRPr="009072DA" w:rsidRDefault="0029453D" w:rsidP="00B72823">
      <w:pPr>
        <w:pStyle w:val="ESlet"/>
        <w:rPr>
          <w:rFonts w:eastAsia="Calibri"/>
          <w:lang w:val="bg-BG"/>
        </w:rPr>
      </w:pPr>
      <w:r w:rsidRPr="009072DA">
        <w:rPr>
          <w:lang w:val="bg-BG"/>
        </w:rPr>
        <w:t>и)</w:t>
      </w:r>
      <w:r w:rsidRPr="009072DA">
        <w:rPr>
          <w:lang w:val="bg-BG"/>
        </w:rPr>
        <w:tab/>
        <w:t>асансьори и подемно оборудване по смисъла на член 19.06, точка 9, второ изречение.</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5.</w:t>
      </w:r>
      <w:r w:rsidRPr="009072DA">
        <w:rPr>
          <w:lang w:val="bg-BG"/>
        </w:rPr>
        <w:tab/>
        <w:t>Осветителната инсталация за аварийното осветление се маркира като такава.</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6.</w:t>
      </w:r>
      <w:r w:rsidRPr="009072DA">
        <w:rPr>
          <w:lang w:val="bg-BG"/>
        </w:rPr>
        <w:tab/>
        <w:t>Аварийният захранващ агрегат се монтира извън главното машинно отделение, извън помещенията, в които се помещават източниците на електроенергия, посочени в член 10.02, точка 1, и извън помещението, в което се намира главното разпределително табло; той се отделя от тези помещения с преградни стени съгласно член 19.11, точка 2.</w:t>
      </w:r>
    </w:p>
    <w:p w:rsidR="00B72823" w:rsidRPr="009072DA" w:rsidRDefault="00B72823" w:rsidP="00973DAA">
      <w:pPr>
        <w:pStyle w:val="ESch"/>
        <w:rPr>
          <w:rFonts w:eastAsia="Calibri"/>
          <w:lang w:val="bg-BG"/>
        </w:rPr>
      </w:pPr>
    </w:p>
    <w:p w:rsidR="00973DAA" w:rsidRPr="009072DA" w:rsidRDefault="00973DAA" w:rsidP="00B72823">
      <w:pPr>
        <w:pStyle w:val="ESchpar"/>
        <w:rPr>
          <w:rFonts w:eastAsia="Calibri" w:cs="Arial"/>
          <w:szCs w:val="18"/>
          <w:lang w:val="bg-BG"/>
        </w:rPr>
      </w:pPr>
      <w:r w:rsidRPr="009072DA">
        <w:rPr>
          <w:lang w:val="bg-BG"/>
        </w:rPr>
        <w:t>Кабелите, захранващи електрическата инсталация в извънредна ситуация, се монтират и прокарват по такъв начин, че да поддържат непрекъснатост на захранването на тази инсталация при пожар или наводняване. Тези кабели никога не трябва да преминават през главното машинно отделение, камбузите или помещенията, където са инсталирани основният източник на енергия и неговото свързано оборудване, освен доколкото на тези места е необходимо да бъде осигурено аварийно оборудване.</w:t>
      </w:r>
    </w:p>
    <w:p w:rsidR="00B72823" w:rsidRPr="009072DA" w:rsidRDefault="00B72823" w:rsidP="00B72823">
      <w:pPr>
        <w:pStyle w:val="ESchpar"/>
        <w:rPr>
          <w:rFonts w:eastAsia="Calibri"/>
          <w:lang w:val="bg-BG"/>
        </w:rPr>
      </w:pPr>
    </w:p>
    <w:p w:rsidR="00973DAA" w:rsidRPr="009072DA" w:rsidRDefault="00973DAA" w:rsidP="00B72823">
      <w:pPr>
        <w:pStyle w:val="ESchpar"/>
        <w:rPr>
          <w:rFonts w:eastAsia="Calibri" w:cs="Arial"/>
          <w:szCs w:val="18"/>
          <w:lang w:val="bg-BG"/>
        </w:rPr>
      </w:pPr>
      <w:r w:rsidRPr="009072DA">
        <w:rPr>
          <w:lang w:val="bg-BG"/>
        </w:rPr>
        <w:t>Аварийният захранващ агрегат се инсталира или над пределната линия или колкото е възможно по-далече от източниците на енергия съгласно член 10.02, точка 1, така че да се гарантира, че в случай на наводняване в съответствие с член 19.03, точка 9 той не се наводнява едновременно с тези захранващи източници.</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lastRenderedPageBreak/>
        <w:t>7.</w:t>
      </w:r>
      <w:r w:rsidRPr="009072DA">
        <w:rPr>
          <w:lang w:val="bg-BG"/>
        </w:rPr>
        <w:tab/>
        <w:t>Следното оборудване е допустимо за използване като авариен източник на електроенергия:</w:t>
      </w:r>
    </w:p>
    <w:p w:rsidR="00973DAA" w:rsidRPr="009072DA" w:rsidRDefault="005C7859" w:rsidP="00B72823">
      <w:pPr>
        <w:pStyle w:val="ESlet"/>
        <w:rPr>
          <w:rFonts w:eastAsia="Calibri" w:cs="Arial"/>
          <w:szCs w:val="18"/>
          <w:lang w:val="bg-BG"/>
        </w:rPr>
      </w:pPr>
      <w:r w:rsidRPr="009072DA">
        <w:rPr>
          <w:lang w:val="bg-BG"/>
        </w:rPr>
        <w:t>a)</w:t>
      </w:r>
      <w:r w:rsidRPr="009072DA">
        <w:rPr>
          <w:lang w:val="bg-BG"/>
        </w:rPr>
        <w:tab/>
        <w:t>спомагателни генератори със собствено подаване на гориво и отделна система за охлаждане, които в случай на отказ на електрозахранването да се включат и да поемат снабдяването с енергия в рамките на 30 секунди автоматично, или, ако са в непосредствена близост до рулевата рубка или друго място, в което постоянно работят членове на екипажа, да могат да се включват и ръчно; или</w:t>
      </w:r>
    </w:p>
    <w:p w:rsidR="00973DAA" w:rsidRPr="009072DA" w:rsidRDefault="005C7859" w:rsidP="00B72823">
      <w:pPr>
        <w:pStyle w:val="ESlet"/>
        <w:rPr>
          <w:rFonts w:eastAsia="Calibri" w:cs="Arial"/>
          <w:szCs w:val="18"/>
          <w:lang w:val="bg-BG"/>
        </w:rPr>
      </w:pPr>
      <w:r w:rsidRPr="009072DA">
        <w:rPr>
          <w:lang w:val="bg-BG"/>
        </w:rPr>
        <w:t>б)</w:t>
      </w:r>
      <w:r w:rsidRPr="009072DA">
        <w:rPr>
          <w:lang w:val="bg-BG"/>
        </w:rPr>
        <w:tab/>
        <w:t>акумулаторни батерии, които в случай на повреда в електрозахранването да се включват автоматично, или, ако са в непосредствена близост до рулевата рубка или друго място, в което постоянно работят членове на екипажа, да могат да се включват и ръчно. Те трябва да могат да захранват горните потребители на енергия през целия предписан период без презареждане и без недопустим спад на напрежението.</w:t>
      </w:r>
    </w:p>
    <w:p w:rsidR="00B72823" w:rsidRPr="009072DA" w:rsidRDefault="00B72823" w:rsidP="00973DAA">
      <w:pPr>
        <w:pStyle w:val="ESch"/>
        <w:rPr>
          <w:rFonts w:eastAsia="Calibri"/>
          <w:lang w:val="bg-BG"/>
        </w:rPr>
      </w:pPr>
    </w:p>
    <w:p w:rsidR="00B72823" w:rsidRPr="009072DA" w:rsidRDefault="00B72823" w:rsidP="00973DAA">
      <w:pPr>
        <w:pStyle w:val="ESch"/>
        <w:rPr>
          <w:rFonts w:eastAsia="Calibri"/>
          <w:lang w:val="bg-BG"/>
        </w:rPr>
      </w:pPr>
      <w:r w:rsidRPr="009072DA">
        <w:rPr>
          <w:lang w:val="bg-BG"/>
        </w:rPr>
        <w:br w:type="page"/>
      </w:r>
    </w:p>
    <w:p w:rsidR="00973DAA" w:rsidRPr="009072DA" w:rsidRDefault="00973DAA" w:rsidP="00973DAA">
      <w:pPr>
        <w:pStyle w:val="ESch"/>
        <w:rPr>
          <w:rFonts w:eastAsia="Calibri" w:cs="Arial"/>
          <w:szCs w:val="18"/>
          <w:lang w:val="bg-BG"/>
        </w:rPr>
      </w:pPr>
      <w:r w:rsidRPr="009072DA">
        <w:rPr>
          <w:lang w:val="bg-BG"/>
        </w:rPr>
        <w:lastRenderedPageBreak/>
        <w:t>8.</w:t>
      </w:r>
      <w:r w:rsidRPr="009072DA">
        <w:rPr>
          <w:lang w:val="bg-BG"/>
        </w:rPr>
        <w:tab/>
        <w:t>Планираният период на функциониране на аварийното захранване се определя съгласно предназначението на плавателния съд. Той не трябва да е по-кратък от 30 минути.</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9.</w:t>
      </w:r>
      <w:r w:rsidRPr="009072DA">
        <w:rPr>
          <w:lang w:val="bg-BG"/>
        </w:rPr>
        <w:tab/>
        <w:t>Съпротивленията на изолацията и заземяването на електрическите системи се изпробват при периодични проверки.</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10.</w:t>
      </w:r>
      <w:r w:rsidRPr="009072DA">
        <w:rPr>
          <w:lang w:val="bg-BG"/>
        </w:rPr>
        <w:tab/>
        <w:t>Източниците на енергия съгласно член 10.02, точка 1 трябва да бъдат независими един от друг.</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11.</w:t>
      </w:r>
      <w:r w:rsidRPr="009072DA">
        <w:rPr>
          <w:lang w:val="bg-BG"/>
        </w:rPr>
        <w:tab/>
        <w:t>Повреда на главното или аварийното енергозахранване не трябва да се отразява на експлоатационната безопасност на инсталациите.</w:t>
      </w:r>
    </w:p>
    <w:p w:rsidR="00973DAA" w:rsidRPr="009072DA" w:rsidRDefault="00973DAA" w:rsidP="00973DAA">
      <w:pPr>
        <w:pStyle w:val="ESch"/>
        <w:rPr>
          <w:rFonts w:eastAsia="Calibri" w:cs="Arial"/>
          <w:szCs w:val="18"/>
          <w:lang w:val="bg-BG"/>
        </w:rPr>
      </w:pPr>
    </w:p>
    <w:p w:rsidR="00B72823" w:rsidRPr="009072DA" w:rsidRDefault="00B72823" w:rsidP="00973DAA">
      <w:pPr>
        <w:pStyle w:val="ESch"/>
        <w:rPr>
          <w:rFonts w:eastAsia="Calibri" w:cs="Arial"/>
          <w:szCs w:val="18"/>
          <w:lang w:val="bg-BG"/>
        </w:rPr>
      </w:pPr>
    </w:p>
    <w:p w:rsidR="00973DAA" w:rsidRPr="009072DA" w:rsidRDefault="00973DAA" w:rsidP="00B72823">
      <w:pPr>
        <w:pStyle w:val="ES-Titre3"/>
        <w:rPr>
          <w:rFonts w:cs="Arial"/>
          <w:i/>
          <w:szCs w:val="18"/>
          <w:lang w:val="bg-BG"/>
        </w:rPr>
      </w:pPr>
      <w:bookmarkStart w:id="365" w:name="_Toc491854180"/>
      <w:bookmarkStart w:id="366" w:name="_Toc535827621"/>
      <w:r w:rsidRPr="009072DA">
        <w:rPr>
          <w:lang w:val="bg-BG"/>
        </w:rPr>
        <w:t>Член 19.11</w:t>
      </w:r>
      <w:r w:rsidRPr="009072DA">
        <w:rPr>
          <w:lang w:val="bg-BG"/>
        </w:rPr>
        <w:br/>
      </w:r>
      <w:r w:rsidRPr="009072DA">
        <w:rPr>
          <w:i/>
          <w:lang w:val="bg-BG"/>
        </w:rPr>
        <w:t>Противопожарна защита</w:t>
      </w:r>
      <w:bookmarkEnd w:id="365"/>
      <w:bookmarkEnd w:id="366"/>
    </w:p>
    <w:p w:rsidR="00B72823" w:rsidRPr="009072DA" w:rsidRDefault="00B72823" w:rsidP="00973DAA">
      <w:pPr>
        <w:pStyle w:val="ESch"/>
        <w:rPr>
          <w:rFonts w:eastAsia="Calibri"/>
          <w:lang w:val="bg-BG"/>
        </w:rPr>
      </w:pPr>
    </w:p>
    <w:p w:rsidR="00973DAA" w:rsidRPr="009072DA" w:rsidRDefault="00B72823" w:rsidP="00973DAA">
      <w:pPr>
        <w:pStyle w:val="ESch"/>
        <w:rPr>
          <w:rFonts w:eastAsia="Calibri" w:cs="Arial"/>
          <w:szCs w:val="18"/>
          <w:lang w:val="bg-BG"/>
        </w:rPr>
      </w:pPr>
      <w:r w:rsidRPr="009072DA">
        <w:rPr>
          <w:lang w:val="bg-BG"/>
        </w:rPr>
        <w:t>1.</w:t>
      </w:r>
      <w:r w:rsidRPr="009072DA">
        <w:rPr>
          <w:lang w:val="bg-BG"/>
        </w:rPr>
        <w:tab/>
        <w:t>Годността на материалите и компонентите за противопожарна защита се установява от акредитирана изпитваща институция на основата на съответни методи за изпитване.</w:t>
      </w:r>
    </w:p>
    <w:p w:rsidR="00973DAA" w:rsidRPr="009072DA" w:rsidRDefault="005C7859" w:rsidP="00B72823">
      <w:pPr>
        <w:pStyle w:val="ESlet"/>
        <w:rPr>
          <w:rFonts w:eastAsia="Calibri" w:cs="Arial"/>
          <w:szCs w:val="18"/>
          <w:lang w:val="bg-BG"/>
        </w:rPr>
      </w:pPr>
      <w:r w:rsidRPr="009072DA">
        <w:rPr>
          <w:lang w:val="bg-BG"/>
        </w:rPr>
        <w:t>a)</w:t>
      </w:r>
      <w:r w:rsidRPr="009072DA">
        <w:rPr>
          <w:lang w:val="bg-BG"/>
        </w:rPr>
        <w:tab/>
        <w:t>Институцията за изпитване трябва да отговаря на изискванията на:</w:t>
      </w:r>
    </w:p>
    <w:p w:rsidR="00973DAA" w:rsidRPr="009072DA" w:rsidRDefault="0029453D" w:rsidP="00B72823">
      <w:pPr>
        <w:pStyle w:val="EStiret"/>
        <w:rPr>
          <w:rFonts w:eastAsia="Calibri" w:cs="Arial"/>
          <w:noProof w:val="0"/>
          <w:szCs w:val="18"/>
          <w:lang w:val="bg-BG"/>
        </w:rPr>
      </w:pPr>
      <w:r w:rsidRPr="009072DA">
        <w:rPr>
          <w:noProof w:val="0"/>
          <w:lang w:val="bg-BG"/>
        </w:rPr>
        <w:t>aa)</w:t>
      </w:r>
      <w:r w:rsidRPr="009072DA">
        <w:rPr>
          <w:noProof w:val="0"/>
          <w:lang w:val="bg-BG"/>
        </w:rPr>
        <w:tab/>
        <w:t>Кодекса на процедурите за противопожарни изпитвания: или</w:t>
      </w:r>
    </w:p>
    <w:p w:rsidR="00973DAA" w:rsidRPr="009072DA" w:rsidRDefault="00973DAA" w:rsidP="00B72823">
      <w:pPr>
        <w:pStyle w:val="EStiret"/>
        <w:rPr>
          <w:rFonts w:eastAsia="Calibri" w:cs="Arial"/>
          <w:noProof w:val="0"/>
          <w:szCs w:val="18"/>
          <w:lang w:val="bg-BG"/>
        </w:rPr>
      </w:pPr>
      <w:r w:rsidRPr="009072DA">
        <w:rPr>
          <w:noProof w:val="0"/>
          <w:lang w:val="bg-BG"/>
        </w:rPr>
        <w:t>бб)</w:t>
      </w:r>
      <w:r w:rsidRPr="009072DA">
        <w:rPr>
          <w:noProof w:val="0"/>
          <w:lang w:val="bg-BG"/>
        </w:rPr>
        <w:tab/>
        <w:t>европейски стандарт EN ISO/IEC 17025: 2005.</w:t>
      </w:r>
    </w:p>
    <w:p w:rsidR="00973DAA" w:rsidRPr="009072DA" w:rsidRDefault="005C7859" w:rsidP="00B72823">
      <w:pPr>
        <w:pStyle w:val="ESlet"/>
        <w:rPr>
          <w:rFonts w:eastAsia="Calibri" w:cs="Arial"/>
          <w:szCs w:val="18"/>
          <w:lang w:val="bg-BG"/>
        </w:rPr>
      </w:pPr>
      <w:r w:rsidRPr="009072DA">
        <w:rPr>
          <w:lang w:val="bg-BG"/>
        </w:rPr>
        <w:t>б)</w:t>
      </w:r>
      <w:r w:rsidRPr="009072DA">
        <w:rPr>
          <w:lang w:val="bg-BG"/>
        </w:rPr>
        <w:tab/>
        <w:t>Признатите методи за изпитване за определяне на незапалимостта на материалите са:</w:t>
      </w:r>
    </w:p>
    <w:p w:rsidR="00973DAA" w:rsidRPr="009072DA" w:rsidRDefault="0029453D" w:rsidP="00B72823">
      <w:pPr>
        <w:pStyle w:val="EStiret"/>
        <w:rPr>
          <w:rFonts w:eastAsia="Calibri" w:cs="Arial"/>
          <w:noProof w:val="0"/>
          <w:szCs w:val="18"/>
          <w:lang w:val="bg-BG"/>
        </w:rPr>
      </w:pPr>
      <w:r w:rsidRPr="009072DA">
        <w:rPr>
          <w:noProof w:val="0"/>
          <w:lang w:val="bg-BG"/>
        </w:rPr>
        <w:t>aa)</w:t>
      </w:r>
      <w:r w:rsidRPr="009072DA">
        <w:rPr>
          <w:noProof w:val="0"/>
          <w:lang w:val="bg-BG"/>
        </w:rPr>
        <w:tab/>
        <w:t>приложение 1, част 1 от Кодекса на процедурите за противопожарни изпитвания; и</w:t>
      </w:r>
    </w:p>
    <w:p w:rsidR="00973DAA" w:rsidRPr="009072DA" w:rsidRDefault="00973DAA" w:rsidP="00B72823">
      <w:pPr>
        <w:pStyle w:val="EStiret"/>
        <w:rPr>
          <w:rFonts w:eastAsia="Calibri" w:cs="Arial"/>
          <w:noProof w:val="0"/>
          <w:szCs w:val="18"/>
          <w:lang w:val="bg-BG"/>
        </w:rPr>
      </w:pPr>
      <w:r w:rsidRPr="009072DA">
        <w:rPr>
          <w:noProof w:val="0"/>
          <w:lang w:val="bg-BG"/>
        </w:rPr>
        <w:t>бб)</w:t>
      </w:r>
      <w:r w:rsidRPr="009072DA">
        <w:rPr>
          <w:noProof w:val="0"/>
          <w:lang w:val="bg-BG"/>
        </w:rPr>
        <w:tab/>
        <w:t>равностойните разпоредби на една от държавите членки.</w:t>
      </w:r>
    </w:p>
    <w:p w:rsidR="00973DAA" w:rsidRPr="009072DA" w:rsidRDefault="005C7859" w:rsidP="00B72823">
      <w:pPr>
        <w:pStyle w:val="ESlet"/>
        <w:rPr>
          <w:rFonts w:eastAsia="Calibri" w:cs="Arial"/>
          <w:szCs w:val="18"/>
          <w:lang w:val="bg-BG"/>
        </w:rPr>
      </w:pPr>
      <w:r w:rsidRPr="009072DA">
        <w:rPr>
          <w:lang w:val="bg-BG"/>
        </w:rPr>
        <w:t>в)</w:t>
      </w:r>
      <w:r w:rsidRPr="009072DA">
        <w:rPr>
          <w:lang w:val="bg-BG"/>
        </w:rPr>
        <w:tab/>
        <w:t>Признатите методи за изпитване за определяне дали даден материал е забавящ горенето материал, са:</w:t>
      </w:r>
    </w:p>
    <w:p w:rsidR="00973DAA" w:rsidRPr="009072DA" w:rsidRDefault="0029453D" w:rsidP="00B72823">
      <w:pPr>
        <w:pStyle w:val="EStiret"/>
        <w:rPr>
          <w:rFonts w:eastAsia="Calibri" w:cs="Arial"/>
          <w:noProof w:val="0"/>
          <w:szCs w:val="18"/>
          <w:lang w:val="bg-BG"/>
        </w:rPr>
      </w:pPr>
      <w:r w:rsidRPr="009072DA">
        <w:rPr>
          <w:noProof w:val="0"/>
          <w:lang w:val="bg-BG"/>
        </w:rPr>
        <w:t>aa)</w:t>
      </w:r>
      <w:r w:rsidRPr="009072DA">
        <w:rPr>
          <w:noProof w:val="0"/>
          <w:lang w:val="bg-BG"/>
        </w:rPr>
        <w:tab/>
        <w:t>съответните изисквания, посочени в приложение 1, части 5 (Изпитване за запалимост на повърхността - Изпитване за материали за повърхности и основни покрития на палубата), 7 (Изпитване за вертикално разположени текстил и пластове), 8 (Изпитване за тапицирани мебели) и 9 (Изпитване за постелъчни принадлежности) от Кодекса на процедурите за противопожарни изпитвания; и</w:t>
      </w:r>
    </w:p>
    <w:p w:rsidR="00973DAA" w:rsidRPr="009072DA" w:rsidRDefault="00973DAA" w:rsidP="00B72823">
      <w:pPr>
        <w:pStyle w:val="EStiret"/>
        <w:rPr>
          <w:rFonts w:eastAsia="Calibri" w:cs="Arial"/>
          <w:noProof w:val="0"/>
          <w:szCs w:val="18"/>
          <w:lang w:val="bg-BG"/>
        </w:rPr>
      </w:pPr>
      <w:r w:rsidRPr="009072DA">
        <w:rPr>
          <w:noProof w:val="0"/>
          <w:lang w:val="bg-BG"/>
        </w:rPr>
        <w:t>бб)</w:t>
      </w:r>
      <w:r w:rsidRPr="009072DA">
        <w:rPr>
          <w:noProof w:val="0"/>
          <w:lang w:val="bg-BG"/>
        </w:rPr>
        <w:tab/>
        <w:t>равностойните разпоредби на една от държавите членки.</w:t>
      </w:r>
    </w:p>
    <w:p w:rsidR="00973DAA" w:rsidRPr="009072DA" w:rsidRDefault="0029453D" w:rsidP="00B72823">
      <w:pPr>
        <w:pStyle w:val="ESlet"/>
        <w:rPr>
          <w:rFonts w:eastAsia="Calibri" w:cs="Arial"/>
          <w:szCs w:val="18"/>
          <w:lang w:val="bg-BG"/>
        </w:rPr>
      </w:pPr>
      <w:r w:rsidRPr="009072DA">
        <w:rPr>
          <w:lang w:val="bg-BG"/>
        </w:rPr>
        <w:t>г)</w:t>
      </w:r>
      <w:r w:rsidRPr="009072DA">
        <w:rPr>
          <w:lang w:val="bg-BG"/>
        </w:rPr>
        <w:tab/>
        <w:t>Признатите методи за изпитване за определяне на огнеустойчивостта са:</w:t>
      </w:r>
    </w:p>
    <w:p w:rsidR="00973DAA" w:rsidRPr="009072DA" w:rsidRDefault="0029453D" w:rsidP="00B72823">
      <w:pPr>
        <w:pStyle w:val="EStiret"/>
        <w:rPr>
          <w:rFonts w:eastAsia="Calibri" w:cs="Arial"/>
          <w:noProof w:val="0"/>
          <w:szCs w:val="18"/>
          <w:lang w:val="bg-BG"/>
        </w:rPr>
      </w:pPr>
      <w:r w:rsidRPr="009072DA">
        <w:rPr>
          <w:noProof w:val="0"/>
          <w:lang w:val="bg-BG"/>
        </w:rPr>
        <w:lastRenderedPageBreak/>
        <w:t>aa)</w:t>
      </w:r>
      <w:r w:rsidRPr="009072DA">
        <w:rPr>
          <w:noProof w:val="0"/>
          <w:lang w:val="bg-BG"/>
        </w:rPr>
        <w:tab/>
        <w:t>приложение 1, част 3 от Кодекса на процедурите за противопожарни изпитвания, и</w:t>
      </w:r>
    </w:p>
    <w:p w:rsidR="00973DAA" w:rsidRPr="009072DA" w:rsidRDefault="00973DAA" w:rsidP="00B72823">
      <w:pPr>
        <w:pStyle w:val="EStiret"/>
        <w:rPr>
          <w:rFonts w:eastAsia="Calibri" w:cs="Arial"/>
          <w:noProof w:val="0"/>
          <w:szCs w:val="18"/>
          <w:lang w:val="bg-BG"/>
        </w:rPr>
      </w:pPr>
      <w:r w:rsidRPr="009072DA">
        <w:rPr>
          <w:noProof w:val="0"/>
          <w:lang w:val="bg-BG"/>
        </w:rPr>
        <w:t>бб)</w:t>
      </w:r>
      <w:r w:rsidRPr="009072DA">
        <w:rPr>
          <w:noProof w:val="0"/>
          <w:lang w:val="bg-BG"/>
        </w:rPr>
        <w:tab/>
        <w:t>равностойните разпоредби на една от държавите членки.</w:t>
      </w:r>
    </w:p>
    <w:p w:rsidR="00973DAA" w:rsidRPr="009072DA" w:rsidRDefault="0029453D" w:rsidP="00B72823">
      <w:pPr>
        <w:pStyle w:val="ESlet"/>
        <w:rPr>
          <w:rFonts w:eastAsia="Calibri" w:cs="Arial"/>
          <w:szCs w:val="18"/>
          <w:lang w:val="bg-BG"/>
        </w:rPr>
      </w:pPr>
      <w:r w:rsidRPr="009072DA">
        <w:rPr>
          <w:lang w:val="bg-BG"/>
        </w:rPr>
        <w:t>д)</w:t>
      </w:r>
      <w:r w:rsidRPr="009072DA">
        <w:rPr>
          <w:lang w:val="bg-BG"/>
        </w:rPr>
        <w:tab/>
        <w:t>Контролният орган има право, в съответствие с Кодекса на процедурите за противопожарни изпитвания, да разпореди изпитване на произволно избрана разделителна стена с цел да осигури съответствие с разпоредбите на точка 2 относно устойчивостта и нарастването на температурата.</w:t>
      </w:r>
    </w:p>
    <w:p w:rsidR="00B72823" w:rsidRPr="009072DA" w:rsidRDefault="00B72823" w:rsidP="00973DAA">
      <w:pPr>
        <w:pStyle w:val="ESch"/>
        <w:rPr>
          <w:rFonts w:eastAsia="Calibri"/>
          <w:lang w:val="bg-BG"/>
        </w:rPr>
      </w:pPr>
    </w:p>
    <w:p w:rsidR="00124738" w:rsidRPr="009072DA" w:rsidRDefault="00124738" w:rsidP="00973DAA">
      <w:pPr>
        <w:pStyle w:val="ESch"/>
        <w:rPr>
          <w:rFonts w:eastAsia="Calibri"/>
          <w:lang w:val="bg-BG"/>
        </w:rPr>
      </w:pPr>
      <w:r w:rsidRPr="009072DA">
        <w:rPr>
          <w:lang w:val="bg-BG"/>
        </w:rPr>
        <w:br w:type="page"/>
      </w:r>
    </w:p>
    <w:p w:rsidR="00973DAA" w:rsidRPr="009072DA" w:rsidRDefault="00973DAA" w:rsidP="00973DAA">
      <w:pPr>
        <w:pStyle w:val="ESch"/>
        <w:rPr>
          <w:rFonts w:eastAsia="Calibri" w:cs="Arial"/>
          <w:szCs w:val="18"/>
          <w:lang w:val="bg-BG"/>
        </w:rPr>
      </w:pPr>
      <w:r w:rsidRPr="009072DA">
        <w:rPr>
          <w:lang w:val="bg-BG"/>
        </w:rPr>
        <w:lastRenderedPageBreak/>
        <w:t>2.</w:t>
      </w:r>
      <w:r w:rsidRPr="009072DA">
        <w:rPr>
          <w:lang w:val="bg-BG"/>
        </w:rPr>
        <w:tab/>
        <w:t>Преградни стени</w:t>
      </w:r>
    </w:p>
    <w:p w:rsidR="00973DAA" w:rsidRPr="009072DA" w:rsidRDefault="005C7859" w:rsidP="00B72823">
      <w:pPr>
        <w:pStyle w:val="ESlet"/>
        <w:rPr>
          <w:rFonts w:eastAsia="Calibri" w:cs="Arial"/>
          <w:szCs w:val="18"/>
          <w:lang w:val="bg-BG"/>
        </w:rPr>
      </w:pPr>
      <w:r w:rsidRPr="009072DA">
        <w:rPr>
          <w:lang w:val="bg-BG"/>
        </w:rPr>
        <w:t>a)</w:t>
      </w:r>
      <w:r w:rsidRPr="009072DA">
        <w:rPr>
          <w:lang w:val="bg-BG"/>
        </w:rPr>
        <w:tab/>
        <w:t>между помещенията се проектират съгласно следните таблици:</w:t>
      </w:r>
    </w:p>
    <w:p w:rsidR="00973DAA" w:rsidRPr="009072DA" w:rsidRDefault="00973DAA" w:rsidP="0029453D">
      <w:pPr>
        <w:pStyle w:val="ESlet"/>
        <w:ind w:left="1560" w:hanging="567"/>
        <w:rPr>
          <w:rFonts w:eastAsia="Calibri"/>
          <w:lang w:val="bg-BG"/>
        </w:rPr>
      </w:pPr>
      <w:r w:rsidRPr="009072DA">
        <w:rPr>
          <w:lang w:val="bg-BG"/>
        </w:rPr>
        <w:t>aa)</w:t>
      </w:r>
      <w:r w:rsidRPr="009072DA">
        <w:rPr>
          <w:lang w:val="bg-BG"/>
        </w:rPr>
        <w:tab/>
        <w:t>Таблица за преградните стени между помещенията, в които не са монтирани спринклерни системи под налягане, съгласно член 13.04</w:t>
      </w:r>
    </w:p>
    <w:p w:rsidR="00124738" w:rsidRPr="009072DA" w:rsidRDefault="00124738" w:rsidP="00124738">
      <w:pPr>
        <w:pStyle w:val="ESch"/>
        <w:rPr>
          <w:rFonts w:eastAsia="Calibri"/>
          <w:lang w:val="bg-BG"/>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43"/>
        <w:gridCol w:w="972"/>
        <w:gridCol w:w="972"/>
        <w:gridCol w:w="972"/>
        <w:gridCol w:w="972"/>
        <w:gridCol w:w="972"/>
        <w:gridCol w:w="972"/>
        <w:gridCol w:w="972"/>
      </w:tblGrid>
      <w:tr w:rsidR="00124738" w:rsidRPr="009072DA" w:rsidTr="007A7CC3">
        <w:trPr>
          <w:jc w:val="center"/>
        </w:trPr>
        <w:tc>
          <w:tcPr>
            <w:tcW w:w="1843" w:type="dxa"/>
          </w:tcPr>
          <w:p w:rsidR="00124738" w:rsidRPr="009072DA" w:rsidRDefault="00124738" w:rsidP="00124738">
            <w:pPr>
              <w:spacing w:before="60" w:after="60" w:line="240" w:lineRule="atLeast"/>
              <w:rPr>
                <w:rFonts w:cs="Arial"/>
                <w:sz w:val="18"/>
                <w:szCs w:val="18"/>
                <w:lang w:val="bg-BG"/>
              </w:rPr>
            </w:pPr>
            <w:r w:rsidRPr="009072DA">
              <w:rPr>
                <w:sz w:val="18"/>
                <w:lang w:val="bg-BG"/>
              </w:rPr>
              <w:t>Помещения</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Центрове за управление</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Стълбищни шахти</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Сборни пунктове</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Салони</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Машинни отделения</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Камбузи</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Складови помещения</w:t>
            </w:r>
          </w:p>
        </w:tc>
      </w:tr>
      <w:tr w:rsidR="00124738" w:rsidRPr="009072DA" w:rsidTr="007A7CC3">
        <w:trPr>
          <w:jc w:val="center"/>
        </w:trPr>
        <w:tc>
          <w:tcPr>
            <w:tcW w:w="1843" w:type="dxa"/>
          </w:tcPr>
          <w:p w:rsidR="00124738" w:rsidRPr="009072DA" w:rsidRDefault="00124738" w:rsidP="00124738">
            <w:pPr>
              <w:spacing w:before="60" w:after="60" w:line="240" w:lineRule="atLeast"/>
              <w:rPr>
                <w:rFonts w:cs="Arial"/>
                <w:sz w:val="18"/>
                <w:szCs w:val="18"/>
                <w:lang w:val="bg-BG"/>
              </w:rPr>
            </w:pPr>
            <w:r w:rsidRPr="009072DA">
              <w:rPr>
                <w:sz w:val="18"/>
                <w:lang w:val="bg-BG"/>
              </w:rPr>
              <w:t>Центрове за управление</w:t>
            </w: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w:t>
            </w: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A0</w:t>
            </w:r>
          </w:p>
        </w:tc>
        <w:tc>
          <w:tcPr>
            <w:tcW w:w="972" w:type="dxa"/>
          </w:tcPr>
          <w:p w:rsidR="00124738" w:rsidRPr="009072DA" w:rsidRDefault="00124738" w:rsidP="00275065">
            <w:pPr>
              <w:spacing w:before="60" w:after="60" w:line="240" w:lineRule="atLeast"/>
              <w:jc w:val="center"/>
              <w:rPr>
                <w:rFonts w:cs="Arial"/>
                <w:sz w:val="18"/>
                <w:szCs w:val="18"/>
                <w:vertAlign w:val="superscript"/>
                <w:lang w:val="bg-BG"/>
              </w:rPr>
            </w:pPr>
            <w:r w:rsidRPr="009072DA">
              <w:rPr>
                <w:sz w:val="18"/>
                <w:lang w:val="bg-BG"/>
              </w:rPr>
              <w:t>A0/B15</w:t>
            </w:r>
            <w:r w:rsidRPr="009072DA">
              <w:rPr>
                <w:sz w:val="18"/>
                <w:vertAlign w:val="superscript"/>
                <w:lang w:val="bg-BG"/>
              </w:rPr>
              <w:t>1)</w:t>
            </w: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A30</w:t>
            </w: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A60</w:t>
            </w: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A60</w:t>
            </w:r>
          </w:p>
        </w:tc>
        <w:tc>
          <w:tcPr>
            <w:tcW w:w="972" w:type="dxa"/>
            <w:vAlign w:val="center"/>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A30/A60</w:t>
            </w:r>
            <w:r w:rsidRPr="009072DA">
              <w:rPr>
                <w:sz w:val="18"/>
                <w:vertAlign w:val="superscript"/>
                <w:lang w:val="bg-BG"/>
              </w:rPr>
              <w:t>5)</w:t>
            </w:r>
          </w:p>
        </w:tc>
      </w:tr>
      <w:tr w:rsidR="00124738" w:rsidRPr="009072DA" w:rsidTr="007A7CC3">
        <w:trPr>
          <w:jc w:val="center"/>
        </w:trPr>
        <w:tc>
          <w:tcPr>
            <w:tcW w:w="1843" w:type="dxa"/>
          </w:tcPr>
          <w:p w:rsidR="00124738" w:rsidRPr="009072DA" w:rsidRDefault="00124738" w:rsidP="00124738">
            <w:pPr>
              <w:spacing w:before="60" w:after="60" w:line="240" w:lineRule="atLeast"/>
              <w:rPr>
                <w:rFonts w:cs="Arial"/>
                <w:sz w:val="18"/>
                <w:szCs w:val="18"/>
                <w:lang w:val="bg-BG"/>
              </w:rPr>
            </w:pPr>
            <w:r w:rsidRPr="009072DA">
              <w:rPr>
                <w:sz w:val="18"/>
                <w:lang w:val="bg-BG"/>
              </w:rPr>
              <w:t>Стълбищни шахти</w:t>
            </w: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w:t>
            </w: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A0</w:t>
            </w: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A30</w:t>
            </w: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A60</w:t>
            </w: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A60</w:t>
            </w:r>
          </w:p>
        </w:tc>
        <w:tc>
          <w:tcPr>
            <w:tcW w:w="972" w:type="dxa"/>
            <w:vAlign w:val="center"/>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A30</w:t>
            </w:r>
          </w:p>
        </w:tc>
      </w:tr>
      <w:tr w:rsidR="00124738" w:rsidRPr="009072DA" w:rsidTr="007A7CC3">
        <w:trPr>
          <w:jc w:val="center"/>
        </w:trPr>
        <w:tc>
          <w:tcPr>
            <w:tcW w:w="1843" w:type="dxa"/>
          </w:tcPr>
          <w:p w:rsidR="00124738" w:rsidRPr="009072DA" w:rsidRDefault="00124738" w:rsidP="00124738">
            <w:pPr>
              <w:spacing w:before="60" w:after="60" w:line="240" w:lineRule="atLeast"/>
              <w:rPr>
                <w:rFonts w:cs="Arial"/>
                <w:sz w:val="18"/>
                <w:szCs w:val="18"/>
                <w:lang w:val="bg-BG"/>
              </w:rPr>
            </w:pPr>
            <w:r w:rsidRPr="009072DA">
              <w:rPr>
                <w:sz w:val="18"/>
                <w:lang w:val="bg-BG"/>
              </w:rPr>
              <w:t>Сборни пунктове</w:t>
            </w: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w:t>
            </w: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A30/B15</w:t>
            </w:r>
            <w:r w:rsidRPr="009072DA">
              <w:rPr>
                <w:sz w:val="18"/>
                <w:vertAlign w:val="superscript"/>
                <w:lang w:val="bg-BG"/>
              </w:rPr>
              <w:t>2)</w:t>
            </w: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A60</w:t>
            </w: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A60</w:t>
            </w:r>
          </w:p>
        </w:tc>
        <w:tc>
          <w:tcPr>
            <w:tcW w:w="972" w:type="dxa"/>
            <w:vAlign w:val="center"/>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A30/A60</w:t>
            </w:r>
            <w:r w:rsidRPr="009072DA">
              <w:rPr>
                <w:sz w:val="18"/>
                <w:vertAlign w:val="superscript"/>
                <w:lang w:val="bg-BG"/>
              </w:rPr>
              <w:t>5)</w:t>
            </w:r>
          </w:p>
        </w:tc>
      </w:tr>
      <w:tr w:rsidR="00124738" w:rsidRPr="009072DA" w:rsidTr="007A7CC3">
        <w:trPr>
          <w:jc w:val="center"/>
        </w:trPr>
        <w:tc>
          <w:tcPr>
            <w:tcW w:w="1843" w:type="dxa"/>
          </w:tcPr>
          <w:p w:rsidR="00124738" w:rsidRPr="009072DA" w:rsidRDefault="00124738" w:rsidP="00124738">
            <w:pPr>
              <w:spacing w:before="60" w:after="60" w:line="240" w:lineRule="atLeast"/>
              <w:rPr>
                <w:rFonts w:cs="Arial"/>
                <w:sz w:val="18"/>
                <w:szCs w:val="18"/>
                <w:lang w:val="bg-BG"/>
              </w:rPr>
            </w:pPr>
            <w:r w:rsidRPr="009072DA">
              <w:rPr>
                <w:sz w:val="18"/>
                <w:lang w:val="bg-BG"/>
              </w:rPr>
              <w:t>Салони</w:t>
            </w: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-/A0/B15</w:t>
            </w:r>
            <w:r w:rsidRPr="009072DA">
              <w:rPr>
                <w:sz w:val="18"/>
                <w:vertAlign w:val="superscript"/>
                <w:lang w:val="bg-BG"/>
              </w:rPr>
              <w:t>3)</w:t>
            </w: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A60</w:t>
            </w: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A60</w:t>
            </w:r>
          </w:p>
        </w:tc>
        <w:tc>
          <w:tcPr>
            <w:tcW w:w="972" w:type="dxa"/>
            <w:vAlign w:val="center"/>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A30</w:t>
            </w:r>
          </w:p>
        </w:tc>
      </w:tr>
      <w:tr w:rsidR="00124738" w:rsidRPr="009072DA" w:rsidTr="007A7CC3">
        <w:trPr>
          <w:jc w:val="center"/>
        </w:trPr>
        <w:tc>
          <w:tcPr>
            <w:tcW w:w="1843" w:type="dxa"/>
          </w:tcPr>
          <w:p w:rsidR="00124738" w:rsidRPr="009072DA" w:rsidRDefault="00124738" w:rsidP="00124738">
            <w:pPr>
              <w:spacing w:before="60" w:after="60" w:line="240" w:lineRule="atLeast"/>
              <w:rPr>
                <w:rFonts w:cs="Arial"/>
                <w:sz w:val="18"/>
                <w:szCs w:val="18"/>
                <w:lang w:val="bg-BG"/>
              </w:rPr>
            </w:pPr>
            <w:r w:rsidRPr="009072DA">
              <w:rPr>
                <w:sz w:val="18"/>
                <w:lang w:val="bg-BG"/>
              </w:rPr>
              <w:t>Машинни отделения</w:t>
            </w: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vertAlign w:val="superscript"/>
                <w:lang w:val="bg-BG"/>
              </w:rPr>
            </w:pPr>
            <w:r w:rsidRPr="009072DA">
              <w:rPr>
                <w:sz w:val="18"/>
                <w:lang w:val="bg-BG"/>
              </w:rPr>
              <w:t>A60/A0</w:t>
            </w:r>
            <w:r w:rsidRPr="009072DA">
              <w:rPr>
                <w:sz w:val="18"/>
                <w:vertAlign w:val="superscript"/>
                <w:lang w:val="bg-BG"/>
              </w:rPr>
              <w:t>4)</w:t>
            </w: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A60</w:t>
            </w:r>
          </w:p>
        </w:tc>
        <w:tc>
          <w:tcPr>
            <w:tcW w:w="972" w:type="dxa"/>
            <w:vAlign w:val="center"/>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A60</w:t>
            </w:r>
          </w:p>
        </w:tc>
      </w:tr>
      <w:tr w:rsidR="00124738" w:rsidRPr="009072DA" w:rsidTr="007A7CC3">
        <w:trPr>
          <w:jc w:val="center"/>
        </w:trPr>
        <w:tc>
          <w:tcPr>
            <w:tcW w:w="1843" w:type="dxa"/>
          </w:tcPr>
          <w:p w:rsidR="00124738" w:rsidRPr="009072DA" w:rsidRDefault="00124738" w:rsidP="00124738">
            <w:pPr>
              <w:spacing w:before="60" w:after="60" w:line="240" w:lineRule="atLeast"/>
              <w:rPr>
                <w:rFonts w:cs="Arial"/>
                <w:sz w:val="18"/>
                <w:szCs w:val="18"/>
                <w:lang w:val="bg-BG"/>
              </w:rPr>
            </w:pPr>
            <w:r w:rsidRPr="009072DA">
              <w:rPr>
                <w:sz w:val="18"/>
                <w:lang w:val="bg-BG"/>
              </w:rPr>
              <w:t>Камбузи</w:t>
            </w: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A0</w:t>
            </w:r>
          </w:p>
        </w:tc>
        <w:tc>
          <w:tcPr>
            <w:tcW w:w="972" w:type="dxa"/>
            <w:vAlign w:val="center"/>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A30/B15</w:t>
            </w:r>
            <w:r w:rsidRPr="009072DA">
              <w:rPr>
                <w:sz w:val="18"/>
                <w:vertAlign w:val="superscript"/>
                <w:lang w:val="bg-BG"/>
              </w:rPr>
              <w:t>6)</w:t>
            </w:r>
          </w:p>
        </w:tc>
      </w:tr>
      <w:tr w:rsidR="00124738" w:rsidRPr="009072DA" w:rsidTr="007A7CC3">
        <w:trPr>
          <w:jc w:val="center"/>
        </w:trPr>
        <w:tc>
          <w:tcPr>
            <w:tcW w:w="1843" w:type="dxa"/>
          </w:tcPr>
          <w:p w:rsidR="00124738" w:rsidRPr="009072DA" w:rsidRDefault="00124738" w:rsidP="00124738">
            <w:pPr>
              <w:spacing w:before="60" w:after="60" w:line="240" w:lineRule="atLeast"/>
              <w:rPr>
                <w:rFonts w:cs="Arial"/>
                <w:sz w:val="18"/>
                <w:szCs w:val="18"/>
                <w:lang w:val="bg-BG"/>
              </w:rPr>
            </w:pPr>
            <w:r w:rsidRPr="009072DA">
              <w:rPr>
                <w:sz w:val="18"/>
                <w:lang w:val="bg-BG"/>
              </w:rPr>
              <w:t>Складови помещения</w:t>
            </w: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p>
        </w:tc>
        <w:tc>
          <w:tcPr>
            <w:tcW w:w="972" w:type="dxa"/>
          </w:tcPr>
          <w:p w:rsidR="00124738" w:rsidRPr="009072DA" w:rsidRDefault="00124738" w:rsidP="00275065">
            <w:pPr>
              <w:spacing w:before="60" w:after="60" w:line="240" w:lineRule="atLeast"/>
              <w:jc w:val="center"/>
              <w:rPr>
                <w:rFonts w:cs="Arial"/>
                <w:sz w:val="18"/>
                <w:szCs w:val="18"/>
                <w:lang w:val="bg-BG"/>
              </w:rPr>
            </w:pPr>
            <w:r w:rsidRPr="009072DA">
              <w:rPr>
                <w:sz w:val="18"/>
                <w:lang w:val="bg-BG"/>
              </w:rPr>
              <w:t>-</w:t>
            </w:r>
          </w:p>
        </w:tc>
      </w:tr>
    </w:tbl>
    <w:p w:rsidR="00124738" w:rsidRPr="009072DA" w:rsidRDefault="00124738" w:rsidP="00124738">
      <w:pPr>
        <w:pStyle w:val="ESch"/>
        <w:rPr>
          <w:rFonts w:eastAsia="Calibri"/>
          <w:lang w:val="bg-BG"/>
        </w:rPr>
      </w:pPr>
    </w:p>
    <w:p w:rsidR="00124738" w:rsidRPr="009072DA" w:rsidRDefault="00124738" w:rsidP="00124738">
      <w:pPr>
        <w:pStyle w:val="ESch"/>
        <w:rPr>
          <w:rFonts w:eastAsia="Calibri" w:cs="Arial"/>
          <w:szCs w:val="18"/>
          <w:lang w:val="bg-BG"/>
        </w:rPr>
      </w:pPr>
    </w:p>
    <w:p w:rsidR="00973DAA" w:rsidRPr="009072DA" w:rsidRDefault="00973DAA" w:rsidP="0029453D">
      <w:pPr>
        <w:pStyle w:val="ESlet"/>
        <w:ind w:left="1560" w:hanging="567"/>
        <w:rPr>
          <w:rFonts w:eastAsia="Calibri"/>
          <w:lang w:val="bg-BG"/>
        </w:rPr>
      </w:pPr>
      <w:r w:rsidRPr="009072DA">
        <w:rPr>
          <w:lang w:val="bg-BG"/>
        </w:rPr>
        <w:t>бб)</w:t>
      </w:r>
      <w:r w:rsidRPr="009072DA">
        <w:rPr>
          <w:lang w:val="bg-BG"/>
        </w:rPr>
        <w:tab/>
        <w:t>Таблица за преградните стени между помещенията, в които са монтирани спринклерни системи под налягане, съгласно член 13.04</w:t>
      </w:r>
    </w:p>
    <w:p w:rsidR="00124738" w:rsidRPr="009072DA" w:rsidRDefault="00124738" w:rsidP="00124738">
      <w:pPr>
        <w:pStyle w:val="ESch"/>
        <w:rPr>
          <w:rFonts w:eastAsia="Calibri"/>
          <w:lang w:val="bg-BG"/>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43"/>
        <w:gridCol w:w="972"/>
        <w:gridCol w:w="972"/>
        <w:gridCol w:w="972"/>
        <w:gridCol w:w="972"/>
        <w:gridCol w:w="972"/>
        <w:gridCol w:w="972"/>
        <w:gridCol w:w="972"/>
      </w:tblGrid>
      <w:tr w:rsidR="00124738" w:rsidRPr="009072DA" w:rsidTr="007A7CC3">
        <w:trPr>
          <w:tblHeader/>
          <w:jc w:val="center"/>
        </w:trPr>
        <w:tc>
          <w:tcPr>
            <w:tcW w:w="1843" w:type="dxa"/>
          </w:tcPr>
          <w:p w:rsidR="00124738" w:rsidRPr="009072DA" w:rsidRDefault="00124738" w:rsidP="00124738">
            <w:pPr>
              <w:spacing w:before="60" w:after="60" w:line="240" w:lineRule="atLeast"/>
              <w:rPr>
                <w:rFonts w:cs="Arial"/>
                <w:sz w:val="18"/>
                <w:szCs w:val="18"/>
                <w:lang w:val="bg-BG"/>
              </w:rPr>
            </w:pPr>
            <w:r w:rsidRPr="009072DA">
              <w:rPr>
                <w:sz w:val="18"/>
                <w:lang w:val="bg-BG"/>
              </w:rPr>
              <w:t>Помещения</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Центрове за управление</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Стълбищни шахти</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Сборни пунктове</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Салони</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Машинни отделения</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Камбузи</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 xml:space="preserve">Складови помещения </w:t>
            </w:r>
          </w:p>
        </w:tc>
      </w:tr>
      <w:tr w:rsidR="00124738" w:rsidRPr="009072DA" w:rsidTr="007A7CC3">
        <w:trPr>
          <w:jc w:val="center"/>
        </w:trPr>
        <w:tc>
          <w:tcPr>
            <w:tcW w:w="1843" w:type="dxa"/>
          </w:tcPr>
          <w:p w:rsidR="00124738" w:rsidRPr="009072DA" w:rsidRDefault="00124738" w:rsidP="00124738">
            <w:pPr>
              <w:spacing w:before="60" w:after="60" w:line="240" w:lineRule="atLeast"/>
              <w:rPr>
                <w:rFonts w:cs="Arial"/>
                <w:sz w:val="18"/>
                <w:szCs w:val="18"/>
                <w:lang w:val="bg-BG"/>
              </w:rPr>
            </w:pPr>
            <w:r w:rsidRPr="009072DA">
              <w:rPr>
                <w:sz w:val="18"/>
                <w:lang w:val="bg-BG"/>
              </w:rPr>
              <w:t>Центрове за управление</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A0</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 xml:space="preserve">A0/ B15 </w:t>
            </w:r>
            <w:r w:rsidRPr="009072DA">
              <w:rPr>
                <w:sz w:val="18"/>
                <w:vertAlign w:val="superscript"/>
                <w:lang w:val="bg-BG"/>
              </w:rPr>
              <w:t>1)</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A0</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A60</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A30</w:t>
            </w:r>
          </w:p>
        </w:tc>
        <w:tc>
          <w:tcPr>
            <w:tcW w:w="972" w:type="dxa"/>
            <w:vAlign w:val="center"/>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A0/A30</w:t>
            </w:r>
            <w:r w:rsidRPr="009072DA">
              <w:rPr>
                <w:sz w:val="18"/>
                <w:vertAlign w:val="superscript"/>
                <w:lang w:val="bg-BG"/>
              </w:rPr>
              <w:t>5)</w:t>
            </w:r>
          </w:p>
        </w:tc>
      </w:tr>
      <w:tr w:rsidR="00124738" w:rsidRPr="009072DA" w:rsidTr="007A7CC3">
        <w:trPr>
          <w:jc w:val="center"/>
        </w:trPr>
        <w:tc>
          <w:tcPr>
            <w:tcW w:w="1843" w:type="dxa"/>
          </w:tcPr>
          <w:p w:rsidR="00124738" w:rsidRPr="009072DA" w:rsidRDefault="00124738" w:rsidP="00124738">
            <w:pPr>
              <w:spacing w:before="60" w:after="60" w:line="240" w:lineRule="atLeast"/>
              <w:rPr>
                <w:rFonts w:cs="Arial"/>
                <w:sz w:val="18"/>
                <w:szCs w:val="18"/>
                <w:lang w:val="bg-BG"/>
              </w:rPr>
            </w:pPr>
            <w:r w:rsidRPr="009072DA">
              <w:rPr>
                <w:sz w:val="18"/>
                <w:lang w:val="bg-BG"/>
              </w:rPr>
              <w:t>Стълбищни шахти</w:t>
            </w:r>
          </w:p>
        </w:tc>
        <w:tc>
          <w:tcPr>
            <w:tcW w:w="972" w:type="dxa"/>
          </w:tcPr>
          <w:p w:rsidR="00124738" w:rsidRPr="009072DA" w:rsidRDefault="00124738" w:rsidP="00124738">
            <w:pPr>
              <w:spacing w:before="60" w:after="60" w:line="240" w:lineRule="atLeast"/>
              <w:jc w:val="center"/>
              <w:rPr>
                <w:rFonts w:cs="Arial"/>
                <w:sz w:val="18"/>
                <w:szCs w:val="18"/>
                <w:lang w:val="bg-BG"/>
              </w:rPr>
            </w:pPr>
          </w:p>
        </w:tc>
        <w:tc>
          <w:tcPr>
            <w:tcW w:w="972" w:type="dxa"/>
          </w:tcPr>
          <w:p w:rsidR="00124738" w:rsidRPr="009072DA" w:rsidRDefault="00124738" w:rsidP="00124738">
            <w:pPr>
              <w:spacing w:before="60" w:after="60" w:line="240" w:lineRule="atLeast"/>
              <w:jc w:val="center"/>
              <w:rPr>
                <w:rFonts w:cs="Arial"/>
                <w:b/>
                <w:sz w:val="18"/>
                <w:szCs w:val="18"/>
                <w:lang w:val="bg-BG"/>
              </w:rPr>
            </w:pPr>
            <w:r w:rsidRPr="009072DA">
              <w:rPr>
                <w:b/>
                <w:sz w:val="18"/>
                <w:lang w:val="bg-BG"/>
              </w:rPr>
              <w:t>-</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A0</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A0</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A60</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A30</w:t>
            </w:r>
          </w:p>
        </w:tc>
        <w:tc>
          <w:tcPr>
            <w:tcW w:w="972" w:type="dxa"/>
            <w:vAlign w:val="center"/>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A0</w:t>
            </w:r>
          </w:p>
        </w:tc>
      </w:tr>
      <w:tr w:rsidR="00124738" w:rsidRPr="009072DA" w:rsidTr="007A7CC3">
        <w:trPr>
          <w:jc w:val="center"/>
        </w:trPr>
        <w:tc>
          <w:tcPr>
            <w:tcW w:w="1843" w:type="dxa"/>
          </w:tcPr>
          <w:p w:rsidR="00124738" w:rsidRPr="009072DA" w:rsidRDefault="00124738" w:rsidP="00124738">
            <w:pPr>
              <w:spacing w:before="60" w:after="60" w:line="240" w:lineRule="atLeast"/>
              <w:rPr>
                <w:rFonts w:cs="Arial"/>
                <w:sz w:val="18"/>
                <w:szCs w:val="18"/>
                <w:lang w:val="bg-BG"/>
              </w:rPr>
            </w:pPr>
            <w:r w:rsidRPr="009072DA">
              <w:rPr>
                <w:sz w:val="18"/>
                <w:lang w:val="bg-BG"/>
              </w:rPr>
              <w:t>Сборни пунктове</w:t>
            </w:r>
          </w:p>
        </w:tc>
        <w:tc>
          <w:tcPr>
            <w:tcW w:w="972" w:type="dxa"/>
          </w:tcPr>
          <w:p w:rsidR="00124738" w:rsidRPr="009072DA" w:rsidRDefault="00124738" w:rsidP="00124738">
            <w:pPr>
              <w:spacing w:before="60" w:after="60" w:line="240" w:lineRule="atLeast"/>
              <w:jc w:val="center"/>
              <w:rPr>
                <w:rFonts w:cs="Arial"/>
                <w:sz w:val="18"/>
                <w:szCs w:val="18"/>
                <w:lang w:val="bg-BG"/>
              </w:rPr>
            </w:pPr>
          </w:p>
        </w:tc>
        <w:tc>
          <w:tcPr>
            <w:tcW w:w="972" w:type="dxa"/>
          </w:tcPr>
          <w:p w:rsidR="00124738" w:rsidRPr="009072DA" w:rsidRDefault="00124738" w:rsidP="00124738">
            <w:pPr>
              <w:spacing w:before="60" w:after="60" w:line="240" w:lineRule="atLeast"/>
              <w:jc w:val="center"/>
              <w:rPr>
                <w:rFonts w:cs="Arial"/>
                <w:sz w:val="18"/>
                <w:szCs w:val="18"/>
                <w:lang w:val="bg-BG"/>
              </w:rPr>
            </w:pP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 xml:space="preserve">A30/B15 </w:t>
            </w:r>
            <w:r w:rsidRPr="009072DA">
              <w:rPr>
                <w:sz w:val="18"/>
                <w:vertAlign w:val="superscript"/>
                <w:lang w:val="bg-BG"/>
              </w:rPr>
              <w:t>2)</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A60</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A30</w:t>
            </w:r>
          </w:p>
        </w:tc>
        <w:tc>
          <w:tcPr>
            <w:tcW w:w="972" w:type="dxa"/>
            <w:vAlign w:val="center"/>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A0/A30</w:t>
            </w:r>
            <w:r w:rsidRPr="009072DA">
              <w:rPr>
                <w:sz w:val="18"/>
                <w:vertAlign w:val="superscript"/>
                <w:lang w:val="bg-BG"/>
              </w:rPr>
              <w:t>5)</w:t>
            </w:r>
          </w:p>
        </w:tc>
      </w:tr>
      <w:tr w:rsidR="00124738" w:rsidRPr="009072DA" w:rsidTr="007A7CC3">
        <w:trPr>
          <w:jc w:val="center"/>
        </w:trPr>
        <w:tc>
          <w:tcPr>
            <w:tcW w:w="1843" w:type="dxa"/>
          </w:tcPr>
          <w:p w:rsidR="00124738" w:rsidRPr="009072DA" w:rsidRDefault="00124738" w:rsidP="00124738">
            <w:pPr>
              <w:spacing w:before="60" w:after="60" w:line="240" w:lineRule="atLeast"/>
              <w:rPr>
                <w:rFonts w:cs="Arial"/>
                <w:sz w:val="18"/>
                <w:szCs w:val="18"/>
                <w:lang w:val="bg-BG"/>
              </w:rPr>
            </w:pPr>
            <w:r w:rsidRPr="009072DA">
              <w:rPr>
                <w:sz w:val="18"/>
                <w:lang w:val="bg-BG"/>
              </w:rPr>
              <w:t>Салони</w:t>
            </w:r>
          </w:p>
        </w:tc>
        <w:tc>
          <w:tcPr>
            <w:tcW w:w="972" w:type="dxa"/>
          </w:tcPr>
          <w:p w:rsidR="00124738" w:rsidRPr="009072DA" w:rsidRDefault="00124738" w:rsidP="00124738">
            <w:pPr>
              <w:spacing w:before="60" w:after="60" w:line="240" w:lineRule="atLeast"/>
              <w:jc w:val="center"/>
              <w:rPr>
                <w:rFonts w:cs="Arial"/>
                <w:sz w:val="18"/>
                <w:szCs w:val="18"/>
                <w:lang w:val="bg-BG"/>
              </w:rPr>
            </w:pPr>
          </w:p>
        </w:tc>
        <w:tc>
          <w:tcPr>
            <w:tcW w:w="972" w:type="dxa"/>
          </w:tcPr>
          <w:p w:rsidR="00124738" w:rsidRPr="009072DA" w:rsidRDefault="00124738" w:rsidP="00124738">
            <w:pPr>
              <w:spacing w:before="60" w:after="60" w:line="240" w:lineRule="atLeast"/>
              <w:jc w:val="center"/>
              <w:rPr>
                <w:rFonts w:cs="Arial"/>
                <w:sz w:val="18"/>
                <w:szCs w:val="18"/>
                <w:lang w:val="bg-BG"/>
              </w:rPr>
            </w:pPr>
          </w:p>
        </w:tc>
        <w:tc>
          <w:tcPr>
            <w:tcW w:w="972" w:type="dxa"/>
          </w:tcPr>
          <w:p w:rsidR="00124738" w:rsidRPr="009072DA" w:rsidRDefault="00124738" w:rsidP="00124738">
            <w:pPr>
              <w:spacing w:before="60" w:after="60" w:line="240" w:lineRule="atLeast"/>
              <w:jc w:val="center"/>
              <w:rPr>
                <w:rFonts w:cs="Arial"/>
                <w:sz w:val="18"/>
                <w:szCs w:val="18"/>
                <w:lang w:val="bg-BG"/>
              </w:rPr>
            </w:pPr>
          </w:p>
        </w:tc>
        <w:tc>
          <w:tcPr>
            <w:tcW w:w="972" w:type="dxa"/>
          </w:tcPr>
          <w:p w:rsidR="00124738" w:rsidRPr="009072DA" w:rsidRDefault="00124738" w:rsidP="00570639">
            <w:pPr>
              <w:spacing w:before="60" w:after="60" w:line="240" w:lineRule="atLeast"/>
              <w:jc w:val="center"/>
              <w:rPr>
                <w:rFonts w:cs="Arial"/>
                <w:sz w:val="18"/>
                <w:szCs w:val="18"/>
                <w:lang w:val="bg-BG"/>
              </w:rPr>
            </w:pPr>
            <w:r w:rsidRPr="009072DA">
              <w:rPr>
                <w:sz w:val="18"/>
                <w:lang w:val="bg-BG"/>
              </w:rPr>
              <w:t>-/B15/B0</w:t>
            </w:r>
            <w:r w:rsidRPr="009072DA">
              <w:rPr>
                <w:sz w:val="18"/>
                <w:vertAlign w:val="superscript"/>
                <w:lang w:val="bg-BG"/>
              </w:rPr>
              <w:t>3)</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A60</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A30</w:t>
            </w:r>
          </w:p>
        </w:tc>
        <w:tc>
          <w:tcPr>
            <w:tcW w:w="972" w:type="dxa"/>
            <w:vAlign w:val="center"/>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A0</w:t>
            </w:r>
          </w:p>
        </w:tc>
      </w:tr>
      <w:tr w:rsidR="00124738" w:rsidRPr="009072DA" w:rsidTr="007A7CC3">
        <w:trPr>
          <w:jc w:val="center"/>
        </w:trPr>
        <w:tc>
          <w:tcPr>
            <w:tcW w:w="1843" w:type="dxa"/>
          </w:tcPr>
          <w:p w:rsidR="00124738" w:rsidRPr="009072DA" w:rsidRDefault="00124738" w:rsidP="00124738">
            <w:pPr>
              <w:spacing w:before="60" w:after="60" w:line="240" w:lineRule="atLeast"/>
              <w:rPr>
                <w:rFonts w:cs="Arial"/>
                <w:sz w:val="18"/>
                <w:szCs w:val="18"/>
                <w:lang w:val="bg-BG"/>
              </w:rPr>
            </w:pPr>
            <w:r w:rsidRPr="009072DA">
              <w:rPr>
                <w:sz w:val="18"/>
                <w:lang w:val="bg-BG"/>
              </w:rPr>
              <w:t>Машинни отделения</w:t>
            </w:r>
          </w:p>
        </w:tc>
        <w:tc>
          <w:tcPr>
            <w:tcW w:w="972" w:type="dxa"/>
          </w:tcPr>
          <w:p w:rsidR="00124738" w:rsidRPr="009072DA" w:rsidRDefault="00124738" w:rsidP="00124738">
            <w:pPr>
              <w:spacing w:before="60" w:after="60" w:line="240" w:lineRule="atLeast"/>
              <w:jc w:val="center"/>
              <w:rPr>
                <w:rFonts w:cs="Arial"/>
                <w:sz w:val="18"/>
                <w:szCs w:val="18"/>
                <w:lang w:val="bg-BG"/>
              </w:rPr>
            </w:pPr>
          </w:p>
        </w:tc>
        <w:tc>
          <w:tcPr>
            <w:tcW w:w="972" w:type="dxa"/>
          </w:tcPr>
          <w:p w:rsidR="00124738" w:rsidRPr="009072DA" w:rsidRDefault="00124738" w:rsidP="00124738">
            <w:pPr>
              <w:spacing w:before="60" w:after="60" w:line="240" w:lineRule="atLeast"/>
              <w:jc w:val="center"/>
              <w:rPr>
                <w:rFonts w:cs="Arial"/>
                <w:sz w:val="18"/>
                <w:szCs w:val="18"/>
                <w:lang w:val="bg-BG"/>
              </w:rPr>
            </w:pPr>
          </w:p>
        </w:tc>
        <w:tc>
          <w:tcPr>
            <w:tcW w:w="972" w:type="dxa"/>
          </w:tcPr>
          <w:p w:rsidR="00124738" w:rsidRPr="009072DA" w:rsidRDefault="00124738" w:rsidP="00124738">
            <w:pPr>
              <w:spacing w:before="60" w:after="60" w:line="240" w:lineRule="atLeast"/>
              <w:jc w:val="center"/>
              <w:rPr>
                <w:rFonts w:cs="Arial"/>
                <w:sz w:val="18"/>
                <w:szCs w:val="18"/>
                <w:lang w:val="bg-BG"/>
              </w:rPr>
            </w:pPr>
          </w:p>
        </w:tc>
        <w:tc>
          <w:tcPr>
            <w:tcW w:w="972" w:type="dxa"/>
          </w:tcPr>
          <w:p w:rsidR="00124738" w:rsidRPr="009072DA" w:rsidRDefault="00124738" w:rsidP="00124738">
            <w:pPr>
              <w:spacing w:before="60" w:after="60" w:line="240" w:lineRule="atLeast"/>
              <w:jc w:val="center"/>
              <w:rPr>
                <w:rFonts w:cs="Arial"/>
                <w:b/>
                <w:sz w:val="18"/>
                <w:szCs w:val="18"/>
                <w:lang w:val="bg-BG"/>
              </w:rPr>
            </w:pP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 xml:space="preserve">A60/A0 </w:t>
            </w:r>
            <w:r w:rsidRPr="009072DA">
              <w:rPr>
                <w:sz w:val="18"/>
                <w:vertAlign w:val="superscript"/>
                <w:lang w:val="bg-BG"/>
              </w:rPr>
              <w:t>4)</w:t>
            </w: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A60</w:t>
            </w:r>
          </w:p>
        </w:tc>
        <w:tc>
          <w:tcPr>
            <w:tcW w:w="972" w:type="dxa"/>
            <w:vAlign w:val="center"/>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A60</w:t>
            </w:r>
          </w:p>
        </w:tc>
      </w:tr>
      <w:tr w:rsidR="00124738" w:rsidRPr="009072DA" w:rsidTr="007A7CC3">
        <w:trPr>
          <w:jc w:val="center"/>
        </w:trPr>
        <w:tc>
          <w:tcPr>
            <w:tcW w:w="1843" w:type="dxa"/>
          </w:tcPr>
          <w:p w:rsidR="00124738" w:rsidRPr="009072DA" w:rsidRDefault="00124738" w:rsidP="00124738">
            <w:pPr>
              <w:spacing w:before="60" w:after="60" w:line="240" w:lineRule="atLeast"/>
              <w:rPr>
                <w:rFonts w:cs="Arial"/>
                <w:sz w:val="18"/>
                <w:szCs w:val="18"/>
                <w:lang w:val="bg-BG"/>
              </w:rPr>
            </w:pPr>
            <w:r w:rsidRPr="009072DA">
              <w:rPr>
                <w:sz w:val="18"/>
                <w:lang w:val="bg-BG"/>
              </w:rPr>
              <w:t>Камбузи</w:t>
            </w:r>
          </w:p>
        </w:tc>
        <w:tc>
          <w:tcPr>
            <w:tcW w:w="972" w:type="dxa"/>
          </w:tcPr>
          <w:p w:rsidR="00124738" w:rsidRPr="009072DA" w:rsidRDefault="00124738" w:rsidP="00124738">
            <w:pPr>
              <w:spacing w:before="60" w:after="60" w:line="240" w:lineRule="atLeast"/>
              <w:jc w:val="center"/>
              <w:rPr>
                <w:rFonts w:cs="Arial"/>
                <w:sz w:val="18"/>
                <w:szCs w:val="18"/>
                <w:lang w:val="bg-BG"/>
              </w:rPr>
            </w:pPr>
          </w:p>
        </w:tc>
        <w:tc>
          <w:tcPr>
            <w:tcW w:w="972" w:type="dxa"/>
          </w:tcPr>
          <w:p w:rsidR="00124738" w:rsidRPr="009072DA" w:rsidRDefault="00124738" w:rsidP="00124738">
            <w:pPr>
              <w:spacing w:before="60" w:after="60" w:line="240" w:lineRule="atLeast"/>
              <w:jc w:val="center"/>
              <w:rPr>
                <w:rFonts w:cs="Arial"/>
                <w:sz w:val="18"/>
                <w:szCs w:val="18"/>
                <w:lang w:val="bg-BG"/>
              </w:rPr>
            </w:pPr>
          </w:p>
        </w:tc>
        <w:tc>
          <w:tcPr>
            <w:tcW w:w="972" w:type="dxa"/>
          </w:tcPr>
          <w:p w:rsidR="00124738" w:rsidRPr="009072DA" w:rsidRDefault="00124738" w:rsidP="00124738">
            <w:pPr>
              <w:spacing w:before="60" w:after="60" w:line="240" w:lineRule="atLeast"/>
              <w:jc w:val="center"/>
              <w:rPr>
                <w:rFonts w:cs="Arial"/>
                <w:sz w:val="18"/>
                <w:szCs w:val="18"/>
                <w:lang w:val="bg-BG"/>
              </w:rPr>
            </w:pPr>
          </w:p>
        </w:tc>
        <w:tc>
          <w:tcPr>
            <w:tcW w:w="972" w:type="dxa"/>
          </w:tcPr>
          <w:p w:rsidR="00124738" w:rsidRPr="009072DA" w:rsidRDefault="00124738" w:rsidP="00124738">
            <w:pPr>
              <w:spacing w:before="60" w:after="60" w:line="240" w:lineRule="atLeast"/>
              <w:jc w:val="center"/>
              <w:rPr>
                <w:rFonts w:cs="Arial"/>
                <w:b/>
                <w:sz w:val="18"/>
                <w:szCs w:val="18"/>
                <w:lang w:val="bg-BG"/>
              </w:rPr>
            </w:pPr>
          </w:p>
        </w:tc>
        <w:tc>
          <w:tcPr>
            <w:tcW w:w="972" w:type="dxa"/>
          </w:tcPr>
          <w:p w:rsidR="00124738" w:rsidRPr="009072DA" w:rsidRDefault="00124738" w:rsidP="00124738">
            <w:pPr>
              <w:spacing w:before="60" w:after="60" w:line="240" w:lineRule="atLeast"/>
              <w:jc w:val="center"/>
              <w:rPr>
                <w:rFonts w:cs="Arial"/>
                <w:b/>
                <w:sz w:val="18"/>
                <w:szCs w:val="18"/>
                <w:lang w:val="bg-BG"/>
              </w:rPr>
            </w:pPr>
          </w:p>
        </w:tc>
        <w:tc>
          <w:tcPr>
            <w:tcW w:w="972" w:type="dxa"/>
          </w:tcPr>
          <w:p w:rsidR="00124738" w:rsidRPr="009072DA" w:rsidRDefault="00124738" w:rsidP="00124738">
            <w:pPr>
              <w:spacing w:before="60" w:after="60" w:line="240" w:lineRule="atLeast"/>
              <w:jc w:val="center"/>
              <w:rPr>
                <w:rFonts w:cs="Arial"/>
                <w:b/>
                <w:sz w:val="18"/>
                <w:szCs w:val="18"/>
                <w:lang w:val="bg-BG"/>
              </w:rPr>
            </w:pPr>
            <w:r w:rsidRPr="009072DA">
              <w:rPr>
                <w:b/>
                <w:sz w:val="18"/>
                <w:lang w:val="bg-BG"/>
              </w:rPr>
              <w:t>-</w:t>
            </w:r>
          </w:p>
        </w:tc>
        <w:tc>
          <w:tcPr>
            <w:tcW w:w="972" w:type="dxa"/>
            <w:vAlign w:val="center"/>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A0/B15</w:t>
            </w:r>
            <w:r w:rsidRPr="009072DA">
              <w:rPr>
                <w:sz w:val="18"/>
                <w:vertAlign w:val="superscript"/>
                <w:lang w:val="bg-BG"/>
              </w:rPr>
              <w:t xml:space="preserve">6) </w:t>
            </w:r>
          </w:p>
        </w:tc>
      </w:tr>
      <w:tr w:rsidR="00124738" w:rsidRPr="009072DA" w:rsidTr="007A7CC3">
        <w:trPr>
          <w:jc w:val="center"/>
        </w:trPr>
        <w:tc>
          <w:tcPr>
            <w:tcW w:w="1843" w:type="dxa"/>
          </w:tcPr>
          <w:p w:rsidR="00124738" w:rsidRPr="009072DA" w:rsidRDefault="00124738" w:rsidP="00124738">
            <w:pPr>
              <w:spacing w:before="60" w:after="60" w:line="240" w:lineRule="atLeast"/>
              <w:rPr>
                <w:rFonts w:cs="Arial"/>
                <w:sz w:val="18"/>
                <w:szCs w:val="18"/>
                <w:lang w:val="bg-BG"/>
              </w:rPr>
            </w:pPr>
            <w:r w:rsidRPr="009072DA">
              <w:rPr>
                <w:sz w:val="18"/>
                <w:lang w:val="bg-BG"/>
              </w:rPr>
              <w:t>Складови помещения</w:t>
            </w:r>
          </w:p>
        </w:tc>
        <w:tc>
          <w:tcPr>
            <w:tcW w:w="972" w:type="dxa"/>
          </w:tcPr>
          <w:p w:rsidR="00124738" w:rsidRPr="009072DA" w:rsidRDefault="00124738" w:rsidP="00124738">
            <w:pPr>
              <w:spacing w:before="60" w:after="60" w:line="240" w:lineRule="atLeast"/>
              <w:jc w:val="center"/>
              <w:rPr>
                <w:rFonts w:cs="Arial"/>
                <w:sz w:val="18"/>
                <w:szCs w:val="18"/>
                <w:lang w:val="bg-BG"/>
              </w:rPr>
            </w:pPr>
          </w:p>
        </w:tc>
        <w:tc>
          <w:tcPr>
            <w:tcW w:w="972" w:type="dxa"/>
          </w:tcPr>
          <w:p w:rsidR="00124738" w:rsidRPr="009072DA" w:rsidRDefault="00124738" w:rsidP="00124738">
            <w:pPr>
              <w:spacing w:before="60" w:after="60" w:line="240" w:lineRule="atLeast"/>
              <w:jc w:val="center"/>
              <w:rPr>
                <w:rFonts w:cs="Arial"/>
                <w:sz w:val="18"/>
                <w:szCs w:val="18"/>
                <w:lang w:val="bg-BG"/>
              </w:rPr>
            </w:pPr>
          </w:p>
        </w:tc>
        <w:tc>
          <w:tcPr>
            <w:tcW w:w="972" w:type="dxa"/>
          </w:tcPr>
          <w:p w:rsidR="00124738" w:rsidRPr="009072DA" w:rsidRDefault="00124738" w:rsidP="00124738">
            <w:pPr>
              <w:spacing w:before="60" w:after="60" w:line="240" w:lineRule="atLeast"/>
              <w:jc w:val="center"/>
              <w:rPr>
                <w:rFonts w:cs="Arial"/>
                <w:sz w:val="18"/>
                <w:szCs w:val="18"/>
                <w:lang w:val="bg-BG"/>
              </w:rPr>
            </w:pPr>
          </w:p>
        </w:tc>
        <w:tc>
          <w:tcPr>
            <w:tcW w:w="972" w:type="dxa"/>
          </w:tcPr>
          <w:p w:rsidR="00124738" w:rsidRPr="009072DA" w:rsidRDefault="00124738" w:rsidP="00124738">
            <w:pPr>
              <w:spacing w:before="60" w:after="60" w:line="240" w:lineRule="atLeast"/>
              <w:jc w:val="center"/>
              <w:rPr>
                <w:rFonts w:cs="Arial"/>
                <w:sz w:val="18"/>
                <w:szCs w:val="18"/>
                <w:lang w:val="bg-BG"/>
              </w:rPr>
            </w:pPr>
          </w:p>
        </w:tc>
        <w:tc>
          <w:tcPr>
            <w:tcW w:w="972" w:type="dxa"/>
          </w:tcPr>
          <w:p w:rsidR="00124738" w:rsidRPr="009072DA" w:rsidRDefault="00124738" w:rsidP="00124738">
            <w:pPr>
              <w:spacing w:before="60" w:after="60" w:line="240" w:lineRule="atLeast"/>
              <w:jc w:val="center"/>
              <w:rPr>
                <w:rFonts w:cs="Arial"/>
                <w:sz w:val="18"/>
                <w:szCs w:val="18"/>
                <w:lang w:val="bg-BG"/>
              </w:rPr>
            </w:pPr>
          </w:p>
        </w:tc>
        <w:tc>
          <w:tcPr>
            <w:tcW w:w="972" w:type="dxa"/>
          </w:tcPr>
          <w:p w:rsidR="00124738" w:rsidRPr="009072DA" w:rsidRDefault="00124738" w:rsidP="00124738">
            <w:pPr>
              <w:spacing w:before="60" w:after="60" w:line="240" w:lineRule="atLeast"/>
              <w:jc w:val="center"/>
              <w:rPr>
                <w:rFonts w:cs="Arial"/>
                <w:sz w:val="18"/>
                <w:szCs w:val="18"/>
                <w:lang w:val="bg-BG"/>
              </w:rPr>
            </w:pPr>
          </w:p>
        </w:tc>
        <w:tc>
          <w:tcPr>
            <w:tcW w:w="972" w:type="dxa"/>
          </w:tcPr>
          <w:p w:rsidR="00124738" w:rsidRPr="009072DA" w:rsidRDefault="00124738" w:rsidP="00124738">
            <w:pPr>
              <w:spacing w:before="60" w:after="60" w:line="240" w:lineRule="atLeast"/>
              <w:jc w:val="center"/>
              <w:rPr>
                <w:rFonts w:cs="Arial"/>
                <w:sz w:val="18"/>
                <w:szCs w:val="18"/>
                <w:lang w:val="bg-BG"/>
              </w:rPr>
            </w:pPr>
            <w:r w:rsidRPr="009072DA">
              <w:rPr>
                <w:sz w:val="18"/>
                <w:lang w:val="bg-BG"/>
              </w:rPr>
              <w:t>-</w:t>
            </w:r>
          </w:p>
        </w:tc>
      </w:tr>
      <w:tr w:rsidR="00124738" w:rsidRPr="009072DA" w:rsidTr="007A7CC3">
        <w:trPr>
          <w:jc w:val="center"/>
        </w:trPr>
        <w:tc>
          <w:tcPr>
            <w:tcW w:w="8647" w:type="dxa"/>
            <w:gridSpan w:val="8"/>
            <w:tcBorders>
              <w:left w:val="nil"/>
              <w:bottom w:val="nil"/>
              <w:right w:val="nil"/>
            </w:tcBorders>
          </w:tcPr>
          <w:p w:rsidR="00124738" w:rsidRPr="009072DA" w:rsidRDefault="00124738" w:rsidP="007A7CC3">
            <w:pPr>
              <w:tabs>
                <w:tab w:val="left" w:pos="567"/>
                <w:tab w:val="left" w:pos="1134"/>
                <w:tab w:val="left" w:pos="5670"/>
              </w:tabs>
              <w:suppressAutoHyphens/>
              <w:spacing w:before="60" w:after="20"/>
              <w:ind w:left="284" w:hanging="284"/>
              <w:rPr>
                <w:spacing w:val="-20"/>
                <w:sz w:val="18"/>
                <w:szCs w:val="18"/>
                <w:vertAlign w:val="superscript"/>
                <w:lang w:val="bg-BG"/>
              </w:rPr>
            </w:pPr>
          </w:p>
          <w:p w:rsidR="00124738" w:rsidRPr="009072DA" w:rsidRDefault="00124738" w:rsidP="007A7CC3">
            <w:pPr>
              <w:tabs>
                <w:tab w:val="left" w:pos="567"/>
                <w:tab w:val="left" w:pos="1134"/>
                <w:tab w:val="left" w:pos="5670"/>
              </w:tabs>
              <w:suppressAutoHyphens/>
              <w:spacing w:before="60" w:after="20"/>
              <w:ind w:left="284" w:hanging="284"/>
              <w:rPr>
                <w:spacing w:val="-20"/>
                <w:sz w:val="18"/>
                <w:szCs w:val="18"/>
                <w:lang w:val="bg-BG"/>
              </w:rPr>
            </w:pPr>
            <w:r w:rsidRPr="009072DA">
              <w:rPr>
                <w:spacing w:val="-20"/>
                <w:sz w:val="18"/>
                <w:vertAlign w:val="superscript"/>
                <w:lang w:val="bg-BG"/>
              </w:rPr>
              <w:t>1)</w:t>
            </w:r>
            <w:r w:rsidRPr="009072DA">
              <w:rPr>
                <w:lang w:val="bg-BG"/>
              </w:rPr>
              <w:tab/>
            </w:r>
            <w:r w:rsidRPr="009072DA">
              <w:rPr>
                <w:sz w:val="18"/>
                <w:lang w:val="bg-BG"/>
              </w:rPr>
              <w:t>Преградните стени между центровете за управление и вътрешните сборни пунктове трябва да съответстват на тип A0, но тези за външните сборни пунктове — само на тип B15.</w:t>
            </w:r>
          </w:p>
        </w:tc>
      </w:tr>
      <w:tr w:rsidR="00124738" w:rsidRPr="009072DA" w:rsidTr="007A7CC3">
        <w:trPr>
          <w:jc w:val="center"/>
        </w:trPr>
        <w:tc>
          <w:tcPr>
            <w:tcW w:w="8647" w:type="dxa"/>
            <w:gridSpan w:val="8"/>
            <w:tcBorders>
              <w:top w:val="nil"/>
              <w:left w:val="nil"/>
              <w:bottom w:val="nil"/>
              <w:right w:val="nil"/>
            </w:tcBorders>
          </w:tcPr>
          <w:p w:rsidR="00124738" w:rsidRPr="009072DA" w:rsidRDefault="00124738" w:rsidP="007A7CC3">
            <w:pPr>
              <w:tabs>
                <w:tab w:val="left" w:pos="567"/>
                <w:tab w:val="left" w:pos="1134"/>
                <w:tab w:val="left" w:pos="5670"/>
              </w:tabs>
              <w:suppressAutoHyphens/>
              <w:spacing w:before="20" w:after="20"/>
              <w:ind w:left="284" w:hanging="284"/>
              <w:rPr>
                <w:spacing w:val="-20"/>
                <w:sz w:val="18"/>
                <w:szCs w:val="18"/>
                <w:lang w:val="bg-BG"/>
              </w:rPr>
            </w:pPr>
            <w:r w:rsidRPr="009072DA">
              <w:rPr>
                <w:spacing w:val="-20"/>
                <w:sz w:val="18"/>
                <w:vertAlign w:val="superscript"/>
                <w:lang w:val="bg-BG"/>
              </w:rPr>
              <w:t>2)</w:t>
            </w:r>
            <w:r w:rsidRPr="009072DA">
              <w:rPr>
                <w:lang w:val="bg-BG"/>
              </w:rPr>
              <w:tab/>
            </w:r>
            <w:r w:rsidRPr="009072DA">
              <w:rPr>
                <w:sz w:val="18"/>
                <w:lang w:val="bg-BG"/>
              </w:rPr>
              <w:t>Преградните стени между салоните и вътрешните сборни пунктове трябва да съответстват на тип A30, но тези за външните сборни пунктове - само на тип B15.</w:t>
            </w:r>
          </w:p>
        </w:tc>
      </w:tr>
      <w:tr w:rsidR="00124738" w:rsidRPr="008D2440" w:rsidTr="007A7CC3">
        <w:trPr>
          <w:jc w:val="center"/>
        </w:trPr>
        <w:tc>
          <w:tcPr>
            <w:tcW w:w="8647" w:type="dxa"/>
            <w:gridSpan w:val="8"/>
            <w:tcBorders>
              <w:top w:val="nil"/>
              <w:left w:val="nil"/>
              <w:bottom w:val="nil"/>
              <w:right w:val="nil"/>
            </w:tcBorders>
          </w:tcPr>
          <w:p w:rsidR="00124738" w:rsidRPr="009072DA" w:rsidRDefault="00124738" w:rsidP="00380DE8">
            <w:pPr>
              <w:tabs>
                <w:tab w:val="left" w:pos="567"/>
                <w:tab w:val="left" w:pos="1134"/>
                <w:tab w:val="left" w:pos="5670"/>
              </w:tabs>
              <w:suppressAutoHyphens/>
              <w:spacing w:before="20" w:after="20"/>
              <w:ind w:left="284" w:hanging="284"/>
              <w:rPr>
                <w:spacing w:val="-20"/>
                <w:sz w:val="18"/>
                <w:szCs w:val="18"/>
                <w:lang w:val="bg-BG"/>
              </w:rPr>
            </w:pPr>
            <w:r w:rsidRPr="009072DA">
              <w:rPr>
                <w:spacing w:val="-20"/>
                <w:sz w:val="18"/>
                <w:vertAlign w:val="superscript"/>
                <w:lang w:val="bg-BG"/>
              </w:rPr>
              <w:t>3)</w:t>
            </w:r>
            <w:r w:rsidRPr="009072DA">
              <w:rPr>
                <w:lang w:val="bg-BG"/>
              </w:rPr>
              <w:tab/>
            </w:r>
            <w:r w:rsidRPr="009072DA">
              <w:rPr>
                <w:sz w:val="18"/>
                <w:lang w:val="bg-BG"/>
              </w:rPr>
              <w:t xml:space="preserve">Преградните стени между каютите, преградните стени между каютите и коридорите и вертикалните </w:t>
            </w:r>
            <w:r w:rsidRPr="009072DA">
              <w:rPr>
                <w:sz w:val="18"/>
                <w:lang w:val="bg-BG"/>
              </w:rPr>
              <w:lastRenderedPageBreak/>
              <w:t>преградни стени, разделящи салоните съгласно точка 10, трябва да съответстват на тип В15, а за помещения, снабдени със спринклерни системи под налягане, те трябва да съответстват на тип В0. Преградните стени между каютите и сауните трябва да съответстват на тип А0, а за помещения, снабдени със спринклерни системи под налягане, те трябва да съответстват на тип В15.</w:t>
            </w:r>
          </w:p>
        </w:tc>
      </w:tr>
      <w:tr w:rsidR="00124738" w:rsidRPr="008D2440" w:rsidTr="007A7CC3">
        <w:trPr>
          <w:jc w:val="center"/>
        </w:trPr>
        <w:tc>
          <w:tcPr>
            <w:tcW w:w="8647" w:type="dxa"/>
            <w:gridSpan w:val="8"/>
            <w:tcBorders>
              <w:top w:val="nil"/>
              <w:left w:val="nil"/>
              <w:bottom w:val="nil"/>
              <w:right w:val="nil"/>
            </w:tcBorders>
          </w:tcPr>
          <w:p w:rsidR="00124738" w:rsidRPr="009072DA" w:rsidRDefault="00124738" w:rsidP="00570639">
            <w:pPr>
              <w:tabs>
                <w:tab w:val="left" w:pos="567"/>
                <w:tab w:val="left" w:pos="1134"/>
                <w:tab w:val="left" w:pos="5670"/>
              </w:tabs>
              <w:suppressAutoHyphens/>
              <w:spacing w:before="20" w:after="20"/>
              <w:ind w:left="284" w:hanging="284"/>
              <w:rPr>
                <w:spacing w:val="-20"/>
                <w:sz w:val="18"/>
                <w:szCs w:val="18"/>
                <w:lang w:val="bg-BG"/>
              </w:rPr>
            </w:pPr>
            <w:r w:rsidRPr="009072DA">
              <w:rPr>
                <w:spacing w:val="-20"/>
                <w:sz w:val="18"/>
                <w:vertAlign w:val="superscript"/>
                <w:lang w:val="bg-BG"/>
              </w:rPr>
              <w:lastRenderedPageBreak/>
              <w:t>4</w:t>
            </w:r>
            <w:r w:rsidRPr="009072DA">
              <w:rPr>
                <w:lang w:val="bg-BG"/>
              </w:rPr>
              <w:tab/>
            </w:r>
            <w:r w:rsidRPr="009072DA">
              <w:rPr>
                <w:sz w:val="18"/>
                <w:lang w:val="bg-BG"/>
              </w:rPr>
              <w:t>Преградните стени между машинните отделения съгласно членове 19.07 и 19.10, точка 6 трябва да съответстват на тип А60;  в останалите случаи те трябва да съответстват на тип А0.</w:t>
            </w:r>
          </w:p>
        </w:tc>
      </w:tr>
      <w:tr w:rsidR="00124738" w:rsidRPr="008D2440" w:rsidTr="007A7CC3">
        <w:trPr>
          <w:jc w:val="center"/>
        </w:trPr>
        <w:tc>
          <w:tcPr>
            <w:tcW w:w="8647" w:type="dxa"/>
            <w:gridSpan w:val="8"/>
            <w:tcBorders>
              <w:top w:val="nil"/>
              <w:left w:val="nil"/>
              <w:bottom w:val="nil"/>
              <w:right w:val="nil"/>
            </w:tcBorders>
          </w:tcPr>
          <w:p w:rsidR="00124738" w:rsidRPr="009072DA" w:rsidRDefault="00124738" w:rsidP="007A7CC3">
            <w:pPr>
              <w:tabs>
                <w:tab w:val="left" w:pos="567"/>
                <w:tab w:val="left" w:pos="1134"/>
                <w:tab w:val="left" w:pos="5670"/>
              </w:tabs>
              <w:suppressAutoHyphens/>
              <w:spacing w:before="20" w:after="20"/>
              <w:ind w:left="284" w:hanging="284"/>
              <w:rPr>
                <w:spacing w:val="-20"/>
                <w:sz w:val="18"/>
                <w:szCs w:val="18"/>
                <w:lang w:val="bg-BG"/>
              </w:rPr>
            </w:pPr>
            <w:r w:rsidRPr="009072DA">
              <w:rPr>
                <w:spacing w:val="-20"/>
                <w:sz w:val="18"/>
                <w:vertAlign w:val="superscript"/>
                <w:lang w:val="bg-BG"/>
              </w:rPr>
              <w:t>5</w:t>
            </w:r>
            <w:r w:rsidRPr="009072DA">
              <w:rPr>
                <w:lang w:val="bg-BG"/>
              </w:rPr>
              <w:tab/>
            </w:r>
            <w:r w:rsidRPr="009072DA">
              <w:rPr>
                <w:sz w:val="18"/>
                <w:lang w:val="bg-BG"/>
              </w:rPr>
              <w:t>Преградните стени между складовите помещения за съхранение на запалими течности, центровете за управление и сборните пунктове трябва да съответстват на тип А60, а за помещения, снабдени със спринклерни системи под налягане — на тип A30.</w:t>
            </w:r>
          </w:p>
        </w:tc>
      </w:tr>
      <w:tr w:rsidR="00124738" w:rsidRPr="008D2440" w:rsidTr="007A7CC3">
        <w:trPr>
          <w:jc w:val="center"/>
        </w:trPr>
        <w:tc>
          <w:tcPr>
            <w:tcW w:w="8647" w:type="dxa"/>
            <w:gridSpan w:val="8"/>
            <w:tcBorders>
              <w:top w:val="nil"/>
              <w:left w:val="nil"/>
              <w:bottom w:val="nil"/>
              <w:right w:val="nil"/>
            </w:tcBorders>
          </w:tcPr>
          <w:p w:rsidR="00124738" w:rsidRPr="009072DA" w:rsidRDefault="00124738" w:rsidP="007A7CC3">
            <w:pPr>
              <w:tabs>
                <w:tab w:val="left" w:pos="567"/>
                <w:tab w:val="left" w:pos="1134"/>
                <w:tab w:val="left" w:pos="5670"/>
              </w:tabs>
              <w:suppressAutoHyphens/>
              <w:spacing w:before="20" w:after="20"/>
              <w:ind w:left="284" w:hanging="284"/>
              <w:rPr>
                <w:spacing w:val="-20"/>
                <w:sz w:val="18"/>
                <w:szCs w:val="18"/>
                <w:lang w:val="bg-BG"/>
              </w:rPr>
            </w:pPr>
            <w:r w:rsidRPr="009072DA">
              <w:rPr>
                <w:spacing w:val="-20"/>
                <w:sz w:val="18"/>
                <w:vertAlign w:val="superscript"/>
                <w:lang w:val="bg-BG"/>
              </w:rPr>
              <w:t>6</w:t>
            </w:r>
            <w:r w:rsidRPr="009072DA">
              <w:rPr>
                <w:lang w:val="bg-BG"/>
              </w:rPr>
              <w:tab/>
            </w:r>
            <w:r w:rsidRPr="009072DA">
              <w:rPr>
                <w:sz w:val="18"/>
                <w:lang w:val="bg-BG"/>
              </w:rPr>
              <w:t>Преградна стена от тип В15 е достатъчна за отделяне на камбузи, от една страна, от хладилни помещения и складове за храна, от друга страна.</w:t>
            </w:r>
          </w:p>
        </w:tc>
      </w:tr>
    </w:tbl>
    <w:p w:rsidR="00124738" w:rsidRPr="009072DA" w:rsidRDefault="00124738" w:rsidP="00124738">
      <w:pPr>
        <w:pStyle w:val="ESch"/>
        <w:rPr>
          <w:rFonts w:eastAsia="Calibri" w:cs="Arial"/>
          <w:szCs w:val="18"/>
          <w:lang w:val="bg-BG"/>
        </w:rPr>
      </w:pPr>
    </w:p>
    <w:p w:rsidR="00124738" w:rsidRPr="009072DA" w:rsidRDefault="00124738" w:rsidP="00124738">
      <w:pPr>
        <w:pStyle w:val="ESch"/>
        <w:rPr>
          <w:rFonts w:eastAsia="Calibri" w:cs="Arial"/>
          <w:szCs w:val="18"/>
          <w:lang w:val="bg-BG"/>
        </w:rPr>
      </w:pPr>
      <w:r w:rsidRPr="009072DA">
        <w:rPr>
          <w:lang w:val="bg-BG"/>
        </w:rPr>
        <w:br w:type="page"/>
      </w:r>
    </w:p>
    <w:p w:rsidR="00973DAA" w:rsidRPr="009072DA" w:rsidRDefault="005C7859" w:rsidP="00B72823">
      <w:pPr>
        <w:pStyle w:val="ESlet"/>
        <w:rPr>
          <w:rFonts w:eastAsia="Calibri" w:cs="Arial"/>
          <w:szCs w:val="18"/>
          <w:lang w:val="bg-BG"/>
        </w:rPr>
      </w:pPr>
      <w:r w:rsidRPr="009072DA">
        <w:rPr>
          <w:lang w:val="bg-BG"/>
        </w:rPr>
        <w:lastRenderedPageBreak/>
        <w:t>б)</w:t>
      </w:r>
      <w:r w:rsidRPr="009072DA">
        <w:rPr>
          <w:lang w:val="bg-BG"/>
        </w:rPr>
        <w:tab/>
        <w:t>преградните стени от тип А са прегради, стени и палуби, които отговарят на следните изисквания:</w:t>
      </w:r>
    </w:p>
    <w:p w:rsidR="00973DAA" w:rsidRPr="009072DA" w:rsidRDefault="00973DAA" w:rsidP="00124738">
      <w:pPr>
        <w:pStyle w:val="EStiret"/>
        <w:rPr>
          <w:rFonts w:eastAsia="Calibri" w:cs="Arial"/>
          <w:noProof w:val="0"/>
          <w:szCs w:val="18"/>
          <w:lang w:val="bg-BG"/>
        </w:rPr>
      </w:pPr>
      <w:r w:rsidRPr="009072DA">
        <w:rPr>
          <w:noProof w:val="0"/>
          <w:lang w:val="bg-BG"/>
        </w:rPr>
        <w:t>aa)</w:t>
      </w:r>
      <w:r w:rsidRPr="009072DA">
        <w:rPr>
          <w:noProof w:val="0"/>
          <w:lang w:val="bg-BG"/>
        </w:rPr>
        <w:tab/>
        <w:t>изработени са от стомана или от друг равностоен материал;</w:t>
      </w:r>
    </w:p>
    <w:p w:rsidR="00973DAA" w:rsidRPr="009072DA" w:rsidRDefault="00973DAA" w:rsidP="00124738">
      <w:pPr>
        <w:pStyle w:val="EStiret"/>
        <w:rPr>
          <w:rFonts w:eastAsia="Calibri" w:cs="Arial"/>
          <w:noProof w:val="0"/>
          <w:szCs w:val="18"/>
          <w:lang w:val="bg-BG"/>
        </w:rPr>
      </w:pPr>
      <w:r w:rsidRPr="009072DA">
        <w:rPr>
          <w:noProof w:val="0"/>
          <w:lang w:val="bg-BG"/>
        </w:rPr>
        <w:t>бб)</w:t>
      </w:r>
      <w:r w:rsidRPr="009072DA">
        <w:rPr>
          <w:noProof w:val="0"/>
          <w:lang w:val="bg-BG"/>
        </w:rPr>
        <w:tab/>
        <w:t>усилени са по подходящ начин;</w:t>
      </w:r>
    </w:p>
    <w:p w:rsidR="00973DAA" w:rsidRPr="009072DA" w:rsidRDefault="00973DAA" w:rsidP="00124738">
      <w:pPr>
        <w:pStyle w:val="EStiret"/>
        <w:rPr>
          <w:rFonts w:eastAsia="Calibri"/>
          <w:noProof w:val="0"/>
          <w:lang w:val="bg-BG"/>
        </w:rPr>
      </w:pPr>
      <w:r w:rsidRPr="009072DA">
        <w:rPr>
          <w:noProof w:val="0"/>
          <w:lang w:val="bg-BG"/>
        </w:rPr>
        <w:t>вв)</w:t>
      </w:r>
      <w:r w:rsidRPr="009072DA">
        <w:rPr>
          <w:noProof w:val="0"/>
          <w:lang w:val="bg-BG"/>
        </w:rPr>
        <w:tab/>
        <w:t>изолирани са с одобрен негорим материал по такъв начин, че средната температура на страната, обратна на огъня, да не достига повече от 140 °С над първоначалната температура, и в никоя точка, включително във фугите при съединенията, температурата да не достига повече от 180 °С над първоначалната температура за следните интервали от време:</w:t>
      </w:r>
    </w:p>
    <w:p w:rsidR="00973DAA" w:rsidRPr="009072DA" w:rsidRDefault="00973DAA" w:rsidP="00124738">
      <w:pPr>
        <w:pStyle w:val="EStiretpar"/>
        <w:tabs>
          <w:tab w:val="decimal" w:pos="2835"/>
          <w:tab w:val="left" w:pos="2977"/>
        </w:tabs>
        <w:rPr>
          <w:rFonts w:eastAsia="Calibri" w:cs="Arial"/>
          <w:noProof w:val="0"/>
          <w:szCs w:val="18"/>
          <w:lang w:val="bg-BG"/>
        </w:rPr>
      </w:pPr>
      <w:r w:rsidRPr="009072DA">
        <w:rPr>
          <w:noProof w:val="0"/>
          <w:lang w:val="bg-BG"/>
        </w:rPr>
        <w:t xml:space="preserve">Тип A60 </w:t>
      </w:r>
      <w:r w:rsidRPr="009072DA">
        <w:rPr>
          <w:noProof w:val="0"/>
          <w:lang w:val="bg-BG"/>
        </w:rPr>
        <w:tab/>
        <w:t>60</w:t>
      </w:r>
      <w:r w:rsidRPr="009072DA">
        <w:rPr>
          <w:noProof w:val="0"/>
          <w:lang w:val="bg-BG"/>
        </w:rPr>
        <w:tab/>
        <w:t>минути</w:t>
      </w:r>
    </w:p>
    <w:p w:rsidR="00973DAA" w:rsidRPr="009072DA" w:rsidRDefault="00973DAA" w:rsidP="00124738">
      <w:pPr>
        <w:pStyle w:val="EStiretpar"/>
        <w:tabs>
          <w:tab w:val="decimal" w:pos="2835"/>
          <w:tab w:val="left" w:pos="2977"/>
        </w:tabs>
        <w:rPr>
          <w:rFonts w:eastAsia="Calibri" w:cs="Arial"/>
          <w:noProof w:val="0"/>
          <w:szCs w:val="18"/>
          <w:lang w:val="bg-BG"/>
        </w:rPr>
      </w:pPr>
      <w:r w:rsidRPr="009072DA">
        <w:rPr>
          <w:noProof w:val="0"/>
          <w:lang w:val="bg-BG"/>
        </w:rPr>
        <w:t>Тип A30</w:t>
      </w:r>
      <w:r w:rsidRPr="009072DA">
        <w:rPr>
          <w:noProof w:val="0"/>
          <w:lang w:val="bg-BG"/>
        </w:rPr>
        <w:tab/>
        <w:t>30</w:t>
      </w:r>
      <w:r w:rsidRPr="009072DA">
        <w:rPr>
          <w:noProof w:val="0"/>
          <w:lang w:val="bg-BG"/>
        </w:rPr>
        <w:tab/>
        <w:t>минути</w:t>
      </w:r>
    </w:p>
    <w:p w:rsidR="00973DAA" w:rsidRPr="009072DA" w:rsidRDefault="00973DAA" w:rsidP="00124738">
      <w:pPr>
        <w:pStyle w:val="EStiretpar"/>
        <w:tabs>
          <w:tab w:val="decimal" w:pos="2835"/>
          <w:tab w:val="left" w:pos="2977"/>
        </w:tabs>
        <w:rPr>
          <w:rFonts w:eastAsia="Calibri" w:cs="Arial"/>
          <w:noProof w:val="0"/>
          <w:szCs w:val="18"/>
          <w:lang w:val="bg-BG"/>
        </w:rPr>
      </w:pPr>
      <w:r w:rsidRPr="009072DA">
        <w:rPr>
          <w:noProof w:val="0"/>
          <w:lang w:val="bg-BG"/>
        </w:rPr>
        <w:t xml:space="preserve">Тип A0 </w:t>
      </w:r>
      <w:r w:rsidRPr="009072DA">
        <w:rPr>
          <w:noProof w:val="0"/>
          <w:lang w:val="bg-BG"/>
        </w:rPr>
        <w:tab/>
        <w:t>0</w:t>
      </w:r>
      <w:r w:rsidRPr="009072DA">
        <w:rPr>
          <w:noProof w:val="0"/>
          <w:lang w:val="bg-BG"/>
        </w:rPr>
        <w:tab/>
        <w:t>минути;</w:t>
      </w:r>
    </w:p>
    <w:p w:rsidR="00973DAA" w:rsidRPr="009072DA" w:rsidRDefault="00973DAA" w:rsidP="00124738">
      <w:pPr>
        <w:pStyle w:val="EStiret"/>
        <w:rPr>
          <w:rFonts w:eastAsia="Calibri" w:cs="Arial"/>
          <w:noProof w:val="0"/>
          <w:szCs w:val="18"/>
          <w:lang w:val="bg-BG"/>
        </w:rPr>
      </w:pPr>
      <w:r w:rsidRPr="009072DA">
        <w:rPr>
          <w:noProof w:val="0"/>
          <w:lang w:val="bg-BG"/>
        </w:rPr>
        <w:t>гг)</w:t>
      </w:r>
      <w:r w:rsidRPr="009072DA">
        <w:rPr>
          <w:noProof w:val="0"/>
          <w:lang w:val="bg-BG"/>
        </w:rPr>
        <w:tab/>
        <w:t>изградени са по такъв начин, че да не допускат преминаване на дим и пламъци до края на едночасовото стандартно пожарно изпитване;</w:t>
      </w:r>
    </w:p>
    <w:p w:rsidR="00973DAA" w:rsidRPr="009072DA" w:rsidRDefault="005C7859" w:rsidP="00B72823">
      <w:pPr>
        <w:pStyle w:val="ESlet"/>
        <w:rPr>
          <w:rFonts w:eastAsia="Calibri" w:cs="Arial"/>
          <w:szCs w:val="18"/>
          <w:lang w:val="bg-BG"/>
        </w:rPr>
      </w:pPr>
      <w:r w:rsidRPr="009072DA">
        <w:rPr>
          <w:lang w:val="bg-BG"/>
        </w:rPr>
        <w:t>в)</w:t>
      </w:r>
      <w:r w:rsidRPr="009072DA">
        <w:rPr>
          <w:lang w:val="bg-BG"/>
        </w:rPr>
        <w:tab/>
        <w:t>преградните стени от тип В са прегради, стени, палуби, тавани и облицовки, които отговарят на следните изисквания:</w:t>
      </w:r>
    </w:p>
    <w:p w:rsidR="00973DAA" w:rsidRPr="009072DA" w:rsidRDefault="00973DAA" w:rsidP="00124738">
      <w:pPr>
        <w:pStyle w:val="EStiret"/>
        <w:rPr>
          <w:rFonts w:eastAsia="Calibri" w:cs="Arial"/>
          <w:noProof w:val="0"/>
          <w:szCs w:val="18"/>
          <w:lang w:val="bg-BG"/>
        </w:rPr>
      </w:pPr>
      <w:r w:rsidRPr="009072DA">
        <w:rPr>
          <w:noProof w:val="0"/>
          <w:lang w:val="bg-BG"/>
        </w:rPr>
        <w:t>aa)</w:t>
      </w:r>
      <w:r w:rsidRPr="009072DA">
        <w:rPr>
          <w:noProof w:val="0"/>
          <w:lang w:val="bg-BG"/>
        </w:rPr>
        <w:tab/>
        <w:t>изработени са от одобрен негорим материал. Освен това всички материали, използвани при изработката и сглобяването на преградните стени са негорими, освен облицовката, която трябва да е поне забавяща горенето;</w:t>
      </w:r>
    </w:p>
    <w:p w:rsidR="00973DAA" w:rsidRPr="009072DA" w:rsidRDefault="00973DAA" w:rsidP="00124738">
      <w:pPr>
        <w:pStyle w:val="EStiret"/>
        <w:rPr>
          <w:rFonts w:eastAsia="Calibri" w:cs="Arial"/>
          <w:noProof w:val="0"/>
          <w:szCs w:val="18"/>
          <w:lang w:val="bg-BG"/>
        </w:rPr>
      </w:pPr>
      <w:r w:rsidRPr="009072DA">
        <w:rPr>
          <w:noProof w:val="0"/>
          <w:lang w:val="bg-BG"/>
        </w:rPr>
        <w:t>бб)</w:t>
      </w:r>
      <w:r w:rsidRPr="009072DA">
        <w:rPr>
          <w:noProof w:val="0"/>
          <w:lang w:val="bg-BG"/>
        </w:rPr>
        <w:tab/>
        <w:t>имат такава изолационна стойност, че средната температура на страната, обратна на огъня, не достига повече от 140 °С над първоначалната температура, и в никоя точка, включително във фугите при съединенията, температурата не достига повече от 225 °С над първоначалната температура за следните интервали от време:</w:t>
      </w:r>
    </w:p>
    <w:p w:rsidR="00973DAA" w:rsidRPr="009072DA" w:rsidRDefault="00973DAA" w:rsidP="00124738">
      <w:pPr>
        <w:pStyle w:val="EStiretpar"/>
        <w:tabs>
          <w:tab w:val="decimal" w:pos="2835"/>
          <w:tab w:val="left" w:pos="2977"/>
        </w:tabs>
        <w:rPr>
          <w:rFonts w:eastAsia="Calibri" w:cs="Arial"/>
          <w:noProof w:val="0"/>
          <w:szCs w:val="18"/>
          <w:lang w:val="bg-BG"/>
        </w:rPr>
      </w:pPr>
      <w:r w:rsidRPr="009072DA">
        <w:rPr>
          <w:noProof w:val="0"/>
          <w:lang w:val="bg-BG"/>
        </w:rPr>
        <w:t xml:space="preserve">Тип B15 </w:t>
      </w:r>
      <w:r w:rsidRPr="009072DA">
        <w:rPr>
          <w:noProof w:val="0"/>
          <w:lang w:val="bg-BG"/>
        </w:rPr>
        <w:tab/>
        <w:t>15</w:t>
      </w:r>
      <w:r w:rsidRPr="009072DA">
        <w:rPr>
          <w:noProof w:val="0"/>
          <w:lang w:val="bg-BG"/>
        </w:rPr>
        <w:tab/>
        <w:t>минути</w:t>
      </w:r>
    </w:p>
    <w:p w:rsidR="00973DAA" w:rsidRPr="009072DA" w:rsidRDefault="00973DAA" w:rsidP="00124738">
      <w:pPr>
        <w:pStyle w:val="EStiretpar"/>
        <w:tabs>
          <w:tab w:val="decimal" w:pos="2835"/>
          <w:tab w:val="left" w:pos="2977"/>
        </w:tabs>
        <w:rPr>
          <w:rFonts w:eastAsia="Calibri" w:cs="Arial"/>
          <w:noProof w:val="0"/>
          <w:szCs w:val="18"/>
          <w:lang w:val="bg-BG"/>
        </w:rPr>
      </w:pPr>
      <w:r w:rsidRPr="009072DA">
        <w:rPr>
          <w:noProof w:val="0"/>
          <w:lang w:val="bg-BG"/>
        </w:rPr>
        <w:t xml:space="preserve">Тип B0 </w:t>
      </w:r>
      <w:r w:rsidRPr="009072DA">
        <w:rPr>
          <w:noProof w:val="0"/>
          <w:lang w:val="bg-BG"/>
        </w:rPr>
        <w:tab/>
        <w:t>0</w:t>
      </w:r>
      <w:r w:rsidRPr="009072DA">
        <w:rPr>
          <w:noProof w:val="0"/>
          <w:lang w:val="bg-BG"/>
        </w:rPr>
        <w:tab/>
        <w:t>минути;</w:t>
      </w:r>
    </w:p>
    <w:p w:rsidR="00973DAA" w:rsidRPr="009072DA" w:rsidRDefault="00973DAA" w:rsidP="00124738">
      <w:pPr>
        <w:pStyle w:val="EStiret"/>
        <w:rPr>
          <w:rFonts w:eastAsia="Calibri" w:cs="Arial"/>
          <w:noProof w:val="0"/>
          <w:szCs w:val="18"/>
          <w:lang w:val="bg-BG"/>
        </w:rPr>
      </w:pPr>
      <w:r w:rsidRPr="009072DA">
        <w:rPr>
          <w:noProof w:val="0"/>
          <w:lang w:val="bg-BG"/>
        </w:rPr>
        <w:t>вв)</w:t>
      </w:r>
      <w:r w:rsidRPr="009072DA">
        <w:rPr>
          <w:noProof w:val="0"/>
          <w:lang w:val="bg-BG"/>
        </w:rPr>
        <w:tab/>
        <w:t>изградени са по такъв начин, че да не допускат преминаване на пламъци до края на първия половин час от стандартното пожарно изпитване.</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3.</w:t>
      </w:r>
      <w:r w:rsidRPr="009072DA">
        <w:rPr>
          <w:lang w:val="bg-BG"/>
        </w:rPr>
        <w:tab/>
        <w:t>Боите, лаковете и другите продукти за обработка на повърхности, както и покритията на палубите, използвани в помещенията, без машинните отделения и складовите помещения, трябва да са забавящи горенето. Килимите, текстилът, завесите и другите висящи текстилни материали, както и тапицираните мебели и койките трябва да са забавящи горенето, ако помещенията, в които се намират, не са оборудвани със спринклерни системи под налягане съгласно член 13.04.</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4.</w:t>
      </w:r>
      <w:r w:rsidRPr="009072DA">
        <w:rPr>
          <w:lang w:val="bg-BG"/>
        </w:rPr>
        <w:tab/>
        <w:t xml:space="preserve">Таваните на салоните и покритията на стените, в това число надстройките им, ако салоните не са оборудвани със спринклерни системи под налягане съгласно член 13.04, </w:t>
      </w:r>
      <w:r w:rsidRPr="009072DA">
        <w:rPr>
          <w:lang w:val="bg-BG"/>
        </w:rPr>
        <w:lastRenderedPageBreak/>
        <w:t>трябва да са изработени от негорими материали с изключение на повърхностите, които са поне забавящи горенето. Първото изречение не се прилага за сауни.</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5.</w:t>
      </w:r>
      <w:r w:rsidRPr="009072DA">
        <w:rPr>
          <w:lang w:val="bg-BG"/>
        </w:rPr>
        <w:tab/>
        <w:t>Мебелите и оборудването в салоните, които служат за сборни пунктове, в случай че помещенията нямат спринклерни системи под налягане съгласно член 13.04, се изработват от негорими материали.</w:t>
      </w:r>
    </w:p>
    <w:p w:rsidR="00B72823" w:rsidRPr="009072DA" w:rsidRDefault="00B72823" w:rsidP="00973DAA">
      <w:pPr>
        <w:pStyle w:val="ESch"/>
        <w:rPr>
          <w:rFonts w:eastAsia="Calibri"/>
          <w:lang w:val="bg-BG"/>
        </w:rPr>
      </w:pPr>
    </w:p>
    <w:p w:rsidR="00124738" w:rsidRPr="009072DA" w:rsidRDefault="00124738" w:rsidP="00973DAA">
      <w:pPr>
        <w:pStyle w:val="ESch"/>
        <w:rPr>
          <w:rFonts w:eastAsia="Calibri"/>
          <w:lang w:val="bg-BG"/>
        </w:rPr>
      </w:pPr>
      <w:r w:rsidRPr="009072DA">
        <w:rPr>
          <w:lang w:val="bg-BG"/>
        </w:rPr>
        <w:br w:type="page"/>
      </w:r>
    </w:p>
    <w:p w:rsidR="00973DAA" w:rsidRPr="009072DA" w:rsidRDefault="00973DAA" w:rsidP="00973DAA">
      <w:pPr>
        <w:pStyle w:val="ESch"/>
        <w:rPr>
          <w:rFonts w:eastAsia="Calibri"/>
          <w:lang w:val="bg-BG"/>
        </w:rPr>
      </w:pPr>
      <w:r w:rsidRPr="009072DA">
        <w:rPr>
          <w:lang w:val="bg-BG"/>
        </w:rPr>
        <w:lastRenderedPageBreak/>
        <w:t>6.</w:t>
      </w:r>
      <w:r w:rsidRPr="009072DA">
        <w:rPr>
          <w:lang w:val="bg-BG"/>
        </w:rPr>
        <w:tab/>
        <w:t>Бои, лаковете и други материали, използвани върху открити вътрешни повърхности, не трябва да отделят прекалено големи количества дим или отровни вещества. Това се удостоверява в съответствие с Кодекса на процедурите за противопожарни изпитвания.</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7.</w:t>
      </w:r>
      <w:r w:rsidRPr="009072DA">
        <w:rPr>
          <w:lang w:val="bg-BG"/>
        </w:rPr>
        <w:tab/>
        <w:t>Изолационните материали в салоните трябва да са негорими. Това не се отнася за изолациите, използвани върху тръбите за пренасяне на охлаждащ агент. Повърхностите на изолационните материали по тези тръби трябва да бъдат поне забавящи горенето.</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8.</w:t>
      </w:r>
      <w:r w:rsidRPr="009072DA">
        <w:rPr>
          <w:lang w:val="bg-BG"/>
        </w:rPr>
        <w:tab/>
        <w:t>Навеси и подобни подвижни съоръжения, които частично или напълно покриват палубата, както и техните надстройки, трябва да са поне забавящи горенето.</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9.</w:t>
      </w:r>
      <w:r w:rsidRPr="009072DA">
        <w:rPr>
          <w:lang w:val="bg-BG"/>
        </w:rPr>
        <w:tab/>
        <w:t>Вратите в преградните стени съгласно точка 2 трябва да отговарят на следните изисквания:</w:t>
      </w:r>
    </w:p>
    <w:p w:rsidR="00973DAA" w:rsidRPr="009072DA" w:rsidRDefault="005C7859" w:rsidP="00B72823">
      <w:pPr>
        <w:pStyle w:val="ESlet"/>
        <w:rPr>
          <w:rFonts w:eastAsia="Calibri" w:cs="Arial"/>
          <w:szCs w:val="18"/>
          <w:lang w:val="bg-BG"/>
        </w:rPr>
      </w:pPr>
      <w:r w:rsidRPr="009072DA">
        <w:rPr>
          <w:lang w:val="bg-BG"/>
        </w:rPr>
        <w:t>a)</w:t>
      </w:r>
      <w:r w:rsidRPr="009072DA">
        <w:rPr>
          <w:lang w:val="bg-BG"/>
        </w:rPr>
        <w:tab/>
        <w:t>да отговарят на същите изисквания, изложени в точка 2, както и самите преградни стени;</w:t>
      </w:r>
    </w:p>
    <w:p w:rsidR="00973DAA" w:rsidRPr="009072DA" w:rsidRDefault="005C7859" w:rsidP="00B72823">
      <w:pPr>
        <w:pStyle w:val="ESlet"/>
        <w:rPr>
          <w:rFonts w:eastAsia="Calibri" w:cs="Arial"/>
          <w:szCs w:val="18"/>
          <w:lang w:val="bg-BG"/>
        </w:rPr>
      </w:pPr>
      <w:r w:rsidRPr="009072DA">
        <w:rPr>
          <w:lang w:val="bg-BG"/>
        </w:rPr>
        <w:t>б)</w:t>
      </w:r>
      <w:r w:rsidRPr="009072DA">
        <w:rPr>
          <w:lang w:val="bg-BG"/>
        </w:rPr>
        <w:tab/>
        <w:t>да бъдат самозатварящи се, в случай че са врати в преградни стени съгласно точка 10 или в оградени пространства около машинни отделения, камбузи и стълбищни шахти;</w:t>
      </w:r>
    </w:p>
    <w:p w:rsidR="00973DAA" w:rsidRPr="009072DA" w:rsidRDefault="005C7859" w:rsidP="00B72823">
      <w:pPr>
        <w:pStyle w:val="ESlet"/>
        <w:rPr>
          <w:rFonts w:eastAsia="Calibri" w:cs="Arial"/>
          <w:szCs w:val="18"/>
          <w:lang w:val="bg-BG"/>
        </w:rPr>
      </w:pPr>
      <w:r w:rsidRPr="009072DA">
        <w:rPr>
          <w:lang w:val="bg-BG"/>
        </w:rPr>
        <w:t>в)</w:t>
      </w:r>
      <w:r w:rsidRPr="009072DA">
        <w:rPr>
          <w:lang w:val="bg-BG"/>
        </w:rPr>
        <w:tab/>
        <w:t>самозатварящи се врати, които остават отворени при нормална работа, да са такива, че да могат да се затварят от място, в което постоянно има членове на обслужващия персонал или екипажа. След като вратата е била затворена дистанционно, трябва да има възможност тя отново да бъде отворена и затворена безопасно на място;</w:t>
      </w:r>
    </w:p>
    <w:p w:rsidR="00973DAA" w:rsidRPr="009072DA" w:rsidRDefault="0029453D" w:rsidP="00B72823">
      <w:pPr>
        <w:pStyle w:val="ESlet"/>
        <w:rPr>
          <w:rFonts w:eastAsia="Calibri" w:cs="Arial"/>
          <w:szCs w:val="18"/>
          <w:lang w:val="bg-BG"/>
        </w:rPr>
      </w:pPr>
      <w:r w:rsidRPr="009072DA">
        <w:rPr>
          <w:lang w:val="bg-BG"/>
        </w:rPr>
        <w:t>г)</w:t>
      </w:r>
      <w:r w:rsidRPr="009072DA">
        <w:rPr>
          <w:lang w:val="bg-BG"/>
        </w:rPr>
        <w:tab/>
        <w:t>водонепроницаемите врати съгласно член 19.02 не трябва да са изолирани.</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 xml:space="preserve">10. </w:t>
      </w:r>
      <w:r w:rsidRPr="009072DA">
        <w:rPr>
          <w:lang w:val="bg-BG"/>
        </w:rPr>
        <w:tab/>
        <w:t>Стените съгласно точка 2 трябва да са непрекъснати от палуба до палуба или да завършват в непрекъснати тавани, които отговарят на същите изисквания като споменатите в точка 2.</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11.</w:t>
      </w:r>
      <w:r w:rsidRPr="009072DA">
        <w:rPr>
          <w:lang w:val="bg-BG"/>
        </w:rPr>
        <w:tab/>
        <w:t>Следните пространства за пътници подлежат на разделяне с вертикални преградни стени, както е посочено в точка 2:</w:t>
      </w:r>
    </w:p>
    <w:p w:rsidR="00973DAA" w:rsidRPr="009072DA" w:rsidRDefault="005C7859" w:rsidP="00B72823">
      <w:pPr>
        <w:pStyle w:val="ESlet"/>
        <w:rPr>
          <w:rFonts w:eastAsia="Calibri" w:cs="Arial"/>
          <w:szCs w:val="18"/>
          <w:lang w:val="bg-BG"/>
        </w:rPr>
      </w:pPr>
      <w:r w:rsidRPr="009072DA">
        <w:rPr>
          <w:lang w:val="bg-BG"/>
        </w:rPr>
        <w:t>a)</w:t>
      </w:r>
      <w:r w:rsidRPr="009072DA">
        <w:rPr>
          <w:lang w:val="bg-BG"/>
        </w:rPr>
        <w:tab/>
        <w:t>пространства за пътници с обща площ над 800 m</w:t>
      </w:r>
      <w:r w:rsidRPr="009072DA">
        <w:rPr>
          <w:vertAlign w:val="superscript"/>
          <w:lang w:val="bg-BG"/>
        </w:rPr>
        <w:t>2</w:t>
      </w:r>
      <w:r w:rsidRPr="009072DA">
        <w:rPr>
          <w:lang w:val="bg-BG"/>
        </w:rPr>
        <w:t>;</w:t>
      </w:r>
    </w:p>
    <w:p w:rsidR="00973DAA" w:rsidRPr="009072DA" w:rsidRDefault="005C7859" w:rsidP="00B72823">
      <w:pPr>
        <w:pStyle w:val="ESlet"/>
        <w:rPr>
          <w:rFonts w:eastAsia="Calibri" w:cs="Arial"/>
          <w:szCs w:val="18"/>
          <w:lang w:val="bg-BG"/>
        </w:rPr>
      </w:pPr>
      <w:r w:rsidRPr="009072DA">
        <w:rPr>
          <w:lang w:val="bg-BG"/>
        </w:rPr>
        <w:t>б)</w:t>
      </w:r>
      <w:r w:rsidRPr="009072DA">
        <w:rPr>
          <w:lang w:val="bg-BG"/>
        </w:rPr>
        <w:tab/>
        <w:t>пространства за пътници, в които има каюти, на интервали не по-големи от 40 m.</w:t>
      </w:r>
    </w:p>
    <w:p w:rsidR="00B72823" w:rsidRPr="009072DA" w:rsidRDefault="00B72823" w:rsidP="00973DAA">
      <w:pPr>
        <w:pStyle w:val="ESch"/>
        <w:rPr>
          <w:rFonts w:eastAsia="Calibri"/>
          <w:lang w:val="bg-BG"/>
        </w:rPr>
      </w:pPr>
    </w:p>
    <w:p w:rsidR="00973DAA" w:rsidRPr="009072DA" w:rsidRDefault="00973DAA" w:rsidP="00B72823">
      <w:pPr>
        <w:pStyle w:val="ESchpar"/>
        <w:rPr>
          <w:rFonts w:eastAsia="Calibri" w:cs="Arial"/>
          <w:szCs w:val="18"/>
          <w:lang w:val="bg-BG"/>
        </w:rPr>
      </w:pPr>
      <w:r w:rsidRPr="009072DA">
        <w:rPr>
          <w:lang w:val="bg-BG"/>
        </w:rPr>
        <w:t>Вертикалните преградни стени трябва да са непроницаеми за дим при обичайни експлоатационни условия и преминават от палуба до палуба.</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12.</w:t>
      </w:r>
      <w:r w:rsidRPr="009072DA">
        <w:rPr>
          <w:lang w:val="bg-BG"/>
        </w:rPr>
        <w:tab/>
        <w:t>Празнините над таваните, под подовете и зад стенните покрития се разделят на интервали, не по-големи от 14 m, с негорими пожарозащитни прегради, които дори и при пожар да осигуряват ефикасно незапалимо запечатване.</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13.</w:t>
      </w:r>
      <w:r w:rsidRPr="009072DA">
        <w:rPr>
          <w:lang w:val="bg-BG"/>
        </w:rPr>
        <w:tab/>
        <w:t>Стълбищата се изработват от стомана или друг еквивалентен негорим материал.</w:t>
      </w:r>
    </w:p>
    <w:p w:rsidR="00B72823" w:rsidRPr="009072DA" w:rsidRDefault="00B72823"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14.</w:t>
      </w:r>
      <w:r w:rsidRPr="009072DA">
        <w:rPr>
          <w:lang w:val="bg-BG"/>
        </w:rPr>
        <w:tab/>
        <w:t>Вътрешните стълбища и асансьори трябва да бъдат обградени на всички нива от стени в съответствие с точка 2. Допускат се следните изключения:</w:t>
      </w:r>
    </w:p>
    <w:p w:rsidR="00973DAA" w:rsidRPr="009072DA" w:rsidRDefault="005C7859" w:rsidP="00676205">
      <w:pPr>
        <w:pStyle w:val="ESlet"/>
        <w:rPr>
          <w:rFonts w:eastAsia="Calibri" w:cs="Arial"/>
          <w:szCs w:val="18"/>
          <w:lang w:val="bg-BG"/>
        </w:rPr>
      </w:pPr>
      <w:r w:rsidRPr="009072DA">
        <w:rPr>
          <w:lang w:val="bg-BG"/>
        </w:rPr>
        <w:t>a)</w:t>
      </w:r>
      <w:r w:rsidRPr="009072DA">
        <w:rPr>
          <w:lang w:val="bg-BG"/>
        </w:rPr>
        <w:tab/>
        <w:t>стълба, свързваща само две палуби, не е необходимо да се обгражда, ако на едната от палубите стълбата е обградена съгласно точка 2;</w:t>
      </w:r>
    </w:p>
    <w:p w:rsidR="00676205" w:rsidRPr="009072DA" w:rsidRDefault="00676205" w:rsidP="00676205">
      <w:pPr>
        <w:pStyle w:val="ESlet"/>
        <w:rPr>
          <w:rFonts w:eastAsia="Calibri"/>
          <w:lang w:val="bg-BG"/>
        </w:rPr>
      </w:pPr>
    </w:p>
    <w:p w:rsidR="00676205" w:rsidRPr="009072DA" w:rsidRDefault="00676205" w:rsidP="00676205">
      <w:pPr>
        <w:pStyle w:val="ESlet"/>
        <w:rPr>
          <w:rFonts w:eastAsia="Calibri"/>
          <w:lang w:val="bg-BG"/>
        </w:rPr>
      </w:pPr>
      <w:r w:rsidRPr="009072DA">
        <w:rPr>
          <w:lang w:val="bg-BG"/>
        </w:rPr>
        <w:br w:type="page"/>
      </w:r>
    </w:p>
    <w:p w:rsidR="00973DAA" w:rsidRPr="009072DA" w:rsidRDefault="005C7859" w:rsidP="00676205">
      <w:pPr>
        <w:pStyle w:val="ESlet"/>
        <w:rPr>
          <w:rFonts w:eastAsia="Calibri" w:cs="Arial"/>
          <w:szCs w:val="18"/>
          <w:lang w:val="bg-BG"/>
        </w:rPr>
      </w:pPr>
      <w:r w:rsidRPr="009072DA">
        <w:rPr>
          <w:lang w:val="bg-BG"/>
        </w:rPr>
        <w:lastRenderedPageBreak/>
        <w:t>б)</w:t>
      </w:r>
      <w:r w:rsidRPr="009072DA">
        <w:rPr>
          <w:lang w:val="bg-BG"/>
        </w:rPr>
        <w:tab/>
        <w:t>в салоните не е необходимо стълбищата да се обграждат, ако се намират изцяло във вътрешността на помещението, и</w:t>
      </w:r>
    </w:p>
    <w:p w:rsidR="00973DAA" w:rsidRPr="009072DA" w:rsidRDefault="0029453D" w:rsidP="00676205">
      <w:pPr>
        <w:pStyle w:val="EStiret"/>
        <w:rPr>
          <w:rFonts w:eastAsia="Calibri" w:cs="Arial"/>
          <w:noProof w:val="0"/>
          <w:szCs w:val="18"/>
          <w:lang w:val="bg-BG"/>
        </w:rPr>
      </w:pPr>
      <w:r w:rsidRPr="009072DA">
        <w:rPr>
          <w:noProof w:val="0"/>
          <w:lang w:val="bg-BG"/>
        </w:rPr>
        <w:t>aa)</w:t>
      </w:r>
      <w:r w:rsidRPr="009072DA">
        <w:rPr>
          <w:noProof w:val="0"/>
          <w:lang w:val="bg-BG"/>
        </w:rPr>
        <w:tab/>
        <w:t>ако това помещение се простира само на две палуби, или</w:t>
      </w:r>
    </w:p>
    <w:p w:rsidR="00973DAA" w:rsidRPr="009072DA" w:rsidRDefault="0029453D" w:rsidP="00676205">
      <w:pPr>
        <w:pStyle w:val="EStiret"/>
        <w:rPr>
          <w:rFonts w:eastAsia="Calibri" w:cs="Arial"/>
          <w:noProof w:val="0"/>
          <w:szCs w:val="18"/>
          <w:lang w:val="bg-BG"/>
        </w:rPr>
      </w:pPr>
      <w:r w:rsidRPr="009072DA">
        <w:rPr>
          <w:noProof w:val="0"/>
          <w:lang w:val="bg-BG"/>
        </w:rPr>
        <w:t>бб)</w:t>
      </w:r>
      <w:r w:rsidRPr="009072DA">
        <w:rPr>
          <w:noProof w:val="0"/>
          <w:lang w:val="bg-BG"/>
        </w:rPr>
        <w:tab/>
        <w:t>ако в това помещение на всички палуби е налице спринклерна система под налягане съгласно член 13.04, в него е монтирана система за изтегляне на дима съгласно точка 16 и помещението има достъп до стълбищна шахта на всички палуби.</w:t>
      </w:r>
    </w:p>
    <w:p w:rsidR="00676205" w:rsidRPr="009072DA" w:rsidRDefault="00676205"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15.</w:t>
      </w:r>
      <w:r w:rsidRPr="009072DA">
        <w:rPr>
          <w:lang w:val="bg-BG"/>
        </w:rPr>
        <w:tab/>
        <w:t>Вентилационните системи и системите за подаване на въздух трябва да отговарят на следните изисквания:</w:t>
      </w:r>
    </w:p>
    <w:p w:rsidR="00973DAA" w:rsidRPr="009072DA" w:rsidRDefault="005C7859" w:rsidP="00676205">
      <w:pPr>
        <w:pStyle w:val="ESlet"/>
        <w:rPr>
          <w:rFonts w:eastAsia="Calibri" w:cs="Arial"/>
          <w:szCs w:val="18"/>
          <w:lang w:val="bg-BG"/>
        </w:rPr>
      </w:pPr>
      <w:r w:rsidRPr="009072DA">
        <w:rPr>
          <w:lang w:val="bg-BG"/>
        </w:rPr>
        <w:t>a)</w:t>
      </w:r>
      <w:r w:rsidRPr="009072DA">
        <w:rPr>
          <w:lang w:val="bg-BG"/>
        </w:rPr>
        <w:tab/>
        <w:t>те трябва да са проектирани по такъв начин, че да се гарантира, че те самите не предизвикват разпространението на огън и дим;</w:t>
      </w:r>
    </w:p>
    <w:p w:rsidR="00973DAA" w:rsidRPr="009072DA" w:rsidRDefault="005C7859" w:rsidP="00676205">
      <w:pPr>
        <w:pStyle w:val="ESlet"/>
        <w:rPr>
          <w:rFonts w:eastAsia="Calibri" w:cs="Arial"/>
          <w:szCs w:val="18"/>
          <w:lang w:val="bg-BG"/>
        </w:rPr>
      </w:pPr>
      <w:r w:rsidRPr="009072DA">
        <w:rPr>
          <w:lang w:val="bg-BG"/>
        </w:rPr>
        <w:t>б)</w:t>
      </w:r>
      <w:r w:rsidRPr="009072DA">
        <w:rPr>
          <w:lang w:val="bg-BG"/>
        </w:rPr>
        <w:tab/>
        <w:t>отворите за подаване и изтегляне на въздух и системите за подаване на въздух трябва да са такива, че да могат да се затварят;</w:t>
      </w:r>
    </w:p>
    <w:p w:rsidR="00973DAA" w:rsidRPr="009072DA" w:rsidRDefault="005C7859" w:rsidP="00676205">
      <w:pPr>
        <w:pStyle w:val="ESlet"/>
        <w:rPr>
          <w:rFonts w:eastAsia="Calibri" w:cs="Arial"/>
          <w:szCs w:val="18"/>
          <w:lang w:val="bg-BG"/>
        </w:rPr>
      </w:pPr>
      <w:r w:rsidRPr="009072DA">
        <w:rPr>
          <w:lang w:val="bg-BG"/>
        </w:rPr>
        <w:t>в)</w:t>
      </w:r>
      <w:r w:rsidRPr="009072DA">
        <w:rPr>
          <w:lang w:val="bg-BG"/>
        </w:rPr>
        <w:tab/>
        <w:t>вентилационните тръби трябва да са изработени от стомана или друг равностоен негорим материал и да са надеждно свързани една с друга и с надстройката на плавателния съд;</w:t>
      </w:r>
    </w:p>
    <w:p w:rsidR="00973DAA" w:rsidRPr="009072DA" w:rsidRDefault="0029453D" w:rsidP="00676205">
      <w:pPr>
        <w:pStyle w:val="ESlet"/>
        <w:rPr>
          <w:rFonts w:eastAsia="Calibri" w:cs="Arial"/>
          <w:szCs w:val="18"/>
          <w:lang w:val="bg-BG"/>
        </w:rPr>
      </w:pPr>
      <w:r w:rsidRPr="009072DA">
        <w:rPr>
          <w:lang w:val="bg-BG"/>
        </w:rPr>
        <w:t>г)</w:t>
      </w:r>
      <w:r w:rsidRPr="009072DA">
        <w:rPr>
          <w:lang w:val="bg-BG"/>
        </w:rPr>
        <w:tab/>
        <w:t>когато въздуховоди на вентилацията с напречно сечение от над 0,02 m</w:t>
      </w:r>
      <w:r w:rsidRPr="009072DA">
        <w:rPr>
          <w:vertAlign w:val="superscript"/>
          <w:lang w:val="bg-BG"/>
        </w:rPr>
        <w:t>2</w:t>
      </w:r>
      <w:r w:rsidRPr="009072DA">
        <w:rPr>
          <w:lang w:val="bg-BG"/>
        </w:rPr>
        <w:t xml:space="preserve"> преминават през преградни стени съгласно точка 2 от тип А или преградни стени съгласно точка 10, те трябва да са оборудвани с автоматичен противопожарен клапан, който може да се задвижва от място, в което постоянно има членове на обслужващия персонал или екипажа;</w:t>
      </w:r>
    </w:p>
    <w:p w:rsidR="00973DAA" w:rsidRPr="009072DA" w:rsidRDefault="0029453D" w:rsidP="00676205">
      <w:pPr>
        <w:pStyle w:val="ESlet"/>
        <w:rPr>
          <w:rFonts w:eastAsia="Calibri" w:cs="Arial"/>
          <w:szCs w:val="18"/>
          <w:lang w:val="bg-BG"/>
        </w:rPr>
      </w:pPr>
      <w:r w:rsidRPr="009072DA">
        <w:rPr>
          <w:lang w:val="bg-BG"/>
        </w:rPr>
        <w:t>д)</w:t>
      </w:r>
      <w:r w:rsidRPr="009072DA">
        <w:rPr>
          <w:lang w:val="bg-BG"/>
        </w:rPr>
        <w:tab/>
        <w:t>вентилационните системи за камбузите и машинните отделения трябва да са отделени от вентилационните системи, които обслужват други пространства;</w:t>
      </w:r>
    </w:p>
    <w:p w:rsidR="00973DAA" w:rsidRPr="009072DA" w:rsidRDefault="0029453D" w:rsidP="00676205">
      <w:pPr>
        <w:pStyle w:val="ESlet"/>
        <w:rPr>
          <w:rFonts w:eastAsia="Calibri" w:cs="Arial"/>
          <w:szCs w:val="18"/>
          <w:lang w:val="bg-BG"/>
        </w:rPr>
      </w:pPr>
      <w:r w:rsidRPr="009072DA">
        <w:rPr>
          <w:lang w:val="bg-BG"/>
        </w:rPr>
        <w:t>е)</w:t>
      </w:r>
      <w:r w:rsidRPr="009072DA">
        <w:rPr>
          <w:lang w:val="bg-BG"/>
        </w:rPr>
        <w:tab/>
        <w:t>тръбите за изтегляне на въздух трябва да са оборудвани със заключващи се отвори за проверка и почистване. Тези отвори трябва да са разположени близо до противопожарните клапани;</w:t>
      </w:r>
    </w:p>
    <w:p w:rsidR="00973DAA" w:rsidRPr="009072DA" w:rsidRDefault="0029453D" w:rsidP="00676205">
      <w:pPr>
        <w:pStyle w:val="ESlet"/>
        <w:rPr>
          <w:rFonts w:eastAsia="Calibri" w:cs="Arial"/>
          <w:szCs w:val="18"/>
          <w:lang w:val="bg-BG"/>
        </w:rPr>
      </w:pPr>
      <w:r w:rsidRPr="009072DA">
        <w:rPr>
          <w:lang w:val="bg-BG"/>
        </w:rPr>
        <w:t>ж)</w:t>
      </w:r>
      <w:r w:rsidRPr="009072DA">
        <w:rPr>
          <w:lang w:val="bg-BG"/>
        </w:rPr>
        <w:tab/>
        <w:t>вградените вентилатори трябва да са пригодени да бъдат изключвани от централно място извън машинното отделение.</w:t>
      </w:r>
    </w:p>
    <w:p w:rsidR="00676205" w:rsidRPr="009072DA" w:rsidRDefault="00676205"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16.</w:t>
      </w:r>
      <w:r w:rsidRPr="009072DA">
        <w:rPr>
          <w:lang w:val="bg-BG"/>
        </w:rPr>
        <w:tab/>
        <w:t>Камбузите се оборудват с вентилационни системи и печки с аспирационни чадъри. Тръбите за отвеждане на въздуха на аспирационните чадъри трябва да отговарят на изискванията на точка 14 и освен това да са снабдени с ръчно задвижвани противопожарни клапани на входните отвори.</w:t>
      </w:r>
    </w:p>
    <w:p w:rsidR="00676205" w:rsidRPr="009072DA" w:rsidRDefault="00676205"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17.</w:t>
      </w:r>
      <w:r w:rsidRPr="009072DA">
        <w:rPr>
          <w:lang w:val="bg-BG"/>
        </w:rPr>
        <w:tab/>
        <w:t>Центровете за управление, стълбищните шахти и вътрешните сборни пунктове трябва да са снабдени със системи за естествено или механично изтегляне на дим. Системите за изтегляне на дим трябва да отговарят на следните изисквания:</w:t>
      </w:r>
    </w:p>
    <w:p w:rsidR="00973DAA" w:rsidRPr="009072DA" w:rsidRDefault="005C7859" w:rsidP="00676205">
      <w:pPr>
        <w:pStyle w:val="ESlet"/>
        <w:rPr>
          <w:rFonts w:eastAsia="Calibri" w:cs="Arial"/>
          <w:szCs w:val="18"/>
          <w:lang w:val="bg-BG"/>
        </w:rPr>
      </w:pPr>
      <w:r w:rsidRPr="009072DA">
        <w:rPr>
          <w:lang w:val="bg-BG"/>
        </w:rPr>
        <w:t>a)</w:t>
      </w:r>
      <w:r w:rsidRPr="009072DA">
        <w:rPr>
          <w:lang w:val="bg-BG"/>
        </w:rPr>
        <w:tab/>
        <w:t>да предлагат достатъчен капацитет и надеждност;</w:t>
      </w:r>
    </w:p>
    <w:p w:rsidR="00973DAA" w:rsidRPr="009072DA" w:rsidRDefault="005C7859" w:rsidP="00676205">
      <w:pPr>
        <w:pStyle w:val="ESlet"/>
        <w:rPr>
          <w:rFonts w:eastAsia="Calibri" w:cs="Arial"/>
          <w:szCs w:val="18"/>
          <w:lang w:val="bg-BG"/>
        </w:rPr>
      </w:pPr>
      <w:r w:rsidRPr="009072DA">
        <w:rPr>
          <w:lang w:val="bg-BG"/>
        </w:rPr>
        <w:lastRenderedPageBreak/>
        <w:t>б)</w:t>
      </w:r>
      <w:r w:rsidRPr="009072DA">
        <w:rPr>
          <w:lang w:val="bg-BG"/>
        </w:rPr>
        <w:tab/>
        <w:t>да отговарят на експлоатационните условия за пътническите плавателни съдове;</w:t>
      </w:r>
    </w:p>
    <w:p w:rsidR="00973DAA" w:rsidRPr="009072DA" w:rsidRDefault="005C7859" w:rsidP="00676205">
      <w:pPr>
        <w:pStyle w:val="ESlet"/>
        <w:rPr>
          <w:rFonts w:eastAsia="Calibri" w:cs="Arial"/>
          <w:szCs w:val="18"/>
          <w:lang w:val="bg-BG"/>
        </w:rPr>
      </w:pPr>
      <w:r w:rsidRPr="009072DA">
        <w:rPr>
          <w:lang w:val="bg-BG"/>
        </w:rPr>
        <w:t>в)</w:t>
      </w:r>
      <w:r w:rsidRPr="009072DA">
        <w:rPr>
          <w:lang w:val="bg-BG"/>
        </w:rPr>
        <w:tab/>
        <w:t>ако системите за изтегляне на дима служат също и като общи вентилатори за помещенията, това не трябва да пречи на функцията им като системи за изтегляне на дима при пожар;</w:t>
      </w:r>
    </w:p>
    <w:p w:rsidR="00973DAA" w:rsidRPr="009072DA" w:rsidRDefault="0029453D" w:rsidP="00676205">
      <w:pPr>
        <w:pStyle w:val="ESlet"/>
        <w:rPr>
          <w:rFonts w:eastAsia="Calibri" w:cs="Arial"/>
          <w:szCs w:val="18"/>
          <w:lang w:val="bg-BG"/>
        </w:rPr>
      </w:pPr>
      <w:r w:rsidRPr="009072DA">
        <w:rPr>
          <w:lang w:val="bg-BG"/>
        </w:rPr>
        <w:t>г)</w:t>
      </w:r>
      <w:r w:rsidRPr="009072DA">
        <w:rPr>
          <w:lang w:val="bg-BG"/>
        </w:rPr>
        <w:tab/>
        <w:t>системите за изтегляне на дима са оборудвани с ръчно устройство за задействане;</w:t>
      </w:r>
    </w:p>
    <w:p w:rsidR="00973DAA" w:rsidRPr="009072DA" w:rsidRDefault="0029453D" w:rsidP="00676205">
      <w:pPr>
        <w:pStyle w:val="ESlet"/>
        <w:rPr>
          <w:rFonts w:eastAsia="Calibri" w:cs="Arial"/>
          <w:szCs w:val="18"/>
          <w:lang w:val="bg-BG"/>
        </w:rPr>
      </w:pPr>
      <w:r w:rsidRPr="009072DA">
        <w:rPr>
          <w:lang w:val="bg-BG"/>
        </w:rPr>
        <w:t>д)</w:t>
      </w:r>
      <w:r w:rsidRPr="009072DA">
        <w:rPr>
          <w:lang w:val="bg-BG"/>
        </w:rPr>
        <w:tab/>
        <w:t>механичните системи за изтегляне на дима освен това трябва да са такива, че да могат да се задействат от място, в което постоянно има членове на обслужващия персонал или екипажа;</w:t>
      </w:r>
    </w:p>
    <w:p w:rsidR="00973DAA" w:rsidRPr="009072DA" w:rsidRDefault="0029453D" w:rsidP="00676205">
      <w:pPr>
        <w:pStyle w:val="ESlet"/>
        <w:rPr>
          <w:rFonts w:eastAsia="Calibri" w:cs="Arial"/>
          <w:szCs w:val="18"/>
          <w:lang w:val="bg-BG"/>
        </w:rPr>
      </w:pPr>
      <w:r w:rsidRPr="009072DA">
        <w:rPr>
          <w:lang w:val="bg-BG"/>
        </w:rPr>
        <w:t>е)</w:t>
      </w:r>
      <w:r w:rsidRPr="009072DA">
        <w:rPr>
          <w:lang w:val="bg-BG"/>
        </w:rPr>
        <w:tab/>
        <w:t>естествените системи за изтегляне на дима трябва да са оборудвани с механизъм за отваряне, задействан или ръчно, или от източник на енергия вътре в системата за изтегляне;</w:t>
      </w:r>
    </w:p>
    <w:p w:rsidR="00973DAA" w:rsidRPr="009072DA" w:rsidRDefault="0029453D" w:rsidP="00676205">
      <w:pPr>
        <w:pStyle w:val="ESlet"/>
        <w:rPr>
          <w:rFonts w:eastAsia="Calibri" w:cs="Arial"/>
          <w:szCs w:val="18"/>
          <w:lang w:val="bg-BG"/>
        </w:rPr>
      </w:pPr>
      <w:r w:rsidRPr="009072DA">
        <w:rPr>
          <w:lang w:val="bg-BG"/>
        </w:rPr>
        <w:t>ж)</w:t>
      </w:r>
      <w:r w:rsidRPr="009072DA">
        <w:rPr>
          <w:lang w:val="bg-BG"/>
        </w:rPr>
        <w:tab/>
        <w:t>ръчно управляваните устройства за задвижване и механизми за отваряне трябва да са достъпни отвътре или отвън на защитеното помещение.</w:t>
      </w:r>
    </w:p>
    <w:p w:rsidR="00676205" w:rsidRPr="009072DA" w:rsidRDefault="00676205" w:rsidP="00973DAA">
      <w:pPr>
        <w:pStyle w:val="ESch"/>
        <w:rPr>
          <w:rFonts w:eastAsia="Calibri"/>
          <w:lang w:val="bg-BG"/>
        </w:rPr>
      </w:pPr>
    </w:p>
    <w:p w:rsidR="00676205" w:rsidRPr="009072DA" w:rsidRDefault="00676205" w:rsidP="00973DAA">
      <w:pPr>
        <w:pStyle w:val="ESch"/>
        <w:rPr>
          <w:rFonts w:eastAsia="Calibri"/>
          <w:lang w:val="bg-BG"/>
        </w:rPr>
      </w:pPr>
      <w:r w:rsidRPr="009072DA">
        <w:rPr>
          <w:lang w:val="bg-BG"/>
        </w:rPr>
        <w:br w:type="page"/>
      </w:r>
    </w:p>
    <w:p w:rsidR="00973DAA" w:rsidRPr="009072DA" w:rsidRDefault="00973DAA" w:rsidP="00973DAA">
      <w:pPr>
        <w:pStyle w:val="ESch"/>
        <w:rPr>
          <w:rFonts w:eastAsia="Calibri" w:cs="Arial"/>
          <w:szCs w:val="18"/>
          <w:lang w:val="bg-BG"/>
        </w:rPr>
      </w:pPr>
      <w:r w:rsidRPr="009072DA">
        <w:rPr>
          <w:lang w:val="bg-BG"/>
        </w:rPr>
        <w:lastRenderedPageBreak/>
        <w:t>18.</w:t>
      </w:r>
      <w:r w:rsidRPr="009072DA">
        <w:rPr>
          <w:lang w:val="bg-BG"/>
        </w:rPr>
        <w:tab/>
        <w:t>Салоните, които не се наблюдават постоянно от обслужващия персонал или от екипажа, камбузите, машинните отделения и другите помещения, представляващи опасност от пожар, се свързват с подходяща пожароизвестителна система. Наличието и местоположението на пожара автоматично се сигнализират на място, в което постоянно има членове на обслужващия персонал или екипажа.</w:t>
      </w:r>
    </w:p>
    <w:p w:rsidR="00973DAA" w:rsidRPr="009072DA" w:rsidRDefault="00973DAA" w:rsidP="00973DAA">
      <w:pPr>
        <w:pStyle w:val="ESch"/>
        <w:rPr>
          <w:rFonts w:eastAsia="Calibri" w:cs="Arial"/>
          <w:szCs w:val="18"/>
          <w:lang w:val="bg-BG"/>
        </w:rPr>
      </w:pPr>
    </w:p>
    <w:p w:rsidR="00676205" w:rsidRPr="009072DA" w:rsidRDefault="00676205" w:rsidP="00973DAA">
      <w:pPr>
        <w:pStyle w:val="ESch"/>
        <w:rPr>
          <w:rFonts w:eastAsia="Calibri" w:cs="Arial"/>
          <w:szCs w:val="18"/>
          <w:lang w:val="bg-BG"/>
        </w:rPr>
      </w:pPr>
    </w:p>
    <w:p w:rsidR="00973DAA" w:rsidRPr="009072DA" w:rsidRDefault="00973DAA" w:rsidP="00676205">
      <w:pPr>
        <w:pStyle w:val="ES-Titre3"/>
        <w:rPr>
          <w:rFonts w:cs="Arial"/>
          <w:i/>
          <w:szCs w:val="18"/>
          <w:lang w:val="bg-BG"/>
        </w:rPr>
      </w:pPr>
      <w:bookmarkStart w:id="367" w:name="_Toc491854181"/>
      <w:bookmarkStart w:id="368" w:name="_Toc535827622"/>
      <w:r w:rsidRPr="009072DA">
        <w:rPr>
          <w:lang w:val="bg-BG"/>
        </w:rPr>
        <w:t>Член 19.12</w:t>
      </w:r>
      <w:r w:rsidRPr="009072DA">
        <w:rPr>
          <w:lang w:val="bg-BG"/>
        </w:rPr>
        <w:br/>
      </w:r>
      <w:r w:rsidRPr="009072DA">
        <w:rPr>
          <w:i/>
          <w:lang w:val="bg-BG"/>
        </w:rPr>
        <w:t>Гасене на пожари</w:t>
      </w:r>
      <w:bookmarkEnd w:id="367"/>
      <w:bookmarkEnd w:id="368"/>
    </w:p>
    <w:p w:rsidR="00676205" w:rsidRPr="009072DA" w:rsidRDefault="00676205" w:rsidP="00973DAA">
      <w:pPr>
        <w:pStyle w:val="ESch"/>
        <w:rPr>
          <w:rFonts w:eastAsia="Calibri"/>
          <w:lang w:val="bg-BG"/>
        </w:rPr>
      </w:pPr>
    </w:p>
    <w:p w:rsidR="00973DAA" w:rsidRPr="009072DA" w:rsidRDefault="00676205" w:rsidP="00973DAA">
      <w:pPr>
        <w:pStyle w:val="ESch"/>
        <w:rPr>
          <w:rFonts w:eastAsia="Calibri" w:cs="Arial"/>
          <w:szCs w:val="18"/>
          <w:lang w:val="bg-BG"/>
        </w:rPr>
      </w:pPr>
      <w:r w:rsidRPr="009072DA">
        <w:rPr>
          <w:lang w:val="bg-BG"/>
        </w:rPr>
        <w:t>1.</w:t>
      </w:r>
      <w:r w:rsidRPr="009072DA">
        <w:rPr>
          <w:lang w:val="bg-BG"/>
        </w:rPr>
        <w:tab/>
        <w:t>Освен преносимите пожарогасители съгласно член 13.03, поне следните преносими пожарогасители трябва да бъдат налични на борда:</w:t>
      </w:r>
    </w:p>
    <w:p w:rsidR="00973DAA" w:rsidRPr="009072DA" w:rsidRDefault="005C7859" w:rsidP="00676205">
      <w:pPr>
        <w:pStyle w:val="ESlet"/>
        <w:rPr>
          <w:rFonts w:eastAsia="Calibri" w:cs="Arial"/>
          <w:szCs w:val="18"/>
          <w:lang w:val="bg-BG"/>
        </w:rPr>
      </w:pPr>
      <w:r w:rsidRPr="009072DA">
        <w:rPr>
          <w:lang w:val="bg-BG"/>
        </w:rPr>
        <w:t>a)</w:t>
      </w:r>
      <w:r w:rsidRPr="009072DA">
        <w:rPr>
          <w:lang w:val="bg-BG"/>
        </w:rPr>
        <w:tab/>
        <w:t>един преносим пожарогасител на всеки 120 m</w:t>
      </w:r>
      <w:r w:rsidRPr="009072DA">
        <w:rPr>
          <w:vertAlign w:val="superscript"/>
          <w:lang w:val="bg-BG"/>
        </w:rPr>
        <w:t>2</w:t>
      </w:r>
      <w:r w:rsidRPr="009072DA">
        <w:rPr>
          <w:lang w:val="bg-BG"/>
        </w:rPr>
        <w:t xml:space="preserve"> брутна площ в помещенията за пътници;</w:t>
      </w:r>
    </w:p>
    <w:p w:rsidR="00973DAA" w:rsidRPr="009072DA" w:rsidRDefault="005C7859" w:rsidP="00676205">
      <w:pPr>
        <w:pStyle w:val="ESlet"/>
        <w:rPr>
          <w:rFonts w:eastAsia="Calibri" w:cs="Arial"/>
          <w:szCs w:val="18"/>
          <w:lang w:val="bg-BG"/>
        </w:rPr>
      </w:pPr>
      <w:r w:rsidRPr="009072DA">
        <w:rPr>
          <w:lang w:val="bg-BG"/>
        </w:rPr>
        <w:t>б)</w:t>
      </w:r>
      <w:r w:rsidRPr="009072DA">
        <w:rPr>
          <w:lang w:val="bg-BG"/>
        </w:rPr>
        <w:tab/>
        <w:t>един преносим пожарогасител на група от 10 каюти, като числото се закръгля нагоре;</w:t>
      </w:r>
    </w:p>
    <w:p w:rsidR="00973DAA" w:rsidRPr="009072DA" w:rsidRDefault="005C7859" w:rsidP="00676205">
      <w:pPr>
        <w:pStyle w:val="ESlet"/>
        <w:rPr>
          <w:rFonts w:eastAsia="Calibri" w:cs="Arial"/>
          <w:szCs w:val="18"/>
          <w:lang w:val="bg-BG"/>
        </w:rPr>
      </w:pPr>
      <w:r w:rsidRPr="009072DA">
        <w:rPr>
          <w:lang w:val="bg-BG"/>
        </w:rPr>
        <w:t>в)</w:t>
      </w:r>
      <w:r w:rsidRPr="009072DA">
        <w:rPr>
          <w:lang w:val="bg-BG"/>
        </w:rPr>
        <w:tab/>
        <w:t>един преносим пожарогасител във всеки камбуз и в близост до всяко помещение, в което се съхраняват или използват запалими течности. В камбузите пожарогасителният агент трябва да е подходящ също за гасене на горяща мазнина.</w:t>
      </w:r>
    </w:p>
    <w:p w:rsidR="00676205" w:rsidRPr="009072DA" w:rsidRDefault="00676205" w:rsidP="00973DAA">
      <w:pPr>
        <w:pStyle w:val="ESch"/>
        <w:rPr>
          <w:rFonts w:eastAsia="Calibri"/>
          <w:lang w:val="bg-BG"/>
        </w:rPr>
      </w:pPr>
    </w:p>
    <w:p w:rsidR="00973DAA" w:rsidRPr="009072DA" w:rsidRDefault="00973DAA" w:rsidP="00676205">
      <w:pPr>
        <w:pStyle w:val="ESchpar"/>
        <w:rPr>
          <w:rFonts w:eastAsia="Calibri" w:cs="Arial"/>
          <w:szCs w:val="18"/>
          <w:lang w:val="bg-BG"/>
        </w:rPr>
      </w:pPr>
      <w:r w:rsidRPr="009072DA">
        <w:rPr>
          <w:lang w:val="bg-BG"/>
        </w:rPr>
        <w:t>Тези допълнителни пожарогасители трябва да съответстват на изискванията, определени в член 13.03, точка 2, и да са монтирани и разпределени на плавателния съд така, че ако независимо кога и къде започва пожар, пожарогасител да може да бъде достигнат незабавно. Във всеки камбуз, както и във фризьорските салони и парфюмериите, трябва да има подръчно противопожарно одеяло.</w:t>
      </w:r>
    </w:p>
    <w:p w:rsidR="00676205" w:rsidRPr="009072DA" w:rsidRDefault="00676205"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2.</w:t>
      </w:r>
      <w:r w:rsidRPr="009072DA">
        <w:rPr>
          <w:lang w:val="bg-BG"/>
        </w:rPr>
        <w:tab/>
        <w:t>Пътническите плавателни съдове трябва да са снабдени със система от хидранти, състояща се от:</w:t>
      </w:r>
    </w:p>
    <w:p w:rsidR="00973DAA" w:rsidRPr="009072DA" w:rsidRDefault="005C7859" w:rsidP="00676205">
      <w:pPr>
        <w:pStyle w:val="ESlet"/>
        <w:rPr>
          <w:rFonts w:eastAsia="Calibri" w:cs="Arial"/>
          <w:szCs w:val="18"/>
          <w:lang w:val="bg-BG"/>
        </w:rPr>
      </w:pPr>
      <w:r w:rsidRPr="009072DA">
        <w:rPr>
          <w:lang w:val="bg-BG"/>
        </w:rPr>
        <w:t>a)</w:t>
      </w:r>
      <w:r w:rsidRPr="009072DA">
        <w:rPr>
          <w:lang w:val="bg-BG"/>
        </w:rPr>
        <w:tab/>
        <w:t>две задвижвани с мотор пожарни помпи с достатъчен капацитет, поне една от които е монтирана неподвижно;</w:t>
      </w:r>
    </w:p>
    <w:p w:rsidR="00973DAA" w:rsidRPr="009072DA" w:rsidRDefault="005C7859" w:rsidP="00676205">
      <w:pPr>
        <w:pStyle w:val="ESlet"/>
        <w:rPr>
          <w:rFonts w:eastAsia="Calibri" w:cs="Arial"/>
          <w:szCs w:val="18"/>
          <w:lang w:val="bg-BG"/>
        </w:rPr>
      </w:pPr>
      <w:r w:rsidRPr="009072DA">
        <w:rPr>
          <w:lang w:val="bg-BG"/>
        </w:rPr>
        <w:t>б)</w:t>
      </w:r>
      <w:r w:rsidRPr="009072DA">
        <w:rPr>
          <w:lang w:val="bg-BG"/>
        </w:rPr>
        <w:tab/>
        <w:t>една пожарогасителна линия с достатъчен брой хидранти с неподвижно свързани маркучи с дължина поне 20 m и оборудвани с разпръсквачи, пригодени да разпръскват както водна мъгла, така и водни струи, и оборудвани със спирателно устройство.</w:t>
      </w:r>
    </w:p>
    <w:p w:rsidR="00676205" w:rsidRPr="009072DA" w:rsidRDefault="00676205"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3.</w:t>
      </w:r>
      <w:r w:rsidRPr="009072DA">
        <w:rPr>
          <w:lang w:val="bg-BG"/>
        </w:rPr>
        <w:tab/>
        <w:t>Системите от хидранти трябва да са проектирани и оразмерени така, че:</w:t>
      </w:r>
    </w:p>
    <w:p w:rsidR="00973DAA" w:rsidRPr="009072DA" w:rsidRDefault="005C7859" w:rsidP="00676205">
      <w:pPr>
        <w:pStyle w:val="ESlet"/>
        <w:rPr>
          <w:rFonts w:eastAsia="Calibri" w:cs="Arial"/>
          <w:szCs w:val="18"/>
          <w:lang w:val="bg-BG"/>
        </w:rPr>
      </w:pPr>
      <w:r w:rsidRPr="009072DA">
        <w:rPr>
          <w:lang w:val="bg-BG"/>
        </w:rPr>
        <w:t>a)</w:t>
      </w:r>
      <w:r w:rsidRPr="009072DA">
        <w:rPr>
          <w:lang w:val="bg-BG"/>
        </w:rPr>
        <w:tab/>
        <w:t>всяка точка от плавателния съд да може да бъде достигната от най-малко два хидранта на различни места, всеки с единична дължина на маркуча не по-голяма от 20 m;</w:t>
      </w:r>
    </w:p>
    <w:p w:rsidR="00973DAA" w:rsidRPr="009072DA" w:rsidRDefault="005C7859" w:rsidP="00676205">
      <w:pPr>
        <w:pStyle w:val="ESlet"/>
        <w:rPr>
          <w:rFonts w:eastAsia="Calibri" w:cs="Arial"/>
          <w:szCs w:val="18"/>
          <w:lang w:val="bg-BG"/>
        </w:rPr>
      </w:pPr>
      <w:r w:rsidRPr="009072DA">
        <w:rPr>
          <w:lang w:val="bg-BG"/>
        </w:rPr>
        <w:lastRenderedPageBreak/>
        <w:t>б)</w:t>
      </w:r>
      <w:r w:rsidRPr="009072DA">
        <w:rPr>
          <w:lang w:val="bg-BG"/>
        </w:rPr>
        <w:tab/>
        <w:t>налягането при хидрантите да е поне 300 kPa; и</w:t>
      </w:r>
    </w:p>
    <w:p w:rsidR="00973DAA" w:rsidRPr="009072DA" w:rsidRDefault="005C7859" w:rsidP="00676205">
      <w:pPr>
        <w:pStyle w:val="ESlet"/>
        <w:rPr>
          <w:rFonts w:eastAsia="Calibri" w:cs="Arial"/>
          <w:szCs w:val="18"/>
          <w:lang w:val="bg-BG"/>
        </w:rPr>
      </w:pPr>
      <w:r w:rsidRPr="009072DA">
        <w:rPr>
          <w:lang w:val="bg-BG"/>
        </w:rPr>
        <w:t>в)</w:t>
      </w:r>
      <w:r w:rsidRPr="009072DA">
        <w:rPr>
          <w:lang w:val="bg-BG"/>
        </w:rPr>
        <w:tab/>
        <w:t>на всички палуби да може да се поддържат струи не по-малко от 6 m.</w:t>
      </w:r>
    </w:p>
    <w:p w:rsidR="00676205" w:rsidRPr="009072DA" w:rsidRDefault="00676205" w:rsidP="00973DAA">
      <w:pPr>
        <w:pStyle w:val="ESch"/>
        <w:rPr>
          <w:rFonts w:eastAsia="Calibri"/>
          <w:lang w:val="bg-BG"/>
        </w:rPr>
      </w:pPr>
    </w:p>
    <w:p w:rsidR="00973DAA" w:rsidRPr="009072DA" w:rsidRDefault="00973DAA" w:rsidP="00676205">
      <w:pPr>
        <w:pStyle w:val="ESchpar"/>
        <w:rPr>
          <w:rFonts w:eastAsia="Calibri" w:cs="Arial"/>
          <w:szCs w:val="18"/>
          <w:lang w:val="bg-BG"/>
        </w:rPr>
      </w:pPr>
      <w:r w:rsidRPr="009072DA">
        <w:rPr>
          <w:lang w:val="bg-BG"/>
        </w:rPr>
        <w:t>Ако е налице шкаф за хидранти, на външната страна на шкафа се поставя знак „маркуч за гасене на пожар“, подобен на показания на фигура 5 от приложение 4, с ширина не по-малко от 10 сm.</w:t>
      </w:r>
    </w:p>
    <w:p w:rsidR="00676205" w:rsidRPr="009072DA" w:rsidRDefault="00676205"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4.</w:t>
      </w:r>
      <w:r w:rsidRPr="009072DA">
        <w:rPr>
          <w:lang w:val="bg-BG"/>
        </w:rPr>
        <w:tab/>
        <w:t>Вентилите на хидрантите с винтове или кранове трябва да са от вид, пригоден да бъде поставян в положение, позволяващо всеки от маркучите за гасене на пожар да може да бъде отделян и снеман по време на работа на пожарните помпи.</w:t>
      </w:r>
    </w:p>
    <w:p w:rsidR="00676205" w:rsidRPr="009072DA" w:rsidRDefault="00676205"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5.</w:t>
      </w:r>
      <w:r w:rsidRPr="009072DA">
        <w:rPr>
          <w:lang w:val="bg-BG"/>
        </w:rPr>
        <w:tab/>
        <w:t>Маркучите на пожарогасителите във вътрешните пространства трябва да са навити на колело, окачено на оста си.</w:t>
      </w:r>
    </w:p>
    <w:p w:rsidR="00676205" w:rsidRPr="009072DA" w:rsidRDefault="00676205"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6.</w:t>
      </w:r>
      <w:r w:rsidRPr="009072DA">
        <w:rPr>
          <w:lang w:val="bg-BG"/>
        </w:rPr>
        <w:tab/>
        <w:t>Материалите за противопожарното оборудване трябва да са или устойчиви на топлина, или съответно защитени против повреди, когато се излагат на високи температури.</w:t>
      </w:r>
    </w:p>
    <w:p w:rsidR="00676205" w:rsidRPr="009072DA" w:rsidRDefault="00676205"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7.</w:t>
      </w:r>
      <w:r w:rsidRPr="009072DA">
        <w:rPr>
          <w:lang w:val="bg-BG"/>
        </w:rPr>
        <w:tab/>
        <w:t>Тръбите и хидрантите се подреждат по такъв начин, че да се избегне рискът да замръзнат.</w:t>
      </w:r>
    </w:p>
    <w:p w:rsidR="00676205" w:rsidRPr="009072DA" w:rsidRDefault="00676205" w:rsidP="00973DAA">
      <w:pPr>
        <w:pStyle w:val="ESch"/>
        <w:rPr>
          <w:rFonts w:eastAsia="Calibri"/>
          <w:lang w:val="bg-BG"/>
        </w:rPr>
      </w:pPr>
    </w:p>
    <w:p w:rsidR="00676205" w:rsidRPr="009072DA" w:rsidRDefault="00676205" w:rsidP="00973DAA">
      <w:pPr>
        <w:pStyle w:val="ESch"/>
        <w:rPr>
          <w:rFonts w:eastAsia="Calibri"/>
          <w:lang w:val="bg-BG"/>
        </w:rPr>
      </w:pPr>
      <w:r w:rsidRPr="009072DA">
        <w:rPr>
          <w:lang w:val="bg-BG"/>
        </w:rPr>
        <w:br w:type="page"/>
      </w:r>
    </w:p>
    <w:p w:rsidR="00973DAA" w:rsidRPr="009072DA" w:rsidRDefault="00973DAA" w:rsidP="00973DAA">
      <w:pPr>
        <w:pStyle w:val="ESch"/>
        <w:rPr>
          <w:rFonts w:eastAsia="Calibri" w:cs="Arial"/>
          <w:szCs w:val="18"/>
          <w:lang w:val="bg-BG"/>
        </w:rPr>
      </w:pPr>
      <w:r w:rsidRPr="009072DA">
        <w:rPr>
          <w:lang w:val="bg-BG"/>
        </w:rPr>
        <w:lastRenderedPageBreak/>
        <w:t>8.</w:t>
      </w:r>
      <w:r w:rsidRPr="009072DA">
        <w:rPr>
          <w:lang w:val="bg-BG"/>
        </w:rPr>
        <w:tab/>
        <w:t>Пожарните помпи трябва:</w:t>
      </w:r>
    </w:p>
    <w:p w:rsidR="00973DAA" w:rsidRPr="009072DA" w:rsidRDefault="005C7859" w:rsidP="00676205">
      <w:pPr>
        <w:pStyle w:val="ESlet"/>
        <w:rPr>
          <w:rFonts w:eastAsia="Calibri" w:cs="Arial"/>
          <w:szCs w:val="18"/>
          <w:lang w:val="bg-BG"/>
        </w:rPr>
      </w:pPr>
      <w:r w:rsidRPr="009072DA">
        <w:rPr>
          <w:lang w:val="bg-BG"/>
        </w:rPr>
        <w:t>a)</w:t>
      </w:r>
      <w:r w:rsidRPr="009072DA">
        <w:rPr>
          <w:lang w:val="bg-BG"/>
        </w:rPr>
        <w:tab/>
        <w:t>да бъдат монтирани или разположени в отделни помещения;</w:t>
      </w:r>
    </w:p>
    <w:p w:rsidR="00973DAA" w:rsidRPr="009072DA" w:rsidRDefault="005C7859" w:rsidP="00676205">
      <w:pPr>
        <w:pStyle w:val="ESlet"/>
        <w:rPr>
          <w:rFonts w:eastAsia="Calibri" w:cs="Arial"/>
          <w:szCs w:val="18"/>
          <w:lang w:val="bg-BG"/>
        </w:rPr>
      </w:pPr>
      <w:r w:rsidRPr="009072DA">
        <w:rPr>
          <w:lang w:val="bg-BG"/>
        </w:rPr>
        <w:t>б)</w:t>
      </w:r>
      <w:r w:rsidRPr="009072DA">
        <w:rPr>
          <w:lang w:val="bg-BG"/>
        </w:rPr>
        <w:tab/>
        <w:t>да са такива, че да могат да се задвижват независимо едни от други;</w:t>
      </w:r>
    </w:p>
    <w:p w:rsidR="00973DAA" w:rsidRPr="009072DA" w:rsidRDefault="005C7859" w:rsidP="00676205">
      <w:pPr>
        <w:pStyle w:val="ESlet"/>
        <w:rPr>
          <w:rFonts w:eastAsia="Calibri" w:cs="Arial"/>
          <w:szCs w:val="18"/>
          <w:lang w:val="bg-BG"/>
        </w:rPr>
      </w:pPr>
      <w:r w:rsidRPr="009072DA">
        <w:rPr>
          <w:lang w:val="bg-BG"/>
        </w:rPr>
        <w:t>в)</w:t>
      </w:r>
      <w:r w:rsidRPr="009072DA">
        <w:rPr>
          <w:lang w:val="bg-BG"/>
        </w:rPr>
        <w:tab/>
        <w:t>всяка от тях да има възможност на всички палуби да поддържа необходимото налягане при хидрантите и изискваната дължина на водната струя;</w:t>
      </w:r>
    </w:p>
    <w:p w:rsidR="00973DAA" w:rsidRPr="009072DA" w:rsidRDefault="0029453D" w:rsidP="00676205">
      <w:pPr>
        <w:pStyle w:val="ESlet"/>
        <w:rPr>
          <w:rFonts w:eastAsia="Calibri" w:cs="Arial"/>
          <w:szCs w:val="18"/>
          <w:lang w:val="bg-BG"/>
        </w:rPr>
      </w:pPr>
      <w:r w:rsidRPr="009072DA">
        <w:rPr>
          <w:lang w:val="bg-BG"/>
        </w:rPr>
        <w:t>г)</w:t>
      </w:r>
      <w:r w:rsidRPr="009072DA">
        <w:rPr>
          <w:lang w:val="bg-BG"/>
        </w:rPr>
        <w:tab/>
        <w:t>да са монтирани пред ахтерпиковата преграда.</w:t>
      </w:r>
    </w:p>
    <w:p w:rsidR="00676205" w:rsidRPr="009072DA" w:rsidRDefault="00676205" w:rsidP="00973DAA">
      <w:pPr>
        <w:pStyle w:val="ESch"/>
        <w:rPr>
          <w:rFonts w:eastAsia="Calibri"/>
          <w:lang w:val="bg-BG"/>
        </w:rPr>
      </w:pPr>
    </w:p>
    <w:p w:rsidR="00973DAA" w:rsidRPr="009072DA" w:rsidRDefault="00973DAA" w:rsidP="00676205">
      <w:pPr>
        <w:pStyle w:val="ESchpar"/>
        <w:rPr>
          <w:rFonts w:eastAsia="Calibri" w:cs="Arial"/>
          <w:szCs w:val="18"/>
          <w:lang w:val="bg-BG"/>
        </w:rPr>
      </w:pPr>
      <w:r w:rsidRPr="009072DA">
        <w:rPr>
          <w:lang w:val="bg-BG"/>
        </w:rPr>
        <w:t>Допуска се пожарните помпи да се използват и за общи цели.</w:t>
      </w:r>
    </w:p>
    <w:p w:rsidR="00676205" w:rsidRPr="009072DA" w:rsidRDefault="00676205"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9.</w:t>
      </w:r>
      <w:r w:rsidRPr="009072DA">
        <w:rPr>
          <w:lang w:val="bg-BG"/>
        </w:rPr>
        <w:tab/>
        <w:t>Машинните отделения трябва да бъдат снабдени с постоянно монтирана пожарогасителна система съгласно член 13.05.</w:t>
      </w:r>
    </w:p>
    <w:p w:rsidR="00676205" w:rsidRPr="009072DA" w:rsidRDefault="00676205"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10.</w:t>
      </w:r>
      <w:r w:rsidRPr="009072DA">
        <w:rPr>
          <w:lang w:val="bg-BG"/>
        </w:rPr>
        <w:tab/>
        <w:t>На плавателните съдове с каюти трябва да има:</w:t>
      </w:r>
    </w:p>
    <w:p w:rsidR="00973DAA" w:rsidRPr="009072DA" w:rsidRDefault="005C7859" w:rsidP="00676205">
      <w:pPr>
        <w:pStyle w:val="ESlet"/>
        <w:rPr>
          <w:rFonts w:eastAsia="Calibri" w:cs="Arial"/>
          <w:szCs w:val="18"/>
          <w:lang w:val="bg-BG"/>
        </w:rPr>
      </w:pPr>
      <w:r w:rsidRPr="009072DA">
        <w:rPr>
          <w:lang w:val="bg-BG"/>
        </w:rPr>
        <w:t>a)</w:t>
      </w:r>
      <w:r w:rsidRPr="009072DA">
        <w:rPr>
          <w:lang w:val="bg-BG"/>
        </w:rPr>
        <w:tab/>
      </w:r>
      <w:r w:rsidRPr="009072DA">
        <w:rPr>
          <w:rFonts w:ascii="ArialMT" w:hAnsi="ArialMT"/>
          <w:lang w:val="bg-BG"/>
        </w:rPr>
        <w:t>два комплекта автономни дихателни апарати, съответстващи на европейски стандарт EN 137: 2006 от тип 2 с маски за цялото лице, съответстващи на европейски стандарт EN 136 : 1998</w:t>
      </w:r>
      <w:r w:rsidRPr="009072DA">
        <w:rPr>
          <w:lang w:val="bg-BG"/>
        </w:rPr>
        <w:t>;</w:t>
      </w:r>
    </w:p>
    <w:p w:rsidR="00973DAA" w:rsidRPr="009072DA" w:rsidRDefault="005C7859" w:rsidP="00676205">
      <w:pPr>
        <w:pStyle w:val="ESlet"/>
        <w:rPr>
          <w:rFonts w:eastAsia="Calibri" w:cs="Arial"/>
          <w:szCs w:val="18"/>
          <w:lang w:val="bg-BG"/>
        </w:rPr>
      </w:pPr>
      <w:r w:rsidRPr="009072DA">
        <w:rPr>
          <w:lang w:val="bg-BG"/>
        </w:rPr>
        <w:t>б)</w:t>
      </w:r>
      <w:r w:rsidRPr="009072DA">
        <w:rPr>
          <w:lang w:val="bg-BG"/>
        </w:rPr>
        <w:tab/>
        <w:t xml:space="preserve">два комплекта оборудване, състоящо се най-малкото от защитен костюм, каска, ботуши, ръкавици, брадва, лост, светещ кръг и спасително въже; </w:t>
      </w:r>
    </w:p>
    <w:p w:rsidR="00973DAA" w:rsidRPr="009072DA" w:rsidRDefault="005C7859" w:rsidP="00676205">
      <w:pPr>
        <w:pStyle w:val="ESlet"/>
        <w:rPr>
          <w:rFonts w:eastAsia="Calibri" w:cs="Arial"/>
          <w:szCs w:val="18"/>
          <w:lang w:val="bg-BG"/>
        </w:rPr>
      </w:pPr>
      <w:r w:rsidRPr="009072DA">
        <w:rPr>
          <w:lang w:val="bg-BG"/>
        </w:rPr>
        <w:t>в)</w:t>
      </w:r>
      <w:r w:rsidRPr="009072DA">
        <w:rPr>
          <w:lang w:val="bg-BG"/>
        </w:rPr>
        <w:tab/>
        <w:t>четири димозащитни качулки.</w:t>
      </w:r>
    </w:p>
    <w:p w:rsidR="00973DAA" w:rsidRPr="009072DA" w:rsidRDefault="00973DAA" w:rsidP="00973DAA">
      <w:pPr>
        <w:pStyle w:val="ESch"/>
        <w:rPr>
          <w:rFonts w:eastAsia="Calibri" w:cs="Arial"/>
          <w:szCs w:val="18"/>
          <w:lang w:val="bg-BG"/>
        </w:rPr>
      </w:pPr>
    </w:p>
    <w:p w:rsidR="00676205" w:rsidRPr="009072DA" w:rsidRDefault="00676205" w:rsidP="00973DAA">
      <w:pPr>
        <w:pStyle w:val="ESch"/>
        <w:rPr>
          <w:rFonts w:eastAsia="Calibri" w:cs="Arial"/>
          <w:szCs w:val="18"/>
          <w:lang w:val="bg-BG"/>
        </w:rPr>
      </w:pPr>
    </w:p>
    <w:p w:rsidR="00973DAA" w:rsidRPr="009072DA" w:rsidRDefault="00973DAA" w:rsidP="009870AF">
      <w:pPr>
        <w:pStyle w:val="ES-Titre3"/>
        <w:rPr>
          <w:rFonts w:cs="Arial"/>
          <w:i/>
          <w:szCs w:val="18"/>
          <w:lang w:val="bg-BG"/>
        </w:rPr>
      </w:pPr>
      <w:bookmarkStart w:id="369" w:name="_Toc491854182"/>
      <w:bookmarkStart w:id="370" w:name="_Toc535827623"/>
      <w:r w:rsidRPr="009072DA">
        <w:rPr>
          <w:lang w:val="bg-BG"/>
        </w:rPr>
        <w:t>Член 19.13</w:t>
      </w:r>
      <w:r w:rsidRPr="009072DA">
        <w:rPr>
          <w:lang w:val="bg-BG"/>
        </w:rPr>
        <w:br/>
      </w:r>
      <w:r w:rsidRPr="009072DA">
        <w:rPr>
          <w:i/>
          <w:lang w:val="bg-BG"/>
        </w:rPr>
        <w:t>Организация на безопасността</w:t>
      </w:r>
      <w:bookmarkEnd w:id="369"/>
      <w:bookmarkEnd w:id="370"/>
    </w:p>
    <w:p w:rsidR="009870AF" w:rsidRPr="009072DA" w:rsidRDefault="009870AF"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w:t>
      </w:r>
      <w:r w:rsidRPr="009072DA">
        <w:rPr>
          <w:lang w:val="bg-BG"/>
        </w:rPr>
        <w:tab/>
        <w:t xml:space="preserve">На борда на пътнически плавателни съдове трябва да има разписание по безопасността. Разписанието по безопасността описва задълженията на екипажа и обслужващия персонал в следните случаи: </w:t>
      </w:r>
    </w:p>
    <w:p w:rsidR="00973DAA" w:rsidRPr="009072DA" w:rsidRDefault="005C7859" w:rsidP="009870AF">
      <w:pPr>
        <w:pStyle w:val="ESlet"/>
        <w:rPr>
          <w:rFonts w:eastAsia="Calibri" w:cs="Arial"/>
          <w:szCs w:val="18"/>
          <w:lang w:val="bg-BG"/>
        </w:rPr>
      </w:pPr>
      <w:r w:rsidRPr="009072DA">
        <w:rPr>
          <w:lang w:val="bg-BG"/>
        </w:rPr>
        <w:t>a)</w:t>
      </w:r>
      <w:r w:rsidRPr="009072DA">
        <w:rPr>
          <w:lang w:val="bg-BG"/>
        </w:rPr>
        <w:tab/>
        <w:t>повреда;</w:t>
      </w:r>
    </w:p>
    <w:p w:rsidR="00973DAA" w:rsidRPr="009072DA" w:rsidRDefault="005C7859" w:rsidP="009870AF">
      <w:pPr>
        <w:pStyle w:val="ESlet"/>
        <w:rPr>
          <w:rFonts w:eastAsia="Calibri" w:cs="Arial"/>
          <w:szCs w:val="18"/>
          <w:lang w:val="bg-BG"/>
        </w:rPr>
      </w:pPr>
      <w:r w:rsidRPr="009072DA">
        <w:rPr>
          <w:lang w:val="bg-BG"/>
        </w:rPr>
        <w:t>б)</w:t>
      </w:r>
      <w:r w:rsidRPr="009072DA">
        <w:rPr>
          <w:lang w:val="bg-BG"/>
        </w:rPr>
        <w:tab/>
        <w:t>пожар на борда;</w:t>
      </w:r>
    </w:p>
    <w:p w:rsidR="00973DAA" w:rsidRPr="009072DA" w:rsidRDefault="005C7859" w:rsidP="009870AF">
      <w:pPr>
        <w:pStyle w:val="ESlet"/>
        <w:rPr>
          <w:rFonts w:eastAsia="Calibri" w:cs="Arial"/>
          <w:szCs w:val="18"/>
          <w:lang w:val="bg-BG"/>
        </w:rPr>
      </w:pPr>
      <w:r w:rsidRPr="009072DA">
        <w:rPr>
          <w:lang w:val="bg-BG"/>
        </w:rPr>
        <w:t>в)</w:t>
      </w:r>
      <w:r w:rsidRPr="009072DA">
        <w:rPr>
          <w:lang w:val="bg-BG"/>
        </w:rPr>
        <w:tab/>
        <w:t>евакуация на пътниците;</w:t>
      </w:r>
    </w:p>
    <w:p w:rsidR="00973DAA" w:rsidRPr="009072DA" w:rsidRDefault="0029453D" w:rsidP="009870AF">
      <w:pPr>
        <w:pStyle w:val="ESlet"/>
        <w:rPr>
          <w:rFonts w:eastAsia="Calibri" w:cs="Arial"/>
          <w:szCs w:val="18"/>
          <w:lang w:val="bg-BG"/>
        </w:rPr>
      </w:pPr>
      <w:r w:rsidRPr="009072DA">
        <w:rPr>
          <w:lang w:val="bg-BG"/>
        </w:rPr>
        <w:t>г)</w:t>
      </w:r>
      <w:r w:rsidRPr="009072DA">
        <w:rPr>
          <w:lang w:val="bg-BG"/>
        </w:rPr>
        <w:tab/>
        <w:t>човек зад борда.</w:t>
      </w:r>
    </w:p>
    <w:p w:rsidR="009870AF" w:rsidRPr="009072DA" w:rsidRDefault="009870AF" w:rsidP="00973DAA">
      <w:pPr>
        <w:pStyle w:val="ESch"/>
        <w:rPr>
          <w:rFonts w:eastAsia="Calibri"/>
          <w:lang w:val="bg-BG"/>
        </w:rPr>
      </w:pPr>
    </w:p>
    <w:p w:rsidR="00973DAA" w:rsidRPr="009072DA" w:rsidRDefault="00973DAA" w:rsidP="009870AF">
      <w:pPr>
        <w:pStyle w:val="ESchpar"/>
        <w:rPr>
          <w:rFonts w:eastAsia="Calibri" w:cs="Arial"/>
          <w:szCs w:val="18"/>
          <w:lang w:val="bg-BG"/>
        </w:rPr>
      </w:pPr>
      <w:r w:rsidRPr="009072DA">
        <w:rPr>
          <w:lang w:val="bg-BG"/>
        </w:rPr>
        <w:t>Трябва да са взети под внимание специфичните мерки за лица с намалена подвижност.</w:t>
      </w:r>
    </w:p>
    <w:p w:rsidR="009870AF" w:rsidRPr="009072DA" w:rsidRDefault="009870AF" w:rsidP="009870AF">
      <w:pPr>
        <w:pStyle w:val="ESchpar"/>
        <w:rPr>
          <w:rFonts w:eastAsia="Calibri"/>
          <w:lang w:val="bg-BG"/>
        </w:rPr>
      </w:pPr>
    </w:p>
    <w:p w:rsidR="00973DAA" w:rsidRPr="009072DA" w:rsidRDefault="00973DAA" w:rsidP="009870AF">
      <w:pPr>
        <w:pStyle w:val="ESchpar"/>
        <w:rPr>
          <w:rFonts w:eastAsia="Calibri" w:cs="Arial"/>
          <w:szCs w:val="18"/>
          <w:lang w:val="bg-BG"/>
        </w:rPr>
      </w:pPr>
      <w:r w:rsidRPr="009072DA">
        <w:rPr>
          <w:lang w:val="bg-BG"/>
        </w:rPr>
        <w:t>На членовете на екипажа и обслужващия персонал, определени в разписанието по безопасността, следва да се възлагат различни задължения в зависимост от постовете, които заемат. Специалните указания за екипажа трябва да гарантират, че в случай на опасност всички врати и отвори във водонепроницаемите прегради, посочени в член 19.02, ще бъдат незабавно затворени херметично.</w:t>
      </w:r>
    </w:p>
    <w:p w:rsidR="009870AF" w:rsidRPr="009072DA" w:rsidRDefault="009870AF"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2.</w:t>
      </w:r>
      <w:r w:rsidRPr="009072DA">
        <w:rPr>
          <w:lang w:val="bg-BG"/>
        </w:rPr>
        <w:tab/>
        <w:t>Разписанието по безопасността включва план по безопасност, в който ясно и прецизно се определя следното:</w:t>
      </w:r>
    </w:p>
    <w:p w:rsidR="00973DAA" w:rsidRPr="009072DA" w:rsidRDefault="005C7859" w:rsidP="009870AF">
      <w:pPr>
        <w:pStyle w:val="ESlet"/>
        <w:rPr>
          <w:rFonts w:eastAsia="Calibri" w:cs="Arial"/>
          <w:szCs w:val="18"/>
          <w:lang w:val="bg-BG"/>
        </w:rPr>
      </w:pPr>
      <w:r w:rsidRPr="009072DA">
        <w:rPr>
          <w:lang w:val="bg-BG"/>
        </w:rPr>
        <w:t>a)</w:t>
      </w:r>
      <w:r w:rsidRPr="009072DA">
        <w:rPr>
          <w:lang w:val="bg-BG"/>
        </w:rPr>
        <w:tab/>
        <w:t>пространствата, предназначени за използване от лица с намалена подвижност</w:t>
      </w:r>
    </w:p>
    <w:p w:rsidR="00973DAA" w:rsidRPr="009072DA" w:rsidRDefault="005C7859" w:rsidP="009870AF">
      <w:pPr>
        <w:pStyle w:val="ESlet"/>
        <w:rPr>
          <w:rFonts w:eastAsia="Calibri" w:cs="Arial"/>
          <w:szCs w:val="18"/>
          <w:lang w:val="bg-BG"/>
        </w:rPr>
      </w:pPr>
      <w:r w:rsidRPr="009072DA">
        <w:rPr>
          <w:lang w:val="bg-BG"/>
        </w:rPr>
        <w:t>б)</w:t>
      </w:r>
      <w:r w:rsidRPr="009072DA">
        <w:rPr>
          <w:lang w:val="bg-BG"/>
        </w:rPr>
        <w:tab/>
        <w:t>маршрутите за евакуация, аварийни изходи, сборни пунктове и пунктове за евакуация;</w:t>
      </w:r>
    </w:p>
    <w:p w:rsidR="00973DAA" w:rsidRPr="009072DA" w:rsidRDefault="005C7859" w:rsidP="009870AF">
      <w:pPr>
        <w:pStyle w:val="ESlet"/>
        <w:rPr>
          <w:rFonts w:eastAsia="Calibri" w:cs="Arial"/>
          <w:szCs w:val="18"/>
          <w:lang w:val="bg-BG"/>
        </w:rPr>
      </w:pPr>
      <w:r w:rsidRPr="009072DA">
        <w:rPr>
          <w:lang w:val="bg-BG"/>
        </w:rPr>
        <w:t>в)</w:t>
      </w:r>
      <w:r w:rsidRPr="009072DA">
        <w:rPr>
          <w:lang w:val="bg-BG"/>
        </w:rPr>
        <w:tab/>
        <w:t>спасителното оборудване и корабните лодки;</w:t>
      </w:r>
    </w:p>
    <w:p w:rsidR="00973DAA" w:rsidRPr="009072DA" w:rsidRDefault="0029453D" w:rsidP="009870AF">
      <w:pPr>
        <w:pStyle w:val="ESlet"/>
        <w:rPr>
          <w:rFonts w:eastAsia="Calibri" w:cs="Arial"/>
          <w:szCs w:val="18"/>
          <w:lang w:val="bg-BG"/>
        </w:rPr>
      </w:pPr>
      <w:r w:rsidRPr="009072DA">
        <w:rPr>
          <w:lang w:val="bg-BG"/>
        </w:rPr>
        <w:t>г)</w:t>
      </w:r>
      <w:r w:rsidRPr="009072DA">
        <w:rPr>
          <w:lang w:val="bg-BG"/>
        </w:rPr>
        <w:tab/>
        <w:t>пожарогасителите, системите за гасене на пожар и спринклерните системи под налягане;</w:t>
      </w:r>
    </w:p>
    <w:p w:rsidR="00973DAA" w:rsidRPr="009072DA" w:rsidRDefault="0029453D" w:rsidP="009870AF">
      <w:pPr>
        <w:pStyle w:val="ESlet"/>
        <w:rPr>
          <w:rFonts w:eastAsia="Calibri" w:cs="Arial"/>
          <w:szCs w:val="18"/>
          <w:lang w:val="bg-BG"/>
        </w:rPr>
      </w:pPr>
      <w:r w:rsidRPr="009072DA">
        <w:rPr>
          <w:lang w:val="bg-BG"/>
        </w:rPr>
        <w:t>д)</w:t>
      </w:r>
      <w:r w:rsidRPr="009072DA">
        <w:rPr>
          <w:lang w:val="bg-BG"/>
        </w:rPr>
        <w:tab/>
        <w:t>друго оборудване за безопасност;</w:t>
      </w:r>
    </w:p>
    <w:p w:rsidR="00973DAA" w:rsidRPr="009072DA" w:rsidRDefault="0029453D" w:rsidP="009870AF">
      <w:pPr>
        <w:pStyle w:val="ESlet"/>
        <w:rPr>
          <w:rFonts w:eastAsia="Calibri" w:cs="Arial"/>
          <w:szCs w:val="18"/>
          <w:lang w:val="bg-BG"/>
        </w:rPr>
      </w:pPr>
      <w:r w:rsidRPr="009072DA">
        <w:rPr>
          <w:lang w:val="bg-BG"/>
        </w:rPr>
        <w:t>е)</w:t>
      </w:r>
      <w:r w:rsidRPr="009072DA">
        <w:rPr>
          <w:lang w:val="bg-BG"/>
        </w:rPr>
        <w:tab/>
        <w:t>алармената система, посочена в член 19.08, точка 3, буква a);</w:t>
      </w:r>
    </w:p>
    <w:p w:rsidR="009870AF" w:rsidRPr="009072DA" w:rsidRDefault="009870AF" w:rsidP="009870AF">
      <w:pPr>
        <w:pStyle w:val="ESlet"/>
        <w:rPr>
          <w:rFonts w:eastAsia="Calibri"/>
          <w:lang w:val="bg-BG"/>
        </w:rPr>
      </w:pPr>
    </w:p>
    <w:p w:rsidR="009870AF" w:rsidRPr="009072DA" w:rsidRDefault="009870AF" w:rsidP="009870AF">
      <w:pPr>
        <w:pStyle w:val="ESlet"/>
        <w:rPr>
          <w:rFonts w:eastAsia="Calibri"/>
          <w:lang w:val="bg-BG"/>
        </w:rPr>
      </w:pPr>
      <w:r w:rsidRPr="009072DA">
        <w:rPr>
          <w:lang w:val="bg-BG"/>
        </w:rPr>
        <w:br w:type="page"/>
      </w:r>
    </w:p>
    <w:p w:rsidR="00973DAA" w:rsidRPr="009072DA" w:rsidRDefault="0029453D" w:rsidP="009870AF">
      <w:pPr>
        <w:pStyle w:val="ESlet"/>
        <w:rPr>
          <w:rFonts w:eastAsia="Calibri" w:cs="Arial"/>
          <w:szCs w:val="18"/>
          <w:lang w:val="bg-BG"/>
        </w:rPr>
      </w:pPr>
      <w:r w:rsidRPr="009072DA">
        <w:rPr>
          <w:lang w:val="bg-BG"/>
        </w:rPr>
        <w:lastRenderedPageBreak/>
        <w:t>ж)</w:t>
      </w:r>
      <w:r w:rsidRPr="009072DA">
        <w:rPr>
          <w:lang w:val="bg-BG"/>
        </w:rPr>
        <w:tab/>
        <w:t>алармената система, посочена в член 19.08, точка 3, букви б) и в);</w:t>
      </w:r>
    </w:p>
    <w:p w:rsidR="00973DAA" w:rsidRPr="009072DA" w:rsidRDefault="0029453D" w:rsidP="009870AF">
      <w:pPr>
        <w:pStyle w:val="ESlet"/>
        <w:rPr>
          <w:rFonts w:eastAsia="Calibri" w:cs="Arial"/>
          <w:szCs w:val="18"/>
          <w:lang w:val="bg-BG"/>
        </w:rPr>
      </w:pPr>
      <w:r w:rsidRPr="009072DA">
        <w:rPr>
          <w:lang w:val="bg-BG"/>
        </w:rPr>
        <w:t>з)</w:t>
      </w:r>
      <w:r w:rsidRPr="009072DA">
        <w:rPr>
          <w:lang w:val="bg-BG"/>
        </w:rPr>
        <w:tab/>
        <w:t>вратите в преградите, посочени в член 19.02, точка 5, и местата за управлението им, както и другите отвори, посочени в член 19.02, точки 9, 10 и 13 и член 19.03, точка 12;</w:t>
      </w:r>
    </w:p>
    <w:p w:rsidR="00973DAA" w:rsidRPr="009072DA" w:rsidRDefault="0029453D" w:rsidP="009870AF">
      <w:pPr>
        <w:pStyle w:val="ESlet"/>
        <w:rPr>
          <w:rFonts w:eastAsia="Calibri" w:cs="Arial"/>
          <w:szCs w:val="18"/>
          <w:lang w:val="bg-BG"/>
        </w:rPr>
      </w:pPr>
      <w:r w:rsidRPr="009072DA">
        <w:rPr>
          <w:lang w:val="bg-BG"/>
        </w:rPr>
        <w:t>и)</w:t>
      </w:r>
      <w:r w:rsidRPr="009072DA">
        <w:rPr>
          <w:lang w:val="bg-BG"/>
        </w:rPr>
        <w:tab/>
        <w:t>вратите, посочени в член 19.11, точка 9;</w:t>
      </w:r>
    </w:p>
    <w:p w:rsidR="00973DAA" w:rsidRPr="009072DA" w:rsidRDefault="00973DAA" w:rsidP="009870AF">
      <w:pPr>
        <w:pStyle w:val="ESlet"/>
        <w:rPr>
          <w:rFonts w:eastAsia="Calibri" w:cs="Arial"/>
          <w:szCs w:val="18"/>
          <w:lang w:val="bg-BG"/>
        </w:rPr>
      </w:pPr>
      <w:r w:rsidRPr="009072DA">
        <w:rPr>
          <w:lang w:val="bg-BG"/>
        </w:rPr>
        <w:t>й)</w:t>
      </w:r>
      <w:r w:rsidRPr="009072DA">
        <w:rPr>
          <w:lang w:val="bg-BG"/>
        </w:rPr>
        <w:tab/>
        <w:t>противопожарните клапани;</w:t>
      </w:r>
    </w:p>
    <w:p w:rsidR="00973DAA" w:rsidRPr="009072DA" w:rsidRDefault="0029453D" w:rsidP="009870AF">
      <w:pPr>
        <w:pStyle w:val="ESlet"/>
        <w:rPr>
          <w:rFonts w:eastAsia="Calibri" w:cs="Arial"/>
          <w:szCs w:val="18"/>
          <w:lang w:val="bg-BG"/>
        </w:rPr>
      </w:pPr>
      <w:r w:rsidRPr="009072DA">
        <w:rPr>
          <w:lang w:val="bg-BG"/>
        </w:rPr>
        <w:t>к)</w:t>
      </w:r>
      <w:r w:rsidRPr="009072DA">
        <w:rPr>
          <w:lang w:val="bg-BG"/>
        </w:rPr>
        <w:tab/>
        <w:t>пожароизвестителната система;</w:t>
      </w:r>
    </w:p>
    <w:p w:rsidR="00973DAA" w:rsidRPr="009072DA" w:rsidRDefault="0029453D" w:rsidP="009870AF">
      <w:pPr>
        <w:pStyle w:val="ESlet"/>
        <w:rPr>
          <w:rFonts w:eastAsia="Calibri" w:cs="Arial"/>
          <w:szCs w:val="18"/>
          <w:lang w:val="bg-BG"/>
        </w:rPr>
      </w:pPr>
      <w:r w:rsidRPr="009072DA">
        <w:rPr>
          <w:lang w:val="bg-BG"/>
        </w:rPr>
        <w:t>л)</w:t>
      </w:r>
      <w:r w:rsidRPr="009072DA">
        <w:rPr>
          <w:lang w:val="bg-BG"/>
        </w:rPr>
        <w:tab/>
        <w:t>аварийният захранващ агрегат</w:t>
      </w:r>
    </w:p>
    <w:p w:rsidR="00973DAA" w:rsidRPr="009072DA" w:rsidRDefault="0029453D" w:rsidP="009870AF">
      <w:pPr>
        <w:pStyle w:val="ESlet"/>
        <w:rPr>
          <w:rFonts w:eastAsia="Calibri" w:cs="Arial"/>
          <w:szCs w:val="18"/>
          <w:lang w:val="bg-BG"/>
        </w:rPr>
      </w:pPr>
      <w:r w:rsidRPr="009072DA">
        <w:rPr>
          <w:lang w:val="bg-BG"/>
        </w:rPr>
        <w:t>м)</w:t>
      </w:r>
      <w:r w:rsidRPr="009072DA">
        <w:rPr>
          <w:lang w:val="bg-BG"/>
        </w:rPr>
        <w:tab/>
        <w:t>елементите за управление на вентилационната система;</w:t>
      </w:r>
    </w:p>
    <w:p w:rsidR="00973DAA" w:rsidRPr="009072DA" w:rsidRDefault="00973DAA" w:rsidP="009870AF">
      <w:pPr>
        <w:pStyle w:val="ESlet"/>
        <w:rPr>
          <w:rFonts w:eastAsia="Calibri" w:cs="Arial"/>
          <w:szCs w:val="18"/>
          <w:lang w:val="bg-BG"/>
        </w:rPr>
      </w:pPr>
      <w:r w:rsidRPr="009072DA">
        <w:rPr>
          <w:lang w:val="bg-BG"/>
        </w:rPr>
        <w:t>н)</w:t>
      </w:r>
      <w:r w:rsidRPr="009072DA">
        <w:rPr>
          <w:lang w:val="bg-BG"/>
        </w:rPr>
        <w:tab/>
        <w:t>съединителната арматура за връзка с брега;</w:t>
      </w:r>
    </w:p>
    <w:p w:rsidR="00973DAA" w:rsidRPr="009072DA" w:rsidRDefault="00973DAA" w:rsidP="009870AF">
      <w:pPr>
        <w:pStyle w:val="ESlet"/>
        <w:rPr>
          <w:rFonts w:eastAsia="Calibri" w:cs="Arial"/>
          <w:szCs w:val="18"/>
          <w:lang w:val="bg-BG"/>
        </w:rPr>
      </w:pPr>
      <w:r w:rsidRPr="009072DA">
        <w:rPr>
          <w:lang w:val="bg-BG"/>
        </w:rPr>
        <w:t>о)</w:t>
      </w:r>
      <w:r w:rsidRPr="009072DA">
        <w:rPr>
          <w:lang w:val="bg-BG"/>
        </w:rPr>
        <w:tab/>
        <w:t>устройствата за спиране линиите за гориво;</w:t>
      </w:r>
    </w:p>
    <w:p w:rsidR="00973DAA" w:rsidRPr="009072DA" w:rsidRDefault="00973DAA" w:rsidP="009870AF">
      <w:pPr>
        <w:pStyle w:val="ESlet"/>
        <w:rPr>
          <w:rFonts w:eastAsia="Calibri" w:cs="Arial"/>
          <w:szCs w:val="18"/>
          <w:lang w:val="bg-BG"/>
        </w:rPr>
      </w:pPr>
      <w:r w:rsidRPr="009072DA">
        <w:rPr>
          <w:lang w:val="bg-BG"/>
        </w:rPr>
        <w:t>п)</w:t>
      </w:r>
      <w:r w:rsidRPr="009072DA">
        <w:rPr>
          <w:lang w:val="bg-BG"/>
        </w:rPr>
        <w:tab/>
        <w:t>уредбите за втечнен газ;</w:t>
      </w:r>
    </w:p>
    <w:p w:rsidR="00973DAA" w:rsidRPr="009072DA" w:rsidRDefault="00973DAA" w:rsidP="009870AF">
      <w:pPr>
        <w:pStyle w:val="ESlet"/>
        <w:rPr>
          <w:rFonts w:eastAsia="Calibri" w:cs="Arial"/>
          <w:szCs w:val="18"/>
          <w:lang w:val="bg-BG"/>
        </w:rPr>
      </w:pPr>
      <w:r w:rsidRPr="009072DA">
        <w:rPr>
          <w:lang w:val="bg-BG"/>
        </w:rPr>
        <w:t xml:space="preserve">р) </w:t>
      </w:r>
      <w:r w:rsidRPr="009072DA">
        <w:rPr>
          <w:lang w:val="bg-BG"/>
        </w:rPr>
        <w:tab/>
        <w:t>високоговорителните уредби;</w:t>
      </w:r>
    </w:p>
    <w:p w:rsidR="00973DAA" w:rsidRPr="009072DA" w:rsidRDefault="00973DAA" w:rsidP="009870AF">
      <w:pPr>
        <w:pStyle w:val="ESlet"/>
        <w:rPr>
          <w:rFonts w:eastAsia="Calibri" w:cs="Arial"/>
          <w:szCs w:val="18"/>
          <w:lang w:val="bg-BG"/>
        </w:rPr>
      </w:pPr>
      <w:r w:rsidRPr="009072DA">
        <w:rPr>
          <w:lang w:val="bg-BG"/>
        </w:rPr>
        <w:t xml:space="preserve">с) </w:t>
      </w:r>
      <w:r w:rsidRPr="009072DA">
        <w:rPr>
          <w:lang w:val="bg-BG"/>
        </w:rPr>
        <w:tab/>
        <w:t>радиотелефонното оборудване;</w:t>
      </w:r>
    </w:p>
    <w:p w:rsidR="00973DAA" w:rsidRPr="009072DA" w:rsidRDefault="00973DAA" w:rsidP="009870AF">
      <w:pPr>
        <w:pStyle w:val="ESlet"/>
        <w:rPr>
          <w:rFonts w:eastAsia="Calibri" w:cs="Arial"/>
          <w:szCs w:val="18"/>
          <w:lang w:val="bg-BG"/>
        </w:rPr>
      </w:pPr>
      <w:r w:rsidRPr="009072DA">
        <w:rPr>
          <w:lang w:val="bg-BG"/>
        </w:rPr>
        <w:t xml:space="preserve">т) </w:t>
      </w:r>
      <w:r w:rsidRPr="009072DA">
        <w:rPr>
          <w:lang w:val="bg-BG"/>
        </w:rPr>
        <w:tab/>
        <w:t>комплектите за оказване на първа помощ.</w:t>
      </w:r>
    </w:p>
    <w:p w:rsidR="009870AF" w:rsidRPr="009072DA" w:rsidRDefault="009870AF"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3.</w:t>
      </w:r>
      <w:r w:rsidRPr="009072DA">
        <w:rPr>
          <w:lang w:val="bg-BG"/>
        </w:rPr>
        <w:tab/>
        <w:t>Разписанието по безопасността съгласно точка 1 и планът за безопасност съгласно точка 2:</w:t>
      </w:r>
    </w:p>
    <w:p w:rsidR="00973DAA" w:rsidRPr="009072DA" w:rsidRDefault="005C7859" w:rsidP="009870AF">
      <w:pPr>
        <w:pStyle w:val="ESlet"/>
        <w:rPr>
          <w:rFonts w:eastAsia="Calibri" w:cs="Arial"/>
          <w:szCs w:val="18"/>
          <w:lang w:val="bg-BG"/>
        </w:rPr>
      </w:pPr>
      <w:r w:rsidRPr="009072DA">
        <w:rPr>
          <w:lang w:val="bg-BG"/>
        </w:rPr>
        <w:t>a)</w:t>
      </w:r>
      <w:r w:rsidRPr="009072DA">
        <w:rPr>
          <w:lang w:val="bg-BG"/>
        </w:rPr>
        <w:tab/>
        <w:t>се подпечатват надлежно от контролния орган, и</w:t>
      </w:r>
    </w:p>
    <w:p w:rsidR="00973DAA" w:rsidRPr="009072DA" w:rsidRDefault="005C7859" w:rsidP="009870AF">
      <w:pPr>
        <w:pStyle w:val="ESlet"/>
        <w:rPr>
          <w:rFonts w:eastAsia="Calibri" w:cs="Arial"/>
          <w:szCs w:val="18"/>
          <w:lang w:val="bg-BG"/>
        </w:rPr>
      </w:pPr>
      <w:r w:rsidRPr="009072DA">
        <w:rPr>
          <w:lang w:val="bg-BG"/>
        </w:rPr>
        <w:t>б)</w:t>
      </w:r>
      <w:r w:rsidRPr="009072DA">
        <w:rPr>
          <w:lang w:val="bg-BG"/>
        </w:rPr>
        <w:tab/>
        <w:t>се поставят на видно място на всяка палуба.</w:t>
      </w:r>
    </w:p>
    <w:p w:rsidR="009870AF" w:rsidRPr="009072DA" w:rsidRDefault="009870AF"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4.</w:t>
      </w:r>
      <w:r w:rsidRPr="009072DA">
        <w:rPr>
          <w:lang w:val="bg-BG"/>
        </w:rPr>
        <w:tab/>
        <w:t>Във всяко жилищно помещение се поставя кодекс за поведението на пътниците, както и опростен план за безопасност, съдържащ само информацията, упомената в точка 2, букви от а) до е).</w:t>
      </w:r>
    </w:p>
    <w:p w:rsidR="009870AF" w:rsidRPr="009072DA" w:rsidRDefault="009870AF" w:rsidP="009870AF">
      <w:pPr>
        <w:pStyle w:val="ESchpar"/>
        <w:rPr>
          <w:rFonts w:eastAsia="Calibri"/>
          <w:lang w:val="bg-BG"/>
        </w:rPr>
      </w:pPr>
    </w:p>
    <w:p w:rsidR="00973DAA" w:rsidRPr="009072DA" w:rsidRDefault="00973DAA" w:rsidP="009870AF">
      <w:pPr>
        <w:pStyle w:val="ESchpar"/>
        <w:rPr>
          <w:rFonts w:eastAsia="Calibri" w:cs="Arial"/>
          <w:szCs w:val="18"/>
          <w:lang w:val="bg-BG"/>
        </w:rPr>
      </w:pPr>
      <w:r w:rsidRPr="009072DA">
        <w:rPr>
          <w:lang w:val="bg-BG"/>
        </w:rPr>
        <w:t>Настоящият кодекс за поведение включва най-малко:</w:t>
      </w:r>
    </w:p>
    <w:p w:rsidR="00973DAA" w:rsidRPr="009072DA" w:rsidRDefault="005C7859" w:rsidP="009870AF">
      <w:pPr>
        <w:pStyle w:val="ESlet"/>
        <w:rPr>
          <w:rFonts w:eastAsia="Calibri" w:cs="Arial"/>
          <w:szCs w:val="18"/>
          <w:lang w:val="bg-BG"/>
        </w:rPr>
      </w:pPr>
      <w:r w:rsidRPr="009072DA">
        <w:rPr>
          <w:lang w:val="bg-BG"/>
        </w:rPr>
        <w:t>a)</w:t>
      </w:r>
      <w:r w:rsidRPr="009072DA">
        <w:rPr>
          <w:lang w:val="bg-BG"/>
        </w:rPr>
        <w:tab/>
        <w:t>определяне на извънредните ситуации:</w:t>
      </w:r>
    </w:p>
    <w:p w:rsidR="00973DAA" w:rsidRPr="009072DA" w:rsidRDefault="00973DAA" w:rsidP="009870AF">
      <w:pPr>
        <w:pStyle w:val="ESletpar"/>
        <w:rPr>
          <w:rFonts w:eastAsia="Calibri" w:cs="Arial"/>
          <w:szCs w:val="18"/>
          <w:lang w:val="bg-BG"/>
        </w:rPr>
      </w:pPr>
      <w:r w:rsidRPr="009072DA">
        <w:rPr>
          <w:lang w:val="bg-BG"/>
        </w:rPr>
        <w:t>aa)</w:t>
      </w:r>
      <w:r w:rsidRPr="009072DA">
        <w:rPr>
          <w:lang w:val="bg-BG"/>
        </w:rPr>
        <w:tab/>
        <w:t>пожар;</w:t>
      </w:r>
    </w:p>
    <w:p w:rsidR="00973DAA" w:rsidRPr="009072DA" w:rsidRDefault="00973DAA" w:rsidP="009870AF">
      <w:pPr>
        <w:pStyle w:val="ESletpar"/>
        <w:rPr>
          <w:rFonts w:eastAsia="Calibri" w:cs="Arial"/>
          <w:szCs w:val="18"/>
          <w:lang w:val="bg-BG"/>
        </w:rPr>
      </w:pPr>
      <w:r w:rsidRPr="009072DA">
        <w:rPr>
          <w:lang w:val="bg-BG"/>
        </w:rPr>
        <w:t>бб)</w:t>
      </w:r>
      <w:r w:rsidRPr="009072DA">
        <w:rPr>
          <w:lang w:val="bg-BG"/>
        </w:rPr>
        <w:tab/>
        <w:t>наводняване;</w:t>
      </w:r>
    </w:p>
    <w:p w:rsidR="00973DAA" w:rsidRPr="009072DA" w:rsidRDefault="00973DAA" w:rsidP="009870AF">
      <w:pPr>
        <w:pStyle w:val="ESletpar"/>
        <w:rPr>
          <w:rFonts w:eastAsia="Calibri" w:cs="Arial"/>
          <w:szCs w:val="18"/>
          <w:lang w:val="bg-BG"/>
        </w:rPr>
      </w:pPr>
      <w:r w:rsidRPr="009072DA">
        <w:rPr>
          <w:lang w:val="bg-BG"/>
        </w:rPr>
        <w:t>вв)</w:t>
      </w:r>
      <w:r w:rsidRPr="009072DA">
        <w:rPr>
          <w:lang w:val="bg-BG"/>
        </w:rPr>
        <w:tab/>
        <w:t>обща опасност;</w:t>
      </w:r>
    </w:p>
    <w:p w:rsidR="00973DAA" w:rsidRPr="009072DA" w:rsidRDefault="005C7859" w:rsidP="009870AF">
      <w:pPr>
        <w:pStyle w:val="ESlet"/>
        <w:rPr>
          <w:rFonts w:eastAsia="Calibri" w:cs="Arial"/>
          <w:szCs w:val="18"/>
          <w:lang w:val="bg-BG"/>
        </w:rPr>
      </w:pPr>
      <w:r w:rsidRPr="009072DA">
        <w:rPr>
          <w:lang w:val="bg-BG"/>
        </w:rPr>
        <w:t>б)</w:t>
      </w:r>
      <w:r w:rsidRPr="009072DA">
        <w:rPr>
          <w:lang w:val="bg-BG"/>
        </w:rPr>
        <w:tab/>
        <w:t>описание на различните видове алармени сигнали;</w:t>
      </w:r>
    </w:p>
    <w:p w:rsidR="00973DAA" w:rsidRPr="009072DA" w:rsidRDefault="005C7859" w:rsidP="009870AF">
      <w:pPr>
        <w:pStyle w:val="ESlet"/>
        <w:rPr>
          <w:rFonts w:eastAsia="Calibri" w:cs="Arial"/>
          <w:szCs w:val="18"/>
          <w:lang w:val="bg-BG"/>
        </w:rPr>
      </w:pPr>
      <w:r w:rsidRPr="009072DA">
        <w:rPr>
          <w:lang w:val="bg-BG"/>
        </w:rPr>
        <w:t>в)</w:t>
      </w:r>
      <w:r w:rsidRPr="009072DA">
        <w:rPr>
          <w:lang w:val="bg-BG"/>
        </w:rPr>
        <w:tab/>
        <w:t>указания относно:</w:t>
      </w:r>
    </w:p>
    <w:p w:rsidR="00973DAA" w:rsidRPr="009072DA" w:rsidRDefault="00973DAA" w:rsidP="009870AF">
      <w:pPr>
        <w:pStyle w:val="ESletpar"/>
        <w:rPr>
          <w:rFonts w:eastAsia="Calibri" w:cs="Arial"/>
          <w:szCs w:val="18"/>
          <w:lang w:val="bg-BG"/>
        </w:rPr>
      </w:pPr>
      <w:r w:rsidRPr="009072DA">
        <w:rPr>
          <w:lang w:val="bg-BG"/>
        </w:rPr>
        <w:lastRenderedPageBreak/>
        <w:t>aa)</w:t>
      </w:r>
      <w:r w:rsidRPr="009072DA">
        <w:rPr>
          <w:lang w:val="bg-BG"/>
        </w:rPr>
        <w:tab/>
        <w:t>маршрутите за евакуация;</w:t>
      </w:r>
    </w:p>
    <w:p w:rsidR="00973DAA" w:rsidRPr="009072DA" w:rsidRDefault="00973DAA" w:rsidP="009870AF">
      <w:pPr>
        <w:pStyle w:val="ESletpar"/>
        <w:rPr>
          <w:rFonts w:eastAsia="Calibri" w:cs="Arial"/>
          <w:szCs w:val="18"/>
          <w:lang w:val="bg-BG"/>
        </w:rPr>
      </w:pPr>
      <w:r w:rsidRPr="009072DA">
        <w:rPr>
          <w:lang w:val="bg-BG"/>
        </w:rPr>
        <w:t>бб)</w:t>
      </w:r>
      <w:r w:rsidRPr="009072DA">
        <w:rPr>
          <w:lang w:val="bg-BG"/>
        </w:rPr>
        <w:tab/>
        <w:t>действията, които да бъдат предприемани;</w:t>
      </w:r>
    </w:p>
    <w:p w:rsidR="00973DAA" w:rsidRPr="009072DA" w:rsidRDefault="00973DAA" w:rsidP="009870AF">
      <w:pPr>
        <w:pStyle w:val="ESletpar"/>
        <w:rPr>
          <w:rFonts w:eastAsia="Calibri" w:cs="Arial"/>
          <w:szCs w:val="18"/>
          <w:lang w:val="bg-BG"/>
        </w:rPr>
      </w:pPr>
      <w:r w:rsidRPr="009072DA">
        <w:rPr>
          <w:lang w:val="bg-BG"/>
        </w:rPr>
        <w:t>вв)</w:t>
      </w:r>
      <w:r w:rsidRPr="009072DA">
        <w:rPr>
          <w:lang w:val="bg-BG"/>
        </w:rPr>
        <w:tab/>
        <w:t>необходимостта да се запази спокойствие;</w:t>
      </w:r>
    </w:p>
    <w:p w:rsidR="00973DAA" w:rsidRPr="009072DA" w:rsidRDefault="0029453D" w:rsidP="009870AF">
      <w:pPr>
        <w:pStyle w:val="ESlet"/>
        <w:rPr>
          <w:rFonts w:eastAsia="Calibri" w:cs="Arial"/>
          <w:szCs w:val="18"/>
          <w:lang w:val="bg-BG"/>
        </w:rPr>
      </w:pPr>
      <w:r w:rsidRPr="009072DA">
        <w:rPr>
          <w:lang w:val="bg-BG"/>
        </w:rPr>
        <w:t>г)</w:t>
      </w:r>
      <w:r w:rsidRPr="009072DA">
        <w:rPr>
          <w:lang w:val="bg-BG"/>
        </w:rPr>
        <w:tab/>
        <w:t>указания относно:</w:t>
      </w:r>
    </w:p>
    <w:p w:rsidR="00973DAA" w:rsidRPr="009072DA" w:rsidRDefault="00973DAA" w:rsidP="009870AF">
      <w:pPr>
        <w:pStyle w:val="ESletpar"/>
        <w:rPr>
          <w:rFonts w:eastAsia="Calibri" w:cs="Arial"/>
          <w:szCs w:val="18"/>
          <w:lang w:val="bg-BG"/>
        </w:rPr>
      </w:pPr>
      <w:r w:rsidRPr="009072DA">
        <w:rPr>
          <w:lang w:val="bg-BG"/>
        </w:rPr>
        <w:t>aa)</w:t>
      </w:r>
      <w:r w:rsidRPr="009072DA">
        <w:rPr>
          <w:lang w:val="bg-BG"/>
        </w:rPr>
        <w:tab/>
        <w:t>пушенето;</w:t>
      </w:r>
    </w:p>
    <w:p w:rsidR="00973DAA" w:rsidRPr="009072DA" w:rsidRDefault="00973DAA" w:rsidP="009870AF">
      <w:pPr>
        <w:pStyle w:val="ESletpar"/>
        <w:rPr>
          <w:rFonts w:eastAsia="Calibri" w:cs="Arial"/>
          <w:szCs w:val="18"/>
          <w:lang w:val="bg-BG"/>
        </w:rPr>
      </w:pPr>
      <w:r w:rsidRPr="009072DA">
        <w:rPr>
          <w:lang w:val="bg-BG"/>
        </w:rPr>
        <w:t>бб)</w:t>
      </w:r>
      <w:r w:rsidRPr="009072DA">
        <w:rPr>
          <w:lang w:val="bg-BG"/>
        </w:rPr>
        <w:tab/>
        <w:t>използването на огън и открит пламък;</w:t>
      </w:r>
    </w:p>
    <w:p w:rsidR="00973DAA" w:rsidRPr="009072DA" w:rsidRDefault="00973DAA" w:rsidP="009870AF">
      <w:pPr>
        <w:pStyle w:val="ESletpar"/>
        <w:rPr>
          <w:rFonts w:eastAsia="Calibri" w:cs="Arial"/>
          <w:szCs w:val="18"/>
          <w:lang w:val="bg-BG"/>
        </w:rPr>
      </w:pPr>
      <w:r w:rsidRPr="009072DA">
        <w:rPr>
          <w:lang w:val="bg-BG"/>
        </w:rPr>
        <w:t>вв)</w:t>
      </w:r>
      <w:r w:rsidRPr="009072DA">
        <w:rPr>
          <w:lang w:val="bg-BG"/>
        </w:rPr>
        <w:tab/>
        <w:t>отварянето на прозорци;</w:t>
      </w:r>
    </w:p>
    <w:p w:rsidR="00973DAA" w:rsidRPr="009072DA" w:rsidRDefault="00973DAA" w:rsidP="009870AF">
      <w:pPr>
        <w:pStyle w:val="ESletpar"/>
        <w:rPr>
          <w:rFonts w:eastAsia="Calibri" w:cs="Arial"/>
          <w:szCs w:val="18"/>
          <w:lang w:val="bg-BG"/>
        </w:rPr>
      </w:pPr>
      <w:r w:rsidRPr="009072DA">
        <w:rPr>
          <w:lang w:val="bg-BG"/>
        </w:rPr>
        <w:t>гг)</w:t>
      </w:r>
      <w:r w:rsidRPr="009072DA">
        <w:rPr>
          <w:lang w:val="bg-BG"/>
        </w:rPr>
        <w:tab/>
        <w:t>използването на определено оборудване.</w:t>
      </w:r>
    </w:p>
    <w:p w:rsidR="009870AF" w:rsidRPr="009072DA" w:rsidRDefault="009870AF" w:rsidP="009870AF">
      <w:pPr>
        <w:pStyle w:val="ESchpar"/>
        <w:rPr>
          <w:rFonts w:eastAsia="Calibri"/>
          <w:lang w:val="bg-BG"/>
        </w:rPr>
      </w:pPr>
    </w:p>
    <w:p w:rsidR="00973DAA" w:rsidRPr="009072DA" w:rsidRDefault="00973DAA" w:rsidP="009870AF">
      <w:pPr>
        <w:pStyle w:val="ESchpar"/>
        <w:rPr>
          <w:rFonts w:eastAsia="Calibri" w:cs="Arial"/>
          <w:szCs w:val="18"/>
          <w:lang w:val="bg-BG"/>
        </w:rPr>
      </w:pPr>
      <w:r w:rsidRPr="009072DA">
        <w:rPr>
          <w:lang w:val="bg-BG"/>
        </w:rPr>
        <w:t>Тези подробности трябва да са написани на нидерландски, английски, френски и немски език.</w:t>
      </w:r>
    </w:p>
    <w:p w:rsidR="00973DAA" w:rsidRPr="009072DA" w:rsidRDefault="00973DAA" w:rsidP="00973DAA">
      <w:pPr>
        <w:pStyle w:val="ESch"/>
        <w:rPr>
          <w:rFonts w:eastAsia="Calibri" w:cs="Arial"/>
          <w:szCs w:val="18"/>
          <w:lang w:val="bg-BG"/>
        </w:rPr>
      </w:pPr>
    </w:p>
    <w:p w:rsidR="009870AF" w:rsidRPr="009072DA" w:rsidRDefault="009870AF" w:rsidP="00973DAA">
      <w:pPr>
        <w:pStyle w:val="ESch"/>
        <w:rPr>
          <w:rFonts w:eastAsia="Calibri" w:cs="Arial"/>
          <w:szCs w:val="18"/>
          <w:lang w:val="bg-BG"/>
        </w:rPr>
      </w:pPr>
      <w:r w:rsidRPr="009072DA">
        <w:rPr>
          <w:lang w:val="bg-BG"/>
        </w:rPr>
        <w:br w:type="page"/>
      </w:r>
    </w:p>
    <w:p w:rsidR="00973DAA" w:rsidRPr="009072DA" w:rsidRDefault="00973DAA" w:rsidP="009870AF">
      <w:pPr>
        <w:pStyle w:val="ES-Titre3"/>
        <w:rPr>
          <w:rFonts w:cs="Arial"/>
          <w:i/>
          <w:szCs w:val="18"/>
          <w:lang w:val="bg-BG"/>
        </w:rPr>
      </w:pPr>
      <w:bookmarkStart w:id="371" w:name="_Toc491854183"/>
      <w:bookmarkStart w:id="372" w:name="_Toc535827624"/>
      <w:r w:rsidRPr="009072DA">
        <w:rPr>
          <w:lang w:val="bg-BG"/>
        </w:rPr>
        <w:lastRenderedPageBreak/>
        <w:t>Член 19.14</w:t>
      </w:r>
      <w:r w:rsidRPr="009072DA">
        <w:rPr>
          <w:lang w:val="bg-BG"/>
        </w:rPr>
        <w:br/>
      </w:r>
      <w:r w:rsidRPr="009072DA">
        <w:rPr>
          <w:i/>
          <w:lang w:val="bg-BG"/>
        </w:rPr>
        <w:t>Съоръжения за събиране и изхвърляне на отпадъчни води</w:t>
      </w:r>
      <w:bookmarkEnd w:id="371"/>
      <w:bookmarkEnd w:id="372"/>
    </w:p>
    <w:p w:rsidR="000D3586" w:rsidRPr="009072DA" w:rsidRDefault="000D3586"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w:t>
      </w:r>
      <w:r w:rsidRPr="009072DA">
        <w:rPr>
          <w:lang w:val="bg-BG"/>
        </w:rPr>
        <w:tab/>
        <w:t>Пътническите плавателни съдове трябва да бъдат оборудвани с резервоари за събиране на битови отпадъчни води в съответствие с точка 2 от настоящия член или с подходящи бордови станции за пречистване на отпадъчни води в съответствие с глава 18.</w:t>
      </w:r>
    </w:p>
    <w:p w:rsidR="000D3586" w:rsidRPr="009072DA" w:rsidRDefault="000D3586"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2.</w:t>
      </w:r>
      <w:r w:rsidRPr="009072DA">
        <w:rPr>
          <w:lang w:val="bg-BG"/>
        </w:rPr>
        <w:tab/>
        <w:t>Резервоарите за събиране на отпадъчни води трябва да имат достатъчен капацитет. Резервоарите трябва да са оборудвани с устройство, показващо нивото на съдържанието им. На борда трябва да има помпи и тръби за изпразване на резервоарите, чрез които отпадъчните води да могат да се отвеждат от двете страни на плавателния съд. Трябва да е възможно през тях да се провеждат отпадъчни води от други плавателни съдове.</w:t>
      </w:r>
    </w:p>
    <w:p w:rsidR="000D3586" w:rsidRPr="009072DA" w:rsidRDefault="000D3586" w:rsidP="00973DAA">
      <w:pPr>
        <w:pStyle w:val="ESch"/>
        <w:rPr>
          <w:rFonts w:eastAsia="Calibri"/>
          <w:lang w:val="bg-BG"/>
        </w:rPr>
      </w:pPr>
    </w:p>
    <w:p w:rsidR="00973DAA" w:rsidRPr="009072DA" w:rsidRDefault="00973DAA" w:rsidP="000D3586">
      <w:pPr>
        <w:pStyle w:val="ESchpar"/>
        <w:rPr>
          <w:rFonts w:eastAsia="Calibri" w:cs="Arial"/>
          <w:szCs w:val="18"/>
          <w:lang w:val="bg-BG"/>
        </w:rPr>
      </w:pPr>
      <w:r w:rsidRPr="009072DA">
        <w:rPr>
          <w:lang w:val="bg-BG"/>
        </w:rPr>
        <w:t>Тръбите трябва да са снабдени с изходни връзки в съответствие с европейски стандарт EN 1306: 1996.</w:t>
      </w:r>
    </w:p>
    <w:p w:rsidR="00973DAA" w:rsidRPr="009072DA" w:rsidRDefault="00973DAA" w:rsidP="00973DAA">
      <w:pPr>
        <w:pStyle w:val="ESch"/>
        <w:rPr>
          <w:rFonts w:eastAsia="Calibri" w:cs="Arial"/>
          <w:szCs w:val="18"/>
          <w:lang w:val="bg-BG"/>
        </w:rPr>
      </w:pPr>
    </w:p>
    <w:p w:rsidR="000D3586" w:rsidRPr="009072DA" w:rsidRDefault="000D3586" w:rsidP="00973DAA">
      <w:pPr>
        <w:pStyle w:val="ESch"/>
        <w:rPr>
          <w:rFonts w:eastAsia="Calibri" w:cs="Arial"/>
          <w:szCs w:val="18"/>
          <w:lang w:val="bg-BG"/>
        </w:rPr>
      </w:pPr>
    </w:p>
    <w:p w:rsidR="00973DAA" w:rsidRPr="009072DA" w:rsidRDefault="00973DAA" w:rsidP="009870AF">
      <w:pPr>
        <w:pStyle w:val="ES-Titre3"/>
        <w:rPr>
          <w:rFonts w:cs="Arial"/>
          <w:i/>
          <w:szCs w:val="18"/>
          <w:lang w:val="bg-BG"/>
        </w:rPr>
      </w:pPr>
      <w:bookmarkStart w:id="373" w:name="_Toc491854184"/>
      <w:bookmarkStart w:id="374" w:name="_Toc535827625"/>
      <w:r w:rsidRPr="009072DA">
        <w:rPr>
          <w:lang w:val="bg-BG"/>
        </w:rPr>
        <w:t>Член 19.15</w:t>
      </w:r>
      <w:r w:rsidRPr="009072DA">
        <w:rPr>
          <w:lang w:val="bg-BG"/>
        </w:rPr>
        <w:br/>
      </w:r>
      <w:r w:rsidRPr="009072DA">
        <w:rPr>
          <w:i/>
          <w:lang w:val="bg-BG"/>
        </w:rPr>
        <w:t>Изключения за определени пътнически плавателни съдове</w:t>
      </w:r>
      <w:bookmarkEnd w:id="373"/>
      <w:bookmarkEnd w:id="374"/>
    </w:p>
    <w:p w:rsidR="000D3586" w:rsidRPr="009072DA" w:rsidRDefault="000D3586"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1.</w:t>
      </w:r>
      <w:r w:rsidRPr="009072DA">
        <w:rPr>
          <w:lang w:val="bg-BG"/>
        </w:rPr>
        <w:tab/>
        <w:t xml:space="preserve">Пътнически плавателни съдове, на които е разрешено да превозват най-много до 50 пътници и които са с дължина </w:t>
      </w:r>
      <m:oMath>
        <m:sSub>
          <m:sSubPr>
            <m:ctrlPr>
              <w:rPr>
                <w:rFonts w:ascii="Cambria Math" w:hAnsi="Cambria Math" w:cs="Arial"/>
                <w:i/>
                <w:sz w:val="18"/>
                <w:szCs w:val="18"/>
                <w:lang w:val="bg-BG"/>
              </w:rPr>
            </m:ctrlPr>
          </m:sSubPr>
          <m:e>
            <m:r>
              <w:rPr>
                <w:rFonts w:ascii="Cambria Math" w:hAnsi="Cambria Math" w:cs="Arial"/>
                <w:sz w:val="18"/>
                <w:szCs w:val="18"/>
                <w:lang w:val="bg-BG"/>
              </w:rPr>
              <m:t>L</m:t>
            </m:r>
          </m:e>
          <m:sub>
            <m:r>
              <w:rPr>
                <w:rFonts w:ascii="Cambria Math" w:hAnsi="Cambria Math" w:cs="Arial"/>
                <w:sz w:val="18"/>
                <w:szCs w:val="18"/>
                <w:lang w:val="bg-BG"/>
              </w:rPr>
              <m:t>WL</m:t>
            </m:r>
          </m:sub>
        </m:sSub>
      </m:oMath>
      <w:r w:rsidRPr="009072DA">
        <w:rPr>
          <w:lang w:val="bg-BG"/>
        </w:rPr>
        <w:t>, не по-голяма от 25 m, трябва да осигуряват достатъчна устойчивост след повреда по смисъла на член 19.03, точки 7 — 13 или, като алтернатива, за тях трябва да е доказано, че отговарят на следните критерии след симетрично наводняване:</w:t>
      </w:r>
    </w:p>
    <w:p w:rsidR="00973DAA" w:rsidRPr="009072DA" w:rsidRDefault="005C7859" w:rsidP="000D3586">
      <w:pPr>
        <w:pStyle w:val="ESlet"/>
        <w:rPr>
          <w:rFonts w:eastAsia="Calibri" w:cs="Arial"/>
          <w:szCs w:val="18"/>
          <w:lang w:val="bg-BG"/>
        </w:rPr>
      </w:pPr>
      <w:r w:rsidRPr="009072DA">
        <w:rPr>
          <w:lang w:val="bg-BG"/>
        </w:rPr>
        <w:t>a)</w:t>
      </w:r>
      <w:r w:rsidRPr="009072DA">
        <w:rPr>
          <w:lang w:val="bg-BG"/>
        </w:rPr>
        <w:tab/>
        <w:t>газенето на плавателния съд не трябва да преминава пределната линия и</w:t>
      </w:r>
    </w:p>
    <w:p w:rsidR="00973DAA" w:rsidRPr="009072DA" w:rsidRDefault="005C7859" w:rsidP="000D3586">
      <w:pPr>
        <w:pStyle w:val="ESlet"/>
        <w:rPr>
          <w:rFonts w:eastAsia="Calibri" w:cs="Arial"/>
          <w:szCs w:val="18"/>
          <w:lang w:val="bg-BG"/>
        </w:rPr>
      </w:pPr>
      <w:r w:rsidRPr="009072DA">
        <w:rPr>
          <w:lang w:val="bg-BG"/>
        </w:rPr>
        <w:t>б)</w:t>
      </w:r>
      <w:r w:rsidRPr="009072DA">
        <w:rPr>
          <w:lang w:val="bg-BG"/>
        </w:rPr>
        <w:tab/>
        <w:t xml:space="preserve">остатъчната метацентрична височина </w:t>
      </w:r>
      <m:oMath>
        <m:sSub>
          <m:sSubPr>
            <m:ctrlPr>
              <w:rPr>
                <w:rFonts w:ascii="Cambria Math" w:eastAsia="Calibri" w:hAnsi="Cambria Math"/>
                <w:i/>
                <w:lang w:val="bg-BG"/>
              </w:rPr>
            </m:ctrlPr>
          </m:sSubPr>
          <m:e>
            <m:r>
              <w:rPr>
                <w:rFonts w:ascii="Cambria Math" w:eastAsia="Calibri" w:hAnsi="Cambria Math"/>
                <w:lang w:val="bg-BG"/>
              </w:rPr>
              <m:t>GM</m:t>
            </m:r>
          </m:e>
          <m:sub>
            <m:r>
              <w:rPr>
                <w:rFonts w:ascii="Cambria Math" w:eastAsia="Calibri" w:hAnsi="Cambria Math"/>
                <w:lang w:val="bg-BG"/>
              </w:rPr>
              <m:t>R</m:t>
            </m:r>
          </m:sub>
        </m:sSub>
      </m:oMath>
      <w:r w:rsidRPr="009072DA">
        <w:rPr>
          <w:lang w:val="bg-BG"/>
        </w:rPr>
        <w:t xml:space="preserve"> не трябва да е по-малка от 0,10 m.</w:t>
      </w:r>
    </w:p>
    <w:p w:rsidR="000D3586" w:rsidRPr="009072DA" w:rsidRDefault="000D3586" w:rsidP="00973DAA">
      <w:pPr>
        <w:pStyle w:val="ESch"/>
        <w:rPr>
          <w:rFonts w:eastAsia="Calibri"/>
          <w:lang w:val="bg-BG"/>
        </w:rPr>
      </w:pPr>
    </w:p>
    <w:p w:rsidR="00973DAA" w:rsidRPr="009072DA" w:rsidRDefault="00973DAA" w:rsidP="000D3586">
      <w:pPr>
        <w:pStyle w:val="ESchpar"/>
        <w:rPr>
          <w:rFonts w:eastAsia="Calibri" w:cs="Arial"/>
          <w:szCs w:val="18"/>
          <w:lang w:val="bg-BG"/>
        </w:rPr>
      </w:pPr>
      <w:r w:rsidRPr="009072DA">
        <w:rPr>
          <w:lang w:val="bg-BG"/>
        </w:rPr>
        <w:t>Необходимата остатъчна плавателност трябва да бъде осигурена чрез подходящ избор на материали, използвани за построяването на корпуса или посредством клетъчни пенопластови поплавъци, неподвижно прикрепени към корпуса. При плавателни съдове с дължина, по-голяма от 15 m, остатъчната плавателност може да бъде осигурена чрез съчетание от поплавъци и разделяне на отсеци, отговарящо на изискванията относно повреда на един отсек съгласно член 19.03.</w:t>
      </w:r>
    </w:p>
    <w:p w:rsidR="000D3586" w:rsidRPr="009072DA" w:rsidRDefault="000D3586"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2.</w:t>
      </w:r>
      <w:r w:rsidRPr="009072DA">
        <w:rPr>
          <w:lang w:val="bg-BG"/>
        </w:rPr>
        <w:tab/>
        <w:t>За пътнически плавателни съдове в съответствие с точка 1, контролният орган може да разреши някои незначителни дерогации относно габаритната височина, изисквана съгласно член 19.06, точка 3( в) и точка 5, буква б). Дерогацията не може да бъде повече от 5 %. В случай на дерогации, съответните части се маркират в различен цвят.</w:t>
      </w:r>
    </w:p>
    <w:p w:rsidR="000D3586" w:rsidRPr="009072DA" w:rsidRDefault="000D3586"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3.</w:t>
      </w:r>
      <w:r w:rsidRPr="009072DA">
        <w:rPr>
          <w:lang w:val="bg-BG"/>
        </w:rPr>
        <w:tab/>
        <w:t xml:space="preserve">Чрез дерогация от член 19.03, точка 9, пътническите плавателни съдове с дължина </w:t>
      </w:r>
      <m:oMath>
        <m:r>
          <w:rPr>
            <w:rFonts w:ascii="Cambria Math" w:eastAsia="Calibri" w:hAnsi="Cambria Math"/>
            <w:lang w:val="bg-BG"/>
          </w:rPr>
          <m:t>L</m:t>
        </m:r>
      </m:oMath>
      <w:r w:rsidRPr="009072DA">
        <w:rPr>
          <w:lang w:val="bg-BG"/>
        </w:rPr>
        <w:t>, не по-голяма от 45 m, които са одобрени да превозват до 250 пътници, не е необходимо да отговарят на изисквания при повреда на два отсека.</w:t>
      </w:r>
    </w:p>
    <w:p w:rsidR="00973DAA" w:rsidRPr="009072DA" w:rsidRDefault="00973DAA" w:rsidP="00973DAA">
      <w:pPr>
        <w:pStyle w:val="ESch"/>
        <w:rPr>
          <w:rFonts w:eastAsia="Calibri" w:cs="Arial"/>
          <w:szCs w:val="18"/>
          <w:lang w:val="bg-BG"/>
        </w:rPr>
      </w:pPr>
    </w:p>
    <w:p w:rsidR="00973DAA" w:rsidRPr="009072DA" w:rsidRDefault="00973DAA" w:rsidP="00973DAA">
      <w:pPr>
        <w:pStyle w:val="ESch"/>
        <w:rPr>
          <w:rFonts w:eastAsia="Calibri" w:cs="Arial"/>
          <w:szCs w:val="18"/>
          <w:lang w:val="bg-BG"/>
        </w:rPr>
      </w:pPr>
      <w:r w:rsidRPr="009072DA">
        <w:rPr>
          <w:lang w:val="bg-BG"/>
        </w:rPr>
        <w:t>4.</w:t>
      </w:r>
      <w:r w:rsidRPr="009072DA">
        <w:rPr>
          <w:lang w:val="bg-BG"/>
        </w:rPr>
        <w:tab/>
        <w:t xml:space="preserve">Контролният орган може да освободи от прилагане на член 13.07 пътнически плавателни съдове, на които е разрешено да превозват най-много 250 пътници и които са с дължина </w:t>
      </w:r>
      <m:oMath>
        <m:sSub>
          <m:sSubPr>
            <m:ctrlPr>
              <w:rPr>
                <w:rFonts w:ascii="Cambria Math" w:hAnsi="Cambria Math" w:cs="Arial"/>
                <w:i/>
                <w:sz w:val="18"/>
                <w:szCs w:val="18"/>
                <w:lang w:val="bg-BG"/>
              </w:rPr>
            </m:ctrlPr>
          </m:sSubPr>
          <m:e>
            <m:r>
              <w:rPr>
                <w:rFonts w:ascii="Cambria Math" w:hAnsi="Cambria Math" w:cs="Arial"/>
                <w:sz w:val="18"/>
                <w:szCs w:val="18"/>
                <w:lang w:val="bg-BG"/>
              </w:rPr>
              <m:t>L</m:t>
            </m:r>
          </m:e>
          <m:sub>
            <m:r>
              <w:rPr>
                <w:rFonts w:ascii="Cambria Math" w:hAnsi="Cambria Math" w:cs="Arial"/>
                <w:sz w:val="18"/>
                <w:szCs w:val="18"/>
                <w:lang w:val="bg-BG"/>
              </w:rPr>
              <m:t>WL</m:t>
            </m:r>
          </m:sub>
        </m:sSub>
      </m:oMath>
      <w:r w:rsidRPr="009072DA">
        <w:rPr>
          <w:lang w:val="bg-BG"/>
        </w:rPr>
        <w:t>, не по-голяма от 25 m, при условие че те са оборудвани с платформа, достъпна и от двете страни на плавателния съд, точно над водолинията, която да прави възможно изваждането на хора от водата. Пътническите плавателни съдове могат да бъдат оборудвани със съпоставимо съоръжение при следните условия:</w:t>
      </w:r>
    </w:p>
    <w:p w:rsidR="00973DAA" w:rsidRPr="009072DA" w:rsidRDefault="005C7859" w:rsidP="000D3586">
      <w:pPr>
        <w:pStyle w:val="ESlet"/>
        <w:rPr>
          <w:rFonts w:eastAsia="Calibri" w:cs="Arial"/>
          <w:szCs w:val="18"/>
          <w:lang w:val="bg-BG"/>
        </w:rPr>
      </w:pPr>
      <w:r w:rsidRPr="009072DA">
        <w:rPr>
          <w:lang w:val="bg-BG"/>
        </w:rPr>
        <w:t>a)</w:t>
      </w:r>
      <w:r w:rsidRPr="009072DA">
        <w:rPr>
          <w:lang w:val="bg-BG"/>
        </w:rPr>
        <w:tab/>
        <w:t>съоръжението трябва да може да бъде управлявано от едно лице;</w:t>
      </w:r>
    </w:p>
    <w:p w:rsidR="00973DAA" w:rsidRPr="009072DA" w:rsidRDefault="005C7859" w:rsidP="000D3586">
      <w:pPr>
        <w:pStyle w:val="ESlet"/>
        <w:rPr>
          <w:rFonts w:eastAsia="Calibri" w:cs="Arial"/>
          <w:szCs w:val="18"/>
          <w:lang w:val="bg-BG"/>
        </w:rPr>
      </w:pPr>
      <w:r w:rsidRPr="009072DA">
        <w:rPr>
          <w:lang w:val="bg-BG"/>
        </w:rPr>
        <w:t>б)</w:t>
      </w:r>
      <w:r w:rsidRPr="009072DA">
        <w:rPr>
          <w:lang w:val="bg-BG"/>
        </w:rPr>
        <w:tab/>
        <w:t>подвижни съоръжения са разрешени;</w:t>
      </w:r>
    </w:p>
    <w:p w:rsidR="00973DAA" w:rsidRPr="009072DA" w:rsidRDefault="005C7859" w:rsidP="000D3586">
      <w:pPr>
        <w:pStyle w:val="ESlet"/>
        <w:rPr>
          <w:rFonts w:eastAsia="Calibri" w:cs="Arial"/>
          <w:szCs w:val="18"/>
          <w:lang w:val="bg-BG"/>
        </w:rPr>
      </w:pPr>
      <w:r w:rsidRPr="009072DA">
        <w:rPr>
          <w:lang w:val="bg-BG"/>
        </w:rPr>
        <w:t>в)</w:t>
      </w:r>
      <w:r w:rsidRPr="009072DA">
        <w:rPr>
          <w:lang w:val="bg-BG"/>
        </w:rPr>
        <w:tab/>
        <w:t>съоръженията трябва да бъдат извън опасната зона на системите за задвижване; и</w:t>
      </w:r>
    </w:p>
    <w:p w:rsidR="00973DAA" w:rsidRPr="009072DA" w:rsidRDefault="00973DAA" w:rsidP="000D3586">
      <w:pPr>
        <w:pStyle w:val="ESlet"/>
        <w:rPr>
          <w:rFonts w:eastAsia="Calibri" w:cs="Arial"/>
          <w:szCs w:val="18"/>
          <w:lang w:val="bg-BG"/>
        </w:rPr>
      </w:pPr>
      <w:r w:rsidRPr="009072DA">
        <w:rPr>
          <w:lang w:val="bg-BG"/>
        </w:rPr>
        <w:t>г)</w:t>
      </w:r>
      <w:r w:rsidRPr="009072DA">
        <w:rPr>
          <w:lang w:val="bg-BG"/>
        </w:rPr>
        <w:tab/>
        <w:t>трябва да е възможна ефективна комуникация между капитана и лицето, отговарящо за съоръжението.</w:t>
      </w:r>
    </w:p>
    <w:p w:rsidR="000D3586" w:rsidRPr="009072DA" w:rsidRDefault="000D3586" w:rsidP="00973DAA">
      <w:pPr>
        <w:pStyle w:val="ESch"/>
        <w:rPr>
          <w:rFonts w:eastAsia="Calibri"/>
          <w:lang w:val="bg-BG"/>
        </w:rPr>
      </w:pPr>
      <w:r w:rsidRPr="009072DA">
        <w:rPr>
          <w:lang w:val="bg-BG"/>
        </w:rPr>
        <w:br w:type="page"/>
      </w:r>
    </w:p>
    <w:p w:rsidR="00973DAA" w:rsidRPr="009072DA" w:rsidRDefault="00973DAA" w:rsidP="00973DAA">
      <w:pPr>
        <w:pStyle w:val="ESch"/>
        <w:rPr>
          <w:rFonts w:eastAsia="Calibri" w:cs="Arial"/>
          <w:szCs w:val="18"/>
          <w:lang w:val="bg-BG"/>
        </w:rPr>
      </w:pPr>
      <w:r w:rsidRPr="009072DA">
        <w:rPr>
          <w:lang w:val="bg-BG"/>
        </w:rPr>
        <w:lastRenderedPageBreak/>
        <w:t>5.</w:t>
      </w:r>
      <w:r w:rsidRPr="009072DA">
        <w:rPr>
          <w:lang w:val="bg-BG"/>
        </w:rPr>
        <w:tab/>
        <w:t xml:space="preserve">Контролният орган може да освободи от прилагането на член 13.07 пътнически плавателни съдове, на които е разрешено да превозват най-много 600 пътници и които са с дължина </w:t>
      </w:r>
      <m:oMath>
        <m:r>
          <w:rPr>
            <w:rFonts w:ascii="Cambria Math" w:eastAsia="Calibri" w:hAnsi="Cambria Math"/>
            <w:lang w:val="bg-BG"/>
          </w:rPr>
          <m:t>L</m:t>
        </m:r>
      </m:oMath>
      <w:r w:rsidRPr="009072DA">
        <w:rPr>
          <w:lang w:val="bg-BG"/>
        </w:rPr>
        <w:t>, не по-голяма от 45 m, при условие че са оборудвани с платформа съгласно точка 4, първо изречение или с равностойно съоръжение съгласно точка 4, второ изречение. Освен това пътническият плавателен съд трябва да разполага с:</w:t>
      </w:r>
    </w:p>
    <w:p w:rsidR="00973DAA" w:rsidRPr="009072DA" w:rsidRDefault="005C7859" w:rsidP="000D3586">
      <w:pPr>
        <w:pStyle w:val="ESlet"/>
        <w:rPr>
          <w:rFonts w:eastAsia="Calibri" w:cs="Arial"/>
          <w:szCs w:val="18"/>
          <w:lang w:val="bg-BG"/>
        </w:rPr>
      </w:pPr>
      <w:r w:rsidRPr="009072DA">
        <w:rPr>
          <w:lang w:val="bg-BG"/>
        </w:rPr>
        <w:t>a)</w:t>
      </w:r>
      <w:r w:rsidRPr="009072DA">
        <w:rPr>
          <w:lang w:val="bg-BG"/>
        </w:rPr>
        <w:tab/>
        <w:t>винто-рулева колона, крилчат движител или водоструен двигател като главна задвижваща система, или</w:t>
      </w:r>
    </w:p>
    <w:p w:rsidR="00973DAA" w:rsidRPr="009072DA" w:rsidRDefault="005C7859" w:rsidP="000D3586">
      <w:pPr>
        <w:pStyle w:val="ESlet"/>
        <w:rPr>
          <w:rFonts w:eastAsia="Calibri" w:cs="Arial"/>
          <w:szCs w:val="18"/>
          <w:lang w:val="bg-BG"/>
        </w:rPr>
      </w:pPr>
      <w:r w:rsidRPr="009072DA">
        <w:rPr>
          <w:lang w:val="bg-BG"/>
        </w:rPr>
        <w:t>б)</w:t>
      </w:r>
      <w:r w:rsidRPr="009072DA">
        <w:rPr>
          <w:lang w:val="bg-BG"/>
        </w:rPr>
        <w:tab/>
        <w:t>главна задвижваща система с две задвижващи звена, или</w:t>
      </w:r>
    </w:p>
    <w:p w:rsidR="00973DAA" w:rsidRPr="009072DA" w:rsidRDefault="005C7859" w:rsidP="000D3586">
      <w:pPr>
        <w:pStyle w:val="ESlet"/>
        <w:rPr>
          <w:rFonts w:eastAsia="Calibri" w:cs="Arial"/>
          <w:szCs w:val="18"/>
          <w:lang w:val="bg-BG"/>
        </w:rPr>
      </w:pPr>
      <w:r w:rsidRPr="009072DA">
        <w:rPr>
          <w:lang w:val="bg-BG"/>
        </w:rPr>
        <w:t>в)</w:t>
      </w:r>
      <w:r w:rsidRPr="009072DA">
        <w:rPr>
          <w:lang w:val="bg-BG"/>
        </w:rPr>
        <w:tab/>
        <w:t>главна задвижваща система и носово подрулващо устройство.</w:t>
      </w:r>
    </w:p>
    <w:p w:rsidR="006D32EE" w:rsidRPr="009072DA" w:rsidRDefault="006D32EE"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6.</w:t>
      </w:r>
      <w:r w:rsidRPr="009072DA">
        <w:rPr>
          <w:lang w:val="bg-BG"/>
        </w:rPr>
        <w:tab/>
        <w:t xml:space="preserve">Чрез дерогация от член 19.02, точка 9 за пътнически плавателни съдове с дължина </w:t>
      </w:r>
      <m:oMath>
        <m:r>
          <w:rPr>
            <w:rFonts w:ascii="Cambria Math" w:eastAsia="Calibri" w:hAnsi="Cambria Math"/>
            <w:lang w:val="bg-BG"/>
          </w:rPr>
          <m:t>L</m:t>
        </m:r>
      </m:oMath>
      <w:r w:rsidRPr="009072DA">
        <w:rPr>
          <w:lang w:val="bg-BG"/>
        </w:rPr>
        <w:t>, не по-голяма от 45 m, които са одобрени да превозват най-много толкова пътници, колкото е дължината на плавателния съд в метри, се допуска да имат на борда в помещението за пътници, ръчно управлявана врата в преграда без дистанционно управление съгласно член 19.02, точка 5, в случай че:</w:t>
      </w:r>
    </w:p>
    <w:p w:rsidR="00973DAA" w:rsidRPr="009072DA" w:rsidRDefault="005C7859" w:rsidP="006D32EE">
      <w:pPr>
        <w:pStyle w:val="ESlet"/>
        <w:rPr>
          <w:rFonts w:eastAsia="Calibri" w:cs="Arial"/>
          <w:szCs w:val="18"/>
          <w:lang w:val="bg-BG"/>
        </w:rPr>
      </w:pPr>
      <w:r w:rsidRPr="009072DA">
        <w:rPr>
          <w:lang w:val="bg-BG"/>
        </w:rPr>
        <w:t>a)</w:t>
      </w:r>
      <w:r w:rsidRPr="009072DA">
        <w:rPr>
          <w:lang w:val="bg-BG"/>
        </w:rPr>
        <w:tab/>
        <w:t>плавателният съд има само една палуба;</w:t>
      </w:r>
    </w:p>
    <w:p w:rsidR="00973DAA" w:rsidRPr="009072DA" w:rsidRDefault="005C7859" w:rsidP="006D32EE">
      <w:pPr>
        <w:pStyle w:val="ESlet"/>
        <w:rPr>
          <w:rFonts w:eastAsia="Calibri" w:cs="Arial"/>
          <w:szCs w:val="18"/>
          <w:lang w:val="bg-BG"/>
        </w:rPr>
      </w:pPr>
      <w:r w:rsidRPr="009072DA">
        <w:rPr>
          <w:lang w:val="bg-BG"/>
        </w:rPr>
        <w:t>б)</w:t>
      </w:r>
      <w:r w:rsidRPr="009072DA">
        <w:rPr>
          <w:lang w:val="bg-BG"/>
        </w:rPr>
        <w:tab/>
        <w:t>вратата е достъпна направо от палубата и е на не повече от 10 m от палубата;</w:t>
      </w:r>
    </w:p>
    <w:p w:rsidR="00973DAA" w:rsidRPr="009072DA" w:rsidRDefault="005C7859" w:rsidP="006D32EE">
      <w:pPr>
        <w:pStyle w:val="ESlet"/>
        <w:rPr>
          <w:rFonts w:eastAsia="Calibri" w:cs="Arial"/>
          <w:szCs w:val="18"/>
          <w:lang w:val="bg-BG"/>
        </w:rPr>
      </w:pPr>
      <w:r w:rsidRPr="009072DA">
        <w:rPr>
          <w:lang w:val="bg-BG"/>
        </w:rPr>
        <w:t>в)</w:t>
      </w:r>
      <w:r w:rsidRPr="009072DA">
        <w:rPr>
          <w:lang w:val="bg-BG"/>
        </w:rPr>
        <w:tab/>
        <w:t>долният край на отвора на вратата се намира на не по-малко от 30 cm от пода на помещението за пътници; и</w:t>
      </w:r>
    </w:p>
    <w:p w:rsidR="00973DAA" w:rsidRPr="009072DA" w:rsidRDefault="0029453D" w:rsidP="006D32EE">
      <w:pPr>
        <w:pStyle w:val="ESlet"/>
        <w:rPr>
          <w:rFonts w:eastAsia="Calibri" w:cs="Arial"/>
          <w:szCs w:val="18"/>
          <w:lang w:val="bg-BG"/>
        </w:rPr>
      </w:pPr>
      <w:r w:rsidRPr="009072DA">
        <w:rPr>
          <w:lang w:val="bg-BG"/>
        </w:rPr>
        <w:t>г)</w:t>
      </w:r>
      <w:r w:rsidRPr="009072DA">
        <w:rPr>
          <w:lang w:val="bg-BG"/>
        </w:rPr>
        <w:tab/>
        <w:t>всеки от отсеците, разделени от вратата, е снабден с алармена система за нивото на водата в трюма.</w:t>
      </w:r>
    </w:p>
    <w:p w:rsidR="006D32EE" w:rsidRPr="009072DA" w:rsidRDefault="006D32EE"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7.</w:t>
      </w:r>
      <w:r w:rsidRPr="009072DA">
        <w:rPr>
          <w:lang w:val="bg-BG"/>
        </w:rPr>
        <w:tab/>
        <w:t>При пътническите плавателни съдове съответстващи на точка 6, чрез дерогация от член 19.06, точка 6, буква в) един маршрут за евакуация може да преминава през камбуза, стига да има и втори маршрут за евакуация.</w:t>
      </w:r>
    </w:p>
    <w:p w:rsidR="006D32EE" w:rsidRPr="009072DA" w:rsidRDefault="006D32EE"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8.</w:t>
      </w:r>
      <w:r w:rsidRPr="009072DA">
        <w:rPr>
          <w:lang w:val="bg-BG"/>
        </w:rPr>
        <w:tab/>
        <w:t xml:space="preserve">За пътническите плавателни съдове с дължина </w:t>
      </w:r>
      <m:oMath>
        <m:r>
          <w:rPr>
            <w:rFonts w:ascii="Cambria Math" w:eastAsia="Calibri" w:hAnsi="Cambria Math"/>
            <w:lang w:val="bg-BG"/>
          </w:rPr>
          <m:t>L</m:t>
        </m:r>
      </m:oMath>
      <w:r w:rsidRPr="009072DA">
        <w:rPr>
          <w:lang w:val="bg-BG"/>
        </w:rPr>
        <w:t>, не по-голяма от 45 m, не важи следното: Член 19.01, точка 2, буква д), когато уредбите за втечнен газ са снабдени с подходящо оборудване за сигнализиране на наличието на газ за концентрации на СО, които представляват риск за здравето и за потенциално взривоопасни смеси на газ и въздух.</w:t>
      </w:r>
    </w:p>
    <w:p w:rsidR="006D32EE" w:rsidRPr="009072DA" w:rsidRDefault="006D32EE" w:rsidP="00973DAA">
      <w:pPr>
        <w:pStyle w:val="ESch"/>
        <w:rPr>
          <w:rFonts w:eastAsia="Calibri"/>
          <w:lang w:val="bg-BG"/>
        </w:rPr>
      </w:pPr>
    </w:p>
    <w:p w:rsidR="00973DAA" w:rsidRPr="009072DA" w:rsidRDefault="00973DAA" w:rsidP="00973DAA">
      <w:pPr>
        <w:pStyle w:val="ESch"/>
        <w:rPr>
          <w:rFonts w:eastAsia="Calibri" w:cs="Arial"/>
          <w:szCs w:val="18"/>
          <w:lang w:val="bg-BG"/>
        </w:rPr>
      </w:pPr>
      <w:r w:rsidRPr="009072DA">
        <w:rPr>
          <w:lang w:val="bg-BG"/>
        </w:rPr>
        <w:t>9.</w:t>
      </w:r>
      <w:r w:rsidRPr="009072DA">
        <w:rPr>
          <w:lang w:val="bg-BG"/>
        </w:rPr>
        <w:tab/>
        <w:t xml:space="preserve">Следните разпоредби не се прилагат за пътнически плавателни съдове с дължина </w:t>
      </w:r>
      <m:oMath>
        <m:sSub>
          <m:sSubPr>
            <m:ctrlPr>
              <w:rPr>
                <w:rFonts w:ascii="Cambria Math" w:hAnsi="Cambria Math" w:cs="Arial"/>
                <w:i/>
                <w:sz w:val="18"/>
                <w:szCs w:val="18"/>
                <w:lang w:val="bg-BG"/>
              </w:rPr>
            </m:ctrlPr>
          </m:sSubPr>
          <m:e>
            <m:r>
              <w:rPr>
                <w:rFonts w:ascii="Cambria Math" w:hAnsi="Cambria Math" w:cs="Arial"/>
                <w:sz w:val="18"/>
                <w:szCs w:val="18"/>
                <w:lang w:val="bg-BG"/>
              </w:rPr>
              <m:t>L</m:t>
            </m:r>
          </m:e>
          <m:sub>
            <m:r>
              <w:rPr>
                <w:rFonts w:ascii="Cambria Math" w:hAnsi="Cambria Math" w:cs="Arial"/>
                <w:sz w:val="18"/>
                <w:szCs w:val="18"/>
                <w:lang w:val="bg-BG"/>
              </w:rPr>
              <m:t>WL</m:t>
            </m:r>
          </m:sub>
        </m:sSub>
      </m:oMath>
      <w:r w:rsidRPr="009072DA">
        <w:rPr>
          <w:lang w:val="bg-BG"/>
        </w:rPr>
        <w:t>,</w:t>
      </w:r>
      <w:r w:rsidRPr="009072DA">
        <w:rPr>
          <w:sz w:val="18"/>
          <w:lang w:val="bg-BG"/>
        </w:rPr>
        <w:t xml:space="preserve"> </w:t>
      </w:r>
      <w:r w:rsidRPr="009072DA">
        <w:rPr>
          <w:lang w:val="bg-BG"/>
        </w:rPr>
        <w:t>не повече от 25 m:</w:t>
      </w:r>
    </w:p>
    <w:p w:rsidR="00973DAA" w:rsidRPr="009072DA" w:rsidRDefault="005C7859" w:rsidP="006D32EE">
      <w:pPr>
        <w:pStyle w:val="ESlet"/>
        <w:rPr>
          <w:rFonts w:eastAsia="Calibri" w:cs="Arial"/>
          <w:szCs w:val="18"/>
          <w:lang w:val="bg-BG"/>
        </w:rPr>
      </w:pPr>
      <w:r w:rsidRPr="009072DA">
        <w:rPr>
          <w:lang w:val="bg-BG"/>
        </w:rPr>
        <w:t>a)</w:t>
      </w:r>
      <w:r w:rsidRPr="009072DA">
        <w:rPr>
          <w:lang w:val="bg-BG"/>
        </w:rPr>
        <w:tab/>
        <w:t>член 19.04, точка 1, последно изречение;</w:t>
      </w:r>
    </w:p>
    <w:p w:rsidR="00973DAA" w:rsidRPr="009072DA" w:rsidRDefault="005C7859" w:rsidP="006D32EE">
      <w:pPr>
        <w:pStyle w:val="ESlet"/>
        <w:rPr>
          <w:rFonts w:eastAsia="Calibri" w:cs="Arial"/>
          <w:szCs w:val="18"/>
          <w:lang w:val="bg-BG"/>
        </w:rPr>
      </w:pPr>
      <w:r w:rsidRPr="009072DA">
        <w:rPr>
          <w:lang w:val="bg-BG"/>
        </w:rPr>
        <w:t>б)</w:t>
      </w:r>
      <w:r w:rsidRPr="009072DA">
        <w:rPr>
          <w:lang w:val="bg-BG"/>
        </w:rPr>
        <w:tab/>
        <w:t>член 19.06, точка 6, буква в) за камбузите, стига да има и втори маршрут за евакуация;</w:t>
      </w:r>
    </w:p>
    <w:p w:rsidR="00973DAA" w:rsidRPr="009072DA" w:rsidRDefault="005C7859" w:rsidP="006D32EE">
      <w:pPr>
        <w:pStyle w:val="ESlet"/>
        <w:rPr>
          <w:rFonts w:eastAsia="Calibri" w:cs="Arial"/>
          <w:szCs w:val="18"/>
          <w:lang w:val="bg-BG"/>
        </w:rPr>
      </w:pPr>
      <w:r w:rsidRPr="009072DA">
        <w:rPr>
          <w:lang w:val="bg-BG"/>
        </w:rPr>
        <w:t>в)</w:t>
      </w:r>
      <w:r w:rsidRPr="009072DA">
        <w:rPr>
          <w:lang w:val="bg-BG"/>
        </w:rPr>
        <w:tab/>
        <w:t>член 19.07.</w:t>
      </w:r>
    </w:p>
    <w:p w:rsidR="006D32EE" w:rsidRPr="009072DA" w:rsidRDefault="006D32EE" w:rsidP="00973DAA">
      <w:pPr>
        <w:pStyle w:val="ESch"/>
        <w:rPr>
          <w:rFonts w:eastAsia="Calibri"/>
          <w:lang w:val="bg-BG"/>
        </w:rPr>
      </w:pPr>
    </w:p>
    <w:p w:rsidR="00973DAA" w:rsidRPr="009072DA" w:rsidRDefault="00973DAA" w:rsidP="00973DAA">
      <w:pPr>
        <w:pStyle w:val="ESch"/>
        <w:rPr>
          <w:rFonts w:eastAsia="Calibri"/>
          <w:lang w:val="bg-BG"/>
        </w:rPr>
      </w:pPr>
      <w:r w:rsidRPr="009072DA">
        <w:rPr>
          <w:lang w:val="bg-BG"/>
        </w:rPr>
        <w:t>10.</w:t>
      </w:r>
      <w:r w:rsidRPr="009072DA">
        <w:rPr>
          <w:lang w:val="bg-BG"/>
        </w:rPr>
        <w:tab/>
        <w:t xml:space="preserve">Член 19.12, точка 10 не се прилага за плавателни съдове с каюти с дължина </w:t>
      </w:r>
      <m:oMath>
        <m:r>
          <w:rPr>
            <w:rFonts w:ascii="Cambria Math" w:eastAsia="Calibri" w:hAnsi="Cambria Math"/>
            <w:lang w:val="bg-BG"/>
          </w:rPr>
          <m:t>L</m:t>
        </m:r>
      </m:oMath>
      <w:r w:rsidRPr="009072DA">
        <w:rPr>
          <w:lang w:val="bg-BG"/>
        </w:rPr>
        <w:t>, не по-голяма от 45 m, при условие че във всяка каюта има леснодостъпни димозащитни качулки, чийто брой е равен на броя на койките.</w:t>
      </w:r>
    </w:p>
    <w:p w:rsidR="00973DAA" w:rsidRPr="009072DA" w:rsidRDefault="00973DAA" w:rsidP="00973DAA">
      <w:pPr>
        <w:pStyle w:val="ESch"/>
        <w:rPr>
          <w:lang w:val="bg-BG"/>
        </w:rPr>
      </w:pPr>
    </w:p>
    <w:p w:rsidR="00973DAA" w:rsidRPr="009072DA" w:rsidRDefault="00973DAA" w:rsidP="00973DAA">
      <w:pPr>
        <w:pStyle w:val="ESch"/>
        <w:rPr>
          <w:lang w:val="bg-BG"/>
        </w:rPr>
      </w:pPr>
    </w:p>
    <w:p w:rsidR="003D2554" w:rsidRPr="009072DA" w:rsidRDefault="003D2554" w:rsidP="003D2554">
      <w:pPr>
        <w:pStyle w:val="ES-Titre2"/>
        <w:rPr>
          <w:szCs w:val="24"/>
        </w:rPr>
      </w:pPr>
      <w:bookmarkStart w:id="375" w:name="_Toc491854185"/>
      <w:bookmarkStart w:id="376" w:name="_Toc535827626"/>
      <w:r w:rsidRPr="009072DA">
        <w:lastRenderedPageBreak/>
        <w:t>Глава 20</w:t>
      </w:r>
      <w:r w:rsidRPr="009072DA">
        <w:br/>
      </w:r>
      <w:r w:rsidRPr="009072DA">
        <w:rPr>
          <w:sz w:val="22"/>
        </w:rPr>
        <w:t>Специални разпоредби, приложими за пътническите ветроходни плавателни съдове, които не</w:t>
      </w:r>
      <w:r w:rsidRPr="009072DA">
        <w:t xml:space="preserve"> плават по река Рейн (зона R)</w:t>
      </w:r>
      <w:bookmarkEnd w:id="375"/>
      <w:bookmarkEnd w:id="376"/>
    </w:p>
    <w:p w:rsidR="003D2554" w:rsidRPr="009072DA" w:rsidRDefault="003D2554" w:rsidP="003D2554">
      <w:pPr>
        <w:rPr>
          <w:lang w:val="bg-BG"/>
        </w:rPr>
      </w:pPr>
    </w:p>
    <w:p w:rsidR="003D2554" w:rsidRPr="009072DA" w:rsidRDefault="003D2554" w:rsidP="003D2554">
      <w:pPr>
        <w:pStyle w:val="ES-Titre3"/>
        <w:rPr>
          <w:i/>
          <w:lang w:val="bg-BG"/>
        </w:rPr>
      </w:pPr>
      <w:bookmarkStart w:id="377" w:name="_Toc491854186"/>
      <w:bookmarkStart w:id="378" w:name="_Toc535827627"/>
      <w:r w:rsidRPr="009072DA">
        <w:rPr>
          <w:lang w:val="bg-BG"/>
        </w:rPr>
        <w:t>Член 20.01</w:t>
      </w:r>
      <w:r w:rsidRPr="009072DA">
        <w:rPr>
          <w:lang w:val="bg-BG"/>
        </w:rPr>
        <w:br/>
      </w:r>
      <w:r w:rsidRPr="009072DA">
        <w:rPr>
          <w:i/>
          <w:lang w:val="bg-BG"/>
        </w:rPr>
        <w:t>Прилагане на части II и III</w:t>
      </w:r>
      <w:bookmarkEnd w:id="377"/>
      <w:bookmarkEnd w:id="378"/>
    </w:p>
    <w:p w:rsidR="003D2554" w:rsidRPr="009072DA" w:rsidRDefault="003D2554" w:rsidP="00973DAA">
      <w:pPr>
        <w:pStyle w:val="ESch"/>
        <w:rPr>
          <w:lang w:val="bg-BG"/>
        </w:rPr>
      </w:pPr>
    </w:p>
    <w:p w:rsidR="003D2554" w:rsidRPr="009072DA" w:rsidRDefault="003D2554" w:rsidP="003D2554">
      <w:pPr>
        <w:pStyle w:val="ESgauche"/>
        <w:rPr>
          <w:rFonts w:cs="Arial"/>
          <w:noProof w:val="0"/>
          <w:lang w:val="bg-BG"/>
        </w:rPr>
      </w:pPr>
      <w:r w:rsidRPr="009072DA">
        <w:rPr>
          <w:noProof w:val="0"/>
          <w:lang w:val="bg-BG"/>
        </w:rPr>
        <w:t>В допълнение към разпоредбите на части II и III  за пътническите ветроходни плавателни съдове, които не плават по река Рейн (зона R), се прилагат изискванията, предвидени в настоящата глава.</w:t>
      </w:r>
    </w:p>
    <w:p w:rsidR="003D2554" w:rsidRPr="009072DA" w:rsidRDefault="003D2554" w:rsidP="003D2554">
      <w:pPr>
        <w:pStyle w:val="ESch"/>
        <w:rPr>
          <w:i/>
          <w:szCs w:val="20"/>
          <w:lang w:val="bg-BG"/>
        </w:rPr>
      </w:pPr>
    </w:p>
    <w:p w:rsidR="003D2554" w:rsidRPr="009072DA" w:rsidRDefault="003D2554" w:rsidP="003D2554">
      <w:pPr>
        <w:pStyle w:val="ESch"/>
        <w:rPr>
          <w:i/>
          <w:szCs w:val="20"/>
          <w:lang w:val="bg-BG"/>
        </w:rPr>
      </w:pPr>
    </w:p>
    <w:p w:rsidR="003D2554" w:rsidRPr="009072DA" w:rsidRDefault="003D2554" w:rsidP="003D2554">
      <w:pPr>
        <w:pStyle w:val="ES-Titre3"/>
        <w:rPr>
          <w:rFonts w:cs="Arial"/>
          <w:i/>
          <w:lang w:val="bg-BG"/>
        </w:rPr>
      </w:pPr>
      <w:bookmarkStart w:id="379" w:name="_Toc491854187"/>
      <w:bookmarkStart w:id="380" w:name="_Toc535827628"/>
      <w:r w:rsidRPr="009072DA">
        <w:rPr>
          <w:lang w:val="bg-BG"/>
        </w:rPr>
        <w:t>Член 20.02</w:t>
      </w:r>
      <w:r w:rsidRPr="009072DA">
        <w:rPr>
          <w:lang w:val="bg-BG"/>
        </w:rPr>
        <w:br/>
      </w:r>
      <w:r w:rsidRPr="009072DA">
        <w:rPr>
          <w:i/>
          <w:lang w:val="bg-BG"/>
        </w:rPr>
        <w:t>Изключения за някои пътнически ветроходни плавателни съдове</w:t>
      </w:r>
      <w:bookmarkEnd w:id="379"/>
      <w:bookmarkEnd w:id="380"/>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1. </w:t>
      </w:r>
      <w:r w:rsidRPr="009072DA">
        <w:rPr>
          <w:lang w:val="bg-BG"/>
        </w:rPr>
        <w:tab/>
        <w:t xml:space="preserve">При пътническите ветроходни плавателни съдове с </w:t>
      </w:r>
      <m:oMath>
        <m:sSub>
          <m:sSubPr>
            <m:ctrlPr>
              <w:rPr>
                <w:rFonts w:ascii="Cambria Math" w:hAnsi="Cambria Math"/>
                <w:i/>
                <w:szCs w:val="20"/>
                <w:lang w:val="bg-BG"/>
              </w:rPr>
            </m:ctrlPr>
          </m:sSubPr>
          <m:e>
            <m:r>
              <w:rPr>
                <w:rFonts w:ascii="Cambria Math" w:hAnsi="Cambria Math"/>
                <w:szCs w:val="20"/>
                <w:lang w:val="bg-BG"/>
              </w:rPr>
              <m:t>L</m:t>
            </m:r>
          </m:e>
          <m:sub>
            <m:r>
              <w:rPr>
                <w:rFonts w:ascii="Cambria Math" w:hAnsi="Cambria Math"/>
                <w:szCs w:val="20"/>
                <w:lang w:val="bg-BG"/>
              </w:rPr>
              <m:t>WL</m:t>
            </m:r>
          </m:sub>
        </m:sSub>
      </m:oMath>
      <w:r w:rsidRPr="009072DA">
        <w:rPr>
          <w:lang w:val="bg-BG"/>
        </w:rPr>
        <w:t xml:space="preserve">, не повече от 45 m, и максимален допустим брой пътници не повече от </w:t>
      </w:r>
      <m:oMath>
        <m:sSub>
          <m:sSubPr>
            <m:ctrlPr>
              <w:rPr>
                <w:rFonts w:ascii="Cambria Math" w:hAnsi="Cambria Math"/>
                <w:i/>
                <w:szCs w:val="20"/>
                <w:lang w:val="bg-BG"/>
              </w:rPr>
            </m:ctrlPr>
          </m:sSubPr>
          <m:e>
            <m:r>
              <w:rPr>
                <w:rFonts w:ascii="Cambria Math" w:hAnsi="Cambria Math"/>
                <w:szCs w:val="20"/>
                <w:lang w:val="bg-BG"/>
              </w:rPr>
              <m:t>L</m:t>
            </m:r>
          </m:e>
          <m:sub>
            <m:r>
              <w:rPr>
                <w:rFonts w:ascii="Cambria Math" w:hAnsi="Cambria Math"/>
                <w:szCs w:val="20"/>
                <w:lang w:val="bg-BG"/>
              </w:rPr>
              <m:t>WL</m:t>
            </m:r>
          </m:sub>
        </m:sSub>
      </m:oMath>
      <w:r w:rsidRPr="009072DA">
        <w:rPr>
          <w:lang w:val="bg-BG"/>
        </w:rPr>
        <w:t xml:space="preserve"> в цели метри, не се прилагат следните разпоредби:</w:t>
      </w:r>
    </w:p>
    <w:p w:rsidR="003D2554" w:rsidRPr="009072DA" w:rsidRDefault="005C7859" w:rsidP="003D2554">
      <w:pPr>
        <w:pStyle w:val="ESlet"/>
        <w:rPr>
          <w:rFonts w:cs="Arial"/>
          <w:lang w:val="bg-BG"/>
        </w:rPr>
      </w:pPr>
      <w:r w:rsidRPr="009072DA">
        <w:rPr>
          <w:lang w:val="bg-BG"/>
        </w:rPr>
        <w:t>a)</w:t>
      </w:r>
      <w:r w:rsidRPr="009072DA">
        <w:rPr>
          <w:lang w:val="bg-BG"/>
        </w:rPr>
        <w:tab/>
        <w:t>член 3.03, точка 7, при условие че котвите не се съхраняват в клюзовите тръби;</w:t>
      </w:r>
    </w:p>
    <w:p w:rsidR="003D2554" w:rsidRPr="009072DA" w:rsidRDefault="005C7859" w:rsidP="003D2554">
      <w:pPr>
        <w:pStyle w:val="ESlet"/>
        <w:rPr>
          <w:rFonts w:cs="Arial"/>
          <w:lang w:val="bg-BG"/>
        </w:rPr>
      </w:pPr>
      <w:r w:rsidRPr="009072DA">
        <w:rPr>
          <w:lang w:val="bg-BG"/>
        </w:rPr>
        <w:t>б)</w:t>
      </w:r>
      <w:r w:rsidRPr="009072DA">
        <w:rPr>
          <w:lang w:val="bg-BG"/>
        </w:rPr>
        <w:tab/>
        <w:t>член 13.02, точка 2, буква г), по отношение на дължината;</w:t>
      </w:r>
    </w:p>
    <w:p w:rsidR="003D2554" w:rsidRPr="009072DA" w:rsidRDefault="005C7859" w:rsidP="003D2554">
      <w:pPr>
        <w:pStyle w:val="ESlet"/>
        <w:rPr>
          <w:rFonts w:cs="Arial"/>
          <w:lang w:val="bg-BG"/>
        </w:rPr>
      </w:pPr>
      <w:r w:rsidRPr="009072DA">
        <w:rPr>
          <w:lang w:val="bg-BG"/>
        </w:rPr>
        <w:t>в)</w:t>
      </w:r>
      <w:r w:rsidRPr="009072DA">
        <w:rPr>
          <w:lang w:val="bg-BG"/>
        </w:rPr>
        <w:tab/>
        <w:t>член 19.08, точка 3, буква a);</w:t>
      </w:r>
    </w:p>
    <w:p w:rsidR="003D2554" w:rsidRPr="009072DA" w:rsidRDefault="0029453D" w:rsidP="003D2554">
      <w:pPr>
        <w:pStyle w:val="ESlet"/>
        <w:rPr>
          <w:rFonts w:cs="Arial"/>
          <w:lang w:val="bg-BG"/>
        </w:rPr>
      </w:pPr>
      <w:r w:rsidRPr="009072DA">
        <w:rPr>
          <w:lang w:val="bg-BG"/>
        </w:rPr>
        <w:t>г)</w:t>
      </w:r>
      <w:r w:rsidRPr="009072DA">
        <w:rPr>
          <w:lang w:val="bg-BG"/>
        </w:rPr>
        <w:tab/>
        <w:t>член 19.15, точка 8.</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2.</w:t>
      </w:r>
      <w:r w:rsidRPr="009072DA">
        <w:rPr>
          <w:lang w:val="bg-BG"/>
        </w:rPr>
        <w:tab/>
        <w:t xml:space="preserve">Чрез дерогация от точка 1 броят на пътниците може да бъде завишен до 1,5 пъти </w:t>
      </w:r>
      <m:oMath>
        <m:sSub>
          <m:sSubPr>
            <m:ctrlPr>
              <w:rPr>
                <w:rFonts w:ascii="Cambria Math" w:hAnsi="Cambria Math"/>
                <w:i/>
                <w:szCs w:val="20"/>
                <w:lang w:val="bg-BG"/>
              </w:rPr>
            </m:ctrlPr>
          </m:sSubPr>
          <m:e>
            <m:r>
              <w:rPr>
                <w:rFonts w:ascii="Cambria Math" w:hAnsi="Cambria Math"/>
                <w:szCs w:val="20"/>
                <w:lang w:val="bg-BG"/>
              </w:rPr>
              <m:t>L</m:t>
            </m:r>
          </m:e>
          <m:sub>
            <m:r>
              <w:rPr>
                <w:rFonts w:ascii="Cambria Math" w:hAnsi="Cambria Math"/>
                <w:szCs w:val="20"/>
                <w:lang w:val="bg-BG"/>
              </w:rPr>
              <m:t>WL</m:t>
            </m:r>
          </m:sub>
        </m:sSub>
      </m:oMath>
      <w:r w:rsidRPr="009072DA">
        <w:rPr>
          <w:lang w:val="bg-BG"/>
        </w:rPr>
        <w:t xml:space="preserve"> в цели метри, ако платната, такелажът и приспособленията на палубата го позволяват.</w:t>
      </w:r>
    </w:p>
    <w:p w:rsidR="003D2554" w:rsidRPr="009072DA" w:rsidRDefault="003D2554" w:rsidP="003D2554">
      <w:pPr>
        <w:pStyle w:val="ESch"/>
        <w:rPr>
          <w:rFonts w:cs="Arial"/>
          <w:szCs w:val="20"/>
          <w:lang w:val="bg-BG"/>
        </w:rPr>
      </w:pPr>
    </w:p>
    <w:p w:rsidR="003D2554" w:rsidRPr="009072DA" w:rsidRDefault="003D2554" w:rsidP="003D2554">
      <w:pPr>
        <w:pStyle w:val="ESch"/>
        <w:rPr>
          <w:rFonts w:cs="Arial"/>
          <w:szCs w:val="20"/>
          <w:lang w:val="bg-BG"/>
        </w:rPr>
      </w:pPr>
    </w:p>
    <w:p w:rsidR="003D2554" w:rsidRPr="009072DA" w:rsidRDefault="003D2554" w:rsidP="003D2554">
      <w:pPr>
        <w:pStyle w:val="ES-Titre3"/>
        <w:rPr>
          <w:rFonts w:cs="Arial"/>
          <w:i/>
          <w:lang w:val="bg-BG"/>
        </w:rPr>
      </w:pPr>
      <w:bookmarkStart w:id="381" w:name="_Toc491854188"/>
      <w:bookmarkStart w:id="382" w:name="_Toc535827629"/>
      <w:r w:rsidRPr="009072DA">
        <w:rPr>
          <w:lang w:val="bg-BG"/>
        </w:rPr>
        <w:t>Член 20.03</w:t>
      </w:r>
      <w:r w:rsidRPr="009072DA">
        <w:rPr>
          <w:lang w:val="bg-BG"/>
        </w:rPr>
        <w:br/>
      </w:r>
      <w:r w:rsidRPr="009072DA">
        <w:rPr>
          <w:i/>
          <w:lang w:val="bg-BG"/>
        </w:rPr>
        <w:t>Изисквания за устойчивостта на ветроходни плавателни съдове</w:t>
      </w:r>
      <w:bookmarkEnd w:id="381"/>
      <w:bookmarkEnd w:id="382"/>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1. </w:t>
      </w:r>
      <w:r w:rsidRPr="009072DA">
        <w:rPr>
          <w:lang w:val="bg-BG"/>
        </w:rPr>
        <w:tab/>
        <w:t>При изчисляването на кренящия момент съгласно член 19.03, точка 3 прибраните платна се вземат под внимание при определяне на центъра на тежестта на съда.</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2. </w:t>
      </w:r>
      <w:r w:rsidRPr="009072DA">
        <w:rPr>
          <w:lang w:val="bg-BG"/>
        </w:rPr>
        <w:tab/>
        <w:t xml:space="preserve">Вземайки предвид всички условия на натоварване съгласно член 19.03, точка 2 и като се използва стандартна подредба на платната, кренящият момент, причинен от налягането </w:t>
      </w:r>
      <w:r w:rsidRPr="009072DA">
        <w:rPr>
          <w:lang w:val="bg-BG"/>
        </w:rPr>
        <w:lastRenderedPageBreak/>
        <w:t>на вятъра не трябва да е толкова голям, че да причини ъгъл на крен, превишаващ 20°. В същото време</w:t>
      </w:r>
    </w:p>
    <w:p w:rsidR="003D2554" w:rsidRPr="009072DA" w:rsidRDefault="005C7859" w:rsidP="003D2554">
      <w:pPr>
        <w:pStyle w:val="ESlet"/>
        <w:rPr>
          <w:rFonts w:cs="Arial"/>
          <w:lang w:val="bg-BG"/>
        </w:rPr>
      </w:pPr>
      <w:r w:rsidRPr="009072DA">
        <w:rPr>
          <w:lang w:val="bg-BG"/>
        </w:rPr>
        <w:t>a)</w:t>
      </w:r>
      <w:r w:rsidRPr="009072DA">
        <w:rPr>
          <w:lang w:val="bg-BG"/>
        </w:rPr>
        <w:tab/>
        <w:t>за изчислението се приема постоянно налягане на вятъра от 0,07 kN/m</w:t>
      </w:r>
      <w:r w:rsidRPr="009072DA">
        <w:rPr>
          <w:vertAlign w:val="superscript"/>
          <w:lang w:val="bg-BG"/>
        </w:rPr>
        <w:t>2</w:t>
      </w:r>
      <w:r w:rsidRPr="009072DA">
        <w:rPr>
          <w:lang w:val="bg-BG"/>
        </w:rPr>
        <w:t>;</w:t>
      </w:r>
    </w:p>
    <w:p w:rsidR="003D2554" w:rsidRPr="009072DA" w:rsidRDefault="005C7859" w:rsidP="003D2554">
      <w:pPr>
        <w:pStyle w:val="ESlet"/>
        <w:rPr>
          <w:rFonts w:cs="Arial"/>
          <w:lang w:val="bg-BG"/>
        </w:rPr>
      </w:pPr>
      <w:r w:rsidRPr="009072DA">
        <w:rPr>
          <w:lang w:val="bg-BG"/>
        </w:rPr>
        <w:t>б)</w:t>
      </w:r>
      <w:r w:rsidRPr="009072DA">
        <w:rPr>
          <w:lang w:val="bg-BG"/>
        </w:rPr>
        <w:tab/>
        <w:t>остатъчното разстояние на безопасност трябва да e поне 100 mm и</w:t>
      </w:r>
    </w:p>
    <w:p w:rsidR="003D2554" w:rsidRPr="009072DA" w:rsidRDefault="005C7859" w:rsidP="003D2554">
      <w:pPr>
        <w:pStyle w:val="ESlet"/>
        <w:rPr>
          <w:rFonts w:cs="Arial"/>
          <w:lang w:val="bg-BG"/>
        </w:rPr>
      </w:pPr>
      <w:r w:rsidRPr="009072DA">
        <w:rPr>
          <w:lang w:val="bg-BG"/>
        </w:rPr>
        <w:t>в)</w:t>
      </w:r>
      <w:r w:rsidRPr="009072DA">
        <w:rPr>
          <w:lang w:val="bg-BG"/>
        </w:rPr>
        <w:tab/>
        <w:t>остатъчният надводен борд не трябва да е отрицателен.</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3. </w:t>
      </w:r>
      <w:r w:rsidRPr="009072DA">
        <w:rPr>
          <w:lang w:val="bg-BG"/>
        </w:rPr>
        <w:tab/>
        <w:t>Рамото на изправящия момент на статична устойчивост трябва:</w:t>
      </w:r>
    </w:p>
    <w:p w:rsidR="003D2554" w:rsidRPr="009072DA" w:rsidRDefault="005C7859" w:rsidP="003D2554">
      <w:pPr>
        <w:pStyle w:val="ESlet"/>
        <w:rPr>
          <w:rFonts w:cs="Arial"/>
          <w:lang w:val="bg-BG"/>
        </w:rPr>
      </w:pPr>
      <w:r w:rsidRPr="009072DA">
        <w:rPr>
          <w:lang w:val="bg-BG"/>
        </w:rPr>
        <w:t>a)</w:t>
      </w:r>
      <w:r w:rsidRPr="009072DA">
        <w:rPr>
          <w:lang w:val="bg-BG"/>
        </w:rPr>
        <w:tab/>
        <w:t xml:space="preserve">да достига максималната си стойност </w:t>
      </w:r>
      <m:oMath>
        <m:sSub>
          <m:sSubPr>
            <m:ctrlPr>
              <w:rPr>
                <w:rFonts w:ascii="Cambria Math" w:hAnsi="Cambria Math"/>
                <w:i/>
                <w:szCs w:val="20"/>
                <w:lang w:val="bg-BG"/>
              </w:rPr>
            </m:ctrlPr>
          </m:sSubPr>
          <m:e>
            <m:r>
              <w:rPr>
                <w:rFonts w:ascii="Cambria Math" w:hAnsi="Cambria Math"/>
                <w:szCs w:val="20"/>
                <w:lang w:val="bg-BG"/>
              </w:rPr>
              <m:t>h</m:t>
            </m:r>
          </m:e>
          <m:sub>
            <m:r>
              <w:rPr>
                <w:rFonts w:ascii="Cambria Math" w:hAnsi="Cambria Math"/>
                <w:szCs w:val="20"/>
                <w:lang w:val="bg-BG"/>
              </w:rPr>
              <m:t>max</m:t>
            </m:r>
          </m:sub>
        </m:sSub>
      </m:oMath>
      <w:r w:rsidRPr="009072DA">
        <w:rPr>
          <w:lang w:val="bg-BG"/>
        </w:rPr>
        <w:t xml:space="preserve"> при ъгъл на крена </w:t>
      </w:r>
      <m:oMath>
        <m:sSub>
          <m:sSubPr>
            <m:ctrlPr>
              <w:rPr>
                <w:rFonts w:ascii="Cambria Math" w:hAnsi="Cambria Math"/>
                <w:i/>
                <w:lang w:val="bg-BG"/>
              </w:rPr>
            </m:ctrlPr>
          </m:sSubPr>
          <m:e>
            <m:r>
              <w:rPr>
                <w:rFonts w:ascii="Cambria Math" w:hAnsi="Cambria Math"/>
                <w:lang w:val="bg-BG"/>
              </w:rPr>
              <m:t>φ</m:t>
            </m:r>
          </m:e>
          <m:sub>
            <m:r>
              <w:rPr>
                <w:rFonts w:ascii="Cambria Math" w:hAnsi="Cambria Math"/>
                <w:lang w:val="bg-BG"/>
              </w:rPr>
              <m:t>max</m:t>
            </m:r>
          </m:sub>
        </m:sSub>
      </m:oMath>
      <w:r w:rsidRPr="009072DA">
        <w:rPr>
          <w:lang w:val="bg-BG"/>
        </w:rPr>
        <w:t xml:space="preserve"> от 25° или по-голям;</w:t>
      </w:r>
    </w:p>
    <w:p w:rsidR="003D2554" w:rsidRPr="009072DA" w:rsidRDefault="005C7859" w:rsidP="003D2554">
      <w:pPr>
        <w:pStyle w:val="ESlet"/>
        <w:rPr>
          <w:rFonts w:cs="Arial"/>
          <w:lang w:val="bg-BG"/>
        </w:rPr>
      </w:pPr>
      <w:r w:rsidRPr="009072DA">
        <w:rPr>
          <w:lang w:val="bg-BG"/>
        </w:rPr>
        <w:t>б)</w:t>
      </w:r>
      <w:r w:rsidRPr="009072DA">
        <w:rPr>
          <w:lang w:val="bg-BG"/>
        </w:rPr>
        <w:tab/>
        <w:t>да възлиза на най-малко 0,20 m при ъгъл на крена 30° или по-голям;</w:t>
      </w:r>
    </w:p>
    <w:p w:rsidR="003D2554" w:rsidRPr="009072DA" w:rsidRDefault="005C7859" w:rsidP="003D2554">
      <w:pPr>
        <w:pStyle w:val="ESlet"/>
        <w:rPr>
          <w:rFonts w:cs="Arial"/>
          <w:lang w:val="bg-BG"/>
        </w:rPr>
      </w:pPr>
      <w:r w:rsidRPr="009072DA">
        <w:rPr>
          <w:lang w:val="bg-BG"/>
        </w:rPr>
        <w:t xml:space="preserve">в) </w:t>
      </w:r>
      <w:r w:rsidRPr="009072DA">
        <w:rPr>
          <w:lang w:val="bg-BG"/>
        </w:rPr>
        <w:tab/>
        <w:t>да е положително при ъгъл на крена до 60°.</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4. </w:t>
      </w:r>
      <w:r w:rsidRPr="009072DA">
        <w:rPr>
          <w:lang w:val="bg-BG"/>
        </w:rPr>
        <w:tab/>
        <w:t>Площта А под кривата на рамото на изправящия момент не трябва да бъде по-малка от</w:t>
      </w:r>
    </w:p>
    <w:p w:rsidR="003D2554" w:rsidRPr="009072DA" w:rsidRDefault="005C7859" w:rsidP="003D2554">
      <w:pPr>
        <w:pStyle w:val="ESlet"/>
        <w:rPr>
          <w:rFonts w:cs="Arial"/>
          <w:lang w:val="bg-BG"/>
        </w:rPr>
      </w:pPr>
      <w:r w:rsidRPr="009072DA">
        <w:rPr>
          <w:lang w:val="bg-BG"/>
        </w:rPr>
        <w:t>a)</w:t>
      </w:r>
      <w:r w:rsidRPr="009072DA">
        <w:rPr>
          <w:lang w:val="bg-BG"/>
        </w:rPr>
        <w:tab/>
      </w:r>
      <m:oMath>
        <m:r>
          <w:rPr>
            <w:rFonts w:ascii="Cambria Math" w:hAnsi="Cambria Math"/>
            <w:lang w:val="bg-BG"/>
          </w:rPr>
          <m:t>0,055 m ∙rad</m:t>
        </m:r>
      </m:oMath>
      <w:r w:rsidRPr="009072DA">
        <w:rPr>
          <w:lang w:val="bg-BG"/>
        </w:rPr>
        <w:t xml:space="preserve"> до 30°;</w:t>
      </w:r>
    </w:p>
    <w:p w:rsidR="003D2554" w:rsidRPr="009072DA" w:rsidRDefault="005C7859" w:rsidP="003D2554">
      <w:pPr>
        <w:pStyle w:val="ESlet"/>
        <w:rPr>
          <w:rFonts w:cs="Arial"/>
          <w:lang w:val="bg-BG"/>
        </w:rPr>
      </w:pPr>
      <w:r w:rsidRPr="009072DA">
        <w:rPr>
          <w:lang w:val="bg-BG"/>
        </w:rPr>
        <w:t>б)</w:t>
      </w:r>
      <w:r w:rsidRPr="009072DA">
        <w:rPr>
          <w:lang w:val="bg-BG"/>
        </w:rPr>
        <w:tab/>
      </w:r>
      <m:oMath>
        <m:r>
          <w:rPr>
            <w:rFonts w:ascii="Cambria Math" w:hAnsi="Cambria Math"/>
            <w:lang w:val="bg-BG"/>
          </w:rPr>
          <m:t>0,09 m ∙rad</m:t>
        </m:r>
      </m:oMath>
      <w:r w:rsidRPr="009072DA">
        <w:rPr>
          <w:lang w:val="bg-BG"/>
        </w:rPr>
        <w:t xml:space="preserve"> до 40° или до ъгъла </w:t>
      </w:r>
      <m:oMath>
        <m:sSub>
          <m:sSubPr>
            <m:ctrlPr>
              <w:rPr>
                <w:rFonts w:ascii="Cambria Math" w:hAnsi="Cambria Math"/>
                <w:i/>
                <w:lang w:val="bg-BG"/>
              </w:rPr>
            </m:ctrlPr>
          </m:sSubPr>
          <m:e>
            <m:r>
              <w:rPr>
                <w:rFonts w:ascii="Cambria Math" w:hAnsi="Cambria Math"/>
                <w:lang w:val="bg-BG"/>
              </w:rPr>
              <m:t>φ</m:t>
            </m:r>
          </m:e>
          <m:sub>
            <m:r>
              <w:rPr>
                <w:rFonts w:ascii="Cambria Math" w:hAnsi="Cambria Math"/>
                <w:lang w:val="bg-BG"/>
              </w:rPr>
              <m:t>f</m:t>
            </m:r>
          </m:sub>
        </m:sSub>
      </m:oMath>
      <w:r w:rsidRPr="009072DA">
        <w:rPr>
          <w:lang w:val="bg-BG"/>
        </w:rPr>
        <w:t>, при който необезопасен отвор достига водната повърхност и който е по-малък от 40°.</w:t>
      </w:r>
    </w:p>
    <w:p w:rsidR="000928CC" w:rsidRPr="009072DA" w:rsidRDefault="000928CC" w:rsidP="003D2554">
      <w:pPr>
        <w:pStyle w:val="ESlet"/>
        <w:rPr>
          <w:lang w:val="bg-BG"/>
        </w:rPr>
      </w:pPr>
    </w:p>
    <w:p w:rsidR="000928CC" w:rsidRPr="009072DA" w:rsidRDefault="000928CC">
      <w:pPr>
        <w:rPr>
          <w:lang w:val="bg-BG"/>
        </w:rPr>
      </w:pPr>
      <w:r w:rsidRPr="009072DA">
        <w:rPr>
          <w:lang w:val="bg-BG"/>
        </w:rPr>
        <w:br w:type="page"/>
      </w:r>
    </w:p>
    <w:p w:rsidR="000928CC" w:rsidRPr="009072DA" w:rsidRDefault="000928CC" w:rsidP="003D2554">
      <w:pPr>
        <w:pStyle w:val="ESlet"/>
        <w:rPr>
          <w:lang w:val="bg-BG"/>
        </w:rPr>
      </w:pPr>
    </w:p>
    <w:p w:rsidR="003D2554" w:rsidRPr="009072DA" w:rsidRDefault="003D2554" w:rsidP="003D2554">
      <w:pPr>
        <w:pStyle w:val="ESlet"/>
        <w:rPr>
          <w:rFonts w:cs="Arial"/>
          <w:lang w:val="bg-BG"/>
        </w:rPr>
      </w:pPr>
      <w:r w:rsidRPr="009072DA">
        <w:rPr>
          <w:lang w:val="bg-BG"/>
        </w:rPr>
        <w:t>Между</w:t>
      </w:r>
    </w:p>
    <w:p w:rsidR="003D2554" w:rsidRPr="009072DA" w:rsidRDefault="005C7859" w:rsidP="003D2554">
      <w:pPr>
        <w:pStyle w:val="ESlet"/>
        <w:rPr>
          <w:rFonts w:cs="Arial"/>
          <w:lang w:val="bg-BG"/>
        </w:rPr>
      </w:pPr>
      <w:r w:rsidRPr="009072DA">
        <w:rPr>
          <w:lang w:val="bg-BG"/>
        </w:rPr>
        <w:t>в)</w:t>
      </w:r>
      <w:r w:rsidRPr="009072DA">
        <w:rPr>
          <w:lang w:val="bg-BG"/>
        </w:rPr>
        <w:tab/>
        <w:t>30° и 40°, или</w:t>
      </w:r>
    </w:p>
    <w:p w:rsidR="003D2554" w:rsidRPr="009072DA" w:rsidRDefault="0029453D" w:rsidP="003D2554">
      <w:pPr>
        <w:pStyle w:val="ESlet"/>
        <w:rPr>
          <w:rFonts w:cs="Arial"/>
          <w:lang w:val="bg-BG"/>
        </w:rPr>
      </w:pPr>
      <w:r w:rsidRPr="009072DA">
        <w:rPr>
          <w:lang w:val="bg-BG"/>
        </w:rPr>
        <w:t>г)</w:t>
      </w:r>
      <w:r w:rsidRPr="009072DA">
        <w:rPr>
          <w:lang w:val="bg-BG"/>
        </w:rPr>
        <w:tab/>
        <w:t xml:space="preserve">30° и ъгъла </w:t>
      </w:r>
      <m:oMath>
        <m:sSub>
          <m:sSubPr>
            <m:ctrlPr>
              <w:rPr>
                <w:rFonts w:ascii="Cambria Math" w:hAnsi="Cambria Math"/>
                <w:i/>
                <w:lang w:val="bg-BG"/>
              </w:rPr>
            </m:ctrlPr>
          </m:sSubPr>
          <m:e>
            <m:r>
              <w:rPr>
                <w:rFonts w:ascii="Cambria Math" w:hAnsi="Cambria Math"/>
                <w:lang w:val="bg-BG"/>
              </w:rPr>
              <m:t>φ</m:t>
            </m:r>
          </m:e>
          <m:sub>
            <m:r>
              <w:rPr>
                <w:rFonts w:ascii="Cambria Math" w:hAnsi="Cambria Math"/>
                <w:lang w:val="bg-BG"/>
              </w:rPr>
              <m:t>f</m:t>
            </m:r>
          </m:sub>
        </m:sSub>
      </m:oMath>
      <w:r w:rsidRPr="009072DA">
        <w:rPr>
          <w:lang w:val="bg-BG"/>
        </w:rPr>
        <w:t>, при който необезопасен отвор достига водната повърхност и който е по-малък от 40°.</w:t>
      </w:r>
    </w:p>
    <w:p w:rsidR="003D2554" w:rsidRPr="009072DA" w:rsidRDefault="00772341" w:rsidP="003D2554">
      <w:pPr>
        <w:pStyle w:val="Esletgauchepar"/>
        <w:rPr>
          <w:rFonts w:cs="Arial"/>
        </w:rPr>
      </w:pPr>
      <w:r w:rsidRPr="009072DA">
        <w:t xml:space="preserve">тази площ не може да бъде по-малка от </w:t>
      </w:r>
      <m:oMath>
        <m:r>
          <w:rPr>
            <w:rFonts w:ascii="Cambria Math" w:hAnsi="Cambria Math"/>
          </w:rPr>
          <m:t>0,03 m ∙rad</m:t>
        </m:r>
      </m:oMath>
      <w:r w:rsidRPr="009072DA">
        <w:t>.</w:t>
      </w:r>
    </w:p>
    <w:p w:rsidR="003D2554" w:rsidRPr="009072DA" w:rsidRDefault="003D2554" w:rsidP="003D2554">
      <w:pPr>
        <w:pStyle w:val="ESch"/>
        <w:rPr>
          <w:rFonts w:cs="Arial"/>
          <w:szCs w:val="20"/>
          <w:lang w:val="bg-BG"/>
        </w:rPr>
      </w:pPr>
    </w:p>
    <w:p w:rsidR="000928CC" w:rsidRPr="009072DA" w:rsidRDefault="000928CC" w:rsidP="003D2554">
      <w:pPr>
        <w:pStyle w:val="ESch"/>
        <w:rPr>
          <w:rFonts w:cs="Arial"/>
          <w:szCs w:val="20"/>
          <w:lang w:val="bg-BG"/>
        </w:rPr>
      </w:pPr>
    </w:p>
    <w:p w:rsidR="003D2554" w:rsidRPr="009072DA" w:rsidRDefault="003D2554" w:rsidP="003D2554">
      <w:pPr>
        <w:pStyle w:val="ES-Titre3"/>
        <w:rPr>
          <w:rFonts w:cs="Arial"/>
          <w:i/>
          <w:lang w:val="bg-BG"/>
        </w:rPr>
      </w:pPr>
      <w:bookmarkStart w:id="383" w:name="_Toc491854189"/>
      <w:bookmarkStart w:id="384" w:name="_Toc535827630"/>
      <w:r w:rsidRPr="009072DA">
        <w:rPr>
          <w:lang w:val="bg-BG"/>
        </w:rPr>
        <w:t>Член 20.04</w:t>
      </w:r>
      <w:r w:rsidRPr="009072DA">
        <w:rPr>
          <w:lang w:val="bg-BG"/>
        </w:rPr>
        <w:br/>
      </w:r>
      <w:r w:rsidRPr="009072DA">
        <w:rPr>
          <w:i/>
          <w:lang w:val="bg-BG"/>
        </w:rPr>
        <w:t>Изисквания относно корабната конструкция и механика</w:t>
      </w:r>
      <w:bookmarkEnd w:id="383"/>
      <w:bookmarkEnd w:id="384"/>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1. </w:t>
      </w:r>
      <w:r w:rsidRPr="009072DA">
        <w:rPr>
          <w:lang w:val="bg-BG"/>
        </w:rPr>
        <w:tab/>
        <w:t>Чрез дерогация от член 6.01, точка 3, и член 10.01, точка 3, оборудването трябва да бъде проектирано за постоянен крен до 20°.</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2.</w:t>
      </w:r>
      <w:r w:rsidRPr="009072DA">
        <w:rPr>
          <w:lang w:val="bg-BG"/>
        </w:rPr>
        <w:tab/>
        <w:t>Чрез дерогация от член 19.06, точка 5, буква а) и член 19.06, точка 9, буква б) при пътническите ветроходни плавателни съдове с дължина, не повече от 25 m, контролният орган има право да разреши габаритна ширина за свързващите коридори и вътрешни трапове по-малка от 0,80 m. Все пак габаритната ширина не може да бъде по-малка от 0,60 m.</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3.</w:t>
      </w:r>
      <w:r w:rsidRPr="009072DA">
        <w:rPr>
          <w:lang w:val="bg-BG"/>
        </w:rPr>
        <w:tab/>
        <w:t>Чрез дерогация от член 19.06, точка 10, буква a) контролният орган има право в отделни случаи да разреши използване на подвижни перила в местата, където това е необходимо за управлението на платната.</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4.</w:t>
      </w:r>
      <w:r w:rsidRPr="009072DA">
        <w:rPr>
          <w:lang w:val="bg-BG"/>
        </w:rPr>
        <w:tab/>
        <w:t>По смисъла на член 19.07 платната се смятат за главна задвижваща система.</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5.</w:t>
      </w:r>
      <w:r w:rsidRPr="009072DA">
        <w:rPr>
          <w:lang w:val="bg-BG"/>
        </w:rPr>
        <w:tab/>
        <w:t>Чрез дерогация от член 19.15, точка 6, буква в) височината на долния край на отвора на вратата може да бъде намалена на 0,20 m над пода в помещението за пътниците. Веднъж отворена, вратата трябва да се затваря и заключва автоматично.</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6.</w:t>
      </w:r>
      <w:r w:rsidRPr="009072DA">
        <w:rPr>
          <w:lang w:val="bg-BG"/>
        </w:rPr>
        <w:tab/>
        <w:t>Когато има възможност гребният винт да се задвижи на празен ход при плаване под платна, евентуално застрашените части на задвижващата система са защитени от повреди.</w:t>
      </w:r>
    </w:p>
    <w:p w:rsidR="003D2554" w:rsidRPr="009072DA" w:rsidRDefault="003D2554" w:rsidP="003D2554">
      <w:pPr>
        <w:pStyle w:val="ESch"/>
        <w:rPr>
          <w:rFonts w:cs="Arial"/>
          <w:szCs w:val="20"/>
          <w:lang w:val="bg-BG"/>
        </w:rPr>
      </w:pPr>
    </w:p>
    <w:p w:rsidR="003D2554" w:rsidRPr="009072DA" w:rsidRDefault="003D2554" w:rsidP="003D2554">
      <w:pPr>
        <w:pStyle w:val="ESch"/>
        <w:rPr>
          <w:rFonts w:cs="Arial"/>
          <w:szCs w:val="20"/>
          <w:lang w:val="bg-BG"/>
        </w:rPr>
      </w:pPr>
    </w:p>
    <w:p w:rsidR="003D2554" w:rsidRPr="009072DA" w:rsidRDefault="003D2554" w:rsidP="003D2554">
      <w:pPr>
        <w:pStyle w:val="ES-Titre3"/>
        <w:rPr>
          <w:rFonts w:cs="Arial"/>
          <w:i/>
          <w:lang w:val="bg-BG"/>
        </w:rPr>
      </w:pPr>
      <w:bookmarkStart w:id="385" w:name="_Toc491854190"/>
      <w:bookmarkStart w:id="386" w:name="_Toc535827631"/>
      <w:r w:rsidRPr="009072DA">
        <w:rPr>
          <w:lang w:val="bg-BG"/>
        </w:rPr>
        <w:lastRenderedPageBreak/>
        <w:t>Член 20.05</w:t>
      </w:r>
      <w:r w:rsidRPr="009072DA">
        <w:rPr>
          <w:lang w:val="bg-BG"/>
        </w:rPr>
        <w:br/>
      </w:r>
      <w:r w:rsidRPr="009072DA">
        <w:rPr>
          <w:i/>
          <w:lang w:val="bg-BG"/>
        </w:rPr>
        <w:t>Такелаж в общия случай</w:t>
      </w:r>
      <w:bookmarkEnd w:id="385"/>
      <w:bookmarkEnd w:id="386"/>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1.</w:t>
      </w:r>
      <w:r w:rsidRPr="009072DA">
        <w:rPr>
          <w:lang w:val="bg-BG"/>
        </w:rPr>
        <w:tab/>
        <w:t>Частите на такелажа трябва да са разположени по такъв начин, че да се предотврати недопустимо протриване.</w:t>
      </w:r>
    </w:p>
    <w:p w:rsidR="003D2554" w:rsidRPr="009072DA" w:rsidRDefault="003D2554" w:rsidP="003D2554">
      <w:pPr>
        <w:pStyle w:val="ESch"/>
        <w:rPr>
          <w:szCs w:val="20"/>
          <w:lang w:val="bg-BG"/>
        </w:rPr>
      </w:pPr>
    </w:p>
    <w:p w:rsidR="003D2554" w:rsidRPr="009072DA" w:rsidRDefault="003D2554" w:rsidP="003D2554">
      <w:pPr>
        <w:pStyle w:val="ESch"/>
        <w:rPr>
          <w:szCs w:val="20"/>
          <w:lang w:val="bg-BG"/>
        </w:rPr>
      </w:pPr>
      <w:r w:rsidRPr="009072DA">
        <w:rPr>
          <w:lang w:val="bg-BG"/>
        </w:rPr>
        <w:t>2.</w:t>
      </w:r>
      <w:r w:rsidRPr="009072DA">
        <w:rPr>
          <w:lang w:val="bg-BG"/>
        </w:rPr>
        <w:tab/>
        <w:t xml:space="preserve">Ако се използва материал, различен от дърво или се използват специални видове такелаж, конструкцията им трябва да гарантира равностойни равнища на безопасност при размерите и якостта, зададени в настоящата глава. </w:t>
      </w:r>
    </w:p>
    <w:p w:rsidR="003D2554" w:rsidRPr="009072DA" w:rsidRDefault="003D2554" w:rsidP="003D2554">
      <w:pPr>
        <w:pStyle w:val="ESchpar"/>
        <w:rPr>
          <w:lang w:val="bg-BG"/>
        </w:rPr>
      </w:pPr>
    </w:p>
    <w:p w:rsidR="003D2554" w:rsidRPr="009072DA" w:rsidRDefault="003D2554" w:rsidP="003D2554">
      <w:pPr>
        <w:pStyle w:val="ESchpar"/>
        <w:rPr>
          <w:rFonts w:cs="Arial"/>
          <w:lang w:val="bg-BG"/>
        </w:rPr>
      </w:pPr>
      <w:r w:rsidRPr="009072DA">
        <w:rPr>
          <w:lang w:val="bg-BG"/>
        </w:rPr>
        <w:t>Като доказателство за достатъчна якост:</w:t>
      </w:r>
    </w:p>
    <w:p w:rsidR="003D2554" w:rsidRPr="009072DA" w:rsidRDefault="005C7859" w:rsidP="003D2554">
      <w:pPr>
        <w:pStyle w:val="ESlet"/>
        <w:rPr>
          <w:rFonts w:cs="Arial"/>
          <w:lang w:val="bg-BG"/>
        </w:rPr>
      </w:pPr>
      <w:r w:rsidRPr="009072DA">
        <w:rPr>
          <w:lang w:val="bg-BG"/>
        </w:rPr>
        <w:t>a)</w:t>
      </w:r>
      <w:r w:rsidRPr="009072DA">
        <w:rPr>
          <w:lang w:val="bg-BG"/>
        </w:rPr>
        <w:tab/>
        <w:t>трябва да бъде направено якостно изчисление; или</w:t>
      </w:r>
    </w:p>
    <w:p w:rsidR="003D2554" w:rsidRPr="009072DA" w:rsidRDefault="005C7859" w:rsidP="003D2554">
      <w:pPr>
        <w:pStyle w:val="ESlet"/>
        <w:rPr>
          <w:rFonts w:cs="Arial"/>
          <w:lang w:val="bg-BG"/>
        </w:rPr>
      </w:pPr>
      <w:r w:rsidRPr="009072DA">
        <w:rPr>
          <w:lang w:val="bg-BG"/>
        </w:rPr>
        <w:t>б)</w:t>
      </w:r>
      <w:r w:rsidRPr="009072DA">
        <w:rPr>
          <w:lang w:val="bg-BG"/>
        </w:rPr>
        <w:tab/>
        <w:t>трябва да се представи удостоверение, получено от призната класификационна организация; или</w:t>
      </w:r>
    </w:p>
    <w:p w:rsidR="003D2554" w:rsidRPr="009072DA" w:rsidRDefault="005C7859" w:rsidP="003D2554">
      <w:pPr>
        <w:pStyle w:val="ESlet"/>
        <w:rPr>
          <w:rFonts w:cs="Arial"/>
          <w:lang w:val="bg-BG"/>
        </w:rPr>
      </w:pPr>
      <w:r w:rsidRPr="009072DA">
        <w:rPr>
          <w:lang w:val="bg-BG"/>
        </w:rPr>
        <w:t>в)</w:t>
      </w:r>
      <w:r w:rsidRPr="009072DA">
        <w:rPr>
          <w:lang w:val="bg-BG"/>
        </w:rPr>
        <w:tab/>
        <w:t>оразмеряването трябва да се основава на процедурите, заложени в одобрена нормативна рамка (напр. Middendorf, Kusk-Jensen).</w:t>
      </w:r>
    </w:p>
    <w:p w:rsidR="003D2554" w:rsidRPr="009072DA" w:rsidRDefault="003D2554" w:rsidP="003D2554">
      <w:pPr>
        <w:pStyle w:val="ESch"/>
        <w:rPr>
          <w:szCs w:val="20"/>
          <w:lang w:val="bg-BG"/>
        </w:rPr>
      </w:pPr>
    </w:p>
    <w:p w:rsidR="003D2554" w:rsidRPr="009072DA" w:rsidRDefault="003D2554" w:rsidP="003D2554">
      <w:pPr>
        <w:pStyle w:val="ESchpar"/>
        <w:rPr>
          <w:lang w:val="bg-BG"/>
        </w:rPr>
      </w:pPr>
      <w:r w:rsidRPr="009072DA">
        <w:rPr>
          <w:lang w:val="bg-BG"/>
        </w:rPr>
        <w:t>Доказателствата се представят на контролния орган.</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p>
    <w:p w:rsidR="000928CC" w:rsidRPr="009072DA" w:rsidRDefault="000928CC">
      <w:pPr>
        <w:rPr>
          <w:rFonts w:cs="Arial"/>
          <w:szCs w:val="20"/>
          <w:lang w:val="bg-BG"/>
        </w:rPr>
      </w:pPr>
      <w:r w:rsidRPr="009072DA">
        <w:rPr>
          <w:lang w:val="bg-BG"/>
        </w:rPr>
        <w:br w:type="page"/>
      </w:r>
    </w:p>
    <w:p w:rsidR="003D2554" w:rsidRPr="009072DA" w:rsidRDefault="003D2554" w:rsidP="003D2554">
      <w:pPr>
        <w:pStyle w:val="ES-Titre3"/>
        <w:rPr>
          <w:rFonts w:cs="Arial"/>
          <w:i/>
          <w:lang w:val="bg-BG"/>
        </w:rPr>
      </w:pPr>
      <w:bookmarkStart w:id="387" w:name="_Toc491854191"/>
      <w:bookmarkStart w:id="388" w:name="_Toc535827632"/>
      <w:r w:rsidRPr="009072DA">
        <w:rPr>
          <w:lang w:val="bg-BG"/>
        </w:rPr>
        <w:lastRenderedPageBreak/>
        <w:t>Член 20.06</w:t>
      </w:r>
      <w:r w:rsidRPr="009072DA">
        <w:rPr>
          <w:lang w:val="bg-BG"/>
        </w:rPr>
        <w:br/>
      </w:r>
      <w:r w:rsidRPr="009072DA">
        <w:rPr>
          <w:i/>
          <w:lang w:val="bg-BG"/>
        </w:rPr>
        <w:t>Мачти и рангоут в общия случай</w:t>
      </w:r>
      <w:bookmarkEnd w:id="387"/>
      <w:bookmarkEnd w:id="388"/>
    </w:p>
    <w:p w:rsidR="003D2554" w:rsidRPr="009072DA" w:rsidRDefault="003D2554" w:rsidP="003D2554">
      <w:pPr>
        <w:pStyle w:val="ESch"/>
        <w:rPr>
          <w:i/>
          <w:szCs w:val="20"/>
          <w:lang w:val="bg-BG"/>
        </w:rPr>
      </w:pPr>
    </w:p>
    <w:p w:rsidR="003D2554" w:rsidRPr="009072DA" w:rsidRDefault="003D2554" w:rsidP="003D2554">
      <w:pPr>
        <w:pStyle w:val="ESch"/>
        <w:rPr>
          <w:rFonts w:cs="Arial"/>
          <w:szCs w:val="20"/>
          <w:lang w:val="bg-BG"/>
        </w:rPr>
      </w:pPr>
      <w:r w:rsidRPr="009072DA">
        <w:rPr>
          <w:lang w:val="bg-BG"/>
        </w:rPr>
        <w:t xml:space="preserve">1. </w:t>
      </w:r>
      <w:r w:rsidRPr="009072DA">
        <w:rPr>
          <w:lang w:val="bg-BG"/>
        </w:rPr>
        <w:tab/>
        <w:t>Целият рангоут трябва да е изработен от висококачествени материали.</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2. </w:t>
      </w:r>
      <w:r w:rsidRPr="009072DA">
        <w:rPr>
          <w:lang w:val="bg-BG"/>
        </w:rPr>
        <w:tab/>
        <w:t>Дървото за мачти трябва:</w:t>
      </w:r>
    </w:p>
    <w:p w:rsidR="003D2554" w:rsidRPr="009072DA" w:rsidRDefault="005C7859" w:rsidP="003D2554">
      <w:pPr>
        <w:pStyle w:val="ESlet"/>
        <w:rPr>
          <w:rFonts w:cs="Arial"/>
          <w:lang w:val="bg-BG"/>
        </w:rPr>
      </w:pPr>
      <w:r w:rsidRPr="009072DA">
        <w:rPr>
          <w:lang w:val="bg-BG"/>
        </w:rPr>
        <w:t>a)</w:t>
      </w:r>
      <w:r w:rsidRPr="009072DA">
        <w:rPr>
          <w:lang w:val="bg-BG"/>
        </w:rPr>
        <w:tab/>
        <w:t>да е без натрупвания на чепове;</w:t>
      </w:r>
    </w:p>
    <w:p w:rsidR="003D2554" w:rsidRPr="009072DA" w:rsidRDefault="005C7859" w:rsidP="003D2554">
      <w:pPr>
        <w:pStyle w:val="ESlet"/>
        <w:rPr>
          <w:rFonts w:cs="Arial"/>
          <w:lang w:val="bg-BG"/>
        </w:rPr>
      </w:pPr>
      <w:r w:rsidRPr="009072DA">
        <w:rPr>
          <w:lang w:val="bg-BG"/>
        </w:rPr>
        <w:t>б)</w:t>
      </w:r>
      <w:r w:rsidRPr="009072DA">
        <w:rPr>
          <w:lang w:val="bg-BG"/>
        </w:rPr>
        <w:tab/>
        <w:t>да няма беловина в рамките на изискваните размери;</w:t>
      </w:r>
    </w:p>
    <w:p w:rsidR="003D2554" w:rsidRPr="009072DA" w:rsidRDefault="003D2554" w:rsidP="003D2554">
      <w:pPr>
        <w:pStyle w:val="ESlet"/>
        <w:rPr>
          <w:rFonts w:cs="Arial"/>
          <w:lang w:val="bg-BG"/>
        </w:rPr>
      </w:pPr>
      <w:r w:rsidRPr="009072DA">
        <w:rPr>
          <w:lang w:val="bg-BG"/>
        </w:rPr>
        <w:t xml:space="preserve">в) </w:t>
      </w:r>
      <w:r w:rsidRPr="009072DA">
        <w:rPr>
          <w:lang w:val="bg-BG"/>
        </w:rPr>
        <w:tab/>
        <w:t>доколкото е възможно да е правожилно;</w:t>
      </w:r>
    </w:p>
    <w:p w:rsidR="003D2554" w:rsidRPr="009072DA" w:rsidRDefault="003D2554" w:rsidP="003D2554">
      <w:pPr>
        <w:pStyle w:val="ESlet"/>
        <w:rPr>
          <w:rFonts w:cs="Arial"/>
          <w:lang w:val="bg-BG"/>
        </w:rPr>
      </w:pPr>
      <w:r w:rsidRPr="009072DA">
        <w:rPr>
          <w:lang w:val="bg-BG"/>
        </w:rPr>
        <w:t>г)</w:t>
      </w:r>
      <w:r w:rsidRPr="009072DA">
        <w:rPr>
          <w:lang w:val="bg-BG"/>
        </w:rPr>
        <w:tab/>
        <w:t>да съдържа колкото е възможно по-малко витораслост.</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3.</w:t>
      </w:r>
      <w:r w:rsidRPr="009072DA">
        <w:rPr>
          <w:lang w:val="bg-BG"/>
        </w:rPr>
        <w:tab/>
        <w:t>Ако избраната дървесина е или обикновен твърд бор, или орегонски бор с високо качество, диаметрите в таблиците, дадени в членове 20.07 — 20.12, могат да бъдат намалени с 5 %.</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4.</w:t>
      </w:r>
      <w:r w:rsidRPr="009072DA">
        <w:rPr>
          <w:lang w:val="bg-BG"/>
        </w:rPr>
        <w:tab/>
        <w:t>Ако дървесините, използвани за мачти, стенги, нок реи, гикове и бушприти, не са кръгли като напречно сечение, тези дървесини трябва да имат равностойна якост.</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5.</w:t>
      </w:r>
      <w:r w:rsidRPr="009072DA">
        <w:rPr>
          <w:lang w:val="bg-BG"/>
        </w:rPr>
        <w:tab/>
        <w:t>Основите на мачтите, стволовете и скрепленията им върху палубата, подовата настилка и на форщевена и кърмата са построени по такъв начин, че или да могат да поемат натоварванията, на които са подложени, или да ги предават на други свързани елементи от конструкцията.</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6. </w:t>
      </w:r>
      <w:r w:rsidRPr="009072DA">
        <w:rPr>
          <w:lang w:val="bg-BG"/>
        </w:rPr>
        <w:tab/>
        <w:t>В зависимост от устойчивостта на плавателния съд и външните сили, на които е подложен, а също и разпределението на наличната площ на платната, контролният орган има право, въз основа на размерите, указани в членове от 20.07 до 20.12, да разреши намаляване на напречните сечения на елементите на рангоута и, където е уместно, на такелажа. Доказателствата се представят в съответствие с член 20.05, точка 2.</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7.</w:t>
      </w:r>
      <w:r w:rsidRPr="009072DA">
        <w:rPr>
          <w:lang w:val="bg-BG"/>
        </w:rPr>
        <w:tab/>
        <w:t>В случай че периодът на колебание/периодът на напречно бордово клатене на плавателния съд в секунди е по-малък от три четвърти от дължината му в метри, размерите, указани в членове от 20.07 до 20.12, се завишават. Доказателствата се представят в съответствие с член 20.05, точка 2.</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8. </w:t>
      </w:r>
      <w:r w:rsidRPr="009072DA">
        <w:rPr>
          <w:lang w:val="bg-BG"/>
        </w:rPr>
        <w:tab/>
        <w:t xml:space="preserve">В таблиците, дадени в членове 20.07 — 20.12 и 20.14, евентуални междинни стойности се получават чрез интерполиране. </w:t>
      </w:r>
    </w:p>
    <w:p w:rsidR="003D2554" w:rsidRPr="009072DA" w:rsidRDefault="003D2554" w:rsidP="000E2CDC">
      <w:pPr>
        <w:pStyle w:val="ESch"/>
        <w:rPr>
          <w:rFonts w:cs="Arial"/>
          <w:szCs w:val="20"/>
          <w:lang w:val="bg-BG"/>
        </w:rPr>
      </w:pPr>
    </w:p>
    <w:p w:rsidR="003D2554" w:rsidRPr="009072DA" w:rsidRDefault="003D2554" w:rsidP="000E2CDC">
      <w:pPr>
        <w:pStyle w:val="ESch"/>
        <w:rPr>
          <w:rFonts w:cs="Arial"/>
          <w:szCs w:val="20"/>
          <w:lang w:val="bg-BG"/>
        </w:rPr>
      </w:pPr>
    </w:p>
    <w:p w:rsidR="003D2554" w:rsidRPr="009072DA" w:rsidRDefault="003D2554" w:rsidP="003D2554">
      <w:pPr>
        <w:pStyle w:val="ES-Titre3"/>
        <w:rPr>
          <w:rFonts w:cs="Arial"/>
          <w:i/>
          <w:lang w:val="bg-BG"/>
        </w:rPr>
      </w:pPr>
      <w:bookmarkStart w:id="389" w:name="_Toc491854192"/>
      <w:bookmarkStart w:id="390" w:name="_Toc535827633"/>
      <w:r w:rsidRPr="009072DA">
        <w:rPr>
          <w:lang w:val="bg-BG"/>
        </w:rPr>
        <w:t>Член 20.07</w:t>
      </w:r>
      <w:r w:rsidRPr="009072DA">
        <w:rPr>
          <w:lang w:val="bg-BG"/>
        </w:rPr>
        <w:br/>
      </w:r>
      <w:r w:rsidRPr="009072DA">
        <w:rPr>
          <w:i/>
          <w:lang w:val="bg-BG"/>
        </w:rPr>
        <w:t>Специални разпоредби за мачтите</w:t>
      </w:r>
      <w:bookmarkEnd w:id="389"/>
      <w:bookmarkEnd w:id="390"/>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1. </w:t>
      </w:r>
      <w:r w:rsidRPr="009072DA">
        <w:rPr>
          <w:lang w:val="bg-BG"/>
        </w:rPr>
        <w:tab/>
        <w:t>Мачтите от дърво трябва да отговарят на следните минимални изисквания:</w:t>
      </w:r>
    </w:p>
    <w:p w:rsidR="003D2554" w:rsidRPr="009072DA" w:rsidRDefault="003D2554" w:rsidP="003D2554">
      <w:pPr>
        <w:pStyle w:val="ESch"/>
        <w:rPr>
          <w:szCs w:val="20"/>
          <w:lang w:val="bg-BG"/>
        </w:rPr>
      </w:pPr>
    </w:p>
    <w:tbl>
      <w:tblPr>
        <w:tblW w:w="0" w:type="auto"/>
        <w:jc w:val="center"/>
        <w:tblLayout w:type="fixed"/>
        <w:tblLook w:val="0000" w:firstRow="0" w:lastRow="0" w:firstColumn="0" w:lastColumn="0" w:noHBand="0" w:noVBand="0"/>
      </w:tblPr>
      <w:tblGrid>
        <w:gridCol w:w="1871"/>
        <w:gridCol w:w="1871"/>
        <w:gridCol w:w="1871"/>
        <w:gridCol w:w="1871"/>
      </w:tblGrid>
      <w:tr w:rsidR="003D2554" w:rsidRPr="009072DA" w:rsidTr="003D2554">
        <w:trPr>
          <w:cantSplit/>
          <w:tblHeader/>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Centered"/>
              <w:spacing w:before="20" w:after="20" w:line="240" w:lineRule="atLeast"/>
              <w:rPr>
                <w:rFonts w:cs="Arial"/>
                <w:sz w:val="18"/>
                <w:szCs w:val="18"/>
                <w:lang w:val="bg-BG"/>
              </w:rPr>
            </w:pPr>
            <w:r w:rsidRPr="009072DA">
              <w:rPr>
                <w:sz w:val="18"/>
                <w:lang w:val="bg-BG"/>
              </w:rPr>
              <w:t>Дължина</w:t>
            </w:r>
            <w:r w:rsidRPr="009072DA">
              <w:rPr>
                <w:rStyle w:val="FootnoteReference"/>
                <w:sz w:val="18"/>
                <w:lang w:val="bg-BG"/>
              </w:rPr>
              <w:footnoteReference w:id="12"/>
            </w:r>
            <w:r w:rsidRPr="009072DA">
              <w:rPr>
                <w:rFonts w:cs="Arial"/>
                <w:sz w:val="18"/>
                <w:szCs w:val="18"/>
                <w:lang w:val="bg-BG"/>
              </w:rPr>
              <w:br/>
            </w:r>
            <w:r w:rsidRPr="009072DA">
              <w:rPr>
                <w:sz w:val="18"/>
                <w:lang w:val="bg-BG"/>
              </w:rPr>
              <w:t>[m]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94498">
            <w:pPr>
              <w:pStyle w:val="NormalCentered"/>
              <w:spacing w:before="20" w:after="20" w:line="240" w:lineRule="atLeast"/>
              <w:rPr>
                <w:rFonts w:cs="Arial"/>
                <w:sz w:val="18"/>
                <w:szCs w:val="18"/>
                <w:lang w:val="bg-BG"/>
              </w:rPr>
            </w:pPr>
            <w:r w:rsidRPr="009072DA">
              <w:rPr>
                <w:sz w:val="18"/>
                <w:lang w:val="bg-BG"/>
              </w:rPr>
              <w:t>Диаметър върху палубата</w:t>
            </w:r>
            <w:r w:rsidRPr="009072DA">
              <w:rPr>
                <w:rFonts w:cs="Arial"/>
                <w:sz w:val="18"/>
                <w:szCs w:val="18"/>
                <w:lang w:val="bg-BG"/>
              </w:rPr>
              <w:br/>
            </w:r>
            <w:r w:rsidRPr="009072DA">
              <w:rPr>
                <w:sz w:val="18"/>
                <w:lang w:val="bg-BG"/>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94498">
            <w:pPr>
              <w:pStyle w:val="NormalCentered"/>
              <w:spacing w:before="20" w:after="20" w:line="240" w:lineRule="atLeast"/>
              <w:rPr>
                <w:rFonts w:cs="Arial"/>
                <w:sz w:val="18"/>
                <w:szCs w:val="18"/>
                <w:lang w:val="bg-BG"/>
              </w:rPr>
            </w:pPr>
            <w:r w:rsidRPr="009072DA">
              <w:rPr>
                <w:sz w:val="18"/>
                <w:lang w:val="bg-BG"/>
              </w:rPr>
              <w:t>Диаметър на салинга</w:t>
            </w:r>
            <w:r w:rsidRPr="009072DA">
              <w:rPr>
                <w:rFonts w:cs="Arial"/>
                <w:sz w:val="18"/>
                <w:szCs w:val="18"/>
                <w:lang w:val="bg-BG"/>
              </w:rPr>
              <w:br/>
            </w:r>
            <w:r w:rsidRPr="009072DA">
              <w:rPr>
                <w:sz w:val="18"/>
                <w:lang w:val="bg-BG"/>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94498">
            <w:pPr>
              <w:pStyle w:val="NormalCentered"/>
              <w:spacing w:before="20" w:after="20" w:line="240" w:lineRule="atLeast"/>
              <w:rPr>
                <w:rFonts w:cs="Arial"/>
                <w:sz w:val="18"/>
                <w:szCs w:val="18"/>
                <w:lang w:val="bg-BG"/>
              </w:rPr>
            </w:pPr>
            <w:r w:rsidRPr="009072DA">
              <w:rPr>
                <w:sz w:val="18"/>
                <w:lang w:val="bg-BG"/>
              </w:rPr>
              <w:t>Диаметър върху езелхофта</w:t>
            </w:r>
            <w:r w:rsidRPr="009072DA">
              <w:rPr>
                <w:rFonts w:cs="Arial"/>
                <w:sz w:val="18"/>
                <w:szCs w:val="18"/>
                <w:lang w:val="bg-BG"/>
              </w:rPr>
              <w:br/>
            </w:r>
            <w:r w:rsidRPr="009072DA">
              <w:rPr>
                <w:sz w:val="18"/>
                <w:lang w:val="bg-BG"/>
              </w:rPr>
              <w:t>[cm]</w:t>
            </w:r>
          </w:p>
        </w:tc>
      </w:tr>
      <w:tr w:rsidR="003D2554" w:rsidRPr="009072D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17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15</w:t>
            </w:r>
          </w:p>
        </w:tc>
      </w:tr>
      <w:tr w:rsidR="003D2554" w:rsidRPr="009072D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17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15</w:t>
            </w:r>
          </w:p>
        </w:tc>
      </w:tr>
      <w:tr w:rsidR="003D2554" w:rsidRPr="009072D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12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24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19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17</w:t>
            </w:r>
          </w:p>
        </w:tc>
      </w:tr>
      <w:tr w:rsidR="003D2554" w:rsidRPr="009072D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26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21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18</w:t>
            </w:r>
          </w:p>
        </w:tc>
      </w:tr>
      <w:tr w:rsidR="003D2554" w:rsidRPr="009072D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14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28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23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19</w:t>
            </w:r>
          </w:p>
        </w:tc>
      </w:tr>
      <w:tr w:rsidR="003D2554" w:rsidRPr="009072D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15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30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21</w:t>
            </w:r>
          </w:p>
        </w:tc>
      </w:tr>
      <w:tr w:rsidR="003D2554" w:rsidRPr="009072D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16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32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26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E2CDC">
            <w:pPr>
              <w:pStyle w:val="NormalLeft"/>
              <w:spacing w:before="40" w:after="20" w:line="240" w:lineRule="atLeast"/>
              <w:jc w:val="center"/>
              <w:rPr>
                <w:rFonts w:cs="Arial"/>
                <w:sz w:val="18"/>
                <w:szCs w:val="18"/>
                <w:lang w:val="bg-BG"/>
              </w:rPr>
            </w:pPr>
            <w:r w:rsidRPr="009072DA">
              <w:rPr>
                <w:sz w:val="18"/>
                <w:lang w:val="bg-BG"/>
              </w:rPr>
              <w:t>22</w:t>
            </w:r>
          </w:p>
        </w:tc>
      </w:tr>
      <w:tr w:rsidR="003D2554" w:rsidRPr="009072D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17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34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28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23</w:t>
            </w:r>
          </w:p>
        </w:tc>
      </w:tr>
      <w:tr w:rsidR="003D2554" w:rsidRPr="009072D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36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29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24</w:t>
            </w:r>
          </w:p>
        </w:tc>
      </w:tr>
      <w:tr w:rsidR="003D2554" w:rsidRPr="009072D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19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39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31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25</w:t>
            </w:r>
          </w:p>
        </w:tc>
      </w:tr>
      <w:tr w:rsidR="003D2554" w:rsidRPr="009072D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41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33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26</w:t>
            </w:r>
          </w:p>
        </w:tc>
      </w:tr>
      <w:tr w:rsidR="003D2554" w:rsidRPr="009072D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21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43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34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28</w:t>
            </w:r>
          </w:p>
        </w:tc>
      </w:tr>
      <w:tr w:rsidR="003D2554" w:rsidRPr="009072D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44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35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29</w:t>
            </w:r>
          </w:p>
        </w:tc>
      </w:tr>
      <w:tr w:rsidR="003D2554" w:rsidRPr="009072D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23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46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37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30</w:t>
            </w:r>
          </w:p>
        </w:tc>
      </w:tr>
      <w:tr w:rsidR="003D2554" w:rsidRPr="009072D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24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49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39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32</w:t>
            </w:r>
          </w:p>
        </w:tc>
      </w:tr>
      <w:tr w:rsidR="003D2554" w:rsidRPr="009072D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51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41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147283">
            <w:pPr>
              <w:pStyle w:val="NormalLeft"/>
              <w:spacing w:before="20" w:after="20" w:line="240" w:lineRule="atLeast"/>
              <w:jc w:val="center"/>
              <w:rPr>
                <w:rFonts w:cs="Arial"/>
                <w:sz w:val="18"/>
                <w:szCs w:val="18"/>
                <w:lang w:val="bg-BG"/>
              </w:rPr>
            </w:pPr>
            <w:r w:rsidRPr="009072DA">
              <w:rPr>
                <w:sz w:val="18"/>
                <w:lang w:val="bg-BG"/>
              </w:rPr>
              <w:t>33</w:t>
            </w:r>
          </w:p>
        </w:tc>
      </w:tr>
    </w:tbl>
    <w:p w:rsidR="00147283" w:rsidRPr="009072DA" w:rsidRDefault="00147283" w:rsidP="003D2554">
      <w:pPr>
        <w:pStyle w:val="ESchpar"/>
        <w:rPr>
          <w:lang w:val="bg-BG"/>
        </w:rPr>
      </w:pPr>
    </w:p>
    <w:p w:rsidR="003D2554" w:rsidRPr="009072DA" w:rsidRDefault="003D2554" w:rsidP="003D2554">
      <w:pPr>
        <w:pStyle w:val="ESchpar"/>
        <w:rPr>
          <w:rFonts w:cs="Arial"/>
          <w:lang w:val="bg-BG"/>
        </w:rPr>
      </w:pPr>
      <w:r w:rsidRPr="009072DA">
        <w:rPr>
          <w:lang w:val="bg-BG"/>
        </w:rPr>
        <w:t>Ако мачтата има две реи, диаметрите се увеличават с не по-малко от 10 %.</w:t>
      </w:r>
    </w:p>
    <w:p w:rsidR="003D2554" w:rsidRPr="009072DA" w:rsidRDefault="003D2554" w:rsidP="003D2554">
      <w:pPr>
        <w:pStyle w:val="ESchpar"/>
        <w:rPr>
          <w:lang w:val="bg-BG"/>
        </w:rPr>
      </w:pPr>
    </w:p>
    <w:p w:rsidR="003D2554" w:rsidRPr="009072DA" w:rsidRDefault="003D2554" w:rsidP="003D2554">
      <w:pPr>
        <w:pStyle w:val="ESchpar"/>
        <w:rPr>
          <w:rFonts w:cs="Arial"/>
          <w:lang w:val="bg-BG"/>
        </w:rPr>
      </w:pPr>
      <w:r w:rsidRPr="009072DA">
        <w:rPr>
          <w:lang w:val="bg-BG"/>
        </w:rPr>
        <w:t>Ако мачтата има повече от две реи, диаметрите се увеличават с не по-малко от 15 %.</w:t>
      </w:r>
    </w:p>
    <w:p w:rsidR="003D2554" w:rsidRPr="009072DA" w:rsidRDefault="003D2554" w:rsidP="003D2554">
      <w:pPr>
        <w:pStyle w:val="ESchpar"/>
        <w:rPr>
          <w:lang w:val="bg-BG"/>
        </w:rPr>
      </w:pPr>
    </w:p>
    <w:p w:rsidR="003D2554" w:rsidRPr="009072DA" w:rsidRDefault="003D2554" w:rsidP="003D2554">
      <w:pPr>
        <w:pStyle w:val="ESchpar"/>
        <w:rPr>
          <w:rFonts w:cs="Arial"/>
          <w:lang w:val="bg-BG"/>
        </w:rPr>
      </w:pPr>
      <w:r w:rsidRPr="009072DA">
        <w:rPr>
          <w:lang w:val="bg-BG"/>
        </w:rPr>
        <w:t>Когато мачтите преминават през палубата, диаметърът на мачтата в долната ѝ част е не по-малко от 75 % от диаметъра на мачтата на равнището палубата.</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2. </w:t>
      </w:r>
      <w:r w:rsidRPr="009072DA">
        <w:rPr>
          <w:lang w:val="bg-BG"/>
        </w:rPr>
        <w:tab/>
        <w:t>Оборудването на мачтата, мачтовите бугели, салингите и езелхофтите на мачтата трябва да са оразмерени и закрепени достатъчно здраво.</w:t>
      </w:r>
    </w:p>
    <w:p w:rsidR="003D2554" w:rsidRPr="009072DA" w:rsidRDefault="003D2554" w:rsidP="003D2554">
      <w:pPr>
        <w:pStyle w:val="ESch"/>
        <w:rPr>
          <w:rFonts w:cs="Arial"/>
          <w:szCs w:val="20"/>
          <w:lang w:val="bg-BG"/>
        </w:rPr>
      </w:pPr>
    </w:p>
    <w:p w:rsidR="003D2554" w:rsidRPr="009072DA" w:rsidRDefault="003D2554" w:rsidP="003D2554">
      <w:pPr>
        <w:pStyle w:val="ESch"/>
        <w:rPr>
          <w:rFonts w:cs="Arial"/>
          <w:szCs w:val="20"/>
          <w:lang w:val="bg-BG"/>
        </w:rPr>
      </w:pPr>
    </w:p>
    <w:p w:rsidR="003D2554" w:rsidRPr="009072DA" w:rsidRDefault="003D2554" w:rsidP="003D2554">
      <w:pPr>
        <w:pStyle w:val="ES-Titre3"/>
        <w:rPr>
          <w:rFonts w:cs="Arial"/>
          <w:i/>
          <w:lang w:val="bg-BG"/>
        </w:rPr>
      </w:pPr>
      <w:bookmarkStart w:id="391" w:name="_Toc491854193"/>
      <w:bookmarkStart w:id="392" w:name="_Toc535827634"/>
      <w:r w:rsidRPr="009072DA">
        <w:rPr>
          <w:lang w:val="bg-BG"/>
        </w:rPr>
        <w:t>Член 20.08</w:t>
      </w:r>
      <w:r w:rsidRPr="009072DA">
        <w:rPr>
          <w:lang w:val="bg-BG"/>
        </w:rPr>
        <w:br/>
      </w:r>
      <w:r w:rsidRPr="009072DA">
        <w:rPr>
          <w:i/>
          <w:lang w:val="bg-BG"/>
        </w:rPr>
        <w:t>Специални разпоредби за стенгите</w:t>
      </w:r>
      <w:bookmarkEnd w:id="391"/>
      <w:bookmarkEnd w:id="392"/>
    </w:p>
    <w:p w:rsidR="003D2554" w:rsidRPr="009072DA" w:rsidRDefault="003D2554" w:rsidP="003D2554">
      <w:pPr>
        <w:pStyle w:val="ESch"/>
        <w:rPr>
          <w:szCs w:val="20"/>
          <w:lang w:val="bg-BG"/>
        </w:rPr>
      </w:pPr>
    </w:p>
    <w:p w:rsidR="003D2554" w:rsidRPr="009072DA" w:rsidRDefault="003D2554" w:rsidP="003D2554">
      <w:pPr>
        <w:pStyle w:val="ESch"/>
        <w:rPr>
          <w:szCs w:val="20"/>
          <w:lang w:val="bg-BG"/>
        </w:rPr>
      </w:pPr>
      <w:r w:rsidRPr="009072DA">
        <w:rPr>
          <w:lang w:val="bg-BG"/>
        </w:rPr>
        <w:t>1.</w:t>
      </w:r>
      <w:r w:rsidRPr="009072DA">
        <w:rPr>
          <w:lang w:val="bg-BG"/>
        </w:rPr>
        <w:tab/>
        <w:t>Дървените стенги трябва да отговарят на следните минимални изисквания:</w:t>
      </w:r>
    </w:p>
    <w:p w:rsidR="003D2554" w:rsidRPr="009072DA" w:rsidRDefault="003D2554" w:rsidP="003D2554">
      <w:pPr>
        <w:pStyle w:val="ESch"/>
        <w:rPr>
          <w:rFonts w:cs="Arial"/>
          <w:szCs w:val="20"/>
          <w:lang w:val="bg-BG"/>
        </w:rPr>
      </w:pPr>
    </w:p>
    <w:tbl>
      <w:tblPr>
        <w:tblW w:w="0" w:type="auto"/>
        <w:jc w:val="center"/>
        <w:tblLayout w:type="fixed"/>
        <w:tblLook w:val="0000" w:firstRow="0" w:lastRow="0" w:firstColumn="0" w:lastColumn="0" w:noHBand="0" w:noVBand="0"/>
      </w:tblPr>
      <w:tblGrid>
        <w:gridCol w:w="1871"/>
        <w:gridCol w:w="1871"/>
        <w:gridCol w:w="1871"/>
        <w:gridCol w:w="1871"/>
      </w:tblGrid>
      <w:tr w:rsidR="003D2554" w:rsidRPr="008D2440"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0323C7">
            <w:pPr>
              <w:pStyle w:val="NormalCentered"/>
              <w:spacing w:before="60" w:after="60" w:line="240" w:lineRule="atLeast"/>
              <w:rPr>
                <w:rFonts w:cs="Arial"/>
                <w:sz w:val="18"/>
                <w:szCs w:val="18"/>
                <w:lang w:val="bg-BG"/>
              </w:rPr>
            </w:pPr>
            <w:r w:rsidRPr="009072DA">
              <w:rPr>
                <w:sz w:val="18"/>
                <w:lang w:val="bg-BG"/>
              </w:rPr>
              <w:t>Дължина</w:t>
            </w:r>
            <w:r w:rsidRPr="009072DA">
              <w:rPr>
                <w:rStyle w:val="FootnoteReference"/>
                <w:sz w:val="18"/>
                <w:lang w:val="bg-BG"/>
              </w:rPr>
              <w:footnoteReference w:id="13"/>
            </w:r>
            <w:r w:rsidRPr="009072DA">
              <w:rPr>
                <w:rFonts w:cs="Arial"/>
                <w:sz w:val="18"/>
                <w:szCs w:val="18"/>
                <w:lang w:val="bg-BG"/>
              </w:rPr>
              <w:br/>
            </w:r>
            <w:r w:rsidRPr="009072DA">
              <w:rPr>
                <w:sz w:val="18"/>
                <w:lang w:val="bg-BG"/>
              </w:rPr>
              <w:t>[m]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Centered"/>
              <w:spacing w:before="60" w:after="60" w:line="240" w:lineRule="atLeast"/>
              <w:rPr>
                <w:rFonts w:cs="Arial"/>
                <w:sz w:val="18"/>
                <w:szCs w:val="18"/>
                <w:lang w:val="bg-BG"/>
              </w:rPr>
            </w:pPr>
            <w:r w:rsidRPr="009072DA">
              <w:rPr>
                <w:sz w:val="18"/>
                <w:lang w:val="bg-BG"/>
              </w:rPr>
              <w:t>Диаметър в долната част</w:t>
            </w:r>
            <w:r w:rsidRPr="009072DA">
              <w:rPr>
                <w:rFonts w:cs="Arial"/>
                <w:sz w:val="18"/>
                <w:szCs w:val="18"/>
                <w:lang w:val="bg-BG"/>
              </w:rPr>
              <w:br/>
            </w:r>
            <w:r w:rsidRPr="009072DA">
              <w:rPr>
                <w:sz w:val="18"/>
                <w:lang w:val="bg-BG"/>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Centered"/>
              <w:spacing w:before="60" w:after="60" w:line="240" w:lineRule="atLeast"/>
              <w:rPr>
                <w:rFonts w:cs="Arial"/>
                <w:sz w:val="18"/>
                <w:szCs w:val="18"/>
                <w:lang w:val="bg-BG"/>
              </w:rPr>
            </w:pPr>
            <w:r w:rsidRPr="009072DA">
              <w:rPr>
                <w:sz w:val="18"/>
                <w:lang w:val="bg-BG"/>
              </w:rPr>
              <w:t>Диаметър на половината дължина</w:t>
            </w:r>
            <w:r w:rsidRPr="009072DA">
              <w:rPr>
                <w:rFonts w:cs="Arial"/>
                <w:sz w:val="18"/>
                <w:szCs w:val="18"/>
                <w:lang w:val="bg-BG"/>
              </w:rPr>
              <w:br/>
            </w:r>
            <w:r w:rsidRPr="009072DA">
              <w:rPr>
                <w:sz w:val="18"/>
                <w:lang w:val="bg-BG"/>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Centered"/>
              <w:spacing w:before="60" w:after="60" w:line="240" w:lineRule="atLeast"/>
              <w:rPr>
                <w:rFonts w:cs="Arial"/>
                <w:sz w:val="18"/>
                <w:szCs w:val="18"/>
                <w:lang w:val="bg-BG"/>
              </w:rPr>
            </w:pPr>
            <w:r w:rsidRPr="009072DA">
              <w:rPr>
                <w:sz w:val="18"/>
                <w:lang w:val="bg-BG"/>
              </w:rPr>
              <w:t>Диаметър при мястото на фиксиране</w:t>
            </w:r>
            <w:r w:rsidRPr="009072DA">
              <w:rPr>
                <w:rStyle w:val="FootnoteReference"/>
                <w:sz w:val="18"/>
                <w:lang w:val="bg-BG"/>
              </w:rPr>
              <w:footnoteReference w:id="14"/>
            </w:r>
            <w:r w:rsidRPr="009072DA">
              <w:rPr>
                <w:rFonts w:cs="Arial"/>
                <w:sz w:val="18"/>
                <w:szCs w:val="18"/>
                <w:lang w:val="bg-BG"/>
              </w:rPr>
              <w:br/>
            </w:r>
            <w:r w:rsidRPr="009072DA">
              <w:rPr>
                <w:sz w:val="18"/>
                <w:lang w:val="bg-BG"/>
              </w:rPr>
              <w:t>[cm]</w:t>
            </w:r>
          </w:p>
        </w:tc>
      </w:tr>
      <w:tr w:rsidR="003D2554" w:rsidRPr="009072D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6</w:t>
            </w:r>
          </w:p>
        </w:tc>
      </w:tr>
      <w:tr w:rsidR="003D2554" w:rsidRPr="009072D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7</w:t>
            </w:r>
          </w:p>
        </w:tc>
      </w:tr>
      <w:tr w:rsidR="003D2554" w:rsidRPr="009072D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8</w:t>
            </w:r>
          </w:p>
        </w:tc>
      </w:tr>
      <w:tr w:rsidR="003D2554" w:rsidRPr="009072D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10</w:t>
            </w:r>
          </w:p>
        </w:tc>
      </w:tr>
      <w:tr w:rsidR="003D2554" w:rsidRPr="009072D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11</w:t>
            </w:r>
          </w:p>
        </w:tc>
      </w:tr>
      <w:tr w:rsidR="003D2554" w:rsidRPr="009072D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13</w:t>
            </w:r>
          </w:p>
        </w:tc>
      </w:tr>
      <w:tr w:rsidR="003D2554" w:rsidRPr="009072D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15</w:t>
            </w:r>
          </w:p>
        </w:tc>
      </w:tr>
      <w:tr w:rsidR="003D2554" w:rsidRPr="009072D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23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16</w:t>
            </w:r>
          </w:p>
        </w:tc>
      </w:tr>
      <w:tr w:rsidR="003D2554" w:rsidRPr="009072D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17</w:t>
            </w:r>
          </w:p>
        </w:tc>
      </w:tr>
      <w:tr w:rsidR="003D2554" w:rsidRPr="009072D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26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24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18</w:t>
            </w:r>
          </w:p>
        </w:tc>
      </w:tr>
      <w:tr w:rsidR="003D2554" w:rsidRPr="009072D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28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20</w:t>
            </w:r>
          </w:p>
        </w:tc>
      </w:tr>
      <w:tr w:rsidR="003D2554" w:rsidRPr="009072D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15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31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27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B2265">
            <w:pPr>
              <w:pStyle w:val="NormalLeft"/>
              <w:spacing w:before="60" w:after="60" w:line="240" w:lineRule="atLeast"/>
              <w:jc w:val="center"/>
              <w:rPr>
                <w:rFonts w:cs="Arial"/>
                <w:sz w:val="18"/>
                <w:szCs w:val="18"/>
                <w:lang w:val="bg-BG"/>
              </w:rPr>
            </w:pPr>
            <w:r w:rsidRPr="009072DA">
              <w:rPr>
                <w:sz w:val="18"/>
                <w:lang w:val="bg-BG"/>
              </w:rPr>
              <w:t>21</w:t>
            </w:r>
          </w:p>
        </w:tc>
      </w:tr>
    </w:tbl>
    <w:p w:rsidR="003D2554" w:rsidRPr="009072DA" w:rsidRDefault="003D2554" w:rsidP="003D2554">
      <w:pPr>
        <w:pStyle w:val="ESch"/>
        <w:rPr>
          <w:szCs w:val="20"/>
          <w:lang w:val="bg-BG"/>
        </w:rPr>
      </w:pPr>
    </w:p>
    <w:p w:rsidR="003D2554" w:rsidRPr="009072DA" w:rsidRDefault="003D2554" w:rsidP="003D2554">
      <w:pPr>
        <w:pStyle w:val="ESchpar"/>
        <w:rPr>
          <w:rFonts w:cs="Arial"/>
          <w:lang w:val="bg-BG"/>
        </w:rPr>
      </w:pPr>
      <w:r w:rsidRPr="009072DA">
        <w:rPr>
          <w:lang w:val="bg-BG"/>
        </w:rPr>
        <w:t>Ако към стенгата са закрепени квадратни платна, размерите, посочени в таблицата, се увеличават с 10 %.</w:t>
      </w:r>
    </w:p>
    <w:p w:rsidR="003D2554" w:rsidRPr="009072DA" w:rsidRDefault="003D2554" w:rsidP="003D2554">
      <w:pPr>
        <w:pStyle w:val="ESch"/>
        <w:rPr>
          <w:szCs w:val="20"/>
          <w:lang w:val="bg-BG"/>
        </w:rPr>
      </w:pPr>
    </w:p>
    <w:p w:rsidR="000E2CDC" w:rsidRPr="009072DA" w:rsidRDefault="000E2CDC">
      <w:pPr>
        <w:rPr>
          <w:szCs w:val="20"/>
          <w:lang w:val="bg-BG"/>
        </w:rPr>
      </w:pPr>
      <w:r w:rsidRPr="009072DA">
        <w:rPr>
          <w:lang w:val="bg-BG"/>
        </w:rPr>
        <w:br w:type="page"/>
      </w:r>
    </w:p>
    <w:p w:rsidR="003D2554" w:rsidRPr="009072DA" w:rsidRDefault="000E2CDC" w:rsidP="003D2554">
      <w:pPr>
        <w:pStyle w:val="ESch"/>
        <w:rPr>
          <w:rFonts w:cs="Arial"/>
          <w:szCs w:val="20"/>
          <w:lang w:val="bg-BG"/>
        </w:rPr>
      </w:pPr>
      <w:r w:rsidRPr="009072DA">
        <w:rPr>
          <w:lang w:val="bg-BG"/>
        </w:rPr>
        <w:lastRenderedPageBreak/>
        <w:t>2.</w:t>
      </w:r>
      <w:r w:rsidRPr="009072DA">
        <w:rPr>
          <w:lang w:val="bg-BG"/>
        </w:rPr>
        <w:tab/>
        <w:t>Застъпването между стенгата и мачтата е най-малко 10 пъти по-голямо от изисквания диаметър на основата на стенгата.</w:t>
      </w:r>
    </w:p>
    <w:p w:rsidR="003D2554" w:rsidRPr="009072DA" w:rsidRDefault="003D2554" w:rsidP="003D2554">
      <w:pPr>
        <w:pStyle w:val="ESch"/>
        <w:rPr>
          <w:rFonts w:cs="Arial"/>
          <w:szCs w:val="20"/>
          <w:lang w:val="bg-BG"/>
        </w:rPr>
      </w:pPr>
    </w:p>
    <w:p w:rsidR="00147283" w:rsidRPr="009072DA" w:rsidRDefault="00147283" w:rsidP="003D2554">
      <w:pPr>
        <w:pStyle w:val="ESch"/>
        <w:rPr>
          <w:rFonts w:cs="Arial"/>
          <w:szCs w:val="20"/>
          <w:lang w:val="bg-BG"/>
        </w:rPr>
      </w:pPr>
    </w:p>
    <w:p w:rsidR="003D2554" w:rsidRPr="009072DA" w:rsidRDefault="003D2554" w:rsidP="003D2554">
      <w:pPr>
        <w:pStyle w:val="ES-Titre3"/>
        <w:rPr>
          <w:rFonts w:cs="Arial"/>
          <w:i/>
          <w:lang w:val="bg-BG"/>
        </w:rPr>
      </w:pPr>
      <w:bookmarkStart w:id="393" w:name="_Toc491854194"/>
      <w:bookmarkStart w:id="394" w:name="_Toc535827635"/>
      <w:r w:rsidRPr="009072DA">
        <w:rPr>
          <w:lang w:val="bg-BG"/>
        </w:rPr>
        <w:t>Член 20.09</w:t>
      </w:r>
      <w:r w:rsidRPr="009072DA">
        <w:rPr>
          <w:lang w:val="bg-BG"/>
        </w:rPr>
        <w:br/>
      </w:r>
      <w:r w:rsidRPr="009072DA">
        <w:rPr>
          <w:i/>
          <w:lang w:val="bg-BG"/>
        </w:rPr>
        <w:t>Специални разпоредби за бушпритите</w:t>
      </w:r>
      <w:bookmarkEnd w:id="393"/>
      <w:bookmarkEnd w:id="394"/>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1. </w:t>
      </w:r>
      <w:r w:rsidRPr="009072DA">
        <w:rPr>
          <w:lang w:val="bg-BG"/>
        </w:rPr>
        <w:tab/>
        <w:t>Дървените бушприти трябва да отговарят на следните минимални изисквания:</w:t>
      </w:r>
    </w:p>
    <w:p w:rsidR="003D2554" w:rsidRPr="009072DA" w:rsidRDefault="003D2554" w:rsidP="003D2554">
      <w:pPr>
        <w:pStyle w:val="ESch"/>
        <w:rPr>
          <w:szCs w:val="20"/>
          <w:lang w:val="bg-BG"/>
        </w:rPr>
      </w:pPr>
    </w:p>
    <w:tbl>
      <w:tblPr>
        <w:tblW w:w="0" w:type="auto"/>
        <w:jc w:val="center"/>
        <w:tblLayout w:type="fixed"/>
        <w:tblLook w:val="0000" w:firstRow="0" w:lastRow="0" w:firstColumn="0" w:lastColumn="0" w:noHBand="0" w:noVBand="0"/>
      </w:tblPr>
      <w:tblGrid>
        <w:gridCol w:w="1871"/>
        <w:gridCol w:w="1871"/>
        <w:gridCol w:w="1871"/>
      </w:tblGrid>
      <w:tr w:rsidR="003D2554" w:rsidRPr="008D2440"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Centered"/>
              <w:spacing w:before="60" w:after="60" w:line="240" w:lineRule="atLeast"/>
              <w:rPr>
                <w:rFonts w:cs="Arial"/>
                <w:sz w:val="18"/>
                <w:szCs w:val="18"/>
                <w:lang w:val="bg-BG"/>
              </w:rPr>
            </w:pPr>
            <w:r w:rsidRPr="009072DA">
              <w:rPr>
                <w:sz w:val="18"/>
                <w:lang w:val="bg-BG"/>
              </w:rPr>
              <w:t>Дължина</w:t>
            </w:r>
            <w:r w:rsidRPr="009072DA">
              <w:rPr>
                <w:rStyle w:val="FootnoteReference"/>
                <w:sz w:val="18"/>
                <w:lang w:val="bg-BG"/>
              </w:rPr>
              <w:footnoteReference w:id="15"/>
            </w:r>
            <w:r w:rsidRPr="009072DA">
              <w:rPr>
                <w:rFonts w:cs="Arial"/>
                <w:sz w:val="18"/>
                <w:szCs w:val="18"/>
                <w:lang w:val="bg-BG"/>
              </w:rPr>
              <w:br/>
            </w:r>
            <w:r w:rsidRPr="009072DA">
              <w:rPr>
                <w:sz w:val="18"/>
                <w:lang w:val="bg-BG"/>
              </w:rPr>
              <w:t>[m]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772341">
            <w:pPr>
              <w:pStyle w:val="NormalCentered"/>
              <w:spacing w:before="60" w:after="60" w:line="240" w:lineRule="atLeast"/>
              <w:rPr>
                <w:rFonts w:cs="Arial"/>
                <w:sz w:val="18"/>
                <w:szCs w:val="18"/>
                <w:lang w:val="bg-BG"/>
              </w:rPr>
            </w:pPr>
            <w:r w:rsidRPr="009072DA">
              <w:rPr>
                <w:sz w:val="18"/>
                <w:lang w:val="bg-BG"/>
              </w:rPr>
              <w:t>Диаметър при форщевена</w:t>
            </w:r>
            <w:r w:rsidRPr="009072DA">
              <w:rPr>
                <w:rFonts w:cs="Arial"/>
                <w:sz w:val="18"/>
                <w:szCs w:val="18"/>
                <w:lang w:val="bg-BG"/>
              </w:rPr>
              <w:br/>
            </w:r>
            <w:r w:rsidRPr="009072DA">
              <w:rPr>
                <w:sz w:val="18"/>
                <w:lang w:val="bg-BG"/>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772341">
            <w:pPr>
              <w:pStyle w:val="NormalCentered"/>
              <w:spacing w:before="60" w:after="60" w:line="240" w:lineRule="atLeast"/>
              <w:rPr>
                <w:rFonts w:cs="Arial"/>
                <w:sz w:val="18"/>
                <w:szCs w:val="18"/>
                <w:lang w:val="bg-BG"/>
              </w:rPr>
            </w:pPr>
            <w:r w:rsidRPr="009072DA">
              <w:rPr>
                <w:sz w:val="18"/>
                <w:lang w:val="bg-BG"/>
              </w:rPr>
              <w:t>Диаметър на половината дължина</w:t>
            </w:r>
            <w:r w:rsidRPr="009072DA">
              <w:rPr>
                <w:rFonts w:cs="Arial"/>
                <w:sz w:val="18"/>
                <w:szCs w:val="18"/>
                <w:lang w:val="bg-BG"/>
              </w:rPr>
              <w:br/>
            </w:r>
            <w:r w:rsidRPr="009072DA">
              <w:rPr>
                <w:sz w:val="18"/>
                <w:lang w:val="bg-BG"/>
              </w:rPr>
              <w:t>[cm]</w:t>
            </w:r>
          </w:p>
        </w:tc>
      </w:tr>
      <w:tr w:rsidR="003D2554" w:rsidRPr="009072DA"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14,5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12,5</w:t>
            </w:r>
          </w:p>
        </w:tc>
      </w:tr>
      <w:tr w:rsidR="003D2554" w:rsidRPr="009072DA"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16</w:t>
            </w:r>
          </w:p>
        </w:tc>
      </w:tr>
      <w:tr w:rsidR="003D2554" w:rsidRPr="009072DA"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19</w:t>
            </w:r>
          </w:p>
        </w:tc>
      </w:tr>
      <w:tr w:rsidR="003D2554" w:rsidRPr="009072DA"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23</w:t>
            </w:r>
          </w:p>
        </w:tc>
      </w:tr>
      <w:tr w:rsidR="003D2554" w:rsidRPr="009072DA"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29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25</w:t>
            </w:r>
          </w:p>
        </w:tc>
      </w:tr>
      <w:tr w:rsidR="003D2554" w:rsidRPr="009072DA"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32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29</w:t>
            </w:r>
          </w:p>
        </w:tc>
      </w:tr>
      <w:tr w:rsidR="003D2554" w:rsidRPr="009072DA"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36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32</w:t>
            </w:r>
          </w:p>
        </w:tc>
      </w:tr>
      <w:tr w:rsidR="003D2554" w:rsidRPr="009072DA"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39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35</w:t>
            </w:r>
          </w:p>
        </w:tc>
      </w:tr>
      <w:tr w:rsidR="003D2554" w:rsidRPr="009072DA"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12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43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39</w:t>
            </w:r>
          </w:p>
        </w:tc>
      </w:tr>
    </w:tbl>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2. </w:t>
      </w:r>
      <w:r w:rsidRPr="009072DA">
        <w:rPr>
          <w:lang w:val="bg-BG"/>
        </w:rPr>
        <w:tab/>
        <w:t>Вътрешната част на бушприта е с дължина е поне четири пъти по-голяма от диаметъра на бушприта при форщевена.</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3. </w:t>
      </w:r>
      <w:r w:rsidRPr="009072DA">
        <w:rPr>
          <w:lang w:val="bg-BG"/>
        </w:rPr>
        <w:tab/>
        <w:t>Диаметърът на бушприта в предната му част е поне 60 % от диаметъра на бушприта при форщевена.</w:t>
      </w:r>
    </w:p>
    <w:p w:rsidR="003D2554" w:rsidRPr="009072DA" w:rsidRDefault="003D2554" w:rsidP="003D2554">
      <w:pPr>
        <w:pStyle w:val="ESch"/>
        <w:rPr>
          <w:rFonts w:cs="Arial"/>
          <w:szCs w:val="20"/>
          <w:lang w:val="bg-BG"/>
        </w:rPr>
      </w:pPr>
    </w:p>
    <w:p w:rsidR="00277E12" w:rsidRPr="009072DA" w:rsidRDefault="00277E12" w:rsidP="003D2554">
      <w:pPr>
        <w:pStyle w:val="ESch"/>
        <w:rPr>
          <w:rFonts w:cs="Arial"/>
          <w:szCs w:val="20"/>
          <w:lang w:val="bg-BG"/>
        </w:rPr>
      </w:pPr>
    </w:p>
    <w:p w:rsidR="003D2554" w:rsidRPr="009072DA" w:rsidRDefault="003D2554" w:rsidP="003D2554">
      <w:pPr>
        <w:pStyle w:val="ES-Titre3"/>
        <w:rPr>
          <w:rFonts w:cs="Arial"/>
          <w:i/>
          <w:lang w:val="bg-BG"/>
        </w:rPr>
      </w:pPr>
      <w:bookmarkStart w:id="395" w:name="_Toc491854195"/>
      <w:bookmarkStart w:id="396" w:name="_Toc535827636"/>
      <w:r w:rsidRPr="009072DA">
        <w:rPr>
          <w:lang w:val="bg-BG"/>
        </w:rPr>
        <w:t>Член 20.10</w:t>
      </w:r>
      <w:r w:rsidRPr="009072DA">
        <w:rPr>
          <w:lang w:val="bg-BG"/>
        </w:rPr>
        <w:br/>
      </w:r>
      <w:r w:rsidRPr="009072DA">
        <w:rPr>
          <w:i/>
          <w:lang w:val="bg-BG"/>
        </w:rPr>
        <w:t>Специални разпоредби относно утлегарите</w:t>
      </w:r>
      <w:bookmarkEnd w:id="395"/>
      <w:bookmarkEnd w:id="396"/>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1. </w:t>
      </w:r>
      <w:r w:rsidRPr="009072DA">
        <w:rPr>
          <w:lang w:val="bg-BG"/>
        </w:rPr>
        <w:tab/>
        <w:t>Утлегарите от дърво трябва да съответстват на следните минимални изисквания:</w:t>
      </w:r>
    </w:p>
    <w:p w:rsidR="003D2554" w:rsidRPr="009072DA" w:rsidRDefault="003D2554" w:rsidP="003D2554">
      <w:pPr>
        <w:pStyle w:val="ESch"/>
        <w:rPr>
          <w:szCs w:val="20"/>
          <w:lang w:val="bg-BG"/>
        </w:rPr>
      </w:pPr>
    </w:p>
    <w:tbl>
      <w:tblPr>
        <w:tblW w:w="0" w:type="auto"/>
        <w:jc w:val="center"/>
        <w:tblLayout w:type="fixed"/>
        <w:tblLook w:val="0000" w:firstRow="0" w:lastRow="0" w:firstColumn="0" w:lastColumn="0" w:noHBand="0" w:noVBand="0"/>
      </w:tblPr>
      <w:tblGrid>
        <w:gridCol w:w="2835"/>
        <w:gridCol w:w="510"/>
        <w:gridCol w:w="510"/>
        <w:gridCol w:w="510"/>
        <w:gridCol w:w="510"/>
        <w:gridCol w:w="510"/>
        <w:gridCol w:w="510"/>
        <w:gridCol w:w="510"/>
        <w:gridCol w:w="510"/>
        <w:gridCol w:w="510"/>
      </w:tblGrid>
      <w:tr w:rsidR="003D2554" w:rsidRPr="009072DA" w:rsidTr="00A90B64">
        <w:trPr>
          <w:cantSplit/>
          <w:jc w:val="center"/>
        </w:trPr>
        <w:tc>
          <w:tcPr>
            <w:tcW w:w="2835"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Дължина</w:t>
            </w:r>
            <w:r w:rsidRPr="009072DA">
              <w:rPr>
                <w:rStyle w:val="FootnoteReference"/>
                <w:sz w:val="18"/>
                <w:lang w:val="bg-BG"/>
              </w:rPr>
              <w:footnoteReference w:id="16"/>
            </w:r>
            <w:r w:rsidRPr="009072DA">
              <w:rPr>
                <w:sz w:val="18"/>
                <w:lang w:val="bg-BG"/>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3</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9</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10</w:t>
            </w:r>
          </w:p>
        </w:tc>
      </w:tr>
      <w:tr w:rsidR="003D2554" w:rsidRPr="009072DA" w:rsidTr="00A90B64">
        <w:trPr>
          <w:cantSplit/>
          <w:jc w:val="center"/>
        </w:trPr>
        <w:tc>
          <w:tcPr>
            <w:tcW w:w="2835"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Диаметър при форщевена [cm]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31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35</w:t>
            </w:r>
          </w:p>
        </w:tc>
      </w:tr>
    </w:tbl>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2.</w:t>
      </w:r>
      <w:r w:rsidRPr="009072DA">
        <w:rPr>
          <w:lang w:val="bg-BG"/>
        </w:rPr>
        <w:tab/>
        <w:t>Диаметърът на утлегара в предната му част трябва да е поне 60 % от диаметъра при форщевена.</w:t>
      </w:r>
    </w:p>
    <w:p w:rsidR="003D2554" w:rsidRPr="009072DA" w:rsidRDefault="003D2554" w:rsidP="003D2554">
      <w:pPr>
        <w:pStyle w:val="ESch"/>
        <w:rPr>
          <w:rFonts w:cs="Arial"/>
          <w:szCs w:val="20"/>
          <w:lang w:val="bg-BG"/>
        </w:rPr>
      </w:pPr>
    </w:p>
    <w:p w:rsidR="003D2554" w:rsidRPr="009072DA" w:rsidRDefault="003D2554" w:rsidP="003D2554">
      <w:pPr>
        <w:pStyle w:val="ESch"/>
        <w:rPr>
          <w:rFonts w:cs="Arial"/>
          <w:szCs w:val="20"/>
          <w:lang w:val="bg-BG"/>
        </w:rPr>
      </w:pPr>
    </w:p>
    <w:p w:rsidR="00A90B64" w:rsidRPr="009072DA" w:rsidRDefault="00A90B64" w:rsidP="003D2554">
      <w:pPr>
        <w:pStyle w:val="ESch"/>
        <w:rPr>
          <w:rFonts w:cs="Arial"/>
          <w:szCs w:val="20"/>
          <w:lang w:val="bg-BG"/>
        </w:rPr>
      </w:pPr>
      <w:r w:rsidRPr="009072DA">
        <w:rPr>
          <w:lang w:val="bg-BG"/>
        </w:rPr>
        <w:br w:type="page"/>
      </w:r>
    </w:p>
    <w:p w:rsidR="003D2554" w:rsidRPr="009072DA" w:rsidRDefault="003D2554" w:rsidP="003D2554">
      <w:pPr>
        <w:pStyle w:val="ES-Titre3"/>
        <w:rPr>
          <w:rFonts w:cs="Arial"/>
          <w:i/>
          <w:lang w:val="bg-BG"/>
        </w:rPr>
      </w:pPr>
      <w:bookmarkStart w:id="397" w:name="_Toc491854196"/>
      <w:bookmarkStart w:id="398" w:name="_Toc535827637"/>
      <w:r w:rsidRPr="009072DA">
        <w:rPr>
          <w:lang w:val="bg-BG"/>
        </w:rPr>
        <w:lastRenderedPageBreak/>
        <w:t>Член 20.11</w:t>
      </w:r>
      <w:r w:rsidRPr="009072DA">
        <w:rPr>
          <w:lang w:val="bg-BG"/>
        </w:rPr>
        <w:br/>
      </w:r>
      <w:r w:rsidRPr="009072DA">
        <w:rPr>
          <w:i/>
          <w:lang w:val="bg-BG"/>
        </w:rPr>
        <w:t>Специални разпоредби относно грот-гиковете</w:t>
      </w:r>
      <w:bookmarkEnd w:id="397"/>
      <w:bookmarkEnd w:id="398"/>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1. </w:t>
      </w:r>
      <w:r w:rsidRPr="009072DA">
        <w:rPr>
          <w:lang w:val="bg-BG"/>
        </w:rPr>
        <w:tab/>
        <w:t>Грот-гиковете от дърво трябва да съответстват на следните минимални изисквания:</w:t>
      </w:r>
    </w:p>
    <w:p w:rsidR="003D2554" w:rsidRPr="009072DA" w:rsidRDefault="003D2554" w:rsidP="003D2554">
      <w:pPr>
        <w:pStyle w:val="ESch"/>
        <w:rPr>
          <w:szCs w:val="20"/>
          <w:lang w:val="bg-BG"/>
        </w:rPr>
      </w:pPr>
    </w:p>
    <w:tbl>
      <w:tblPr>
        <w:tblW w:w="0" w:type="auto"/>
        <w:jc w:val="center"/>
        <w:tblLayout w:type="fixed"/>
        <w:tblLook w:val="0000" w:firstRow="0" w:lastRow="0" w:firstColumn="0" w:lastColumn="0" w:noHBand="0" w:noVBand="0"/>
      </w:tblPr>
      <w:tblGrid>
        <w:gridCol w:w="1985"/>
        <w:gridCol w:w="510"/>
        <w:gridCol w:w="510"/>
        <w:gridCol w:w="510"/>
        <w:gridCol w:w="510"/>
        <w:gridCol w:w="510"/>
        <w:gridCol w:w="510"/>
        <w:gridCol w:w="510"/>
        <w:gridCol w:w="510"/>
        <w:gridCol w:w="510"/>
        <w:gridCol w:w="510"/>
        <w:gridCol w:w="510"/>
        <w:gridCol w:w="510"/>
      </w:tblGrid>
      <w:tr w:rsidR="003D2554" w:rsidRPr="009072DA"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Дължина</w:t>
            </w:r>
            <w:r w:rsidRPr="009072DA">
              <w:rPr>
                <w:rStyle w:val="FootnoteReference"/>
                <w:sz w:val="18"/>
                <w:lang w:val="bg-BG"/>
              </w:rPr>
              <w:footnoteReference w:id="17"/>
            </w:r>
            <w:r w:rsidRPr="009072DA">
              <w:rPr>
                <w:sz w:val="18"/>
                <w:lang w:val="bg-BG"/>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9</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12</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13</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16</w:t>
            </w:r>
          </w:p>
        </w:tc>
      </w:tr>
      <w:tr w:rsidR="003D2554" w:rsidRPr="009072DA"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Диаметър [cm]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23</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27</w:t>
            </w:r>
          </w:p>
        </w:tc>
      </w:tr>
    </w:tbl>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2.</w:t>
      </w:r>
      <w:r w:rsidRPr="009072DA">
        <w:rPr>
          <w:lang w:val="bg-BG"/>
        </w:rPr>
        <w:tab/>
        <w:t>Диаметърът при оста на шарнира трябва да е поне 72 % от диаметъра, посочен в таблицата.</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3.</w:t>
      </w:r>
      <w:r w:rsidRPr="009072DA">
        <w:rPr>
          <w:lang w:val="bg-BG"/>
        </w:rPr>
        <w:tab/>
        <w:t>Диаметърът при ъгъла на шкота трябва да е поне 85 % от диаметъра, посочен в таблицата.</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4.</w:t>
      </w:r>
      <w:r w:rsidRPr="009072DA">
        <w:rPr>
          <w:lang w:val="bg-BG"/>
        </w:rPr>
        <w:tab/>
        <w:t>Измерено от мачтата, най-големият диаметър трябва да е при две трети от дължината.</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5.</w:t>
      </w:r>
      <w:r w:rsidRPr="009072DA">
        <w:rPr>
          <w:lang w:val="bg-BG"/>
        </w:rPr>
        <w:tab/>
        <w:t>Където:</w:t>
      </w:r>
    </w:p>
    <w:p w:rsidR="003D2554" w:rsidRPr="009072DA" w:rsidRDefault="005C7859" w:rsidP="003D2554">
      <w:pPr>
        <w:pStyle w:val="ESlet"/>
        <w:rPr>
          <w:rFonts w:cs="Arial"/>
          <w:lang w:val="bg-BG"/>
        </w:rPr>
      </w:pPr>
      <w:r w:rsidRPr="009072DA">
        <w:rPr>
          <w:lang w:val="bg-BG"/>
        </w:rPr>
        <w:t>a)</w:t>
      </w:r>
      <w:r w:rsidRPr="009072DA">
        <w:rPr>
          <w:lang w:val="bg-BG"/>
        </w:rPr>
        <w:tab/>
        <w:t>ъгълът между грот-гика и задния шкот е по-малък от 65°, а грот-шкотът е прикрепен към края на гика, или</w:t>
      </w:r>
    </w:p>
    <w:p w:rsidR="003D2554" w:rsidRPr="009072DA" w:rsidRDefault="005C7859" w:rsidP="003D2554">
      <w:pPr>
        <w:pStyle w:val="ESlet"/>
        <w:rPr>
          <w:rFonts w:cs="Arial"/>
          <w:lang w:val="bg-BG"/>
        </w:rPr>
      </w:pPr>
      <w:r w:rsidRPr="009072DA">
        <w:rPr>
          <w:lang w:val="bg-BG"/>
        </w:rPr>
        <w:t>б)</w:t>
      </w:r>
      <w:r w:rsidRPr="009072DA">
        <w:rPr>
          <w:lang w:val="bg-BG"/>
        </w:rPr>
        <w:tab/>
        <w:t>точката на закрепване на шкота не е наравно с ъгъла на шкота,</w:t>
      </w:r>
    </w:p>
    <w:p w:rsidR="003D2554" w:rsidRPr="009072DA" w:rsidRDefault="003D2554" w:rsidP="003D2554">
      <w:pPr>
        <w:pStyle w:val="ESch"/>
        <w:rPr>
          <w:szCs w:val="20"/>
          <w:lang w:val="bg-BG"/>
        </w:rPr>
      </w:pPr>
    </w:p>
    <w:p w:rsidR="003D2554" w:rsidRPr="009072DA" w:rsidRDefault="003D2554" w:rsidP="003D2554">
      <w:pPr>
        <w:pStyle w:val="ESchpar"/>
        <w:rPr>
          <w:rFonts w:cs="Arial"/>
          <w:lang w:val="bg-BG"/>
        </w:rPr>
      </w:pPr>
      <w:r w:rsidRPr="009072DA">
        <w:rPr>
          <w:lang w:val="bg-BG"/>
        </w:rPr>
        <w:t>Контролният орган има право съгласно член 20.05, точка 2 да изиска по-голям диаметър.</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6.</w:t>
      </w:r>
      <w:r w:rsidRPr="009072DA">
        <w:rPr>
          <w:lang w:val="bg-BG"/>
        </w:rPr>
        <w:tab/>
        <w:t>За ветрилни площи, по-малки от 50 m</w:t>
      </w:r>
      <w:r w:rsidRPr="009072DA">
        <w:rPr>
          <w:vertAlign w:val="superscript"/>
          <w:lang w:val="bg-BG"/>
        </w:rPr>
        <w:t>2</w:t>
      </w:r>
      <w:r w:rsidRPr="009072DA">
        <w:rPr>
          <w:lang w:val="bg-BG"/>
        </w:rPr>
        <w:t>, контролният орган има право да одобри намаления на размерите, дадени в таблицата.</w:t>
      </w:r>
    </w:p>
    <w:p w:rsidR="003D2554" w:rsidRPr="009072DA" w:rsidRDefault="003D2554" w:rsidP="003D2554">
      <w:pPr>
        <w:pStyle w:val="ESch"/>
        <w:rPr>
          <w:rFonts w:cs="Arial"/>
          <w:szCs w:val="20"/>
          <w:lang w:val="bg-BG"/>
        </w:rPr>
      </w:pPr>
    </w:p>
    <w:p w:rsidR="003D2554" w:rsidRPr="009072DA" w:rsidRDefault="003D2554" w:rsidP="003D2554">
      <w:pPr>
        <w:pStyle w:val="ESch"/>
        <w:rPr>
          <w:rFonts w:cs="Arial"/>
          <w:szCs w:val="20"/>
          <w:lang w:val="bg-BG"/>
        </w:rPr>
      </w:pPr>
    </w:p>
    <w:p w:rsidR="003D2554" w:rsidRPr="009072DA" w:rsidRDefault="003D2554" w:rsidP="003D2554">
      <w:pPr>
        <w:pStyle w:val="ES-Titre3"/>
        <w:rPr>
          <w:rFonts w:cs="Arial"/>
          <w:i/>
          <w:lang w:val="bg-BG"/>
        </w:rPr>
      </w:pPr>
      <w:bookmarkStart w:id="399" w:name="_Toc491854197"/>
      <w:bookmarkStart w:id="400" w:name="_Toc535827638"/>
      <w:r w:rsidRPr="009072DA">
        <w:rPr>
          <w:lang w:val="bg-BG"/>
        </w:rPr>
        <w:t>Член 20.12</w:t>
      </w:r>
      <w:r w:rsidRPr="009072DA">
        <w:rPr>
          <w:lang w:val="bg-BG"/>
        </w:rPr>
        <w:br/>
      </w:r>
      <w:r w:rsidRPr="009072DA">
        <w:rPr>
          <w:i/>
          <w:lang w:val="bg-BG"/>
        </w:rPr>
        <w:t>Специални разпоредби за гафелите</w:t>
      </w:r>
      <w:bookmarkEnd w:id="399"/>
      <w:bookmarkEnd w:id="400"/>
    </w:p>
    <w:p w:rsidR="003D2554" w:rsidRPr="009072DA" w:rsidRDefault="003D2554" w:rsidP="003D2554">
      <w:pPr>
        <w:pStyle w:val="ESch"/>
        <w:rPr>
          <w:szCs w:val="20"/>
          <w:lang w:val="bg-BG"/>
        </w:rPr>
      </w:pPr>
    </w:p>
    <w:p w:rsidR="003D2554" w:rsidRPr="009072DA" w:rsidRDefault="00B92309" w:rsidP="003D2554">
      <w:pPr>
        <w:pStyle w:val="ESch"/>
        <w:rPr>
          <w:rFonts w:cs="Arial"/>
          <w:szCs w:val="20"/>
          <w:lang w:val="bg-BG"/>
        </w:rPr>
      </w:pPr>
      <w:r w:rsidRPr="009072DA">
        <w:rPr>
          <w:lang w:val="bg-BG"/>
        </w:rPr>
        <w:t>1.</w:t>
      </w:r>
      <w:r w:rsidRPr="009072DA">
        <w:rPr>
          <w:lang w:val="bg-BG"/>
        </w:rPr>
        <w:tab/>
        <w:t>Дървените гафели трябва да отговарят на следните минимални изисквания:</w:t>
      </w:r>
    </w:p>
    <w:p w:rsidR="003D2554" w:rsidRPr="009072DA" w:rsidRDefault="003D2554" w:rsidP="003D2554">
      <w:pPr>
        <w:pStyle w:val="ESch"/>
        <w:rPr>
          <w:szCs w:val="20"/>
          <w:lang w:val="bg-BG"/>
        </w:rPr>
      </w:pPr>
    </w:p>
    <w:tbl>
      <w:tblPr>
        <w:tblW w:w="0" w:type="auto"/>
        <w:jc w:val="center"/>
        <w:tblLayout w:type="fixed"/>
        <w:tblLook w:val="0000" w:firstRow="0" w:lastRow="0" w:firstColumn="0" w:lastColumn="0" w:noHBand="0" w:noVBand="0"/>
      </w:tblPr>
      <w:tblGrid>
        <w:gridCol w:w="1985"/>
        <w:gridCol w:w="510"/>
        <w:gridCol w:w="510"/>
        <w:gridCol w:w="510"/>
        <w:gridCol w:w="510"/>
        <w:gridCol w:w="510"/>
        <w:gridCol w:w="510"/>
        <w:gridCol w:w="510"/>
      </w:tblGrid>
      <w:tr w:rsidR="003D2554" w:rsidRPr="009072DA"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Дължина</w:t>
            </w:r>
            <w:r w:rsidRPr="009072DA">
              <w:rPr>
                <w:rStyle w:val="FootnoteReference"/>
                <w:sz w:val="18"/>
                <w:lang w:val="bg-BG"/>
              </w:rPr>
              <w:footnoteReference w:id="18"/>
            </w:r>
            <w:r w:rsidRPr="009072DA">
              <w:rPr>
                <w:sz w:val="18"/>
                <w:lang w:val="bg-BG"/>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9</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10</w:t>
            </w:r>
          </w:p>
        </w:tc>
      </w:tr>
      <w:tr w:rsidR="003D2554" w:rsidRPr="009072DA"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Диаметър [cm]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12</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20</w:t>
            </w:r>
          </w:p>
        </w:tc>
      </w:tr>
    </w:tbl>
    <w:p w:rsidR="003D2554" w:rsidRPr="009072DA" w:rsidRDefault="003D2554" w:rsidP="003D2554">
      <w:pPr>
        <w:pStyle w:val="ESch"/>
        <w:rPr>
          <w:rFonts w:cs="Arial"/>
          <w:szCs w:val="20"/>
          <w:lang w:val="bg-BG"/>
        </w:rPr>
      </w:pPr>
    </w:p>
    <w:p w:rsidR="003D2554" w:rsidRPr="009072DA" w:rsidRDefault="003D2554" w:rsidP="003D2554">
      <w:pPr>
        <w:pStyle w:val="ESch"/>
        <w:rPr>
          <w:rFonts w:cs="Arial"/>
          <w:szCs w:val="20"/>
          <w:lang w:val="bg-BG"/>
        </w:rPr>
      </w:pPr>
      <w:r w:rsidRPr="009072DA">
        <w:rPr>
          <w:lang w:val="bg-BG"/>
        </w:rPr>
        <w:t>2.</w:t>
      </w:r>
      <w:r w:rsidRPr="009072DA">
        <w:rPr>
          <w:lang w:val="bg-BG"/>
        </w:rPr>
        <w:tab/>
        <w:t>Незакрепената дължина на гафела не трябва да превишава 75 %.</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3.</w:t>
      </w:r>
      <w:r w:rsidRPr="009072DA">
        <w:rPr>
          <w:lang w:val="bg-BG"/>
        </w:rPr>
        <w:tab/>
        <w:t>Якостта при скъсване на фала е най-малкото равна на 1,2 пъти якостта при скъсване на дирик-фала.</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4.</w:t>
      </w:r>
      <w:r w:rsidRPr="009072DA">
        <w:rPr>
          <w:lang w:val="bg-BG"/>
        </w:rPr>
        <w:tab/>
        <w:t>Горният ъгъл на фала не превишава 60°.</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5.</w:t>
      </w:r>
      <w:r w:rsidRPr="009072DA">
        <w:rPr>
          <w:lang w:val="bg-BG"/>
        </w:rPr>
        <w:tab/>
        <w:t>Ако чрез дерогация от точка 4 горният ъгъл на фала превишава 60°, якостта при скъсване трябва да се коригира, така че той да устоява на натоварванията, които ще възникват тогава.</w:t>
      </w:r>
    </w:p>
    <w:p w:rsidR="003D2554" w:rsidRPr="009072DA" w:rsidRDefault="003D2554" w:rsidP="003D2554">
      <w:pPr>
        <w:pStyle w:val="ESch"/>
        <w:rPr>
          <w:szCs w:val="20"/>
          <w:lang w:val="bg-BG"/>
        </w:rPr>
      </w:pPr>
    </w:p>
    <w:p w:rsidR="003D2554" w:rsidRPr="009072DA" w:rsidRDefault="00B92309" w:rsidP="003D2554">
      <w:pPr>
        <w:pStyle w:val="ESch"/>
        <w:rPr>
          <w:rFonts w:cs="Arial"/>
          <w:szCs w:val="20"/>
          <w:lang w:val="bg-BG"/>
        </w:rPr>
      </w:pPr>
      <w:r w:rsidRPr="009072DA">
        <w:rPr>
          <w:lang w:val="bg-BG"/>
        </w:rPr>
        <w:t>6.</w:t>
      </w:r>
      <w:r w:rsidRPr="009072DA">
        <w:rPr>
          <w:lang w:val="bg-BG"/>
        </w:rPr>
        <w:tab/>
        <w:t>За ветрилни площи, по-малки от 50 m</w:t>
      </w:r>
      <w:r w:rsidRPr="009072DA">
        <w:rPr>
          <w:vertAlign w:val="superscript"/>
          <w:lang w:val="bg-BG"/>
        </w:rPr>
        <w:t>2</w:t>
      </w:r>
      <w:r w:rsidRPr="009072DA">
        <w:rPr>
          <w:lang w:val="bg-BG"/>
        </w:rPr>
        <w:t>, контролният орган има право да одобри намаления на размерите, дадени в таблицата.</w:t>
      </w:r>
    </w:p>
    <w:p w:rsidR="003D2554" w:rsidRPr="009072DA" w:rsidRDefault="003D2554" w:rsidP="003D2554">
      <w:pPr>
        <w:pStyle w:val="ESch"/>
        <w:rPr>
          <w:rFonts w:cs="Arial"/>
          <w:szCs w:val="20"/>
          <w:lang w:val="bg-BG"/>
        </w:rPr>
      </w:pPr>
    </w:p>
    <w:p w:rsidR="003D2554" w:rsidRPr="009072DA" w:rsidRDefault="00A90B64" w:rsidP="003D2554">
      <w:pPr>
        <w:pStyle w:val="ESch"/>
        <w:rPr>
          <w:rFonts w:cs="Arial"/>
          <w:szCs w:val="20"/>
          <w:lang w:val="bg-BG"/>
        </w:rPr>
      </w:pPr>
      <w:r w:rsidRPr="009072DA">
        <w:rPr>
          <w:lang w:val="bg-BG"/>
        </w:rPr>
        <w:br w:type="page"/>
      </w:r>
    </w:p>
    <w:p w:rsidR="003D2554" w:rsidRPr="009072DA" w:rsidRDefault="003D2554" w:rsidP="003D2554">
      <w:pPr>
        <w:pStyle w:val="ES-Titre3"/>
        <w:rPr>
          <w:rFonts w:cs="Arial"/>
          <w:i/>
          <w:lang w:val="bg-BG"/>
        </w:rPr>
      </w:pPr>
      <w:bookmarkStart w:id="401" w:name="_Toc491854198"/>
      <w:bookmarkStart w:id="402" w:name="_Toc535827639"/>
      <w:r w:rsidRPr="009072DA">
        <w:rPr>
          <w:lang w:val="bg-BG"/>
        </w:rPr>
        <w:lastRenderedPageBreak/>
        <w:t>Член 20.13</w:t>
      </w:r>
      <w:r w:rsidRPr="009072DA">
        <w:rPr>
          <w:lang w:val="bg-BG"/>
        </w:rPr>
        <w:br/>
      </w:r>
      <w:r w:rsidRPr="009072DA">
        <w:rPr>
          <w:i/>
          <w:lang w:val="bg-BG"/>
        </w:rPr>
        <w:t>Общи разпоредби относно неподвижния и подвижния такелаж</w:t>
      </w:r>
      <w:bookmarkEnd w:id="401"/>
      <w:bookmarkEnd w:id="402"/>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1. </w:t>
      </w:r>
      <w:r w:rsidRPr="009072DA">
        <w:rPr>
          <w:lang w:val="bg-BG"/>
        </w:rPr>
        <w:tab/>
        <w:t>Неподвижният и подвижният такелаж съответстват на изискванията за якост, изложени в членове 20.14 и 20.15.</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2. </w:t>
      </w:r>
      <w:r w:rsidRPr="009072DA">
        <w:rPr>
          <w:lang w:val="bg-BG"/>
        </w:rPr>
        <w:tab/>
        <w:t>Свързващите стоманени кабели могат да бъдат във формата на:</w:t>
      </w:r>
    </w:p>
    <w:p w:rsidR="003D2554" w:rsidRPr="009072DA" w:rsidRDefault="005C7859" w:rsidP="003D2554">
      <w:pPr>
        <w:pStyle w:val="ESlet"/>
        <w:rPr>
          <w:rFonts w:cs="Arial"/>
          <w:lang w:val="bg-BG"/>
        </w:rPr>
      </w:pPr>
      <w:r w:rsidRPr="009072DA">
        <w:rPr>
          <w:lang w:val="bg-BG"/>
        </w:rPr>
        <w:t>a)</w:t>
      </w:r>
      <w:r w:rsidRPr="009072DA">
        <w:rPr>
          <w:lang w:val="bg-BG"/>
        </w:rPr>
        <w:tab/>
        <w:t>снадки,</w:t>
      </w:r>
    </w:p>
    <w:p w:rsidR="003D2554" w:rsidRPr="009072DA" w:rsidRDefault="005C7859" w:rsidP="003D2554">
      <w:pPr>
        <w:pStyle w:val="ESlet"/>
        <w:rPr>
          <w:rFonts w:cs="Arial"/>
          <w:lang w:val="bg-BG"/>
        </w:rPr>
      </w:pPr>
      <w:r w:rsidRPr="009072DA">
        <w:rPr>
          <w:lang w:val="bg-BG"/>
        </w:rPr>
        <w:t>б)</w:t>
      </w:r>
      <w:r w:rsidRPr="009072DA">
        <w:rPr>
          <w:lang w:val="bg-BG"/>
        </w:rPr>
        <w:tab/>
        <w:t>запресоващи гилзи, или</w:t>
      </w:r>
    </w:p>
    <w:p w:rsidR="003D2554" w:rsidRPr="009072DA" w:rsidRDefault="005C7859" w:rsidP="003D2554">
      <w:pPr>
        <w:pStyle w:val="ESlet"/>
        <w:rPr>
          <w:rFonts w:cs="Arial"/>
          <w:lang w:val="bg-BG"/>
        </w:rPr>
      </w:pPr>
      <w:r w:rsidRPr="009072DA">
        <w:rPr>
          <w:lang w:val="bg-BG"/>
        </w:rPr>
        <w:t>в)</w:t>
      </w:r>
      <w:r w:rsidRPr="009072DA">
        <w:rPr>
          <w:lang w:val="bg-BG"/>
        </w:rPr>
        <w:tab/>
        <w:t>уплътняващи муфи.</w:t>
      </w:r>
    </w:p>
    <w:p w:rsidR="003D2554" w:rsidRPr="009072DA" w:rsidRDefault="003D2554" w:rsidP="003D2554">
      <w:pPr>
        <w:pStyle w:val="ESlet"/>
        <w:rPr>
          <w:rFonts w:cs="Arial"/>
          <w:lang w:val="bg-BG"/>
        </w:rPr>
      </w:pPr>
      <w:r w:rsidRPr="009072DA">
        <w:rPr>
          <w:lang w:val="bg-BG"/>
        </w:rPr>
        <w:t>Снадките трябва да са клетневени, а краищата им — заплетени.</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3.</w:t>
      </w:r>
      <w:r w:rsidRPr="009072DA">
        <w:rPr>
          <w:lang w:val="bg-BG"/>
        </w:rPr>
        <w:tab/>
        <w:t>Гашите трябва да са с коуши.</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4.</w:t>
      </w:r>
      <w:r w:rsidRPr="009072DA">
        <w:rPr>
          <w:lang w:val="bg-BG"/>
        </w:rPr>
        <w:tab/>
        <w:t>Въжетата се разполагат по такъв начин, че да не пречат на входовете и вътрешните трапове.</w:t>
      </w:r>
    </w:p>
    <w:p w:rsidR="003D2554" w:rsidRPr="009072DA" w:rsidRDefault="003D2554" w:rsidP="003D2554">
      <w:pPr>
        <w:pStyle w:val="ESch"/>
        <w:rPr>
          <w:rFonts w:cs="Arial"/>
          <w:szCs w:val="20"/>
          <w:lang w:val="bg-BG"/>
        </w:rPr>
      </w:pPr>
    </w:p>
    <w:p w:rsidR="003D2554" w:rsidRPr="009072DA" w:rsidRDefault="003D2554" w:rsidP="003D2554">
      <w:pPr>
        <w:pStyle w:val="ESch"/>
        <w:rPr>
          <w:rFonts w:cs="Arial"/>
          <w:szCs w:val="20"/>
          <w:lang w:val="bg-BG"/>
        </w:rPr>
      </w:pPr>
    </w:p>
    <w:p w:rsidR="003D2554" w:rsidRPr="009072DA" w:rsidRDefault="003D2554" w:rsidP="003D2554">
      <w:pPr>
        <w:pStyle w:val="ES-Titre3"/>
        <w:rPr>
          <w:rFonts w:cs="Arial"/>
          <w:i/>
          <w:lang w:val="bg-BG"/>
        </w:rPr>
      </w:pPr>
      <w:bookmarkStart w:id="403" w:name="_Toc491854199"/>
      <w:bookmarkStart w:id="404" w:name="_Toc535827640"/>
      <w:r w:rsidRPr="009072DA">
        <w:rPr>
          <w:lang w:val="bg-BG"/>
        </w:rPr>
        <w:t>Член 20.14</w:t>
      </w:r>
      <w:r w:rsidRPr="009072DA">
        <w:rPr>
          <w:lang w:val="bg-BG"/>
        </w:rPr>
        <w:br/>
      </w:r>
      <w:r w:rsidRPr="009072DA">
        <w:rPr>
          <w:i/>
          <w:lang w:val="bg-BG"/>
        </w:rPr>
        <w:t>Специални разпоредби относно неподвижния такелаж</w:t>
      </w:r>
      <w:bookmarkEnd w:id="403"/>
      <w:bookmarkEnd w:id="404"/>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1.</w:t>
      </w:r>
      <w:r w:rsidRPr="009072DA">
        <w:rPr>
          <w:lang w:val="bg-BG"/>
        </w:rPr>
        <w:tab/>
        <w:t>Форщаговете и вантите трябва да съответстват на следните минимални изисквания:</w:t>
      </w:r>
    </w:p>
    <w:p w:rsidR="003D2554" w:rsidRPr="009072DA" w:rsidRDefault="003D2554" w:rsidP="003D2554">
      <w:pPr>
        <w:pStyle w:val="ESch"/>
        <w:rPr>
          <w:szCs w:val="20"/>
          <w:lang w:val="bg-BG"/>
        </w:rPr>
      </w:pPr>
    </w:p>
    <w:tbl>
      <w:tblPr>
        <w:tblW w:w="0" w:type="auto"/>
        <w:jc w:val="center"/>
        <w:tblLayout w:type="fixed"/>
        <w:tblLook w:val="0000" w:firstRow="0" w:lastRow="0" w:firstColumn="0" w:lastColumn="0" w:noHBand="0" w:noVBand="0"/>
      </w:tblPr>
      <w:tblGrid>
        <w:gridCol w:w="3343"/>
        <w:gridCol w:w="567"/>
        <w:gridCol w:w="567"/>
        <w:gridCol w:w="567"/>
        <w:gridCol w:w="567"/>
        <w:gridCol w:w="567"/>
        <w:gridCol w:w="567"/>
        <w:gridCol w:w="567"/>
        <w:gridCol w:w="567"/>
      </w:tblGrid>
      <w:tr w:rsidR="003D2554" w:rsidRPr="009072DA"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Дължина на мачтата</w:t>
            </w:r>
            <w:r w:rsidRPr="009072DA">
              <w:rPr>
                <w:rStyle w:val="FootnoteReference"/>
                <w:sz w:val="18"/>
                <w:lang w:val="bg-BG"/>
              </w:rPr>
              <w:footnoteReference w:id="19"/>
            </w:r>
            <w:r w:rsidRPr="009072DA">
              <w:rPr>
                <w:sz w:val="18"/>
                <w:lang w:val="bg-BG"/>
              </w:rPr>
              <w:t xml:space="preserve"> [m]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11</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12</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17</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18</w:t>
            </w:r>
          </w:p>
        </w:tc>
      </w:tr>
      <w:tr w:rsidR="003D2554" w:rsidRPr="009072DA"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610BD">
            <w:pPr>
              <w:pStyle w:val="NormalLeft"/>
              <w:spacing w:before="60" w:after="60" w:line="240" w:lineRule="atLeast"/>
              <w:rPr>
                <w:rFonts w:cs="Arial"/>
                <w:sz w:val="18"/>
                <w:szCs w:val="18"/>
                <w:lang w:val="bg-BG"/>
              </w:rPr>
            </w:pPr>
            <w:r w:rsidRPr="009072DA">
              <w:rPr>
                <w:sz w:val="18"/>
                <w:lang w:val="bg-BG"/>
              </w:rPr>
              <w:t>Якост на опън на форщага [kN]</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160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172</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185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200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220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244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269</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294</w:t>
            </w:r>
          </w:p>
        </w:tc>
      </w:tr>
      <w:tr w:rsidR="003D2554" w:rsidRPr="009072DA"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Якост на опън на вантите [kN]</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355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415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450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485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525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540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630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720</w:t>
            </w:r>
          </w:p>
        </w:tc>
      </w:tr>
      <w:tr w:rsidR="003D2554" w:rsidRPr="009072DA"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Брой стованени и нестоманени ванти от всяка страна</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4</w:t>
            </w:r>
          </w:p>
        </w:tc>
      </w:tr>
    </w:tbl>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2.</w:t>
      </w:r>
      <w:r w:rsidRPr="009072DA">
        <w:rPr>
          <w:lang w:val="bg-BG"/>
        </w:rPr>
        <w:tab/>
        <w:t>Бакщаговете, стенгите, кливер-щаговете, и вантите на утлегарите и бушприта трябва да съответстват на следните минимални изисквания:</w:t>
      </w:r>
    </w:p>
    <w:p w:rsidR="003D2554" w:rsidRPr="009072DA" w:rsidRDefault="003D2554" w:rsidP="003D2554">
      <w:pPr>
        <w:pStyle w:val="ESch"/>
        <w:rPr>
          <w:szCs w:val="20"/>
          <w:lang w:val="bg-BG"/>
        </w:rPr>
      </w:pPr>
    </w:p>
    <w:tbl>
      <w:tblPr>
        <w:tblW w:w="0" w:type="auto"/>
        <w:jc w:val="center"/>
        <w:tblLayout w:type="fixed"/>
        <w:tblLook w:val="0000" w:firstRow="0" w:lastRow="0" w:firstColumn="0" w:lastColumn="0" w:noHBand="0" w:noVBand="0"/>
      </w:tblPr>
      <w:tblGrid>
        <w:gridCol w:w="4736"/>
        <w:gridCol w:w="737"/>
        <w:gridCol w:w="737"/>
        <w:gridCol w:w="737"/>
      </w:tblGrid>
      <w:tr w:rsidR="003D2554" w:rsidRPr="009072DA"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lastRenderedPageBreak/>
              <w:t>Дължина на мачтата</w:t>
            </w:r>
            <w:r w:rsidRPr="009072DA">
              <w:rPr>
                <w:rStyle w:val="FootnoteReference"/>
                <w:sz w:val="18"/>
                <w:lang w:val="bg-BG"/>
              </w:rPr>
              <w:footnoteReference w:id="20"/>
            </w:r>
            <w:r w:rsidRPr="009072DA">
              <w:rPr>
                <w:sz w:val="18"/>
                <w:lang w:val="bg-BG"/>
              </w:rPr>
              <w:t xml:space="preserve"> [m]</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tabs>
                <w:tab w:val="decimal" w:pos="332"/>
              </w:tabs>
              <w:spacing w:before="60" w:after="60" w:line="240" w:lineRule="atLeast"/>
              <w:rPr>
                <w:rFonts w:cs="Arial"/>
                <w:sz w:val="18"/>
                <w:szCs w:val="18"/>
                <w:lang w:val="bg-BG"/>
              </w:rPr>
            </w:pPr>
            <w:r w:rsidRPr="009072DA">
              <w:rPr>
                <w:sz w:val="18"/>
                <w:lang w:val="bg-BG"/>
              </w:rPr>
              <w:t>&lt;13</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13-18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tabs>
                <w:tab w:val="decimal" w:pos="332"/>
              </w:tabs>
              <w:spacing w:before="60" w:after="60" w:line="240" w:lineRule="atLeast"/>
              <w:rPr>
                <w:rFonts w:cs="Arial"/>
                <w:sz w:val="18"/>
                <w:szCs w:val="18"/>
                <w:lang w:val="bg-BG"/>
              </w:rPr>
            </w:pPr>
            <w:r w:rsidRPr="009072DA">
              <w:rPr>
                <w:sz w:val="18"/>
                <w:lang w:val="bg-BG"/>
              </w:rPr>
              <w:t>&gt;18</w:t>
            </w:r>
          </w:p>
        </w:tc>
      </w:tr>
      <w:tr w:rsidR="003D2554" w:rsidRPr="009072DA"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Якост на опън на бакщага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tabs>
                <w:tab w:val="decimal" w:pos="332"/>
              </w:tabs>
              <w:spacing w:before="60" w:after="60" w:line="240" w:lineRule="atLeast"/>
              <w:rPr>
                <w:rFonts w:cs="Arial"/>
                <w:sz w:val="18"/>
                <w:szCs w:val="18"/>
                <w:lang w:val="bg-BG"/>
              </w:rPr>
            </w:pPr>
            <w:r w:rsidRPr="009072DA">
              <w:rPr>
                <w:sz w:val="18"/>
                <w:lang w:val="bg-BG"/>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tabs>
                <w:tab w:val="decimal" w:pos="332"/>
              </w:tabs>
              <w:spacing w:before="60" w:after="60" w:line="240" w:lineRule="atLeast"/>
              <w:rPr>
                <w:rFonts w:cs="Arial"/>
                <w:sz w:val="18"/>
                <w:szCs w:val="18"/>
                <w:lang w:val="bg-BG"/>
              </w:rPr>
            </w:pPr>
            <w:r w:rsidRPr="009072DA">
              <w:rPr>
                <w:sz w:val="18"/>
                <w:lang w:val="bg-BG"/>
              </w:rPr>
              <w:t>119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tabs>
                <w:tab w:val="decimal" w:pos="332"/>
              </w:tabs>
              <w:spacing w:before="60" w:after="60" w:line="240" w:lineRule="atLeast"/>
              <w:rPr>
                <w:rFonts w:cs="Arial"/>
                <w:sz w:val="18"/>
                <w:szCs w:val="18"/>
                <w:lang w:val="bg-BG"/>
              </w:rPr>
            </w:pPr>
            <w:r w:rsidRPr="009072DA">
              <w:rPr>
                <w:sz w:val="18"/>
                <w:lang w:val="bg-BG"/>
              </w:rPr>
              <w:t>159</w:t>
            </w:r>
          </w:p>
        </w:tc>
      </w:tr>
      <w:tr w:rsidR="003D2554" w:rsidRPr="009072DA"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Якост на опън на стенгата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tabs>
                <w:tab w:val="decimal" w:pos="332"/>
              </w:tabs>
              <w:spacing w:before="60" w:after="60" w:line="240" w:lineRule="atLeast"/>
              <w:rPr>
                <w:rFonts w:cs="Arial"/>
                <w:sz w:val="18"/>
                <w:szCs w:val="18"/>
                <w:lang w:val="bg-BG"/>
              </w:rPr>
            </w:pPr>
            <w:r w:rsidRPr="009072DA">
              <w:rPr>
                <w:sz w:val="18"/>
                <w:lang w:val="bg-BG"/>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tabs>
                <w:tab w:val="decimal" w:pos="332"/>
              </w:tabs>
              <w:spacing w:before="60" w:after="60" w:line="240" w:lineRule="atLeast"/>
              <w:rPr>
                <w:rFonts w:cs="Arial"/>
                <w:sz w:val="18"/>
                <w:szCs w:val="18"/>
                <w:lang w:val="bg-BG"/>
              </w:rPr>
            </w:pPr>
            <w:r w:rsidRPr="009072DA">
              <w:rPr>
                <w:sz w:val="18"/>
                <w:lang w:val="bg-BG"/>
              </w:rPr>
              <w:t>119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tabs>
                <w:tab w:val="decimal" w:pos="332"/>
              </w:tabs>
              <w:spacing w:before="60" w:after="60" w:line="240" w:lineRule="atLeast"/>
              <w:rPr>
                <w:rFonts w:cs="Arial"/>
                <w:sz w:val="18"/>
                <w:szCs w:val="18"/>
                <w:lang w:val="bg-BG"/>
              </w:rPr>
            </w:pPr>
            <w:r w:rsidRPr="009072DA">
              <w:rPr>
                <w:sz w:val="18"/>
                <w:lang w:val="bg-BG"/>
              </w:rPr>
              <w:t>159</w:t>
            </w:r>
          </w:p>
        </w:tc>
      </w:tr>
      <w:tr w:rsidR="003D2554" w:rsidRPr="009072DA"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Дължина на стенгата [m]</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tabs>
                <w:tab w:val="decimal" w:pos="332"/>
              </w:tabs>
              <w:spacing w:before="60" w:after="60" w:line="240" w:lineRule="atLeast"/>
              <w:rPr>
                <w:rFonts w:cs="Arial"/>
                <w:sz w:val="18"/>
                <w:szCs w:val="18"/>
                <w:lang w:val="bg-BG"/>
              </w:rPr>
            </w:pPr>
            <w:r w:rsidRPr="009072DA">
              <w:rPr>
                <w:sz w:val="18"/>
                <w:lang w:val="bg-BG"/>
              </w:rPr>
              <w:t>&lt;6</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6-8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tabs>
                <w:tab w:val="decimal" w:pos="332"/>
              </w:tabs>
              <w:spacing w:before="60" w:after="60" w:line="240" w:lineRule="atLeast"/>
              <w:rPr>
                <w:rFonts w:cs="Arial"/>
                <w:sz w:val="18"/>
                <w:szCs w:val="18"/>
                <w:lang w:val="bg-BG"/>
              </w:rPr>
            </w:pPr>
            <w:r w:rsidRPr="009072DA">
              <w:rPr>
                <w:sz w:val="18"/>
                <w:lang w:val="bg-BG"/>
              </w:rPr>
              <w:t>&gt;8</w:t>
            </w:r>
          </w:p>
        </w:tc>
      </w:tr>
      <w:tr w:rsidR="003D2554" w:rsidRPr="009072DA"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610BD">
            <w:pPr>
              <w:pStyle w:val="NormalLeft"/>
              <w:spacing w:before="60" w:after="60" w:line="240" w:lineRule="atLeast"/>
              <w:rPr>
                <w:rFonts w:cs="Arial"/>
                <w:sz w:val="18"/>
                <w:szCs w:val="18"/>
                <w:lang w:val="bg-BG"/>
              </w:rPr>
            </w:pPr>
            <w:r w:rsidRPr="009072DA">
              <w:rPr>
                <w:sz w:val="18"/>
                <w:lang w:val="bg-BG"/>
              </w:rPr>
              <w:t>Якост на опън на кливер-щаговете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tabs>
                <w:tab w:val="decimal" w:pos="332"/>
              </w:tabs>
              <w:spacing w:before="60" w:after="60" w:line="240" w:lineRule="atLeast"/>
              <w:rPr>
                <w:rFonts w:cs="Arial"/>
                <w:sz w:val="18"/>
                <w:szCs w:val="18"/>
                <w:lang w:val="bg-BG"/>
              </w:rPr>
            </w:pPr>
            <w:r w:rsidRPr="009072DA">
              <w:rPr>
                <w:sz w:val="18"/>
                <w:lang w:val="bg-BG"/>
              </w:rPr>
              <w:t>58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tabs>
                <w:tab w:val="decimal" w:pos="332"/>
              </w:tabs>
              <w:spacing w:before="60" w:after="60" w:line="240" w:lineRule="atLeast"/>
              <w:rPr>
                <w:rFonts w:cs="Arial"/>
                <w:sz w:val="18"/>
                <w:szCs w:val="18"/>
                <w:lang w:val="bg-BG"/>
              </w:rPr>
            </w:pPr>
            <w:r w:rsidRPr="009072DA">
              <w:rPr>
                <w:sz w:val="18"/>
                <w:lang w:val="bg-BG"/>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tabs>
                <w:tab w:val="decimal" w:pos="332"/>
              </w:tabs>
              <w:spacing w:before="60" w:after="60" w:line="240" w:lineRule="atLeast"/>
              <w:rPr>
                <w:rFonts w:cs="Arial"/>
                <w:sz w:val="18"/>
                <w:szCs w:val="18"/>
                <w:lang w:val="bg-BG"/>
              </w:rPr>
            </w:pPr>
            <w:r w:rsidRPr="009072DA">
              <w:rPr>
                <w:sz w:val="18"/>
                <w:lang w:val="bg-BG"/>
              </w:rPr>
              <w:t>119</w:t>
            </w:r>
          </w:p>
        </w:tc>
      </w:tr>
      <w:tr w:rsidR="003D2554" w:rsidRPr="009072DA"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Дължина на утлегара [m]</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tabs>
                <w:tab w:val="decimal" w:pos="332"/>
              </w:tabs>
              <w:spacing w:before="60" w:after="60" w:line="240" w:lineRule="atLeast"/>
              <w:rPr>
                <w:rFonts w:cs="Arial"/>
                <w:sz w:val="18"/>
                <w:szCs w:val="18"/>
                <w:lang w:val="bg-BG"/>
              </w:rPr>
            </w:pPr>
            <w:r w:rsidRPr="009072DA">
              <w:rPr>
                <w:sz w:val="18"/>
                <w:lang w:val="bg-BG"/>
              </w:rPr>
              <w:t>&lt;5</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5-7</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tabs>
                <w:tab w:val="decimal" w:pos="332"/>
              </w:tabs>
              <w:spacing w:before="60" w:after="60" w:line="240" w:lineRule="atLeast"/>
              <w:rPr>
                <w:rFonts w:cs="Arial"/>
                <w:sz w:val="18"/>
                <w:szCs w:val="18"/>
                <w:lang w:val="bg-BG"/>
              </w:rPr>
            </w:pPr>
            <w:r w:rsidRPr="009072DA">
              <w:rPr>
                <w:sz w:val="18"/>
                <w:lang w:val="bg-BG"/>
              </w:rPr>
              <w:t>&gt;7</w:t>
            </w:r>
          </w:p>
        </w:tc>
      </w:tr>
      <w:tr w:rsidR="003D2554" w:rsidRPr="009072DA"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610BD">
            <w:pPr>
              <w:pStyle w:val="NormalLeft"/>
              <w:spacing w:before="60" w:after="60" w:line="240" w:lineRule="atLeast"/>
              <w:rPr>
                <w:rFonts w:cs="Arial"/>
                <w:sz w:val="18"/>
                <w:szCs w:val="18"/>
                <w:lang w:val="bg-BG"/>
              </w:rPr>
            </w:pPr>
            <w:r w:rsidRPr="009072DA">
              <w:rPr>
                <w:sz w:val="18"/>
                <w:lang w:val="bg-BG"/>
              </w:rPr>
              <w:t>Якост на опън на вантите на бушприта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tabs>
                <w:tab w:val="decimal" w:pos="332"/>
              </w:tabs>
              <w:spacing w:before="60" w:after="60" w:line="240" w:lineRule="atLeast"/>
              <w:rPr>
                <w:rFonts w:cs="Arial"/>
                <w:sz w:val="18"/>
                <w:szCs w:val="18"/>
                <w:lang w:val="bg-BG"/>
              </w:rPr>
            </w:pPr>
            <w:r w:rsidRPr="009072DA">
              <w:rPr>
                <w:sz w:val="18"/>
                <w:lang w:val="bg-BG"/>
              </w:rPr>
              <w:t>58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tabs>
                <w:tab w:val="decimal" w:pos="332"/>
              </w:tabs>
              <w:spacing w:before="60" w:after="60" w:line="240" w:lineRule="atLeast"/>
              <w:rPr>
                <w:rFonts w:cs="Arial"/>
                <w:sz w:val="18"/>
                <w:szCs w:val="18"/>
                <w:lang w:val="bg-BG"/>
              </w:rPr>
            </w:pPr>
            <w:r w:rsidRPr="009072DA">
              <w:rPr>
                <w:sz w:val="18"/>
                <w:lang w:val="bg-BG"/>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tabs>
                <w:tab w:val="decimal" w:pos="332"/>
              </w:tabs>
              <w:spacing w:before="60" w:after="60" w:line="240" w:lineRule="atLeast"/>
              <w:rPr>
                <w:rFonts w:cs="Arial"/>
                <w:sz w:val="18"/>
                <w:szCs w:val="18"/>
                <w:lang w:val="bg-BG"/>
              </w:rPr>
            </w:pPr>
            <w:r w:rsidRPr="009072DA">
              <w:rPr>
                <w:sz w:val="18"/>
                <w:lang w:val="bg-BG"/>
              </w:rPr>
              <w:t>119</w:t>
            </w:r>
          </w:p>
        </w:tc>
      </w:tr>
    </w:tbl>
    <w:p w:rsidR="003D2554" w:rsidRPr="009072DA" w:rsidRDefault="003D2554" w:rsidP="003D2554">
      <w:pPr>
        <w:pStyle w:val="ESch"/>
        <w:rPr>
          <w:szCs w:val="20"/>
          <w:lang w:val="bg-BG"/>
        </w:rPr>
      </w:pPr>
    </w:p>
    <w:p w:rsidR="00A90B64" w:rsidRPr="009072DA" w:rsidRDefault="00A90B64" w:rsidP="003D2554">
      <w:pPr>
        <w:pStyle w:val="ESch"/>
        <w:rPr>
          <w:szCs w:val="20"/>
          <w:lang w:val="bg-BG"/>
        </w:rPr>
      </w:pPr>
      <w:r w:rsidRPr="009072DA">
        <w:rPr>
          <w:lang w:val="bg-BG"/>
        </w:rPr>
        <w:br w:type="page"/>
      </w:r>
    </w:p>
    <w:p w:rsidR="003D2554" w:rsidRPr="009072DA" w:rsidRDefault="003D2554" w:rsidP="003D2554">
      <w:pPr>
        <w:pStyle w:val="ESch"/>
        <w:rPr>
          <w:rFonts w:cs="Arial"/>
          <w:szCs w:val="20"/>
          <w:lang w:val="bg-BG"/>
        </w:rPr>
      </w:pPr>
      <w:r w:rsidRPr="009072DA">
        <w:rPr>
          <w:lang w:val="bg-BG"/>
        </w:rPr>
        <w:lastRenderedPageBreak/>
        <w:t>3.</w:t>
      </w:r>
      <w:r w:rsidRPr="009072DA">
        <w:rPr>
          <w:lang w:val="bg-BG"/>
        </w:rPr>
        <w:tab/>
        <w:t>Предпочита се конструкция на въжето, базирана на метода на изработка на въжета 6 × 7 FE от класа на якост 1550 N/mm</w:t>
      </w:r>
      <w:r w:rsidRPr="009072DA">
        <w:rPr>
          <w:vertAlign w:val="superscript"/>
          <w:lang w:val="bg-BG"/>
        </w:rPr>
        <w:t>2</w:t>
      </w:r>
      <w:r w:rsidRPr="009072DA">
        <w:rPr>
          <w:lang w:val="bg-BG"/>
        </w:rPr>
        <w:t>.  От друга страна, в същия клас на якост може да се използва метод на изработка 6 × 36 SE или 6 × 19 FE. Предвид по-голямата еластичност на метода на изработка 6 × 19 якостите на опън в показаната таблица се завишат с 10 %. Използването на различна конструкция на въжетата може да бъде разрешено, ако тя притежава сходни свойства.</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4.</w:t>
      </w:r>
      <w:r w:rsidRPr="009072DA">
        <w:rPr>
          <w:lang w:val="bg-BG"/>
        </w:rPr>
        <w:tab/>
        <w:t>В случай че се използва фиксиран такелаж, якостите на опън, посочени в таблицата, се завишат с 30 %.</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5.</w:t>
      </w:r>
      <w:r w:rsidRPr="009072DA">
        <w:rPr>
          <w:lang w:val="bg-BG"/>
        </w:rPr>
        <w:tab/>
        <w:t>За такелажа могат да се използват само одобрени вилки, уши и болтове.</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6.</w:t>
      </w:r>
      <w:r w:rsidRPr="009072DA">
        <w:rPr>
          <w:lang w:val="bg-BG"/>
        </w:rPr>
        <w:tab/>
        <w:t>Болтовете, вилките, ушите и талрепите трябва да са приспособени за надеждно закрепване.</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7.</w:t>
      </w:r>
      <w:r w:rsidRPr="009072DA">
        <w:rPr>
          <w:lang w:val="bg-BG"/>
        </w:rPr>
        <w:tab/>
        <w:t>Якостта на опън на ватерщага трябва да е най-малко 1,2 пъти по-голяма от якостта на опън на съответните кливер-щагове и бом-кливер леери.</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8.</w:t>
      </w:r>
      <w:r w:rsidRPr="009072DA">
        <w:rPr>
          <w:lang w:val="bg-BG"/>
        </w:rPr>
        <w:tab/>
        <w:t>При плавателни съдове с обемно водоизместване по-малко от 30 m</w:t>
      </w:r>
      <w:r w:rsidRPr="009072DA">
        <w:rPr>
          <w:vertAlign w:val="superscript"/>
          <w:lang w:val="bg-BG"/>
        </w:rPr>
        <w:t>3</w:t>
      </w:r>
      <w:r w:rsidRPr="009072DA">
        <w:rPr>
          <w:lang w:val="bg-BG"/>
        </w:rPr>
        <w:t xml:space="preserve"> контролният орган може да разреши намаления на якостите на опън, както са показани в долната таблица:</w:t>
      </w:r>
    </w:p>
    <w:p w:rsidR="003D2554" w:rsidRPr="009072DA" w:rsidRDefault="003D2554" w:rsidP="003D2554">
      <w:pPr>
        <w:pStyle w:val="ESch"/>
        <w:rPr>
          <w:rFonts w:cs="Arial"/>
          <w:szCs w:val="20"/>
          <w:lang w:val="bg-BG"/>
        </w:rPr>
      </w:pPr>
    </w:p>
    <w:tbl>
      <w:tblPr>
        <w:tblW w:w="0" w:type="auto"/>
        <w:jc w:val="center"/>
        <w:tblLayout w:type="fixed"/>
        <w:tblLook w:val="0000" w:firstRow="0" w:lastRow="0" w:firstColumn="0" w:lastColumn="0" w:noHBand="0" w:noVBand="0"/>
      </w:tblPr>
      <w:tblGrid>
        <w:gridCol w:w="5863"/>
        <w:gridCol w:w="1752"/>
      </w:tblGrid>
      <w:tr w:rsidR="003D2554" w:rsidRPr="009072DA"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Centered"/>
              <w:spacing w:before="60" w:after="60" w:line="240" w:lineRule="atLeast"/>
              <w:rPr>
                <w:rFonts w:cs="Arial"/>
                <w:sz w:val="18"/>
                <w:szCs w:val="18"/>
                <w:lang w:val="bg-BG"/>
              </w:rPr>
            </w:pPr>
            <w:r w:rsidRPr="009072DA">
              <w:rPr>
                <w:sz w:val="18"/>
                <w:lang w:val="bg-BG"/>
              </w:rPr>
              <w:t xml:space="preserve">Обемно водоизместване, разделено на броя мачти </w:t>
            </w:r>
            <w:r w:rsidRPr="009072DA">
              <w:rPr>
                <w:color w:val="000000"/>
                <w:sz w:val="18"/>
                <w:lang w:val="bg-BG"/>
              </w:rPr>
              <w:t>[m</w:t>
            </w:r>
            <w:r w:rsidRPr="009072DA">
              <w:rPr>
                <w:color w:val="000000"/>
                <w:sz w:val="18"/>
                <w:vertAlign w:val="superscript"/>
                <w:lang w:val="bg-BG"/>
              </w:rPr>
              <w:t>3</w:t>
            </w:r>
            <w:r w:rsidRPr="009072DA">
              <w:rPr>
                <w:color w:val="000000"/>
                <w:sz w:val="18"/>
                <w:lang w:val="bg-BG"/>
              </w:rPr>
              <w:t>]</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9072DA" w:rsidRDefault="00790FAC" w:rsidP="00790FAC">
            <w:pPr>
              <w:pStyle w:val="NormalCentered"/>
              <w:spacing w:before="60" w:after="60" w:line="240" w:lineRule="atLeast"/>
              <w:rPr>
                <w:rFonts w:cs="Arial"/>
                <w:sz w:val="18"/>
                <w:szCs w:val="18"/>
                <w:lang w:val="bg-BG"/>
              </w:rPr>
            </w:pPr>
            <w:r w:rsidRPr="009072DA">
              <w:rPr>
                <w:sz w:val="18"/>
                <w:lang w:val="bg-BG"/>
              </w:rPr>
              <w:t>Намаление [%]</w:t>
            </w:r>
          </w:p>
        </w:tc>
      </w:tr>
      <w:tr w:rsidR="003D2554" w:rsidRPr="009072DA"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60" w:after="60" w:line="240" w:lineRule="atLeast"/>
              <w:jc w:val="center"/>
              <w:rPr>
                <w:rFonts w:cs="Arial"/>
                <w:sz w:val="18"/>
                <w:szCs w:val="18"/>
                <w:lang w:val="bg-BG"/>
              </w:rPr>
            </w:pPr>
            <w:r w:rsidRPr="009072DA">
              <w:rPr>
                <w:sz w:val="18"/>
                <w:lang w:val="bg-BG"/>
              </w:rPr>
              <w:t>&gt;20 до 30</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790FAC">
            <w:pPr>
              <w:pStyle w:val="NormalLeft"/>
              <w:spacing w:before="60" w:after="60" w:line="240" w:lineRule="atLeast"/>
              <w:jc w:val="center"/>
              <w:rPr>
                <w:rFonts w:cs="Arial"/>
                <w:sz w:val="18"/>
                <w:szCs w:val="18"/>
                <w:lang w:val="bg-BG"/>
              </w:rPr>
            </w:pPr>
            <w:r w:rsidRPr="009072DA">
              <w:rPr>
                <w:sz w:val="18"/>
                <w:lang w:val="bg-BG"/>
              </w:rPr>
              <w:t>20</w:t>
            </w:r>
          </w:p>
        </w:tc>
      </w:tr>
      <w:tr w:rsidR="003D2554" w:rsidRPr="009072DA"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60" w:after="60" w:line="240" w:lineRule="atLeast"/>
              <w:jc w:val="center"/>
              <w:rPr>
                <w:rFonts w:cs="Arial"/>
                <w:sz w:val="18"/>
                <w:szCs w:val="18"/>
                <w:lang w:val="bg-BG"/>
              </w:rPr>
            </w:pPr>
            <w:r w:rsidRPr="009072DA">
              <w:rPr>
                <w:sz w:val="18"/>
                <w:lang w:val="bg-BG"/>
              </w:rPr>
              <w:t>10 до 20</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790FAC">
            <w:pPr>
              <w:pStyle w:val="NormalLeft"/>
              <w:spacing w:before="60" w:after="60" w:line="240" w:lineRule="atLeast"/>
              <w:jc w:val="center"/>
              <w:rPr>
                <w:rFonts w:cs="Arial"/>
                <w:sz w:val="18"/>
                <w:szCs w:val="18"/>
                <w:lang w:val="bg-BG"/>
              </w:rPr>
            </w:pPr>
            <w:r w:rsidRPr="009072DA">
              <w:rPr>
                <w:sz w:val="18"/>
                <w:lang w:val="bg-BG"/>
              </w:rPr>
              <w:t>35</w:t>
            </w:r>
          </w:p>
        </w:tc>
      </w:tr>
      <w:tr w:rsidR="003D2554" w:rsidRPr="009072DA"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60" w:after="60" w:line="240" w:lineRule="atLeast"/>
              <w:jc w:val="center"/>
              <w:rPr>
                <w:rFonts w:cs="Arial"/>
                <w:sz w:val="18"/>
                <w:szCs w:val="18"/>
                <w:lang w:val="bg-BG"/>
              </w:rPr>
            </w:pPr>
            <w:r w:rsidRPr="009072DA">
              <w:rPr>
                <w:sz w:val="18"/>
                <w:lang w:val="bg-BG"/>
              </w:rPr>
              <w:t>&lt; 10</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790FAC">
            <w:pPr>
              <w:pStyle w:val="NormalLeft"/>
              <w:spacing w:before="60" w:after="60" w:line="240" w:lineRule="atLeast"/>
              <w:jc w:val="center"/>
              <w:rPr>
                <w:rFonts w:cs="Arial"/>
                <w:sz w:val="18"/>
                <w:szCs w:val="18"/>
                <w:lang w:val="bg-BG"/>
              </w:rPr>
            </w:pPr>
            <w:r w:rsidRPr="009072DA">
              <w:rPr>
                <w:sz w:val="18"/>
                <w:lang w:val="bg-BG"/>
              </w:rPr>
              <w:t>60</w:t>
            </w:r>
          </w:p>
        </w:tc>
      </w:tr>
    </w:tbl>
    <w:p w:rsidR="003D2554" w:rsidRPr="009072DA" w:rsidRDefault="003D2554" w:rsidP="003D2554">
      <w:pPr>
        <w:pStyle w:val="ESch"/>
        <w:rPr>
          <w:rFonts w:cs="Arial"/>
          <w:szCs w:val="20"/>
          <w:lang w:val="bg-BG"/>
        </w:rPr>
      </w:pPr>
    </w:p>
    <w:p w:rsidR="003D2554" w:rsidRPr="009072DA" w:rsidRDefault="003D2554" w:rsidP="003D2554">
      <w:pPr>
        <w:pStyle w:val="ESch"/>
        <w:rPr>
          <w:rFonts w:cs="Arial"/>
          <w:szCs w:val="20"/>
          <w:lang w:val="bg-BG"/>
        </w:rPr>
      </w:pPr>
    </w:p>
    <w:p w:rsidR="003D2554" w:rsidRPr="009072DA" w:rsidRDefault="003D2554" w:rsidP="003D2554">
      <w:pPr>
        <w:pStyle w:val="ES-Titre3"/>
        <w:rPr>
          <w:rFonts w:cs="Arial"/>
          <w:i/>
          <w:lang w:val="bg-BG"/>
        </w:rPr>
      </w:pPr>
      <w:bookmarkStart w:id="405" w:name="_Toc491854200"/>
      <w:bookmarkStart w:id="406" w:name="_Toc535827641"/>
      <w:r w:rsidRPr="009072DA">
        <w:rPr>
          <w:lang w:val="bg-BG"/>
        </w:rPr>
        <w:t>Член 20.15</w:t>
      </w:r>
      <w:r w:rsidRPr="009072DA">
        <w:rPr>
          <w:lang w:val="bg-BG"/>
        </w:rPr>
        <w:br/>
      </w:r>
      <w:r w:rsidRPr="009072DA">
        <w:rPr>
          <w:i/>
          <w:lang w:val="bg-BG"/>
        </w:rPr>
        <w:t>Специални разпоредби относно подвижния такелаж</w:t>
      </w:r>
      <w:bookmarkEnd w:id="405"/>
      <w:bookmarkEnd w:id="406"/>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1.</w:t>
      </w:r>
      <w:r w:rsidRPr="009072DA">
        <w:rPr>
          <w:lang w:val="bg-BG"/>
        </w:rPr>
        <w:tab/>
        <w:t>За подвижния такелаж се използват въжета от синтетични влакна или стоманени жици. Минималната якост на опън и диаметрите на подвижния такелаж по отношение на ветрилната площ трябва да отговарят на следните минимални изисквания:</w:t>
      </w:r>
    </w:p>
    <w:p w:rsidR="003D2554" w:rsidRPr="009072DA" w:rsidRDefault="003D2554" w:rsidP="003D2554">
      <w:pPr>
        <w:pStyle w:val="ESch"/>
        <w:rPr>
          <w:szCs w:val="20"/>
          <w:lang w:val="bg-BG"/>
        </w:rPr>
      </w:pPr>
    </w:p>
    <w:tbl>
      <w:tblPr>
        <w:tblW w:w="0" w:type="auto"/>
        <w:jc w:val="center"/>
        <w:tblLayout w:type="fixed"/>
        <w:tblLook w:val="0000" w:firstRow="0" w:lastRow="0" w:firstColumn="0" w:lastColumn="0" w:noHBand="0" w:noVBand="0"/>
      </w:tblPr>
      <w:tblGrid>
        <w:gridCol w:w="2229"/>
        <w:gridCol w:w="1393"/>
        <w:gridCol w:w="1578"/>
        <w:gridCol w:w="2136"/>
        <w:gridCol w:w="1950"/>
      </w:tblGrid>
      <w:tr w:rsidR="003D2554" w:rsidRPr="009072DA" w:rsidTr="00A90B64">
        <w:trPr>
          <w:cantSplit/>
          <w:tblHeader/>
          <w:jc w:val="center"/>
        </w:trPr>
        <w:tc>
          <w:tcPr>
            <w:tcW w:w="2229"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Centered"/>
              <w:spacing w:before="60" w:after="60" w:line="240" w:lineRule="atLeast"/>
              <w:rPr>
                <w:rFonts w:cs="Arial"/>
                <w:sz w:val="18"/>
                <w:szCs w:val="18"/>
                <w:lang w:val="bg-BG"/>
              </w:rPr>
            </w:pPr>
            <w:r w:rsidRPr="009072DA">
              <w:rPr>
                <w:sz w:val="18"/>
                <w:lang w:val="bg-BG"/>
              </w:rPr>
              <w:t>Тип на подвижния такелаж</w:t>
            </w: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Centered"/>
              <w:spacing w:before="60" w:after="60" w:line="240" w:lineRule="atLeast"/>
              <w:rPr>
                <w:rFonts w:cs="Arial"/>
                <w:sz w:val="18"/>
                <w:szCs w:val="18"/>
                <w:lang w:val="bg-BG"/>
              </w:rPr>
            </w:pPr>
            <w:r w:rsidRPr="009072DA">
              <w:rPr>
                <w:sz w:val="18"/>
                <w:lang w:val="bg-BG"/>
              </w:rPr>
              <w:t>Материал на въжето</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Centered"/>
              <w:spacing w:before="60" w:after="60" w:line="240" w:lineRule="atLeast"/>
              <w:rPr>
                <w:rFonts w:cs="Arial"/>
                <w:sz w:val="18"/>
                <w:szCs w:val="18"/>
                <w:lang w:val="bg-BG"/>
              </w:rPr>
            </w:pPr>
            <w:r w:rsidRPr="009072DA">
              <w:rPr>
                <w:sz w:val="18"/>
                <w:lang w:val="bg-BG"/>
              </w:rPr>
              <w:t xml:space="preserve">Ветрилна площ </w:t>
            </w:r>
            <w:r w:rsidRPr="009072DA">
              <w:rPr>
                <w:color w:val="000000"/>
                <w:sz w:val="18"/>
                <w:lang w:val="bg-BG"/>
              </w:rPr>
              <w:t>[m</w:t>
            </w:r>
            <w:r w:rsidRPr="009072DA">
              <w:rPr>
                <w:color w:val="000000"/>
                <w:sz w:val="18"/>
                <w:vertAlign w:val="superscript"/>
                <w:lang w:val="bg-BG"/>
              </w:rPr>
              <w:t>2</w:t>
            </w:r>
            <w:r w:rsidRPr="009072DA">
              <w:rPr>
                <w:color w:val="000000"/>
                <w:sz w:val="18"/>
                <w:lang w:val="bg-BG"/>
              </w:rPr>
              <w:t>]</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610BD">
            <w:pPr>
              <w:pStyle w:val="NormalCentered"/>
              <w:spacing w:before="60" w:after="60" w:line="240" w:lineRule="atLeast"/>
              <w:rPr>
                <w:rFonts w:cs="Arial"/>
                <w:sz w:val="18"/>
                <w:szCs w:val="18"/>
                <w:lang w:val="bg-BG"/>
              </w:rPr>
            </w:pPr>
            <w:r w:rsidRPr="009072DA">
              <w:rPr>
                <w:sz w:val="18"/>
                <w:lang w:val="bg-BG"/>
              </w:rPr>
              <w:t>Минимална якост на опън [kN]</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Centered"/>
              <w:spacing w:before="60" w:after="60" w:line="240" w:lineRule="atLeast"/>
              <w:rPr>
                <w:rFonts w:cs="Arial"/>
                <w:sz w:val="18"/>
                <w:szCs w:val="18"/>
                <w:lang w:val="bg-BG"/>
              </w:rPr>
            </w:pPr>
            <w:r w:rsidRPr="009072DA">
              <w:rPr>
                <w:sz w:val="18"/>
                <w:lang w:val="bg-BG"/>
              </w:rPr>
              <w:t>Диаметър на въжето [mm]</w:t>
            </w:r>
          </w:p>
        </w:tc>
      </w:tr>
      <w:tr w:rsidR="003D2554" w:rsidRPr="009072DA"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60" w:line="240" w:lineRule="atLeast"/>
              <w:rPr>
                <w:rFonts w:cs="Arial"/>
                <w:sz w:val="18"/>
                <w:szCs w:val="18"/>
                <w:lang w:val="bg-BG"/>
              </w:rPr>
            </w:pPr>
            <w:r w:rsidRPr="009072DA">
              <w:rPr>
                <w:sz w:val="18"/>
                <w:lang w:val="bg-BG"/>
              </w:rPr>
              <w:lastRenderedPageBreak/>
              <w:t>Стакселни фалове</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60" w:line="240" w:lineRule="atLeast"/>
              <w:rPr>
                <w:rFonts w:cs="Arial"/>
                <w:sz w:val="18"/>
                <w:szCs w:val="18"/>
                <w:lang w:val="bg-BG"/>
              </w:rPr>
            </w:pPr>
            <w:r w:rsidRPr="009072DA">
              <w:rPr>
                <w:sz w:val="18"/>
                <w:lang w:val="bg-BG"/>
              </w:rPr>
              <w:t>Стоманена жица</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60" w:line="240" w:lineRule="atLeast"/>
              <w:jc w:val="center"/>
              <w:rPr>
                <w:rFonts w:cs="Arial"/>
                <w:sz w:val="18"/>
                <w:szCs w:val="18"/>
                <w:lang w:val="bg-BG"/>
              </w:rPr>
            </w:pPr>
            <w:r w:rsidRPr="009072DA">
              <w:rPr>
                <w:sz w:val="18"/>
                <w:lang w:val="bg-BG"/>
              </w:rPr>
              <w:t>до 35</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60" w:line="240" w:lineRule="atLeast"/>
              <w:jc w:val="center"/>
              <w:rPr>
                <w:rFonts w:cs="Arial"/>
                <w:sz w:val="18"/>
                <w:szCs w:val="18"/>
                <w:lang w:val="bg-BG"/>
              </w:rPr>
            </w:pPr>
            <w:r w:rsidRPr="009072DA">
              <w:rPr>
                <w:sz w:val="18"/>
                <w:lang w:val="bg-BG"/>
              </w:rPr>
              <w:t>20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60" w:line="240" w:lineRule="atLeast"/>
              <w:jc w:val="center"/>
              <w:rPr>
                <w:rFonts w:cs="Arial"/>
                <w:sz w:val="18"/>
                <w:szCs w:val="18"/>
                <w:lang w:val="bg-BG"/>
              </w:rPr>
            </w:pPr>
            <w:r w:rsidRPr="009072DA">
              <w:rPr>
                <w:sz w:val="18"/>
                <w:lang w:val="bg-BG"/>
              </w:rPr>
              <w:t>6</w:t>
            </w:r>
          </w:p>
        </w:tc>
      </w:tr>
      <w:tr w:rsidR="003D2554" w:rsidRPr="009072DA"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adjustRightInd w:val="0"/>
              <w:spacing w:before="160" w:after="160" w:line="240" w:lineRule="atLeast"/>
              <w:rPr>
                <w:rFonts w:cs="Arial"/>
                <w:sz w:val="18"/>
                <w:szCs w:val="18"/>
                <w:lang w:val="bg-BG"/>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adjustRightInd w:val="0"/>
              <w:spacing w:before="160" w:after="160" w:line="240" w:lineRule="atLeast"/>
              <w:rPr>
                <w:rFonts w:cs="Arial"/>
                <w:sz w:val="18"/>
                <w:szCs w:val="18"/>
                <w:lang w:val="bg-BG"/>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60" w:line="240" w:lineRule="atLeast"/>
              <w:jc w:val="center"/>
              <w:rPr>
                <w:rFonts w:cs="Arial"/>
                <w:sz w:val="18"/>
                <w:szCs w:val="18"/>
                <w:lang w:val="bg-BG"/>
              </w:rPr>
            </w:pPr>
            <w:r w:rsidRPr="009072DA">
              <w:rPr>
                <w:sz w:val="18"/>
                <w:lang w:val="bg-BG"/>
              </w:rPr>
              <w:t>&gt; 35</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60" w:line="240" w:lineRule="atLeast"/>
              <w:jc w:val="center"/>
              <w:rPr>
                <w:rFonts w:cs="Arial"/>
                <w:sz w:val="18"/>
                <w:szCs w:val="18"/>
                <w:lang w:val="bg-BG"/>
              </w:rPr>
            </w:pPr>
            <w:r w:rsidRPr="009072DA">
              <w:rPr>
                <w:sz w:val="18"/>
                <w:lang w:val="bg-BG"/>
              </w:rPr>
              <w:t>38</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60" w:line="240" w:lineRule="atLeast"/>
              <w:jc w:val="center"/>
              <w:rPr>
                <w:rFonts w:cs="Arial"/>
                <w:sz w:val="18"/>
                <w:szCs w:val="18"/>
                <w:lang w:val="bg-BG"/>
              </w:rPr>
            </w:pPr>
            <w:r w:rsidRPr="009072DA">
              <w:rPr>
                <w:sz w:val="18"/>
                <w:lang w:val="bg-BG"/>
              </w:rPr>
              <w:t>8</w:t>
            </w:r>
          </w:p>
        </w:tc>
      </w:tr>
      <w:tr w:rsidR="003D2554" w:rsidRPr="008D2440"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adjustRightInd w:val="0"/>
              <w:spacing w:before="160" w:after="160" w:line="240" w:lineRule="atLeast"/>
              <w:rPr>
                <w:rFonts w:cs="Arial"/>
                <w:sz w:val="18"/>
                <w:szCs w:val="18"/>
                <w:lang w:val="bg-BG"/>
              </w:rPr>
            </w:pP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60" w:line="240" w:lineRule="atLeast"/>
              <w:rPr>
                <w:rFonts w:cs="Arial"/>
                <w:sz w:val="18"/>
                <w:szCs w:val="18"/>
                <w:lang w:val="bg-BG"/>
              </w:rPr>
            </w:pPr>
            <w:r w:rsidRPr="009072DA">
              <w:rPr>
                <w:sz w:val="18"/>
                <w:lang w:val="bg-BG"/>
              </w:rPr>
              <w:t>Синтетично влакно (полипропилен - РР)</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60" w:line="240" w:lineRule="atLeast"/>
              <w:jc w:val="both"/>
              <w:rPr>
                <w:rFonts w:cs="Arial"/>
                <w:sz w:val="18"/>
                <w:szCs w:val="18"/>
                <w:lang w:val="bg-BG"/>
              </w:rPr>
            </w:pPr>
            <w:r w:rsidRPr="009072DA">
              <w:rPr>
                <w:sz w:val="18"/>
                <w:lang w:val="bg-BG"/>
              </w:rPr>
              <w:t>Диаметър на въжето от поне 14 mm и една въжена шайба за всеки 25 m</w:t>
            </w:r>
            <w:r w:rsidRPr="009072DA">
              <w:rPr>
                <w:sz w:val="18"/>
                <w:vertAlign w:val="superscript"/>
                <w:lang w:val="bg-BG"/>
              </w:rPr>
              <w:t>2</w:t>
            </w:r>
            <w:r w:rsidRPr="009072DA">
              <w:rPr>
                <w:sz w:val="18"/>
                <w:lang w:val="bg-BG"/>
              </w:rPr>
              <w:t xml:space="preserve"> или част от тях</w:t>
            </w:r>
          </w:p>
        </w:tc>
      </w:tr>
      <w:tr w:rsidR="003D2554" w:rsidRPr="009072DA"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40" w:line="240" w:lineRule="atLeast"/>
              <w:rPr>
                <w:rFonts w:cs="Arial"/>
                <w:sz w:val="18"/>
                <w:szCs w:val="18"/>
                <w:lang w:val="bg-BG"/>
              </w:rPr>
            </w:pPr>
            <w:r w:rsidRPr="009072DA">
              <w:rPr>
                <w:sz w:val="18"/>
                <w:lang w:val="bg-BG"/>
              </w:rPr>
              <w:t>Гафелни фалове</w:t>
            </w:r>
            <w:r w:rsidRPr="009072DA">
              <w:rPr>
                <w:rFonts w:cs="Arial"/>
                <w:sz w:val="18"/>
                <w:szCs w:val="18"/>
                <w:lang w:val="bg-BG"/>
              </w:rPr>
              <w:br/>
            </w:r>
            <w:r w:rsidRPr="009072DA">
              <w:rPr>
                <w:sz w:val="18"/>
                <w:lang w:val="bg-BG"/>
              </w:rPr>
              <w:t>Марсови фалове</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40" w:line="240" w:lineRule="atLeast"/>
              <w:rPr>
                <w:rFonts w:cs="Arial"/>
                <w:sz w:val="18"/>
                <w:szCs w:val="18"/>
                <w:lang w:val="bg-BG"/>
              </w:rPr>
            </w:pPr>
            <w:r w:rsidRPr="009072DA">
              <w:rPr>
                <w:sz w:val="18"/>
                <w:lang w:val="bg-BG"/>
              </w:rPr>
              <w:t>Стоманена жица</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40" w:line="240" w:lineRule="atLeast"/>
              <w:jc w:val="center"/>
              <w:rPr>
                <w:rFonts w:cs="Arial"/>
                <w:sz w:val="18"/>
                <w:szCs w:val="18"/>
                <w:lang w:val="bg-BG"/>
              </w:rPr>
            </w:pPr>
            <w:r w:rsidRPr="009072DA">
              <w:rPr>
                <w:sz w:val="18"/>
                <w:lang w:val="bg-BG"/>
              </w:rPr>
              <w:t>до 50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40" w:line="240" w:lineRule="atLeast"/>
              <w:jc w:val="center"/>
              <w:rPr>
                <w:rFonts w:cs="Arial"/>
                <w:sz w:val="18"/>
                <w:szCs w:val="18"/>
                <w:lang w:val="bg-BG"/>
              </w:rPr>
            </w:pPr>
            <w:r w:rsidRPr="009072DA">
              <w:rPr>
                <w:sz w:val="18"/>
                <w:lang w:val="bg-BG"/>
              </w:rPr>
              <w:t>20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40" w:line="240" w:lineRule="atLeast"/>
              <w:jc w:val="center"/>
              <w:rPr>
                <w:rFonts w:cs="Arial"/>
                <w:sz w:val="18"/>
                <w:szCs w:val="18"/>
                <w:lang w:val="bg-BG"/>
              </w:rPr>
            </w:pPr>
            <w:r w:rsidRPr="009072DA">
              <w:rPr>
                <w:sz w:val="18"/>
                <w:lang w:val="bg-BG"/>
              </w:rPr>
              <w:t>6</w:t>
            </w:r>
          </w:p>
        </w:tc>
      </w:tr>
      <w:tr w:rsidR="003D2554" w:rsidRPr="009072DA"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adjustRightInd w:val="0"/>
              <w:spacing w:before="160" w:after="140" w:line="240" w:lineRule="atLeast"/>
              <w:rPr>
                <w:rFonts w:cs="Arial"/>
                <w:sz w:val="18"/>
                <w:szCs w:val="18"/>
                <w:lang w:val="bg-BG"/>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adjustRightInd w:val="0"/>
              <w:spacing w:before="160" w:after="140" w:line="240" w:lineRule="atLeast"/>
              <w:rPr>
                <w:rFonts w:cs="Arial"/>
                <w:sz w:val="18"/>
                <w:szCs w:val="18"/>
                <w:lang w:val="bg-BG"/>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40" w:line="240" w:lineRule="atLeast"/>
              <w:jc w:val="center"/>
              <w:rPr>
                <w:rFonts w:cs="Arial"/>
                <w:sz w:val="18"/>
                <w:szCs w:val="18"/>
                <w:lang w:val="bg-BG"/>
              </w:rPr>
            </w:pPr>
            <w:r w:rsidRPr="009072DA">
              <w:rPr>
                <w:sz w:val="18"/>
                <w:lang w:val="bg-BG"/>
              </w:rPr>
              <w:t>&gt; 50 до 80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40" w:line="240" w:lineRule="atLeast"/>
              <w:jc w:val="center"/>
              <w:rPr>
                <w:rFonts w:cs="Arial"/>
                <w:sz w:val="18"/>
                <w:szCs w:val="18"/>
                <w:lang w:val="bg-BG"/>
              </w:rPr>
            </w:pPr>
            <w:r w:rsidRPr="009072DA">
              <w:rPr>
                <w:sz w:val="18"/>
                <w:lang w:val="bg-BG"/>
              </w:rPr>
              <w:t>30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40" w:line="240" w:lineRule="atLeast"/>
              <w:jc w:val="center"/>
              <w:rPr>
                <w:rFonts w:cs="Arial"/>
                <w:sz w:val="18"/>
                <w:szCs w:val="18"/>
                <w:lang w:val="bg-BG"/>
              </w:rPr>
            </w:pPr>
            <w:r w:rsidRPr="009072DA">
              <w:rPr>
                <w:sz w:val="18"/>
                <w:lang w:val="bg-BG"/>
              </w:rPr>
              <w:t>8</w:t>
            </w:r>
          </w:p>
        </w:tc>
      </w:tr>
      <w:tr w:rsidR="003D2554" w:rsidRPr="009072DA"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adjustRightInd w:val="0"/>
              <w:spacing w:before="160" w:after="140" w:line="240" w:lineRule="atLeast"/>
              <w:rPr>
                <w:rFonts w:cs="Arial"/>
                <w:sz w:val="18"/>
                <w:szCs w:val="18"/>
                <w:lang w:val="bg-BG"/>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adjustRightInd w:val="0"/>
              <w:spacing w:before="160" w:after="140" w:line="240" w:lineRule="atLeast"/>
              <w:rPr>
                <w:rFonts w:cs="Arial"/>
                <w:sz w:val="18"/>
                <w:szCs w:val="18"/>
                <w:lang w:val="bg-BG"/>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40" w:line="240" w:lineRule="atLeast"/>
              <w:jc w:val="center"/>
              <w:rPr>
                <w:rFonts w:cs="Arial"/>
                <w:sz w:val="18"/>
                <w:szCs w:val="18"/>
                <w:lang w:val="bg-BG"/>
              </w:rPr>
            </w:pPr>
            <w:r w:rsidRPr="009072DA">
              <w:rPr>
                <w:sz w:val="18"/>
                <w:lang w:val="bg-BG"/>
              </w:rPr>
              <w:t>&gt; 80 до 120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40" w:line="240" w:lineRule="atLeast"/>
              <w:jc w:val="center"/>
              <w:rPr>
                <w:rFonts w:cs="Arial"/>
                <w:sz w:val="18"/>
                <w:szCs w:val="18"/>
                <w:lang w:val="bg-BG"/>
              </w:rPr>
            </w:pPr>
            <w:r w:rsidRPr="009072DA">
              <w:rPr>
                <w:sz w:val="18"/>
                <w:lang w:val="bg-BG"/>
              </w:rPr>
              <w:t>60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40" w:line="240" w:lineRule="atLeast"/>
              <w:jc w:val="center"/>
              <w:rPr>
                <w:rFonts w:cs="Arial"/>
                <w:sz w:val="18"/>
                <w:szCs w:val="18"/>
                <w:lang w:val="bg-BG"/>
              </w:rPr>
            </w:pPr>
            <w:r w:rsidRPr="009072DA">
              <w:rPr>
                <w:sz w:val="18"/>
                <w:lang w:val="bg-BG"/>
              </w:rPr>
              <w:t>10</w:t>
            </w:r>
          </w:p>
        </w:tc>
      </w:tr>
      <w:tr w:rsidR="003D2554" w:rsidRPr="009072DA"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adjustRightInd w:val="0"/>
              <w:spacing w:before="160" w:after="140" w:line="240" w:lineRule="atLeast"/>
              <w:rPr>
                <w:rFonts w:cs="Arial"/>
                <w:sz w:val="18"/>
                <w:szCs w:val="18"/>
                <w:lang w:val="bg-BG"/>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adjustRightInd w:val="0"/>
              <w:spacing w:before="160" w:after="140" w:line="240" w:lineRule="atLeast"/>
              <w:rPr>
                <w:rFonts w:cs="Arial"/>
                <w:sz w:val="18"/>
                <w:szCs w:val="18"/>
                <w:lang w:val="bg-BG"/>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40" w:line="240" w:lineRule="atLeast"/>
              <w:jc w:val="center"/>
              <w:rPr>
                <w:rFonts w:cs="Arial"/>
                <w:sz w:val="18"/>
                <w:szCs w:val="18"/>
                <w:lang w:val="bg-BG"/>
              </w:rPr>
            </w:pPr>
            <w:r w:rsidRPr="009072DA">
              <w:rPr>
                <w:sz w:val="18"/>
                <w:lang w:val="bg-BG"/>
              </w:rPr>
              <w:t>&gt;120 до 160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40" w:line="240" w:lineRule="atLeast"/>
              <w:jc w:val="center"/>
              <w:rPr>
                <w:rFonts w:cs="Arial"/>
                <w:sz w:val="18"/>
                <w:szCs w:val="18"/>
                <w:lang w:val="bg-BG"/>
              </w:rPr>
            </w:pPr>
            <w:r w:rsidRPr="009072DA">
              <w:rPr>
                <w:sz w:val="18"/>
                <w:lang w:val="bg-BG"/>
              </w:rPr>
              <w:t>80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40" w:line="240" w:lineRule="atLeast"/>
              <w:jc w:val="center"/>
              <w:rPr>
                <w:rFonts w:cs="Arial"/>
                <w:sz w:val="18"/>
                <w:szCs w:val="18"/>
                <w:lang w:val="bg-BG"/>
              </w:rPr>
            </w:pPr>
            <w:r w:rsidRPr="009072DA">
              <w:rPr>
                <w:sz w:val="18"/>
                <w:lang w:val="bg-BG"/>
              </w:rPr>
              <w:t>12</w:t>
            </w:r>
          </w:p>
        </w:tc>
      </w:tr>
      <w:tr w:rsidR="003D2554" w:rsidRPr="008D2440"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adjustRightInd w:val="0"/>
              <w:spacing w:before="160" w:after="140" w:line="240" w:lineRule="atLeast"/>
              <w:rPr>
                <w:rFonts w:cs="Arial"/>
                <w:sz w:val="18"/>
                <w:szCs w:val="18"/>
                <w:lang w:val="bg-BG"/>
              </w:rPr>
            </w:pP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40" w:line="240" w:lineRule="atLeast"/>
              <w:rPr>
                <w:rFonts w:cs="Arial"/>
                <w:sz w:val="18"/>
                <w:szCs w:val="18"/>
                <w:lang w:val="bg-BG"/>
              </w:rPr>
            </w:pPr>
            <w:r w:rsidRPr="009072DA">
              <w:rPr>
                <w:sz w:val="18"/>
                <w:lang w:val="bg-BG"/>
              </w:rPr>
              <w:t>Синтетично влакно (РР)</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9072DA" w:rsidRDefault="003D2554" w:rsidP="0042206B">
            <w:pPr>
              <w:pStyle w:val="NormalLeft"/>
              <w:spacing w:before="160" w:after="140" w:line="240" w:lineRule="atLeast"/>
              <w:jc w:val="both"/>
              <w:rPr>
                <w:rFonts w:cs="Arial"/>
                <w:sz w:val="18"/>
                <w:szCs w:val="18"/>
                <w:lang w:val="bg-BG"/>
              </w:rPr>
            </w:pPr>
            <w:r w:rsidRPr="009072DA">
              <w:rPr>
                <w:sz w:val="18"/>
                <w:lang w:val="bg-BG"/>
              </w:rPr>
              <w:t>Диаметър на въжето от поне 18 mm и една въжена шайба за всеки 30 m</w:t>
            </w:r>
            <w:r w:rsidRPr="009072DA">
              <w:rPr>
                <w:sz w:val="18"/>
                <w:vertAlign w:val="superscript"/>
                <w:lang w:val="bg-BG"/>
              </w:rPr>
              <w:t>2</w:t>
            </w:r>
            <w:r w:rsidRPr="009072DA">
              <w:rPr>
                <w:sz w:val="18"/>
                <w:lang w:val="bg-BG"/>
              </w:rPr>
              <w:t xml:space="preserve"> или част от тях</w:t>
            </w:r>
          </w:p>
        </w:tc>
      </w:tr>
      <w:tr w:rsidR="003D2554" w:rsidRPr="009072DA"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Стакселни шкоти</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Синтетично влакно (РР)</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до 40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14</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p>
        </w:tc>
      </w:tr>
      <w:tr w:rsidR="003D2554" w:rsidRPr="009072DA"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adjustRightInd w:val="0"/>
              <w:spacing w:before="60" w:after="60" w:line="240" w:lineRule="atLeast"/>
              <w:rPr>
                <w:rFonts w:cs="Arial"/>
                <w:sz w:val="18"/>
                <w:szCs w:val="18"/>
                <w:lang w:val="bg-BG"/>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adjustRightInd w:val="0"/>
              <w:spacing w:before="60" w:after="60" w:line="240" w:lineRule="atLeast"/>
              <w:rPr>
                <w:rFonts w:cs="Arial"/>
                <w:sz w:val="18"/>
                <w:szCs w:val="18"/>
                <w:lang w:val="bg-BG"/>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&gt; 40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r w:rsidRPr="009072DA">
              <w:rPr>
                <w:sz w:val="18"/>
                <w:lang w:val="bg-BG"/>
              </w:rPr>
              <w:t>18</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center"/>
              <w:rPr>
                <w:rFonts w:cs="Arial"/>
                <w:sz w:val="18"/>
                <w:szCs w:val="18"/>
                <w:lang w:val="bg-BG"/>
              </w:rPr>
            </w:pPr>
          </w:p>
        </w:tc>
      </w:tr>
      <w:tr w:rsidR="003D2554" w:rsidRPr="008D2440"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adjustRightInd w:val="0"/>
              <w:spacing w:before="60" w:after="60" w:line="240" w:lineRule="atLeast"/>
              <w:rPr>
                <w:rFonts w:cs="Arial"/>
                <w:sz w:val="18"/>
                <w:szCs w:val="18"/>
                <w:lang w:val="bg-BG"/>
              </w:rPr>
            </w:pPr>
          </w:p>
        </w:tc>
        <w:tc>
          <w:tcPr>
            <w:tcW w:w="7057" w:type="dxa"/>
            <w:gridSpan w:val="4"/>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both"/>
              <w:rPr>
                <w:rFonts w:cs="Arial"/>
                <w:sz w:val="18"/>
                <w:szCs w:val="18"/>
                <w:lang w:val="bg-BG"/>
              </w:rPr>
            </w:pPr>
            <w:r w:rsidRPr="009072DA">
              <w:rPr>
                <w:sz w:val="18"/>
                <w:lang w:val="bg-BG"/>
              </w:rPr>
              <w:t>За ветрилни площи от над 30 m</w:t>
            </w:r>
            <w:r w:rsidRPr="009072DA">
              <w:rPr>
                <w:sz w:val="18"/>
                <w:vertAlign w:val="superscript"/>
                <w:lang w:val="bg-BG"/>
              </w:rPr>
              <w:t>2</w:t>
            </w:r>
            <w:r w:rsidRPr="009072DA">
              <w:rPr>
                <w:sz w:val="18"/>
                <w:lang w:val="bg-BG"/>
              </w:rPr>
              <w:t>, шкотът трябва да заема формата на тал или да е пригоден за лебедка</w:t>
            </w:r>
          </w:p>
        </w:tc>
      </w:tr>
      <w:tr w:rsidR="003D2554" w:rsidRPr="009072DA"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Гафелни/марсови шкоти</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Стоманена жица</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&lt; 100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60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10</w:t>
            </w:r>
          </w:p>
        </w:tc>
      </w:tr>
      <w:tr w:rsidR="003D2554" w:rsidRPr="009072DA"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adjustRightInd w:val="0"/>
              <w:spacing w:before="60" w:after="60" w:line="240" w:lineRule="atLeast"/>
              <w:rPr>
                <w:rFonts w:cs="Arial"/>
                <w:sz w:val="18"/>
                <w:szCs w:val="18"/>
                <w:lang w:val="bg-BG"/>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adjustRightInd w:val="0"/>
              <w:spacing w:before="60" w:after="60" w:line="240" w:lineRule="atLeast"/>
              <w:rPr>
                <w:rFonts w:cs="Arial"/>
                <w:sz w:val="18"/>
                <w:szCs w:val="18"/>
                <w:lang w:val="bg-BG"/>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100 до 150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85</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12</w:t>
            </w:r>
          </w:p>
        </w:tc>
      </w:tr>
      <w:tr w:rsidR="003D2554" w:rsidRPr="009072DA"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adjustRightInd w:val="0"/>
              <w:spacing w:before="60" w:after="60" w:line="240" w:lineRule="atLeast"/>
              <w:rPr>
                <w:rFonts w:cs="Arial"/>
                <w:sz w:val="18"/>
                <w:szCs w:val="18"/>
                <w:lang w:val="bg-BG"/>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adjustRightInd w:val="0"/>
              <w:spacing w:before="60" w:after="60" w:line="240" w:lineRule="atLeast"/>
              <w:rPr>
                <w:rFonts w:cs="Arial"/>
                <w:sz w:val="18"/>
                <w:szCs w:val="18"/>
                <w:lang w:val="bg-BG"/>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&gt; 150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116</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14</w:t>
            </w:r>
          </w:p>
        </w:tc>
      </w:tr>
      <w:tr w:rsidR="003D2554" w:rsidRPr="008D2440"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adjustRightInd w:val="0"/>
              <w:spacing w:before="60" w:after="60" w:line="240" w:lineRule="atLeast"/>
              <w:rPr>
                <w:rFonts w:cs="Arial"/>
                <w:sz w:val="18"/>
                <w:szCs w:val="18"/>
                <w:lang w:val="bg-BG"/>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adjustRightInd w:val="0"/>
              <w:spacing w:before="60" w:after="60" w:line="240" w:lineRule="atLeast"/>
              <w:rPr>
                <w:rFonts w:cs="Arial"/>
                <w:sz w:val="18"/>
                <w:szCs w:val="18"/>
                <w:lang w:val="bg-BG"/>
              </w:rPr>
            </w:pP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both"/>
              <w:rPr>
                <w:rFonts w:cs="Arial"/>
                <w:sz w:val="18"/>
                <w:szCs w:val="18"/>
                <w:lang w:val="bg-BG"/>
              </w:rPr>
            </w:pPr>
            <w:r w:rsidRPr="009072DA">
              <w:rPr>
                <w:sz w:val="18"/>
                <w:lang w:val="bg-BG"/>
              </w:rPr>
              <w:t>При марсовите шкоти са необходими еластични свързващи елементи (плъзгачи).</w:t>
            </w:r>
          </w:p>
        </w:tc>
      </w:tr>
      <w:tr w:rsidR="003D2554" w:rsidRPr="008D2440"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adjustRightInd w:val="0"/>
              <w:spacing w:before="60" w:after="60" w:line="240" w:lineRule="atLeast"/>
              <w:rPr>
                <w:rFonts w:cs="Arial"/>
                <w:sz w:val="18"/>
                <w:szCs w:val="18"/>
                <w:lang w:val="bg-BG"/>
              </w:rPr>
            </w:pP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Синтетично влакно (РР)</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both"/>
              <w:rPr>
                <w:rFonts w:cs="Arial"/>
                <w:sz w:val="18"/>
                <w:szCs w:val="18"/>
                <w:lang w:val="bg-BG"/>
              </w:rPr>
            </w:pPr>
            <w:r w:rsidRPr="009072DA">
              <w:rPr>
                <w:sz w:val="18"/>
                <w:lang w:val="bg-BG"/>
              </w:rPr>
              <w:t>Диаметър на въжето най-малко 18 mm и поне три въжени шайби. Когато ветрилната площ е по-голяма от 60 m</w:t>
            </w:r>
            <w:r w:rsidRPr="009072DA">
              <w:rPr>
                <w:sz w:val="18"/>
                <w:vertAlign w:val="superscript"/>
                <w:lang w:val="bg-BG"/>
              </w:rPr>
              <w:t>2</w:t>
            </w:r>
            <w:r w:rsidRPr="009072DA">
              <w:rPr>
                <w:sz w:val="18"/>
                <w:lang w:val="bg-BG"/>
              </w:rPr>
              <w:t>, една въжена шайба на всеки 20 m</w:t>
            </w:r>
            <w:r w:rsidRPr="009072DA">
              <w:rPr>
                <w:sz w:val="18"/>
                <w:vertAlign w:val="superscript"/>
                <w:lang w:val="bg-BG"/>
              </w:rPr>
              <w:t>2</w:t>
            </w:r>
          </w:p>
        </w:tc>
      </w:tr>
    </w:tbl>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2.</w:t>
      </w:r>
      <w:r w:rsidRPr="009072DA">
        <w:rPr>
          <w:lang w:val="bg-BG"/>
        </w:rPr>
        <w:tab/>
        <w:t>Подвижният такелаж, който е част от обтягането, трябва да има якост на опън, съответстваща на съответните щагове или ванти.</w:t>
      </w:r>
    </w:p>
    <w:p w:rsidR="003D2554" w:rsidRPr="009072DA" w:rsidRDefault="003D2554" w:rsidP="003D2554">
      <w:pPr>
        <w:pStyle w:val="ESch"/>
        <w:rPr>
          <w:szCs w:val="20"/>
          <w:lang w:val="bg-BG"/>
        </w:rPr>
      </w:pPr>
    </w:p>
    <w:p w:rsidR="003D2554" w:rsidRPr="009072DA" w:rsidRDefault="00B92309" w:rsidP="003D2554">
      <w:pPr>
        <w:pStyle w:val="ESch"/>
        <w:rPr>
          <w:rFonts w:cs="Arial"/>
          <w:szCs w:val="20"/>
          <w:lang w:val="bg-BG"/>
        </w:rPr>
      </w:pPr>
      <w:r w:rsidRPr="009072DA">
        <w:rPr>
          <w:lang w:val="bg-BG"/>
        </w:rPr>
        <w:t>3.</w:t>
      </w:r>
      <w:r w:rsidRPr="009072DA">
        <w:rPr>
          <w:lang w:val="bg-BG"/>
        </w:rPr>
        <w:tab/>
        <w:t>Ако са използвани материали, различни от посочените в точка 1, трябва да са спазени стойностите за якост от таблицата в точка 1.</w:t>
      </w:r>
    </w:p>
    <w:p w:rsidR="003D2554" w:rsidRPr="009072DA" w:rsidRDefault="003D2554" w:rsidP="003D2554">
      <w:pPr>
        <w:pStyle w:val="ESch"/>
        <w:rPr>
          <w:szCs w:val="20"/>
          <w:lang w:val="bg-BG"/>
        </w:rPr>
      </w:pPr>
    </w:p>
    <w:p w:rsidR="003D2554" w:rsidRPr="009072DA" w:rsidRDefault="003D2554" w:rsidP="003D2554">
      <w:pPr>
        <w:pStyle w:val="ESchpar"/>
        <w:rPr>
          <w:rFonts w:cs="Arial"/>
          <w:lang w:val="bg-BG"/>
        </w:rPr>
      </w:pPr>
      <w:r w:rsidRPr="009072DA">
        <w:rPr>
          <w:lang w:val="bg-BG"/>
        </w:rPr>
        <w:t>Въжета от полиетиленови влакна не трябва да се използват.</w:t>
      </w:r>
    </w:p>
    <w:p w:rsidR="003D2554" w:rsidRPr="009072DA" w:rsidRDefault="003D2554" w:rsidP="003D2554">
      <w:pPr>
        <w:pStyle w:val="ESch"/>
        <w:rPr>
          <w:rFonts w:cs="Arial"/>
          <w:szCs w:val="20"/>
          <w:lang w:val="bg-BG"/>
        </w:rPr>
      </w:pPr>
    </w:p>
    <w:p w:rsidR="003D2554" w:rsidRPr="009072DA" w:rsidRDefault="003D2554" w:rsidP="003D2554">
      <w:pPr>
        <w:pStyle w:val="ESch"/>
        <w:rPr>
          <w:rFonts w:cs="Arial"/>
          <w:szCs w:val="20"/>
          <w:lang w:val="bg-BG"/>
        </w:rPr>
      </w:pPr>
    </w:p>
    <w:p w:rsidR="003D2554" w:rsidRPr="009072DA" w:rsidRDefault="003D2554" w:rsidP="003D2554">
      <w:pPr>
        <w:pStyle w:val="ES-Titre3"/>
        <w:rPr>
          <w:rFonts w:cs="Arial"/>
          <w:i/>
          <w:lang w:val="bg-BG"/>
        </w:rPr>
      </w:pPr>
      <w:bookmarkStart w:id="407" w:name="_Toc491854201"/>
      <w:bookmarkStart w:id="408" w:name="_Toc535827642"/>
      <w:r w:rsidRPr="009072DA">
        <w:rPr>
          <w:lang w:val="bg-BG"/>
        </w:rPr>
        <w:lastRenderedPageBreak/>
        <w:t>Член 20.16</w:t>
      </w:r>
      <w:r w:rsidRPr="009072DA">
        <w:rPr>
          <w:lang w:val="bg-BG"/>
        </w:rPr>
        <w:br/>
      </w:r>
      <w:r w:rsidRPr="009072DA">
        <w:rPr>
          <w:i/>
          <w:lang w:val="bg-BG"/>
        </w:rPr>
        <w:t>Арматура и части на такелажа</w:t>
      </w:r>
      <w:bookmarkEnd w:id="407"/>
      <w:bookmarkEnd w:id="408"/>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1.</w:t>
      </w:r>
      <w:r w:rsidRPr="009072DA">
        <w:rPr>
          <w:lang w:val="bg-BG"/>
        </w:rPr>
        <w:tab/>
        <w:t>В случай че се използват въжета от жици или синтетични влакна, диаметрите на въжените шайби (измерени от ос на въже до ос на въже) трябва да съответстват на следните минимални изисквания:</w:t>
      </w:r>
    </w:p>
    <w:p w:rsidR="003D2554" w:rsidRPr="009072DA" w:rsidRDefault="003D2554" w:rsidP="003D2554">
      <w:pPr>
        <w:pStyle w:val="ESch"/>
        <w:rPr>
          <w:szCs w:val="20"/>
          <w:lang w:val="bg-BG"/>
        </w:rPr>
      </w:pPr>
    </w:p>
    <w:tbl>
      <w:tblPr>
        <w:tblW w:w="0" w:type="auto"/>
        <w:jc w:val="center"/>
        <w:tblLayout w:type="fixed"/>
        <w:tblLook w:val="0000" w:firstRow="0" w:lastRow="0" w:firstColumn="0" w:lastColumn="0" w:noHBand="0" w:noVBand="0"/>
      </w:tblPr>
      <w:tblGrid>
        <w:gridCol w:w="2268"/>
        <w:gridCol w:w="567"/>
        <w:gridCol w:w="567"/>
        <w:gridCol w:w="567"/>
        <w:gridCol w:w="567"/>
        <w:gridCol w:w="567"/>
        <w:gridCol w:w="567"/>
        <w:gridCol w:w="567"/>
      </w:tblGrid>
      <w:tr w:rsidR="003D2554" w:rsidRPr="009072DA" w:rsidTr="00A90B64">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Стоманена жица [mm]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7</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8</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9</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11</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12</w:t>
            </w:r>
          </w:p>
        </w:tc>
      </w:tr>
      <w:tr w:rsidR="003D2554" w:rsidRPr="009072DA" w:rsidTr="00A90B64">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3D2554">
            <w:pPr>
              <w:pStyle w:val="NormalLeft"/>
              <w:spacing w:before="60" w:after="60" w:line="240" w:lineRule="atLeast"/>
              <w:rPr>
                <w:rFonts w:cs="Arial"/>
                <w:sz w:val="18"/>
                <w:szCs w:val="18"/>
                <w:lang w:val="bg-BG"/>
              </w:rPr>
            </w:pPr>
            <w:r w:rsidRPr="009072DA">
              <w:rPr>
                <w:sz w:val="18"/>
                <w:lang w:val="bg-BG"/>
              </w:rPr>
              <w:t>Синтетично влакно [mm]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18</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22</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28</w:t>
            </w:r>
          </w:p>
        </w:tc>
      </w:tr>
      <w:tr w:rsidR="003D2554" w:rsidRPr="009072DA" w:rsidTr="00A90B64">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3D2554" w:rsidRPr="009072DA" w:rsidRDefault="00790FAC" w:rsidP="003D2554">
            <w:pPr>
              <w:pStyle w:val="NormalLeft"/>
              <w:spacing w:before="60" w:after="60" w:line="240" w:lineRule="atLeast"/>
              <w:rPr>
                <w:rFonts w:cs="Arial"/>
                <w:sz w:val="18"/>
                <w:szCs w:val="18"/>
                <w:lang w:val="bg-BG"/>
              </w:rPr>
            </w:pPr>
            <w:r w:rsidRPr="009072DA">
              <w:rPr>
                <w:sz w:val="18"/>
                <w:lang w:val="bg-BG"/>
              </w:rPr>
              <w:t>Въжена шайба [mm]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100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110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120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130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145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155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9072DA" w:rsidRDefault="003D2554" w:rsidP="00A90B64">
            <w:pPr>
              <w:pStyle w:val="NormalLeft"/>
              <w:spacing w:before="60" w:after="60" w:line="240" w:lineRule="atLeast"/>
              <w:jc w:val="right"/>
              <w:rPr>
                <w:rFonts w:cs="Arial"/>
                <w:sz w:val="18"/>
                <w:szCs w:val="18"/>
                <w:lang w:val="bg-BG"/>
              </w:rPr>
            </w:pPr>
            <w:r w:rsidRPr="009072DA">
              <w:rPr>
                <w:sz w:val="18"/>
                <w:lang w:val="bg-BG"/>
              </w:rPr>
              <w:t>165</w:t>
            </w:r>
          </w:p>
        </w:tc>
      </w:tr>
    </w:tbl>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2.</w:t>
      </w:r>
      <w:r w:rsidRPr="009072DA">
        <w:rPr>
          <w:lang w:val="bg-BG"/>
        </w:rPr>
        <w:tab/>
        <w:t>Чрез дерогация от точка 1 диаметърът на въжените шайби може да е шест пъти пъти по-голям от диаметъра на стоманената жица, при условие че стоманената жица не преминава постоянно през шайбите.</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3. </w:t>
      </w:r>
      <w:r w:rsidRPr="009072DA">
        <w:rPr>
          <w:lang w:val="bg-BG"/>
        </w:rPr>
        <w:tab/>
        <w:t>Якостта на опън на арматурата (вилки, халки, винтови обтегачи, планки с ухо, болтове, пръстени и скоби) трябва да е съвместима с якостта на опън на неподвижния и подвижния такелаж, който е прикрепен към тях.</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4.</w:t>
      </w:r>
      <w:r w:rsidRPr="009072DA">
        <w:rPr>
          <w:lang w:val="bg-BG"/>
        </w:rPr>
        <w:tab/>
        <w:t>Скрепленията на сегментите от гредите за щаговете и вантите трябва да са проектирани така, че да поемат силите, на които те са подложени.</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5.</w:t>
      </w:r>
      <w:r w:rsidRPr="009072DA">
        <w:rPr>
          <w:lang w:val="bg-BG"/>
        </w:rPr>
        <w:tab/>
        <w:t>Към всяко ухо се прикрепва само по една скоба, заедно със съответния щаг или ванта.</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6.</w:t>
      </w:r>
      <w:r w:rsidRPr="009072DA">
        <w:rPr>
          <w:lang w:val="bg-BG"/>
        </w:rPr>
        <w:tab/>
        <w:t>Блоковете на фаловете и топенантите трябва да са здраво прикрепени към мачтата, а въртящите се въжени набори, използвани за целта, да са в добро състояние.</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7.</w:t>
      </w:r>
      <w:r w:rsidRPr="009072DA">
        <w:rPr>
          <w:lang w:val="bg-BG"/>
        </w:rPr>
        <w:tab/>
        <w:t>Приставките към болтовете с ухо, утките, скрепителните клечки и скрепителните планки се конструират така, че да са в състояние да устоят на натоварванията, на които са подложени.</w:t>
      </w:r>
    </w:p>
    <w:p w:rsidR="003D2554" w:rsidRPr="009072DA" w:rsidRDefault="00A90B64" w:rsidP="003D2554">
      <w:pPr>
        <w:pStyle w:val="ESch"/>
        <w:rPr>
          <w:rFonts w:cs="Arial"/>
          <w:szCs w:val="20"/>
          <w:lang w:val="bg-BG"/>
        </w:rPr>
      </w:pPr>
      <w:r w:rsidRPr="009072DA">
        <w:rPr>
          <w:lang w:val="bg-BG"/>
        </w:rPr>
        <w:br w:type="page"/>
      </w:r>
    </w:p>
    <w:p w:rsidR="003D2554" w:rsidRPr="009072DA" w:rsidRDefault="003D2554" w:rsidP="003D2554">
      <w:pPr>
        <w:pStyle w:val="ES-Titre3"/>
        <w:rPr>
          <w:rFonts w:cs="Arial"/>
          <w:i/>
          <w:lang w:val="bg-BG"/>
        </w:rPr>
      </w:pPr>
      <w:bookmarkStart w:id="409" w:name="_Toc491854202"/>
      <w:bookmarkStart w:id="410" w:name="_Toc535827643"/>
      <w:r w:rsidRPr="009072DA">
        <w:rPr>
          <w:lang w:val="bg-BG"/>
        </w:rPr>
        <w:lastRenderedPageBreak/>
        <w:t>Член 20.17</w:t>
      </w:r>
      <w:r w:rsidRPr="009072DA">
        <w:rPr>
          <w:lang w:val="bg-BG"/>
        </w:rPr>
        <w:br/>
      </w:r>
      <w:r w:rsidRPr="009072DA">
        <w:rPr>
          <w:i/>
          <w:lang w:val="bg-BG"/>
        </w:rPr>
        <w:t>Платна</w:t>
      </w:r>
      <w:bookmarkEnd w:id="409"/>
      <w:bookmarkEnd w:id="410"/>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1.</w:t>
      </w:r>
      <w:r w:rsidRPr="009072DA">
        <w:rPr>
          <w:lang w:val="bg-BG"/>
        </w:rPr>
        <w:tab/>
        <w:t>Трябва да се гарантира, че платната могат да бъдат прибирани по прост, бърз и безопасен начин.</w:t>
      </w:r>
    </w:p>
    <w:p w:rsidR="00001079" w:rsidRPr="009072DA" w:rsidRDefault="00001079"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2.</w:t>
      </w:r>
      <w:r w:rsidRPr="009072DA">
        <w:rPr>
          <w:lang w:val="bg-BG"/>
        </w:rPr>
        <w:tab/>
        <w:t>Ветрилната площ трябва да съответства на вида на плавателния съд и обемното водоизместване.</w:t>
      </w:r>
    </w:p>
    <w:p w:rsidR="003D2554" w:rsidRPr="009072DA" w:rsidRDefault="003D2554" w:rsidP="003D2554">
      <w:pPr>
        <w:pStyle w:val="ESch"/>
        <w:rPr>
          <w:rFonts w:cs="Arial"/>
          <w:szCs w:val="20"/>
          <w:lang w:val="bg-BG"/>
        </w:rPr>
      </w:pPr>
    </w:p>
    <w:p w:rsidR="003D2554" w:rsidRPr="009072DA" w:rsidRDefault="003D2554" w:rsidP="003D2554">
      <w:pPr>
        <w:pStyle w:val="ESch"/>
        <w:rPr>
          <w:rFonts w:cs="Arial"/>
          <w:szCs w:val="20"/>
          <w:lang w:val="bg-BG"/>
        </w:rPr>
      </w:pPr>
    </w:p>
    <w:p w:rsidR="003D2554" w:rsidRPr="009072DA" w:rsidRDefault="003D2554" w:rsidP="003D2554">
      <w:pPr>
        <w:pStyle w:val="ES-Titre3"/>
        <w:rPr>
          <w:rFonts w:cs="Arial"/>
          <w:i/>
          <w:lang w:val="bg-BG"/>
        </w:rPr>
      </w:pPr>
      <w:bookmarkStart w:id="411" w:name="_Toc491854203"/>
      <w:bookmarkStart w:id="412" w:name="_Toc535827644"/>
      <w:r w:rsidRPr="009072DA">
        <w:rPr>
          <w:lang w:val="bg-BG"/>
        </w:rPr>
        <w:t>Член 20.18</w:t>
      </w:r>
      <w:r w:rsidRPr="009072DA">
        <w:rPr>
          <w:lang w:val="bg-BG"/>
        </w:rPr>
        <w:br/>
      </w:r>
      <w:r w:rsidRPr="009072DA">
        <w:rPr>
          <w:i/>
          <w:lang w:val="bg-BG"/>
        </w:rPr>
        <w:t>Оборудване</w:t>
      </w:r>
      <w:bookmarkEnd w:id="411"/>
      <w:bookmarkEnd w:id="412"/>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 xml:space="preserve">1. </w:t>
      </w:r>
      <w:r w:rsidRPr="009072DA">
        <w:rPr>
          <w:lang w:val="bg-BG"/>
        </w:rPr>
        <w:tab/>
        <w:t>Плавателните съдове, оборудвани с утлегар или бушприт, трябва да са снабдени с мрежа и достатъчен брой съответни закрепващи и обтягащи устройства.</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2.</w:t>
      </w:r>
      <w:r w:rsidRPr="009072DA">
        <w:rPr>
          <w:lang w:val="bg-BG"/>
        </w:rPr>
        <w:tab/>
        <w:t>Оборудването съгласно точка 1 може да не се изисква, ако утлегарът или бушпритът са оборудвани с ръчен строп и опорно въже на височината на стъпалото със съответни размери, така че да позволява закачане на предпазните колани, които се носят на борда.</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3.</w:t>
      </w:r>
      <w:r w:rsidRPr="009072DA">
        <w:rPr>
          <w:lang w:val="bg-BG"/>
        </w:rPr>
        <w:tab/>
        <w:t>За работа по такелажа се осигурява въжена люлка.</w:t>
      </w:r>
    </w:p>
    <w:p w:rsidR="003D2554" w:rsidRPr="009072DA" w:rsidRDefault="003D2554" w:rsidP="003D2554">
      <w:pPr>
        <w:pStyle w:val="ESch"/>
        <w:rPr>
          <w:rFonts w:cs="Arial"/>
          <w:szCs w:val="20"/>
          <w:lang w:val="bg-BG"/>
        </w:rPr>
      </w:pPr>
    </w:p>
    <w:p w:rsidR="003D2554" w:rsidRPr="009072DA" w:rsidRDefault="003D2554" w:rsidP="003D2554">
      <w:pPr>
        <w:pStyle w:val="ESch"/>
        <w:rPr>
          <w:rFonts w:cs="Arial"/>
          <w:szCs w:val="20"/>
          <w:lang w:val="bg-BG"/>
        </w:rPr>
      </w:pPr>
    </w:p>
    <w:p w:rsidR="003D2554" w:rsidRPr="009072DA" w:rsidRDefault="003D2554" w:rsidP="003D2554">
      <w:pPr>
        <w:pStyle w:val="ES-Titre3"/>
        <w:rPr>
          <w:rFonts w:cs="Arial"/>
          <w:i/>
          <w:lang w:val="bg-BG"/>
        </w:rPr>
      </w:pPr>
      <w:bookmarkStart w:id="413" w:name="_Toc491854204"/>
      <w:bookmarkStart w:id="414" w:name="_Toc535827645"/>
      <w:r w:rsidRPr="009072DA">
        <w:rPr>
          <w:lang w:val="bg-BG"/>
        </w:rPr>
        <w:t>Член 20.19</w:t>
      </w:r>
      <w:r w:rsidRPr="009072DA">
        <w:rPr>
          <w:lang w:val="bg-BG"/>
        </w:rPr>
        <w:br/>
      </w:r>
      <w:r w:rsidRPr="009072DA">
        <w:rPr>
          <w:i/>
          <w:lang w:val="bg-BG"/>
        </w:rPr>
        <w:t>Изпитване</w:t>
      </w:r>
      <w:bookmarkEnd w:id="413"/>
      <w:bookmarkEnd w:id="414"/>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1.</w:t>
      </w:r>
      <w:r w:rsidRPr="009072DA">
        <w:rPr>
          <w:lang w:val="bg-BG"/>
        </w:rPr>
        <w:tab/>
        <w:t>Такелажът трябва да бъде изпитван от контролния орган на всеки 2,5 години. Като минимум изпитването трябва да включва:</w:t>
      </w:r>
    </w:p>
    <w:p w:rsidR="003D2554" w:rsidRPr="009072DA" w:rsidRDefault="005C7859" w:rsidP="003D2554">
      <w:pPr>
        <w:pStyle w:val="ESlet"/>
        <w:rPr>
          <w:rFonts w:cs="Arial"/>
          <w:lang w:val="bg-BG"/>
        </w:rPr>
      </w:pPr>
      <w:r w:rsidRPr="009072DA">
        <w:rPr>
          <w:lang w:val="bg-BG"/>
        </w:rPr>
        <w:t>a)</w:t>
      </w:r>
      <w:r w:rsidRPr="009072DA">
        <w:rPr>
          <w:lang w:val="bg-BG"/>
        </w:rPr>
        <w:tab/>
        <w:t>платната, включително въжетата, ъглите на шкотите и отворите за рифоване;</w:t>
      </w:r>
    </w:p>
    <w:p w:rsidR="003D2554" w:rsidRPr="009072DA" w:rsidRDefault="005C7859" w:rsidP="003D2554">
      <w:pPr>
        <w:pStyle w:val="ESlet"/>
        <w:rPr>
          <w:rFonts w:cs="Arial"/>
          <w:lang w:val="bg-BG"/>
        </w:rPr>
      </w:pPr>
      <w:r w:rsidRPr="009072DA">
        <w:rPr>
          <w:lang w:val="bg-BG"/>
        </w:rPr>
        <w:t>б)</w:t>
      </w:r>
      <w:r w:rsidRPr="009072DA">
        <w:rPr>
          <w:lang w:val="bg-BG"/>
        </w:rPr>
        <w:tab/>
        <w:t>състоянието на мачтите и рангоута;</w:t>
      </w:r>
    </w:p>
    <w:p w:rsidR="003D2554" w:rsidRPr="009072DA" w:rsidRDefault="005C7859" w:rsidP="003D2554">
      <w:pPr>
        <w:pStyle w:val="ESlet"/>
        <w:rPr>
          <w:rFonts w:cs="Arial"/>
          <w:lang w:val="bg-BG"/>
        </w:rPr>
      </w:pPr>
      <w:r w:rsidRPr="009072DA">
        <w:rPr>
          <w:lang w:val="bg-BG"/>
        </w:rPr>
        <w:t>в)</w:t>
      </w:r>
      <w:r w:rsidRPr="009072DA">
        <w:rPr>
          <w:lang w:val="bg-BG"/>
        </w:rPr>
        <w:tab/>
        <w:t>състоянието на неподвижния и подвижния такелаж заедно с връзките със стоманени въжета;</w:t>
      </w:r>
    </w:p>
    <w:p w:rsidR="003D2554" w:rsidRPr="009072DA" w:rsidRDefault="0029453D" w:rsidP="003D2554">
      <w:pPr>
        <w:pStyle w:val="ESlet"/>
        <w:rPr>
          <w:rFonts w:cs="Arial"/>
          <w:lang w:val="bg-BG"/>
        </w:rPr>
      </w:pPr>
      <w:r w:rsidRPr="009072DA">
        <w:rPr>
          <w:lang w:val="bg-BG"/>
        </w:rPr>
        <w:t>г)</w:t>
      </w:r>
      <w:r w:rsidRPr="009072DA">
        <w:rPr>
          <w:lang w:val="bg-BG"/>
        </w:rPr>
        <w:tab/>
        <w:t>съоръженията за бързо и безопасно прибиране на платната;</w:t>
      </w:r>
    </w:p>
    <w:p w:rsidR="003D2554" w:rsidRPr="009072DA" w:rsidRDefault="0029453D" w:rsidP="003D2554">
      <w:pPr>
        <w:pStyle w:val="ESlet"/>
        <w:rPr>
          <w:rFonts w:cs="Arial"/>
          <w:lang w:val="bg-BG"/>
        </w:rPr>
      </w:pPr>
      <w:r w:rsidRPr="009072DA">
        <w:rPr>
          <w:lang w:val="bg-BG"/>
        </w:rPr>
        <w:t>д)</w:t>
      </w:r>
      <w:r w:rsidRPr="009072DA">
        <w:rPr>
          <w:lang w:val="bg-BG"/>
        </w:rPr>
        <w:tab/>
        <w:t>надеждността на закрепване на блоковете на фаловете и топенантите;</w:t>
      </w:r>
    </w:p>
    <w:p w:rsidR="003D2554" w:rsidRPr="009072DA" w:rsidRDefault="0029453D" w:rsidP="003D2554">
      <w:pPr>
        <w:pStyle w:val="ESlet"/>
        <w:rPr>
          <w:rFonts w:cs="Arial"/>
          <w:lang w:val="bg-BG"/>
        </w:rPr>
      </w:pPr>
      <w:r w:rsidRPr="009072DA">
        <w:rPr>
          <w:lang w:val="bg-BG"/>
        </w:rPr>
        <w:lastRenderedPageBreak/>
        <w:t>е)</w:t>
      </w:r>
      <w:r w:rsidRPr="009072DA">
        <w:rPr>
          <w:lang w:val="bg-BG"/>
        </w:rPr>
        <w:tab/>
        <w:t>закрепването на мачтовите стволове и другите точки за връзване на неподвижния и подвижния такелаж, поставен на плавателния съд;</w:t>
      </w:r>
    </w:p>
    <w:p w:rsidR="003D2554" w:rsidRPr="009072DA" w:rsidRDefault="0029453D" w:rsidP="003D2554">
      <w:pPr>
        <w:pStyle w:val="ESlet"/>
        <w:rPr>
          <w:rFonts w:cs="Arial"/>
          <w:lang w:val="bg-BG"/>
        </w:rPr>
      </w:pPr>
      <w:r w:rsidRPr="009072DA">
        <w:rPr>
          <w:lang w:val="bg-BG"/>
        </w:rPr>
        <w:t>ж)</w:t>
      </w:r>
      <w:r w:rsidRPr="009072DA">
        <w:rPr>
          <w:lang w:val="bg-BG"/>
        </w:rPr>
        <w:tab/>
        <w:t>лебедките за задвижване на платната;</w:t>
      </w:r>
    </w:p>
    <w:p w:rsidR="003D2554" w:rsidRPr="009072DA" w:rsidRDefault="0029453D" w:rsidP="003D2554">
      <w:pPr>
        <w:pStyle w:val="ESlet"/>
        <w:rPr>
          <w:rFonts w:cs="Arial"/>
          <w:lang w:val="bg-BG"/>
        </w:rPr>
      </w:pPr>
      <w:r w:rsidRPr="009072DA">
        <w:rPr>
          <w:lang w:val="bg-BG"/>
        </w:rPr>
        <w:t>з)</w:t>
      </w:r>
      <w:r w:rsidRPr="009072DA">
        <w:rPr>
          <w:lang w:val="bg-BG"/>
        </w:rPr>
        <w:tab/>
        <w:t>другите приспособления, монтирани за плаване под платна, като подветрени бордове и арматура за боравене с тях;</w:t>
      </w:r>
    </w:p>
    <w:p w:rsidR="003D2554" w:rsidRPr="009072DA" w:rsidRDefault="0029453D" w:rsidP="003D2554">
      <w:pPr>
        <w:pStyle w:val="ESlet"/>
        <w:rPr>
          <w:rFonts w:cs="Arial"/>
          <w:lang w:val="bg-BG"/>
        </w:rPr>
      </w:pPr>
      <w:r w:rsidRPr="009072DA">
        <w:rPr>
          <w:lang w:val="bg-BG"/>
        </w:rPr>
        <w:t>и)</w:t>
      </w:r>
      <w:r w:rsidRPr="009072DA">
        <w:rPr>
          <w:lang w:val="bg-BG"/>
        </w:rPr>
        <w:tab/>
        <w:t>мерките, взети за избягване износването на рангоута, неподвижния и подвижния такелаж и платната;</w:t>
      </w:r>
    </w:p>
    <w:p w:rsidR="003D2554" w:rsidRPr="009072DA" w:rsidRDefault="005B0BB8" w:rsidP="003D2554">
      <w:pPr>
        <w:pStyle w:val="ESlet"/>
        <w:rPr>
          <w:rFonts w:cs="Arial"/>
          <w:lang w:val="bg-BG"/>
        </w:rPr>
      </w:pPr>
      <w:r w:rsidRPr="009072DA">
        <w:rPr>
          <w:lang w:val="bg-BG"/>
        </w:rPr>
        <w:t>й)</w:t>
      </w:r>
      <w:r w:rsidRPr="009072DA">
        <w:rPr>
          <w:lang w:val="bg-BG"/>
        </w:rPr>
        <w:tab/>
        <w:t>оборудване съгласно член 20.18.</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2.</w:t>
      </w:r>
      <w:r w:rsidRPr="009072DA">
        <w:rPr>
          <w:lang w:val="bg-BG"/>
        </w:rPr>
        <w:tab/>
        <w:t>Частта на дървената мачта, минаваща през палубата и намираща се под палубата, се преглежда през интервали, определени от контролния орган, но не по-рядко от всяка периодична проверка. За тази цел мачтата се изважда.</w:t>
      </w:r>
    </w:p>
    <w:p w:rsidR="003D2554" w:rsidRPr="009072DA" w:rsidRDefault="003D2554" w:rsidP="003D2554">
      <w:pPr>
        <w:pStyle w:val="ESch"/>
        <w:rPr>
          <w:szCs w:val="20"/>
          <w:lang w:val="bg-BG"/>
        </w:rPr>
      </w:pPr>
    </w:p>
    <w:p w:rsidR="003D2554" w:rsidRPr="009072DA" w:rsidRDefault="003D2554" w:rsidP="003D2554">
      <w:pPr>
        <w:pStyle w:val="ESch"/>
        <w:rPr>
          <w:rFonts w:cs="Arial"/>
          <w:szCs w:val="20"/>
          <w:lang w:val="bg-BG"/>
        </w:rPr>
      </w:pPr>
      <w:r w:rsidRPr="009072DA">
        <w:rPr>
          <w:lang w:val="bg-BG"/>
        </w:rPr>
        <w:t>3.</w:t>
      </w:r>
      <w:r w:rsidRPr="009072DA">
        <w:rPr>
          <w:lang w:val="bg-BG"/>
        </w:rPr>
        <w:tab/>
        <w:t>На борда се съхранява удостоверение от последната проверка, извършена съгласно точка 1, издадено, подписано и датирано от контролния орган.</w:t>
      </w:r>
    </w:p>
    <w:p w:rsidR="003D2554" w:rsidRPr="009072DA" w:rsidRDefault="003D2554" w:rsidP="00973DAA">
      <w:pPr>
        <w:pStyle w:val="ESch"/>
        <w:rPr>
          <w:lang w:val="bg-BG"/>
        </w:rPr>
      </w:pPr>
    </w:p>
    <w:p w:rsidR="006E0BD7" w:rsidRPr="009072DA" w:rsidRDefault="006E0BD7" w:rsidP="00973DAA">
      <w:pPr>
        <w:pStyle w:val="ESch"/>
        <w:rPr>
          <w:lang w:val="bg-BG"/>
        </w:rPr>
      </w:pPr>
    </w:p>
    <w:p w:rsidR="006E0BD7" w:rsidRPr="009072DA" w:rsidRDefault="006E0BD7" w:rsidP="006E0BD7">
      <w:pPr>
        <w:pStyle w:val="ES-Titre2"/>
        <w:rPr>
          <w:szCs w:val="24"/>
        </w:rPr>
      </w:pPr>
      <w:bookmarkStart w:id="415" w:name="_Toc491854205"/>
      <w:bookmarkStart w:id="416" w:name="_Toc535827646"/>
      <w:r w:rsidRPr="009072DA">
        <w:lastRenderedPageBreak/>
        <w:t>Глава 21</w:t>
      </w:r>
      <w:r w:rsidRPr="009072DA">
        <w:br/>
      </w:r>
      <w:r w:rsidRPr="009072DA">
        <w:rPr>
          <w:sz w:val="22"/>
        </w:rPr>
        <w:t>Специални разпоредби, приложими за плавателни средства, предназначени да бъдат част от тласкан или влачен състав от плавателни съдове или бордово свързана група</w:t>
      </w:r>
      <w:bookmarkEnd w:id="415"/>
      <w:bookmarkEnd w:id="416"/>
    </w:p>
    <w:p w:rsidR="006E0BD7" w:rsidRPr="009072DA" w:rsidRDefault="006E0BD7" w:rsidP="006E0BD7">
      <w:pPr>
        <w:rPr>
          <w:lang w:val="bg-BG"/>
        </w:rPr>
      </w:pPr>
    </w:p>
    <w:p w:rsidR="006E0BD7" w:rsidRPr="009072DA" w:rsidRDefault="006E0BD7" w:rsidP="006E0BD7">
      <w:pPr>
        <w:pStyle w:val="ES-Titre3"/>
        <w:rPr>
          <w:lang w:val="bg-BG"/>
        </w:rPr>
      </w:pPr>
      <w:bookmarkStart w:id="417" w:name="_Toc491854206"/>
      <w:bookmarkStart w:id="418" w:name="_Toc535827647"/>
      <w:r w:rsidRPr="009072DA">
        <w:rPr>
          <w:lang w:val="bg-BG"/>
        </w:rPr>
        <w:t>Член 21.01</w:t>
      </w:r>
      <w:r w:rsidRPr="009072DA">
        <w:rPr>
          <w:lang w:val="bg-BG"/>
        </w:rPr>
        <w:br/>
      </w:r>
      <w:r w:rsidRPr="009072DA">
        <w:rPr>
          <w:i/>
          <w:lang w:val="bg-BG"/>
        </w:rPr>
        <w:t>Плавателни средства, пригодни да тласкат</w:t>
      </w:r>
      <w:bookmarkEnd w:id="417"/>
      <w:bookmarkEnd w:id="418"/>
    </w:p>
    <w:p w:rsidR="006E0BD7" w:rsidRPr="009072DA" w:rsidRDefault="006E0BD7" w:rsidP="006E0BD7">
      <w:pPr>
        <w:pStyle w:val="ESch"/>
        <w:rPr>
          <w:lang w:val="bg-BG"/>
        </w:rPr>
      </w:pPr>
    </w:p>
    <w:p w:rsidR="006E0BD7" w:rsidRPr="009072DA" w:rsidRDefault="006E0BD7" w:rsidP="006E0BD7">
      <w:pPr>
        <w:pStyle w:val="ESch"/>
        <w:rPr>
          <w:rFonts w:eastAsia="Calibri" w:cs="Arial"/>
          <w:szCs w:val="18"/>
          <w:lang w:val="bg-BG"/>
        </w:rPr>
      </w:pPr>
      <w:r w:rsidRPr="009072DA">
        <w:rPr>
          <w:lang w:val="bg-BG"/>
        </w:rPr>
        <w:t xml:space="preserve">1. </w:t>
      </w:r>
      <w:r w:rsidRPr="009072DA">
        <w:rPr>
          <w:lang w:val="bg-BG"/>
        </w:rPr>
        <w:tab/>
        <w:t>Плавателни средства, които се използват за тласкане, трябва да включват подходящо тласкащо устройство. Те трябва да бъдат проектирани и оборудвани по такъв начин, че да:</w:t>
      </w:r>
    </w:p>
    <w:p w:rsidR="006E0BD7" w:rsidRPr="009072DA" w:rsidRDefault="005C7859" w:rsidP="006E0BD7">
      <w:pPr>
        <w:pStyle w:val="ESlet"/>
        <w:rPr>
          <w:rFonts w:eastAsia="Calibri" w:cs="Arial"/>
          <w:szCs w:val="18"/>
          <w:lang w:val="bg-BG"/>
        </w:rPr>
      </w:pPr>
      <w:r w:rsidRPr="009072DA">
        <w:rPr>
          <w:lang w:val="bg-BG"/>
        </w:rPr>
        <w:t>a)</w:t>
      </w:r>
      <w:r w:rsidRPr="009072DA">
        <w:rPr>
          <w:lang w:val="bg-BG"/>
        </w:rPr>
        <w:tab/>
        <w:t>позволяват на екипажите лесно и безопасно да преминават върху тласканото плавателно средство през съответните използвани свързващи устройства;</w:t>
      </w:r>
    </w:p>
    <w:p w:rsidR="006E0BD7" w:rsidRPr="009072DA" w:rsidRDefault="005C7859" w:rsidP="006E0BD7">
      <w:pPr>
        <w:pStyle w:val="ESlet"/>
        <w:rPr>
          <w:rFonts w:eastAsia="Calibri" w:cs="Arial"/>
          <w:szCs w:val="18"/>
          <w:lang w:val="bg-BG"/>
        </w:rPr>
      </w:pPr>
      <w:r w:rsidRPr="009072DA">
        <w:rPr>
          <w:lang w:val="bg-BG"/>
        </w:rPr>
        <w:t>б)</w:t>
      </w:r>
      <w:r w:rsidRPr="009072DA">
        <w:rPr>
          <w:lang w:val="bg-BG"/>
        </w:rPr>
        <w:tab/>
        <w:t>могат да заемат фиксирано положение по отношение на прикаченото плавателно средство;</w:t>
      </w:r>
    </w:p>
    <w:p w:rsidR="006E0BD7" w:rsidRPr="009072DA" w:rsidRDefault="005C7859" w:rsidP="006E0BD7">
      <w:pPr>
        <w:pStyle w:val="ESlet"/>
        <w:rPr>
          <w:rFonts w:eastAsia="Calibri" w:cs="Arial"/>
          <w:szCs w:val="18"/>
          <w:lang w:val="bg-BG"/>
        </w:rPr>
      </w:pPr>
      <w:r w:rsidRPr="009072DA">
        <w:rPr>
          <w:lang w:val="bg-BG"/>
        </w:rPr>
        <w:t>в)</w:t>
      </w:r>
      <w:r w:rsidRPr="009072DA">
        <w:rPr>
          <w:lang w:val="bg-BG"/>
        </w:rPr>
        <w:tab/>
        <w:t>предотвратяват относително движение между самите плавателни средства.</w:t>
      </w:r>
    </w:p>
    <w:p w:rsidR="006E0BD7" w:rsidRPr="009072DA" w:rsidRDefault="006E0BD7" w:rsidP="006E0BD7">
      <w:pPr>
        <w:pStyle w:val="ESch"/>
        <w:rPr>
          <w:rFonts w:eastAsia="Calibri"/>
          <w:lang w:val="bg-BG"/>
        </w:rPr>
      </w:pPr>
    </w:p>
    <w:p w:rsidR="006E0BD7" w:rsidRPr="009072DA" w:rsidRDefault="006E0BD7" w:rsidP="006E0BD7">
      <w:pPr>
        <w:pStyle w:val="ESch"/>
        <w:rPr>
          <w:rFonts w:eastAsia="Calibri" w:cs="Arial"/>
          <w:szCs w:val="18"/>
          <w:lang w:val="bg-BG"/>
        </w:rPr>
      </w:pPr>
      <w:r w:rsidRPr="009072DA">
        <w:rPr>
          <w:lang w:val="bg-BG"/>
        </w:rPr>
        <w:t>2.</w:t>
      </w:r>
      <w:r w:rsidRPr="009072DA">
        <w:rPr>
          <w:lang w:val="bg-BG"/>
        </w:rPr>
        <w:tab/>
        <w:t>В случай че плавателните средства бъдат свързани помежду си с въжета, тласкащото плавателно средство е оборудвано с поне две специални лебедки или равностойни свързващи устройства за обтягане на въжетата.</w:t>
      </w:r>
    </w:p>
    <w:p w:rsidR="006E0BD7" w:rsidRPr="009072DA" w:rsidRDefault="006E0BD7" w:rsidP="006E0BD7">
      <w:pPr>
        <w:pStyle w:val="ESch"/>
        <w:rPr>
          <w:rFonts w:eastAsia="Calibri"/>
          <w:lang w:val="bg-BG"/>
        </w:rPr>
      </w:pPr>
    </w:p>
    <w:p w:rsidR="006E0BD7" w:rsidRPr="009072DA" w:rsidRDefault="006E0BD7" w:rsidP="006E0BD7">
      <w:pPr>
        <w:pStyle w:val="ESch"/>
        <w:rPr>
          <w:rFonts w:eastAsia="Calibri" w:cs="Arial"/>
          <w:szCs w:val="18"/>
          <w:lang w:val="bg-BG"/>
        </w:rPr>
      </w:pPr>
      <w:r w:rsidRPr="009072DA">
        <w:rPr>
          <w:lang w:val="bg-BG"/>
        </w:rPr>
        <w:t xml:space="preserve">3. </w:t>
      </w:r>
      <w:r w:rsidRPr="009072DA">
        <w:rPr>
          <w:lang w:val="bg-BG"/>
        </w:rPr>
        <w:tab/>
        <w:t>Свързващите устройства трябва да позволяват постигане на твърдо свързване с тласканото плавателно средство.</w:t>
      </w:r>
    </w:p>
    <w:p w:rsidR="006E0BD7" w:rsidRPr="009072DA" w:rsidRDefault="006E0BD7" w:rsidP="006E0BD7">
      <w:pPr>
        <w:pStyle w:val="ESch"/>
        <w:rPr>
          <w:rFonts w:eastAsia="Calibri"/>
          <w:lang w:val="bg-BG"/>
        </w:rPr>
      </w:pPr>
    </w:p>
    <w:p w:rsidR="006E0BD7" w:rsidRPr="009072DA" w:rsidRDefault="006E0BD7" w:rsidP="006E0BD7">
      <w:pPr>
        <w:pStyle w:val="ESchpar"/>
        <w:rPr>
          <w:rFonts w:eastAsia="Calibri" w:cs="Arial"/>
          <w:szCs w:val="18"/>
          <w:lang w:val="bg-BG"/>
        </w:rPr>
      </w:pPr>
      <w:r w:rsidRPr="009072DA">
        <w:rPr>
          <w:lang w:val="bg-BG"/>
        </w:rPr>
        <w:t xml:space="preserve">Когато съставът обхваща тласкач и едно тласкано плавателно средство, свързващите устройства могат да позволяват управлявано завъртане на съчленението. Необходимите задвижващи звена трябва лесно да поемат силите, които се предават и да могат да бъдат управлявани лесно и безопасно. Членове 6.02 — 6.04 се прилагат </w:t>
      </w:r>
      <w:r w:rsidRPr="009072DA">
        <w:rPr>
          <w:i/>
          <w:lang w:val="bg-BG"/>
        </w:rPr>
        <w:t xml:space="preserve">mutatis mutandis </w:t>
      </w:r>
      <w:r w:rsidRPr="009072DA">
        <w:rPr>
          <w:lang w:val="bg-BG"/>
        </w:rPr>
        <w:t>за тези задвижващи звена.</w:t>
      </w:r>
    </w:p>
    <w:p w:rsidR="006E0BD7" w:rsidRPr="009072DA" w:rsidRDefault="006E0BD7" w:rsidP="006E0BD7">
      <w:pPr>
        <w:pStyle w:val="ESch"/>
        <w:rPr>
          <w:rFonts w:eastAsia="Calibri"/>
          <w:lang w:val="bg-BG"/>
        </w:rPr>
      </w:pPr>
    </w:p>
    <w:p w:rsidR="006E0BD7" w:rsidRPr="009072DA" w:rsidRDefault="006E0BD7" w:rsidP="006E0BD7">
      <w:pPr>
        <w:pStyle w:val="ESch"/>
        <w:rPr>
          <w:rFonts w:eastAsia="Calibri" w:cs="Arial"/>
          <w:szCs w:val="18"/>
          <w:lang w:val="bg-BG"/>
        </w:rPr>
      </w:pPr>
      <w:r w:rsidRPr="009072DA">
        <w:rPr>
          <w:lang w:val="bg-BG"/>
        </w:rPr>
        <w:t xml:space="preserve">4. </w:t>
      </w:r>
      <w:r w:rsidRPr="009072DA">
        <w:rPr>
          <w:lang w:val="bg-BG"/>
        </w:rPr>
        <w:tab/>
        <w:t>Първата носова непроницаема преграда, посочена в член 3.03, точка 1, буква a), може да не се изисква за тласкачи.</w:t>
      </w:r>
    </w:p>
    <w:p w:rsidR="006E0BD7" w:rsidRPr="009072DA" w:rsidRDefault="006E0BD7" w:rsidP="006E0BD7">
      <w:pPr>
        <w:pStyle w:val="ESch"/>
        <w:rPr>
          <w:rFonts w:eastAsia="Calibri" w:cs="Arial"/>
          <w:szCs w:val="18"/>
          <w:lang w:val="bg-BG"/>
        </w:rPr>
      </w:pPr>
    </w:p>
    <w:p w:rsidR="006E0BD7" w:rsidRPr="009072DA" w:rsidRDefault="006E0BD7" w:rsidP="006E0BD7">
      <w:pPr>
        <w:pStyle w:val="ESch"/>
        <w:rPr>
          <w:rFonts w:eastAsia="Calibri" w:cs="Arial"/>
          <w:szCs w:val="18"/>
          <w:lang w:val="bg-BG"/>
        </w:rPr>
      </w:pPr>
    </w:p>
    <w:p w:rsidR="006E0BD7" w:rsidRPr="009072DA" w:rsidRDefault="006E0BD7" w:rsidP="006E0BD7">
      <w:pPr>
        <w:pStyle w:val="ES-Titre3"/>
        <w:rPr>
          <w:rFonts w:cs="Arial"/>
          <w:i/>
          <w:szCs w:val="18"/>
          <w:lang w:val="bg-BG"/>
        </w:rPr>
      </w:pPr>
      <w:bookmarkStart w:id="419" w:name="_Toc491854207"/>
      <w:bookmarkStart w:id="420" w:name="_Toc535827648"/>
      <w:r w:rsidRPr="009072DA">
        <w:rPr>
          <w:lang w:val="bg-BG"/>
        </w:rPr>
        <w:t>Член 21.02</w:t>
      </w:r>
      <w:r w:rsidRPr="009072DA">
        <w:rPr>
          <w:lang w:val="bg-BG"/>
        </w:rPr>
        <w:br/>
      </w:r>
      <w:r w:rsidRPr="009072DA">
        <w:rPr>
          <w:i/>
          <w:lang w:val="bg-BG"/>
        </w:rPr>
        <w:t>Плавателни средства, пригодни да бъдат тласкани</w:t>
      </w:r>
      <w:bookmarkEnd w:id="419"/>
      <w:bookmarkEnd w:id="420"/>
    </w:p>
    <w:p w:rsidR="006E0BD7" w:rsidRPr="009072DA" w:rsidRDefault="006E0BD7" w:rsidP="006E0BD7">
      <w:pPr>
        <w:pStyle w:val="ESch"/>
        <w:rPr>
          <w:rFonts w:eastAsia="Calibri"/>
          <w:lang w:val="bg-BG"/>
        </w:rPr>
      </w:pPr>
    </w:p>
    <w:p w:rsidR="006E0BD7" w:rsidRPr="009072DA" w:rsidRDefault="006E0BD7" w:rsidP="006E0BD7">
      <w:pPr>
        <w:pStyle w:val="ESch"/>
        <w:rPr>
          <w:rFonts w:eastAsia="Calibri" w:cs="Arial"/>
          <w:szCs w:val="18"/>
          <w:lang w:val="bg-BG"/>
        </w:rPr>
      </w:pPr>
      <w:r w:rsidRPr="009072DA">
        <w:rPr>
          <w:lang w:val="bg-BG"/>
        </w:rPr>
        <w:lastRenderedPageBreak/>
        <w:t xml:space="preserve">1. </w:t>
      </w:r>
      <w:r w:rsidRPr="009072DA">
        <w:rPr>
          <w:lang w:val="bg-BG"/>
        </w:rPr>
        <w:tab/>
        <w:t>Следните разпоредби не се прилагат за лихтери без рулева система, жилищни помещения, машинни или котелни отделения:</w:t>
      </w:r>
    </w:p>
    <w:p w:rsidR="006E0BD7" w:rsidRPr="009072DA" w:rsidRDefault="005C7859" w:rsidP="0034719E">
      <w:pPr>
        <w:pStyle w:val="ESlet"/>
        <w:rPr>
          <w:rFonts w:eastAsia="Calibri" w:cs="Arial"/>
          <w:szCs w:val="18"/>
          <w:lang w:val="bg-BG"/>
        </w:rPr>
      </w:pPr>
      <w:r w:rsidRPr="009072DA">
        <w:rPr>
          <w:lang w:val="bg-BG"/>
        </w:rPr>
        <w:t>a)</w:t>
      </w:r>
      <w:r w:rsidRPr="009072DA">
        <w:rPr>
          <w:lang w:val="bg-BG"/>
        </w:rPr>
        <w:tab/>
        <w:t>глави от 5 до 7 и 15;</w:t>
      </w:r>
    </w:p>
    <w:p w:rsidR="006E0BD7" w:rsidRPr="009072DA" w:rsidRDefault="005C7859" w:rsidP="0034719E">
      <w:pPr>
        <w:pStyle w:val="ESlet"/>
        <w:rPr>
          <w:rFonts w:eastAsia="Calibri" w:cs="Arial"/>
          <w:szCs w:val="18"/>
          <w:lang w:val="bg-BG"/>
        </w:rPr>
      </w:pPr>
      <w:r w:rsidRPr="009072DA">
        <w:rPr>
          <w:lang w:val="bg-BG"/>
        </w:rPr>
        <w:t>б)</w:t>
      </w:r>
      <w:r w:rsidRPr="009072DA">
        <w:rPr>
          <w:lang w:val="bg-BG"/>
        </w:rPr>
        <w:tab/>
        <w:t>член 8.08, точки 2 — 8, член 13.02 и член 13.08, точка 1.</w:t>
      </w:r>
    </w:p>
    <w:p w:rsidR="006E0BD7" w:rsidRPr="009072DA" w:rsidRDefault="006E0BD7" w:rsidP="006E0BD7">
      <w:pPr>
        <w:pStyle w:val="ESch"/>
        <w:rPr>
          <w:rFonts w:eastAsia="Calibri"/>
          <w:lang w:val="bg-BG"/>
        </w:rPr>
      </w:pPr>
    </w:p>
    <w:p w:rsidR="006E0BD7" w:rsidRPr="009072DA" w:rsidRDefault="006E0BD7" w:rsidP="006E0BD7">
      <w:pPr>
        <w:pStyle w:val="ESchpar"/>
        <w:rPr>
          <w:rFonts w:eastAsia="Calibri" w:cs="Arial"/>
          <w:szCs w:val="18"/>
          <w:lang w:val="bg-BG"/>
        </w:rPr>
      </w:pPr>
      <w:r w:rsidRPr="009072DA">
        <w:rPr>
          <w:lang w:val="bg-BG"/>
        </w:rPr>
        <w:t>Ако са налични рулева система, жилищни помещения, машинни или котелни отделения, за тях се прилагат съответните изисквания на настоящия стандарт.</w:t>
      </w:r>
    </w:p>
    <w:p w:rsidR="006E0BD7" w:rsidRPr="009072DA" w:rsidRDefault="006E0BD7" w:rsidP="006E0BD7">
      <w:pPr>
        <w:pStyle w:val="ESch"/>
        <w:rPr>
          <w:rFonts w:eastAsia="Calibri"/>
          <w:lang w:val="bg-BG"/>
        </w:rPr>
      </w:pPr>
    </w:p>
    <w:p w:rsidR="006E0BD7" w:rsidRPr="009072DA" w:rsidRDefault="006E0BD7" w:rsidP="006E0BD7">
      <w:pPr>
        <w:pStyle w:val="ESch"/>
        <w:rPr>
          <w:rFonts w:eastAsia="Calibri" w:cs="Arial"/>
          <w:szCs w:val="18"/>
          <w:lang w:val="bg-BG"/>
        </w:rPr>
      </w:pPr>
      <w:r w:rsidRPr="009072DA">
        <w:rPr>
          <w:lang w:val="bg-BG"/>
        </w:rPr>
        <w:t>2.</w:t>
      </w:r>
      <w:r w:rsidRPr="009072DA">
        <w:rPr>
          <w:lang w:val="bg-BG"/>
        </w:rPr>
        <w:tab/>
        <w:t xml:space="preserve">Освен това бордовите лихтери, чиято дължина </w:t>
      </w:r>
      <m:oMath>
        <m:r>
          <w:rPr>
            <w:rFonts w:ascii="Cambria Math" w:eastAsia="Calibri" w:hAnsi="Cambria Math"/>
            <w:lang w:val="bg-BG"/>
          </w:rPr>
          <m:t>L</m:t>
        </m:r>
      </m:oMath>
      <w:r w:rsidRPr="009072DA">
        <w:rPr>
          <w:lang w:val="bg-BG"/>
        </w:rPr>
        <w:t xml:space="preserve"> не надвишава 40 m, трябва да отговарят на следните изисквания:</w:t>
      </w:r>
    </w:p>
    <w:p w:rsidR="006E0BD7" w:rsidRPr="009072DA" w:rsidRDefault="005C7859" w:rsidP="0034719E">
      <w:pPr>
        <w:pStyle w:val="ESlet"/>
        <w:rPr>
          <w:rFonts w:eastAsia="Calibri" w:cs="Arial"/>
          <w:szCs w:val="18"/>
          <w:lang w:val="bg-BG"/>
        </w:rPr>
      </w:pPr>
      <w:r w:rsidRPr="009072DA">
        <w:rPr>
          <w:lang w:val="bg-BG"/>
        </w:rPr>
        <w:t>a)</w:t>
      </w:r>
      <w:r w:rsidRPr="009072DA">
        <w:rPr>
          <w:lang w:val="bg-BG"/>
        </w:rPr>
        <w:tab/>
        <w:t>първите носови непроницаеми прегради, посочени в член 3.03, точка 1, могат да бъдат спестени, ако челните им страни са способни за издържат на товар поне 2,5 пъти по-голям от този, определен за първите носови непроницаеми прегради на плавателни съдове по вътрешни водни пътища със същото газене, построени според изискванията на призната класификационна организация;</w:t>
      </w:r>
    </w:p>
    <w:p w:rsidR="006E0BD7" w:rsidRPr="009072DA" w:rsidRDefault="005C7859" w:rsidP="0034719E">
      <w:pPr>
        <w:pStyle w:val="ESlet"/>
        <w:rPr>
          <w:rFonts w:eastAsia="Calibri" w:cs="Arial"/>
          <w:szCs w:val="18"/>
          <w:lang w:val="bg-BG"/>
        </w:rPr>
      </w:pPr>
      <w:r w:rsidRPr="009072DA">
        <w:rPr>
          <w:lang w:val="bg-BG"/>
        </w:rPr>
        <w:t>б)</w:t>
      </w:r>
      <w:r w:rsidRPr="009072DA">
        <w:rPr>
          <w:lang w:val="bg-BG"/>
        </w:rPr>
        <w:tab/>
        <w:t>чрез дерогация от член 8.08, точка 1 отсеците на двойното дъно, до които достъпът е труден, не се отводняват, освен ако обемът им не надвишава 5 % от обемното водоизместване на бордовия лихтер при газене с максимално допустим товар.</w:t>
      </w:r>
    </w:p>
    <w:p w:rsidR="006E0BD7" w:rsidRPr="009072DA" w:rsidRDefault="006E0BD7" w:rsidP="006E0BD7">
      <w:pPr>
        <w:pStyle w:val="ESch"/>
        <w:rPr>
          <w:rFonts w:eastAsia="Calibri"/>
          <w:lang w:val="bg-BG"/>
        </w:rPr>
      </w:pPr>
    </w:p>
    <w:p w:rsidR="006E0BD7" w:rsidRPr="009072DA" w:rsidRDefault="006E0BD7" w:rsidP="006E0BD7">
      <w:pPr>
        <w:pStyle w:val="ESch"/>
        <w:rPr>
          <w:rFonts w:eastAsia="Calibri" w:cs="Arial"/>
          <w:szCs w:val="18"/>
          <w:lang w:val="bg-BG"/>
        </w:rPr>
      </w:pPr>
      <w:r w:rsidRPr="009072DA">
        <w:rPr>
          <w:lang w:val="bg-BG"/>
        </w:rPr>
        <w:t xml:space="preserve">3. </w:t>
      </w:r>
      <w:r w:rsidRPr="009072DA">
        <w:rPr>
          <w:lang w:val="bg-BG"/>
        </w:rPr>
        <w:tab/>
        <w:t>Плавателните средства, предназначени да бъдат тласкани, се оборудват със свързващи устройства, осигуряващи безопасно свързване с други плавателни средства.</w:t>
      </w:r>
    </w:p>
    <w:p w:rsidR="006E0BD7" w:rsidRPr="009072DA" w:rsidRDefault="006E0BD7" w:rsidP="006E0BD7">
      <w:pPr>
        <w:pStyle w:val="ESch"/>
        <w:rPr>
          <w:rFonts w:eastAsia="Calibri" w:cs="Arial"/>
          <w:szCs w:val="18"/>
          <w:lang w:val="bg-BG"/>
        </w:rPr>
      </w:pPr>
    </w:p>
    <w:p w:rsidR="00D66948" w:rsidRPr="009072DA" w:rsidRDefault="00D66948" w:rsidP="006E0BD7">
      <w:pPr>
        <w:pStyle w:val="ESch"/>
        <w:rPr>
          <w:rFonts w:eastAsia="Calibri" w:cs="Arial"/>
          <w:szCs w:val="18"/>
          <w:lang w:val="bg-BG"/>
        </w:rPr>
      </w:pPr>
    </w:p>
    <w:p w:rsidR="00561878" w:rsidRPr="009072DA" w:rsidRDefault="00561878">
      <w:pPr>
        <w:rPr>
          <w:rFonts w:eastAsia="Calibri" w:cs="Arial"/>
          <w:szCs w:val="18"/>
          <w:lang w:val="bg-BG"/>
        </w:rPr>
      </w:pPr>
      <w:r w:rsidRPr="009072DA">
        <w:rPr>
          <w:lang w:val="bg-BG"/>
        </w:rPr>
        <w:br w:type="page"/>
      </w:r>
    </w:p>
    <w:p w:rsidR="006E0BD7" w:rsidRPr="009072DA" w:rsidRDefault="006E0BD7" w:rsidP="006E0BD7">
      <w:pPr>
        <w:pStyle w:val="ES-Titre3"/>
        <w:rPr>
          <w:rFonts w:cs="Arial"/>
          <w:i/>
          <w:szCs w:val="18"/>
          <w:lang w:val="bg-BG"/>
        </w:rPr>
      </w:pPr>
      <w:bookmarkStart w:id="421" w:name="_Toc491854208"/>
      <w:bookmarkStart w:id="422" w:name="_Toc535827649"/>
      <w:r w:rsidRPr="009072DA">
        <w:rPr>
          <w:lang w:val="bg-BG"/>
        </w:rPr>
        <w:lastRenderedPageBreak/>
        <w:t>Член 21.03</w:t>
      </w:r>
      <w:r w:rsidRPr="009072DA">
        <w:rPr>
          <w:lang w:val="bg-BG"/>
        </w:rPr>
        <w:br/>
      </w:r>
      <w:r w:rsidRPr="009072DA">
        <w:rPr>
          <w:i/>
          <w:lang w:val="bg-BG"/>
        </w:rPr>
        <w:t>Плавателни средства, пригодни да задвижват бордово свързани групи</w:t>
      </w:r>
      <w:bookmarkEnd w:id="421"/>
      <w:bookmarkEnd w:id="422"/>
    </w:p>
    <w:p w:rsidR="006E0BD7" w:rsidRPr="009072DA" w:rsidRDefault="006E0BD7" w:rsidP="006E0BD7">
      <w:pPr>
        <w:pStyle w:val="ESch"/>
        <w:rPr>
          <w:rFonts w:eastAsia="Calibri"/>
          <w:lang w:val="bg-BG"/>
        </w:rPr>
      </w:pPr>
    </w:p>
    <w:p w:rsidR="006E0BD7" w:rsidRPr="009072DA" w:rsidRDefault="006E0BD7" w:rsidP="006E0BD7">
      <w:pPr>
        <w:pStyle w:val="ESgauche"/>
        <w:rPr>
          <w:rFonts w:eastAsia="Calibri" w:cs="Arial"/>
          <w:noProof w:val="0"/>
          <w:szCs w:val="18"/>
          <w:lang w:val="bg-BG"/>
        </w:rPr>
      </w:pPr>
      <w:r w:rsidRPr="009072DA">
        <w:rPr>
          <w:noProof w:val="0"/>
          <w:lang w:val="bg-BG"/>
        </w:rPr>
        <w:t>Плавателните средства, предвидени да задвижват бордово свързани групи, трябва да са оборудвани с кнехтове или равностойни устройства, които в резултат на своя брой и подредба, позволяват групата да бъде свързана по безопасен начин.</w:t>
      </w:r>
    </w:p>
    <w:p w:rsidR="006E0BD7" w:rsidRPr="009072DA" w:rsidRDefault="006E0BD7" w:rsidP="006E0BD7">
      <w:pPr>
        <w:pStyle w:val="ESch"/>
        <w:rPr>
          <w:rFonts w:eastAsia="Calibri" w:cs="Arial"/>
          <w:szCs w:val="18"/>
          <w:lang w:val="bg-BG"/>
        </w:rPr>
      </w:pPr>
    </w:p>
    <w:p w:rsidR="006E0BD7" w:rsidRPr="009072DA" w:rsidRDefault="006E0BD7" w:rsidP="006E0BD7">
      <w:pPr>
        <w:pStyle w:val="ESch"/>
        <w:rPr>
          <w:rFonts w:eastAsia="Calibri" w:cs="Arial"/>
          <w:szCs w:val="18"/>
          <w:lang w:val="bg-BG"/>
        </w:rPr>
      </w:pPr>
    </w:p>
    <w:p w:rsidR="006E0BD7" w:rsidRPr="009072DA" w:rsidRDefault="006E0BD7" w:rsidP="006E0BD7">
      <w:pPr>
        <w:pStyle w:val="ES-Titre3"/>
        <w:rPr>
          <w:rFonts w:cs="Arial"/>
          <w:i/>
          <w:szCs w:val="18"/>
          <w:lang w:val="bg-BG"/>
        </w:rPr>
      </w:pPr>
      <w:bookmarkStart w:id="423" w:name="_Toc491854209"/>
      <w:bookmarkStart w:id="424" w:name="_Toc535827650"/>
      <w:r w:rsidRPr="009072DA">
        <w:rPr>
          <w:lang w:val="bg-BG"/>
        </w:rPr>
        <w:t>Член 21.04</w:t>
      </w:r>
      <w:r w:rsidRPr="009072DA">
        <w:rPr>
          <w:lang w:val="bg-BG"/>
        </w:rPr>
        <w:br/>
      </w:r>
      <w:r w:rsidRPr="009072DA">
        <w:rPr>
          <w:i/>
          <w:lang w:val="bg-BG"/>
        </w:rPr>
        <w:t>Плавателни средства, пригодени да бъдат задвижвани като част от състави от плавателни съдове</w:t>
      </w:r>
      <w:bookmarkEnd w:id="423"/>
      <w:bookmarkEnd w:id="424"/>
    </w:p>
    <w:p w:rsidR="006E0BD7" w:rsidRPr="009072DA" w:rsidRDefault="006E0BD7" w:rsidP="006E0BD7">
      <w:pPr>
        <w:pStyle w:val="ESch"/>
        <w:rPr>
          <w:rFonts w:eastAsia="Calibri"/>
          <w:lang w:val="bg-BG"/>
        </w:rPr>
      </w:pPr>
    </w:p>
    <w:p w:rsidR="006E0BD7" w:rsidRPr="009072DA" w:rsidRDefault="006E0BD7" w:rsidP="006E0BD7">
      <w:pPr>
        <w:pStyle w:val="ESgauche"/>
        <w:rPr>
          <w:rFonts w:eastAsia="Calibri" w:cs="Arial"/>
          <w:noProof w:val="0"/>
          <w:szCs w:val="18"/>
          <w:lang w:val="bg-BG"/>
        </w:rPr>
      </w:pPr>
      <w:r w:rsidRPr="009072DA">
        <w:rPr>
          <w:noProof w:val="0"/>
          <w:lang w:val="bg-BG"/>
        </w:rPr>
        <w:t>Плавателните средства, предназначени да бъдат задвижвани като част от състав от плавателни съдове, се оборудват със свързващи устройства, кнехтове или равностойни устройства, които в резултат на своя брой и подредба, позволяват безопасно свързване с другите плавателни средства в състава.</w:t>
      </w:r>
    </w:p>
    <w:p w:rsidR="006E0BD7" w:rsidRPr="009072DA" w:rsidRDefault="006E0BD7" w:rsidP="006E0BD7">
      <w:pPr>
        <w:pStyle w:val="ESch"/>
        <w:rPr>
          <w:rFonts w:eastAsia="Calibri" w:cs="Arial"/>
          <w:szCs w:val="18"/>
          <w:lang w:val="bg-BG"/>
        </w:rPr>
      </w:pPr>
    </w:p>
    <w:p w:rsidR="006E0BD7" w:rsidRPr="009072DA" w:rsidRDefault="006E0BD7" w:rsidP="006E0BD7">
      <w:pPr>
        <w:pStyle w:val="ESch"/>
        <w:rPr>
          <w:rFonts w:eastAsia="Calibri" w:cs="Arial"/>
          <w:szCs w:val="18"/>
          <w:lang w:val="bg-BG"/>
        </w:rPr>
      </w:pPr>
    </w:p>
    <w:p w:rsidR="006E0BD7" w:rsidRPr="009072DA" w:rsidRDefault="006E0BD7" w:rsidP="006E0BD7">
      <w:pPr>
        <w:pStyle w:val="ES-Titre3"/>
        <w:rPr>
          <w:rFonts w:cs="Arial"/>
          <w:i/>
          <w:szCs w:val="18"/>
          <w:lang w:val="bg-BG"/>
        </w:rPr>
      </w:pPr>
      <w:bookmarkStart w:id="425" w:name="_Toc491854210"/>
      <w:bookmarkStart w:id="426" w:name="_Toc535827651"/>
      <w:r w:rsidRPr="009072DA">
        <w:rPr>
          <w:lang w:val="bg-BG"/>
        </w:rPr>
        <w:t>Член 21.05</w:t>
      </w:r>
      <w:r w:rsidRPr="009072DA">
        <w:rPr>
          <w:lang w:val="bg-BG"/>
        </w:rPr>
        <w:br/>
      </w:r>
      <w:r w:rsidRPr="009072DA">
        <w:rPr>
          <w:i/>
          <w:lang w:val="bg-BG"/>
        </w:rPr>
        <w:t>Плавателни средства, пригодни да бъдат теглени</w:t>
      </w:r>
      <w:bookmarkEnd w:id="425"/>
      <w:bookmarkEnd w:id="426"/>
    </w:p>
    <w:p w:rsidR="006E0BD7" w:rsidRPr="009072DA" w:rsidRDefault="006E0BD7" w:rsidP="006E0BD7">
      <w:pPr>
        <w:pStyle w:val="ESch"/>
        <w:rPr>
          <w:rFonts w:eastAsia="Calibri"/>
          <w:lang w:val="bg-BG"/>
        </w:rPr>
      </w:pPr>
    </w:p>
    <w:p w:rsidR="006E0BD7" w:rsidRPr="009072DA" w:rsidRDefault="008E7AC7" w:rsidP="006E0BD7">
      <w:pPr>
        <w:pStyle w:val="ESch"/>
        <w:rPr>
          <w:rFonts w:eastAsia="Calibri" w:cs="Arial"/>
          <w:szCs w:val="18"/>
          <w:lang w:val="bg-BG"/>
        </w:rPr>
      </w:pPr>
      <w:r w:rsidRPr="009072DA">
        <w:rPr>
          <w:lang w:val="bg-BG"/>
        </w:rPr>
        <w:t>1.</w:t>
      </w:r>
      <w:r w:rsidRPr="009072DA">
        <w:rPr>
          <w:lang w:val="bg-BG"/>
        </w:rPr>
        <w:tab/>
        <w:t>Плавателни средства, предназначени да бъдат теглени, трябва да отговарят на следните изисквания:</w:t>
      </w:r>
    </w:p>
    <w:p w:rsidR="006E0BD7" w:rsidRPr="009072DA" w:rsidRDefault="005C7859" w:rsidP="0034719E">
      <w:pPr>
        <w:pStyle w:val="ESlet"/>
        <w:rPr>
          <w:rFonts w:eastAsia="Calibri" w:cs="Arial"/>
          <w:szCs w:val="18"/>
          <w:lang w:val="bg-BG"/>
        </w:rPr>
      </w:pPr>
      <w:r w:rsidRPr="009072DA">
        <w:rPr>
          <w:lang w:val="bg-BG"/>
        </w:rPr>
        <w:t>a)</w:t>
      </w:r>
      <w:r w:rsidRPr="009072DA">
        <w:rPr>
          <w:lang w:val="bg-BG"/>
        </w:rPr>
        <w:tab/>
        <w:t>устройствата за влачене трябва да са разположени така, че ползването им да не застрашава безопасността на плавателното средство, екипажа или товара;</w:t>
      </w:r>
    </w:p>
    <w:p w:rsidR="006E0BD7" w:rsidRPr="009072DA" w:rsidRDefault="005C7859" w:rsidP="0034719E">
      <w:pPr>
        <w:pStyle w:val="ESlet"/>
        <w:rPr>
          <w:rFonts w:eastAsia="Calibri" w:cs="Arial"/>
          <w:szCs w:val="18"/>
          <w:lang w:val="bg-BG"/>
        </w:rPr>
      </w:pPr>
      <w:r w:rsidRPr="009072DA">
        <w:rPr>
          <w:lang w:val="bg-BG"/>
        </w:rPr>
        <w:t>б)</w:t>
      </w:r>
      <w:r w:rsidRPr="009072DA">
        <w:rPr>
          <w:lang w:val="bg-BG"/>
        </w:rPr>
        <w:tab/>
        <w:t>теглещите и тласкащите плавателни средства се оборудват с буксирна кука, която е възможно да се освободи безопасно от рулевата рубка; това не се прилага, ако поради конструкцията или наличието на друга арматура не е възможно преобръщане;</w:t>
      </w:r>
    </w:p>
    <w:p w:rsidR="006E0BD7" w:rsidRPr="009072DA" w:rsidRDefault="005C7859" w:rsidP="0034719E">
      <w:pPr>
        <w:pStyle w:val="ESlet"/>
        <w:rPr>
          <w:rFonts w:eastAsia="Calibri" w:cs="Arial"/>
          <w:szCs w:val="18"/>
          <w:lang w:val="bg-BG"/>
        </w:rPr>
      </w:pPr>
      <w:r w:rsidRPr="009072DA">
        <w:rPr>
          <w:lang w:val="bg-BG"/>
        </w:rPr>
        <w:t>в)</w:t>
      </w:r>
      <w:r w:rsidRPr="009072DA">
        <w:rPr>
          <w:lang w:val="bg-BG"/>
        </w:rPr>
        <w:tab/>
        <w:t>устройствата за влачене се състоят от лебедки или буксирна кука.  Устройствата за влачене се поставят пред равнината на гребните винтове. Това изискване не важи за плавателни средства, които се управляват със задвижващите си звена, като винто-рулеви колони и крилчати движители.</w:t>
      </w:r>
    </w:p>
    <w:p w:rsidR="006E0BD7" w:rsidRPr="009072DA" w:rsidRDefault="0029453D" w:rsidP="0034719E">
      <w:pPr>
        <w:pStyle w:val="ESlet"/>
        <w:rPr>
          <w:rFonts w:eastAsia="Calibri" w:cs="Arial"/>
          <w:szCs w:val="18"/>
          <w:lang w:val="bg-BG"/>
        </w:rPr>
      </w:pPr>
      <w:r w:rsidRPr="009072DA">
        <w:rPr>
          <w:lang w:val="bg-BG"/>
        </w:rPr>
        <w:t>г)</w:t>
      </w:r>
      <w:r w:rsidRPr="009072DA">
        <w:rPr>
          <w:lang w:val="bg-BG"/>
        </w:rPr>
        <w:tab/>
        <w:t xml:space="preserve">чрез дерогация от изискванията на буква в) за плавателни средства, които само оказват — в съответствие с приложимите разпоредби на навигационните служби на държавите членки — съдействие чрез влачене на моторни плавателни средства, достатъчно ще бъде и устройство за влачене от типа на кнехт или равностойно устройство. Буква б) се прилага </w:t>
      </w:r>
      <w:r w:rsidRPr="009072DA">
        <w:rPr>
          <w:i/>
          <w:lang w:val="bg-BG"/>
        </w:rPr>
        <w:t>mutatis mutandis.</w:t>
      </w:r>
    </w:p>
    <w:p w:rsidR="006E0BD7" w:rsidRPr="009072DA" w:rsidRDefault="0029453D" w:rsidP="0034719E">
      <w:pPr>
        <w:pStyle w:val="ESlet"/>
        <w:rPr>
          <w:rFonts w:eastAsia="Calibri" w:cs="Arial"/>
          <w:szCs w:val="18"/>
          <w:lang w:val="bg-BG"/>
        </w:rPr>
      </w:pPr>
      <w:r w:rsidRPr="009072DA">
        <w:rPr>
          <w:lang w:val="bg-BG"/>
        </w:rPr>
        <w:lastRenderedPageBreak/>
        <w:t>д)</w:t>
      </w:r>
      <w:r w:rsidRPr="009072DA">
        <w:rPr>
          <w:lang w:val="bg-BG"/>
        </w:rPr>
        <w:tab/>
        <w:t>в случай че буксирните въжета биха могли да се закачат на кърмата на плавателния съд, трябва да са осигурени насочващи бугели с уловители за въжетата.</w:t>
      </w:r>
    </w:p>
    <w:p w:rsidR="006E0BD7" w:rsidRPr="009072DA" w:rsidRDefault="006E0BD7" w:rsidP="006E0BD7">
      <w:pPr>
        <w:pStyle w:val="ESch"/>
        <w:rPr>
          <w:rFonts w:eastAsia="Calibri"/>
          <w:lang w:val="bg-BG"/>
        </w:rPr>
      </w:pPr>
    </w:p>
    <w:p w:rsidR="006E0BD7" w:rsidRPr="009072DA" w:rsidRDefault="008E7AC7" w:rsidP="006E0BD7">
      <w:pPr>
        <w:pStyle w:val="ESch"/>
        <w:rPr>
          <w:rFonts w:eastAsia="Calibri" w:cs="Arial"/>
          <w:szCs w:val="18"/>
          <w:lang w:val="bg-BG"/>
        </w:rPr>
      </w:pPr>
      <w:r w:rsidRPr="009072DA">
        <w:rPr>
          <w:lang w:val="bg-BG"/>
        </w:rPr>
        <w:t>2.</w:t>
      </w:r>
      <w:r w:rsidRPr="009072DA">
        <w:rPr>
          <w:lang w:val="bg-BG"/>
        </w:rPr>
        <w:tab/>
        <w:t xml:space="preserve">Плавателни средства с дължина </w:t>
      </w:r>
      <m:oMath>
        <m:r>
          <w:rPr>
            <w:rFonts w:ascii="Cambria Math" w:eastAsia="Calibri" w:hAnsi="Cambria Math"/>
            <w:lang w:val="bg-BG"/>
          </w:rPr>
          <m:t>L</m:t>
        </m:r>
      </m:oMath>
      <w:r w:rsidRPr="009072DA">
        <w:rPr>
          <w:lang w:val="bg-BG"/>
        </w:rPr>
        <w:t xml:space="preserve"> над 86 m не се допускат да извършват влачене надолу по течението.</w:t>
      </w:r>
    </w:p>
    <w:p w:rsidR="006E0BD7" w:rsidRPr="009072DA" w:rsidRDefault="006E0BD7" w:rsidP="006E0BD7">
      <w:pPr>
        <w:pStyle w:val="ESch"/>
        <w:rPr>
          <w:rFonts w:eastAsia="Calibri" w:cs="Arial"/>
          <w:szCs w:val="18"/>
          <w:lang w:val="bg-BG"/>
        </w:rPr>
      </w:pPr>
    </w:p>
    <w:p w:rsidR="006E0BD7" w:rsidRPr="009072DA" w:rsidRDefault="006E0BD7" w:rsidP="006E0BD7">
      <w:pPr>
        <w:pStyle w:val="ESch"/>
        <w:rPr>
          <w:rFonts w:eastAsia="Calibri" w:cs="Arial"/>
          <w:szCs w:val="18"/>
          <w:lang w:val="bg-BG"/>
        </w:rPr>
      </w:pPr>
    </w:p>
    <w:p w:rsidR="006E0BD7" w:rsidRPr="009072DA" w:rsidRDefault="006E0BD7" w:rsidP="006E0BD7">
      <w:pPr>
        <w:pStyle w:val="ES-Titre3"/>
        <w:rPr>
          <w:rFonts w:cs="Arial"/>
          <w:i/>
          <w:szCs w:val="18"/>
          <w:lang w:val="bg-BG"/>
        </w:rPr>
      </w:pPr>
      <w:bookmarkStart w:id="427" w:name="_Toc491854211"/>
      <w:bookmarkStart w:id="428" w:name="_Toc535827652"/>
      <w:r w:rsidRPr="009072DA">
        <w:rPr>
          <w:lang w:val="bg-BG"/>
        </w:rPr>
        <w:t>Член 21.06</w:t>
      </w:r>
      <w:r w:rsidRPr="009072DA">
        <w:rPr>
          <w:lang w:val="bg-BG"/>
        </w:rPr>
        <w:br/>
      </w:r>
      <w:r w:rsidRPr="009072DA">
        <w:rPr>
          <w:i/>
          <w:lang w:val="bg-BG"/>
        </w:rPr>
        <w:t>Ходови изпитвания на състави от плавателни съдове</w:t>
      </w:r>
      <w:bookmarkEnd w:id="427"/>
      <w:bookmarkEnd w:id="428"/>
    </w:p>
    <w:p w:rsidR="006E0BD7" w:rsidRPr="009072DA" w:rsidRDefault="006E0BD7" w:rsidP="006E0BD7">
      <w:pPr>
        <w:pStyle w:val="ESch"/>
        <w:rPr>
          <w:rFonts w:eastAsia="Calibri"/>
          <w:lang w:val="bg-BG"/>
        </w:rPr>
      </w:pPr>
    </w:p>
    <w:p w:rsidR="006E0BD7" w:rsidRPr="009072DA" w:rsidRDefault="006E0BD7" w:rsidP="006E0BD7">
      <w:pPr>
        <w:pStyle w:val="ESch"/>
        <w:rPr>
          <w:rFonts w:eastAsia="Calibri" w:cs="Arial"/>
          <w:szCs w:val="18"/>
          <w:lang w:val="bg-BG"/>
        </w:rPr>
      </w:pPr>
      <w:r w:rsidRPr="009072DA">
        <w:rPr>
          <w:lang w:val="bg-BG"/>
        </w:rPr>
        <w:t>1</w:t>
      </w:r>
      <w:r w:rsidRPr="009072DA">
        <w:rPr>
          <w:lang w:val="bg-BG"/>
        </w:rPr>
        <w:tab/>
        <w:t>За да бъде допуснат тласкач или моторен плавателен съд да задвижва твърдо свързан състав и това да бъде записано в удостоверението на плавателния съд за плаване по вътрешни водни пътища, контролният орган трябва да реши какви  формирования се представят и провежда ходовите изпитвания на състава, посочени в член 5.02, по отношение заявените формирования, които контролният орган сметне за най-трудни. Съставът от плавателни съдове съответства на изискванията, определени в членове от 5.02 до 5.10.</w:t>
      </w:r>
    </w:p>
    <w:p w:rsidR="006E0BD7" w:rsidRPr="009072DA" w:rsidRDefault="006E0BD7" w:rsidP="006E0BD7">
      <w:pPr>
        <w:pStyle w:val="ESch"/>
        <w:rPr>
          <w:rFonts w:eastAsia="Calibri"/>
          <w:lang w:val="bg-BG"/>
        </w:rPr>
      </w:pPr>
    </w:p>
    <w:p w:rsidR="006E0BD7" w:rsidRPr="009072DA" w:rsidRDefault="006E0BD7" w:rsidP="006E0BD7">
      <w:pPr>
        <w:pStyle w:val="ESchpar"/>
        <w:rPr>
          <w:rFonts w:eastAsia="Calibri" w:cs="Arial"/>
          <w:szCs w:val="18"/>
          <w:lang w:val="bg-BG"/>
        </w:rPr>
      </w:pPr>
      <w:r w:rsidRPr="009072DA">
        <w:rPr>
          <w:lang w:val="bg-BG"/>
        </w:rPr>
        <w:t>Контролният орган проверява дали твърдата връзка на всички плавателни средства в състава се поддържа при маневрите, изисквани съгласно глава 5.</w:t>
      </w:r>
    </w:p>
    <w:p w:rsidR="006E0BD7" w:rsidRPr="009072DA" w:rsidRDefault="006E0BD7" w:rsidP="006E0BD7">
      <w:pPr>
        <w:pStyle w:val="ESch"/>
        <w:rPr>
          <w:rFonts w:eastAsia="Calibri"/>
          <w:lang w:val="bg-BG"/>
        </w:rPr>
      </w:pPr>
    </w:p>
    <w:p w:rsidR="00D66948" w:rsidRPr="009072DA" w:rsidRDefault="00D66948">
      <w:pPr>
        <w:rPr>
          <w:rFonts w:eastAsia="Calibri"/>
          <w:lang w:val="bg-BG"/>
        </w:rPr>
      </w:pPr>
      <w:r w:rsidRPr="009072DA">
        <w:rPr>
          <w:lang w:val="bg-BG"/>
        </w:rPr>
        <w:br w:type="page"/>
      </w:r>
    </w:p>
    <w:p w:rsidR="006E0BD7" w:rsidRPr="009072DA" w:rsidRDefault="006E0BD7" w:rsidP="006E0BD7">
      <w:pPr>
        <w:pStyle w:val="ESch"/>
        <w:rPr>
          <w:rFonts w:eastAsia="Calibri" w:cs="Arial"/>
          <w:szCs w:val="18"/>
          <w:lang w:val="bg-BG"/>
        </w:rPr>
      </w:pPr>
      <w:r w:rsidRPr="009072DA">
        <w:rPr>
          <w:lang w:val="bg-BG"/>
        </w:rPr>
        <w:lastRenderedPageBreak/>
        <w:t xml:space="preserve">2 </w:t>
      </w:r>
      <w:r w:rsidRPr="009072DA">
        <w:rPr>
          <w:lang w:val="bg-BG"/>
        </w:rPr>
        <w:tab/>
        <w:t>Ако по време на ходовите изпитвания, изисквани съгласно точка 1, на борда на плавателните средства, които биват тласкани или задвижвани в бордово свързана група, има отделни инсталации като рулева система, задвижващи звена или оборудване за маневриране или шарнирни връзки с оглед изпълнение на изискванията на членове от 5.02 до 5.10, за плавателното средство, задвижващо състава, в удостоверението на плавателния съд за плаване по вътрешни водни пътища, се вписва следното:  формирование, място, име и европейски идентификационен номер на плавателния съд за плавателни средства, оборудвани с използваните отделни инсталации.</w:t>
      </w:r>
    </w:p>
    <w:p w:rsidR="006E0BD7" w:rsidRPr="009072DA" w:rsidRDefault="006E0BD7" w:rsidP="006E0BD7">
      <w:pPr>
        <w:pStyle w:val="ESch"/>
        <w:rPr>
          <w:rFonts w:eastAsia="Calibri" w:cs="Arial"/>
          <w:szCs w:val="18"/>
          <w:lang w:val="bg-BG"/>
        </w:rPr>
      </w:pPr>
    </w:p>
    <w:p w:rsidR="006E0BD7" w:rsidRPr="009072DA" w:rsidRDefault="006E0BD7" w:rsidP="006E0BD7">
      <w:pPr>
        <w:pStyle w:val="ESch"/>
        <w:rPr>
          <w:rFonts w:eastAsia="Calibri" w:cs="Arial"/>
          <w:szCs w:val="18"/>
          <w:lang w:val="bg-BG"/>
        </w:rPr>
      </w:pPr>
    </w:p>
    <w:p w:rsidR="006E0BD7" w:rsidRPr="009072DA" w:rsidRDefault="006E0BD7" w:rsidP="006E0BD7">
      <w:pPr>
        <w:pStyle w:val="ES-Titre3"/>
        <w:rPr>
          <w:rFonts w:cs="Arial"/>
          <w:i/>
          <w:szCs w:val="18"/>
          <w:lang w:val="bg-BG"/>
        </w:rPr>
      </w:pPr>
      <w:bookmarkStart w:id="429" w:name="_Toc491854212"/>
      <w:bookmarkStart w:id="430" w:name="_Toc535827653"/>
      <w:r w:rsidRPr="009072DA">
        <w:rPr>
          <w:lang w:val="bg-BG"/>
        </w:rPr>
        <w:t>Член 21.07</w:t>
      </w:r>
      <w:r w:rsidRPr="009072DA">
        <w:rPr>
          <w:lang w:val="bg-BG"/>
        </w:rPr>
        <w:br/>
      </w:r>
      <w:r w:rsidRPr="009072DA">
        <w:rPr>
          <w:i/>
          <w:lang w:val="bg-BG"/>
        </w:rPr>
        <w:t>Вписвания в удостоверението на плавателния съд за плаване по вътрешни водни пътища</w:t>
      </w:r>
      <w:bookmarkEnd w:id="429"/>
      <w:bookmarkEnd w:id="430"/>
    </w:p>
    <w:p w:rsidR="006E0BD7" w:rsidRPr="009072DA" w:rsidRDefault="006E0BD7" w:rsidP="006E0BD7">
      <w:pPr>
        <w:pStyle w:val="ESch"/>
        <w:rPr>
          <w:rFonts w:eastAsia="Calibri"/>
          <w:lang w:val="bg-BG"/>
        </w:rPr>
      </w:pPr>
    </w:p>
    <w:p w:rsidR="006E0BD7" w:rsidRPr="009072DA" w:rsidRDefault="006E0BD7" w:rsidP="006E0BD7">
      <w:pPr>
        <w:pStyle w:val="ESch"/>
        <w:rPr>
          <w:rFonts w:eastAsia="Calibri" w:cs="Arial"/>
          <w:szCs w:val="18"/>
          <w:lang w:val="bg-BG"/>
        </w:rPr>
      </w:pPr>
      <w:r w:rsidRPr="009072DA">
        <w:rPr>
          <w:lang w:val="bg-BG"/>
        </w:rPr>
        <w:t xml:space="preserve">1 </w:t>
      </w:r>
      <w:r w:rsidRPr="009072DA">
        <w:rPr>
          <w:lang w:val="bg-BG"/>
        </w:rPr>
        <w:tab/>
        <w:t>Когато плавателно средство е предназначено да задвижва състав от плавателни съдове или да бъде задвижвано като част от състав от плавателни съдове, съответствието му с приложимите изисквания, изложени в членове от 21.01 до 21.06, се вписва в удостоверението на плавателния съд за плаване по вътрешни водни пътища.</w:t>
      </w:r>
    </w:p>
    <w:p w:rsidR="006E0BD7" w:rsidRPr="009072DA" w:rsidRDefault="006E0BD7" w:rsidP="006E0BD7">
      <w:pPr>
        <w:pStyle w:val="ESch"/>
        <w:rPr>
          <w:rFonts w:eastAsia="Calibri"/>
          <w:lang w:val="bg-BG"/>
        </w:rPr>
      </w:pPr>
    </w:p>
    <w:p w:rsidR="006E0BD7" w:rsidRPr="009072DA" w:rsidRDefault="006E0BD7" w:rsidP="006E0BD7">
      <w:pPr>
        <w:pStyle w:val="ESch"/>
        <w:rPr>
          <w:rFonts w:eastAsia="Calibri" w:cs="Arial"/>
          <w:szCs w:val="18"/>
          <w:lang w:val="bg-BG"/>
        </w:rPr>
      </w:pPr>
      <w:r w:rsidRPr="009072DA">
        <w:rPr>
          <w:lang w:val="bg-BG"/>
        </w:rPr>
        <w:t xml:space="preserve">2 </w:t>
      </w:r>
      <w:r w:rsidRPr="009072DA">
        <w:rPr>
          <w:lang w:val="bg-BG"/>
        </w:rPr>
        <w:tab/>
        <w:t>Следната информация се вписва в удостоверението на плавателния съд за плаване по вътрешни водни пътища за задвижващото плавателно средство:</w:t>
      </w:r>
    </w:p>
    <w:p w:rsidR="006E0BD7" w:rsidRPr="009072DA" w:rsidRDefault="005C7859" w:rsidP="006E0BD7">
      <w:pPr>
        <w:pStyle w:val="ESlet"/>
        <w:rPr>
          <w:rFonts w:eastAsia="Calibri" w:cs="Arial"/>
          <w:szCs w:val="18"/>
          <w:lang w:val="bg-BG"/>
        </w:rPr>
      </w:pPr>
      <w:r w:rsidRPr="009072DA">
        <w:rPr>
          <w:lang w:val="bg-BG"/>
        </w:rPr>
        <w:t>a)</w:t>
      </w:r>
      <w:r w:rsidRPr="009072DA">
        <w:rPr>
          <w:lang w:val="bg-BG"/>
        </w:rPr>
        <w:tab/>
        <w:t>съставите и формированията, които са били одобрени;</w:t>
      </w:r>
    </w:p>
    <w:p w:rsidR="006E0BD7" w:rsidRPr="009072DA" w:rsidRDefault="005C7859" w:rsidP="006E0BD7">
      <w:pPr>
        <w:pStyle w:val="ESlet"/>
        <w:rPr>
          <w:rFonts w:eastAsia="Calibri" w:cs="Arial"/>
          <w:szCs w:val="18"/>
          <w:lang w:val="bg-BG"/>
        </w:rPr>
      </w:pPr>
      <w:r w:rsidRPr="009072DA">
        <w:rPr>
          <w:lang w:val="bg-BG"/>
        </w:rPr>
        <w:t>б)</w:t>
      </w:r>
      <w:r w:rsidRPr="009072DA">
        <w:rPr>
          <w:lang w:val="bg-BG"/>
        </w:rPr>
        <w:tab/>
        <w:t>видовете свързване;</w:t>
      </w:r>
    </w:p>
    <w:p w:rsidR="006E0BD7" w:rsidRPr="009072DA" w:rsidRDefault="005C7859" w:rsidP="006E0BD7">
      <w:pPr>
        <w:pStyle w:val="ESlet"/>
        <w:rPr>
          <w:rFonts w:eastAsia="Calibri" w:cs="Arial"/>
          <w:szCs w:val="18"/>
          <w:lang w:val="bg-BG"/>
        </w:rPr>
      </w:pPr>
      <w:r w:rsidRPr="009072DA">
        <w:rPr>
          <w:lang w:val="bg-BG"/>
        </w:rPr>
        <w:t>в)</w:t>
      </w:r>
      <w:r w:rsidRPr="009072DA">
        <w:rPr>
          <w:lang w:val="bg-BG"/>
        </w:rPr>
        <w:tab/>
        <w:t>определените максимални сили на свързване, и</w:t>
      </w:r>
    </w:p>
    <w:p w:rsidR="006E0BD7" w:rsidRPr="009072DA" w:rsidRDefault="0029453D" w:rsidP="006E0BD7">
      <w:pPr>
        <w:pStyle w:val="ESlet"/>
        <w:rPr>
          <w:rFonts w:eastAsia="Calibri" w:cs="Arial"/>
          <w:szCs w:val="18"/>
          <w:lang w:val="bg-BG"/>
        </w:rPr>
      </w:pPr>
      <w:r w:rsidRPr="009072DA">
        <w:rPr>
          <w:lang w:val="bg-BG"/>
        </w:rPr>
        <w:t>г)</w:t>
      </w:r>
      <w:r w:rsidRPr="009072DA">
        <w:rPr>
          <w:lang w:val="bg-BG"/>
        </w:rPr>
        <w:tab/>
        <w:t>където е уместно, минималното натоварване на скъсване на свързващите въжета за надлъжното свързване и също броя намотки на въжетата.</w:t>
      </w:r>
    </w:p>
    <w:p w:rsidR="006E0BD7" w:rsidRPr="009072DA" w:rsidRDefault="006E0BD7" w:rsidP="00973DAA">
      <w:pPr>
        <w:pStyle w:val="ESch"/>
        <w:rPr>
          <w:lang w:val="bg-BG"/>
        </w:rPr>
      </w:pPr>
    </w:p>
    <w:p w:rsidR="00716655" w:rsidRPr="009072DA" w:rsidRDefault="00716655" w:rsidP="00973DAA">
      <w:pPr>
        <w:pStyle w:val="ESch"/>
        <w:rPr>
          <w:lang w:val="bg-BG"/>
        </w:rPr>
      </w:pPr>
    </w:p>
    <w:p w:rsidR="00377B97" w:rsidRPr="009072DA" w:rsidRDefault="00377B97" w:rsidP="00973DAA">
      <w:pPr>
        <w:pStyle w:val="ESch"/>
        <w:rPr>
          <w:lang w:val="bg-BG"/>
        </w:rPr>
      </w:pPr>
    </w:p>
    <w:p w:rsidR="00A71FF0" w:rsidRPr="009072DA" w:rsidRDefault="00A71FF0" w:rsidP="00973DAA">
      <w:pPr>
        <w:pStyle w:val="ESch"/>
        <w:rPr>
          <w:lang w:val="bg-BG"/>
        </w:rPr>
      </w:pPr>
      <w:r w:rsidRPr="009072DA">
        <w:rPr>
          <w:lang w:val="bg-BG"/>
        </w:rPr>
        <w:br w:type="page"/>
      </w:r>
    </w:p>
    <w:p w:rsidR="00377B97" w:rsidRPr="009072DA" w:rsidRDefault="00377B97" w:rsidP="00973DAA">
      <w:pPr>
        <w:pStyle w:val="ESch"/>
        <w:rPr>
          <w:lang w:val="bg-BG"/>
        </w:rPr>
      </w:pPr>
    </w:p>
    <w:p w:rsidR="00377B97" w:rsidRPr="009072DA" w:rsidRDefault="00377B97" w:rsidP="00377B97">
      <w:pPr>
        <w:pStyle w:val="ES-Titre2"/>
        <w:rPr>
          <w:szCs w:val="24"/>
        </w:rPr>
      </w:pPr>
      <w:bookmarkStart w:id="431" w:name="_Toc491854213"/>
      <w:bookmarkStart w:id="432" w:name="_Toc535827654"/>
      <w:r w:rsidRPr="009072DA">
        <w:lastRenderedPageBreak/>
        <w:t>Глава 22</w:t>
      </w:r>
      <w:r w:rsidRPr="009072DA">
        <w:br/>
      </w:r>
      <w:r w:rsidRPr="009072DA">
        <w:rPr>
          <w:sz w:val="22"/>
        </w:rPr>
        <w:t>Специални разпоредби, приложими за плаващи съоръжения</w:t>
      </w:r>
      <w:bookmarkEnd w:id="431"/>
      <w:bookmarkEnd w:id="432"/>
    </w:p>
    <w:p w:rsidR="00377B97" w:rsidRPr="009072DA" w:rsidRDefault="00377B97" w:rsidP="00377B97">
      <w:pPr>
        <w:rPr>
          <w:lang w:val="bg-BG"/>
        </w:rPr>
      </w:pPr>
    </w:p>
    <w:p w:rsidR="00377B97" w:rsidRPr="009072DA" w:rsidRDefault="00377B97" w:rsidP="00377B97">
      <w:pPr>
        <w:pStyle w:val="ES-Titre3"/>
        <w:rPr>
          <w:lang w:val="bg-BG"/>
        </w:rPr>
      </w:pPr>
      <w:bookmarkStart w:id="433" w:name="_Toc491854214"/>
      <w:bookmarkStart w:id="434" w:name="_Toc535827655"/>
      <w:r w:rsidRPr="009072DA">
        <w:rPr>
          <w:lang w:val="bg-BG"/>
        </w:rPr>
        <w:t>Член 22.01</w:t>
      </w:r>
      <w:r w:rsidRPr="009072DA">
        <w:rPr>
          <w:lang w:val="bg-BG"/>
        </w:rPr>
        <w:br/>
      </w:r>
      <w:r w:rsidRPr="009072DA">
        <w:rPr>
          <w:i/>
          <w:lang w:val="bg-BG"/>
        </w:rPr>
        <w:t>Общи положения</w:t>
      </w:r>
      <w:bookmarkEnd w:id="433"/>
      <w:bookmarkEnd w:id="434"/>
    </w:p>
    <w:p w:rsidR="00377B97" w:rsidRPr="009072DA" w:rsidRDefault="00377B97" w:rsidP="00377B97">
      <w:pPr>
        <w:pStyle w:val="ESch"/>
        <w:rPr>
          <w:lang w:val="bg-BG"/>
        </w:rPr>
      </w:pPr>
    </w:p>
    <w:p w:rsidR="00377B97" w:rsidRPr="009072DA" w:rsidRDefault="00377B97" w:rsidP="00377B97">
      <w:pPr>
        <w:pStyle w:val="ESgauche"/>
        <w:rPr>
          <w:rFonts w:cs="Arial"/>
          <w:noProof w:val="0"/>
          <w:szCs w:val="18"/>
          <w:lang w:val="bg-BG"/>
        </w:rPr>
      </w:pPr>
      <w:r w:rsidRPr="009072DA">
        <w:rPr>
          <w:noProof w:val="0"/>
          <w:lang w:val="bg-BG"/>
        </w:rPr>
        <w:t>Глави 3, 7 — 17 и 21 се прилагат по отношение на изграждането и оборудването на плаващите съоръжения. Плаващите съоръжения със свои собствени средства за задвижване трябва да отговарят също изискванията на глави 5 и 6. Задвижващите звена, позволяващи операции само по кратки курсове, не съставляват собствено средство за задвижване.</w:t>
      </w:r>
    </w:p>
    <w:p w:rsidR="00377B97" w:rsidRPr="009072DA" w:rsidRDefault="00377B97" w:rsidP="00377B97">
      <w:pPr>
        <w:pStyle w:val="ESch"/>
        <w:rPr>
          <w:rFonts w:cs="Arial"/>
          <w:szCs w:val="18"/>
          <w:lang w:val="bg-BG"/>
        </w:rPr>
      </w:pPr>
    </w:p>
    <w:p w:rsidR="00377B97" w:rsidRPr="009072DA" w:rsidRDefault="00377B97" w:rsidP="00377B97">
      <w:pPr>
        <w:pStyle w:val="ESch"/>
        <w:rPr>
          <w:rFonts w:cs="Arial"/>
          <w:szCs w:val="18"/>
          <w:lang w:val="bg-BG"/>
        </w:rPr>
      </w:pPr>
    </w:p>
    <w:p w:rsidR="00377B97" w:rsidRPr="009072DA" w:rsidRDefault="00377B97" w:rsidP="00377B97">
      <w:pPr>
        <w:pStyle w:val="ES-Titre3"/>
        <w:rPr>
          <w:rFonts w:cs="Arial"/>
          <w:i/>
          <w:szCs w:val="18"/>
          <w:lang w:val="bg-BG"/>
        </w:rPr>
      </w:pPr>
      <w:bookmarkStart w:id="435" w:name="_Toc491854215"/>
      <w:bookmarkStart w:id="436" w:name="_Toc535827656"/>
      <w:r w:rsidRPr="009072DA">
        <w:rPr>
          <w:lang w:val="bg-BG"/>
        </w:rPr>
        <w:t>Член 22.02</w:t>
      </w:r>
      <w:r w:rsidRPr="009072DA">
        <w:rPr>
          <w:lang w:val="bg-BG"/>
        </w:rPr>
        <w:br/>
      </w:r>
      <w:r w:rsidRPr="009072DA">
        <w:rPr>
          <w:i/>
          <w:lang w:val="bg-BG"/>
        </w:rPr>
        <w:t>Изключения</w:t>
      </w:r>
      <w:bookmarkEnd w:id="435"/>
      <w:bookmarkEnd w:id="436"/>
    </w:p>
    <w:p w:rsidR="00377B97" w:rsidRPr="009072DA" w:rsidRDefault="00377B97" w:rsidP="00377B97">
      <w:pPr>
        <w:pStyle w:val="ESch"/>
        <w:rPr>
          <w:lang w:val="bg-BG"/>
        </w:rPr>
      </w:pPr>
    </w:p>
    <w:p w:rsidR="00377B97" w:rsidRPr="009072DA" w:rsidRDefault="00377B97" w:rsidP="00377B97">
      <w:pPr>
        <w:pStyle w:val="ESch"/>
        <w:rPr>
          <w:rFonts w:cs="Arial"/>
          <w:szCs w:val="18"/>
          <w:lang w:val="bg-BG"/>
        </w:rPr>
      </w:pPr>
      <w:r w:rsidRPr="009072DA">
        <w:rPr>
          <w:lang w:val="bg-BG"/>
        </w:rPr>
        <w:t xml:space="preserve">1. </w:t>
      </w:r>
      <w:r w:rsidRPr="009072DA">
        <w:rPr>
          <w:lang w:val="bg-BG"/>
        </w:rPr>
        <w:tab/>
      </w:r>
    </w:p>
    <w:p w:rsidR="00377B97" w:rsidRPr="009072DA" w:rsidRDefault="005C7859" w:rsidP="00377B97">
      <w:pPr>
        <w:pStyle w:val="ESlet"/>
        <w:rPr>
          <w:rFonts w:cs="Arial"/>
          <w:szCs w:val="18"/>
          <w:lang w:val="bg-BG"/>
        </w:rPr>
      </w:pPr>
      <w:r w:rsidRPr="009072DA">
        <w:rPr>
          <w:lang w:val="bg-BG"/>
        </w:rPr>
        <w:t>a)</w:t>
      </w:r>
      <w:r w:rsidRPr="009072DA">
        <w:rPr>
          <w:lang w:val="bg-BG"/>
        </w:rPr>
        <w:tab/>
        <w:t xml:space="preserve">Член 3.03, точки 1 и 2 се прилага </w:t>
      </w:r>
      <w:r w:rsidRPr="009072DA">
        <w:rPr>
          <w:i/>
          <w:lang w:val="bg-BG"/>
        </w:rPr>
        <w:t>mutatis mutandis</w:t>
      </w:r>
      <w:r w:rsidRPr="009072DA">
        <w:rPr>
          <w:lang w:val="bg-BG"/>
        </w:rPr>
        <w:t>.</w:t>
      </w:r>
    </w:p>
    <w:p w:rsidR="00377B97" w:rsidRPr="009072DA" w:rsidRDefault="005C7859" w:rsidP="00377B97">
      <w:pPr>
        <w:pStyle w:val="ESlet"/>
        <w:rPr>
          <w:rFonts w:cs="Arial"/>
          <w:szCs w:val="18"/>
          <w:lang w:val="bg-BG"/>
        </w:rPr>
      </w:pPr>
      <w:r w:rsidRPr="009072DA">
        <w:rPr>
          <w:lang w:val="bg-BG"/>
        </w:rPr>
        <w:t>б)</w:t>
      </w:r>
      <w:r w:rsidRPr="009072DA">
        <w:rPr>
          <w:lang w:val="bg-BG"/>
        </w:rPr>
        <w:tab/>
        <w:t xml:space="preserve">Член 7.02 се прилага </w:t>
      </w:r>
      <w:r w:rsidRPr="009072DA">
        <w:rPr>
          <w:i/>
          <w:lang w:val="bg-BG"/>
        </w:rPr>
        <w:t>mutatis mutandis</w:t>
      </w:r>
      <w:r w:rsidRPr="009072DA">
        <w:rPr>
          <w:lang w:val="bg-BG"/>
        </w:rPr>
        <w:t>.</w:t>
      </w:r>
    </w:p>
    <w:p w:rsidR="00377B97" w:rsidRPr="009072DA" w:rsidRDefault="005C7859" w:rsidP="00377B97">
      <w:pPr>
        <w:pStyle w:val="ESlet"/>
        <w:rPr>
          <w:rFonts w:cs="Arial"/>
          <w:szCs w:val="18"/>
          <w:lang w:val="bg-BG"/>
        </w:rPr>
      </w:pPr>
      <w:r w:rsidRPr="009072DA">
        <w:rPr>
          <w:lang w:val="bg-BG"/>
        </w:rPr>
        <w:t>в)</w:t>
      </w:r>
      <w:r w:rsidRPr="009072DA">
        <w:rPr>
          <w:lang w:val="bg-BG"/>
        </w:rPr>
        <w:tab/>
        <w:t>Максималните равнища на сила на шума, изисквани съгласно член 15.02, точка 5, второ изречение, могат да бъдат превишени, докато работи оборудването на плаващото съоръжение, при условие че през периода на работа никой не спи на борда през нощта.</w:t>
      </w:r>
    </w:p>
    <w:p w:rsidR="00377B97" w:rsidRPr="009072DA" w:rsidRDefault="0029453D" w:rsidP="006136F0">
      <w:pPr>
        <w:pStyle w:val="ESlet"/>
        <w:rPr>
          <w:rFonts w:cs="Arial"/>
          <w:szCs w:val="18"/>
          <w:lang w:val="bg-BG"/>
        </w:rPr>
      </w:pPr>
      <w:r w:rsidRPr="009072DA">
        <w:rPr>
          <w:lang w:val="bg-BG"/>
        </w:rPr>
        <w:t>г)</w:t>
      </w:r>
      <w:r w:rsidRPr="009072DA">
        <w:rPr>
          <w:lang w:val="bg-BG"/>
        </w:rPr>
        <w:tab/>
        <w:t>Контролният орган може да разреши изключения от другите изисквания относно корабната конструкция, съоръженията и оборудването, при условие че във всеки случай е осигурена равностойна безопасност.</w:t>
      </w:r>
    </w:p>
    <w:p w:rsidR="00377B97" w:rsidRPr="009072DA" w:rsidRDefault="00377B97" w:rsidP="00377B97">
      <w:pPr>
        <w:pStyle w:val="ESch"/>
        <w:rPr>
          <w:lang w:val="bg-BG"/>
        </w:rPr>
      </w:pPr>
    </w:p>
    <w:p w:rsidR="00377B97" w:rsidRPr="009072DA" w:rsidRDefault="00377B97" w:rsidP="00377B97">
      <w:pPr>
        <w:pStyle w:val="ESch"/>
        <w:rPr>
          <w:rFonts w:cs="Arial"/>
          <w:szCs w:val="18"/>
          <w:lang w:val="bg-BG"/>
        </w:rPr>
      </w:pPr>
      <w:r w:rsidRPr="009072DA">
        <w:rPr>
          <w:lang w:val="bg-BG"/>
        </w:rPr>
        <w:t>2.</w:t>
      </w:r>
      <w:r w:rsidRPr="009072DA">
        <w:rPr>
          <w:lang w:val="bg-BG"/>
        </w:rPr>
        <w:tab/>
        <w:t>Контролният орган може да освобождава от прилагане на следните изисквания:</w:t>
      </w:r>
    </w:p>
    <w:p w:rsidR="00377B97" w:rsidRPr="009072DA" w:rsidRDefault="005C7859" w:rsidP="00377B97">
      <w:pPr>
        <w:pStyle w:val="ESlet"/>
        <w:rPr>
          <w:rFonts w:cs="Arial"/>
          <w:szCs w:val="18"/>
          <w:lang w:val="bg-BG"/>
        </w:rPr>
      </w:pPr>
      <w:r w:rsidRPr="009072DA">
        <w:rPr>
          <w:lang w:val="bg-BG"/>
        </w:rPr>
        <w:t>a)</w:t>
      </w:r>
      <w:r w:rsidRPr="009072DA">
        <w:rPr>
          <w:lang w:val="bg-BG"/>
        </w:rPr>
        <w:tab/>
        <w:t xml:space="preserve">член 13.01, точка 1 не се прилага, ако по време на експлоатация на плаващите съоръжения същите могат да бъдат надеждно закотвени с работна котва или пилони. Обаче плаващите съоръжения, които имат свое собствено средство за задвижване, трябва да разполагат с поне една котва, която съответства на изискванията на член 13.01, точка 1, при което емпиричният коефициент </w:t>
      </w:r>
      <m:oMath>
        <m:r>
          <w:rPr>
            <w:rFonts w:ascii="Cambria Math" w:hAnsi="Cambria Math"/>
            <w:lang w:val="bg-BG"/>
          </w:rPr>
          <m:t>k</m:t>
        </m:r>
      </m:oMath>
      <w:r w:rsidRPr="009072DA">
        <w:rPr>
          <w:lang w:val="bg-BG"/>
        </w:rPr>
        <w:t xml:space="preserve"> се приема за равен на 45, а </w:t>
      </w:r>
      <m:oMath>
        <m:r>
          <w:rPr>
            <w:rFonts w:ascii="Cambria Math" w:hAnsi="Cambria Math"/>
            <w:lang w:val="bg-BG"/>
          </w:rPr>
          <m:t>T</m:t>
        </m:r>
      </m:oMath>
      <w:r w:rsidRPr="009072DA">
        <w:rPr>
          <w:lang w:val="bg-BG"/>
        </w:rPr>
        <w:t xml:space="preserve"> се приема за равно на височината </w:t>
      </w:r>
      <m:oMath>
        <m:r>
          <w:rPr>
            <w:rFonts w:ascii="Cambria Math" w:hAnsi="Cambria Math"/>
            <w:lang w:val="bg-BG"/>
          </w:rPr>
          <m:t>H</m:t>
        </m:r>
      </m:oMath>
      <w:r w:rsidRPr="009072DA">
        <w:rPr>
          <w:lang w:val="bg-BG"/>
        </w:rPr>
        <w:t>;</w:t>
      </w:r>
    </w:p>
    <w:p w:rsidR="00377B97" w:rsidRPr="009072DA" w:rsidRDefault="005C7859" w:rsidP="00377B97">
      <w:pPr>
        <w:pStyle w:val="ESlet"/>
        <w:rPr>
          <w:rFonts w:cs="Arial"/>
          <w:szCs w:val="18"/>
          <w:lang w:val="bg-BG"/>
        </w:rPr>
      </w:pPr>
      <w:r w:rsidRPr="009072DA">
        <w:rPr>
          <w:lang w:val="bg-BG"/>
        </w:rPr>
        <w:t>б)</w:t>
      </w:r>
      <w:r w:rsidRPr="009072DA">
        <w:rPr>
          <w:lang w:val="bg-BG"/>
        </w:rPr>
        <w:tab/>
        <w:t>член 15.02, точка 1, втората част на изречението, ако жилищните помещения могат да бъдат адекватно осветени чрез електрически ток.</w:t>
      </w:r>
    </w:p>
    <w:p w:rsidR="00377B97" w:rsidRPr="009072DA" w:rsidRDefault="00377B97" w:rsidP="00377B97">
      <w:pPr>
        <w:pStyle w:val="ESch"/>
        <w:rPr>
          <w:lang w:val="bg-BG"/>
        </w:rPr>
      </w:pPr>
    </w:p>
    <w:p w:rsidR="00377B97" w:rsidRPr="009072DA" w:rsidRDefault="00377B97" w:rsidP="00377B97">
      <w:pPr>
        <w:pStyle w:val="ESch"/>
        <w:rPr>
          <w:rFonts w:cs="Arial"/>
          <w:szCs w:val="18"/>
          <w:lang w:val="bg-BG"/>
        </w:rPr>
      </w:pPr>
      <w:r w:rsidRPr="009072DA">
        <w:rPr>
          <w:lang w:val="bg-BG"/>
        </w:rPr>
        <w:t>3.</w:t>
      </w:r>
      <w:r w:rsidRPr="009072DA">
        <w:rPr>
          <w:lang w:val="bg-BG"/>
        </w:rPr>
        <w:tab/>
        <w:t>В допълнение, се прилага следното:</w:t>
      </w:r>
    </w:p>
    <w:p w:rsidR="00377B97" w:rsidRPr="009072DA" w:rsidRDefault="005C7859" w:rsidP="00377B97">
      <w:pPr>
        <w:pStyle w:val="ESlet"/>
        <w:rPr>
          <w:rFonts w:cs="Arial"/>
          <w:szCs w:val="18"/>
          <w:lang w:val="bg-BG"/>
        </w:rPr>
      </w:pPr>
      <w:r w:rsidRPr="009072DA">
        <w:rPr>
          <w:lang w:val="bg-BG"/>
        </w:rPr>
        <w:lastRenderedPageBreak/>
        <w:t>a)</w:t>
      </w:r>
      <w:r w:rsidRPr="009072DA">
        <w:rPr>
          <w:lang w:val="bg-BG"/>
        </w:rPr>
        <w:tab/>
        <w:t>в член 8.08, точка 2, второ изречение осушителната помпа се задвижва с мотор;</w:t>
      </w:r>
    </w:p>
    <w:p w:rsidR="00377B97" w:rsidRPr="009072DA" w:rsidRDefault="005C7859" w:rsidP="00377B97">
      <w:pPr>
        <w:pStyle w:val="ESlet"/>
        <w:rPr>
          <w:rFonts w:cs="Arial"/>
          <w:szCs w:val="18"/>
          <w:lang w:val="bg-BG"/>
        </w:rPr>
      </w:pPr>
      <w:r w:rsidRPr="009072DA">
        <w:rPr>
          <w:lang w:val="bg-BG"/>
        </w:rPr>
        <w:t>б)</w:t>
      </w:r>
      <w:r w:rsidRPr="009072DA">
        <w:rPr>
          <w:lang w:val="bg-BG"/>
        </w:rPr>
        <w:tab/>
        <w:t>в член 8.10, точка 3 шумът може да превиши 65 dB(A) на разстояние 25 m встрани от борда на плавателния съд по отношение на всяко едно стационарно плаващо съоръжение, когато работното му оборудване е включено;</w:t>
      </w:r>
    </w:p>
    <w:p w:rsidR="00377B97" w:rsidRPr="009072DA" w:rsidRDefault="005C7859" w:rsidP="00377B97">
      <w:pPr>
        <w:pStyle w:val="ESlet"/>
        <w:rPr>
          <w:rFonts w:cs="Arial"/>
          <w:szCs w:val="18"/>
          <w:lang w:val="bg-BG"/>
        </w:rPr>
      </w:pPr>
      <w:r w:rsidRPr="009072DA">
        <w:rPr>
          <w:lang w:val="bg-BG"/>
        </w:rPr>
        <w:t>в)</w:t>
      </w:r>
      <w:r w:rsidRPr="009072DA">
        <w:rPr>
          <w:lang w:val="bg-BG"/>
        </w:rPr>
        <w:tab/>
        <w:t>в член 13.03, точка 1 се изисква поне още един преносим пожарогасител, в случай че на палубата се постави работно оборудване, което не е неподвижно прикрепено към плавателното средство;</w:t>
      </w:r>
    </w:p>
    <w:p w:rsidR="00377B97" w:rsidRPr="009072DA" w:rsidRDefault="0029453D" w:rsidP="00377B97">
      <w:pPr>
        <w:pStyle w:val="ESlet"/>
        <w:rPr>
          <w:rFonts w:cs="Arial"/>
          <w:szCs w:val="18"/>
          <w:lang w:val="bg-BG"/>
        </w:rPr>
      </w:pPr>
      <w:r w:rsidRPr="009072DA">
        <w:rPr>
          <w:lang w:val="bg-BG"/>
        </w:rPr>
        <w:t>г)</w:t>
      </w:r>
      <w:r w:rsidRPr="009072DA">
        <w:rPr>
          <w:lang w:val="bg-BG"/>
        </w:rPr>
        <w:tab/>
        <w:t>в член 17.02, точка 2, в допълнение към оборудването за втечнен газ за битово ползване може да има и други устройства за втечнен газ. Тези устройства и техните принадлежности отговарят на изискванията на една от държавите членки.</w:t>
      </w:r>
    </w:p>
    <w:p w:rsidR="00377B97" w:rsidRPr="009072DA" w:rsidRDefault="00377B97" w:rsidP="00377B97">
      <w:pPr>
        <w:pStyle w:val="ESch"/>
        <w:rPr>
          <w:rFonts w:cs="Arial"/>
          <w:szCs w:val="18"/>
          <w:lang w:val="bg-BG"/>
        </w:rPr>
      </w:pPr>
    </w:p>
    <w:p w:rsidR="003D6C36" w:rsidRPr="009072DA" w:rsidRDefault="003D6C36" w:rsidP="00377B97">
      <w:pPr>
        <w:pStyle w:val="ESch"/>
        <w:rPr>
          <w:rFonts w:cs="Arial"/>
          <w:szCs w:val="18"/>
          <w:lang w:val="bg-BG"/>
        </w:rPr>
      </w:pPr>
      <w:r w:rsidRPr="009072DA">
        <w:rPr>
          <w:lang w:val="bg-BG"/>
        </w:rPr>
        <w:br w:type="page"/>
      </w:r>
    </w:p>
    <w:p w:rsidR="00377B97" w:rsidRPr="009072DA" w:rsidRDefault="00377B97" w:rsidP="00377B97">
      <w:pPr>
        <w:pStyle w:val="ES-Titre3"/>
        <w:rPr>
          <w:rFonts w:cs="Arial"/>
          <w:i/>
          <w:szCs w:val="18"/>
          <w:lang w:val="bg-BG"/>
        </w:rPr>
      </w:pPr>
      <w:bookmarkStart w:id="437" w:name="_Toc491854216"/>
      <w:bookmarkStart w:id="438" w:name="_Toc535827657"/>
      <w:r w:rsidRPr="009072DA">
        <w:rPr>
          <w:lang w:val="bg-BG"/>
        </w:rPr>
        <w:lastRenderedPageBreak/>
        <w:t>Член 22.03</w:t>
      </w:r>
      <w:r w:rsidRPr="009072DA">
        <w:rPr>
          <w:lang w:val="bg-BG"/>
        </w:rPr>
        <w:br/>
      </w:r>
      <w:r w:rsidRPr="009072DA">
        <w:rPr>
          <w:i/>
          <w:lang w:val="bg-BG"/>
        </w:rPr>
        <w:t>Допълнителни изисквания</w:t>
      </w:r>
      <w:bookmarkEnd w:id="437"/>
      <w:bookmarkEnd w:id="438"/>
    </w:p>
    <w:p w:rsidR="00377B97" w:rsidRPr="009072DA" w:rsidRDefault="00377B97" w:rsidP="00377B97">
      <w:pPr>
        <w:pStyle w:val="ESch"/>
        <w:rPr>
          <w:lang w:val="bg-BG"/>
        </w:rPr>
      </w:pPr>
    </w:p>
    <w:p w:rsidR="00377B97" w:rsidRPr="009072DA" w:rsidRDefault="00377B97" w:rsidP="00377B97">
      <w:pPr>
        <w:pStyle w:val="ESch"/>
        <w:rPr>
          <w:rFonts w:cs="Arial"/>
          <w:szCs w:val="18"/>
          <w:lang w:val="bg-BG"/>
        </w:rPr>
      </w:pPr>
      <w:r w:rsidRPr="009072DA">
        <w:rPr>
          <w:lang w:val="bg-BG"/>
        </w:rPr>
        <w:t>1.</w:t>
      </w:r>
      <w:r w:rsidRPr="009072DA">
        <w:rPr>
          <w:lang w:val="bg-BG"/>
        </w:rPr>
        <w:tab/>
        <w:t>Плаващите съоръжения, на които по време на работа се намират хора, трябва да са оборудвани с обща алармена система. Аларменият сигнал трябва да е ясно различим от другите сигнали и в рамките на жилищните помещения и на всички работни места и да създава ниво на звуковото налягане, което е с поне 5 dB(A) по-голямо от максималното ниво на фоновия шум. Трябва да е възможно задействането на алармената система от рулевата рубка и основните работни места.</w:t>
      </w:r>
    </w:p>
    <w:p w:rsidR="00377B97" w:rsidRPr="009072DA" w:rsidRDefault="00377B97" w:rsidP="00377B97">
      <w:pPr>
        <w:pStyle w:val="ESch"/>
        <w:rPr>
          <w:lang w:val="bg-BG"/>
        </w:rPr>
      </w:pPr>
    </w:p>
    <w:p w:rsidR="00377B97" w:rsidRPr="009072DA" w:rsidRDefault="00377B97" w:rsidP="00377B97">
      <w:pPr>
        <w:pStyle w:val="ESch"/>
        <w:rPr>
          <w:rFonts w:cs="Arial"/>
          <w:szCs w:val="18"/>
          <w:lang w:val="bg-BG"/>
        </w:rPr>
      </w:pPr>
      <w:r w:rsidRPr="009072DA">
        <w:rPr>
          <w:lang w:val="bg-BG"/>
        </w:rPr>
        <w:t>2.</w:t>
      </w:r>
      <w:r w:rsidRPr="009072DA">
        <w:rPr>
          <w:lang w:val="bg-BG"/>
        </w:rPr>
        <w:tab/>
        <w:t>Работното оборудване трябва да е достатъчно здраво, за да издържи на натоварванията, на които е подложено, и да отговаря на всички изисквания на една от държавите членки на ЦККР или на Директива 2006/42/ЕО</w:t>
      </w:r>
      <w:r w:rsidRPr="009072DA">
        <w:rPr>
          <w:rStyle w:val="FootnoteReference"/>
          <w:lang w:val="bg-BG"/>
        </w:rPr>
        <w:footnoteReference w:id="21"/>
      </w:r>
      <w:r w:rsidRPr="009072DA">
        <w:rPr>
          <w:lang w:val="bg-BG"/>
        </w:rPr>
        <w:t>, с измененията ѝ.</w:t>
      </w:r>
    </w:p>
    <w:p w:rsidR="00377B97" w:rsidRPr="009072DA" w:rsidRDefault="00377B97" w:rsidP="00377B97">
      <w:pPr>
        <w:pStyle w:val="ESch"/>
        <w:rPr>
          <w:lang w:val="bg-BG"/>
        </w:rPr>
      </w:pPr>
    </w:p>
    <w:p w:rsidR="00377B97" w:rsidRPr="009072DA" w:rsidRDefault="00377B97" w:rsidP="00377B97">
      <w:pPr>
        <w:pStyle w:val="ESch"/>
        <w:rPr>
          <w:rFonts w:cs="Arial"/>
          <w:szCs w:val="18"/>
          <w:lang w:val="bg-BG"/>
        </w:rPr>
      </w:pPr>
      <w:r w:rsidRPr="009072DA">
        <w:rPr>
          <w:lang w:val="bg-BG"/>
        </w:rPr>
        <w:t>3.</w:t>
      </w:r>
      <w:r w:rsidRPr="009072DA">
        <w:rPr>
          <w:lang w:val="bg-BG"/>
        </w:rPr>
        <w:tab/>
        <w:t>Устойчивостта и якостта на работното оборудване и, по целесъобразност, на неговите принадлежности трябва да са такива, че то да издържи на силите, получени от очакваните крен, диферент и движение на плаващите съоръжения.</w:t>
      </w:r>
    </w:p>
    <w:p w:rsidR="00377B97" w:rsidRPr="009072DA" w:rsidRDefault="00377B97" w:rsidP="00377B97">
      <w:pPr>
        <w:pStyle w:val="ESch"/>
        <w:rPr>
          <w:rFonts w:cs="Arial"/>
          <w:szCs w:val="18"/>
          <w:lang w:val="bg-BG"/>
        </w:rPr>
      </w:pPr>
    </w:p>
    <w:p w:rsidR="00377B97" w:rsidRPr="009072DA" w:rsidRDefault="00377B97" w:rsidP="00377B97">
      <w:pPr>
        <w:pStyle w:val="ESch"/>
        <w:rPr>
          <w:rFonts w:cs="Arial"/>
          <w:szCs w:val="18"/>
          <w:lang w:val="bg-BG"/>
        </w:rPr>
      </w:pPr>
      <w:r w:rsidRPr="009072DA">
        <w:rPr>
          <w:lang w:val="bg-BG"/>
        </w:rPr>
        <w:t>4.</w:t>
      </w:r>
      <w:r w:rsidRPr="009072DA">
        <w:rPr>
          <w:lang w:val="bg-BG"/>
        </w:rPr>
        <w:tab/>
        <w:t>Ако товарите се повдигат с телфери, максималният допустим товар, произтичащ от устойчивостта и якостта, се изписва по траен начин на табелки на палубата и в местата за управление. Ако товароподемността може да бъде увеличена чрез свързване на допълнителни плаващи платформи, одобрените стойности със и без такива допълнителни плаващи платформи се посочват ясно.</w:t>
      </w:r>
    </w:p>
    <w:p w:rsidR="00377B97" w:rsidRPr="009072DA" w:rsidRDefault="00377B97" w:rsidP="00377B97">
      <w:pPr>
        <w:pStyle w:val="ESch"/>
        <w:rPr>
          <w:rFonts w:cs="Arial"/>
          <w:szCs w:val="18"/>
          <w:lang w:val="bg-BG"/>
        </w:rPr>
      </w:pPr>
    </w:p>
    <w:p w:rsidR="00377B97" w:rsidRPr="009072DA" w:rsidRDefault="00377B97" w:rsidP="00377B97">
      <w:pPr>
        <w:pStyle w:val="ESch"/>
        <w:rPr>
          <w:rFonts w:cs="Arial"/>
          <w:szCs w:val="18"/>
          <w:lang w:val="bg-BG"/>
        </w:rPr>
      </w:pPr>
    </w:p>
    <w:p w:rsidR="00377B97" w:rsidRPr="009072DA" w:rsidRDefault="00377B97" w:rsidP="00377B97">
      <w:pPr>
        <w:pStyle w:val="ES-Titre3"/>
        <w:rPr>
          <w:rFonts w:cs="Arial"/>
          <w:i/>
          <w:szCs w:val="18"/>
          <w:lang w:val="bg-BG"/>
        </w:rPr>
      </w:pPr>
      <w:bookmarkStart w:id="439" w:name="_Toc491854217"/>
      <w:bookmarkStart w:id="440" w:name="_Toc535827658"/>
      <w:r w:rsidRPr="009072DA">
        <w:rPr>
          <w:lang w:val="bg-BG"/>
        </w:rPr>
        <w:t>Член 22.04</w:t>
      </w:r>
      <w:r w:rsidRPr="009072DA">
        <w:rPr>
          <w:lang w:val="bg-BG"/>
        </w:rPr>
        <w:br/>
      </w:r>
      <w:r w:rsidRPr="009072DA">
        <w:rPr>
          <w:i/>
          <w:lang w:val="bg-BG"/>
        </w:rPr>
        <w:t>Остатъчно разстояние на безопасност</w:t>
      </w:r>
      <w:bookmarkEnd w:id="439"/>
      <w:bookmarkEnd w:id="440"/>
    </w:p>
    <w:p w:rsidR="00377B97" w:rsidRPr="009072DA" w:rsidRDefault="00377B97" w:rsidP="00377B97">
      <w:pPr>
        <w:pStyle w:val="ESch"/>
        <w:rPr>
          <w:lang w:val="bg-BG"/>
        </w:rPr>
      </w:pPr>
    </w:p>
    <w:p w:rsidR="00377B97" w:rsidRPr="009072DA" w:rsidRDefault="00377B97" w:rsidP="00377B97">
      <w:pPr>
        <w:pStyle w:val="ESch"/>
        <w:rPr>
          <w:rFonts w:cs="Arial"/>
          <w:szCs w:val="18"/>
          <w:lang w:val="bg-BG"/>
        </w:rPr>
      </w:pPr>
      <w:r w:rsidRPr="009072DA">
        <w:rPr>
          <w:lang w:val="bg-BG"/>
        </w:rPr>
        <w:t>1.</w:t>
      </w:r>
      <w:r w:rsidRPr="009072DA">
        <w:rPr>
          <w:lang w:val="bg-BG"/>
        </w:rPr>
        <w:tab/>
        <w:t>По смисъла на настоящата глава и чрез дерогация от член 1.01 остатъчно разстояние на безопасност означава най-краткото вертикално разстояние между водната повърхност и най-ниската част на плаващите съоръжения, след която те вече не са водонепроницаеми, като се вземат предвид диферентът и кренът, които са резултат от моментите, посочени в член 22.07, точки 4 — 9.</w:t>
      </w:r>
    </w:p>
    <w:p w:rsidR="00377B97" w:rsidRPr="009072DA" w:rsidRDefault="00377B97" w:rsidP="00377B97">
      <w:pPr>
        <w:pStyle w:val="ESch"/>
        <w:rPr>
          <w:lang w:val="bg-BG"/>
        </w:rPr>
      </w:pPr>
    </w:p>
    <w:p w:rsidR="00377B97" w:rsidRPr="009072DA" w:rsidRDefault="00377B97" w:rsidP="00377B97">
      <w:pPr>
        <w:pStyle w:val="ESch"/>
        <w:rPr>
          <w:rFonts w:cs="Arial"/>
          <w:szCs w:val="18"/>
          <w:lang w:val="bg-BG"/>
        </w:rPr>
      </w:pPr>
      <w:r w:rsidRPr="009072DA">
        <w:rPr>
          <w:lang w:val="bg-BG"/>
        </w:rPr>
        <w:t>2.</w:t>
      </w:r>
      <w:r w:rsidRPr="009072DA">
        <w:rPr>
          <w:lang w:val="bg-BG"/>
        </w:rPr>
        <w:tab/>
        <w:t>Остатъчното разстояние на безопасност трябва да е достатъчно съгласно член 22.07, точка 1 за всеки защитен от пръски и атмосферни въздействия отвор, ако е не по-малко от 300 mm.</w:t>
      </w:r>
    </w:p>
    <w:p w:rsidR="00377B97" w:rsidRPr="009072DA" w:rsidRDefault="00377B97" w:rsidP="00377B97">
      <w:pPr>
        <w:pStyle w:val="ESch"/>
        <w:rPr>
          <w:lang w:val="bg-BG"/>
        </w:rPr>
      </w:pPr>
    </w:p>
    <w:p w:rsidR="00377B97" w:rsidRPr="009072DA" w:rsidRDefault="00377B97" w:rsidP="00377B97">
      <w:pPr>
        <w:pStyle w:val="ESch"/>
        <w:rPr>
          <w:rFonts w:cs="Arial"/>
          <w:szCs w:val="18"/>
          <w:lang w:val="bg-BG"/>
        </w:rPr>
      </w:pPr>
      <w:r w:rsidRPr="009072DA">
        <w:rPr>
          <w:lang w:val="bg-BG"/>
        </w:rPr>
        <w:t>3.</w:t>
      </w:r>
      <w:r w:rsidRPr="009072DA">
        <w:rPr>
          <w:lang w:val="bg-BG"/>
        </w:rPr>
        <w:tab/>
        <w:t>Когато отворът не е защитен от пръски и атмосферни въздействия, остатъчното разстояние на безопасност трябва да е не по-малко от 400 mm.</w:t>
      </w:r>
    </w:p>
    <w:p w:rsidR="00377B97" w:rsidRPr="009072DA" w:rsidRDefault="00377B97" w:rsidP="00377B97">
      <w:pPr>
        <w:pStyle w:val="ESch"/>
        <w:rPr>
          <w:rFonts w:cs="Arial"/>
          <w:szCs w:val="18"/>
          <w:lang w:val="bg-BG"/>
        </w:rPr>
      </w:pPr>
    </w:p>
    <w:p w:rsidR="00377B97" w:rsidRPr="009072DA" w:rsidRDefault="00377B97" w:rsidP="00377B97">
      <w:pPr>
        <w:pStyle w:val="ESch"/>
        <w:rPr>
          <w:rFonts w:cs="Arial"/>
          <w:szCs w:val="18"/>
          <w:lang w:val="bg-BG"/>
        </w:rPr>
      </w:pPr>
    </w:p>
    <w:p w:rsidR="00377B97" w:rsidRPr="009072DA" w:rsidRDefault="00377B97" w:rsidP="00377B97">
      <w:pPr>
        <w:pStyle w:val="ES-Titre3"/>
        <w:rPr>
          <w:i/>
          <w:lang w:val="bg-BG"/>
        </w:rPr>
      </w:pPr>
      <w:bookmarkStart w:id="441" w:name="_Toc491854218"/>
      <w:bookmarkStart w:id="442" w:name="_Toc535827659"/>
      <w:r w:rsidRPr="009072DA">
        <w:rPr>
          <w:lang w:val="bg-BG"/>
        </w:rPr>
        <w:t>Член 22.05</w:t>
      </w:r>
      <w:r w:rsidRPr="009072DA">
        <w:rPr>
          <w:lang w:val="bg-BG"/>
        </w:rPr>
        <w:br/>
      </w:r>
      <w:r w:rsidRPr="009072DA">
        <w:rPr>
          <w:i/>
          <w:lang w:val="bg-BG"/>
        </w:rPr>
        <w:t>Остатъчен надводен борд</w:t>
      </w:r>
      <w:bookmarkEnd w:id="441"/>
      <w:bookmarkEnd w:id="442"/>
    </w:p>
    <w:p w:rsidR="00377B97" w:rsidRPr="009072DA" w:rsidRDefault="00377B97" w:rsidP="00377B97">
      <w:pPr>
        <w:pStyle w:val="ESch"/>
        <w:rPr>
          <w:lang w:val="bg-BG"/>
        </w:rPr>
      </w:pPr>
    </w:p>
    <w:p w:rsidR="00377B97" w:rsidRPr="009072DA" w:rsidRDefault="00377B97" w:rsidP="00377B97">
      <w:pPr>
        <w:pStyle w:val="ESch"/>
        <w:rPr>
          <w:lang w:val="bg-BG"/>
        </w:rPr>
      </w:pPr>
      <w:r w:rsidRPr="009072DA">
        <w:rPr>
          <w:lang w:val="bg-BG"/>
        </w:rPr>
        <w:t>1.</w:t>
      </w:r>
      <w:r w:rsidRPr="009072DA">
        <w:rPr>
          <w:lang w:val="bg-BG"/>
        </w:rPr>
        <w:tab/>
        <w:t>За целите на настоящата глава и чрез дерогация от член 1.01 остатъчен надводен борд означава най-краткото вертикално разстояние между водната повърхност и горната повърхност на палубата в края ѝ, като се вземат предвид диферентът и кренът, които са резултат от моментите, посочени в член 22.07, точки 4 — 9.</w:t>
      </w:r>
    </w:p>
    <w:p w:rsidR="00377B97" w:rsidRPr="009072DA" w:rsidRDefault="00377B97" w:rsidP="00377B97">
      <w:pPr>
        <w:pStyle w:val="ESch"/>
        <w:rPr>
          <w:lang w:val="bg-BG"/>
        </w:rPr>
      </w:pPr>
    </w:p>
    <w:p w:rsidR="00377B97" w:rsidRPr="009072DA" w:rsidRDefault="00377B97" w:rsidP="00377B97">
      <w:pPr>
        <w:pStyle w:val="ESch"/>
        <w:rPr>
          <w:lang w:val="bg-BG"/>
        </w:rPr>
      </w:pPr>
      <w:r w:rsidRPr="009072DA">
        <w:rPr>
          <w:lang w:val="bg-BG"/>
        </w:rPr>
        <w:t>2.</w:t>
      </w:r>
      <w:r w:rsidRPr="009072DA">
        <w:rPr>
          <w:lang w:val="bg-BG"/>
        </w:rPr>
        <w:tab/>
        <w:t>Остатъчният надводен борд е достатъчен съгласно член 22.07, точка 1, ако е не по-малко от 300 mm.</w:t>
      </w:r>
    </w:p>
    <w:p w:rsidR="00377B97" w:rsidRPr="009072DA" w:rsidRDefault="00377B97" w:rsidP="00377B97">
      <w:pPr>
        <w:pStyle w:val="ESch"/>
        <w:rPr>
          <w:lang w:val="bg-BG"/>
        </w:rPr>
      </w:pPr>
    </w:p>
    <w:p w:rsidR="00377B97" w:rsidRPr="009072DA" w:rsidRDefault="00377B97" w:rsidP="00377B97">
      <w:pPr>
        <w:pStyle w:val="ESch"/>
        <w:rPr>
          <w:lang w:val="bg-BG"/>
        </w:rPr>
      </w:pPr>
      <w:r w:rsidRPr="009072DA">
        <w:rPr>
          <w:lang w:val="bg-BG"/>
        </w:rPr>
        <w:t>3.</w:t>
      </w:r>
      <w:r w:rsidRPr="009072DA">
        <w:rPr>
          <w:lang w:val="bg-BG"/>
        </w:rPr>
        <w:tab/>
        <w:t>Остатъчният надводен борд може да бъде намален, ако се докаже, че изискванията на член 22.08 са изпълнени.</w:t>
      </w:r>
    </w:p>
    <w:p w:rsidR="00377B97" w:rsidRPr="009072DA" w:rsidRDefault="00377B97" w:rsidP="00377B97">
      <w:pPr>
        <w:pStyle w:val="ESch"/>
        <w:rPr>
          <w:lang w:val="bg-BG"/>
        </w:rPr>
      </w:pPr>
    </w:p>
    <w:p w:rsidR="003D6C36" w:rsidRPr="009072DA" w:rsidRDefault="003D6C36" w:rsidP="00377B97">
      <w:pPr>
        <w:pStyle w:val="ESch"/>
        <w:rPr>
          <w:lang w:val="bg-BG"/>
        </w:rPr>
      </w:pPr>
      <w:r w:rsidRPr="009072DA">
        <w:rPr>
          <w:lang w:val="bg-BG"/>
        </w:rPr>
        <w:br w:type="page"/>
      </w:r>
    </w:p>
    <w:p w:rsidR="00377B97" w:rsidRPr="009072DA" w:rsidRDefault="00377B97" w:rsidP="00377B97">
      <w:pPr>
        <w:pStyle w:val="ESch"/>
        <w:rPr>
          <w:lang w:val="bg-BG"/>
        </w:rPr>
      </w:pPr>
      <w:r w:rsidRPr="009072DA">
        <w:rPr>
          <w:lang w:val="bg-BG"/>
        </w:rPr>
        <w:lastRenderedPageBreak/>
        <w:t>4.</w:t>
      </w:r>
      <w:r w:rsidRPr="009072DA">
        <w:rPr>
          <w:lang w:val="bg-BG"/>
        </w:rPr>
        <w:tab/>
        <w:t>В случай че формата на плаващия обект видимо се различава от тази на понтон, какъвто е случаят с цилиндричните плаващи платформи, или напречното сечение на плаващата платформа има повече от четири страни, контролният орган има право да изиска или да одобри остатъчен надводен борд, който е различен от този в точка 2. Това важи и за плаващи съоръжения, състоящи се от няколко плаващи обекта.</w:t>
      </w:r>
    </w:p>
    <w:p w:rsidR="00377B97" w:rsidRPr="009072DA" w:rsidRDefault="00377B97" w:rsidP="00377B97">
      <w:pPr>
        <w:pStyle w:val="ESch"/>
        <w:rPr>
          <w:rFonts w:cs="Arial"/>
          <w:szCs w:val="18"/>
          <w:lang w:val="bg-BG"/>
        </w:rPr>
      </w:pPr>
    </w:p>
    <w:p w:rsidR="00377B97" w:rsidRPr="009072DA" w:rsidRDefault="00377B97" w:rsidP="00377B97">
      <w:pPr>
        <w:pStyle w:val="ESch"/>
        <w:rPr>
          <w:rFonts w:cs="Arial"/>
          <w:szCs w:val="18"/>
          <w:lang w:val="bg-BG"/>
        </w:rPr>
      </w:pPr>
    </w:p>
    <w:p w:rsidR="00377B97" w:rsidRPr="009072DA" w:rsidRDefault="00377B97" w:rsidP="00377B97">
      <w:pPr>
        <w:pStyle w:val="ES-Titre3"/>
        <w:rPr>
          <w:rFonts w:cs="Arial"/>
          <w:i/>
          <w:szCs w:val="18"/>
          <w:lang w:val="bg-BG"/>
        </w:rPr>
      </w:pPr>
      <w:bookmarkStart w:id="443" w:name="_Toc491854219"/>
      <w:bookmarkStart w:id="444" w:name="_Toc535827660"/>
      <w:r w:rsidRPr="009072DA">
        <w:rPr>
          <w:lang w:val="bg-BG"/>
        </w:rPr>
        <w:t>Член 22.06</w:t>
      </w:r>
      <w:r w:rsidRPr="009072DA">
        <w:rPr>
          <w:lang w:val="bg-BG"/>
        </w:rPr>
        <w:br/>
      </w:r>
      <w:r w:rsidRPr="009072DA">
        <w:rPr>
          <w:i/>
          <w:lang w:val="bg-BG"/>
        </w:rPr>
        <w:t>Изпитване за накреняване</w:t>
      </w:r>
      <w:bookmarkEnd w:id="443"/>
      <w:bookmarkEnd w:id="444"/>
    </w:p>
    <w:p w:rsidR="00377B97" w:rsidRPr="009072DA" w:rsidRDefault="00377B97" w:rsidP="00377B97">
      <w:pPr>
        <w:pStyle w:val="ESch"/>
        <w:rPr>
          <w:lang w:val="bg-BG"/>
        </w:rPr>
      </w:pPr>
    </w:p>
    <w:p w:rsidR="00377B97" w:rsidRPr="009072DA" w:rsidRDefault="00377B97" w:rsidP="00377B97">
      <w:pPr>
        <w:pStyle w:val="ESch"/>
        <w:rPr>
          <w:rFonts w:cs="Arial"/>
          <w:szCs w:val="18"/>
          <w:lang w:val="bg-BG"/>
        </w:rPr>
      </w:pPr>
      <w:r w:rsidRPr="009072DA">
        <w:rPr>
          <w:lang w:val="bg-BG"/>
        </w:rPr>
        <w:t>1.</w:t>
      </w:r>
      <w:r w:rsidRPr="009072DA">
        <w:rPr>
          <w:lang w:val="bg-BG"/>
        </w:rPr>
        <w:tab/>
        <w:t>Потвърждаването на устойчивостта съгласно членове 22.07 и 22.08 се основава на изпитване за накреняване, извършено по подходящ начин.</w:t>
      </w:r>
    </w:p>
    <w:p w:rsidR="00377B97" w:rsidRPr="009072DA" w:rsidRDefault="00377B97" w:rsidP="00377B97">
      <w:pPr>
        <w:pStyle w:val="ESch"/>
        <w:rPr>
          <w:lang w:val="bg-BG"/>
        </w:rPr>
      </w:pPr>
    </w:p>
    <w:p w:rsidR="00377B97" w:rsidRPr="009072DA" w:rsidRDefault="00377B97" w:rsidP="00377B97">
      <w:pPr>
        <w:pStyle w:val="ESch"/>
        <w:rPr>
          <w:rFonts w:cs="Arial"/>
          <w:szCs w:val="18"/>
          <w:lang w:val="bg-BG"/>
        </w:rPr>
      </w:pPr>
      <w:r w:rsidRPr="009072DA">
        <w:rPr>
          <w:lang w:val="bg-BG"/>
        </w:rPr>
        <w:t>2.</w:t>
      </w:r>
      <w:r w:rsidRPr="009072DA">
        <w:rPr>
          <w:lang w:val="bg-BG"/>
        </w:rPr>
        <w:tab/>
        <w:t>Ако по време на изпитването за накреняване не е възможно да се постигнат необходимите ъгли на крена или ако изпитването за накреняване води до неоправдано големи технически трудности, то може да се замени с изчисляване на центъра на тежестта и водоизместването на плавателното средство. Резултатът от изчислението на теглото се проверява чрез измерване на газенето, като разликата не трябва да е повече от ± 5 %.</w:t>
      </w:r>
    </w:p>
    <w:p w:rsidR="00377B97" w:rsidRPr="009072DA" w:rsidRDefault="00377B97" w:rsidP="00377B97">
      <w:pPr>
        <w:pStyle w:val="ESch"/>
        <w:rPr>
          <w:rFonts w:cs="Arial"/>
          <w:szCs w:val="18"/>
          <w:lang w:val="bg-BG"/>
        </w:rPr>
      </w:pPr>
    </w:p>
    <w:p w:rsidR="00377B97" w:rsidRPr="009072DA" w:rsidRDefault="00377B97" w:rsidP="00377B97">
      <w:pPr>
        <w:pStyle w:val="ESch"/>
        <w:rPr>
          <w:rFonts w:cs="Arial"/>
          <w:szCs w:val="18"/>
          <w:lang w:val="bg-BG"/>
        </w:rPr>
      </w:pPr>
    </w:p>
    <w:p w:rsidR="00377B97" w:rsidRPr="009072DA" w:rsidRDefault="00377B97" w:rsidP="00377B97">
      <w:pPr>
        <w:pStyle w:val="ES-Titre3"/>
        <w:rPr>
          <w:rFonts w:cs="Arial"/>
          <w:i/>
          <w:szCs w:val="18"/>
          <w:lang w:val="bg-BG"/>
        </w:rPr>
      </w:pPr>
      <w:bookmarkStart w:id="445" w:name="_Toc491854220"/>
      <w:bookmarkStart w:id="446" w:name="_Toc535827661"/>
      <w:r w:rsidRPr="009072DA">
        <w:rPr>
          <w:lang w:val="bg-BG"/>
        </w:rPr>
        <w:t>Член 22.07</w:t>
      </w:r>
      <w:r w:rsidRPr="009072DA">
        <w:rPr>
          <w:lang w:val="bg-BG"/>
        </w:rPr>
        <w:br/>
      </w:r>
      <w:r w:rsidRPr="009072DA">
        <w:rPr>
          <w:i/>
          <w:lang w:val="bg-BG"/>
        </w:rPr>
        <w:t>Потвърждаване на устойчивостта</w:t>
      </w:r>
      <w:bookmarkEnd w:id="445"/>
      <w:bookmarkEnd w:id="446"/>
    </w:p>
    <w:p w:rsidR="00377B97" w:rsidRPr="009072DA" w:rsidRDefault="00377B97" w:rsidP="00377B97">
      <w:pPr>
        <w:pStyle w:val="ESch"/>
        <w:rPr>
          <w:lang w:val="bg-BG"/>
        </w:rPr>
      </w:pPr>
    </w:p>
    <w:p w:rsidR="00377B97" w:rsidRPr="009072DA" w:rsidRDefault="00377B97" w:rsidP="00377B97">
      <w:pPr>
        <w:pStyle w:val="ESch"/>
        <w:rPr>
          <w:rFonts w:cs="Arial"/>
          <w:szCs w:val="18"/>
          <w:lang w:val="bg-BG"/>
        </w:rPr>
      </w:pPr>
      <w:r w:rsidRPr="009072DA">
        <w:rPr>
          <w:lang w:val="bg-BG"/>
        </w:rPr>
        <w:t xml:space="preserve">1. </w:t>
      </w:r>
      <w:r w:rsidRPr="009072DA">
        <w:rPr>
          <w:lang w:val="bg-BG"/>
        </w:rPr>
        <w:tab/>
        <w:t>Предвид на натоварванията, възникващи при експлоатация на работно оборудване и по време на плаване, трябва да се потвърждава, че остатъчният надводен борд и остатъчното разстояние на безопасност са достатъчни. За тази цел ъглите на диферента и крена не трябва да превишават 10° и дъното на корпуса не трябва да се показва.</w:t>
      </w:r>
    </w:p>
    <w:p w:rsidR="00377B97" w:rsidRPr="009072DA" w:rsidRDefault="00377B97" w:rsidP="00377B97">
      <w:pPr>
        <w:pStyle w:val="ESch"/>
        <w:rPr>
          <w:lang w:val="bg-BG"/>
        </w:rPr>
      </w:pPr>
    </w:p>
    <w:p w:rsidR="00377B97" w:rsidRPr="009072DA" w:rsidRDefault="00377B97" w:rsidP="00377B97">
      <w:pPr>
        <w:pStyle w:val="ESch"/>
        <w:rPr>
          <w:rFonts w:cs="Arial"/>
          <w:szCs w:val="18"/>
          <w:lang w:val="bg-BG"/>
        </w:rPr>
      </w:pPr>
      <w:r w:rsidRPr="009072DA">
        <w:rPr>
          <w:lang w:val="bg-BG"/>
        </w:rPr>
        <w:t>2.</w:t>
      </w:r>
      <w:r w:rsidRPr="009072DA">
        <w:rPr>
          <w:lang w:val="bg-BG"/>
        </w:rPr>
        <w:tab/>
        <w:t>Потвърждението на устойчивостта включва изброените по-долу данни и документи:</w:t>
      </w:r>
    </w:p>
    <w:p w:rsidR="00377B97" w:rsidRPr="009072DA" w:rsidRDefault="005C7859" w:rsidP="003D6C36">
      <w:pPr>
        <w:pStyle w:val="ESlet"/>
        <w:rPr>
          <w:lang w:val="bg-BG"/>
        </w:rPr>
      </w:pPr>
      <w:r w:rsidRPr="009072DA">
        <w:rPr>
          <w:lang w:val="bg-BG"/>
        </w:rPr>
        <w:t>a)</w:t>
      </w:r>
      <w:r w:rsidRPr="009072DA">
        <w:rPr>
          <w:lang w:val="bg-BG"/>
        </w:rPr>
        <w:tab/>
        <w:t>чертежи на плаващите обекти и работното оборудване и подробни данни за тях, които са необходими за потвърждение на устойчивостта като съдържание на резервоарите, отворите за достъп до вътрешността на плавателния съд;</w:t>
      </w:r>
    </w:p>
    <w:p w:rsidR="00377B97" w:rsidRPr="009072DA" w:rsidRDefault="005C7859" w:rsidP="003D6C36">
      <w:pPr>
        <w:pStyle w:val="ESlet"/>
        <w:rPr>
          <w:lang w:val="bg-BG"/>
        </w:rPr>
      </w:pPr>
      <w:r w:rsidRPr="009072DA">
        <w:rPr>
          <w:lang w:val="bg-BG"/>
        </w:rPr>
        <w:t>б)</w:t>
      </w:r>
      <w:r w:rsidRPr="009072DA">
        <w:rPr>
          <w:lang w:val="bg-BG"/>
        </w:rPr>
        <w:tab/>
        <w:t>хидростатични данни или криви;</w:t>
      </w:r>
    </w:p>
    <w:p w:rsidR="00377B97" w:rsidRPr="009072DA" w:rsidRDefault="005C7859" w:rsidP="003D6C36">
      <w:pPr>
        <w:pStyle w:val="ESlet"/>
        <w:rPr>
          <w:lang w:val="bg-BG"/>
        </w:rPr>
      </w:pPr>
      <w:r w:rsidRPr="009072DA">
        <w:rPr>
          <w:lang w:val="bg-BG"/>
        </w:rPr>
        <w:t>в)</w:t>
      </w:r>
      <w:r w:rsidRPr="009072DA">
        <w:rPr>
          <w:lang w:val="bg-BG"/>
        </w:rPr>
        <w:tab/>
        <w:t>криви на рамото на изправящия момент за статичната устойчивост, доколкото се изисква съгласно точка 5 по-долу или член 22.08;</w:t>
      </w:r>
    </w:p>
    <w:p w:rsidR="00377B97" w:rsidRPr="009072DA" w:rsidRDefault="0029453D" w:rsidP="003D6C36">
      <w:pPr>
        <w:pStyle w:val="ESlet"/>
        <w:rPr>
          <w:lang w:val="bg-BG"/>
        </w:rPr>
      </w:pPr>
      <w:r w:rsidRPr="009072DA">
        <w:rPr>
          <w:lang w:val="bg-BG"/>
        </w:rPr>
        <w:t>г)</w:t>
      </w:r>
      <w:r w:rsidRPr="009072DA">
        <w:rPr>
          <w:lang w:val="bg-BG"/>
        </w:rPr>
        <w:tab/>
        <w:t>описание на експлоатационните условия заедно със съответните данни относно теглото и центъра на тежестта, включително в състояние без товар и положението на оборудването във връзка с транспорта;</w:t>
      </w:r>
    </w:p>
    <w:p w:rsidR="00377B97" w:rsidRPr="009072DA" w:rsidRDefault="0029453D" w:rsidP="003D6C36">
      <w:pPr>
        <w:pStyle w:val="ESlet"/>
        <w:rPr>
          <w:lang w:val="bg-BG"/>
        </w:rPr>
      </w:pPr>
      <w:r w:rsidRPr="009072DA">
        <w:rPr>
          <w:lang w:val="bg-BG"/>
        </w:rPr>
        <w:lastRenderedPageBreak/>
        <w:t>д)</w:t>
      </w:r>
      <w:r w:rsidRPr="009072DA">
        <w:rPr>
          <w:lang w:val="bg-BG"/>
        </w:rPr>
        <w:tab/>
        <w:t>изчисляване на кренящия момент, диферента и изправящия момент с описание на ъглите на диферент и крен и съответния остатъчен надводен борд и остатъчните разстояния на безопасност;</w:t>
      </w:r>
    </w:p>
    <w:p w:rsidR="00377B97" w:rsidRPr="009072DA" w:rsidRDefault="0029453D" w:rsidP="003D6C36">
      <w:pPr>
        <w:pStyle w:val="ESlet"/>
        <w:rPr>
          <w:lang w:val="bg-BG"/>
        </w:rPr>
      </w:pPr>
      <w:r w:rsidRPr="009072DA">
        <w:rPr>
          <w:lang w:val="bg-BG"/>
        </w:rPr>
        <w:t>е)</w:t>
      </w:r>
      <w:r w:rsidRPr="009072DA">
        <w:rPr>
          <w:lang w:val="bg-BG"/>
        </w:rPr>
        <w:tab/>
        <w:t>обобщение на резултатите от изчислението с определяне на граничните стойности за работа и максималните натоварвания.</w:t>
      </w:r>
    </w:p>
    <w:p w:rsidR="00377B97" w:rsidRPr="009072DA" w:rsidRDefault="00377B97" w:rsidP="00377B97">
      <w:pPr>
        <w:pStyle w:val="ESch"/>
        <w:rPr>
          <w:lang w:val="bg-BG"/>
        </w:rPr>
      </w:pPr>
    </w:p>
    <w:p w:rsidR="00377B97" w:rsidRPr="009072DA" w:rsidRDefault="00377B97" w:rsidP="00377B97">
      <w:pPr>
        <w:pStyle w:val="ESch"/>
        <w:rPr>
          <w:lang w:val="bg-BG"/>
        </w:rPr>
      </w:pPr>
      <w:r w:rsidRPr="009072DA">
        <w:rPr>
          <w:lang w:val="bg-BG"/>
        </w:rPr>
        <w:t>3.</w:t>
      </w:r>
      <w:r w:rsidRPr="009072DA">
        <w:rPr>
          <w:lang w:val="bg-BG"/>
        </w:rPr>
        <w:tab/>
        <w:t>Потвърждението на устойчивостта се основава като минимум на следните предполагаеми натоварвания:</w:t>
      </w:r>
    </w:p>
    <w:p w:rsidR="00377B97" w:rsidRPr="009072DA" w:rsidRDefault="005C7859" w:rsidP="003D6C36">
      <w:pPr>
        <w:pStyle w:val="ESlet"/>
        <w:rPr>
          <w:rFonts w:cs="Arial"/>
          <w:szCs w:val="18"/>
          <w:lang w:val="bg-BG"/>
        </w:rPr>
      </w:pPr>
      <w:r w:rsidRPr="009072DA">
        <w:rPr>
          <w:lang w:val="bg-BG"/>
        </w:rPr>
        <w:t>a)</w:t>
      </w:r>
      <w:r w:rsidRPr="009072DA">
        <w:rPr>
          <w:lang w:val="bg-BG"/>
        </w:rPr>
        <w:tab/>
        <w:t>относително тегло на изкопаваните продукти за земекопачки:</w:t>
      </w:r>
    </w:p>
    <w:p w:rsidR="00377B97" w:rsidRPr="009072DA" w:rsidRDefault="00377B97" w:rsidP="003D6C36">
      <w:pPr>
        <w:pStyle w:val="ESletpar"/>
        <w:rPr>
          <w:rFonts w:cs="Arial"/>
          <w:szCs w:val="18"/>
          <w:lang w:val="bg-BG"/>
        </w:rPr>
      </w:pPr>
      <w:r w:rsidRPr="009072DA">
        <w:rPr>
          <w:lang w:val="bg-BG"/>
        </w:rPr>
        <w:t>пясък и чакъл: 1,5 t/m</w:t>
      </w:r>
      <w:r w:rsidRPr="009072DA">
        <w:rPr>
          <w:vertAlign w:val="superscript"/>
          <w:lang w:val="bg-BG"/>
        </w:rPr>
        <w:t>3</w:t>
      </w:r>
      <w:r w:rsidRPr="009072DA">
        <w:rPr>
          <w:lang w:val="bg-BG"/>
        </w:rPr>
        <w:t>,</w:t>
      </w:r>
    </w:p>
    <w:p w:rsidR="00377B97" w:rsidRPr="009072DA" w:rsidRDefault="004D3A30" w:rsidP="003D6C36">
      <w:pPr>
        <w:pStyle w:val="ESletpar"/>
        <w:rPr>
          <w:rFonts w:cs="Arial"/>
          <w:szCs w:val="18"/>
          <w:lang w:val="bg-BG"/>
        </w:rPr>
      </w:pPr>
      <w:r w:rsidRPr="009072DA">
        <w:rPr>
          <w:lang w:val="bg-BG"/>
        </w:rPr>
        <w:t>много мокри пясъци: 2,0 t/m</w:t>
      </w:r>
      <w:r w:rsidRPr="009072DA">
        <w:rPr>
          <w:vertAlign w:val="superscript"/>
          <w:lang w:val="bg-BG"/>
        </w:rPr>
        <w:t>3</w:t>
      </w:r>
      <w:r w:rsidRPr="009072DA">
        <w:rPr>
          <w:lang w:val="bg-BG"/>
        </w:rPr>
        <w:t>,</w:t>
      </w:r>
    </w:p>
    <w:p w:rsidR="00377B97" w:rsidRPr="009072DA" w:rsidRDefault="00377B97" w:rsidP="003D6C36">
      <w:pPr>
        <w:pStyle w:val="ESletpar"/>
        <w:rPr>
          <w:rFonts w:cs="Arial"/>
          <w:szCs w:val="18"/>
          <w:lang w:val="bg-BG"/>
        </w:rPr>
      </w:pPr>
      <w:r w:rsidRPr="009072DA">
        <w:rPr>
          <w:lang w:val="bg-BG"/>
        </w:rPr>
        <w:t>почва, средно: 1,8 t/m</w:t>
      </w:r>
      <w:r w:rsidRPr="009072DA">
        <w:rPr>
          <w:vertAlign w:val="superscript"/>
          <w:lang w:val="bg-BG"/>
        </w:rPr>
        <w:t>3</w:t>
      </w:r>
      <w:r w:rsidRPr="009072DA">
        <w:rPr>
          <w:lang w:val="bg-BG"/>
        </w:rPr>
        <w:t>,</w:t>
      </w:r>
    </w:p>
    <w:p w:rsidR="00377B97" w:rsidRPr="009072DA" w:rsidRDefault="00377B97" w:rsidP="003D6C36">
      <w:pPr>
        <w:pStyle w:val="ESletpar"/>
        <w:rPr>
          <w:rFonts w:cs="Arial"/>
          <w:szCs w:val="18"/>
          <w:lang w:val="bg-BG"/>
        </w:rPr>
      </w:pPr>
      <w:r w:rsidRPr="009072DA">
        <w:rPr>
          <w:lang w:val="bg-BG"/>
        </w:rPr>
        <w:t>смес от пясък и вода в канали: 1,3 t/m</w:t>
      </w:r>
      <w:r w:rsidRPr="009072DA">
        <w:rPr>
          <w:vertAlign w:val="superscript"/>
          <w:lang w:val="bg-BG"/>
        </w:rPr>
        <w:t>3</w:t>
      </w:r>
      <w:r w:rsidRPr="009072DA">
        <w:rPr>
          <w:lang w:val="bg-BG"/>
        </w:rPr>
        <w:t>;</w:t>
      </w:r>
    </w:p>
    <w:p w:rsidR="008E7AC7" w:rsidRPr="009072DA" w:rsidRDefault="008E7AC7" w:rsidP="003D6C36">
      <w:pPr>
        <w:pStyle w:val="ESlet"/>
        <w:rPr>
          <w:lang w:val="bg-BG"/>
        </w:rPr>
      </w:pPr>
      <w:r w:rsidRPr="009072DA">
        <w:rPr>
          <w:lang w:val="bg-BG"/>
        </w:rPr>
        <w:br w:type="page"/>
      </w:r>
    </w:p>
    <w:p w:rsidR="00377B97" w:rsidRPr="009072DA" w:rsidRDefault="005C7859" w:rsidP="003D6C36">
      <w:pPr>
        <w:pStyle w:val="ESlet"/>
        <w:rPr>
          <w:lang w:val="bg-BG"/>
        </w:rPr>
      </w:pPr>
      <w:r w:rsidRPr="009072DA">
        <w:rPr>
          <w:lang w:val="bg-BG"/>
        </w:rPr>
        <w:lastRenderedPageBreak/>
        <w:t>б)</w:t>
      </w:r>
      <w:r w:rsidRPr="009072DA">
        <w:rPr>
          <w:lang w:val="bg-BG"/>
        </w:rPr>
        <w:tab/>
        <w:t>при грайферни земекопачки стойностите по буква а) се завишават с 15 %;</w:t>
      </w:r>
    </w:p>
    <w:p w:rsidR="00377B97" w:rsidRPr="009072DA" w:rsidRDefault="005C7859" w:rsidP="003D6C36">
      <w:pPr>
        <w:pStyle w:val="ESlet"/>
        <w:rPr>
          <w:lang w:val="bg-BG"/>
        </w:rPr>
      </w:pPr>
      <w:r w:rsidRPr="009072DA">
        <w:rPr>
          <w:lang w:val="bg-BG"/>
        </w:rPr>
        <w:t>в)</w:t>
      </w:r>
      <w:r w:rsidRPr="009072DA">
        <w:rPr>
          <w:lang w:val="bg-BG"/>
        </w:rPr>
        <w:tab/>
        <w:t>при хидравлични земекопачки се взема предвид максималната товароподемност.</w:t>
      </w:r>
    </w:p>
    <w:p w:rsidR="003D6C36" w:rsidRPr="009072DA" w:rsidRDefault="003D6C36" w:rsidP="00377B97">
      <w:pPr>
        <w:pStyle w:val="ESch"/>
        <w:rPr>
          <w:lang w:val="bg-BG"/>
        </w:rPr>
      </w:pPr>
    </w:p>
    <w:p w:rsidR="00377B97" w:rsidRPr="009072DA" w:rsidRDefault="00377B97" w:rsidP="00377B97">
      <w:pPr>
        <w:pStyle w:val="ESch"/>
        <w:rPr>
          <w:lang w:val="bg-BG"/>
        </w:rPr>
      </w:pPr>
      <w:r w:rsidRPr="009072DA">
        <w:rPr>
          <w:lang w:val="bg-BG"/>
        </w:rPr>
        <w:t>4.</w:t>
      </w:r>
      <w:r w:rsidRPr="009072DA">
        <w:rPr>
          <w:lang w:val="bg-BG"/>
        </w:rPr>
        <w:tab/>
        <w:t>Потвърждението на устойчивостта трябва да отчита моментите в резултат на:</w:t>
      </w:r>
    </w:p>
    <w:p w:rsidR="00377B97" w:rsidRPr="009072DA" w:rsidRDefault="005C7859" w:rsidP="00377B97">
      <w:pPr>
        <w:pStyle w:val="ESlet"/>
        <w:rPr>
          <w:lang w:val="bg-BG"/>
        </w:rPr>
      </w:pPr>
      <w:r w:rsidRPr="009072DA">
        <w:rPr>
          <w:lang w:val="bg-BG"/>
        </w:rPr>
        <w:t>a)</w:t>
      </w:r>
      <w:r w:rsidRPr="009072DA">
        <w:rPr>
          <w:lang w:val="bg-BG"/>
        </w:rPr>
        <w:tab/>
        <w:t>товара;</w:t>
      </w:r>
    </w:p>
    <w:p w:rsidR="00377B97" w:rsidRPr="009072DA" w:rsidRDefault="005C7859" w:rsidP="00377B97">
      <w:pPr>
        <w:pStyle w:val="ESlet"/>
        <w:rPr>
          <w:lang w:val="bg-BG"/>
        </w:rPr>
      </w:pPr>
      <w:r w:rsidRPr="009072DA">
        <w:rPr>
          <w:lang w:val="bg-BG"/>
        </w:rPr>
        <w:t>б)</w:t>
      </w:r>
      <w:r w:rsidRPr="009072DA">
        <w:rPr>
          <w:lang w:val="bg-BG"/>
        </w:rPr>
        <w:tab/>
        <w:t>асиметрииите в структурата;</w:t>
      </w:r>
    </w:p>
    <w:p w:rsidR="00377B97" w:rsidRPr="009072DA" w:rsidRDefault="005C7859" w:rsidP="00377B97">
      <w:pPr>
        <w:pStyle w:val="ESlet"/>
        <w:rPr>
          <w:lang w:val="bg-BG"/>
        </w:rPr>
      </w:pPr>
      <w:r w:rsidRPr="009072DA">
        <w:rPr>
          <w:lang w:val="bg-BG"/>
        </w:rPr>
        <w:t>в)</w:t>
      </w:r>
      <w:r w:rsidRPr="009072DA">
        <w:rPr>
          <w:lang w:val="bg-BG"/>
        </w:rPr>
        <w:tab/>
        <w:t>налягането на вятъра;</w:t>
      </w:r>
    </w:p>
    <w:p w:rsidR="00377B97" w:rsidRPr="009072DA" w:rsidRDefault="0029453D" w:rsidP="00377B97">
      <w:pPr>
        <w:pStyle w:val="ESlet"/>
        <w:rPr>
          <w:lang w:val="bg-BG"/>
        </w:rPr>
      </w:pPr>
      <w:r w:rsidRPr="009072DA">
        <w:rPr>
          <w:lang w:val="bg-BG"/>
        </w:rPr>
        <w:t>г)</w:t>
      </w:r>
      <w:r w:rsidRPr="009072DA">
        <w:rPr>
          <w:lang w:val="bg-BG"/>
        </w:rPr>
        <w:tab/>
        <w:t>поворота по време на движение на самоходни плаващи съоръжения;</w:t>
      </w:r>
    </w:p>
    <w:p w:rsidR="00377B97" w:rsidRPr="009072DA" w:rsidRDefault="0029453D" w:rsidP="00377B97">
      <w:pPr>
        <w:pStyle w:val="ESlet"/>
        <w:rPr>
          <w:lang w:val="bg-BG"/>
        </w:rPr>
      </w:pPr>
      <w:r w:rsidRPr="009072DA">
        <w:rPr>
          <w:lang w:val="bg-BG"/>
        </w:rPr>
        <w:t>д)</w:t>
      </w:r>
      <w:r w:rsidRPr="009072DA">
        <w:rPr>
          <w:lang w:val="bg-BG"/>
        </w:rPr>
        <w:tab/>
        <w:t>странични течения, ако е необходимо;</w:t>
      </w:r>
    </w:p>
    <w:p w:rsidR="00377B97" w:rsidRPr="009072DA" w:rsidRDefault="0029453D" w:rsidP="00377B97">
      <w:pPr>
        <w:pStyle w:val="ESlet"/>
        <w:rPr>
          <w:lang w:val="bg-BG"/>
        </w:rPr>
      </w:pPr>
      <w:r w:rsidRPr="009072DA">
        <w:rPr>
          <w:lang w:val="bg-BG"/>
        </w:rPr>
        <w:t>е)</w:t>
      </w:r>
      <w:r w:rsidRPr="009072DA">
        <w:rPr>
          <w:lang w:val="bg-BG"/>
        </w:rPr>
        <w:tab/>
        <w:t>баласт и провизии;</w:t>
      </w:r>
    </w:p>
    <w:p w:rsidR="00377B97" w:rsidRPr="009072DA" w:rsidRDefault="0029453D" w:rsidP="00377B97">
      <w:pPr>
        <w:pStyle w:val="ESlet"/>
        <w:rPr>
          <w:lang w:val="bg-BG"/>
        </w:rPr>
      </w:pPr>
      <w:r w:rsidRPr="009072DA">
        <w:rPr>
          <w:lang w:val="bg-BG"/>
        </w:rPr>
        <w:t>ж)</w:t>
      </w:r>
      <w:r w:rsidRPr="009072DA">
        <w:rPr>
          <w:lang w:val="bg-BG"/>
        </w:rPr>
        <w:tab/>
        <w:t>натоварванията на палубата и, по целесъобразност, товар;</w:t>
      </w:r>
    </w:p>
    <w:p w:rsidR="00377B97" w:rsidRPr="009072DA" w:rsidRDefault="0029453D" w:rsidP="00377B97">
      <w:pPr>
        <w:pStyle w:val="ESlet"/>
        <w:rPr>
          <w:rFonts w:cs="Arial"/>
          <w:szCs w:val="18"/>
          <w:lang w:val="bg-BG"/>
        </w:rPr>
      </w:pPr>
      <w:r w:rsidRPr="009072DA">
        <w:rPr>
          <w:lang w:val="bg-BG"/>
        </w:rPr>
        <w:t>з)</w:t>
      </w:r>
      <w:r w:rsidRPr="009072DA">
        <w:rPr>
          <w:lang w:val="bg-BG"/>
        </w:rPr>
        <w:tab/>
        <w:t>открити повърхности на течности;</w:t>
      </w:r>
    </w:p>
    <w:p w:rsidR="00377B97" w:rsidRPr="009072DA" w:rsidRDefault="0029453D" w:rsidP="00377B97">
      <w:pPr>
        <w:pStyle w:val="ESlet"/>
        <w:rPr>
          <w:rFonts w:cs="Arial"/>
          <w:szCs w:val="18"/>
          <w:lang w:val="bg-BG"/>
        </w:rPr>
      </w:pPr>
      <w:r w:rsidRPr="009072DA">
        <w:rPr>
          <w:lang w:val="bg-BG"/>
        </w:rPr>
        <w:t>и)</w:t>
      </w:r>
      <w:r w:rsidRPr="009072DA">
        <w:rPr>
          <w:lang w:val="bg-BG"/>
        </w:rPr>
        <w:tab/>
        <w:t>инерционни сили;</w:t>
      </w:r>
    </w:p>
    <w:p w:rsidR="00377B97" w:rsidRPr="009072DA" w:rsidRDefault="00377B97" w:rsidP="00377B97">
      <w:pPr>
        <w:pStyle w:val="ESlet"/>
        <w:rPr>
          <w:rFonts w:cs="Arial"/>
          <w:szCs w:val="18"/>
          <w:lang w:val="bg-BG"/>
        </w:rPr>
      </w:pPr>
      <w:r w:rsidRPr="009072DA">
        <w:rPr>
          <w:lang w:val="bg-BG"/>
        </w:rPr>
        <w:t>й)</w:t>
      </w:r>
      <w:r w:rsidRPr="009072DA">
        <w:rPr>
          <w:lang w:val="bg-BG"/>
        </w:rPr>
        <w:tab/>
        <w:t>друго механично оборудване.</w:t>
      </w:r>
    </w:p>
    <w:p w:rsidR="003D6C36" w:rsidRPr="009072DA" w:rsidRDefault="003D6C36" w:rsidP="00377B97">
      <w:pPr>
        <w:pStyle w:val="ESch"/>
        <w:rPr>
          <w:lang w:val="bg-BG"/>
        </w:rPr>
      </w:pPr>
    </w:p>
    <w:p w:rsidR="00377B97" w:rsidRPr="009072DA" w:rsidRDefault="00377B97" w:rsidP="003D6C36">
      <w:pPr>
        <w:pStyle w:val="ESchpar"/>
        <w:rPr>
          <w:rFonts w:cs="Arial"/>
          <w:szCs w:val="18"/>
          <w:lang w:val="bg-BG"/>
        </w:rPr>
      </w:pPr>
      <w:r w:rsidRPr="009072DA">
        <w:rPr>
          <w:lang w:val="bg-BG"/>
        </w:rPr>
        <w:t>Моментите, които могат да действат едновременно, се сумират.</w:t>
      </w:r>
    </w:p>
    <w:p w:rsidR="00377B97" w:rsidRPr="009072DA" w:rsidRDefault="00377B97" w:rsidP="00377B97">
      <w:pPr>
        <w:pStyle w:val="ESch"/>
        <w:rPr>
          <w:lang w:val="bg-BG"/>
        </w:rPr>
      </w:pPr>
    </w:p>
    <w:p w:rsidR="00377B97" w:rsidRPr="009072DA" w:rsidRDefault="00377B97" w:rsidP="00377B97">
      <w:pPr>
        <w:pStyle w:val="ESch"/>
        <w:rPr>
          <w:lang w:val="bg-BG"/>
        </w:rPr>
      </w:pPr>
      <w:r w:rsidRPr="009072DA">
        <w:rPr>
          <w:lang w:val="bg-BG"/>
        </w:rPr>
        <w:t>5.</w:t>
      </w:r>
      <w:r w:rsidRPr="009072DA">
        <w:rPr>
          <w:lang w:val="bg-BG"/>
        </w:rPr>
        <w:tab/>
        <w:t>Моментът, породен от налягането на вятъра, се изчислява в съответствие със следната формула:</w:t>
      </w:r>
    </w:p>
    <w:p w:rsidR="003D6C36" w:rsidRPr="009072DA" w:rsidRDefault="003D6C36" w:rsidP="00377B97">
      <w:pPr>
        <w:pStyle w:val="ESch"/>
        <w:rPr>
          <w:lang w:val="bg-BG"/>
        </w:rPr>
      </w:pPr>
    </w:p>
    <w:p w:rsidR="000C41E0" w:rsidRPr="009072DA" w:rsidRDefault="002B712C" w:rsidP="00377B97">
      <w:pPr>
        <w:pStyle w:val="ESch"/>
        <w:rPr>
          <w:lang w:val="bg-BG"/>
        </w:rPr>
      </w:pPr>
      <m:oMathPara>
        <m:oMath>
          <m:sSub>
            <m:sSubPr>
              <m:ctrlPr>
                <w:rPr>
                  <w:rFonts w:ascii="Cambria Math" w:hAnsi="Cambria Math"/>
                  <w:i/>
                  <w:lang w:val="bg-BG"/>
                </w:rPr>
              </m:ctrlPr>
            </m:sSubPr>
            <m:e>
              <m:r>
                <w:rPr>
                  <w:rFonts w:ascii="Cambria Math" w:hAnsi="Cambria Math"/>
                  <w:lang w:val="bg-BG"/>
                </w:rPr>
                <m:t>M</m:t>
              </m:r>
            </m:e>
            <m:sub>
              <m:r>
                <w:rPr>
                  <w:rFonts w:ascii="Cambria Math" w:hAnsi="Cambria Math"/>
                  <w:lang w:val="bg-BG"/>
                </w:rPr>
                <m:t>W</m:t>
              </m:r>
            </m:sub>
          </m:sSub>
          <m:r>
            <w:rPr>
              <w:rFonts w:ascii="Cambria Math" w:hAnsi="Cambria Math"/>
              <w:lang w:val="bg-BG"/>
            </w:rPr>
            <m:t xml:space="preserve">=c ∙ </m:t>
          </m:r>
          <m:sSub>
            <m:sSubPr>
              <m:ctrlPr>
                <w:rPr>
                  <w:rFonts w:ascii="Cambria Math" w:hAnsi="Cambria Math"/>
                  <w:i/>
                  <w:lang w:val="bg-BG"/>
                </w:rPr>
              </m:ctrlPr>
            </m:sSubPr>
            <m:e>
              <m:r>
                <w:rPr>
                  <w:rFonts w:ascii="Cambria Math" w:hAnsi="Cambria Math"/>
                  <w:lang w:val="bg-BG"/>
                </w:rPr>
                <m:t>P</m:t>
              </m:r>
            </m:e>
            <m:sub>
              <m:r>
                <w:rPr>
                  <w:rFonts w:ascii="Cambria Math" w:hAnsi="Cambria Math"/>
                  <w:lang w:val="bg-BG"/>
                </w:rPr>
                <m:t>W</m:t>
              </m:r>
            </m:sub>
          </m:sSub>
          <m:r>
            <w:rPr>
              <w:rFonts w:ascii="Cambria Math" w:hAnsi="Cambria Math"/>
              <w:lang w:val="bg-BG"/>
            </w:rPr>
            <m:t xml:space="preserve"> ∙ </m:t>
          </m:r>
          <m:sSub>
            <m:sSubPr>
              <m:ctrlPr>
                <w:rPr>
                  <w:rFonts w:ascii="Cambria Math" w:hAnsi="Cambria Math"/>
                  <w:i/>
                  <w:lang w:val="bg-BG"/>
                </w:rPr>
              </m:ctrlPr>
            </m:sSubPr>
            <m:e>
              <m:r>
                <w:rPr>
                  <w:rFonts w:ascii="Cambria Math" w:hAnsi="Cambria Math"/>
                  <w:lang w:val="bg-BG"/>
                </w:rPr>
                <m:t>A</m:t>
              </m:r>
            </m:e>
            <m:sub>
              <m:r>
                <w:rPr>
                  <w:rFonts w:ascii="Cambria Math" w:hAnsi="Cambria Math"/>
                  <w:lang w:val="bg-BG"/>
                </w:rPr>
                <m:t>w</m:t>
              </m:r>
            </m:sub>
          </m:sSub>
          <m:r>
            <w:rPr>
              <w:rFonts w:ascii="Cambria Math" w:hAnsi="Cambria Math"/>
              <w:lang w:val="bg-BG"/>
            </w:rPr>
            <m:t xml:space="preserve"> ∙</m:t>
          </m:r>
          <m:d>
            <m:dPr>
              <m:ctrlPr>
                <w:rPr>
                  <w:rFonts w:ascii="Cambria Math" w:hAnsi="Cambria Math"/>
                  <w:i/>
                  <w:lang w:val="bg-BG"/>
                </w:rPr>
              </m:ctrlPr>
            </m:dPr>
            <m:e>
              <m:sSub>
                <m:sSubPr>
                  <m:ctrlPr>
                    <w:rPr>
                      <w:rFonts w:ascii="Cambria Math" w:hAnsi="Cambria Math"/>
                      <w:i/>
                      <w:lang w:val="bg-BG"/>
                    </w:rPr>
                  </m:ctrlPr>
                </m:sSubPr>
                <m:e>
                  <m:r>
                    <w:rPr>
                      <w:rFonts w:ascii="Cambria Math" w:hAnsi="Cambria Math"/>
                      <w:lang w:val="bg-BG"/>
                    </w:rPr>
                    <m:t>l</m:t>
                  </m:r>
                </m:e>
                <m:sub>
                  <m:r>
                    <w:rPr>
                      <w:rFonts w:ascii="Cambria Math" w:hAnsi="Cambria Math"/>
                      <w:lang w:val="bg-BG"/>
                    </w:rPr>
                    <m:t>W</m:t>
                  </m:r>
                </m:sub>
              </m:sSub>
              <m:r>
                <w:rPr>
                  <w:rFonts w:ascii="Cambria Math" w:hAnsi="Cambria Math"/>
                  <w:lang w:val="bg-BG"/>
                </w:rPr>
                <m:t>+</m:t>
              </m:r>
              <m:f>
                <m:fPr>
                  <m:ctrlPr>
                    <w:rPr>
                      <w:rFonts w:ascii="Cambria Math" w:hAnsi="Cambria Math"/>
                      <w:i/>
                      <w:lang w:val="bg-BG"/>
                    </w:rPr>
                  </m:ctrlPr>
                </m:fPr>
                <m:num>
                  <m:r>
                    <w:rPr>
                      <w:rFonts w:ascii="Cambria Math" w:hAnsi="Cambria Math"/>
                      <w:lang w:val="bg-BG"/>
                    </w:rPr>
                    <m:t>T</m:t>
                  </m:r>
                </m:num>
                <m:den>
                  <m:r>
                    <w:rPr>
                      <w:rFonts w:ascii="Cambria Math" w:hAnsi="Cambria Math"/>
                      <w:lang w:val="bg-BG"/>
                    </w:rPr>
                    <m:t>2</m:t>
                  </m:r>
                </m:den>
              </m:f>
            </m:e>
          </m:d>
          <m:r>
            <w:rPr>
              <w:rFonts w:ascii="Cambria Math" w:hAnsi="Cambria Math"/>
              <w:lang w:val="bg-BG"/>
            </w:rPr>
            <m:t xml:space="preserve"> </m:t>
          </m:r>
          <m:d>
            <m:dPr>
              <m:begChr m:val="["/>
              <m:endChr m:val="]"/>
              <m:ctrlPr>
                <w:rPr>
                  <w:rFonts w:ascii="Cambria Math" w:hAnsi="Cambria Math"/>
                  <w:i/>
                  <w:lang w:val="bg-BG"/>
                </w:rPr>
              </m:ctrlPr>
            </m:dPr>
            <m:e>
              <m:r>
                <w:rPr>
                  <w:rFonts w:ascii="Cambria Math" w:hAnsi="Cambria Math"/>
                  <w:lang w:val="bg-BG"/>
                </w:rPr>
                <m:t>kNm</m:t>
              </m:r>
            </m:e>
          </m:d>
        </m:oMath>
      </m:oMathPara>
    </w:p>
    <w:p w:rsidR="000C41E0" w:rsidRPr="009072DA" w:rsidRDefault="000C41E0" w:rsidP="00377B97">
      <w:pPr>
        <w:pStyle w:val="ESch"/>
        <w:rPr>
          <w:lang w:val="bg-BG"/>
        </w:rPr>
      </w:pPr>
    </w:p>
    <w:p w:rsidR="00377B97" w:rsidRPr="009072DA" w:rsidRDefault="00377B97" w:rsidP="003D6C36">
      <w:pPr>
        <w:pStyle w:val="ESlet"/>
        <w:rPr>
          <w:lang w:val="bg-BG"/>
        </w:rPr>
      </w:pPr>
      <w:r w:rsidRPr="009072DA">
        <w:rPr>
          <w:lang w:val="bg-BG"/>
        </w:rPr>
        <w:t>където:</w:t>
      </w:r>
    </w:p>
    <w:p w:rsidR="00377B97" w:rsidRPr="009072DA" w:rsidRDefault="000C41E0" w:rsidP="003D6C36">
      <w:pPr>
        <w:pStyle w:val="ESlet"/>
        <w:rPr>
          <w:lang w:val="bg-BG"/>
        </w:rPr>
      </w:pPr>
      <m:oMath>
        <m:r>
          <w:rPr>
            <w:rFonts w:ascii="Cambria Math" w:hAnsi="Cambria Math"/>
            <w:lang w:val="bg-BG"/>
          </w:rPr>
          <m:t>c</m:t>
        </m:r>
      </m:oMath>
      <w:r w:rsidRPr="009072DA">
        <w:rPr>
          <w:lang w:val="bg-BG"/>
        </w:rPr>
        <w:tab/>
        <w:t xml:space="preserve"> =</w:t>
      </w:r>
      <w:r w:rsidRPr="009072DA">
        <w:rPr>
          <w:lang w:val="bg-BG"/>
        </w:rPr>
        <w:tab/>
        <w:t>коефициент на съпротивление, зависещ от формата</w:t>
      </w:r>
    </w:p>
    <w:p w:rsidR="00377B97" w:rsidRPr="009072DA" w:rsidRDefault="00377B97" w:rsidP="003D6C36">
      <w:pPr>
        <w:pStyle w:val="EStiretpar"/>
        <w:rPr>
          <w:noProof w:val="0"/>
          <w:lang w:val="bg-BG"/>
        </w:rPr>
      </w:pPr>
      <w:r w:rsidRPr="009072DA">
        <w:rPr>
          <w:noProof w:val="0"/>
          <w:lang w:val="bg-BG"/>
        </w:rPr>
        <w:t xml:space="preserve">За рамки </w:t>
      </w:r>
      <m:oMath>
        <m:r>
          <w:rPr>
            <w:rFonts w:ascii="Cambria Math" w:hAnsi="Cambria Math"/>
            <w:noProof w:val="0"/>
            <w:lang w:val="bg-BG"/>
          </w:rPr>
          <m:t>c=1,2</m:t>
        </m:r>
      </m:oMath>
      <w:r w:rsidRPr="009072DA">
        <w:rPr>
          <w:noProof w:val="0"/>
          <w:lang w:val="bg-BG"/>
        </w:rPr>
        <w:t xml:space="preserve"> и за греди с плътно сечение </w:t>
      </w:r>
      <m:oMath>
        <m:r>
          <w:rPr>
            <w:rFonts w:ascii="Cambria Math" w:hAnsi="Cambria Math"/>
            <w:noProof w:val="0"/>
            <w:lang w:val="bg-BG"/>
          </w:rPr>
          <m:t>c=1,6</m:t>
        </m:r>
      </m:oMath>
      <w:r w:rsidRPr="009072DA">
        <w:rPr>
          <w:noProof w:val="0"/>
          <w:lang w:val="bg-BG"/>
        </w:rPr>
        <w:t>. И при двете стойности трябва да се отчитат евентуални силни пориви на вятър.</w:t>
      </w:r>
    </w:p>
    <w:p w:rsidR="00377B97" w:rsidRPr="009072DA" w:rsidRDefault="00377B97" w:rsidP="003D6C36">
      <w:pPr>
        <w:pStyle w:val="EStiretpar"/>
        <w:rPr>
          <w:noProof w:val="0"/>
          <w:lang w:val="bg-BG"/>
        </w:rPr>
      </w:pPr>
      <w:r w:rsidRPr="009072DA">
        <w:rPr>
          <w:noProof w:val="0"/>
          <w:lang w:val="bg-BG"/>
        </w:rPr>
        <w:t>Цялата площ, обхваната от контурната линия на рамката, се приема за повърхност, изложена на вятъра.</w:t>
      </w:r>
    </w:p>
    <w:p w:rsidR="00377B97" w:rsidRPr="009072DA" w:rsidRDefault="002B712C" w:rsidP="003D6C36">
      <w:pPr>
        <w:pStyle w:val="ESlet"/>
        <w:rPr>
          <w:lang w:val="bg-BG"/>
        </w:rPr>
      </w:pPr>
      <m:oMath>
        <m:sSub>
          <m:sSubPr>
            <m:ctrlPr>
              <w:rPr>
                <w:rFonts w:ascii="Cambria Math" w:hAnsi="Cambria Math"/>
                <w:i/>
                <w:lang w:val="bg-BG"/>
              </w:rPr>
            </m:ctrlPr>
          </m:sSubPr>
          <m:e>
            <m:r>
              <w:rPr>
                <w:rFonts w:ascii="Cambria Math" w:hAnsi="Cambria Math"/>
                <w:lang w:val="bg-BG"/>
              </w:rPr>
              <m:t>P</m:t>
            </m:r>
          </m:e>
          <m:sub>
            <m:r>
              <w:rPr>
                <w:rFonts w:ascii="Cambria Math" w:hAnsi="Cambria Math"/>
                <w:lang w:val="bg-BG"/>
              </w:rPr>
              <m:t>W</m:t>
            </m:r>
          </m:sub>
        </m:sSub>
      </m:oMath>
      <w:r w:rsidR="007B1046" w:rsidRPr="009072DA">
        <w:rPr>
          <w:lang w:val="bg-BG"/>
        </w:rPr>
        <w:tab/>
        <w:t>=</w:t>
      </w:r>
      <w:r w:rsidR="007B1046" w:rsidRPr="009072DA">
        <w:rPr>
          <w:lang w:val="bg-BG"/>
        </w:rPr>
        <w:tab/>
        <w:t>специфичното налягане на вятъра; то се приема за равно на 0,25 kN/m</w:t>
      </w:r>
      <w:r w:rsidR="007B1046" w:rsidRPr="009072DA">
        <w:rPr>
          <w:vertAlign w:val="superscript"/>
          <w:lang w:val="bg-BG"/>
        </w:rPr>
        <w:t>2</w:t>
      </w:r>
      <w:r w:rsidR="007B1046" w:rsidRPr="009072DA">
        <w:rPr>
          <w:lang w:val="bg-BG"/>
        </w:rPr>
        <w:t>;</w:t>
      </w:r>
    </w:p>
    <w:p w:rsidR="00377B97" w:rsidRPr="009072DA" w:rsidRDefault="002B712C" w:rsidP="003D6C36">
      <w:pPr>
        <w:pStyle w:val="ESlet"/>
        <w:tabs>
          <w:tab w:val="left" w:pos="993"/>
        </w:tabs>
        <w:ind w:left="1418" w:hanging="851"/>
        <w:rPr>
          <w:lang w:val="bg-BG"/>
        </w:rPr>
      </w:pPr>
      <m:oMath>
        <m:sSub>
          <m:sSubPr>
            <m:ctrlPr>
              <w:rPr>
                <w:rFonts w:ascii="Cambria Math" w:hAnsi="Cambria Math"/>
                <w:i/>
                <w:lang w:val="bg-BG"/>
              </w:rPr>
            </m:ctrlPr>
          </m:sSubPr>
          <m:e>
            <m:r>
              <w:rPr>
                <w:rFonts w:ascii="Cambria Math" w:hAnsi="Cambria Math"/>
                <w:lang w:val="bg-BG"/>
              </w:rPr>
              <m:t>A</m:t>
            </m:r>
          </m:e>
          <m:sub>
            <m:r>
              <w:rPr>
                <w:rFonts w:ascii="Cambria Math" w:hAnsi="Cambria Math"/>
                <w:lang w:val="bg-BG"/>
              </w:rPr>
              <m:t>W</m:t>
            </m:r>
          </m:sub>
        </m:sSub>
      </m:oMath>
      <w:r w:rsidR="007B1046" w:rsidRPr="009072DA">
        <w:rPr>
          <w:lang w:val="bg-BG"/>
        </w:rPr>
        <w:tab/>
        <w:t>=</w:t>
      </w:r>
      <w:r w:rsidR="007B1046" w:rsidRPr="009072DA">
        <w:rPr>
          <w:lang w:val="bg-BG"/>
        </w:rPr>
        <w:tab/>
        <w:t>страничната равнина на плавателния съд над равнината на газене съгласно разглежданото състояние на натоварване в [m²];</w:t>
      </w:r>
    </w:p>
    <w:p w:rsidR="00377B97" w:rsidRPr="009072DA" w:rsidRDefault="002B712C" w:rsidP="003D6C36">
      <w:pPr>
        <w:pStyle w:val="ESlet"/>
        <w:tabs>
          <w:tab w:val="left" w:pos="993"/>
        </w:tabs>
        <w:ind w:left="1418" w:hanging="851"/>
        <w:rPr>
          <w:lang w:val="bg-BG"/>
        </w:rPr>
      </w:pPr>
      <m:oMath>
        <m:sSub>
          <m:sSubPr>
            <m:ctrlPr>
              <w:rPr>
                <w:rFonts w:ascii="Cambria Math" w:hAnsi="Cambria Math"/>
                <w:i/>
                <w:lang w:val="bg-BG"/>
              </w:rPr>
            </m:ctrlPr>
          </m:sSubPr>
          <m:e>
            <m:r>
              <w:rPr>
                <w:rFonts w:ascii="Cambria Math" w:hAnsi="Cambria Math"/>
                <w:lang w:val="bg-BG"/>
              </w:rPr>
              <m:t>l</m:t>
            </m:r>
          </m:e>
          <m:sub>
            <m:r>
              <w:rPr>
                <w:rFonts w:ascii="Cambria Math" w:hAnsi="Cambria Math"/>
                <w:lang w:val="bg-BG"/>
              </w:rPr>
              <m:t>W</m:t>
            </m:r>
          </m:sub>
        </m:sSub>
      </m:oMath>
      <w:r w:rsidR="007B1046" w:rsidRPr="009072DA">
        <w:rPr>
          <w:lang w:val="bg-BG"/>
        </w:rPr>
        <w:t xml:space="preserve"> </w:t>
      </w:r>
      <w:r w:rsidR="007B1046" w:rsidRPr="009072DA">
        <w:rPr>
          <w:lang w:val="bg-BG"/>
        </w:rPr>
        <w:tab/>
        <w:t>=</w:t>
      </w:r>
      <w:r w:rsidR="007B1046" w:rsidRPr="009072DA">
        <w:rPr>
          <w:lang w:val="bg-BG"/>
        </w:rPr>
        <w:tab/>
        <w:t xml:space="preserve">разстоянието на центъра на тежестта на страничната равнина </w:t>
      </w:r>
      <m:oMath>
        <m:sSub>
          <m:sSubPr>
            <m:ctrlPr>
              <w:rPr>
                <w:rFonts w:ascii="Cambria Math" w:hAnsi="Cambria Math"/>
                <w:i/>
                <w:lang w:val="bg-BG"/>
              </w:rPr>
            </m:ctrlPr>
          </m:sSubPr>
          <m:e>
            <m:r>
              <w:rPr>
                <w:rFonts w:ascii="Cambria Math" w:hAnsi="Cambria Math"/>
                <w:lang w:val="bg-BG"/>
              </w:rPr>
              <m:t>A</m:t>
            </m:r>
          </m:e>
          <m:sub>
            <m:r>
              <w:rPr>
                <w:rFonts w:ascii="Cambria Math" w:hAnsi="Cambria Math"/>
                <w:lang w:val="bg-BG"/>
              </w:rPr>
              <m:t>W</m:t>
            </m:r>
          </m:sub>
        </m:sSub>
      </m:oMath>
      <w:r w:rsidR="007B1046" w:rsidRPr="009072DA">
        <w:rPr>
          <w:lang w:val="bg-BG"/>
        </w:rPr>
        <w:t xml:space="preserve"> от равнината на газене съгласно разглежданото състояние на натоварване в [m].</w:t>
      </w:r>
    </w:p>
    <w:p w:rsidR="00377B97" w:rsidRPr="009072DA" w:rsidRDefault="00377B97" w:rsidP="00377B97">
      <w:pPr>
        <w:pStyle w:val="ESch"/>
        <w:rPr>
          <w:lang w:val="bg-BG"/>
        </w:rPr>
      </w:pPr>
    </w:p>
    <w:p w:rsidR="00377B97" w:rsidRPr="009072DA" w:rsidRDefault="00377B97" w:rsidP="00377B97">
      <w:pPr>
        <w:pStyle w:val="ESch"/>
        <w:rPr>
          <w:lang w:val="bg-BG"/>
        </w:rPr>
      </w:pPr>
      <w:r w:rsidRPr="009072DA">
        <w:rPr>
          <w:lang w:val="bg-BG"/>
        </w:rPr>
        <w:t>6.</w:t>
      </w:r>
      <w:r w:rsidRPr="009072DA">
        <w:rPr>
          <w:lang w:val="bg-BG"/>
        </w:rPr>
        <w:tab/>
        <w:t>За да се определят моментите, дължащи се на поворот в движение съгласно точка 4, буква г) при самоходни плаващи съоръжения, се използва формулата, посочена в член 19.03, точка 6.</w:t>
      </w:r>
    </w:p>
    <w:p w:rsidR="00377B97" w:rsidRPr="009072DA" w:rsidRDefault="00377B97" w:rsidP="00377B97">
      <w:pPr>
        <w:pStyle w:val="ESch"/>
        <w:rPr>
          <w:lang w:val="bg-BG"/>
        </w:rPr>
      </w:pPr>
    </w:p>
    <w:p w:rsidR="00377B97" w:rsidRPr="009072DA" w:rsidRDefault="00377B97" w:rsidP="00377B97">
      <w:pPr>
        <w:pStyle w:val="ESch"/>
        <w:rPr>
          <w:lang w:val="bg-BG"/>
        </w:rPr>
      </w:pPr>
      <w:r w:rsidRPr="009072DA">
        <w:rPr>
          <w:lang w:val="bg-BG"/>
        </w:rPr>
        <w:t>7.</w:t>
      </w:r>
      <w:r w:rsidRPr="009072DA">
        <w:rPr>
          <w:lang w:val="bg-BG"/>
        </w:rPr>
        <w:tab/>
        <w:t>Моментът, произ</w:t>
      </w:r>
      <w:r w:rsidR="0066065A">
        <w:rPr>
          <w:lang w:val="bg-BG"/>
        </w:rPr>
        <w:t>т</w:t>
      </w:r>
      <w:r w:rsidRPr="009072DA">
        <w:rPr>
          <w:lang w:val="bg-BG"/>
        </w:rPr>
        <w:t>ичащ от странично течение съгласно точка 4, буква д), се взема под внимание само за плаващи средства, които са закотвени или швартовани в течението при работа.</w:t>
      </w:r>
    </w:p>
    <w:p w:rsidR="00377B97" w:rsidRPr="009072DA" w:rsidRDefault="00377B97" w:rsidP="00377B97">
      <w:pPr>
        <w:pStyle w:val="ESch"/>
        <w:rPr>
          <w:lang w:val="bg-BG"/>
        </w:rPr>
      </w:pPr>
    </w:p>
    <w:p w:rsidR="00377B97" w:rsidRPr="009072DA" w:rsidRDefault="00377B97" w:rsidP="00377B97">
      <w:pPr>
        <w:pStyle w:val="ESch"/>
        <w:rPr>
          <w:lang w:val="bg-BG"/>
        </w:rPr>
      </w:pPr>
      <w:r w:rsidRPr="009072DA">
        <w:rPr>
          <w:lang w:val="bg-BG"/>
        </w:rPr>
        <w:t>8.</w:t>
      </w:r>
      <w:r w:rsidRPr="009072DA">
        <w:rPr>
          <w:lang w:val="bg-BG"/>
        </w:rPr>
        <w:tab/>
        <w:t>Определя се най-малко благоприятната степен на напълване на резервоар от гледна точка на устойчивостта, а съответният момент се включва в изчислението, когато се пресмятат моментите, породени от течен баласт и течни провизии съгласно точка 4, буква е).</w:t>
      </w:r>
    </w:p>
    <w:p w:rsidR="00377B97" w:rsidRPr="009072DA" w:rsidRDefault="00377B97" w:rsidP="00377B97">
      <w:pPr>
        <w:pStyle w:val="ESch"/>
        <w:rPr>
          <w:lang w:val="bg-BG"/>
        </w:rPr>
      </w:pPr>
    </w:p>
    <w:p w:rsidR="00377B97" w:rsidRPr="009072DA" w:rsidRDefault="00377B97" w:rsidP="00377B97">
      <w:pPr>
        <w:pStyle w:val="ESch"/>
        <w:rPr>
          <w:lang w:val="bg-BG"/>
        </w:rPr>
      </w:pPr>
      <w:r w:rsidRPr="009072DA">
        <w:rPr>
          <w:lang w:val="bg-BG"/>
        </w:rPr>
        <w:t>9.</w:t>
      </w:r>
      <w:r w:rsidRPr="009072DA">
        <w:rPr>
          <w:lang w:val="bg-BG"/>
        </w:rPr>
        <w:tab/>
        <w:t>Моментът, породен от инерционните сили съгласно точка 4, буква и), се отчита в необходимата степен, в случай че движенията на товара и работното оборудване е вероятно да се отразят на устойчивостта.</w:t>
      </w:r>
    </w:p>
    <w:p w:rsidR="00377B97" w:rsidRPr="009072DA" w:rsidRDefault="00377B97" w:rsidP="00377B97">
      <w:pPr>
        <w:pStyle w:val="ESch"/>
        <w:rPr>
          <w:lang w:val="bg-BG"/>
        </w:rPr>
      </w:pPr>
    </w:p>
    <w:p w:rsidR="003D6C36" w:rsidRPr="009072DA" w:rsidRDefault="003D6C36" w:rsidP="00377B97">
      <w:pPr>
        <w:pStyle w:val="ESch"/>
        <w:rPr>
          <w:lang w:val="bg-BG"/>
        </w:rPr>
      </w:pPr>
      <w:r w:rsidRPr="009072DA">
        <w:rPr>
          <w:lang w:val="bg-BG"/>
        </w:rPr>
        <w:br w:type="page"/>
      </w:r>
    </w:p>
    <w:p w:rsidR="00377B97" w:rsidRPr="009072DA" w:rsidRDefault="00377B97" w:rsidP="00377B97">
      <w:pPr>
        <w:pStyle w:val="ESch"/>
        <w:rPr>
          <w:lang w:val="bg-BG"/>
        </w:rPr>
      </w:pPr>
      <w:r w:rsidRPr="009072DA">
        <w:rPr>
          <w:lang w:val="bg-BG"/>
        </w:rPr>
        <w:lastRenderedPageBreak/>
        <w:t>10.</w:t>
      </w:r>
      <w:r w:rsidRPr="009072DA">
        <w:rPr>
          <w:lang w:val="bg-BG"/>
        </w:rPr>
        <w:tab/>
        <w:t>Изправящите моменти за плаващи обекти с вертикални странични стени могат да се изчислят по следната формула</w:t>
      </w:r>
    </w:p>
    <w:p w:rsidR="003D6C36" w:rsidRPr="009072DA" w:rsidRDefault="003D6C36" w:rsidP="00377B97">
      <w:pPr>
        <w:pStyle w:val="ESch"/>
        <w:rPr>
          <w:lang w:val="bg-BG"/>
        </w:rPr>
      </w:pPr>
    </w:p>
    <w:p w:rsidR="000C41E0" w:rsidRPr="009072DA" w:rsidRDefault="002B712C" w:rsidP="00377B97">
      <w:pPr>
        <w:pStyle w:val="ESch"/>
        <w:rPr>
          <w:lang w:val="bg-BG"/>
        </w:rPr>
      </w:pPr>
      <m:oMathPara>
        <m:oMath>
          <m:sSub>
            <m:sSubPr>
              <m:ctrlPr>
                <w:rPr>
                  <w:rFonts w:ascii="Cambria Math" w:hAnsi="Cambria Math"/>
                  <w:i/>
                  <w:lang w:val="bg-BG"/>
                </w:rPr>
              </m:ctrlPr>
            </m:sSubPr>
            <m:e>
              <m:r>
                <w:rPr>
                  <w:rFonts w:ascii="Cambria Math" w:hAnsi="Cambria Math"/>
                  <w:lang w:val="bg-BG"/>
                </w:rPr>
                <m:t>M</m:t>
              </m:r>
            </m:e>
            <m:sub>
              <m:r>
                <w:rPr>
                  <w:rFonts w:ascii="Cambria Math" w:hAnsi="Cambria Math"/>
                  <w:lang w:val="bg-BG"/>
                </w:rPr>
                <m:t>R</m:t>
              </m:r>
            </m:sub>
          </m:sSub>
          <m:r>
            <w:rPr>
              <w:rFonts w:ascii="Cambria Math" w:hAnsi="Cambria Math"/>
              <w:lang w:val="bg-BG"/>
            </w:rPr>
            <m:t xml:space="preserve">=10 ∙D ∙ </m:t>
          </m:r>
          <m:acc>
            <m:accPr>
              <m:chr m:val="̅"/>
              <m:ctrlPr>
                <w:rPr>
                  <w:rFonts w:ascii="Cambria Math" w:hAnsi="Cambria Math"/>
                  <w:i/>
                  <w:lang w:val="bg-BG"/>
                </w:rPr>
              </m:ctrlPr>
            </m:accPr>
            <m:e>
              <m:r>
                <w:rPr>
                  <w:rFonts w:ascii="Cambria Math" w:hAnsi="Cambria Math"/>
                  <w:lang w:val="bg-BG"/>
                </w:rPr>
                <m:t>MG</m:t>
              </m:r>
            </m:e>
          </m:acc>
          <m:r>
            <w:rPr>
              <w:rFonts w:ascii="Cambria Math" w:hAnsi="Cambria Math"/>
              <w:lang w:val="bg-BG"/>
            </w:rPr>
            <m:t xml:space="preserve"> ∙ </m:t>
          </m:r>
          <m:func>
            <m:funcPr>
              <m:ctrlPr>
                <w:rPr>
                  <w:rFonts w:ascii="Cambria Math" w:hAnsi="Cambria Math"/>
                  <w:i/>
                  <w:lang w:val="bg-BG"/>
                </w:rPr>
              </m:ctrlPr>
            </m:funcPr>
            <m:fName>
              <m:r>
                <m:rPr>
                  <m:sty m:val="p"/>
                </m:rPr>
                <w:rPr>
                  <w:rFonts w:ascii="Cambria Math" w:hAnsi="Cambria Math"/>
                  <w:lang w:val="bg-BG"/>
                </w:rPr>
                <m:t>sin</m:t>
              </m:r>
            </m:fName>
            <m:e>
              <m:r>
                <w:rPr>
                  <w:rFonts w:ascii="Cambria Math" w:hAnsi="Cambria Math"/>
                  <w:lang w:val="bg-BG"/>
                </w:rPr>
                <m:t>φ</m:t>
              </m:r>
            </m:e>
          </m:func>
          <m:r>
            <w:rPr>
              <w:rFonts w:ascii="Cambria Math" w:hAnsi="Cambria Math"/>
              <w:lang w:val="bg-BG"/>
            </w:rPr>
            <m:t xml:space="preserve"> </m:t>
          </m:r>
          <m:d>
            <m:dPr>
              <m:begChr m:val="["/>
              <m:endChr m:val="]"/>
              <m:ctrlPr>
                <w:rPr>
                  <w:rFonts w:ascii="Cambria Math" w:hAnsi="Cambria Math"/>
                  <w:i/>
                  <w:lang w:val="bg-BG"/>
                </w:rPr>
              </m:ctrlPr>
            </m:dPr>
            <m:e>
              <m:r>
                <w:rPr>
                  <w:rFonts w:ascii="Cambria Math" w:hAnsi="Cambria Math"/>
                  <w:lang w:val="bg-BG"/>
                </w:rPr>
                <m:t>kNm</m:t>
              </m:r>
            </m:e>
          </m:d>
        </m:oMath>
      </m:oMathPara>
    </w:p>
    <w:p w:rsidR="003D6C36" w:rsidRPr="009072DA" w:rsidRDefault="003D6C36" w:rsidP="00377B97">
      <w:pPr>
        <w:pStyle w:val="ESch"/>
        <w:rPr>
          <w:lang w:val="bg-BG"/>
        </w:rPr>
      </w:pPr>
    </w:p>
    <w:p w:rsidR="00377B97" w:rsidRPr="009072DA" w:rsidRDefault="00377B97" w:rsidP="003D6C36">
      <w:pPr>
        <w:pStyle w:val="ESchpar"/>
        <w:rPr>
          <w:rFonts w:cs="Arial"/>
          <w:szCs w:val="18"/>
          <w:lang w:val="bg-BG"/>
        </w:rPr>
      </w:pPr>
      <w:r w:rsidRPr="009072DA">
        <w:rPr>
          <w:lang w:val="bg-BG"/>
        </w:rPr>
        <w:t>където:</w:t>
      </w:r>
    </w:p>
    <w:p w:rsidR="00377B97" w:rsidRPr="009072DA" w:rsidRDefault="002B712C" w:rsidP="003D6C36">
      <w:pPr>
        <w:pStyle w:val="ESlet"/>
        <w:tabs>
          <w:tab w:val="left" w:pos="1134"/>
        </w:tabs>
        <w:ind w:left="1560" w:hanging="993"/>
        <w:rPr>
          <w:lang w:val="bg-BG"/>
        </w:rPr>
      </w:pPr>
      <m:oMath>
        <m:acc>
          <m:accPr>
            <m:chr m:val="̅"/>
            <m:ctrlPr>
              <w:rPr>
                <w:rFonts w:ascii="Cambria Math" w:hAnsi="Cambria Math"/>
                <w:i/>
                <w:lang w:val="bg-BG"/>
              </w:rPr>
            </m:ctrlPr>
          </m:accPr>
          <m:e>
            <m:r>
              <w:rPr>
                <w:rFonts w:ascii="Cambria Math" w:hAnsi="Cambria Math"/>
                <w:lang w:val="bg-BG"/>
              </w:rPr>
              <m:t>MG</m:t>
            </m:r>
          </m:e>
        </m:acc>
      </m:oMath>
      <w:r w:rsidR="007B1046" w:rsidRPr="009072DA">
        <w:rPr>
          <w:lang w:val="bg-BG"/>
        </w:rPr>
        <w:tab/>
      </w:r>
      <w:r w:rsidR="007B1046" w:rsidRPr="009072DA">
        <w:rPr>
          <w:vertAlign w:val="superscript"/>
          <w:lang w:val="bg-BG"/>
        </w:rPr>
        <w:t xml:space="preserve"> </w:t>
      </w:r>
      <w:r w:rsidR="007B1046" w:rsidRPr="009072DA">
        <w:rPr>
          <w:lang w:val="bg-BG"/>
        </w:rPr>
        <w:t>=</w:t>
      </w:r>
      <w:r w:rsidR="007B1046" w:rsidRPr="009072DA">
        <w:rPr>
          <w:lang w:val="bg-BG"/>
        </w:rPr>
        <w:tab/>
        <w:t>метацентричната височина, в метри;</w:t>
      </w:r>
    </w:p>
    <w:p w:rsidR="00377B97" w:rsidRPr="009072DA" w:rsidRDefault="00377B97" w:rsidP="003D6C36">
      <w:pPr>
        <w:pStyle w:val="ESlet"/>
        <w:tabs>
          <w:tab w:val="left" w:pos="1134"/>
        </w:tabs>
        <w:ind w:left="1560" w:hanging="993"/>
        <w:rPr>
          <w:lang w:val="bg-BG"/>
        </w:rPr>
      </w:pPr>
      <m:oMath>
        <m:r>
          <w:rPr>
            <w:rFonts w:ascii="Cambria Math" w:hAnsi="Cambria Math"/>
            <w:i/>
            <w:lang w:val="bg-BG"/>
          </w:rPr>
          <w:sym w:font="Symbol" w:char="F06A"/>
        </m:r>
      </m:oMath>
      <w:r w:rsidRPr="009072DA">
        <w:rPr>
          <w:lang w:val="bg-BG"/>
        </w:rPr>
        <w:tab/>
        <w:t>=</w:t>
      </w:r>
      <w:r w:rsidRPr="009072DA">
        <w:rPr>
          <w:lang w:val="bg-BG"/>
        </w:rPr>
        <w:tab/>
        <w:t>ъгъла на крена (в градуси)</w:t>
      </w:r>
    </w:p>
    <w:p w:rsidR="003D6C36" w:rsidRPr="009072DA" w:rsidRDefault="003D6C36" w:rsidP="003D6C36">
      <w:pPr>
        <w:pStyle w:val="ESchpar"/>
        <w:rPr>
          <w:lang w:val="bg-BG"/>
        </w:rPr>
      </w:pPr>
    </w:p>
    <w:p w:rsidR="00377B97" w:rsidRPr="009072DA" w:rsidRDefault="00377B97" w:rsidP="003D6C36">
      <w:pPr>
        <w:pStyle w:val="ESchpar"/>
        <w:rPr>
          <w:rFonts w:cs="Arial"/>
          <w:szCs w:val="18"/>
          <w:lang w:val="bg-BG"/>
        </w:rPr>
      </w:pPr>
      <w:r w:rsidRPr="009072DA">
        <w:rPr>
          <w:lang w:val="bg-BG"/>
        </w:rPr>
        <w:t>Тази формула е валидна за ъгли на крен до 10° или до ъгъл на крен, съответстващ на потапяне на края на палубата или изплаване на края на дъното; меродавен е най-малкият ъгъл. Формулата може да се прилага за скосени стени до ъгли на крен от 5°; граничните стойности, посочени в точки 3 — 9, също се прилагат.</w:t>
      </w:r>
    </w:p>
    <w:p w:rsidR="003D6C36" w:rsidRPr="009072DA" w:rsidRDefault="003D6C36" w:rsidP="003D6C36">
      <w:pPr>
        <w:pStyle w:val="ESchpar"/>
        <w:rPr>
          <w:lang w:val="bg-BG"/>
        </w:rPr>
      </w:pPr>
    </w:p>
    <w:p w:rsidR="00377B97" w:rsidRPr="009072DA" w:rsidRDefault="00377B97" w:rsidP="003D6C36">
      <w:pPr>
        <w:pStyle w:val="ESchpar"/>
        <w:rPr>
          <w:rFonts w:cs="Arial"/>
          <w:szCs w:val="18"/>
          <w:lang w:val="bg-BG"/>
        </w:rPr>
      </w:pPr>
      <w:r w:rsidRPr="009072DA">
        <w:rPr>
          <w:lang w:val="bg-BG"/>
        </w:rPr>
        <w:t>Ако конкретната форма на плаващите обекти не позволява такова опростяване, се изискват кривите на рамото на изправящия момент съгласно точка 2, буква в).</w:t>
      </w:r>
    </w:p>
    <w:p w:rsidR="00377B97" w:rsidRPr="009072DA" w:rsidRDefault="00377B97" w:rsidP="008E7AC7">
      <w:pPr>
        <w:pStyle w:val="ESch"/>
        <w:rPr>
          <w:lang w:val="bg-BG"/>
        </w:rPr>
      </w:pPr>
    </w:p>
    <w:p w:rsidR="00377B97" w:rsidRPr="009072DA" w:rsidRDefault="00377B97" w:rsidP="008E7AC7">
      <w:pPr>
        <w:pStyle w:val="ESch"/>
        <w:rPr>
          <w:lang w:val="bg-BG"/>
        </w:rPr>
      </w:pPr>
    </w:p>
    <w:p w:rsidR="00377B97" w:rsidRPr="009072DA" w:rsidRDefault="00377B97" w:rsidP="00377B97">
      <w:pPr>
        <w:pStyle w:val="ES-Titre3"/>
        <w:rPr>
          <w:rFonts w:cs="Arial"/>
          <w:i/>
          <w:szCs w:val="18"/>
          <w:lang w:val="bg-BG"/>
        </w:rPr>
      </w:pPr>
      <w:bookmarkStart w:id="447" w:name="_Toc491854221"/>
      <w:bookmarkStart w:id="448" w:name="_Toc535827662"/>
      <w:r w:rsidRPr="009072DA">
        <w:rPr>
          <w:lang w:val="bg-BG"/>
        </w:rPr>
        <w:t>Член 22.08</w:t>
      </w:r>
      <w:r w:rsidRPr="009072DA">
        <w:rPr>
          <w:lang w:val="bg-BG"/>
        </w:rPr>
        <w:br/>
      </w:r>
      <w:r w:rsidRPr="009072DA">
        <w:rPr>
          <w:i/>
          <w:lang w:val="bg-BG"/>
        </w:rPr>
        <w:t>Потвърждаване на устойчивостта при намален остатъчен надводен борд</w:t>
      </w:r>
      <w:bookmarkEnd w:id="447"/>
      <w:bookmarkEnd w:id="448"/>
    </w:p>
    <w:p w:rsidR="00377B97" w:rsidRPr="009072DA" w:rsidRDefault="00377B97" w:rsidP="00377B97">
      <w:pPr>
        <w:pStyle w:val="ESch"/>
        <w:rPr>
          <w:lang w:val="bg-BG"/>
        </w:rPr>
      </w:pPr>
    </w:p>
    <w:p w:rsidR="00377B97" w:rsidRPr="009072DA" w:rsidRDefault="00377B97" w:rsidP="00377B97">
      <w:pPr>
        <w:pStyle w:val="ESgauche"/>
        <w:rPr>
          <w:rFonts w:cs="Arial"/>
          <w:noProof w:val="0"/>
          <w:szCs w:val="18"/>
          <w:lang w:val="bg-BG"/>
        </w:rPr>
      </w:pPr>
      <w:r w:rsidRPr="009072DA">
        <w:rPr>
          <w:noProof w:val="0"/>
          <w:lang w:val="bg-BG"/>
        </w:rPr>
        <w:t>Ако се използва намален остатъчен надводен борд съгласно член 22.05, точка 3, за всички експлоатационни условия трябва да се докаже, че:</w:t>
      </w:r>
    </w:p>
    <w:p w:rsidR="00377B97" w:rsidRPr="009072DA" w:rsidRDefault="005C7859" w:rsidP="003D6C36">
      <w:pPr>
        <w:pStyle w:val="ESletgauche"/>
        <w:rPr>
          <w:rFonts w:cs="Arial"/>
          <w:szCs w:val="18"/>
          <w:lang w:val="bg-BG"/>
        </w:rPr>
      </w:pPr>
      <w:r w:rsidRPr="009072DA">
        <w:rPr>
          <w:lang w:val="bg-BG"/>
        </w:rPr>
        <w:t>a)</w:t>
      </w:r>
      <w:r w:rsidRPr="009072DA">
        <w:rPr>
          <w:lang w:val="bg-BG"/>
        </w:rPr>
        <w:tab/>
        <w:t>след корекцията за откритите повърхности на течностите, метацентричната височина е не по-малко от 0,15 m;</w:t>
      </w:r>
    </w:p>
    <w:p w:rsidR="00377B97" w:rsidRPr="009072DA" w:rsidRDefault="005C7859" w:rsidP="003D6C36">
      <w:pPr>
        <w:pStyle w:val="ESletgauche"/>
        <w:rPr>
          <w:lang w:val="bg-BG"/>
        </w:rPr>
      </w:pPr>
      <w:r w:rsidRPr="009072DA">
        <w:rPr>
          <w:lang w:val="bg-BG"/>
        </w:rPr>
        <w:t>б)</w:t>
      </w:r>
      <w:r w:rsidRPr="009072DA">
        <w:rPr>
          <w:lang w:val="bg-BG"/>
        </w:rPr>
        <w:tab/>
        <w:t>за ъгли на крен между 0 и 30° е налице рамо на изправящия момент не по-малко от</w:t>
      </w:r>
    </w:p>
    <w:p w:rsidR="000A105C" w:rsidRPr="009072DA" w:rsidRDefault="000A105C" w:rsidP="003D6C36">
      <w:pPr>
        <w:pStyle w:val="ESletgauche"/>
        <w:rPr>
          <w:rFonts w:cs="Arial"/>
          <w:szCs w:val="18"/>
          <w:lang w:val="bg-BG"/>
        </w:rPr>
      </w:pPr>
      <m:oMathPara>
        <m:oMath>
          <m:r>
            <w:rPr>
              <w:rFonts w:ascii="Cambria Math" w:hAnsi="Cambria Math" w:cs="Arial"/>
              <w:szCs w:val="18"/>
              <w:lang w:val="bg-BG"/>
            </w:rPr>
            <m:t xml:space="preserve">h=0,30-0,28 ∙ </m:t>
          </m:r>
          <m:sSub>
            <m:sSubPr>
              <m:ctrlPr>
                <w:rPr>
                  <w:rFonts w:ascii="Cambria Math" w:hAnsi="Cambria Math" w:cs="Arial"/>
                  <w:i/>
                  <w:szCs w:val="18"/>
                  <w:lang w:val="bg-BG"/>
                </w:rPr>
              </m:ctrlPr>
            </m:sSubPr>
            <m:e>
              <m:r>
                <w:rPr>
                  <w:rFonts w:ascii="Cambria Math" w:hAnsi="Cambria Math" w:cs="Arial"/>
                  <w:szCs w:val="18"/>
                  <w:lang w:val="bg-BG"/>
                </w:rPr>
                <m:t>φ</m:t>
              </m:r>
            </m:e>
            <m:sub>
              <m:r>
                <w:rPr>
                  <w:rFonts w:ascii="Cambria Math" w:hAnsi="Cambria Math" w:cs="Arial"/>
                  <w:szCs w:val="18"/>
                  <w:lang w:val="bg-BG"/>
                </w:rPr>
                <m:t>n</m:t>
              </m:r>
            </m:sub>
          </m:sSub>
          <m:r>
            <w:rPr>
              <w:rFonts w:ascii="Cambria Math" w:hAnsi="Cambria Math" w:cs="Arial"/>
              <w:szCs w:val="18"/>
              <w:lang w:val="bg-BG"/>
            </w:rPr>
            <m:t xml:space="preserve"> </m:t>
          </m:r>
          <m:d>
            <m:dPr>
              <m:begChr m:val="["/>
              <m:endChr m:val="]"/>
              <m:ctrlPr>
                <w:rPr>
                  <w:rFonts w:ascii="Cambria Math" w:hAnsi="Cambria Math" w:cs="Arial"/>
                  <w:i/>
                  <w:szCs w:val="18"/>
                  <w:lang w:val="bg-BG"/>
                </w:rPr>
              </m:ctrlPr>
            </m:dPr>
            <m:e>
              <m:r>
                <w:rPr>
                  <w:rFonts w:ascii="Cambria Math" w:hAnsi="Cambria Math" w:cs="Arial"/>
                  <w:szCs w:val="18"/>
                  <w:lang w:val="bg-BG"/>
                </w:rPr>
                <m:t>m</m:t>
              </m:r>
            </m:e>
          </m:d>
        </m:oMath>
      </m:oMathPara>
    </w:p>
    <w:p w:rsidR="00377B97" w:rsidRPr="009072DA" w:rsidRDefault="002B712C" w:rsidP="003D6C36">
      <w:pPr>
        <w:pStyle w:val="ESletgauche"/>
        <w:ind w:left="993" w:hanging="426"/>
        <w:rPr>
          <w:rFonts w:cs="Arial"/>
          <w:szCs w:val="18"/>
          <w:lang w:val="bg-BG"/>
        </w:rPr>
      </w:pPr>
      <m:oMath>
        <m:sSub>
          <m:sSubPr>
            <m:ctrlPr>
              <w:rPr>
                <w:rFonts w:ascii="Cambria Math" w:hAnsi="Cambria Math"/>
                <w:i/>
                <w:lang w:val="bg-BG"/>
              </w:rPr>
            </m:ctrlPr>
          </m:sSubPr>
          <m:e>
            <m:r>
              <w:rPr>
                <w:rFonts w:ascii="Cambria Math" w:hAnsi="Cambria Math"/>
                <w:lang w:val="bg-BG"/>
              </w:rPr>
              <m:t>φ</m:t>
            </m:r>
          </m:e>
          <m:sub>
            <m:r>
              <w:rPr>
                <w:rFonts w:ascii="Cambria Math" w:hAnsi="Cambria Math"/>
                <w:lang w:val="bg-BG"/>
              </w:rPr>
              <m:t>n</m:t>
            </m:r>
          </m:sub>
        </m:sSub>
      </m:oMath>
      <w:r w:rsidR="007B1046" w:rsidRPr="009072DA">
        <w:rPr>
          <w:lang w:val="bg-BG"/>
        </w:rPr>
        <w:tab/>
        <w:t xml:space="preserve">е ъгълът на крен, от който кривата на рамото на изправящия момент показва отрицателни стойности (диапазон на устойчивостта);  той не е по-малък от 20° или 0,35 rad и не трябва да се въвежда във формулата като по-голяма стойност от 30° или 0,52 rad, приемайки radian (rad) (1° = 0,01745 rad) като единица на </w:t>
      </w:r>
      <m:oMath>
        <m:sSub>
          <m:sSubPr>
            <m:ctrlPr>
              <w:rPr>
                <w:rFonts w:ascii="Cambria Math" w:hAnsi="Cambria Math"/>
                <w:i/>
                <w:lang w:val="bg-BG"/>
              </w:rPr>
            </m:ctrlPr>
          </m:sSubPr>
          <m:e>
            <m:r>
              <w:rPr>
                <w:rFonts w:ascii="Cambria Math" w:hAnsi="Cambria Math"/>
                <w:lang w:val="bg-BG"/>
              </w:rPr>
              <m:t>φ</m:t>
            </m:r>
          </m:e>
          <m:sub>
            <m:r>
              <w:rPr>
                <w:rFonts w:ascii="Cambria Math" w:hAnsi="Cambria Math"/>
                <w:lang w:val="bg-BG"/>
              </w:rPr>
              <m:t>n</m:t>
            </m:r>
          </m:sub>
        </m:sSub>
      </m:oMath>
      <w:r w:rsidR="007B1046" w:rsidRPr="009072DA">
        <w:rPr>
          <w:lang w:val="bg-BG"/>
        </w:rPr>
        <w:t>;</w:t>
      </w:r>
    </w:p>
    <w:p w:rsidR="00377B97" w:rsidRPr="009072DA" w:rsidRDefault="005C7859" w:rsidP="003D6C36">
      <w:pPr>
        <w:pStyle w:val="ESletgauche"/>
        <w:rPr>
          <w:rFonts w:cs="Arial"/>
          <w:szCs w:val="18"/>
          <w:lang w:val="bg-BG"/>
        </w:rPr>
      </w:pPr>
      <w:r w:rsidRPr="009072DA">
        <w:rPr>
          <w:lang w:val="bg-BG"/>
        </w:rPr>
        <w:t>в)</w:t>
      </w:r>
      <w:r w:rsidRPr="009072DA">
        <w:rPr>
          <w:lang w:val="bg-BG"/>
        </w:rPr>
        <w:tab/>
        <w:t>сборът от ъгълите на диферента и крена не превишава 10°;</w:t>
      </w:r>
    </w:p>
    <w:p w:rsidR="00377B97" w:rsidRPr="009072DA" w:rsidRDefault="0029453D" w:rsidP="003D6C36">
      <w:pPr>
        <w:pStyle w:val="ESletgauche"/>
        <w:rPr>
          <w:rFonts w:cs="Arial"/>
          <w:szCs w:val="18"/>
          <w:lang w:val="bg-BG"/>
        </w:rPr>
      </w:pPr>
      <w:r w:rsidRPr="009072DA">
        <w:rPr>
          <w:lang w:val="bg-BG"/>
        </w:rPr>
        <w:t>г)</w:t>
      </w:r>
      <w:r w:rsidRPr="009072DA">
        <w:rPr>
          <w:lang w:val="bg-BG"/>
        </w:rPr>
        <w:tab/>
        <w:t>остава остатъчно разстояние на безопасност, отговарящо на изискванията на член 22.04;</w:t>
      </w:r>
    </w:p>
    <w:p w:rsidR="00377B97" w:rsidRPr="009072DA" w:rsidRDefault="0029453D" w:rsidP="003D6C36">
      <w:pPr>
        <w:pStyle w:val="ESletgauche"/>
        <w:rPr>
          <w:rFonts w:cs="Arial"/>
          <w:szCs w:val="18"/>
          <w:lang w:val="bg-BG"/>
        </w:rPr>
      </w:pPr>
      <w:r w:rsidRPr="009072DA">
        <w:rPr>
          <w:lang w:val="bg-BG"/>
        </w:rPr>
        <w:t>д)</w:t>
      </w:r>
      <w:r w:rsidRPr="009072DA">
        <w:rPr>
          <w:lang w:val="bg-BG"/>
        </w:rPr>
        <w:tab/>
        <w:t>остава остатъчен надводен борд от поне 0,05 m;</w:t>
      </w:r>
    </w:p>
    <w:p w:rsidR="00377B97" w:rsidRPr="009072DA" w:rsidRDefault="0029453D" w:rsidP="003D6C36">
      <w:pPr>
        <w:pStyle w:val="ESletgauche"/>
        <w:rPr>
          <w:lang w:val="bg-BG"/>
        </w:rPr>
      </w:pPr>
      <w:r w:rsidRPr="009072DA">
        <w:rPr>
          <w:lang w:val="bg-BG"/>
        </w:rPr>
        <w:lastRenderedPageBreak/>
        <w:t>е)</w:t>
      </w:r>
      <w:r w:rsidRPr="009072DA">
        <w:rPr>
          <w:lang w:val="bg-BG"/>
        </w:rPr>
        <w:tab/>
        <w:t>за ъгли на крен между 0 и 30° е налице остатъчно рамо на изправящия момент не по-малко от</w:t>
      </w:r>
    </w:p>
    <w:p w:rsidR="000A105C" w:rsidRPr="009072DA" w:rsidRDefault="000A105C" w:rsidP="000A105C">
      <w:pPr>
        <w:pStyle w:val="ESletgauche"/>
        <w:rPr>
          <w:rFonts w:cs="Arial"/>
          <w:szCs w:val="18"/>
          <w:lang w:val="bg-BG"/>
        </w:rPr>
      </w:pPr>
      <m:oMathPara>
        <m:oMath>
          <m:r>
            <w:rPr>
              <w:rFonts w:ascii="Cambria Math" w:hAnsi="Cambria Math" w:cs="Arial"/>
              <w:szCs w:val="18"/>
              <w:lang w:val="bg-BG"/>
            </w:rPr>
            <m:t xml:space="preserve">h=0,20-0,23 ∙ </m:t>
          </m:r>
          <m:sSub>
            <m:sSubPr>
              <m:ctrlPr>
                <w:rPr>
                  <w:rFonts w:ascii="Cambria Math" w:hAnsi="Cambria Math" w:cs="Arial"/>
                  <w:i/>
                  <w:szCs w:val="18"/>
                  <w:lang w:val="bg-BG"/>
                </w:rPr>
              </m:ctrlPr>
            </m:sSubPr>
            <m:e>
              <m:r>
                <w:rPr>
                  <w:rFonts w:ascii="Cambria Math" w:hAnsi="Cambria Math" w:cs="Arial"/>
                  <w:szCs w:val="18"/>
                  <w:lang w:val="bg-BG"/>
                </w:rPr>
                <m:t>φ</m:t>
              </m:r>
            </m:e>
            <m:sub>
              <m:r>
                <w:rPr>
                  <w:rFonts w:ascii="Cambria Math" w:hAnsi="Cambria Math" w:cs="Arial"/>
                  <w:szCs w:val="18"/>
                  <w:lang w:val="bg-BG"/>
                </w:rPr>
                <m:t>n</m:t>
              </m:r>
            </m:sub>
          </m:sSub>
          <m:r>
            <w:rPr>
              <w:rFonts w:ascii="Cambria Math" w:hAnsi="Cambria Math" w:cs="Arial"/>
              <w:szCs w:val="18"/>
              <w:lang w:val="bg-BG"/>
            </w:rPr>
            <m:t xml:space="preserve"> </m:t>
          </m:r>
          <m:d>
            <m:dPr>
              <m:begChr m:val="["/>
              <m:endChr m:val="]"/>
              <m:ctrlPr>
                <w:rPr>
                  <w:rFonts w:ascii="Cambria Math" w:hAnsi="Cambria Math" w:cs="Arial"/>
                  <w:i/>
                  <w:szCs w:val="18"/>
                  <w:lang w:val="bg-BG"/>
                </w:rPr>
              </m:ctrlPr>
            </m:dPr>
            <m:e>
              <m:r>
                <w:rPr>
                  <w:rFonts w:ascii="Cambria Math" w:hAnsi="Cambria Math" w:cs="Arial"/>
                  <w:szCs w:val="18"/>
                  <w:lang w:val="bg-BG"/>
                </w:rPr>
                <m:t>m</m:t>
              </m:r>
            </m:e>
          </m:d>
        </m:oMath>
      </m:oMathPara>
    </w:p>
    <w:p w:rsidR="00377B97" w:rsidRPr="009072DA" w:rsidRDefault="00377B97" w:rsidP="009615E1">
      <w:pPr>
        <w:pStyle w:val="ESlet"/>
        <w:ind w:left="567"/>
        <w:rPr>
          <w:szCs w:val="18"/>
          <w:lang w:val="bg-BG"/>
        </w:rPr>
      </w:pPr>
      <w:r w:rsidRPr="009072DA">
        <w:rPr>
          <w:lang w:val="bg-BG"/>
        </w:rPr>
        <w:t xml:space="preserve">където </w:t>
      </w:r>
      <m:oMath>
        <m:sSub>
          <m:sSubPr>
            <m:ctrlPr>
              <w:rPr>
                <w:rFonts w:ascii="Cambria Math" w:hAnsi="Cambria Math"/>
                <w:i/>
                <w:lang w:val="bg-BG"/>
              </w:rPr>
            </m:ctrlPr>
          </m:sSubPr>
          <m:e>
            <m:r>
              <w:rPr>
                <w:rFonts w:ascii="Cambria Math" w:hAnsi="Cambria Math"/>
                <w:lang w:val="bg-BG"/>
              </w:rPr>
              <m:t>φ</m:t>
            </m:r>
          </m:e>
          <m:sub>
            <m:r>
              <w:rPr>
                <w:rFonts w:ascii="Cambria Math" w:hAnsi="Cambria Math"/>
                <w:lang w:val="bg-BG"/>
              </w:rPr>
              <m:t>n</m:t>
            </m:r>
          </m:sub>
        </m:sSub>
      </m:oMath>
      <w:r w:rsidRPr="009072DA">
        <w:rPr>
          <w:lang w:val="bg-BG"/>
        </w:rPr>
        <w:t xml:space="preserve"> е ъгълът на крен, от който кривата на рамото на изправящия момент показва отрицателни стойности; той не трябва да се въвежда във формулата като по-голяма стойност от 30° или 0,52 rad.</w:t>
      </w:r>
    </w:p>
    <w:p w:rsidR="00C26EBD" w:rsidRPr="009072DA" w:rsidRDefault="00C26EBD" w:rsidP="00C26EBD">
      <w:pPr>
        <w:pStyle w:val="ESgauche"/>
        <w:rPr>
          <w:noProof w:val="0"/>
          <w:lang w:val="bg-BG"/>
        </w:rPr>
      </w:pPr>
    </w:p>
    <w:p w:rsidR="00377B97" w:rsidRPr="009072DA" w:rsidRDefault="00377B97" w:rsidP="00C26EBD">
      <w:pPr>
        <w:pStyle w:val="Esletgauchepar"/>
        <w:rPr>
          <w:szCs w:val="18"/>
        </w:rPr>
      </w:pPr>
      <w:r w:rsidRPr="009072DA">
        <w:t>Остатъчно рамо на изправящия момент означава максималната съществуваща разлика при 0 до 30° крен между кривата на рамото на изправящия момент и кривата на рамото на кренящия момент. Ако отвор към вътрешността на плавателния съд бъде достигнат от вода при ъгъл на крен по-малък от този, съответстващ на максималната разлика между кривите на моментите, под внимание се взема рамото, съответстващо на този ъгъл на крен.</w:t>
      </w:r>
    </w:p>
    <w:p w:rsidR="00377B97" w:rsidRPr="009072DA" w:rsidRDefault="00377B97" w:rsidP="00377B97">
      <w:pPr>
        <w:pStyle w:val="ESch"/>
        <w:rPr>
          <w:rFonts w:cs="Arial"/>
          <w:szCs w:val="18"/>
          <w:lang w:val="bg-BG"/>
        </w:rPr>
      </w:pPr>
    </w:p>
    <w:p w:rsidR="009615E1" w:rsidRPr="009072DA" w:rsidRDefault="009615E1" w:rsidP="00377B97">
      <w:pPr>
        <w:pStyle w:val="ESch"/>
        <w:rPr>
          <w:rFonts w:cs="Arial"/>
          <w:szCs w:val="18"/>
          <w:lang w:val="bg-BG"/>
        </w:rPr>
      </w:pPr>
      <w:r w:rsidRPr="009072DA">
        <w:rPr>
          <w:lang w:val="bg-BG"/>
        </w:rPr>
        <w:br w:type="page"/>
      </w:r>
    </w:p>
    <w:p w:rsidR="00377B97" w:rsidRPr="009072DA" w:rsidRDefault="00377B97" w:rsidP="00377B97">
      <w:pPr>
        <w:pStyle w:val="ES-Titre3"/>
        <w:rPr>
          <w:rFonts w:cs="Arial"/>
          <w:i/>
          <w:szCs w:val="18"/>
          <w:lang w:val="bg-BG"/>
        </w:rPr>
      </w:pPr>
      <w:bookmarkStart w:id="449" w:name="_Toc491854222"/>
      <w:bookmarkStart w:id="450" w:name="_Toc535827663"/>
      <w:r w:rsidRPr="009072DA">
        <w:rPr>
          <w:lang w:val="bg-BG"/>
        </w:rPr>
        <w:lastRenderedPageBreak/>
        <w:t>Член 22.09</w:t>
      </w:r>
      <w:r w:rsidRPr="009072DA">
        <w:rPr>
          <w:lang w:val="bg-BG"/>
        </w:rPr>
        <w:br/>
      </w:r>
      <w:r w:rsidRPr="009072DA">
        <w:rPr>
          <w:i/>
          <w:lang w:val="bg-BG"/>
        </w:rPr>
        <w:t>Марки и скали на газене</w:t>
      </w:r>
      <w:bookmarkEnd w:id="449"/>
      <w:bookmarkEnd w:id="450"/>
    </w:p>
    <w:p w:rsidR="00377B97" w:rsidRPr="009072DA" w:rsidRDefault="00377B97" w:rsidP="00377B97">
      <w:pPr>
        <w:pStyle w:val="ESch"/>
        <w:rPr>
          <w:lang w:val="bg-BG"/>
        </w:rPr>
      </w:pPr>
    </w:p>
    <w:p w:rsidR="00377B97" w:rsidRPr="009072DA" w:rsidRDefault="00377B97" w:rsidP="00377B97">
      <w:pPr>
        <w:pStyle w:val="ESgauche"/>
        <w:rPr>
          <w:rFonts w:cs="Arial"/>
          <w:noProof w:val="0"/>
          <w:szCs w:val="18"/>
          <w:lang w:val="bg-BG"/>
        </w:rPr>
      </w:pPr>
      <w:r w:rsidRPr="009072DA">
        <w:rPr>
          <w:noProof w:val="0"/>
          <w:lang w:val="bg-BG"/>
        </w:rPr>
        <w:t>Марките и скалите на газене се поставят съгласно членове 4.04 и 4.06.</w:t>
      </w:r>
    </w:p>
    <w:p w:rsidR="00377B97" w:rsidRPr="009072DA" w:rsidRDefault="00377B97" w:rsidP="00377B97">
      <w:pPr>
        <w:pStyle w:val="ESch"/>
        <w:rPr>
          <w:rFonts w:cs="Arial"/>
          <w:szCs w:val="18"/>
          <w:lang w:val="bg-BG"/>
        </w:rPr>
      </w:pPr>
    </w:p>
    <w:p w:rsidR="00377B97" w:rsidRPr="009072DA" w:rsidRDefault="00377B97" w:rsidP="00377B97">
      <w:pPr>
        <w:pStyle w:val="ESch"/>
        <w:rPr>
          <w:rFonts w:cs="Arial"/>
          <w:szCs w:val="18"/>
          <w:lang w:val="bg-BG"/>
        </w:rPr>
      </w:pPr>
    </w:p>
    <w:p w:rsidR="00377B97" w:rsidRPr="009072DA" w:rsidRDefault="00377B97" w:rsidP="00377B97">
      <w:pPr>
        <w:pStyle w:val="ES-Titre3"/>
        <w:rPr>
          <w:rFonts w:cs="Arial"/>
          <w:i/>
          <w:szCs w:val="18"/>
          <w:lang w:val="bg-BG"/>
        </w:rPr>
      </w:pPr>
      <w:bookmarkStart w:id="451" w:name="_Toc491854223"/>
      <w:bookmarkStart w:id="452" w:name="_Toc535827664"/>
      <w:r w:rsidRPr="009072DA">
        <w:rPr>
          <w:lang w:val="bg-BG"/>
        </w:rPr>
        <w:t>Член 22.10</w:t>
      </w:r>
      <w:r w:rsidRPr="009072DA">
        <w:rPr>
          <w:lang w:val="bg-BG"/>
        </w:rPr>
        <w:br/>
      </w:r>
      <w:r w:rsidRPr="009072DA">
        <w:rPr>
          <w:i/>
          <w:lang w:val="bg-BG"/>
        </w:rPr>
        <w:t>Плаващи съоръжения без потвърждение за устойчивост</w:t>
      </w:r>
      <w:bookmarkEnd w:id="451"/>
      <w:bookmarkEnd w:id="452"/>
    </w:p>
    <w:p w:rsidR="00377B97" w:rsidRPr="009072DA" w:rsidRDefault="00377B97" w:rsidP="00377B97">
      <w:pPr>
        <w:pStyle w:val="ESch"/>
        <w:rPr>
          <w:lang w:val="bg-BG"/>
        </w:rPr>
      </w:pPr>
    </w:p>
    <w:p w:rsidR="00377B97" w:rsidRPr="009072DA" w:rsidRDefault="00377B97" w:rsidP="00377B97">
      <w:pPr>
        <w:pStyle w:val="ESch"/>
        <w:rPr>
          <w:rFonts w:cs="Arial"/>
          <w:szCs w:val="18"/>
          <w:lang w:val="bg-BG"/>
        </w:rPr>
      </w:pPr>
      <w:r w:rsidRPr="009072DA">
        <w:rPr>
          <w:lang w:val="bg-BG"/>
        </w:rPr>
        <w:t>1.</w:t>
      </w:r>
      <w:r w:rsidRPr="009072DA">
        <w:rPr>
          <w:lang w:val="bg-BG"/>
        </w:rPr>
        <w:tab/>
        <w:t>Допуска се членове 22.04 — 22.08 да не се прилагат за плаващи съоръжения:</w:t>
      </w:r>
    </w:p>
    <w:p w:rsidR="00377B97" w:rsidRPr="009072DA" w:rsidRDefault="005C7859" w:rsidP="00377B97">
      <w:pPr>
        <w:pStyle w:val="ESlet"/>
        <w:rPr>
          <w:rFonts w:cs="Arial"/>
          <w:szCs w:val="18"/>
          <w:lang w:val="bg-BG"/>
        </w:rPr>
      </w:pPr>
      <w:r w:rsidRPr="009072DA">
        <w:rPr>
          <w:lang w:val="bg-BG"/>
        </w:rPr>
        <w:t>a)</w:t>
      </w:r>
      <w:r w:rsidRPr="009072DA">
        <w:rPr>
          <w:lang w:val="bg-BG"/>
        </w:rPr>
        <w:tab/>
        <w:t>чиито работни съоръжения не могат по никакъв начин да променят техния крен или диферент, и</w:t>
      </w:r>
    </w:p>
    <w:p w:rsidR="00377B97" w:rsidRPr="009072DA" w:rsidRDefault="005C7859" w:rsidP="00377B97">
      <w:pPr>
        <w:pStyle w:val="ESlet"/>
        <w:rPr>
          <w:rFonts w:cs="Arial"/>
          <w:szCs w:val="18"/>
          <w:lang w:val="bg-BG"/>
        </w:rPr>
      </w:pPr>
      <w:r w:rsidRPr="009072DA">
        <w:rPr>
          <w:lang w:val="bg-BG"/>
        </w:rPr>
        <w:t>б)</w:t>
      </w:r>
      <w:r w:rsidRPr="009072DA">
        <w:rPr>
          <w:lang w:val="bg-BG"/>
        </w:rPr>
        <w:tab/>
        <w:t>когато всяко изместване на центъра на тежестта може да бъде напълно изключено.</w:t>
      </w:r>
    </w:p>
    <w:p w:rsidR="00377B97" w:rsidRPr="009072DA" w:rsidRDefault="00377B97" w:rsidP="00377B97">
      <w:pPr>
        <w:pStyle w:val="ESch"/>
        <w:rPr>
          <w:lang w:val="bg-BG"/>
        </w:rPr>
      </w:pPr>
    </w:p>
    <w:p w:rsidR="00377B97" w:rsidRPr="009072DA" w:rsidRDefault="00377B97" w:rsidP="00377B97">
      <w:pPr>
        <w:pStyle w:val="ESch"/>
        <w:rPr>
          <w:lang w:val="bg-BG"/>
        </w:rPr>
      </w:pPr>
      <w:r w:rsidRPr="009072DA">
        <w:rPr>
          <w:lang w:val="bg-BG"/>
        </w:rPr>
        <w:t>2.</w:t>
      </w:r>
      <w:r w:rsidRPr="009072DA">
        <w:rPr>
          <w:lang w:val="bg-BG"/>
        </w:rPr>
        <w:tab/>
        <w:t>Все пак,</w:t>
      </w:r>
    </w:p>
    <w:p w:rsidR="00377B97" w:rsidRPr="009072DA" w:rsidRDefault="005C7859" w:rsidP="00377B97">
      <w:pPr>
        <w:pStyle w:val="ESlet"/>
        <w:rPr>
          <w:lang w:val="bg-BG"/>
        </w:rPr>
      </w:pPr>
      <w:r w:rsidRPr="009072DA">
        <w:rPr>
          <w:lang w:val="bg-BG"/>
        </w:rPr>
        <w:t>a)</w:t>
      </w:r>
      <w:r w:rsidRPr="009072DA">
        <w:rPr>
          <w:lang w:val="bg-BG"/>
        </w:rPr>
        <w:tab/>
        <w:t>при максимален товар разстоянието на безопасност трябва да е не по-малко от 300 mm, а надводният борд — най-малко 150 mm; и</w:t>
      </w:r>
    </w:p>
    <w:p w:rsidR="00377B97" w:rsidRPr="009072DA" w:rsidRDefault="005C7859" w:rsidP="00377B97">
      <w:pPr>
        <w:pStyle w:val="ESlet"/>
        <w:rPr>
          <w:lang w:val="bg-BG"/>
        </w:rPr>
      </w:pPr>
      <w:r w:rsidRPr="009072DA">
        <w:rPr>
          <w:lang w:val="bg-BG"/>
        </w:rPr>
        <w:t>б)</w:t>
      </w:r>
      <w:r w:rsidRPr="009072DA">
        <w:rPr>
          <w:lang w:val="bg-BG"/>
        </w:rPr>
        <w:tab/>
        <w:t>за отвори, които не могат да бъдат затворени така, че да са защитени от пръски и атмосферни въздействия, разстоянието на безопасност е не по-малко от 500 mm.</w:t>
      </w:r>
    </w:p>
    <w:p w:rsidR="00377B97" w:rsidRPr="009072DA" w:rsidRDefault="00377B97" w:rsidP="00973DAA">
      <w:pPr>
        <w:pStyle w:val="ESch"/>
        <w:rPr>
          <w:lang w:val="bg-BG"/>
        </w:rPr>
      </w:pPr>
    </w:p>
    <w:p w:rsidR="00377B97" w:rsidRPr="009072DA" w:rsidRDefault="00377B97" w:rsidP="00973DAA">
      <w:pPr>
        <w:pStyle w:val="ESch"/>
        <w:rPr>
          <w:lang w:val="bg-BG"/>
        </w:rPr>
      </w:pPr>
    </w:p>
    <w:p w:rsidR="00377B97" w:rsidRPr="009072DA" w:rsidRDefault="00377B97" w:rsidP="00973DAA">
      <w:pPr>
        <w:pStyle w:val="ESch"/>
        <w:rPr>
          <w:lang w:val="bg-BG"/>
        </w:rPr>
      </w:pPr>
    </w:p>
    <w:p w:rsidR="00377B97" w:rsidRPr="009072DA" w:rsidRDefault="00377B97" w:rsidP="00973DAA">
      <w:pPr>
        <w:pStyle w:val="ESch"/>
        <w:rPr>
          <w:lang w:val="bg-BG"/>
        </w:rPr>
      </w:pPr>
    </w:p>
    <w:p w:rsidR="00716655" w:rsidRPr="009072DA" w:rsidRDefault="00716655" w:rsidP="00716655">
      <w:pPr>
        <w:pStyle w:val="ES-Titre2"/>
        <w:rPr>
          <w:szCs w:val="24"/>
        </w:rPr>
      </w:pPr>
      <w:bookmarkStart w:id="453" w:name="_Toc491854224"/>
      <w:bookmarkStart w:id="454" w:name="_Toc535827665"/>
      <w:r w:rsidRPr="009072DA">
        <w:lastRenderedPageBreak/>
        <w:t>Глава 23</w:t>
      </w:r>
      <w:r w:rsidRPr="009072DA">
        <w:br/>
      </w:r>
      <w:r w:rsidRPr="009072DA">
        <w:rPr>
          <w:sz w:val="22"/>
        </w:rPr>
        <w:t>Специални разпоредби, приложими за плавателни работни средства</w:t>
      </w:r>
      <w:bookmarkEnd w:id="453"/>
      <w:bookmarkEnd w:id="454"/>
    </w:p>
    <w:p w:rsidR="00716655" w:rsidRPr="009072DA" w:rsidRDefault="00716655" w:rsidP="00716655">
      <w:pPr>
        <w:rPr>
          <w:lang w:val="bg-BG"/>
        </w:rPr>
      </w:pPr>
    </w:p>
    <w:p w:rsidR="00716655" w:rsidRPr="009072DA" w:rsidRDefault="00716655" w:rsidP="00716655">
      <w:pPr>
        <w:pStyle w:val="ES-Titre3"/>
        <w:rPr>
          <w:lang w:val="bg-BG"/>
        </w:rPr>
      </w:pPr>
      <w:bookmarkStart w:id="455" w:name="_Toc491854225"/>
      <w:bookmarkStart w:id="456" w:name="_Toc535827666"/>
      <w:r w:rsidRPr="009072DA">
        <w:rPr>
          <w:lang w:val="bg-BG"/>
        </w:rPr>
        <w:t>Член 23.01</w:t>
      </w:r>
      <w:r w:rsidRPr="009072DA">
        <w:rPr>
          <w:lang w:val="bg-BG"/>
        </w:rPr>
        <w:br/>
      </w:r>
      <w:r w:rsidRPr="009072DA">
        <w:rPr>
          <w:i/>
          <w:lang w:val="bg-BG"/>
        </w:rPr>
        <w:t>Условия за експлоатация</w:t>
      </w:r>
      <w:bookmarkEnd w:id="455"/>
      <w:bookmarkEnd w:id="456"/>
    </w:p>
    <w:p w:rsidR="00716655" w:rsidRPr="009072DA" w:rsidRDefault="00716655" w:rsidP="00716655">
      <w:pPr>
        <w:pStyle w:val="ESch"/>
        <w:rPr>
          <w:lang w:val="bg-BG"/>
        </w:rPr>
      </w:pPr>
    </w:p>
    <w:p w:rsidR="00716655" w:rsidRPr="009072DA" w:rsidRDefault="00716655" w:rsidP="00716655">
      <w:pPr>
        <w:pStyle w:val="ESgauche"/>
        <w:rPr>
          <w:noProof w:val="0"/>
          <w:lang w:val="bg-BG"/>
        </w:rPr>
      </w:pPr>
      <w:r w:rsidRPr="009072DA">
        <w:rPr>
          <w:noProof w:val="0"/>
          <w:lang w:val="bg-BG"/>
        </w:rPr>
        <w:t>Плавателните работни средства, определени като такива в удостоверението на плавателния съд за плаване по вътрешни водни пътища, могат да плават извън работните участъци само без товар. Това ограничение се вписва в удостоверението на плавателния съд за плаване по вътрешни водни пътища.</w:t>
      </w:r>
    </w:p>
    <w:p w:rsidR="00716655" w:rsidRPr="009072DA" w:rsidRDefault="00716655" w:rsidP="00716655">
      <w:pPr>
        <w:pStyle w:val="ESgauche"/>
        <w:rPr>
          <w:noProof w:val="0"/>
          <w:lang w:val="bg-BG"/>
        </w:rPr>
      </w:pPr>
    </w:p>
    <w:p w:rsidR="00716655" w:rsidRPr="009072DA" w:rsidRDefault="00716655" w:rsidP="00716655">
      <w:pPr>
        <w:pStyle w:val="ESgauche"/>
        <w:rPr>
          <w:noProof w:val="0"/>
          <w:lang w:val="bg-BG"/>
        </w:rPr>
      </w:pPr>
      <w:r w:rsidRPr="009072DA">
        <w:rPr>
          <w:noProof w:val="0"/>
          <w:lang w:val="bg-BG"/>
        </w:rPr>
        <w:t>За тази цел плавателните работни средства трябва да имат свидетелство, издадено от компетентния орган, посочващо времетраенето на работните дейности и географските граници на работния участък, в който плавателното средство може да се използва.</w:t>
      </w:r>
    </w:p>
    <w:p w:rsidR="00716655" w:rsidRPr="009072DA" w:rsidRDefault="00716655" w:rsidP="00716655">
      <w:pPr>
        <w:pStyle w:val="ESch"/>
        <w:rPr>
          <w:lang w:val="bg-BG"/>
        </w:rPr>
      </w:pPr>
    </w:p>
    <w:p w:rsidR="00716655" w:rsidRPr="009072DA" w:rsidRDefault="00716655" w:rsidP="00716655">
      <w:pPr>
        <w:pStyle w:val="ESch"/>
        <w:rPr>
          <w:lang w:val="bg-BG"/>
        </w:rPr>
      </w:pPr>
    </w:p>
    <w:p w:rsidR="00716655" w:rsidRPr="009072DA" w:rsidRDefault="00716655" w:rsidP="00716655">
      <w:pPr>
        <w:pStyle w:val="ES-Titre3"/>
        <w:rPr>
          <w:i/>
          <w:lang w:val="bg-BG"/>
        </w:rPr>
      </w:pPr>
      <w:bookmarkStart w:id="457" w:name="_Toc491854226"/>
      <w:bookmarkStart w:id="458" w:name="_Toc535827667"/>
      <w:r w:rsidRPr="009072DA">
        <w:rPr>
          <w:lang w:val="bg-BG"/>
        </w:rPr>
        <w:t>Член 23.02</w:t>
      </w:r>
      <w:r w:rsidRPr="009072DA">
        <w:rPr>
          <w:lang w:val="bg-BG"/>
        </w:rPr>
        <w:br/>
      </w:r>
      <w:r w:rsidRPr="009072DA">
        <w:rPr>
          <w:i/>
          <w:lang w:val="bg-BG"/>
        </w:rPr>
        <w:t>Прилагане на част II</w:t>
      </w:r>
      <w:bookmarkEnd w:id="457"/>
      <w:bookmarkEnd w:id="458"/>
    </w:p>
    <w:p w:rsidR="00716655" w:rsidRPr="009072DA" w:rsidRDefault="00716655" w:rsidP="00716655">
      <w:pPr>
        <w:pStyle w:val="ESgauche"/>
        <w:rPr>
          <w:noProof w:val="0"/>
          <w:lang w:val="bg-BG"/>
        </w:rPr>
      </w:pPr>
    </w:p>
    <w:p w:rsidR="00716655" w:rsidRPr="009072DA" w:rsidRDefault="00716655" w:rsidP="00716655">
      <w:pPr>
        <w:pStyle w:val="ESgauche"/>
        <w:rPr>
          <w:noProof w:val="0"/>
          <w:lang w:val="bg-BG"/>
        </w:rPr>
      </w:pPr>
      <w:r w:rsidRPr="009072DA">
        <w:rPr>
          <w:noProof w:val="0"/>
          <w:lang w:val="bg-BG"/>
        </w:rPr>
        <w:t>Освен ако в настоящата глава е предвидено друго, конструкцията и оборудването на плавателните работни средства трябва да са в съответствие с глави 3 — 17 от част II.</w:t>
      </w:r>
    </w:p>
    <w:p w:rsidR="00716655" w:rsidRPr="009072DA" w:rsidRDefault="00716655" w:rsidP="00716655">
      <w:pPr>
        <w:pStyle w:val="ESch"/>
        <w:rPr>
          <w:lang w:val="bg-BG"/>
        </w:rPr>
      </w:pPr>
    </w:p>
    <w:p w:rsidR="00716655" w:rsidRPr="009072DA" w:rsidRDefault="00716655" w:rsidP="00716655">
      <w:pPr>
        <w:pStyle w:val="ESch"/>
        <w:rPr>
          <w:lang w:val="bg-BG"/>
        </w:rPr>
      </w:pPr>
    </w:p>
    <w:p w:rsidR="00716655" w:rsidRPr="009072DA" w:rsidRDefault="00716655" w:rsidP="00716655">
      <w:pPr>
        <w:pStyle w:val="ES-Titre3"/>
        <w:rPr>
          <w:lang w:val="bg-BG"/>
        </w:rPr>
      </w:pPr>
      <w:bookmarkStart w:id="459" w:name="_Toc491854227"/>
      <w:bookmarkStart w:id="460" w:name="_Toc535827668"/>
      <w:r w:rsidRPr="009072DA">
        <w:rPr>
          <w:lang w:val="bg-BG"/>
        </w:rPr>
        <w:t>Член 23.03</w:t>
      </w:r>
      <w:r w:rsidRPr="009072DA">
        <w:rPr>
          <w:lang w:val="bg-BG"/>
        </w:rPr>
        <w:br/>
      </w:r>
      <w:r w:rsidRPr="009072DA">
        <w:rPr>
          <w:i/>
          <w:lang w:val="bg-BG"/>
        </w:rPr>
        <w:t>Изключения</w:t>
      </w:r>
      <w:bookmarkEnd w:id="459"/>
      <w:bookmarkEnd w:id="460"/>
    </w:p>
    <w:p w:rsidR="00716655" w:rsidRPr="009072DA" w:rsidRDefault="00716655" w:rsidP="00716655">
      <w:pPr>
        <w:pStyle w:val="ESch"/>
        <w:rPr>
          <w:lang w:val="bg-BG"/>
        </w:rPr>
      </w:pPr>
    </w:p>
    <w:p w:rsidR="00716655" w:rsidRPr="009072DA" w:rsidRDefault="00716655" w:rsidP="00716655">
      <w:pPr>
        <w:pStyle w:val="ESch"/>
        <w:tabs>
          <w:tab w:val="left" w:pos="567"/>
        </w:tabs>
        <w:ind w:left="993" w:hanging="993"/>
        <w:rPr>
          <w:lang w:val="bg-BG"/>
        </w:rPr>
      </w:pPr>
      <w:r w:rsidRPr="009072DA">
        <w:rPr>
          <w:lang w:val="bg-BG"/>
        </w:rPr>
        <w:t>1.</w:t>
      </w:r>
      <w:r w:rsidRPr="009072DA">
        <w:rPr>
          <w:lang w:val="bg-BG"/>
        </w:rPr>
        <w:tab/>
        <w:t>a)</w:t>
      </w:r>
      <w:r w:rsidRPr="009072DA">
        <w:rPr>
          <w:lang w:val="bg-BG"/>
        </w:rPr>
        <w:tab/>
        <w:t xml:space="preserve">член 3.03, точка 1 се прилага </w:t>
      </w:r>
      <w:r w:rsidRPr="009072DA">
        <w:rPr>
          <w:i/>
          <w:lang w:val="bg-BG"/>
        </w:rPr>
        <w:t>mutatis mutandis</w:t>
      </w:r>
      <w:r w:rsidRPr="009072DA">
        <w:rPr>
          <w:lang w:val="bg-BG"/>
        </w:rPr>
        <w:t>;</w:t>
      </w:r>
    </w:p>
    <w:p w:rsidR="00716655" w:rsidRPr="009072DA" w:rsidRDefault="005C7859" w:rsidP="00716655">
      <w:pPr>
        <w:pStyle w:val="ESlet"/>
        <w:rPr>
          <w:lang w:val="bg-BG"/>
        </w:rPr>
      </w:pPr>
      <w:r w:rsidRPr="009072DA">
        <w:rPr>
          <w:lang w:val="bg-BG"/>
        </w:rPr>
        <w:t>б)</w:t>
      </w:r>
      <w:r w:rsidRPr="009072DA">
        <w:rPr>
          <w:lang w:val="bg-BG"/>
        </w:rPr>
        <w:tab/>
        <w:t xml:space="preserve">глави 5 и 6 се прилагат </w:t>
      </w:r>
      <w:r w:rsidRPr="009072DA">
        <w:rPr>
          <w:i/>
          <w:lang w:val="bg-BG"/>
        </w:rPr>
        <w:t>mutatis mutandis</w:t>
      </w:r>
      <w:r w:rsidRPr="009072DA">
        <w:rPr>
          <w:lang w:val="bg-BG"/>
        </w:rPr>
        <w:t>, когато плавателното средство е самоходно;</w:t>
      </w:r>
    </w:p>
    <w:p w:rsidR="00716655" w:rsidRPr="009072DA" w:rsidRDefault="005C7859" w:rsidP="00716655">
      <w:pPr>
        <w:pStyle w:val="ESlet"/>
        <w:rPr>
          <w:lang w:val="bg-BG"/>
        </w:rPr>
      </w:pPr>
      <w:r w:rsidRPr="009072DA">
        <w:rPr>
          <w:lang w:val="bg-BG"/>
        </w:rPr>
        <w:t>в)</w:t>
      </w:r>
      <w:r w:rsidRPr="009072DA">
        <w:rPr>
          <w:lang w:val="bg-BG"/>
        </w:rPr>
        <w:tab/>
        <w:t xml:space="preserve">член 13.02, точка 2, букви a) и б) се прилагат </w:t>
      </w:r>
      <w:r w:rsidRPr="009072DA">
        <w:rPr>
          <w:i/>
          <w:lang w:val="bg-BG"/>
        </w:rPr>
        <w:t>mutatis mutandis</w:t>
      </w:r>
      <w:r w:rsidRPr="009072DA">
        <w:rPr>
          <w:lang w:val="bg-BG"/>
        </w:rPr>
        <w:t>;</w:t>
      </w:r>
    </w:p>
    <w:p w:rsidR="00EA03BA" w:rsidRPr="009072DA" w:rsidRDefault="0029453D" w:rsidP="00EA03BA">
      <w:pPr>
        <w:pStyle w:val="ESlet"/>
        <w:rPr>
          <w:rFonts w:cs="Arial"/>
          <w:szCs w:val="18"/>
          <w:lang w:val="bg-BG"/>
        </w:rPr>
      </w:pPr>
      <w:r w:rsidRPr="009072DA">
        <w:rPr>
          <w:lang w:val="bg-BG"/>
        </w:rPr>
        <w:t>г)</w:t>
      </w:r>
      <w:r w:rsidRPr="009072DA">
        <w:rPr>
          <w:lang w:val="bg-BG"/>
        </w:rPr>
        <w:tab/>
        <w:t>контролният орган може да разреши изключения от другите изисквания относно построяването, съоръжаването и оборудването, при условие че във всеки случай е осигурена равностойна безопасност.</w:t>
      </w:r>
    </w:p>
    <w:p w:rsidR="00716655" w:rsidRPr="009072DA" w:rsidRDefault="00716655" w:rsidP="00716655">
      <w:pPr>
        <w:pStyle w:val="ESch"/>
        <w:rPr>
          <w:lang w:val="bg-BG"/>
        </w:rPr>
      </w:pPr>
    </w:p>
    <w:p w:rsidR="00716655" w:rsidRPr="009072DA" w:rsidRDefault="00716655" w:rsidP="00716655">
      <w:pPr>
        <w:pStyle w:val="ESch"/>
        <w:rPr>
          <w:b/>
          <w:lang w:val="bg-BG"/>
        </w:rPr>
      </w:pPr>
      <w:r w:rsidRPr="009072DA">
        <w:rPr>
          <w:lang w:val="bg-BG"/>
        </w:rPr>
        <w:t>2.</w:t>
      </w:r>
      <w:r w:rsidRPr="009072DA">
        <w:rPr>
          <w:lang w:val="bg-BG"/>
        </w:rPr>
        <w:tab/>
        <w:t>Контролният орган може да разреши освобождаване от прилагане на следните разпоредби:</w:t>
      </w:r>
    </w:p>
    <w:p w:rsidR="00716655" w:rsidRPr="009072DA" w:rsidRDefault="005C7859" w:rsidP="00716655">
      <w:pPr>
        <w:pStyle w:val="ESlet"/>
        <w:rPr>
          <w:b/>
          <w:lang w:val="bg-BG"/>
        </w:rPr>
      </w:pPr>
      <w:r w:rsidRPr="009072DA">
        <w:rPr>
          <w:lang w:val="bg-BG"/>
        </w:rPr>
        <w:lastRenderedPageBreak/>
        <w:t>a)</w:t>
      </w:r>
      <w:r w:rsidRPr="009072DA">
        <w:rPr>
          <w:lang w:val="bg-BG"/>
        </w:rPr>
        <w:tab/>
        <w:t>член 8.08, точки 2 — 8, ако не е необходим екипаж;</w:t>
      </w:r>
    </w:p>
    <w:p w:rsidR="00716655" w:rsidRPr="009072DA" w:rsidRDefault="005C7859" w:rsidP="00716655">
      <w:pPr>
        <w:pStyle w:val="ESlet"/>
        <w:rPr>
          <w:lang w:val="bg-BG"/>
        </w:rPr>
      </w:pPr>
      <w:r w:rsidRPr="009072DA">
        <w:rPr>
          <w:lang w:val="bg-BG"/>
        </w:rPr>
        <w:t>б)</w:t>
      </w:r>
      <w:r w:rsidRPr="009072DA">
        <w:rPr>
          <w:lang w:val="bg-BG"/>
        </w:rPr>
        <w:tab/>
        <w:t xml:space="preserve">член 13.01, точки 1 и 3, ако плавателните работни средства могат да бъдат надеждно закотвени с работни котви или пилони. Самоходните плавателни работни средства обаче трябва да са оборудвани най-малко с една котва, която отговаря на изискванията на член 13.01, точка 1, при което емпиричният коефициент </w:t>
      </w:r>
      <m:oMath>
        <m:r>
          <w:rPr>
            <w:rFonts w:ascii="Cambria Math" w:hAnsi="Cambria Math"/>
            <w:lang w:val="bg-BG"/>
          </w:rPr>
          <m:t>k</m:t>
        </m:r>
      </m:oMath>
      <w:r w:rsidRPr="009072DA">
        <w:rPr>
          <w:lang w:val="bg-BG"/>
        </w:rPr>
        <w:t xml:space="preserve"> е равен на 45, а </w:t>
      </w:r>
      <m:oMath>
        <m:r>
          <w:rPr>
            <w:rFonts w:ascii="Cambria Math" w:hAnsi="Cambria Math"/>
            <w:lang w:val="bg-BG"/>
          </w:rPr>
          <m:t>T</m:t>
        </m:r>
      </m:oMath>
      <w:r w:rsidRPr="009072DA">
        <w:rPr>
          <w:lang w:val="bg-BG"/>
        </w:rPr>
        <w:t xml:space="preserve"> е равна на височината </w:t>
      </w:r>
      <m:oMath>
        <m:r>
          <w:rPr>
            <w:rFonts w:ascii="Cambria Math" w:hAnsi="Cambria Math"/>
            <w:lang w:val="bg-BG"/>
          </w:rPr>
          <m:t>H</m:t>
        </m:r>
      </m:oMath>
      <w:r w:rsidRPr="009072DA">
        <w:rPr>
          <w:lang w:val="bg-BG"/>
        </w:rPr>
        <w:t>;</w:t>
      </w:r>
    </w:p>
    <w:p w:rsidR="00716655" w:rsidRPr="009072DA" w:rsidRDefault="005C7859" w:rsidP="00716655">
      <w:pPr>
        <w:pStyle w:val="ESlet"/>
        <w:rPr>
          <w:lang w:val="bg-BG"/>
        </w:rPr>
      </w:pPr>
      <w:r w:rsidRPr="009072DA">
        <w:rPr>
          <w:lang w:val="bg-BG"/>
        </w:rPr>
        <w:t>в)</w:t>
      </w:r>
      <w:r w:rsidRPr="009072DA">
        <w:rPr>
          <w:lang w:val="bg-BG"/>
        </w:rPr>
        <w:tab/>
        <w:t>член 13.02, точка 1, буква в), ако плавателните работни средства не са самоходни.</w:t>
      </w:r>
    </w:p>
    <w:p w:rsidR="00716655" w:rsidRPr="009072DA" w:rsidRDefault="00716655" w:rsidP="00716655">
      <w:pPr>
        <w:pStyle w:val="ESch"/>
        <w:rPr>
          <w:lang w:val="bg-BG"/>
        </w:rPr>
      </w:pPr>
    </w:p>
    <w:p w:rsidR="00716655" w:rsidRPr="009072DA" w:rsidRDefault="00716655" w:rsidP="00716655">
      <w:pPr>
        <w:pStyle w:val="ESch"/>
        <w:rPr>
          <w:lang w:val="bg-BG"/>
        </w:rPr>
      </w:pPr>
    </w:p>
    <w:p w:rsidR="00716655" w:rsidRPr="009072DA" w:rsidRDefault="00716655" w:rsidP="00716655">
      <w:pPr>
        <w:pStyle w:val="ESch"/>
        <w:rPr>
          <w:lang w:val="bg-BG"/>
        </w:rPr>
      </w:pPr>
      <w:r w:rsidRPr="009072DA">
        <w:rPr>
          <w:lang w:val="bg-BG"/>
        </w:rPr>
        <w:br w:type="page"/>
      </w:r>
    </w:p>
    <w:p w:rsidR="00716655" w:rsidRPr="009072DA" w:rsidRDefault="00716655" w:rsidP="00716655">
      <w:pPr>
        <w:pStyle w:val="ES-Titre3"/>
        <w:rPr>
          <w:i/>
          <w:lang w:val="bg-BG"/>
        </w:rPr>
      </w:pPr>
      <w:bookmarkStart w:id="461" w:name="_Toc491854228"/>
      <w:bookmarkStart w:id="462" w:name="_Toc535827669"/>
      <w:r w:rsidRPr="009072DA">
        <w:rPr>
          <w:lang w:val="bg-BG"/>
        </w:rPr>
        <w:lastRenderedPageBreak/>
        <w:t>Член 23.04</w:t>
      </w:r>
      <w:r w:rsidRPr="009072DA">
        <w:rPr>
          <w:lang w:val="bg-BG"/>
        </w:rPr>
        <w:br/>
      </w:r>
      <w:r w:rsidRPr="009072DA">
        <w:rPr>
          <w:i/>
          <w:lang w:val="bg-BG"/>
        </w:rPr>
        <w:t>Разстояние на безопасност и надводен борд</w:t>
      </w:r>
      <w:bookmarkEnd w:id="461"/>
      <w:bookmarkEnd w:id="462"/>
    </w:p>
    <w:p w:rsidR="00716655" w:rsidRPr="009072DA" w:rsidRDefault="00716655" w:rsidP="00716655">
      <w:pPr>
        <w:pStyle w:val="ESch"/>
        <w:rPr>
          <w:lang w:val="bg-BG"/>
        </w:rPr>
      </w:pPr>
    </w:p>
    <w:p w:rsidR="00716655" w:rsidRPr="009072DA" w:rsidRDefault="00716655" w:rsidP="00716655">
      <w:pPr>
        <w:pStyle w:val="ESch"/>
        <w:rPr>
          <w:lang w:val="bg-BG"/>
        </w:rPr>
      </w:pPr>
      <w:r w:rsidRPr="009072DA">
        <w:rPr>
          <w:lang w:val="bg-BG"/>
        </w:rPr>
        <w:t>1.</w:t>
      </w:r>
      <w:r w:rsidRPr="009072DA">
        <w:rPr>
          <w:lang w:val="bg-BG"/>
        </w:rPr>
        <w:tab/>
        <w:t>Ако плавателно работно средство се използва като баржа за мелиорация или саморазтоварваща се баржа, разстоянието на безопасност извън трюмното пространство трябва да е не по-малко от 300 mm, а надводният борд — не по-малък от 150 mm. Контролният орган има право да разреши по-малък надводен борд, ако бъде доказано чрез изчисления, че устойчивостта е достатъчна за товар с относително тегло от 1,5 t/m</w:t>
      </w:r>
      <w:r w:rsidRPr="009072DA">
        <w:rPr>
          <w:vertAlign w:val="superscript"/>
          <w:lang w:val="bg-BG"/>
        </w:rPr>
        <w:t>3</w:t>
      </w:r>
      <w:r w:rsidRPr="009072DA">
        <w:rPr>
          <w:lang w:val="bg-BG"/>
        </w:rPr>
        <w:t xml:space="preserve"> и че никоя страна на палубата не достига водата. Влиянието на течните товари трябва да се взема под внимание.</w:t>
      </w:r>
    </w:p>
    <w:p w:rsidR="00716655" w:rsidRPr="009072DA" w:rsidRDefault="00716655" w:rsidP="00716655">
      <w:pPr>
        <w:pStyle w:val="ESch"/>
        <w:rPr>
          <w:lang w:val="bg-BG"/>
        </w:rPr>
      </w:pPr>
    </w:p>
    <w:p w:rsidR="00716655" w:rsidRPr="009072DA" w:rsidRDefault="00716655" w:rsidP="00716655">
      <w:pPr>
        <w:pStyle w:val="ESch"/>
        <w:rPr>
          <w:lang w:val="bg-BG"/>
        </w:rPr>
      </w:pPr>
      <w:r w:rsidRPr="009072DA">
        <w:rPr>
          <w:lang w:val="bg-BG"/>
        </w:rPr>
        <w:t>2.</w:t>
      </w:r>
      <w:r w:rsidRPr="009072DA">
        <w:rPr>
          <w:lang w:val="bg-BG"/>
        </w:rPr>
        <w:tab/>
        <w:t xml:space="preserve">Разпоредбите на членове 4.01 и 4.02 се прилагат </w:t>
      </w:r>
      <w:r w:rsidRPr="009072DA">
        <w:rPr>
          <w:i/>
          <w:lang w:val="bg-BG"/>
        </w:rPr>
        <w:t>mutatis mutandis</w:t>
      </w:r>
      <w:r w:rsidRPr="009072DA">
        <w:rPr>
          <w:lang w:val="bg-BG"/>
        </w:rPr>
        <w:t xml:space="preserve"> за плавателните работни средства, които не са обхванати от точка 1. Контролният орган има право да определи стойности за разстоянието на безопасност и надводен борд, различни от горните.</w:t>
      </w:r>
    </w:p>
    <w:p w:rsidR="00716655" w:rsidRPr="009072DA" w:rsidRDefault="00716655" w:rsidP="00716655">
      <w:pPr>
        <w:pStyle w:val="ESch"/>
        <w:rPr>
          <w:lang w:val="bg-BG"/>
        </w:rPr>
      </w:pPr>
    </w:p>
    <w:p w:rsidR="00716655" w:rsidRPr="009072DA" w:rsidRDefault="00716655" w:rsidP="00716655">
      <w:pPr>
        <w:pStyle w:val="ESch"/>
        <w:rPr>
          <w:lang w:val="bg-BG"/>
        </w:rPr>
      </w:pPr>
    </w:p>
    <w:p w:rsidR="00716655" w:rsidRPr="009072DA" w:rsidRDefault="00716655" w:rsidP="00716655">
      <w:pPr>
        <w:pStyle w:val="ES-Titre3"/>
        <w:rPr>
          <w:lang w:val="bg-BG"/>
        </w:rPr>
      </w:pPr>
      <w:bookmarkStart w:id="463" w:name="_Toc491854229"/>
      <w:bookmarkStart w:id="464" w:name="_Toc535827670"/>
      <w:r w:rsidRPr="009072DA">
        <w:rPr>
          <w:lang w:val="bg-BG"/>
        </w:rPr>
        <w:t>Член 23.05</w:t>
      </w:r>
      <w:r w:rsidRPr="009072DA">
        <w:rPr>
          <w:lang w:val="bg-BG"/>
        </w:rPr>
        <w:br/>
      </w:r>
      <w:r w:rsidRPr="009072DA">
        <w:rPr>
          <w:i/>
          <w:lang w:val="bg-BG"/>
        </w:rPr>
        <w:t>Корабни лодки</w:t>
      </w:r>
      <w:bookmarkEnd w:id="463"/>
      <w:bookmarkEnd w:id="464"/>
    </w:p>
    <w:p w:rsidR="00716655" w:rsidRPr="009072DA" w:rsidRDefault="00716655" w:rsidP="00716655">
      <w:pPr>
        <w:pStyle w:val="ESch"/>
        <w:rPr>
          <w:lang w:val="bg-BG"/>
        </w:rPr>
      </w:pPr>
    </w:p>
    <w:p w:rsidR="00716655" w:rsidRPr="009072DA" w:rsidRDefault="00716655" w:rsidP="00716655">
      <w:pPr>
        <w:pStyle w:val="ESgauche"/>
        <w:rPr>
          <w:noProof w:val="0"/>
          <w:lang w:val="bg-BG"/>
        </w:rPr>
      </w:pPr>
      <w:r w:rsidRPr="009072DA">
        <w:rPr>
          <w:noProof w:val="0"/>
          <w:lang w:val="bg-BG"/>
        </w:rPr>
        <w:t>Не се изисква плавателни работни средства да имат корабна лодка, когато:</w:t>
      </w:r>
    </w:p>
    <w:p w:rsidR="00716655" w:rsidRPr="009072DA" w:rsidRDefault="005C7859" w:rsidP="00716655">
      <w:pPr>
        <w:pStyle w:val="ESletgauche"/>
        <w:rPr>
          <w:lang w:val="bg-BG"/>
        </w:rPr>
      </w:pPr>
      <w:r w:rsidRPr="009072DA">
        <w:rPr>
          <w:lang w:val="bg-BG"/>
        </w:rPr>
        <w:t>a)</w:t>
      </w:r>
      <w:r w:rsidRPr="009072DA">
        <w:rPr>
          <w:lang w:val="bg-BG"/>
        </w:rPr>
        <w:tab/>
        <w:t>те не са самоходни, или</w:t>
      </w:r>
    </w:p>
    <w:p w:rsidR="00716655" w:rsidRPr="009072DA" w:rsidRDefault="005C7859" w:rsidP="00716655">
      <w:pPr>
        <w:pStyle w:val="ESletgauche"/>
        <w:rPr>
          <w:lang w:val="bg-BG"/>
        </w:rPr>
      </w:pPr>
      <w:r w:rsidRPr="009072DA">
        <w:rPr>
          <w:lang w:val="bg-BG"/>
        </w:rPr>
        <w:t>б)</w:t>
      </w:r>
      <w:r w:rsidRPr="009072DA">
        <w:rPr>
          <w:lang w:val="bg-BG"/>
        </w:rPr>
        <w:tab/>
        <w:t>има корабна лодка на друго място в работния участък.</w:t>
      </w:r>
    </w:p>
    <w:p w:rsidR="00716655" w:rsidRPr="009072DA" w:rsidRDefault="00716655" w:rsidP="00716655">
      <w:pPr>
        <w:pStyle w:val="ESch"/>
        <w:rPr>
          <w:lang w:val="bg-BG"/>
        </w:rPr>
      </w:pPr>
    </w:p>
    <w:p w:rsidR="00716655" w:rsidRPr="009072DA" w:rsidRDefault="00716655" w:rsidP="00716655">
      <w:pPr>
        <w:pStyle w:val="ESgauche"/>
        <w:rPr>
          <w:noProof w:val="0"/>
          <w:lang w:val="bg-BG"/>
        </w:rPr>
      </w:pPr>
      <w:r w:rsidRPr="009072DA">
        <w:rPr>
          <w:noProof w:val="0"/>
          <w:lang w:val="bg-BG"/>
        </w:rPr>
        <w:t>Това изключение се вписва в удостоверението на плавателния съд за плаване по вътрешни водни пътища.</w:t>
      </w:r>
    </w:p>
    <w:p w:rsidR="00716655" w:rsidRPr="009072DA" w:rsidRDefault="00716655" w:rsidP="00973DAA">
      <w:pPr>
        <w:pStyle w:val="ESch"/>
        <w:rPr>
          <w:lang w:val="bg-BG"/>
        </w:rPr>
      </w:pPr>
    </w:p>
    <w:p w:rsidR="00AE3F86" w:rsidRPr="009072DA" w:rsidRDefault="00AE3F86" w:rsidP="00973DAA">
      <w:pPr>
        <w:pStyle w:val="ESch"/>
        <w:rPr>
          <w:lang w:val="bg-BG"/>
        </w:rPr>
      </w:pPr>
    </w:p>
    <w:p w:rsidR="00AE3F86" w:rsidRPr="009072DA" w:rsidRDefault="00AE3F86" w:rsidP="00973DAA">
      <w:pPr>
        <w:pStyle w:val="ESch"/>
        <w:rPr>
          <w:lang w:val="bg-BG"/>
        </w:rPr>
      </w:pPr>
    </w:p>
    <w:p w:rsidR="00AE3F86" w:rsidRPr="009072DA" w:rsidRDefault="00AE3F86" w:rsidP="00973DAA">
      <w:pPr>
        <w:pStyle w:val="ESch"/>
        <w:rPr>
          <w:lang w:val="bg-BG"/>
        </w:rPr>
      </w:pPr>
    </w:p>
    <w:p w:rsidR="00716655" w:rsidRPr="009072DA" w:rsidRDefault="00716655" w:rsidP="00973DAA">
      <w:pPr>
        <w:pStyle w:val="ESch"/>
        <w:rPr>
          <w:lang w:val="bg-BG"/>
        </w:rPr>
      </w:pPr>
    </w:p>
    <w:p w:rsidR="00AE3F86" w:rsidRPr="009072DA" w:rsidRDefault="00AE3F86" w:rsidP="00AE3F86">
      <w:pPr>
        <w:pStyle w:val="ES-Titre2"/>
        <w:rPr>
          <w:szCs w:val="24"/>
        </w:rPr>
      </w:pPr>
      <w:bookmarkStart w:id="465" w:name="_Toc491854230"/>
      <w:bookmarkStart w:id="466" w:name="_Toc535827671"/>
      <w:r w:rsidRPr="009072DA">
        <w:lastRenderedPageBreak/>
        <w:t>Глава 24</w:t>
      </w:r>
      <w:r w:rsidRPr="009072DA">
        <w:br/>
      </w:r>
      <w:r w:rsidRPr="009072DA">
        <w:rPr>
          <w:sz w:val="22"/>
        </w:rPr>
        <w:t>Специални разпоредби, приложими за традиционните плавателни съдове</w:t>
      </w:r>
      <w:bookmarkEnd w:id="465"/>
      <w:bookmarkEnd w:id="466"/>
    </w:p>
    <w:p w:rsidR="00AE3F86" w:rsidRPr="009072DA" w:rsidRDefault="00AE3F86" w:rsidP="00973DAA">
      <w:pPr>
        <w:pStyle w:val="ESch"/>
        <w:rPr>
          <w:lang w:val="bg-BG"/>
        </w:rPr>
      </w:pPr>
    </w:p>
    <w:p w:rsidR="00221291" w:rsidRPr="009072DA" w:rsidRDefault="00221291" w:rsidP="006B6215">
      <w:pPr>
        <w:pStyle w:val="ES-Titre3"/>
        <w:rPr>
          <w:rFonts w:cs="Arial"/>
          <w:i/>
          <w:lang w:val="bg-BG"/>
        </w:rPr>
      </w:pPr>
      <w:bookmarkStart w:id="467" w:name="_Toc491854231"/>
      <w:bookmarkStart w:id="468" w:name="_Toc535827672"/>
      <w:r w:rsidRPr="009072DA">
        <w:rPr>
          <w:lang w:val="bg-BG"/>
        </w:rPr>
        <w:t>Член 24.01</w:t>
      </w:r>
      <w:r w:rsidRPr="009072DA">
        <w:rPr>
          <w:lang w:val="bg-BG"/>
        </w:rPr>
        <w:br/>
      </w:r>
      <w:r w:rsidRPr="009072DA">
        <w:rPr>
          <w:i/>
          <w:lang w:val="bg-BG"/>
        </w:rPr>
        <w:t>Прилагане на части II и III</w:t>
      </w:r>
      <w:bookmarkEnd w:id="467"/>
      <w:bookmarkEnd w:id="468"/>
      <w:r w:rsidRPr="009072DA">
        <w:rPr>
          <w:i/>
          <w:lang w:val="bg-BG"/>
        </w:rPr>
        <w:t xml:space="preserve"> </w:t>
      </w:r>
    </w:p>
    <w:p w:rsidR="00221291" w:rsidRPr="009072DA" w:rsidRDefault="00221291" w:rsidP="006B6215">
      <w:pPr>
        <w:pStyle w:val="ESch"/>
        <w:rPr>
          <w:lang w:val="bg-BG"/>
        </w:rPr>
      </w:pPr>
    </w:p>
    <w:p w:rsidR="00221291" w:rsidRPr="009072DA" w:rsidRDefault="00221291" w:rsidP="006B6215">
      <w:pPr>
        <w:pStyle w:val="ESch"/>
        <w:rPr>
          <w:lang w:val="bg-BG"/>
        </w:rPr>
      </w:pPr>
      <w:r w:rsidRPr="009072DA">
        <w:rPr>
          <w:lang w:val="bg-BG"/>
        </w:rPr>
        <w:t>1.</w:t>
      </w:r>
      <w:r w:rsidRPr="009072DA">
        <w:rPr>
          <w:lang w:val="bg-BG"/>
        </w:rPr>
        <w:tab/>
        <w:t>Традиционните плавателни съдове трябва да се строят в съответствие с добрата корабостроителна практика при спазване на техническите условия на избрания исторически период.</w:t>
      </w:r>
    </w:p>
    <w:p w:rsidR="00221291" w:rsidRPr="009072DA" w:rsidRDefault="00221291" w:rsidP="006B6215">
      <w:pPr>
        <w:pStyle w:val="ESch"/>
        <w:rPr>
          <w:lang w:val="bg-BG"/>
        </w:rPr>
      </w:pPr>
    </w:p>
    <w:p w:rsidR="00221291" w:rsidRPr="009072DA" w:rsidRDefault="00221291" w:rsidP="006B6215">
      <w:pPr>
        <w:pStyle w:val="ESchpar"/>
        <w:rPr>
          <w:lang w:val="bg-BG"/>
        </w:rPr>
      </w:pPr>
      <w:r w:rsidRPr="009072DA">
        <w:rPr>
          <w:lang w:val="bg-BG"/>
        </w:rPr>
        <w:t>Състоянието на корабната конструкция, съоръженията и оборудването на традиционните плавателни съдове трябва да са поне в съответствие с националните разпоредби на държавата членка, в която традиционният плавателен съд е бил експлоатиран към избраната историческа дата.</w:t>
      </w:r>
    </w:p>
    <w:p w:rsidR="00221291" w:rsidRPr="009072DA" w:rsidRDefault="00221291" w:rsidP="006B6215">
      <w:pPr>
        <w:pStyle w:val="ESch"/>
        <w:rPr>
          <w:lang w:val="bg-BG"/>
        </w:rPr>
      </w:pPr>
    </w:p>
    <w:p w:rsidR="00221291" w:rsidRPr="009072DA" w:rsidRDefault="00221291" w:rsidP="006B6215">
      <w:pPr>
        <w:pStyle w:val="ESch"/>
        <w:rPr>
          <w:lang w:val="bg-BG"/>
        </w:rPr>
      </w:pPr>
      <w:r w:rsidRPr="009072DA">
        <w:rPr>
          <w:lang w:val="bg-BG"/>
        </w:rPr>
        <w:t>2.</w:t>
      </w:r>
      <w:r w:rsidRPr="009072DA">
        <w:rPr>
          <w:lang w:val="bg-BG"/>
        </w:rPr>
        <w:tab/>
        <w:t>Всички съставни части, съоръжения и оборудване, които не са съответстват на корабостроителна практика, съоръженията и оборудването от избрания период, трябва да отговарят на всички приложими разпоредби на части II и III на настоящия стандарт.</w:t>
      </w:r>
    </w:p>
    <w:p w:rsidR="00221291" w:rsidRPr="009072DA" w:rsidRDefault="00221291" w:rsidP="006B6215">
      <w:pPr>
        <w:pStyle w:val="ESch"/>
        <w:rPr>
          <w:lang w:val="bg-BG"/>
        </w:rPr>
      </w:pPr>
    </w:p>
    <w:p w:rsidR="00221291" w:rsidRPr="009072DA" w:rsidRDefault="00221291" w:rsidP="006B6215">
      <w:pPr>
        <w:pStyle w:val="ESch"/>
        <w:rPr>
          <w:lang w:val="bg-BG"/>
        </w:rPr>
      </w:pPr>
      <w:r w:rsidRPr="009072DA">
        <w:rPr>
          <w:lang w:val="bg-BG"/>
        </w:rPr>
        <w:t>3.</w:t>
      </w:r>
      <w:r w:rsidRPr="009072DA">
        <w:rPr>
          <w:lang w:val="bg-BG"/>
        </w:rPr>
        <w:tab/>
        <w:t>В случай на отклонение от приложимите понастоящем разпоредби на настоящия стандарт, контролният орган трябва да определи като компенсация, равностойно ниво на безопасност, като се съобрази с техническото функциониране на традиционния плавателен съд, ка</w:t>
      </w:r>
      <w:r w:rsidR="00925FA7">
        <w:rPr>
          <w:lang w:val="bg-BG"/>
        </w:rPr>
        <w:t>кто и начина, по който той изгл</w:t>
      </w:r>
      <w:r w:rsidRPr="009072DA">
        <w:rPr>
          <w:lang w:val="bg-BG"/>
        </w:rPr>
        <w:t>ежда. Тези отклонения са допустими само когато са необходими за запазването на историческия характер на плавателното средство.</w:t>
      </w:r>
    </w:p>
    <w:p w:rsidR="00221291" w:rsidRPr="009072DA" w:rsidRDefault="00221291" w:rsidP="006B6215">
      <w:pPr>
        <w:pStyle w:val="ESch"/>
        <w:rPr>
          <w:rFonts w:cs="Arial"/>
          <w:szCs w:val="20"/>
          <w:lang w:val="bg-BG"/>
        </w:rPr>
      </w:pPr>
    </w:p>
    <w:p w:rsidR="00221291" w:rsidRPr="009072DA" w:rsidRDefault="00221291" w:rsidP="00221291">
      <w:pPr>
        <w:rPr>
          <w:rFonts w:cs="Arial"/>
          <w:color w:val="000000"/>
          <w:szCs w:val="20"/>
          <w:lang w:val="bg-BG"/>
        </w:rPr>
      </w:pPr>
    </w:p>
    <w:p w:rsidR="00221291" w:rsidRPr="009072DA" w:rsidRDefault="00221291" w:rsidP="006B6215">
      <w:pPr>
        <w:pStyle w:val="ES-Titre3"/>
        <w:rPr>
          <w:rFonts w:cs="Arial"/>
          <w:i/>
          <w:lang w:val="bg-BG"/>
        </w:rPr>
      </w:pPr>
      <w:bookmarkStart w:id="469" w:name="_Toc491854232"/>
      <w:bookmarkStart w:id="470" w:name="_Toc535827673"/>
      <w:r w:rsidRPr="009072DA">
        <w:rPr>
          <w:lang w:val="bg-BG"/>
        </w:rPr>
        <w:t>Член 24.02</w:t>
      </w:r>
      <w:r w:rsidRPr="009072DA">
        <w:rPr>
          <w:lang w:val="bg-BG"/>
        </w:rPr>
        <w:br/>
      </w:r>
      <w:r w:rsidRPr="009072DA">
        <w:rPr>
          <w:i/>
          <w:lang w:val="bg-BG"/>
        </w:rPr>
        <w:t>Признаване и вписване в удостоверението на плавателния съд за плаване по вътрешни водни пътища</w:t>
      </w:r>
      <w:bookmarkEnd w:id="469"/>
      <w:bookmarkEnd w:id="470"/>
    </w:p>
    <w:p w:rsidR="00221291" w:rsidRPr="009072DA" w:rsidRDefault="00221291" w:rsidP="00221291">
      <w:pPr>
        <w:widowControl w:val="0"/>
        <w:spacing w:line="240" w:lineRule="exact"/>
        <w:jc w:val="center"/>
        <w:rPr>
          <w:rFonts w:cs="Arial"/>
          <w:color w:val="000000"/>
          <w:szCs w:val="20"/>
          <w:lang w:val="bg-BG"/>
        </w:rPr>
      </w:pPr>
    </w:p>
    <w:p w:rsidR="00221291" w:rsidRPr="009072DA" w:rsidRDefault="00221291" w:rsidP="00221291">
      <w:pPr>
        <w:pStyle w:val="ESch"/>
        <w:rPr>
          <w:highlight w:val="lightGray"/>
          <w:lang w:val="bg-BG"/>
        </w:rPr>
      </w:pPr>
      <w:r w:rsidRPr="009072DA">
        <w:rPr>
          <w:lang w:val="bg-BG"/>
        </w:rPr>
        <w:t>1.</w:t>
      </w:r>
      <w:r w:rsidRPr="009072DA">
        <w:rPr>
          <w:lang w:val="bg-BG"/>
        </w:rPr>
        <w:tab/>
        <w:t>Признаването на даден плавателен съд като традиционен изисква</w:t>
      </w:r>
    </w:p>
    <w:p w:rsidR="00221291" w:rsidRPr="009072DA" w:rsidRDefault="00221291" w:rsidP="00221291">
      <w:pPr>
        <w:pStyle w:val="ESlet"/>
        <w:rPr>
          <w:lang w:val="bg-BG"/>
        </w:rPr>
      </w:pPr>
      <w:r w:rsidRPr="009072DA">
        <w:rPr>
          <w:lang w:val="bg-BG"/>
        </w:rPr>
        <w:t xml:space="preserve">a) </w:t>
      </w:r>
      <w:r w:rsidRPr="009072DA">
        <w:rPr>
          <w:lang w:val="bg-BG"/>
        </w:rPr>
        <w:tab/>
        <w:t xml:space="preserve">първоначална проверка преди издаване на първото удостоверение на плавателния съд за плаване по вътрешни водни пътища или </w:t>
      </w:r>
    </w:p>
    <w:p w:rsidR="00221291" w:rsidRPr="009072DA" w:rsidRDefault="00221291" w:rsidP="00221291">
      <w:pPr>
        <w:pStyle w:val="ESlet"/>
        <w:rPr>
          <w:lang w:val="bg-BG"/>
        </w:rPr>
      </w:pPr>
      <w:r w:rsidRPr="009072DA">
        <w:rPr>
          <w:lang w:val="bg-BG"/>
        </w:rPr>
        <w:t xml:space="preserve">б) </w:t>
      </w:r>
      <w:r w:rsidRPr="009072DA">
        <w:rPr>
          <w:lang w:val="bg-BG"/>
        </w:rPr>
        <w:tab/>
        <w:t>специална проверка преди издаване на изменено удостоверение на плавателен съд за плаване по вътрешни водни пътища след преустройство или промяна на предназначението на плавателния съд в традиционен плавателен съд.</w:t>
      </w:r>
    </w:p>
    <w:p w:rsidR="00221291" w:rsidRPr="009072DA" w:rsidRDefault="00221291" w:rsidP="00221291">
      <w:pPr>
        <w:spacing w:line="240" w:lineRule="atLeast"/>
        <w:ind w:left="567" w:hanging="567"/>
        <w:rPr>
          <w:highlight w:val="lightGray"/>
          <w:lang w:val="bg-BG"/>
        </w:rPr>
      </w:pPr>
    </w:p>
    <w:p w:rsidR="00221291" w:rsidRPr="009072DA" w:rsidRDefault="00221291" w:rsidP="00221291">
      <w:pPr>
        <w:pStyle w:val="ESch"/>
        <w:rPr>
          <w:lang w:val="bg-BG"/>
        </w:rPr>
      </w:pPr>
      <w:r w:rsidRPr="009072DA">
        <w:rPr>
          <w:lang w:val="bg-BG"/>
        </w:rPr>
        <w:lastRenderedPageBreak/>
        <w:t>2.</w:t>
      </w:r>
      <w:r w:rsidRPr="009072DA">
        <w:rPr>
          <w:lang w:val="bg-BG"/>
        </w:rPr>
        <w:tab/>
        <w:t>В допълнение към изискваните нормативни документи, следните документи се представят на контролния орган заедно със заявлението за проверка:</w:t>
      </w:r>
    </w:p>
    <w:p w:rsidR="00221291" w:rsidRPr="009072DA" w:rsidRDefault="00221291" w:rsidP="00221291">
      <w:pPr>
        <w:pStyle w:val="ESlet"/>
        <w:rPr>
          <w:lang w:val="bg-BG"/>
        </w:rPr>
      </w:pPr>
      <w:r w:rsidRPr="009072DA">
        <w:rPr>
          <w:lang w:val="bg-BG"/>
        </w:rPr>
        <w:t>a)</w:t>
      </w:r>
      <w:r w:rsidRPr="009072DA">
        <w:rPr>
          <w:lang w:val="bg-BG"/>
        </w:rPr>
        <w:tab/>
        <w:t>експертен доклад от експерт на органа, отговарящ за опазването на културното наследство със съответните експертни знания в областта, или от експерт за традиционни плавателни средства, изготвен в отговор на проверка, която е била извършена не повече от три месеца преди подаването на заявлението, с което се удостоверява, че са спазени изискванията на член 24.01, точка 1, че се допуска, че плавателният съд е годен за употреба, съгласно член 1.01</w:t>
      </w:r>
      <w:r w:rsidR="00D01002">
        <w:rPr>
          <w:lang w:val="bg-BG"/>
        </w:rPr>
        <w:t xml:space="preserve">, точка </w:t>
      </w:r>
      <w:r w:rsidRPr="009072DA">
        <w:rPr>
          <w:lang w:val="bg-BG"/>
        </w:rPr>
        <w:t>1.29, и съответно заслужава да бъде запазен;</w:t>
      </w:r>
    </w:p>
    <w:p w:rsidR="00221291" w:rsidRPr="009072DA" w:rsidRDefault="00221291" w:rsidP="00221291">
      <w:pPr>
        <w:pStyle w:val="ESlet"/>
        <w:rPr>
          <w:lang w:val="bg-BG"/>
        </w:rPr>
      </w:pPr>
      <w:r w:rsidRPr="009072DA">
        <w:rPr>
          <w:lang w:val="bg-BG"/>
        </w:rPr>
        <w:t>б)</w:t>
      </w:r>
      <w:r w:rsidRPr="009072DA">
        <w:rPr>
          <w:lang w:val="bg-BG"/>
        </w:rPr>
        <w:tab/>
        <w:t>концепция за експлоатацията;</w:t>
      </w:r>
    </w:p>
    <w:p w:rsidR="00221291" w:rsidRPr="009072DA" w:rsidRDefault="00221291" w:rsidP="00221291">
      <w:pPr>
        <w:pStyle w:val="ESlet"/>
        <w:rPr>
          <w:lang w:val="bg-BG"/>
        </w:rPr>
      </w:pPr>
      <w:r w:rsidRPr="009072DA">
        <w:rPr>
          <w:lang w:val="bg-BG"/>
        </w:rPr>
        <w:t>в)</w:t>
      </w:r>
      <w:r w:rsidRPr="009072DA">
        <w:rPr>
          <w:lang w:val="bg-BG"/>
        </w:rPr>
        <w:tab/>
        <w:t>концепция за безопасност въз основа на концепцията за експлоатацията съгласно буква б);</w:t>
      </w:r>
    </w:p>
    <w:p w:rsidR="00221291" w:rsidRPr="009072DA" w:rsidRDefault="00221291" w:rsidP="00221291">
      <w:pPr>
        <w:pStyle w:val="ESlet"/>
        <w:rPr>
          <w:lang w:val="bg-BG"/>
        </w:rPr>
      </w:pPr>
      <w:r w:rsidRPr="009072DA">
        <w:rPr>
          <w:lang w:val="bg-BG"/>
        </w:rPr>
        <w:t>г)</w:t>
      </w:r>
      <w:r w:rsidRPr="009072DA">
        <w:rPr>
          <w:lang w:val="bg-BG"/>
        </w:rPr>
        <w:tab/>
        <w:t>документация на традиционния плавателен съд, която се състои от следните части:</w:t>
      </w:r>
    </w:p>
    <w:p w:rsidR="00221291" w:rsidRPr="009072DA" w:rsidRDefault="00221291" w:rsidP="00221291">
      <w:pPr>
        <w:pStyle w:val="EStiret"/>
        <w:rPr>
          <w:noProof w:val="0"/>
          <w:lang w:val="bg-BG"/>
        </w:rPr>
      </w:pPr>
      <w:r w:rsidRPr="009072DA">
        <w:rPr>
          <w:noProof w:val="0"/>
          <w:lang w:val="bg-BG"/>
        </w:rPr>
        <w:t>aa)</w:t>
      </w:r>
      <w:r w:rsidRPr="009072DA">
        <w:rPr>
          <w:noProof w:val="0"/>
          <w:lang w:val="bg-BG"/>
        </w:rPr>
        <w:tab/>
        <w:t>данни за състоянието на корабната конструкция, съоръженията и оборудването на плавателното средство, представени за проверка, чрез съответните описания, чертежи, снимки и друга документация;</w:t>
      </w:r>
    </w:p>
    <w:p w:rsidR="00221291" w:rsidRPr="009072DA" w:rsidRDefault="00221291" w:rsidP="00221291">
      <w:pPr>
        <w:pStyle w:val="EStiret"/>
        <w:rPr>
          <w:noProof w:val="0"/>
          <w:lang w:val="bg-BG"/>
        </w:rPr>
      </w:pPr>
      <w:r w:rsidRPr="009072DA">
        <w:rPr>
          <w:noProof w:val="0"/>
          <w:lang w:val="bg-BG"/>
        </w:rPr>
        <w:t>бб)</w:t>
      </w:r>
      <w:r w:rsidRPr="009072DA">
        <w:rPr>
          <w:noProof w:val="0"/>
          <w:lang w:val="bg-BG"/>
        </w:rPr>
        <w:tab/>
        <w:t>списък на изискванията, приложими към избраната историческа дата, и копия от него, доколкото такива са необходими за обосноваване на отклонения от изискванията на части II и III от настоящия стандарт;</w:t>
      </w:r>
    </w:p>
    <w:p w:rsidR="00221291" w:rsidRPr="009072DA" w:rsidRDefault="00221291">
      <w:pPr>
        <w:rPr>
          <w:snapToGrid w:val="0"/>
          <w:color w:val="000000"/>
          <w:lang w:val="bg-BG"/>
        </w:rPr>
      </w:pPr>
      <w:r w:rsidRPr="009072DA">
        <w:rPr>
          <w:lang w:val="bg-BG"/>
        </w:rPr>
        <w:br w:type="page"/>
      </w:r>
    </w:p>
    <w:p w:rsidR="00221291" w:rsidRPr="009072DA" w:rsidRDefault="00221291" w:rsidP="00221291">
      <w:pPr>
        <w:pStyle w:val="EStiret"/>
        <w:rPr>
          <w:noProof w:val="0"/>
          <w:lang w:val="bg-BG"/>
        </w:rPr>
      </w:pPr>
      <w:r w:rsidRPr="009072DA">
        <w:rPr>
          <w:noProof w:val="0"/>
          <w:lang w:val="bg-BG"/>
        </w:rPr>
        <w:lastRenderedPageBreak/>
        <w:t>вв)</w:t>
      </w:r>
      <w:r w:rsidRPr="009072DA">
        <w:rPr>
          <w:noProof w:val="0"/>
          <w:lang w:val="bg-BG"/>
        </w:rPr>
        <w:tab/>
        <w:t>доказателство, че състоянието на корабната конструкция, съоръженията и оборудването е подходящо, за да се експлоатира плавателният съд като традиционен плавателен съд;</w:t>
      </w:r>
    </w:p>
    <w:p w:rsidR="00221291" w:rsidRPr="009072DA" w:rsidRDefault="00221291" w:rsidP="00221291">
      <w:pPr>
        <w:pStyle w:val="EStiret"/>
        <w:rPr>
          <w:noProof w:val="0"/>
          <w:lang w:val="bg-BG"/>
        </w:rPr>
      </w:pPr>
      <w:r w:rsidRPr="009072DA">
        <w:rPr>
          <w:noProof w:val="0"/>
          <w:lang w:val="bg-BG"/>
        </w:rPr>
        <w:t>гг)</w:t>
      </w:r>
      <w:r w:rsidRPr="009072DA">
        <w:rPr>
          <w:noProof w:val="0"/>
          <w:lang w:val="bg-BG"/>
        </w:rPr>
        <w:tab/>
        <w:t>чертежи, планове, изчисления и доказателства в съответствие с настоящия стандарт. Те трябва да бъдат в съответствие с приложимото състояние на плавателното средство към момента на подаване на заявлението;</w:t>
      </w:r>
    </w:p>
    <w:p w:rsidR="00221291" w:rsidRPr="009072DA" w:rsidRDefault="00221291" w:rsidP="00221291">
      <w:pPr>
        <w:pStyle w:val="EStiret"/>
        <w:rPr>
          <w:noProof w:val="0"/>
          <w:lang w:val="bg-BG"/>
        </w:rPr>
      </w:pPr>
      <w:r w:rsidRPr="009072DA">
        <w:rPr>
          <w:noProof w:val="0"/>
          <w:lang w:val="bg-BG"/>
        </w:rPr>
        <w:t>дд)</w:t>
      </w:r>
      <w:r w:rsidRPr="009072DA">
        <w:rPr>
          <w:noProof w:val="0"/>
          <w:lang w:val="bg-BG"/>
        </w:rPr>
        <w:tab/>
        <w:t>списък на отклоненията в състоянието на корабната конструкция, съоръженията и оборудването съгласно данните в подточка аа) от изискванията на настоящия стандарт, приложим към момента на подаване на заявлението;</w:t>
      </w:r>
    </w:p>
    <w:p w:rsidR="00221291" w:rsidRPr="009072DA" w:rsidRDefault="00221291" w:rsidP="00221291">
      <w:pPr>
        <w:pStyle w:val="EStiret"/>
        <w:rPr>
          <w:noProof w:val="0"/>
          <w:lang w:val="bg-BG"/>
        </w:rPr>
      </w:pPr>
      <w:r w:rsidRPr="009072DA">
        <w:rPr>
          <w:noProof w:val="0"/>
          <w:lang w:val="bg-BG"/>
        </w:rPr>
        <w:t>ее)</w:t>
      </w:r>
      <w:r w:rsidRPr="009072DA">
        <w:rPr>
          <w:noProof w:val="0"/>
          <w:lang w:val="bg-BG"/>
        </w:rPr>
        <w:tab/>
        <w:t>данни за екипажа на традиционния плавателен съд в избрания минал период от време.</w:t>
      </w:r>
    </w:p>
    <w:p w:rsidR="00221291" w:rsidRPr="009072DA" w:rsidRDefault="00221291" w:rsidP="00221291">
      <w:pPr>
        <w:spacing w:line="240" w:lineRule="atLeast"/>
        <w:ind w:left="567" w:hanging="567"/>
        <w:rPr>
          <w:highlight w:val="lightGray"/>
          <w:lang w:val="bg-BG"/>
        </w:rPr>
      </w:pPr>
    </w:p>
    <w:p w:rsidR="00221291" w:rsidRPr="009072DA" w:rsidRDefault="00221291" w:rsidP="00221291">
      <w:pPr>
        <w:pStyle w:val="ESch"/>
        <w:rPr>
          <w:lang w:val="bg-BG"/>
        </w:rPr>
      </w:pPr>
      <w:r w:rsidRPr="009072DA">
        <w:rPr>
          <w:lang w:val="bg-BG"/>
        </w:rPr>
        <w:t>3.</w:t>
      </w:r>
      <w:r w:rsidRPr="009072DA">
        <w:rPr>
          <w:lang w:val="bg-BG"/>
        </w:rPr>
        <w:tab/>
        <w:t>Заявителят подава заявление за историческа дата за традиционния плавателен съд; тази дата не трябва да бъде преди датата, на която той е пуснат в експлоатация за първи път. В случай на реплика на традиционен плавателен съд, историческата дата трябва да може да бъде видяна от експертния доклад в съответствие с точка 2, буква a).</w:t>
      </w:r>
    </w:p>
    <w:p w:rsidR="00221291" w:rsidRPr="009072DA" w:rsidRDefault="00221291" w:rsidP="00221291">
      <w:pPr>
        <w:pStyle w:val="ESch"/>
        <w:rPr>
          <w:lang w:val="bg-BG"/>
        </w:rPr>
      </w:pPr>
    </w:p>
    <w:p w:rsidR="00221291" w:rsidRPr="009072DA" w:rsidRDefault="00221291" w:rsidP="00221291">
      <w:pPr>
        <w:pStyle w:val="ESch"/>
        <w:rPr>
          <w:lang w:val="bg-BG"/>
        </w:rPr>
      </w:pPr>
      <w:r w:rsidRPr="009072DA">
        <w:rPr>
          <w:lang w:val="bg-BG"/>
        </w:rPr>
        <w:t>4.</w:t>
      </w:r>
      <w:r w:rsidRPr="009072DA">
        <w:rPr>
          <w:lang w:val="bg-BG"/>
        </w:rPr>
        <w:tab/>
        <w:t>Въз основа на горепосочената документация и проверката в съответствие с точка 1, контролният орган извършва оценка на съответствието съгласно член 1.01</w:t>
      </w:r>
      <w:r w:rsidR="00D01002">
        <w:rPr>
          <w:lang w:val="bg-BG"/>
        </w:rPr>
        <w:t xml:space="preserve">, точка </w:t>
      </w:r>
      <w:r w:rsidRPr="009072DA">
        <w:rPr>
          <w:lang w:val="bg-BG"/>
        </w:rPr>
        <w:t xml:space="preserve">1.29 и член 24.01 и признаването като „традиционен плавателен съд“ се вписва в точка 2 от удостоверението на плавателния съд за плаване по вътрешни водни пътища. </w:t>
      </w:r>
    </w:p>
    <w:p w:rsidR="00221291" w:rsidRPr="009072DA" w:rsidRDefault="00221291" w:rsidP="00221291">
      <w:pPr>
        <w:pStyle w:val="ESch"/>
        <w:rPr>
          <w:lang w:val="bg-BG"/>
        </w:rPr>
      </w:pPr>
    </w:p>
    <w:p w:rsidR="00221291" w:rsidRPr="009072DA" w:rsidRDefault="00221291" w:rsidP="00221291">
      <w:pPr>
        <w:pStyle w:val="ESch"/>
        <w:ind w:firstLine="0"/>
        <w:rPr>
          <w:lang w:val="bg-BG"/>
        </w:rPr>
      </w:pPr>
      <w:r w:rsidRPr="009072DA">
        <w:rPr>
          <w:lang w:val="bg-BG"/>
        </w:rPr>
        <w:t>Оценката на съответствието не може да се извършва въз основа на решението на експертa за традиционни плавателни средства и на експертния доклад съгласно точка 2, буква a).</w:t>
      </w:r>
    </w:p>
    <w:p w:rsidR="00221291" w:rsidRPr="009072DA" w:rsidRDefault="00221291" w:rsidP="00221291">
      <w:pPr>
        <w:pStyle w:val="ESch"/>
        <w:rPr>
          <w:lang w:val="bg-BG"/>
        </w:rPr>
      </w:pPr>
    </w:p>
    <w:p w:rsidR="00221291" w:rsidRPr="009072DA" w:rsidRDefault="00221291" w:rsidP="00221291">
      <w:pPr>
        <w:pStyle w:val="ESch"/>
        <w:rPr>
          <w:lang w:val="bg-BG"/>
        </w:rPr>
      </w:pPr>
      <w:r w:rsidRPr="009072DA">
        <w:rPr>
          <w:lang w:val="bg-BG"/>
        </w:rPr>
        <w:t>5.</w:t>
      </w:r>
      <w:r w:rsidRPr="009072DA">
        <w:rPr>
          <w:lang w:val="bg-BG"/>
        </w:rPr>
        <w:tab/>
        <w:t>Освен записа „традиционен плавателен съд“ се издава приложението за традиционен плавателен съд съгласно образеца от приложение 3, раздел V. В точка 52 от удостоверението на плавателния съд за плаване по вътрешни водни пътища се вписва следното:</w:t>
      </w:r>
    </w:p>
    <w:p w:rsidR="00221291" w:rsidRPr="009072DA" w:rsidRDefault="00221291" w:rsidP="00221291">
      <w:pPr>
        <w:spacing w:line="240" w:lineRule="atLeast"/>
        <w:rPr>
          <w:highlight w:val="lightGray"/>
          <w:lang w:val="bg-BG"/>
        </w:rPr>
      </w:pPr>
    </w:p>
    <w:p w:rsidR="00221291" w:rsidRPr="009072DA" w:rsidRDefault="00221291" w:rsidP="006B6215">
      <w:pPr>
        <w:pStyle w:val="ESch"/>
        <w:jc w:val="center"/>
        <w:rPr>
          <w:lang w:val="bg-BG"/>
        </w:rPr>
      </w:pPr>
      <w:r w:rsidRPr="009072DA">
        <w:rPr>
          <w:lang w:val="bg-BG"/>
        </w:rPr>
        <w:t>„Вж. Приложение за традиционни плавателни съдове.“</w:t>
      </w:r>
    </w:p>
    <w:p w:rsidR="00221291" w:rsidRPr="009072DA" w:rsidRDefault="00221291" w:rsidP="00221291">
      <w:pPr>
        <w:rPr>
          <w:highlight w:val="lightGray"/>
          <w:lang w:val="bg-BG"/>
        </w:rPr>
      </w:pPr>
    </w:p>
    <w:p w:rsidR="00221291" w:rsidRPr="009072DA" w:rsidRDefault="00221291" w:rsidP="00221291">
      <w:pPr>
        <w:pStyle w:val="ESch"/>
        <w:rPr>
          <w:lang w:val="bg-BG"/>
        </w:rPr>
      </w:pPr>
      <w:r w:rsidRPr="009072DA">
        <w:rPr>
          <w:lang w:val="bg-BG"/>
        </w:rPr>
        <w:t>6.</w:t>
      </w:r>
      <w:r w:rsidRPr="009072DA">
        <w:rPr>
          <w:lang w:val="bg-BG"/>
        </w:rPr>
        <w:tab/>
        <w:t>Ако несъответствията на версията на настоящия стандарт, приложим към момента на подаване на заявлението, са установени в документацията по точка 2, буква г), подточка дд), или по време на проверката, посочена в точка 1, то</w:t>
      </w:r>
    </w:p>
    <w:p w:rsidR="00221291" w:rsidRPr="009072DA" w:rsidRDefault="00221291" w:rsidP="00221291">
      <w:pPr>
        <w:pStyle w:val="ESlet"/>
        <w:rPr>
          <w:lang w:val="bg-BG"/>
        </w:rPr>
      </w:pPr>
      <w:r w:rsidRPr="009072DA">
        <w:rPr>
          <w:lang w:val="bg-BG"/>
        </w:rPr>
        <w:t>a)</w:t>
      </w:r>
      <w:r w:rsidRPr="009072DA">
        <w:rPr>
          <w:lang w:val="bg-BG"/>
        </w:rPr>
        <w:tab/>
        <w:t>само екипажа или лица, които са на служебно пътуване могат да останат на борда на плавателни средства по време на плаване, и</w:t>
      </w:r>
    </w:p>
    <w:p w:rsidR="00221291" w:rsidRPr="009072DA" w:rsidRDefault="00221291" w:rsidP="00221291">
      <w:pPr>
        <w:pStyle w:val="ESlet"/>
        <w:rPr>
          <w:lang w:val="bg-BG"/>
        </w:rPr>
      </w:pPr>
      <w:r w:rsidRPr="009072DA">
        <w:rPr>
          <w:lang w:val="bg-BG"/>
        </w:rPr>
        <w:lastRenderedPageBreak/>
        <w:t>б)</w:t>
      </w:r>
      <w:r w:rsidRPr="009072DA">
        <w:rPr>
          <w:lang w:val="bg-BG"/>
        </w:rPr>
        <w:tab/>
        <w:t>експлоатация на машини или механично задвижвано оборудване на борда, които са лесно достъпни, е разрешена само ако никой не се намира на борда, с изключение на екипажа и лицата, които са служебно на борда.</w:t>
      </w:r>
    </w:p>
    <w:p w:rsidR="00221291" w:rsidRPr="009072DA" w:rsidRDefault="00221291" w:rsidP="00221291">
      <w:pPr>
        <w:rPr>
          <w:highlight w:val="lightGray"/>
          <w:lang w:val="bg-BG"/>
        </w:rPr>
      </w:pPr>
    </w:p>
    <w:p w:rsidR="00221291" w:rsidRPr="009072DA" w:rsidRDefault="00221291" w:rsidP="006B6215">
      <w:pPr>
        <w:pStyle w:val="ESchpar"/>
        <w:rPr>
          <w:lang w:val="bg-BG"/>
        </w:rPr>
      </w:pPr>
      <w:r w:rsidRPr="009072DA">
        <w:rPr>
          <w:lang w:val="bg-BG"/>
        </w:rPr>
        <w:t>В точка 52 от удостоверението на плавателния съд за плаване по вътрешни водни пътища се вписва следното.</w:t>
      </w:r>
    </w:p>
    <w:p w:rsidR="00221291" w:rsidRPr="009072DA" w:rsidRDefault="00221291" w:rsidP="006B6215">
      <w:pPr>
        <w:pStyle w:val="ESchpar"/>
        <w:rPr>
          <w:lang w:val="bg-BG"/>
        </w:rPr>
      </w:pPr>
    </w:p>
    <w:p w:rsidR="00221291" w:rsidRPr="009072DA" w:rsidRDefault="00221291" w:rsidP="006B6215">
      <w:pPr>
        <w:pStyle w:val="ESchpar"/>
        <w:rPr>
          <w:lang w:val="bg-BG"/>
        </w:rPr>
      </w:pPr>
      <w:r w:rsidRPr="009072DA">
        <w:rPr>
          <w:lang w:val="bg-BG"/>
        </w:rPr>
        <w:t>„Лица, различни от екипажа или лица, които са на служебно пътуване на борда, могат да останат на борда, когато плавателното средство е безопасно закотвено и свободно достъпни машини и механично задвижвано оборудване не са в експлоатация“.</w:t>
      </w:r>
    </w:p>
    <w:p w:rsidR="00221291" w:rsidRPr="009072DA" w:rsidRDefault="00221291" w:rsidP="006B6215">
      <w:pPr>
        <w:pStyle w:val="ESchpar"/>
        <w:rPr>
          <w:lang w:val="bg-BG"/>
        </w:rPr>
      </w:pPr>
    </w:p>
    <w:p w:rsidR="00221291" w:rsidRPr="009072DA" w:rsidRDefault="00221291" w:rsidP="006B6215">
      <w:pPr>
        <w:pStyle w:val="ESchpar"/>
        <w:rPr>
          <w:rFonts w:cs="Arial"/>
          <w:color w:val="000000"/>
          <w:szCs w:val="20"/>
          <w:lang w:val="bg-BG"/>
        </w:rPr>
      </w:pPr>
    </w:p>
    <w:p w:rsidR="00221291" w:rsidRPr="009072DA" w:rsidRDefault="00221291">
      <w:pPr>
        <w:rPr>
          <w:rFonts w:cs="Arial"/>
          <w:b/>
          <w:color w:val="000000"/>
          <w:lang w:val="bg-BG"/>
        </w:rPr>
      </w:pPr>
      <w:r w:rsidRPr="009072DA">
        <w:rPr>
          <w:lang w:val="bg-BG"/>
        </w:rPr>
        <w:br w:type="page"/>
      </w:r>
    </w:p>
    <w:p w:rsidR="00221291" w:rsidRPr="009072DA" w:rsidRDefault="00221291" w:rsidP="006B6215">
      <w:pPr>
        <w:pStyle w:val="ESch"/>
        <w:rPr>
          <w:highlight w:val="lightGray"/>
          <w:lang w:val="bg-BG"/>
        </w:rPr>
      </w:pPr>
    </w:p>
    <w:p w:rsidR="00221291" w:rsidRPr="009072DA" w:rsidRDefault="00221291" w:rsidP="006B6215">
      <w:pPr>
        <w:pStyle w:val="ES-Titre3"/>
        <w:rPr>
          <w:szCs w:val="20"/>
          <w:lang w:val="bg-BG"/>
        </w:rPr>
      </w:pPr>
      <w:bookmarkStart w:id="471" w:name="_Toc491854233"/>
      <w:bookmarkStart w:id="472" w:name="_Toc535827674"/>
      <w:r w:rsidRPr="009072DA">
        <w:rPr>
          <w:lang w:val="bg-BG"/>
        </w:rPr>
        <w:t>Член 24.03</w:t>
      </w:r>
      <w:r w:rsidRPr="009072DA">
        <w:rPr>
          <w:lang w:val="bg-BG"/>
        </w:rPr>
        <w:br/>
      </w:r>
      <w:r w:rsidRPr="009072DA">
        <w:rPr>
          <w:i/>
          <w:lang w:val="bg-BG"/>
        </w:rPr>
        <w:t>Други разпоредби и изисквания</w:t>
      </w:r>
      <w:bookmarkEnd w:id="471"/>
      <w:bookmarkEnd w:id="472"/>
    </w:p>
    <w:p w:rsidR="00221291" w:rsidRPr="009072DA" w:rsidRDefault="00221291" w:rsidP="00221291">
      <w:pPr>
        <w:widowControl w:val="0"/>
        <w:outlineLvl w:val="0"/>
        <w:rPr>
          <w:rFonts w:cs="Arial"/>
          <w:color w:val="000000"/>
          <w:szCs w:val="20"/>
          <w:lang w:val="bg-BG"/>
        </w:rPr>
      </w:pPr>
    </w:p>
    <w:p w:rsidR="00221291" w:rsidRPr="009072DA" w:rsidRDefault="00221291" w:rsidP="00221291">
      <w:pPr>
        <w:pStyle w:val="ESch"/>
        <w:rPr>
          <w:lang w:val="bg-BG"/>
        </w:rPr>
      </w:pPr>
      <w:r w:rsidRPr="009072DA">
        <w:rPr>
          <w:lang w:val="bg-BG"/>
        </w:rPr>
        <w:t>1.</w:t>
      </w:r>
      <w:r w:rsidRPr="009072DA">
        <w:rPr>
          <w:lang w:val="bg-BG"/>
        </w:rPr>
        <w:tab/>
        <w:t>Контролният орган определя, в съответствие с концепциите за експлоатация и безопасност съгласно член 24.02, точка 2, букви б) и в), както и състоянието на корабната конструкция, съоръженията и оборудването на традиционния плавателен съд:</w:t>
      </w:r>
    </w:p>
    <w:p w:rsidR="00221291" w:rsidRPr="009072DA" w:rsidRDefault="00221291" w:rsidP="00221291">
      <w:pPr>
        <w:pStyle w:val="ESlet"/>
        <w:rPr>
          <w:lang w:val="bg-BG"/>
        </w:rPr>
      </w:pPr>
      <w:r w:rsidRPr="009072DA">
        <w:rPr>
          <w:lang w:val="bg-BG"/>
        </w:rPr>
        <w:t>a)</w:t>
      </w:r>
      <w:r w:rsidRPr="009072DA">
        <w:rPr>
          <w:lang w:val="bg-BG"/>
        </w:rPr>
        <w:tab/>
        <w:t>минималния екипаж и неговото равнище на квалификация;</w:t>
      </w:r>
    </w:p>
    <w:p w:rsidR="00221291" w:rsidRPr="009072DA" w:rsidRDefault="00221291" w:rsidP="00221291">
      <w:pPr>
        <w:pStyle w:val="ESlet"/>
        <w:rPr>
          <w:lang w:val="bg-BG"/>
        </w:rPr>
      </w:pPr>
      <w:r w:rsidRPr="009072DA">
        <w:rPr>
          <w:lang w:val="bg-BG"/>
        </w:rPr>
        <w:t>б)</w:t>
      </w:r>
      <w:r w:rsidRPr="009072DA">
        <w:rPr>
          <w:lang w:val="bg-BG"/>
        </w:rPr>
        <w:tab/>
        <w:t>допустимия брой лица, които могат да бъдат сведени до минималния екипаж;</w:t>
      </w:r>
    </w:p>
    <w:p w:rsidR="00221291" w:rsidRPr="009072DA" w:rsidRDefault="00221291" w:rsidP="00221291">
      <w:pPr>
        <w:pStyle w:val="ESlet"/>
        <w:rPr>
          <w:lang w:val="bg-BG"/>
        </w:rPr>
      </w:pPr>
      <w:r w:rsidRPr="009072DA">
        <w:rPr>
          <w:lang w:val="bg-BG"/>
        </w:rPr>
        <w:t>в)</w:t>
      </w:r>
      <w:r w:rsidRPr="009072DA">
        <w:rPr>
          <w:lang w:val="bg-BG"/>
        </w:rPr>
        <w:tab/>
        <w:t>ограничителни условия за пребиваване на борда на лица, които не са членове на екипажа;</w:t>
      </w:r>
    </w:p>
    <w:p w:rsidR="00221291" w:rsidRPr="009072DA" w:rsidRDefault="00221291" w:rsidP="00221291">
      <w:pPr>
        <w:pStyle w:val="ESlet"/>
        <w:rPr>
          <w:lang w:val="bg-BG"/>
        </w:rPr>
      </w:pPr>
      <w:r w:rsidRPr="009072DA">
        <w:rPr>
          <w:lang w:val="bg-BG"/>
        </w:rPr>
        <w:t>г)</w:t>
      </w:r>
      <w:r w:rsidRPr="009072DA">
        <w:rPr>
          <w:lang w:val="bg-BG"/>
        </w:rPr>
        <w:tab/>
        <w:t>допустимия товар, който може да бъде намален до нула;</w:t>
      </w:r>
    </w:p>
    <w:p w:rsidR="00221291" w:rsidRPr="009072DA" w:rsidRDefault="00221291" w:rsidP="00221291">
      <w:pPr>
        <w:pStyle w:val="ESlet"/>
        <w:rPr>
          <w:lang w:val="bg-BG"/>
        </w:rPr>
      </w:pPr>
      <w:r w:rsidRPr="009072DA">
        <w:rPr>
          <w:lang w:val="bg-BG"/>
        </w:rPr>
        <w:t>д)</w:t>
      </w:r>
      <w:r w:rsidRPr="009072DA">
        <w:rPr>
          <w:lang w:val="bg-BG"/>
        </w:rPr>
        <w:tab/>
        <w:t>допустимата област на експлоатация;</w:t>
      </w:r>
    </w:p>
    <w:p w:rsidR="00221291" w:rsidRPr="009072DA" w:rsidRDefault="00221291" w:rsidP="00221291">
      <w:pPr>
        <w:pStyle w:val="ESlet"/>
        <w:rPr>
          <w:lang w:val="bg-BG"/>
        </w:rPr>
      </w:pPr>
      <w:r w:rsidRPr="009072DA">
        <w:rPr>
          <w:lang w:val="bg-BG"/>
        </w:rPr>
        <w:t>е)</w:t>
      </w:r>
      <w:r w:rsidRPr="009072DA">
        <w:rPr>
          <w:lang w:val="bg-BG"/>
        </w:rPr>
        <w:tab/>
        <w:t>метеорологичните ограничения;</w:t>
      </w:r>
    </w:p>
    <w:p w:rsidR="00221291" w:rsidRPr="009072DA" w:rsidRDefault="00221291" w:rsidP="00221291">
      <w:pPr>
        <w:pStyle w:val="ESlet"/>
        <w:rPr>
          <w:lang w:val="bg-BG"/>
        </w:rPr>
      </w:pPr>
      <w:r w:rsidRPr="009072DA">
        <w:rPr>
          <w:lang w:val="bg-BG"/>
        </w:rPr>
        <w:t>ж)</w:t>
      </w:r>
      <w:r w:rsidRPr="009072DA">
        <w:rPr>
          <w:lang w:val="bg-BG"/>
        </w:rPr>
        <w:tab/>
        <w:t>навигационни ограничения;</w:t>
      </w:r>
    </w:p>
    <w:p w:rsidR="00221291" w:rsidRPr="009072DA" w:rsidRDefault="00221291" w:rsidP="00221291">
      <w:pPr>
        <w:pStyle w:val="ESlet"/>
        <w:rPr>
          <w:lang w:val="bg-BG"/>
        </w:rPr>
      </w:pPr>
      <w:r w:rsidRPr="009072DA">
        <w:rPr>
          <w:lang w:val="bg-BG"/>
        </w:rPr>
        <w:t>з)</w:t>
      </w:r>
      <w:r w:rsidRPr="009072DA">
        <w:rPr>
          <w:lang w:val="bg-BG"/>
        </w:rPr>
        <w:tab/>
        <w:t>допълнителни ограничителни условия.</w:t>
      </w:r>
    </w:p>
    <w:p w:rsidR="00221291" w:rsidRPr="009072DA" w:rsidRDefault="00221291" w:rsidP="00221291">
      <w:pPr>
        <w:widowControl w:val="0"/>
        <w:tabs>
          <w:tab w:val="left" w:pos="1440"/>
        </w:tabs>
        <w:spacing w:line="240" w:lineRule="atLeast"/>
        <w:ind w:left="900"/>
        <w:rPr>
          <w:rFonts w:ascii="Times New Roman" w:hAnsi="Times New Roman"/>
          <w:szCs w:val="20"/>
          <w:lang w:val="bg-BG"/>
        </w:rPr>
      </w:pPr>
    </w:p>
    <w:p w:rsidR="00AE3F86" w:rsidRPr="009072DA" w:rsidRDefault="00221291" w:rsidP="006B6215">
      <w:pPr>
        <w:pStyle w:val="ESch"/>
        <w:rPr>
          <w:lang w:val="bg-BG"/>
        </w:rPr>
      </w:pPr>
      <w:r w:rsidRPr="009072DA">
        <w:rPr>
          <w:lang w:val="bg-BG"/>
        </w:rPr>
        <w:t>2.</w:t>
      </w:r>
      <w:r w:rsidRPr="009072DA">
        <w:rPr>
          <w:lang w:val="bg-BG"/>
        </w:rPr>
        <w:tab/>
        <w:t>В случай на периодични проверки, контролният орган може да промени условията в съответствие с член 24.03, точка 1 и член 24.01, точка 3 въз основа на по-нататъшното развитие на техническите регламенти на настоящия стандарт. Тези промени се записват в приложението за традиционния плавателен съд към удостоверението на плавателния съд за плаване по вътрешни водни пътища.</w:t>
      </w:r>
    </w:p>
    <w:p w:rsidR="00BF049A" w:rsidRPr="009072DA" w:rsidRDefault="00BF049A" w:rsidP="00973DAA">
      <w:pPr>
        <w:pStyle w:val="ESch"/>
        <w:rPr>
          <w:lang w:val="bg-BG"/>
        </w:rPr>
      </w:pPr>
    </w:p>
    <w:p w:rsidR="00AE3F86" w:rsidRPr="009072DA" w:rsidRDefault="00AE3F86" w:rsidP="00973DAA">
      <w:pPr>
        <w:pStyle w:val="ESch"/>
        <w:rPr>
          <w:lang w:val="bg-BG"/>
        </w:rPr>
      </w:pPr>
    </w:p>
    <w:p w:rsidR="00A71FF0" w:rsidRPr="009072DA" w:rsidRDefault="00A71FF0" w:rsidP="00973DAA">
      <w:pPr>
        <w:pStyle w:val="ESch"/>
        <w:rPr>
          <w:lang w:val="bg-BG"/>
        </w:rPr>
      </w:pPr>
      <w:r w:rsidRPr="009072DA">
        <w:rPr>
          <w:lang w:val="bg-BG"/>
        </w:rPr>
        <w:br w:type="page"/>
      </w:r>
    </w:p>
    <w:p w:rsidR="00AE3F86" w:rsidRPr="009072DA" w:rsidRDefault="00AE3F86" w:rsidP="00973DAA">
      <w:pPr>
        <w:pStyle w:val="ESch"/>
        <w:rPr>
          <w:lang w:val="bg-BG"/>
        </w:rPr>
      </w:pPr>
    </w:p>
    <w:p w:rsidR="00AE3F86" w:rsidRPr="009072DA" w:rsidRDefault="00AE3F86" w:rsidP="00973DAA">
      <w:pPr>
        <w:pStyle w:val="ESch"/>
        <w:rPr>
          <w:lang w:val="bg-BG"/>
        </w:rPr>
      </w:pPr>
    </w:p>
    <w:p w:rsidR="00AE3F86" w:rsidRPr="009072DA" w:rsidRDefault="00AE3F86" w:rsidP="00973DAA">
      <w:pPr>
        <w:pStyle w:val="ESch"/>
        <w:rPr>
          <w:lang w:val="bg-BG"/>
        </w:rPr>
      </w:pPr>
    </w:p>
    <w:p w:rsidR="00BF049A" w:rsidRPr="009072DA" w:rsidRDefault="00BF049A" w:rsidP="00BF049A">
      <w:pPr>
        <w:pStyle w:val="ES-Titre2"/>
        <w:rPr>
          <w:szCs w:val="24"/>
        </w:rPr>
      </w:pPr>
      <w:bookmarkStart w:id="473" w:name="_Toc491854234"/>
      <w:bookmarkStart w:id="474" w:name="_Toc535827675"/>
      <w:r w:rsidRPr="009072DA">
        <w:lastRenderedPageBreak/>
        <w:t>Глава 25</w:t>
      </w:r>
      <w:r w:rsidRPr="009072DA">
        <w:br/>
      </w:r>
      <w:r w:rsidRPr="009072DA">
        <w:rPr>
          <w:sz w:val="22"/>
        </w:rPr>
        <w:t>Специални разпоредби, приложими към морски плавателни съдове</w:t>
      </w:r>
      <w:bookmarkEnd w:id="473"/>
      <w:bookmarkEnd w:id="474"/>
    </w:p>
    <w:p w:rsidR="00BF049A" w:rsidRPr="009072DA" w:rsidRDefault="00BF049A" w:rsidP="00BF049A">
      <w:pPr>
        <w:rPr>
          <w:lang w:val="bg-BG"/>
        </w:rPr>
      </w:pPr>
    </w:p>
    <w:p w:rsidR="00BF049A" w:rsidRPr="009072DA" w:rsidRDefault="00BF049A" w:rsidP="00BF049A">
      <w:pPr>
        <w:pStyle w:val="ES-Titre3"/>
        <w:rPr>
          <w:lang w:val="bg-BG"/>
        </w:rPr>
      </w:pPr>
      <w:bookmarkStart w:id="475" w:name="_Toc491854235"/>
      <w:bookmarkStart w:id="476" w:name="_Toc535827676"/>
      <w:r w:rsidRPr="009072DA">
        <w:rPr>
          <w:lang w:val="bg-BG"/>
        </w:rPr>
        <w:t>Член 25.01</w:t>
      </w:r>
      <w:r w:rsidRPr="009072DA">
        <w:rPr>
          <w:lang w:val="bg-BG"/>
        </w:rPr>
        <w:br/>
      </w:r>
      <w:r w:rsidRPr="009072DA">
        <w:rPr>
          <w:i/>
          <w:lang w:val="bg-BG"/>
        </w:rPr>
        <w:t>Разпоредби за река Рейн (зона R)</w:t>
      </w:r>
      <w:bookmarkEnd w:id="475"/>
      <w:bookmarkEnd w:id="476"/>
    </w:p>
    <w:p w:rsidR="00BF049A" w:rsidRPr="009072DA" w:rsidRDefault="00BF049A" w:rsidP="00BF049A">
      <w:pPr>
        <w:pStyle w:val="ESch"/>
        <w:rPr>
          <w:lang w:val="bg-BG"/>
        </w:rPr>
      </w:pPr>
    </w:p>
    <w:p w:rsidR="00237080" w:rsidRPr="009072DA" w:rsidRDefault="00237080" w:rsidP="00237080">
      <w:pPr>
        <w:pStyle w:val="ESch"/>
        <w:rPr>
          <w:lang w:val="bg-BG"/>
        </w:rPr>
      </w:pPr>
      <w:r w:rsidRPr="009072DA">
        <w:rPr>
          <w:lang w:val="bg-BG"/>
        </w:rPr>
        <w:t xml:space="preserve">1. </w:t>
      </w:r>
      <w:r w:rsidRPr="009072DA">
        <w:rPr>
          <w:lang w:val="bg-BG"/>
        </w:rPr>
        <w:tab/>
        <w:t xml:space="preserve">Морските плавателни съдове, плаващи по река Рейн, трябва да отговарят на съответните национални и международни разпоредби относно техническите изисквания по отношение на изграждането, оборудването и средата на морските плавателни съдове и трябва да могат да потвърдят това чрез необходимите удостоверения. </w:t>
      </w:r>
    </w:p>
    <w:p w:rsidR="00237080" w:rsidRPr="009072DA" w:rsidRDefault="00237080" w:rsidP="00237080">
      <w:pPr>
        <w:pStyle w:val="ESch"/>
        <w:rPr>
          <w:lang w:val="bg-BG"/>
        </w:rPr>
      </w:pPr>
    </w:p>
    <w:p w:rsidR="00237080" w:rsidRPr="009072DA" w:rsidRDefault="00237080" w:rsidP="00237080">
      <w:pPr>
        <w:pStyle w:val="ESch"/>
        <w:rPr>
          <w:lang w:val="bg-BG"/>
        </w:rPr>
      </w:pPr>
      <w:r w:rsidRPr="009072DA">
        <w:rPr>
          <w:lang w:val="bg-BG"/>
        </w:rPr>
        <w:t>2.</w:t>
      </w:r>
      <w:r w:rsidRPr="009072DA">
        <w:rPr>
          <w:lang w:val="bg-BG"/>
        </w:rPr>
        <w:tab/>
        <w:t>Морските плавателни съдове трябва да спазват следните разпоредби от настоящия стандарт, в допълнение към изискванията, посочени в точка 1:</w:t>
      </w:r>
    </w:p>
    <w:p w:rsidR="00BF049A" w:rsidRPr="009072DA" w:rsidRDefault="005C7859" w:rsidP="00BF049A">
      <w:pPr>
        <w:pStyle w:val="ESletgauche"/>
        <w:rPr>
          <w:rFonts w:cs="Arial"/>
          <w:szCs w:val="20"/>
          <w:lang w:val="bg-BG"/>
        </w:rPr>
      </w:pPr>
      <w:r w:rsidRPr="009072DA">
        <w:rPr>
          <w:lang w:val="bg-BG"/>
        </w:rPr>
        <w:t>a)</w:t>
      </w:r>
      <w:r w:rsidRPr="009072DA">
        <w:rPr>
          <w:lang w:val="bg-BG"/>
        </w:rPr>
        <w:tab/>
        <w:t>глава 5;</w:t>
      </w:r>
    </w:p>
    <w:p w:rsidR="00BF049A" w:rsidRPr="009072DA" w:rsidRDefault="005C7859" w:rsidP="00BF049A">
      <w:pPr>
        <w:pStyle w:val="ESletgauche"/>
        <w:rPr>
          <w:rFonts w:cs="Arial"/>
          <w:szCs w:val="20"/>
          <w:lang w:val="bg-BG"/>
        </w:rPr>
      </w:pPr>
      <w:r w:rsidRPr="009072DA">
        <w:rPr>
          <w:lang w:val="bg-BG"/>
        </w:rPr>
        <w:t>б)</w:t>
      </w:r>
      <w:r w:rsidRPr="009072DA">
        <w:rPr>
          <w:lang w:val="bg-BG"/>
        </w:rPr>
        <w:tab/>
        <w:t xml:space="preserve">от глава 6: </w:t>
      </w:r>
    </w:p>
    <w:p w:rsidR="00BF049A" w:rsidRPr="009072DA" w:rsidRDefault="00ED0C30" w:rsidP="00BF049A">
      <w:pPr>
        <w:pStyle w:val="Esletgauchepar"/>
        <w:rPr>
          <w:rFonts w:cs="Arial"/>
          <w:szCs w:val="20"/>
        </w:rPr>
      </w:pPr>
      <w:r w:rsidRPr="009072DA">
        <w:t>член 6.01, точка 1 и член 6.02, точки 1 и 2;</w:t>
      </w:r>
    </w:p>
    <w:p w:rsidR="00BF049A" w:rsidRPr="009072DA" w:rsidRDefault="005C7859" w:rsidP="00BF049A">
      <w:pPr>
        <w:pStyle w:val="ESletgauche"/>
        <w:rPr>
          <w:rFonts w:cs="Arial"/>
          <w:szCs w:val="20"/>
          <w:lang w:val="bg-BG"/>
        </w:rPr>
      </w:pPr>
      <w:r w:rsidRPr="009072DA">
        <w:rPr>
          <w:lang w:val="bg-BG"/>
        </w:rPr>
        <w:t>в)</w:t>
      </w:r>
      <w:r w:rsidRPr="009072DA">
        <w:rPr>
          <w:lang w:val="bg-BG"/>
        </w:rPr>
        <w:tab/>
        <w:t>от глава 7:</w:t>
      </w:r>
    </w:p>
    <w:p w:rsidR="00BF049A" w:rsidRPr="009072DA" w:rsidRDefault="00ED0C30" w:rsidP="00BF049A">
      <w:pPr>
        <w:pStyle w:val="Esletgauchepar"/>
        <w:rPr>
          <w:rFonts w:cs="Arial"/>
        </w:rPr>
      </w:pPr>
      <w:r w:rsidRPr="009072DA">
        <w:t>член 7.01, точка 2, член 7.02, точки 1 и 3, точки 1 и 3, член 7.05, точка 2,</w:t>
      </w:r>
    </w:p>
    <w:p w:rsidR="00BF049A" w:rsidRPr="009072DA" w:rsidRDefault="00ED0C30" w:rsidP="00BF049A">
      <w:pPr>
        <w:pStyle w:val="Esletgauchepar"/>
        <w:rPr>
          <w:rFonts w:cs="Arial"/>
        </w:rPr>
      </w:pPr>
      <w:r w:rsidRPr="009072DA">
        <w:t>член 7.13 за морски плавателни съдове, проектирани за управление  с радиолокационни средства от едно лице;</w:t>
      </w:r>
    </w:p>
    <w:p w:rsidR="00BF049A" w:rsidRPr="009072DA" w:rsidRDefault="0029453D" w:rsidP="00BF049A">
      <w:pPr>
        <w:pStyle w:val="ESletgauche"/>
        <w:rPr>
          <w:rFonts w:cs="Arial"/>
          <w:szCs w:val="20"/>
          <w:lang w:val="bg-BG"/>
        </w:rPr>
      </w:pPr>
      <w:r w:rsidRPr="009072DA">
        <w:rPr>
          <w:lang w:val="bg-BG"/>
        </w:rPr>
        <w:t>г)</w:t>
      </w:r>
      <w:r w:rsidRPr="009072DA">
        <w:rPr>
          <w:lang w:val="bg-BG"/>
        </w:rPr>
        <w:tab/>
        <w:t>от глава 8</w:t>
      </w:r>
    </w:p>
    <w:p w:rsidR="00BF049A" w:rsidRPr="009072DA" w:rsidRDefault="00ED0C30" w:rsidP="00BF049A">
      <w:pPr>
        <w:pStyle w:val="Esletgauchepar"/>
        <w:rPr>
          <w:rFonts w:cs="Arial"/>
        </w:rPr>
      </w:pPr>
      <w:r w:rsidRPr="009072DA">
        <w:t>член 8.03, точка 3 за морски плавателни съдове, когато автоматично спирателно устройство може да бъде изключено от поста за  управление; член 8.05, точка 13, член 8.08, точка 10, член 8.09, точки 1 и 2 и член 8.10.</w:t>
      </w:r>
    </w:p>
    <w:p w:rsidR="00BF049A" w:rsidRPr="009072DA" w:rsidRDefault="00BF049A" w:rsidP="00BF049A">
      <w:pPr>
        <w:pStyle w:val="Esletgauchepar"/>
        <w:rPr>
          <w:rFonts w:cs="Arial"/>
        </w:rPr>
      </w:pPr>
      <w:r w:rsidRPr="009072DA">
        <w:t>Заключването на пробките в положението, посочено в член 8.08, точка 10, се счита за равностойнo на запечатване на спиранията на дренажна система, чрез която нефтосъдържаща вода може да бъде изпомпена от плавателния съд. Изискваните ключ или ключове трябва да се съхраняват на централно място, което се маркира съответно.</w:t>
      </w:r>
    </w:p>
    <w:p w:rsidR="00BF049A" w:rsidRPr="009072DA" w:rsidRDefault="00BF049A" w:rsidP="00BF049A">
      <w:pPr>
        <w:pStyle w:val="Esletgauchepar"/>
        <w:rPr>
          <w:rFonts w:cs="Arial"/>
        </w:rPr>
      </w:pPr>
      <w:r w:rsidRPr="009072DA">
        <w:t>Система за следене и контрол на изпускането на нефт в съответствие с Регламент 16 от Международната конвенция за предотвратяване на замърсяването от плавателни съдове (MARPOL) 73/78 се счита за равностойна на заключването на пробките в положението, посочено в член 8.08, точка 10. Съществуването на система за следене и контрол трябва да бъде удостоверено с международно удостоверение за предотвратяване замърсяването с нефт (IOPP), което съответства на изискванията на Международната конвенция за предотвратяване на замърсяването от плавателни съдове (MARPOL) 73/78.</w:t>
      </w:r>
    </w:p>
    <w:p w:rsidR="00BF049A" w:rsidRPr="009072DA" w:rsidRDefault="00BF049A" w:rsidP="00BF049A">
      <w:pPr>
        <w:pStyle w:val="Esletgauchepar"/>
        <w:rPr>
          <w:rFonts w:cs="Arial"/>
        </w:rPr>
      </w:pPr>
      <w:r w:rsidRPr="009072DA">
        <w:t>Ако удостоверението за предотвратяване замърсяването с нефт посочва, че плавателният съд е оборудван с резервоари за събиране на води, които позволяват всички замърсени с нефтопродукти води и остатъци от нефтопродукти да се съхраняват на борда, член 8.09, точка 2 трябва да се счита за спазен;</w:t>
      </w:r>
    </w:p>
    <w:p w:rsidR="00BF049A" w:rsidRPr="009072DA" w:rsidRDefault="0029453D" w:rsidP="00BF049A">
      <w:pPr>
        <w:pStyle w:val="ESletgauche"/>
        <w:rPr>
          <w:rFonts w:cs="Arial"/>
          <w:szCs w:val="20"/>
          <w:lang w:val="bg-BG"/>
        </w:rPr>
      </w:pPr>
      <w:r w:rsidRPr="009072DA">
        <w:rPr>
          <w:lang w:val="bg-BG"/>
        </w:rPr>
        <w:lastRenderedPageBreak/>
        <w:t>д)</w:t>
      </w:r>
      <w:r w:rsidRPr="009072DA">
        <w:rPr>
          <w:lang w:val="bg-BG"/>
        </w:rPr>
        <w:tab/>
        <w:t>от глава 10:</w:t>
      </w:r>
    </w:p>
    <w:p w:rsidR="00BF049A" w:rsidRPr="009072DA" w:rsidRDefault="00ED0C30" w:rsidP="00BF049A">
      <w:pPr>
        <w:pStyle w:val="Esletgauchepar"/>
        <w:rPr>
          <w:rFonts w:cs="Arial"/>
        </w:rPr>
      </w:pPr>
      <w:r w:rsidRPr="009072DA">
        <w:t>член 10.17;</w:t>
      </w:r>
    </w:p>
    <w:p w:rsidR="00BF049A" w:rsidRPr="009072DA" w:rsidRDefault="0029453D" w:rsidP="00BF049A">
      <w:pPr>
        <w:pStyle w:val="ESletgauche"/>
        <w:rPr>
          <w:rFonts w:cs="Arial"/>
          <w:szCs w:val="20"/>
          <w:lang w:val="bg-BG"/>
        </w:rPr>
      </w:pPr>
      <w:r w:rsidRPr="009072DA">
        <w:rPr>
          <w:lang w:val="bg-BG"/>
        </w:rPr>
        <w:t>е)</w:t>
      </w:r>
      <w:r w:rsidRPr="009072DA">
        <w:rPr>
          <w:lang w:val="bg-BG"/>
        </w:rPr>
        <w:tab/>
        <w:t>от глава 13:</w:t>
      </w:r>
    </w:p>
    <w:p w:rsidR="00BF049A" w:rsidRPr="009072DA" w:rsidRDefault="00ED0C30" w:rsidP="00BF049A">
      <w:pPr>
        <w:pStyle w:val="Esletgauchepar"/>
        <w:rPr>
          <w:rFonts w:cs="Arial"/>
        </w:rPr>
      </w:pPr>
      <w:r w:rsidRPr="009072DA">
        <w:t>членове 13.01 и 13.02, точка 1;</w:t>
      </w:r>
    </w:p>
    <w:p w:rsidR="00BF049A" w:rsidRPr="009072DA" w:rsidRDefault="0029453D" w:rsidP="00BF049A">
      <w:pPr>
        <w:pStyle w:val="ESletgauche"/>
        <w:rPr>
          <w:rFonts w:cs="Arial"/>
          <w:szCs w:val="20"/>
          <w:lang w:val="bg-BG"/>
        </w:rPr>
      </w:pPr>
      <w:r w:rsidRPr="009072DA">
        <w:rPr>
          <w:lang w:val="bg-BG"/>
        </w:rPr>
        <w:t>ж)</w:t>
      </w:r>
      <w:r w:rsidRPr="009072DA">
        <w:rPr>
          <w:lang w:val="bg-BG"/>
        </w:rPr>
        <w:tab/>
        <w:t>глава 21,</w:t>
      </w:r>
    </w:p>
    <w:p w:rsidR="00BF049A" w:rsidRPr="009072DA" w:rsidRDefault="00BF049A" w:rsidP="00BF049A">
      <w:pPr>
        <w:pStyle w:val="Esletgauchepar"/>
        <w:rPr>
          <w:rFonts w:cs="Arial"/>
        </w:rPr>
      </w:pPr>
      <w:r w:rsidRPr="009072DA">
        <w:t>за морски плавателни съдове, на които е разрешено да формират част от състав;</w:t>
      </w:r>
    </w:p>
    <w:p w:rsidR="00BF049A" w:rsidRPr="009072DA" w:rsidRDefault="0029453D" w:rsidP="00BF049A">
      <w:pPr>
        <w:pStyle w:val="ESletgauche"/>
        <w:rPr>
          <w:rFonts w:cs="Arial"/>
          <w:szCs w:val="20"/>
          <w:lang w:val="bg-BG"/>
        </w:rPr>
      </w:pPr>
      <w:r w:rsidRPr="009072DA">
        <w:rPr>
          <w:lang w:val="bg-BG"/>
        </w:rPr>
        <w:t>з)</w:t>
      </w:r>
      <w:r w:rsidRPr="009072DA">
        <w:rPr>
          <w:lang w:val="bg-BG"/>
        </w:rPr>
        <w:tab/>
        <w:t>Глава 27:</w:t>
      </w:r>
    </w:p>
    <w:p w:rsidR="00BF049A" w:rsidRPr="009072DA" w:rsidRDefault="00BF049A" w:rsidP="00BF049A">
      <w:pPr>
        <w:pStyle w:val="Esletgauchepar"/>
        <w:rPr>
          <w:rFonts w:cs="Arial"/>
        </w:rPr>
      </w:pPr>
      <w:r w:rsidRPr="009072DA">
        <w:t>Глава 27 се счита за спазена, когато устойчивостта е в съответствие с действащите резолюции на ИМО, съответните свързани с устойчивостта документи са одобрени от компетентния орган и контейнерите са обезпечени по начин, характерен за обичайното морско корабоплаване.</w:t>
      </w:r>
    </w:p>
    <w:p w:rsidR="00BF049A" w:rsidRPr="009072DA" w:rsidRDefault="00BF049A" w:rsidP="00BF049A">
      <w:pPr>
        <w:pStyle w:val="Esletgauchepar"/>
      </w:pPr>
    </w:p>
    <w:p w:rsidR="00D96486" w:rsidRPr="009072DA" w:rsidRDefault="00D96486" w:rsidP="00973DAA">
      <w:pPr>
        <w:pStyle w:val="ESch"/>
        <w:rPr>
          <w:lang w:val="bg-BG"/>
        </w:rPr>
      </w:pPr>
    </w:p>
    <w:p w:rsidR="00A71FF0" w:rsidRPr="009072DA" w:rsidRDefault="00A71FF0" w:rsidP="00973DAA">
      <w:pPr>
        <w:pStyle w:val="ESch"/>
        <w:rPr>
          <w:lang w:val="bg-BG"/>
        </w:rPr>
      </w:pPr>
      <w:r w:rsidRPr="009072DA">
        <w:rPr>
          <w:lang w:val="bg-BG"/>
        </w:rPr>
        <w:br w:type="page"/>
      </w:r>
    </w:p>
    <w:p w:rsidR="00A71FF0" w:rsidRPr="009072DA" w:rsidRDefault="00A71FF0" w:rsidP="00973DAA">
      <w:pPr>
        <w:pStyle w:val="ESch"/>
        <w:rPr>
          <w:lang w:val="bg-BG"/>
        </w:rPr>
      </w:pPr>
    </w:p>
    <w:p w:rsidR="00A71FF0" w:rsidRPr="009072DA" w:rsidRDefault="00A71FF0" w:rsidP="00973DAA">
      <w:pPr>
        <w:pStyle w:val="ESch"/>
        <w:rPr>
          <w:lang w:val="bg-BG"/>
        </w:rPr>
      </w:pPr>
    </w:p>
    <w:p w:rsidR="00D96486" w:rsidRPr="009072DA" w:rsidRDefault="00D96486" w:rsidP="00973DAA">
      <w:pPr>
        <w:pStyle w:val="ESch"/>
        <w:rPr>
          <w:lang w:val="bg-BG"/>
        </w:rPr>
      </w:pPr>
    </w:p>
    <w:p w:rsidR="00BF049A" w:rsidRPr="009072DA" w:rsidRDefault="00BF049A" w:rsidP="00BF049A">
      <w:pPr>
        <w:pStyle w:val="ES-Titre2"/>
        <w:rPr>
          <w:szCs w:val="24"/>
        </w:rPr>
      </w:pPr>
      <w:bookmarkStart w:id="477" w:name="_Toc491854236"/>
      <w:bookmarkStart w:id="478" w:name="_Toc535827677"/>
      <w:r w:rsidRPr="009072DA">
        <w:lastRenderedPageBreak/>
        <w:t>Глава 26</w:t>
      </w:r>
      <w:r w:rsidRPr="009072DA">
        <w:br/>
      </w:r>
      <w:r w:rsidRPr="009072DA">
        <w:rPr>
          <w:sz w:val="22"/>
        </w:rPr>
        <w:t>Специални разпоредби, приложими за плавателните съдове за отдих</w:t>
      </w:r>
      <w:bookmarkEnd w:id="477"/>
      <w:bookmarkEnd w:id="478"/>
    </w:p>
    <w:p w:rsidR="00BF049A" w:rsidRPr="009072DA" w:rsidRDefault="00BF049A" w:rsidP="00BF049A">
      <w:pPr>
        <w:rPr>
          <w:lang w:val="bg-BG"/>
        </w:rPr>
      </w:pPr>
    </w:p>
    <w:p w:rsidR="00BF049A" w:rsidRPr="009072DA" w:rsidRDefault="00BF049A" w:rsidP="00BF049A">
      <w:pPr>
        <w:pStyle w:val="ES-Titre3"/>
        <w:rPr>
          <w:rFonts w:cs="Arial"/>
          <w:i/>
          <w:szCs w:val="18"/>
          <w:lang w:val="bg-BG"/>
        </w:rPr>
      </w:pPr>
      <w:bookmarkStart w:id="479" w:name="_Toc491854237"/>
      <w:bookmarkStart w:id="480" w:name="_Toc535827678"/>
      <w:r w:rsidRPr="009072DA">
        <w:rPr>
          <w:lang w:val="bg-BG"/>
        </w:rPr>
        <w:t>Член 26.01</w:t>
      </w:r>
      <w:r w:rsidRPr="009072DA">
        <w:rPr>
          <w:lang w:val="bg-BG"/>
        </w:rPr>
        <w:br/>
      </w:r>
      <w:r w:rsidRPr="009072DA">
        <w:rPr>
          <w:i/>
          <w:lang w:val="bg-BG"/>
        </w:rPr>
        <w:t>Прилагане на част II</w:t>
      </w:r>
      <w:bookmarkEnd w:id="479"/>
      <w:bookmarkEnd w:id="480"/>
    </w:p>
    <w:p w:rsidR="00BF049A" w:rsidRPr="009072DA" w:rsidRDefault="00BF049A" w:rsidP="00BF049A">
      <w:pPr>
        <w:pStyle w:val="ESch"/>
        <w:rPr>
          <w:rFonts w:eastAsia="Calibri"/>
          <w:lang w:val="bg-BG"/>
        </w:rPr>
      </w:pPr>
    </w:p>
    <w:p w:rsidR="00DE2419" w:rsidRPr="009072DA" w:rsidRDefault="00DE2419" w:rsidP="00DE2419">
      <w:pPr>
        <w:pStyle w:val="ESch"/>
        <w:rPr>
          <w:rFonts w:eastAsia="Calibri" w:cs="Arial"/>
          <w:szCs w:val="18"/>
          <w:lang w:val="bg-BG"/>
        </w:rPr>
      </w:pPr>
      <w:r w:rsidRPr="009072DA">
        <w:rPr>
          <w:lang w:val="bg-BG"/>
        </w:rPr>
        <w:t xml:space="preserve">1. </w:t>
      </w:r>
      <w:r w:rsidRPr="009072DA">
        <w:rPr>
          <w:lang w:val="bg-BG"/>
        </w:rPr>
        <w:tab/>
        <w:t>Плавателните съдове за отдих трябва да отговарят на изброените по-долу изисквания:</w:t>
      </w:r>
    </w:p>
    <w:p w:rsidR="00DE2419" w:rsidRPr="009072DA" w:rsidRDefault="00DE2419" w:rsidP="00DE2419">
      <w:pPr>
        <w:pStyle w:val="ESlet"/>
        <w:rPr>
          <w:rFonts w:eastAsia="Calibri" w:cs="Arial"/>
          <w:szCs w:val="18"/>
          <w:lang w:val="bg-BG"/>
        </w:rPr>
      </w:pPr>
      <w:r w:rsidRPr="009072DA">
        <w:rPr>
          <w:lang w:val="bg-BG"/>
        </w:rPr>
        <w:t>a)</w:t>
      </w:r>
      <w:r w:rsidRPr="009072DA">
        <w:rPr>
          <w:lang w:val="bg-BG"/>
        </w:rPr>
        <w:tab/>
        <w:t>от глава 3:</w:t>
      </w:r>
    </w:p>
    <w:p w:rsidR="00DE2419" w:rsidRPr="009072DA" w:rsidRDefault="00DE2419" w:rsidP="00DE2419">
      <w:pPr>
        <w:pStyle w:val="ESletpar"/>
        <w:rPr>
          <w:rFonts w:eastAsia="Calibri" w:cs="Arial"/>
          <w:szCs w:val="18"/>
          <w:lang w:val="bg-BG"/>
        </w:rPr>
      </w:pPr>
      <w:r w:rsidRPr="009072DA">
        <w:rPr>
          <w:lang w:val="bg-BG"/>
        </w:rPr>
        <w:t>член 3.01, член 3.02, точка 1, буква a) и точка 2, член 3.03, точка 1, буква a) и точка 6, и член 3.04, точка 1;</w:t>
      </w:r>
    </w:p>
    <w:p w:rsidR="00DE2419" w:rsidRPr="009072DA" w:rsidRDefault="00DE2419" w:rsidP="00DE2419">
      <w:pPr>
        <w:pStyle w:val="ESlet"/>
        <w:rPr>
          <w:rFonts w:eastAsia="Calibri" w:cs="Arial"/>
          <w:szCs w:val="18"/>
          <w:lang w:val="bg-BG"/>
        </w:rPr>
      </w:pPr>
      <w:r w:rsidRPr="009072DA">
        <w:rPr>
          <w:lang w:val="bg-BG"/>
        </w:rPr>
        <w:t>б)</w:t>
      </w:r>
      <w:r w:rsidRPr="009072DA">
        <w:rPr>
          <w:lang w:val="bg-BG"/>
        </w:rPr>
        <w:tab/>
        <w:t>глава 5;</w:t>
      </w:r>
    </w:p>
    <w:p w:rsidR="00DE2419" w:rsidRPr="009072DA" w:rsidRDefault="00DE2419" w:rsidP="00DE2419">
      <w:pPr>
        <w:pStyle w:val="ESlet"/>
        <w:rPr>
          <w:rFonts w:eastAsia="Calibri" w:cs="Arial"/>
          <w:szCs w:val="18"/>
          <w:lang w:val="bg-BG"/>
        </w:rPr>
      </w:pPr>
      <w:r w:rsidRPr="009072DA">
        <w:rPr>
          <w:lang w:val="bg-BG"/>
        </w:rPr>
        <w:t>в)</w:t>
      </w:r>
      <w:r w:rsidRPr="009072DA">
        <w:rPr>
          <w:lang w:val="bg-BG"/>
        </w:rPr>
        <w:tab/>
        <w:t>от глава 6:</w:t>
      </w:r>
    </w:p>
    <w:p w:rsidR="00DE2419" w:rsidRPr="009072DA" w:rsidRDefault="00DE2419" w:rsidP="00DE2419">
      <w:pPr>
        <w:pStyle w:val="ESletpar"/>
        <w:rPr>
          <w:rFonts w:eastAsia="Calibri" w:cs="Arial"/>
          <w:szCs w:val="18"/>
          <w:lang w:val="bg-BG"/>
        </w:rPr>
      </w:pPr>
      <w:r w:rsidRPr="009072DA">
        <w:rPr>
          <w:lang w:val="bg-BG"/>
        </w:rPr>
        <w:t>член 6.01, точка 1, и член 6.08;</w:t>
      </w:r>
    </w:p>
    <w:p w:rsidR="00DE2419" w:rsidRPr="009072DA" w:rsidRDefault="00DE2419" w:rsidP="00DE2419">
      <w:pPr>
        <w:pStyle w:val="ESlet"/>
        <w:rPr>
          <w:rFonts w:eastAsia="Calibri" w:cs="Arial"/>
          <w:szCs w:val="18"/>
          <w:lang w:val="bg-BG"/>
        </w:rPr>
      </w:pPr>
      <w:r w:rsidRPr="009072DA">
        <w:rPr>
          <w:lang w:val="bg-BG"/>
        </w:rPr>
        <w:t>г)</w:t>
      </w:r>
      <w:r w:rsidRPr="009072DA">
        <w:rPr>
          <w:lang w:val="bg-BG"/>
        </w:rPr>
        <w:tab/>
        <w:t>от глава 7:</w:t>
      </w:r>
    </w:p>
    <w:p w:rsidR="00DE2419" w:rsidRPr="009072DA" w:rsidRDefault="00DE2419" w:rsidP="00DE2419">
      <w:pPr>
        <w:pStyle w:val="ESletpar"/>
        <w:rPr>
          <w:rFonts w:eastAsia="Calibri"/>
          <w:lang w:val="bg-BG"/>
        </w:rPr>
      </w:pPr>
      <w:r w:rsidRPr="009072DA">
        <w:rPr>
          <w:lang w:val="bg-BG"/>
        </w:rPr>
        <w:t xml:space="preserve">член 7.01, точки 1 и 2, член 7.02, член 7.03, точки 1 и 2, член 7.04, точка 1, член 7.05, точка 2, </w:t>
      </w:r>
    </w:p>
    <w:p w:rsidR="00DE2419" w:rsidRPr="009072DA" w:rsidRDefault="00DE2419" w:rsidP="00DE2419">
      <w:pPr>
        <w:pStyle w:val="ESletpar"/>
        <w:rPr>
          <w:rFonts w:eastAsia="Calibri" w:cs="Arial"/>
          <w:szCs w:val="18"/>
          <w:lang w:val="bg-BG"/>
        </w:rPr>
      </w:pPr>
      <w:r w:rsidRPr="009072DA">
        <w:rPr>
          <w:lang w:val="bg-BG"/>
        </w:rPr>
        <w:t>Член 7.13, ако е налице рулева рубка, проектирана за управление  с радиолокационни средства от едно лице;</w:t>
      </w:r>
    </w:p>
    <w:p w:rsidR="00DE2419" w:rsidRPr="009072DA" w:rsidRDefault="00DE2419" w:rsidP="00DE2419">
      <w:pPr>
        <w:pStyle w:val="ESlet"/>
        <w:rPr>
          <w:rFonts w:eastAsia="Calibri" w:cs="Arial"/>
          <w:szCs w:val="18"/>
          <w:lang w:val="bg-BG"/>
        </w:rPr>
      </w:pPr>
      <w:r w:rsidRPr="009072DA">
        <w:rPr>
          <w:lang w:val="bg-BG"/>
        </w:rPr>
        <w:t>д)</w:t>
      </w:r>
      <w:r w:rsidRPr="009072DA">
        <w:rPr>
          <w:lang w:val="bg-BG"/>
        </w:rPr>
        <w:tab/>
        <w:t>от глава 8:</w:t>
      </w:r>
    </w:p>
    <w:p w:rsidR="00DE2419" w:rsidRPr="009072DA" w:rsidRDefault="00DE2419" w:rsidP="00DE2419">
      <w:pPr>
        <w:pStyle w:val="ESletpar"/>
        <w:rPr>
          <w:rFonts w:eastAsia="Calibri"/>
          <w:lang w:val="bg-BG"/>
        </w:rPr>
      </w:pPr>
      <w:r w:rsidRPr="009072DA">
        <w:rPr>
          <w:lang w:val="bg-BG"/>
        </w:rPr>
        <w:t>член 8.01, точки 1 и 2, член 8.02, точки 1 и 2, член 8.03, точки 1 и 3, член 8.04, член 8.05, точки 1 — 10 и точка 13, член 8.06, член 8.07, член 8.08, точки 1, 2, 5, 7 и 10, член 8.09, 1, и член 8.10;</w:t>
      </w:r>
    </w:p>
    <w:p w:rsidR="00DE2419" w:rsidRPr="009072DA" w:rsidRDefault="00DE2419" w:rsidP="00DE2419">
      <w:pPr>
        <w:pStyle w:val="ESlet"/>
        <w:rPr>
          <w:rFonts w:eastAsia="Calibri" w:cs="Arial"/>
          <w:szCs w:val="18"/>
          <w:lang w:val="bg-BG"/>
        </w:rPr>
      </w:pPr>
      <w:r w:rsidRPr="009072DA">
        <w:rPr>
          <w:lang w:val="bg-BG"/>
        </w:rPr>
        <w:t>е)</w:t>
      </w:r>
      <w:r w:rsidRPr="009072DA">
        <w:rPr>
          <w:lang w:val="bg-BG"/>
        </w:rPr>
        <w:tab/>
        <w:t>глава 9;</w:t>
      </w:r>
    </w:p>
    <w:p w:rsidR="00DE2419" w:rsidRPr="009072DA" w:rsidRDefault="00DE2419" w:rsidP="00DE2419">
      <w:pPr>
        <w:pStyle w:val="ESlet"/>
        <w:rPr>
          <w:rFonts w:eastAsia="Calibri" w:cs="Arial"/>
          <w:szCs w:val="18"/>
          <w:lang w:val="bg-BG"/>
        </w:rPr>
      </w:pPr>
      <w:r w:rsidRPr="009072DA">
        <w:rPr>
          <w:lang w:val="bg-BG"/>
        </w:rPr>
        <w:t>ж)</w:t>
      </w:r>
      <w:r w:rsidRPr="009072DA">
        <w:rPr>
          <w:lang w:val="bg-BG"/>
        </w:rPr>
        <w:tab/>
        <w:t>от глава 10:</w:t>
      </w:r>
    </w:p>
    <w:p w:rsidR="00DE2419" w:rsidRPr="009072DA" w:rsidRDefault="00DE2419" w:rsidP="00DE2419">
      <w:pPr>
        <w:pStyle w:val="ESletpar"/>
        <w:rPr>
          <w:rFonts w:eastAsia="Calibri" w:cs="Arial"/>
          <w:szCs w:val="18"/>
          <w:lang w:val="bg-BG"/>
        </w:rPr>
      </w:pPr>
      <w:r w:rsidRPr="009072DA">
        <w:rPr>
          <w:lang w:val="bg-BG"/>
        </w:rPr>
        <w:t xml:space="preserve">член 10.01, точка 1, </w:t>
      </w:r>
      <w:r w:rsidRPr="009072DA">
        <w:rPr>
          <w:i/>
          <w:lang w:val="bg-BG"/>
        </w:rPr>
        <w:t>mutatis mutandis</w:t>
      </w:r>
      <w:r w:rsidRPr="009072DA">
        <w:rPr>
          <w:lang w:val="bg-BG"/>
        </w:rPr>
        <w:t>;</w:t>
      </w:r>
    </w:p>
    <w:p w:rsidR="00DE2419" w:rsidRPr="009072DA" w:rsidRDefault="00DE2419" w:rsidP="00DE2419">
      <w:pPr>
        <w:pStyle w:val="ESlet"/>
        <w:rPr>
          <w:rFonts w:eastAsia="Calibri" w:cs="Arial"/>
          <w:szCs w:val="18"/>
          <w:lang w:val="bg-BG"/>
        </w:rPr>
      </w:pPr>
      <w:r w:rsidRPr="009072DA">
        <w:rPr>
          <w:lang w:val="bg-BG"/>
        </w:rPr>
        <w:t>з)</w:t>
      </w:r>
      <w:r w:rsidRPr="009072DA">
        <w:rPr>
          <w:lang w:val="bg-BG"/>
        </w:rPr>
        <w:tab/>
        <w:t>от глава 13:</w:t>
      </w:r>
    </w:p>
    <w:p w:rsidR="00DE2419" w:rsidRPr="009072DA" w:rsidRDefault="00DE2419" w:rsidP="00DE2419">
      <w:pPr>
        <w:pStyle w:val="ESletpar"/>
        <w:rPr>
          <w:rFonts w:eastAsia="Calibri" w:cs="Arial"/>
          <w:szCs w:val="18"/>
          <w:lang w:val="bg-BG"/>
        </w:rPr>
      </w:pPr>
      <w:r w:rsidRPr="009072DA">
        <w:rPr>
          <w:lang w:val="bg-BG"/>
        </w:rPr>
        <w:t>член 13.01, точки 2, 3 и 5 — 14, член 13.02, точка 1, букви a) — в), и точка 3, букви a) и д) — з), член 13.03, точка 1, букви a), б) и г): все пак, на борда трябва да има поне два пожарогасителя; член 13.03, точки 2 — 6, член 13.04, членове 13.05, 13.07, и 13.08;</w:t>
      </w:r>
    </w:p>
    <w:p w:rsidR="00DE2419" w:rsidRPr="009072DA" w:rsidRDefault="00DE2419" w:rsidP="00DE2419">
      <w:pPr>
        <w:pStyle w:val="ESlet"/>
        <w:rPr>
          <w:rFonts w:eastAsia="Calibri" w:cs="Arial"/>
          <w:szCs w:val="18"/>
          <w:lang w:val="bg-BG"/>
        </w:rPr>
      </w:pPr>
      <w:r w:rsidRPr="009072DA">
        <w:rPr>
          <w:lang w:val="bg-BG"/>
        </w:rPr>
        <w:t>и)</w:t>
      </w:r>
      <w:r w:rsidRPr="009072DA">
        <w:rPr>
          <w:lang w:val="bg-BG"/>
        </w:rPr>
        <w:tab/>
        <w:t>глава 16;</w:t>
      </w:r>
    </w:p>
    <w:p w:rsidR="00DE2419" w:rsidRPr="009072DA" w:rsidRDefault="00DE2419" w:rsidP="00DE2419">
      <w:pPr>
        <w:pStyle w:val="ESlet"/>
        <w:rPr>
          <w:rFonts w:eastAsia="Calibri" w:cs="Arial"/>
          <w:szCs w:val="18"/>
          <w:lang w:val="bg-BG"/>
        </w:rPr>
      </w:pPr>
      <w:r w:rsidRPr="009072DA">
        <w:rPr>
          <w:lang w:val="bg-BG"/>
        </w:rPr>
        <w:t>й)</w:t>
      </w:r>
      <w:r w:rsidRPr="009072DA">
        <w:rPr>
          <w:lang w:val="bg-BG"/>
        </w:rPr>
        <w:tab/>
        <w:t>глава 17.</w:t>
      </w:r>
    </w:p>
    <w:p w:rsidR="00BF049A" w:rsidRPr="009072DA" w:rsidRDefault="00BF049A" w:rsidP="00BF049A">
      <w:pPr>
        <w:pStyle w:val="ESch"/>
        <w:rPr>
          <w:rFonts w:eastAsia="Calibri"/>
          <w:lang w:val="bg-BG"/>
        </w:rPr>
      </w:pPr>
    </w:p>
    <w:p w:rsidR="00BF049A" w:rsidRPr="009072DA" w:rsidRDefault="00BF049A" w:rsidP="00BF049A">
      <w:pPr>
        <w:pStyle w:val="ESch"/>
        <w:rPr>
          <w:rFonts w:eastAsia="Calibri" w:cs="Arial"/>
          <w:szCs w:val="18"/>
          <w:lang w:val="bg-BG"/>
        </w:rPr>
      </w:pPr>
      <w:r w:rsidRPr="009072DA">
        <w:rPr>
          <w:lang w:val="bg-BG"/>
        </w:rPr>
        <w:lastRenderedPageBreak/>
        <w:t>2.</w:t>
      </w:r>
      <w:r w:rsidRPr="009072DA">
        <w:rPr>
          <w:lang w:val="bg-BG"/>
        </w:rPr>
        <w:tab/>
        <w:t>Относно плавателните съдове за отдих, които са предмет на Директива 2013/53/ЕС</w:t>
      </w:r>
      <w:r w:rsidRPr="009072DA">
        <w:rPr>
          <w:rStyle w:val="FootnoteReference"/>
          <w:lang w:val="bg-BG"/>
        </w:rPr>
        <w:footnoteReference w:id="22"/>
      </w:r>
      <w:r w:rsidRPr="009072DA">
        <w:rPr>
          <w:lang w:val="bg-BG"/>
        </w:rPr>
        <w:t>, първоначалната проверка и периодичните проверки засягат само:</w:t>
      </w:r>
    </w:p>
    <w:p w:rsidR="00BF049A" w:rsidRPr="009072DA" w:rsidRDefault="005C7859" w:rsidP="00BF049A">
      <w:pPr>
        <w:pStyle w:val="ESlet"/>
        <w:rPr>
          <w:rFonts w:eastAsia="Calibri" w:cs="Arial"/>
          <w:szCs w:val="18"/>
          <w:lang w:val="bg-BG"/>
        </w:rPr>
      </w:pPr>
      <w:r w:rsidRPr="009072DA">
        <w:rPr>
          <w:lang w:val="bg-BG"/>
        </w:rPr>
        <w:t>a)</w:t>
      </w:r>
      <w:r w:rsidRPr="009072DA">
        <w:rPr>
          <w:lang w:val="bg-BG"/>
        </w:rPr>
        <w:tab/>
        <w:t>член 6.08, ако е налице регулатор на ъгловата скорост на поворот;</w:t>
      </w:r>
    </w:p>
    <w:p w:rsidR="00BF049A" w:rsidRPr="009072DA" w:rsidRDefault="005C7859" w:rsidP="00BF049A">
      <w:pPr>
        <w:pStyle w:val="ESlet"/>
        <w:rPr>
          <w:rFonts w:eastAsia="Calibri" w:cs="Arial"/>
          <w:szCs w:val="18"/>
          <w:lang w:val="bg-BG"/>
        </w:rPr>
      </w:pPr>
      <w:r w:rsidRPr="009072DA">
        <w:rPr>
          <w:lang w:val="bg-BG"/>
        </w:rPr>
        <w:t>б)</w:t>
      </w:r>
      <w:r w:rsidRPr="009072DA">
        <w:rPr>
          <w:lang w:val="bg-BG"/>
        </w:rPr>
        <w:tab/>
        <w:t>член 7.01, точка 2, член 7.02, член 7.03, точка 1 и член 7.13, ако е налице рулева рубка, оборудвана за управление  с радиолокационни средства от едно лице;</w:t>
      </w:r>
    </w:p>
    <w:p w:rsidR="00BF049A" w:rsidRPr="009072DA" w:rsidRDefault="005C7859" w:rsidP="00BF049A">
      <w:pPr>
        <w:pStyle w:val="ESlet"/>
        <w:rPr>
          <w:rFonts w:eastAsia="Calibri" w:cs="Arial"/>
          <w:szCs w:val="18"/>
          <w:lang w:val="bg-BG"/>
        </w:rPr>
      </w:pPr>
      <w:r w:rsidRPr="009072DA">
        <w:rPr>
          <w:lang w:val="bg-BG"/>
        </w:rPr>
        <w:t>в)</w:t>
      </w:r>
      <w:r w:rsidRPr="009072DA">
        <w:rPr>
          <w:lang w:val="bg-BG"/>
        </w:rPr>
        <w:tab/>
        <w:t>член 8.01, точка 2, член 8.02, точка 1, член 8.03, точка 3, член 8.05, точка 5, член 8.08, точка 2, и член 8.10;</w:t>
      </w:r>
    </w:p>
    <w:p w:rsidR="00BF049A" w:rsidRPr="009072DA" w:rsidRDefault="00BF049A" w:rsidP="00BF049A">
      <w:pPr>
        <w:pStyle w:val="ESlet"/>
        <w:rPr>
          <w:rFonts w:eastAsia="Calibri"/>
          <w:lang w:val="bg-BG"/>
        </w:rPr>
      </w:pPr>
    </w:p>
    <w:p w:rsidR="00BF049A" w:rsidRPr="009072DA" w:rsidRDefault="00BF049A" w:rsidP="00BF049A">
      <w:pPr>
        <w:pStyle w:val="ESlet"/>
        <w:rPr>
          <w:rFonts w:eastAsia="Calibri"/>
          <w:lang w:val="bg-BG"/>
        </w:rPr>
      </w:pPr>
      <w:r w:rsidRPr="009072DA">
        <w:rPr>
          <w:lang w:val="bg-BG"/>
        </w:rPr>
        <w:br w:type="page"/>
      </w:r>
    </w:p>
    <w:p w:rsidR="00BF049A" w:rsidRPr="009072DA" w:rsidRDefault="0029453D" w:rsidP="00BF049A">
      <w:pPr>
        <w:pStyle w:val="ESlet"/>
        <w:rPr>
          <w:rFonts w:eastAsia="Calibri" w:cs="Arial"/>
          <w:szCs w:val="18"/>
          <w:lang w:val="bg-BG"/>
        </w:rPr>
      </w:pPr>
      <w:r w:rsidRPr="009072DA">
        <w:rPr>
          <w:lang w:val="bg-BG"/>
        </w:rPr>
        <w:lastRenderedPageBreak/>
        <w:t>г)</w:t>
      </w:r>
      <w:r w:rsidRPr="009072DA">
        <w:rPr>
          <w:lang w:val="bg-BG"/>
        </w:rPr>
        <w:tab/>
        <w:t>член 13.01, точки 2, 3, 6 и 14, член 13.02, точка 1, буква б) и в), точка 3, буква a) и букви д) — з), член 13.03, точка 1, букви б) и г) и точки 2 — 6, и член 13.08;</w:t>
      </w:r>
    </w:p>
    <w:p w:rsidR="00BF049A" w:rsidRPr="009072DA" w:rsidRDefault="0029453D" w:rsidP="00BF049A">
      <w:pPr>
        <w:pStyle w:val="ESlet"/>
        <w:rPr>
          <w:rFonts w:eastAsia="Calibri" w:cs="Arial"/>
          <w:szCs w:val="18"/>
          <w:lang w:val="bg-BG"/>
        </w:rPr>
      </w:pPr>
      <w:r w:rsidRPr="009072DA">
        <w:rPr>
          <w:lang w:val="bg-BG"/>
        </w:rPr>
        <w:t>д)</w:t>
      </w:r>
      <w:r w:rsidRPr="009072DA">
        <w:rPr>
          <w:lang w:val="bg-BG"/>
        </w:rPr>
        <w:tab/>
        <w:t>глава 16;</w:t>
      </w:r>
    </w:p>
    <w:p w:rsidR="00BF049A" w:rsidRPr="009072DA" w:rsidRDefault="0029453D" w:rsidP="00BF049A">
      <w:pPr>
        <w:pStyle w:val="ESlet"/>
        <w:rPr>
          <w:rFonts w:eastAsia="Calibri" w:cs="Arial"/>
          <w:szCs w:val="18"/>
          <w:lang w:val="bg-BG"/>
        </w:rPr>
      </w:pPr>
      <w:r w:rsidRPr="009072DA">
        <w:rPr>
          <w:lang w:val="bg-BG"/>
        </w:rPr>
        <w:t>е)</w:t>
      </w:r>
      <w:r w:rsidRPr="009072DA">
        <w:rPr>
          <w:lang w:val="bg-BG"/>
        </w:rPr>
        <w:tab/>
        <w:t>от глава 17:</w:t>
      </w:r>
    </w:p>
    <w:p w:rsidR="00BF049A" w:rsidRPr="009072DA" w:rsidRDefault="0029453D" w:rsidP="00BF049A">
      <w:pPr>
        <w:pStyle w:val="EStiret"/>
        <w:rPr>
          <w:rFonts w:eastAsia="Calibri" w:cs="Arial"/>
          <w:noProof w:val="0"/>
          <w:szCs w:val="18"/>
          <w:lang w:val="bg-BG"/>
        </w:rPr>
      </w:pPr>
      <w:r w:rsidRPr="009072DA">
        <w:rPr>
          <w:noProof w:val="0"/>
          <w:lang w:val="bg-BG"/>
        </w:rPr>
        <w:t>aa)</w:t>
      </w:r>
      <w:r w:rsidRPr="009072DA">
        <w:rPr>
          <w:noProof w:val="0"/>
          <w:lang w:val="bg-BG"/>
        </w:rPr>
        <w:tab/>
        <w:t>член 17.12;</w:t>
      </w:r>
    </w:p>
    <w:p w:rsidR="00BF049A" w:rsidRPr="009072DA" w:rsidRDefault="0029453D" w:rsidP="00BF049A">
      <w:pPr>
        <w:pStyle w:val="EStiret"/>
        <w:rPr>
          <w:rFonts w:eastAsia="Calibri" w:cs="Arial"/>
          <w:noProof w:val="0"/>
          <w:szCs w:val="18"/>
          <w:lang w:val="bg-BG"/>
        </w:rPr>
      </w:pPr>
      <w:r w:rsidRPr="009072DA">
        <w:rPr>
          <w:noProof w:val="0"/>
          <w:lang w:val="bg-BG"/>
        </w:rPr>
        <w:t>бб)</w:t>
      </w:r>
      <w:r w:rsidRPr="009072DA">
        <w:rPr>
          <w:noProof w:val="0"/>
          <w:lang w:val="bg-BG"/>
        </w:rPr>
        <w:tab/>
        <w:t>член 17.13; приемното изпитване след пускане на уредбата за втечнен газ се провежда съгласно изискванията на Директива 2013/53/ЕС и на контролния орган се представя удостоверение за проверката;</w:t>
      </w:r>
    </w:p>
    <w:p w:rsidR="00BF049A" w:rsidRPr="009072DA" w:rsidRDefault="0029453D" w:rsidP="00BF049A">
      <w:pPr>
        <w:pStyle w:val="EStiret"/>
        <w:rPr>
          <w:rFonts w:eastAsia="Calibri" w:cs="Arial"/>
          <w:noProof w:val="0"/>
          <w:szCs w:val="18"/>
          <w:lang w:val="bg-BG"/>
        </w:rPr>
      </w:pPr>
      <w:r w:rsidRPr="009072DA">
        <w:rPr>
          <w:noProof w:val="0"/>
          <w:lang w:val="bg-BG"/>
        </w:rPr>
        <w:t>вв)</w:t>
      </w:r>
      <w:r w:rsidRPr="009072DA">
        <w:rPr>
          <w:noProof w:val="0"/>
          <w:lang w:val="bg-BG"/>
        </w:rPr>
        <w:tab/>
        <w:t>членове 17.14 и 17.15; уредбата за втечнен газ съответства на изискванията на Директива 2013/53/ЕС;</w:t>
      </w:r>
    </w:p>
    <w:p w:rsidR="00BF049A" w:rsidRPr="009072DA" w:rsidRDefault="00BF049A" w:rsidP="00BF049A">
      <w:pPr>
        <w:pStyle w:val="EStiret"/>
        <w:rPr>
          <w:rFonts w:eastAsia="Calibri" w:cs="Arial"/>
          <w:noProof w:val="0"/>
          <w:szCs w:val="18"/>
          <w:lang w:val="bg-BG"/>
        </w:rPr>
      </w:pPr>
      <w:r w:rsidRPr="009072DA">
        <w:rPr>
          <w:noProof w:val="0"/>
          <w:lang w:val="bg-BG"/>
        </w:rPr>
        <w:t>гг)</w:t>
      </w:r>
      <w:r w:rsidRPr="009072DA">
        <w:rPr>
          <w:noProof w:val="0"/>
          <w:lang w:val="bg-BG"/>
        </w:rPr>
        <w:tab/>
        <w:t>глава 17 изцяло, ако уредбата за втечнен газ е била поставена след пускането на пазара на плавателния съд за отдих.</w:t>
      </w:r>
    </w:p>
    <w:p w:rsidR="00BF049A" w:rsidRPr="009072DA" w:rsidRDefault="00BF049A" w:rsidP="00BF049A">
      <w:pPr>
        <w:pStyle w:val="EStiret"/>
        <w:rPr>
          <w:rFonts w:eastAsia="Calibri" w:cs="Arial"/>
          <w:noProof w:val="0"/>
          <w:szCs w:val="18"/>
          <w:lang w:val="bg-BG"/>
        </w:rPr>
      </w:pPr>
    </w:p>
    <w:p w:rsidR="00BF049A" w:rsidRPr="009072DA" w:rsidRDefault="00BF049A" w:rsidP="00973DAA">
      <w:pPr>
        <w:pStyle w:val="ESch"/>
        <w:rPr>
          <w:lang w:val="bg-BG"/>
        </w:rPr>
      </w:pPr>
    </w:p>
    <w:p w:rsidR="00BF049A" w:rsidRPr="009072DA" w:rsidRDefault="00BF049A" w:rsidP="00973DAA">
      <w:pPr>
        <w:pStyle w:val="ESch"/>
        <w:rPr>
          <w:lang w:val="bg-BG"/>
        </w:rPr>
      </w:pPr>
    </w:p>
    <w:p w:rsidR="00BF049A" w:rsidRPr="009072DA" w:rsidRDefault="00BF049A" w:rsidP="00BF049A">
      <w:pPr>
        <w:pStyle w:val="ES-Titre2"/>
        <w:rPr>
          <w:szCs w:val="24"/>
        </w:rPr>
      </w:pPr>
      <w:bookmarkStart w:id="481" w:name="_Toc491854238"/>
      <w:bookmarkStart w:id="482" w:name="_Toc535827679"/>
      <w:r w:rsidRPr="009072DA">
        <w:lastRenderedPageBreak/>
        <w:t>Глава 27</w:t>
      </w:r>
      <w:r w:rsidRPr="009072DA">
        <w:br/>
      </w:r>
      <w:r w:rsidRPr="009072DA">
        <w:rPr>
          <w:sz w:val="22"/>
        </w:rPr>
        <w:t>Специални разпоредби, приложими за плавателни съдове, превозващи контейнери</w:t>
      </w:r>
      <w:bookmarkEnd w:id="481"/>
      <w:bookmarkEnd w:id="482"/>
    </w:p>
    <w:p w:rsidR="00BF049A" w:rsidRPr="009072DA" w:rsidRDefault="00BF049A" w:rsidP="00BF049A">
      <w:pPr>
        <w:rPr>
          <w:lang w:val="bg-BG"/>
        </w:rPr>
      </w:pPr>
    </w:p>
    <w:p w:rsidR="00BF049A" w:rsidRPr="009072DA" w:rsidRDefault="00BF049A" w:rsidP="00BF049A">
      <w:pPr>
        <w:pStyle w:val="ES-Titre3"/>
        <w:rPr>
          <w:lang w:val="bg-BG"/>
        </w:rPr>
      </w:pPr>
      <w:bookmarkStart w:id="483" w:name="_Toc491854239"/>
      <w:bookmarkStart w:id="484" w:name="_Toc535827680"/>
      <w:r w:rsidRPr="009072DA">
        <w:rPr>
          <w:lang w:val="bg-BG"/>
        </w:rPr>
        <w:t>Член 27.01</w:t>
      </w:r>
      <w:r w:rsidRPr="009072DA">
        <w:rPr>
          <w:lang w:val="bg-BG"/>
        </w:rPr>
        <w:br/>
      </w:r>
      <w:r w:rsidRPr="009072DA">
        <w:rPr>
          <w:i/>
          <w:lang w:val="bg-BG"/>
        </w:rPr>
        <w:t>Общи положения</w:t>
      </w:r>
      <w:bookmarkEnd w:id="483"/>
      <w:bookmarkEnd w:id="484"/>
    </w:p>
    <w:p w:rsidR="00BF049A" w:rsidRPr="009072DA" w:rsidRDefault="00BF049A" w:rsidP="00BF049A">
      <w:pPr>
        <w:pStyle w:val="ESch"/>
        <w:rPr>
          <w:lang w:val="bg-BG"/>
        </w:rPr>
      </w:pPr>
    </w:p>
    <w:p w:rsidR="00BF049A" w:rsidRPr="009072DA" w:rsidRDefault="00BF049A" w:rsidP="00BF049A">
      <w:pPr>
        <w:pStyle w:val="ESch"/>
        <w:rPr>
          <w:rFonts w:cs="Arial"/>
          <w:szCs w:val="18"/>
          <w:lang w:val="bg-BG"/>
        </w:rPr>
      </w:pPr>
      <w:r w:rsidRPr="009072DA">
        <w:rPr>
          <w:lang w:val="bg-BG"/>
        </w:rPr>
        <w:t xml:space="preserve">1. </w:t>
      </w:r>
      <w:r w:rsidRPr="009072DA">
        <w:rPr>
          <w:lang w:val="bg-BG"/>
        </w:rPr>
        <w:tab/>
        <w:t>Разпоредбите на настоящата глава се прилагат за плавателните съдове, превозващи контейнери, за които се искат документи за устойчивостта съгласно приложимите разпоредби на навигационните служби на държавите членки</w:t>
      </w:r>
    </w:p>
    <w:p w:rsidR="00BF049A" w:rsidRPr="009072DA" w:rsidRDefault="00BF049A" w:rsidP="00BF049A">
      <w:pPr>
        <w:pStyle w:val="ESch"/>
        <w:rPr>
          <w:lang w:val="bg-BG"/>
        </w:rPr>
      </w:pPr>
    </w:p>
    <w:p w:rsidR="00BF049A" w:rsidRPr="009072DA" w:rsidRDefault="00BF049A" w:rsidP="00BF049A">
      <w:pPr>
        <w:pStyle w:val="ESchpar"/>
        <w:rPr>
          <w:rFonts w:cs="Arial"/>
          <w:szCs w:val="18"/>
          <w:lang w:val="bg-BG"/>
        </w:rPr>
      </w:pPr>
      <w:r w:rsidRPr="009072DA">
        <w:rPr>
          <w:lang w:val="bg-BG"/>
        </w:rPr>
        <w:t>Документите за устойчивостта се проверяват или препращат за проверка на друго място и съответно подпечатват от контролен орган.</w:t>
      </w:r>
    </w:p>
    <w:p w:rsidR="00BF049A" w:rsidRPr="009072DA" w:rsidRDefault="00BF049A" w:rsidP="00BF049A">
      <w:pPr>
        <w:pStyle w:val="ESch"/>
        <w:rPr>
          <w:lang w:val="bg-BG"/>
        </w:rPr>
      </w:pPr>
    </w:p>
    <w:p w:rsidR="00BF049A" w:rsidRPr="009072DA" w:rsidRDefault="00BF049A" w:rsidP="00BF049A">
      <w:pPr>
        <w:pStyle w:val="ESch"/>
        <w:rPr>
          <w:rFonts w:cs="Arial"/>
          <w:szCs w:val="18"/>
          <w:lang w:val="bg-BG"/>
        </w:rPr>
      </w:pPr>
      <w:r w:rsidRPr="009072DA">
        <w:rPr>
          <w:lang w:val="bg-BG"/>
        </w:rPr>
        <w:t xml:space="preserve">2. </w:t>
      </w:r>
      <w:r w:rsidRPr="009072DA">
        <w:rPr>
          <w:lang w:val="bg-BG"/>
        </w:rPr>
        <w:tab/>
        <w:t>Документите за устойчивостта осигуряват на капитана пълна информация за устойчивостта на плавателния съд за всички условия на натоварване.</w:t>
      </w:r>
    </w:p>
    <w:p w:rsidR="00BF049A" w:rsidRPr="009072DA" w:rsidRDefault="00BF049A" w:rsidP="00BF049A">
      <w:pPr>
        <w:pStyle w:val="ESch"/>
        <w:rPr>
          <w:lang w:val="bg-BG"/>
        </w:rPr>
      </w:pPr>
    </w:p>
    <w:p w:rsidR="00BF049A" w:rsidRPr="009072DA" w:rsidRDefault="00BF049A" w:rsidP="00BF049A">
      <w:pPr>
        <w:pStyle w:val="ESchpar"/>
        <w:rPr>
          <w:rFonts w:cs="Arial"/>
          <w:szCs w:val="18"/>
          <w:lang w:val="bg-BG"/>
        </w:rPr>
      </w:pPr>
      <w:r w:rsidRPr="009072DA">
        <w:rPr>
          <w:lang w:val="bg-BG"/>
        </w:rPr>
        <w:t>Документите за устойчивостта трябва да съдържат най-малко следното:</w:t>
      </w:r>
    </w:p>
    <w:p w:rsidR="00BF049A" w:rsidRPr="009072DA" w:rsidRDefault="005C7859" w:rsidP="00E370BE">
      <w:pPr>
        <w:pStyle w:val="ESlet"/>
        <w:rPr>
          <w:rFonts w:cs="Arial"/>
          <w:szCs w:val="18"/>
          <w:lang w:val="bg-BG"/>
        </w:rPr>
      </w:pPr>
      <w:r w:rsidRPr="009072DA">
        <w:rPr>
          <w:lang w:val="bg-BG"/>
        </w:rPr>
        <w:t>a)</w:t>
      </w:r>
      <w:r w:rsidRPr="009072DA">
        <w:rPr>
          <w:lang w:val="bg-BG"/>
        </w:rPr>
        <w:tab/>
        <w:t xml:space="preserve">информация за коефициентите на допустима устойчивост, за допустимите </w:t>
      </w:r>
      <m:oMath>
        <m:acc>
          <m:accPr>
            <m:chr m:val="̅"/>
            <m:ctrlPr>
              <w:rPr>
                <w:rFonts w:ascii="Cambria Math" w:hAnsi="Cambria Math"/>
                <w:i/>
                <w:lang w:val="bg-BG"/>
              </w:rPr>
            </m:ctrlPr>
          </m:accPr>
          <m:e>
            <m:r>
              <w:rPr>
                <w:rFonts w:ascii="Cambria Math" w:hAnsi="Cambria Math"/>
                <w:lang w:val="bg-BG"/>
              </w:rPr>
              <m:t>KG</m:t>
            </m:r>
          </m:e>
        </m:acc>
      </m:oMath>
      <w:r w:rsidRPr="009072DA">
        <w:rPr>
          <w:lang w:val="bg-BG"/>
        </w:rPr>
        <w:t xml:space="preserve"> - стойности или допустимите височини за центъра на тежестта на товара;</w:t>
      </w:r>
    </w:p>
    <w:p w:rsidR="00BF049A" w:rsidRPr="009072DA" w:rsidRDefault="005C7859" w:rsidP="00E370BE">
      <w:pPr>
        <w:pStyle w:val="ESlet"/>
        <w:rPr>
          <w:rFonts w:cs="Arial"/>
          <w:szCs w:val="18"/>
          <w:lang w:val="bg-BG"/>
        </w:rPr>
      </w:pPr>
      <w:r w:rsidRPr="009072DA">
        <w:rPr>
          <w:lang w:val="bg-BG"/>
        </w:rPr>
        <w:t>б)</w:t>
      </w:r>
      <w:r w:rsidRPr="009072DA">
        <w:rPr>
          <w:lang w:val="bg-BG"/>
        </w:rPr>
        <w:tab/>
        <w:t>данни относно пространствата, които могат да се пълнят с баластна вода;</w:t>
      </w:r>
    </w:p>
    <w:p w:rsidR="00BF049A" w:rsidRPr="009072DA" w:rsidRDefault="005C7859" w:rsidP="00E370BE">
      <w:pPr>
        <w:pStyle w:val="ESlet"/>
        <w:rPr>
          <w:rFonts w:cs="Arial"/>
          <w:szCs w:val="18"/>
          <w:lang w:val="bg-BG"/>
        </w:rPr>
      </w:pPr>
      <w:r w:rsidRPr="009072DA">
        <w:rPr>
          <w:lang w:val="bg-BG"/>
        </w:rPr>
        <w:t>в)</w:t>
      </w:r>
      <w:r w:rsidRPr="009072DA">
        <w:rPr>
          <w:lang w:val="bg-BG"/>
        </w:rPr>
        <w:tab/>
        <w:t>формуляри за проверка на устойчивостта;</w:t>
      </w:r>
    </w:p>
    <w:p w:rsidR="00BF049A" w:rsidRPr="009072DA" w:rsidRDefault="0029453D" w:rsidP="00E370BE">
      <w:pPr>
        <w:pStyle w:val="ESlet"/>
        <w:rPr>
          <w:rFonts w:cs="Arial"/>
          <w:szCs w:val="18"/>
          <w:lang w:val="bg-BG"/>
        </w:rPr>
      </w:pPr>
      <w:r w:rsidRPr="009072DA">
        <w:rPr>
          <w:lang w:val="bg-BG"/>
        </w:rPr>
        <w:t>г)</w:t>
      </w:r>
      <w:r w:rsidRPr="009072DA">
        <w:rPr>
          <w:lang w:val="bg-BG"/>
        </w:rPr>
        <w:tab/>
        <w:t>указания за употреба или пример за изчисление за използване от капитана.</w:t>
      </w:r>
    </w:p>
    <w:p w:rsidR="00BF049A" w:rsidRPr="009072DA" w:rsidRDefault="00BF049A" w:rsidP="00BF049A">
      <w:pPr>
        <w:pStyle w:val="ESch"/>
        <w:rPr>
          <w:lang w:val="bg-BG"/>
        </w:rPr>
      </w:pPr>
    </w:p>
    <w:p w:rsidR="00BF049A" w:rsidRPr="009072DA" w:rsidRDefault="00BF049A" w:rsidP="00BF049A">
      <w:pPr>
        <w:pStyle w:val="ESch"/>
        <w:rPr>
          <w:rFonts w:cs="Arial"/>
          <w:szCs w:val="18"/>
          <w:lang w:val="bg-BG"/>
        </w:rPr>
      </w:pPr>
      <w:r w:rsidRPr="009072DA">
        <w:rPr>
          <w:lang w:val="bg-BG"/>
        </w:rPr>
        <w:t xml:space="preserve">3. </w:t>
      </w:r>
      <w:r w:rsidRPr="009072DA">
        <w:rPr>
          <w:lang w:val="bg-BG"/>
        </w:rPr>
        <w:tab/>
        <w:t>За плавателни съдове, където е въпрос на избор дали контейнерите да се превозват закрепени или незакрепени, се прилагат различни методи на изчисление за доказване на устойчивостта при превоз на закрепени и незакрепени товари от контейнери.</w:t>
      </w:r>
    </w:p>
    <w:p w:rsidR="00BF049A" w:rsidRPr="009072DA" w:rsidRDefault="00BF049A" w:rsidP="00BF049A">
      <w:pPr>
        <w:pStyle w:val="ESch"/>
        <w:rPr>
          <w:lang w:val="bg-BG"/>
        </w:rPr>
      </w:pPr>
    </w:p>
    <w:p w:rsidR="00BF049A" w:rsidRPr="009072DA" w:rsidRDefault="00BF049A" w:rsidP="00BF049A">
      <w:pPr>
        <w:pStyle w:val="ESch"/>
        <w:rPr>
          <w:rFonts w:cs="Arial"/>
          <w:szCs w:val="18"/>
          <w:lang w:val="bg-BG"/>
        </w:rPr>
      </w:pPr>
      <w:r w:rsidRPr="009072DA">
        <w:rPr>
          <w:lang w:val="bg-BG"/>
        </w:rPr>
        <w:t>4.</w:t>
      </w:r>
      <w:r w:rsidRPr="009072DA">
        <w:rPr>
          <w:lang w:val="bg-BG"/>
        </w:rPr>
        <w:tab/>
        <w:t>Товар от контейнери се смята за закрепен само ако всеки отделен контейнер е здраво прикачен към корпуса на плавателния съд чрез направляващо устройство или закрепващо оборудване и мястото му не се променя по време на пътуването.</w:t>
      </w:r>
    </w:p>
    <w:p w:rsidR="00BF049A" w:rsidRPr="009072DA" w:rsidRDefault="00BF049A" w:rsidP="00BF049A">
      <w:pPr>
        <w:pStyle w:val="ESch"/>
        <w:rPr>
          <w:rFonts w:eastAsia="Calibri" w:cs="Arial"/>
          <w:szCs w:val="18"/>
          <w:lang w:val="bg-BG"/>
        </w:rPr>
      </w:pPr>
    </w:p>
    <w:p w:rsidR="00BF049A" w:rsidRPr="009072DA" w:rsidRDefault="00BF049A" w:rsidP="00BF049A">
      <w:pPr>
        <w:pStyle w:val="ESch"/>
        <w:rPr>
          <w:rFonts w:eastAsia="Calibri" w:cs="Arial"/>
          <w:szCs w:val="18"/>
          <w:lang w:val="bg-BG"/>
        </w:rPr>
      </w:pPr>
    </w:p>
    <w:p w:rsidR="00BF049A" w:rsidRPr="009072DA" w:rsidRDefault="00BF049A" w:rsidP="00BF049A">
      <w:pPr>
        <w:pStyle w:val="ES-Titre3"/>
        <w:rPr>
          <w:rFonts w:cs="Arial"/>
          <w:i/>
          <w:szCs w:val="18"/>
          <w:lang w:val="bg-BG"/>
        </w:rPr>
      </w:pPr>
      <w:bookmarkStart w:id="485" w:name="_Toc491854240"/>
      <w:bookmarkStart w:id="486" w:name="_Toc535827681"/>
      <w:r w:rsidRPr="009072DA">
        <w:rPr>
          <w:rStyle w:val="ES-Titre3Car"/>
          <w:b/>
          <w:lang w:val="bg-BG"/>
        </w:rPr>
        <w:t>Член 27.02</w:t>
      </w:r>
      <w:r w:rsidRPr="009072DA">
        <w:rPr>
          <w:rStyle w:val="ES-Titre3Car"/>
          <w:b/>
          <w:lang w:val="bg-BG"/>
        </w:rPr>
        <w:br/>
      </w:r>
      <w:r w:rsidRPr="009072DA">
        <w:rPr>
          <w:rStyle w:val="ES-Titre3Car"/>
          <w:b/>
          <w:i/>
          <w:lang w:val="bg-BG"/>
        </w:rPr>
        <w:t xml:space="preserve">Ограничителни условия и метод на изчисляване на потвърждението за </w:t>
      </w:r>
      <w:r w:rsidRPr="009072DA">
        <w:rPr>
          <w:rStyle w:val="ES-Titre3Car"/>
          <w:b/>
          <w:i/>
          <w:lang w:val="bg-BG"/>
        </w:rPr>
        <w:lastRenderedPageBreak/>
        <w:t>устойчивост</w:t>
      </w:r>
      <w:r w:rsidRPr="009072DA">
        <w:rPr>
          <w:rStyle w:val="ES-Titre3Car"/>
          <w:b/>
          <w:i/>
          <w:lang w:val="bg-BG"/>
        </w:rPr>
        <w:br/>
      </w:r>
      <w:r w:rsidRPr="009072DA">
        <w:rPr>
          <w:i/>
          <w:lang w:val="bg-BG"/>
        </w:rPr>
        <w:t>за транспорта на незакрепени контейнери</w:t>
      </w:r>
      <w:bookmarkEnd w:id="485"/>
      <w:bookmarkEnd w:id="486"/>
    </w:p>
    <w:p w:rsidR="00BF049A" w:rsidRPr="009072DA" w:rsidRDefault="00BF049A" w:rsidP="00BF049A">
      <w:pPr>
        <w:pStyle w:val="ESch"/>
        <w:rPr>
          <w:lang w:val="bg-BG"/>
        </w:rPr>
      </w:pPr>
    </w:p>
    <w:p w:rsidR="00BF049A" w:rsidRPr="009072DA" w:rsidRDefault="00BF049A" w:rsidP="00BF049A">
      <w:pPr>
        <w:pStyle w:val="ESch"/>
        <w:rPr>
          <w:rFonts w:cs="Arial"/>
          <w:szCs w:val="18"/>
          <w:lang w:val="bg-BG"/>
        </w:rPr>
      </w:pPr>
      <w:r w:rsidRPr="009072DA">
        <w:rPr>
          <w:lang w:val="bg-BG"/>
        </w:rPr>
        <w:t xml:space="preserve">1. </w:t>
      </w:r>
      <w:r w:rsidRPr="009072DA">
        <w:rPr>
          <w:lang w:val="bg-BG"/>
        </w:rPr>
        <w:tab/>
        <w:t>Всички методи за изчисляване на устойчивостта на плавателния съд при незакрепени контейнери трябва да отговарят на следните ограничителни условия:</w:t>
      </w:r>
    </w:p>
    <w:p w:rsidR="00BF049A" w:rsidRPr="009072DA" w:rsidRDefault="005C7859" w:rsidP="00E370BE">
      <w:pPr>
        <w:pStyle w:val="ESlet"/>
        <w:rPr>
          <w:rFonts w:cs="Arial"/>
          <w:szCs w:val="18"/>
          <w:lang w:val="bg-BG"/>
        </w:rPr>
      </w:pPr>
      <w:r w:rsidRPr="009072DA">
        <w:rPr>
          <w:lang w:val="bg-BG"/>
        </w:rPr>
        <w:t>a)</w:t>
      </w:r>
      <w:r w:rsidRPr="009072DA">
        <w:rPr>
          <w:lang w:val="bg-BG"/>
        </w:rPr>
        <w:tab/>
        <w:t xml:space="preserve">Метацентричната височина </w:t>
      </w:r>
      <m:oMath>
        <m:acc>
          <m:accPr>
            <m:chr m:val="̅"/>
            <m:ctrlPr>
              <w:rPr>
                <w:rFonts w:ascii="Cambria Math" w:hAnsi="Cambria Math"/>
                <w:i/>
                <w:lang w:val="bg-BG"/>
              </w:rPr>
            </m:ctrlPr>
          </m:accPr>
          <m:e>
            <m:r>
              <w:rPr>
                <w:rFonts w:ascii="Cambria Math" w:hAnsi="Cambria Math"/>
                <w:lang w:val="bg-BG"/>
              </w:rPr>
              <m:t>MG</m:t>
            </m:r>
          </m:e>
        </m:acc>
      </m:oMath>
      <w:r w:rsidRPr="009072DA">
        <w:rPr>
          <w:lang w:val="bg-BG"/>
        </w:rPr>
        <w:t xml:space="preserve"> трябва да е не по-малко от 1,00 m.</w:t>
      </w:r>
    </w:p>
    <w:p w:rsidR="00BF049A" w:rsidRPr="009072DA" w:rsidRDefault="005C7859" w:rsidP="00E370BE">
      <w:pPr>
        <w:pStyle w:val="ESlet"/>
        <w:rPr>
          <w:rFonts w:cs="Arial"/>
          <w:szCs w:val="18"/>
          <w:lang w:val="bg-BG"/>
        </w:rPr>
      </w:pPr>
      <w:r w:rsidRPr="009072DA">
        <w:rPr>
          <w:lang w:val="bg-BG"/>
        </w:rPr>
        <w:t>б)</w:t>
      </w:r>
      <w:r w:rsidRPr="009072DA">
        <w:rPr>
          <w:lang w:val="bg-BG"/>
        </w:rPr>
        <w:tab/>
        <w:t>Под комбинираното действие на центробежната сила, произтичаща от поворот на плавателния съд, налягането на вятъра и откритите повърхности на течностите, ъгълът на крен не трябва да превишава 5° и краят на палубата не трябва да се потапя.</w:t>
      </w:r>
    </w:p>
    <w:p w:rsidR="00BF049A" w:rsidRPr="009072DA" w:rsidRDefault="005C7859" w:rsidP="00E370BE">
      <w:pPr>
        <w:pStyle w:val="ESlet"/>
        <w:rPr>
          <w:rFonts w:cs="Arial"/>
          <w:szCs w:val="18"/>
          <w:lang w:val="bg-BG"/>
        </w:rPr>
      </w:pPr>
      <w:r w:rsidRPr="009072DA">
        <w:rPr>
          <w:lang w:val="bg-BG"/>
        </w:rPr>
        <w:t>в)</w:t>
      </w:r>
      <w:r w:rsidRPr="009072DA">
        <w:rPr>
          <w:lang w:val="bg-BG"/>
        </w:rPr>
        <w:tab/>
        <w:t>Рамото на кренящия момент, резултат от центробежната сила, породена от поворот на плавателния съд, се определя по следната формула:</w:t>
      </w:r>
    </w:p>
    <w:p w:rsidR="00BF049A" w:rsidRPr="009072DA" w:rsidRDefault="002B712C" w:rsidP="005833A6">
      <w:pPr>
        <w:pStyle w:val="ESlet"/>
        <w:ind w:left="0"/>
        <w:rPr>
          <w:rFonts w:eastAsia="Calibri" w:cs="Arial"/>
          <w:szCs w:val="18"/>
          <w:lang w:val="bg-BG"/>
        </w:rPr>
      </w:pPr>
      <m:oMathPara>
        <m:oMath>
          <m:sSub>
            <m:sSubPr>
              <m:ctrlPr>
                <w:rPr>
                  <w:rFonts w:ascii="Cambria Math" w:eastAsia="Calibri" w:hAnsi="Cambria Math" w:cs="Arial"/>
                  <w:i/>
                  <w:szCs w:val="18"/>
                  <w:lang w:val="bg-BG"/>
                </w:rPr>
              </m:ctrlPr>
            </m:sSubPr>
            <m:e>
              <m:r>
                <w:rPr>
                  <w:rFonts w:ascii="Cambria Math" w:eastAsia="Calibri" w:hAnsi="Cambria Math" w:cs="Arial"/>
                  <w:szCs w:val="18"/>
                  <w:lang w:val="bg-BG"/>
                </w:rPr>
                <m:t>h</m:t>
              </m:r>
            </m:e>
            <m:sub>
              <m:r>
                <w:rPr>
                  <w:rFonts w:ascii="Cambria Math" w:eastAsia="Calibri" w:hAnsi="Cambria Math" w:cs="Arial"/>
                  <w:szCs w:val="18"/>
                  <w:lang w:val="bg-BG"/>
                </w:rPr>
                <m:t>KZ</m:t>
              </m:r>
            </m:sub>
          </m:sSub>
          <m:r>
            <w:rPr>
              <w:rFonts w:ascii="Cambria Math" w:eastAsia="Calibri" w:hAnsi="Cambria Math" w:cs="Arial"/>
              <w:szCs w:val="18"/>
              <w:lang w:val="bg-BG"/>
            </w:rPr>
            <m:t xml:space="preserve">= </m:t>
          </m:r>
          <m:sSub>
            <m:sSubPr>
              <m:ctrlPr>
                <w:rPr>
                  <w:rFonts w:ascii="Cambria Math" w:eastAsia="Calibri" w:hAnsi="Cambria Math" w:cs="Arial"/>
                  <w:i/>
                  <w:szCs w:val="18"/>
                  <w:lang w:val="bg-BG"/>
                </w:rPr>
              </m:ctrlPr>
            </m:sSubPr>
            <m:e>
              <m:r>
                <w:rPr>
                  <w:rFonts w:ascii="Cambria Math" w:eastAsia="Calibri" w:hAnsi="Cambria Math" w:cs="Arial"/>
                  <w:szCs w:val="18"/>
                  <w:lang w:val="bg-BG"/>
                </w:rPr>
                <m:t>c</m:t>
              </m:r>
            </m:e>
            <m:sub>
              <m:r>
                <w:rPr>
                  <w:rFonts w:ascii="Cambria Math" w:eastAsia="Calibri" w:hAnsi="Cambria Math" w:cs="Arial"/>
                  <w:szCs w:val="18"/>
                  <w:lang w:val="bg-BG"/>
                </w:rPr>
                <m:t>KZ</m:t>
              </m:r>
            </m:sub>
          </m:sSub>
          <m:r>
            <w:rPr>
              <w:rFonts w:ascii="Cambria Math" w:eastAsia="Calibri" w:hAnsi="Cambria Math" w:cs="Arial"/>
              <w:szCs w:val="18"/>
              <w:lang w:val="bg-BG"/>
            </w:rPr>
            <m:t xml:space="preserve"> ∙ </m:t>
          </m:r>
          <m:f>
            <m:fPr>
              <m:ctrlPr>
                <w:rPr>
                  <w:rFonts w:ascii="Cambria Math" w:eastAsia="Calibri" w:hAnsi="Cambria Math" w:cs="Arial"/>
                  <w:i/>
                  <w:szCs w:val="18"/>
                  <w:lang w:val="bg-BG"/>
                </w:rPr>
              </m:ctrlPr>
            </m:fPr>
            <m:num>
              <m:sSup>
                <m:sSupPr>
                  <m:ctrlPr>
                    <w:rPr>
                      <w:rFonts w:ascii="Cambria Math" w:eastAsia="Calibri" w:hAnsi="Cambria Math" w:cs="Arial"/>
                      <w:i/>
                      <w:szCs w:val="18"/>
                      <w:lang w:val="bg-BG"/>
                    </w:rPr>
                  </m:ctrlPr>
                </m:sSupPr>
                <m:e>
                  <m:r>
                    <w:rPr>
                      <w:rFonts w:ascii="Cambria Math" w:eastAsia="Calibri" w:hAnsi="Cambria Math" w:cs="Arial"/>
                      <w:szCs w:val="18"/>
                      <w:lang w:val="bg-BG"/>
                    </w:rPr>
                    <m:t>v</m:t>
                  </m:r>
                </m:e>
                <m:sup>
                  <m:r>
                    <w:rPr>
                      <w:rFonts w:ascii="Cambria Math" w:eastAsia="Calibri" w:hAnsi="Cambria Math" w:cs="Arial"/>
                      <w:szCs w:val="18"/>
                      <w:lang w:val="bg-BG"/>
                    </w:rPr>
                    <m:t>2</m:t>
                  </m:r>
                </m:sup>
              </m:sSup>
            </m:num>
            <m:den>
              <m:sSub>
                <m:sSubPr>
                  <m:ctrlPr>
                    <w:rPr>
                      <w:rFonts w:ascii="Cambria Math" w:eastAsia="Calibri" w:hAnsi="Cambria Math" w:cs="Arial"/>
                      <w:i/>
                      <w:szCs w:val="18"/>
                      <w:lang w:val="bg-BG"/>
                    </w:rPr>
                  </m:ctrlPr>
                </m:sSubPr>
                <m:e>
                  <m:r>
                    <w:rPr>
                      <w:rFonts w:ascii="Cambria Math" w:eastAsia="Calibri" w:hAnsi="Cambria Math" w:cs="Arial"/>
                      <w:szCs w:val="18"/>
                      <w:lang w:val="bg-BG"/>
                    </w:rPr>
                    <m:t>L</m:t>
                  </m:r>
                </m:e>
                <m:sub>
                  <m:r>
                    <w:rPr>
                      <w:rFonts w:ascii="Cambria Math" w:eastAsia="Calibri" w:hAnsi="Cambria Math" w:cs="Arial"/>
                      <w:szCs w:val="18"/>
                      <w:lang w:val="bg-BG"/>
                    </w:rPr>
                    <m:t>WL</m:t>
                  </m:r>
                </m:sub>
              </m:sSub>
            </m:den>
          </m:f>
          <m:r>
            <w:rPr>
              <w:rFonts w:ascii="Cambria Math" w:eastAsia="Calibri" w:hAnsi="Cambria Math" w:cs="Arial"/>
              <w:szCs w:val="18"/>
              <w:lang w:val="bg-BG"/>
            </w:rPr>
            <m:t xml:space="preserve"> ∙ </m:t>
          </m:r>
          <m:d>
            <m:dPr>
              <m:ctrlPr>
                <w:rPr>
                  <w:rFonts w:ascii="Cambria Math" w:eastAsia="Calibri" w:hAnsi="Cambria Math" w:cs="Arial"/>
                  <w:i/>
                  <w:szCs w:val="18"/>
                  <w:lang w:val="bg-BG"/>
                </w:rPr>
              </m:ctrlPr>
            </m:dPr>
            <m:e>
              <m:acc>
                <m:accPr>
                  <m:chr m:val="̅"/>
                  <m:ctrlPr>
                    <w:rPr>
                      <w:rFonts w:ascii="Cambria Math" w:eastAsia="Calibri" w:hAnsi="Cambria Math" w:cs="Arial"/>
                      <w:i/>
                      <w:szCs w:val="18"/>
                      <w:lang w:val="bg-BG"/>
                    </w:rPr>
                  </m:ctrlPr>
                </m:accPr>
                <m:e>
                  <m:r>
                    <w:rPr>
                      <w:rFonts w:ascii="Cambria Math" w:eastAsia="Calibri" w:hAnsi="Cambria Math" w:cs="Arial"/>
                      <w:szCs w:val="18"/>
                      <w:lang w:val="bg-BG"/>
                    </w:rPr>
                    <m:t>KG</m:t>
                  </m:r>
                </m:e>
              </m:acc>
              <m:r>
                <w:rPr>
                  <w:rFonts w:ascii="Cambria Math" w:eastAsia="Calibri" w:hAnsi="Cambria Math" w:cs="Arial"/>
                  <w:szCs w:val="18"/>
                  <w:lang w:val="bg-BG"/>
                </w:rPr>
                <m:t xml:space="preserve">- </m:t>
              </m:r>
              <m:f>
                <m:fPr>
                  <m:ctrlPr>
                    <w:rPr>
                      <w:rFonts w:ascii="Cambria Math" w:eastAsia="Calibri" w:hAnsi="Cambria Math" w:cs="Arial"/>
                      <w:i/>
                      <w:szCs w:val="18"/>
                      <w:lang w:val="bg-BG"/>
                    </w:rPr>
                  </m:ctrlPr>
                </m:fPr>
                <m:num>
                  <m:sSup>
                    <m:sSupPr>
                      <m:ctrlPr>
                        <w:rPr>
                          <w:rFonts w:ascii="Cambria Math" w:eastAsia="Calibri" w:hAnsi="Cambria Math" w:cs="Arial"/>
                          <w:i/>
                          <w:szCs w:val="18"/>
                          <w:lang w:val="bg-BG"/>
                        </w:rPr>
                      </m:ctrlPr>
                    </m:sSupPr>
                    <m:e>
                      <m:r>
                        <w:rPr>
                          <w:rFonts w:ascii="Cambria Math" w:eastAsia="Calibri" w:hAnsi="Cambria Math" w:cs="Arial"/>
                          <w:szCs w:val="18"/>
                          <w:lang w:val="bg-BG"/>
                        </w:rPr>
                        <m:t>T</m:t>
                      </m:r>
                    </m:e>
                    <m:sup>
                      <m:r>
                        <w:rPr>
                          <w:rFonts w:ascii="Cambria Math" w:eastAsia="Calibri" w:hAnsi="Cambria Math" w:cs="Arial"/>
                          <w:szCs w:val="18"/>
                          <w:lang w:val="bg-BG"/>
                        </w:rPr>
                        <m:t>'</m:t>
                      </m:r>
                    </m:sup>
                  </m:sSup>
                </m:num>
                <m:den>
                  <m:r>
                    <w:rPr>
                      <w:rFonts w:ascii="Cambria Math" w:eastAsia="Calibri" w:hAnsi="Cambria Math" w:cs="Arial"/>
                      <w:szCs w:val="18"/>
                      <w:lang w:val="bg-BG"/>
                    </w:rPr>
                    <m:t>2</m:t>
                  </m:r>
                </m:den>
              </m:f>
            </m:e>
          </m:d>
          <m:r>
            <w:rPr>
              <w:rFonts w:ascii="Cambria Math" w:eastAsia="Calibri" w:hAnsi="Cambria Math" w:cs="Arial"/>
              <w:szCs w:val="18"/>
              <w:lang w:val="bg-BG"/>
            </w:rPr>
            <m:t xml:space="preserve"> </m:t>
          </m:r>
          <m:d>
            <m:dPr>
              <m:begChr m:val="["/>
              <m:endChr m:val="]"/>
              <m:ctrlPr>
                <w:rPr>
                  <w:rFonts w:ascii="Cambria Math" w:eastAsia="Calibri" w:hAnsi="Cambria Math" w:cs="Arial"/>
                  <w:i/>
                  <w:szCs w:val="18"/>
                  <w:lang w:val="bg-BG"/>
                </w:rPr>
              </m:ctrlPr>
            </m:dPr>
            <m:e>
              <m:r>
                <w:rPr>
                  <w:rFonts w:ascii="Cambria Math" w:eastAsia="Calibri" w:hAnsi="Cambria Math" w:cs="Arial"/>
                  <w:szCs w:val="18"/>
                  <w:lang w:val="bg-BG"/>
                </w:rPr>
                <m:t>m</m:t>
              </m:r>
            </m:e>
          </m:d>
        </m:oMath>
      </m:oMathPara>
    </w:p>
    <w:p w:rsidR="00AB4321" w:rsidRPr="009072DA" w:rsidRDefault="00AB4321" w:rsidP="00AB4321">
      <w:pPr>
        <w:pStyle w:val="EStiret"/>
        <w:rPr>
          <w:noProof w:val="0"/>
          <w:lang w:val="bg-BG"/>
        </w:rPr>
      </w:pPr>
    </w:p>
    <w:p w:rsidR="00AB4321" w:rsidRPr="009072DA" w:rsidRDefault="00AB4321" w:rsidP="00AB4321">
      <w:pPr>
        <w:pStyle w:val="EStiret"/>
        <w:rPr>
          <w:noProof w:val="0"/>
          <w:lang w:val="bg-BG"/>
        </w:rPr>
      </w:pPr>
      <w:r w:rsidRPr="009072DA">
        <w:rPr>
          <w:noProof w:val="0"/>
          <w:lang w:val="bg-BG"/>
        </w:rPr>
        <w:br w:type="page"/>
      </w:r>
    </w:p>
    <w:p w:rsidR="00BF049A" w:rsidRPr="009072DA" w:rsidRDefault="00BF049A" w:rsidP="00AB4321">
      <w:pPr>
        <w:pStyle w:val="EStiret"/>
        <w:rPr>
          <w:rFonts w:cs="Arial"/>
          <w:noProof w:val="0"/>
          <w:szCs w:val="18"/>
          <w:lang w:val="bg-BG"/>
        </w:rPr>
      </w:pPr>
      <w:r w:rsidRPr="009072DA">
        <w:rPr>
          <w:noProof w:val="0"/>
          <w:lang w:val="bg-BG"/>
        </w:rPr>
        <w:lastRenderedPageBreak/>
        <w:t>където:</w:t>
      </w:r>
    </w:p>
    <w:p w:rsidR="00BF049A" w:rsidRPr="009072DA" w:rsidRDefault="002B712C" w:rsidP="000153B3">
      <w:pPr>
        <w:pStyle w:val="EStiret"/>
        <w:ind w:left="1701" w:hanging="709"/>
        <w:rPr>
          <w:rFonts w:eastAsia="Calibri"/>
          <w:noProof w:val="0"/>
          <w:lang w:val="bg-BG"/>
        </w:rPr>
      </w:pPr>
      <m:oMath>
        <m:sSub>
          <m:sSubPr>
            <m:ctrlPr>
              <w:rPr>
                <w:rFonts w:ascii="Cambria Math" w:eastAsia="Calibri" w:hAnsi="Cambria Math"/>
                <w:i/>
                <w:noProof w:val="0"/>
                <w:lang w:val="bg-BG"/>
              </w:rPr>
            </m:ctrlPr>
          </m:sSubPr>
          <m:e>
            <m:r>
              <w:rPr>
                <w:rFonts w:ascii="Cambria Math" w:eastAsia="Calibri" w:hAnsi="Cambria Math"/>
                <w:noProof w:val="0"/>
                <w:lang w:val="bg-BG"/>
              </w:rPr>
              <m:t>c</m:t>
            </m:r>
          </m:e>
          <m:sub>
            <m:r>
              <w:rPr>
                <w:rFonts w:ascii="Cambria Math" w:eastAsia="Calibri" w:hAnsi="Cambria Math"/>
                <w:noProof w:val="0"/>
                <w:lang w:val="bg-BG"/>
              </w:rPr>
              <m:t>KZ</m:t>
            </m:r>
          </m:sub>
        </m:sSub>
      </m:oMath>
      <w:r w:rsidR="007B1046" w:rsidRPr="009072DA">
        <w:rPr>
          <w:noProof w:val="0"/>
          <w:lang w:val="bg-BG"/>
        </w:rPr>
        <w:tab/>
        <w:t xml:space="preserve">параметър </w:t>
      </w:r>
      <m:oMath>
        <m:d>
          <m:dPr>
            <m:ctrlPr>
              <w:rPr>
                <w:rFonts w:ascii="Cambria Math" w:eastAsia="Calibri" w:hAnsi="Cambria Math"/>
                <w:i/>
                <w:noProof w:val="0"/>
                <w:szCs w:val="16"/>
                <w:lang w:val="bg-BG"/>
              </w:rPr>
            </m:ctrlPr>
          </m:dPr>
          <m:e>
            <m:sSub>
              <m:sSubPr>
                <m:ctrlPr>
                  <w:rPr>
                    <w:rFonts w:ascii="Cambria Math" w:eastAsia="Calibri" w:hAnsi="Cambria Math"/>
                    <w:i/>
                    <w:noProof w:val="0"/>
                    <w:szCs w:val="16"/>
                    <w:lang w:val="bg-BG"/>
                  </w:rPr>
                </m:ctrlPr>
              </m:sSubPr>
              <m:e>
                <m:r>
                  <w:rPr>
                    <w:rFonts w:ascii="Cambria Math" w:eastAsia="Calibri" w:hAnsi="Cambria Math"/>
                    <w:noProof w:val="0"/>
                    <w:szCs w:val="16"/>
                    <w:lang w:val="bg-BG"/>
                  </w:rPr>
                  <m:t>c</m:t>
                </m:r>
              </m:e>
              <m:sub>
                <m:r>
                  <w:rPr>
                    <w:rFonts w:ascii="Cambria Math" w:eastAsia="Calibri" w:hAnsi="Cambria Math"/>
                    <w:noProof w:val="0"/>
                    <w:szCs w:val="16"/>
                    <w:lang w:val="bg-BG"/>
                  </w:rPr>
                  <m:t>KZ</m:t>
                </m:r>
              </m:sub>
            </m:sSub>
            <m:r>
              <w:rPr>
                <w:rFonts w:ascii="Cambria Math" w:eastAsia="Calibri" w:hAnsi="Cambria Math"/>
                <w:noProof w:val="0"/>
                <w:szCs w:val="16"/>
                <w:lang w:val="bg-BG"/>
              </w:rPr>
              <m:t>=0,04</m:t>
            </m:r>
          </m:e>
        </m:d>
      </m:oMath>
      <w:r w:rsidR="007B1046" w:rsidRPr="009072DA">
        <w:rPr>
          <w:noProof w:val="0"/>
          <w:lang w:val="bg-BG"/>
        </w:rPr>
        <w:t xml:space="preserve"> [s</w:t>
      </w:r>
      <w:r w:rsidR="007B1046" w:rsidRPr="009072DA">
        <w:rPr>
          <w:noProof w:val="0"/>
          <w:vertAlign w:val="superscript"/>
          <w:lang w:val="bg-BG"/>
        </w:rPr>
        <w:t>2</w:t>
      </w:r>
      <w:r w:rsidR="007B1046" w:rsidRPr="009072DA">
        <w:rPr>
          <w:noProof w:val="0"/>
          <w:lang w:val="bg-BG"/>
        </w:rPr>
        <w:t>/m];</w:t>
      </w:r>
    </w:p>
    <w:p w:rsidR="00BF049A" w:rsidRPr="009072DA" w:rsidRDefault="005833A6" w:rsidP="000153B3">
      <w:pPr>
        <w:pStyle w:val="EStiret"/>
        <w:ind w:left="1701" w:hanging="709"/>
        <w:rPr>
          <w:rFonts w:eastAsia="Calibri"/>
          <w:noProof w:val="0"/>
          <w:lang w:val="bg-BG"/>
        </w:rPr>
      </w:pPr>
      <m:oMath>
        <m:r>
          <w:rPr>
            <w:rFonts w:ascii="Cambria Math" w:eastAsia="Calibri" w:hAnsi="Cambria Math"/>
            <w:noProof w:val="0"/>
            <w:lang w:val="bg-BG"/>
          </w:rPr>
          <m:t>v</m:t>
        </m:r>
      </m:oMath>
      <w:r w:rsidRPr="009072DA">
        <w:rPr>
          <w:noProof w:val="0"/>
          <w:lang w:val="bg-BG"/>
        </w:rPr>
        <w:tab/>
        <w:t>максималната скорост на плавателния съд по отношение на водата [m/s];</w:t>
      </w:r>
    </w:p>
    <w:p w:rsidR="00BF049A" w:rsidRPr="009072DA" w:rsidRDefault="002B712C" w:rsidP="000153B3">
      <w:pPr>
        <w:pStyle w:val="EStiret"/>
        <w:ind w:left="1701" w:hanging="709"/>
        <w:rPr>
          <w:rFonts w:eastAsia="Calibri"/>
          <w:noProof w:val="0"/>
          <w:lang w:val="bg-BG"/>
        </w:rPr>
      </w:pPr>
      <m:oMath>
        <m:acc>
          <m:accPr>
            <m:chr m:val="̅"/>
            <m:ctrlPr>
              <w:rPr>
                <w:rFonts w:ascii="Cambria Math" w:eastAsia="Calibri" w:hAnsi="Cambria Math"/>
                <w:i/>
                <w:noProof w:val="0"/>
                <w:lang w:val="bg-BG"/>
              </w:rPr>
            </m:ctrlPr>
          </m:accPr>
          <m:e>
            <m:r>
              <w:rPr>
                <w:rFonts w:ascii="Cambria Math" w:eastAsia="Calibri" w:hAnsi="Cambria Math"/>
                <w:noProof w:val="0"/>
                <w:lang w:val="bg-BG"/>
              </w:rPr>
              <m:t>KG</m:t>
            </m:r>
          </m:e>
        </m:acc>
      </m:oMath>
      <w:r w:rsidR="007B1046" w:rsidRPr="009072DA">
        <w:rPr>
          <w:noProof w:val="0"/>
          <w:lang w:val="bg-BG"/>
        </w:rPr>
        <w:tab/>
        <w:t>височина на центъра на тежестта на натоварения плавателен съд над основата му [m];</w:t>
      </w:r>
    </w:p>
    <w:p w:rsidR="00BF049A" w:rsidRPr="009072DA" w:rsidRDefault="00333A30" w:rsidP="000153B3">
      <w:pPr>
        <w:pStyle w:val="EStiret"/>
        <w:ind w:left="1701" w:hanging="709"/>
        <w:rPr>
          <w:rFonts w:eastAsia="Calibri"/>
          <w:noProof w:val="0"/>
          <w:lang w:val="bg-BG"/>
        </w:rPr>
      </w:pPr>
      <m:oMath>
        <m:r>
          <w:rPr>
            <w:rFonts w:ascii="Cambria Math" w:eastAsia="Calibri" w:hAnsi="Cambria Math"/>
            <w:noProof w:val="0"/>
            <w:lang w:val="bg-BG"/>
          </w:rPr>
          <m:t>T'</m:t>
        </m:r>
      </m:oMath>
      <w:r w:rsidRPr="009072DA">
        <w:rPr>
          <w:noProof w:val="0"/>
          <w:lang w:val="bg-BG"/>
        </w:rPr>
        <w:tab/>
        <w:t>дълбочина на газене на натоварен плавателния съд [m].</w:t>
      </w:r>
    </w:p>
    <w:p w:rsidR="00AB4321" w:rsidRPr="009072DA" w:rsidRDefault="00AB4321" w:rsidP="00E370BE">
      <w:pPr>
        <w:pStyle w:val="ESlet"/>
        <w:rPr>
          <w:lang w:val="bg-BG"/>
        </w:rPr>
      </w:pPr>
    </w:p>
    <w:p w:rsidR="00BF049A" w:rsidRPr="009072DA" w:rsidRDefault="0029453D" w:rsidP="00E370BE">
      <w:pPr>
        <w:pStyle w:val="ESlet"/>
        <w:rPr>
          <w:lang w:val="bg-BG"/>
        </w:rPr>
      </w:pPr>
      <w:r w:rsidRPr="009072DA">
        <w:rPr>
          <w:lang w:val="bg-BG"/>
        </w:rPr>
        <w:t>г)</w:t>
      </w:r>
      <w:r w:rsidRPr="009072DA">
        <w:rPr>
          <w:lang w:val="bg-BG"/>
        </w:rPr>
        <w:tab/>
        <w:t>Рамото на кренящия момент, резултат от налягането на вятъра, се определя по следната формула:</w:t>
      </w:r>
    </w:p>
    <w:p w:rsidR="00333A30" w:rsidRPr="009072DA" w:rsidRDefault="002B712C" w:rsidP="00333A30">
      <w:pPr>
        <w:pStyle w:val="ESlet"/>
        <w:ind w:left="0"/>
        <w:rPr>
          <w:rFonts w:cs="Arial"/>
          <w:szCs w:val="18"/>
          <w:lang w:val="bg-BG"/>
        </w:rPr>
      </w:pPr>
      <m:oMathPara>
        <m:oMath>
          <m:sSub>
            <m:sSubPr>
              <m:ctrlPr>
                <w:rPr>
                  <w:rFonts w:ascii="Cambria Math" w:hAnsi="Cambria Math" w:cs="Arial"/>
                  <w:i/>
                  <w:szCs w:val="18"/>
                  <w:lang w:val="bg-BG"/>
                </w:rPr>
              </m:ctrlPr>
            </m:sSubPr>
            <m:e>
              <m:r>
                <w:rPr>
                  <w:rFonts w:ascii="Cambria Math" w:hAnsi="Cambria Math" w:cs="Arial"/>
                  <w:szCs w:val="18"/>
                  <w:lang w:val="bg-BG"/>
                </w:rPr>
                <m:t>h</m:t>
              </m:r>
            </m:e>
            <m:sub>
              <m:r>
                <w:rPr>
                  <w:rFonts w:ascii="Cambria Math" w:hAnsi="Cambria Math" w:cs="Arial"/>
                  <w:szCs w:val="18"/>
                  <w:lang w:val="bg-BG"/>
                </w:rPr>
                <m:t>KW</m:t>
              </m:r>
            </m:sub>
          </m:sSub>
          <m:r>
            <w:rPr>
              <w:rFonts w:ascii="Cambria Math" w:hAnsi="Cambria Math" w:cs="Arial"/>
              <w:szCs w:val="18"/>
              <w:lang w:val="bg-BG"/>
            </w:rPr>
            <m:t xml:space="preserve">= </m:t>
          </m:r>
          <m:sSub>
            <m:sSubPr>
              <m:ctrlPr>
                <w:rPr>
                  <w:rFonts w:ascii="Cambria Math" w:hAnsi="Cambria Math" w:cs="Arial"/>
                  <w:i/>
                  <w:szCs w:val="18"/>
                  <w:lang w:val="bg-BG"/>
                </w:rPr>
              </m:ctrlPr>
            </m:sSubPr>
            <m:e>
              <m:r>
                <w:rPr>
                  <w:rFonts w:ascii="Cambria Math" w:hAnsi="Cambria Math" w:cs="Arial"/>
                  <w:szCs w:val="18"/>
                  <w:lang w:val="bg-BG"/>
                </w:rPr>
                <m:t>c</m:t>
              </m:r>
            </m:e>
            <m:sub>
              <m:r>
                <w:rPr>
                  <w:rFonts w:ascii="Cambria Math" w:hAnsi="Cambria Math" w:cs="Arial"/>
                  <w:szCs w:val="18"/>
                  <w:lang w:val="bg-BG"/>
                </w:rPr>
                <m:t>KW</m:t>
              </m:r>
            </m:sub>
          </m:sSub>
          <m:r>
            <w:rPr>
              <w:rFonts w:ascii="Cambria Math" w:hAnsi="Cambria Math" w:cs="Arial"/>
              <w:szCs w:val="18"/>
              <w:lang w:val="bg-BG"/>
            </w:rPr>
            <m:t xml:space="preserve"> ∙ </m:t>
          </m:r>
          <m:f>
            <m:fPr>
              <m:ctrlPr>
                <w:rPr>
                  <w:rFonts w:ascii="Cambria Math" w:hAnsi="Cambria Math" w:cs="Arial"/>
                  <w:i/>
                  <w:szCs w:val="18"/>
                  <w:lang w:val="bg-BG"/>
                </w:rPr>
              </m:ctrlPr>
            </m:fPr>
            <m:num>
              <m:sSup>
                <m:sSupPr>
                  <m:ctrlPr>
                    <w:rPr>
                      <w:rFonts w:ascii="Cambria Math" w:hAnsi="Cambria Math" w:cs="Arial"/>
                      <w:i/>
                      <w:szCs w:val="18"/>
                      <w:lang w:val="bg-BG"/>
                    </w:rPr>
                  </m:ctrlPr>
                </m:sSupPr>
                <m:e>
                  <m:r>
                    <w:rPr>
                      <w:rFonts w:ascii="Cambria Math" w:hAnsi="Cambria Math" w:cs="Arial"/>
                      <w:szCs w:val="18"/>
                      <w:lang w:val="bg-BG"/>
                    </w:rPr>
                    <m:t>A</m:t>
                  </m:r>
                </m:e>
                <m:sup>
                  <m:r>
                    <w:rPr>
                      <w:rFonts w:ascii="Cambria Math" w:hAnsi="Cambria Math" w:cs="Arial"/>
                      <w:szCs w:val="18"/>
                      <w:lang w:val="bg-BG"/>
                    </w:rPr>
                    <m:t>'</m:t>
                  </m:r>
                </m:sup>
              </m:sSup>
            </m:num>
            <m:den>
              <m:sSup>
                <m:sSupPr>
                  <m:ctrlPr>
                    <w:rPr>
                      <w:rFonts w:ascii="Cambria Math" w:hAnsi="Cambria Math" w:cs="Arial"/>
                      <w:i/>
                      <w:szCs w:val="18"/>
                      <w:lang w:val="bg-BG"/>
                    </w:rPr>
                  </m:ctrlPr>
                </m:sSupPr>
                <m:e>
                  <m:r>
                    <w:rPr>
                      <w:rFonts w:ascii="Cambria Math" w:hAnsi="Cambria Math" w:cs="Arial"/>
                      <w:szCs w:val="18"/>
                      <w:lang w:val="bg-BG"/>
                    </w:rPr>
                    <m:t>D</m:t>
                  </m:r>
                </m:e>
                <m:sup>
                  <m:r>
                    <w:rPr>
                      <w:rFonts w:ascii="Cambria Math" w:hAnsi="Cambria Math" w:cs="Arial"/>
                      <w:szCs w:val="18"/>
                      <w:lang w:val="bg-BG"/>
                    </w:rPr>
                    <m:t>'</m:t>
                  </m:r>
                </m:sup>
              </m:sSup>
            </m:den>
          </m:f>
          <m:r>
            <w:rPr>
              <w:rFonts w:ascii="Cambria Math" w:hAnsi="Cambria Math" w:cs="Arial"/>
              <w:szCs w:val="18"/>
              <w:lang w:val="bg-BG"/>
            </w:rPr>
            <m:t xml:space="preserve"> ∙ </m:t>
          </m:r>
          <m:d>
            <m:dPr>
              <m:ctrlPr>
                <w:rPr>
                  <w:rFonts w:ascii="Cambria Math" w:hAnsi="Cambria Math" w:cs="Arial"/>
                  <w:i/>
                  <w:szCs w:val="18"/>
                  <w:lang w:val="bg-BG"/>
                </w:rPr>
              </m:ctrlPr>
            </m:dPr>
            <m:e>
              <m:sSub>
                <m:sSubPr>
                  <m:ctrlPr>
                    <w:rPr>
                      <w:rFonts w:ascii="Cambria Math" w:hAnsi="Cambria Math" w:cs="Arial"/>
                      <w:i/>
                      <w:szCs w:val="18"/>
                      <w:lang w:val="bg-BG"/>
                    </w:rPr>
                  </m:ctrlPr>
                </m:sSubPr>
                <m:e>
                  <m:r>
                    <w:rPr>
                      <w:rFonts w:ascii="Cambria Math" w:hAnsi="Cambria Math" w:cs="Arial"/>
                      <w:szCs w:val="18"/>
                      <w:lang w:val="bg-BG"/>
                    </w:rPr>
                    <m:t>l</m:t>
                  </m:r>
                </m:e>
                <m:sub>
                  <m:r>
                    <w:rPr>
                      <w:rFonts w:ascii="Cambria Math" w:hAnsi="Cambria Math" w:cs="Arial"/>
                      <w:szCs w:val="18"/>
                      <w:lang w:val="bg-BG"/>
                    </w:rPr>
                    <m:t>W</m:t>
                  </m:r>
                </m:sub>
              </m:sSub>
              <m:r>
                <w:rPr>
                  <w:rFonts w:ascii="Cambria Math" w:hAnsi="Cambria Math" w:cs="Arial"/>
                  <w:szCs w:val="18"/>
                  <w:lang w:val="bg-BG"/>
                </w:rPr>
                <m:t xml:space="preserve">+ </m:t>
              </m:r>
              <m:f>
                <m:fPr>
                  <m:ctrlPr>
                    <w:rPr>
                      <w:rFonts w:ascii="Cambria Math" w:hAnsi="Cambria Math" w:cs="Arial"/>
                      <w:i/>
                      <w:szCs w:val="18"/>
                      <w:lang w:val="bg-BG"/>
                    </w:rPr>
                  </m:ctrlPr>
                </m:fPr>
                <m:num>
                  <m:sSup>
                    <m:sSupPr>
                      <m:ctrlPr>
                        <w:rPr>
                          <w:rFonts w:ascii="Cambria Math" w:hAnsi="Cambria Math" w:cs="Arial"/>
                          <w:i/>
                          <w:szCs w:val="18"/>
                          <w:lang w:val="bg-BG"/>
                        </w:rPr>
                      </m:ctrlPr>
                    </m:sSupPr>
                    <m:e>
                      <m:r>
                        <w:rPr>
                          <w:rFonts w:ascii="Cambria Math" w:hAnsi="Cambria Math" w:cs="Arial"/>
                          <w:szCs w:val="18"/>
                          <w:lang w:val="bg-BG"/>
                        </w:rPr>
                        <m:t>T</m:t>
                      </m:r>
                    </m:e>
                    <m:sup>
                      <m:r>
                        <w:rPr>
                          <w:rFonts w:ascii="Cambria Math" w:hAnsi="Cambria Math" w:cs="Arial"/>
                          <w:szCs w:val="18"/>
                          <w:lang w:val="bg-BG"/>
                        </w:rPr>
                        <m:t>'</m:t>
                      </m:r>
                    </m:sup>
                  </m:sSup>
                </m:num>
                <m:den>
                  <m:r>
                    <w:rPr>
                      <w:rFonts w:ascii="Cambria Math" w:hAnsi="Cambria Math" w:cs="Arial"/>
                      <w:szCs w:val="18"/>
                      <w:lang w:val="bg-BG"/>
                    </w:rPr>
                    <m:t>2</m:t>
                  </m:r>
                </m:den>
              </m:f>
            </m:e>
          </m:d>
          <m:r>
            <w:rPr>
              <w:rFonts w:ascii="Cambria Math" w:hAnsi="Cambria Math" w:cs="Arial"/>
              <w:szCs w:val="18"/>
              <w:lang w:val="bg-BG"/>
            </w:rPr>
            <m:t xml:space="preserve"> </m:t>
          </m:r>
          <m:d>
            <m:dPr>
              <m:begChr m:val="["/>
              <m:endChr m:val="]"/>
              <m:ctrlPr>
                <w:rPr>
                  <w:rFonts w:ascii="Cambria Math" w:hAnsi="Cambria Math" w:cs="Arial"/>
                  <w:i/>
                  <w:szCs w:val="18"/>
                  <w:lang w:val="bg-BG"/>
                </w:rPr>
              </m:ctrlPr>
            </m:dPr>
            <m:e>
              <m:r>
                <w:rPr>
                  <w:rFonts w:ascii="Cambria Math" w:hAnsi="Cambria Math" w:cs="Arial"/>
                  <w:szCs w:val="18"/>
                  <w:lang w:val="bg-BG"/>
                </w:rPr>
                <m:t>m</m:t>
              </m:r>
            </m:e>
          </m:d>
        </m:oMath>
      </m:oMathPara>
    </w:p>
    <w:p w:rsidR="00BF049A" w:rsidRPr="009072DA" w:rsidRDefault="00BF049A" w:rsidP="00AB4321">
      <w:pPr>
        <w:pStyle w:val="EStiret"/>
        <w:rPr>
          <w:rFonts w:eastAsia="Calibri"/>
          <w:noProof w:val="0"/>
          <w:szCs w:val="20"/>
          <w:lang w:val="bg-BG"/>
        </w:rPr>
      </w:pPr>
      <w:r w:rsidRPr="009072DA">
        <w:rPr>
          <w:noProof w:val="0"/>
          <w:lang w:val="bg-BG"/>
        </w:rPr>
        <w:t>където:</w:t>
      </w:r>
    </w:p>
    <w:p w:rsidR="00BF049A" w:rsidRPr="009072DA" w:rsidRDefault="002B712C" w:rsidP="000153B3">
      <w:pPr>
        <w:pStyle w:val="EStiret"/>
        <w:ind w:left="1701" w:hanging="709"/>
        <w:rPr>
          <w:rFonts w:eastAsia="Calibri"/>
          <w:noProof w:val="0"/>
          <w:szCs w:val="20"/>
          <w:lang w:val="bg-BG"/>
        </w:rPr>
      </w:pPr>
      <m:oMath>
        <m:sSub>
          <m:sSubPr>
            <m:ctrlPr>
              <w:rPr>
                <w:rFonts w:ascii="Cambria Math" w:eastAsia="Calibri" w:hAnsi="Cambria Math"/>
                <w:i/>
                <w:noProof w:val="0"/>
                <w:lang w:val="bg-BG"/>
              </w:rPr>
            </m:ctrlPr>
          </m:sSubPr>
          <m:e>
            <m:r>
              <w:rPr>
                <w:rFonts w:ascii="Cambria Math" w:eastAsia="Calibri" w:hAnsi="Cambria Math"/>
                <w:noProof w:val="0"/>
                <w:lang w:val="bg-BG"/>
              </w:rPr>
              <m:t>c</m:t>
            </m:r>
          </m:e>
          <m:sub>
            <m:r>
              <w:rPr>
                <w:rFonts w:ascii="Cambria Math" w:eastAsia="Calibri" w:hAnsi="Cambria Math"/>
                <w:noProof w:val="0"/>
                <w:lang w:val="bg-BG"/>
              </w:rPr>
              <m:t>KW</m:t>
            </m:r>
          </m:sub>
        </m:sSub>
      </m:oMath>
      <w:r w:rsidR="007B1046" w:rsidRPr="009072DA">
        <w:rPr>
          <w:noProof w:val="0"/>
          <w:lang w:val="bg-BG"/>
        </w:rPr>
        <w:tab/>
        <w:t xml:space="preserve">параметър </w:t>
      </w:r>
      <m:oMath>
        <m:d>
          <m:dPr>
            <m:ctrlPr>
              <w:rPr>
                <w:rFonts w:ascii="Cambria Math" w:eastAsia="Calibri" w:hAnsi="Cambria Math"/>
                <w:i/>
                <w:noProof w:val="0"/>
                <w:szCs w:val="16"/>
                <w:lang w:val="bg-BG"/>
              </w:rPr>
            </m:ctrlPr>
          </m:dPr>
          <m:e>
            <m:sSub>
              <m:sSubPr>
                <m:ctrlPr>
                  <w:rPr>
                    <w:rFonts w:ascii="Cambria Math" w:eastAsia="Calibri" w:hAnsi="Cambria Math"/>
                    <w:i/>
                    <w:noProof w:val="0"/>
                    <w:szCs w:val="16"/>
                    <w:lang w:val="bg-BG"/>
                  </w:rPr>
                </m:ctrlPr>
              </m:sSubPr>
              <m:e>
                <m:r>
                  <w:rPr>
                    <w:rFonts w:ascii="Cambria Math" w:eastAsia="Calibri" w:hAnsi="Cambria Math"/>
                    <w:noProof w:val="0"/>
                    <w:szCs w:val="16"/>
                    <w:lang w:val="bg-BG"/>
                  </w:rPr>
                  <m:t>c</m:t>
                </m:r>
              </m:e>
              <m:sub>
                <m:r>
                  <w:rPr>
                    <w:rFonts w:ascii="Cambria Math" w:eastAsia="Calibri" w:hAnsi="Cambria Math"/>
                    <w:noProof w:val="0"/>
                    <w:szCs w:val="16"/>
                    <w:lang w:val="bg-BG"/>
                  </w:rPr>
                  <m:t>KW</m:t>
                </m:r>
              </m:sub>
            </m:sSub>
            <m:r>
              <w:rPr>
                <w:rFonts w:ascii="Cambria Math" w:eastAsia="Calibri" w:hAnsi="Cambria Math"/>
                <w:noProof w:val="0"/>
                <w:szCs w:val="16"/>
                <w:lang w:val="bg-BG"/>
              </w:rPr>
              <m:t>=0,025</m:t>
            </m:r>
          </m:e>
        </m:d>
      </m:oMath>
      <w:r w:rsidR="007B1046" w:rsidRPr="009072DA">
        <w:rPr>
          <w:noProof w:val="0"/>
          <w:lang w:val="bg-BG"/>
        </w:rPr>
        <w:t xml:space="preserve"> [t/m</w:t>
      </w:r>
      <w:r w:rsidR="007B1046" w:rsidRPr="009072DA">
        <w:rPr>
          <w:noProof w:val="0"/>
          <w:position w:val="6"/>
          <w:sz w:val="16"/>
          <w:lang w:val="bg-BG"/>
        </w:rPr>
        <w:t>2</w:t>
      </w:r>
      <w:r w:rsidR="007B1046" w:rsidRPr="009072DA">
        <w:rPr>
          <w:noProof w:val="0"/>
          <w:lang w:val="bg-BG"/>
        </w:rPr>
        <w:t>];</w:t>
      </w:r>
    </w:p>
    <w:p w:rsidR="00BF049A" w:rsidRPr="009072DA" w:rsidRDefault="00333A30" w:rsidP="000153B3">
      <w:pPr>
        <w:pStyle w:val="EStiret"/>
        <w:ind w:left="1701" w:hanging="709"/>
        <w:rPr>
          <w:rFonts w:eastAsia="Calibri"/>
          <w:noProof w:val="0"/>
          <w:szCs w:val="20"/>
          <w:lang w:val="bg-BG"/>
        </w:rPr>
      </w:pPr>
      <m:oMath>
        <m:r>
          <w:rPr>
            <w:rFonts w:ascii="Cambria Math" w:eastAsia="Calibri" w:hAnsi="Cambria Math"/>
            <w:noProof w:val="0"/>
            <w:szCs w:val="20"/>
            <w:lang w:val="bg-BG"/>
          </w:rPr>
          <m:t>A'</m:t>
        </m:r>
      </m:oMath>
      <w:r w:rsidRPr="009072DA">
        <w:rPr>
          <w:noProof w:val="0"/>
          <w:lang w:val="bg-BG"/>
        </w:rPr>
        <w:tab/>
        <w:t>надводна диаметрална равнина при натоварен плавателен съд [m</w:t>
      </w:r>
      <w:r w:rsidRPr="009072DA">
        <w:rPr>
          <w:noProof w:val="0"/>
          <w:vertAlign w:val="superscript"/>
          <w:lang w:val="bg-BG"/>
        </w:rPr>
        <w:t>2</w:t>
      </w:r>
      <w:r w:rsidRPr="009072DA">
        <w:rPr>
          <w:noProof w:val="0"/>
          <w:lang w:val="bg-BG"/>
        </w:rPr>
        <w:t xml:space="preserve">]; </w:t>
      </w:r>
    </w:p>
    <w:p w:rsidR="00BF049A" w:rsidRPr="009072DA" w:rsidRDefault="00333A30" w:rsidP="000153B3">
      <w:pPr>
        <w:pStyle w:val="EStiret"/>
        <w:ind w:left="1701" w:hanging="709"/>
        <w:rPr>
          <w:rFonts w:eastAsia="Calibri"/>
          <w:noProof w:val="0"/>
          <w:szCs w:val="20"/>
          <w:lang w:val="bg-BG"/>
        </w:rPr>
      </w:pPr>
      <m:oMath>
        <m:r>
          <w:rPr>
            <w:rFonts w:ascii="Cambria Math" w:eastAsia="Calibri" w:hAnsi="Cambria Math"/>
            <w:noProof w:val="0"/>
            <w:szCs w:val="20"/>
            <w:lang w:val="bg-BG"/>
          </w:rPr>
          <m:t>D'</m:t>
        </m:r>
      </m:oMath>
      <w:r w:rsidRPr="009072DA">
        <w:rPr>
          <w:noProof w:val="0"/>
          <w:lang w:val="bg-BG"/>
        </w:rPr>
        <w:tab/>
        <w:t>водоизместването на натоварения плавателен съд [t];</w:t>
      </w:r>
    </w:p>
    <w:p w:rsidR="00BF049A" w:rsidRPr="009072DA" w:rsidRDefault="002B712C" w:rsidP="000153B3">
      <w:pPr>
        <w:pStyle w:val="EStiret"/>
        <w:ind w:left="1701" w:hanging="709"/>
        <w:rPr>
          <w:rFonts w:eastAsia="Calibri"/>
          <w:noProof w:val="0"/>
          <w:szCs w:val="20"/>
          <w:lang w:val="bg-BG"/>
        </w:rPr>
      </w:pPr>
      <m:oMath>
        <m:sSub>
          <m:sSubPr>
            <m:ctrlPr>
              <w:rPr>
                <w:rFonts w:ascii="Cambria Math" w:eastAsia="Calibri" w:hAnsi="Cambria Math"/>
                <w:i/>
                <w:noProof w:val="0"/>
                <w:szCs w:val="20"/>
                <w:lang w:val="bg-BG"/>
              </w:rPr>
            </m:ctrlPr>
          </m:sSubPr>
          <m:e>
            <m:r>
              <w:rPr>
                <w:rFonts w:ascii="Cambria Math" w:eastAsia="Calibri" w:hAnsi="Cambria Math"/>
                <w:noProof w:val="0"/>
                <w:szCs w:val="20"/>
                <w:lang w:val="bg-BG"/>
              </w:rPr>
              <m:t>l</m:t>
            </m:r>
          </m:e>
          <m:sub>
            <m:r>
              <w:rPr>
                <w:rFonts w:ascii="Cambria Math" w:eastAsia="Calibri" w:hAnsi="Cambria Math"/>
                <w:noProof w:val="0"/>
                <w:szCs w:val="20"/>
                <w:lang w:val="bg-BG"/>
              </w:rPr>
              <m:t>W</m:t>
            </m:r>
          </m:sub>
        </m:sSub>
      </m:oMath>
      <w:r w:rsidR="007B1046" w:rsidRPr="009072DA">
        <w:rPr>
          <w:noProof w:val="0"/>
          <w:lang w:val="bg-BG"/>
        </w:rPr>
        <w:tab/>
        <w:t>височината на центъра на тежестта на страничната равнина А′ над съответната водолиния [m];</w:t>
      </w:r>
    </w:p>
    <w:p w:rsidR="00BF049A" w:rsidRPr="009072DA" w:rsidRDefault="007C7C40" w:rsidP="000153B3">
      <w:pPr>
        <w:pStyle w:val="EStiret"/>
        <w:ind w:left="1701" w:hanging="709"/>
        <w:rPr>
          <w:rFonts w:eastAsia="Calibri"/>
          <w:noProof w:val="0"/>
          <w:szCs w:val="20"/>
          <w:lang w:val="bg-BG"/>
        </w:rPr>
      </w:pPr>
      <m:oMath>
        <m:r>
          <w:rPr>
            <w:rFonts w:ascii="Cambria Math" w:eastAsia="Calibri" w:hAnsi="Cambria Math"/>
            <w:noProof w:val="0"/>
            <w:szCs w:val="20"/>
            <w:lang w:val="bg-BG"/>
          </w:rPr>
          <m:t>T'</m:t>
        </m:r>
      </m:oMath>
      <w:r w:rsidRPr="009072DA">
        <w:rPr>
          <w:noProof w:val="0"/>
          <w:lang w:val="bg-BG"/>
        </w:rPr>
        <w:tab/>
        <w:t>дълбочина на газене на натоварен плавателния съд [m].</w:t>
      </w:r>
    </w:p>
    <w:p w:rsidR="00AB4321" w:rsidRPr="009072DA" w:rsidRDefault="00AB4321" w:rsidP="00BF049A">
      <w:pPr>
        <w:pStyle w:val="ESch"/>
        <w:rPr>
          <w:lang w:val="bg-BG"/>
        </w:rPr>
      </w:pPr>
    </w:p>
    <w:p w:rsidR="00BF049A" w:rsidRPr="009072DA" w:rsidRDefault="00BF049A" w:rsidP="00AB4321">
      <w:pPr>
        <w:pStyle w:val="ESlet"/>
        <w:rPr>
          <w:lang w:val="bg-BG"/>
        </w:rPr>
      </w:pPr>
      <w:r w:rsidRPr="009072DA">
        <w:rPr>
          <w:lang w:val="bg-BG"/>
        </w:rPr>
        <w:t>д)</w:t>
      </w:r>
      <w:r w:rsidRPr="009072DA">
        <w:rPr>
          <w:lang w:val="bg-BG"/>
        </w:rPr>
        <w:tab/>
        <w:t>Рамото на кренящия момент, породен от откритите повърхности на дъждовната вода и остатъчната вода в трюма или двойното дъно, се определя по следната формула:</w:t>
      </w:r>
    </w:p>
    <w:p w:rsidR="008F61C4" w:rsidRPr="009072DA" w:rsidRDefault="002B712C" w:rsidP="008F61C4">
      <w:pPr>
        <w:pStyle w:val="ESlet"/>
        <w:ind w:left="0"/>
        <w:rPr>
          <w:rFonts w:cs="Arial"/>
          <w:szCs w:val="18"/>
          <w:lang w:val="bg-BG"/>
        </w:rPr>
      </w:pPr>
      <m:oMathPara>
        <m:oMath>
          <m:sSub>
            <m:sSubPr>
              <m:ctrlPr>
                <w:rPr>
                  <w:rFonts w:ascii="Cambria Math" w:hAnsi="Cambria Math" w:cs="Arial"/>
                  <w:i/>
                  <w:szCs w:val="18"/>
                  <w:lang w:val="bg-BG"/>
                </w:rPr>
              </m:ctrlPr>
            </m:sSubPr>
            <m:e>
              <m:r>
                <w:rPr>
                  <w:rFonts w:ascii="Cambria Math" w:hAnsi="Cambria Math" w:cs="Arial"/>
                  <w:szCs w:val="18"/>
                  <w:lang w:val="bg-BG"/>
                </w:rPr>
                <m:t>h</m:t>
              </m:r>
            </m:e>
            <m:sub>
              <m:r>
                <w:rPr>
                  <w:rFonts w:ascii="Cambria Math" w:hAnsi="Cambria Math" w:cs="Arial"/>
                  <w:szCs w:val="18"/>
                  <w:lang w:val="bg-BG"/>
                </w:rPr>
                <m:t>KfO</m:t>
              </m:r>
            </m:sub>
          </m:sSub>
          <m:r>
            <w:rPr>
              <w:rFonts w:ascii="Cambria Math" w:hAnsi="Cambria Math" w:cs="Arial"/>
              <w:szCs w:val="18"/>
              <w:lang w:val="bg-BG"/>
            </w:rPr>
            <m:t xml:space="preserve">= </m:t>
          </m:r>
          <m:f>
            <m:fPr>
              <m:ctrlPr>
                <w:rPr>
                  <w:rFonts w:ascii="Cambria Math" w:hAnsi="Cambria Math" w:cs="Arial"/>
                  <w:i/>
                  <w:szCs w:val="18"/>
                  <w:lang w:val="bg-BG"/>
                </w:rPr>
              </m:ctrlPr>
            </m:fPr>
            <m:num>
              <m:sSub>
                <m:sSubPr>
                  <m:ctrlPr>
                    <w:rPr>
                      <w:rFonts w:ascii="Cambria Math" w:hAnsi="Cambria Math" w:cs="Arial"/>
                      <w:i/>
                      <w:szCs w:val="18"/>
                      <w:lang w:val="bg-BG"/>
                    </w:rPr>
                  </m:ctrlPr>
                </m:sSubPr>
                <m:e>
                  <m:r>
                    <w:rPr>
                      <w:rFonts w:ascii="Cambria Math" w:hAnsi="Cambria Math" w:cs="Arial"/>
                      <w:szCs w:val="18"/>
                      <w:lang w:val="bg-BG"/>
                    </w:rPr>
                    <m:t>c</m:t>
                  </m:r>
                </m:e>
                <m:sub>
                  <m:r>
                    <w:rPr>
                      <w:rFonts w:ascii="Cambria Math" w:hAnsi="Cambria Math" w:cs="Arial"/>
                      <w:szCs w:val="18"/>
                      <w:lang w:val="bg-BG"/>
                    </w:rPr>
                    <m:t>KfO</m:t>
                  </m:r>
                </m:sub>
              </m:sSub>
            </m:num>
            <m:den>
              <m:r>
                <w:rPr>
                  <w:rFonts w:ascii="Cambria Math" w:hAnsi="Cambria Math" w:cs="Arial"/>
                  <w:szCs w:val="18"/>
                  <w:lang w:val="bg-BG"/>
                </w:rPr>
                <m:t>D'</m:t>
              </m:r>
            </m:den>
          </m:f>
          <m:r>
            <w:rPr>
              <w:rFonts w:ascii="Cambria Math" w:hAnsi="Cambria Math" w:cs="Arial"/>
              <w:szCs w:val="18"/>
              <w:lang w:val="bg-BG"/>
            </w:rPr>
            <m:t xml:space="preserve"> ∙ </m:t>
          </m:r>
          <m:nary>
            <m:naryPr>
              <m:chr m:val="∑"/>
              <m:limLoc m:val="undOvr"/>
              <m:subHide m:val="1"/>
              <m:supHide m:val="1"/>
              <m:ctrlPr>
                <w:rPr>
                  <w:rFonts w:ascii="Cambria Math" w:hAnsi="Cambria Math" w:cs="Arial"/>
                  <w:i/>
                  <w:szCs w:val="18"/>
                  <w:lang w:val="bg-BG"/>
                </w:rPr>
              </m:ctrlPr>
            </m:naryPr>
            <m:sub/>
            <m:sup/>
            <m:e>
              <m:d>
                <m:dPr>
                  <m:ctrlPr>
                    <w:rPr>
                      <w:rFonts w:ascii="Cambria Math" w:hAnsi="Cambria Math" w:cs="Arial"/>
                      <w:i/>
                      <w:szCs w:val="18"/>
                      <w:lang w:val="bg-BG"/>
                    </w:rPr>
                  </m:ctrlPr>
                </m:dPr>
                <m:e>
                  <m:r>
                    <w:rPr>
                      <w:rFonts w:ascii="Cambria Math" w:hAnsi="Cambria Math" w:cs="Arial"/>
                      <w:szCs w:val="18"/>
                      <w:lang w:val="bg-BG"/>
                    </w:rPr>
                    <m:t xml:space="preserve">b ∙l ∙ </m:t>
                  </m:r>
                  <m:d>
                    <m:dPr>
                      <m:ctrlPr>
                        <w:rPr>
                          <w:rFonts w:ascii="Cambria Math" w:hAnsi="Cambria Math" w:cs="Arial"/>
                          <w:i/>
                          <w:szCs w:val="18"/>
                          <w:lang w:val="bg-BG"/>
                        </w:rPr>
                      </m:ctrlPr>
                    </m:dPr>
                    <m:e>
                      <m:r>
                        <w:rPr>
                          <w:rFonts w:ascii="Cambria Math" w:hAnsi="Cambria Math" w:cs="Arial"/>
                          <w:szCs w:val="18"/>
                          <w:lang w:val="bg-BG"/>
                        </w:rPr>
                        <m:t xml:space="preserve">b-0,55 </m:t>
                      </m:r>
                      <m:rad>
                        <m:radPr>
                          <m:degHide m:val="1"/>
                          <m:ctrlPr>
                            <w:rPr>
                              <w:rFonts w:ascii="Cambria Math" w:hAnsi="Cambria Math" w:cs="Arial"/>
                              <w:i/>
                              <w:szCs w:val="18"/>
                              <w:lang w:val="bg-BG"/>
                            </w:rPr>
                          </m:ctrlPr>
                        </m:radPr>
                        <m:deg/>
                        <m:e>
                          <m:r>
                            <w:rPr>
                              <w:rFonts w:ascii="Cambria Math" w:hAnsi="Cambria Math" w:cs="Arial"/>
                              <w:szCs w:val="18"/>
                              <w:lang w:val="bg-BG"/>
                            </w:rPr>
                            <m:t>b</m:t>
                          </m:r>
                        </m:e>
                      </m:rad>
                    </m:e>
                  </m:d>
                </m:e>
              </m:d>
              <m:r>
                <w:rPr>
                  <w:rFonts w:ascii="Cambria Math" w:hAnsi="Cambria Math" w:cs="Arial"/>
                  <w:szCs w:val="18"/>
                  <w:lang w:val="bg-BG"/>
                </w:rPr>
                <m:t xml:space="preserve"> </m:t>
              </m:r>
              <m:d>
                <m:dPr>
                  <m:begChr m:val="["/>
                  <m:endChr m:val="]"/>
                  <m:ctrlPr>
                    <w:rPr>
                      <w:rFonts w:ascii="Cambria Math" w:hAnsi="Cambria Math" w:cs="Arial"/>
                      <w:i/>
                      <w:szCs w:val="18"/>
                      <w:lang w:val="bg-BG"/>
                    </w:rPr>
                  </m:ctrlPr>
                </m:dPr>
                <m:e>
                  <m:r>
                    <w:rPr>
                      <w:rFonts w:ascii="Cambria Math" w:hAnsi="Cambria Math" w:cs="Arial"/>
                      <w:szCs w:val="18"/>
                      <w:lang w:val="bg-BG"/>
                    </w:rPr>
                    <m:t>m</m:t>
                  </m:r>
                </m:e>
              </m:d>
            </m:e>
          </m:nary>
        </m:oMath>
      </m:oMathPara>
    </w:p>
    <w:p w:rsidR="00BF049A" w:rsidRPr="009072DA" w:rsidRDefault="00BF049A" w:rsidP="00AB4321">
      <w:pPr>
        <w:pStyle w:val="EStiret"/>
        <w:rPr>
          <w:rFonts w:cs="Arial"/>
          <w:noProof w:val="0"/>
          <w:szCs w:val="20"/>
          <w:lang w:val="bg-BG"/>
        </w:rPr>
      </w:pPr>
      <w:r w:rsidRPr="009072DA">
        <w:rPr>
          <w:noProof w:val="0"/>
          <w:lang w:val="bg-BG"/>
        </w:rPr>
        <w:t>където:</w:t>
      </w:r>
    </w:p>
    <w:p w:rsidR="00BF049A" w:rsidRPr="009072DA" w:rsidRDefault="002B712C" w:rsidP="000153B3">
      <w:pPr>
        <w:pStyle w:val="EStiret"/>
        <w:ind w:left="1701" w:hanging="709"/>
        <w:rPr>
          <w:rFonts w:eastAsia="Calibri" w:cs="Arial"/>
          <w:noProof w:val="0"/>
          <w:szCs w:val="20"/>
          <w:lang w:val="bg-BG"/>
        </w:rPr>
      </w:pPr>
      <m:oMath>
        <m:sSub>
          <m:sSubPr>
            <m:ctrlPr>
              <w:rPr>
                <w:rFonts w:ascii="Cambria Math" w:eastAsia="Calibri" w:hAnsi="Cambria Math"/>
                <w:i/>
                <w:noProof w:val="0"/>
                <w:lang w:val="bg-BG"/>
              </w:rPr>
            </m:ctrlPr>
          </m:sSubPr>
          <m:e>
            <m:r>
              <w:rPr>
                <w:rFonts w:ascii="Cambria Math" w:eastAsia="Calibri" w:hAnsi="Cambria Math"/>
                <w:noProof w:val="0"/>
                <w:lang w:val="bg-BG"/>
              </w:rPr>
              <m:t>c</m:t>
            </m:r>
          </m:e>
          <m:sub>
            <m:r>
              <w:rPr>
                <w:rFonts w:ascii="Cambria Math" w:eastAsia="Calibri" w:hAnsi="Cambria Math"/>
                <w:noProof w:val="0"/>
                <w:lang w:val="bg-BG"/>
              </w:rPr>
              <m:t>KfO</m:t>
            </m:r>
          </m:sub>
        </m:sSub>
      </m:oMath>
      <w:r w:rsidR="007B1046" w:rsidRPr="009072DA">
        <w:rPr>
          <w:noProof w:val="0"/>
          <w:lang w:val="bg-BG"/>
        </w:rPr>
        <w:tab/>
        <w:t xml:space="preserve">параметър </w:t>
      </w:r>
      <m:oMath>
        <m:d>
          <m:dPr>
            <m:ctrlPr>
              <w:rPr>
                <w:rFonts w:ascii="Cambria Math" w:eastAsia="Calibri" w:hAnsi="Cambria Math"/>
                <w:i/>
                <w:noProof w:val="0"/>
                <w:szCs w:val="16"/>
                <w:lang w:val="bg-BG"/>
              </w:rPr>
            </m:ctrlPr>
          </m:dPr>
          <m:e>
            <m:sSub>
              <m:sSubPr>
                <m:ctrlPr>
                  <w:rPr>
                    <w:rFonts w:ascii="Cambria Math" w:eastAsia="Calibri" w:hAnsi="Cambria Math"/>
                    <w:i/>
                    <w:noProof w:val="0"/>
                    <w:szCs w:val="16"/>
                    <w:lang w:val="bg-BG"/>
                  </w:rPr>
                </m:ctrlPr>
              </m:sSubPr>
              <m:e>
                <m:r>
                  <w:rPr>
                    <w:rFonts w:ascii="Cambria Math" w:eastAsia="Calibri" w:hAnsi="Cambria Math"/>
                    <w:noProof w:val="0"/>
                    <w:szCs w:val="16"/>
                    <w:lang w:val="bg-BG"/>
                  </w:rPr>
                  <m:t>c</m:t>
                </m:r>
              </m:e>
              <m:sub>
                <m:r>
                  <w:rPr>
                    <w:rFonts w:ascii="Cambria Math" w:eastAsia="Calibri" w:hAnsi="Cambria Math"/>
                    <w:noProof w:val="0"/>
                    <w:szCs w:val="16"/>
                    <w:lang w:val="bg-BG"/>
                  </w:rPr>
                  <m:t>KfO</m:t>
                </m:r>
              </m:sub>
            </m:sSub>
            <m:r>
              <w:rPr>
                <w:rFonts w:ascii="Cambria Math" w:eastAsia="Calibri" w:hAnsi="Cambria Math"/>
                <w:noProof w:val="0"/>
                <w:szCs w:val="16"/>
                <w:lang w:val="bg-BG"/>
              </w:rPr>
              <m:t>=0,015</m:t>
            </m:r>
          </m:e>
        </m:d>
      </m:oMath>
      <w:r w:rsidR="007B1046" w:rsidRPr="009072DA">
        <w:rPr>
          <w:noProof w:val="0"/>
          <w:lang w:val="bg-BG"/>
        </w:rPr>
        <w:t xml:space="preserve"> [t/m</w:t>
      </w:r>
      <w:r w:rsidR="007B1046" w:rsidRPr="009072DA">
        <w:rPr>
          <w:noProof w:val="0"/>
          <w:position w:val="6"/>
          <w:sz w:val="16"/>
          <w:lang w:val="bg-BG"/>
        </w:rPr>
        <w:t>2</w:t>
      </w:r>
      <w:r w:rsidR="007B1046" w:rsidRPr="009072DA">
        <w:rPr>
          <w:noProof w:val="0"/>
          <w:lang w:val="bg-BG"/>
        </w:rPr>
        <w:t>];</w:t>
      </w:r>
    </w:p>
    <w:p w:rsidR="00BF049A" w:rsidRPr="009072DA" w:rsidRDefault="007C7C40" w:rsidP="000153B3">
      <w:pPr>
        <w:pStyle w:val="EStiret"/>
        <w:ind w:left="1701" w:hanging="709"/>
        <w:rPr>
          <w:rFonts w:eastAsia="Calibri" w:cs="Arial"/>
          <w:noProof w:val="0"/>
          <w:szCs w:val="20"/>
          <w:lang w:val="bg-BG"/>
        </w:rPr>
      </w:pPr>
      <m:oMath>
        <m:r>
          <w:rPr>
            <w:rFonts w:ascii="Cambria Math" w:eastAsia="Calibri" w:hAnsi="Cambria Math" w:cs="Arial"/>
            <w:noProof w:val="0"/>
            <w:szCs w:val="20"/>
            <w:lang w:val="bg-BG"/>
          </w:rPr>
          <m:t>b</m:t>
        </m:r>
      </m:oMath>
      <w:r w:rsidRPr="009072DA">
        <w:rPr>
          <w:noProof w:val="0"/>
          <w:lang w:val="bg-BG"/>
        </w:rPr>
        <w:tab/>
        <w:t>широчина на трюма или секция от този трюм [m];</w:t>
      </w:r>
      <w:r w:rsidRPr="009072DA">
        <w:rPr>
          <w:rStyle w:val="FootnoteReference"/>
          <w:noProof w:val="0"/>
          <w:lang w:val="bg-BG"/>
        </w:rPr>
        <w:footnoteReference w:customMarkFollows="1" w:id="23"/>
        <w:t>*</w:t>
      </w:r>
    </w:p>
    <w:p w:rsidR="00BF049A" w:rsidRPr="009072DA" w:rsidRDefault="007C7C40" w:rsidP="000153B3">
      <w:pPr>
        <w:pStyle w:val="EStiret"/>
        <w:ind w:left="1701" w:hanging="709"/>
        <w:rPr>
          <w:rFonts w:eastAsia="Calibri" w:cs="Arial"/>
          <w:noProof w:val="0"/>
          <w:szCs w:val="20"/>
          <w:vertAlign w:val="superscript"/>
          <w:lang w:val="bg-BG"/>
        </w:rPr>
      </w:pPr>
      <m:oMath>
        <m:r>
          <w:rPr>
            <w:rFonts w:ascii="Cambria Math" w:eastAsia="Calibri" w:hAnsi="Cambria Math" w:cs="Arial"/>
            <w:noProof w:val="0"/>
            <w:szCs w:val="20"/>
            <w:lang w:val="bg-BG"/>
          </w:rPr>
          <m:t>l</m:t>
        </m:r>
      </m:oMath>
      <w:r w:rsidRPr="009072DA">
        <w:rPr>
          <w:noProof w:val="0"/>
          <w:lang w:val="bg-BG"/>
        </w:rPr>
        <w:tab/>
        <w:t>дължина на трюма или секция от този трюм [m];</w:t>
      </w:r>
      <w:r w:rsidRPr="009072DA">
        <w:rPr>
          <w:noProof w:val="0"/>
          <w:vertAlign w:val="superscript"/>
          <w:lang w:val="bg-BG"/>
        </w:rPr>
        <w:t>*</w:t>
      </w:r>
    </w:p>
    <w:p w:rsidR="00BF049A" w:rsidRPr="009072DA" w:rsidRDefault="007C7C40" w:rsidP="000153B3">
      <w:pPr>
        <w:pStyle w:val="EStiret"/>
        <w:ind w:left="1701" w:hanging="709"/>
        <w:rPr>
          <w:rFonts w:eastAsia="Calibri" w:cs="Arial"/>
          <w:noProof w:val="0"/>
          <w:szCs w:val="20"/>
          <w:lang w:val="bg-BG"/>
        </w:rPr>
      </w:pPr>
      <m:oMath>
        <m:r>
          <w:rPr>
            <w:rFonts w:ascii="Cambria Math" w:eastAsia="Calibri" w:hAnsi="Cambria Math" w:cs="Arial"/>
            <w:noProof w:val="0"/>
            <w:szCs w:val="20"/>
            <w:lang w:val="bg-BG"/>
          </w:rPr>
          <m:t>D'</m:t>
        </m:r>
      </m:oMath>
      <w:r w:rsidRPr="009072DA">
        <w:rPr>
          <w:noProof w:val="0"/>
          <w:lang w:val="bg-BG"/>
        </w:rPr>
        <w:tab/>
        <w:t>водоизместването на натоварения плавателен съд [t].</w:t>
      </w:r>
    </w:p>
    <w:p w:rsidR="00AB4321" w:rsidRPr="009072DA" w:rsidRDefault="00AB4321" w:rsidP="00BF049A">
      <w:pPr>
        <w:pStyle w:val="ESch"/>
        <w:rPr>
          <w:lang w:val="bg-BG"/>
        </w:rPr>
      </w:pPr>
    </w:p>
    <w:p w:rsidR="00BF049A" w:rsidRPr="009072DA" w:rsidRDefault="00BF049A" w:rsidP="00AB4321">
      <w:pPr>
        <w:pStyle w:val="ESlet"/>
        <w:rPr>
          <w:rFonts w:cs="Arial"/>
          <w:szCs w:val="18"/>
          <w:lang w:val="bg-BG"/>
        </w:rPr>
      </w:pPr>
      <w:r w:rsidRPr="009072DA">
        <w:rPr>
          <w:lang w:val="bg-BG"/>
        </w:rPr>
        <w:lastRenderedPageBreak/>
        <w:t>е)</w:t>
      </w:r>
      <w:r w:rsidRPr="009072DA">
        <w:rPr>
          <w:lang w:val="bg-BG"/>
        </w:rPr>
        <w:tab/>
        <w:t>Половината от запасите на гориво и прясна вода трябва да бъдат взети предвид при всяко състояние на натоварване.</w:t>
      </w:r>
    </w:p>
    <w:p w:rsidR="00AB4321" w:rsidRPr="009072DA" w:rsidRDefault="00AB4321" w:rsidP="00BF049A">
      <w:pPr>
        <w:pStyle w:val="ESch"/>
        <w:rPr>
          <w:lang w:val="bg-BG"/>
        </w:rPr>
      </w:pPr>
    </w:p>
    <w:p w:rsidR="00BF049A" w:rsidRPr="009072DA" w:rsidRDefault="00BF049A" w:rsidP="00BF049A">
      <w:pPr>
        <w:pStyle w:val="ESch"/>
        <w:rPr>
          <w:lang w:val="bg-BG"/>
        </w:rPr>
      </w:pPr>
      <w:r w:rsidRPr="009072DA">
        <w:rPr>
          <w:lang w:val="bg-BG"/>
        </w:rPr>
        <w:t>2.</w:t>
      </w:r>
      <w:r w:rsidRPr="009072DA">
        <w:rPr>
          <w:lang w:val="bg-BG"/>
        </w:rPr>
        <w:tab/>
        <w:t xml:space="preserve">Устойчивостта на плавателен съд, превозващ незакрепени контейнери, се смята за достатъчна, ако действителната </w:t>
      </w:r>
      <m:oMath>
        <m:acc>
          <m:accPr>
            <m:chr m:val="̅"/>
            <m:ctrlPr>
              <w:rPr>
                <w:rFonts w:ascii="Cambria Math" w:hAnsi="Cambria Math"/>
                <w:i/>
                <w:lang w:val="bg-BG"/>
              </w:rPr>
            </m:ctrlPr>
          </m:accPr>
          <m:e>
            <m:r>
              <w:rPr>
                <w:rFonts w:ascii="Cambria Math" w:hAnsi="Cambria Math"/>
                <w:lang w:val="bg-BG"/>
              </w:rPr>
              <m:t>KG</m:t>
            </m:r>
          </m:e>
        </m:acc>
      </m:oMath>
      <w:r w:rsidRPr="009072DA">
        <w:rPr>
          <w:lang w:val="bg-BG"/>
        </w:rPr>
        <w:t xml:space="preserve"> не превишава </w:t>
      </w:r>
      <m:oMath>
        <m:sSub>
          <m:sSubPr>
            <m:ctrlPr>
              <w:rPr>
                <w:rFonts w:ascii="Cambria Math" w:hAnsi="Cambria Math"/>
                <w:i/>
                <w:lang w:val="bg-BG"/>
              </w:rPr>
            </m:ctrlPr>
          </m:sSubPr>
          <m:e>
            <m:acc>
              <m:accPr>
                <m:chr m:val="̅"/>
                <m:ctrlPr>
                  <w:rPr>
                    <w:rFonts w:ascii="Cambria Math" w:hAnsi="Cambria Math"/>
                    <w:i/>
                    <w:lang w:val="bg-BG"/>
                  </w:rPr>
                </m:ctrlPr>
              </m:accPr>
              <m:e>
                <m:r>
                  <w:rPr>
                    <w:rFonts w:ascii="Cambria Math" w:hAnsi="Cambria Math"/>
                    <w:lang w:val="bg-BG"/>
                  </w:rPr>
                  <m:t>KG</m:t>
                </m:r>
              </m:e>
            </m:acc>
          </m:e>
          <m:sub>
            <m:r>
              <w:rPr>
                <w:rFonts w:ascii="Cambria Math" w:hAnsi="Cambria Math"/>
                <w:lang w:val="bg-BG"/>
              </w:rPr>
              <m:t>zul</m:t>
            </m:r>
          </m:sub>
        </m:sSub>
      </m:oMath>
      <w:r w:rsidRPr="009072DA">
        <w:rPr>
          <w:lang w:val="bg-BG"/>
        </w:rPr>
        <w:t xml:space="preserve">, получена по следните формули.  </w:t>
      </w:r>
      <m:oMath>
        <m:sSub>
          <m:sSubPr>
            <m:ctrlPr>
              <w:rPr>
                <w:rFonts w:ascii="Cambria Math" w:hAnsi="Cambria Math"/>
                <w:i/>
                <w:lang w:val="bg-BG"/>
              </w:rPr>
            </m:ctrlPr>
          </m:sSubPr>
          <m:e>
            <m:acc>
              <m:accPr>
                <m:chr m:val="̅"/>
                <m:ctrlPr>
                  <w:rPr>
                    <w:rFonts w:ascii="Cambria Math" w:hAnsi="Cambria Math"/>
                    <w:i/>
                    <w:lang w:val="bg-BG"/>
                  </w:rPr>
                </m:ctrlPr>
              </m:accPr>
              <m:e>
                <m:r>
                  <w:rPr>
                    <w:rFonts w:ascii="Cambria Math" w:hAnsi="Cambria Math"/>
                    <w:lang w:val="bg-BG"/>
                  </w:rPr>
                  <m:t>KG</m:t>
                </m:r>
              </m:e>
            </m:acc>
          </m:e>
          <m:sub>
            <m:r>
              <w:rPr>
                <w:rFonts w:ascii="Cambria Math" w:hAnsi="Cambria Math"/>
                <w:lang w:val="bg-BG"/>
              </w:rPr>
              <m:t>zul</m:t>
            </m:r>
          </m:sub>
        </m:sSub>
      </m:oMath>
      <w:r w:rsidRPr="009072DA">
        <w:rPr>
          <w:lang w:val="bg-BG"/>
        </w:rPr>
        <w:t xml:space="preserve"> се изчислява за различни водоизмествания, покриващи целия обхват от стойности на газенето:</w:t>
      </w:r>
    </w:p>
    <w:p w:rsidR="00487BDA" w:rsidRPr="009072DA" w:rsidRDefault="00487BDA" w:rsidP="00BF049A">
      <w:pPr>
        <w:pStyle w:val="ESch"/>
        <w:rPr>
          <w:lang w:val="bg-BG"/>
        </w:rPr>
      </w:pPr>
    </w:p>
    <w:p w:rsidR="00487BDA" w:rsidRPr="009072DA" w:rsidRDefault="00487BDA" w:rsidP="00BF049A">
      <w:pPr>
        <w:pStyle w:val="ESch"/>
        <w:rPr>
          <w:rFonts w:cs="Arial"/>
          <w:szCs w:val="18"/>
          <w:lang w:val="bg-BG"/>
        </w:rPr>
      </w:pPr>
      <w:r w:rsidRPr="009072DA">
        <w:rPr>
          <w:lang w:val="bg-BG"/>
        </w:rPr>
        <w:br w:type="page"/>
      </w:r>
    </w:p>
    <w:p w:rsidR="00487BDA" w:rsidRPr="009072DA" w:rsidRDefault="005C7859" w:rsidP="00487BDA">
      <w:pPr>
        <w:pStyle w:val="ESlet"/>
        <w:rPr>
          <w:rFonts w:eastAsia="Calibri"/>
          <w:lang w:val="bg-BG"/>
        </w:rPr>
      </w:pPr>
      <w:r w:rsidRPr="009072DA">
        <w:rPr>
          <w:lang w:val="bg-BG"/>
        </w:rPr>
        <w:lastRenderedPageBreak/>
        <w:t>a)</w:t>
      </w:r>
    </w:p>
    <w:p w:rsidR="001C29FD" w:rsidRPr="009072DA" w:rsidRDefault="002B712C" w:rsidP="001C29FD">
      <w:pPr>
        <w:pStyle w:val="ESlet"/>
        <w:ind w:left="0"/>
        <w:rPr>
          <w:rFonts w:eastAsia="Calibri"/>
          <w:lang w:val="bg-BG"/>
        </w:rPr>
      </w:pPr>
      <m:oMathPara>
        <m:oMath>
          <m:sSub>
            <m:sSubPr>
              <m:ctrlPr>
                <w:rPr>
                  <w:rFonts w:ascii="Cambria Math" w:eastAsia="Calibri" w:hAnsi="Cambria Math"/>
                  <w:i/>
                  <w:lang w:val="bg-BG"/>
                </w:rPr>
              </m:ctrlPr>
            </m:sSubPr>
            <m:e>
              <m:acc>
                <m:accPr>
                  <m:chr m:val="̅"/>
                  <m:ctrlPr>
                    <w:rPr>
                      <w:rFonts w:ascii="Cambria Math" w:eastAsia="Calibri" w:hAnsi="Cambria Math"/>
                      <w:i/>
                      <w:lang w:val="bg-BG"/>
                    </w:rPr>
                  </m:ctrlPr>
                </m:accPr>
                <m:e>
                  <m:r>
                    <w:rPr>
                      <w:rFonts w:ascii="Cambria Math" w:eastAsia="Calibri" w:hAnsi="Cambria Math"/>
                      <w:lang w:val="bg-BG"/>
                    </w:rPr>
                    <m:t>KG</m:t>
                  </m:r>
                </m:e>
              </m:acc>
            </m:e>
            <m:sub>
              <m:r>
                <w:rPr>
                  <w:rFonts w:ascii="Cambria Math" w:eastAsia="Calibri" w:hAnsi="Cambria Math"/>
                  <w:lang w:val="bg-BG"/>
                </w:rPr>
                <m:t>zul</m:t>
              </m:r>
            </m:sub>
          </m:sSub>
          <m:r>
            <w:rPr>
              <w:rFonts w:ascii="Cambria Math" w:eastAsia="Calibri" w:hAnsi="Cambria Math"/>
              <w:lang w:val="bg-BG"/>
            </w:rPr>
            <m:t xml:space="preserve">= </m:t>
          </m:r>
          <m:f>
            <m:fPr>
              <m:ctrlPr>
                <w:rPr>
                  <w:rFonts w:ascii="Cambria Math" w:eastAsia="Calibri" w:hAnsi="Cambria Math"/>
                  <w:i/>
                  <w:lang w:val="bg-BG"/>
                </w:rPr>
              </m:ctrlPr>
            </m:fPr>
            <m:num>
              <m:acc>
                <m:accPr>
                  <m:chr m:val="̅"/>
                  <m:ctrlPr>
                    <w:rPr>
                      <w:rFonts w:ascii="Cambria Math" w:eastAsia="Calibri" w:hAnsi="Cambria Math"/>
                      <w:i/>
                      <w:lang w:val="bg-BG"/>
                    </w:rPr>
                  </m:ctrlPr>
                </m:accPr>
                <m:e>
                  <m:r>
                    <w:rPr>
                      <w:rFonts w:ascii="Cambria Math" w:eastAsia="Calibri" w:hAnsi="Cambria Math"/>
                      <w:lang w:val="bg-BG"/>
                    </w:rPr>
                    <m:t>KM</m:t>
                  </m:r>
                </m:e>
              </m:acc>
              <m:r>
                <w:rPr>
                  <w:rFonts w:ascii="Cambria Math" w:eastAsia="Calibri" w:hAnsi="Cambria Math"/>
                  <w:lang w:val="bg-BG"/>
                </w:rPr>
                <m:t xml:space="preserve">+ </m:t>
              </m:r>
              <m:f>
                <m:fPr>
                  <m:ctrlPr>
                    <w:rPr>
                      <w:rFonts w:ascii="Cambria Math" w:eastAsia="Calibri" w:hAnsi="Cambria Math"/>
                      <w:i/>
                      <w:lang w:val="bg-BG"/>
                    </w:rPr>
                  </m:ctrlPr>
                </m:fPr>
                <m:num>
                  <m:sSub>
                    <m:sSubPr>
                      <m:ctrlPr>
                        <w:rPr>
                          <w:rFonts w:ascii="Cambria Math" w:eastAsia="Calibri" w:hAnsi="Cambria Math"/>
                          <w:i/>
                          <w:lang w:val="bg-BG"/>
                        </w:rPr>
                      </m:ctrlPr>
                    </m:sSubPr>
                    <m:e>
                      <m:r>
                        <w:rPr>
                          <w:rFonts w:ascii="Cambria Math" w:eastAsia="Calibri" w:hAnsi="Cambria Math"/>
                          <w:lang w:val="bg-BG"/>
                        </w:rPr>
                        <m:t>B</m:t>
                      </m:r>
                    </m:e>
                    <m:sub>
                      <m:r>
                        <w:rPr>
                          <w:rFonts w:ascii="Cambria Math" w:eastAsia="Calibri" w:hAnsi="Cambria Math"/>
                          <w:lang w:val="bg-BG"/>
                        </w:rPr>
                        <m:t>WL</m:t>
                      </m:r>
                    </m:sub>
                  </m:sSub>
                </m:num>
                <m:den>
                  <m:r>
                    <w:rPr>
                      <w:rFonts w:ascii="Cambria Math" w:eastAsia="Calibri" w:hAnsi="Cambria Math"/>
                      <w:lang w:val="bg-BG"/>
                    </w:rPr>
                    <m:t>2F</m:t>
                  </m:r>
                </m:den>
              </m:f>
              <m:r>
                <w:rPr>
                  <w:rFonts w:ascii="Cambria Math" w:eastAsia="Calibri" w:hAnsi="Cambria Math"/>
                  <w:lang w:val="bg-BG"/>
                </w:rPr>
                <m:t xml:space="preserve"> ∙ </m:t>
              </m:r>
              <m:d>
                <m:dPr>
                  <m:ctrlPr>
                    <w:rPr>
                      <w:rFonts w:ascii="Cambria Math" w:eastAsia="Calibri" w:hAnsi="Cambria Math"/>
                      <w:i/>
                      <w:lang w:val="bg-BG"/>
                    </w:rPr>
                  </m:ctrlPr>
                </m:dPr>
                <m:e>
                  <m:r>
                    <w:rPr>
                      <w:rFonts w:ascii="Cambria Math" w:eastAsia="Calibri" w:hAnsi="Cambria Math"/>
                      <w:lang w:val="bg-BG"/>
                    </w:rPr>
                    <m:t xml:space="preserve">Z ∙ </m:t>
                  </m:r>
                  <m:f>
                    <m:fPr>
                      <m:ctrlPr>
                        <w:rPr>
                          <w:rFonts w:ascii="Cambria Math" w:eastAsia="Calibri" w:hAnsi="Cambria Math"/>
                          <w:i/>
                          <w:lang w:val="bg-BG"/>
                        </w:rPr>
                      </m:ctrlPr>
                    </m:fPr>
                    <m:num>
                      <m:sSub>
                        <m:sSubPr>
                          <m:ctrlPr>
                            <w:rPr>
                              <w:rFonts w:ascii="Cambria Math" w:eastAsia="Calibri" w:hAnsi="Cambria Math"/>
                              <w:i/>
                              <w:lang w:val="bg-BG"/>
                            </w:rPr>
                          </m:ctrlPr>
                        </m:sSubPr>
                        <m:e>
                          <m:r>
                            <w:rPr>
                              <w:rFonts w:ascii="Cambria Math" w:eastAsia="Calibri" w:hAnsi="Cambria Math"/>
                              <w:lang w:val="bg-BG"/>
                            </w:rPr>
                            <m:t>T</m:t>
                          </m:r>
                        </m:e>
                        <m:sub>
                          <m:r>
                            <w:rPr>
                              <w:rFonts w:ascii="Cambria Math" w:eastAsia="Calibri" w:hAnsi="Cambria Math"/>
                              <w:lang w:val="bg-BG"/>
                            </w:rPr>
                            <m:t>m</m:t>
                          </m:r>
                        </m:sub>
                      </m:sSub>
                    </m:num>
                    <m:den>
                      <m:r>
                        <w:rPr>
                          <w:rFonts w:ascii="Cambria Math" w:eastAsia="Calibri" w:hAnsi="Cambria Math"/>
                          <w:lang w:val="bg-BG"/>
                        </w:rPr>
                        <m:t>2</m:t>
                      </m:r>
                    </m:den>
                  </m:f>
                  <m:r>
                    <w:rPr>
                      <w:rFonts w:ascii="Cambria Math" w:eastAsia="Calibri" w:hAnsi="Cambria Math"/>
                      <w:lang w:val="bg-BG"/>
                    </w:rPr>
                    <m:t xml:space="preserve">- </m:t>
                  </m:r>
                  <m:sSub>
                    <m:sSubPr>
                      <m:ctrlPr>
                        <w:rPr>
                          <w:rFonts w:ascii="Cambria Math" w:eastAsia="Calibri" w:hAnsi="Cambria Math"/>
                          <w:i/>
                          <w:lang w:val="bg-BG"/>
                        </w:rPr>
                      </m:ctrlPr>
                    </m:sSubPr>
                    <m:e>
                      <m:r>
                        <w:rPr>
                          <w:rFonts w:ascii="Cambria Math" w:eastAsia="Calibri" w:hAnsi="Cambria Math"/>
                          <w:lang w:val="bg-BG"/>
                        </w:rPr>
                        <m:t>h</m:t>
                      </m:r>
                    </m:e>
                    <m:sub>
                      <m:r>
                        <w:rPr>
                          <w:rFonts w:ascii="Cambria Math" w:eastAsia="Calibri" w:hAnsi="Cambria Math"/>
                          <w:lang w:val="bg-BG"/>
                        </w:rPr>
                        <m:t>KW</m:t>
                      </m:r>
                    </m:sub>
                  </m:sSub>
                  <m:r>
                    <w:rPr>
                      <w:rFonts w:ascii="Cambria Math" w:eastAsia="Calibri" w:hAnsi="Cambria Math"/>
                      <w:lang w:val="bg-BG"/>
                    </w:rPr>
                    <m:t xml:space="preserve">- </m:t>
                  </m:r>
                  <m:sSub>
                    <m:sSubPr>
                      <m:ctrlPr>
                        <w:rPr>
                          <w:rFonts w:ascii="Cambria Math" w:eastAsia="Calibri" w:hAnsi="Cambria Math"/>
                          <w:i/>
                          <w:lang w:val="bg-BG"/>
                        </w:rPr>
                      </m:ctrlPr>
                    </m:sSubPr>
                    <m:e>
                      <m:r>
                        <w:rPr>
                          <w:rFonts w:ascii="Cambria Math" w:eastAsia="Calibri" w:hAnsi="Cambria Math"/>
                          <w:lang w:val="bg-BG"/>
                        </w:rPr>
                        <m:t>h</m:t>
                      </m:r>
                    </m:e>
                    <m:sub>
                      <m:r>
                        <w:rPr>
                          <w:rFonts w:ascii="Cambria Math" w:eastAsia="Calibri" w:hAnsi="Cambria Math"/>
                          <w:lang w:val="bg-BG"/>
                        </w:rPr>
                        <m:t>kFO</m:t>
                      </m:r>
                    </m:sub>
                  </m:sSub>
                </m:e>
              </m:d>
            </m:num>
            <m:den>
              <m:f>
                <m:fPr>
                  <m:ctrlPr>
                    <w:rPr>
                      <w:rFonts w:ascii="Cambria Math" w:eastAsia="Calibri" w:hAnsi="Cambria Math"/>
                      <w:i/>
                      <w:lang w:val="bg-BG"/>
                    </w:rPr>
                  </m:ctrlPr>
                </m:fPr>
                <m:num>
                  <m:sSub>
                    <m:sSubPr>
                      <m:ctrlPr>
                        <w:rPr>
                          <w:rFonts w:ascii="Cambria Math" w:eastAsia="Calibri" w:hAnsi="Cambria Math"/>
                          <w:i/>
                          <w:lang w:val="bg-BG"/>
                        </w:rPr>
                      </m:ctrlPr>
                    </m:sSubPr>
                    <m:e>
                      <m:r>
                        <w:rPr>
                          <w:rFonts w:ascii="Cambria Math" w:eastAsia="Calibri" w:hAnsi="Cambria Math"/>
                          <w:lang w:val="bg-BG"/>
                        </w:rPr>
                        <m:t>B</m:t>
                      </m:r>
                    </m:e>
                    <m:sub>
                      <m:r>
                        <w:rPr>
                          <w:rFonts w:ascii="Cambria Math" w:eastAsia="Calibri" w:hAnsi="Cambria Math"/>
                          <w:lang w:val="bg-BG"/>
                        </w:rPr>
                        <m:t>WL</m:t>
                      </m:r>
                    </m:sub>
                  </m:sSub>
                </m:num>
                <m:den>
                  <m:r>
                    <w:rPr>
                      <w:rFonts w:ascii="Cambria Math" w:eastAsia="Calibri" w:hAnsi="Cambria Math"/>
                      <w:lang w:val="bg-BG"/>
                    </w:rPr>
                    <m:t>2F</m:t>
                  </m:r>
                </m:den>
              </m:f>
              <m:r>
                <w:rPr>
                  <w:rFonts w:ascii="Cambria Math" w:eastAsia="Calibri" w:hAnsi="Cambria Math"/>
                  <w:lang w:val="bg-BG"/>
                </w:rPr>
                <m:t xml:space="preserve"> ∙Z+1</m:t>
              </m:r>
            </m:den>
          </m:f>
          <m:r>
            <w:rPr>
              <w:rFonts w:ascii="Cambria Math" w:eastAsia="Calibri" w:hAnsi="Cambria Math"/>
              <w:lang w:val="bg-BG"/>
            </w:rPr>
            <m:t xml:space="preserve"> </m:t>
          </m:r>
          <m:d>
            <m:dPr>
              <m:begChr m:val="["/>
              <m:endChr m:val="]"/>
              <m:ctrlPr>
                <w:rPr>
                  <w:rFonts w:ascii="Cambria Math" w:eastAsia="Calibri" w:hAnsi="Cambria Math"/>
                  <w:i/>
                  <w:lang w:val="bg-BG"/>
                </w:rPr>
              </m:ctrlPr>
            </m:dPr>
            <m:e>
              <m:r>
                <w:rPr>
                  <w:rFonts w:ascii="Cambria Math" w:eastAsia="Calibri" w:hAnsi="Cambria Math"/>
                  <w:lang w:val="bg-BG"/>
                </w:rPr>
                <m:t>m</m:t>
              </m:r>
            </m:e>
          </m:d>
        </m:oMath>
      </m:oMathPara>
    </w:p>
    <w:p w:rsidR="00BF049A" w:rsidRPr="009072DA" w:rsidRDefault="00BF049A" w:rsidP="00487BDA">
      <w:pPr>
        <w:pStyle w:val="ESletpar"/>
        <w:rPr>
          <w:rFonts w:cs="Arial"/>
          <w:szCs w:val="18"/>
          <w:lang w:val="bg-BG"/>
        </w:rPr>
      </w:pPr>
      <w:r w:rsidRPr="009072DA">
        <w:rPr>
          <w:lang w:val="bg-BG"/>
        </w:rPr>
        <w:t xml:space="preserve">Не може да се приема стойност, по-малка от 11,5 (11,5 = 1/tan 5°) за </w:t>
      </w:r>
      <m:oMath>
        <m:f>
          <m:fPr>
            <m:ctrlPr>
              <w:rPr>
                <w:rFonts w:ascii="Cambria Math" w:hAnsi="Cambria Math"/>
                <w:i/>
                <w:lang w:val="bg-BG"/>
              </w:rPr>
            </m:ctrlPr>
          </m:fPr>
          <m:num>
            <m:sSub>
              <m:sSubPr>
                <m:ctrlPr>
                  <w:rPr>
                    <w:rFonts w:ascii="Cambria Math" w:hAnsi="Cambria Math"/>
                    <w:i/>
                    <w:lang w:val="bg-BG"/>
                  </w:rPr>
                </m:ctrlPr>
              </m:sSubPr>
              <m:e>
                <m:r>
                  <w:rPr>
                    <w:rFonts w:ascii="Cambria Math" w:hAnsi="Cambria Math"/>
                    <w:lang w:val="bg-BG"/>
                  </w:rPr>
                  <m:t>B</m:t>
                </m:r>
              </m:e>
              <m:sub>
                <m:r>
                  <w:rPr>
                    <w:rFonts w:ascii="Cambria Math" w:hAnsi="Cambria Math"/>
                    <w:lang w:val="bg-BG"/>
                  </w:rPr>
                  <m:t>WL</m:t>
                </m:r>
              </m:sub>
            </m:sSub>
          </m:num>
          <m:den>
            <m:r>
              <w:rPr>
                <w:rFonts w:ascii="Cambria Math" w:hAnsi="Cambria Math"/>
                <w:lang w:val="bg-BG"/>
              </w:rPr>
              <m:t>2F</m:t>
            </m:r>
          </m:den>
        </m:f>
      </m:oMath>
      <w:r w:rsidRPr="009072DA">
        <w:rPr>
          <w:lang w:val="bg-BG"/>
        </w:rPr>
        <w:t xml:space="preserve"> </w:t>
      </w:r>
    </w:p>
    <w:p w:rsidR="00BF049A" w:rsidRPr="009072DA" w:rsidRDefault="005C7859" w:rsidP="00487BDA">
      <w:pPr>
        <w:pStyle w:val="ESlet"/>
        <w:rPr>
          <w:rFonts w:cs="Arial"/>
          <w:szCs w:val="18"/>
          <w:lang w:val="bg-BG"/>
        </w:rPr>
      </w:pPr>
      <w:r w:rsidRPr="009072DA">
        <w:rPr>
          <w:lang w:val="bg-BG"/>
        </w:rPr>
        <w:t>б)</w:t>
      </w:r>
      <w:r w:rsidRPr="009072DA">
        <w:rPr>
          <w:lang w:val="bg-BG"/>
        </w:rPr>
        <w:tab/>
      </w:r>
      <m:oMath>
        <m:sSub>
          <m:sSubPr>
            <m:ctrlPr>
              <w:rPr>
                <w:rFonts w:ascii="Cambria Math" w:hAnsi="Cambria Math"/>
                <w:i/>
                <w:lang w:val="bg-BG"/>
              </w:rPr>
            </m:ctrlPr>
          </m:sSubPr>
          <m:e>
            <m:acc>
              <m:accPr>
                <m:chr m:val="̅"/>
                <m:ctrlPr>
                  <w:rPr>
                    <w:rFonts w:ascii="Cambria Math" w:hAnsi="Cambria Math"/>
                    <w:i/>
                    <w:lang w:val="bg-BG"/>
                  </w:rPr>
                </m:ctrlPr>
              </m:accPr>
              <m:e>
                <m:r>
                  <w:rPr>
                    <w:rFonts w:ascii="Cambria Math" w:hAnsi="Cambria Math"/>
                    <w:lang w:val="bg-BG"/>
                  </w:rPr>
                  <m:t>KG</m:t>
                </m:r>
              </m:e>
            </m:acc>
          </m:e>
          <m:sub>
            <m:r>
              <w:rPr>
                <w:rFonts w:ascii="Cambria Math" w:hAnsi="Cambria Math"/>
                <w:lang w:val="bg-BG"/>
              </w:rPr>
              <m:t>zul</m:t>
            </m:r>
          </m:sub>
        </m:sSub>
        <m:r>
          <w:rPr>
            <w:rFonts w:ascii="Cambria Math" w:hAnsi="Cambria Math"/>
            <w:lang w:val="bg-BG"/>
          </w:rPr>
          <m:t xml:space="preserve">= </m:t>
        </m:r>
        <m:acc>
          <m:accPr>
            <m:chr m:val="̅"/>
            <m:ctrlPr>
              <w:rPr>
                <w:rFonts w:ascii="Cambria Math" w:hAnsi="Cambria Math"/>
                <w:i/>
                <w:lang w:val="bg-BG"/>
              </w:rPr>
            </m:ctrlPr>
          </m:accPr>
          <m:e>
            <m:r>
              <w:rPr>
                <w:rFonts w:ascii="Cambria Math" w:hAnsi="Cambria Math"/>
                <w:lang w:val="bg-BG"/>
              </w:rPr>
              <m:t>KM</m:t>
            </m:r>
          </m:e>
        </m:acc>
        <m:r>
          <w:rPr>
            <w:rFonts w:ascii="Cambria Math" w:hAnsi="Cambria Math"/>
            <w:lang w:val="bg-BG"/>
          </w:rPr>
          <m:t xml:space="preserve">-1,00 </m:t>
        </m:r>
        <m:d>
          <m:dPr>
            <m:begChr m:val="["/>
            <m:endChr m:val="]"/>
            <m:ctrlPr>
              <w:rPr>
                <w:rFonts w:ascii="Cambria Math" w:hAnsi="Cambria Math"/>
                <w:i/>
                <w:lang w:val="bg-BG"/>
              </w:rPr>
            </m:ctrlPr>
          </m:dPr>
          <m:e>
            <m:r>
              <w:rPr>
                <w:rFonts w:ascii="Cambria Math" w:hAnsi="Cambria Math"/>
                <w:lang w:val="bg-BG"/>
              </w:rPr>
              <m:t>m</m:t>
            </m:r>
          </m:e>
        </m:d>
      </m:oMath>
    </w:p>
    <w:p w:rsidR="00BF049A" w:rsidRPr="009072DA" w:rsidRDefault="00BF049A" w:rsidP="00487BDA">
      <w:pPr>
        <w:pStyle w:val="ESletpar"/>
        <w:rPr>
          <w:rFonts w:cs="Arial"/>
          <w:szCs w:val="18"/>
          <w:lang w:val="bg-BG"/>
        </w:rPr>
      </w:pPr>
      <w:r w:rsidRPr="009072DA">
        <w:rPr>
          <w:lang w:val="bg-BG"/>
        </w:rPr>
        <w:t xml:space="preserve">Най-ниската стойност на </w:t>
      </w:r>
      <m:oMath>
        <m:sSub>
          <m:sSubPr>
            <m:ctrlPr>
              <w:rPr>
                <w:rFonts w:ascii="Cambria Math" w:hAnsi="Cambria Math"/>
                <w:i/>
                <w:lang w:val="bg-BG"/>
              </w:rPr>
            </m:ctrlPr>
          </m:sSubPr>
          <m:e>
            <m:acc>
              <m:accPr>
                <m:chr m:val="̅"/>
                <m:ctrlPr>
                  <w:rPr>
                    <w:rFonts w:ascii="Cambria Math" w:hAnsi="Cambria Math"/>
                    <w:i/>
                    <w:lang w:val="bg-BG"/>
                  </w:rPr>
                </m:ctrlPr>
              </m:accPr>
              <m:e>
                <m:r>
                  <w:rPr>
                    <w:rFonts w:ascii="Cambria Math" w:hAnsi="Cambria Math"/>
                    <w:lang w:val="bg-BG"/>
                  </w:rPr>
                  <m:t>KG</m:t>
                </m:r>
              </m:e>
            </m:acc>
          </m:e>
          <m:sub>
            <m:r>
              <w:rPr>
                <w:rFonts w:ascii="Cambria Math" w:hAnsi="Cambria Math"/>
                <w:lang w:val="bg-BG"/>
              </w:rPr>
              <m:t>zul</m:t>
            </m:r>
          </m:sub>
        </m:sSub>
      </m:oMath>
      <w:r w:rsidRPr="009072DA">
        <w:rPr>
          <w:lang w:val="bg-BG"/>
        </w:rPr>
        <w:t xml:space="preserve"> съгласно формула a) или б) е решаваща.</w:t>
      </w:r>
    </w:p>
    <w:p w:rsidR="00BF049A" w:rsidRPr="009072DA" w:rsidRDefault="00BF049A" w:rsidP="00487BDA">
      <w:pPr>
        <w:pStyle w:val="ESletpar"/>
        <w:rPr>
          <w:rFonts w:cs="Arial"/>
          <w:szCs w:val="18"/>
          <w:lang w:val="bg-BG"/>
        </w:rPr>
      </w:pPr>
      <w:r w:rsidRPr="009072DA">
        <w:rPr>
          <w:lang w:val="bg-BG"/>
        </w:rPr>
        <w:t>Във формулите:</w:t>
      </w:r>
    </w:p>
    <w:p w:rsidR="00487BDA" w:rsidRPr="009072DA" w:rsidRDefault="002B712C" w:rsidP="00487BDA">
      <w:pPr>
        <w:pStyle w:val="EStiret"/>
        <w:ind w:left="1701" w:hanging="709"/>
        <w:rPr>
          <w:rFonts w:eastAsia="Calibri"/>
          <w:noProof w:val="0"/>
          <w:lang w:val="bg-BG"/>
        </w:rPr>
      </w:pPr>
      <m:oMath>
        <m:sSub>
          <m:sSubPr>
            <m:ctrlPr>
              <w:rPr>
                <w:rFonts w:ascii="Cambria Math" w:hAnsi="Cambria Math"/>
                <w:i/>
                <w:noProof w:val="0"/>
                <w:snapToGrid/>
                <w:color w:val="auto"/>
                <w:lang w:val="bg-BG"/>
              </w:rPr>
            </m:ctrlPr>
          </m:sSubPr>
          <m:e>
            <m:acc>
              <m:accPr>
                <m:chr m:val="̅"/>
                <m:ctrlPr>
                  <w:rPr>
                    <w:rFonts w:ascii="Cambria Math" w:hAnsi="Cambria Math"/>
                    <w:i/>
                    <w:noProof w:val="0"/>
                    <w:snapToGrid/>
                    <w:color w:val="auto"/>
                    <w:lang w:val="bg-BG"/>
                  </w:rPr>
                </m:ctrlPr>
              </m:accPr>
              <m:e>
                <m:r>
                  <w:rPr>
                    <w:rFonts w:ascii="Cambria Math" w:hAnsi="Cambria Math"/>
                    <w:noProof w:val="0"/>
                    <w:lang w:val="bg-BG"/>
                  </w:rPr>
                  <m:t>KG</m:t>
                </m:r>
              </m:e>
            </m:acc>
          </m:e>
          <m:sub>
            <m:r>
              <w:rPr>
                <w:rFonts w:ascii="Cambria Math" w:hAnsi="Cambria Math"/>
                <w:noProof w:val="0"/>
                <w:lang w:val="bg-BG"/>
              </w:rPr>
              <m:t>zul</m:t>
            </m:r>
          </m:sub>
        </m:sSub>
      </m:oMath>
      <w:r w:rsidR="007B1046" w:rsidRPr="009072DA">
        <w:rPr>
          <w:noProof w:val="0"/>
          <w:lang w:val="bg-BG"/>
        </w:rPr>
        <w:tab/>
        <w:t>максимална допустима височина на центъра на тежестта на натоварения плавателния съд над основата му [m];</w:t>
      </w:r>
    </w:p>
    <w:p w:rsidR="00BF049A" w:rsidRPr="009072DA" w:rsidRDefault="002B712C" w:rsidP="00487BDA">
      <w:pPr>
        <w:pStyle w:val="EStiret"/>
        <w:ind w:left="1701" w:hanging="709"/>
        <w:rPr>
          <w:rFonts w:eastAsia="Calibri"/>
          <w:noProof w:val="0"/>
          <w:lang w:val="bg-BG"/>
        </w:rPr>
      </w:pPr>
      <m:oMath>
        <m:acc>
          <m:accPr>
            <m:chr m:val="̅"/>
            <m:ctrlPr>
              <w:rPr>
                <w:rFonts w:ascii="Cambria Math" w:eastAsia="Calibri" w:hAnsi="Cambria Math"/>
                <w:i/>
                <w:noProof w:val="0"/>
                <w:lang w:val="bg-BG"/>
              </w:rPr>
            </m:ctrlPr>
          </m:accPr>
          <m:e>
            <m:r>
              <w:rPr>
                <w:rFonts w:ascii="Cambria Math" w:eastAsia="Calibri" w:hAnsi="Cambria Math"/>
                <w:noProof w:val="0"/>
                <w:lang w:val="bg-BG"/>
              </w:rPr>
              <m:t>KM</m:t>
            </m:r>
          </m:e>
        </m:acc>
      </m:oMath>
      <w:r w:rsidR="007B1046" w:rsidRPr="009072DA">
        <w:rPr>
          <w:noProof w:val="0"/>
          <w:lang w:val="bg-BG"/>
        </w:rPr>
        <w:tab/>
        <w:t>височина на метацентъра над основата [m] съгласно формулата за приближение в точка 3;</w:t>
      </w:r>
    </w:p>
    <w:p w:rsidR="00BF049A" w:rsidRPr="009072DA" w:rsidRDefault="00056313" w:rsidP="00487BDA">
      <w:pPr>
        <w:pStyle w:val="EStiret"/>
        <w:ind w:left="1701" w:hanging="709"/>
        <w:rPr>
          <w:rFonts w:eastAsia="Calibri"/>
          <w:noProof w:val="0"/>
          <w:lang w:val="bg-BG"/>
        </w:rPr>
      </w:pPr>
      <m:oMath>
        <m:r>
          <w:rPr>
            <w:rFonts w:ascii="Cambria Math" w:eastAsia="Calibri" w:hAnsi="Cambria Math"/>
            <w:noProof w:val="0"/>
            <w:lang w:val="bg-BG"/>
          </w:rPr>
          <m:t>F</m:t>
        </m:r>
      </m:oMath>
      <w:r w:rsidRPr="009072DA">
        <w:rPr>
          <w:noProof w:val="0"/>
          <w:lang w:val="bg-BG"/>
        </w:rPr>
        <w:tab/>
        <w:t xml:space="preserve">съответен ефективен надводен борд при </w:t>
      </w:r>
      <m:oMath>
        <m:f>
          <m:fPr>
            <m:ctrlPr>
              <w:rPr>
                <w:rFonts w:ascii="Cambria Math" w:eastAsia="Calibri" w:hAnsi="Cambria Math"/>
                <w:i/>
                <w:noProof w:val="0"/>
                <w:lang w:val="bg-BG"/>
              </w:rPr>
            </m:ctrlPr>
          </m:fPr>
          <m:num>
            <m:r>
              <w:rPr>
                <w:rFonts w:ascii="Cambria Math" w:eastAsia="Calibri" w:hAnsi="Cambria Math"/>
                <w:noProof w:val="0"/>
                <w:lang w:val="bg-BG"/>
              </w:rPr>
              <m:t>1</m:t>
            </m:r>
          </m:num>
          <m:den>
            <m:r>
              <w:rPr>
                <w:rFonts w:ascii="Cambria Math" w:eastAsia="Calibri" w:hAnsi="Cambria Math"/>
                <w:noProof w:val="0"/>
                <w:lang w:val="bg-BG"/>
              </w:rPr>
              <m:t>2</m:t>
            </m:r>
          </m:den>
        </m:f>
        <m:r>
          <w:rPr>
            <w:rFonts w:ascii="Cambria Math" w:eastAsia="Calibri" w:hAnsi="Cambria Math"/>
            <w:noProof w:val="0"/>
            <w:lang w:val="bg-BG"/>
          </w:rPr>
          <m:t xml:space="preserve"> L</m:t>
        </m:r>
      </m:oMath>
      <w:r w:rsidRPr="009072DA">
        <w:rPr>
          <w:noProof w:val="0"/>
          <w:lang w:val="bg-BG"/>
        </w:rPr>
        <w:t xml:space="preserve"> [m];</w:t>
      </w:r>
    </w:p>
    <w:p w:rsidR="00BF049A" w:rsidRPr="009072DA" w:rsidRDefault="00056313" w:rsidP="00487BDA">
      <w:pPr>
        <w:pStyle w:val="EStiret"/>
        <w:ind w:left="1701" w:hanging="709"/>
        <w:rPr>
          <w:noProof w:val="0"/>
          <w:lang w:val="bg-BG"/>
        </w:rPr>
      </w:pPr>
      <m:oMath>
        <m:r>
          <w:rPr>
            <w:rFonts w:ascii="Cambria Math" w:hAnsi="Cambria Math"/>
            <w:noProof w:val="0"/>
            <w:lang w:val="bg-BG"/>
          </w:rPr>
          <m:t>Z</m:t>
        </m:r>
      </m:oMath>
      <w:r w:rsidRPr="009072DA">
        <w:rPr>
          <w:noProof w:val="0"/>
          <w:lang w:val="bg-BG"/>
        </w:rPr>
        <w:tab/>
        <w:t>параметър за центробежната сила, дължаща се на поворот</w:t>
      </w:r>
    </w:p>
    <w:p w:rsidR="004B5897" w:rsidRPr="009072DA" w:rsidRDefault="004B5897" w:rsidP="00F670A2">
      <w:pPr>
        <w:pStyle w:val="ESch"/>
        <w:spacing w:before="60"/>
        <w:ind w:left="0" w:firstLine="0"/>
        <w:rPr>
          <w:rFonts w:eastAsia="Calibri" w:cs="Arial"/>
          <w:szCs w:val="18"/>
          <w:lang w:val="bg-BG"/>
        </w:rPr>
      </w:pPr>
      <m:oMathPara>
        <m:oMath>
          <m:r>
            <w:rPr>
              <w:rFonts w:ascii="Cambria Math" w:eastAsia="Calibri" w:hAnsi="Cambria Math" w:cs="Arial"/>
              <w:szCs w:val="18"/>
              <w:lang w:val="bg-BG"/>
            </w:rPr>
            <m:t xml:space="preserve">Z= </m:t>
          </m:r>
          <m:f>
            <m:fPr>
              <m:ctrlPr>
                <w:rPr>
                  <w:rFonts w:ascii="Cambria Math" w:eastAsia="Calibri" w:hAnsi="Cambria Math" w:cs="Arial"/>
                  <w:i/>
                  <w:szCs w:val="18"/>
                  <w:lang w:val="bg-BG"/>
                </w:rPr>
              </m:ctrlPr>
            </m:fPr>
            <m:num>
              <m:sSup>
                <m:sSupPr>
                  <m:ctrlPr>
                    <w:rPr>
                      <w:rFonts w:ascii="Cambria Math" w:eastAsia="Calibri" w:hAnsi="Cambria Math" w:cs="Arial"/>
                      <w:i/>
                      <w:szCs w:val="18"/>
                      <w:lang w:val="bg-BG"/>
                    </w:rPr>
                  </m:ctrlPr>
                </m:sSupPr>
                <m:e>
                  <m:d>
                    <m:dPr>
                      <m:ctrlPr>
                        <w:rPr>
                          <w:rFonts w:ascii="Cambria Math" w:eastAsia="Calibri" w:hAnsi="Cambria Math" w:cs="Arial"/>
                          <w:i/>
                          <w:szCs w:val="18"/>
                          <w:lang w:val="bg-BG"/>
                        </w:rPr>
                      </m:ctrlPr>
                    </m:dPr>
                    <m:e>
                      <m:r>
                        <w:rPr>
                          <w:rFonts w:ascii="Cambria Math" w:eastAsia="Calibri" w:hAnsi="Cambria Math" w:cs="Arial"/>
                          <w:szCs w:val="18"/>
                          <w:lang w:val="bg-BG"/>
                        </w:rPr>
                        <m:t>0,7 ∙v</m:t>
                      </m:r>
                    </m:e>
                  </m:d>
                </m:e>
                <m:sup>
                  <m:r>
                    <w:rPr>
                      <w:rFonts w:ascii="Cambria Math" w:eastAsia="Calibri" w:hAnsi="Cambria Math" w:cs="Arial"/>
                      <w:szCs w:val="18"/>
                      <w:lang w:val="bg-BG"/>
                    </w:rPr>
                    <m:t>2</m:t>
                  </m:r>
                </m:sup>
              </m:sSup>
            </m:num>
            <m:den>
              <m:r>
                <w:rPr>
                  <w:rFonts w:ascii="Cambria Math" w:eastAsia="Calibri" w:hAnsi="Cambria Math" w:cs="Arial"/>
                  <w:szCs w:val="18"/>
                  <w:lang w:val="bg-BG"/>
                </w:rPr>
                <m:t xml:space="preserve">9,81 ∙1,25 </m:t>
              </m:r>
              <m:sSub>
                <m:sSubPr>
                  <m:ctrlPr>
                    <w:rPr>
                      <w:rFonts w:ascii="Cambria Math" w:eastAsia="Calibri" w:hAnsi="Cambria Math" w:cs="Arial"/>
                      <w:i/>
                      <w:szCs w:val="18"/>
                      <w:lang w:val="bg-BG"/>
                    </w:rPr>
                  </m:ctrlPr>
                </m:sSubPr>
                <m:e>
                  <m:r>
                    <w:rPr>
                      <w:rFonts w:ascii="Cambria Math" w:eastAsia="Calibri" w:hAnsi="Cambria Math" w:cs="Arial"/>
                      <w:szCs w:val="18"/>
                      <w:lang w:val="bg-BG"/>
                    </w:rPr>
                    <m:t>L</m:t>
                  </m:r>
                </m:e>
                <m:sub>
                  <m:r>
                    <w:rPr>
                      <w:rFonts w:ascii="Cambria Math" w:eastAsia="Calibri" w:hAnsi="Cambria Math" w:cs="Arial"/>
                      <w:szCs w:val="18"/>
                      <w:lang w:val="bg-BG"/>
                    </w:rPr>
                    <m:t>WL</m:t>
                  </m:r>
                </m:sub>
              </m:sSub>
            </m:den>
          </m:f>
          <m:r>
            <w:rPr>
              <w:rFonts w:ascii="Cambria Math" w:eastAsia="Calibri" w:hAnsi="Cambria Math" w:cs="Arial"/>
              <w:szCs w:val="18"/>
              <w:lang w:val="bg-BG"/>
            </w:rPr>
            <m:t xml:space="preserve">=0,04 ∙ </m:t>
          </m:r>
          <m:f>
            <m:fPr>
              <m:ctrlPr>
                <w:rPr>
                  <w:rFonts w:ascii="Cambria Math" w:eastAsia="Calibri" w:hAnsi="Cambria Math" w:cs="Arial"/>
                  <w:i/>
                  <w:szCs w:val="18"/>
                  <w:lang w:val="bg-BG"/>
                </w:rPr>
              </m:ctrlPr>
            </m:fPr>
            <m:num>
              <m:sSup>
                <m:sSupPr>
                  <m:ctrlPr>
                    <w:rPr>
                      <w:rFonts w:ascii="Cambria Math" w:eastAsia="Calibri" w:hAnsi="Cambria Math" w:cs="Arial"/>
                      <w:i/>
                      <w:szCs w:val="18"/>
                      <w:lang w:val="bg-BG"/>
                    </w:rPr>
                  </m:ctrlPr>
                </m:sSupPr>
                <m:e>
                  <m:r>
                    <w:rPr>
                      <w:rFonts w:ascii="Cambria Math" w:eastAsia="Calibri" w:hAnsi="Cambria Math" w:cs="Arial"/>
                      <w:szCs w:val="18"/>
                      <w:lang w:val="bg-BG"/>
                    </w:rPr>
                    <m:t>v</m:t>
                  </m:r>
                </m:e>
                <m:sup>
                  <m:r>
                    <w:rPr>
                      <w:rFonts w:ascii="Cambria Math" w:eastAsia="Calibri" w:hAnsi="Cambria Math" w:cs="Arial"/>
                      <w:szCs w:val="18"/>
                      <w:lang w:val="bg-BG"/>
                    </w:rPr>
                    <m:t>2</m:t>
                  </m:r>
                </m:sup>
              </m:sSup>
            </m:num>
            <m:den>
              <m:sSub>
                <m:sSubPr>
                  <m:ctrlPr>
                    <w:rPr>
                      <w:rFonts w:ascii="Cambria Math" w:eastAsia="Calibri" w:hAnsi="Cambria Math" w:cs="Arial"/>
                      <w:i/>
                      <w:szCs w:val="18"/>
                      <w:lang w:val="bg-BG"/>
                    </w:rPr>
                  </m:ctrlPr>
                </m:sSubPr>
                <m:e>
                  <m:r>
                    <w:rPr>
                      <w:rFonts w:ascii="Cambria Math" w:eastAsia="Calibri" w:hAnsi="Cambria Math" w:cs="Arial"/>
                      <w:szCs w:val="18"/>
                      <w:lang w:val="bg-BG"/>
                    </w:rPr>
                    <m:t>L</m:t>
                  </m:r>
                </m:e>
                <m:sub>
                  <m:r>
                    <w:rPr>
                      <w:rFonts w:ascii="Cambria Math" w:eastAsia="Calibri" w:hAnsi="Cambria Math" w:cs="Arial"/>
                      <w:szCs w:val="18"/>
                      <w:lang w:val="bg-BG"/>
                    </w:rPr>
                    <m:t>WL</m:t>
                  </m:r>
                </m:sub>
              </m:sSub>
            </m:den>
          </m:f>
        </m:oMath>
      </m:oMathPara>
    </w:p>
    <w:p w:rsidR="00487BDA" w:rsidRPr="009072DA" w:rsidRDefault="00487BDA" w:rsidP="00BF049A">
      <w:pPr>
        <w:pStyle w:val="ESch"/>
        <w:rPr>
          <w:rFonts w:eastAsia="Calibri" w:cs="Arial"/>
          <w:szCs w:val="18"/>
          <w:lang w:val="bg-BG"/>
        </w:rPr>
      </w:pPr>
    </w:p>
    <w:p w:rsidR="00BF049A" w:rsidRPr="009072DA" w:rsidRDefault="00056313" w:rsidP="00487BDA">
      <w:pPr>
        <w:pStyle w:val="EStiret"/>
        <w:ind w:left="1701" w:hanging="709"/>
        <w:rPr>
          <w:rFonts w:cs="Arial"/>
          <w:noProof w:val="0"/>
          <w:lang w:val="bg-BG"/>
        </w:rPr>
      </w:pPr>
      <m:oMath>
        <m:r>
          <w:rPr>
            <w:rFonts w:ascii="Cambria Math" w:hAnsi="Cambria Math" w:cs="Arial"/>
            <w:noProof w:val="0"/>
            <w:lang w:val="bg-BG"/>
          </w:rPr>
          <m:t>v</m:t>
        </m:r>
      </m:oMath>
      <w:r w:rsidRPr="009072DA">
        <w:rPr>
          <w:noProof w:val="0"/>
          <w:lang w:val="bg-BG"/>
        </w:rPr>
        <w:tab/>
        <w:t>максимална скорост на плавателния съд по отношение на водата [m/s];</w:t>
      </w:r>
    </w:p>
    <w:p w:rsidR="00BF049A" w:rsidRPr="009072DA" w:rsidRDefault="002B712C" w:rsidP="00487BDA">
      <w:pPr>
        <w:pStyle w:val="EStiret"/>
        <w:ind w:left="1701" w:hanging="709"/>
        <w:rPr>
          <w:rFonts w:cs="Arial"/>
          <w:noProof w:val="0"/>
          <w:lang w:val="bg-BG"/>
        </w:rPr>
      </w:pPr>
      <m:oMath>
        <m:sSub>
          <m:sSubPr>
            <m:ctrlPr>
              <w:rPr>
                <w:rFonts w:ascii="Cambria Math" w:hAnsi="Cambria Math" w:cs="Arial"/>
                <w:i/>
                <w:noProof w:val="0"/>
                <w:lang w:val="bg-BG"/>
              </w:rPr>
            </m:ctrlPr>
          </m:sSubPr>
          <m:e>
            <m:r>
              <w:rPr>
                <w:rFonts w:ascii="Cambria Math" w:hAnsi="Cambria Math" w:cs="Arial"/>
                <w:noProof w:val="0"/>
                <w:lang w:val="bg-BG"/>
              </w:rPr>
              <m:t>T</m:t>
            </m:r>
          </m:e>
          <m:sub>
            <m:r>
              <w:rPr>
                <w:rFonts w:ascii="Cambria Math" w:hAnsi="Cambria Math" w:cs="Arial"/>
                <w:noProof w:val="0"/>
                <w:lang w:val="bg-BG"/>
              </w:rPr>
              <m:t>m</m:t>
            </m:r>
          </m:sub>
        </m:sSub>
      </m:oMath>
      <w:r w:rsidR="007B1046" w:rsidRPr="009072DA">
        <w:rPr>
          <w:noProof w:val="0"/>
          <w:lang w:val="bg-BG"/>
        </w:rPr>
        <w:t xml:space="preserve"> </w:t>
      </w:r>
      <w:r w:rsidR="007B1046" w:rsidRPr="009072DA">
        <w:rPr>
          <w:noProof w:val="0"/>
          <w:lang w:val="bg-BG"/>
        </w:rPr>
        <w:tab/>
        <w:t>съответно средно газене [m];</w:t>
      </w:r>
    </w:p>
    <w:p w:rsidR="00BF049A" w:rsidRPr="009072DA" w:rsidRDefault="002B712C" w:rsidP="00487BDA">
      <w:pPr>
        <w:pStyle w:val="EStiret"/>
        <w:ind w:left="1701" w:hanging="709"/>
        <w:rPr>
          <w:rFonts w:cs="Arial"/>
          <w:noProof w:val="0"/>
          <w:lang w:val="bg-BG"/>
        </w:rPr>
      </w:pPr>
      <m:oMath>
        <m:sSub>
          <m:sSubPr>
            <m:ctrlPr>
              <w:rPr>
                <w:rFonts w:ascii="Cambria Math" w:hAnsi="Cambria Math" w:cs="Arial"/>
                <w:i/>
                <w:noProof w:val="0"/>
                <w:lang w:val="bg-BG"/>
              </w:rPr>
            </m:ctrlPr>
          </m:sSubPr>
          <m:e>
            <m:r>
              <w:rPr>
                <w:rFonts w:ascii="Cambria Math" w:hAnsi="Cambria Math" w:cs="Arial"/>
                <w:noProof w:val="0"/>
                <w:lang w:val="bg-BG"/>
              </w:rPr>
              <m:t>h</m:t>
            </m:r>
          </m:e>
          <m:sub>
            <m:r>
              <w:rPr>
                <w:rFonts w:ascii="Cambria Math" w:hAnsi="Cambria Math" w:cs="Arial"/>
                <w:noProof w:val="0"/>
                <w:lang w:val="bg-BG"/>
              </w:rPr>
              <m:t>KW</m:t>
            </m:r>
          </m:sub>
        </m:sSub>
      </m:oMath>
      <w:r w:rsidR="007B1046" w:rsidRPr="009072DA">
        <w:rPr>
          <w:noProof w:val="0"/>
          <w:lang w:val="bg-BG"/>
        </w:rPr>
        <w:tab/>
        <w:t>рамо на кренящия момент, получено в резултат на страничното налягане на вятъра съгласно точка 1, буква г) [m];</w:t>
      </w:r>
    </w:p>
    <w:p w:rsidR="00BF049A" w:rsidRPr="009072DA" w:rsidRDefault="002B712C" w:rsidP="00056313">
      <w:pPr>
        <w:pStyle w:val="EStiret"/>
        <w:ind w:left="1701" w:hanging="709"/>
        <w:rPr>
          <w:rFonts w:cs="Arial"/>
          <w:noProof w:val="0"/>
          <w:lang w:val="bg-BG"/>
        </w:rPr>
      </w:pPr>
      <m:oMath>
        <m:sSub>
          <m:sSubPr>
            <m:ctrlPr>
              <w:rPr>
                <w:rFonts w:ascii="Cambria Math" w:hAnsi="Cambria Math" w:cs="Arial"/>
                <w:i/>
                <w:noProof w:val="0"/>
                <w:lang w:val="bg-BG"/>
              </w:rPr>
            </m:ctrlPr>
          </m:sSubPr>
          <m:e>
            <m:r>
              <w:rPr>
                <w:rFonts w:ascii="Cambria Math" w:hAnsi="Cambria Math" w:cs="Arial"/>
                <w:noProof w:val="0"/>
                <w:lang w:val="bg-BG"/>
              </w:rPr>
              <m:t>h</m:t>
            </m:r>
          </m:e>
          <m:sub>
            <m:r>
              <w:rPr>
                <w:rFonts w:ascii="Cambria Math" w:hAnsi="Cambria Math" w:cs="Arial"/>
                <w:noProof w:val="0"/>
                <w:lang w:val="bg-BG"/>
              </w:rPr>
              <m:t>KfO</m:t>
            </m:r>
          </m:sub>
        </m:sSub>
      </m:oMath>
      <w:r w:rsidR="007B1046" w:rsidRPr="009072DA">
        <w:rPr>
          <w:noProof w:val="0"/>
          <w:lang w:val="bg-BG"/>
        </w:rPr>
        <w:tab/>
        <w:t>е сборът от рамената на кренящия момент, резултат от откритите повърхности на течностите съгласно точка 1, буква д) [m].</w:t>
      </w:r>
    </w:p>
    <w:p w:rsidR="00BF049A" w:rsidRPr="009072DA" w:rsidRDefault="00BF049A" w:rsidP="00BF049A">
      <w:pPr>
        <w:pStyle w:val="ESch"/>
        <w:rPr>
          <w:szCs w:val="18"/>
          <w:lang w:val="bg-BG"/>
        </w:rPr>
      </w:pPr>
    </w:p>
    <w:p w:rsidR="00BF049A" w:rsidRPr="009072DA" w:rsidRDefault="00BF049A" w:rsidP="00BF049A">
      <w:pPr>
        <w:pStyle w:val="ESch"/>
        <w:rPr>
          <w:rFonts w:cs="Arial"/>
          <w:szCs w:val="18"/>
          <w:lang w:val="bg-BG"/>
        </w:rPr>
      </w:pPr>
      <w:r w:rsidRPr="009072DA">
        <w:rPr>
          <w:lang w:val="bg-BG"/>
        </w:rPr>
        <w:t>3.</w:t>
      </w:r>
      <w:r w:rsidRPr="009072DA">
        <w:rPr>
          <w:lang w:val="bg-BG"/>
        </w:rPr>
        <w:tab/>
        <w:t xml:space="preserve">Формула за приближение </w:t>
      </w:r>
      <m:oMath>
        <m:acc>
          <m:accPr>
            <m:chr m:val="̅"/>
            <m:ctrlPr>
              <w:rPr>
                <w:rFonts w:ascii="Cambria Math" w:eastAsia="Calibri" w:hAnsi="Cambria Math"/>
                <w:i/>
                <w:snapToGrid w:val="0"/>
                <w:color w:val="000000"/>
                <w:lang w:val="bg-BG"/>
              </w:rPr>
            </m:ctrlPr>
          </m:accPr>
          <m:e>
            <m:r>
              <w:rPr>
                <w:rFonts w:ascii="Cambria Math" w:eastAsia="Calibri" w:hAnsi="Cambria Math"/>
                <w:lang w:val="bg-BG"/>
              </w:rPr>
              <m:t>KM</m:t>
            </m:r>
          </m:e>
        </m:acc>
      </m:oMath>
      <w:r w:rsidRPr="009072DA">
        <w:rPr>
          <w:lang w:val="bg-BG"/>
        </w:rPr>
        <w:t>:</w:t>
      </w:r>
    </w:p>
    <w:p w:rsidR="003F1CB4" w:rsidRPr="009072DA" w:rsidRDefault="003F1CB4" w:rsidP="003F1CB4">
      <w:pPr>
        <w:pStyle w:val="ESchpar"/>
        <w:rPr>
          <w:lang w:val="bg-BG"/>
        </w:rPr>
      </w:pPr>
    </w:p>
    <w:p w:rsidR="00BF049A" w:rsidRPr="009072DA" w:rsidRDefault="00BF049A" w:rsidP="003F1CB4">
      <w:pPr>
        <w:pStyle w:val="ESchpar"/>
        <w:rPr>
          <w:rFonts w:cs="Arial"/>
          <w:szCs w:val="18"/>
          <w:lang w:val="bg-BG"/>
        </w:rPr>
      </w:pPr>
      <w:r w:rsidRPr="009072DA">
        <w:rPr>
          <w:lang w:val="bg-BG"/>
        </w:rPr>
        <w:t xml:space="preserve">Когато липсва таблица за хидростатичните криви, стойността на </w:t>
      </w:r>
      <m:oMath>
        <m:acc>
          <m:accPr>
            <m:chr m:val="̅"/>
            <m:ctrlPr>
              <w:rPr>
                <w:rFonts w:ascii="Cambria Math" w:eastAsia="Calibri" w:hAnsi="Cambria Math"/>
                <w:i/>
                <w:snapToGrid w:val="0"/>
                <w:color w:val="000000"/>
                <w:lang w:val="bg-BG"/>
              </w:rPr>
            </m:ctrlPr>
          </m:accPr>
          <m:e>
            <m:r>
              <w:rPr>
                <w:rFonts w:ascii="Cambria Math" w:eastAsia="Calibri" w:hAnsi="Cambria Math"/>
                <w:lang w:val="bg-BG"/>
              </w:rPr>
              <m:t>KM</m:t>
            </m:r>
          </m:e>
        </m:acc>
      </m:oMath>
      <w:r w:rsidRPr="009072DA">
        <w:rPr>
          <w:lang w:val="bg-BG"/>
        </w:rPr>
        <w:t xml:space="preserve"> за изчислението съгласно точка 2 и член 27.03, точка 2 може да бъде определена по следните формули за приближение:</w:t>
      </w:r>
    </w:p>
    <w:p w:rsidR="00BF049A" w:rsidRPr="009072DA" w:rsidRDefault="005C7859" w:rsidP="003F1CB4">
      <w:pPr>
        <w:pStyle w:val="ESlet"/>
        <w:rPr>
          <w:lang w:val="bg-BG"/>
        </w:rPr>
      </w:pPr>
      <w:r w:rsidRPr="009072DA">
        <w:rPr>
          <w:lang w:val="bg-BG"/>
        </w:rPr>
        <w:t>a)</w:t>
      </w:r>
      <w:r w:rsidRPr="009072DA">
        <w:rPr>
          <w:lang w:val="bg-BG"/>
        </w:rPr>
        <w:tab/>
        <w:t>за плавателни съдове във формата на понтон</w:t>
      </w:r>
    </w:p>
    <w:p w:rsidR="00EE69C0" w:rsidRPr="009072DA" w:rsidRDefault="002B712C" w:rsidP="006B5BE0">
      <w:pPr>
        <w:pStyle w:val="ESlet"/>
        <w:ind w:left="0"/>
        <w:rPr>
          <w:rFonts w:cs="Arial"/>
          <w:szCs w:val="18"/>
          <w:lang w:val="bg-BG"/>
        </w:rPr>
      </w:pPr>
      <m:oMathPara>
        <m:oMath>
          <m:acc>
            <m:accPr>
              <m:chr m:val="̅"/>
              <m:ctrlPr>
                <w:rPr>
                  <w:rFonts w:ascii="Cambria Math" w:hAnsi="Cambria Math" w:cs="Arial"/>
                  <w:i/>
                  <w:szCs w:val="18"/>
                  <w:lang w:val="bg-BG"/>
                </w:rPr>
              </m:ctrlPr>
            </m:accPr>
            <m:e>
              <m:r>
                <w:rPr>
                  <w:rFonts w:ascii="Cambria Math" w:hAnsi="Cambria Math" w:cs="Arial"/>
                  <w:szCs w:val="18"/>
                  <w:lang w:val="bg-BG"/>
                </w:rPr>
                <m:t>KM</m:t>
              </m:r>
            </m:e>
          </m:acc>
          <m:r>
            <w:rPr>
              <w:rFonts w:ascii="Cambria Math" w:hAnsi="Cambria Math" w:cs="Arial"/>
              <w:szCs w:val="18"/>
              <w:lang w:val="bg-BG"/>
            </w:rPr>
            <m:t xml:space="preserve">= </m:t>
          </m:r>
          <m:f>
            <m:fPr>
              <m:ctrlPr>
                <w:rPr>
                  <w:rFonts w:ascii="Cambria Math" w:hAnsi="Cambria Math" w:cs="Arial"/>
                  <w:i/>
                  <w:szCs w:val="18"/>
                  <w:lang w:val="bg-BG"/>
                </w:rPr>
              </m:ctrlPr>
            </m:fPr>
            <m:num>
              <m:sSub>
                <m:sSubPr>
                  <m:ctrlPr>
                    <w:rPr>
                      <w:rFonts w:ascii="Cambria Math" w:hAnsi="Cambria Math" w:cs="Arial"/>
                      <w:i/>
                      <w:szCs w:val="18"/>
                      <w:lang w:val="bg-BG"/>
                    </w:rPr>
                  </m:ctrlPr>
                </m:sSubPr>
                <m:e>
                  <m:sSup>
                    <m:sSupPr>
                      <m:ctrlPr>
                        <w:rPr>
                          <w:rFonts w:ascii="Cambria Math" w:hAnsi="Cambria Math" w:cs="Arial"/>
                          <w:i/>
                          <w:szCs w:val="18"/>
                          <w:lang w:val="bg-BG"/>
                        </w:rPr>
                      </m:ctrlPr>
                    </m:sSupPr>
                    <m:e>
                      <m:r>
                        <w:rPr>
                          <w:rFonts w:ascii="Cambria Math" w:hAnsi="Cambria Math" w:cs="Arial"/>
                          <w:szCs w:val="18"/>
                          <w:lang w:val="bg-BG"/>
                        </w:rPr>
                        <m:t>B</m:t>
                      </m:r>
                    </m:e>
                    <m:sup>
                      <m:r>
                        <w:rPr>
                          <w:rFonts w:ascii="Cambria Math" w:hAnsi="Cambria Math" w:cs="Arial"/>
                          <w:szCs w:val="18"/>
                          <w:lang w:val="bg-BG"/>
                        </w:rPr>
                        <m:t>2</m:t>
                      </m:r>
                    </m:sup>
                  </m:sSup>
                </m:e>
                <m:sub>
                  <m:r>
                    <w:rPr>
                      <w:rFonts w:ascii="Cambria Math" w:hAnsi="Cambria Math" w:cs="Arial"/>
                      <w:szCs w:val="18"/>
                      <w:lang w:val="bg-BG"/>
                    </w:rPr>
                    <m:t>W</m:t>
                  </m:r>
                  <m:r>
                    <w:rPr>
                      <w:rFonts w:ascii="Cambria Math" w:hAnsi="Cambria Math" w:cs="Arial"/>
                      <w:szCs w:val="18"/>
                      <w:lang w:val="bg-BG"/>
                    </w:rPr>
                    <m:t>L</m:t>
                  </m:r>
                </m:sub>
              </m:sSub>
            </m:num>
            <m:den>
              <m:d>
                <m:dPr>
                  <m:ctrlPr>
                    <w:rPr>
                      <w:rFonts w:ascii="Cambria Math" w:hAnsi="Cambria Math" w:cs="Arial"/>
                      <w:i/>
                      <w:szCs w:val="18"/>
                      <w:lang w:val="bg-BG"/>
                    </w:rPr>
                  </m:ctrlPr>
                </m:dPr>
                <m:e>
                  <m:r>
                    <w:rPr>
                      <w:rFonts w:ascii="Cambria Math" w:hAnsi="Cambria Math" w:cs="Arial"/>
                      <w:szCs w:val="18"/>
                      <w:lang w:val="bg-BG"/>
                    </w:rPr>
                    <m:t xml:space="preserve">12,5- </m:t>
                  </m:r>
                  <m:f>
                    <m:fPr>
                      <m:ctrlPr>
                        <w:rPr>
                          <w:rFonts w:ascii="Cambria Math" w:hAnsi="Cambria Math" w:cs="Arial"/>
                          <w:i/>
                          <w:szCs w:val="18"/>
                          <w:lang w:val="bg-BG"/>
                        </w:rPr>
                      </m:ctrlPr>
                    </m:fPr>
                    <m:num>
                      <m:sSub>
                        <m:sSubPr>
                          <m:ctrlPr>
                            <w:rPr>
                              <w:rFonts w:ascii="Cambria Math" w:hAnsi="Cambria Math" w:cs="Arial"/>
                              <w:i/>
                              <w:szCs w:val="18"/>
                              <w:lang w:val="bg-BG"/>
                            </w:rPr>
                          </m:ctrlPr>
                        </m:sSubPr>
                        <m:e>
                          <m:r>
                            <w:rPr>
                              <w:rFonts w:ascii="Cambria Math" w:hAnsi="Cambria Math" w:cs="Arial"/>
                              <w:szCs w:val="18"/>
                              <w:lang w:val="bg-BG"/>
                            </w:rPr>
                            <m:t>T</m:t>
                          </m:r>
                        </m:e>
                        <m:sub>
                          <m:r>
                            <w:rPr>
                              <w:rFonts w:ascii="Cambria Math" w:hAnsi="Cambria Math" w:cs="Arial"/>
                              <w:szCs w:val="18"/>
                              <w:lang w:val="bg-BG"/>
                            </w:rPr>
                            <m:t>m</m:t>
                          </m:r>
                        </m:sub>
                      </m:sSub>
                    </m:num>
                    <m:den>
                      <m:r>
                        <w:rPr>
                          <w:rFonts w:ascii="Cambria Math" w:hAnsi="Cambria Math" w:cs="Arial"/>
                          <w:szCs w:val="18"/>
                          <w:lang w:val="bg-BG"/>
                        </w:rPr>
                        <m:t>H</m:t>
                      </m:r>
                    </m:den>
                  </m:f>
                </m:e>
              </m:d>
              <m:r>
                <w:rPr>
                  <w:rFonts w:ascii="Cambria Math" w:hAnsi="Cambria Math" w:cs="Arial"/>
                  <w:szCs w:val="18"/>
                  <w:lang w:val="bg-BG"/>
                </w:rPr>
                <m:t xml:space="preserve"> ∙ </m:t>
              </m:r>
              <m:sSub>
                <m:sSubPr>
                  <m:ctrlPr>
                    <w:rPr>
                      <w:rFonts w:ascii="Cambria Math" w:hAnsi="Cambria Math" w:cs="Arial"/>
                      <w:i/>
                      <w:szCs w:val="18"/>
                      <w:lang w:val="bg-BG"/>
                    </w:rPr>
                  </m:ctrlPr>
                </m:sSubPr>
                <m:e>
                  <m:r>
                    <w:rPr>
                      <w:rFonts w:ascii="Cambria Math" w:hAnsi="Cambria Math" w:cs="Arial"/>
                      <w:szCs w:val="18"/>
                      <w:lang w:val="bg-BG"/>
                    </w:rPr>
                    <m:t>T</m:t>
                  </m:r>
                </m:e>
                <m:sub>
                  <m:r>
                    <w:rPr>
                      <w:rFonts w:ascii="Cambria Math" w:hAnsi="Cambria Math" w:cs="Arial"/>
                      <w:szCs w:val="18"/>
                      <w:lang w:val="bg-BG"/>
                    </w:rPr>
                    <m:t>m</m:t>
                  </m:r>
                </m:sub>
              </m:sSub>
            </m:den>
          </m:f>
          <m:r>
            <w:rPr>
              <w:rFonts w:ascii="Cambria Math" w:hAnsi="Cambria Math" w:cs="Arial"/>
              <w:szCs w:val="18"/>
              <w:lang w:val="bg-BG"/>
            </w:rPr>
            <m:t xml:space="preserve">+ </m:t>
          </m:r>
          <m:f>
            <m:fPr>
              <m:ctrlPr>
                <w:rPr>
                  <w:rFonts w:ascii="Cambria Math" w:hAnsi="Cambria Math" w:cs="Arial"/>
                  <w:i/>
                  <w:szCs w:val="18"/>
                  <w:lang w:val="bg-BG"/>
                </w:rPr>
              </m:ctrlPr>
            </m:fPr>
            <m:num>
              <m:sSub>
                <m:sSubPr>
                  <m:ctrlPr>
                    <w:rPr>
                      <w:rFonts w:ascii="Cambria Math" w:hAnsi="Cambria Math" w:cs="Arial"/>
                      <w:i/>
                      <w:szCs w:val="18"/>
                      <w:lang w:val="bg-BG"/>
                    </w:rPr>
                  </m:ctrlPr>
                </m:sSubPr>
                <m:e>
                  <m:r>
                    <w:rPr>
                      <w:rFonts w:ascii="Cambria Math" w:hAnsi="Cambria Math" w:cs="Arial"/>
                      <w:szCs w:val="18"/>
                      <w:lang w:val="bg-BG"/>
                    </w:rPr>
                    <m:t>T</m:t>
                  </m:r>
                </m:e>
                <m:sub>
                  <m:r>
                    <w:rPr>
                      <w:rFonts w:ascii="Cambria Math" w:hAnsi="Cambria Math" w:cs="Arial"/>
                      <w:szCs w:val="18"/>
                      <w:lang w:val="bg-BG"/>
                    </w:rPr>
                    <m:t>m</m:t>
                  </m:r>
                </m:sub>
              </m:sSub>
            </m:num>
            <m:den>
              <m:r>
                <w:rPr>
                  <w:rFonts w:ascii="Cambria Math" w:hAnsi="Cambria Math" w:cs="Arial"/>
                  <w:szCs w:val="18"/>
                  <w:lang w:val="bg-BG"/>
                </w:rPr>
                <m:t>2</m:t>
              </m:r>
            </m:den>
          </m:f>
          <m:r>
            <w:rPr>
              <w:rFonts w:ascii="Cambria Math" w:hAnsi="Cambria Math" w:cs="Arial"/>
              <w:szCs w:val="18"/>
              <w:lang w:val="bg-BG"/>
            </w:rPr>
            <m:t xml:space="preserve"> </m:t>
          </m:r>
          <m:d>
            <m:dPr>
              <m:begChr m:val="["/>
              <m:endChr m:val="]"/>
              <m:ctrlPr>
                <w:rPr>
                  <w:rFonts w:ascii="Cambria Math" w:hAnsi="Cambria Math" w:cs="Arial"/>
                  <w:i/>
                  <w:szCs w:val="18"/>
                  <w:lang w:val="bg-BG"/>
                </w:rPr>
              </m:ctrlPr>
            </m:dPr>
            <m:e>
              <m:r>
                <w:rPr>
                  <w:rFonts w:ascii="Cambria Math" w:hAnsi="Cambria Math" w:cs="Arial"/>
                  <w:szCs w:val="18"/>
                  <w:lang w:val="bg-BG"/>
                </w:rPr>
                <m:t>m</m:t>
              </m:r>
            </m:e>
          </m:d>
        </m:oMath>
      </m:oMathPara>
    </w:p>
    <w:p w:rsidR="00EE69C0" w:rsidRPr="009072DA" w:rsidRDefault="00EE69C0" w:rsidP="00EE69C0">
      <w:pPr>
        <w:pStyle w:val="ESlet"/>
        <w:ind w:left="0"/>
        <w:rPr>
          <w:rFonts w:cs="Arial"/>
          <w:szCs w:val="18"/>
          <w:lang w:val="bg-BG"/>
        </w:rPr>
      </w:pPr>
    </w:p>
    <w:p w:rsidR="00BF049A" w:rsidRPr="009072DA" w:rsidRDefault="005C7859" w:rsidP="003F1CB4">
      <w:pPr>
        <w:pStyle w:val="ESlet"/>
        <w:rPr>
          <w:lang w:val="bg-BG"/>
        </w:rPr>
      </w:pPr>
      <w:r w:rsidRPr="009072DA">
        <w:rPr>
          <w:lang w:val="bg-BG"/>
        </w:rPr>
        <w:lastRenderedPageBreak/>
        <w:t>б)</w:t>
      </w:r>
      <w:r w:rsidRPr="009072DA">
        <w:rPr>
          <w:lang w:val="bg-BG"/>
        </w:rPr>
        <w:tab/>
        <w:t>за други плавателни съдове</w:t>
      </w:r>
    </w:p>
    <w:p w:rsidR="006B5BE0" w:rsidRPr="009072DA" w:rsidRDefault="002B712C" w:rsidP="006B5BE0">
      <w:pPr>
        <w:pStyle w:val="ESlet"/>
        <w:ind w:left="0"/>
        <w:rPr>
          <w:rFonts w:cs="Arial"/>
          <w:szCs w:val="18"/>
          <w:lang w:val="bg-BG"/>
        </w:rPr>
      </w:pPr>
      <m:oMathPara>
        <m:oMath>
          <m:acc>
            <m:accPr>
              <m:chr m:val="̅"/>
              <m:ctrlPr>
                <w:rPr>
                  <w:rFonts w:ascii="Cambria Math" w:hAnsi="Cambria Math" w:cs="Arial"/>
                  <w:i/>
                  <w:szCs w:val="18"/>
                  <w:lang w:val="bg-BG"/>
                </w:rPr>
              </m:ctrlPr>
            </m:accPr>
            <m:e>
              <m:r>
                <w:rPr>
                  <w:rFonts w:ascii="Cambria Math" w:hAnsi="Cambria Math" w:cs="Arial"/>
                  <w:szCs w:val="18"/>
                  <w:lang w:val="bg-BG"/>
                </w:rPr>
                <m:t>KM</m:t>
              </m:r>
            </m:e>
          </m:acc>
          <m:r>
            <w:rPr>
              <w:rFonts w:ascii="Cambria Math" w:hAnsi="Cambria Math" w:cs="Arial"/>
              <w:szCs w:val="18"/>
              <w:lang w:val="bg-BG"/>
            </w:rPr>
            <m:t xml:space="preserve">= </m:t>
          </m:r>
          <m:f>
            <m:fPr>
              <m:ctrlPr>
                <w:rPr>
                  <w:rFonts w:ascii="Cambria Math" w:hAnsi="Cambria Math" w:cs="Arial"/>
                  <w:i/>
                  <w:szCs w:val="18"/>
                  <w:lang w:val="bg-BG"/>
                </w:rPr>
              </m:ctrlPr>
            </m:fPr>
            <m:num>
              <m:sSub>
                <m:sSubPr>
                  <m:ctrlPr>
                    <w:rPr>
                      <w:rFonts w:ascii="Cambria Math" w:hAnsi="Cambria Math" w:cs="Arial"/>
                      <w:i/>
                      <w:szCs w:val="18"/>
                      <w:lang w:val="bg-BG"/>
                    </w:rPr>
                  </m:ctrlPr>
                </m:sSubPr>
                <m:e>
                  <m:sSup>
                    <m:sSupPr>
                      <m:ctrlPr>
                        <w:rPr>
                          <w:rFonts w:ascii="Cambria Math" w:hAnsi="Cambria Math" w:cs="Arial"/>
                          <w:i/>
                          <w:szCs w:val="18"/>
                          <w:lang w:val="bg-BG"/>
                        </w:rPr>
                      </m:ctrlPr>
                    </m:sSupPr>
                    <m:e>
                      <m:r>
                        <w:rPr>
                          <w:rFonts w:ascii="Cambria Math" w:hAnsi="Cambria Math" w:cs="Arial"/>
                          <w:szCs w:val="18"/>
                          <w:lang w:val="bg-BG"/>
                        </w:rPr>
                        <m:t>B</m:t>
                      </m:r>
                    </m:e>
                    <m:sup>
                      <m:r>
                        <w:rPr>
                          <w:rFonts w:ascii="Cambria Math" w:hAnsi="Cambria Math" w:cs="Arial"/>
                          <w:szCs w:val="18"/>
                          <w:lang w:val="bg-BG"/>
                        </w:rPr>
                        <m:t>2</m:t>
                      </m:r>
                    </m:sup>
                  </m:sSup>
                </m:e>
                <m:sub>
                  <m:r>
                    <w:rPr>
                      <w:rFonts w:ascii="Cambria Math" w:hAnsi="Cambria Math" w:cs="Arial"/>
                      <w:szCs w:val="18"/>
                      <w:lang w:val="bg-BG"/>
                    </w:rPr>
                    <m:t>WL</m:t>
                  </m:r>
                </m:sub>
              </m:sSub>
            </m:num>
            <m:den>
              <m:d>
                <m:dPr>
                  <m:ctrlPr>
                    <w:rPr>
                      <w:rFonts w:ascii="Cambria Math" w:hAnsi="Cambria Math" w:cs="Arial"/>
                      <w:i/>
                      <w:szCs w:val="18"/>
                      <w:lang w:val="bg-BG"/>
                    </w:rPr>
                  </m:ctrlPr>
                </m:dPr>
                <m:e>
                  <m:r>
                    <w:rPr>
                      <w:rFonts w:ascii="Cambria Math" w:hAnsi="Cambria Math" w:cs="Arial"/>
                      <w:szCs w:val="18"/>
                      <w:lang w:val="bg-BG"/>
                    </w:rPr>
                    <m:t xml:space="preserve">12,7-1,2 ∙ </m:t>
                  </m:r>
                  <m:f>
                    <m:fPr>
                      <m:ctrlPr>
                        <w:rPr>
                          <w:rFonts w:ascii="Cambria Math" w:hAnsi="Cambria Math" w:cs="Arial"/>
                          <w:i/>
                          <w:szCs w:val="18"/>
                          <w:lang w:val="bg-BG"/>
                        </w:rPr>
                      </m:ctrlPr>
                    </m:fPr>
                    <m:num>
                      <m:sSub>
                        <m:sSubPr>
                          <m:ctrlPr>
                            <w:rPr>
                              <w:rFonts w:ascii="Cambria Math" w:hAnsi="Cambria Math" w:cs="Arial"/>
                              <w:i/>
                              <w:szCs w:val="18"/>
                              <w:lang w:val="bg-BG"/>
                            </w:rPr>
                          </m:ctrlPr>
                        </m:sSubPr>
                        <m:e>
                          <m:r>
                            <w:rPr>
                              <w:rFonts w:ascii="Cambria Math" w:hAnsi="Cambria Math" w:cs="Arial"/>
                              <w:szCs w:val="18"/>
                              <w:lang w:val="bg-BG"/>
                            </w:rPr>
                            <m:t>T</m:t>
                          </m:r>
                        </m:e>
                        <m:sub>
                          <m:r>
                            <w:rPr>
                              <w:rFonts w:ascii="Cambria Math" w:hAnsi="Cambria Math" w:cs="Arial"/>
                              <w:szCs w:val="18"/>
                              <w:lang w:val="bg-BG"/>
                            </w:rPr>
                            <m:t>m</m:t>
                          </m:r>
                        </m:sub>
                      </m:sSub>
                    </m:num>
                    <m:den>
                      <m:r>
                        <w:rPr>
                          <w:rFonts w:ascii="Cambria Math" w:hAnsi="Cambria Math" w:cs="Arial"/>
                          <w:szCs w:val="18"/>
                          <w:lang w:val="bg-BG"/>
                        </w:rPr>
                        <m:t>H</m:t>
                      </m:r>
                    </m:den>
                  </m:f>
                </m:e>
              </m:d>
              <m:r>
                <w:rPr>
                  <w:rFonts w:ascii="Cambria Math" w:hAnsi="Cambria Math" w:cs="Arial"/>
                  <w:szCs w:val="18"/>
                  <w:lang w:val="bg-BG"/>
                </w:rPr>
                <m:t xml:space="preserve"> ∙ </m:t>
              </m:r>
              <m:sSub>
                <m:sSubPr>
                  <m:ctrlPr>
                    <w:rPr>
                      <w:rFonts w:ascii="Cambria Math" w:hAnsi="Cambria Math" w:cs="Arial"/>
                      <w:i/>
                      <w:szCs w:val="18"/>
                      <w:lang w:val="bg-BG"/>
                    </w:rPr>
                  </m:ctrlPr>
                </m:sSubPr>
                <m:e>
                  <m:r>
                    <w:rPr>
                      <w:rFonts w:ascii="Cambria Math" w:hAnsi="Cambria Math" w:cs="Arial"/>
                      <w:szCs w:val="18"/>
                      <w:lang w:val="bg-BG"/>
                    </w:rPr>
                    <m:t>T</m:t>
                  </m:r>
                </m:e>
                <m:sub>
                  <m:r>
                    <w:rPr>
                      <w:rFonts w:ascii="Cambria Math" w:hAnsi="Cambria Math" w:cs="Arial"/>
                      <w:szCs w:val="18"/>
                      <w:lang w:val="bg-BG"/>
                    </w:rPr>
                    <m:t>m</m:t>
                  </m:r>
                </m:sub>
              </m:sSub>
            </m:den>
          </m:f>
          <m:r>
            <w:rPr>
              <w:rFonts w:ascii="Cambria Math" w:hAnsi="Cambria Math" w:cs="Arial"/>
              <w:szCs w:val="18"/>
              <w:lang w:val="bg-BG"/>
            </w:rPr>
            <m:t xml:space="preserve">+ </m:t>
          </m:r>
          <m:f>
            <m:fPr>
              <m:ctrlPr>
                <w:rPr>
                  <w:rFonts w:ascii="Cambria Math" w:hAnsi="Cambria Math" w:cs="Arial"/>
                  <w:i/>
                  <w:szCs w:val="18"/>
                  <w:lang w:val="bg-BG"/>
                </w:rPr>
              </m:ctrlPr>
            </m:fPr>
            <m:num>
              <m:sSub>
                <m:sSubPr>
                  <m:ctrlPr>
                    <w:rPr>
                      <w:rFonts w:ascii="Cambria Math" w:hAnsi="Cambria Math" w:cs="Arial"/>
                      <w:i/>
                      <w:szCs w:val="18"/>
                      <w:lang w:val="bg-BG"/>
                    </w:rPr>
                  </m:ctrlPr>
                </m:sSubPr>
                <m:e>
                  <m:r>
                    <w:rPr>
                      <w:rFonts w:ascii="Cambria Math" w:hAnsi="Cambria Math" w:cs="Arial"/>
                      <w:szCs w:val="18"/>
                      <w:lang w:val="bg-BG"/>
                    </w:rPr>
                    <m:t>T</m:t>
                  </m:r>
                </m:e>
                <m:sub>
                  <m:r>
                    <w:rPr>
                      <w:rFonts w:ascii="Cambria Math" w:hAnsi="Cambria Math" w:cs="Arial"/>
                      <w:szCs w:val="18"/>
                      <w:lang w:val="bg-BG"/>
                    </w:rPr>
                    <m:t>m</m:t>
                  </m:r>
                </m:sub>
              </m:sSub>
            </m:num>
            <m:den>
              <m:r>
                <w:rPr>
                  <w:rFonts w:ascii="Cambria Math" w:hAnsi="Cambria Math" w:cs="Arial"/>
                  <w:szCs w:val="18"/>
                  <w:lang w:val="bg-BG"/>
                </w:rPr>
                <m:t>2</m:t>
              </m:r>
            </m:den>
          </m:f>
          <m:r>
            <w:rPr>
              <w:rFonts w:ascii="Cambria Math" w:hAnsi="Cambria Math" w:cs="Arial"/>
              <w:szCs w:val="18"/>
              <w:lang w:val="bg-BG"/>
            </w:rPr>
            <m:t xml:space="preserve"> </m:t>
          </m:r>
          <m:d>
            <m:dPr>
              <m:begChr m:val="["/>
              <m:endChr m:val="]"/>
              <m:ctrlPr>
                <w:rPr>
                  <w:rFonts w:ascii="Cambria Math" w:hAnsi="Cambria Math" w:cs="Arial"/>
                  <w:i/>
                  <w:szCs w:val="18"/>
                  <w:lang w:val="bg-BG"/>
                </w:rPr>
              </m:ctrlPr>
            </m:dPr>
            <m:e>
              <m:r>
                <w:rPr>
                  <w:rFonts w:ascii="Cambria Math" w:hAnsi="Cambria Math" w:cs="Arial"/>
                  <w:szCs w:val="18"/>
                  <w:lang w:val="bg-BG"/>
                </w:rPr>
                <m:t>m</m:t>
              </m:r>
            </m:e>
          </m:d>
        </m:oMath>
      </m:oMathPara>
    </w:p>
    <w:p w:rsidR="006B5BE0" w:rsidRPr="009072DA" w:rsidRDefault="006B5BE0" w:rsidP="006B5BE0">
      <w:pPr>
        <w:pStyle w:val="ESlet"/>
        <w:ind w:left="0"/>
        <w:rPr>
          <w:rFonts w:cs="Arial"/>
          <w:szCs w:val="18"/>
          <w:lang w:val="bg-BG"/>
        </w:rPr>
      </w:pPr>
    </w:p>
    <w:p w:rsidR="00487BDA" w:rsidRPr="009072DA" w:rsidRDefault="00487BDA" w:rsidP="00BF049A">
      <w:pPr>
        <w:pStyle w:val="ESch"/>
        <w:rPr>
          <w:rFonts w:eastAsia="Calibri" w:cs="Arial"/>
          <w:szCs w:val="18"/>
          <w:lang w:val="bg-BG"/>
        </w:rPr>
      </w:pPr>
      <w:r w:rsidRPr="009072DA">
        <w:rPr>
          <w:lang w:val="bg-BG"/>
        </w:rPr>
        <w:br w:type="page"/>
      </w:r>
    </w:p>
    <w:p w:rsidR="00BF049A" w:rsidRPr="009072DA" w:rsidRDefault="00BF049A" w:rsidP="003F1CB4">
      <w:pPr>
        <w:pStyle w:val="ES-Titre3"/>
        <w:rPr>
          <w:rFonts w:cs="Arial"/>
          <w:i/>
          <w:szCs w:val="18"/>
          <w:lang w:val="bg-BG"/>
        </w:rPr>
      </w:pPr>
      <w:bookmarkStart w:id="487" w:name="_Toc491854241"/>
      <w:bookmarkStart w:id="488" w:name="_Toc535827682"/>
      <w:r w:rsidRPr="009072DA">
        <w:rPr>
          <w:lang w:val="bg-BG"/>
        </w:rPr>
        <w:lastRenderedPageBreak/>
        <w:t>Член 27.03</w:t>
      </w:r>
      <w:r w:rsidRPr="009072DA">
        <w:rPr>
          <w:lang w:val="bg-BG"/>
        </w:rPr>
        <w:br/>
      </w:r>
      <w:r w:rsidRPr="009072DA">
        <w:rPr>
          <w:i/>
          <w:lang w:val="bg-BG"/>
        </w:rPr>
        <w:t>Ограничителни условия и метод на изчисляване на потвърждението за устойчивост</w:t>
      </w:r>
      <w:r w:rsidRPr="009072DA">
        <w:rPr>
          <w:i/>
          <w:lang w:val="bg-BG"/>
        </w:rPr>
        <w:br/>
        <w:t>за транспорта на закрепени контейнери</w:t>
      </w:r>
      <w:bookmarkEnd w:id="487"/>
      <w:bookmarkEnd w:id="488"/>
    </w:p>
    <w:p w:rsidR="003F1CB4" w:rsidRPr="009072DA" w:rsidRDefault="003F1CB4" w:rsidP="00BF049A">
      <w:pPr>
        <w:pStyle w:val="ESch"/>
        <w:rPr>
          <w:lang w:val="bg-BG"/>
        </w:rPr>
      </w:pPr>
    </w:p>
    <w:p w:rsidR="00BF049A" w:rsidRPr="009072DA" w:rsidRDefault="00BF049A" w:rsidP="00BF049A">
      <w:pPr>
        <w:pStyle w:val="ESch"/>
        <w:rPr>
          <w:rFonts w:cs="Arial"/>
          <w:szCs w:val="18"/>
          <w:lang w:val="bg-BG"/>
        </w:rPr>
      </w:pPr>
      <w:r w:rsidRPr="009072DA">
        <w:rPr>
          <w:lang w:val="bg-BG"/>
        </w:rPr>
        <w:t>1.</w:t>
      </w:r>
      <w:r w:rsidRPr="009072DA">
        <w:rPr>
          <w:lang w:val="bg-BG"/>
        </w:rPr>
        <w:tab/>
        <w:t>Всички методи на изчисляване на устойчивостта на плавателния съд при закрепени контейнери трябва да отговарят на следните ограничителни условия:</w:t>
      </w:r>
    </w:p>
    <w:p w:rsidR="00BF049A" w:rsidRPr="009072DA" w:rsidRDefault="005C7859" w:rsidP="00F6695F">
      <w:pPr>
        <w:pStyle w:val="ESlet"/>
        <w:rPr>
          <w:rFonts w:cs="Arial"/>
          <w:szCs w:val="18"/>
          <w:lang w:val="bg-BG"/>
        </w:rPr>
      </w:pPr>
      <w:r w:rsidRPr="009072DA">
        <w:rPr>
          <w:lang w:val="bg-BG"/>
        </w:rPr>
        <w:t>a)</w:t>
      </w:r>
      <w:r w:rsidRPr="009072DA">
        <w:rPr>
          <w:lang w:val="bg-BG"/>
        </w:rPr>
        <w:tab/>
        <w:t xml:space="preserve">Метацентричната височина </w:t>
      </w:r>
      <m:oMath>
        <m:acc>
          <m:accPr>
            <m:chr m:val="̅"/>
            <m:ctrlPr>
              <w:rPr>
                <w:rFonts w:ascii="Cambria Math" w:hAnsi="Cambria Math"/>
                <w:i/>
                <w:lang w:val="bg-BG"/>
              </w:rPr>
            </m:ctrlPr>
          </m:accPr>
          <m:e>
            <m:r>
              <w:rPr>
                <w:rFonts w:ascii="Cambria Math" w:hAnsi="Cambria Math"/>
                <w:lang w:val="bg-BG"/>
              </w:rPr>
              <m:t>MG</m:t>
            </m:r>
          </m:e>
        </m:acc>
      </m:oMath>
      <w:r w:rsidRPr="009072DA">
        <w:rPr>
          <w:lang w:val="bg-BG"/>
        </w:rPr>
        <w:t xml:space="preserve"> не трябва да е по-малка от 0,50 m.</w:t>
      </w:r>
    </w:p>
    <w:p w:rsidR="00BF049A" w:rsidRPr="009072DA" w:rsidRDefault="005C7859" w:rsidP="00F6695F">
      <w:pPr>
        <w:pStyle w:val="ESlet"/>
        <w:rPr>
          <w:rFonts w:cs="Arial"/>
          <w:szCs w:val="18"/>
          <w:lang w:val="bg-BG"/>
        </w:rPr>
      </w:pPr>
      <w:r w:rsidRPr="009072DA">
        <w:rPr>
          <w:lang w:val="bg-BG"/>
        </w:rPr>
        <w:t>б)</w:t>
      </w:r>
      <w:r w:rsidRPr="009072DA">
        <w:rPr>
          <w:lang w:val="bg-BG"/>
        </w:rPr>
        <w:tab/>
        <w:t>Комбинираното действие на центробежната сила в резултат на поворот на плавателния съд, налягането на вятъра и откритите повърхности на течностите, не трябва да моди до потапяне на никой отвор в корпуса.</w:t>
      </w:r>
    </w:p>
    <w:p w:rsidR="00BF049A" w:rsidRPr="009072DA" w:rsidRDefault="005C7859" w:rsidP="00F6695F">
      <w:pPr>
        <w:pStyle w:val="ESlet"/>
        <w:rPr>
          <w:rFonts w:cs="Arial"/>
          <w:szCs w:val="18"/>
          <w:lang w:val="bg-BG"/>
        </w:rPr>
      </w:pPr>
      <w:r w:rsidRPr="009072DA">
        <w:rPr>
          <w:lang w:val="bg-BG"/>
        </w:rPr>
        <w:t>в)</w:t>
      </w:r>
      <w:r w:rsidRPr="009072DA">
        <w:rPr>
          <w:lang w:val="bg-BG"/>
        </w:rPr>
        <w:tab/>
        <w:t>Рамената на кренящ момент в резултат на центробежната сила при поворот на плавателния съд, налягането на вятъра и откритите повърхности на течностите се определят по формулите, посочени в член 27.02, точка 1, букви в) — д).</w:t>
      </w:r>
    </w:p>
    <w:p w:rsidR="00BF049A" w:rsidRPr="009072DA" w:rsidRDefault="0029453D" w:rsidP="00F6695F">
      <w:pPr>
        <w:pStyle w:val="ESlet"/>
        <w:rPr>
          <w:rFonts w:cs="Arial"/>
          <w:szCs w:val="18"/>
          <w:lang w:val="bg-BG"/>
        </w:rPr>
      </w:pPr>
      <w:r w:rsidRPr="009072DA">
        <w:rPr>
          <w:lang w:val="bg-BG"/>
        </w:rPr>
        <w:t>г)</w:t>
      </w:r>
      <w:r w:rsidRPr="009072DA">
        <w:rPr>
          <w:lang w:val="bg-BG"/>
        </w:rPr>
        <w:tab/>
        <w:t>Половината от запасите на гориво и прясна вода трябва да бъдат взети предвид при всяко състояние на натоварване.</w:t>
      </w:r>
    </w:p>
    <w:p w:rsidR="003F1CB4" w:rsidRPr="009072DA" w:rsidRDefault="003F1CB4" w:rsidP="00BF049A">
      <w:pPr>
        <w:pStyle w:val="ESch"/>
        <w:rPr>
          <w:lang w:val="bg-BG"/>
        </w:rPr>
      </w:pPr>
    </w:p>
    <w:p w:rsidR="00BF049A" w:rsidRPr="009072DA" w:rsidRDefault="00BF049A" w:rsidP="00BF049A">
      <w:pPr>
        <w:pStyle w:val="ESch"/>
        <w:rPr>
          <w:lang w:val="bg-BG"/>
        </w:rPr>
      </w:pPr>
      <w:r w:rsidRPr="009072DA">
        <w:rPr>
          <w:lang w:val="bg-BG"/>
        </w:rPr>
        <w:t>2.</w:t>
      </w:r>
      <w:r w:rsidRPr="009072DA">
        <w:rPr>
          <w:lang w:val="bg-BG"/>
        </w:rPr>
        <w:tab/>
        <w:t xml:space="preserve">Устойчивостта на плавателен съд, превозващ закрепени контейнери, се смята за достатъчна, ако действителната </w:t>
      </w:r>
      <m:oMath>
        <m:acc>
          <m:accPr>
            <m:chr m:val="̅"/>
            <m:ctrlPr>
              <w:rPr>
                <w:rFonts w:ascii="Cambria Math" w:eastAsia="Calibri" w:hAnsi="Cambria Math"/>
                <w:i/>
                <w:lang w:val="bg-BG"/>
              </w:rPr>
            </m:ctrlPr>
          </m:accPr>
          <m:e>
            <m:r>
              <w:rPr>
                <w:rFonts w:ascii="Cambria Math" w:eastAsia="Calibri" w:hAnsi="Cambria Math"/>
                <w:lang w:val="bg-BG"/>
              </w:rPr>
              <m:t>KG</m:t>
            </m:r>
          </m:e>
        </m:acc>
      </m:oMath>
      <w:r w:rsidRPr="009072DA">
        <w:rPr>
          <w:lang w:val="bg-BG"/>
        </w:rPr>
        <w:t xml:space="preserve"> не превишава </w:t>
      </w:r>
      <m:oMath>
        <m:sSub>
          <m:sSubPr>
            <m:ctrlPr>
              <w:rPr>
                <w:rFonts w:ascii="Cambria Math" w:hAnsi="Cambria Math"/>
                <w:i/>
                <w:lang w:val="bg-BG"/>
              </w:rPr>
            </m:ctrlPr>
          </m:sSubPr>
          <m:e>
            <m:acc>
              <m:accPr>
                <m:chr m:val="̅"/>
                <m:ctrlPr>
                  <w:rPr>
                    <w:rFonts w:ascii="Cambria Math" w:hAnsi="Cambria Math"/>
                    <w:i/>
                    <w:lang w:val="bg-BG"/>
                  </w:rPr>
                </m:ctrlPr>
              </m:accPr>
              <m:e>
                <m:r>
                  <w:rPr>
                    <w:rFonts w:ascii="Cambria Math" w:hAnsi="Cambria Math"/>
                    <w:lang w:val="bg-BG"/>
                  </w:rPr>
                  <m:t>KG</m:t>
                </m:r>
              </m:e>
            </m:acc>
          </m:e>
          <m:sub>
            <m:r>
              <w:rPr>
                <w:rFonts w:ascii="Cambria Math" w:hAnsi="Cambria Math"/>
                <w:lang w:val="bg-BG"/>
              </w:rPr>
              <m:t>zul</m:t>
            </m:r>
          </m:sub>
        </m:sSub>
      </m:oMath>
      <w:r w:rsidRPr="009072DA">
        <w:rPr>
          <w:lang w:val="bg-BG"/>
        </w:rPr>
        <w:t>, получена по следните формули, изчислени при различни водоизмествания, обхващащи целия диапазон от стойности за газенето.</w:t>
      </w:r>
    </w:p>
    <w:p w:rsidR="000526B5" w:rsidRPr="009072DA" w:rsidRDefault="000526B5" w:rsidP="00BF049A">
      <w:pPr>
        <w:pStyle w:val="ESch"/>
        <w:rPr>
          <w:rFonts w:cs="Arial"/>
          <w:szCs w:val="18"/>
          <w:lang w:val="bg-BG"/>
        </w:rPr>
      </w:pPr>
    </w:p>
    <w:p w:rsidR="000525EE" w:rsidRPr="009072DA" w:rsidRDefault="005C7859" w:rsidP="000526B5">
      <w:pPr>
        <w:pStyle w:val="ESlet"/>
        <w:rPr>
          <w:rFonts w:eastAsia="Calibri"/>
          <w:lang w:val="bg-BG"/>
        </w:rPr>
      </w:pPr>
      <w:r w:rsidRPr="009072DA">
        <w:rPr>
          <w:lang w:val="bg-BG"/>
        </w:rPr>
        <w:t>a)</w:t>
      </w:r>
      <w:r w:rsidRPr="009072DA">
        <w:rPr>
          <w:lang w:val="bg-BG"/>
        </w:rPr>
        <w:tab/>
      </w:r>
      <m:oMath>
        <m:sSub>
          <m:sSubPr>
            <m:ctrlPr>
              <w:rPr>
                <w:rFonts w:ascii="Cambria Math" w:eastAsia="Calibri" w:hAnsi="Cambria Math"/>
                <w:i/>
                <w:lang w:val="bg-BG"/>
              </w:rPr>
            </m:ctrlPr>
          </m:sSubPr>
          <m:e>
            <m:acc>
              <m:accPr>
                <m:chr m:val="̅"/>
                <m:ctrlPr>
                  <w:rPr>
                    <w:rFonts w:ascii="Cambria Math" w:eastAsia="Calibri" w:hAnsi="Cambria Math"/>
                    <w:i/>
                    <w:lang w:val="bg-BG"/>
                  </w:rPr>
                </m:ctrlPr>
              </m:accPr>
              <m:e>
                <m:r>
                  <w:rPr>
                    <w:rFonts w:ascii="Cambria Math" w:eastAsia="Calibri" w:hAnsi="Cambria Math"/>
                    <w:sz w:val="24"/>
                    <w:lang w:val="bg-BG"/>
                  </w:rPr>
                  <m:t>KG</m:t>
                </m:r>
              </m:e>
            </m:acc>
          </m:e>
          <m:sub>
            <m:r>
              <w:rPr>
                <w:rFonts w:ascii="Cambria Math" w:eastAsia="Calibri" w:hAnsi="Cambria Math"/>
                <w:lang w:val="bg-BG"/>
              </w:rPr>
              <m:t>zul</m:t>
            </m:r>
          </m:sub>
        </m:sSub>
        <m:r>
          <w:rPr>
            <w:rFonts w:ascii="Cambria Math" w:eastAsia="Calibri" w:hAnsi="Cambria Math"/>
            <w:lang w:val="bg-BG"/>
          </w:rPr>
          <m:t xml:space="preserve">= </m:t>
        </m:r>
        <m:f>
          <m:fPr>
            <m:ctrlPr>
              <w:rPr>
                <w:rFonts w:ascii="Cambria Math" w:eastAsia="Calibri" w:hAnsi="Cambria Math"/>
                <w:i/>
                <w:lang w:val="bg-BG"/>
              </w:rPr>
            </m:ctrlPr>
          </m:fPr>
          <m:num>
            <m:acc>
              <m:accPr>
                <m:chr m:val="̅"/>
                <m:ctrlPr>
                  <w:rPr>
                    <w:rFonts w:ascii="Cambria Math" w:eastAsia="Calibri" w:hAnsi="Cambria Math"/>
                    <w:i/>
                    <w:lang w:val="bg-BG"/>
                  </w:rPr>
                </m:ctrlPr>
              </m:accPr>
              <m:e>
                <m:r>
                  <w:rPr>
                    <w:rFonts w:ascii="Cambria Math" w:eastAsia="Calibri" w:hAnsi="Cambria Math"/>
                    <w:lang w:val="bg-BG"/>
                  </w:rPr>
                  <m:t>KM</m:t>
                </m:r>
              </m:e>
            </m:acc>
            <m:r>
              <w:rPr>
                <w:rFonts w:ascii="Cambria Math" w:eastAsia="Calibri" w:hAnsi="Cambria Math"/>
                <w:lang w:val="bg-BG"/>
              </w:rPr>
              <m:t xml:space="preserve">- </m:t>
            </m:r>
            <m:f>
              <m:fPr>
                <m:ctrlPr>
                  <w:rPr>
                    <w:rFonts w:ascii="Cambria Math" w:eastAsia="Calibri" w:hAnsi="Cambria Math"/>
                    <w:i/>
                    <w:lang w:val="bg-BG"/>
                  </w:rPr>
                </m:ctrlPr>
              </m:fPr>
              <m:num>
                <m:r>
                  <w:rPr>
                    <w:rFonts w:ascii="Cambria Math" w:eastAsia="Calibri" w:hAnsi="Cambria Math"/>
                    <w:lang w:val="bg-BG"/>
                  </w:rPr>
                  <m:t>I-i</m:t>
                </m:r>
              </m:num>
              <m:den>
                <m:r>
                  <w:rPr>
                    <w:rFonts w:ascii="Cambria Math" w:eastAsia="Calibri" w:hAnsi="Cambria Math"/>
                    <w:lang w:val="bg-BG"/>
                  </w:rPr>
                  <m:t>2 ∀</m:t>
                </m:r>
              </m:den>
            </m:f>
            <m:r>
              <w:rPr>
                <w:rFonts w:ascii="Cambria Math" w:eastAsia="Calibri" w:hAnsi="Cambria Math"/>
                <w:lang w:val="bg-BG"/>
              </w:rPr>
              <m:t xml:space="preserve"> </m:t>
            </m:r>
            <m:d>
              <m:dPr>
                <m:ctrlPr>
                  <w:rPr>
                    <w:rFonts w:ascii="Cambria Math" w:eastAsia="Calibri" w:hAnsi="Cambria Math"/>
                    <w:i/>
                    <w:lang w:val="bg-BG"/>
                  </w:rPr>
                </m:ctrlPr>
              </m:dPr>
              <m:e>
                <m:r>
                  <w:rPr>
                    <w:rFonts w:ascii="Cambria Math" w:eastAsia="Calibri" w:hAnsi="Cambria Math"/>
                    <w:lang w:val="bg-BG"/>
                  </w:rPr>
                  <m:t xml:space="preserve">1-1,5 </m:t>
                </m:r>
                <m:f>
                  <m:fPr>
                    <m:ctrlPr>
                      <w:rPr>
                        <w:rFonts w:ascii="Cambria Math" w:eastAsia="Calibri" w:hAnsi="Cambria Math"/>
                        <w:i/>
                        <w:lang w:val="bg-BG"/>
                      </w:rPr>
                    </m:ctrlPr>
                  </m:fPr>
                  <m:num>
                    <m:r>
                      <w:rPr>
                        <w:rFonts w:ascii="Cambria Math" w:eastAsia="Calibri" w:hAnsi="Cambria Math"/>
                        <w:lang w:val="bg-BG"/>
                      </w:rPr>
                      <m:t>F</m:t>
                    </m:r>
                  </m:num>
                  <m:den>
                    <m:sSup>
                      <m:sSupPr>
                        <m:ctrlPr>
                          <w:rPr>
                            <w:rFonts w:ascii="Cambria Math" w:eastAsia="Calibri" w:hAnsi="Cambria Math"/>
                            <w:i/>
                            <w:lang w:val="bg-BG"/>
                          </w:rPr>
                        </m:ctrlPr>
                      </m:sSupPr>
                      <m:e>
                        <m:r>
                          <w:rPr>
                            <w:rFonts w:ascii="Cambria Math" w:eastAsia="Calibri" w:hAnsi="Cambria Math"/>
                            <w:lang w:val="bg-BG"/>
                          </w:rPr>
                          <m:t>F</m:t>
                        </m:r>
                      </m:e>
                      <m:sup>
                        <m:r>
                          <w:rPr>
                            <w:rFonts w:ascii="Cambria Math" w:eastAsia="Calibri" w:hAnsi="Cambria Math"/>
                            <w:lang w:val="bg-BG"/>
                          </w:rPr>
                          <m:t>'</m:t>
                        </m:r>
                      </m:sup>
                    </m:sSup>
                  </m:den>
                </m:f>
              </m:e>
            </m:d>
            <m:r>
              <w:rPr>
                <w:rFonts w:ascii="Cambria Math" w:eastAsia="Calibri" w:hAnsi="Cambria Math"/>
                <w:lang w:val="bg-BG"/>
              </w:rPr>
              <m:t xml:space="preserve">+0,75 </m:t>
            </m:r>
            <m:f>
              <m:fPr>
                <m:ctrlPr>
                  <w:rPr>
                    <w:rFonts w:ascii="Cambria Math" w:eastAsia="Calibri" w:hAnsi="Cambria Math"/>
                    <w:i/>
                    <w:lang w:val="bg-BG"/>
                  </w:rPr>
                </m:ctrlPr>
              </m:fPr>
              <m:num>
                <m:sSub>
                  <m:sSubPr>
                    <m:ctrlPr>
                      <w:rPr>
                        <w:rFonts w:ascii="Cambria Math" w:eastAsia="Calibri" w:hAnsi="Cambria Math"/>
                        <w:i/>
                        <w:lang w:val="bg-BG"/>
                      </w:rPr>
                    </m:ctrlPr>
                  </m:sSubPr>
                  <m:e>
                    <m:r>
                      <w:rPr>
                        <w:rFonts w:ascii="Cambria Math" w:eastAsia="Calibri" w:hAnsi="Cambria Math"/>
                        <w:lang w:val="bg-BG"/>
                      </w:rPr>
                      <m:t>B</m:t>
                    </m:r>
                  </m:e>
                  <m:sub>
                    <m:r>
                      <w:rPr>
                        <w:rFonts w:ascii="Cambria Math" w:eastAsia="Calibri" w:hAnsi="Cambria Math"/>
                        <w:lang w:val="bg-BG"/>
                      </w:rPr>
                      <m:t>WL</m:t>
                    </m:r>
                  </m:sub>
                </m:sSub>
              </m:num>
              <m:den>
                <m:sSup>
                  <m:sSupPr>
                    <m:ctrlPr>
                      <w:rPr>
                        <w:rFonts w:ascii="Cambria Math" w:eastAsia="Calibri" w:hAnsi="Cambria Math"/>
                        <w:i/>
                        <w:lang w:val="bg-BG"/>
                      </w:rPr>
                    </m:ctrlPr>
                  </m:sSupPr>
                  <m:e>
                    <m:r>
                      <w:rPr>
                        <w:rFonts w:ascii="Cambria Math" w:eastAsia="Calibri" w:hAnsi="Cambria Math"/>
                        <w:lang w:val="bg-BG"/>
                      </w:rPr>
                      <m:t>F</m:t>
                    </m:r>
                  </m:e>
                  <m:sup>
                    <m:r>
                      <w:rPr>
                        <w:rFonts w:ascii="Cambria Math" w:eastAsia="Calibri" w:hAnsi="Cambria Math"/>
                        <w:lang w:val="bg-BG"/>
                      </w:rPr>
                      <m:t>'</m:t>
                    </m:r>
                  </m:sup>
                </m:sSup>
              </m:den>
            </m:f>
            <m:r>
              <w:rPr>
                <w:rFonts w:ascii="Cambria Math" w:eastAsia="Calibri" w:hAnsi="Cambria Math"/>
                <w:lang w:val="bg-BG"/>
              </w:rPr>
              <m:t xml:space="preserve"> </m:t>
            </m:r>
            <m:d>
              <m:dPr>
                <m:ctrlPr>
                  <w:rPr>
                    <w:rFonts w:ascii="Cambria Math" w:eastAsia="Calibri" w:hAnsi="Cambria Math"/>
                    <w:i/>
                    <w:lang w:val="bg-BG"/>
                  </w:rPr>
                </m:ctrlPr>
              </m:dPr>
              <m:e>
                <m:r>
                  <w:rPr>
                    <w:rFonts w:ascii="Cambria Math" w:eastAsia="Calibri" w:hAnsi="Cambria Math"/>
                    <w:lang w:val="bg-BG"/>
                  </w:rPr>
                  <m:t xml:space="preserve">Z ∙ </m:t>
                </m:r>
                <m:f>
                  <m:fPr>
                    <m:ctrlPr>
                      <w:rPr>
                        <w:rFonts w:ascii="Cambria Math" w:eastAsia="Calibri" w:hAnsi="Cambria Math"/>
                        <w:i/>
                        <w:lang w:val="bg-BG"/>
                      </w:rPr>
                    </m:ctrlPr>
                  </m:fPr>
                  <m:num>
                    <m:sSub>
                      <m:sSubPr>
                        <m:ctrlPr>
                          <w:rPr>
                            <w:rFonts w:ascii="Cambria Math" w:eastAsia="Calibri" w:hAnsi="Cambria Math"/>
                            <w:i/>
                            <w:lang w:val="bg-BG"/>
                          </w:rPr>
                        </m:ctrlPr>
                      </m:sSubPr>
                      <m:e>
                        <m:r>
                          <w:rPr>
                            <w:rFonts w:ascii="Cambria Math" w:eastAsia="Calibri" w:hAnsi="Cambria Math"/>
                            <w:lang w:val="bg-BG"/>
                          </w:rPr>
                          <m:t>T</m:t>
                        </m:r>
                      </m:e>
                      <m:sub>
                        <m:r>
                          <w:rPr>
                            <w:rFonts w:ascii="Cambria Math" w:eastAsia="Calibri" w:hAnsi="Cambria Math"/>
                            <w:lang w:val="bg-BG"/>
                          </w:rPr>
                          <m:t>m</m:t>
                        </m:r>
                      </m:sub>
                    </m:sSub>
                  </m:num>
                  <m:den>
                    <m:r>
                      <w:rPr>
                        <w:rFonts w:ascii="Cambria Math" w:eastAsia="Calibri" w:hAnsi="Cambria Math"/>
                        <w:lang w:val="bg-BG"/>
                      </w:rPr>
                      <m:t>2</m:t>
                    </m:r>
                  </m:den>
                </m:f>
                <m:r>
                  <w:rPr>
                    <w:rFonts w:ascii="Cambria Math" w:eastAsia="Calibri" w:hAnsi="Cambria Math"/>
                    <w:lang w:val="bg-BG"/>
                  </w:rPr>
                  <m:t xml:space="preserve">- </m:t>
                </m:r>
                <m:sSub>
                  <m:sSubPr>
                    <m:ctrlPr>
                      <w:rPr>
                        <w:rFonts w:ascii="Cambria Math" w:eastAsia="Calibri" w:hAnsi="Cambria Math"/>
                        <w:i/>
                        <w:lang w:val="bg-BG"/>
                      </w:rPr>
                    </m:ctrlPr>
                  </m:sSubPr>
                  <m:e>
                    <m:r>
                      <w:rPr>
                        <w:rFonts w:ascii="Cambria Math" w:eastAsia="Calibri" w:hAnsi="Cambria Math"/>
                        <w:lang w:val="bg-BG"/>
                      </w:rPr>
                      <m:t>h</m:t>
                    </m:r>
                  </m:e>
                  <m:sub>
                    <m:r>
                      <w:rPr>
                        <w:rFonts w:ascii="Cambria Math" w:eastAsia="Calibri" w:hAnsi="Cambria Math"/>
                        <w:lang w:val="bg-BG"/>
                      </w:rPr>
                      <m:t>KW</m:t>
                    </m:r>
                  </m:sub>
                </m:sSub>
                <m:r>
                  <w:rPr>
                    <w:rFonts w:ascii="Cambria Math" w:eastAsia="Calibri" w:hAnsi="Cambria Math"/>
                    <w:lang w:val="bg-BG"/>
                  </w:rPr>
                  <m:t xml:space="preserve">- </m:t>
                </m:r>
                <m:sSub>
                  <m:sSubPr>
                    <m:ctrlPr>
                      <w:rPr>
                        <w:rFonts w:ascii="Cambria Math" w:eastAsia="Calibri" w:hAnsi="Cambria Math"/>
                        <w:i/>
                        <w:lang w:val="bg-BG"/>
                      </w:rPr>
                    </m:ctrlPr>
                  </m:sSubPr>
                  <m:e>
                    <m:r>
                      <w:rPr>
                        <w:rFonts w:ascii="Cambria Math" w:eastAsia="Calibri" w:hAnsi="Cambria Math"/>
                        <w:lang w:val="bg-BG"/>
                      </w:rPr>
                      <m:t>h</m:t>
                    </m:r>
                  </m:e>
                  <m:sub>
                    <m:r>
                      <w:rPr>
                        <w:rFonts w:ascii="Cambria Math" w:eastAsia="Calibri" w:hAnsi="Cambria Math"/>
                        <w:lang w:val="bg-BG"/>
                      </w:rPr>
                      <m:t>KfO</m:t>
                    </m:r>
                  </m:sub>
                </m:sSub>
              </m:e>
            </m:d>
          </m:num>
          <m:den>
            <m:r>
              <w:rPr>
                <w:rFonts w:ascii="Cambria Math" w:eastAsia="Calibri" w:hAnsi="Cambria Math"/>
                <w:lang w:val="bg-BG"/>
              </w:rPr>
              <m:t xml:space="preserve">0,75 ∙ </m:t>
            </m:r>
            <m:f>
              <m:fPr>
                <m:ctrlPr>
                  <w:rPr>
                    <w:rFonts w:ascii="Cambria Math" w:eastAsia="Calibri" w:hAnsi="Cambria Math"/>
                    <w:i/>
                    <w:lang w:val="bg-BG"/>
                  </w:rPr>
                </m:ctrlPr>
              </m:fPr>
              <m:num>
                <m:sSub>
                  <m:sSubPr>
                    <m:ctrlPr>
                      <w:rPr>
                        <w:rFonts w:ascii="Cambria Math" w:eastAsia="Calibri" w:hAnsi="Cambria Math"/>
                        <w:i/>
                        <w:lang w:val="bg-BG"/>
                      </w:rPr>
                    </m:ctrlPr>
                  </m:sSubPr>
                  <m:e>
                    <m:r>
                      <w:rPr>
                        <w:rFonts w:ascii="Cambria Math" w:eastAsia="Calibri" w:hAnsi="Cambria Math"/>
                        <w:lang w:val="bg-BG"/>
                      </w:rPr>
                      <m:t>B</m:t>
                    </m:r>
                  </m:e>
                  <m:sub>
                    <m:r>
                      <w:rPr>
                        <w:rFonts w:ascii="Cambria Math" w:eastAsia="Calibri" w:hAnsi="Cambria Math"/>
                        <w:lang w:val="bg-BG"/>
                      </w:rPr>
                      <m:t>WL</m:t>
                    </m:r>
                  </m:sub>
                </m:sSub>
              </m:num>
              <m:den>
                <m:sSup>
                  <m:sSupPr>
                    <m:ctrlPr>
                      <w:rPr>
                        <w:rFonts w:ascii="Cambria Math" w:eastAsia="Calibri" w:hAnsi="Cambria Math"/>
                        <w:i/>
                        <w:lang w:val="bg-BG"/>
                      </w:rPr>
                    </m:ctrlPr>
                  </m:sSupPr>
                  <m:e>
                    <m:r>
                      <w:rPr>
                        <w:rFonts w:ascii="Cambria Math" w:eastAsia="Calibri" w:hAnsi="Cambria Math"/>
                        <w:lang w:val="bg-BG"/>
                      </w:rPr>
                      <m:t>F</m:t>
                    </m:r>
                  </m:e>
                  <m:sup>
                    <m:r>
                      <w:rPr>
                        <w:rFonts w:ascii="Cambria Math" w:eastAsia="Calibri" w:hAnsi="Cambria Math"/>
                        <w:lang w:val="bg-BG"/>
                      </w:rPr>
                      <m:t>'</m:t>
                    </m:r>
                  </m:sup>
                </m:sSup>
              </m:den>
            </m:f>
            <m:r>
              <w:rPr>
                <w:rFonts w:ascii="Cambria Math" w:eastAsia="Calibri" w:hAnsi="Cambria Math"/>
                <w:lang w:val="bg-BG"/>
              </w:rPr>
              <m:t xml:space="preserve"> ∙  Z+1</m:t>
            </m:r>
          </m:den>
        </m:f>
        <m:r>
          <w:rPr>
            <w:rFonts w:ascii="Cambria Math" w:eastAsia="Calibri" w:hAnsi="Cambria Math"/>
            <w:lang w:val="bg-BG"/>
          </w:rPr>
          <m:t xml:space="preserve"> </m:t>
        </m:r>
        <m:d>
          <m:dPr>
            <m:begChr m:val="["/>
            <m:endChr m:val="]"/>
            <m:ctrlPr>
              <w:rPr>
                <w:rFonts w:ascii="Cambria Math" w:eastAsia="Calibri" w:hAnsi="Cambria Math"/>
                <w:i/>
                <w:lang w:val="bg-BG"/>
              </w:rPr>
            </m:ctrlPr>
          </m:dPr>
          <m:e>
            <m:r>
              <w:rPr>
                <w:rFonts w:ascii="Cambria Math" w:eastAsia="Calibri" w:hAnsi="Cambria Math"/>
                <w:lang w:val="bg-BG"/>
              </w:rPr>
              <m:t>m</m:t>
            </m:r>
          </m:e>
        </m:d>
      </m:oMath>
    </w:p>
    <w:p w:rsidR="000525EE" w:rsidRPr="009072DA" w:rsidRDefault="000525EE" w:rsidP="000526B5">
      <w:pPr>
        <w:pStyle w:val="ESlet"/>
        <w:rPr>
          <w:rFonts w:eastAsia="Calibri"/>
          <w:lang w:val="bg-BG"/>
        </w:rPr>
      </w:pPr>
    </w:p>
    <w:p w:rsidR="00BF049A" w:rsidRPr="009072DA" w:rsidRDefault="00BF049A" w:rsidP="000526B5">
      <w:pPr>
        <w:pStyle w:val="ESletpar"/>
        <w:rPr>
          <w:rFonts w:cs="Arial"/>
          <w:szCs w:val="18"/>
          <w:lang w:val="bg-BG"/>
        </w:rPr>
      </w:pPr>
      <w:r w:rsidRPr="009072DA">
        <w:rPr>
          <w:lang w:val="bg-BG"/>
        </w:rPr>
        <w:t xml:space="preserve">не може да се приема стойност, по-малка от 6,6 за </w:t>
      </w:r>
      <m:oMath>
        <m:f>
          <m:fPr>
            <m:ctrlPr>
              <w:rPr>
                <w:rFonts w:ascii="Cambria Math" w:hAnsi="Cambria Math"/>
                <w:i/>
                <w:lang w:val="bg-BG"/>
              </w:rPr>
            </m:ctrlPr>
          </m:fPr>
          <m:num>
            <m:sSub>
              <m:sSubPr>
                <m:ctrlPr>
                  <w:rPr>
                    <w:rFonts w:ascii="Cambria Math" w:hAnsi="Cambria Math"/>
                    <w:i/>
                    <w:lang w:val="bg-BG"/>
                  </w:rPr>
                </m:ctrlPr>
              </m:sSubPr>
              <m:e>
                <m:r>
                  <w:rPr>
                    <w:rFonts w:ascii="Cambria Math" w:hAnsi="Cambria Math"/>
                    <w:lang w:val="bg-BG"/>
                  </w:rPr>
                  <m:t>B</m:t>
                </m:r>
              </m:e>
              <m:sub>
                <m:r>
                  <w:rPr>
                    <w:rFonts w:ascii="Cambria Math" w:hAnsi="Cambria Math"/>
                    <w:lang w:val="bg-BG"/>
                  </w:rPr>
                  <m:t>WL</m:t>
                </m:r>
              </m:sub>
            </m:sSub>
          </m:num>
          <m:den>
            <m:r>
              <w:rPr>
                <w:rFonts w:ascii="Cambria Math" w:hAnsi="Cambria Math"/>
                <w:lang w:val="bg-BG"/>
              </w:rPr>
              <m:t>F'</m:t>
            </m:r>
          </m:den>
        </m:f>
      </m:oMath>
      <w:r w:rsidRPr="009072DA">
        <w:rPr>
          <w:lang w:val="bg-BG"/>
        </w:rPr>
        <w:t xml:space="preserve"> и</w:t>
      </w:r>
    </w:p>
    <w:p w:rsidR="00BF049A" w:rsidRPr="009072DA" w:rsidRDefault="00BF049A" w:rsidP="000526B5">
      <w:pPr>
        <w:pStyle w:val="ESletpar"/>
        <w:rPr>
          <w:rFonts w:cs="Arial"/>
          <w:szCs w:val="18"/>
          <w:lang w:val="bg-BG"/>
        </w:rPr>
      </w:pPr>
      <w:r w:rsidRPr="009072DA">
        <w:rPr>
          <w:lang w:val="bg-BG"/>
        </w:rPr>
        <w:t xml:space="preserve">не може да се приема стойност, по-малка от 0 за  </w:t>
      </w:r>
      <m:oMath>
        <m:f>
          <m:fPr>
            <m:ctrlPr>
              <w:rPr>
                <w:rFonts w:ascii="Cambria Math" w:hAnsi="Cambria Math"/>
                <w:i/>
                <w:lang w:val="bg-BG"/>
              </w:rPr>
            </m:ctrlPr>
          </m:fPr>
          <m:num>
            <m:r>
              <w:rPr>
                <w:rFonts w:ascii="Cambria Math" w:hAnsi="Cambria Math"/>
                <w:lang w:val="bg-BG"/>
              </w:rPr>
              <m:t>I-i</m:t>
            </m:r>
          </m:num>
          <m:den>
            <m:r>
              <w:rPr>
                <w:rFonts w:ascii="Cambria Math" w:hAnsi="Cambria Math"/>
                <w:lang w:val="bg-BG"/>
              </w:rPr>
              <m:t>2 ∀</m:t>
            </m:r>
          </m:den>
        </m:f>
        <m:r>
          <w:rPr>
            <w:rFonts w:ascii="Cambria Math" w:hAnsi="Cambria Math"/>
            <w:lang w:val="bg-BG"/>
          </w:rPr>
          <m:t xml:space="preserve"> ∙ </m:t>
        </m:r>
        <m:d>
          <m:dPr>
            <m:ctrlPr>
              <w:rPr>
                <w:rFonts w:ascii="Cambria Math" w:hAnsi="Cambria Math"/>
                <w:i/>
                <w:lang w:val="bg-BG"/>
              </w:rPr>
            </m:ctrlPr>
          </m:dPr>
          <m:e>
            <m:r>
              <w:rPr>
                <w:rFonts w:ascii="Cambria Math" w:hAnsi="Cambria Math"/>
                <w:lang w:val="bg-BG"/>
              </w:rPr>
              <m:t xml:space="preserve">1-1,5 </m:t>
            </m:r>
            <m:f>
              <m:fPr>
                <m:ctrlPr>
                  <w:rPr>
                    <w:rFonts w:ascii="Cambria Math" w:hAnsi="Cambria Math"/>
                    <w:i/>
                    <w:lang w:val="bg-BG"/>
                  </w:rPr>
                </m:ctrlPr>
              </m:fPr>
              <m:num>
                <m:r>
                  <w:rPr>
                    <w:rFonts w:ascii="Cambria Math" w:hAnsi="Cambria Math"/>
                    <w:lang w:val="bg-BG"/>
                  </w:rPr>
                  <m:t>F</m:t>
                </m:r>
              </m:num>
              <m:den>
                <m:r>
                  <w:rPr>
                    <w:rFonts w:ascii="Cambria Math" w:hAnsi="Cambria Math"/>
                    <w:lang w:val="bg-BG"/>
                  </w:rPr>
                  <m:t>F'</m:t>
                </m:r>
              </m:den>
            </m:f>
          </m:e>
        </m:d>
      </m:oMath>
    </w:p>
    <w:p w:rsidR="00BF049A" w:rsidRPr="009072DA" w:rsidRDefault="005C7859" w:rsidP="000526B5">
      <w:pPr>
        <w:pStyle w:val="ESlet"/>
        <w:rPr>
          <w:rFonts w:cs="Arial"/>
          <w:szCs w:val="18"/>
          <w:lang w:val="bg-BG"/>
        </w:rPr>
      </w:pPr>
      <w:r w:rsidRPr="009072DA">
        <w:rPr>
          <w:lang w:val="bg-BG"/>
        </w:rPr>
        <w:t>б)</w:t>
      </w:r>
      <w:r w:rsidRPr="009072DA">
        <w:rPr>
          <w:lang w:val="bg-BG"/>
        </w:rPr>
        <w:tab/>
      </w:r>
      <m:oMath>
        <m:sSub>
          <m:sSubPr>
            <m:ctrlPr>
              <w:rPr>
                <w:rFonts w:ascii="Cambria Math" w:hAnsi="Cambria Math"/>
                <w:i/>
                <w:lang w:val="bg-BG"/>
              </w:rPr>
            </m:ctrlPr>
          </m:sSubPr>
          <m:e>
            <m:acc>
              <m:accPr>
                <m:chr m:val="̅"/>
                <m:ctrlPr>
                  <w:rPr>
                    <w:rFonts w:ascii="Cambria Math" w:hAnsi="Cambria Math"/>
                    <w:i/>
                    <w:lang w:val="bg-BG"/>
                  </w:rPr>
                </m:ctrlPr>
              </m:accPr>
              <m:e>
                <m:r>
                  <w:rPr>
                    <w:rFonts w:ascii="Cambria Math" w:hAnsi="Cambria Math"/>
                    <w:lang w:val="bg-BG"/>
                  </w:rPr>
                  <m:t>KG</m:t>
                </m:r>
              </m:e>
            </m:acc>
          </m:e>
          <m:sub>
            <m:r>
              <w:rPr>
                <w:rFonts w:ascii="Cambria Math" w:hAnsi="Cambria Math"/>
                <w:lang w:val="bg-BG"/>
              </w:rPr>
              <m:t>zul</m:t>
            </m:r>
          </m:sub>
        </m:sSub>
        <m:r>
          <w:rPr>
            <w:rFonts w:ascii="Cambria Math" w:hAnsi="Cambria Math"/>
            <w:lang w:val="bg-BG"/>
          </w:rPr>
          <m:t xml:space="preserve">= </m:t>
        </m:r>
        <m:acc>
          <m:accPr>
            <m:chr m:val="̅"/>
            <m:ctrlPr>
              <w:rPr>
                <w:rFonts w:ascii="Cambria Math" w:hAnsi="Cambria Math"/>
                <w:i/>
                <w:lang w:val="bg-BG"/>
              </w:rPr>
            </m:ctrlPr>
          </m:accPr>
          <m:e>
            <m:r>
              <w:rPr>
                <w:rFonts w:ascii="Cambria Math" w:hAnsi="Cambria Math"/>
                <w:lang w:val="bg-BG"/>
              </w:rPr>
              <m:t>KM</m:t>
            </m:r>
          </m:e>
        </m:acc>
        <m:r>
          <w:rPr>
            <w:rFonts w:ascii="Cambria Math" w:hAnsi="Cambria Math"/>
            <w:lang w:val="bg-BG"/>
          </w:rPr>
          <m:t xml:space="preserve">-0,50 </m:t>
        </m:r>
        <m:d>
          <m:dPr>
            <m:begChr m:val="["/>
            <m:endChr m:val="]"/>
            <m:ctrlPr>
              <w:rPr>
                <w:rFonts w:ascii="Cambria Math" w:hAnsi="Cambria Math"/>
                <w:i/>
                <w:lang w:val="bg-BG"/>
              </w:rPr>
            </m:ctrlPr>
          </m:dPr>
          <m:e>
            <m:r>
              <w:rPr>
                <w:rFonts w:ascii="Cambria Math" w:hAnsi="Cambria Math"/>
                <w:lang w:val="bg-BG"/>
              </w:rPr>
              <m:t>m</m:t>
            </m:r>
          </m:e>
        </m:d>
      </m:oMath>
    </w:p>
    <w:p w:rsidR="00BF049A" w:rsidRPr="009072DA" w:rsidRDefault="00BF049A" w:rsidP="000526B5">
      <w:pPr>
        <w:pStyle w:val="ESletpar"/>
        <w:rPr>
          <w:rFonts w:cs="Arial"/>
          <w:szCs w:val="18"/>
          <w:lang w:val="bg-BG"/>
        </w:rPr>
      </w:pPr>
      <w:r w:rsidRPr="009072DA">
        <w:rPr>
          <w:lang w:val="bg-BG"/>
        </w:rPr>
        <w:t xml:space="preserve">Най-ниската стойност за </w:t>
      </w:r>
      <m:oMath>
        <m:sSub>
          <m:sSubPr>
            <m:ctrlPr>
              <w:rPr>
                <w:rFonts w:ascii="Cambria Math" w:hAnsi="Cambria Math"/>
                <w:i/>
                <w:lang w:val="bg-BG"/>
              </w:rPr>
            </m:ctrlPr>
          </m:sSubPr>
          <m:e>
            <m:acc>
              <m:accPr>
                <m:chr m:val="̅"/>
                <m:ctrlPr>
                  <w:rPr>
                    <w:rFonts w:ascii="Cambria Math" w:hAnsi="Cambria Math"/>
                    <w:i/>
                    <w:lang w:val="bg-BG"/>
                  </w:rPr>
                </m:ctrlPr>
              </m:accPr>
              <m:e>
                <m:r>
                  <w:rPr>
                    <w:rFonts w:ascii="Cambria Math" w:hAnsi="Cambria Math"/>
                    <w:lang w:val="bg-BG"/>
                  </w:rPr>
                  <m:t>KG</m:t>
                </m:r>
              </m:e>
            </m:acc>
          </m:e>
          <m:sub>
            <m:r>
              <w:rPr>
                <w:rFonts w:ascii="Cambria Math" w:hAnsi="Cambria Math"/>
                <w:lang w:val="bg-BG"/>
              </w:rPr>
              <m:t>zul</m:t>
            </m:r>
          </m:sub>
        </m:sSub>
      </m:oMath>
      <w:r w:rsidRPr="009072DA">
        <w:rPr>
          <w:lang w:val="bg-BG"/>
        </w:rPr>
        <w:t xml:space="preserve"> съгласно формула a) или б) е решаваща.</w:t>
      </w:r>
    </w:p>
    <w:p w:rsidR="00BF049A" w:rsidRPr="009072DA" w:rsidRDefault="00BF049A" w:rsidP="000526B5">
      <w:pPr>
        <w:pStyle w:val="ESletpar"/>
        <w:rPr>
          <w:rFonts w:cs="Arial"/>
          <w:szCs w:val="18"/>
          <w:lang w:val="bg-BG"/>
        </w:rPr>
      </w:pPr>
      <w:r w:rsidRPr="009072DA">
        <w:rPr>
          <w:lang w:val="bg-BG"/>
        </w:rPr>
        <w:t>В тези формули, освен термините, определени по-горе:</w:t>
      </w:r>
    </w:p>
    <w:p w:rsidR="00BF049A" w:rsidRPr="009072DA" w:rsidRDefault="00851A17" w:rsidP="000526B5">
      <w:pPr>
        <w:pStyle w:val="EStiret"/>
        <w:rPr>
          <w:rFonts w:eastAsia="Calibri"/>
          <w:noProof w:val="0"/>
          <w:lang w:val="bg-BG"/>
        </w:rPr>
      </w:pPr>
      <m:oMath>
        <m:r>
          <w:rPr>
            <w:rFonts w:ascii="Cambria Math" w:eastAsia="Calibri" w:hAnsi="Cambria Math"/>
            <w:noProof w:val="0"/>
            <w:lang w:val="bg-BG"/>
          </w:rPr>
          <m:t>I</m:t>
        </m:r>
      </m:oMath>
      <w:r w:rsidRPr="009072DA">
        <w:rPr>
          <w:noProof w:val="0"/>
          <w:lang w:val="bg-BG"/>
        </w:rPr>
        <w:tab/>
        <w:t xml:space="preserve">е напречният момент на инерцията на площта на водолинията при </w:t>
      </w:r>
      <m:oMath>
        <m:sSub>
          <m:sSubPr>
            <m:ctrlPr>
              <w:rPr>
                <w:rFonts w:ascii="Cambria Math" w:eastAsia="Calibri" w:hAnsi="Cambria Math"/>
                <w:i/>
                <w:noProof w:val="0"/>
                <w:lang w:val="bg-BG"/>
              </w:rPr>
            </m:ctrlPr>
          </m:sSubPr>
          <m:e>
            <m:r>
              <w:rPr>
                <w:rFonts w:ascii="Cambria Math" w:eastAsia="Calibri" w:hAnsi="Cambria Math"/>
                <w:noProof w:val="0"/>
                <w:lang w:val="bg-BG"/>
              </w:rPr>
              <m:t>T</m:t>
            </m:r>
          </m:e>
          <m:sub>
            <m:r>
              <w:rPr>
                <w:rFonts w:ascii="Cambria Math" w:eastAsia="Calibri" w:hAnsi="Cambria Math"/>
                <w:noProof w:val="0"/>
                <w:lang w:val="bg-BG"/>
              </w:rPr>
              <m:t>m</m:t>
            </m:r>
          </m:sub>
        </m:sSub>
      </m:oMath>
      <w:r w:rsidRPr="009072DA">
        <w:rPr>
          <w:noProof w:val="0"/>
          <w:lang w:val="bg-BG"/>
        </w:rPr>
        <w:t xml:space="preserve"> [m</w:t>
      </w:r>
      <w:r w:rsidRPr="009072DA">
        <w:rPr>
          <w:noProof w:val="0"/>
          <w:vertAlign w:val="superscript"/>
          <w:lang w:val="bg-BG"/>
        </w:rPr>
        <w:t>4</w:t>
      </w:r>
      <w:r w:rsidRPr="009072DA">
        <w:rPr>
          <w:noProof w:val="0"/>
          <w:lang w:val="bg-BG"/>
        </w:rPr>
        <w:t>] (за формулата за приближение вж. точка 3);</w:t>
      </w:r>
    </w:p>
    <w:p w:rsidR="00851A17" w:rsidRPr="009072DA" w:rsidRDefault="00851A17" w:rsidP="000526B5">
      <w:pPr>
        <w:pStyle w:val="EStiret"/>
        <w:rPr>
          <w:rFonts w:eastAsia="Calibri"/>
          <w:noProof w:val="0"/>
          <w:lang w:val="bg-BG"/>
        </w:rPr>
      </w:pPr>
      <m:oMath>
        <m:r>
          <w:rPr>
            <w:rFonts w:ascii="Cambria Math" w:eastAsia="Calibri" w:hAnsi="Cambria Math"/>
            <w:noProof w:val="0"/>
            <w:lang w:val="bg-BG"/>
          </w:rPr>
          <m:t>i</m:t>
        </m:r>
      </m:oMath>
      <w:r w:rsidRPr="009072DA">
        <w:rPr>
          <w:noProof w:val="0"/>
          <w:lang w:val="bg-BG"/>
        </w:rPr>
        <w:tab/>
        <w:t>е напречният момент на инерцията на площта на водолинията, успоредна на основата, при височина</w:t>
      </w:r>
    </w:p>
    <w:p w:rsidR="00851A17" w:rsidRPr="009072DA" w:rsidRDefault="002B712C" w:rsidP="00851A17">
      <w:pPr>
        <w:pStyle w:val="EStiret"/>
        <w:ind w:left="0"/>
        <w:rPr>
          <w:rFonts w:eastAsia="Calibri"/>
          <w:noProof w:val="0"/>
          <w:lang w:val="bg-BG"/>
        </w:rPr>
      </w:pPr>
      <m:oMathPara>
        <m:oMath>
          <m:sSub>
            <m:sSubPr>
              <m:ctrlPr>
                <w:rPr>
                  <w:rFonts w:ascii="Cambria Math" w:eastAsia="Calibri" w:hAnsi="Cambria Math"/>
                  <w:i/>
                  <w:noProof w:val="0"/>
                  <w:lang w:val="bg-BG"/>
                </w:rPr>
              </m:ctrlPr>
            </m:sSubPr>
            <m:e>
              <m:r>
                <w:rPr>
                  <w:rFonts w:ascii="Cambria Math" w:eastAsia="Calibri" w:hAnsi="Cambria Math"/>
                  <w:noProof w:val="0"/>
                  <w:lang w:val="bg-BG"/>
                </w:rPr>
                <m:t>T</m:t>
              </m:r>
            </m:e>
            <m:sub>
              <m:r>
                <w:rPr>
                  <w:rFonts w:ascii="Cambria Math" w:eastAsia="Calibri" w:hAnsi="Cambria Math"/>
                  <w:noProof w:val="0"/>
                  <w:lang w:val="bg-BG"/>
                </w:rPr>
                <m:t>m</m:t>
              </m:r>
            </m:sub>
          </m:sSub>
          <m:r>
            <w:rPr>
              <w:rFonts w:ascii="Cambria Math" w:eastAsia="Calibri" w:hAnsi="Cambria Math"/>
              <w:noProof w:val="0"/>
              <w:lang w:val="bg-BG"/>
            </w:rPr>
            <m:t xml:space="preserve">+ </m:t>
          </m:r>
          <m:f>
            <m:fPr>
              <m:ctrlPr>
                <w:rPr>
                  <w:rFonts w:ascii="Cambria Math" w:eastAsia="Calibri" w:hAnsi="Cambria Math"/>
                  <w:i/>
                  <w:noProof w:val="0"/>
                  <w:lang w:val="bg-BG"/>
                </w:rPr>
              </m:ctrlPr>
            </m:fPr>
            <m:num>
              <m:r>
                <w:rPr>
                  <w:rFonts w:ascii="Cambria Math" w:eastAsia="Calibri" w:hAnsi="Cambria Math"/>
                  <w:noProof w:val="0"/>
                  <w:lang w:val="bg-BG"/>
                </w:rPr>
                <m:t>2</m:t>
              </m:r>
            </m:num>
            <m:den>
              <m:r>
                <w:rPr>
                  <w:rFonts w:ascii="Cambria Math" w:eastAsia="Calibri" w:hAnsi="Cambria Math"/>
                  <w:noProof w:val="0"/>
                  <w:lang w:val="bg-BG"/>
                </w:rPr>
                <m:t>3</m:t>
              </m:r>
            </m:den>
          </m:f>
          <m:r>
            <w:rPr>
              <w:rFonts w:ascii="Cambria Math" w:eastAsia="Calibri" w:hAnsi="Cambria Math"/>
              <w:noProof w:val="0"/>
              <w:lang w:val="bg-BG"/>
            </w:rPr>
            <m:t xml:space="preserve"> </m:t>
          </m:r>
          <m:sSup>
            <m:sSupPr>
              <m:ctrlPr>
                <w:rPr>
                  <w:rFonts w:ascii="Cambria Math" w:eastAsia="Calibri" w:hAnsi="Cambria Math"/>
                  <w:i/>
                  <w:noProof w:val="0"/>
                  <w:lang w:val="bg-BG"/>
                </w:rPr>
              </m:ctrlPr>
            </m:sSupPr>
            <m:e>
              <m:r>
                <w:rPr>
                  <w:rFonts w:ascii="Cambria Math" w:eastAsia="Calibri" w:hAnsi="Cambria Math"/>
                  <w:noProof w:val="0"/>
                  <w:lang w:val="bg-BG"/>
                </w:rPr>
                <m:t>F</m:t>
              </m:r>
            </m:e>
            <m:sup>
              <m:r>
                <w:rPr>
                  <w:rFonts w:ascii="Cambria Math" w:eastAsia="Calibri" w:hAnsi="Cambria Math"/>
                  <w:noProof w:val="0"/>
                  <w:lang w:val="bg-BG"/>
                </w:rPr>
                <m:t>'</m:t>
              </m:r>
            </m:sup>
          </m:sSup>
          <m:d>
            <m:dPr>
              <m:begChr m:val="["/>
              <m:endChr m:val="]"/>
              <m:ctrlPr>
                <w:rPr>
                  <w:rFonts w:ascii="Cambria Math" w:eastAsia="Calibri" w:hAnsi="Cambria Math"/>
                  <w:i/>
                  <w:noProof w:val="0"/>
                  <w:lang w:val="bg-BG"/>
                </w:rPr>
              </m:ctrlPr>
            </m:dPr>
            <m:e>
              <m:sSup>
                <m:sSupPr>
                  <m:ctrlPr>
                    <w:rPr>
                      <w:rFonts w:ascii="Cambria Math" w:eastAsia="Calibri" w:hAnsi="Cambria Math"/>
                      <w:i/>
                      <w:noProof w:val="0"/>
                      <w:lang w:val="bg-BG"/>
                    </w:rPr>
                  </m:ctrlPr>
                </m:sSupPr>
                <m:e>
                  <m:r>
                    <w:rPr>
                      <w:rFonts w:ascii="Cambria Math" w:eastAsia="Calibri" w:hAnsi="Cambria Math"/>
                      <w:noProof w:val="0"/>
                      <w:lang w:val="bg-BG"/>
                    </w:rPr>
                    <m:t>m</m:t>
                  </m:r>
                </m:e>
                <m:sup>
                  <m:r>
                    <w:rPr>
                      <w:rFonts w:ascii="Cambria Math" w:eastAsia="Calibri" w:hAnsi="Cambria Math"/>
                      <w:noProof w:val="0"/>
                      <w:lang w:val="bg-BG"/>
                    </w:rPr>
                    <m:t>4</m:t>
                  </m:r>
                </m:sup>
              </m:sSup>
            </m:e>
          </m:d>
        </m:oMath>
      </m:oMathPara>
    </w:p>
    <w:p w:rsidR="00BF049A" w:rsidRPr="009072DA" w:rsidRDefault="00851A17" w:rsidP="000526B5">
      <w:pPr>
        <w:pStyle w:val="EStiret"/>
        <w:rPr>
          <w:rFonts w:eastAsia="Calibri"/>
          <w:noProof w:val="0"/>
          <w:lang w:val="bg-BG"/>
        </w:rPr>
      </w:pPr>
      <m:oMath>
        <m:r>
          <w:rPr>
            <w:rFonts w:ascii="Cambria Math" w:eastAsia="Calibri" w:hAnsi="Cambria Math"/>
            <w:noProof w:val="0"/>
            <w:lang w:val="bg-BG"/>
          </w:rPr>
          <m:t>∀</m:t>
        </m:r>
      </m:oMath>
      <w:r w:rsidRPr="009072DA">
        <w:rPr>
          <w:noProof w:val="0"/>
          <w:lang w:val="bg-BG"/>
        </w:rPr>
        <w:tab/>
        <w:t xml:space="preserve">е обемното водоизместване на плавателния съд при </w:t>
      </w:r>
      <m:oMath>
        <m:sSub>
          <m:sSubPr>
            <m:ctrlPr>
              <w:rPr>
                <w:rFonts w:ascii="Cambria Math" w:eastAsia="Calibri" w:hAnsi="Cambria Math"/>
                <w:i/>
                <w:noProof w:val="0"/>
                <w:lang w:val="bg-BG"/>
              </w:rPr>
            </m:ctrlPr>
          </m:sSubPr>
          <m:e>
            <m:r>
              <w:rPr>
                <w:rFonts w:ascii="Cambria Math" w:eastAsia="Calibri" w:hAnsi="Cambria Math"/>
                <w:noProof w:val="0"/>
                <w:lang w:val="bg-BG"/>
              </w:rPr>
              <m:t>T</m:t>
            </m:r>
          </m:e>
          <m:sub>
            <m:r>
              <w:rPr>
                <w:rFonts w:ascii="Cambria Math" w:eastAsia="Calibri" w:hAnsi="Cambria Math"/>
                <w:noProof w:val="0"/>
                <w:lang w:val="bg-BG"/>
              </w:rPr>
              <m:t>m</m:t>
            </m:r>
          </m:sub>
        </m:sSub>
      </m:oMath>
      <w:r w:rsidRPr="009072DA">
        <w:rPr>
          <w:noProof w:val="0"/>
          <w:lang w:val="bg-BG"/>
        </w:rPr>
        <w:t xml:space="preserve"> [m</w:t>
      </w:r>
      <w:r w:rsidRPr="009072DA">
        <w:rPr>
          <w:noProof w:val="0"/>
          <w:vertAlign w:val="superscript"/>
          <w:lang w:val="bg-BG"/>
        </w:rPr>
        <w:t>3</w:t>
      </w:r>
      <w:r w:rsidRPr="009072DA">
        <w:rPr>
          <w:noProof w:val="0"/>
          <w:lang w:val="bg-BG"/>
        </w:rPr>
        <w:t>];</w:t>
      </w:r>
    </w:p>
    <w:p w:rsidR="0067550D" w:rsidRPr="009072DA" w:rsidRDefault="00851A17" w:rsidP="000526B5">
      <w:pPr>
        <w:pStyle w:val="EStiret"/>
        <w:rPr>
          <w:rFonts w:eastAsia="Calibri"/>
          <w:noProof w:val="0"/>
          <w:lang w:val="bg-BG"/>
        </w:rPr>
      </w:pPr>
      <m:oMath>
        <m:r>
          <w:rPr>
            <w:rFonts w:ascii="Cambria Math" w:eastAsia="Calibri" w:hAnsi="Cambria Math"/>
            <w:noProof w:val="0"/>
            <w:lang w:val="bg-BG"/>
          </w:rPr>
          <w:lastRenderedPageBreak/>
          <m:t>F'</m:t>
        </m:r>
      </m:oMath>
      <w:r w:rsidRPr="009072DA">
        <w:rPr>
          <w:noProof w:val="0"/>
          <w:lang w:val="bg-BG"/>
        </w:rPr>
        <w:tab/>
        <w:t xml:space="preserve">е идеалният надводен борд </w:t>
      </w:r>
    </w:p>
    <w:p w:rsidR="00BF049A" w:rsidRPr="009072DA" w:rsidRDefault="002B712C" w:rsidP="0067550D">
      <w:pPr>
        <w:pStyle w:val="EStiret"/>
        <w:ind w:firstLine="1"/>
        <w:rPr>
          <w:rFonts w:eastAsia="Calibri"/>
          <w:noProof w:val="0"/>
          <w:lang w:val="bg-BG"/>
        </w:rPr>
      </w:pPr>
      <m:oMath>
        <m:sSup>
          <m:sSupPr>
            <m:ctrlPr>
              <w:rPr>
                <w:rFonts w:ascii="Cambria Math" w:eastAsia="Calibri" w:hAnsi="Cambria Math"/>
                <w:i/>
                <w:noProof w:val="0"/>
                <w:lang w:val="bg-BG"/>
              </w:rPr>
            </m:ctrlPr>
          </m:sSupPr>
          <m:e>
            <m:r>
              <w:rPr>
                <w:rFonts w:ascii="Cambria Math" w:eastAsia="Calibri" w:hAnsi="Cambria Math"/>
                <w:noProof w:val="0"/>
                <w:lang w:val="bg-BG"/>
              </w:rPr>
              <m:t>F</m:t>
            </m:r>
          </m:e>
          <m:sup>
            <m:r>
              <w:rPr>
                <w:rFonts w:ascii="Cambria Math" w:eastAsia="Calibri" w:hAnsi="Cambria Math"/>
                <w:noProof w:val="0"/>
                <w:lang w:val="bg-BG"/>
              </w:rPr>
              <m:t>'</m:t>
            </m:r>
          </m:sup>
        </m:sSup>
        <m:r>
          <w:rPr>
            <w:rFonts w:ascii="Cambria Math" w:eastAsia="Calibri" w:hAnsi="Cambria Math"/>
            <w:noProof w:val="0"/>
            <w:lang w:val="bg-BG"/>
          </w:rPr>
          <m:t>=</m:t>
        </m:r>
        <m:sSup>
          <m:sSupPr>
            <m:ctrlPr>
              <w:rPr>
                <w:rFonts w:ascii="Cambria Math" w:eastAsia="Calibri" w:hAnsi="Cambria Math"/>
                <w:i/>
                <w:noProof w:val="0"/>
                <w:lang w:val="bg-BG"/>
              </w:rPr>
            </m:ctrlPr>
          </m:sSupPr>
          <m:e>
            <m:r>
              <w:rPr>
                <w:rFonts w:ascii="Cambria Math" w:eastAsia="Calibri" w:hAnsi="Cambria Math"/>
                <w:noProof w:val="0"/>
                <w:lang w:val="bg-BG"/>
              </w:rPr>
              <m:t>H</m:t>
            </m:r>
          </m:e>
          <m:sup>
            <m:r>
              <w:rPr>
                <w:rFonts w:ascii="Cambria Math" w:eastAsia="Calibri" w:hAnsi="Cambria Math"/>
                <w:noProof w:val="0"/>
                <w:lang w:val="bg-BG"/>
              </w:rPr>
              <m:t>'</m:t>
            </m:r>
          </m:sup>
        </m:sSup>
        <m:r>
          <w:rPr>
            <w:rFonts w:ascii="Cambria Math" w:eastAsia="Calibri" w:hAnsi="Cambria Math"/>
            <w:noProof w:val="0"/>
            <w:lang w:val="bg-BG"/>
          </w:rPr>
          <m:t xml:space="preserve">- </m:t>
        </m:r>
        <m:sSub>
          <m:sSubPr>
            <m:ctrlPr>
              <w:rPr>
                <w:rFonts w:ascii="Cambria Math" w:eastAsia="Calibri" w:hAnsi="Cambria Math"/>
                <w:i/>
                <w:noProof w:val="0"/>
                <w:lang w:val="bg-BG"/>
              </w:rPr>
            </m:ctrlPr>
          </m:sSubPr>
          <m:e>
            <m:r>
              <w:rPr>
                <w:rFonts w:ascii="Cambria Math" w:eastAsia="Calibri" w:hAnsi="Cambria Math"/>
                <w:noProof w:val="0"/>
                <w:lang w:val="bg-BG"/>
              </w:rPr>
              <m:t>T</m:t>
            </m:r>
          </m:e>
          <m:sub>
            <m:r>
              <w:rPr>
                <w:rFonts w:ascii="Cambria Math" w:eastAsia="Calibri" w:hAnsi="Cambria Math"/>
                <w:noProof w:val="0"/>
                <w:lang w:val="bg-BG"/>
              </w:rPr>
              <m:t>m</m:t>
            </m:r>
          </m:sub>
        </m:sSub>
        <m:r>
          <w:rPr>
            <w:rFonts w:ascii="Cambria Math" w:eastAsia="Calibri" w:hAnsi="Cambria Math"/>
            <w:noProof w:val="0"/>
            <w:lang w:val="bg-BG"/>
          </w:rPr>
          <m:t xml:space="preserve"> </m:t>
        </m:r>
        <m:d>
          <m:dPr>
            <m:begChr m:val="["/>
            <m:endChr m:val="]"/>
            <m:ctrlPr>
              <w:rPr>
                <w:rFonts w:ascii="Cambria Math" w:eastAsia="Calibri" w:hAnsi="Cambria Math"/>
                <w:i/>
                <w:noProof w:val="0"/>
                <w:lang w:val="bg-BG"/>
              </w:rPr>
            </m:ctrlPr>
          </m:dPr>
          <m:e>
            <m:r>
              <w:rPr>
                <w:rFonts w:ascii="Cambria Math" w:eastAsia="Calibri" w:hAnsi="Cambria Math"/>
                <w:noProof w:val="0"/>
                <w:lang w:val="bg-BG"/>
              </w:rPr>
              <m:t>m</m:t>
            </m:r>
          </m:e>
        </m:d>
      </m:oMath>
      <w:r w:rsidR="007B1046" w:rsidRPr="009072DA">
        <w:rPr>
          <w:noProof w:val="0"/>
          <w:lang w:val="bg-BG"/>
        </w:rPr>
        <w:t xml:space="preserve"> или </w:t>
      </w:r>
      <m:oMath>
        <m:sSup>
          <m:sSupPr>
            <m:ctrlPr>
              <w:rPr>
                <w:rFonts w:ascii="Cambria Math" w:eastAsia="Calibri" w:hAnsi="Cambria Math"/>
                <w:i/>
                <w:noProof w:val="0"/>
                <w:lang w:val="bg-BG"/>
              </w:rPr>
            </m:ctrlPr>
          </m:sSupPr>
          <m:e>
            <m:r>
              <w:rPr>
                <w:rFonts w:ascii="Cambria Math" w:eastAsia="Calibri" w:hAnsi="Cambria Math"/>
                <w:noProof w:val="0"/>
                <w:lang w:val="bg-BG"/>
              </w:rPr>
              <m:t>F</m:t>
            </m:r>
          </m:e>
          <m:sup>
            <m:r>
              <w:rPr>
                <w:rFonts w:ascii="Cambria Math" w:eastAsia="Calibri" w:hAnsi="Cambria Math"/>
                <w:noProof w:val="0"/>
                <w:lang w:val="bg-BG"/>
              </w:rPr>
              <m:t>'</m:t>
            </m:r>
          </m:sup>
        </m:sSup>
        <m:r>
          <w:rPr>
            <w:rFonts w:ascii="Cambria Math" w:eastAsia="Calibri" w:hAnsi="Cambria Math"/>
            <w:noProof w:val="0"/>
            <w:lang w:val="bg-BG"/>
          </w:rPr>
          <m:t xml:space="preserve">= </m:t>
        </m:r>
        <m:f>
          <m:fPr>
            <m:ctrlPr>
              <w:rPr>
                <w:rFonts w:ascii="Cambria Math" w:eastAsia="Calibri" w:hAnsi="Cambria Math"/>
                <w:i/>
                <w:noProof w:val="0"/>
                <w:lang w:val="bg-BG"/>
              </w:rPr>
            </m:ctrlPr>
          </m:fPr>
          <m:num>
            <m:r>
              <w:rPr>
                <w:rFonts w:ascii="Cambria Math" w:eastAsia="Calibri" w:hAnsi="Cambria Math"/>
                <w:noProof w:val="0"/>
                <w:lang w:val="bg-BG"/>
              </w:rPr>
              <m:t xml:space="preserve">a ∙ </m:t>
            </m:r>
            <m:sSub>
              <m:sSubPr>
                <m:ctrlPr>
                  <w:rPr>
                    <w:rFonts w:ascii="Cambria Math" w:eastAsia="Calibri" w:hAnsi="Cambria Math"/>
                    <w:i/>
                    <w:noProof w:val="0"/>
                    <w:lang w:val="bg-BG"/>
                  </w:rPr>
                </m:ctrlPr>
              </m:sSubPr>
              <m:e>
                <m:r>
                  <w:rPr>
                    <w:rFonts w:ascii="Cambria Math" w:eastAsia="Calibri" w:hAnsi="Cambria Math"/>
                    <w:noProof w:val="0"/>
                    <w:lang w:val="bg-BG"/>
                  </w:rPr>
                  <m:t>B</m:t>
                </m:r>
              </m:e>
              <m:sub>
                <m:r>
                  <w:rPr>
                    <w:rFonts w:ascii="Cambria Math" w:eastAsia="Calibri" w:hAnsi="Cambria Math"/>
                    <w:noProof w:val="0"/>
                    <w:lang w:val="bg-BG"/>
                  </w:rPr>
                  <m:t>WL</m:t>
                </m:r>
              </m:sub>
            </m:sSub>
          </m:num>
          <m:den>
            <m:r>
              <w:rPr>
                <w:rFonts w:ascii="Cambria Math" w:eastAsia="Calibri" w:hAnsi="Cambria Math"/>
                <w:noProof w:val="0"/>
                <w:lang w:val="bg-BG"/>
              </w:rPr>
              <m:t>2 ∙b</m:t>
            </m:r>
          </m:den>
        </m:f>
        <m:r>
          <w:rPr>
            <w:rFonts w:ascii="Cambria Math" w:eastAsia="Calibri" w:hAnsi="Cambria Math"/>
            <w:noProof w:val="0"/>
            <w:lang w:val="bg-BG"/>
          </w:rPr>
          <m:t xml:space="preserve"> </m:t>
        </m:r>
        <m:d>
          <m:dPr>
            <m:begChr m:val="["/>
            <m:endChr m:val="]"/>
            <m:ctrlPr>
              <w:rPr>
                <w:rFonts w:ascii="Cambria Math" w:eastAsia="Calibri" w:hAnsi="Cambria Math"/>
                <w:i/>
                <w:noProof w:val="0"/>
                <w:lang w:val="bg-BG"/>
              </w:rPr>
            </m:ctrlPr>
          </m:dPr>
          <m:e>
            <m:r>
              <w:rPr>
                <w:rFonts w:ascii="Cambria Math" w:eastAsia="Calibri" w:hAnsi="Cambria Math"/>
                <w:noProof w:val="0"/>
                <w:lang w:val="bg-BG"/>
              </w:rPr>
              <m:t>m</m:t>
            </m:r>
          </m:e>
        </m:d>
      </m:oMath>
      <w:r w:rsidR="007B1046" w:rsidRPr="009072DA">
        <w:rPr>
          <w:noProof w:val="0"/>
          <w:lang w:val="bg-BG"/>
        </w:rPr>
        <w:t>, за решаваща се приема най-ниската стойност;</w:t>
      </w:r>
    </w:p>
    <w:p w:rsidR="000526B5" w:rsidRPr="009072DA" w:rsidRDefault="000526B5" w:rsidP="000526B5">
      <w:pPr>
        <w:pStyle w:val="EStiret"/>
        <w:rPr>
          <w:rFonts w:eastAsia="Calibri"/>
          <w:noProof w:val="0"/>
          <w:lang w:val="bg-BG"/>
        </w:rPr>
      </w:pPr>
    </w:p>
    <w:p w:rsidR="000526B5" w:rsidRPr="009072DA" w:rsidRDefault="000526B5" w:rsidP="000526B5">
      <w:pPr>
        <w:pStyle w:val="EStiret"/>
        <w:rPr>
          <w:rFonts w:eastAsia="Calibri"/>
          <w:noProof w:val="0"/>
          <w:lang w:val="bg-BG"/>
        </w:rPr>
      </w:pPr>
      <w:r w:rsidRPr="009072DA">
        <w:rPr>
          <w:noProof w:val="0"/>
          <w:lang w:val="bg-BG"/>
        </w:rPr>
        <w:br w:type="page"/>
      </w:r>
    </w:p>
    <w:p w:rsidR="00BF049A" w:rsidRPr="009072DA" w:rsidRDefault="004F13FC" w:rsidP="000526B5">
      <w:pPr>
        <w:pStyle w:val="EStiret"/>
        <w:rPr>
          <w:rFonts w:eastAsia="Calibri"/>
          <w:noProof w:val="0"/>
          <w:lang w:val="bg-BG"/>
        </w:rPr>
      </w:pPr>
      <m:oMath>
        <m:r>
          <w:rPr>
            <w:rFonts w:ascii="Cambria Math" w:eastAsia="Calibri" w:hAnsi="Cambria Math"/>
            <w:noProof w:val="0"/>
            <w:lang w:val="bg-BG"/>
          </w:rPr>
          <w:lastRenderedPageBreak/>
          <m:t>a</m:t>
        </m:r>
      </m:oMath>
      <w:r w:rsidRPr="009072DA">
        <w:rPr>
          <w:noProof w:val="0"/>
          <w:lang w:val="bg-BG"/>
        </w:rPr>
        <w:tab/>
        <w:t>вертикалното разстояние между долния край на отвора, който се потапя най-напред в случай на накреняване, и водолинията на плавателния съд в изправено положение [m];</w:t>
      </w:r>
    </w:p>
    <w:p w:rsidR="00BF049A" w:rsidRPr="009072DA" w:rsidRDefault="004F13FC" w:rsidP="000526B5">
      <w:pPr>
        <w:pStyle w:val="EStiret"/>
        <w:rPr>
          <w:rFonts w:eastAsia="Calibri"/>
          <w:noProof w:val="0"/>
          <w:lang w:val="bg-BG"/>
        </w:rPr>
      </w:pPr>
      <m:oMath>
        <m:r>
          <w:rPr>
            <w:rFonts w:ascii="Cambria Math" w:eastAsia="Calibri" w:hAnsi="Cambria Math"/>
            <w:noProof w:val="0"/>
            <w:lang w:val="bg-BG"/>
          </w:rPr>
          <m:t>b</m:t>
        </m:r>
      </m:oMath>
      <w:r w:rsidRPr="009072DA">
        <w:rPr>
          <w:noProof w:val="0"/>
          <w:lang w:val="bg-BG"/>
        </w:rPr>
        <w:tab/>
        <w:t>разстоянието от същия отвор до центъра на плавателния съд [m];</w:t>
      </w:r>
    </w:p>
    <w:p w:rsidR="00BF049A" w:rsidRPr="009072DA" w:rsidRDefault="004F13FC" w:rsidP="000526B5">
      <w:pPr>
        <w:pStyle w:val="EStiret"/>
        <w:rPr>
          <w:rFonts w:eastAsia="Calibri"/>
          <w:noProof w:val="0"/>
          <w:lang w:val="bg-BG"/>
        </w:rPr>
      </w:pPr>
      <m:oMath>
        <m:r>
          <w:rPr>
            <w:rFonts w:ascii="Cambria Math" w:eastAsia="Calibri" w:hAnsi="Cambria Math"/>
            <w:noProof w:val="0"/>
            <w:lang w:val="bg-BG"/>
          </w:rPr>
          <m:t>H'</m:t>
        </m:r>
      </m:oMath>
      <w:r w:rsidRPr="009072DA">
        <w:rPr>
          <w:noProof w:val="0"/>
          <w:lang w:val="bg-BG"/>
        </w:rPr>
        <w:tab/>
        <w:t xml:space="preserve">идеалната странична височина </w:t>
      </w:r>
      <m:oMath>
        <m:sSup>
          <m:sSupPr>
            <m:ctrlPr>
              <w:rPr>
                <w:rFonts w:ascii="Cambria Math" w:eastAsia="Calibri" w:hAnsi="Cambria Math"/>
                <w:i/>
                <w:noProof w:val="0"/>
                <w:lang w:val="bg-BG"/>
              </w:rPr>
            </m:ctrlPr>
          </m:sSupPr>
          <m:e>
            <m:r>
              <w:rPr>
                <w:rFonts w:ascii="Cambria Math" w:eastAsia="Calibri" w:hAnsi="Cambria Math"/>
                <w:noProof w:val="0"/>
                <w:lang w:val="bg-BG"/>
              </w:rPr>
              <m:t>H</m:t>
            </m:r>
          </m:e>
          <m:sup>
            <m:r>
              <w:rPr>
                <w:rFonts w:ascii="Cambria Math" w:eastAsia="Calibri" w:hAnsi="Cambria Math"/>
                <w:noProof w:val="0"/>
                <w:lang w:val="bg-BG"/>
              </w:rPr>
              <m:t>'</m:t>
            </m:r>
          </m:sup>
        </m:sSup>
        <m:r>
          <w:rPr>
            <w:rFonts w:ascii="Cambria Math" w:eastAsia="Calibri" w:hAnsi="Cambria Math"/>
            <w:noProof w:val="0"/>
            <w:lang w:val="bg-BG"/>
          </w:rPr>
          <m:t xml:space="preserve">=H+ </m:t>
        </m:r>
        <m:f>
          <m:fPr>
            <m:ctrlPr>
              <w:rPr>
                <w:rFonts w:ascii="Cambria Math" w:eastAsia="Calibri" w:hAnsi="Cambria Math"/>
                <w:i/>
                <w:noProof w:val="0"/>
                <w:lang w:val="bg-BG"/>
              </w:rPr>
            </m:ctrlPr>
          </m:fPr>
          <m:num>
            <m:r>
              <w:rPr>
                <w:rFonts w:ascii="Cambria Math" w:eastAsia="Calibri" w:hAnsi="Cambria Math"/>
                <w:noProof w:val="0"/>
                <w:lang w:val="bg-BG"/>
              </w:rPr>
              <m:t>q</m:t>
            </m:r>
          </m:num>
          <m:den>
            <m:r>
              <w:rPr>
                <w:rFonts w:ascii="Cambria Math" w:eastAsia="Calibri" w:hAnsi="Cambria Math"/>
                <w:noProof w:val="0"/>
                <w:lang w:val="bg-BG"/>
              </w:rPr>
              <m:t xml:space="preserve">0,9 ∙L ∙ </m:t>
            </m:r>
            <m:sSub>
              <m:sSubPr>
                <m:ctrlPr>
                  <w:rPr>
                    <w:rFonts w:ascii="Cambria Math" w:eastAsia="Calibri" w:hAnsi="Cambria Math"/>
                    <w:i/>
                    <w:noProof w:val="0"/>
                    <w:lang w:val="bg-BG"/>
                  </w:rPr>
                </m:ctrlPr>
              </m:sSubPr>
              <m:e>
                <m:r>
                  <w:rPr>
                    <w:rFonts w:ascii="Cambria Math" w:eastAsia="Calibri" w:hAnsi="Cambria Math"/>
                    <w:noProof w:val="0"/>
                    <w:lang w:val="bg-BG"/>
                  </w:rPr>
                  <m:t>B</m:t>
                </m:r>
              </m:e>
              <m:sub>
                <m:r>
                  <w:rPr>
                    <w:rFonts w:ascii="Cambria Math" w:eastAsia="Calibri" w:hAnsi="Cambria Math"/>
                    <w:noProof w:val="0"/>
                    <w:lang w:val="bg-BG"/>
                  </w:rPr>
                  <m:t>WL</m:t>
                </m:r>
              </m:sub>
            </m:sSub>
          </m:den>
        </m:f>
        <m:r>
          <w:rPr>
            <w:rFonts w:ascii="Cambria Math" w:eastAsia="Calibri" w:hAnsi="Cambria Math"/>
            <w:noProof w:val="0"/>
            <w:lang w:val="bg-BG"/>
          </w:rPr>
          <m:t xml:space="preserve"> </m:t>
        </m:r>
        <m:d>
          <m:dPr>
            <m:begChr m:val="["/>
            <m:endChr m:val="]"/>
            <m:ctrlPr>
              <w:rPr>
                <w:rFonts w:ascii="Cambria Math" w:eastAsia="Calibri" w:hAnsi="Cambria Math"/>
                <w:i/>
                <w:noProof w:val="0"/>
                <w:lang w:val="bg-BG"/>
              </w:rPr>
            </m:ctrlPr>
          </m:dPr>
          <m:e>
            <m:r>
              <w:rPr>
                <w:rFonts w:ascii="Cambria Math" w:eastAsia="Calibri" w:hAnsi="Cambria Math"/>
                <w:noProof w:val="0"/>
                <w:lang w:val="bg-BG"/>
              </w:rPr>
              <m:t>m</m:t>
            </m:r>
          </m:e>
        </m:d>
        <m:r>
          <w:rPr>
            <w:rFonts w:ascii="Cambria Math" w:eastAsia="Calibri" w:hAnsi="Cambria Math"/>
            <w:noProof w:val="0"/>
            <w:lang w:val="bg-BG"/>
          </w:rPr>
          <m:t>;</m:t>
        </m:r>
      </m:oMath>
    </w:p>
    <w:p w:rsidR="00BF049A" w:rsidRPr="009072DA" w:rsidRDefault="004F13FC" w:rsidP="000526B5">
      <w:pPr>
        <w:pStyle w:val="EStiret"/>
        <w:rPr>
          <w:rFonts w:eastAsia="Calibri"/>
          <w:noProof w:val="0"/>
          <w:lang w:val="bg-BG"/>
        </w:rPr>
      </w:pPr>
      <m:oMath>
        <m:r>
          <w:rPr>
            <w:rFonts w:ascii="Cambria Math" w:eastAsia="Calibri" w:hAnsi="Cambria Math"/>
            <w:noProof w:val="0"/>
            <w:szCs w:val="16"/>
            <w:lang w:val="bg-BG"/>
          </w:rPr>
          <m:t>q</m:t>
        </m:r>
      </m:oMath>
      <w:r w:rsidRPr="009072DA">
        <w:rPr>
          <w:noProof w:val="0"/>
          <w:lang w:val="bg-BG"/>
        </w:rPr>
        <w:tab/>
        <w:t xml:space="preserve">сборът от обемите на палубните рубки, люковете, сандъкоподобните палубни надстройки и другите надстройки с максимална височина от 1,0 m над </w:t>
      </w:r>
      <m:oMath>
        <m:r>
          <w:rPr>
            <w:rFonts w:ascii="Cambria Math" w:eastAsia="Calibri" w:hAnsi="Cambria Math"/>
            <w:noProof w:val="0"/>
            <w:szCs w:val="16"/>
            <w:lang w:val="bg-BG"/>
          </w:rPr>
          <m:t>H</m:t>
        </m:r>
      </m:oMath>
      <w:r w:rsidRPr="009072DA">
        <w:rPr>
          <w:noProof w:val="0"/>
          <w:lang w:val="bg-BG"/>
        </w:rPr>
        <w:t xml:space="preserve"> или до най-ниския отвор в разглеждания обем, като за решаваща се приема най-ниската стойност. Частите от обемите, разположени в обхвата на </w:t>
      </w:r>
      <m:oMath>
        <m:r>
          <w:rPr>
            <w:rFonts w:ascii="Cambria Math" w:eastAsia="Calibri" w:hAnsi="Cambria Math"/>
            <w:noProof w:val="0"/>
            <w:szCs w:val="16"/>
            <w:lang w:val="bg-BG"/>
          </w:rPr>
          <m:t>0,05 L</m:t>
        </m:r>
      </m:oMath>
      <w:r w:rsidRPr="009072DA">
        <w:rPr>
          <w:noProof w:val="0"/>
          <w:lang w:val="bg-BG"/>
        </w:rPr>
        <w:t xml:space="preserve"> от краищата на плавателния съд не се вземат под внимание [m</w:t>
      </w:r>
      <w:r w:rsidRPr="009072DA">
        <w:rPr>
          <w:noProof w:val="0"/>
          <w:vertAlign w:val="superscript"/>
          <w:lang w:val="bg-BG"/>
        </w:rPr>
        <w:t>3</w:t>
      </w:r>
      <w:r w:rsidRPr="009072DA">
        <w:rPr>
          <w:noProof w:val="0"/>
          <w:lang w:val="bg-BG"/>
        </w:rPr>
        <w:t>].</w:t>
      </w:r>
    </w:p>
    <w:p w:rsidR="00BD3403" w:rsidRPr="009072DA" w:rsidRDefault="00BD3403" w:rsidP="00BF049A">
      <w:pPr>
        <w:pStyle w:val="ESch"/>
        <w:rPr>
          <w:rFonts w:eastAsia="Calibri" w:cs="Arial"/>
          <w:szCs w:val="18"/>
          <w:lang w:val="bg-BG"/>
        </w:rPr>
      </w:pPr>
    </w:p>
    <w:p w:rsidR="00BF049A" w:rsidRPr="009072DA" w:rsidRDefault="00BD3403" w:rsidP="00BF049A">
      <w:pPr>
        <w:pStyle w:val="ESch"/>
        <w:rPr>
          <w:rFonts w:eastAsia="Calibri" w:cs="Arial"/>
          <w:szCs w:val="18"/>
          <w:lang w:val="bg-BG"/>
        </w:rPr>
      </w:pPr>
      <w:r w:rsidRPr="009072DA">
        <w:rPr>
          <w:lang w:val="bg-BG"/>
        </w:rPr>
        <w:t>3.</w:t>
      </w:r>
      <w:r w:rsidRPr="009072DA">
        <w:rPr>
          <w:lang w:val="bg-BG"/>
        </w:rPr>
        <w:tab/>
        <w:t>Формула за приближение за I</w:t>
      </w:r>
    </w:p>
    <w:p w:rsidR="003F1CB4" w:rsidRPr="009072DA" w:rsidRDefault="003F1CB4" w:rsidP="003F1CB4">
      <w:pPr>
        <w:pStyle w:val="ESchpar"/>
        <w:rPr>
          <w:lang w:val="bg-BG"/>
        </w:rPr>
      </w:pPr>
    </w:p>
    <w:p w:rsidR="00BF049A" w:rsidRPr="009072DA" w:rsidRDefault="00BF049A" w:rsidP="003F1CB4">
      <w:pPr>
        <w:pStyle w:val="ESchpar"/>
        <w:rPr>
          <w:rFonts w:cs="Arial"/>
          <w:szCs w:val="18"/>
          <w:lang w:val="bg-BG"/>
        </w:rPr>
      </w:pPr>
      <w:r w:rsidRPr="009072DA">
        <w:rPr>
          <w:lang w:val="bg-BG"/>
        </w:rPr>
        <w:t>Когато липсва таблица за хидростатичните криви, стойността на напречния момент на инерцията I на площта на водолинията може да бъде определена по следните формули за приближение:</w:t>
      </w:r>
    </w:p>
    <w:p w:rsidR="00BF049A" w:rsidRPr="009072DA" w:rsidRDefault="005C7859" w:rsidP="003F1CB4">
      <w:pPr>
        <w:pStyle w:val="ESlet"/>
        <w:rPr>
          <w:lang w:val="bg-BG"/>
        </w:rPr>
      </w:pPr>
      <w:r w:rsidRPr="009072DA">
        <w:rPr>
          <w:lang w:val="bg-BG"/>
        </w:rPr>
        <w:t>a)</w:t>
      </w:r>
      <w:r w:rsidRPr="009072DA">
        <w:rPr>
          <w:lang w:val="bg-BG"/>
        </w:rPr>
        <w:tab/>
        <w:t>за плавателни съдове във формата на понтон</w:t>
      </w:r>
    </w:p>
    <w:p w:rsidR="003F1CB4" w:rsidRPr="009072DA" w:rsidRDefault="003F1CB4" w:rsidP="003F1CB4">
      <w:pPr>
        <w:pStyle w:val="ESlet"/>
        <w:rPr>
          <w:rFonts w:cs="Arial"/>
          <w:szCs w:val="18"/>
          <w:lang w:val="bg-BG"/>
        </w:rPr>
      </w:pPr>
    </w:p>
    <w:p w:rsidR="004F13FC" w:rsidRPr="009072DA" w:rsidRDefault="004F13FC" w:rsidP="004F13FC">
      <w:pPr>
        <w:pStyle w:val="ESlet"/>
        <w:ind w:left="0"/>
        <w:rPr>
          <w:rFonts w:cs="Arial"/>
          <w:szCs w:val="18"/>
          <w:lang w:val="bg-BG"/>
        </w:rPr>
      </w:pPr>
      <m:oMathPara>
        <m:oMath>
          <m:r>
            <w:rPr>
              <w:rFonts w:ascii="Cambria Math" w:hAnsi="Cambria Math" w:cs="Arial"/>
              <w:szCs w:val="18"/>
              <w:lang w:val="bg-BG"/>
            </w:rPr>
            <m:t xml:space="preserve">I= </m:t>
          </m:r>
          <m:f>
            <m:fPr>
              <m:ctrlPr>
                <w:rPr>
                  <w:rFonts w:ascii="Cambria Math" w:hAnsi="Cambria Math" w:cs="Arial"/>
                  <w:i/>
                  <w:szCs w:val="18"/>
                  <w:lang w:val="bg-BG"/>
                </w:rPr>
              </m:ctrlPr>
            </m:fPr>
            <m:num>
              <m:sSub>
                <m:sSubPr>
                  <m:ctrlPr>
                    <w:rPr>
                      <w:rFonts w:ascii="Cambria Math" w:hAnsi="Cambria Math" w:cs="Arial"/>
                      <w:i/>
                      <w:szCs w:val="18"/>
                      <w:lang w:val="bg-BG"/>
                    </w:rPr>
                  </m:ctrlPr>
                </m:sSubPr>
                <m:e>
                  <m:sSup>
                    <m:sSupPr>
                      <m:ctrlPr>
                        <w:rPr>
                          <w:rFonts w:ascii="Cambria Math" w:hAnsi="Cambria Math" w:cs="Arial"/>
                          <w:i/>
                          <w:szCs w:val="18"/>
                          <w:lang w:val="bg-BG"/>
                        </w:rPr>
                      </m:ctrlPr>
                    </m:sSupPr>
                    <m:e>
                      <m:r>
                        <w:rPr>
                          <w:rFonts w:ascii="Cambria Math" w:hAnsi="Cambria Math" w:cs="Arial"/>
                          <w:szCs w:val="18"/>
                          <w:lang w:val="bg-BG"/>
                        </w:rPr>
                        <m:t>B</m:t>
                      </m:r>
                    </m:e>
                    <m:sup>
                      <m:r>
                        <w:rPr>
                          <w:rFonts w:ascii="Cambria Math" w:hAnsi="Cambria Math" w:cs="Arial"/>
                          <w:szCs w:val="18"/>
                          <w:lang w:val="bg-BG"/>
                        </w:rPr>
                        <m:t>2</m:t>
                      </m:r>
                    </m:sup>
                  </m:sSup>
                </m:e>
                <m:sub>
                  <m:r>
                    <w:rPr>
                      <w:rFonts w:ascii="Cambria Math" w:hAnsi="Cambria Math" w:cs="Arial"/>
                      <w:szCs w:val="18"/>
                      <w:lang w:val="bg-BG"/>
                    </w:rPr>
                    <m:t>WL</m:t>
                  </m:r>
                </m:sub>
              </m:sSub>
              <m:r>
                <w:rPr>
                  <w:rFonts w:ascii="Cambria Math" w:hAnsi="Cambria Math" w:cs="Arial"/>
                  <w:szCs w:val="18"/>
                  <w:lang w:val="bg-BG"/>
                </w:rPr>
                <m:t xml:space="preserve"> ∙ ∀</m:t>
              </m:r>
            </m:num>
            <m:den>
              <m:d>
                <m:dPr>
                  <m:ctrlPr>
                    <w:rPr>
                      <w:rFonts w:ascii="Cambria Math" w:hAnsi="Cambria Math" w:cs="Arial"/>
                      <w:i/>
                      <w:szCs w:val="18"/>
                      <w:lang w:val="bg-BG"/>
                    </w:rPr>
                  </m:ctrlPr>
                </m:dPr>
                <m:e>
                  <m:r>
                    <w:rPr>
                      <w:rFonts w:ascii="Cambria Math" w:hAnsi="Cambria Math" w:cs="Arial"/>
                      <w:szCs w:val="18"/>
                      <w:lang w:val="bg-BG"/>
                    </w:rPr>
                    <m:t xml:space="preserve">12,5- </m:t>
                  </m:r>
                  <m:f>
                    <m:fPr>
                      <m:ctrlPr>
                        <w:rPr>
                          <w:rFonts w:ascii="Cambria Math" w:hAnsi="Cambria Math" w:cs="Arial"/>
                          <w:i/>
                          <w:szCs w:val="18"/>
                          <w:lang w:val="bg-BG"/>
                        </w:rPr>
                      </m:ctrlPr>
                    </m:fPr>
                    <m:num>
                      <m:sSub>
                        <m:sSubPr>
                          <m:ctrlPr>
                            <w:rPr>
                              <w:rFonts w:ascii="Cambria Math" w:hAnsi="Cambria Math" w:cs="Arial"/>
                              <w:i/>
                              <w:szCs w:val="18"/>
                              <w:lang w:val="bg-BG"/>
                            </w:rPr>
                          </m:ctrlPr>
                        </m:sSubPr>
                        <m:e>
                          <m:r>
                            <w:rPr>
                              <w:rFonts w:ascii="Cambria Math" w:hAnsi="Cambria Math" w:cs="Arial"/>
                              <w:szCs w:val="18"/>
                              <w:lang w:val="bg-BG"/>
                            </w:rPr>
                            <m:t>T</m:t>
                          </m:r>
                        </m:e>
                        <m:sub>
                          <m:r>
                            <w:rPr>
                              <w:rFonts w:ascii="Cambria Math" w:hAnsi="Cambria Math" w:cs="Arial"/>
                              <w:szCs w:val="18"/>
                              <w:lang w:val="bg-BG"/>
                            </w:rPr>
                            <m:t>m</m:t>
                          </m:r>
                        </m:sub>
                      </m:sSub>
                    </m:num>
                    <m:den>
                      <m:r>
                        <w:rPr>
                          <w:rFonts w:ascii="Cambria Math" w:hAnsi="Cambria Math" w:cs="Arial"/>
                          <w:szCs w:val="18"/>
                          <w:lang w:val="bg-BG"/>
                        </w:rPr>
                        <m:t>H</m:t>
                      </m:r>
                    </m:den>
                  </m:f>
                </m:e>
              </m:d>
              <m:r>
                <w:rPr>
                  <w:rFonts w:ascii="Cambria Math" w:hAnsi="Cambria Math" w:cs="Arial"/>
                  <w:szCs w:val="18"/>
                  <w:lang w:val="bg-BG"/>
                </w:rPr>
                <m:t xml:space="preserve"> ∙ </m:t>
              </m:r>
              <m:sSub>
                <m:sSubPr>
                  <m:ctrlPr>
                    <w:rPr>
                      <w:rFonts w:ascii="Cambria Math" w:hAnsi="Cambria Math" w:cs="Arial"/>
                      <w:i/>
                      <w:szCs w:val="18"/>
                      <w:lang w:val="bg-BG"/>
                    </w:rPr>
                  </m:ctrlPr>
                </m:sSubPr>
                <m:e>
                  <m:r>
                    <w:rPr>
                      <w:rFonts w:ascii="Cambria Math" w:hAnsi="Cambria Math" w:cs="Arial"/>
                      <w:szCs w:val="18"/>
                      <w:lang w:val="bg-BG"/>
                    </w:rPr>
                    <m:t>T</m:t>
                  </m:r>
                </m:e>
                <m:sub>
                  <m:r>
                    <w:rPr>
                      <w:rFonts w:ascii="Cambria Math" w:hAnsi="Cambria Math" w:cs="Arial"/>
                      <w:szCs w:val="18"/>
                      <w:lang w:val="bg-BG"/>
                    </w:rPr>
                    <m:t>m</m:t>
                  </m:r>
                </m:sub>
              </m:sSub>
            </m:den>
          </m:f>
          <m:r>
            <w:rPr>
              <w:rFonts w:ascii="Cambria Math" w:hAnsi="Cambria Math" w:cs="Arial"/>
              <w:szCs w:val="18"/>
              <w:lang w:val="bg-BG"/>
            </w:rPr>
            <m:t xml:space="preserve"> </m:t>
          </m:r>
          <m:d>
            <m:dPr>
              <m:begChr m:val="["/>
              <m:endChr m:val="]"/>
              <m:ctrlPr>
                <w:rPr>
                  <w:rFonts w:ascii="Cambria Math" w:hAnsi="Cambria Math" w:cs="Arial"/>
                  <w:i/>
                  <w:szCs w:val="18"/>
                  <w:lang w:val="bg-BG"/>
                </w:rPr>
              </m:ctrlPr>
            </m:dPr>
            <m:e>
              <m:sSup>
                <m:sSupPr>
                  <m:ctrlPr>
                    <w:rPr>
                      <w:rFonts w:ascii="Cambria Math" w:hAnsi="Cambria Math" w:cs="Arial"/>
                      <w:i/>
                      <w:szCs w:val="18"/>
                      <w:lang w:val="bg-BG"/>
                    </w:rPr>
                  </m:ctrlPr>
                </m:sSupPr>
                <m:e>
                  <m:r>
                    <w:rPr>
                      <w:rFonts w:ascii="Cambria Math" w:hAnsi="Cambria Math" w:cs="Arial"/>
                      <w:szCs w:val="18"/>
                      <w:lang w:val="bg-BG"/>
                    </w:rPr>
                    <m:t>m</m:t>
                  </m:r>
                </m:e>
                <m:sup>
                  <m:r>
                    <w:rPr>
                      <w:rFonts w:ascii="Cambria Math" w:hAnsi="Cambria Math" w:cs="Arial"/>
                      <w:szCs w:val="18"/>
                      <w:lang w:val="bg-BG"/>
                    </w:rPr>
                    <m:t>4</m:t>
                  </m:r>
                </m:sup>
              </m:sSup>
            </m:e>
          </m:d>
        </m:oMath>
      </m:oMathPara>
    </w:p>
    <w:p w:rsidR="003F1CB4" w:rsidRPr="009072DA" w:rsidRDefault="003F1CB4" w:rsidP="003F1CB4">
      <w:pPr>
        <w:pStyle w:val="ESlet"/>
        <w:rPr>
          <w:rFonts w:eastAsia="Calibri"/>
          <w:lang w:val="bg-BG"/>
        </w:rPr>
      </w:pPr>
    </w:p>
    <w:p w:rsidR="00BF049A" w:rsidRPr="009072DA" w:rsidRDefault="005C7859" w:rsidP="003F1CB4">
      <w:pPr>
        <w:pStyle w:val="ESlet"/>
        <w:rPr>
          <w:rFonts w:eastAsia="Calibri"/>
          <w:lang w:val="bg-BG"/>
        </w:rPr>
      </w:pPr>
      <w:r w:rsidRPr="009072DA">
        <w:rPr>
          <w:lang w:val="bg-BG"/>
        </w:rPr>
        <w:t>б)</w:t>
      </w:r>
      <w:r w:rsidRPr="009072DA">
        <w:rPr>
          <w:lang w:val="bg-BG"/>
        </w:rPr>
        <w:tab/>
        <w:t>за други плавателни съдове</w:t>
      </w:r>
    </w:p>
    <w:p w:rsidR="003F1CB4" w:rsidRPr="009072DA" w:rsidRDefault="003F1CB4" w:rsidP="003F1CB4">
      <w:pPr>
        <w:pStyle w:val="ESlet"/>
        <w:rPr>
          <w:rFonts w:eastAsia="Calibri"/>
          <w:lang w:val="bg-BG"/>
        </w:rPr>
      </w:pPr>
    </w:p>
    <w:p w:rsidR="001179E7" w:rsidRPr="009072DA" w:rsidRDefault="001179E7" w:rsidP="001179E7">
      <w:pPr>
        <w:pStyle w:val="ESlet"/>
        <w:ind w:left="0"/>
        <w:rPr>
          <w:rFonts w:cs="Arial"/>
          <w:szCs w:val="18"/>
          <w:lang w:val="bg-BG"/>
        </w:rPr>
      </w:pPr>
      <m:oMathPara>
        <m:oMath>
          <m:r>
            <w:rPr>
              <w:rFonts w:ascii="Cambria Math" w:hAnsi="Cambria Math" w:cs="Arial"/>
              <w:szCs w:val="18"/>
              <w:lang w:val="bg-BG"/>
            </w:rPr>
            <m:t xml:space="preserve">I= </m:t>
          </m:r>
          <m:f>
            <m:fPr>
              <m:ctrlPr>
                <w:rPr>
                  <w:rFonts w:ascii="Cambria Math" w:hAnsi="Cambria Math" w:cs="Arial"/>
                  <w:i/>
                  <w:szCs w:val="18"/>
                  <w:lang w:val="bg-BG"/>
                </w:rPr>
              </m:ctrlPr>
            </m:fPr>
            <m:num>
              <m:sSub>
                <m:sSubPr>
                  <m:ctrlPr>
                    <w:rPr>
                      <w:rFonts w:ascii="Cambria Math" w:hAnsi="Cambria Math" w:cs="Arial"/>
                      <w:i/>
                      <w:szCs w:val="18"/>
                      <w:lang w:val="bg-BG"/>
                    </w:rPr>
                  </m:ctrlPr>
                </m:sSubPr>
                <m:e>
                  <m:sSup>
                    <m:sSupPr>
                      <m:ctrlPr>
                        <w:rPr>
                          <w:rFonts w:ascii="Cambria Math" w:hAnsi="Cambria Math" w:cs="Arial"/>
                          <w:i/>
                          <w:szCs w:val="18"/>
                          <w:lang w:val="bg-BG"/>
                        </w:rPr>
                      </m:ctrlPr>
                    </m:sSupPr>
                    <m:e>
                      <m:r>
                        <w:rPr>
                          <w:rFonts w:ascii="Cambria Math" w:hAnsi="Cambria Math" w:cs="Arial"/>
                          <w:szCs w:val="18"/>
                          <w:lang w:val="bg-BG"/>
                        </w:rPr>
                        <m:t>B</m:t>
                      </m:r>
                    </m:e>
                    <m:sup>
                      <m:r>
                        <w:rPr>
                          <w:rFonts w:ascii="Cambria Math" w:hAnsi="Cambria Math" w:cs="Arial"/>
                          <w:szCs w:val="18"/>
                          <w:lang w:val="bg-BG"/>
                        </w:rPr>
                        <m:t>2</m:t>
                      </m:r>
                    </m:sup>
                  </m:sSup>
                </m:e>
                <m:sub>
                  <m:r>
                    <w:rPr>
                      <w:rFonts w:ascii="Cambria Math" w:hAnsi="Cambria Math" w:cs="Arial"/>
                      <w:szCs w:val="18"/>
                      <w:lang w:val="bg-BG"/>
                    </w:rPr>
                    <m:t>WL</m:t>
                  </m:r>
                </m:sub>
              </m:sSub>
              <m:r>
                <w:rPr>
                  <w:rFonts w:ascii="Cambria Math" w:hAnsi="Cambria Math" w:cs="Arial"/>
                  <w:szCs w:val="18"/>
                  <w:lang w:val="bg-BG"/>
                </w:rPr>
                <m:t xml:space="preserve"> ∙ ∀</m:t>
              </m:r>
            </m:num>
            <m:den>
              <m:d>
                <m:dPr>
                  <m:ctrlPr>
                    <w:rPr>
                      <w:rFonts w:ascii="Cambria Math" w:hAnsi="Cambria Math" w:cs="Arial"/>
                      <w:i/>
                      <w:szCs w:val="18"/>
                      <w:lang w:val="bg-BG"/>
                    </w:rPr>
                  </m:ctrlPr>
                </m:dPr>
                <m:e>
                  <m:r>
                    <w:rPr>
                      <w:rFonts w:ascii="Cambria Math" w:hAnsi="Cambria Math" w:cs="Arial"/>
                      <w:szCs w:val="18"/>
                      <w:lang w:val="bg-BG"/>
                    </w:rPr>
                    <m:t xml:space="preserve">12,7-1,2 ∙ </m:t>
                  </m:r>
                  <m:f>
                    <m:fPr>
                      <m:ctrlPr>
                        <w:rPr>
                          <w:rFonts w:ascii="Cambria Math" w:hAnsi="Cambria Math" w:cs="Arial"/>
                          <w:i/>
                          <w:szCs w:val="18"/>
                          <w:lang w:val="bg-BG"/>
                        </w:rPr>
                      </m:ctrlPr>
                    </m:fPr>
                    <m:num>
                      <m:sSub>
                        <m:sSubPr>
                          <m:ctrlPr>
                            <w:rPr>
                              <w:rFonts w:ascii="Cambria Math" w:hAnsi="Cambria Math" w:cs="Arial"/>
                              <w:i/>
                              <w:szCs w:val="18"/>
                              <w:lang w:val="bg-BG"/>
                            </w:rPr>
                          </m:ctrlPr>
                        </m:sSubPr>
                        <m:e>
                          <m:r>
                            <w:rPr>
                              <w:rFonts w:ascii="Cambria Math" w:hAnsi="Cambria Math" w:cs="Arial"/>
                              <w:szCs w:val="18"/>
                              <w:lang w:val="bg-BG"/>
                            </w:rPr>
                            <m:t>T</m:t>
                          </m:r>
                        </m:e>
                        <m:sub>
                          <m:r>
                            <w:rPr>
                              <w:rFonts w:ascii="Cambria Math" w:hAnsi="Cambria Math" w:cs="Arial"/>
                              <w:szCs w:val="18"/>
                              <w:lang w:val="bg-BG"/>
                            </w:rPr>
                            <m:t>m</m:t>
                          </m:r>
                        </m:sub>
                      </m:sSub>
                    </m:num>
                    <m:den>
                      <m:r>
                        <w:rPr>
                          <w:rFonts w:ascii="Cambria Math" w:hAnsi="Cambria Math" w:cs="Arial"/>
                          <w:szCs w:val="18"/>
                          <w:lang w:val="bg-BG"/>
                        </w:rPr>
                        <m:t>H</m:t>
                      </m:r>
                    </m:den>
                  </m:f>
                </m:e>
              </m:d>
              <m:r>
                <w:rPr>
                  <w:rFonts w:ascii="Cambria Math" w:hAnsi="Cambria Math" w:cs="Arial"/>
                  <w:szCs w:val="18"/>
                  <w:lang w:val="bg-BG"/>
                </w:rPr>
                <m:t xml:space="preserve"> ∙ </m:t>
              </m:r>
              <m:sSub>
                <m:sSubPr>
                  <m:ctrlPr>
                    <w:rPr>
                      <w:rFonts w:ascii="Cambria Math" w:hAnsi="Cambria Math" w:cs="Arial"/>
                      <w:i/>
                      <w:szCs w:val="18"/>
                      <w:lang w:val="bg-BG"/>
                    </w:rPr>
                  </m:ctrlPr>
                </m:sSubPr>
                <m:e>
                  <m:r>
                    <w:rPr>
                      <w:rFonts w:ascii="Cambria Math" w:hAnsi="Cambria Math" w:cs="Arial"/>
                      <w:szCs w:val="18"/>
                      <w:lang w:val="bg-BG"/>
                    </w:rPr>
                    <m:t>T</m:t>
                  </m:r>
                </m:e>
                <m:sub>
                  <m:r>
                    <w:rPr>
                      <w:rFonts w:ascii="Cambria Math" w:hAnsi="Cambria Math" w:cs="Arial"/>
                      <w:szCs w:val="18"/>
                      <w:lang w:val="bg-BG"/>
                    </w:rPr>
                    <m:t>m</m:t>
                  </m:r>
                </m:sub>
              </m:sSub>
            </m:den>
          </m:f>
          <m:r>
            <w:rPr>
              <w:rFonts w:ascii="Cambria Math" w:hAnsi="Cambria Math" w:cs="Arial"/>
              <w:szCs w:val="18"/>
              <w:lang w:val="bg-BG"/>
            </w:rPr>
            <m:t xml:space="preserve"> </m:t>
          </m:r>
          <m:d>
            <m:dPr>
              <m:begChr m:val="["/>
              <m:endChr m:val="]"/>
              <m:ctrlPr>
                <w:rPr>
                  <w:rFonts w:ascii="Cambria Math" w:hAnsi="Cambria Math" w:cs="Arial"/>
                  <w:i/>
                  <w:szCs w:val="18"/>
                  <w:lang w:val="bg-BG"/>
                </w:rPr>
              </m:ctrlPr>
            </m:dPr>
            <m:e>
              <m:sSup>
                <m:sSupPr>
                  <m:ctrlPr>
                    <w:rPr>
                      <w:rFonts w:ascii="Cambria Math" w:hAnsi="Cambria Math" w:cs="Arial"/>
                      <w:i/>
                      <w:szCs w:val="18"/>
                      <w:lang w:val="bg-BG"/>
                    </w:rPr>
                  </m:ctrlPr>
                </m:sSupPr>
                <m:e>
                  <m:r>
                    <w:rPr>
                      <w:rFonts w:ascii="Cambria Math" w:hAnsi="Cambria Math" w:cs="Arial"/>
                      <w:szCs w:val="18"/>
                      <w:lang w:val="bg-BG"/>
                    </w:rPr>
                    <m:t>m</m:t>
                  </m:r>
                </m:e>
                <m:sup>
                  <m:r>
                    <w:rPr>
                      <w:rFonts w:ascii="Cambria Math" w:hAnsi="Cambria Math" w:cs="Arial"/>
                      <w:szCs w:val="18"/>
                      <w:lang w:val="bg-BG"/>
                    </w:rPr>
                    <m:t>4</m:t>
                  </m:r>
                </m:sup>
              </m:sSup>
            </m:e>
          </m:d>
        </m:oMath>
      </m:oMathPara>
    </w:p>
    <w:p w:rsidR="00BF049A" w:rsidRPr="009072DA" w:rsidRDefault="00BF049A" w:rsidP="00BF049A">
      <w:pPr>
        <w:pStyle w:val="ESch"/>
        <w:rPr>
          <w:rFonts w:eastAsia="Calibri" w:cs="Arial"/>
          <w:szCs w:val="18"/>
          <w:lang w:val="bg-BG"/>
        </w:rPr>
      </w:pPr>
    </w:p>
    <w:p w:rsidR="00BD3403" w:rsidRPr="009072DA" w:rsidRDefault="00BD3403" w:rsidP="00BF049A">
      <w:pPr>
        <w:pStyle w:val="ESch"/>
        <w:rPr>
          <w:rFonts w:eastAsia="Calibri" w:cs="Arial"/>
          <w:szCs w:val="18"/>
          <w:lang w:val="bg-BG"/>
        </w:rPr>
      </w:pPr>
    </w:p>
    <w:p w:rsidR="00BF049A" w:rsidRPr="009072DA" w:rsidRDefault="00BF049A" w:rsidP="00BD3403">
      <w:pPr>
        <w:pStyle w:val="ES-Titre3"/>
        <w:rPr>
          <w:rFonts w:cs="Arial"/>
          <w:i/>
          <w:szCs w:val="18"/>
          <w:lang w:val="bg-BG"/>
        </w:rPr>
      </w:pPr>
      <w:bookmarkStart w:id="489" w:name="_Toc491854242"/>
      <w:bookmarkStart w:id="490" w:name="_Toc535827683"/>
      <w:r w:rsidRPr="009072DA">
        <w:rPr>
          <w:lang w:val="bg-BG"/>
        </w:rPr>
        <w:t>Член 27.04</w:t>
      </w:r>
      <w:r w:rsidRPr="009072DA">
        <w:rPr>
          <w:lang w:val="bg-BG"/>
        </w:rPr>
        <w:br/>
      </w:r>
      <w:r w:rsidRPr="009072DA">
        <w:rPr>
          <w:i/>
          <w:lang w:val="bg-BG"/>
        </w:rPr>
        <w:t>Процедура за оценка на устойчивостта на борда</w:t>
      </w:r>
      <w:bookmarkEnd w:id="489"/>
      <w:bookmarkEnd w:id="490"/>
    </w:p>
    <w:p w:rsidR="00BD3403" w:rsidRPr="009072DA" w:rsidRDefault="00BD3403" w:rsidP="00BF049A">
      <w:pPr>
        <w:pStyle w:val="ESch"/>
        <w:rPr>
          <w:lang w:val="bg-BG"/>
        </w:rPr>
      </w:pPr>
    </w:p>
    <w:p w:rsidR="00BF049A" w:rsidRPr="009072DA" w:rsidRDefault="00BF049A" w:rsidP="00BD3403">
      <w:pPr>
        <w:pStyle w:val="ESgauche"/>
        <w:rPr>
          <w:rFonts w:cs="Arial"/>
          <w:noProof w:val="0"/>
          <w:szCs w:val="18"/>
          <w:lang w:val="bg-BG"/>
        </w:rPr>
      </w:pPr>
      <w:r w:rsidRPr="009072DA">
        <w:rPr>
          <w:noProof w:val="0"/>
          <w:lang w:val="bg-BG"/>
        </w:rPr>
        <w:t>Процедурата за оценка на устойчивостта на борда може да бъде определена с документите, посочени в член 27.01, точка 2.</w:t>
      </w:r>
    </w:p>
    <w:p w:rsidR="00BF049A" w:rsidRPr="009072DA" w:rsidRDefault="00BF049A" w:rsidP="00973DAA">
      <w:pPr>
        <w:pStyle w:val="ESch"/>
        <w:rPr>
          <w:lang w:val="bg-BG"/>
        </w:rPr>
      </w:pPr>
    </w:p>
    <w:p w:rsidR="000526B5" w:rsidRPr="009072DA" w:rsidRDefault="000526B5" w:rsidP="00973DAA">
      <w:pPr>
        <w:pStyle w:val="ESch"/>
        <w:rPr>
          <w:lang w:val="bg-BG"/>
        </w:rPr>
      </w:pPr>
    </w:p>
    <w:p w:rsidR="00A71FF0" w:rsidRPr="009072DA" w:rsidRDefault="00A71FF0" w:rsidP="00973DAA">
      <w:pPr>
        <w:pStyle w:val="ESch"/>
        <w:rPr>
          <w:lang w:val="bg-BG"/>
        </w:rPr>
      </w:pPr>
      <w:r w:rsidRPr="009072DA">
        <w:rPr>
          <w:lang w:val="bg-BG"/>
        </w:rPr>
        <w:lastRenderedPageBreak/>
        <w:br w:type="page"/>
      </w:r>
    </w:p>
    <w:p w:rsidR="00A71FF0" w:rsidRPr="009072DA" w:rsidRDefault="00A71FF0" w:rsidP="00973DAA">
      <w:pPr>
        <w:pStyle w:val="ESch"/>
        <w:rPr>
          <w:lang w:val="bg-BG"/>
        </w:rPr>
      </w:pPr>
    </w:p>
    <w:p w:rsidR="00A71FF0" w:rsidRPr="009072DA" w:rsidRDefault="00A71FF0" w:rsidP="00973DAA">
      <w:pPr>
        <w:pStyle w:val="ESch"/>
        <w:rPr>
          <w:lang w:val="bg-BG"/>
        </w:rPr>
      </w:pPr>
    </w:p>
    <w:p w:rsidR="005B2F7E" w:rsidRPr="009072DA" w:rsidRDefault="005B2F7E" w:rsidP="00973DAA">
      <w:pPr>
        <w:pStyle w:val="ESch"/>
        <w:rPr>
          <w:lang w:val="bg-BG"/>
        </w:rPr>
      </w:pPr>
    </w:p>
    <w:p w:rsidR="005B2F7E" w:rsidRPr="009072DA" w:rsidRDefault="005B2F7E" w:rsidP="005B2F7E">
      <w:pPr>
        <w:pStyle w:val="ES-Titre2"/>
        <w:rPr>
          <w:szCs w:val="24"/>
        </w:rPr>
      </w:pPr>
      <w:bookmarkStart w:id="491" w:name="_Toc491854243"/>
      <w:bookmarkStart w:id="492" w:name="_Toc535827684"/>
      <w:r w:rsidRPr="009072DA">
        <w:lastRenderedPageBreak/>
        <w:t>Глава 28</w:t>
      </w:r>
      <w:r w:rsidRPr="009072DA">
        <w:br/>
      </w:r>
      <w:r w:rsidRPr="009072DA">
        <w:rPr>
          <w:sz w:val="22"/>
        </w:rPr>
        <w:t>Специални разпоредби по отношение на плавателни средства с дължина над 110 m</w:t>
      </w:r>
      <w:bookmarkEnd w:id="491"/>
      <w:bookmarkEnd w:id="492"/>
    </w:p>
    <w:p w:rsidR="005B2F7E" w:rsidRPr="009072DA" w:rsidRDefault="005B2F7E" w:rsidP="005B2F7E">
      <w:pPr>
        <w:rPr>
          <w:lang w:val="bg-BG"/>
        </w:rPr>
      </w:pPr>
    </w:p>
    <w:p w:rsidR="005B2F7E" w:rsidRPr="009072DA" w:rsidRDefault="005B2F7E" w:rsidP="005B2F7E">
      <w:pPr>
        <w:pStyle w:val="ES-Titre3"/>
        <w:rPr>
          <w:lang w:val="bg-BG"/>
        </w:rPr>
      </w:pPr>
      <w:bookmarkStart w:id="493" w:name="_Toc491854244"/>
      <w:bookmarkStart w:id="494" w:name="_Toc535827685"/>
      <w:r w:rsidRPr="009072DA">
        <w:rPr>
          <w:lang w:val="bg-BG"/>
        </w:rPr>
        <w:t>Член 28.01</w:t>
      </w:r>
      <w:r w:rsidRPr="009072DA">
        <w:rPr>
          <w:lang w:val="bg-BG"/>
        </w:rPr>
        <w:br/>
      </w:r>
      <w:r w:rsidRPr="009072DA">
        <w:rPr>
          <w:i/>
          <w:lang w:val="bg-BG"/>
        </w:rPr>
        <w:t>Прилагане на част II</w:t>
      </w:r>
      <w:bookmarkEnd w:id="493"/>
      <w:bookmarkEnd w:id="494"/>
    </w:p>
    <w:p w:rsidR="005B2F7E" w:rsidRPr="009072DA" w:rsidRDefault="005B2F7E" w:rsidP="005B2F7E">
      <w:pPr>
        <w:pStyle w:val="ESch"/>
        <w:rPr>
          <w:lang w:val="bg-BG"/>
        </w:rPr>
      </w:pPr>
    </w:p>
    <w:p w:rsidR="0090753B" w:rsidRPr="009072DA" w:rsidRDefault="0090753B" w:rsidP="0090753B">
      <w:pPr>
        <w:pStyle w:val="ESgauche"/>
        <w:rPr>
          <w:noProof w:val="0"/>
          <w:lang w:val="bg-BG"/>
        </w:rPr>
      </w:pPr>
      <w:r w:rsidRPr="009072DA">
        <w:rPr>
          <w:noProof w:val="0"/>
          <w:lang w:val="bg-BG"/>
        </w:rPr>
        <w:t xml:space="preserve">В допълнение към част II и III, членове 28.02—28.04 се прилагат по отношение на плавателни средства с дължина </w:t>
      </w:r>
      <m:oMath>
        <m:r>
          <w:rPr>
            <w:rFonts w:ascii="Cambria Math" w:hAnsi="Cambria Math"/>
            <w:noProof w:val="0"/>
            <w:lang w:val="bg-BG"/>
          </w:rPr>
          <m:t>L</m:t>
        </m:r>
      </m:oMath>
      <w:r w:rsidRPr="009072DA">
        <w:rPr>
          <w:noProof w:val="0"/>
          <w:lang w:val="bg-BG"/>
        </w:rPr>
        <w:t xml:space="preserve"> над 110 m.</w:t>
      </w:r>
    </w:p>
    <w:p w:rsidR="0090753B" w:rsidRPr="009072DA" w:rsidRDefault="0090753B" w:rsidP="0090753B">
      <w:pPr>
        <w:pStyle w:val="ESch"/>
        <w:rPr>
          <w:szCs w:val="20"/>
          <w:lang w:val="bg-BG"/>
        </w:rPr>
      </w:pPr>
    </w:p>
    <w:p w:rsidR="0090753B" w:rsidRPr="009072DA" w:rsidRDefault="0090753B" w:rsidP="0090753B">
      <w:pPr>
        <w:pStyle w:val="ESch"/>
        <w:rPr>
          <w:szCs w:val="20"/>
          <w:lang w:val="bg-BG"/>
        </w:rPr>
      </w:pPr>
    </w:p>
    <w:p w:rsidR="0090753B" w:rsidRPr="009072DA" w:rsidRDefault="0090753B" w:rsidP="0090753B">
      <w:pPr>
        <w:pStyle w:val="ES-Titre3"/>
        <w:rPr>
          <w:i/>
          <w:lang w:val="bg-BG"/>
        </w:rPr>
      </w:pPr>
      <w:bookmarkStart w:id="495" w:name="_Toc491854245"/>
      <w:bookmarkStart w:id="496" w:name="_Toc535827686"/>
      <w:r w:rsidRPr="009072DA">
        <w:rPr>
          <w:lang w:val="bg-BG"/>
        </w:rPr>
        <w:t>Член 28.02</w:t>
      </w:r>
      <w:r w:rsidRPr="009072DA">
        <w:rPr>
          <w:lang w:val="bg-BG"/>
        </w:rPr>
        <w:br/>
      </w:r>
      <w:r w:rsidRPr="009072DA">
        <w:rPr>
          <w:i/>
          <w:lang w:val="bg-BG"/>
        </w:rPr>
        <w:t>Якост</w:t>
      </w:r>
      <w:bookmarkEnd w:id="495"/>
      <w:bookmarkEnd w:id="496"/>
    </w:p>
    <w:p w:rsidR="0090753B" w:rsidRPr="009072DA" w:rsidRDefault="0090753B" w:rsidP="0090753B">
      <w:pPr>
        <w:pStyle w:val="ESgauche"/>
        <w:rPr>
          <w:noProof w:val="0"/>
          <w:lang w:val="bg-BG"/>
        </w:rPr>
      </w:pPr>
    </w:p>
    <w:p w:rsidR="0090753B" w:rsidRPr="009072DA" w:rsidRDefault="0090753B" w:rsidP="0090753B">
      <w:pPr>
        <w:pStyle w:val="ESgauche"/>
        <w:rPr>
          <w:noProof w:val="0"/>
          <w:lang w:val="bg-BG"/>
        </w:rPr>
      </w:pPr>
      <w:r w:rsidRPr="009072DA">
        <w:rPr>
          <w:noProof w:val="0"/>
          <w:lang w:val="bg-BG"/>
        </w:rPr>
        <w:t>Достатъчната якост на корпуса съгласно член 3.02, точка 1, буква а) (надлъжна, напречна и местна якост) се удостоверява с удостоверение, издадено от призната класификационна организация.</w:t>
      </w:r>
    </w:p>
    <w:p w:rsidR="0090753B" w:rsidRPr="009072DA" w:rsidRDefault="0090753B" w:rsidP="0090753B">
      <w:pPr>
        <w:pStyle w:val="ESch"/>
        <w:rPr>
          <w:rFonts w:cs="Arial"/>
          <w:szCs w:val="20"/>
          <w:lang w:val="bg-BG"/>
        </w:rPr>
      </w:pPr>
    </w:p>
    <w:p w:rsidR="0090753B" w:rsidRPr="009072DA" w:rsidRDefault="0090753B" w:rsidP="0090753B">
      <w:pPr>
        <w:pStyle w:val="ESch"/>
        <w:rPr>
          <w:rFonts w:cs="Arial"/>
          <w:szCs w:val="20"/>
          <w:lang w:val="bg-BG"/>
        </w:rPr>
      </w:pPr>
    </w:p>
    <w:p w:rsidR="0090753B" w:rsidRPr="009072DA" w:rsidRDefault="0090753B" w:rsidP="0090753B">
      <w:pPr>
        <w:pStyle w:val="ES-Titre3"/>
        <w:rPr>
          <w:i/>
          <w:lang w:val="bg-BG"/>
        </w:rPr>
      </w:pPr>
      <w:bookmarkStart w:id="497" w:name="_Toc491854246"/>
      <w:bookmarkStart w:id="498" w:name="_Toc535827687"/>
      <w:r w:rsidRPr="009072DA">
        <w:rPr>
          <w:i/>
          <w:lang w:val="bg-BG"/>
        </w:rPr>
        <w:t>Член 28.03</w:t>
      </w:r>
      <w:r w:rsidRPr="009072DA">
        <w:rPr>
          <w:lang w:val="bg-BG"/>
        </w:rPr>
        <w:br/>
      </w:r>
      <w:r w:rsidRPr="009072DA">
        <w:rPr>
          <w:i/>
          <w:lang w:val="bg-BG"/>
        </w:rPr>
        <w:t>Плавателност и устойчивост</w:t>
      </w:r>
      <w:bookmarkEnd w:id="497"/>
      <w:bookmarkEnd w:id="498"/>
    </w:p>
    <w:p w:rsidR="0090753B" w:rsidRPr="009072DA" w:rsidRDefault="0090753B" w:rsidP="0090753B">
      <w:pPr>
        <w:pStyle w:val="ESch"/>
        <w:rPr>
          <w:szCs w:val="20"/>
          <w:lang w:val="bg-BG"/>
        </w:rPr>
      </w:pPr>
    </w:p>
    <w:p w:rsidR="0090753B" w:rsidRPr="009072DA" w:rsidRDefault="0090753B" w:rsidP="0090753B">
      <w:pPr>
        <w:pStyle w:val="ESch"/>
        <w:rPr>
          <w:szCs w:val="20"/>
          <w:lang w:val="bg-BG"/>
        </w:rPr>
      </w:pPr>
      <w:r w:rsidRPr="009072DA">
        <w:rPr>
          <w:lang w:val="bg-BG"/>
        </w:rPr>
        <w:t>1.</w:t>
      </w:r>
      <w:r w:rsidRPr="009072DA">
        <w:rPr>
          <w:lang w:val="bg-BG"/>
        </w:rPr>
        <w:tab/>
        <w:t xml:space="preserve">Точки 2 — 10 се прилагат по отношение на плавателни съдове с дължина </w:t>
      </w:r>
      <m:oMath>
        <m:r>
          <w:rPr>
            <w:rFonts w:ascii="Cambria Math" w:hAnsi="Cambria Math"/>
            <w:szCs w:val="20"/>
            <w:lang w:val="bg-BG"/>
          </w:rPr>
          <m:t>L</m:t>
        </m:r>
      </m:oMath>
      <w:r w:rsidRPr="009072DA">
        <w:rPr>
          <w:lang w:val="bg-BG"/>
        </w:rPr>
        <w:t xml:space="preserve"> над 110 m, с изключение на пътническите плавателни съдове.</w:t>
      </w:r>
    </w:p>
    <w:p w:rsidR="0090753B" w:rsidRPr="009072DA" w:rsidRDefault="0090753B" w:rsidP="0090753B">
      <w:pPr>
        <w:pStyle w:val="ESch"/>
        <w:rPr>
          <w:szCs w:val="20"/>
          <w:lang w:val="bg-BG"/>
        </w:rPr>
      </w:pPr>
    </w:p>
    <w:p w:rsidR="0090753B" w:rsidRPr="009072DA" w:rsidRDefault="0090753B" w:rsidP="0090753B">
      <w:pPr>
        <w:pStyle w:val="ESch"/>
        <w:rPr>
          <w:szCs w:val="20"/>
          <w:lang w:val="bg-BG"/>
        </w:rPr>
      </w:pPr>
      <w:r w:rsidRPr="009072DA">
        <w:rPr>
          <w:lang w:val="bg-BG"/>
        </w:rPr>
        <w:t>2.</w:t>
      </w:r>
      <w:r w:rsidRPr="009072DA">
        <w:rPr>
          <w:lang w:val="bg-BG"/>
        </w:rPr>
        <w:tab/>
        <w:t>Основните стойности за изчисляването на устойчивостта, водоизместването на плавателния съд без товар и центъра на тежестта се определят чрез изпитване за накреняване, извършено в съответствие с приложение 1 към Резолюция MSC.267(85) на ИМО</w:t>
      </w:r>
      <w:r w:rsidRPr="009072DA">
        <w:rPr>
          <w:rStyle w:val="FootnoteReference"/>
          <w:lang w:val="bg-BG"/>
        </w:rPr>
        <w:footnoteReference w:id="24"/>
      </w:r>
      <w:r w:rsidRPr="009072DA">
        <w:rPr>
          <w:lang w:val="bg-BG"/>
        </w:rPr>
        <w:t>.</w:t>
      </w:r>
    </w:p>
    <w:p w:rsidR="0090753B" w:rsidRPr="009072DA" w:rsidRDefault="0090753B" w:rsidP="0090753B">
      <w:pPr>
        <w:pStyle w:val="ESch"/>
        <w:rPr>
          <w:szCs w:val="20"/>
          <w:lang w:val="bg-BG"/>
        </w:rPr>
      </w:pPr>
    </w:p>
    <w:p w:rsidR="0090753B" w:rsidRPr="009072DA" w:rsidRDefault="0090753B" w:rsidP="0090753B">
      <w:pPr>
        <w:pStyle w:val="ESch"/>
        <w:rPr>
          <w:rFonts w:cs="Arial"/>
          <w:szCs w:val="20"/>
          <w:lang w:val="bg-BG"/>
        </w:rPr>
      </w:pPr>
      <w:r w:rsidRPr="009072DA">
        <w:rPr>
          <w:lang w:val="bg-BG"/>
        </w:rPr>
        <w:t>3.</w:t>
      </w:r>
      <w:r w:rsidRPr="009072DA">
        <w:rPr>
          <w:lang w:val="bg-BG"/>
        </w:rPr>
        <w:tab/>
        <w:t>Заявителят доказва чрез изчисление, че устойчивостта в повредено състояние на плавателния съд е подходяща. Изчислението на крайното състояние на наводняване следва да се основава на метода на „изгубена плавателност“, а междинните състояния на наводняване следва да се изчисляват въз основа на метода на „добавена маса“. Всички изчисления трябва да се правят до максималния диферент и газене.</w:t>
      </w:r>
    </w:p>
    <w:p w:rsidR="0090753B" w:rsidRPr="009072DA" w:rsidRDefault="0090753B" w:rsidP="0090753B">
      <w:pPr>
        <w:pStyle w:val="ESchpar"/>
        <w:rPr>
          <w:lang w:val="bg-BG"/>
        </w:rPr>
      </w:pPr>
    </w:p>
    <w:p w:rsidR="0090753B" w:rsidRPr="009072DA" w:rsidRDefault="0090753B" w:rsidP="0090753B">
      <w:pPr>
        <w:pStyle w:val="ESchpar"/>
        <w:rPr>
          <w:lang w:val="bg-BG"/>
        </w:rPr>
      </w:pPr>
      <w:r w:rsidRPr="009072DA">
        <w:rPr>
          <w:lang w:val="bg-BG"/>
        </w:rPr>
        <w:t>Достатъчната плавателност и устойчивост на плавателния съд в случай на нахлуване на вода се доказва с товар, съответстващ на максималното му газене и равномерно разпределен във всички трюмове, както и с максимални запаси и напълно зареден с гориво.</w:t>
      </w:r>
    </w:p>
    <w:p w:rsidR="0090753B" w:rsidRPr="009072DA" w:rsidRDefault="0090753B" w:rsidP="0090753B">
      <w:pPr>
        <w:pStyle w:val="ESchpar"/>
        <w:rPr>
          <w:lang w:val="bg-BG"/>
        </w:rPr>
      </w:pPr>
    </w:p>
    <w:p w:rsidR="0090753B" w:rsidRPr="009072DA" w:rsidRDefault="0090753B" w:rsidP="0090753B">
      <w:pPr>
        <w:pStyle w:val="ESchpar"/>
        <w:rPr>
          <w:lang w:val="bg-BG"/>
        </w:rPr>
      </w:pPr>
      <w:r w:rsidRPr="009072DA">
        <w:rPr>
          <w:lang w:val="bg-BG"/>
        </w:rPr>
        <w:t>При разнородни товари изчисляването на устойчивостта се извършва за най-неблагоприятното състояние на натоварване. Изчисляването на тази устойчивост се извършва на борда.</w:t>
      </w:r>
    </w:p>
    <w:p w:rsidR="0090753B" w:rsidRPr="009072DA" w:rsidRDefault="0090753B" w:rsidP="0090753B">
      <w:pPr>
        <w:pStyle w:val="ESchpar"/>
        <w:rPr>
          <w:lang w:val="bg-BG"/>
        </w:rPr>
      </w:pPr>
    </w:p>
    <w:p w:rsidR="0090753B" w:rsidRPr="009072DA" w:rsidRDefault="0090753B" w:rsidP="0090753B">
      <w:pPr>
        <w:pStyle w:val="ESchpar"/>
        <w:rPr>
          <w:lang w:val="bg-BG"/>
        </w:rPr>
      </w:pPr>
      <w:r w:rsidRPr="009072DA">
        <w:rPr>
          <w:lang w:val="bg-BG"/>
        </w:rPr>
        <w:t>За тази цел математическото доказателство за достатъчна устойчивост се определя за междинните етапи на наводняване (25 %, 50 % и 75 % от крайния етап на наводняване и, където е целесъобразно, за етапа, непосредствено предхождащ напречното равновесие) и за крайния етап на наводняване, при условията на натоварване, посочени по-горе.</w:t>
      </w:r>
    </w:p>
    <w:p w:rsidR="00894C4D" w:rsidRPr="009072DA" w:rsidRDefault="00894C4D" w:rsidP="0090753B">
      <w:pPr>
        <w:pStyle w:val="ESch"/>
        <w:rPr>
          <w:szCs w:val="20"/>
          <w:lang w:val="bg-BG"/>
        </w:rPr>
      </w:pPr>
    </w:p>
    <w:p w:rsidR="0090753B" w:rsidRPr="009072DA" w:rsidRDefault="0090753B" w:rsidP="0090753B">
      <w:pPr>
        <w:pStyle w:val="ESch"/>
        <w:rPr>
          <w:szCs w:val="20"/>
          <w:lang w:val="bg-BG"/>
        </w:rPr>
      </w:pPr>
      <w:r w:rsidRPr="009072DA">
        <w:rPr>
          <w:lang w:val="bg-BG"/>
        </w:rPr>
        <w:t>4.</w:t>
      </w:r>
      <w:r w:rsidRPr="009072DA">
        <w:rPr>
          <w:lang w:val="bg-BG"/>
        </w:rPr>
        <w:tab/>
        <w:t>При повредено състояние на кораба се вземат предвид следните допускания:</w:t>
      </w:r>
    </w:p>
    <w:p w:rsidR="0090753B" w:rsidRPr="009072DA" w:rsidRDefault="005C7859" w:rsidP="00894C4D">
      <w:pPr>
        <w:pStyle w:val="ESlet"/>
        <w:rPr>
          <w:lang w:val="bg-BG"/>
        </w:rPr>
      </w:pPr>
      <w:r w:rsidRPr="009072DA">
        <w:rPr>
          <w:lang w:val="bg-BG"/>
        </w:rPr>
        <w:t>a)</w:t>
      </w:r>
      <w:r w:rsidRPr="009072DA">
        <w:rPr>
          <w:lang w:val="bg-BG"/>
        </w:rPr>
        <w:tab/>
        <w:t>Размер на повредата по борда:</w:t>
      </w:r>
    </w:p>
    <w:p w:rsidR="0090753B" w:rsidRPr="009072DA" w:rsidRDefault="00894C4D" w:rsidP="00894C4D">
      <w:pPr>
        <w:pStyle w:val="ESletpar"/>
        <w:rPr>
          <w:lang w:val="bg-BG"/>
        </w:rPr>
      </w:pPr>
      <w:r w:rsidRPr="009072DA">
        <w:rPr>
          <w:lang w:val="bg-BG"/>
        </w:rPr>
        <w:t>по протежение на надлъжната ос:</w:t>
      </w:r>
      <w:r w:rsidRPr="009072DA">
        <w:rPr>
          <w:lang w:val="bg-BG"/>
        </w:rPr>
        <w:tab/>
        <w:t xml:space="preserve">не по-малко от 0,10 </w:t>
      </w:r>
      <m:oMath>
        <m:r>
          <w:rPr>
            <w:rFonts w:ascii="Cambria Math" w:hAnsi="Cambria Math"/>
            <w:lang w:val="bg-BG"/>
          </w:rPr>
          <m:t xml:space="preserve">L </m:t>
        </m:r>
      </m:oMath>
      <w:r w:rsidRPr="009072DA">
        <w:rPr>
          <w:lang w:val="bg-BG"/>
        </w:rPr>
        <w:t>,</w:t>
      </w:r>
    </w:p>
    <w:p w:rsidR="0090753B" w:rsidRPr="009072DA" w:rsidRDefault="00894C4D" w:rsidP="00894C4D">
      <w:pPr>
        <w:pStyle w:val="ESletpar"/>
        <w:rPr>
          <w:lang w:val="bg-BG"/>
        </w:rPr>
      </w:pPr>
      <w:r w:rsidRPr="009072DA">
        <w:rPr>
          <w:lang w:val="bg-BG"/>
        </w:rPr>
        <w:t>по протежение на напречната ос:</w:t>
      </w:r>
      <w:r w:rsidRPr="009072DA">
        <w:rPr>
          <w:lang w:val="bg-BG"/>
        </w:rPr>
        <w:tab/>
        <w:t>0,59 m,</w:t>
      </w:r>
    </w:p>
    <w:p w:rsidR="0090753B" w:rsidRPr="009072DA" w:rsidRDefault="00894C4D" w:rsidP="00894C4D">
      <w:pPr>
        <w:pStyle w:val="ESletpar"/>
        <w:rPr>
          <w:lang w:val="bg-BG"/>
        </w:rPr>
      </w:pPr>
      <w:r w:rsidRPr="009072DA">
        <w:rPr>
          <w:lang w:val="bg-BG"/>
        </w:rPr>
        <w:t>по вертикалата:</w:t>
      </w:r>
      <w:r w:rsidRPr="009072DA">
        <w:rPr>
          <w:lang w:val="bg-BG"/>
        </w:rPr>
        <w:tab/>
        <w:t>от дъното нагоре без ограничения.</w:t>
      </w:r>
    </w:p>
    <w:p w:rsidR="00894C4D" w:rsidRPr="009072DA" w:rsidRDefault="00894C4D" w:rsidP="00894C4D">
      <w:pPr>
        <w:pStyle w:val="ESlet"/>
        <w:rPr>
          <w:lang w:val="bg-BG"/>
        </w:rPr>
      </w:pPr>
    </w:p>
    <w:p w:rsidR="00894C4D" w:rsidRPr="009072DA" w:rsidRDefault="00894C4D" w:rsidP="00894C4D">
      <w:pPr>
        <w:pStyle w:val="ESlet"/>
        <w:rPr>
          <w:lang w:val="bg-BG"/>
        </w:rPr>
      </w:pPr>
      <w:r w:rsidRPr="009072DA">
        <w:rPr>
          <w:lang w:val="bg-BG"/>
        </w:rPr>
        <w:br w:type="page"/>
      </w:r>
    </w:p>
    <w:p w:rsidR="0090753B" w:rsidRPr="009072DA" w:rsidRDefault="005C7859" w:rsidP="00894C4D">
      <w:pPr>
        <w:pStyle w:val="ESlet"/>
        <w:rPr>
          <w:lang w:val="bg-BG"/>
        </w:rPr>
      </w:pPr>
      <w:r w:rsidRPr="009072DA">
        <w:rPr>
          <w:lang w:val="bg-BG"/>
        </w:rPr>
        <w:lastRenderedPageBreak/>
        <w:t>б)</w:t>
      </w:r>
      <w:r w:rsidRPr="009072DA">
        <w:rPr>
          <w:lang w:val="bg-BG"/>
        </w:rPr>
        <w:tab/>
        <w:t>Размер на повредата по дъното:</w:t>
      </w:r>
    </w:p>
    <w:p w:rsidR="0090753B" w:rsidRPr="009072DA" w:rsidRDefault="00894C4D" w:rsidP="00894C4D">
      <w:pPr>
        <w:pStyle w:val="ESletpar"/>
        <w:rPr>
          <w:lang w:val="bg-BG"/>
        </w:rPr>
      </w:pPr>
      <w:r w:rsidRPr="009072DA">
        <w:rPr>
          <w:lang w:val="bg-BG"/>
        </w:rPr>
        <w:t>по протежение на надлъжната ос:</w:t>
      </w:r>
      <w:r w:rsidRPr="009072DA">
        <w:rPr>
          <w:lang w:val="bg-BG"/>
        </w:rPr>
        <w:tab/>
        <w:t xml:space="preserve">не по-малко от </w:t>
      </w:r>
      <m:oMath>
        <m:r>
          <w:rPr>
            <w:rFonts w:ascii="Cambria Math" w:hAnsi="Cambria Math"/>
            <w:lang w:val="bg-BG"/>
          </w:rPr>
          <m:t>0,10 L</m:t>
        </m:r>
      </m:oMath>
      <w:r w:rsidRPr="009072DA">
        <w:rPr>
          <w:lang w:val="bg-BG"/>
        </w:rPr>
        <w:t>,</w:t>
      </w:r>
    </w:p>
    <w:p w:rsidR="0090753B" w:rsidRPr="009072DA" w:rsidRDefault="00894C4D" w:rsidP="00894C4D">
      <w:pPr>
        <w:pStyle w:val="ESletpar"/>
        <w:rPr>
          <w:lang w:val="bg-BG"/>
        </w:rPr>
      </w:pPr>
      <w:r w:rsidRPr="009072DA">
        <w:rPr>
          <w:lang w:val="bg-BG"/>
        </w:rPr>
        <w:t>по протежение на напречната ос:</w:t>
      </w:r>
      <w:r w:rsidRPr="009072DA">
        <w:rPr>
          <w:lang w:val="bg-BG"/>
        </w:rPr>
        <w:tab/>
        <w:t>3,00 m,</w:t>
      </w:r>
    </w:p>
    <w:p w:rsidR="0090753B" w:rsidRPr="009072DA" w:rsidRDefault="00894C4D" w:rsidP="00894C4D">
      <w:pPr>
        <w:pStyle w:val="ESletpar"/>
        <w:rPr>
          <w:lang w:val="bg-BG"/>
        </w:rPr>
      </w:pPr>
      <w:r w:rsidRPr="009072DA">
        <w:rPr>
          <w:lang w:val="bg-BG"/>
        </w:rPr>
        <w:t>по вертикалата:</w:t>
      </w:r>
      <w:r w:rsidRPr="009072DA">
        <w:rPr>
          <w:lang w:val="bg-BG"/>
        </w:rPr>
        <w:tab/>
        <w:t>0,39 m от основата нагоре, без да се брои утайникът.</w:t>
      </w:r>
    </w:p>
    <w:p w:rsidR="0090753B" w:rsidRPr="009072DA" w:rsidRDefault="005C7859" w:rsidP="00894C4D">
      <w:pPr>
        <w:pStyle w:val="ESlet"/>
        <w:rPr>
          <w:lang w:val="bg-BG"/>
        </w:rPr>
      </w:pPr>
      <w:r w:rsidRPr="009072DA">
        <w:rPr>
          <w:lang w:val="bg-BG"/>
        </w:rPr>
        <w:t>в)</w:t>
      </w:r>
      <w:r w:rsidRPr="009072DA">
        <w:rPr>
          <w:lang w:val="bg-BG"/>
        </w:rPr>
        <w:tab/>
        <w:t>Всички прегради в повреденото помещение се смятат за повредени, което означава, че разделянето на отсеци се избира така, че плавателният съд да остане на вода след наводняване на два или повече съседни отсека по дължина. За главното машинно отделение се взема предвид само стандартът с един отсек, т.е. крайните прегради на машинното отделение се смятат за неповредени.</w:t>
      </w:r>
    </w:p>
    <w:p w:rsidR="0090753B" w:rsidRPr="009072DA" w:rsidRDefault="0090753B" w:rsidP="00894C4D">
      <w:pPr>
        <w:pStyle w:val="ESletpar"/>
        <w:rPr>
          <w:rFonts w:cs="Arial"/>
          <w:lang w:val="bg-BG"/>
        </w:rPr>
      </w:pPr>
      <w:r w:rsidRPr="009072DA">
        <w:rPr>
          <w:lang w:val="bg-BG"/>
        </w:rPr>
        <w:t>При повреда на дъното съседните напречни отсеци се разглеждат като наводнени.</w:t>
      </w:r>
    </w:p>
    <w:p w:rsidR="0090753B" w:rsidRPr="009072DA" w:rsidRDefault="0029453D" w:rsidP="00894C4D">
      <w:pPr>
        <w:pStyle w:val="ESlet"/>
        <w:rPr>
          <w:lang w:val="bg-BG"/>
        </w:rPr>
      </w:pPr>
      <w:r w:rsidRPr="009072DA">
        <w:rPr>
          <w:lang w:val="bg-BG"/>
        </w:rPr>
        <w:t>г)</w:t>
      </w:r>
      <w:r w:rsidRPr="009072DA">
        <w:rPr>
          <w:lang w:val="bg-BG"/>
        </w:rPr>
        <w:tab/>
        <w:t>Проницаемост</w:t>
      </w:r>
    </w:p>
    <w:p w:rsidR="0090753B" w:rsidRPr="009072DA" w:rsidRDefault="0090753B" w:rsidP="00894C4D">
      <w:pPr>
        <w:pStyle w:val="ESletpar"/>
        <w:rPr>
          <w:lang w:val="bg-BG"/>
        </w:rPr>
      </w:pPr>
      <w:r w:rsidRPr="009072DA">
        <w:rPr>
          <w:lang w:val="bg-BG"/>
        </w:rPr>
        <w:t>Проницаемостта се приема за 95 %.</w:t>
      </w:r>
    </w:p>
    <w:p w:rsidR="0090753B" w:rsidRPr="009072DA" w:rsidRDefault="0090753B" w:rsidP="00894C4D">
      <w:pPr>
        <w:pStyle w:val="ESletpar"/>
        <w:rPr>
          <w:lang w:val="bg-BG"/>
        </w:rPr>
      </w:pPr>
      <w:r w:rsidRPr="009072DA">
        <w:rPr>
          <w:lang w:val="bg-BG"/>
        </w:rPr>
        <w:t>Ако изчислението докаже, че средната проницаемост на даден отсек е по-малка от 95 %, може да се използва изчислената стойност.</w:t>
      </w:r>
    </w:p>
    <w:p w:rsidR="0090753B" w:rsidRPr="009072DA" w:rsidRDefault="0090753B" w:rsidP="00894C4D">
      <w:pPr>
        <w:pStyle w:val="ESletpar"/>
        <w:rPr>
          <w:lang w:val="bg-BG"/>
        </w:rPr>
      </w:pPr>
      <w:r w:rsidRPr="009072DA">
        <w:rPr>
          <w:lang w:val="bg-BG"/>
        </w:rPr>
        <w:t>Използваните стойности не трябва да бъдат по-малки от:</w:t>
      </w:r>
    </w:p>
    <w:p w:rsidR="00241CDC" w:rsidRPr="009072DA" w:rsidRDefault="00241CDC" w:rsidP="00241CDC">
      <w:pPr>
        <w:pStyle w:val="ESch"/>
        <w:rPr>
          <w:lang w:val="bg-BG"/>
        </w:rPr>
      </w:pPr>
    </w:p>
    <w:tbl>
      <w:tblPr>
        <w:tblW w:w="0" w:type="auto"/>
        <w:tblInd w:w="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7"/>
        <w:gridCol w:w="1418"/>
      </w:tblGrid>
      <w:tr w:rsidR="00241CDC" w:rsidRPr="009072DA" w:rsidTr="00DB6EC2">
        <w:tc>
          <w:tcPr>
            <w:tcW w:w="6747" w:type="dxa"/>
            <w:shd w:val="clear" w:color="auto" w:fill="auto"/>
            <w:vAlign w:val="center"/>
          </w:tcPr>
          <w:p w:rsidR="00241CDC" w:rsidRPr="009072DA" w:rsidRDefault="00241CDC" w:rsidP="00DB6EC2">
            <w:pPr>
              <w:pStyle w:val="ESletpar"/>
              <w:spacing w:after="60"/>
              <w:ind w:left="0"/>
              <w:rPr>
                <w:rFonts w:eastAsia="Batang"/>
                <w:lang w:val="bg-BG"/>
              </w:rPr>
            </w:pPr>
            <w:r w:rsidRPr="009072DA">
              <w:rPr>
                <w:lang w:val="bg-BG"/>
              </w:rPr>
              <w:t>Машинни и оперативните рубки:</w:t>
            </w:r>
          </w:p>
        </w:tc>
        <w:tc>
          <w:tcPr>
            <w:tcW w:w="1418" w:type="dxa"/>
            <w:shd w:val="clear" w:color="auto" w:fill="auto"/>
            <w:vAlign w:val="center"/>
          </w:tcPr>
          <w:p w:rsidR="00241CDC" w:rsidRPr="009072DA" w:rsidRDefault="00241CDC" w:rsidP="00DA4114">
            <w:pPr>
              <w:pStyle w:val="ESletpar"/>
              <w:spacing w:after="60"/>
              <w:ind w:left="0"/>
              <w:jc w:val="center"/>
              <w:rPr>
                <w:rFonts w:eastAsia="Batang"/>
                <w:lang w:val="bg-BG"/>
              </w:rPr>
            </w:pPr>
            <w:r w:rsidRPr="009072DA">
              <w:rPr>
                <w:lang w:val="bg-BG"/>
              </w:rPr>
              <w:t>85 %</w:t>
            </w:r>
          </w:p>
        </w:tc>
      </w:tr>
      <w:tr w:rsidR="00241CDC" w:rsidRPr="009072DA" w:rsidTr="00DB6EC2">
        <w:tc>
          <w:tcPr>
            <w:tcW w:w="6747" w:type="dxa"/>
            <w:shd w:val="clear" w:color="auto" w:fill="auto"/>
            <w:vAlign w:val="center"/>
          </w:tcPr>
          <w:p w:rsidR="00241CDC" w:rsidRPr="009072DA" w:rsidRDefault="00241CDC" w:rsidP="00DB6EC2">
            <w:pPr>
              <w:pStyle w:val="ESletpar"/>
              <w:spacing w:after="60"/>
              <w:ind w:left="0"/>
              <w:rPr>
                <w:rFonts w:eastAsia="Batang"/>
                <w:lang w:val="bg-BG"/>
              </w:rPr>
            </w:pPr>
            <w:r w:rsidRPr="009072DA">
              <w:rPr>
                <w:lang w:val="bg-BG"/>
              </w:rPr>
              <w:t>Товарни трюмове:</w:t>
            </w:r>
          </w:p>
        </w:tc>
        <w:tc>
          <w:tcPr>
            <w:tcW w:w="1418" w:type="dxa"/>
            <w:shd w:val="clear" w:color="auto" w:fill="auto"/>
            <w:vAlign w:val="center"/>
          </w:tcPr>
          <w:p w:rsidR="00241CDC" w:rsidRPr="009072DA" w:rsidRDefault="00241CDC" w:rsidP="00DA4114">
            <w:pPr>
              <w:pStyle w:val="ESletpar"/>
              <w:spacing w:after="60"/>
              <w:ind w:left="0"/>
              <w:jc w:val="center"/>
              <w:rPr>
                <w:rFonts w:eastAsia="Batang"/>
                <w:lang w:val="bg-BG"/>
              </w:rPr>
            </w:pPr>
            <w:r w:rsidRPr="009072DA">
              <w:rPr>
                <w:lang w:val="bg-BG"/>
              </w:rPr>
              <w:t>70 %</w:t>
            </w:r>
          </w:p>
        </w:tc>
      </w:tr>
      <w:tr w:rsidR="00241CDC" w:rsidRPr="009072DA" w:rsidTr="00DB6EC2">
        <w:tc>
          <w:tcPr>
            <w:tcW w:w="6747" w:type="dxa"/>
            <w:shd w:val="clear" w:color="auto" w:fill="auto"/>
            <w:vAlign w:val="center"/>
          </w:tcPr>
          <w:p w:rsidR="00241CDC" w:rsidRPr="009072DA" w:rsidRDefault="00241CDC" w:rsidP="00DB6EC2">
            <w:pPr>
              <w:pStyle w:val="ESletpar"/>
              <w:spacing w:after="60"/>
              <w:ind w:left="0"/>
              <w:rPr>
                <w:rFonts w:eastAsia="Batang"/>
                <w:lang w:val="bg-BG"/>
              </w:rPr>
            </w:pPr>
            <w:r w:rsidRPr="009072DA">
              <w:rPr>
                <w:lang w:val="bg-BG"/>
              </w:rPr>
              <w:t>Двойни дъна, горивни резервоари, баластни резервоари и други в зависимост от това дали според предназначението им те се приемат за пълни или празни при плавателен съд, плаващ при максимално допустимо газене</w:t>
            </w:r>
          </w:p>
        </w:tc>
        <w:tc>
          <w:tcPr>
            <w:tcW w:w="1418" w:type="dxa"/>
            <w:shd w:val="clear" w:color="auto" w:fill="auto"/>
            <w:vAlign w:val="center"/>
          </w:tcPr>
          <w:p w:rsidR="00241CDC" w:rsidRPr="009072DA" w:rsidRDefault="00241CDC" w:rsidP="00DA4114">
            <w:pPr>
              <w:pStyle w:val="ESletpar"/>
              <w:spacing w:after="60"/>
              <w:ind w:left="0"/>
              <w:jc w:val="center"/>
              <w:rPr>
                <w:rFonts w:eastAsia="Batang"/>
                <w:lang w:val="bg-BG"/>
              </w:rPr>
            </w:pPr>
            <w:r w:rsidRPr="009072DA">
              <w:rPr>
                <w:lang w:val="bg-BG"/>
              </w:rPr>
              <w:t>0 или 95 %.</w:t>
            </w:r>
          </w:p>
        </w:tc>
      </w:tr>
    </w:tbl>
    <w:p w:rsidR="00241CDC" w:rsidRPr="009072DA" w:rsidRDefault="00241CDC" w:rsidP="00241CDC">
      <w:pPr>
        <w:pStyle w:val="ESch"/>
        <w:rPr>
          <w:lang w:val="bg-BG"/>
        </w:rPr>
      </w:pPr>
    </w:p>
    <w:p w:rsidR="0090753B" w:rsidRPr="009072DA" w:rsidRDefault="0029453D" w:rsidP="00894C4D">
      <w:pPr>
        <w:pStyle w:val="ESlet"/>
        <w:rPr>
          <w:rFonts w:cs="Arial"/>
          <w:lang w:val="bg-BG"/>
        </w:rPr>
      </w:pPr>
      <w:r w:rsidRPr="009072DA">
        <w:rPr>
          <w:lang w:val="bg-BG"/>
        </w:rPr>
        <w:t>д)</w:t>
      </w:r>
      <w:r w:rsidRPr="009072DA">
        <w:rPr>
          <w:lang w:val="bg-BG"/>
        </w:rPr>
        <w:tab/>
        <w:t>Изчисленията на ефекта на откритите повърхности в междинните етапи на наводняване се основават на брутната площ на повредените отсеци.</w:t>
      </w:r>
    </w:p>
    <w:p w:rsidR="00894C4D" w:rsidRPr="009072DA" w:rsidRDefault="00894C4D" w:rsidP="0090753B">
      <w:pPr>
        <w:pStyle w:val="ESch"/>
        <w:rPr>
          <w:szCs w:val="20"/>
          <w:lang w:val="bg-BG"/>
        </w:rPr>
      </w:pPr>
    </w:p>
    <w:p w:rsidR="0090753B" w:rsidRPr="009072DA" w:rsidRDefault="0090753B" w:rsidP="0090753B">
      <w:pPr>
        <w:pStyle w:val="ESch"/>
        <w:rPr>
          <w:szCs w:val="20"/>
          <w:lang w:val="bg-BG"/>
        </w:rPr>
      </w:pPr>
      <w:r w:rsidRPr="009072DA">
        <w:rPr>
          <w:lang w:val="bg-BG"/>
        </w:rPr>
        <w:t>5.</w:t>
      </w:r>
      <w:r w:rsidRPr="009072DA">
        <w:rPr>
          <w:lang w:val="bg-BG"/>
        </w:rPr>
        <w:tab/>
        <w:t>За всички междинни етапи на наводняване, посочени в точка 3, трябва да бъдат изпълнени следните изисквания:</w:t>
      </w:r>
    </w:p>
    <w:p w:rsidR="0090753B" w:rsidRPr="009072DA" w:rsidRDefault="005C7859" w:rsidP="00894C4D">
      <w:pPr>
        <w:pStyle w:val="ESlet"/>
        <w:rPr>
          <w:lang w:val="bg-BG"/>
        </w:rPr>
      </w:pPr>
      <w:r w:rsidRPr="009072DA">
        <w:rPr>
          <w:lang w:val="bg-BG"/>
        </w:rPr>
        <w:t>a)</w:t>
      </w:r>
      <w:r w:rsidRPr="009072DA">
        <w:rPr>
          <w:lang w:val="bg-BG"/>
        </w:rPr>
        <w:tab/>
        <w:t xml:space="preserve">Ъгълът на крен </w:t>
      </w:r>
      <m:oMath>
        <m:r>
          <w:rPr>
            <w:rFonts w:ascii="Cambria Math" w:hAnsi="Cambria Math"/>
            <w:lang w:val="bg-BG"/>
          </w:rPr>
          <m:t>φ</m:t>
        </m:r>
      </m:oMath>
      <w:r w:rsidRPr="009072DA">
        <w:rPr>
          <w:lang w:val="bg-BG"/>
        </w:rPr>
        <w:t xml:space="preserve"> в равновесното положение на съответния междинен етап не надхвърля 15° (5°, когато контейнерите не са обезопасени).</w:t>
      </w:r>
    </w:p>
    <w:p w:rsidR="0090753B" w:rsidRPr="009072DA" w:rsidRDefault="005C7859" w:rsidP="00894C4D">
      <w:pPr>
        <w:pStyle w:val="ESlet"/>
        <w:rPr>
          <w:rFonts w:cs="Arial"/>
          <w:lang w:val="bg-BG"/>
        </w:rPr>
      </w:pPr>
      <w:r w:rsidRPr="009072DA">
        <w:rPr>
          <w:lang w:val="bg-BG"/>
        </w:rPr>
        <w:t>б)</w:t>
      </w:r>
      <w:r w:rsidRPr="009072DA">
        <w:rPr>
          <w:lang w:val="bg-BG"/>
        </w:rPr>
        <w:tab/>
        <w:t xml:space="preserve">Отвъд ъгъла на крен в равновесното положение на въпросния междинен етап, положителната част на кривата на рамото на изправящия момент трябва да дава стойност на рамото на изправящия момент </w:t>
      </w:r>
      <m:oMath>
        <m:r>
          <w:rPr>
            <w:rFonts w:ascii="Cambria Math" w:hAnsi="Cambria Math"/>
            <w:lang w:val="bg-BG"/>
          </w:rPr>
          <m:t>GZ ≥0,02 m</m:t>
        </m:r>
      </m:oMath>
      <w:r w:rsidRPr="009072DA">
        <w:rPr>
          <w:lang w:val="bg-BG"/>
        </w:rPr>
        <w:t xml:space="preserve"> (0,03 m, когато контейнерите не са обезопасени), преди първият необезопасен отвор да бъде потопен или ъгълът на крен </w:t>
      </w:r>
      <m:oMath>
        <m:r>
          <w:rPr>
            <w:rFonts w:ascii="Cambria Math" w:hAnsi="Cambria Math"/>
            <w:lang w:val="bg-BG"/>
          </w:rPr>
          <m:t>φ</m:t>
        </m:r>
      </m:oMath>
      <w:r w:rsidRPr="009072DA">
        <w:rPr>
          <w:lang w:val="bg-BG"/>
        </w:rPr>
        <w:t xml:space="preserve"> да достигне 27° (15°, когато контейнерите не са обезопасени).</w:t>
      </w:r>
    </w:p>
    <w:p w:rsidR="0090753B" w:rsidRPr="009072DA" w:rsidRDefault="005C7859" w:rsidP="00894C4D">
      <w:pPr>
        <w:pStyle w:val="ESlet"/>
        <w:rPr>
          <w:lang w:val="bg-BG"/>
        </w:rPr>
      </w:pPr>
      <w:r w:rsidRPr="009072DA">
        <w:rPr>
          <w:lang w:val="bg-BG"/>
        </w:rPr>
        <w:lastRenderedPageBreak/>
        <w:t>в)</w:t>
      </w:r>
      <w:r w:rsidRPr="009072DA">
        <w:rPr>
          <w:lang w:val="bg-BG"/>
        </w:rPr>
        <w:tab/>
        <w:t>Отворите, които не са водонепроницаеми, не са потопени преди достигане на ъгъла на крен в равновесното положение на въпросния междинен етап.</w:t>
      </w:r>
    </w:p>
    <w:p w:rsidR="00894C4D" w:rsidRPr="009072DA" w:rsidRDefault="00894C4D" w:rsidP="0090753B">
      <w:pPr>
        <w:pStyle w:val="ESch"/>
        <w:rPr>
          <w:szCs w:val="20"/>
          <w:lang w:val="bg-BG"/>
        </w:rPr>
      </w:pPr>
    </w:p>
    <w:p w:rsidR="0090753B" w:rsidRPr="009072DA" w:rsidRDefault="0090753B" w:rsidP="0090753B">
      <w:pPr>
        <w:pStyle w:val="ESch"/>
        <w:rPr>
          <w:szCs w:val="20"/>
          <w:lang w:val="bg-BG"/>
        </w:rPr>
      </w:pPr>
      <w:r w:rsidRPr="009072DA">
        <w:rPr>
          <w:lang w:val="bg-BG"/>
        </w:rPr>
        <w:t>6.</w:t>
      </w:r>
      <w:r w:rsidRPr="009072DA">
        <w:rPr>
          <w:lang w:val="bg-BG"/>
        </w:rPr>
        <w:tab/>
        <w:t>По време на крайния етап на наводняване трябва да са изпълнени следните изисквания:</w:t>
      </w:r>
    </w:p>
    <w:p w:rsidR="0090753B" w:rsidRPr="009072DA" w:rsidRDefault="005C7859" w:rsidP="00894C4D">
      <w:pPr>
        <w:pStyle w:val="ESlet"/>
        <w:rPr>
          <w:lang w:val="bg-BG"/>
        </w:rPr>
      </w:pPr>
      <w:r w:rsidRPr="009072DA">
        <w:rPr>
          <w:lang w:val="bg-BG"/>
        </w:rPr>
        <w:t>a)</w:t>
      </w:r>
      <w:r w:rsidRPr="009072DA">
        <w:rPr>
          <w:lang w:val="bg-BG"/>
        </w:rPr>
        <w:tab/>
        <w:t>Долните краища на отворите, които не са водонепроницаеми (например вратите, прозорците, люковете за достъп), са на не по-малко от 0,10 m над повредената водолиния.</w:t>
      </w:r>
    </w:p>
    <w:p w:rsidR="0090753B" w:rsidRPr="009072DA" w:rsidRDefault="005C7859" w:rsidP="00894C4D">
      <w:pPr>
        <w:pStyle w:val="ESlet"/>
        <w:rPr>
          <w:lang w:val="bg-BG"/>
        </w:rPr>
      </w:pPr>
      <w:r w:rsidRPr="009072DA">
        <w:rPr>
          <w:lang w:val="bg-BG"/>
        </w:rPr>
        <w:t>б)</w:t>
      </w:r>
      <w:r w:rsidRPr="009072DA">
        <w:rPr>
          <w:lang w:val="bg-BG"/>
        </w:rPr>
        <w:tab/>
        <w:t xml:space="preserve">Ъгълът на крен </w:t>
      </w:r>
      <m:oMath>
        <m:r>
          <w:rPr>
            <w:rFonts w:ascii="Cambria Math" w:hAnsi="Cambria Math"/>
            <w:lang w:val="bg-BG"/>
          </w:rPr>
          <m:t>φ</m:t>
        </m:r>
      </m:oMath>
      <w:r w:rsidRPr="009072DA">
        <w:rPr>
          <w:lang w:val="bg-BG"/>
        </w:rPr>
        <w:t xml:space="preserve"> в равновесното положение не надхвърля 12° (5°, когато контейнерите не са обезопасени).</w:t>
      </w:r>
    </w:p>
    <w:p w:rsidR="00894C4D" w:rsidRPr="009072DA" w:rsidRDefault="00894C4D" w:rsidP="00894C4D">
      <w:pPr>
        <w:pStyle w:val="ESlet"/>
        <w:rPr>
          <w:lang w:val="bg-BG"/>
        </w:rPr>
      </w:pPr>
    </w:p>
    <w:p w:rsidR="00894C4D" w:rsidRPr="009072DA" w:rsidRDefault="00894C4D" w:rsidP="00894C4D">
      <w:pPr>
        <w:pStyle w:val="ESlet"/>
        <w:rPr>
          <w:lang w:val="bg-BG"/>
        </w:rPr>
      </w:pPr>
      <w:r w:rsidRPr="009072DA">
        <w:rPr>
          <w:lang w:val="bg-BG"/>
        </w:rPr>
        <w:br w:type="page"/>
      </w:r>
    </w:p>
    <w:p w:rsidR="0090753B" w:rsidRPr="009072DA" w:rsidRDefault="005C7859" w:rsidP="00894C4D">
      <w:pPr>
        <w:pStyle w:val="ESlet"/>
        <w:rPr>
          <w:lang w:val="bg-BG"/>
        </w:rPr>
      </w:pPr>
      <w:r w:rsidRPr="009072DA">
        <w:rPr>
          <w:lang w:val="bg-BG"/>
        </w:rPr>
        <w:lastRenderedPageBreak/>
        <w:t>в)</w:t>
      </w:r>
      <w:r w:rsidRPr="009072DA">
        <w:rPr>
          <w:lang w:val="bg-BG"/>
        </w:rPr>
        <w:tab/>
        <w:t xml:space="preserve">Отвъд ъгъла на крен в равновесното положение на въпросния междинен етап, положителната част на кривата на рамото на изправящия момент трябва да дава стойност на рамото на изправящия момент </w:t>
      </w:r>
      <m:oMath>
        <m:sSub>
          <m:sSubPr>
            <m:ctrlPr>
              <w:rPr>
                <w:rFonts w:ascii="Cambria Math" w:hAnsi="Cambria Math"/>
                <w:i/>
                <w:lang w:val="bg-BG"/>
              </w:rPr>
            </m:ctrlPr>
          </m:sSubPr>
          <m:e>
            <m:r>
              <w:rPr>
                <w:rFonts w:ascii="Cambria Math" w:hAnsi="Cambria Math"/>
                <w:lang w:val="bg-BG"/>
              </w:rPr>
              <m:t>GZ</m:t>
            </m:r>
          </m:e>
          <m:sub>
            <m:r>
              <w:rPr>
                <w:rFonts w:ascii="Cambria Math" w:hAnsi="Cambria Math"/>
                <w:lang w:val="bg-BG"/>
              </w:rPr>
              <m:t>R</m:t>
            </m:r>
          </m:sub>
        </m:sSub>
        <m:r>
          <w:rPr>
            <w:rFonts w:ascii="Cambria Math" w:hAnsi="Cambria Math"/>
            <w:lang w:val="bg-BG"/>
          </w:rPr>
          <m:t xml:space="preserve"> ≥0,05 m</m:t>
        </m:r>
      </m:oMath>
      <w:r w:rsidRPr="009072DA">
        <w:rPr>
          <w:lang w:val="bg-BG"/>
        </w:rPr>
        <w:t xml:space="preserve"> и пространството под кривата трябва да достига поне </w:t>
      </w:r>
      <m:oMath>
        <m:r>
          <w:rPr>
            <w:rFonts w:ascii="Cambria Math" w:hAnsi="Cambria Math"/>
            <w:lang w:val="bg-BG"/>
          </w:rPr>
          <m:t>0,0065 m ∙rad</m:t>
        </m:r>
      </m:oMath>
      <w:r w:rsidRPr="009072DA">
        <w:rPr>
          <w:lang w:val="bg-BG"/>
        </w:rPr>
        <w:t xml:space="preserve">, преди първият необезопасен отвор да бъде потопен или ъгълът на крен </w:t>
      </w:r>
      <m:oMath>
        <m:r>
          <w:rPr>
            <w:rFonts w:ascii="Cambria Math" w:hAnsi="Cambria Math"/>
            <w:lang w:val="bg-BG"/>
          </w:rPr>
          <m:t>φ</m:t>
        </m:r>
      </m:oMath>
      <w:r w:rsidRPr="009072DA">
        <w:rPr>
          <w:lang w:val="bg-BG"/>
        </w:rPr>
        <w:t xml:space="preserve"> да достигне 27° (10°, когато контейнерите не са обезопасени).</w:t>
      </w:r>
    </w:p>
    <w:p w:rsidR="004A75F7" w:rsidRPr="009072DA" w:rsidRDefault="004A75F7" w:rsidP="001E7C77">
      <w:pPr>
        <w:pStyle w:val="ESch"/>
        <w:rPr>
          <w:szCs w:val="20"/>
          <w:lang w:val="bg-BG"/>
        </w:rPr>
      </w:pPr>
    </w:p>
    <w:p w:rsidR="001E7C77" w:rsidRPr="009072DA" w:rsidRDefault="006A4701" w:rsidP="006A4701">
      <w:pPr>
        <w:pStyle w:val="ESch"/>
        <w:ind w:firstLine="0"/>
        <w:jc w:val="center"/>
        <w:rPr>
          <w:szCs w:val="20"/>
          <w:lang w:val="bg-BG"/>
        </w:rPr>
      </w:pPr>
      <w:r w:rsidRPr="009072DA">
        <w:rPr>
          <w:noProof/>
          <w:szCs w:val="20"/>
          <w:lang w:eastAsia="en-GB"/>
        </w:rPr>
        <w:drawing>
          <wp:inline distT="0" distB="0" distL="0" distR="0" wp14:anchorId="644D02EE" wp14:editId="79765D8B">
            <wp:extent cx="4782312" cy="2740152"/>
            <wp:effectExtent l="0" t="0" r="0" b="317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ES_Trin_courbe_28_03_6c_en.jpg"/>
                    <pic:cNvPicPr/>
                  </pic:nvPicPr>
                  <pic:blipFill>
                    <a:blip r:embed="rId28">
                      <a:extLst>
                        <a:ext uri="{28A0092B-C50C-407E-A947-70E740481C1C}">
                          <a14:useLocalDpi xmlns:a14="http://schemas.microsoft.com/office/drawing/2010/main" val="0"/>
                        </a:ext>
                      </a:extLst>
                    </a:blip>
                    <a:stretch>
                      <a:fillRect/>
                    </a:stretch>
                  </pic:blipFill>
                  <pic:spPr>
                    <a:xfrm>
                      <a:off x="0" y="0"/>
                      <a:ext cx="4782312" cy="2740152"/>
                    </a:xfrm>
                    <a:prstGeom prst="rect">
                      <a:avLst/>
                    </a:prstGeom>
                  </pic:spPr>
                </pic:pic>
              </a:graphicData>
            </a:graphic>
          </wp:inline>
        </w:drawing>
      </w:r>
    </w:p>
    <w:p w:rsidR="00001079" w:rsidRPr="009072DA" w:rsidRDefault="00001079" w:rsidP="00894C4D">
      <w:pPr>
        <w:pStyle w:val="ESlet"/>
        <w:rPr>
          <w:lang w:val="bg-BG"/>
        </w:rPr>
      </w:pPr>
    </w:p>
    <w:p w:rsidR="0090753B" w:rsidRPr="009072DA" w:rsidRDefault="0029453D" w:rsidP="00894C4D">
      <w:pPr>
        <w:pStyle w:val="ESlet"/>
        <w:rPr>
          <w:lang w:val="bg-BG"/>
        </w:rPr>
      </w:pPr>
      <w:r w:rsidRPr="009072DA">
        <w:rPr>
          <w:lang w:val="bg-BG"/>
        </w:rPr>
        <w:t>г)</w:t>
      </w:r>
      <w:r w:rsidRPr="009072DA">
        <w:rPr>
          <w:lang w:val="bg-BG"/>
        </w:rPr>
        <w:tab/>
        <w:t>ако отворите, които не са водонепроницаеми, бъдат потопени преди достигане на равновесното положение, помещенията, до които те дават достъп, се считат за наводнени за целите на изчисляването на устойчивостта в повредено състояние.</w:t>
      </w:r>
    </w:p>
    <w:p w:rsidR="00310312" w:rsidRPr="009072DA" w:rsidRDefault="00310312" w:rsidP="0090753B">
      <w:pPr>
        <w:pStyle w:val="ESch"/>
        <w:rPr>
          <w:szCs w:val="20"/>
          <w:lang w:val="bg-BG"/>
        </w:rPr>
      </w:pPr>
    </w:p>
    <w:p w:rsidR="0090753B" w:rsidRPr="009072DA" w:rsidRDefault="0090753B" w:rsidP="0090753B">
      <w:pPr>
        <w:pStyle w:val="ESch"/>
        <w:rPr>
          <w:szCs w:val="20"/>
          <w:lang w:val="bg-BG"/>
        </w:rPr>
      </w:pPr>
      <w:r w:rsidRPr="009072DA">
        <w:rPr>
          <w:lang w:val="bg-BG"/>
        </w:rPr>
        <w:t>7.</w:t>
      </w:r>
      <w:r w:rsidRPr="009072DA">
        <w:rPr>
          <w:lang w:val="bg-BG"/>
        </w:rPr>
        <w:tab/>
        <w:t>Ако са налични отвори за взаимно наводняване между отсеци с цел намаляване асиметричното наводняване, те трябва да съответстват на следните условия:</w:t>
      </w:r>
    </w:p>
    <w:p w:rsidR="0090753B" w:rsidRPr="009072DA" w:rsidRDefault="005C7859" w:rsidP="00310312">
      <w:pPr>
        <w:pStyle w:val="ESlet"/>
        <w:rPr>
          <w:lang w:val="bg-BG"/>
        </w:rPr>
      </w:pPr>
      <w:r w:rsidRPr="009072DA">
        <w:rPr>
          <w:lang w:val="bg-BG"/>
        </w:rPr>
        <w:t>a)</w:t>
      </w:r>
      <w:r w:rsidRPr="009072DA">
        <w:rPr>
          <w:lang w:val="bg-BG"/>
        </w:rPr>
        <w:tab/>
        <w:t>за изчисляване на взаимното наводняване между отсеци се прилага Резолюция A.266 (VIII) на ИМО;</w:t>
      </w:r>
    </w:p>
    <w:p w:rsidR="0090753B" w:rsidRPr="009072DA" w:rsidRDefault="005C7859" w:rsidP="00310312">
      <w:pPr>
        <w:pStyle w:val="ESlet"/>
        <w:rPr>
          <w:lang w:val="bg-BG"/>
        </w:rPr>
      </w:pPr>
      <w:r w:rsidRPr="009072DA">
        <w:rPr>
          <w:lang w:val="bg-BG"/>
        </w:rPr>
        <w:t>б)</w:t>
      </w:r>
      <w:r w:rsidRPr="009072DA">
        <w:rPr>
          <w:lang w:val="bg-BG"/>
        </w:rPr>
        <w:tab/>
        <w:t>отворите трябва да бъдат самозадействащи се;</w:t>
      </w:r>
    </w:p>
    <w:p w:rsidR="0090753B" w:rsidRPr="009072DA" w:rsidRDefault="005C7859" w:rsidP="00310312">
      <w:pPr>
        <w:pStyle w:val="ESlet"/>
        <w:rPr>
          <w:lang w:val="bg-BG"/>
        </w:rPr>
      </w:pPr>
      <w:r w:rsidRPr="009072DA">
        <w:rPr>
          <w:lang w:val="bg-BG"/>
        </w:rPr>
        <w:t>в)</w:t>
      </w:r>
      <w:r w:rsidRPr="009072DA">
        <w:rPr>
          <w:lang w:val="bg-BG"/>
        </w:rPr>
        <w:tab/>
        <w:t>отворите не трябва да са оборудвани със спирателни устройства;</w:t>
      </w:r>
    </w:p>
    <w:p w:rsidR="0090753B" w:rsidRPr="009072DA" w:rsidRDefault="0029453D" w:rsidP="00310312">
      <w:pPr>
        <w:pStyle w:val="ESlet"/>
        <w:rPr>
          <w:lang w:val="bg-BG"/>
        </w:rPr>
      </w:pPr>
      <w:r w:rsidRPr="009072DA">
        <w:rPr>
          <w:lang w:val="bg-BG"/>
        </w:rPr>
        <w:t>г)</w:t>
      </w:r>
      <w:r w:rsidRPr="009072DA">
        <w:rPr>
          <w:lang w:val="bg-BG"/>
        </w:rPr>
        <w:tab/>
        <w:t>общото време, предвидено за изравняване, не трябва да надвишава 15 минути.</w:t>
      </w:r>
    </w:p>
    <w:p w:rsidR="00310312" w:rsidRPr="009072DA" w:rsidRDefault="00310312" w:rsidP="0090753B">
      <w:pPr>
        <w:pStyle w:val="ESch"/>
        <w:rPr>
          <w:szCs w:val="20"/>
          <w:lang w:val="bg-BG"/>
        </w:rPr>
      </w:pPr>
    </w:p>
    <w:p w:rsidR="0090753B" w:rsidRPr="009072DA" w:rsidRDefault="0090753B" w:rsidP="0090753B">
      <w:pPr>
        <w:pStyle w:val="ESch"/>
        <w:rPr>
          <w:szCs w:val="20"/>
          <w:lang w:val="bg-BG"/>
        </w:rPr>
      </w:pPr>
      <w:r w:rsidRPr="009072DA">
        <w:rPr>
          <w:lang w:val="bg-BG"/>
        </w:rPr>
        <w:t>8.</w:t>
      </w:r>
      <w:r w:rsidRPr="009072DA">
        <w:rPr>
          <w:lang w:val="bg-BG"/>
        </w:rPr>
        <w:tab/>
        <w:t>Ако отворите, през които незасегнатите отсеци могат да бъдат допълнително наводнени, са пригодени за водонепроницаемо затваряне, спирателните устройства трябва да носят следното ясно четливо указание от двете страни:</w:t>
      </w:r>
    </w:p>
    <w:p w:rsidR="0090753B" w:rsidRPr="009072DA" w:rsidRDefault="007E1D94" w:rsidP="00B006DB">
      <w:pPr>
        <w:pStyle w:val="ESlet"/>
        <w:jc w:val="center"/>
        <w:rPr>
          <w:lang w:val="bg-BG"/>
        </w:rPr>
      </w:pPr>
      <w:r w:rsidRPr="009072DA">
        <w:rPr>
          <w:lang w:val="bg-BG"/>
        </w:rPr>
        <w:t>„Затвори веднага след преминаване“.</w:t>
      </w:r>
    </w:p>
    <w:p w:rsidR="00310312" w:rsidRPr="009072DA" w:rsidRDefault="00310312" w:rsidP="0090753B">
      <w:pPr>
        <w:pStyle w:val="ESch"/>
        <w:rPr>
          <w:szCs w:val="20"/>
          <w:lang w:val="bg-BG"/>
        </w:rPr>
      </w:pPr>
    </w:p>
    <w:p w:rsidR="0090753B" w:rsidRPr="009072DA" w:rsidRDefault="0090753B" w:rsidP="0090753B">
      <w:pPr>
        <w:pStyle w:val="ESch"/>
        <w:rPr>
          <w:szCs w:val="20"/>
          <w:lang w:val="bg-BG"/>
        </w:rPr>
      </w:pPr>
      <w:r w:rsidRPr="009072DA">
        <w:rPr>
          <w:lang w:val="bg-BG"/>
        </w:rPr>
        <w:lastRenderedPageBreak/>
        <w:t>9.</w:t>
      </w:r>
      <w:r w:rsidRPr="009072DA">
        <w:rPr>
          <w:lang w:val="bg-BG"/>
        </w:rPr>
        <w:tab/>
        <w:t>Доказването чрез изчисления съгласно точки 3 — 7 се смята за успешно, ако изчислението на устойчивостта в повредено състояние съгласно част 9 от правилата, приложени към Европейското споразумение за международен превоз на опасни товари по вътрешните водни пътища („ADN“), даде положителен резултат.</w:t>
      </w:r>
    </w:p>
    <w:p w:rsidR="00310312" w:rsidRPr="009072DA" w:rsidRDefault="00310312" w:rsidP="0090753B">
      <w:pPr>
        <w:pStyle w:val="ESch"/>
        <w:rPr>
          <w:szCs w:val="20"/>
          <w:lang w:val="bg-BG"/>
        </w:rPr>
      </w:pPr>
    </w:p>
    <w:p w:rsidR="0090753B" w:rsidRPr="009072DA" w:rsidRDefault="0090753B" w:rsidP="0090753B">
      <w:pPr>
        <w:pStyle w:val="ESch"/>
        <w:rPr>
          <w:szCs w:val="20"/>
          <w:lang w:val="bg-BG"/>
        </w:rPr>
      </w:pPr>
      <w:r w:rsidRPr="009072DA">
        <w:rPr>
          <w:lang w:val="bg-BG"/>
        </w:rPr>
        <w:t>10.</w:t>
      </w:r>
      <w:r w:rsidRPr="009072DA">
        <w:rPr>
          <w:lang w:val="bg-BG"/>
        </w:rPr>
        <w:tab/>
        <w:t>Ако е необходимо за изпълнението на изискванията от точка 3, равнината на максималното газене се установява наново.</w:t>
      </w:r>
    </w:p>
    <w:p w:rsidR="0090753B" w:rsidRPr="009072DA" w:rsidRDefault="0090753B" w:rsidP="0090753B">
      <w:pPr>
        <w:pStyle w:val="ESch"/>
        <w:rPr>
          <w:rFonts w:cs="Arial"/>
          <w:szCs w:val="20"/>
          <w:lang w:val="bg-BG"/>
        </w:rPr>
      </w:pPr>
    </w:p>
    <w:p w:rsidR="00310312" w:rsidRPr="009072DA" w:rsidRDefault="00310312" w:rsidP="0090753B">
      <w:pPr>
        <w:pStyle w:val="ESch"/>
        <w:rPr>
          <w:rFonts w:cs="Arial"/>
          <w:szCs w:val="20"/>
          <w:lang w:val="bg-BG"/>
        </w:rPr>
      </w:pPr>
    </w:p>
    <w:p w:rsidR="00310312" w:rsidRPr="009072DA" w:rsidRDefault="00310312" w:rsidP="0090753B">
      <w:pPr>
        <w:pStyle w:val="ESch"/>
        <w:rPr>
          <w:rFonts w:cs="Arial"/>
          <w:szCs w:val="20"/>
          <w:lang w:val="bg-BG"/>
        </w:rPr>
      </w:pPr>
      <w:r w:rsidRPr="009072DA">
        <w:rPr>
          <w:lang w:val="bg-BG"/>
        </w:rPr>
        <w:br w:type="page"/>
      </w:r>
    </w:p>
    <w:p w:rsidR="0090753B" w:rsidRPr="009072DA" w:rsidRDefault="0090753B" w:rsidP="00310312">
      <w:pPr>
        <w:pStyle w:val="ES-Titre3"/>
        <w:rPr>
          <w:i/>
          <w:lang w:val="bg-BG"/>
        </w:rPr>
      </w:pPr>
      <w:bookmarkStart w:id="499" w:name="_Toc491854247"/>
      <w:bookmarkStart w:id="500" w:name="_Toc535827688"/>
      <w:r w:rsidRPr="009072DA">
        <w:rPr>
          <w:lang w:val="bg-BG"/>
        </w:rPr>
        <w:lastRenderedPageBreak/>
        <w:t>Член 28.04</w:t>
      </w:r>
      <w:r w:rsidRPr="009072DA">
        <w:rPr>
          <w:lang w:val="bg-BG"/>
        </w:rPr>
        <w:br/>
      </w:r>
      <w:r w:rsidRPr="009072DA">
        <w:rPr>
          <w:i/>
          <w:lang w:val="bg-BG"/>
        </w:rPr>
        <w:t>Допълнителни изисквания</w:t>
      </w:r>
      <w:bookmarkEnd w:id="499"/>
      <w:bookmarkEnd w:id="500"/>
    </w:p>
    <w:p w:rsidR="00310312" w:rsidRPr="009072DA" w:rsidRDefault="00310312" w:rsidP="0090753B">
      <w:pPr>
        <w:pStyle w:val="ESch"/>
        <w:rPr>
          <w:b/>
          <w:szCs w:val="20"/>
          <w:lang w:val="bg-BG"/>
        </w:rPr>
      </w:pPr>
    </w:p>
    <w:p w:rsidR="0090753B" w:rsidRPr="009072DA" w:rsidRDefault="0090753B" w:rsidP="0090753B">
      <w:pPr>
        <w:pStyle w:val="ESch"/>
        <w:rPr>
          <w:szCs w:val="20"/>
          <w:lang w:val="bg-BG"/>
        </w:rPr>
      </w:pPr>
      <w:r w:rsidRPr="009072DA">
        <w:rPr>
          <w:lang w:val="bg-BG"/>
        </w:rPr>
        <w:t>1.</w:t>
      </w:r>
      <w:r w:rsidRPr="009072DA">
        <w:rPr>
          <w:lang w:val="bg-BG"/>
        </w:rPr>
        <w:tab/>
        <w:t xml:space="preserve">Плавателно средство, чиято дължина </w:t>
      </w:r>
      <m:oMath>
        <m:r>
          <w:rPr>
            <w:rFonts w:ascii="Cambria Math" w:hAnsi="Cambria Math"/>
            <w:szCs w:val="20"/>
            <w:lang w:val="bg-BG"/>
          </w:rPr>
          <m:t>L</m:t>
        </m:r>
      </m:oMath>
      <w:r w:rsidRPr="009072DA">
        <w:rPr>
          <w:lang w:val="bg-BG"/>
        </w:rPr>
        <w:t xml:space="preserve"> превишава 110 m:</w:t>
      </w:r>
    </w:p>
    <w:p w:rsidR="00AD176C" w:rsidRPr="009072DA" w:rsidRDefault="005C7859" w:rsidP="00310312">
      <w:pPr>
        <w:pStyle w:val="ESlet"/>
        <w:rPr>
          <w:lang w:val="bg-BG"/>
        </w:rPr>
      </w:pPr>
      <w:r w:rsidRPr="009072DA">
        <w:rPr>
          <w:lang w:val="bg-BG"/>
        </w:rPr>
        <w:t>a)</w:t>
      </w:r>
      <w:r w:rsidRPr="009072DA">
        <w:rPr>
          <w:lang w:val="bg-BG"/>
        </w:rPr>
        <w:tab/>
        <w:t xml:space="preserve">е оборудвано с многовинтови задвижващи системи с поне два отделни двигателя с еднаква мощност и носово подрулващо устройство, което се управлява от рулевата рубка и действа също, когато плавателното средство е без товар;  </w:t>
      </w:r>
    </w:p>
    <w:p w:rsidR="0090753B" w:rsidRPr="009072DA" w:rsidRDefault="0090753B" w:rsidP="00AD176C">
      <w:pPr>
        <w:pStyle w:val="ESletpar"/>
        <w:rPr>
          <w:lang w:val="bg-BG"/>
        </w:rPr>
      </w:pPr>
      <w:r w:rsidRPr="009072DA">
        <w:rPr>
          <w:lang w:val="bg-BG"/>
        </w:rPr>
        <w:t>или</w:t>
      </w:r>
    </w:p>
    <w:p w:rsidR="0090753B" w:rsidRPr="009072DA" w:rsidRDefault="0090753B" w:rsidP="00310312">
      <w:pPr>
        <w:pStyle w:val="ESletpar"/>
        <w:rPr>
          <w:lang w:val="bg-BG"/>
        </w:rPr>
      </w:pPr>
      <w:r w:rsidRPr="009072DA">
        <w:rPr>
          <w:lang w:val="bg-BG"/>
        </w:rPr>
        <w:t>разполага с едновинтова задвижваща система и носово подрулващо устройство, което се управлява от рулевата рубка, със собствено силово захранване, и което действа също, когато плавателното средство е без товар, давайки възможност на плавателното средство да се движи на собствен ход и при авария на основната система на задвижване;</w:t>
      </w:r>
    </w:p>
    <w:p w:rsidR="0090753B" w:rsidRPr="009072DA" w:rsidRDefault="005C7859" w:rsidP="00310312">
      <w:pPr>
        <w:pStyle w:val="ESlet"/>
        <w:rPr>
          <w:lang w:val="bg-BG"/>
        </w:rPr>
      </w:pPr>
      <w:r w:rsidRPr="009072DA">
        <w:rPr>
          <w:lang w:val="bg-BG"/>
        </w:rPr>
        <w:t>б)</w:t>
      </w:r>
      <w:r w:rsidRPr="009072DA">
        <w:rPr>
          <w:lang w:val="bg-BG"/>
        </w:rPr>
        <w:tab/>
        <w:t>е оборудвано с навигационна радиолокационна система заедно с индикатор на ъгловата скорост на поворот съгласно член 7.06, точка 1;</w:t>
      </w:r>
    </w:p>
    <w:p w:rsidR="0090753B" w:rsidRPr="009072DA" w:rsidRDefault="005C7859" w:rsidP="00310312">
      <w:pPr>
        <w:pStyle w:val="ESlet"/>
        <w:rPr>
          <w:lang w:val="bg-BG"/>
        </w:rPr>
      </w:pPr>
      <w:r w:rsidRPr="009072DA">
        <w:rPr>
          <w:lang w:val="bg-BG"/>
        </w:rPr>
        <w:t>в)</w:t>
      </w:r>
      <w:r w:rsidRPr="009072DA">
        <w:rPr>
          <w:lang w:val="bg-BG"/>
        </w:rPr>
        <w:tab/>
        <w:t>има неподвижно монтирана система от осушителни помпи съгласно член 8.08;</w:t>
      </w:r>
    </w:p>
    <w:p w:rsidR="0090753B" w:rsidRPr="009072DA" w:rsidRDefault="0029453D" w:rsidP="00310312">
      <w:pPr>
        <w:pStyle w:val="ESlet"/>
        <w:rPr>
          <w:lang w:val="bg-BG"/>
        </w:rPr>
      </w:pPr>
      <w:r w:rsidRPr="009072DA">
        <w:rPr>
          <w:lang w:val="bg-BG"/>
        </w:rPr>
        <w:t>г)</w:t>
      </w:r>
      <w:r w:rsidRPr="009072DA">
        <w:rPr>
          <w:lang w:val="bg-BG"/>
        </w:rPr>
        <w:tab/>
        <w:t>отговаря на изискванията на член 31.09(1.1).</w:t>
      </w:r>
    </w:p>
    <w:p w:rsidR="00310312" w:rsidRPr="009072DA" w:rsidRDefault="00310312" w:rsidP="0090753B">
      <w:pPr>
        <w:pStyle w:val="ESch"/>
        <w:rPr>
          <w:szCs w:val="20"/>
          <w:lang w:val="bg-BG"/>
        </w:rPr>
      </w:pPr>
    </w:p>
    <w:p w:rsidR="0090753B" w:rsidRPr="009072DA" w:rsidRDefault="0090753B" w:rsidP="0090753B">
      <w:pPr>
        <w:pStyle w:val="ESch"/>
        <w:rPr>
          <w:szCs w:val="20"/>
          <w:lang w:val="bg-BG"/>
        </w:rPr>
      </w:pPr>
      <w:r w:rsidRPr="009072DA">
        <w:rPr>
          <w:lang w:val="bg-BG"/>
        </w:rPr>
        <w:t>2.</w:t>
      </w:r>
      <w:r w:rsidRPr="009072DA">
        <w:rPr>
          <w:lang w:val="bg-BG"/>
        </w:rPr>
        <w:tab/>
        <w:t xml:space="preserve">Чрез дерогация от точка 1 и като се имат предвид приложимите разпоредби на навигационните служби за някои области на корабоплаването в държавите членки, за плавателни средства, с изключение на пътническите плавателни съдове, с дължина </w:t>
      </w:r>
      <m:oMath>
        <m:r>
          <w:rPr>
            <w:rFonts w:ascii="Cambria Math" w:hAnsi="Cambria Math"/>
            <w:szCs w:val="20"/>
            <w:lang w:val="bg-BG"/>
          </w:rPr>
          <m:t>L</m:t>
        </m:r>
      </m:oMath>
      <w:r w:rsidRPr="009072DA">
        <w:rPr>
          <w:lang w:val="bg-BG"/>
        </w:rPr>
        <w:t xml:space="preserve"> над 110 m, които:</w:t>
      </w:r>
    </w:p>
    <w:p w:rsidR="00FC5FF6" w:rsidRPr="009072DA" w:rsidRDefault="005C7859" w:rsidP="00310312">
      <w:pPr>
        <w:pStyle w:val="ESlet"/>
        <w:rPr>
          <w:lang w:val="bg-BG"/>
        </w:rPr>
      </w:pPr>
      <w:r w:rsidRPr="009072DA">
        <w:rPr>
          <w:lang w:val="bg-BG"/>
        </w:rPr>
        <w:t>a)</w:t>
      </w:r>
      <w:r w:rsidRPr="009072DA">
        <w:rPr>
          <w:lang w:val="bg-BG"/>
        </w:rPr>
        <w:tab/>
        <w:t>отговарят на изискванията по точка 1, букви а) — г);</w:t>
      </w:r>
    </w:p>
    <w:p w:rsidR="0090753B" w:rsidRPr="009072DA" w:rsidRDefault="00FC5FF6" w:rsidP="00310312">
      <w:pPr>
        <w:pStyle w:val="ESlet"/>
        <w:rPr>
          <w:lang w:val="bg-BG"/>
        </w:rPr>
      </w:pPr>
      <w:r w:rsidRPr="009072DA">
        <w:rPr>
          <w:lang w:val="bg-BG"/>
        </w:rPr>
        <w:t>б)</w:t>
      </w:r>
      <w:r w:rsidRPr="009072DA">
        <w:rPr>
          <w:lang w:val="bg-BG"/>
        </w:rPr>
        <w:tab/>
        <w:t>могат да бъдат разделени в случай на злополука в средната третина на плавателното средство без да се използва тежко спасително оборудване, като отделените части на плавателното средство останат на вода след разделянето;</w:t>
      </w:r>
    </w:p>
    <w:p w:rsidR="0090753B" w:rsidRPr="009072DA" w:rsidRDefault="00E56841" w:rsidP="00310312">
      <w:pPr>
        <w:pStyle w:val="ESlet"/>
        <w:rPr>
          <w:lang w:val="bg-BG"/>
        </w:rPr>
      </w:pPr>
      <w:r w:rsidRPr="009072DA">
        <w:rPr>
          <w:lang w:val="bg-BG"/>
        </w:rPr>
        <w:t>в)</w:t>
      </w:r>
      <w:r w:rsidRPr="009072DA">
        <w:rPr>
          <w:lang w:val="bg-BG"/>
        </w:rPr>
        <w:tab/>
        <w:t>са снабдени с удостоверение, което се държи на борда и което е издадено от призната класификационна организация относно плавателността, диферента и устойчивостта на отделните части на плавателното средство, в което се посочва степента на натоварване, над която плавателността на двете части вече не се гарантира;</w:t>
      </w:r>
    </w:p>
    <w:p w:rsidR="0090753B" w:rsidRPr="009072DA" w:rsidRDefault="00E56841" w:rsidP="00310312">
      <w:pPr>
        <w:pStyle w:val="ESlet"/>
        <w:rPr>
          <w:rFonts w:cs="Arial"/>
          <w:lang w:val="bg-BG"/>
        </w:rPr>
      </w:pPr>
      <w:r w:rsidRPr="009072DA">
        <w:rPr>
          <w:lang w:val="bg-BG"/>
        </w:rPr>
        <w:t>г)</w:t>
      </w:r>
      <w:r w:rsidRPr="009072DA">
        <w:rPr>
          <w:lang w:val="bg-BG"/>
        </w:rPr>
        <w:tab/>
        <w:t>са построени като плавателни съдове с двойни корпуси съгласно Европейското споразумение за международен превоз на опасни товари по вътрешни водни пътища, при което за моторните плавателни съдове се прилагат разделите от 9.1.0.91 до 9.1.0.95, а за моторни танкери — параграф 9.3.2.11.7 и разделите от 9.3.2.13 до 9.3.2.15 от част 9 от Европейското споразумение за международен превоз на опасни товари по вътрешни водни пътища;</w:t>
      </w:r>
    </w:p>
    <w:p w:rsidR="0090753B" w:rsidRPr="009072DA" w:rsidRDefault="00E56841" w:rsidP="00310312">
      <w:pPr>
        <w:pStyle w:val="ESlet"/>
        <w:rPr>
          <w:rFonts w:cs="Arial"/>
          <w:lang w:val="bg-BG"/>
        </w:rPr>
      </w:pPr>
      <w:r w:rsidRPr="009072DA">
        <w:rPr>
          <w:lang w:val="bg-BG"/>
        </w:rPr>
        <w:t>д)</w:t>
      </w:r>
      <w:r w:rsidRPr="009072DA">
        <w:rPr>
          <w:lang w:val="bg-BG"/>
        </w:rPr>
        <w:tab/>
        <w:t>са оборудвани с многовинтова задвижваща система съгласно точка 1, буква a), първата половина на изречението;</w:t>
      </w:r>
    </w:p>
    <w:p w:rsidR="00447377" w:rsidRPr="009072DA" w:rsidRDefault="00447377" w:rsidP="00447377">
      <w:pPr>
        <w:pStyle w:val="ESchpar"/>
        <w:rPr>
          <w:lang w:val="bg-BG"/>
        </w:rPr>
      </w:pPr>
    </w:p>
    <w:p w:rsidR="0090753B" w:rsidRPr="009072DA" w:rsidRDefault="0090753B" w:rsidP="00447377">
      <w:pPr>
        <w:pStyle w:val="ESchpar"/>
        <w:rPr>
          <w:rFonts w:cs="Arial"/>
          <w:lang w:val="bg-BG"/>
        </w:rPr>
      </w:pPr>
      <w:r w:rsidRPr="009072DA">
        <w:rPr>
          <w:lang w:val="bg-BG"/>
        </w:rPr>
        <w:lastRenderedPageBreak/>
        <w:t>В точка 52 от удостоверението на плавателен съд за плаване по вътрешни водни пътища се вписва, че те отговарят на всички изисквания по букви а) — д).</w:t>
      </w:r>
    </w:p>
    <w:p w:rsidR="00310312" w:rsidRPr="009072DA" w:rsidRDefault="00310312" w:rsidP="0090753B">
      <w:pPr>
        <w:pStyle w:val="ESch"/>
        <w:rPr>
          <w:szCs w:val="20"/>
          <w:lang w:val="bg-BG"/>
        </w:rPr>
      </w:pPr>
    </w:p>
    <w:p w:rsidR="0090753B" w:rsidRPr="009072DA" w:rsidRDefault="0090753B" w:rsidP="0090753B">
      <w:pPr>
        <w:pStyle w:val="ESch"/>
        <w:rPr>
          <w:rFonts w:cs="Arial"/>
          <w:szCs w:val="20"/>
          <w:lang w:val="bg-BG"/>
        </w:rPr>
      </w:pPr>
      <w:r w:rsidRPr="009072DA">
        <w:rPr>
          <w:lang w:val="bg-BG"/>
        </w:rPr>
        <w:t>3.</w:t>
      </w:r>
      <w:r w:rsidRPr="009072DA">
        <w:rPr>
          <w:lang w:val="bg-BG"/>
        </w:rPr>
        <w:tab/>
        <w:t xml:space="preserve">Чрез дерогация от точка 1 и като се имат предвид приложимите разпоредби на навигационните служби за някои области на корабоплаването в държавите членки, за пътническите плавателни съдове с дължина </w:t>
      </w:r>
      <m:oMath>
        <m:r>
          <w:rPr>
            <w:rFonts w:ascii="Cambria Math" w:hAnsi="Cambria Math"/>
            <w:szCs w:val="20"/>
            <w:lang w:val="bg-BG"/>
          </w:rPr>
          <m:t>L</m:t>
        </m:r>
      </m:oMath>
      <w:r w:rsidRPr="009072DA">
        <w:rPr>
          <w:lang w:val="bg-BG"/>
        </w:rPr>
        <w:t xml:space="preserve"> над 110 m, които:</w:t>
      </w:r>
    </w:p>
    <w:p w:rsidR="00FC5FF6" w:rsidRPr="009072DA" w:rsidRDefault="00FC5FF6" w:rsidP="00310312">
      <w:pPr>
        <w:pStyle w:val="ESlet"/>
        <w:rPr>
          <w:lang w:val="bg-BG"/>
        </w:rPr>
      </w:pPr>
      <w:r w:rsidRPr="009072DA">
        <w:rPr>
          <w:lang w:val="bg-BG"/>
        </w:rPr>
        <w:t>a)</w:t>
      </w:r>
      <w:r w:rsidRPr="009072DA">
        <w:rPr>
          <w:lang w:val="bg-BG"/>
        </w:rPr>
        <w:tab/>
        <w:t>отговарят на изискванията по точка 1, букви а) — г);</w:t>
      </w:r>
    </w:p>
    <w:p w:rsidR="0090753B" w:rsidRPr="009072DA" w:rsidRDefault="00FC5FF6" w:rsidP="00310312">
      <w:pPr>
        <w:pStyle w:val="ESlet"/>
        <w:rPr>
          <w:rFonts w:cs="Arial"/>
          <w:lang w:val="bg-BG"/>
        </w:rPr>
      </w:pPr>
      <w:r w:rsidRPr="009072DA">
        <w:rPr>
          <w:lang w:val="bg-BG"/>
        </w:rPr>
        <w:t>б)</w:t>
      </w:r>
      <w:r w:rsidRPr="009072DA">
        <w:rPr>
          <w:lang w:val="bg-BG"/>
        </w:rPr>
        <w:tab/>
        <w:t>са построени или преустроени за най-високия си клас под надзора на призната класификационна организация, като в този случай съответствието се потвърждава чрез удостоверение, издадено от признатата класификационна организация. Поддържане на клас не е необходимо;</w:t>
      </w:r>
    </w:p>
    <w:p w:rsidR="00310312" w:rsidRPr="009072DA" w:rsidRDefault="00310312" w:rsidP="00310312">
      <w:pPr>
        <w:pStyle w:val="ESlet"/>
        <w:rPr>
          <w:lang w:val="bg-BG"/>
        </w:rPr>
      </w:pPr>
      <w:r w:rsidRPr="009072DA">
        <w:rPr>
          <w:lang w:val="bg-BG"/>
        </w:rPr>
        <w:br w:type="page"/>
      </w:r>
    </w:p>
    <w:p w:rsidR="00FC5FF6" w:rsidRPr="009072DA" w:rsidRDefault="00FC5FF6" w:rsidP="00FC5FF6">
      <w:pPr>
        <w:pStyle w:val="ESlet"/>
        <w:rPr>
          <w:lang w:val="bg-BG"/>
        </w:rPr>
      </w:pPr>
      <w:r w:rsidRPr="009072DA">
        <w:rPr>
          <w:lang w:val="bg-BG"/>
        </w:rPr>
        <w:lastRenderedPageBreak/>
        <w:t>в)</w:t>
      </w:r>
      <w:r w:rsidRPr="009072DA">
        <w:rPr>
          <w:lang w:val="bg-BG"/>
        </w:rPr>
        <w:tab/>
        <w:t>имат двойно дъно с височина не по-малка от 600 mm и разделяне на отсеци, гарантиращо, че в случай на наводняване на които и да било два съседни водонепроницаеми отсека плавателният съд няма да потъне по-ниско от пределната линия и ще има остатъчно разстояние на безопасност от 100 mm,</w:t>
      </w:r>
    </w:p>
    <w:p w:rsidR="00FC5FF6" w:rsidRPr="009072DA" w:rsidRDefault="00FC5FF6" w:rsidP="00FC5FF6">
      <w:pPr>
        <w:pStyle w:val="ESletpar"/>
        <w:rPr>
          <w:lang w:val="bg-BG"/>
        </w:rPr>
      </w:pPr>
      <w:r w:rsidRPr="009072DA">
        <w:rPr>
          <w:lang w:val="bg-BG"/>
        </w:rPr>
        <w:t>или</w:t>
      </w:r>
    </w:p>
    <w:p w:rsidR="00FC5FF6" w:rsidRPr="009072DA" w:rsidRDefault="00FC5FF6" w:rsidP="00FC5FF6">
      <w:pPr>
        <w:pStyle w:val="ESletpar"/>
        <w:rPr>
          <w:lang w:val="bg-BG"/>
        </w:rPr>
      </w:pPr>
      <w:r w:rsidRPr="009072DA">
        <w:rPr>
          <w:lang w:val="bg-BG"/>
        </w:rPr>
        <w:t>имат двойно дъно с височина не по-малка от 600 mm и двоен корпус с разстояние не по-малко от 800 mm между страничната стена на плавателния съд и надлъжната преграда;</w:t>
      </w:r>
    </w:p>
    <w:p w:rsidR="0090753B" w:rsidRPr="009072DA" w:rsidRDefault="00FC5FF6" w:rsidP="00310312">
      <w:pPr>
        <w:pStyle w:val="ESlet"/>
        <w:rPr>
          <w:lang w:val="bg-BG"/>
        </w:rPr>
      </w:pPr>
      <w:r w:rsidRPr="009072DA">
        <w:rPr>
          <w:lang w:val="bg-BG"/>
        </w:rPr>
        <w:t>г)</w:t>
      </w:r>
      <w:r w:rsidRPr="009072DA">
        <w:rPr>
          <w:lang w:val="bg-BG"/>
        </w:rPr>
        <w:tab/>
        <w:t>са оборудвани с многовинтова задвижваща система с най-малко два отделни двигателя с еднаква мощност и носово подрулващо устройство, което може да се управлява от рулевата рубка и което действа както надлъжно, така и напречно;</w:t>
      </w:r>
    </w:p>
    <w:p w:rsidR="0090753B" w:rsidRPr="009072DA" w:rsidRDefault="00FC5FF6" w:rsidP="00310312">
      <w:pPr>
        <w:pStyle w:val="ESlet"/>
        <w:rPr>
          <w:lang w:val="bg-BG"/>
        </w:rPr>
      </w:pPr>
      <w:r w:rsidRPr="009072DA">
        <w:rPr>
          <w:lang w:val="bg-BG"/>
        </w:rPr>
        <w:t>д)</w:t>
      </w:r>
      <w:r w:rsidRPr="009072DA">
        <w:rPr>
          <w:lang w:val="bg-BG"/>
        </w:rPr>
        <w:tab/>
        <w:t>позволяват кърмовите котви да се задействат директно от рулевата рубка;</w:t>
      </w:r>
    </w:p>
    <w:p w:rsidR="00447377" w:rsidRPr="009072DA" w:rsidRDefault="00447377" w:rsidP="00447377">
      <w:pPr>
        <w:pStyle w:val="ESchpar"/>
        <w:rPr>
          <w:lang w:val="bg-BG"/>
        </w:rPr>
      </w:pPr>
    </w:p>
    <w:p w:rsidR="0090753B" w:rsidRPr="009072DA" w:rsidRDefault="0090753B" w:rsidP="00447377">
      <w:pPr>
        <w:pStyle w:val="ESchpar"/>
        <w:rPr>
          <w:lang w:val="bg-BG"/>
        </w:rPr>
      </w:pPr>
      <w:r w:rsidRPr="009072DA">
        <w:rPr>
          <w:lang w:val="bg-BG"/>
        </w:rPr>
        <w:t>в точка 52 от удостоверението на плавателния съд за плаване по вътрешни водни пътища се вписва, че той отговаря на всички изисквания по букви а) — д).</w:t>
      </w:r>
    </w:p>
    <w:p w:rsidR="0090753B" w:rsidRPr="009072DA" w:rsidRDefault="0090753B" w:rsidP="0090753B">
      <w:pPr>
        <w:pStyle w:val="ESch"/>
        <w:rPr>
          <w:rFonts w:eastAsia="Arial" w:cs="Arial"/>
          <w:snapToGrid w:val="0"/>
          <w:color w:val="000000"/>
          <w:szCs w:val="20"/>
          <w:lang w:val="bg-BG"/>
        </w:rPr>
      </w:pPr>
    </w:p>
    <w:p w:rsidR="0090753B" w:rsidRPr="009072DA" w:rsidRDefault="0090753B" w:rsidP="0090753B">
      <w:pPr>
        <w:pStyle w:val="ESch"/>
        <w:rPr>
          <w:rFonts w:cs="Arial"/>
          <w:szCs w:val="20"/>
          <w:lang w:val="bg-BG"/>
        </w:rPr>
      </w:pPr>
    </w:p>
    <w:p w:rsidR="00451B55" w:rsidRPr="009072DA" w:rsidRDefault="00451B55" w:rsidP="0090753B">
      <w:pPr>
        <w:pStyle w:val="ESch"/>
        <w:rPr>
          <w:rFonts w:cs="Arial"/>
          <w:szCs w:val="20"/>
          <w:lang w:val="bg-BG"/>
        </w:rPr>
      </w:pPr>
      <w:r w:rsidRPr="009072DA">
        <w:rPr>
          <w:lang w:val="bg-BG"/>
        </w:rPr>
        <w:br w:type="page"/>
      </w:r>
    </w:p>
    <w:p w:rsidR="0090753B" w:rsidRPr="009072DA" w:rsidRDefault="0090753B" w:rsidP="0090753B">
      <w:pPr>
        <w:pStyle w:val="ESch"/>
        <w:rPr>
          <w:rFonts w:cs="Arial"/>
          <w:szCs w:val="20"/>
          <w:lang w:val="bg-BG"/>
        </w:rPr>
      </w:pPr>
    </w:p>
    <w:p w:rsidR="0035236A" w:rsidRPr="009072DA" w:rsidRDefault="0035236A" w:rsidP="0035236A">
      <w:pPr>
        <w:pStyle w:val="ES-Titre2"/>
        <w:rPr>
          <w:szCs w:val="24"/>
        </w:rPr>
      </w:pPr>
      <w:bookmarkStart w:id="501" w:name="_Toc491854248"/>
      <w:bookmarkStart w:id="502" w:name="_Toc535827689"/>
      <w:r w:rsidRPr="009072DA">
        <w:lastRenderedPageBreak/>
        <w:t>Глава 29</w:t>
      </w:r>
      <w:r w:rsidRPr="009072DA">
        <w:br/>
      </w:r>
      <w:r w:rsidRPr="009072DA">
        <w:rPr>
          <w:sz w:val="22"/>
        </w:rPr>
        <w:t>Специални разпоредби, приложими към високоскоростни плавателни съдове</w:t>
      </w:r>
      <w:bookmarkEnd w:id="501"/>
      <w:bookmarkEnd w:id="502"/>
    </w:p>
    <w:p w:rsidR="0035236A" w:rsidRPr="009072DA" w:rsidRDefault="0035236A" w:rsidP="007407E1">
      <w:pPr>
        <w:pStyle w:val="ESgauche"/>
        <w:rPr>
          <w:noProof w:val="0"/>
          <w:lang w:val="bg-BG"/>
        </w:rPr>
      </w:pPr>
    </w:p>
    <w:p w:rsidR="0035236A" w:rsidRPr="009072DA" w:rsidRDefault="0035236A" w:rsidP="0035236A">
      <w:pPr>
        <w:pStyle w:val="ES-Titre3"/>
        <w:rPr>
          <w:lang w:val="bg-BG"/>
        </w:rPr>
      </w:pPr>
      <w:bookmarkStart w:id="503" w:name="_Toc491854249"/>
      <w:bookmarkStart w:id="504" w:name="_Toc535827690"/>
      <w:r w:rsidRPr="009072DA">
        <w:rPr>
          <w:lang w:val="bg-BG"/>
        </w:rPr>
        <w:t>Член 29.01</w:t>
      </w:r>
      <w:r w:rsidRPr="009072DA">
        <w:rPr>
          <w:lang w:val="bg-BG"/>
        </w:rPr>
        <w:br/>
      </w:r>
      <w:r w:rsidRPr="009072DA">
        <w:rPr>
          <w:i/>
          <w:lang w:val="bg-BG"/>
        </w:rPr>
        <w:t>Общи положения</w:t>
      </w:r>
      <w:bookmarkEnd w:id="503"/>
      <w:bookmarkEnd w:id="504"/>
    </w:p>
    <w:p w:rsidR="0035236A" w:rsidRPr="009072DA" w:rsidRDefault="0035236A" w:rsidP="0035236A">
      <w:pPr>
        <w:pStyle w:val="ESch"/>
        <w:rPr>
          <w:lang w:val="bg-BG"/>
        </w:rPr>
      </w:pPr>
    </w:p>
    <w:p w:rsidR="00125490" w:rsidRPr="009072DA" w:rsidRDefault="00125490" w:rsidP="00125490">
      <w:pPr>
        <w:pStyle w:val="ESch"/>
        <w:rPr>
          <w:lang w:val="bg-BG"/>
        </w:rPr>
      </w:pPr>
      <w:r w:rsidRPr="009072DA">
        <w:rPr>
          <w:lang w:val="bg-BG"/>
        </w:rPr>
        <w:t>1.</w:t>
      </w:r>
      <w:r w:rsidRPr="009072DA">
        <w:rPr>
          <w:lang w:val="bg-BG"/>
        </w:rPr>
        <w:tab/>
        <w:t>Високоскоростните плавателни съдове не се строят като плавателни съдове с каюти.</w:t>
      </w:r>
    </w:p>
    <w:p w:rsidR="00125490" w:rsidRPr="009072DA" w:rsidRDefault="00125490" w:rsidP="00125490">
      <w:pPr>
        <w:pStyle w:val="ESch"/>
        <w:rPr>
          <w:lang w:val="bg-BG"/>
        </w:rPr>
      </w:pPr>
    </w:p>
    <w:p w:rsidR="00125490" w:rsidRPr="009072DA" w:rsidRDefault="00125490" w:rsidP="00125490">
      <w:pPr>
        <w:pStyle w:val="ESch"/>
        <w:rPr>
          <w:lang w:val="bg-BG"/>
        </w:rPr>
      </w:pPr>
      <w:r w:rsidRPr="009072DA">
        <w:rPr>
          <w:lang w:val="bg-BG"/>
        </w:rPr>
        <w:t>2.</w:t>
      </w:r>
      <w:r w:rsidRPr="009072DA">
        <w:rPr>
          <w:lang w:val="bg-BG"/>
        </w:rPr>
        <w:tab/>
        <w:t>Следните инсталации са забранени на брода на високоскоростните плавателни съдове:</w:t>
      </w:r>
    </w:p>
    <w:p w:rsidR="00125490" w:rsidRPr="009072DA" w:rsidRDefault="005C7859" w:rsidP="00125490">
      <w:pPr>
        <w:pStyle w:val="ESlet"/>
        <w:rPr>
          <w:lang w:val="bg-BG"/>
        </w:rPr>
      </w:pPr>
      <w:r w:rsidRPr="009072DA">
        <w:rPr>
          <w:lang w:val="bg-BG"/>
        </w:rPr>
        <w:t>a)</w:t>
      </w:r>
      <w:r w:rsidRPr="009072DA">
        <w:rPr>
          <w:lang w:val="bg-BG"/>
        </w:rPr>
        <w:tab/>
        <w:t>уреди, оборудвани с фитилени горелки съгласно член 16.02;</w:t>
      </w:r>
    </w:p>
    <w:p w:rsidR="00125490" w:rsidRPr="009072DA" w:rsidRDefault="005C7859" w:rsidP="00125490">
      <w:pPr>
        <w:pStyle w:val="ESlet"/>
        <w:rPr>
          <w:lang w:val="bg-BG"/>
        </w:rPr>
      </w:pPr>
      <w:r w:rsidRPr="009072DA">
        <w:rPr>
          <w:lang w:val="bg-BG"/>
        </w:rPr>
        <w:t>б)</w:t>
      </w:r>
      <w:r w:rsidRPr="009072DA">
        <w:rPr>
          <w:lang w:val="bg-BG"/>
        </w:rPr>
        <w:tab/>
        <w:t>печки с изпарителни мазутни горелки съгласно членове 16.03 и 16.04;</w:t>
      </w:r>
    </w:p>
    <w:p w:rsidR="00125490" w:rsidRPr="009072DA" w:rsidRDefault="005C7859" w:rsidP="00125490">
      <w:pPr>
        <w:pStyle w:val="ESlet"/>
        <w:rPr>
          <w:lang w:val="bg-BG"/>
        </w:rPr>
      </w:pPr>
      <w:r w:rsidRPr="009072DA">
        <w:rPr>
          <w:lang w:val="bg-BG"/>
        </w:rPr>
        <w:t>в)</w:t>
      </w:r>
      <w:r w:rsidRPr="009072DA">
        <w:rPr>
          <w:lang w:val="bg-BG"/>
        </w:rPr>
        <w:tab/>
        <w:t>отоплителни устройства, работещи с твърдо гориво съгласно член 16.07;</w:t>
      </w:r>
    </w:p>
    <w:p w:rsidR="00125490" w:rsidRPr="009072DA" w:rsidRDefault="0029453D" w:rsidP="00125490">
      <w:pPr>
        <w:pStyle w:val="ESlet"/>
        <w:rPr>
          <w:lang w:val="bg-BG"/>
        </w:rPr>
      </w:pPr>
      <w:r w:rsidRPr="009072DA">
        <w:rPr>
          <w:lang w:val="bg-BG"/>
        </w:rPr>
        <w:t>г)</w:t>
      </w:r>
      <w:r w:rsidRPr="009072DA">
        <w:rPr>
          <w:lang w:val="bg-BG"/>
        </w:rPr>
        <w:tab/>
        <w:t>уредби за втечнен газ съгласно глава 17.</w:t>
      </w:r>
    </w:p>
    <w:p w:rsidR="00125490" w:rsidRPr="009072DA" w:rsidRDefault="00125490" w:rsidP="00125490">
      <w:pPr>
        <w:pStyle w:val="ESch"/>
        <w:rPr>
          <w:rFonts w:cs="Arial"/>
          <w:szCs w:val="20"/>
          <w:lang w:val="bg-BG"/>
        </w:rPr>
      </w:pPr>
    </w:p>
    <w:p w:rsidR="00125490" w:rsidRPr="009072DA" w:rsidRDefault="00F33F55" w:rsidP="00125490">
      <w:pPr>
        <w:pStyle w:val="ESch"/>
        <w:rPr>
          <w:szCs w:val="20"/>
          <w:lang w:val="bg-BG"/>
        </w:rPr>
      </w:pPr>
      <w:r w:rsidRPr="009072DA">
        <w:rPr>
          <w:lang w:val="bg-BG"/>
        </w:rPr>
        <w:t>3.</w:t>
      </w:r>
      <w:r w:rsidRPr="009072DA">
        <w:rPr>
          <w:lang w:val="bg-BG"/>
        </w:rPr>
        <w:tab/>
        <w:t>Високоскоростните плавателни съдове се изграждат и класифицират под надзора и в съответствие с действащите правила на призната класификационна организация, която има специални правила за тях. Класът трябва да се поддържа.</w:t>
      </w:r>
    </w:p>
    <w:p w:rsidR="00125490" w:rsidRPr="009072DA" w:rsidRDefault="00125490" w:rsidP="00125490">
      <w:pPr>
        <w:pStyle w:val="ESch"/>
        <w:rPr>
          <w:szCs w:val="20"/>
          <w:lang w:val="bg-BG"/>
        </w:rPr>
      </w:pPr>
    </w:p>
    <w:p w:rsidR="00125490" w:rsidRPr="009072DA" w:rsidRDefault="00125490" w:rsidP="00125490">
      <w:pPr>
        <w:pStyle w:val="ESch"/>
        <w:rPr>
          <w:szCs w:val="20"/>
          <w:lang w:val="bg-BG"/>
        </w:rPr>
      </w:pPr>
    </w:p>
    <w:p w:rsidR="00125490" w:rsidRPr="009072DA" w:rsidRDefault="00125490" w:rsidP="00125490">
      <w:pPr>
        <w:pStyle w:val="ES-Titre3"/>
        <w:rPr>
          <w:i/>
          <w:lang w:val="bg-BG"/>
        </w:rPr>
      </w:pPr>
      <w:bookmarkStart w:id="505" w:name="_Toc491854250"/>
      <w:bookmarkStart w:id="506" w:name="_Toc535827691"/>
      <w:r w:rsidRPr="009072DA">
        <w:rPr>
          <w:lang w:val="bg-BG"/>
        </w:rPr>
        <w:t>Член 29.02</w:t>
      </w:r>
      <w:r w:rsidRPr="009072DA">
        <w:rPr>
          <w:lang w:val="bg-BG"/>
        </w:rPr>
        <w:br/>
      </w:r>
      <w:r w:rsidRPr="009072DA">
        <w:rPr>
          <w:i/>
          <w:lang w:val="bg-BG"/>
        </w:rPr>
        <w:t>Прилагане на части II и III</w:t>
      </w:r>
      <w:bookmarkEnd w:id="505"/>
      <w:bookmarkEnd w:id="506"/>
    </w:p>
    <w:p w:rsidR="00125490" w:rsidRPr="009072DA" w:rsidRDefault="00125490" w:rsidP="00125490">
      <w:pPr>
        <w:pStyle w:val="ESch"/>
        <w:rPr>
          <w:szCs w:val="20"/>
          <w:lang w:val="bg-BG"/>
        </w:rPr>
      </w:pPr>
    </w:p>
    <w:p w:rsidR="00125490" w:rsidRPr="009072DA" w:rsidRDefault="00125490" w:rsidP="00125490">
      <w:pPr>
        <w:pStyle w:val="ESch"/>
        <w:rPr>
          <w:szCs w:val="20"/>
          <w:lang w:val="bg-BG"/>
        </w:rPr>
      </w:pPr>
      <w:r w:rsidRPr="009072DA">
        <w:rPr>
          <w:lang w:val="bg-BG"/>
        </w:rPr>
        <w:t>1.</w:t>
      </w:r>
      <w:r w:rsidRPr="009072DA">
        <w:rPr>
          <w:lang w:val="bg-BG"/>
        </w:rPr>
        <w:tab/>
        <w:t>Независимо от точка 2, глави 3—19 се прилагат по отношение на високоскоростните плавателни съдове, с изключение на следните разпоредби:</w:t>
      </w:r>
    </w:p>
    <w:p w:rsidR="00125490" w:rsidRPr="009072DA" w:rsidRDefault="005C7859" w:rsidP="00125490">
      <w:pPr>
        <w:pStyle w:val="ESlet"/>
        <w:rPr>
          <w:lang w:val="bg-BG"/>
        </w:rPr>
      </w:pPr>
      <w:r w:rsidRPr="009072DA">
        <w:rPr>
          <w:lang w:val="bg-BG"/>
        </w:rPr>
        <w:t>a)</w:t>
      </w:r>
      <w:r w:rsidRPr="009072DA">
        <w:rPr>
          <w:lang w:val="bg-BG"/>
        </w:rPr>
        <w:tab/>
        <w:t>член 3.04, точка 6, втора алинея;</w:t>
      </w:r>
    </w:p>
    <w:p w:rsidR="00125490" w:rsidRPr="009072DA" w:rsidRDefault="005C7859" w:rsidP="00125490">
      <w:pPr>
        <w:pStyle w:val="ESlet"/>
        <w:rPr>
          <w:lang w:val="bg-BG"/>
        </w:rPr>
      </w:pPr>
      <w:r w:rsidRPr="009072DA">
        <w:rPr>
          <w:lang w:val="bg-BG"/>
        </w:rPr>
        <w:t>б)</w:t>
      </w:r>
      <w:r w:rsidRPr="009072DA">
        <w:rPr>
          <w:lang w:val="bg-BG"/>
        </w:rPr>
        <w:tab/>
        <w:t>член 8.08, точка 2, второ изречение;</w:t>
      </w:r>
    </w:p>
    <w:p w:rsidR="00125490" w:rsidRPr="009072DA" w:rsidRDefault="005C7859" w:rsidP="00125490">
      <w:pPr>
        <w:pStyle w:val="ESlet"/>
        <w:rPr>
          <w:lang w:val="bg-BG"/>
        </w:rPr>
      </w:pPr>
      <w:r w:rsidRPr="009072DA">
        <w:rPr>
          <w:lang w:val="bg-BG"/>
        </w:rPr>
        <w:t>в)</w:t>
      </w:r>
      <w:r w:rsidRPr="009072DA">
        <w:rPr>
          <w:lang w:val="bg-BG"/>
        </w:rPr>
        <w:tab/>
        <w:t>член 14.02, точка 4, второ и трето изречение;</w:t>
      </w:r>
    </w:p>
    <w:p w:rsidR="00125490" w:rsidRPr="009072DA" w:rsidRDefault="0029453D" w:rsidP="00125490">
      <w:pPr>
        <w:pStyle w:val="ESlet"/>
        <w:rPr>
          <w:lang w:val="bg-BG"/>
        </w:rPr>
      </w:pPr>
      <w:r w:rsidRPr="009072DA">
        <w:rPr>
          <w:lang w:val="bg-BG"/>
        </w:rPr>
        <w:t>г)</w:t>
      </w:r>
      <w:r w:rsidRPr="009072DA">
        <w:rPr>
          <w:lang w:val="bg-BG"/>
        </w:rPr>
        <w:tab/>
        <w:t>член 15.02, точка 4, второ изречение;</w:t>
      </w:r>
    </w:p>
    <w:p w:rsidR="00125490" w:rsidRPr="009072DA" w:rsidRDefault="0029453D" w:rsidP="00125490">
      <w:pPr>
        <w:pStyle w:val="ESlet"/>
        <w:rPr>
          <w:lang w:val="bg-BG"/>
        </w:rPr>
      </w:pPr>
      <w:r w:rsidRPr="009072DA">
        <w:rPr>
          <w:lang w:val="bg-BG"/>
        </w:rPr>
        <w:t>д)</w:t>
      </w:r>
      <w:r w:rsidRPr="009072DA">
        <w:rPr>
          <w:lang w:val="bg-BG"/>
        </w:rPr>
        <w:tab/>
        <w:t>член 19.06, точка 3, буква а), второ изречение.</w:t>
      </w:r>
    </w:p>
    <w:p w:rsidR="00125490" w:rsidRPr="009072DA" w:rsidRDefault="00125490" w:rsidP="00125490">
      <w:pPr>
        <w:pStyle w:val="ESch"/>
        <w:rPr>
          <w:szCs w:val="20"/>
          <w:lang w:val="bg-BG"/>
        </w:rPr>
      </w:pPr>
    </w:p>
    <w:p w:rsidR="00125490" w:rsidRPr="009072DA" w:rsidRDefault="00125490" w:rsidP="00125490">
      <w:pPr>
        <w:pStyle w:val="ESch"/>
        <w:rPr>
          <w:szCs w:val="20"/>
          <w:lang w:val="bg-BG"/>
        </w:rPr>
      </w:pPr>
      <w:r w:rsidRPr="009072DA">
        <w:rPr>
          <w:lang w:val="bg-BG"/>
        </w:rPr>
        <w:t>2.</w:t>
      </w:r>
      <w:r w:rsidRPr="009072DA">
        <w:rPr>
          <w:lang w:val="bg-BG"/>
        </w:rPr>
        <w:tab/>
        <w:t>Чрез дерогация от член 19.02, точка 9 и член 19.15, точка 7, всички врати във водонепроницаемите прегради трябва да могат да се управляват с дистанционно.</w:t>
      </w:r>
    </w:p>
    <w:p w:rsidR="00125490" w:rsidRPr="009072DA" w:rsidRDefault="00125490" w:rsidP="00125490">
      <w:pPr>
        <w:pStyle w:val="ESch"/>
        <w:rPr>
          <w:szCs w:val="20"/>
          <w:lang w:val="bg-BG"/>
        </w:rPr>
      </w:pPr>
    </w:p>
    <w:p w:rsidR="00125490" w:rsidRPr="009072DA" w:rsidRDefault="00125490" w:rsidP="00125490">
      <w:pPr>
        <w:pStyle w:val="ESch"/>
        <w:rPr>
          <w:szCs w:val="20"/>
          <w:lang w:val="bg-BG"/>
        </w:rPr>
      </w:pPr>
      <w:r w:rsidRPr="009072DA">
        <w:rPr>
          <w:lang w:val="bg-BG"/>
        </w:rPr>
        <w:lastRenderedPageBreak/>
        <w:t>3.</w:t>
      </w:r>
      <w:r w:rsidRPr="009072DA">
        <w:rPr>
          <w:lang w:val="bg-BG"/>
        </w:rPr>
        <w:tab/>
        <w:t>Чрез дерогация от член 6.02, точка 1, в случай на отказ или повреда на задвижващото звено на рулевия апарат второ независимо задвижващо звено на рулевата апаратура или ръчно задвижвано звено трябва да започне да работи без забавяне.</w:t>
      </w:r>
    </w:p>
    <w:p w:rsidR="00125490" w:rsidRPr="009072DA" w:rsidRDefault="00125490" w:rsidP="00125490">
      <w:pPr>
        <w:pStyle w:val="ESch"/>
        <w:rPr>
          <w:szCs w:val="20"/>
          <w:lang w:val="bg-BG"/>
        </w:rPr>
      </w:pPr>
    </w:p>
    <w:p w:rsidR="00125490" w:rsidRPr="009072DA" w:rsidRDefault="00125490" w:rsidP="00125490">
      <w:pPr>
        <w:pStyle w:val="ESch"/>
        <w:rPr>
          <w:szCs w:val="20"/>
          <w:lang w:val="bg-BG"/>
        </w:rPr>
      </w:pPr>
      <w:r w:rsidRPr="009072DA">
        <w:rPr>
          <w:lang w:val="bg-BG"/>
        </w:rPr>
        <w:t>4.</w:t>
      </w:r>
      <w:r w:rsidRPr="009072DA">
        <w:rPr>
          <w:lang w:val="bg-BG"/>
        </w:rPr>
        <w:tab/>
        <w:t>В допълнение към изискванията от точки 1 — 3, високоскоростните плавателни съдове трябва да отговарят на изискванията на членове 29.03 — 29.10.</w:t>
      </w:r>
    </w:p>
    <w:p w:rsidR="00125490" w:rsidRPr="009072DA" w:rsidRDefault="00125490" w:rsidP="00125490">
      <w:pPr>
        <w:pStyle w:val="ESch"/>
        <w:rPr>
          <w:rFonts w:cs="Arial"/>
          <w:szCs w:val="20"/>
          <w:lang w:val="bg-BG"/>
        </w:rPr>
      </w:pPr>
    </w:p>
    <w:p w:rsidR="00125490" w:rsidRPr="009072DA" w:rsidRDefault="00125490" w:rsidP="00125490">
      <w:pPr>
        <w:pStyle w:val="ESch"/>
        <w:rPr>
          <w:rFonts w:cs="Arial"/>
          <w:szCs w:val="20"/>
          <w:lang w:val="bg-BG"/>
        </w:rPr>
      </w:pPr>
      <w:r w:rsidRPr="009072DA">
        <w:rPr>
          <w:lang w:val="bg-BG"/>
        </w:rPr>
        <w:br w:type="page"/>
      </w:r>
    </w:p>
    <w:p w:rsidR="00125490" w:rsidRPr="009072DA" w:rsidRDefault="00125490" w:rsidP="00125490">
      <w:pPr>
        <w:pStyle w:val="ES-Titre3"/>
        <w:rPr>
          <w:i/>
          <w:lang w:val="bg-BG"/>
        </w:rPr>
      </w:pPr>
      <w:bookmarkStart w:id="507" w:name="_Toc491854251"/>
      <w:bookmarkStart w:id="508" w:name="_Toc535827692"/>
      <w:r w:rsidRPr="009072DA">
        <w:rPr>
          <w:lang w:val="bg-BG"/>
        </w:rPr>
        <w:lastRenderedPageBreak/>
        <w:t>Член 29.03</w:t>
      </w:r>
      <w:r w:rsidRPr="009072DA">
        <w:rPr>
          <w:lang w:val="bg-BG"/>
        </w:rPr>
        <w:br/>
      </w:r>
      <w:r w:rsidRPr="009072DA">
        <w:rPr>
          <w:i/>
          <w:lang w:val="bg-BG"/>
        </w:rPr>
        <w:t>Седалки и предпазни колани</w:t>
      </w:r>
      <w:bookmarkEnd w:id="507"/>
      <w:bookmarkEnd w:id="508"/>
    </w:p>
    <w:p w:rsidR="00125490" w:rsidRPr="009072DA" w:rsidRDefault="00125490" w:rsidP="00125490">
      <w:pPr>
        <w:pStyle w:val="ESch"/>
        <w:rPr>
          <w:szCs w:val="20"/>
          <w:lang w:val="bg-BG"/>
        </w:rPr>
      </w:pPr>
    </w:p>
    <w:p w:rsidR="00125490" w:rsidRPr="009072DA" w:rsidRDefault="00125490" w:rsidP="009B3495">
      <w:pPr>
        <w:pStyle w:val="ESgauche"/>
        <w:rPr>
          <w:noProof w:val="0"/>
          <w:lang w:val="bg-BG"/>
        </w:rPr>
      </w:pPr>
      <w:r w:rsidRPr="009072DA">
        <w:rPr>
          <w:noProof w:val="0"/>
          <w:lang w:val="bg-BG"/>
        </w:rPr>
        <w:t>Седалки се осигуряват за максималния допустим брой пътници на борда. Седалките трябва да бъдат оборудвани с предпазни колани. Предпазните колани може да не се изискват, в случай че е осигурена подходяща защита от удар или ако те не се изискват съгласно глава 4, част 6 от Кодекса HSC 2000.</w:t>
      </w:r>
    </w:p>
    <w:p w:rsidR="00125490" w:rsidRPr="009072DA" w:rsidRDefault="00125490" w:rsidP="00125490">
      <w:pPr>
        <w:pStyle w:val="ESch"/>
        <w:rPr>
          <w:rFonts w:cs="Arial"/>
          <w:szCs w:val="20"/>
          <w:lang w:val="bg-BG"/>
        </w:rPr>
      </w:pPr>
    </w:p>
    <w:p w:rsidR="009B3495" w:rsidRPr="009072DA" w:rsidRDefault="009B3495" w:rsidP="00125490">
      <w:pPr>
        <w:pStyle w:val="ESch"/>
        <w:rPr>
          <w:rFonts w:cs="Arial"/>
          <w:szCs w:val="20"/>
          <w:lang w:val="bg-BG"/>
        </w:rPr>
      </w:pPr>
    </w:p>
    <w:p w:rsidR="00125490" w:rsidRPr="009072DA" w:rsidRDefault="00125490" w:rsidP="00125490">
      <w:pPr>
        <w:pStyle w:val="ES-Titre3"/>
        <w:rPr>
          <w:i/>
          <w:lang w:val="bg-BG"/>
        </w:rPr>
      </w:pPr>
      <w:bookmarkStart w:id="509" w:name="_Toc491854252"/>
      <w:bookmarkStart w:id="510" w:name="_Toc535827693"/>
      <w:r w:rsidRPr="009072DA">
        <w:rPr>
          <w:lang w:val="bg-BG"/>
        </w:rPr>
        <w:t>Член 29.04</w:t>
      </w:r>
      <w:r w:rsidRPr="009072DA">
        <w:rPr>
          <w:lang w:val="bg-BG"/>
        </w:rPr>
        <w:br/>
      </w:r>
      <w:r w:rsidRPr="009072DA">
        <w:rPr>
          <w:i/>
          <w:lang w:val="bg-BG"/>
        </w:rPr>
        <w:t>Надводен борд</w:t>
      </w:r>
      <w:bookmarkEnd w:id="509"/>
      <w:bookmarkEnd w:id="510"/>
    </w:p>
    <w:p w:rsidR="009B3495" w:rsidRPr="009072DA" w:rsidRDefault="009B3495" w:rsidP="00125490">
      <w:pPr>
        <w:pStyle w:val="ESch"/>
        <w:rPr>
          <w:szCs w:val="20"/>
          <w:lang w:val="bg-BG"/>
        </w:rPr>
      </w:pPr>
    </w:p>
    <w:p w:rsidR="00125490" w:rsidRPr="009072DA" w:rsidRDefault="00125490" w:rsidP="009B3495">
      <w:pPr>
        <w:pStyle w:val="ESgauche"/>
        <w:rPr>
          <w:noProof w:val="0"/>
          <w:lang w:val="bg-BG"/>
        </w:rPr>
      </w:pPr>
      <w:r w:rsidRPr="009072DA">
        <w:rPr>
          <w:noProof w:val="0"/>
          <w:lang w:val="bg-BG"/>
        </w:rPr>
        <w:t>Чрез дерогация от членове 4.02 и 4.03 надводният борд трябва да е най-малко 500 mm.</w:t>
      </w:r>
    </w:p>
    <w:p w:rsidR="00125490" w:rsidRPr="009072DA" w:rsidRDefault="00125490" w:rsidP="00125490">
      <w:pPr>
        <w:pStyle w:val="ESch"/>
        <w:rPr>
          <w:rFonts w:cs="Arial"/>
          <w:szCs w:val="20"/>
          <w:lang w:val="bg-BG"/>
        </w:rPr>
      </w:pPr>
    </w:p>
    <w:p w:rsidR="009B3495" w:rsidRPr="009072DA" w:rsidRDefault="009B3495" w:rsidP="00125490">
      <w:pPr>
        <w:pStyle w:val="ESch"/>
        <w:rPr>
          <w:rFonts w:cs="Arial"/>
          <w:szCs w:val="20"/>
          <w:lang w:val="bg-BG"/>
        </w:rPr>
      </w:pPr>
    </w:p>
    <w:p w:rsidR="00125490" w:rsidRPr="009072DA" w:rsidRDefault="00125490" w:rsidP="00125490">
      <w:pPr>
        <w:pStyle w:val="ES-Titre3"/>
        <w:rPr>
          <w:i/>
          <w:lang w:val="bg-BG"/>
        </w:rPr>
      </w:pPr>
      <w:bookmarkStart w:id="511" w:name="_Toc491854253"/>
      <w:bookmarkStart w:id="512" w:name="_Toc535827694"/>
      <w:r w:rsidRPr="009072DA">
        <w:rPr>
          <w:lang w:val="bg-BG"/>
        </w:rPr>
        <w:t>Член 29.05</w:t>
      </w:r>
      <w:r w:rsidRPr="009072DA">
        <w:rPr>
          <w:lang w:val="bg-BG"/>
        </w:rPr>
        <w:br/>
      </w:r>
      <w:r w:rsidRPr="009072DA">
        <w:rPr>
          <w:i/>
          <w:lang w:val="bg-BG"/>
        </w:rPr>
        <w:t>Плавателност, устойчивост и делене на отсеци</w:t>
      </w:r>
      <w:bookmarkEnd w:id="511"/>
      <w:bookmarkEnd w:id="512"/>
    </w:p>
    <w:p w:rsidR="009B3495" w:rsidRPr="009072DA" w:rsidRDefault="009B3495" w:rsidP="00125490">
      <w:pPr>
        <w:pStyle w:val="ESch"/>
        <w:rPr>
          <w:szCs w:val="20"/>
          <w:lang w:val="bg-BG"/>
        </w:rPr>
      </w:pPr>
    </w:p>
    <w:p w:rsidR="00125490" w:rsidRPr="009072DA" w:rsidRDefault="00125490" w:rsidP="009B3495">
      <w:pPr>
        <w:pStyle w:val="ESgauche"/>
        <w:rPr>
          <w:noProof w:val="0"/>
          <w:lang w:val="bg-BG"/>
        </w:rPr>
      </w:pPr>
      <w:r w:rsidRPr="009072DA">
        <w:rPr>
          <w:noProof w:val="0"/>
          <w:lang w:val="bg-BG"/>
        </w:rPr>
        <w:t>За високоскоростните плавателни съдове следва да бъдат предоставени достатъчно доказателства за:</w:t>
      </w:r>
    </w:p>
    <w:p w:rsidR="00125490" w:rsidRPr="009072DA" w:rsidRDefault="005C7859" w:rsidP="009B3495">
      <w:pPr>
        <w:pStyle w:val="ESletgauche"/>
        <w:rPr>
          <w:lang w:val="bg-BG"/>
        </w:rPr>
      </w:pPr>
      <w:r w:rsidRPr="009072DA">
        <w:rPr>
          <w:lang w:val="bg-BG"/>
        </w:rPr>
        <w:t>a)</w:t>
      </w:r>
      <w:r w:rsidRPr="009072DA">
        <w:rPr>
          <w:lang w:val="bg-BG"/>
        </w:rPr>
        <w:tab/>
        <w:t>характеристиките на плавателност и устойчивост, достатъчни за безопасността, когато плавателното средство се използва в режим на водоизместване, както в изправно, така и повредено състояние;</w:t>
      </w:r>
    </w:p>
    <w:p w:rsidR="00125490" w:rsidRPr="009072DA" w:rsidRDefault="005C7859" w:rsidP="009B3495">
      <w:pPr>
        <w:pStyle w:val="ESletgauche"/>
        <w:rPr>
          <w:lang w:val="bg-BG"/>
        </w:rPr>
      </w:pPr>
      <w:r w:rsidRPr="009072DA">
        <w:rPr>
          <w:lang w:val="bg-BG"/>
        </w:rPr>
        <w:t>б)</w:t>
      </w:r>
      <w:r w:rsidRPr="009072DA">
        <w:rPr>
          <w:lang w:val="bg-BG"/>
        </w:rPr>
        <w:tab/>
        <w:t>характеристиките на устойчивост и системите за стабилизиране, достатъчни за безопасността, когато плавателното средство се използва в режим на динамична плавателност и в преходен режим;</w:t>
      </w:r>
    </w:p>
    <w:p w:rsidR="00125490" w:rsidRPr="009072DA" w:rsidRDefault="005C7859" w:rsidP="009B3495">
      <w:pPr>
        <w:pStyle w:val="ESletgauche"/>
        <w:rPr>
          <w:lang w:val="bg-BG"/>
        </w:rPr>
      </w:pPr>
      <w:r w:rsidRPr="009072DA">
        <w:rPr>
          <w:lang w:val="bg-BG"/>
        </w:rPr>
        <w:t>в)</w:t>
      </w:r>
      <w:r w:rsidRPr="009072DA">
        <w:rPr>
          <w:lang w:val="bg-BG"/>
        </w:rPr>
        <w:tab/>
        <w:t>характеристиките на устойчивост, достатъчни за безопасността, когато плавателното средство се използва в режим на динамична плавателност и в преходен етап и дават възможност за безопасно привеждане на плавателното средство в режим на водоизместване при всеки отказ на системата.</w:t>
      </w:r>
    </w:p>
    <w:p w:rsidR="00125490" w:rsidRPr="009072DA" w:rsidRDefault="00125490" w:rsidP="00125490">
      <w:pPr>
        <w:pStyle w:val="ESch"/>
        <w:rPr>
          <w:rFonts w:cs="Arial"/>
          <w:szCs w:val="20"/>
          <w:lang w:val="bg-BG"/>
        </w:rPr>
      </w:pPr>
    </w:p>
    <w:p w:rsidR="009B3495" w:rsidRPr="009072DA" w:rsidRDefault="009B3495" w:rsidP="00125490">
      <w:pPr>
        <w:pStyle w:val="ESch"/>
        <w:rPr>
          <w:rFonts w:cs="Arial"/>
          <w:szCs w:val="20"/>
          <w:lang w:val="bg-BG"/>
        </w:rPr>
      </w:pPr>
    </w:p>
    <w:p w:rsidR="00125490" w:rsidRPr="009072DA" w:rsidRDefault="00125490" w:rsidP="00125490">
      <w:pPr>
        <w:pStyle w:val="ES-Titre3"/>
        <w:rPr>
          <w:i/>
          <w:lang w:val="bg-BG"/>
        </w:rPr>
      </w:pPr>
      <w:bookmarkStart w:id="513" w:name="_Toc491854254"/>
      <w:bookmarkStart w:id="514" w:name="_Toc535827695"/>
      <w:r w:rsidRPr="009072DA">
        <w:rPr>
          <w:lang w:val="bg-BG"/>
        </w:rPr>
        <w:t>Член 29.06</w:t>
      </w:r>
      <w:r w:rsidRPr="009072DA">
        <w:rPr>
          <w:lang w:val="bg-BG"/>
        </w:rPr>
        <w:br/>
      </w:r>
      <w:r w:rsidRPr="009072DA">
        <w:rPr>
          <w:i/>
          <w:lang w:val="bg-BG"/>
        </w:rPr>
        <w:t>Рулева рубка</w:t>
      </w:r>
      <w:bookmarkEnd w:id="513"/>
      <w:bookmarkEnd w:id="514"/>
    </w:p>
    <w:p w:rsidR="00125490" w:rsidRPr="009072DA" w:rsidRDefault="00125490" w:rsidP="00125490">
      <w:pPr>
        <w:pStyle w:val="ESch"/>
        <w:rPr>
          <w:szCs w:val="20"/>
          <w:lang w:val="bg-BG"/>
        </w:rPr>
      </w:pPr>
      <w:r w:rsidRPr="009072DA">
        <w:rPr>
          <w:lang w:val="bg-BG"/>
        </w:rPr>
        <w:t>1.</w:t>
      </w:r>
      <w:r w:rsidRPr="009072DA">
        <w:rPr>
          <w:lang w:val="bg-BG"/>
        </w:rPr>
        <w:tab/>
        <w:t>Устройство</w:t>
      </w:r>
    </w:p>
    <w:p w:rsidR="00125490" w:rsidRPr="009072DA" w:rsidRDefault="005C7859" w:rsidP="009B3495">
      <w:pPr>
        <w:pStyle w:val="ESlet"/>
        <w:rPr>
          <w:rFonts w:cs="Arial"/>
          <w:lang w:val="bg-BG"/>
        </w:rPr>
      </w:pPr>
      <w:r w:rsidRPr="009072DA">
        <w:rPr>
          <w:lang w:val="bg-BG"/>
        </w:rPr>
        <w:t>a)</w:t>
      </w:r>
      <w:r w:rsidRPr="009072DA">
        <w:rPr>
          <w:lang w:val="bg-BG"/>
        </w:rPr>
        <w:tab/>
        <w:t>Чрез дерогация от член 7.01, точка 1 рулевите рубки се организират по такъв начин, че рулевият и втори член на екипажа да могат във всеки момент да изпълняват задълженията си, докато плавателният съд е в движение.</w:t>
      </w:r>
    </w:p>
    <w:p w:rsidR="00125490" w:rsidRPr="009072DA" w:rsidRDefault="005C7859" w:rsidP="009B3495">
      <w:pPr>
        <w:pStyle w:val="ESlet"/>
        <w:rPr>
          <w:lang w:val="bg-BG"/>
        </w:rPr>
      </w:pPr>
      <w:r w:rsidRPr="009072DA">
        <w:rPr>
          <w:lang w:val="bg-BG"/>
        </w:rPr>
        <w:lastRenderedPageBreak/>
        <w:t>б)</w:t>
      </w:r>
      <w:r w:rsidRPr="009072DA">
        <w:rPr>
          <w:lang w:val="bg-BG"/>
        </w:rPr>
        <w:tab/>
        <w:t>Постът за управление се организира така, че да може да се разположат работните места на лицата, посочени в буква а). Инструментите за навигация, маневриране, следене и връзка и другите важни уреди за оперативно управление са в достатъчна близост, за да може и втори член на екипажа заедно с рулевия да получава необходимата информация и да борави с уредите и инсталациите в седящо положение. Следните изисквания се прилагат във всички случаи:</w:t>
      </w:r>
    </w:p>
    <w:p w:rsidR="00125490" w:rsidRPr="009072DA" w:rsidRDefault="0029453D" w:rsidP="009B3495">
      <w:pPr>
        <w:pStyle w:val="EStiret"/>
        <w:rPr>
          <w:noProof w:val="0"/>
          <w:lang w:val="bg-BG"/>
        </w:rPr>
      </w:pPr>
      <w:r w:rsidRPr="009072DA">
        <w:rPr>
          <w:noProof w:val="0"/>
          <w:lang w:val="bg-BG"/>
        </w:rPr>
        <w:t>aa)</w:t>
      </w:r>
      <w:r w:rsidRPr="009072DA">
        <w:rPr>
          <w:noProof w:val="0"/>
          <w:lang w:val="bg-BG"/>
        </w:rPr>
        <w:tab/>
        <w:t>постът за управление на рулевия се организира така, че да позволява управление  с радиолокационни средства от едно лице;</w:t>
      </w:r>
    </w:p>
    <w:p w:rsidR="00125490" w:rsidRPr="009072DA" w:rsidRDefault="0029453D" w:rsidP="009B3495">
      <w:pPr>
        <w:pStyle w:val="EStiret"/>
        <w:rPr>
          <w:noProof w:val="0"/>
          <w:lang w:val="bg-BG"/>
        </w:rPr>
      </w:pPr>
      <w:r w:rsidRPr="009072DA">
        <w:rPr>
          <w:noProof w:val="0"/>
          <w:lang w:val="bg-BG"/>
        </w:rPr>
        <w:t>бб)</w:t>
      </w:r>
      <w:r w:rsidRPr="009072DA">
        <w:rPr>
          <w:noProof w:val="0"/>
          <w:lang w:val="bg-BG"/>
        </w:rPr>
        <w:tab/>
        <w:t>вторият член на екипажа разполага със собствен екран на радиолокатора (подчинен компонент) на работното си място и има възможност да се намеси от своето работно място за предаване на информация и управление за задвижването на плавателния съд.</w:t>
      </w:r>
    </w:p>
    <w:p w:rsidR="00125490" w:rsidRPr="009072DA" w:rsidRDefault="005C7859" w:rsidP="009B3495">
      <w:pPr>
        <w:pStyle w:val="ESlet"/>
        <w:rPr>
          <w:lang w:val="bg-BG"/>
        </w:rPr>
      </w:pPr>
      <w:r w:rsidRPr="009072DA">
        <w:rPr>
          <w:lang w:val="bg-BG"/>
        </w:rPr>
        <w:t>в)</w:t>
      </w:r>
      <w:r w:rsidRPr="009072DA">
        <w:rPr>
          <w:lang w:val="bg-BG"/>
        </w:rPr>
        <w:tab/>
        <w:t>Лицата, посочени в буква а), имат възможност да работят със съоръженията, посочени в буква б), без никаква пречка, включително, когато предпазните колани са правилно поставени.</w:t>
      </w:r>
    </w:p>
    <w:p w:rsidR="00125490" w:rsidRPr="009072DA" w:rsidRDefault="00125490" w:rsidP="00125490">
      <w:pPr>
        <w:pStyle w:val="ESch"/>
        <w:rPr>
          <w:rFonts w:cs="Arial"/>
          <w:szCs w:val="20"/>
          <w:lang w:val="bg-BG"/>
        </w:rPr>
      </w:pPr>
    </w:p>
    <w:p w:rsidR="009B3495" w:rsidRPr="009072DA" w:rsidRDefault="009B3495" w:rsidP="00125490">
      <w:pPr>
        <w:pStyle w:val="ESch"/>
        <w:rPr>
          <w:rFonts w:cs="Arial"/>
          <w:szCs w:val="20"/>
          <w:lang w:val="bg-BG"/>
        </w:rPr>
      </w:pPr>
      <w:r w:rsidRPr="009072DA">
        <w:rPr>
          <w:lang w:val="bg-BG"/>
        </w:rPr>
        <w:br w:type="page"/>
      </w:r>
    </w:p>
    <w:p w:rsidR="00125490" w:rsidRPr="009072DA" w:rsidRDefault="00125490" w:rsidP="00125490">
      <w:pPr>
        <w:pStyle w:val="ESch"/>
        <w:rPr>
          <w:szCs w:val="20"/>
          <w:lang w:val="bg-BG"/>
        </w:rPr>
      </w:pPr>
      <w:r w:rsidRPr="009072DA">
        <w:rPr>
          <w:lang w:val="bg-BG"/>
        </w:rPr>
        <w:lastRenderedPageBreak/>
        <w:t>2.</w:t>
      </w:r>
      <w:r w:rsidRPr="009072DA">
        <w:rPr>
          <w:lang w:val="bg-BG"/>
        </w:rPr>
        <w:tab/>
        <w:t>Безпрепятствена видимост</w:t>
      </w:r>
    </w:p>
    <w:p w:rsidR="00125490" w:rsidRPr="009072DA" w:rsidRDefault="005C7859" w:rsidP="009B3495">
      <w:pPr>
        <w:pStyle w:val="ESlet"/>
        <w:rPr>
          <w:lang w:val="bg-BG"/>
        </w:rPr>
      </w:pPr>
      <w:r w:rsidRPr="009072DA">
        <w:rPr>
          <w:lang w:val="bg-BG"/>
        </w:rPr>
        <w:t>a)</w:t>
      </w:r>
      <w:r w:rsidRPr="009072DA">
        <w:rPr>
          <w:lang w:val="bg-BG"/>
        </w:rPr>
        <w:tab/>
        <w:t>Чрез дерогация от член 7.02, точка 2 мъртвата зона пред носа за рулевия в седнало положение не трябва да е по-голяма от една дължина на плавателния съд независимо от състоянието на натоварване.</w:t>
      </w:r>
    </w:p>
    <w:p w:rsidR="00125490" w:rsidRPr="009072DA" w:rsidRDefault="005C7859" w:rsidP="009B3495">
      <w:pPr>
        <w:pStyle w:val="ESlet"/>
        <w:rPr>
          <w:lang w:val="bg-BG"/>
        </w:rPr>
      </w:pPr>
      <w:r w:rsidRPr="009072DA">
        <w:rPr>
          <w:lang w:val="bg-BG"/>
        </w:rPr>
        <w:t>б)</w:t>
      </w:r>
      <w:r w:rsidRPr="009072DA">
        <w:rPr>
          <w:lang w:val="bg-BG"/>
        </w:rPr>
        <w:tab/>
        <w:t>Чрез дерогация от член 7.02, точка 3 сумарната дъга на слепите сектори от право по курса до 22,5° по посока към кърмата от всяка страна не превишава 20°. Всеки отделен сляп сектор не превишава 5°. Чистият сектор между два слепи сектора е не по-малък от 10°.</w:t>
      </w:r>
    </w:p>
    <w:p w:rsidR="009B3495" w:rsidRPr="009072DA" w:rsidRDefault="009B3495" w:rsidP="00125490">
      <w:pPr>
        <w:pStyle w:val="ESch"/>
        <w:rPr>
          <w:szCs w:val="20"/>
          <w:lang w:val="bg-BG"/>
        </w:rPr>
      </w:pPr>
    </w:p>
    <w:p w:rsidR="00125490" w:rsidRPr="009072DA" w:rsidRDefault="00125490" w:rsidP="00125490">
      <w:pPr>
        <w:pStyle w:val="ESch"/>
        <w:rPr>
          <w:szCs w:val="20"/>
          <w:lang w:val="bg-BG"/>
        </w:rPr>
      </w:pPr>
      <w:r w:rsidRPr="009072DA">
        <w:rPr>
          <w:lang w:val="bg-BG"/>
        </w:rPr>
        <w:t>3.</w:t>
      </w:r>
      <w:r w:rsidRPr="009072DA">
        <w:rPr>
          <w:lang w:val="bg-BG"/>
        </w:rPr>
        <w:tab/>
        <w:t>Инструменти</w:t>
      </w:r>
    </w:p>
    <w:p w:rsidR="009B3495" w:rsidRPr="009072DA" w:rsidRDefault="009B3495" w:rsidP="009B3495">
      <w:pPr>
        <w:pStyle w:val="ESchpar"/>
        <w:rPr>
          <w:lang w:val="bg-BG"/>
        </w:rPr>
      </w:pPr>
    </w:p>
    <w:p w:rsidR="00125490" w:rsidRPr="009072DA" w:rsidRDefault="00125490" w:rsidP="009B3495">
      <w:pPr>
        <w:pStyle w:val="ESchpar"/>
        <w:rPr>
          <w:lang w:val="bg-BG"/>
        </w:rPr>
      </w:pPr>
      <w:r w:rsidRPr="009072DA">
        <w:rPr>
          <w:lang w:val="bg-BG"/>
        </w:rPr>
        <w:t>Таблата с уредите за работа и управление на инсталациите, посочени в член 29.10, са в отделни и ясно маркирани места на рулевата рубка. Това също важи, по целесъобразност, за уредите за спускане на колективното спасително оборудване.</w:t>
      </w:r>
    </w:p>
    <w:p w:rsidR="009B3495" w:rsidRPr="009072DA" w:rsidRDefault="009B3495" w:rsidP="00125490">
      <w:pPr>
        <w:pStyle w:val="ESch"/>
        <w:rPr>
          <w:szCs w:val="20"/>
          <w:lang w:val="bg-BG"/>
        </w:rPr>
      </w:pPr>
    </w:p>
    <w:p w:rsidR="00125490" w:rsidRPr="009072DA" w:rsidRDefault="00125490" w:rsidP="00125490">
      <w:pPr>
        <w:pStyle w:val="ESch"/>
        <w:rPr>
          <w:szCs w:val="20"/>
          <w:lang w:val="bg-BG"/>
        </w:rPr>
      </w:pPr>
      <w:r w:rsidRPr="009072DA">
        <w:rPr>
          <w:lang w:val="bg-BG"/>
        </w:rPr>
        <w:t>4.</w:t>
      </w:r>
      <w:r w:rsidRPr="009072DA">
        <w:rPr>
          <w:lang w:val="bg-BG"/>
        </w:rPr>
        <w:tab/>
        <w:t>Светлини</w:t>
      </w:r>
    </w:p>
    <w:p w:rsidR="009B3495" w:rsidRPr="009072DA" w:rsidRDefault="009B3495" w:rsidP="009B3495">
      <w:pPr>
        <w:pStyle w:val="ESchpar"/>
        <w:rPr>
          <w:lang w:val="bg-BG"/>
        </w:rPr>
      </w:pPr>
    </w:p>
    <w:p w:rsidR="00125490" w:rsidRPr="009072DA" w:rsidRDefault="00125490" w:rsidP="009B3495">
      <w:pPr>
        <w:pStyle w:val="ESchpar"/>
        <w:rPr>
          <w:lang w:val="bg-BG"/>
        </w:rPr>
      </w:pPr>
      <w:r w:rsidRPr="009072DA">
        <w:rPr>
          <w:lang w:val="bg-BG"/>
        </w:rPr>
        <w:t>Червена светлина се използва за зони или части от оборудването, които трябва да светят по време на употреба.</w:t>
      </w:r>
    </w:p>
    <w:p w:rsidR="009B3495" w:rsidRPr="009072DA" w:rsidRDefault="009B3495" w:rsidP="00125490">
      <w:pPr>
        <w:pStyle w:val="ESch"/>
        <w:rPr>
          <w:szCs w:val="20"/>
          <w:lang w:val="bg-BG"/>
        </w:rPr>
      </w:pPr>
    </w:p>
    <w:p w:rsidR="00125490" w:rsidRPr="009072DA" w:rsidRDefault="00125490" w:rsidP="00125490">
      <w:pPr>
        <w:pStyle w:val="ESch"/>
        <w:rPr>
          <w:szCs w:val="20"/>
          <w:lang w:val="bg-BG"/>
        </w:rPr>
      </w:pPr>
      <w:r w:rsidRPr="009072DA">
        <w:rPr>
          <w:lang w:val="bg-BG"/>
        </w:rPr>
        <w:t>5.</w:t>
      </w:r>
      <w:r w:rsidRPr="009072DA">
        <w:rPr>
          <w:lang w:val="bg-BG"/>
        </w:rPr>
        <w:tab/>
        <w:t>Прозорци</w:t>
      </w:r>
    </w:p>
    <w:p w:rsidR="009B3495" w:rsidRPr="009072DA" w:rsidRDefault="009B3495" w:rsidP="009B3495">
      <w:pPr>
        <w:pStyle w:val="ESchpar"/>
        <w:rPr>
          <w:lang w:val="bg-BG"/>
        </w:rPr>
      </w:pPr>
    </w:p>
    <w:p w:rsidR="00125490" w:rsidRPr="009072DA" w:rsidRDefault="00125490" w:rsidP="009B3495">
      <w:pPr>
        <w:pStyle w:val="ESchpar"/>
        <w:rPr>
          <w:lang w:val="bg-BG"/>
        </w:rPr>
      </w:pPr>
      <w:r w:rsidRPr="009072DA">
        <w:rPr>
          <w:lang w:val="bg-BG"/>
        </w:rPr>
        <w:t>Отраженията трябва да бъдат избегнати. Осигуряват се средства за избягване на заслепяване от слънчева светлина.</w:t>
      </w:r>
    </w:p>
    <w:p w:rsidR="009B3495" w:rsidRPr="009072DA" w:rsidRDefault="009B3495" w:rsidP="00125490">
      <w:pPr>
        <w:pStyle w:val="ESch"/>
        <w:rPr>
          <w:szCs w:val="20"/>
          <w:lang w:val="bg-BG"/>
        </w:rPr>
      </w:pPr>
    </w:p>
    <w:p w:rsidR="00125490" w:rsidRPr="009072DA" w:rsidRDefault="00125490" w:rsidP="00125490">
      <w:pPr>
        <w:pStyle w:val="ESch"/>
        <w:rPr>
          <w:szCs w:val="20"/>
          <w:lang w:val="bg-BG"/>
        </w:rPr>
      </w:pPr>
      <w:r w:rsidRPr="009072DA">
        <w:rPr>
          <w:lang w:val="bg-BG"/>
        </w:rPr>
        <w:t>6.</w:t>
      </w:r>
      <w:r w:rsidRPr="009072DA">
        <w:rPr>
          <w:lang w:val="bg-BG"/>
        </w:rPr>
        <w:tab/>
        <w:t>Материали за повърхностите</w:t>
      </w:r>
    </w:p>
    <w:p w:rsidR="009B3495" w:rsidRPr="009072DA" w:rsidRDefault="009B3495" w:rsidP="009B3495">
      <w:pPr>
        <w:pStyle w:val="ESchpar"/>
        <w:rPr>
          <w:lang w:val="bg-BG"/>
        </w:rPr>
      </w:pPr>
    </w:p>
    <w:p w:rsidR="00125490" w:rsidRPr="009072DA" w:rsidRDefault="00125490" w:rsidP="009B3495">
      <w:pPr>
        <w:pStyle w:val="ESchpar"/>
        <w:rPr>
          <w:lang w:val="bg-BG"/>
        </w:rPr>
      </w:pPr>
      <w:r w:rsidRPr="009072DA">
        <w:rPr>
          <w:lang w:val="bg-BG"/>
        </w:rPr>
        <w:t>Използването на отразяващи материали за повърхностите в рулевата рубка трябва да се избягва.</w:t>
      </w:r>
    </w:p>
    <w:p w:rsidR="00125490" w:rsidRPr="009072DA" w:rsidRDefault="00125490" w:rsidP="00125490">
      <w:pPr>
        <w:pStyle w:val="ESch"/>
        <w:rPr>
          <w:rFonts w:cs="Arial"/>
          <w:szCs w:val="20"/>
          <w:lang w:val="bg-BG"/>
        </w:rPr>
      </w:pPr>
    </w:p>
    <w:p w:rsidR="00125490" w:rsidRPr="009072DA" w:rsidRDefault="00125490" w:rsidP="00125490">
      <w:pPr>
        <w:pStyle w:val="ESch"/>
        <w:rPr>
          <w:rFonts w:cs="Arial"/>
          <w:szCs w:val="20"/>
          <w:lang w:val="bg-BG"/>
        </w:rPr>
      </w:pPr>
    </w:p>
    <w:p w:rsidR="00125490" w:rsidRPr="009072DA" w:rsidRDefault="00125490" w:rsidP="00125490">
      <w:pPr>
        <w:pStyle w:val="ES-Titre3"/>
        <w:rPr>
          <w:rFonts w:cs="Arial"/>
          <w:i/>
          <w:lang w:val="bg-BG"/>
        </w:rPr>
      </w:pPr>
      <w:bookmarkStart w:id="515" w:name="_Toc491854255"/>
      <w:bookmarkStart w:id="516" w:name="_Toc535827696"/>
      <w:r w:rsidRPr="009072DA">
        <w:rPr>
          <w:lang w:val="bg-BG"/>
        </w:rPr>
        <w:t>Член 29.07</w:t>
      </w:r>
      <w:r w:rsidRPr="009072DA">
        <w:rPr>
          <w:lang w:val="bg-BG"/>
        </w:rPr>
        <w:br/>
      </w:r>
      <w:r w:rsidRPr="009072DA">
        <w:rPr>
          <w:i/>
          <w:lang w:val="bg-BG"/>
        </w:rPr>
        <w:t>Допълнително оборудване</w:t>
      </w:r>
      <w:bookmarkEnd w:id="515"/>
      <w:bookmarkEnd w:id="516"/>
    </w:p>
    <w:p w:rsidR="00125490" w:rsidRPr="009072DA" w:rsidRDefault="00125490" w:rsidP="00125490">
      <w:pPr>
        <w:pStyle w:val="ESch"/>
        <w:rPr>
          <w:rFonts w:cs="Arial"/>
          <w:szCs w:val="20"/>
          <w:lang w:val="bg-BG"/>
        </w:rPr>
      </w:pPr>
    </w:p>
    <w:p w:rsidR="00125490" w:rsidRPr="009072DA" w:rsidRDefault="00125490" w:rsidP="00125490">
      <w:pPr>
        <w:pStyle w:val="ESgauche"/>
        <w:rPr>
          <w:noProof w:val="0"/>
          <w:lang w:val="bg-BG"/>
        </w:rPr>
      </w:pPr>
      <w:r w:rsidRPr="009072DA">
        <w:rPr>
          <w:noProof w:val="0"/>
          <w:lang w:val="bg-BG"/>
        </w:rPr>
        <w:t>Високоскоростните плавателни средства трябва да имат следното оборудване:</w:t>
      </w:r>
    </w:p>
    <w:p w:rsidR="00125490" w:rsidRPr="009072DA" w:rsidRDefault="005C7859" w:rsidP="00125490">
      <w:pPr>
        <w:pStyle w:val="ESletgauche"/>
        <w:rPr>
          <w:lang w:val="bg-BG"/>
        </w:rPr>
      </w:pPr>
      <w:r w:rsidRPr="009072DA">
        <w:rPr>
          <w:lang w:val="bg-BG"/>
        </w:rPr>
        <w:lastRenderedPageBreak/>
        <w:t>a)</w:t>
      </w:r>
      <w:r w:rsidRPr="009072DA">
        <w:rPr>
          <w:lang w:val="bg-BG"/>
        </w:rPr>
        <w:tab/>
        <w:t>навигационно радиолокационно оборудване и индикатор на ъгловата скорост на поворот съгласно член 7.06, точка 1; и</w:t>
      </w:r>
    </w:p>
    <w:p w:rsidR="00125490" w:rsidRPr="009072DA" w:rsidRDefault="005C7859" w:rsidP="00125490">
      <w:pPr>
        <w:pStyle w:val="ESletgauche"/>
        <w:rPr>
          <w:lang w:val="bg-BG"/>
        </w:rPr>
      </w:pPr>
      <w:r w:rsidRPr="009072DA">
        <w:rPr>
          <w:lang w:val="bg-BG"/>
        </w:rPr>
        <w:t>б)</w:t>
      </w:r>
      <w:r w:rsidRPr="009072DA">
        <w:rPr>
          <w:lang w:val="bg-BG"/>
        </w:rPr>
        <w:tab/>
        <w:t>леснодостъпно лично спасително оборудване, монтирано съгласно член 19.09, точка 4.</w:t>
      </w:r>
    </w:p>
    <w:p w:rsidR="00125490" w:rsidRPr="009072DA" w:rsidRDefault="00125490" w:rsidP="00125490">
      <w:pPr>
        <w:pStyle w:val="ESch"/>
        <w:rPr>
          <w:rFonts w:cs="Arial"/>
          <w:szCs w:val="20"/>
          <w:lang w:val="bg-BG"/>
        </w:rPr>
      </w:pPr>
    </w:p>
    <w:p w:rsidR="00125490" w:rsidRPr="009072DA" w:rsidRDefault="00125490" w:rsidP="00125490">
      <w:pPr>
        <w:pStyle w:val="ESch"/>
        <w:rPr>
          <w:rFonts w:cs="Arial"/>
          <w:szCs w:val="20"/>
          <w:lang w:val="bg-BG"/>
        </w:rPr>
      </w:pPr>
    </w:p>
    <w:p w:rsidR="00125490" w:rsidRPr="009072DA" w:rsidRDefault="00125490" w:rsidP="00125490">
      <w:pPr>
        <w:pStyle w:val="ES-Titre3"/>
        <w:rPr>
          <w:i/>
          <w:lang w:val="bg-BG"/>
        </w:rPr>
      </w:pPr>
      <w:bookmarkStart w:id="517" w:name="_Toc491854256"/>
      <w:bookmarkStart w:id="518" w:name="_Toc535827697"/>
      <w:r w:rsidRPr="009072DA">
        <w:rPr>
          <w:lang w:val="bg-BG"/>
        </w:rPr>
        <w:t>Член 29.08</w:t>
      </w:r>
      <w:r w:rsidRPr="009072DA">
        <w:rPr>
          <w:lang w:val="bg-BG"/>
        </w:rPr>
        <w:br/>
      </w:r>
      <w:r w:rsidRPr="009072DA">
        <w:rPr>
          <w:i/>
          <w:lang w:val="bg-BG"/>
        </w:rPr>
        <w:t>Затворени зони</w:t>
      </w:r>
      <w:bookmarkEnd w:id="517"/>
      <w:bookmarkEnd w:id="518"/>
    </w:p>
    <w:p w:rsidR="00125490" w:rsidRPr="009072DA" w:rsidRDefault="00125490" w:rsidP="00125490">
      <w:pPr>
        <w:pStyle w:val="ESch"/>
        <w:rPr>
          <w:szCs w:val="20"/>
          <w:lang w:val="bg-BG"/>
        </w:rPr>
      </w:pPr>
    </w:p>
    <w:p w:rsidR="00125490" w:rsidRPr="009072DA" w:rsidRDefault="00125490" w:rsidP="00125490">
      <w:pPr>
        <w:pStyle w:val="ESch"/>
        <w:rPr>
          <w:szCs w:val="20"/>
          <w:lang w:val="bg-BG"/>
        </w:rPr>
      </w:pPr>
      <w:r w:rsidRPr="009072DA">
        <w:rPr>
          <w:lang w:val="bg-BG"/>
        </w:rPr>
        <w:t>1.</w:t>
      </w:r>
      <w:r w:rsidRPr="009072DA">
        <w:rPr>
          <w:lang w:val="bg-BG"/>
        </w:rPr>
        <w:tab/>
        <w:t>Общи положения</w:t>
      </w:r>
    </w:p>
    <w:p w:rsidR="00125490" w:rsidRPr="009072DA" w:rsidRDefault="00125490" w:rsidP="00125490">
      <w:pPr>
        <w:pStyle w:val="ESchpar"/>
        <w:rPr>
          <w:lang w:val="bg-BG"/>
        </w:rPr>
      </w:pPr>
    </w:p>
    <w:p w:rsidR="00125490" w:rsidRPr="009072DA" w:rsidRDefault="00125490" w:rsidP="00125490">
      <w:pPr>
        <w:pStyle w:val="ESchpar"/>
        <w:rPr>
          <w:lang w:val="bg-BG"/>
        </w:rPr>
      </w:pPr>
      <w:r w:rsidRPr="009072DA">
        <w:rPr>
          <w:lang w:val="bg-BG"/>
        </w:rPr>
        <w:t>Общите и жилищните помещения, както и оборудването, което се намира в тях, се проектират така, че никое лице, което ги използва по предназначение, да не получи нараняване при обичайно или аварийно потегляне или спиране или при маневра при нормално плаване и при отказ или повреда.</w:t>
      </w:r>
    </w:p>
    <w:p w:rsidR="00125490" w:rsidRPr="009072DA" w:rsidRDefault="00125490" w:rsidP="00125490">
      <w:pPr>
        <w:pStyle w:val="ESch"/>
        <w:rPr>
          <w:szCs w:val="20"/>
          <w:lang w:val="bg-BG"/>
        </w:rPr>
      </w:pPr>
    </w:p>
    <w:p w:rsidR="009B3495" w:rsidRPr="009072DA" w:rsidRDefault="009B3495" w:rsidP="00125490">
      <w:pPr>
        <w:pStyle w:val="ESch"/>
        <w:rPr>
          <w:szCs w:val="20"/>
          <w:lang w:val="bg-BG"/>
        </w:rPr>
      </w:pPr>
      <w:r w:rsidRPr="009072DA">
        <w:rPr>
          <w:lang w:val="bg-BG"/>
        </w:rPr>
        <w:br w:type="page"/>
      </w:r>
    </w:p>
    <w:p w:rsidR="00125490" w:rsidRPr="009072DA" w:rsidRDefault="00125490" w:rsidP="00125490">
      <w:pPr>
        <w:pStyle w:val="ESch"/>
        <w:rPr>
          <w:szCs w:val="20"/>
          <w:lang w:val="bg-BG"/>
        </w:rPr>
      </w:pPr>
      <w:r w:rsidRPr="009072DA">
        <w:rPr>
          <w:lang w:val="bg-BG"/>
        </w:rPr>
        <w:lastRenderedPageBreak/>
        <w:t>2.</w:t>
      </w:r>
      <w:r w:rsidRPr="009072DA">
        <w:rPr>
          <w:lang w:val="bg-BG"/>
        </w:rPr>
        <w:tab/>
        <w:t>Връзка</w:t>
      </w:r>
    </w:p>
    <w:p w:rsidR="00125490" w:rsidRPr="009072DA" w:rsidRDefault="005C7859" w:rsidP="00125490">
      <w:pPr>
        <w:pStyle w:val="ESlet"/>
        <w:rPr>
          <w:lang w:val="bg-BG"/>
        </w:rPr>
      </w:pPr>
      <w:r w:rsidRPr="009072DA">
        <w:rPr>
          <w:lang w:val="bg-BG"/>
        </w:rPr>
        <w:t>a)</w:t>
      </w:r>
      <w:r w:rsidRPr="009072DA">
        <w:rPr>
          <w:lang w:val="bg-BG"/>
        </w:rPr>
        <w:tab/>
        <w:t>За информиране на пътниците за мерките за безопасност всички пътнически плавателни съдове трябва да бъдат оборудвани с оптични и звукови сигнални инсталации, които се виждат и чуват от всички на борда.</w:t>
      </w:r>
    </w:p>
    <w:p w:rsidR="00125490" w:rsidRPr="009072DA" w:rsidRDefault="005C7859" w:rsidP="00125490">
      <w:pPr>
        <w:pStyle w:val="ESlet"/>
        <w:rPr>
          <w:lang w:val="bg-BG"/>
        </w:rPr>
      </w:pPr>
      <w:r w:rsidRPr="009072DA">
        <w:rPr>
          <w:lang w:val="bg-BG"/>
        </w:rPr>
        <w:t>б)</w:t>
      </w:r>
      <w:r w:rsidRPr="009072DA">
        <w:rPr>
          <w:lang w:val="bg-BG"/>
        </w:rPr>
        <w:tab/>
        <w:t>Инсталациите, описани в буква а), позволяват на капитана да дава указания на пътниците.</w:t>
      </w:r>
    </w:p>
    <w:p w:rsidR="00125490" w:rsidRPr="009072DA" w:rsidRDefault="005C7859" w:rsidP="00125490">
      <w:pPr>
        <w:pStyle w:val="ESlet"/>
        <w:rPr>
          <w:lang w:val="bg-BG"/>
        </w:rPr>
      </w:pPr>
      <w:r w:rsidRPr="009072DA">
        <w:rPr>
          <w:lang w:val="bg-BG"/>
        </w:rPr>
        <w:t>в)</w:t>
      </w:r>
      <w:r w:rsidRPr="009072DA">
        <w:rPr>
          <w:lang w:val="bg-BG"/>
        </w:rPr>
        <w:tab/>
        <w:t>Всеки пътник има достъп до инструкциите за аварийни ситуации в близост до своето място, в това число и план на плавателния съд, показващ всички изходи, маршрути за евакуация, аварийно оборудване, спасително оборудване и указания за ползването на спасителните жилетки.</w:t>
      </w:r>
    </w:p>
    <w:p w:rsidR="00125490" w:rsidRPr="009072DA" w:rsidRDefault="00125490" w:rsidP="00125490">
      <w:pPr>
        <w:pStyle w:val="ESch"/>
        <w:rPr>
          <w:szCs w:val="20"/>
          <w:lang w:val="bg-BG"/>
        </w:rPr>
      </w:pPr>
    </w:p>
    <w:p w:rsidR="00125490" w:rsidRPr="009072DA" w:rsidRDefault="00125490" w:rsidP="00125490">
      <w:pPr>
        <w:pStyle w:val="ESch"/>
        <w:rPr>
          <w:szCs w:val="20"/>
          <w:lang w:val="bg-BG"/>
        </w:rPr>
      </w:pPr>
    </w:p>
    <w:p w:rsidR="00125490" w:rsidRPr="009072DA" w:rsidRDefault="00125490" w:rsidP="00125490">
      <w:pPr>
        <w:pStyle w:val="ES-Titre3"/>
        <w:rPr>
          <w:i/>
          <w:lang w:val="bg-BG"/>
        </w:rPr>
      </w:pPr>
      <w:bookmarkStart w:id="519" w:name="_Toc535827698"/>
      <w:bookmarkStart w:id="520" w:name="_Toc491854257"/>
      <w:r w:rsidRPr="009072DA">
        <w:rPr>
          <w:lang w:val="bg-BG"/>
        </w:rPr>
        <w:t>Член 29.09</w:t>
      </w:r>
      <w:r w:rsidRPr="009072DA">
        <w:rPr>
          <w:lang w:val="bg-BG"/>
        </w:rPr>
        <w:br/>
      </w:r>
      <w:r w:rsidRPr="009072DA">
        <w:rPr>
          <w:i/>
          <w:lang w:val="bg-BG"/>
        </w:rPr>
        <w:t>Изходи и маршрути за евакуация</w:t>
      </w:r>
      <w:bookmarkEnd w:id="519"/>
      <w:r w:rsidRPr="009072DA">
        <w:rPr>
          <w:i/>
          <w:lang w:val="bg-BG"/>
        </w:rPr>
        <w:t xml:space="preserve"> </w:t>
      </w:r>
      <w:bookmarkEnd w:id="520"/>
    </w:p>
    <w:p w:rsidR="00125490" w:rsidRPr="009072DA" w:rsidRDefault="00125490" w:rsidP="00125490">
      <w:pPr>
        <w:pStyle w:val="ESch"/>
        <w:rPr>
          <w:szCs w:val="20"/>
          <w:lang w:val="bg-BG"/>
        </w:rPr>
      </w:pPr>
    </w:p>
    <w:p w:rsidR="00125490" w:rsidRPr="009072DA" w:rsidRDefault="00125490" w:rsidP="00125490">
      <w:pPr>
        <w:pStyle w:val="ESgauche"/>
        <w:rPr>
          <w:noProof w:val="0"/>
          <w:lang w:val="bg-BG"/>
        </w:rPr>
      </w:pPr>
      <w:r w:rsidRPr="009072DA">
        <w:rPr>
          <w:noProof w:val="0"/>
          <w:lang w:val="bg-BG"/>
        </w:rPr>
        <w:t>Изходите и маршрутите за евакуация трябва да отговарят на следните изисквания:</w:t>
      </w:r>
    </w:p>
    <w:p w:rsidR="00125490" w:rsidRPr="009072DA" w:rsidRDefault="005C7859" w:rsidP="00125490">
      <w:pPr>
        <w:pStyle w:val="ESletgauche"/>
        <w:rPr>
          <w:lang w:val="bg-BG"/>
        </w:rPr>
      </w:pPr>
      <w:r w:rsidRPr="009072DA">
        <w:rPr>
          <w:lang w:val="bg-BG"/>
        </w:rPr>
        <w:t>a)</w:t>
      </w:r>
      <w:r w:rsidRPr="009072DA">
        <w:rPr>
          <w:lang w:val="bg-BG"/>
        </w:rPr>
        <w:tab/>
        <w:t>Трябва да има лесен, безопасен и бърз достъп от поста за управление до каютите и жилищните помещения, достъпни за пътниците.</w:t>
      </w:r>
    </w:p>
    <w:p w:rsidR="00125490" w:rsidRPr="009072DA" w:rsidRDefault="005C7859" w:rsidP="00125490">
      <w:pPr>
        <w:pStyle w:val="ESletgauche"/>
        <w:rPr>
          <w:lang w:val="bg-BG"/>
        </w:rPr>
      </w:pPr>
      <w:r w:rsidRPr="009072DA">
        <w:rPr>
          <w:lang w:val="bg-BG"/>
        </w:rPr>
        <w:t>б)</w:t>
      </w:r>
      <w:r w:rsidRPr="009072DA">
        <w:rPr>
          <w:lang w:val="bg-BG"/>
        </w:rPr>
        <w:tab/>
        <w:t>Маршрутите за евакуация, водещи към аварийните изходи, трябва да бъдат ясно и трайно маркирани.</w:t>
      </w:r>
    </w:p>
    <w:p w:rsidR="00125490" w:rsidRPr="009072DA" w:rsidRDefault="005C7859" w:rsidP="00125490">
      <w:pPr>
        <w:pStyle w:val="ESletgauche"/>
        <w:rPr>
          <w:lang w:val="bg-BG"/>
        </w:rPr>
      </w:pPr>
      <w:r w:rsidRPr="009072DA">
        <w:rPr>
          <w:lang w:val="bg-BG"/>
        </w:rPr>
        <w:t>в)</w:t>
      </w:r>
      <w:r w:rsidRPr="009072DA">
        <w:rPr>
          <w:lang w:val="bg-BG"/>
        </w:rPr>
        <w:tab/>
        <w:t>Всички изходи трябва да бъдат подходящо маркирани. Работата на отварящия механизъм трябва да бъде видима и отвън, и отвътре.</w:t>
      </w:r>
    </w:p>
    <w:p w:rsidR="00125490" w:rsidRPr="009072DA" w:rsidRDefault="0029453D" w:rsidP="00125490">
      <w:pPr>
        <w:pStyle w:val="ESletgauche"/>
        <w:rPr>
          <w:lang w:val="bg-BG"/>
        </w:rPr>
      </w:pPr>
      <w:r w:rsidRPr="009072DA">
        <w:rPr>
          <w:lang w:val="bg-BG"/>
        </w:rPr>
        <w:t>г)</w:t>
      </w:r>
      <w:r w:rsidRPr="009072DA">
        <w:rPr>
          <w:lang w:val="bg-BG"/>
        </w:rPr>
        <w:tab/>
        <w:t>Маршрутите за евакуация и аварийните изходи трябва да имат подходяща система от указатели за безопасност.</w:t>
      </w:r>
    </w:p>
    <w:p w:rsidR="00125490" w:rsidRPr="009072DA" w:rsidRDefault="0029453D" w:rsidP="00125490">
      <w:pPr>
        <w:pStyle w:val="ESletgauche"/>
        <w:rPr>
          <w:lang w:val="bg-BG"/>
        </w:rPr>
      </w:pPr>
      <w:r w:rsidRPr="009072DA">
        <w:rPr>
          <w:lang w:val="bg-BG"/>
        </w:rPr>
        <w:t>д)</w:t>
      </w:r>
      <w:r w:rsidRPr="009072DA">
        <w:rPr>
          <w:lang w:val="bg-BG"/>
        </w:rPr>
        <w:tab/>
        <w:t>Достатъчно пространство за член на екипажа трябва да бъде оставено в близост до изходите.</w:t>
      </w:r>
    </w:p>
    <w:p w:rsidR="00125490" w:rsidRPr="009072DA" w:rsidRDefault="00125490" w:rsidP="00125490">
      <w:pPr>
        <w:pStyle w:val="ESch"/>
        <w:rPr>
          <w:rFonts w:cs="Arial"/>
          <w:szCs w:val="20"/>
          <w:lang w:val="bg-BG"/>
        </w:rPr>
      </w:pPr>
    </w:p>
    <w:p w:rsidR="00125490" w:rsidRPr="009072DA" w:rsidRDefault="00125490" w:rsidP="00125490">
      <w:pPr>
        <w:pStyle w:val="ESch"/>
        <w:rPr>
          <w:rFonts w:cs="Arial"/>
          <w:szCs w:val="20"/>
          <w:lang w:val="bg-BG"/>
        </w:rPr>
      </w:pPr>
    </w:p>
    <w:p w:rsidR="00125490" w:rsidRPr="009072DA" w:rsidRDefault="00125490" w:rsidP="00125490">
      <w:pPr>
        <w:pStyle w:val="ES-Titre3"/>
        <w:rPr>
          <w:i/>
          <w:lang w:val="bg-BG"/>
        </w:rPr>
      </w:pPr>
      <w:bookmarkStart w:id="521" w:name="_Toc491854258"/>
      <w:bookmarkStart w:id="522" w:name="_Toc535827699"/>
      <w:r w:rsidRPr="009072DA">
        <w:rPr>
          <w:lang w:val="bg-BG"/>
        </w:rPr>
        <w:t>Член 29.10</w:t>
      </w:r>
      <w:r w:rsidRPr="009072DA">
        <w:rPr>
          <w:lang w:val="bg-BG"/>
        </w:rPr>
        <w:br/>
      </w:r>
      <w:r w:rsidRPr="009072DA">
        <w:rPr>
          <w:i/>
          <w:lang w:val="bg-BG"/>
        </w:rPr>
        <w:t>Противопожарна защита и гасене на пожари</w:t>
      </w:r>
      <w:bookmarkEnd w:id="521"/>
      <w:bookmarkEnd w:id="522"/>
    </w:p>
    <w:p w:rsidR="00125490" w:rsidRPr="009072DA" w:rsidRDefault="00125490" w:rsidP="00125490">
      <w:pPr>
        <w:pStyle w:val="ESch"/>
        <w:rPr>
          <w:szCs w:val="20"/>
          <w:lang w:val="bg-BG"/>
        </w:rPr>
      </w:pPr>
    </w:p>
    <w:p w:rsidR="00125490" w:rsidRPr="009072DA" w:rsidRDefault="00125490" w:rsidP="00125490">
      <w:pPr>
        <w:pStyle w:val="ESch"/>
        <w:rPr>
          <w:szCs w:val="20"/>
          <w:lang w:val="bg-BG"/>
        </w:rPr>
      </w:pPr>
      <w:r w:rsidRPr="009072DA">
        <w:rPr>
          <w:lang w:val="bg-BG"/>
        </w:rPr>
        <w:t>1.</w:t>
      </w:r>
      <w:r w:rsidRPr="009072DA">
        <w:rPr>
          <w:lang w:val="bg-BG"/>
        </w:rPr>
        <w:tab/>
        <w:t>Коридорите, каютите и жилищните помещения, достъпни за пътниците, а също и камбузите и машинните отделения се свързват с подходяща пожароизвестителна система. Всеки пожар и мястото му трябва да се посочват автоматично на място, в което постоянно има членове на обслужващия персонал или екипажа.</w:t>
      </w:r>
    </w:p>
    <w:p w:rsidR="00125490" w:rsidRPr="009072DA" w:rsidRDefault="00125490" w:rsidP="00125490">
      <w:pPr>
        <w:pStyle w:val="ESch"/>
        <w:rPr>
          <w:szCs w:val="20"/>
          <w:lang w:val="bg-BG"/>
        </w:rPr>
      </w:pPr>
    </w:p>
    <w:p w:rsidR="00125490" w:rsidRPr="009072DA" w:rsidRDefault="00125490" w:rsidP="00125490">
      <w:pPr>
        <w:pStyle w:val="ESch"/>
        <w:rPr>
          <w:szCs w:val="20"/>
          <w:lang w:val="bg-BG"/>
        </w:rPr>
      </w:pPr>
      <w:r w:rsidRPr="009072DA">
        <w:rPr>
          <w:lang w:val="bg-BG"/>
        </w:rPr>
        <w:lastRenderedPageBreak/>
        <w:t>2.</w:t>
      </w:r>
      <w:r w:rsidRPr="009072DA">
        <w:rPr>
          <w:lang w:val="bg-BG"/>
        </w:rPr>
        <w:tab/>
        <w:t>Машинните отделения трябва да бъдат оборудвани с постоянно монтирана противопожарна система, отговаряща на изискванията по член 13.05.</w:t>
      </w:r>
    </w:p>
    <w:p w:rsidR="00125490" w:rsidRPr="009072DA" w:rsidRDefault="00125490" w:rsidP="00125490">
      <w:pPr>
        <w:pStyle w:val="ESch"/>
        <w:rPr>
          <w:szCs w:val="20"/>
          <w:lang w:val="bg-BG"/>
        </w:rPr>
      </w:pPr>
    </w:p>
    <w:p w:rsidR="00125490" w:rsidRPr="009072DA" w:rsidRDefault="00125490" w:rsidP="00125490">
      <w:pPr>
        <w:pStyle w:val="ESch"/>
        <w:rPr>
          <w:rFonts w:cs="Arial"/>
          <w:szCs w:val="20"/>
          <w:lang w:val="bg-BG"/>
        </w:rPr>
      </w:pPr>
      <w:r w:rsidRPr="009072DA">
        <w:rPr>
          <w:lang w:val="bg-BG"/>
        </w:rPr>
        <w:t>3.</w:t>
      </w:r>
      <w:r w:rsidRPr="009072DA">
        <w:rPr>
          <w:lang w:val="bg-BG"/>
        </w:rPr>
        <w:tab/>
        <w:t>Каютите и жилищните помещения, достъпни за пътниците, и техните маршрути за евакуация, се оборудват със спринклерна система за вода под налягане съгласно член 13.04. Трябва да е възможно отработената вода да се отвежда бързо и направо навън.</w:t>
      </w:r>
    </w:p>
    <w:p w:rsidR="00125490" w:rsidRPr="009072DA" w:rsidRDefault="00125490" w:rsidP="00125490">
      <w:pPr>
        <w:pStyle w:val="ESch"/>
        <w:rPr>
          <w:rFonts w:cs="Arial"/>
          <w:szCs w:val="20"/>
          <w:lang w:val="bg-BG"/>
        </w:rPr>
      </w:pPr>
    </w:p>
    <w:p w:rsidR="007407E1" w:rsidRPr="009072DA" w:rsidRDefault="007407E1" w:rsidP="00125490">
      <w:pPr>
        <w:pStyle w:val="ESch"/>
        <w:rPr>
          <w:rFonts w:cs="Arial"/>
          <w:szCs w:val="20"/>
          <w:lang w:val="bg-BG"/>
        </w:rPr>
      </w:pPr>
    </w:p>
    <w:p w:rsidR="007407E1" w:rsidRPr="009072DA" w:rsidRDefault="007407E1" w:rsidP="007407E1">
      <w:pPr>
        <w:pStyle w:val="ES-Titre2"/>
        <w:rPr>
          <w:szCs w:val="24"/>
        </w:rPr>
      </w:pPr>
      <w:bookmarkStart w:id="523" w:name="_Toc491854259"/>
      <w:bookmarkStart w:id="524" w:name="_Toc535827700"/>
      <w:r w:rsidRPr="009072DA">
        <w:lastRenderedPageBreak/>
        <w:t>Глава 30</w:t>
      </w:r>
      <w:r w:rsidRPr="009072DA">
        <w:br/>
        <w:t>Специални разпоредби, приложими за плавателни средства, оборудвани със системи за задвижване или спомагателни системи, работещи с горива с температура на възпламеняване, по-ниска или равна на 55 °C</w:t>
      </w:r>
      <w:bookmarkEnd w:id="523"/>
      <w:bookmarkEnd w:id="524"/>
    </w:p>
    <w:p w:rsidR="007407E1" w:rsidRPr="009072DA" w:rsidRDefault="007407E1" w:rsidP="007407E1">
      <w:pPr>
        <w:pStyle w:val="ESgauche"/>
        <w:rPr>
          <w:noProof w:val="0"/>
          <w:lang w:val="bg-BG"/>
        </w:rPr>
      </w:pPr>
    </w:p>
    <w:p w:rsidR="007E5FD5" w:rsidRPr="009072DA" w:rsidRDefault="007E5FD5" w:rsidP="007E5FD5">
      <w:pPr>
        <w:pStyle w:val="ES-Titre3"/>
        <w:rPr>
          <w:i/>
          <w:lang w:val="bg-BG"/>
        </w:rPr>
      </w:pPr>
      <w:bookmarkStart w:id="525" w:name="_Toc491854260"/>
      <w:bookmarkStart w:id="526" w:name="_Toc535827701"/>
      <w:r w:rsidRPr="009072DA">
        <w:rPr>
          <w:lang w:val="bg-BG"/>
        </w:rPr>
        <w:t>Член 30.01</w:t>
      </w:r>
      <w:r w:rsidRPr="009072DA">
        <w:rPr>
          <w:lang w:val="bg-BG"/>
        </w:rPr>
        <w:br/>
      </w:r>
      <w:r w:rsidRPr="009072DA">
        <w:rPr>
          <w:i/>
          <w:lang w:val="bg-BG"/>
        </w:rPr>
        <w:t>Общи положения</w:t>
      </w:r>
      <w:bookmarkEnd w:id="525"/>
      <w:bookmarkEnd w:id="526"/>
    </w:p>
    <w:p w:rsidR="007E5FD5" w:rsidRPr="009072DA" w:rsidRDefault="007E5FD5" w:rsidP="007E5FD5">
      <w:pPr>
        <w:spacing w:line="240" w:lineRule="atLeast"/>
        <w:rPr>
          <w:rFonts w:cs="Arial"/>
          <w:color w:val="000000"/>
          <w:szCs w:val="20"/>
          <w:lang w:val="bg-BG"/>
        </w:rPr>
      </w:pPr>
    </w:p>
    <w:p w:rsidR="007E5FD5" w:rsidRPr="009072DA" w:rsidRDefault="007E5FD5" w:rsidP="007E5FD5">
      <w:pPr>
        <w:pStyle w:val="ESch"/>
        <w:rPr>
          <w:lang w:val="bg-BG"/>
        </w:rPr>
      </w:pPr>
      <w:r w:rsidRPr="009072DA">
        <w:rPr>
          <w:lang w:val="bg-BG"/>
        </w:rPr>
        <w:t>1.</w:t>
      </w:r>
      <w:r w:rsidRPr="009072DA">
        <w:rPr>
          <w:lang w:val="bg-BG"/>
        </w:rPr>
        <w:tab/>
        <w:t>За целите на тази глава „системи за задвижване и спомагателни системи“ означава всяка система, използваща гориво, включително:</w:t>
      </w:r>
    </w:p>
    <w:p w:rsidR="007E5FD5" w:rsidRPr="009072DA" w:rsidRDefault="007E5FD5" w:rsidP="007E5FD5">
      <w:pPr>
        <w:pStyle w:val="ESlet"/>
        <w:rPr>
          <w:lang w:val="bg-BG"/>
        </w:rPr>
      </w:pPr>
      <w:r w:rsidRPr="009072DA">
        <w:rPr>
          <w:lang w:val="bg-BG"/>
        </w:rPr>
        <w:t>a)</w:t>
      </w:r>
      <w:r w:rsidRPr="009072DA">
        <w:rPr>
          <w:lang w:val="bg-BG"/>
        </w:rPr>
        <w:tab/>
        <w:t>резервоари за гориво и връзки към резервоари,</w:t>
      </w:r>
    </w:p>
    <w:p w:rsidR="007E5FD5" w:rsidRPr="009072DA" w:rsidRDefault="007E5FD5" w:rsidP="007E5FD5">
      <w:pPr>
        <w:pStyle w:val="ESlet"/>
        <w:rPr>
          <w:lang w:val="bg-BG"/>
        </w:rPr>
      </w:pPr>
      <w:r w:rsidRPr="009072DA">
        <w:rPr>
          <w:lang w:val="bg-BG"/>
        </w:rPr>
        <w:t>б)</w:t>
      </w:r>
      <w:r w:rsidRPr="009072DA">
        <w:rPr>
          <w:lang w:val="bg-BG"/>
        </w:rPr>
        <w:tab/>
        <w:t>системи за подготовка на газ,</w:t>
      </w:r>
    </w:p>
    <w:p w:rsidR="007E5FD5" w:rsidRPr="009072DA" w:rsidRDefault="007E5FD5" w:rsidP="007E5FD5">
      <w:pPr>
        <w:pStyle w:val="ESlet"/>
        <w:rPr>
          <w:lang w:val="bg-BG"/>
        </w:rPr>
      </w:pPr>
      <w:r w:rsidRPr="009072DA">
        <w:rPr>
          <w:lang w:val="bg-BG"/>
        </w:rPr>
        <w:t>в)</w:t>
      </w:r>
      <w:r w:rsidRPr="009072DA">
        <w:rPr>
          <w:lang w:val="bg-BG"/>
        </w:rPr>
        <w:tab/>
        <w:t>тръбопроводи и клапи,</w:t>
      </w:r>
    </w:p>
    <w:p w:rsidR="007E5FD5" w:rsidRPr="009072DA" w:rsidRDefault="007E5FD5" w:rsidP="007E5FD5">
      <w:pPr>
        <w:pStyle w:val="ESlet"/>
        <w:rPr>
          <w:lang w:val="bg-BG"/>
        </w:rPr>
      </w:pPr>
      <w:r w:rsidRPr="009072DA">
        <w:rPr>
          <w:lang w:val="bg-BG"/>
        </w:rPr>
        <w:t>г)</w:t>
      </w:r>
      <w:r w:rsidRPr="009072DA">
        <w:rPr>
          <w:lang w:val="bg-BG"/>
        </w:rPr>
        <w:tab/>
        <w:t>двигатели и турбини,</w:t>
      </w:r>
    </w:p>
    <w:p w:rsidR="007E5FD5" w:rsidRPr="009072DA" w:rsidRDefault="007E5FD5" w:rsidP="007E5FD5">
      <w:pPr>
        <w:pStyle w:val="ESlet"/>
        <w:rPr>
          <w:lang w:val="bg-BG"/>
        </w:rPr>
      </w:pPr>
      <w:r w:rsidRPr="009072DA">
        <w:rPr>
          <w:lang w:val="bg-BG"/>
        </w:rPr>
        <w:t>д)</w:t>
      </w:r>
      <w:r w:rsidRPr="009072DA">
        <w:rPr>
          <w:lang w:val="bg-BG"/>
        </w:rPr>
        <w:tab/>
        <w:t>системи за контрол, следене и безопасност.</w:t>
      </w:r>
    </w:p>
    <w:p w:rsidR="007E5FD5" w:rsidRPr="009072DA" w:rsidRDefault="007E5FD5" w:rsidP="007E5FD5">
      <w:pPr>
        <w:pStyle w:val="ESch"/>
        <w:rPr>
          <w:lang w:val="bg-BG"/>
        </w:rPr>
      </w:pPr>
    </w:p>
    <w:p w:rsidR="007E5FD5" w:rsidRPr="009072DA" w:rsidRDefault="007E5FD5" w:rsidP="007E5FD5">
      <w:pPr>
        <w:pStyle w:val="ESch"/>
        <w:rPr>
          <w:lang w:val="bg-BG"/>
        </w:rPr>
      </w:pPr>
      <w:r w:rsidRPr="009072DA">
        <w:rPr>
          <w:lang w:val="bg-BG"/>
        </w:rPr>
        <w:t xml:space="preserve">2. </w:t>
      </w:r>
      <w:r w:rsidRPr="009072DA">
        <w:rPr>
          <w:lang w:val="bg-BG"/>
        </w:rPr>
        <w:tab/>
        <w:t xml:space="preserve">Чрез дерогация от член 8.01, точка 3 и член 8.05, точки 1, 6, 9, 11 и 12 и разпоредбите на глава 9 системите за задвижване и спомагателни системи, работещи с горива с температура на възпламеняване, по-ниска или равна на 55 °С, могат да бъдат монтирани на плавателни средства, при условие че изискванията за тези горива, посочени в настоящата глава и в приложение 8, са спазени. </w:t>
      </w:r>
    </w:p>
    <w:p w:rsidR="007E5FD5" w:rsidRPr="009072DA" w:rsidRDefault="007E5FD5" w:rsidP="007E5FD5">
      <w:pPr>
        <w:pStyle w:val="ESch"/>
        <w:rPr>
          <w:lang w:val="bg-BG"/>
        </w:rPr>
      </w:pPr>
    </w:p>
    <w:p w:rsidR="007E5FD5" w:rsidRPr="009072DA" w:rsidRDefault="007E5FD5" w:rsidP="007E5FD5">
      <w:pPr>
        <w:pStyle w:val="ESch"/>
        <w:rPr>
          <w:lang w:val="bg-BG"/>
        </w:rPr>
      </w:pPr>
      <w:r w:rsidRPr="009072DA">
        <w:rPr>
          <w:lang w:val="bg-BG"/>
        </w:rPr>
        <w:t>3.</w:t>
      </w:r>
      <w:r w:rsidRPr="009072DA">
        <w:rPr>
          <w:lang w:val="bg-BG"/>
        </w:rPr>
        <w:tab/>
        <w:t xml:space="preserve">Системите за задвижване и спомагателните системи по точка 2 трябва да бъдат изграждани и монтирани под надзора на контролния орган. </w:t>
      </w:r>
    </w:p>
    <w:p w:rsidR="007E5FD5" w:rsidRPr="009072DA" w:rsidRDefault="007E5FD5" w:rsidP="007E5FD5">
      <w:pPr>
        <w:pStyle w:val="ESch"/>
        <w:rPr>
          <w:lang w:val="bg-BG"/>
        </w:rPr>
      </w:pPr>
    </w:p>
    <w:p w:rsidR="007E5FD5" w:rsidRPr="009072DA" w:rsidRDefault="007E5FD5" w:rsidP="007E5FD5">
      <w:pPr>
        <w:pStyle w:val="ESch"/>
        <w:rPr>
          <w:lang w:val="bg-BG"/>
        </w:rPr>
      </w:pPr>
      <w:r w:rsidRPr="009072DA">
        <w:rPr>
          <w:lang w:val="bg-BG"/>
        </w:rPr>
        <w:t>4.</w:t>
      </w:r>
      <w:r w:rsidRPr="009072DA">
        <w:rPr>
          <w:lang w:val="bg-BG"/>
        </w:rPr>
        <w:tab/>
        <w:t xml:space="preserve">За целите на изпълнението на задачите съгласно настоящата глава, контролният орган може да наеме техническа служба в съответствие с член 30.07. </w:t>
      </w:r>
    </w:p>
    <w:p w:rsidR="007E5FD5" w:rsidRPr="009072DA" w:rsidRDefault="007E5FD5" w:rsidP="007E5FD5">
      <w:pPr>
        <w:pStyle w:val="ESch"/>
        <w:rPr>
          <w:lang w:val="bg-BG"/>
        </w:rPr>
      </w:pPr>
    </w:p>
    <w:p w:rsidR="007E5FD5" w:rsidRPr="009072DA" w:rsidRDefault="007E5FD5" w:rsidP="007E5FD5">
      <w:pPr>
        <w:pStyle w:val="ESch"/>
        <w:rPr>
          <w:lang w:val="bg-BG"/>
        </w:rPr>
      </w:pPr>
      <w:r w:rsidRPr="009072DA">
        <w:rPr>
          <w:lang w:val="bg-BG"/>
        </w:rPr>
        <w:t>5.</w:t>
      </w:r>
      <w:r w:rsidRPr="009072DA">
        <w:rPr>
          <w:lang w:val="bg-BG"/>
        </w:rPr>
        <w:tab/>
        <w:t>Преди пускане в експлоатация на система за задвижване или спомагателна система съгласно точка 2, следните документи трябва да бъдат представени на контролния орган:</w:t>
      </w:r>
    </w:p>
    <w:p w:rsidR="007E5FD5" w:rsidRPr="009072DA" w:rsidRDefault="007E5FD5" w:rsidP="007E5FD5">
      <w:pPr>
        <w:pStyle w:val="ESlet"/>
        <w:rPr>
          <w:lang w:val="bg-BG"/>
        </w:rPr>
      </w:pPr>
      <w:r w:rsidRPr="009072DA">
        <w:rPr>
          <w:lang w:val="bg-BG"/>
        </w:rPr>
        <w:t>a)</w:t>
      </w:r>
      <w:r w:rsidRPr="009072DA">
        <w:rPr>
          <w:lang w:val="bg-BG"/>
        </w:rPr>
        <w:tab/>
        <w:t>оценка на риска съгласно приложение 8,</w:t>
      </w:r>
    </w:p>
    <w:p w:rsidR="007E5FD5" w:rsidRPr="009072DA" w:rsidRDefault="007E5FD5" w:rsidP="007E5FD5">
      <w:pPr>
        <w:pStyle w:val="ESlet"/>
        <w:rPr>
          <w:lang w:val="bg-BG"/>
        </w:rPr>
      </w:pPr>
      <w:r w:rsidRPr="009072DA">
        <w:rPr>
          <w:lang w:val="bg-BG"/>
        </w:rPr>
        <w:t>б)</w:t>
      </w:r>
      <w:r w:rsidRPr="009072DA">
        <w:rPr>
          <w:lang w:val="bg-BG"/>
        </w:rPr>
        <w:tab/>
        <w:t>описание на системата за задвижване или спомагателната система,</w:t>
      </w:r>
    </w:p>
    <w:p w:rsidR="007E5FD5" w:rsidRPr="009072DA" w:rsidRDefault="007E5FD5" w:rsidP="007E5FD5">
      <w:pPr>
        <w:pStyle w:val="ESlet"/>
        <w:rPr>
          <w:lang w:val="bg-BG"/>
        </w:rPr>
      </w:pPr>
      <w:r w:rsidRPr="009072DA">
        <w:rPr>
          <w:lang w:val="bg-BG"/>
        </w:rPr>
        <w:t>в)</w:t>
      </w:r>
      <w:r w:rsidRPr="009072DA">
        <w:rPr>
          <w:lang w:val="bg-BG"/>
        </w:rPr>
        <w:tab/>
        <w:t>чертежи на системата за задвижване или спомагателната система,</w:t>
      </w:r>
    </w:p>
    <w:p w:rsidR="007E5FD5" w:rsidRPr="009072DA" w:rsidRDefault="007E5FD5" w:rsidP="007E5FD5">
      <w:pPr>
        <w:pStyle w:val="ESlet"/>
        <w:rPr>
          <w:lang w:val="bg-BG"/>
        </w:rPr>
      </w:pPr>
      <w:r w:rsidRPr="009072DA">
        <w:rPr>
          <w:lang w:val="bg-BG"/>
        </w:rPr>
        <w:t>г)</w:t>
      </w:r>
      <w:r w:rsidRPr="009072DA">
        <w:rPr>
          <w:lang w:val="bg-BG"/>
        </w:rPr>
        <w:tab/>
        <w:t>диаграма на налягането и температурата в системата,</w:t>
      </w:r>
    </w:p>
    <w:p w:rsidR="007E5FD5" w:rsidRPr="009072DA" w:rsidRDefault="007E5FD5" w:rsidP="007E5FD5">
      <w:pPr>
        <w:pStyle w:val="ESlet"/>
        <w:rPr>
          <w:lang w:val="bg-BG"/>
        </w:rPr>
      </w:pPr>
      <w:r w:rsidRPr="009072DA">
        <w:rPr>
          <w:lang w:val="bg-BG"/>
        </w:rPr>
        <w:lastRenderedPageBreak/>
        <w:t>д)</w:t>
      </w:r>
      <w:r w:rsidRPr="009072DA">
        <w:rPr>
          <w:lang w:val="bg-BG"/>
        </w:rPr>
        <w:tab/>
        <w:t>ръководство за експлоатация, съдържащо всички приложими процедури, предназначени за практическо използване на системата,</w:t>
      </w:r>
    </w:p>
    <w:p w:rsidR="007E5FD5" w:rsidRPr="009072DA" w:rsidRDefault="007E5FD5" w:rsidP="007E5FD5">
      <w:pPr>
        <w:pStyle w:val="ESlet"/>
        <w:rPr>
          <w:lang w:val="bg-BG"/>
        </w:rPr>
      </w:pPr>
      <w:r w:rsidRPr="009072DA">
        <w:rPr>
          <w:lang w:val="bg-BG"/>
        </w:rPr>
        <w:t>е)</w:t>
      </w:r>
      <w:r w:rsidRPr="009072DA">
        <w:rPr>
          <w:lang w:val="bg-BG"/>
        </w:rPr>
        <w:tab/>
        <w:t>разписания по безопасността съгласно член 30.03,</w:t>
      </w:r>
    </w:p>
    <w:p w:rsidR="007E5FD5" w:rsidRPr="009072DA" w:rsidRDefault="007E5FD5" w:rsidP="007E5FD5">
      <w:pPr>
        <w:pStyle w:val="ESlet"/>
        <w:rPr>
          <w:lang w:val="bg-BG"/>
        </w:rPr>
      </w:pPr>
      <w:r w:rsidRPr="009072DA">
        <w:rPr>
          <w:lang w:val="bg-BG"/>
        </w:rPr>
        <w:t>ж)</w:t>
      </w:r>
      <w:r w:rsidRPr="009072DA">
        <w:rPr>
          <w:lang w:val="bg-BG"/>
        </w:rPr>
        <w:tab/>
        <w:t>копие от удостоверението за проверка, посочено в член 30.02, точка 4.</w:t>
      </w:r>
    </w:p>
    <w:p w:rsidR="007E5FD5" w:rsidRPr="009072DA" w:rsidRDefault="007E5FD5" w:rsidP="007E5FD5">
      <w:pPr>
        <w:pStyle w:val="ESch"/>
        <w:rPr>
          <w:lang w:val="bg-BG"/>
        </w:rPr>
      </w:pPr>
    </w:p>
    <w:p w:rsidR="007E5FD5" w:rsidRPr="009072DA" w:rsidRDefault="007E5FD5" w:rsidP="007E5FD5">
      <w:pPr>
        <w:pStyle w:val="ESch"/>
        <w:rPr>
          <w:lang w:val="bg-BG"/>
        </w:rPr>
      </w:pPr>
      <w:r w:rsidRPr="009072DA">
        <w:rPr>
          <w:lang w:val="bg-BG"/>
        </w:rPr>
        <w:t>6.</w:t>
      </w:r>
      <w:r w:rsidRPr="009072DA">
        <w:rPr>
          <w:lang w:val="bg-BG"/>
        </w:rPr>
        <w:tab/>
        <w:t>Копие на документите, посочени в точка 5, се съхранява на борда.</w:t>
      </w:r>
    </w:p>
    <w:p w:rsidR="007E5FD5" w:rsidRPr="009072DA" w:rsidRDefault="007E5FD5" w:rsidP="007E5FD5">
      <w:pPr>
        <w:pStyle w:val="ESch"/>
        <w:rPr>
          <w:b/>
          <w:lang w:val="bg-BG"/>
        </w:rPr>
      </w:pPr>
      <w:r w:rsidRPr="009072DA">
        <w:rPr>
          <w:lang w:val="bg-BG"/>
        </w:rPr>
        <w:br w:type="page"/>
      </w:r>
    </w:p>
    <w:p w:rsidR="007E5FD5" w:rsidRPr="009072DA" w:rsidRDefault="009F3E19" w:rsidP="007E5FD5">
      <w:pPr>
        <w:pStyle w:val="ES-Titre3"/>
        <w:rPr>
          <w:i/>
          <w:lang w:val="bg-BG"/>
        </w:rPr>
      </w:pPr>
      <w:bookmarkStart w:id="527" w:name="_Toc491854261"/>
      <w:bookmarkStart w:id="528" w:name="_Toc535827702"/>
      <w:r w:rsidRPr="009072DA">
        <w:rPr>
          <w:lang w:val="bg-BG"/>
        </w:rPr>
        <w:lastRenderedPageBreak/>
        <w:t>Член 30.02</w:t>
      </w:r>
      <w:r w:rsidRPr="009072DA">
        <w:rPr>
          <w:lang w:val="bg-BG"/>
        </w:rPr>
        <w:br/>
      </w:r>
      <w:r w:rsidRPr="009072DA">
        <w:rPr>
          <w:i/>
          <w:lang w:val="bg-BG"/>
        </w:rPr>
        <w:t>Изпитване</w:t>
      </w:r>
      <w:bookmarkEnd w:id="527"/>
      <w:bookmarkEnd w:id="528"/>
    </w:p>
    <w:p w:rsidR="007E5FD5" w:rsidRPr="009072DA" w:rsidRDefault="007E5FD5" w:rsidP="007E5FD5">
      <w:pPr>
        <w:pStyle w:val="ESch"/>
        <w:rPr>
          <w:lang w:val="bg-BG"/>
        </w:rPr>
      </w:pPr>
    </w:p>
    <w:p w:rsidR="007E5FD5" w:rsidRPr="009072DA" w:rsidRDefault="007E5FD5" w:rsidP="007E5FD5">
      <w:pPr>
        <w:pStyle w:val="ESch"/>
        <w:rPr>
          <w:lang w:val="bg-BG"/>
        </w:rPr>
      </w:pPr>
      <w:r w:rsidRPr="009072DA">
        <w:rPr>
          <w:lang w:val="bg-BG"/>
        </w:rPr>
        <w:t>1.</w:t>
      </w:r>
      <w:r w:rsidRPr="009072DA">
        <w:rPr>
          <w:lang w:val="bg-BG"/>
        </w:rPr>
        <w:tab/>
        <w:t xml:space="preserve">Системите за задвижване и спомагателните системи, работещи с горива с температура на възпламеняване, по-ниска или равна на 55 °C, се проверяват от контролен орган: </w:t>
      </w:r>
    </w:p>
    <w:p w:rsidR="007E5FD5" w:rsidRPr="009072DA" w:rsidRDefault="007E5FD5" w:rsidP="007E5FD5">
      <w:pPr>
        <w:pStyle w:val="ESlet"/>
        <w:rPr>
          <w:lang w:val="bg-BG"/>
        </w:rPr>
      </w:pPr>
      <w:r w:rsidRPr="009072DA">
        <w:rPr>
          <w:lang w:val="bg-BG"/>
        </w:rPr>
        <w:t>a)</w:t>
      </w:r>
      <w:r w:rsidRPr="009072DA">
        <w:rPr>
          <w:lang w:val="bg-BG"/>
        </w:rPr>
        <w:tab/>
        <w:t>преди пускане в експлоатация;</w:t>
      </w:r>
    </w:p>
    <w:p w:rsidR="007E5FD5" w:rsidRPr="009072DA" w:rsidRDefault="007E5FD5" w:rsidP="007E5FD5">
      <w:pPr>
        <w:pStyle w:val="ESlet"/>
        <w:rPr>
          <w:lang w:val="bg-BG"/>
        </w:rPr>
      </w:pPr>
      <w:r w:rsidRPr="009072DA">
        <w:rPr>
          <w:lang w:val="bg-BG"/>
        </w:rPr>
        <w:t>б)</w:t>
      </w:r>
      <w:r w:rsidRPr="009072DA">
        <w:rPr>
          <w:lang w:val="bg-BG"/>
        </w:rPr>
        <w:tab/>
        <w:t>след всяка промяна или ремонт;</w:t>
      </w:r>
    </w:p>
    <w:p w:rsidR="007E5FD5" w:rsidRPr="009072DA" w:rsidRDefault="007E5FD5" w:rsidP="007E5FD5">
      <w:pPr>
        <w:pStyle w:val="ESlet"/>
        <w:rPr>
          <w:lang w:val="bg-BG"/>
        </w:rPr>
      </w:pPr>
      <w:r w:rsidRPr="009072DA">
        <w:rPr>
          <w:lang w:val="bg-BG"/>
        </w:rPr>
        <w:t>в)</w:t>
      </w:r>
      <w:r w:rsidRPr="009072DA">
        <w:rPr>
          <w:lang w:val="bg-BG"/>
        </w:rPr>
        <w:tab/>
        <w:t>редовно, поне веднъж годишно.</w:t>
      </w:r>
    </w:p>
    <w:p w:rsidR="007E5FD5" w:rsidRPr="009072DA" w:rsidRDefault="007E5FD5" w:rsidP="007E5FD5">
      <w:pPr>
        <w:pStyle w:val="ESchpar"/>
        <w:rPr>
          <w:lang w:val="bg-BG"/>
        </w:rPr>
      </w:pPr>
    </w:p>
    <w:p w:rsidR="007E5FD5" w:rsidRPr="009072DA" w:rsidRDefault="007E5FD5" w:rsidP="007E5FD5">
      <w:pPr>
        <w:pStyle w:val="ESchpar"/>
        <w:rPr>
          <w:lang w:val="bg-BG"/>
        </w:rPr>
      </w:pPr>
      <w:r w:rsidRPr="009072DA">
        <w:rPr>
          <w:lang w:val="bg-BG"/>
        </w:rPr>
        <w:t>Инструкциите на производителите трябва да бъдат взети под внимание в процеса.</w:t>
      </w:r>
    </w:p>
    <w:p w:rsidR="007E5FD5" w:rsidRPr="009072DA" w:rsidRDefault="007E5FD5" w:rsidP="007E5FD5">
      <w:pPr>
        <w:pStyle w:val="ESchpar"/>
        <w:rPr>
          <w:lang w:val="bg-BG"/>
        </w:rPr>
      </w:pPr>
    </w:p>
    <w:p w:rsidR="007E5FD5" w:rsidRPr="009072DA" w:rsidRDefault="007E5FD5" w:rsidP="007E5FD5">
      <w:pPr>
        <w:pStyle w:val="ESch"/>
        <w:rPr>
          <w:lang w:val="bg-BG"/>
        </w:rPr>
      </w:pPr>
      <w:r w:rsidRPr="009072DA">
        <w:rPr>
          <w:lang w:val="bg-BG"/>
        </w:rPr>
        <w:t>2.</w:t>
      </w:r>
      <w:r w:rsidRPr="009072DA">
        <w:rPr>
          <w:lang w:val="bg-BG"/>
        </w:rPr>
        <w:tab/>
        <w:t>Проверките, посочени в точка 1, букви а) и в), трябва да обхващат най-малко:</w:t>
      </w:r>
    </w:p>
    <w:p w:rsidR="007E5FD5" w:rsidRPr="009072DA" w:rsidRDefault="007E5FD5" w:rsidP="007E5FD5">
      <w:pPr>
        <w:pStyle w:val="ESlet"/>
        <w:rPr>
          <w:lang w:val="bg-BG"/>
        </w:rPr>
      </w:pPr>
      <w:r w:rsidRPr="009072DA">
        <w:rPr>
          <w:lang w:val="bg-BG"/>
        </w:rPr>
        <w:t>a)</w:t>
      </w:r>
      <w:r w:rsidRPr="009072DA">
        <w:rPr>
          <w:lang w:val="bg-BG"/>
        </w:rPr>
        <w:tab/>
        <w:t>проверка на съответствието на системите за задвижване и спомагателните системи с утвърдените чертежи и при последващите проверки, дали са били извършени промени в системата за задвижване или спомагателната система,</w:t>
      </w:r>
    </w:p>
    <w:p w:rsidR="007E5FD5" w:rsidRPr="009072DA" w:rsidRDefault="007E5FD5" w:rsidP="007E5FD5">
      <w:pPr>
        <w:pStyle w:val="ESlet"/>
        <w:rPr>
          <w:lang w:val="bg-BG"/>
        </w:rPr>
      </w:pPr>
      <w:r w:rsidRPr="009072DA">
        <w:rPr>
          <w:lang w:val="bg-BG"/>
        </w:rPr>
        <w:t>б)</w:t>
      </w:r>
      <w:r w:rsidRPr="009072DA">
        <w:rPr>
          <w:lang w:val="bg-BG"/>
        </w:rPr>
        <w:tab/>
        <w:t>ако е необходимо функционално изпитване на системите за задвижване и спомагателните системи за всички експлоатационни възможности,</w:t>
      </w:r>
    </w:p>
    <w:p w:rsidR="007E5FD5" w:rsidRPr="009072DA" w:rsidRDefault="007E5FD5" w:rsidP="007E5FD5">
      <w:pPr>
        <w:pStyle w:val="ESlet"/>
        <w:rPr>
          <w:lang w:val="bg-BG"/>
        </w:rPr>
      </w:pPr>
      <w:r w:rsidRPr="009072DA">
        <w:rPr>
          <w:lang w:val="bg-BG"/>
        </w:rPr>
        <w:t>в)</w:t>
      </w:r>
      <w:r w:rsidRPr="009072DA">
        <w:rPr>
          <w:lang w:val="bg-BG"/>
        </w:rPr>
        <w:tab/>
        <w:t>визуална проверка и проверка за херметичност на всички компоненти на системата, по-специално вентили, тръбопроводи, гъвкави маркучи, бутала, помпи и филтри,</w:t>
      </w:r>
    </w:p>
    <w:p w:rsidR="007E5FD5" w:rsidRPr="009072DA" w:rsidRDefault="007E5FD5" w:rsidP="007E5FD5">
      <w:pPr>
        <w:pStyle w:val="ESlet"/>
        <w:rPr>
          <w:lang w:val="bg-BG"/>
        </w:rPr>
      </w:pPr>
      <w:r w:rsidRPr="009072DA">
        <w:rPr>
          <w:lang w:val="bg-BG"/>
        </w:rPr>
        <w:t>г)</w:t>
      </w:r>
      <w:r w:rsidRPr="009072DA">
        <w:rPr>
          <w:lang w:val="bg-BG"/>
        </w:rPr>
        <w:tab/>
        <w:t>визуална проверка на електрическите и електронните уреди на инсталацията,</w:t>
      </w:r>
    </w:p>
    <w:p w:rsidR="007E5FD5" w:rsidRPr="009072DA" w:rsidRDefault="007E5FD5" w:rsidP="007E5FD5">
      <w:pPr>
        <w:pStyle w:val="ESlet"/>
        <w:rPr>
          <w:lang w:val="bg-BG"/>
        </w:rPr>
      </w:pPr>
      <w:r w:rsidRPr="009072DA">
        <w:rPr>
          <w:lang w:val="bg-BG"/>
        </w:rPr>
        <w:t>д)</w:t>
      </w:r>
      <w:r w:rsidRPr="009072DA">
        <w:rPr>
          <w:lang w:val="bg-BG"/>
        </w:rPr>
        <w:tab/>
        <w:t>проверка на системите за контрол, следене и безопасност.</w:t>
      </w:r>
    </w:p>
    <w:p w:rsidR="007E5FD5" w:rsidRPr="009072DA" w:rsidRDefault="007E5FD5" w:rsidP="007E5FD5">
      <w:pPr>
        <w:pStyle w:val="ESch"/>
        <w:rPr>
          <w:lang w:val="bg-BG"/>
        </w:rPr>
      </w:pPr>
    </w:p>
    <w:p w:rsidR="007E5FD5" w:rsidRPr="009072DA" w:rsidRDefault="007E5FD5" w:rsidP="007E5FD5">
      <w:pPr>
        <w:pStyle w:val="ESch"/>
        <w:rPr>
          <w:spacing w:val="-2"/>
          <w:lang w:val="bg-BG"/>
        </w:rPr>
      </w:pPr>
      <w:r w:rsidRPr="009072DA">
        <w:rPr>
          <w:lang w:val="bg-BG"/>
        </w:rPr>
        <w:t>3.</w:t>
      </w:r>
      <w:r w:rsidRPr="009072DA">
        <w:rPr>
          <w:lang w:val="bg-BG"/>
        </w:rPr>
        <w:tab/>
        <w:t>Проверките по точка 1, буква б) включват съответните части от точка 2.</w:t>
      </w:r>
    </w:p>
    <w:p w:rsidR="007E5FD5" w:rsidRPr="009072DA" w:rsidRDefault="007E5FD5" w:rsidP="007E5FD5">
      <w:pPr>
        <w:pStyle w:val="ESch"/>
        <w:rPr>
          <w:lang w:val="bg-BG"/>
        </w:rPr>
      </w:pPr>
    </w:p>
    <w:p w:rsidR="007E5FD5" w:rsidRPr="009072DA" w:rsidRDefault="007E5FD5" w:rsidP="007E5FD5">
      <w:pPr>
        <w:pStyle w:val="ESch"/>
        <w:rPr>
          <w:lang w:val="bg-BG"/>
        </w:rPr>
      </w:pPr>
      <w:r w:rsidRPr="009072DA">
        <w:rPr>
          <w:lang w:val="bg-BG"/>
        </w:rPr>
        <w:t>4.</w:t>
      </w:r>
      <w:r w:rsidRPr="009072DA">
        <w:rPr>
          <w:lang w:val="bg-BG"/>
        </w:rPr>
        <w:tab/>
        <w:t>За всяка проверка съгласно точка 1 се издава удостоверение за проверката, съдържащо нейната дата.</w:t>
      </w:r>
    </w:p>
    <w:p w:rsidR="007E5FD5" w:rsidRPr="009072DA" w:rsidRDefault="007E5FD5" w:rsidP="007E5FD5">
      <w:pPr>
        <w:pStyle w:val="ESch"/>
        <w:rPr>
          <w:lang w:val="bg-BG"/>
        </w:rPr>
      </w:pPr>
    </w:p>
    <w:p w:rsidR="007E5FD5" w:rsidRPr="009072DA" w:rsidRDefault="007E5FD5" w:rsidP="007E5FD5">
      <w:pPr>
        <w:pStyle w:val="ESch"/>
        <w:rPr>
          <w:lang w:val="bg-BG"/>
        </w:rPr>
      </w:pPr>
    </w:p>
    <w:p w:rsidR="007E5FD5" w:rsidRPr="009072DA" w:rsidRDefault="007E5FD5" w:rsidP="007E5FD5">
      <w:pPr>
        <w:pStyle w:val="ES-Titre3"/>
        <w:rPr>
          <w:i/>
          <w:lang w:val="bg-BG"/>
        </w:rPr>
      </w:pPr>
      <w:bookmarkStart w:id="529" w:name="_Toc491854262"/>
      <w:bookmarkStart w:id="530" w:name="_Toc535827703"/>
      <w:r w:rsidRPr="009072DA">
        <w:rPr>
          <w:lang w:val="bg-BG"/>
        </w:rPr>
        <w:t>Член 30.03</w:t>
      </w:r>
      <w:r w:rsidRPr="009072DA">
        <w:rPr>
          <w:lang w:val="bg-BG"/>
        </w:rPr>
        <w:br/>
      </w:r>
      <w:r w:rsidRPr="009072DA">
        <w:rPr>
          <w:i/>
          <w:lang w:val="bg-BG"/>
        </w:rPr>
        <w:t>Организация на безопасността</w:t>
      </w:r>
      <w:bookmarkEnd w:id="529"/>
      <w:bookmarkEnd w:id="530"/>
    </w:p>
    <w:p w:rsidR="007E5FD5" w:rsidRPr="009072DA" w:rsidRDefault="007E5FD5" w:rsidP="007E5FD5">
      <w:pPr>
        <w:pStyle w:val="ESch"/>
        <w:rPr>
          <w:lang w:val="bg-BG"/>
        </w:rPr>
      </w:pPr>
    </w:p>
    <w:p w:rsidR="007E5FD5" w:rsidRPr="009072DA" w:rsidRDefault="007E5FD5" w:rsidP="007E5FD5">
      <w:pPr>
        <w:pStyle w:val="ESch"/>
        <w:rPr>
          <w:color w:val="000000"/>
          <w:lang w:val="bg-BG"/>
        </w:rPr>
      </w:pPr>
      <w:r w:rsidRPr="009072DA">
        <w:rPr>
          <w:color w:val="000000"/>
          <w:lang w:val="bg-BG"/>
        </w:rPr>
        <w:t>1.</w:t>
      </w:r>
      <w:r w:rsidRPr="009072DA">
        <w:rPr>
          <w:lang w:val="bg-BG"/>
        </w:rPr>
        <w:tab/>
      </w:r>
      <w:r w:rsidRPr="009072DA">
        <w:rPr>
          <w:color w:val="000000"/>
          <w:lang w:val="bg-BG"/>
        </w:rPr>
        <w:t xml:space="preserve">Разписанието по безопасност се предоставя на борда на плавателното средство, оборудвано със задвижващи или спомагателни системи, работещи с гориво с </w:t>
      </w:r>
      <w:r w:rsidRPr="009072DA">
        <w:rPr>
          <w:color w:val="000000"/>
          <w:lang w:val="bg-BG"/>
        </w:rPr>
        <w:lastRenderedPageBreak/>
        <w:t>температура на възпламеняване по-ниска или равна на 55 °С. Разписанието по безопасност включва инструкции за безопасност съгласно точка 2 и план за безопасност съгласно точка 3 на плавателното средство.</w:t>
      </w:r>
    </w:p>
    <w:p w:rsidR="007E5FD5" w:rsidRPr="009072DA" w:rsidRDefault="007E5FD5" w:rsidP="007E5FD5">
      <w:pPr>
        <w:pStyle w:val="ESch"/>
        <w:rPr>
          <w:color w:val="000000"/>
          <w:lang w:val="bg-BG"/>
        </w:rPr>
      </w:pPr>
    </w:p>
    <w:p w:rsidR="007E5FD5" w:rsidRPr="009072DA" w:rsidRDefault="007E5FD5" w:rsidP="007E5FD5">
      <w:pPr>
        <w:pStyle w:val="ESch"/>
        <w:rPr>
          <w:lang w:val="bg-BG"/>
        </w:rPr>
      </w:pPr>
      <w:r w:rsidRPr="009072DA">
        <w:rPr>
          <w:color w:val="000000"/>
          <w:lang w:val="bg-BG"/>
        </w:rPr>
        <w:t>2.</w:t>
      </w:r>
      <w:r w:rsidRPr="009072DA">
        <w:rPr>
          <w:lang w:val="bg-BG"/>
        </w:rPr>
        <w:tab/>
        <w:t>Тези инструкции за безопасност включват най-малко следната информация:</w:t>
      </w:r>
    </w:p>
    <w:p w:rsidR="007E5FD5" w:rsidRPr="009072DA" w:rsidRDefault="007E5FD5" w:rsidP="007E5FD5">
      <w:pPr>
        <w:pStyle w:val="ESlet"/>
        <w:rPr>
          <w:lang w:val="bg-BG"/>
        </w:rPr>
      </w:pPr>
      <w:r w:rsidRPr="009072DA">
        <w:rPr>
          <w:lang w:val="bg-BG"/>
        </w:rPr>
        <w:t>a)</w:t>
      </w:r>
      <w:r w:rsidRPr="009072DA">
        <w:rPr>
          <w:lang w:val="bg-BG"/>
        </w:rPr>
        <w:tab/>
        <w:t xml:space="preserve">аварийно спиране на системата, </w:t>
      </w:r>
    </w:p>
    <w:p w:rsidR="007E5FD5" w:rsidRPr="009072DA" w:rsidRDefault="007E5FD5" w:rsidP="007E5FD5">
      <w:pPr>
        <w:pStyle w:val="ESlet"/>
        <w:rPr>
          <w:lang w:val="bg-BG"/>
        </w:rPr>
      </w:pPr>
      <w:r w:rsidRPr="009072DA">
        <w:rPr>
          <w:lang w:val="bg-BG"/>
        </w:rPr>
        <w:t>б)</w:t>
      </w:r>
      <w:r w:rsidRPr="009072DA">
        <w:rPr>
          <w:lang w:val="bg-BG"/>
        </w:rPr>
        <w:tab/>
        <w:t xml:space="preserve">мерки, които да бъдат предприети в случай на случайно изпускане на течни или газообразни горива, например при зареждане с гориво, </w:t>
      </w:r>
    </w:p>
    <w:p w:rsidR="007E5FD5" w:rsidRPr="009072DA" w:rsidRDefault="007E5FD5" w:rsidP="007E5FD5">
      <w:pPr>
        <w:pStyle w:val="ESlet"/>
        <w:rPr>
          <w:lang w:val="bg-BG"/>
        </w:rPr>
      </w:pPr>
      <w:r w:rsidRPr="009072DA">
        <w:rPr>
          <w:lang w:val="bg-BG"/>
        </w:rPr>
        <w:t>в)</w:t>
      </w:r>
      <w:r w:rsidRPr="009072DA">
        <w:rPr>
          <w:lang w:val="bg-BG"/>
        </w:rPr>
        <w:tab/>
        <w:t>мерки, които да бъдат предприети в случай на пожар или при други инциденти на борда,</w:t>
      </w:r>
    </w:p>
    <w:p w:rsidR="007E5FD5" w:rsidRPr="009072DA" w:rsidRDefault="007E5FD5" w:rsidP="007E5FD5">
      <w:pPr>
        <w:pStyle w:val="ESlet"/>
        <w:rPr>
          <w:lang w:val="bg-BG"/>
        </w:rPr>
      </w:pPr>
      <w:r w:rsidRPr="009072DA">
        <w:rPr>
          <w:lang w:val="bg-BG"/>
        </w:rPr>
        <w:t>г)</w:t>
      </w:r>
      <w:r w:rsidRPr="009072DA">
        <w:rPr>
          <w:lang w:val="bg-BG"/>
        </w:rPr>
        <w:tab/>
        <w:t>мерки, които трябва да бъдат предприети в случай на сблъсък,</w:t>
      </w:r>
    </w:p>
    <w:p w:rsidR="007E5FD5" w:rsidRPr="009072DA" w:rsidRDefault="007E5FD5" w:rsidP="007E5FD5">
      <w:pPr>
        <w:pStyle w:val="ESlet"/>
        <w:rPr>
          <w:lang w:val="bg-BG"/>
        </w:rPr>
      </w:pPr>
      <w:r w:rsidRPr="009072DA">
        <w:rPr>
          <w:lang w:val="bg-BG"/>
        </w:rPr>
        <w:t>д)</w:t>
      </w:r>
      <w:r w:rsidRPr="009072DA">
        <w:rPr>
          <w:lang w:val="bg-BG"/>
        </w:rPr>
        <w:tab/>
        <w:t>използване на оборудване за безопасност,</w:t>
      </w:r>
    </w:p>
    <w:p w:rsidR="007E5FD5" w:rsidRPr="009072DA" w:rsidRDefault="007E5FD5" w:rsidP="007E5FD5">
      <w:pPr>
        <w:pStyle w:val="ESlet"/>
        <w:rPr>
          <w:lang w:val="bg-BG"/>
        </w:rPr>
      </w:pPr>
      <w:r w:rsidRPr="009072DA">
        <w:rPr>
          <w:lang w:val="bg-BG"/>
        </w:rPr>
        <w:t>е)</w:t>
      </w:r>
      <w:r w:rsidRPr="009072DA">
        <w:rPr>
          <w:lang w:val="bg-BG"/>
        </w:rPr>
        <w:tab/>
        <w:t>подаване на предупредителен сигнал,</w:t>
      </w:r>
    </w:p>
    <w:p w:rsidR="007E5FD5" w:rsidRPr="009072DA" w:rsidRDefault="007E5FD5" w:rsidP="007E5FD5">
      <w:pPr>
        <w:pStyle w:val="ESlet"/>
        <w:rPr>
          <w:lang w:val="bg-BG"/>
        </w:rPr>
      </w:pPr>
      <w:r w:rsidRPr="009072DA">
        <w:rPr>
          <w:lang w:val="bg-BG"/>
        </w:rPr>
        <w:t>ж)</w:t>
      </w:r>
      <w:r w:rsidRPr="009072DA">
        <w:rPr>
          <w:lang w:val="bg-BG"/>
        </w:rPr>
        <w:tab/>
        <w:t>процедури за евакуация.</w:t>
      </w:r>
    </w:p>
    <w:p w:rsidR="007E5FD5" w:rsidRPr="009072DA" w:rsidRDefault="007E5FD5" w:rsidP="007E5FD5">
      <w:pPr>
        <w:pStyle w:val="ESch"/>
        <w:rPr>
          <w:lang w:val="bg-BG"/>
        </w:rPr>
      </w:pPr>
    </w:p>
    <w:p w:rsidR="009F3E19" w:rsidRPr="009072DA" w:rsidRDefault="009F3E19">
      <w:pPr>
        <w:rPr>
          <w:lang w:val="bg-BG"/>
        </w:rPr>
      </w:pPr>
      <w:r w:rsidRPr="009072DA">
        <w:rPr>
          <w:lang w:val="bg-BG"/>
        </w:rPr>
        <w:br w:type="page"/>
      </w:r>
    </w:p>
    <w:p w:rsidR="009F3E19" w:rsidRPr="009072DA" w:rsidRDefault="009F3E19" w:rsidP="007E5FD5">
      <w:pPr>
        <w:pStyle w:val="ESch"/>
        <w:rPr>
          <w:lang w:val="bg-BG"/>
        </w:rPr>
      </w:pPr>
    </w:p>
    <w:p w:rsidR="007E5FD5" w:rsidRPr="009072DA" w:rsidRDefault="007E5FD5" w:rsidP="007E5FD5">
      <w:pPr>
        <w:pStyle w:val="ESch"/>
        <w:rPr>
          <w:color w:val="000000"/>
          <w:lang w:val="bg-BG"/>
        </w:rPr>
      </w:pPr>
      <w:r w:rsidRPr="009072DA">
        <w:rPr>
          <w:color w:val="000000"/>
          <w:lang w:val="bg-BG"/>
        </w:rPr>
        <w:t>3.</w:t>
      </w:r>
      <w:r w:rsidRPr="009072DA">
        <w:rPr>
          <w:lang w:val="bg-BG"/>
        </w:rPr>
        <w:tab/>
        <w:t>Планът за безопасност включва най-малко следната информация</w:t>
      </w:r>
      <w:r w:rsidRPr="009072DA">
        <w:rPr>
          <w:color w:val="000000"/>
          <w:lang w:val="bg-BG"/>
        </w:rPr>
        <w:t>:</w:t>
      </w:r>
    </w:p>
    <w:p w:rsidR="007E5FD5" w:rsidRPr="009072DA" w:rsidRDefault="007E5FD5" w:rsidP="007E5FD5">
      <w:pPr>
        <w:pStyle w:val="ESlet"/>
        <w:rPr>
          <w:lang w:val="bg-BG"/>
        </w:rPr>
      </w:pPr>
      <w:r w:rsidRPr="009072DA">
        <w:rPr>
          <w:lang w:val="bg-BG"/>
        </w:rPr>
        <w:t>a)</w:t>
      </w:r>
      <w:r w:rsidRPr="009072DA">
        <w:rPr>
          <w:lang w:val="bg-BG"/>
        </w:rPr>
        <w:tab/>
        <w:t>опасни зони,</w:t>
      </w:r>
    </w:p>
    <w:p w:rsidR="007E5FD5" w:rsidRPr="009072DA" w:rsidRDefault="007E5FD5" w:rsidP="007E5FD5">
      <w:pPr>
        <w:pStyle w:val="ESlet"/>
        <w:rPr>
          <w:lang w:val="bg-BG"/>
        </w:rPr>
      </w:pPr>
      <w:r w:rsidRPr="009072DA">
        <w:rPr>
          <w:lang w:val="bg-BG"/>
        </w:rPr>
        <w:t>б)</w:t>
      </w:r>
      <w:r w:rsidRPr="009072DA">
        <w:rPr>
          <w:lang w:val="bg-BG"/>
        </w:rPr>
        <w:tab/>
        <w:t>маршрути за евакуация, аварийни изходи и газонепроницаемо отделени помещения,</w:t>
      </w:r>
    </w:p>
    <w:p w:rsidR="007E5FD5" w:rsidRPr="009072DA" w:rsidRDefault="007E5FD5" w:rsidP="007E5FD5">
      <w:pPr>
        <w:pStyle w:val="ESlet"/>
        <w:rPr>
          <w:lang w:val="bg-BG"/>
        </w:rPr>
      </w:pPr>
      <w:r w:rsidRPr="009072DA">
        <w:rPr>
          <w:lang w:val="bg-BG"/>
        </w:rPr>
        <w:t>в)</w:t>
      </w:r>
      <w:r w:rsidRPr="009072DA">
        <w:rPr>
          <w:lang w:val="bg-BG"/>
        </w:rPr>
        <w:tab/>
        <w:t>спасително оборудване и корабни лодки,</w:t>
      </w:r>
    </w:p>
    <w:p w:rsidR="007E5FD5" w:rsidRPr="009072DA" w:rsidRDefault="007E5FD5" w:rsidP="007E5FD5">
      <w:pPr>
        <w:pStyle w:val="ESlet"/>
        <w:rPr>
          <w:lang w:val="bg-BG"/>
        </w:rPr>
      </w:pPr>
      <w:r w:rsidRPr="009072DA">
        <w:rPr>
          <w:lang w:val="bg-BG"/>
        </w:rPr>
        <w:t>г)</w:t>
      </w:r>
      <w:r w:rsidRPr="009072DA">
        <w:rPr>
          <w:lang w:val="bg-BG"/>
        </w:rPr>
        <w:tab/>
        <w:t>пожарогасители, противопожарни системи и спринклерни системи,</w:t>
      </w:r>
    </w:p>
    <w:p w:rsidR="007E5FD5" w:rsidRPr="009072DA" w:rsidRDefault="007E5FD5" w:rsidP="007E5FD5">
      <w:pPr>
        <w:pStyle w:val="ESlet"/>
        <w:rPr>
          <w:lang w:val="bg-BG"/>
        </w:rPr>
      </w:pPr>
      <w:r w:rsidRPr="009072DA">
        <w:rPr>
          <w:lang w:val="bg-BG"/>
        </w:rPr>
        <w:t>д)</w:t>
      </w:r>
      <w:r w:rsidRPr="009072DA">
        <w:rPr>
          <w:lang w:val="bg-BG"/>
        </w:rPr>
        <w:tab/>
        <w:t>алармени системи,</w:t>
      </w:r>
    </w:p>
    <w:p w:rsidR="007E5FD5" w:rsidRPr="009072DA" w:rsidRDefault="00F87682" w:rsidP="007E5FD5">
      <w:pPr>
        <w:pStyle w:val="ESlet"/>
        <w:rPr>
          <w:lang w:val="bg-BG"/>
        </w:rPr>
      </w:pPr>
      <w:r w:rsidRPr="009072DA">
        <w:rPr>
          <w:lang w:val="bg-BG"/>
        </w:rPr>
        <w:t>е)</w:t>
      </w:r>
      <w:r w:rsidRPr="009072DA">
        <w:rPr>
          <w:lang w:val="bg-BG"/>
        </w:rPr>
        <w:tab/>
        <w:t>устройства за управление на аварийните прекъсвачи,</w:t>
      </w:r>
    </w:p>
    <w:p w:rsidR="007E5FD5" w:rsidRPr="009072DA" w:rsidRDefault="007E5FD5" w:rsidP="007E5FD5">
      <w:pPr>
        <w:pStyle w:val="ESlet"/>
        <w:rPr>
          <w:lang w:val="bg-BG"/>
        </w:rPr>
      </w:pPr>
      <w:r w:rsidRPr="009072DA">
        <w:rPr>
          <w:lang w:val="bg-BG"/>
        </w:rPr>
        <w:t>ж)</w:t>
      </w:r>
      <w:r w:rsidRPr="009072DA">
        <w:rPr>
          <w:lang w:val="bg-BG"/>
        </w:rPr>
        <w:tab/>
        <w:t>противопожарни клапани,</w:t>
      </w:r>
    </w:p>
    <w:p w:rsidR="007E5FD5" w:rsidRPr="009072DA" w:rsidRDefault="007E5FD5" w:rsidP="007E5FD5">
      <w:pPr>
        <w:pStyle w:val="ESlet"/>
        <w:rPr>
          <w:lang w:val="bg-BG"/>
        </w:rPr>
      </w:pPr>
      <w:r w:rsidRPr="009072DA">
        <w:rPr>
          <w:lang w:val="bg-BG"/>
        </w:rPr>
        <w:t>з)</w:t>
      </w:r>
      <w:r w:rsidRPr="009072DA">
        <w:rPr>
          <w:lang w:val="bg-BG"/>
        </w:rPr>
        <w:tab/>
        <w:t>аварийни източници на енергия,</w:t>
      </w:r>
    </w:p>
    <w:p w:rsidR="007E5FD5" w:rsidRPr="009072DA" w:rsidRDefault="007E5FD5" w:rsidP="007E5FD5">
      <w:pPr>
        <w:pStyle w:val="ESlet"/>
        <w:rPr>
          <w:lang w:val="bg-BG"/>
        </w:rPr>
      </w:pPr>
      <w:r w:rsidRPr="009072DA">
        <w:rPr>
          <w:lang w:val="bg-BG"/>
        </w:rPr>
        <w:t>и)</w:t>
      </w:r>
      <w:r w:rsidRPr="009072DA">
        <w:rPr>
          <w:lang w:val="bg-BG"/>
        </w:rPr>
        <w:tab/>
        <w:t>устройства за управление на вентилационната система,</w:t>
      </w:r>
    </w:p>
    <w:p w:rsidR="007E5FD5" w:rsidRPr="009072DA" w:rsidRDefault="007E5FD5" w:rsidP="007E5FD5">
      <w:pPr>
        <w:pStyle w:val="ESlet"/>
        <w:rPr>
          <w:lang w:val="bg-BG"/>
        </w:rPr>
      </w:pPr>
      <w:r w:rsidRPr="009072DA">
        <w:rPr>
          <w:lang w:val="bg-BG"/>
        </w:rPr>
        <w:t>й)</w:t>
      </w:r>
      <w:r w:rsidRPr="009072DA">
        <w:rPr>
          <w:lang w:val="bg-BG"/>
        </w:rPr>
        <w:tab/>
        <w:t>уреди за управление на линиите за подаване на гориво,</w:t>
      </w:r>
    </w:p>
    <w:p w:rsidR="007E5FD5" w:rsidRPr="009072DA" w:rsidRDefault="007E5FD5" w:rsidP="007E5FD5">
      <w:pPr>
        <w:pStyle w:val="ESlet"/>
        <w:rPr>
          <w:lang w:val="bg-BG"/>
        </w:rPr>
      </w:pPr>
      <w:r w:rsidRPr="009072DA">
        <w:rPr>
          <w:lang w:val="bg-BG"/>
        </w:rPr>
        <w:t>к)</w:t>
      </w:r>
      <w:r w:rsidRPr="009072DA">
        <w:rPr>
          <w:lang w:val="bg-BG"/>
        </w:rPr>
        <w:tab/>
        <w:t>оборудване за безопасност.</w:t>
      </w:r>
    </w:p>
    <w:p w:rsidR="007E5FD5" w:rsidRPr="009072DA" w:rsidRDefault="007E5FD5" w:rsidP="007E5FD5">
      <w:pPr>
        <w:pStyle w:val="ESch"/>
        <w:rPr>
          <w:lang w:val="bg-BG"/>
        </w:rPr>
      </w:pPr>
    </w:p>
    <w:p w:rsidR="007E5FD5" w:rsidRPr="009072DA" w:rsidRDefault="007E5FD5" w:rsidP="007E5FD5">
      <w:pPr>
        <w:pStyle w:val="ESch"/>
        <w:rPr>
          <w:lang w:val="bg-BG"/>
        </w:rPr>
      </w:pPr>
      <w:r w:rsidRPr="009072DA">
        <w:rPr>
          <w:lang w:val="bg-BG"/>
        </w:rPr>
        <w:t>4.</w:t>
      </w:r>
      <w:r w:rsidRPr="009072DA">
        <w:rPr>
          <w:lang w:val="bg-BG"/>
        </w:rPr>
        <w:tab/>
        <w:t xml:space="preserve">Разписанията по безопасност: </w:t>
      </w:r>
    </w:p>
    <w:p w:rsidR="007E5FD5" w:rsidRPr="009072DA" w:rsidRDefault="007E5FD5" w:rsidP="007E5FD5">
      <w:pPr>
        <w:pStyle w:val="ESlet"/>
        <w:rPr>
          <w:lang w:val="bg-BG"/>
        </w:rPr>
      </w:pPr>
      <w:r w:rsidRPr="009072DA">
        <w:rPr>
          <w:lang w:val="bg-BG"/>
        </w:rPr>
        <w:t>a)</w:t>
      </w:r>
      <w:r w:rsidRPr="009072DA">
        <w:rPr>
          <w:lang w:val="bg-BG"/>
        </w:rPr>
        <w:tab/>
        <w:t xml:space="preserve">се подпечатват надлежно от контролния орган, и </w:t>
      </w:r>
    </w:p>
    <w:p w:rsidR="007E5FD5" w:rsidRPr="009072DA" w:rsidRDefault="007E5FD5" w:rsidP="007E5FD5">
      <w:pPr>
        <w:pStyle w:val="ESlet"/>
        <w:rPr>
          <w:lang w:val="bg-BG"/>
        </w:rPr>
      </w:pPr>
      <w:r w:rsidRPr="009072DA">
        <w:rPr>
          <w:lang w:val="bg-BG"/>
        </w:rPr>
        <w:t>б)</w:t>
      </w:r>
      <w:r w:rsidRPr="009072DA">
        <w:rPr>
          <w:lang w:val="bg-BG"/>
        </w:rPr>
        <w:tab/>
        <w:t>се показват на видно място на едно или повече подходящи места на борда.</w:t>
      </w:r>
    </w:p>
    <w:p w:rsidR="007E5FD5" w:rsidRPr="009072DA" w:rsidRDefault="007E5FD5" w:rsidP="007E5FD5">
      <w:pPr>
        <w:pStyle w:val="ESch"/>
        <w:rPr>
          <w:lang w:val="bg-BG"/>
        </w:rPr>
      </w:pPr>
    </w:p>
    <w:p w:rsidR="007E5FD5" w:rsidRPr="009072DA" w:rsidRDefault="007E5FD5" w:rsidP="007E5FD5">
      <w:pPr>
        <w:pStyle w:val="ESch"/>
        <w:rPr>
          <w:lang w:val="bg-BG"/>
        </w:rPr>
      </w:pPr>
    </w:p>
    <w:p w:rsidR="00745362" w:rsidRPr="009072DA" w:rsidRDefault="00745362" w:rsidP="00745362">
      <w:pPr>
        <w:pStyle w:val="ES-Titre3"/>
        <w:rPr>
          <w:i/>
          <w:lang w:val="bg-BG"/>
        </w:rPr>
      </w:pPr>
      <w:bookmarkStart w:id="531" w:name="_Toc491854263"/>
      <w:bookmarkStart w:id="532" w:name="_Toc535827704"/>
      <w:r w:rsidRPr="009072DA">
        <w:rPr>
          <w:lang w:val="bg-BG"/>
        </w:rPr>
        <w:t>Член 30.04</w:t>
      </w:r>
      <w:r w:rsidRPr="009072DA">
        <w:rPr>
          <w:lang w:val="bg-BG"/>
        </w:rPr>
        <w:br/>
      </w:r>
      <w:r w:rsidRPr="009072DA">
        <w:rPr>
          <w:i/>
          <w:lang w:val="bg-BG"/>
        </w:rPr>
        <w:t>(оставено непопълнено)</w:t>
      </w:r>
      <w:bookmarkEnd w:id="531"/>
      <w:bookmarkEnd w:id="532"/>
    </w:p>
    <w:p w:rsidR="00745362" w:rsidRPr="009072DA" w:rsidRDefault="00745362" w:rsidP="007E5FD5">
      <w:pPr>
        <w:pStyle w:val="ESch"/>
        <w:rPr>
          <w:lang w:val="bg-BG"/>
        </w:rPr>
      </w:pPr>
    </w:p>
    <w:p w:rsidR="00745362" w:rsidRPr="009072DA" w:rsidRDefault="00745362" w:rsidP="007E5FD5">
      <w:pPr>
        <w:pStyle w:val="ESch"/>
        <w:rPr>
          <w:lang w:val="bg-BG"/>
        </w:rPr>
      </w:pPr>
    </w:p>
    <w:p w:rsidR="007E5FD5" w:rsidRPr="009072DA" w:rsidRDefault="007E5FD5" w:rsidP="007E5FD5">
      <w:pPr>
        <w:pStyle w:val="ES-Titre3"/>
        <w:rPr>
          <w:i/>
          <w:lang w:val="bg-BG"/>
        </w:rPr>
      </w:pPr>
      <w:bookmarkStart w:id="533" w:name="_Toc491854264"/>
      <w:bookmarkStart w:id="534" w:name="_Toc535827705"/>
      <w:r w:rsidRPr="009072DA">
        <w:rPr>
          <w:lang w:val="bg-BG"/>
        </w:rPr>
        <w:t>Член 30.05</w:t>
      </w:r>
      <w:r w:rsidRPr="009072DA">
        <w:rPr>
          <w:lang w:val="bg-BG"/>
        </w:rPr>
        <w:br/>
      </w:r>
      <w:r w:rsidRPr="009072DA">
        <w:rPr>
          <w:i/>
          <w:lang w:val="bg-BG"/>
        </w:rPr>
        <w:t>Обозначаване</w:t>
      </w:r>
      <w:bookmarkEnd w:id="533"/>
      <w:bookmarkEnd w:id="534"/>
    </w:p>
    <w:p w:rsidR="007E5FD5" w:rsidRPr="009072DA" w:rsidRDefault="007E5FD5" w:rsidP="007E5FD5">
      <w:pPr>
        <w:pStyle w:val="ESgauche"/>
        <w:rPr>
          <w:noProof w:val="0"/>
          <w:lang w:val="bg-BG"/>
        </w:rPr>
      </w:pPr>
    </w:p>
    <w:p w:rsidR="007E5FD5" w:rsidRPr="009072DA" w:rsidRDefault="007E5FD5" w:rsidP="007E5FD5">
      <w:pPr>
        <w:pStyle w:val="ESgauche"/>
        <w:rPr>
          <w:noProof w:val="0"/>
          <w:lang w:val="bg-BG"/>
        </w:rPr>
      </w:pPr>
      <w:r w:rsidRPr="009072DA">
        <w:rPr>
          <w:noProof w:val="0"/>
          <w:lang w:val="bg-BG"/>
        </w:rPr>
        <w:t>Оперативните рубки и системните компоненти трябва да бъдат обозначени по подходящ начин, така че да е ясно за какви горива се използват.</w:t>
      </w:r>
    </w:p>
    <w:p w:rsidR="007E5FD5" w:rsidRPr="009072DA" w:rsidRDefault="007E5FD5" w:rsidP="007E5FD5">
      <w:pPr>
        <w:pStyle w:val="ESgauche"/>
        <w:rPr>
          <w:noProof w:val="0"/>
          <w:lang w:val="bg-BG"/>
        </w:rPr>
      </w:pPr>
    </w:p>
    <w:p w:rsidR="007E5FD5" w:rsidRPr="009072DA" w:rsidRDefault="007E5FD5" w:rsidP="007E5FD5">
      <w:pPr>
        <w:pStyle w:val="ESgauche"/>
        <w:rPr>
          <w:noProof w:val="0"/>
          <w:lang w:val="bg-BG"/>
        </w:rPr>
      </w:pPr>
    </w:p>
    <w:p w:rsidR="007E5FD5" w:rsidRPr="009072DA" w:rsidRDefault="009F3E19" w:rsidP="007E5FD5">
      <w:pPr>
        <w:pStyle w:val="ES-Titre3"/>
        <w:rPr>
          <w:i/>
          <w:lang w:val="bg-BG"/>
        </w:rPr>
      </w:pPr>
      <w:bookmarkStart w:id="535" w:name="_Toc491854265"/>
      <w:bookmarkStart w:id="536" w:name="_Toc535827706"/>
      <w:r w:rsidRPr="009072DA">
        <w:rPr>
          <w:lang w:val="bg-BG"/>
        </w:rPr>
        <w:lastRenderedPageBreak/>
        <w:t>Член 30.06</w:t>
      </w:r>
      <w:r w:rsidRPr="009072DA">
        <w:rPr>
          <w:lang w:val="bg-BG"/>
        </w:rPr>
        <w:br/>
      </w:r>
      <w:r w:rsidRPr="009072DA">
        <w:rPr>
          <w:i/>
          <w:lang w:val="bg-BG"/>
        </w:rPr>
        <w:t>Независимо задвижване</w:t>
      </w:r>
      <w:bookmarkEnd w:id="535"/>
      <w:bookmarkEnd w:id="536"/>
    </w:p>
    <w:p w:rsidR="007E5FD5" w:rsidRPr="009072DA" w:rsidRDefault="007E5FD5" w:rsidP="007E5FD5">
      <w:pPr>
        <w:pStyle w:val="ESgauche"/>
        <w:rPr>
          <w:noProof w:val="0"/>
          <w:lang w:val="bg-BG"/>
        </w:rPr>
      </w:pPr>
    </w:p>
    <w:p w:rsidR="007E5FD5" w:rsidRPr="009072DA" w:rsidRDefault="007E5FD5" w:rsidP="007E5FD5">
      <w:pPr>
        <w:pStyle w:val="ESgauche"/>
        <w:rPr>
          <w:rFonts w:eastAsia="Calibri"/>
          <w:noProof w:val="0"/>
          <w:lang w:val="bg-BG"/>
        </w:rPr>
      </w:pPr>
      <w:r w:rsidRPr="009072DA">
        <w:rPr>
          <w:noProof w:val="0"/>
          <w:lang w:val="bg-BG"/>
        </w:rPr>
        <w:t xml:space="preserve">В случай на автоматично спиране на системата за задвижване или части от нея, </w:t>
      </w:r>
      <w:r w:rsidRPr="009072DA">
        <w:rPr>
          <w:noProof w:val="0"/>
          <w:color w:val="000000"/>
          <w:lang w:val="bg-BG"/>
        </w:rPr>
        <w:t>плавателното средство</w:t>
      </w:r>
      <w:r w:rsidRPr="009072DA">
        <w:rPr>
          <w:noProof w:val="0"/>
          <w:lang w:val="bg-BG"/>
        </w:rPr>
        <w:t xml:space="preserve"> трябва да е в състояние да остане управляемо на собствен ход. </w:t>
      </w:r>
    </w:p>
    <w:p w:rsidR="007E5FD5" w:rsidRPr="009072DA" w:rsidRDefault="007E5FD5" w:rsidP="007E5FD5">
      <w:pPr>
        <w:pStyle w:val="ESgauche"/>
        <w:rPr>
          <w:rFonts w:eastAsia="Calibri"/>
          <w:iCs/>
          <w:noProof w:val="0"/>
          <w:lang w:val="bg-BG"/>
        </w:rPr>
      </w:pPr>
    </w:p>
    <w:p w:rsidR="007E5FD5" w:rsidRPr="009072DA" w:rsidRDefault="007E5FD5" w:rsidP="007E5FD5">
      <w:pPr>
        <w:pStyle w:val="ESgauche"/>
        <w:rPr>
          <w:rFonts w:eastAsia="Calibri"/>
          <w:iCs/>
          <w:noProof w:val="0"/>
          <w:lang w:val="bg-BG"/>
        </w:rPr>
      </w:pPr>
    </w:p>
    <w:p w:rsidR="007E5FD5" w:rsidRPr="009072DA" w:rsidRDefault="007E5FD5" w:rsidP="007E5FD5">
      <w:pPr>
        <w:pStyle w:val="ES-Titre3"/>
        <w:rPr>
          <w:i/>
          <w:lang w:val="bg-BG"/>
        </w:rPr>
      </w:pPr>
      <w:bookmarkStart w:id="537" w:name="_Toc491854266"/>
      <w:bookmarkStart w:id="538" w:name="_Toc535827707"/>
      <w:r w:rsidRPr="009072DA">
        <w:rPr>
          <w:lang w:val="bg-BG"/>
        </w:rPr>
        <w:t>Член 30.07</w:t>
      </w:r>
      <w:r w:rsidRPr="009072DA">
        <w:rPr>
          <w:lang w:val="bg-BG"/>
        </w:rPr>
        <w:br/>
      </w:r>
      <w:r w:rsidRPr="009072DA">
        <w:rPr>
          <w:i/>
          <w:lang w:val="bg-BG"/>
        </w:rPr>
        <w:t>Технически служби</w:t>
      </w:r>
      <w:bookmarkEnd w:id="537"/>
      <w:bookmarkEnd w:id="538"/>
    </w:p>
    <w:p w:rsidR="007E5FD5" w:rsidRPr="009072DA" w:rsidRDefault="007E5FD5" w:rsidP="007E5FD5">
      <w:pPr>
        <w:pStyle w:val="ESch"/>
        <w:rPr>
          <w:rFonts w:eastAsia="Calibri"/>
          <w:lang w:val="bg-BG"/>
        </w:rPr>
      </w:pPr>
    </w:p>
    <w:p w:rsidR="007E5FD5" w:rsidRPr="009072DA" w:rsidRDefault="007E5FD5" w:rsidP="007E5FD5">
      <w:pPr>
        <w:pStyle w:val="ESch"/>
        <w:rPr>
          <w:rFonts w:eastAsia="Calibri"/>
          <w:lang w:val="bg-BG"/>
        </w:rPr>
      </w:pPr>
      <w:r w:rsidRPr="009072DA">
        <w:rPr>
          <w:lang w:val="bg-BG"/>
        </w:rPr>
        <w:t>1.</w:t>
      </w:r>
      <w:r w:rsidRPr="009072DA">
        <w:rPr>
          <w:lang w:val="bg-BG"/>
        </w:rPr>
        <w:tab/>
        <w:t>Техническите служби трябва да отговарят на европейския стандарт EN ISO 17020: 2012.</w:t>
      </w:r>
    </w:p>
    <w:p w:rsidR="007E5FD5" w:rsidRPr="009072DA" w:rsidRDefault="007E5FD5" w:rsidP="007E5FD5">
      <w:pPr>
        <w:pStyle w:val="ESch"/>
        <w:rPr>
          <w:rFonts w:eastAsia="Calibri"/>
          <w:lang w:val="bg-BG"/>
        </w:rPr>
      </w:pPr>
    </w:p>
    <w:p w:rsidR="007E5FD5" w:rsidRPr="009072DA" w:rsidRDefault="007E5FD5" w:rsidP="007E5FD5">
      <w:pPr>
        <w:pStyle w:val="ESch"/>
        <w:rPr>
          <w:rFonts w:eastAsia="Calibri"/>
          <w:lang w:val="bg-BG"/>
        </w:rPr>
      </w:pPr>
      <w:r w:rsidRPr="009072DA">
        <w:rPr>
          <w:lang w:val="bg-BG"/>
        </w:rPr>
        <w:t>2.</w:t>
      </w:r>
      <w:r w:rsidRPr="009072DA">
        <w:rPr>
          <w:lang w:val="bg-BG"/>
        </w:rPr>
        <w:tab/>
        <w:t>Производителите и дистрибуторите на системи за задвижване или спомагателни системи, или на части от тези системи, не могат да бъдат признавани за технически служби.</w:t>
      </w:r>
    </w:p>
    <w:p w:rsidR="007E5FD5" w:rsidRPr="009072DA" w:rsidRDefault="007E5FD5" w:rsidP="007E5FD5">
      <w:pPr>
        <w:pStyle w:val="ESch"/>
        <w:rPr>
          <w:rFonts w:eastAsia="Calibri"/>
          <w:lang w:val="bg-BG"/>
        </w:rPr>
      </w:pPr>
    </w:p>
    <w:p w:rsidR="007E5FD5" w:rsidRPr="009072DA" w:rsidRDefault="007E5FD5" w:rsidP="007E5FD5">
      <w:pPr>
        <w:pStyle w:val="ESch"/>
        <w:rPr>
          <w:rFonts w:eastAsia="Calibri"/>
          <w:lang w:val="bg-BG"/>
        </w:rPr>
      </w:pPr>
      <w:r w:rsidRPr="009072DA">
        <w:rPr>
          <w:lang w:val="bg-BG"/>
        </w:rPr>
        <w:t>3.</w:t>
      </w:r>
      <w:r w:rsidRPr="009072DA">
        <w:rPr>
          <w:lang w:val="bg-BG"/>
        </w:rPr>
        <w:tab/>
        <w:t>Експертният опит на техническата служба трябва да отговаря на съответните изисквания от приложение 8.</w:t>
      </w:r>
    </w:p>
    <w:p w:rsidR="007E5FD5" w:rsidRPr="009072DA" w:rsidRDefault="007E5FD5" w:rsidP="007E5FD5">
      <w:pPr>
        <w:pStyle w:val="ESch"/>
        <w:rPr>
          <w:rFonts w:eastAsia="Calibri"/>
          <w:lang w:val="bg-BG"/>
        </w:rPr>
      </w:pPr>
    </w:p>
    <w:p w:rsidR="007E5FD5" w:rsidRPr="009072DA" w:rsidRDefault="007E5FD5" w:rsidP="007E5FD5">
      <w:pPr>
        <w:pStyle w:val="ESch"/>
        <w:rPr>
          <w:rFonts w:eastAsia="Calibri"/>
          <w:lang w:val="bg-BG"/>
        </w:rPr>
      </w:pPr>
      <w:r w:rsidRPr="009072DA">
        <w:rPr>
          <w:lang w:val="bg-BG"/>
        </w:rPr>
        <w:t>4.</w:t>
      </w:r>
      <w:r w:rsidRPr="009072DA">
        <w:rPr>
          <w:lang w:val="bg-BG"/>
        </w:rPr>
        <w:tab/>
        <w:t xml:space="preserve">Наблюдението и изпитването съгласно членове 30.01 и 30.02 могат да бъдат извършвани от различни технически служби, при условие че целият експертен опит, описан в точка 3, се взема предвид в този процес. </w:t>
      </w:r>
    </w:p>
    <w:p w:rsidR="007E5FD5" w:rsidRPr="009072DA" w:rsidRDefault="007E5FD5" w:rsidP="007E5FD5">
      <w:pPr>
        <w:pStyle w:val="ESch"/>
        <w:rPr>
          <w:rFonts w:eastAsia="Calibri"/>
          <w:lang w:val="bg-BG"/>
        </w:rPr>
      </w:pPr>
    </w:p>
    <w:p w:rsidR="005B594A" w:rsidRPr="009072DA" w:rsidRDefault="005B594A">
      <w:pPr>
        <w:rPr>
          <w:rFonts w:eastAsia="Calibri"/>
          <w:lang w:val="bg-BG"/>
        </w:rPr>
      </w:pPr>
      <w:r w:rsidRPr="009072DA">
        <w:rPr>
          <w:lang w:val="bg-BG"/>
        </w:rPr>
        <w:br w:type="page"/>
      </w:r>
    </w:p>
    <w:p w:rsidR="005B594A" w:rsidRPr="009072DA" w:rsidRDefault="005B594A" w:rsidP="007E5FD5">
      <w:pPr>
        <w:pStyle w:val="ESch"/>
        <w:rPr>
          <w:rFonts w:eastAsia="Calibri"/>
          <w:lang w:val="bg-BG"/>
        </w:rPr>
      </w:pPr>
    </w:p>
    <w:p w:rsidR="00451B55" w:rsidRPr="009072DA" w:rsidRDefault="00451B55" w:rsidP="00125490">
      <w:pPr>
        <w:pStyle w:val="ESch"/>
        <w:rPr>
          <w:rFonts w:cs="Arial"/>
          <w:szCs w:val="20"/>
          <w:lang w:val="bg-BG"/>
        </w:rPr>
      </w:pPr>
    </w:p>
    <w:p w:rsidR="000D44AE" w:rsidRPr="009072DA" w:rsidRDefault="000D44AE" w:rsidP="000D44AE">
      <w:pPr>
        <w:pStyle w:val="ES-Titre2"/>
        <w:rPr>
          <w:szCs w:val="24"/>
        </w:rPr>
      </w:pPr>
      <w:bookmarkStart w:id="539" w:name="_Toc491854267"/>
      <w:bookmarkStart w:id="540" w:name="_Toc535827708"/>
      <w:r w:rsidRPr="009072DA">
        <w:lastRenderedPageBreak/>
        <w:t>Глава 31</w:t>
      </w:r>
      <w:r w:rsidRPr="009072DA">
        <w:br/>
      </w:r>
      <w:r w:rsidRPr="009072DA">
        <w:rPr>
          <w:sz w:val="22"/>
        </w:rPr>
        <w:t>Специални разпоредби, приложими за плавателни съдове, които плават с минимален екипаж</w:t>
      </w:r>
      <w:bookmarkEnd w:id="539"/>
      <w:bookmarkEnd w:id="540"/>
    </w:p>
    <w:p w:rsidR="000D44AE" w:rsidRPr="009072DA" w:rsidRDefault="000D44AE" w:rsidP="000D44AE">
      <w:pPr>
        <w:rPr>
          <w:lang w:val="bg-BG"/>
        </w:rPr>
      </w:pPr>
    </w:p>
    <w:p w:rsidR="000D44AE" w:rsidRPr="009072DA" w:rsidRDefault="000D44AE" w:rsidP="000D44AE">
      <w:pPr>
        <w:pStyle w:val="ES-Titre3"/>
        <w:rPr>
          <w:lang w:val="bg-BG"/>
        </w:rPr>
      </w:pPr>
      <w:bookmarkStart w:id="541" w:name="_Toc491854268"/>
      <w:bookmarkStart w:id="542" w:name="_Toc535827709"/>
      <w:r w:rsidRPr="009072DA">
        <w:rPr>
          <w:lang w:val="bg-BG"/>
        </w:rPr>
        <w:t>Член 31.01</w:t>
      </w:r>
      <w:r w:rsidRPr="009072DA">
        <w:rPr>
          <w:lang w:val="bg-BG"/>
        </w:rPr>
        <w:br/>
      </w:r>
      <w:r w:rsidRPr="009072DA">
        <w:rPr>
          <w:i/>
          <w:lang w:val="bg-BG"/>
        </w:rPr>
        <w:t>Оборудване на плавателния съд</w:t>
      </w:r>
      <w:bookmarkEnd w:id="541"/>
      <w:bookmarkEnd w:id="542"/>
    </w:p>
    <w:p w:rsidR="00125490" w:rsidRPr="009072DA" w:rsidRDefault="00125490" w:rsidP="00125490">
      <w:pPr>
        <w:pStyle w:val="ESch"/>
        <w:rPr>
          <w:rFonts w:cs="Arial"/>
          <w:szCs w:val="20"/>
          <w:lang w:val="bg-BG"/>
        </w:rPr>
      </w:pPr>
    </w:p>
    <w:p w:rsidR="00031119" w:rsidRPr="009072DA" w:rsidRDefault="00031119" w:rsidP="00031119">
      <w:pPr>
        <w:pStyle w:val="ESgauche"/>
        <w:rPr>
          <w:noProof w:val="0"/>
          <w:szCs w:val="18"/>
          <w:lang w:val="bg-BG"/>
        </w:rPr>
      </w:pPr>
      <w:r w:rsidRPr="009072DA">
        <w:rPr>
          <w:noProof w:val="0"/>
          <w:lang w:val="bg-BG"/>
        </w:rPr>
        <w:t>За моторните плавателни съдове, тласкачите, тласканите състави и пътническите плавателни съдове съответствието или несъответствието с разпоредбите на член 31.02 или член 31.03 се записва от контролния орган в точка 47 на удостоверението на плавателния съд за плаване по вътрешни водни пътища.</w:t>
      </w:r>
    </w:p>
    <w:p w:rsidR="00031119" w:rsidRPr="009072DA" w:rsidRDefault="00031119" w:rsidP="00031119">
      <w:pPr>
        <w:pStyle w:val="ESch"/>
        <w:rPr>
          <w:lang w:val="bg-BG"/>
        </w:rPr>
      </w:pPr>
    </w:p>
    <w:p w:rsidR="00031119" w:rsidRPr="009072DA" w:rsidRDefault="00031119" w:rsidP="00031119">
      <w:pPr>
        <w:pStyle w:val="ESch"/>
        <w:rPr>
          <w:lang w:val="bg-BG"/>
        </w:rPr>
      </w:pPr>
    </w:p>
    <w:p w:rsidR="00031119" w:rsidRPr="009072DA" w:rsidRDefault="00031119" w:rsidP="00031119">
      <w:pPr>
        <w:pStyle w:val="ES-Titre3"/>
        <w:rPr>
          <w:rFonts w:cs="Arial"/>
          <w:szCs w:val="18"/>
          <w:lang w:val="bg-BG"/>
        </w:rPr>
      </w:pPr>
      <w:bookmarkStart w:id="543" w:name="_Toc491854269"/>
      <w:bookmarkStart w:id="544" w:name="_Toc535827710"/>
      <w:r w:rsidRPr="009072DA">
        <w:rPr>
          <w:lang w:val="bg-BG"/>
        </w:rPr>
        <w:t>Член 31.02</w:t>
      </w:r>
      <w:r w:rsidRPr="009072DA">
        <w:rPr>
          <w:lang w:val="bg-BG"/>
        </w:rPr>
        <w:br/>
      </w:r>
      <w:r w:rsidRPr="009072DA">
        <w:rPr>
          <w:i/>
          <w:lang w:val="bg-BG"/>
        </w:rPr>
        <w:t>Стандарт S1</w:t>
      </w:r>
      <w:bookmarkEnd w:id="543"/>
      <w:bookmarkEnd w:id="544"/>
    </w:p>
    <w:p w:rsidR="00031119" w:rsidRPr="009072DA" w:rsidRDefault="00031119" w:rsidP="00031119">
      <w:pPr>
        <w:pStyle w:val="ESch"/>
        <w:rPr>
          <w:lang w:val="bg-BG"/>
        </w:rPr>
      </w:pPr>
    </w:p>
    <w:p w:rsidR="00031119" w:rsidRPr="009072DA" w:rsidRDefault="00031119" w:rsidP="00031119">
      <w:pPr>
        <w:pStyle w:val="ESch"/>
        <w:rPr>
          <w:szCs w:val="18"/>
          <w:lang w:val="bg-BG"/>
        </w:rPr>
      </w:pPr>
      <w:r w:rsidRPr="009072DA">
        <w:rPr>
          <w:lang w:val="bg-BG"/>
        </w:rPr>
        <w:t>1.</w:t>
      </w:r>
      <w:r w:rsidRPr="009072DA">
        <w:rPr>
          <w:lang w:val="bg-BG"/>
        </w:rPr>
        <w:tab/>
        <w:t>Задвижващите системи трябва да са устроени по такъв начин, че скоростта да може да се променя и посоката на тягата на гребните винтове да може да се реверсира от поста за управление.</w:t>
      </w:r>
    </w:p>
    <w:p w:rsidR="00031119" w:rsidRPr="009072DA" w:rsidRDefault="00031119" w:rsidP="00031119">
      <w:pPr>
        <w:pStyle w:val="ESch"/>
        <w:rPr>
          <w:lang w:val="bg-BG"/>
        </w:rPr>
      </w:pPr>
    </w:p>
    <w:p w:rsidR="00031119" w:rsidRPr="009072DA" w:rsidRDefault="00031119" w:rsidP="00031119">
      <w:pPr>
        <w:pStyle w:val="ESchpar"/>
        <w:rPr>
          <w:szCs w:val="18"/>
          <w:lang w:val="bg-BG"/>
        </w:rPr>
      </w:pPr>
      <w:r w:rsidRPr="009072DA">
        <w:rPr>
          <w:lang w:val="bg-BG"/>
        </w:rPr>
        <w:t>Трябва да има възможност спомагателните двигатели, необходими за работни цели, да се включват и изключват от поста за управление, освен ако това става автоматично или двигателите работят без прекъсване през целия курс.</w:t>
      </w:r>
    </w:p>
    <w:p w:rsidR="00031119" w:rsidRPr="009072DA" w:rsidRDefault="00031119" w:rsidP="00031119">
      <w:pPr>
        <w:pStyle w:val="ESch"/>
        <w:rPr>
          <w:lang w:val="bg-BG"/>
        </w:rPr>
      </w:pPr>
    </w:p>
    <w:p w:rsidR="00031119" w:rsidRPr="009072DA" w:rsidRDefault="00031119" w:rsidP="00031119">
      <w:pPr>
        <w:pStyle w:val="ESch"/>
        <w:rPr>
          <w:szCs w:val="18"/>
          <w:lang w:val="bg-BG"/>
        </w:rPr>
      </w:pPr>
      <w:r w:rsidRPr="009072DA">
        <w:rPr>
          <w:lang w:val="bg-BG"/>
        </w:rPr>
        <w:t>2.</w:t>
      </w:r>
      <w:r w:rsidRPr="009072DA">
        <w:rPr>
          <w:lang w:val="bg-BG"/>
        </w:rPr>
        <w:tab/>
        <w:t>При проблемните области,</w:t>
      </w:r>
    </w:p>
    <w:p w:rsidR="00031119" w:rsidRPr="009072DA" w:rsidRDefault="00031119" w:rsidP="00031119">
      <w:pPr>
        <w:pStyle w:val="ESlet"/>
        <w:rPr>
          <w:szCs w:val="18"/>
          <w:lang w:val="bg-BG"/>
        </w:rPr>
      </w:pPr>
      <w:r w:rsidRPr="009072DA">
        <w:rPr>
          <w:lang w:val="bg-BG"/>
        </w:rPr>
        <w:t>-</w:t>
      </w:r>
      <w:r w:rsidRPr="009072DA">
        <w:rPr>
          <w:lang w:val="bg-BG"/>
        </w:rPr>
        <w:tab/>
        <w:t>температурата на водата за охлаждане на главния двигател,</w:t>
      </w:r>
    </w:p>
    <w:p w:rsidR="00031119" w:rsidRPr="009072DA" w:rsidRDefault="00031119" w:rsidP="00031119">
      <w:pPr>
        <w:pStyle w:val="ESlet"/>
        <w:rPr>
          <w:szCs w:val="18"/>
          <w:lang w:val="bg-BG"/>
        </w:rPr>
      </w:pPr>
      <w:r w:rsidRPr="009072DA">
        <w:rPr>
          <w:lang w:val="bg-BG"/>
        </w:rPr>
        <w:t>-</w:t>
      </w:r>
      <w:r w:rsidRPr="009072DA">
        <w:rPr>
          <w:lang w:val="bg-BG"/>
        </w:rPr>
        <w:tab/>
        <w:t>налягането на смазочното масло за главните двигатели и трансмисии,</w:t>
      </w:r>
    </w:p>
    <w:p w:rsidR="00031119" w:rsidRPr="009072DA" w:rsidRDefault="00031119" w:rsidP="00031119">
      <w:pPr>
        <w:pStyle w:val="ESlet"/>
        <w:rPr>
          <w:szCs w:val="18"/>
          <w:lang w:val="bg-BG"/>
        </w:rPr>
      </w:pPr>
      <w:r w:rsidRPr="009072DA">
        <w:rPr>
          <w:lang w:val="bg-BG"/>
        </w:rPr>
        <w:t>-</w:t>
      </w:r>
      <w:r w:rsidRPr="009072DA">
        <w:rPr>
          <w:lang w:val="bg-BG"/>
        </w:rPr>
        <w:tab/>
        <w:t>налягането на маслото и въздуха в реверсивните установки, реверсивните трансмисии или гребни винтове на главните двигатели,</w:t>
      </w:r>
    </w:p>
    <w:p w:rsidR="00031119" w:rsidRPr="009072DA" w:rsidRDefault="00031119" w:rsidP="00031119">
      <w:pPr>
        <w:pStyle w:val="ESlet"/>
        <w:rPr>
          <w:szCs w:val="18"/>
          <w:lang w:val="bg-BG"/>
        </w:rPr>
      </w:pPr>
      <w:r w:rsidRPr="009072DA">
        <w:rPr>
          <w:lang w:val="bg-BG"/>
        </w:rPr>
        <w:t>-</w:t>
      </w:r>
      <w:r w:rsidRPr="009072DA">
        <w:rPr>
          <w:lang w:val="bg-BG"/>
        </w:rPr>
        <w:tab/>
        <w:t>нивата на вода в главното машинно отделение,</w:t>
      </w:r>
    </w:p>
    <w:p w:rsidR="00031119" w:rsidRPr="009072DA" w:rsidRDefault="00031119" w:rsidP="000F7006">
      <w:pPr>
        <w:pStyle w:val="ESchpar"/>
        <w:spacing w:before="60"/>
        <w:rPr>
          <w:szCs w:val="18"/>
          <w:lang w:val="bg-BG"/>
        </w:rPr>
      </w:pPr>
      <w:r w:rsidRPr="009072DA">
        <w:rPr>
          <w:lang w:val="bg-BG"/>
        </w:rPr>
        <w:t>трябва да се извършва следене посредством уреди, които включват светлинни и звукови сигнали в рулевата рубка при повреда. Звуковите алармени сигнали могат да се комбинират в едно звуково предупреждаващо устройство. Те могат да бъдат изключени веднага след като повредата бъде потвърдена. Светлинните алармени сигнали могат да бъдат изключени само след като повредите, които са ги задействали, бъдат отстранени.</w:t>
      </w:r>
    </w:p>
    <w:p w:rsidR="00031119" w:rsidRPr="009072DA" w:rsidRDefault="00031119" w:rsidP="00031119">
      <w:pPr>
        <w:pStyle w:val="ESch"/>
        <w:rPr>
          <w:lang w:val="bg-BG"/>
        </w:rPr>
      </w:pPr>
    </w:p>
    <w:p w:rsidR="00031119" w:rsidRPr="009072DA" w:rsidRDefault="00031119" w:rsidP="00031119">
      <w:pPr>
        <w:pStyle w:val="ESch"/>
        <w:rPr>
          <w:szCs w:val="18"/>
          <w:lang w:val="bg-BG"/>
        </w:rPr>
      </w:pPr>
      <w:r w:rsidRPr="009072DA">
        <w:rPr>
          <w:lang w:val="bg-BG"/>
        </w:rPr>
        <w:lastRenderedPageBreak/>
        <w:t>3.</w:t>
      </w:r>
      <w:r w:rsidRPr="009072DA">
        <w:rPr>
          <w:lang w:val="bg-BG"/>
        </w:rPr>
        <w:tab/>
        <w:t>Подаването на гориво и охлаждането на главния двигател трябва да се извършват автоматично.</w:t>
      </w:r>
    </w:p>
    <w:p w:rsidR="00031119" w:rsidRPr="009072DA" w:rsidRDefault="00031119" w:rsidP="00031119">
      <w:pPr>
        <w:pStyle w:val="ESch"/>
        <w:rPr>
          <w:lang w:val="bg-BG"/>
        </w:rPr>
      </w:pPr>
    </w:p>
    <w:p w:rsidR="00031119" w:rsidRPr="009072DA" w:rsidRDefault="00031119" w:rsidP="00031119">
      <w:pPr>
        <w:pStyle w:val="ESch"/>
        <w:rPr>
          <w:szCs w:val="18"/>
          <w:lang w:val="bg-BG"/>
        </w:rPr>
      </w:pPr>
      <w:r w:rsidRPr="009072DA">
        <w:rPr>
          <w:lang w:val="bg-BG"/>
        </w:rPr>
        <w:t>4.</w:t>
      </w:r>
      <w:r w:rsidRPr="009072DA">
        <w:rPr>
          <w:lang w:val="bg-BG"/>
        </w:rPr>
        <w:tab/>
        <w:t>Рулевата система трябва да може да се управлява от един човек, дори и при максимално газене, без да се изисква особена сила.</w:t>
      </w:r>
    </w:p>
    <w:p w:rsidR="00031119" w:rsidRPr="009072DA" w:rsidRDefault="00031119" w:rsidP="00031119">
      <w:pPr>
        <w:pStyle w:val="ESch"/>
        <w:rPr>
          <w:lang w:val="bg-BG"/>
        </w:rPr>
      </w:pPr>
    </w:p>
    <w:p w:rsidR="00031119" w:rsidRPr="009072DA" w:rsidRDefault="00031119" w:rsidP="00031119">
      <w:pPr>
        <w:pStyle w:val="ESch"/>
        <w:rPr>
          <w:szCs w:val="18"/>
          <w:lang w:val="bg-BG"/>
        </w:rPr>
      </w:pPr>
      <w:r w:rsidRPr="009072DA">
        <w:rPr>
          <w:lang w:val="bg-BG"/>
        </w:rPr>
        <w:t>5.</w:t>
      </w:r>
      <w:r w:rsidRPr="009072DA">
        <w:rPr>
          <w:lang w:val="bg-BG"/>
        </w:rPr>
        <w:tab/>
        <w:t>Светлинните и звуковите сигнали трябва да могат да се подават в съответствие с приложимите разпоредби на навигационните служби на държавите членки, в зависимост от случая, от поста за управление на плавателни съдове на път.</w:t>
      </w:r>
    </w:p>
    <w:p w:rsidR="00031119" w:rsidRPr="009072DA" w:rsidRDefault="00031119" w:rsidP="00031119">
      <w:pPr>
        <w:pStyle w:val="ESch"/>
        <w:rPr>
          <w:lang w:val="bg-BG"/>
        </w:rPr>
      </w:pPr>
    </w:p>
    <w:p w:rsidR="00031119" w:rsidRPr="009072DA" w:rsidRDefault="00031119" w:rsidP="00031119">
      <w:pPr>
        <w:pStyle w:val="ESch"/>
        <w:rPr>
          <w:szCs w:val="18"/>
          <w:lang w:val="bg-BG"/>
        </w:rPr>
      </w:pPr>
      <w:r w:rsidRPr="009072DA">
        <w:rPr>
          <w:lang w:val="bg-BG"/>
        </w:rPr>
        <w:t>6.</w:t>
      </w:r>
      <w:r w:rsidRPr="009072DA">
        <w:rPr>
          <w:lang w:val="bg-BG"/>
        </w:rPr>
        <w:tab/>
        <w:t>Когато няма пряка връзка между поста за управление и носовата част, кърмата, жилищните помещения и машинните отделения, трябва да е налице система за гласова връзка. За връзка с машинните отделения това може да бъде под формата на визуален или звуков сигнал.</w:t>
      </w:r>
    </w:p>
    <w:p w:rsidR="00031119" w:rsidRPr="009072DA" w:rsidRDefault="00031119" w:rsidP="00031119">
      <w:pPr>
        <w:pStyle w:val="ESch"/>
        <w:rPr>
          <w:lang w:val="bg-BG"/>
        </w:rPr>
      </w:pPr>
    </w:p>
    <w:p w:rsidR="00031119" w:rsidRPr="009072DA" w:rsidRDefault="00031119" w:rsidP="00031119">
      <w:pPr>
        <w:pStyle w:val="ESch"/>
        <w:rPr>
          <w:rFonts w:cs="Arial"/>
          <w:szCs w:val="18"/>
          <w:lang w:val="bg-BG"/>
        </w:rPr>
      </w:pPr>
      <w:r w:rsidRPr="009072DA">
        <w:rPr>
          <w:lang w:val="bg-BG"/>
        </w:rPr>
        <w:t>7.</w:t>
      </w:r>
      <w:r w:rsidRPr="009072DA">
        <w:rPr>
          <w:lang w:val="bg-BG"/>
        </w:rPr>
        <w:tab/>
        <w:t>Задействането на манивели и подобни въртящи се части на подемни устройства не трябва да изисква сила, по-голяма от 160 N.</w:t>
      </w:r>
    </w:p>
    <w:p w:rsidR="00031119" w:rsidRPr="009072DA" w:rsidRDefault="00031119" w:rsidP="00031119">
      <w:pPr>
        <w:pStyle w:val="ESch"/>
        <w:rPr>
          <w:lang w:val="bg-BG"/>
        </w:rPr>
      </w:pPr>
    </w:p>
    <w:p w:rsidR="00031119" w:rsidRPr="009072DA" w:rsidRDefault="00031119" w:rsidP="00031119">
      <w:pPr>
        <w:pStyle w:val="ESch"/>
        <w:rPr>
          <w:lang w:val="bg-BG"/>
        </w:rPr>
      </w:pPr>
      <w:r w:rsidRPr="009072DA">
        <w:rPr>
          <w:lang w:val="bg-BG"/>
        </w:rPr>
        <w:br w:type="page"/>
      </w:r>
    </w:p>
    <w:p w:rsidR="00031119" w:rsidRPr="009072DA" w:rsidRDefault="00031119" w:rsidP="00031119">
      <w:pPr>
        <w:pStyle w:val="ESch"/>
        <w:rPr>
          <w:szCs w:val="18"/>
          <w:lang w:val="bg-BG"/>
        </w:rPr>
      </w:pPr>
      <w:r w:rsidRPr="009072DA">
        <w:rPr>
          <w:lang w:val="bg-BG"/>
        </w:rPr>
        <w:lastRenderedPageBreak/>
        <w:t>8.</w:t>
      </w:r>
      <w:r w:rsidRPr="009072DA">
        <w:rPr>
          <w:lang w:val="bg-BG"/>
        </w:rPr>
        <w:tab/>
        <w:t>Буксирните лебедки, вписани в удостоверението на плавателния съд за плаване по вътрешни водни пътища, трябва да са с двигател.</w:t>
      </w:r>
    </w:p>
    <w:p w:rsidR="00031119" w:rsidRPr="009072DA" w:rsidRDefault="00031119" w:rsidP="00031119">
      <w:pPr>
        <w:pStyle w:val="ESch"/>
        <w:rPr>
          <w:lang w:val="bg-BG"/>
        </w:rPr>
      </w:pPr>
    </w:p>
    <w:p w:rsidR="00031119" w:rsidRPr="009072DA" w:rsidRDefault="00031119" w:rsidP="00031119">
      <w:pPr>
        <w:pStyle w:val="ESch"/>
        <w:rPr>
          <w:szCs w:val="18"/>
          <w:lang w:val="bg-BG"/>
        </w:rPr>
      </w:pPr>
      <w:r w:rsidRPr="009072DA">
        <w:rPr>
          <w:lang w:val="bg-BG"/>
        </w:rPr>
        <w:t>9.</w:t>
      </w:r>
      <w:r w:rsidRPr="009072DA">
        <w:rPr>
          <w:lang w:val="bg-BG"/>
        </w:rPr>
        <w:tab/>
        <w:t>Осушителните помпи и помпите за миене на палубата трябва да са с двигател.</w:t>
      </w:r>
    </w:p>
    <w:p w:rsidR="00031119" w:rsidRPr="009072DA" w:rsidRDefault="00031119" w:rsidP="00031119">
      <w:pPr>
        <w:pStyle w:val="ESch"/>
        <w:rPr>
          <w:lang w:val="bg-BG"/>
        </w:rPr>
      </w:pPr>
    </w:p>
    <w:p w:rsidR="00031119" w:rsidRPr="009072DA" w:rsidRDefault="00031119" w:rsidP="00031119">
      <w:pPr>
        <w:pStyle w:val="ESch"/>
        <w:rPr>
          <w:szCs w:val="18"/>
          <w:lang w:val="bg-BG"/>
        </w:rPr>
      </w:pPr>
      <w:r w:rsidRPr="009072DA">
        <w:rPr>
          <w:lang w:val="bg-BG"/>
        </w:rPr>
        <w:t>10.</w:t>
      </w:r>
      <w:r w:rsidRPr="009072DA">
        <w:rPr>
          <w:lang w:val="bg-BG"/>
        </w:rPr>
        <w:tab/>
        <w:t>Основните управляващи механизми и уреди за следене трябва да са ергономично разположени.</w:t>
      </w:r>
    </w:p>
    <w:p w:rsidR="00031119" w:rsidRPr="009072DA" w:rsidRDefault="00031119" w:rsidP="00031119">
      <w:pPr>
        <w:pStyle w:val="ESch"/>
        <w:rPr>
          <w:lang w:val="bg-BG"/>
        </w:rPr>
      </w:pPr>
    </w:p>
    <w:p w:rsidR="00031119" w:rsidRPr="009072DA" w:rsidRDefault="00031119" w:rsidP="00031119">
      <w:pPr>
        <w:pStyle w:val="ESch"/>
        <w:rPr>
          <w:lang w:val="bg-BG"/>
        </w:rPr>
      </w:pPr>
      <w:r w:rsidRPr="009072DA">
        <w:rPr>
          <w:lang w:val="bg-BG"/>
        </w:rPr>
        <w:t>11.</w:t>
      </w:r>
      <w:r w:rsidRPr="009072DA">
        <w:rPr>
          <w:lang w:val="bg-BG"/>
        </w:rPr>
        <w:tab/>
        <w:t>Оборудването, изисквано по силата на член 6.01, точка 1, трябва да може да се управлява дистанционно от поста за управление.</w:t>
      </w:r>
    </w:p>
    <w:p w:rsidR="00031119" w:rsidRPr="009072DA" w:rsidRDefault="00031119" w:rsidP="00031119">
      <w:pPr>
        <w:pStyle w:val="ESch"/>
        <w:rPr>
          <w:lang w:val="bg-BG"/>
        </w:rPr>
      </w:pPr>
    </w:p>
    <w:p w:rsidR="00031119" w:rsidRPr="009072DA" w:rsidRDefault="00031119" w:rsidP="00031119">
      <w:pPr>
        <w:pStyle w:val="ESch"/>
        <w:rPr>
          <w:szCs w:val="18"/>
          <w:lang w:val="bg-BG"/>
        </w:rPr>
      </w:pPr>
    </w:p>
    <w:p w:rsidR="00031119" w:rsidRPr="009072DA" w:rsidRDefault="00031119" w:rsidP="00031119">
      <w:pPr>
        <w:pStyle w:val="ES-Titre3"/>
        <w:rPr>
          <w:rFonts w:cs="Arial"/>
          <w:szCs w:val="18"/>
          <w:lang w:val="bg-BG"/>
        </w:rPr>
      </w:pPr>
      <w:bookmarkStart w:id="545" w:name="_Toc491854270"/>
      <w:bookmarkStart w:id="546" w:name="_Toc535827711"/>
      <w:r w:rsidRPr="009072DA">
        <w:rPr>
          <w:lang w:val="bg-BG"/>
        </w:rPr>
        <w:t>Член 31.03</w:t>
      </w:r>
      <w:r w:rsidRPr="009072DA">
        <w:rPr>
          <w:lang w:val="bg-BG"/>
        </w:rPr>
        <w:br/>
      </w:r>
      <w:r w:rsidRPr="009072DA">
        <w:rPr>
          <w:i/>
          <w:lang w:val="bg-BG"/>
        </w:rPr>
        <w:t>Стандарт S2</w:t>
      </w:r>
      <w:bookmarkEnd w:id="545"/>
      <w:bookmarkEnd w:id="546"/>
    </w:p>
    <w:p w:rsidR="00031119" w:rsidRPr="009072DA" w:rsidRDefault="00031119" w:rsidP="00031119">
      <w:pPr>
        <w:pStyle w:val="ESch"/>
        <w:rPr>
          <w:lang w:val="bg-BG"/>
        </w:rPr>
      </w:pPr>
    </w:p>
    <w:p w:rsidR="00320EDC" w:rsidRPr="009072DA" w:rsidRDefault="00320EDC" w:rsidP="00031119">
      <w:pPr>
        <w:pStyle w:val="ESch"/>
        <w:rPr>
          <w:lang w:val="bg-BG"/>
        </w:rPr>
      </w:pPr>
      <w:r w:rsidRPr="009072DA">
        <w:rPr>
          <w:lang w:val="bg-BG"/>
        </w:rPr>
        <w:t>Изискванията на стандарт S1 и допълнително:</w:t>
      </w:r>
    </w:p>
    <w:p w:rsidR="00320EDC" w:rsidRPr="009072DA" w:rsidRDefault="00320EDC" w:rsidP="00031119">
      <w:pPr>
        <w:pStyle w:val="ESch"/>
        <w:rPr>
          <w:lang w:val="bg-BG"/>
        </w:rPr>
      </w:pPr>
    </w:p>
    <w:p w:rsidR="00031119" w:rsidRPr="009072DA" w:rsidRDefault="00031119" w:rsidP="00031119">
      <w:pPr>
        <w:pStyle w:val="ESch"/>
        <w:rPr>
          <w:szCs w:val="18"/>
          <w:lang w:val="bg-BG"/>
        </w:rPr>
      </w:pPr>
      <w:r w:rsidRPr="009072DA">
        <w:rPr>
          <w:lang w:val="bg-BG"/>
        </w:rPr>
        <w:t>1.</w:t>
      </w:r>
      <w:r w:rsidRPr="009072DA">
        <w:rPr>
          <w:lang w:val="bg-BG"/>
        </w:rPr>
        <w:tab/>
        <w:t>За моторните плавателни съдове, работещи отделно:</w:t>
      </w:r>
    </w:p>
    <w:p w:rsidR="00031119" w:rsidRPr="009072DA" w:rsidRDefault="00031119" w:rsidP="00031119">
      <w:pPr>
        <w:pStyle w:val="ESch"/>
        <w:rPr>
          <w:lang w:val="bg-BG"/>
        </w:rPr>
      </w:pPr>
    </w:p>
    <w:p w:rsidR="00031119" w:rsidRPr="009072DA" w:rsidRDefault="00031119" w:rsidP="00031119">
      <w:pPr>
        <w:pStyle w:val="ESchpar"/>
        <w:rPr>
          <w:szCs w:val="18"/>
          <w:lang w:val="bg-BG"/>
        </w:rPr>
      </w:pPr>
      <w:r w:rsidRPr="009072DA">
        <w:rPr>
          <w:lang w:val="bg-BG"/>
        </w:rPr>
        <w:t>носово подрулващо устройство, което може да се управлява от поста за управление;</w:t>
      </w:r>
    </w:p>
    <w:p w:rsidR="00031119" w:rsidRPr="009072DA" w:rsidRDefault="00031119" w:rsidP="00031119">
      <w:pPr>
        <w:pStyle w:val="ESch"/>
        <w:rPr>
          <w:lang w:val="bg-BG"/>
        </w:rPr>
      </w:pPr>
    </w:p>
    <w:p w:rsidR="00031119" w:rsidRPr="009072DA" w:rsidRDefault="00031119" w:rsidP="00031119">
      <w:pPr>
        <w:pStyle w:val="ESch"/>
        <w:rPr>
          <w:szCs w:val="18"/>
          <w:lang w:val="bg-BG"/>
        </w:rPr>
      </w:pPr>
      <w:r w:rsidRPr="009072DA">
        <w:rPr>
          <w:lang w:val="bg-BG"/>
        </w:rPr>
        <w:t>2.</w:t>
      </w:r>
      <w:r w:rsidRPr="009072DA">
        <w:rPr>
          <w:lang w:val="bg-BG"/>
        </w:rPr>
        <w:tab/>
        <w:t>За моторните плавателни съдове, задвижващи бордово свързана група:</w:t>
      </w:r>
    </w:p>
    <w:p w:rsidR="00031119" w:rsidRPr="009072DA" w:rsidRDefault="00031119" w:rsidP="00031119">
      <w:pPr>
        <w:pStyle w:val="ESch"/>
        <w:rPr>
          <w:lang w:val="bg-BG"/>
        </w:rPr>
      </w:pPr>
    </w:p>
    <w:p w:rsidR="00031119" w:rsidRPr="009072DA" w:rsidRDefault="00031119" w:rsidP="00031119">
      <w:pPr>
        <w:pStyle w:val="ESchpar"/>
        <w:rPr>
          <w:szCs w:val="18"/>
          <w:lang w:val="bg-BG"/>
        </w:rPr>
      </w:pPr>
      <w:r w:rsidRPr="009072DA">
        <w:rPr>
          <w:lang w:val="bg-BG"/>
        </w:rPr>
        <w:t>носово подрулващо устройство, което може да се управлява от поста за управление;</w:t>
      </w:r>
    </w:p>
    <w:p w:rsidR="00031119" w:rsidRPr="009072DA" w:rsidRDefault="00031119" w:rsidP="00031119">
      <w:pPr>
        <w:pStyle w:val="ESch"/>
        <w:rPr>
          <w:lang w:val="bg-BG"/>
        </w:rPr>
      </w:pPr>
    </w:p>
    <w:p w:rsidR="00031119" w:rsidRPr="009072DA" w:rsidRDefault="00031119" w:rsidP="00031119">
      <w:pPr>
        <w:pStyle w:val="ESch"/>
        <w:rPr>
          <w:szCs w:val="18"/>
          <w:lang w:val="bg-BG"/>
        </w:rPr>
      </w:pPr>
      <w:r w:rsidRPr="009072DA">
        <w:rPr>
          <w:lang w:val="bg-BG"/>
        </w:rPr>
        <w:t>3.</w:t>
      </w:r>
      <w:r w:rsidRPr="009072DA">
        <w:rPr>
          <w:lang w:val="bg-BG"/>
        </w:rPr>
        <w:tab/>
        <w:t>За моторните плавателни съдове, задвижващи тласкани състави, съставени от моторния плавателен съд и плавателно средство пред него:</w:t>
      </w:r>
    </w:p>
    <w:p w:rsidR="00031119" w:rsidRPr="009072DA" w:rsidRDefault="00031119" w:rsidP="00031119">
      <w:pPr>
        <w:pStyle w:val="ESch"/>
        <w:rPr>
          <w:lang w:val="bg-BG"/>
        </w:rPr>
      </w:pPr>
    </w:p>
    <w:p w:rsidR="00031119" w:rsidRPr="009072DA" w:rsidRDefault="00031119" w:rsidP="00031119">
      <w:pPr>
        <w:pStyle w:val="ESchpar"/>
        <w:rPr>
          <w:szCs w:val="18"/>
          <w:lang w:val="bg-BG"/>
        </w:rPr>
      </w:pPr>
      <w:r w:rsidRPr="009072DA">
        <w:rPr>
          <w:lang w:val="bg-BG"/>
        </w:rPr>
        <w:t>хидравлични или електрически съединителни лебедки. Това оборудване обаче не се изисква, ако първото плавателно средство в тласкания състав е оборудвано с носово подрулващо устройство, което може да се управлява от поста за управление на тласкащия моторен плавателен съд.</w:t>
      </w:r>
    </w:p>
    <w:p w:rsidR="00031119" w:rsidRPr="009072DA" w:rsidRDefault="00031119" w:rsidP="00031119">
      <w:pPr>
        <w:pStyle w:val="ESch"/>
        <w:rPr>
          <w:lang w:val="bg-BG"/>
        </w:rPr>
      </w:pPr>
    </w:p>
    <w:p w:rsidR="00031119" w:rsidRPr="009072DA" w:rsidRDefault="00031119" w:rsidP="00031119">
      <w:pPr>
        <w:pStyle w:val="ESch"/>
        <w:rPr>
          <w:szCs w:val="18"/>
          <w:lang w:val="bg-BG"/>
        </w:rPr>
      </w:pPr>
      <w:r w:rsidRPr="009072DA">
        <w:rPr>
          <w:lang w:val="bg-BG"/>
        </w:rPr>
        <w:lastRenderedPageBreak/>
        <w:t>4.</w:t>
      </w:r>
      <w:r w:rsidRPr="009072DA">
        <w:rPr>
          <w:lang w:val="bg-BG"/>
        </w:rPr>
        <w:tab/>
        <w:t>За тласкачите, задвижващи тласкан състав:</w:t>
      </w:r>
    </w:p>
    <w:p w:rsidR="00031119" w:rsidRPr="009072DA" w:rsidRDefault="00031119" w:rsidP="00031119">
      <w:pPr>
        <w:pStyle w:val="ESch"/>
        <w:rPr>
          <w:lang w:val="bg-BG"/>
        </w:rPr>
      </w:pPr>
    </w:p>
    <w:p w:rsidR="00031119" w:rsidRPr="009072DA" w:rsidRDefault="00031119" w:rsidP="00031119">
      <w:pPr>
        <w:pStyle w:val="ESchpar"/>
        <w:rPr>
          <w:szCs w:val="18"/>
          <w:lang w:val="bg-BG"/>
        </w:rPr>
      </w:pPr>
      <w:r w:rsidRPr="009072DA">
        <w:rPr>
          <w:lang w:val="bg-BG"/>
        </w:rPr>
        <w:t>хидравлични или електрически съединителни лебедки. Това оборудване обаче не се изисква, ако първото плавателно средство в тласкания състав е оборудвано с носово подрулващо устройство, което може да се управлява от поста за управление на тласкача.</w:t>
      </w:r>
    </w:p>
    <w:p w:rsidR="00031119" w:rsidRPr="009072DA" w:rsidRDefault="00031119" w:rsidP="00031119">
      <w:pPr>
        <w:pStyle w:val="ESchpar"/>
        <w:rPr>
          <w:lang w:val="bg-BG"/>
        </w:rPr>
      </w:pPr>
    </w:p>
    <w:p w:rsidR="00031119" w:rsidRPr="009072DA" w:rsidRDefault="00031119" w:rsidP="00031119">
      <w:pPr>
        <w:pStyle w:val="ESch"/>
        <w:rPr>
          <w:szCs w:val="18"/>
          <w:lang w:val="bg-BG"/>
        </w:rPr>
      </w:pPr>
      <w:r w:rsidRPr="009072DA">
        <w:rPr>
          <w:lang w:val="bg-BG"/>
        </w:rPr>
        <w:t>5.</w:t>
      </w:r>
      <w:r w:rsidRPr="009072DA">
        <w:rPr>
          <w:lang w:val="bg-BG"/>
        </w:rPr>
        <w:tab/>
        <w:t>За пътнически плавателни съдове:</w:t>
      </w:r>
    </w:p>
    <w:p w:rsidR="00031119" w:rsidRPr="009072DA" w:rsidRDefault="00031119" w:rsidP="00031119">
      <w:pPr>
        <w:pStyle w:val="ESch"/>
        <w:rPr>
          <w:lang w:val="bg-BG"/>
        </w:rPr>
      </w:pPr>
    </w:p>
    <w:p w:rsidR="00031119" w:rsidRPr="009072DA" w:rsidRDefault="00031119" w:rsidP="00031119">
      <w:pPr>
        <w:pStyle w:val="ESchpar"/>
        <w:rPr>
          <w:lang w:val="bg-BG"/>
        </w:rPr>
      </w:pPr>
      <w:r w:rsidRPr="009072DA">
        <w:rPr>
          <w:lang w:val="bg-BG"/>
        </w:rPr>
        <w:t>носово подрулващо устройство, което може да се управлява от поста за управление. Това оборудване обаче не се изисква, ако задвижващата и рулевата системи на пътническия плавателен съд гарантират равностойна маневреност.</w:t>
      </w:r>
    </w:p>
    <w:p w:rsidR="00AB18EA" w:rsidRPr="009072DA" w:rsidRDefault="00AB18EA" w:rsidP="00031119">
      <w:pPr>
        <w:pStyle w:val="ESchpar"/>
        <w:rPr>
          <w:lang w:val="bg-BG"/>
        </w:rPr>
      </w:pPr>
    </w:p>
    <w:p w:rsidR="008F13FA" w:rsidRPr="009072DA" w:rsidRDefault="008F13FA" w:rsidP="00031119">
      <w:pPr>
        <w:pStyle w:val="ESchpar"/>
        <w:rPr>
          <w:lang w:val="bg-BG"/>
        </w:rPr>
      </w:pPr>
    </w:p>
    <w:p w:rsidR="008F13FA" w:rsidRPr="009072DA" w:rsidRDefault="008F13FA" w:rsidP="00031119">
      <w:pPr>
        <w:pStyle w:val="ESchpar"/>
        <w:rPr>
          <w:lang w:val="bg-BG"/>
        </w:rPr>
      </w:pPr>
    </w:p>
    <w:p w:rsidR="008F13FA" w:rsidRPr="009072DA" w:rsidRDefault="008F13FA" w:rsidP="00031119">
      <w:pPr>
        <w:pStyle w:val="ESchpar"/>
        <w:rPr>
          <w:lang w:val="bg-BG"/>
        </w:rPr>
      </w:pPr>
    </w:p>
    <w:p w:rsidR="00125490" w:rsidRPr="009072DA" w:rsidRDefault="00125490" w:rsidP="00125490">
      <w:pPr>
        <w:pStyle w:val="ESch"/>
        <w:rPr>
          <w:rFonts w:cs="Arial"/>
          <w:szCs w:val="20"/>
          <w:lang w:val="bg-BG"/>
        </w:rPr>
      </w:pPr>
    </w:p>
    <w:p w:rsidR="00AB18EA" w:rsidRPr="009072DA" w:rsidRDefault="00AB18EA" w:rsidP="00125490">
      <w:pPr>
        <w:pStyle w:val="ESch"/>
        <w:rPr>
          <w:lang w:val="bg-BG"/>
        </w:rPr>
        <w:sectPr w:rsidR="00AB18EA" w:rsidRPr="009072DA" w:rsidSect="00AC5CC1">
          <w:footnotePr>
            <w:numRestart w:val="eachPage"/>
          </w:footnotePr>
          <w:pgSz w:w="11906" w:h="16838" w:code="9"/>
          <w:pgMar w:top="1418" w:right="1418" w:bottom="1418" w:left="1418" w:header="709" w:footer="709" w:gutter="0"/>
          <w:cols w:space="709"/>
          <w:titlePg/>
          <w:docGrid w:linePitch="272"/>
        </w:sectPr>
      </w:pPr>
    </w:p>
    <w:p w:rsidR="00AB18EA" w:rsidRPr="009072DA" w:rsidRDefault="00AB18EA" w:rsidP="00AB18EA">
      <w:pPr>
        <w:pStyle w:val="ES-Titre1"/>
      </w:pPr>
      <w:bookmarkStart w:id="547" w:name="_Toc491854271"/>
      <w:bookmarkStart w:id="548" w:name="_Toc535827712"/>
      <w:r w:rsidRPr="009072DA">
        <w:lastRenderedPageBreak/>
        <w:t>ЧАСТ IV</w:t>
      </w:r>
      <w:r w:rsidRPr="009072DA">
        <w:br/>
        <w:t>ПРЕХОДНИ РАЗПОРЕДБИ</w:t>
      </w:r>
      <w:bookmarkEnd w:id="547"/>
      <w:bookmarkEnd w:id="548"/>
    </w:p>
    <w:p w:rsidR="00AB18EA" w:rsidRPr="009072DA" w:rsidRDefault="00AB18EA" w:rsidP="00AB18EA">
      <w:pPr>
        <w:rPr>
          <w:lang w:val="bg-BG"/>
        </w:rPr>
      </w:pPr>
    </w:p>
    <w:p w:rsidR="001E2331" w:rsidRPr="009072DA" w:rsidRDefault="001E2331" w:rsidP="00986EBC">
      <w:pPr>
        <w:pStyle w:val="ES-Titre2"/>
        <w:pageBreakBefore w:val="0"/>
      </w:pPr>
      <w:bookmarkStart w:id="549" w:name="_Toc535827713"/>
      <w:bookmarkStart w:id="550" w:name="_Toc491854272"/>
      <w:r w:rsidRPr="009072DA">
        <w:t>Глава 32</w:t>
      </w:r>
      <w:r w:rsidRPr="009072DA">
        <w:br/>
        <w:t>Преходни разпоредби за плавателни средства по река Рейн (зона R)</w:t>
      </w:r>
      <w:bookmarkEnd w:id="549"/>
      <w:r w:rsidRPr="009072DA">
        <w:t xml:space="preserve"> </w:t>
      </w:r>
      <w:bookmarkEnd w:id="550"/>
    </w:p>
    <w:p w:rsidR="001E2331" w:rsidRPr="009072DA" w:rsidRDefault="001E2331" w:rsidP="001E2331">
      <w:pPr>
        <w:overflowPunct w:val="0"/>
        <w:adjustRightInd w:val="0"/>
        <w:spacing w:line="240" w:lineRule="exact"/>
        <w:jc w:val="center"/>
        <w:textAlignment w:val="baseline"/>
        <w:rPr>
          <w:rFonts w:eastAsia="Calibri"/>
          <w:b/>
          <w:lang w:val="bg-BG"/>
        </w:rPr>
      </w:pPr>
    </w:p>
    <w:p w:rsidR="001E2331" w:rsidRPr="009072DA" w:rsidRDefault="001E2331" w:rsidP="00A455C7">
      <w:pPr>
        <w:pStyle w:val="ES-Titre3prchap32"/>
      </w:pPr>
      <w:bookmarkStart w:id="551" w:name="_Toc491854273"/>
      <w:bookmarkStart w:id="552" w:name="_Toc535827714"/>
      <w:r w:rsidRPr="009072DA">
        <w:t>Член 32.01</w:t>
      </w:r>
      <w:bookmarkEnd w:id="551"/>
      <w:bookmarkEnd w:id="552"/>
    </w:p>
    <w:p w:rsidR="001E2331" w:rsidRPr="009072DA" w:rsidRDefault="00C903F8" w:rsidP="00A455C7">
      <w:pPr>
        <w:pStyle w:val="ES-Titre3a"/>
        <w:rPr>
          <w:lang w:val="bg-BG"/>
        </w:rPr>
      </w:pPr>
      <w:bookmarkStart w:id="553" w:name="_Toc421775883"/>
      <w:bookmarkStart w:id="554" w:name="_Toc491854274"/>
      <w:bookmarkStart w:id="555" w:name="_Toc535827715"/>
      <w:r w:rsidRPr="009072DA">
        <w:rPr>
          <w:lang w:val="bg-BG"/>
        </w:rPr>
        <w:t>Приложимост на преходните разпоредби към плавателни средства, които са вече в експлоатация</w:t>
      </w:r>
      <w:bookmarkEnd w:id="553"/>
      <w:bookmarkEnd w:id="554"/>
      <w:bookmarkEnd w:id="555"/>
    </w:p>
    <w:p w:rsidR="001E2331" w:rsidRPr="009072DA" w:rsidRDefault="001E2331" w:rsidP="001E2331">
      <w:pPr>
        <w:spacing w:line="240" w:lineRule="atLeast"/>
        <w:ind w:left="567" w:hanging="567"/>
        <w:rPr>
          <w:lang w:val="bg-BG"/>
        </w:rPr>
      </w:pPr>
    </w:p>
    <w:p w:rsidR="00320EDC" w:rsidRPr="009072DA" w:rsidRDefault="001E2331" w:rsidP="001E2331">
      <w:pPr>
        <w:spacing w:line="240" w:lineRule="atLeast"/>
        <w:ind w:left="567" w:hanging="567"/>
        <w:rPr>
          <w:lang w:val="bg-BG"/>
        </w:rPr>
      </w:pPr>
      <w:r w:rsidRPr="009072DA">
        <w:rPr>
          <w:lang w:val="bg-BG"/>
        </w:rPr>
        <w:t>1.</w:t>
      </w:r>
      <w:r w:rsidRPr="009072DA">
        <w:rPr>
          <w:lang w:val="bg-BG"/>
        </w:rPr>
        <w:tab/>
        <w:t>Разпоредбите на членове 32.02—32.04 се прилагат само за плавателни средства, които притежават валидно удостоверение съгласно Правилата за инспекция на плавателните съдове по река Рейн:</w:t>
      </w:r>
    </w:p>
    <w:p w:rsidR="00C903F8" w:rsidRPr="009072DA" w:rsidRDefault="00C903F8" w:rsidP="00C903F8">
      <w:pPr>
        <w:spacing w:before="60" w:line="240" w:lineRule="atLeast"/>
        <w:ind w:left="992"/>
        <w:rPr>
          <w:lang w:val="bg-BG"/>
        </w:rPr>
      </w:pPr>
      <w:r w:rsidRPr="009072DA">
        <w:rPr>
          <w:lang w:val="bg-BG"/>
        </w:rPr>
        <w:t>a)</w:t>
      </w:r>
      <w:r w:rsidRPr="009072DA">
        <w:rPr>
          <w:lang w:val="bg-BG"/>
        </w:rPr>
        <w:tab/>
        <w:t xml:space="preserve">издадено за пръв път въз основа на Правилата за инспекция на плавателните съдове по река Рейн в сила от 31 декември 1994 г., или </w:t>
      </w:r>
    </w:p>
    <w:p w:rsidR="00C903F8" w:rsidRPr="009072DA" w:rsidRDefault="00C903F8" w:rsidP="00C903F8">
      <w:pPr>
        <w:spacing w:before="60" w:line="240" w:lineRule="atLeast"/>
        <w:ind w:left="992"/>
        <w:rPr>
          <w:lang w:val="bg-BG"/>
        </w:rPr>
      </w:pPr>
      <w:r w:rsidRPr="009072DA">
        <w:rPr>
          <w:lang w:val="bg-BG"/>
        </w:rPr>
        <w:t>б)</w:t>
      </w:r>
      <w:r w:rsidRPr="009072DA">
        <w:rPr>
          <w:lang w:val="bg-BG"/>
        </w:rPr>
        <w:tab/>
        <w:t>подновено поне веднъж преди 31 декември 1994 г., или</w:t>
      </w:r>
    </w:p>
    <w:p w:rsidR="00C903F8" w:rsidRPr="009072DA" w:rsidRDefault="00C903F8" w:rsidP="00C903F8">
      <w:pPr>
        <w:spacing w:before="60" w:line="240" w:lineRule="atLeast"/>
        <w:ind w:left="992"/>
        <w:rPr>
          <w:lang w:val="bg-BG"/>
        </w:rPr>
      </w:pPr>
      <w:r w:rsidRPr="009072DA">
        <w:rPr>
          <w:lang w:val="bg-BG"/>
        </w:rPr>
        <w:t>в)</w:t>
      </w:r>
      <w:r w:rsidRPr="009072DA">
        <w:rPr>
          <w:lang w:val="bg-BG"/>
        </w:rPr>
        <w:tab/>
        <w:t>които са били в процес на строеж или преустройство на 31 декември 1994 г.</w:t>
      </w:r>
    </w:p>
    <w:p w:rsidR="001E2331" w:rsidRPr="009072DA" w:rsidRDefault="001E2331" w:rsidP="001E2331">
      <w:pPr>
        <w:spacing w:line="240" w:lineRule="atLeast"/>
        <w:ind w:left="567"/>
        <w:rPr>
          <w:lang w:val="bg-BG"/>
        </w:rPr>
      </w:pPr>
    </w:p>
    <w:p w:rsidR="001E2331" w:rsidRPr="009072DA" w:rsidRDefault="001E2331" w:rsidP="001E2331">
      <w:pPr>
        <w:spacing w:line="240" w:lineRule="atLeast"/>
        <w:ind w:left="567" w:hanging="567"/>
        <w:rPr>
          <w:lang w:val="bg-BG"/>
        </w:rPr>
      </w:pPr>
      <w:r w:rsidRPr="009072DA">
        <w:rPr>
          <w:lang w:val="bg-BG"/>
        </w:rPr>
        <w:t>2.</w:t>
      </w:r>
      <w:r w:rsidRPr="009072DA">
        <w:rPr>
          <w:lang w:val="bg-BG"/>
        </w:rPr>
        <w:tab/>
        <w:t>За плавателни средства, които не са обхванати от точка 1, се прилагат разпоредбите на член 32.05.</w:t>
      </w:r>
    </w:p>
    <w:p w:rsidR="001E2331" w:rsidRPr="009072DA" w:rsidRDefault="001E2331" w:rsidP="001E2331">
      <w:pPr>
        <w:spacing w:line="240" w:lineRule="atLeast"/>
        <w:ind w:left="567" w:hanging="567"/>
        <w:rPr>
          <w:lang w:val="bg-BG"/>
        </w:rPr>
      </w:pPr>
    </w:p>
    <w:p w:rsidR="001E2331" w:rsidRPr="009072DA" w:rsidRDefault="001E2331" w:rsidP="001E2331">
      <w:pPr>
        <w:spacing w:line="240" w:lineRule="atLeast"/>
        <w:ind w:left="567" w:hanging="567"/>
        <w:rPr>
          <w:lang w:val="bg-BG"/>
        </w:rPr>
      </w:pPr>
    </w:p>
    <w:p w:rsidR="001E2331" w:rsidRPr="009072DA" w:rsidRDefault="001E2331" w:rsidP="00A455C7">
      <w:pPr>
        <w:pStyle w:val="ES-Titre3"/>
        <w:rPr>
          <w:lang w:val="bg-BG"/>
        </w:rPr>
      </w:pPr>
      <w:bookmarkStart w:id="556" w:name="_Toc491854275"/>
      <w:bookmarkStart w:id="557" w:name="_Toc535827716"/>
      <w:r w:rsidRPr="009072DA">
        <w:rPr>
          <w:lang w:val="bg-BG"/>
        </w:rPr>
        <w:t>Член 32.02</w:t>
      </w:r>
      <w:bookmarkEnd w:id="556"/>
      <w:bookmarkEnd w:id="557"/>
    </w:p>
    <w:p w:rsidR="001E2331" w:rsidRPr="009072DA" w:rsidRDefault="00C903F8" w:rsidP="00A455C7">
      <w:pPr>
        <w:pStyle w:val="ES-Titre3a"/>
        <w:rPr>
          <w:lang w:val="bg-BG"/>
        </w:rPr>
      </w:pPr>
      <w:bookmarkStart w:id="558" w:name="_Toc421775885"/>
      <w:bookmarkStart w:id="559" w:name="_Toc491854276"/>
      <w:bookmarkStart w:id="560" w:name="_Toc535827717"/>
      <w:r w:rsidRPr="009072DA">
        <w:rPr>
          <w:lang w:val="bg-BG"/>
        </w:rPr>
        <w:lastRenderedPageBreak/>
        <w:t>Преходни разпоредби относно плавателните средства, които вече са в експлоатация</w:t>
      </w:r>
      <w:bookmarkEnd w:id="558"/>
      <w:bookmarkEnd w:id="559"/>
      <w:bookmarkEnd w:id="560"/>
    </w:p>
    <w:p w:rsidR="001E2331" w:rsidRPr="009072DA" w:rsidRDefault="001E2331" w:rsidP="001E2331">
      <w:pPr>
        <w:spacing w:line="240" w:lineRule="atLeast"/>
        <w:ind w:left="567" w:hanging="567"/>
        <w:rPr>
          <w:lang w:val="bg-BG"/>
        </w:rPr>
      </w:pPr>
    </w:p>
    <w:p w:rsidR="00C903F8" w:rsidRPr="009072DA" w:rsidRDefault="00C903F8" w:rsidP="00C903F8">
      <w:pPr>
        <w:spacing w:line="240" w:lineRule="atLeast"/>
        <w:ind w:left="567" w:hanging="567"/>
        <w:rPr>
          <w:b/>
          <w:lang w:val="bg-BG"/>
        </w:rPr>
      </w:pPr>
      <w:r w:rsidRPr="009072DA">
        <w:rPr>
          <w:lang w:val="bg-BG"/>
        </w:rPr>
        <w:t>1.</w:t>
      </w:r>
      <w:r w:rsidRPr="009072DA">
        <w:rPr>
          <w:lang w:val="bg-BG"/>
        </w:rPr>
        <w:tab/>
        <w:t>Плавателни средства, които не отговарят изцяло на изискванията на настоящия стандарт:</w:t>
      </w:r>
    </w:p>
    <w:p w:rsidR="00C903F8" w:rsidRPr="009072DA" w:rsidRDefault="00C903F8" w:rsidP="00C903F8">
      <w:pPr>
        <w:spacing w:before="60" w:line="240" w:lineRule="atLeast"/>
        <w:ind w:left="992"/>
        <w:rPr>
          <w:lang w:val="bg-BG"/>
        </w:rPr>
      </w:pPr>
      <w:r w:rsidRPr="009072DA">
        <w:rPr>
          <w:lang w:val="bg-BG"/>
        </w:rPr>
        <w:t>a)</w:t>
      </w:r>
      <w:r w:rsidRPr="009072DA">
        <w:rPr>
          <w:lang w:val="bg-BG"/>
        </w:rPr>
        <w:tab/>
        <w:t>трябва да бъдат адаптирани, за да бъдат в съответствие с тези разпоредби съгласно преходните разпоредби, изброени в таблицата по-долу и</w:t>
      </w:r>
    </w:p>
    <w:p w:rsidR="00C903F8" w:rsidRPr="009072DA" w:rsidRDefault="00C903F8" w:rsidP="00C903F8">
      <w:pPr>
        <w:spacing w:before="60" w:line="240" w:lineRule="atLeast"/>
        <w:ind w:left="992"/>
        <w:rPr>
          <w:lang w:val="bg-BG"/>
        </w:rPr>
      </w:pPr>
      <w:r w:rsidRPr="009072DA">
        <w:rPr>
          <w:lang w:val="bg-BG"/>
        </w:rPr>
        <w:t>б)</w:t>
      </w:r>
      <w:r w:rsidRPr="009072DA">
        <w:rPr>
          <w:lang w:val="bg-BG"/>
        </w:rPr>
        <w:tab/>
        <w:t xml:space="preserve">до адаптирането им, те трябва да съответстват на Правилата за инспекция на плавателните съдове по река Рейн в сила от 31 декември 1994 г. </w:t>
      </w:r>
    </w:p>
    <w:p w:rsidR="00550E01" w:rsidRPr="009072DA" w:rsidRDefault="00550E01" w:rsidP="001E2331">
      <w:pPr>
        <w:spacing w:line="240" w:lineRule="atLeast"/>
        <w:ind w:left="567" w:hanging="567"/>
        <w:rPr>
          <w:rFonts w:cs="Arial"/>
          <w:sz w:val="18"/>
          <w:szCs w:val="18"/>
          <w:lang w:val="bg-BG"/>
        </w:rPr>
      </w:pPr>
    </w:p>
    <w:p w:rsidR="00C903F8" w:rsidRPr="009072DA" w:rsidRDefault="00C903F8" w:rsidP="00C903F8">
      <w:pPr>
        <w:spacing w:before="60" w:line="240" w:lineRule="atLeast"/>
        <w:ind w:left="567"/>
        <w:rPr>
          <w:lang w:val="bg-BG"/>
        </w:rPr>
      </w:pPr>
      <w:r w:rsidRPr="009072DA">
        <w:rPr>
          <w:lang w:val="bg-BG"/>
        </w:rPr>
        <w:t>Когато на плавателно средство се издава ново удостоверение на плавателен съд за плаване по вътрешни водни пътища съгласно определението в член 32.01, точка 1, удостоверението съгласно Правилата за инспекция на плавателните съдове по река Рейн се представя като потвърждение, след което то се отменя и датата на издаването му съгласно Правилата за инспекция на плавателните съдове по река Рейн в сила към 31 декември 1994 г. се записва в точка 52 от новото удостоверение на плавателния съд за плаване по вътрешни водни пътища, както следва:</w:t>
      </w:r>
    </w:p>
    <w:p w:rsidR="00C903F8" w:rsidRPr="009072DA" w:rsidRDefault="00C903F8" w:rsidP="00C903F8">
      <w:pPr>
        <w:spacing w:before="60" w:line="240" w:lineRule="atLeast"/>
        <w:ind w:left="567"/>
        <w:rPr>
          <w:lang w:val="bg-BG"/>
        </w:rPr>
      </w:pPr>
      <w:r w:rsidRPr="009072DA">
        <w:rPr>
          <w:lang w:val="bg-BG"/>
        </w:rPr>
        <w:t>„Удостоверението съгласно Правилата за инспекция на плавателните съдове по река Рейн в сила към 31 декември 1994 г. е издадено на: …“</w:t>
      </w:r>
    </w:p>
    <w:p w:rsidR="00C903F8" w:rsidRPr="009072DA" w:rsidRDefault="00C903F8" w:rsidP="00C903F8">
      <w:pPr>
        <w:spacing w:line="240" w:lineRule="atLeast"/>
        <w:ind w:left="567" w:hanging="567"/>
        <w:rPr>
          <w:lang w:val="bg-BG"/>
        </w:rPr>
      </w:pPr>
    </w:p>
    <w:p w:rsidR="009068C8" w:rsidRPr="009072DA" w:rsidRDefault="009068C8">
      <w:pPr>
        <w:rPr>
          <w:lang w:val="bg-BG"/>
        </w:rPr>
      </w:pPr>
      <w:r w:rsidRPr="009072DA">
        <w:rPr>
          <w:lang w:val="bg-BG"/>
        </w:rPr>
        <w:br w:type="page"/>
      </w:r>
    </w:p>
    <w:p w:rsidR="00C903F8" w:rsidRPr="009072DA" w:rsidRDefault="00C903F8" w:rsidP="00C903F8">
      <w:pPr>
        <w:spacing w:line="240" w:lineRule="atLeast"/>
        <w:ind w:left="567" w:hanging="567"/>
        <w:rPr>
          <w:lang w:val="bg-BG"/>
        </w:rPr>
      </w:pPr>
      <w:r w:rsidRPr="009072DA">
        <w:rPr>
          <w:lang w:val="bg-BG"/>
        </w:rPr>
        <w:lastRenderedPageBreak/>
        <w:t>2.</w:t>
      </w:r>
      <w:r w:rsidRPr="009072DA">
        <w:rPr>
          <w:lang w:val="bg-BG"/>
        </w:rPr>
        <w:tab/>
        <w:t>За таблицата по-долу важат следните определения:</w:t>
      </w:r>
    </w:p>
    <w:p w:rsidR="00C903F8" w:rsidRPr="009072DA" w:rsidRDefault="00C903F8" w:rsidP="00C903F8">
      <w:pPr>
        <w:spacing w:line="240" w:lineRule="atLeast"/>
        <w:ind w:left="567" w:hanging="567"/>
        <w:rPr>
          <w:lang w:val="bg-BG"/>
        </w:rPr>
      </w:pPr>
    </w:p>
    <w:p w:rsidR="00C903F8" w:rsidRPr="009072DA" w:rsidRDefault="00C903F8" w:rsidP="00C903F8">
      <w:pPr>
        <w:spacing w:line="240" w:lineRule="atLeast"/>
        <w:ind w:left="567"/>
        <w:rPr>
          <w:lang w:val="bg-BG"/>
        </w:rPr>
      </w:pPr>
      <w:r w:rsidRPr="009072DA">
        <w:rPr>
          <w:lang w:val="bg-BG"/>
        </w:rPr>
        <w:t xml:space="preserve">„НЗР“: разпоредбата не се прилага за плавателни средства, които вече са в експлоатация, освен ако въпросните части не бъдат заменени или преустроени, т.е. разпоредбата важи само по отношение на </w:t>
      </w:r>
      <w:r w:rsidRPr="009072DA">
        <w:rPr>
          <w:u w:val="single"/>
          <w:lang w:val="bg-BG"/>
        </w:rPr>
        <w:t>Н</w:t>
      </w:r>
      <w:r w:rsidRPr="009072DA">
        <w:rPr>
          <w:lang w:val="bg-BG"/>
        </w:rPr>
        <w:t xml:space="preserve">овоизградени плавателни средства и на </w:t>
      </w:r>
      <w:r w:rsidRPr="009072DA">
        <w:rPr>
          <w:u w:val="single"/>
          <w:lang w:val="bg-BG"/>
        </w:rPr>
        <w:t>З</w:t>
      </w:r>
      <w:r w:rsidRPr="009072DA">
        <w:rPr>
          <w:lang w:val="bg-BG"/>
        </w:rPr>
        <w:t xml:space="preserve">амяната или </w:t>
      </w:r>
      <w:r w:rsidRPr="009072DA">
        <w:rPr>
          <w:u w:val="single"/>
          <w:lang w:val="bg-BG"/>
        </w:rPr>
        <w:t>Р</w:t>
      </w:r>
      <w:r w:rsidRPr="009072DA">
        <w:rPr>
          <w:lang w:val="bg-BG"/>
        </w:rPr>
        <w:t xml:space="preserve">еконструкцията (преустройството) на въпросните части или пространства. В случай че съществуващи части се заменят с части от същия вид при използване на същата технология, това не представлява замяна „З“ по смисъла на преходните разпоредби. </w:t>
      </w:r>
    </w:p>
    <w:p w:rsidR="00C903F8" w:rsidRPr="009072DA" w:rsidRDefault="00C903F8" w:rsidP="00C903F8">
      <w:pPr>
        <w:spacing w:line="240" w:lineRule="atLeast"/>
        <w:ind w:left="567"/>
        <w:rPr>
          <w:lang w:val="bg-BG"/>
        </w:rPr>
      </w:pPr>
    </w:p>
    <w:p w:rsidR="00C903F8" w:rsidRPr="009072DA" w:rsidRDefault="00C903F8" w:rsidP="00C903F8">
      <w:pPr>
        <w:tabs>
          <w:tab w:val="left" w:pos="4678"/>
        </w:tabs>
        <w:spacing w:line="240" w:lineRule="atLeast"/>
        <w:ind w:left="567"/>
        <w:rPr>
          <w:lang w:val="bg-BG"/>
        </w:rPr>
      </w:pPr>
      <w:r w:rsidRPr="009072DA">
        <w:rPr>
          <w:lang w:val="bg-BG"/>
        </w:rPr>
        <w:t>„Издаване или подновяване на удостоверението на плавателния съд за плаване по вътрешни водни пътища“: разпоредбата трябва да бъде спазена при следващото издаване или подновяване на удостоверението на плавателния съд за плаване по вътрешни водни пътища след посочената дата.</w:t>
      </w:r>
    </w:p>
    <w:p w:rsidR="00740370" w:rsidRPr="009072DA" w:rsidRDefault="00740370" w:rsidP="001E2331">
      <w:pPr>
        <w:spacing w:line="240" w:lineRule="atLeast"/>
        <w:ind w:left="567"/>
        <w:rPr>
          <w:lang w:val="bg-BG"/>
        </w:rPr>
      </w:pPr>
    </w:p>
    <w:p w:rsidR="001E2331" w:rsidRPr="009072DA" w:rsidRDefault="001E2331" w:rsidP="001E2331">
      <w:pPr>
        <w:spacing w:line="240" w:lineRule="atLeast"/>
        <w:ind w:left="567"/>
        <w:rPr>
          <w:lang w:val="bg-BG"/>
        </w:rPr>
      </w:pPr>
    </w:p>
    <w:p w:rsidR="00740370" w:rsidRPr="009072DA" w:rsidRDefault="00740370" w:rsidP="00196FBC">
      <w:pPr>
        <w:spacing w:line="240" w:lineRule="atLeast"/>
        <w:ind w:left="567"/>
        <w:rPr>
          <w:lang w:val="bg-BG"/>
        </w:rPr>
        <w:sectPr w:rsidR="00740370" w:rsidRPr="009072DA" w:rsidSect="001E2331">
          <w:headerReference w:type="default" r:id="rId29"/>
          <w:footerReference w:type="default" r:id="rId30"/>
          <w:headerReference w:type="first" r:id="rId31"/>
          <w:footerReference w:type="first" r:id="rId32"/>
          <w:footnotePr>
            <w:numRestart w:val="eachPage"/>
          </w:footnotePr>
          <w:pgSz w:w="16838" w:h="11906" w:orient="landscape" w:code="9"/>
          <w:pgMar w:top="1418" w:right="1418" w:bottom="1418" w:left="1418" w:header="709" w:footer="709" w:gutter="0"/>
          <w:cols w:space="709"/>
          <w:titlePg/>
          <w:docGrid w:linePitch="272"/>
        </w:sectPr>
      </w:pPr>
    </w:p>
    <w:p w:rsidR="00A455C7" w:rsidRPr="009072DA" w:rsidRDefault="00A455C7" w:rsidP="00196FBC">
      <w:pPr>
        <w:spacing w:line="240" w:lineRule="atLeast"/>
        <w:ind w:left="567"/>
        <w:rPr>
          <w:lang w:val="bg-BG"/>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196FBC" w:rsidRPr="009072DA" w:rsidTr="00F46772">
        <w:trPr>
          <w:cantSplit/>
          <w:tblHeader/>
          <w:jc w:val="center"/>
        </w:trPr>
        <w:tc>
          <w:tcPr>
            <w:tcW w:w="2800" w:type="dxa"/>
            <w:gridSpan w:val="2"/>
            <w:shd w:val="clear" w:color="auto" w:fill="auto"/>
          </w:tcPr>
          <w:p w:rsidR="00196FBC" w:rsidRPr="009072DA" w:rsidRDefault="00196FBC" w:rsidP="00196FBC">
            <w:pPr>
              <w:spacing w:before="120" w:after="120" w:line="240" w:lineRule="atLeast"/>
              <w:jc w:val="center"/>
              <w:rPr>
                <w:rFonts w:cs="Arial"/>
                <w:sz w:val="18"/>
                <w:szCs w:val="18"/>
                <w:lang w:val="bg-BG"/>
              </w:rPr>
            </w:pPr>
            <w:r w:rsidRPr="009072DA">
              <w:rPr>
                <w:i/>
                <w:sz w:val="18"/>
                <w:lang w:val="bg-BG"/>
              </w:rPr>
              <w:t>Член и точка</w:t>
            </w:r>
          </w:p>
        </w:tc>
        <w:tc>
          <w:tcPr>
            <w:tcW w:w="3296" w:type="dxa"/>
            <w:shd w:val="clear" w:color="auto" w:fill="auto"/>
          </w:tcPr>
          <w:p w:rsidR="00196FBC" w:rsidRPr="009072DA" w:rsidRDefault="00196FBC" w:rsidP="00196FBC">
            <w:pPr>
              <w:spacing w:before="120" w:after="120" w:line="240" w:lineRule="atLeast"/>
              <w:jc w:val="center"/>
              <w:rPr>
                <w:rFonts w:cs="Arial"/>
                <w:sz w:val="18"/>
                <w:szCs w:val="18"/>
                <w:lang w:val="bg-BG"/>
              </w:rPr>
            </w:pPr>
            <w:r w:rsidRPr="009072DA">
              <w:rPr>
                <w:i/>
                <w:sz w:val="18"/>
                <w:lang w:val="bg-BG"/>
              </w:rPr>
              <w:t>Съдържание</w:t>
            </w:r>
          </w:p>
        </w:tc>
        <w:tc>
          <w:tcPr>
            <w:tcW w:w="7797" w:type="dxa"/>
            <w:gridSpan w:val="2"/>
            <w:shd w:val="clear" w:color="auto" w:fill="auto"/>
          </w:tcPr>
          <w:p w:rsidR="00196FBC" w:rsidRPr="009072DA" w:rsidRDefault="00196FBC" w:rsidP="00196FBC">
            <w:pPr>
              <w:spacing w:before="120" w:after="120" w:line="240" w:lineRule="atLeast"/>
              <w:jc w:val="center"/>
              <w:rPr>
                <w:rFonts w:cs="Arial"/>
                <w:sz w:val="18"/>
                <w:szCs w:val="18"/>
                <w:lang w:val="bg-BG"/>
              </w:rPr>
            </w:pPr>
            <w:r w:rsidRPr="009072DA">
              <w:rPr>
                <w:i/>
                <w:sz w:val="18"/>
                <w:lang w:val="bg-BG"/>
              </w:rPr>
              <w:t>Краен срок и бележки</w:t>
            </w:r>
          </w:p>
        </w:tc>
      </w:tr>
      <w:tr w:rsidR="00196FBC" w:rsidRPr="009072DA" w:rsidTr="00196FBC">
        <w:trPr>
          <w:cantSplit/>
          <w:jc w:val="center"/>
        </w:trPr>
        <w:tc>
          <w:tcPr>
            <w:tcW w:w="6096" w:type="dxa"/>
            <w:gridSpan w:val="3"/>
            <w:shd w:val="clear" w:color="auto" w:fill="auto"/>
          </w:tcPr>
          <w:p w:rsidR="00196FBC" w:rsidRPr="009072DA" w:rsidRDefault="00196FBC" w:rsidP="001E2331">
            <w:pPr>
              <w:spacing w:before="100" w:after="100" w:line="240" w:lineRule="atLeast"/>
              <w:jc w:val="center"/>
              <w:rPr>
                <w:rFonts w:cs="Arial"/>
                <w:b/>
                <w:sz w:val="18"/>
                <w:szCs w:val="18"/>
                <w:lang w:val="bg-BG"/>
              </w:rPr>
            </w:pPr>
            <w:r w:rsidRPr="009072DA">
              <w:rPr>
                <w:b/>
                <w:sz w:val="18"/>
                <w:lang w:val="bg-BG"/>
              </w:rPr>
              <w:t>ГЛАВА 3</w:t>
            </w:r>
          </w:p>
        </w:tc>
        <w:tc>
          <w:tcPr>
            <w:tcW w:w="6521" w:type="dxa"/>
            <w:shd w:val="clear" w:color="auto" w:fill="auto"/>
          </w:tcPr>
          <w:p w:rsidR="00196FBC" w:rsidRPr="009072DA" w:rsidRDefault="00196FBC" w:rsidP="001E2331">
            <w:pPr>
              <w:spacing w:before="100" w:after="100" w:line="240" w:lineRule="atLeast"/>
              <w:jc w:val="center"/>
              <w:rPr>
                <w:rFonts w:cs="Arial"/>
                <w:sz w:val="18"/>
                <w:szCs w:val="18"/>
                <w:lang w:val="bg-BG"/>
              </w:rPr>
            </w:pPr>
          </w:p>
        </w:tc>
        <w:tc>
          <w:tcPr>
            <w:tcW w:w="1276" w:type="dxa"/>
            <w:shd w:val="clear" w:color="auto" w:fill="auto"/>
          </w:tcPr>
          <w:p w:rsidR="00196FBC" w:rsidRPr="009072DA" w:rsidRDefault="00196FBC" w:rsidP="001E2331">
            <w:pPr>
              <w:spacing w:before="100" w:after="100" w:line="240" w:lineRule="atLeast"/>
              <w:jc w:val="center"/>
              <w:rPr>
                <w:rFonts w:cs="Arial"/>
                <w:sz w:val="18"/>
                <w:szCs w:val="18"/>
                <w:lang w:val="bg-BG"/>
              </w:rPr>
            </w:pPr>
          </w:p>
        </w:tc>
      </w:tr>
      <w:tr w:rsidR="00196FBC" w:rsidRPr="009072DA" w:rsidTr="00196FBC">
        <w:trPr>
          <w:cantSplit/>
          <w:jc w:val="center"/>
        </w:trPr>
        <w:tc>
          <w:tcPr>
            <w:tcW w:w="1342" w:type="dxa"/>
            <w:vMerge w:val="restart"/>
            <w:shd w:val="clear" w:color="auto" w:fill="auto"/>
          </w:tcPr>
          <w:p w:rsidR="00196FBC" w:rsidRPr="009072DA" w:rsidRDefault="00196FBC" w:rsidP="009C40EF">
            <w:pPr>
              <w:spacing w:before="160" w:after="160" w:line="240" w:lineRule="atLeast"/>
              <w:rPr>
                <w:rFonts w:cs="Arial"/>
                <w:sz w:val="18"/>
                <w:szCs w:val="18"/>
                <w:lang w:val="bg-BG"/>
              </w:rPr>
            </w:pPr>
            <w:r w:rsidRPr="009072DA">
              <w:rPr>
                <w:sz w:val="18"/>
                <w:lang w:val="bg-BG"/>
              </w:rPr>
              <w:t>3.03</w:t>
            </w:r>
          </w:p>
        </w:tc>
        <w:tc>
          <w:tcPr>
            <w:tcW w:w="1458" w:type="dxa"/>
            <w:shd w:val="clear" w:color="auto" w:fill="auto"/>
          </w:tcPr>
          <w:p w:rsidR="00196FBC" w:rsidRPr="009072DA" w:rsidRDefault="00196FBC" w:rsidP="009C40EF">
            <w:pPr>
              <w:spacing w:before="160" w:after="160" w:line="240" w:lineRule="atLeast"/>
              <w:rPr>
                <w:rFonts w:cs="Arial"/>
                <w:sz w:val="18"/>
                <w:szCs w:val="18"/>
                <w:lang w:val="bg-BG"/>
              </w:rPr>
            </w:pPr>
            <w:r w:rsidRPr="009072DA">
              <w:rPr>
                <w:sz w:val="18"/>
                <w:lang w:val="bg-BG"/>
              </w:rPr>
              <w:t>Точка 1, буква a)</w:t>
            </w:r>
          </w:p>
        </w:tc>
        <w:tc>
          <w:tcPr>
            <w:tcW w:w="3296" w:type="dxa"/>
            <w:shd w:val="clear" w:color="auto" w:fill="auto"/>
          </w:tcPr>
          <w:p w:rsidR="00196FBC" w:rsidRPr="009072DA" w:rsidRDefault="00196FBC" w:rsidP="00740370">
            <w:pPr>
              <w:spacing w:before="160" w:after="160" w:line="240" w:lineRule="atLeast"/>
              <w:rPr>
                <w:rFonts w:cs="Arial"/>
                <w:sz w:val="18"/>
                <w:szCs w:val="18"/>
                <w:lang w:val="bg-BG"/>
              </w:rPr>
            </w:pPr>
            <w:r w:rsidRPr="009072DA">
              <w:rPr>
                <w:sz w:val="18"/>
                <w:lang w:val="bg-BG"/>
              </w:rPr>
              <w:t>Положение на първата носова непроницаема преграда</w:t>
            </w:r>
          </w:p>
        </w:tc>
        <w:tc>
          <w:tcPr>
            <w:tcW w:w="6521" w:type="dxa"/>
            <w:shd w:val="clear" w:color="auto" w:fill="auto"/>
          </w:tcPr>
          <w:p w:rsidR="00196FBC" w:rsidRPr="009072DA" w:rsidRDefault="008761D9" w:rsidP="00740370">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740370">
            <w:pPr>
              <w:spacing w:before="160" w:after="160" w:line="240" w:lineRule="atLeast"/>
              <w:rPr>
                <w:rFonts w:cs="Arial"/>
                <w:sz w:val="18"/>
                <w:szCs w:val="18"/>
                <w:lang w:val="bg-BG"/>
              </w:rPr>
            </w:pPr>
            <w:r w:rsidRPr="009072DA">
              <w:rPr>
                <w:sz w:val="18"/>
                <w:lang w:val="bg-BG"/>
              </w:rPr>
              <w:t>1.1.2035 г.</w:t>
            </w:r>
          </w:p>
        </w:tc>
      </w:tr>
      <w:tr w:rsidR="00196FBC" w:rsidRPr="009072DA" w:rsidTr="00196FBC">
        <w:trPr>
          <w:cantSplit/>
          <w:jc w:val="center"/>
        </w:trPr>
        <w:tc>
          <w:tcPr>
            <w:tcW w:w="1342" w:type="dxa"/>
            <w:vMerge/>
            <w:shd w:val="clear" w:color="auto" w:fill="auto"/>
          </w:tcPr>
          <w:p w:rsidR="00196FBC" w:rsidRPr="009072DA" w:rsidRDefault="00196FBC" w:rsidP="009C40EF">
            <w:pPr>
              <w:spacing w:before="120" w:after="120" w:line="240" w:lineRule="atLeast"/>
              <w:rPr>
                <w:rFonts w:cs="Arial"/>
                <w:b/>
                <w:sz w:val="18"/>
                <w:szCs w:val="18"/>
                <w:lang w:val="bg-BG"/>
              </w:rPr>
            </w:pPr>
          </w:p>
        </w:tc>
        <w:tc>
          <w:tcPr>
            <w:tcW w:w="1458" w:type="dxa"/>
            <w:shd w:val="clear" w:color="auto" w:fill="auto"/>
          </w:tcPr>
          <w:p w:rsidR="00196FBC" w:rsidRPr="009072DA" w:rsidRDefault="00196FBC" w:rsidP="009C40EF">
            <w:pPr>
              <w:spacing w:before="120" w:after="120" w:line="240" w:lineRule="atLeast"/>
              <w:rPr>
                <w:rFonts w:cs="Arial"/>
                <w:sz w:val="18"/>
                <w:szCs w:val="18"/>
                <w:lang w:val="bg-BG"/>
              </w:rPr>
            </w:pPr>
            <w:r w:rsidRPr="009072DA">
              <w:rPr>
                <w:sz w:val="18"/>
                <w:lang w:val="bg-BG"/>
              </w:rPr>
              <w:t>Точка 1, буква б)</w:t>
            </w:r>
          </w:p>
        </w:tc>
        <w:tc>
          <w:tcPr>
            <w:tcW w:w="3296" w:type="dxa"/>
            <w:shd w:val="clear" w:color="auto" w:fill="auto"/>
          </w:tcPr>
          <w:p w:rsidR="00196FBC" w:rsidRPr="009072DA" w:rsidRDefault="00196FBC" w:rsidP="001E2331">
            <w:pPr>
              <w:spacing w:before="120" w:after="120" w:line="240" w:lineRule="atLeast"/>
              <w:rPr>
                <w:rFonts w:cs="Arial"/>
                <w:sz w:val="18"/>
                <w:szCs w:val="18"/>
                <w:lang w:val="bg-BG"/>
              </w:rPr>
            </w:pPr>
            <w:r w:rsidRPr="009072DA">
              <w:rPr>
                <w:sz w:val="18"/>
                <w:lang w:val="bg-BG"/>
              </w:rPr>
              <w:t>Положение на ахтерпиковата преграда</w:t>
            </w:r>
          </w:p>
        </w:tc>
        <w:tc>
          <w:tcPr>
            <w:tcW w:w="6521" w:type="dxa"/>
            <w:shd w:val="clear" w:color="auto" w:fill="auto"/>
          </w:tcPr>
          <w:p w:rsidR="00196FBC" w:rsidRPr="009072DA" w:rsidRDefault="008761D9" w:rsidP="00B534F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1E2331">
            <w:pPr>
              <w:spacing w:before="120" w:after="120" w:line="240" w:lineRule="atLeast"/>
              <w:rPr>
                <w:rFonts w:cs="Arial"/>
                <w:sz w:val="18"/>
                <w:szCs w:val="18"/>
                <w:lang w:val="bg-BG"/>
              </w:rPr>
            </w:pPr>
            <w:r w:rsidRPr="009072DA">
              <w:rPr>
                <w:sz w:val="18"/>
                <w:lang w:val="bg-BG"/>
              </w:rPr>
              <w:t>1.1.2035 г.</w:t>
            </w:r>
          </w:p>
        </w:tc>
      </w:tr>
      <w:tr w:rsidR="00196FBC" w:rsidRPr="009072DA" w:rsidTr="00196FBC">
        <w:trPr>
          <w:cantSplit/>
          <w:jc w:val="center"/>
        </w:trPr>
        <w:tc>
          <w:tcPr>
            <w:tcW w:w="1342" w:type="dxa"/>
            <w:vMerge/>
            <w:shd w:val="clear" w:color="auto" w:fill="auto"/>
          </w:tcPr>
          <w:p w:rsidR="00196FBC" w:rsidRPr="009072DA" w:rsidRDefault="00196FBC" w:rsidP="009C40EF">
            <w:pPr>
              <w:spacing w:before="120" w:after="120" w:line="240" w:lineRule="atLeast"/>
              <w:rPr>
                <w:rFonts w:cs="Arial"/>
                <w:b/>
                <w:sz w:val="18"/>
                <w:szCs w:val="18"/>
                <w:lang w:val="bg-BG"/>
              </w:rPr>
            </w:pPr>
          </w:p>
        </w:tc>
        <w:tc>
          <w:tcPr>
            <w:tcW w:w="1458" w:type="dxa"/>
            <w:vMerge w:val="restart"/>
            <w:shd w:val="clear" w:color="auto" w:fill="auto"/>
          </w:tcPr>
          <w:p w:rsidR="00196FBC" w:rsidRPr="009072DA" w:rsidRDefault="00196FBC" w:rsidP="001E2331">
            <w:pPr>
              <w:spacing w:before="120" w:after="120" w:line="240" w:lineRule="atLeast"/>
              <w:rPr>
                <w:rFonts w:cs="Arial"/>
                <w:sz w:val="18"/>
                <w:szCs w:val="18"/>
                <w:lang w:val="bg-BG"/>
              </w:rPr>
            </w:pPr>
            <w:r w:rsidRPr="009072DA">
              <w:rPr>
                <w:sz w:val="18"/>
                <w:lang w:val="bg-BG"/>
              </w:rPr>
              <w:t>Точка 2</w:t>
            </w:r>
          </w:p>
        </w:tc>
        <w:tc>
          <w:tcPr>
            <w:tcW w:w="3296" w:type="dxa"/>
            <w:shd w:val="clear" w:color="auto" w:fill="auto"/>
          </w:tcPr>
          <w:p w:rsidR="00196FBC" w:rsidRPr="009072DA" w:rsidRDefault="00196FBC" w:rsidP="001E2331">
            <w:pPr>
              <w:spacing w:before="120" w:after="120" w:line="240" w:lineRule="atLeast"/>
              <w:rPr>
                <w:rFonts w:cs="Arial"/>
                <w:sz w:val="18"/>
                <w:szCs w:val="18"/>
                <w:lang w:val="bg-BG"/>
              </w:rPr>
            </w:pPr>
            <w:r w:rsidRPr="009072DA">
              <w:rPr>
                <w:sz w:val="18"/>
                <w:lang w:val="bg-BG"/>
              </w:rPr>
              <w:t>Помещения пред ахтерпиковата преграда</w:t>
            </w:r>
          </w:p>
        </w:tc>
        <w:tc>
          <w:tcPr>
            <w:tcW w:w="6521" w:type="dxa"/>
            <w:shd w:val="clear" w:color="auto" w:fill="auto"/>
          </w:tcPr>
          <w:p w:rsidR="00196FBC" w:rsidRPr="009072DA" w:rsidRDefault="008761D9" w:rsidP="001E2331">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1E2331">
            <w:pPr>
              <w:spacing w:before="120" w:after="120" w:line="240" w:lineRule="atLeast"/>
              <w:rPr>
                <w:rFonts w:cs="Arial"/>
                <w:sz w:val="18"/>
                <w:szCs w:val="18"/>
                <w:lang w:val="bg-BG"/>
              </w:rPr>
            </w:pPr>
            <w:r w:rsidRPr="009072DA">
              <w:rPr>
                <w:sz w:val="18"/>
                <w:lang w:val="bg-BG"/>
              </w:rPr>
              <w:t>1.1.2010 г.</w:t>
            </w:r>
          </w:p>
        </w:tc>
      </w:tr>
      <w:tr w:rsidR="00196FBC" w:rsidRPr="009072DA" w:rsidTr="00196FBC">
        <w:trPr>
          <w:cantSplit/>
          <w:jc w:val="center"/>
        </w:trPr>
        <w:tc>
          <w:tcPr>
            <w:tcW w:w="1342" w:type="dxa"/>
            <w:vMerge/>
            <w:shd w:val="clear" w:color="auto" w:fill="auto"/>
          </w:tcPr>
          <w:p w:rsidR="00196FBC" w:rsidRPr="009072DA" w:rsidRDefault="00196FBC" w:rsidP="009C40EF">
            <w:pPr>
              <w:spacing w:before="120" w:after="120" w:line="240" w:lineRule="atLeast"/>
              <w:rPr>
                <w:rFonts w:cs="Arial"/>
                <w:b/>
                <w:sz w:val="18"/>
                <w:szCs w:val="18"/>
                <w:lang w:val="bg-BG"/>
              </w:rPr>
            </w:pPr>
          </w:p>
        </w:tc>
        <w:tc>
          <w:tcPr>
            <w:tcW w:w="1458" w:type="dxa"/>
            <w:vMerge/>
            <w:shd w:val="clear" w:color="auto" w:fill="auto"/>
          </w:tcPr>
          <w:p w:rsidR="00196FBC" w:rsidRPr="009072DA" w:rsidRDefault="00196FBC" w:rsidP="001E2331">
            <w:pPr>
              <w:spacing w:before="120" w:after="120" w:line="240" w:lineRule="atLeast"/>
              <w:rPr>
                <w:rFonts w:cs="Arial"/>
                <w:sz w:val="18"/>
                <w:szCs w:val="18"/>
                <w:lang w:val="bg-BG"/>
              </w:rPr>
            </w:pPr>
          </w:p>
        </w:tc>
        <w:tc>
          <w:tcPr>
            <w:tcW w:w="3296" w:type="dxa"/>
            <w:shd w:val="clear" w:color="auto" w:fill="auto"/>
          </w:tcPr>
          <w:p w:rsidR="00196FBC" w:rsidRPr="009072DA" w:rsidRDefault="00196FBC" w:rsidP="001E2331">
            <w:pPr>
              <w:tabs>
                <w:tab w:val="left" w:pos="2790"/>
              </w:tabs>
              <w:spacing w:before="120" w:after="120" w:line="240" w:lineRule="atLeast"/>
              <w:rPr>
                <w:rFonts w:cs="Arial"/>
                <w:sz w:val="18"/>
                <w:szCs w:val="18"/>
                <w:lang w:val="bg-BG"/>
              </w:rPr>
            </w:pPr>
            <w:r w:rsidRPr="009072DA">
              <w:rPr>
                <w:sz w:val="18"/>
                <w:lang w:val="bg-BG"/>
              </w:rPr>
              <w:t>Помещения зад ахтерпиковата преграда</w:t>
            </w:r>
          </w:p>
        </w:tc>
        <w:tc>
          <w:tcPr>
            <w:tcW w:w="6521" w:type="dxa"/>
            <w:shd w:val="clear" w:color="auto" w:fill="auto"/>
          </w:tcPr>
          <w:p w:rsidR="00196FBC" w:rsidRPr="009072DA" w:rsidRDefault="008761D9" w:rsidP="001E2331">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1E2331">
            <w:pPr>
              <w:spacing w:before="120" w:after="120" w:line="240" w:lineRule="atLeast"/>
              <w:rPr>
                <w:rFonts w:cs="Arial"/>
                <w:sz w:val="18"/>
                <w:szCs w:val="18"/>
                <w:lang w:val="bg-BG"/>
              </w:rPr>
            </w:pPr>
            <w:r w:rsidRPr="009072DA">
              <w:rPr>
                <w:sz w:val="18"/>
                <w:lang w:val="bg-BG"/>
              </w:rPr>
              <w:t>1.1.2045 г.</w:t>
            </w:r>
          </w:p>
        </w:tc>
      </w:tr>
      <w:tr w:rsidR="00196FBC" w:rsidRPr="009072DA" w:rsidTr="00A5358D">
        <w:trPr>
          <w:cantSplit/>
          <w:trHeight w:val="675"/>
          <w:jc w:val="center"/>
        </w:trPr>
        <w:tc>
          <w:tcPr>
            <w:tcW w:w="1342" w:type="dxa"/>
            <w:vMerge/>
            <w:shd w:val="clear" w:color="auto" w:fill="auto"/>
          </w:tcPr>
          <w:p w:rsidR="00196FBC" w:rsidRPr="009072DA" w:rsidRDefault="00196FBC" w:rsidP="009C40EF">
            <w:pPr>
              <w:spacing w:before="120" w:after="120" w:line="240" w:lineRule="atLeast"/>
              <w:rPr>
                <w:rFonts w:cs="Arial"/>
                <w:b/>
                <w:sz w:val="18"/>
                <w:szCs w:val="18"/>
                <w:lang w:val="bg-BG"/>
              </w:rPr>
            </w:pPr>
          </w:p>
        </w:tc>
        <w:tc>
          <w:tcPr>
            <w:tcW w:w="1458" w:type="dxa"/>
            <w:vMerge/>
            <w:shd w:val="clear" w:color="auto" w:fill="auto"/>
          </w:tcPr>
          <w:p w:rsidR="00196FBC" w:rsidRPr="009072DA" w:rsidRDefault="00196FBC" w:rsidP="001E2331">
            <w:pPr>
              <w:spacing w:before="120" w:after="120" w:line="240" w:lineRule="atLeast"/>
              <w:rPr>
                <w:rFonts w:cs="Arial"/>
                <w:sz w:val="18"/>
                <w:szCs w:val="18"/>
                <w:lang w:val="bg-BG"/>
              </w:rPr>
            </w:pPr>
          </w:p>
        </w:tc>
        <w:tc>
          <w:tcPr>
            <w:tcW w:w="3296" w:type="dxa"/>
            <w:shd w:val="clear" w:color="auto" w:fill="auto"/>
          </w:tcPr>
          <w:p w:rsidR="00196FBC" w:rsidRPr="009072DA" w:rsidRDefault="00196FBC" w:rsidP="001E2331">
            <w:pPr>
              <w:spacing w:before="120" w:after="120" w:line="240" w:lineRule="atLeast"/>
              <w:rPr>
                <w:rFonts w:cs="Arial"/>
                <w:sz w:val="18"/>
                <w:szCs w:val="18"/>
                <w:lang w:val="bg-BG"/>
              </w:rPr>
            </w:pPr>
            <w:r w:rsidRPr="009072DA">
              <w:rPr>
                <w:sz w:val="18"/>
                <w:lang w:val="bg-BG"/>
              </w:rPr>
              <w:t>Оборудване за безопасност</w:t>
            </w:r>
          </w:p>
        </w:tc>
        <w:tc>
          <w:tcPr>
            <w:tcW w:w="6521" w:type="dxa"/>
            <w:shd w:val="clear" w:color="auto" w:fill="auto"/>
          </w:tcPr>
          <w:p w:rsidR="00196FBC" w:rsidRPr="009072DA" w:rsidRDefault="008761D9" w:rsidP="001E2331">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1A19C2">
            <w:pPr>
              <w:spacing w:before="120" w:after="120" w:line="240" w:lineRule="atLeast"/>
              <w:rPr>
                <w:rFonts w:cs="Arial"/>
                <w:sz w:val="18"/>
                <w:szCs w:val="18"/>
                <w:lang w:val="bg-BG"/>
              </w:rPr>
            </w:pPr>
            <w:r w:rsidRPr="009072DA">
              <w:rPr>
                <w:sz w:val="18"/>
                <w:lang w:val="bg-BG"/>
              </w:rPr>
              <w:t>1.1.2015 г.</w:t>
            </w:r>
          </w:p>
        </w:tc>
      </w:tr>
      <w:tr w:rsidR="00196FBC" w:rsidRPr="009072DA" w:rsidTr="00196FBC">
        <w:trPr>
          <w:cantSplit/>
          <w:jc w:val="center"/>
        </w:trPr>
        <w:tc>
          <w:tcPr>
            <w:tcW w:w="1342" w:type="dxa"/>
            <w:vMerge/>
            <w:shd w:val="clear" w:color="auto" w:fill="auto"/>
          </w:tcPr>
          <w:p w:rsidR="00196FBC" w:rsidRPr="009072DA" w:rsidRDefault="00196FBC" w:rsidP="009C40EF">
            <w:pPr>
              <w:spacing w:before="80" w:after="80" w:line="240" w:lineRule="atLeast"/>
              <w:rPr>
                <w:rFonts w:cs="Arial"/>
                <w:b/>
                <w:sz w:val="18"/>
                <w:szCs w:val="18"/>
                <w:lang w:val="bg-BG"/>
              </w:rPr>
            </w:pPr>
          </w:p>
        </w:tc>
        <w:tc>
          <w:tcPr>
            <w:tcW w:w="1458" w:type="dxa"/>
            <w:shd w:val="clear" w:color="auto" w:fill="auto"/>
          </w:tcPr>
          <w:p w:rsidR="00196FBC" w:rsidRPr="009072DA" w:rsidRDefault="00196FBC" w:rsidP="00BB7B04">
            <w:pPr>
              <w:spacing w:before="80" w:after="80" w:line="240" w:lineRule="atLeast"/>
              <w:rPr>
                <w:rFonts w:cs="Arial"/>
                <w:sz w:val="18"/>
                <w:szCs w:val="18"/>
                <w:lang w:val="bg-BG"/>
              </w:rPr>
            </w:pPr>
            <w:r w:rsidRPr="009072DA">
              <w:rPr>
                <w:sz w:val="18"/>
                <w:lang w:val="bg-BG"/>
              </w:rPr>
              <w:t>Точка 4</w:t>
            </w:r>
          </w:p>
        </w:tc>
        <w:tc>
          <w:tcPr>
            <w:tcW w:w="3296" w:type="dxa"/>
            <w:shd w:val="clear" w:color="auto" w:fill="auto"/>
          </w:tcPr>
          <w:p w:rsidR="00196FBC" w:rsidRPr="009072DA" w:rsidRDefault="00196FBC" w:rsidP="00BB7B04">
            <w:pPr>
              <w:spacing w:before="80" w:after="80" w:line="240" w:lineRule="atLeast"/>
              <w:rPr>
                <w:rFonts w:cs="Arial"/>
                <w:sz w:val="18"/>
                <w:szCs w:val="18"/>
                <w:lang w:val="bg-BG"/>
              </w:rPr>
            </w:pPr>
            <w:r w:rsidRPr="009072DA">
              <w:rPr>
                <w:sz w:val="18"/>
                <w:lang w:val="bg-BG"/>
              </w:rPr>
              <w:t>Газонепроницаемо отделяне на жилищните помещения от машинните отделения, котелните отделения и трюмовете</w:t>
            </w:r>
          </w:p>
        </w:tc>
        <w:tc>
          <w:tcPr>
            <w:tcW w:w="6521" w:type="dxa"/>
            <w:shd w:val="clear" w:color="auto" w:fill="auto"/>
          </w:tcPr>
          <w:p w:rsidR="00196FBC" w:rsidRPr="009072DA" w:rsidRDefault="008761D9" w:rsidP="00BB7B04">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BB7B04">
            <w:pPr>
              <w:spacing w:before="80" w:after="80" w:line="240" w:lineRule="atLeast"/>
              <w:rPr>
                <w:rFonts w:cs="Arial"/>
                <w:sz w:val="18"/>
                <w:szCs w:val="18"/>
                <w:lang w:val="bg-BG"/>
              </w:rPr>
            </w:pPr>
            <w:r w:rsidRPr="009072DA">
              <w:rPr>
                <w:sz w:val="18"/>
                <w:lang w:val="bg-BG"/>
              </w:rPr>
              <w:t>1.1.2010 г.</w:t>
            </w:r>
          </w:p>
        </w:tc>
      </w:tr>
      <w:tr w:rsidR="00196FBC" w:rsidRPr="009072DA" w:rsidTr="00196FBC">
        <w:trPr>
          <w:cantSplit/>
          <w:jc w:val="center"/>
        </w:trPr>
        <w:tc>
          <w:tcPr>
            <w:tcW w:w="1342" w:type="dxa"/>
            <w:vMerge/>
            <w:shd w:val="clear" w:color="auto" w:fill="auto"/>
          </w:tcPr>
          <w:p w:rsidR="00196FBC" w:rsidRPr="009072DA" w:rsidRDefault="00196FBC" w:rsidP="009C40EF">
            <w:pPr>
              <w:spacing w:before="80" w:after="80" w:line="240" w:lineRule="atLeast"/>
              <w:rPr>
                <w:rFonts w:cs="Arial"/>
                <w:b/>
                <w:sz w:val="18"/>
                <w:szCs w:val="18"/>
                <w:lang w:val="bg-BG"/>
              </w:rPr>
            </w:pPr>
          </w:p>
        </w:tc>
        <w:tc>
          <w:tcPr>
            <w:tcW w:w="1458" w:type="dxa"/>
            <w:shd w:val="clear" w:color="auto" w:fill="auto"/>
          </w:tcPr>
          <w:p w:rsidR="00196FBC" w:rsidRPr="009072DA" w:rsidRDefault="00196FBC" w:rsidP="00BB7B04">
            <w:pPr>
              <w:spacing w:before="80" w:after="80" w:line="240" w:lineRule="atLeast"/>
              <w:rPr>
                <w:rFonts w:cs="Arial"/>
                <w:sz w:val="18"/>
                <w:szCs w:val="18"/>
                <w:lang w:val="bg-BG"/>
              </w:rPr>
            </w:pPr>
            <w:r w:rsidRPr="009072DA">
              <w:rPr>
                <w:sz w:val="18"/>
                <w:lang w:val="bg-BG"/>
              </w:rPr>
              <w:t>Точка 5, 2</w:t>
            </w:r>
            <w:r w:rsidRPr="009072DA">
              <w:rPr>
                <w:sz w:val="18"/>
                <w:vertAlign w:val="superscript"/>
                <w:lang w:val="bg-BG"/>
              </w:rPr>
              <w:t>ра</w:t>
            </w:r>
            <w:r w:rsidRPr="009072DA">
              <w:rPr>
                <w:sz w:val="18"/>
                <w:lang w:val="bg-BG"/>
              </w:rPr>
              <w:t xml:space="preserve"> алинея</w:t>
            </w:r>
          </w:p>
        </w:tc>
        <w:tc>
          <w:tcPr>
            <w:tcW w:w="3296" w:type="dxa"/>
            <w:shd w:val="clear" w:color="auto" w:fill="auto"/>
          </w:tcPr>
          <w:p w:rsidR="00196FBC" w:rsidRPr="009072DA" w:rsidRDefault="00196FBC" w:rsidP="00BB7B04">
            <w:pPr>
              <w:tabs>
                <w:tab w:val="left" w:pos="1260"/>
              </w:tabs>
              <w:spacing w:before="80" w:after="80" w:line="240" w:lineRule="atLeast"/>
              <w:rPr>
                <w:rFonts w:cs="Arial"/>
                <w:sz w:val="18"/>
                <w:szCs w:val="18"/>
                <w:lang w:val="bg-BG"/>
              </w:rPr>
            </w:pPr>
            <w:r w:rsidRPr="009072DA">
              <w:rPr>
                <w:sz w:val="18"/>
                <w:lang w:val="bg-BG"/>
              </w:rPr>
              <w:t>Следене на вратите в ахтерпиковата преграда</w:t>
            </w:r>
          </w:p>
        </w:tc>
        <w:tc>
          <w:tcPr>
            <w:tcW w:w="6521" w:type="dxa"/>
            <w:shd w:val="clear" w:color="auto" w:fill="auto"/>
          </w:tcPr>
          <w:p w:rsidR="00196FBC" w:rsidRPr="009072DA" w:rsidRDefault="008761D9" w:rsidP="00BB7B04">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BB7B04">
            <w:pPr>
              <w:spacing w:before="80" w:after="80" w:line="240" w:lineRule="atLeast"/>
              <w:rPr>
                <w:rFonts w:cs="Arial"/>
                <w:sz w:val="18"/>
                <w:szCs w:val="18"/>
                <w:lang w:val="bg-BG"/>
              </w:rPr>
            </w:pPr>
            <w:r w:rsidRPr="009072DA">
              <w:rPr>
                <w:sz w:val="18"/>
                <w:lang w:val="bg-BG"/>
              </w:rPr>
              <w:t>1.1.2010 г.</w:t>
            </w:r>
          </w:p>
        </w:tc>
      </w:tr>
      <w:tr w:rsidR="00196FBC" w:rsidRPr="009072DA" w:rsidTr="00196FBC">
        <w:trPr>
          <w:cantSplit/>
          <w:jc w:val="center"/>
        </w:trPr>
        <w:tc>
          <w:tcPr>
            <w:tcW w:w="1342" w:type="dxa"/>
            <w:vMerge/>
            <w:shd w:val="clear" w:color="auto" w:fill="auto"/>
          </w:tcPr>
          <w:p w:rsidR="00196FBC" w:rsidRPr="009072DA" w:rsidRDefault="00196FBC" w:rsidP="009C40EF">
            <w:pPr>
              <w:spacing w:before="80" w:after="80" w:line="240" w:lineRule="atLeast"/>
              <w:rPr>
                <w:rFonts w:cs="Arial"/>
                <w:b/>
                <w:sz w:val="18"/>
                <w:szCs w:val="18"/>
                <w:lang w:val="bg-BG"/>
              </w:rPr>
            </w:pPr>
          </w:p>
        </w:tc>
        <w:tc>
          <w:tcPr>
            <w:tcW w:w="1458" w:type="dxa"/>
            <w:shd w:val="clear" w:color="auto" w:fill="auto"/>
          </w:tcPr>
          <w:p w:rsidR="00196FBC" w:rsidRPr="009072DA" w:rsidRDefault="00196FBC" w:rsidP="00BB7B04">
            <w:pPr>
              <w:spacing w:before="80" w:after="80" w:line="240" w:lineRule="atLeast"/>
              <w:rPr>
                <w:rFonts w:cs="Arial"/>
                <w:sz w:val="18"/>
                <w:szCs w:val="18"/>
                <w:lang w:val="bg-BG"/>
              </w:rPr>
            </w:pPr>
            <w:r w:rsidRPr="009072DA">
              <w:rPr>
                <w:sz w:val="18"/>
                <w:lang w:val="bg-BG"/>
              </w:rPr>
              <w:t>Точка 7</w:t>
            </w:r>
          </w:p>
        </w:tc>
        <w:tc>
          <w:tcPr>
            <w:tcW w:w="3296" w:type="dxa"/>
            <w:shd w:val="clear" w:color="auto" w:fill="auto"/>
          </w:tcPr>
          <w:p w:rsidR="00196FBC" w:rsidRPr="009072DA" w:rsidRDefault="00196FBC" w:rsidP="00CE1CF7">
            <w:pPr>
              <w:spacing w:before="80" w:after="80" w:line="240" w:lineRule="atLeast"/>
              <w:rPr>
                <w:rFonts w:cs="Arial"/>
                <w:sz w:val="18"/>
                <w:szCs w:val="18"/>
                <w:lang w:val="bg-BG"/>
              </w:rPr>
            </w:pPr>
            <w:r w:rsidRPr="009072DA">
              <w:rPr>
                <w:sz w:val="18"/>
                <w:lang w:val="bg-BG"/>
              </w:rPr>
              <w:t>Котви, които не стърчат в носовите части на плавателните съдове</w:t>
            </w:r>
          </w:p>
        </w:tc>
        <w:tc>
          <w:tcPr>
            <w:tcW w:w="6521" w:type="dxa"/>
            <w:shd w:val="clear" w:color="auto" w:fill="auto"/>
          </w:tcPr>
          <w:p w:rsidR="00196FBC" w:rsidRPr="009072DA" w:rsidRDefault="008761D9" w:rsidP="00BB7B04">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BB7B04">
            <w:pPr>
              <w:spacing w:before="80" w:after="80" w:line="240" w:lineRule="atLeast"/>
              <w:rPr>
                <w:rFonts w:cs="Arial"/>
                <w:sz w:val="18"/>
                <w:szCs w:val="18"/>
                <w:lang w:val="bg-BG"/>
              </w:rPr>
            </w:pPr>
            <w:r w:rsidRPr="009072DA">
              <w:rPr>
                <w:sz w:val="18"/>
                <w:lang w:val="bg-BG"/>
              </w:rPr>
              <w:t>1.1.2041 г.</w:t>
            </w:r>
          </w:p>
        </w:tc>
      </w:tr>
      <w:tr w:rsidR="00196FBC" w:rsidRPr="009072DA" w:rsidTr="00196FBC">
        <w:trPr>
          <w:cantSplit/>
          <w:jc w:val="center"/>
        </w:trPr>
        <w:tc>
          <w:tcPr>
            <w:tcW w:w="1342" w:type="dxa"/>
            <w:shd w:val="clear" w:color="auto" w:fill="auto"/>
          </w:tcPr>
          <w:p w:rsidR="00196FBC" w:rsidRPr="009072DA" w:rsidRDefault="00196FBC" w:rsidP="009C40EF">
            <w:pPr>
              <w:spacing w:before="80" w:after="80" w:line="240" w:lineRule="atLeast"/>
              <w:rPr>
                <w:rFonts w:cs="Arial"/>
                <w:sz w:val="18"/>
                <w:szCs w:val="18"/>
                <w:lang w:val="bg-BG"/>
              </w:rPr>
            </w:pPr>
            <w:r w:rsidRPr="009072DA">
              <w:rPr>
                <w:sz w:val="18"/>
                <w:lang w:val="bg-BG"/>
              </w:rPr>
              <w:t>3.04</w:t>
            </w:r>
          </w:p>
        </w:tc>
        <w:tc>
          <w:tcPr>
            <w:tcW w:w="1458" w:type="dxa"/>
            <w:shd w:val="clear" w:color="auto" w:fill="auto"/>
          </w:tcPr>
          <w:p w:rsidR="00196FBC" w:rsidRPr="009072DA" w:rsidRDefault="00196FBC" w:rsidP="00BB7B04">
            <w:pPr>
              <w:spacing w:before="80" w:after="80" w:line="240" w:lineRule="atLeast"/>
              <w:rPr>
                <w:rFonts w:cs="Arial"/>
                <w:sz w:val="18"/>
                <w:szCs w:val="18"/>
                <w:lang w:val="bg-BG"/>
              </w:rPr>
            </w:pPr>
            <w:r w:rsidRPr="009072DA">
              <w:rPr>
                <w:sz w:val="18"/>
                <w:lang w:val="bg-BG"/>
              </w:rPr>
              <w:t>Точка 6</w:t>
            </w:r>
          </w:p>
        </w:tc>
        <w:tc>
          <w:tcPr>
            <w:tcW w:w="3296" w:type="dxa"/>
            <w:shd w:val="clear" w:color="auto" w:fill="auto"/>
          </w:tcPr>
          <w:p w:rsidR="00196FBC" w:rsidRPr="009072DA" w:rsidRDefault="00196FBC" w:rsidP="00BB7B04">
            <w:pPr>
              <w:spacing w:before="80" w:after="80" w:line="240" w:lineRule="atLeast"/>
              <w:rPr>
                <w:rFonts w:cs="Arial"/>
                <w:sz w:val="18"/>
                <w:szCs w:val="18"/>
                <w:lang w:val="bg-BG"/>
              </w:rPr>
            </w:pPr>
            <w:r w:rsidRPr="009072DA">
              <w:rPr>
                <w:sz w:val="18"/>
                <w:lang w:val="bg-BG"/>
              </w:rPr>
              <w:t>Изходи от машинните отделения</w:t>
            </w:r>
          </w:p>
        </w:tc>
        <w:tc>
          <w:tcPr>
            <w:tcW w:w="6521" w:type="dxa"/>
            <w:shd w:val="clear" w:color="auto" w:fill="auto"/>
          </w:tcPr>
          <w:p w:rsidR="00196FBC" w:rsidRPr="009072DA" w:rsidRDefault="00196FBC" w:rsidP="00BB7B04">
            <w:pPr>
              <w:spacing w:before="80" w:after="80" w:line="240" w:lineRule="atLeast"/>
              <w:rPr>
                <w:rFonts w:cs="Arial"/>
                <w:sz w:val="18"/>
                <w:szCs w:val="18"/>
                <w:lang w:val="bg-BG"/>
              </w:rPr>
            </w:pPr>
            <w:r w:rsidRPr="009072DA">
              <w:rPr>
                <w:sz w:val="18"/>
                <w:lang w:val="bg-BG"/>
              </w:rPr>
              <w:t>Машинните отделения, които не са считани за такива съгласно член 1.01 преди 1995 г., трябва да бъдат оборудвани с втори изход при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BB7B04">
            <w:pPr>
              <w:spacing w:before="80" w:after="80" w:line="240" w:lineRule="atLeast"/>
              <w:rPr>
                <w:rFonts w:cs="Arial"/>
                <w:sz w:val="18"/>
                <w:szCs w:val="18"/>
                <w:lang w:val="bg-BG"/>
              </w:rPr>
            </w:pPr>
            <w:r w:rsidRPr="009072DA">
              <w:rPr>
                <w:sz w:val="18"/>
                <w:lang w:val="bg-BG"/>
              </w:rPr>
              <w:t>1.1.2035 г.</w:t>
            </w:r>
          </w:p>
        </w:tc>
      </w:tr>
      <w:tr w:rsidR="00196FBC" w:rsidRPr="009072DA" w:rsidTr="00196FBC">
        <w:trPr>
          <w:cantSplit/>
          <w:jc w:val="center"/>
        </w:trPr>
        <w:tc>
          <w:tcPr>
            <w:tcW w:w="6096" w:type="dxa"/>
            <w:gridSpan w:val="3"/>
            <w:shd w:val="clear" w:color="auto" w:fill="auto"/>
          </w:tcPr>
          <w:p w:rsidR="00196FBC" w:rsidRPr="009072DA" w:rsidRDefault="00196FBC" w:rsidP="00740370">
            <w:pPr>
              <w:spacing w:before="140" w:after="140" w:line="240" w:lineRule="atLeast"/>
              <w:jc w:val="center"/>
              <w:rPr>
                <w:rFonts w:cs="Arial"/>
                <w:sz w:val="18"/>
                <w:szCs w:val="18"/>
                <w:lang w:val="bg-BG"/>
              </w:rPr>
            </w:pPr>
            <w:r w:rsidRPr="009072DA">
              <w:rPr>
                <w:b/>
                <w:sz w:val="18"/>
                <w:lang w:val="bg-BG"/>
              </w:rPr>
              <w:lastRenderedPageBreak/>
              <w:t>ГЛАВА 5</w:t>
            </w:r>
          </w:p>
        </w:tc>
        <w:tc>
          <w:tcPr>
            <w:tcW w:w="6521" w:type="dxa"/>
            <w:shd w:val="clear" w:color="auto" w:fill="auto"/>
          </w:tcPr>
          <w:p w:rsidR="00196FBC" w:rsidRPr="009072DA" w:rsidRDefault="00196FBC" w:rsidP="00740370">
            <w:pPr>
              <w:spacing w:before="140" w:after="140" w:line="240" w:lineRule="atLeast"/>
              <w:jc w:val="center"/>
              <w:rPr>
                <w:rFonts w:cs="Arial"/>
                <w:b/>
                <w:sz w:val="18"/>
                <w:szCs w:val="18"/>
                <w:lang w:val="bg-BG"/>
              </w:rPr>
            </w:pPr>
          </w:p>
        </w:tc>
        <w:tc>
          <w:tcPr>
            <w:tcW w:w="1276" w:type="dxa"/>
            <w:shd w:val="clear" w:color="auto" w:fill="auto"/>
          </w:tcPr>
          <w:p w:rsidR="00196FBC" w:rsidRPr="009072DA" w:rsidRDefault="00196FBC" w:rsidP="00740370">
            <w:pPr>
              <w:spacing w:before="140" w:after="140" w:line="240" w:lineRule="atLeast"/>
              <w:jc w:val="center"/>
              <w:rPr>
                <w:rFonts w:cs="Arial"/>
                <w:sz w:val="18"/>
                <w:szCs w:val="18"/>
                <w:lang w:val="bg-BG"/>
              </w:rPr>
            </w:pPr>
          </w:p>
        </w:tc>
      </w:tr>
      <w:tr w:rsidR="00196FBC" w:rsidRPr="009072DA" w:rsidTr="00A5358D">
        <w:trPr>
          <w:cantSplit/>
          <w:trHeight w:val="832"/>
          <w:jc w:val="center"/>
        </w:trPr>
        <w:tc>
          <w:tcPr>
            <w:tcW w:w="1342" w:type="dxa"/>
            <w:shd w:val="clear" w:color="auto" w:fill="auto"/>
          </w:tcPr>
          <w:p w:rsidR="00196FBC" w:rsidRPr="009072DA" w:rsidRDefault="00196FBC" w:rsidP="009C40EF">
            <w:pPr>
              <w:spacing w:before="120" w:after="120" w:line="240" w:lineRule="atLeast"/>
              <w:rPr>
                <w:rFonts w:cs="Arial"/>
                <w:sz w:val="18"/>
                <w:szCs w:val="18"/>
                <w:lang w:val="bg-BG"/>
              </w:rPr>
            </w:pPr>
            <w:r w:rsidRPr="009072DA">
              <w:rPr>
                <w:sz w:val="18"/>
                <w:lang w:val="bg-BG"/>
              </w:rPr>
              <w:t>5.06</w:t>
            </w:r>
          </w:p>
        </w:tc>
        <w:tc>
          <w:tcPr>
            <w:tcW w:w="1458"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Точка 1, 1-во изречение</w:t>
            </w:r>
          </w:p>
        </w:tc>
        <w:tc>
          <w:tcPr>
            <w:tcW w:w="3296"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Минимална скорост</w:t>
            </w:r>
          </w:p>
        </w:tc>
        <w:tc>
          <w:tcPr>
            <w:tcW w:w="6521" w:type="dxa"/>
            <w:shd w:val="clear" w:color="auto" w:fill="auto"/>
          </w:tcPr>
          <w:p w:rsidR="00196FBC" w:rsidRPr="009072DA" w:rsidRDefault="008761D9" w:rsidP="0074037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1.1.2035 г.</w:t>
            </w:r>
          </w:p>
        </w:tc>
      </w:tr>
      <w:tr w:rsidR="00196FBC" w:rsidRPr="009072DA" w:rsidTr="00196FBC">
        <w:trPr>
          <w:cantSplit/>
          <w:jc w:val="center"/>
        </w:trPr>
        <w:tc>
          <w:tcPr>
            <w:tcW w:w="6096" w:type="dxa"/>
            <w:gridSpan w:val="3"/>
            <w:shd w:val="clear" w:color="auto" w:fill="auto"/>
          </w:tcPr>
          <w:p w:rsidR="00196FBC" w:rsidRPr="009072DA" w:rsidRDefault="00196FBC" w:rsidP="00BB7B04">
            <w:pPr>
              <w:spacing w:before="80" w:after="80" w:line="240" w:lineRule="atLeast"/>
              <w:jc w:val="center"/>
              <w:rPr>
                <w:rFonts w:cs="Arial"/>
                <w:sz w:val="18"/>
                <w:szCs w:val="18"/>
                <w:lang w:val="bg-BG"/>
              </w:rPr>
            </w:pPr>
            <w:r w:rsidRPr="009072DA">
              <w:rPr>
                <w:b/>
                <w:sz w:val="18"/>
                <w:lang w:val="bg-BG"/>
              </w:rPr>
              <w:t>ГЛАВА 6</w:t>
            </w:r>
          </w:p>
        </w:tc>
        <w:tc>
          <w:tcPr>
            <w:tcW w:w="6521" w:type="dxa"/>
            <w:shd w:val="clear" w:color="auto" w:fill="auto"/>
          </w:tcPr>
          <w:p w:rsidR="00196FBC" w:rsidRPr="009072DA" w:rsidRDefault="00196FBC" w:rsidP="00BB7B04">
            <w:pPr>
              <w:spacing w:before="80" w:after="80" w:line="240" w:lineRule="atLeast"/>
              <w:jc w:val="center"/>
              <w:rPr>
                <w:rFonts w:cs="Arial"/>
                <w:sz w:val="18"/>
                <w:szCs w:val="18"/>
                <w:lang w:val="bg-BG"/>
              </w:rPr>
            </w:pPr>
          </w:p>
        </w:tc>
        <w:tc>
          <w:tcPr>
            <w:tcW w:w="1276" w:type="dxa"/>
            <w:shd w:val="clear" w:color="auto" w:fill="auto"/>
          </w:tcPr>
          <w:p w:rsidR="00196FBC" w:rsidRPr="009072DA" w:rsidRDefault="00196FBC" w:rsidP="00BB7B04">
            <w:pPr>
              <w:spacing w:before="80" w:after="80" w:line="240" w:lineRule="atLeast"/>
              <w:jc w:val="center"/>
              <w:rPr>
                <w:rFonts w:cs="Arial"/>
                <w:sz w:val="18"/>
                <w:szCs w:val="18"/>
                <w:lang w:val="bg-BG"/>
              </w:rPr>
            </w:pPr>
          </w:p>
        </w:tc>
      </w:tr>
      <w:tr w:rsidR="00196FBC" w:rsidRPr="009072DA" w:rsidTr="00196FBC">
        <w:trPr>
          <w:cantSplit/>
          <w:jc w:val="center"/>
        </w:trPr>
        <w:tc>
          <w:tcPr>
            <w:tcW w:w="1342" w:type="dxa"/>
            <w:vMerge w:val="restart"/>
            <w:shd w:val="clear" w:color="auto" w:fill="auto"/>
          </w:tcPr>
          <w:p w:rsidR="00196FBC" w:rsidRPr="009072DA" w:rsidRDefault="00196FBC" w:rsidP="009C40EF">
            <w:pPr>
              <w:spacing w:before="140" w:after="140" w:line="240" w:lineRule="atLeast"/>
              <w:rPr>
                <w:rFonts w:cs="Arial"/>
                <w:sz w:val="18"/>
                <w:szCs w:val="18"/>
                <w:lang w:val="bg-BG"/>
              </w:rPr>
            </w:pPr>
            <w:r w:rsidRPr="009072DA">
              <w:rPr>
                <w:sz w:val="18"/>
                <w:lang w:val="bg-BG"/>
              </w:rPr>
              <w:t>6.01</w:t>
            </w:r>
          </w:p>
        </w:tc>
        <w:tc>
          <w:tcPr>
            <w:tcW w:w="1458" w:type="dxa"/>
            <w:shd w:val="clear" w:color="auto" w:fill="auto"/>
          </w:tcPr>
          <w:p w:rsidR="00196FBC" w:rsidRPr="009072DA" w:rsidRDefault="00196FBC" w:rsidP="00BB7B04">
            <w:pPr>
              <w:spacing w:before="140" w:after="140" w:line="240" w:lineRule="atLeast"/>
              <w:rPr>
                <w:rFonts w:cs="Arial"/>
                <w:sz w:val="18"/>
                <w:szCs w:val="18"/>
                <w:lang w:val="bg-BG"/>
              </w:rPr>
            </w:pPr>
            <w:r w:rsidRPr="009072DA">
              <w:rPr>
                <w:sz w:val="18"/>
                <w:lang w:val="bg-BG"/>
              </w:rPr>
              <w:t>Точка 1</w:t>
            </w:r>
          </w:p>
        </w:tc>
        <w:tc>
          <w:tcPr>
            <w:tcW w:w="3296" w:type="dxa"/>
            <w:shd w:val="clear" w:color="auto" w:fill="auto"/>
          </w:tcPr>
          <w:p w:rsidR="00196FBC" w:rsidRPr="009072DA" w:rsidRDefault="00196FBC" w:rsidP="00BB7B04">
            <w:pPr>
              <w:spacing w:before="140" w:after="140"/>
              <w:rPr>
                <w:rFonts w:cs="Arial"/>
                <w:sz w:val="18"/>
                <w:szCs w:val="18"/>
                <w:lang w:val="bg-BG"/>
              </w:rPr>
            </w:pPr>
            <w:r w:rsidRPr="009072DA">
              <w:rPr>
                <w:sz w:val="18"/>
                <w:lang w:val="bg-BG"/>
              </w:rPr>
              <w:t>Маневреност, изисквана съгласно глава 5</w:t>
            </w:r>
          </w:p>
        </w:tc>
        <w:tc>
          <w:tcPr>
            <w:tcW w:w="6521" w:type="dxa"/>
            <w:shd w:val="clear" w:color="auto" w:fill="auto"/>
          </w:tcPr>
          <w:p w:rsidR="00196FBC" w:rsidRPr="009072DA" w:rsidRDefault="008761D9" w:rsidP="00BB7B04">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BB7B04">
            <w:pPr>
              <w:spacing w:before="140" w:after="140" w:line="240" w:lineRule="atLeast"/>
              <w:rPr>
                <w:rFonts w:cs="Arial"/>
                <w:sz w:val="18"/>
                <w:szCs w:val="18"/>
                <w:lang w:val="bg-BG"/>
              </w:rPr>
            </w:pPr>
            <w:r w:rsidRPr="009072DA">
              <w:rPr>
                <w:sz w:val="18"/>
                <w:lang w:val="bg-BG"/>
              </w:rPr>
              <w:t>1.1.2035 г.</w:t>
            </w:r>
          </w:p>
        </w:tc>
      </w:tr>
      <w:tr w:rsidR="00196FBC" w:rsidRPr="009072DA" w:rsidTr="00196FBC">
        <w:trPr>
          <w:cantSplit/>
          <w:jc w:val="center"/>
        </w:trPr>
        <w:tc>
          <w:tcPr>
            <w:tcW w:w="1342" w:type="dxa"/>
            <w:vMerge/>
            <w:shd w:val="clear" w:color="auto" w:fill="auto"/>
          </w:tcPr>
          <w:p w:rsidR="00196FBC" w:rsidRPr="009072DA" w:rsidRDefault="00196FBC" w:rsidP="009C40EF">
            <w:pPr>
              <w:spacing w:before="140" w:after="140" w:line="240" w:lineRule="atLeast"/>
              <w:rPr>
                <w:rFonts w:cs="Arial"/>
                <w:sz w:val="18"/>
                <w:szCs w:val="18"/>
                <w:lang w:val="bg-BG"/>
              </w:rPr>
            </w:pPr>
          </w:p>
        </w:tc>
        <w:tc>
          <w:tcPr>
            <w:tcW w:w="1458" w:type="dxa"/>
            <w:shd w:val="clear" w:color="auto" w:fill="auto"/>
          </w:tcPr>
          <w:p w:rsidR="00196FBC" w:rsidRPr="009072DA" w:rsidRDefault="00196FBC" w:rsidP="00BB7B04">
            <w:pPr>
              <w:spacing w:before="140" w:after="140" w:line="240" w:lineRule="atLeast"/>
              <w:rPr>
                <w:rFonts w:cs="Arial"/>
                <w:sz w:val="18"/>
                <w:szCs w:val="18"/>
                <w:lang w:val="bg-BG"/>
              </w:rPr>
            </w:pPr>
            <w:r w:rsidRPr="009072DA">
              <w:rPr>
                <w:sz w:val="18"/>
                <w:lang w:val="bg-BG"/>
              </w:rPr>
              <w:t>Точка 3</w:t>
            </w:r>
          </w:p>
        </w:tc>
        <w:tc>
          <w:tcPr>
            <w:tcW w:w="3296" w:type="dxa"/>
            <w:shd w:val="clear" w:color="auto" w:fill="auto"/>
          </w:tcPr>
          <w:p w:rsidR="00196FBC" w:rsidRPr="009072DA" w:rsidRDefault="00196FBC" w:rsidP="00BB7B04">
            <w:pPr>
              <w:spacing w:before="140" w:after="140"/>
              <w:rPr>
                <w:rFonts w:cs="Arial"/>
                <w:sz w:val="18"/>
                <w:szCs w:val="18"/>
                <w:lang w:val="bg-BG"/>
              </w:rPr>
            </w:pPr>
            <w:r w:rsidRPr="009072DA">
              <w:rPr>
                <w:sz w:val="18"/>
                <w:lang w:val="bg-BG"/>
              </w:rPr>
              <w:t>Постоянен крен и околни температури</w:t>
            </w:r>
          </w:p>
        </w:tc>
        <w:tc>
          <w:tcPr>
            <w:tcW w:w="6521" w:type="dxa"/>
            <w:shd w:val="clear" w:color="auto" w:fill="auto"/>
          </w:tcPr>
          <w:p w:rsidR="00196FBC" w:rsidRPr="009072DA" w:rsidRDefault="008761D9" w:rsidP="00BB7B04">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BB7B04">
            <w:pPr>
              <w:spacing w:before="140" w:after="140" w:line="240" w:lineRule="atLeast"/>
              <w:rPr>
                <w:rFonts w:cs="Arial"/>
                <w:sz w:val="18"/>
                <w:szCs w:val="18"/>
                <w:lang w:val="bg-BG"/>
              </w:rPr>
            </w:pPr>
            <w:r w:rsidRPr="009072DA">
              <w:rPr>
                <w:sz w:val="18"/>
                <w:lang w:val="bg-BG"/>
              </w:rPr>
              <w:t>1.1.2010 г.</w:t>
            </w:r>
          </w:p>
        </w:tc>
      </w:tr>
      <w:tr w:rsidR="00196FBC" w:rsidRPr="009072DA" w:rsidTr="00196FBC">
        <w:trPr>
          <w:cantSplit/>
          <w:jc w:val="center"/>
        </w:trPr>
        <w:tc>
          <w:tcPr>
            <w:tcW w:w="1342" w:type="dxa"/>
            <w:vMerge/>
            <w:shd w:val="clear" w:color="auto" w:fill="auto"/>
          </w:tcPr>
          <w:p w:rsidR="00196FBC" w:rsidRPr="009072DA" w:rsidRDefault="00196FBC" w:rsidP="009C40EF">
            <w:pPr>
              <w:spacing w:before="140" w:after="140" w:line="240" w:lineRule="atLeast"/>
              <w:rPr>
                <w:rFonts w:cs="Arial"/>
                <w:sz w:val="18"/>
                <w:szCs w:val="18"/>
                <w:lang w:val="bg-BG"/>
              </w:rPr>
            </w:pPr>
          </w:p>
        </w:tc>
        <w:tc>
          <w:tcPr>
            <w:tcW w:w="1458" w:type="dxa"/>
            <w:shd w:val="clear" w:color="auto" w:fill="auto"/>
          </w:tcPr>
          <w:p w:rsidR="00196FBC" w:rsidRPr="009072DA" w:rsidRDefault="00196FBC" w:rsidP="00BB7B04">
            <w:pPr>
              <w:spacing w:before="140" w:after="140" w:line="240" w:lineRule="atLeast"/>
              <w:rPr>
                <w:rFonts w:cs="Arial"/>
                <w:sz w:val="18"/>
                <w:szCs w:val="18"/>
                <w:lang w:val="bg-BG"/>
              </w:rPr>
            </w:pPr>
            <w:r w:rsidRPr="009072DA">
              <w:rPr>
                <w:sz w:val="18"/>
                <w:lang w:val="bg-BG"/>
              </w:rPr>
              <w:t>Точка 7</w:t>
            </w:r>
          </w:p>
        </w:tc>
        <w:tc>
          <w:tcPr>
            <w:tcW w:w="3296" w:type="dxa"/>
            <w:shd w:val="clear" w:color="auto" w:fill="auto"/>
          </w:tcPr>
          <w:p w:rsidR="00196FBC" w:rsidRPr="009072DA" w:rsidRDefault="00196FBC" w:rsidP="00BB7B04">
            <w:pPr>
              <w:spacing w:before="140" w:after="140"/>
              <w:rPr>
                <w:rFonts w:cs="Arial"/>
                <w:sz w:val="18"/>
                <w:szCs w:val="18"/>
                <w:lang w:val="bg-BG"/>
              </w:rPr>
            </w:pPr>
            <w:r w:rsidRPr="009072DA">
              <w:rPr>
                <w:sz w:val="18"/>
                <w:lang w:val="bg-BG"/>
              </w:rPr>
              <w:t>Конструкция на балерите на руля</w:t>
            </w:r>
          </w:p>
        </w:tc>
        <w:tc>
          <w:tcPr>
            <w:tcW w:w="6521" w:type="dxa"/>
            <w:shd w:val="clear" w:color="auto" w:fill="auto"/>
          </w:tcPr>
          <w:p w:rsidR="00196FBC" w:rsidRPr="009072DA" w:rsidRDefault="008761D9" w:rsidP="00BB7B04">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BB7B04">
            <w:pPr>
              <w:spacing w:before="140" w:after="140" w:line="240" w:lineRule="atLeast"/>
              <w:rPr>
                <w:rFonts w:cs="Arial"/>
                <w:sz w:val="18"/>
                <w:szCs w:val="18"/>
                <w:lang w:val="bg-BG"/>
              </w:rPr>
            </w:pPr>
            <w:r w:rsidRPr="009072DA">
              <w:rPr>
                <w:sz w:val="18"/>
                <w:lang w:val="bg-BG"/>
              </w:rPr>
              <w:t>1.1.2015 г.</w:t>
            </w:r>
          </w:p>
        </w:tc>
      </w:tr>
      <w:tr w:rsidR="00196FBC" w:rsidRPr="009072DA" w:rsidTr="00196FBC">
        <w:trPr>
          <w:cantSplit/>
          <w:jc w:val="center"/>
        </w:trPr>
        <w:tc>
          <w:tcPr>
            <w:tcW w:w="1342" w:type="dxa"/>
            <w:vMerge w:val="restart"/>
            <w:shd w:val="clear" w:color="auto" w:fill="auto"/>
          </w:tcPr>
          <w:p w:rsidR="00196FBC" w:rsidRPr="009072DA" w:rsidRDefault="00196FBC" w:rsidP="009C40EF">
            <w:pPr>
              <w:spacing w:before="120" w:after="120" w:line="240" w:lineRule="atLeast"/>
              <w:rPr>
                <w:rFonts w:cs="Arial"/>
                <w:sz w:val="18"/>
                <w:szCs w:val="18"/>
                <w:lang w:val="bg-BG"/>
              </w:rPr>
            </w:pPr>
            <w:r w:rsidRPr="009072DA">
              <w:rPr>
                <w:sz w:val="18"/>
                <w:lang w:val="bg-BG"/>
              </w:rPr>
              <w:t>6.02</w:t>
            </w:r>
          </w:p>
        </w:tc>
        <w:tc>
          <w:tcPr>
            <w:tcW w:w="1458" w:type="dxa"/>
            <w:vMerge w:val="restart"/>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Точка 1</w:t>
            </w:r>
          </w:p>
        </w:tc>
        <w:tc>
          <w:tcPr>
            <w:tcW w:w="3296" w:type="dxa"/>
            <w:shd w:val="clear" w:color="auto" w:fill="auto"/>
          </w:tcPr>
          <w:p w:rsidR="00196FBC" w:rsidRPr="009072DA" w:rsidRDefault="00196FBC" w:rsidP="00740370">
            <w:pPr>
              <w:spacing w:before="120" w:after="120"/>
              <w:rPr>
                <w:rFonts w:cs="Arial"/>
                <w:sz w:val="18"/>
                <w:szCs w:val="18"/>
                <w:lang w:val="bg-BG"/>
              </w:rPr>
            </w:pPr>
            <w:r w:rsidRPr="009072DA">
              <w:rPr>
                <w:sz w:val="18"/>
                <w:lang w:val="bg-BG"/>
              </w:rPr>
              <w:t xml:space="preserve">Наличие на отделни хидравлични резервоари </w:t>
            </w:r>
          </w:p>
        </w:tc>
        <w:tc>
          <w:tcPr>
            <w:tcW w:w="6521" w:type="dxa"/>
            <w:shd w:val="clear" w:color="auto" w:fill="auto"/>
          </w:tcPr>
          <w:p w:rsidR="00196FBC" w:rsidRPr="009072DA" w:rsidRDefault="008761D9" w:rsidP="0074037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1.1.2010 г.</w:t>
            </w:r>
          </w:p>
        </w:tc>
      </w:tr>
      <w:tr w:rsidR="00196FBC" w:rsidRPr="009072DA" w:rsidTr="00196FBC">
        <w:trPr>
          <w:cantSplit/>
          <w:jc w:val="center"/>
        </w:trPr>
        <w:tc>
          <w:tcPr>
            <w:tcW w:w="1342" w:type="dxa"/>
            <w:vMerge/>
            <w:shd w:val="clear" w:color="auto" w:fill="auto"/>
          </w:tcPr>
          <w:p w:rsidR="00196FBC" w:rsidRPr="009072DA" w:rsidRDefault="00196FBC" w:rsidP="009C40EF">
            <w:pPr>
              <w:spacing w:before="120" w:after="120" w:line="240" w:lineRule="atLeast"/>
              <w:rPr>
                <w:rFonts w:cs="Arial"/>
                <w:sz w:val="18"/>
                <w:szCs w:val="18"/>
                <w:lang w:val="bg-BG"/>
              </w:rPr>
            </w:pPr>
          </w:p>
        </w:tc>
        <w:tc>
          <w:tcPr>
            <w:tcW w:w="1458" w:type="dxa"/>
            <w:vMerge/>
            <w:shd w:val="clear" w:color="auto" w:fill="auto"/>
          </w:tcPr>
          <w:p w:rsidR="00196FBC" w:rsidRPr="009072DA" w:rsidRDefault="00196FBC" w:rsidP="00740370">
            <w:pPr>
              <w:spacing w:before="120" w:after="120" w:line="240" w:lineRule="atLeast"/>
              <w:rPr>
                <w:rFonts w:cs="Arial"/>
                <w:sz w:val="18"/>
                <w:szCs w:val="18"/>
                <w:lang w:val="bg-BG"/>
              </w:rPr>
            </w:pPr>
          </w:p>
        </w:tc>
        <w:tc>
          <w:tcPr>
            <w:tcW w:w="3296"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Дублирани регулиращи клапани при хидравлични задвижващи звена</w:t>
            </w:r>
          </w:p>
        </w:tc>
        <w:tc>
          <w:tcPr>
            <w:tcW w:w="6521" w:type="dxa"/>
            <w:shd w:val="clear" w:color="auto" w:fill="auto"/>
          </w:tcPr>
          <w:p w:rsidR="00196FBC" w:rsidRPr="009072DA" w:rsidRDefault="008761D9" w:rsidP="0074037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1.1.2020 г.</w:t>
            </w:r>
          </w:p>
        </w:tc>
      </w:tr>
      <w:tr w:rsidR="00196FBC" w:rsidRPr="009072DA" w:rsidTr="00196FBC">
        <w:trPr>
          <w:cantSplit/>
          <w:jc w:val="center"/>
        </w:trPr>
        <w:tc>
          <w:tcPr>
            <w:tcW w:w="1342" w:type="dxa"/>
            <w:vMerge/>
            <w:shd w:val="clear" w:color="auto" w:fill="auto"/>
          </w:tcPr>
          <w:p w:rsidR="00196FBC" w:rsidRPr="009072DA" w:rsidRDefault="00196FBC" w:rsidP="009C40EF">
            <w:pPr>
              <w:spacing w:before="120" w:after="120" w:line="240" w:lineRule="atLeast"/>
              <w:rPr>
                <w:rFonts w:cs="Arial"/>
                <w:sz w:val="18"/>
                <w:szCs w:val="18"/>
                <w:lang w:val="bg-BG"/>
              </w:rPr>
            </w:pPr>
          </w:p>
        </w:tc>
        <w:tc>
          <w:tcPr>
            <w:tcW w:w="1458" w:type="dxa"/>
            <w:vMerge/>
            <w:shd w:val="clear" w:color="auto" w:fill="auto"/>
          </w:tcPr>
          <w:p w:rsidR="00196FBC" w:rsidRPr="009072DA" w:rsidRDefault="00196FBC" w:rsidP="00740370">
            <w:pPr>
              <w:spacing w:before="120" w:after="120" w:line="240" w:lineRule="atLeast"/>
              <w:rPr>
                <w:rFonts w:cs="Arial"/>
                <w:sz w:val="18"/>
                <w:szCs w:val="18"/>
                <w:lang w:val="bg-BG"/>
              </w:rPr>
            </w:pPr>
          </w:p>
        </w:tc>
        <w:tc>
          <w:tcPr>
            <w:tcW w:w="3296" w:type="dxa"/>
            <w:shd w:val="clear" w:color="auto" w:fill="auto"/>
          </w:tcPr>
          <w:p w:rsidR="00196FBC" w:rsidRPr="009072DA" w:rsidRDefault="00196FBC" w:rsidP="00740370">
            <w:pPr>
              <w:tabs>
                <w:tab w:val="left" w:pos="1125"/>
              </w:tabs>
              <w:spacing w:before="120" w:after="120" w:line="240" w:lineRule="atLeast"/>
              <w:rPr>
                <w:rFonts w:cs="Arial"/>
                <w:sz w:val="18"/>
                <w:szCs w:val="18"/>
                <w:lang w:val="bg-BG"/>
              </w:rPr>
            </w:pPr>
            <w:r w:rsidRPr="009072DA">
              <w:rPr>
                <w:sz w:val="18"/>
                <w:lang w:val="bg-BG"/>
              </w:rPr>
              <w:t>Отделна система от тръбопроводи за второто задвижващо звено в случай на хидравлични задвижващи звена</w:t>
            </w:r>
          </w:p>
        </w:tc>
        <w:tc>
          <w:tcPr>
            <w:tcW w:w="6521" w:type="dxa"/>
            <w:shd w:val="clear" w:color="auto" w:fill="auto"/>
          </w:tcPr>
          <w:p w:rsidR="00196FBC" w:rsidRPr="009072DA" w:rsidRDefault="008761D9" w:rsidP="0074037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1.1.2020 г.</w:t>
            </w:r>
          </w:p>
        </w:tc>
      </w:tr>
      <w:tr w:rsidR="00196FBC" w:rsidRPr="009072DA" w:rsidTr="00196FBC">
        <w:trPr>
          <w:cantSplit/>
          <w:jc w:val="center"/>
        </w:trPr>
        <w:tc>
          <w:tcPr>
            <w:tcW w:w="1342" w:type="dxa"/>
            <w:vMerge/>
            <w:shd w:val="clear" w:color="auto" w:fill="auto"/>
          </w:tcPr>
          <w:p w:rsidR="00196FBC" w:rsidRPr="009072DA" w:rsidRDefault="00196FBC" w:rsidP="009C40EF">
            <w:pPr>
              <w:spacing w:before="120" w:after="120" w:line="240" w:lineRule="atLeast"/>
              <w:rPr>
                <w:rFonts w:cs="Arial"/>
                <w:sz w:val="18"/>
                <w:szCs w:val="18"/>
                <w:lang w:val="bg-BG"/>
              </w:rPr>
            </w:pPr>
          </w:p>
        </w:tc>
        <w:tc>
          <w:tcPr>
            <w:tcW w:w="1458"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Точка 2</w:t>
            </w:r>
          </w:p>
        </w:tc>
        <w:tc>
          <w:tcPr>
            <w:tcW w:w="3296"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Отделна система от тръбопроводи за второто задвижващо звено в случай на хидравлични задвижващи звена</w:t>
            </w:r>
          </w:p>
        </w:tc>
        <w:tc>
          <w:tcPr>
            <w:tcW w:w="6521" w:type="dxa"/>
            <w:shd w:val="clear" w:color="auto" w:fill="auto"/>
          </w:tcPr>
          <w:p w:rsidR="00196FBC" w:rsidRPr="009072DA" w:rsidRDefault="008761D9" w:rsidP="0074037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1.1.2010 г.</w:t>
            </w:r>
          </w:p>
        </w:tc>
      </w:tr>
      <w:tr w:rsidR="00196FBC" w:rsidRPr="009072DA" w:rsidTr="00196FBC">
        <w:trPr>
          <w:cantSplit/>
          <w:jc w:val="center"/>
        </w:trPr>
        <w:tc>
          <w:tcPr>
            <w:tcW w:w="1342" w:type="dxa"/>
            <w:vMerge/>
            <w:shd w:val="clear" w:color="auto" w:fill="auto"/>
          </w:tcPr>
          <w:p w:rsidR="00196FBC" w:rsidRPr="009072DA" w:rsidRDefault="00196FBC" w:rsidP="009C40EF">
            <w:pPr>
              <w:spacing w:before="120" w:after="120" w:line="240" w:lineRule="atLeast"/>
              <w:rPr>
                <w:rFonts w:cs="Arial"/>
                <w:sz w:val="18"/>
                <w:szCs w:val="18"/>
                <w:lang w:val="bg-BG"/>
              </w:rPr>
            </w:pPr>
          </w:p>
        </w:tc>
        <w:tc>
          <w:tcPr>
            <w:tcW w:w="1458"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Точка 3</w:t>
            </w:r>
          </w:p>
        </w:tc>
        <w:tc>
          <w:tcPr>
            <w:tcW w:w="3296"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Маневреност, изисквана съгласно глава 5, осигурена чрез второ задвижващо звено или ръчно задвижване</w:t>
            </w:r>
          </w:p>
        </w:tc>
        <w:tc>
          <w:tcPr>
            <w:tcW w:w="6521" w:type="dxa"/>
            <w:shd w:val="clear" w:color="auto" w:fill="auto"/>
          </w:tcPr>
          <w:p w:rsidR="00196FBC" w:rsidRPr="009072DA" w:rsidRDefault="008761D9" w:rsidP="0074037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1.1.2035 г.</w:t>
            </w:r>
          </w:p>
        </w:tc>
      </w:tr>
      <w:tr w:rsidR="00196FBC" w:rsidRPr="009072DA" w:rsidTr="00196FBC">
        <w:trPr>
          <w:cantSplit/>
          <w:jc w:val="center"/>
        </w:trPr>
        <w:tc>
          <w:tcPr>
            <w:tcW w:w="1342" w:type="dxa"/>
            <w:shd w:val="clear" w:color="auto" w:fill="auto"/>
          </w:tcPr>
          <w:p w:rsidR="00196FBC" w:rsidRPr="009072DA" w:rsidRDefault="00196FBC" w:rsidP="009C40EF">
            <w:pPr>
              <w:spacing w:before="120" w:after="120" w:line="240" w:lineRule="atLeast"/>
              <w:rPr>
                <w:rFonts w:cs="Arial"/>
                <w:sz w:val="18"/>
                <w:szCs w:val="18"/>
                <w:lang w:val="bg-BG"/>
              </w:rPr>
            </w:pPr>
            <w:r w:rsidRPr="009072DA">
              <w:rPr>
                <w:sz w:val="18"/>
                <w:lang w:val="bg-BG"/>
              </w:rPr>
              <w:lastRenderedPageBreak/>
              <w:t>6.03</w:t>
            </w:r>
          </w:p>
        </w:tc>
        <w:tc>
          <w:tcPr>
            <w:tcW w:w="1458"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Точка 1</w:t>
            </w:r>
          </w:p>
        </w:tc>
        <w:tc>
          <w:tcPr>
            <w:tcW w:w="3296"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Свързване на други потребители към хидравличното задвижващо звено на рулевия апарат.</w:t>
            </w:r>
          </w:p>
        </w:tc>
        <w:tc>
          <w:tcPr>
            <w:tcW w:w="6521" w:type="dxa"/>
            <w:shd w:val="clear" w:color="auto" w:fill="auto"/>
          </w:tcPr>
          <w:p w:rsidR="00196FBC" w:rsidRPr="009072DA" w:rsidRDefault="008761D9" w:rsidP="0074037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1.1.2010 г.</w:t>
            </w:r>
          </w:p>
        </w:tc>
      </w:tr>
      <w:tr w:rsidR="00196FBC" w:rsidRPr="009072DA" w:rsidTr="00196FBC">
        <w:trPr>
          <w:cantSplit/>
          <w:jc w:val="center"/>
        </w:trPr>
        <w:tc>
          <w:tcPr>
            <w:tcW w:w="1342" w:type="dxa"/>
            <w:shd w:val="clear" w:color="auto" w:fill="auto"/>
          </w:tcPr>
          <w:p w:rsidR="00196FBC" w:rsidRPr="009072DA" w:rsidRDefault="00196FBC" w:rsidP="009C40EF">
            <w:pPr>
              <w:spacing w:before="120" w:after="120" w:line="240" w:lineRule="atLeast"/>
              <w:rPr>
                <w:rFonts w:cs="Arial"/>
                <w:sz w:val="18"/>
                <w:szCs w:val="18"/>
                <w:lang w:val="bg-BG"/>
              </w:rPr>
            </w:pPr>
            <w:r w:rsidRPr="009072DA">
              <w:rPr>
                <w:sz w:val="18"/>
                <w:lang w:val="bg-BG"/>
              </w:rPr>
              <w:t>6.05</w:t>
            </w:r>
          </w:p>
        </w:tc>
        <w:tc>
          <w:tcPr>
            <w:tcW w:w="1458"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Точка 1</w:t>
            </w:r>
          </w:p>
        </w:tc>
        <w:tc>
          <w:tcPr>
            <w:tcW w:w="3296"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Колелото на ръчното задвижване да не се задвижва от задвижващо звено с усилвател</w:t>
            </w:r>
          </w:p>
        </w:tc>
        <w:tc>
          <w:tcPr>
            <w:tcW w:w="6521" w:type="dxa"/>
            <w:shd w:val="clear" w:color="auto" w:fill="auto"/>
          </w:tcPr>
          <w:p w:rsidR="00196FBC" w:rsidRPr="009072DA" w:rsidRDefault="008761D9" w:rsidP="0074037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1.1.2010 г.</w:t>
            </w:r>
          </w:p>
        </w:tc>
      </w:tr>
      <w:tr w:rsidR="00196FBC" w:rsidRPr="009072DA" w:rsidTr="00196FBC">
        <w:trPr>
          <w:cantSplit/>
          <w:jc w:val="center"/>
        </w:trPr>
        <w:tc>
          <w:tcPr>
            <w:tcW w:w="1342" w:type="dxa"/>
            <w:shd w:val="clear" w:color="auto" w:fill="auto"/>
          </w:tcPr>
          <w:p w:rsidR="00196FBC" w:rsidRPr="009072DA" w:rsidRDefault="00196FBC" w:rsidP="009C40EF">
            <w:pPr>
              <w:spacing w:before="140" w:after="140" w:line="240" w:lineRule="atLeast"/>
              <w:rPr>
                <w:rFonts w:cs="Arial"/>
                <w:sz w:val="18"/>
                <w:szCs w:val="18"/>
                <w:lang w:val="bg-BG"/>
              </w:rPr>
            </w:pPr>
            <w:r w:rsidRPr="009072DA">
              <w:rPr>
                <w:sz w:val="18"/>
                <w:lang w:val="bg-BG"/>
              </w:rPr>
              <w:t>6.06</w:t>
            </w:r>
          </w:p>
        </w:tc>
        <w:tc>
          <w:tcPr>
            <w:tcW w:w="1458" w:type="dxa"/>
            <w:shd w:val="clear" w:color="auto" w:fill="auto"/>
          </w:tcPr>
          <w:p w:rsidR="00196FBC" w:rsidRPr="009072DA" w:rsidRDefault="00196FBC" w:rsidP="00BB7B04">
            <w:pPr>
              <w:spacing w:before="140" w:after="140" w:line="240" w:lineRule="atLeast"/>
              <w:rPr>
                <w:rFonts w:cs="Arial"/>
                <w:sz w:val="18"/>
                <w:szCs w:val="18"/>
                <w:lang w:val="bg-BG"/>
              </w:rPr>
            </w:pPr>
            <w:r w:rsidRPr="009072DA">
              <w:rPr>
                <w:sz w:val="18"/>
                <w:lang w:val="bg-BG"/>
              </w:rPr>
              <w:t>Точка 1</w:t>
            </w:r>
          </w:p>
        </w:tc>
        <w:tc>
          <w:tcPr>
            <w:tcW w:w="3296" w:type="dxa"/>
            <w:shd w:val="clear" w:color="auto" w:fill="auto"/>
          </w:tcPr>
          <w:p w:rsidR="00196FBC" w:rsidRPr="009072DA" w:rsidRDefault="00196FBC" w:rsidP="00BB7B04">
            <w:pPr>
              <w:spacing w:before="140" w:after="140" w:line="240" w:lineRule="atLeast"/>
              <w:rPr>
                <w:rFonts w:cs="Arial"/>
                <w:sz w:val="18"/>
                <w:szCs w:val="18"/>
                <w:lang w:val="bg-BG"/>
              </w:rPr>
            </w:pPr>
            <w:r w:rsidRPr="009072DA">
              <w:rPr>
                <w:sz w:val="18"/>
                <w:lang w:val="bg-BG"/>
              </w:rPr>
              <w:t>Две независими уредби за управление на руля</w:t>
            </w:r>
          </w:p>
        </w:tc>
        <w:tc>
          <w:tcPr>
            <w:tcW w:w="6521" w:type="dxa"/>
            <w:shd w:val="clear" w:color="auto" w:fill="auto"/>
          </w:tcPr>
          <w:p w:rsidR="00196FBC" w:rsidRPr="009072DA" w:rsidRDefault="008761D9" w:rsidP="00BB7B04">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BB7B04">
            <w:pPr>
              <w:spacing w:before="140" w:after="140" w:line="240" w:lineRule="atLeast"/>
              <w:rPr>
                <w:rFonts w:cs="Arial"/>
                <w:sz w:val="18"/>
                <w:szCs w:val="18"/>
                <w:lang w:val="bg-BG"/>
              </w:rPr>
            </w:pPr>
            <w:r w:rsidRPr="009072DA">
              <w:rPr>
                <w:sz w:val="18"/>
                <w:lang w:val="bg-BG"/>
              </w:rPr>
              <w:t>1.1.2015 г.</w:t>
            </w:r>
          </w:p>
        </w:tc>
      </w:tr>
      <w:tr w:rsidR="00196FBC" w:rsidRPr="009072DA" w:rsidTr="00196FBC">
        <w:trPr>
          <w:cantSplit/>
          <w:jc w:val="center"/>
        </w:trPr>
        <w:tc>
          <w:tcPr>
            <w:tcW w:w="1342" w:type="dxa"/>
            <w:shd w:val="clear" w:color="auto" w:fill="auto"/>
          </w:tcPr>
          <w:p w:rsidR="00196FBC" w:rsidRPr="009072DA" w:rsidRDefault="00196FBC" w:rsidP="009C40EF">
            <w:pPr>
              <w:spacing w:before="120" w:after="120" w:line="240" w:lineRule="atLeast"/>
              <w:rPr>
                <w:rFonts w:cs="Arial"/>
                <w:sz w:val="18"/>
                <w:szCs w:val="18"/>
                <w:lang w:val="bg-BG"/>
              </w:rPr>
            </w:pPr>
            <w:r w:rsidRPr="009072DA">
              <w:rPr>
                <w:sz w:val="18"/>
                <w:lang w:val="bg-BG"/>
              </w:rPr>
              <w:t>6.07</w:t>
            </w:r>
          </w:p>
        </w:tc>
        <w:tc>
          <w:tcPr>
            <w:tcW w:w="1458" w:type="dxa"/>
            <w:shd w:val="clear" w:color="auto" w:fill="auto"/>
          </w:tcPr>
          <w:p w:rsidR="00196FBC" w:rsidRPr="009072DA" w:rsidRDefault="009C40EF" w:rsidP="00BB7B04">
            <w:pPr>
              <w:spacing w:before="120" w:after="120" w:line="240" w:lineRule="atLeast"/>
              <w:rPr>
                <w:rFonts w:cs="Arial"/>
                <w:sz w:val="18"/>
                <w:szCs w:val="18"/>
                <w:lang w:val="bg-BG"/>
              </w:rPr>
            </w:pPr>
            <w:r w:rsidRPr="009072DA">
              <w:rPr>
                <w:sz w:val="18"/>
                <w:lang w:val="bg-BG"/>
              </w:rPr>
              <w:t>Точка 2, буква a)</w:t>
            </w:r>
          </w:p>
        </w:tc>
        <w:tc>
          <w:tcPr>
            <w:tcW w:w="3296" w:type="dxa"/>
            <w:shd w:val="clear" w:color="auto" w:fill="auto"/>
          </w:tcPr>
          <w:p w:rsidR="00196FBC" w:rsidRPr="009072DA" w:rsidRDefault="00196FBC" w:rsidP="00BB7B04">
            <w:pPr>
              <w:tabs>
                <w:tab w:val="left" w:pos="1080"/>
              </w:tabs>
              <w:spacing w:before="120" w:after="120" w:line="240" w:lineRule="atLeast"/>
              <w:rPr>
                <w:rFonts w:cs="Arial"/>
                <w:sz w:val="18"/>
                <w:szCs w:val="18"/>
                <w:lang w:val="bg-BG"/>
              </w:rPr>
            </w:pPr>
            <w:r w:rsidRPr="009072DA">
              <w:rPr>
                <w:sz w:val="18"/>
                <w:lang w:val="bg-BG"/>
              </w:rPr>
              <w:t>Сигнализация за нивото на хидравличните резервоари и сигнализация за работното налягане</w:t>
            </w:r>
          </w:p>
        </w:tc>
        <w:tc>
          <w:tcPr>
            <w:tcW w:w="6521" w:type="dxa"/>
            <w:shd w:val="clear" w:color="auto" w:fill="auto"/>
          </w:tcPr>
          <w:p w:rsidR="00196FBC" w:rsidRPr="009072DA" w:rsidRDefault="008761D9" w:rsidP="00BB7B0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BB7B04">
            <w:pPr>
              <w:spacing w:before="120" w:after="120" w:line="240" w:lineRule="atLeast"/>
              <w:rPr>
                <w:rFonts w:cs="Arial"/>
                <w:sz w:val="18"/>
                <w:szCs w:val="18"/>
                <w:lang w:val="bg-BG"/>
              </w:rPr>
            </w:pPr>
            <w:r w:rsidRPr="009072DA">
              <w:rPr>
                <w:sz w:val="18"/>
                <w:lang w:val="bg-BG"/>
              </w:rPr>
              <w:t>1.1.2010 г.</w:t>
            </w:r>
          </w:p>
        </w:tc>
      </w:tr>
      <w:tr w:rsidR="00196FBC" w:rsidRPr="009072DA" w:rsidTr="00196FBC">
        <w:trPr>
          <w:cantSplit/>
          <w:jc w:val="center"/>
        </w:trPr>
        <w:tc>
          <w:tcPr>
            <w:tcW w:w="1342" w:type="dxa"/>
            <w:shd w:val="clear" w:color="auto" w:fill="auto"/>
          </w:tcPr>
          <w:p w:rsidR="00196FBC" w:rsidRPr="009072DA" w:rsidRDefault="00196FBC" w:rsidP="009C40EF">
            <w:pPr>
              <w:spacing w:before="120" w:after="120" w:line="240" w:lineRule="atLeast"/>
              <w:rPr>
                <w:rFonts w:cs="Arial"/>
                <w:sz w:val="18"/>
                <w:szCs w:val="18"/>
                <w:lang w:val="bg-BG"/>
              </w:rPr>
            </w:pPr>
            <w:r w:rsidRPr="009072DA">
              <w:rPr>
                <w:sz w:val="18"/>
                <w:lang w:val="bg-BG"/>
              </w:rPr>
              <w:t>6.08</w:t>
            </w:r>
          </w:p>
        </w:tc>
        <w:tc>
          <w:tcPr>
            <w:tcW w:w="1458" w:type="dxa"/>
            <w:shd w:val="clear" w:color="auto" w:fill="auto"/>
          </w:tcPr>
          <w:p w:rsidR="00196FBC" w:rsidRPr="009072DA" w:rsidRDefault="00196FBC" w:rsidP="00BB7B04">
            <w:pPr>
              <w:spacing w:before="120" w:after="120" w:line="240" w:lineRule="atLeast"/>
              <w:rPr>
                <w:rFonts w:cs="Arial"/>
                <w:sz w:val="18"/>
                <w:szCs w:val="18"/>
                <w:lang w:val="bg-BG"/>
              </w:rPr>
            </w:pPr>
            <w:r w:rsidRPr="009072DA">
              <w:rPr>
                <w:sz w:val="18"/>
                <w:lang w:val="bg-BG"/>
              </w:rPr>
              <w:t>Точка 1</w:t>
            </w:r>
          </w:p>
        </w:tc>
        <w:tc>
          <w:tcPr>
            <w:tcW w:w="3296" w:type="dxa"/>
            <w:shd w:val="clear" w:color="auto" w:fill="auto"/>
          </w:tcPr>
          <w:p w:rsidR="00196FBC" w:rsidRPr="009072DA" w:rsidRDefault="00196FBC" w:rsidP="00BB7B04">
            <w:pPr>
              <w:spacing w:before="120" w:after="120" w:line="240" w:lineRule="atLeast"/>
              <w:rPr>
                <w:rFonts w:cs="Arial"/>
                <w:sz w:val="18"/>
                <w:szCs w:val="18"/>
                <w:lang w:val="bg-BG"/>
              </w:rPr>
            </w:pPr>
            <w:r w:rsidRPr="009072DA">
              <w:rPr>
                <w:sz w:val="18"/>
                <w:lang w:val="bg-BG"/>
              </w:rPr>
              <w:t>Изисквания към електрическото оборудване съгласно член 10.20</w:t>
            </w:r>
          </w:p>
        </w:tc>
        <w:tc>
          <w:tcPr>
            <w:tcW w:w="6521" w:type="dxa"/>
            <w:shd w:val="clear" w:color="auto" w:fill="auto"/>
          </w:tcPr>
          <w:p w:rsidR="00196FBC" w:rsidRPr="009072DA" w:rsidRDefault="008761D9" w:rsidP="00BB7B0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BB7B04">
            <w:pPr>
              <w:spacing w:before="120" w:after="120" w:line="240" w:lineRule="atLeast"/>
              <w:rPr>
                <w:rFonts w:cs="Arial"/>
                <w:sz w:val="18"/>
                <w:szCs w:val="18"/>
                <w:lang w:val="bg-BG"/>
              </w:rPr>
            </w:pPr>
            <w:r w:rsidRPr="009072DA">
              <w:rPr>
                <w:sz w:val="18"/>
                <w:lang w:val="bg-BG"/>
              </w:rPr>
              <w:t>1.1.2015 г.</w:t>
            </w:r>
          </w:p>
        </w:tc>
      </w:tr>
      <w:tr w:rsidR="00196FBC" w:rsidRPr="009072DA" w:rsidTr="00196FBC">
        <w:trPr>
          <w:cantSplit/>
          <w:jc w:val="center"/>
        </w:trPr>
        <w:tc>
          <w:tcPr>
            <w:tcW w:w="6096" w:type="dxa"/>
            <w:gridSpan w:val="3"/>
            <w:shd w:val="clear" w:color="auto" w:fill="auto"/>
          </w:tcPr>
          <w:p w:rsidR="00196FBC" w:rsidRPr="009072DA" w:rsidRDefault="00196FBC" w:rsidP="00BB7B04">
            <w:pPr>
              <w:spacing w:before="120" w:after="120" w:line="240" w:lineRule="atLeast"/>
              <w:jc w:val="center"/>
              <w:rPr>
                <w:rFonts w:cs="Arial"/>
                <w:sz w:val="18"/>
                <w:szCs w:val="18"/>
                <w:lang w:val="bg-BG"/>
              </w:rPr>
            </w:pPr>
            <w:r w:rsidRPr="009072DA">
              <w:rPr>
                <w:b/>
                <w:sz w:val="18"/>
                <w:lang w:val="bg-BG"/>
              </w:rPr>
              <w:t>ГЛАВА 7</w:t>
            </w:r>
          </w:p>
        </w:tc>
        <w:tc>
          <w:tcPr>
            <w:tcW w:w="6521" w:type="dxa"/>
            <w:shd w:val="clear" w:color="auto" w:fill="auto"/>
          </w:tcPr>
          <w:p w:rsidR="00196FBC" w:rsidRPr="009072DA" w:rsidRDefault="00196FBC" w:rsidP="00BB7B04">
            <w:pPr>
              <w:spacing w:before="120" w:after="120" w:line="240" w:lineRule="atLeast"/>
              <w:rPr>
                <w:rFonts w:cs="Arial"/>
                <w:sz w:val="18"/>
                <w:szCs w:val="18"/>
                <w:lang w:val="bg-BG"/>
              </w:rPr>
            </w:pPr>
          </w:p>
        </w:tc>
        <w:tc>
          <w:tcPr>
            <w:tcW w:w="1276" w:type="dxa"/>
            <w:shd w:val="clear" w:color="auto" w:fill="auto"/>
          </w:tcPr>
          <w:p w:rsidR="00196FBC" w:rsidRPr="009072DA" w:rsidRDefault="00196FBC" w:rsidP="00BB7B04">
            <w:pPr>
              <w:spacing w:before="120" w:after="120" w:line="240" w:lineRule="atLeast"/>
              <w:rPr>
                <w:rFonts w:cs="Arial"/>
                <w:sz w:val="18"/>
                <w:szCs w:val="18"/>
                <w:lang w:val="bg-BG"/>
              </w:rPr>
            </w:pPr>
          </w:p>
        </w:tc>
      </w:tr>
      <w:tr w:rsidR="00196FBC" w:rsidRPr="009072DA" w:rsidTr="00196FBC">
        <w:trPr>
          <w:cantSplit/>
          <w:jc w:val="center"/>
        </w:trPr>
        <w:tc>
          <w:tcPr>
            <w:tcW w:w="1342" w:type="dxa"/>
            <w:vMerge w:val="restart"/>
            <w:shd w:val="clear" w:color="auto" w:fill="auto"/>
          </w:tcPr>
          <w:p w:rsidR="00196FBC" w:rsidRPr="009072DA" w:rsidRDefault="00196FBC" w:rsidP="009C40EF">
            <w:pPr>
              <w:spacing w:before="120" w:after="120" w:line="240" w:lineRule="atLeast"/>
              <w:rPr>
                <w:rFonts w:cs="Arial"/>
                <w:sz w:val="18"/>
                <w:szCs w:val="18"/>
                <w:lang w:val="bg-BG"/>
              </w:rPr>
            </w:pPr>
            <w:r w:rsidRPr="009072DA">
              <w:rPr>
                <w:sz w:val="18"/>
                <w:lang w:val="bg-BG"/>
              </w:rPr>
              <w:t>7.02</w:t>
            </w:r>
          </w:p>
        </w:tc>
        <w:tc>
          <w:tcPr>
            <w:tcW w:w="1458" w:type="dxa"/>
            <w:shd w:val="clear" w:color="auto" w:fill="auto"/>
          </w:tcPr>
          <w:p w:rsidR="00196FBC" w:rsidRPr="009072DA" w:rsidRDefault="00196FBC" w:rsidP="00D321F1">
            <w:pPr>
              <w:spacing w:before="120" w:after="120" w:line="240" w:lineRule="atLeast"/>
              <w:rPr>
                <w:rFonts w:cs="Arial"/>
                <w:sz w:val="18"/>
                <w:szCs w:val="18"/>
                <w:lang w:val="bg-BG"/>
              </w:rPr>
            </w:pPr>
            <w:r w:rsidRPr="009072DA">
              <w:rPr>
                <w:sz w:val="18"/>
                <w:lang w:val="bg-BG"/>
              </w:rPr>
              <w:t>Точка 3, 2</w:t>
            </w:r>
            <w:r w:rsidRPr="009072DA">
              <w:rPr>
                <w:sz w:val="18"/>
                <w:vertAlign w:val="superscript"/>
                <w:lang w:val="bg-BG"/>
              </w:rPr>
              <w:t>ра</w:t>
            </w:r>
            <w:r w:rsidRPr="009072DA">
              <w:rPr>
                <w:sz w:val="18"/>
                <w:lang w:val="bg-BG"/>
              </w:rPr>
              <w:t xml:space="preserve"> алинея</w:t>
            </w:r>
          </w:p>
        </w:tc>
        <w:tc>
          <w:tcPr>
            <w:tcW w:w="3296" w:type="dxa"/>
            <w:shd w:val="clear" w:color="auto" w:fill="auto"/>
          </w:tcPr>
          <w:p w:rsidR="00196FBC" w:rsidRPr="009072DA" w:rsidRDefault="00196FBC" w:rsidP="001E2331">
            <w:pPr>
              <w:spacing w:before="120" w:after="120" w:line="240" w:lineRule="atLeast"/>
              <w:rPr>
                <w:rFonts w:cs="Arial"/>
                <w:sz w:val="18"/>
                <w:szCs w:val="18"/>
                <w:lang w:val="bg-BG"/>
              </w:rPr>
            </w:pPr>
            <w:r w:rsidRPr="009072DA">
              <w:rPr>
                <w:color w:val="000000"/>
                <w:sz w:val="18"/>
                <w:lang w:val="bg-BG"/>
              </w:rPr>
              <w:t>Безпрепятствена видимост по обичайната ос на наблюдение на рулевия</w:t>
            </w:r>
          </w:p>
        </w:tc>
        <w:tc>
          <w:tcPr>
            <w:tcW w:w="6521" w:type="dxa"/>
            <w:shd w:val="clear" w:color="auto" w:fill="auto"/>
          </w:tcPr>
          <w:p w:rsidR="00196FBC" w:rsidRPr="009072DA" w:rsidRDefault="008761D9" w:rsidP="001E2331">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1E2331">
            <w:pPr>
              <w:spacing w:before="120" w:after="120" w:line="240" w:lineRule="atLeast"/>
              <w:rPr>
                <w:rFonts w:cs="Arial"/>
                <w:sz w:val="18"/>
                <w:szCs w:val="18"/>
                <w:lang w:val="bg-BG"/>
              </w:rPr>
            </w:pPr>
            <w:r w:rsidRPr="009072DA">
              <w:rPr>
                <w:sz w:val="18"/>
                <w:lang w:val="bg-BG"/>
              </w:rPr>
              <w:t>1.1.2015 г.</w:t>
            </w:r>
          </w:p>
        </w:tc>
      </w:tr>
      <w:tr w:rsidR="00196FBC" w:rsidRPr="009072DA" w:rsidTr="00196FBC">
        <w:trPr>
          <w:cantSplit/>
          <w:jc w:val="center"/>
        </w:trPr>
        <w:tc>
          <w:tcPr>
            <w:tcW w:w="1342" w:type="dxa"/>
            <w:vMerge/>
            <w:shd w:val="clear" w:color="auto" w:fill="auto"/>
          </w:tcPr>
          <w:p w:rsidR="00196FBC" w:rsidRPr="009072DA" w:rsidRDefault="00196FBC" w:rsidP="009C40EF">
            <w:pPr>
              <w:spacing w:before="120" w:after="120" w:line="240" w:lineRule="atLeast"/>
              <w:rPr>
                <w:rFonts w:cs="Arial"/>
                <w:sz w:val="18"/>
                <w:szCs w:val="18"/>
                <w:lang w:val="bg-BG"/>
              </w:rPr>
            </w:pPr>
          </w:p>
        </w:tc>
        <w:tc>
          <w:tcPr>
            <w:tcW w:w="1458" w:type="dxa"/>
            <w:vMerge w:val="restart"/>
            <w:shd w:val="clear" w:color="auto" w:fill="auto"/>
          </w:tcPr>
          <w:p w:rsidR="00196FBC" w:rsidRPr="009072DA" w:rsidRDefault="00196FBC" w:rsidP="001E2331">
            <w:pPr>
              <w:spacing w:before="120" w:after="120" w:line="240" w:lineRule="atLeast"/>
              <w:rPr>
                <w:rFonts w:cs="Arial"/>
                <w:sz w:val="18"/>
                <w:szCs w:val="18"/>
                <w:lang w:val="bg-BG"/>
              </w:rPr>
            </w:pPr>
            <w:r w:rsidRPr="009072DA">
              <w:rPr>
                <w:sz w:val="18"/>
                <w:lang w:val="bg-BG"/>
              </w:rPr>
              <w:t>Точка 6</w:t>
            </w:r>
          </w:p>
        </w:tc>
        <w:tc>
          <w:tcPr>
            <w:tcW w:w="3296" w:type="dxa"/>
            <w:vMerge w:val="restart"/>
            <w:shd w:val="clear" w:color="auto" w:fill="auto"/>
          </w:tcPr>
          <w:p w:rsidR="00196FBC" w:rsidRPr="009072DA" w:rsidRDefault="00196FBC" w:rsidP="001E2331">
            <w:pPr>
              <w:spacing w:before="120" w:after="120" w:line="240" w:lineRule="atLeast"/>
              <w:rPr>
                <w:rFonts w:cs="Arial"/>
                <w:sz w:val="18"/>
                <w:szCs w:val="18"/>
                <w:lang w:val="bg-BG"/>
              </w:rPr>
            </w:pPr>
            <w:r w:rsidRPr="009072DA">
              <w:rPr>
                <w:sz w:val="18"/>
                <w:lang w:val="bg-BG"/>
              </w:rPr>
              <w:t>Минимално пропускане на светлина</w:t>
            </w:r>
          </w:p>
        </w:tc>
        <w:tc>
          <w:tcPr>
            <w:tcW w:w="6521" w:type="dxa"/>
            <w:shd w:val="clear" w:color="auto" w:fill="auto"/>
          </w:tcPr>
          <w:p w:rsidR="00196FBC" w:rsidRPr="009072DA" w:rsidRDefault="008761D9" w:rsidP="001E2331">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1E2331">
            <w:pPr>
              <w:spacing w:before="120" w:after="120" w:line="240" w:lineRule="atLeast"/>
              <w:rPr>
                <w:rFonts w:cs="Arial"/>
                <w:sz w:val="18"/>
                <w:szCs w:val="18"/>
                <w:lang w:val="bg-BG"/>
              </w:rPr>
            </w:pPr>
            <w:r w:rsidRPr="009072DA">
              <w:rPr>
                <w:sz w:val="18"/>
                <w:lang w:val="bg-BG"/>
              </w:rPr>
              <w:t>1.1.2010 г.</w:t>
            </w:r>
          </w:p>
        </w:tc>
      </w:tr>
      <w:tr w:rsidR="00196FBC" w:rsidRPr="008D2440" w:rsidTr="00196FBC">
        <w:trPr>
          <w:cantSplit/>
          <w:jc w:val="center"/>
        </w:trPr>
        <w:tc>
          <w:tcPr>
            <w:tcW w:w="1342" w:type="dxa"/>
            <w:vMerge/>
            <w:shd w:val="clear" w:color="auto" w:fill="auto"/>
          </w:tcPr>
          <w:p w:rsidR="00196FBC" w:rsidRPr="009072DA" w:rsidRDefault="00196FBC" w:rsidP="009C40EF">
            <w:pPr>
              <w:spacing w:before="120" w:after="120" w:line="240" w:lineRule="atLeast"/>
              <w:rPr>
                <w:rFonts w:cs="Arial"/>
                <w:sz w:val="18"/>
                <w:szCs w:val="18"/>
                <w:lang w:val="bg-BG"/>
              </w:rPr>
            </w:pPr>
          </w:p>
        </w:tc>
        <w:tc>
          <w:tcPr>
            <w:tcW w:w="1458" w:type="dxa"/>
            <w:vMerge/>
            <w:shd w:val="clear" w:color="auto" w:fill="auto"/>
          </w:tcPr>
          <w:p w:rsidR="00196FBC" w:rsidRPr="009072DA" w:rsidRDefault="00196FBC" w:rsidP="001E2331">
            <w:pPr>
              <w:spacing w:before="120" w:after="120" w:line="240" w:lineRule="atLeast"/>
              <w:rPr>
                <w:rFonts w:cs="Arial"/>
                <w:sz w:val="18"/>
                <w:szCs w:val="18"/>
                <w:lang w:val="bg-BG"/>
              </w:rPr>
            </w:pPr>
          </w:p>
        </w:tc>
        <w:tc>
          <w:tcPr>
            <w:tcW w:w="3296" w:type="dxa"/>
            <w:vMerge/>
            <w:shd w:val="clear" w:color="auto" w:fill="auto"/>
          </w:tcPr>
          <w:p w:rsidR="00196FBC" w:rsidRPr="009072DA" w:rsidRDefault="00196FBC" w:rsidP="001E2331">
            <w:pPr>
              <w:spacing w:before="120" w:after="120" w:line="240" w:lineRule="atLeast"/>
              <w:rPr>
                <w:rFonts w:cs="Arial"/>
                <w:sz w:val="18"/>
                <w:szCs w:val="18"/>
                <w:lang w:val="bg-BG"/>
              </w:rPr>
            </w:pPr>
          </w:p>
        </w:tc>
        <w:tc>
          <w:tcPr>
            <w:tcW w:w="6521" w:type="dxa"/>
            <w:shd w:val="clear" w:color="auto" w:fill="auto"/>
          </w:tcPr>
          <w:p w:rsidR="00196FBC" w:rsidRPr="009072DA" w:rsidRDefault="008761D9" w:rsidP="001E2331">
            <w:pPr>
              <w:spacing w:before="120" w:after="120" w:line="240" w:lineRule="atLeast"/>
              <w:rPr>
                <w:rFonts w:cs="Arial"/>
                <w:sz w:val="18"/>
                <w:szCs w:val="18"/>
                <w:lang w:val="bg-BG"/>
              </w:rPr>
            </w:pPr>
            <w:r w:rsidRPr="009072DA">
              <w:rPr>
                <w:sz w:val="18"/>
                <w:lang w:val="bg-BG"/>
              </w:rPr>
              <w:t>НЗР за плавателни съдове с тонирани стъкла, които отговарят на следните условия:</w:t>
            </w:r>
          </w:p>
          <w:p w:rsidR="00196FBC" w:rsidRPr="009072DA" w:rsidRDefault="00196FBC" w:rsidP="001E2331">
            <w:pPr>
              <w:spacing w:before="120" w:after="120" w:line="240" w:lineRule="atLeast"/>
              <w:ind w:left="262" w:hanging="262"/>
              <w:rPr>
                <w:rFonts w:cs="Arial"/>
                <w:sz w:val="18"/>
                <w:szCs w:val="18"/>
                <w:lang w:val="bg-BG"/>
              </w:rPr>
            </w:pPr>
            <w:r w:rsidRPr="009072DA">
              <w:rPr>
                <w:sz w:val="18"/>
                <w:lang w:val="bg-BG"/>
              </w:rPr>
              <w:t>-</w:t>
            </w:r>
            <w:r w:rsidRPr="009072DA">
              <w:rPr>
                <w:lang w:val="bg-BG"/>
              </w:rPr>
              <w:tab/>
            </w:r>
            <w:r w:rsidRPr="009072DA">
              <w:rPr>
                <w:sz w:val="18"/>
                <w:lang w:val="bg-BG"/>
              </w:rPr>
              <w:t>прозорците са оцветени в зелено и се характеризират с минимално пропускане на светлина 60 %,</w:t>
            </w:r>
          </w:p>
          <w:p w:rsidR="00196FBC" w:rsidRPr="009072DA" w:rsidRDefault="00196FBC" w:rsidP="001E2331">
            <w:pPr>
              <w:spacing w:before="120" w:after="120" w:line="240" w:lineRule="atLeast"/>
              <w:ind w:left="262" w:hanging="262"/>
              <w:rPr>
                <w:rFonts w:cs="Arial"/>
                <w:sz w:val="18"/>
                <w:szCs w:val="18"/>
                <w:lang w:val="bg-BG"/>
              </w:rPr>
            </w:pPr>
            <w:r w:rsidRPr="009072DA">
              <w:rPr>
                <w:sz w:val="18"/>
                <w:lang w:val="bg-BG"/>
              </w:rPr>
              <w:t>-</w:t>
            </w:r>
            <w:r w:rsidRPr="009072DA">
              <w:rPr>
                <w:lang w:val="bg-BG"/>
              </w:rPr>
              <w:tab/>
            </w:r>
            <w:r w:rsidRPr="009072DA">
              <w:rPr>
                <w:sz w:val="18"/>
                <w:lang w:val="bg-BG"/>
              </w:rPr>
              <w:t>таванът на рулевата рубка е проектиран така, че да изключва отражения върху прозорците,</w:t>
            </w:r>
          </w:p>
          <w:p w:rsidR="00196FBC" w:rsidRPr="009072DA" w:rsidRDefault="00196FBC" w:rsidP="001E2331">
            <w:pPr>
              <w:spacing w:before="120" w:after="120" w:line="240" w:lineRule="atLeast"/>
              <w:ind w:left="262" w:hanging="262"/>
              <w:rPr>
                <w:rFonts w:cs="Arial"/>
                <w:sz w:val="18"/>
                <w:szCs w:val="18"/>
                <w:lang w:val="bg-BG"/>
              </w:rPr>
            </w:pPr>
            <w:r w:rsidRPr="009072DA">
              <w:rPr>
                <w:sz w:val="18"/>
                <w:lang w:val="bg-BG"/>
              </w:rPr>
              <w:t>-</w:t>
            </w:r>
            <w:r w:rsidRPr="009072DA">
              <w:rPr>
                <w:lang w:val="bg-BG"/>
              </w:rPr>
              <w:tab/>
            </w:r>
            <w:r w:rsidRPr="009072DA">
              <w:rPr>
                <w:sz w:val="18"/>
                <w:lang w:val="bg-BG"/>
              </w:rPr>
              <w:t>източниците на светлина в рулевата рубка могат да бъдат регулирани плавно или изключвани,</w:t>
            </w:r>
          </w:p>
          <w:p w:rsidR="00196FBC" w:rsidRPr="009072DA" w:rsidRDefault="00196FBC" w:rsidP="001E2331">
            <w:pPr>
              <w:spacing w:before="120" w:after="120" w:line="240" w:lineRule="atLeast"/>
              <w:ind w:left="262" w:hanging="262"/>
              <w:rPr>
                <w:rFonts w:cs="Arial"/>
                <w:sz w:val="18"/>
                <w:szCs w:val="18"/>
                <w:lang w:val="bg-BG"/>
              </w:rPr>
            </w:pPr>
            <w:r w:rsidRPr="009072DA">
              <w:rPr>
                <w:sz w:val="18"/>
                <w:lang w:val="bg-BG"/>
              </w:rPr>
              <w:t>-</w:t>
            </w:r>
            <w:r w:rsidRPr="009072DA">
              <w:rPr>
                <w:lang w:val="bg-BG"/>
              </w:rPr>
              <w:tab/>
            </w:r>
            <w:r w:rsidRPr="009072DA">
              <w:rPr>
                <w:sz w:val="18"/>
                <w:lang w:val="bg-BG"/>
              </w:rPr>
              <w:t>трябва да са предприети всички разумни мерки за избягване на други отражения.</w:t>
            </w:r>
          </w:p>
        </w:tc>
        <w:tc>
          <w:tcPr>
            <w:tcW w:w="1276" w:type="dxa"/>
            <w:shd w:val="clear" w:color="auto" w:fill="auto"/>
          </w:tcPr>
          <w:p w:rsidR="00196FBC" w:rsidRPr="009072DA" w:rsidRDefault="00196FBC" w:rsidP="001E2331">
            <w:pPr>
              <w:spacing w:before="120" w:after="120" w:line="240" w:lineRule="atLeast"/>
              <w:rPr>
                <w:rFonts w:cs="Arial"/>
                <w:sz w:val="18"/>
                <w:szCs w:val="18"/>
                <w:lang w:val="bg-BG"/>
              </w:rPr>
            </w:pPr>
          </w:p>
        </w:tc>
      </w:tr>
      <w:tr w:rsidR="00196FBC" w:rsidRPr="009072DA" w:rsidTr="00196FBC">
        <w:trPr>
          <w:cantSplit/>
          <w:jc w:val="center"/>
        </w:trPr>
        <w:tc>
          <w:tcPr>
            <w:tcW w:w="1342" w:type="dxa"/>
            <w:vMerge/>
            <w:shd w:val="clear" w:color="auto" w:fill="auto"/>
          </w:tcPr>
          <w:p w:rsidR="00196FBC" w:rsidRPr="009072DA" w:rsidRDefault="00196FBC" w:rsidP="009C40EF">
            <w:pPr>
              <w:spacing w:before="120" w:after="120" w:line="240" w:lineRule="atLeast"/>
              <w:rPr>
                <w:rFonts w:cs="Arial"/>
                <w:sz w:val="18"/>
                <w:szCs w:val="18"/>
                <w:lang w:val="bg-BG"/>
              </w:rPr>
            </w:pPr>
          </w:p>
        </w:tc>
        <w:tc>
          <w:tcPr>
            <w:tcW w:w="1458" w:type="dxa"/>
            <w:shd w:val="clear" w:color="auto" w:fill="auto"/>
          </w:tcPr>
          <w:p w:rsidR="00196FBC" w:rsidRPr="009072DA" w:rsidRDefault="00196FBC" w:rsidP="001E2331">
            <w:pPr>
              <w:spacing w:before="120" w:after="120"/>
              <w:rPr>
                <w:rFonts w:cs="Arial"/>
                <w:sz w:val="18"/>
                <w:szCs w:val="18"/>
                <w:lang w:val="bg-BG"/>
              </w:rPr>
            </w:pPr>
            <w:r w:rsidRPr="009072DA">
              <w:rPr>
                <w:sz w:val="18"/>
                <w:lang w:val="bg-BG"/>
              </w:rPr>
              <w:t>Точка 6</w:t>
            </w:r>
          </w:p>
        </w:tc>
        <w:tc>
          <w:tcPr>
            <w:tcW w:w="3296" w:type="dxa"/>
            <w:shd w:val="clear" w:color="auto" w:fill="auto"/>
          </w:tcPr>
          <w:p w:rsidR="00196FBC" w:rsidRPr="009072DA" w:rsidRDefault="00196FBC" w:rsidP="001E2331">
            <w:pPr>
              <w:spacing w:before="120" w:after="120"/>
              <w:rPr>
                <w:rFonts w:cs="Arial"/>
                <w:sz w:val="18"/>
                <w:szCs w:val="18"/>
                <w:lang w:val="bg-BG"/>
              </w:rPr>
            </w:pPr>
            <w:r w:rsidRPr="009072DA">
              <w:rPr>
                <w:sz w:val="18"/>
                <w:lang w:val="bg-BG"/>
              </w:rPr>
              <w:t>Параметри на безопасното стъкло</w:t>
            </w:r>
          </w:p>
        </w:tc>
        <w:tc>
          <w:tcPr>
            <w:tcW w:w="6521" w:type="dxa"/>
            <w:shd w:val="clear" w:color="auto" w:fill="auto"/>
          </w:tcPr>
          <w:p w:rsidR="00196FBC" w:rsidRPr="009072DA" w:rsidRDefault="008761D9" w:rsidP="001E2331">
            <w:pPr>
              <w:spacing w:before="120" w:after="120"/>
              <w:rPr>
                <w:rFonts w:cs="Arial"/>
                <w:sz w:val="18"/>
                <w:szCs w:val="18"/>
                <w:lang w:val="bg-BG"/>
              </w:rPr>
            </w:pPr>
            <w:r w:rsidRPr="009072DA">
              <w:rPr>
                <w:sz w:val="18"/>
                <w:lang w:val="bg-BG"/>
              </w:rPr>
              <w:t>НЗР</w:t>
            </w:r>
          </w:p>
        </w:tc>
        <w:tc>
          <w:tcPr>
            <w:tcW w:w="1276" w:type="dxa"/>
            <w:shd w:val="clear" w:color="auto" w:fill="auto"/>
          </w:tcPr>
          <w:p w:rsidR="00196FBC" w:rsidRPr="009072DA" w:rsidRDefault="00196FBC" w:rsidP="001E2331">
            <w:pPr>
              <w:spacing w:before="120" w:after="120" w:line="240" w:lineRule="atLeast"/>
              <w:rPr>
                <w:rFonts w:cs="Arial"/>
                <w:sz w:val="18"/>
                <w:szCs w:val="18"/>
                <w:lang w:val="bg-BG"/>
              </w:rPr>
            </w:pPr>
          </w:p>
        </w:tc>
      </w:tr>
      <w:tr w:rsidR="00196FBC" w:rsidRPr="008D2440" w:rsidTr="00196FBC">
        <w:trPr>
          <w:cantSplit/>
          <w:jc w:val="center"/>
        </w:trPr>
        <w:tc>
          <w:tcPr>
            <w:tcW w:w="1342" w:type="dxa"/>
            <w:vMerge w:val="restart"/>
            <w:shd w:val="clear" w:color="auto" w:fill="auto"/>
          </w:tcPr>
          <w:p w:rsidR="00196FBC" w:rsidRPr="009072DA" w:rsidRDefault="00196FBC" w:rsidP="009C40EF">
            <w:pPr>
              <w:spacing w:before="120" w:after="120" w:line="240" w:lineRule="atLeast"/>
              <w:rPr>
                <w:rFonts w:cs="Arial"/>
                <w:sz w:val="18"/>
                <w:szCs w:val="18"/>
                <w:lang w:val="bg-BG"/>
              </w:rPr>
            </w:pPr>
            <w:r w:rsidRPr="009072DA">
              <w:rPr>
                <w:sz w:val="18"/>
                <w:lang w:val="bg-BG"/>
              </w:rPr>
              <w:t>7.03</w:t>
            </w:r>
          </w:p>
        </w:tc>
        <w:tc>
          <w:tcPr>
            <w:tcW w:w="1458" w:type="dxa"/>
            <w:shd w:val="clear" w:color="auto" w:fill="auto"/>
          </w:tcPr>
          <w:p w:rsidR="00196FBC" w:rsidRPr="009072DA" w:rsidRDefault="00196FBC" w:rsidP="001E2331">
            <w:pPr>
              <w:spacing w:before="120" w:after="120" w:line="240" w:lineRule="atLeast"/>
              <w:rPr>
                <w:rFonts w:cs="Arial"/>
                <w:sz w:val="18"/>
                <w:szCs w:val="18"/>
                <w:lang w:val="bg-BG"/>
              </w:rPr>
            </w:pPr>
            <w:r w:rsidRPr="009072DA">
              <w:rPr>
                <w:sz w:val="18"/>
                <w:lang w:val="bg-BG"/>
              </w:rPr>
              <w:t>Точка 7</w:t>
            </w:r>
          </w:p>
        </w:tc>
        <w:tc>
          <w:tcPr>
            <w:tcW w:w="3296" w:type="dxa"/>
            <w:shd w:val="clear" w:color="auto" w:fill="auto"/>
          </w:tcPr>
          <w:p w:rsidR="00196FBC" w:rsidRPr="009072DA" w:rsidRDefault="00196FBC" w:rsidP="001E2331">
            <w:pPr>
              <w:spacing w:before="120" w:after="120" w:line="240" w:lineRule="atLeast"/>
              <w:rPr>
                <w:rFonts w:cs="Arial"/>
                <w:sz w:val="18"/>
                <w:szCs w:val="18"/>
                <w:lang w:val="bg-BG"/>
              </w:rPr>
            </w:pPr>
            <w:r w:rsidRPr="009072DA">
              <w:rPr>
                <w:sz w:val="18"/>
                <w:lang w:val="bg-BG"/>
              </w:rPr>
              <w:t>Изключване на системите за тревога</w:t>
            </w:r>
          </w:p>
        </w:tc>
        <w:tc>
          <w:tcPr>
            <w:tcW w:w="6521" w:type="dxa"/>
            <w:shd w:val="clear" w:color="auto" w:fill="auto"/>
          </w:tcPr>
          <w:p w:rsidR="00196FBC" w:rsidRPr="009072DA" w:rsidRDefault="008761D9" w:rsidP="001E2331">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освен ако рулевата рубка е била проектирана за управление с радиолокационни средства от едно лице.</w:t>
            </w:r>
          </w:p>
        </w:tc>
        <w:tc>
          <w:tcPr>
            <w:tcW w:w="1276" w:type="dxa"/>
            <w:shd w:val="clear" w:color="auto" w:fill="auto"/>
          </w:tcPr>
          <w:p w:rsidR="00196FBC" w:rsidRPr="009072DA" w:rsidRDefault="00196FBC" w:rsidP="001E2331">
            <w:pPr>
              <w:spacing w:before="120" w:after="120" w:line="240" w:lineRule="atLeast"/>
              <w:rPr>
                <w:rFonts w:cs="Arial"/>
                <w:sz w:val="18"/>
                <w:szCs w:val="18"/>
                <w:lang w:val="bg-BG"/>
              </w:rPr>
            </w:pPr>
          </w:p>
        </w:tc>
      </w:tr>
      <w:tr w:rsidR="00196FBC" w:rsidRPr="009072DA" w:rsidTr="00196FBC">
        <w:trPr>
          <w:cantSplit/>
          <w:jc w:val="center"/>
        </w:trPr>
        <w:tc>
          <w:tcPr>
            <w:tcW w:w="1342" w:type="dxa"/>
            <w:vMerge/>
            <w:shd w:val="clear" w:color="auto" w:fill="auto"/>
          </w:tcPr>
          <w:p w:rsidR="00196FBC" w:rsidRPr="009072DA" w:rsidRDefault="00196FBC" w:rsidP="001E2331">
            <w:pPr>
              <w:spacing w:before="120" w:after="120" w:line="240" w:lineRule="atLeast"/>
              <w:rPr>
                <w:rFonts w:cs="Arial"/>
                <w:sz w:val="18"/>
                <w:szCs w:val="18"/>
                <w:lang w:val="bg-BG"/>
              </w:rPr>
            </w:pPr>
          </w:p>
        </w:tc>
        <w:tc>
          <w:tcPr>
            <w:tcW w:w="1458" w:type="dxa"/>
            <w:shd w:val="clear" w:color="auto" w:fill="auto"/>
          </w:tcPr>
          <w:p w:rsidR="00196FBC" w:rsidRPr="009072DA" w:rsidRDefault="00196FBC" w:rsidP="001E2331">
            <w:pPr>
              <w:spacing w:before="120" w:after="120" w:line="240" w:lineRule="atLeast"/>
              <w:rPr>
                <w:rFonts w:cs="Arial"/>
                <w:sz w:val="18"/>
                <w:szCs w:val="18"/>
                <w:lang w:val="bg-BG"/>
              </w:rPr>
            </w:pPr>
            <w:r w:rsidRPr="009072DA">
              <w:rPr>
                <w:sz w:val="18"/>
                <w:lang w:val="bg-BG"/>
              </w:rPr>
              <w:t>Точка 8</w:t>
            </w:r>
          </w:p>
        </w:tc>
        <w:tc>
          <w:tcPr>
            <w:tcW w:w="3296" w:type="dxa"/>
            <w:shd w:val="clear" w:color="auto" w:fill="auto"/>
          </w:tcPr>
          <w:p w:rsidR="00196FBC" w:rsidRPr="009072DA" w:rsidRDefault="007D2A57" w:rsidP="001E2331">
            <w:pPr>
              <w:spacing w:before="120" w:after="120" w:line="240" w:lineRule="atLeast"/>
              <w:rPr>
                <w:rFonts w:cs="Arial"/>
                <w:sz w:val="18"/>
                <w:szCs w:val="18"/>
                <w:lang w:val="bg-BG"/>
              </w:rPr>
            </w:pPr>
            <w:r w:rsidRPr="009072DA">
              <w:rPr>
                <w:sz w:val="18"/>
                <w:lang w:val="bg-BG"/>
              </w:rPr>
              <w:t>Автоматично превключване към друг източник на енергия</w:t>
            </w:r>
          </w:p>
        </w:tc>
        <w:tc>
          <w:tcPr>
            <w:tcW w:w="6521" w:type="dxa"/>
            <w:shd w:val="clear" w:color="auto" w:fill="auto"/>
          </w:tcPr>
          <w:p w:rsidR="00196FBC" w:rsidRPr="009072DA" w:rsidRDefault="008761D9" w:rsidP="001E2331">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1E2331">
            <w:pPr>
              <w:spacing w:before="120" w:after="120" w:line="240" w:lineRule="atLeast"/>
              <w:rPr>
                <w:rFonts w:cs="Arial"/>
                <w:sz w:val="18"/>
                <w:szCs w:val="18"/>
                <w:lang w:val="bg-BG"/>
              </w:rPr>
            </w:pPr>
            <w:r w:rsidRPr="009072DA">
              <w:rPr>
                <w:sz w:val="18"/>
                <w:lang w:val="bg-BG"/>
              </w:rPr>
              <w:t>1.1.2010 г.</w:t>
            </w:r>
          </w:p>
        </w:tc>
      </w:tr>
      <w:tr w:rsidR="00196FBC" w:rsidRPr="009072DA" w:rsidTr="00196FBC">
        <w:trPr>
          <w:cantSplit/>
          <w:jc w:val="center"/>
        </w:trPr>
        <w:tc>
          <w:tcPr>
            <w:tcW w:w="1342" w:type="dxa"/>
            <w:vMerge w:val="restart"/>
            <w:shd w:val="clear" w:color="auto" w:fill="auto"/>
          </w:tcPr>
          <w:p w:rsidR="00196FBC" w:rsidRPr="009072DA" w:rsidRDefault="00196FBC" w:rsidP="009C40EF">
            <w:pPr>
              <w:spacing w:before="80" w:after="80" w:line="240" w:lineRule="atLeast"/>
              <w:rPr>
                <w:rFonts w:cs="Arial"/>
                <w:sz w:val="18"/>
                <w:szCs w:val="18"/>
                <w:lang w:val="bg-BG"/>
              </w:rPr>
            </w:pPr>
            <w:r w:rsidRPr="009072DA">
              <w:rPr>
                <w:sz w:val="18"/>
                <w:lang w:val="bg-BG"/>
              </w:rPr>
              <w:t>7.04</w:t>
            </w:r>
          </w:p>
        </w:tc>
        <w:tc>
          <w:tcPr>
            <w:tcW w:w="1458" w:type="dxa"/>
            <w:shd w:val="clear" w:color="auto" w:fill="auto"/>
          </w:tcPr>
          <w:p w:rsidR="00196FBC" w:rsidRPr="009072DA" w:rsidRDefault="00330D4B" w:rsidP="00740370">
            <w:pPr>
              <w:spacing w:before="80" w:after="80" w:line="240" w:lineRule="atLeast"/>
              <w:rPr>
                <w:rFonts w:cs="Arial"/>
                <w:sz w:val="18"/>
                <w:szCs w:val="18"/>
                <w:lang w:val="bg-BG"/>
              </w:rPr>
            </w:pPr>
            <w:r w:rsidRPr="009072DA">
              <w:rPr>
                <w:sz w:val="18"/>
                <w:lang w:val="bg-BG"/>
              </w:rPr>
              <w:t>Точка 2</w:t>
            </w:r>
          </w:p>
        </w:tc>
        <w:tc>
          <w:tcPr>
            <w:tcW w:w="3296" w:type="dxa"/>
            <w:shd w:val="clear" w:color="auto" w:fill="auto"/>
          </w:tcPr>
          <w:p w:rsidR="00196FBC" w:rsidRPr="009072DA" w:rsidRDefault="00330D4B" w:rsidP="00740370">
            <w:pPr>
              <w:spacing w:before="80" w:after="80" w:line="240" w:lineRule="atLeast"/>
              <w:rPr>
                <w:rFonts w:cs="Arial"/>
                <w:sz w:val="18"/>
                <w:szCs w:val="18"/>
                <w:lang w:val="bg-BG"/>
              </w:rPr>
            </w:pPr>
            <w:r w:rsidRPr="009072DA">
              <w:rPr>
                <w:sz w:val="18"/>
                <w:lang w:val="bg-BG"/>
              </w:rPr>
              <w:t>Управление на всеки главен двигател</w:t>
            </w:r>
          </w:p>
        </w:tc>
        <w:tc>
          <w:tcPr>
            <w:tcW w:w="6521" w:type="dxa"/>
            <w:shd w:val="clear" w:color="auto" w:fill="auto"/>
          </w:tcPr>
          <w:p w:rsidR="00196FBC" w:rsidRPr="009072DA" w:rsidRDefault="00330D4B" w:rsidP="00740370">
            <w:pPr>
              <w:spacing w:before="80" w:after="80" w:line="240" w:lineRule="atLeast"/>
              <w:rPr>
                <w:rFonts w:cs="Arial"/>
                <w:sz w:val="18"/>
                <w:szCs w:val="18"/>
                <w:lang w:val="bg-BG"/>
              </w:rPr>
            </w:pPr>
            <w:r w:rsidRPr="009072DA">
              <w:rPr>
                <w:sz w:val="18"/>
                <w:lang w:val="bg-BG"/>
              </w:rPr>
              <w:t>Освен ако рулевите рубки не са били проектирани за управление с радиолокационни средства от едно лице: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330D4B" w:rsidP="00740370">
            <w:pPr>
              <w:spacing w:before="80" w:after="80" w:line="240" w:lineRule="atLeast"/>
              <w:rPr>
                <w:rFonts w:cs="Arial"/>
                <w:sz w:val="18"/>
                <w:szCs w:val="18"/>
                <w:lang w:val="bg-BG"/>
              </w:rPr>
            </w:pPr>
            <w:r w:rsidRPr="009072DA">
              <w:rPr>
                <w:sz w:val="18"/>
                <w:lang w:val="bg-BG"/>
              </w:rPr>
              <w:t xml:space="preserve">1.1.2035 г. </w:t>
            </w:r>
            <w:r w:rsidRPr="009072DA">
              <w:rPr>
                <w:rFonts w:cs="Arial"/>
                <w:sz w:val="18"/>
                <w:szCs w:val="18"/>
                <w:lang w:val="bg-BG"/>
              </w:rPr>
              <w:br/>
            </w:r>
            <w:r w:rsidRPr="009072DA">
              <w:rPr>
                <w:sz w:val="18"/>
                <w:lang w:val="bg-BG"/>
              </w:rPr>
              <w:t>ако посоката на движение може да бъде постигната директно</w:t>
            </w:r>
            <w:r w:rsidRPr="009072DA">
              <w:rPr>
                <w:rFonts w:cs="Arial"/>
                <w:sz w:val="18"/>
                <w:szCs w:val="18"/>
                <w:lang w:val="bg-BG"/>
              </w:rPr>
              <w:br/>
            </w:r>
            <w:r w:rsidRPr="009072DA">
              <w:rPr>
                <w:sz w:val="18"/>
                <w:lang w:val="bg-BG"/>
              </w:rPr>
              <w:t xml:space="preserve">1.1.2010 г. </w:t>
            </w:r>
            <w:r w:rsidRPr="009072DA">
              <w:rPr>
                <w:rFonts w:cs="Arial"/>
                <w:sz w:val="18"/>
                <w:szCs w:val="18"/>
                <w:lang w:val="bg-BG"/>
              </w:rPr>
              <w:br/>
            </w:r>
            <w:r w:rsidRPr="009072DA">
              <w:rPr>
                <w:sz w:val="18"/>
                <w:lang w:val="bg-BG"/>
              </w:rPr>
              <w:t>за останалите двигатели</w:t>
            </w:r>
          </w:p>
        </w:tc>
      </w:tr>
      <w:tr w:rsidR="00196FBC" w:rsidRPr="009072DA" w:rsidTr="00196FBC">
        <w:trPr>
          <w:cantSplit/>
          <w:jc w:val="center"/>
        </w:trPr>
        <w:tc>
          <w:tcPr>
            <w:tcW w:w="1342" w:type="dxa"/>
            <w:vMerge/>
            <w:shd w:val="clear" w:color="auto" w:fill="auto"/>
          </w:tcPr>
          <w:p w:rsidR="00196FBC" w:rsidRPr="009072DA" w:rsidRDefault="00196FBC" w:rsidP="009C40EF">
            <w:pPr>
              <w:spacing w:before="80" w:after="80" w:line="240" w:lineRule="atLeast"/>
              <w:rPr>
                <w:rFonts w:cs="Arial"/>
                <w:sz w:val="18"/>
                <w:szCs w:val="18"/>
                <w:lang w:val="bg-BG"/>
              </w:rPr>
            </w:pPr>
          </w:p>
        </w:tc>
        <w:tc>
          <w:tcPr>
            <w:tcW w:w="1458" w:type="dxa"/>
            <w:shd w:val="clear" w:color="auto" w:fill="auto"/>
          </w:tcPr>
          <w:p w:rsidR="00196FBC" w:rsidRPr="009072DA" w:rsidRDefault="00196FBC" w:rsidP="00740370">
            <w:pPr>
              <w:spacing w:before="80" w:after="80" w:line="240" w:lineRule="atLeast"/>
              <w:rPr>
                <w:rFonts w:cs="Arial"/>
                <w:sz w:val="18"/>
                <w:szCs w:val="18"/>
                <w:lang w:val="bg-BG"/>
              </w:rPr>
            </w:pPr>
            <w:r w:rsidRPr="009072DA">
              <w:rPr>
                <w:sz w:val="18"/>
                <w:lang w:val="bg-BG"/>
              </w:rPr>
              <w:t>Точка 3</w:t>
            </w:r>
          </w:p>
        </w:tc>
        <w:tc>
          <w:tcPr>
            <w:tcW w:w="3296" w:type="dxa"/>
            <w:shd w:val="clear" w:color="auto" w:fill="auto"/>
          </w:tcPr>
          <w:p w:rsidR="00196FBC" w:rsidRPr="009072DA" w:rsidRDefault="00196FBC" w:rsidP="00740370">
            <w:pPr>
              <w:spacing w:before="80" w:after="80" w:line="240" w:lineRule="atLeast"/>
              <w:rPr>
                <w:rFonts w:cs="Arial"/>
                <w:sz w:val="18"/>
                <w:szCs w:val="18"/>
                <w:lang w:val="bg-BG"/>
              </w:rPr>
            </w:pPr>
            <w:r w:rsidRPr="009072DA">
              <w:rPr>
                <w:sz w:val="18"/>
                <w:lang w:val="bg-BG"/>
              </w:rPr>
              <w:t>Показване</w:t>
            </w:r>
          </w:p>
        </w:tc>
        <w:tc>
          <w:tcPr>
            <w:tcW w:w="6521" w:type="dxa"/>
            <w:shd w:val="clear" w:color="auto" w:fill="auto"/>
          </w:tcPr>
          <w:p w:rsidR="00196FBC" w:rsidRPr="009072DA" w:rsidRDefault="00196FBC" w:rsidP="00740370">
            <w:pPr>
              <w:spacing w:before="80" w:after="80" w:line="240" w:lineRule="atLeast"/>
              <w:rPr>
                <w:rFonts w:cs="Arial"/>
                <w:sz w:val="18"/>
                <w:szCs w:val="18"/>
                <w:lang w:val="bg-BG"/>
              </w:rPr>
            </w:pPr>
            <w:r w:rsidRPr="009072DA">
              <w:rPr>
                <w:sz w:val="18"/>
                <w:lang w:val="bg-BG"/>
              </w:rPr>
              <w:t>Освен ако рулевите рубки не са били проектирани за управление с радиолокационни средства от едно лице: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740370">
            <w:pPr>
              <w:spacing w:before="80" w:after="80" w:line="240" w:lineRule="atLeast"/>
              <w:rPr>
                <w:rFonts w:cs="Arial"/>
                <w:sz w:val="18"/>
                <w:szCs w:val="18"/>
                <w:lang w:val="bg-BG"/>
              </w:rPr>
            </w:pPr>
            <w:r w:rsidRPr="009072DA">
              <w:rPr>
                <w:sz w:val="18"/>
                <w:lang w:val="bg-BG"/>
              </w:rPr>
              <w:t>1.1.2010 г.</w:t>
            </w:r>
          </w:p>
        </w:tc>
      </w:tr>
      <w:tr w:rsidR="00196FBC" w:rsidRPr="009072DA" w:rsidTr="00196FBC">
        <w:trPr>
          <w:cantSplit/>
          <w:jc w:val="center"/>
        </w:trPr>
        <w:tc>
          <w:tcPr>
            <w:tcW w:w="1342" w:type="dxa"/>
            <w:vMerge/>
            <w:shd w:val="clear" w:color="auto" w:fill="auto"/>
          </w:tcPr>
          <w:p w:rsidR="00196FBC" w:rsidRPr="009072DA" w:rsidRDefault="00196FBC" w:rsidP="009C40EF">
            <w:pPr>
              <w:spacing w:before="80" w:after="80" w:line="240" w:lineRule="atLeast"/>
              <w:rPr>
                <w:rFonts w:cs="Arial"/>
                <w:sz w:val="18"/>
                <w:szCs w:val="18"/>
                <w:lang w:val="bg-BG"/>
              </w:rPr>
            </w:pPr>
          </w:p>
        </w:tc>
        <w:tc>
          <w:tcPr>
            <w:tcW w:w="1458" w:type="dxa"/>
            <w:shd w:val="clear" w:color="auto" w:fill="auto"/>
          </w:tcPr>
          <w:p w:rsidR="00196FBC" w:rsidRPr="009072DA" w:rsidRDefault="00196FBC" w:rsidP="00740370">
            <w:pPr>
              <w:spacing w:before="80" w:after="80" w:line="240" w:lineRule="atLeast"/>
              <w:rPr>
                <w:rFonts w:cs="Arial"/>
                <w:sz w:val="18"/>
                <w:szCs w:val="18"/>
                <w:lang w:val="bg-BG"/>
              </w:rPr>
            </w:pPr>
            <w:r w:rsidRPr="009072DA">
              <w:rPr>
                <w:sz w:val="18"/>
                <w:lang w:val="bg-BG"/>
              </w:rPr>
              <w:t>Точка 9, 3-то изречение</w:t>
            </w:r>
          </w:p>
        </w:tc>
        <w:tc>
          <w:tcPr>
            <w:tcW w:w="3296" w:type="dxa"/>
            <w:shd w:val="clear" w:color="auto" w:fill="auto"/>
          </w:tcPr>
          <w:p w:rsidR="00196FBC" w:rsidRPr="009072DA" w:rsidRDefault="00196FBC" w:rsidP="00740370">
            <w:pPr>
              <w:spacing w:before="80" w:after="80" w:line="240" w:lineRule="atLeast"/>
              <w:rPr>
                <w:rFonts w:cs="Arial"/>
                <w:sz w:val="18"/>
                <w:szCs w:val="18"/>
                <w:lang w:val="bg-BG"/>
              </w:rPr>
            </w:pPr>
            <w:r w:rsidRPr="009072DA">
              <w:rPr>
                <w:sz w:val="18"/>
                <w:lang w:val="bg-BG"/>
              </w:rPr>
              <w:t>Управление чрез ръкохватка</w:t>
            </w:r>
          </w:p>
        </w:tc>
        <w:tc>
          <w:tcPr>
            <w:tcW w:w="6521" w:type="dxa"/>
            <w:shd w:val="clear" w:color="auto" w:fill="auto"/>
          </w:tcPr>
          <w:p w:rsidR="00196FBC" w:rsidRPr="009072DA" w:rsidRDefault="008761D9" w:rsidP="00740370">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740370">
            <w:pPr>
              <w:spacing w:before="80" w:after="80" w:line="240" w:lineRule="atLeast"/>
              <w:rPr>
                <w:rFonts w:cs="Arial"/>
                <w:sz w:val="18"/>
                <w:szCs w:val="18"/>
                <w:lang w:val="bg-BG"/>
              </w:rPr>
            </w:pPr>
            <w:r w:rsidRPr="009072DA">
              <w:rPr>
                <w:sz w:val="18"/>
                <w:lang w:val="bg-BG"/>
              </w:rPr>
              <w:t>1.1.2010 г.</w:t>
            </w:r>
          </w:p>
        </w:tc>
      </w:tr>
      <w:tr w:rsidR="00196FBC" w:rsidRPr="009072DA" w:rsidTr="00196FBC">
        <w:trPr>
          <w:cantSplit/>
          <w:jc w:val="center"/>
        </w:trPr>
        <w:tc>
          <w:tcPr>
            <w:tcW w:w="1342" w:type="dxa"/>
            <w:vMerge/>
            <w:shd w:val="clear" w:color="auto" w:fill="auto"/>
          </w:tcPr>
          <w:p w:rsidR="00196FBC" w:rsidRPr="009072DA" w:rsidRDefault="00196FBC" w:rsidP="009C40EF">
            <w:pPr>
              <w:spacing w:before="80" w:after="80" w:line="240" w:lineRule="atLeast"/>
              <w:rPr>
                <w:rFonts w:cs="Arial"/>
                <w:sz w:val="18"/>
                <w:szCs w:val="18"/>
                <w:lang w:val="bg-BG"/>
              </w:rPr>
            </w:pPr>
          </w:p>
        </w:tc>
        <w:tc>
          <w:tcPr>
            <w:tcW w:w="1458" w:type="dxa"/>
            <w:shd w:val="clear" w:color="auto" w:fill="auto"/>
          </w:tcPr>
          <w:p w:rsidR="00196FBC" w:rsidRPr="009072DA" w:rsidRDefault="00196FBC" w:rsidP="00694E6B">
            <w:pPr>
              <w:spacing w:before="80" w:after="80" w:line="240" w:lineRule="atLeast"/>
              <w:rPr>
                <w:rFonts w:cs="Arial"/>
                <w:sz w:val="18"/>
                <w:szCs w:val="18"/>
                <w:lang w:val="bg-BG"/>
              </w:rPr>
            </w:pPr>
            <w:r w:rsidRPr="009072DA">
              <w:rPr>
                <w:sz w:val="18"/>
                <w:lang w:val="bg-BG"/>
              </w:rPr>
              <w:t>Точка 9, 4-то изречение</w:t>
            </w:r>
          </w:p>
        </w:tc>
        <w:tc>
          <w:tcPr>
            <w:tcW w:w="3296" w:type="dxa"/>
            <w:shd w:val="clear" w:color="auto" w:fill="auto"/>
          </w:tcPr>
          <w:p w:rsidR="00196FBC" w:rsidRPr="009072DA" w:rsidRDefault="00196FBC" w:rsidP="00740370">
            <w:pPr>
              <w:spacing w:before="80" w:after="80" w:line="240" w:lineRule="atLeast"/>
              <w:rPr>
                <w:rFonts w:cs="Arial"/>
                <w:sz w:val="18"/>
                <w:szCs w:val="18"/>
                <w:lang w:val="bg-BG"/>
              </w:rPr>
            </w:pPr>
            <w:r w:rsidRPr="009072DA">
              <w:rPr>
                <w:sz w:val="18"/>
                <w:lang w:val="bg-BG"/>
              </w:rPr>
              <w:t>Ясно показване на посоката на тягата</w:t>
            </w:r>
          </w:p>
        </w:tc>
        <w:tc>
          <w:tcPr>
            <w:tcW w:w="6521" w:type="dxa"/>
            <w:shd w:val="clear" w:color="auto" w:fill="auto"/>
          </w:tcPr>
          <w:p w:rsidR="00196FBC" w:rsidRPr="009072DA" w:rsidRDefault="008761D9" w:rsidP="00740370">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740370">
            <w:pPr>
              <w:spacing w:before="80" w:after="80" w:line="240" w:lineRule="atLeast"/>
              <w:rPr>
                <w:rFonts w:cs="Arial"/>
                <w:sz w:val="18"/>
                <w:szCs w:val="18"/>
                <w:lang w:val="bg-BG"/>
              </w:rPr>
            </w:pPr>
            <w:r w:rsidRPr="009072DA">
              <w:rPr>
                <w:sz w:val="18"/>
                <w:lang w:val="bg-BG"/>
              </w:rPr>
              <w:t>1.1.2010 г.</w:t>
            </w:r>
          </w:p>
        </w:tc>
      </w:tr>
      <w:tr w:rsidR="00643C51" w:rsidRPr="008D2440" w:rsidTr="00C50120">
        <w:trPr>
          <w:cantSplit/>
          <w:jc w:val="center"/>
        </w:trPr>
        <w:tc>
          <w:tcPr>
            <w:tcW w:w="1342" w:type="dxa"/>
            <w:tcBorders>
              <w:bottom w:val="single" w:sz="4" w:space="0" w:color="auto"/>
            </w:tcBorders>
            <w:shd w:val="clear" w:color="auto" w:fill="auto"/>
          </w:tcPr>
          <w:p w:rsidR="00643C51" w:rsidRPr="009072DA" w:rsidRDefault="00643C51" w:rsidP="00B90A00">
            <w:pPr>
              <w:spacing w:before="60" w:after="60" w:line="240" w:lineRule="atLeast"/>
              <w:rPr>
                <w:rFonts w:cs="Arial"/>
                <w:sz w:val="18"/>
                <w:szCs w:val="18"/>
                <w:lang w:val="bg-BG"/>
              </w:rPr>
            </w:pPr>
            <w:r w:rsidRPr="009072DA">
              <w:rPr>
                <w:sz w:val="18"/>
                <w:lang w:val="bg-BG"/>
              </w:rPr>
              <w:t>7.05</w:t>
            </w:r>
          </w:p>
        </w:tc>
        <w:tc>
          <w:tcPr>
            <w:tcW w:w="1458" w:type="dxa"/>
            <w:tcBorders>
              <w:bottom w:val="single" w:sz="4" w:space="0" w:color="auto"/>
            </w:tcBorders>
            <w:shd w:val="clear" w:color="auto" w:fill="auto"/>
          </w:tcPr>
          <w:p w:rsidR="00643C51" w:rsidRPr="009072DA" w:rsidRDefault="00643C51" w:rsidP="00643C51">
            <w:pPr>
              <w:spacing w:before="80" w:after="80" w:line="240" w:lineRule="atLeast"/>
              <w:rPr>
                <w:rFonts w:cs="Arial"/>
                <w:sz w:val="18"/>
                <w:szCs w:val="18"/>
                <w:lang w:val="bg-BG"/>
              </w:rPr>
            </w:pPr>
            <w:r w:rsidRPr="009072DA">
              <w:rPr>
                <w:sz w:val="18"/>
                <w:lang w:val="bg-BG"/>
              </w:rPr>
              <w:t>Точка 1</w:t>
            </w:r>
          </w:p>
        </w:tc>
        <w:tc>
          <w:tcPr>
            <w:tcW w:w="3296" w:type="dxa"/>
            <w:shd w:val="clear" w:color="auto" w:fill="auto"/>
          </w:tcPr>
          <w:p w:rsidR="00643C51" w:rsidRPr="009072DA" w:rsidRDefault="00643C51" w:rsidP="00643C51">
            <w:pPr>
              <w:spacing w:before="80" w:after="80" w:line="240" w:lineRule="atLeast"/>
              <w:rPr>
                <w:rFonts w:cs="Arial"/>
                <w:sz w:val="18"/>
                <w:szCs w:val="18"/>
                <w:lang w:val="bg-BG"/>
              </w:rPr>
            </w:pPr>
            <w:r w:rsidRPr="009072DA">
              <w:rPr>
                <w:sz w:val="18"/>
                <w:lang w:val="bg-BG"/>
              </w:rPr>
              <w:t>Навигационни светлини, техните осветители, принадлежности и светлинни източници</w:t>
            </w:r>
          </w:p>
        </w:tc>
        <w:tc>
          <w:tcPr>
            <w:tcW w:w="6521" w:type="dxa"/>
            <w:shd w:val="clear" w:color="auto" w:fill="auto"/>
          </w:tcPr>
          <w:p w:rsidR="00643C51" w:rsidRPr="009072DA" w:rsidRDefault="00643C51" w:rsidP="00643C51">
            <w:pPr>
              <w:spacing w:before="80" w:after="80" w:line="240" w:lineRule="atLeast"/>
              <w:rPr>
                <w:rFonts w:cs="Arial"/>
                <w:sz w:val="18"/>
                <w:szCs w:val="18"/>
                <w:lang w:val="bg-BG"/>
              </w:rPr>
            </w:pPr>
            <w:r w:rsidRPr="009072DA">
              <w:rPr>
                <w:sz w:val="18"/>
                <w:lang w:val="bg-BG"/>
              </w:rPr>
              <w:t>Все още могат да се използват навигационни светлини, техни осветители, принадлежности и светлинни източници, които отговарят на изискванията за цвета и интензитета на светлините на борда и за допускане на навигационни светлини за корабоплаването по река Рейн, считано от 30 ноември 2009 г.</w:t>
            </w:r>
          </w:p>
        </w:tc>
        <w:tc>
          <w:tcPr>
            <w:tcW w:w="1276" w:type="dxa"/>
            <w:shd w:val="clear" w:color="auto" w:fill="auto"/>
          </w:tcPr>
          <w:p w:rsidR="00643C51" w:rsidRPr="009072DA" w:rsidRDefault="00643C51" w:rsidP="00B90A00">
            <w:pPr>
              <w:spacing w:before="60" w:after="60" w:line="240" w:lineRule="atLeast"/>
              <w:rPr>
                <w:rFonts w:cs="Arial"/>
                <w:sz w:val="18"/>
                <w:szCs w:val="18"/>
                <w:lang w:val="bg-BG"/>
              </w:rPr>
            </w:pPr>
          </w:p>
        </w:tc>
      </w:tr>
      <w:tr w:rsidR="00643C51" w:rsidRPr="008D2440" w:rsidTr="00C50120">
        <w:trPr>
          <w:cantSplit/>
          <w:jc w:val="center"/>
        </w:trPr>
        <w:tc>
          <w:tcPr>
            <w:tcW w:w="1342" w:type="dxa"/>
            <w:vMerge w:val="restart"/>
            <w:tcBorders>
              <w:bottom w:val="nil"/>
            </w:tcBorders>
            <w:shd w:val="clear" w:color="auto" w:fill="auto"/>
          </w:tcPr>
          <w:p w:rsidR="00643C51" w:rsidRPr="009072DA" w:rsidRDefault="00643C51" w:rsidP="00B90A00">
            <w:pPr>
              <w:spacing w:before="60" w:after="60" w:line="240" w:lineRule="atLeast"/>
              <w:rPr>
                <w:rFonts w:cs="Arial"/>
                <w:sz w:val="18"/>
                <w:szCs w:val="18"/>
                <w:lang w:val="bg-BG"/>
              </w:rPr>
            </w:pPr>
            <w:r w:rsidRPr="009072DA">
              <w:rPr>
                <w:sz w:val="18"/>
                <w:lang w:val="bg-BG"/>
              </w:rPr>
              <w:t>7.06</w:t>
            </w:r>
          </w:p>
        </w:tc>
        <w:tc>
          <w:tcPr>
            <w:tcW w:w="1458" w:type="dxa"/>
            <w:tcBorders>
              <w:bottom w:val="nil"/>
            </w:tcBorders>
            <w:shd w:val="clear" w:color="auto" w:fill="auto"/>
          </w:tcPr>
          <w:p w:rsidR="00643C51" w:rsidRPr="009072DA" w:rsidRDefault="00643C51" w:rsidP="00B90A00">
            <w:pPr>
              <w:spacing w:before="60" w:after="60" w:line="240" w:lineRule="atLeast"/>
              <w:rPr>
                <w:rFonts w:cs="Arial"/>
                <w:sz w:val="18"/>
                <w:szCs w:val="18"/>
                <w:lang w:val="bg-BG"/>
              </w:rPr>
            </w:pPr>
            <w:r w:rsidRPr="009072DA">
              <w:rPr>
                <w:sz w:val="18"/>
                <w:lang w:val="bg-BG"/>
              </w:rPr>
              <w:t>Точка 1</w:t>
            </w:r>
          </w:p>
        </w:tc>
        <w:tc>
          <w:tcPr>
            <w:tcW w:w="3296" w:type="dxa"/>
            <w:shd w:val="clear" w:color="auto" w:fill="auto"/>
          </w:tcPr>
          <w:p w:rsidR="00643C51" w:rsidRPr="009072DA" w:rsidRDefault="00643C51" w:rsidP="008373D8">
            <w:pPr>
              <w:spacing w:before="60" w:after="60" w:line="240" w:lineRule="atLeast"/>
              <w:rPr>
                <w:rFonts w:cs="Arial"/>
                <w:sz w:val="18"/>
                <w:szCs w:val="18"/>
                <w:lang w:val="bg-BG"/>
              </w:rPr>
            </w:pPr>
            <w:r w:rsidRPr="009072DA">
              <w:rPr>
                <w:sz w:val="18"/>
                <w:lang w:val="bg-BG"/>
              </w:rPr>
              <w:t>Индикатори на ъгловата скорост на поворот, одобрени преди 1</w:t>
            </w:r>
            <w:r w:rsidRPr="009072DA">
              <w:rPr>
                <w:sz w:val="18"/>
                <w:vertAlign w:val="superscript"/>
                <w:lang w:val="bg-BG"/>
              </w:rPr>
              <w:t>-ви</w:t>
            </w:r>
            <w:r w:rsidRPr="009072DA">
              <w:rPr>
                <w:sz w:val="18"/>
                <w:lang w:val="bg-BG"/>
              </w:rPr>
              <w:t xml:space="preserve"> януари 1990 г.</w:t>
            </w:r>
          </w:p>
        </w:tc>
        <w:tc>
          <w:tcPr>
            <w:tcW w:w="6521" w:type="dxa"/>
            <w:shd w:val="clear" w:color="auto" w:fill="auto"/>
          </w:tcPr>
          <w:p w:rsidR="00643C51" w:rsidRPr="009072DA" w:rsidRDefault="00643C51" w:rsidP="008E24ED">
            <w:pPr>
              <w:spacing w:before="60" w:after="60" w:line="240" w:lineRule="atLeast"/>
              <w:rPr>
                <w:rFonts w:cs="Arial"/>
                <w:sz w:val="18"/>
                <w:szCs w:val="18"/>
                <w:lang w:val="bg-BG"/>
              </w:rPr>
            </w:pPr>
            <w:r w:rsidRPr="009072DA">
              <w:rPr>
                <w:sz w:val="18"/>
                <w:lang w:val="bg-BG"/>
              </w:rPr>
              <w:t>Индикаторите на ъгловата скорост на поворот, одобрени преди 1</w:t>
            </w:r>
            <w:r w:rsidRPr="009072DA">
              <w:rPr>
                <w:sz w:val="18"/>
                <w:vertAlign w:val="superscript"/>
                <w:lang w:val="bg-BG"/>
              </w:rPr>
              <w:t>-ви</w:t>
            </w:r>
            <w:r w:rsidRPr="009072DA">
              <w:rPr>
                <w:sz w:val="18"/>
                <w:lang w:val="bg-BG"/>
              </w:rPr>
              <w:t xml:space="preserve"> януари 1990 г. и инсталирани преди 1</w:t>
            </w:r>
            <w:r w:rsidRPr="009072DA">
              <w:rPr>
                <w:sz w:val="18"/>
                <w:vertAlign w:val="superscript"/>
                <w:lang w:val="bg-BG"/>
              </w:rPr>
              <w:t>-ви</w:t>
            </w:r>
            <w:r w:rsidRPr="009072DA">
              <w:rPr>
                <w:sz w:val="18"/>
                <w:lang w:val="bg-BG"/>
              </w:rPr>
              <w:t xml:space="preserve"> януари 2000 г., могат да бъдат запазени и да се използват до подновяване на удостоверението на плавателния съд за плаване по вътрешни водни пътища след 1</w:t>
            </w:r>
            <w:r w:rsidRPr="009072DA">
              <w:rPr>
                <w:sz w:val="18"/>
                <w:vertAlign w:val="superscript"/>
                <w:lang w:val="bg-BG"/>
              </w:rPr>
              <w:t>-ви</w:t>
            </w:r>
            <w:r w:rsidRPr="009072DA">
              <w:rPr>
                <w:sz w:val="18"/>
                <w:lang w:val="bg-BG"/>
              </w:rPr>
              <w:t xml:space="preserve"> януари 2015 г., ако е налице валидно удостоверение за монтаж в съответствие с Директива 2006/87/ЕО</w:t>
            </w:r>
            <w:r w:rsidRPr="009072DA">
              <w:rPr>
                <w:rStyle w:val="FootnoteReference"/>
                <w:sz w:val="18"/>
                <w:lang w:val="bg-BG"/>
              </w:rPr>
              <w:footnoteReference w:id="25"/>
            </w:r>
            <w:r w:rsidRPr="009072DA">
              <w:rPr>
                <w:sz w:val="18"/>
                <w:lang w:val="bg-BG"/>
              </w:rPr>
              <w:t xml:space="preserve"> или с Резолюция 1989-II-35 на ЦККР.</w:t>
            </w:r>
          </w:p>
        </w:tc>
        <w:tc>
          <w:tcPr>
            <w:tcW w:w="1276" w:type="dxa"/>
            <w:shd w:val="clear" w:color="auto" w:fill="auto"/>
          </w:tcPr>
          <w:p w:rsidR="00643C51" w:rsidRPr="009072DA" w:rsidRDefault="00643C51" w:rsidP="00B90A00">
            <w:pPr>
              <w:spacing w:before="60" w:after="60" w:line="240" w:lineRule="atLeast"/>
              <w:rPr>
                <w:rFonts w:cs="Arial"/>
                <w:sz w:val="18"/>
                <w:szCs w:val="18"/>
                <w:lang w:val="bg-BG"/>
              </w:rPr>
            </w:pPr>
          </w:p>
        </w:tc>
      </w:tr>
      <w:tr w:rsidR="00643C51" w:rsidRPr="008D2440" w:rsidTr="00C50120">
        <w:trPr>
          <w:cantSplit/>
          <w:jc w:val="center"/>
        </w:trPr>
        <w:tc>
          <w:tcPr>
            <w:tcW w:w="1342" w:type="dxa"/>
            <w:vMerge/>
            <w:tcBorders>
              <w:top w:val="nil"/>
            </w:tcBorders>
            <w:shd w:val="clear" w:color="auto" w:fill="auto"/>
          </w:tcPr>
          <w:p w:rsidR="00643C51" w:rsidRPr="009072DA" w:rsidRDefault="00643C51" w:rsidP="000D7607">
            <w:pPr>
              <w:spacing w:before="40" w:after="40" w:line="240" w:lineRule="atLeast"/>
              <w:rPr>
                <w:rFonts w:cs="Arial"/>
                <w:sz w:val="18"/>
                <w:szCs w:val="18"/>
                <w:lang w:val="bg-BG"/>
              </w:rPr>
            </w:pPr>
          </w:p>
        </w:tc>
        <w:tc>
          <w:tcPr>
            <w:tcW w:w="1458" w:type="dxa"/>
            <w:vMerge w:val="restart"/>
            <w:tcBorders>
              <w:top w:val="nil"/>
            </w:tcBorders>
            <w:shd w:val="clear" w:color="auto" w:fill="auto"/>
          </w:tcPr>
          <w:p w:rsidR="00643C51" w:rsidRPr="009072DA" w:rsidRDefault="00643C51" w:rsidP="000D7607">
            <w:pPr>
              <w:spacing w:before="40" w:after="40" w:line="240" w:lineRule="atLeast"/>
              <w:rPr>
                <w:rFonts w:cs="Arial"/>
                <w:sz w:val="18"/>
                <w:szCs w:val="18"/>
                <w:lang w:val="bg-BG"/>
              </w:rPr>
            </w:pPr>
            <w:r w:rsidRPr="009072DA">
              <w:rPr>
                <w:sz w:val="18"/>
                <w:lang w:val="bg-BG"/>
              </w:rPr>
              <w:t>Точка 1</w:t>
            </w:r>
          </w:p>
        </w:tc>
        <w:tc>
          <w:tcPr>
            <w:tcW w:w="3296" w:type="dxa"/>
            <w:shd w:val="clear" w:color="auto" w:fill="auto"/>
          </w:tcPr>
          <w:p w:rsidR="00643C51" w:rsidRPr="009072DA" w:rsidRDefault="00643C51" w:rsidP="00F91AFF">
            <w:pPr>
              <w:spacing w:before="40" w:after="40" w:line="240" w:lineRule="atLeast"/>
              <w:rPr>
                <w:rFonts w:cs="Arial"/>
                <w:sz w:val="18"/>
                <w:szCs w:val="18"/>
                <w:lang w:val="bg-BG"/>
              </w:rPr>
            </w:pPr>
            <w:r w:rsidRPr="009072DA">
              <w:rPr>
                <w:sz w:val="18"/>
                <w:lang w:val="bg-BG"/>
              </w:rPr>
              <w:t>Навигационно радиолокационно оборудване и индикатори на ъгловата скорост на поворот, одобрени след 1</w:t>
            </w:r>
            <w:r w:rsidRPr="009072DA">
              <w:rPr>
                <w:sz w:val="18"/>
                <w:vertAlign w:val="superscript"/>
                <w:lang w:val="bg-BG"/>
              </w:rPr>
              <w:t>-ви</w:t>
            </w:r>
            <w:r w:rsidRPr="009072DA">
              <w:rPr>
                <w:sz w:val="18"/>
                <w:lang w:val="bg-BG"/>
              </w:rPr>
              <w:t xml:space="preserve"> януари 1990 г.</w:t>
            </w:r>
          </w:p>
        </w:tc>
        <w:tc>
          <w:tcPr>
            <w:tcW w:w="6521" w:type="dxa"/>
            <w:shd w:val="clear" w:color="auto" w:fill="auto"/>
          </w:tcPr>
          <w:p w:rsidR="00643C51" w:rsidRPr="009072DA" w:rsidRDefault="00643C51" w:rsidP="000D7607">
            <w:pPr>
              <w:spacing w:before="40" w:after="40" w:line="240" w:lineRule="atLeast"/>
              <w:rPr>
                <w:rFonts w:cs="Arial"/>
                <w:sz w:val="18"/>
                <w:szCs w:val="18"/>
                <w:lang w:val="bg-BG"/>
              </w:rPr>
            </w:pPr>
            <w:r w:rsidRPr="009072DA">
              <w:rPr>
                <w:sz w:val="18"/>
                <w:lang w:val="bg-BG"/>
              </w:rPr>
              <w:t>Навигационно радиолокационно оборудване и индикатори на ъгловата скорост на поворот, които са одобрени на или след 1 януари 1990 г. съгласно минималните изисквания и условия на изпитване за радиолокационно оборудване, използвано за корабоплаване по река Рейн, и минималните изисквания и условия на изпитване за индикаторите на ъгловата скорост на поворот, използвани за корабоплаване по река Рейн, могат да продължат да бъдат монтирани и използвани, ако е налице валидно удостоверение за монтаж в съответствие с настоящия стандарт, Директива 2006/87/ЕО или с Резолюция 1989-II-35 на ЦККР.</w:t>
            </w:r>
          </w:p>
        </w:tc>
        <w:tc>
          <w:tcPr>
            <w:tcW w:w="1276" w:type="dxa"/>
            <w:shd w:val="clear" w:color="auto" w:fill="auto"/>
          </w:tcPr>
          <w:p w:rsidR="00643C51" w:rsidRPr="009072DA" w:rsidRDefault="00643C51" w:rsidP="000D7607">
            <w:pPr>
              <w:spacing w:before="40" w:after="40" w:line="240" w:lineRule="atLeast"/>
              <w:rPr>
                <w:rFonts w:cs="Arial"/>
                <w:sz w:val="18"/>
                <w:szCs w:val="18"/>
                <w:lang w:val="bg-BG"/>
              </w:rPr>
            </w:pPr>
          </w:p>
        </w:tc>
      </w:tr>
      <w:tr w:rsidR="00643C51" w:rsidRPr="008D2440" w:rsidTr="00196FBC">
        <w:trPr>
          <w:cantSplit/>
          <w:jc w:val="center"/>
        </w:trPr>
        <w:tc>
          <w:tcPr>
            <w:tcW w:w="1342" w:type="dxa"/>
            <w:vMerge/>
            <w:shd w:val="clear" w:color="auto" w:fill="auto"/>
          </w:tcPr>
          <w:p w:rsidR="00643C51" w:rsidRPr="009072DA" w:rsidRDefault="00643C51" w:rsidP="000D7607">
            <w:pPr>
              <w:spacing w:before="40" w:after="40" w:line="240" w:lineRule="atLeast"/>
              <w:rPr>
                <w:rFonts w:cs="Arial"/>
                <w:sz w:val="18"/>
                <w:szCs w:val="18"/>
                <w:lang w:val="bg-BG"/>
              </w:rPr>
            </w:pPr>
          </w:p>
        </w:tc>
        <w:tc>
          <w:tcPr>
            <w:tcW w:w="1458" w:type="dxa"/>
            <w:vMerge/>
            <w:shd w:val="clear" w:color="auto" w:fill="auto"/>
          </w:tcPr>
          <w:p w:rsidR="00643C51" w:rsidRPr="009072DA" w:rsidRDefault="00643C51" w:rsidP="000D7607">
            <w:pPr>
              <w:spacing w:before="40" w:after="40" w:line="240" w:lineRule="atLeast"/>
              <w:rPr>
                <w:rFonts w:cs="Arial"/>
                <w:sz w:val="18"/>
                <w:szCs w:val="18"/>
                <w:lang w:val="bg-BG"/>
              </w:rPr>
            </w:pPr>
          </w:p>
        </w:tc>
        <w:tc>
          <w:tcPr>
            <w:tcW w:w="3296" w:type="dxa"/>
            <w:shd w:val="clear" w:color="auto" w:fill="auto"/>
          </w:tcPr>
          <w:p w:rsidR="00643C51" w:rsidRPr="009072DA" w:rsidRDefault="00643C51" w:rsidP="000D7607">
            <w:pPr>
              <w:spacing w:before="40" w:after="40" w:line="240" w:lineRule="atLeast"/>
              <w:rPr>
                <w:rFonts w:cs="Arial"/>
                <w:sz w:val="18"/>
                <w:szCs w:val="18"/>
                <w:lang w:val="bg-BG"/>
              </w:rPr>
            </w:pPr>
            <w:r w:rsidRPr="009072DA">
              <w:rPr>
                <w:sz w:val="18"/>
                <w:lang w:val="bg-BG"/>
              </w:rPr>
              <w:t>Навигационно радиолокационно оборудване и индикатори на ъгловата скорост на поворот, одобрени след 31 декември 2006 г.</w:t>
            </w:r>
          </w:p>
        </w:tc>
        <w:tc>
          <w:tcPr>
            <w:tcW w:w="6521" w:type="dxa"/>
            <w:shd w:val="clear" w:color="auto" w:fill="auto"/>
          </w:tcPr>
          <w:p w:rsidR="00643C51" w:rsidRPr="009072DA" w:rsidRDefault="00643C51" w:rsidP="000D7607">
            <w:pPr>
              <w:spacing w:before="40" w:after="40" w:line="240" w:lineRule="atLeast"/>
              <w:rPr>
                <w:rFonts w:cs="Arial"/>
                <w:sz w:val="18"/>
                <w:szCs w:val="18"/>
                <w:lang w:val="bg-BG"/>
              </w:rPr>
            </w:pPr>
            <w:r w:rsidRPr="009072DA">
              <w:rPr>
                <w:sz w:val="18"/>
                <w:lang w:val="bg-BG"/>
              </w:rPr>
              <w:t>Навигационно радиолокационно оборудване и индикатори на ъгловата скорост на поворот, които са одобрени на или след 31 декември 2006 г. съгласно минималните изисквания и условия на изпитване от Директива 2006/87/ЕО, могат да продължат да бъдат монтирани и използвани, ако е налице валидно удостоверение за монтаж в съответствие с настоящия стандарт или Директива 2006/87/ЕО.</w:t>
            </w:r>
          </w:p>
        </w:tc>
        <w:tc>
          <w:tcPr>
            <w:tcW w:w="1276" w:type="dxa"/>
            <w:shd w:val="clear" w:color="auto" w:fill="auto"/>
          </w:tcPr>
          <w:p w:rsidR="00643C51" w:rsidRPr="009072DA" w:rsidRDefault="00643C51" w:rsidP="000D7607">
            <w:pPr>
              <w:spacing w:before="40" w:after="40" w:line="240" w:lineRule="atLeast"/>
              <w:rPr>
                <w:rFonts w:cs="Arial"/>
                <w:sz w:val="18"/>
                <w:szCs w:val="18"/>
                <w:lang w:val="bg-BG"/>
              </w:rPr>
            </w:pPr>
          </w:p>
        </w:tc>
      </w:tr>
      <w:tr w:rsidR="00643C51" w:rsidRPr="008D2440" w:rsidTr="00F76D36">
        <w:trPr>
          <w:cantSplit/>
          <w:jc w:val="center"/>
        </w:trPr>
        <w:tc>
          <w:tcPr>
            <w:tcW w:w="1342" w:type="dxa"/>
            <w:vMerge/>
            <w:tcBorders>
              <w:bottom w:val="nil"/>
            </w:tcBorders>
            <w:shd w:val="clear" w:color="auto" w:fill="auto"/>
          </w:tcPr>
          <w:p w:rsidR="00643C51" w:rsidRPr="009072DA" w:rsidRDefault="00643C51" w:rsidP="000D7607">
            <w:pPr>
              <w:spacing w:before="40" w:after="40" w:line="240" w:lineRule="atLeast"/>
              <w:rPr>
                <w:rFonts w:cs="Arial"/>
                <w:sz w:val="18"/>
                <w:szCs w:val="18"/>
                <w:lang w:val="bg-BG"/>
              </w:rPr>
            </w:pPr>
          </w:p>
        </w:tc>
        <w:tc>
          <w:tcPr>
            <w:tcW w:w="1458" w:type="dxa"/>
            <w:vMerge/>
            <w:tcBorders>
              <w:bottom w:val="nil"/>
            </w:tcBorders>
            <w:shd w:val="clear" w:color="auto" w:fill="auto"/>
          </w:tcPr>
          <w:p w:rsidR="00643C51" w:rsidRPr="009072DA" w:rsidRDefault="00643C51" w:rsidP="000D7607">
            <w:pPr>
              <w:spacing w:before="40" w:after="40" w:line="240" w:lineRule="atLeast"/>
              <w:rPr>
                <w:rFonts w:cs="Arial"/>
                <w:sz w:val="18"/>
                <w:szCs w:val="18"/>
                <w:lang w:val="bg-BG"/>
              </w:rPr>
            </w:pPr>
          </w:p>
        </w:tc>
        <w:tc>
          <w:tcPr>
            <w:tcW w:w="3296" w:type="dxa"/>
            <w:tcBorders>
              <w:bottom w:val="single" w:sz="4" w:space="0" w:color="auto"/>
            </w:tcBorders>
            <w:shd w:val="clear" w:color="auto" w:fill="auto"/>
          </w:tcPr>
          <w:p w:rsidR="00643C51" w:rsidRPr="009072DA" w:rsidRDefault="00643C51" w:rsidP="000D7607">
            <w:pPr>
              <w:spacing w:before="40" w:after="40" w:line="240" w:lineRule="atLeast"/>
              <w:rPr>
                <w:rFonts w:cs="Arial"/>
                <w:sz w:val="18"/>
                <w:szCs w:val="18"/>
                <w:lang w:val="bg-BG"/>
              </w:rPr>
            </w:pPr>
            <w:r w:rsidRPr="009072DA">
              <w:rPr>
                <w:sz w:val="18"/>
                <w:lang w:val="bg-BG"/>
              </w:rPr>
              <w:t>Навигационно радиолокационно оборудване и индикатори на ъгловата скорост на поворот, одобрени след 1</w:t>
            </w:r>
            <w:r w:rsidRPr="009072DA">
              <w:rPr>
                <w:sz w:val="18"/>
                <w:vertAlign w:val="superscript"/>
                <w:lang w:val="bg-BG"/>
              </w:rPr>
              <w:t>-ви</w:t>
            </w:r>
            <w:r w:rsidRPr="009072DA">
              <w:rPr>
                <w:sz w:val="18"/>
                <w:lang w:val="bg-BG"/>
              </w:rPr>
              <w:t xml:space="preserve"> декември 2009 г.</w:t>
            </w:r>
          </w:p>
        </w:tc>
        <w:tc>
          <w:tcPr>
            <w:tcW w:w="6521" w:type="dxa"/>
            <w:shd w:val="clear" w:color="auto" w:fill="auto"/>
          </w:tcPr>
          <w:p w:rsidR="00643C51" w:rsidRPr="009072DA" w:rsidRDefault="00643C51" w:rsidP="000D7607">
            <w:pPr>
              <w:spacing w:before="40" w:after="40" w:line="240" w:lineRule="atLeast"/>
              <w:rPr>
                <w:rFonts w:cs="Arial"/>
                <w:sz w:val="18"/>
                <w:szCs w:val="18"/>
                <w:lang w:val="bg-BG"/>
              </w:rPr>
            </w:pPr>
            <w:r w:rsidRPr="009072DA">
              <w:rPr>
                <w:sz w:val="18"/>
                <w:lang w:val="bg-BG"/>
              </w:rPr>
              <w:t>Навигационно радиолокационно оборудване и индикатори на ъгловата скорост на поворот, които са одобрени на или след 1 декември 2009 г. съгласно минималните изисквания и условия на изпитване от Резолюция 2008-II-11 на ЦККР, могат да продължат да бъдат монтирани и използвани, ако е налице валидно удостоверение за монтаж в съответствие с настоящия стандарт или Резолюция 2008-II-11 на ЦККР.</w:t>
            </w:r>
          </w:p>
        </w:tc>
        <w:tc>
          <w:tcPr>
            <w:tcW w:w="1276" w:type="dxa"/>
            <w:shd w:val="clear" w:color="auto" w:fill="auto"/>
          </w:tcPr>
          <w:p w:rsidR="00643C51" w:rsidRPr="009072DA" w:rsidRDefault="00643C51" w:rsidP="000D7607">
            <w:pPr>
              <w:spacing w:before="40" w:after="40" w:line="240" w:lineRule="atLeast"/>
              <w:rPr>
                <w:rFonts w:cs="Arial"/>
                <w:sz w:val="18"/>
                <w:szCs w:val="18"/>
                <w:lang w:val="bg-BG"/>
              </w:rPr>
            </w:pPr>
          </w:p>
        </w:tc>
      </w:tr>
      <w:tr w:rsidR="00643C51" w:rsidRPr="008D2440" w:rsidTr="00F76D36">
        <w:trPr>
          <w:cantSplit/>
          <w:jc w:val="center"/>
        </w:trPr>
        <w:tc>
          <w:tcPr>
            <w:tcW w:w="1342" w:type="dxa"/>
            <w:tcBorders>
              <w:top w:val="nil"/>
              <w:bottom w:val="nil"/>
            </w:tcBorders>
            <w:shd w:val="clear" w:color="auto" w:fill="auto"/>
          </w:tcPr>
          <w:p w:rsidR="00643C51" w:rsidRPr="009072DA" w:rsidRDefault="00643C51" w:rsidP="004F5E7B">
            <w:pPr>
              <w:spacing w:before="120" w:after="120" w:line="240" w:lineRule="atLeast"/>
              <w:rPr>
                <w:rFonts w:cs="Arial"/>
                <w:sz w:val="18"/>
                <w:szCs w:val="18"/>
                <w:lang w:val="bg-BG"/>
              </w:rPr>
            </w:pPr>
          </w:p>
        </w:tc>
        <w:tc>
          <w:tcPr>
            <w:tcW w:w="1458" w:type="dxa"/>
            <w:tcBorders>
              <w:top w:val="nil"/>
              <w:bottom w:val="nil"/>
            </w:tcBorders>
            <w:shd w:val="clear" w:color="auto" w:fill="auto"/>
          </w:tcPr>
          <w:p w:rsidR="00643C51" w:rsidRPr="009072DA" w:rsidRDefault="00643C51" w:rsidP="00B90A00">
            <w:pPr>
              <w:spacing w:before="60" w:after="60" w:line="240" w:lineRule="atLeast"/>
              <w:rPr>
                <w:rFonts w:cs="Arial"/>
                <w:sz w:val="18"/>
                <w:szCs w:val="18"/>
                <w:lang w:val="bg-BG"/>
              </w:rPr>
            </w:pPr>
            <w:r w:rsidRPr="009072DA">
              <w:rPr>
                <w:sz w:val="18"/>
                <w:lang w:val="bg-BG"/>
              </w:rPr>
              <w:t>Точка 3</w:t>
            </w:r>
          </w:p>
        </w:tc>
        <w:tc>
          <w:tcPr>
            <w:tcW w:w="3296" w:type="dxa"/>
            <w:tcBorders>
              <w:bottom w:val="nil"/>
            </w:tcBorders>
            <w:shd w:val="clear" w:color="auto" w:fill="auto"/>
          </w:tcPr>
          <w:p w:rsidR="00643C51" w:rsidRPr="009072DA" w:rsidRDefault="00643C51" w:rsidP="00B90A00">
            <w:pPr>
              <w:spacing w:before="60" w:after="60" w:line="240" w:lineRule="atLeast"/>
              <w:rPr>
                <w:rFonts w:cs="Arial"/>
                <w:sz w:val="18"/>
                <w:szCs w:val="18"/>
                <w:lang w:val="bg-BG"/>
              </w:rPr>
            </w:pPr>
            <w:r w:rsidRPr="009072DA">
              <w:rPr>
                <w:sz w:val="18"/>
                <w:lang w:val="bg-BG"/>
              </w:rPr>
              <w:t>Оборудване за AIS за вътрешните водни пътища</w:t>
            </w:r>
          </w:p>
        </w:tc>
        <w:tc>
          <w:tcPr>
            <w:tcW w:w="6521" w:type="dxa"/>
            <w:shd w:val="clear" w:color="auto" w:fill="auto"/>
          </w:tcPr>
          <w:p w:rsidR="00643C51" w:rsidRPr="009072DA" w:rsidRDefault="00643C51" w:rsidP="00643C51">
            <w:pPr>
              <w:spacing w:before="40" w:after="40" w:line="240" w:lineRule="atLeast"/>
              <w:rPr>
                <w:rFonts w:cs="Arial"/>
                <w:sz w:val="18"/>
                <w:szCs w:val="18"/>
                <w:lang w:val="bg-BG"/>
              </w:rPr>
            </w:pPr>
            <w:r w:rsidRPr="009072DA">
              <w:rPr>
                <w:sz w:val="18"/>
                <w:lang w:val="bg-BG"/>
              </w:rPr>
              <w:t>Оборудването за AIS за вътрешните водни пътища с одобрение на типа в съответствие с издание 1.0 и 1.01 на стандарта за изпитване за AIS за вътрешни водни пътища, инсталирано преди 1 декември 2015 г. може да продължи да се използва.</w:t>
            </w:r>
          </w:p>
        </w:tc>
        <w:tc>
          <w:tcPr>
            <w:tcW w:w="1276" w:type="dxa"/>
            <w:shd w:val="clear" w:color="auto" w:fill="auto"/>
          </w:tcPr>
          <w:p w:rsidR="00643C51" w:rsidRPr="009072DA" w:rsidRDefault="00643C51" w:rsidP="004F5E7B">
            <w:pPr>
              <w:spacing w:before="120" w:after="120" w:line="240" w:lineRule="atLeast"/>
              <w:rPr>
                <w:rFonts w:cs="Arial"/>
                <w:sz w:val="18"/>
                <w:szCs w:val="18"/>
                <w:lang w:val="bg-BG"/>
              </w:rPr>
            </w:pPr>
          </w:p>
        </w:tc>
      </w:tr>
      <w:tr w:rsidR="00F76D36" w:rsidRPr="008D2440" w:rsidTr="00F76D36">
        <w:trPr>
          <w:cantSplit/>
          <w:jc w:val="center"/>
        </w:trPr>
        <w:tc>
          <w:tcPr>
            <w:tcW w:w="1342" w:type="dxa"/>
            <w:tcBorders>
              <w:top w:val="nil"/>
            </w:tcBorders>
            <w:shd w:val="clear" w:color="auto" w:fill="auto"/>
          </w:tcPr>
          <w:p w:rsidR="00F76D36" w:rsidRPr="009072DA" w:rsidRDefault="00F76D36" w:rsidP="004F5E7B">
            <w:pPr>
              <w:spacing w:before="120" w:after="120" w:line="240" w:lineRule="atLeast"/>
              <w:rPr>
                <w:rFonts w:cs="Arial"/>
                <w:sz w:val="18"/>
                <w:szCs w:val="18"/>
                <w:lang w:val="bg-BG"/>
              </w:rPr>
            </w:pPr>
          </w:p>
        </w:tc>
        <w:tc>
          <w:tcPr>
            <w:tcW w:w="1458" w:type="dxa"/>
            <w:tcBorders>
              <w:top w:val="nil"/>
            </w:tcBorders>
            <w:shd w:val="clear" w:color="auto" w:fill="auto"/>
          </w:tcPr>
          <w:p w:rsidR="00F76D36" w:rsidRPr="009072DA" w:rsidRDefault="00F76D36" w:rsidP="00B90A00">
            <w:pPr>
              <w:spacing w:before="60" w:after="60" w:line="240" w:lineRule="atLeast"/>
              <w:rPr>
                <w:rFonts w:cs="Arial"/>
                <w:sz w:val="18"/>
                <w:szCs w:val="18"/>
                <w:lang w:val="bg-BG"/>
              </w:rPr>
            </w:pPr>
          </w:p>
        </w:tc>
        <w:tc>
          <w:tcPr>
            <w:tcW w:w="3296" w:type="dxa"/>
            <w:tcBorders>
              <w:top w:val="nil"/>
            </w:tcBorders>
            <w:shd w:val="clear" w:color="auto" w:fill="auto"/>
          </w:tcPr>
          <w:p w:rsidR="00F76D36" w:rsidRPr="009072DA" w:rsidRDefault="00F76D36" w:rsidP="00B90A00">
            <w:pPr>
              <w:spacing w:before="60" w:after="60" w:line="240" w:lineRule="atLeast"/>
              <w:rPr>
                <w:rFonts w:cs="Arial"/>
                <w:sz w:val="18"/>
                <w:szCs w:val="18"/>
                <w:lang w:val="bg-BG"/>
              </w:rPr>
            </w:pPr>
          </w:p>
        </w:tc>
        <w:tc>
          <w:tcPr>
            <w:tcW w:w="6521" w:type="dxa"/>
            <w:shd w:val="clear" w:color="auto" w:fill="auto"/>
          </w:tcPr>
          <w:p w:rsidR="00F76D36" w:rsidRPr="009072DA" w:rsidRDefault="00F76D36" w:rsidP="007A3786">
            <w:pPr>
              <w:spacing w:before="40" w:after="40" w:line="240" w:lineRule="atLeast"/>
              <w:rPr>
                <w:rFonts w:cs="Arial"/>
                <w:sz w:val="18"/>
                <w:szCs w:val="18"/>
                <w:lang w:val="bg-BG"/>
              </w:rPr>
            </w:pPr>
            <w:r w:rsidRPr="009072DA">
              <w:rPr>
                <w:sz w:val="18"/>
                <w:lang w:val="bg-BG"/>
              </w:rPr>
              <w:t>Оборудването за AIS за вътрешни водни пътища, одобрено на 19 октомври 2012 г. или след тази дата, съгласно изискванията на стандарта за изпитване за AIS за вътрешни водни пътища, издание 2.0, прието с Резолюция 2012-II-20 на ЦККР, може да продължи да бъде инсталирано и използвано.</w:t>
            </w:r>
          </w:p>
        </w:tc>
        <w:tc>
          <w:tcPr>
            <w:tcW w:w="1276" w:type="dxa"/>
            <w:shd w:val="clear" w:color="auto" w:fill="auto"/>
          </w:tcPr>
          <w:p w:rsidR="00F76D36" w:rsidRPr="009072DA" w:rsidRDefault="00F76D36" w:rsidP="004F5E7B">
            <w:pPr>
              <w:spacing w:before="120" w:after="120" w:line="240" w:lineRule="atLeast"/>
              <w:rPr>
                <w:rFonts w:cs="Arial"/>
                <w:sz w:val="18"/>
                <w:szCs w:val="18"/>
                <w:lang w:val="bg-BG"/>
              </w:rPr>
            </w:pPr>
          </w:p>
        </w:tc>
      </w:tr>
      <w:tr w:rsidR="00196FBC" w:rsidRPr="009072DA" w:rsidTr="00196FBC">
        <w:trPr>
          <w:cantSplit/>
          <w:jc w:val="center"/>
        </w:trPr>
        <w:tc>
          <w:tcPr>
            <w:tcW w:w="1342" w:type="dxa"/>
            <w:shd w:val="clear" w:color="auto" w:fill="auto"/>
          </w:tcPr>
          <w:p w:rsidR="00196FBC" w:rsidRPr="009072DA" w:rsidRDefault="00196FBC" w:rsidP="008D121C">
            <w:pPr>
              <w:spacing w:before="240" w:after="240" w:line="240" w:lineRule="atLeast"/>
              <w:rPr>
                <w:rFonts w:cs="Arial"/>
                <w:sz w:val="18"/>
                <w:szCs w:val="18"/>
                <w:lang w:val="bg-BG"/>
              </w:rPr>
            </w:pPr>
            <w:r w:rsidRPr="009072DA">
              <w:rPr>
                <w:sz w:val="18"/>
                <w:lang w:val="bg-BG"/>
              </w:rPr>
              <w:t>7.09</w:t>
            </w:r>
          </w:p>
        </w:tc>
        <w:tc>
          <w:tcPr>
            <w:tcW w:w="1458" w:type="dxa"/>
            <w:tcBorders>
              <w:bottom w:val="single" w:sz="4" w:space="0" w:color="auto"/>
            </w:tcBorders>
            <w:shd w:val="clear" w:color="auto" w:fill="auto"/>
          </w:tcPr>
          <w:p w:rsidR="00196FBC" w:rsidRPr="009072DA" w:rsidRDefault="00196FBC" w:rsidP="008D121C">
            <w:pPr>
              <w:spacing w:before="240" w:after="240" w:line="240" w:lineRule="atLeast"/>
              <w:rPr>
                <w:rFonts w:cs="Arial"/>
                <w:sz w:val="18"/>
                <w:szCs w:val="18"/>
                <w:lang w:val="bg-BG"/>
              </w:rPr>
            </w:pPr>
          </w:p>
        </w:tc>
        <w:tc>
          <w:tcPr>
            <w:tcW w:w="3296" w:type="dxa"/>
            <w:tcBorders>
              <w:bottom w:val="single" w:sz="4" w:space="0" w:color="auto"/>
            </w:tcBorders>
            <w:shd w:val="clear" w:color="auto" w:fill="auto"/>
          </w:tcPr>
          <w:p w:rsidR="00196FBC" w:rsidRPr="009072DA" w:rsidRDefault="00196FBC" w:rsidP="008D121C">
            <w:pPr>
              <w:spacing w:before="240" w:after="240" w:line="240" w:lineRule="atLeast"/>
              <w:rPr>
                <w:rFonts w:cs="Arial"/>
                <w:sz w:val="18"/>
                <w:szCs w:val="18"/>
                <w:lang w:val="bg-BG"/>
              </w:rPr>
            </w:pPr>
            <w:r w:rsidRPr="009072DA">
              <w:rPr>
                <w:sz w:val="18"/>
                <w:lang w:val="bg-BG"/>
              </w:rPr>
              <w:t>Алармена система</w:t>
            </w:r>
          </w:p>
        </w:tc>
        <w:tc>
          <w:tcPr>
            <w:tcW w:w="6521" w:type="dxa"/>
            <w:shd w:val="clear" w:color="auto" w:fill="auto"/>
          </w:tcPr>
          <w:p w:rsidR="00196FBC" w:rsidRPr="009072DA" w:rsidRDefault="008761D9" w:rsidP="008D121C">
            <w:pPr>
              <w:spacing w:before="240" w:after="2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8D121C">
            <w:pPr>
              <w:spacing w:before="240" w:after="240" w:line="240" w:lineRule="atLeast"/>
              <w:rPr>
                <w:rFonts w:cs="Arial"/>
                <w:sz w:val="18"/>
                <w:szCs w:val="18"/>
                <w:lang w:val="bg-BG"/>
              </w:rPr>
            </w:pPr>
            <w:r w:rsidRPr="009072DA">
              <w:rPr>
                <w:sz w:val="18"/>
                <w:lang w:val="bg-BG"/>
              </w:rPr>
              <w:t>1.1.2010 г.</w:t>
            </w:r>
          </w:p>
        </w:tc>
      </w:tr>
      <w:tr w:rsidR="007406CD" w:rsidRPr="008D2440" w:rsidTr="00F14E8B">
        <w:trPr>
          <w:cantSplit/>
          <w:jc w:val="center"/>
        </w:trPr>
        <w:tc>
          <w:tcPr>
            <w:tcW w:w="1342" w:type="dxa"/>
            <w:vMerge w:val="restart"/>
            <w:shd w:val="clear" w:color="auto" w:fill="auto"/>
          </w:tcPr>
          <w:p w:rsidR="007406CD" w:rsidRPr="009072DA" w:rsidRDefault="007406CD" w:rsidP="007406CD">
            <w:pPr>
              <w:spacing w:before="120" w:after="120" w:line="240" w:lineRule="atLeast"/>
              <w:rPr>
                <w:rFonts w:cs="Arial"/>
                <w:sz w:val="18"/>
                <w:szCs w:val="18"/>
                <w:lang w:val="bg-BG"/>
              </w:rPr>
            </w:pPr>
            <w:r w:rsidRPr="009072DA">
              <w:rPr>
                <w:sz w:val="18"/>
                <w:lang w:val="bg-BG"/>
              </w:rPr>
              <w:lastRenderedPageBreak/>
              <w:t>7.12</w:t>
            </w:r>
          </w:p>
        </w:tc>
        <w:tc>
          <w:tcPr>
            <w:tcW w:w="1458" w:type="dxa"/>
            <w:shd w:val="clear" w:color="auto" w:fill="auto"/>
          </w:tcPr>
          <w:p w:rsidR="007406CD" w:rsidRPr="009072DA" w:rsidRDefault="007406CD" w:rsidP="007406CD">
            <w:pPr>
              <w:widowControl w:val="0"/>
              <w:spacing w:before="60" w:after="60" w:line="240" w:lineRule="atLeast"/>
              <w:rPr>
                <w:rFonts w:cs="Arial"/>
                <w:sz w:val="18"/>
                <w:szCs w:val="18"/>
                <w:lang w:val="bg-BG"/>
              </w:rPr>
            </w:pPr>
            <w:r w:rsidRPr="009072DA">
              <w:rPr>
                <w:sz w:val="18"/>
                <w:lang w:val="bg-BG"/>
              </w:rPr>
              <w:t xml:space="preserve">Точка 4 </w:t>
            </w:r>
            <w:r w:rsidRPr="009072DA">
              <w:rPr>
                <w:rFonts w:cs="Arial"/>
                <w:sz w:val="18"/>
                <w:szCs w:val="18"/>
                <w:lang w:val="bg-BG"/>
              </w:rPr>
              <w:br/>
            </w:r>
            <w:r w:rsidRPr="009072DA">
              <w:rPr>
                <w:sz w:val="18"/>
                <w:lang w:val="bg-BG"/>
              </w:rPr>
              <w:t>2-ро изречение</w:t>
            </w:r>
          </w:p>
        </w:tc>
        <w:tc>
          <w:tcPr>
            <w:tcW w:w="3296" w:type="dxa"/>
            <w:shd w:val="clear" w:color="auto" w:fill="auto"/>
          </w:tcPr>
          <w:p w:rsidR="007406CD" w:rsidRPr="009072DA" w:rsidRDefault="007406CD" w:rsidP="000E732C">
            <w:pPr>
              <w:widowControl w:val="0"/>
              <w:spacing w:before="60" w:after="60" w:line="240" w:lineRule="atLeast"/>
              <w:rPr>
                <w:rFonts w:cs="Arial"/>
                <w:sz w:val="18"/>
                <w:szCs w:val="18"/>
                <w:lang w:val="bg-BG"/>
              </w:rPr>
            </w:pPr>
            <w:r w:rsidRPr="009072DA">
              <w:rPr>
                <w:sz w:val="18"/>
                <w:lang w:val="bg-BG"/>
              </w:rPr>
              <w:t>Указания</w:t>
            </w:r>
          </w:p>
        </w:tc>
        <w:tc>
          <w:tcPr>
            <w:tcW w:w="6521" w:type="dxa"/>
            <w:shd w:val="clear" w:color="auto" w:fill="auto"/>
          </w:tcPr>
          <w:p w:rsidR="007406CD" w:rsidRPr="009072DA" w:rsidRDefault="008761D9" w:rsidP="009942A5">
            <w:pPr>
              <w:widowControl w:val="0"/>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7406CD" w:rsidRPr="009072DA" w:rsidRDefault="007406CD" w:rsidP="000E732C">
            <w:pPr>
              <w:widowControl w:val="0"/>
              <w:spacing w:before="60" w:after="60" w:line="240" w:lineRule="atLeast"/>
              <w:rPr>
                <w:rFonts w:cs="Arial"/>
                <w:sz w:val="18"/>
                <w:szCs w:val="18"/>
                <w:lang w:val="bg-BG"/>
              </w:rPr>
            </w:pPr>
          </w:p>
        </w:tc>
      </w:tr>
      <w:tr w:rsidR="007406CD" w:rsidRPr="009072DA" w:rsidTr="007406CD">
        <w:trPr>
          <w:cantSplit/>
          <w:trHeight w:val="517"/>
          <w:jc w:val="center"/>
        </w:trPr>
        <w:tc>
          <w:tcPr>
            <w:tcW w:w="1342" w:type="dxa"/>
            <w:vMerge/>
            <w:shd w:val="clear" w:color="auto" w:fill="auto"/>
          </w:tcPr>
          <w:p w:rsidR="007406CD" w:rsidRPr="009072DA" w:rsidRDefault="007406CD" w:rsidP="009C40EF">
            <w:pPr>
              <w:spacing w:before="120" w:after="120" w:line="240" w:lineRule="atLeast"/>
              <w:rPr>
                <w:rFonts w:cs="Arial"/>
                <w:sz w:val="18"/>
                <w:szCs w:val="18"/>
                <w:lang w:val="bg-BG"/>
              </w:rPr>
            </w:pPr>
          </w:p>
        </w:tc>
        <w:tc>
          <w:tcPr>
            <w:tcW w:w="1458" w:type="dxa"/>
            <w:shd w:val="clear" w:color="auto" w:fill="auto"/>
          </w:tcPr>
          <w:p w:rsidR="007406CD" w:rsidRPr="009072DA" w:rsidRDefault="007406CD" w:rsidP="007406CD">
            <w:pPr>
              <w:widowControl w:val="0"/>
              <w:spacing w:before="60" w:after="60" w:line="240" w:lineRule="atLeast"/>
              <w:rPr>
                <w:rFonts w:cs="Arial"/>
                <w:sz w:val="18"/>
                <w:szCs w:val="18"/>
                <w:lang w:val="bg-BG"/>
              </w:rPr>
            </w:pPr>
            <w:r w:rsidRPr="009072DA">
              <w:rPr>
                <w:sz w:val="18"/>
                <w:lang w:val="bg-BG"/>
              </w:rPr>
              <w:t>Точка 5</w:t>
            </w:r>
          </w:p>
        </w:tc>
        <w:tc>
          <w:tcPr>
            <w:tcW w:w="3296" w:type="dxa"/>
            <w:shd w:val="clear" w:color="auto" w:fill="auto"/>
          </w:tcPr>
          <w:p w:rsidR="007406CD" w:rsidRPr="009072DA" w:rsidRDefault="007406CD" w:rsidP="000E732C">
            <w:pPr>
              <w:widowControl w:val="0"/>
              <w:spacing w:before="60" w:after="60" w:line="240" w:lineRule="atLeast"/>
              <w:rPr>
                <w:rFonts w:cs="Arial"/>
                <w:sz w:val="18"/>
                <w:szCs w:val="18"/>
                <w:lang w:val="bg-BG"/>
              </w:rPr>
            </w:pPr>
            <w:r w:rsidRPr="009072DA">
              <w:rPr>
                <w:sz w:val="18"/>
                <w:lang w:val="bg-BG"/>
              </w:rPr>
              <w:t>Спиране и блокиране</w:t>
            </w:r>
          </w:p>
        </w:tc>
        <w:tc>
          <w:tcPr>
            <w:tcW w:w="6521" w:type="dxa"/>
            <w:shd w:val="clear" w:color="auto" w:fill="auto"/>
          </w:tcPr>
          <w:p w:rsidR="007406CD" w:rsidRPr="009072DA" w:rsidRDefault="008761D9" w:rsidP="009942A5">
            <w:pPr>
              <w:widowControl w:val="0"/>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7406CD" w:rsidRPr="009072DA" w:rsidRDefault="007406CD" w:rsidP="000E732C">
            <w:pPr>
              <w:widowControl w:val="0"/>
              <w:spacing w:before="60" w:after="60" w:line="240" w:lineRule="atLeast"/>
              <w:rPr>
                <w:rFonts w:cs="Arial"/>
                <w:sz w:val="18"/>
                <w:szCs w:val="18"/>
                <w:lang w:val="bg-BG"/>
              </w:rPr>
            </w:pPr>
            <w:r w:rsidRPr="009072DA">
              <w:rPr>
                <w:sz w:val="18"/>
                <w:lang w:val="bg-BG"/>
              </w:rPr>
              <w:t>1.1.2025 г.</w:t>
            </w:r>
          </w:p>
        </w:tc>
      </w:tr>
      <w:tr w:rsidR="007406CD" w:rsidRPr="009072DA" w:rsidTr="007406CD">
        <w:trPr>
          <w:cantSplit/>
          <w:trHeight w:val="553"/>
          <w:jc w:val="center"/>
        </w:trPr>
        <w:tc>
          <w:tcPr>
            <w:tcW w:w="1342" w:type="dxa"/>
            <w:vMerge/>
            <w:shd w:val="clear" w:color="auto" w:fill="auto"/>
          </w:tcPr>
          <w:p w:rsidR="007406CD" w:rsidRPr="009072DA" w:rsidRDefault="007406CD" w:rsidP="009C40EF">
            <w:pPr>
              <w:spacing w:before="120" w:after="120" w:line="240" w:lineRule="atLeast"/>
              <w:rPr>
                <w:rFonts w:cs="Arial"/>
                <w:sz w:val="18"/>
                <w:szCs w:val="18"/>
                <w:lang w:val="bg-BG"/>
              </w:rPr>
            </w:pPr>
          </w:p>
        </w:tc>
        <w:tc>
          <w:tcPr>
            <w:tcW w:w="1458" w:type="dxa"/>
            <w:shd w:val="clear" w:color="auto" w:fill="auto"/>
          </w:tcPr>
          <w:p w:rsidR="007406CD" w:rsidRPr="009072DA" w:rsidRDefault="007406CD" w:rsidP="007406CD">
            <w:pPr>
              <w:widowControl w:val="0"/>
              <w:spacing w:before="60" w:after="60" w:line="240" w:lineRule="atLeast"/>
              <w:rPr>
                <w:rFonts w:cs="Arial"/>
                <w:sz w:val="18"/>
                <w:szCs w:val="18"/>
                <w:lang w:val="bg-BG"/>
              </w:rPr>
            </w:pPr>
            <w:r w:rsidRPr="009072DA">
              <w:rPr>
                <w:sz w:val="18"/>
                <w:lang w:val="bg-BG"/>
              </w:rPr>
              <w:t>Точка 6</w:t>
            </w:r>
          </w:p>
        </w:tc>
        <w:tc>
          <w:tcPr>
            <w:tcW w:w="3296" w:type="dxa"/>
            <w:shd w:val="clear" w:color="auto" w:fill="auto"/>
          </w:tcPr>
          <w:p w:rsidR="007406CD" w:rsidRPr="009072DA" w:rsidRDefault="007406CD" w:rsidP="000E732C">
            <w:pPr>
              <w:widowControl w:val="0"/>
              <w:spacing w:before="60" w:after="60" w:line="240" w:lineRule="atLeast"/>
              <w:rPr>
                <w:rFonts w:cs="Arial"/>
                <w:sz w:val="18"/>
                <w:szCs w:val="18"/>
                <w:lang w:val="bg-BG"/>
              </w:rPr>
            </w:pPr>
            <w:r w:rsidRPr="009072DA">
              <w:rPr>
                <w:sz w:val="18"/>
                <w:lang w:val="bg-BG"/>
              </w:rPr>
              <w:t>Автоматично изключване</w:t>
            </w:r>
          </w:p>
        </w:tc>
        <w:tc>
          <w:tcPr>
            <w:tcW w:w="6521" w:type="dxa"/>
            <w:shd w:val="clear" w:color="auto" w:fill="auto"/>
          </w:tcPr>
          <w:p w:rsidR="007406CD" w:rsidRPr="009072DA" w:rsidRDefault="008761D9" w:rsidP="009942A5">
            <w:pPr>
              <w:widowControl w:val="0"/>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7406CD" w:rsidRPr="009072DA" w:rsidRDefault="007406CD" w:rsidP="000E732C">
            <w:pPr>
              <w:widowControl w:val="0"/>
              <w:spacing w:before="60" w:after="60" w:line="240" w:lineRule="atLeast"/>
              <w:rPr>
                <w:rFonts w:cs="Arial"/>
                <w:sz w:val="18"/>
                <w:szCs w:val="18"/>
                <w:lang w:val="bg-BG"/>
              </w:rPr>
            </w:pPr>
            <w:r w:rsidRPr="009072DA">
              <w:rPr>
                <w:sz w:val="18"/>
                <w:lang w:val="bg-BG"/>
              </w:rPr>
              <w:t>1.1.2025 г.</w:t>
            </w:r>
          </w:p>
        </w:tc>
      </w:tr>
      <w:tr w:rsidR="007406CD" w:rsidRPr="009072DA" w:rsidTr="00F14E8B">
        <w:trPr>
          <w:cantSplit/>
          <w:jc w:val="center"/>
        </w:trPr>
        <w:tc>
          <w:tcPr>
            <w:tcW w:w="1342" w:type="dxa"/>
            <w:vMerge/>
            <w:shd w:val="clear" w:color="auto" w:fill="auto"/>
          </w:tcPr>
          <w:p w:rsidR="007406CD" w:rsidRPr="009072DA" w:rsidRDefault="007406CD" w:rsidP="009C40EF">
            <w:pPr>
              <w:spacing w:before="120" w:after="120" w:line="240" w:lineRule="atLeast"/>
              <w:rPr>
                <w:rFonts w:cs="Arial"/>
                <w:sz w:val="18"/>
                <w:szCs w:val="18"/>
                <w:lang w:val="bg-BG"/>
              </w:rPr>
            </w:pPr>
          </w:p>
        </w:tc>
        <w:tc>
          <w:tcPr>
            <w:tcW w:w="1458" w:type="dxa"/>
            <w:shd w:val="clear" w:color="auto" w:fill="auto"/>
          </w:tcPr>
          <w:p w:rsidR="007406CD" w:rsidRPr="009072DA" w:rsidRDefault="007406CD" w:rsidP="007406CD">
            <w:pPr>
              <w:widowControl w:val="0"/>
              <w:spacing w:before="60" w:after="60" w:line="240" w:lineRule="atLeast"/>
              <w:rPr>
                <w:rFonts w:cs="Arial"/>
                <w:sz w:val="18"/>
                <w:szCs w:val="18"/>
                <w:lang w:val="bg-BG"/>
              </w:rPr>
            </w:pPr>
            <w:r w:rsidRPr="009072DA">
              <w:rPr>
                <w:sz w:val="18"/>
                <w:lang w:val="bg-BG"/>
              </w:rPr>
              <w:t xml:space="preserve">Точка 7 </w:t>
            </w:r>
            <w:r w:rsidRPr="009072DA">
              <w:rPr>
                <w:rFonts w:cs="Arial"/>
                <w:sz w:val="18"/>
                <w:szCs w:val="18"/>
                <w:lang w:val="bg-BG"/>
              </w:rPr>
              <w:br/>
            </w:r>
            <w:r w:rsidRPr="009072DA">
              <w:rPr>
                <w:sz w:val="18"/>
                <w:lang w:val="bg-BG"/>
              </w:rPr>
              <w:t>1-во и 2-ро изречение</w:t>
            </w:r>
          </w:p>
        </w:tc>
        <w:tc>
          <w:tcPr>
            <w:tcW w:w="3296" w:type="dxa"/>
            <w:shd w:val="clear" w:color="auto" w:fill="auto"/>
          </w:tcPr>
          <w:p w:rsidR="007406CD" w:rsidRPr="009072DA" w:rsidRDefault="007406CD" w:rsidP="000E732C">
            <w:pPr>
              <w:widowControl w:val="0"/>
              <w:spacing w:before="60" w:after="60" w:line="240" w:lineRule="atLeast"/>
              <w:rPr>
                <w:rFonts w:cs="Arial"/>
                <w:sz w:val="18"/>
                <w:szCs w:val="18"/>
                <w:lang w:val="bg-BG"/>
              </w:rPr>
            </w:pPr>
            <w:r w:rsidRPr="009072DA">
              <w:rPr>
                <w:sz w:val="18"/>
                <w:lang w:val="bg-BG"/>
              </w:rPr>
              <w:t>Мерки и функции за защита</w:t>
            </w:r>
          </w:p>
        </w:tc>
        <w:tc>
          <w:tcPr>
            <w:tcW w:w="6521" w:type="dxa"/>
            <w:shd w:val="clear" w:color="auto" w:fill="auto"/>
          </w:tcPr>
          <w:p w:rsidR="007406CD" w:rsidRPr="009072DA" w:rsidRDefault="008761D9" w:rsidP="009942A5">
            <w:pPr>
              <w:widowControl w:val="0"/>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7406CD" w:rsidRPr="009072DA" w:rsidRDefault="007406CD" w:rsidP="000E732C">
            <w:pPr>
              <w:widowControl w:val="0"/>
              <w:spacing w:before="60" w:after="60" w:line="240" w:lineRule="atLeast"/>
              <w:rPr>
                <w:rFonts w:cs="Arial"/>
                <w:sz w:val="18"/>
                <w:szCs w:val="18"/>
                <w:lang w:val="bg-BG"/>
              </w:rPr>
            </w:pPr>
            <w:r w:rsidRPr="009072DA">
              <w:rPr>
                <w:sz w:val="18"/>
                <w:lang w:val="bg-BG"/>
              </w:rPr>
              <w:t>1.1.2025 г.</w:t>
            </w:r>
          </w:p>
        </w:tc>
      </w:tr>
      <w:tr w:rsidR="007406CD" w:rsidRPr="008D2440" w:rsidTr="00F14E8B">
        <w:trPr>
          <w:cantSplit/>
          <w:jc w:val="center"/>
        </w:trPr>
        <w:tc>
          <w:tcPr>
            <w:tcW w:w="1342" w:type="dxa"/>
            <w:vMerge/>
            <w:shd w:val="clear" w:color="auto" w:fill="auto"/>
          </w:tcPr>
          <w:p w:rsidR="007406CD" w:rsidRPr="009072DA" w:rsidRDefault="007406CD" w:rsidP="009C40EF">
            <w:pPr>
              <w:spacing w:before="120" w:after="120" w:line="240" w:lineRule="atLeast"/>
              <w:rPr>
                <w:rFonts w:cs="Arial"/>
                <w:sz w:val="18"/>
                <w:szCs w:val="18"/>
                <w:lang w:val="bg-BG"/>
              </w:rPr>
            </w:pPr>
          </w:p>
        </w:tc>
        <w:tc>
          <w:tcPr>
            <w:tcW w:w="1458" w:type="dxa"/>
            <w:shd w:val="clear" w:color="auto" w:fill="auto"/>
          </w:tcPr>
          <w:p w:rsidR="007406CD" w:rsidRPr="009072DA" w:rsidRDefault="007406CD" w:rsidP="007406CD">
            <w:pPr>
              <w:widowControl w:val="0"/>
              <w:spacing w:before="60" w:after="60" w:line="240" w:lineRule="atLeast"/>
              <w:rPr>
                <w:rFonts w:cs="Arial"/>
                <w:sz w:val="18"/>
                <w:szCs w:val="18"/>
                <w:lang w:val="bg-BG"/>
              </w:rPr>
            </w:pPr>
            <w:r w:rsidRPr="009072DA">
              <w:rPr>
                <w:sz w:val="18"/>
                <w:lang w:val="bg-BG"/>
              </w:rPr>
              <w:t xml:space="preserve">Точка 7 </w:t>
            </w:r>
            <w:r w:rsidRPr="009072DA">
              <w:rPr>
                <w:rFonts w:cs="Arial"/>
                <w:sz w:val="18"/>
                <w:szCs w:val="18"/>
                <w:lang w:val="bg-BG"/>
              </w:rPr>
              <w:br/>
            </w:r>
            <w:r w:rsidRPr="009072DA">
              <w:rPr>
                <w:sz w:val="18"/>
                <w:lang w:val="bg-BG"/>
              </w:rPr>
              <w:t>3-то изречение</w:t>
            </w:r>
          </w:p>
        </w:tc>
        <w:tc>
          <w:tcPr>
            <w:tcW w:w="3296" w:type="dxa"/>
            <w:shd w:val="clear" w:color="auto" w:fill="auto"/>
          </w:tcPr>
          <w:p w:rsidR="007406CD" w:rsidRPr="009072DA" w:rsidRDefault="007406CD" w:rsidP="000E732C">
            <w:pPr>
              <w:widowControl w:val="0"/>
              <w:spacing w:before="60" w:after="60" w:line="240" w:lineRule="atLeast"/>
              <w:rPr>
                <w:rFonts w:cs="Arial"/>
                <w:sz w:val="18"/>
                <w:szCs w:val="18"/>
                <w:lang w:val="bg-BG"/>
              </w:rPr>
            </w:pPr>
            <w:r w:rsidRPr="009072DA">
              <w:rPr>
                <w:sz w:val="18"/>
                <w:lang w:val="bg-BG"/>
              </w:rPr>
              <w:t>Оптичен сигнал</w:t>
            </w:r>
          </w:p>
        </w:tc>
        <w:tc>
          <w:tcPr>
            <w:tcW w:w="6521" w:type="dxa"/>
            <w:shd w:val="clear" w:color="auto" w:fill="auto"/>
          </w:tcPr>
          <w:p w:rsidR="007406CD" w:rsidRPr="009072DA" w:rsidRDefault="008761D9" w:rsidP="009942A5">
            <w:pPr>
              <w:widowControl w:val="0"/>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7406CD" w:rsidRPr="009072DA" w:rsidRDefault="007406CD" w:rsidP="000E732C">
            <w:pPr>
              <w:widowControl w:val="0"/>
              <w:spacing w:before="60" w:after="60" w:line="240" w:lineRule="atLeast"/>
              <w:rPr>
                <w:rFonts w:cs="Arial"/>
                <w:sz w:val="18"/>
                <w:szCs w:val="18"/>
                <w:lang w:val="bg-BG"/>
              </w:rPr>
            </w:pPr>
          </w:p>
        </w:tc>
      </w:tr>
      <w:tr w:rsidR="007406CD" w:rsidRPr="009072DA" w:rsidTr="00F14E8B">
        <w:trPr>
          <w:cantSplit/>
          <w:jc w:val="center"/>
        </w:trPr>
        <w:tc>
          <w:tcPr>
            <w:tcW w:w="1342" w:type="dxa"/>
            <w:vMerge/>
            <w:shd w:val="clear" w:color="auto" w:fill="auto"/>
          </w:tcPr>
          <w:p w:rsidR="007406CD" w:rsidRPr="009072DA" w:rsidRDefault="007406CD" w:rsidP="009C40EF">
            <w:pPr>
              <w:spacing w:before="120" w:after="120" w:line="240" w:lineRule="atLeast"/>
              <w:rPr>
                <w:rFonts w:cs="Arial"/>
                <w:sz w:val="18"/>
                <w:szCs w:val="18"/>
                <w:lang w:val="bg-BG"/>
              </w:rPr>
            </w:pPr>
          </w:p>
        </w:tc>
        <w:tc>
          <w:tcPr>
            <w:tcW w:w="1458" w:type="dxa"/>
            <w:shd w:val="clear" w:color="auto" w:fill="auto"/>
          </w:tcPr>
          <w:p w:rsidR="007406CD" w:rsidRPr="009072DA" w:rsidRDefault="007406CD" w:rsidP="007406CD">
            <w:pPr>
              <w:widowControl w:val="0"/>
              <w:spacing w:before="60" w:after="60" w:line="240" w:lineRule="atLeast"/>
              <w:rPr>
                <w:rFonts w:cs="Arial"/>
                <w:sz w:val="18"/>
                <w:szCs w:val="18"/>
                <w:lang w:val="bg-BG"/>
              </w:rPr>
            </w:pPr>
            <w:r w:rsidRPr="009072DA">
              <w:rPr>
                <w:sz w:val="18"/>
                <w:lang w:val="bg-BG"/>
              </w:rPr>
              <w:t>Точка 8</w:t>
            </w:r>
          </w:p>
        </w:tc>
        <w:tc>
          <w:tcPr>
            <w:tcW w:w="3296" w:type="dxa"/>
            <w:shd w:val="clear" w:color="auto" w:fill="auto"/>
          </w:tcPr>
          <w:p w:rsidR="007406CD" w:rsidRPr="009072DA" w:rsidRDefault="007406CD" w:rsidP="000E732C">
            <w:pPr>
              <w:widowControl w:val="0"/>
              <w:tabs>
                <w:tab w:val="left" w:pos="1260"/>
              </w:tabs>
              <w:adjustRightInd w:val="0"/>
              <w:spacing w:before="60" w:after="60" w:line="240" w:lineRule="atLeast"/>
              <w:rPr>
                <w:rFonts w:cs="Arial"/>
                <w:sz w:val="18"/>
                <w:szCs w:val="18"/>
                <w:lang w:val="bg-BG"/>
              </w:rPr>
            </w:pPr>
            <w:r w:rsidRPr="009072DA">
              <w:rPr>
                <w:sz w:val="18"/>
                <w:lang w:val="bg-BG"/>
              </w:rPr>
              <w:t>Система за аварийно спускане</w:t>
            </w:r>
          </w:p>
        </w:tc>
        <w:tc>
          <w:tcPr>
            <w:tcW w:w="6521" w:type="dxa"/>
            <w:shd w:val="clear" w:color="auto" w:fill="auto"/>
          </w:tcPr>
          <w:p w:rsidR="007406CD" w:rsidRPr="009072DA" w:rsidRDefault="007406CD" w:rsidP="009942A5">
            <w:pPr>
              <w:widowControl w:val="0"/>
              <w:spacing w:before="60" w:after="60" w:line="240" w:lineRule="atLeast"/>
              <w:rPr>
                <w:rFonts w:cs="Arial"/>
                <w:sz w:val="18"/>
                <w:szCs w:val="18"/>
                <w:lang w:val="bg-BG"/>
              </w:rPr>
            </w:pPr>
            <w:r w:rsidRPr="009072DA">
              <w:rPr>
                <w:sz w:val="18"/>
                <w:lang w:val="bg-BG"/>
              </w:rPr>
              <w:t xml:space="preserve">Ако хидравлично спускане не е възможно: 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7406CD" w:rsidRPr="009072DA" w:rsidRDefault="007406CD" w:rsidP="000E732C">
            <w:pPr>
              <w:widowControl w:val="0"/>
              <w:spacing w:before="60" w:after="60" w:line="240" w:lineRule="atLeast"/>
              <w:rPr>
                <w:rFonts w:cs="Arial"/>
                <w:sz w:val="18"/>
                <w:szCs w:val="18"/>
                <w:lang w:val="bg-BG"/>
              </w:rPr>
            </w:pPr>
            <w:r w:rsidRPr="009072DA">
              <w:rPr>
                <w:sz w:val="18"/>
                <w:lang w:val="bg-BG"/>
              </w:rPr>
              <w:t>1.1.2040 г.</w:t>
            </w:r>
          </w:p>
        </w:tc>
      </w:tr>
      <w:tr w:rsidR="007406CD" w:rsidRPr="008D2440" w:rsidTr="00F14E8B">
        <w:trPr>
          <w:cantSplit/>
          <w:jc w:val="center"/>
        </w:trPr>
        <w:tc>
          <w:tcPr>
            <w:tcW w:w="1342" w:type="dxa"/>
            <w:vMerge/>
            <w:shd w:val="clear" w:color="auto" w:fill="auto"/>
          </w:tcPr>
          <w:p w:rsidR="007406CD" w:rsidRPr="009072DA" w:rsidRDefault="007406CD" w:rsidP="009C40EF">
            <w:pPr>
              <w:spacing w:before="120" w:after="120" w:line="240" w:lineRule="atLeast"/>
              <w:rPr>
                <w:rFonts w:cs="Arial"/>
                <w:sz w:val="18"/>
                <w:szCs w:val="18"/>
                <w:lang w:val="bg-BG"/>
              </w:rPr>
            </w:pPr>
          </w:p>
        </w:tc>
        <w:tc>
          <w:tcPr>
            <w:tcW w:w="1458" w:type="dxa"/>
            <w:vMerge w:val="restart"/>
            <w:shd w:val="clear" w:color="auto" w:fill="auto"/>
          </w:tcPr>
          <w:p w:rsidR="007406CD" w:rsidRPr="009072DA" w:rsidDel="00F12D85" w:rsidRDefault="007406CD" w:rsidP="007406CD">
            <w:pPr>
              <w:widowControl w:val="0"/>
              <w:spacing w:before="60" w:after="60" w:line="240" w:lineRule="atLeast"/>
              <w:rPr>
                <w:rFonts w:cs="Arial"/>
                <w:sz w:val="18"/>
                <w:szCs w:val="18"/>
                <w:lang w:val="bg-BG"/>
              </w:rPr>
            </w:pPr>
            <w:r w:rsidRPr="009072DA">
              <w:rPr>
                <w:sz w:val="18"/>
                <w:lang w:val="bg-BG"/>
              </w:rPr>
              <w:t>Точка 12, буква в)</w:t>
            </w:r>
          </w:p>
        </w:tc>
        <w:tc>
          <w:tcPr>
            <w:tcW w:w="3296" w:type="dxa"/>
            <w:vMerge w:val="restart"/>
            <w:shd w:val="clear" w:color="auto" w:fill="auto"/>
          </w:tcPr>
          <w:p w:rsidR="007406CD" w:rsidRPr="009072DA" w:rsidRDefault="007406CD" w:rsidP="000E732C">
            <w:pPr>
              <w:widowControl w:val="0"/>
              <w:tabs>
                <w:tab w:val="left" w:pos="1260"/>
              </w:tabs>
              <w:adjustRightInd w:val="0"/>
              <w:spacing w:before="60" w:after="60" w:line="240" w:lineRule="atLeast"/>
              <w:rPr>
                <w:rFonts w:cs="Arial"/>
                <w:sz w:val="18"/>
                <w:szCs w:val="18"/>
                <w:lang w:val="bg-BG"/>
              </w:rPr>
            </w:pPr>
            <w:r w:rsidRPr="009072DA">
              <w:rPr>
                <w:sz w:val="18"/>
                <w:lang w:val="bg-BG"/>
              </w:rPr>
              <w:t>Изпитване</w:t>
            </w:r>
          </w:p>
        </w:tc>
        <w:tc>
          <w:tcPr>
            <w:tcW w:w="6521" w:type="dxa"/>
            <w:shd w:val="clear" w:color="auto" w:fill="auto"/>
          </w:tcPr>
          <w:p w:rsidR="007406CD" w:rsidRPr="009072DA" w:rsidRDefault="008761D9" w:rsidP="009942A5">
            <w:pPr>
              <w:widowControl w:val="0"/>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vMerge w:val="restart"/>
            <w:shd w:val="clear" w:color="auto" w:fill="auto"/>
          </w:tcPr>
          <w:p w:rsidR="007406CD" w:rsidRPr="009072DA" w:rsidRDefault="007406CD" w:rsidP="000E732C">
            <w:pPr>
              <w:widowControl w:val="0"/>
              <w:spacing w:before="60" w:after="60" w:line="240" w:lineRule="atLeast"/>
              <w:rPr>
                <w:rFonts w:cs="Arial"/>
                <w:sz w:val="18"/>
                <w:szCs w:val="18"/>
                <w:lang w:val="bg-BG"/>
              </w:rPr>
            </w:pPr>
          </w:p>
        </w:tc>
      </w:tr>
      <w:tr w:rsidR="007406CD" w:rsidRPr="008D2440" w:rsidTr="00F14E8B">
        <w:trPr>
          <w:cantSplit/>
          <w:jc w:val="center"/>
        </w:trPr>
        <w:tc>
          <w:tcPr>
            <w:tcW w:w="1342" w:type="dxa"/>
            <w:vMerge/>
            <w:shd w:val="clear" w:color="auto" w:fill="auto"/>
          </w:tcPr>
          <w:p w:rsidR="007406CD" w:rsidRPr="009072DA" w:rsidRDefault="007406CD" w:rsidP="00740370">
            <w:pPr>
              <w:spacing w:before="120" w:after="120" w:line="240" w:lineRule="atLeast"/>
              <w:rPr>
                <w:rFonts w:cs="Arial"/>
                <w:sz w:val="18"/>
                <w:szCs w:val="18"/>
                <w:lang w:val="bg-BG"/>
              </w:rPr>
            </w:pPr>
          </w:p>
        </w:tc>
        <w:tc>
          <w:tcPr>
            <w:tcW w:w="1458" w:type="dxa"/>
            <w:vMerge/>
            <w:shd w:val="clear" w:color="auto" w:fill="auto"/>
          </w:tcPr>
          <w:p w:rsidR="007406CD" w:rsidRPr="009072DA" w:rsidRDefault="007406CD" w:rsidP="00740370">
            <w:pPr>
              <w:spacing w:before="120" w:after="120" w:line="240" w:lineRule="atLeast"/>
              <w:rPr>
                <w:rFonts w:cs="Arial"/>
                <w:sz w:val="18"/>
                <w:szCs w:val="18"/>
                <w:lang w:val="bg-BG"/>
              </w:rPr>
            </w:pPr>
          </w:p>
        </w:tc>
        <w:tc>
          <w:tcPr>
            <w:tcW w:w="3296" w:type="dxa"/>
            <w:vMerge/>
            <w:shd w:val="clear" w:color="auto" w:fill="auto"/>
          </w:tcPr>
          <w:p w:rsidR="007406CD" w:rsidRPr="009072DA" w:rsidRDefault="007406CD" w:rsidP="00740370">
            <w:pPr>
              <w:spacing w:before="120" w:after="120" w:line="240" w:lineRule="atLeast"/>
              <w:rPr>
                <w:rFonts w:cs="Arial"/>
                <w:sz w:val="18"/>
                <w:szCs w:val="18"/>
                <w:lang w:val="bg-BG"/>
              </w:rPr>
            </w:pPr>
          </w:p>
        </w:tc>
        <w:tc>
          <w:tcPr>
            <w:tcW w:w="6521" w:type="dxa"/>
            <w:shd w:val="clear" w:color="auto" w:fill="auto"/>
          </w:tcPr>
          <w:p w:rsidR="007406CD" w:rsidRPr="009072DA" w:rsidRDefault="007406CD" w:rsidP="009942A5">
            <w:pPr>
              <w:widowControl w:val="0"/>
              <w:spacing w:before="60" w:after="60" w:line="240" w:lineRule="atLeast"/>
              <w:rPr>
                <w:rFonts w:cs="Arial"/>
                <w:sz w:val="18"/>
                <w:szCs w:val="18"/>
                <w:lang w:val="bg-BG"/>
              </w:rPr>
            </w:pPr>
            <w:r w:rsidRPr="009072DA">
              <w:rPr>
                <w:sz w:val="18"/>
                <w:lang w:val="bg-BG"/>
              </w:rPr>
              <w:t>Ако не може да се предостави математическо доказателство, контролният орган може да признае друго подходящо доказателство като еквивалентно.</w:t>
            </w:r>
          </w:p>
        </w:tc>
        <w:tc>
          <w:tcPr>
            <w:tcW w:w="1276" w:type="dxa"/>
            <w:vMerge/>
            <w:shd w:val="clear" w:color="auto" w:fill="auto"/>
          </w:tcPr>
          <w:p w:rsidR="007406CD" w:rsidRPr="009072DA" w:rsidRDefault="007406CD" w:rsidP="000E732C">
            <w:pPr>
              <w:widowControl w:val="0"/>
              <w:spacing w:before="60" w:after="60" w:line="240" w:lineRule="atLeast"/>
              <w:rPr>
                <w:rFonts w:cs="Arial"/>
                <w:sz w:val="18"/>
                <w:szCs w:val="18"/>
                <w:highlight w:val="lightGray"/>
                <w:lang w:val="bg-BG"/>
              </w:rPr>
            </w:pPr>
          </w:p>
        </w:tc>
      </w:tr>
      <w:tr w:rsidR="00196FBC" w:rsidRPr="009072DA" w:rsidTr="00196FBC">
        <w:trPr>
          <w:cantSplit/>
          <w:jc w:val="center"/>
        </w:trPr>
        <w:tc>
          <w:tcPr>
            <w:tcW w:w="6096" w:type="dxa"/>
            <w:gridSpan w:val="3"/>
            <w:shd w:val="clear" w:color="auto" w:fill="auto"/>
          </w:tcPr>
          <w:p w:rsidR="00196FBC" w:rsidRPr="009072DA" w:rsidRDefault="00196FBC" w:rsidP="00BB7B04">
            <w:pPr>
              <w:spacing w:before="60" w:after="60" w:line="240" w:lineRule="atLeast"/>
              <w:jc w:val="center"/>
              <w:rPr>
                <w:rFonts w:cs="Arial"/>
                <w:sz w:val="18"/>
                <w:szCs w:val="18"/>
                <w:lang w:val="bg-BG"/>
              </w:rPr>
            </w:pPr>
            <w:r w:rsidRPr="009072DA">
              <w:rPr>
                <w:b/>
                <w:sz w:val="18"/>
                <w:lang w:val="bg-BG"/>
              </w:rPr>
              <w:t>ГЛАВА 8</w:t>
            </w:r>
          </w:p>
        </w:tc>
        <w:tc>
          <w:tcPr>
            <w:tcW w:w="6521" w:type="dxa"/>
            <w:shd w:val="clear" w:color="auto" w:fill="auto"/>
          </w:tcPr>
          <w:p w:rsidR="00196FBC" w:rsidRPr="009072DA" w:rsidRDefault="00196FBC" w:rsidP="00BB7B04">
            <w:pPr>
              <w:spacing w:before="60" w:after="60" w:line="240" w:lineRule="atLeast"/>
              <w:rPr>
                <w:rFonts w:cs="Arial"/>
                <w:sz w:val="18"/>
                <w:szCs w:val="18"/>
                <w:lang w:val="bg-BG"/>
              </w:rPr>
            </w:pPr>
          </w:p>
        </w:tc>
        <w:tc>
          <w:tcPr>
            <w:tcW w:w="1276" w:type="dxa"/>
            <w:shd w:val="clear" w:color="auto" w:fill="auto"/>
          </w:tcPr>
          <w:p w:rsidR="00196FBC" w:rsidRPr="009072DA" w:rsidRDefault="00196FBC" w:rsidP="00BB7B04">
            <w:pPr>
              <w:spacing w:before="60" w:after="60" w:line="240" w:lineRule="atLeast"/>
              <w:rPr>
                <w:rFonts w:cs="Arial"/>
                <w:sz w:val="18"/>
                <w:szCs w:val="18"/>
                <w:lang w:val="bg-BG"/>
              </w:rPr>
            </w:pPr>
          </w:p>
        </w:tc>
      </w:tr>
      <w:tr w:rsidR="00196FBC" w:rsidRPr="009072DA" w:rsidTr="00196FBC">
        <w:trPr>
          <w:cantSplit/>
          <w:jc w:val="center"/>
        </w:trPr>
        <w:tc>
          <w:tcPr>
            <w:tcW w:w="1342" w:type="dxa"/>
            <w:tcBorders>
              <w:bottom w:val="single" w:sz="4" w:space="0" w:color="auto"/>
            </w:tcBorders>
            <w:shd w:val="clear" w:color="auto" w:fill="auto"/>
          </w:tcPr>
          <w:p w:rsidR="00196FBC" w:rsidRPr="009072DA" w:rsidRDefault="00196FBC" w:rsidP="00BB7B04">
            <w:pPr>
              <w:spacing w:before="80" w:after="80" w:line="240" w:lineRule="atLeast"/>
              <w:rPr>
                <w:rFonts w:cs="Arial"/>
                <w:sz w:val="18"/>
                <w:szCs w:val="18"/>
                <w:lang w:val="bg-BG"/>
              </w:rPr>
            </w:pPr>
            <w:r w:rsidRPr="009072DA">
              <w:rPr>
                <w:sz w:val="18"/>
                <w:lang w:val="bg-BG"/>
              </w:rPr>
              <w:t>8.01</w:t>
            </w:r>
          </w:p>
        </w:tc>
        <w:tc>
          <w:tcPr>
            <w:tcW w:w="1458" w:type="dxa"/>
            <w:shd w:val="clear" w:color="auto" w:fill="auto"/>
          </w:tcPr>
          <w:p w:rsidR="00196FBC" w:rsidRPr="009072DA" w:rsidRDefault="00196FBC" w:rsidP="00A5358D">
            <w:pPr>
              <w:spacing w:before="120" w:after="120" w:line="240" w:lineRule="atLeast"/>
              <w:rPr>
                <w:rFonts w:cs="Arial"/>
                <w:sz w:val="18"/>
                <w:szCs w:val="18"/>
                <w:lang w:val="bg-BG"/>
              </w:rPr>
            </w:pPr>
            <w:r w:rsidRPr="009072DA">
              <w:rPr>
                <w:sz w:val="18"/>
                <w:lang w:val="bg-BG"/>
              </w:rPr>
              <w:t>Точка 3</w:t>
            </w:r>
          </w:p>
        </w:tc>
        <w:tc>
          <w:tcPr>
            <w:tcW w:w="3296" w:type="dxa"/>
            <w:shd w:val="clear" w:color="auto" w:fill="auto"/>
          </w:tcPr>
          <w:p w:rsidR="00196FBC" w:rsidRPr="009072DA" w:rsidRDefault="00196FBC" w:rsidP="00A5358D">
            <w:pPr>
              <w:spacing w:before="120" w:after="120" w:line="240" w:lineRule="atLeast"/>
              <w:rPr>
                <w:rFonts w:cs="Arial"/>
                <w:sz w:val="18"/>
                <w:szCs w:val="18"/>
                <w:lang w:val="bg-BG"/>
              </w:rPr>
            </w:pPr>
            <w:r w:rsidRPr="009072DA">
              <w:rPr>
                <w:sz w:val="18"/>
                <w:lang w:val="bg-BG"/>
              </w:rPr>
              <w:t>Само двигатели с вътрешно горене, използващи горива с температура на възпламеняване над 55 °С</w:t>
            </w:r>
          </w:p>
        </w:tc>
        <w:tc>
          <w:tcPr>
            <w:tcW w:w="6521" w:type="dxa"/>
            <w:shd w:val="clear" w:color="auto" w:fill="auto"/>
          </w:tcPr>
          <w:p w:rsidR="00196FBC" w:rsidRPr="009072DA" w:rsidRDefault="008761D9" w:rsidP="00A5358D">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BB7B04">
            <w:pPr>
              <w:spacing w:before="80" w:after="80" w:line="240" w:lineRule="atLeast"/>
              <w:rPr>
                <w:rFonts w:cs="Arial"/>
                <w:sz w:val="18"/>
                <w:szCs w:val="18"/>
                <w:lang w:val="bg-BG"/>
              </w:rPr>
            </w:pPr>
            <w:r w:rsidRPr="009072DA">
              <w:rPr>
                <w:sz w:val="18"/>
                <w:lang w:val="bg-BG"/>
              </w:rPr>
              <w:t>1.1.2015 г.</w:t>
            </w:r>
          </w:p>
        </w:tc>
      </w:tr>
      <w:tr w:rsidR="00196FBC" w:rsidRPr="009072DA" w:rsidTr="009068C8">
        <w:trPr>
          <w:cantSplit/>
          <w:jc w:val="center"/>
        </w:trPr>
        <w:tc>
          <w:tcPr>
            <w:tcW w:w="1342" w:type="dxa"/>
            <w:tcBorders>
              <w:bottom w:val="nil"/>
            </w:tcBorders>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8.02</w:t>
            </w:r>
          </w:p>
        </w:tc>
        <w:tc>
          <w:tcPr>
            <w:tcW w:w="1458" w:type="dxa"/>
            <w:shd w:val="clear" w:color="auto" w:fill="auto"/>
          </w:tcPr>
          <w:p w:rsidR="00196FBC" w:rsidRPr="009072DA" w:rsidRDefault="00196FBC" w:rsidP="00A5358D">
            <w:pPr>
              <w:spacing w:before="120" w:after="120" w:line="240" w:lineRule="atLeast"/>
              <w:rPr>
                <w:rFonts w:cs="Arial"/>
                <w:sz w:val="18"/>
                <w:szCs w:val="18"/>
                <w:lang w:val="bg-BG"/>
              </w:rPr>
            </w:pPr>
            <w:r w:rsidRPr="009072DA">
              <w:rPr>
                <w:sz w:val="18"/>
                <w:lang w:val="bg-BG"/>
              </w:rPr>
              <w:t>Точка 1</w:t>
            </w:r>
          </w:p>
        </w:tc>
        <w:tc>
          <w:tcPr>
            <w:tcW w:w="3296" w:type="dxa"/>
            <w:shd w:val="clear" w:color="auto" w:fill="auto"/>
          </w:tcPr>
          <w:p w:rsidR="00196FBC" w:rsidRPr="009072DA" w:rsidRDefault="00196FBC" w:rsidP="00A5358D">
            <w:pPr>
              <w:spacing w:before="120" w:after="120" w:line="240" w:lineRule="atLeast"/>
              <w:rPr>
                <w:rFonts w:cs="Arial"/>
                <w:sz w:val="18"/>
                <w:szCs w:val="18"/>
                <w:lang w:val="bg-BG"/>
              </w:rPr>
            </w:pPr>
            <w:r w:rsidRPr="009072DA">
              <w:rPr>
                <w:sz w:val="18"/>
                <w:lang w:val="bg-BG"/>
              </w:rPr>
              <w:t>Обезопасяване на двигателите срещу случайно пускане</w:t>
            </w:r>
          </w:p>
        </w:tc>
        <w:tc>
          <w:tcPr>
            <w:tcW w:w="6521" w:type="dxa"/>
            <w:shd w:val="clear" w:color="auto" w:fill="auto"/>
          </w:tcPr>
          <w:p w:rsidR="00196FBC" w:rsidRPr="009072DA" w:rsidRDefault="008761D9" w:rsidP="00A5358D">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740370">
            <w:pPr>
              <w:spacing w:before="120" w:after="120" w:line="240" w:lineRule="atLeast"/>
              <w:rPr>
                <w:rFonts w:cs="Arial"/>
                <w:sz w:val="18"/>
                <w:szCs w:val="18"/>
                <w:lang w:val="bg-BG"/>
              </w:rPr>
            </w:pPr>
            <w:r w:rsidRPr="009072DA">
              <w:rPr>
                <w:sz w:val="18"/>
                <w:lang w:val="bg-BG"/>
              </w:rPr>
              <w:t>1.1.2010 г.</w:t>
            </w:r>
          </w:p>
        </w:tc>
      </w:tr>
      <w:tr w:rsidR="00196FBC" w:rsidRPr="009072DA" w:rsidTr="00E113D0">
        <w:trPr>
          <w:cantSplit/>
          <w:trHeight w:val="203"/>
          <w:jc w:val="center"/>
        </w:trPr>
        <w:tc>
          <w:tcPr>
            <w:tcW w:w="1342" w:type="dxa"/>
            <w:tcBorders>
              <w:top w:val="nil"/>
              <w:bottom w:val="single" w:sz="4" w:space="0" w:color="auto"/>
            </w:tcBorders>
            <w:shd w:val="clear" w:color="auto" w:fill="auto"/>
          </w:tcPr>
          <w:p w:rsidR="00196FBC" w:rsidRPr="009072DA" w:rsidRDefault="00196FBC" w:rsidP="00E113D0">
            <w:pPr>
              <w:spacing w:before="240" w:after="240" w:line="240" w:lineRule="atLeast"/>
              <w:rPr>
                <w:rFonts w:cs="Arial"/>
                <w:sz w:val="18"/>
                <w:szCs w:val="18"/>
                <w:lang w:val="bg-BG"/>
              </w:rPr>
            </w:pPr>
          </w:p>
        </w:tc>
        <w:tc>
          <w:tcPr>
            <w:tcW w:w="1458" w:type="dxa"/>
            <w:tcBorders>
              <w:bottom w:val="single" w:sz="4" w:space="0" w:color="auto"/>
            </w:tcBorders>
            <w:shd w:val="clear" w:color="auto" w:fill="auto"/>
          </w:tcPr>
          <w:p w:rsidR="00196FBC" w:rsidRPr="009072DA" w:rsidRDefault="00196FBC" w:rsidP="00A5358D">
            <w:pPr>
              <w:spacing w:before="120" w:after="120" w:line="240" w:lineRule="atLeast"/>
              <w:rPr>
                <w:rFonts w:cs="Arial"/>
                <w:sz w:val="18"/>
                <w:szCs w:val="18"/>
                <w:lang w:val="bg-BG"/>
              </w:rPr>
            </w:pPr>
            <w:r w:rsidRPr="009072DA">
              <w:rPr>
                <w:sz w:val="18"/>
                <w:lang w:val="bg-BG"/>
              </w:rPr>
              <w:t>Точка 4</w:t>
            </w:r>
          </w:p>
        </w:tc>
        <w:tc>
          <w:tcPr>
            <w:tcW w:w="3296" w:type="dxa"/>
            <w:tcBorders>
              <w:bottom w:val="single" w:sz="4" w:space="0" w:color="auto"/>
            </w:tcBorders>
            <w:shd w:val="clear" w:color="auto" w:fill="auto"/>
          </w:tcPr>
          <w:p w:rsidR="00196FBC" w:rsidRPr="009072DA" w:rsidRDefault="00196FBC" w:rsidP="00A5358D">
            <w:pPr>
              <w:spacing w:before="120" w:after="120" w:line="240" w:lineRule="atLeast"/>
              <w:rPr>
                <w:rFonts w:cs="Arial"/>
                <w:sz w:val="18"/>
                <w:szCs w:val="18"/>
                <w:lang w:val="bg-BG"/>
              </w:rPr>
            </w:pPr>
            <w:r w:rsidRPr="009072DA">
              <w:rPr>
                <w:sz w:val="18"/>
                <w:lang w:val="bg-BG"/>
              </w:rPr>
              <w:t>Екраниране на тръби</w:t>
            </w:r>
          </w:p>
        </w:tc>
        <w:tc>
          <w:tcPr>
            <w:tcW w:w="6521" w:type="dxa"/>
            <w:tcBorders>
              <w:bottom w:val="single" w:sz="4" w:space="0" w:color="auto"/>
            </w:tcBorders>
            <w:shd w:val="clear" w:color="auto" w:fill="auto"/>
          </w:tcPr>
          <w:p w:rsidR="00196FBC" w:rsidRPr="009072DA" w:rsidRDefault="008761D9" w:rsidP="00A5358D">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tcBorders>
              <w:bottom w:val="single" w:sz="4" w:space="0" w:color="auto"/>
            </w:tcBorders>
            <w:shd w:val="clear" w:color="auto" w:fill="auto"/>
          </w:tcPr>
          <w:p w:rsidR="00196FBC" w:rsidRPr="009072DA" w:rsidRDefault="00196FBC" w:rsidP="008D121C">
            <w:pPr>
              <w:spacing w:before="240" w:after="240" w:line="240" w:lineRule="atLeast"/>
              <w:rPr>
                <w:rFonts w:cs="Arial"/>
                <w:sz w:val="18"/>
                <w:szCs w:val="18"/>
                <w:lang w:val="bg-BG"/>
              </w:rPr>
            </w:pPr>
            <w:r w:rsidRPr="009072DA">
              <w:rPr>
                <w:sz w:val="18"/>
                <w:lang w:val="bg-BG"/>
              </w:rPr>
              <w:t>1.1.2025 г.</w:t>
            </w:r>
          </w:p>
        </w:tc>
      </w:tr>
      <w:tr w:rsidR="00196FBC" w:rsidRPr="009072DA" w:rsidTr="009068C8">
        <w:trPr>
          <w:cantSplit/>
          <w:jc w:val="center"/>
        </w:trPr>
        <w:tc>
          <w:tcPr>
            <w:tcW w:w="1342" w:type="dxa"/>
            <w:tcBorders>
              <w:top w:val="single" w:sz="4" w:space="0" w:color="auto"/>
              <w:bottom w:val="nil"/>
            </w:tcBorders>
            <w:shd w:val="clear" w:color="auto" w:fill="auto"/>
          </w:tcPr>
          <w:p w:rsidR="00196FBC" w:rsidRPr="009072DA" w:rsidRDefault="00196FBC" w:rsidP="000D7607">
            <w:pPr>
              <w:spacing w:before="120" w:after="120" w:line="240" w:lineRule="atLeast"/>
              <w:rPr>
                <w:rFonts w:cs="Arial"/>
                <w:sz w:val="18"/>
                <w:szCs w:val="18"/>
                <w:lang w:val="bg-BG"/>
              </w:rPr>
            </w:pPr>
            <w:r w:rsidRPr="009072DA">
              <w:rPr>
                <w:sz w:val="18"/>
                <w:lang w:val="bg-BG"/>
              </w:rPr>
              <w:lastRenderedPageBreak/>
              <w:t>8.03</w:t>
            </w:r>
          </w:p>
        </w:tc>
        <w:tc>
          <w:tcPr>
            <w:tcW w:w="1458" w:type="dxa"/>
            <w:tcBorders>
              <w:top w:val="single" w:sz="4" w:space="0" w:color="auto"/>
            </w:tcBorders>
            <w:shd w:val="clear" w:color="auto" w:fill="auto"/>
          </w:tcPr>
          <w:p w:rsidR="00196FBC" w:rsidRPr="009072DA" w:rsidRDefault="00196FBC" w:rsidP="00A5358D">
            <w:pPr>
              <w:spacing w:before="120" w:after="120" w:line="240" w:lineRule="atLeast"/>
              <w:rPr>
                <w:rFonts w:cs="Arial"/>
                <w:sz w:val="18"/>
                <w:szCs w:val="18"/>
                <w:lang w:val="bg-BG"/>
              </w:rPr>
            </w:pPr>
            <w:r w:rsidRPr="009072DA">
              <w:rPr>
                <w:sz w:val="18"/>
                <w:lang w:val="bg-BG"/>
              </w:rPr>
              <w:t>Точка 2</w:t>
            </w:r>
          </w:p>
        </w:tc>
        <w:tc>
          <w:tcPr>
            <w:tcW w:w="3296" w:type="dxa"/>
            <w:tcBorders>
              <w:top w:val="single" w:sz="4" w:space="0" w:color="auto"/>
            </w:tcBorders>
            <w:shd w:val="clear" w:color="auto" w:fill="auto"/>
          </w:tcPr>
          <w:p w:rsidR="00196FBC" w:rsidRPr="009072DA" w:rsidRDefault="00196FBC" w:rsidP="00A5358D">
            <w:pPr>
              <w:spacing w:before="120" w:after="120" w:line="240" w:lineRule="atLeast"/>
              <w:rPr>
                <w:rFonts w:cs="Arial"/>
                <w:sz w:val="18"/>
                <w:szCs w:val="18"/>
                <w:lang w:val="bg-BG"/>
              </w:rPr>
            </w:pPr>
            <w:r w:rsidRPr="009072DA">
              <w:rPr>
                <w:sz w:val="18"/>
                <w:lang w:val="bg-BG"/>
              </w:rPr>
              <w:t>Устройства за следене</w:t>
            </w:r>
          </w:p>
        </w:tc>
        <w:tc>
          <w:tcPr>
            <w:tcW w:w="6521" w:type="dxa"/>
            <w:tcBorders>
              <w:top w:val="single" w:sz="4" w:space="0" w:color="auto"/>
            </w:tcBorders>
            <w:shd w:val="clear" w:color="auto" w:fill="auto"/>
          </w:tcPr>
          <w:p w:rsidR="00196FBC" w:rsidRPr="009072DA" w:rsidRDefault="008761D9" w:rsidP="00A5358D">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tcBorders>
              <w:top w:val="single" w:sz="4" w:space="0" w:color="auto"/>
            </w:tcBorders>
            <w:shd w:val="clear" w:color="auto" w:fill="auto"/>
          </w:tcPr>
          <w:p w:rsidR="00196FBC" w:rsidRPr="009072DA" w:rsidRDefault="00196FBC" w:rsidP="000D7607">
            <w:pPr>
              <w:spacing w:before="120" w:after="120" w:line="240" w:lineRule="atLeast"/>
              <w:rPr>
                <w:rFonts w:cs="Arial"/>
                <w:sz w:val="18"/>
                <w:szCs w:val="18"/>
                <w:lang w:val="bg-BG"/>
              </w:rPr>
            </w:pPr>
            <w:r w:rsidRPr="009072DA">
              <w:rPr>
                <w:sz w:val="18"/>
                <w:lang w:val="bg-BG"/>
              </w:rPr>
              <w:t>1.1.2010 г.</w:t>
            </w:r>
          </w:p>
        </w:tc>
      </w:tr>
      <w:tr w:rsidR="00196FBC" w:rsidRPr="009072DA" w:rsidTr="00196FBC">
        <w:trPr>
          <w:cantSplit/>
          <w:jc w:val="center"/>
        </w:trPr>
        <w:tc>
          <w:tcPr>
            <w:tcW w:w="1342" w:type="dxa"/>
            <w:tcBorders>
              <w:top w:val="nil"/>
              <w:bottom w:val="nil"/>
            </w:tcBorders>
            <w:shd w:val="clear" w:color="auto" w:fill="auto"/>
          </w:tcPr>
          <w:p w:rsidR="00196FBC" w:rsidRPr="009072DA" w:rsidRDefault="00196FBC" w:rsidP="000D7607">
            <w:pPr>
              <w:spacing w:before="120" w:after="120" w:line="240" w:lineRule="atLeast"/>
              <w:rPr>
                <w:rFonts w:cs="Arial"/>
                <w:sz w:val="18"/>
                <w:szCs w:val="18"/>
                <w:lang w:val="bg-BG"/>
              </w:rPr>
            </w:pPr>
          </w:p>
        </w:tc>
        <w:tc>
          <w:tcPr>
            <w:tcW w:w="1458" w:type="dxa"/>
            <w:shd w:val="clear" w:color="auto" w:fill="auto"/>
          </w:tcPr>
          <w:p w:rsidR="00196FBC" w:rsidRPr="009072DA" w:rsidRDefault="00196FBC" w:rsidP="00A5358D">
            <w:pPr>
              <w:spacing w:before="120" w:after="120" w:line="240" w:lineRule="atLeast"/>
              <w:rPr>
                <w:rFonts w:cs="Arial"/>
                <w:sz w:val="18"/>
                <w:szCs w:val="18"/>
                <w:lang w:val="bg-BG"/>
              </w:rPr>
            </w:pPr>
            <w:r w:rsidRPr="009072DA">
              <w:rPr>
                <w:sz w:val="18"/>
                <w:lang w:val="bg-BG"/>
              </w:rPr>
              <w:t>Точка 4</w:t>
            </w:r>
          </w:p>
        </w:tc>
        <w:tc>
          <w:tcPr>
            <w:tcW w:w="3296" w:type="dxa"/>
            <w:shd w:val="clear" w:color="auto" w:fill="auto"/>
          </w:tcPr>
          <w:p w:rsidR="00196FBC" w:rsidRPr="009072DA" w:rsidRDefault="00196FBC" w:rsidP="00A5358D">
            <w:pPr>
              <w:spacing w:before="120" w:after="120" w:line="240" w:lineRule="atLeast"/>
              <w:rPr>
                <w:rFonts w:cs="Arial"/>
                <w:sz w:val="18"/>
                <w:szCs w:val="18"/>
                <w:lang w:val="bg-BG"/>
              </w:rPr>
            </w:pPr>
            <w:r w:rsidRPr="009072DA">
              <w:rPr>
                <w:sz w:val="18"/>
                <w:lang w:val="bg-BG"/>
              </w:rPr>
              <w:t>Автоматична защита срещу прекалено висока честота на въртене, индикация и изключване</w:t>
            </w:r>
          </w:p>
        </w:tc>
        <w:tc>
          <w:tcPr>
            <w:tcW w:w="6521" w:type="dxa"/>
            <w:shd w:val="clear" w:color="auto" w:fill="auto"/>
          </w:tcPr>
          <w:p w:rsidR="00196FBC" w:rsidRPr="009072DA" w:rsidRDefault="008761D9" w:rsidP="00A5358D">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0D7607">
            <w:pPr>
              <w:spacing w:before="120" w:after="120" w:line="240" w:lineRule="atLeast"/>
              <w:rPr>
                <w:rFonts w:cs="Arial"/>
                <w:sz w:val="18"/>
                <w:szCs w:val="18"/>
                <w:lang w:val="bg-BG"/>
              </w:rPr>
            </w:pPr>
            <w:r w:rsidRPr="009072DA">
              <w:rPr>
                <w:sz w:val="18"/>
                <w:lang w:val="bg-BG"/>
              </w:rPr>
              <w:t>1.1.2010 г.</w:t>
            </w:r>
          </w:p>
        </w:tc>
      </w:tr>
      <w:tr w:rsidR="00196FBC" w:rsidRPr="009072DA" w:rsidTr="00E113D0">
        <w:trPr>
          <w:cantSplit/>
          <w:trHeight w:val="387"/>
          <w:jc w:val="center"/>
        </w:trPr>
        <w:tc>
          <w:tcPr>
            <w:tcW w:w="1342" w:type="dxa"/>
            <w:tcBorders>
              <w:top w:val="nil"/>
              <w:bottom w:val="single" w:sz="4" w:space="0" w:color="auto"/>
            </w:tcBorders>
            <w:shd w:val="clear" w:color="auto" w:fill="auto"/>
          </w:tcPr>
          <w:p w:rsidR="00196FBC" w:rsidRPr="009072DA" w:rsidRDefault="00196FBC" w:rsidP="006435E7">
            <w:pPr>
              <w:spacing w:before="240" w:after="240" w:line="240" w:lineRule="atLeast"/>
              <w:rPr>
                <w:rFonts w:cs="Arial"/>
                <w:sz w:val="18"/>
                <w:szCs w:val="18"/>
                <w:lang w:val="bg-BG"/>
              </w:rPr>
            </w:pPr>
          </w:p>
        </w:tc>
        <w:tc>
          <w:tcPr>
            <w:tcW w:w="1458" w:type="dxa"/>
            <w:shd w:val="clear" w:color="auto" w:fill="auto"/>
          </w:tcPr>
          <w:p w:rsidR="00196FBC" w:rsidRPr="009072DA" w:rsidRDefault="00196FBC" w:rsidP="00A5358D">
            <w:pPr>
              <w:spacing w:before="120" w:after="120" w:line="240" w:lineRule="atLeast"/>
              <w:rPr>
                <w:rFonts w:cs="Arial"/>
                <w:sz w:val="18"/>
                <w:szCs w:val="18"/>
                <w:lang w:val="bg-BG"/>
              </w:rPr>
            </w:pPr>
            <w:r w:rsidRPr="009072DA">
              <w:rPr>
                <w:sz w:val="18"/>
                <w:lang w:val="bg-BG"/>
              </w:rPr>
              <w:t>Точка 5</w:t>
            </w:r>
          </w:p>
        </w:tc>
        <w:tc>
          <w:tcPr>
            <w:tcW w:w="3296" w:type="dxa"/>
            <w:shd w:val="clear" w:color="auto" w:fill="auto"/>
          </w:tcPr>
          <w:p w:rsidR="00196FBC" w:rsidRPr="009072DA" w:rsidRDefault="00E113D0" w:rsidP="00A5358D">
            <w:pPr>
              <w:spacing w:before="120" w:after="120" w:line="240" w:lineRule="atLeast"/>
              <w:rPr>
                <w:rFonts w:cs="Arial"/>
                <w:sz w:val="18"/>
                <w:szCs w:val="18"/>
                <w:lang w:val="bg-BG"/>
              </w:rPr>
            </w:pPr>
            <w:r w:rsidRPr="009072DA">
              <w:rPr>
                <w:sz w:val="18"/>
                <w:lang w:val="bg-BG"/>
              </w:rPr>
              <w:t>Конструкция на лагерните черупки за валовете</w:t>
            </w:r>
          </w:p>
        </w:tc>
        <w:tc>
          <w:tcPr>
            <w:tcW w:w="6521" w:type="dxa"/>
            <w:shd w:val="clear" w:color="auto" w:fill="auto"/>
          </w:tcPr>
          <w:p w:rsidR="00196FBC" w:rsidRPr="009072DA" w:rsidRDefault="008761D9" w:rsidP="00A5358D">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6435E7">
            <w:pPr>
              <w:spacing w:before="240" w:after="240" w:line="240" w:lineRule="atLeast"/>
              <w:rPr>
                <w:rFonts w:cs="Arial"/>
                <w:sz w:val="18"/>
                <w:szCs w:val="18"/>
                <w:lang w:val="bg-BG"/>
              </w:rPr>
            </w:pPr>
            <w:r w:rsidRPr="009072DA">
              <w:rPr>
                <w:sz w:val="18"/>
                <w:lang w:val="bg-BG"/>
              </w:rPr>
              <w:t>1.1.2015 г.</w:t>
            </w:r>
          </w:p>
        </w:tc>
      </w:tr>
      <w:tr w:rsidR="00196FBC" w:rsidRPr="009072DA" w:rsidTr="00E113D0">
        <w:trPr>
          <w:cantSplit/>
          <w:trHeight w:val="355"/>
          <w:jc w:val="center"/>
        </w:trPr>
        <w:tc>
          <w:tcPr>
            <w:tcW w:w="1342" w:type="dxa"/>
            <w:tcBorders>
              <w:bottom w:val="nil"/>
            </w:tcBorders>
            <w:shd w:val="clear" w:color="auto" w:fill="auto"/>
          </w:tcPr>
          <w:p w:rsidR="00196FBC" w:rsidRPr="009072DA" w:rsidRDefault="00196FBC" w:rsidP="00F91AFF">
            <w:pPr>
              <w:spacing w:before="120" w:after="240" w:line="240" w:lineRule="atLeast"/>
              <w:rPr>
                <w:rFonts w:cs="Arial"/>
                <w:sz w:val="18"/>
                <w:szCs w:val="18"/>
                <w:lang w:val="bg-BG"/>
              </w:rPr>
            </w:pPr>
            <w:r w:rsidRPr="009072DA">
              <w:rPr>
                <w:sz w:val="18"/>
                <w:lang w:val="bg-BG"/>
              </w:rPr>
              <w:t>8.05</w:t>
            </w:r>
          </w:p>
        </w:tc>
        <w:tc>
          <w:tcPr>
            <w:tcW w:w="1458" w:type="dxa"/>
            <w:shd w:val="clear" w:color="auto" w:fill="auto"/>
          </w:tcPr>
          <w:p w:rsidR="00196FBC" w:rsidRPr="009072DA" w:rsidRDefault="00196FBC" w:rsidP="00A5358D">
            <w:pPr>
              <w:spacing w:before="120" w:after="120" w:line="240" w:lineRule="atLeast"/>
              <w:rPr>
                <w:rFonts w:cs="Arial"/>
                <w:sz w:val="18"/>
                <w:szCs w:val="18"/>
                <w:lang w:val="bg-BG"/>
              </w:rPr>
            </w:pPr>
            <w:r w:rsidRPr="009072DA">
              <w:rPr>
                <w:sz w:val="18"/>
                <w:lang w:val="bg-BG"/>
              </w:rPr>
              <w:t>Точка 1</w:t>
            </w:r>
          </w:p>
        </w:tc>
        <w:tc>
          <w:tcPr>
            <w:tcW w:w="3296" w:type="dxa"/>
            <w:shd w:val="clear" w:color="auto" w:fill="auto"/>
          </w:tcPr>
          <w:p w:rsidR="00196FBC" w:rsidRPr="009072DA" w:rsidRDefault="00196FBC" w:rsidP="00A5358D">
            <w:pPr>
              <w:spacing w:before="120" w:after="120" w:line="240" w:lineRule="atLeast"/>
              <w:rPr>
                <w:rFonts w:cs="Arial"/>
                <w:sz w:val="18"/>
                <w:szCs w:val="18"/>
                <w:lang w:val="bg-BG"/>
              </w:rPr>
            </w:pPr>
            <w:r w:rsidRPr="009072DA">
              <w:rPr>
                <w:sz w:val="18"/>
                <w:lang w:val="bg-BG"/>
              </w:rPr>
              <w:t>Стоманени резервоари за течни горива</w:t>
            </w:r>
          </w:p>
        </w:tc>
        <w:tc>
          <w:tcPr>
            <w:tcW w:w="6521" w:type="dxa"/>
            <w:shd w:val="clear" w:color="auto" w:fill="auto"/>
          </w:tcPr>
          <w:p w:rsidR="00196FBC" w:rsidRPr="009072DA" w:rsidRDefault="008761D9" w:rsidP="00A5358D">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6435E7">
            <w:pPr>
              <w:spacing w:before="240" w:after="240" w:line="240" w:lineRule="atLeast"/>
              <w:rPr>
                <w:rFonts w:cs="Arial"/>
                <w:sz w:val="18"/>
                <w:szCs w:val="18"/>
                <w:lang w:val="bg-BG"/>
              </w:rPr>
            </w:pPr>
            <w:r w:rsidRPr="009072DA">
              <w:rPr>
                <w:sz w:val="18"/>
                <w:lang w:val="bg-BG"/>
              </w:rPr>
              <w:t>1.1.2015 г.</w:t>
            </w:r>
          </w:p>
        </w:tc>
      </w:tr>
      <w:tr w:rsidR="004F5E7B" w:rsidRPr="009072DA" w:rsidTr="00F14E8B">
        <w:trPr>
          <w:cantSplit/>
          <w:jc w:val="center"/>
        </w:trPr>
        <w:tc>
          <w:tcPr>
            <w:tcW w:w="1342" w:type="dxa"/>
            <w:vMerge w:val="restart"/>
            <w:tcBorders>
              <w:top w:val="nil"/>
            </w:tcBorders>
            <w:shd w:val="clear" w:color="auto" w:fill="auto"/>
          </w:tcPr>
          <w:p w:rsidR="004F5E7B" w:rsidRPr="009072DA" w:rsidRDefault="004F5E7B" w:rsidP="000D7607">
            <w:pPr>
              <w:spacing w:before="120" w:after="120" w:line="240" w:lineRule="atLeast"/>
              <w:rPr>
                <w:rFonts w:cs="Arial"/>
                <w:sz w:val="18"/>
                <w:szCs w:val="18"/>
                <w:lang w:val="bg-BG"/>
              </w:rPr>
            </w:pPr>
          </w:p>
        </w:tc>
        <w:tc>
          <w:tcPr>
            <w:tcW w:w="1458" w:type="dxa"/>
            <w:vMerge w:val="restart"/>
            <w:shd w:val="clear" w:color="auto" w:fill="auto"/>
          </w:tcPr>
          <w:p w:rsidR="004F5E7B" w:rsidRPr="009072DA" w:rsidRDefault="004F5E7B" w:rsidP="00A5358D">
            <w:pPr>
              <w:spacing w:before="120" w:after="120" w:line="240" w:lineRule="atLeast"/>
              <w:rPr>
                <w:rFonts w:cs="Arial"/>
                <w:sz w:val="18"/>
                <w:szCs w:val="18"/>
                <w:lang w:val="bg-BG"/>
              </w:rPr>
            </w:pPr>
            <w:r w:rsidRPr="009072DA">
              <w:rPr>
                <w:sz w:val="18"/>
                <w:lang w:val="bg-BG"/>
              </w:rPr>
              <w:t>Точка 3</w:t>
            </w:r>
          </w:p>
        </w:tc>
        <w:tc>
          <w:tcPr>
            <w:tcW w:w="3296" w:type="dxa"/>
            <w:shd w:val="clear" w:color="auto" w:fill="auto"/>
          </w:tcPr>
          <w:p w:rsidR="004F5E7B" w:rsidRPr="009072DA" w:rsidRDefault="004F5E7B" w:rsidP="00A5358D">
            <w:pPr>
              <w:tabs>
                <w:tab w:val="left" w:pos="1170"/>
              </w:tabs>
              <w:spacing w:before="120" w:after="120" w:line="240" w:lineRule="atLeast"/>
              <w:rPr>
                <w:rFonts w:cs="Arial"/>
                <w:sz w:val="18"/>
                <w:szCs w:val="18"/>
                <w:lang w:val="bg-BG"/>
              </w:rPr>
            </w:pPr>
            <w:r w:rsidRPr="009072DA">
              <w:rPr>
                <w:sz w:val="18"/>
                <w:lang w:val="bg-BG"/>
              </w:rPr>
              <w:t>Без резервоари за гориво пред първата носова непроницаема преграда</w:t>
            </w:r>
          </w:p>
        </w:tc>
        <w:tc>
          <w:tcPr>
            <w:tcW w:w="6521" w:type="dxa"/>
            <w:shd w:val="clear" w:color="auto" w:fill="auto"/>
          </w:tcPr>
          <w:p w:rsidR="004F5E7B" w:rsidRPr="009072DA" w:rsidRDefault="008761D9" w:rsidP="00A5358D">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4F5E7B" w:rsidRPr="009072DA" w:rsidRDefault="004F5E7B" w:rsidP="000D7607">
            <w:pPr>
              <w:spacing w:before="120" w:after="120" w:line="240" w:lineRule="atLeast"/>
              <w:rPr>
                <w:rFonts w:cs="Arial"/>
                <w:sz w:val="18"/>
                <w:szCs w:val="18"/>
                <w:lang w:val="bg-BG"/>
              </w:rPr>
            </w:pPr>
            <w:r w:rsidRPr="009072DA">
              <w:rPr>
                <w:sz w:val="18"/>
                <w:lang w:val="bg-BG"/>
              </w:rPr>
              <w:t>1.1.2010 г.</w:t>
            </w:r>
          </w:p>
        </w:tc>
      </w:tr>
      <w:tr w:rsidR="004F5E7B" w:rsidRPr="009072DA" w:rsidTr="00E113D0">
        <w:trPr>
          <w:cantSplit/>
          <w:trHeight w:val="585"/>
          <w:jc w:val="center"/>
        </w:trPr>
        <w:tc>
          <w:tcPr>
            <w:tcW w:w="1342" w:type="dxa"/>
            <w:vMerge/>
            <w:tcBorders>
              <w:bottom w:val="nil"/>
            </w:tcBorders>
            <w:shd w:val="clear" w:color="auto" w:fill="auto"/>
          </w:tcPr>
          <w:p w:rsidR="004F5E7B" w:rsidRPr="009072DA" w:rsidRDefault="004F5E7B" w:rsidP="000D7607">
            <w:pPr>
              <w:spacing w:before="120" w:after="120" w:line="240" w:lineRule="atLeast"/>
              <w:rPr>
                <w:rFonts w:cs="Arial"/>
                <w:sz w:val="18"/>
                <w:szCs w:val="18"/>
                <w:lang w:val="bg-BG"/>
              </w:rPr>
            </w:pPr>
          </w:p>
        </w:tc>
        <w:tc>
          <w:tcPr>
            <w:tcW w:w="1458" w:type="dxa"/>
            <w:vMerge/>
            <w:tcBorders>
              <w:bottom w:val="single" w:sz="4" w:space="0" w:color="auto"/>
            </w:tcBorders>
            <w:shd w:val="clear" w:color="auto" w:fill="auto"/>
          </w:tcPr>
          <w:p w:rsidR="004F5E7B" w:rsidRPr="009072DA" w:rsidRDefault="004F5E7B" w:rsidP="00A5358D">
            <w:pPr>
              <w:spacing w:before="120" w:after="120" w:line="240" w:lineRule="atLeast"/>
              <w:rPr>
                <w:rFonts w:cs="Arial"/>
                <w:sz w:val="18"/>
                <w:szCs w:val="18"/>
                <w:lang w:val="bg-BG"/>
              </w:rPr>
            </w:pPr>
          </w:p>
        </w:tc>
        <w:tc>
          <w:tcPr>
            <w:tcW w:w="3296" w:type="dxa"/>
            <w:tcBorders>
              <w:bottom w:val="single" w:sz="4" w:space="0" w:color="auto"/>
            </w:tcBorders>
            <w:shd w:val="clear" w:color="auto" w:fill="auto"/>
          </w:tcPr>
          <w:p w:rsidR="004F5E7B" w:rsidRPr="009072DA" w:rsidRDefault="004F5E7B" w:rsidP="00A5358D">
            <w:pPr>
              <w:spacing w:before="120" w:after="120" w:line="240" w:lineRule="atLeast"/>
              <w:rPr>
                <w:rFonts w:cs="Arial"/>
                <w:sz w:val="18"/>
                <w:szCs w:val="18"/>
                <w:lang w:val="bg-BG"/>
              </w:rPr>
            </w:pPr>
            <w:r w:rsidRPr="009072DA">
              <w:rPr>
                <w:sz w:val="18"/>
                <w:lang w:val="bg-BG"/>
              </w:rPr>
              <w:t>Без резервоари за гориво зад ахтерпиковата преграда</w:t>
            </w:r>
          </w:p>
        </w:tc>
        <w:tc>
          <w:tcPr>
            <w:tcW w:w="6521" w:type="dxa"/>
            <w:shd w:val="clear" w:color="auto" w:fill="auto"/>
          </w:tcPr>
          <w:p w:rsidR="004F5E7B" w:rsidRPr="009072DA" w:rsidRDefault="008761D9" w:rsidP="00A5358D">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4F5E7B" w:rsidRPr="009072DA" w:rsidRDefault="004F5E7B" w:rsidP="000D7607">
            <w:pPr>
              <w:spacing w:before="120" w:after="120" w:line="240" w:lineRule="atLeast"/>
              <w:rPr>
                <w:rFonts w:cs="Arial"/>
                <w:sz w:val="18"/>
                <w:szCs w:val="18"/>
                <w:lang w:val="bg-BG"/>
              </w:rPr>
            </w:pPr>
            <w:r w:rsidRPr="009072DA">
              <w:rPr>
                <w:sz w:val="18"/>
                <w:lang w:val="bg-BG"/>
              </w:rPr>
              <w:t>1.1.2035 г.</w:t>
            </w:r>
          </w:p>
        </w:tc>
      </w:tr>
      <w:tr w:rsidR="004F5E7B" w:rsidRPr="009072DA" w:rsidTr="00F14E8B">
        <w:trPr>
          <w:cantSplit/>
          <w:jc w:val="center"/>
        </w:trPr>
        <w:tc>
          <w:tcPr>
            <w:tcW w:w="1342" w:type="dxa"/>
            <w:vMerge w:val="restart"/>
            <w:tcBorders>
              <w:top w:val="nil"/>
            </w:tcBorders>
            <w:shd w:val="clear" w:color="auto" w:fill="auto"/>
          </w:tcPr>
          <w:p w:rsidR="004F5E7B" w:rsidRPr="009072DA" w:rsidRDefault="004F5E7B" w:rsidP="000D7607">
            <w:pPr>
              <w:spacing w:before="120" w:after="120" w:line="240" w:lineRule="atLeast"/>
              <w:rPr>
                <w:rFonts w:cs="Arial"/>
                <w:sz w:val="18"/>
                <w:szCs w:val="18"/>
                <w:lang w:val="bg-BG"/>
              </w:rPr>
            </w:pPr>
          </w:p>
        </w:tc>
        <w:tc>
          <w:tcPr>
            <w:tcW w:w="1458" w:type="dxa"/>
            <w:vMerge w:val="restart"/>
            <w:shd w:val="clear" w:color="auto" w:fill="auto"/>
          </w:tcPr>
          <w:p w:rsidR="004F5E7B" w:rsidRPr="009072DA" w:rsidRDefault="004F5E7B" w:rsidP="00A5358D">
            <w:pPr>
              <w:spacing w:before="120" w:after="120" w:line="240" w:lineRule="atLeast"/>
              <w:rPr>
                <w:rFonts w:cs="Arial"/>
                <w:sz w:val="18"/>
                <w:szCs w:val="18"/>
                <w:lang w:val="bg-BG"/>
              </w:rPr>
            </w:pPr>
            <w:r w:rsidRPr="009072DA">
              <w:rPr>
                <w:sz w:val="18"/>
                <w:lang w:val="bg-BG"/>
              </w:rPr>
              <w:t>Точка 4</w:t>
            </w:r>
          </w:p>
        </w:tc>
        <w:tc>
          <w:tcPr>
            <w:tcW w:w="3296" w:type="dxa"/>
            <w:vMerge w:val="restart"/>
            <w:shd w:val="clear" w:color="auto" w:fill="auto"/>
          </w:tcPr>
          <w:p w:rsidR="004F5E7B" w:rsidRPr="009072DA" w:rsidRDefault="004F5E7B" w:rsidP="00A5358D">
            <w:pPr>
              <w:spacing w:before="120" w:after="120" w:line="240" w:lineRule="atLeast"/>
              <w:rPr>
                <w:rFonts w:cs="Arial"/>
                <w:sz w:val="18"/>
                <w:szCs w:val="18"/>
                <w:lang w:val="bg-BG"/>
              </w:rPr>
            </w:pPr>
            <w:r w:rsidRPr="009072DA">
              <w:rPr>
                <w:sz w:val="18"/>
                <w:lang w:val="bg-BG"/>
              </w:rPr>
              <w:t>Без резервоари за гориво и техни фитинги над двигатели или изпускателни тръби</w:t>
            </w:r>
          </w:p>
        </w:tc>
        <w:tc>
          <w:tcPr>
            <w:tcW w:w="6521" w:type="dxa"/>
            <w:shd w:val="clear" w:color="auto" w:fill="auto"/>
          </w:tcPr>
          <w:p w:rsidR="004F5E7B" w:rsidRPr="009072DA" w:rsidRDefault="008761D9" w:rsidP="00A5358D">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4F5E7B" w:rsidRPr="009072DA" w:rsidRDefault="004F5E7B" w:rsidP="000D7607">
            <w:pPr>
              <w:spacing w:before="120" w:after="120" w:line="240" w:lineRule="atLeast"/>
              <w:rPr>
                <w:rFonts w:cs="Arial"/>
                <w:sz w:val="18"/>
                <w:szCs w:val="18"/>
                <w:lang w:val="bg-BG"/>
              </w:rPr>
            </w:pPr>
            <w:r w:rsidRPr="009072DA">
              <w:rPr>
                <w:sz w:val="18"/>
                <w:lang w:val="bg-BG"/>
              </w:rPr>
              <w:t>1.1.2010 г.</w:t>
            </w:r>
          </w:p>
        </w:tc>
      </w:tr>
      <w:tr w:rsidR="004F5E7B" w:rsidRPr="008D2440" w:rsidTr="00F14E8B">
        <w:trPr>
          <w:cantSplit/>
          <w:jc w:val="center"/>
        </w:trPr>
        <w:tc>
          <w:tcPr>
            <w:tcW w:w="1342" w:type="dxa"/>
            <w:vMerge/>
            <w:tcBorders>
              <w:bottom w:val="nil"/>
            </w:tcBorders>
            <w:shd w:val="clear" w:color="auto" w:fill="auto"/>
          </w:tcPr>
          <w:p w:rsidR="004F5E7B" w:rsidRPr="009072DA" w:rsidRDefault="004F5E7B" w:rsidP="006435E7">
            <w:pPr>
              <w:spacing w:before="240" w:after="240" w:line="240" w:lineRule="atLeast"/>
              <w:rPr>
                <w:rFonts w:cs="Arial"/>
                <w:sz w:val="18"/>
                <w:szCs w:val="18"/>
                <w:lang w:val="bg-BG"/>
              </w:rPr>
            </w:pPr>
          </w:p>
        </w:tc>
        <w:tc>
          <w:tcPr>
            <w:tcW w:w="1458" w:type="dxa"/>
            <w:vMerge/>
            <w:shd w:val="clear" w:color="auto" w:fill="auto"/>
          </w:tcPr>
          <w:p w:rsidR="004F5E7B" w:rsidRPr="009072DA" w:rsidRDefault="004F5E7B" w:rsidP="00A5358D">
            <w:pPr>
              <w:spacing w:before="120" w:after="120" w:line="240" w:lineRule="atLeast"/>
              <w:rPr>
                <w:rFonts w:cs="Arial"/>
                <w:sz w:val="18"/>
                <w:szCs w:val="18"/>
                <w:lang w:val="bg-BG"/>
              </w:rPr>
            </w:pPr>
          </w:p>
        </w:tc>
        <w:tc>
          <w:tcPr>
            <w:tcW w:w="3296" w:type="dxa"/>
            <w:vMerge/>
            <w:shd w:val="clear" w:color="auto" w:fill="auto"/>
          </w:tcPr>
          <w:p w:rsidR="004F5E7B" w:rsidRPr="009072DA" w:rsidRDefault="004F5E7B" w:rsidP="00A5358D">
            <w:pPr>
              <w:spacing w:before="120" w:after="120" w:line="240" w:lineRule="atLeast"/>
              <w:rPr>
                <w:rFonts w:cs="Arial"/>
                <w:sz w:val="18"/>
                <w:szCs w:val="18"/>
                <w:lang w:val="bg-BG"/>
              </w:rPr>
            </w:pPr>
          </w:p>
        </w:tc>
        <w:tc>
          <w:tcPr>
            <w:tcW w:w="6521" w:type="dxa"/>
            <w:shd w:val="clear" w:color="auto" w:fill="auto"/>
          </w:tcPr>
          <w:p w:rsidR="004F5E7B" w:rsidRPr="009072DA" w:rsidRDefault="004F5E7B" w:rsidP="00A5358D">
            <w:pPr>
              <w:spacing w:before="120" w:after="120" w:line="240" w:lineRule="atLeast"/>
              <w:rPr>
                <w:rFonts w:cs="Arial"/>
                <w:sz w:val="18"/>
                <w:szCs w:val="18"/>
                <w:lang w:val="bg-BG"/>
              </w:rPr>
            </w:pPr>
            <w:r w:rsidRPr="009072DA">
              <w:rPr>
                <w:sz w:val="18"/>
                <w:lang w:val="bg-BG"/>
              </w:rPr>
              <w:t>Дотогава подходящи устройства трябва да осигуряват безопасното изливане на горивата.</w:t>
            </w:r>
          </w:p>
        </w:tc>
        <w:tc>
          <w:tcPr>
            <w:tcW w:w="1276" w:type="dxa"/>
            <w:shd w:val="clear" w:color="auto" w:fill="auto"/>
          </w:tcPr>
          <w:p w:rsidR="004F5E7B" w:rsidRPr="009072DA" w:rsidRDefault="004F5E7B" w:rsidP="006435E7">
            <w:pPr>
              <w:spacing w:before="240" w:after="240" w:line="240" w:lineRule="atLeast"/>
              <w:rPr>
                <w:rFonts w:cs="Arial"/>
                <w:sz w:val="18"/>
                <w:szCs w:val="18"/>
                <w:lang w:val="bg-BG"/>
              </w:rPr>
            </w:pPr>
          </w:p>
        </w:tc>
      </w:tr>
      <w:tr w:rsidR="00196FBC" w:rsidRPr="009072DA" w:rsidTr="00196FBC">
        <w:trPr>
          <w:cantSplit/>
          <w:jc w:val="center"/>
        </w:trPr>
        <w:tc>
          <w:tcPr>
            <w:tcW w:w="1342" w:type="dxa"/>
            <w:tcBorders>
              <w:top w:val="nil"/>
              <w:bottom w:val="nil"/>
            </w:tcBorders>
            <w:shd w:val="clear" w:color="auto" w:fill="auto"/>
          </w:tcPr>
          <w:p w:rsidR="00196FBC" w:rsidRPr="009072DA" w:rsidRDefault="00196FBC" w:rsidP="006435E7">
            <w:pPr>
              <w:spacing w:before="240" w:after="240" w:line="240" w:lineRule="atLeast"/>
              <w:rPr>
                <w:rFonts w:cs="Arial"/>
                <w:sz w:val="18"/>
                <w:szCs w:val="18"/>
                <w:lang w:val="bg-BG"/>
              </w:rPr>
            </w:pPr>
          </w:p>
        </w:tc>
        <w:tc>
          <w:tcPr>
            <w:tcW w:w="1458" w:type="dxa"/>
            <w:shd w:val="clear" w:color="auto" w:fill="auto"/>
          </w:tcPr>
          <w:p w:rsidR="00196FBC" w:rsidRPr="009072DA" w:rsidRDefault="00196FBC" w:rsidP="00E113D0">
            <w:pPr>
              <w:spacing w:before="120" w:after="120" w:line="240" w:lineRule="atLeast"/>
              <w:rPr>
                <w:rFonts w:cs="Arial"/>
                <w:sz w:val="18"/>
                <w:szCs w:val="18"/>
                <w:lang w:val="bg-BG"/>
              </w:rPr>
            </w:pPr>
            <w:r w:rsidRPr="009072DA">
              <w:rPr>
                <w:sz w:val="18"/>
                <w:lang w:val="bg-BG"/>
              </w:rPr>
              <w:t>Точка 6, от 3</w:t>
            </w:r>
            <w:r w:rsidRPr="009072DA">
              <w:rPr>
                <w:sz w:val="18"/>
                <w:vertAlign w:val="superscript"/>
                <w:lang w:val="bg-BG"/>
              </w:rPr>
              <w:t>то</w:t>
            </w:r>
            <w:r w:rsidRPr="009072DA">
              <w:rPr>
                <w:sz w:val="18"/>
                <w:lang w:val="bg-BG"/>
              </w:rPr>
              <w:t xml:space="preserve"> до 5</w:t>
            </w:r>
            <w:r w:rsidRPr="009072DA">
              <w:rPr>
                <w:sz w:val="18"/>
                <w:vertAlign w:val="superscript"/>
                <w:lang w:val="bg-BG"/>
              </w:rPr>
              <w:t>то</w:t>
            </w:r>
            <w:r w:rsidRPr="009072DA">
              <w:rPr>
                <w:sz w:val="18"/>
                <w:lang w:val="bg-BG"/>
              </w:rPr>
              <w:t xml:space="preserve"> изречение</w:t>
            </w:r>
          </w:p>
        </w:tc>
        <w:tc>
          <w:tcPr>
            <w:tcW w:w="3296" w:type="dxa"/>
            <w:shd w:val="clear" w:color="auto" w:fill="auto"/>
          </w:tcPr>
          <w:p w:rsidR="00196FBC" w:rsidRPr="009072DA" w:rsidRDefault="00196FBC" w:rsidP="00E113D0">
            <w:pPr>
              <w:spacing w:before="120" w:after="120" w:line="240" w:lineRule="atLeast"/>
              <w:rPr>
                <w:rFonts w:cs="Arial"/>
                <w:sz w:val="18"/>
                <w:szCs w:val="18"/>
                <w:lang w:val="bg-BG"/>
              </w:rPr>
            </w:pPr>
            <w:r w:rsidRPr="009072DA">
              <w:rPr>
                <w:sz w:val="18"/>
                <w:lang w:val="bg-BG"/>
              </w:rPr>
              <w:t>Монтаж и мерки на тръбите за проветряване и свързващите тръби</w:t>
            </w:r>
          </w:p>
        </w:tc>
        <w:tc>
          <w:tcPr>
            <w:tcW w:w="6521" w:type="dxa"/>
            <w:shd w:val="clear" w:color="auto" w:fill="auto"/>
          </w:tcPr>
          <w:p w:rsidR="00196FBC" w:rsidRPr="009072DA" w:rsidRDefault="008761D9" w:rsidP="00E113D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9942A5">
            <w:pPr>
              <w:spacing w:before="120" w:after="240" w:line="240" w:lineRule="atLeast"/>
              <w:rPr>
                <w:rFonts w:cs="Arial"/>
                <w:sz w:val="18"/>
                <w:szCs w:val="18"/>
                <w:lang w:val="bg-BG"/>
              </w:rPr>
            </w:pPr>
            <w:r w:rsidRPr="009072DA">
              <w:rPr>
                <w:sz w:val="18"/>
                <w:lang w:val="bg-BG"/>
              </w:rPr>
              <w:t>1.1.2020 г.</w:t>
            </w:r>
          </w:p>
        </w:tc>
      </w:tr>
      <w:tr w:rsidR="00196FBC" w:rsidRPr="009072DA" w:rsidTr="00196FBC">
        <w:trPr>
          <w:cantSplit/>
          <w:jc w:val="center"/>
        </w:trPr>
        <w:tc>
          <w:tcPr>
            <w:tcW w:w="1342" w:type="dxa"/>
            <w:tcBorders>
              <w:top w:val="nil"/>
              <w:bottom w:val="nil"/>
            </w:tcBorders>
            <w:shd w:val="clear" w:color="auto" w:fill="auto"/>
          </w:tcPr>
          <w:p w:rsidR="00196FBC" w:rsidRPr="009072DA" w:rsidRDefault="00196FBC" w:rsidP="001E2331">
            <w:pPr>
              <w:spacing w:before="240" w:after="160" w:line="240" w:lineRule="atLeast"/>
              <w:rPr>
                <w:rFonts w:cs="Arial"/>
                <w:sz w:val="18"/>
                <w:szCs w:val="18"/>
                <w:lang w:val="bg-BG"/>
              </w:rPr>
            </w:pPr>
          </w:p>
        </w:tc>
        <w:tc>
          <w:tcPr>
            <w:tcW w:w="1458" w:type="dxa"/>
            <w:shd w:val="clear" w:color="auto" w:fill="auto"/>
          </w:tcPr>
          <w:p w:rsidR="00196FBC" w:rsidRPr="009072DA" w:rsidRDefault="00196FBC" w:rsidP="00E113D0">
            <w:pPr>
              <w:spacing w:before="120" w:after="120" w:line="240" w:lineRule="atLeast"/>
              <w:rPr>
                <w:rFonts w:cs="Arial"/>
                <w:sz w:val="18"/>
                <w:szCs w:val="18"/>
                <w:lang w:val="bg-BG"/>
              </w:rPr>
            </w:pPr>
            <w:r w:rsidRPr="009072DA">
              <w:rPr>
                <w:sz w:val="18"/>
                <w:lang w:val="bg-BG"/>
              </w:rPr>
              <w:t>Точка 7, 1</w:t>
            </w:r>
            <w:r w:rsidRPr="009072DA">
              <w:rPr>
                <w:sz w:val="18"/>
                <w:vertAlign w:val="superscript"/>
                <w:lang w:val="bg-BG"/>
              </w:rPr>
              <w:t>во</w:t>
            </w:r>
            <w:r w:rsidRPr="009072DA">
              <w:rPr>
                <w:sz w:val="18"/>
                <w:lang w:val="bg-BG"/>
              </w:rPr>
              <w:t xml:space="preserve"> изречение</w:t>
            </w:r>
          </w:p>
        </w:tc>
        <w:tc>
          <w:tcPr>
            <w:tcW w:w="3296" w:type="dxa"/>
            <w:shd w:val="clear" w:color="auto" w:fill="auto"/>
          </w:tcPr>
          <w:p w:rsidR="00196FBC" w:rsidRPr="009072DA" w:rsidRDefault="00196FBC" w:rsidP="00E113D0">
            <w:pPr>
              <w:spacing w:before="120" w:after="120" w:line="240" w:lineRule="atLeast"/>
              <w:rPr>
                <w:rFonts w:cs="Arial"/>
                <w:sz w:val="18"/>
                <w:szCs w:val="18"/>
                <w:lang w:val="bg-BG"/>
              </w:rPr>
            </w:pPr>
            <w:r w:rsidRPr="009072DA">
              <w:rPr>
                <w:sz w:val="18"/>
                <w:lang w:val="bg-BG"/>
              </w:rPr>
              <w:t>Бързозатварящ се клапан на резервоара, управляван от палубата, дори ако въпросните помещения са затворени</w:t>
            </w:r>
          </w:p>
        </w:tc>
        <w:tc>
          <w:tcPr>
            <w:tcW w:w="6521" w:type="dxa"/>
            <w:shd w:val="clear" w:color="auto" w:fill="auto"/>
          </w:tcPr>
          <w:p w:rsidR="00196FBC" w:rsidRPr="009072DA" w:rsidRDefault="008761D9" w:rsidP="00E113D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9942A5">
            <w:pPr>
              <w:spacing w:before="120" w:after="160" w:line="240" w:lineRule="atLeast"/>
              <w:rPr>
                <w:rFonts w:cs="Arial"/>
                <w:sz w:val="18"/>
                <w:szCs w:val="18"/>
                <w:lang w:val="bg-BG"/>
              </w:rPr>
            </w:pPr>
            <w:r w:rsidRPr="009072DA">
              <w:rPr>
                <w:sz w:val="18"/>
                <w:lang w:val="bg-BG"/>
              </w:rPr>
              <w:t>1.1.2015 г.</w:t>
            </w:r>
          </w:p>
        </w:tc>
      </w:tr>
      <w:tr w:rsidR="00196FBC" w:rsidRPr="009072DA" w:rsidTr="00196FBC">
        <w:trPr>
          <w:cantSplit/>
          <w:jc w:val="center"/>
        </w:trPr>
        <w:tc>
          <w:tcPr>
            <w:tcW w:w="1342" w:type="dxa"/>
            <w:tcBorders>
              <w:top w:val="nil"/>
              <w:bottom w:val="nil"/>
            </w:tcBorders>
            <w:shd w:val="clear" w:color="auto" w:fill="auto"/>
          </w:tcPr>
          <w:p w:rsidR="00196FBC" w:rsidRPr="009072DA" w:rsidRDefault="00196FBC" w:rsidP="006435E7">
            <w:pPr>
              <w:spacing w:before="240" w:after="240" w:line="240" w:lineRule="atLeast"/>
              <w:rPr>
                <w:rFonts w:cs="Arial"/>
                <w:sz w:val="18"/>
                <w:szCs w:val="18"/>
                <w:lang w:val="bg-BG"/>
              </w:rPr>
            </w:pPr>
          </w:p>
        </w:tc>
        <w:tc>
          <w:tcPr>
            <w:tcW w:w="1458" w:type="dxa"/>
            <w:shd w:val="clear" w:color="auto" w:fill="auto"/>
          </w:tcPr>
          <w:p w:rsidR="00196FBC" w:rsidRPr="009072DA" w:rsidRDefault="00196FBC" w:rsidP="00E113D0">
            <w:pPr>
              <w:spacing w:before="120" w:after="120" w:line="240" w:lineRule="atLeast"/>
              <w:rPr>
                <w:rFonts w:cs="Arial"/>
                <w:sz w:val="18"/>
                <w:szCs w:val="18"/>
                <w:lang w:val="bg-BG"/>
              </w:rPr>
            </w:pPr>
            <w:r w:rsidRPr="009072DA">
              <w:rPr>
                <w:sz w:val="18"/>
                <w:lang w:val="bg-BG"/>
              </w:rPr>
              <w:t>Точка 9, 2</w:t>
            </w:r>
            <w:r w:rsidRPr="009072DA">
              <w:rPr>
                <w:sz w:val="18"/>
                <w:vertAlign w:val="superscript"/>
                <w:lang w:val="bg-BG"/>
              </w:rPr>
              <w:t>ро </w:t>
            </w:r>
            <w:r w:rsidRPr="009072DA">
              <w:rPr>
                <w:sz w:val="18"/>
                <w:lang w:val="bg-BG"/>
              </w:rPr>
              <w:t>изречение</w:t>
            </w:r>
          </w:p>
        </w:tc>
        <w:tc>
          <w:tcPr>
            <w:tcW w:w="3296" w:type="dxa"/>
            <w:shd w:val="clear" w:color="auto" w:fill="auto"/>
          </w:tcPr>
          <w:p w:rsidR="00196FBC" w:rsidRPr="009072DA" w:rsidRDefault="00196FBC" w:rsidP="00E113D0">
            <w:pPr>
              <w:spacing w:before="120" w:after="120" w:line="240" w:lineRule="atLeast"/>
              <w:rPr>
                <w:rFonts w:cs="Arial"/>
                <w:sz w:val="18"/>
                <w:szCs w:val="18"/>
                <w:lang w:val="bg-BG"/>
              </w:rPr>
            </w:pPr>
            <w:r w:rsidRPr="009072DA">
              <w:rPr>
                <w:sz w:val="18"/>
                <w:lang w:val="bg-BG"/>
              </w:rPr>
              <w:t>Устройствата за измерване на вместимостта да могат да бъдат разчитани до равнището на максимално напълване</w:t>
            </w:r>
          </w:p>
        </w:tc>
        <w:tc>
          <w:tcPr>
            <w:tcW w:w="6521" w:type="dxa"/>
            <w:shd w:val="clear" w:color="auto" w:fill="auto"/>
          </w:tcPr>
          <w:p w:rsidR="00196FBC" w:rsidRPr="009072DA" w:rsidRDefault="008761D9" w:rsidP="00E113D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9942A5">
            <w:pPr>
              <w:spacing w:before="120" w:after="240" w:line="240" w:lineRule="atLeast"/>
              <w:rPr>
                <w:rFonts w:cs="Arial"/>
                <w:sz w:val="18"/>
                <w:szCs w:val="18"/>
                <w:lang w:val="bg-BG"/>
              </w:rPr>
            </w:pPr>
            <w:r w:rsidRPr="009072DA">
              <w:rPr>
                <w:sz w:val="18"/>
                <w:lang w:val="bg-BG"/>
              </w:rPr>
              <w:t>1.1.2010 г.</w:t>
            </w:r>
          </w:p>
        </w:tc>
      </w:tr>
      <w:tr w:rsidR="00196FBC" w:rsidRPr="009072DA" w:rsidTr="00196FBC">
        <w:trPr>
          <w:cantSplit/>
          <w:jc w:val="center"/>
        </w:trPr>
        <w:tc>
          <w:tcPr>
            <w:tcW w:w="1342" w:type="dxa"/>
            <w:tcBorders>
              <w:top w:val="nil"/>
            </w:tcBorders>
            <w:shd w:val="clear" w:color="auto" w:fill="auto"/>
          </w:tcPr>
          <w:p w:rsidR="00196FBC" w:rsidRPr="009072DA" w:rsidRDefault="00196FBC" w:rsidP="001E2331">
            <w:pPr>
              <w:spacing w:before="240" w:after="160" w:line="240" w:lineRule="atLeast"/>
              <w:rPr>
                <w:rFonts w:cs="Arial"/>
                <w:sz w:val="18"/>
                <w:szCs w:val="18"/>
                <w:lang w:val="bg-BG"/>
              </w:rPr>
            </w:pPr>
          </w:p>
        </w:tc>
        <w:tc>
          <w:tcPr>
            <w:tcW w:w="1458" w:type="dxa"/>
            <w:shd w:val="clear" w:color="auto" w:fill="auto"/>
          </w:tcPr>
          <w:p w:rsidR="00196FBC" w:rsidRPr="009072DA" w:rsidRDefault="00196FBC" w:rsidP="00E113D0">
            <w:pPr>
              <w:spacing w:before="120" w:after="120" w:line="240" w:lineRule="atLeast"/>
              <w:rPr>
                <w:rFonts w:cs="Arial"/>
                <w:sz w:val="18"/>
                <w:szCs w:val="18"/>
                <w:lang w:val="bg-BG"/>
              </w:rPr>
            </w:pPr>
            <w:r w:rsidRPr="009072DA">
              <w:rPr>
                <w:sz w:val="18"/>
                <w:lang w:val="bg-BG"/>
              </w:rPr>
              <w:t>Точка 13</w:t>
            </w:r>
          </w:p>
        </w:tc>
        <w:tc>
          <w:tcPr>
            <w:tcW w:w="3296" w:type="dxa"/>
            <w:shd w:val="clear" w:color="auto" w:fill="auto"/>
          </w:tcPr>
          <w:p w:rsidR="00196FBC" w:rsidRPr="009072DA" w:rsidRDefault="00196FBC" w:rsidP="00E113D0">
            <w:pPr>
              <w:spacing w:before="120" w:after="120" w:line="240" w:lineRule="atLeast"/>
              <w:rPr>
                <w:rFonts w:cs="Arial"/>
                <w:sz w:val="18"/>
                <w:szCs w:val="18"/>
                <w:lang w:val="bg-BG"/>
              </w:rPr>
            </w:pPr>
            <w:r w:rsidRPr="009072DA">
              <w:rPr>
                <w:sz w:val="18"/>
                <w:lang w:val="bg-BG"/>
              </w:rPr>
              <w:t>Контрол на равнището на напълване не само за главните двигатели, а също и за другите двигатели, необходими за безопасна експлоатация на плавателния съд</w:t>
            </w:r>
          </w:p>
        </w:tc>
        <w:tc>
          <w:tcPr>
            <w:tcW w:w="6521" w:type="dxa"/>
            <w:shd w:val="clear" w:color="auto" w:fill="auto"/>
          </w:tcPr>
          <w:p w:rsidR="00196FBC" w:rsidRPr="009072DA" w:rsidRDefault="008761D9" w:rsidP="00E113D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9942A5">
            <w:pPr>
              <w:spacing w:before="120" w:after="160" w:line="240" w:lineRule="atLeast"/>
              <w:rPr>
                <w:rFonts w:cs="Arial"/>
                <w:sz w:val="18"/>
                <w:szCs w:val="18"/>
                <w:lang w:val="bg-BG"/>
              </w:rPr>
            </w:pPr>
            <w:r w:rsidRPr="009072DA">
              <w:rPr>
                <w:sz w:val="18"/>
                <w:lang w:val="bg-BG"/>
              </w:rPr>
              <w:t>1.1.2015 г.</w:t>
            </w:r>
          </w:p>
        </w:tc>
      </w:tr>
      <w:tr w:rsidR="00196FBC" w:rsidRPr="009072DA" w:rsidTr="00196FBC">
        <w:trPr>
          <w:cantSplit/>
          <w:jc w:val="center"/>
        </w:trPr>
        <w:tc>
          <w:tcPr>
            <w:tcW w:w="1342" w:type="dxa"/>
            <w:shd w:val="clear" w:color="auto" w:fill="auto"/>
          </w:tcPr>
          <w:p w:rsidR="00196FBC" w:rsidRPr="009072DA" w:rsidRDefault="00196FBC" w:rsidP="00F91AFF">
            <w:pPr>
              <w:spacing w:before="120" w:after="160" w:line="240" w:lineRule="atLeast"/>
              <w:rPr>
                <w:rFonts w:cs="Arial"/>
                <w:sz w:val="18"/>
                <w:szCs w:val="18"/>
                <w:lang w:val="bg-BG"/>
              </w:rPr>
            </w:pPr>
            <w:r w:rsidRPr="009072DA">
              <w:rPr>
                <w:sz w:val="18"/>
                <w:lang w:val="bg-BG"/>
              </w:rPr>
              <w:t>8.06</w:t>
            </w:r>
          </w:p>
        </w:tc>
        <w:tc>
          <w:tcPr>
            <w:tcW w:w="1458" w:type="dxa"/>
            <w:shd w:val="clear" w:color="auto" w:fill="auto"/>
          </w:tcPr>
          <w:p w:rsidR="00196FBC" w:rsidRPr="009072DA" w:rsidRDefault="00196FBC" w:rsidP="00E113D0">
            <w:pPr>
              <w:spacing w:before="120" w:after="120" w:line="240" w:lineRule="atLeast"/>
              <w:rPr>
                <w:rFonts w:cs="Arial"/>
                <w:sz w:val="18"/>
                <w:szCs w:val="18"/>
                <w:lang w:val="bg-BG"/>
              </w:rPr>
            </w:pPr>
          </w:p>
        </w:tc>
        <w:tc>
          <w:tcPr>
            <w:tcW w:w="3296" w:type="dxa"/>
            <w:shd w:val="clear" w:color="auto" w:fill="auto"/>
          </w:tcPr>
          <w:p w:rsidR="00196FBC" w:rsidRPr="009072DA" w:rsidRDefault="00196FBC" w:rsidP="00E113D0">
            <w:pPr>
              <w:spacing w:before="120" w:after="120" w:line="240" w:lineRule="atLeast"/>
              <w:rPr>
                <w:rFonts w:cs="Arial"/>
                <w:sz w:val="18"/>
                <w:szCs w:val="18"/>
                <w:lang w:val="bg-BG"/>
              </w:rPr>
            </w:pPr>
            <w:r w:rsidRPr="009072DA">
              <w:rPr>
                <w:sz w:val="18"/>
                <w:lang w:val="bg-BG"/>
              </w:rPr>
              <w:t>Резервоари за смазочно масло, тръби и принадлежности</w:t>
            </w:r>
          </w:p>
        </w:tc>
        <w:tc>
          <w:tcPr>
            <w:tcW w:w="6521" w:type="dxa"/>
            <w:shd w:val="clear" w:color="auto" w:fill="auto"/>
          </w:tcPr>
          <w:p w:rsidR="00196FBC" w:rsidRPr="009072DA" w:rsidRDefault="008761D9" w:rsidP="00E113D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9942A5">
            <w:pPr>
              <w:spacing w:before="120" w:after="160" w:line="240" w:lineRule="atLeast"/>
              <w:rPr>
                <w:rFonts w:cs="Arial"/>
                <w:sz w:val="18"/>
                <w:szCs w:val="18"/>
                <w:lang w:val="bg-BG"/>
              </w:rPr>
            </w:pPr>
            <w:r w:rsidRPr="009072DA">
              <w:rPr>
                <w:sz w:val="18"/>
                <w:lang w:val="bg-BG"/>
              </w:rPr>
              <w:t>1.1.2045 г.</w:t>
            </w:r>
          </w:p>
        </w:tc>
      </w:tr>
      <w:tr w:rsidR="00196FBC" w:rsidRPr="009072DA" w:rsidTr="00196FBC">
        <w:trPr>
          <w:cantSplit/>
          <w:jc w:val="center"/>
        </w:trPr>
        <w:tc>
          <w:tcPr>
            <w:tcW w:w="1342" w:type="dxa"/>
            <w:tcBorders>
              <w:bottom w:val="single" w:sz="4" w:space="0" w:color="auto"/>
            </w:tcBorders>
            <w:shd w:val="clear" w:color="auto" w:fill="auto"/>
          </w:tcPr>
          <w:p w:rsidR="00196FBC" w:rsidRPr="009072DA" w:rsidRDefault="00196FBC" w:rsidP="00C01A94">
            <w:pPr>
              <w:spacing w:before="80" w:after="100" w:line="240" w:lineRule="atLeast"/>
              <w:rPr>
                <w:rFonts w:cs="Arial"/>
                <w:sz w:val="18"/>
                <w:szCs w:val="18"/>
                <w:lang w:val="bg-BG"/>
              </w:rPr>
            </w:pPr>
            <w:r w:rsidRPr="009072DA">
              <w:rPr>
                <w:sz w:val="18"/>
                <w:lang w:val="bg-BG"/>
              </w:rPr>
              <w:t>8.07</w:t>
            </w:r>
          </w:p>
        </w:tc>
        <w:tc>
          <w:tcPr>
            <w:tcW w:w="1458" w:type="dxa"/>
            <w:shd w:val="clear" w:color="auto" w:fill="auto"/>
          </w:tcPr>
          <w:p w:rsidR="00196FBC" w:rsidRPr="009072DA" w:rsidRDefault="00196FBC" w:rsidP="00C01A94">
            <w:pPr>
              <w:spacing w:before="80" w:after="100" w:line="240" w:lineRule="atLeast"/>
              <w:rPr>
                <w:rFonts w:cs="Arial"/>
                <w:sz w:val="18"/>
                <w:szCs w:val="18"/>
                <w:lang w:val="bg-BG"/>
              </w:rPr>
            </w:pPr>
          </w:p>
        </w:tc>
        <w:tc>
          <w:tcPr>
            <w:tcW w:w="3296" w:type="dxa"/>
            <w:shd w:val="clear" w:color="auto" w:fill="auto"/>
          </w:tcPr>
          <w:p w:rsidR="00196FBC" w:rsidRPr="009072DA" w:rsidRDefault="00196FBC" w:rsidP="00C01A94">
            <w:pPr>
              <w:spacing w:before="80" w:after="100" w:line="240" w:lineRule="atLeast"/>
              <w:rPr>
                <w:rFonts w:cs="Arial"/>
                <w:sz w:val="18"/>
                <w:szCs w:val="18"/>
                <w:lang w:val="bg-BG"/>
              </w:rPr>
            </w:pPr>
            <w:r w:rsidRPr="009072DA">
              <w:rPr>
                <w:sz w:val="18"/>
                <w:lang w:val="bg-BG"/>
              </w:rPr>
              <w:t>Резервоари за масла в силови трансмисии, системи за управление и задействане и системи за отопление, тръбопроводи и принадлежности</w:t>
            </w:r>
          </w:p>
        </w:tc>
        <w:tc>
          <w:tcPr>
            <w:tcW w:w="6521" w:type="dxa"/>
            <w:shd w:val="clear" w:color="auto" w:fill="auto"/>
          </w:tcPr>
          <w:p w:rsidR="00196FBC" w:rsidRPr="009072DA" w:rsidRDefault="008761D9" w:rsidP="00C01A94">
            <w:pPr>
              <w:spacing w:before="8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C01A94">
            <w:pPr>
              <w:spacing w:before="80" w:after="100" w:line="240" w:lineRule="atLeast"/>
              <w:rPr>
                <w:rFonts w:cs="Arial"/>
                <w:sz w:val="18"/>
                <w:szCs w:val="18"/>
                <w:lang w:val="bg-BG"/>
              </w:rPr>
            </w:pPr>
            <w:r w:rsidRPr="009072DA">
              <w:rPr>
                <w:sz w:val="18"/>
                <w:lang w:val="bg-BG"/>
              </w:rPr>
              <w:t>1.1.2045 г.</w:t>
            </w:r>
          </w:p>
        </w:tc>
      </w:tr>
      <w:tr w:rsidR="00196FBC" w:rsidRPr="009072DA" w:rsidTr="00E113D0">
        <w:trPr>
          <w:cantSplit/>
          <w:trHeight w:val="1431"/>
          <w:jc w:val="center"/>
        </w:trPr>
        <w:tc>
          <w:tcPr>
            <w:tcW w:w="1342" w:type="dxa"/>
            <w:tcBorders>
              <w:bottom w:val="nil"/>
            </w:tcBorders>
            <w:shd w:val="clear" w:color="auto" w:fill="auto"/>
          </w:tcPr>
          <w:p w:rsidR="00196FBC" w:rsidRPr="009072DA" w:rsidRDefault="00196FBC" w:rsidP="00C01A94">
            <w:pPr>
              <w:spacing w:before="80" w:after="100" w:line="240" w:lineRule="atLeast"/>
              <w:rPr>
                <w:rFonts w:cs="Arial"/>
                <w:sz w:val="18"/>
                <w:szCs w:val="18"/>
                <w:lang w:val="bg-BG"/>
              </w:rPr>
            </w:pPr>
            <w:r w:rsidRPr="009072DA">
              <w:rPr>
                <w:sz w:val="18"/>
                <w:lang w:val="bg-BG"/>
              </w:rPr>
              <w:t>8.08</w:t>
            </w:r>
          </w:p>
        </w:tc>
        <w:tc>
          <w:tcPr>
            <w:tcW w:w="1458" w:type="dxa"/>
            <w:shd w:val="clear" w:color="auto" w:fill="auto"/>
          </w:tcPr>
          <w:p w:rsidR="00196FBC" w:rsidRPr="009072DA" w:rsidRDefault="00196FBC" w:rsidP="00C01A94">
            <w:pPr>
              <w:spacing w:before="80" w:after="100" w:line="240" w:lineRule="atLeast"/>
              <w:rPr>
                <w:rFonts w:cs="Arial"/>
                <w:sz w:val="18"/>
                <w:szCs w:val="18"/>
                <w:lang w:val="bg-BG"/>
              </w:rPr>
            </w:pPr>
            <w:r w:rsidRPr="009072DA">
              <w:rPr>
                <w:sz w:val="18"/>
                <w:lang w:val="bg-BG"/>
              </w:rPr>
              <w:t>Точка 8</w:t>
            </w:r>
          </w:p>
        </w:tc>
        <w:tc>
          <w:tcPr>
            <w:tcW w:w="3296" w:type="dxa"/>
            <w:shd w:val="clear" w:color="auto" w:fill="auto"/>
          </w:tcPr>
          <w:p w:rsidR="00196FBC" w:rsidRPr="009072DA" w:rsidRDefault="00196FBC" w:rsidP="00C01A94">
            <w:pPr>
              <w:spacing w:before="80" w:after="100" w:line="240" w:lineRule="atLeast"/>
              <w:rPr>
                <w:rFonts w:cs="Arial"/>
                <w:sz w:val="18"/>
                <w:szCs w:val="18"/>
                <w:lang w:val="bg-BG"/>
              </w:rPr>
            </w:pPr>
            <w:r w:rsidRPr="009072DA">
              <w:rPr>
                <w:sz w:val="18"/>
                <w:lang w:val="bg-BG"/>
              </w:rPr>
              <w:t>Обикновено затварящо устройство не е достатъчно за свързване на местата за баласт с осушителните тръби на трюмовете, които могат да приемат баласт</w:t>
            </w:r>
          </w:p>
        </w:tc>
        <w:tc>
          <w:tcPr>
            <w:tcW w:w="6521" w:type="dxa"/>
            <w:shd w:val="clear" w:color="auto" w:fill="auto"/>
          </w:tcPr>
          <w:p w:rsidR="00196FBC" w:rsidRPr="009072DA" w:rsidRDefault="008761D9" w:rsidP="00C01A94">
            <w:pPr>
              <w:spacing w:before="8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C01A94">
            <w:pPr>
              <w:spacing w:before="80" w:after="100" w:line="240" w:lineRule="atLeast"/>
              <w:rPr>
                <w:rFonts w:cs="Arial"/>
                <w:sz w:val="18"/>
                <w:szCs w:val="18"/>
                <w:lang w:val="bg-BG"/>
              </w:rPr>
            </w:pPr>
            <w:r w:rsidRPr="009072DA">
              <w:rPr>
                <w:sz w:val="18"/>
                <w:lang w:val="bg-BG"/>
              </w:rPr>
              <w:t>1.1.2010 г.</w:t>
            </w:r>
          </w:p>
        </w:tc>
      </w:tr>
      <w:tr w:rsidR="00196FBC" w:rsidRPr="009072DA" w:rsidTr="00196FBC">
        <w:trPr>
          <w:cantSplit/>
          <w:jc w:val="center"/>
        </w:trPr>
        <w:tc>
          <w:tcPr>
            <w:tcW w:w="1342" w:type="dxa"/>
            <w:tcBorders>
              <w:top w:val="nil"/>
            </w:tcBorders>
            <w:shd w:val="clear" w:color="auto" w:fill="auto"/>
          </w:tcPr>
          <w:p w:rsidR="00196FBC" w:rsidRPr="009072DA" w:rsidRDefault="00196FBC" w:rsidP="00C01A94">
            <w:pPr>
              <w:spacing w:before="80" w:after="100" w:line="240" w:lineRule="atLeast"/>
              <w:rPr>
                <w:rFonts w:cs="Arial"/>
                <w:sz w:val="18"/>
                <w:szCs w:val="18"/>
                <w:lang w:val="bg-BG"/>
              </w:rPr>
            </w:pPr>
          </w:p>
        </w:tc>
        <w:tc>
          <w:tcPr>
            <w:tcW w:w="1458" w:type="dxa"/>
            <w:shd w:val="clear" w:color="auto" w:fill="auto"/>
          </w:tcPr>
          <w:p w:rsidR="00196FBC" w:rsidRPr="009072DA" w:rsidRDefault="00196FBC" w:rsidP="00C01A94">
            <w:pPr>
              <w:spacing w:before="80" w:after="100" w:line="240" w:lineRule="atLeast"/>
              <w:rPr>
                <w:rFonts w:cs="Arial"/>
                <w:sz w:val="18"/>
                <w:szCs w:val="18"/>
                <w:lang w:val="bg-BG"/>
              </w:rPr>
            </w:pPr>
            <w:r w:rsidRPr="009072DA">
              <w:rPr>
                <w:sz w:val="18"/>
                <w:lang w:val="bg-BG"/>
              </w:rPr>
              <w:t>Точка 9</w:t>
            </w:r>
          </w:p>
        </w:tc>
        <w:tc>
          <w:tcPr>
            <w:tcW w:w="3296" w:type="dxa"/>
            <w:shd w:val="clear" w:color="auto" w:fill="auto"/>
          </w:tcPr>
          <w:p w:rsidR="00196FBC" w:rsidRPr="009072DA" w:rsidRDefault="00196FBC" w:rsidP="00C01A94">
            <w:pPr>
              <w:spacing w:before="80" w:after="100" w:line="240" w:lineRule="atLeast"/>
              <w:rPr>
                <w:rFonts w:cs="Arial"/>
                <w:sz w:val="18"/>
                <w:szCs w:val="18"/>
                <w:lang w:val="bg-BG"/>
              </w:rPr>
            </w:pPr>
            <w:r w:rsidRPr="009072DA">
              <w:rPr>
                <w:sz w:val="18"/>
                <w:lang w:val="bg-BG"/>
              </w:rPr>
              <w:t>Измервателни устройства на дъната на трюмовете</w:t>
            </w:r>
          </w:p>
        </w:tc>
        <w:tc>
          <w:tcPr>
            <w:tcW w:w="6521" w:type="dxa"/>
            <w:shd w:val="clear" w:color="auto" w:fill="auto"/>
          </w:tcPr>
          <w:p w:rsidR="00196FBC" w:rsidRPr="009072DA" w:rsidRDefault="008761D9" w:rsidP="00C01A94">
            <w:pPr>
              <w:spacing w:before="8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C01A94">
            <w:pPr>
              <w:spacing w:before="80" w:after="100" w:line="240" w:lineRule="atLeast"/>
              <w:rPr>
                <w:rFonts w:cs="Arial"/>
                <w:sz w:val="18"/>
                <w:szCs w:val="18"/>
                <w:lang w:val="bg-BG"/>
              </w:rPr>
            </w:pPr>
            <w:r w:rsidRPr="009072DA">
              <w:rPr>
                <w:sz w:val="18"/>
                <w:lang w:val="bg-BG"/>
              </w:rPr>
              <w:t>1.1.2010 г.</w:t>
            </w:r>
          </w:p>
        </w:tc>
      </w:tr>
      <w:tr w:rsidR="00196FBC" w:rsidRPr="009072DA" w:rsidTr="00196FBC">
        <w:trPr>
          <w:cantSplit/>
          <w:jc w:val="center"/>
        </w:trPr>
        <w:tc>
          <w:tcPr>
            <w:tcW w:w="1342" w:type="dxa"/>
            <w:shd w:val="clear" w:color="auto" w:fill="auto"/>
          </w:tcPr>
          <w:p w:rsidR="00196FBC" w:rsidRPr="009072DA" w:rsidRDefault="00196FBC" w:rsidP="00C01A94">
            <w:pPr>
              <w:spacing w:before="80" w:after="100" w:line="240" w:lineRule="atLeast"/>
              <w:rPr>
                <w:rFonts w:cs="Arial"/>
                <w:sz w:val="18"/>
                <w:szCs w:val="18"/>
                <w:lang w:val="bg-BG"/>
              </w:rPr>
            </w:pPr>
            <w:r w:rsidRPr="009072DA">
              <w:rPr>
                <w:sz w:val="18"/>
                <w:lang w:val="bg-BG"/>
              </w:rPr>
              <w:lastRenderedPageBreak/>
              <w:t>8.09</w:t>
            </w:r>
          </w:p>
        </w:tc>
        <w:tc>
          <w:tcPr>
            <w:tcW w:w="1458" w:type="dxa"/>
            <w:shd w:val="clear" w:color="auto" w:fill="auto"/>
          </w:tcPr>
          <w:p w:rsidR="00196FBC" w:rsidRPr="009072DA" w:rsidRDefault="00196FBC" w:rsidP="00C01A94">
            <w:pPr>
              <w:spacing w:before="80" w:after="100" w:line="240" w:lineRule="atLeast"/>
              <w:rPr>
                <w:rFonts w:cs="Arial"/>
                <w:sz w:val="18"/>
                <w:szCs w:val="18"/>
                <w:lang w:val="bg-BG"/>
              </w:rPr>
            </w:pPr>
            <w:r w:rsidRPr="009072DA">
              <w:rPr>
                <w:sz w:val="18"/>
                <w:lang w:val="bg-BG"/>
              </w:rPr>
              <w:t>Точка 2</w:t>
            </w:r>
          </w:p>
        </w:tc>
        <w:tc>
          <w:tcPr>
            <w:tcW w:w="3296" w:type="dxa"/>
            <w:shd w:val="clear" w:color="auto" w:fill="auto"/>
          </w:tcPr>
          <w:p w:rsidR="00196FBC" w:rsidRPr="009072DA" w:rsidRDefault="00196FBC" w:rsidP="00C01A94">
            <w:pPr>
              <w:spacing w:before="80" w:after="100" w:line="240" w:lineRule="atLeast"/>
              <w:rPr>
                <w:rFonts w:cs="Arial"/>
                <w:sz w:val="18"/>
                <w:szCs w:val="18"/>
                <w:lang w:val="bg-BG"/>
              </w:rPr>
            </w:pPr>
            <w:r w:rsidRPr="009072DA">
              <w:rPr>
                <w:sz w:val="18"/>
                <w:lang w:val="bg-BG"/>
              </w:rPr>
              <w:t>Съоръжения за събиране на вода, замърсена с нефтопродукти и съхранение на отработени масла</w:t>
            </w:r>
          </w:p>
        </w:tc>
        <w:tc>
          <w:tcPr>
            <w:tcW w:w="6521" w:type="dxa"/>
            <w:shd w:val="clear" w:color="auto" w:fill="auto"/>
          </w:tcPr>
          <w:p w:rsidR="00196FBC" w:rsidRPr="009072DA" w:rsidRDefault="008761D9" w:rsidP="00C01A94">
            <w:pPr>
              <w:spacing w:before="8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FBC" w:rsidRPr="009072DA" w:rsidRDefault="00196FBC" w:rsidP="00C01A94">
            <w:pPr>
              <w:spacing w:before="80" w:after="100" w:line="240" w:lineRule="atLeast"/>
              <w:rPr>
                <w:rFonts w:cs="Arial"/>
                <w:sz w:val="18"/>
                <w:szCs w:val="18"/>
                <w:lang w:val="bg-BG"/>
              </w:rPr>
            </w:pPr>
            <w:r w:rsidRPr="009072DA">
              <w:rPr>
                <w:sz w:val="18"/>
                <w:lang w:val="bg-BG"/>
              </w:rPr>
              <w:t>1.1.2010 г.</w:t>
            </w:r>
          </w:p>
        </w:tc>
      </w:tr>
      <w:tr w:rsidR="00196FBC" w:rsidRPr="009072DA" w:rsidTr="00C01A94">
        <w:trPr>
          <w:cantSplit/>
          <w:jc w:val="center"/>
        </w:trPr>
        <w:tc>
          <w:tcPr>
            <w:tcW w:w="1342" w:type="dxa"/>
            <w:shd w:val="clear" w:color="auto" w:fill="auto"/>
          </w:tcPr>
          <w:p w:rsidR="00196FBC" w:rsidRPr="009072DA" w:rsidRDefault="00196FBC" w:rsidP="00C01A94">
            <w:pPr>
              <w:spacing w:before="80" w:after="100" w:line="240" w:lineRule="atLeast"/>
              <w:rPr>
                <w:rFonts w:cs="Arial"/>
                <w:sz w:val="18"/>
                <w:szCs w:val="18"/>
                <w:lang w:val="bg-BG"/>
              </w:rPr>
            </w:pPr>
            <w:r w:rsidRPr="009072DA">
              <w:rPr>
                <w:sz w:val="18"/>
                <w:lang w:val="bg-BG"/>
              </w:rPr>
              <w:t>8.10</w:t>
            </w:r>
          </w:p>
        </w:tc>
        <w:tc>
          <w:tcPr>
            <w:tcW w:w="1458" w:type="dxa"/>
            <w:shd w:val="clear" w:color="auto" w:fill="auto"/>
          </w:tcPr>
          <w:p w:rsidR="00196FBC" w:rsidRPr="009072DA" w:rsidRDefault="00196FBC" w:rsidP="00C01A94">
            <w:pPr>
              <w:spacing w:before="80" w:after="100" w:line="240" w:lineRule="atLeast"/>
              <w:rPr>
                <w:rFonts w:cs="Arial"/>
                <w:sz w:val="18"/>
                <w:szCs w:val="18"/>
                <w:lang w:val="bg-BG"/>
              </w:rPr>
            </w:pPr>
            <w:r w:rsidRPr="009072DA">
              <w:rPr>
                <w:sz w:val="18"/>
                <w:lang w:val="bg-BG"/>
              </w:rPr>
              <w:t>Точка 3</w:t>
            </w:r>
            <w:r w:rsidRPr="009072DA">
              <w:rPr>
                <w:color w:val="000000"/>
                <w:sz w:val="18"/>
                <w:vertAlign w:val="superscript"/>
                <w:lang w:val="bg-BG"/>
              </w:rPr>
              <w:footnoteReference w:id="26"/>
            </w:r>
          </w:p>
        </w:tc>
        <w:tc>
          <w:tcPr>
            <w:tcW w:w="3296" w:type="dxa"/>
            <w:shd w:val="clear" w:color="auto" w:fill="auto"/>
          </w:tcPr>
          <w:p w:rsidR="00196FBC" w:rsidRPr="009072DA" w:rsidRDefault="00196FBC" w:rsidP="00C01A94">
            <w:pPr>
              <w:spacing w:before="80" w:after="100" w:line="240" w:lineRule="atLeast"/>
              <w:rPr>
                <w:rFonts w:cs="Arial"/>
                <w:sz w:val="18"/>
                <w:szCs w:val="18"/>
                <w:lang w:val="bg-BG"/>
              </w:rPr>
            </w:pPr>
            <w:r w:rsidRPr="009072DA">
              <w:rPr>
                <w:sz w:val="18"/>
                <w:lang w:val="bg-BG"/>
              </w:rPr>
              <w:t>Ограничение за емисиите от 65 dB(A) за неподвижни плавателни съдове</w:t>
            </w:r>
          </w:p>
        </w:tc>
        <w:tc>
          <w:tcPr>
            <w:tcW w:w="6521" w:type="dxa"/>
            <w:shd w:val="clear" w:color="auto" w:fill="auto"/>
          </w:tcPr>
          <w:p w:rsidR="00196FBC" w:rsidRPr="009072DA" w:rsidRDefault="008761D9" w:rsidP="00C01A94">
            <w:pPr>
              <w:spacing w:before="8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tcBorders>
              <w:bottom w:val="single" w:sz="4" w:space="0" w:color="auto"/>
            </w:tcBorders>
            <w:shd w:val="clear" w:color="auto" w:fill="auto"/>
          </w:tcPr>
          <w:p w:rsidR="00196FBC" w:rsidRPr="009072DA" w:rsidRDefault="00196FBC" w:rsidP="00C01A94">
            <w:pPr>
              <w:spacing w:before="80" w:after="100" w:line="240" w:lineRule="atLeast"/>
              <w:rPr>
                <w:rFonts w:cs="Arial"/>
                <w:sz w:val="18"/>
                <w:szCs w:val="18"/>
                <w:lang w:val="bg-BG"/>
              </w:rPr>
            </w:pPr>
            <w:r w:rsidRPr="009072DA">
              <w:rPr>
                <w:sz w:val="18"/>
                <w:lang w:val="bg-BG"/>
              </w:rPr>
              <w:t>1.1.2020 г.</w:t>
            </w:r>
          </w:p>
        </w:tc>
      </w:tr>
      <w:tr w:rsidR="00196FBC" w:rsidRPr="008D2440" w:rsidTr="00C01A94">
        <w:trPr>
          <w:cantSplit/>
          <w:jc w:val="center"/>
        </w:trPr>
        <w:tc>
          <w:tcPr>
            <w:tcW w:w="6096" w:type="dxa"/>
            <w:gridSpan w:val="3"/>
            <w:shd w:val="clear" w:color="auto" w:fill="auto"/>
          </w:tcPr>
          <w:p w:rsidR="00196FBC" w:rsidRPr="009072DA" w:rsidRDefault="00196FBC" w:rsidP="00C01A94">
            <w:pPr>
              <w:spacing w:before="80" w:after="100" w:line="240" w:lineRule="atLeast"/>
              <w:jc w:val="center"/>
              <w:rPr>
                <w:rFonts w:cs="Arial"/>
                <w:sz w:val="18"/>
                <w:szCs w:val="18"/>
                <w:lang w:val="bg-BG"/>
              </w:rPr>
            </w:pPr>
            <w:r w:rsidRPr="009072DA">
              <w:rPr>
                <w:b/>
                <w:sz w:val="18"/>
                <w:lang w:val="bg-BG"/>
              </w:rPr>
              <w:t>ГЛАВА 9</w:t>
            </w:r>
          </w:p>
        </w:tc>
        <w:tc>
          <w:tcPr>
            <w:tcW w:w="6521" w:type="dxa"/>
            <w:tcBorders>
              <w:bottom w:val="single" w:sz="4" w:space="0" w:color="auto"/>
            </w:tcBorders>
            <w:shd w:val="clear" w:color="auto" w:fill="auto"/>
          </w:tcPr>
          <w:p w:rsidR="00196FBC" w:rsidRPr="009072DA" w:rsidRDefault="00C01A94" w:rsidP="00C01A94">
            <w:pPr>
              <w:spacing w:before="80" w:after="100" w:line="240" w:lineRule="atLeast"/>
              <w:rPr>
                <w:rFonts w:cs="Arial"/>
                <w:sz w:val="18"/>
                <w:szCs w:val="18"/>
                <w:lang w:val="bg-BG"/>
              </w:rPr>
            </w:pPr>
            <w:r w:rsidRPr="009072DA">
              <w:rPr>
                <w:sz w:val="18"/>
                <w:lang w:val="bg-BG"/>
              </w:rPr>
              <w:t>За двигателите, които вече са монтирани на борда и нямат одобрение на типа, се прилага само член 9.02.</w:t>
            </w:r>
          </w:p>
        </w:tc>
        <w:tc>
          <w:tcPr>
            <w:tcW w:w="1276" w:type="dxa"/>
            <w:tcBorders>
              <w:bottom w:val="nil"/>
            </w:tcBorders>
            <w:shd w:val="clear" w:color="auto" w:fill="auto"/>
          </w:tcPr>
          <w:p w:rsidR="00196FBC" w:rsidRPr="009072DA" w:rsidRDefault="00196FBC" w:rsidP="00C01A94">
            <w:pPr>
              <w:spacing w:before="80" w:after="100" w:line="240" w:lineRule="atLeast"/>
              <w:rPr>
                <w:rFonts w:cs="Arial"/>
                <w:sz w:val="18"/>
                <w:szCs w:val="18"/>
                <w:lang w:val="bg-BG"/>
              </w:rPr>
            </w:pPr>
          </w:p>
        </w:tc>
      </w:tr>
      <w:tr w:rsidR="00C01A94" w:rsidRPr="008D2440" w:rsidTr="00C01A94">
        <w:trPr>
          <w:cantSplit/>
          <w:jc w:val="center"/>
        </w:trPr>
        <w:tc>
          <w:tcPr>
            <w:tcW w:w="1342" w:type="dxa"/>
            <w:tcBorders>
              <w:bottom w:val="single" w:sz="4" w:space="0" w:color="auto"/>
            </w:tcBorders>
            <w:shd w:val="clear" w:color="auto" w:fill="auto"/>
          </w:tcPr>
          <w:p w:rsidR="00C01A94" w:rsidRPr="009072DA" w:rsidRDefault="00C01A94" w:rsidP="00C01A94">
            <w:pPr>
              <w:spacing w:before="80" w:after="100" w:line="240" w:lineRule="atLeast"/>
              <w:rPr>
                <w:rFonts w:eastAsia="Calibri" w:cs="Arial"/>
                <w:sz w:val="18"/>
                <w:szCs w:val="18"/>
                <w:lang w:val="bg-BG"/>
              </w:rPr>
            </w:pPr>
            <w:r w:rsidRPr="009072DA">
              <w:rPr>
                <w:sz w:val="18"/>
                <w:lang w:val="bg-BG"/>
              </w:rPr>
              <w:t>9.01</w:t>
            </w:r>
          </w:p>
        </w:tc>
        <w:tc>
          <w:tcPr>
            <w:tcW w:w="1458" w:type="dxa"/>
            <w:tcBorders>
              <w:bottom w:val="single" w:sz="4" w:space="0" w:color="auto"/>
            </w:tcBorders>
            <w:shd w:val="clear" w:color="auto" w:fill="auto"/>
          </w:tcPr>
          <w:p w:rsidR="00C01A94" w:rsidRPr="009072DA" w:rsidRDefault="00C01A94" w:rsidP="00C01A94">
            <w:pPr>
              <w:spacing w:before="80" w:after="100" w:line="240" w:lineRule="atLeast"/>
              <w:rPr>
                <w:sz w:val="18"/>
                <w:szCs w:val="18"/>
                <w:lang w:val="bg-BG"/>
              </w:rPr>
            </w:pPr>
            <w:r w:rsidRPr="009072DA">
              <w:rPr>
                <w:sz w:val="18"/>
                <w:lang w:val="bg-BG"/>
              </w:rPr>
              <w:t>Точки 1 — 4</w:t>
            </w:r>
          </w:p>
        </w:tc>
        <w:tc>
          <w:tcPr>
            <w:tcW w:w="3296" w:type="dxa"/>
            <w:shd w:val="clear" w:color="auto" w:fill="auto"/>
          </w:tcPr>
          <w:p w:rsidR="00C01A94" w:rsidRPr="009072DA" w:rsidRDefault="00C01A94" w:rsidP="00C01A94">
            <w:pPr>
              <w:spacing w:before="80" w:after="100" w:line="240" w:lineRule="atLeast"/>
              <w:rPr>
                <w:rFonts w:eastAsia="Calibri" w:cs="Arial"/>
                <w:sz w:val="18"/>
                <w:szCs w:val="18"/>
                <w:lang w:val="bg-BG"/>
              </w:rPr>
            </w:pPr>
            <w:r w:rsidRPr="009072DA">
              <w:rPr>
                <w:sz w:val="18"/>
                <w:lang w:val="bg-BG"/>
              </w:rPr>
              <w:t>Общи разпоредби</w:t>
            </w:r>
          </w:p>
        </w:tc>
        <w:tc>
          <w:tcPr>
            <w:tcW w:w="6521" w:type="dxa"/>
            <w:vMerge w:val="restart"/>
            <w:tcBorders>
              <w:right w:val="single" w:sz="4" w:space="0" w:color="auto"/>
            </w:tcBorders>
            <w:shd w:val="clear" w:color="auto" w:fill="auto"/>
            <w:vAlign w:val="center"/>
          </w:tcPr>
          <w:p w:rsidR="00C01A94" w:rsidRPr="009072DA" w:rsidRDefault="00C01A94" w:rsidP="00C01A94">
            <w:pPr>
              <w:spacing w:before="80" w:after="100" w:line="240" w:lineRule="atLeast"/>
              <w:ind w:left="404" w:hanging="404"/>
              <w:rPr>
                <w:rFonts w:cs="Arial"/>
                <w:sz w:val="18"/>
                <w:szCs w:val="18"/>
                <w:lang w:val="bg-BG"/>
              </w:rPr>
            </w:pPr>
            <w:r w:rsidRPr="009072DA">
              <w:rPr>
                <w:sz w:val="18"/>
                <w:lang w:val="bg-BG"/>
              </w:rPr>
              <w:t>За двигателите, които съответстват на разпоредбите за одобряване на типа и монтажа в сила към датата на монтажа: НЗ</w:t>
            </w:r>
          </w:p>
        </w:tc>
        <w:tc>
          <w:tcPr>
            <w:tcW w:w="1276" w:type="dxa"/>
            <w:tcBorders>
              <w:top w:val="nil"/>
              <w:left w:val="single" w:sz="4" w:space="0" w:color="auto"/>
              <w:bottom w:val="nil"/>
            </w:tcBorders>
            <w:shd w:val="clear" w:color="auto" w:fill="auto"/>
          </w:tcPr>
          <w:p w:rsidR="00C01A94" w:rsidRPr="009072DA" w:rsidRDefault="00C01A94" w:rsidP="00C01A94">
            <w:pPr>
              <w:spacing w:before="80" w:after="100" w:line="240" w:lineRule="atLeast"/>
              <w:rPr>
                <w:rFonts w:cs="Arial"/>
                <w:sz w:val="18"/>
                <w:szCs w:val="18"/>
                <w:lang w:val="bg-BG"/>
              </w:rPr>
            </w:pPr>
          </w:p>
        </w:tc>
      </w:tr>
      <w:tr w:rsidR="00C01A94" w:rsidRPr="009072DA" w:rsidTr="00C01A94">
        <w:trPr>
          <w:cantSplit/>
          <w:jc w:val="center"/>
        </w:trPr>
        <w:tc>
          <w:tcPr>
            <w:tcW w:w="1342" w:type="dxa"/>
            <w:tcBorders>
              <w:top w:val="single" w:sz="4" w:space="0" w:color="auto"/>
              <w:bottom w:val="single" w:sz="4" w:space="0" w:color="auto"/>
            </w:tcBorders>
            <w:shd w:val="clear" w:color="auto" w:fill="auto"/>
          </w:tcPr>
          <w:p w:rsidR="00C01A94" w:rsidRPr="009072DA" w:rsidRDefault="00C01A94" w:rsidP="00C01A94">
            <w:pPr>
              <w:spacing w:before="80" w:after="100" w:line="240" w:lineRule="atLeast"/>
              <w:rPr>
                <w:sz w:val="18"/>
                <w:szCs w:val="18"/>
                <w:lang w:val="bg-BG"/>
              </w:rPr>
            </w:pPr>
            <w:r w:rsidRPr="009072DA">
              <w:rPr>
                <w:sz w:val="18"/>
                <w:lang w:val="bg-BG"/>
              </w:rPr>
              <w:t>9.06</w:t>
            </w:r>
          </w:p>
        </w:tc>
        <w:tc>
          <w:tcPr>
            <w:tcW w:w="1458" w:type="dxa"/>
            <w:tcBorders>
              <w:top w:val="single" w:sz="4" w:space="0" w:color="auto"/>
              <w:bottom w:val="single" w:sz="4" w:space="0" w:color="auto"/>
            </w:tcBorders>
            <w:shd w:val="clear" w:color="auto" w:fill="auto"/>
          </w:tcPr>
          <w:p w:rsidR="00C01A94" w:rsidRPr="009072DA" w:rsidRDefault="00C01A94" w:rsidP="00C01A94">
            <w:pPr>
              <w:spacing w:before="80" w:after="100" w:line="240" w:lineRule="atLeast"/>
              <w:rPr>
                <w:sz w:val="18"/>
                <w:szCs w:val="18"/>
                <w:lang w:val="bg-BG"/>
              </w:rPr>
            </w:pPr>
          </w:p>
        </w:tc>
        <w:tc>
          <w:tcPr>
            <w:tcW w:w="3296" w:type="dxa"/>
            <w:shd w:val="clear" w:color="auto" w:fill="auto"/>
          </w:tcPr>
          <w:p w:rsidR="00C01A94" w:rsidRPr="009072DA" w:rsidRDefault="00C01A94" w:rsidP="00C01A94">
            <w:pPr>
              <w:spacing w:before="80" w:after="100" w:line="240" w:lineRule="atLeast"/>
              <w:rPr>
                <w:sz w:val="18"/>
                <w:szCs w:val="18"/>
                <w:lang w:val="bg-BG"/>
              </w:rPr>
            </w:pPr>
            <w:r w:rsidRPr="009072DA">
              <w:rPr>
                <w:sz w:val="18"/>
                <w:lang w:val="bg-BG"/>
              </w:rPr>
              <w:t>Изпитване на монтажа</w:t>
            </w:r>
          </w:p>
        </w:tc>
        <w:tc>
          <w:tcPr>
            <w:tcW w:w="6521" w:type="dxa"/>
            <w:vMerge/>
            <w:tcBorders>
              <w:right w:val="single" w:sz="4" w:space="0" w:color="auto"/>
            </w:tcBorders>
            <w:shd w:val="clear" w:color="auto" w:fill="auto"/>
          </w:tcPr>
          <w:p w:rsidR="00C01A94" w:rsidRPr="009072DA" w:rsidRDefault="00C01A94" w:rsidP="00C01A94">
            <w:pPr>
              <w:spacing w:before="80" w:after="100" w:line="240" w:lineRule="atLeast"/>
              <w:rPr>
                <w:rFonts w:cs="Arial"/>
                <w:sz w:val="18"/>
                <w:szCs w:val="18"/>
                <w:lang w:val="bg-BG"/>
              </w:rPr>
            </w:pPr>
          </w:p>
        </w:tc>
        <w:tc>
          <w:tcPr>
            <w:tcW w:w="1276" w:type="dxa"/>
            <w:tcBorders>
              <w:top w:val="nil"/>
              <w:left w:val="single" w:sz="4" w:space="0" w:color="auto"/>
            </w:tcBorders>
            <w:shd w:val="clear" w:color="auto" w:fill="auto"/>
          </w:tcPr>
          <w:p w:rsidR="00C01A94" w:rsidRPr="009072DA" w:rsidRDefault="00C01A94" w:rsidP="00C01A94">
            <w:pPr>
              <w:spacing w:before="80" w:after="100" w:line="240" w:lineRule="atLeast"/>
              <w:rPr>
                <w:rFonts w:cs="Arial"/>
                <w:sz w:val="18"/>
                <w:szCs w:val="18"/>
                <w:lang w:val="bg-BG"/>
              </w:rPr>
            </w:pPr>
          </w:p>
        </w:tc>
      </w:tr>
      <w:tr w:rsidR="00C01A94" w:rsidRPr="009072DA" w:rsidTr="00196FBC">
        <w:trPr>
          <w:cantSplit/>
          <w:jc w:val="center"/>
        </w:trPr>
        <w:tc>
          <w:tcPr>
            <w:tcW w:w="6096" w:type="dxa"/>
            <w:gridSpan w:val="3"/>
            <w:shd w:val="clear" w:color="auto" w:fill="auto"/>
          </w:tcPr>
          <w:p w:rsidR="00C01A94" w:rsidRPr="009072DA" w:rsidRDefault="00C01A94" w:rsidP="00C01A94">
            <w:pPr>
              <w:spacing w:before="80" w:after="100" w:line="240" w:lineRule="atLeast"/>
              <w:jc w:val="center"/>
              <w:rPr>
                <w:rFonts w:cs="Arial"/>
                <w:b/>
                <w:sz w:val="18"/>
                <w:szCs w:val="18"/>
                <w:lang w:val="bg-BG"/>
              </w:rPr>
            </w:pPr>
            <w:r w:rsidRPr="009072DA">
              <w:rPr>
                <w:b/>
                <w:sz w:val="18"/>
                <w:lang w:val="bg-BG"/>
              </w:rPr>
              <w:t>ГЛАВА 10</w:t>
            </w:r>
          </w:p>
        </w:tc>
        <w:tc>
          <w:tcPr>
            <w:tcW w:w="6521" w:type="dxa"/>
            <w:shd w:val="clear" w:color="auto" w:fill="auto"/>
          </w:tcPr>
          <w:p w:rsidR="00C01A94" w:rsidRPr="009072DA" w:rsidRDefault="00C01A94" w:rsidP="00C01A94">
            <w:pPr>
              <w:spacing w:before="80" w:after="100" w:line="240" w:lineRule="atLeast"/>
              <w:jc w:val="center"/>
              <w:rPr>
                <w:rFonts w:cs="Arial"/>
                <w:sz w:val="18"/>
                <w:szCs w:val="18"/>
                <w:lang w:val="bg-BG"/>
              </w:rPr>
            </w:pPr>
          </w:p>
        </w:tc>
        <w:tc>
          <w:tcPr>
            <w:tcW w:w="1276" w:type="dxa"/>
            <w:shd w:val="clear" w:color="auto" w:fill="auto"/>
          </w:tcPr>
          <w:p w:rsidR="00C01A94" w:rsidRPr="009072DA" w:rsidRDefault="00C01A94" w:rsidP="00C01A94">
            <w:pPr>
              <w:spacing w:before="80" w:after="100" w:line="240" w:lineRule="atLeast"/>
              <w:rPr>
                <w:rFonts w:cs="Arial"/>
                <w:sz w:val="18"/>
                <w:szCs w:val="18"/>
                <w:lang w:val="bg-BG"/>
              </w:rPr>
            </w:pPr>
          </w:p>
        </w:tc>
      </w:tr>
      <w:tr w:rsidR="00C01A94" w:rsidRPr="009072DA" w:rsidTr="00196FBC">
        <w:trPr>
          <w:cantSplit/>
          <w:jc w:val="center"/>
        </w:trPr>
        <w:tc>
          <w:tcPr>
            <w:tcW w:w="1342" w:type="dxa"/>
            <w:tcBorders>
              <w:bottom w:val="nil"/>
            </w:tcBorders>
            <w:shd w:val="clear" w:color="auto" w:fill="auto"/>
          </w:tcPr>
          <w:p w:rsidR="00C01A94" w:rsidRPr="009072DA" w:rsidRDefault="00C01A94" w:rsidP="00C01A94">
            <w:pPr>
              <w:spacing w:before="80" w:after="100" w:line="240" w:lineRule="atLeast"/>
              <w:rPr>
                <w:rFonts w:cs="Arial"/>
                <w:sz w:val="18"/>
                <w:szCs w:val="18"/>
                <w:lang w:val="bg-BG"/>
              </w:rPr>
            </w:pPr>
            <w:r w:rsidRPr="009072DA">
              <w:rPr>
                <w:sz w:val="18"/>
                <w:lang w:val="bg-BG"/>
              </w:rPr>
              <w:t>10.01</w:t>
            </w:r>
          </w:p>
        </w:tc>
        <w:tc>
          <w:tcPr>
            <w:tcW w:w="1458" w:type="dxa"/>
            <w:shd w:val="clear" w:color="auto" w:fill="auto"/>
          </w:tcPr>
          <w:p w:rsidR="00C01A94" w:rsidRPr="009072DA" w:rsidRDefault="00C01A94" w:rsidP="00C01A94">
            <w:pPr>
              <w:spacing w:before="80" w:after="100" w:line="240" w:lineRule="atLeast"/>
              <w:rPr>
                <w:rFonts w:cs="Arial"/>
                <w:sz w:val="18"/>
                <w:szCs w:val="18"/>
                <w:lang w:val="bg-BG"/>
              </w:rPr>
            </w:pPr>
            <w:r w:rsidRPr="009072DA">
              <w:rPr>
                <w:sz w:val="18"/>
                <w:lang w:val="bg-BG"/>
              </w:rPr>
              <w:t>Точка 1, второ изречение</w:t>
            </w:r>
          </w:p>
        </w:tc>
        <w:tc>
          <w:tcPr>
            <w:tcW w:w="3296" w:type="dxa"/>
            <w:shd w:val="clear" w:color="auto" w:fill="auto"/>
          </w:tcPr>
          <w:p w:rsidR="00C01A94" w:rsidRPr="009072DA" w:rsidRDefault="00C01A94" w:rsidP="00C01A94">
            <w:pPr>
              <w:spacing w:before="80" w:after="100" w:line="240" w:lineRule="atLeast"/>
              <w:rPr>
                <w:rFonts w:cs="Arial"/>
                <w:sz w:val="18"/>
                <w:szCs w:val="18"/>
                <w:lang w:val="bg-BG"/>
              </w:rPr>
            </w:pPr>
            <w:r w:rsidRPr="009072DA">
              <w:rPr>
                <w:sz w:val="18"/>
                <w:lang w:val="bg-BG"/>
              </w:rPr>
              <w:t>Изискваните документи трябва да бъдат представени на контролния орган</w:t>
            </w:r>
          </w:p>
        </w:tc>
        <w:tc>
          <w:tcPr>
            <w:tcW w:w="6521" w:type="dxa"/>
            <w:shd w:val="clear" w:color="auto" w:fill="auto"/>
          </w:tcPr>
          <w:p w:rsidR="00C01A94" w:rsidRPr="009072DA" w:rsidRDefault="00C01A94" w:rsidP="00C01A94">
            <w:pPr>
              <w:spacing w:before="80" w:after="10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C01A94">
            <w:pPr>
              <w:spacing w:before="80" w:after="100" w:line="240" w:lineRule="atLeast"/>
              <w:jc w:val="center"/>
              <w:rPr>
                <w:rFonts w:cs="Arial"/>
                <w:sz w:val="18"/>
                <w:szCs w:val="18"/>
                <w:lang w:val="bg-BG"/>
              </w:rPr>
            </w:pPr>
            <w:r w:rsidRPr="009072DA">
              <w:rPr>
                <w:sz w:val="18"/>
                <w:lang w:val="bg-BG"/>
              </w:rPr>
              <w:t>1.1.2035 г.</w:t>
            </w:r>
          </w:p>
        </w:tc>
      </w:tr>
      <w:tr w:rsidR="00C01A94" w:rsidRPr="009072DA" w:rsidTr="00C07595">
        <w:trPr>
          <w:cantSplit/>
          <w:jc w:val="center"/>
        </w:trPr>
        <w:tc>
          <w:tcPr>
            <w:tcW w:w="1342" w:type="dxa"/>
            <w:vMerge w:val="restart"/>
            <w:tcBorders>
              <w:top w:val="nil"/>
            </w:tcBorders>
            <w:shd w:val="clear" w:color="auto" w:fill="auto"/>
          </w:tcPr>
          <w:p w:rsidR="00C01A94" w:rsidRPr="009072DA" w:rsidRDefault="00C01A94" w:rsidP="00C01A94">
            <w:pPr>
              <w:spacing w:before="120" w:after="10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00" w:line="240" w:lineRule="atLeast"/>
              <w:rPr>
                <w:rFonts w:cs="Arial"/>
                <w:sz w:val="18"/>
                <w:szCs w:val="18"/>
                <w:lang w:val="bg-BG"/>
              </w:rPr>
            </w:pPr>
            <w:r w:rsidRPr="009072DA">
              <w:rPr>
                <w:sz w:val="18"/>
                <w:lang w:val="bg-BG"/>
              </w:rPr>
              <w:t>Точка 2, буква б)</w:t>
            </w:r>
          </w:p>
        </w:tc>
        <w:tc>
          <w:tcPr>
            <w:tcW w:w="3296" w:type="dxa"/>
            <w:shd w:val="clear" w:color="auto" w:fill="auto"/>
          </w:tcPr>
          <w:p w:rsidR="00C01A94" w:rsidRPr="009072DA" w:rsidRDefault="00C01A94" w:rsidP="00C01A94">
            <w:pPr>
              <w:spacing w:before="120" w:after="100" w:line="240" w:lineRule="atLeast"/>
              <w:rPr>
                <w:rFonts w:cs="Arial"/>
                <w:sz w:val="18"/>
                <w:szCs w:val="18"/>
                <w:lang w:val="bg-BG"/>
              </w:rPr>
            </w:pPr>
            <w:r w:rsidRPr="009072DA">
              <w:rPr>
                <w:sz w:val="18"/>
                <w:lang w:val="bg-BG"/>
              </w:rPr>
              <w:t>Планове на главното разпределително табло, аварийното разпределително табло и разпределителното табло трябва да се съхраняват на борда</w:t>
            </w:r>
          </w:p>
        </w:tc>
        <w:tc>
          <w:tcPr>
            <w:tcW w:w="6521" w:type="dxa"/>
            <w:shd w:val="clear" w:color="auto" w:fill="auto"/>
          </w:tcPr>
          <w:p w:rsidR="00C01A94" w:rsidRPr="009072DA" w:rsidRDefault="00C01A94" w:rsidP="00C01A94">
            <w:pPr>
              <w:spacing w:before="120" w:after="10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C01A94">
            <w:pPr>
              <w:spacing w:before="120" w:after="100" w:line="240" w:lineRule="atLeast"/>
              <w:jc w:val="center"/>
              <w:rPr>
                <w:rFonts w:cs="Arial"/>
                <w:sz w:val="18"/>
                <w:szCs w:val="18"/>
                <w:lang w:val="bg-BG"/>
              </w:rPr>
            </w:pPr>
            <w:r w:rsidRPr="009072DA">
              <w:rPr>
                <w:sz w:val="18"/>
                <w:lang w:val="bg-BG"/>
              </w:rPr>
              <w:t>1.1.2010 г.</w:t>
            </w:r>
          </w:p>
        </w:tc>
      </w:tr>
      <w:tr w:rsidR="00C01A94" w:rsidRPr="009072DA" w:rsidTr="00C07595">
        <w:trPr>
          <w:cantSplit/>
          <w:jc w:val="center"/>
        </w:trPr>
        <w:tc>
          <w:tcPr>
            <w:tcW w:w="1342" w:type="dxa"/>
            <w:vMerge/>
            <w:shd w:val="clear" w:color="auto" w:fill="auto"/>
          </w:tcPr>
          <w:p w:rsidR="00C01A94" w:rsidRPr="009072DA" w:rsidRDefault="00C01A94" w:rsidP="00C01A94">
            <w:pPr>
              <w:spacing w:before="120" w:after="100" w:line="240" w:lineRule="atLeast"/>
              <w:rPr>
                <w:rFonts w:cs="Arial"/>
                <w:sz w:val="18"/>
                <w:szCs w:val="18"/>
                <w:lang w:val="bg-BG"/>
              </w:rPr>
            </w:pPr>
          </w:p>
        </w:tc>
        <w:tc>
          <w:tcPr>
            <w:tcW w:w="1458" w:type="dxa"/>
            <w:shd w:val="clear" w:color="auto" w:fill="auto"/>
          </w:tcPr>
          <w:p w:rsidR="00C01A94" w:rsidRPr="009072DA" w:rsidRDefault="00AA3519" w:rsidP="00AA3519">
            <w:pPr>
              <w:spacing w:before="120" w:after="100" w:line="240" w:lineRule="atLeast"/>
              <w:rPr>
                <w:rFonts w:cs="Arial"/>
                <w:sz w:val="18"/>
                <w:szCs w:val="18"/>
                <w:lang w:val="bg-BG"/>
              </w:rPr>
            </w:pPr>
            <w:r w:rsidRPr="009072DA">
              <w:rPr>
                <w:sz w:val="18"/>
                <w:lang w:val="bg-BG"/>
              </w:rPr>
              <w:t>Точка 2, буква д)</w:t>
            </w:r>
          </w:p>
        </w:tc>
        <w:tc>
          <w:tcPr>
            <w:tcW w:w="3296" w:type="dxa"/>
            <w:shd w:val="clear" w:color="auto" w:fill="auto"/>
          </w:tcPr>
          <w:p w:rsidR="00C01A94" w:rsidRPr="009072DA" w:rsidRDefault="00C01A94" w:rsidP="00C01A94">
            <w:pPr>
              <w:spacing w:before="120" w:after="100" w:line="240" w:lineRule="atLeast"/>
              <w:rPr>
                <w:rFonts w:cs="Arial"/>
                <w:sz w:val="18"/>
                <w:szCs w:val="18"/>
                <w:lang w:val="bg-BG"/>
              </w:rPr>
            </w:pPr>
            <w:r w:rsidRPr="009072DA">
              <w:rPr>
                <w:sz w:val="18"/>
                <w:lang w:val="bg-BG"/>
              </w:rPr>
              <w:t>Планове на разпределителните табла, както и документация за електрическия задвижващ двигател</w:t>
            </w:r>
          </w:p>
        </w:tc>
        <w:tc>
          <w:tcPr>
            <w:tcW w:w="6521" w:type="dxa"/>
            <w:shd w:val="clear" w:color="auto" w:fill="auto"/>
          </w:tcPr>
          <w:p w:rsidR="00C01A94" w:rsidRPr="009072DA" w:rsidRDefault="00F91AFF" w:rsidP="00C01A94">
            <w:pPr>
              <w:spacing w:before="120" w:after="10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20" w:after="100" w:line="240" w:lineRule="atLeast"/>
              <w:jc w:val="center"/>
              <w:rPr>
                <w:rFonts w:cs="Arial"/>
                <w:sz w:val="18"/>
                <w:szCs w:val="18"/>
                <w:lang w:val="bg-BG"/>
              </w:rPr>
            </w:pPr>
          </w:p>
        </w:tc>
      </w:tr>
      <w:tr w:rsidR="00C01A94" w:rsidRPr="009072DA" w:rsidTr="00C07595">
        <w:trPr>
          <w:cantSplit/>
          <w:jc w:val="center"/>
        </w:trPr>
        <w:tc>
          <w:tcPr>
            <w:tcW w:w="1342" w:type="dxa"/>
            <w:vMerge/>
            <w:shd w:val="clear" w:color="auto" w:fill="auto"/>
          </w:tcPr>
          <w:p w:rsidR="00C01A94" w:rsidRPr="009072DA" w:rsidRDefault="00C01A94" w:rsidP="00C01A94">
            <w:pPr>
              <w:spacing w:before="120" w:after="100" w:line="240" w:lineRule="atLeast"/>
              <w:rPr>
                <w:rFonts w:cs="Arial"/>
                <w:sz w:val="18"/>
                <w:szCs w:val="18"/>
                <w:lang w:val="bg-BG"/>
              </w:rPr>
            </w:pPr>
          </w:p>
        </w:tc>
        <w:tc>
          <w:tcPr>
            <w:tcW w:w="1458" w:type="dxa"/>
            <w:shd w:val="clear" w:color="auto" w:fill="auto"/>
          </w:tcPr>
          <w:p w:rsidR="00C01A94" w:rsidRPr="009072DA" w:rsidRDefault="00AA3519" w:rsidP="00AA3519">
            <w:pPr>
              <w:spacing w:before="120" w:after="100" w:line="240" w:lineRule="atLeast"/>
              <w:rPr>
                <w:rFonts w:cs="Arial"/>
                <w:sz w:val="18"/>
                <w:szCs w:val="18"/>
                <w:lang w:val="bg-BG"/>
              </w:rPr>
            </w:pPr>
            <w:r w:rsidRPr="009072DA">
              <w:rPr>
                <w:sz w:val="18"/>
                <w:lang w:val="bg-BG"/>
              </w:rPr>
              <w:t>Точка 2, буква е)</w:t>
            </w:r>
          </w:p>
        </w:tc>
        <w:tc>
          <w:tcPr>
            <w:tcW w:w="3296" w:type="dxa"/>
            <w:shd w:val="clear" w:color="auto" w:fill="auto"/>
          </w:tcPr>
          <w:p w:rsidR="00C01A94" w:rsidRPr="009072DA" w:rsidRDefault="00C01A94" w:rsidP="00C01A94">
            <w:pPr>
              <w:spacing w:before="120" w:after="100" w:line="240" w:lineRule="atLeast"/>
              <w:rPr>
                <w:rFonts w:cs="Arial"/>
                <w:sz w:val="18"/>
                <w:szCs w:val="18"/>
                <w:lang w:val="bg-BG"/>
              </w:rPr>
            </w:pPr>
            <w:r w:rsidRPr="009072DA">
              <w:rPr>
                <w:sz w:val="18"/>
                <w:lang w:val="bg-BG"/>
              </w:rPr>
              <w:t>Планове на електронни системи</w:t>
            </w:r>
          </w:p>
        </w:tc>
        <w:tc>
          <w:tcPr>
            <w:tcW w:w="6521" w:type="dxa"/>
            <w:shd w:val="clear" w:color="auto" w:fill="auto"/>
          </w:tcPr>
          <w:p w:rsidR="00C01A94" w:rsidRPr="009072DA" w:rsidRDefault="00F91AFF" w:rsidP="00C01A94">
            <w:pPr>
              <w:spacing w:before="120" w:after="10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20" w:after="100" w:line="240" w:lineRule="atLeast"/>
              <w:jc w:val="center"/>
              <w:rPr>
                <w:rFonts w:cs="Arial"/>
                <w:sz w:val="18"/>
                <w:szCs w:val="18"/>
                <w:lang w:val="bg-BG"/>
              </w:rPr>
            </w:pPr>
          </w:p>
        </w:tc>
      </w:tr>
      <w:tr w:rsidR="00C01A94" w:rsidRPr="009072DA" w:rsidTr="00C07595">
        <w:trPr>
          <w:cantSplit/>
          <w:jc w:val="center"/>
        </w:trPr>
        <w:tc>
          <w:tcPr>
            <w:tcW w:w="1342" w:type="dxa"/>
            <w:vMerge/>
            <w:shd w:val="clear" w:color="auto" w:fill="auto"/>
          </w:tcPr>
          <w:p w:rsidR="00C01A94" w:rsidRPr="009072DA" w:rsidRDefault="00C01A94" w:rsidP="00C01A94">
            <w:pPr>
              <w:spacing w:before="120" w:after="100" w:line="240" w:lineRule="atLeast"/>
              <w:rPr>
                <w:rFonts w:cs="Arial"/>
                <w:sz w:val="18"/>
                <w:szCs w:val="18"/>
                <w:lang w:val="bg-BG"/>
              </w:rPr>
            </w:pPr>
          </w:p>
        </w:tc>
        <w:tc>
          <w:tcPr>
            <w:tcW w:w="1458" w:type="dxa"/>
            <w:shd w:val="clear" w:color="auto" w:fill="auto"/>
          </w:tcPr>
          <w:p w:rsidR="00C01A94" w:rsidRPr="009072DA" w:rsidRDefault="00AA3519" w:rsidP="00AA3519">
            <w:pPr>
              <w:spacing w:before="120" w:after="100" w:line="240" w:lineRule="atLeast"/>
              <w:rPr>
                <w:rFonts w:cs="Arial"/>
                <w:sz w:val="18"/>
                <w:szCs w:val="18"/>
                <w:lang w:val="bg-BG"/>
              </w:rPr>
            </w:pPr>
            <w:r w:rsidRPr="009072DA">
              <w:rPr>
                <w:sz w:val="18"/>
                <w:lang w:val="bg-BG"/>
              </w:rPr>
              <w:t>Точка 2, буква ж)</w:t>
            </w:r>
          </w:p>
        </w:tc>
        <w:tc>
          <w:tcPr>
            <w:tcW w:w="3296" w:type="dxa"/>
            <w:shd w:val="clear" w:color="auto" w:fill="auto"/>
          </w:tcPr>
          <w:p w:rsidR="00C01A94" w:rsidRPr="009072DA" w:rsidRDefault="00A77DA6" w:rsidP="00C01A94">
            <w:pPr>
              <w:spacing w:before="120" w:after="100" w:line="240" w:lineRule="atLeast"/>
              <w:rPr>
                <w:rFonts w:cs="Arial"/>
                <w:sz w:val="18"/>
                <w:szCs w:val="18"/>
                <w:lang w:val="bg-BG"/>
              </w:rPr>
            </w:pPr>
            <w:r w:rsidRPr="009072DA">
              <w:rPr>
                <w:sz w:val="18"/>
                <w:lang w:val="bg-BG"/>
              </w:rPr>
              <w:t>Планове на управляващи вериги</w:t>
            </w:r>
          </w:p>
        </w:tc>
        <w:tc>
          <w:tcPr>
            <w:tcW w:w="6521" w:type="dxa"/>
            <w:shd w:val="clear" w:color="auto" w:fill="auto"/>
          </w:tcPr>
          <w:p w:rsidR="00C01A94" w:rsidRPr="009072DA" w:rsidRDefault="00F91AFF" w:rsidP="00C01A94">
            <w:pPr>
              <w:spacing w:before="120" w:after="10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20" w:after="100" w:line="240" w:lineRule="atLeast"/>
              <w:jc w:val="center"/>
              <w:rPr>
                <w:rFonts w:cs="Arial"/>
                <w:sz w:val="18"/>
                <w:szCs w:val="18"/>
                <w:lang w:val="bg-BG"/>
              </w:rPr>
            </w:pPr>
          </w:p>
        </w:tc>
      </w:tr>
      <w:tr w:rsidR="00C01A94" w:rsidRPr="009072DA" w:rsidTr="00C07595">
        <w:trPr>
          <w:cantSplit/>
          <w:jc w:val="center"/>
        </w:trPr>
        <w:tc>
          <w:tcPr>
            <w:tcW w:w="1342" w:type="dxa"/>
            <w:vMerge/>
            <w:shd w:val="clear" w:color="auto" w:fill="auto"/>
          </w:tcPr>
          <w:p w:rsidR="00C01A94" w:rsidRPr="009072DA" w:rsidRDefault="00C01A94" w:rsidP="00C01A94">
            <w:pPr>
              <w:spacing w:before="120" w:after="10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00" w:line="240" w:lineRule="atLeast"/>
              <w:rPr>
                <w:rFonts w:cs="Arial"/>
                <w:sz w:val="18"/>
                <w:szCs w:val="18"/>
                <w:lang w:val="bg-BG"/>
              </w:rPr>
            </w:pPr>
            <w:r w:rsidRPr="009072DA">
              <w:rPr>
                <w:sz w:val="18"/>
                <w:lang w:val="bg-BG"/>
              </w:rPr>
              <w:t>Точка 3</w:t>
            </w:r>
          </w:p>
        </w:tc>
        <w:tc>
          <w:tcPr>
            <w:tcW w:w="3296" w:type="dxa"/>
            <w:shd w:val="clear" w:color="auto" w:fill="auto"/>
          </w:tcPr>
          <w:p w:rsidR="00C01A94" w:rsidRPr="009072DA" w:rsidRDefault="00C01A94" w:rsidP="00C01A94">
            <w:pPr>
              <w:spacing w:before="120" w:after="100" w:line="240" w:lineRule="atLeast"/>
              <w:rPr>
                <w:rFonts w:cs="Arial"/>
                <w:sz w:val="18"/>
                <w:szCs w:val="18"/>
                <w:lang w:val="bg-BG"/>
              </w:rPr>
            </w:pPr>
            <w:r w:rsidRPr="009072DA">
              <w:rPr>
                <w:sz w:val="18"/>
                <w:lang w:val="bg-BG"/>
              </w:rPr>
              <w:t>Температура на околната среда в помещенията и на палубата</w:t>
            </w:r>
          </w:p>
        </w:tc>
        <w:tc>
          <w:tcPr>
            <w:tcW w:w="6521" w:type="dxa"/>
            <w:shd w:val="clear" w:color="auto" w:fill="auto"/>
          </w:tcPr>
          <w:p w:rsidR="00C01A94" w:rsidRPr="009072DA" w:rsidRDefault="00C01A94" w:rsidP="00C01A94">
            <w:pPr>
              <w:spacing w:before="120" w:after="10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C01A94">
            <w:pPr>
              <w:spacing w:before="120" w:after="100" w:line="240" w:lineRule="atLeast"/>
              <w:jc w:val="center"/>
              <w:rPr>
                <w:rFonts w:cs="Arial"/>
                <w:sz w:val="18"/>
                <w:szCs w:val="18"/>
                <w:lang w:val="bg-BG"/>
              </w:rPr>
            </w:pPr>
            <w:r w:rsidRPr="009072DA">
              <w:rPr>
                <w:sz w:val="18"/>
                <w:lang w:val="bg-BG"/>
              </w:rPr>
              <w:t>1.1.2010 г.</w:t>
            </w:r>
          </w:p>
        </w:tc>
      </w:tr>
      <w:tr w:rsidR="00C01A94" w:rsidRPr="009072DA" w:rsidTr="00196FBC">
        <w:trPr>
          <w:cantSplit/>
          <w:jc w:val="center"/>
        </w:trPr>
        <w:tc>
          <w:tcPr>
            <w:tcW w:w="1342" w:type="dxa"/>
            <w:shd w:val="clear" w:color="auto" w:fill="auto"/>
          </w:tcPr>
          <w:p w:rsidR="00C01A94" w:rsidRPr="009072DA" w:rsidRDefault="00C01A94" w:rsidP="00C01A94">
            <w:pPr>
              <w:spacing w:before="120" w:after="100" w:line="240" w:lineRule="atLeast"/>
              <w:rPr>
                <w:rFonts w:cs="Arial"/>
                <w:sz w:val="18"/>
                <w:szCs w:val="18"/>
                <w:lang w:val="bg-BG"/>
              </w:rPr>
            </w:pPr>
            <w:r w:rsidRPr="009072DA">
              <w:rPr>
                <w:sz w:val="18"/>
                <w:lang w:val="bg-BG"/>
              </w:rPr>
              <w:t>10.02</w:t>
            </w:r>
          </w:p>
        </w:tc>
        <w:tc>
          <w:tcPr>
            <w:tcW w:w="1458" w:type="dxa"/>
            <w:shd w:val="clear" w:color="auto" w:fill="auto"/>
          </w:tcPr>
          <w:p w:rsidR="00C01A94" w:rsidRPr="009072DA" w:rsidRDefault="00C01A94" w:rsidP="00C01A94">
            <w:pPr>
              <w:spacing w:before="120" w:after="100" w:line="240" w:lineRule="atLeast"/>
              <w:rPr>
                <w:rFonts w:cs="Arial"/>
                <w:sz w:val="18"/>
                <w:szCs w:val="18"/>
                <w:lang w:val="bg-BG"/>
              </w:rPr>
            </w:pPr>
          </w:p>
        </w:tc>
        <w:tc>
          <w:tcPr>
            <w:tcW w:w="3296" w:type="dxa"/>
            <w:shd w:val="clear" w:color="auto" w:fill="auto"/>
          </w:tcPr>
          <w:p w:rsidR="00C01A94" w:rsidRPr="009072DA" w:rsidRDefault="00C01A94" w:rsidP="00C01A94">
            <w:pPr>
              <w:spacing w:before="120" w:after="100" w:line="240" w:lineRule="atLeast"/>
              <w:rPr>
                <w:rFonts w:cs="Arial"/>
                <w:sz w:val="18"/>
                <w:szCs w:val="18"/>
                <w:lang w:val="bg-BG"/>
              </w:rPr>
            </w:pPr>
            <w:r w:rsidRPr="009072DA">
              <w:rPr>
                <w:sz w:val="18"/>
                <w:lang w:val="bg-BG"/>
              </w:rPr>
              <w:t>Електрозахранващи системи</w:t>
            </w:r>
          </w:p>
        </w:tc>
        <w:tc>
          <w:tcPr>
            <w:tcW w:w="6521" w:type="dxa"/>
            <w:shd w:val="clear" w:color="auto" w:fill="auto"/>
          </w:tcPr>
          <w:p w:rsidR="00C01A94" w:rsidRPr="009072DA" w:rsidRDefault="00C01A94" w:rsidP="00C01A94">
            <w:pPr>
              <w:spacing w:before="120" w:after="10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C01A94">
            <w:pPr>
              <w:spacing w:before="120" w:after="100" w:line="240" w:lineRule="atLeast"/>
              <w:jc w:val="center"/>
              <w:rPr>
                <w:rFonts w:cs="Arial"/>
                <w:sz w:val="18"/>
                <w:szCs w:val="18"/>
                <w:lang w:val="bg-BG"/>
              </w:rPr>
            </w:pPr>
            <w:r w:rsidRPr="009072DA">
              <w:rPr>
                <w:sz w:val="18"/>
                <w:lang w:val="bg-BG"/>
              </w:rPr>
              <w:t>1.1.2010 г.</w:t>
            </w:r>
          </w:p>
        </w:tc>
      </w:tr>
      <w:tr w:rsidR="00C01A94" w:rsidRPr="009072DA" w:rsidTr="00196FBC">
        <w:trPr>
          <w:cantSplit/>
          <w:jc w:val="center"/>
        </w:trPr>
        <w:tc>
          <w:tcPr>
            <w:tcW w:w="1342" w:type="dxa"/>
            <w:shd w:val="clear" w:color="auto" w:fill="auto"/>
          </w:tcPr>
          <w:p w:rsidR="00C01A94" w:rsidRPr="009072DA" w:rsidRDefault="00C01A94" w:rsidP="00C01A94">
            <w:pPr>
              <w:spacing w:before="120" w:after="100" w:line="240" w:lineRule="atLeast"/>
              <w:rPr>
                <w:rFonts w:cs="Arial"/>
                <w:sz w:val="18"/>
                <w:szCs w:val="18"/>
                <w:lang w:val="bg-BG"/>
              </w:rPr>
            </w:pPr>
            <w:r w:rsidRPr="009072DA">
              <w:rPr>
                <w:sz w:val="18"/>
                <w:lang w:val="bg-BG"/>
              </w:rPr>
              <w:t>10.03</w:t>
            </w:r>
          </w:p>
        </w:tc>
        <w:tc>
          <w:tcPr>
            <w:tcW w:w="1458" w:type="dxa"/>
            <w:shd w:val="clear" w:color="auto" w:fill="auto"/>
          </w:tcPr>
          <w:p w:rsidR="00C01A94" w:rsidRPr="009072DA" w:rsidRDefault="00C01A94" w:rsidP="00C01A94">
            <w:pPr>
              <w:spacing w:before="120" w:after="100" w:line="240" w:lineRule="atLeast"/>
              <w:rPr>
                <w:rFonts w:cs="Arial"/>
                <w:sz w:val="18"/>
                <w:szCs w:val="18"/>
                <w:lang w:val="bg-BG"/>
              </w:rPr>
            </w:pPr>
          </w:p>
        </w:tc>
        <w:tc>
          <w:tcPr>
            <w:tcW w:w="3296" w:type="dxa"/>
            <w:shd w:val="clear" w:color="auto" w:fill="auto"/>
          </w:tcPr>
          <w:p w:rsidR="00C01A94" w:rsidRPr="009072DA" w:rsidRDefault="00C01A94" w:rsidP="00C01A94">
            <w:pPr>
              <w:spacing w:before="120" w:after="100" w:line="240" w:lineRule="atLeast"/>
              <w:rPr>
                <w:rFonts w:cs="Arial"/>
                <w:sz w:val="18"/>
                <w:szCs w:val="18"/>
                <w:lang w:val="bg-BG"/>
              </w:rPr>
            </w:pPr>
            <w:r w:rsidRPr="009072DA">
              <w:rPr>
                <w:sz w:val="18"/>
                <w:lang w:val="bg-BG"/>
              </w:rPr>
              <w:t>Вид защита в зависимост от мястото на инсталиране</w:t>
            </w:r>
          </w:p>
        </w:tc>
        <w:tc>
          <w:tcPr>
            <w:tcW w:w="6521" w:type="dxa"/>
            <w:shd w:val="clear" w:color="auto" w:fill="auto"/>
          </w:tcPr>
          <w:p w:rsidR="00C01A94" w:rsidRPr="009072DA" w:rsidRDefault="00F91AFF" w:rsidP="00C01A94">
            <w:pPr>
              <w:spacing w:before="120" w:after="10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20" w:after="100" w:line="240" w:lineRule="atLeast"/>
              <w:jc w:val="center"/>
              <w:rPr>
                <w:rFonts w:cs="Arial"/>
                <w:sz w:val="18"/>
                <w:szCs w:val="18"/>
                <w:lang w:val="bg-BG"/>
              </w:rPr>
            </w:pPr>
          </w:p>
        </w:tc>
      </w:tr>
      <w:tr w:rsidR="00C01A94" w:rsidRPr="009072DA" w:rsidTr="00196FBC">
        <w:trPr>
          <w:cantSplit/>
          <w:jc w:val="center"/>
        </w:trPr>
        <w:tc>
          <w:tcPr>
            <w:tcW w:w="1342" w:type="dxa"/>
            <w:shd w:val="clear" w:color="auto" w:fill="auto"/>
          </w:tcPr>
          <w:p w:rsidR="00C01A94" w:rsidRPr="009072DA" w:rsidRDefault="00C01A94" w:rsidP="00C01A94">
            <w:pPr>
              <w:spacing w:before="120" w:after="100" w:line="240" w:lineRule="atLeast"/>
              <w:rPr>
                <w:rFonts w:cs="Arial"/>
                <w:sz w:val="18"/>
                <w:szCs w:val="18"/>
                <w:lang w:val="bg-BG"/>
              </w:rPr>
            </w:pPr>
            <w:r w:rsidRPr="009072DA">
              <w:rPr>
                <w:sz w:val="18"/>
                <w:lang w:val="bg-BG"/>
              </w:rPr>
              <w:t>10.04</w:t>
            </w:r>
          </w:p>
        </w:tc>
        <w:tc>
          <w:tcPr>
            <w:tcW w:w="1458" w:type="dxa"/>
            <w:shd w:val="clear" w:color="auto" w:fill="auto"/>
          </w:tcPr>
          <w:p w:rsidR="00C01A94" w:rsidRPr="009072DA" w:rsidRDefault="00C01A94" w:rsidP="00C01A94">
            <w:pPr>
              <w:spacing w:before="120" w:after="100" w:line="240" w:lineRule="atLeast"/>
              <w:rPr>
                <w:rFonts w:cs="Arial"/>
                <w:sz w:val="18"/>
                <w:szCs w:val="18"/>
                <w:lang w:val="bg-BG"/>
              </w:rPr>
            </w:pPr>
          </w:p>
        </w:tc>
        <w:tc>
          <w:tcPr>
            <w:tcW w:w="3296" w:type="dxa"/>
            <w:shd w:val="clear" w:color="auto" w:fill="auto"/>
          </w:tcPr>
          <w:p w:rsidR="00C01A94" w:rsidRPr="009072DA" w:rsidRDefault="00C01A94" w:rsidP="00C01A94">
            <w:pPr>
              <w:spacing w:before="120" w:after="100" w:line="240" w:lineRule="atLeast"/>
              <w:rPr>
                <w:rFonts w:cs="Arial"/>
                <w:sz w:val="18"/>
                <w:szCs w:val="18"/>
                <w:lang w:val="bg-BG"/>
              </w:rPr>
            </w:pPr>
            <w:r w:rsidRPr="009072DA">
              <w:rPr>
                <w:sz w:val="18"/>
                <w:lang w:val="bg-BG"/>
              </w:rPr>
              <w:t>Защита от експлозия</w:t>
            </w:r>
          </w:p>
        </w:tc>
        <w:tc>
          <w:tcPr>
            <w:tcW w:w="6521" w:type="dxa"/>
            <w:shd w:val="clear" w:color="auto" w:fill="auto"/>
          </w:tcPr>
          <w:p w:rsidR="00C01A94" w:rsidRPr="009072DA" w:rsidRDefault="00F91AFF" w:rsidP="00C01A94">
            <w:pPr>
              <w:spacing w:before="120" w:after="10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20" w:after="100" w:line="240" w:lineRule="atLeast"/>
              <w:jc w:val="center"/>
              <w:rPr>
                <w:rFonts w:cs="Arial"/>
                <w:sz w:val="18"/>
                <w:szCs w:val="18"/>
                <w:lang w:val="bg-BG"/>
              </w:rPr>
            </w:pPr>
          </w:p>
        </w:tc>
      </w:tr>
      <w:tr w:rsidR="00C01A94" w:rsidRPr="009072DA" w:rsidTr="00196FBC">
        <w:trPr>
          <w:cantSplit/>
          <w:jc w:val="center"/>
        </w:trPr>
        <w:tc>
          <w:tcPr>
            <w:tcW w:w="1342" w:type="dxa"/>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10.05</w:t>
            </w:r>
          </w:p>
        </w:tc>
        <w:tc>
          <w:tcPr>
            <w:tcW w:w="1458" w:type="dxa"/>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Сечение на заземяващите проводници</w:t>
            </w:r>
          </w:p>
        </w:tc>
        <w:tc>
          <w:tcPr>
            <w:tcW w:w="6521" w:type="dxa"/>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F91AFF">
            <w:pPr>
              <w:spacing w:before="60" w:after="60" w:line="240" w:lineRule="atLeast"/>
              <w:jc w:val="center"/>
              <w:rPr>
                <w:rFonts w:cs="Arial"/>
                <w:sz w:val="18"/>
                <w:szCs w:val="18"/>
                <w:lang w:val="bg-BG"/>
              </w:rPr>
            </w:pPr>
            <w:r w:rsidRPr="009072DA">
              <w:rPr>
                <w:sz w:val="18"/>
                <w:lang w:val="bg-BG"/>
              </w:rPr>
              <w:t>1.1.2015 г.</w:t>
            </w:r>
          </w:p>
        </w:tc>
      </w:tr>
      <w:tr w:rsidR="00C01A94" w:rsidRPr="009072DA" w:rsidTr="00196FBC">
        <w:trPr>
          <w:cantSplit/>
          <w:jc w:val="center"/>
        </w:trPr>
        <w:tc>
          <w:tcPr>
            <w:tcW w:w="1342" w:type="dxa"/>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 xml:space="preserve">10.06 </w:t>
            </w:r>
          </w:p>
        </w:tc>
        <w:tc>
          <w:tcPr>
            <w:tcW w:w="1458" w:type="dxa"/>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Точка 1, таблица</w:t>
            </w:r>
          </w:p>
        </w:tc>
        <w:tc>
          <w:tcPr>
            <w:tcW w:w="3296" w:type="dxa"/>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Трифазен променлив ток</w:t>
            </w:r>
          </w:p>
        </w:tc>
        <w:tc>
          <w:tcPr>
            <w:tcW w:w="6521" w:type="dxa"/>
            <w:shd w:val="clear" w:color="auto" w:fill="auto"/>
          </w:tcPr>
          <w:p w:rsidR="00C01A94" w:rsidRPr="009072DA" w:rsidRDefault="00F91AFF" w:rsidP="00F91AFF">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F91AFF">
            <w:pPr>
              <w:spacing w:before="60" w:after="60" w:line="240" w:lineRule="atLeast"/>
              <w:jc w:val="center"/>
              <w:rPr>
                <w:rFonts w:cs="Arial"/>
                <w:sz w:val="18"/>
                <w:szCs w:val="18"/>
                <w:lang w:val="bg-BG"/>
              </w:rPr>
            </w:pPr>
          </w:p>
        </w:tc>
      </w:tr>
      <w:tr w:rsidR="00C01A94" w:rsidRPr="009072DA" w:rsidTr="00016542">
        <w:trPr>
          <w:cantSplit/>
          <w:jc w:val="center"/>
        </w:trPr>
        <w:tc>
          <w:tcPr>
            <w:tcW w:w="1342" w:type="dxa"/>
            <w:tcBorders>
              <w:bottom w:val="single" w:sz="4" w:space="0" w:color="auto"/>
            </w:tcBorders>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10.08</w:t>
            </w:r>
          </w:p>
        </w:tc>
        <w:tc>
          <w:tcPr>
            <w:tcW w:w="1458" w:type="dxa"/>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Точка 1</w:t>
            </w:r>
          </w:p>
        </w:tc>
        <w:tc>
          <w:tcPr>
            <w:tcW w:w="3296" w:type="dxa"/>
            <w:shd w:val="clear" w:color="auto" w:fill="auto"/>
          </w:tcPr>
          <w:p w:rsidR="00C01A94" w:rsidRPr="009072DA" w:rsidRDefault="00C01A94" w:rsidP="00F91AFF">
            <w:pPr>
              <w:spacing w:before="60" w:after="60" w:line="240" w:lineRule="atLeast"/>
              <w:ind w:left="15" w:hanging="15"/>
              <w:rPr>
                <w:rFonts w:cs="Arial"/>
                <w:sz w:val="18"/>
                <w:szCs w:val="18"/>
                <w:lang w:val="bg-BG"/>
              </w:rPr>
            </w:pPr>
            <w:r w:rsidRPr="009072DA">
              <w:rPr>
                <w:sz w:val="18"/>
                <w:lang w:val="bg-BG"/>
              </w:rPr>
              <w:t>Съответствие с европейските стандарти EN 15869-1, EN 15869-3 и EN 16840</w:t>
            </w:r>
          </w:p>
        </w:tc>
        <w:tc>
          <w:tcPr>
            <w:tcW w:w="6521" w:type="dxa"/>
            <w:shd w:val="clear" w:color="auto" w:fill="auto"/>
          </w:tcPr>
          <w:p w:rsidR="00C01A94" w:rsidRPr="009072DA" w:rsidRDefault="00F91AFF" w:rsidP="00F91AFF">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F91AFF">
            <w:pPr>
              <w:spacing w:before="60" w:after="60" w:line="240" w:lineRule="atLeast"/>
              <w:jc w:val="center"/>
              <w:rPr>
                <w:rFonts w:cs="Arial"/>
                <w:sz w:val="18"/>
                <w:szCs w:val="18"/>
                <w:lang w:val="bg-BG"/>
              </w:rPr>
            </w:pPr>
          </w:p>
        </w:tc>
      </w:tr>
      <w:tr w:rsidR="00C01A94" w:rsidRPr="009072DA" w:rsidTr="00C07595">
        <w:trPr>
          <w:cantSplit/>
          <w:jc w:val="center"/>
        </w:trPr>
        <w:tc>
          <w:tcPr>
            <w:tcW w:w="1342" w:type="dxa"/>
            <w:vMerge w:val="restart"/>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 xml:space="preserve">10.10 </w:t>
            </w:r>
          </w:p>
        </w:tc>
        <w:tc>
          <w:tcPr>
            <w:tcW w:w="1458" w:type="dxa"/>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Инсталиране на трансформатори</w:t>
            </w:r>
          </w:p>
        </w:tc>
        <w:tc>
          <w:tcPr>
            <w:tcW w:w="6521" w:type="dxa"/>
            <w:shd w:val="clear" w:color="auto" w:fill="auto"/>
          </w:tcPr>
          <w:p w:rsidR="00C01A94" w:rsidRPr="009072DA" w:rsidRDefault="00F91AFF" w:rsidP="00F91AFF">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F91AFF">
            <w:pPr>
              <w:spacing w:before="60" w:after="60" w:line="240" w:lineRule="atLeast"/>
              <w:jc w:val="center"/>
              <w:rPr>
                <w:rFonts w:cs="Arial"/>
                <w:sz w:val="18"/>
                <w:szCs w:val="18"/>
                <w:lang w:val="bg-BG"/>
              </w:rPr>
            </w:pPr>
          </w:p>
        </w:tc>
      </w:tr>
      <w:tr w:rsidR="00C01A94" w:rsidRPr="009072DA" w:rsidTr="00C07595">
        <w:trPr>
          <w:cantSplit/>
          <w:jc w:val="center"/>
        </w:trPr>
        <w:tc>
          <w:tcPr>
            <w:tcW w:w="1342" w:type="dxa"/>
            <w:vMerge/>
            <w:shd w:val="clear" w:color="auto" w:fill="auto"/>
          </w:tcPr>
          <w:p w:rsidR="00C01A94" w:rsidRPr="009072DA" w:rsidRDefault="00C01A94" w:rsidP="00F91AFF">
            <w:pPr>
              <w:spacing w:before="60" w:after="60" w:line="240" w:lineRule="atLeast"/>
              <w:rPr>
                <w:rFonts w:cs="Arial"/>
                <w:sz w:val="18"/>
                <w:szCs w:val="18"/>
                <w:lang w:val="bg-BG"/>
              </w:rPr>
            </w:pPr>
          </w:p>
        </w:tc>
        <w:tc>
          <w:tcPr>
            <w:tcW w:w="1458" w:type="dxa"/>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Точка 3</w:t>
            </w:r>
          </w:p>
        </w:tc>
        <w:tc>
          <w:tcPr>
            <w:tcW w:w="3296" w:type="dxa"/>
            <w:shd w:val="clear" w:color="auto" w:fill="auto"/>
          </w:tcPr>
          <w:p w:rsidR="00C01A94" w:rsidRPr="009072DA" w:rsidRDefault="00C01A94" w:rsidP="00F91AFF">
            <w:pPr>
              <w:adjustRightInd w:val="0"/>
              <w:spacing w:before="60" w:after="60" w:line="240" w:lineRule="atLeast"/>
              <w:rPr>
                <w:rFonts w:cs="Arial"/>
                <w:sz w:val="18"/>
                <w:szCs w:val="18"/>
                <w:lang w:val="bg-BG"/>
              </w:rPr>
            </w:pPr>
            <w:r w:rsidRPr="009072DA">
              <w:rPr>
                <w:sz w:val="18"/>
                <w:lang w:val="bg-BG"/>
              </w:rPr>
              <w:t>Отделни първични и вторични намотки на трансформатори</w:t>
            </w:r>
          </w:p>
        </w:tc>
        <w:tc>
          <w:tcPr>
            <w:tcW w:w="6521" w:type="dxa"/>
            <w:shd w:val="clear" w:color="auto" w:fill="auto"/>
          </w:tcPr>
          <w:p w:rsidR="00C01A94" w:rsidRPr="009072DA" w:rsidRDefault="00F91AFF" w:rsidP="00F91AFF">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F91AFF">
            <w:pPr>
              <w:spacing w:before="60" w:after="60" w:line="240" w:lineRule="atLeast"/>
              <w:jc w:val="center"/>
              <w:rPr>
                <w:rFonts w:cs="Arial"/>
                <w:sz w:val="18"/>
                <w:szCs w:val="18"/>
                <w:lang w:val="bg-BG"/>
              </w:rPr>
            </w:pPr>
          </w:p>
        </w:tc>
      </w:tr>
      <w:tr w:rsidR="00C01A94" w:rsidRPr="009072DA" w:rsidTr="00C07595">
        <w:trPr>
          <w:cantSplit/>
          <w:jc w:val="center"/>
        </w:trPr>
        <w:tc>
          <w:tcPr>
            <w:tcW w:w="1342" w:type="dxa"/>
            <w:vMerge/>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C01A94" w:rsidP="00C01A94">
            <w:pPr>
              <w:adjustRightInd w:val="0"/>
              <w:spacing w:before="160" w:after="160" w:line="240" w:lineRule="atLeast"/>
              <w:rPr>
                <w:rFonts w:cs="Arial"/>
                <w:sz w:val="18"/>
                <w:szCs w:val="18"/>
                <w:lang w:val="bg-BG"/>
              </w:rPr>
            </w:pPr>
            <w:r w:rsidRPr="009072DA">
              <w:rPr>
                <w:sz w:val="18"/>
                <w:lang w:val="bg-BG"/>
              </w:rPr>
              <w:t>Изводи на вторичните намотки на трансформатори</w:t>
            </w:r>
          </w:p>
        </w:tc>
        <w:tc>
          <w:tcPr>
            <w:tcW w:w="6521" w:type="dxa"/>
            <w:shd w:val="clear" w:color="auto" w:fill="auto"/>
          </w:tcPr>
          <w:p w:rsidR="00C01A94" w:rsidRPr="009072DA" w:rsidRDefault="00F91AFF" w:rsidP="00C01A94">
            <w:pPr>
              <w:spacing w:before="160" w:after="1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60" w:after="160" w:line="240" w:lineRule="atLeast"/>
              <w:jc w:val="center"/>
              <w:rPr>
                <w:rFonts w:cs="Arial"/>
                <w:sz w:val="18"/>
                <w:szCs w:val="18"/>
                <w:lang w:val="bg-BG"/>
              </w:rPr>
            </w:pPr>
          </w:p>
        </w:tc>
      </w:tr>
      <w:tr w:rsidR="00C01A94" w:rsidRPr="009072DA" w:rsidTr="00016542">
        <w:trPr>
          <w:cantSplit/>
          <w:jc w:val="center"/>
        </w:trPr>
        <w:tc>
          <w:tcPr>
            <w:tcW w:w="1342" w:type="dxa"/>
            <w:vMerge/>
            <w:tcBorders>
              <w:bottom w:val="single" w:sz="4" w:space="0" w:color="auto"/>
            </w:tcBorders>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5</w:t>
            </w:r>
          </w:p>
        </w:tc>
        <w:tc>
          <w:tcPr>
            <w:tcW w:w="3296" w:type="dxa"/>
            <w:shd w:val="clear" w:color="auto" w:fill="auto"/>
          </w:tcPr>
          <w:p w:rsidR="00C01A94" w:rsidRPr="009072DA" w:rsidRDefault="00C01A94" w:rsidP="00C01A94">
            <w:pPr>
              <w:adjustRightInd w:val="0"/>
              <w:spacing w:before="160" w:after="160" w:line="240" w:lineRule="atLeast"/>
              <w:rPr>
                <w:rFonts w:cs="Arial"/>
                <w:sz w:val="18"/>
                <w:szCs w:val="18"/>
                <w:lang w:val="bg-BG"/>
              </w:rPr>
            </w:pPr>
            <w:r w:rsidRPr="009072DA">
              <w:rPr>
                <w:sz w:val="18"/>
                <w:lang w:val="bg-BG"/>
              </w:rPr>
              <w:t>Табела, указваща производителя и мощността на двигатели, генератори, трансформатори</w:t>
            </w:r>
          </w:p>
        </w:tc>
        <w:tc>
          <w:tcPr>
            <w:tcW w:w="6521" w:type="dxa"/>
            <w:shd w:val="clear" w:color="auto" w:fill="auto"/>
          </w:tcPr>
          <w:p w:rsidR="00C01A94" w:rsidRPr="009072DA" w:rsidRDefault="00F91AFF" w:rsidP="00C01A94">
            <w:pPr>
              <w:spacing w:before="160" w:after="1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60" w:after="160" w:line="240" w:lineRule="atLeast"/>
              <w:jc w:val="center"/>
              <w:rPr>
                <w:rFonts w:cs="Arial"/>
                <w:sz w:val="18"/>
                <w:szCs w:val="18"/>
                <w:lang w:val="bg-BG"/>
              </w:rPr>
            </w:pPr>
          </w:p>
        </w:tc>
      </w:tr>
      <w:tr w:rsidR="00C01A94" w:rsidRPr="009072DA" w:rsidTr="00016542">
        <w:trPr>
          <w:cantSplit/>
          <w:jc w:val="center"/>
        </w:trPr>
        <w:tc>
          <w:tcPr>
            <w:tcW w:w="1342" w:type="dxa"/>
            <w:vMerge w:val="restart"/>
            <w:tcBorders>
              <w:top w:val="single" w:sz="4" w:space="0" w:color="auto"/>
              <w:left w:val="single" w:sz="6" w:space="0" w:color="auto"/>
              <w:bottom w:val="single" w:sz="6" w:space="0" w:color="auto"/>
              <w:right w:val="single" w:sz="6" w:space="0" w:color="auto"/>
            </w:tcBorders>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 xml:space="preserve">10.11 </w:t>
            </w:r>
          </w:p>
        </w:tc>
        <w:tc>
          <w:tcPr>
            <w:tcW w:w="1458" w:type="dxa"/>
            <w:tcBorders>
              <w:left w:val="single" w:sz="6" w:space="0" w:color="auto"/>
            </w:tcBorders>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3</w:t>
            </w:r>
          </w:p>
        </w:tc>
        <w:tc>
          <w:tcPr>
            <w:tcW w:w="3296" w:type="dxa"/>
            <w:shd w:val="clear" w:color="auto" w:fill="auto"/>
          </w:tcPr>
          <w:p w:rsidR="00C01A94" w:rsidRPr="009072DA" w:rsidRDefault="00C01A94" w:rsidP="00C01A94">
            <w:pPr>
              <w:adjustRightInd w:val="0"/>
              <w:spacing w:before="160" w:after="160" w:line="240" w:lineRule="atLeast"/>
              <w:rPr>
                <w:rFonts w:cs="Arial"/>
                <w:sz w:val="18"/>
                <w:szCs w:val="18"/>
                <w:lang w:val="bg-BG"/>
              </w:rPr>
            </w:pPr>
            <w:r w:rsidRPr="009072DA">
              <w:rPr>
                <w:sz w:val="18"/>
                <w:lang w:val="bg-BG"/>
              </w:rPr>
              <w:t>Вентилация на сервизни помещения и шкафове към откритата палуба</w:t>
            </w:r>
          </w:p>
        </w:tc>
        <w:tc>
          <w:tcPr>
            <w:tcW w:w="6521" w:type="dxa"/>
            <w:shd w:val="clear" w:color="auto" w:fill="auto"/>
          </w:tcPr>
          <w:p w:rsidR="00C01A94" w:rsidRPr="009072DA" w:rsidRDefault="00F91AFF" w:rsidP="00C01A94">
            <w:pPr>
              <w:spacing w:before="160" w:after="1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60" w:after="160" w:line="240" w:lineRule="atLeast"/>
              <w:jc w:val="center"/>
              <w:rPr>
                <w:rFonts w:cs="Arial"/>
                <w:sz w:val="18"/>
                <w:szCs w:val="18"/>
                <w:lang w:val="bg-BG"/>
              </w:rPr>
            </w:pPr>
          </w:p>
        </w:tc>
      </w:tr>
      <w:tr w:rsidR="00C01A94" w:rsidRPr="008D2440"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tcBorders>
              <w:left w:val="single" w:sz="6" w:space="0" w:color="auto"/>
            </w:tcBorders>
            <w:shd w:val="clear" w:color="auto" w:fill="auto"/>
          </w:tcPr>
          <w:p w:rsidR="00C01A94" w:rsidRPr="009072DA" w:rsidRDefault="00C01A94" w:rsidP="001610C7">
            <w:pPr>
              <w:spacing w:before="160" w:after="160" w:line="240" w:lineRule="atLeast"/>
              <w:rPr>
                <w:rFonts w:cs="Arial"/>
                <w:sz w:val="18"/>
                <w:szCs w:val="18"/>
                <w:lang w:val="bg-BG"/>
              </w:rPr>
            </w:pPr>
            <w:r w:rsidRPr="009072DA">
              <w:rPr>
                <w:sz w:val="18"/>
                <w:lang w:val="bg-BG"/>
              </w:rPr>
              <w:t>Точка 7</w:t>
            </w:r>
          </w:p>
        </w:tc>
        <w:tc>
          <w:tcPr>
            <w:tcW w:w="3296" w:type="dxa"/>
            <w:shd w:val="clear" w:color="auto" w:fill="auto"/>
          </w:tcPr>
          <w:p w:rsidR="00C01A94" w:rsidRPr="009072DA" w:rsidRDefault="00C01A94" w:rsidP="00C01A94">
            <w:pPr>
              <w:adjustRightInd w:val="0"/>
              <w:spacing w:before="160" w:after="160" w:line="240" w:lineRule="atLeast"/>
              <w:rPr>
                <w:rFonts w:cs="Arial"/>
                <w:sz w:val="18"/>
                <w:szCs w:val="18"/>
                <w:lang w:val="bg-BG"/>
              </w:rPr>
            </w:pPr>
            <w:r w:rsidRPr="009072DA">
              <w:rPr>
                <w:sz w:val="18"/>
                <w:lang w:val="bg-BG"/>
              </w:rPr>
              <w:t>Вентилация на затворени помещения, шкафове или кутии, в които са монтирани акумулатори</w:t>
            </w:r>
          </w:p>
        </w:tc>
        <w:tc>
          <w:tcPr>
            <w:tcW w:w="6521"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C01A94" w:rsidRPr="009072DA" w:rsidRDefault="00C01A94" w:rsidP="00C01A94">
            <w:pPr>
              <w:spacing w:before="160" w:after="160" w:line="240" w:lineRule="atLeast"/>
              <w:jc w:val="center"/>
              <w:rPr>
                <w:rFonts w:cs="Arial"/>
                <w:sz w:val="18"/>
                <w:szCs w:val="18"/>
                <w:lang w:val="bg-BG"/>
              </w:rPr>
            </w:pPr>
          </w:p>
        </w:tc>
      </w:tr>
      <w:tr w:rsidR="00C01A94" w:rsidRPr="009072DA"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tcBorders>
              <w:left w:val="single" w:sz="6" w:space="0" w:color="auto"/>
            </w:tcBorders>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12</w:t>
            </w:r>
          </w:p>
        </w:tc>
        <w:tc>
          <w:tcPr>
            <w:tcW w:w="3296" w:type="dxa"/>
            <w:shd w:val="clear" w:color="auto" w:fill="auto"/>
          </w:tcPr>
          <w:p w:rsidR="00C01A94" w:rsidRPr="009072DA" w:rsidRDefault="00C01A94" w:rsidP="00C01A94">
            <w:pPr>
              <w:adjustRightInd w:val="0"/>
              <w:spacing w:before="160" w:after="160" w:line="240" w:lineRule="atLeast"/>
              <w:rPr>
                <w:rFonts w:cs="Arial"/>
                <w:sz w:val="18"/>
                <w:szCs w:val="18"/>
                <w:lang w:val="bg-BG"/>
              </w:rPr>
            </w:pPr>
            <w:r w:rsidRPr="009072DA">
              <w:rPr>
                <w:sz w:val="18"/>
                <w:lang w:val="bg-BG"/>
              </w:rPr>
              <w:t>Измерване на зарядни устройства</w:t>
            </w:r>
          </w:p>
        </w:tc>
        <w:tc>
          <w:tcPr>
            <w:tcW w:w="6521" w:type="dxa"/>
            <w:shd w:val="clear" w:color="auto" w:fill="auto"/>
          </w:tcPr>
          <w:p w:rsidR="00C01A94" w:rsidRPr="009072DA" w:rsidRDefault="00F91AFF" w:rsidP="00C01A94">
            <w:pPr>
              <w:spacing w:before="160" w:after="1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60" w:after="160" w:line="240" w:lineRule="atLeast"/>
              <w:jc w:val="center"/>
              <w:rPr>
                <w:rFonts w:cs="Arial"/>
                <w:sz w:val="18"/>
                <w:szCs w:val="18"/>
                <w:lang w:val="bg-BG"/>
              </w:rPr>
            </w:pPr>
          </w:p>
        </w:tc>
      </w:tr>
      <w:tr w:rsidR="00C01A94" w:rsidRPr="009072DA"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tcBorders>
              <w:left w:val="single" w:sz="6" w:space="0" w:color="auto"/>
            </w:tcBorders>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13</w:t>
            </w:r>
          </w:p>
        </w:tc>
        <w:tc>
          <w:tcPr>
            <w:tcW w:w="3296" w:type="dxa"/>
            <w:shd w:val="clear" w:color="auto" w:fill="auto"/>
          </w:tcPr>
          <w:p w:rsidR="00C01A94" w:rsidRPr="009072DA" w:rsidRDefault="00C01A94" w:rsidP="00C01A94">
            <w:pPr>
              <w:adjustRightInd w:val="0"/>
              <w:spacing w:before="160" w:after="160" w:line="240" w:lineRule="atLeast"/>
              <w:rPr>
                <w:rFonts w:cs="Arial"/>
                <w:sz w:val="18"/>
                <w:szCs w:val="18"/>
                <w:lang w:val="bg-BG"/>
              </w:rPr>
            </w:pPr>
            <w:r w:rsidRPr="009072DA">
              <w:rPr>
                <w:sz w:val="18"/>
                <w:lang w:val="bg-BG"/>
              </w:rPr>
              <w:t>Автоматични зарядни устройства</w:t>
            </w:r>
          </w:p>
        </w:tc>
        <w:tc>
          <w:tcPr>
            <w:tcW w:w="6521" w:type="dxa"/>
            <w:shd w:val="clear" w:color="auto" w:fill="auto"/>
          </w:tcPr>
          <w:p w:rsidR="00C01A94" w:rsidRPr="009072DA" w:rsidRDefault="00F91AFF" w:rsidP="00C01A94">
            <w:pPr>
              <w:spacing w:before="160" w:after="1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60" w:after="160" w:line="240" w:lineRule="atLeast"/>
              <w:jc w:val="center"/>
              <w:rPr>
                <w:rFonts w:cs="Arial"/>
                <w:sz w:val="18"/>
                <w:szCs w:val="18"/>
                <w:lang w:val="bg-BG"/>
              </w:rPr>
            </w:pPr>
          </w:p>
        </w:tc>
      </w:tr>
      <w:tr w:rsidR="00C01A94" w:rsidRPr="009072DA"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tcBorders>
              <w:left w:val="single" w:sz="6" w:space="0" w:color="auto"/>
            </w:tcBorders>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14</w:t>
            </w:r>
          </w:p>
        </w:tc>
        <w:tc>
          <w:tcPr>
            <w:tcW w:w="3296" w:type="dxa"/>
            <w:shd w:val="clear" w:color="auto" w:fill="auto"/>
          </w:tcPr>
          <w:p w:rsidR="00C01A94" w:rsidRPr="009072DA" w:rsidRDefault="00C01A94" w:rsidP="00C01A94">
            <w:pPr>
              <w:adjustRightInd w:val="0"/>
              <w:spacing w:before="160" w:after="160" w:line="240" w:lineRule="atLeast"/>
              <w:rPr>
                <w:rFonts w:cs="Arial"/>
                <w:sz w:val="18"/>
                <w:szCs w:val="18"/>
                <w:lang w:val="bg-BG"/>
              </w:rPr>
            </w:pPr>
            <w:r w:rsidRPr="009072DA">
              <w:rPr>
                <w:sz w:val="18"/>
                <w:lang w:val="bg-BG"/>
              </w:rPr>
              <w:t>Максимално напрежение на зареждане</w:t>
            </w:r>
          </w:p>
        </w:tc>
        <w:tc>
          <w:tcPr>
            <w:tcW w:w="6521" w:type="dxa"/>
            <w:shd w:val="clear" w:color="auto" w:fill="auto"/>
          </w:tcPr>
          <w:p w:rsidR="00C01A94" w:rsidRPr="009072DA" w:rsidRDefault="00F91AFF" w:rsidP="00C01A94">
            <w:pPr>
              <w:spacing w:before="160" w:after="1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60" w:after="160" w:line="240" w:lineRule="atLeast"/>
              <w:jc w:val="center"/>
              <w:rPr>
                <w:rFonts w:cs="Arial"/>
                <w:sz w:val="18"/>
                <w:szCs w:val="18"/>
                <w:lang w:val="bg-BG"/>
              </w:rPr>
            </w:pPr>
          </w:p>
        </w:tc>
      </w:tr>
      <w:tr w:rsidR="00C01A94" w:rsidRPr="009072DA"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tcBorders>
              <w:left w:val="single" w:sz="6" w:space="0" w:color="auto"/>
            </w:tcBorders>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15</w:t>
            </w:r>
          </w:p>
        </w:tc>
        <w:tc>
          <w:tcPr>
            <w:tcW w:w="3296" w:type="dxa"/>
            <w:shd w:val="clear" w:color="auto" w:fill="auto"/>
          </w:tcPr>
          <w:p w:rsidR="00C01A94" w:rsidRPr="009072DA" w:rsidRDefault="00C01A94" w:rsidP="00C01A94">
            <w:pPr>
              <w:adjustRightInd w:val="0"/>
              <w:spacing w:before="160" w:after="160" w:line="240" w:lineRule="atLeast"/>
              <w:rPr>
                <w:rFonts w:cs="Arial"/>
                <w:sz w:val="18"/>
                <w:szCs w:val="18"/>
                <w:lang w:val="bg-BG"/>
              </w:rPr>
            </w:pPr>
            <w:r w:rsidRPr="009072DA">
              <w:rPr>
                <w:sz w:val="18"/>
                <w:lang w:val="bg-BG"/>
              </w:rPr>
              <w:t>Стандарти EN 62619 и EN 62620 за литиево-йонни акумулатори</w:t>
            </w:r>
          </w:p>
        </w:tc>
        <w:tc>
          <w:tcPr>
            <w:tcW w:w="6521"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60" w:after="160" w:line="240" w:lineRule="atLeast"/>
              <w:jc w:val="center"/>
              <w:rPr>
                <w:rFonts w:cs="Arial"/>
                <w:sz w:val="18"/>
                <w:szCs w:val="18"/>
                <w:lang w:val="bg-BG"/>
              </w:rPr>
            </w:pPr>
          </w:p>
        </w:tc>
      </w:tr>
      <w:tr w:rsidR="00C01A94" w:rsidRPr="009072DA" w:rsidTr="000C0B7A">
        <w:trPr>
          <w:cantSplit/>
          <w:jc w:val="center"/>
        </w:trPr>
        <w:tc>
          <w:tcPr>
            <w:tcW w:w="1342" w:type="dxa"/>
            <w:vMerge/>
            <w:tcBorders>
              <w:left w:val="single" w:sz="6" w:space="0" w:color="auto"/>
              <w:bottom w:val="single" w:sz="6" w:space="0" w:color="auto"/>
              <w:right w:val="single" w:sz="6" w:space="0" w:color="auto"/>
            </w:tcBorders>
            <w:shd w:val="clear" w:color="auto" w:fill="auto"/>
            <w:vAlign w:val="center"/>
          </w:tcPr>
          <w:p w:rsidR="00C01A94" w:rsidRPr="009072DA" w:rsidRDefault="00C01A94" w:rsidP="00C01A94">
            <w:pPr>
              <w:spacing w:before="160" w:after="160" w:line="240" w:lineRule="atLeast"/>
              <w:rPr>
                <w:rFonts w:cs="Arial"/>
                <w:sz w:val="18"/>
                <w:szCs w:val="18"/>
                <w:lang w:val="bg-BG"/>
              </w:rPr>
            </w:pPr>
          </w:p>
        </w:tc>
        <w:tc>
          <w:tcPr>
            <w:tcW w:w="1458" w:type="dxa"/>
            <w:tcBorders>
              <w:left w:val="single" w:sz="6" w:space="0" w:color="auto"/>
            </w:tcBorders>
            <w:shd w:val="clear" w:color="auto" w:fill="auto"/>
            <w:vAlign w:val="center"/>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16</w:t>
            </w:r>
          </w:p>
        </w:tc>
        <w:tc>
          <w:tcPr>
            <w:tcW w:w="3296" w:type="dxa"/>
            <w:shd w:val="clear" w:color="auto" w:fill="auto"/>
          </w:tcPr>
          <w:p w:rsidR="00C01A94" w:rsidRPr="009072DA" w:rsidRDefault="00C01A94" w:rsidP="00C01A94">
            <w:pPr>
              <w:adjustRightInd w:val="0"/>
              <w:spacing w:before="160" w:after="160" w:line="240" w:lineRule="atLeast"/>
              <w:rPr>
                <w:rFonts w:cs="Arial"/>
                <w:sz w:val="18"/>
                <w:szCs w:val="18"/>
                <w:lang w:val="bg-BG"/>
              </w:rPr>
            </w:pPr>
            <w:r w:rsidRPr="009072DA">
              <w:rPr>
                <w:sz w:val="18"/>
                <w:lang w:val="bg-BG"/>
              </w:rPr>
              <w:t>Система за управление на акумулатор</w:t>
            </w:r>
          </w:p>
        </w:tc>
        <w:tc>
          <w:tcPr>
            <w:tcW w:w="6521" w:type="dxa"/>
            <w:shd w:val="clear" w:color="auto" w:fill="auto"/>
          </w:tcPr>
          <w:p w:rsidR="00C01A94" w:rsidRPr="009072DA" w:rsidRDefault="00F91AFF" w:rsidP="00C01A94">
            <w:pPr>
              <w:spacing w:before="160" w:after="1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60" w:after="160" w:line="240" w:lineRule="atLeast"/>
              <w:jc w:val="center"/>
              <w:rPr>
                <w:rFonts w:cs="Arial"/>
                <w:sz w:val="18"/>
                <w:szCs w:val="18"/>
                <w:lang w:val="bg-BG"/>
              </w:rPr>
            </w:pPr>
          </w:p>
        </w:tc>
      </w:tr>
      <w:tr w:rsidR="00C01A94" w:rsidRPr="009072DA" w:rsidTr="00DB5653">
        <w:trPr>
          <w:cantSplit/>
          <w:jc w:val="center"/>
        </w:trPr>
        <w:tc>
          <w:tcPr>
            <w:tcW w:w="1342" w:type="dxa"/>
            <w:vMerge w:val="restart"/>
            <w:tcBorders>
              <w:top w:val="single" w:sz="6" w:space="0" w:color="auto"/>
            </w:tcBorders>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 xml:space="preserve">10.12 </w:t>
            </w:r>
          </w:p>
        </w:tc>
        <w:tc>
          <w:tcPr>
            <w:tcW w:w="1458" w:type="dxa"/>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Точка 2, буква г)</w:t>
            </w:r>
          </w:p>
        </w:tc>
        <w:tc>
          <w:tcPr>
            <w:tcW w:w="3296" w:type="dxa"/>
            <w:shd w:val="clear" w:color="auto" w:fill="auto"/>
          </w:tcPr>
          <w:p w:rsidR="00C01A94" w:rsidRPr="009072DA" w:rsidRDefault="00C01A94" w:rsidP="00F91AFF">
            <w:pPr>
              <w:adjustRightInd w:val="0"/>
              <w:spacing w:before="60" w:after="60" w:line="240" w:lineRule="atLeast"/>
              <w:rPr>
                <w:rFonts w:cs="Arial"/>
                <w:sz w:val="18"/>
                <w:szCs w:val="18"/>
                <w:lang w:val="bg-BG"/>
              </w:rPr>
            </w:pPr>
            <w:r w:rsidRPr="009072DA">
              <w:rPr>
                <w:sz w:val="18"/>
                <w:lang w:val="bg-BG"/>
              </w:rPr>
              <w:t>Пряко захранване на потребителско оборудване за системи за задвижване и маневриране на плавателния съд</w:t>
            </w:r>
          </w:p>
        </w:tc>
        <w:tc>
          <w:tcPr>
            <w:tcW w:w="6521" w:type="dxa"/>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F91AFF">
            <w:pPr>
              <w:spacing w:before="60" w:after="60" w:line="240" w:lineRule="atLeast"/>
              <w:jc w:val="center"/>
              <w:rPr>
                <w:rFonts w:cs="Arial"/>
                <w:sz w:val="18"/>
                <w:szCs w:val="18"/>
                <w:lang w:val="bg-BG"/>
              </w:rPr>
            </w:pPr>
            <w:r w:rsidRPr="009072DA">
              <w:rPr>
                <w:sz w:val="18"/>
                <w:lang w:val="bg-BG"/>
              </w:rPr>
              <w:t>1.1.2015 г.</w:t>
            </w:r>
          </w:p>
        </w:tc>
      </w:tr>
      <w:tr w:rsidR="00C01A94" w:rsidRPr="009072DA" w:rsidTr="00DB5653">
        <w:trPr>
          <w:cantSplit/>
          <w:jc w:val="center"/>
        </w:trPr>
        <w:tc>
          <w:tcPr>
            <w:tcW w:w="1342" w:type="dxa"/>
            <w:vMerge/>
            <w:shd w:val="clear" w:color="auto" w:fill="auto"/>
          </w:tcPr>
          <w:p w:rsidR="00C01A94" w:rsidRPr="009072DA" w:rsidRDefault="00C01A94" w:rsidP="00F91AFF">
            <w:pPr>
              <w:spacing w:before="60" w:after="60" w:line="240" w:lineRule="atLeast"/>
              <w:rPr>
                <w:rFonts w:cs="Arial"/>
                <w:sz w:val="18"/>
                <w:szCs w:val="18"/>
                <w:lang w:val="bg-BG"/>
              </w:rPr>
            </w:pPr>
          </w:p>
        </w:tc>
        <w:tc>
          <w:tcPr>
            <w:tcW w:w="1458" w:type="dxa"/>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Точка 3, буква б)</w:t>
            </w:r>
          </w:p>
        </w:tc>
        <w:tc>
          <w:tcPr>
            <w:tcW w:w="3296" w:type="dxa"/>
            <w:shd w:val="clear" w:color="auto" w:fill="auto"/>
          </w:tcPr>
          <w:p w:rsidR="00C01A94" w:rsidRPr="009072DA" w:rsidRDefault="00C01A94" w:rsidP="00F91AFF">
            <w:pPr>
              <w:adjustRightInd w:val="0"/>
              <w:spacing w:before="60" w:after="60" w:line="240" w:lineRule="atLeast"/>
              <w:rPr>
                <w:rFonts w:cs="Arial"/>
                <w:sz w:val="18"/>
                <w:szCs w:val="18"/>
                <w:lang w:val="bg-BG"/>
              </w:rPr>
            </w:pPr>
            <w:r w:rsidRPr="009072DA">
              <w:rPr>
                <w:sz w:val="18"/>
                <w:lang w:val="bg-BG"/>
              </w:rPr>
              <w:t>Устройство за следене на изолацията</w:t>
            </w:r>
          </w:p>
        </w:tc>
        <w:tc>
          <w:tcPr>
            <w:tcW w:w="6521" w:type="dxa"/>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F91AFF">
            <w:pPr>
              <w:spacing w:before="60" w:after="60" w:line="240" w:lineRule="atLeast"/>
              <w:jc w:val="center"/>
              <w:rPr>
                <w:rFonts w:cs="Arial"/>
                <w:sz w:val="18"/>
                <w:szCs w:val="18"/>
                <w:lang w:val="bg-BG"/>
              </w:rPr>
            </w:pPr>
            <w:r w:rsidRPr="009072DA">
              <w:rPr>
                <w:sz w:val="18"/>
                <w:lang w:val="bg-BG"/>
              </w:rPr>
              <w:t>1.1.2010 г.</w:t>
            </w:r>
          </w:p>
        </w:tc>
      </w:tr>
      <w:tr w:rsidR="00C01A94" w:rsidRPr="009072DA" w:rsidTr="00EB50AB">
        <w:trPr>
          <w:cantSplit/>
          <w:jc w:val="center"/>
        </w:trPr>
        <w:tc>
          <w:tcPr>
            <w:tcW w:w="1342" w:type="dxa"/>
            <w:tcBorders>
              <w:bottom w:val="single" w:sz="4" w:space="0" w:color="auto"/>
            </w:tcBorders>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10.13</w:t>
            </w:r>
          </w:p>
        </w:tc>
        <w:tc>
          <w:tcPr>
            <w:tcW w:w="1458" w:type="dxa"/>
            <w:shd w:val="clear" w:color="auto" w:fill="auto"/>
          </w:tcPr>
          <w:p w:rsidR="00C01A94" w:rsidRPr="009072DA" w:rsidRDefault="00C01A94" w:rsidP="00F91AFF">
            <w:pPr>
              <w:spacing w:before="60" w:after="60" w:line="240" w:lineRule="atLeast"/>
              <w:rPr>
                <w:rFonts w:cs="Arial"/>
                <w:sz w:val="18"/>
                <w:szCs w:val="18"/>
                <w:lang w:val="bg-BG"/>
              </w:rPr>
            </w:pPr>
          </w:p>
        </w:tc>
        <w:tc>
          <w:tcPr>
            <w:tcW w:w="3296" w:type="dxa"/>
            <w:shd w:val="clear" w:color="auto" w:fill="auto"/>
          </w:tcPr>
          <w:p w:rsidR="00C01A94" w:rsidRPr="009072DA" w:rsidRDefault="00F87682" w:rsidP="00F91AFF">
            <w:pPr>
              <w:adjustRightInd w:val="0"/>
              <w:spacing w:before="60" w:after="60" w:line="240" w:lineRule="atLeast"/>
              <w:rPr>
                <w:rFonts w:cs="Arial"/>
                <w:sz w:val="18"/>
                <w:szCs w:val="18"/>
                <w:lang w:val="bg-BG"/>
              </w:rPr>
            </w:pPr>
            <w:r w:rsidRPr="009072DA">
              <w:rPr>
                <w:sz w:val="18"/>
                <w:lang w:val="bg-BG"/>
              </w:rPr>
              <w:t>Аварийни прекъсвачи</w:t>
            </w:r>
          </w:p>
        </w:tc>
        <w:tc>
          <w:tcPr>
            <w:tcW w:w="6521" w:type="dxa"/>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F91AFF">
            <w:pPr>
              <w:spacing w:before="60" w:after="60" w:line="240" w:lineRule="atLeast"/>
              <w:jc w:val="center"/>
              <w:rPr>
                <w:rFonts w:cs="Arial"/>
                <w:sz w:val="18"/>
                <w:szCs w:val="18"/>
                <w:lang w:val="bg-BG"/>
              </w:rPr>
            </w:pPr>
            <w:r w:rsidRPr="009072DA">
              <w:rPr>
                <w:sz w:val="18"/>
                <w:lang w:val="bg-BG"/>
              </w:rPr>
              <w:t>1.1.2010 г.</w:t>
            </w:r>
          </w:p>
        </w:tc>
      </w:tr>
      <w:tr w:rsidR="00C01A94" w:rsidRPr="009072DA" w:rsidTr="00EB50AB">
        <w:trPr>
          <w:cantSplit/>
          <w:jc w:val="center"/>
        </w:trPr>
        <w:tc>
          <w:tcPr>
            <w:tcW w:w="1342" w:type="dxa"/>
            <w:tcBorders>
              <w:bottom w:val="nil"/>
            </w:tcBorders>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lastRenderedPageBreak/>
              <w:t xml:space="preserve">10.14 </w:t>
            </w:r>
          </w:p>
        </w:tc>
        <w:tc>
          <w:tcPr>
            <w:tcW w:w="1458" w:type="dxa"/>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Точка 3, второ изречение</w:t>
            </w:r>
          </w:p>
        </w:tc>
        <w:tc>
          <w:tcPr>
            <w:tcW w:w="3296" w:type="dxa"/>
            <w:shd w:val="clear" w:color="auto" w:fill="auto"/>
          </w:tcPr>
          <w:p w:rsidR="00C01A94" w:rsidRPr="009072DA" w:rsidRDefault="00C01A94" w:rsidP="00F91AFF">
            <w:pPr>
              <w:adjustRightInd w:val="0"/>
              <w:spacing w:before="60" w:after="60" w:line="240" w:lineRule="atLeast"/>
              <w:rPr>
                <w:rFonts w:cs="Arial"/>
                <w:sz w:val="18"/>
                <w:szCs w:val="18"/>
                <w:lang w:val="bg-BG"/>
              </w:rPr>
            </w:pPr>
            <w:r w:rsidRPr="009072DA">
              <w:rPr>
                <w:sz w:val="18"/>
                <w:lang w:val="bg-BG"/>
              </w:rPr>
              <w:t>Забрана на еднополюсни прекъсвачи в санитарните помещения, бани и други мокри помещения</w:t>
            </w:r>
          </w:p>
        </w:tc>
        <w:tc>
          <w:tcPr>
            <w:tcW w:w="6521" w:type="dxa"/>
            <w:shd w:val="clear" w:color="auto" w:fill="auto"/>
          </w:tcPr>
          <w:p w:rsidR="00C01A94" w:rsidRPr="009072DA" w:rsidRDefault="00C01A94" w:rsidP="00F91AFF">
            <w:pPr>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F91AFF">
            <w:pPr>
              <w:spacing w:before="60" w:after="60" w:line="240" w:lineRule="atLeast"/>
              <w:jc w:val="center"/>
              <w:rPr>
                <w:rFonts w:cs="Arial"/>
                <w:sz w:val="18"/>
                <w:szCs w:val="18"/>
                <w:lang w:val="bg-BG"/>
              </w:rPr>
            </w:pPr>
            <w:r w:rsidRPr="009072DA">
              <w:rPr>
                <w:sz w:val="18"/>
                <w:lang w:val="bg-BG"/>
              </w:rPr>
              <w:t>1.1.2010 г.</w:t>
            </w:r>
          </w:p>
        </w:tc>
      </w:tr>
      <w:tr w:rsidR="00C01A94" w:rsidRPr="008D2440" w:rsidTr="00DB5653">
        <w:trPr>
          <w:cantSplit/>
          <w:jc w:val="center"/>
        </w:trPr>
        <w:tc>
          <w:tcPr>
            <w:tcW w:w="1342" w:type="dxa"/>
            <w:vMerge w:val="restart"/>
            <w:shd w:val="clear" w:color="auto" w:fill="auto"/>
          </w:tcPr>
          <w:p w:rsidR="00C01A94" w:rsidRPr="009072DA" w:rsidRDefault="00C01A94" w:rsidP="000B4982">
            <w:pPr>
              <w:spacing w:before="80" w:after="80" w:line="240" w:lineRule="atLeast"/>
              <w:rPr>
                <w:rFonts w:cs="Arial"/>
                <w:sz w:val="18"/>
                <w:szCs w:val="18"/>
                <w:lang w:val="bg-BG"/>
              </w:rPr>
            </w:pPr>
            <w:r w:rsidRPr="009072DA">
              <w:rPr>
                <w:sz w:val="18"/>
                <w:lang w:val="bg-BG"/>
              </w:rPr>
              <w:t>10.15</w:t>
            </w:r>
          </w:p>
        </w:tc>
        <w:tc>
          <w:tcPr>
            <w:tcW w:w="1458" w:type="dxa"/>
            <w:shd w:val="clear" w:color="auto" w:fill="auto"/>
          </w:tcPr>
          <w:p w:rsidR="00C01A94" w:rsidRPr="009072DA" w:rsidRDefault="00C01A94" w:rsidP="000B4982">
            <w:pPr>
              <w:spacing w:before="80" w:after="8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0B4982">
            <w:pPr>
              <w:adjustRightInd w:val="0"/>
              <w:spacing w:before="80" w:after="80" w:line="240" w:lineRule="atLeast"/>
              <w:rPr>
                <w:rFonts w:cs="Arial"/>
                <w:sz w:val="18"/>
                <w:szCs w:val="18"/>
                <w:lang w:val="bg-BG"/>
              </w:rPr>
            </w:pPr>
            <w:r w:rsidRPr="009072DA">
              <w:rPr>
                <w:sz w:val="18"/>
                <w:lang w:val="bg-BG"/>
              </w:rPr>
              <w:t>Минимално напречно сечение от 1,5 mm</w:t>
            </w:r>
            <w:r w:rsidRPr="009072DA">
              <w:rPr>
                <w:sz w:val="18"/>
                <w:vertAlign w:val="superscript"/>
                <w:lang w:val="bg-BG"/>
              </w:rPr>
              <w:t>2</w:t>
            </w:r>
            <w:r w:rsidRPr="009072DA">
              <w:rPr>
                <w:sz w:val="18"/>
                <w:lang w:val="bg-BG"/>
              </w:rPr>
              <w:t xml:space="preserve"> на проводник</w:t>
            </w:r>
          </w:p>
        </w:tc>
        <w:tc>
          <w:tcPr>
            <w:tcW w:w="6521" w:type="dxa"/>
            <w:shd w:val="clear" w:color="auto" w:fill="auto"/>
          </w:tcPr>
          <w:p w:rsidR="00C01A94" w:rsidRPr="009072DA" w:rsidRDefault="00C01A94" w:rsidP="000B4982">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C01A94" w:rsidRPr="009072DA" w:rsidRDefault="00C01A94" w:rsidP="000B4982">
            <w:pPr>
              <w:spacing w:before="80" w:after="80" w:line="240" w:lineRule="atLeast"/>
              <w:jc w:val="center"/>
              <w:rPr>
                <w:rFonts w:cs="Arial"/>
                <w:sz w:val="18"/>
                <w:szCs w:val="18"/>
                <w:lang w:val="bg-BG"/>
              </w:rPr>
            </w:pPr>
          </w:p>
        </w:tc>
      </w:tr>
      <w:tr w:rsidR="00C01A94" w:rsidRPr="008D2440" w:rsidTr="00DB5653">
        <w:trPr>
          <w:cantSplit/>
          <w:jc w:val="center"/>
        </w:trPr>
        <w:tc>
          <w:tcPr>
            <w:tcW w:w="1342" w:type="dxa"/>
            <w:vMerge/>
            <w:shd w:val="clear" w:color="auto" w:fill="auto"/>
          </w:tcPr>
          <w:p w:rsidR="00C01A94" w:rsidRPr="009072DA" w:rsidRDefault="00C01A94" w:rsidP="000B4982">
            <w:pPr>
              <w:spacing w:before="80" w:after="80" w:line="240" w:lineRule="atLeast"/>
              <w:rPr>
                <w:rFonts w:cs="Arial"/>
                <w:sz w:val="18"/>
                <w:szCs w:val="18"/>
                <w:lang w:val="bg-BG"/>
              </w:rPr>
            </w:pPr>
          </w:p>
        </w:tc>
        <w:tc>
          <w:tcPr>
            <w:tcW w:w="1458" w:type="dxa"/>
            <w:shd w:val="clear" w:color="auto" w:fill="auto"/>
          </w:tcPr>
          <w:p w:rsidR="00C01A94" w:rsidRPr="009072DA" w:rsidRDefault="00C01A94" w:rsidP="000B4982">
            <w:pPr>
              <w:spacing w:before="80" w:after="80" w:line="240" w:lineRule="atLeast"/>
              <w:rPr>
                <w:rFonts w:cs="Arial"/>
                <w:sz w:val="18"/>
                <w:szCs w:val="18"/>
                <w:lang w:val="bg-BG"/>
              </w:rPr>
            </w:pPr>
            <w:r w:rsidRPr="009072DA">
              <w:rPr>
                <w:sz w:val="18"/>
                <w:lang w:val="bg-BG"/>
              </w:rPr>
              <w:t>Точка 10</w:t>
            </w:r>
          </w:p>
        </w:tc>
        <w:tc>
          <w:tcPr>
            <w:tcW w:w="3296" w:type="dxa"/>
            <w:shd w:val="clear" w:color="auto" w:fill="auto"/>
          </w:tcPr>
          <w:p w:rsidR="00C01A94" w:rsidRPr="009072DA" w:rsidRDefault="00C01A94" w:rsidP="000B4982">
            <w:pPr>
              <w:adjustRightInd w:val="0"/>
              <w:spacing w:before="80" w:after="80" w:line="240" w:lineRule="atLeast"/>
              <w:rPr>
                <w:rFonts w:cs="Arial"/>
                <w:sz w:val="18"/>
                <w:szCs w:val="18"/>
                <w:lang w:val="bg-BG"/>
              </w:rPr>
            </w:pPr>
            <w:r w:rsidRPr="009072DA">
              <w:rPr>
                <w:sz w:val="18"/>
                <w:lang w:val="bg-BG"/>
              </w:rPr>
              <w:t>Кабели, свързани с издигащи се рулеви рубки</w:t>
            </w:r>
          </w:p>
        </w:tc>
        <w:tc>
          <w:tcPr>
            <w:tcW w:w="6521" w:type="dxa"/>
            <w:shd w:val="clear" w:color="auto" w:fill="auto"/>
          </w:tcPr>
          <w:p w:rsidR="00C01A94" w:rsidRPr="009072DA" w:rsidRDefault="00C01A94" w:rsidP="000B4982">
            <w:pPr>
              <w:spacing w:before="80" w:after="8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w:t>
            </w:r>
          </w:p>
        </w:tc>
        <w:tc>
          <w:tcPr>
            <w:tcW w:w="1276" w:type="dxa"/>
            <w:shd w:val="clear" w:color="auto" w:fill="auto"/>
          </w:tcPr>
          <w:p w:rsidR="00C01A94" w:rsidRPr="009072DA" w:rsidRDefault="00C01A94" w:rsidP="000B4982">
            <w:pPr>
              <w:spacing w:before="80" w:after="80" w:line="240" w:lineRule="atLeast"/>
              <w:jc w:val="center"/>
              <w:rPr>
                <w:rFonts w:cs="Arial"/>
                <w:sz w:val="18"/>
                <w:szCs w:val="18"/>
                <w:lang w:val="bg-BG"/>
              </w:rPr>
            </w:pPr>
          </w:p>
        </w:tc>
      </w:tr>
      <w:tr w:rsidR="00C01A94" w:rsidRPr="009072DA" w:rsidTr="00DB5653">
        <w:trPr>
          <w:cantSplit/>
          <w:jc w:val="center"/>
        </w:trPr>
        <w:tc>
          <w:tcPr>
            <w:tcW w:w="1342" w:type="dxa"/>
            <w:vMerge/>
            <w:shd w:val="clear" w:color="auto" w:fill="auto"/>
          </w:tcPr>
          <w:p w:rsidR="00C01A94" w:rsidRPr="009072DA" w:rsidRDefault="00C01A94" w:rsidP="000B4982">
            <w:pPr>
              <w:spacing w:before="80" w:after="80" w:line="240" w:lineRule="atLeast"/>
              <w:rPr>
                <w:rFonts w:cs="Arial"/>
                <w:sz w:val="18"/>
                <w:szCs w:val="18"/>
                <w:lang w:val="bg-BG"/>
              </w:rPr>
            </w:pPr>
          </w:p>
        </w:tc>
        <w:tc>
          <w:tcPr>
            <w:tcW w:w="1458" w:type="dxa"/>
            <w:shd w:val="clear" w:color="auto" w:fill="auto"/>
          </w:tcPr>
          <w:p w:rsidR="00C01A94" w:rsidRPr="009072DA" w:rsidRDefault="00C01A94" w:rsidP="000B4982">
            <w:pPr>
              <w:spacing w:before="80" w:after="80" w:line="240" w:lineRule="atLeast"/>
              <w:rPr>
                <w:rFonts w:cs="Arial"/>
                <w:sz w:val="18"/>
                <w:szCs w:val="18"/>
                <w:lang w:val="bg-BG"/>
              </w:rPr>
            </w:pPr>
            <w:r w:rsidRPr="009072DA">
              <w:rPr>
                <w:sz w:val="18"/>
                <w:lang w:val="bg-BG"/>
              </w:rPr>
              <w:t>Точка 11</w:t>
            </w:r>
          </w:p>
        </w:tc>
        <w:tc>
          <w:tcPr>
            <w:tcW w:w="3296" w:type="dxa"/>
            <w:shd w:val="clear" w:color="auto" w:fill="auto"/>
          </w:tcPr>
          <w:p w:rsidR="00C01A94" w:rsidRPr="009072DA" w:rsidRDefault="00C01A94" w:rsidP="000B4982">
            <w:pPr>
              <w:adjustRightInd w:val="0"/>
              <w:spacing w:before="80" w:after="80" w:line="240" w:lineRule="atLeast"/>
              <w:rPr>
                <w:rFonts w:cs="Arial"/>
                <w:sz w:val="18"/>
                <w:szCs w:val="18"/>
                <w:lang w:val="bg-BG"/>
              </w:rPr>
            </w:pPr>
            <w:r w:rsidRPr="009072DA">
              <w:rPr>
                <w:sz w:val="18"/>
                <w:lang w:val="bg-BG"/>
              </w:rPr>
              <w:t>Oтвори за кабелния сноп</w:t>
            </w:r>
          </w:p>
        </w:tc>
        <w:tc>
          <w:tcPr>
            <w:tcW w:w="6521" w:type="dxa"/>
            <w:shd w:val="clear" w:color="auto" w:fill="auto"/>
          </w:tcPr>
          <w:p w:rsidR="00C01A94" w:rsidRPr="009072DA" w:rsidRDefault="00F91AFF" w:rsidP="000B4982">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0B4982">
            <w:pPr>
              <w:spacing w:before="80" w:after="80" w:line="240" w:lineRule="atLeast"/>
              <w:jc w:val="center"/>
              <w:rPr>
                <w:rFonts w:cs="Arial"/>
                <w:sz w:val="18"/>
                <w:szCs w:val="18"/>
                <w:lang w:val="bg-BG"/>
              </w:rPr>
            </w:pPr>
          </w:p>
        </w:tc>
      </w:tr>
      <w:tr w:rsidR="00C01A94" w:rsidRPr="009072DA" w:rsidTr="00DB5653">
        <w:trPr>
          <w:cantSplit/>
          <w:jc w:val="center"/>
        </w:trPr>
        <w:tc>
          <w:tcPr>
            <w:tcW w:w="1342" w:type="dxa"/>
            <w:vMerge/>
            <w:shd w:val="clear" w:color="auto" w:fill="auto"/>
          </w:tcPr>
          <w:p w:rsidR="00C01A94" w:rsidRPr="009072DA" w:rsidRDefault="00C01A94" w:rsidP="000B4982">
            <w:pPr>
              <w:spacing w:before="80" w:after="80" w:line="240" w:lineRule="atLeast"/>
              <w:rPr>
                <w:rFonts w:cs="Arial"/>
                <w:sz w:val="18"/>
                <w:szCs w:val="18"/>
                <w:lang w:val="bg-BG"/>
              </w:rPr>
            </w:pPr>
          </w:p>
        </w:tc>
        <w:tc>
          <w:tcPr>
            <w:tcW w:w="1458" w:type="dxa"/>
            <w:shd w:val="clear" w:color="auto" w:fill="auto"/>
          </w:tcPr>
          <w:p w:rsidR="00C01A94" w:rsidRPr="009072DA" w:rsidRDefault="00C01A94" w:rsidP="000B4982">
            <w:pPr>
              <w:spacing w:before="80" w:after="80" w:line="240" w:lineRule="atLeast"/>
              <w:rPr>
                <w:rFonts w:cs="Arial"/>
                <w:sz w:val="18"/>
                <w:szCs w:val="18"/>
                <w:lang w:val="bg-BG"/>
              </w:rPr>
            </w:pPr>
            <w:r w:rsidRPr="009072DA">
              <w:rPr>
                <w:sz w:val="18"/>
                <w:lang w:val="bg-BG"/>
              </w:rPr>
              <w:t>Точка 12</w:t>
            </w:r>
          </w:p>
        </w:tc>
        <w:tc>
          <w:tcPr>
            <w:tcW w:w="3296" w:type="dxa"/>
            <w:shd w:val="clear" w:color="auto" w:fill="auto"/>
          </w:tcPr>
          <w:p w:rsidR="00C01A94" w:rsidRPr="009072DA" w:rsidRDefault="00C01A94" w:rsidP="000B4982">
            <w:pPr>
              <w:adjustRightInd w:val="0"/>
              <w:spacing w:before="80" w:after="80" w:line="240" w:lineRule="atLeast"/>
              <w:rPr>
                <w:rFonts w:cs="Arial"/>
                <w:sz w:val="18"/>
                <w:szCs w:val="18"/>
                <w:lang w:val="bg-BG"/>
              </w:rPr>
            </w:pPr>
            <w:r w:rsidRPr="009072DA">
              <w:rPr>
                <w:sz w:val="18"/>
                <w:lang w:val="bg-BG"/>
              </w:rPr>
              <w:t>Кабели от авариен източник на електроенергия до потребителско оборудване</w:t>
            </w:r>
          </w:p>
        </w:tc>
        <w:tc>
          <w:tcPr>
            <w:tcW w:w="6521" w:type="dxa"/>
            <w:shd w:val="clear" w:color="auto" w:fill="auto"/>
          </w:tcPr>
          <w:p w:rsidR="00C01A94" w:rsidRPr="009072DA" w:rsidRDefault="00F91AFF" w:rsidP="000B4982">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0B4982">
            <w:pPr>
              <w:spacing w:before="80" w:after="80" w:line="240" w:lineRule="atLeast"/>
              <w:jc w:val="center"/>
              <w:rPr>
                <w:rFonts w:cs="Arial"/>
                <w:sz w:val="18"/>
                <w:szCs w:val="18"/>
                <w:lang w:val="bg-BG"/>
              </w:rPr>
            </w:pPr>
          </w:p>
        </w:tc>
      </w:tr>
      <w:tr w:rsidR="00C01A94" w:rsidRPr="009072DA" w:rsidTr="00DB5653">
        <w:trPr>
          <w:cantSplit/>
          <w:jc w:val="center"/>
        </w:trPr>
        <w:tc>
          <w:tcPr>
            <w:tcW w:w="1342" w:type="dxa"/>
            <w:vMerge/>
            <w:shd w:val="clear" w:color="auto" w:fill="auto"/>
          </w:tcPr>
          <w:p w:rsidR="00C01A94" w:rsidRPr="009072DA" w:rsidRDefault="00C01A94" w:rsidP="000B4982">
            <w:pPr>
              <w:spacing w:before="80" w:after="80" w:line="240" w:lineRule="atLeast"/>
              <w:rPr>
                <w:rFonts w:cs="Arial"/>
                <w:sz w:val="18"/>
                <w:szCs w:val="18"/>
                <w:lang w:val="bg-BG"/>
              </w:rPr>
            </w:pPr>
          </w:p>
        </w:tc>
        <w:tc>
          <w:tcPr>
            <w:tcW w:w="1458" w:type="dxa"/>
            <w:shd w:val="clear" w:color="auto" w:fill="auto"/>
          </w:tcPr>
          <w:p w:rsidR="00C01A94" w:rsidRPr="009072DA" w:rsidRDefault="00C01A94" w:rsidP="000B4982">
            <w:pPr>
              <w:spacing w:before="80" w:after="80" w:line="240" w:lineRule="atLeast"/>
              <w:rPr>
                <w:rFonts w:cs="Arial"/>
                <w:sz w:val="18"/>
                <w:szCs w:val="18"/>
                <w:lang w:val="bg-BG"/>
              </w:rPr>
            </w:pPr>
            <w:r w:rsidRPr="009072DA">
              <w:rPr>
                <w:sz w:val="18"/>
                <w:lang w:val="bg-BG"/>
              </w:rPr>
              <w:t>Точка 13</w:t>
            </w:r>
          </w:p>
        </w:tc>
        <w:tc>
          <w:tcPr>
            <w:tcW w:w="3296" w:type="dxa"/>
            <w:shd w:val="clear" w:color="auto" w:fill="auto"/>
          </w:tcPr>
          <w:p w:rsidR="00C01A94" w:rsidRPr="009072DA" w:rsidRDefault="00C01A94" w:rsidP="000B4982">
            <w:pPr>
              <w:adjustRightInd w:val="0"/>
              <w:spacing w:before="80" w:after="80" w:line="240" w:lineRule="atLeast"/>
              <w:rPr>
                <w:rFonts w:cs="Arial"/>
                <w:sz w:val="18"/>
                <w:szCs w:val="18"/>
                <w:lang w:val="bg-BG"/>
              </w:rPr>
            </w:pPr>
            <w:r w:rsidRPr="009072DA">
              <w:rPr>
                <w:sz w:val="18"/>
                <w:lang w:val="bg-BG"/>
              </w:rPr>
              <w:t>Кабел в области с високи температури на околната среда</w:t>
            </w:r>
          </w:p>
        </w:tc>
        <w:tc>
          <w:tcPr>
            <w:tcW w:w="6521" w:type="dxa"/>
            <w:shd w:val="clear" w:color="auto" w:fill="auto"/>
          </w:tcPr>
          <w:p w:rsidR="00C01A94" w:rsidRPr="009072DA" w:rsidRDefault="00F91AFF" w:rsidP="000B4982">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0B4982">
            <w:pPr>
              <w:spacing w:before="80" w:after="80" w:line="240" w:lineRule="atLeast"/>
              <w:jc w:val="center"/>
              <w:rPr>
                <w:rFonts w:cs="Arial"/>
                <w:sz w:val="18"/>
                <w:szCs w:val="18"/>
                <w:lang w:val="bg-BG"/>
              </w:rPr>
            </w:pPr>
          </w:p>
        </w:tc>
      </w:tr>
      <w:tr w:rsidR="00C01A94" w:rsidRPr="009072DA" w:rsidTr="00DB5653">
        <w:trPr>
          <w:cantSplit/>
          <w:jc w:val="center"/>
        </w:trPr>
        <w:tc>
          <w:tcPr>
            <w:tcW w:w="1342" w:type="dxa"/>
            <w:vMerge/>
            <w:shd w:val="clear" w:color="auto" w:fill="auto"/>
          </w:tcPr>
          <w:p w:rsidR="00C01A94" w:rsidRPr="009072DA" w:rsidRDefault="00C01A94" w:rsidP="000B4982">
            <w:pPr>
              <w:spacing w:before="80" w:after="80" w:line="240" w:lineRule="atLeast"/>
              <w:rPr>
                <w:rFonts w:cs="Arial"/>
                <w:sz w:val="18"/>
                <w:szCs w:val="18"/>
                <w:lang w:val="bg-BG"/>
              </w:rPr>
            </w:pPr>
          </w:p>
        </w:tc>
        <w:tc>
          <w:tcPr>
            <w:tcW w:w="1458" w:type="dxa"/>
            <w:shd w:val="clear" w:color="auto" w:fill="auto"/>
          </w:tcPr>
          <w:p w:rsidR="00C01A94" w:rsidRPr="009072DA" w:rsidRDefault="00C01A94" w:rsidP="000B4982">
            <w:pPr>
              <w:spacing w:before="80" w:after="80" w:line="240" w:lineRule="atLeast"/>
              <w:rPr>
                <w:rFonts w:cs="Arial"/>
                <w:sz w:val="18"/>
                <w:szCs w:val="18"/>
                <w:lang w:val="bg-BG"/>
              </w:rPr>
            </w:pPr>
            <w:r w:rsidRPr="009072DA">
              <w:rPr>
                <w:sz w:val="18"/>
                <w:lang w:val="bg-BG"/>
              </w:rPr>
              <w:t>Точка 14</w:t>
            </w:r>
          </w:p>
        </w:tc>
        <w:tc>
          <w:tcPr>
            <w:tcW w:w="3296" w:type="dxa"/>
            <w:shd w:val="clear" w:color="auto" w:fill="auto"/>
          </w:tcPr>
          <w:p w:rsidR="00C01A94" w:rsidRPr="009072DA" w:rsidRDefault="00C01A94" w:rsidP="000B4982">
            <w:pPr>
              <w:adjustRightInd w:val="0"/>
              <w:spacing w:before="80" w:after="80" w:line="240" w:lineRule="atLeast"/>
              <w:rPr>
                <w:rFonts w:cs="Arial"/>
                <w:sz w:val="18"/>
                <w:szCs w:val="18"/>
                <w:lang w:val="bg-BG"/>
              </w:rPr>
            </w:pPr>
            <w:r w:rsidRPr="009072DA">
              <w:rPr>
                <w:sz w:val="18"/>
                <w:lang w:val="bg-BG"/>
              </w:rPr>
              <w:t>Монтаж на основни и аварийни захранващи кабели</w:t>
            </w:r>
          </w:p>
        </w:tc>
        <w:tc>
          <w:tcPr>
            <w:tcW w:w="6521" w:type="dxa"/>
            <w:shd w:val="clear" w:color="auto" w:fill="auto"/>
          </w:tcPr>
          <w:p w:rsidR="00C01A94" w:rsidRPr="009072DA" w:rsidRDefault="00F91AFF" w:rsidP="000B4982">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0B4982">
            <w:pPr>
              <w:spacing w:before="80" w:after="80" w:line="240" w:lineRule="atLeast"/>
              <w:jc w:val="center"/>
              <w:rPr>
                <w:rFonts w:cs="Arial"/>
                <w:sz w:val="18"/>
                <w:szCs w:val="18"/>
                <w:lang w:val="bg-BG"/>
              </w:rPr>
            </w:pPr>
          </w:p>
        </w:tc>
      </w:tr>
      <w:tr w:rsidR="00C01A94" w:rsidRPr="009072DA" w:rsidTr="00196FBC">
        <w:trPr>
          <w:cantSplit/>
          <w:jc w:val="center"/>
        </w:trPr>
        <w:tc>
          <w:tcPr>
            <w:tcW w:w="1342" w:type="dxa"/>
            <w:shd w:val="clear" w:color="auto" w:fill="auto"/>
          </w:tcPr>
          <w:p w:rsidR="00C01A94" w:rsidRPr="009072DA" w:rsidRDefault="00C01A94" w:rsidP="000B4982">
            <w:pPr>
              <w:spacing w:before="80" w:after="80" w:line="240" w:lineRule="atLeast"/>
              <w:rPr>
                <w:rFonts w:cs="Arial"/>
                <w:sz w:val="18"/>
                <w:szCs w:val="18"/>
                <w:lang w:val="bg-BG"/>
              </w:rPr>
            </w:pPr>
            <w:r w:rsidRPr="009072DA">
              <w:rPr>
                <w:sz w:val="18"/>
                <w:lang w:val="bg-BG"/>
              </w:rPr>
              <w:t xml:space="preserve">10.16 </w:t>
            </w:r>
          </w:p>
        </w:tc>
        <w:tc>
          <w:tcPr>
            <w:tcW w:w="1458" w:type="dxa"/>
            <w:shd w:val="clear" w:color="auto" w:fill="auto"/>
          </w:tcPr>
          <w:p w:rsidR="00C01A94" w:rsidRPr="009072DA" w:rsidRDefault="00C01A94" w:rsidP="000B4982">
            <w:pPr>
              <w:spacing w:before="80" w:after="80" w:line="240" w:lineRule="atLeast"/>
              <w:rPr>
                <w:rFonts w:cs="Arial"/>
                <w:sz w:val="18"/>
                <w:szCs w:val="18"/>
                <w:lang w:val="bg-BG"/>
              </w:rPr>
            </w:pPr>
            <w:r w:rsidRPr="009072DA">
              <w:rPr>
                <w:sz w:val="18"/>
                <w:lang w:val="bg-BG"/>
              </w:rPr>
              <w:t>Точка 3, второ изречение</w:t>
            </w:r>
          </w:p>
        </w:tc>
        <w:tc>
          <w:tcPr>
            <w:tcW w:w="3296" w:type="dxa"/>
            <w:shd w:val="clear" w:color="auto" w:fill="auto"/>
          </w:tcPr>
          <w:p w:rsidR="00C01A94" w:rsidRPr="009072DA" w:rsidRDefault="00C01A94" w:rsidP="000B4982">
            <w:pPr>
              <w:spacing w:before="80" w:after="80" w:line="240" w:lineRule="atLeast"/>
              <w:rPr>
                <w:rFonts w:cs="Arial"/>
                <w:sz w:val="18"/>
                <w:szCs w:val="18"/>
                <w:lang w:val="bg-BG"/>
              </w:rPr>
            </w:pPr>
            <w:r w:rsidRPr="009072DA">
              <w:rPr>
                <w:sz w:val="18"/>
                <w:lang w:val="bg-BG"/>
              </w:rPr>
              <w:t>Втора верига</w:t>
            </w:r>
          </w:p>
        </w:tc>
        <w:tc>
          <w:tcPr>
            <w:tcW w:w="6521" w:type="dxa"/>
            <w:shd w:val="clear" w:color="auto" w:fill="auto"/>
          </w:tcPr>
          <w:p w:rsidR="00C01A94" w:rsidRPr="009072DA" w:rsidRDefault="00C01A94" w:rsidP="000B4982">
            <w:pPr>
              <w:spacing w:before="80" w:after="8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0B4982">
            <w:pPr>
              <w:spacing w:before="80" w:after="80" w:line="240" w:lineRule="atLeast"/>
              <w:jc w:val="center"/>
              <w:rPr>
                <w:rFonts w:cs="Arial"/>
                <w:sz w:val="18"/>
                <w:szCs w:val="18"/>
                <w:lang w:val="bg-BG"/>
              </w:rPr>
            </w:pPr>
            <w:r w:rsidRPr="009072DA">
              <w:rPr>
                <w:sz w:val="18"/>
                <w:lang w:val="bg-BG"/>
              </w:rPr>
              <w:t>1.1.2015 г.</w:t>
            </w:r>
          </w:p>
        </w:tc>
      </w:tr>
      <w:tr w:rsidR="00C01A94" w:rsidRPr="009072DA" w:rsidTr="00196FBC">
        <w:trPr>
          <w:cantSplit/>
          <w:jc w:val="center"/>
        </w:trPr>
        <w:tc>
          <w:tcPr>
            <w:tcW w:w="1342" w:type="dxa"/>
            <w:vMerge w:val="restart"/>
            <w:shd w:val="clear" w:color="auto" w:fill="auto"/>
          </w:tcPr>
          <w:p w:rsidR="00C01A94" w:rsidRPr="009072DA" w:rsidRDefault="00C01A94" w:rsidP="000B4982">
            <w:pPr>
              <w:spacing w:before="60" w:after="60" w:line="240" w:lineRule="atLeast"/>
              <w:rPr>
                <w:rFonts w:cs="Arial"/>
                <w:sz w:val="18"/>
                <w:szCs w:val="18"/>
                <w:lang w:val="bg-BG"/>
              </w:rPr>
            </w:pPr>
            <w:r w:rsidRPr="009072DA">
              <w:rPr>
                <w:sz w:val="18"/>
                <w:lang w:val="bg-BG"/>
              </w:rPr>
              <w:t xml:space="preserve">10.18 </w:t>
            </w:r>
          </w:p>
        </w:tc>
        <w:tc>
          <w:tcPr>
            <w:tcW w:w="1458" w:type="dxa"/>
            <w:shd w:val="clear" w:color="auto" w:fill="auto"/>
          </w:tcPr>
          <w:p w:rsidR="00C01A94" w:rsidRPr="009072DA" w:rsidRDefault="00C01A94" w:rsidP="000B4982">
            <w:pPr>
              <w:spacing w:before="60" w:after="60" w:line="240" w:lineRule="atLeast"/>
              <w:rPr>
                <w:rFonts w:cs="Arial"/>
                <w:sz w:val="18"/>
                <w:szCs w:val="18"/>
                <w:lang w:val="bg-BG"/>
              </w:rPr>
            </w:pPr>
            <w:r w:rsidRPr="009072DA">
              <w:rPr>
                <w:sz w:val="18"/>
                <w:lang w:val="bg-BG"/>
              </w:rPr>
              <w:t>Точка 1</w:t>
            </w:r>
          </w:p>
        </w:tc>
        <w:tc>
          <w:tcPr>
            <w:tcW w:w="3296" w:type="dxa"/>
            <w:shd w:val="clear" w:color="auto" w:fill="auto"/>
          </w:tcPr>
          <w:p w:rsidR="00C01A94" w:rsidRPr="009072DA" w:rsidRDefault="00C01A94" w:rsidP="000B4982">
            <w:pPr>
              <w:adjustRightInd w:val="0"/>
              <w:spacing w:before="60" w:after="60" w:line="240" w:lineRule="atLeast"/>
              <w:rPr>
                <w:rFonts w:cs="Arial"/>
                <w:sz w:val="18"/>
                <w:szCs w:val="18"/>
                <w:lang w:val="bg-BG"/>
              </w:rPr>
            </w:pPr>
            <w:r w:rsidRPr="009072DA">
              <w:rPr>
                <w:sz w:val="18"/>
                <w:lang w:val="bg-BG"/>
              </w:rPr>
              <w:t>Устройство за изключване от електрическата мрежа</w:t>
            </w:r>
          </w:p>
        </w:tc>
        <w:tc>
          <w:tcPr>
            <w:tcW w:w="6521" w:type="dxa"/>
            <w:shd w:val="clear" w:color="auto" w:fill="auto"/>
          </w:tcPr>
          <w:p w:rsidR="00C01A94" w:rsidRPr="009072DA" w:rsidRDefault="00F91AFF" w:rsidP="000B4982">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0B4982">
            <w:pPr>
              <w:spacing w:before="60" w:after="60" w:line="240" w:lineRule="atLeast"/>
              <w:jc w:val="center"/>
              <w:rPr>
                <w:rFonts w:cs="Arial"/>
                <w:sz w:val="18"/>
                <w:szCs w:val="18"/>
                <w:lang w:val="bg-BG"/>
              </w:rPr>
            </w:pPr>
          </w:p>
        </w:tc>
      </w:tr>
      <w:tr w:rsidR="00C01A94" w:rsidRPr="009072DA" w:rsidTr="00196FBC">
        <w:trPr>
          <w:cantSplit/>
          <w:jc w:val="center"/>
        </w:trPr>
        <w:tc>
          <w:tcPr>
            <w:tcW w:w="1342" w:type="dxa"/>
            <w:vMerge/>
            <w:shd w:val="clear" w:color="auto" w:fill="auto"/>
          </w:tcPr>
          <w:p w:rsidR="00C01A94" w:rsidRPr="009072DA" w:rsidRDefault="00C01A94" w:rsidP="000B4982">
            <w:pPr>
              <w:spacing w:before="60" w:after="60" w:line="240" w:lineRule="atLeast"/>
              <w:rPr>
                <w:rFonts w:cs="Arial"/>
                <w:sz w:val="18"/>
                <w:szCs w:val="18"/>
                <w:lang w:val="bg-BG"/>
              </w:rPr>
            </w:pPr>
          </w:p>
        </w:tc>
        <w:tc>
          <w:tcPr>
            <w:tcW w:w="1458" w:type="dxa"/>
            <w:shd w:val="clear" w:color="auto" w:fill="auto"/>
          </w:tcPr>
          <w:p w:rsidR="00C01A94" w:rsidRPr="009072DA" w:rsidRDefault="00C01A94" w:rsidP="000B4982">
            <w:pPr>
              <w:spacing w:before="60" w:after="6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0B4982">
            <w:pPr>
              <w:adjustRightInd w:val="0"/>
              <w:spacing w:before="60" w:after="60" w:line="240" w:lineRule="atLeast"/>
              <w:rPr>
                <w:rFonts w:cs="Arial"/>
                <w:sz w:val="18"/>
                <w:szCs w:val="18"/>
                <w:lang w:val="bg-BG"/>
              </w:rPr>
            </w:pPr>
            <w:r w:rsidRPr="009072DA">
              <w:rPr>
                <w:sz w:val="18"/>
                <w:lang w:val="bg-BG"/>
              </w:rPr>
              <w:t>Достъпност</w:t>
            </w:r>
          </w:p>
        </w:tc>
        <w:tc>
          <w:tcPr>
            <w:tcW w:w="6521" w:type="dxa"/>
            <w:shd w:val="clear" w:color="auto" w:fill="auto"/>
          </w:tcPr>
          <w:p w:rsidR="00C01A94" w:rsidRPr="009072DA" w:rsidRDefault="00F91AFF" w:rsidP="000B4982">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0B4982">
            <w:pPr>
              <w:spacing w:before="60" w:after="60" w:line="240" w:lineRule="atLeast"/>
              <w:jc w:val="center"/>
              <w:rPr>
                <w:rFonts w:cs="Arial"/>
                <w:sz w:val="18"/>
                <w:szCs w:val="18"/>
                <w:lang w:val="bg-BG"/>
              </w:rPr>
            </w:pPr>
          </w:p>
        </w:tc>
      </w:tr>
      <w:tr w:rsidR="00C01A94" w:rsidRPr="009072DA" w:rsidTr="00196FBC">
        <w:trPr>
          <w:cantSplit/>
          <w:jc w:val="center"/>
        </w:trPr>
        <w:tc>
          <w:tcPr>
            <w:tcW w:w="1342" w:type="dxa"/>
            <w:vMerge/>
            <w:shd w:val="clear" w:color="auto" w:fill="auto"/>
          </w:tcPr>
          <w:p w:rsidR="00C01A94" w:rsidRPr="009072DA" w:rsidRDefault="00C01A94" w:rsidP="000B4982">
            <w:pPr>
              <w:spacing w:before="60" w:after="60" w:line="240" w:lineRule="atLeast"/>
              <w:rPr>
                <w:rFonts w:cs="Arial"/>
                <w:sz w:val="18"/>
                <w:szCs w:val="18"/>
                <w:lang w:val="bg-BG"/>
              </w:rPr>
            </w:pPr>
          </w:p>
        </w:tc>
        <w:tc>
          <w:tcPr>
            <w:tcW w:w="1458" w:type="dxa"/>
            <w:shd w:val="clear" w:color="auto" w:fill="auto"/>
          </w:tcPr>
          <w:p w:rsidR="00C01A94" w:rsidRPr="009072DA" w:rsidRDefault="00C01A94" w:rsidP="000B4982">
            <w:pPr>
              <w:spacing w:before="60" w:after="60" w:line="240" w:lineRule="atLeast"/>
              <w:rPr>
                <w:rFonts w:cs="Arial"/>
                <w:sz w:val="18"/>
                <w:szCs w:val="18"/>
                <w:lang w:val="bg-BG"/>
              </w:rPr>
            </w:pPr>
            <w:r w:rsidRPr="009072DA">
              <w:rPr>
                <w:sz w:val="18"/>
                <w:lang w:val="bg-BG"/>
              </w:rPr>
              <w:t>Точка 3</w:t>
            </w:r>
          </w:p>
        </w:tc>
        <w:tc>
          <w:tcPr>
            <w:tcW w:w="3296" w:type="dxa"/>
            <w:shd w:val="clear" w:color="auto" w:fill="auto"/>
          </w:tcPr>
          <w:p w:rsidR="00C01A94" w:rsidRPr="009072DA" w:rsidRDefault="00C01A94" w:rsidP="000B4982">
            <w:pPr>
              <w:adjustRightInd w:val="0"/>
              <w:spacing w:before="60" w:after="60" w:line="240" w:lineRule="atLeast"/>
              <w:rPr>
                <w:rFonts w:cs="Arial"/>
                <w:sz w:val="18"/>
                <w:szCs w:val="18"/>
                <w:lang w:val="bg-BG"/>
              </w:rPr>
            </w:pPr>
            <w:r w:rsidRPr="009072DA">
              <w:rPr>
                <w:sz w:val="18"/>
                <w:lang w:val="bg-BG"/>
              </w:rPr>
              <w:t>Галванично разделяне на управляващи и силови вериги</w:t>
            </w:r>
          </w:p>
        </w:tc>
        <w:tc>
          <w:tcPr>
            <w:tcW w:w="6521" w:type="dxa"/>
            <w:shd w:val="clear" w:color="auto" w:fill="auto"/>
          </w:tcPr>
          <w:p w:rsidR="00C01A94" w:rsidRPr="009072DA" w:rsidRDefault="00F91AFF" w:rsidP="000B4982">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0B4982">
            <w:pPr>
              <w:spacing w:before="60" w:after="60" w:line="240" w:lineRule="atLeast"/>
              <w:jc w:val="center"/>
              <w:rPr>
                <w:rFonts w:cs="Arial"/>
                <w:sz w:val="18"/>
                <w:szCs w:val="18"/>
                <w:lang w:val="bg-BG"/>
              </w:rPr>
            </w:pPr>
          </w:p>
        </w:tc>
      </w:tr>
      <w:tr w:rsidR="00C01A94" w:rsidRPr="009072DA" w:rsidTr="00196FBC">
        <w:trPr>
          <w:cantSplit/>
          <w:jc w:val="center"/>
        </w:trPr>
        <w:tc>
          <w:tcPr>
            <w:tcW w:w="1342" w:type="dxa"/>
            <w:vMerge/>
            <w:shd w:val="clear" w:color="auto" w:fill="auto"/>
          </w:tcPr>
          <w:p w:rsidR="00C01A94" w:rsidRPr="009072DA" w:rsidRDefault="00C01A94" w:rsidP="000B4982">
            <w:pPr>
              <w:spacing w:before="60" w:after="60" w:line="240" w:lineRule="atLeast"/>
              <w:rPr>
                <w:rFonts w:cs="Arial"/>
                <w:sz w:val="18"/>
                <w:szCs w:val="18"/>
                <w:lang w:val="bg-BG"/>
              </w:rPr>
            </w:pPr>
          </w:p>
        </w:tc>
        <w:tc>
          <w:tcPr>
            <w:tcW w:w="1458" w:type="dxa"/>
            <w:shd w:val="clear" w:color="auto" w:fill="auto"/>
          </w:tcPr>
          <w:p w:rsidR="00C01A94" w:rsidRPr="009072DA" w:rsidRDefault="00C01A94" w:rsidP="000B4982">
            <w:pPr>
              <w:spacing w:before="60" w:after="6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C01A94" w:rsidP="000B4982">
            <w:pPr>
              <w:adjustRightInd w:val="0"/>
              <w:spacing w:before="60" w:after="60" w:line="240" w:lineRule="atLeast"/>
              <w:rPr>
                <w:rFonts w:cs="Arial"/>
                <w:sz w:val="18"/>
                <w:szCs w:val="18"/>
                <w:lang w:val="bg-BG"/>
              </w:rPr>
            </w:pPr>
            <w:r w:rsidRPr="009072DA">
              <w:rPr>
                <w:sz w:val="18"/>
                <w:lang w:val="bg-BG"/>
              </w:rPr>
              <w:t>Работа при колебания в напрежението и честотата</w:t>
            </w:r>
          </w:p>
        </w:tc>
        <w:tc>
          <w:tcPr>
            <w:tcW w:w="6521" w:type="dxa"/>
            <w:shd w:val="clear" w:color="auto" w:fill="auto"/>
          </w:tcPr>
          <w:p w:rsidR="00C01A94" w:rsidRPr="009072DA" w:rsidRDefault="00F91AFF" w:rsidP="000B4982">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0B4982">
            <w:pPr>
              <w:spacing w:before="60" w:after="60" w:line="240" w:lineRule="atLeast"/>
              <w:jc w:val="center"/>
              <w:rPr>
                <w:rFonts w:cs="Arial"/>
                <w:sz w:val="18"/>
                <w:szCs w:val="18"/>
                <w:lang w:val="bg-BG"/>
              </w:rPr>
            </w:pPr>
          </w:p>
        </w:tc>
      </w:tr>
      <w:tr w:rsidR="00C01A94" w:rsidRPr="009072DA" w:rsidTr="00196FBC">
        <w:trPr>
          <w:cantSplit/>
          <w:jc w:val="center"/>
        </w:trPr>
        <w:tc>
          <w:tcPr>
            <w:tcW w:w="1342" w:type="dxa"/>
            <w:vMerge/>
            <w:shd w:val="clear" w:color="auto" w:fill="auto"/>
          </w:tcPr>
          <w:p w:rsidR="00C01A94" w:rsidRPr="009072DA" w:rsidRDefault="00C01A94" w:rsidP="000B4982">
            <w:pPr>
              <w:spacing w:before="60" w:after="60" w:line="240" w:lineRule="atLeast"/>
              <w:rPr>
                <w:rFonts w:cs="Arial"/>
                <w:sz w:val="18"/>
                <w:szCs w:val="18"/>
                <w:lang w:val="bg-BG"/>
              </w:rPr>
            </w:pPr>
          </w:p>
        </w:tc>
        <w:tc>
          <w:tcPr>
            <w:tcW w:w="1458" w:type="dxa"/>
            <w:shd w:val="clear" w:color="auto" w:fill="auto"/>
          </w:tcPr>
          <w:p w:rsidR="00C01A94" w:rsidRPr="009072DA" w:rsidRDefault="00C01A94" w:rsidP="000B4982">
            <w:pPr>
              <w:spacing w:before="60" w:after="60" w:line="240" w:lineRule="atLeast"/>
              <w:rPr>
                <w:rFonts w:cs="Arial"/>
                <w:sz w:val="18"/>
                <w:szCs w:val="18"/>
                <w:lang w:val="bg-BG"/>
              </w:rPr>
            </w:pPr>
            <w:r w:rsidRPr="009072DA">
              <w:rPr>
                <w:sz w:val="18"/>
                <w:lang w:val="bg-BG"/>
              </w:rPr>
              <w:t>Точка 5</w:t>
            </w:r>
          </w:p>
        </w:tc>
        <w:tc>
          <w:tcPr>
            <w:tcW w:w="3296" w:type="dxa"/>
            <w:shd w:val="clear" w:color="auto" w:fill="auto"/>
          </w:tcPr>
          <w:p w:rsidR="00C01A94" w:rsidRPr="009072DA" w:rsidRDefault="00C01A94" w:rsidP="000B4982">
            <w:pPr>
              <w:adjustRightInd w:val="0"/>
              <w:spacing w:before="60" w:after="60" w:line="240" w:lineRule="atLeast"/>
              <w:rPr>
                <w:rFonts w:cs="Arial"/>
                <w:sz w:val="18"/>
                <w:szCs w:val="18"/>
                <w:lang w:val="bg-BG"/>
              </w:rPr>
            </w:pPr>
            <w:r w:rsidRPr="009072DA">
              <w:rPr>
                <w:sz w:val="18"/>
                <w:lang w:val="bg-BG"/>
              </w:rPr>
              <w:t>Време за разреждане при изключване от електрическата мрежа</w:t>
            </w:r>
          </w:p>
        </w:tc>
        <w:tc>
          <w:tcPr>
            <w:tcW w:w="6521" w:type="dxa"/>
            <w:shd w:val="clear" w:color="auto" w:fill="auto"/>
          </w:tcPr>
          <w:p w:rsidR="00C01A94" w:rsidRPr="009072DA" w:rsidRDefault="00F91AFF" w:rsidP="000B4982">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0B4982">
            <w:pPr>
              <w:spacing w:before="60" w:after="60" w:line="240" w:lineRule="atLeast"/>
              <w:jc w:val="center"/>
              <w:rPr>
                <w:rFonts w:cs="Arial"/>
                <w:sz w:val="18"/>
                <w:szCs w:val="18"/>
                <w:lang w:val="bg-BG"/>
              </w:rPr>
            </w:pPr>
          </w:p>
        </w:tc>
      </w:tr>
      <w:tr w:rsidR="00C01A94" w:rsidRPr="009072DA" w:rsidTr="00196FBC">
        <w:trPr>
          <w:cantSplit/>
          <w:jc w:val="center"/>
        </w:trPr>
        <w:tc>
          <w:tcPr>
            <w:tcW w:w="1342" w:type="dxa"/>
            <w:vMerge/>
            <w:shd w:val="clear" w:color="auto" w:fill="auto"/>
          </w:tcPr>
          <w:p w:rsidR="00C01A94" w:rsidRPr="009072DA" w:rsidRDefault="00C01A94" w:rsidP="000B4982">
            <w:pPr>
              <w:spacing w:before="60" w:after="60" w:line="240" w:lineRule="atLeast"/>
              <w:rPr>
                <w:rFonts w:cs="Arial"/>
                <w:sz w:val="18"/>
                <w:szCs w:val="18"/>
                <w:lang w:val="bg-BG"/>
              </w:rPr>
            </w:pPr>
          </w:p>
        </w:tc>
        <w:tc>
          <w:tcPr>
            <w:tcW w:w="1458" w:type="dxa"/>
            <w:shd w:val="clear" w:color="auto" w:fill="auto"/>
          </w:tcPr>
          <w:p w:rsidR="00C01A94" w:rsidRPr="009072DA" w:rsidRDefault="00C01A94" w:rsidP="000B4982">
            <w:pPr>
              <w:spacing w:before="60" w:after="60" w:line="240" w:lineRule="atLeast"/>
              <w:rPr>
                <w:rFonts w:cs="Arial"/>
                <w:sz w:val="18"/>
                <w:szCs w:val="18"/>
                <w:lang w:val="bg-BG"/>
              </w:rPr>
            </w:pPr>
            <w:r w:rsidRPr="009072DA">
              <w:rPr>
                <w:sz w:val="18"/>
                <w:lang w:val="bg-BG"/>
              </w:rPr>
              <w:t>Точка 6</w:t>
            </w:r>
          </w:p>
        </w:tc>
        <w:tc>
          <w:tcPr>
            <w:tcW w:w="3296" w:type="dxa"/>
            <w:shd w:val="clear" w:color="auto" w:fill="auto"/>
          </w:tcPr>
          <w:p w:rsidR="00C01A94" w:rsidRPr="009072DA" w:rsidRDefault="00C01A94" w:rsidP="000B4982">
            <w:pPr>
              <w:adjustRightInd w:val="0"/>
              <w:spacing w:before="60" w:after="60" w:line="240" w:lineRule="atLeast"/>
              <w:rPr>
                <w:rFonts w:cs="Arial"/>
                <w:sz w:val="18"/>
                <w:szCs w:val="18"/>
                <w:lang w:val="bg-BG"/>
              </w:rPr>
            </w:pPr>
            <w:r w:rsidRPr="009072DA">
              <w:rPr>
                <w:sz w:val="18"/>
                <w:lang w:val="bg-BG"/>
              </w:rPr>
              <w:t>Реакция при отказ на сигналите за външен контрол</w:t>
            </w:r>
          </w:p>
        </w:tc>
        <w:tc>
          <w:tcPr>
            <w:tcW w:w="6521" w:type="dxa"/>
            <w:shd w:val="clear" w:color="auto" w:fill="auto"/>
          </w:tcPr>
          <w:p w:rsidR="00C01A94" w:rsidRPr="009072DA" w:rsidRDefault="00F91AFF" w:rsidP="000B4982">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0B4982">
            <w:pPr>
              <w:spacing w:before="60" w:after="60" w:line="240" w:lineRule="atLeast"/>
              <w:jc w:val="center"/>
              <w:rPr>
                <w:rFonts w:cs="Arial"/>
                <w:sz w:val="18"/>
                <w:szCs w:val="18"/>
                <w:lang w:val="bg-BG"/>
              </w:rPr>
            </w:pPr>
          </w:p>
        </w:tc>
      </w:tr>
      <w:tr w:rsidR="00C01A94" w:rsidRPr="009072DA" w:rsidTr="00196FBC">
        <w:trPr>
          <w:cantSplit/>
          <w:jc w:val="center"/>
        </w:trPr>
        <w:tc>
          <w:tcPr>
            <w:tcW w:w="1342" w:type="dxa"/>
            <w:vMerge/>
            <w:shd w:val="clear" w:color="auto" w:fill="auto"/>
          </w:tcPr>
          <w:p w:rsidR="00C01A94" w:rsidRPr="009072DA" w:rsidRDefault="00C01A94" w:rsidP="00C01A94">
            <w:pPr>
              <w:spacing w:before="100" w:after="100" w:line="240" w:lineRule="atLeast"/>
              <w:rPr>
                <w:rFonts w:cs="Arial"/>
                <w:sz w:val="18"/>
                <w:szCs w:val="18"/>
                <w:lang w:val="bg-BG"/>
              </w:rPr>
            </w:pPr>
          </w:p>
        </w:tc>
        <w:tc>
          <w:tcPr>
            <w:tcW w:w="1458"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Точка 7</w:t>
            </w:r>
          </w:p>
        </w:tc>
        <w:tc>
          <w:tcPr>
            <w:tcW w:w="3296" w:type="dxa"/>
            <w:shd w:val="clear" w:color="auto" w:fill="auto"/>
          </w:tcPr>
          <w:p w:rsidR="00C01A94" w:rsidRPr="009072DA" w:rsidRDefault="00C01A94" w:rsidP="00C01A94">
            <w:pPr>
              <w:adjustRightInd w:val="0"/>
              <w:spacing w:before="100" w:after="100" w:line="240" w:lineRule="atLeast"/>
              <w:rPr>
                <w:rFonts w:cs="Arial"/>
                <w:sz w:val="18"/>
                <w:szCs w:val="18"/>
                <w:lang w:val="bg-BG"/>
              </w:rPr>
            </w:pPr>
            <w:r w:rsidRPr="009072DA">
              <w:rPr>
                <w:sz w:val="18"/>
                <w:lang w:val="bg-BG"/>
              </w:rPr>
              <w:t>Реакция при отказ на контролни напрежения</w:t>
            </w:r>
          </w:p>
        </w:tc>
        <w:tc>
          <w:tcPr>
            <w:tcW w:w="6521" w:type="dxa"/>
            <w:shd w:val="clear" w:color="auto" w:fill="auto"/>
          </w:tcPr>
          <w:p w:rsidR="00C01A94" w:rsidRPr="009072DA" w:rsidRDefault="00F91AFF" w:rsidP="00C01A94">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00" w:after="100" w:line="240" w:lineRule="atLeast"/>
              <w:jc w:val="center"/>
              <w:rPr>
                <w:rFonts w:cs="Arial"/>
                <w:sz w:val="18"/>
                <w:szCs w:val="18"/>
                <w:lang w:val="bg-BG"/>
              </w:rPr>
            </w:pPr>
          </w:p>
        </w:tc>
      </w:tr>
      <w:tr w:rsidR="00C01A94" w:rsidRPr="009072DA" w:rsidTr="00196FBC">
        <w:trPr>
          <w:cantSplit/>
          <w:jc w:val="center"/>
        </w:trPr>
        <w:tc>
          <w:tcPr>
            <w:tcW w:w="1342" w:type="dxa"/>
            <w:vMerge/>
            <w:shd w:val="clear" w:color="auto" w:fill="auto"/>
          </w:tcPr>
          <w:p w:rsidR="00C01A94" w:rsidRPr="009072DA" w:rsidRDefault="00C01A94" w:rsidP="00C01A94">
            <w:pPr>
              <w:spacing w:before="100" w:after="100" w:line="240" w:lineRule="atLeast"/>
              <w:rPr>
                <w:rFonts w:cs="Arial"/>
                <w:sz w:val="18"/>
                <w:szCs w:val="18"/>
                <w:lang w:val="bg-BG"/>
              </w:rPr>
            </w:pPr>
          </w:p>
        </w:tc>
        <w:tc>
          <w:tcPr>
            <w:tcW w:w="1458"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Точка 8</w:t>
            </w:r>
          </w:p>
        </w:tc>
        <w:tc>
          <w:tcPr>
            <w:tcW w:w="3296" w:type="dxa"/>
            <w:shd w:val="clear" w:color="auto" w:fill="auto"/>
          </w:tcPr>
          <w:p w:rsidR="00C01A94" w:rsidRPr="009072DA" w:rsidRDefault="00C01A94" w:rsidP="00C01A94">
            <w:pPr>
              <w:adjustRightInd w:val="0"/>
              <w:spacing w:before="100" w:after="100" w:line="240" w:lineRule="atLeast"/>
              <w:rPr>
                <w:rFonts w:cs="Arial"/>
                <w:sz w:val="18"/>
                <w:szCs w:val="18"/>
                <w:lang w:val="bg-BG"/>
              </w:rPr>
            </w:pPr>
            <w:r w:rsidRPr="009072DA">
              <w:rPr>
                <w:sz w:val="18"/>
                <w:lang w:val="bg-BG"/>
              </w:rPr>
              <w:t>Откриване на грешки и предотвратяване на неоткрити грешки</w:t>
            </w:r>
          </w:p>
        </w:tc>
        <w:tc>
          <w:tcPr>
            <w:tcW w:w="6521" w:type="dxa"/>
            <w:shd w:val="clear" w:color="auto" w:fill="auto"/>
          </w:tcPr>
          <w:p w:rsidR="00C01A94" w:rsidRPr="009072DA" w:rsidRDefault="00F91AFF" w:rsidP="00C01A94">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00" w:after="100" w:line="240" w:lineRule="atLeast"/>
              <w:jc w:val="center"/>
              <w:rPr>
                <w:rFonts w:cs="Arial"/>
                <w:sz w:val="18"/>
                <w:szCs w:val="18"/>
                <w:lang w:val="bg-BG"/>
              </w:rPr>
            </w:pPr>
          </w:p>
        </w:tc>
      </w:tr>
      <w:tr w:rsidR="00C01A94" w:rsidRPr="009072DA" w:rsidTr="00196FBC">
        <w:trPr>
          <w:cantSplit/>
          <w:jc w:val="center"/>
        </w:trPr>
        <w:tc>
          <w:tcPr>
            <w:tcW w:w="1342" w:type="dxa"/>
            <w:vMerge/>
            <w:shd w:val="clear" w:color="auto" w:fill="auto"/>
          </w:tcPr>
          <w:p w:rsidR="00C01A94" w:rsidRPr="009072DA" w:rsidRDefault="00C01A94" w:rsidP="00C01A94">
            <w:pPr>
              <w:spacing w:before="100" w:after="100" w:line="240" w:lineRule="atLeast"/>
              <w:rPr>
                <w:rFonts w:cs="Arial"/>
                <w:sz w:val="18"/>
                <w:szCs w:val="18"/>
                <w:lang w:val="bg-BG"/>
              </w:rPr>
            </w:pPr>
          </w:p>
        </w:tc>
        <w:tc>
          <w:tcPr>
            <w:tcW w:w="1458"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Точка 9</w:t>
            </w:r>
          </w:p>
        </w:tc>
        <w:tc>
          <w:tcPr>
            <w:tcW w:w="3296" w:type="dxa"/>
            <w:shd w:val="clear" w:color="auto" w:fill="auto"/>
          </w:tcPr>
          <w:p w:rsidR="00C01A94" w:rsidRPr="009072DA" w:rsidRDefault="00C01A94" w:rsidP="00C01A94">
            <w:pPr>
              <w:adjustRightInd w:val="0"/>
              <w:spacing w:before="100" w:after="100" w:line="240" w:lineRule="atLeast"/>
              <w:rPr>
                <w:rFonts w:cs="Arial"/>
                <w:sz w:val="18"/>
                <w:szCs w:val="18"/>
                <w:lang w:val="bg-BG"/>
              </w:rPr>
            </w:pPr>
            <w:r w:rsidRPr="009072DA">
              <w:rPr>
                <w:sz w:val="18"/>
                <w:lang w:val="bg-BG"/>
              </w:rPr>
              <w:t>Следене</w:t>
            </w:r>
          </w:p>
        </w:tc>
        <w:tc>
          <w:tcPr>
            <w:tcW w:w="6521" w:type="dxa"/>
            <w:shd w:val="clear" w:color="auto" w:fill="auto"/>
          </w:tcPr>
          <w:p w:rsidR="00C01A94" w:rsidRPr="009072DA" w:rsidRDefault="00F91AFF" w:rsidP="00C01A94">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00" w:after="100" w:line="240" w:lineRule="atLeast"/>
              <w:jc w:val="center"/>
              <w:rPr>
                <w:rFonts w:cs="Arial"/>
                <w:sz w:val="18"/>
                <w:szCs w:val="18"/>
                <w:lang w:val="bg-BG"/>
              </w:rPr>
            </w:pPr>
          </w:p>
        </w:tc>
      </w:tr>
      <w:tr w:rsidR="00C01A94" w:rsidRPr="009072DA" w:rsidTr="00196FBC">
        <w:trPr>
          <w:cantSplit/>
          <w:jc w:val="center"/>
        </w:trPr>
        <w:tc>
          <w:tcPr>
            <w:tcW w:w="1342" w:type="dxa"/>
            <w:vMerge/>
            <w:shd w:val="clear" w:color="auto" w:fill="auto"/>
          </w:tcPr>
          <w:p w:rsidR="00C01A94" w:rsidRPr="009072DA" w:rsidRDefault="00C01A94" w:rsidP="00C01A94">
            <w:pPr>
              <w:spacing w:before="100" w:after="100" w:line="240" w:lineRule="atLeast"/>
              <w:rPr>
                <w:rFonts w:cs="Arial"/>
                <w:sz w:val="18"/>
                <w:szCs w:val="18"/>
                <w:lang w:val="bg-BG"/>
              </w:rPr>
            </w:pPr>
          </w:p>
        </w:tc>
        <w:tc>
          <w:tcPr>
            <w:tcW w:w="1458"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Точка 10</w:t>
            </w:r>
          </w:p>
        </w:tc>
        <w:tc>
          <w:tcPr>
            <w:tcW w:w="3296" w:type="dxa"/>
            <w:shd w:val="clear" w:color="auto" w:fill="auto"/>
          </w:tcPr>
          <w:p w:rsidR="00C01A94" w:rsidRPr="009072DA" w:rsidRDefault="00C01A94" w:rsidP="00C01A94">
            <w:pPr>
              <w:adjustRightInd w:val="0"/>
              <w:spacing w:before="100" w:after="100" w:line="240" w:lineRule="atLeast"/>
              <w:rPr>
                <w:rFonts w:cs="Arial"/>
                <w:sz w:val="18"/>
                <w:szCs w:val="18"/>
                <w:lang w:val="bg-BG"/>
              </w:rPr>
            </w:pPr>
            <w:r w:rsidRPr="009072DA">
              <w:rPr>
                <w:sz w:val="18"/>
                <w:lang w:val="bg-BG"/>
              </w:rPr>
              <w:t>Проверка на типа</w:t>
            </w:r>
          </w:p>
        </w:tc>
        <w:tc>
          <w:tcPr>
            <w:tcW w:w="6521" w:type="dxa"/>
            <w:shd w:val="clear" w:color="auto" w:fill="auto"/>
          </w:tcPr>
          <w:p w:rsidR="00C01A94" w:rsidRPr="009072DA" w:rsidRDefault="00F91AFF" w:rsidP="00C01A94">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00" w:after="100" w:line="240" w:lineRule="atLeast"/>
              <w:jc w:val="center"/>
              <w:rPr>
                <w:rFonts w:cs="Arial"/>
                <w:sz w:val="18"/>
                <w:szCs w:val="18"/>
                <w:lang w:val="bg-BG"/>
              </w:rPr>
            </w:pPr>
          </w:p>
        </w:tc>
      </w:tr>
      <w:tr w:rsidR="00C01A94" w:rsidRPr="009072DA" w:rsidTr="00196FBC">
        <w:trPr>
          <w:cantSplit/>
          <w:jc w:val="center"/>
        </w:trPr>
        <w:tc>
          <w:tcPr>
            <w:tcW w:w="1342"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10.19</w:t>
            </w:r>
          </w:p>
        </w:tc>
        <w:tc>
          <w:tcPr>
            <w:tcW w:w="1458" w:type="dxa"/>
            <w:shd w:val="clear" w:color="auto" w:fill="auto"/>
          </w:tcPr>
          <w:p w:rsidR="00C01A94" w:rsidRPr="009072DA" w:rsidRDefault="00C01A94" w:rsidP="00B74390">
            <w:pPr>
              <w:spacing w:before="60" w:after="60" w:line="240" w:lineRule="atLeast"/>
              <w:rPr>
                <w:rFonts w:cs="Arial"/>
                <w:sz w:val="18"/>
                <w:szCs w:val="18"/>
                <w:lang w:val="bg-BG"/>
              </w:rPr>
            </w:pPr>
          </w:p>
        </w:tc>
        <w:tc>
          <w:tcPr>
            <w:tcW w:w="3296" w:type="dxa"/>
            <w:shd w:val="clear" w:color="auto" w:fill="auto"/>
          </w:tcPr>
          <w:p w:rsidR="00C01A94" w:rsidRPr="009072DA" w:rsidRDefault="00C01A94" w:rsidP="00B74390">
            <w:pPr>
              <w:adjustRightInd w:val="0"/>
              <w:spacing w:before="60" w:after="60" w:line="240" w:lineRule="atLeast"/>
              <w:rPr>
                <w:rFonts w:cs="Arial"/>
                <w:sz w:val="18"/>
                <w:szCs w:val="18"/>
                <w:lang w:val="bg-BG"/>
              </w:rPr>
            </w:pPr>
            <w:r w:rsidRPr="009072DA">
              <w:rPr>
                <w:sz w:val="18"/>
                <w:lang w:val="bg-BG"/>
              </w:rPr>
              <w:t xml:space="preserve">Алармени системи и системи за безопасност за механични инсталации </w:t>
            </w:r>
          </w:p>
        </w:tc>
        <w:tc>
          <w:tcPr>
            <w:tcW w:w="6521"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B74390">
            <w:pPr>
              <w:spacing w:before="60" w:after="60" w:line="240" w:lineRule="atLeast"/>
              <w:jc w:val="center"/>
              <w:rPr>
                <w:rFonts w:cs="Arial"/>
                <w:sz w:val="18"/>
                <w:szCs w:val="18"/>
                <w:lang w:val="bg-BG"/>
              </w:rPr>
            </w:pPr>
            <w:r w:rsidRPr="009072DA">
              <w:rPr>
                <w:sz w:val="18"/>
                <w:lang w:val="bg-BG"/>
              </w:rPr>
              <w:t>1.1.2015 г.</w:t>
            </w:r>
          </w:p>
        </w:tc>
      </w:tr>
      <w:tr w:rsidR="00C01A94" w:rsidRPr="009072DA" w:rsidTr="00196FBC">
        <w:trPr>
          <w:cantSplit/>
          <w:jc w:val="center"/>
        </w:trPr>
        <w:tc>
          <w:tcPr>
            <w:tcW w:w="1342"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10.20</w:t>
            </w:r>
          </w:p>
        </w:tc>
        <w:tc>
          <w:tcPr>
            <w:tcW w:w="1458" w:type="dxa"/>
            <w:shd w:val="clear" w:color="auto" w:fill="auto"/>
          </w:tcPr>
          <w:p w:rsidR="00C01A94" w:rsidRPr="009072DA" w:rsidRDefault="00C01A94" w:rsidP="00B74390">
            <w:pPr>
              <w:spacing w:before="60" w:after="60" w:line="240" w:lineRule="atLeast"/>
              <w:rPr>
                <w:rFonts w:cs="Arial"/>
                <w:sz w:val="18"/>
                <w:szCs w:val="18"/>
                <w:lang w:val="bg-BG"/>
              </w:rPr>
            </w:pPr>
          </w:p>
        </w:tc>
        <w:tc>
          <w:tcPr>
            <w:tcW w:w="3296" w:type="dxa"/>
            <w:shd w:val="clear" w:color="auto" w:fill="auto"/>
          </w:tcPr>
          <w:p w:rsidR="00C01A94" w:rsidRPr="009072DA" w:rsidRDefault="00C01A94" w:rsidP="00B74390">
            <w:pPr>
              <w:adjustRightInd w:val="0"/>
              <w:spacing w:before="60" w:after="60" w:line="240" w:lineRule="atLeast"/>
              <w:rPr>
                <w:rFonts w:cs="Arial"/>
                <w:sz w:val="18"/>
                <w:szCs w:val="18"/>
                <w:lang w:val="bg-BG"/>
              </w:rPr>
            </w:pPr>
            <w:r w:rsidRPr="009072DA">
              <w:rPr>
                <w:sz w:val="18"/>
                <w:lang w:val="bg-BG"/>
              </w:rPr>
              <w:t>Условия на изпитване на електронни съоръжения</w:t>
            </w:r>
          </w:p>
        </w:tc>
        <w:tc>
          <w:tcPr>
            <w:tcW w:w="6521"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B74390">
            <w:pPr>
              <w:spacing w:before="60" w:after="60" w:line="240" w:lineRule="atLeast"/>
              <w:jc w:val="center"/>
              <w:rPr>
                <w:rFonts w:cs="Arial"/>
                <w:sz w:val="18"/>
                <w:szCs w:val="18"/>
                <w:lang w:val="bg-BG"/>
              </w:rPr>
            </w:pPr>
            <w:r w:rsidRPr="009072DA">
              <w:rPr>
                <w:sz w:val="18"/>
                <w:lang w:val="bg-BG"/>
              </w:rPr>
              <w:t>1.1.2035 г.</w:t>
            </w:r>
          </w:p>
        </w:tc>
      </w:tr>
      <w:tr w:rsidR="00C01A94" w:rsidRPr="009072DA" w:rsidTr="00196FBC">
        <w:trPr>
          <w:cantSplit/>
          <w:jc w:val="center"/>
        </w:trPr>
        <w:tc>
          <w:tcPr>
            <w:tcW w:w="1342"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10.21</w:t>
            </w:r>
          </w:p>
        </w:tc>
        <w:tc>
          <w:tcPr>
            <w:tcW w:w="1458" w:type="dxa"/>
            <w:shd w:val="clear" w:color="auto" w:fill="auto"/>
          </w:tcPr>
          <w:p w:rsidR="00C01A94" w:rsidRPr="009072DA" w:rsidRDefault="00C01A94" w:rsidP="00B74390">
            <w:pPr>
              <w:spacing w:before="60" w:after="60" w:line="240" w:lineRule="atLeast"/>
              <w:rPr>
                <w:rFonts w:cs="Arial"/>
                <w:sz w:val="18"/>
                <w:szCs w:val="18"/>
                <w:lang w:val="bg-BG"/>
              </w:rPr>
            </w:pPr>
          </w:p>
        </w:tc>
        <w:tc>
          <w:tcPr>
            <w:tcW w:w="3296" w:type="dxa"/>
            <w:shd w:val="clear" w:color="auto" w:fill="auto"/>
          </w:tcPr>
          <w:p w:rsidR="00C01A94" w:rsidRPr="009072DA" w:rsidRDefault="00C01A94" w:rsidP="00B74390">
            <w:pPr>
              <w:adjustRightInd w:val="0"/>
              <w:spacing w:before="60" w:after="60" w:line="240" w:lineRule="atLeast"/>
              <w:rPr>
                <w:rFonts w:cs="Arial"/>
                <w:sz w:val="18"/>
                <w:szCs w:val="18"/>
                <w:lang w:val="bg-BG"/>
              </w:rPr>
            </w:pPr>
            <w:r w:rsidRPr="009072DA">
              <w:rPr>
                <w:sz w:val="18"/>
                <w:lang w:val="bg-BG"/>
              </w:rPr>
              <w:t>Електромагнитна съвместимост</w:t>
            </w:r>
          </w:p>
        </w:tc>
        <w:tc>
          <w:tcPr>
            <w:tcW w:w="6521"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60" w:after="60" w:line="240" w:lineRule="atLeast"/>
              <w:jc w:val="center"/>
              <w:rPr>
                <w:rFonts w:cs="Arial"/>
                <w:sz w:val="18"/>
                <w:szCs w:val="18"/>
                <w:lang w:val="bg-BG"/>
              </w:rPr>
            </w:pPr>
            <w:r w:rsidRPr="009072DA">
              <w:rPr>
                <w:sz w:val="18"/>
                <w:lang w:val="bg-BG"/>
              </w:rPr>
              <w:t>1.1.2035 г.</w:t>
            </w:r>
          </w:p>
        </w:tc>
      </w:tr>
      <w:tr w:rsidR="00C01A94" w:rsidRPr="009072DA" w:rsidTr="00196FBC">
        <w:trPr>
          <w:cantSplit/>
          <w:jc w:val="center"/>
        </w:trPr>
        <w:tc>
          <w:tcPr>
            <w:tcW w:w="6096" w:type="dxa"/>
            <w:gridSpan w:val="3"/>
            <w:shd w:val="clear" w:color="auto" w:fill="auto"/>
          </w:tcPr>
          <w:p w:rsidR="00C01A94" w:rsidRPr="009072DA" w:rsidRDefault="00C01A94" w:rsidP="00B74390">
            <w:pPr>
              <w:spacing w:before="60" w:after="60" w:line="240" w:lineRule="atLeast"/>
              <w:jc w:val="center"/>
              <w:rPr>
                <w:rFonts w:cs="Arial"/>
                <w:sz w:val="18"/>
                <w:szCs w:val="18"/>
                <w:lang w:val="bg-BG"/>
              </w:rPr>
            </w:pPr>
            <w:r w:rsidRPr="009072DA">
              <w:rPr>
                <w:b/>
                <w:sz w:val="18"/>
                <w:lang w:val="bg-BG"/>
              </w:rPr>
              <w:t>ГЛАВА 13</w:t>
            </w:r>
          </w:p>
        </w:tc>
        <w:tc>
          <w:tcPr>
            <w:tcW w:w="6521" w:type="dxa"/>
            <w:shd w:val="clear" w:color="auto" w:fill="auto"/>
          </w:tcPr>
          <w:p w:rsidR="00C01A94" w:rsidRPr="009072DA" w:rsidRDefault="00C01A94" w:rsidP="00B74390">
            <w:pPr>
              <w:spacing w:before="60" w:after="60" w:line="240" w:lineRule="atLeast"/>
              <w:rPr>
                <w:rFonts w:cs="Arial"/>
                <w:sz w:val="18"/>
                <w:szCs w:val="18"/>
                <w:lang w:val="bg-BG"/>
              </w:rPr>
            </w:pPr>
          </w:p>
        </w:tc>
        <w:tc>
          <w:tcPr>
            <w:tcW w:w="1276" w:type="dxa"/>
            <w:shd w:val="clear" w:color="auto" w:fill="auto"/>
          </w:tcPr>
          <w:p w:rsidR="00C01A94" w:rsidRPr="009072DA" w:rsidRDefault="00C01A94" w:rsidP="00B74390">
            <w:pPr>
              <w:spacing w:before="60" w:after="60" w:line="240" w:lineRule="atLeast"/>
              <w:rPr>
                <w:rFonts w:cs="Arial"/>
                <w:sz w:val="18"/>
                <w:szCs w:val="18"/>
                <w:lang w:val="bg-BG"/>
              </w:rPr>
            </w:pPr>
          </w:p>
        </w:tc>
      </w:tr>
      <w:tr w:rsidR="00C01A94" w:rsidRPr="009072DA" w:rsidTr="00196FBC">
        <w:trPr>
          <w:cantSplit/>
          <w:jc w:val="center"/>
        </w:trPr>
        <w:tc>
          <w:tcPr>
            <w:tcW w:w="1342" w:type="dxa"/>
            <w:tcBorders>
              <w:bottom w:val="single" w:sz="4" w:space="0" w:color="auto"/>
            </w:tcBorders>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13.01</w:t>
            </w:r>
          </w:p>
        </w:tc>
        <w:tc>
          <w:tcPr>
            <w:tcW w:w="1458" w:type="dxa"/>
            <w:shd w:val="clear" w:color="auto" w:fill="auto"/>
          </w:tcPr>
          <w:p w:rsidR="00C01A94" w:rsidRPr="009072DA" w:rsidRDefault="00C01A94" w:rsidP="00B74390">
            <w:pPr>
              <w:spacing w:before="60" w:after="60" w:line="240" w:lineRule="atLeast"/>
              <w:rPr>
                <w:rFonts w:cs="Arial"/>
                <w:sz w:val="18"/>
                <w:szCs w:val="18"/>
                <w:lang w:val="bg-BG"/>
              </w:rPr>
            </w:pPr>
          </w:p>
        </w:tc>
        <w:tc>
          <w:tcPr>
            <w:tcW w:w="3296"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Котвено оборудване</w:t>
            </w:r>
          </w:p>
        </w:tc>
        <w:tc>
          <w:tcPr>
            <w:tcW w:w="6521"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1.1.2010 г.</w:t>
            </w:r>
          </w:p>
        </w:tc>
      </w:tr>
      <w:tr w:rsidR="00C01A94" w:rsidRPr="008D2440" w:rsidTr="0063563D">
        <w:trPr>
          <w:cantSplit/>
          <w:jc w:val="center"/>
        </w:trPr>
        <w:tc>
          <w:tcPr>
            <w:tcW w:w="1342" w:type="dxa"/>
            <w:tcBorders>
              <w:bottom w:val="nil"/>
            </w:tcBorders>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13.02</w:t>
            </w:r>
          </w:p>
        </w:tc>
        <w:tc>
          <w:tcPr>
            <w:tcW w:w="1458" w:type="dxa"/>
            <w:tcBorders>
              <w:bottom w:val="single" w:sz="4" w:space="0" w:color="auto"/>
            </w:tcBorders>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Точка 2, буква б)</w:t>
            </w:r>
          </w:p>
        </w:tc>
        <w:tc>
          <w:tcPr>
            <w:tcW w:w="3296" w:type="dxa"/>
            <w:tcBorders>
              <w:bottom w:val="single" w:sz="4" w:space="0" w:color="auto"/>
            </w:tcBorders>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Бутилки, изработени от стомана или друг устойчив, незапалим материал с вместимост най-малко 10 l</w:t>
            </w:r>
          </w:p>
        </w:tc>
        <w:tc>
          <w:tcPr>
            <w:tcW w:w="6521"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C01A94" w:rsidRPr="009072DA" w:rsidRDefault="00C01A94" w:rsidP="00B74390">
            <w:pPr>
              <w:spacing w:before="60" w:after="60" w:line="240" w:lineRule="atLeast"/>
              <w:rPr>
                <w:rFonts w:cs="Arial"/>
                <w:sz w:val="18"/>
                <w:szCs w:val="18"/>
                <w:lang w:val="bg-BG"/>
              </w:rPr>
            </w:pPr>
          </w:p>
        </w:tc>
      </w:tr>
      <w:tr w:rsidR="00C01A94" w:rsidRPr="009072DA" w:rsidTr="00196FBC">
        <w:trPr>
          <w:cantSplit/>
          <w:jc w:val="center"/>
        </w:trPr>
        <w:tc>
          <w:tcPr>
            <w:tcW w:w="1342" w:type="dxa"/>
            <w:tcBorders>
              <w:bottom w:val="nil"/>
            </w:tcBorders>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13.03</w:t>
            </w:r>
          </w:p>
        </w:tc>
        <w:tc>
          <w:tcPr>
            <w:tcW w:w="1458"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Точка 1</w:t>
            </w:r>
          </w:p>
        </w:tc>
        <w:tc>
          <w:tcPr>
            <w:tcW w:w="3296"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Европейски стандарт</w:t>
            </w:r>
          </w:p>
        </w:tc>
        <w:tc>
          <w:tcPr>
            <w:tcW w:w="6521"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1.1.2010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60" w:after="60" w:line="240" w:lineRule="atLeast"/>
              <w:rPr>
                <w:rFonts w:cs="Arial"/>
                <w:sz w:val="18"/>
                <w:szCs w:val="18"/>
                <w:lang w:val="bg-BG"/>
              </w:rPr>
            </w:pPr>
          </w:p>
        </w:tc>
        <w:tc>
          <w:tcPr>
            <w:tcW w:w="1458"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Пригодност за пожари от клас А, В и С</w:t>
            </w:r>
          </w:p>
        </w:tc>
        <w:tc>
          <w:tcPr>
            <w:tcW w:w="6521"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1.1.2010 г.</w:t>
            </w:r>
          </w:p>
        </w:tc>
      </w:tr>
      <w:tr w:rsidR="00C01A94" w:rsidRPr="009072DA" w:rsidTr="00196FBC">
        <w:trPr>
          <w:cantSplit/>
          <w:jc w:val="center"/>
        </w:trPr>
        <w:tc>
          <w:tcPr>
            <w:tcW w:w="1342" w:type="dxa"/>
            <w:tcBorders>
              <w:top w:val="nil"/>
            </w:tcBorders>
            <w:shd w:val="clear" w:color="auto" w:fill="auto"/>
          </w:tcPr>
          <w:p w:rsidR="00C01A94" w:rsidRPr="009072DA" w:rsidRDefault="00C01A94" w:rsidP="00B74390">
            <w:pPr>
              <w:spacing w:before="60" w:after="60" w:line="240" w:lineRule="atLeast"/>
              <w:rPr>
                <w:rFonts w:cs="Arial"/>
                <w:sz w:val="18"/>
                <w:szCs w:val="18"/>
                <w:lang w:val="bg-BG"/>
              </w:rPr>
            </w:pPr>
          </w:p>
        </w:tc>
        <w:tc>
          <w:tcPr>
            <w:tcW w:w="1458"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Съотношение на съдържанието на СО</w:t>
            </w:r>
            <w:r w:rsidRPr="009072DA">
              <w:rPr>
                <w:sz w:val="18"/>
                <w:vertAlign w:val="subscript"/>
                <w:lang w:val="bg-BG"/>
              </w:rPr>
              <w:t>2</w:t>
            </w:r>
            <w:r w:rsidRPr="009072DA">
              <w:rPr>
                <w:sz w:val="18"/>
                <w:lang w:val="bg-BG"/>
              </w:rPr>
              <w:t xml:space="preserve"> и размера на помещението</w:t>
            </w:r>
          </w:p>
        </w:tc>
        <w:tc>
          <w:tcPr>
            <w:tcW w:w="6521"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60" w:after="60" w:line="240" w:lineRule="atLeast"/>
              <w:rPr>
                <w:rFonts w:cs="Arial"/>
                <w:sz w:val="18"/>
                <w:szCs w:val="18"/>
                <w:lang w:val="bg-BG"/>
              </w:rPr>
            </w:pPr>
            <w:r w:rsidRPr="009072DA">
              <w:rPr>
                <w:sz w:val="18"/>
                <w:lang w:val="bg-BG"/>
              </w:rPr>
              <w:t>1.1.2010 г.</w:t>
            </w:r>
          </w:p>
        </w:tc>
      </w:tr>
      <w:tr w:rsidR="00C01A94" w:rsidRPr="009072DA" w:rsidTr="00196FBC">
        <w:trPr>
          <w:cantSplit/>
          <w:jc w:val="center"/>
        </w:trPr>
        <w:tc>
          <w:tcPr>
            <w:tcW w:w="1342"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lastRenderedPageBreak/>
              <w:t>13.04</w:t>
            </w: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p>
        </w:tc>
        <w:tc>
          <w:tcPr>
            <w:tcW w:w="329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Постоянно монтирани противопожарни системи в жилищните помещения, рулевите рубки и помещенията за пътници</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1.1.2035 г.</w:t>
            </w:r>
          </w:p>
        </w:tc>
      </w:tr>
      <w:tr w:rsidR="00C01A94" w:rsidRPr="008D2440" w:rsidTr="00196FBC">
        <w:trPr>
          <w:cantSplit/>
          <w:jc w:val="center"/>
        </w:trPr>
        <w:tc>
          <w:tcPr>
            <w:tcW w:w="1342" w:type="dxa"/>
            <w:shd w:val="clear" w:color="auto" w:fill="auto"/>
          </w:tcPr>
          <w:p w:rsidR="00C01A94" w:rsidRPr="009072DA" w:rsidRDefault="00C01A94" w:rsidP="00B74390">
            <w:pPr>
              <w:spacing w:before="160" w:after="160" w:line="240" w:lineRule="atLeast"/>
              <w:rPr>
                <w:rFonts w:cs="Arial"/>
                <w:sz w:val="18"/>
                <w:szCs w:val="18"/>
                <w:lang w:val="bg-BG"/>
              </w:rPr>
            </w:pPr>
            <w:r w:rsidRPr="009072DA">
              <w:rPr>
                <w:sz w:val="18"/>
                <w:lang w:val="bg-BG"/>
              </w:rPr>
              <w:lastRenderedPageBreak/>
              <w:t>13.05</w:t>
            </w:r>
          </w:p>
        </w:tc>
        <w:tc>
          <w:tcPr>
            <w:tcW w:w="1458" w:type="dxa"/>
            <w:shd w:val="clear" w:color="auto" w:fill="auto"/>
          </w:tcPr>
          <w:p w:rsidR="00C01A94" w:rsidRPr="009072DA" w:rsidRDefault="00C01A94" w:rsidP="00B74390">
            <w:pPr>
              <w:spacing w:before="160" w:after="160" w:line="240" w:lineRule="atLeast"/>
              <w:rPr>
                <w:rFonts w:cs="Arial"/>
                <w:sz w:val="18"/>
                <w:szCs w:val="18"/>
                <w:lang w:val="bg-BG"/>
              </w:rPr>
            </w:pPr>
          </w:p>
        </w:tc>
        <w:tc>
          <w:tcPr>
            <w:tcW w:w="3296" w:type="dxa"/>
            <w:shd w:val="clear" w:color="auto" w:fill="auto"/>
          </w:tcPr>
          <w:p w:rsidR="00C01A94" w:rsidRPr="009072DA" w:rsidRDefault="00C01A94" w:rsidP="00B74390">
            <w:pPr>
              <w:spacing w:before="160" w:after="160" w:line="240" w:lineRule="atLeast"/>
              <w:rPr>
                <w:rFonts w:cs="Arial"/>
                <w:sz w:val="18"/>
                <w:szCs w:val="18"/>
                <w:lang w:val="bg-BG"/>
              </w:rPr>
            </w:pPr>
            <w:r w:rsidRPr="009072DA">
              <w:rPr>
                <w:sz w:val="18"/>
                <w:lang w:val="bg-BG"/>
              </w:rPr>
              <w:t>Постоянно монтирани противопожарни системи в машинните, котелните и помпените отделения</w:t>
            </w:r>
          </w:p>
        </w:tc>
        <w:tc>
          <w:tcPr>
            <w:tcW w:w="6521" w:type="dxa"/>
            <w:shd w:val="clear" w:color="auto" w:fill="auto"/>
          </w:tcPr>
          <w:p w:rsidR="00C01A94" w:rsidRPr="009072DA" w:rsidRDefault="00C01A94" w:rsidP="00B74390">
            <w:pPr>
              <w:shd w:val="clear" w:color="auto" w:fill="FFFFFF"/>
              <w:tabs>
                <w:tab w:val="left" w:pos="263"/>
              </w:tabs>
              <w:spacing w:before="160" w:after="160" w:line="240" w:lineRule="atLeast"/>
              <w:ind w:left="263" w:hanging="263"/>
              <w:rPr>
                <w:rFonts w:cs="Arial"/>
                <w:sz w:val="18"/>
                <w:szCs w:val="18"/>
                <w:lang w:val="bg-BG"/>
              </w:rPr>
            </w:pPr>
            <w:r w:rsidRPr="009072DA">
              <w:rPr>
                <w:sz w:val="18"/>
                <w:lang w:val="bg-BG"/>
              </w:rPr>
              <w:t>a)</w:t>
            </w:r>
            <w:r w:rsidRPr="009072DA">
              <w:rPr>
                <w:lang w:val="bg-BG"/>
              </w:rPr>
              <w:tab/>
            </w:r>
            <w:r w:rsidRPr="009072DA">
              <w:rPr>
                <w:sz w:val="18"/>
                <w:lang w:val="bg-BG"/>
              </w:rPr>
              <w:t>Постоянните противопожарни системи с използване на СО</w:t>
            </w:r>
            <w:r w:rsidRPr="009072DA">
              <w:rPr>
                <w:sz w:val="18"/>
                <w:vertAlign w:val="subscript"/>
                <w:lang w:val="bg-BG"/>
              </w:rPr>
              <w:t>2</w:t>
            </w:r>
            <w:r w:rsidRPr="009072DA">
              <w:rPr>
                <w:sz w:val="18"/>
                <w:lang w:val="bg-BG"/>
              </w:rPr>
              <w:t>, монтирани преди 1 октомври 1980 г., могат да останат в употреба до подновяване на удостоверението на плавателния съд за плаване по вътрешни водни пътища след 1.1.2035 г., ако отговарят на изискванията на член 7.03, точка 5 от Правилата за инспекция на плавателните съдове по река Рейн в сила от 1 април 1976 г. (Протокол 1975.I.23 на ЦККР).</w:t>
            </w:r>
          </w:p>
          <w:p w:rsidR="00C01A94" w:rsidRPr="009072DA" w:rsidRDefault="00C01A94" w:rsidP="00B74390">
            <w:pPr>
              <w:pStyle w:val="BodyTextIndent"/>
              <w:shd w:val="clear" w:color="auto" w:fill="FFFFFF"/>
              <w:tabs>
                <w:tab w:val="left" w:pos="263"/>
              </w:tabs>
              <w:spacing w:before="160" w:after="160" w:line="240" w:lineRule="atLeast"/>
              <w:ind w:left="263" w:hanging="263"/>
              <w:rPr>
                <w:rFonts w:cs="Arial"/>
                <w:sz w:val="18"/>
                <w:szCs w:val="18"/>
                <w:lang w:val="bg-BG"/>
              </w:rPr>
            </w:pPr>
            <w:r w:rsidRPr="009072DA">
              <w:rPr>
                <w:sz w:val="18"/>
                <w:lang w:val="bg-BG"/>
              </w:rPr>
              <w:t>б)</w:t>
            </w:r>
            <w:r w:rsidRPr="009072DA">
              <w:rPr>
                <w:lang w:val="bg-BG"/>
              </w:rPr>
              <w:tab/>
            </w:r>
            <w:r w:rsidRPr="009072DA">
              <w:rPr>
                <w:sz w:val="18"/>
                <w:lang w:val="bg-BG"/>
              </w:rPr>
              <w:t>Постоянните противопожарни системи с използване на СО</w:t>
            </w:r>
            <w:r w:rsidRPr="009072DA">
              <w:rPr>
                <w:sz w:val="18"/>
                <w:vertAlign w:val="subscript"/>
                <w:lang w:val="bg-BG"/>
              </w:rPr>
              <w:t>2</w:t>
            </w:r>
            <w:r w:rsidRPr="009072DA">
              <w:rPr>
                <w:sz w:val="18"/>
                <w:lang w:val="bg-BG"/>
              </w:rPr>
              <w:t xml:space="preserve">, монтирани между 1 април 1992 г. и 31 декември 1994 г., могат да останат в употреба до подновяване на удостоверението на плавателния съд за плаване по вътрешни водни пътища след 1.1.2035 г., ако отговарят на изискванията на член 7.03, точка 5 от Правилата за инспекция на плавателните съдове по река Рейн в сила от 31 декември 1994 г. </w:t>
            </w:r>
          </w:p>
          <w:p w:rsidR="00C01A94" w:rsidRPr="009072DA" w:rsidRDefault="00C01A94" w:rsidP="00B74390">
            <w:pPr>
              <w:pStyle w:val="FootnoteText"/>
              <w:tabs>
                <w:tab w:val="left" w:pos="263"/>
              </w:tabs>
              <w:spacing w:before="160" w:after="160" w:line="240" w:lineRule="atLeast"/>
              <w:ind w:left="263" w:hanging="263"/>
              <w:rPr>
                <w:rFonts w:cs="Arial"/>
                <w:sz w:val="18"/>
                <w:szCs w:val="18"/>
                <w:lang w:val="bg-BG"/>
              </w:rPr>
            </w:pPr>
            <w:r w:rsidRPr="009072DA">
              <w:rPr>
                <w:sz w:val="18"/>
                <w:lang w:val="bg-BG"/>
              </w:rPr>
              <w:t>в)</w:t>
            </w:r>
            <w:r w:rsidRPr="009072DA">
              <w:rPr>
                <w:lang w:val="bg-BG"/>
              </w:rPr>
              <w:tab/>
            </w:r>
            <w:r w:rsidRPr="009072DA">
              <w:rPr>
                <w:sz w:val="18"/>
                <w:lang w:val="bg-BG"/>
              </w:rPr>
              <w:t>Препоръките на ЦККР, издадени между 1 април 1992 г. и 31 декември 1994 г. относно член 7.03, точка 5 от Правилата за инспекция на плавателните съдове по река Рейн в сила от 31 декември 1994 г., остават в сила до подновяване на удостоверението на плавателния съд за плаване по вътрешни водни пътища след 1.1.2035 г.</w:t>
            </w:r>
          </w:p>
          <w:p w:rsidR="00C01A94" w:rsidRPr="009072DA" w:rsidRDefault="00C01A94" w:rsidP="00B74390">
            <w:pPr>
              <w:pStyle w:val="FootnoteText"/>
              <w:shd w:val="clear" w:color="auto" w:fill="FFFFFF"/>
              <w:tabs>
                <w:tab w:val="left" w:pos="263"/>
              </w:tabs>
              <w:spacing w:before="160" w:after="160" w:line="240" w:lineRule="atLeast"/>
              <w:ind w:left="263" w:hanging="263"/>
              <w:rPr>
                <w:rFonts w:cs="Arial"/>
                <w:sz w:val="18"/>
                <w:szCs w:val="18"/>
                <w:lang w:val="bg-BG"/>
              </w:rPr>
            </w:pPr>
            <w:r w:rsidRPr="009072DA">
              <w:rPr>
                <w:sz w:val="18"/>
                <w:lang w:val="bg-BG"/>
              </w:rPr>
              <w:t>г)</w:t>
            </w:r>
            <w:r w:rsidRPr="009072DA">
              <w:rPr>
                <w:lang w:val="bg-BG"/>
              </w:rPr>
              <w:tab/>
            </w:r>
            <w:r w:rsidRPr="009072DA">
              <w:rPr>
                <w:sz w:val="18"/>
                <w:lang w:val="bg-BG"/>
              </w:rPr>
              <w:t>Член 13.05, точка 2, буква a) се прилага само до подновяване на удостоверението на плавателния съд за плаване по вътрешни водни пътища след 1.1.2035 г., ако тези инсталации са монтирани на плавателни съдове, изградени след 1 октомври 1992 г.</w:t>
            </w:r>
          </w:p>
        </w:tc>
        <w:tc>
          <w:tcPr>
            <w:tcW w:w="1276" w:type="dxa"/>
            <w:shd w:val="clear" w:color="auto" w:fill="auto"/>
          </w:tcPr>
          <w:p w:rsidR="00C01A94" w:rsidRPr="009072DA" w:rsidRDefault="00C01A94" w:rsidP="00B74390">
            <w:pPr>
              <w:spacing w:before="160" w:after="160" w:line="240" w:lineRule="atLeast"/>
              <w:rPr>
                <w:rFonts w:cs="Arial"/>
                <w:sz w:val="18"/>
                <w:szCs w:val="18"/>
                <w:lang w:val="bg-BG"/>
              </w:rPr>
            </w:pPr>
          </w:p>
        </w:tc>
      </w:tr>
      <w:tr w:rsidR="00C01A94" w:rsidRPr="009072DA" w:rsidTr="00C01A94">
        <w:trPr>
          <w:cantSplit/>
          <w:jc w:val="center"/>
        </w:trPr>
        <w:tc>
          <w:tcPr>
            <w:tcW w:w="1342" w:type="dxa"/>
            <w:tcBorders>
              <w:bottom w:val="single" w:sz="4" w:space="0" w:color="auto"/>
            </w:tcBorders>
            <w:shd w:val="clear" w:color="auto" w:fill="auto"/>
          </w:tcPr>
          <w:p w:rsidR="00C01A94" w:rsidRPr="009072DA" w:rsidRDefault="00C01A94" w:rsidP="00B74390">
            <w:pPr>
              <w:spacing w:before="240" w:after="240" w:line="240" w:lineRule="atLeast"/>
              <w:rPr>
                <w:rFonts w:cs="Arial"/>
                <w:sz w:val="18"/>
                <w:szCs w:val="18"/>
                <w:lang w:val="bg-BG"/>
              </w:rPr>
            </w:pPr>
            <w:r w:rsidRPr="009072DA">
              <w:rPr>
                <w:sz w:val="18"/>
                <w:lang w:val="bg-BG"/>
              </w:rPr>
              <w:t>13.07</w:t>
            </w:r>
            <w:r w:rsidRPr="009072DA">
              <w:rPr>
                <w:color w:val="000000"/>
                <w:sz w:val="18"/>
                <w:vertAlign w:val="superscript"/>
                <w:lang w:val="bg-BG"/>
              </w:rPr>
              <w:footnoteReference w:id="27"/>
            </w:r>
          </w:p>
        </w:tc>
        <w:tc>
          <w:tcPr>
            <w:tcW w:w="1458" w:type="dxa"/>
            <w:tcBorders>
              <w:bottom w:val="single" w:sz="4" w:space="0" w:color="auto"/>
            </w:tcBorders>
            <w:shd w:val="clear" w:color="auto" w:fill="auto"/>
          </w:tcPr>
          <w:p w:rsidR="00C01A94" w:rsidRPr="009072DA" w:rsidRDefault="00C01A94" w:rsidP="00B74390">
            <w:pPr>
              <w:spacing w:before="240" w:after="240" w:line="240" w:lineRule="atLeast"/>
              <w:rPr>
                <w:rFonts w:cs="Arial"/>
                <w:sz w:val="18"/>
                <w:szCs w:val="18"/>
                <w:lang w:val="bg-BG"/>
              </w:rPr>
            </w:pPr>
          </w:p>
        </w:tc>
        <w:tc>
          <w:tcPr>
            <w:tcW w:w="3296" w:type="dxa"/>
            <w:tcBorders>
              <w:bottom w:val="single" w:sz="4" w:space="0" w:color="auto"/>
            </w:tcBorders>
            <w:shd w:val="clear" w:color="auto" w:fill="auto"/>
          </w:tcPr>
          <w:p w:rsidR="00C01A94" w:rsidRPr="009072DA" w:rsidRDefault="00C01A94" w:rsidP="00B74390">
            <w:pPr>
              <w:spacing w:before="240" w:after="240" w:line="240" w:lineRule="atLeast"/>
              <w:rPr>
                <w:rFonts w:cs="Arial"/>
                <w:sz w:val="18"/>
                <w:szCs w:val="18"/>
                <w:lang w:val="bg-BG"/>
              </w:rPr>
            </w:pPr>
            <w:r w:rsidRPr="009072DA">
              <w:rPr>
                <w:sz w:val="18"/>
                <w:lang w:val="bg-BG"/>
              </w:rPr>
              <w:t>Прилагане на европейския стандарт за корабна лодка</w:t>
            </w:r>
          </w:p>
        </w:tc>
        <w:tc>
          <w:tcPr>
            <w:tcW w:w="6521" w:type="dxa"/>
            <w:shd w:val="clear" w:color="auto" w:fill="auto"/>
          </w:tcPr>
          <w:p w:rsidR="00C01A94" w:rsidRPr="009072DA" w:rsidRDefault="00C01A94" w:rsidP="00B74390">
            <w:pPr>
              <w:spacing w:before="240" w:after="2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240" w:after="240" w:line="240" w:lineRule="atLeast"/>
              <w:rPr>
                <w:rFonts w:cs="Arial"/>
                <w:sz w:val="18"/>
                <w:szCs w:val="18"/>
                <w:lang w:val="bg-BG"/>
              </w:rPr>
            </w:pPr>
            <w:r w:rsidRPr="009072DA">
              <w:rPr>
                <w:sz w:val="18"/>
                <w:lang w:val="bg-BG"/>
              </w:rPr>
              <w:t>1.1.2020 г.</w:t>
            </w:r>
          </w:p>
        </w:tc>
      </w:tr>
      <w:tr w:rsidR="00C01A94" w:rsidRPr="009072DA" w:rsidTr="00C01A94">
        <w:trPr>
          <w:cantSplit/>
          <w:jc w:val="center"/>
        </w:trPr>
        <w:tc>
          <w:tcPr>
            <w:tcW w:w="1342" w:type="dxa"/>
            <w:tcBorders>
              <w:bottom w:val="nil"/>
            </w:tcBorders>
            <w:shd w:val="clear" w:color="auto" w:fill="auto"/>
          </w:tcPr>
          <w:p w:rsidR="00C01A94" w:rsidRPr="009072DA" w:rsidRDefault="00C01A94" w:rsidP="00B74390">
            <w:pPr>
              <w:spacing w:before="240" w:after="240" w:line="240" w:lineRule="atLeast"/>
              <w:rPr>
                <w:rFonts w:cs="Arial"/>
                <w:sz w:val="18"/>
                <w:szCs w:val="18"/>
                <w:lang w:val="bg-BG"/>
              </w:rPr>
            </w:pPr>
            <w:r w:rsidRPr="009072DA">
              <w:rPr>
                <w:sz w:val="18"/>
                <w:lang w:val="bg-BG"/>
              </w:rPr>
              <w:lastRenderedPageBreak/>
              <w:t>13.08</w:t>
            </w:r>
          </w:p>
        </w:tc>
        <w:tc>
          <w:tcPr>
            <w:tcW w:w="1458" w:type="dxa"/>
            <w:vMerge w:val="restart"/>
            <w:shd w:val="clear" w:color="auto" w:fill="auto"/>
          </w:tcPr>
          <w:p w:rsidR="00C01A94" w:rsidRPr="009072DA" w:rsidRDefault="00C01A94" w:rsidP="00B74390">
            <w:pPr>
              <w:spacing w:before="240" w:after="240" w:line="240" w:lineRule="atLeast"/>
              <w:rPr>
                <w:rFonts w:cs="Arial"/>
                <w:sz w:val="18"/>
                <w:szCs w:val="18"/>
                <w:lang w:val="bg-BG"/>
              </w:rPr>
            </w:pPr>
            <w:r w:rsidRPr="009072DA">
              <w:rPr>
                <w:sz w:val="18"/>
                <w:lang w:val="bg-BG"/>
              </w:rPr>
              <w:t>Точка 2</w:t>
            </w:r>
          </w:p>
        </w:tc>
        <w:tc>
          <w:tcPr>
            <w:tcW w:w="3296" w:type="dxa"/>
            <w:vMerge w:val="restart"/>
            <w:shd w:val="clear" w:color="auto" w:fill="auto"/>
          </w:tcPr>
          <w:p w:rsidR="00C01A94" w:rsidRPr="009072DA" w:rsidRDefault="00C01A94" w:rsidP="00B74390">
            <w:pPr>
              <w:spacing w:before="240" w:after="240" w:line="240" w:lineRule="atLeast"/>
              <w:rPr>
                <w:rFonts w:cs="Arial"/>
                <w:sz w:val="18"/>
                <w:szCs w:val="18"/>
                <w:lang w:val="bg-BG"/>
              </w:rPr>
            </w:pPr>
            <w:r w:rsidRPr="009072DA">
              <w:rPr>
                <w:sz w:val="18"/>
                <w:lang w:val="bg-BG"/>
              </w:rPr>
              <w:t>Надуваеми спасителни жилетки</w:t>
            </w:r>
          </w:p>
        </w:tc>
        <w:tc>
          <w:tcPr>
            <w:tcW w:w="6521" w:type="dxa"/>
            <w:shd w:val="clear" w:color="auto" w:fill="auto"/>
          </w:tcPr>
          <w:p w:rsidR="00C01A94" w:rsidRPr="009072DA" w:rsidRDefault="00C01A94" w:rsidP="00B74390">
            <w:pPr>
              <w:spacing w:before="240" w:after="2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240" w:after="240" w:line="240" w:lineRule="atLeast"/>
              <w:rPr>
                <w:rFonts w:cs="Arial"/>
                <w:sz w:val="18"/>
                <w:szCs w:val="18"/>
                <w:lang w:val="bg-BG"/>
              </w:rPr>
            </w:pPr>
            <w:r w:rsidRPr="009072DA">
              <w:rPr>
                <w:sz w:val="18"/>
                <w:lang w:val="bg-BG"/>
              </w:rPr>
              <w:t>1.1.2010 г.</w:t>
            </w:r>
          </w:p>
        </w:tc>
      </w:tr>
      <w:tr w:rsidR="00C01A94" w:rsidRPr="009072DA" w:rsidTr="00C01A94">
        <w:trPr>
          <w:cantSplit/>
          <w:jc w:val="center"/>
        </w:trPr>
        <w:tc>
          <w:tcPr>
            <w:tcW w:w="1342" w:type="dxa"/>
            <w:tcBorders>
              <w:top w:val="nil"/>
            </w:tcBorders>
            <w:shd w:val="clear" w:color="auto" w:fill="auto"/>
          </w:tcPr>
          <w:p w:rsidR="00C01A94" w:rsidRPr="009072DA" w:rsidRDefault="00C01A94" w:rsidP="00B74390">
            <w:pPr>
              <w:spacing w:before="240" w:after="240" w:line="240" w:lineRule="atLeast"/>
              <w:rPr>
                <w:rFonts w:cs="Arial"/>
                <w:sz w:val="18"/>
                <w:szCs w:val="18"/>
                <w:lang w:val="bg-BG"/>
              </w:rPr>
            </w:pPr>
          </w:p>
        </w:tc>
        <w:tc>
          <w:tcPr>
            <w:tcW w:w="1458" w:type="dxa"/>
            <w:vMerge/>
            <w:shd w:val="clear" w:color="auto" w:fill="auto"/>
          </w:tcPr>
          <w:p w:rsidR="00C01A94" w:rsidRPr="009072DA" w:rsidRDefault="00C01A94" w:rsidP="00B74390">
            <w:pPr>
              <w:spacing w:before="240" w:after="240" w:line="240" w:lineRule="atLeast"/>
              <w:rPr>
                <w:rFonts w:cs="Arial"/>
                <w:sz w:val="18"/>
                <w:szCs w:val="18"/>
                <w:lang w:val="bg-BG"/>
              </w:rPr>
            </w:pPr>
          </w:p>
        </w:tc>
        <w:tc>
          <w:tcPr>
            <w:tcW w:w="3296" w:type="dxa"/>
            <w:vMerge/>
            <w:shd w:val="clear" w:color="auto" w:fill="auto"/>
          </w:tcPr>
          <w:p w:rsidR="00C01A94" w:rsidRPr="009072DA" w:rsidRDefault="00C01A94" w:rsidP="00B74390">
            <w:pPr>
              <w:spacing w:before="240" w:after="240" w:line="240" w:lineRule="atLeast"/>
              <w:rPr>
                <w:rFonts w:cs="Arial"/>
                <w:sz w:val="18"/>
                <w:szCs w:val="18"/>
                <w:lang w:val="bg-BG"/>
              </w:rPr>
            </w:pPr>
          </w:p>
        </w:tc>
        <w:tc>
          <w:tcPr>
            <w:tcW w:w="6521" w:type="dxa"/>
            <w:shd w:val="clear" w:color="auto" w:fill="auto"/>
          </w:tcPr>
          <w:p w:rsidR="00C01A94" w:rsidRPr="009072DA" w:rsidRDefault="00C01A94" w:rsidP="00B74390">
            <w:pPr>
              <w:spacing w:before="240" w:after="240" w:line="240" w:lineRule="atLeast"/>
              <w:rPr>
                <w:rFonts w:cs="Arial"/>
                <w:sz w:val="18"/>
                <w:szCs w:val="18"/>
                <w:lang w:val="bg-BG"/>
              </w:rPr>
            </w:pPr>
            <w:r w:rsidRPr="009072DA">
              <w:rPr>
                <w:sz w:val="18"/>
                <w:lang w:val="bg-BG"/>
              </w:rPr>
              <w:t xml:space="preserve">Спасителните жилетки, които са се намирали на борда на 30.9.2003 г., могат да се използват до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B74390">
            <w:pPr>
              <w:spacing w:before="240" w:after="240" w:line="240" w:lineRule="atLeast"/>
              <w:rPr>
                <w:rFonts w:cs="Arial"/>
                <w:sz w:val="18"/>
                <w:szCs w:val="18"/>
                <w:lang w:val="bg-BG"/>
              </w:rPr>
            </w:pPr>
            <w:r w:rsidRPr="009072DA">
              <w:rPr>
                <w:sz w:val="18"/>
                <w:lang w:val="bg-BG"/>
              </w:rPr>
              <w:t>1.1.2010 г.</w:t>
            </w:r>
          </w:p>
        </w:tc>
      </w:tr>
      <w:tr w:rsidR="00C01A94" w:rsidRPr="009072DA" w:rsidTr="00E113D0">
        <w:trPr>
          <w:cantSplit/>
          <w:trHeight w:val="64"/>
          <w:jc w:val="center"/>
        </w:trPr>
        <w:tc>
          <w:tcPr>
            <w:tcW w:w="6096" w:type="dxa"/>
            <w:gridSpan w:val="3"/>
            <w:shd w:val="clear" w:color="auto" w:fill="auto"/>
          </w:tcPr>
          <w:p w:rsidR="00C01A94" w:rsidRPr="009072DA" w:rsidRDefault="00C01A94" w:rsidP="00B74390">
            <w:pPr>
              <w:spacing w:before="100" w:after="100" w:line="240" w:lineRule="atLeast"/>
              <w:jc w:val="center"/>
              <w:rPr>
                <w:rFonts w:cs="Arial"/>
                <w:sz w:val="18"/>
                <w:szCs w:val="18"/>
                <w:lang w:val="bg-BG"/>
              </w:rPr>
            </w:pPr>
            <w:r w:rsidRPr="009072DA">
              <w:rPr>
                <w:b/>
                <w:sz w:val="18"/>
                <w:lang w:val="bg-BG"/>
              </w:rPr>
              <w:t>ГЛАВА 14</w:t>
            </w:r>
          </w:p>
        </w:tc>
        <w:tc>
          <w:tcPr>
            <w:tcW w:w="6521" w:type="dxa"/>
            <w:shd w:val="clear" w:color="auto" w:fill="auto"/>
          </w:tcPr>
          <w:p w:rsidR="00C01A94" w:rsidRPr="009072DA" w:rsidRDefault="00C01A94" w:rsidP="00B74390">
            <w:pPr>
              <w:spacing w:before="100" w:after="100" w:line="240" w:lineRule="atLeast"/>
              <w:rPr>
                <w:rFonts w:cs="Arial"/>
                <w:sz w:val="18"/>
                <w:szCs w:val="18"/>
                <w:lang w:val="bg-BG"/>
              </w:rPr>
            </w:pPr>
          </w:p>
        </w:tc>
        <w:tc>
          <w:tcPr>
            <w:tcW w:w="1276" w:type="dxa"/>
            <w:shd w:val="clear" w:color="auto" w:fill="auto"/>
          </w:tcPr>
          <w:p w:rsidR="00C01A94" w:rsidRPr="009072DA" w:rsidRDefault="00C01A94" w:rsidP="00B74390">
            <w:pPr>
              <w:spacing w:before="100" w:after="100" w:line="240" w:lineRule="atLeast"/>
              <w:rPr>
                <w:rFonts w:cs="Arial"/>
                <w:sz w:val="18"/>
                <w:szCs w:val="18"/>
                <w:lang w:val="bg-BG"/>
              </w:rPr>
            </w:pPr>
          </w:p>
        </w:tc>
      </w:tr>
      <w:tr w:rsidR="00C01A94" w:rsidRPr="009072DA" w:rsidTr="00196FBC">
        <w:trPr>
          <w:cantSplit/>
          <w:jc w:val="center"/>
        </w:trPr>
        <w:tc>
          <w:tcPr>
            <w:tcW w:w="1342" w:type="dxa"/>
            <w:tcBorders>
              <w:bottom w:val="nil"/>
            </w:tcBorders>
            <w:shd w:val="clear" w:color="auto" w:fill="auto"/>
          </w:tcPr>
          <w:p w:rsidR="00C01A94" w:rsidRPr="009072DA" w:rsidRDefault="00C01A94" w:rsidP="00B74390">
            <w:pPr>
              <w:spacing w:before="100" w:after="100" w:line="240" w:lineRule="atLeast"/>
              <w:rPr>
                <w:rFonts w:cs="Arial"/>
                <w:sz w:val="18"/>
                <w:szCs w:val="18"/>
                <w:lang w:val="bg-BG"/>
              </w:rPr>
            </w:pPr>
            <w:r w:rsidRPr="009072DA">
              <w:rPr>
                <w:sz w:val="18"/>
                <w:lang w:val="bg-BG"/>
              </w:rPr>
              <w:t>14.02</w:t>
            </w:r>
          </w:p>
        </w:tc>
        <w:tc>
          <w:tcPr>
            <w:tcW w:w="1458" w:type="dxa"/>
            <w:tcBorders>
              <w:bottom w:val="nil"/>
            </w:tcBorders>
            <w:shd w:val="clear" w:color="auto" w:fill="auto"/>
          </w:tcPr>
          <w:p w:rsidR="00C01A94" w:rsidRPr="009072DA" w:rsidRDefault="00C01A94" w:rsidP="00B74390">
            <w:pPr>
              <w:spacing w:before="100" w:after="10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C01A94" w:rsidP="00B74390">
            <w:pPr>
              <w:spacing w:before="100" w:after="100" w:line="240" w:lineRule="atLeast"/>
              <w:rPr>
                <w:rFonts w:cs="Arial"/>
                <w:sz w:val="18"/>
                <w:szCs w:val="18"/>
                <w:lang w:val="bg-BG"/>
              </w:rPr>
            </w:pPr>
            <w:r w:rsidRPr="009072DA">
              <w:rPr>
                <w:sz w:val="18"/>
                <w:lang w:val="bg-BG"/>
              </w:rPr>
              <w:t>Оборудване на външните краища на палуби, палубните проходи и други работни места</w:t>
            </w:r>
          </w:p>
        </w:tc>
        <w:tc>
          <w:tcPr>
            <w:tcW w:w="6521" w:type="dxa"/>
            <w:shd w:val="clear" w:color="auto" w:fill="auto"/>
          </w:tcPr>
          <w:p w:rsidR="00C01A94" w:rsidRPr="009072DA" w:rsidRDefault="00C01A94" w:rsidP="00B74390">
            <w:pPr>
              <w:spacing w:before="100" w:after="100" w:line="240" w:lineRule="atLeast"/>
              <w:rPr>
                <w:rFonts w:cs="Arial"/>
                <w:sz w:val="18"/>
                <w:szCs w:val="18"/>
                <w:lang w:val="bg-BG"/>
              </w:rPr>
            </w:pPr>
            <w:r w:rsidRPr="009072DA">
              <w:rPr>
                <w:sz w:val="18"/>
                <w:lang w:val="bg-BG"/>
              </w:rPr>
              <w:t>НЗР</w:t>
            </w:r>
            <w:r w:rsidRPr="009072DA">
              <w:rPr>
                <w:rStyle w:val="FootnoteReference"/>
                <w:sz w:val="18"/>
                <w:lang w:val="bg-BG"/>
              </w:rPr>
              <w:footnoteReference w:id="28"/>
            </w:r>
            <w:r w:rsidRPr="009072DA">
              <w:rPr>
                <w:lang w:val="bg-BG"/>
              </w:rPr>
              <w:t>.</w:t>
            </w:r>
          </w:p>
        </w:tc>
        <w:tc>
          <w:tcPr>
            <w:tcW w:w="1276" w:type="dxa"/>
            <w:shd w:val="clear" w:color="auto" w:fill="auto"/>
          </w:tcPr>
          <w:p w:rsidR="00C01A94" w:rsidRPr="009072DA" w:rsidRDefault="00C01A94" w:rsidP="00B74390">
            <w:pPr>
              <w:spacing w:before="100" w:after="100" w:line="240" w:lineRule="atLeast"/>
              <w:rPr>
                <w:rFonts w:cs="Arial"/>
                <w:sz w:val="18"/>
                <w:szCs w:val="18"/>
                <w:lang w:val="bg-BG"/>
              </w:rPr>
            </w:pPr>
          </w:p>
        </w:tc>
      </w:tr>
      <w:tr w:rsidR="00C01A94" w:rsidRPr="009072DA" w:rsidTr="00196FBC">
        <w:trPr>
          <w:cantSplit/>
          <w:jc w:val="center"/>
        </w:trPr>
        <w:tc>
          <w:tcPr>
            <w:tcW w:w="1342" w:type="dxa"/>
            <w:tcBorders>
              <w:bottom w:val="nil"/>
            </w:tcBorders>
            <w:shd w:val="clear" w:color="auto" w:fill="auto"/>
          </w:tcPr>
          <w:p w:rsidR="00C01A94" w:rsidRPr="009072DA" w:rsidRDefault="00C01A94" w:rsidP="00B74390">
            <w:pPr>
              <w:spacing w:before="100" w:after="100" w:line="240" w:lineRule="atLeast"/>
              <w:rPr>
                <w:rFonts w:cs="Arial"/>
                <w:sz w:val="18"/>
                <w:szCs w:val="18"/>
                <w:lang w:val="bg-BG"/>
              </w:rPr>
            </w:pPr>
            <w:r w:rsidRPr="009072DA">
              <w:rPr>
                <w:sz w:val="18"/>
                <w:lang w:val="bg-BG"/>
              </w:rPr>
              <w:t>14.04</w:t>
            </w:r>
          </w:p>
        </w:tc>
        <w:tc>
          <w:tcPr>
            <w:tcW w:w="1458" w:type="dxa"/>
            <w:shd w:val="clear" w:color="auto" w:fill="auto"/>
          </w:tcPr>
          <w:p w:rsidR="00C01A94" w:rsidRPr="009072DA" w:rsidRDefault="00C01A94" w:rsidP="00B74390">
            <w:pPr>
              <w:spacing w:before="100" w:after="100" w:line="240" w:lineRule="atLeast"/>
              <w:rPr>
                <w:rFonts w:cs="Arial"/>
                <w:sz w:val="18"/>
                <w:szCs w:val="18"/>
                <w:lang w:val="bg-BG"/>
              </w:rPr>
            </w:pPr>
            <w:r w:rsidRPr="009072DA">
              <w:rPr>
                <w:sz w:val="18"/>
                <w:lang w:val="bg-BG"/>
              </w:rPr>
              <w:t>Точка 1</w:t>
            </w:r>
          </w:p>
        </w:tc>
        <w:tc>
          <w:tcPr>
            <w:tcW w:w="3296" w:type="dxa"/>
            <w:shd w:val="clear" w:color="auto" w:fill="auto"/>
          </w:tcPr>
          <w:p w:rsidR="00C01A94" w:rsidRPr="009072DA" w:rsidRDefault="00C01A94" w:rsidP="00B74390">
            <w:pPr>
              <w:spacing w:before="100" w:after="100" w:line="240" w:lineRule="atLeast"/>
              <w:rPr>
                <w:rFonts w:cs="Arial"/>
                <w:sz w:val="18"/>
                <w:szCs w:val="18"/>
                <w:lang w:val="bg-BG"/>
              </w:rPr>
            </w:pPr>
            <w:r w:rsidRPr="009072DA">
              <w:rPr>
                <w:sz w:val="18"/>
                <w:lang w:val="bg-BG"/>
              </w:rPr>
              <w:t>Габаритна ширина на палубните проходи</w:t>
            </w:r>
          </w:p>
        </w:tc>
        <w:tc>
          <w:tcPr>
            <w:tcW w:w="6521" w:type="dxa"/>
            <w:shd w:val="clear" w:color="auto" w:fill="auto"/>
          </w:tcPr>
          <w:p w:rsidR="00C01A94" w:rsidRPr="009072DA" w:rsidRDefault="00C01A94" w:rsidP="00B74390">
            <w:pPr>
              <w:spacing w:before="100" w:after="100" w:line="240" w:lineRule="atLeast"/>
              <w:rPr>
                <w:rFonts w:cs="Arial"/>
                <w:sz w:val="18"/>
                <w:szCs w:val="18"/>
                <w:lang w:val="bg-BG"/>
              </w:rPr>
            </w:pPr>
            <w:r w:rsidRPr="009072DA">
              <w:rPr>
                <w:sz w:val="18"/>
                <w:lang w:val="bg-BG"/>
              </w:rPr>
              <w:t xml:space="preserve">За плавателни съдове с </w:t>
            </w:r>
            <m:oMath>
              <m:r>
                <w:rPr>
                  <w:rFonts w:ascii="Cambria Math" w:hAnsi="Cambria Math" w:cs="Arial"/>
                  <w:sz w:val="18"/>
                  <w:szCs w:val="18"/>
                  <w:lang w:val="bg-BG"/>
                </w:rPr>
                <m:t>B &gt; 7,30 m</m:t>
              </m:r>
            </m:oMath>
            <w:r w:rsidRPr="009072DA">
              <w:rPr>
                <w:sz w:val="18"/>
                <w:lang w:val="bg-BG"/>
              </w:rPr>
              <w:t>,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00" w:after="100" w:line="240" w:lineRule="atLeast"/>
              <w:rPr>
                <w:rFonts w:cs="Arial"/>
                <w:sz w:val="18"/>
                <w:szCs w:val="18"/>
                <w:lang w:val="bg-BG"/>
              </w:rPr>
            </w:pPr>
            <w:r w:rsidRPr="009072DA">
              <w:rPr>
                <w:sz w:val="18"/>
                <w:lang w:val="bg-BG"/>
              </w:rPr>
              <w:t>1.1.2035 г.</w:t>
            </w:r>
            <w:r w:rsidRPr="009072DA">
              <w:rPr>
                <w:sz w:val="18"/>
                <w:vertAlign w:val="superscript"/>
                <w:lang w:val="bg-BG"/>
              </w:rPr>
              <w:footnoteReference w:id="29"/>
            </w:r>
          </w:p>
        </w:tc>
      </w:tr>
      <w:tr w:rsidR="00C01A94" w:rsidRPr="009072DA" w:rsidTr="00196FBC">
        <w:trPr>
          <w:cantSplit/>
          <w:jc w:val="center"/>
        </w:trPr>
        <w:tc>
          <w:tcPr>
            <w:tcW w:w="1342" w:type="dxa"/>
            <w:tcBorders>
              <w:top w:val="nil"/>
              <w:bottom w:val="single" w:sz="4" w:space="0" w:color="auto"/>
            </w:tcBorders>
            <w:shd w:val="clear" w:color="auto" w:fill="auto"/>
          </w:tcPr>
          <w:p w:rsidR="00C01A94" w:rsidRPr="009072DA" w:rsidRDefault="00C01A94" w:rsidP="00B74390">
            <w:pPr>
              <w:spacing w:before="100" w:after="100" w:line="240" w:lineRule="atLeast"/>
              <w:rPr>
                <w:rFonts w:cs="Arial"/>
                <w:sz w:val="18"/>
                <w:szCs w:val="18"/>
                <w:lang w:val="bg-BG"/>
              </w:rPr>
            </w:pPr>
          </w:p>
        </w:tc>
        <w:tc>
          <w:tcPr>
            <w:tcW w:w="1458" w:type="dxa"/>
            <w:shd w:val="clear" w:color="auto" w:fill="auto"/>
          </w:tcPr>
          <w:p w:rsidR="00C01A94" w:rsidRPr="009072DA" w:rsidRDefault="00C01A94" w:rsidP="00B74390">
            <w:pPr>
              <w:spacing w:before="100" w:after="10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B74390">
            <w:pPr>
              <w:spacing w:before="100" w:after="100" w:line="240" w:lineRule="atLeast"/>
              <w:rPr>
                <w:rFonts w:cs="Arial"/>
                <w:sz w:val="18"/>
                <w:szCs w:val="18"/>
                <w:lang w:val="bg-BG"/>
              </w:rPr>
            </w:pPr>
            <w:r w:rsidRPr="009072DA">
              <w:rPr>
                <w:sz w:val="18"/>
                <w:lang w:val="bg-BG"/>
              </w:rPr>
              <w:t>Мантинели на палубния проход</w:t>
            </w:r>
          </w:p>
        </w:tc>
        <w:tc>
          <w:tcPr>
            <w:tcW w:w="6521" w:type="dxa"/>
            <w:shd w:val="clear" w:color="auto" w:fill="auto"/>
          </w:tcPr>
          <w:p w:rsidR="00C01A94" w:rsidRPr="009072DA" w:rsidRDefault="002D3F17" w:rsidP="00B74390">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B74390">
            <w:pPr>
              <w:spacing w:before="100" w:after="100" w:line="240" w:lineRule="atLeast"/>
              <w:rPr>
                <w:rFonts w:cs="Arial"/>
                <w:sz w:val="18"/>
                <w:szCs w:val="18"/>
                <w:lang w:val="bg-BG"/>
              </w:rPr>
            </w:pPr>
          </w:p>
        </w:tc>
      </w:tr>
      <w:tr w:rsidR="00C01A94" w:rsidRPr="009072DA" w:rsidTr="00196FBC">
        <w:trPr>
          <w:cantSplit/>
          <w:jc w:val="center"/>
        </w:trPr>
        <w:tc>
          <w:tcPr>
            <w:tcW w:w="1342" w:type="dxa"/>
            <w:tcBorders>
              <w:bottom w:val="nil"/>
            </w:tcBorders>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14.05</w:t>
            </w: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1</w:t>
            </w:r>
          </w:p>
        </w:tc>
        <w:tc>
          <w:tcPr>
            <w:tcW w:w="329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Достъп до работните места</w:t>
            </w:r>
          </w:p>
        </w:tc>
        <w:tc>
          <w:tcPr>
            <w:tcW w:w="6521"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tcBorders>
              <w:top w:val="nil"/>
            </w:tcBorders>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Стълбища на работните места, където постоянно има хора</w:t>
            </w:r>
          </w:p>
        </w:tc>
        <w:tc>
          <w:tcPr>
            <w:tcW w:w="6521"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tcBorders>
              <w:bottom w:val="single" w:sz="4" w:space="0" w:color="auto"/>
            </w:tcBorders>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14.06</w:t>
            </w:r>
          </w:p>
        </w:tc>
        <w:tc>
          <w:tcPr>
            <w:tcW w:w="1458"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Изходи и аварийни изходи</w:t>
            </w:r>
          </w:p>
        </w:tc>
        <w:tc>
          <w:tcPr>
            <w:tcW w:w="6521"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tcBorders>
              <w:bottom w:val="nil"/>
            </w:tcBorders>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14.07</w:t>
            </w:r>
          </w:p>
        </w:tc>
        <w:tc>
          <w:tcPr>
            <w:tcW w:w="1458"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Точка 1, 2</w:t>
            </w:r>
            <w:r w:rsidRPr="009072DA">
              <w:rPr>
                <w:sz w:val="18"/>
                <w:vertAlign w:val="superscript"/>
                <w:lang w:val="bg-BG"/>
              </w:rPr>
              <w:t>ро </w:t>
            </w:r>
            <w:r w:rsidRPr="009072DA">
              <w:rPr>
                <w:sz w:val="18"/>
                <w:lang w:val="bg-BG"/>
              </w:rPr>
              <w:t>изречение</w:t>
            </w:r>
          </w:p>
        </w:tc>
        <w:tc>
          <w:tcPr>
            <w:tcW w:w="3296"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Подвижни стълби, стъпала и подобни приспособления</w:t>
            </w:r>
          </w:p>
        </w:tc>
        <w:tc>
          <w:tcPr>
            <w:tcW w:w="6521"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14.10</w:t>
            </w:r>
          </w:p>
        </w:tc>
        <w:tc>
          <w:tcPr>
            <w:tcW w:w="1458" w:type="dxa"/>
            <w:shd w:val="clear" w:color="auto" w:fill="auto"/>
          </w:tcPr>
          <w:p w:rsidR="00C01A94" w:rsidRPr="009072DA" w:rsidRDefault="00C01A94" w:rsidP="00C01A94">
            <w:pPr>
              <w:spacing w:before="100" w:after="100" w:line="240" w:lineRule="atLeast"/>
              <w:rPr>
                <w:rFonts w:cs="Arial"/>
                <w:sz w:val="18"/>
                <w:szCs w:val="18"/>
                <w:lang w:val="bg-BG"/>
              </w:rPr>
            </w:pPr>
          </w:p>
        </w:tc>
        <w:tc>
          <w:tcPr>
            <w:tcW w:w="3296"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Капаци на люковете</w:t>
            </w:r>
          </w:p>
        </w:tc>
        <w:tc>
          <w:tcPr>
            <w:tcW w:w="6521"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1.1.2010 г.</w:t>
            </w:r>
          </w:p>
        </w:tc>
      </w:tr>
      <w:tr w:rsidR="00C01A94" w:rsidRPr="009072DA" w:rsidTr="00196FBC">
        <w:trPr>
          <w:cantSplit/>
          <w:jc w:val="center"/>
        </w:trPr>
        <w:tc>
          <w:tcPr>
            <w:tcW w:w="1342"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14.11</w:t>
            </w:r>
          </w:p>
        </w:tc>
        <w:tc>
          <w:tcPr>
            <w:tcW w:w="1458" w:type="dxa"/>
            <w:shd w:val="clear" w:color="auto" w:fill="auto"/>
          </w:tcPr>
          <w:p w:rsidR="00C01A94" w:rsidRPr="009072DA" w:rsidRDefault="00C01A94" w:rsidP="00C01A94">
            <w:pPr>
              <w:spacing w:before="100" w:after="100" w:line="240" w:lineRule="atLeast"/>
              <w:rPr>
                <w:rFonts w:cs="Arial"/>
                <w:sz w:val="18"/>
                <w:szCs w:val="18"/>
                <w:lang w:val="bg-BG"/>
              </w:rPr>
            </w:pPr>
          </w:p>
        </w:tc>
        <w:tc>
          <w:tcPr>
            <w:tcW w:w="3296"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Лебедки</w:t>
            </w:r>
          </w:p>
        </w:tc>
        <w:tc>
          <w:tcPr>
            <w:tcW w:w="6521"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1.1.2010 г.</w:t>
            </w:r>
          </w:p>
        </w:tc>
      </w:tr>
      <w:tr w:rsidR="00C01A94" w:rsidRPr="009072DA" w:rsidTr="00196FBC">
        <w:trPr>
          <w:cantSplit/>
          <w:jc w:val="center"/>
        </w:trPr>
        <w:tc>
          <w:tcPr>
            <w:tcW w:w="1342" w:type="dxa"/>
            <w:vMerge w:val="restart"/>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14.12</w:t>
            </w:r>
          </w:p>
        </w:tc>
        <w:tc>
          <w:tcPr>
            <w:tcW w:w="1458" w:type="dxa"/>
            <w:shd w:val="clear" w:color="auto" w:fill="auto"/>
          </w:tcPr>
          <w:p w:rsidR="00C01A94" w:rsidRPr="009072DA" w:rsidRDefault="00C01A94" w:rsidP="00B74390">
            <w:pPr>
              <w:spacing w:before="80" w:after="80" w:line="240" w:lineRule="atLeast"/>
              <w:rPr>
                <w:sz w:val="18"/>
                <w:szCs w:val="18"/>
                <w:lang w:val="bg-BG"/>
              </w:rPr>
            </w:pPr>
            <w:r w:rsidRPr="009072DA">
              <w:rPr>
                <w:sz w:val="18"/>
                <w:lang w:val="bg-BG"/>
              </w:rPr>
              <w:t>Точка 2</w:t>
            </w:r>
          </w:p>
        </w:tc>
        <w:tc>
          <w:tcPr>
            <w:tcW w:w="3296" w:type="dxa"/>
            <w:shd w:val="clear" w:color="auto" w:fill="auto"/>
          </w:tcPr>
          <w:p w:rsidR="00C01A94" w:rsidRPr="009072DA" w:rsidRDefault="00C01A94" w:rsidP="00B74390">
            <w:pPr>
              <w:spacing w:before="80" w:after="80" w:line="240" w:lineRule="atLeast"/>
              <w:rPr>
                <w:sz w:val="18"/>
                <w:szCs w:val="18"/>
                <w:lang w:val="bg-BG"/>
              </w:rPr>
            </w:pPr>
            <w:r w:rsidRPr="009072DA">
              <w:rPr>
                <w:sz w:val="18"/>
                <w:lang w:val="bg-BG"/>
              </w:rPr>
              <w:t>Табелка на производителя</w:t>
            </w:r>
          </w:p>
        </w:tc>
        <w:tc>
          <w:tcPr>
            <w:tcW w:w="6521"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1.1.2020 г.</w:t>
            </w:r>
          </w:p>
        </w:tc>
      </w:tr>
      <w:tr w:rsidR="00C01A94" w:rsidRPr="009072DA" w:rsidTr="00196FBC">
        <w:trPr>
          <w:cantSplit/>
          <w:jc w:val="center"/>
        </w:trPr>
        <w:tc>
          <w:tcPr>
            <w:tcW w:w="1342" w:type="dxa"/>
            <w:vMerge/>
            <w:shd w:val="clear" w:color="auto" w:fill="auto"/>
          </w:tcPr>
          <w:p w:rsidR="00C01A94" w:rsidRPr="009072DA" w:rsidRDefault="00C01A94" w:rsidP="00B74390">
            <w:pPr>
              <w:spacing w:before="80" w:after="80" w:line="240" w:lineRule="atLeast"/>
              <w:rPr>
                <w:rFonts w:cs="Arial"/>
                <w:sz w:val="18"/>
                <w:szCs w:val="18"/>
                <w:lang w:val="bg-BG"/>
              </w:rPr>
            </w:pPr>
          </w:p>
        </w:tc>
        <w:tc>
          <w:tcPr>
            <w:tcW w:w="1458" w:type="dxa"/>
            <w:shd w:val="clear" w:color="auto" w:fill="auto"/>
          </w:tcPr>
          <w:p w:rsidR="00C01A94" w:rsidRPr="009072DA" w:rsidRDefault="00C01A94" w:rsidP="00B74390">
            <w:pPr>
              <w:tabs>
                <w:tab w:val="left" w:pos="360"/>
              </w:tabs>
              <w:spacing w:before="80" w:after="80" w:line="240" w:lineRule="atLeast"/>
              <w:rPr>
                <w:rFonts w:cs="Arial"/>
                <w:sz w:val="18"/>
                <w:szCs w:val="18"/>
                <w:lang w:val="bg-BG"/>
              </w:rPr>
            </w:pPr>
            <w:r w:rsidRPr="009072DA">
              <w:rPr>
                <w:sz w:val="18"/>
                <w:lang w:val="bg-BG"/>
              </w:rPr>
              <w:t>Точка 4</w:t>
            </w:r>
            <w:r w:rsidRPr="009072DA">
              <w:rPr>
                <w:lang w:val="bg-BG"/>
              </w:rPr>
              <w:t xml:space="preserve"> </w:t>
            </w:r>
            <w:r w:rsidRPr="009072DA">
              <w:rPr>
                <w:lang w:val="bg-BG"/>
              </w:rPr>
              <w:br/>
            </w:r>
            <w:r w:rsidRPr="009072DA">
              <w:rPr>
                <w:sz w:val="18"/>
                <w:lang w:val="bg-BG"/>
              </w:rPr>
              <w:t>първо изречение</w:t>
            </w:r>
          </w:p>
        </w:tc>
        <w:tc>
          <w:tcPr>
            <w:tcW w:w="3296" w:type="dxa"/>
            <w:shd w:val="clear" w:color="auto" w:fill="auto"/>
          </w:tcPr>
          <w:p w:rsidR="00C01A94" w:rsidRPr="009072DA" w:rsidRDefault="00C01A94" w:rsidP="00B74390">
            <w:pPr>
              <w:spacing w:before="80" w:after="80" w:line="240" w:lineRule="atLeast"/>
              <w:rPr>
                <w:sz w:val="18"/>
                <w:szCs w:val="18"/>
                <w:lang w:val="bg-BG"/>
              </w:rPr>
            </w:pPr>
            <w:r w:rsidRPr="009072DA">
              <w:rPr>
                <w:sz w:val="18"/>
                <w:lang w:val="bg-BG"/>
              </w:rPr>
              <w:t>Устройства за безопасност</w:t>
            </w:r>
          </w:p>
        </w:tc>
        <w:tc>
          <w:tcPr>
            <w:tcW w:w="6521"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 xml:space="preserve">НЗР, не по-късно след първото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1.1.2020 г.</w:t>
            </w:r>
          </w:p>
        </w:tc>
      </w:tr>
      <w:tr w:rsidR="00C01A94" w:rsidRPr="009072DA" w:rsidTr="0029395D">
        <w:trPr>
          <w:cantSplit/>
          <w:trHeight w:val="252"/>
          <w:jc w:val="center"/>
        </w:trPr>
        <w:tc>
          <w:tcPr>
            <w:tcW w:w="1342" w:type="dxa"/>
            <w:vMerge/>
            <w:shd w:val="clear" w:color="auto" w:fill="auto"/>
          </w:tcPr>
          <w:p w:rsidR="00C01A94" w:rsidRPr="009072DA" w:rsidRDefault="00C01A94" w:rsidP="00B74390">
            <w:pPr>
              <w:spacing w:before="80" w:after="80" w:line="240" w:lineRule="atLeast"/>
              <w:rPr>
                <w:rFonts w:cs="Arial"/>
                <w:sz w:val="18"/>
                <w:szCs w:val="18"/>
                <w:lang w:val="bg-BG"/>
              </w:rPr>
            </w:pPr>
          </w:p>
        </w:tc>
        <w:tc>
          <w:tcPr>
            <w:tcW w:w="1458" w:type="dxa"/>
            <w:vMerge w:val="restart"/>
            <w:shd w:val="clear" w:color="auto" w:fill="auto"/>
          </w:tcPr>
          <w:p w:rsidR="00C01A94" w:rsidRPr="009072DA" w:rsidRDefault="00C01A94" w:rsidP="00B74390">
            <w:pPr>
              <w:tabs>
                <w:tab w:val="left" w:pos="0"/>
              </w:tabs>
              <w:spacing w:before="80" w:after="80" w:line="240" w:lineRule="atLeast"/>
              <w:ind w:right="-231"/>
              <w:rPr>
                <w:rFonts w:cs="Arial"/>
                <w:sz w:val="18"/>
                <w:szCs w:val="18"/>
                <w:lang w:val="bg-BG"/>
              </w:rPr>
            </w:pPr>
            <w:r w:rsidRPr="009072DA">
              <w:rPr>
                <w:sz w:val="18"/>
                <w:lang w:val="bg-BG"/>
              </w:rPr>
              <w:t xml:space="preserve">Точка 4 </w:t>
            </w:r>
            <w:r w:rsidRPr="009072DA">
              <w:rPr>
                <w:rFonts w:cs="Arial"/>
                <w:sz w:val="18"/>
                <w:szCs w:val="18"/>
                <w:lang w:val="bg-BG"/>
              </w:rPr>
              <w:br/>
            </w:r>
            <w:r w:rsidRPr="009072DA">
              <w:rPr>
                <w:sz w:val="18"/>
                <w:lang w:val="bg-BG"/>
              </w:rPr>
              <w:t>второ изречение</w:t>
            </w:r>
          </w:p>
        </w:tc>
        <w:tc>
          <w:tcPr>
            <w:tcW w:w="3296" w:type="dxa"/>
            <w:vMerge w:val="restart"/>
            <w:shd w:val="clear" w:color="auto" w:fill="auto"/>
          </w:tcPr>
          <w:p w:rsidR="00C01A94" w:rsidRPr="009072DA" w:rsidRDefault="00C01A94" w:rsidP="00B74390">
            <w:pPr>
              <w:spacing w:before="80" w:after="80" w:line="240" w:lineRule="atLeast"/>
              <w:rPr>
                <w:sz w:val="18"/>
                <w:szCs w:val="18"/>
                <w:lang w:val="bg-BG"/>
              </w:rPr>
            </w:pPr>
            <w:r w:rsidRPr="009072DA">
              <w:rPr>
                <w:sz w:val="18"/>
                <w:lang w:val="bg-BG"/>
              </w:rPr>
              <w:t>Разстояние на безопасност</w:t>
            </w:r>
          </w:p>
        </w:tc>
        <w:tc>
          <w:tcPr>
            <w:tcW w:w="6521"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vMerge w:val="restart"/>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1.1.2020 г.</w:t>
            </w:r>
          </w:p>
        </w:tc>
      </w:tr>
      <w:tr w:rsidR="00C01A94" w:rsidRPr="008D2440" w:rsidTr="00196FBC">
        <w:trPr>
          <w:cantSplit/>
          <w:trHeight w:val="251"/>
          <w:jc w:val="center"/>
        </w:trPr>
        <w:tc>
          <w:tcPr>
            <w:tcW w:w="1342" w:type="dxa"/>
            <w:vMerge/>
            <w:shd w:val="clear" w:color="auto" w:fill="auto"/>
          </w:tcPr>
          <w:p w:rsidR="00C01A94" w:rsidRPr="009072DA" w:rsidRDefault="00C01A94" w:rsidP="00B74390">
            <w:pPr>
              <w:spacing w:before="80" w:after="80" w:line="240" w:lineRule="atLeast"/>
              <w:rPr>
                <w:rFonts w:cs="Arial"/>
                <w:sz w:val="18"/>
                <w:szCs w:val="18"/>
                <w:lang w:val="bg-BG"/>
              </w:rPr>
            </w:pPr>
          </w:p>
        </w:tc>
        <w:tc>
          <w:tcPr>
            <w:tcW w:w="1458" w:type="dxa"/>
            <w:vMerge/>
            <w:shd w:val="clear" w:color="auto" w:fill="auto"/>
          </w:tcPr>
          <w:p w:rsidR="00C01A94" w:rsidRPr="009072DA" w:rsidRDefault="00C01A94" w:rsidP="00B74390">
            <w:pPr>
              <w:tabs>
                <w:tab w:val="left" w:pos="0"/>
              </w:tabs>
              <w:spacing w:before="80" w:after="80" w:line="240" w:lineRule="atLeast"/>
              <w:ind w:right="-231"/>
              <w:rPr>
                <w:rFonts w:cs="Arial"/>
                <w:sz w:val="18"/>
                <w:szCs w:val="18"/>
                <w:lang w:val="bg-BG"/>
              </w:rPr>
            </w:pPr>
          </w:p>
        </w:tc>
        <w:tc>
          <w:tcPr>
            <w:tcW w:w="3296" w:type="dxa"/>
            <w:vMerge/>
            <w:shd w:val="clear" w:color="auto" w:fill="auto"/>
          </w:tcPr>
          <w:p w:rsidR="00C01A94" w:rsidRPr="009072DA" w:rsidRDefault="00C01A94" w:rsidP="00B74390">
            <w:pPr>
              <w:spacing w:before="80" w:after="80" w:line="240" w:lineRule="atLeast"/>
              <w:rPr>
                <w:sz w:val="18"/>
                <w:szCs w:val="18"/>
                <w:lang w:val="bg-BG"/>
              </w:rPr>
            </w:pPr>
          </w:p>
        </w:tc>
        <w:tc>
          <w:tcPr>
            <w:tcW w:w="6521"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Ако тази разпоредба не може да бъде изпълнена на практика след тази дата, местата, на които при работните места и проходите разстоянието на безопасност е по-малко от 0,50 m, трябва да бъдат ясно обозначени като такива.</w:t>
            </w:r>
          </w:p>
        </w:tc>
        <w:tc>
          <w:tcPr>
            <w:tcW w:w="1276" w:type="dxa"/>
            <w:vMerge/>
            <w:shd w:val="clear" w:color="auto" w:fill="auto"/>
          </w:tcPr>
          <w:p w:rsidR="00C01A94" w:rsidRPr="009072DA" w:rsidRDefault="00C01A94" w:rsidP="00B74390">
            <w:pPr>
              <w:spacing w:before="80" w:after="80" w:line="240" w:lineRule="atLeast"/>
              <w:rPr>
                <w:rFonts w:cs="Arial"/>
                <w:sz w:val="18"/>
                <w:szCs w:val="18"/>
                <w:lang w:val="bg-BG"/>
              </w:rPr>
            </w:pPr>
          </w:p>
        </w:tc>
      </w:tr>
      <w:tr w:rsidR="00C01A94" w:rsidRPr="009072DA" w:rsidTr="00196FBC">
        <w:trPr>
          <w:cantSplit/>
          <w:jc w:val="center"/>
        </w:trPr>
        <w:tc>
          <w:tcPr>
            <w:tcW w:w="1342" w:type="dxa"/>
            <w:vMerge/>
            <w:shd w:val="clear" w:color="auto" w:fill="auto"/>
          </w:tcPr>
          <w:p w:rsidR="00C01A94" w:rsidRPr="009072DA" w:rsidRDefault="00C01A94" w:rsidP="00B74390">
            <w:pPr>
              <w:spacing w:before="80" w:after="80" w:line="240" w:lineRule="atLeast"/>
              <w:rPr>
                <w:rFonts w:cs="Arial"/>
                <w:sz w:val="18"/>
                <w:szCs w:val="18"/>
                <w:lang w:val="bg-BG"/>
              </w:rPr>
            </w:pPr>
          </w:p>
        </w:tc>
        <w:tc>
          <w:tcPr>
            <w:tcW w:w="1458" w:type="dxa"/>
            <w:shd w:val="clear" w:color="auto" w:fill="auto"/>
          </w:tcPr>
          <w:p w:rsidR="00C01A94" w:rsidRPr="009072DA" w:rsidRDefault="00C01A94" w:rsidP="00B74390">
            <w:pPr>
              <w:tabs>
                <w:tab w:val="left" w:pos="180"/>
              </w:tabs>
              <w:spacing w:before="80" w:after="80" w:line="240" w:lineRule="atLeast"/>
              <w:rPr>
                <w:rFonts w:cs="Arial"/>
                <w:sz w:val="18"/>
                <w:szCs w:val="18"/>
                <w:lang w:val="bg-BG"/>
              </w:rPr>
            </w:pPr>
            <w:r w:rsidRPr="009072DA">
              <w:rPr>
                <w:sz w:val="18"/>
                <w:lang w:val="bg-BG"/>
              </w:rPr>
              <w:t>Точка 5</w:t>
            </w:r>
          </w:p>
        </w:tc>
        <w:tc>
          <w:tcPr>
            <w:tcW w:w="3296"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Безопасност при експлоатация</w:t>
            </w:r>
          </w:p>
        </w:tc>
        <w:tc>
          <w:tcPr>
            <w:tcW w:w="6521"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НЗР, не по-късно след първото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1.1.2020 г.</w:t>
            </w:r>
          </w:p>
        </w:tc>
      </w:tr>
      <w:tr w:rsidR="00C01A94" w:rsidRPr="009072DA" w:rsidTr="0029395D">
        <w:trPr>
          <w:cantSplit/>
          <w:trHeight w:val="197"/>
          <w:jc w:val="center"/>
        </w:trPr>
        <w:tc>
          <w:tcPr>
            <w:tcW w:w="1342" w:type="dxa"/>
            <w:vMerge/>
            <w:shd w:val="clear" w:color="auto" w:fill="auto"/>
          </w:tcPr>
          <w:p w:rsidR="00C01A94" w:rsidRPr="009072DA" w:rsidRDefault="00C01A94" w:rsidP="00B74390">
            <w:pPr>
              <w:spacing w:before="80" w:after="80" w:line="240" w:lineRule="atLeast"/>
              <w:rPr>
                <w:rFonts w:cs="Arial"/>
                <w:sz w:val="18"/>
                <w:szCs w:val="18"/>
                <w:lang w:val="bg-BG"/>
              </w:rPr>
            </w:pPr>
          </w:p>
        </w:tc>
        <w:tc>
          <w:tcPr>
            <w:tcW w:w="1458" w:type="dxa"/>
            <w:vMerge w:val="restart"/>
            <w:shd w:val="clear" w:color="auto" w:fill="auto"/>
          </w:tcPr>
          <w:p w:rsidR="00C01A94" w:rsidRPr="009072DA" w:rsidRDefault="00C01A94" w:rsidP="00B74390">
            <w:pPr>
              <w:tabs>
                <w:tab w:val="left" w:pos="720"/>
              </w:tabs>
              <w:spacing w:before="80" w:after="80" w:line="240" w:lineRule="atLeast"/>
              <w:rPr>
                <w:rFonts w:cs="Arial"/>
                <w:sz w:val="18"/>
                <w:szCs w:val="18"/>
                <w:lang w:val="bg-BG"/>
              </w:rPr>
            </w:pPr>
            <w:r w:rsidRPr="009072DA">
              <w:rPr>
                <w:sz w:val="18"/>
                <w:lang w:val="bg-BG"/>
              </w:rPr>
              <w:t>Точка 9</w:t>
            </w:r>
          </w:p>
        </w:tc>
        <w:tc>
          <w:tcPr>
            <w:tcW w:w="3296" w:type="dxa"/>
            <w:vMerge w:val="restart"/>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Инструкции за експлоатация</w:t>
            </w:r>
          </w:p>
        </w:tc>
        <w:tc>
          <w:tcPr>
            <w:tcW w:w="6521"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НЗР, не по-късно след първото подновяване на удостоверението на плавателния съд за плаване по вътрешни водни пътища след</w:t>
            </w:r>
          </w:p>
        </w:tc>
        <w:tc>
          <w:tcPr>
            <w:tcW w:w="1276" w:type="dxa"/>
            <w:vMerge w:val="restart"/>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1.1.2020 г.</w:t>
            </w:r>
          </w:p>
        </w:tc>
      </w:tr>
      <w:tr w:rsidR="00C01A94" w:rsidRPr="008D2440" w:rsidTr="00196FBC">
        <w:trPr>
          <w:cantSplit/>
          <w:trHeight w:val="197"/>
          <w:jc w:val="center"/>
        </w:trPr>
        <w:tc>
          <w:tcPr>
            <w:tcW w:w="1342" w:type="dxa"/>
            <w:vMerge/>
            <w:shd w:val="clear" w:color="auto" w:fill="auto"/>
          </w:tcPr>
          <w:p w:rsidR="00C01A94" w:rsidRPr="009072DA" w:rsidRDefault="00C01A94" w:rsidP="00B74390">
            <w:pPr>
              <w:spacing w:before="80" w:after="80" w:line="240" w:lineRule="atLeast"/>
              <w:rPr>
                <w:rFonts w:cs="Arial"/>
                <w:sz w:val="18"/>
                <w:szCs w:val="18"/>
                <w:lang w:val="bg-BG"/>
              </w:rPr>
            </w:pPr>
          </w:p>
        </w:tc>
        <w:tc>
          <w:tcPr>
            <w:tcW w:w="1458" w:type="dxa"/>
            <w:vMerge/>
            <w:shd w:val="clear" w:color="auto" w:fill="auto"/>
          </w:tcPr>
          <w:p w:rsidR="00C01A94" w:rsidRPr="009072DA" w:rsidRDefault="00C01A94" w:rsidP="00B74390">
            <w:pPr>
              <w:tabs>
                <w:tab w:val="left" w:pos="720"/>
              </w:tabs>
              <w:spacing w:before="80" w:after="80" w:line="240" w:lineRule="atLeast"/>
              <w:rPr>
                <w:rFonts w:cs="Arial"/>
                <w:sz w:val="18"/>
                <w:szCs w:val="18"/>
                <w:highlight w:val="lightGray"/>
                <w:lang w:val="bg-BG"/>
              </w:rPr>
            </w:pPr>
          </w:p>
        </w:tc>
        <w:tc>
          <w:tcPr>
            <w:tcW w:w="3296" w:type="dxa"/>
            <w:vMerge/>
            <w:shd w:val="clear" w:color="auto" w:fill="auto"/>
          </w:tcPr>
          <w:p w:rsidR="00C01A94" w:rsidRPr="009072DA" w:rsidRDefault="00C01A94" w:rsidP="00B74390">
            <w:pPr>
              <w:spacing w:before="80" w:after="80" w:line="240" w:lineRule="atLeast"/>
              <w:rPr>
                <w:rFonts w:cs="Arial"/>
                <w:sz w:val="18"/>
                <w:szCs w:val="18"/>
                <w:highlight w:val="lightGray"/>
                <w:lang w:val="bg-BG"/>
              </w:rPr>
            </w:pPr>
          </w:p>
        </w:tc>
        <w:tc>
          <w:tcPr>
            <w:tcW w:w="6521"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Ако след тази дата, инструкции за експлоатация не могат повече да бъдат получени от производителя, те се написват от специалист. След това, считано от първото изпитване в съответствие с член 14.12, точка 6, буква в), тези инструкции за експлоатация се одобряват от експерт, извършващ изпитването.</w:t>
            </w:r>
          </w:p>
        </w:tc>
        <w:tc>
          <w:tcPr>
            <w:tcW w:w="1276" w:type="dxa"/>
            <w:vMerge/>
            <w:shd w:val="clear" w:color="auto" w:fill="auto"/>
          </w:tcPr>
          <w:p w:rsidR="00C01A94" w:rsidRPr="009072DA" w:rsidRDefault="00C01A94" w:rsidP="00B74390">
            <w:pPr>
              <w:spacing w:before="80" w:after="80" w:line="240" w:lineRule="atLeast"/>
              <w:rPr>
                <w:rFonts w:cs="Arial"/>
                <w:sz w:val="18"/>
                <w:szCs w:val="18"/>
                <w:lang w:val="bg-BG"/>
              </w:rPr>
            </w:pPr>
          </w:p>
        </w:tc>
      </w:tr>
      <w:tr w:rsidR="00C01A94" w:rsidRPr="009072DA" w:rsidTr="00196FBC">
        <w:trPr>
          <w:cantSplit/>
          <w:jc w:val="center"/>
        </w:trPr>
        <w:tc>
          <w:tcPr>
            <w:tcW w:w="6096" w:type="dxa"/>
            <w:gridSpan w:val="3"/>
            <w:shd w:val="clear" w:color="auto" w:fill="auto"/>
          </w:tcPr>
          <w:p w:rsidR="00C01A94" w:rsidRPr="009072DA" w:rsidRDefault="00C01A94" w:rsidP="00C01A94">
            <w:pPr>
              <w:spacing w:before="100" w:after="100" w:line="240" w:lineRule="atLeast"/>
              <w:jc w:val="center"/>
              <w:rPr>
                <w:rFonts w:cs="Arial"/>
                <w:sz w:val="18"/>
                <w:szCs w:val="18"/>
                <w:lang w:val="bg-BG"/>
              </w:rPr>
            </w:pPr>
            <w:r w:rsidRPr="009072DA">
              <w:rPr>
                <w:b/>
                <w:sz w:val="18"/>
                <w:lang w:val="bg-BG"/>
              </w:rPr>
              <w:t>ГЛАВА 15</w:t>
            </w:r>
          </w:p>
        </w:tc>
        <w:tc>
          <w:tcPr>
            <w:tcW w:w="6521" w:type="dxa"/>
            <w:shd w:val="clear" w:color="auto" w:fill="auto"/>
          </w:tcPr>
          <w:p w:rsidR="00C01A94" w:rsidRPr="009072DA" w:rsidRDefault="00C01A94" w:rsidP="00C01A94">
            <w:pPr>
              <w:spacing w:before="100" w:after="100" w:line="240" w:lineRule="atLeast"/>
              <w:rPr>
                <w:rFonts w:cs="Arial"/>
                <w:sz w:val="18"/>
                <w:szCs w:val="18"/>
                <w:lang w:val="bg-BG"/>
              </w:rPr>
            </w:pPr>
          </w:p>
        </w:tc>
        <w:tc>
          <w:tcPr>
            <w:tcW w:w="1276" w:type="dxa"/>
            <w:shd w:val="clear" w:color="auto" w:fill="auto"/>
          </w:tcPr>
          <w:p w:rsidR="00C01A94" w:rsidRPr="009072DA" w:rsidRDefault="00C01A94" w:rsidP="00C01A94">
            <w:pPr>
              <w:spacing w:before="100" w:after="100" w:line="240" w:lineRule="atLeast"/>
              <w:rPr>
                <w:rFonts w:cs="Arial"/>
                <w:sz w:val="18"/>
                <w:szCs w:val="18"/>
                <w:lang w:val="bg-BG"/>
              </w:rPr>
            </w:pPr>
          </w:p>
        </w:tc>
      </w:tr>
      <w:tr w:rsidR="00C01A94" w:rsidRPr="009072DA" w:rsidTr="00196FBC">
        <w:trPr>
          <w:cantSplit/>
          <w:jc w:val="center"/>
        </w:trPr>
        <w:tc>
          <w:tcPr>
            <w:tcW w:w="1342" w:type="dxa"/>
            <w:tcBorders>
              <w:bottom w:val="single" w:sz="4" w:space="0" w:color="auto"/>
            </w:tcBorders>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15.01</w:t>
            </w:r>
          </w:p>
        </w:tc>
        <w:tc>
          <w:tcPr>
            <w:tcW w:w="1458"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Точка 1</w:t>
            </w:r>
          </w:p>
        </w:tc>
        <w:tc>
          <w:tcPr>
            <w:tcW w:w="3296"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Жилищни помещения за лицата, обичайно настанени на борда</w:t>
            </w:r>
          </w:p>
        </w:tc>
        <w:tc>
          <w:tcPr>
            <w:tcW w:w="6521"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tcBorders>
              <w:bottom w:val="nil"/>
            </w:tcBorders>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15.02</w:t>
            </w:r>
          </w:p>
        </w:tc>
        <w:tc>
          <w:tcPr>
            <w:tcW w:w="1458"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Точка 3</w:t>
            </w:r>
          </w:p>
        </w:tc>
        <w:tc>
          <w:tcPr>
            <w:tcW w:w="3296"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Разположение на етажите</w:t>
            </w:r>
          </w:p>
        </w:tc>
        <w:tc>
          <w:tcPr>
            <w:tcW w:w="6521"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80" w:after="80" w:line="240" w:lineRule="atLeast"/>
              <w:rPr>
                <w:rFonts w:cs="Arial"/>
                <w:sz w:val="18"/>
                <w:szCs w:val="18"/>
                <w:lang w:val="bg-BG"/>
              </w:rPr>
            </w:pPr>
          </w:p>
        </w:tc>
        <w:tc>
          <w:tcPr>
            <w:tcW w:w="1458"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Жилищни помещения за общо ползване и спални каюти</w:t>
            </w:r>
          </w:p>
        </w:tc>
        <w:tc>
          <w:tcPr>
            <w:tcW w:w="6521"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80" w:after="80" w:line="240" w:lineRule="atLeast"/>
              <w:rPr>
                <w:rFonts w:cs="Arial"/>
                <w:sz w:val="18"/>
                <w:szCs w:val="18"/>
                <w:lang w:val="bg-BG"/>
              </w:rPr>
            </w:pPr>
          </w:p>
        </w:tc>
        <w:tc>
          <w:tcPr>
            <w:tcW w:w="1458"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Точка 6</w:t>
            </w:r>
          </w:p>
        </w:tc>
        <w:tc>
          <w:tcPr>
            <w:tcW w:w="3296"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Височината на таваните в жилищните помещения</w:t>
            </w:r>
          </w:p>
        </w:tc>
        <w:tc>
          <w:tcPr>
            <w:tcW w:w="6521"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8</w:t>
            </w:r>
          </w:p>
        </w:tc>
        <w:tc>
          <w:tcPr>
            <w:tcW w:w="329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Свободна площ в жилищните помещения за общо ползване</w:t>
            </w:r>
          </w:p>
        </w:tc>
        <w:tc>
          <w:tcPr>
            <w:tcW w:w="6521"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9</w:t>
            </w:r>
          </w:p>
        </w:tc>
        <w:tc>
          <w:tcPr>
            <w:tcW w:w="329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Кубатура на помещенията</w:t>
            </w:r>
          </w:p>
        </w:tc>
        <w:tc>
          <w:tcPr>
            <w:tcW w:w="6521"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10</w:t>
            </w:r>
          </w:p>
        </w:tc>
        <w:tc>
          <w:tcPr>
            <w:tcW w:w="329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Обем въздух на човек</w:t>
            </w:r>
          </w:p>
        </w:tc>
        <w:tc>
          <w:tcPr>
            <w:tcW w:w="6521"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11</w:t>
            </w:r>
          </w:p>
        </w:tc>
        <w:tc>
          <w:tcPr>
            <w:tcW w:w="329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Размери на вратите</w:t>
            </w:r>
          </w:p>
        </w:tc>
        <w:tc>
          <w:tcPr>
            <w:tcW w:w="6521"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12, букви a) и б)</w:t>
            </w:r>
          </w:p>
        </w:tc>
        <w:tc>
          <w:tcPr>
            <w:tcW w:w="329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Разположение на стълбищата</w:t>
            </w:r>
          </w:p>
        </w:tc>
        <w:tc>
          <w:tcPr>
            <w:tcW w:w="6521"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tcBorders>
              <w:top w:val="nil"/>
            </w:tcBorders>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13</w:t>
            </w:r>
          </w:p>
        </w:tc>
        <w:tc>
          <w:tcPr>
            <w:tcW w:w="329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Тръби, пренасящи опасни газове или течности</w:t>
            </w:r>
          </w:p>
        </w:tc>
        <w:tc>
          <w:tcPr>
            <w:tcW w:w="6521"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15.03</w:t>
            </w: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p>
        </w:tc>
        <w:tc>
          <w:tcPr>
            <w:tcW w:w="329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Санитарни съоръжения</w:t>
            </w:r>
          </w:p>
        </w:tc>
        <w:tc>
          <w:tcPr>
            <w:tcW w:w="6521"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15.04</w:t>
            </w: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p>
        </w:tc>
        <w:tc>
          <w:tcPr>
            <w:tcW w:w="329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Камбузи</w:t>
            </w:r>
          </w:p>
        </w:tc>
        <w:tc>
          <w:tcPr>
            <w:tcW w:w="6521"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15.06</w:t>
            </w: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p>
        </w:tc>
        <w:tc>
          <w:tcPr>
            <w:tcW w:w="3296" w:type="dxa"/>
            <w:shd w:val="clear" w:color="auto" w:fill="auto"/>
          </w:tcPr>
          <w:p w:rsidR="00C01A94" w:rsidRPr="009072DA" w:rsidRDefault="00C01A94" w:rsidP="00C01A94">
            <w:pPr>
              <w:spacing w:before="160" w:after="160" w:line="240" w:lineRule="atLeast"/>
              <w:rPr>
                <w:rFonts w:cs="Arial"/>
                <w:color w:val="000000"/>
                <w:sz w:val="18"/>
                <w:szCs w:val="18"/>
                <w:lang w:val="bg-BG"/>
              </w:rPr>
            </w:pPr>
            <w:r w:rsidRPr="009072DA">
              <w:rPr>
                <w:sz w:val="18"/>
                <w:lang w:val="bg-BG"/>
              </w:rPr>
              <w:t>Отопление и вентилация</w:t>
            </w:r>
          </w:p>
        </w:tc>
        <w:tc>
          <w:tcPr>
            <w:tcW w:w="6521"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15.07</w:t>
            </w: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1, 2-ро</w:t>
            </w:r>
            <w:r w:rsidRPr="009072DA">
              <w:rPr>
                <w:sz w:val="18"/>
                <w:vertAlign w:val="superscript"/>
                <w:lang w:val="bg-BG"/>
              </w:rPr>
              <w:t xml:space="preserve"> </w:t>
            </w:r>
            <w:r w:rsidRPr="009072DA">
              <w:rPr>
                <w:sz w:val="18"/>
                <w:lang w:val="bg-BG"/>
              </w:rPr>
              <w:t>изречение</w:t>
            </w:r>
          </w:p>
        </w:tc>
        <w:tc>
          <w:tcPr>
            <w:tcW w:w="3296" w:type="dxa"/>
            <w:shd w:val="clear" w:color="auto" w:fill="auto"/>
          </w:tcPr>
          <w:p w:rsidR="00C01A94" w:rsidRPr="009072DA" w:rsidRDefault="00C01A94" w:rsidP="00C01A94">
            <w:pPr>
              <w:spacing w:before="160" w:after="160" w:line="240" w:lineRule="atLeast"/>
              <w:rPr>
                <w:rFonts w:cs="Arial"/>
                <w:color w:val="000000"/>
                <w:sz w:val="18"/>
                <w:szCs w:val="18"/>
                <w:lang w:val="bg-BG"/>
              </w:rPr>
            </w:pPr>
            <w:r w:rsidRPr="009072DA">
              <w:rPr>
                <w:sz w:val="18"/>
                <w:lang w:val="bg-BG"/>
              </w:rPr>
              <w:t>Други съоръжения в жилищните помещения</w:t>
            </w:r>
          </w:p>
        </w:tc>
        <w:tc>
          <w:tcPr>
            <w:tcW w:w="6521"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1.1.2035 г.</w:t>
            </w:r>
          </w:p>
        </w:tc>
      </w:tr>
      <w:tr w:rsidR="00C01A94" w:rsidRPr="009072DA" w:rsidTr="00196FBC">
        <w:trPr>
          <w:cantSplit/>
          <w:trHeight w:val="70"/>
          <w:jc w:val="center"/>
        </w:trPr>
        <w:tc>
          <w:tcPr>
            <w:tcW w:w="6096" w:type="dxa"/>
            <w:gridSpan w:val="3"/>
            <w:shd w:val="clear" w:color="auto" w:fill="auto"/>
          </w:tcPr>
          <w:p w:rsidR="00C01A94" w:rsidRPr="009072DA" w:rsidRDefault="00C01A94" w:rsidP="00C01A94">
            <w:pPr>
              <w:spacing w:before="60" w:after="60" w:line="240" w:lineRule="atLeast"/>
              <w:jc w:val="center"/>
              <w:rPr>
                <w:rFonts w:cs="Arial"/>
                <w:b/>
                <w:sz w:val="18"/>
                <w:szCs w:val="18"/>
                <w:lang w:val="bg-BG"/>
              </w:rPr>
            </w:pPr>
            <w:r w:rsidRPr="009072DA">
              <w:rPr>
                <w:b/>
                <w:sz w:val="18"/>
                <w:lang w:val="bg-BG"/>
              </w:rPr>
              <w:t>ГЛАВА 18</w:t>
            </w:r>
          </w:p>
        </w:tc>
        <w:tc>
          <w:tcPr>
            <w:tcW w:w="6521" w:type="dxa"/>
            <w:shd w:val="clear" w:color="auto" w:fill="auto"/>
          </w:tcPr>
          <w:p w:rsidR="00C01A94" w:rsidRPr="009072DA" w:rsidRDefault="00C01A94" w:rsidP="00C01A94">
            <w:pPr>
              <w:spacing w:before="60" w:after="60" w:line="240" w:lineRule="atLeast"/>
              <w:rPr>
                <w:rFonts w:cs="Arial"/>
                <w:sz w:val="18"/>
                <w:szCs w:val="18"/>
                <w:lang w:val="bg-BG"/>
              </w:rPr>
            </w:pP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p>
        </w:tc>
      </w:tr>
      <w:tr w:rsidR="00C01A94" w:rsidRPr="008D2440" w:rsidTr="00196FBC">
        <w:trPr>
          <w:cantSplit/>
          <w:jc w:val="center"/>
        </w:trPr>
        <w:tc>
          <w:tcPr>
            <w:tcW w:w="1342" w:type="dxa"/>
            <w:vMerge w:val="restart"/>
            <w:shd w:val="clear" w:color="auto" w:fill="auto"/>
          </w:tcPr>
          <w:p w:rsidR="00C01A94" w:rsidRPr="009072DA" w:rsidRDefault="00C01A94" w:rsidP="00C01A94">
            <w:pPr>
              <w:spacing w:before="80" w:after="80" w:line="240" w:lineRule="atLeast"/>
              <w:rPr>
                <w:rFonts w:cs="Arial"/>
                <w:sz w:val="18"/>
                <w:szCs w:val="18"/>
                <w:lang w:val="bg-BG"/>
              </w:rPr>
            </w:pPr>
            <w:r w:rsidRPr="009072DA">
              <w:rPr>
                <w:sz w:val="18"/>
                <w:lang w:val="bg-BG"/>
              </w:rPr>
              <w:lastRenderedPageBreak/>
              <w:t>18.01</w:t>
            </w:r>
          </w:p>
        </w:tc>
        <w:tc>
          <w:tcPr>
            <w:tcW w:w="1458" w:type="dxa"/>
            <w:vMerge w:val="restart"/>
            <w:shd w:val="clear" w:color="auto" w:fill="auto"/>
          </w:tcPr>
          <w:p w:rsidR="00C01A94" w:rsidRPr="009072DA" w:rsidRDefault="00C01A94" w:rsidP="004D2B3E">
            <w:pPr>
              <w:spacing w:before="80" w:after="80" w:line="240" w:lineRule="atLeast"/>
              <w:rPr>
                <w:rFonts w:cs="Arial"/>
                <w:sz w:val="18"/>
                <w:szCs w:val="18"/>
                <w:lang w:val="bg-BG"/>
              </w:rPr>
            </w:pPr>
            <w:r w:rsidRPr="009072DA">
              <w:rPr>
                <w:sz w:val="18"/>
                <w:lang w:val="bg-BG"/>
              </w:rPr>
              <w:t>Точка 2, таблици 1 и 2, и точка 5</w:t>
            </w:r>
          </w:p>
        </w:tc>
        <w:tc>
          <w:tcPr>
            <w:tcW w:w="3296" w:type="dxa"/>
            <w:vMerge w:val="restart"/>
            <w:shd w:val="clear" w:color="auto" w:fill="auto"/>
          </w:tcPr>
          <w:p w:rsidR="00C01A94" w:rsidRPr="009072DA" w:rsidRDefault="00C01A94" w:rsidP="00C01A94">
            <w:pPr>
              <w:adjustRightInd w:val="0"/>
              <w:spacing w:before="80" w:after="80" w:line="240" w:lineRule="atLeast"/>
              <w:rPr>
                <w:rFonts w:cs="Arial"/>
                <w:sz w:val="18"/>
                <w:szCs w:val="18"/>
                <w:lang w:val="bg-BG"/>
              </w:rPr>
            </w:pPr>
            <w:r w:rsidRPr="009072DA">
              <w:rPr>
                <w:sz w:val="18"/>
                <w:lang w:val="bg-BG"/>
              </w:rPr>
              <w:t>Пределни/контролни стойности и одобрения на типа</w:t>
            </w:r>
          </w:p>
        </w:tc>
        <w:tc>
          <w:tcPr>
            <w:tcW w:w="6521" w:type="dxa"/>
            <w:shd w:val="clear" w:color="auto" w:fill="auto"/>
          </w:tcPr>
          <w:p w:rsidR="00C01A94" w:rsidRPr="009072DA" w:rsidRDefault="00C01A94" w:rsidP="00C01A94">
            <w:pPr>
              <w:spacing w:before="80" w:after="80" w:line="240" w:lineRule="atLeast"/>
              <w:rPr>
                <w:rFonts w:cs="Arial"/>
                <w:sz w:val="18"/>
                <w:szCs w:val="18"/>
                <w:lang w:val="bg-BG"/>
              </w:rPr>
            </w:pPr>
            <w:r w:rsidRPr="009072DA">
              <w:rPr>
                <w:sz w:val="18"/>
                <w:lang w:val="bg-BG"/>
              </w:rPr>
              <w:t>НЗР, при условие че</w:t>
            </w:r>
          </w:p>
          <w:p w:rsidR="00C01A94" w:rsidRPr="009072DA" w:rsidRDefault="00C01A94" w:rsidP="00C01A94">
            <w:pPr>
              <w:spacing w:before="80" w:after="80" w:line="240" w:lineRule="atLeast"/>
              <w:ind w:left="317" w:hanging="317"/>
              <w:rPr>
                <w:rFonts w:cs="Arial"/>
                <w:sz w:val="18"/>
                <w:szCs w:val="18"/>
                <w:lang w:val="bg-BG"/>
              </w:rPr>
            </w:pPr>
            <w:r w:rsidRPr="009072DA">
              <w:rPr>
                <w:sz w:val="18"/>
                <w:lang w:val="bg-BG"/>
              </w:rPr>
              <w:t>a)</w:t>
            </w:r>
            <w:r w:rsidRPr="009072DA">
              <w:rPr>
                <w:lang w:val="bg-BG"/>
              </w:rPr>
              <w:tab/>
            </w:r>
            <w:r w:rsidRPr="009072DA">
              <w:rPr>
                <w:sz w:val="18"/>
                <w:lang w:val="bg-BG"/>
              </w:rPr>
              <w:t>пределните и контролните стойности не надвишават стойностите съгласно етап II с повече от фактор 2,</w:t>
            </w:r>
          </w:p>
          <w:p w:rsidR="00C01A94" w:rsidRPr="009072DA" w:rsidRDefault="00C01A94" w:rsidP="00C01A94">
            <w:pPr>
              <w:spacing w:before="80" w:after="80" w:line="240" w:lineRule="atLeast"/>
              <w:ind w:left="317" w:hanging="317"/>
              <w:rPr>
                <w:rFonts w:cs="Arial"/>
                <w:sz w:val="18"/>
                <w:szCs w:val="18"/>
                <w:lang w:val="bg-BG"/>
              </w:rPr>
            </w:pPr>
            <w:r w:rsidRPr="009072DA">
              <w:rPr>
                <w:sz w:val="18"/>
                <w:lang w:val="bg-BG"/>
              </w:rPr>
              <w:t>б)</w:t>
            </w:r>
            <w:r w:rsidRPr="009072DA">
              <w:rPr>
                <w:lang w:val="bg-BG"/>
              </w:rPr>
              <w:tab/>
            </w:r>
            <w:r w:rsidRPr="009072DA">
              <w:rPr>
                <w:sz w:val="18"/>
                <w:lang w:val="bg-BG"/>
              </w:rPr>
              <w:t>бордовата станция за пречистване на отпадъчни води има сертификат от производителя или от експерт, който потвърждава, че тя може да се справи с обичайните видове натоварване на борда на плавателното средство и</w:t>
            </w:r>
          </w:p>
          <w:p w:rsidR="00C01A94" w:rsidRPr="009072DA" w:rsidRDefault="00C01A94" w:rsidP="00C01A94">
            <w:pPr>
              <w:adjustRightInd w:val="0"/>
              <w:spacing w:before="80" w:after="80" w:line="240" w:lineRule="atLeast"/>
              <w:ind w:left="317" w:hanging="317"/>
              <w:rPr>
                <w:rFonts w:cs="Arial"/>
                <w:sz w:val="18"/>
                <w:szCs w:val="18"/>
                <w:lang w:val="bg-BG"/>
              </w:rPr>
            </w:pPr>
            <w:r w:rsidRPr="009072DA">
              <w:rPr>
                <w:sz w:val="18"/>
                <w:lang w:val="bg-BG"/>
              </w:rPr>
              <w:t>в)</w:t>
            </w:r>
            <w:r w:rsidRPr="009072DA">
              <w:rPr>
                <w:lang w:val="bg-BG"/>
              </w:rPr>
              <w:tab/>
            </w:r>
            <w:r w:rsidRPr="009072DA">
              <w:rPr>
                <w:sz w:val="18"/>
                <w:lang w:val="bg-BG"/>
              </w:rPr>
              <w:t>за нея е налице система за управление на утайките от отпадъчните води, която е подходяща за условията на експлоатация на бордовата станция за пречистване на отпадъчни води на борда на пътнически плавателен съд.</w:t>
            </w:r>
          </w:p>
        </w:tc>
        <w:tc>
          <w:tcPr>
            <w:tcW w:w="1276" w:type="dxa"/>
            <w:shd w:val="clear" w:color="auto" w:fill="auto"/>
          </w:tcPr>
          <w:p w:rsidR="00C01A94" w:rsidRPr="009072DA" w:rsidRDefault="00C01A94" w:rsidP="00C01A94">
            <w:pPr>
              <w:spacing w:before="80" w:after="80" w:line="240" w:lineRule="atLeast"/>
              <w:rPr>
                <w:rFonts w:cs="Arial"/>
                <w:sz w:val="18"/>
                <w:szCs w:val="18"/>
                <w:lang w:val="bg-BG"/>
              </w:rPr>
            </w:pPr>
          </w:p>
        </w:tc>
      </w:tr>
      <w:tr w:rsidR="00C01A94" w:rsidRPr="008D2440" w:rsidTr="00196FBC">
        <w:trPr>
          <w:cantSplit/>
          <w:jc w:val="center"/>
        </w:trPr>
        <w:tc>
          <w:tcPr>
            <w:tcW w:w="1342" w:type="dxa"/>
            <w:vMerge/>
            <w:shd w:val="clear" w:color="auto" w:fill="auto"/>
          </w:tcPr>
          <w:p w:rsidR="00C01A94" w:rsidRPr="009072DA" w:rsidRDefault="00C01A94" w:rsidP="00C01A94">
            <w:pPr>
              <w:spacing w:before="80" w:after="80" w:line="240" w:lineRule="atLeast"/>
              <w:rPr>
                <w:rFonts w:cs="Arial"/>
                <w:sz w:val="18"/>
                <w:szCs w:val="18"/>
                <w:lang w:val="bg-BG"/>
              </w:rPr>
            </w:pPr>
          </w:p>
        </w:tc>
        <w:tc>
          <w:tcPr>
            <w:tcW w:w="1458" w:type="dxa"/>
            <w:vMerge/>
            <w:shd w:val="clear" w:color="auto" w:fill="auto"/>
          </w:tcPr>
          <w:p w:rsidR="00C01A94" w:rsidRPr="009072DA" w:rsidRDefault="00C01A94" w:rsidP="00C01A94">
            <w:pPr>
              <w:spacing w:before="80" w:after="80" w:line="240" w:lineRule="atLeast"/>
              <w:rPr>
                <w:rFonts w:cs="Arial"/>
                <w:sz w:val="18"/>
                <w:szCs w:val="18"/>
                <w:lang w:val="bg-BG"/>
              </w:rPr>
            </w:pPr>
          </w:p>
        </w:tc>
        <w:tc>
          <w:tcPr>
            <w:tcW w:w="3296" w:type="dxa"/>
            <w:vMerge/>
            <w:shd w:val="clear" w:color="auto" w:fill="auto"/>
          </w:tcPr>
          <w:p w:rsidR="00C01A94" w:rsidRPr="009072DA" w:rsidRDefault="00C01A94" w:rsidP="00C01A94">
            <w:pPr>
              <w:tabs>
                <w:tab w:val="left" w:pos="1080"/>
              </w:tabs>
              <w:spacing w:before="80" w:after="80" w:line="240" w:lineRule="atLeast"/>
              <w:rPr>
                <w:rFonts w:cs="Arial"/>
                <w:sz w:val="18"/>
                <w:szCs w:val="18"/>
                <w:lang w:val="bg-BG"/>
              </w:rPr>
            </w:pPr>
          </w:p>
        </w:tc>
        <w:tc>
          <w:tcPr>
            <w:tcW w:w="6521" w:type="dxa"/>
            <w:shd w:val="clear" w:color="auto" w:fill="auto"/>
          </w:tcPr>
          <w:p w:rsidR="00C01A94" w:rsidRPr="009072DA" w:rsidRDefault="00C01A94" w:rsidP="00C01A94">
            <w:pPr>
              <w:spacing w:before="80" w:after="80" w:line="240" w:lineRule="atLeast"/>
              <w:rPr>
                <w:rFonts w:cs="Arial"/>
                <w:sz w:val="18"/>
                <w:szCs w:val="18"/>
                <w:lang w:val="bg-BG"/>
              </w:rPr>
            </w:pPr>
            <w:r w:rsidRPr="009072DA">
              <w:rPr>
                <w:sz w:val="18"/>
                <w:lang w:val="bg-BG"/>
              </w:rPr>
              <w:t>Бордови станции за пречистване на отпадъчни води, които са одобрени на или след 1 декември 2011 г. съгласно изискванията на Резолюция 2010-II-27 на ЦККР (етап II), могат да продължат да бъдат монтирани и използвани.</w:t>
            </w:r>
          </w:p>
        </w:tc>
        <w:tc>
          <w:tcPr>
            <w:tcW w:w="1276" w:type="dxa"/>
            <w:shd w:val="clear" w:color="auto" w:fill="auto"/>
          </w:tcPr>
          <w:p w:rsidR="00C01A94" w:rsidRPr="009072DA" w:rsidRDefault="00C01A94" w:rsidP="00C01A94">
            <w:pPr>
              <w:spacing w:before="80" w:after="80" w:line="240" w:lineRule="atLeast"/>
              <w:rPr>
                <w:rFonts w:cs="Arial"/>
                <w:sz w:val="18"/>
                <w:szCs w:val="18"/>
                <w:lang w:val="bg-BG"/>
              </w:rPr>
            </w:pPr>
          </w:p>
        </w:tc>
      </w:tr>
      <w:tr w:rsidR="00C01A94" w:rsidRPr="008D2440" w:rsidTr="00196FBC">
        <w:trPr>
          <w:cantSplit/>
          <w:jc w:val="center"/>
        </w:trPr>
        <w:tc>
          <w:tcPr>
            <w:tcW w:w="1342" w:type="dxa"/>
            <w:vMerge/>
            <w:shd w:val="clear" w:color="auto" w:fill="auto"/>
          </w:tcPr>
          <w:p w:rsidR="00C01A94" w:rsidRPr="009072DA" w:rsidRDefault="00C01A94" w:rsidP="00C01A94">
            <w:pPr>
              <w:spacing w:before="80" w:after="80" w:line="240" w:lineRule="atLeast"/>
              <w:rPr>
                <w:rFonts w:cs="Arial"/>
                <w:sz w:val="18"/>
                <w:szCs w:val="18"/>
                <w:lang w:val="bg-BG"/>
              </w:rPr>
            </w:pPr>
          </w:p>
        </w:tc>
        <w:tc>
          <w:tcPr>
            <w:tcW w:w="1458" w:type="dxa"/>
            <w:vMerge/>
            <w:shd w:val="clear" w:color="auto" w:fill="auto"/>
          </w:tcPr>
          <w:p w:rsidR="00C01A94" w:rsidRPr="009072DA" w:rsidRDefault="00C01A94" w:rsidP="00C01A94">
            <w:pPr>
              <w:spacing w:before="80" w:after="80" w:line="240" w:lineRule="atLeast"/>
              <w:rPr>
                <w:rFonts w:cs="Arial"/>
                <w:sz w:val="18"/>
                <w:szCs w:val="18"/>
                <w:lang w:val="bg-BG"/>
              </w:rPr>
            </w:pPr>
          </w:p>
        </w:tc>
        <w:tc>
          <w:tcPr>
            <w:tcW w:w="3296" w:type="dxa"/>
            <w:vMerge/>
            <w:shd w:val="clear" w:color="auto" w:fill="auto"/>
          </w:tcPr>
          <w:p w:rsidR="00C01A94" w:rsidRPr="009072DA" w:rsidRDefault="00C01A94" w:rsidP="00C01A94">
            <w:pPr>
              <w:tabs>
                <w:tab w:val="left" w:pos="1080"/>
              </w:tabs>
              <w:spacing w:before="80" w:after="80" w:line="240" w:lineRule="atLeast"/>
              <w:rPr>
                <w:rFonts w:cs="Arial"/>
                <w:sz w:val="18"/>
                <w:szCs w:val="18"/>
                <w:lang w:val="bg-BG"/>
              </w:rPr>
            </w:pPr>
          </w:p>
        </w:tc>
        <w:tc>
          <w:tcPr>
            <w:tcW w:w="6521" w:type="dxa"/>
            <w:shd w:val="clear" w:color="auto" w:fill="auto"/>
          </w:tcPr>
          <w:p w:rsidR="00C01A94" w:rsidRPr="009072DA" w:rsidRDefault="00C01A94" w:rsidP="00C01A94">
            <w:pPr>
              <w:spacing w:before="80" w:after="80" w:line="240" w:lineRule="atLeast"/>
              <w:rPr>
                <w:rFonts w:cs="Arial"/>
                <w:sz w:val="18"/>
                <w:szCs w:val="18"/>
                <w:lang w:val="bg-BG"/>
              </w:rPr>
            </w:pPr>
            <w:r w:rsidRPr="009072DA">
              <w:rPr>
                <w:sz w:val="18"/>
                <w:lang w:val="bg-BG"/>
              </w:rPr>
              <w:t>Бордови станции за пречистване на отпадъчни води, които са одобрени на или след 10 януари 2013 г. съгласно изискванията на Директива 2012/49/ЕС (етап II), могат да продължат да бъдат монтирани и използвани.</w:t>
            </w:r>
          </w:p>
        </w:tc>
        <w:tc>
          <w:tcPr>
            <w:tcW w:w="1276" w:type="dxa"/>
            <w:shd w:val="clear" w:color="auto" w:fill="auto"/>
          </w:tcPr>
          <w:p w:rsidR="00C01A94" w:rsidRPr="009072DA" w:rsidRDefault="00C01A94" w:rsidP="00C01A94">
            <w:pPr>
              <w:spacing w:before="80" w:after="80" w:line="240" w:lineRule="atLeast"/>
              <w:rPr>
                <w:rFonts w:cs="Arial"/>
                <w:sz w:val="18"/>
                <w:szCs w:val="18"/>
                <w:lang w:val="bg-BG"/>
              </w:rPr>
            </w:pPr>
          </w:p>
        </w:tc>
      </w:tr>
      <w:tr w:rsidR="00C01A94" w:rsidRPr="009072DA" w:rsidTr="00196FBC">
        <w:trPr>
          <w:cantSplit/>
          <w:jc w:val="center"/>
        </w:trPr>
        <w:tc>
          <w:tcPr>
            <w:tcW w:w="6096" w:type="dxa"/>
            <w:gridSpan w:val="3"/>
            <w:shd w:val="clear" w:color="auto" w:fill="auto"/>
          </w:tcPr>
          <w:p w:rsidR="00C01A94" w:rsidRPr="009072DA" w:rsidRDefault="00C01A94" w:rsidP="00C01A94">
            <w:pPr>
              <w:tabs>
                <w:tab w:val="left" w:pos="1080"/>
              </w:tabs>
              <w:spacing w:before="80" w:after="80" w:line="240" w:lineRule="atLeast"/>
              <w:jc w:val="center"/>
              <w:rPr>
                <w:rFonts w:cs="Arial"/>
                <w:sz w:val="18"/>
                <w:szCs w:val="18"/>
                <w:lang w:val="bg-BG"/>
              </w:rPr>
            </w:pPr>
            <w:r w:rsidRPr="009072DA">
              <w:rPr>
                <w:b/>
                <w:sz w:val="18"/>
                <w:lang w:val="bg-BG"/>
              </w:rPr>
              <w:t>ГЛАВА 19</w:t>
            </w:r>
          </w:p>
        </w:tc>
        <w:tc>
          <w:tcPr>
            <w:tcW w:w="6521" w:type="dxa"/>
            <w:shd w:val="clear" w:color="auto" w:fill="auto"/>
          </w:tcPr>
          <w:p w:rsidR="00C01A94" w:rsidRPr="009072DA" w:rsidRDefault="00C01A94" w:rsidP="00C01A94">
            <w:pPr>
              <w:spacing w:before="80" w:after="80" w:line="240" w:lineRule="atLeast"/>
              <w:rPr>
                <w:rFonts w:cs="Arial"/>
                <w:sz w:val="18"/>
                <w:szCs w:val="18"/>
                <w:lang w:val="bg-BG"/>
              </w:rPr>
            </w:pPr>
          </w:p>
        </w:tc>
        <w:tc>
          <w:tcPr>
            <w:tcW w:w="1276" w:type="dxa"/>
            <w:shd w:val="clear" w:color="auto" w:fill="auto"/>
          </w:tcPr>
          <w:p w:rsidR="00C01A94" w:rsidRPr="009072DA" w:rsidRDefault="00C01A94" w:rsidP="00C01A94">
            <w:pPr>
              <w:spacing w:before="80" w:after="80" w:line="240" w:lineRule="atLeast"/>
              <w:rPr>
                <w:rFonts w:cs="Arial"/>
                <w:sz w:val="18"/>
                <w:szCs w:val="18"/>
                <w:lang w:val="bg-BG"/>
              </w:rPr>
            </w:pPr>
          </w:p>
        </w:tc>
      </w:tr>
      <w:tr w:rsidR="00C01A94" w:rsidRPr="008D2440" w:rsidTr="00330D4B">
        <w:trPr>
          <w:cantSplit/>
          <w:trHeight w:val="1050"/>
          <w:jc w:val="center"/>
        </w:trPr>
        <w:tc>
          <w:tcPr>
            <w:tcW w:w="1342" w:type="dxa"/>
            <w:tcBorders>
              <w:top w:val="nil"/>
              <w:bottom w:val="nil"/>
            </w:tcBorders>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19.01</w:t>
            </w:r>
          </w:p>
        </w:tc>
        <w:tc>
          <w:tcPr>
            <w:tcW w:w="1458"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Точка 2, буква г)</w:t>
            </w:r>
          </w:p>
        </w:tc>
        <w:tc>
          <w:tcPr>
            <w:tcW w:w="3296" w:type="dxa"/>
            <w:shd w:val="clear" w:color="auto" w:fill="auto"/>
          </w:tcPr>
          <w:p w:rsidR="00C01A94" w:rsidRPr="009072DA" w:rsidRDefault="00C01A94" w:rsidP="00B74390">
            <w:pPr>
              <w:tabs>
                <w:tab w:val="left" w:pos="1080"/>
              </w:tabs>
              <w:spacing w:before="120" w:after="120" w:line="240" w:lineRule="atLeast"/>
              <w:rPr>
                <w:rFonts w:cs="Arial"/>
                <w:sz w:val="18"/>
                <w:szCs w:val="18"/>
                <w:lang w:val="bg-BG"/>
              </w:rPr>
            </w:pPr>
            <w:r w:rsidRPr="009072DA">
              <w:rPr>
                <w:sz w:val="18"/>
                <w:lang w:val="bg-BG"/>
              </w:rPr>
              <w:t>Забрана на отоплителни уреди с твърдо гориво съгласно член 16.07</w:t>
            </w:r>
          </w:p>
        </w:tc>
        <w:tc>
          <w:tcPr>
            <w:tcW w:w="6521"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Разпоредбата не важи по отношение на плавателни съдове с двигатели на твърдо гориво (парни двигатели).</w:t>
            </w:r>
          </w:p>
        </w:tc>
        <w:tc>
          <w:tcPr>
            <w:tcW w:w="1276" w:type="dxa"/>
            <w:shd w:val="clear" w:color="auto" w:fill="auto"/>
          </w:tcPr>
          <w:p w:rsidR="00C01A94" w:rsidRPr="009072DA" w:rsidRDefault="00C01A94" w:rsidP="00B74390">
            <w:pPr>
              <w:spacing w:before="120" w:after="120" w:line="240" w:lineRule="atLeast"/>
              <w:rPr>
                <w:rFonts w:cs="Arial"/>
                <w:sz w:val="18"/>
                <w:szCs w:val="18"/>
                <w:lang w:val="bg-BG"/>
              </w:rPr>
            </w:pPr>
          </w:p>
        </w:tc>
      </w:tr>
      <w:tr w:rsidR="00C01A94" w:rsidRPr="009072DA" w:rsidTr="00330D4B">
        <w:trPr>
          <w:cantSplit/>
          <w:jc w:val="center"/>
        </w:trPr>
        <w:tc>
          <w:tcPr>
            <w:tcW w:w="1342" w:type="dxa"/>
            <w:tcBorders>
              <w:top w:val="nil"/>
              <w:bottom w:val="nil"/>
            </w:tcBorders>
            <w:shd w:val="clear" w:color="auto" w:fill="auto"/>
          </w:tcPr>
          <w:p w:rsidR="00C01A94" w:rsidRPr="009072DA" w:rsidRDefault="00C01A94" w:rsidP="00B74390">
            <w:pPr>
              <w:spacing w:before="120" w:after="120" w:line="240" w:lineRule="atLeast"/>
              <w:rPr>
                <w:rFonts w:cs="Arial"/>
                <w:sz w:val="18"/>
                <w:szCs w:val="18"/>
                <w:lang w:val="bg-BG"/>
              </w:rPr>
            </w:pPr>
          </w:p>
        </w:tc>
        <w:tc>
          <w:tcPr>
            <w:tcW w:w="1458" w:type="dxa"/>
            <w:vMerge w:val="restart"/>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Точка 2, буква д)</w:t>
            </w:r>
          </w:p>
        </w:tc>
        <w:tc>
          <w:tcPr>
            <w:tcW w:w="3296" w:type="dxa"/>
            <w:vMerge w:val="restart"/>
            <w:shd w:val="clear" w:color="auto" w:fill="auto"/>
          </w:tcPr>
          <w:p w:rsidR="00C01A94" w:rsidRPr="009072DA" w:rsidRDefault="00C01A94" w:rsidP="00B74390">
            <w:pPr>
              <w:tabs>
                <w:tab w:val="left" w:pos="1080"/>
              </w:tabs>
              <w:spacing w:before="120" w:after="120" w:line="240" w:lineRule="atLeast"/>
              <w:rPr>
                <w:rFonts w:cs="Arial"/>
                <w:sz w:val="18"/>
                <w:szCs w:val="18"/>
                <w:lang w:val="bg-BG"/>
              </w:rPr>
            </w:pPr>
            <w:r w:rsidRPr="009072DA">
              <w:rPr>
                <w:sz w:val="18"/>
                <w:lang w:val="bg-BG"/>
              </w:rPr>
              <w:t>Забрана на уредбите за втечнен газ съгласно глава 17</w:t>
            </w:r>
          </w:p>
        </w:tc>
        <w:tc>
          <w:tcPr>
            <w:tcW w:w="6521"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1.1.2045 г.</w:t>
            </w:r>
          </w:p>
        </w:tc>
      </w:tr>
      <w:tr w:rsidR="00C01A94" w:rsidRPr="008D2440" w:rsidTr="00F14E8B">
        <w:trPr>
          <w:cantSplit/>
          <w:jc w:val="center"/>
        </w:trPr>
        <w:tc>
          <w:tcPr>
            <w:tcW w:w="1342" w:type="dxa"/>
            <w:tcBorders>
              <w:top w:val="nil"/>
              <w:bottom w:val="nil"/>
            </w:tcBorders>
            <w:shd w:val="clear" w:color="auto" w:fill="auto"/>
          </w:tcPr>
          <w:p w:rsidR="00C01A94" w:rsidRPr="009072DA" w:rsidRDefault="00C01A94" w:rsidP="00B74390">
            <w:pPr>
              <w:spacing w:before="120" w:after="120" w:line="240" w:lineRule="atLeast"/>
              <w:rPr>
                <w:rFonts w:cs="Arial"/>
                <w:sz w:val="18"/>
                <w:szCs w:val="18"/>
                <w:lang w:val="bg-BG"/>
              </w:rPr>
            </w:pPr>
          </w:p>
        </w:tc>
        <w:tc>
          <w:tcPr>
            <w:tcW w:w="1458" w:type="dxa"/>
            <w:vMerge/>
            <w:shd w:val="clear" w:color="auto" w:fill="auto"/>
          </w:tcPr>
          <w:p w:rsidR="00C01A94" w:rsidRPr="009072DA" w:rsidRDefault="00C01A94" w:rsidP="00B74390">
            <w:pPr>
              <w:spacing w:before="120" w:after="120" w:line="240" w:lineRule="atLeast"/>
              <w:rPr>
                <w:rFonts w:cs="Arial"/>
                <w:sz w:val="18"/>
                <w:szCs w:val="18"/>
                <w:lang w:val="bg-BG"/>
              </w:rPr>
            </w:pPr>
          </w:p>
        </w:tc>
        <w:tc>
          <w:tcPr>
            <w:tcW w:w="3296" w:type="dxa"/>
            <w:vMerge/>
            <w:shd w:val="clear" w:color="auto" w:fill="auto"/>
          </w:tcPr>
          <w:p w:rsidR="00C01A94" w:rsidRPr="009072DA" w:rsidRDefault="00C01A94" w:rsidP="00B74390">
            <w:pPr>
              <w:tabs>
                <w:tab w:val="left" w:pos="1080"/>
              </w:tabs>
              <w:spacing w:before="120" w:after="120" w:line="240" w:lineRule="atLeast"/>
              <w:rPr>
                <w:rFonts w:cs="Arial"/>
                <w:sz w:val="18"/>
                <w:szCs w:val="18"/>
                <w:lang w:val="bg-BG"/>
              </w:rPr>
            </w:pPr>
          </w:p>
        </w:tc>
        <w:tc>
          <w:tcPr>
            <w:tcW w:w="6521"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Преходната разпоредба се прилага само ако алармените системи са монтирани в съответствие с член 19.15, точка 8.</w:t>
            </w:r>
          </w:p>
        </w:tc>
        <w:tc>
          <w:tcPr>
            <w:tcW w:w="1276" w:type="dxa"/>
            <w:shd w:val="clear" w:color="auto" w:fill="auto"/>
          </w:tcPr>
          <w:p w:rsidR="00C01A94" w:rsidRPr="009072DA" w:rsidRDefault="00C01A94" w:rsidP="00B74390">
            <w:pPr>
              <w:spacing w:before="120" w:after="120" w:line="240" w:lineRule="atLeast"/>
              <w:rPr>
                <w:rFonts w:cs="Arial"/>
                <w:sz w:val="18"/>
                <w:szCs w:val="18"/>
                <w:lang w:val="bg-BG"/>
              </w:rPr>
            </w:pPr>
          </w:p>
        </w:tc>
      </w:tr>
      <w:tr w:rsidR="00C01A94" w:rsidRPr="009072DA" w:rsidTr="00196FBC">
        <w:trPr>
          <w:cantSplit/>
          <w:jc w:val="center"/>
        </w:trPr>
        <w:tc>
          <w:tcPr>
            <w:tcW w:w="1342" w:type="dxa"/>
            <w:tcBorders>
              <w:top w:val="nil"/>
              <w:bottom w:val="single" w:sz="4" w:space="0" w:color="auto"/>
            </w:tcBorders>
            <w:shd w:val="clear" w:color="auto" w:fill="auto"/>
          </w:tcPr>
          <w:p w:rsidR="00C01A94" w:rsidRPr="009072DA" w:rsidRDefault="00C01A94" w:rsidP="00B74390">
            <w:pPr>
              <w:spacing w:before="120" w:after="120" w:line="240" w:lineRule="atLeast"/>
              <w:rPr>
                <w:rFonts w:cs="Arial"/>
                <w:sz w:val="18"/>
                <w:szCs w:val="18"/>
                <w:lang w:val="bg-BG"/>
              </w:rPr>
            </w:pPr>
          </w:p>
        </w:tc>
        <w:tc>
          <w:tcPr>
            <w:tcW w:w="1458"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Точки 5 и 6</w:t>
            </w:r>
          </w:p>
        </w:tc>
        <w:tc>
          <w:tcPr>
            <w:tcW w:w="3296" w:type="dxa"/>
            <w:shd w:val="clear" w:color="auto" w:fill="auto"/>
          </w:tcPr>
          <w:p w:rsidR="00C01A94" w:rsidRPr="009072DA" w:rsidRDefault="00C01A94" w:rsidP="00B74390">
            <w:pPr>
              <w:tabs>
                <w:tab w:val="right" w:pos="3856"/>
                <w:tab w:val="center" w:pos="4536"/>
                <w:tab w:val="left" w:pos="6521"/>
                <w:tab w:val="right" w:pos="9072"/>
              </w:tabs>
              <w:spacing w:before="120" w:after="120" w:line="240" w:lineRule="atLeast"/>
              <w:rPr>
                <w:rFonts w:cs="Arial"/>
                <w:sz w:val="18"/>
                <w:szCs w:val="18"/>
                <w:lang w:val="bg-BG"/>
              </w:rPr>
            </w:pPr>
            <w:r w:rsidRPr="009072DA">
              <w:rPr>
                <w:color w:val="000000"/>
                <w:sz w:val="18"/>
                <w:lang w:val="bg-BG"/>
              </w:rPr>
              <w:t xml:space="preserve">Мъртва зона пред плавателния съд на две дължини на плавателния съд, ако дължината е под 250 m </w:t>
            </w:r>
            <w:r w:rsidRPr="009072DA">
              <w:rPr>
                <w:rFonts w:cs="Arial"/>
                <w:color w:val="000000"/>
                <w:sz w:val="18"/>
                <w:szCs w:val="18"/>
                <w:lang w:val="bg-BG"/>
              </w:rPr>
              <w:br/>
            </w:r>
            <w:r w:rsidRPr="009072DA">
              <w:rPr>
                <w:sz w:val="18"/>
                <w:lang w:val="bg-BG"/>
              </w:rPr>
              <w:t>Достатъчна видимост назад</w:t>
            </w:r>
          </w:p>
        </w:tc>
        <w:tc>
          <w:tcPr>
            <w:tcW w:w="6521"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1.1.2045 г.</w:t>
            </w:r>
          </w:p>
        </w:tc>
      </w:tr>
      <w:tr w:rsidR="00C01A94" w:rsidRPr="009072DA" w:rsidTr="00A66FB3">
        <w:trPr>
          <w:cantSplit/>
          <w:jc w:val="center"/>
        </w:trPr>
        <w:tc>
          <w:tcPr>
            <w:tcW w:w="1342" w:type="dxa"/>
            <w:tcBorders>
              <w:bottom w:val="nil"/>
            </w:tcBorders>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lastRenderedPageBreak/>
              <w:t>19.02</w:t>
            </w:r>
          </w:p>
        </w:tc>
        <w:tc>
          <w:tcPr>
            <w:tcW w:w="1458" w:type="dxa"/>
            <w:tcBorders>
              <w:bottom w:val="single" w:sz="4" w:space="0" w:color="auto"/>
            </w:tcBorders>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Точка 2</w:t>
            </w:r>
          </w:p>
        </w:tc>
        <w:tc>
          <w:tcPr>
            <w:tcW w:w="3296" w:type="dxa"/>
            <w:tcBorders>
              <w:bottom w:val="single" w:sz="4" w:space="0" w:color="auto"/>
            </w:tcBorders>
            <w:shd w:val="clear" w:color="auto" w:fill="auto"/>
          </w:tcPr>
          <w:p w:rsidR="00C01A94" w:rsidRPr="009072DA" w:rsidRDefault="00C01A94" w:rsidP="00B74390">
            <w:pPr>
              <w:tabs>
                <w:tab w:val="left" w:pos="1080"/>
              </w:tabs>
              <w:spacing w:before="120" w:after="120" w:line="240" w:lineRule="atLeast"/>
              <w:rPr>
                <w:rFonts w:cs="Arial"/>
                <w:sz w:val="18"/>
                <w:szCs w:val="18"/>
                <w:lang w:val="bg-BG"/>
              </w:rPr>
            </w:pPr>
            <w:r w:rsidRPr="009072DA">
              <w:rPr>
                <w:sz w:val="18"/>
                <w:lang w:val="bg-BG"/>
              </w:rPr>
              <w:t>Брой и местоположение на преградите</w:t>
            </w:r>
          </w:p>
        </w:tc>
        <w:tc>
          <w:tcPr>
            <w:tcW w:w="6521"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1.1.2045 г.</w:t>
            </w:r>
          </w:p>
        </w:tc>
      </w:tr>
      <w:tr w:rsidR="00C01A94" w:rsidRPr="009072DA" w:rsidTr="00F14E8B">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vMerge w:val="restart"/>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3</w:t>
            </w:r>
          </w:p>
        </w:tc>
        <w:tc>
          <w:tcPr>
            <w:tcW w:w="3296" w:type="dxa"/>
            <w:vMerge w:val="restart"/>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Положение на ахтерпиковата преграда</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1.1.2035 г.</w:t>
            </w:r>
          </w:p>
        </w:tc>
      </w:tr>
      <w:tr w:rsidR="00C01A94" w:rsidRPr="008D2440" w:rsidTr="00F14E8B">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vMerge/>
            <w:shd w:val="clear" w:color="auto" w:fill="auto"/>
          </w:tcPr>
          <w:p w:rsidR="00C01A94" w:rsidRPr="009072DA" w:rsidRDefault="00C01A94" w:rsidP="00C01A94">
            <w:pPr>
              <w:spacing w:before="120" w:after="120" w:line="240" w:lineRule="atLeast"/>
              <w:rPr>
                <w:rFonts w:cs="Arial"/>
                <w:sz w:val="18"/>
                <w:szCs w:val="18"/>
                <w:lang w:val="bg-BG"/>
              </w:rPr>
            </w:pPr>
          </w:p>
        </w:tc>
        <w:tc>
          <w:tcPr>
            <w:tcW w:w="3296" w:type="dxa"/>
            <w:vMerge/>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Това изискване не се прилага за пътнически плавателни съдове, които поради спазването на основните изисквания при повреда на два отсека по член 19.03, точка 9 или спазването на изискванията на член 19.07 постигат еквивалентно ниво на безопасност и маневреност.</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5, 2</w:t>
            </w:r>
            <w:r w:rsidRPr="009072DA">
              <w:rPr>
                <w:sz w:val="18"/>
                <w:vertAlign w:val="superscript"/>
                <w:lang w:val="bg-BG"/>
              </w:rPr>
              <w:t>ро </w:t>
            </w:r>
            <w:r w:rsidRPr="009072DA">
              <w:rPr>
                <w:sz w:val="18"/>
                <w:lang w:val="bg-BG"/>
              </w:rPr>
              <w:t>изречение</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Пределна линия при липса на палуба на преградите</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За пътническите плавателни съдове, които са построени преди 1.1.1996 г.,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jc w:val="center"/>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10, буква в)</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Времетраене на процеса на затваряне</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jc w:val="center"/>
              <w:rPr>
                <w:rFonts w:cs="Arial"/>
                <w:sz w:val="18"/>
                <w:szCs w:val="18"/>
                <w:lang w:val="bg-BG"/>
              </w:rPr>
            </w:pPr>
            <w:r w:rsidRPr="009072DA">
              <w:rPr>
                <w:sz w:val="18"/>
                <w:lang w:val="bg-BG"/>
              </w:rPr>
              <w:t>1.1.2015 г.</w:t>
            </w:r>
          </w:p>
        </w:tc>
      </w:tr>
      <w:tr w:rsidR="00C01A94" w:rsidRPr="009072DA" w:rsidTr="00196FBC">
        <w:trPr>
          <w:cantSplit/>
          <w:jc w:val="center"/>
        </w:trPr>
        <w:tc>
          <w:tcPr>
            <w:tcW w:w="1342" w:type="dxa"/>
            <w:tcBorders>
              <w:top w:val="nil"/>
              <w:bottom w:val="single" w:sz="4" w:space="0" w:color="auto"/>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15</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Минимална височина на двойните дъна, ширина на кухите отсеци</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jc w:val="center"/>
              <w:rPr>
                <w:rFonts w:cs="Arial"/>
                <w:sz w:val="18"/>
                <w:szCs w:val="18"/>
                <w:lang w:val="bg-BG"/>
              </w:rPr>
            </w:pPr>
            <w:r w:rsidRPr="009072DA">
              <w:rPr>
                <w:sz w:val="18"/>
                <w:lang w:val="bg-BG"/>
              </w:rPr>
              <w:t>1.1.2045 г.</w:t>
            </w:r>
          </w:p>
        </w:tc>
      </w:tr>
      <w:tr w:rsidR="00C01A94" w:rsidRPr="009072DA" w:rsidTr="00291A42">
        <w:trPr>
          <w:cantSplit/>
          <w:jc w:val="center"/>
        </w:trPr>
        <w:tc>
          <w:tcPr>
            <w:tcW w:w="1342" w:type="dxa"/>
            <w:tcBorders>
              <w:bottom w:val="nil"/>
            </w:tcBorders>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19.03</w:t>
            </w: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Точки 1 — 6</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Устойчивост в неповредено състояние</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и когато бъде увеличен максималният брой пътници,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jc w:val="center"/>
              <w:rPr>
                <w:rFonts w:cs="Arial"/>
                <w:sz w:val="18"/>
                <w:szCs w:val="18"/>
                <w:lang w:val="bg-BG"/>
              </w:rPr>
            </w:pPr>
            <w:r w:rsidRPr="009072DA">
              <w:rPr>
                <w:sz w:val="18"/>
                <w:lang w:val="bg-BG"/>
              </w:rPr>
              <w:t>1.1.2045 г.</w:t>
            </w:r>
          </w:p>
        </w:tc>
      </w:tr>
      <w:tr w:rsidR="00C01A94" w:rsidRPr="009072DA" w:rsidTr="00291A42">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tcBorders>
              <w:bottom w:val="single" w:sz="4" w:space="0" w:color="auto"/>
            </w:tcBorders>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Точки 7 и 8</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Устойчивост в повредено състояние</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jc w:val="center"/>
              <w:rPr>
                <w:rFonts w:cs="Arial"/>
                <w:sz w:val="18"/>
                <w:szCs w:val="18"/>
                <w:lang w:val="bg-BG"/>
              </w:rPr>
            </w:pPr>
            <w:r w:rsidRPr="009072DA">
              <w:rPr>
                <w:sz w:val="18"/>
                <w:lang w:val="bg-BG"/>
              </w:rPr>
              <w:t>1.1.2045 г.</w:t>
            </w:r>
          </w:p>
        </w:tc>
      </w:tr>
      <w:tr w:rsidR="00C01A94" w:rsidRPr="009072DA" w:rsidTr="00291A42">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tcBorders>
              <w:bottom w:val="nil"/>
            </w:tcBorders>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9</w:t>
            </w:r>
          </w:p>
        </w:tc>
        <w:tc>
          <w:tcPr>
            <w:tcW w:w="3296" w:type="dxa"/>
            <w:tcBorders>
              <w:bottom w:val="single" w:sz="4" w:space="0" w:color="auto"/>
            </w:tcBorders>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Устойчивост в повредено състояние</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jc w:val="center"/>
              <w:rPr>
                <w:rFonts w:cs="Arial"/>
                <w:sz w:val="18"/>
                <w:szCs w:val="18"/>
                <w:lang w:val="bg-BG"/>
              </w:rPr>
            </w:pPr>
            <w:r w:rsidRPr="009072DA">
              <w:rPr>
                <w:sz w:val="18"/>
                <w:lang w:val="bg-BG"/>
              </w:rPr>
              <w:t>1.1.2045 г.</w:t>
            </w:r>
          </w:p>
        </w:tc>
      </w:tr>
      <w:tr w:rsidR="00C01A94" w:rsidRPr="009072DA" w:rsidTr="00F14E8B">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vMerge w:val="restart"/>
            <w:tcBorders>
              <w:top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3296" w:type="dxa"/>
            <w:vMerge w:val="restart"/>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Вертикален размер на повредата на дъното на съда</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jc w:val="center"/>
              <w:rPr>
                <w:rFonts w:cs="Arial"/>
                <w:sz w:val="18"/>
                <w:szCs w:val="18"/>
                <w:lang w:val="bg-BG"/>
              </w:rPr>
            </w:pPr>
            <w:r w:rsidRPr="009072DA">
              <w:rPr>
                <w:sz w:val="18"/>
                <w:lang w:val="bg-BG"/>
              </w:rPr>
              <w:t>1.1.2045 г.</w:t>
            </w:r>
          </w:p>
        </w:tc>
      </w:tr>
      <w:tr w:rsidR="00C01A94" w:rsidRPr="008D2440" w:rsidTr="00F14E8B">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vMerge/>
            <w:tcBorders>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3296" w:type="dxa"/>
            <w:vMerge/>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приложими за плавателни съдове с водонепроницаеми палуби, на разстояние най-малко 0,50 m и не повече от 0,60 m от дъното на плавателни съдове, получили удостоверение на плавателния съд за плаване по вътрешни водни пътища за първи път преди 31.12.2005 г.</w:t>
            </w:r>
          </w:p>
        </w:tc>
        <w:tc>
          <w:tcPr>
            <w:tcW w:w="1276" w:type="dxa"/>
            <w:shd w:val="clear" w:color="auto" w:fill="auto"/>
          </w:tcPr>
          <w:p w:rsidR="00C01A94" w:rsidRPr="009072DA" w:rsidRDefault="00C01A94" w:rsidP="00C01A94">
            <w:pPr>
              <w:spacing w:before="120" w:after="120" w:line="240" w:lineRule="atLeast"/>
              <w:jc w:val="center"/>
              <w:rPr>
                <w:rFonts w:cs="Arial"/>
                <w:sz w:val="18"/>
                <w:szCs w:val="18"/>
                <w:lang w:val="bg-BG"/>
              </w:rPr>
            </w:pP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tcBorders>
              <w:top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Повреда на два отсека</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20" w:after="120" w:line="240" w:lineRule="atLeast"/>
              <w:jc w:val="center"/>
              <w:rPr>
                <w:rFonts w:cs="Arial"/>
                <w:sz w:val="18"/>
                <w:szCs w:val="18"/>
                <w:lang w:val="bg-BG"/>
              </w:rPr>
            </w:pPr>
          </w:p>
        </w:tc>
      </w:tr>
      <w:tr w:rsidR="00C01A94" w:rsidRPr="009072DA" w:rsidTr="00196FBC">
        <w:trPr>
          <w:cantSplit/>
          <w:jc w:val="center"/>
        </w:trPr>
        <w:tc>
          <w:tcPr>
            <w:tcW w:w="1342" w:type="dxa"/>
            <w:tcBorders>
              <w:top w:val="nil"/>
              <w:bottom w:val="single" w:sz="4" w:space="0" w:color="auto"/>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Точки 10 — 13</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Устойчивост в повредено състояние</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jc w:val="center"/>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bottom w:val="nil"/>
            </w:tcBorders>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19.05</w:t>
            </w: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2, буква a)</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Брой пътници, за които е доказано наличие на пунктове за евакуация съгласно член 19.06, точка 8</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single" w:sz="4" w:space="0" w:color="auto"/>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2, буква б)</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Брой пътници, взет под внимание при пресмятането на устойчивостта съгласно член 19.03</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bottom w:val="nil"/>
            </w:tcBorders>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19.06</w:t>
            </w: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1, 1</w:t>
            </w:r>
            <w:r w:rsidRPr="009072DA">
              <w:rPr>
                <w:sz w:val="18"/>
                <w:vertAlign w:val="superscript"/>
                <w:lang w:val="bg-BG"/>
              </w:rPr>
              <w:t>во </w:t>
            </w:r>
            <w:r w:rsidRPr="009072DA">
              <w:rPr>
                <w:sz w:val="18"/>
                <w:lang w:val="bg-BG"/>
              </w:rPr>
              <w:t>изречение</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Помещения за пътници на всички палуби зад първата носова непроницаема преграда и доколкото са под палубата на преградите и пред ахтерпиковата преграда</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3, буква в), 1</w:t>
            </w:r>
            <w:r w:rsidRPr="009072DA">
              <w:rPr>
                <w:sz w:val="18"/>
                <w:vertAlign w:val="superscript"/>
                <w:lang w:val="bg-BG"/>
              </w:rPr>
              <w:t>во</w:t>
            </w:r>
            <w:r w:rsidRPr="009072DA">
              <w:rPr>
                <w:sz w:val="18"/>
                <w:lang w:val="bg-BG"/>
              </w:rPr>
              <w:t xml:space="preserve"> изречение</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Габаритна височина на изходите</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3, точка 2, 2</w:t>
            </w:r>
            <w:r w:rsidRPr="009072DA">
              <w:rPr>
                <w:sz w:val="18"/>
                <w:vertAlign w:val="superscript"/>
                <w:lang w:val="bg-BG"/>
              </w:rPr>
              <w:t>ро</w:t>
            </w:r>
            <w:r w:rsidRPr="009072DA">
              <w:rPr>
                <w:sz w:val="18"/>
                <w:lang w:val="bg-BG"/>
              </w:rPr>
              <w:t xml:space="preserve"> изречение</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Габаритна ширина на вратите на пътническите каюти и други малки помещения</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3, буква е), 1</w:t>
            </w:r>
            <w:r w:rsidRPr="009072DA">
              <w:rPr>
                <w:sz w:val="18"/>
                <w:vertAlign w:val="superscript"/>
                <w:lang w:val="bg-BG"/>
              </w:rPr>
              <w:t>во</w:t>
            </w:r>
            <w:r w:rsidRPr="009072DA">
              <w:rPr>
                <w:sz w:val="18"/>
                <w:lang w:val="bg-BG"/>
              </w:rPr>
              <w:t xml:space="preserve"> изречение</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Размери на аварийните изходи</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3, буква ж)</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Изходи, предназначени за използване от лица с намалена подвижност</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120" w:after="120" w:line="240" w:lineRule="atLeast"/>
              <w:rPr>
                <w:rFonts w:cs="Arial"/>
                <w:sz w:val="18"/>
                <w:szCs w:val="18"/>
                <w:lang w:val="bg-BG"/>
              </w:rPr>
            </w:pPr>
          </w:p>
        </w:tc>
        <w:tc>
          <w:tcPr>
            <w:tcW w:w="1458"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Точка 4, буква г)</w:t>
            </w:r>
          </w:p>
        </w:tc>
        <w:tc>
          <w:tcPr>
            <w:tcW w:w="3296" w:type="dxa"/>
            <w:shd w:val="clear" w:color="auto" w:fill="auto"/>
          </w:tcPr>
          <w:p w:rsidR="00C01A94" w:rsidRPr="009072DA" w:rsidRDefault="00C01A94" w:rsidP="00B74390">
            <w:pPr>
              <w:tabs>
                <w:tab w:val="left" w:pos="930"/>
              </w:tabs>
              <w:spacing w:before="120" w:after="120" w:line="240" w:lineRule="atLeast"/>
              <w:rPr>
                <w:rFonts w:cs="Arial"/>
                <w:sz w:val="18"/>
                <w:szCs w:val="18"/>
                <w:lang w:val="bg-BG"/>
              </w:rPr>
            </w:pPr>
            <w:r w:rsidRPr="009072DA">
              <w:rPr>
                <w:sz w:val="18"/>
                <w:lang w:val="bg-BG"/>
              </w:rPr>
              <w:t>Врати, предназначени за използване от лица с намалена подвижност</w:t>
            </w:r>
          </w:p>
        </w:tc>
        <w:tc>
          <w:tcPr>
            <w:tcW w:w="6521"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120" w:after="120" w:line="240" w:lineRule="atLeast"/>
              <w:rPr>
                <w:rFonts w:cs="Arial"/>
                <w:sz w:val="18"/>
                <w:szCs w:val="18"/>
                <w:lang w:val="bg-BG"/>
              </w:rPr>
            </w:pPr>
          </w:p>
        </w:tc>
        <w:tc>
          <w:tcPr>
            <w:tcW w:w="1458"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Точка 5</w:t>
            </w:r>
          </w:p>
        </w:tc>
        <w:tc>
          <w:tcPr>
            <w:tcW w:w="3296" w:type="dxa"/>
            <w:shd w:val="clear" w:color="auto" w:fill="auto"/>
          </w:tcPr>
          <w:p w:rsidR="00C01A94" w:rsidRPr="009072DA" w:rsidRDefault="00C01A94" w:rsidP="00B74390">
            <w:pPr>
              <w:tabs>
                <w:tab w:val="left" w:pos="1080"/>
              </w:tabs>
              <w:spacing w:before="120" w:after="120" w:line="240" w:lineRule="atLeast"/>
              <w:rPr>
                <w:rFonts w:cs="Arial"/>
                <w:sz w:val="18"/>
                <w:szCs w:val="18"/>
                <w:lang w:val="bg-BG"/>
              </w:rPr>
            </w:pPr>
            <w:r w:rsidRPr="009072DA">
              <w:rPr>
                <w:sz w:val="18"/>
                <w:lang w:val="bg-BG"/>
              </w:rPr>
              <w:t>Изисквания относно свързващите коридори</w:t>
            </w:r>
          </w:p>
        </w:tc>
        <w:tc>
          <w:tcPr>
            <w:tcW w:w="6521"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120" w:after="120" w:line="240" w:lineRule="atLeast"/>
              <w:rPr>
                <w:rFonts w:cs="Arial"/>
                <w:sz w:val="18"/>
                <w:szCs w:val="18"/>
                <w:lang w:val="bg-BG"/>
              </w:rPr>
            </w:pPr>
          </w:p>
        </w:tc>
        <w:tc>
          <w:tcPr>
            <w:tcW w:w="1458"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Точка 6, буква б)</w:t>
            </w:r>
          </w:p>
        </w:tc>
        <w:tc>
          <w:tcPr>
            <w:tcW w:w="3296" w:type="dxa"/>
            <w:shd w:val="clear" w:color="auto" w:fill="auto"/>
          </w:tcPr>
          <w:p w:rsidR="00C01A94" w:rsidRPr="009072DA" w:rsidRDefault="00C01A94" w:rsidP="00B74390">
            <w:pPr>
              <w:tabs>
                <w:tab w:val="left" w:pos="1080"/>
              </w:tabs>
              <w:spacing w:before="120" w:after="120" w:line="240" w:lineRule="atLeast"/>
              <w:rPr>
                <w:rFonts w:cs="Arial"/>
                <w:sz w:val="18"/>
                <w:szCs w:val="18"/>
                <w:lang w:val="bg-BG"/>
              </w:rPr>
            </w:pPr>
            <w:r w:rsidRPr="009072DA">
              <w:rPr>
                <w:sz w:val="18"/>
                <w:lang w:val="bg-BG"/>
              </w:rPr>
              <w:t>Маршрути за евакуация към пунктове за евакуация</w:t>
            </w:r>
          </w:p>
        </w:tc>
        <w:tc>
          <w:tcPr>
            <w:tcW w:w="6521"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120" w:after="120" w:line="240" w:lineRule="atLeast"/>
              <w:rPr>
                <w:rFonts w:cs="Arial"/>
                <w:sz w:val="18"/>
                <w:szCs w:val="18"/>
                <w:lang w:val="bg-BG"/>
              </w:rPr>
            </w:pPr>
          </w:p>
        </w:tc>
        <w:tc>
          <w:tcPr>
            <w:tcW w:w="1458"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Точка 6, буква в)</w:t>
            </w:r>
            <w:r w:rsidRPr="009072DA">
              <w:rPr>
                <w:color w:val="000000"/>
                <w:sz w:val="18"/>
                <w:vertAlign w:val="superscript"/>
                <w:lang w:val="bg-BG"/>
              </w:rPr>
              <w:footnoteReference w:id="30"/>
            </w:r>
          </w:p>
        </w:tc>
        <w:tc>
          <w:tcPr>
            <w:tcW w:w="3296" w:type="dxa"/>
            <w:shd w:val="clear" w:color="auto" w:fill="auto"/>
          </w:tcPr>
          <w:p w:rsidR="00C01A94" w:rsidRPr="009072DA" w:rsidRDefault="00C01A94" w:rsidP="00B74390">
            <w:pPr>
              <w:tabs>
                <w:tab w:val="left" w:pos="1080"/>
              </w:tabs>
              <w:spacing w:before="120" w:after="120" w:line="240" w:lineRule="atLeast"/>
              <w:rPr>
                <w:rFonts w:cs="Arial"/>
                <w:sz w:val="18"/>
                <w:szCs w:val="18"/>
                <w:lang w:val="bg-BG"/>
              </w:rPr>
            </w:pPr>
            <w:r w:rsidRPr="009072DA">
              <w:rPr>
                <w:sz w:val="18"/>
                <w:lang w:val="bg-BG"/>
              </w:rPr>
              <w:t>Маршрутите за евакуация да не преминават през камбузи</w:t>
            </w:r>
          </w:p>
        </w:tc>
        <w:tc>
          <w:tcPr>
            <w:tcW w:w="6521"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1.1.2020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120" w:after="120" w:line="240" w:lineRule="atLeast"/>
              <w:rPr>
                <w:rFonts w:cs="Arial"/>
                <w:sz w:val="18"/>
                <w:szCs w:val="18"/>
                <w:lang w:val="bg-BG"/>
              </w:rPr>
            </w:pPr>
          </w:p>
        </w:tc>
        <w:tc>
          <w:tcPr>
            <w:tcW w:w="1458"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Точка 6, буква г)</w:t>
            </w:r>
          </w:p>
        </w:tc>
        <w:tc>
          <w:tcPr>
            <w:tcW w:w="3296" w:type="dxa"/>
            <w:shd w:val="clear" w:color="auto" w:fill="auto"/>
          </w:tcPr>
          <w:p w:rsidR="00C01A94" w:rsidRPr="009072DA" w:rsidRDefault="00C01A94" w:rsidP="00B74390">
            <w:pPr>
              <w:tabs>
                <w:tab w:val="left" w:pos="1080"/>
              </w:tabs>
              <w:spacing w:before="120" w:after="120" w:line="240" w:lineRule="atLeast"/>
              <w:rPr>
                <w:rFonts w:cs="Arial"/>
                <w:sz w:val="18"/>
                <w:szCs w:val="18"/>
                <w:lang w:val="bg-BG"/>
              </w:rPr>
            </w:pPr>
            <w:r w:rsidRPr="009072DA">
              <w:rPr>
                <w:sz w:val="18"/>
                <w:lang w:val="bg-BG"/>
              </w:rPr>
              <w:t>Без стъпала, подвижни стълби и др. подобни по маршрутите за евакуация</w:t>
            </w:r>
          </w:p>
        </w:tc>
        <w:tc>
          <w:tcPr>
            <w:tcW w:w="6521"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20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200" w:after="160" w:line="240" w:lineRule="atLeast"/>
              <w:rPr>
                <w:rFonts w:cs="Arial"/>
                <w:sz w:val="18"/>
                <w:szCs w:val="18"/>
                <w:lang w:val="bg-BG"/>
              </w:rPr>
            </w:pPr>
            <w:r w:rsidRPr="009072DA">
              <w:rPr>
                <w:sz w:val="18"/>
                <w:lang w:val="bg-BG"/>
              </w:rPr>
              <w:t>Точка 7</w:t>
            </w:r>
          </w:p>
        </w:tc>
        <w:tc>
          <w:tcPr>
            <w:tcW w:w="3296" w:type="dxa"/>
            <w:shd w:val="clear" w:color="auto" w:fill="auto"/>
          </w:tcPr>
          <w:p w:rsidR="00C01A94" w:rsidRPr="009072DA" w:rsidRDefault="00C01A94" w:rsidP="00C01A94">
            <w:pPr>
              <w:tabs>
                <w:tab w:val="left" w:pos="1080"/>
              </w:tabs>
              <w:spacing w:before="200" w:after="160" w:line="240" w:lineRule="atLeast"/>
              <w:rPr>
                <w:rFonts w:cs="Arial"/>
                <w:sz w:val="18"/>
                <w:szCs w:val="18"/>
                <w:lang w:val="bg-BG"/>
              </w:rPr>
            </w:pPr>
            <w:r w:rsidRPr="009072DA">
              <w:rPr>
                <w:sz w:val="18"/>
                <w:lang w:val="bg-BG"/>
              </w:rPr>
              <w:t>Подходяща система от указатели за безопасност</w:t>
            </w:r>
          </w:p>
        </w:tc>
        <w:tc>
          <w:tcPr>
            <w:tcW w:w="6521" w:type="dxa"/>
            <w:shd w:val="clear" w:color="auto" w:fill="auto"/>
          </w:tcPr>
          <w:p w:rsidR="00C01A94" w:rsidRPr="009072DA" w:rsidRDefault="00C01A94" w:rsidP="00C01A94">
            <w:pPr>
              <w:spacing w:before="20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200" w:after="160" w:line="240" w:lineRule="atLeast"/>
              <w:rPr>
                <w:rFonts w:cs="Arial"/>
                <w:sz w:val="18"/>
                <w:szCs w:val="18"/>
                <w:lang w:val="bg-BG"/>
              </w:rPr>
            </w:pPr>
            <w:r w:rsidRPr="009072DA">
              <w:rPr>
                <w:sz w:val="18"/>
                <w:lang w:val="bg-BG"/>
              </w:rPr>
              <w:t>1.1.2015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20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200" w:after="160" w:line="240" w:lineRule="atLeast"/>
              <w:rPr>
                <w:rFonts w:cs="Arial"/>
                <w:sz w:val="18"/>
                <w:szCs w:val="18"/>
                <w:lang w:val="bg-BG"/>
              </w:rPr>
            </w:pPr>
            <w:r w:rsidRPr="009072DA">
              <w:rPr>
                <w:sz w:val="18"/>
                <w:lang w:val="bg-BG"/>
              </w:rPr>
              <w:t>Точка 8</w:t>
            </w:r>
          </w:p>
        </w:tc>
        <w:tc>
          <w:tcPr>
            <w:tcW w:w="3296" w:type="dxa"/>
            <w:shd w:val="clear" w:color="auto" w:fill="auto"/>
          </w:tcPr>
          <w:p w:rsidR="00C01A94" w:rsidRPr="009072DA" w:rsidRDefault="00C01A94" w:rsidP="00C01A94">
            <w:pPr>
              <w:tabs>
                <w:tab w:val="left" w:pos="1080"/>
              </w:tabs>
              <w:spacing w:before="200" w:after="160" w:line="240" w:lineRule="atLeast"/>
              <w:rPr>
                <w:rFonts w:cs="Arial"/>
                <w:sz w:val="18"/>
                <w:szCs w:val="18"/>
                <w:lang w:val="bg-BG"/>
              </w:rPr>
            </w:pPr>
            <w:r w:rsidRPr="009072DA">
              <w:rPr>
                <w:sz w:val="18"/>
                <w:lang w:val="bg-BG"/>
              </w:rPr>
              <w:t>Изисквания към сборните пунктове</w:t>
            </w:r>
          </w:p>
        </w:tc>
        <w:tc>
          <w:tcPr>
            <w:tcW w:w="6521" w:type="dxa"/>
            <w:shd w:val="clear" w:color="auto" w:fill="auto"/>
          </w:tcPr>
          <w:p w:rsidR="00C01A94" w:rsidRPr="009072DA" w:rsidRDefault="00C01A94" w:rsidP="00C01A94">
            <w:pPr>
              <w:spacing w:before="20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200" w:after="16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20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200" w:after="160" w:line="240" w:lineRule="atLeast"/>
              <w:rPr>
                <w:rFonts w:cs="Arial"/>
                <w:sz w:val="18"/>
                <w:szCs w:val="18"/>
                <w:lang w:val="bg-BG"/>
              </w:rPr>
            </w:pPr>
            <w:r w:rsidRPr="009072DA">
              <w:rPr>
                <w:sz w:val="18"/>
                <w:lang w:val="bg-BG"/>
              </w:rPr>
              <w:t>Точка 9</w:t>
            </w:r>
          </w:p>
        </w:tc>
        <w:tc>
          <w:tcPr>
            <w:tcW w:w="3296" w:type="dxa"/>
            <w:shd w:val="clear" w:color="auto" w:fill="auto"/>
          </w:tcPr>
          <w:p w:rsidR="00C01A94" w:rsidRPr="009072DA" w:rsidRDefault="00C01A94" w:rsidP="00C01A94">
            <w:pPr>
              <w:tabs>
                <w:tab w:val="left" w:pos="1080"/>
              </w:tabs>
              <w:spacing w:before="200" w:after="160" w:line="240" w:lineRule="atLeast"/>
              <w:rPr>
                <w:rFonts w:cs="Arial"/>
                <w:sz w:val="18"/>
                <w:szCs w:val="18"/>
                <w:lang w:val="bg-BG"/>
              </w:rPr>
            </w:pPr>
            <w:r w:rsidRPr="009072DA">
              <w:rPr>
                <w:sz w:val="18"/>
                <w:lang w:val="bg-BG"/>
              </w:rPr>
              <w:t>Изисквания към стълбищата и техните площадки в пространствата за пътници</w:t>
            </w:r>
          </w:p>
        </w:tc>
        <w:tc>
          <w:tcPr>
            <w:tcW w:w="6521" w:type="dxa"/>
            <w:shd w:val="clear" w:color="auto" w:fill="auto"/>
          </w:tcPr>
          <w:p w:rsidR="00C01A94" w:rsidRPr="009072DA" w:rsidRDefault="00C01A94" w:rsidP="00C01A94">
            <w:pPr>
              <w:spacing w:before="20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200" w:after="16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20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200" w:after="160" w:line="240" w:lineRule="atLeast"/>
              <w:rPr>
                <w:rFonts w:cs="Arial"/>
                <w:sz w:val="18"/>
                <w:szCs w:val="18"/>
                <w:lang w:val="bg-BG"/>
              </w:rPr>
            </w:pPr>
            <w:r w:rsidRPr="009072DA">
              <w:rPr>
                <w:sz w:val="18"/>
                <w:lang w:val="bg-BG"/>
              </w:rPr>
              <w:t>Точка 10, буква a), 1</w:t>
            </w:r>
            <w:r w:rsidRPr="009072DA">
              <w:rPr>
                <w:sz w:val="18"/>
                <w:vertAlign w:val="superscript"/>
                <w:lang w:val="bg-BG"/>
              </w:rPr>
              <w:t>во</w:t>
            </w:r>
            <w:r w:rsidRPr="009072DA">
              <w:rPr>
                <w:sz w:val="18"/>
                <w:lang w:val="bg-BG"/>
              </w:rPr>
              <w:t xml:space="preserve"> изречение</w:t>
            </w:r>
          </w:p>
        </w:tc>
        <w:tc>
          <w:tcPr>
            <w:tcW w:w="3296" w:type="dxa"/>
            <w:shd w:val="clear" w:color="auto" w:fill="auto"/>
          </w:tcPr>
          <w:p w:rsidR="00C01A94" w:rsidRPr="009072DA" w:rsidRDefault="00C01A94" w:rsidP="00C01A94">
            <w:pPr>
              <w:adjustRightInd w:val="0"/>
              <w:spacing w:before="200" w:after="160" w:line="240" w:lineRule="atLeast"/>
              <w:rPr>
                <w:rFonts w:eastAsia="Calibri" w:cs="Arial"/>
                <w:color w:val="000000"/>
                <w:lang w:val="bg-BG"/>
              </w:rPr>
            </w:pPr>
            <w:r w:rsidRPr="009072DA">
              <w:rPr>
                <w:rFonts w:ascii="ArialMT" w:hAnsi="ArialMT"/>
                <w:sz w:val="18"/>
                <w:lang w:val="bg-BG"/>
              </w:rPr>
              <w:t xml:space="preserve">Парапети съгласно европейски стандарт </w:t>
            </w:r>
          </w:p>
        </w:tc>
        <w:tc>
          <w:tcPr>
            <w:tcW w:w="6521" w:type="dxa"/>
            <w:shd w:val="clear" w:color="auto" w:fill="auto"/>
          </w:tcPr>
          <w:p w:rsidR="00C01A94" w:rsidRPr="009072DA" w:rsidRDefault="00C01A94" w:rsidP="00C01A94">
            <w:pPr>
              <w:adjustRightInd w:val="0"/>
              <w:spacing w:before="200" w:after="160" w:line="240" w:lineRule="atLeast"/>
              <w:rPr>
                <w:rFonts w:eastAsia="Calibri" w:cs="Arial"/>
                <w:color w:val="000000"/>
                <w:lang w:val="bg-BG"/>
              </w:rPr>
            </w:pPr>
            <w:r w:rsidRPr="009072DA">
              <w:rPr>
                <w:rFonts w:ascii="ArialMT" w:hAnsi="ArialMT"/>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200" w:after="16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20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200" w:after="160" w:line="240" w:lineRule="atLeast"/>
              <w:rPr>
                <w:rFonts w:cs="Arial"/>
                <w:sz w:val="18"/>
                <w:szCs w:val="18"/>
                <w:lang w:val="bg-BG"/>
              </w:rPr>
            </w:pPr>
            <w:r w:rsidRPr="009072DA">
              <w:rPr>
                <w:sz w:val="18"/>
                <w:lang w:val="bg-BG"/>
              </w:rPr>
              <w:t>Точка 10, буква a), 2</w:t>
            </w:r>
            <w:r w:rsidRPr="009072DA">
              <w:rPr>
                <w:sz w:val="18"/>
                <w:vertAlign w:val="superscript"/>
                <w:lang w:val="bg-BG"/>
              </w:rPr>
              <w:t>ро</w:t>
            </w:r>
            <w:r w:rsidRPr="009072DA">
              <w:rPr>
                <w:sz w:val="18"/>
                <w:lang w:val="bg-BG"/>
              </w:rPr>
              <w:t xml:space="preserve"> изречение</w:t>
            </w:r>
          </w:p>
        </w:tc>
        <w:tc>
          <w:tcPr>
            <w:tcW w:w="3296" w:type="dxa"/>
            <w:shd w:val="clear" w:color="auto" w:fill="auto"/>
          </w:tcPr>
          <w:p w:rsidR="00C01A94" w:rsidRPr="009072DA" w:rsidRDefault="00C01A94" w:rsidP="00C01A94">
            <w:pPr>
              <w:tabs>
                <w:tab w:val="left" w:pos="1080"/>
              </w:tabs>
              <w:spacing w:before="200" w:after="160" w:line="240" w:lineRule="atLeast"/>
              <w:rPr>
                <w:rFonts w:cs="Arial"/>
                <w:sz w:val="18"/>
                <w:szCs w:val="18"/>
                <w:lang w:val="bg-BG"/>
              </w:rPr>
            </w:pPr>
            <w:r w:rsidRPr="009072DA">
              <w:rPr>
                <w:sz w:val="18"/>
                <w:lang w:val="bg-BG"/>
              </w:rPr>
              <w:t>Височина на фалшборда и парапетите на палубите, предназначени за ползване от лица с намалена подвижност</w:t>
            </w:r>
          </w:p>
        </w:tc>
        <w:tc>
          <w:tcPr>
            <w:tcW w:w="6521" w:type="dxa"/>
            <w:shd w:val="clear" w:color="auto" w:fill="auto"/>
          </w:tcPr>
          <w:p w:rsidR="00C01A94" w:rsidRPr="009072DA" w:rsidRDefault="00C01A94" w:rsidP="00C01A94">
            <w:pPr>
              <w:spacing w:before="20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200" w:after="16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120" w:after="120" w:line="240" w:lineRule="atLeast"/>
              <w:rPr>
                <w:rFonts w:cs="Arial"/>
                <w:sz w:val="18"/>
                <w:szCs w:val="18"/>
                <w:lang w:val="bg-BG"/>
              </w:rPr>
            </w:pPr>
          </w:p>
        </w:tc>
        <w:tc>
          <w:tcPr>
            <w:tcW w:w="1458"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Точка 10, буква б), 2</w:t>
            </w:r>
            <w:r w:rsidRPr="009072DA">
              <w:rPr>
                <w:sz w:val="18"/>
                <w:vertAlign w:val="superscript"/>
                <w:lang w:val="bg-BG"/>
              </w:rPr>
              <w:t>ро</w:t>
            </w:r>
            <w:r w:rsidRPr="009072DA">
              <w:rPr>
                <w:sz w:val="18"/>
                <w:lang w:val="bg-BG"/>
              </w:rPr>
              <w:t xml:space="preserve"> изречение</w:t>
            </w:r>
          </w:p>
        </w:tc>
        <w:tc>
          <w:tcPr>
            <w:tcW w:w="3296" w:type="dxa"/>
            <w:shd w:val="clear" w:color="auto" w:fill="auto"/>
          </w:tcPr>
          <w:p w:rsidR="00C01A94" w:rsidRPr="009072DA" w:rsidRDefault="00C01A94" w:rsidP="00B74390">
            <w:pPr>
              <w:tabs>
                <w:tab w:val="left" w:pos="1080"/>
              </w:tabs>
              <w:spacing w:before="120" w:after="120" w:line="240" w:lineRule="atLeast"/>
              <w:rPr>
                <w:rFonts w:cs="Arial"/>
                <w:sz w:val="18"/>
                <w:szCs w:val="18"/>
                <w:lang w:val="bg-BG"/>
              </w:rPr>
            </w:pPr>
            <w:r w:rsidRPr="009072DA">
              <w:rPr>
                <w:sz w:val="18"/>
                <w:lang w:val="bg-BG"/>
              </w:rPr>
              <w:t>Габаритна ширина на отворите, използвани обикновено за качване или слизане на лица с намалена подвижност</w:t>
            </w:r>
          </w:p>
        </w:tc>
        <w:tc>
          <w:tcPr>
            <w:tcW w:w="6521"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120" w:after="120" w:line="240" w:lineRule="atLeast"/>
              <w:rPr>
                <w:rFonts w:cs="Arial"/>
                <w:sz w:val="18"/>
                <w:szCs w:val="18"/>
                <w:lang w:val="bg-BG"/>
              </w:rPr>
            </w:pPr>
          </w:p>
        </w:tc>
        <w:tc>
          <w:tcPr>
            <w:tcW w:w="1458"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Точка 13</w:t>
            </w:r>
          </w:p>
        </w:tc>
        <w:tc>
          <w:tcPr>
            <w:tcW w:w="3296" w:type="dxa"/>
            <w:shd w:val="clear" w:color="auto" w:fill="auto"/>
          </w:tcPr>
          <w:p w:rsidR="00C01A94" w:rsidRPr="009072DA" w:rsidRDefault="00C01A94" w:rsidP="00B74390">
            <w:pPr>
              <w:tabs>
                <w:tab w:val="left" w:pos="1080"/>
              </w:tabs>
              <w:spacing w:before="120" w:after="120" w:line="240" w:lineRule="atLeast"/>
              <w:rPr>
                <w:rFonts w:cs="Arial"/>
                <w:sz w:val="18"/>
                <w:szCs w:val="18"/>
                <w:lang w:val="bg-BG"/>
              </w:rPr>
            </w:pPr>
            <w:r w:rsidRPr="009072DA">
              <w:rPr>
                <w:sz w:val="18"/>
                <w:lang w:val="bg-BG"/>
              </w:rPr>
              <w:t>Проходи и стени в коридорите, предназначени за ползване от лица с намалена подвижност</w:t>
            </w:r>
          </w:p>
        </w:tc>
        <w:tc>
          <w:tcPr>
            <w:tcW w:w="6521"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1.1.2045 г.</w:t>
            </w:r>
          </w:p>
        </w:tc>
      </w:tr>
      <w:tr w:rsidR="00C01A94" w:rsidRPr="009072DA" w:rsidTr="008433CF">
        <w:trPr>
          <w:cantSplit/>
          <w:jc w:val="center"/>
        </w:trPr>
        <w:tc>
          <w:tcPr>
            <w:tcW w:w="1342" w:type="dxa"/>
            <w:tcBorders>
              <w:top w:val="nil"/>
              <w:bottom w:val="nil"/>
            </w:tcBorders>
            <w:shd w:val="clear" w:color="auto" w:fill="auto"/>
          </w:tcPr>
          <w:p w:rsidR="00C01A94" w:rsidRPr="009072DA" w:rsidRDefault="00C01A94" w:rsidP="00B74390">
            <w:pPr>
              <w:spacing w:before="120" w:after="120" w:line="240" w:lineRule="atLeast"/>
              <w:rPr>
                <w:rFonts w:cs="Arial"/>
                <w:sz w:val="18"/>
                <w:szCs w:val="18"/>
                <w:lang w:val="bg-BG"/>
              </w:rPr>
            </w:pPr>
          </w:p>
        </w:tc>
        <w:tc>
          <w:tcPr>
            <w:tcW w:w="1458" w:type="dxa"/>
            <w:tcBorders>
              <w:bottom w:val="single" w:sz="4" w:space="0" w:color="auto"/>
            </w:tcBorders>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Точка 14, 1</w:t>
            </w:r>
            <w:r w:rsidRPr="009072DA">
              <w:rPr>
                <w:sz w:val="18"/>
                <w:vertAlign w:val="superscript"/>
                <w:lang w:val="bg-BG"/>
              </w:rPr>
              <w:t>во </w:t>
            </w:r>
            <w:r w:rsidRPr="009072DA">
              <w:rPr>
                <w:sz w:val="18"/>
                <w:lang w:val="bg-BG"/>
              </w:rPr>
              <w:t>изречение</w:t>
            </w:r>
          </w:p>
        </w:tc>
        <w:tc>
          <w:tcPr>
            <w:tcW w:w="3296" w:type="dxa"/>
            <w:shd w:val="clear" w:color="auto" w:fill="auto"/>
          </w:tcPr>
          <w:p w:rsidR="00C01A94" w:rsidRPr="009072DA" w:rsidRDefault="00C01A94" w:rsidP="00B74390">
            <w:pPr>
              <w:tabs>
                <w:tab w:val="left" w:pos="1080"/>
              </w:tabs>
              <w:spacing w:before="120" w:after="120" w:line="240" w:lineRule="atLeast"/>
              <w:rPr>
                <w:rFonts w:cs="Arial"/>
                <w:sz w:val="18"/>
                <w:szCs w:val="18"/>
                <w:lang w:val="bg-BG"/>
              </w:rPr>
            </w:pPr>
            <w:r w:rsidRPr="009072DA">
              <w:rPr>
                <w:sz w:val="18"/>
                <w:lang w:val="bg-BG"/>
              </w:rPr>
              <w:t>Конструкция на стъклените врати и стени в проходите и на стъклата на прозорците</w:t>
            </w:r>
          </w:p>
        </w:tc>
        <w:tc>
          <w:tcPr>
            <w:tcW w:w="6521"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1.1.2045 г.</w:t>
            </w:r>
          </w:p>
        </w:tc>
      </w:tr>
      <w:tr w:rsidR="00C01A94" w:rsidRPr="009072DA" w:rsidTr="008433CF">
        <w:trPr>
          <w:cantSplit/>
          <w:jc w:val="center"/>
        </w:trPr>
        <w:tc>
          <w:tcPr>
            <w:tcW w:w="1342" w:type="dxa"/>
            <w:tcBorders>
              <w:top w:val="nil"/>
              <w:bottom w:val="nil"/>
            </w:tcBorders>
            <w:shd w:val="clear" w:color="auto" w:fill="auto"/>
          </w:tcPr>
          <w:p w:rsidR="00C01A94" w:rsidRPr="009072DA" w:rsidRDefault="00C01A94" w:rsidP="00B74390">
            <w:pPr>
              <w:spacing w:before="120" w:after="120" w:line="240" w:lineRule="atLeast"/>
              <w:rPr>
                <w:rFonts w:cs="Arial"/>
                <w:sz w:val="18"/>
                <w:szCs w:val="18"/>
                <w:lang w:val="bg-BG"/>
              </w:rPr>
            </w:pPr>
          </w:p>
        </w:tc>
        <w:tc>
          <w:tcPr>
            <w:tcW w:w="1458" w:type="dxa"/>
            <w:tcBorders>
              <w:bottom w:val="nil"/>
            </w:tcBorders>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Точка 15</w:t>
            </w:r>
          </w:p>
        </w:tc>
        <w:tc>
          <w:tcPr>
            <w:tcW w:w="3296" w:type="dxa"/>
            <w:shd w:val="clear" w:color="auto" w:fill="auto"/>
          </w:tcPr>
          <w:p w:rsidR="00C01A94" w:rsidRPr="009072DA" w:rsidRDefault="00C01A94" w:rsidP="00B74390">
            <w:pPr>
              <w:tabs>
                <w:tab w:val="left" w:pos="1080"/>
              </w:tabs>
              <w:spacing w:before="120" w:after="120" w:line="240" w:lineRule="atLeast"/>
              <w:rPr>
                <w:rFonts w:cs="Arial"/>
                <w:sz w:val="18"/>
                <w:szCs w:val="18"/>
                <w:lang w:val="bg-BG"/>
              </w:rPr>
            </w:pPr>
            <w:r w:rsidRPr="009072DA">
              <w:rPr>
                <w:sz w:val="18"/>
                <w:lang w:val="bg-BG"/>
              </w:rPr>
              <w:t>Изисквания към надстройките, които се състоят изцяло или частично от панорамни прозорци</w:t>
            </w:r>
          </w:p>
        </w:tc>
        <w:tc>
          <w:tcPr>
            <w:tcW w:w="6521"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120" w:after="120" w:line="240" w:lineRule="atLeast"/>
              <w:rPr>
                <w:rFonts w:cs="Arial"/>
                <w:sz w:val="18"/>
                <w:szCs w:val="18"/>
                <w:lang w:val="bg-BG"/>
              </w:rPr>
            </w:pPr>
          </w:p>
        </w:tc>
        <w:tc>
          <w:tcPr>
            <w:tcW w:w="1458"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Точка 17, 2</w:t>
            </w:r>
            <w:r w:rsidRPr="009072DA">
              <w:rPr>
                <w:sz w:val="18"/>
                <w:vertAlign w:val="superscript"/>
                <w:lang w:val="bg-BG"/>
              </w:rPr>
              <w:t>ро </w:t>
            </w:r>
            <w:r w:rsidRPr="009072DA">
              <w:rPr>
                <w:sz w:val="18"/>
                <w:lang w:val="bg-BG"/>
              </w:rPr>
              <w:t>изречение</w:t>
            </w:r>
          </w:p>
        </w:tc>
        <w:tc>
          <w:tcPr>
            <w:tcW w:w="3296" w:type="dxa"/>
            <w:shd w:val="clear" w:color="auto" w:fill="auto"/>
          </w:tcPr>
          <w:p w:rsidR="00C01A94" w:rsidRPr="009072DA" w:rsidRDefault="00C01A94" w:rsidP="00B74390">
            <w:pPr>
              <w:tabs>
                <w:tab w:val="left" w:pos="1080"/>
              </w:tabs>
              <w:spacing w:before="120" w:after="120" w:line="240" w:lineRule="atLeast"/>
              <w:rPr>
                <w:rFonts w:cs="Arial"/>
                <w:sz w:val="18"/>
                <w:szCs w:val="18"/>
                <w:lang w:val="bg-BG"/>
              </w:rPr>
            </w:pPr>
            <w:r w:rsidRPr="009072DA">
              <w:rPr>
                <w:sz w:val="18"/>
                <w:lang w:val="bg-BG"/>
              </w:rPr>
              <w:t>Изисквания към тоалетните, пригодени за ползване от лица с намалена подвижност</w:t>
            </w:r>
          </w:p>
        </w:tc>
        <w:tc>
          <w:tcPr>
            <w:tcW w:w="6521"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20" w:after="12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40" w:after="140" w:line="240" w:lineRule="atLeast"/>
              <w:rPr>
                <w:rFonts w:cs="Arial"/>
                <w:sz w:val="18"/>
                <w:szCs w:val="18"/>
                <w:lang w:val="bg-BG"/>
              </w:rPr>
            </w:pPr>
          </w:p>
        </w:tc>
        <w:tc>
          <w:tcPr>
            <w:tcW w:w="1458" w:type="dxa"/>
            <w:shd w:val="clear" w:color="auto" w:fill="auto"/>
          </w:tcPr>
          <w:p w:rsidR="00C01A94" w:rsidRPr="009072DA" w:rsidRDefault="00C01A94" w:rsidP="00C01A94">
            <w:pPr>
              <w:spacing w:before="140" w:after="140" w:line="240" w:lineRule="atLeast"/>
              <w:rPr>
                <w:rFonts w:cs="Arial"/>
                <w:sz w:val="18"/>
                <w:szCs w:val="18"/>
                <w:lang w:val="bg-BG"/>
              </w:rPr>
            </w:pPr>
            <w:r w:rsidRPr="009072DA">
              <w:rPr>
                <w:sz w:val="18"/>
                <w:lang w:val="bg-BG"/>
              </w:rPr>
              <w:t>Точка 18</w:t>
            </w:r>
          </w:p>
        </w:tc>
        <w:tc>
          <w:tcPr>
            <w:tcW w:w="3296" w:type="dxa"/>
            <w:shd w:val="clear" w:color="auto" w:fill="auto"/>
          </w:tcPr>
          <w:p w:rsidR="00C01A94" w:rsidRPr="009072DA" w:rsidRDefault="00C01A94" w:rsidP="00C01A94">
            <w:pPr>
              <w:tabs>
                <w:tab w:val="left" w:pos="1080"/>
              </w:tabs>
              <w:spacing w:before="140" w:after="140" w:line="240" w:lineRule="atLeast"/>
              <w:rPr>
                <w:rFonts w:cs="Arial"/>
                <w:sz w:val="18"/>
                <w:szCs w:val="18"/>
                <w:lang w:val="bg-BG"/>
              </w:rPr>
            </w:pPr>
            <w:r w:rsidRPr="009072DA">
              <w:rPr>
                <w:sz w:val="18"/>
                <w:lang w:val="bg-BG"/>
              </w:rPr>
              <w:t>Вентилационна система за каюти без отварящ се прозорец</w:t>
            </w:r>
          </w:p>
        </w:tc>
        <w:tc>
          <w:tcPr>
            <w:tcW w:w="6521" w:type="dxa"/>
            <w:shd w:val="clear" w:color="auto" w:fill="auto"/>
          </w:tcPr>
          <w:p w:rsidR="00C01A94" w:rsidRPr="009072DA" w:rsidRDefault="00C01A94" w:rsidP="00C01A94">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40" w:after="14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tcBorders>
            <w:shd w:val="clear" w:color="auto" w:fill="auto"/>
          </w:tcPr>
          <w:p w:rsidR="00C01A94" w:rsidRPr="009072DA" w:rsidRDefault="00C01A94" w:rsidP="00C01A94">
            <w:pPr>
              <w:spacing w:before="140" w:after="140" w:line="240" w:lineRule="atLeast"/>
              <w:rPr>
                <w:rFonts w:cs="Arial"/>
                <w:sz w:val="18"/>
                <w:szCs w:val="18"/>
                <w:lang w:val="bg-BG"/>
              </w:rPr>
            </w:pPr>
          </w:p>
        </w:tc>
        <w:tc>
          <w:tcPr>
            <w:tcW w:w="1458" w:type="dxa"/>
            <w:shd w:val="clear" w:color="auto" w:fill="auto"/>
          </w:tcPr>
          <w:p w:rsidR="00C01A94" w:rsidRPr="009072DA" w:rsidRDefault="00C01A94" w:rsidP="00C01A94">
            <w:pPr>
              <w:spacing w:before="140" w:after="140" w:line="240" w:lineRule="atLeast"/>
              <w:rPr>
                <w:rFonts w:cs="Arial"/>
                <w:sz w:val="18"/>
                <w:szCs w:val="18"/>
                <w:lang w:val="bg-BG"/>
              </w:rPr>
            </w:pPr>
            <w:r w:rsidRPr="009072DA">
              <w:rPr>
                <w:sz w:val="18"/>
                <w:lang w:val="bg-BG"/>
              </w:rPr>
              <w:t>Точка 19</w:t>
            </w:r>
          </w:p>
        </w:tc>
        <w:tc>
          <w:tcPr>
            <w:tcW w:w="3296" w:type="dxa"/>
            <w:shd w:val="clear" w:color="auto" w:fill="auto"/>
          </w:tcPr>
          <w:p w:rsidR="00C01A94" w:rsidRPr="009072DA" w:rsidRDefault="00C01A94" w:rsidP="00C01A94">
            <w:pPr>
              <w:tabs>
                <w:tab w:val="left" w:pos="1080"/>
              </w:tabs>
              <w:spacing w:before="140" w:after="140" w:line="240" w:lineRule="atLeast"/>
              <w:rPr>
                <w:rFonts w:cs="Arial"/>
                <w:sz w:val="18"/>
                <w:szCs w:val="18"/>
                <w:lang w:val="bg-BG"/>
              </w:rPr>
            </w:pPr>
            <w:r w:rsidRPr="009072DA">
              <w:rPr>
                <w:sz w:val="18"/>
                <w:lang w:val="bg-BG"/>
              </w:rPr>
              <w:t>Изисквания на член 19.06 по отношение на помещенията, в които се настаняват членовете на екипажа или обслужващия персонал</w:t>
            </w:r>
          </w:p>
        </w:tc>
        <w:tc>
          <w:tcPr>
            <w:tcW w:w="6521" w:type="dxa"/>
            <w:shd w:val="clear" w:color="auto" w:fill="auto"/>
          </w:tcPr>
          <w:p w:rsidR="00C01A94" w:rsidRPr="009072DA" w:rsidRDefault="00C01A94" w:rsidP="00C01A94">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40" w:after="14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bottom w:val="single" w:sz="4" w:space="0" w:color="auto"/>
            </w:tcBorders>
            <w:shd w:val="clear" w:color="auto" w:fill="auto"/>
          </w:tcPr>
          <w:p w:rsidR="00C01A94" w:rsidRPr="009072DA" w:rsidRDefault="00C01A94" w:rsidP="001C15FF">
            <w:pPr>
              <w:spacing w:before="200" w:line="240" w:lineRule="atLeast"/>
              <w:rPr>
                <w:rFonts w:cs="Arial"/>
                <w:sz w:val="18"/>
                <w:szCs w:val="18"/>
                <w:lang w:val="bg-BG"/>
              </w:rPr>
            </w:pPr>
            <w:r w:rsidRPr="009072DA">
              <w:rPr>
                <w:sz w:val="18"/>
                <w:lang w:val="bg-BG"/>
              </w:rPr>
              <w:t>19.07</w:t>
            </w:r>
            <w:r w:rsidRPr="009072DA">
              <w:rPr>
                <w:color w:val="000000"/>
                <w:sz w:val="18"/>
                <w:vertAlign w:val="superscript"/>
                <w:lang w:val="bg-BG"/>
              </w:rPr>
              <w:footnoteReference w:id="31"/>
            </w:r>
          </w:p>
        </w:tc>
        <w:tc>
          <w:tcPr>
            <w:tcW w:w="1458" w:type="dxa"/>
            <w:shd w:val="clear" w:color="auto" w:fill="auto"/>
          </w:tcPr>
          <w:p w:rsidR="00C01A94" w:rsidRPr="009072DA" w:rsidRDefault="00C01A94" w:rsidP="001C15FF">
            <w:pPr>
              <w:spacing w:before="200" w:line="240" w:lineRule="atLeast"/>
              <w:rPr>
                <w:rFonts w:cs="Arial"/>
                <w:sz w:val="18"/>
                <w:szCs w:val="18"/>
                <w:lang w:val="bg-BG"/>
              </w:rPr>
            </w:pPr>
          </w:p>
        </w:tc>
        <w:tc>
          <w:tcPr>
            <w:tcW w:w="3296" w:type="dxa"/>
            <w:shd w:val="clear" w:color="auto" w:fill="auto"/>
          </w:tcPr>
          <w:p w:rsidR="00C01A94" w:rsidRPr="009072DA" w:rsidRDefault="001C15FF" w:rsidP="001C15FF">
            <w:pPr>
              <w:tabs>
                <w:tab w:val="left" w:pos="1080"/>
              </w:tabs>
              <w:spacing w:before="200" w:line="240" w:lineRule="atLeast"/>
              <w:rPr>
                <w:rFonts w:cs="Arial"/>
                <w:sz w:val="18"/>
                <w:szCs w:val="18"/>
                <w:lang w:val="bg-BG"/>
              </w:rPr>
            </w:pPr>
            <w:r w:rsidRPr="009072DA">
              <w:rPr>
                <w:sz w:val="18"/>
                <w:lang w:val="bg-BG"/>
              </w:rPr>
              <w:t>Отделно машинно отделение</w:t>
            </w:r>
          </w:p>
        </w:tc>
        <w:tc>
          <w:tcPr>
            <w:tcW w:w="6521" w:type="dxa"/>
            <w:shd w:val="clear" w:color="auto" w:fill="auto"/>
          </w:tcPr>
          <w:p w:rsidR="00C01A94" w:rsidRPr="009072DA" w:rsidRDefault="00C01A94" w:rsidP="001C15FF">
            <w:pPr>
              <w:spacing w:before="2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1C15FF">
            <w:pPr>
              <w:spacing w:before="200" w:line="240" w:lineRule="atLeast"/>
              <w:rPr>
                <w:rFonts w:cs="Arial"/>
                <w:sz w:val="18"/>
                <w:szCs w:val="18"/>
                <w:lang w:val="bg-BG"/>
              </w:rPr>
            </w:pPr>
            <w:r w:rsidRPr="009072DA">
              <w:rPr>
                <w:sz w:val="18"/>
                <w:lang w:val="bg-BG"/>
              </w:rPr>
              <w:t>1.1.2020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40" w:after="140" w:line="240" w:lineRule="atLeast"/>
              <w:rPr>
                <w:rFonts w:cs="Arial"/>
                <w:sz w:val="18"/>
                <w:szCs w:val="18"/>
                <w:lang w:val="bg-BG"/>
              </w:rPr>
            </w:pPr>
            <w:r w:rsidRPr="009072DA">
              <w:rPr>
                <w:sz w:val="18"/>
                <w:lang w:val="bg-BG"/>
              </w:rPr>
              <w:t>19.08</w:t>
            </w:r>
          </w:p>
        </w:tc>
        <w:tc>
          <w:tcPr>
            <w:tcW w:w="1458" w:type="dxa"/>
            <w:shd w:val="clear" w:color="auto" w:fill="auto"/>
          </w:tcPr>
          <w:p w:rsidR="00C01A94" w:rsidRPr="009072DA" w:rsidRDefault="00C01A94" w:rsidP="00C01A94">
            <w:pPr>
              <w:spacing w:before="140" w:after="140" w:line="240" w:lineRule="atLeast"/>
              <w:rPr>
                <w:rFonts w:cs="Arial"/>
                <w:sz w:val="18"/>
                <w:szCs w:val="18"/>
                <w:lang w:val="bg-BG"/>
              </w:rPr>
            </w:pPr>
            <w:r w:rsidRPr="009072DA">
              <w:rPr>
                <w:sz w:val="18"/>
                <w:lang w:val="bg-BG"/>
              </w:rPr>
              <w:t>Точка 3, буква a)</w:t>
            </w:r>
            <w:r w:rsidRPr="009072DA">
              <w:rPr>
                <w:color w:val="000000"/>
                <w:sz w:val="18"/>
                <w:vertAlign w:val="superscript"/>
                <w:lang w:val="bg-BG"/>
              </w:rPr>
              <w:footnoteReference w:id="32"/>
            </w:r>
          </w:p>
        </w:tc>
        <w:tc>
          <w:tcPr>
            <w:tcW w:w="3296" w:type="dxa"/>
            <w:shd w:val="clear" w:color="auto" w:fill="auto"/>
          </w:tcPr>
          <w:p w:rsidR="00C01A94" w:rsidRPr="009072DA" w:rsidRDefault="00C01A94" w:rsidP="00C42516">
            <w:pPr>
              <w:spacing w:before="140" w:after="140" w:line="240" w:lineRule="atLeast"/>
              <w:rPr>
                <w:rFonts w:cs="Arial"/>
                <w:sz w:val="18"/>
                <w:szCs w:val="18"/>
                <w:lang w:val="bg-BG"/>
              </w:rPr>
            </w:pPr>
            <w:r w:rsidRPr="009072DA">
              <w:rPr>
                <w:sz w:val="18"/>
                <w:lang w:val="bg-BG"/>
              </w:rPr>
              <w:t>Изисквания към алармената система по отношение на възможностите за пътниците, членовете на екипажа или обслужващия персонал да подават сигнал на командването и екипажа на пътническите плавателни съдове</w:t>
            </w:r>
          </w:p>
        </w:tc>
        <w:tc>
          <w:tcPr>
            <w:tcW w:w="6521" w:type="dxa"/>
            <w:shd w:val="clear" w:color="auto" w:fill="auto"/>
          </w:tcPr>
          <w:p w:rsidR="00C01A94" w:rsidRPr="009072DA" w:rsidRDefault="00C01A94" w:rsidP="00C01A94">
            <w:pPr>
              <w:spacing w:before="140" w:after="140" w:line="240" w:lineRule="atLeast"/>
              <w:rPr>
                <w:rFonts w:cs="Arial"/>
                <w:sz w:val="18"/>
                <w:szCs w:val="18"/>
                <w:lang w:val="bg-BG"/>
              </w:rPr>
            </w:pPr>
            <w:r w:rsidRPr="009072DA">
              <w:rPr>
                <w:sz w:val="18"/>
                <w:lang w:val="bg-BG"/>
              </w:rPr>
              <w:t>При пътнически плавателни съдове за дневно пътуване, изискването се прилага за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40" w:after="140" w:line="240" w:lineRule="atLeast"/>
              <w:rPr>
                <w:rFonts w:cs="Arial"/>
                <w:sz w:val="18"/>
                <w:szCs w:val="18"/>
                <w:lang w:val="bg-BG"/>
              </w:rPr>
            </w:pPr>
            <w:r w:rsidRPr="009072DA">
              <w:rPr>
                <w:sz w:val="18"/>
                <w:lang w:val="bg-BG"/>
              </w:rPr>
              <w:t>1.1.2020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40" w:after="140" w:line="240" w:lineRule="atLeast"/>
              <w:rPr>
                <w:rFonts w:cs="Arial"/>
                <w:sz w:val="18"/>
                <w:szCs w:val="18"/>
                <w:lang w:val="bg-BG"/>
              </w:rPr>
            </w:pPr>
          </w:p>
        </w:tc>
        <w:tc>
          <w:tcPr>
            <w:tcW w:w="1458" w:type="dxa"/>
            <w:shd w:val="clear" w:color="auto" w:fill="auto"/>
          </w:tcPr>
          <w:p w:rsidR="00C01A94" w:rsidRPr="009072DA" w:rsidRDefault="00C01A94" w:rsidP="00C01A94">
            <w:pPr>
              <w:spacing w:before="140" w:after="140" w:line="240" w:lineRule="atLeast"/>
              <w:rPr>
                <w:rFonts w:cs="Arial"/>
                <w:sz w:val="18"/>
                <w:szCs w:val="18"/>
                <w:lang w:val="bg-BG"/>
              </w:rPr>
            </w:pPr>
            <w:r w:rsidRPr="009072DA">
              <w:rPr>
                <w:sz w:val="18"/>
                <w:lang w:val="bg-BG"/>
              </w:rPr>
              <w:t>Точка 6</w:t>
            </w:r>
          </w:p>
        </w:tc>
        <w:tc>
          <w:tcPr>
            <w:tcW w:w="3296" w:type="dxa"/>
            <w:shd w:val="clear" w:color="auto" w:fill="auto"/>
          </w:tcPr>
          <w:p w:rsidR="00C01A94" w:rsidRPr="009072DA" w:rsidRDefault="00C01A94" w:rsidP="00C01A94">
            <w:pPr>
              <w:tabs>
                <w:tab w:val="left" w:pos="1080"/>
              </w:tabs>
              <w:spacing w:before="140" w:after="140" w:line="240" w:lineRule="atLeast"/>
              <w:rPr>
                <w:rFonts w:cs="Arial"/>
                <w:sz w:val="18"/>
                <w:szCs w:val="18"/>
                <w:lang w:val="bg-BG"/>
              </w:rPr>
            </w:pPr>
            <w:r w:rsidRPr="009072DA">
              <w:rPr>
                <w:sz w:val="18"/>
                <w:lang w:val="bg-BG"/>
              </w:rPr>
              <w:t>Постоянно монтирана осушителна система</w:t>
            </w:r>
          </w:p>
        </w:tc>
        <w:tc>
          <w:tcPr>
            <w:tcW w:w="6521" w:type="dxa"/>
            <w:shd w:val="clear" w:color="auto" w:fill="auto"/>
          </w:tcPr>
          <w:p w:rsidR="00C01A94" w:rsidRPr="009072DA" w:rsidRDefault="00C01A94" w:rsidP="00C01A94">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40" w:after="140" w:line="240" w:lineRule="atLeast"/>
              <w:rPr>
                <w:rFonts w:cs="Arial"/>
                <w:sz w:val="18"/>
                <w:szCs w:val="18"/>
                <w:lang w:val="bg-BG"/>
              </w:rPr>
            </w:pPr>
            <w:r w:rsidRPr="009072DA">
              <w:rPr>
                <w:sz w:val="18"/>
                <w:lang w:val="bg-BG"/>
              </w:rPr>
              <w:t>1.1.2015 г.</w:t>
            </w:r>
          </w:p>
        </w:tc>
      </w:tr>
      <w:tr w:rsidR="00C01A94" w:rsidRPr="009072DA" w:rsidTr="00196FBC">
        <w:trPr>
          <w:cantSplit/>
          <w:jc w:val="center"/>
        </w:trPr>
        <w:tc>
          <w:tcPr>
            <w:tcW w:w="1342" w:type="dxa"/>
            <w:tcBorders>
              <w:bottom w:val="nil"/>
            </w:tcBorders>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lastRenderedPageBreak/>
              <w:t>19.10</w:t>
            </w: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Член 10.16, точка 3 също се прилага за проходите и помещенията за отдих за пътниците</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1.1.2015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3</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Подходящо аварийно осветление</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1.1.2015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Авариен захранващ агрегат</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 xml:space="preserve">При пътнически плавателни съдове за дневно пътуване с </w:t>
            </w:r>
            <m:oMath>
              <m:sSub>
                <m:sSubPr>
                  <m:ctrlPr>
                    <w:rPr>
                      <w:rFonts w:ascii="Cambria Math" w:hAnsi="Cambria Math" w:cs="Arial"/>
                      <w:i/>
                      <w:sz w:val="18"/>
                      <w:szCs w:val="18"/>
                      <w:lang w:val="bg-BG"/>
                    </w:rPr>
                  </m:ctrlPr>
                </m:sSubPr>
                <m:e>
                  <m:r>
                    <w:rPr>
                      <w:rFonts w:ascii="Cambria Math" w:hAnsi="Cambria Math" w:cs="Arial"/>
                      <w:sz w:val="18"/>
                      <w:szCs w:val="18"/>
                      <w:lang w:val="bg-BG"/>
                    </w:rPr>
                    <m:t>L</m:t>
                  </m:r>
                </m:e>
                <m:sub>
                  <m:r>
                    <w:rPr>
                      <w:rFonts w:ascii="Cambria Math" w:hAnsi="Cambria Math" w:cs="Arial"/>
                      <w:sz w:val="18"/>
                      <w:szCs w:val="18"/>
                      <w:lang w:val="bg-BG"/>
                    </w:rPr>
                    <m:t>WL</m:t>
                  </m:r>
                </m:sub>
              </m:sSub>
            </m:oMath>
            <w:r w:rsidRPr="009072DA">
              <w:rPr>
                <w:sz w:val="18"/>
                <w:lang w:val="bg-BG"/>
              </w:rPr>
              <w:t xml:space="preserve"> от 25 метра или по-малко, разпоредбата се прилага за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1.1.2015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Точка 4, буква е)</w:t>
            </w:r>
          </w:p>
        </w:tc>
        <w:tc>
          <w:tcPr>
            <w:tcW w:w="3296" w:type="dxa"/>
            <w:shd w:val="clear" w:color="auto" w:fill="auto"/>
          </w:tcPr>
          <w:p w:rsidR="00C01A94" w:rsidRPr="009072DA" w:rsidRDefault="00C01A94" w:rsidP="00C42516">
            <w:pPr>
              <w:tabs>
                <w:tab w:val="left" w:pos="1080"/>
              </w:tabs>
              <w:spacing w:before="120" w:after="120" w:line="240" w:lineRule="atLeast"/>
              <w:rPr>
                <w:rFonts w:cs="Arial"/>
                <w:sz w:val="18"/>
                <w:szCs w:val="18"/>
                <w:lang w:val="bg-BG"/>
              </w:rPr>
            </w:pPr>
            <w:r w:rsidRPr="009072DA">
              <w:rPr>
                <w:sz w:val="18"/>
                <w:lang w:val="bg-BG"/>
              </w:rPr>
              <w:t>Аварийно захранване за прожекторите съгласно член 13.02, точка 2, буква и)</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1.1.2015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Точка 4, буква и)</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Аварийно захранване за асансьорите и повдигащото оборудване съгласно член 19.06, точка 9, второ изречение</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1.1.2015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6, 1</w:t>
            </w:r>
            <w:r w:rsidRPr="009072DA">
              <w:rPr>
                <w:sz w:val="18"/>
                <w:vertAlign w:val="superscript"/>
                <w:lang w:val="bg-BG"/>
              </w:rPr>
              <w:t>во </w:t>
            </w:r>
            <w:r w:rsidRPr="009072DA">
              <w:rPr>
                <w:sz w:val="18"/>
                <w:lang w:val="bg-BG"/>
              </w:rPr>
              <w:t>изречение</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Преградни стени съгласно член 19.11, точка 2.</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1.1.2015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6, 2</w:t>
            </w:r>
            <w:r w:rsidRPr="009072DA">
              <w:rPr>
                <w:sz w:val="18"/>
                <w:vertAlign w:val="superscript"/>
                <w:lang w:val="bg-BG"/>
              </w:rPr>
              <w:t>ро</w:t>
            </w:r>
            <w:r w:rsidRPr="009072DA">
              <w:rPr>
                <w:sz w:val="18"/>
                <w:lang w:val="bg-BG"/>
              </w:rPr>
              <w:t xml:space="preserve"> и 3</w:t>
            </w:r>
            <w:r w:rsidRPr="009072DA">
              <w:rPr>
                <w:sz w:val="18"/>
                <w:vertAlign w:val="superscript"/>
                <w:lang w:val="bg-BG"/>
              </w:rPr>
              <w:t>то</w:t>
            </w:r>
            <w:r w:rsidRPr="009072DA">
              <w:rPr>
                <w:sz w:val="18"/>
                <w:lang w:val="bg-BG"/>
              </w:rPr>
              <w:t xml:space="preserve"> изречение</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Полагане на кабели</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1.1.2015 г.</w:t>
            </w:r>
          </w:p>
        </w:tc>
      </w:tr>
      <w:tr w:rsidR="00C01A94" w:rsidRPr="009072DA" w:rsidTr="00196FBC">
        <w:trPr>
          <w:cantSplit/>
          <w:jc w:val="center"/>
        </w:trPr>
        <w:tc>
          <w:tcPr>
            <w:tcW w:w="1342" w:type="dxa"/>
            <w:tcBorders>
              <w:top w:val="nil"/>
              <w:bottom w:val="single" w:sz="4" w:space="0" w:color="auto"/>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6, 4</w:t>
            </w:r>
            <w:r w:rsidRPr="009072DA">
              <w:rPr>
                <w:sz w:val="18"/>
                <w:vertAlign w:val="superscript"/>
                <w:lang w:val="bg-BG"/>
              </w:rPr>
              <w:t>то</w:t>
            </w:r>
            <w:r w:rsidRPr="009072DA">
              <w:rPr>
                <w:sz w:val="18"/>
                <w:lang w:val="bg-BG"/>
              </w:rPr>
              <w:t xml:space="preserve"> изречение</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Авариен захранващ агрегат над пределната линия</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1.1.2015 г.</w:t>
            </w:r>
          </w:p>
        </w:tc>
      </w:tr>
      <w:tr w:rsidR="00C01A94" w:rsidRPr="009072DA" w:rsidTr="000E732C">
        <w:trPr>
          <w:cantSplit/>
          <w:trHeight w:val="347"/>
          <w:jc w:val="center"/>
        </w:trPr>
        <w:tc>
          <w:tcPr>
            <w:tcW w:w="1342" w:type="dxa"/>
            <w:vMerge w:val="restart"/>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19.11</w:t>
            </w:r>
          </w:p>
        </w:tc>
        <w:tc>
          <w:tcPr>
            <w:tcW w:w="1458" w:type="dxa"/>
            <w:vMerge w:val="restart"/>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Точка 1</w:t>
            </w:r>
          </w:p>
        </w:tc>
        <w:tc>
          <w:tcPr>
            <w:tcW w:w="3296" w:type="dxa"/>
            <w:vMerge w:val="restart"/>
            <w:shd w:val="clear" w:color="auto" w:fill="auto"/>
          </w:tcPr>
          <w:p w:rsidR="00C01A94" w:rsidRPr="009072DA" w:rsidRDefault="00C01A94" w:rsidP="00B74390">
            <w:pPr>
              <w:tabs>
                <w:tab w:val="left" w:pos="1080"/>
              </w:tabs>
              <w:spacing w:before="80" w:after="80" w:line="240" w:lineRule="atLeast"/>
              <w:rPr>
                <w:rFonts w:cs="Arial"/>
                <w:sz w:val="18"/>
                <w:szCs w:val="18"/>
                <w:lang w:val="bg-BG"/>
              </w:rPr>
            </w:pPr>
            <w:r w:rsidRPr="009072DA">
              <w:rPr>
                <w:sz w:val="18"/>
                <w:lang w:val="bg-BG"/>
              </w:rPr>
              <w:t xml:space="preserve">Годност на материалите и компонентите за противопожарна </w:t>
            </w:r>
            <w:r w:rsidRPr="009072DA">
              <w:rPr>
                <w:sz w:val="18"/>
                <w:lang w:val="bg-BG"/>
              </w:rPr>
              <w:lastRenderedPageBreak/>
              <w:t>защита</w:t>
            </w:r>
          </w:p>
        </w:tc>
        <w:tc>
          <w:tcPr>
            <w:tcW w:w="6521"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lastRenderedPageBreak/>
              <w:t>НЗР, най-късно при подновяване на удостоверението на плавателния съд за плаване по вътрешни водни пътища след</w:t>
            </w:r>
          </w:p>
        </w:tc>
        <w:tc>
          <w:tcPr>
            <w:tcW w:w="1276" w:type="dxa"/>
            <w:vMerge w:val="restart"/>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1.1.2045 г.</w:t>
            </w:r>
          </w:p>
        </w:tc>
      </w:tr>
      <w:tr w:rsidR="00C01A94" w:rsidRPr="008D2440" w:rsidTr="00196FBC">
        <w:trPr>
          <w:cantSplit/>
          <w:trHeight w:val="346"/>
          <w:jc w:val="center"/>
        </w:trPr>
        <w:tc>
          <w:tcPr>
            <w:tcW w:w="1342" w:type="dxa"/>
            <w:vMerge/>
            <w:tcBorders>
              <w:bottom w:val="nil"/>
            </w:tcBorders>
            <w:shd w:val="clear" w:color="auto" w:fill="auto"/>
          </w:tcPr>
          <w:p w:rsidR="00C01A94" w:rsidRPr="009072DA" w:rsidRDefault="00C01A94" w:rsidP="00B74390">
            <w:pPr>
              <w:spacing w:before="80" w:after="80" w:line="240" w:lineRule="atLeast"/>
              <w:rPr>
                <w:rFonts w:cs="Arial"/>
                <w:sz w:val="18"/>
                <w:szCs w:val="18"/>
                <w:lang w:val="bg-BG"/>
              </w:rPr>
            </w:pPr>
          </w:p>
        </w:tc>
        <w:tc>
          <w:tcPr>
            <w:tcW w:w="1458" w:type="dxa"/>
            <w:vMerge/>
            <w:shd w:val="clear" w:color="auto" w:fill="auto"/>
          </w:tcPr>
          <w:p w:rsidR="00C01A94" w:rsidRPr="009072DA" w:rsidRDefault="00C01A94" w:rsidP="00B74390">
            <w:pPr>
              <w:spacing w:before="80" w:after="80" w:line="240" w:lineRule="atLeast"/>
              <w:rPr>
                <w:rFonts w:cs="Arial"/>
                <w:sz w:val="18"/>
                <w:szCs w:val="18"/>
                <w:lang w:val="bg-BG"/>
              </w:rPr>
            </w:pPr>
          </w:p>
        </w:tc>
        <w:tc>
          <w:tcPr>
            <w:tcW w:w="3296" w:type="dxa"/>
            <w:vMerge/>
            <w:shd w:val="clear" w:color="auto" w:fill="auto"/>
          </w:tcPr>
          <w:p w:rsidR="00C01A94" w:rsidRPr="009072DA" w:rsidRDefault="00C01A94" w:rsidP="00B74390">
            <w:pPr>
              <w:tabs>
                <w:tab w:val="left" w:pos="1080"/>
              </w:tabs>
              <w:spacing w:before="80" w:after="80" w:line="240" w:lineRule="atLeast"/>
              <w:rPr>
                <w:rFonts w:cs="Arial"/>
                <w:sz w:val="18"/>
                <w:szCs w:val="18"/>
                <w:lang w:val="bg-BG"/>
              </w:rPr>
            </w:pPr>
          </w:p>
        </w:tc>
        <w:tc>
          <w:tcPr>
            <w:tcW w:w="6521"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За материали и компоненти, одобрени съгласно Международния кодекс за прилагане на процедури за пожарни изпитвания (кодекс FTP), приет с Резолюция MSC.61(67)</w:t>
            </w:r>
            <w:r w:rsidRPr="009072DA">
              <w:rPr>
                <w:rStyle w:val="FootnoteReference"/>
                <w:sz w:val="18"/>
                <w:lang w:val="bg-BG"/>
              </w:rPr>
              <w:footnoteReference w:id="33"/>
            </w:r>
            <w:r w:rsidRPr="009072DA">
              <w:rPr>
                <w:sz w:val="18"/>
                <w:lang w:val="bg-BG"/>
              </w:rPr>
              <w:t>: НЗР</w:t>
            </w:r>
          </w:p>
        </w:tc>
        <w:tc>
          <w:tcPr>
            <w:tcW w:w="1276" w:type="dxa"/>
            <w:vMerge/>
            <w:shd w:val="clear" w:color="auto" w:fill="auto"/>
          </w:tcPr>
          <w:p w:rsidR="00C01A94" w:rsidRPr="009072DA" w:rsidRDefault="00C01A94" w:rsidP="00B74390">
            <w:pPr>
              <w:spacing w:before="80" w:after="80" w:line="240" w:lineRule="atLeast"/>
              <w:rPr>
                <w:rFonts w:cs="Arial"/>
                <w:sz w:val="18"/>
                <w:szCs w:val="18"/>
                <w:lang w:val="bg-BG"/>
              </w:rPr>
            </w:pP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80" w:after="80" w:line="240" w:lineRule="atLeast"/>
              <w:rPr>
                <w:rFonts w:cs="Arial"/>
                <w:sz w:val="18"/>
                <w:szCs w:val="18"/>
                <w:lang w:val="bg-BG"/>
              </w:rPr>
            </w:pPr>
          </w:p>
        </w:tc>
        <w:tc>
          <w:tcPr>
            <w:tcW w:w="1458"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B74390">
            <w:pPr>
              <w:tabs>
                <w:tab w:val="left" w:pos="1080"/>
              </w:tabs>
              <w:spacing w:before="80" w:after="80" w:line="240" w:lineRule="atLeast"/>
              <w:rPr>
                <w:rFonts w:cs="Arial"/>
                <w:sz w:val="18"/>
                <w:szCs w:val="18"/>
                <w:lang w:val="bg-BG"/>
              </w:rPr>
            </w:pPr>
            <w:r w:rsidRPr="009072DA">
              <w:rPr>
                <w:sz w:val="18"/>
                <w:lang w:val="bg-BG"/>
              </w:rPr>
              <w:t>Проектиране на преградни стени</w:t>
            </w:r>
          </w:p>
        </w:tc>
        <w:tc>
          <w:tcPr>
            <w:tcW w:w="6521"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80" w:after="80" w:line="240" w:lineRule="atLeast"/>
              <w:rPr>
                <w:rFonts w:cs="Arial"/>
                <w:sz w:val="18"/>
                <w:szCs w:val="18"/>
                <w:lang w:val="bg-BG"/>
              </w:rPr>
            </w:pPr>
          </w:p>
        </w:tc>
        <w:tc>
          <w:tcPr>
            <w:tcW w:w="1458"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Точка 3</w:t>
            </w:r>
          </w:p>
        </w:tc>
        <w:tc>
          <w:tcPr>
            <w:tcW w:w="3296" w:type="dxa"/>
            <w:shd w:val="clear" w:color="auto" w:fill="auto"/>
          </w:tcPr>
          <w:p w:rsidR="00C01A94" w:rsidRPr="009072DA" w:rsidRDefault="00C01A94" w:rsidP="00B74390">
            <w:pPr>
              <w:tabs>
                <w:tab w:val="left" w:pos="1080"/>
              </w:tabs>
              <w:spacing w:before="80" w:after="80" w:line="240" w:lineRule="atLeast"/>
              <w:rPr>
                <w:rFonts w:cs="Arial"/>
                <w:sz w:val="18"/>
                <w:szCs w:val="18"/>
                <w:lang w:val="bg-BG"/>
              </w:rPr>
            </w:pPr>
            <w:r w:rsidRPr="009072DA">
              <w:rPr>
                <w:sz w:val="18"/>
                <w:lang w:val="bg-BG"/>
              </w:rPr>
              <w:t>Боите, лаковете и другите продукти за обработка на повърхности, както и покритията на палубите, използвани в помещенията, без машинните отделения и складовите помещения, трябва да са забавящи горенето</w:t>
            </w:r>
          </w:p>
        </w:tc>
        <w:tc>
          <w:tcPr>
            <w:tcW w:w="6521"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1.1.2015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80" w:after="80" w:line="240" w:lineRule="atLeast"/>
              <w:rPr>
                <w:rFonts w:cs="Arial"/>
                <w:sz w:val="18"/>
                <w:szCs w:val="18"/>
                <w:lang w:val="bg-BG"/>
              </w:rPr>
            </w:pPr>
          </w:p>
        </w:tc>
        <w:tc>
          <w:tcPr>
            <w:tcW w:w="1458"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C01A94" w:rsidP="00B74390">
            <w:pPr>
              <w:tabs>
                <w:tab w:val="left" w:pos="1080"/>
              </w:tabs>
              <w:spacing w:before="80" w:after="80" w:line="240" w:lineRule="atLeast"/>
              <w:rPr>
                <w:rFonts w:cs="Arial"/>
                <w:sz w:val="18"/>
                <w:szCs w:val="18"/>
                <w:lang w:val="bg-BG"/>
              </w:rPr>
            </w:pPr>
            <w:r w:rsidRPr="009072DA">
              <w:rPr>
                <w:sz w:val="18"/>
                <w:lang w:val="bg-BG"/>
              </w:rPr>
              <w:t>Таваните на салоните и покритията на стените трябва да са произведени от негорим материал</w:t>
            </w:r>
          </w:p>
        </w:tc>
        <w:tc>
          <w:tcPr>
            <w:tcW w:w="6521"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80" w:after="8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5</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Мебелите и оборудването в сборните пунктове трябва да са произведени от негорим материал</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6</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Изпитани съгласно Кодекса</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7</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Изолационни материали в салоните</w:t>
            </w:r>
          </w:p>
        </w:tc>
        <w:tc>
          <w:tcPr>
            <w:tcW w:w="6521"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140" w:after="140" w:line="240" w:lineRule="atLeast"/>
              <w:rPr>
                <w:rFonts w:cs="Arial"/>
                <w:sz w:val="18"/>
                <w:szCs w:val="18"/>
                <w:lang w:val="bg-BG"/>
              </w:rPr>
            </w:pPr>
          </w:p>
        </w:tc>
        <w:tc>
          <w:tcPr>
            <w:tcW w:w="1458"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Точка 9</w:t>
            </w:r>
          </w:p>
        </w:tc>
        <w:tc>
          <w:tcPr>
            <w:tcW w:w="3296" w:type="dxa"/>
            <w:shd w:val="clear" w:color="auto" w:fill="auto"/>
          </w:tcPr>
          <w:p w:rsidR="00C01A94" w:rsidRPr="009072DA" w:rsidRDefault="00C01A94" w:rsidP="00B74390">
            <w:pPr>
              <w:tabs>
                <w:tab w:val="left" w:pos="1080"/>
              </w:tabs>
              <w:spacing w:before="140" w:after="140" w:line="240" w:lineRule="atLeast"/>
              <w:rPr>
                <w:rFonts w:cs="Arial"/>
                <w:sz w:val="18"/>
                <w:szCs w:val="18"/>
                <w:lang w:val="bg-BG"/>
              </w:rPr>
            </w:pPr>
            <w:r w:rsidRPr="009072DA">
              <w:rPr>
                <w:sz w:val="18"/>
                <w:lang w:val="bg-BG"/>
              </w:rPr>
              <w:t>Изисквания към вратите в преградните стени</w:t>
            </w:r>
          </w:p>
        </w:tc>
        <w:tc>
          <w:tcPr>
            <w:tcW w:w="6521"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140" w:after="140" w:line="240" w:lineRule="atLeast"/>
              <w:rPr>
                <w:rFonts w:cs="Arial"/>
                <w:sz w:val="18"/>
                <w:szCs w:val="18"/>
                <w:lang w:val="bg-BG"/>
              </w:rPr>
            </w:pPr>
          </w:p>
        </w:tc>
        <w:tc>
          <w:tcPr>
            <w:tcW w:w="1458"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Точка 11</w:t>
            </w:r>
          </w:p>
        </w:tc>
        <w:tc>
          <w:tcPr>
            <w:tcW w:w="3296" w:type="dxa"/>
            <w:shd w:val="clear" w:color="auto" w:fill="auto"/>
          </w:tcPr>
          <w:p w:rsidR="00C01A94" w:rsidRPr="009072DA" w:rsidRDefault="00C01A94" w:rsidP="00B74390">
            <w:pPr>
              <w:tabs>
                <w:tab w:val="left" w:pos="1080"/>
              </w:tabs>
              <w:spacing w:before="140" w:after="140" w:line="240" w:lineRule="atLeast"/>
              <w:rPr>
                <w:rFonts w:cs="Arial"/>
                <w:sz w:val="18"/>
                <w:szCs w:val="18"/>
                <w:lang w:val="bg-BG"/>
              </w:rPr>
            </w:pPr>
            <w:r w:rsidRPr="009072DA">
              <w:rPr>
                <w:sz w:val="18"/>
                <w:lang w:val="bg-BG"/>
              </w:rPr>
              <w:t>Преградни стени</w:t>
            </w:r>
          </w:p>
        </w:tc>
        <w:tc>
          <w:tcPr>
            <w:tcW w:w="6521"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140" w:after="140" w:line="240" w:lineRule="atLeast"/>
              <w:rPr>
                <w:rFonts w:cs="Arial"/>
                <w:sz w:val="18"/>
                <w:szCs w:val="18"/>
                <w:lang w:val="bg-BG"/>
              </w:rPr>
            </w:pPr>
          </w:p>
        </w:tc>
        <w:tc>
          <w:tcPr>
            <w:tcW w:w="1458"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Точка 12</w:t>
            </w:r>
          </w:p>
        </w:tc>
        <w:tc>
          <w:tcPr>
            <w:tcW w:w="3296" w:type="dxa"/>
            <w:shd w:val="clear" w:color="auto" w:fill="auto"/>
          </w:tcPr>
          <w:p w:rsidR="00C01A94" w:rsidRPr="009072DA" w:rsidRDefault="00C01A94" w:rsidP="00B74390">
            <w:pPr>
              <w:tabs>
                <w:tab w:val="left" w:pos="1080"/>
              </w:tabs>
              <w:spacing w:before="140" w:after="140" w:line="240" w:lineRule="atLeast"/>
              <w:rPr>
                <w:rFonts w:cs="Arial"/>
                <w:sz w:val="18"/>
                <w:szCs w:val="18"/>
                <w:lang w:val="bg-BG"/>
              </w:rPr>
            </w:pPr>
            <w:r w:rsidRPr="009072DA">
              <w:rPr>
                <w:sz w:val="18"/>
                <w:lang w:val="bg-BG"/>
              </w:rPr>
              <w:t>Пожарозащитни прегради</w:t>
            </w:r>
          </w:p>
        </w:tc>
        <w:tc>
          <w:tcPr>
            <w:tcW w:w="6521"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140" w:after="140" w:line="240" w:lineRule="atLeast"/>
              <w:rPr>
                <w:rFonts w:cs="Arial"/>
                <w:sz w:val="18"/>
                <w:szCs w:val="18"/>
                <w:lang w:val="bg-BG"/>
              </w:rPr>
            </w:pPr>
          </w:p>
        </w:tc>
        <w:tc>
          <w:tcPr>
            <w:tcW w:w="1458"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Точка 13</w:t>
            </w:r>
          </w:p>
        </w:tc>
        <w:tc>
          <w:tcPr>
            <w:tcW w:w="3296" w:type="dxa"/>
            <w:shd w:val="clear" w:color="auto" w:fill="auto"/>
          </w:tcPr>
          <w:p w:rsidR="00C01A94" w:rsidRPr="009072DA" w:rsidRDefault="00C01A94" w:rsidP="00B74390">
            <w:pPr>
              <w:tabs>
                <w:tab w:val="left" w:pos="1080"/>
              </w:tabs>
              <w:spacing w:before="140" w:after="140" w:line="240" w:lineRule="atLeast"/>
              <w:rPr>
                <w:rFonts w:cs="Arial"/>
                <w:sz w:val="18"/>
                <w:szCs w:val="18"/>
                <w:lang w:val="bg-BG"/>
              </w:rPr>
            </w:pPr>
            <w:r w:rsidRPr="009072DA">
              <w:rPr>
                <w:sz w:val="18"/>
                <w:lang w:val="bg-BG"/>
              </w:rPr>
              <w:t>Стълбища от стомана или друг еквивалентен негорим материал</w:t>
            </w:r>
          </w:p>
        </w:tc>
        <w:tc>
          <w:tcPr>
            <w:tcW w:w="6521"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140" w:after="140" w:line="240" w:lineRule="atLeast"/>
              <w:rPr>
                <w:rFonts w:cs="Arial"/>
                <w:sz w:val="18"/>
                <w:szCs w:val="18"/>
                <w:lang w:val="bg-BG"/>
              </w:rPr>
            </w:pPr>
          </w:p>
        </w:tc>
        <w:tc>
          <w:tcPr>
            <w:tcW w:w="1458"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Точка 14</w:t>
            </w:r>
          </w:p>
        </w:tc>
        <w:tc>
          <w:tcPr>
            <w:tcW w:w="3296" w:type="dxa"/>
            <w:shd w:val="clear" w:color="auto" w:fill="auto"/>
          </w:tcPr>
          <w:p w:rsidR="00C01A94" w:rsidRPr="009072DA" w:rsidRDefault="00C01A94" w:rsidP="00B74390">
            <w:pPr>
              <w:tabs>
                <w:tab w:val="left" w:pos="1080"/>
              </w:tabs>
              <w:spacing w:before="140" w:after="140" w:line="240" w:lineRule="atLeast"/>
              <w:rPr>
                <w:rFonts w:cs="Arial"/>
                <w:sz w:val="18"/>
                <w:szCs w:val="18"/>
                <w:lang w:val="bg-BG"/>
              </w:rPr>
            </w:pPr>
            <w:r w:rsidRPr="009072DA">
              <w:rPr>
                <w:sz w:val="18"/>
                <w:lang w:val="bg-BG"/>
              </w:rPr>
              <w:t>Вътрешните стълбища, обградени на всички нива от стени в съответствие с точка 2.</w:t>
            </w:r>
          </w:p>
        </w:tc>
        <w:tc>
          <w:tcPr>
            <w:tcW w:w="6521"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140" w:after="140" w:line="240" w:lineRule="atLeast"/>
              <w:rPr>
                <w:rFonts w:cs="Arial"/>
                <w:sz w:val="18"/>
                <w:szCs w:val="18"/>
                <w:lang w:val="bg-BG"/>
              </w:rPr>
            </w:pPr>
          </w:p>
        </w:tc>
        <w:tc>
          <w:tcPr>
            <w:tcW w:w="1458"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Точка 15</w:t>
            </w:r>
          </w:p>
        </w:tc>
        <w:tc>
          <w:tcPr>
            <w:tcW w:w="3296" w:type="dxa"/>
            <w:shd w:val="clear" w:color="auto" w:fill="auto"/>
          </w:tcPr>
          <w:p w:rsidR="00C01A94" w:rsidRPr="009072DA" w:rsidRDefault="00C01A94" w:rsidP="00B74390">
            <w:pPr>
              <w:tabs>
                <w:tab w:val="left" w:pos="1080"/>
              </w:tabs>
              <w:spacing w:before="140" w:after="140" w:line="240" w:lineRule="atLeast"/>
              <w:rPr>
                <w:rFonts w:cs="Arial"/>
                <w:sz w:val="18"/>
                <w:szCs w:val="18"/>
                <w:lang w:val="bg-BG"/>
              </w:rPr>
            </w:pPr>
            <w:r w:rsidRPr="009072DA">
              <w:rPr>
                <w:sz w:val="18"/>
                <w:lang w:val="bg-BG"/>
              </w:rPr>
              <w:t>Вентилационни системи и системи за подаване на въздух</w:t>
            </w:r>
          </w:p>
        </w:tc>
        <w:tc>
          <w:tcPr>
            <w:tcW w:w="6521"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140" w:after="140" w:line="240" w:lineRule="atLeast"/>
              <w:rPr>
                <w:rFonts w:cs="Arial"/>
                <w:sz w:val="18"/>
                <w:szCs w:val="18"/>
                <w:lang w:val="bg-BG"/>
              </w:rPr>
            </w:pPr>
          </w:p>
        </w:tc>
        <w:tc>
          <w:tcPr>
            <w:tcW w:w="1458"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Точка 16</w:t>
            </w:r>
          </w:p>
        </w:tc>
        <w:tc>
          <w:tcPr>
            <w:tcW w:w="3296" w:type="dxa"/>
            <w:shd w:val="clear" w:color="auto" w:fill="auto"/>
          </w:tcPr>
          <w:p w:rsidR="00C01A94" w:rsidRPr="009072DA" w:rsidRDefault="00C01A94" w:rsidP="00B74390">
            <w:pPr>
              <w:tabs>
                <w:tab w:val="left" w:pos="1080"/>
              </w:tabs>
              <w:spacing w:before="140" w:after="140" w:line="240" w:lineRule="atLeast"/>
              <w:rPr>
                <w:rFonts w:cs="Arial"/>
                <w:sz w:val="18"/>
                <w:szCs w:val="18"/>
                <w:lang w:val="bg-BG"/>
              </w:rPr>
            </w:pPr>
            <w:r w:rsidRPr="009072DA">
              <w:rPr>
                <w:sz w:val="18"/>
                <w:lang w:val="bg-BG"/>
              </w:rPr>
              <w:t>Вентилационни системи в камбузите и печки с аспирационни чадъри</w:t>
            </w:r>
          </w:p>
        </w:tc>
        <w:tc>
          <w:tcPr>
            <w:tcW w:w="6521"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nil"/>
            </w:tcBorders>
            <w:shd w:val="clear" w:color="auto" w:fill="auto"/>
          </w:tcPr>
          <w:p w:rsidR="00C01A94" w:rsidRPr="009072DA" w:rsidRDefault="00C01A94" w:rsidP="00B74390">
            <w:pPr>
              <w:spacing w:before="140" w:after="140" w:line="240" w:lineRule="atLeast"/>
              <w:rPr>
                <w:rFonts w:cs="Arial"/>
                <w:sz w:val="18"/>
                <w:szCs w:val="18"/>
                <w:lang w:val="bg-BG"/>
              </w:rPr>
            </w:pPr>
          </w:p>
        </w:tc>
        <w:tc>
          <w:tcPr>
            <w:tcW w:w="1458"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Точка 17</w:t>
            </w:r>
          </w:p>
        </w:tc>
        <w:tc>
          <w:tcPr>
            <w:tcW w:w="3296" w:type="dxa"/>
            <w:shd w:val="clear" w:color="auto" w:fill="auto"/>
          </w:tcPr>
          <w:p w:rsidR="00C01A94" w:rsidRPr="009072DA" w:rsidRDefault="00C01A94" w:rsidP="00B74390">
            <w:pPr>
              <w:tabs>
                <w:tab w:val="left" w:pos="1080"/>
              </w:tabs>
              <w:spacing w:before="140" w:after="140" w:line="240" w:lineRule="atLeast"/>
              <w:rPr>
                <w:rFonts w:cs="Arial"/>
                <w:sz w:val="18"/>
                <w:szCs w:val="18"/>
                <w:lang w:val="bg-BG"/>
              </w:rPr>
            </w:pPr>
            <w:r w:rsidRPr="009072DA">
              <w:rPr>
                <w:sz w:val="18"/>
                <w:lang w:val="bg-BG"/>
              </w:rPr>
              <w:t>Центрове за управление, стълбищни шахти, сборни пунктове и системи за изтегляне на дим</w:t>
            </w:r>
          </w:p>
        </w:tc>
        <w:tc>
          <w:tcPr>
            <w:tcW w:w="6521"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bottom w:val="nil"/>
            </w:tcBorders>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19.12</w:t>
            </w:r>
          </w:p>
        </w:tc>
        <w:tc>
          <w:tcPr>
            <w:tcW w:w="1458"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Точка 8, буква г)</w:t>
            </w:r>
          </w:p>
        </w:tc>
        <w:tc>
          <w:tcPr>
            <w:tcW w:w="3296" w:type="dxa"/>
            <w:shd w:val="clear" w:color="auto" w:fill="auto"/>
          </w:tcPr>
          <w:p w:rsidR="00C01A94" w:rsidRPr="009072DA" w:rsidRDefault="00C01A94" w:rsidP="00B74390">
            <w:pPr>
              <w:tabs>
                <w:tab w:val="left" w:pos="1080"/>
              </w:tabs>
              <w:spacing w:before="140" w:after="140" w:line="240" w:lineRule="atLeast"/>
              <w:rPr>
                <w:rFonts w:cs="Arial"/>
                <w:sz w:val="18"/>
                <w:szCs w:val="18"/>
                <w:lang w:val="bg-BG"/>
              </w:rPr>
            </w:pPr>
            <w:r w:rsidRPr="009072DA">
              <w:rPr>
                <w:sz w:val="18"/>
                <w:lang w:val="bg-BG"/>
              </w:rPr>
              <w:t>Инсталиране на пожарни помпи</w:t>
            </w:r>
          </w:p>
        </w:tc>
        <w:tc>
          <w:tcPr>
            <w:tcW w:w="6521"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И двете помпи: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tcBorders>
              <w:top w:val="nil"/>
            </w:tcBorders>
            <w:shd w:val="clear" w:color="auto" w:fill="auto"/>
          </w:tcPr>
          <w:p w:rsidR="00C01A94" w:rsidRPr="009072DA" w:rsidRDefault="00C01A94" w:rsidP="00B74390">
            <w:pPr>
              <w:spacing w:before="140" w:after="140" w:line="240" w:lineRule="atLeast"/>
              <w:rPr>
                <w:rFonts w:cs="Arial"/>
                <w:sz w:val="18"/>
                <w:szCs w:val="18"/>
                <w:lang w:val="bg-BG"/>
              </w:rPr>
            </w:pPr>
          </w:p>
        </w:tc>
        <w:tc>
          <w:tcPr>
            <w:tcW w:w="1458"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Точка 9</w:t>
            </w:r>
          </w:p>
        </w:tc>
        <w:tc>
          <w:tcPr>
            <w:tcW w:w="3296" w:type="dxa"/>
            <w:shd w:val="clear" w:color="auto" w:fill="auto"/>
          </w:tcPr>
          <w:p w:rsidR="00C01A94" w:rsidRPr="009072DA" w:rsidRDefault="00C01A94" w:rsidP="00B74390">
            <w:pPr>
              <w:tabs>
                <w:tab w:val="left" w:pos="1080"/>
              </w:tabs>
              <w:spacing w:before="140" w:after="140" w:line="240" w:lineRule="atLeast"/>
              <w:rPr>
                <w:rFonts w:cs="Arial"/>
                <w:sz w:val="18"/>
                <w:szCs w:val="18"/>
                <w:lang w:val="bg-BG"/>
              </w:rPr>
            </w:pPr>
            <w:r w:rsidRPr="009072DA">
              <w:rPr>
                <w:sz w:val="18"/>
                <w:lang w:val="bg-BG"/>
              </w:rPr>
              <w:t>Пожарогасителна система в машинните отделения</w:t>
            </w:r>
          </w:p>
        </w:tc>
        <w:tc>
          <w:tcPr>
            <w:tcW w:w="6521"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40" w:after="140" w:line="240" w:lineRule="atLeast"/>
              <w:rPr>
                <w:rFonts w:cs="Arial"/>
                <w:sz w:val="18"/>
                <w:szCs w:val="18"/>
                <w:lang w:val="bg-BG"/>
              </w:rPr>
            </w:pPr>
            <w:r w:rsidRPr="009072DA">
              <w:rPr>
                <w:sz w:val="18"/>
                <w:lang w:val="bg-BG"/>
              </w:rPr>
              <w:t>1.1.2015 г.</w:t>
            </w:r>
          </w:p>
        </w:tc>
      </w:tr>
      <w:tr w:rsidR="00C01A94" w:rsidRPr="009072DA" w:rsidTr="00196FBC">
        <w:trPr>
          <w:cantSplit/>
          <w:jc w:val="center"/>
        </w:trPr>
        <w:tc>
          <w:tcPr>
            <w:tcW w:w="1342" w:type="dxa"/>
            <w:tcBorders>
              <w:bottom w:val="nil"/>
            </w:tcBorders>
            <w:shd w:val="clear" w:color="auto" w:fill="auto"/>
          </w:tcPr>
          <w:p w:rsidR="00C01A94" w:rsidRPr="009072DA" w:rsidRDefault="00C01A94" w:rsidP="00B74390">
            <w:pPr>
              <w:spacing w:before="160" w:after="160" w:line="240" w:lineRule="atLeast"/>
              <w:rPr>
                <w:rFonts w:cs="Arial"/>
                <w:sz w:val="18"/>
                <w:szCs w:val="18"/>
                <w:lang w:val="bg-BG"/>
              </w:rPr>
            </w:pPr>
            <w:r w:rsidRPr="009072DA">
              <w:rPr>
                <w:sz w:val="18"/>
                <w:lang w:val="bg-BG"/>
              </w:rPr>
              <w:t>19.14</w:t>
            </w:r>
          </w:p>
        </w:tc>
        <w:tc>
          <w:tcPr>
            <w:tcW w:w="1458" w:type="dxa"/>
            <w:shd w:val="clear" w:color="auto" w:fill="auto"/>
          </w:tcPr>
          <w:p w:rsidR="00C01A94" w:rsidRPr="009072DA" w:rsidRDefault="00C01A94" w:rsidP="00B74390">
            <w:pPr>
              <w:spacing w:before="160" w:after="160" w:line="240" w:lineRule="atLeast"/>
              <w:rPr>
                <w:rFonts w:cs="Arial"/>
                <w:sz w:val="18"/>
                <w:szCs w:val="18"/>
                <w:lang w:val="bg-BG"/>
              </w:rPr>
            </w:pPr>
            <w:r w:rsidRPr="009072DA">
              <w:rPr>
                <w:sz w:val="18"/>
                <w:lang w:val="bg-BG"/>
              </w:rPr>
              <w:t>Точка 1</w:t>
            </w:r>
          </w:p>
        </w:tc>
        <w:tc>
          <w:tcPr>
            <w:tcW w:w="3296" w:type="dxa"/>
            <w:shd w:val="clear" w:color="auto" w:fill="auto"/>
          </w:tcPr>
          <w:p w:rsidR="00C01A94" w:rsidRPr="009072DA" w:rsidRDefault="00C01A94" w:rsidP="00B74390">
            <w:pPr>
              <w:tabs>
                <w:tab w:val="left" w:pos="1080"/>
              </w:tabs>
              <w:spacing w:before="160" w:after="160" w:line="240" w:lineRule="atLeast"/>
              <w:rPr>
                <w:rFonts w:cs="Arial"/>
                <w:sz w:val="18"/>
                <w:szCs w:val="18"/>
                <w:lang w:val="bg-BG"/>
              </w:rPr>
            </w:pPr>
            <w:r w:rsidRPr="009072DA">
              <w:rPr>
                <w:sz w:val="18"/>
                <w:lang w:val="bg-BG"/>
              </w:rPr>
              <w:t>Резервоари и съоръжения за събиране и обезвреждане на отпадъчни води</w:t>
            </w:r>
          </w:p>
        </w:tc>
        <w:tc>
          <w:tcPr>
            <w:tcW w:w="6521" w:type="dxa"/>
            <w:shd w:val="clear" w:color="auto" w:fill="auto"/>
          </w:tcPr>
          <w:p w:rsidR="00C01A94" w:rsidRPr="009072DA" w:rsidRDefault="00C01A94" w:rsidP="00B74390">
            <w:pPr>
              <w:spacing w:before="160" w:after="160" w:line="240" w:lineRule="atLeast"/>
              <w:rPr>
                <w:rFonts w:cs="Arial"/>
                <w:sz w:val="18"/>
                <w:szCs w:val="18"/>
                <w:lang w:val="bg-BG"/>
              </w:rPr>
            </w:pPr>
            <w:r w:rsidRPr="009072DA">
              <w:rPr>
                <w:sz w:val="18"/>
                <w:lang w:val="bg-BG"/>
              </w:rPr>
              <w:t>За плавателни съдове с каюти с не повече от 50 койки и за плавателни съдове за дневно пътуване: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B74390">
            <w:pPr>
              <w:spacing w:before="160" w:after="16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top w:val="nil"/>
              <w:bottom w:val="single" w:sz="4" w:space="0" w:color="auto"/>
            </w:tcBorders>
            <w:shd w:val="clear" w:color="auto" w:fill="auto"/>
          </w:tcPr>
          <w:p w:rsidR="00C01A94" w:rsidRPr="009072DA" w:rsidRDefault="00C01A94" w:rsidP="00727AB6">
            <w:pPr>
              <w:spacing w:before="60" w:after="60" w:line="240" w:lineRule="atLeast"/>
              <w:rPr>
                <w:rFonts w:cs="Arial"/>
                <w:sz w:val="18"/>
                <w:szCs w:val="18"/>
                <w:lang w:val="bg-BG"/>
              </w:rPr>
            </w:pPr>
          </w:p>
        </w:tc>
        <w:tc>
          <w:tcPr>
            <w:tcW w:w="1458"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727AB6">
            <w:pPr>
              <w:tabs>
                <w:tab w:val="left" w:pos="1080"/>
              </w:tabs>
              <w:spacing w:before="60" w:after="60" w:line="240" w:lineRule="atLeast"/>
              <w:rPr>
                <w:rFonts w:cs="Arial"/>
                <w:sz w:val="18"/>
                <w:szCs w:val="18"/>
                <w:lang w:val="bg-BG"/>
              </w:rPr>
            </w:pPr>
            <w:r w:rsidRPr="009072DA">
              <w:rPr>
                <w:sz w:val="18"/>
                <w:lang w:val="bg-BG"/>
              </w:rPr>
              <w:t>Изисквания към резервоарите за събиране на отпадъчни води</w:t>
            </w:r>
          </w:p>
        </w:tc>
        <w:tc>
          <w:tcPr>
            <w:tcW w:w="6521"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За плавателни съдове с каюти с не повече от 50 койки и за плавателни съдове за дневно пътуване с не повече от 50 пътника: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1342" w:type="dxa"/>
            <w:tcBorders>
              <w:bottom w:val="nil"/>
            </w:tcBorders>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19.15</w:t>
            </w:r>
          </w:p>
        </w:tc>
        <w:tc>
          <w:tcPr>
            <w:tcW w:w="1458"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Точка 1</w:t>
            </w:r>
          </w:p>
        </w:tc>
        <w:tc>
          <w:tcPr>
            <w:tcW w:w="3296" w:type="dxa"/>
            <w:shd w:val="clear" w:color="auto" w:fill="auto"/>
          </w:tcPr>
          <w:p w:rsidR="00C01A94" w:rsidRPr="009072DA" w:rsidRDefault="00C01A94" w:rsidP="00727AB6">
            <w:pPr>
              <w:tabs>
                <w:tab w:val="left" w:pos="1080"/>
              </w:tabs>
              <w:spacing w:before="60" w:after="60" w:line="240" w:lineRule="atLeast"/>
              <w:rPr>
                <w:rFonts w:cs="Arial"/>
                <w:sz w:val="18"/>
                <w:szCs w:val="18"/>
                <w:lang w:val="bg-BG"/>
              </w:rPr>
            </w:pPr>
            <w:r w:rsidRPr="009072DA">
              <w:rPr>
                <w:sz w:val="18"/>
                <w:lang w:val="bg-BG"/>
              </w:rPr>
              <w:t>Устойчивост в повредено състояние</w:t>
            </w:r>
          </w:p>
        </w:tc>
        <w:tc>
          <w:tcPr>
            <w:tcW w:w="6521"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1.1.2045 г.</w:t>
            </w:r>
          </w:p>
        </w:tc>
      </w:tr>
      <w:tr w:rsidR="00C01A94" w:rsidRPr="009072DA" w:rsidTr="00196FBC">
        <w:trPr>
          <w:cantSplit/>
          <w:jc w:val="center"/>
        </w:trPr>
        <w:tc>
          <w:tcPr>
            <w:tcW w:w="6096" w:type="dxa"/>
            <w:gridSpan w:val="3"/>
            <w:shd w:val="clear" w:color="auto" w:fill="auto"/>
          </w:tcPr>
          <w:p w:rsidR="00C01A94" w:rsidRPr="009072DA" w:rsidRDefault="00C01A94" w:rsidP="00727AB6">
            <w:pPr>
              <w:tabs>
                <w:tab w:val="left" w:pos="1080"/>
              </w:tabs>
              <w:spacing w:before="60" w:after="60" w:line="240" w:lineRule="atLeast"/>
              <w:jc w:val="center"/>
              <w:rPr>
                <w:rFonts w:cs="Arial"/>
                <w:sz w:val="18"/>
                <w:szCs w:val="18"/>
                <w:lang w:val="bg-BG"/>
              </w:rPr>
            </w:pPr>
            <w:r w:rsidRPr="009072DA">
              <w:rPr>
                <w:b/>
                <w:sz w:val="18"/>
                <w:lang w:val="bg-BG"/>
              </w:rPr>
              <w:t>ГЛАВА 21</w:t>
            </w:r>
          </w:p>
        </w:tc>
        <w:tc>
          <w:tcPr>
            <w:tcW w:w="6521" w:type="dxa"/>
            <w:shd w:val="clear" w:color="auto" w:fill="auto"/>
          </w:tcPr>
          <w:p w:rsidR="00C01A94" w:rsidRPr="009072DA" w:rsidRDefault="00C01A94" w:rsidP="00727AB6">
            <w:pPr>
              <w:spacing w:before="60" w:after="60" w:line="240" w:lineRule="atLeast"/>
              <w:rPr>
                <w:rFonts w:cs="Arial"/>
                <w:sz w:val="18"/>
                <w:szCs w:val="18"/>
                <w:lang w:val="bg-BG"/>
              </w:rPr>
            </w:pPr>
          </w:p>
        </w:tc>
        <w:tc>
          <w:tcPr>
            <w:tcW w:w="1276" w:type="dxa"/>
            <w:shd w:val="clear" w:color="auto" w:fill="auto"/>
          </w:tcPr>
          <w:p w:rsidR="00C01A94" w:rsidRPr="009072DA" w:rsidRDefault="00C01A94" w:rsidP="00727AB6">
            <w:pPr>
              <w:spacing w:before="60" w:after="60" w:line="240" w:lineRule="atLeast"/>
              <w:rPr>
                <w:rFonts w:cs="Arial"/>
                <w:sz w:val="18"/>
                <w:szCs w:val="18"/>
                <w:lang w:val="bg-BG"/>
              </w:rPr>
            </w:pPr>
          </w:p>
        </w:tc>
      </w:tr>
      <w:tr w:rsidR="00C01A94" w:rsidRPr="009072DA" w:rsidTr="00A5358D">
        <w:trPr>
          <w:cantSplit/>
          <w:trHeight w:val="1156"/>
          <w:jc w:val="center"/>
        </w:trPr>
        <w:tc>
          <w:tcPr>
            <w:tcW w:w="1342" w:type="dxa"/>
            <w:tcBorders>
              <w:bottom w:val="nil"/>
            </w:tcBorders>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21.01</w:t>
            </w:r>
          </w:p>
        </w:tc>
        <w:tc>
          <w:tcPr>
            <w:tcW w:w="1458"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727AB6">
            <w:pPr>
              <w:tabs>
                <w:tab w:val="left" w:pos="1080"/>
              </w:tabs>
              <w:spacing w:before="60" w:after="60" w:line="240" w:lineRule="atLeast"/>
              <w:rPr>
                <w:rFonts w:cs="Arial"/>
                <w:sz w:val="18"/>
                <w:szCs w:val="18"/>
                <w:lang w:val="bg-BG"/>
              </w:rPr>
            </w:pPr>
            <w:r w:rsidRPr="009072DA">
              <w:rPr>
                <w:sz w:val="18"/>
                <w:lang w:val="bg-BG"/>
              </w:rPr>
              <w:t>Специални лебедки или равностойни свързващи устройства, които се използват за тласкане</w:t>
            </w:r>
          </w:p>
        </w:tc>
        <w:tc>
          <w:tcPr>
            <w:tcW w:w="6521"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За плавателни средства, сертифицирани преди 1.1.1995 г. за тласкане без необходимото оборудване за закрепване: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1342" w:type="dxa"/>
            <w:tcBorders>
              <w:top w:val="nil"/>
            </w:tcBorders>
            <w:shd w:val="clear" w:color="auto" w:fill="auto"/>
          </w:tcPr>
          <w:p w:rsidR="00C01A94" w:rsidRPr="009072DA" w:rsidRDefault="00C01A94" w:rsidP="00727AB6">
            <w:pPr>
              <w:spacing w:before="60" w:after="60" w:line="240" w:lineRule="atLeast"/>
              <w:rPr>
                <w:rFonts w:cs="Arial"/>
                <w:sz w:val="18"/>
                <w:szCs w:val="18"/>
                <w:lang w:val="bg-BG"/>
              </w:rPr>
            </w:pPr>
          </w:p>
        </w:tc>
        <w:tc>
          <w:tcPr>
            <w:tcW w:w="1458"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Точка 3, последно изречение</w:t>
            </w:r>
          </w:p>
        </w:tc>
        <w:tc>
          <w:tcPr>
            <w:tcW w:w="3296" w:type="dxa"/>
            <w:shd w:val="clear" w:color="auto" w:fill="auto"/>
          </w:tcPr>
          <w:p w:rsidR="00C01A94" w:rsidRPr="009072DA" w:rsidRDefault="00C01A94" w:rsidP="00727AB6">
            <w:pPr>
              <w:tabs>
                <w:tab w:val="left" w:pos="1080"/>
              </w:tabs>
              <w:spacing w:before="60" w:after="60" w:line="240" w:lineRule="atLeast"/>
              <w:rPr>
                <w:rFonts w:cs="Arial"/>
                <w:sz w:val="18"/>
                <w:szCs w:val="18"/>
                <w:lang w:val="bg-BG"/>
              </w:rPr>
            </w:pPr>
            <w:r w:rsidRPr="009072DA">
              <w:rPr>
                <w:sz w:val="18"/>
                <w:lang w:val="bg-BG"/>
              </w:rPr>
              <w:t>Изисквания към задвижващите звена</w:t>
            </w:r>
          </w:p>
        </w:tc>
        <w:tc>
          <w:tcPr>
            <w:tcW w:w="6521"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1.1.2035 г.</w:t>
            </w:r>
          </w:p>
        </w:tc>
      </w:tr>
      <w:tr w:rsidR="00C01A94" w:rsidRPr="009072DA" w:rsidTr="00196FBC">
        <w:trPr>
          <w:cantSplit/>
          <w:jc w:val="center"/>
        </w:trPr>
        <w:tc>
          <w:tcPr>
            <w:tcW w:w="6096" w:type="dxa"/>
            <w:gridSpan w:val="3"/>
            <w:shd w:val="clear" w:color="auto" w:fill="auto"/>
          </w:tcPr>
          <w:p w:rsidR="00C01A94" w:rsidRPr="009072DA" w:rsidRDefault="00C01A94" w:rsidP="00727AB6">
            <w:pPr>
              <w:tabs>
                <w:tab w:val="left" w:pos="1080"/>
              </w:tabs>
              <w:spacing w:before="60" w:after="60" w:line="240" w:lineRule="atLeast"/>
              <w:jc w:val="center"/>
              <w:rPr>
                <w:rFonts w:cs="Arial"/>
                <w:sz w:val="18"/>
                <w:szCs w:val="18"/>
                <w:lang w:val="bg-BG"/>
              </w:rPr>
            </w:pPr>
            <w:r w:rsidRPr="009072DA">
              <w:rPr>
                <w:b/>
                <w:sz w:val="18"/>
                <w:lang w:val="bg-BG"/>
              </w:rPr>
              <w:t>ГЛАВА 22</w:t>
            </w:r>
          </w:p>
        </w:tc>
        <w:tc>
          <w:tcPr>
            <w:tcW w:w="6521" w:type="dxa"/>
            <w:shd w:val="clear" w:color="auto" w:fill="auto"/>
          </w:tcPr>
          <w:p w:rsidR="00C01A94" w:rsidRPr="009072DA" w:rsidRDefault="00C01A94" w:rsidP="00727AB6">
            <w:pPr>
              <w:spacing w:before="60" w:after="60" w:line="240" w:lineRule="atLeast"/>
              <w:rPr>
                <w:rFonts w:cs="Arial"/>
                <w:sz w:val="18"/>
                <w:szCs w:val="18"/>
                <w:lang w:val="bg-BG"/>
              </w:rPr>
            </w:pPr>
          </w:p>
        </w:tc>
        <w:tc>
          <w:tcPr>
            <w:tcW w:w="1276" w:type="dxa"/>
            <w:shd w:val="clear" w:color="auto" w:fill="auto"/>
          </w:tcPr>
          <w:p w:rsidR="00C01A94" w:rsidRPr="009072DA" w:rsidRDefault="00C01A94" w:rsidP="00727AB6">
            <w:pPr>
              <w:spacing w:before="60" w:after="60" w:line="240" w:lineRule="atLeast"/>
              <w:rPr>
                <w:rFonts w:cs="Arial"/>
                <w:sz w:val="18"/>
                <w:szCs w:val="18"/>
                <w:lang w:val="bg-BG"/>
              </w:rPr>
            </w:pPr>
          </w:p>
        </w:tc>
      </w:tr>
      <w:tr w:rsidR="00C01A94" w:rsidRPr="008D2440" w:rsidTr="00196FBC">
        <w:trPr>
          <w:cantSplit/>
          <w:jc w:val="center"/>
        </w:trPr>
        <w:tc>
          <w:tcPr>
            <w:tcW w:w="1342" w:type="dxa"/>
            <w:tcBorders>
              <w:bottom w:val="single" w:sz="4" w:space="0" w:color="auto"/>
            </w:tcBorders>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22.02</w:t>
            </w:r>
          </w:p>
        </w:tc>
        <w:tc>
          <w:tcPr>
            <w:tcW w:w="1458"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Точка 3</w:t>
            </w:r>
          </w:p>
        </w:tc>
        <w:tc>
          <w:tcPr>
            <w:tcW w:w="3296" w:type="dxa"/>
            <w:shd w:val="clear" w:color="auto" w:fill="auto"/>
          </w:tcPr>
          <w:p w:rsidR="00C01A94" w:rsidRPr="009072DA" w:rsidRDefault="00C01A94" w:rsidP="00727AB6">
            <w:pPr>
              <w:tabs>
                <w:tab w:val="left" w:pos="1080"/>
              </w:tabs>
              <w:spacing w:before="60" w:after="60" w:line="240" w:lineRule="atLeast"/>
              <w:rPr>
                <w:rFonts w:cs="Arial"/>
                <w:sz w:val="18"/>
                <w:szCs w:val="18"/>
                <w:lang w:val="bg-BG"/>
              </w:rPr>
            </w:pPr>
            <w:r w:rsidRPr="009072DA">
              <w:rPr>
                <w:sz w:val="18"/>
                <w:lang w:val="bg-BG"/>
              </w:rPr>
              <w:t>Допълнителни изисквания</w:t>
            </w:r>
          </w:p>
        </w:tc>
        <w:tc>
          <w:tcPr>
            <w:tcW w:w="6521"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Важат преходните разпоредби, посочени в съответния член.</w:t>
            </w:r>
          </w:p>
        </w:tc>
        <w:tc>
          <w:tcPr>
            <w:tcW w:w="1276" w:type="dxa"/>
            <w:shd w:val="clear" w:color="auto" w:fill="auto"/>
          </w:tcPr>
          <w:p w:rsidR="00C01A94" w:rsidRPr="009072DA" w:rsidRDefault="00C01A94" w:rsidP="00727AB6">
            <w:pPr>
              <w:spacing w:before="60" w:after="60" w:line="240" w:lineRule="atLeast"/>
              <w:rPr>
                <w:rFonts w:cs="Arial"/>
                <w:sz w:val="18"/>
                <w:szCs w:val="18"/>
                <w:lang w:val="bg-BG"/>
              </w:rPr>
            </w:pPr>
          </w:p>
        </w:tc>
      </w:tr>
      <w:tr w:rsidR="00C01A94" w:rsidRPr="009072DA" w:rsidTr="00196FBC">
        <w:trPr>
          <w:cantSplit/>
          <w:jc w:val="center"/>
        </w:trPr>
        <w:tc>
          <w:tcPr>
            <w:tcW w:w="6096" w:type="dxa"/>
            <w:gridSpan w:val="3"/>
            <w:shd w:val="clear" w:color="auto" w:fill="auto"/>
          </w:tcPr>
          <w:p w:rsidR="00C01A94" w:rsidRPr="009072DA" w:rsidRDefault="00C01A94" w:rsidP="00727AB6">
            <w:pPr>
              <w:tabs>
                <w:tab w:val="left" w:pos="1080"/>
              </w:tabs>
              <w:spacing w:before="60" w:after="60" w:line="240" w:lineRule="atLeast"/>
              <w:jc w:val="center"/>
              <w:rPr>
                <w:rFonts w:cs="Arial"/>
                <w:sz w:val="18"/>
                <w:szCs w:val="18"/>
                <w:lang w:val="bg-BG"/>
              </w:rPr>
            </w:pPr>
            <w:r w:rsidRPr="009072DA">
              <w:rPr>
                <w:b/>
                <w:sz w:val="18"/>
                <w:lang w:val="bg-BG"/>
              </w:rPr>
              <w:t>ГЛАВА 25</w:t>
            </w:r>
          </w:p>
        </w:tc>
        <w:tc>
          <w:tcPr>
            <w:tcW w:w="6521" w:type="dxa"/>
            <w:shd w:val="clear" w:color="auto" w:fill="auto"/>
          </w:tcPr>
          <w:p w:rsidR="00C01A94" w:rsidRPr="009072DA" w:rsidRDefault="00C01A94" w:rsidP="00727AB6">
            <w:pPr>
              <w:spacing w:before="60" w:after="60" w:line="240" w:lineRule="atLeast"/>
              <w:rPr>
                <w:rFonts w:cs="Arial"/>
                <w:sz w:val="18"/>
                <w:szCs w:val="18"/>
                <w:lang w:val="bg-BG"/>
              </w:rPr>
            </w:pPr>
          </w:p>
        </w:tc>
        <w:tc>
          <w:tcPr>
            <w:tcW w:w="1276" w:type="dxa"/>
            <w:shd w:val="clear" w:color="auto" w:fill="auto"/>
          </w:tcPr>
          <w:p w:rsidR="00C01A94" w:rsidRPr="009072DA" w:rsidRDefault="00C01A94" w:rsidP="00727AB6">
            <w:pPr>
              <w:spacing w:before="60" w:after="60" w:line="240" w:lineRule="atLeast"/>
              <w:rPr>
                <w:rFonts w:cs="Arial"/>
                <w:sz w:val="18"/>
                <w:szCs w:val="18"/>
                <w:lang w:val="bg-BG"/>
              </w:rPr>
            </w:pPr>
          </w:p>
        </w:tc>
      </w:tr>
      <w:tr w:rsidR="00C01A94" w:rsidRPr="009072DA" w:rsidTr="0018359A">
        <w:trPr>
          <w:cantSplit/>
          <w:jc w:val="center"/>
        </w:trPr>
        <w:tc>
          <w:tcPr>
            <w:tcW w:w="1342" w:type="dxa"/>
            <w:tcBorders>
              <w:bottom w:val="nil"/>
            </w:tcBorders>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25.01</w:t>
            </w:r>
          </w:p>
        </w:tc>
        <w:tc>
          <w:tcPr>
            <w:tcW w:w="1458" w:type="dxa"/>
            <w:tcBorders>
              <w:bottom w:val="nil"/>
            </w:tcBorders>
            <w:shd w:val="clear" w:color="auto" w:fill="auto"/>
          </w:tcPr>
          <w:p w:rsidR="00C01A94" w:rsidRPr="009072DA" w:rsidRDefault="00C01A94" w:rsidP="00727AB6">
            <w:pPr>
              <w:spacing w:before="60" w:after="60" w:line="240" w:lineRule="atLeast"/>
              <w:rPr>
                <w:rFonts w:cs="Arial"/>
                <w:sz w:val="18"/>
                <w:szCs w:val="18"/>
                <w:lang w:val="bg-BG"/>
              </w:rPr>
            </w:pPr>
          </w:p>
        </w:tc>
        <w:tc>
          <w:tcPr>
            <w:tcW w:w="3296" w:type="dxa"/>
            <w:shd w:val="clear" w:color="auto" w:fill="auto"/>
          </w:tcPr>
          <w:p w:rsidR="00C01A94" w:rsidRPr="009072DA" w:rsidRDefault="00C01A94" w:rsidP="00727AB6">
            <w:pPr>
              <w:tabs>
                <w:tab w:val="left" w:pos="1080"/>
              </w:tabs>
              <w:spacing w:before="60" w:after="60" w:line="240" w:lineRule="atLeast"/>
              <w:rPr>
                <w:rFonts w:cs="Arial"/>
                <w:sz w:val="18"/>
                <w:szCs w:val="18"/>
                <w:lang w:val="bg-BG"/>
              </w:rPr>
            </w:pPr>
            <w:r w:rsidRPr="009072DA">
              <w:rPr>
                <w:sz w:val="18"/>
                <w:lang w:val="bg-BG"/>
              </w:rPr>
              <w:t>Прилагане на член 7.01, точка 2, член 8.05, точка 13 и член 8.10</w:t>
            </w:r>
          </w:p>
        </w:tc>
        <w:tc>
          <w:tcPr>
            <w:tcW w:w="6521"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За морски плавателни съдове, които не са предназначени за превоз на веществата, посочени в Европейското споразумение за международен превоз на опасни товари по вътрешните водни пътища и чието строителство е започнало преди 1.10.1987 г. :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1.1.2015 г.</w:t>
            </w:r>
          </w:p>
        </w:tc>
      </w:tr>
      <w:tr w:rsidR="00C01A94" w:rsidRPr="009072DA" w:rsidTr="0018359A">
        <w:trPr>
          <w:cantSplit/>
          <w:jc w:val="center"/>
        </w:trPr>
        <w:tc>
          <w:tcPr>
            <w:tcW w:w="1342" w:type="dxa"/>
            <w:tcBorders>
              <w:top w:val="nil"/>
            </w:tcBorders>
            <w:shd w:val="clear" w:color="auto" w:fill="auto"/>
          </w:tcPr>
          <w:p w:rsidR="00C01A94" w:rsidRPr="009072DA" w:rsidRDefault="00C01A94" w:rsidP="00727AB6">
            <w:pPr>
              <w:spacing w:before="60" w:after="60" w:line="240" w:lineRule="atLeast"/>
              <w:rPr>
                <w:rFonts w:cs="Arial"/>
                <w:sz w:val="18"/>
                <w:szCs w:val="18"/>
                <w:lang w:val="bg-BG"/>
              </w:rPr>
            </w:pPr>
          </w:p>
        </w:tc>
        <w:tc>
          <w:tcPr>
            <w:tcW w:w="1458" w:type="dxa"/>
            <w:tcBorders>
              <w:top w:val="nil"/>
            </w:tcBorders>
            <w:shd w:val="clear" w:color="auto" w:fill="auto"/>
          </w:tcPr>
          <w:p w:rsidR="00C01A94" w:rsidRPr="009072DA" w:rsidRDefault="00C01A94" w:rsidP="00727AB6">
            <w:pPr>
              <w:spacing w:before="60" w:after="60" w:line="240" w:lineRule="atLeast"/>
              <w:rPr>
                <w:rFonts w:cs="Arial"/>
                <w:sz w:val="18"/>
                <w:szCs w:val="18"/>
                <w:lang w:val="bg-BG"/>
              </w:rPr>
            </w:pPr>
          </w:p>
        </w:tc>
        <w:tc>
          <w:tcPr>
            <w:tcW w:w="3296" w:type="dxa"/>
            <w:shd w:val="clear" w:color="auto" w:fill="auto"/>
          </w:tcPr>
          <w:p w:rsidR="00C01A94" w:rsidRPr="009072DA" w:rsidRDefault="00C01A94" w:rsidP="00727AB6">
            <w:pPr>
              <w:tabs>
                <w:tab w:val="left" w:pos="1080"/>
              </w:tabs>
              <w:spacing w:before="60" w:after="60" w:line="240" w:lineRule="atLeast"/>
              <w:rPr>
                <w:rFonts w:cs="Arial"/>
                <w:sz w:val="18"/>
                <w:szCs w:val="18"/>
                <w:lang w:val="bg-BG"/>
              </w:rPr>
            </w:pPr>
            <w:r w:rsidRPr="009072DA">
              <w:rPr>
                <w:sz w:val="18"/>
                <w:lang w:val="bg-BG"/>
              </w:rPr>
              <w:t>Прилагане на член 8.09, точка 2</w:t>
            </w:r>
          </w:p>
        </w:tc>
        <w:tc>
          <w:tcPr>
            <w:tcW w:w="6521"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1.1.2010 г.</w:t>
            </w:r>
          </w:p>
        </w:tc>
      </w:tr>
      <w:tr w:rsidR="00C01A94" w:rsidRPr="009072DA" w:rsidTr="00196FBC">
        <w:trPr>
          <w:cantSplit/>
          <w:jc w:val="center"/>
        </w:trPr>
        <w:tc>
          <w:tcPr>
            <w:tcW w:w="6096" w:type="dxa"/>
            <w:gridSpan w:val="3"/>
            <w:shd w:val="clear" w:color="auto" w:fill="auto"/>
          </w:tcPr>
          <w:p w:rsidR="00C01A94" w:rsidRPr="009072DA" w:rsidRDefault="00C01A94" w:rsidP="00727AB6">
            <w:pPr>
              <w:tabs>
                <w:tab w:val="left" w:pos="1080"/>
              </w:tabs>
              <w:spacing w:before="60" w:after="60" w:line="240" w:lineRule="atLeast"/>
              <w:jc w:val="center"/>
              <w:rPr>
                <w:rFonts w:cs="Arial"/>
                <w:sz w:val="18"/>
                <w:szCs w:val="18"/>
                <w:lang w:val="bg-BG"/>
              </w:rPr>
            </w:pPr>
            <w:r w:rsidRPr="009072DA">
              <w:rPr>
                <w:b/>
                <w:sz w:val="18"/>
                <w:lang w:val="bg-BG"/>
              </w:rPr>
              <w:t>ГЛАВА 26</w:t>
            </w:r>
          </w:p>
        </w:tc>
        <w:tc>
          <w:tcPr>
            <w:tcW w:w="6521" w:type="dxa"/>
            <w:shd w:val="clear" w:color="auto" w:fill="auto"/>
          </w:tcPr>
          <w:p w:rsidR="00C01A94" w:rsidRPr="009072DA" w:rsidRDefault="00C01A94" w:rsidP="00727AB6">
            <w:pPr>
              <w:spacing w:before="60" w:after="60" w:line="240" w:lineRule="atLeast"/>
              <w:rPr>
                <w:rFonts w:cs="Arial"/>
                <w:sz w:val="18"/>
                <w:szCs w:val="18"/>
                <w:lang w:val="bg-BG"/>
              </w:rPr>
            </w:pPr>
          </w:p>
        </w:tc>
        <w:tc>
          <w:tcPr>
            <w:tcW w:w="1276" w:type="dxa"/>
            <w:shd w:val="clear" w:color="auto" w:fill="auto"/>
          </w:tcPr>
          <w:p w:rsidR="00C01A94" w:rsidRPr="009072DA" w:rsidRDefault="00C01A94" w:rsidP="00727AB6">
            <w:pPr>
              <w:spacing w:before="60" w:after="60" w:line="240" w:lineRule="atLeast"/>
              <w:rPr>
                <w:rFonts w:cs="Arial"/>
                <w:sz w:val="18"/>
                <w:szCs w:val="18"/>
                <w:lang w:val="bg-BG"/>
              </w:rPr>
            </w:pPr>
          </w:p>
        </w:tc>
      </w:tr>
      <w:tr w:rsidR="00C01A94" w:rsidRPr="009072DA" w:rsidTr="00196FBC">
        <w:trPr>
          <w:cantSplit/>
          <w:jc w:val="center"/>
        </w:trPr>
        <w:tc>
          <w:tcPr>
            <w:tcW w:w="1342"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26.01</w:t>
            </w:r>
          </w:p>
        </w:tc>
        <w:tc>
          <w:tcPr>
            <w:tcW w:w="1458" w:type="dxa"/>
            <w:shd w:val="clear" w:color="auto" w:fill="auto"/>
          </w:tcPr>
          <w:p w:rsidR="00C01A94" w:rsidRPr="009072DA" w:rsidRDefault="00C01A94" w:rsidP="00727AB6">
            <w:pPr>
              <w:spacing w:before="60" w:after="60" w:line="240" w:lineRule="atLeast"/>
              <w:rPr>
                <w:rFonts w:cs="Arial"/>
                <w:sz w:val="18"/>
                <w:szCs w:val="18"/>
                <w:lang w:val="bg-BG"/>
              </w:rPr>
            </w:pPr>
          </w:p>
        </w:tc>
        <w:tc>
          <w:tcPr>
            <w:tcW w:w="3296" w:type="dxa"/>
            <w:shd w:val="clear" w:color="auto" w:fill="auto"/>
          </w:tcPr>
          <w:p w:rsidR="00C01A94" w:rsidRPr="009072DA" w:rsidRDefault="00C01A94" w:rsidP="00727AB6">
            <w:pPr>
              <w:tabs>
                <w:tab w:val="left" w:pos="1080"/>
              </w:tabs>
              <w:spacing w:before="60" w:after="60" w:line="240" w:lineRule="atLeast"/>
              <w:rPr>
                <w:rFonts w:cs="Arial"/>
                <w:sz w:val="18"/>
                <w:szCs w:val="18"/>
                <w:lang w:val="bg-BG"/>
              </w:rPr>
            </w:pPr>
          </w:p>
        </w:tc>
        <w:tc>
          <w:tcPr>
            <w:tcW w:w="6521"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За плавателните съдове за отдих, построени преди 1.1.1995 г.: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727AB6">
            <w:pPr>
              <w:spacing w:before="60" w:after="60" w:line="240" w:lineRule="atLeast"/>
              <w:rPr>
                <w:rFonts w:cs="Arial"/>
                <w:sz w:val="18"/>
                <w:szCs w:val="18"/>
                <w:lang w:val="bg-BG"/>
              </w:rPr>
            </w:pPr>
            <w:r w:rsidRPr="009072DA">
              <w:rPr>
                <w:sz w:val="18"/>
                <w:lang w:val="bg-BG"/>
              </w:rPr>
              <w:t>1.1.2035 г.</w:t>
            </w:r>
          </w:p>
        </w:tc>
      </w:tr>
    </w:tbl>
    <w:p w:rsidR="00451B55" w:rsidRPr="009072DA" w:rsidRDefault="00451B55" w:rsidP="001E2331">
      <w:pPr>
        <w:spacing w:line="240" w:lineRule="atLeast"/>
        <w:ind w:left="567" w:hanging="567"/>
        <w:rPr>
          <w:lang w:val="bg-BG"/>
        </w:rPr>
      </w:pPr>
    </w:p>
    <w:p w:rsidR="00451B55" w:rsidRPr="009072DA" w:rsidRDefault="00451B55" w:rsidP="001E2331">
      <w:pPr>
        <w:spacing w:line="240" w:lineRule="atLeast"/>
        <w:ind w:left="567" w:hanging="567"/>
        <w:rPr>
          <w:lang w:val="bg-BG"/>
        </w:rPr>
      </w:pPr>
    </w:p>
    <w:p w:rsidR="005034E6" w:rsidRPr="009072DA" w:rsidRDefault="005034E6" w:rsidP="001E2331">
      <w:pPr>
        <w:spacing w:line="240" w:lineRule="atLeast"/>
        <w:ind w:left="567" w:hanging="567"/>
        <w:rPr>
          <w:lang w:val="bg-BG"/>
        </w:rPr>
        <w:sectPr w:rsidR="005034E6" w:rsidRPr="009072DA" w:rsidSect="001E2331">
          <w:headerReference w:type="default" r:id="rId33"/>
          <w:headerReference w:type="first" r:id="rId34"/>
          <w:footnotePr>
            <w:numRestart w:val="eachPage"/>
          </w:footnotePr>
          <w:pgSz w:w="16838" w:h="11906" w:orient="landscape" w:code="9"/>
          <w:pgMar w:top="1418" w:right="1418" w:bottom="1418" w:left="1418" w:header="709" w:footer="709" w:gutter="0"/>
          <w:cols w:space="709"/>
          <w:titlePg/>
          <w:docGrid w:linePitch="272"/>
        </w:sectPr>
      </w:pPr>
    </w:p>
    <w:p w:rsidR="00451B55" w:rsidRPr="009072DA" w:rsidRDefault="00451B55" w:rsidP="001E2331">
      <w:pPr>
        <w:spacing w:line="240" w:lineRule="atLeast"/>
        <w:ind w:left="567" w:hanging="567"/>
        <w:rPr>
          <w:lang w:val="bg-BG"/>
        </w:rPr>
      </w:pPr>
    </w:p>
    <w:p w:rsidR="001E2331" w:rsidRPr="009072DA" w:rsidRDefault="001E2331" w:rsidP="00A455C7">
      <w:pPr>
        <w:pStyle w:val="ES-Titre3"/>
        <w:rPr>
          <w:lang w:val="bg-BG"/>
        </w:rPr>
      </w:pPr>
      <w:bookmarkStart w:id="561" w:name="_Toc491854277"/>
      <w:bookmarkStart w:id="562" w:name="_Toc535827718"/>
      <w:r w:rsidRPr="009072DA">
        <w:rPr>
          <w:lang w:val="bg-BG"/>
        </w:rPr>
        <w:t>Член 32.03</w:t>
      </w:r>
      <w:bookmarkEnd w:id="561"/>
      <w:bookmarkEnd w:id="562"/>
    </w:p>
    <w:p w:rsidR="001E2331" w:rsidRPr="009072DA" w:rsidRDefault="00C903F8" w:rsidP="00A455C7">
      <w:pPr>
        <w:pStyle w:val="ES-Titre3a"/>
        <w:rPr>
          <w:lang w:val="bg-BG"/>
        </w:rPr>
      </w:pPr>
      <w:bookmarkStart w:id="563" w:name="_Toc421775887"/>
      <w:bookmarkStart w:id="564" w:name="_Toc491854278"/>
      <w:bookmarkStart w:id="565" w:name="_Toc535827719"/>
      <w:r w:rsidRPr="009072DA">
        <w:rPr>
          <w:lang w:val="bg-BG"/>
        </w:rPr>
        <w:t>Допълнителни преходни разпоредби относно плавателните средства, които са построени до 1 април 1976 г., включително</w:t>
      </w:r>
      <w:bookmarkEnd w:id="563"/>
      <w:bookmarkEnd w:id="564"/>
      <w:bookmarkEnd w:id="565"/>
    </w:p>
    <w:p w:rsidR="001E2331" w:rsidRPr="009072DA" w:rsidRDefault="001E2331" w:rsidP="001E2331">
      <w:pPr>
        <w:spacing w:line="240" w:lineRule="atLeast"/>
        <w:ind w:left="567" w:hanging="567"/>
        <w:rPr>
          <w:lang w:val="bg-BG"/>
        </w:rPr>
      </w:pPr>
    </w:p>
    <w:p w:rsidR="00C903F8" w:rsidRPr="009072DA" w:rsidRDefault="00C903F8" w:rsidP="00C903F8">
      <w:pPr>
        <w:spacing w:line="240" w:lineRule="atLeast"/>
        <w:ind w:left="567" w:hanging="567"/>
        <w:rPr>
          <w:lang w:val="bg-BG"/>
        </w:rPr>
      </w:pPr>
      <w:r w:rsidRPr="009072DA">
        <w:rPr>
          <w:lang w:val="bg-BG"/>
        </w:rPr>
        <w:t>1.</w:t>
      </w:r>
      <w:r w:rsidRPr="009072DA">
        <w:rPr>
          <w:lang w:val="bg-BG"/>
        </w:rPr>
        <w:tab/>
        <w:t>В допълнение към преходните разпоредби на член 32.02 следните разпоредби могат да бъдат прилагани по отношение на плавателни средства, които са построени до 1 април 1976 г., включително</w:t>
      </w:r>
    </w:p>
    <w:p w:rsidR="00C903F8" w:rsidRPr="009072DA" w:rsidRDefault="00C903F8" w:rsidP="00C903F8">
      <w:pPr>
        <w:spacing w:line="240" w:lineRule="atLeast"/>
        <w:ind w:left="567" w:hanging="567"/>
        <w:rPr>
          <w:rFonts w:cs="Arial"/>
          <w:sz w:val="18"/>
          <w:szCs w:val="18"/>
          <w:lang w:val="bg-BG"/>
        </w:rPr>
      </w:pPr>
    </w:p>
    <w:p w:rsidR="00C903F8" w:rsidRPr="009072DA" w:rsidRDefault="00C903F8" w:rsidP="00C903F8">
      <w:pPr>
        <w:spacing w:line="240" w:lineRule="atLeast"/>
        <w:ind w:left="567" w:hanging="567"/>
        <w:rPr>
          <w:lang w:val="bg-BG"/>
        </w:rPr>
      </w:pPr>
      <w:r w:rsidRPr="009072DA">
        <w:rPr>
          <w:lang w:val="bg-BG"/>
        </w:rPr>
        <w:t>2.</w:t>
      </w:r>
      <w:r w:rsidRPr="009072DA">
        <w:rPr>
          <w:lang w:val="bg-BG"/>
        </w:rPr>
        <w:tab/>
        <w:t>За таблицата по-долу важат следните определения:</w:t>
      </w:r>
    </w:p>
    <w:p w:rsidR="00C903F8" w:rsidRPr="009072DA" w:rsidRDefault="00C903F8" w:rsidP="00C903F8">
      <w:pPr>
        <w:spacing w:line="240" w:lineRule="atLeast"/>
        <w:ind w:left="567" w:hanging="567"/>
        <w:rPr>
          <w:lang w:val="bg-BG"/>
        </w:rPr>
      </w:pPr>
    </w:p>
    <w:p w:rsidR="00C903F8" w:rsidRPr="009072DA" w:rsidRDefault="00C903F8" w:rsidP="00C903F8">
      <w:pPr>
        <w:spacing w:line="240" w:lineRule="atLeast"/>
        <w:ind w:left="567"/>
        <w:rPr>
          <w:lang w:val="bg-BG"/>
        </w:rPr>
      </w:pPr>
      <w:r w:rsidRPr="009072DA">
        <w:rPr>
          <w:lang w:val="bg-BG"/>
        </w:rPr>
        <w:t xml:space="preserve">„ЗР“: разпоредбата не се прилага за плавателни средства, които вече са в експлоатация, освен ако въпросните части не бъдат заменени или преустроени, т.е. разпоредбата важи само по отношение на </w:t>
      </w:r>
      <w:r w:rsidRPr="009072DA">
        <w:rPr>
          <w:u w:val="single"/>
          <w:lang w:val="bg-BG"/>
        </w:rPr>
        <w:t>З</w:t>
      </w:r>
      <w:r w:rsidRPr="009072DA">
        <w:rPr>
          <w:lang w:val="bg-BG"/>
        </w:rPr>
        <w:t xml:space="preserve">амяната или </w:t>
      </w:r>
      <w:r w:rsidRPr="009072DA">
        <w:rPr>
          <w:u w:val="single"/>
          <w:lang w:val="bg-BG"/>
        </w:rPr>
        <w:t>Р</w:t>
      </w:r>
      <w:r w:rsidRPr="009072DA">
        <w:rPr>
          <w:lang w:val="bg-BG"/>
        </w:rPr>
        <w:t xml:space="preserve">еконструкцията (преустройството) на въпросните части или пространства. В случай че съществуващи части се заменят с части от същия вид при използване на същата технология, това не представлява замяна „З“ по смисъла на преходните разпоредби. </w:t>
      </w:r>
    </w:p>
    <w:p w:rsidR="00C903F8" w:rsidRPr="009072DA" w:rsidRDefault="00C903F8" w:rsidP="00C903F8">
      <w:pPr>
        <w:spacing w:line="240" w:lineRule="atLeast"/>
        <w:ind w:left="567"/>
        <w:rPr>
          <w:lang w:val="bg-BG"/>
        </w:rPr>
      </w:pPr>
    </w:p>
    <w:p w:rsidR="00C903F8" w:rsidRPr="009072DA" w:rsidRDefault="00C903F8" w:rsidP="00C903F8">
      <w:pPr>
        <w:tabs>
          <w:tab w:val="left" w:pos="4678"/>
        </w:tabs>
        <w:spacing w:line="240" w:lineRule="atLeast"/>
        <w:ind w:left="567"/>
        <w:rPr>
          <w:lang w:val="bg-BG"/>
        </w:rPr>
      </w:pPr>
      <w:r w:rsidRPr="009072DA">
        <w:rPr>
          <w:lang w:val="bg-BG"/>
        </w:rPr>
        <w:t>„Издаване или подновяване на удостоверението на плавателния съд за плаване по вътрешни водни пътища“: разпоредбата трябва да бъде спазена при следващото издаване или подновяване на удостоверението на плавателния съд за плаване по вътрешни водни пътища след посочената дата.</w:t>
      </w:r>
    </w:p>
    <w:p w:rsidR="00E67DA4" w:rsidRPr="009072DA" w:rsidRDefault="00E67DA4">
      <w:pPr>
        <w:rPr>
          <w:lang w:val="bg-BG"/>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E67DA4" w:rsidRPr="009072DA" w:rsidTr="00E67DA4">
        <w:trPr>
          <w:cantSplit/>
          <w:tblHeader/>
          <w:jc w:val="center"/>
        </w:trPr>
        <w:tc>
          <w:tcPr>
            <w:tcW w:w="2800" w:type="dxa"/>
            <w:gridSpan w:val="2"/>
            <w:tcBorders>
              <w:bottom w:val="single" w:sz="4" w:space="0" w:color="auto"/>
            </w:tcBorders>
            <w:shd w:val="clear" w:color="auto" w:fill="auto"/>
          </w:tcPr>
          <w:p w:rsidR="00E67DA4" w:rsidRPr="009072DA" w:rsidRDefault="00E67DA4" w:rsidP="00C01A94">
            <w:pPr>
              <w:spacing w:before="60" w:after="60" w:line="240" w:lineRule="atLeast"/>
              <w:jc w:val="center"/>
              <w:rPr>
                <w:rFonts w:cs="Arial"/>
                <w:sz w:val="18"/>
                <w:szCs w:val="18"/>
                <w:lang w:val="bg-BG"/>
              </w:rPr>
            </w:pPr>
            <w:r w:rsidRPr="009072DA">
              <w:rPr>
                <w:i/>
                <w:sz w:val="18"/>
                <w:lang w:val="bg-BG"/>
              </w:rPr>
              <w:t>Член и точка</w:t>
            </w:r>
          </w:p>
        </w:tc>
        <w:tc>
          <w:tcPr>
            <w:tcW w:w="3296" w:type="dxa"/>
            <w:shd w:val="clear" w:color="auto" w:fill="auto"/>
          </w:tcPr>
          <w:p w:rsidR="00E67DA4" w:rsidRPr="009072DA" w:rsidRDefault="00E67DA4" w:rsidP="00C01A94">
            <w:pPr>
              <w:spacing w:before="60" w:after="60" w:line="240" w:lineRule="atLeast"/>
              <w:jc w:val="center"/>
              <w:rPr>
                <w:rFonts w:cs="Arial"/>
                <w:sz w:val="18"/>
                <w:szCs w:val="18"/>
                <w:lang w:val="bg-BG"/>
              </w:rPr>
            </w:pPr>
            <w:r w:rsidRPr="009072DA">
              <w:rPr>
                <w:i/>
                <w:sz w:val="18"/>
                <w:lang w:val="bg-BG"/>
              </w:rPr>
              <w:t>Съдържание</w:t>
            </w:r>
          </w:p>
        </w:tc>
        <w:tc>
          <w:tcPr>
            <w:tcW w:w="7797" w:type="dxa"/>
            <w:gridSpan w:val="2"/>
            <w:shd w:val="clear" w:color="auto" w:fill="auto"/>
          </w:tcPr>
          <w:p w:rsidR="00E67DA4" w:rsidRPr="009072DA" w:rsidRDefault="00E67DA4" w:rsidP="00C01A94">
            <w:pPr>
              <w:spacing w:before="60" w:after="60" w:line="240" w:lineRule="atLeast"/>
              <w:jc w:val="center"/>
              <w:rPr>
                <w:rFonts w:cs="Arial"/>
                <w:sz w:val="18"/>
                <w:szCs w:val="18"/>
                <w:lang w:val="bg-BG"/>
              </w:rPr>
            </w:pPr>
            <w:r w:rsidRPr="009072DA">
              <w:rPr>
                <w:i/>
                <w:sz w:val="18"/>
                <w:lang w:val="bg-BG"/>
              </w:rPr>
              <w:t>Краен срок и бележки</w:t>
            </w:r>
          </w:p>
        </w:tc>
      </w:tr>
      <w:tr w:rsidR="00E67DA4" w:rsidRPr="009072DA" w:rsidTr="00E67DA4">
        <w:trPr>
          <w:cantSplit/>
          <w:jc w:val="center"/>
        </w:trPr>
        <w:tc>
          <w:tcPr>
            <w:tcW w:w="6096" w:type="dxa"/>
            <w:gridSpan w:val="3"/>
            <w:shd w:val="clear" w:color="auto" w:fill="auto"/>
          </w:tcPr>
          <w:p w:rsidR="00E67DA4" w:rsidRPr="009072DA" w:rsidRDefault="00E67DA4" w:rsidP="00C01A94">
            <w:pPr>
              <w:spacing w:before="120" w:after="120" w:line="240" w:lineRule="atLeast"/>
              <w:jc w:val="center"/>
              <w:rPr>
                <w:rFonts w:cs="Arial"/>
                <w:b/>
                <w:sz w:val="18"/>
                <w:szCs w:val="18"/>
                <w:lang w:val="bg-BG"/>
              </w:rPr>
            </w:pPr>
            <w:r w:rsidRPr="009072DA">
              <w:rPr>
                <w:b/>
                <w:sz w:val="18"/>
                <w:lang w:val="bg-BG"/>
              </w:rPr>
              <w:t>ГЛАВА 3</w:t>
            </w:r>
          </w:p>
        </w:tc>
        <w:tc>
          <w:tcPr>
            <w:tcW w:w="6521" w:type="dxa"/>
            <w:shd w:val="clear" w:color="auto" w:fill="auto"/>
          </w:tcPr>
          <w:p w:rsidR="00E67DA4" w:rsidRPr="009072DA" w:rsidRDefault="00E67DA4" w:rsidP="00C01A94">
            <w:pPr>
              <w:spacing w:before="120" w:after="120" w:line="240" w:lineRule="atLeast"/>
              <w:rPr>
                <w:rFonts w:cs="Arial"/>
                <w:sz w:val="18"/>
                <w:szCs w:val="18"/>
                <w:lang w:val="bg-BG"/>
              </w:rPr>
            </w:pPr>
          </w:p>
        </w:tc>
        <w:tc>
          <w:tcPr>
            <w:tcW w:w="1276" w:type="dxa"/>
            <w:shd w:val="clear" w:color="auto" w:fill="auto"/>
          </w:tcPr>
          <w:p w:rsidR="00E67DA4" w:rsidRPr="009072DA" w:rsidRDefault="00E67DA4" w:rsidP="00C01A94">
            <w:pPr>
              <w:spacing w:before="120" w:after="120" w:line="240" w:lineRule="atLeast"/>
              <w:rPr>
                <w:rFonts w:cs="Arial"/>
                <w:sz w:val="18"/>
                <w:szCs w:val="18"/>
                <w:lang w:val="bg-BG"/>
              </w:rPr>
            </w:pPr>
          </w:p>
        </w:tc>
      </w:tr>
      <w:tr w:rsidR="00E67DA4" w:rsidRPr="009072DA" w:rsidTr="00E67DA4">
        <w:trPr>
          <w:cantSplit/>
          <w:jc w:val="center"/>
        </w:trPr>
        <w:tc>
          <w:tcPr>
            <w:tcW w:w="1342" w:type="dxa"/>
            <w:tcBorders>
              <w:bottom w:val="nil"/>
            </w:tcBorders>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3.04</w:t>
            </w:r>
          </w:p>
        </w:tc>
        <w:tc>
          <w:tcPr>
            <w:tcW w:w="1458"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Точка 2</w:t>
            </w:r>
          </w:p>
        </w:tc>
        <w:tc>
          <w:tcPr>
            <w:tcW w:w="3296"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Общи стени на бункерите, жилищните помещения и помещенията за пътници</w:t>
            </w:r>
          </w:p>
        </w:tc>
        <w:tc>
          <w:tcPr>
            <w:tcW w:w="6521" w:type="dxa"/>
            <w:shd w:val="clear" w:color="auto" w:fill="auto"/>
          </w:tcPr>
          <w:p w:rsidR="00E67DA4" w:rsidRPr="009072DA" w:rsidRDefault="00AD3E75" w:rsidP="00C01A94">
            <w:pPr>
              <w:spacing w:before="120" w:after="120" w:line="240" w:lineRule="atLeast"/>
              <w:rPr>
                <w:rFonts w:cs="Arial"/>
                <w:sz w:val="18"/>
                <w:szCs w:val="18"/>
                <w:lang w:val="bg-BG"/>
              </w:rPr>
            </w:pPr>
            <w:r w:rsidRPr="009072DA">
              <w:rPr>
                <w:sz w:val="18"/>
                <w:lang w:val="bg-BG"/>
              </w:rPr>
              <w:t>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1.1.2035 г.</w:t>
            </w:r>
          </w:p>
        </w:tc>
      </w:tr>
      <w:tr w:rsidR="00E67DA4" w:rsidRPr="009072DA" w:rsidTr="00E67DA4">
        <w:trPr>
          <w:cantSplit/>
          <w:jc w:val="center"/>
        </w:trPr>
        <w:tc>
          <w:tcPr>
            <w:tcW w:w="1342" w:type="dxa"/>
            <w:tcBorders>
              <w:top w:val="nil"/>
            </w:tcBorders>
            <w:shd w:val="clear" w:color="auto" w:fill="auto"/>
          </w:tcPr>
          <w:p w:rsidR="00E67DA4" w:rsidRPr="009072DA" w:rsidRDefault="00E67DA4" w:rsidP="00C01A94">
            <w:pPr>
              <w:spacing w:before="120" w:after="120" w:line="240" w:lineRule="atLeast"/>
              <w:rPr>
                <w:rFonts w:cs="Arial"/>
                <w:sz w:val="18"/>
                <w:szCs w:val="18"/>
                <w:lang w:val="bg-BG"/>
              </w:rPr>
            </w:pPr>
          </w:p>
        </w:tc>
        <w:tc>
          <w:tcPr>
            <w:tcW w:w="1458" w:type="dxa"/>
            <w:shd w:val="clear" w:color="auto" w:fill="auto"/>
          </w:tcPr>
          <w:p w:rsidR="00E67DA4" w:rsidRPr="009072DA" w:rsidRDefault="000E732C" w:rsidP="00C01A94">
            <w:pPr>
              <w:spacing w:before="120" w:after="120" w:line="240" w:lineRule="atLeast"/>
              <w:rPr>
                <w:rFonts w:cs="Arial"/>
                <w:sz w:val="18"/>
                <w:szCs w:val="18"/>
                <w:lang w:val="bg-BG"/>
              </w:rPr>
            </w:pPr>
            <w:r w:rsidRPr="009072DA">
              <w:rPr>
                <w:sz w:val="18"/>
                <w:lang w:val="bg-BG"/>
              </w:rPr>
              <w:t>Точка 7</w:t>
            </w:r>
            <w:r w:rsidRPr="009072DA">
              <w:rPr>
                <w:color w:val="000000"/>
                <w:sz w:val="18"/>
                <w:vertAlign w:val="superscript"/>
                <w:lang w:val="bg-BG"/>
              </w:rPr>
              <w:footnoteReference w:id="34"/>
            </w:r>
          </w:p>
        </w:tc>
        <w:tc>
          <w:tcPr>
            <w:tcW w:w="3296"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Максимално допустимо ниво на звуковото налягане</w:t>
            </w:r>
          </w:p>
        </w:tc>
        <w:tc>
          <w:tcPr>
            <w:tcW w:w="6521"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1.1.2020 г.</w:t>
            </w:r>
          </w:p>
        </w:tc>
      </w:tr>
      <w:tr w:rsidR="00E67DA4" w:rsidRPr="009072DA" w:rsidTr="00E67DA4">
        <w:trPr>
          <w:cantSplit/>
          <w:jc w:val="center"/>
        </w:trPr>
        <w:tc>
          <w:tcPr>
            <w:tcW w:w="6096" w:type="dxa"/>
            <w:gridSpan w:val="3"/>
            <w:shd w:val="clear" w:color="auto" w:fill="auto"/>
          </w:tcPr>
          <w:p w:rsidR="00E67DA4" w:rsidRPr="009072DA" w:rsidRDefault="00E67DA4" w:rsidP="00C01A94">
            <w:pPr>
              <w:spacing w:before="120" w:after="120" w:line="240" w:lineRule="atLeast"/>
              <w:jc w:val="center"/>
              <w:rPr>
                <w:rFonts w:cs="Arial"/>
                <w:sz w:val="18"/>
                <w:szCs w:val="18"/>
                <w:lang w:val="bg-BG"/>
              </w:rPr>
            </w:pPr>
            <w:r w:rsidRPr="009072DA">
              <w:rPr>
                <w:b/>
                <w:sz w:val="18"/>
                <w:lang w:val="bg-BG"/>
              </w:rPr>
              <w:t>ГЛАВА 4</w:t>
            </w:r>
          </w:p>
        </w:tc>
        <w:tc>
          <w:tcPr>
            <w:tcW w:w="6521" w:type="dxa"/>
            <w:shd w:val="clear" w:color="auto" w:fill="auto"/>
          </w:tcPr>
          <w:p w:rsidR="00E67DA4" w:rsidRPr="009072DA" w:rsidRDefault="00E67DA4" w:rsidP="00C01A94">
            <w:pPr>
              <w:spacing w:before="120" w:after="120" w:line="240" w:lineRule="atLeast"/>
              <w:rPr>
                <w:rFonts w:cs="Arial"/>
                <w:b/>
                <w:sz w:val="18"/>
                <w:szCs w:val="18"/>
                <w:lang w:val="bg-BG"/>
              </w:rPr>
            </w:pPr>
          </w:p>
        </w:tc>
        <w:tc>
          <w:tcPr>
            <w:tcW w:w="1276" w:type="dxa"/>
            <w:shd w:val="clear" w:color="auto" w:fill="auto"/>
          </w:tcPr>
          <w:p w:rsidR="00E67DA4" w:rsidRPr="009072DA" w:rsidRDefault="00E67DA4" w:rsidP="00C01A94">
            <w:pPr>
              <w:spacing w:before="120" w:after="120" w:line="240" w:lineRule="atLeast"/>
              <w:rPr>
                <w:rFonts w:cs="Arial"/>
                <w:sz w:val="18"/>
                <w:szCs w:val="18"/>
                <w:lang w:val="bg-BG"/>
              </w:rPr>
            </w:pPr>
          </w:p>
        </w:tc>
      </w:tr>
      <w:tr w:rsidR="00E67DA4" w:rsidRPr="009072DA" w:rsidTr="00E67DA4">
        <w:trPr>
          <w:cantSplit/>
          <w:jc w:val="center"/>
        </w:trPr>
        <w:tc>
          <w:tcPr>
            <w:tcW w:w="1342"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4.01</w:t>
            </w:r>
          </w:p>
        </w:tc>
        <w:tc>
          <w:tcPr>
            <w:tcW w:w="1458" w:type="dxa"/>
            <w:shd w:val="clear" w:color="auto" w:fill="auto"/>
          </w:tcPr>
          <w:p w:rsidR="00E67DA4" w:rsidRPr="009072DA" w:rsidRDefault="00B956B5" w:rsidP="00C01A94">
            <w:pPr>
              <w:spacing w:before="120" w:after="120" w:line="240" w:lineRule="atLeast"/>
              <w:rPr>
                <w:rFonts w:cs="Arial"/>
                <w:sz w:val="18"/>
                <w:szCs w:val="18"/>
                <w:lang w:val="bg-BG"/>
              </w:rPr>
            </w:pPr>
            <w:r w:rsidRPr="009072DA">
              <w:rPr>
                <w:sz w:val="18"/>
                <w:lang w:val="bg-BG"/>
              </w:rPr>
              <w:t>Точка 1</w:t>
            </w:r>
          </w:p>
        </w:tc>
        <w:tc>
          <w:tcPr>
            <w:tcW w:w="3296"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Разстояние на безопасност</w:t>
            </w:r>
          </w:p>
        </w:tc>
        <w:tc>
          <w:tcPr>
            <w:tcW w:w="6521"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1.1.2015 г.</w:t>
            </w:r>
          </w:p>
        </w:tc>
      </w:tr>
      <w:tr w:rsidR="00E67DA4" w:rsidRPr="009072DA" w:rsidTr="00E67DA4">
        <w:trPr>
          <w:cantSplit/>
          <w:jc w:val="center"/>
        </w:trPr>
        <w:tc>
          <w:tcPr>
            <w:tcW w:w="1342"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4.02</w:t>
            </w:r>
          </w:p>
        </w:tc>
        <w:tc>
          <w:tcPr>
            <w:tcW w:w="1458" w:type="dxa"/>
            <w:shd w:val="clear" w:color="auto" w:fill="auto"/>
          </w:tcPr>
          <w:p w:rsidR="00E67DA4" w:rsidRPr="009072DA" w:rsidRDefault="00E67DA4" w:rsidP="00C01A94">
            <w:pPr>
              <w:spacing w:before="120" w:after="120" w:line="240" w:lineRule="atLeast"/>
              <w:jc w:val="center"/>
              <w:rPr>
                <w:rFonts w:cs="Arial"/>
                <w:sz w:val="18"/>
                <w:szCs w:val="18"/>
                <w:lang w:val="bg-BG"/>
              </w:rPr>
            </w:pPr>
          </w:p>
        </w:tc>
        <w:tc>
          <w:tcPr>
            <w:tcW w:w="3296"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Надводен борд</w:t>
            </w:r>
          </w:p>
        </w:tc>
        <w:tc>
          <w:tcPr>
            <w:tcW w:w="6521"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1.1.2015 г.</w:t>
            </w:r>
          </w:p>
        </w:tc>
      </w:tr>
      <w:tr w:rsidR="00E67DA4" w:rsidRPr="009072DA" w:rsidTr="00E67DA4">
        <w:trPr>
          <w:cantSplit/>
          <w:jc w:val="center"/>
        </w:trPr>
        <w:tc>
          <w:tcPr>
            <w:tcW w:w="1342"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4.03</w:t>
            </w:r>
          </w:p>
        </w:tc>
        <w:tc>
          <w:tcPr>
            <w:tcW w:w="1458" w:type="dxa"/>
            <w:shd w:val="clear" w:color="auto" w:fill="auto"/>
          </w:tcPr>
          <w:p w:rsidR="00E67DA4" w:rsidRPr="009072DA" w:rsidRDefault="00E67DA4" w:rsidP="00C01A94">
            <w:pPr>
              <w:spacing w:before="120" w:after="120" w:line="240" w:lineRule="atLeast"/>
              <w:jc w:val="center"/>
              <w:rPr>
                <w:rFonts w:cs="Arial"/>
                <w:sz w:val="18"/>
                <w:szCs w:val="18"/>
                <w:lang w:val="bg-BG"/>
              </w:rPr>
            </w:pPr>
          </w:p>
        </w:tc>
        <w:tc>
          <w:tcPr>
            <w:tcW w:w="3296"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Минимален надводен борд</w:t>
            </w:r>
          </w:p>
        </w:tc>
        <w:tc>
          <w:tcPr>
            <w:tcW w:w="6521"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1.1.2015 г.</w:t>
            </w:r>
          </w:p>
        </w:tc>
      </w:tr>
      <w:tr w:rsidR="00E67DA4" w:rsidRPr="009072DA" w:rsidTr="00E67DA4">
        <w:trPr>
          <w:cantSplit/>
          <w:jc w:val="center"/>
        </w:trPr>
        <w:tc>
          <w:tcPr>
            <w:tcW w:w="6096" w:type="dxa"/>
            <w:gridSpan w:val="3"/>
            <w:shd w:val="clear" w:color="auto" w:fill="auto"/>
          </w:tcPr>
          <w:p w:rsidR="00E67DA4" w:rsidRPr="009072DA" w:rsidRDefault="00E67DA4" w:rsidP="00C01A94">
            <w:pPr>
              <w:spacing w:before="100" w:after="100" w:line="240" w:lineRule="atLeast"/>
              <w:jc w:val="center"/>
              <w:rPr>
                <w:rFonts w:cs="Arial"/>
                <w:sz w:val="18"/>
                <w:szCs w:val="18"/>
                <w:lang w:val="bg-BG"/>
              </w:rPr>
            </w:pPr>
            <w:r w:rsidRPr="009072DA">
              <w:rPr>
                <w:b/>
                <w:sz w:val="18"/>
                <w:lang w:val="bg-BG"/>
              </w:rPr>
              <w:t>ГЛАВА 7</w:t>
            </w:r>
          </w:p>
        </w:tc>
        <w:tc>
          <w:tcPr>
            <w:tcW w:w="6521" w:type="dxa"/>
            <w:shd w:val="clear" w:color="auto" w:fill="auto"/>
          </w:tcPr>
          <w:p w:rsidR="00E67DA4" w:rsidRPr="009072DA" w:rsidRDefault="00E67DA4" w:rsidP="00C01A94">
            <w:pPr>
              <w:spacing w:before="100" w:after="100" w:line="240" w:lineRule="atLeast"/>
              <w:rPr>
                <w:rFonts w:cs="Arial"/>
                <w:sz w:val="18"/>
                <w:szCs w:val="18"/>
                <w:lang w:val="bg-BG"/>
              </w:rPr>
            </w:pPr>
          </w:p>
        </w:tc>
        <w:tc>
          <w:tcPr>
            <w:tcW w:w="1276" w:type="dxa"/>
            <w:shd w:val="clear" w:color="auto" w:fill="auto"/>
          </w:tcPr>
          <w:p w:rsidR="00E67DA4" w:rsidRPr="009072DA" w:rsidRDefault="00E67DA4" w:rsidP="00C01A94">
            <w:pPr>
              <w:spacing w:before="100" w:after="100" w:line="240" w:lineRule="atLeast"/>
              <w:rPr>
                <w:rFonts w:cs="Arial"/>
                <w:sz w:val="18"/>
                <w:szCs w:val="18"/>
                <w:lang w:val="bg-BG"/>
              </w:rPr>
            </w:pPr>
          </w:p>
        </w:tc>
      </w:tr>
      <w:tr w:rsidR="00E67DA4" w:rsidRPr="009072DA" w:rsidTr="00E67DA4">
        <w:trPr>
          <w:cantSplit/>
          <w:jc w:val="center"/>
        </w:trPr>
        <w:tc>
          <w:tcPr>
            <w:tcW w:w="1342"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7.01</w:t>
            </w:r>
          </w:p>
        </w:tc>
        <w:tc>
          <w:tcPr>
            <w:tcW w:w="1458" w:type="dxa"/>
            <w:shd w:val="clear" w:color="auto" w:fill="auto"/>
          </w:tcPr>
          <w:p w:rsidR="00E67DA4" w:rsidRPr="009072DA" w:rsidRDefault="000E732C" w:rsidP="00C01A94">
            <w:pPr>
              <w:spacing w:before="100" w:after="100" w:line="240" w:lineRule="atLeast"/>
              <w:rPr>
                <w:rFonts w:cs="Arial"/>
                <w:sz w:val="18"/>
                <w:szCs w:val="18"/>
                <w:lang w:val="bg-BG"/>
              </w:rPr>
            </w:pPr>
            <w:r w:rsidRPr="009072DA">
              <w:rPr>
                <w:sz w:val="18"/>
                <w:lang w:val="bg-BG"/>
              </w:rPr>
              <w:t>Точка 2</w:t>
            </w:r>
            <w:r w:rsidRPr="009072DA">
              <w:rPr>
                <w:color w:val="000000"/>
                <w:sz w:val="18"/>
                <w:vertAlign w:val="superscript"/>
                <w:lang w:val="bg-BG"/>
              </w:rPr>
              <w:footnoteReference w:id="35"/>
            </w:r>
          </w:p>
        </w:tc>
        <w:tc>
          <w:tcPr>
            <w:tcW w:w="3296"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Звуково налягане, създавано от плавателния съд</w:t>
            </w:r>
          </w:p>
        </w:tc>
        <w:tc>
          <w:tcPr>
            <w:tcW w:w="6521" w:type="dxa"/>
            <w:shd w:val="clear" w:color="auto" w:fill="auto"/>
          </w:tcPr>
          <w:p w:rsidR="00E67DA4" w:rsidRPr="009072DA" w:rsidRDefault="00AD3E75" w:rsidP="00C01A94">
            <w:pPr>
              <w:spacing w:before="100" w:after="100" w:line="240" w:lineRule="atLeast"/>
              <w:rPr>
                <w:rFonts w:cs="Arial"/>
                <w:sz w:val="18"/>
                <w:szCs w:val="18"/>
                <w:lang w:val="bg-BG"/>
              </w:rPr>
            </w:pPr>
            <w:r w:rsidRPr="009072DA">
              <w:rPr>
                <w:sz w:val="18"/>
                <w:lang w:val="bg-BG"/>
              </w:rPr>
              <w:t>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1.1.2020 г.</w:t>
            </w:r>
          </w:p>
        </w:tc>
      </w:tr>
      <w:tr w:rsidR="00E67DA4" w:rsidRPr="009072DA" w:rsidTr="00E67DA4">
        <w:trPr>
          <w:cantSplit/>
          <w:jc w:val="center"/>
        </w:trPr>
        <w:tc>
          <w:tcPr>
            <w:tcW w:w="6096" w:type="dxa"/>
            <w:gridSpan w:val="3"/>
            <w:shd w:val="clear" w:color="auto" w:fill="auto"/>
          </w:tcPr>
          <w:p w:rsidR="00E67DA4" w:rsidRPr="009072DA" w:rsidRDefault="00E67DA4" w:rsidP="00C01A94">
            <w:pPr>
              <w:spacing w:before="100" w:after="100" w:line="240" w:lineRule="atLeast"/>
              <w:jc w:val="center"/>
              <w:rPr>
                <w:rFonts w:cs="Arial"/>
                <w:sz w:val="18"/>
                <w:szCs w:val="18"/>
                <w:lang w:val="bg-BG"/>
              </w:rPr>
            </w:pPr>
            <w:r w:rsidRPr="009072DA">
              <w:rPr>
                <w:b/>
                <w:sz w:val="18"/>
                <w:lang w:val="bg-BG"/>
              </w:rPr>
              <w:t>ГЛАВА 8</w:t>
            </w:r>
          </w:p>
        </w:tc>
        <w:tc>
          <w:tcPr>
            <w:tcW w:w="6521" w:type="dxa"/>
            <w:shd w:val="clear" w:color="auto" w:fill="auto"/>
          </w:tcPr>
          <w:p w:rsidR="00E67DA4" w:rsidRPr="009072DA" w:rsidRDefault="00E67DA4" w:rsidP="00C01A94">
            <w:pPr>
              <w:spacing w:before="100" w:after="100" w:line="240" w:lineRule="atLeast"/>
              <w:rPr>
                <w:rFonts w:cs="Arial"/>
                <w:sz w:val="18"/>
                <w:szCs w:val="18"/>
                <w:lang w:val="bg-BG"/>
              </w:rPr>
            </w:pPr>
          </w:p>
        </w:tc>
        <w:tc>
          <w:tcPr>
            <w:tcW w:w="1276" w:type="dxa"/>
            <w:shd w:val="clear" w:color="auto" w:fill="auto"/>
          </w:tcPr>
          <w:p w:rsidR="00E67DA4" w:rsidRPr="009072DA" w:rsidRDefault="00E67DA4" w:rsidP="00C01A94">
            <w:pPr>
              <w:spacing w:before="100" w:after="100" w:line="240" w:lineRule="atLeast"/>
              <w:rPr>
                <w:rFonts w:cs="Arial"/>
                <w:sz w:val="18"/>
                <w:szCs w:val="18"/>
                <w:lang w:val="bg-BG"/>
              </w:rPr>
            </w:pPr>
          </w:p>
        </w:tc>
      </w:tr>
      <w:tr w:rsidR="00E67DA4" w:rsidRPr="009072DA" w:rsidTr="00E67DA4">
        <w:trPr>
          <w:cantSplit/>
          <w:jc w:val="center"/>
        </w:trPr>
        <w:tc>
          <w:tcPr>
            <w:tcW w:w="1342"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8.08</w:t>
            </w:r>
          </w:p>
        </w:tc>
        <w:tc>
          <w:tcPr>
            <w:tcW w:w="1458"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Точки 3 и 4</w:t>
            </w:r>
          </w:p>
        </w:tc>
        <w:tc>
          <w:tcPr>
            <w:tcW w:w="3296"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Минимален капацитет на помпите и вътрешен диаметър на осушителните тръби</w:t>
            </w:r>
          </w:p>
        </w:tc>
        <w:tc>
          <w:tcPr>
            <w:tcW w:w="6521"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1.1.2015 г.</w:t>
            </w:r>
          </w:p>
        </w:tc>
      </w:tr>
      <w:tr w:rsidR="00E67DA4" w:rsidRPr="009072DA" w:rsidTr="00E67DA4">
        <w:trPr>
          <w:cantSplit/>
          <w:jc w:val="center"/>
        </w:trPr>
        <w:tc>
          <w:tcPr>
            <w:tcW w:w="1342"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lastRenderedPageBreak/>
              <w:t>8.10</w:t>
            </w:r>
          </w:p>
        </w:tc>
        <w:tc>
          <w:tcPr>
            <w:tcW w:w="1458" w:type="dxa"/>
            <w:shd w:val="clear" w:color="auto" w:fill="auto"/>
          </w:tcPr>
          <w:p w:rsidR="00E67DA4" w:rsidRPr="009072DA" w:rsidRDefault="000E732C" w:rsidP="00C01A94">
            <w:pPr>
              <w:spacing w:before="100" w:after="100" w:line="240" w:lineRule="atLeast"/>
              <w:rPr>
                <w:rFonts w:cs="Arial"/>
                <w:sz w:val="18"/>
                <w:szCs w:val="18"/>
                <w:lang w:val="bg-BG"/>
              </w:rPr>
            </w:pPr>
            <w:r w:rsidRPr="009072DA">
              <w:rPr>
                <w:sz w:val="18"/>
                <w:lang w:val="bg-BG"/>
              </w:rPr>
              <w:t>Точка 2</w:t>
            </w:r>
            <w:r w:rsidRPr="009072DA">
              <w:rPr>
                <w:color w:val="000000"/>
                <w:sz w:val="18"/>
                <w:vertAlign w:val="superscript"/>
                <w:lang w:val="bg-BG"/>
              </w:rPr>
              <w:footnoteReference w:id="36"/>
            </w:r>
          </w:p>
        </w:tc>
        <w:tc>
          <w:tcPr>
            <w:tcW w:w="3296"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Шум, създаван от плавателния съд в движение</w:t>
            </w:r>
          </w:p>
        </w:tc>
        <w:tc>
          <w:tcPr>
            <w:tcW w:w="6521" w:type="dxa"/>
            <w:shd w:val="clear" w:color="auto" w:fill="auto"/>
          </w:tcPr>
          <w:p w:rsidR="00E67DA4" w:rsidRPr="009072DA" w:rsidRDefault="00AD3E75" w:rsidP="00C01A94">
            <w:pPr>
              <w:spacing w:before="100" w:after="100" w:line="240" w:lineRule="atLeast"/>
              <w:rPr>
                <w:rFonts w:cs="Arial"/>
                <w:sz w:val="18"/>
                <w:szCs w:val="18"/>
                <w:lang w:val="bg-BG"/>
              </w:rPr>
            </w:pPr>
            <w:r w:rsidRPr="009072DA">
              <w:rPr>
                <w:sz w:val="18"/>
                <w:lang w:val="bg-BG"/>
              </w:rPr>
              <w:t>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1.1.2020 г.</w:t>
            </w:r>
          </w:p>
        </w:tc>
      </w:tr>
      <w:tr w:rsidR="00E67DA4" w:rsidRPr="009072DA" w:rsidTr="00E67DA4">
        <w:trPr>
          <w:cantSplit/>
          <w:jc w:val="center"/>
        </w:trPr>
        <w:tc>
          <w:tcPr>
            <w:tcW w:w="6096" w:type="dxa"/>
            <w:gridSpan w:val="3"/>
            <w:shd w:val="clear" w:color="auto" w:fill="auto"/>
          </w:tcPr>
          <w:p w:rsidR="00E67DA4" w:rsidRPr="009072DA" w:rsidRDefault="00E67DA4" w:rsidP="00C01A94">
            <w:pPr>
              <w:spacing w:before="100" w:after="100" w:line="240" w:lineRule="atLeast"/>
              <w:jc w:val="center"/>
              <w:rPr>
                <w:rFonts w:cs="Arial"/>
                <w:sz w:val="18"/>
                <w:szCs w:val="18"/>
                <w:lang w:val="bg-BG"/>
              </w:rPr>
            </w:pPr>
            <w:r w:rsidRPr="009072DA">
              <w:rPr>
                <w:b/>
                <w:sz w:val="18"/>
                <w:lang w:val="bg-BG"/>
              </w:rPr>
              <w:t>ГЛАВА 10</w:t>
            </w:r>
          </w:p>
        </w:tc>
        <w:tc>
          <w:tcPr>
            <w:tcW w:w="6521" w:type="dxa"/>
            <w:shd w:val="clear" w:color="auto" w:fill="auto"/>
          </w:tcPr>
          <w:p w:rsidR="00E67DA4" w:rsidRPr="009072DA" w:rsidRDefault="00E67DA4" w:rsidP="00C01A94">
            <w:pPr>
              <w:spacing w:before="100" w:after="100" w:line="240" w:lineRule="atLeast"/>
              <w:rPr>
                <w:rFonts w:cs="Arial"/>
                <w:sz w:val="18"/>
                <w:szCs w:val="18"/>
                <w:lang w:val="bg-BG"/>
              </w:rPr>
            </w:pPr>
          </w:p>
        </w:tc>
        <w:tc>
          <w:tcPr>
            <w:tcW w:w="1276" w:type="dxa"/>
            <w:shd w:val="clear" w:color="auto" w:fill="auto"/>
          </w:tcPr>
          <w:p w:rsidR="00E67DA4" w:rsidRPr="009072DA" w:rsidRDefault="00E67DA4" w:rsidP="00C01A94">
            <w:pPr>
              <w:spacing w:before="100" w:after="100" w:line="240" w:lineRule="atLeast"/>
              <w:rPr>
                <w:rFonts w:cs="Arial"/>
                <w:sz w:val="18"/>
                <w:szCs w:val="18"/>
                <w:lang w:val="bg-BG"/>
              </w:rPr>
            </w:pPr>
          </w:p>
        </w:tc>
      </w:tr>
      <w:tr w:rsidR="00E67DA4" w:rsidRPr="009072DA" w:rsidTr="00E67DA4">
        <w:trPr>
          <w:cantSplit/>
          <w:jc w:val="center"/>
        </w:trPr>
        <w:tc>
          <w:tcPr>
            <w:tcW w:w="1342" w:type="dxa"/>
            <w:shd w:val="clear" w:color="auto" w:fill="auto"/>
          </w:tcPr>
          <w:p w:rsidR="00E67DA4" w:rsidRPr="009072DA" w:rsidRDefault="000E732C" w:rsidP="00C01A94">
            <w:pPr>
              <w:spacing w:before="100" w:after="100" w:line="240" w:lineRule="atLeast"/>
              <w:rPr>
                <w:rFonts w:cs="Arial"/>
                <w:sz w:val="18"/>
                <w:szCs w:val="18"/>
                <w:lang w:val="bg-BG"/>
              </w:rPr>
            </w:pPr>
            <w:r w:rsidRPr="009072DA">
              <w:rPr>
                <w:sz w:val="18"/>
                <w:lang w:val="bg-BG"/>
              </w:rPr>
              <w:t>10.01</w:t>
            </w:r>
            <w:r w:rsidRPr="009072DA">
              <w:rPr>
                <w:color w:val="000000"/>
                <w:sz w:val="18"/>
                <w:vertAlign w:val="superscript"/>
                <w:lang w:val="bg-BG"/>
              </w:rPr>
              <w:footnoteReference w:id="37"/>
            </w:r>
          </w:p>
        </w:tc>
        <w:tc>
          <w:tcPr>
            <w:tcW w:w="1458" w:type="dxa"/>
            <w:shd w:val="clear" w:color="auto" w:fill="auto"/>
          </w:tcPr>
          <w:p w:rsidR="00E67DA4" w:rsidRPr="009072DA" w:rsidRDefault="009B46F3" w:rsidP="00C01A94">
            <w:pPr>
              <w:spacing w:before="100" w:after="100" w:line="240" w:lineRule="atLeast"/>
              <w:rPr>
                <w:rFonts w:cs="Arial"/>
                <w:sz w:val="18"/>
                <w:szCs w:val="18"/>
                <w:lang w:val="bg-BG"/>
              </w:rPr>
            </w:pPr>
            <w:r w:rsidRPr="009072DA">
              <w:rPr>
                <w:sz w:val="18"/>
                <w:lang w:val="bg-BG"/>
              </w:rPr>
              <w:t xml:space="preserve">Точка 1 </w:t>
            </w:r>
            <w:r w:rsidRPr="009072DA">
              <w:rPr>
                <w:rFonts w:cs="Arial"/>
                <w:sz w:val="18"/>
                <w:szCs w:val="18"/>
                <w:lang w:val="bg-BG"/>
              </w:rPr>
              <w:br/>
            </w:r>
            <w:r w:rsidRPr="009072DA">
              <w:rPr>
                <w:sz w:val="18"/>
                <w:lang w:val="bg-BG"/>
              </w:rPr>
              <w:t xml:space="preserve">1-во изречение, </w:t>
            </w:r>
            <w:r w:rsidRPr="009072DA">
              <w:rPr>
                <w:rFonts w:cs="Arial"/>
                <w:sz w:val="18"/>
                <w:szCs w:val="18"/>
                <w:lang w:val="bg-BG"/>
              </w:rPr>
              <w:br/>
            </w:r>
            <w:r w:rsidRPr="009072DA">
              <w:rPr>
                <w:sz w:val="18"/>
                <w:lang w:val="bg-BG"/>
              </w:rPr>
              <w:t>Точки 2 — 4</w:t>
            </w:r>
          </w:p>
        </w:tc>
        <w:tc>
          <w:tcPr>
            <w:tcW w:w="3296"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Изисквания към електрическото оборудване</w:t>
            </w:r>
          </w:p>
        </w:tc>
        <w:tc>
          <w:tcPr>
            <w:tcW w:w="6521" w:type="dxa"/>
            <w:shd w:val="clear" w:color="auto" w:fill="auto"/>
          </w:tcPr>
          <w:p w:rsidR="00E67DA4" w:rsidRPr="009072DA" w:rsidRDefault="00AD3E75" w:rsidP="00C01A94">
            <w:pPr>
              <w:spacing w:before="100" w:after="100" w:line="240" w:lineRule="atLeast"/>
              <w:rPr>
                <w:rFonts w:cs="Arial"/>
                <w:sz w:val="18"/>
                <w:szCs w:val="18"/>
                <w:lang w:val="bg-BG"/>
              </w:rPr>
            </w:pPr>
            <w:r w:rsidRPr="009072DA">
              <w:rPr>
                <w:sz w:val="18"/>
                <w:lang w:val="bg-BG"/>
              </w:rPr>
              <w:t>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1.1.2020 г.</w:t>
            </w:r>
          </w:p>
        </w:tc>
      </w:tr>
      <w:tr w:rsidR="00E67DA4" w:rsidRPr="009072DA" w:rsidTr="00E67DA4">
        <w:trPr>
          <w:cantSplit/>
          <w:jc w:val="center"/>
        </w:trPr>
        <w:tc>
          <w:tcPr>
            <w:tcW w:w="1342"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10.03</w:t>
            </w:r>
          </w:p>
        </w:tc>
        <w:tc>
          <w:tcPr>
            <w:tcW w:w="1458" w:type="dxa"/>
            <w:shd w:val="clear" w:color="auto" w:fill="auto"/>
          </w:tcPr>
          <w:p w:rsidR="00E67DA4" w:rsidRPr="009072DA" w:rsidRDefault="00E67DA4" w:rsidP="00C01A94">
            <w:pPr>
              <w:spacing w:before="100" w:after="100" w:line="240" w:lineRule="atLeast"/>
              <w:rPr>
                <w:rFonts w:cs="Arial"/>
                <w:sz w:val="18"/>
                <w:szCs w:val="18"/>
                <w:lang w:val="bg-BG"/>
              </w:rPr>
            </w:pPr>
          </w:p>
        </w:tc>
        <w:tc>
          <w:tcPr>
            <w:tcW w:w="3296"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Защита от физически допир, проникване на твърди предмети и вода</w:t>
            </w:r>
          </w:p>
        </w:tc>
        <w:tc>
          <w:tcPr>
            <w:tcW w:w="6521" w:type="dxa"/>
            <w:shd w:val="clear" w:color="auto" w:fill="auto"/>
          </w:tcPr>
          <w:p w:rsidR="00E67DA4" w:rsidRPr="009072DA" w:rsidRDefault="00AD3E75" w:rsidP="00C01A94">
            <w:pPr>
              <w:spacing w:before="100" w:after="100" w:line="240" w:lineRule="atLeast"/>
              <w:rPr>
                <w:rFonts w:cs="Arial"/>
                <w:sz w:val="18"/>
                <w:szCs w:val="18"/>
                <w:lang w:val="bg-BG"/>
              </w:rPr>
            </w:pPr>
            <w:r w:rsidRPr="009072DA">
              <w:rPr>
                <w:sz w:val="18"/>
                <w:lang w:val="bg-BG"/>
              </w:rPr>
              <w:t>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1.1.2015 г.</w:t>
            </w:r>
          </w:p>
        </w:tc>
      </w:tr>
      <w:tr w:rsidR="00E67DA4" w:rsidRPr="009072DA" w:rsidTr="00E67DA4">
        <w:trPr>
          <w:cantSplit/>
          <w:jc w:val="center"/>
        </w:trPr>
        <w:tc>
          <w:tcPr>
            <w:tcW w:w="1342"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10.06</w:t>
            </w:r>
          </w:p>
        </w:tc>
        <w:tc>
          <w:tcPr>
            <w:tcW w:w="1458" w:type="dxa"/>
            <w:shd w:val="clear" w:color="auto" w:fill="auto"/>
          </w:tcPr>
          <w:p w:rsidR="00E67DA4" w:rsidRPr="009072DA" w:rsidRDefault="00E67DA4" w:rsidP="00C01A94">
            <w:pPr>
              <w:spacing w:before="100" w:after="100" w:line="240" w:lineRule="atLeast"/>
              <w:rPr>
                <w:rFonts w:cs="Arial"/>
                <w:sz w:val="18"/>
                <w:szCs w:val="18"/>
                <w:lang w:val="bg-BG"/>
              </w:rPr>
            </w:pPr>
          </w:p>
        </w:tc>
        <w:tc>
          <w:tcPr>
            <w:tcW w:w="3296"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Максимално допустимо напрежение</w:t>
            </w:r>
          </w:p>
        </w:tc>
        <w:tc>
          <w:tcPr>
            <w:tcW w:w="6521" w:type="dxa"/>
            <w:shd w:val="clear" w:color="auto" w:fill="auto"/>
          </w:tcPr>
          <w:p w:rsidR="00E67DA4" w:rsidRPr="009072DA" w:rsidRDefault="00AD3E75" w:rsidP="00C01A94">
            <w:pPr>
              <w:spacing w:before="100" w:after="100" w:line="240" w:lineRule="atLeast"/>
              <w:rPr>
                <w:rFonts w:cs="Arial"/>
                <w:sz w:val="18"/>
                <w:szCs w:val="18"/>
                <w:lang w:val="bg-BG"/>
              </w:rPr>
            </w:pPr>
            <w:r w:rsidRPr="009072DA">
              <w:rPr>
                <w:sz w:val="18"/>
                <w:lang w:val="bg-BG"/>
              </w:rPr>
              <w:t>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1.1.2015 г.</w:t>
            </w:r>
          </w:p>
        </w:tc>
      </w:tr>
      <w:tr w:rsidR="00E67DA4" w:rsidRPr="009072DA" w:rsidTr="00E67DA4">
        <w:trPr>
          <w:cantSplit/>
          <w:jc w:val="center"/>
        </w:trPr>
        <w:tc>
          <w:tcPr>
            <w:tcW w:w="1342"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10.10</w:t>
            </w:r>
          </w:p>
        </w:tc>
        <w:tc>
          <w:tcPr>
            <w:tcW w:w="1458" w:type="dxa"/>
            <w:shd w:val="clear" w:color="auto" w:fill="auto"/>
          </w:tcPr>
          <w:p w:rsidR="00E67DA4" w:rsidRPr="009072DA" w:rsidRDefault="00E67DA4" w:rsidP="00C01A94">
            <w:pPr>
              <w:spacing w:before="100" w:after="100" w:line="240" w:lineRule="atLeast"/>
              <w:rPr>
                <w:rFonts w:cs="Arial"/>
                <w:sz w:val="18"/>
                <w:szCs w:val="18"/>
                <w:lang w:val="bg-BG"/>
              </w:rPr>
            </w:pPr>
          </w:p>
        </w:tc>
        <w:tc>
          <w:tcPr>
            <w:tcW w:w="3296" w:type="dxa"/>
            <w:shd w:val="clear" w:color="auto" w:fill="auto"/>
          </w:tcPr>
          <w:p w:rsidR="00E67DA4" w:rsidRPr="009072DA" w:rsidRDefault="00AC3F9A" w:rsidP="00C01A94">
            <w:pPr>
              <w:spacing w:before="100" w:after="100" w:line="240" w:lineRule="atLeast"/>
              <w:rPr>
                <w:rFonts w:cs="Arial"/>
                <w:sz w:val="18"/>
                <w:szCs w:val="18"/>
                <w:lang w:val="bg-BG"/>
              </w:rPr>
            </w:pPr>
            <w:r w:rsidRPr="009072DA">
              <w:rPr>
                <w:sz w:val="18"/>
                <w:lang w:val="bg-BG"/>
              </w:rPr>
              <w:t>Генератори, двигатели и трансформатори</w:t>
            </w:r>
          </w:p>
        </w:tc>
        <w:tc>
          <w:tcPr>
            <w:tcW w:w="6521" w:type="dxa"/>
            <w:shd w:val="clear" w:color="auto" w:fill="auto"/>
          </w:tcPr>
          <w:p w:rsidR="00E67DA4" w:rsidRPr="009072DA" w:rsidRDefault="00AD3E75" w:rsidP="00C01A94">
            <w:pPr>
              <w:spacing w:before="100" w:after="100" w:line="240" w:lineRule="atLeast"/>
              <w:rPr>
                <w:rFonts w:cs="Arial"/>
                <w:sz w:val="18"/>
                <w:szCs w:val="18"/>
                <w:lang w:val="bg-BG"/>
              </w:rPr>
            </w:pPr>
            <w:r w:rsidRPr="009072DA">
              <w:rPr>
                <w:sz w:val="18"/>
                <w:lang w:val="bg-BG"/>
              </w:rPr>
              <w:t>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1.1.2015 г.</w:t>
            </w:r>
          </w:p>
        </w:tc>
      </w:tr>
      <w:tr w:rsidR="00E67DA4" w:rsidRPr="009072DA" w:rsidTr="00E67DA4">
        <w:trPr>
          <w:cantSplit/>
          <w:jc w:val="center"/>
        </w:trPr>
        <w:tc>
          <w:tcPr>
            <w:tcW w:w="1342"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10.11</w:t>
            </w:r>
          </w:p>
        </w:tc>
        <w:tc>
          <w:tcPr>
            <w:tcW w:w="1458"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Точка 2</w:t>
            </w:r>
          </w:p>
        </w:tc>
        <w:tc>
          <w:tcPr>
            <w:tcW w:w="3296"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Монтаж на акумулатори</w:t>
            </w:r>
          </w:p>
        </w:tc>
        <w:tc>
          <w:tcPr>
            <w:tcW w:w="6521" w:type="dxa"/>
            <w:shd w:val="clear" w:color="auto" w:fill="auto"/>
          </w:tcPr>
          <w:p w:rsidR="00E67DA4" w:rsidRPr="009072DA" w:rsidRDefault="00AD3E75" w:rsidP="00C01A94">
            <w:pPr>
              <w:spacing w:before="100" w:after="100" w:line="240" w:lineRule="atLeast"/>
              <w:rPr>
                <w:rFonts w:cs="Arial"/>
                <w:sz w:val="18"/>
                <w:szCs w:val="18"/>
                <w:lang w:val="bg-BG"/>
              </w:rPr>
            </w:pPr>
            <w:r w:rsidRPr="009072DA">
              <w:rPr>
                <w:sz w:val="18"/>
                <w:lang w:val="bg-BG"/>
              </w:rPr>
              <w:t>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1.1.2015 г.</w:t>
            </w:r>
          </w:p>
        </w:tc>
      </w:tr>
      <w:tr w:rsidR="00E67DA4" w:rsidRPr="009072DA" w:rsidTr="00E67DA4">
        <w:trPr>
          <w:cantSplit/>
          <w:jc w:val="center"/>
        </w:trPr>
        <w:tc>
          <w:tcPr>
            <w:tcW w:w="1342"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10.12</w:t>
            </w:r>
          </w:p>
        </w:tc>
        <w:tc>
          <w:tcPr>
            <w:tcW w:w="1458" w:type="dxa"/>
            <w:shd w:val="clear" w:color="auto" w:fill="auto"/>
          </w:tcPr>
          <w:p w:rsidR="00E67DA4" w:rsidRPr="009072DA" w:rsidRDefault="00E67DA4" w:rsidP="00C01A94">
            <w:pPr>
              <w:spacing w:before="100" w:after="100" w:line="240" w:lineRule="atLeast"/>
              <w:rPr>
                <w:rFonts w:cs="Arial"/>
                <w:sz w:val="18"/>
                <w:szCs w:val="18"/>
                <w:lang w:val="bg-BG"/>
              </w:rPr>
            </w:pPr>
          </w:p>
        </w:tc>
        <w:tc>
          <w:tcPr>
            <w:tcW w:w="3296" w:type="dxa"/>
            <w:shd w:val="clear" w:color="auto" w:fill="auto"/>
          </w:tcPr>
          <w:p w:rsidR="00E67DA4" w:rsidRPr="009072DA" w:rsidRDefault="000B4123" w:rsidP="00C01A94">
            <w:pPr>
              <w:spacing w:before="100" w:after="100" w:line="240" w:lineRule="atLeast"/>
              <w:rPr>
                <w:rFonts w:cs="Arial"/>
                <w:sz w:val="18"/>
                <w:szCs w:val="18"/>
                <w:lang w:val="bg-BG"/>
              </w:rPr>
            </w:pPr>
            <w:r w:rsidRPr="009072DA">
              <w:rPr>
                <w:sz w:val="18"/>
                <w:lang w:val="bg-BG"/>
              </w:rPr>
              <w:t>Комутационна и пусковорегулиращата апаратура</w:t>
            </w:r>
          </w:p>
        </w:tc>
        <w:tc>
          <w:tcPr>
            <w:tcW w:w="6521" w:type="dxa"/>
            <w:shd w:val="clear" w:color="auto" w:fill="auto"/>
          </w:tcPr>
          <w:p w:rsidR="00E67DA4" w:rsidRPr="009072DA" w:rsidRDefault="00AD3E75" w:rsidP="00C01A94">
            <w:pPr>
              <w:spacing w:before="100" w:after="100" w:line="240" w:lineRule="atLeast"/>
              <w:rPr>
                <w:rFonts w:cs="Arial"/>
                <w:sz w:val="18"/>
                <w:szCs w:val="18"/>
                <w:lang w:val="bg-BG"/>
              </w:rPr>
            </w:pPr>
            <w:r w:rsidRPr="009072DA">
              <w:rPr>
                <w:sz w:val="18"/>
                <w:lang w:val="bg-BG"/>
              </w:rPr>
              <w:t>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100" w:after="100" w:line="240" w:lineRule="atLeast"/>
              <w:rPr>
                <w:rFonts w:cs="Arial"/>
                <w:sz w:val="18"/>
                <w:szCs w:val="18"/>
                <w:lang w:val="bg-BG"/>
              </w:rPr>
            </w:pPr>
            <w:r w:rsidRPr="009072DA">
              <w:rPr>
                <w:sz w:val="18"/>
                <w:lang w:val="bg-BG"/>
              </w:rPr>
              <w:t>1.1.2015 г.</w:t>
            </w:r>
          </w:p>
        </w:tc>
      </w:tr>
      <w:tr w:rsidR="00E67DA4" w:rsidRPr="009072DA" w:rsidTr="00E67DA4">
        <w:trPr>
          <w:cantSplit/>
          <w:jc w:val="center"/>
        </w:trPr>
        <w:tc>
          <w:tcPr>
            <w:tcW w:w="1342"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10.14</w:t>
            </w:r>
          </w:p>
        </w:tc>
        <w:tc>
          <w:tcPr>
            <w:tcW w:w="1458" w:type="dxa"/>
            <w:shd w:val="clear" w:color="auto" w:fill="auto"/>
          </w:tcPr>
          <w:p w:rsidR="00E67DA4" w:rsidRPr="009072DA" w:rsidRDefault="00E67DA4" w:rsidP="00C01A94">
            <w:pPr>
              <w:spacing w:before="60" w:after="60" w:line="240" w:lineRule="atLeast"/>
              <w:rPr>
                <w:rFonts w:cs="Arial"/>
                <w:sz w:val="18"/>
                <w:szCs w:val="18"/>
                <w:lang w:val="bg-BG"/>
              </w:rPr>
            </w:pPr>
          </w:p>
        </w:tc>
        <w:tc>
          <w:tcPr>
            <w:tcW w:w="329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Арматура за инсталации</w:t>
            </w:r>
          </w:p>
        </w:tc>
        <w:tc>
          <w:tcPr>
            <w:tcW w:w="6521" w:type="dxa"/>
            <w:shd w:val="clear" w:color="auto" w:fill="auto"/>
          </w:tcPr>
          <w:p w:rsidR="00E67DA4" w:rsidRPr="009072DA" w:rsidRDefault="00AD3E75" w:rsidP="00C01A94">
            <w:pPr>
              <w:spacing w:before="60" w:after="60" w:line="240" w:lineRule="atLeast"/>
              <w:rPr>
                <w:rFonts w:cs="Arial"/>
                <w:sz w:val="18"/>
                <w:szCs w:val="18"/>
                <w:lang w:val="bg-BG"/>
              </w:rPr>
            </w:pPr>
            <w:r w:rsidRPr="009072DA">
              <w:rPr>
                <w:sz w:val="18"/>
                <w:lang w:val="bg-BG"/>
              </w:rPr>
              <w:t>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1.1.2015 г.</w:t>
            </w:r>
          </w:p>
        </w:tc>
      </w:tr>
      <w:tr w:rsidR="00E67DA4" w:rsidRPr="009072DA" w:rsidTr="00E67DA4">
        <w:trPr>
          <w:cantSplit/>
          <w:jc w:val="center"/>
        </w:trPr>
        <w:tc>
          <w:tcPr>
            <w:tcW w:w="1342"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lastRenderedPageBreak/>
              <w:t>10.15</w:t>
            </w:r>
          </w:p>
        </w:tc>
        <w:tc>
          <w:tcPr>
            <w:tcW w:w="1458" w:type="dxa"/>
            <w:shd w:val="clear" w:color="auto" w:fill="auto"/>
          </w:tcPr>
          <w:p w:rsidR="00E67DA4" w:rsidRPr="009072DA" w:rsidRDefault="00E67DA4" w:rsidP="00C01A94">
            <w:pPr>
              <w:spacing w:before="60" w:after="60" w:line="240" w:lineRule="atLeast"/>
              <w:rPr>
                <w:rFonts w:cs="Arial"/>
                <w:sz w:val="18"/>
                <w:szCs w:val="18"/>
                <w:lang w:val="bg-BG"/>
              </w:rPr>
            </w:pPr>
          </w:p>
        </w:tc>
        <w:tc>
          <w:tcPr>
            <w:tcW w:w="329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Кабели</w:t>
            </w:r>
          </w:p>
        </w:tc>
        <w:tc>
          <w:tcPr>
            <w:tcW w:w="6521" w:type="dxa"/>
            <w:shd w:val="clear" w:color="auto" w:fill="auto"/>
          </w:tcPr>
          <w:p w:rsidR="00E67DA4" w:rsidRPr="009072DA" w:rsidRDefault="00AD3E75" w:rsidP="00C01A94">
            <w:pPr>
              <w:spacing w:before="60" w:after="60" w:line="240" w:lineRule="atLeast"/>
              <w:rPr>
                <w:rFonts w:cs="Arial"/>
                <w:sz w:val="18"/>
                <w:szCs w:val="18"/>
                <w:lang w:val="bg-BG"/>
              </w:rPr>
            </w:pPr>
            <w:r w:rsidRPr="009072DA">
              <w:rPr>
                <w:sz w:val="18"/>
                <w:lang w:val="bg-BG"/>
              </w:rPr>
              <w:t>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1.1.2015 г.</w:t>
            </w:r>
          </w:p>
        </w:tc>
      </w:tr>
      <w:tr w:rsidR="00E67DA4" w:rsidRPr="009072DA" w:rsidTr="00E67DA4">
        <w:trPr>
          <w:cantSplit/>
          <w:jc w:val="center"/>
        </w:trPr>
        <w:tc>
          <w:tcPr>
            <w:tcW w:w="1342"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10.17</w:t>
            </w:r>
          </w:p>
        </w:tc>
        <w:tc>
          <w:tcPr>
            <w:tcW w:w="1458" w:type="dxa"/>
            <w:shd w:val="clear" w:color="auto" w:fill="auto"/>
          </w:tcPr>
          <w:p w:rsidR="00E67DA4" w:rsidRPr="009072DA" w:rsidRDefault="00E67DA4" w:rsidP="00C01A94">
            <w:pPr>
              <w:spacing w:before="60" w:after="60" w:line="240" w:lineRule="atLeast"/>
              <w:rPr>
                <w:rFonts w:cs="Arial"/>
                <w:sz w:val="18"/>
                <w:szCs w:val="18"/>
                <w:lang w:val="bg-BG"/>
              </w:rPr>
            </w:pPr>
          </w:p>
        </w:tc>
        <w:tc>
          <w:tcPr>
            <w:tcW w:w="329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Навигационни светлини</w:t>
            </w:r>
          </w:p>
        </w:tc>
        <w:tc>
          <w:tcPr>
            <w:tcW w:w="6521" w:type="dxa"/>
            <w:shd w:val="clear" w:color="auto" w:fill="auto"/>
          </w:tcPr>
          <w:p w:rsidR="00E67DA4" w:rsidRPr="009072DA" w:rsidRDefault="00AD3E75" w:rsidP="00C01A94">
            <w:pPr>
              <w:spacing w:before="60" w:after="60" w:line="240" w:lineRule="atLeast"/>
              <w:rPr>
                <w:rFonts w:cs="Arial"/>
                <w:sz w:val="18"/>
                <w:szCs w:val="18"/>
                <w:lang w:val="bg-BG"/>
              </w:rPr>
            </w:pPr>
            <w:r w:rsidRPr="009072DA">
              <w:rPr>
                <w:sz w:val="18"/>
                <w:lang w:val="bg-BG"/>
              </w:rPr>
              <w:t>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1.1.2015 г.</w:t>
            </w:r>
          </w:p>
        </w:tc>
      </w:tr>
      <w:tr w:rsidR="00E67DA4" w:rsidRPr="009072DA" w:rsidTr="00E67DA4">
        <w:trPr>
          <w:cantSplit/>
          <w:jc w:val="center"/>
        </w:trPr>
        <w:tc>
          <w:tcPr>
            <w:tcW w:w="6096" w:type="dxa"/>
            <w:gridSpan w:val="3"/>
            <w:shd w:val="clear" w:color="auto" w:fill="auto"/>
          </w:tcPr>
          <w:p w:rsidR="00E67DA4" w:rsidRPr="009072DA" w:rsidRDefault="00E67DA4" w:rsidP="00C01A94">
            <w:pPr>
              <w:spacing w:before="60" w:after="60" w:line="240" w:lineRule="atLeast"/>
              <w:jc w:val="center"/>
              <w:rPr>
                <w:rFonts w:cs="Arial"/>
                <w:sz w:val="18"/>
                <w:szCs w:val="18"/>
                <w:lang w:val="bg-BG"/>
              </w:rPr>
            </w:pPr>
            <w:r w:rsidRPr="009072DA">
              <w:rPr>
                <w:b/>
                <w:sz w:val="18"/>
                <w:lang w:val="bg-BG"/>
              </w:rPr>
              <w:t>ГЛАВА 15</w:t>
            </w:r>
          </w:p>
        </w:tc>
        <w:tc>
          <w:tcPr>
            <w:tcW w:w="6521" w:type="dxa"/>
            <w:shd w:val="clear" w:color="auto" w:fill="auto"/>
          </w:tcPr>
          <w:p w:rsidR="00E67DA4" w:rsidRPr="009072DA" w:rsidRDefault="00E67DA4" w:rsidP="00C01A94">
            <w:pPr>
              <w:spacing w:before="60" w:after="60" w:line="240" w:lineRule="atLeast"/>
              <w:rPr>
                <w:rFonts w:cs="Arial"/>
                <w:sz w:val="18"/>
                <w:szCs w:val="18"/>
                <w:lang w:val="bg-BG"/>
              </w:rPr>
            </w:pPr>
          </w:p>
        </w:tc>
        <w:tc>
          <w:tcPr>
            <w:tcW w:w="1276" w:type="dxa"/>
            <w:shd w:val="clear" w:color="auto" w:fill="auto"/>
          </w:tcPr>
          <w:p w:rsidR="00E67DA4" w:rsidRPr="009072DA" w:rsidRDefault="00E67DA4" w:rsidP="00C01A94">
            <w:pPr>
              <w:spacing w:before="60" w:after="60" w:line="240" w:lineRule="atLeast"/>
              <w:rPr>
                <w:rFonts w:cs="Arial"/>
                <w:sz w:val="18"/>
                <w:szCs w:val="18"/>
                <w:lang w:val="bg-BG"/>
              </w:rPr>
            </w:pPr>
          </w:p>
        </w:tc>
      </w:tr>
      <w:tr w:rsidR="00E67DA4" w:rsidRPr="009072DA" w:rsidTr="00E67DA4">
        <w:trPr>
          <w:cantSplit/>
          <w:jc w:val="center"/>
        </w:trPr>
        <w:tc>
          <w:tcPr>
            <w:tcW w:w="1342"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15.02</w:t>
            </w:r>
          </w:p>
        </w:tc>
        <w:tc>
          <w:tcPr>
            <w:tcW w:w="1458" w:type="dxa"/>
            <w:shd w:val="clear" w:color="auto" w:fill="auto"/>
          </w:tcPr>
          <w:p w:rsidR="00E67DA4" w:rsidRPr="009072DA" w:rsidRDefault="000E732C" w:rsidP="00C01A94">
            <w:pPr>
              <w:spacing w:before="60" w:after="60" w:line="240" w:lineRule="atLeast"/>
              <w:rPr>
                <w:rFonts w:cs="Arial"/>
                <w:sz w:val="18"/>
                <w:szCs w:val="18"/>
                <w:lang w:val="bg-BG"/>
              </w:rPr>
            </w:pPr>
            <w:r w:rsidRPr="009072DA">
              <w:rPr>
                <w:sz w:val="18"/>
                <w:lang w:val="bg-BG"/>
              </w:rPr>
              <w:t>Точка 5</w:t>
            </w:r>
            <w:r w:rsidRPr="009072DA">
              <w:rPr>
                <w:color w:val="000000"/>
                <w:sz w:val="18"/>
                <w:vertAlign w:val="superscript"/>
                <w:lang w:val="bg-BG"/>
              </w:rPr>
              <w:footnoteReference w:id="38"/>
            </w:r>
          </w:p>
        </w:tc>
        <w:tc>
          <w:tcPr>
            <w:tcW w:w="329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Шум и вибрации в жилищните помещения</w:t>
            </w:r>
          </w:p>
        </w:tc>
        <w:tc>
          <w:tcPr>
            <w:tcW w:w="6521" w:type="dxa"/>
            <w:shd w:val="clear" w:color="auto" w:fill="auto"/>
          </w:tcPr>
          <w:p w:rsidR="00E67DA4" w:rsidRPr="009072DA" w:rsidRDefault="00AD3E75" w:rsidP="00C01A94">
            <w:pPr>
              <w:spacing w:before="60" w:after="60" w:line="240" w:lineRule="atLeast"/>
              <w:rPr>
                <w:rFonts w:cs="Arial"/>
                <w:sz w:val="18"/>
                <w:szCs w:val="18"/>
                <w:lang w:val="bg-BG"/>
              </w:rPr>
            </w:pPr>
            <w:r w:rsidRPr="009072DA">
              <w:rPr>
                <w:sz w:val="18"/>
                <w:lang w:val="bg-BG"/>
              </w:rPr>
              <w:t>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1.1.2020 г.</w:t>
            </w:r>
          </w:p>
        </w:tc>
      </w:tr>
      <w:tr w:rsidR="00E67DA4" w:rsidRPr="009072DA" w:rsidTr="00E67DA4">
        <w:trPr>
          <w:cantSplit/>
          <w:jc w:val="center"/>
        </w:trPr>
        <w:tc>
          <w:tcPr>
            <w:tcW w:w="6096" w:type="dxa"/>
            <w:gridSpan w:val="3"/>
            <w:shd w:val="clear" w:color="auto" w:fill="auto"/>
          </w:tcPr>
          <w:p w:rsidR="00E67DA4" w:rsidRPr="009072DA" w:rsidRDefault="00E67DA4" w:rsidP="00C01A94">
            <w:pPr>
              <w:spacing w:before="60" w:after="60" w:line="240" w:lineRule="atLeast"/>
              <w:jc w:val="center"/>
              <w:rPr>
                <w:rFonts w:cs="Arial"/>
                <w:sz w:val="18"/>
                <w:szCs w:val="18"/>
                <w:lang w:val="bg-BG"/>
              </w:rPr>
            </w:pPr>
            <w:r w:rsidRPr="009072DA">
              <w:rPr>
                <w:b/>
                <w:sz w:val="18"/>
                <w:lang w:val="bg-BG"/>
              </w:rPr>
              <w:t>ГЛАВА 19</w:t>
            </w:r>
          </w:p>
        </w:tc>
        <w:tc>
          <w:tcPr>
            <w:tcW w:w="6521" w:type="dxa"/>
            <w:shd w:val="clear" w:color="auto" w:fill="auto"/>
          </w:tcPr>
          <w:p w:rsidR="00E67DA4" w:rsidRPr="009072DA" w:rsidRDefault="00E67DA4" w:rsidP="00C01A94">
            <w:pPr>
              <w:spacing w:before="60" w:after="60" w:line="240" w:lineRule="atLeast"/>
              <w:rPr>
                <w:rFonts w:cs="Arial"/>
                <w:sz w:val="18"/>
                <w:szCs w:val="18"/>
                <w:lang w:val="bg-BG"/>
              </w:rPr>
            </w:pPr>
          </w:p>
        </w:tc>
        <w:tc>
          <w:tcPr>
            <w:tcW w:w="1276" w:type="dxa"/>
            <w:shd w:val="clear" w:color="auto" w:fill="auto"/>
          </w:tcPr>
          <w:p w:rsidR="00E67DA4" w:rsidRPr="009072DA" w:rsidRDefault="00E67DA4" w:rsidP="00C01A94">
            <w:pPr>
              <w:spacing w:before="60" w:after="60" w:line="240" w:lineRule="atLeast"/>
              <w:rPr>
                <w:rFonts w:cs="Arial"/>
                <w:sz w:val="18"/>
                <w:szCs w:val="18"/>
                <w:lang w:val="bg-BG"/>
              </w:rPr>
            </w:pPr>
          </w:p>
        </w:tc>
      </w:tr>
      <w:tr w:rsidR="00A26CDA" w:rsidRPr="009072DA" w:rsidTr="00E67DA4">
        <w:trPr>
          <w:cantSplit/>
          <w:jc w:val="center"/>
        </w:trPr>
        <w:tc>
          <w:tcPr>
            <w:tcW w:w="1342" w:type="dxa"/>
            <w:vMerge w:val="restart"/>
            <w:shd w:val="clear" w:color="auto" w:fill="auto"/>
          </w:tcPr>
          <w:p w:rsidR="00A26CDA" w:rsidRPr="009072DA" w:rsidRDefault="00A26CDA" w:rsidP="00C01A94">
            <w:pPr>
              <w:spacing w:before="60" w:after="60" w:line="240" w:lineRule="atLeast"/>
              <w:rPr>
                <w:rFonts w:cs="Arial"/>
                <w:sz w:val="18"/>
                <w:szCs w:val="18"/>
                <w:lang w:val="bg-BG"/>
              </w:rPr>
            </w:pPr>
            <w:r w:rsidRPr="009072DA">
              <w:rPr>
                <w:sz w:val="18"/>
                <w:lang w:val="bg-BG"/>
              </w:rPr>
              <w:t>19.02</w:t>
            </w:r>
          </w:p>
        </w:tc>
        <w:tc>
          <w:tcPr>
            <w:tcW w:w="1458" w:type="dxa"/>
            <w:shd w:val="clear" w:color="auto" w:fill="auto"/>
          </w:tcPr>
          <w:p w:rsidR="00A26CDA" w:rsidRPr="009072DA" w:rsidRDefault="00A26CDA" w:rsidP="00C01A94">
            <w:pPr>
              <w:spacing w:before="60" w:after="60" w:line="240" w:lineRule="atLeast"/>
              <w:rPr>
                <w:rFonts w:cs="Arial"/>
                <w:sz w:val="18"/>
                <w:szCs w:val="18"/>
                <w:lang w:val="bg-BG"/>
              </w:rPr>
            </w:pPr>
            <w:r w:rsidRPr="009072DA">
              <w:rPr>
                <w:sz w:val="18"/>
                <w:lang w:val="bg-BG"/>
              </w:rPr>
              <w:t>Точка 3</w:t>
            </w:r>
          </w:p>
        </w:tc>
        <w:tc>
          <w:tcPr>
            <w:tcW w:w="3296" w:type="dxa"/>
            <w:shd w:val="clear" w:color="auto" w:fill="auto"/>
          </w:tcPr>
          <w:p w:rsidR="00A26CDA" w:rsidRPr="009072DA" w:rsidRDefault="00A26CDA" w:rsidP="00C01A94">
            <w:pPr>
              <w:spacing w:before="60" w:after="60" w:line="240" w:lineRule="atLeast"/>
              <w:rPr>
                <w:rFonts w:cs="Arial"/>
                <w:sz w:val="18"/>
                <w:szCs w:val="18"/>
                <w:lang w:val="bg-BG"/>
              </w:rPr>
            </w:pPr>
            <w:r w:rsidRPr="009072DA">
              <w:rPr>
                <w:sz w:val="18"/>
                <w:lang w:val="bg-BG"/>
              </w:rPr>
              <w:t>Положение на първата носова непроницаема преграда и на ахтерпиковата преграда</w:t>
            </w:r>
          </w:p>
        </w:tc>
        <w:tc>
          <w:tcPr>
            <w:tcW w:w="6521" w:type="dxa"/>
            <w:shd w:val="clear" w:color="auto" w:fill="auto"/>
          </w:tcPr>
          <w:p w:rsidR="00A26CDA" w:rsidRPr="009072DA" w:rsidRDefault="00AD3E75" w:rsidP="00C01A94">
            <w:pPr>
              <w:spacing w:before="60" w:after="60" w:line="240" w:lineRule="atLeast"/>
              <w:rPr>
                <w:rFonts w:cs="Arial"/>
                <w:sz w:val="18"/>
                <w:szCs w:val="18"/>
                <w:lang w:val="bg-BG"/>
              </w:rPr>
            </w:pPr>
            <w:r w:rsidRPr="009072DA">
              <w:rPr>
                <w:sz w:val="18"/>
                <w:lang w:val="bg-BG"/>
              </w:rPr>
              <w:t>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A26CDA" w:rsidRPr="009072DA" w:rsidRDefault="00A26CDA" w:rsidP="00C01A94">
            <w:pPr>
              <w:spacing w:before="60" w:after="60" w:line="240" w:lineRule="atLeast"/>
              <w:rPr>
                <w:rFonts w:cs="Arial"/>
                <w:sz w:val="18"/>
                <w:szCs w:val="18"/>
                <w:lang w:val="bg-BG"/>
              </w:rPr>
            </w:pPr>
            <w:r w:rsidRPr="009072DA">
              <w:rPr>
                <w:sz w:val="18"/>
                <w:lang w:val="bg-BG"/>
              </w:rPr>
              <w:t>1.1.2045 г.</w:t>
            </w:r>
          </w:p>
        </w:tc>
      </w:tr>
      <w:tr w:rsidR="00A26CDA" w:rsidRPr="009072DA" w:rsidTr="00E67DA4">
        <w:trPr>
          <w:cantSplit/>
          <w:jc w:val="center"/>
        </w:trPr>
        <w:tc>
          <w:tcPr>
            <w:tcW w:w="1342" w:type="dxa"/>
            <w:vMerge/>
            <w:shd w:val="clear" w:color="auto" w:fill="auto"/>
          </w:tcPr>
          <w:p w:rsidR="00A26CDA" w:rsidRPr="009072DA" w:rsidRDefault="00A26CDA" w:rsidP="00C01A94">
            <w:pPr>
              <w:spacing w:before="60" w:after="60" w:line="240" w:lineRule="atLeast"/>
              <w:rPr>
                <w:rFonts w:cs="Arial"/>
                <w:sz w:val="18"/>
                <w:szCs w:val="18"/>
                <w:lang w:val="bg-BG"/>
              </w:rPr>
            </w:pPr>
          </w:p>
        </w:tc>
        <w:tc>
          <w:tcPr>
            <w:tcW w:w="1458" w:type="dxa"/>
            <w:shd w:val="clear" w:color="auto" w:fill="auto"/>
          </w:tcPr>
          <w:p w:rsidR="00A26CDA" w:rsidRPr="009072DA" w:rsidRDefault="00A26CDA" w:rsidP="00C01A94">
            <w:pPr>
              <w:spacing w:before="60" w:after="60" w:line="240" w:lineRule="atLeast"/>
              <w:rPr>
                <w:rFonts w:cs="Arial"/>
                <w:sz w:val="18"/>
                <w:szCs w:val="18"/>
                <w:lang w:val="bg-BG"/>
              </w:rPr>
            </w:pPr>
            <w:r w:rsidRPr="009072DA">
              <w:rPr>
                <w:sz w:val="18"/>
                <w:lang w:val="bg-BG"/>
              </w:rPr>
              <w:t>Точка 5, точка 6, 1-во изречение, точки 7 — 11, и точка 13</w:t>
            </w:r>
          </w:p>
        </w:tc>
        <w:tc>
          <w:tcPr>
            <w:tcW w:w="3296" w:type="dxa"/>
            <w:shd w:val="clear" w:color="auto" w:fill="auto"/>
          </w:tcPr>
          <w:p w:rsidR="00A26CDA" w:rsidRPr="009072DA" w:rsidRDefault="00A26CDA" w:rsidP="00C01A94">
            <w:pPr>
              <w:spacing w:before="60" w:after="60" w:line="240" w:lineRule="atLeast"/>
              <w:rPr>
                <w:rFonts w:cs="Arial"/>
                <w:sz w:val="18"/>
                <w:szCs w:val="18"/>
                <w:lang w:val="bg-BG"/>
              </w:rPr>
            </w:pPr>
            <w:r w:rsidRPr="009072DA">
              <w:rPr>
                <w:sz w:val="18"/>
                <w:lang w:val="bg-BG"/>
              </w:rPr>
              <w:t>Пределна линия при липса на палуба на преградите</w:t>
            </w:r>
          </w:p>
        </w:tc>
        <w:tc>
          <w:tcPr>
            <w:tcW w:w="6521" w:type="dxa"/>
            <w:shd w:val="clear" w:color="auto" w:fill="auto"/>
          </w:tcPr>
          <w:p w:rsidR="00A26CDA" w:rsidRPr="009072DA" w:rsidRDefault="00AD3E75" w:rsidP="00C01A94">
            <w:pPr>
              <w:spacing w:before="60" w:after="60" w:line="240" w:lineRule="atLeast"/>
              <w:rPr>
                <w:rFonts w:cs="Arial"/>
                <w:sz w:val="18"/>
                <w:szCs w:val="18"/>
                <w:lang w:val="bg-BG"/>
              </w:rPr>
            </w:pPr>
            <w:r w:rsidRPr="009072DA">
              <w:rPr>
                <w:sz w:val="18"/>
                <w:lang w:val="bg-BG"/>
              </w:rPr>
              <w:t>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A26CDA" w:rsidRPr="009072DA" w:rsidRDefault="00A26CDA" w:rsidP="00C01A94">
            <w:pPr>
              <w:spacing w:before="60" w:after="60" w:line="240" w:lineRule="atLeast"/>
              <w:rPr>
                <w:rFonts w:cs="Arial"/>
                <w:sz w:val="18"/>
                <w:szCs w:val="18"/>
                <w:lang w:val="bg-BG"/>
              </w:rPr>
            </w:pPr>
            <w:r w:rsidRPr="009072DA">
              <w:rPr>
                <w:sz w:val="18"/>
                <w:lang w:val="bg-BG"/>
              </w:rPr>
              <w:t>1.1.2045 г.</w:t>
            </w:r>
          </w:p>
        </w:tc>
      </w:tr>
      <w:tr w:rsidR="00A26CDA" w:rsidRPr="009072DA" w:rsidTr="00E67DA4">
        <w:trPr>
          <w:cantSplit/>
          <w:jc w:val="center"/>
        </w:trPr>
        <w:tc>
          <w:tcPr>
            <w:tcW w:w="1342" w:type="dxa"/>
            <w:vMerge/>
            <w:shd w:val="clear" w:color="auto" w:fill="auto"/>
          </w:tcPr>
          <w:p w:rsidR="00A26CDA" w:rsidRPr="009072DA" w:rsidRDefault="00A26CDA" w:rsidP="00C01A94">
            <w:pPr>
              <w:spacing w:before="60" w:after="60" w:line="240" w:lineRule="atLeast"/>
              <w:rPr>
                <w:rFonts w:cs="Arial"/>
                <w:sz w:val="18"/>
                <w:szCs w:val="18"/>
                <w:lang w:val="bg-BG"/>
              </w:rPr>
            </w:pPr>
          </w:p>
        </w:tc>
        <w:tc>
          <w:tcPr>
            <w:tcW w:w="1458" w:type="dxa"/>
            <w:shd w:val="clear" w:color="auto" w:fill="auto"/>
          </w:tcPr>
          <w:p w:rsidR="00A26CDA" w:rsidRPr="009072DA" w:rsidRDefault="00A26CDA" w:rsidP="00C01A94">
            <w:pPr>
              <w:spacing w:before="60" w:after="60" w:line="240" w:lineRule="atLeast"/>
              <w:rPr>
                <w:rFonts w:cs="Arial"/>
                <w:sz w:val="18"/>
                <w:szCs w:val="18"/>
                <w:lang w:val="bg-BG"/>
              </w:rPr>
            </w:pPr>
            <w:r w:rsidRPr="009072DA">
              <w:rPr>
                <w:sz w:val="18"/>
                <w:lang w:val="bg-BG"/>
              </w:rPr>
              <w:t>Точка 16</w:t>
            </w:r>
          </w:p>
        </w:tc>
        <w:tc>
          <w:tcPr>
            <w:tcW w:w="3296" w:type="dxa"/>
            <w:shd w:val="clear" w:color="auto" w:fill="auto"/>
          </w:tcPr>
          <w:p w:rsidR="00A26CDA" w:rsidRPr="009072DA" w:rsidRDefault="00A26CDA" w:rsidP="00C01A94">
            <w:pPr>
              <w:spacing w:before="60" w:after="60" w:line="240" w:lineRule="atLeast"/>
              <w:rPr>
                <w:rFonts w:cs="Arial"/>
                <w:sz w:val="18"/>
                <w:szCs w:val="18"/>
                <w:lang w:val="bg-BG"/>
              </w:rPr>
            </w:pPr>
            <w:r w:rsidRPr="009072DA">
              <w:rPr>
                <w:sz w:val="18"/>
                <w:lang w:val="bg-BG"/>
              </w:rPr>
              <w:t>Водонепроницаеми прозорци</w:t>
            </w:r>
          </w:p>
        </w:tc>
        <w:tc>
          <w:tcPr>
            <w:tcW w:w="6521" w:type="dxa"/>
            <w:shd w:val="clear" w:color="auto" w:fill="auto"/>
          </w:tcPr>
          <w:p w:rsidR="00A26CDA" w:rsidRPr="009072DA" w:rsidRDefault="00AD3E75" w:rsidP="00C01A94">
            <w:pPr>
              <w:spacing w:before="60" w:after="60" w:line="240" w:lineRule="atLeast"/>
              <w:rPr>
                <w:rFonts w:cs="Arial"/>
                <w:sz w:val="18"/>
                <w:szCs w:val="18"/>
                <w:lang w:val="bg-BG"/>
              </w:rPr>
            </w:pPr>
            <w:r w:rsidRPr="009072DA">
              <w:rPr>
                <w:sz w:val="18"/>
                <w:lang w:val="bg-BG"/>
              </w:rPr>
              <w:t>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A26CDA" w:rsidRPr="009072DA" w:rsidRDefault="00A26CDA" w:rsidP="00C01A94">
            <w:pPr>
              <w:spacing w:before="60" w:after="60" w:line="240" w:lineRule="atLeast"/>
              <w:rPr>
                <w:rFonts w:cs="Arial"/>
                <w:sz w:val="18"/>
                <w:szCs w:val="18"/>
                <w:lang w:val="bg-BG"/>
              </w:rPr>
            </w:pPr>
            <w:r w:rsidRPr="009072DA">
              <w:rPr>
                <w:sz w:val="18"/>
                <w:lang w:val="bg-BG"/>
              </w:rPr>
              <w:t>1.1.2045 г.</w:t>
            </w:r>
          </w:p>
        </w:tc>
      </w:tr>
      <w:tr w:rsidR="00E67DA4" w:rsidRPr="009072DA" w:rsidTr="00E67DA4">
        <w:trPr>
          <w:cantSplit/>
          <w:jc w:val="center"/>
        </w:trPr>
        <w:tc>
          <w:tcPr>
            <w:tcW w:w="1342"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19.04</w:t>
            </w:r>
          </w:p>
        </w:tc>
        <w:tc>
          <w:tcPr>
            <w:tcW w:w="1458" w:type="dxa"/>
            <w:shd w:val="clear" w:color="auto" w:fill="auto"/>
          </w:tcPr>
          <w:p w:rsidR="00E67DA4" w:rsidRPr="009072DA" w:rsidRDefault="00E67DA4" w:rsidP="00C01A94">
            <w:pPr>
              <w:spacing w:before="60" w:after="60" w:line="240" w:lineRule="atLeast"/>
              <w:rPr>
                <w:rFonts w:cs="Arial"/>
                <w:sz w:val="18"/>
                <w:szCs w:val="18"/>
                <w:lang w:val="bg-BG"/>
              </w:rPr>
            </w:pPr>
          </w:p>
        </w:tc>
        <w:tc>
          <w:tcPr>
            <w:tcW w:w="329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Измервания на разстоянието на безопасност, надводния борд и потапянето</w:t>
            </w:r>
          </w:p>
        </w:tc>
        <w:tc>
          <w:tcPr>
            <w:tcW w:w="6521" w:type="dxa"/>
            <w:shd w:val="clear" w:color="auto" w:fill="auto"/>
          </w:tcPr>
          <w:p w:rsidR="00E67DA4" w:rsidRPr="009072DA" w:rsidRDefault="00AD3E75" w:rsidP="00C01A94">
            <w:pPr>
              <w:spacing w:before="60" w:after="60" w:line="240" w:lineRule="atLeast"/>
              <w:rPr>
                <w:rFonts w:cs="Arial"/>
                <w:sz w:val="18"/>
                <w:szCs w:val="18"/>
                <w:lang w:val="bg-BG"/>
              </w:rPr>
            </w:pPr>
            <w:r w:rsidRPr="009072DA">
              <w:rPr>
                <w:sz w:val="18"/>
                <w:lang w:val="bg-BG"/>
              </w:rPr>
              <w:t>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1.1.2045 г.</w:t>
            </w:r>
          </w:p>
        </w:tc>
      </w:tr>
      <w:tr w:rsidR="00E67DA4" w:rsidRPr="009072DA" w:rsidTr="00E67DA4">
        <w:trPr>
          <w:cantSplit/>
          <w:jc w:val="center"/>
        </w:trPr>
        <w:tc>
          <w:tcPr>
            <w:tcW w:w="1342"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19.05</w:t>
            </w:r>
          </w:p>
        </w:tc>
        <w:tc>
          <w:tcPr>
            <w:tcW w:w="1458" w:type="dxa"/>
            <w:shd w:val="clear" w:color="auto" w:fill="auto"/>
          </w:tcPr>
          <w:p w:rsidR="00E67DA4" w:rsidRPr="009072DA" w:rsidRDefault="00E67DA4" w:rsidP="00C01A94">
            <w:pPr>
              <w:spacing w:before="60" w:after="60" w:line="240" w:lineRule="atLeast"/>
              <w:rPr>
                <w:rFonts w:cs="Arial"/>
                <w:sz w:val="18"/>
                <w:szCs w:val="18"/>
                <w:lang w:val="bg-BG"/>
              </w:rPr>
            </w:pPr>
          </w:p>
        </w:tc>
        <w:tc>
          <w:tcPr>
            <w:tcW w:w="3296" w:type="dxa"/>
            <w:shd w:val="clear" w:color="auto" w:fill="auto"/>
          </w:tcPr>
          <w:p w:rsidR="00E67DA4" w:rsidRPr="009072DA" w:rsidRDefault="00E67DA4" w:rsidP="00C01A94">
            <w:pPr>
              <w:tabs>
                <w:tab w:val="left" w:pos="1080"/>
              </w:tabs>
              <w:spacing w:before="60" w:after="60" w:line="240" w:lineRule="atLeast"/>
              <w:rPr>
                <w:rFonts w:cs="Arial"/>
                <w:sz w:val="18"/>
                <w:szCs w:val="18"/>
                <w:lang w:val="bg-BG"/>
              </w:rPr>
            </w:pPr>
            <w:r w:rsidRPr="009072DA">
              <w:rPr>
                <w:sz w:val="18"/>
                <w:lang w:val="bg-BG"/>
              </w:rPr>
              <w:t>Брой на пътниците</w:t>
            </w:r>
          </w:p>
        </w:tc>
        <w:tc>
          <w:tcPr>
            <w:tcW w:w="6521"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1.1.2045 г.</w:t>
            </w:r>
          </w:p>
        </w:tc>
      </w:tr>
      <w:tr w:rsidR="00E67DA4" w:rsidRPr="009072DA" w:rsidTr="00E67DA4">
        <w:trPr>
          <w:cantSplit/>
          <w:jc w:val="center"/>
        </w:trPr>
        <w:tc>
          <w:tcPr>
            <w:tcW w:w="1342"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19.10</w:t>
            </w:r>
          </w:p>
        </w:tc>
        <w:tc>
          <w:tcPr>
            <w:tcW w:w="1458"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Точки 4, 6, 7, 8 и 11</w:t>
            </w:r>
          </w:p>
        </w:tc>
        <w:tc>
          <w:tcPr>
            <w:tcW w:w="3296" w:type="dxa"/>
            <w:shd w:val="clear" w:color="auto" w:fill="auto"/>
          </w:tcPr>
          <w:p w:rsidR="00E67DA4" w:rsidRPr="009072DA" w:rsidRDefault="00E67DA4" w:rsidP="00C01A94">
            <w:pPr>
              <w:tabs>
                <w:tab w:val="left" w:pos="1080"/>
              </w:tabs>
              <w:spacing w:before="60" w:after="60" w:line="240" w:lineRule="atLeast"/>
              <w:rPr>
                <w:rFonts w:cs="Arial"/>
                <w:sz w:val="18"/>
                <w:szCs w:val="18"/>
                <w:lang w:val="bg-BG"/>
              </w:rPr>
            </w:pPr>
            <w:r w:rsidRPr="009072DA">
              <w:rPr>
                <w:sz w:val="18"/>
                <w:lang w:val="bg-BG"/>
              </w:rPr>
              <w:t>Авариен захранващ агрегат</w:t>
            </w:r>
          </w:p>
        </w:tc>
        <w:tc>
          <w:tcPr>
            <w:tcW w:w="6521" w:type="dxa"/>
            <w:shd w:val="clear" w:color="auto" w:fill="auto"/>
          </w:tcPr>
          <w:p w:rsidR="00E67DA4" w:rsidRPr="009072DA" w:rsidRDefault="00AD3E75" w:rsidP="00C01A94">
            <w:pPr>
              <w:spacing w:before="60" w:after="60" w:line="240" w:lineRule="atLeast"/>
              <w:rPr>
                <w:rFonts w:cs="Arial"/>
                <w:sz w:val="18"/>
                <w:szCs w:val="18"/>
                <w:lang w:val="bg-BG"/>
              </w:rPr>
            </w:pPr>
            <w:r w:rsidRPr="009072DA">
              <w:rPr>
                <w:sz w:val="18"/>
                <w:lang w:val="bg-BG"/>
              </w:rPr>
              <w:t>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1.1.2045 г.</w:t>
            </w:r>
          </w:p>
        </w:tc>
      </w:tr>
    </w:tbl>
    <w:p w:rsidR="001E2331" w:rsidRPr="009072DA" w:rsidRDefault="001E2331" w:rsidP="001E2331">
      <w:pPr>
        <w:spacing w:line="240" w:lineRule="atLeast"/>
        <w:ind w:left="567" w:hanging="567"/>
        <w:rPr>
          <w:lang w:val="bg-BG"/>
        </w:rPr>
      </w:pPr>
    </w:p>
    <w:p w:rsidR="00C01A94" w:rsidRPr="009072DA" w:rsidRDefault="00C01A94">
      <w:pPr>
        <w:rPr>
          <w:lang w:val="bg-BG"/>
        </w:rPr>
      </w:pPr>
      <w:r w:rsidRPr="009072DA">
        <w:rPr>
          <w:lang w:val="bg-BG"/>
        </w:rPr>
        <w:br w:type="page"/>
      </w:r>
    </w:p>
    <w:p w:rsidR="00C01A94" w:rsidRPr="009072DA" w:rsidRDefault="00C01A94" w:rsidP="001E2331">
      <w:pPr>
        <w:spacing w:line="240" w:lineRule="atLeast"/>
        <w:ind w:left="567" w:hanging="567"/>
        <w:rPr>
          <w:lang w:val="bg-BG"/>
        </w:rPr>
      </w:pPr>
    </w:p>
    <w:p w:rsidR="001E2331" w:rsidRPr="009072DA" w:rsidRDefault="00C903F8" w:rsidP="001E2331">
      <w:pPr>
        <w:spacing w:line="240" w:lineRule="atLeast"/>
        <w:ind w:left="567" w:hanging="567"/>
        <w:rPr>
          <w:lang w:val="bg-BG"/>
        </w:rPr>
      </w:pPr>
      <w:r w:rsidRPr="009072DA">
        <w:rPr>
          <w:lang w:val="bg-BG"/>
        </w:rPr>
        <w:t>3.</w:t>
      </w:r>
      <w:r w:rsidRPr="009072DA">
        <w:rPr>
          <w:lang w:val="bg-BG"/>
        </w:rPr>
        <w:tab/>
        <w:t>Член 19.11, точка 3, първо изречение и точка 6 се прилагат за плавателни съдове за дневно пътуване, построени на или преди 1 април 1976 г., до първото подновяване на удостоверението на плавателния съд за плаване по вътрешни водни пътища след 1.1.2045 г., при условие че само боите, лаковете, покритията и други материали, използвани върху повърхности по маршрутите за евакуация и други материали за повърхностна обработка на панели трябва да бъдат огнеустойчиви и че дим или отровни изпарения не се образуват в опасни количества.</w:t>
      </w:r>
    </w:p>
    <w:p w:rsidR="001E2331" w:rsidRPr="009072DA" w:rsidRDefault="001E2331" w:rsidP="001E2331">
      <w:pPr>
        <w:spacing w:line="240" w:lineRule="atLeast"/>
        <w:ind w:left="567" w:hanging="567"/>
        <w:rPr>
          <w:lang w:val="bg-BG"/>
        </w:rPr>
      </w:pPr>
    </w:p>
    <w:p w:rsidR="001E2331" w:rsidRPr="009072DA" w:rsidRDefault="00C903F8" w:rsidP="001E2331">
      <w:pPr>
        <w:spacing w:line="240" w:lineRule="atLeast"/>
        <w:ind w:left="567" w:hanging="567"/>
        <w:rPr>
          <w:lang w:val="bg-BG"/>
        </w:rPr>
      </w:pPr>
      <w:r w:rsidRPr="009072DA">
        <w:rPr>
          <w:lang w:val="bg-BG"/>
        </w:rPr>
        <w:t>4.</w:t>
      </w:r>
      <w:r w:rsidRPr="009072DA">
        <w:rPr>
          <w:lang w:val="bg-BG"/>
        </w:rPr>
        <w:tab/>
        <w:t>Член 19.11, точка 12 се прилага за плавателни съдове за дневно пътуване, построени на или преди 1 април 1976 г., до подновяване на удостоверението на плавателния съд за плаване по вътрешни водни пътища след 1.1.2045 г., при условие, че е достатъчно, ако вместо стълбища във формата на носеща стоманена конструкция, стълбищата, служещи като маршрут за евакуация, са конструирани по такъв начин, че те остават използваеми при пожар за същото време като стълбите във формата на носеща стоманена конструкция.</w:t>
      </w:r>
    </w:p>
    <w:p w:rsidR="001E2331" w:rsidRPr="009072DA" w:rsidRDefault="001E2331" w:rsidP="001E2331">
      <w:pPr>
        <w:spacing w:line="240" w:lineRule="atLeast"/>
        <w:ind w:left="567" w:hanging="567"/>
        <w:rPr>
          <w:lang w:val="bg-BG"/>
        </w:rPr>
      </w:pPr>
    </w:p>
    <w:p w:rsidR="001E2331" w:rsidRPr="009072DA" w:rsidRDefault="001E2331" w:rsidP="001E2331">
      <w:pPr>
        <w:spacing w:line="240" w:lineRule="atLeast"/>
        <w:ind w:left="567" w:hanging="567"/>
        <w:rPr>
          <w:lang w:val="bg-BG"/>
        </w:rPr>
      </w:pPr>
    </w:p>
    <w:p w:rsidR="00A90F88" w:rsidRPr="009072DA" w:rsidRDefault="001E2331" w:rsidP="00B769C2">
      <w:pPr>
        <w:pStyle w:val="ES-Titre3"/>
        <w:rPr>
          <w:lang w:val="bg-BG"/>
        </w:rPr>
      </w:pPr>
      <w:bookmarkStart w:id="566" w:name="_Toc491854279"/>
      <w:bookmarkStart w:id="567" w:name="_Toc535827720"/>
      <w:r w:rsidRPr="009072DA">
        <w:rPr>
          <w:lang w:val="bg-BG"/>
        </w:rPr>
        <w:t>Член 32.04</w:t>
      </w:r>
      <w:bookmarkEnd w:id="566"/>
      <w:bookmarkEnd w:id="567"/>
    </w:p>
    <w:p w:rsidR="001E2331" w:rsidRPr="009072DA" w:rsidRDefault="00C903F8" w:rsidP="00A90F88">
      <w:pPr>
        <w:pStyle w:val="ES-Titre3a"/>
        <w:rPr>
          <w:lang w:val="bg-BG"/>
        </w:rPr>
      </w:pPr>
      <w:bookmarkStart w:id="568" w:name="_Toc421775889"/>
      <w:bookmarkStart w:id="569" w:name="_Toc491854280"/>
      <w:bookmarkStart w:id="570" w:name="_Toc535827721"/>
      <w:r w:rsidRPr="009072DA">
        <w:rPr>
          <w:lang w:val="bg-BG"/>
        </w:rPr>
        <w:t xml:space="preserve">Други </w:t>
      </w:r>
      <w:bookmarkEnd w:id="568"/>
      <w:r w:rsidRPr="009072DA">
        <w:rPr>
          <w:lang w:val="bg-BG"/>
        </w:rPr>
        <w:t>преходни разпоредби</w:t>
      </w:r>
      <w:bookmarkEnd w:id="569"/>
      <w:bookmarkEnd w:id="570"/>
    </w:p>
    <w:p w:rsidR="001E2331" w:rsidRPr="009072DA" w:rsidRDefault="001E2331" w:rsidP="001E2331">
      <w:pPr>
        <w:spacing w:line="240" w:lineRule="atLeast"/>
        <w:ind w:left="567" w:hanging="567"/>
        <w:rPr>
          <w:lang w:val="bg-BG"/>
        </w:rPr>
      </w:pPr>
    </w:p>
    <w:p w:rsidR="00C903F8" w:rsidRPr="009072DA" w:rsidRDefault="00C903F8" w:rsidP="00C903F8">
      <w:pPr>
        <w:spacing w:line="240" w:lineRule="atLeast"/>
        <w:rPr>
          <w:lang w:val="bg-BG"/>
        </w:rPr>
      </w:pPr>
      <w:r w:rsidRPr="009072DA">
        <w:rPr>
          <w:lang w:val="bg-BG"/>
        </w:rPr>
        <w:t>1.</w:t>
      </w:r>
      <w:r w:rsidRPr="009072DA">
        <w:rPr>
          <w:lang w:val="bg-BG"/>
        </w:rPr>
        <w:tab/>
        <w:t>Разпоредбите на настоящия член се прилагат в допълнение към преходните разпоредби на членове 32.02 и 32.03.</w:t>
      </w:r>
    </w:p>
    <w:p w:rsidR="00C903F8" w:rsidRPr="009072DA" w:rsidRDefault="00C903F8" w:rsidP="00C903F8">
      <w:pPr>
        <w:spacing w:line="240" w:lineRule="atLeast"/>
        <w:ind w:left="567" w:hanging="567"/>
        <w:rPr>
          <w:lang w:val="bg-BG"/>
        </w:rPr>
      </w:pPr>
    </w:p>
    <w:p w:rsidR="00C903F8" w:rsidRPr="009072DA" w:rsidRDefault="00C903F8" w:rsidP="00C903F8">
      <w:pPr>
        <w:spacing w:line="240" w:lineRule="atLeast"/>
        <w:ind w:left="567" w:hanging="567"/>
        <w:rPr>
          <w:lang w:val="bg-BG"/>
        </w:rPr>
      </w:pPr>
      <w:r w:rsidRPr="009072DA">
        <w:rPr>
          <w:lang w:val="bg-BG"/>
        </w:rPr>
        <w:t>2.</w:t>
      </w:r>
      <w:r w:rsidRPr="009072DA">
        <w:rPr>
          <w:lang w:val="bg-BG"/>
        </w:rPr>
        <w:tab/>
        <w:t>За плавателни средства, чийто минимален надводен борд е определен съгласно член 4.04 от Правилата за инспекция на плавателните съдове по река Рейн, приложими към 31 март 1983 г., контролният орган има право по искане на собственика да определи надводния борд в съответствие с член 4.03 от Правилата за инспекция на плавателните съдове по река Рейн, приложими към 1 януари 1995 г.</w:t>
      </w:r>
    </w:p>
    <w:p w:rsidR="00C903F8" w:rsidRPr="009072DA" w:rsidRDefault="00C903F8" w:rsidP="00C903F8">
      <w:pPr>
        <w:spacing w:line="240" w:lineRule="atLeast"/>
        <w:ind w:left="567" w:hanging="567"/>
        <w:rPr>
          <w:lang w:val="bg-BG"/>
        </w:rPr>
      </w:pPr>
    </w:p>
    <w:p w:rsidR="00C903F8" w:rsidRPr="009072DA" w:rsidRDefault="00C903F8" w:rsidP="00C903F8">
      <w:pPr>
        <w:spacing w:line="240" w:lineRule="atLeast"/>
        <w:ind w:left="567" w:hanging="567"/>
        <w:rPr>
          <w:lang w:val="bg-BG"/>
        </w:rPr>
      </w:pPr>
      <w:r w:rsidRPr="009072DA">
        <w:rPr>
          <w:lang w:val="bg-BG"/>
        </w:rPr>
        <w:t>3.</w:t>
      </w:r>
      <w:r w:rsidRPr="009072DA">
        <w:rPr>
          <w:lang w:val="bg-BG"/>
        </w:rPr>
        <w:tab/>
        <w:t>Плавателни средства, построени преди 1 юли 1983 г., не трябва да съответстват на глава 10 от настоящия стандарт, но като минимум трябва да съответстват на глава 6 от Правилата за инспекция на плавателните съдове по река Рейн, приложими към 31 март 1983 г.</w:t>
      </w:r>
    </w:p>
    <w:p w:rsidR="00C903F8" w:rsidRPr="009072DA" w:rsidRDefault="00C903F8" w:rsidP="00C903F8">
      <w:pPr>
        <w:spacing w:line="240" w:lineRule="atLeast"/>
        <w:ind w:left="567" w:hanging="567"/>
        <w:rPr>
          <w:lang w:val="bg-BG"/>
        </w:rPr>
      </w:pPr>
    </w:p>
    <w:p w:rsidR="00C903F8" w:rsidRPr="009072DA" w:rsidRDefault="00C903F8" w:rsidP="00C903F8">
      <w:pPr>
        <w:spacing w:line="240" w:lineRule="atLeast"/>
        <w:ind w:left="567" w:hanging="567"/>
        <w:rPr>
          <w:lang w:val="bg-BG"/>
        </w:rPr>
      </w:pPr>
      <w:r w:rsidRPr="009072DA">
        <w:rPr>
          <w:lang w:val="bg-BG"/>
        </w:rPr>
        <w:t>4.</w:t>
      </w:r>
      <w:r w:rsidRPr="009072DA">
        <w:rPr>
          <w:lang w:val="bg-BG"/>
        </w:rPr>
        <w:tab/>
        <w:t xml:space="preserve">Член 19.06, точка 3, букви a) — д) и член 19.12, точка 3, буква а), що се отнася до правилото относно една единствена дължина на шланга, се прилагат само по отношение на пътническите плавателни съдове, построени </w:t>
      </w:r>
      <w:r w:rsidRPr="009072DA">
        <w:rPr>
          <w:color w:val="000000" w:themeColor="text1"/>
          <w:lang w:val="bg-BG"/>
        </w:rPr>
        <w:t xml:space="preserve">след 30 септември 1984 г. и за преустройването на съответните зони, най-късно когато </w:t>
      </w:r>
      <w:r w:rsidRPr="009072DA">
        <w:rPr>
          <w:lang w:val="bg-BG"/>
        </w:rPr>
        <w:t>удостоверението съгласно Правилата за инспекция на плавателните съдове по река Рейн  се подновява след 1 януари 2045 г.</w:t>
      </w:r>
    </w:p>
    <w:p w:rsidR="00C903F8" w:rsidRPr="009072DA" w:rsidRDefault="00C903F8" w:rsidP="00C903F8">
      <w:pPr>
        <w:spacing w:line="240" w:lineRule="atLeast"/>
        <w:ind w:left="567" w:hanging="567"/>
        <w:rPr>
          <w:lang w:val="bg-BG"/>
        </w:rPr>
      </w:pPr>
    </w:p>
    <w:p w:rsidR="000E732C" w:rsidRPr="009072DA" w:rsidRDefault="000E732C">
      <w:pPr>
        <w:rPr>
          <w:lang w:val="bg-BG"/>
        </w:rPr>
      </w:pPr>
      <w:r w:rsidRPr="009072DA">
        <w:rPr>
          <w:lang w:val="bg-BG"/>
        </w:rPr>
        <w:br w:type="page"/>
      </w:r>
    </w:p>
    <w:p w:rsidR="000E732C" w:rsidRPr="009072DA" w:rsidRDefault="00C903F8" w:rsidP="000E732C">
      <w:pPr>
        <w:spacing w:line="240" w:lineRule="atLeast"/>
        <w:ind w:left="567" w:hanging="567"/>
        <w:rPr>
          <w:lang w:val="bg-BG"/>
        </w:rPr>
      </w:pPr>
      <w:r w:rsidRPr="009072DA">
        <w:rPr>
          <w:lang w:val="bg-BG"/>
        </w:rPr>
        <w:lastRenderedPageBreak/>
        <w:t>5.</w:t>
      </w:r>
      <w:r w:rsidRPr="009072DA">
        <w:rPr>
          <w:lang w:val="bg-BG"/>
        </w:rPr>
        <w:tab/>
        <w:t>Когато тази разпоредба се позовава, по отношение изискванията за проектиране:</w:t>
      </w:r>
    </w:p>
    <w:p w:rsidR="000E732C" w:rsidRPr="009072DA" w:rsidRDefault="000E732C" w:rsidP="000E732C">
      <w:pPr>
        <w:spacing w:before="60" w:line="240" w:lineRule="atLeast"/>
        <w:ind w:left="993" w:hanging="426"/>
        <w:rPr>
          <w:rFonts w:eastAsia="Batang"/>
          <w:szCs w:val="20"/>
          <w:lang w:val="bg-BG"/>
        </w:rPr>
      </w:pPr>
      <w:r w:rsidRPr="009072DA">
        <w:rPr>
          <w:lang w:val="bg-BG"/>
        </w:rPr>
        <w:t>a)</w:t>
      </w:r>
      <w:r w:rsidRPr="009072DA">
        <w:rPr>
          <w:lang w:val="bg-BG"/>
        </w:rPr>
        <w:tab/>
        <w:t>свързани с отделни части на оборудването, на европейски или международен стандарт, това оборудване може, след всяко ново публикуване или преразглеждане на стандарта, да продължи да се използва за още 20 години след новото публикуване или преразглеждането на настоящия стандарт,</w:t>
      </w:r>
    </w:p>
    <w:p w:rsidR="000E732C" w:rsidRPr="009072DA" w:rsidRDefault="000E732C" w:rsidP="000E732C">
      <w:pPr>
        <w:adjustRightInd w:val="0"/>
        <w:spacing w:before="60" w:line="240" w:lineRule="atLeast"/>
        <w:ind w:left="993" w:hanging="426"/>
        <w:rPr>
          <w:rFonts w:eastAsia="Batang"/>
          <w:szCs w:val="20"/>
          <w:lang w:val="bg-BG"/>
        </w:rPr>
      </w:pPr>
      <w:r w:rsidRPr="009072DA">
        <w:rPr>
          <w:lang w:val="bg-BG"/>
        </w:rPr>
        <w:t>б)</w:t>
      </w:r>
      <w:r w:rsidRPr="009072DA">
        <w:rPr>
          <w:lang w:val="bg-BG"/>
        </w:rPr>
        <w:tab/>
        <w:t>свързани с неподвижно монтирани части на оборудването, на европейски или международен стандарт, частите на това оборудване могат да продължат да се използват, докато те не бъдат заместени или въпросните зони преустроени.</w:t>
      </w:r>
    </w:p>
    <w:p w:rsidR="00C903F8" w:rsidRPr="009072DA" w:rsidRDefault="00C903F8" w:rsidP="00C903F8">
      <w:pPr>
        <w:spacing w:line="240" w:lineRule="atLeast"/>
        <w:ind w:left="567" w:hanging="567"/>
        <w:rPr>
          <w:lang w:val="bg-BG"/>
        </w:rPr>
      </w:pPr>
    </w:p>
    <w:p w:rsidR="00C903F8" w:rsidRPr="009072DA" w:rsidRDefault="00C903F8" w:rsidP="00C903F8">
      <w:pPr>
        <w:spacing w:line="240" w:lineRule="atLeast"/>
        <w:ind w:left="567" w:hanging="567"/>
        <w:rPr>
          <w:lang w:val="bg-BG"/>
        </w:rPr>
      </w:pPr>
      <w:r w:rsidRPr="009072DA">
        <w:rPr>
          <w:lang w:val="bg-BG"/>
        </w:rPr>
        <w:t>6.</w:t>
      </w:r>
      <w:r w:rsidRPr="009072DA">
        <w:rPr>
          <w:lang w:val="bg-BG"/>
        </w:rPr>
        <w:tab/>
        <w:t xml:space="preserve">Високоскоростни плавателни съдове, които са имали валидно удостоверение съгласно Правилата за инспекция на плавателните съдове по река Рейн на 31 март 2003 г., трябва да отговарят на разпоредбите на член 29.01, точка 3, 29.02, 29.04, 29.05, 29.06, точка 2, 29.10, точки 2 и 3на 1 януари 2023 г. </w:t>
      </w:r>
    </w:p>
    <w:p w:rsidR="000D2654" w:rsidRPr="009072DA" w:rsidRDefault="000D2654">
      <w:pPr>
        <w:rPr>
          <w:lang w:val="bg-BG"/>
        </w:rPr>
      </w:pPr>
    </w:p>
    <w:p w:rsidR="000E732C" w:rsidRPr="009072DA" w:rsidRDefault="000E732C">
      <w:pPr>
        <w:rPr>
          <w:lang w:val="bg-BG"/>
        </w:rPr>
      </w:pPr>
    </w:p>
    <w:p w:rsidR="001E2331" w:rsidRPr="009072DA" w:rsidRDefault="001E2331" w:rsidP="00A455C7">
      <w:pPr>
        <w:pStyle w:val="ES-Titre3"/>
        <w:rPr>
          <w:lang w:val="bg-BG"/>
        </w:rPr>
      </w:pPr>
      <w:bookmarkStart w:id="571" w:name="_Toc491854281"/>
      <w:bookmarkStart w:id="572" w:name="_Toc535827722"/>
      <w:r w:rsidRPr="009072DA">
        <w:rPr>
          <w:lang w:val="bg-BG"/>
        </w:rPr>
        <w:t>Член 32.05</w:t>
      </w:r>
      <w:bookmarkEnd w:id="571"/>
      <w:bookmarkEnd w:id="572"/>
    </w:p>
    <w:p w:rsidR="001E2331" w:rsidRPr="009072DA" w:rsidRDefault="00C903F8" w:rsidP="00A455C7">
      <w:pPr>
        <w:pStyle w:val="ES-Titre3a"/>
        <w:rPr>
          <w:lang w:val="bg-BG"/>
        </w:rPr>
      </w:pPr>
      <w:bookmarkStart w:id="573" w:name="_Toc421775891"/>
      <w:bookmarkStart w:id="574" w:name="_Toc491854282"/>
      <w:bookmarkStart w:id="575" w:name="_Toc535827723"/>
      <w:r w:rsidRPr="009072DA">
        <w:rPr>
          <w:lang w:val="bg-BG"/>
        </w:rPr>
        <w:t>Преходни разпоредби за плавателни средства, които не са обхванати от член 32.01</w:t>
      </w:r>
      <w:bookmarkEnd w:id="573"/>
      <w:bookmarkEnd w:id="574"/>
      <w:bookmarkEnd w:id="575"/>
    </w:p>
    <w:p w:rsidR="001E2331" w:rsidRPr="009072DA" w:rsidRDefault="001E2331" w:rsidP="001E2331">
      <w:pPr>
        <w:spacing w:line="240" w:lineRule="atLeast"/>
        <w:ind w:left="567" w:hanging="567"/>
        <w:rPr>
          <w:lang w:val="bg-BG"/>
        </w:rPr>
      </w:pPr>
    </w:p>
    <w:p w:rsidR="00C903F8" w:rsidRPr="009072DA" w:rsidRDefault="00C903F8" w:rsidP="00C903F8">
      <w:pPr>
        <w:spacing w:line="240" w:lineRule="atLeast"/>
        <w:ind w:left="567" w:hanging="567"/>
        <w:rPr>
          <w:color w:val="000000" w:themeColor="text1"/>
          <w:lang w:val="bg-BG"/>
        </w:rPr>
      </w:pPr>
      <w:r w:rsidRPr="009072DA">
        <w:rPr>
          <w:color w:val="000000" w:themeColor="text1"/>
          <w:lang w:val="bg-BG"/>
        </w:rPr>
        <w:t>1.</w:t>
      </w:r>
      <w:r w:rsidRPr="009072DA">
        <w:rPr>
          <w:lang w:val="bg-BG"/>
        </w:rPr>
        <w:tab/>
      </w:r>
      <w:r w:rsidRPr="009072DA">
        <w:rPr>
          <w:color w:val="000000" w:themeColor="text1"/>
          <w:lang w:val="bg-BG"/>
        </w:rPr>
        <w:t>Прилагат се следните разпоредби:</w:t>
      </w:r>
    </w:p>
    <w:p w:rsidR="00C903F8" w:rsidRPr="009072DA" w:rsidRDefault="00C903F8" w:rsidP="00C903F8">
      <w:pPr>
        <w:spacing w:before="60" w:line="240" w:lineRule="atLeast"/>
        <w:ind w:left="992"/>
        <w:rPr>
          <w:lang w:val="bg-BG"/>
        </w:rPr>
      </w:pPr>
      <w:r w:rsidRPr="009072DA">
        <w:rPr>
          <w:lang w:val="bg-BG"/>
        </w:rPr>
        <w:t xml:space="preserve">a) </w:t>
      </w:r>
      <w:r w:rsidRPr="009072DA">
        <w:rPr>
          <w:lang w:val="bg-BG"/>
        </w:rPr>
        <w:tab/>
        <w:t>за плавателни средства, за които удостоверението съгласно Правилата за инспекция на плавателните съдове по река Рейн е било издадено за първи път от 1 януари 1995 г., при условие че те не са били в процес на строеж или преустройство на 31 декември 1994 г.,</w:t>
      </w:r>
    </w:p>
    <w:p w:rsidR="00C903F8" w:rsidRPr="009072DA" w:rsidRDefault="00C903F8" w:rsidP="00C903F8">
      <w:pPr>
        <w:spacing w:before="60" w:line="240" w:lineRule="atLeast"/>
        <w:ind w:left="992"/>
        <w:rPr>
          <w:lang w:val="bg-BG"/>
        </w:rPr>
      </w:pPr>
      <w:r w:rsidRPr="009072DA">
        <w:rPr>
          <w:lang w:val="bg-BG"/>
        </w:rPr>
        <w:t>б)</w:t>
      </w:r>
      <w:r w:rsidRPr="009072DA">
        <w:rPr>
          <w:lang w:val="bg-BG"/>
        </w:rPr>
        <w:tab/>
        <w:t>за плавателни средства, които са получили друг лиценз за движение между 1 януари 1995 г. и 30 декември 2008 г.,</w:t>
      </w:r>
    </w:p>
    <w:p w:rsidR="00C903F8" w:rsidRPr="009072DA" w:rsidRDefault="00C903F8" w:rsidP="00C903F8">
      <w:pPr>
        <w:spacing w:before="60" w:line="240" w:lineRule="atLeast"/>
        <w:ind w:left="992"/>
        <w:rPr>
          <w:lang w:val="bg-BG"/>
        </w:rPr>
      </w:pPr>
      <w:r w:rsidRPr="009072DA">
        <w:rPr>
          <w:lang w:val="bg-BG"/>
        </w:rPr>
        <w:t>в)</w:t>
      </w:r>
      <w:r w:rsidRPr="009072DA">
        <w:rPr>
          <w:lang w:val="bg-BG"/>
        </w:rPr>
        <w:tab/>
        <w:t>за плавателни средства, , за които валиднo за зона R удостоверение на Общността в съответствие с Директива 2006/87/ЕО, е било издадено за първи път между 30 декември 2008 г. и 6 октомври 2018 г.,</w:t>
      </w:r>
    </w:p>
    <w:p w:rsidR="00C903F8" w:rsidRPr="009072DA" w:rsidRDefault="00C903F8" w:rsidP="00C903F8">
      <w:pPr>
        <w:spacing w:before="60" w:line="240" w:lineRule="atLeast"/>
        <w:ind w:left="992"/>
        <w:rPr>
          <w:lang w:val="bg-BG"/>
        </w:rPr>
      </w:pPr>
      <w:r w:rsidRPr="009072DA">
        <w:rPr>
          <w:lang w:val="bg-BG"/>
        </w:rPr>
        <w:t>г)</w:t>
      </w:r>
      <w:r w:rsidRPr="009072DA">
        <w:rPr>
          <w:lang w:val="bg-BG"/>
        </w:rPr>
        <w:tab/>
        <w:t>за плавателни средства, за които валидно удостоверение на Съюза за зона R в съответствие с Директива (ЕС) 2016/1629 е било издадено за първи път от 7 октомври 2018 г.</w:t>
      </w:r>
    </w:p>
    <w:p w:rsidR="00C903F8" w:rsidRPr="009072DA" w:rsidRDefault="00C903F8" w:rsidP="00C903F8">
      <w:pPr>
        <w:spacing w:line="240" w:lineRule="atLeast"/>
        <w:ind w:left="567" w:hanging="567"/>
        <w:rPr>
          <w:lang w:val="bg-BG"/>
        </w:rPr>
      </w:pPr>
    </w:p>
    <w:p w:rsidR="00C903F8" w:rsidRPr="009072DA" w:rsidRDefault="00C903F8" w:rsidP="00C903F8">
      <w:pPr>
        <w:spacing w:line="240" w:lineRule="atLeast"/>
        <w:ind w:left="567" w:hanging="567"/>
        <w:rPr>
          <w:color w:val="000000" w:themeColor="text1"/>
          <w:lang w:val="bg-BG"/>
        </w:rPr>
      </w:pPr>
      <w:r w:rsidRPr="009072DA">
        <w:rPr>
          <w:color w:val="000000" w:themeColor="text1"/>
          <w:lang w:val="bg-BG"/>
        </w:rPr>
        <w:t>2.</w:t>
      </w:r>
      <w:r w:rsidRPr="009072DA">
        <w:rPr>
          <w:lang w:val="bg-BG"/>
        </w:rPr>
        <w:tab/>
      </w:r>
      <w:r w:rsidRPr="009072DA">
        <w:rPr>
          <w:color w:val="000000" w:themeColor="text1"/>
          <w:lang w:val="bg-BG"/>
        </w:rPr>
        <w:t xml:space="preserve">Трябва да се докаже, че тези плавателни средства са в съответствие: </w:t>
      </w:r>
    </w:p>
    <w:p w:rsidR="00C903F8" w:rsidRPr="009072DA" w:rsidRDefault="00C903F8" w:rsidP="00C903F8">
      <w:pPr>
        <w:spacing w:before="60" w:line="240" w:lineRule="atLeast"/>
        <w:ind w:left="992"/>
        <w:rPr>
          <w:lang w:val="bg-BG"/>
        </w:rPr>
      </w:pPr>
      <w:r w:rsidRPr="009072DA">
        <w:rPr>
          <w:lang w:val="bg-BG"/>
        </w:rPr>
        <w:t>a)</w:t>
      </w:r>
      <w:r w:rsidRPr="009072DA">
        <w:rPr>
          <w:lang w:val="bg-BG"/>
        </w:rPr>
        <w:tab/>
        <w:t>с Правилата за инспекция на плавателните съдове по река Рейн, както са били в сила на датата, на която са предоставени удостоверението съгласно Правилата за инспекция на плавателните съдове по река Рейн или другият лиценз за движение; или</w:t>
      </w:r>
    </w:p>
    <w:p w:rsidR="00C903F8" w:rsidRPr="009072DA" w:rsidRDefault="00C903F8" w:rsidP="00C903F8">
      <w:pPr>
        <w:spacing w:before="60" w:line="240" w:lineRule="atLeast"/>
        <w:ind w:left="992"/>
        <w:rPr>
          <w:lang w:val="bg-BG"/>
        </w:rPr>
      </w:pPr>
      <w:r w:rsidRPr="009072DA">
        <w:rPr>
          <w:lang w:val="bg-BG"/>
        </w:rPr>
        <w:t>б)</w:t>
      </w:r>
      <w:r w:rsidRPr="009072DA">
        <w:rPr>
          <w:lang w:val="bg-BG"/>
        </w:rPr>
        <w:tab/>
        <w:t>с разпоредбите на Директива 2006/87/ЕО, приложими за зона R, както е приложимо към датата, на която е било издадено удостоверението на Общността, или</w:t>
      </w:r>
    </w:p>
    <w:p w:rsidR="00C903F8" w:rsidRPr="009072DA" w:rsidRDefault="00C903F8" w:rsidP="00C903F8">
      <w:pPr>
        <w:spacing w:before="60" w:line="240" w:lineRule="atLeast"/>
        <w:ind w:left="992"/>
        <w:rPr>
          <w:lang w:val="bg-BG"/>
        </w:rPr>
      </w:pPr>
      <w:r w:rsidRPr="009072DA">
        <w:rPr>
          <w:lang w:val="bg-BG"/>
        </w:rPr>
        <w:t>в)</w:t>
      </w:r>
      <w:r w:rsidRPr="009072DA">
        <w:rPr>
          <w:lang w:val="bg-BG"/>
        </w:rPr>
        <w:tab/>
        <w:t>с разпоредбите на Директива (ЕС) 2016/1629, приложим за зона R, приложими към датата, на която е издадено тяхното удостоверение на Съюза.</w:t>
      </w:r>
    </w:p>
    <w:p w:rsidR="00C903F8" w:rsidRPr="009072DA" w:rsidRDefault="00C903F8" w:rsidP="00C903F8">
      <w:pPr>
        <w:spacing w:line="240" w:lineRule="atLeast"/>
        <w:ind w:left="567" w:hanging="567"/>
        <w:rPr>
          <w:lang w:val="bg-BG"/>
        </w:rPr>
      </w:pPr>
    </w:p>
    <w:p w:rsidR="00C903F8" w:rsidRPr="009072DA" w:rsidRDefault="00C903F8" w:rsidP="00C903F8">
      <w:pPr>
        <w:spacing w:line="240" w:lineRule="atLeast"/>
        <w:ind w:left="567" w:hanging="567"/>
        <w:rPr>
          <w:color w:val="000000" w:themeColor="text1"/>
          <w:lang w:val="bg-BG"/>
        </w:rPr>
      </w:pPr>
      <w:r w:rsidRPr="009072DA">
        <w:rPr>
          <w:color w:val="000000" w:themeColor="text1"/>
          <w:lang w:val="bg-BG"/>
        </w:rPr>
        <w:t xml:space="preserve">3. </w:t>
      </w:r>
      <w:r w:rsidRPr="009072DA">
        <w:rPr>
          <w:lang w:val="bg-BG"/>
        </w:rPr>
        <w:tab/>
      </w:r>
      <w:r w:rsidRPr="009072DA">
        <w:rPr>
          <w:color w:val="000000" w:themeColor="text1"/>
          <w:lang w:val="bg-BG"/>
        </w:rPr>
        <w:t>Плавателното средство трябва да бъде приспособено така, че да съответства на настоящия стандарт съгласно преходните разпоредби, посочени в таблицата по-долу.</w:t>
      </w:r>
    </w:p>
    <w:p w:rsidR="00C903F8" w:rsidRPr="009072DA" w:rsidRDefault="00C903F8" w:rsidP="00C903F8">
      <w:pPr>
        <w:spacing w:line="240" w:lineRule="atLeast"/>
        <w:ind w:left="567" w:hanging="567"/>
        <w:rPr>
          <w:color w:val="000000" w:themeColor="text1"/>
          <w:lang w:val="bg-BG"/>
        </w:rPr>
      </w:pPr>
    </w:p>
    <w:p w:rsidR="00C903F8" w:rsidRPr="009072DA" w:rsidRDefault="00C903F8" w:rsidP="00C903F8">
      <w:pPr>
        <w:spacing w:line="240" w:lineRule="atLeast"/>
        <w:ind w:left="567" w:hanging="567"/>
        <w:rPr>
          <w:color w:val="000000" w:themeColor="text1"/>
          <w:szCs w:val="20"/>
          <w:lang w:val="bg-BG"/>
        </w:rPr>
      </w:pPr>
      <w:r w:rsidRPr="009072DA">
        <w:rPr>
          <w:color w:val="000000" w:themeColor="text1"/>
          <w:lang w:val="bg-BG"/>
        </w:rPr>
        <w:t>4.</w:t>
      </w:r>
      <w:r w:rsidRPr="009072DA">
        <w:rPr>
          <w:lang w:val="bg-BG"/>
        </w:rPr>
        <w:tab/>
      </w:r>
      <w:r w:rsidRPr="009072DA">
        <w:rPr>
          <w:color w:val="000000" w:themeColor="text1"/>
          <w:lang w:val="bg-BG"/>
        </w:rPr>
        <w:t xml:space="preserve">Член 32.04, точки 4 и 5 се прилага </w:t>
      </w:r>
      <w:r w:rsidRPr="009072DA">
        <w:rPr>
          <w:i/>
          <w:color w:val="000000" w:themeColor="text1"/>
          <w:lang w:val="bg-BG"/>
        </w:rPr>
        <w:t>mutatis mutandis.</w:t>
      </w:r>
    </w:p>
    <w:p w:rsidR="001E2331" w:rsidRPr="009072DA" w:rsidRDefault="001E2331" w:rsidP="001E2331">
      <w:pPr>
        <w:spacing w:line="240" w:lineRule="atLeast"/>
        <w:ind w:left="567" w:hanging="567"/>
        <w:rPr>
          <w:lang w:val="bg-BG"/>
        </w:rPr>
      </w:pPr>
    </w:p>
    <w:p w:rsidR="000E732C" w:rsidRPr="009072DA" w:rsidRDefault="000E732C">
      <w:pPr>
        <w:rPr>
          <w:lang w:val="bg-BG"/>
        </w:rPr>
      </w:pPr>
      <w:r w:rsidRPr="009072DA">
        <w:rPr>
          <w:lang w:val="bg-BG"/>
        </w:rPr>
        <w:br w:type="page"/>
      </w:r>
    </w:p>
    <w:p w:rsidR="000E732C" w:rsidRPr="009072DA" w:rsidRDefault="000E732C" w:rsidP="00C903F8">
      <w:pPr>
        <w:spacing w:line="240" w:lineRule="atLeast"/>
        <w:ind w:left="567" w:hanging="567"/>
        <w:rPr>
          <w:lang w:val="bg-BG"/>
        </w:rPr>
      </w:pPr>
    </w:p>
    <w:p w:rsidR="00C903F8" w:rsidRPr="009072DA" w:rsidRDefault="00C903F8" w:rsidP="00C903F8">
      <w:pPr>
        <w:spacing w:line="240" w:lineRule="atLeast"/>
        <w:ind w:left="567" w:hanging="567"/>
        <w:rPr>
          <w:lang w:val="bg-BG"/>
        </w:rPr>
      </w:pPr>
      <w:r w:rsidRPr="009072DA">
        <w:rPr>
          <w:lang w:val="bg-BG"/>
        </w:rPr>
        <w:t>5.</w:t>
      </w:r>
      <w:r w:rsidRPr="009072DA">
        <w:rPr>
          <w:lang w:val="bg-BG"/>
        </w:rPr>
        <w:tab/>
        <w:t>За таблицата по-долу важат следните определения:</w:t>
      </w:r>
    </w:p>
    <w:p w:rsidR="00C903F8" w:rsidRPr="009072DA" w:rsidRDefault="00C903F8" w:rsidP="00C903F8">
      <w:pPr>
        <w:spacing w:line="240" w:lineRule="atLeast"/>
        <w:ind w:left="567" w:hanging="567"/>
        <w:rPr>
          <w:lang w:val="bg-BG"/>
        </w:rPr>
      </w:pPr>
    </w:p>
    <w:p w:rsidR="00C903F8" w:rsidRPr="009072DA" w:rsidRDefault="00C903F8" w:rsidP="00C903F8">
      <w:pPr>
        <w:spacing w:line="240" w:lineRule="atLeast"/>
        <w:ind w:left="567"/>
        <w:rPr>
          <w:lang w:val="bg-BG"/>
        </w:rPr>
      </w:pPr>
      <w:r w:rsidRPr="009072DA">
        <w:rPr>
          <w:lang w:val="bg-BG"/>
        </w:rPr>
        <w:t xml:space="preserve">„НЗР“: разпоредбата не се прилага за плавателни средства, които вече са в експлоатация, освен ако въпросните части не бъдат заменени или преустроени, т.е. разпоредбата важи само по отношение на </w:t>
      </w:r>
      <w:r w:rsidRPr="009072DA">
        <w:rPr>
          <w:u w:val="single"/>
          <w:lang w:val="bg-BG"/>
        </w:rPr>
        <w:t>Н</w:t>
      </w:r>
      <w:r w:rsidRPr="009072DA">
        <w:rPr>
          <w:lang w:val="bg-BG"/>
        </w:rPr>
        <w:t xml:space="preserve">овоизградени плавателни средства и на </w:t>
      </w:r>
      <w:r w:rsidRPr="009072DA">
        <w:rPr>
          <w:u w:val="single"/>
          <w:lang w:val="bg-BG"/>
        </w:rPr>
        <w:t>З</w:t>
      </w:r>
      <w:r w:rsidRPr="009072DA">
        <w:rPr>
          <w:lang w:val="bg-BG"/>
        </w:rPr>
        <w:t xml:space="preserve">амяната или </w:t>
      </w:r>
      <w:r w:rsidRPr="009072DA">
        <w:rPr>
          <w:u w:val="single"/>
          <w:lang w:val="bg-BG"/>
        </w:rPr>
        <w:t>Р</w:t>
      </w:r>
      <w:r w:rsidRPr="009072DA">
        <w:rPr>
          <w:lang w:val="bg-BG"/>
        </w:rPr>
        <w:t xml:space="preserve">еконструкцията (преустройството) на въпросните части или пространства. В случай че съществуващи части се заменят с части от същия вид при използване на същата технология, това не представлява замяна „З“ по смисъла на преходните разпоредби. </w:t>
      </w:r>
    </w:p>
    <w:p w:rsidR="00C903F8" w:rsidRPr="009072DA" w:rsidRDefault="00C903F8" w:rsidP="00C903F8">
      <w:pPr>
        <w:spacing w:line="240" w:lineRule="atLeast"/>
        <w:ind w:left="567"/>
        <w:rPr>
          <w:lang w:val="bg-BG"/>
        </w:rPr>
      </w:pPr>
    </w:p>
    <w:p w:rsidR="00C903F8" w:rsidRPr="009072DA" w:rsidRDefault="00C903F8" w:rsidP="00C903F8">
      <w:pPr>
        <w:tabs>
          <w:tab w:val="left" w:pos="4678"/>
        </w:tabs>
        <w:spacing w:line="240" w:lineRule="atLeast"/>
        <w:ind w:left="567"/>
        <w:rPr>
          <w:lang w:val="bg-BG"/>
        </w:rPr>
      </w:pPr>
      <w:r w:rsidRPr="009072DA">
        <w:rPr>
          <w:lang w:val="bg-BG"/>
        </w:rPr>
        <w:t>„Издаване или подновяване на удостоверението на плавателния съд за плаване по вътрешни водни пътища“: разпоредбата трябва да бъде спазена при следващото издаване или подновяване на удостоверението на плавателния съд за плаване по вътрешни водни пътища след посочената дата.</w:t>
      </w:r>
    </w:p>
    <w:p w:rsidR="00E67DA4" w:rsidRPr="009072DA" w:rsidRDefault="00E67DA4">
      <w:pPr>
        <w:rPr>
          <w:lang w:val="bg-BG"/>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5387"/>
        <w:gridCol w:w="1276"/>
        <w:gridCol w:w="1276"/>
      </w:tblGrid>
      <w:tr w:rsidR="00E67DA4" w:rsidRPr="008D2440" w:rsidTr="00E67DA4">
        <w:trPr>
          <w:cantSplit/>
          <w:tblHeader/>
          <w:jc w:val="center"/>
        </w:trPr>
        <w:tc>
          <w:tcPr>
            <w:tcW w:w="2800" w:type="dxa"/>
            <w:gridSpan w:val="2"/>
            <w:shd w:val="clear" w:color="auto" w:fill="auto"/>
          </w:tcPr>
          <w:p w:rsidR="00E67DA4" w:rsidRPr="009072DA" w:rsidRDefault="00E67DA4" w:rsidP="00C01A94">
            <w:pPr>
              <w:spacing w:before="60" w:after="60" w:line="240" w:lineRule="atLeast"/>
              <w:jc w:val="center"/>
              <w:rPr>
                <w:rFonts w:cs="Arial"/>
                <w:sz w:val="18"/>
                <w:szCs w:val="18"/>
                <w:lang w:val="bg-BG"/>
              </w:rPr>
            </w:pPr>
            <w:r w:rsidRPr="009072DA">
              <w:rPr>
                <w:i/>
                <w:sz w:val="18"/>
                <w:lang w:val="bg-BG"/>
              </w:rPr>
              <w:t>Член и точка</w:t>
            </w:r>
          </w:p>
        </w:tc>
        <w:tc>
          <w:tcPr>
            <w:tcW w:w="3296" w:type="dxa"/>
            <w:shd w:val="clear" w:color="auto" w:fill="auto"/>
          </w:tcPr>
          <w:p w:rsidR="00E67DA4" w:rsidRPr="009072DA" w:rsidRDefault="00E67DA4" w:rsidP="00C01A94">
            <w:pPr>
              <w:spacing w:before="60" w:after="60" w:line="240" w:lineRule="atLeast"/>
              <w:jc w:val="center"/>
              <w:rPr>
                <w:rFonts w:cs="Arial"/>
                <w:sz w:val="18"/>
                <w:szCs w:val="18"/>
                <w:lang w:val="bg-BG"/>
              </w:rPr>
            </w:pPr>
            <w:r w:rsidRPr="009072DA">
              <w:rPr>
                <w:i/>
                <w:sz w:val="18"/>
                <w:lang w:val="bg-BG"/>
              </w:rPr>
              <w:t>Съдържание</w:t>
            </w:r>
          </w:p>
        </w:tc>
        <w:tc>
          <w:tcPr>
            <w:tcW w:w="6663" w:type="dxa"/>
            <w:gridSpan w:val="2"/>
            <w:shd w:val="clear" w:color="auto" w:fill="auto"/>
          </w:tcPr>
          <w:p w:rsidR="00E67DA4" w:rsidRPr="009072DA" w:rsidRDefault="00E67DA4" w:rsidP="00C01A94">
            <w:pPr>
              <w:spacing w:before="60" w:after="60" w:line="240" w:lineRule="atLeast"/>
              <w:jc w:val="center"/>
              <w:rPr>
                <w:rFonts w:cs="Arial"/>
                <w:sz w:val="18"/>
                <w:szCs w:val="18"/>
                <w:lang w:val="bg-BG"/>
              </w:rPr>
            </w:pPr>
            <w:r w:rsidRPr="009072DA">
              <w:rPr>
                <w:i/>
                <w:sz w:val="18"/>
                <w:lang w:val="bg-BG"/>
              </w:rPr>
              <w:t>Краен срок и бележки</w:t>
            </w:r>
          </w:p>
        </w:tc>
        <w:tc>
          <w:tcPr>
            <w:tcW w:w="1276" w:type="dxa"/>
          </w:tcPr>
          <w:p w:rsidR="00E67DA4" w:rsidRPr="009072DA" w:rsidRDefault="00E67DA4" w:rsidP="00C01A94">
            <w:pPr>
              <w:spacing w:before="60" w:after="60" w:line="240" w:lineRule="atLeast"/>
              <w:jc w:val="center"/>
              <w:rPr>
                <w:rFonts w:cs="Arial"/>
                <w:sz w:val="18"/>
                <w:szCs w:val="18"/>
                <w:lang w:val="bg-BG"/>
              </w:rPr>
            </w:pPr>
            <w:r w:rsidRPr="009072DA">
              <w:rPr>
                <w:i/>
                <w:sz w:val="18"/>
                <w:lang w:val="bg-BG"/>
              </w:rPr>
              <w:t>Дата на влизане в сила</w:t>
            </w:r>
          </w:p>
        </w:tc>
      </w:tr>
      <w:tr w:rsidR="00E67DA4" w:rsidRPr="009072DA" w:rsidTr="00E67DA4">
        <w:trPr>
          <w:cantSplit/>
          <w:jc w:val="center"/>
        </w:trPr>
        <w:tc>
          <w:tcPr>
            <w:tcW w:w="6096" w:type="dxa"/>
            <w:gridSpan w:val="3"/>
            <w:shd w:val="clear" w:color="auto" w:fill="auto"/>
          </w:tcPr>
          <w:p w:rsidR="00E67DA4" w:rsidRPr="009072DA" w:rsidRDefault="00E67DA4" w:rsidP="00C01A94">
            <w:pPr>
              <w:spacing w:before="120" w:after="100" w:line="240" w:lineRule="atLeast"/>
              <w:jc w:val="center"/>
              <w:rPr>
                <w:rFonts w:cs="Arial"/>
                <w:b/>
                <w:sz w:val="18"/>
                <w:szCs w:val="18"/>
                <w:lang w:val="bg-BG"/>
              </w:rPr>
            </w:pPr>
            <w:r w:rsidRPr="009072DA">
              <w:rPr>
                <w:b/>
                <w:sz w:val="18"/>
                <w:lang w:val="bg-BG"/>
              </w:rPr>
              <w:t>ГЛАВА 3</w:t>
            </w:r>
          </w:p>
        </w:tc>
        <w:tc>
          <w:tcPr>
            <w:tcW w:w="5387" w:type="dxa"/>
            <w:shd w:val="clear" w:color="auto" w:fill="auto"/>
          </w:tcPr>
          <w:p w:rsidR="00E67DA4" w:rsidRPr="009072DA" w:rsidRDefault="00E67DA4" w:rsidP="00C01A94">
            <w:pPr>
              <w:spacing w:before="120" w:after="100" w:line="240" w:lineRule="atLeast"/>
              <w:rPr>
                <w:rFonts w:cs="Arial"/>
                <w:sz w:val="18"/>
                <w:szCs w:val="18"/>
                <w:lang w:val="bg-BG"/>
              </w:rPr>
            </w:pPr>
          </w:p>
        </w:tc>
        <w:tc>
          <w:tcPr>
            <w:tcW w:w="1276" w:type="dxa"/>
            <w:shd w:val="clear" w:color="auto" w:fill="auto"/>
          </w:tcPr>
          <w:p w:rsidR="00E67DA4" w:rsidRPr="009072DA" w:rsidRDefault="00E67DA4" w:rsidP="00C01A94">
            <w:pPr>
              <w:spacing w:before="120" w:after="100" w:line="240" w:lineRule="atLeast"/>
              <w:rPr>
                <w:rFonts w:cs="Arial"/>
                <w:sz w:val="18"/>
                <w:szCs w:val="18"/>
                <w:lang w:val="bg-BG"/>
              </w:rPr>
            </w:pPr>
          </w:p>
        </w:tc>
        <w:tc>
          <w:tcPr>
            <w:tcW w:w="1276" w:type="dxa"/>
          </w:tcPr>
          <w:p w:rsidR="00E67DA4" w:rsidRPr="009072DA" w:rsidRDefault="00E67DA4" w:rsidP="00C01A94">
            <w:pPr>
              <w:spacing w:before="120" w:after="100" w:line="240" w:lineRule="atLeast"/>
              <w:rPr>
                <w:rFonts w:cs="Arial"/>
                <w:sz w:val="18"/>
                <w:szCs w:val="18"/>
                <w:lang w:val="bg-BG"/>
              </w:rPr>
            </w:pPr>
          </w:p>
        </w:tc>
      </w:tr>
      <w:tr w:rsidR="00E67DA4" w:rsidRPr="009072DA" w:rsidTr="00E67DA4">
        <w:trPr>
          <w:cantSplit/>
          <w:jc w:val="center"/>
        </w:trPr>
        <w:tc>
          <w:tcPr>
            <w:tcW w:w="1342" w:type="dxa"/>
            <w:vMerge w:val="restart"/>
            <w:shd w:val="clear" w:color="auto" w:fill="auto"/>
          </w:tcPr>
          <w:p w:rsidR="00E67DA4" w:rsidRPr="009072DA" w:rsidRDefault="00E67DA4" w:rsidP="00C01A94">
            <w:pPr>
              <w:spacing w:before="120" w:after="100" w:line="240" w:lineRule="atLeast"/>
              <w:rPr>
                <w:rFonts w:cs="Arial"/>
                <w:sz w:val="18"/>
                <w:szCs w:val="18"/>
                <w:lang w:val="bg-BG"/>
              </w:rPr>
            </w:pPr>
            <w:r w:rsidRPr="009072DA">
              <w:rPr>
                <w:sz w:val="18"/>
                <w:lang w:val="bg-BG"/>
              </w:rPr>
              <w:t>3.03</w:t>
            </w:r>
          </w:p>
        </w:tc>
        <w:tc>
          <w:tcPr>
            <w:tcW w:w="1458" w:type="dxa"/>
            <w:shd w:val="clear" w:color="auto" w:fill="auto"/>
          </w:tcPr>
          <w:p w:rsidR="00E67DA4" w:rsidRPr="009072DA" w:rsidRDefault="00E67DA4" w:rsidP="00C01A94">
            <w:pPr>
              <w:spacing w:before="120" w:after="100" w:line="240" w:lineRule="atLeast"/>
              <w:rPr>
                <w:rFonts w:cs="Arial"/>
                <w:sz w:val="18"/>
                <w:szCs w:val="18"/>
                <w:lang w:val="bg-BG"/>
              </w:rPr>
            </w:pPr>
            <w:r w:rsidRPr="009072DA">
              <w:rPr>
                <w:sz w:val="18"/>
                <w:lang w:val="bg-BG"/>
              </w:rPr>
              <w:t>Точка 1, буква б)</w:t>
            </w:r>
          </w:p>
        </w:tc>
        <w:tc>
          <w:tcPr>
            <w:tcW w:w="3296" w:type="dxa"/>
            <w:shd w:val="clear" w:color="auto" w:fill="auto"/>
          </w:tcPr>
          <w:p w:rsidR="00E67DA4" w:rsidRPr="009072DA" w:rsidRDefault="00E67DA4" w:rsidP="00C01A94">
            <w:pPr>
              <w:spacing w:before="120" w:after="100" w:line="240" w:lineRule="atLeast"/>
              <w:rPr>
                <w:rFonts w:cs="Arial"/>
                <w:sz w:val="18"/>
                <w:szCs w:val="18"/>
                <w:lang w:val="bg-BG"/>
              </w:rPr>
            </w:pPr>
            <w:r w:rsidRPr="009072DA">
              <w:rPr>
                <w:sz w:val="18"/>
                <w:lang w:val="bg-BG"/>
              </w:rPr>
              <w:t>Положение на ахтерпиковата преграда</w:t>
            </w:r>
          </w:p>
        </w:tc>
        <w:tc>
          <w:tcPr>
            <w:tcW w:w="5387" w:type="dxa"/>
            <w:shd w:val="clear" w:color="auto" w:fill="auto"/>
          </w:tcPr>
          <w:p w:rsidR="00E67DA4" w:rsidRPr="009072DA" w:rsidRDefault="008761D9" w:rsidP="00C01A94">
            <w:pPr>
              <w:spacing w:before="120" w:after="10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E67DA4" w:rsidRPr="009072DA" w:rsidRDefault="00E67DA4" w:rsidP="00C01A94">
            <w:pPr>
              <w:spacing w:before="120" w:after="100" w:line="240" w:lineRule="atLeast"/>
              <w:rPr>
                <w:rFonts w:cs="Arial"/>
                <w:sz w:val="18"/>
                <w:szCs w:val="18"/>
                <w:lang w:val="bg-BG"/>
              </w:rPr>
            </w:pPr>
            <w:r w:rsidRPr="009072DA">
              <w:rPr>
                <w:sz w:val="18"/>
                <w:lang w:val="bg-BG"/>
              </w:rPr>
              <w:t>1.1.2035 г.</w:t>
            </w:r>
          </w:p>
        </w:tc>
        <w:tc>
          <w:tcPr>
            <w:tcW w:w="1276" w:type="dxa"/>
          </w:tcPr>
          <w:p w:rsidR="00E67DA4" w:rsidRPr="009072DA" w:rsidRDefault="004A2F59" w:rsidP="00C01A94">
            <w:pPr>
              <w:spacing w:before="120" w:after="100" w:line="240" w:lineRule="atLeast"/>
              <w:rPr>
                <w:rFonts w:cs="Arial"/>
                <w:sz w:val="18"/>
                <w:szCs w:val="18"/>
                <w:lang w:val="bg-BG"/>
              </w:rPr>
            </w:pPr>
            <w:r w:rsidRPr="009072DA">
              <w:rPr>
                <w:sz w:val="18"/>
                <w:lang w:val="bg-BG"/>
              </w:rPr>
              <w:t>7.10.2018 г.</w:t>
            </w:r>
          </w:p>
        </w:tc>
      </w:tr>
      <w:tr w:rsidR="00E67DA4" w:rsidRPr="009072DA" w:rsidTr="000E732C">
        <w:trPr>
          <w:cantSplit/>
          <w:trHeight w:val="788"/>
          <w:jc w:val="center"/>
        </w:trPr>
        <w:tc>
          <w:tcPr>
            <w:tcW w:w="1342" w:type="dxa"/>
            <w:vMerge/>
            <w:shd w:val="clear" w:color="auto" w:fill="auto"/>
          </w:tcPr>
          <w:p w:rsidR="00E67DA4" w:rsidRPr="009072DA" w:rsidRDefault="00E67DA4" w:rsidP="00C01A94">
            <w:pPr>
              <w:spacing w:before="120" w:after="100" w:line="240" w:lineRule="atLeast"/>
              <w:jc w:val="center"/>
              <w:rPr>
                <w:rFonts w:cs="Arial"/>
                <w:b/>
                <w:sz w:val="18"/>
                <w:szCs w:val="18"/>
                <w:lang w:val="bg-BG"/>
              </w:rPr>
            </w:pPr>
          </w:p>
        </w:tc>
        <w:tc>
          <w:tcPr>
            <w:tcW w:w="1458" w:type="dxa"/>
            <w:shd w:val="clear" w:color="auto" w:fill="auto"/>
          </w:tcPr>
          <w:p w:rsidR="00E67DA4" w:rsidRPr="009072DA" w:rsidRDefault="00E67DA4" w:rsidP="00C01A94">
            <w:pPr>
              <w:spacing w:before="120" w:after="100" w:line="240" w:lineRule="atLeast"/>
              <w:rPr>
                <w:rFonts w:cs="Arial"/>
                <w:sz w:val="18"/>
                <w:szCs w:val="18"/>
                <w:lang w:val="bg-BG"/>
              </w:rPr>
            </w:pPr>
            <w:r w:rsidRPr="009072DA">
              <w:rPr>
                <w:sz w:val="18"/>
                <w:lang w:val="bg-BG"/>
              </w:rPr>
              <w:t>Точка 2</w:t>
            </w:r>
          </w:p>
        </w:tc>
        <w:tc>
          <w:tcPr>
            <w:tcW w:w="3296" w:type="dxa"/>
            <w:shd w:val="clear" w:color="auto" w:fill="auto"/>
          </w:tcPr>
          <w:p w:rsidR="00E67DA4" w:rsidRPr="009072DA" w:rsidRDefault="00E67DA4" w:rsidP="00C01A94">
            <w:pPr>
              <w:tabs>
                <w:tab w:val="left" w:pos="2790"/>
              </w:tabs>
              <w:spacing w:before="120" w:after="100" w:line="240" w:lineRule="atLeast"/>
              <w:rPr>
                <w:rFonts w:cs="Arial"/>
                <w:sz w:val="18"/>
                <w:szCs w:val="18"/>
                <w:lang w:val="bg-BG"/>
              </w:rPr>
            </w:pPr>
            <w:r w:rsidRPr="009072DA">
              <w:rPr>
                <w:sz w:val="18"/>
                <w:lang w:val="bg-BG"/>
              </w:rPr>
              <w:t>Помещения зад ахтерпиковата преграда</w:t>
            </w:r>
          </w:p>
        </w:tc>
        <w:tc>
          <w:tcPr>
            <w:tcW w:w="5387" w:type="dxa"/>
            <w:shd w:val="clear" w:color="auto" w:fill="auto"/>
          </w:tcPr>
          <w:p w:rsidR="00E67DA4" w:rsidRPr="009072DA" w:rsidRDefault="008761D9" w:rsidP="00C01A94">
            <w:pPr>
              <w:spacing w:before="120" w:after="10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E67DA4" w:rsidRPr="009072DA" w:rsidRDefault="00E67DA4" w:rsidP="00C01A94">
            <w:pPr>
              <w:spacing w:before="120" w:after="100" w:line="240" w:lineRule="atLeast"/>
              <w:rPr>
                <w:rFonts w:cs="Arial"/>
                <w:sz w:val="18"/>
                <w:szCs w:val="18"/>
                <w:lang w:val="bg-BG"/>
              </w:rPr>
            </w:pPr>
            <w:r w:rsidRPr="009072DA">
              <w:rPr>
                <w:sz w:val="18"/>
                <w:lang w:val="bg-BG"/>
              </w:rPr>
              <w:t>1.1.2045 г.</w:t>
            </w:r>
          </w:p>
        </w:tc>
        <w:tc>
          <w:tcPr>
            <w:tcW w:w="1276" w:type="dxa"/>
          </w:tcPr>
          <w:p w:rsidR="00E67DA4" w:rsidRPr="009072DA" w:rsidRDefault="004A2F59" w:rsidP="00C01A94">
            <w:pPr>
              <w:spacing w:before="120" w:after="100" w:line="240" w:lineRule="atLeast"/>
              <w:rPr>
                <w:rFonts w:cs="Arial"/>
                <w:sz w:val="18"/>
                <w:szCs w:val="18"/>
                <w:lang w:val="bg-BG"/>
              </w:rPr>
            </w:pPr>
            <w:r w:rsidRPr="009072DA">
              <w:rPr>
                <w:sz w:val="18"/>
                <w:lang w:val="bg-BG"/>
              </w:rPr>
              <w:t>7.10.2018 г.</w:t>
            </w:r>
          </w:p>
        </w:tc>
      </w:tr>
      <w:tr w:rsidR="00E67DA4" w:rsidRPr="009072DA" w:rsidTr="00E67DA4">
        <w:trPr>
          <w:cantSplit/>
          <w:jc w:val="center"/>
        </w:trPr>
        <w:tc>
          <w:tcPr>
            <w:tcW w:w="1342" w:type="dxa"/>
            <w:vMerge/>
            <w:shd w:val="clear" w:color="auto" w:fill="auto"/>
          </w:tcPr>
          <w:p w:rsidR="00E67DA4" w:rsidRPr="009072DA" w:rsidRDefault="00E67DA4" w:rsidP="00C01A94">
            <w:pPr>
              <w:spacing w:before="120" w:after="100" w:line="240" w:lineRule="atLeast"/>
              <w:jc w:val="center"/>
              <w:rPr>
                <w:rFonts w:cs="Arial"/>
                <w:b/>
                <w:sz w:val="18"/>
                <w:szCs w:val="18"/>
                <w:lang w:val="bg-BG"/>
              </w:rPr>
            </w:pPr>
          </w:p>
        </w:tc>
        <w:tc>
          <w:tcPr>
            <w:tcW w:w="1458" w:type="dxa"/>
            <w:shd w:val="clear" w:color="auto" w:fill="auto"/>
          </w:tcPr>
          <w:p w:rsidR="00E67DA4" w:rsidRPr="009072DA" w:rsidRDefault="00E67DA4" w:rsidP="00C01A94">
            <w:pPr>
              <w:spacing w:before="120" w:after="100" w:line="240" w:lineRule="atLeast"/>
              <w:rPr>
                <w:rFonts w:cs="Arial"/>
                <w:sz w:val="18"/>
                <w:szCs w:val="18"/>
                <w:lang w:val="bg-BG"/>
              </w:rPr>
            </w:pPr>
            <w:r w:rsidRPr="009072DA">
              <w:rPr>
                <w:sz w:val="18"/>
                <w:lang w:val="bg-BG"/>
              </w:rPr>
              <w:t>Точка 7</w:t>
            </w:r>
          </w:p>
        </w:tc>
        <w:tc>
          <w:tcPr>
            <w:tcW w:w="3296" w:type="dxa"/>
            <w:shd w:val="clear" w:color="auto" w:fill="auto"/>
          </w:tcPr>
          <w:p w:rsidR="00E67DA4" w:rsidRPr="009072DA" w:rsidRDefault="00E67DA4" w:rsidP="00C01A94">
            <w:pPr>
              <w:spacing w:before="120" w:after="100" w:line="240" w:lineRule="atLeast"/>
              <w:rPr>
                <w:rFonts w:cs="Arial"/>
                <w:sz w:val="18"/>
                <w:szCs w:val="18"/>
                <w:lang w:val="bg-BG"/>
              </w:rPr>
            </w:pPr>
            <w:r w:rsidRPr="009072DA">
              <w:rPr>
                <w:sz w:val="18"/>
                <w:lang w:val="bg-BG"/>
              </w:rPr>
              <w:t>Котви, които не стърчат в носовите части на плавателните съдове</w:t>
            </w:r>
          </w:p>
        </w:tc>
        <w:tc>
          <w:tcPr>
            <w:tcW w:w="5387" w:type="dxa"/>
            <w:shd w:val="clear" w:color="auto" w:fill="auto"/>
          </w:tcPr>
          <w:p w:rsidR="00E67DA4" w:rsidRPr="009072DA" w:rsidRDefault="00E67DA4" w:rsidP="00C01A94">
            <w:pPr>
              <w:spacing w:before="120" w:after="100" w:line="240" w:lineRule="atLeast"/>
              <w:rPr>
                <w:rFonts w:cs="Arial"/>
                <w:sz w:val="18"/>
                <w:szCs w:val="18"/>
                <w:lang w:val="bg-BG"/>
              </w:rPr>
            </w:pPr>
            <w:r w:rsidRPr="009072DA">
              <w:rPr>
                <w:sz w:val="18"/>
                <w:lang w:val="bg-BG"/>
              </w:rPr>
              <w:t xml:space="preserve">Разпоредбата влиза в сила от 1.1.2001 г.: 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E67DA4" w:rsidRPr="009072DA" w:rsidRDefault="00E67DA4" w:rsidP="00C01A94">
            <w:pPr>
              <w:spacing w:before="120" w:after="100" w:line="240" w:lineRule="atLeast"/>
              <w:rPr>
                <w:rFonts w:cs="Arial"/>
                <w:sz w:val="18"/>
                <w:szCs w:val="18"/>
                <w:lang w:val="bg-BG"/>
              </w:rPr>
            </w:pPr>
            <w:r w:rsidRPr="009072DA">
              <w:rPr>
                <w:sz w:val="18"/>
                <w:lang w:val="bg-BG"/>
              </w:rPr>
              <w:t>1.1.2041 г.</w:t>
            </w:r>
          </w:p>
        </w:tc>
        <w:tc>
          <w:tcPr>
            <w:tcW w:w="1276" w:type="dxa"/>
          </w:tcPr>
          <w:p w:rsidR="00E67DA4" w:rsidRPr="009072DA" w:rsidRDefault="004A2F59" w:rsidP="00C01A94">
            <w:pPr>
              <w:spacing w:before="120" w:after="100" w:line="240" w:lineRule="atLeast"/>
              <w:rPr>
                <w:rFonts w:cs="Arial"/>
                <w:sz w:val="18"/>
                <w:szCs w:val="18"/>
                <w:lang w:val="bg-BG"/>
              </w:rPr>
            </w:pPr>
            <w:r w:rsidRPr="009072DA">
              <w:rPr>
                <w:sz w:val="18"/>
                <w:lang w:val="bg-BG"/>
              </w:rPr>
              <w:t>7.10.2018 г.</w:t>
            </w:r>
          </w:p>
        </w:tc>
      </w:tr>
      <w:tr w:rsidR="00E67DA4" w:rsidRPr="009072DA" w:rsidTr="00E67DA4">
        <w:trPr>
          <w:cantSplit/>
          <w:jc w:val="center"/>
        </w:trPr>
        <w:tc>
          <w:tcPr>
            <w:tcW w:w="6096" w:type="dxa"/>
            <w:gridSpan w:val="3"/>
            <w:shd w:val="clear" w:color="auto" w:fill="auto"/>
          </w:tcPr>
          <w:p w:rsidR="00E67DA4" w:rsidRPr="009072DA" w:rsidRDefault="00E67DA4" w:rsidP="00C01A94">
            <w:pPr>
              <w:spacing w:before="120" w:after="100" w:line="240" w:lineRule="atLeast"/>
              <w:jc w:val="center"/>
              <w:rPr>
                <w:rFonts w:cs="Arial"/>
                <w:sz w:val="18"/>
                <w:szCs w:val="18"/>
                <w:lang w:val="bg-BG"/>
              </w:rPr>
            </w:pPr>
            <w:r w:rsidRPr="009072DA">
              <w:rPr>
                <w:b/>
                <w:sz w:val="18"/>
                <w:lang w:val="bg-BG"/>
              </w:rPr>
              <w:t>ГЛАВА 6</w:t>
            </w:r>
          </w:p>
        </w:tc>
        <w:tc>
          <w:tcPr>
            <w:tcW w:w="5387" w:type="dxa"/>
            <w:shd w:val="clear" w:color="auto" w:fill="auto"/>
          </w:tcPr>
          <w:p w:rsidR="00E67DA4" w:rsidRPr="009072DA" w:rsidRDefault="00E67DA4" w:rsidP="00C01A94">
            <w:pPr>
              <w:spacing w:before="120" w:after="100" w:line="240" w:lineRule="atLeast"/>
              <w:rPr>
                <w:rFonts w:cs="Arial"/>
                <w:sz w:val="18"/>
                <w:szCs w:val="18"/>
                <w:lang w:val="bg-BG"/>
              </w:rPr>
            </w:pPr>
          </w:p>
        </w:tc>
        <w:tc>
          <w:tcPr>
            <w:tcW w:w="1276" w:type="dxa"/>
            <w:shd w:val="clear" w:color="auto" w:fill="auto"/>
          </w:tcPr>
          <w:p w:rsidR="00E67DA4" w:rsidRPr="009072DA" w:rsidRDefault="00E67DA4" w:rsidP="00C01A94">
            <w:pPr>
              <w:spacing w:before="120" w:after="100" w:line="240" w:lineRule="atLeast"/>
              <w:rPr>
                <w:rFonts w:cs="Arial"/>
                <w:sz w:val="18"/>
                <w:szCs w:val="18"/>
                <w:lang w:val="bg-BG"/>
              </w:rPr>
            </w:pPr>
          </w:p>
        </w:tc>
        <w:tc>
          <w:tcPr>
            <w:tcW w:w="1276" w:type="dxa"/>
          </w:tcPr>
          <w:p w:rsidR="00E67DA4" w:rsidRPr="009072DA" w:rsidRDefault="00E67DA4" w:rsidP="00C01A94">
            <w:pPr>
              <w:spacing w:before="120" w:after="100" w:line="240" w:lineRule="atLeast"/>
              <w:rPr>
                <w:rFonts w:cs="Arial"/>
                <w:sz w:val="18"/>
                <w:szCs w:val="18"/>
                <w:lang w:val="bg-BG"/>
              </w:rPr>
            </w:pPr>
          </w:p>
        </w:tc>
      </w:tr>
      <w:tr w:rsidR="00E67DA4" w:rsidRPr="009072DA" w:rsidTr="000E732C">
        <w:trPr>
          <w:cantSplit/>
          <w:trHeight w:val="800"/>
          <w:jc w:val="center"/>
        </w:trPr>
        <w:tc>
          <w:tcPr>
            <w:tcW w:w="1342" w:type="dxa"/>
            <w:vMerge w:val="restart"/>
            <w:shd w:val="clear" w:color="auto" w:fill="auto"/>
          </w:tcPr>
          <w:p w:rsidR="00E67DA4" w:rsidRPr="009072DA" w:rsidRDefault="00E67DA4" w:rsidP="00C01A94">
            <w:pPr>
              <w:spacing w:before="120" w:after="100" w:line="240" w:lineRule="atLeast"/>
              <w:rPr>
                <w:rFonts w:cs="Arial"/>
                <w:sz w:val="18"/>
                <w:szCs w:val="18"/>
                <w:lang w:val="bg-BG"/>
              </w:rPr>
            </w:pPr>
            <w:r w:rsidRPr="009072DA">
              <w:rPr>
                <w:sz w:val="18"/>
                <w:lang w:val="bg-BG"/>
              </w:rPr>
              <w:lastRenderedPageBreak/>
              <w:t>6.02</w:t>
            </w:r>
          </w:p>
        </w:tc>
        <w:tc>
          <w:tcPr>
            <w:tcW w:w="1458" w:type="dxa"/>
            <w:vMerge w:val="restart"/>
            <w:shd w:val="clear" w:color="auto" w:fill="auto"/>
          </w:tcPr>
          <w:p w:rsidR="00E67DA4" w:rsidRPr="009072DA" w:rsidRDefault="00E67DA4" w:rsidP="00C01A94">
            <w:pPr>
              <w:spacing w:before="120" w:after="100" w:line="240" w:lineRule="atLeast"/>
              <w:rPr>
                <w:rFonts w:cs="Arial"/>
                <w:sz w:val="18"/>
                <w:szCs w:val="18"/>
                <w:lang w:val="bg-BG"/>
              </w:rPr>
            </w:pPr>
            <w:r w:rsidRPr="009072DA">
              <w:rPr>
                <w:sz w:val="18"/>
                <w:lang w:val="bg-BG"/>
              </w:rPr>
              <w:t>Точка 1</w:t>
            </w:r>
          </w:p>
        </w:tc>
        <w:tc>
          <w:tcPr>
            <w:tcW w:w="3296" w:type="dxa"/>
            <w:shd w:val="clear" w:color="auto" w:fill="auto"/>
          </w:tcPr>
          <w:p w:rsidR="00E67DA4" w:rsidRPr="009072DA" w:rsidRDefault="00E67DA4" w:rsidP="00C01A94">
            <w:pPr>
              <w:spacing w:before="120" w:after="100" w:line="240" w:lineRule="atLeast"/>
              <w:rPr>
                <w:rFonts w:cs="Arial"/>
                <w:sz w:val="18"/>
                <w:szCs w:val="18"/>
                <w:lang w:val="bg-BG"/>
              </w:rPr>
            </w:pPr>
            <w:r w:rsidRPr="009072DA">
              <w:rPr>
                <w:sz w:val="18"/>
                <w:lang w:val="bg-BG"/>
              </w:rPr>
              <w:t>Дублирани регулиращи клапани при хидравлични задвижващи звена</w:t>
            </w:r>
          </w:p>
        </w:tc>
        <w:tc>
          <w:tcPr>
            <w:tcW w:w="5387" w:type="dxa"/>
            <w:shd w:val="clear" w:color="auto" w:fill="auto"/>
          </w:tcPr>
          <w:p w:rsidR="00E67DA4" w:rsidRPr="009072DA" w:rsidRDefault="008761D9" w:rsidP="00C01A94">
            <w:pPr>
              <w:spacing w:before="120" w:after="10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E67DA4" w:rsidRPr="009072DA" w:rsidRDefault="00E67DA4" w:rsidP="00C01A94">
            <w:pPr>
              <w:spacing w:before="120" w:after="100" w:line="240" w:lineRule="atLeast"/>
              <w:rPr>
                <w:rFonts w:cs="Arial"/>
                <w:sz w:val="18"/>
                <w:szCs w:val="18"/>
                <w:lang w:val="bg-BG"/>
              </w:rPr>
            </w:pPr>
            <w:r w:rsidRPr="009072DA">
              <w:rPr>
                <w:sz w:val="18"/>
                <w:lang w:val="bg-BG"/>
              </w:rPr>
              <w:t>1.1.2020 г.</w:t>
            </w:r>
          </w:p>
        </w:tc>
        <w:tc>
          <w:tcPr>
            <w:tcW w:w="1276" w:type="dxa"/>
          </w:tcPr>
          <w:p w:rsidR="00E67DA4" w:rsidRPr="009072DA" w:rsidRDefault="00E67DA4" w:rsidP="00C01A94">
            <w:pPr>
              <w:spacing w:before="120" w:after="100" w:line="240" w:lineRule="atLeast"/>
              <w:rPr>
                <w:rFonts w:cs="Arial"/>
                <w:sz w:val="18"/>
                <w:szCs w:val="18"/>
                <w:lang w:val="bg-BG"/>
              </w:rPr>
            </w:pPr>
            <w:r w:rsidRPr="009072DA">
              <w:rPr>
                <w:sz w:val="18"/>
                <w:lang w:val="bg-BG"/>
              </w:rPr>
              <w:t>1.4.2007 г.</w:t>
            </w:r>
          </w:p>
        </w:tc>
      </w:tr>
      <w:tr w:rsidR="00E67DA4" w:rsidRPr="009072DA" w:rsidTr="000E732C">
        <w:trPr>
          <w:cantSplit/>
          <w:trHeight w:val="1208"/>
          <w:jc w:val="center"/>
        </w:trPr>
        <w:tc>
          <w:tcPr>
            <w:tcW w:w="1342" w:type="dxa"/>
            <w:vMerge/>
            <w:shd w:val="clear" w:color="auto" w:fill="auto"/>
          </w:tcPr>
          <w:p w:rsidR="00E67DA4" w:rsidRPr="009072DA" w:rsidRDefault="00E67DA4" w:rsidP="00C01A94">
            <w:pPr>
              <w:spacing w:before="120" w:after="100" w:line="240" w:lineRule="atLeast"/>
              <w:rPr>
                <w:rFonts w:cs="Arial"/>
                <w:sz w:val="18"/>
                <w:szCs w:val="18"/>
                <w:lang w:val="bg-BG"/>
              </w:rPr>
            </w:pPr>
          </w:p>
        </w:tc>
        <w:tc>
          <w:tcPr>
            <w:tcW w:w="1458" w:type="dxa"/>
            <w:vMerge/>
            <w:shd w:val="clear" w:color="auto" w:fill="auto"/>
          </w:tcPr>
          <w:p w:rsidR="00E67DA4" w:rsidRPr="009072DA" w:rsidRDefault="00E67DA4" w:rsidP="00C01A94">
            <w:pPr>
              <w:spacing w:before="120" w:after="100" w:line="240" w:lineRule="atLeast"/>
              <w:rPr>
                <w:rFonts w:cs="Arial"/>
                <w:sz w:val="18"/>
                <w:szCs w:val="18"/>
                <w:lang w:val="bg-BG"/>
              </w:rPr>
            </w:pPr>
          </w:p>
        </w:tc>
        <w:tc>
          <w:tcPr>
            <w:tcW w:w="3296" w:type="dxa"/>
            <w:shd w:val="clear" w:color="auto" w:fill="auto"/>
          </w:tcPr>
          <w:p w:rsidR="00E67DA4" w:rsidRPr="009072DA" w:rsidRDefault="00E67DA4" w:rsidP="00C01A94">
            <w:pPr>
              <w:tabs>
                <w:tab w:val="left" w:pos="1125"/>
              </w:tabs>
              <w:spacing w:before="120" w:after="100" w:line="240" w:lineRule="atLeast"/>
              <w:rPr>
                <w:rFonts w:cs="Arial"/>
                <w:sz w:val="18"/>
                <w:szCs w:val="18"/>
                <w:lang w:val="bg-BG"/>
              </w:rPr>
            </w:pPr>
            <w:r w:rsidRPr="009072DA">
              <w:rPr>
                <w:sz w:val="18"/>
                <w:lang w:val="bg-BG"/>
              </w:rPr>
              <w:t>Отделна система от тръбопроводи за второто задвижващо звено в случай на хидравлични задвижващи звена</w:t>
            </w:r>
          </w:p>
        </w:tc>
        <w:tc>
          <w:tcPr>
            <w:tcW w:w="5387" w:type="dxa"/>
            <w:shd w:val="clear" w:color="auto" w:fill="auto"/>
          </w:tcPr>
          <w:p w:rsidR="00E67DA4" w:rsidRPr="009072DA" w:rsidRDefault="008761D9" w:rsidP="00C01A94">
            <w:pPr>
              <w:spacing w:before="120" w:after="10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E67DA4" w:rsidRPr="009072DA" w:rsidRDefault="00E67DA4" w:rsidP="00C01A94">
            <w:pPr>
              <w:spacing w:before="120" w:after="100" w:line="240" w:lineRule="atLeast"/>
              <w:rPr>
                <w:rFonts w:cs="Arial"/>
                <w:sz w:val="18"/>
                <w:szCs w:val="18"/>
                <w:lang w:val="bg-BG"/>
              </w:rPr>
            </w:pPr>
            <w:r w:rsidRPr="009072DA">
              <w:rPr>
                <w:sz w:val="18"/>
                <w:lang w:val="bg-BG"/>
              </w:rPr>
              <w:t>1.1.2020 г.</w:t>
            </w:r>
          </w:p>
        </w:tc>
        <w:tc>
          <w:tcPr>
            <w:tcW w:w="1276" w:type="dxa"/>
          </w:tcPr>
          <w:p w:rsidR="00E67DA4" w:rsidRPr="009072DA" w:rsidRDefault="00E67DA4" w:rsidP="00C01A94">
            <w:pPr>
              <w:spacing w:before="120" w:after="100" w:line="240" w:lineRule="atLeast"/>
              <w:rPr>
                <w:rFonts w:cs="Arial"/>
                <w:sz w:val="18"/>
                <w:szCs w:val="18"/>
                <w:lang w:val="bg-BG"/>
              </w:rPr>
            </w:pPr>
            <w:r w:rsidRPr="009072DA">
              <w:rPr>
                <w:sz w:val="18"/>
                <w:lang w:val="bg-BG"/>
              </w:rPr>
              <w:t>1.4.2007 г.</w:t>
            </w:r>
          </w:p>
        </w:tc>
      </w:tr>
      <w:tr w:rsidR="00E67DA4" w:rsidRPr="009072DA" w:rsidTr="00E67DA4">
        <w:trPr>
          <w:cantSplit/>
          <w:jc w:val="center"/>
        </w:trPr>
        <w:tc>
          <w:tcPr>
            <w:tcW w:w="1342" w:type="dxa"/>
            <w:shd w:val="clear" w:color="auto" w:fill="auto"/>
          </w:tcPr>
          <w:p w:rsidR="00E67DA4" w:rsidRPr="009072DA" w:rsidRDefault="00E67DA4" w:rsidP="00C01A94">
            <w:pPr>
              <w:spacing w:before="120" w:after="100" w:line="240" w:lineRule="atLeast"/>
              <w:rPr>
                <w:rFonts w:cs="Arial"/>
                <w:sz w:val="18"/>
                <w:szCs w:val="18"/>
                <w:lang w:val="bg-BG"/>
              </w:rPr>
            </w:pPr>
            <w:r w:rsidRPr="009072DA">
              <w:rPr>
                <w:sz w:val="18"/>
                <w:lang w:val="bg-BG"/>
              </w:rPr>
              <w:t>6.07</w:t>
            </w:r>
          </w:p>
        </w:tc>
        <w:tc>
          <w:tcPr>
            <w:tcW w:w="1458" w:type="dxa"/>
            <w:shd w:val="clear" w:color="auto" w:fill="auto"/>
          </w:tcPr>
          <w:p w:rsidR="00E67DA4" w:rsidRPr="009072DA" w:rsidRDefault="002B3AE0" w:rsidP="00C01A94">
            <w:pPr>
              <w:spacing w:before="120" w:after="100" w:line="240" w:lineRule="atLeast"/>
              <w:rPr>
                <w:rFonts w:cs="Arial"/>
                <w:sz w:val="18"/>
                <w:szCs w:val="18"/>
                <w:lang w:val="bg-BG"/>
              </w:rPr>
            </w:pPr>
            <w:r w:rsidRPr="009072DA">
              <w:rPr>
                <w:sz w:val="18"/>
                <w:lang w:val="bg-BG"/>
              </w:rPr>
              <w:t>Точка 2, буква a)</w:t>
            </w:r>
          </w:p>
        </w:tc>
        <w:tc>
          <w:tcPr>
            <w:tcW w:w="3296" w:type="dxa"/>
            <w:shd w:val="clear" w:color="auto" w:fill="auto"/>
          </w:tcPr>
          <w:p w:rsidR="00E67DA4" w:rsidRPr="009072DA" w:rsidRDefault="00E67DA4" w:rsidP="00C01A94">
            <w:pPr>
              <w:tabs>
                <w:tab w:val="left" w:pos="1080"/>
              </w:tabs>
              <w:spacing w:before="120" w:after="100" w:line="240" w:lineRule="atLeast"/>
              <w:rPr>
                <w:rFonts w:cs="Arial"/>
                <w:sz w:val="18"/>
                <w:szCs w:val="18"/>
                <w:lang w:val="bg-BG"/>
              </w:rPr>
            </w:pPr>
            <w:r w:rsidRPr="009072DA">
              <w:rPr>
                <w:sz w:val="18"/>
                <w:lang w:val="bg-BG"/>
              </w:rPr>
              <w:t>Сигнализация за нивото на хидравличните резервоари и сигнализация за работното налягане</w:t>
            </w:r>
          </w:p>
        </w:tc>
        <w:tc>
          <w:tcPr>
            <w:tcW w:w="5387" w:type="dxa"/>
            <w:shd w:val="clear" w:color="auto" w:fill="auto"/>
          </w:tcPr>
          <w:p w:rsidR="00E67DA4" w:rsidRPr="009072DA" w:rsidRDefault="008761D9" w:rsidP="00C01A94">
            <w:pPr>
              <w:spacing w:before="120" w:after="10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E67DA4" w:rsidRPr="009072DA" w:rsidRDefault="00E67DA4" w:rsidP="00C01A94">
            <w:pPr>
              <w:spacing w:before="120" w:after="100" w:line="240" w:lineRule="atLeast"/>
              <w:rPr>
                <w:rFonts w:cs="Arial"/>
                <w:sz w:val="18"/>
                <w:szCs w:val="18"/>
                <w:lang w:val="bg-BG"/>
              </w:rPr>
            </w:pPr>
            <w:r w:rsidRPr="009072DA">
              <w:rPr>
                <w:sz w:val="18"/>
                <w:lang w:val="bg-BG"/>
              </w:rPr>
              <w:t>1.1.2010 г.</w:t>
            </w:r>
          </w:p>
        </w:tc>
        <w:tc>
          <w:tcPr>
            <w:tcW w:w="1276" w:type="dxa"/>
          </w:tcPr>
          <w:p w:rsidR="00E67DA4" w:rsidRPr="009072DA" w:rsidRDefault="00E67DA4" w:rsidP="00C01A94">
            <w:pPr>
              <w:spacing w:before="120" w:after="100" w:line="240" w:lineRule="atLeast"/>
              <w:rPr>
                <w:rFonts w:cs="Arial"/>
                <w:sz w:val="18"/>
                <w:szCs w:val="18"/>
                <w:lang w:val="bg-BG"/>
              </w:rPr>
            </w:pPr>
            <w:r w:rsidRPr="009072DA">
              <w:rPr>
                <w:sz w:val="18"/>
                <w:lang w:val="bg-BG"/>
              </w:rPr>
              <w:t>1.4.2007 г.</w:t>
            </w:r>
          </w:p>
        </w:tc>
      </w:tr>
      <w:tr w:rsidR="00E67DA4" w:rsidRPr="009072DA" w:rsidTr="007E2EA9">
        <w:trPr>
          <w:cantSplit/>
          <w:trHeight w:val="499"/>
          <w:jc w:val="center"/>
        </w:trPr>
        <w:tc>
          <w:tcPr>
            <w:tcW w:w="6096" w:type="dxa"/>
            <w:gridSpan w:val="3"/>
            <w:shd w:val="clear" w:color="auto" w:fill="auto"/>
          </w:tcPr>
          <w:p w:rsidR="00E67DA4" w:rsidRPr="009072DA" w:rsidRDefault="00E67DA4" w:rsidP="00C01A94">
            <w:pPr>
              <w:spacing w:before="60" w:after="60" w:line="240" w:lineRule="atLeast"/>
              <w:jc w:val="center"/>
              <w:rPr>
                <w:rFonts w:cs="Arial"/>
                <w:sz w:val="18"/>
                <w:szCs w:val="18"/>
                <w:lang w:val="bg-BG"/>
              </w:rPr>
            </w:pPr>
            <w:r w:rsidRPr="009072DA">
              <w:rPr>
                <w:b/>
                <w:sz w:val="18"/>
                <w:lang w:val="bg-BG"/>
              </w:rPr>
              <w:t>ГЛАВА 7</w:t>
            </w:r>
          </w:p>
        </w:tc>
        <w:tc>
          <w:tcPr>
            <w:tcW w:w="5387" w:type="dxa"/>
            <w:shd w:val="clear" w:color="auto" w:fill="auto"/>
          </w:tcPr>
          <w:p w:rsidR="00E67DA4" w:rsidRPr="009072DA" w:rsidRDefault="00E67DA4" w:rsidP="00C01A94">
            <w:pPr>
              <w:spacing w:before="60" w:after="60" w:line="240" w:lineRule="atLeast"/>
              <w:rPr>
                <w:rFonts w:cs="Arial"/>
                <w:sz w:val="18"/>
                <w:szCs w:val="18"/>
                <w:lang w:val="bg-BG"/>
              </w:rPr>
            </w:pPr>
          </w:p>
        </w:tc>
        <w:tc>
          <w:tcPr>
            <w:tcW w:w="1276" w:type="dxa"/>
            <w:shd w:val="clear" w:color="auto" w:fill="auto"/>
          </w:tcPr>
          <w:p w:rsidR="00E67DA4" w:rsidRPr="009072DA" w:rsidRDefault="00E67DA4" w:rsidP="00C01A94">
            <w:pPr>
              <w:spacing w:before="60" w:after="60" w:line="240" w:lineRule="atLeast"/>
              <w:rPr>
                <w:rFonts w:cs="Arial"/>
                <w:sz w:val="18"/>
                <w:szCs w:val="18"/>
                <w:lang w:val="bg-BG"/>
              </w:rPr>
            </w:pPr>
          </w:p>
        </w:tc>
        <w:tc>
          <w:tcPr>
            <w:tcW w:w="1276" w:type="dxa"/>
          </w:tcPr>
          <w:p w:rsidR="00E67DA4" w:rsidRPr="009072DA" w:rsidRDefault="00E67DA4" w:rsidP="00C01A94">
            <w:pPr>
              <w:spacing w:before="60" w:after="60" w:line="240" w:lineRule="atLeast"/>
              <w:rPr>
                <w:rFonts w:cs="Arial"/>
                <w:sz w:val="18"/>
                <w:szCs w:val="18"/>
                <w:lang w:val="bg-BG"/>
              </w:rPr>
            </w:pPr>
          </w:p>
        </w:tc>
      </w:tr>
      <w:tr w:rsidR="00E67DA4" w:rsidRPr="009072DA" w:rsidTr="005034E6">
        <w:trPr>
          <w:cantSplit/>
          <w:jc w:val="center"/>
        </w:trPr>
        <w:tc>
          <w:tcPr>
            <w:tcW w:w="1342" w:type="dxa"/>
            <w:tcBorders>
              <w:bottom w:val="single" w:sz="4" w:space="0" w:color="auto"/>
            </w:tcBorders>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7.02</w:t>
            </w:r>
          </w:p>
        </w:tc>
        <w:tc>
          <w:tcPr>
            <w:tcW w:w="1458"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Точка 6</w:t>
            </w:r>
          </w:p>
        </w:tc>
        <w:tc>
          <w:tcPr>
            <w:tcW w:w="329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Параметри на безопасното стъкло</w:t>
            </w:r>
          </w:p>
        </w:tc>
        <w:tc>
          <w:tcPr>
            <w:tcW w:w="5387" w:type="dxa"/>
            <w:shd w:val="clear" w:color="auto" w:fill="auto"/>
          </w:tcPr>
          <w:p w:rsidR="00E67DA4" w:rsidRPr="009072DA" w:rsidRDefault="008761D9" w:rsidP="00C01A94">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E67DA4" w:rsidRPr="009072DA" w:rsidRDefault="00E67DA4" w:rsidP="00C01A94">
            <w:pPr>
              <w:spacing w:before="60" w:after="60" w:line="240" w:lineRule="atLeast"/>
              <w:rPr>
                <w:rFonts w:cs="Arial"/>
                <w:sz w:val="18"/>
                <w:szCs w:val="18"/>
                <w:lang w:val="bg-BG"/>
              </w:rPr>
            </w:pPr>
          </w:p>
        </w:tc>
        <w:tc>
          <w:tcPr>
            <w:tcW w:w="1276" w:type="dxa"/>
          </w:tcPr>
          <w:p w:rsidR="00E67DA4" w:rsidRPr="009072DA" w:rsidRDefault="00401300" w:rsidP="00C01A94">
            <w:pPr>
              <w:spacing w:before="60" w:after="60" w:line="240" w:lineRule="atLeast"/>
              <w:rPr>
                <w:rFonts w:cs="Arial"/>
                <w:sz w:val="18"/>
                <w:szCs w:val="18"/>
                <w:lang w:val="bg-BG"/>
              </w:rPr>
            </w:pPr>
            <w:r w:rsidRPr="009072DA">
              <w:rPr>
                <w:sz w:val="18"/>
                <w:lang w:val="bg-BG"/>
              </w:rPr>
              <w:t>7.10.2018 г.</w:t>
            </w:r>
          </w:p>
        </w:tc>
      </w:tr>
      <w:tr w:rsidR="00E67DA4" w:rsidRPr="009072DA" w:rsidTr="005034E6">
        <w:trPr>
          <w:cantSplit/>
          <w:jc w:val="center"/>
        </w:trPr>
        <w:tc>
          <w:tcPr>
            <w:tcW w:w="1342" w:type="dxa"/>
            <w:vMerge w:val="restart"/>
            <w:tcBorders>
              <w:bottom w:val="nil"/>
            </w:tcBorders>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7.04</w:t>
            </w:r>
          </w:p>
        </w:tc>
        <w:tc>
          <w:tcPr>
            <w:tcW w:w="1458"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Точка 3</w:t>
            </w:r>
          </w:p>
        </w:tc>
        <w:tc>
          <w:tcPr>
            <w:tcW w:w="329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Показване</w:t>
            </w:r>
          </w:p>
        </w:tc>
        <w:tc>
          <w:tcPr>
            <w:tcW w:w="5387"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Освен ако рулевите рубки не са били проектирани за управление с радиолокационни средства от едно лице: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1.1.2010 г.</w:t>
            </w:r>
          </w:p>
        </w:tc>
        <w:tc>
          <w:tcPr>
            <w:tcW w:w="1276" w:type="dxa"/>
          </w:tcPr>
          <w:p w:rsidR="00E67DA4" w:rsidRPr="009072DA" w:rsidRDefault="00E67DA4" w:rsidP="00C01A94">
            <w:pPr>
              <w:spacing w:before="60" w:after="60" w:line="240" w:lineRule="atLeast"/>
              <w:rPr>
                <w:rFonts w:cs="Arial"/>
                <w:sz w:val="18"/>
                <w:szCs w:val="18"/>
                <w:lang w:val="bg-BG"/>
              </w:rPr>
            </w:pPr>
            <w:r w:rsidRPr="009072DA">
              <w:rPr>
                <w:sz w:val="18"/>
                <w:lang w:val="bg-BG"/>
              </w:rPr>
              <w:t>1.4.2007 г.</w:t>
            </w:r>
          </w:p>
        </w:tc>
      </w:tr>
      <w:tr w:rsidR="00E67DA4" w:rsidRPr="009072DA" w:rsidTr="005034E6">
        <w:trPr>
          <w:cantSplit/>
          <w:jc w:val="center"/>
        </w:trPr>
        <w:tc>
          <w:tcPr>
            <w:tcW w:w="1342" w:type="dxa"/>
            <w:vMerge/>
            <w:tcBorders>
              <w:bottom w:val="nil"/>
            </w:tcBorders>
            <w:shd w:val="clear" w:color="auto" w:fill="auto"/>
          </w:tcPr>
          <w:p w:rsidR="00E67DA4" w:rsidRPr="009072DA" w:rsidRDefault="00E67DA4" w:rsidP="00C01A94">
            <w:pPr>
              <w:spacing w:before="60" w:after="60" w:line="240" w:lineRule="atLeast"/>
              <w:rPr>
                <w:rFonts w:cs="Arial"/>
                <w:sz w:val="18"/>
                <w:szCs w:val="18"/>
                <w:lang w:val="bg-BG"/>
              </w:rPr>
            </w:pPr>
          </w:p>
        </w:tc>
        <w:tc>
          <w:tcPr>
            <w:tcW w:w="1458"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Точка 9, 3</w:t>
            </w:r>
            <w:r w:rsidRPr="009072DA">
              <w:rPr>
                <w:sz w:val="18"/>
                <w:vertAlign w:val="superscript"/>
                <w:lang w:val="bg-BG"/>
              </w:rPr>
              <w:t>то </w:t>
            </w:r>
            <w:r w:rsidRPr="009072DA">
              <w:rPr>
                <w:sz w:val="18"/>
                <w:lang w:val="bg-BG"/>
              </w:rPr>
              <w:t>изречение</w:t>
            </w:r>
          </w:p>
        </w:tc>
        <w:tc>
          <w:tcPr>
            <w:tcW w:w="329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Управление чрез ръкохватка</w:t>
            </w:r>
          </w:p>
        </w:tc>
        <w:tc>
          <w:tcPr>
            <w:tcW w:w="5387" w:type="dxa"/>
            <w:shd w:val="clear" w:color="auto" w:fill="auto"/>
          </w:tcPr>
          <w:p w:rsidR="00E67DA4" w:rsidRPr="009072DA" w:rsidRDefault="008761D9" w:rsidP="00C01A94">
            <w:pPr>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1.1.2010 г.</w:t>
            </w:r>
          </w:p>
        </w:tc>
        <w:tc>
          <w:tcPr>
            <w:tcW w:w="1276" w:type="dxa"/>
          </w:tcPr>
          <w:p w:rsidR="00E67DA4" w:rsidRPr="009072DA" w:rsidRDefault="00E67DA4" w:rsidP="00C01A94">
            <w:pPr>
              <w:spacing w:before="60" w:after="60" w:line="240" w:lineRule="atLeast"/>
              <w:rPr>
                <w:rFonts w:cs="Arial"/>
                <w:sz w:val="18"/>
                <w:szCs w:val="18"/>
                <w:lang w:val="bg-BG"/>
              </w:rPr>
            </w:pPr>
            <w:r w:rsidRPr="009072DA">
              <w:rPr>
                <w:sz w:val="18"/>
                <w:lang w:val="bg-BG"/>
              </w:rPr>
              <w:t>1.4.2007 г.</w:t>
            </w:r>
          </w:p>
        </w:tc>
      </w:tr>
      <w:tr w:rsidR="00E67DA4" w:rsidRPr="009072DA" w:rsidTr="00605BA5">
        <w:trPr>
          <w:cantSplit/>
          <w:jc w:val="center"/>
        </w:trPr>
        <w:tc>
          <w:tcPr>
            <w:tcW w:w="1342" w:type="dxa"/>
            <w:vMerge/>
            <w:tcBorders>
              <w:bottom w:val="single" w:sz="4" w:space="0" w:color="auto"/>
            </w:tcBorders>
            <w:shd w:val="clear" w:color="auto" w:fill="auto"/>
          </w:tcPr>
          <w:p w:rsidR="00E67DA4" w:rsidRPr="009072DA" w:rsidRDefault="00E67DA4" w:rsidP="00C01A94">
            <w:pPr>
              <w:spacing w:before="60" w:after="60" w:line="240" w:lineRule="atLeast"/>
              <w:rPr>
                <w:rFonts w:cs="Arial"/>
                <w:sz w:val="18"/>
                <w:szCs w:val="18"/>
                <w:lang w:val="bg-BG"/>
              </w:rPr>
            </w:pPr>
          </w:p>
        </w:tc>
        <w:tc>
          <w:tcPr>
            <w:tcW w:w="1458"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Точка 9, 4-то изречение</w:t>
            </w:r>
          </w:p>
        </w:tc>
        <w:tc>
          <w:tcPr>
            <w:tcW w:w="329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Ясно показване на посоката на тягата</w:t>
            </w:r>
          </w:p>
        </w:tc>
        <w:tc>
          <w:tcPr>
            <w:tcW w:w="5387" w:type="dxa"/>
            <w:shd w:val="clear" w:color="auto" w:fill="auto"/>
          </w:tcPr>
          <w:p w:rsidR="00E67DA4" w:rsidRPr="009072DA" w:rsidRDefault="008761D9" w:rsidP="00C01A94">
            <w:pPr>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E67DA4" w:rsidRPr="009072DA" w:rsidRDefault="00E67DA4" w:rsidP="00C01A94">
            <w:pPr>
              <w:spacing w:before="60" w:after="60" w:line="240" w:lineRule="atLeast"/>
              <w:rPr>
                <w:rFonts w:cs="Arial"/>
                <w:sz w:val="18"/>
                <w:szCs w:val="18"/>
                <w:lang w:val="bg-BG"/>
              </w:rPr>
            </w:pPr>
            <w:r w:rsidRPr="009072DA">
              <w:rPr>
                <w:sz w:val="18"/>
                <w:lang w:val="bg-BG"/>
              </w:rPr>
              <w:t>1.1.2010 г.</w:t>
            </w:r>
          </w:p>
        </w:tc>
        <w:tc>
          <w:tcPr>
            <w:tcW w:w="1276" w:type="dxa"/>
          </w:tcPr>
          <w:p w:rsidR="00E67DA4" w:rsidRPr="009072DA" w:rsidRDefault="00E67DA4" w:rsidP="00C01A94">
            <w:pPr>
              <w:spacing w:before="60" w:after="60" w:line="240" w:lineRule="atLeast"/>
              <w:rPr>
                <w:rFonts w:cs="Arial"/>
                <w:sz w:val="18"/>
                <w:szCs w:val="18"/>
                <w:lang w:val="bg-BG"/>
              </w:rPr>
            </w:pPr>
            <w:r w:rsidRPr="009072DA">
              <w:rPr>
                <w:sz w:val="18"/>
                <w:lang w:val="bg-BG"/>
              </w:rPr>
              <w:t>1.4.2007 г.</w:t>
            </w:r>
          </w:p>
        </w:tc>
      </w:tr>
      <w:tr w:rsidR="00605BA5" w:rsidRPr="009072DA" w:rsidTr="00605BA5">
        <w:trPr>
          <w:cantSplit/>
          <w:jc w:val="center"/>
        </w:trPr>
        <w:tc>
          <w:tcPr>
            <w:tcW w:w="1342" w:type="dxa"/>
            <w:tcBorders>
              <w:top w:val="single" w:sz="4" w:space="0" w:color="auto"/>
              <w:bottom w:val="single" w:sz="4" w:space="0" w:color="auto"/>
            </w:tcBorders>
            <w:shd w:val="clear" w:color="auto" w:fill="auto"/>
          </w:tcPr>
          <w:p w:rsidR="00605BA5" w:rsidRPr="009072DA" w:rsidRDefault="00605BA5" w:rsidP="00C01A94">
            <w:pPr>
              <w:spacing w:before="60" w:after="60" w:line="240" w:lineRule="atLeast"/>
              <w:rPr>
                <w:rFonts w:cs="Arial"/>
                <w:sz w:val="18"/>
                <w:szCs w:val="18"/>
                <w:lang w:val="bg-BG"/>
              </w:rPr>
            </w:pPr>
            <w:r w:rsidRPr="009072DA">
              <w:rPr>
                <w:sz w:val="18"/>
                <w:lang w:val="bg-BG"/>
              </w:rPr>
              <w:t>7.05</w:t>
            </w:r>
          </w:p>
        </w:tc>
        <w:tc>
          <w:tcPr>
            <w:tcW w:w="1458" w:type="dxa"/>
            <w:shd w:val="clear" w:color="auto" w:fill="auto"/>
          </w:tcPr>
          <w:p w:rsidR="00605BA5" w:rsidRPr="009072DA" w:rsidRDefault="00605BA5" w:rsidP="00C01A94">
            <w:pPr>
              <w:spacing w:before="60" w:after="60" w:line="240" w:lineRule="atLeast"/>
              <w:rPr>
                <w:rFonts w:cs="Arial"/>
                <w:sz w:val="18"/>
                <w:szCs w:val="18"/>
                <w:lang w:val="bg-BG"/>
              </w:rPr>
            </w:pPr>
            <w:r w:rsidRPr="009072DA">
              <w:rPr>
                <w:sz w:val="18"/>
                <w:lang w:val="bg-BG"/>
              </w:rPr>
              <w:t>Точка 1</w:t>
            </w:r>
          </w:p>
        </w:tc>
        <w:tc>
          <w:tcPr>
            <w:tcW w:w="3296" w:type="dxa"/>
            <w:shd w:val="clear" w:color="auto" w:fill="auto"/>
          </w:tcPr>
          <w:p w:rsidR="00605BA5" w:rsidRPr="009072DA" w:rsidRDefault="00605BA5" w:rsidP="00C01A94">
            <w:pPr>
              <w:spacing w:before="60" w:after="60" w:line="240" w:lineRule="atLeast"/>
              <w:rPr>
                <w:rFonts w:cs="Arial"/>
                <w:sz w:val="18"/>
                <w:szCs w:val="18"/>
                <w:lang w:val="bg-BG"/>
              </w:rPr>
            </w:pPr>
            <w:r w:rsidRPr="009072DA">
              <w:rPr>
                <w:sz w:val="18"/>
                <w:lang w:val="bg-BG"/>
              </w:rPr>
              <w:t>Навигационни светлини, техните осветители, принадлежности и светлинни източници</w:t>
            </w:r>
          </w:p>
        </w:tc>
        <w:tc>
          <w:tcPr>
            <w:tcW w:w="5387" w:type="dxa"/>
            <w:shd w:val="clear" w:color="auto" w:fill="auto"/>
          </w:tcPr>
          <w:p w:rsidR="00605BA5" w:rsidRPr="009072DA" w:rsidRDefault="00605BA5" w:rsidP="00C01A94">
            <w:pPr>
              <w:spacing w:before="60" w:after="60" w:line="240" w:lineRule="atLeast"/>
              <w:rPr>
                <w:rFonts w:cs="Arial"/>
                <w:sz w:val="18"/>
                <w:szCs w:val="18"/>
                <w:lang w:val="bg-BG"/>
              </w:rPr>
            </w:pPr>
            <w:r w:rsidRPr="009072DA">
              <w:rPr>
                <w:sz w:val="18"/>
                <w:lang w:val="bg-BG"/>
              </w:rPr>
              <w:t>Все още могат да се използват навигационни светлини, техни осветители, принадлежности и светлинни източници, които отговарят на изискванията за цвета и интензитета на светлините на борда и за допускане на навигационни светлини за корабоплаването по река Рейн, считано от 30 ноември 2009 г.</w:t>
            </w:r>
          </w:p>
        </w:tc>
        <w:tc>
          <w:tcPr>
            <w:tcW w:w="1276" w:type="dxa"/>
            <w:shd w:val="clear" w:color="auto" w:fill="auto"/>
          </w:tcPr>
          <w:p w:rsidR="00605BA5" w:rsidRPr="009072DA" w:rsidRDefault="00605BA5" w:rsidP="00C01A94">
            <w:pPr>
              <w:spacing w:before="60" w:after="60" w:line="240" w:lineRule="atLeast"/>
              <w:rPr>
                <w:rFonts w:cs="Arial"/>
                <w:sz w:val="18"/>
                <w:szCs w:val="18"/>
                <w:lang w:val="bg-BG"/>
              </w:rPr>
            </w:pPr>
          </w:p>
        </w:tc>
        <w:tc>
          <w:tcPr>
            <w:tcW w:w="1276" w:type="dxa"/>
          </w:tcPr>
          <w:p w:rsidR="00605BA5" w:rsidRPr="009072DA" w:rsidRDefault="00605BA5" w:rsidP="00C01A94">
            <w:pPr>
              <w:spacing w:before="60" w:after="60" w:line="240" w:lineRule="atLeast"/>
              <w:rPr>
                <w:rFonts w:cs="Arial"/>
                <w:color w:val="FF0000"/>
                <w:sz w:val="18"/>
                <w:szCs w:val="18"/>
                <w:lang w:val="bg-BG"/>
              </w:rPr>
            </w:pPr>
            <w:r w:rsidRPr="009072DA">
              <w:rPr>
                <w:sz w:val="18"/>
                <w:lang w:val="bg-BG"/>
              </w:rPr>
              <w:t>1.12.2009 г.</w:t>
            </w:r>
          </w:p>
        </w:tc>
      </w:tr>
      <w:tr w:rsidR="00605BA5" w:rsidRPr="009072DA" w:rsidTr="00605BA5">
        <w:trPr>
          <w:cantSplit/>
          <w:jc w:val="center"/>
        </w:trPr>
        <w:tc>
          <w:tcPr>
            <w:tcW w:w="1342" w:type="dxa"/>
            <w:tcBorders>
              <w:top w:val="single" w:sz="4" w:space="0" w:color="auto"/>
              <w:bottom w:val="nil"/>
            </w:tcBorders>
            <w:shd w:val="clear" w:color="auto" w:fill="auto"/>
          </w:tcPr>
          <w:p w:rsidR="00605BA5" w:rsidRPr="009072DA" w:rsidRDefault="00605BA5" w:rsidP="00C01A94">
            <w:pPr>
              <w:spacing w:before="60" w:after="60" w:line="240" w:lineRule="atLeast"/>
              <w:rPr>
                <w:rFonts w:cs="Arial"/>
                <w:sz w:val="18"/>
                <w:szCs w:val="18"/>
                <w:lang w:val="bg-BG"/>
              </w:rPr>
            </w:pPr>
            <w:r w:rsidRPr="009072DA">
              <w:rPr>
                <w:sz w:val="18"/>
                <w:lang w:val="bg-BG"/>
              </w:rPr>
              <w:lastRenderedPageBreak/>
              <w:t>7.06</w:t>
            </w:r>
          </w:p>
        </w:tc>
        <w:tc>
          <w:tcPr>
            <w:tcW w:w="1458" w:type="dxa"/>
            <w:shd w:val="clear" w:color="auto" w:fill="auto"/>
          </w:tcPr>
          <w:p w:rsidR="00605BA5" w:rsidRPr="009072DA" w:rsidRDefault="00605BA5" w:rsidP="00C01A94">
            <w:pPr>
              <w:spacing w:before="60" w:after="60" w:line="240" w:lineRule="atLeast"/>
              <w:rPr>
                <w:rFonts w:cs="Arial"/>
                <w:sz w:val="18"/>
                <w:szCs w:val="18"/>
                <w:lang w:val="bg-BG"/>
              </w:rPr>
            </w:pPr>
            <w:r w:rsidRPr="009072DA">
              <w:rPr>
                <w:sz w:val="18"/>
                <w:lang w:val="bg-BG"/>
              </w:rPr>
              <w:t>Точка 1</w:t>
            </w:r>
          </w:p>
        </w:tc>
        <w:tc>
          <w:tcPr>
            <w:tcW w:w="3296" w:type="dxa"/>
            <w:shd w:val="clear" w:color="auto" w:fill="auto"/>
          </w:tcPr>
          <w:p w:rsidR="00605BA5" w:rsidRPr="009072DA" w:rsidRDefault="00605BA5" w:rsidP="00C01A94">
            <w:pPr>
              <w:spacing w:before="60" w:after="60" w:line="240" w:lineRule="atLeast"/>
              <w:rPr>
                <w:rFonts w:cs="Arial"/>
                <w:sz w:val="18"/>
                <w:szCs w:val="18"/>
                <w:lang w:val="bg-BG"/>
              </w:rPr>
            </w:pPr>
            <w:r w:rsidRPr="009072DA">
              <w:rPr>
                <w:sz w:val="18"/>
                <w:lang w:val="bg-BG"/>
              </w:rPr>
              <w:t>Индикатори на ъгловата скорост на поворот, одобрени преди 1 януари 1990 г.</w:t>
            </w:r>
          </w:p>
        </w:tc>
        <w:tc>
          <w:tcPr>
            <w:tcW w:w="5387" w:type="dxa"/>
            <w:shd w:val="clear" w:color="auto" w:fill="auto"/>
          </w:tcPr>
          <w:p w:rsidR="00605BA5" w:rsidRPr="009072DA" w:rsidRDefault="00605BA5" w:rsidP="00C01A94">
            <w:pPr>
              <w:spacing w:before="60" w:after="60" w:line="240" w:lineRule="atLeast"/>
              <w:rPr>
                <w:rFonts w:cs="Arial"/>
                <w:sz w:val="18"/>
                <w:szCs w:val="18"/>
                <w:lang w:val="bg-BG"/>
              </w:rPr>
            </w:pPr>
            <w:r w:rsidRPr="009072DA">
              <w:rPr>
                <w:sz w:val="18"/>
                <w:lang w:val="bg-BG"/>
              </w:rPr>
              <w:t>Индикаторите на ъгловата скорост на поворот, одобрени преди 1 януари 1990 г. и инсталирани преди 1 януари 2000 г., могат да бъдат запазени и да се използват до подновяване на удостоверението на плавателния съд за плаване по вътрешни водни пътища след 1 януари 2015 г., ако е налице валидно удостоверение за монтаж в съответствие с Директива 2006/87/ЕО</w:t>
            </w:r>
            <w:r w:rsidRPr="009072DA">
              <w:rPr>
                <w:sz w:val="18"/>
                <w:lang w:val="bg-BG"/>
              </w:rPr>
              <w:footnoteReference w:id="39"/>
            </w:r>
            <w:r w:rsidRPr="009072DA">
              <w:rPr>
                <w:sz w:val="18"/>
                <w:lang w:val="bg-BG"/>
              </w:rPr>
              <w:t xml:space="preserve"> или с Резолюция 1989-II-35 на ЦККР.</w:t>
            </w:r>
          </w:p>
        </w:tc>
        <w:tc>
          <w:tcPr>
            <w:tcW w:w="1276" w:type="dxa"/>
            <w:shd w:val="clear" w:color="auto" w:fill="auto"/>
          </w:tcPr>
          <w:p w:rsidR="00605BA5" w:rsidRPr="009072DA" w:rsidRDefault="00605BA5" w:rsidP="00C01A94">
            <w:pPr>
              <w:spacing w:before="60" w:after="60" w:line="240" w:lineRule="atLeast"/>
              <w:rPr>
                <w:rFonts w:cs="Arial"/>
                <w:sz w:val="18"/>
                <w:szCs w:val="18"/>
                <w:lang w:val="bg-BG"/>
              </w:rPr>
            </w:pPr>
          </w:p>
        </w:tc>
        <w:tc>
          <w:tcPr>
            <w:tcW w:w="1276" w:type="dxa"/>
          </w:tcPr>
          <w:p w:rsidR="00605BA5" w:rsidRPr="009072DA" w:rsidRDefault="00605BA5" w:rsidP="00C01A94">
            <w:pPr>
              <w:spacing w:before="60" w:after="60" w:line="240" w:lineRule="atLeast"/>
              <w:rPr>
                <w:rFonts w:cs="Arial"/>
                <w:sz w:val="18"/>
                <w:szCs w:val="18"/>
                <w:lang w:val="bg-BG"/>
              </w:rPr>
            </w:pPr>
            <w:r w:rsidRPr="009072DA">
              <w:rPr>
                <w:sz w:val="18"/>
                <w:lang w:val="bg-BG"/>
              </w:rPr>
              <w:t>1.12.2009 г.</w:t>
            </w:r>
          </w:p>
        </w:tc>
      </w:tr>
      <w:tr w:rsidR="00605BA5" w:rsidRPr="009072DA" w:rsidTr="00E67DA4">
        <w:trPr>
          <w:cantSplit/>
          <w:jc w:val="center"/>
        </w:trPr>
        <w:tc>
          <w:tcPr>
            <w:tcW w:w="1342" w:type="dxa"/>
            <w:tcBorders>
              <w:top w:val="nil"/>
              <w:bottom w:val="nil"/>
            </w:tcBorders>
            <w:shd w:val="clear" w:color="auto" w:fill="auto"/>
          </w:tcPr>
          <w:p w:rsidR="00605BA5" w:rsidRPr="009072DA" w:rsidRDefault="00605BA5" w:rsidP="00C01A94">
            <w:pPr>
              <w:spacing w:before="120" w:after="120" w:line="240" w:lineRule="atLeast"/>
              <w:rPr>
                <w:rFonts w:cs="Arial"/>
                <w:sz w:val="18"/>
                <w:szCs w:val="18"/>
                <w:lang w:val="bg-BG"/>
              </w:rPr>
            </w:pPr>
          </w:p>
        </w:tc>
        <w:tc>
          <w:tcPr>
            <w:tcW w:w="1458" w:type="dxa"/>
            <w:vMerge w:val="restart"/>
            <w:shd w:val="clear" w:color="auto" w:fill="auto"/>
          </w:tcPr>
          <w:p w:rsidR="00605BA5" w:rsidRPr="009072DA" w:rsidRDefault="00605BA5" w:rsidP="00C01A94">
            <w:pPr>
              <w:spacing w:before="120" w:after="120" w:line="240" w:lineRule="atLeast"/>
              <w:rPr>
                <w:rFonts w:cs="Arial"/>
                <w:sz w:val="18"/>
                <w:szCs w:val="18"/>
                <w:lang w:val="bg-BG"/>
              </w:rPr>
            </w:pPr>
          </w:p>
        </w:tc>
        <w:tc>
          <w:tcPr>
            <w:tcW w:w="3296" w:type="dxa"/>
            <w:shd w:val="clear" w:color="auto" w:fill="auto"/>
          </w:tcPr>
          <w:p w:rsidR="00605BA5" w:rsidRPr="009072DA" w:rsidRDefault="00605BA5" w:rsidP="00C01A94">
            <w:pPr>
              <w:spacing w:before="120" w:after="120" w:line="240" w:lineRule="atLeast"/>
              <w:rPr>
                <w:rFonts w:cs="Arial"/>
                <w:sz w:val="18"/>
                <w:szCs w:val="18"/>
                <w:lang w:val="bg-BG"/>
              </w:rPr>
            </w:pPr>
            <w:r w:rsidRPr="009072DA">
              <w:rPr>
                <w:sz w:val="18"/>
                <w:lang w:val="bg-BG"/>
              </w:rPr>
              <w:t>Навигационно радиолокационно оборудване и индикатори на ъгловата скорост на поворот, одобрени след 1 януари 1990 г.</w:t>
            </w:r>
          </w:p>
        </w:tc>
        <w:tc>
          <w:tcPr>
            <w:tcW w:w="5387" w:type="dxa"/>
            <w:shd w:val="clear" w:color="auto" w:fill="auto"/>
          </w:tcPr>
          <w:p w:rsidR="00605BA5" w:rsidRPr="009072DA" w:rsidRDefault="00605BA5" w:rsidP="00C01A94">
            <w:pPr>
              <w:spacing w:before="120" w:after="120" w:line="240" w:lineRule="atLeast"/>
              <w:rPr>
                <w:rFonts w:cs="Arial"/>
                <w:sz w:val="18"/>
                <w:szCs w:val="18"/>
                <w:lang w:val="bg-BG"/>
              </w:rPr>
            </w:pPr>
            <w:r w:rsidRPr="009072DA">
              <w:rPr>
                <w:sz w:val="18"/>
                <w:lang w:val="bg-BG"/>
              </w:rPr>
              <w:t>Навигационното радиолокационно оборудване и индикаторите на ъгловата скорост на поворот, които са одобрени на или след 1 януари 1990 г. съгласно минималните изисквания и условия на изпитване за радиолокационно оборудване, използвани за корабоплаване по река Рейн, и минималните изисквания и условия на изпитване за индикаторите на ъгловата скорост на поворот, използвани за корабоплаване по река Рейн, могат да продължат да бъдат монтирани и използвани, ако е налице валидно удостоверение за монтаж в съответствие с настоящия стандарт, Директива 2006/87/ЕО или с Резолюция 1989-II-35 на ЦККР.</w:t>
            </w:r>
          </w:p>
        </w:tc>
        <w:tc>
          <w:tcPr>
            <w:tcW w:w="1276" w:type="dxa"/>
            <w:shd w:val="clear" w:color="auto" w:fill="auto"/>
          </w:tcPr>
          <w:p w:rsidR="00605BA5" w:rsidRPr="009072DA" w:rsidRDefault="00605BA5" w:rsidP="00C01A94">
            <w:pPr>
              <w:spacing w:before="120" w:after="120" w:line="240" w:lineRule="atLeast"/>
              <w:rPr>
                <w:rFonts w:cs="Arial"/>
                <w:sz w:val="18"/>
                <w:szCs w:val="18"/>
                <w:lang w:val="bg-BG"/>
              </w:rPr>
            </w:pPr>
          </w:p>
        </w:tc>
        <w:tc>
          <w:tcPr>
            <w:tcW w:w="1276" w:type="dxa"/>
          </w:tcPr>
          <w:p w:rsidR="00605BA5" w:rsidRPr="009072DA" w:rsidRDefault="00605BA5" w:rsidP="00C01A94">
            <w:pPr>
              <w:spacing w:before="120" w:after="120" w:line="240" w:lineRule="atLeast"/>
              <w:rPr>
                <w:rFonts w:cs="Arial"/>
                <w:sz w:val="18"/>
                <w:szCs w:val="18"/>
                <w:lang w:val="bg-BG"/>
              </w:rPr>
            </w:pPr>
            <w:r w:rsidRPr="009072DA">
              <w:rPr>
                <w:sz w:val="18"/>
                <w:lang w:val="bg-BG"/>
              </w:rPr>
              <w:t>1.12.2009 г.</w:t>
            </w:r>
          </w:p>
        </w:tc>
      </w:tr>
      <w:tr w:rsidR="00605BA5" w:rsidRPr="009072DA" w:rsidTr="00E67DA4">
        <w:trPr>
          <w:cantSplit/>
          <w:jc w:val="center"/>
        </w:trPr>
        <w:tc>
          <w:tcPr>
            <w:tcW w:w="1342" w:type="dxa"/>
            <w:tcBorders>
              <w:top w:val="nil"/>
              <w:bottom w:val="nil"/>
            </w:tcBorders>
            <w:shd w:val="clear" w:color="auto" w:fill="auto"/>
          </w:tcPr>
          <w:p w:rsidR="00605BA5" w:rsidRPr="009072DA" w:rsidRDefault="00605BA5" w:rsidP="00C01A94">
            <w:pPr>
              <w:spacing w:before="120" w:after="120" w:line="240" w:lineRule="atLeast"/>
              <w:rPr>
                <w:rFonts w:cs="Arial"/>
                <w:sz w:val="18"/>
                <w:szCs w:val="18"/>
                <w:lang w:val="bg-BG"/>
              </w:rPr>
            </w:pPr>
          </w:p>
        </w:tc>
        <w:tc>
          <w:tcPr>
            <w:tcW w:w="1458" w:type="dxa"/>
            <w:vMerge/>
            <w:shd w:val="clear" w:color="auto" w:fill="auto"/>
          </w:tcPr>
          <w:p w:rsidR="00605BA5" w:rsidRPr="009072DA" w:rsidRDefault="00605BA5" w:rsidP="00C01A94">
            <w:pPr>
              <w:spacing w:before="120" w:after="120" w:line="240" w:lineRule="atLeast"/>
              <w:rPr>
                <w:rFonts w:cs="Arial"/>
                <w:sz w:val="18"/>
                <w:szCs w:val="18"/>
                <w:lang w:val="bg-BG"/>
              </w:rPr>
            </w:pPr>
          </w:p>
        </w:tc>
        <w:tc>
          <w:tcPr>
            <w:tcW w:w="3296" w:type="dxa"/>
            <w:shd w:val="clear" w:color="auto" w:fill="auto"/>
          </w:tcPr>
          <w:p w:rsidR="00605BA5" w:rsidRPr="009072DA" w:rsidRDefault="00605BA5" w:rsidP="00C01A94">
            <w:pPr>
              <w:spacing w:before="120" w:after="120" w:line="240" w:lineRule="atLeast"/>
              <w:rPr>
                <w:rFonts w:cs="Arial"/>
                <w:sz w:val="18"/>
                <w:szCs w:val="18"/>
                <w:lang w:val="bg-BG"/>
              </w:rPr>
            </w:pPr>
            <w:r w:rsidRPr="009072DA">
              <w:rPr>
                <w:sz w:val="18"/>
                <w:lang w:val="bg-BG"/>
              </w:rPr>
              <w:t>Навигационно радиолокационно оборудване и индикатори на ъгловата скорост на поворот, одобрени след 31 декември 2006 г.</w:t>
            </w:r>
          </w:p>
        </w:tc>
        <w:tc>
          <w:tcPr>
            <w:tcW w:w="5387" w:type="dxa"/>
            <w:shd w:val="clear" w:color="auto" w:fill="auto"/>
          </w:tcPr>
          <w:p w:rsidR="00605BA5" w:rsidRPr="009072DA" w:rsidRDefault="00605BA5" w:rsidP="00C01A94">
            <w:pPr>
              <w:spacing w:before="120" w:after="120" w:line="240" w:lineRule="atLeast"/>
              <w:rPr>
                <w:rFonts w:cs="Arial"/>
                <w:sz w:val="18"/>
                <w:szCs w:val="18"/>
                <w:lang w:val="bg-BG"/>
              </w:rPr>
            </w:pPr>
            <w:r w:rsidRPr="009072DA">
              <w:rPr>
                <w:sz w:val="18"/>
                <w:lang w:val="bg-BG"/>
              </w:rPr>
              <w:t>Навигационното радиолокационно оборудване и индикаторите на ъгловата скорост на поворот, които са одобрени на или след 31 декември 2006 г. съгласно минималните изисквания и условия на изпитване от Директива 2006/87/ЕО, могат да продължат да бъдат монтирани и използвани, ако е налице валидно удостоверение за монтаж в съответствие с настоящия стандарт или Директива 2006/87/ЕО.</w:t>
            </w:r>
          </w:p>
        </w:tc>
        <w:tc>
          <w:tcPr>
            <w:tcW w:w="1276" w:type="dxa"/>
            <w:shd w:val="clear" w:color="auto" w:fill="auto"/>
          </w:tcPr>
          <w:p w:rsidR="00605BA5" w:rsidRPr="009072DA" w:rsidRDefault="00605BA5" w:rsidP="00C01A94">
            <w:pPr>
              <w:spacing w:before="120" w:after="120" w:line="240" w:lineRule="atLeast"/>
              <w:rPr>
                <w:rFonts w:cs="Arial"/>
                <w:sz w:val="18"/>
                <w:szCs w:val="18"/>
                <w:lang w:val="bg-BG"/>
              </w:rPr>
            </w:pPr>
          </w:p>
        </w:tc>
        <w:tc>
          <w:tcPr>
            <w:tcW w:w="1276" w:type="dxa"/>
          </w:tcPr>
          <w:p w:rsidR="00605BA5" w:rsidRPr="009072DA" w:rsidRDefault="00605BA5" w:rsidP="00C01A94">
            <w:pPr>
              <w:spacing w:before="120" w:after="120" w:line="240" w:lineRule="atLeast"/>
              <w:rPr>
                <w:rFonts w:cs="Arial"/>
                <w:sz w:val="18"/>
                <w:szCs w:val="18"/>
                <w:lang w:val="bg-BG"/>
              </w:rPr>
            </w:pPr>
            <w:r w:rsidRPr="009072DA">
              <w:rPr>
                <w:sz w:val="18"/>
                <w:lang w:val="bg-BG"/>
              </w:rPr>
              <w:t>7.10.2018 г.</w:t>
            </w:r>
          </w:p>
        </w:tc>
      </w:tr>
      <w:tr w:rsidR="00605BA5" w:rsidRPr="009072DA" w:rsidTr="00DF5C3B">
        <w:trPr>
          <w:cantSplit/>
          <w:jc w:val="center"/>
        </w:trPr>
        <w:tc>
          <w:tcPr>
            <w:tcW w:w="1342" w:type="dxa"/>
            <w:tcBorders>
              <w:top w:val="nil"/>
              <w:bottom w:val="nil"/>
            </w:tcBorders>
            <w:shd w:val="clear" w:color="auto" w:fill="auto"/>
          </w:tcPr>
          <w:p w:rsidR="00605BA5" w:rsidRPr="009072DA" w:rsidRDefault="00605BA5" w:rsidP="00C01A94">
            <w:pPr>
              <w:spacing w:before="120" w:after="120" w:line="240" w:lineRule="atLeast"/>
              <w:rPr>
                <w:rFonts w:cs="Arial"/>
                <w:sz w:val="18"/>
                <w:szCs w:val="18"/>
                <w:lang w:val="bg-BG"/>
              </w:rPr>
            </w:pPr>
          </w:p>
        </w:tc>
        <w:tc>
          <w:tcPr>
            <w:tcW w:w="1458" w:type="dxa"/>
            <w:vMerge/>
            <w:tcBorders>
              <w:bottom w:val="single" w:sz="4" w:space="0" w:color="auto"/>
            </w:tcBorders>
            <w:shd w:val="clear" w:color="auto" w:fill="auto"/>
          </w:tcPr>
          <w:p w:rsidR="00605BA5" w:rsidRPr="009072DA" w:rsidRDefault="00605BA5" w:rsidP="00C01A94">
            <w:pPr>
              <w:spacing w:before="120" w:after="120" w:line="240" w:lineRule="atLeast"/>
              <w:rPr>
                <w:rFonts w:cs="Arial"/>
                <w:sz w:val="18"/>
                <w:szCs w:val="18"/>
                <w:lang w:val="bg-BG"/>
              </w:rPr>
            </w:pPr>
          </w:p>
        </w:tc>
        <w:tc>
          <w:tcPr>
            <w:tcW w:w="3296" w:type="dxa"/>
            <w:tcBorders>
              <w:bottom w:val="single" w:sz="4" w:space="0" w:color="auto"/>
            </w:tcBorders>
            <w:shd w:val="clear" w:color="auto" w:fill="auto"/>
          </w:tcPr>
          <w:p w:rsidR="00605BA5" w:rsidRPr="009072DA" w:rsidRDefault="00605BA5" w:rsidP="00C01A94">
            <w:pPr>
              <w:spacing w:before="120" w:after="120" w:line="240" w:lineRule="atLeast"/>
              <w:rPr>
                <w:rFonts w:cs="Arial"/>
                <w:sz w:val="18"/>
                <w:szCs w:val="18"/>
                <w:lang w:val="bg-BG"/>
              </w:rPr>
            </w:pPr>
            <w:r w:rsidRPr="009072DA">
              <w:rPr>
                <w:sz w:val="18"/>
                <w:lang w:val="bg-BG"/>
              </w:rPr>
              <w:t>Навигационно радиолокационно оборудване и индикатори на ъгловата скорост на поворот, одобрени след 1 декември 2009 г.</w:t>
            </w:r>
          </w:p>
        </w:tc>
        <w:tc>
          <w:tcPr>
            <w:tcW w:w="5387" w:type="dxa"/>
            <w:shd w:val="clear" w:color="auto" w:fill="auto"/>
          </w:tcPr>
          <w:p w:rsidR="00605BA5" w:rsidRPr="009072DA" w:rsidRDefault="00605BA5" w:rsidP="00C01A94">
            <w:pPr>
              <w:spacing w:before="120" w:after="120" w:line="240" w:lineRule="atLeast"/>
              <w:rPr>
                <w:rFonts w:cs="Arial"/>
                <w:sz w:val="18"/>
                <w:szCs w:val="18"/>
                <w:lang w:val="bg-BG"/>
              </w:rPr>
            </w:pPr>
            <w:r w:rsidRPr="009072DA">
              <w:rPr>
                <w:sz w:val="18"/>
                <w:lang w:val="bg-BG"/>
              </w:rPr>
              <w:t>Навигационното радиолокационно оборудване и индикаторите на ъгловата скорост на поворот, които са одобрени на или след 1 декември 2009 г. съгласно минималните изисквания и условия на изпитване от Резолюция 2008-II-11 на ЦККР, могат да продължат да бъдат монтирани и използвани, ако е налице валидно удостоверение за монтаж в съответствие с настоящия стандарт или Резолюция 2008-II-11 на ЦККР.</w:t>
            </w:r>
          </w:p>
        </w:tc>
        <w:tc>
          <w:tcPr>
            <w:tcW w:w="1276" w:type="dxa"/>
            <w:shd w:val="clear" w:color="auto" w:fill="auto"/>
          </w:tcPr>
          <w:p w:rsidR="00605BA5" w:rsidRPr="009072DA" w:rsidRDefault="00605BA5" w:rsidP="00C01A94">
            <w:pPr>
              <w:spacing w:before="120" w:after="120" w:line="240" w:lineRule="atLeast"/>
              <w:rPr>
                <w:rFonts w:cs="Arial"/>
                <w:sz w:val="18"/>
                <w:szCs w:val="18"/>
                <w:lang w:val="bg-BG"/>
              </w:rPr>
            </w:pPr>
          </w:p>
        </w:tc>
        <w:tc>
          <w:tcPr>
            <w:tcW w:w="1276" w:type="dxa"/>
          </w:tcPr>
          <w:p w:rsidR="00605BA5" w:rsidRPr="009072DA" w:rsidRDefault="00605BA5" w:rsidP="00C01A94">
            <w:pPr>
              <w:spacing w:before="120" w:after="120" w:line="240" w:lineRule="atLeast"/>
              <w:rPr>
                <w:rFonts w:cs="Arial"/>
                <w:sz w:val="18"/>
                <w:szCs w:val="18"/>
                <w:lang w:val="bg-BG"/>
              </w:rPr>
            </w:pPr>
            <w:r w:rsidRPr="009072DA">
              <w:rPr>
                <w:sz w:val="18"/>
                <w:lang w:val="bg-BG"/>
              </w:rPr>
              <w:t>7.10.2018 г.</w:t>
            </w:r>
          </w:p>
        </w:tc>
      </w:tr>
      <w:tr w:rsidR="00605BA5" w:rsidRPr="009072DA" w:rsidTr="00DF5C3B">
        <w:trPr>
          <w:cantSplit/>
          <w:jc w:val="center"/>
        </w:trPr>
        <w:tc>
          <w:tcPr>
            <w:tcW w:w="1342" w:type="dxa"/>
            <w:tcBorders>
              <w:top w:val="nil"/>
              <w:bottom w:val="nil"/>
            </w:tcBorders>
            <w:shd w:val="clear" w:color="auto" w:fill="auto"/>
          </w:tcPr>
          <w:p w:rsidR="00605BA5" w:rsidRPr="009072DA" w:rsidRDefault="00605BA5" w:rsidP="00C01A94">
            <w:pPr>
              <w:spacing w:before="120" w:after="120" w:line="240" w:lineRule="atLeast"/>
              <w:rPr>
                <w:rFonts w:cs="Arial"/>
                <w:sz w:val="18"/>
                <w:szCs w:val="18"/>
                <w:lang w:val="bg-BG"/>
              </w:rPr>
            </w:pPr>
          </w:p>
        </w:tc>
        <w:tc>
          <w:tcPr>
            <w:tcW w:w="1458" w:type="dxa"/>
            <w:tcBorders>
              <w:bottom w:val="nil"/>
            </w:tcBorders>
            <w:shd w:val="clear" w:color="auto" w:fill="auto"/>
          </w:tcPr>
          <w:p w:rsidR="00605BA5" w:rsidRPr="009072DA" w:rsidRDefault="00605BA5" w:rsidP="00C01A94">
            <w:pPr>
              <w:spacing w:before="120" w:after="120" w:line="240" w:lineRule="atLeast"/>
              <w:rPr>
                <w:rFonts w:cs="Arial"/>
                <w:sz w:val="18"/>
                <w:szCs w:val="18"/>
                <w:lang w:val="bg-BG"/>
              </w:rPr>
            </w:pPr>
            <w:r w:rsidRPr="009072DA">
              <w:rPr>
                <w:sz w:val="18"/>
                <w:lang w:val="bg-BG"/>
              </w:rPr>
              <w:t>Точка 3</w:t>
            </w:r>
          </w:p>
        </w:tc>
        <w:tc>
          <w:tcPr>
            <w:tcW w:w="3296" w:type="dxa"/>
            <w:tcBorders>
              <w:bottom w:val="nil"/>
            </w:tcBorders>
            <w:shd w:val="clear" w:color="auto" w:fill="auto"/>
          </w:tcPr>
          <w:p w:rsidR="00605BA5" w:rsidRPr="009072DA" w:rsidRDefault="00605BA5" w:rsidP="00C01A94">
            <w:pPr>
              <w:spacing w:before="120" w:after="120" w:line="240" w:lineRule="atLeast"/>
              <w:rPr>
                <w:rFonts w:cs="Arial"/>
                <w:sz w:val="18"/>
                <w:szCs w:val="18"/>
                <w:lang w:val="bg-BG"/>
              </w:rPr>
            </w:pPr>
            <w:r w:rsidRPr="009072DA">
              <w:rPr>
                <w:sz w:val="18"/>
                <w:lang w:val="bg-BG"/>
              </w:rPr>
              <w:t>Оборудване за AIS за вътрешните водни пътища</w:t>
            </w:r>
          </w:p>
        </w:tc>
        <w:tc>
          <w:tcPr>
            <w:tcW w:w="5387" w:type="dxa"/>
            <w:shd w:val="clear" w:color="auto" w:fill="auto"/>
          </w:tcPr>
          <w:p w:rsidR="00605BA5" w:rsidRPr="009072DA" w:rsidRDefault="00605BA5" w:rsidP="00C01A94">
            <w:pPr>
              <w:spacing w:before="120" w:after="120" w:line="240" w:lineRule="atLeast"/>
              <w:rPr>
                <w:rFonts w:cs="Arial"/>
                <w:sz w:val="18"/>
                <w:szCs w:val="18"/>
                <w:lang w:val="bg-BG"/>
              </w:rPr>
            </w:pPr>
            <w:r w:rsidRPr="009072DA">
              <w:rPr>
                <w:sz w:val="18"/>
                <w:lang w:val="bg-BG"/>
              </w:rPr>
              <w:t>Оборудването за AIS за вътрешните водни пътища с одобрение на типа в съответствие с издание 1.0 и 1.01 на стандарта за изпитване за AIS за вътрешни водни пътища, инсталирано преди 1 декември 2015 г., може да продължи да се използва.</w:t>
            </w:r>
          </w:p>
        </w:tc>
        <w:tc>
          <w:tcPr>
            <w:tcW w:w="1276" w:type="dxa"/>
            <w:shd w:val="clear" w:color="auto" w:fill="auto"/>
          </w:tcPr>
          <w:p w:rsidR="00605BA5" w:rsidRPr="009072DA" w:rsidRDefault="00605BA5" w:rsidP="00C01A94">
            <w:pPr>
              <w:spacing w:before="120" w:after="120" w:line="240" w:lineRule="atLeast"/>
              <w:rPr>
                <w:rFonts w:cs="Arial"/>
                <w:sz w:val="18"/>
                <w:szCs w:val="18"/>
                <w:lang w:val="bg-BG"/>
              </w:rPr>
            </w:pPr>
          </w:p>
        </w:tc>
        <w:tc>
          <w:tcPr>
            <w:tcW w:w="1276" w:type="dxa"/>
          </w:tcPr>
          <w:p w:rsidR="00605BA5" w:rsidRPr="009072DA" w:rsidRDefault="00605BA5" w:rsidP="00C01A94">
            <w:pPr>
              <w:spacing w:before="120" w:after="120" w:line="240" w:lineRule="atLeast"/>
              <w:rPr>
                <w:rFonts w:cs="Arial"/>
                <w:sz w:val="18"/>
                <w:szCs w:val="18"/>
                <w:lang w:val="bg-BG"/>
              </w:rPr>
            </w:pPr>
            <w:r w:rsidRPr="009072DA">
              <w:rPr>
                <w:sz w:val="18"/>
                <w:lang w:val="bg-BG"/>
              </w:rPr>
              <w:t>1.12.2013 г.</w:t>
            </w:r>
          </w:p>
        </w:tc>
      </w:tr>
      <w:tr w:rsidR="00DF5C3B" w:rsidRPr="009072DA" w:rsidTr="00DF5C3B">
        <w:trPr>
          <w:cantSplit/>
          <w:jc w:val="center"/>
        </w:trPr>
        <w:tc>
          <w:tcPr>
            <w:tcW w:w="1342" w:type="dxa"/>
            <w:tcBorders>
              <w:top w:val="nil"/>
            </w:tcBorders>
            <w:shd w:val="clear" w:color="auto" w:fill="auto"/>
          </w:tcPr>
          <w:p w:rsidR="00DF5C3B" w:rsidRPr="009072DA" w:rsidRDefault="00DF5C3B" w:rsidP="00C01A94">
            <w:pPr>
              <w:spacing w:before="120" w:after="120" w:line="240" w:lineRule="atLeast"/>
              <w:rPr>
                <w:rFonts w:cs="Arial"/>
                <w:sz w:val="18"/>
                <w:szCs w:val="18"/>
                <w:lang w:val="bg-BG"/>
              </w:rPr>
            </w:pPr>
          </w:p>
        </w:tc>
        <w:tc>
          <w:tcPr>
            <w:tcW w:w="1458" w:type="dxa"/>
            <w:tcBorders>
              <w:top w:val="nil"/>
            </w:tcBorders>
            <w:shd w:val="clear" w:color="auto" w:fill="auto"/>
          </w:tcPr>
          <w:p w:rsidR="00DF5C3B" w:rsidRPr="009072DA" w:rsidRDefault="00DF5C3B" w:rsidP="00C01A94">
            <w:pPr>
              <w:spacing w:before="120" w:after="120" w:line="240" w:lineRule="atLeast"/>
              <w:rPr>
                <w:rFonts w:cs="Arial"/>
                <w:sz w:val="18"/>
                <w:szCs w:val="18"/>
                <w:lang w:val="bg-BG"/>
              </w:rPr>
            </w:pPr>
          </w:p>
        </w:tc>
        <w:tc>
          <w:tcPr>
            <w:tcW w:w="3296" w:type="dxa"/>
            <w:tcBorders>
              <w:top w:val="nil"/>
            </w:tcBorders>
            <w:shd w:val="clear" w:color="auto" w:fill="auto"/>
          </w:tcPr>
          <w:p w:rsidR="00DF5C3B" w:rsidRPr="009072DA" w:rsidRDefault="00DF5C3B" w:rsidP="00C01A94">
            <w:pPr>
              <w:spacing w:before="120" w:after="120" w:line="240" w:lineRule="atLeast"/>
              <w:rPr>
                <w:rFonts w:cs="Arial"/>
                <w:sz w:val="18"/>
                <w:szCs w:val="18"/>
                <w:lang w:val="bg-BG"/>
              </w:rPr>
            </w:pPr>
          </w:p>
        </w:tc>
        <w:tc>
          <w:tcPr>
            <w:tcW w:w="5387" w:type="dxa"/>
            <w:shd w:val="clear" w:color="auto" w:fill="auto"/>
          </w:tcPr>
          <w:p w:rsidR="00DF5C3B" w:rsidRPr="009072DA" w:rsidRDefault="00DF5C3B" w:rsidP="00C01A94">
            <w:pPr>
              <w:spacing w:before="120" w:after="120" w:line="240" w:lineRule="atLeast"/>
              <w:rPr>
                <w:rFonts w:cs="Arial"/>
                <w:sz w:val="18"/>
                <w:szCs w:val="18"/>
                <w:lang w:val="bg-BG"/>
              </w:rPr>
            </w:pPr>
            <w:r w:rsidRPr="009072DA">
              <w:rPr>
                <w:sz w:val="18"/>
                <w:lang w:val="bg-BG"/>
              </w:rPr>
              <w:t>Оборудването за AIS за вътрешните водни пътища, одобрено на 19 октомври 2012 г. или след тази дата, съгласно изискванията на стандарта за изпитване за AIS за вътрешни водни пътища, издание 2.0, прието с Резолюция 2012-II-20 на ЦККР, може да продължи да бъде инсталирано и използвано.</w:t>
            </w:r>
          </w:p>
        </w:tc>
        <w:tc>
          <w:tcPr>
            <w:tcW w:w="1276" w:type="dxa"/>
            <w:shd w:val="clear" w:color="auto" w:fill="auto"/>
          </w:tcPr>
          <w:p w:rsidR="00DF5C3B" w:rsidRPr="009072DA" w:rsidRDefault="00DF5C3B" w:rsidP="00C01A94">
            <w:pPr>
              <w:spacing w:before="120" w:after="120" w:line="240" w:lineRule="atLeast"/>
              <w:rPr>
                <w:rFonts w:cs="Arial"/>
                <w:sz w:val="18"/>
                <w:szCs w:val="18"/>
                <w:lang w:val="bg-BG"/>
              </w:rPr>
            </w:pPr>
          </w:p>
        </w:tc>
        <w:tc>
          <w:tcPr>
            <w:tcW w:w="1276" w:type="dxa"/>
          </w:tcPr>
          <w:p w:rsidR="00DF5C3B" w:rsidRPr="009072DA" w:rsidRDefault="00D376CF" w:rsidP="00C01A94">
            <w:pPr>
              <w:spacing w:before="120" w:after="120" w:line="240" w:lineRule="atLeast"/>
              <w:rPr>
                <w:rFonts w:cs="Arial"/>
                <w:sz w:val="18"/>
                <w:szCs w:val="18"/>
                <w:lang w:val="bg-BG"/>
              </w:rPr>
            </w:pPr>
            <w:r w:rsidRPr="009072DA">
              <w:rPr>
                <w:sz w:val="18"/>
                <w:lang w:val="bg-BG"/>
              </w:rPr>
              <w:t>7.10.2018 г.</w:t>
            </w:r>
          </w:p>
        </w:tc>
      </w:tr>
      <w:tr w:rsidR="000E732C" w:rsidRPr="009072DA" w:rsidTr="00E67DA4">
        <w:trPr>
          <w:cantSplit/>
          <w:jc w:val="center"/>
        </w:trPr>
        <w:tc>
          <w:tcPr>
            <w:tcW w:w="1342" w:type="dxa"/>
            <w:vMerge w:val="restart"/>
            <w:tcBorders>
              <w:top w:val="nil"/>
            </w:tcBorders>
            <w:shd w:val="clear" w:color="auto" w:fill="auto"/>
          </w:tcPr>
          <w:p w:rsidR="000E732C" w:rsidRPr="009072DA" w:rsidRDefault="000E732C" w:rsidP="00C01A94">
            <w:pPr>
              <w:spacing w:before="120" w:after="120" w:line="240" w:lineRule="atLeast"/>
              <w:rPr>
                <w:rFonts w:cs="Arial"/>
                <w:sz w:val="18"/>
                <w:szCs w:val="18"/>
                <w:lang w:val="bg-BG"/>
              </w:rPr>
            </w:pPr>
            <w:r w:rsidRPr="009072DA">
              <w:rPr>
                <w:sz w:val="18"/>
                <w:lang w:val="bg-BG"/>
              </w:rPr>
              <w:t>7.12</w:t>
            </w:r>
          </w:p>
        </w:tc>
        <w:tc>
          <w:tcPr>
            <w:tcW w:w="1458" w:type="dxa"/>
            <w:shd w:val="clear" w:color="auto" w:fill="auto"/>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 xml:space="preserve">Точка 4 </w:t>
            </w:r>
            <w:r w:rsidRPr="009072DA">
              <w:rPr>
                <w:rFonts w:cs="Arial"/>
                <w:sz w:val="18"/>
                <w:szCs w:val="18"/>
                <w:lang w:val="bg-BG"/>
              </w:rPr>
              <w:br/>
            </w:r>
            <w:r w:rsidRPr="009072DA">
              <w:rPr>
                <w:sz w:val="18"/>
                <w:lang w:val="bg-BG"/>
              </w:rPr>
              <w:t>2-ро изречение</w:t>
            </w:r>
          </w:p>
        </w:tc>
        <w:tc>
          <w:tcPr>
            <w:tcW w:w="3296" w:type="dxa"/>
            <w:shd w:val="clear" w:color="auto" w:fill="auto"/>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Указания</w:t>
            </w:r>
          </w:p>
        </w:tc>
        <w:tc>
          <w:tcPr>
            <w:tcW w:w="5387" w:type="dxa"/>
            <w:shd w:val="clear" w:color="auto" w:fill="auto"/>
          </w:tcPr>
          <w:p w:rsidR="000E732C" w:rsidRPr="009072DA" w:rsidRDefault="008761D9" w:rsidP="00C01A94">
            <w:pPr>
              <w:widowControl w:val="0"/>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0E732C" w:rsidRPr="009072DA" w:rsidRDefault="000E732C" w:rsidP="00C01A94">
            <w:pPr>
              <w:widowControl w:val="0"/>
              <w:spacing w:before="120" w:after="120" w:line="240" w:lineRule="atLeast"/>
              <w:rPr>
                <w:rFonts w:cs="Arial"/>
                <w:sz w:val="18"/>
                <w:szCs w:val="18"/>
                <w:lang w:val="bg-BG"/>
              </w:rPr>
            </w:pPr>
          </w:p>
        </w:tc>
        <w:tc>
          <w:tcPr>
            <w:tcW w:w="1276" w:type="dxa"/>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1.1.2018 г.</w:t>
            </w:r>
          </w:p>
        </w:tc>
      </w:tr>
      <w:tr w:rsidR="000E732C" w:rsidRPr="009072DA" w:rsidTr="000E732C">
        <w:trPr>
          <w:cantSplit/>
          <w:jc w:val="center"/>
        </w:trPr>
        <w:tc>
          <w:tcPr>
            <w:tcW w:w="1342" w:type="dxa"/>
            <w:vMerge/>
            <w:shd w:val="clear" w:color="auto" w:fill="auto"/>
          </w:tcPr>
          <w:p w:rsidR="000E732C" w:rsidRPr="009072DA" w:rsidRDefault="000E732C" w:rsidP="00C01A94">
            <w:pPr>
              <w:spacing w:before="120" w:after="120" w:line="240" w:lineRule="atLeast"/>
              <w:rPr>
                <w:rFonts w:cs="Arial"/>
                <w:sz w:val="18"/>
                <w:szCs w:val="18"/>
                <w:lang w:val="bg-BG"/>
              </w:rPr>
            </w:pPr>
          </w:p>
        </w:tc>
        <w:tc>
          <w:tcPr>
            <w:tcW w:w="1458" w:type="dxa"/>
            <w:shd w:val="clear" w:color="auto" w:fill="auto"/>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Точка 5</w:t>
            </w:r>
          </w:p>
        </w:tc>
        <w:tc>
          <w:tcPr>
            <w:tcW w:w="3296" w:type="dxa"/>
            <w:shd w:val="clear" w:color="auto" w:fill="auto"/>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Спиране и блокиране</w:t>
            </w:r>
          </w:p>
        </w:tc>
        <w:tc>
          <w:tcPr>
            <w:tcW w:w="5387" w:type="dxa"/>
            <w:shd w:val="clear" w:color="auto" w:fill="auto"/>
          </w:tcPr>
          <w:p w:rsidR="000E732C" w:rsidRPr="009072DA" w:rsidRDefault="008761D9" w:rsidP="00C01A94">
            <w:pPr>
              <w:widowControl w:val="0"/>
              <w:spacing w:before="120" w:after="12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1.1.2025 г.</w:t>
            </w:r>
          </w:p>
        </w:tc>
        <w:tc>
          <w:tcPr>
            <w:tcW w:w="1276" w:type="dxa"/>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1.1.2018 г.</w:t>
            </w:r>
          </w:p>
        </w:tc>
      </w:tr>
      <w:tr w:rsidR="000E732C" w:rsidRPr="009072DA" w:rsidTr="000E732C">
        <w:trPr>
          <w:cantSplit/>
          <w:jc w:val="center"/>
        </w:trPr>
        <w:tc>
          <w:tcPr>
            <w:tcW w:w="1342" w:type="dxa"/>
            <w:vMerge/>
            <w:shd w:val="clear" w:color="auto" w:fill="auto"/>
          </w:tcPr>
          <w:p w:rsidR="000E732C" w:rsidRPr="009072DA" w:rsidRDefault="000E732C" w:rsidP="00C01A94">
            <w:pPr>
              <w:spacing w:before="120" w:after="120" w:line="240" w:lineRule="atLeast"/>
              <w:rPr>
                <w:rFonts w:cs="Arial"/>
                <w:sz w:val="18"/>
                <w:szCs w:val="18"/>
                <w:lang w:val="bg-BG"/>
              </w:rPr>
            </w:pPr>
          </w:p>
        </w:tc>
        <w:tc>
          <w:tcPr>
            <w:tcW w:w="1458" w:type="dxa"/>
            <w:shd w:val="clear" w:color="auto" w:fill="auto"/>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Точка 6</w:t>
            </w:r>
          </w:p>
        </w:tc>
        <w:tc>
          <w:tcPr>
            <w:tcW w:w="3296" w:type="dxa"/>
            <w:shd w:val="clear" w:color="auto" w:fill="auto"/>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Автоматично изключване</w:t>
            </w:r>
          </w:p>
        </w:tc>
        <w:tc>
          <w:tcPr>
            <w:tcW w:w="5387" w:type="dxa"/>
            <w:shd w:val="clear" w:color="auto" w:fill="auto"/>
          </w:tcPr>
          <w:p w:rsidR="000E732C" w:rsidRPr="009072DA" w:rsidRDefault="008761D9" w:rsidP="00C01A94">
            <w:pPr>
              <w:widowControl w:val="0"/>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1.1.2025 г.</w:t>
            </w:r>
          </w:p>
        </w:tc>
        <w:tc>
          <w:tcPr>
            <w:tcW w:w="1276" w:type="dxa"/>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1.1.2018 г.</w:t>
            </w:r>
          </w:p>
        </w:tc>
      </w:tr>
      <w:tr w:rsidR="000E732C" w:rsidRPr="009072DA" w:rsidTr="000E732C">
        <w:trPr>
          <w:cantSplit/>
          <w:jc w:val="center"/>
        </w:trPr>
        <w:tc>
          <w:tcPr>
            <w:tcW w:w="1342" w:type="dxa"/>
            <w:vMerge/>
            <w:shd w:val="clear" w:color="auto" w:fill="auto"/>
          </w:tcPr>
          <w:p w:rsidR="000E732C" w:rsidRPr="009072DA" w:rsidRDefault="000E732C" w:rsidP="00C01A94">
            <w:pPr>
              <w:spacing w:before="120" w:after="120" w:line="240" w:lineRule="atLeast"/>
              <w:rPr>
                <w:rFonts w:cs="Arial"/>
                <w:sz w:val="18"/>
                <w:szCs w:val="18"/>
                <w:lang w:val="bg-BG"/>
              </w:rPr>
            </w:pPr>
          </w:p>
        </w:tc>
        <w:tc>
          <w:tcPr>
            <w:tcW w:w="1458" w:type="dxa"/>
            <w:shd w:val="clear" w:color="auto" w:fill="auto"/>
          </w:tcPr>
          <w:p w:rsidR="000E732C" w:rsidRPr="009072DA" w:rsidRDefault="000E732C" w:rsidP="00C01A94">
            <w:pPr>
              <w:widowControl w:val="0"/>
              <w:spacing w:before="120" w:after="120" w:line="240" w:lineRule="atLeast"/>
              <w:ind w:left="-15" w:firstLine="15"/>
              <w:rPr>
                <w:rFonts w:cs="Arial"/>
                <w:sz w:val="18"/>
                <w:szCs w:val="18"/>
                <w:lang w:val="bg-BG"/>
              </w:rPr>
            </w:pPr>
            <w:r w:rsidRPr="009072DA">
              <w:rPr>
                <w:sz w:val="18"/>
                <w:lang w:val="bg-BG"/>
              </w:rPr>
              <w:t xml:space="preserve">Точка 7 </w:t>
            </w:r>
            <w:r w:rsidRPr="009072DA">
              <w:rPr>
                <w:rFonts w:cs="Arial"/>
                <w:sz w:val="18"/>
                <w:szCs w:val="18"/>
                <w:lang w:val="bg-BG"/>
              </w:rPr>
              <w:br/>
            </w:r>
            <w:r w:rsidRPr="009072DA">
              <w:rPr>
                <w:sz w:val="18"/>
                <w:lang w:val="bg-BG"/>
              </w:rPr>
              <w:t>1-во и 2-ро изречение</w:t>
            </w:r>
          </w:p>
        </w:tc>
        <w:tc>
          <w:tcPr>
            <w:tcW w:w="3296" w:type="dxa"/>
            <w:shd w:val="clear" w:color="auto" w:fill="auto"/>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Мерки и функции за защита</w:t>
            </w:r>
          </w:p>
        </w:tc>
        <w:tc>
          <w:tcPr>
            <w:tcW w:w="5387" w:type="dxa"/>
            <w:shd w:val="clear" w:color="auto" w:fill="auto"/>
          </w:tcPr>
          <w:p w:rsidR="000E732C" w:rsidRPr="009072DA" w:rsidRDefault="008761D9" w:rsidP="00C01A94">
            <w:pPr>
              <w:widowControl w:val="0"/>
              <w:spacing w:before="120" w:after="12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1.1.2025 г.</w:t>
            </w:r>
          </w:p>
        </w:tc>
        <w:tc>
          <w:tcPr>
            <w:tcW w:w="1276" w:type="dxa"/>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1.1.2018 г.</w:t>
            </w:r>
          </w:p>
        </w:tc>
      </w:tr>
      <w:tr w:rsidR="000E732C" w:rsidRPr="009072DA" w:rsidTr="000E732C">
        <w:trPr>
          <w:cantSplit/>
          <w:jc w:val="center"/>
        </w:trPr>
        <w:tc>
          <w:tcPr>
            <w:tcW w:w="1342" w:type="dxa"/>
            <w:vMerge/>
            <w:shd w:val="clear" w:color="auto" w:fill="auto"/>
          </w:tcPr>
          <w:p w:rsidR="000E732C" w:rsidRPr="009072DA" w:rsidRDefault="000E732C" w:rsidP="00C01A94">
            <w:pPr>
              <w:spacing w:before="120" w:after="120" w:line="240" w:lineRule="atLeast"/>
              <w:rPr>
                <w:rFonts w:cs="Arial"/>
                <w:sz w:val="18"/>
                <w:szCs w:val="18"/>
                <w:lang w:val="bg-BG"/>
              </w:rPr>
            </w:pPr>
          </w:p>
        </w:tc>
        <w:tc>
          <w:tcPr>
            <w:tcW w:w="1458" w:type="dxa"/>
            <w:shd w:val="clear" w:color="auto" w:fill="auto"/>
          </w:tcPr>
          <w:p w:rsidR="000E732C" w:rsidRPr="009072DA" w:rsidRDefault="000E732C" w:rsidP="00C01A94">
            <w:pPr>
              <w:widowControl w:val="0"/>
              <w:spacing w:before="120" w:after="120" w:line="240" w:lineRule="atLeast"/>
              <w:ind w:left="-15" w:firstLine="15"/>
              <w:rPr>
                <w:rFonts w:cs="Arial"/>
                <w:sz w:val="18"/>
                <w:szCs w:val="18"/>
                <w:lang w:val="bg-BG"/>
              </w:rPr>
            </w:pPr>
            <w:r w:rsidRPr="009072DA">
              <w:rPr>
                <w:sz w:val="18"/>
                <w:lang w:val="bg-BG"/>
              </w:rPr>
              <w:t xml:space="preserve">Точка 7 </w:t>
            </w:r>
            <w:r w:rsidRPr="009072DA">
              <w:rPr>
                <w:rFonts w:cs="Arial"/>
                <w:sz w:val="18"/>
                <w:szCs w:val="18"/>
                <w:lang w:val="bg-BG"/>
              </w:rPr>
              <w:br/>
            </w:r>
            <w:r w:rsidRPr="009072DA">
              <w:rPr>
                <w:sz w:val="18"/>
                <w:lang w:val="bg-BG"/>
              </w:rPr>
              <w:t>3-то изречение</w:t>
            </w:r>
          </w:p>
        </w:tc>
        <w:tc>
          <w:tcPr>
            <w:tcW w:w="3296" w:type="dxa"/>
            <w:shd w:val="clear" w:color="auto" w:fill="auto"/>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Оптичен сигнал</w:t>
            </w:r>
          </w:p>
        </w:tc>
        <w:tc>
          <w:tcPr>
            <w:tcW w:w="5387" w:type="dxa"/>
            <w:shd w:val="clear" w:color="auto" w:fill="auto"/>
          </w:tcPr>
          <w:p w:rsidR="000E732C" w:rsidRPr="009072DA" w:rsidRDefault="008761D9" w:rsidP="00C01A94">
            <w:pPr>
              <w:widowControl w:val="0"/>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0E732C" w:rsidRPr="009072DA" w:rsidRDefault="000E732C" w:rsidP="00C01A94">
            <w:pPr>
              <w:widowControl w:val="0"/>
              <w:spacing w:before="120" w:after="120" w:line="240" w:lineRule="atLeast"/>
              <w:rPr>
                <w:rFonts w:cs="Arial"/>
                <w:sz w:val="18"/>
                <w:szCs w:val="18"/>
                <w:lang w:val="bg-BG"/>
              </w:rPr>
            </w:pPr>
          </w:p>
        </w:tc>
        <w:tc>
          <w:tcPr>
            <w:tcW w:w="1276" w:type="dxa"/>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1.1.2018 г.</w:t>
            </w:r>
          </w:p>
        </w:tc>
      </w:tr>
      <w:tr w:rsidR="000E732C" w:rsidRPr="009072DA" w:rsidTr="000E732C">
        <w:trPr>
          <w:cantSplit/>
          <w:jc w:val="center"/>
        </w:trPr>
        <w:tc>
          <w:tcPr>
            <w:tcW w:w="1342" w:type="dxa"/>
            <w:vMerge/>
            <w:shd w:val="clear" w:color="auto" w:fill="auto"/>
          </w:tcPr>
          <w:p w:rsidR="000E732C" w:rsidRPr="009072DA" w:rsidRDefault="000E732C" w:rsidP="00C01A94">
            <w:pPr>
              <w:spacing w:before="120" w:after="120" w:line="240" w:lineRule="atLeast"/>
              <w:rPr>
                <w:rFonts w:cs="Arial"/>
                <w:sz w:val="18"/>
                <w:szCs w:val="18"/>
                <w:lang w:val="bg-BG"/>
              </w:rPr>
            </w:pPr>
          </w:p>
        </w:tc>
        <w:tc>
          <w:tcPr>
            <w:tcW w:w="1458" w:type="dxa"/>
            <w:shd w:val="clear" w:color="auto" w:fill="auto"/>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Точка 8</w:t>
            </w:r>
          </w:p>
        </w:tc>
        <w:tc>
          <w:tcPr>
            <w:tcW w:w="3296" w:type="dxa"/>
            <w:shd w:val="clear" w:color="auto" w:fill="auto"/>
          </w:tcPr>
          <w:p w:rsidR="000E732C" w:rsidRPr="009072DA" w:rsidRDefault="000E732C" w:rsidP="00C01A94">
            <w:pPr>
              <w:widowControl w:val="0"/>
              <w:tabs>
                <w:tab w:val="left" w:pos="1260"/>
              </w:tabs>
              <w:adjustRightInd w:val="0"/>
              <w:spacing w:before="120" w:after="120" w:line="240" w:lineRule="atLeast"/>
              <w:rPr>
                <w:rFonts w:cs="Arial"/>
                <w:sz w:val="18"/>
                <w:szCs w:val="18"/>
                <w:lang w:val="bg-BG"/>
              </w:rPr>
            </w:pPr>
            <w:r w:rsidRPr="009072DA">
              <w:rPr>
                <w:sz w:val="18"/>
                <w:lang w:val="bg-BG"/>
              </w:rPr>
              <w:t>Система за аварийно спускане</w:t>
            </w:r>
          </w:p>
        </w:tc>
        <w:tc>
          <w:tcPr>
            <w:tcW w:w="5387" w:type="dxa"/>
            <w:shd w:val="clear" w:color="auto" w:fill="auto"/>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Ако хидравлично спускане не е възможно: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1.1.2040 г.</w:t>
            </w:r>
          </w:p>
        </w:tc>
        <w:tc>
          <w:tcPr>
            <w:tcW w:w="1276" w:type="dxa"/>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1.1.2018 г.</w:t>
            </w:r>
          </w:p>
        </w:tc>
      </w:tr>
      <w:tr w:rsidR="000E732C" w:rsidRPr="009072DA" w:rsidTr="000E732C">
        <w:trPr>
          <w:cantSplit/>
          <w:trHeight w:val="163"/>
          <w:jc w:val="center"/>
        </w:trPr>
        <w:tc>
          <w:tcPr>
            <w:tcW w:w="1342" w:type="dxa"/>
            <w:vMerge/>
            <w:shd w:val="clear" w:color="auto" w:fill="auto"/>
          </w:tcPr>
          <w:p w:rsidR="000E732C" w:rsidRPr="009072DA" w:rsidRDefault="000E732C" w:rsidP="00C01A94">
            <w:pPr>
              <w:spacing w:before="120" w:after="120" w:line="240" w:lineRule="atLeast"/>
              <w:rPr>
                <w:rFonts w:cs="Arial"/>
                <w:sz w:val="18"/>
                <w:szCs w:val="18"/>
                <w:lang w:val="bg-BG"/>
              </w:rPr>
            </w:pPr>
          </w:p>
        </w:tc>
        <w:tc>
          <w:tcPr>
            <w:tcW w:w="1458" w:type="dxa"/>
            <w:vMerge w:val="restart"/>
            <w:shd w:val="clear" w:color="auto" w:fill="auto"/>
          </w:tcPr>
          <w:p w:rsidR="000E732C" w:rsidRPr="009072DA" w:rsidDel="00F12D85" w:rsidRDefault="000E732C" w:rsidP="00C01A94">
            <w:pPr>
              <w:widowControl w:val="0"/>
              <w:spacing w:before="120" w:after="120" w:line="240" w:lineRule="atLeast"/>
              <w:rPr>
                <w:rFonts w:cs="Arial"/>
                <w:sz w:val="18"/>
                <w:szCs w:val="18"/>
                <w:lang w:val="bg-BG"/>
              </w:rPr>
            </w:pPr>
            <w:r w:rsidRPr="009072DA">
              <w:rPr>
                <w:sz w:val="18"/>
                <w:lang w:val="bg-BG"/>
              </w:rPr>
              <w:t>Точка 12, буква в)</w:t>
            </w:r>
          </w:p>
        </w:tc>
        <w:tc>
          <w:tcPr>
            <w:tcW w:w="3296" w:type="dxa"/>
            <w:vMerge w:val="restart"/>
            <w:shd w:val="clear" w:color="auto" w:fill="auto"/>
          </w:tcPr>
          <w:p w:rsidR="000E732C" w:rsidRPr="009072DA" w:rsidRDefault="000E732C" w:rsidP="00C01A94">
            <w:pPr>
              <w:widowControl w:val="0"/>
              <w:tabs>
                <w:tab w:val="left" w:pos="1260"/>
              </w:tabs>
              <w:adjustRightInd w:val="0"/>
              <w:spacing w:before="120" w:after="120" w:line="240" w:lineRule="atLeast"/>
              <w:rPr>
                <w:rFonts w:cs="Arial"/>
                <w:sz w:val="18"/>
                <w:szCs w:val="18"/>
                <w:lang w:val="bg-BG"/>
              </w:rPr>
            </w:pPr>
            <w:r w:rsidRPr="009072DA">
              <w:rPr>
                <w:sz w:val="18"/>
                <w:lang w:val="bg-BG"/>
              </w:rPr>
              <w:t>Изпитване</w:t>
            </w:r>
          </w:p>
        </w:tc>
        <w:tc>
          <w:tcPr>
            <w:tcW w:w="5387" w:type="dxa"/>
            <w:shd w:val="clear" w:color="auto" w:fill="auto"/>
          </w:tcPr>
          <w:p w:rsidR="000E732C" w:rsidRPr="009072DA" w:rsidRDefault="008761D9" w:rsidP="00C01A94">
            <w:pPr>
              <w:widowControl w:val="0"/>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vMerge w:val="restart"/>
            <w:shd w:val="clear" w:color="auto" w:fill="auto"/>
          </w:tcPr>
          <w:p w:rsidR="000E732C" w:rsidRPr="009072DA" w:rsidRDefault="000E732C" w:rsidP="00C01A94">
            <w:pPr>
              <w:widowControl w:val="0"/>
              <w:spacing w:before="120" w:after="120" w:line="240" w:lineRule="atLeast"/>
              <w:rPr>
                <w:rFonts w:cs="Arial"/>
                <w:sz w:val="18"/>
                <w:szCs w:val="18"/>
                <w:lang w:val="bg-BG"/>
              </w:rPr>
            </w:pPr>
          </w:p>
        </w:tc>
        <w:tc>
          <w:tcPr>
            <w:tcW w:w="1276" w:type="dxa"/>
            <w:vMerge w:val="restart"/>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1.1.2018 г.</w:t>
            </w:r>
          </w:p>
        </w:tc>
      </w:tr>
      <w:tr w:rsidR="000E732C" w:rsidRPr="008D2440" w:rsidTr="000E732C">
        <w:trPr>
          <w:cantSplit/>
          <w:trHeight w:val="163"/>
          <w:jc w:val="center"/>
        </w:trPr>
        <w:tc>
          <w:tcPr>
            <w:tcW w:w="1342" w:type="dxa"/>
            <w:vMerge/>
            <w:shd w:val="clear" w:color="auto" w:fill="auto"/>
          </w:tcPr>
          <w:p w:rsidR="000E732C" w:rsidRPr="009072DA" w:rsidRDefault="000E732C" w:rsidP="00C01A94">
            <w:pPr>
              <w:spacing w:before="120" w:after="120" w:line="240" w:lineRule="atLeast"/>
              <w:rPr>
                <w:rFonts w:cs="Arial"/>
                <w:sz w:val="18"/>
                <w:szCs w:val="18"/>
                <w:lang w:val="bg-BG"/>
              </w:rPr>
            </w:pPr>
          </w:p>
        </w:tc>
        <w:tc>
          <w:tcPr>
            <w:tcW w:w="1458" w:type="dxa"/>
            <w:vMerge/>
            <w:shd w:val="clear" w:color="auto" w:fill="auto"/>
          </w:tcPr>
          <w:p w:rsidR="000E732C" w:rsidRPr="009072DA" w:rsidRDefault="000E732C" w:rsidP="00C01A94">
            <w:pPr>
              <w:widowControl w:val="0"/>
              <w:spacing w:before="120" w:after="120" w:line="240" w:lineRule="atLeast"/>
              <w:rPr>
                <w:rFonts w:cs="Arial"/>
                <w:sz w:val="18"/>
                <w:szCs w:val="18"/>
                <w:highlight w:val="lightGray"/>
                <w:lang w:val="bg-BG"/>
              </w:rPr>
            </w:pPr>
          </w:p>
        </w:tc>
        <w:tc>
          <w:tcPr>
            <w:tcW w:w="3296" w:type="dxa"/>
            <w:vMerge/>
            <w:shd w:val="clear" w:color="auto" w:fill="auto"/>
          </w:tcPr>
          <w:p w:rsidR="000E732C" w:rsidRPr="009072DA" w:rsidRDefault="000E732C" w:rsidP="00C01A94">
            <w:pPr>
              <w:widowControl w:val="0"/>
              <w:tabs>
                <w:tab w:val="left" w:pos="1260"/>
              </w:tabs>
              <w:adjustRightInd w:val="0"/>
              <w:spacing w:before="120" w:after="120" w:line="240" w:lineRule="atLeast"/>
              <w:rPr>
                <w:rFonts w:cs="Arial"/>
                <w:sz w:val="18"/>
                <w:szCs w:val="18"/>
                <w:highlight w:val="lightGray"/>
                <w:lang w:val="bg-BG"/>
              </w:rPr>
            </w:pPr>
          </w:p>
        </w:tc>
        <w:tc>
          <w:tcPr>
            <w:tcW w:w="5387" w:type="dxa"/>
            <w:shd w:val="clear" w:color="auto" w:fill="auto"/>
          </w:tcPr>
          <w:p w:rsidR="000E732C" w:rsidRPr="009072DA" w:rsidRDefault="000E732C" w:rsidP="00C01A94">
            <w:pPr>
              <w:widowControl w:val="0"/>
              <w:spacing w:before="120" w:after="120" w:line="240" w:lineRule="atLeast"/>
              <w:rPr>
                <w:rFonts w:cs="Arial"/>
                <w:sz w:val="18"/>
                <w:szCs w:val="18"/>
                <w:lang w:val="bg-BG"/>
              </w:rPr>
            </w:pPr>
            <w:r w:rsidRPr="009072DA">
              <w:rPr>
                <w:sz w:val="18"/>
                <w:lang w:val="bg-BG"/>
              </w:rPr>
              <w:t>Ако не може да се предостави математическо доказателство, контролният орган може да признае друго подходящо доказателство като еквивалентно.</w:t>
            </w:r>
          </w:p>
        </w:tc>
        <w:tc>
          <w:tcPr>
            <w:tcW w:w="1276" w:type="dxa"/>
            <w:vMerge/>
            <w:shd w:val="clear" w:color="auto" w:fill="auto"/>
          </w:tcPr>
          <w:p w:rsidR="000E732C" w:rsidRPr="009072DA" w:rsidRDefault="000E732C" w:rsidP="00C01A94">
            <w:pPr>
              <w:widowControl w:val="0"/>
              <w:spacing w:before="120" w:after="120" w:line="240" w:lineRule="atLeast"/>
              <w:rPr>
                <w:rFonts w:cs="Arial"/>
                <w:sz w:val="18"/>
                <w:szCs w:val="18"/>
                <w:highlight w:val="lightGray"/>
                <w:lang w:val="bg-BG"/>
              </w:rPr>
            </w:pPr>
          </w:p>
        </w:tc>
        <w:tc>
          <w:tcPr>
            <w:tcW w:w="1276" w:type="dxa"/>
            <w:vMerge/>
          </w:tcPr>
          <w:p w:rsidR="000E732C" w:rsidRPr="009072DA" w:rsidRDefault="000E732C" w:rsidP="00C01A94">
            <w:pPr>
              <w:widowControl w:val="0"/>
              <w:spacing w:before="120" w:after="120" w:line="240" w:lineRule="atLeast"/>
              <w:rPr>
                <w:rFonts w:cs="Arial"/>
                <w:sz w:val="18"/>
                <w:szCs w:val="18"/>
                <w:highlight w:val="lightGray"/>
                <w:lang w:val="bg-BG"/>
              </w:rPr>
            </w:pPr>
          </w:p>
        </w:tc>
      </w:tr>
      <w:tr w:rsidR="00E67DA4" w:rsidRPr="009072DA" w:rsidTr="00E67DA4">
        <w:trPr>
          <w:cantSplit/>
          <w:jc w:val="center"/>
        </w:trPr>
        <w:tc>
          <w:tcPr>
            <w:tcW w:w="6096" w:type="dxa"/>
            <w:gridSpan w:val="3"/>
            <w:shd w:val="clear" w:color="auto" w:fill="auto"/>
          </w:tcPr>
          <w:p w:rsidR="00E67DA4" w:rsidRPr="009072DA" w:rsidRDefault="00E67DA4" w:rsidP="00C01A94">
            <w:pPr>
              <w:spacing w:before="120" w:after="120" w:line="240" w:lineRule="atLeast"/>
              <w:jc w:val="center"/>
              <w:rPr>
                <w:rFonts w:cs="Arial"/>
                <w:sz w:val="18"/>
                <w:szCs w:val="18"/>
                <w:lang w:val="bg-BG"/>
              </w:rPr>
            </w:pPr>
            <w:r w:rsidRPr="009072DA">
              <w:rPr>
                <w:b/>
                <w:sz w:val="18"/>
                <w:lang w:val="bg-BG"/>
              </w:rPr>
              <w:t>ГЛАВА 8</w:t>
            </w:r>
          </w:p>
        </w:tc>
        <w:tc>
          <w:tcPr>
            <w:tcW w:w="5387" w:type="dxa"/>
            <w:shd w:val="clear" w:color="auto" w:fill="auto"/>
          </w:tcPr>
          <w:p w:rsidR="00E67DA4" w:rsidRPr="009072DA" w:rsidRDefault="00E67DA4" w:rsidP="00C01A94">
            <w:pPr>
              <w:spacing w:before="120" w:after="120" w:line="240" w:lineRule="atLeast"/>
              <w:rPr>
                <w:rFonts w:cs="Arial"/>
                <w:sz w:val="18"/>
                <w:szCs w:val="18"/>
                <w:lang w:val="bg-BG"/>
              </w:rPr>
            </w:pPr>
          </w:p>
        </w:tc>
        <w:tc>
          <w:tcPr>
            <w:tcW w:w="1276" w:type="dxa"/>
            <w:shd w:val="clear" w:color="auto" w:fill="auto"/>
          </w:tcPr>
          <w:p w:rsidR="00E67DA4" w:rsidRPr="009072DA" w:rsidRDefault="00E67DA4" w:rsidP="00C01A94">
            <w:pPr>
              <w:spacing w:before="120" w:after="120" w:line="240" w:lineRule="atLeast"/>
              <w:rPr>
                <w:rFonts w:cs="Arial"/>
                <w:sz w:val="18"/>
                <w:szCs w:val="18"/>
                <w:lang w:val="bg-BG"/>
              </w:rPr>
            </w:pPr>
          </w:p>
        </w:tc>
        <w:tc>
          <w:tcPr>
            <w:tcW w:w="1276" w:type="dxa"/>
          </w:tcPr>
          <w:p w:rsidR="00E67DA4" w:rsidRPr="009072DA" w:rsidRDefault="00E67DA4" w:rsidP="00C01A94">
            <w:pPr>
              <w:spacing w:before="120" w:after="120" w:line="240" w:lineRule="atLeast"/>
              <w:rPr>
                <w:rFonts w:cs="Arial"/>
                <w:sz w:val="18"/>
                <w:szCs w:val="18"/>
                <w:lang w:val="bg-BG"/>
              </w:rPr>
            </w:pPr>
          </w:p>
        </w:tc>
      </w:tr>
      <w:tr w:rsidR="00E67DA4" w:rsidRPr="009072DA" w:rsidTr="00E67DA4">
        <w:trPr>
          <w:cantSplit/>
          <w:jc w:val="center"/>
        </w:trPr>
        <w:tc>
          <w:tcPr>
            <w:tcW w:w="1342" w:type="dxa"/>
            <w:tcBorders>
              <w:bottom w:val="nil"/>
            </w:tcBorders>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8.02</w:t>
            </w:r>
          </w:p>
        </w:tc>
        <w:tc>
          <w:tcPr>
            <w:tcW w:w="1458"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Точка 4</w:t>
            </w:r>
          </w:p>
        </w:tc>
        <w:tc>
          <w:tcPr>
            <w:tcW w:w="3296"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Екраниране на тръби</w:t>
            </w:r>
          </w:p>
        </w:tc>
        <w:tc>
          <w:tcPr>
            <w:tcW w:w="5387" w:type="dxa"/>
            <w:shd w:val="clear" w:color="auto" w:fill="auto"/>
          </w:tcPr>
          <w:p w:rsidR="00E67DA4" w:rsidRPr="009072DA" w:rsidRDefault="008761D9"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1.1.2025 г.</w:t>
            </w:r>
          </w:p>
        </w:tc>
        <w:tc>
          <w:tcPr>
            <w:tcW w:w="1276" w:type="dxa"/>
          </w:tcPr>
          <w:p w:rsidR="00E67DA4" w:rsidRPr="009072DA" w:rsidRDefault="00E67DA4" w:rsidP="00C01A94">
            <w:pPr>
              <w:spacing w:before="120" w:after="120" w:line="240" w:lineRule="atLeast"/>
              <w:rPr>
                <w:rFonts w:cs="Arial"/>
                <w:sz w:val="18"/>
                <w:szCs w:val="18"/>
                <w:lang w:val="bg-BG"/>
              </w:rPr>
            </w:pPr>
            <w:r w:rsidRPr="009072DA">
              <w:rPr>
                <w:sz w:val="18"/>
                <w:lang w:val="bg-BG"/>
              </w:rPr>
              <w:t>1.4.2007 г.</w:t>
            </w:r>
          </w:p>
        </w:tc>
      </w:tr>
      <w:tr w:rsidR="00E67DA4" w:rsidRPr="009072DA" w:rsidTr="00E67DA4">
        <w:trPr>
          <w:cantSplit/>
          <w:jc w:val="center"/>
        </w:trPr>
        <w:tc>
          <w:tcPr>
            <w:tcW w:w="1342" w:type="dxa"/>
            <w:tcBorders>
              <w:top w:val="nil"/>
              <w:bottom w:val="nil"/>
            </w:tcBorders>
            <w:shd w:val="clear" w:color="auto" w:fill="auto"/>
          </w:tcPr>
          <w:p w:rsidR="00E67DA4" w:rsidRPr="009072DA" w:rsidRDefault="00E67DA4" w:rsidP="00C01A94">
            <w:pPr>
              <w:spacing w:before="120" w:after="120" w:line="240" w:lineRule="atLeast"/>
              <w:rPr>
                <w:rFonts w:cs="Arial"/>
                <w:sz w:val="18"/>
                <w:szCs w:val="18"/>
                <w:lang w:val="bg-BG"/>
              </w:rPr>
            </w:pPr>
          </w:p>
        </w:tc>
        <w:tc>
          <w:tcPr>
            <w:tcW w:w="1458"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Точка 5</w:t>
            </w:r>
          </w:p>
        </w:tc>
        <w:tc>
          <w:tcPr>
            <w:tcW w:w="3296"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Тръбопроводна система с изолация</w:t>
            </w:r>
          </w:p>
        </w:tc>
        <w:tc>
          <w:tcPr>
            <w:tcW w:w="5387" w:type="dxa"/>
            <w:shd w:val="clear" w:color="auto" w:fill="auto"/>
          </w:tcPr>
          <w:p w:rsidR="00E67DA4" w:rsidRPr="009072DA" w:rsidRDefault="008761D9"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120" w:after="120" w:line="240" w:lineRule="atLeast"/>
              <w:rPr>
                <w:rFonts w:cs="Arial"/>
                <w:sz w:val="18"/>
                <w:szCs w:val="18"/>
                <w:lang w:val="bg-BG"/>
              </w:rPr>
            </w:pPr>
            <w:r w:rsidRPr="009072DA">
              <w:rPr>
                <w:sz w:val="18"/>
                <w:lang w:val="bg-BG"/>
              </w:rPr>
              <w:t>1.1.2025 г.</w:t>
            </w:r>
          </w:p>
        </w:tc>
        <w:tc>
          <w:tcPr>
            <w:tcW w:w="1276" w:type="dxa"/>
          </w:tcPr>
          <w:p w:rsidR="00E67DA4" w:rsidRPr="009072DA" w:rsidRDefault="00E67DA4" w:rsidP="00C01A94">
            <w:pPr>
              <w:spacing w:before="120" w:after="120" w:line="240" w:lineRule="atLeast"/>
              <w:rPr>
                <w:rFonts w:cs="Arial"/>
                <w:sz w:val="18"/>
                <w:szCs w:val="18"/>
                <w:lang w:val="bg-BG"/>
              </w:rPr>
            </w:pPr>
            <w:r w:rsidRPr="009072DA">
              <w:rPr>
                <w:sz w:val="18"/>
                <w:lang w:val="bg-BG"/>
              </w:rPr>
              <w:t>1.4.2007 г.</w:t>
            </w:r>
          </w:p>
        </w:tc>
      </w:tr>
      <w:tr w:rsidR="00E67DA4" w:rsidRPr="009072DA" w:rsidTr="00E67DA4">
        <w:trPr>
          <w:cantSplit/>
          <w:jc w:val="center"/>
        </w:trPr>
        <w:tc>
          <w:tcPr>
            <w:tcW w:w="1342" w:type="dxa"/>
            <w:tcBorders>
              <w:bottom w:val="single" w:sz="4" w:space="0" w:color="auto"/>
            </w:tcBorders>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8.03</w:t>
            </w:r>
          </w:p>
        </w:tc>
        <w:tc>
          <w:tcPr>
            <w:tcW w:w="1458"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Точка 4</w:t>
            </w:r>
          </w:p>
        </w:tc>
        <w:tc>
          <w:tcPr>
            <w:tcW w:w="3296"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Устройства за следене</w:t>
            </w:r>
          </w:p>
        </w:tc>
        <w:tc>
          <w:tcPr>
            <w:tcW w:w="5387" w:type="dxa"/>
            <w:shd w:val="clear" w:color="auto" w:fill="auto"/>
          </w:tcPr>
          <w:p w:rsidR="00E67DA4" w:rsidRPr="009072DA" w:rsidRDefault="008761D9" w:rsidP="00C01A94">
            <w:pPr>
              <w:spacing w:before="240" w:after="2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1.1.2010 г.</w:t>
            </w:r>
          </w:p>
        </w:tc>
        <w:tc>
          <w:tcPr>
            <w:tcW w:w="1276" w:type="dxa"/>
          </w:tcPr>
          <w:p w:rsidR="00E67DA4" w:rsidRPr="009072DA" w:rsidRDefault="00E67DA4" w:rsidP="00C01A94">
            <w:pPr>
              <w:spacing w:before="240" w:after="240" w:line="240" w:lineRule="atLeast"/>
              <w:rPr>
                <w:rFonts w:cs="Arial"/>
                <w:sz w:val="18"/>
                <w:szCs w:val="18"/>
                <w:lang w:val="bg-BG"/>
              </w:rPr>
            </w:pPr>
            <w:r w:rsidRPr="009072DA">
              <w:rPr>
                <w:sz w:val="18"/>
                <w:lang w:val="bg-BG"/>
              </w:rPr>
              <w:t>1.4.2004 г.</w:t>
            </w:r>
          </w:p>
        </w:tc>
      </w:tr>
      <w:tr w:rsidR="00E67DA4" w:rsidRPr="009072DA" w:rsidTr="00E67DA4">
        <w:trPr>
          <w:cantSplit/>
          <w:jc w:val="center"/>
        </w:trPr>
        <w:tc>
          <w:tcPr>
            <w:tcW w:w="1342" w:type="dxa"/>
            <w:tcBorders>
              <w:bottom w:val="nil"/>
            </w:tcBorders>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8.05</w:t>
            </w:r>
          </w:p>
        </w:tc>
        <w:tc>
          <w:tcPr>
            <w:tcW w:w="1458"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Точка 3</w:t>
            </w:r>
          </w:p>
        </w:tc>
        <w:tc>
          <w:tcPr>
            <w:tcW w:w="3296"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Без резервоари за гориво зад ахтерпиковата преграда</w:t>
            </w:r>
          </w:p>
        </w:tc>
        <w:tc>
          <w:tcPr>
            <w:tcW w:w="5387" w:type="dxa"/>
            <w:shd w:val="clear" w:color="auto" w:fill="auto"/>
          </w:tcPr>
          <w:p w:rsidR="00E67DA4" w:rsidRPr="009072DA" w:rsidRDefault="008761D9" w:rsidP="00C01A94">
            <w:pPr>
              <w:spacing w:before="240" w:after="2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1.1.2035 г.</w:t>
            </w:r>
          </w:p>
        </w:tc>
        <w:tc>
          <w:tcPr>
            <w:tcW w:w="1276" w:type="dxa"/>
          </w:tcPr>
          <w:p w:rsidR="00E67DA4" w:rsidRPr="009072DA" w:rsidRDefault="00401300" w:rsidP="00C01A94">
            <w:pPr>
              <w:spacing w:before="240" w:after="240" w:line="240" w:lineRule="atLeast"/>
              <w:rPr>
                <w:rFonts w:cs="Arial"/>
                <w:sz w:val="18"/>
                <w:szCs w:val="18"/>
                <w:lang w:val="bg-BG"/>
              </w:rPr>
            </w:pPr>
            <w:r w:rsidRPr="009072DA">
              <w:rPr>
                <w:sz w:val="18"/>
                <w:lang w:val="bg-BG"/>
              </w:rPr>
              <w:t>7.10.2018 г.</w:t>
            </w:r>
          </w:p>
        </w:tc>
      </w:tr>
      <w:tr w:rsidR="00E67DA4" w:rsidRPr="009072DA" w:rsidTr="00E67DA4">
        <w:trPr>
          <w:cantSplit/>
          <w:jc w:val="center"/>
        </w:trPr>
        <w:tc>
          <w:tcPr>
            <w:tcW w:w="1342" w:type="dxa"/>
            <w:tcBorders>
              <w:top w:val="nil"/>
              <w:bottom w:val="nil"/>
            </w:tcBorders>
            <w:shd w:val="clear" w:color="auto" w:fill="auto"/>
          </w:tcPr>
          <w:p w:rsidR="00E67DA4" w:rsidRPr="009072DA" w:rsidRDefault="00E67DA4" w:rsidP="00C01A94">
            <w:pPr>
              <w:spacing w:before="240" w:after="240" w:line="240" w:lineRule="atLeast"/>
              <w:rPr>
                <w:rFonts w:cs="Arial"/>
                <w:sz w:val="18"/>
                <w:szCs w:val="18"/>
                <w:lang w:val="bg-BG"/>
              </w:rPr>
            </w:pPr>
          </w:p>
        </w:tc>
        <w:tc>
          <w:tcPr>
            <w:tcW w:w="1458"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Точка 7, 1</w:t>
            </w:r>
            <w:r w:rsidRPr="009072DA">
              <w:rPr>
                <w:sz w:val="18"/>
                <w:vertAlign w:val="superscript"/>
                <w:lang w:val="bg-BG"/>
              </w:rPr>
              <w:t>во</w:t>
            </w:r>
            <w:r w:rsidRPr="009072DA">
              <w:rPr>
                <w:sz w:val="18"/>
                <w:lang w:val="bg-BG"/>
              </w:rPr>
              <w:t xml:space="preserve"> изречение</w:t>
            </w:r>
          </w:p>
        </w:tc>
        <w:tc>
          <w:tcPr>
            <w:tcW w:w="3296"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Бързозатварящ се клапан на резервоара, управляван от палубата, дори ако въпросните помещения са затворени</w:t>
            </w:r>
          </w:p>
        </w:tc>
        <w:tc>
          <w:tcPr>
            <w:tcW w:w="5387" w:type="dxa"/>
            <w:shd w:val="clear" w:color="auto" w:fill="auto"/>
          </w:tcPr>
          <w:p w:rsidR="00E67DA4" w:rsidRPr="009072DA" w:rsidRDefault="008761D9" w:rsidP="00C01A94">
            <w:pPr>
              <w:spacing w:before="240" w:after="2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1.1.2015 г.</w:t>
            </w:r>
          </w:p>
        </w:tc>
        <w:tc>
          <w:tcPr>
            <w:tcW w:w="1276" w:type="dxa"/>
          </w:tcPr>
          <w:p w:rsidR="00E67DA4" w:rsidRPr="009072DA" w:rsidRDefault="00E67DA4" w:rsidP="00C01A94">
            <w:pPr>
              <w:spacing w:before="240" w:after="240" w:line="240" w:lineRule="atLeast"/>
              <w:rPr>
                <w:rFonts w:cs="Arial"/>
                <w:sz w:val="18"/>
                <w:szCs w:val="18"/>
                <w:lang w:val="bg-BG"/>
              </w:rPr>
            </w:pPr>
            <w:r w:rsidRPr="009072DA">
              <w:rPr>
                <w:sz w:val="18"/>
                <w:lang w:val="bg-BG"/>
              </w:rPr>
              <w:t>1.4.2008 г.</w:t>
            </w:r>
          </w:p>
        </w:tc>
      </w:tr>
      <w:tr w:rsidR="00E67DA4" w:rsidRPr="009072DA" w:rsidTr="00E67DA4">
        <w:trPr>
          <w:cantSplit/>
          <w:jc w:val="center"/>
        </w:trPr>
        <w:tc>
          <w:tcPr>
            <w:tcW w:w="1342" w:type="dxa"/>
            <w:tcBorders>
              <w:top w:val="nil"/>
              <w:bottom w:val="nil"/>
            </w:tcBorders>
            <w:shd w:val="clear" w:color="auto" w:fill="auto"/>
          </w:tcPr>
          <w:p w:rsidR="00E67DA4" w:rsidRPr="009072DA" w:rsidRDefault="00E67DA4" w:rsidP="00C01A94">
            <w:pPr>
              <w:spacing w:before="240" w:after="240" w:line="240" w:lineRule="atLeast"/>
              <w:rPr>
                <w:rFonts w:cs="Arial"/>
                <w:sz w:val="18"/>
                <w:szCs w:val="18"/>
                <w:lang w:val="bg-BG"/>
              </w:rPr>
            </w:pPr>
          </w:p>
        </w:tc>
        <w:tc>
          <w:tcPr>
            <w:tcW w:w="1458"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Точка 9, 2</w:t>
            </w:r>
            <w:r w:rsidRPr="009072DA">
              <w:rPr>
                <w:sz w:val="18"/>
                <w:vertAlign w:val="superscript"/>
                <w:lang w:val="bg-BG"/>
              </w:rPr>
              <w:t>ро </w:t>
            </w:r>
            <w:r w:rsidRPr="009072DA">
              <w:rPr>
                <w:sz w:val="18"/>
                <w:lang w:val="bg-BG"/>
              </w:rPr>
              <w:t>изречение</w:t>
            </w:r>
          </w:p>
        </w:tc>
        <w:tc>
          <w:tcPr>
            <w:tcW w:w="3296"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Устройствата за измерване на вместимостта да могат да бъдат разчитани до равнището на максимално напълване</w:t>
            </w:r>
          </w:p>
        </w:tc>
        <w:tc>
          <w:tcPr>
            <w:tcW w:w="5387" w:type="dxa"/>
            <w:shd w:val="clear" w:color="auto" w:fill="auto"/>
          </w:tcPr>
          <w:p w:rsidR="00E67DA4" w:rsidRPr="009072DA" w:rsidRDefault="008761D9" w:rsidP="00C01A94">
            <w:pPr>
              <w:spacing w:before="240" w:after="2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1.1.2010 г.</w:t>
            </w:r>
          </w:p>
        </w:tc>
        <w:tc>
          <w:tcPr>
            <w:tcW w:w="1276" w:type="dxa"/>
          </w:tcPr>
          <w:p w:rsidR="00E67DA4" w:rsidRPr="009072DA" w:rsidRDefault="00E67DA4" w:rsidP="00C01A94">
            <w:pPr>
              <w:spacing w:before="240" w:after="240" w:line="240" w:lineRule="atLeast"/>
              <w:rPr>
                <w:rFonts w:cs="Arial"/>
                <w:sz w:val="18"/>
                <w:szCs w:val="18"/>
                <w:lang w:val="bg-BG"/>
              </w:rPr>
            </w:pPr>
            <w:r w:rsidRPr="009072DA">
              <w:rPr>
                <w:sz w:val="18"/>
                <w:lang w:val="bg-BG"/>
              </w:rPr>
              <w:t>1.4.1999 г.</w:t>
            </w:r>
          </w:p>
        </w:tc>
      </w:tr>
      <w:tr w:rsidR="00E67DA4" w:rsidRPr="009072DA" w:rsidTr="00E67DA4">
        <w:trPr>
          <w:cantSplit/>
          <w:jc w:val="center"/>
        </w:trPr>
        <w:tc>
          <w:tcPr>
            <w:tcW w:w="1342" w:type="dxa"/>
            <w:tcBorders>
              <w:top w:val="nil"/>
            </w:tcBorders>
            <w:shd w:val="clear" w:color="auto" w:fill="auto"/>
          </w:tcPr>
          <w:p w:rsidR="00E67DA4" w:rsidRPr="009072DA" w:rsidRDefault="00E67DA4" w:rsidP="00C01A94">
            <w:pPr>
              <w:spacing w:before="240" w:after="240" w:line="240" w:lineRule="atLeast"/>
              <w:rPr>
                <w:rFonts w:cs="Arial"/>
                <w:sz w:val="18"/>
                <w:szCs w:val="18"/>
                <w:lang w:val="bg-BG"/>
              </w:rPr>
            </w:pPr>
          </w:p>
        </w:tc>
        <w:tc>
          <w:tcPr>
            <w:tcW w:w="1458"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Точка 13</w:t>
            </w:r>
          </w:p>
        </w:tc>
        <w:tc>
          <w:tcPr>
            <w:tcW w:w="3296"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Контрол на равнището на напълване не само за главните двигатели, а също и за другите двигатели, необходими за безопасна експлоатация на плавателния съд</w:t>
            </w:r>
          </w:p>
        </w:tc>
        <w:tc>
          <w:tcPr>
            <w:tcW w:w="5387" w:type="dxa"/>
            <w:shd w:val="clear" w:color="auto" w:fill="auto"/>
          </w:tcPr>
          <w:p w:rsidR="00E67DA4" w:rsidRPr="009072DA" w:rsidRDefault="008761D9" w:rsidP="00C01A94">
            <w:pPr>
              <w:spacing w:before="240" w:after="2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1.1.2015 г.</w:t>
            </w:r>
          </w:p>
        </w:tc>
        <w:tc>
          <w:tcPr>
            <w:tcW w:w="1276" w:type="dxa"/>
          </w:tcPr>
          <w:p w:rsidR="00E67DA4" w:rsidRPr="009072DA" w:rsidRDefault="00E67DA4" w:rsidP="00C01A94">
            <w:pPr>
              <w:spacing w:before="240" w:after="240" w:line="240" w:lineRule="atLeast"/>
              <w:rPr>
                <w:rFonts w:cs="Arial"/>
                <w:sz w:val="18"/>
                <w:szCs w:val="18"/>
                <w:lang w:val="bg-BG"/>
              </w:rPr>
            </w:pPr>
            <w:r w:rsidRPr="009072DA">
              <w:rPr>
                <w:sz w:val="18"/>
                <w:lang w:val="bg-BG"/>
              </w:rPr>
              <w:t>1.4.1999 г.</w:t>
            </w:r>
          </w:p>
        </w:tc>
      </w:tr>
      <w:tr w:rsidR="00E67DA4" w:rsidRPr="009072DA" w:rsidTr="00E67DA4">
        <w:trPr>
          <w:cantSplit/>
          <w:jc w:val="center"/>
        </w:trPr>
        <w:tc>
          <w:tcPr>
            <w:tcW w:w="1342"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8.06</w:t>
            </w:r>
          </w:p>
        </w:tc>
        <w:tc>
          <w:tcPr>
            <w:tcW w:w="1458" w:type="dxa"/>
            <w:shd w:val="clear" w:color="auto" w:fill="auto"/>
          </w:tcPr>
          <w:p w:rsidR="00E67DA4" w:rsidRPr="009072DA" w:rsidRDefault="00E67DA4" w:rsidP="00C01A94">
            <w:pPr>
              <w:spacing w:before="240" w:after="240" w:line="240" w:lineRule="atLeast"/>
              <w:rPr>
                <w:rFonts w:cs="Arial"/>
                <w:sz w:val="18"/>
                <w:szCs w:val="18"/>
                <w:lang w:val="bg-BG"/>
              </w:rPr>
            </w:pPr>
          </w:p>
        </w:tc>
        <w:tc>
          <w:tcPr>
            <w:tcW w:w="3296"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Резервоари за смазочно масло, тръби и принадлежности</w:t>
            </w:r>
          </w:p>
        </w:tc>
        <w:tc>
          <w:tcPr>
            <w:tcW w:w="5387" w:type="dxa"/>
            <w:shd w:val="clear" w:color="auto" w:fill="auto"/>
          </w:tcPr>
          <w:p w:rsidR="00E67DA4" w:rsidRPr="009072DA" w:rsidRDefault="008761D9" w:rsidP="00C01A94">
            <w:pPr>
              <w:spacing w:before="240" w:after="2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1.1.2045 г.</w:t>
            </w:r>
          </w:p>
        </w:tc>
        <w:tc>
          <w:tcPr>
            <w:tcW w:w="1276" w:type="dxa"/>
          </w:tcPr>
          <w:p w:rsidR="00E67DA4" w:rsidRPr="009072DA" w:rsidRDefault="00E67DA4" w:rsidP="00C01A94">
            <w:pPr>
              <w:spacing w:before="240" w:after="240" w:line="240" w:lineRule="atLeast"/>
              <w:rPr>
                <w:rFonts w:cs="Arial"/>
                <w:sz w:val="18"/>
                <w:szCs w:val="18"/>
                <w:lang w:val="bg-BG"/>
              </w:rPr>
            </w:pPr>
            <w:r w:rsidRPr="009072DA">
              <w:rPr>
                <w:sz w:val="18"/>
                <w:lang w:val="bg-BG"/>
              </w:rPr>
              <w:t>1.4.2007 г.</w:t>
            </w:r>
          </w:p>
        </w:tc>
      </w:tr>
      <w:tr w:rsidR="00E67DA4" w:rsidRPr="009072DA" w:rsidTr="00C01A94">
        <w:trPr>
          <w:cantSplit/>
          <w:jc w:val="center"/>
        </w:trPr>
        <w:tc>
          <w:tcPr>
            <w:tcW w:w="1342"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8.07</w:t>
            </w:r>
          </w:p>
        </w:tc>
        <w:tc>
          <w:tcPr>
            <w:tcW w:w="1458" w:type="dxa"/>
            <w:shd w:val="clear" w:color="auto" w:fill="auto"/>
          </w:tcPr>
          <w:p w:rsidR="00E67DA4" w:rsidRPr="009072DA" w:rsidRDefault="00E67DA4" w:rsidP="00C01A94">
            <w:pPr>
              <w:spacing w:before="240" w:after="240" w:line="240" w:lineRule="atLeast"/>
              <w:rPr>
                <w:rFonts w:cs="Arial"/>
                <w:sz w:val="18"/>
                <w:szCs w:val="18"/>
                <w:lang w:val="bg-BG"/>
              </w:rPr>
            </w:pPr>
          </w:p>
        </w:tc>
        <w:tc>
          <w:tcPr>
            <w:tcW w:w="3296"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Резервоари за масла в силови трансмисии, системи за управление и задействане и системи за отопление, тръбопроводи и принадлежности</w:t>
            </w:r>
          </w:p>
        </w:tc>
        <w:tc>
          <w:tcPr>
            <w:tcW w:w="5387" w:type="dxa"/>
            <w:shd w:val="clear" w:color="auto" w:fill="auto"/>
          </w:tcPr>
          <w:p w:rsidR="00E67DA4" w:rsidRPr="009072DA" w:rsidRDefault="008761D9" w:rsidP="00C01A94">
            <w:pPr>
              <w:spacing w:before="240" w:after="2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67DA4" w:rsidRPr="009072DA" w:rsidRDefault="00E67DA4" w:rsidP="00C01A94">
            <w:pPr>
              <w:spacing w:before="240" w:after="240" w:line="240" w:lineRule="atLeast"/>
              <w:rPr>
                <w:rFonts w:cs="Arial"/>
                <w:sz w:val="18"/>
                <w:szCs w:val="18"/>
                <w:lang w:val="bg-BG"/>
              </w:rPr>
            </w:pPr>
            <w:r w:rsidRPr="009072DA">
              <w:rPr>
                <w:sz w:val="18"/>
                <w:lang w:val="bg-BG"/>
              </w:rPr>
              <w:t>1.1.2045 г.</w:t>
            </w:r>
          </w:p>
        </w:tc>
        <w:tc>
          <w:tcPr>
            <w:tcW w:w="1276" w:type="dxa"/>
            <w:tcBorders>
              <w:bottom w:val="single" w:sz="4" w:space="0" w:color="auto"/>
            </w:tcBorders>
          </w:tcPr>
          <w:p w:rsidR="00E67DA4" w:rsidRPr="009072DA" w:rsidRDefault="00E67DA4" w:rsidP="00C01A94">
            <w:pPr>
              <w:spacing w:before="240" w:after="240" w:line="240" w:lineRule="atLeast"/>
              <w:rPr>
                <w:rFonts w:cs="Arial"/>
                <w:sz w:val="18"/>
                <w:szCs w:val="18"/>
                <w:lang w:val="bg-BG"/>
              </w:rPr>
            </w:pPr>
            <w:r w:rsidRPr="009072DA">
              <w:rPr>
                <w:sz w:val="18"/>
                <w:lang w:val="bg-BG"/>
              </w:rPr>
              <w:t>1.4.2007 г.</w:t>
            </w:r>
          </w:p>
        </w:tc>
      </w:tr>
      <w:tr w:rsidR="00E67DA4" w:rsidRPr="009072DA" w:rsidTr="00C01A94">
        <w:trPr>
          <w:cantSplit/>
          <w:jc w:val="center"/>
        </w:trPr>
        <w:tc>
          <w:tcPr>
            <w:tcW w:w="6096" w:type="dxa"/>
            <w:gridSpan w:val="3"/>
            <w:tcBorders>
              <w:bottom w:val="single" w:sz="4" w:space="0" w:color="auto"/>
            </w:tcBorders>
            <w:shd w:val="clear" w:color="auto" w:fill="auto"/>
          </w:tcPr>
          <w:p w:rsidR="00E67DA4" w:rsidRPr="009072DA" w:rsidRDefault="00E67DA4" w:rsidP="00C01A94">
            <w:pPr>
              <w:spacing w:before="80" w:after="80" w:line="240" w:lineRule="atLeast"/>
              <w:jc w:val="center"/>
              <w:rPr>
                <w:rFonts w:cs="Arial"/>
                <w:sz w:val="18"/>
                <w:szCs w:val="18"/>
                <w:lang w:val="bg-BG"/>
              </w:rPr>
            </w:pPr>
            <w:r w:rsidRPr="009072DA">
              <w:rPr>
                <w:b/>
                <w:sz w:val="18"/>
                <w:lang w:val="bg-BG"/>
              </w:rPr>
              <w:t>ГЛАВА 9</w:t>
            </w:r>
          </w:p>
        </w:tc>
        <w:tc>
          <w:tcPr>
            <w:tcW w:w="5387" w:type="dxa"/>
            <w:tcBorders>
              <w:bottom w:val="single" w:sz="4" w:space="0" w:color="auto"/>
            </w:tcBorders>
            <w:shd w:val="clear" w:color="auto" w:fill="auto"/>
          </w:tcPr>
          <w:p w:rsidR="00E67DA4" w:rsidRPr="009072DA" w:rsidRDefault="00C01A94" w:rsidP="00C01A94">
            <w:pPr>
              <w:spacing w:before="80" w:after="80" w:line="240" w:lineRule="atLeast"/>
              <w:rPr>
                <w:rFonts w:cs="Arial"/>
                <w:sz w:val="18"/>
                <w:szCs w:val="18"/>
                <w:lang w:val="bg-BG"/>
              </w:rPr>
            </w:pPr>
            <w:r w:rsidRPr="009072DA">
              <w:rPr>
                <w:sz w:val="18"/>
                <w:lang w:val="bg-BG"/>
              </w:rPr>
              <w:t>За двигателите, които вече са монтирани на борда и нямат одобрение на типа, се прилага само член 9.02.</w:t>
            </w:r>
          </w:p>
        </w:tc>
        <w:tc>
          <w:tcPr>
            <w:tcW w:w="1276" w:type="dxa"/>
            <w:tcBorders>
              <w:bottom w:val="single" w:sz="4" w:space="0" w:color="auto"/>
            </w:tcBorders>
            <w:shd w:val="clear" w:color="auto" w:fill="auto"/>
          </w:tcPr>
          <w:p w:rsidR="00E67DA4" w:rsidRPr="009072DA" w:rsidRDefault="00E67DA4" w:rsidP="00C01A94">
            <w:pPr>
              <w:spacing w:before="80" w:after="80" w:line="240" w:lineRule="atLeast"/>
              <w:rPr>
                <w:rFonts w:cs="Arial"/>
                <w:sz w:val="18"/>
                <w:szCs w:val="18"/>
                <w:lang w:val="bg-BG"/>
              </w:rPr>
            </w:pPr>
          </w:p>
        </w:tc>
        <w:tc>
          <w:tcPr>
            <w:tcW w:w="1276" w:type="dxa"/>
            <w:tcBorders>
              <w:bottom w:val="nil"/>
            </w:tcBorders>
          </w:tcPr>
          <w:p w:rsidR="00E67DA4" w:rsidRPr="009072DA" w:rsidRDefault="00C01A94" w:rsidP="00C01A94">
            <w:pPr>
              <w:spacing w:before="80" w:after="80" w:line="240" w:lineRule="atLeast"/>
              <w:rPr>
                <w:rFonts w:cs="Arial"/>
                <w:sz w:val="18"/>
                <w:szCs w:val="18"/>
                <w:lang w:val="bg-BG"/>
              </w:rPr>
            </w:pPr>
            <w:r w:rsidRPr="009072DA">
              <w:rPr>
                <w:sz w:val="18"/>
                <w:lang w:val="bg-BG"/>
              </w:rPr>
              <w:t>7.10.2018 г.</w:t>
            </w:r>
          </w:p>
        </w:tc>
      </w:tr>
      <w:tr w:rsidR="00C01A94" w:rsidRPr="008D2440" w:rsidTr="00C01A94">
        <w:trPr>
          <w:cantSplit/>
          <w:jc w:val="center"/>
        </w:trPr>
        <w:tc>
          <w:tcPr>
            <w:tcW w:w="1342" w:type="dxa"/>
            <w:tcBorders>
              <w:bottom w:val="single" w:sz="4" w:space="0" w:color="auto"/>
            </w:tcBorders>
            <w:shd w:val="clear" w:color="auto" w:fill="auto"/>
          </w:tcPr>
          <w:p w:rsidR="00C01A94" w:rsidRPr="009072DA" w:rsidRDefault="00C01A94" w:rsidP="00C01A94">
            <w:pPr>
              <w:spacing w:before="80" w:after="80" w:line="240" w:lineRule="atLeast"/>
              <w:rPr>
                <w:rFonts w:eastAsia="Calibri" w:cs="Arial"/>
                <w:sz w:val="18"/>
                <w:szCs w:val="18"/>
                <w:lang w:val="bg-BG"/>
              </w:rPr>
            </w:pPr>
            <w:r w:rsidRPr="009072DA">
              <w:rPr>
                <w:sz w:val="18"/>
                <w:lang w:val="bg-BG"/>
              </w:rPr>
              <w:t>9.01</w:t>
            </w:r>
          </w:p>
        </w:tc>
        <w:tc>
          <w:tcPr>
            <w:tcW w:w="1458" w:type="dxa"/>
            <w:tcBorders>
              <w:bottom w:val="single" w:sz="4" w:space="0" w:color="auto"/>
            </w:tcBorders>
            <w:shd w:val="clear" w:color="auto" w:fill="auto"/>
          </w:tcPr>
          <w:p w:rsidR="00C01A94" w:rsidRPr="009072DA" w:rsidRDefault="00C01A94" w:rsidP="00C01A94">
            <w:pPr>
              <w:spacing w:before="80" w:after="80" w:line="240" w:lineRule="atLeast"/>
              <w:rPr>
                <w:rFonts w:eastAsia="Calibri" w:cs="Arial"/>
                <w:sz w:val="18"/>
                <w:szCs w:val="18"/>
                <w:lang w:val="bg-BG"/>
              </w:rPr>
            </w:pPr>
            <w:r w:rsidRPr="009072DA">
              <w:rPr>
                <w:sz w:val="18"/>
                <w:lang w:val="bg-BG"/>
              </w:rPr>
              <w:t>Точки 1 — 4</w:t>
            </w:r>
          </w:p>
        </w:tc>
        <w:tc>
          <w:tcPr>
            <w:tcW w:w="3296" w:type="dxa"/>
            <w:tcBorders>
              <w:bottom w:val="single" w:sz="4" w:space="0" w:color="auto"/>
            </w:tcBorders>
            <w:shd w:val="clear" w:color="auto" w:fill="auto"/>
          </w:tcPr>
          <w:p w:rsidR="00C01A94" w:rsidRPr="009072DA" w:rsidRDefault="00C01A94" w:rsidP="00C01A94">
            <w:pPr>
              <w:spacing w:before="80" w:after="80" w:line="240" w:lineRule="atLeast"/>
              <w:rPr>
                <w:rFonts w:eastAsia="Calibri" w:cs="Arial"/>
                <w:sz w:val="18"/>
                <w:szCs w:val="18"/>
                <w:lang w:val="bg-BG"/>
              </w:rPr>
            </w:pPr>
            <w:r w:rsidRPr="009072DA">
              <w:rPr>
                <w:sz w:val="18"/>
                <w:lang w:val="bg-BG"/>
              </w:rPr>
              <w:t>Общи разпоредби</w:t>
            </w:r>
          </w:p>
        </w:tc>
        <w:tc>
          <w:tcPr>
            <w:tcW w:w="5387" w:type="dxa"/>
            <w:vMerge w:val="restart"/>
            <w:tcBorders>
              <w:right w:val="single" w:sz="4" w:space="0" w:color="auto"/>
            </w:tcBorders>
            <w:shd w:val="clear" w:color="auto" w:fill="auto"/>
            <w:vAlign w:val="center"/>
          </w:tcPr>
          <w:p w:rsidR="00C01A94" w:rsidRPr="009072DA" w:rsidRDefault="00C01A94" w:rsidP="00877ACC">
            <w:pPr>
              <w:spacing w:before="80" w:after="80" w:line="240" w:lineRule="atLeast"/>
              <w:rPr>
                <w:rFonts w:cs="Arial"/>
                <w:sz w:val="18"/>
                <w:szCs w:val="18"/>
                <w:lang w:val="bg-BG"/>
              </w:rPr>
            </w:pPr>
            <w:r w:rsidRPr="009072DA">
              <w:rPr>
                <w:sz w:val="18"/>
                <w:lang w:val="bg-BG"/>
              </w:rPr>
              <w:t xml:space="preserve">За двигателите, които съответстват на разпоредбите за типа и </w:t>
            </w:r>
            <w:r w:rsidRPr="009072DA">
              <w:rPr>
                <w:sz w:val="18"/>
                <w:lang w:val="bg-BG"/>
              </w:rPr>
              <w:lastRenderedPageBreak/>
              <w:t>монтажа в сила към датата на монтажа: НЗ</w:t>
            </w:r>
          </w:p>
        </w:tc>
        <w:tc>
          <w:tcPr>
            <w:tcW w:w="1276" w:type="dxa"/>
            <w:tcBorders>
              <w:left w:val="single" w:sz="4" w:space="0" w:color="auto"/>
              <w:bottom w:val="nil"/>
            </w:tcBorders>
            <w:shd w:val="clear" w:color="auto" w:fill="auto"/>
          </w:tcPr>
          <w:p w:rsidR="00C01A94" w:rsidRPr="009072DA" w:rsidRDefault="00C01A94" w:rsidP="00C01A94">
            <w:pPr>
              <w:spacing w:before="80" w:after="80" w:line="240" w:lineRule="atLeast"/>
              <w:rPr>
                <w:rFonts w:cs="Arial"/>
                <w:sz w:val="18"/>
                <w:szCs w:val="18"/>
                <w:lang w:val="bg-BG"/>
              </w:rPr>
            </w:pPr>
          </w:p>
        </w:tc>
        <w:tc>
          <w:tcPr>
            <w:tcW w:w="1276" w:type="dxa"/>
            <w:tcBorders>
              <w:top w:val="nil"/>
              <w:bottom w:val="nil"/>
            </w:tcBorders>
          </w:tcPr>
          <w:p w:rsidR="00C01A94" w:rsidRPr="009072DA" w:rsidRDefault="00C01A94" w:rsidP="00C01A94">
            <w:pPr>
              <w:spacing w:before="80" w:after="80" w:line="240" w:lineRule="atLeast"/>
              <w:rPr>
                <w:rFonts w:cs="Arial"/>
                <w:sz w:val="18"/>
                <w:szCs w:val="18"/>
                <w:lang w:val="bg-BG"/>
              </w:rPr>
            </w:pPr>
          </w:p>
        </w:tc>
      </w:tr>
      <w:tr w:rsidR="00C01A94" w:rsidRPr="009072DA" w:rsidTr="00C01A94">
        <w:trPr>
          <w:cantSplit/>
          <w:jc w:val="center"/>
        </w:trPr>
        <w:tc>
          <w:tcPr>
            <w:tcW w:w="1342" w:type="dxa"/>
            <w:tcBorders>
              <w:top w:val="single" w:sz="4" w:space="0" w:color="auto"/>
              <w:bottom w:val="single" w:sz="4" w:space="0" w:color="auto"/>
              <w:right w:val="single" w:sz="4" w:space="0" w:color="auto"/>
            </w:tcBorders>
            <w:shd w:val="clear" w:color="auto" w:fill="auto"/>
          </w:tcPr>
          <w:p w:rsidR="00C01A94" w:rsidRPr="009072DA" w:rsidRDefault="00C01A94" w:rsidP="00C01A94">
            <w:pPr>
              <w:spacing w:before="80" w:after="80" w:line="240" w:lineRule="atLeast"/>
              <w:rPr>
                <w:sz w:val="18"/>
                <w:szCs w:val="18"/>
                <w:lang w:val="bg-BG"/>
              </w:rPr>
            </w:pPr>
            <w:r w:rsidRPr="009072DA">
              <w:rPr>
                <w:sz w:val="18"/>
                <w:lang w:val="bg-BG"/>
              </w:rPr>
              <w:lastRenderedPageBreak/>
              <w:t>9.06</w:t>
            </w:r>
          </w:p>
        </w:tc>
        <w:tc>
          <w:tcPr>
            <w:tcW w:w="1458" w:type="dxa"/>
            <w:tcBorders>
              <w:top w:val="single" w:sz="4" w:space="0" w:color="auto"/>
              <w:left w:val="single" w:sz="4" w:space="0" w:color="auto"/>
              <w:bottom w:val="single" w:sz="4" w:space="0" w:color="auto"/>
              <w:right w:val="single" w:sz="4" w:space="0" w:color="auto"/>
            </w:tcBorders>
            <w:shd w:val="clear" w:color="auto" w:fill="auto"/>
          </w:tcPr>
          <w:p w:rsidR="00C01A94" w:rsidRPr="009072DA" w:rsidRDefault="00C01A94" w:rsidP="00C01A94">
            <w:pPr>
              <w:spacing w:before="80" w:after="80" w:line="240" w:lineRule="atLeast"/>
              <w:rPr>
                <w:sz w:val="18"/>
                <w:szCs w:val="18"/>
                <w:lang w:val="bg-BG"/>
              </w:rPr>
            </w:pPr>
          </w:p>
        </w:tc>
        <w:tc>
          <w:tcPr>
            <w:tcW w:w="3296" w:type="dxa"/>
            <w:tcBorders>
              <w:top w:val="single" w:sz="4" w:space="0" w:color="auto"/>
              <w:left w:val="single" w:sz="4" w:space="0" w:color="auto"/>
              <w:bottom w:val="single" w:sz="4" w:space="0" w:color="auto"/>
            </w:tcBorders>
            <w:shd w:val="clear" w:color="auto" w:fill="auto"/>
          </w:tcPr>
          <w:p w:rsidR="00C01A94" w:rsidRPr="009072DA" w:rsidRDefault="00C01A94" w:rsidP="00C01A94">
            <w:pPr>
              <w:spacing w:before="80" w:after="80" w:line="240" w:lineRule="atLeast"/>
              <w:rPr>
                <w:sz w:val="18"/>
                <w:szCs w:val="18"/>
                <w:lang w:val="bg-BG"/>
              </w:rPr>
            </w:pPr>
            <w:r w:rsidRPr="009072DA">
              <w:rPr>
                <w:sz w:val="18"/>
                <w:lang w:val="bg-BG"/>
              </w:rPr>
              <w:t>Изпитване на монтажа</w:t>
            </w:r>
          </w:p>
        </w:tc>
        <w:tc>
          <w:tcPr>
            <w:tcW w:w="5387" w:type="dxa"/>
            <w:vMerge/>
            <w:tcBorders>
              <w:right w:val="single" w:sz="4" w:space="0" w:color="auto"/>
            </w:tcBorders>
            <w:shd w:val="clear" w:color="auto" w:fill="auto"/>
          </w:tcPr>
          <w:p w:rsidR="00C01A94" w:rsidRPr="009072DA" w:rsidRDefault="00C01A94" w:rsidP="00C01A94">
            <w:pPr>
              <w:pStyle w:val="tbl-norm"/>
              <w:spacing w:before="80" w:beforeAutospacing="0" w:after="80" w:afterAutospacing="0" w:line="240" w:lineRule="atLeast"/>
              <w:jc w:val="both"/>
              <w:rPr>
                <w:rFonts w:cs="Arial"/>
                <w:sz w:val="18"/>
                <w:szCs w:val="18"/>
                <w:lang w:val="bg-BG"/>
              </w:rPr>
            </w:pPr>
          </w:p>
        </w:tc>
        <w:tc>
          <w:tcPr>
            <w:tcW w:w="1276" w:type="dxa"/>
            <w:tcBorders>
              <w:top w:val="nil"/>
              <w:left w:val="single" w:sz="4" w:space="0" w:color="auto"/>
              <w:right w:val="single" w:sz="4" w:space="0" w:color="auto"/>
            </w:tcBorders>
            <w:shd w:val="clear" w:color="auto" w:fill="auto"/>
          </w:tcPr>
          <w:p w:rsidR="00C01A94" w:rsidRPr="009072DA" w:rsidRDefault="00C01A94" w:rsidP="00C01A94">
            <w:pPr>
              <w:spacing w:before="80" w:after="80" w:line="240" w:lineRule="atLeast"/>
              <w:rPr>
                <w:rFonts w:cs="Arial"/>
                <w:sz w:val="18"/>
                <w:szCs w:val="18"/>
                <w:lang w:val="bg-BG"/>
              </w:rPr>
            </w:pPr>
          </w:p>
        </w:tc>
        <w:tc>
          <w:tcPr>
            <w:tcW w:w="1276" w:type="dxa"/>
            <w:tcBorders>
              <w:top w:val="nil"/>
              <w:left w:val="single" w:sz="4" w:space="0" w:color="auto"/>
            </w:tcBorders>
          </w:tcPr>
          <w:p w:rsidR="00C01A94" w:rsidRPr="009072DA" w:rsidRDefault="00C01A94" w:rsidP="00C01A94">
            <w:pPr>
              <w:spacing w:before="80" w:after="80" w:line="240" w:lineRule="atLeast"/>
              <w:rPr>
                <w:rFonts w:cs="Arial"/>
                <w:sz w:val="18"/>
                <w:szCs w:val="18"/>
                <w:lang w:val="bg-BG"/>
              </w:rPr>
            </w:pPr>
          </w:p>
        </w:tc>
      </w:tr>
      <w:tr w:rsidR="00C01A94" w:rsidRPr="009072DA" w:rsidTr="005034E6">
        <w:trPr>
          <w:cantSplit/>
          <w:jc w:val="center"/>
        </w:trPr>
        <w:tc>
          <w:tcPr>
            <w:tcW w:w="6096" w:type="dxa"/>
            <w:gridSpan w:val="3"/>
            <w:tcBorders>
              <w:top w:val="single" w:sz="4" w:space="0" w:color="auto"/>
            </w:tcBorders>
            <w:shd w:val="clear" w:color="auto" w:fill="auto"/>
          </w:tcPr>
          <w:p w:rsidR="00C01A94" w:rsidRPr="009072DA" w:rsidRDefault="00C01A94" w:rsidP="00C01A94">
            <w:pPr>
              <w:spacing w:before="80" w:after="80" w:line="240" w:lineRule="atLeast"/>
              <w:jc w:val="center"/>
              <w:rPr>
                <w:rFonts w:cs="Arial"/>
                <w:b/>
                <w:sz w:val="18"/>
                <w:szCs w:val="18"/>
                <w:lang w:val="bg-BG"/>
              </w:rPr>
            </w:pPr>
            <w:r w:rsidRPr="009072DA">
              <w:rPr>
                <w:b/>
                <w:sz w:val="18"/>
                <w:lang w:val="bg-BG"/>
              </w:rPr>
              <w:lastRenderedPageBreak/>
              <w:t>ГЛАВА 10</w:t>
            </w:r>
          </w:p>
        </w:tc>
        <w:tc>
          <w:tcPr>
            <w:tcW w:w="5387" w:type="dxa"/>
            <w:shd w:val="clear" w:color="auto" w:fill="auto"/>
          </w:tcPr>
          <w:p w:rsidR="00C01A94" w:rsidRPr="009072DA" w:rsidRDefault="00C01A94" w:rsidP="00C01A94">
            <w:pPr>
              <w:spacing w:before="80" w:after="80" w:line="240" w:lineRule="atLeast"/>
              <w:jc w:val="center"/>
              <w:rPr>
                <w:rFonts w:cs="Arial"/>
                <w:sz w:val="18"/>
                <w:szCs w:val="18"/>
                <w:lang w:val="bg-BG"/>
              </w:rPr>
            </w:pPr>
          </w:p>
        </w:tc>
        <w:tc>
          <w:tcPr>
            <w:tcW w:w="1276" w:type="dxa"/>
            <w:shd w:val="clear" w:color="auto" w:fill="auto"/>
          </w:tcPr>
          <w:p w:rsidR="00C01A94" w:rsidRPr="009072DA" w:rsidRDefault="00C01A94" w:rsidP="00C01A94">
            <w:pPr>
              <w:spacing w:before="80" w:after="80" w:line="240" w:lineRule="atLeast"/>
              <w:jc w:val="center"/>
              <w:rPr>
                <w:rFonts w:cs="Arial"/>
                <w:sz w:val="18"/>
                <w:szCs w:val="18"/>
                <w:lang w:val="bg-BG"/>
              </w:rPr>
            </w:pPr>
          </w:p>
        </w:tc>
        <w:tc>
          <w:tcPr>
            <w:tcW w:w="1276" w:type="dxa"/>
          </w:tcPr>
          <w:p w:rsidR="00C01A94" w:rsidRPr="009072DA" w:rsidRDefault="00C01A94" w:rsidP="00C01A94">
            <w:pPr>
              <w:spacing w:before="80" w:after="80" w:line="240" w:lineRule="atLeast"/>
              <w:jc w:val="center"/>
              <w:rPr>
                <w:rFonts w:cs="Arial"/>
                <w:sz w:val="18"/>
                <w:szCs w:val="18"/>
                <w:lang w:val="bg-BG"/>
              </w:rPr>
            </w:pPr>
          </w:p>
        </w:tc>
      </w:tr>
      <w:tr w:rsidR="00C01A94" w:rsidRPr="009072DA" w:rsidTr="00A5358D">
        <w:trPr>
          <w:cantSplit/>
          <w:jc w:val="center"/>
        </w:trPr>
        <w:tc>
          <w:tcPr>
            <w:tcW w:w="1342" w:type="dxa"/>
            <w:vMerge w:val="restart"/>
            <w:shd w:val="clear" w:color="auto" w:fill="auto"/>
          </w:tcPr>
          <w:p w:rsidR="00C01A94" w:rsidRPr="009072DA" w:rsidRDefault="00C52DCC" w:rsidP="00C01A94">
            <w:pPr>
              <w:spacing w:before="80" w:after="80" w:line="240" w:lineRule="atLeast"/>
              <w:rPr>
                <w:rFonts w:cs="Arial"/>
                <w:sz w:val="18"/>
                <w:szCs w:val="18"/>
                <w:lang w:val="bg-BG"/>
              </w:rPr>
            </w:pPr>
            <w:r w:rsidRPr="009072DA">
              <w:rPr>
                <w:sz w:val="18"/>
                <w:lang w:val="bg-BG"/>
              </w:rPr>
              <w:t>10.01</w:t>
            </w:r>
          </w:p>
        </w:tc>
        <w:tc>
          <w:tcPr>
            <w:tcW w:w="1458" w:type="dxa"/>
            <w:shd w:val="clear" w:color="auto" w:fill="auto"/>
          </w:tcPr>
          <w:p w:rsidR="00C01A94" w:rsidRPr="009072DA" w:rsidRDefault="00AA3519" w:rsidP="00AA3519">
            <w:pPr>
              <w:spacing w:before="80" w:after="80" w:line="240" w:lineRule="atLeast"/>
              <w:rPr>
                <w:rFonts w:cs="Arial"/>
                <w:sz w:val="18"/>
                <w:szCs w:val="18"/>
                <w:lang w:val="bg-BG"/>
              </w:rPr>
            </w:pPr>
            <w:r w:rsidRPr="009072DA">
              <w:rPr>
                <w:sz w:val="18"/>
                <w:lang w:val="bg-BG"/>
              </w:rPr>
              <w:t>Точка 2, буква д)</w:t>
            </w:r>
          </w:p>
        </w:tc>
        <w:tc>
          <w:tcPr>
            <w:tcW w:w="3296" w:type="dxa"/>
            <w:shd w:val="clear" w:color="auto" w:fill="auto"/>
          </w:tcPr>
          <w:p w:rsidR="00C01A94" w:rsidRPr="009072DA" w:rsidRDefault="00C01A94" w:rsidP="00C01A94">
            <w:pPr>
              <w:spacing w:before="80" w:after="80" w:line="240" w:lineRule="atLeast"/>
              <w:rPr>
                <w:rFonts w:cs="Arial"/>
                <w:sz w:val="18"/>
                <w:szCs w:val="18"/>
                <w:lang w:val="bg-BG"/>
              </w:rPr>
            </w:pPr>
            <w:r w:rsidRPr="009072DA">
              <w:rPr>
                <w:sz w:val="18"/>
                <w:lang w:val="bg-BG"/>
              </w:rPr>
              <w:t>Планове на разпределителните табла, както и документация за електрическия задвижващ двигател</w:t>
            </w:r>
          </w:p>
        </w:tc>
        <w:tc>
          <w:tcPr>
            <w:tcW w:w="5387" w:type="dxa"/>
            <w:shd w:val="clear" w:color="auto" w:fill="auto"/>
          </w:tcPr>
          <w:p w:rsidR="00C01A94" w:rsidRPr="009072DA" w:rsidRDefault="00C52DCC" w:rsidP="00C01A94">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80" w:after="80" w:line="240" w:lineRule="atLeast"/>
              <w:jc w:val="center"/>
              <w:rPr>
                <w:rFonts w:cs="Arial"/>
                <w:sz w:val="18"/>
                <w:szCs w:val="18"/>
                <w:lang w:val="bg-BG"/>
              </w:rPr>
            </w:pPr>
          </w:p>
        </w:tc>
        <w:tc>
          <w:tcPr>
            <w:tcW w:w="1276" w:type="dxa"/>
          </w:tcPr>
          <w:p w:rsidR="00C01A94" w:rsidRPr="009072DA" w:rsidRDefault="00C01A94" w:rsidP="00C01A94">
            <w:pPr>
              <w:spacing w:before="80" w:after="8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shd w:val="clear" w:color="auto" w:fill="auto"/>
          </w:tcPr>
          <w:p w:rsidR="00C01A94" w:rsidRPr="009072DA" w:rsidRDefault="00C01A94" w:rsidP="00C01A94">
            <w:pPr>
              <w:spacing w:before="80" w:after="80" w:line="240" w:lineRule="atLeast"/>
              <w:rPr>
                <w:rFonts w:cs="Arial"/>
                <w:sz w:val="18"/>
                <w:szCs w:val="18"/>
                <w:lang w:val="bg-BG"/>
              </w:rPr>
            </w:pPr>
          </w:p>
        </w:tc>
        <w:tc>
          <w:tcPr>
            <w:tcW w:w="1458" w:type="dxa"/>
            <w:shd w:val="clear" w:color="auto" w:fill="auto"/>
          </w:tcPr>
          <w:p w:rsidR="00C01A94" w:rsidRPr="009072DA" w:rsidRDefault="00AA3519" w:rsidP="00AA3519">
            <w:pPr>
              <w:spacing w:before="80" w:after="80" w:line="240" w:lineRule="atLeast"/>
              <w:rPr>
                <w:rFonts w:cs="Arial"/>
                <w:sz w:val="18"/>
                <w:szCs w:val="18"/>
                <w:lang w:val="bg-BG"/>
              </w:rPr>
            </w:pPr>
            <w:r w:rsidRPr="009072DA">
              <w:rPr>
                <w:sz w:val="18"/>
                <w:lang w:val="bg-BG"/>
              </w:rPr>
              <w:t>Точка 2, буква е)</w:t>
            </w:r>
          </w:p>
        </w:tc>
        <w:tc>
          <w:tcPr>
            <w:tcW w:w="3296" w:type="dxa"/>
            <w:shd w:val="clear" w:color="auto" w:fill="auto"/>
          </w:tcPr>
          <w:p w:rsidR="00C01A94" w:rsidRPr="009072DA" w:rsidRDefault="00C01A94" w:rsidP="00C01A94">
            <w:pPr>
              <w:spacing w:before="80" w:after="80" w:line="240" w:lineRule="atLeast"/>
              <w:rPr>
                <w:rFonts w:cs="Arial"/>
                <w:sz w:val="18"/>
                <w:szCs w:val="18"/>
                <w:lang w:val="bg-BG"/>
              </w:rPr>
            </w:pPr>
            <w:r w:rsidRPr="009072DA">
              <w:rPr>
                <w:sz w:val="18"/>
                <w:lang w:val="bg-BG"/>
              </w:rPr>
              <w:t>Планове на електронни системи</w:t>
            </w:r>
          </w:p>
        </w:tc>
        <w:tc>
          <w:tcPr>
            <w:tcW w:w="5387" w:type="dxa"/>
            <w:shd w:val="clear" w:color="auto" w:fill="auto"/>
          </w:tcPr>
          <w:p w:rsidR="00C01A94" w:rsidRPr="009072DA" w:rsidRDefault="00C52DCC" w:rsidP="00C01A94">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80" w:after="80" w:line="240" w:lineRule="atLeast"/>
              <w:jc w:val="center"/>
              <w:rPr>
                <w:rFonts w:cs="Arial"/>
                <w:sz w:val="18"/>
                <w:szCs w:val="18"/>
                <w:lang w:val="bg-BG"/>
              </w:rPr>
            </w:pPr>
          </w:p>
        </w:tc>
        <w:tc>
          <w:tcPr>
            <w:tcW w:w="1276" w:type="dxa"/>
          </w:tcPr>
          <w:p w:rsidR="00C01A94" w:rsidRPr="009072DA" w:rsidRDefault="00C01A94" w:rsidP="00C01A94">
            <w:pPr>
              <w:spacing w:before="80" w:after="8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shd w:val="clear" w:color="auto" w:fill="auto"/>
          </w:tcPr>
          <w:p w:rsidR="00C01A94" w:rsidRPr="009072DA" w:rsidRDefault="00C01A94" w:rsidP="00C01A94">
            <w:pPr>
              <w:spacing w:before="80" w:after="80" w:line="240" w:lineRule="atLeast"/>
              <w:rPr>
                <w:rFonts w:cs="Arial"/>
                <w:sz w:val="18"/>
                <w:szCs w:val="18"/>
                <w:lang w:val="bg-BG"/>
              </w:rPr>
            </w:pPr>
          </w:p>
        </w:tc>
        <w:tc>
          <w:tcPr>
            <w:tcW w:w="1458" w:type="dxa"/>
            <w:shd w:val="clear" w:color="auto" w:fill="auto"/>
          </w:tcPr>
          <w:p w:rsidR="00C01A94" w:rsidRPr="009072DA" w:rsidRDefault="00AA3519" w:rsidP="00AA3519">
            <w:pPr>
              <w:spacing w:before="80" w:after="80" w:line="240" w:lineRule="atLeast"/>
              <w:rPr>
                <w:rFonts w:cs="Arial"/>
                <w:sz w:val="18"/>
                <w:szCs w:val="18"/>
                <w:lang w:val="bg-BG"/>
              </w:rPr>
            </w:pPr>
            <w:r w:rsidRPr="009072DA">
              <w:rPr>
                <w:sz w:val="18"/>
                <w:lang w:val="bg-BG"/>
              </w:rPr>
              <w:t>Точка 2, буква ж)</w:t>
            </w:r>
          </w:p>
        </w:tc>
        <w:tc>
          <w:tcPr>
            <w:tcW w:w="3296" w:type="dxa"/>
            <w:shd w:val="clear" w:color="auto" w:fill="auto"/>
          </w:tcPr>
          <w:p w:rsidR="00C01A94" w:rsidRPr="009072DA" w:rsidRDefault="00A77DA6" w:rsidP="00C01A94">
            <w:pPr>
              <w:spacing w:before="80" w:after="80" w:line="240" w:lineRule="atLeast"/>
              <w:rPr>
                <w:rFonts w:cs="Arial"/>
                <w:sz w:val="18"/>
                <w:szCs w:val="18"/>
                <w:lang w:val="bg-BG"/>
              </w:rPr>
            </w:pPr>
            <w:r w:rsidRPr="009072DA">
              <w:rPr>
                <w:sz w:val="18"/>
                <w:lang w:val="bg-BG"/>
              </w:rPr>
              <w:t>Планове на управляващи вериги</w:t>
            </w:r>
          </w:p>
        </w:tc>
        <w:tc>
          <w:tcPr>
            <w:tcW w:w="5387" w:type="dxa"/>
            <w:shd w:val="clear" w:color="auto" w:fill="auto"/>
          </w:tcPr>
          <w:p w:rsidR="00C01A94" w:rsidRPr="009072DA" w:rsidRDefault="00C52DCC" w:rsidP="00C01A94">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80" w:after="80" w:line="240" w:lineRule="atLeast"/>
              <w:jc w:val="center"/>
              <w:rPr>
                <w:rFonts w:cs="Arial"/>
                <w:sz w:val="18"/>
                <w:szCs w:val="18"/>
                <w:lang w:val="bg-BG"/>
              </w:rPr>
            </w:pPr>
          </w:p>
        </w:tc>
        <w:tc>
          <w:tcPr>
            <w:tcW w:w="1276" w:type="dxa"/>
          </w:tcPr>
          <w:p w:rsidR="00C01A94" w:rsidRPr="009072DA" w:rsidRDefault="00C01A94" w:rsidP="00C01A94">
            <w:pPr>
              <w:spacing w:before="80" w:after="80" w:line="240" w:lineRule="atLeast"/>
              <w:jc w:val="center"/>
              <w:rPr>
                <w:rFonts w:cs="Arial"/>
                <w:sz w:val="18"/>
                <w:szCs w:val="18"/>
                <w:lang w:val="bg-BG"/>
              </w:rPr>
            </w:pPr>
            <w:r w:rsidRPr="009072DA">
              <w:rPr>
                <w:sz w:val="18"/>
                <w:lang w:val="bg-BG"/>
              </w:rPr>
              <w:t>7.10.2018 г.</w:t>
            </w:r>
          </w:p>
        </w:tc>
      </w:tr>
      <w:tr w:rsidR="00C01A94" w:rsidRPr="009072DA" w:rsidTr="00E67DA4">
        <w:trPr>
          <w:cantSplit/>
          <w:jc w:val="center"/>
        </w:trPr>
        <w:tc>
          <w:tcPr>
            <w:tcW w:w="1342" w:type="dxa"/>
            <w:tcBorders>
              <w:bottom w:val="nil"/>
            </w:tcBorders>
            <w:shd w:val="clear" w:color="auto" w:fill="auto"/>
          </w:tcPr>
          <w:p w:rsidR="00C01A94" w:rsidRPr="009072DA" w:rsidRDefault="00C01A94" w:rsidP="00C01A94">
            <w:pPr>
              <w:spacing w:before="80" w:after="80" w:line="240" w:lineRule="atLeast"/>
              <w:rPr>
                <w:rFonts w:cs="Arial"/>
                <w:sz w:val="18"/>
                <w:szCs w:val="18"/>
                <w:lang w:val="bg-BG"/>
              </w:rPr>
            </w:pPr>
            <w:r w:rsidRPr="009072DA">
              <w:rPr>
                <w:sz w:val="18"/>
                <w:lang w:val="bg-BG"/>
              </w:rPr>
              <w:t>10.03</w:t>
            </w:r>
          </w:p>
        </w:tc>
        <w:tc>
          <w:tcPr>
            <w:tcW w:w="1458" w:type="dxa"/>
            <w:shd w:val="clear" w:color="auto" w:fill="auto"/>
          </w:tcPr>
          <w:p w:rsidR="00C01A94" w:rsidRPr="009072DA" w:rsidRDefault="00C01A94" w:rsidP="00C01A94">
            <w:pPr>
              <w:spacing w:before="80" w:after="80" w:line="240" w:lineRule="atLeast"/>
              <w:rPr>
                <w:rFonts w:cs="Arial"/>
                <w:sz w:val="18"/>
                <w:szCs w:val="18"/>
                <w:lang w:val="bg-BG"/>
              </w:rPr>
            </w:pPr>
          </w:p>
        </w:tc>
        <w:tc>
          <w:tcPr>
            <w:tcW w:w="3296" w:type="dxa"/>
            <w:shd w:val="clear" w:color="auto" w:fill="auto"/>
          </w:tcPr>
          <w:p w:rsidR="00C01A94" w:rsidRPr="009072DA" w:rsidRDefault="00C01A94" w:rsidP="00C01A94">
            <w:pPr>
              <w:spacing w:before="80" w:after="80" w:line="240" w:lineRule="atLeast"/>
              <w:rPr>
                <w:rFonts w:cs="Arial"/>
                <w:sz w:val="18"/>
                <w:szCs w:val="18"/>
                <w:lang w:val="bg-BG"/>
              </w:rPr>
            </w:pPr>
            <w:r w:rsidRPr="009072DA">
              <w:rPr>
                <w:sz w:val="18"/>
                <w:lang w:val="bg-BG"/>
              </w:rPr>
              <w:t>Вид защита в зависимост от мястото на инсталиране</w:t>
            </w:r>
          </w:p>
        </w:tc>
        <w:tc>
          <w:tcPr>
            <w:tcW w:w="5387" w:type="dxa"/>
            <w:shd w:val="clear" w:color="auto" w:fill="auto"/>
          </w:tcPr>
          <w:p w:rsidR="00C01A94" w:rsidRPr="009072DA" w:rsidRDefault="00C52DCC" w:rsidP="00C01A94">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80" w:after="80" w:line="240" w:lineRule="atLeast"/>
              <w:jc w:val="center"/>
              <w:rPr>
                <w:rFonts w:cs="Arial"/>
                <w:sz w:val="18"/>
                <w:szCs w:val="18"/>
                <w:lang w:val="bg-BG"/>
              </w:rPr>
            </w:pPr>
          </w:p>
        </w:tc>
        <w:tc>
          <w:tcPr>
            <w:tcW w:w="1276" w:type="dxa"/>
          </w:tcPr>
          <w:p w:rsidR="00C01A94" w:rsidRPr="009072DA" w:rsidRDefault="00C01A94" w:rsidP="00C01A94">
            <w:pPr>
              <w:spacing w:before="80" w:after="80" w:line="240" w:lineRule="atLeast"/>
              <w:jc w:val="center"/>
              <w:rPr>
                <w:rFonts w:cs="Arial"/>
                <w:sz w:val="18"/>
                <w:szCs w:val="18"/>
                <w:lang w:val="bg-BG"/>
              </w:rPr>
            </w:pPr>
            <w:r w:rsidRPr="009072DA">
              <w:rPr>
                <w:sz w:val="18"/>
                <w:lang w:val="bg-BG"/>
              </w:rPr>
              <w:t>7.10.2018 г.</w:t>
            </w:r>
          </w:p>
        </w:tc>
      </w:tr>
      <w:tr w:rsidR="00C01A94" w:rsidRPr="009072DA" w:rsidTr="00E67DA4">
        <w:trPr>
          <w:cantSplit/>
          <w:jc w:val="center"/>
        </w:trPr>
        <w:tc>
          <w:tcPr>
            <w:tcW w:w="1342" w:type="dxa"/>
            <w:tcBorders>
              <w:bottom w:val="nil"/>
            </w:tcBorders>
            <w:shd w:val="clear" w:color="auto" w:fill="auto"/>
          </w:tcPr>
          <w:p w:rsidR="00C01A94" w:rsidRPr="009072DA" w:rsidRDefault="00C01A94" w:rsidP="00C01A94">
            <w:pPr>
              <w:spacing w:before="80" w:after="80" w:line="240" w:lineRule="atLeast"/>
              <w:rPr>
                <w:rFonts w:cs="Arial"/>
                <w:sz w:val="18"/>
                <w:szCs w:val="18"/>
                <w:lang w:val="bg-BG"/>
              </w:rPr>
            </w:pPr>
            <w:r w:rsidRPr="009072DA">
              <w:rPr>
                <w:sz w:val="18"/>
                <w:lang w:val="bg-BG"/>
              </w:rPr>
              <w:t>10.04</w:t>
            </w:r>
          </w:p>
        </w:tc>
        <w:tc>
          <w:tcPr>
            <w:tcW w:w="1458" w:type="dxa"/>
            <w:shd w:val="clear" w:color="auto" w:fill="auto"/>
          </w:tcPr>
          <w:p w:rsidR="00C01A94" w:rsidRPr="009072DA" w:rsidRDefault="00C01A94" w:rsidP="00C01A94">
            <w:pPr>
              <w:spacing w:before="80" w:after="80" w:line="240" w:lineRule="atLeast"/>
              <w:rPr>
                <w:rFonts w:cs="Arial"/>
                <w:sz w:val="18"/>
                <w:szCs w:val="18"/>
                <w:lang w:val="bg-BG"/>
              </w:rPr>
            </w:pPr>
          </w:p>
        </w:tc>
        <w:tc>
          <w:tcPr>
            <w:tcW w:w="3296" w:type="dxa"/>
            <w:shd w:val="clear" w:color="auto" w:fill="auto"/>
          </w:tcPr>
          <w:p w:rsidR="00C01A94" w:rsidRPr="009072DA" w:rsidRDefault="00C01A94" w:rsidP="00C01A94">
            <w:pPr>
              <w:spacing w:before="80" w:after="80" w:line="240" w:lineRule="atLeast"/>
              <w:rPr>
                <w:rFonts w:cs="Arial"/>
                <w:sz w:val="18"/>
                <w:szCs w:val="18"/>
                <w:lang w:val="bg-BG"/>
              </w:rPr>
            </w:pPr>
            <w:r w:rsidRPr="009072DA">
              <w:rPr>
                <w:sz w:val="18"/>
                <w:lang w:val="bg-BG"/>
              </w:rPr>
              <w:t>Защита от експлозия</w:t>
            </w:r>
          </w:p>
        </w:tc>
        <w:tc>
          <w:tcPr>
            <w:tcW w:w="5387" w:type="dxa"/>
            <w:shd w:val="clear" w:color="auto" w:fill="auto"/>
          </w:tcPr>
          <w:p w:rsidR="00C01A94" w:rsidRPr="009072DA" w:rsidRDefault="00C52DCC" w:rsidP="00C01A94">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80" w:after="80" w:line="240" w:lineRule="atLeast"/>
              <w:jc w:val="center"/>
              <w:rPr>
                <w:rFonts w:cs="Arial"/>
                <w:sz w:val="18"/>
                <w:szCs w:val="18"/>
                <w:lang w:val="bg-BG"/>
              </w:rPr>
            </w:pPr>
          </w:p>
        </w:tc>
        <w:tc>
          <w:tcPr>
            <w:tcW w:w="1276" w:type="dxa"/>
          </w:tcPr>
          <w:p w:rsidR="00C01A94" w:rsidRPr="009072DA" w:rsidRDefault="00C01A94" w:rsidP="00C01A94">
            <w:pPr>
              <w:spacing w:before="80" w:after="80" w:line="240" w:lineRule="atLeast"/>
              <w:jc w:val="center"/>
              <w:rPr>
                <w:rFonts w:cs="Arial"/>
                <w:sz w:val="18"/>
                <w:szCs w:val="18"/>
                <w:lang w:val="bg-BG"/>
              </w:rPr>
            </w:pPr>
            <w:r w:rsidRPr="009072DA">
              <w:rPr>
                <w:sz w:val="18"/>
                <w:lang w:val="bg-BG"/>
              </w:rPr>
              <w:t>7.10.2018 г.</w:t>
            </w:r>
          </w:p>
        </w:tc>
      </w:tr>
      <w:tr w:rsidR="00C01A94" w:rsidRPr="009072DA" w:rsidTr="00E67DA4">
        <w:trPr>
          <w:cantSplit/>
          <w:jc w:val="center"/>
        </w:trPr>
        <w:tc>
          <w:tcPr>
            <w:tcW w:w="1342" w:type="dxa"/>
            <w:tcBorders>
              <w:bottom w:val="nil"/>
            </w:tcBorders>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10.05</w:t>
            </w:r>
          </w:p>
        </w:tc>
        <w:tc>
          <w:tcPr>
            <w:tcW w:w="1458"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Сечение на заземяващите проводници</w:t>
            </w:r>
          </w:p>
        </w:tc>
        <w:tc>
          <w:tcPr>
            <w:tcW w:w="5387" w:type="dxa"/>
            <w:shd w:val="clear" w:color="auto" w:fill="auto"/>
          </w:tcPr>
          <w:p w:rsidR="00C01A94" w:rsidRPr="009072DA" w:rsidRDefault="00C52DCC" w:rsidP="00C01A94">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00" w:after="100" w:line="240" w:lineRule="atLeast"/>
              <w:jc w:val="center"/>
              <w:rPr>
                <w:rFonts w:cs="Arial"/>
                <w:sz w:val="18"/>
                <w:szCs w:val="18"/>
                <w:lang w:val="bg-BG"/>
              </w:rPr>
            </w:pPr>
          </w:p>
        </w:tc>
        <w:tc>
          <w:tcPr>
            <w:tcW w:w="1276" w:type="dxa"/>
          </w:tcPr>
          <w:p w:rsidR="00C01A94" w:rsidRPr="009072DA" w:rsidRDefault="00C01A94" w:rsidP="00C01A94">
            <w:pPr>
              <w:spacing w:before="100" w:after="100" w:line="240" w:lineRule="atLeast"/>
              <w:jc w:val="center"/>
              <w:rPr>
                <w:rFonts w:cs="Arial"/>
                <w:sz w:val="18"/>
                <w:szCs w:val="18"/>
                <w:lang w:val="bg-BG"/>
              </w:rPr>
            </w:pPr>
            <w:r w:rsidRPr="009072DA">
              <w:rPr>
                <w:sz w:val="18"/>
                <w:lang w:val="bg-BG"/>
              </w:rPr>
              <w:t>7.10.2018 г.</w:t>
            </w:r>
          </w:p>
        </w:tc>
      </w:tr>
      <w:tr w:rsidR="00C01A94" w:rsidRPr="009072DA" w:rsidTr="00E67DA4">
        <w:trPr>
          <w:cantSplit/>
          <w:jc w:val="center"/>
        </w:trPr>
        <w:tc>
          <w:tcPr>
            <w:tcW w:w="1342" w:type="dxa"/>
            <w:tcBorders>
              <w:bottom w:val="nil"/>
            </w:tcBorders>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 xml:space="preserve">10.06 </w:t>
            </w:r>
          </w:p>
        </w:tc>
        <w:tc>
          <w:tcPr>
            <w:tcW w:w="1458"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Точка 1, таблица</w:t>
            </w:r>
          </w:p>
        </w:tc>
        <w:tc>
          <w:tcPr>
            <w:tcW w:w="3296"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Трифазен променлив ток</w:t>
            </w:r>
          </w:p>
        </w:tc>
        <w:tc>
          <w:tcPr>
            <w:tcW w:w="5387" w:type="dxa"/>
            <w:shd w:val="clear" w:color="auto" w:fill="auto"/>
          </w:tcPr>
          <w:p w:rsidR="00C01A94" w:rsidRPr="009072DA" w:rsidRDefault="00C52DCC" w:rsidP="00C01A94">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00" w:after="100" w:line="240" w:lineRule="atLeast"/>
              <w:jc w:val="center"/>
              <w:rPr>
                <w:rFonts w:cs="Arial"/>
                <w:sz w:val="18"/>
                <w:szCs w:val="18"/>
                <w:lang w:val="bg-BG"/>
              </w:rPr>
            </w:pPr>
          </w:p>
        </w:tc>
        <w:tc>
          <w:tcPr>
            <w:tcW w:w="1276" w:type="dxa"/>
          </w:tcPr>
          <w:p w:rsidR="00C01A94" w:rsidRPr="009072DA" w:rsidRDefault="00C01A94" w:rsidP="00C01A94">
            <w:pPr>
              <w:spacing w:before="100" w:after="100" w:line="240" w:lineRule="atLeast"/>
              <w:jc w:val="center"/>
              <w:rPr>
                <w:rFonts w:cs="Arial"/>
                <w:sz w:val="18"/>
                <w:szCs w:val="18"/>
                <w:lang w:val="bg-BG"/>
              </w:rPr>
            </w:pPr>
            <w:r w:rsidRPr="009072DA">
              <w:rPr>
                <w:sz w:val="18"/>
                <w:lang w:val="bg-BG"/>
              </w:rPr>
              <w:t>7.10.2018 г.</w:t>
            </w:r>
          </w:p>
        </w:tc>
      </w:tr>
      <w:tr w:rsidR="00C01A94" w:rsidRPr="009072DA" w:rsidTr="00E67DA4">
        <w:trPr>
          <w:cantSplit/>
          <w:jc w:val="center"/>
        </w:trPr>
        <w:tc>
          <w:tcPr>
            <w:tcW w:w="1342" w:type="dxa"/>
            <w:tcBorders>
              <w:bottom w:val="nil"/>
            </w:tcBorders>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10.08</w:t>
            </w:r>
          </w:p>
        </w:tc>
        <w:tc>
          <w:tcPr>
            <w:tcW w:w="1458"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Точка 1</w:t>
            </w:r>
          </w:p>
        </w:tc>
        <w:tc>
          <w:tcPr>
            <w:tcW w:w="3296"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Съответствие с европейските стандарти EN 15869-1, EN 15869-3 и EN 16840</w:t>
            </w:r>
          </w:p>
        </w:tc>
        <w:tc>
          <w:tcPr>
            <w:tcW w:w="5387" w:type="dxa"/>
            <w:shd w:val="clear" w:color="auto" w:fill="auto"/>
          </w:tcPr>
          <w:p w:rsidR="00C01A94" w:rsidRPr="009072DA" w:rsidRDefault="00C52DCC" w:rsidP="00C01A94">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00" w:after="100" w:line="240" w:lineRule="atLeast"/>
              <w:jc w:val="center"/>
              <w:rPr>
                <w:rFonts w:cs="Arial"/>
                <w:sz w:val="18"/>
                <w:szCs w:val="18"/>
                <w:lang w:val="bg-BG"/>
              </w:rPr>
            </w:pPr>
          </w:p>
        </w:tc>
        <w:tc>
          <w:tcPr>
            <w:tcW w:w="1276" w:type="dxa"/>
          </w:tcPr>
          <w:p w:rsidR="00C01A94" w:rsidRPr="009072DA" w:rsidRDefault="00C01A94" w:rsidP="00C01A94">
            <w:pPr>
              <w:spacing w:before="100" w:after="10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val="restart"/>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 xml:space="preserve">10.10 </w:t>
            </w:r>
          </w:p>
        </w:tc>
        <w:tc>
          <w:tcPr>
            <w:tcW w:w="1458"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Инсталиране на трансформатори</w:t>
            </w:r>
          </w:p>
        </w:tc>
        <w:tc>
          <w:tcPr>
            <w:tcW w:w="5387" w:type="dxa"/>
            <w:shd w:val="clear" w:color="auto" w:fill="auto"/>
          </w:tcPr>
          <w:p w:rsidR="00C01A94" w:rsidRPr="009072DA" w:rsidRDefault="00C52DCC" w:rsidP="00C01A94">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00" w:after="100" w:line="240" w:lineRule="atLeast"/>
              <w:jc w:val="center"/>
              <w:rPr>
                <w:rFonts w:cs="Arial"/>
                <w:sz w:val="18"/>
                <w:szCs w:val="18"/>
                <w:lang w:val="bg-BG"/>
              </w:rPr>
            </w:pPr>
          </w:p>
        </w:tc>
        <w:tc>
          <w:tcPr>
            <w:tcW w:w="1276" w:type="dxa"/>
          </w:tcPr>
          <w:p w:rsidR="00C01A94" w:rsidRPr="009072DA" w:rsidRDefault="00C01A94" w:rsidP="00C01A94">
            <w:pPr>
              <w:spacing w:before="100" w:after="10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shd w:val="clear" w:color="auto" w:fill="auto"/>
          </w:tcPr>
          <w:p w:rsidR="00C01A94" w:rsidRPr="009072DA" w:rsidRDefault="00C01A94" w:rsidP="00C01A94">
            <w:pPr>
              <w:spacing w:before="100" w:after="100" w:line="240" w:lineRule="atLeast"/>
              <w:rPr>
                <w:rFonts w:cs="Arial"/>
                <w:sz w:val="18"/>
                <w:szCs w:val="18"/>
                <w:lang w:val="bg-BG"/>
              </w:rPr>
            </w:pPr>
          </w:p>
        </w:tc>
        <w:tc>
          <w:tcPr>
            <w:tcW w:w="1458"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Точка 3</w:t>
            </w:r>
          </w:p>
        </w:tc>
        <w:tc>
          <w:tcPr>
            <w:tcW w:w="3296"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Отделни първични и вторични намотки на трансформатори</w:t>
            </w:r>
          </w:p>
        </w:tc>
        <w:tc>
          <w:tcPr>
            <w:tcW w:w="5387" w:type="dxa"/>
            <w:shd w:val="clear" w:color="auto" w:fill="auto"/>
          </w:tcPr>
          <w:p w:rsidR="00C01A94" w:rsidRPr="009072DA" w:rsidRDefault="00C52DCC" w:rsidP="00C01A94">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00" w:after="100" w:line="240" w:lineRule="atLeast"/>
              <w:jc w:val="center"/>
              <w:rPr>
                <w:rFonts w:cs="Arial"/>
                <w:sz w:val="18"/>
                <w:szCs w:val="18"/>
                <w:lang w:val="bg-BG"/>
              </w:rPr>
            </w:pPr>
          </w:p>
        </w:tc>
        <w:tc>
          <w:tcPr>
            <w:tcW w:w="1276" w:type="dxa"/>
          </w:tcPr>
          <w:p w:rsidR="00C01A94" w:rsidRPr="009072DA" w:rsidRDefault="00C01A94" w:rsidP="00C01A94">
            <w:pPr>
              <w:spacing w:before="100" w:after="10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shd w:val="clear" w:color="auto" w:fill="auto"/>
          </w:tcPr>
          <w:p w:rsidR="00C01A94" w:rsidRPr="009072DA" w:rsidRDefault="00C01A94" w:rsidP="00C01A94">
            <w:pPr>
              <w:spacing w:before="100" w:after="100" w:line="240" w:lineRule="atLeast"/>
              <w:rPr>
                <w:rFonts w:cs="Arial"/>
                <w:sz w:val="18"/>
                <w:szCs w:val="18"/>
                <w:lang w:val="bg-BG"/>
              </w:rPr>
            </w:pPr>
          </w:p>
        </w:tc>
        <w:tc>
          <w:tcPr>
            <w:tcW w:w="1458"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Изводи на вторичните намотки на трансформатори</w:t>
            </w:r>
          </w:p>
        </w:tc>
        <w:tc>
          <w:tcPr>
            <w:tcW w:w="5387" w:type="dxa"/>
            <w:shd w:val="clear" w:color="auto" w:fill="auto"/>
          </w:tcPr>
          <w:p w:rsidR="00C01A94" w:rsidRPr="009072DA" w:rsidRDefault="00C52DCC" w:rsidP="00C01A94">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00" w:after="100" w:line="240" w:lineRule="atLeast"/>
              <w:jc w:val="center"/>
              <w:rPr>
                <w:rFonts w:cs="Arial"/>
                <w:sz w:val="18"/>
                <w:szCs w:val="18"/>
                <w:lang w:val="bg-BG"/>
              </w:rPr>
            </w:pPr>
          </w:p>
        </w:tc>
        <w:tc>
          <w:tcPr>
            <w:tcW w:w="1276" w:type="dxa"/>
          </w:tcPr>
          <w:p w:rsidR="00C01A94" w:rsidRPr="009072DA" w:rsidRDefault="00C01A94" w:rsidP="00C01A94">
            <w:pPr>
              <w:spacing w:before="100" w:after="100" w:line="240" w:lineRule="atLeast"/>
              <w:jc w:val="center"/>
              <w:rPr>
                <w:rFonts w:cs="Arial"/>
                <w:sz w:val="18"/>
                <w:szCs w:val="18"/>
                <w:lang w:val="bg-BG"/>
              </w:rPr>
            </w:pPr>
            <w:r w:rsidRPr="009072DA">
              <w:rPr>
                <w:sz w:val="18"/>
                <w:lang w:val="bg-BG"/>
              </w:rPr>
              <w:t>7.10.2018 г.</w:t>
            </w:r>
          </w:p>
        </w:tc>
      </w:tr>
      <w:tr w:rsidR="00C01A94" w:rsidRPr="009072DA" w:rsidTr="00E67DA4">
        <w:trPr>
          <w:cantSplit/>
          <w:jc w:val="center"/>
        </w:trPr>
        <w:tc>
          <w:tcPr>
            <w:tcW w:w="1342" w:type="dxa"/>
            <w:vMerge/>
            <w:tcBorders>
              <w:bottom w:val="nil"/>
            </w:tcBorders>
            <w:shd w:val="clear" w:color="auto" w:fill="auto"/>
          </w:tcPr>
          <w:p w:rsidR="00C01A94" w:rsidRPr="009072DA" w:rsidRDefault="00C01A94" w:rsidP="00C01A94">
            <w:pPr>
              <w:spacing w:before="100" w:after="100" w:line="240" w:lineRule="atLeast"/>
              <w:rPr>
                <w:rFonts w:cs="Arial"/>
                <w:sz w:val="18"/>
                <w:szCs w:val="18"/>
                <w:lang w:val="bg-BG"/>
              </w:rPr>
            </w:pPr>
          </w:p>
        </w:tc>
        <w:tc>
          <w:tcPr>
            <w:tcW w:w="1458"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Точка 5</w:t>
            </w:r>
          </w:p>
        </w:tc>
        <w:tc>
          <w:tcPr>
            <w:tcW w:w="3296" w:type="dxa"/>
            <w:shd w:val="clear" w:color="auto" w:fill="auto"/>
          </w:tcPr>
          <w:p w:rsidR="00C01A94" w:rsidRPr="009072DA" w:rsidRDefault="00C01A94" w:rsidP="00C01A94">
            <w:pPr>
              <w:spacing w:before="100" w:after="100" w:line="240" w:lineRule="atLeast"/>
              <w:rPr>
                <w:rFonts w:cs="Arial"/>
                <w:sz w:val="18"/>
                <w:szCs w:val="18"/>
                <w:lang w:val="bg-BG"/>
              </w:rPr>
            </w:pPr>
            <w:r w:rsidRPr="009072DA">
              <w:rPr>
                <w:sz w:val="18"/>
                <w:lang w:val="bg-BG"/>
              </w:rPr>
              <w:t xml:space="preserve"> Табела, указваща производителя и мощността на двигатели, генератори, трансформатори</w:t>
            </w:r>
          </w:p>
        </w:tc>
        <w:tc>
          <w:tcPr>
            <w:tcW w:w="5387" w:type="dxa"/>
            <w:shd w:val="clear" w:color="auto" w:fill="auto"/>
          </w:tcPr>
          <w:p w:rsidR="00C01A94" w:rsidRPr="009072DA" w:rsidRDefault="00C52DCC" w:rsidP="00C01A94">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100" w:after="100" w:line="240" w:lineRule="atLeast"/>
              <w:jc w:val="center"/>
              <w:rPr>
                <w:rFonts w:cs="Arial"/>
                <w:sz w:val="18"/>
                <w:szCs w:val="18"/>
                <w:lang w:val="bg-BG"/>
              </w:rPr>
            </w:pPr>
          </w:p>
        </w:tc>
        <w:tc>
          <w:tcPr>
            <w:tcW w:w="1276" w:type="dxa"/>
          </w:tcPr>
          <w:p w:rsidR="00C01A94" w:rsidRPr="009072DA" w:rsidRDefault="00C01A94" w:rsidP="00C01A94">
            <w:pPr>
              <w:spacing w:before="100" w:after="10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val="restart"/>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 xml:space="preserve">10.11 </w:t>
            </w:r>
          </w:p>
        </w:tc>
        <w:tc>
          <w:tcPr>
            <w:tcW w:w="1458"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Точка 3</w:t>
            </w:r>
          </w:p>
        </w:tc>
        <w:tc>
          <w:tcPr>
            <w:tcW w:w="3296"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Вентилация на сервизни помещения и шкафове към откритата палуба</w:t>
            </w:r>
          </w:p>
        </w:tc>
        <w:tc>
          <w:tcPr>
            <w:tcW w:w="5387" w:type="dxa"/>
            <w:shd w:val="clear" w:color="auto" w:fill="auto"/>
          </w:tcPr>
          <w:p w:rsidR="00C01A94" w:rsidRPr="009072DA" w:rsidRDefault="00C52DCC" w:rsidP="00D321F1">
            <w:pPr>
              <w:spacing w:before="120" w:after="12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D321F1">
            <w:pPr>
              <w:spacing w:before="120" w:after="120" w:line="240" w:lineRule="atLeast"/>
              <w:jc w:val="center"/>
              <w:rPr>
                <w:rFonts w:cs="Arial"/>
                <w:sz w:val="18"/>
                <w:szCs w:val="18"/>
                <w:lang w:val="bg-BG"/>
              </w:rPr>
            </w:pPr>
          </w:p>
        </w:tc>
        <w:tc>
          <w:tcPr>
            <w:tcW w:w="1276" w:type="dxa"/>
          </w:tcPr>
          <w:p w:rsidR="00C01A94" w:rsidRPr="009072DA" w:rsidRDefault="00C01A94" w:rsidP="00D321F1">
            <w:pPr>
              <w:spacing w:before="120" w:after="12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shd w:val="clear" w:color="auto" w:fill="auto"/>
          </w:tcPr>
          <w:p w:rsidR="00C01A94" w:rsidRPr="009072DA" w:rsidRDefault="00C01A94" w:rsidP="00D321F1">
            <w:pPr>
              <w:spacing w:before="120" w:after="120" w:line="240" w:lineRule="atLeast"/>
              <w:rPr>
                <w:rFonts w:cs="Arial"/>
                <w:sz w:val="18"/>
                <w:szCs w:val="18"/>
                <w:lang w:val="bg-BG"/>
              </w:rPr>
            </w:pPr>
          </w:p>
        </w:tc>
        <w:tc>
          <w:tcPr>
            <w:tcW w:w="1458"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Точка 12</w:t>
            </w:r>
          </w:p>
        </w:tc>
        <w:tc>
          <w:tcPr>
            <w:tcW w:w="3296"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Измерване на зарядни устройства</w:t>
            </w:r>
          </w:p>
        </w:tc>
        <w:tc>
          <w:tcPr>
            <w:tcW w:w="5387" w:type="dxa"/>
            <w:shd w:val="clear" w:color="auto" w:fill="auto"/>
          </w:tcPr>
          <w:p w:rsidR="00C01A94" w:rsidRPr="009072DA" w:rsidRDefault="00C52DCC" w:rsidP="00D321F1">
            <w:pPr>
              <w:spacing w:before="120" w:after="12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D321F1">
            <w:pPr>
              <w:spacing w:before="120" w:after="120" w:line="240" w:lineRule="atLeast"/>
              <w:jc w:val="center"/>
              <w:rPr>
                <w:rFonts w:cs="Arial"/>
                <w:sz w:val="18"/>
                <w:szCs w:val="18"/>
                <w:lang w:val="bg-BG"/>
              </w:rPr>
            </w:pPr>
          </w:p>
        </w:tc>
        <w:tc>
          <w:tcPr>
            <w:tcW w:w="1276" w:type="dxa"/>
          </w:tcPr>
          <w:p w:rsidR="00C01A94" w:rsidRPr="009072DA" w:rsidRDefault="00C01A94" w:rsidP="00D321F1">
            <w:pPr>
              <w:spacing w:before="120" w:after="12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shd w:val="clear" w:color="auto" w:fill="auto"/>
          </w:tcPr>
          <w:p w:rsidR="00C01A94" w:rsidRPr="009072DA" w:rsidRDefault="00C01A94" w:rsidP="00D321F1">
            <w:pPr>
              <w:spacing w:before="120" w:after="120" w:line="240" w:lineRule="atLeast"/>
              <w:rPr>
                <w:rFonts w:cs="Arial"/>
                <w:sz w:val="18"/>
                <w:szCs w:val="18"/>
                <w:lang w:val="bg-BG"/>
              </w:rPr>
            </w:pPr>
          </w:p>
        </w:tc>
        <w:tc>
          <w:tcPr>
            <w:tcW w:w="1458"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Точка 13</w:t>
            </w:r>
          </w:p>
        </w:tc>
        <w:tc>
          <w:tcPr>
            <w:tcW w:w="3296"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Автоматични зарядни устройства</w:t>
            </w:r>
          </w:p>
        </w:tc>
        <w:tc>
          <w:tcPr>
            <w:tcW w:w="5387" w:type="dxa"/>
            <w:shd w:val="clear" w:color="auto" w:fill="auto"/>
          </w:tcPr>
          <w:p w:rsidR="00C01A94" w:rsidRPr="009072DA" w:rsidRDefault="00C52DCC" w:rsidP="00D321F1">
            <w:pPr>
              <w:spacing w:before="120" w:after="12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D321F1">
            <w:pPr>
              <w:spacing w:before="120" w:after="120" w:line="240" w:lineRule="atLeast"/>
              <w:jc w:val="center"/>
              <w:rPr>
                <w:rFonts w:cs="Arial"/>
                <w:sz w:val="18"/>
                <w:szCs w:val="18"/>
                <w:lang w:val="bg-BG"/>
              </w:rPr>
            </w:pPr>
          </w:p>
        </w:tc>
        <w:tc>
          <w:tcPr>
            <w:tcW w:w="1276" w:type="dxa"/>
          </w:tcPr>
          <w:p w:rsidR="00C01A94" w:rsidRPr="009072DA" w:rsidRDefault="00C01A94" w:rsidP="00D321F1">
            <w:pPr>
              <w:spacing w:before="120" w:after="12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shd w:val="clear" w:color="auto" w:fill="auto"/>
          </w:tcPr>
          <w:p w:rsidR="00C01A94" w:rsidRPr="009072DA" w:rsidRDefault="00C01A94" w:rsidP="00D321F1">
            <w:pPr>
              <w:spacing w:before="120" w:after="120" w:line="240" w:lineRule="atLeast"/>
              <w:rPr>
                <w:rFonts w:cs="Arial"/>
                <w:sz w:val="18"/>
                <w:szCs w:val="18"/>
                <w:lang w:val="bg-BG"/>
              </w:rPr>
            </w:pPr>
          </w:p>
        </w:tc>
        <w:tc>
          <w:tcPr>
            <w:tcW w:w="1458"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Точка 14</w:t>
            </w:r>
          </w:p>
        </w:tc>
        <w:tc>
          <w:tcPr>
            <w:tcW w:w="3296"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Максимално напрежение на зареждане</w:t>
            </w:r>
          </w:p>
        </w:tc>
        <w:tc>
          <w:tcPr>
            <w:tcW w:w="5387" w:type="dxa"/>
            <w:shd w:val="clear" w:color="auto" w:fill="auto"/>
          </w:tcPr>
          <w:p w:rsidR="00C01A94" w:rsidRPr="009072DA" w:rsidRDefault="00C52DCC" w:rsidP="00D321F1">
            <w:pPr>
              <w:spacing w:before="120" w:after="12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D321F1">
            <w:pPr>
              <w:spacing w:before="120" w:after="120" w:line="240" w:lineRule="atLeast"/>
              <w:jc w:val="center"/>
              <w:rPr>
                <w:rFonts w:cs="Arial"/>
                <w:sz w:val="18"/>
                <w:szCs w:val="18"/>
                <w:lang w:val="bg-BG"/>
              </w:rPr>
            </w:pPr>
          </w:p>
        </w:tc>
        <w:tc>
          <w:tcPr>
            <w:tcW w:w="1276" w:type="dxa"/>
          </w:tcPr>
          <w:p w:rsidR="00C01A94" w:rsidRPr="009072DA" w:rsidRDefault="00C01A94" w:rsidP="00D321F1">
            <w:pPr>
              <w:spacing w:before="120" w:after="12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shd w:val="clear" w:color="auto" w:fill="auto"/>
          </w:tcPr>
          <w:p w:rsidR="00C01A94" w:rsidRPr="009072DA" w:rsidRDefault="00C01A94" w:rsidP="00D321F1">
            <w:pPr>
              <w:spacing w:before="120" w:after="120" w:line="240" w:lineRule="atLeast"/>
              <w:rPr>
                <w:rFonts w:cs="Arial"/>
                <w:sz w:val="18"/>
                <w:szCs w:val="18"/>
                <w:lang w:val="bg-BG"/>
              </w:rPr>
            </w:pPr>
          </w:p>
        </w:tc>
        <w:tc>
          <w:tcPr>
            <w:tcW w:w="1458"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Точка 15</w:t>
            </w:r>
          </w:p>
        </w:tc>
        <w:tc>
          <w:tcPr>
            <w:tcW w:w="3296"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Стандарти EN 62619 и EN 62620 за литиево-йонни акумулатори</w:t>
            </w:r>
          </w:p>
        </w:tc>
        <w:tc>
          <w:tcPr>
            <w:tcW w:w="5387"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D321F1">
            <w:pPr>
              <w:spacing w:before="120" w:after="120" w:line="240" w:lineRule="atLeast"/>
              <w:jc w:val="center"/>
              <w:rPr>
                <w:rFonts w:cs="Arial"/>
                <w:sz w:val="18"/>
                <w:szCs w:val="18"/>
                <w:lang w:val="bg-BG"/>
              </w:rPr>
            </w:pPr>
          </w:p>
        </w:tc>
        <w:tc>
          <w:tcPr>
            <w:tcW w:w="1276" w:type="dxa"/>
          </w:tcPr>
          <w:p w:rsidR="00C01A94" w:rsidRPr="009072DA" w:rsidRDefault="00C01A94" w:rsidP="00D321F1">
            <w:pPr>
              <w:spacing w:before="120" w:after="120" w:line="240" w:lineRule="atLeast"/>
              <w:jc w:val="center"/>
              <w:rPr>
                <w:rFonts w:cs="Arial"/>
                <w:sz w:val="18"/>
                <w:szCs w:val="18"/>
                <w:lang w:val="bg-BG"/>
              </w:rPr>
            </w:pPr>
            <w:r w:rsidRPr="009072DA">
              <w:rPr>
                <w:sz w:val="18"/>
                <w:lang w:val="bg-BG"/>
              </w:rPr>
              <w:t>7.10.2018 г.</w:t>
            </w:r>
          </w:p>
        </w:tc>
      </w:tr>
      <w:tr w:rsidR="00C01A94" w:rsidRPr="009072DA" w:rsidTr="00C52DCC">
        <w:trPr>
          <w:cantSplit/>
          <w:jc w:val="center"/>
        </w:trPr>
        <w:tc>
          <w:tcPr>
            <w:tcW w:w="1342" w:type="dxa"/>
            <w:vMerge/>
            <w:tcBorders>
              <w:bottom w:val="single" w:sz="4" w:space="0" w:color="auto"/>
            </w:tcBorders>
            <w:shd w:val="clear" w:color="auto" w:fill="auto"/>
            <w:vAlign w:val="center"/>
          </w:tcPr>
          <w:p w:rsidR="00C01A94" w:rsidRPr="009072DA" w:rsidRDefault="00C01A94" w:rsidP="00D321F1">
            <w:pPr>
              <w:spacing w:before="120" w:after="120" w:line="240" w:lineRule="atLeast"/>
              <w:rPr>
                <w:rFonts w:cs="Arial"/>
                <w:sz w:val="18"/>
                <w:szCs w:val="18"/>
                <w:lang w:val="bg-BG"/>
              </w:rPr>
            </w:pPr>
          </w:p>
        </w:tc>
        <w:tc>
          <w:tcPr>
            <w:tcW w:w="1458" w:type="dxa"/>
            <w:tcBorders>
              <w:bottom w:val="single" w:sz="4" w:space="0" w:color="auto"/>
            </w:tcBorders>
            <w:shd w:val="clear" w:color="auto" w:fill="auto"/>
            <w:vAlign w:val="center"/>
          </w:tcPr>
          <w:p w:rsidR="00C01A94" w:rsidRPr="009072DA" w:rsidRDefault="00C01A94" w:rsidP="00D321F1">
            <w:pPr>
              <w:spacing w:before="120" w:after="120" w:line="240" w:lineRule="atLeast"/>
              <w:rPr>
                <w:rFonts w:cs="Arial"/>
                <w:sz w:val="18"/>
                <w:szCs w:val="18"/>
                <w:lang w:val="bg-BG"/>
              </w:rPr>
            </w:pPr>
            <w:r w:rsidRPr="009072DA">
              <w:rPr>
                <w:sz w:val="18"/>
                <w:lang w:val="bg-BG"/>
              </w:rPr>
              <w:t>Точка 16</w:t>
            </w:r>
          </w:p>
        </w:tc>
        <w:tc>
          <w:tcPr>
            <w:tcW w:w="3296" w:type="dxa"/>
            <w:tcBorders>
              <w:bottom w:val="single" w:sz="4" w:space="0" w:color="auto"/>
            </w:tcBorders>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Система за управление на акумулатор</w:t>
            </w:r>
          </w:p>
        </w:tc>
        <w:tc>
          <w:tcPr>
            <w:tcW w:w="5387" w:type="dxa"/>
            <w:tcBorders>
              <w:bottom w:val="single" w:sz="4" w:space="0" w:color="auto"/>
            </w:tcBorders>
            <w:shd w:val="clear" w:color="auto" w:fill="auto"/>
          </w:tcPr>
          <w:p w:rsidR="00C01A94" w:rsidRPr="009072DA" w:rsidRDefault="00C52DCC" w:rsidP="00D321F1">
            <w:pPr>
              <w:spacing w:before="120" w:after="120" w:line="240" w:lineRule="atLeast"/>
              <w:rPr>
                <w:rFonts w:cs="Arial"/>
                <w:sz w:val="18"/>
                <w:szCs w:val="18"/>
                <w:lang w:val="bg-BG"/>
              </w:rPr>
            </w:pPr>
            <w:r w:rsidRPr="009072DA">
              <w:rPr>
                <w:sz w:val="18"/>
                <w:lang w:val="bg-BG"/>
              </w:rPr>
              <w:t>НЗР</w:t>
            </w:r>
          </w:p>
        </w:tc>
        <w:tc>
          <w:tcPr>
            <w:tcW w:w="1276" w:type="dxa"/>
            <w:tcBorders>
              <w:bottom w:val="single" w:sz="4" w:space="0" w:color="auto"/>
            </w:tcBorders>
            <w:shd w:val="clear" w:color="auto" w:fill="auto"/>
          </w:tcPr>
          <w:p w:rsidR="00C01A94" w:rsidRPr="009072DA" w:rsidRDefault="00C01A94" w:rsidP="00D321F1">
            <w:pPr>
              <w:spacing w:before="120" w:after="120" w:line="240" w:lineRule="atLeast"/>
              <w:jc w:val="center"/>
              <w:rPr>
                <w:rFonts w:cs="Arial"/>
                <w:sz w:val="18"/>
                <w:szCs w:val="18"/>
                <w:lang w:val="bg-BG"/>
              </w:rPr>
            </w:pPr>
          </w:p>
        </w:tc>
        <w:tc>
          <w:tcPr>
            <w:tcW w:w="1276" w:type="dxa"/>
            <w:tcBorders>
              <w:bottom w:val="single" w:sz="4" w:space="0" w:color="auto"/>
            </w:tcBorders>
          </w:tcPr>
          <w:p w:rsidR="00C01A94" w:rsidRPr="009072DA" w:rsidRDefault="00C01A94" w:rsidP="00D321F1">
            <w:pPr>
              <w:spacing w:before="120" w:after="12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val="restart"/>
            <w:shd w:val="clear" w:color="auto" w:fill="auto"/>
          </w:tcPr>
          <w:p w:rsidR="00C01A94" w:rsidRPr="009072DA" w:rsidRDefault="00C52DCC" w:rsidP="00A5038C">
            <w:pPr>
              <w:spacing w:before="80" w:after="80" w:line="240" w:lineRule="atLeast"/>
              <w:rPr>
                <w:rFonts w:cs="Arial"/>
                <w:sz w:val="18"/>
                <w:szCs w:val="18"/>
                <w:lang w:val="bg-BG"/>
              </w:rPr>
            </w:pPr>
            <w:r w:rsidRPr="009072DA">
              <w:rPr>
                <w:sz w:val="18"/>
                <w:lang w:val="bg-BG"/>
              </w:rPr>
              <w:t>10.15</w:t>
            </w:r>
          </w:p>
        </w:tc>
        <w:tc>
          <w:tcPr>
            <w:tcW w:w="1458"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Точка 11</w:t>
            </w:r>
          </w:p>
        </w:tc>
        <w:tc>
          <w:tcPr>
            <w:tcW w:w="3296"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Oтвори за кабелния сноп</w:t>
            </w:r>
          </w:p>
        </w:tc>
        <w:tc>
          <w:tcPr>
            <w:tcW w:w="5387" w:type="dxa"/>
            <w:shd w:val="clear" w:color="auto" w:fill="auto"/>
          </w:tcPr>
          <w:p w:rsidR="00C01A94" w:rsidRPr="009072DA" w:rsidRDefault="00EC1301" w:rsidP="00A5038C">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A5038C">
            <w:pPr>
              <w:spacing w:before="80" w:after="80" w:line="240" w:lineRule="atLeast"/>
              <w:jc w:val="center"/>
              <w:rPr>
                <w:rFonts w:cs="Arial"/>
                <w:sz w:val="18"/>
                <w:szCs w:val="18"/>
                <w:lang w:val="bg-BG"/>
              </w:rPr>
            </w:pPr>
          </w:p>
        </w:tc>
        <w:tc>
          <w:tcPr>
            <w:tcW w:w="1276" w:type="dxa"/>
          </w:tcPr>
          <w:p w:rsidR="00C01A94" w:rsidRPr="009072DA" w:rsidRDefault="00C01A94" w:rsidP="00A5038C">
            <w:pPr>
              <w:spacing w:before="80" w:after="8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shd w:val="clear" w:color="auto" w:fill="auto"/>
          </w:tcPr>
          <w:p w:rsidR="00C01A94" w:rsidRPr="009072DA" w:rsidRDefault="00C01A94" w:rsidP="00A5038C">
            <w:pPr>
              <w:spacing w:before="80" w:after="80" w:line="240" w:lineRule="atLeast"/>
              <w:rPr>
                <w:rFonts w:cs="Arial"/>
                <w:sz w:val="18"/>
                <w:szCs w:val="18"/>
                <w:lang w:val="bg-BG"/>
              </w:rPr>
            </w:pPr>
          </w:p>
        </w:tc>
        <w:tc>
          <w:tcPr>
            <w:tcW w:w="1458"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Точка 12</w:t>
            </w:r>
          </w:p>
        </w:tc>
        <w:tc>
          <w:tcPr>
            <w:tcW w:w="3296"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Кабели от авариен източник на електроенергия до потребителско оборудване</w:t>
            </w:r>
          </w:p>
        </w:tc>
        <w:tc>
          <w:tcPr>
            <w:tcW w:w="5387" w:type="dxa"/>
            <w:shd w:val="clear" w:color="auto" w:fill="auto"/>
          </w:tcPr>
          <w:p w:rsidR="00C01A94" w:rsidRPr="009072DA" w:rsidRDefault="00EC1301" w:rsidP="00A5038C">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A5038C">
            <w:pPr>
              <w:spacing w:before="80" w:after="80" w:line="240" w:lineRule="atLeast"/>
              <w:jc w:val="center"/>
              <w:rPr>
                <w:rFonts w:cs="Arial"/>
                <w:sz w:val="18"/>
                <w:szCs w:val="18"/>
                <w:lang w:val="bg-BG"/>
              </w:rPr>
            </w:pPr>
          </w:p>
        </w:tc>
        <w:tc>
          <w:tcPr>
            <w:tcW w:w="1276" w:type="dxa"/>
          </w:tcPr>
          <w:p w:rsidR="00C01A94" w:rsidRPr="009072DA" w:rsidRDefault="00C01A94" w:rsidP="00A5038C">
            <w:pPr>
              <w:spacing w:before="80" w:after="8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shd w:val="clear" w:color="auto" w:fill="auto"/>
          </w:tcPr>
          <w:p w:rsidR="00C01A94" w:rsidRPr="009072DA" w:rsidRDefault="00C01A94" w:rsidP="00A5038C">
            <w:pPr>
              <w:spacing w:before="80" w:after="80" w:line="240" w:lineRule="atLeast"/>
              <w:rPr>
                <w:rFonts w:cs="Arial"/>
                <w:sz w:val="18"/>
                <w:szCs w:val="18"/>
                <w:lang w:val="bg-BG"/>
              </w:rPr>
            </w:pPr>
          </w:p>
        </w:tc>
        <w:tc>
          <w:tcPr>
            <w:tcW w:w="1458"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Точка 13</w:t>
            </w:r>
          </w:p>
        </w:tc>
        <w:tc>
          <w:tcPr>
            <w:tcW w:w="3296"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Кабел в области с високи температури на околната среда</w:t>
            </w:r>
          </w:p>
        </w:tc>
        <w:tc>
          <w:tcPr>
            <w:tcW w:w="5387" w:type="dxa"/>
            <w:shd w:val="clear" w:color="auto" w:fill="auto"/>
          </w:tcPr>
          <w:p w:rsidR="00C01A94" w:rsidRPr="009072DA" w:rsidRDefault="00EC1301" w:rsidP="00A5038C">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A5038C">
            <w:pPr>
              <w:spacing w:before="80" w:after="80" w:line="240" w:lineRule="atLeast"/>
              <w:jc w:val="center"/>
              <w:rPr>
                <w:rFonts w:cs="Arial"/>
                <w:sz w:val="18"/>
                <w:szCs w:val="18"/>
                <w:lang w:val="bg-BG"/>
              </w:rPr>
            </w:pPr>
          </w:p>
        </w:tc>
        <w:tc>
          <w:tcPr>
            <w:tcW w:w="1276" w:type="dxa"/>
          </w:tcPr>
          <w:p w:rsidR="00C01A94" w:rsidRPr="009072DA" w:rsidRDefault="00C01A94" w:rsidP="00A5038C">
            <w:pPr>
              <w:spacing w:before="80" w:after="8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tcBorders>
              <w:bottom w:val="nil"/>
            </w:tcBorders>
            <w:shd w:val="clear" w:color="auto" w:fill="auto"/>
          </w:tcPr>
          <w:p w:rsidR="00C01A94" w:rsidRPr="009072DA" w:rsidRDefault="00C01A94" w:rsidP="00A5038C">
            <w:pPr>
              <w:spacing w:before="80" w:after="80" w:line="240" w:lineRule="atLeast"/>
              <w:rPr>
                <w:rFonts w:cs="Arial"/>
                <w:sz w:val="18"/>
                <w:szCs w:val="18"/>
                <w:lang w:val="bg-BG"/>
              </w:rPr>
            </w:pPr>
          </w:p>
        </w:tc>
        <w:tc>
          <w:tcPr>
            <w:tcW w:w="1458"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Точка 14</w:t>
            </w:r>
          </w:p>
        </w:tc>
        <w:tc>
          <w:tcPr>
            <w:tcW w:w="3296"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Монтаж на основни и аварийни захранващи кабели</w:t>
            </w:r>
          </w:p>
        </w:tc>
        <w:tc>
          <w:tcPr>
            <w:tcW w:w="5387" w:type="dxa"/>
            <w:shd w:val="clear" w:color="auto" w:fill="auto"/>
          </w:tcPr>
          <w:p w:rsidR="00C01A94" w:rsidRPr="009072DA" w:rsidRDefault="00EC1301" w:rsidP="00A5038C">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A5038C">
            <w:pPr>
              <w:spacing w:before="80" w:after="80" w:line="240" w:lineRule="atLeast"/>
              <w:jc w:val="center"/>
              <w:rPr>
                <w:rFonts w:cs="Arial"/>
                <w:sz w:val="18"/>
                <w:szCs w:val="18"/>
                <w:lang w:val="bg-BG"/>
              </w:rPr>
            </w:pPr>
          </w:p>
        </w:tc>
        <w:tc>
          <w:tcPr>
            <w:tcW w:w="1276" w:type="dxa"/>
          </w:tcPr>
          <w:p w:rsidR="00C01A94" w:rsidRPr="009072DA" w:rsidRDefault="00C01A94" w:rsidP="00A5038C">
            <w:pPr>
              <w:spacing w:before="80" w:after="8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val="restart"/>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 xml:space="preserve">10.18 </w:t>
            </w:r>
          </w:p>
        </w:tc>
        <w:tc>
          <w:tcPr>
            <w:tcW w:w="1458"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Точка 1</w:t>
            </w:r>
          </w:p>
        </w:tc>
        <w:tc>
          <w:tcPr>
            <w:tcW w:w="3296"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Устройство за изключване от електрическата мрежа</w:t>
            </w:r>
          </w:p>
        </w:tc>
        <w:tc>
          <w:tcPr>
            <w:tcW w:w="5387" w:type="dxa"/>
            <w:shd w:val="clear" w:color="auto" w:fill="auto"/>
          </w:tcPr>
          <w:p w:rsidR="00C01A94" w:rsidRPr="009072DA" w:rsidRDefault="00EC1301" w:rsidP="00D321F1">
            <w:pPr>
              <w:spacing w:before="120" w:after="12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D321F1">
            <w:pPr>
              <w:spacing w:before="120" w:after="120" w:line="240" w:lineRule="atLeast"/>
              <w:jc w:val="center"/>
              <w:rPr>
                <w:rFonts w:cs="Arial"/>
                <w:sz w:val="18"/>
                <w:szCs w:val="18"/>
                <w:lang w:val="bg-BG"/>
              </w:rPr>
            </w:pPr>
          </w:p>
        </w:tc>
        <w:tc>
          <w:tcPr>
            <w:tcW w:w="1276" w:type="dxa"/>
          </w:tcPr>
          <w:p w:rsidR="00C01A94" w:rsidRPr="009072DA" w:rsidRDefault="00C01A94" w:rsidP="00D321F1">
            <w:pPr>
              <w:spacing w:before="120" w:after="12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Достъпност</w:t>
            </w:r>
          </w:p>
        </w:tc>
        <w:tc>
          <w:tcPr>
            <w:tcW w:w="5387" w:type="dxa"/>
            <w:shd w:val="clear" w:color="auto" w:fill="auto"/>
          </w:tcPr>
          <w:p w:rsidR="00C01A94" w:rsidRPr="009072DA" w:rsidRDefault="00EC1301" w:rsidP="00C01A94">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60" w:after="60" w:line="240" w:lineRule="atLeast"/>
              <w:jc w:val="center"/>
              <w:rPr>
                <w:rFonts w:cs="Arial"/>
                <w:sz w:val="18"/>
                <w:szCs w:val="18"/>
                <w:lang w:val="bg-BG"/>
              </w:rPr>
            </w:pPr>
          </w:p>
        </w:tc>
        <w:tc>
          <w:tcPr>
            <w:tcW w:w="1276" w:type="dxa"/>
          </w:tcPr>
          <w:p w:rsidR="00C01A94" w:rsidRPr="009072DA" w:rsidRDefault="00C01A94" w:rsidP="00C01A94">
            <w:pPr>
              <w:spacing w:before="60" w:after="6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3</w:t>
            </w:r>
          </w:p>
        </w:tc>
        <w:tc>
          <w:tcPr>
            <w:tcW w:w="329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Галванично разделяне на управляващи и силови вериги</w:t>
            </w:r>
          </w:p>
        </w:tc>
        <w:tc>
          <w:tcPr>
            <w:tcW w:w="5387" w:type="dxa"/>
            <w:shd w:val="clear" w:color="auto" w:fill="auto"/>
          </w:tcPr>
          <w:p w:rsidR="00C01A94" w:rsidRPr="009072DA" w:rsidRDefault="00EC1301" w:rsidP="00C01A94">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60" w:after="60" w:line="240" w:lineRule="atLeast"/>
              <w:jc w:val="center"/>
              <w:rPr>
                <w:rFonts w:cs="Arial"/>
                <w:sz w:val="18"/>
                <w:szCs w:val="18"/>
                <w:lang w:val="bg-BG"/>
              </w:rPr>
            </w:pPr>
          </w:p>
        </w:tc>
        <w:tc>
          <w:tcPr>
            <w:tcW w:w="1276" w:type="dxa"/>
          </w:tcPr>
          <w:p w:rsidR="00C01A94" w:rsidRPr="009072DA" w:rsidRDefault="00C01A94" w:rsidP="00C01A94">
            <w:pPr>
              <w:spacing w:before="60" w:after="6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Работа при колебания в напрежението и честотата</w:t>
            </w:r>
          </w:p>
        </w:tc>
        <w:tc>
          <w:tcPr>
            <w:tcW w:w="5387" w:type="dxa"/>
            <w:shd w:val="clear" w:color="auto" w:fill="auto"/>
          </w:tcPr>
          <w:p w:rsidR="00C01A94" w:rsidRPr="009072DA" w:rsidRDefault="00EC1301" w:rsidP="00C01A94">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60" w:after="60" w:line="240" w:lineRule="atLeast"/>
              <w:jc w:val="center"/>
              <w:rPr>
                <w:rFonts w:cs="Arial"/>
                <w:sz w:val="18"/>
                <w:szCs w:val="18"/>
                <w:lang w:val="bg-BG"/>
              </w:rPr>
            </w:pPr>
          </w:p>
        </w:tc>
        <w:tc>
          <w:tcPr>
            <w:tcW w:w="1276" w:type="dxa"/>
          </w:tcPr>
          <w:p w:rsidR="00C01A94" w:rsidRPr="009072DA" w:rsidRDefault="00C01A94" w:rsidP="00C01A94">
            <w:pPr>
              <w:spacing w:before="60" w:after="6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5</w:t>
            </w:r>
          </w:p>
        </w:tc>
        <w:tc>
          <w:tcPr>
            <w:tcW w:w="329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Време за разреждане при изключване от електрическата мрежа</w:t>
            </w:r>
          </w:p>
        </w:tc>
        <w:tc>
          <w:tcPr>
            <w:tcW w:w="5387" w:type="dxa"/>
            <w:shd w:val="clear" w:color="auto" w:fill="auto"/>
          </w:tcPr>
          <w:p w:rsidR="00C01A94" w:rsidRPr="009072DA" w:rsidRDefault="00EC1301" w:rsidP="00C01A94">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60" w:after="60" w:line="240" w:lineRule="atLeast"/>
              <w:jc w:val="center"/>
              <w:rPr>
                <w:rFonts w:cs="Arial"/>
                <w:sz w:val="18"/>
                <w:szCs w:val="18"/>
                <w:lang w:val="bg-BG"/>
              </w:rPr>
            </w:pPr>
          </w:p>
        </w:tc>
        <w:tc>
          <w:tcPr>
            <w:tcW w:w="1276" w:type="dxa"/>
          </w:tcPr>
          <w:p w:rsidR="00C01A94" w:rsidRPr="009072DA" w:rsidRDefault="00C01A94" w:rsidP="00C01A94">
            <w:pPr>
              <w:spacing w:before="60" w:after="6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6</w:t>
            </w:r>
          </w:p>
        </w:tc>
        <w:tc>
          <w:tcPr>
            <w:tcW w:w="329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Реакция при отказ на сигналите за външен контрол</w:t>
            </w:r>
          </w:p>
        </w:tc>
        <w:tc>
          <w:tcPr>
            <w:tcW w:w="5387" w:type="dxa"/>
            <w:shd w:val="clear" w:color="auto" w:fill="auto"/>
          </w:tcPr>
          <w:p w:rsidR="00C01A94" w:rsidRPr="009072DA" w:rsidRDefault="00EC1301" w:rsidP="00C01A94">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60" w:after="60" w:line="240" w:lineRule="atLeast"/>
              <w:jc w:val="center"/>
              <w:rPr>
                <w:rFonts w:cs="Arial"/>
                <w:sz w:val="18"/>
                <w:szCs w:val="18"/>
                <w:lang w:val="bg-BG"/>
              </w:rPr>
            </w:pPr>
          </w:p>
        </w:tc>
        <w:tc>
          <w:tcPr>
            <w:tcW w:w="1276" w:type="dxa"/>
          </w:tcPr>
          <w:p w:rsidR="00C01A94" w:rsidRPr="009072DA" w:rsidRDefault="00C01A94" w:rsidP="00C01A94">
            <w:pPr>
              <w:spacing w:before="60" w:after="6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7</w:t>
            </w:r>
          </w:p>
        </w:tc>
        <w:tc>
          <w:tcPr>
            <w:tcW w:w="329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Реакция при отказ на контролни напрежения</w:t>
            </w:r>
          </w:p>
        </w:tc>
        <w:tc>
          <w:tcPr>
            <w:tcW w:w="5387" w:type="dxa"/>
            <w:shd w:val="clear" w:color="auto" w:fill="auto"/>
          </w:tcPr>
          <w:p w:rsidR="00C01A94" w:rsidRPr="009072DA" w:rsidRDefault="00EC1301" w:rsidP="00C01A94">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60" w:after="60" w:line="240" w:lineRule="atLeast"/>
              <w:jc w:val="center"/>
              <w:rPr>
                <w:rFonts w:cs="Arial"/>
                <w:sz w:val="18"/>
                <w:szCs w:val="18"/>
                <w:lang w:val="bg-BG"/>
              </w:rPr>
            </w:pPr>
          </w:p>
        </w:tc>
        <w:tc>
          <w:tcPr>
            <w:tcW w:w="1276" w:type="dxa"/>
          </w:tcPr>
          <w:p w:rsidR="00C01A94" w:rsidRPr="009072DA" w:rsidRDefault="00C01A94" w:rsidP="00C01A94">
            <w:pPr>
              <w:spacing w:before="60" w:after="6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8</w:t>
            </w:r>
          </w:p>
        </w:tc>
        <w:tc>
          <w:tcPr>
            <w:tcW w:w="329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Откриване на грешки и предотвратяване на неоткрити грешки</w:t>
            </w:r>
          </w:p>
        </w:tc>
        <w:tc>
          <w:tcPr>
            <w:tcW w:w="5387" w:type="dxa"/>
            <w:shd w:val="clear" w:color="auto" w:fill="auto"/>
          </w:tcPr>
          <w:p w:rsidR="00C01A94" w:rsidRPr="009072DA" w:rsidRDefault="00EC1301" w:rsidP="00C01A94">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60" w:after="60" w:line="240" w:lineRule="atLeast"/>
              <w:jc w:val="center"/>
              <w:rPr>
                <w:rFonts w:cs="Arial"/>
                <w:sz w:val="18"/>
                <w:szCs w:val="18"/>
                <w:lang w:val="bg-BG"/>
              </w:rPr>
            </w:pPr>
          </w:p>
        </w:tc>
        <w:tc>
          <w:tcPr>
            <w:tcW w:w="1276" w:type="dxa"/>
          </w:tcPr>
          <w:p w:rsidR="00C01A94" w:rsidRPr="009072DA" w:rsidRDefault="00C01A94" w:rsidP="00C01A94">
            <w:pPr>
              <w:spacing w:before="60" w:after="6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9</w:t>
            </w:r>
          </w:p>
        </w:tc>
        <w:tc>
          <w:tcPr>
            <w:tcW w:w="329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Следене</w:t>
            </w:r>
          </w:p>
        </w:tc>
        <w:tc>
          <w:tcPr>
            <w:tcW w:w="5387" w:type="dxa"/>
            <w:shd w:val="clear" w:color="auto" w:fill="auto"/>
          </w:tcPr>
          <w:p w:rsidR="00C01A94" w:rsidRPr="009072DA" w:rsidRDefault="00EC1301" w:rsidP="00C01A94">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60" w:after="60" w:line="240" w:lineRule="atLeast"/>
              <w:jc w:val="center"/>
              <w:rPr>
                <w:rFonts w:cs="Arial"/>
                <w:sz w:val="18"/>
                <w:szCs w:val="18"/>
                <w:lang w:val="bg-BG"/>
              </w:rPr>
            </w:pPr>
          </w:p>
        </w:tc>
        <w:tc>
          <w:tcPr>
            <w:tcW w:w="1276" w:type="dxa"/>
          </w:tcPr>
          <w:p w:rsidR="00C01A94" w:rsidRPr="009072DA" w:rsidRDefault="00C01A94" w:rsidP="00C01A94">
            <w:pPr>
              <w:spacing w:before="60" w:after="60" w:line="240" w:lineRule="atLeast"/>
              <w:jc w:val="center"/>
              <w:rPr>
                <w:rFonts w:cs="Arial"/>
                <w:sz w:val="18"/>
                <w:szCs w:val="18"/>
                <w:lang w:val="bg-BG"/>
              </w:rPr>
            </w:pPr>
            <w:r w:rsidRPr="009072DA">
              <w:rPr>
                <w:sz w:val="18"/>
                <w:lang w:val="bg-BG"/>
              </w:rPr>
              <w:t>7.10.2018 г.</w:t>
            </w:r>
          </w:p>
        </w:tc>
      </w:tr>
      <w:tr w:rsidR="00C01A94" w:rsidRPr="009072DA" w:rsidTr="00A5358D">
        <w:trPr>
          <w:cantSplit/>
          <w:jc w:val="center"/>
        </w:trPr>
        <w:tc>
          <w:tcPr>
            <w:tcW w:w="1342" w:type="dxa"/>
            <w:vMerge/>
            <w:tcBorders>
              <w:bottom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10</w:t>
            </w:r>
          </w:p>
        </w:tc>
        <w:tc>
          <w:tcPr>
            <w:tcW w:w="329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Проверка на типа</w:t>
            </w:r>
          </w:p>
        </w:tc>
        <w:tc>
          <w:tcPr>
            <w:tcW w:w="5387" w:type="dxa"/>
            <w:shd w:val="clear" w:color="auto" w:fill="auto"/>
          </w:tcPr>
          <w:p w:rsidR="00C01A94" w:rsidRPr="009072DA" w:rsidRDefault="00EC1301" w:rsidP="00C01A94">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60" w:after="60" w:line="240" w:lineRule="atLeast"/>
              <w:jc w:val="center"/>
              <w:rPr>
                <w:rFonts w:cs="Arial"/>
                <w:sz w:val="18"/>
                <w:szCs w:val="18"/>
                <w:lang w:val="bg-BG"/>
              </w:rPr>
            </w:pPr>
          </w:p>
        </w:tc>
        <w:tc>
          <w:tcPr>
            <w:tcW w:w="1276" w:type="dxa"/>
          </w:tcPr>
          <w:p w:rsidR="00C01A94" w:rsidRPr="009072DA" w:rsidRDefault="00C01A94" w:rsidP="00C01A94">
            <w:pPr>
              <w:spacing w:before="60" w:after="60" w:line="240" w:lineRule="atLeast"/>
              <w:jc w:val="center"/>
              <w:rPr>
                <w:rFonts w:cs="Arial"/>
                <w:sz w:val="18"/>
                <w:szCs w:val="18"/>
                <w:lang w:val="bg-BG"/>
              </w:rPr>
            </w:pPr>
            <w:r w:rsidRPr="009072DA">
              <w:rPr>
                <w:sz w:val="18"/>
                <w:lang w:val="bg-BG"/>
              </w:rPr>
              <w:t>7.10.2018 г.</w:t>
            </w:r>
          </w:p>
        </w:tc>
      </w:tr>
      <w:tr w:rsidR="00C01A94" w:rsidRPr="009072DA" w:rsidTr="00E04086">
        <w:trPr>
          <w:cantSplit/>
          <w:jc w:val="center"/>
        </w:trPr>
        <w:tc>
          <w:tcPr>
            <w:tcW w:w="6096" w:type="dxa"/>
            <w:gridSpan w:val="3"/>
            <w:tcBorders>
              <w:bottom w:val="nil"/>
            </w:tcBorders>
            <w:shd w:val="clear" w:color="auto" w:fill="auto"/>
          </w:tcPr>
          <w:p w:rsidR="00C01A94" w:rsidRPr="009072DA" w:rsidRDefault="00C01A94" w:rsidP="00C01A94">
            <w:pPr>
              <w:spacing w:before="120" w:after="120" w:line="240" w:lineRule="atLeast"/>
              <w:jc w:val="center"/>
              <w:rPr>
                <w:rFonts w:cs="Arial"/>
                <w:sz w:val="18"/>
                <w:szCs w:val="18"/>
                <w:lang w:val="bg-BG"/>
              </w:rPr>
            </w:pPr>
            <w:r w:rsidRPr="009072DA">
              <w:rPr>
                <w:b/>
                <w:sz w:val="18"/>
                <w:lang w:val="bg-BG"/>
              </w:rPr>
              <w:t>ГЛАВА 13</w:t>
            </w:r>
          </w:p>
        </w:tc>
        <w:tc>
          <w:tcPr>
            <w:tcW w:w="5387" w:type="dxa"/>
            <w:shd w:val="clear" w:color="auto" w:fill="auto"/>
          </w:tcPr>
          <w:p w:rsidR="00C01A94" w:rsidRPr="009072DA" w:rsidRDefault="00C01A94" w:rsidP="00C01A94">
            <w:pPr>
              <w:spacing w:before="120" w:after="120" w:line="240" w:lineRule="atLeast"/>
              <w:rPr>
                <w:rFonts w:cs="Arial"/>
                <w:sz w:val="18"/>
                <w:szCs w:val="18"/>
                <w:lang w:val="bg-BG"/>
              </w:rPr>
            </w:pP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p>
        </w:tc>
        <w:tc>
          <w:tcPr>
            <w:tcW w:w="1276" w:type="dxa"/>
          </w:tcPr>
          <w:p w:rsidR="00C01A94" w:rsidRPr="009072DA" w:rsidRDefault="00C01A94" w:rsidP="00C01A94">
            <w:pPr>
              <w:spacing w:before="120" w:after="120" w:line="240" w:lineRule="atLeast"/>
              <w:rPr>
                <w:rFonts w:cs="Arial"/>
                <w:sz w:val="18"/>
                <w:szCs w:val="18"/>
                <w:lang w:val="bg-BG"/>
              </w:rPr>
            </w:pPr>
          </w:p>
        </w:tc>
      </w:tr>
      <w:tr w:rsidR="00C01A94" w:rsidRPr="009072DA" w:rsidTr="008D5C65">
        <w:trPr>
          <w:cantSplit/>
          <w:jc w:val="center"/>
        </w:trPr>
        <w:tc>
          <w:tcPr>
            <w:tcW w:w="1342" w:type="dxa"/>
            <w:tcBorders>
              <w:bottom w:val="nil"/>
            </w:tcBorders>
            <w:shd w:val="clear" w:color="auto" w:fill="auto"/>
          </w:tcPr>
          <w:p w:rsidR="00C01A94" w:rsidRPr="009072DA" w:rsidRDefault="00C01A94" w:rsidP="00D321F1">
            <w:pPr>
              <w:spacing w:before="60" w:after="60" w:line="240" w:lineRule="atLeast"/>
              <w:rPr>
                <w:rFonts w:cs="Arial"/>
                <w:sz w:val="18"/>
                <w:szCs w:val="18"/>
                <w:lang w:val="bg-BG"/>
              </w:rPr>
            </w:pPr>
            <w:r w:rsidRPr="009072DA">
              <w:rPr>
                <w:sz w:val="18"/>
                <w:lang w:val="bg-BG"/>
              </w:rPr>
              <w:t>13.02</w:t>
            </w:r>
          </w:p>
        </w:tc>
        <w:tc>
          <w:tcPr>
            <w:tcW w:w="1458" w:type="dxa"/>
            <w:shd w:val="clear" w:color="auto" w:fill="auto"/>
          </w:tcPr>
          <w:p w:rsidR="00C01A94" w:rsidRPr="009072DA" w:rsidRDefault="00C01A94" w:rsidP="00D321F1">
            <w:pPr>
              <w:spacing w:before="60" w:after="60" w:line="240" w:lineRule="atLeast"/>
              <w:rPr>
                <w:rFonts w:cs="Arial"/>
                <w:sz w:val="18"/>
                <w:szCs w:val="18"/>
                <w:lang w:val="bg-BG"/>
              </w:rPr>
            </w:pPr>
            <w:r w:rsidRPr="009072DA">
              <w:rPr>
                <w:sz w:val="18"/>
                <w:lang w:val="bg-BG"/>
              </w:rPr>
              <w:t>Точка 2, буква б)</w:t>
            </w:r>
          </w:p>
        </w:tc>
        <w:tc>
          <w:tcPr>
            <w:tcW w:w="3296" w:type="dxa"/>
            <w:shd w:val="clear" w:color="auto" w:fill="auto"/>
          </w:tcPr>
          <w:p w:rsidR="00C01A94" w:rsidRPr="009072DA" w:rsidRDefault="00C01A94" w:rsidP="00D321F1">
            <w:pPr>
              <w:spacing w:before="60" w:after="60" w:line="240" w:lineRule="atLeast"/>
              <w:rPr>
                <w:rFonts w:cs="Arial"/>
                <w:sz w:val="18"/>
                <w:szCs w:val="18"/>
                <w:lang w:val="bg-BG"/>
              </w:rPr>
            </w:pPr>
            <w:r w:rsidRPr="009072DA">
              <w:rPr>
                <w:sz w:val="18"/>
                <w:lang w:val="bg-BG"/>
              </w:rPr>
              <w:t>Бутилки, изработени от стомана или друг устойчив, незапалим материал с вместимост най-малко 10 l</w:t>
            </w:r>
          </w:p>
        </w:tc>
        <w:tc>
          <w:tcPr>
            <w:tcW w:w="5387" w:type="dxa"/>
            <w:shd w:val="clear" w:color="auto" w:fill="auto"/>
          </w:tcPr>
          <w:p w:rsidR="00C01A94" w:rsidRPr="009072DA" w:rsidRDefault="00C01A94" w:rsidP="00D321F1">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C01A94" w:rsidRPr="009072DA" w:rsidRDefault="00C01A94" w:rsidP="00D321F1">
            <w:pPr>
              <w:spacing w:before="60" w:after="60" w:line="240" w:lineRule="atLeast"/>
              <w:rPr>
                <w:rFonts w:cs="Arial"/>
                <w:sz w:val="18"/>
                <w:szCs w:val="18"/>
                <w:lang w:val="bg-BG"/>
              </w:rPr>
            </w:pPr>
          </w:p>
        </w:tc>
        <w:tc>
          <w:tcPr>
            <w:tcW w:w="1276" w:type="dxa"/>
          </w:tcPr>
          <w:p w:rsidR="00C01A94" w:rsidRPr="009072DA" w:rsidRDefault="00C01A94" w:rsidP="00D321F1">
            <w:pPr>
              <w:spacing w:before="60" w:after="60" w:line="240" w:lineRule="atLeast"/>
              <w:rPr>
                <w:rFonts w:cs="Arial"/>
                <w:sz w:val="18"/>
                <w:szCs w:val="18"/>
                <w:lang w:val="bg-BG"/>
              </w:rPr>
            </w:pPr>
            <w:r w:rsidRPr="009072DA">
              <w:rPr>
                <w:sz w:val="18"/>
                <w:lang w:val="bg-BG"/>
              </w:rPr>
              <w:t>1.12.2011 г.</w:t>
            </w:r>
          </w:p>
        </w:tc>
      </w:tr>
      <w:tr w:rsidR="00C01A94" w:rsidRPr="009072DA" w:rsidTr="008D5C65">
        <w:trPr>
          <w:cantSplit/>
          <w:jc w:val="center"/>
        </w:trPr>
        <w:tc>
          <w:tcPr>
            <w:tcW w:w="1342" w:type="dxa"/>
            <w:tcBorders>
              <w:bottom w:val="nil"/>
            </w:tcBorders>
            <w:shd w:val="clear" w:color="auto" w:fill="auto"/>
          </w:tcPr>
          <w:p w:rsidR="00C01A94" w:rsidRPr="009072DA" w:rsidRDefault="00C01A94" w:rsidP="00D321F1">
            <w:pPr>
              <w:spacing w:before="60" w:after="60" w:line="240" w:lineRule="atLeast"/>
              <w:rPr>
                <w:rFonts w:cs="Arial"/>
                <w:sz w:val="18"/>
                <w:szCs w:val="18"/>
                <w:lang w:val="bg-BG"/>
              </w:rPr>
            </w:pPr>
            <w:r w:rsidRPr="009072DA">
              <w:rPr>
                <w:sz w:val="18"/>
                <w:lang w:val="bg-BG"/>
              </w:rPr>
              <w:t>13.03</w:t>
            </w:r>
          </w:p>
        </w:tc>
        <w:tc>
          <w:tcPr>
            <w:tcW w:w="1458" w:type="dxa"/>
            <w:shd w:val="clear" w:color="auto" w:fill="auto"/>
          </w:tcPr>
          <w:p w:rsidR="00C01A94" w:rsidRPr="009072DA" w:rsidRDefault="00C01A94" w:rsidP="00D321F1">
            <w:pPr>
              <w:spacing w:before="60" w:after="60" w:line="240" w:lineRule="atLeast"/>
              <w:rPr>
                <w:rFonts w:cs="Arial"/>
                <w:sz w:val="18"/>
                <w:szCs w:val="18"/>
                <w:lang w:val="bg-BG"/>
              </w:rPr>
            </w:pPr>
            <w:r w:rsidRPr="009072DA">
              <w:rPr>
                <w:sz w:val="18"/>
                <w:lang w:val="bg-BG"/>
              </w:rPr>
              <w:t>Точка 1</w:t>
            </w:r>
          </w:p>
        </w:tc>
        <w:tc>
          <w:tcPr>
            <w:tcW w:w="3296" w:type="dxa"/>
            <w:shd w:val="clear" w:color="auto" w:fill="auto"/>
          </w:tcPr>
          <w:p w:rsidR="00C01A94" w:rsidRPr="009072DA" w:rsidRDefault="00C01A94" w:rsidP="00D321F1">
            <w:pPr>
              <w:spacing w:before="60" w:after="60" w:line="240" w:lineRule="atLeast"/>
              <w:rPr>
                <w:rFonts w:cs="Arial"/>
                <w:sz w:val="18"/>
                <w:szCs w:val="18"/>
                <w:lang w:val="bg-BG"/>
              </w:rPr>
            </w:pPr>
            <w:r w:rsidRPr="009072DA">
              <w:rPr>
                <w:sz w:val="18"/>
                <w:lang w:val="bg-BG"/>
              </w:rPr>
              <w:t>Европейски стандарт</w:t>
            </w:r>
          </w:p>
        </w:tc>
        <w:tc>
          <w:tcPr>
            <w:tcW w:w="5387" w:type="dxa"/>
            <w:shd w:val="clear" w:color="auto" w:fill="auto"/>
          </w:tcPr>
          <w:p w:rsidR="00C01A94" w:rsidRPr="009072DA" w:rsidRDefault="00C01A94" w:rsidP="00D321F1">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60" w:after="60" w:line="240" w:lineRule="atLeast"/>
              <w:rPr>
                <w:rFonts w:cs="Arial"/>
                <w:sz w:val="18"/>
                <w:szCs w:val="18"/>
                <w:lang w:val="bg-BG"/>
              </w:rPr>
            </w:pPr>
            <w:r w:rsidRPr="009072DA">
              <w:rPr>
                <w:sz w:val="18"/>
                <w:lang w:val="bg-BG"/>
              </w:rPr>
              <w:t>1.1.2010 г.</w:t>
            </w:r>
          </w:p>
        </w:tc>
        <w:tc>
          <w:tcPr>
            <w:tcW w:w="1276" w:type="dxa"/>
          </w:tcPr>
          <w:p w:rsidR="00C01A94" w:rsidRPr="009072DA" w:rsidRDefault="00C01A94" w:rsidP="00D321F1">
            <w:pPr>
              <w:spacing w:before="60" w:after="60" w:line="240" w:lineRule="atLeast"/>
              <w:rPr>
                <w:rFonts w:cs="Arial"/>
                <w:sz w:val="18"/>
                <w:szCs w:val="18"/>
                <w:lang w:val="bg-BG"/>
              </w:rPr>
            </w:pPr>
            <w:r w:rsidRPr="009072DA">
              <w:rPr>
                <w:sz w:val="18"/>
                <w:lang w:val="bg-BG"/>
              </w:rPr>
              <w:t>1.4.2002 г.</w:t>
            </w:r>
          </w:p>
        </w:tc>
      </w:tr>
      <w:tr w:rsidR="00C01A94" w:rsidRPr="009072DA" w:rsidTr="008D5C65">
        <w:trPr>
          <w:cantSplit/>
          <w:jc w:val="center"/>
        </w:trPr>
        <w:tc>
          <w:tcPr>
            <w:tcW w:w="1342" w:type="dxa"/>
            <w:tcBorders>
              <w:top w:val="nil"/>
              <w:bottom w:val="single" w:sz="4" w:space="0" w:color="auto"/>
            </w:tcBorders>
            <w:shd w:val="clear" w:color="auto" w:fill="auto"/>
          </w:tcPr>
          <w:p w:rsidR="00C01A94" w:rsidRPr="009072DA" w:rsidRDefault="00C01A94" w:rsidP="00D321F1">
            <w:pPr>
              <w:spacing w:before="60" w:after="60" w:line="240" w:lineRule="atLeast"/>
              <w:rPr>
                <w:rFonts w:cs="Arial"/>
                <w:sz w:val="18"/>
                <w:szCs w:val="18"/>
                <w:lang w:val="bg-BG"/>
              </w:rPr>
            </w:pPr>
          </w:p>
        </w:tc>
        <w:tc>
          <w:tcPr>
            <w:tcW w:w="1458" w:type="dxa"/>
            <w:shd w:val="clear" w:color="auto" w:fill="auto"/>
          </w:tcPr>
          <w:p w:rsidR="00C01A94" w:rsidRPr="009072DA" w:rsidRDefault="00C01A94" w:rsidP="00D321F1">
            <w:pPr>
              <w:spacing w:before="60" w:after="6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D321F1">
            <w:pPr>
              <w:spacing w:before="60" w:after="60" w:line="240" w:lineRule="atLeast"/>
              <w:rPr>
                <w:rFonts w:cs="Arial"/>
                <w:sz w:val="18"/>
                <w:szCs w:val="18"/>
                <w:lang w:val="bg-BG"/>
              </w:rPr>
            </w:pPr>
            <w:r w:rsidRPr="009072DA">
              <w:rPr>
                <w:sz w:val="18"/>
                <w:lang w:val="bg-BG"/>
              </w:rPr>
              <w:t>Пригодност за пожари от клас А, В и С</w:t>
            </w:r>
          </w:p>
        </w:tc>
        <w:tc>
          <w:tcPr>
            <w:tcW w:w="5387" w:type="dxa"/>
            <w:shd w:val="clear" w:color="auto" w:fill="auto"/>
          </w:tcPr>
          <w:p w:rsidR="00C01A94" w:rsidRPr="009072DA" w:rsidRDefault="00C01A94" w:rsidP="00D321F1">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60" w:after="60" w:line="240" w:lineRule="atLeast"/>
              <w:rPr>
                <w:rFonts w:cs="Arial"/>
                <w:sz w:val="18"/>
                <w:szCs w:val="18"/>
                <w:lang w:val="bg-BG"/>
              </w:rPr>
            </w:pPr>
            <w:r w:rsidRPr="009072DA">
              <w:rPr>
                <w:sz w:val="18"/>
                <w:lang w:val="bg-BG"/>
              </w:rPr>
              <w:t>1.1.2007 г.</w:t>
            </w:r>
          </w:p>
        </w:tc>
        <w:tc>
          <w:tcPr>
            <w:tcW w:w="1276" w:type="dxa"/>
          </w:tcPr>
          <w:p w:rsidR="00C01A94" w:rsidRPr="009072DA" w:rsidRDefault="00C01A94" w:rsidP="00D321F1">
            <w:pPr>
              <w:spacing w:before="60" w:after="60" w:line="240" w:lineRule="atLeast"/>
              <w:rPr>
                <w:rFonts w:cs="Arial"/>
                <w:sz w:val="18"/>
                <w:szCs w:val="18"/>
                <w:lang w:val="bg-BG"/>
              </w:rPr>
            </w:pPr>
            <w:r w:rsidRPr="009072DA">
              <w:rPr>
                <w:sz w:val="18"/>
                <w:lang w:val="bg-BG"/>
              </w:rPr>
              <w:t>1.4.2002 г.</w:t>
            </w:r>
          </w:p>
        </w:tc>
      </w:tr>
      <w:tr w:rsidR="00C01A94" w:rsidRPr="009072DA" w:rsidTr="008D5C65">
        <w:trPr>
          <w:cantSplit/>
          <w:jc w:val="center"/>
        </w:trPr>
        <w:tc>
          <w:tcPr>
            <w:tcW w:w="1342" w:type="dxa"/>
            <w:tcBorders>
              <w:top w:val="single" w:sz="4" w:space="0" w:color="auto"/>
            </w:tcBorders>
            <w:shd w:val="clear" w:color="auto" w:fill="auto"/>
          </w:tcPr>
          <w:p w:rsidR="00C01A94" w:rsidRPr="009072DA" w:rsidRDefault="00C01A94" w:rsidP="00D321F1">
            <w:pPr>
              <w:spacing w:before="60" w:after="60" w:line="240" w:lineRule="atLeast"/>
              <w:rPr>
                <w:rFonts w:cs="Arial"/>
                <w:sz w:val="18"/>
                <w:szCs w:val="18"/>
                <w:lang w:val="bg-BG"/>
              </w:rPr>
            </w:pPr>
            <w:r w:rsidRPr="009072DA">
              <w:rPr>
                <w:sz w:val="18"/>
                <w:lang w:val="bg-BG"/>
              </w:rPr>
              <w:lastRenderedPageBreak/>
              <w:t>13.04</w:t>
            </w:r>
          </w:p>
        </w:tc>
        <w:tc>
          <w:tcPr>
            <w:tcW w:w="1458" w:type="dxa"/>
            <w:shd w:val="clear" w:color="auto" w:fill="auto"/>
          </w:tcPr>
          <w:p w:rsidR="00C01A94" w:rsidRPr="009072DA" w:rsidRDefault="00C01A94" w:rsidP="00D321F1">
            <w:pPr>
              <w:spacing w:before="60" w:after="60" w:line="240" w:lineRule="atLeast"/>
              <w:rPr>
                <w:rFonts w:cs="Arial"/>
                <w:sz w:val="18"/>
                <w:szCs w:val="18"/>
                <w:lang w:val="bg-BG"/>
              </w:rPr>
            </w:pPr>
          </w:p>
        </w:tc>
        <w:tc>
          <w:tcPr>
            <w:tcW w:w="3296" w:type="dxa"/>
            <w:shd w:val="clear" w:color="auto" w:fill="auto"/>
          </w:tcPr>
          <w:p w:rsidR="00C01A94" w:rsidRPr="009072DA" w:rsidRDefault="00C01A94" w:rsidP="00D321F1">
            <w:pPr>
              <w:spacing w:before="60" w:after="60" w:line="240" w:lineRule="atLeast"/>
              <w:rPr>
                <w:rFonts w:cs="Arial"/>
                <w:sz w:val="18"/>
                <w:szCs w:val="18"/>
                <w:lang w:val="bg-BG"/>
              </w:rPr>
            </w:pPr>
            <w:r w:rsidRPr="009072DA">
              <w:rPr>
                <w:sz w:val="18"/>
                <w:lang w:val="bg-BG"/>
              </w:rPr>
              <w:t>Постоянно монтирани противопожарни системи в жилищните помещения, рулевите рубки и помещенията за пътници</w:t>
            </w:r>
          </w:p>
        </w:tc>
        <w:tc>
          <w:tcPr>
            <w:tcW w:w="5387" w:type="dxa"/>
            <w:shd w:val="clear" w:color="auto" w:fill="auto"/>
          </w:tcPr>
          <w:p w:rsidR="00C01A94" w:rsidRPr="009072DA" w:rsidRDefault="00C01A94" w:rsidP="00D321F1">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60" w:after="60" w:line="240" w:lineRule="atLeast"/>
              <w:rPr>
                <w:rFonts w:cs="Arial"/>
                <w:sz w:val="18"/>
                <w:szCs w:val="18"/>
                <w:lang w:val="bg-BG"/>
              </w:rPr>
            </w:pPr>
            <w:r w:rsidRPr="009072DA">
              <w:rPr>
                <w:sz w:val="18"/>
                <w:lang w:val="bg-BG"/>
              </w:rPr>
              <w:t>1.1.2035 г.</w:t>
            </w:r>
          </w:p>
        </w:tc>
        <w:tc>
          <w:tcPr>
            <w:tcW w:w="1276" w:type="dxa"/>
          </w:tcPr>
          <w:p w:rsidR="00C01A94" w:rsidRPr="009072DA" w:rsidRDefault="00C01A94" w:rsidP="00D321F1">
            <w:pPr>
              <w:spacing w:before="60" w:after="60" w:line="240" w:lineRule="atLeast"/>
              <w:rPr>
                <w:rFonts w:cs="Arial"/>
                <w:sz w:val="18"/>
                <w:szCs w:val="18"/>
                <w:lang w:val="bg-BG"/>
              </w:rPr>
            </w:pPr>
            <w:r w:rsidRPr="009072DA">
              <w:rPr>
                <w:sz w:val="18"/>
                <w:lang w:val="bg-BG"/>
              </w:rPr>
              <w:t>1.4.2002 г.</w:t>
            </w:r>
          </w:p>
        </w:tc>
      </w:tr>
      <w:tr w:rsidR="00C01A94" w:rsidRPr="009072DA" w:rsidTr="00E67DA4">
        <w:trPr>
          <w:cantSplit/>
          <w:jc w:val="center"/>
        </w:trPr>
        <w:tc>
          <w:tcPr>
            <w:tcW w:w="1342"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13.05</w:t>
            </w: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p>
        </w:tc>
        <w:tc>
          <w:tcPr>
            <w:tcW w:w="329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Постоянно монтирани противопожарни системи в машинните, котелните и помпените отделения</w:t>
            </w:r>
          </w:p>
        </w:tc>
        <w:tc>
          <w:tcPr>
            <w:tcW w:w="5387" w:type="dxa"/>
            <w:shd w:val="clear" w:color="auto" w:fill="auto"/>
          </w:tcPr>
          <w:p w:rsidR="00C01A94" w:rsidRPr="009072DA" w:rsidRDefault="0059704F" w:rsidP="0059704F">
            <w:pPr>
              <w:spacing w:before="120" w:after="120" w:line="240" w:lineRule="atLeast"/>
              <w:rPr>
                <w:rFonts w:cs="Arial"/>
                <w:sz w:val="18"/>
                <w:szCs w:val="18"/>
                <w:lang w:val="bg-BG"/>
              </w:rPr>
            </w:pPr>
            <w:r w:rsidRPr="009072DA">
              <w:rPr>
                <w:sz w:val="18"/>
                <w:vertAlign w:val="superscript"/>
                <w:lang w:val="bg-BG"/>
              </w:rPr>
              <w:footnoteReference w:id="40"/>
            </w: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59704F">
            <w:pPr>
              <w:spacing w:before="120" w:after="120" w:line="240" w:lineRule="atLeast"/>
              <w:rPr>
                <w:rFonts w:cs="Arial"/>
                <w:sz w:val="18"/>
                <w:szCs w:val="18"/>
                <w:lang w:val="bg-BG"/>
              </w:rPr>
            </w:pPr>
          </w:p>
        </w:tc>
        <w:tc>
          <w:tcPr>
            <w:tcW w:w="1276" w:type="dxa"/>
          </w:tcPr>
          <w:p w:rsidR="00C01A94" w:rsidRPr="009072DA" w:rsidRDefault="00C01A94" w:rsidP="00C01A94">
            <w:pPr>
              <w:spacing w:before="120" w:after="120" w:line="240" w:lineRule="atLeast"/>
              <w:rPr>
                <w:rFonts w:cs="Arial"/>
                <w:sz w:val="18"/>
                <w:szCs w:val="18"/>
                <w:vertAlign w:val="superscript"/>
                <w:lang w:val="bg-BG"/>
              </w:rPr>
            </w:pPr>
            <w:r w:rsidRPr="009072DA">
              <w:rPr>
                <w:sz w:val="18"/>
                <w:lang w:val="bg-BG"/>
              </w:rPr>
              <w:t>1.4.2002 г.</w:t>
            </w:r>
          </w:p>
        </w:tc>
      </w:tr>
      <w:tr w:rsidR="00C01A94" w:rsidRPr="009072DA" w:rsidTr="0060199F">
        <w:trPr>
          <w:cantSplit/>
          <w:jc w:val="center"/>
        </w:trPr>
        <w:tc>
          <w:tcPr>
            <w:tcW w:w="1342" w:type="dxa"/>
            <w:tcBorders>
              <w:bottom w:val="single" w:sz="4" w:space="0" w:color="auto"/>
            </w:tcBorders>
            <w:shd w:val="clear" w:color="auto" w:fill="auto"/>
          </w:tcPr>
          <w:p w:rsidR="00C01A94" w:rsidRPr="009072DA" w:rsidRDefault="00C01A94" w:rsidP="00C01A94">
            <w:pPr>
              <w:spacing w:before="200" w:line="240" w:lineRule="atLeast"/>
              <w:rPr>
                <w:rFonts w:cs="Arial"/>
                <w:sz w:val="18"/>
                <w:szCs w:val="18"/>
                <w:lang w:val="bg-BG"/>
              </w:rPr>
            </w:pPr>
            <w:r w:rsidRPr="009072DA">
              <w:rPr>
                <w:sz w:val="18"/>
                <w:lang w:val="bg-BG"/>
              </w:rPr>
              <w:t>13.07</w:t>
            </w:r>
            <w:r w:rsidRPr="009072DA">
              <w:rPr>
                <w:color w:val="000000"/>
                <w:sz w:val="18"/>
                <w:vertAlign w:val="superscript"/>
                <w:lang w:val="bg-BG"/>
              </w:rPr>
              <w:footnoteReference w:id="41"/>
            </w:r>
          </w:p>
        </w:tc>
        <w:tc>
          <w:tcPr>
            <w:tcW w:w="1458" w:type="dxa"/>
            <w:tcBorders>
              <w:bottom w:val="single" w:sz="4" w:space="0" w:color="auto"/>
            </w:tcBorders>
            <w:shd w:val="clear" w:color="auto" w:fill="auto"/>
          </w:tcPr>
          <w:p w:rsidR="00C01A94" w:rsidRPr="009072DA" w:rsidRDefault="00C01A94" w:rsidP="00C01A94">
            <w:pPr>
              <w:spacing w:before="200" w:line="240" w:lineRule="atLeast"/>
              <w:rPr>
                <w:rFonts w:cs="Arial"/>
                <w:sz w:val="18"/>
                <w:szCs w:val="18"/>
                <w:lang w:val="bg-BG"/>
              </w:rPr>
            </w:pPr>
          </w:p>
        </w:tc>
        <w:tc>
          <w:tcPr>
            <w:tcW w:w="3296" w:type="dxa"/>
            <w:tcBorders>
              <w:bottom w:val="single" w:sz="4" w:space="0" w:color="auto"/>
            </w:tcBorders>
            <w:shd w:val="clear" w:color="auto" w:fill="auto"/>
          </w:tcPr>
          <w:p w:rsidR="00C01A94" w:rsidRPr="009072DA" w:rsidRDefault="00C01A94" w:rsidP="00C01A94">
            <w:pPr>
              <w:spacing w:before="200" w:line="240" w:lineRule="atLeast"/>
              <w:rPr>
                <w:rFonts w:cs="Arial"/>
                <w:sz w:val="18"/>
                <w:szCs w:val="18"/>
                <w:lang w:val="bg-BG"/>
              </w:rPr>
            </w:pPr>
            <w:r w:rsidRPr="009072DA">
              <w:rPr>
                <w:sz w:val="18"/>
                <w:lang w:val="bg-BG"/>
              </w:rPr>
              <w:t>Прилагане на европейския стандарт за корабна лодка</w:t>
            </w:r>
          </w:p>
        </w:tc>
        <w:tc>
          <w:tcPr>
            <w:tcW w:w="5387" w:type="dxa"/>
            <w:shd w:val="clear" w:color="auto" w:fill="auto"/>
          </w:tcPr>
          <w:p w:rsidR="00C01A94" w:rsidRPr="009072DA" w:rsidRDefault="00C01A94" w:rsidP="00C01A94">
            <w:pPr>
              <w:spacing w:before="2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200" w:line="240" w:lineRule="atLeast"/>
              <w:rPr>
                <w:rFonts w:cs="Arial"/>
                <w:sz w:val="18"/>
                <w:szCs w:val="18"/>
                <w:lang w:val="bg-BG"/>
              </w:rPr>
            </w:pPr>
            <w:r w:rsidRPr="009072DA">
              <w:rPr>
                <w:sz w:val="18"/>
                <w:lang w:val="bg-BG"/>
              </w:rPr>
              <w:t>1.1.2020 г.</w:t>
            </w:r>
          </w:p>
        </w:tc>
        <w:tc>
          <w:tcPr>
            <w:tcW w:w="1276" w:type="dxa"/>
          </w:tcPr>
          <w:p w:rsidR="00C01A94" w:rsidRPr="009072DA" w:rsidRDefault="00C01A94" w:rsidP="00C01A94">
            <w:pPr>
              <w:spacing w:before="200" w:line="240" w:lineRule="atLeast"/>
              <w:rPr>
                <w:rFonts w:cs="Arial"/>
                <w:sz w:val="18"/>
                <w:szCs w:val="18"/>
                <w:lang w:val="bg-BG"/>
              </w:rPr>
            </w:pPr>
            <w:r w:rsidRPr="009072DA">
              <w:rPr>
                <w:sz w:val="18"/>
                <w:lang w:val="bg-BG"/>
              </w:rPr>
              <w:t>1.10.2003 г.</w:t>
            </w:r>
          </w:p>
        </w:tc>
      </w:tr>
      <w:tr w:rsidR="00C01A94" w:rsidRPr="009072DA" w:rsidTr="0060199F">
        <w:trPr>
          <w:cantSplit/>
          <w:jc w:val="center"/>
        </w:trPr>
        <w:tc>
          <w:tcPr>
            <w:tcW w:w="1342" w:type="dxa"/>
            <w:tcBorders>
              <w:bottom w:val="nil"/>
            </w:tcBorders>
            <w:shd w:val="clear" w:color="auto" w:fill="auto"/>
          </w:tcPr>
          <w:p w:rsidR="00C01A94" w:rsidRPr="009072DA" w:rsidRDefault="00C01A94" w:rsidP="00C01A94">
            <w:pPr>
              <w:spacing w:before="200" w:line="240" w:lineRule="atLeast"/>
              <w:rPr>
                <w:rFonts w:cs="Arial"/>
                <w:sz w:val="18"/>
                <w:szCs w:val="18"/>
                <w:lang w:val="bg-BG"/>
              </w:rPr>
            </w:pPr>
            <w:r w:rsidRPr="009072DA">
              <w:rPr>
                <w:sz w:val="18"/>
                <w:lang w:val="bg-BG"/>
              </w:rPr>
              <w:t>13.08</w:t>
            </w:r>
          </w:p>
        </w:tc>
        <w:tc>
          <w:tcPr>
            <w:tcW w:w="1458" w:type="dxa"/>
            <w:tcBorders>
              <w:bottom w:val="nil"/>
            </w:tcBorders>
            <w:shd w:val="clear" w:color="auto" w:fill="auto"/>
          </w:tcPr>
          <w:p w:rsidR="00C01A94" w:rsidRPr="009072DA" w:rsidRDefault="00C01A94" w:rsidP="00C01A94">
            <w:pPr>
              <w:spacing w:before="200" w:line="240" w:lineRule="atLeast"/>
              <w:rPr>
                <w:rFonts w:cs="Arial"/>
                <w:sz w:val="18"/>
                <w:szCs w:val="18"/>
                <w:lang w:val="bg-BG"/>
              </w:rPr>
            </w:pPr>
            <w:r w:rsidRPr="009072DA">
              <w:rPr>
                <w:sz w:val="18"/>
                <w:lang w:val="bg-BG"/>
              </w:rPr>
              <w:t>Точка 2</w:t>
            </w:r>
          </w:p>
        </w:tc>
        <w:tc>
          <w:tcPr>
            <w:tcW w:w="3296" w:type="dxa"/>
            <w:tcBorders>
              <w:bottom w:val="nil"/>
            </w:tcBorders>
            <w:shd w:val="clear" w:color="auto" w:fill="auto"/>
          </w:tcPr>
          <w:p w:rsidR="00C01A94" w:rsidRPr="009072DA" w:rsidRDefault="00C01A94" w:rsidP="00C01A94">
            <w:pPr>
              <w:spacing w:before="200" w:line="240" w:lineRule="atLeast"/>
              <w:rPr>
                <w:rFonts w:cs="Arial"/>
                <w:sz w:val="18"/>
                <w:szCs w:val="18"/>
                <w:lang w:val="bg-BG"/>
              </w:rPr>
            </w:pPr>
            <w:r w:rsidRPr="009072DA">
              <w:rPr>
                <w:sz w:val="18"/>
                <w:lang w:val="bg-BG"/>
              </w:rPr>
              <w:t>Надуваеми спасителни жилетки</w:t>
            </w:r>
          </w:p>
        </w:tc>
        <w:tc>
          <w:tcPr>
            <w:tcW w:w="5387" w:type="dxa"/>
            <w:shd w:val="clear" w:color="auto" w:fill="auto"/>
          </w:tcPr>
          <w:p w:rsidR="00C01A94" w:rsidRPr="009072DA" w:rsidRDefault="00C01A94" w:rsidP="00C01A94">
            <w:pPr>
              <w:spacing w:before="2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200" w:line="240" w:lineRule="atLeast"/>
              <w:rPr>
                <w:rFonts w:cs="Arial"/>
                <w:sz w:val="18"/>
                <w:szCs w:val="18"/>
                <w:lang w:val="bg-BG"/>
              </w:rPr>
            </w:pPr>
            <w:r w:rsidRPr="009072DA">
              <w:rPr>
                <w:sz w:val="18"/>
                <w:lang w:val="bg-BG"/>
              </w:rPr>
              <w:t>1.1.2010 г.</w:t>
            </w:r>
          </w:p>
        </w:tc>
        <w:tc>
          <w:tcPr>
            <w:tcW w:w="1276" w:type="dxa"/>
          </w:tcPr>
          <w:p w:rsidR="00C01A94" w:rsidRPr="009072DA" w:rsidRDefault="00C01A94" w:rsidP="00C01A94">
            <w:pPr>
              <w:spacing w:before="200" w:line="240" w:lineRule="atLeast"/>
              <w:rPr>
                <w:rFonts w:cs="Arial"/>
                <w:sz w:val="18"/>
                <w:szCs w:val="18"/>
                <w:lang w:val="bg-BG"/>
              </w:rPr>
            </w:pPr>
            <w:r w:rsidRPr="009072DA">
              <w:rPr>
                <w:sz w:val="18"/>
                <w:lang w:val="bg-BG"/>
              </w:rPr>
              <w:t>1.10.2003 г.</w:t>
            </w:r>
          </w:p>
        </w:tc>
      </w:tr>
      <w:tr w:rsidR="00C01A94" w:rsidRPr="009072DA" w:rsidTr="0060199F">
        <w:trPr>
          <w:cantSplit/>
          <w:jc w:val="center"/>
        </w:trPr>
        <w:tc>
          <w:tcPr>
            <w:tcW w:w="1342" w:type="dxa"/>
            <w:tcBorders>
              <w:top w:val="nil"/>
            </w:tcBorders>
            <w:shd w:val="clear" w:color="auto" w:fill="auto"/>
          </w:tcPr>
          <w:p w:rsidR="00C01A94" w:rsidRPr="009072DA" w:rsidRDefault="00C01A94" w:rsidP="00C01A94">
            <w:pPr>
              <w:spacing w:before="200" w:line="240" w:lineRule="atLeast"/>
              <w:rPr>
                <w:rFonts w:cs="Arial"/>
                <w:sz w:val="18"/>
                <w:szCs w:val="18"/>
                <w:lang w:val="bg-BG"/>
              </w:rPr>
            </w:pPr>
          </w:p>
        </w:tc>
        <w:tc>
          <w:tcPr>
            <w:tcW w:w="1458" w:type="dxa"/>
            <w:tcBorders>
              <w:top w:val="nil"/>
            </w:tcBorders>
            <w:shd w:val="clear" w:color="auto" w:fill="auto"/>
          </w:tcPr>
          <w:p w:rsidR="00C01A94" w:rsidRPr="009072DA" w:rsidRDefault="00C01A94" w:rsidP="00C01A94">
            <w:pPr>
              <w:spacing w:before="200" w:line="240" w:lineRule="atLeast"/>
              <w:rPr>
                <w:rFonts w:cs="Arial"/>
                <w:sz w:val="18"/>
                <w:szCs w:val="18"/>
                <w:lang w:val="bg-BG"/>
              </w:rPr>
            </w:pPr>
          </w:p>
        </w:tc>
        <w:tc>
          <w:tcPr>
            <w:tcW w:w="3296" w:type="dxa"/>
            <w:tcBorders>
              <w:top w:val="nil"/>
            </w:tcBorders>
            <w:shd w:val="clear" w:color="auto" w:fill="auto"/>
          </w:tcPr>
          <w:p w:rsidR="00C01A94" w:rsidRPr="009072DA" w:rsidRDefault="00C01A94" w:rsidP="00C01A94">
            <w:pPr>
              <w:spacing w:before="200" w:line="240" w:lineRule="atLeast"/>
              <w:rPr>
                <w:rFonts w:cs="Arial"/>
                <w:sz w:val="18"/>
                <w:szCs w:val="18"/>
                <w:lang w:val="bg-BG"/>
              </w:rPr>
            </w:pPr>
          </w:p>
        </w:tc>
        <w:tc>
          <w:tcPr>
            <w:tcW w:w="5387" w:type="dxa"/>
            <w:shd w:val="clear" w:color="auto" w:fill="auto"/>
          </w:tcPr>
          <w:p w:rsidR="00C01A94" w:rsidRPr="009072DA" w:rsidRDefault="00C01A94" w:rsidP="00C01A94">
            <w:pPr>
              <w:spacing w:before="200" w:line="240" w:lineRule="atLeast"/>
              <w:rPr>
                <w:rFonts w:cs="Arial"/>
                <w:sz w:val="18"/>
                <w:szCs w:val="18"/>
                <w:lang w:val="bg-BG"/>
              </w:rPr>
            </w:pPr>
            <w:r w:rsidRPr="009072DA">
              <w:rPr>
                <w:sz w:val="18"/>
                <w:lang w:val="bg-BG"/>
              </w:rPr>
              <w:t>Спасителните жилетки, които са се намирали на борда на 30.9.2003 г., могат да се използват до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200" w:line="240" w:lineRule="atLeast"/>
              <w:rPr>
                <w:rFonts w:cs="Arial"/>
                <w:sz w:val="18"/>
                <w:szCs w:val="18"/>
                <w:lang w:val="bg-BG"/>
              </w:rPr>
            </w:pPr>
            <w:r w:rsidRPr="009072DA">
              <w:rPr>
                <w:sz w:val="18"/>
                <w:lang w:val="bg-BG"/>
              </w:rPr>
              <w:t>1.1.2010 г.</w:t>
            </w:r>
          </w:p>
        </w:tc>
        <w:tc>
          <w:tcPr>
            <w:tcW w:w="1276" w:type="dxa"/>
          </w:tcPr>
          <w:p w:rsidR="00C01A94" w:rsidRPr="009072DA" w:rsidRDefault="00C01A94" w:rsidP="00C01A94">
            <w:pPr>
              <w:spacing w:before="200" w:line="240" w:lineRule="atLeast"/>
              <w:rPr>
                <w:rFonts w:cs="Arial"/>
                <w:sz w:val="18"/>
                <w:szCs w:val="18"/>
                <w:lang w:val="bg-BG"/>
              </w:rPr>
            </w:pPr>
            <w:r w:rsidRPr="009072DA">
              <w:rPr>
                <w:sz w:val="18"/>
                <w:lang w:val="bg-BG"/>
              </w:rPr>
              <w:t>1.10.2003 г.</w:t>
            </w:r>
          </w:p>
        </w:tc>
      </w:tr>
      <w:tr w:rsidR="00C01A94" w:rsidRPr="009072DA" w:rsidTr="00E67DA4">
        <w:trPr>
          <w:cantSplit/>
          <w:jc w:val="center"/>
        </w:trPr>
        <w:tc>
          <w:tcPr>
            <w:tcW w:w="6096" w:type="dxa"/>
            <w:gridSpan w:val="3"/>
            <w:shd w:val="clear" w:color="auto" w:fill="auto"/>
          </w:tcPr>
          <w:p w:rsidR="00C01A94" w:rsidRPr="009072DA" w:rsidRDefault="00C01A94" w:rsidP="00C01A94">
            <w:pPr>
              <w:spacing w:before="200" w:line="240" w:lineRule="atLeast"/>
              <w:jc w:val="center"/>
              <w:rPr>
                <w:rFonts w:cs="Arial"/>
                <w:sz w:val="18"/>
                <w:szCs w:val="18"/>
                <w:lang w:val="bg-BG"/>
              </w:rPr>
            </w:pPr>
            <w:r w:rsidRPr="009072DA">
              <w:rPr>
                <w:b/>
                <w:sz w:val="18"/>
                <w:lang w:val="bg-BG"/>
              </w:rPr>
              <w:t>ГЛАВА 14</w:t>
            </w:r>
          </w:p>
        </w:tc>
        <w:tc>
          <w:tcPr>
            <w:tcW w:w="5387" w:type="dxa"/>
            <w:shd w:val="clear" w:color="auto" w:fill="auto"/>
          </w:tcPr>
          <w:p w:rsidR="00C01A94" w:rsidRPr="009072DA" w:rsidRDefault="00C01A94" w:rsidP="00C01A94">
            <w:pPr>
              <w:spacing w:before="200" w:line="240" w:lineRule="atLeast"/>
              <w:rPr>
                <w:rFonts w:cs="Arial"/>
                <w:sz w:val="18"/>
                <w:szCs w:val="18"/>
                <w:lang w:val="bg-BG"/>
              </w:rPr>
            </w:pPr>
          </w:p>
        </w:tc>
        <w:tc>
          <w:tcPr>
            <w:tcW w:w="1276" w:type="dxa"/>
            <w:shd w:val="clear" w:color="auto" w:fill="auto"/>
          </w:tcPr>
          <w:p w:rsidR="00C01A94" w:rsidRPr="009072DA" w:rsidRDefault="00C01A94" w:rsidP="00C01A94">
            <w:pPr>
              <w:spacing w:before="200" w:line="240" w:lineRule="atLeast"/>
              <w:rPr>
                <w:rFonts w:cs="Arial"/>
                <w:sz w:val="18"/>
                <w:szCs w:val="18"/>
                <w:lang w:val="bg-BG"/>
              </w:rPr>
            </w:pPr>
          </w:p>
        </w:tc>
        <w:tc>
          <w:tcPr>
            <w:tcW w:w="1276" w:type="dxa"/>
          </w:tcPr>
          <w:p w:rsidR="00C01A94" w:rsidRPr="009072DA" w:rsidRDefault="00C01A94" w:rsidP="00C01A94">
            <w:pPr>
              <w:spacing w:before="200" w:line="240" w:lineRule="atLeast"/>
              <w:rPr>
                <w:rFonts w:cs="Arial"/>
                <w:sz w:val="18"/>
                <w:szCs w:val="18"/>
                <w:lang w:val="bg-BG"/>
              </w:rPr>
            </w:pPr>
          </w:p>
        </w:tc>
      </w:tr>
      <w:tr w:rsidR="00C01A94" w:rsidRPr="009072DA" w:rsidTr="00E67DA4">
        <w:trPr>
          <w:cantSplit/>
          <w:jc w:val="center"/>
        </w:trPr>
        <w:tc>
          <w:tcPr>
            <w:tcW w:w="1342" w:type="dxa"/>
            <w:tcBorders>
              <w:bottom w:val="nil"/>
            </w:tcBorders>
            <w:shd w:val="clear" w:color="auto" w:fill="auto"/>
          </w:tcPr>
          <w:p w:rsidR="00C01A94" w:rsidRPr="009072DA" w:rsidRDefault="00C01A94" w:rsidP="00A5038C">
            <w:pPr>
              <w:spacing w:before="240" w:after="240" w:line="240" w:lineRule="atLeast"/>
              <w:rPr>
                <w:rFonts w:cs="Arial"/>
                <w:sz w:val="18"/>
                <w:szCs w:val="18"/>
                <w:lang w:val="bg-BG"/>
              </w:rPr>
            </w:pPr>
            <w:r w:rsidRPr="009072DA">
              <w:rPr>
                <w:sz w:val="18"/>
                <w:lang w:val="bg-BG"/>
              </w:rPr>
              <w:t>14.02</w:t>
            </w:r>
          </w:p>
        </w:tc>
        <w:tc>
          <w:tcPr>
            <w:tcW w:w="1458" w:type="dxa"/>
            <w:tcBorders>
              <w:bottom w:val="nil"/>
            </w:tcBorders>
            <w:shd w:val="clear" w:color="auto" w:fill="auto"/>
          </w:tcPr>
          <w:p w:rsidR="00C01A94" w:rsidRPr="009072DA" w:rsidRDefault="00C01A94" w:rsidP="00A5038C">
            <w:pPr>
              <w:spacing w:before="240" w:after="24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D429D9" w:rsidP="00A5038C">
            <w:pPr>
              <w:spacing w:before="240" w:after="240" w:line="240" w:lineRule="atLeast"/>
              <w:rPr>
                <w:rFonts w:cs="Arial"/>
                <w:sz w:val="18"/>
                <w:szCs w:val="18"/>
                <w:lang w:val="bg-BG"/>
              </w:rPr>
            </w:pPr>
            <w:r w:rsidRPr="009072DA">
              <w:rPr>
                <w:sz w:val="18"/>
                <w:lang w:val="bg-BG"/>
              </w:rPr>
              <w:t>Оборудване на външните краища на палуби, палубните проходи и други работни места</w:t>
            </w:r>
          </w:p>
        </w:tc>
        <w:tc>
          <w:tcPr>
            <w:tcW w:w="5387" w:type="dxa"/>
            <w:shd w:val="clear" w:color="auto" w:fill="auto"/>
          </w:tcPr>
          <w:p w:rsidR="00C01A94" w:rsidRPr="009072DA" w:rsidRDefault="00C01A94" w:rsidP="00A5038C">
            <w:pPr>
              <w:spacing w:before="240" w:after="24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A5038C">
            <w:pPr>
              <w:spacing w:before="240" w:after="240" w:line="240" w:lineRule="atLeast"/>
              <w:rPr>
                <w:rFonts w:cs="Arial"/>
                <w:sz w:val="18"/>
                <w:szCs w:val="18"/>
                <w:lang w:val="bg-BG"/>
              </w:rPr>
            </w:pPr>
          </w:p>
        </w:tc>
        <w:tc>
          <w:tcPr>
            <w:tcW w:w="1276" w:type="dxa"/>
          </w:tcPr>
          <w:p w:rsidR="00C01A94" w:rsidRPr="009072DA" w:rsidRDefault="00D429D9" w:rsidP="00A5038C">
            <w:pPr>
              <w:spacing w:before="240" w:after="240" w:line="240" w:lineRule="atLeast"/>
              <w:rPr>
                <w:rFonts w:cs="Arial"/>
                <w:sz w:val="18"/>
                <w:szCs w:val="18"/>
                <w:lang w:val="bg-BG"/>
              </w:rPr>
            </w:pPr>
            <w:r w:rsidRPr="009072DA">
              <w:rPr>
                <w:sz w:val="18"/>
                <w:lang w:val="bg-BG"/>
              </w:rPr>
              <w:t>7.10.2018 г.</w:t>
            </w:r>
          </w:p>
        </w:tc>
      </w:tr>
      <w:tr w:rsidR="00C01A94" w:rsidRPr="009072DA" w:rsidTr="00E67DA4">
        <w:trPr>
          <w:cantSplit/>
          <w:jc w:val="center"/>
        </w:trPr>
        <w:tc>
          <w:tcPr>
            <w:tcW w:w="1342" w:type="dxa"/>
            <w:shd w:val="clear" w:color="auto" w:fill="auto"/>
          </w:tcPr>
          <w:p w:rsidR="00C01A94" w:rsidRPr="009072DA" w:rsidRDefault="00C01A94" w:rsidP="00C01A94">
            <w:pPr>
              <w:spacing w:before="200" w:line="240" w:lineRule="atLeast"/>
              <w:rPr>
                <w:rFonts w:cs="Arial"/>
                <w:sz w:val="18"/>
                <w:szCs w:val="18"/>
                <w:lang w:val="bg-BG"/>
              </w:rPr>
            </w:pPr>
            <w:r w:rsidRPr="009072DA">
              <w:rPr>
                <w:sz w:val="18"/>
                <w:lang w:val="bg-BG"/>
              </w:rPr>
              <w:t>14.04</w:t>
            </w:r>
          </w:p>
        </w:tc>
        <w:tc>
          <w:tcPr>
            <w:tcW w:w="1458" w:type="dxa"/>
            <w:shd w:val="clear" w:color="auto" w:fill="auto"/>
          </w:tcPr>
          <w:p w:rsidR="00C01A94" w:rsidRPr="009072DA" w:rsidRDefault="00C01A94" w:rsidP="00D429D9">
            <w:pPr>
              <w:spacing w:before="20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C01A94">
            <w:pPr>
              <w:spacing w:before="200" w:line="240" w:lineRule="atLeast"/>
              <w:rPr>
                <w:rFonts w:cs="Arial"/>
                <w:sz w:val="18"/>
                <w:szCs w:val="18"/>
                <w:lang w:val="bg-BG"/>
              </w:rPr>
            </w:pPr>
            <w:r w:rsidRPr="009072DA">
              <w:rPr>
                <w:sz w:val="18"/>
                <w:lang w:val="bg-BG"/>
              </w:rPr>
              <w:t>Мантинели на палубния проход</w:t>
            </w:r>
          </w:p>
        </w:tc>
        <w:tc>
          <w:tcPr>
            <w:tcW w:w="5387" w:type="dxa"/>
            <w:shd w:val="clear" w:color="auto" w:fill="auto"/>
          </w:tcPr>
          <w:p w:rsidR="00C01A94" w:rsidRPr="009072DA" w:rsidRDefault="00D429D9" w:rsidP="00C01A94">
            <w:pPr>
              <w:spacing w:before="20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200" w:line="240" w:lineRule="atLeast"/>
              <w:rPr>
                <w:rFonts w:cs="Arial"/>
                <w:sz w:val="18"/>
                <w:szCs w:val="18"/>
                <w:lang w:val="bg-BG"/>
              </w:rPr>
            </w:pPr>
          </w:p>
        </w:tc>
        <w:tc>
          <w:tcPr>
            <w:tcW w:w="1276" w:type="dxa"/>
          </w:tcPr>
          <w:p w:rsidR="00C01A94" w:rsidRPr="009072DA" w:rsidRDefault="00D429D9" w:rsidP="00C01A94">
            <w:pPr>
              <w:spacing w:before="200" w:line="240" w:lineRule="atLeast"/>
              <w:rPr>
                <w:rFonts w:cs="Arial"/>
                <w:sz w:val="18"/>
                <w:szCs w:val="18"/>
                <w:lang w:val="bg-BG"/>
              </w:rPr>
            </w:pPr>
            <w:r w:rsidRPr="009072DA">
              <w:rPr>
                <w:sz w:val="18"/>
                <w:lang w:val="bg-BG"/>
              </w:rPr>
              <w:t>7.10.2018 г.</w:t>
            </w:r>
          </w:p>
        </w:tc>
      </w:tr>
      <w:tr w:rsidR="00C01A94" w:rsidRPr="009072DA" w:rsidTr="00E67DA4">
        <w:trPr>
          <w:cantSplit/>
          <w:jc w:val="center"/>
        </w:trPr>
        <w:tc>
          <w:tcPr>
            <w:tcW w:w="1342" w:type="dxa"/>
            <w:shd w:val="clear" w:color="auto" w:fill="auto"/>
          </w:tcPr>
          <w:p w:rsidR="00C01A94" w:rsidRPr="009072DA" w:rsidRDefault="00C01A94" w:rsidP="00C01A94">
            <w:pPr>
              <w:spacing w:before="200" w:line="240" w:lineRule="atLeast"/>
              <w:rPr>
                <w:rFonts w:cs="Arial"/>
                <w:sz w:val="18"/>
                <w:szCs w:val="18"/>
                <w:lang w:val="bg-BG"/>
              </w:rPr>
            </w:pPr>
            <w:r w:rsidRPr="009072DA">
              <w:rPr>
                <w:sz w:val="18"/>
                <w:lang w:val="bg-BG"/>
              </w:rPr>
              <w:t>14.12</w:t>
            </w:r>
          </w:p>
        </w:tc>
        <w:tc>
          <w:tcPr>
            <w:tcW w:w="1458" w:type="dxa"/>
            <w:shd w:val="clear" w:color="auto" w:fill="auto"/>
          </w:tcPr>
          <w:p w:rsidR="00C01A94" w:rsidRPr="009072DA" w:rsidRDefault="00C01A94" w:rsidP="00C01A94">
            <w:pPr>
              <w:spacing w:before="200" w:line="240" w:lineRule="atLeast"/>
              <w:rPr>
                <w:rFonts w:cs="Arial"/>
                <w:sz w:val="18"/>
                <w:szCs w:val="18"/>
                <w:lang w:val="bg-BG"/>
              </w:rPr>
            </w:pPr>
            <w:r w:rsidRPr="009072DA">
              <w:rPr>
                <w:sz w:val="18"/>
                <w:lang w:val="bg-BG"/>
              </w:rPr>
              <w:t>Точки 2, 4, 5 и 9</w:t>
            </w:r>
            <w:r w:rsidRPr="009072DA">
              <w:rPr>
                <w:snapToGrid w:val="0"/>
                <w:color w:val="000000"/>
                <w:sz w:val="18"/>
                <w:vertAlign w:val="superscript"/>
                <w:lang w:val="bg-BG"/>
              </w:rPr>
              <w:t xml:space="preserve"> </w:t>
            </w:r>
          </w:p>
        </w:tc>
        <w:tc>
          <w:tcPr>
            <w:tcW w:w="3296" w:type="dxa"/>
            <w:shd w:val="clear" w:color="auto" w:fill="auto"/>
          </w:tcPr>
          <w:p w:rsidR="00C01A94" w:rsidRPr="009072DA" w:rsidRDefault="00C01A94" w:rsidP="00C01A94">
            <w:pPr>
              <w:spacing w:before="200" w:line="240" w:lineRule="atLeast"/>
              <w:rPr>
                <w:rFonts w:cs="Arial"/>
                <w:sz w:val="18"/>
                <w:szCs w:val="18"/>
                <w:lang w:val="bg-BG"/>
              </w:rPr>
            </w:pPr>
            <w:r w:rsidRPr="009072DA">
              <w:rPr>
                <w:sz w:val="18"/>
                <w:lang w:val="bg-BG"/>
              </w:rPr>
              <w:t>Табелка на производителя, предпазни устройства, корабни документи</w:t>
            </w:r>
          </w:p>
        </w:tc>
        <w:tc>
          <w:tcPr>
            <w:tcW w:w="5387" w:type="dxa"/>
            <w:shd w:val="clear" w:color="auto" w:fill="auto"/>
          </w:tcPr>
          <w:p w:rsidR="00C01A94" w:rsidRPr="009072DA" w:rsidRDefault="00C01A94" w:rsidP="00C01A94">
            <w:pPr>
              <w:spacing w:before="2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200" w:line="240" w:lineRule="atLeast"/>
              <w:rPr>
                <w:rFonts w:cs="Arial"/>
                <w:sz w:val="18"/>
                <w:szCs w:val="18"/>
                <w:lang w:val="bg-BG"/>
              </w:rPr>
            </w:pPr>
            <w:r w:rsidRPr="009072DA">
              <w:rPr>
                <w:sz w:val="18"/>
                <w:lang w:val="bg-BG"/>
              </w:rPr>
              <w:t>1.1.2020 г.</w:t>
            </w:r>
          </w:p>
        </w:tc>
        <w:tc>
          <w:tcPr>
            <w:tcW w:w="1276" w:type="dxa"/>
          </w:tcPr>
          <w:p w:rsidR="00C01A94" w:rsidRPr="009072DA" w:rsidRDefault="00C01A94" w:rsidP="00C01A94">
            <w:pPr>
              <w:spacing w:before="200" w:line="240" w:lineRule="atLeast"/>
              <w:rPr>
                <w:rFonts w:cs="Arial"/>
                <w:sz w:val="18"/>
                <w:szCs w:val="18"/>
                <w:lang w:val="bg-BG"/>
              </w:rPr>
            </w:pPr>
            <w:r w:rsidRPr="009072DA">
              <w:rPr>
                <w:sz w:val="18"/>
                <w:lang w:val="bg-BG"/>
              </w:rPr>
              <w:t>1.12.2011 г.</w:t>
            </w:r>
          </w:p>
        </w:tc>
      </w:tr>
      <w:tr w:rsidR="00C01A94" w:rsidRPr="009072DA" w:rsidTr="00E67DA4">
        <w:trPr>
          <w:cantSplit/>
          <w:trHeight w:val="70"/>
          <w:jc w:val="center"/>
        </w:trPr>
        <w:tc>
          <w:tcPr>
            <w:tcW w:w="6096" w:type="dxa"/>
            <w:gridSpan w:val="3"/>
            <w:shd w:val="clear" w:color="auto" w:fill="auto"/>
          </w:tcPr>
          <w:p w:rsidR="00C01A94" w:rsidRPr="009072DA" w:rsidRDefault="00C01A94" w:rsidP="00C01A94">
            <w:pPr>
              <w:spacing w:before="60" w:after="60" w:line="240" w:lineRule="atLeast"/>
              <w:jc w:val="center"/>
              <w:rPr>
                <w:rFonts w:cs="Arial"/>
                <w:b/>
                <w:sz w:val="18"/>
                <w:szCs w:val="18"/>
                <w:lang w:val="bg-BG"/>
              </w:rPr>
            </w:pPr>
            <w:r w:rsidRPr="009072DA">
              <w:rPr>
                <w:b/>
                <w:sz w:val="18"/>
                <w:lang w:val="bg-BG"/>
              </w:rPr>
              <w:t>ГЛАВА 18</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p>
        </w:tc>
        <w:tc>
          <w:tcPr>
            <w:tcW w:w="1276" w:type="dxa"/>
          </w:tcPr>
          <w:p w:rsidR="00C01A94" w:rsidRPr="009072DA" w:rsidRDefault="00C01A94" w:rsidP="00C01A94">
            <w:pPr>
              <w:spacing w:before="60" w:after="60" w:line="240" w:lineRule="atLeast"/>
              <w:rPr>
                <w:rFonts w:cs="Arial"/>
                <w:sz w:val="18"/>
                <w:szCs w:val="18"/>
                <w:lang w:val="bg-BG"/>
              </w:rPr>
            </w:pPr>
          </w:p>
        </w:tc>
      </w:tr>
      <w:tr w:rsidR="00C01A94" w:rsidRPr="009072DA" w:rsidTr="00E67DA4">
        <w:trPr>
          <w:cantSplit/>
          <w:jc w:val="center"/>
        </w:trPr>
        <w:tc>
          <w:tcPr>
            <w:tcW w:w="1342" w:type="dxa"/>
            <w:vMerge w:val="restart"/>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18.01</w:t>
            </w:r>
          </w:p>
        </w:tc>
        <w:tc>
          <w:tcPr>
            <w:tcW w:w="1458" w:type="dxa"/>
            <w:vMerge w:val="restart"/>
            <w:shd w:val="clear" w:color="auto" w:fill="auto"/>
          </w:tcPr>
          <w:p w:rsidR="00C01A94" w:rsidRPr="009072DA" w:rsidRDefault="00C01A94" w:rsidP="00C01A94">
            <w:pPr>
              <w:adjustRightInd w:val="0"/>
              <w:spacing w:before="60" w:after="60" w:line="240" w:lineRule="atLeast"/>
              <w:ind w:right="-108"/>
              <w:rPr>
                <w:rFonts w:cs="Arial"/>
                <w:sz w:val="18"/>
                <w:szCs w:val="18"/>
                <w:lang w:val="bg-BG"/>
              </w:rPr>
            </w:pPr>
            <w:r w:rsidRPr="009072DA">
              <w:rPr>
                <w:sz w:val="18"/>
                <w:lang w:val="bg-BG"/>
              </w:rPr>
              <w:t>Точка 2, таблици 1 и 2, и точка 5</w:t>
            </w:r>
          </w:p>
        </w:tc>
        <w:tc>
          <w:tcPr>
            <w:tcW w:w="3296" w:type="dxa"/>
            <w:vMerge w:val="restart"/>
            <w:shd w:val="clear" w:color="auto" w:fill="auto"/>
          </w:tcPr>
          <w:p w:rsidR="00C01A94" w:rsidRPr="009072DA" w:rsidRDefault="00C01A94" w:rsidP="00C01A94">
            <w:pPr>
              <w:adjustRightInd w:val="0"/>
              <w:spacing w:before="60" w:after="60" w:line="240" w:lineRule="atLeast"/>
              <w:rPr>
                <w:rFonts w:cs="Arial"/>
                <w:sz w:val="18"/>
                <w:szCs w:val="18"/>
                <w:lang w:val="bg-BG"/>
              </w:rPr>
            </w:pPr>
            <w:r w:rsidRPr="009072DA">
              <w:rPr>
                <w:sz w:val="18"/>
                <w:lang w:val="bg-BG"/>
              </w:rPr>
              <w:t>Пределни/контролни стойности и одобрения на типа</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при условие че</w:t>
            </w:r>
          </w:p>
          <w:p w:rsidR="00C01A94" w:rsidRPr="009072DA" w:rsidRDefault="00C01A94" w:rsidP="00C01A94">
            <w:pPr>
              <w:spacing w:before="60" w:after="60" w:line="240" w:lineRule="atLeast"/>
              <w:ind w:left="317" w:hanging="317"/>
              <w:rPr>
                <w:rFonts w:cs="Arial"/>
                <w:sz w:val="18"/>
                <w:szCs w:val="18"/>
                <w:lang w:val="bg-BG"/>
              </w:rPr>
            </w:pPr>
            <w:r w:rsidRPr="009072DA">
              <w:rPr>
                <w:sz w:val="18"/>
                <w:lang w:val="bg-BG"/>
              </w:rPr>
              <w:t>a)</w:t>
            </w:r>
            <w:r w:rsidRPr="009072DA">
              <w:rPr>
                <w:lang w:val="bg-BG"/>
              </w:rPr>
              <w:tab/>
            </w:r>
            <w:r w:rsidRPr="009072DA">
              <w:rPr>
                <w:sz w:val="18"/>
                <w:lang w:val="bg-BG"/>
              </w:rPr>
              <w:t>пределните и контролните стойности не надвишават стойностите съгласно етап II с повече от фактор 2,</w:t>
            </w:r>
          </w:p>
          <w:p w:rsidR="00C01A94" w:rsidRPr="009072DA" w:rsidRDefault="00C01A94" w:rsidP="00C01A94">
            <w:pPr>
              <w:spacing w:before="60" w:after="60" w:line="240" w:lineRule="atLeast"/>
              <w:ind w:left="317" w:hanging="317"/>
              <w:rPr>
                <w:rFonts w:cs="Arial"/>
                <w:sz w:val="18"/>
                <w:szCs w:val="18"/>
                <w:lang w:val="bg-BG"/>
              </w:rPr>
            </w:pPr>
            <w:r w:rsidRPr="009072DA">
              <w:rPr>
                <w:sz w:val="18"/>
                <w:lang w:val="bg-BG"/>
              </w:rPr>
              <w:t>б)</w:t>
            </w:r>
            <w:r w:rsidRPr="009072DA">
              <w:rPr>
                <w:lang w:val="bg-BG"/>
              </w:rPr>
              <w:tab/>
            </w:r>
            <w:r w:rsidRPr="009072DA">
              <w:rPr>
                <w:sz w:val="18"/>
                <w:lang w:val="bg-BG"/>
              </w:rPr>
              <w:t>бордовата станция за пречистване на отпадъчни води има сертификат от производителя или от експерт, който потвърждава, че тя може да се справи с обичайните видове натоварване на борда на плавателното средство и</w:t>
            </w:r>
          </w:p>
          <w:p w:rsidR="00C01A94" w:rsidRPr="009072DA" w:rsidRDefault="00C01A94" w:rsidP="00C01A94">
            <w:pPr>
              <w:adjustRightInd w:val="0"/>
              <w:spacing w:before="60" w:after="60" w:line="240" w:lineRule="atLeast"/>
              <w:ind w:left="318" w:hanging="318"/>
              <w:rPr>
                <w:rFonts w:cs="Arial"/>
                <w:sz w:val="18"/>
                <w:szCs w:val="18"/>
                <w:lang w:val="bg-BG"/>
              </w:rPr>
            </w:pPr>
            <w:r w:rsidRPr="009072DA">
              <w:rPr>
                <w:sz w:val="18"/>
                <w:lang w:val="bg-BG"/>
              </w:rPr>
              <w:t>в)</w:t>
            </w:r>
            <w:r w:rsidRPr="009072DA">
              <w:rPr>
                <w:lang w:val="bg-BG"/>
              </w:rPr>
              <w:tab/>
            </w:r>
            <w:r w:rsidRPr="009072DA">
              <w:rPr>
                <w:sz w:val="18"/>
                <w:lang w:val="bg-BG"/>
              </w:rPr>
              <w:t>за нея е налице система за управление на утайките от отпадъчните води, която е подходяща за условията на експлоатация на бордовата станция за пречистване на отпадъчни води на борда на пътнически плавателен съд.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1.12.2011 г.</w:t>
            </w:r>
          </w:p>
        </w:tc>
      </w:tr>
      <w:tr w:rsidR="00C01A94" w:rsidRPr="009072DA" w:rsidTr="00E67DA4">
        <w:trPr>
          <w:cantSplit/>
          <w:jc w:val="center"/>
        </w:trPr>
        <w:tc>
          <w:tcPr>
            <w:tcW w:w="1342" w:type="dxa"/>
            <w:vMerge/>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vMerge/>
            <w:shd w:val="clear" w:color="auto" w:fill="auto"/>
          </w:tcPr>
          <w:p w:rsidR="00C01A94" w:rsidRPr="009072DA" w:rsidRDefault="00C01A94" w:rsidP="00C01A94">
            <w:pPr>
              <w:spacing w:before="60" w:after="60" w:line="240" w:lineRule="atLeast"/>
              <w:rPr>
                <w:rFonts w:cs="Arial"/>
                <w:sz w:val="18"/>
                <w:szCs w:val="18"/>
                <w:lang w:val="bg-BG"/>
              </w:rPr>
            </w:pPr>
          </w:p>
        </w:tc>
        <w:tc>
          <w:tcPr>
            <w:tcW w:w="3296" w:type="dxa"/>
            <w:vMerge/>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Бордови станции за пречистване на отпадъчни води, които са одобрени на или след 1 декември 2011 г. съгласно изискванията на Резолюция 2010-II-27 на ЦККР (етап II), могат да продължат да бъдат монтирани и използвани.</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7.10.2018 г.</w:t>
            </w:r>
          </w:p>
        </w:tc>
      </w:tr>
      <w:tr w:rsidR="00C01A94" w:rsidRPr="009072DA" w:rsidTr="00E67DA4">
        <w:trPr>
          <w:cantSplit/>
          <w:jc w:val="center"/>
        </w:trPr>
        <w:tc>
          <w:tcPr>
            <w:tcW w:w="1342" w:type="dxa"/>
            <w:vMerge/>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vMerge/>
            <w:shd w:val="clear" w:color="auto" w:fill="auto"/>
          </w:tcPr>
          <w:p w:rsidR="00C01A94" w:rsidRPr="009072DA" w:rsidRDefault="00C01A94" w:rsidP="00C01A94">
            <w:pPr>
              <w:spacing w:before="60" w:after="60" w:line="240" w:lineRule="atLeast"/>
              <w:rPr>
                <w:rFonts w:cs="Arial"/>
                <w:sz w:val="18"/>
                <w:szCs w:val="18"/>
                <w:lang w:val="bg-BG"/>
              </w:rPr>
            </w:pPr>
          </w:p>
        </w:tc>
        <w:tc>
          <w:tcPr>
            <w:tcW w:w="3296" w:type="dxa"/>
            <w:vMerge/>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Бордови станции за пречистване на отпадъчни води, които са одобрени на или след 10 януари 2013 г. съгласно изискванията на Директива 2012/49/ЕС (етап II), могат да продължат да бъдат монтирани и използвани.</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7.10.2018 г.</w:t>
            </w:r>
          </w:p>
        </w:tc>
      </w:tr>
      <w:tr w:rsidR="00C01A94" w:rsidRPr="009072DA" w:rsidTr="00E67DA4">
        <w:trPr>
          <w:cantSplit/>
          <w:jc w:val="center"/>
        </w:trPr>
        <w:tc>
          <w:tcPr>
            <w:tcW w:w="6096" w:type="dxa"/>
            <w:gridSpan w:val="3"/>
            <w:shd w:val="clear" w:color="auto" w:fill="auto"/>
          </w:tcPr>
          <w:p w:rsidR="00C01A94" w:rsidRPr="009072DA" w:rsidRDefault="00C01A94" w:rsidP="00C01A94">
            <w:pPr>
              <w:tabs>
                <w:tab w:val="left" w:pos="1080"/>
              </w:tabs>
              <w:spacing w:before="60" w:after="60" w:line="240" w:lineRule="atLeast"/>
              <w:jc w:val="center"/>
              <w:rPr>
                <w:rFonts w:cs="Arial"/>
                <w:sz w:val="18"/>
                <w:szCs w:val="18"/>
                <w:lang w:val="bg-BG"/>
              </w:rPr>
            </w:pPr>
            <w:r w:rsidRPr="009072DA">
              <w:rPr>
                <w:b/>
                <w:sz w:val="18"/>
                <w:lang w:val="bg-BG"/>
              </w:rPr>
              <w:t>ГЛАВА 19</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p>
        </w:tc>
        <w:tc>
          <w:tcPr>
            <w:tcW w:w="1276" w:type="dxa"/>
          </w:tcPr>
          <w:p w:rsidR="00C01A94" w:rsidRPr="009072DA" w:rsidRDefault="00C01A94" w:rsidP="00C01A94">
            <w:pPr>
              <w:spacing w:before="60" w:after="60" w:line="240" w:lineRule="atLeast"/>
              <w:rPr>
                <w:rFonts w:cs="Arial"/>
                <w:sz w:val="18"/>
                <w:szCs w:val="18"/>
                <w:lang w:val="bg-BG"/>
              </w:rPr>
            </w:pPr>
          </w:p>
        </w:tc>
      </w:tr>
      <w:tr w:rsidR="00C01A94" w:rsidRPr="009072DA" w:rsidTr="00F14E8B">
        <w:trPr>
          <w:cantSplit/>
          <w:jc w:val="center"/>
        </w:trPr>
        <w:tc>
          <w:tcPr>
            <w:tcW w:w="1342" w:type="dxa"/>
            <w:tcBorders>
              <w:top w:val="nil"/>
              <w:bottom w:val="nil"/>
            </w:tcBorders>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19.01</w:t>
            </w:r>
          </w:p>
        </w:tc>
        <w:tc>
          <w:tcPr>
            <w:tcW w:w="1458" w:type="dxa"/>
            <w:vMerge w:val="restart"/>
            <w:shd w:val="clear" w:color="auto" w:fill="auto"/>
          </w:tcPr>
          <w:p w:rsidR="00C01A94" w:rsidRPr="009072DA" w:rsidRDefault="00C01A94" w:rsidP="0077255B">
            <w:pPr>
              <w:spacing w:before="60" w:after="60" w:line="240" w:lineRule="atLeast"/>
              <w:rPr>
                <w:rFonts w:cs="Arial"/>
                <w:sz w:val="18"/>
                <w:szCs w:val="18"/>
                <w:lang w:val="bg-BG"/>
              </w:rPr>
            </w:pPr>
            <w:r w:rsidRPr="009072DA">
              <w:rPr>
                <w:sz w:val="18"/>
                <w:lang w:val="bg-BG"/>
              </w:rPr>
              <w:t>Точка 2, буква д)</w:t>
            </w:r>
          </w:p>
        </w:tc>
        <w:tc>
          <w:tcPr>
            <w:tcW w:w="3296" w:type="dxa"/>
            <w:vMerge w:val="restart"/>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Забрана на уредбите за втечнен газ съгласно глава 17</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1.1.2006 г.</w:t>
            </w:r>
          </w:p>
        </w:tc>
      </w:tr>
      <w:tr w:rsidR="00C01A94" w:rsidRPr="009072DA" w:rsidTr="00F14E8B">
        <w:trPr>
          <w:cantSplit/>
          <w:jc w:val="center"/>
        </w:trPr>
        <w:tc>
          <w:tcPr>
            <w:tcW w:w="1342" w:type="dxa"/>
            <w:tcBorders>
              <w:top w:val="nil"/>
              <w:bottom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vMerge/>
            <w:shd w:val="clear" w:color="auto" w:fill="auto"/>
          </w:tcPr>
          <w:p w:rsidR="00C01A94" w:rsidRPr="009072DA" w:rsidRDefault="00C01A94" w:rsidP="00C01A94">
            <w:pPr>
              <w:spacing w:before="60" w:after="60" w:line="240" w:lineRule="atLeast"/>
              <w:rPr>
                <w:rFonts w:cs="Arial"/>
                <w:sz w:val="18"/>
                <w:szCs w:val="18"/>
                <w:lang w:val="bg-BG"/>
              </w:rPr>
            </w:pPr>
          </w:p>
        </w:tc>
        <w:tc>
          <w:tcPr>
            <w:tcW w:w="3296" w:type="dxa"/>
            <w:vMerge/>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Преходната разпоредба се прилага само ако алармените системи са монтирани в съответствие с член 19.15, точка 8.</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single" w:sz="4" w:space="0" w:color="auto"/>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Точки 5 и 6</w:t>
            </w:r>
          </w:p>
        </w:tc>
        <w:tc>
          <w:tcPr>
            <w:tcW w:w="3296" w:type="dxa"/>
            <w:shd w:val="clear" w:color="auto" w:fill="auto"/>
          </w:tcPr>
          <w:p w:rsidR="00C01A94" w:rsidRPr="009072DA" w:rsidRDefault="00C01A94" w:rsidP="00C01A94">
            <w:pPr>
              <w:tabs>
                <w:tab w:val="right" w:pos="3856"/>
                <w:tab w:val="center" w:pos="4536"/>
                <w:tab w:val="left" w:pos="6521"/>
                <w:tab w:val="right" w:pos="9072"/>
              </w:tabs>
              <w:spacing w:before="60" w:after="60" w:line="240" w:lineRule="atLeast"/>
              <w:rPr>
                <w:rFonts w:cs="Arial"/>
                <w:sz w:val="18"/>
                <w:szCs w:val="18"/>
                <w:lang w:val="bg-BG"/>
              </w:rPr>
            </w:pPr>
            <w:r w:rsidRPr="009072DA">
              <w:rPr>
                <w:color w:val="000000"/>
                <w:sz w:val="18"/>
                <w:lang w:val="bg-BG"/>
              </w:rPr>
              <w:t xml:space="preserve">Мъртва зона пред плавателния съд на две дължини на плавателния съд, ако дължината е под 250 m </w:t>
            </w:r>
            <w:r w:rsidRPr="009072DA">
              <w:rPr>
                <w:rFonts w:cs="Arial"/>
                <w:color w:val="000000"/>
                <w:sz w:val="18"/>
                <w:szCs w:val="18"/>
                <w:lang w:val="bg-BG"/>
              </w:rPr>
              <w:br/>
            </w:r>
            <w:r w:rsidRPr="009072DA">
              <w:rPr>
                <w:sz w:val="18"/>
                <w:lang w:val="bg-BG"/>
              </w:rPr>
              <w:t>Достатъчна видимост назад</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7.10.2018 г.</w:t>
            </w:r>
          </w:p>
        </w:tc>
      </w:tr>
      <w:tr w:rsidR="00C01A94" w:rsidRPr="009072DA" w:rsidTr="0060199F">
        <w:trPr>
          <w:cantSplit/>
          <w:jc w:val="center"/>
        </w:trPr>
        <w:tc>
          <w:tcPr>
            <w:tcW w:w="1342" w:type="dxa"/>
            <w:tcBorders>
              <w:bottom w:val="nil"/>
            </w:tcBorders>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19.02</w:t>
            </w:r>
          </w:p>
        </w:tc>
        <w:tc>
          <w:tcPr>
            <w:tcW w:w="1458" w:type="dxa"/>
            <w:tcBorders>
              <w:bottom w:val="single" w:sz="4" w:space="0" w:color="auto"/>
            </w:tcBorders>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2</w:t>
            </w:r>
          </w:p>
        </w:tc>
        <w:tc>
          <w:tcPr>
            <w:tcW w:w="3296" w:type="dxa"/>
            <w:tcBorders>
              <w:bottom w:val="single" w:sz="4" w:space="0" w:color="auto"/>
            </w:tcBorders>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Брой и местоположение на преградите</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1.1.2006 г.</w:t>
            </w:r>
          </w:p>
        </w:tc>
      </w:tr>
      <w:tr w:rsidR="00C01A94" w:rsidRPr="009072DA" w:rsidTr="0060199F">
        <w:trPr>
          <w:cantSplit/>
          <w:jc w:val="center"/>
        </w:trPr>
        <w:tc>
          <w:tcPr>
            <w:tcW w:w="1342" w:type="dxa"/>
            <w:tcBorders>
              <w:top w:val="nil"/>
              <w:bottom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tcBorders>
              <w:bottom w:val="nil"/>
            </w:tcBorders>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3</w:t>
            </w:r>
          </w:p>
        </w:tc>
        <w:tc>
          <w:tcPr>
            <w:tcW w:w="3296" w:type="dxa"/>
            <w:tcBorders>
              <w:bottom w:val="nil"/>
            </w:tcBorders>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Положение на ахтерпиковата преграда</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1.1.2035 г.</w:t>
            </w:r>
          </w:p>
        </w:tc>
        <w:tc>
          <w:tcPr>
            <w:tcW w:w="1276" w:type="dxa"/>
          </w:tcPr>
          <w:p w:rsidR="00C01A94" w:rsidRPr="009072DA" w:rsidRDefault="00C01A94" w:rsidP="00C01A94">
            <w:pPr>
              <w:spacing w:before="60" w:after="60" w:line="240" w:lineRule="atLeast"/>
              <w:rPr>
                <w:rFonts w:cs="Arial"/>
                <w:sz w:val="18"/>
                <w:szCs w:val="18"/>
                <w:highlight w:val="green"/>
                <w:lang w:val="bg-BG"/>
              </w:rPr>
            </w:pPr>
            <w:r w:rsidRPr="009072DA">
              <w:rPr>
                <w:sz w:val="18"/>
                <w:lang w:val="bg-BG"/>
              </w:rPr>
              <w:t>7.10.2018 г.</w:t>
            </w:r>
          </w:p>
        </w:tc>
      </w:tr>
      <w:tr w:rsidR="00C01A94" w:rsidRPr="009072DA" w:rsidTr="0060199F">
        <w:trPr>
          <w:cantSplit/>
          <w:jc w:val="center"/>
        </w:trPr>
        <w:tc>
          <w:tcPr>
            <w:tcW w:w="1342" w:type="dxa"/>
            <w:tcBorders>
              <w:top w:val="nil"/>
              <w:bottom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tcBorders>
              <w:top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3296" w:type="dxa"/>
            <w:tcBorders>
              <w:top w:val="nil"/>
            </w:tcBorders>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Това изискване не се прилага за пътнически плавателни съдове, които поради спазването на основните изисквания относно повреда на два отсека по член 19.03, точка 9 или спазването на изискванията на член 19.07 постигат еквивалентно ниво на безопасност и маневреност.</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p>
        </w:tc>
        <w:tc>
          <w:tcPr>
            <w:tcW w:w="1276" w:type="dxa"/>
          </w:tcPr>
          <w:p w:rsidR="00C01A94" w:rsidRPr="009072DA" w:rsidRDefault="00C01A94" w:rsidP="00C01A94">
            <w:pPr>
              <w:spacing w:before="60" w:after="60" w:line="240" w:lineRule="atLeast"/>
              <w:rPr>
                <w:rFonts w:cs="Arial"/>
                <w:sz w:val="18"/>
                <w:szCs w:val="18"/>
                <w:highlight w:val="green"/>
                <w:lang w:val="bg-BG"/>
              </w:rPr>
            </w:pPr>
            <w:r w:rsidRPr="009072DA">
              <w:rPr>
                <w:sz w:val="18"/>
                <w:lang w:val="bg-BG"/>
              </w:rPr>
              <w:t>7.10.2018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5, 2</w:t>
            </w:r>
            <w:r w:rsidRPr="009072DA">
              <w:rPr>
                <w:sz w:val="18"/>
                <w:vertAlign w:val="superscript"/>
                <w:lang w:val="bg-BG"/>
              </w:rPr>
              <w:t>ро</w:t>
            </w:r>
            <w:r w:rsidRPr="009072DA">
              <w:rPr>
                <w:sz w:val="18"/>
                <w:lang w:val="bg-BG"/>
              </w:rPr>
              <w:t xml:space="preserve"> изречение</w:t>
            </w:r>
          </w:p>
        </w:tc>
        <w:tc>
          <w:tcPr>
            <w:tcW w:w="3296" w:type="dxa"/>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Пределна линия при липса на палуба на преградите</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За пътническите плавателни съдове, които са построени преди 1.1.1996 г.,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single" w:sz="4" w:space="0" w:color="auto"/>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15</w:t>
            </w:r>
          </w:p>
        </w:tc>
        <w:tc>
          <w:tcPr>
            <w:tcW w:w="3296" w:type="dxa"/>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Минимална височина на двойните дъна, ширина на кухите отсеци</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bottom w:val="nil"/>
            </w:tcBorders>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19.03</w:t>
            </w: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Точки 1 — 6</w:t>
            </w:r>
          </w:p>
        </w:tc>
        <w:tc>
          <w:tcPr>
            <w:tcW w:w="3296" w:type="dxa"/>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Устойчивост в неповредено състояние</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и когато бъде увеличен максималният брой пътници,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tcBorders>
              <w:bottom w:val="single" w:sz="4" w:space="0" w:color="auto"/>
            </w:tcBorders>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Точки 7 и 8</w:t>
            </w:r>
          </w:p>
        </w:tc>
        <w:tc>
          <w:tcPr>
            <w:tcW w:w="3296" w:type="dxa"/>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Устойчивост в повредено състояние</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1.1.2006 г.</w:t>
            </w:r>
          </w:p>
        </w:tc>
      </w:tr>
      <w:tr w:rsidR="00C01A94" w:rsidRPr="009072DA" w:rsidTr="0060199F">
        <w:trPr>
          <w:cantSplit/>
          <w:jc w:val="center"/>
        </w:trPr>
        <w:tc>
          <w:tcPr>
            <w:tcW w:w="1342" w:type="dxa"/>
            <w:tcBorders>
              <w:top w:val="nil"/>
              <w:bottom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tcBorders>
              <w:bottom w:val="nil"/>
            </w:tcBorders>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9</w:t>
            </w:r>
          </w:p>
        </w:tc>
        <w:tc>
          <w:tcPr>
            <w:tcW w:w="3296" w:type="dxa"/>
            <w:tcBorders>
              <w:bottom w:val="single" w:sz="4" w:space="0" w:color="auto"/>
            </w:tcBorders>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Устойчивост в повредено състояние</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1.1.2006 г.</w:t>
            </w:r>
          </w:p>
        </w:tc>
      </w:tr>
      <w:tr w:rsidR="00C01A94" w:rsidRPr="009072DA" w:rsidTr="00F14E8B">
        <w:trPr>
          <w:cantSplit/>
          <w:jc w:val="center"/>
        </w:trPr>
        <w:tc>
          <w:tcPr>
            <w:tcW w:w="1342" w:type="dxa"/>
            <w:tcBorders>
              <w:top w:val="nil"/>
              <w:bottom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vMerge w:val="restart"/>
            <w:tcBorders>
              <w:top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3296" w:type="dxa"/>
            <w:vMerge w:val="restart"/>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Вертикален размер на повредата на дъното на съда</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1.1.2006 г.</w:t>
            </w:r>
          </w:p>
        </w:tc>
      </w:tr>
      <w:tr w:rsidR="00C01A94" w:rsidRPr="009072DA" w:rsidTr="00F14E8B">
        <w:trPr>
          <w:cantSplit/>
          <w:jc w:val="center"/>
        </w:trPr>
        <w:tc>
          <w:tcPr>
            <w:tcW w:w="1342" w:type="dxa"/>
            <w:tcBorders>
              <w:top w:val="nil"/>
              <w:bottom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vMerge/>
            <w:tcBorders>
              <w:bottom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3296" w:type="dxa"/>
            <w:vMerge/>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приложими за плавателни съдове с водонепроницаеми палуби, на разстояние най-малко 0,50 m, но не повече от 0,60 m от дъното на плавателни съдове, получили удостоверение на плавателния съд за плаване по вътрешни водни пътища за първи път преди 31.12.2005 г.</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1.12.2011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tcBorders>
              <w:top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3296" w:type="dxa"/>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Повреда на два отсека</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single" w:sz="4" w:space="0" w:color="auto"/>
            </w:tcBorders>
            <w:shd w:val="clear" w:color="auto" w:fill="auto"/>
          </w:tcPr>
          <w:p w:rsidR="00C01A94" w:rsidRPr="009072DA" w:rsidRDefault="00C01A94" w:rsidP="00D321F1">
            <w:pPr>
              <w:spacing w:before="100" w:after="100" w:line="240" w:lineRule="atLeast"/>
              <w:rPr>
                <w:rFonts w:cs="Arial"/>
                <w:sz w:val="18"/>
                <w:szCs w:val="18"/>
                <w:lang w:val="bg-BG"/>
              </w:rPr>
            </w:pPr>
          </w:p>
        </w:tc>
        <w:tc>
          <w:tcPr>
            <w:tcW w:w="1458"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Точки 10 — 13</w:t>
            </w:r>
          </w:p>
        </w:tc>
        <w:tc>
          <w:tcPr>
            <w:tcW w:w="3296" w:type="dxa"/>
            <w:shd w:val="clear" w:color="auto" w:fill="auto"/>
          </w:tcPr>
          <w:p w:rsidR="00C01A94" w:rsidRPr="009072DA" w:rsidRDefault="00C01A94" w:rsidP="00D321F1">
            <w:pPr>
              <w:tabs>
                <w:tab w:val="left" w:pos="1080"/>
              </w:tabs>
              <w:spacing w:before="100" w:after="100" w:line="240" w:lineRule="atLeast"/>
              <w:rPr>
                <w:rFonts w:cs="Arial"/>
                <w:sz w:val="18"/>
                <w:szCs w:val="18"/>
                <w:lang w:val="bg-BG"/>
              </w:rPr>
            </w:pPr>
            <w:r w:rsidRPr="009072DA">
              <w:rPr>
                <w:sz w:val="18"/>
                <w:lang w:val="bg-BG"/>
              </w:rPr>
              <w:t>Устойчивост в повредено състояние</w:t>
            </w:r>
          </w:p>
        </w:tc>
        <w:tc>
          <w:tcPr>
            <w:tcW w:w="5387"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D321F1">
            <w:pPr>
              <w:spacing w:before="100" w:after="10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bottom w:val="nil"/>
            </w:tcBorders>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19.05</w:t>
            </w:r>
          </w:p>
        </w:tc>
        <w:tc>
          <w:tcPr>
            <w:tcW w:w="1458"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Точка 2, буква a)</w:t>
            </w:r>
          </w:p>
        </w:tc>
        <w:tc>
          <w:tcPr>
            <w:tcW w:w="3296" w:type="dxa"/>
            <w:shd w:val="clear" w:color="auto" w:fill="auto"/>
          </w:tcPr>
          <w:p w:rsidR="00C01A94" w:rsidRPr="009072DA" w:rsidRDefault="00C01A94" w:rsidP="00D321F1">
            <w:pPr>
              <w:tabs>
                <w:tab w:val="left" w:pos="1080"/>
              </w:tabs>
              <w:spacing w:before="100" w:after="100" w:line="240" w:lineRule="atLeast"/>
              <w:rPr>
                <w:rFonts w:cs="Arial"/>
                <w:sz w:val="18"/>
                <w:szCs w:val="18"/>
                <w:lang w:val="bg-BG"/>
              </w:rPr>
            </w:pPr>
            <w:r w:rsidRPr="009072DA">
              <w:rPr>
                <w:sz w:val="18"/>
                <w:lang w:val="bg-BG"/>
              </w:rPr>
              <w:t>Брой пътници, за които е доказано наличие на пунктове за евакуация съгласно член 19.06, точка 8</w:t>
            </w:r>
          </w:p>
        </w:tc>
        <w:tc>
          <w:tcPr>
            <w:tcW w:w="5387"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D321F1">
            <w:pPr>
              <w:spacing w:before="100" w:after="10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single" w:sz="4" w:space="0" w:color="auto"/>
            </w:tcBorders>
            <w:shd w:val="clear" w:color="auto" w:fill="auto"/>
          </w:tcPr>
          <w:p w:rsidR="00C01A94" w:rsidRPr="009072DA" w:rsidRDefault="00C01A94" w:rsidP="00D321F1">
            <w:pPr>
              <w:spacing w:before="100" w:after="100" w:line="240" w:lineRule="atLeast"/>
              <w:rPr>
                <w:rFonts w:cs="Arial"/>
                <w:sz w:val="18"/>
                <w:szCs w:val="18"/>
                <w:lang w:val="bg-BG"/>
              </w:rPr>
            </w:pPr>
          </w:p>
        </w:tc>
        <w:tc>
          <w:tcPr>
            <w:tcW w:w="1458"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Точка 2, буква б)</w:t>
            </w:r>
          </w:p>
        </w:tc>
        <w:tc>
          <w:tcPr>
            <w:tcW w:w="3296" w:type="dxa"/>
            <w:shd w:val="clear" w:color="auto" w:fill="auto"/>
          </w:tcPr>
          <w:p w:rsidR="00C01A94" w:rsidRPr="009072DA" w:rsidRDefault="00C01A94" w:rsidP="00D321F1">
            <w:pPr>
              <w:tabs>
                <w:tab w:val="left" w:pos="1080"/>
              </w:tabs>
              <w:spacing w:before="100" w:after="100" w:line="240" w:lineRule="atLeast"/>
              <w:rPr>
                <w:rFonts w:cs="Arial"/>
                <w:sz w:val="18"/>
                <w:szCs w:val="18"/>
                <w:lang w:val="bg-BG"/>
              </w:rPr>
            </w:pPr>
            <w:r w:rsidRPr="009072DA">
              <w:rPr>
                <w:sz w:val="18"/>
                <w:lang w:val="bg-BG"/>
              </w:rPr>
              <w:t>Брой пътници, взет под внимание при пресмятането на устойчивостта съгласно член 19.03</w:t>
            </w:r>
          </w:p>
        </w:tc>
        <w:tc>
          <w:tcPr>
            <w:tcW w:w="5387"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D321F1">
            <w:pPr>
              <w:spacing w:before="100" w:after="10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bottom w:val="nil"/>
            </w:tcBorders>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19.06</w:t>
            </w:r>
          </w:p>
        </w:tc>
        <w:tc>
          <w:tcPr>
            <w:tcW w:w="1458"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Точка 1, 1</w:t>
            </w:r>
            <w:r w:rsidRPr="009072DA">
              <w:rPr>
                <w:sz w:val="18"/>
                <w:vertAlign w:val="superscript"/>
                <w:lang w:val="bg-BG"/>
              </w:rPr>
              <w:t>во </w:t>
            </w:r>
            <w:r w:rsidRPr="009072DA">
              <w:rPr>
                <w:sz w:val="18"/>
                <w:lang w:val="bg-BG"/>
              </w:rPr>
              <w:t>изречение</w:t>
            </w:r>
          </w:p>
        </w:tc>
        <w:tc>
          <w:tcPr>
            <w:tcW w:w="3296" w:type="dxa"/>
            <w:shd w:val="clear" w:color="auto" w:fill="auto"/>
          </w:tcPr>
          <w:p w:rsidR="00C01A94" w:rsidRPr="009072DA" w:rsidRDefault="00C01A94" w:rsidP="00D321F1">
            <w:pPr>
              <w:tabs>
                <w:tab w:val="left" w:pos="1080"/>
              </w:tabs>
              <w:spacing w:before="100" w:after="100" w:line="240" w:lineRule="atLeast"/>
              <w:rPr>
                <w:rFonts w:cs="Arial"/>
                <w:sz w:val="18"/>
                <w:szCs w:val="18"/>
                <w:lang w:val="bg-BG"/>
              </w:rPr>
            </w:pPr>
            <w:r w:rsidRPr="009072DA">
              <w:rPr>
                <w:sz w:val="18"/>
                <w:lang w:val="bg-BG"/>
              </w:rPr>
              <w:t>Помещения за пътници, ако са под палубата на преградите и пред ахтерпиковата преграда</w:t>
            </w:r>
          </w:p>
        </w:tc>
        <w:tc>
          <w:tcPr>
            <w:tcW w:w="5387"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D321F1">
            <w:pPr>
              <w:spacing w:before="100" w:after="100" w:line="240" w:lineRule="atLeast"/>
              <w:rPr>
                <w:rFonts w:cs="Arial"/>
                <w:sz w:val="18"/>
                <w:szCs w:val="18"/>
                <w:highlight w:val="green"/>
                <w:lang w:val="bg-BG"/>
              </w:rPr>
            </w:pPr>
            <w:r w:rsidRPr="009072DA">
              <w:rPr>
                <w:sz w:val="18"/>
                <w:lang w:val="bg-BG"/>
              </w:rPr>
              <w:t>7.10.2018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D321F1">
            <w:pPr>
              <w:spacing w:before="100" w:after="100" w:line="240" w:lineRule="atLeast"/>
              <w:rPr>
                <w:rFonts w:cs="Arial"/>
                <w:sz w:val="18"/>
                <w:szCs w:val="18"/>
                <w:lang w:val="bg-BG"/>
              </w:rPr>
            </w:pPr>
          </w:p>
        </w:tc>
        <w:tc>
          <w:tcPr>
            <w:tcW w:w="1458"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Точка 1, 2</w:t>
            </w:r>
            <w:r w:rsidRPr="009072DA">
              <w:rPr>
                <w:sz w:val="18"/>
                <w:vertAlign w:val="superscript"/>
                <w:lang w:val="bg-BG"/>
              </w:rPr>
              <w:t>ро </w:t>
            </w:r>
            <w:r w:rsidRPr="009072DA">
              <w:rPr>
                <w:sz w:val="18"/>
                <w:lang w:val="bg-BG"/>
              </w:rPr>
              <w:t>изречение</w:t>
            </w:r>
          </w:p>
        </w:tc>
        <w:tc>
          <w:tcPr>
            <w:tcW w:w="3296" w:type="dxa"/>
            <w:shd w:val="clear" w:color="auto" w:fill="auto"/>
          </w:tcPr>
          <w:p w:rsidR="00C01A94" w:rsidRPr="009072DA" w:rsidRDefault="00C01A94" w:rsidP="00D321F1">
            <w:pPr>
              <w:tabs>
                <w:tab w:val="left" w:pos="1080"/>
              </w:tabs>
              <w:spacing w:before="100" w:after="100" w:line="240" w:lineRule="atLeast"/>
              <w:rPr>
                <w:rFonts w:cs="Arial"/>
                <w:sz w:val="18"/>
                <w:szCs w:val="18"/>
                <w:lang w:val="bg-BG"/>
              </w:rPr>
            </w:pPr>
            <w:r w:rsidRPr="009072DA">
              <w:rPr>
                <w:sz w:val="18"/>
                <w:lang w:val="bg-BG"/>
              </w:rPr>
              <w:t>Заграждения</w:t>
            </w:r>
          </w:p>
        </w:tc>
        <w:tc>
          <w:tcPr>
            <w:tcW w:w="5387"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C01A94" w:rsidRPr="009072DA" w:rsidRDefault="00C01A94" w:rsidP="00D321F1">
            <w:pPr>
              <w:spacing w:before="100" w:after="100" w:line="240" w:lineRule="atLeast"/>
              <w:rPr>
                <w:rFonts w:cs="Arial"/>
                <w:sz w:val="18"/>
                <w:szCs w:val="18"/>
                <w:lang w:val="bg-BG"/>
              </w:rPr>
            </w:pPr>
          </w:p>
        </w:tc>
        <w:tc>
          <w:tcPr>
            <w:tcW w:w="1276" w:type="dxa"/>
          </w:tcPr>
          <w:p w:rsidR="00C01A94" w:rsidRPr="009072DA" w:rsidRDefault="00C01A94" w:rsidP="00D321F1">
            <w:pPr>
              <w:spacing w:before="100" w:after="100" w:line="240" w:lineRule="atLeast"/>
              <w:rPr>
                <w:rFonts w:cs="Arial"/>
                <w:sz w:val="18"/>
                <w:szCs w:val="18"/>
                <w:lang w:val="bg-BG"/>
              </w:rPr>
            </w:pPr>
            <w:r w:rsidRPr="009072DA">
              <w:rPr>
                <w:sz w:val="18"/>
                <w:lang w:val="bg-BG"/>
              </w:rPr>
              <w:t>1.12.2011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D321F1">
            <w:pPr>
              <w:spacing w:before="100" w:after="100" w:line="240" w:lineRule="atLeast"/>
              <w:rPr>
                <w:rFonts w:cs="Arial"/>
                <w:sz w:val="18"/>
                <w:szCs w:val="18"/>
                <w:lang w:val="bg-BG"/>
              </w:rPr>
            </w:pPr>
          </w:p>
        </w:tc>
        <w:tc>
          <w:tcPr>
            <w:tcW w:w="1458"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Точка 3, буква в), 1</w:t>
            </w:r>
            <w:r w:rsidRPr="009072DA">
              <w:rPr>
                <w:sz w:val="18"/>
                <w:vertAlign w:val="superscript"/>
                <w:lang w:val="bg-BG"/>
              </w:rPr>
              <w:t>во</w:t>
            </w:r>
            <w:r w:rsidRPr="009072DA">
              <w:rPr>
                <w:sz w:val="18"/>
                <w:lang w:val="bg-BG"/>
              </w:rPr>
              <w:t xml:space="preserve"> изречение</w:t>
            </w:r>
          </w:p>
        </w:tc>
        <w:tc>
          <w:tcPr>
            <w:tcW w:w="3296" w:type="dxa"/>
            <w:shd w:val="clear" w:color="auto" w:fill="auto"/>
          </w:tcPr>
          <w:p w:rsidR="00C01A94" w:rsidRPr="009072DA" w:rsidRDefault="00C01A94" w:rsidP="00D321F1">
            <w:pPr>
              <w:tabs>
                <w:tab w:val="left" w:pos="1080"/>
              </w:tabs>
              <w:spacing w:before="100" w:after="100" w:line="240" w:lineRule="atLeast"/>
              <w:rPr>
                <w:rFonts w:cs="Arial"/>
                <w:sz w:val="18"/>
                <w:szCs w:val="18"/>
                <w:lang w:val="bg-BG"/>
              </w:rPr>
            </w:pPr>
            <w:r w:rsidRPr="009072DA">
              <w:rPr>
                <w:sz w:val="18"/>
                <w:lang w:val="bg-BG"/>
              </w:rPr>
              <w:t>Габаритна височина на изходите</w:t>
            </w:r>
          </w:p>
        </w:tc>
        <w:tc>
          <w:tcPr>
            <w:tcW w:w="5387"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D321F1">
            <w:pPr>
              <w:spacing w:before="100" w:after="10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D321F1">
            <w:pPr>
              <w:spacing w:before="100" w:after="100" w:line="240" w:lineRule="atLeast"/>
              <w:rPr>
                <w:rFonts w:cs="Arial"/>
                <w:sz w:val="18"/>
                <w:szCs w:val="18"/>
                <w:lang w:val="bg-BG"/>
              </w:rPr>
            </w:pPr>
          </w:p>
        </w:tc>
        <w:tc>
          <w:tcPr>
            <w:tcW w:w="1458"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Точка 3, буква в), 2</w:t>
            </w:r>
            <w:r w:rsidRPr="009072DA">
              <w:rPr>
                <w:sz w:val="18"/>
                <w:vertAlign w:val="superscript"/>
                <w:lang w:val="bg-BG"/>
              </w:rPr>
              <w:t>ро</w:t>
            </w:r>
            <w:r w:rsidRPr="009072DA">
              <w:rPr>
                <w:sz w:val="18"/>
                <w:lang w:val="bg-BG"/>
              </w:rPr>
              <w:t xml:space="preserve"> изречение</w:t>
            </w:r>
          </w:p>
        </w:tc>
        <w:tc>
          <w:tcPr>
            <w:tcW w:w="3296" w:type="dxa"/>
            <w:shd w:val="clear" w:color="auto" w:fill="auto"/>
          </w:tcPr>
          <w:p w:rsidR="00C01A94" w:rsidRPr="009072DA" w:rsidRDefault="00C01A94" w:rsidP="00D321F1">
            <w:pPr>
              <w:tabs>
                <w:tab w:val="left" w:pos="1080"/>
              </w:tabs>
              <w:spacing w:before="100" w:after="100" w:line="240" w:lineRule="atLeast"/>
              <w:rPr>
                <w:rFonts w:cs="Arial"/>
                <w:sz w:val="18"/>
                <w:szCs w:val="18"/>
                <w:lang w:val="bg-BG"/>
              </w:rPr>
            </w:pPr>
            <w:r w:rsidRPr="009072DA">
              <w:rPr>
                <w:sz w:val="18"/>
                <w:lang w:val="bg-BG"/>
              </w:rPr>
              <w:t>Габаритна ширина на вратите на пътническите каюти и други малки помещения</w:t>
            </w:r>
          </w:p>
        </w:tc>
        <w:tc>
          <w:tcPr>
            <w:tcW w:w="5387"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D321F1">
            <w:pPr>
              <w:spacing w:before="100" w:after="10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D321F1">
            <w:pPr>
              <w:spacing w:before="100" w:after="100" w:line="240" w:lineRule="atLeast"/>
              <w:rPr>
                <w:rFonts w:cs="Arial"/>
                <w:sz w:val="18"/>
                <w:szCs w:val="18"/>
                <w:lang w:val="bg-BG"/>
              </w:rPr>
            </w:pPr>
          </w:p>
        </w:tc>
        <w:tc>
          <w:tcPr>
            <w:tcW w:w="1458"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Точка 3, буква е), 1</w:t>
            </w:r>
            <w:r w:rsidRPr="009072DA">
              <w:rPr>
                <w:sz w:val="18"/>
                <w:vertAlign w:val="superscript"/>
                <w:lang w:val="bg-BG"/>
              </w:rPr>
              <w:t>во</w:t>
            </w:r>
            <w:r w:rsidRPr="009072DA">
              <w:rPr>
                <w:sz w:val="18"/>
                <w:lang w:val="bg-BG"/>
              </w:rPr>
              <w:t xml:space="preserve"> изречение</w:t>
            </w:r>
          </w:p>
        </w:tc>
        <w:tc>
          <w:tcPr>
            <w:tcW w:w="3296" w:type="dxa"/>
            <w:shd w:val="clear" w:color="auto" w:fill="auto"/>
          </w:tcPr>
          <w:p w:rsidR="00C01A94" w:rsidRPr="009072DA" w:rsidRDefault="00C01A94" w:rsidP="00D321F1">
            <w:pPr>
              <w:tabs>
                <w:tab w:val="left" w:pos="1080"/>
              </w:tabs>
              <w:spacing w:before="100" w:after="100" w:line="240" w:lineRule="atLeast"/>
              <w:rPr>
                <w:rFonts w:cs="Arial"/>
                <w:sz w:val="18"/>
                <w:szCs w:val="18"/>
                <w:lang w:val="bg-BG"/>
              </w:rPr>
            </w:pPr>
            <w:r w:rsidRPr="009072DA">
              <w:rPr>
                <w:sz w:val="18"/>
                <w:lang w:val="bg-BG"/>
              </w:rPr>
              <w:t>Размери на аварийните изходи</w:t>
            </w:r>
          </w:p>
        </w:tc>
        <w:tc>
          <w:tcPr>
            <w:tcW w:w="5387"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D321F1">
            <w:pPr>
              <w:spacing w:before="100" w:after="10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D321F1">
            <w:pPr>
              <w:spacing w:before="100" w:after="100" w:line="240" w:lineRule="atLeast"/>
              <w:rPr>
                <w:rFonts w:cs="Arial"/>
                <w:sz w:val="18"/>
                <w:szCs w:val="18"/>
                <w:lang w:val="bg-BG"/>
              </w:rPr>
            </w:pPr>
          </w:p>
        </w:tc>
        <w:tc>
          <w:tcPr>
            <w:tcW w:w="1458"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Точка 3, буква ж)</w:t>
            </w:r>
          </w:p>
        </w:tc>
        <w:tc>
          <w:tcPr>
            <w:tcW w:w="3296" w:type="dxa"/>
            <w:shd w:val="clear" w:color="auto" w:fill="auto"/>
          </w:tcPr>
          <w:p w:rsidR="00C01A94" w:rsidRPr="009072DA" w:rsidRDefault="00C01A94" w:rsidP="00D321F1">
            <w:pPr>
              <w:tabs>
                <w:tab w:val="left" w:pos="1080"/>
              </w:tabs>
              <w:spacing w:before="100" w:after="100" w:line="240" w:lineRule="atLeast"/>
              <w:rPr>
                <w:rFonts w:cs="Arial"/>
                <w:sz w:val="18"/>
                <w:szCs w:val="18"/>
                <w:lang w:val="bg-BG"/>
              </w:rPr>
            </w:pPr>
            <w:r w:rsidRPr="009072DA">
              <w:rPr>
                <w:sz w:val="18"/>
                <w:lang w:val="bg-BG"/>
              </w:rPr>
              <w:t>Изходи, предназначени за използване от лица с намалена подвижност</w:t>
            </w:r>
          </w:p>
        </w:tc>
        <w:tc>
          <w:tcPr>
            <w:tcW w:w="5387"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D321F1">
            <w:pPr>
              <w:spacing w:before="100" w:after="10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D321F1">
            <w:pPr>
              <w:spacing w:before="100" w:after="100" w:line="240" w:lineRule="atLeast"/>
              <w:rPr>
                <w:rFonts w:cs="Arial"/>
                <w:sz w:val="18"/>
                <w:szCs w:val="18"/>
                <w:lang w:val="bg-BG"/>
              </w:rPr>
            </w:pPr>
          </w:p>
        </w:tc>
        <w:tc>
          <w:tcPr>
            <w:tcW w:w="1458"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Точка 4, буква г)</w:t>
            </w:r>
          </w:p>
        </w:tc>
        <w:tc>
          <w:tcPr>
            <w:tcW w:w="3296" w:type="dxa"/>
            <w:shd w:val="clear" w:color="auto" w:fill="auto"/>
          </w:tcPr>
          <w:p w:rsidR="00C01A94" w:rsidRPr="009072DA" w:rsidRDefault="00C01A94" w:rsidP="00D321F1">
            <w:pPr>
              <w:tabs>
                <w:tab w:val="left" w:pos="930"/>
              </w:tabs>
              <w:spacing w:before="100" w:after="100" w:line="240" w:lineRule="atLeast"/>
              <w:rPr>
                <w:rFonts w:cs="Arial"/>
                <w:sz w:val="18"/>
                <w:szCs w:val="18"/>
                <w:lang w:val="bg-BG"/>
              </w:rPr>
            </w:pPr>
            <w:r w:rsidRPr="009072DA">
              <w:rPr>
                <w:sz w:val="18"/>
                <w:lang w:val="bg-BG"/>
              </w:rPr>
              <w:t>Врати, предназначени за използване от лица с намалена подвижност</w:t>
            </w:r>
          </w:p>
        </w:tc>
        <w:tc>
          <w:tcPr>
            <w:tcW w:w="5387"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D321F1">
            <w:pPr>
              <w:spacing w:before="100" w:after="10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5</w:t>
            </w:r>
          </w:p>
        </w:tc>
        <w:tc>
          <w:tcPr>
            <w:tcW w:w="3296" w:type="dxa"/>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Изисквания относно свързващите коридори</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D321F1">
            <w:pPr>
              <w:spacing w:before="120" w:after="120" w:line="240" w:lineRule="atLeast"/>
              <w:rPr>
                <w:rFonts w:cs="Arial"/>
                <w:sz w:val="18"/>
                <w:szCs w:val="18"/>
                <w:lang w:val="bg-BG"/>
              </w:rPr>
            </w:pPr>
          </w:p>
        </w:tc>
        <w:tc>
          <w:tcPr>
            <w:tcW w:w="1458"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Точка 6, буква б)</w:t>
            </w:r>
          </w:p>
        </w:tc>
        <w:tc>
          <w:tcPr>
            <w:tcW w:w="3296" w:type="dxa"/>
            <w:shd w:val="clear" w:color="auto" w:fill="auto"/>
          </w:tcPr>
          <w:p w:rsidR="00C01A94" w:rsidRPr="009072DA" w:rsidRDefault="00C01A94" w:rsidP="00D321F1">
            <w:pPr>
              <w:tabs>
                <w:tab w:val="left" w:pos="1080"/>
              </w:tabs>
              <w:spacing w:before="120" w:after="120" w:line="240" w:lineRule="atLeast"/>
              <w:rPr>
                <w:rFonts w:cs="Arial"/>
                <w:sz w:val="18"/>
                <w:szCs w:val="18"/>
                <w:lang w:val="bg-BG"/>
              </w:rPr>
            </w:pPr>
            <w:r w:rsidRPr="009072DA">
              <w:rPr>
                <w:sz w:val="18"/>
                <w:lang w:val="bg-BG"/>
              </w:rPr>
              <w:t>Маршрути за евакуация към пунктове за евакуация</w:t>
            </w:r>
          </w:p>
        </w:tc>
        <w:tc>
          <w:tcPr>
            <w:tcW w:w="5387"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D321F1">
            <w:pPr>
              <w:spacing w:before="120" w:after="12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D321F1">
            <w:pPr>
              <w:spacing w:before="120" w:after="120" w:line="240" w:lineRule="atLeast"/>
              <w:rPr>
                <w:rFonts w:cs="Arial"/>
                <w:sz w:val="18"/>
                <w:szCs w:val="18"/>
                <w:lang w:val="bg-BG"/>
              </w:rPr>
            </w:pPr>
          </w:p>
        </w:tc>
        <w:tc>
          <w:tcPr>
            <w:tcW w:w="1458"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Точка 6, буква в)</w:t>
            </w:r>
            <w:r w:rsidRPr="009072DA">
              <w:rPr>
                <w:color w:val="000000"/>
                <w:sz w:val="18"/>
                <w:vertAlign w:val="superscript"/>
                <w:lang w:val="bg-BG"/>
              </w:rPr>
              <w:footnoteReference w:id="42"/>
            </w:r>
          </w:p>
        </w:tc>
        <w:tc>
          <w:tcPr>
            <w:tcW w:w="3296" w:type="dxa"/>
            <w:shd w:val="clear" w:color="auto" w:fill="auto"/>
          </w:tcPr>
          <w:p w:rsidR="00C01A94" w:rsidRPr="009072DA" w:rsidRDefault="00C01A94" w:rsidP="00D321F1">
            <w:pPr>
              <w:tabs>
                <w:tab w:val="left" w:pos="1080"/>
              </w:tabs>
              <w:spacing w:before="120" w:after="120" w:line="240" w:lineRule="atLeast"/>
              <w:rPr>
                <w:rFonts w:cs="Arial"/>
                <w:sz w:val="18"/>
                <w:szCs w:val="18"/>
                <w:lang w:val="bg-BG"/>
              </w:rPr>
            </w:pPr>
            <w:r w:rsidRPr="009072DA">
              <w:rPr>
                <w:sz w:val="18"/>
                <w:lang w:val="bg-BG"/>
              </w:rPr>
              <w:t>Маршрутите за евакуация да не преминават през камбузи</w:t>
            </w:r>
          </w:p>
        </w:tc>
        <w:tc>
          <w:tcPr>
            <w:tcW w:w="5387"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1.1.2020 г.</w:t>
            </w:r>
          </w:p>
        </w:tc>
        <w:tc>
          <w:tcPr>
            <w:tcW w:w="1276" w:type="dxa"/>
          </w:tcPr>
          <w:p w:rsidR="00C01A94" w:rsidRPr="009072DA" w:rsidRDefault="00C01A94" w:rsidP="00D321F1">
            <w:pPr>
              <w:spacing w:before="120" w:after="12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D321F1">
            <w:pPr>
              <w:spacing w:before="120" w:after="120" w:line="240" w:lineRule="atLeast"/>
              <w:rPr>
                <w:rFonts w:cs="Arial"/>
                <w:sz w:val="18"/>
                <w:szCs w:val="18"/>
                <w:lang w:val="bg-BG"/>
              </w:rPr>
            </w:pPr>
          </w:p>
        </w:tc>
        <w:tc>
          <w:tcPr>
            <w:tcW w:w="1458"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Точка 6, буква г)</w:t>
            </w:r>
          </w:p>
        </w:tc>
        <w:tc>
          <w:tcPr>
            <w:tcW w:w="3296" w:type="dxa"/>
            <w:shd w:val="clear" w:color="auto" w:fill="auto"/>
          </w:tcPr>
          <w:p w:rsidR="00C01A94" w:rsidRPr="009072DA" w:rsidRDefault="00C01A94" w:rsidP="00D321F1">
            <w:pPr>
              <w:tabs>
                <w:tab w:val="left" w:pos="1080"/>
              </w:tabs>
              <w:spacing w:before="120" w:after="120" w:line="240" w:lineRule="atLeast"/>
              <w:rPr>
                <w:rFonts w:cs="Arial"/>
                <w:sz w:val="18"/>
                <w:szCs w:val="18"/>
                <w:lang w:val="bg-BG"/>
              </w:rPr>
            </w:pPr>
            <w:r w:rsidRPr="009072DA">
              <w:rPr>
                <w:sz w:val="18"/>
                <w:lang w:val="bg-BG"/>
              </w:rPr>
              <w:t>Без стъпала, подвижни стълби и др. подобни по маршрутите за евакуация</w:t>
            </w:r>
          </w:p>
        </w:tc>
        <w:tc>
          <w:tcPr>
            <w:tcW w:w="5387"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D321F1">
            <w:pPr>
              <w:spacing w:before="120" w:after="12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D321F1">
            <w:pPr>
              <w:spacing w:before="100" w:after="100" w:line="240" w:lineRule="atLeast"/>
              <w:rPr>
                <w:rFonts w:cs="Arial"/>
                <w:sz w:val="18"/>
                <w:szCs w:val="18"/>
                <w:lang w:val="bg-BG"/>
              </w:rPr>
            </w:pPr>
          </w:p>
        </w:tc>
        <w:tc>
          <w:tcPr>
            <w:tcW w:w="1458"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Точка 7</w:t>
            </w:r>
          </w:p>
        </w:tc>
        <w:tc>
          <w:tcPr>
            <w:tcW w:w="3296" w:type="dxa"/>
            <w:shd w:val="clear" w:color="auto" w:fill="auto"/>
          </w:tcPr>
          <w:p w:rsidR="00C01A94" w:rsidRPr="009072DA" w:rsidRDefault="00C01A94" w:rsidP="00D321F1">
            <w:pPr>
              <w:tabs>
                <w:tab w:val="left" w:pos="1080"/>
              </w:tabs>
              <w:spacing w:before="100" w:after="100" w:line="240" w:lineRule="atLeast"/>
              <w:rPr>
                <w:rFonts w:cs="Arial"/>
                <w:sz w:val="18"/>
                <w:szCs w:val="18"/>
                <w:lang w:val="bg-BG"/>
              </w:rPr>
            </w:pPr>
            <w:r w:rsidRPr="009072DA">
              <w:rPr>
                <w:sz w:val="18"/>
                <w:lang w:val="bg-BG"/>
              </w:rPr>
              <w:t>Подходяща система от указатели за безопасност</w:t>
            </w:r>
          </w:p>
        </w:tc>
        <w:tc>
          <w:tcPr>
            <w:tcW w:w="5387"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1.1.2015 г.</w:t>
            </w:r>
          </w:p>
        </w:tc>
        <w:tc>
          <w:tcPr>
            <w:tcW w:w="1276" w:type="dxa"/>
          </w:tcPr>
          <w:p w:rsidR="00C01A94" w:rsidRPr="009072DA" w:rsidRDefault="00C01A94" w:rsidP="00D321F1">
            <w:pPr>
              <w:spacing w:before="100" w:after="10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D321F1">
            <w:pPr>
              <w:spacing w:before="100" w:after="100" w:line="240" w:lineRule="atLeast"/>
              <w:rPr>
                <w:rFonts w:cs="Arial"/>
                <w:sz w:val="18"/>
                <w:szCs w:val="18"/>
                <w:lang w:val="bg-BG"/>
              </w:rPr>
            </w:pPr>
          </w:p>
        </w:tc>
        <w:tc>
          <w:tcPr>
            <w:tcW w:w="1458"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Точка 8</w:t>
            </w:r>
          </w:p>
        </w:tc>
        <w:tc>
          <w:tcPr>
            <w:tcW w:w="3296" w:type="dxa"/>
            <w:shd w:val="clear" w:color="auto" w:fill="auto"/>
          </w:tcPr>
          <w:p w:rsidR="00C01A94" w:rsidRPr="009072DA" w:rsidRDefault="00C01A94" w:rsidP="00D321F1">
            <w:pPr>
              <w:tabs>
                <w:tab w:val="left" w:pos="1080"/>
              </w:tabs>
              <w:spacing w:before="100" w:after="100" w:line="240" w:lineRule="atLeast"/>
              <w:rPr>
                <w:rFonts w:cs="Arial"/>
                <w:sz w:val="18"/>
                <w:szCs w:val="18"/>
                <w:lang w:val="bg-BG"/>
              </w:rPr>
            </w:pPr>
            <w:r w:rsidRPr="009072DA">
              <w:rPr>
                <w:sz w:val="18"/>
                <w:lang w:val="bg-BG"/>
              </w:rPr>
              <w:t>Изисквания към сборните пунктове</w:t>
            </w:r>
          </w:p>
        </w:tc>
        <w:tc>
          <w:tcPr>
            <w:tcW w:w="5387"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D321F1">
            <w:pPr>
              <w:spacing w:before="100" w:after="10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D321F1">
            <w:pPr>
              <w:spacing w:before="100" w:after="100" w:line="240" w:lineRule="atLeast"/>
              <w:rPr>
                <w:rFonts w:cs="Arial"/>
                <w:sz w:val="18"/>
                <w:szCs w:val="18"/>
                <w:lang w:val="bg-BG"/>
              </w:rPr>
            </w:pPr>
          </w:p>
        </w:tc>
        <w:tc>
          <w:tcPr>
            <w:tcW w:w="1458"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Точка 9, букви а), б), в), д), и последното изречение</w:t>
            </w:r>
          </w:p>
        </w:tc>
        <w:tc>
          <w:tcPr>
            <w:tcW w:w="3296" w:type="dxa"/>
            <w:shd w:val="clear" w:color="auto" w:fill="auto"/>
          </w:tcPr>
          <w:p w:rsidR="00C01A94" w:rsidRPr="009072DA" w:rsidRDefault="00C01A94" w:rsidP="00D321F1">
            <w:pPr>
              <w:tabs>
                <w:tab w:val="left" w:pos="1080"/>
              </w:tabs>
              <w:spacing w:before="100" w:after="100" w:line="240" w:lineRule="atLeast"/>
              <w:rPr>
                <w:rFonts w:cs="Arial"/>
                <w:sz w:val="18"/>
                <w:szCs w:val="18"/>
                <w:lang w:val="bg-BG"/>
              </w:rPr>
            </w:pPr>
            <w:r w:rsidRPr="009072DA">
              <w:rPr>
                <w:sz w:val="18"/>
                <w:lang w:val="bg-BG"/>
              </w:rPr>
              <w:t>Изисквания към стълбищата и техните площадки в пространствата за пътници</w:t>
            </w:r>
          </w:p>
        </w:tc>
        <w:tc>
          <w:tcPr>
            <w:tcW w:w="5387"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D321F1">
            <w:pPr>
              <w:spacing w:before="100" w:after="10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D321F1">
            <w:pPr>
              <w:spacing w:before="100" w:after="100" w:line="240" w:lineRule="atLeast"/>
              <w:rPr>
                <w:rFonts w:cs="Arial"/>
                <w:sz w:val="18"/>
                <w:szCs w:val="18"/>
                <w:lang w:val="bg-BG"/>
              </w:rPr>
            </w:pPr>
          </w:p>
        </w:tc>
        <w:tc>
          <w:tcPr>
            <w:tcW w:w="1458"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 xml:space="preserve">Точка 10, буква a) </w:t>
            </w:r>
            <w:r w:rsidRPr="009072DA">
              <w:rPr>
                <w:rFonts w:cs="Arial"/>
                <w:sz w:val="18"/>
                <w:szCs w:val="18"/>
                <w:lang w:val="bg-BG"/>
              </w:rPr>
              <w:br/>
            </w:r>
            <w:r w:rsidRPr="009072DA">
              <w:rPr>
                <w:sz w:val="18"/>
                <w:lang w:val="bg-BG"/>
              </w:rPr>
              <w:t>1</w:t>
            </w:r>
            <w:r w:rsidRPr="009072DA">
              <w:rPr>
                <w:sz w:val="18"/>
                <w:vertAlign w:val="superscript"/>
                <w:lang w:val="bg-BG"/>
              </w:rPr>
              <w:t>во</w:t>
            </w:r>
            <w:r w:rsidRPr="009072DA">
              <w:rPr>
                <w:sz w:val="18"/>
                <w:lang w:val="bg-BG"/>
              </w:rPr>
              <w:t xml:space="preserve"> изречение</w:t>
            </w:r>
          </w:p>
        </w:tc>
        <w:tc>
          <w:tcPr>
            <w:tcW w:w="3296" w:type="dxa"/>
            <w:shd w:val="clear" w:color="auto" w:fill="auto"/>
          </w:tcPr>
          <w:p w:rsidR="00C01A94" w:rsidRPr="009072DA" w:rsidRDefault="00C01A94" w:rsidP="00D321F1">
            <w:pPr>
              <w:tabs>
                <w:tab w:val="left" w:pos="1080"/>
              </w:tabs>
              <w:spacing w:before="100" w:after="100" w:line="240" w:lineRule="atLeast"/>
              <w:rPr>
                <w:rFonts w:cs="Arial"/>
                <w:sz w:val="18"/>
                <w:szCs w:val="18"/>
                <w:lang w:val="bg-BG"/>
              </w:rPr>
            </w:pPr>
            <w:r w:rsidRPr="009072DA">
              <w:rPr>
                <w:sz w:val="18"/>
                <w:lang w:val="bg-BG"/>
              </w:rPr>
              <w:t>Парапети съгласно европейски стандарт EN 711: 1995</w:t>
            </w:r>
          </w:p>
        </w:tc>
        <w:tc>
          <w:tcPr>
            <w:tcW w:w="5387"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D321F1">
            <w:pPr>
              <w:spacing w:before="100" w:after="10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D321F1">
            <w:pPr>
              <w:spacing w:before="100" w:after="100" w:line="240" w:lineRule="atLeast"/>
              <w:rPr>
                <w:rFonts w:cs="Arial"/>
                <w:sz w:val="18"/>
                <w:szCs w:val="18"/>
                <w:lang w:val="bg-BG"/>
              </w:rPr>
            </w:pPr>
          </w:p>
        </w:tc>
        <w:tc>
          <w:tcPr>
            <w:tcW w:w="1458"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Точка 10, буква a), 2</w:t>
            </w:r>
            <w:r w:rsidRPr="009072DA">
              <w:rPr>
                <w:sz w:val="18"/>
                <w:vertAlign w:val="superscript"/>
                <w:lang w:val="bg-BG"/>
              </w:rPr>
              <w:t>ро</w:t>
            </w:r>
            <w:r w:rsidRPr="009072DA">
              <w:rPr>
                <w:sz w:val="18"/>
                <w:lang w:val="bg-BG"/>
              </w:rPr>
              <w:t xml:space="preserve"> изречение</w:t>
            </w:r>
          </w:p>
        </w:tc>
        <w:tc>
          <w:tcPr>
            <w:tcW w:w="3296" w:type="dxa"/>
            <w:shd w:val="clear" w:color="auto" w:fill="auto"/>
          </w:tcPr>
          <w:p w:rsidR="00C01A94" w:rsidRPr="009072DA" w:rsidRDefault="00C01A94" w:rsidP="00D321F1">
            <w:pPr>
              <w:tabs>
                <w:tab w:val="left" w:pos="1080"/>
              </w:tabs>
              <w:spacing w:before="100" w:after="100" w:line="240" w:lineRule="atLeast"/>
              <w:rPr>
                <w:rFonts w:cs="Arial"/>
                <w:sz w:val="18"/>
                <w:szCs w:val="18"/>
                <w:lang w:val="bg-BG"/>
              </w:rPr>
            </w:pPr>
            <w:r w:rsidRPr="009072DA">
              <w:rPr>
                <w:sz w:val="18"/>
                <w:lang w:val="bg-BG"/>
              </w:rPr>
              <w:t>Височина на фалшборда и парапетите на палубите, предназначени за ползване от лица с намалена подвижност</w:t>
            </w:r>
          </w:p>
        </w:tc>
        <w:tc>
          <w:tcPr>
            <w:tcW w:w="5387"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100" w:after="10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D321F1">
            <w:pPr>
              <w:spacing w:before="100" w:after="10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D321F1">
            <w:pPr>
              <w:spacing w:before="120" w:after="120" w:line="240" w:lineRule="atLeast"/>
              <w:rPr>
                <w:rFonts w:cs="Arial"/>
                <w:sz w:val="18"/>
                <w:szCs w:val="18"/>
                <w:lang w:val="bg-BG"/>
              </w:rPr>
            </w:pPr>
          </w:p>
        </w:tc>
        <w:tc>
          <w:tcPr>
            <w:tcW w:w="1458"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Точка 10, буква б), 2</w:t>
            </w:r>
            <w:r w:rsidRPr="009072DA">
              <w:rPr>
                <w:sz w:val="18"/>
                <w:vertAlign w:val="superscript"/>
                <w:lang w:val="bg-BG"/>
              </w:rPr>
              <w:t>ро</w:t>
            </w:r>
            <w:r w:rsidRPr="009072DA">
              <w:rPr>
                <w:sz w:val="18"/>
                <w:lang w:val="bg-BG"/>
              </w:rPr>
              <w:t xml:space="preserve"> изречение</w:t>
            </w:r>
          </w:p>
        </w:tc>
        <w:tc>
          <w:tcPr>
            <w:tcW w:w="3296" w:type="dxa"/>
            <w:shd w:val="clear" w:color="auto" w:fill="auto"/>
          </w:tcPr>
          <w:p w:rsidR="00C01A94" w:rsidRPr="009072DA" w:rsidRDefault="00C01A94" w:rsidP="00D321F1">
            <w:pPr>
              <w:tabs>
                <w:tab w:val="left" w:pos="1080"/>
              </w:tabs>
              <w:spacing w:before="120" w:after="120" w:line="240" w:lineRule="atLeast"/>
              <w:rPr>
                <w:rFonts w:cs="Arial"/>
                <w:sz w:val="18"/>
                <w:szCs w:val="18"/>
                <w:lang w:val="bg-BG"/>
              </w:rPr>
            </w:pPr>
            <w:r w:rsidRPr="009072DA">
              <w:rPr>
                <w:sz w:val="18"/>
                <w:lang w:val="bg-BG"/>
              </w:rPr>
              <w:t>Габаритна ширина на отворите, използвани обикновено за качване или слизане на лица с намалена подвижност</w:t>
            </w:r>
          </w:p>
        </w:tc>
        <w:tc>
          <w:tcPr>
            <w:tcW w:w="5387"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D321F1">
            <w:pPr>
              <w:spacing w:before="120" w:after="12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D321F1">
            <w:pPr>
              <w:spacing w:before="120" w:after="12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13</w:t>
            </w:r>
          </w:p>
        </w:tc>
        <w:tc>
          <w:tcPr>
            <w:tcW w:w="3296" w:type="dxa"/>
            <w:shd w:val="clear" w:color="auto" w:fill="auto"/>
          </w:tcPr>
          <w:p w:rsidR="00C01A94" w:rsidRPr="009072DA" w:rsidRDefault="00C01A94" w:rsidP="00C01A94">
            <w:pPr>
              <w:tabs>
                <w:tab w:val="left" w:pos="1080"/>
              </w:tabs>
              <w:spacing w:before="160" w:after="160" w:line="240" w:lineRule="atLeast"/>
              <w:rPr>
                <w:rFonts w:cs="Arial"/>
                <w:sz w:val="18"/>
                <w:szCs w:val="18"/>
                <w:lang w:val="bg-BG"/>
              </w:rPr>
            </w:pPr>
            <w:r w:rsidRPr="009072DA">
              <w:rPr>
                <w:sz w:val="18"/>
                <w:lang w:val="bg-BG"/>
              </w:rPr>
              <w:t>Проходи и стени в коридорите, предназначени за ползване от лица с намалена подвижност</w:t>
            </w:r>
          </w:p>
        </w:tc>
        <w:tc>
          <w:tcPr>
            <w:tcW w:w="5387"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60" w:after="1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14, 1</w:t>
            </w:r>
            <w:r w:rsidRPr="009072DA">
              <w:rPr>
                <w:sz w:val="18"/>
                <w:vertAlign w:val="superscript"/>
                <w:lang w:val="bg-BG"/>
              </w:rPr>
              <w:t>во </w:t>
            </w:r>
            <w:r w:rsidRPr="009072DA">
              <w:rPr>
                <w:sz w:val="18"/>
                <w:lang w:val="bg-BG"/>
              </w:rPr>
              <w:t>изречение</w:t>
            </w:r>
          </w:p>
        </w:tc>
        <w:tc>
          <w:tcPr>
            <w:tcW w:w="3296" w:type="dxa"/>
            <w:shd w:val="clear" w:color="auto" w:fill="auto"/>
          </w:tcPr>
          <w:p w:rsidR="00C01A94" w:rsidRPr="009072DA" w:rsidRDefault="00C01A94" w:rsidP="00C01A94">
            <w:pPr>
              <w:tabs>
                <w:tab w:val="left" w:pos="1080"/>
              </w:tabs>
              <w:spacing w:before="160" w:after="160" w:line="240" w:lineRule="atLeast"/>
              <w:rPr>
                <w:rFonts w:cs="Arial"/>
                <w:sz w:val="18"/>
                <w:szCs w:val="18"/>
                <w:lang w:val="bg-BG"/>
              </w:rPr>
            </w:pPr>
            <w:r w:rsidRPr="009072DA">
              <w:rPr>
                <w:sz w:val="18"/>
                <w:lang w:val="bg-BG"/>
              </w:rPr>
              <w:t>Конструкция на стъклените врати и стени в проходите и на стъклата на прозорците</w:t>
            </w:r>
          </w:p>
        </w:tc>
        <w:tc>
          <w:tcPr>
            <w:tcW w:w="5387"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60" w:after="1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15</w:t>
            </w:r>
          </w:p>
        </w:tc>
        <w:tc>
          <w:tcPr>
            <w:tcW w:w="3296" w:type="dxa"/>
            <w:shd w:val="clear" w:color="auto" w:fill="auto"/>
          </w:tcPr>
          <w:p w:rsidR="00C01A94" w:rsidRPr="009072DA" w:rsidRDefault="00C01A94" w:rsidP="00C01A94">
            <w:pPr>
              <w:tabs>
                <w:tab w:val="left" w:pos="1080"/>
              </w:tabs>
              <w:spacing w:before="160" w:after="160" w:line="240" w:lineRule="atLeast"/>
              <w:rPr>
                <w:rFonts w:cs="Arial"/>
                <w:sz w:val="18"/>
                <w:szCs w:val="18"/>
                <w:lang w:val="bg-BG"/>
              </w:rPr>
            </w:pPr>
            <w:r w:rsidRPr="009072DA">
              <w:rPr>
                <w:sz w:val="18"/>
                <w:lang w:val="bg-BG"/>
              </w:rPr>
              <w:t>Изисквания към надстройките, които се състоят изцяло или частично от панорамни прозорци</w:t>
            </w:r>
          </w:p>
        </w:tc>
        <w:tc>
          <w:tcPr>
            <w:tcW w:w="5387"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60" w:after="1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17, 2</w:t>
            </w:r>
            <w:r w:rsidRPr="009072DA">
              <w:rPr>
                <w:sz w:val="18"/>
                <w:vertAlign w:val="superscript"/>
                <w:lang w:val="bg-BG"/>
              </w:rPr>
              <w:t>ро</w:t>
            </w:r>
            <w:r w:rsidRPr="009072DA">
              <w:rPr>
                <w:sz w:val="18"/>
                <w:lang w:val="bg-BG"/>
              </w:rPr>
              <w:t xml:space="preserve"> изречение</w:t>
            </w:r>
          </w:p>
        </w:tc>
        <w:tc>
          <w:tcPr>
            <w:tcW w:w="3296" w:type="dxa"/>
            <w:shd w:val="clear" w:color="auto" w:fill="auto"/>
          </w:tcPr>
          <w:p w:rsidR="00C01A94" w:rsidRPr="009072DA" w:rsidRDefault="00C01A94" w:rsidP="00C01A94">
            <w:pPr>
              <w:tabs>
                <w:tab w:val="left" w:pos="1080"/>
              </w:tabs>
              <w:spacing w:before="160" w:after="160" w:line="240" w:lineRule="atLeast"/>
              <w:rPr>
                <w:rFonts w:cs="Arial"/>
                <w:sz w:val="18"/>
                <w:szCs w:val="18"/>
                <w:lang w:val="bg-BG"/>
              </w:rPr>
            </w:pPr>
            <w:r w:rsidRPr="009072DA">
              <w:rPr>
                <w:sz w:val="18"/>
                <w:lang w:val="bg-BG"/>
              </w:rPr>
              <w:t>Изисквания към тоалетните, пригодени за ползване от лица с намалена подвижност</w:t>
            </w:r>
          </w:p>
        </w:tc>
        <w:tc>
          <w:tcPr>
            <w:tcW w:w="5387"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60" w:after="1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tcBorders>
            <w:shd w:val="clear" w:color="auto" w:fill="auto"/>
          </w:tcPr>
          <w:p w:rsidR="00C01A94" w:rsidRPr="009072DA" w:rsidRDefault="00C01A94" w:rsidP="00C01A94">
            <w:pPr>
              <w:spacing w:before="16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18</w:t>
            </w:r>
          </w:p>
        </w:tc>
        <w:tc>
          <w:tcPr>
            <w:tcW w:w="3296" w:type="dxa"/>
            <w:shd w:val="clear" w:color="auto" w:fill="auto"/>
          </w:tcPr>
          <w:p w:rsidR="00C01A94" w:rsidRPr="009072DA" w:rsidRDefault="00C01A94" w:rsidP="00C01A94">
            <w:pPr>
              <w:tabs>
                <w:tab w:val="left" w:pos="1080"/>
              </w:tabs>
              <w:spacing w:before="160" w:after="160" w:line="240" w:lineRule="atLeast"/>
              <w:rPr>
                <w:rFonts w:cs="Arial"/>
                <w:sz w:val="18"/>
                <w:szCs w:val="18"/>
                <w:lang w:val="bg-BG"/>
              </w:rPr>
            </w:pPr>
            <w:r w:rsidRPr="009072DA">
              <w:rPr>
                <w:sz w:val="18"/>
                <w:lang w:val="bg-BG"/>
              </w:rPr>
              <w:t>Вентилационна система за каюти без отварящ се прозорец</w:t>
            </w:r>
          </w:p>
        </w:tc>
        <w:tc>
          <w:tcPr>
            <w:tcW w:w="5387"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60" w:after="1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bottom w:val="single" w:sz="4" w:space="0" w:color="auto"/>
            </w:tcBorders>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19.07</w:t>
            </w:r>
            <w:r w:rsidRPr="009072DA">
              <w:rPr>
                <w:color w:val="000000"/>
                <w:sz w:val="18"/>
                <w:vertAlign w:val="superscript"/>
                <w:lang w:val="bg-BG"/>
              </w:rPr>
              <w:footnoteReference w:id="43"/>
            </w: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p>
        </w:tc>
        <w:tc>
          <w:tcPr>
            <w:tcW w:w="3296" w:type="dxa"/>
            <w:shd w:val="clear" w:color="auto" w:fill="auto"/>
          </w:tcPr>
          <w:p w:rsidR="00C01A94" w:rsidRPr="009072DA" w:rsidRDefault="001C15FF" w:rsidP="00C01A94">
            <w:pPr>
              <w:tabs>
                <w:tab w:val="left" w:pos="1080"/>
              </w:tabs>
              <w:spacing w:before="160" w:after="160" w:line="240" w:lineRule="atLeast"/>
              <w:rPr>
                <w:rFonts w:cs="Arial"/>
                <w:sz w:val="18"/>
                <w:szCs w:val="18"/>
                <w:lang w:val="bg-BG"/>
              </w:rPr>
            </w:pPr>
            <w:r w:rsidRPr="009072DA">
              <w:rPr>
                <w:sz w:val="18"/>
                <w:lang w:val="bg-BG"/>
              </w:rPr>
              <w:t>Отделно машинно отделение</w:t>
            </w:r>
          </w:p>
        </w:tc>
        <w:tc>
          <w:tcPr>
            <w:tcW w:w="5387"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1.1.2020 г.</w:t>
            </w:r>
          </w:p>
        </w:tc>
        <w:tc>
          <w:tcPr>
            <w:tcW w:w="1276" w:type="dxa"/>
          </w:tcPr>
          <w:p w:rsidR="00C01A94" w:rsidRPr="009072DA" w:rsidRDefault="00C01A94" w:rsidP="00C01A94">
            <w:pPr>
              <w:spacing w:before="160" w:after="1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lastRenderedPageBreak/>
              <w:t>19.08</w:t>
            </w:r>
          </w:p>
        </w:tc>
        <w:tc>
          <w:tcPr>
            <w:tcW w:w="1458"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Точка 3, буква a)</w:t>
            </w:r>
            <w:r w:rsidRPr="009072DA">
              <w:rPr>
                <w:color w:val="000000"/>
                <w:sz w:val="18"/>
                <w:vertAlign w:val="superscript"/>
                <w:lang w:val="bg-BG"/>
              </w:rPr>
              <w:footnoteReference w:id="44"/>
            </w:r>
          </w:p>
        </w:tc>
        <w:tc>
          <w:tcPr>
            <w:tcW w:w="3296" w:type="dxa"/>
            <w:shd w:val="clear" w:color="auto" w:fill="auto"/>
          </w:tcPr>
          <w:p w:rsidR="00C01A94" w:rsidRPr="009072DA" w:rsidRDefault="00C01A94" w:rsidP="00C42516">
            <w:pPr>
              <w:spacing w:before="160" w:after="160" w:line="240" w:lineRule="atLeast"/>
              <w:rPr>
                <w:rFonts w:cs="Arial"/>
                <w:sz w:val="18"/>
                <w:szCs w:val="18"/>
                <w:lang w:val="bg-BG"/>
              </w:rPr>
            </w:pPr>
            <w:r w:rsidRPr="009072DA">
              <w:rPr>
                <w:sz w:val="18"/>
                <w:lang w:val="bg-BG"/>
              </w:rPr>
              <w:t>Изисквания към алармената система по отношение на възможностите за пътниците, членовете на екипажа или обслужващия персонал да подават сигнал на командването и екипажа на пътническите плавателни съдове</w:t>
            </w:r>
          </w:p>
        </w:tc>
        <w:tc>
          <w:tcPr>
            <w:tcW w:w="5387"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При пътнически плавателни съдове за дневно пътуване, изискването се прилага за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60" w:after="160" w:line="240" w:lineRule="atLeast"/>
              <w:rPr>
                <w:rFonts w:cs="Arial"/>
                <w:sz w:val="18"/>
                <w:szCs w:val="18"/>
                <w:lang w:val="bg-BG"/>
              </w:rPr>
            </w:pPr>
            <w:r w:rsidRPr="009072DA">
              <w:rPr>
                <w:sz w:val="18"/>
                <w:lang w:val="bg-BG"/>
              </w:rPr>
              <w:t>1.1.2020 г.</w:t>
            </w:r>
          </w:p>
        </w:tc>
        <w:tc>
          <w:tcPr>
            <w:tcW w:w="1276" w:type="dxa"/>
          </w:tcPr>
          <w:p w:rsidR="00C01A94" w:rsidRPr="009072DA" w:rsidRDefault="00C01A94" w:rsidP="00C01A94">
            <w:pPr>
              <w:spacing w:before="160" w:after="1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6</w:t>
            </w:r>
          </w:p>
        </w:tc>
        <w:tc>
          <w:tcPr>
            <w:tcW w:w="3296" w:type="dxa"/>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Постоянно монтирана осушителна система</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1.1.2015 г.</w:t>
            </w: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bottom w:val="nil"/>
            </w:tcBorders>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19.10</w:t>
            </w: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Член 10.16, точка 3 също се прилага за проходите и помещенията за отдих за пътниците</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1.1.2015 г.</w:t>
            </w: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3</w:t>
            </w:r>
          </w:p>
        </w:tc>
        <w:tc>
          <w:tcPr>
            <w:tcW w:w="3296" w:type="dxa"/>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Подходящо аварийно осветление</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1.1.2015 г.</w:t>
            </w: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Авариен захранващ агрегат</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 xml:space="preserve">При пътнически плавателни съдове за дневно пътуване с </w:t>
            </w:r>
            <m:oMath>
              <m:sSub>
                <m:sSubPr>
                  <m:ctrlPr>
                    <w:rPr>
                      <w:rFonts w:ascii="Cambria Math" w:hAnsi="Cambria Math" w:cs="Arial"/>
                      <w:i/>
                      <w:sz w:val="18"/>
                      <w:szCs w:val="18"/>
                      <w:lang w:val="bg-BG"/>
                    </w:rPr>
                  </m:ctrlPr>
                </m:sSubPr>
                <m:e>
                  <m:r>
                    <w:rPr>
                      <w:rFonts w:ascii="Cambria Math" w:hAnsi="Cambria Math" w:cs="Arial"/>
                      <w:sz w:val="18"/>
                      <w:szCs w:val="18"/>
                      <w:lang w:val="bg-BG"/>
                    </w:rPr>
                    <m:t>L</m:t>
                  </m:r>
                </m:e>
                <m:sub>
                  <m:r>
                    <w:rPr>
                      <w:rFonts w:ascii="Cambria Math" w:hAnsi="Cambria Math" w:cs="Arial"/>
                      <w:sz w:val="18"/>
                      <w:szCs w:val="18"/>
                      <w:lang w:val="bg-BG"/>
                    </w:rPr>
                    <m:t>WL</m:t>
                  </m:r>
                </m:sub>
              </m:sSub>
            </m:oMath>
            <w:r w:rsidRPr="009072DA">
              <w:rPr>
                <w:sz w:val="18"/>
                <w:lang w:val="bg-BG"/>
              </w:rPr>
              <w:t xml:space="preserve"> от 25 метра или по-малко, разпоредбата се прилага за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1.1.2015 г.</w:t>
            </w: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A5038C">
            <w:pPr>
              <w:spacing w:before="80" w:after="80" w:line="240" w:lineRule="atLeast"/>
              <w:rPr>
                <w:rFonts w:cs="Arial"/>
                <w:sz w:val="18"/>
                <w:szCs w:val="18"/>
                <w:lang w:val="bg-BG"/>
              </w:rPr>
            </w:pPr>
          </w:p>
        </w:tc>
        <w:tc>
          <w:tcPr>
            <w:tcW w:w="1458"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Точка 4, буква е)</w:t>
            </w:r>
          </w:p>
        </w:tc>
        <w:tc>
          <w:tcPr>
            <w:tcW w:w="3296" w:type="dxa"/>
            <w:shd w:val="clear" w:color="auto" w:fill="auto"/>
          </w:tcPr>
          <w:p w:rsidR="00C01A94" w:rsidRPr="009072DA" w:rsidRDefault="00C01A94" w:rsidP="00A5038C">
            <w:pPr>
              <w:tabs>
                <w:tab w:val="left" w:pos="1080"/>
              </w:tabs>
              <w:spacing w:before="80" w:after="80" w:line="240" w:lineRule="atLeast"/>
              <w:rPr>
                <w:rFonts w:cs="Arial"/>
                <w:sz w:val="18"/>
                <w:szCs w:val="18"/>
                <w:lang w:val="bg-BG"/>
              </w:rPr>
            </w:pPr>
            <w:r w:rsidRPr="009072DA">
              <w:rPr>
                <w:sz w:val="18"/>
                <w:lang w:val="bg-BG"/>
              </w:rPr>
              <w:t>Аварийно захранване за прожекторите съгласно член 13.02, точка 2, буква и)</w:t>
            </w:r>
          </w:p>
        </w:tc>
        <w:tc>
          <w:tcPr>
            <w:tcW w:w="5387"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1.1.2015 г.</w:t>
            </w:r>
          </w:p>
        </w:tc>
        <w:tc>
          <w:tcPr>
            <w:tcW w:w="1276" w:type="dxa"/>
          </w:tcPr>
          <w:p w:rsidR="00C01A94" w:rsidRPr="009072DA" w:rsidRDefault="00C01A94" w:rsidP="00A5038C">
            <w:pPr>
              <w:spacing w:before="80" w:after="8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A5038C">
            <w:pPr>
              <w:spacing w:before="80" w:after="80" w:line="240" w:lineRule="atLeast"/>
              <w:rPr>
                <w:rFonts w:cs="Arial"/>
                <w:sz w:val="18"/>
                <w:szCs w:val="18"/>
                <w:lang w:val="bg-BG"/>
              </w:rPr>
            </w:pPr>
          </w:p>
        </w:tc>
        <w:tc>
          <w:tcPr>
            <w:tcW w:w="1458"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Точка 4, буква и)</w:t>
            </w:r>
          </w:p>
        </w:tc>
        <w:tc>
          <w:tcPr>
            <w:tcW w:w="3296" w:type="dxa"/>
            <w:shd w:val="clear" w:color="auto" w:fill="auto"/>
          </w:tcPr>
          <w:p w:rsidR="00C01A94" w:rsidRPr="009072DA" w:rsidRDefault="00C01A94" w:rsidP="00A5038C">
            <w:pPr>
              <w:tabs>
                <w:tab w:val="left" w:pos="1080"/>
              </w:tabs>
              <w:spacing w:before="80" w:after="80" w:line="240" w:lineRule="atLeast"/>
              <w:rPr>
                <w:rFonts w:cs="Arial"/>
                <w:sz w:val="18"/>
                <w:szCs w:val="18"/>
                <w:lang w:val="bg-BG"/>
              </w:rPr>
            </w:pPr>
            <w:r w:rsidRPr="009072DA">
              <w:rPr>
                <w:sz w:val="18"/>
                <w:lang w:val="bg-BG"/>
              </w:rPr>
              <w:t>Аварийно захранване за асансьорите и повдигащото оборудване съгласно член 19.06, точка 9, второ изречение</w:t>
            </w:r>
          </w:p>
        </w:tc>
        <w:tc>
          <w:tcPr>
            <w:tcW w:w="5387"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1.1.2015 г.</w:t>
            </w:r>
          </w:p>
        </w:tc>
        <w:tc>
          <w:tcPr>
            <w:tcW w:w="1276" w:type="dxa"/>
          </w:tcPr>
          <w:p w:rsidR="00C01A94" w:rsidRPr="009072DA" w:rsidRDefault="00C01A94" w:rsidP="00A5038C">
            <w:pPr>
              <w:spacing w:before="80" w:after="8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A5038C">
            <w:pPr>
              <w:spacing w:before="80" w:after="80" w:line="240" w:lineRule="atLeast"/>
              <w:rPr>
                <w:rFonts w:cs="Arial"/>
                <w:sz w:val="18"/>
                <w:szCs w:val="18"/>
                <w:lang w:val="bg-BG"/>
              </w:rPr>
            </w:pPr>
          </w:p>
        </w:tc>
        <w:tc>
          <w:tcPr>
            <w:tcW w:w="1458"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Точка 6, 1</w:t>
            </w:r>
            <w:r w:rsidRPr="009072DA">
              <w:rPr>
                <w:sz w:val="18"/>
                <w:vertAlign w:val="superscript"/>
                <w:lang w:val="bg-BG"/>
              </w:rPr>
              <w:t>во </w:t>
            </w:r>
            <w:r w:rsidRPr="009072DA">
              <w:rPr>
                <w:sz w:val="18"/>
                <w:lang w:val="bg-BG"/>
              </w:rPr>
              <w:t>изречение</w:t>
            </w:r>
          </w:p>
        </w:tc>
        <w:tc>
          <w:tcPr>
            <w:tcW w:w="3296" w:type="dxa"/>
            <w:shd w:val="clear" w:color="auto" w:fill="auto"/>
          </w:tcPr>
          <w:p w:rsidR="00C01A94" w:rsidRPr="009072DA" w:rsidRDefault="00C01A94" w:rsidP="00A5038C">
            <w:pPr>
              <w:tabs>
                <w:tab w:val="left" w:pos="1080"/>
              </w:tabs>
              <w:spacing w:before="80" w:after="80" w:line="240" w:lineRule="atLeast"/>
              <w:rPr>
                <w:rFonts w:cs="Arial"/>
                <w:sz w:val="18"/>
                <w:szCs w:val="18"/>
                <w:lang w:val="bg-BG"/>
              </w:rPr>
            </w:pPr>
            <w:r w:rsidRPr="009072DA">
              <w:rPr>
                <w:sz w:val="18"/>
                <w:lang w:val="bg-BG"/>
              </w:rPr>
              <w:t>Преградни стени съгласно член 19.11, точка 2</w:t>
            </w:r>
          </w:p>
        </w:tc>
        <w:tc>
          <w:tcPr>
            <w:tcW w:w="5387"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1.1.2015 г.</w:t>
            </w:r>
          </w:p>
        </w:tc>
        <w:tc>
          <w:tcPr>
            <w:tcW w:w="1276" w:type="dxa"/>
          </w:tcPr>
          <w:p w:rsidR="00C01A94" w:rsidRPr="009072DA" w:rsidRDefault="00C01A94" w:rsidP="00A5038C">
            <w:pPr>
              <w:spacing w:before="80" w:after="8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A5038C">
            <w:pPr>
              <w:spacing w:before="80" w:after="80" w:line="240" w:lineRule="atLeast"/>
              <w:rPr>
                <w:rFonts w:cs="Arial"/>
                <w:sz w:val="18"/>
                <w:szCs w:val="18"/>
                <w:lang w:val="bg-BG"/>
              </w:rPr>
            </w:pPr>
          </w:p>
        </w:tc>
        <w:tc>
          <w:tcPr>
            <w:tcW w:w="1458"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Точка 6, 2</w:t>
            </w:r>
            <w:r w:rsidRPr="009072DA">
              <w:rPr>
                <w:sz w:val="18"/>
                <w:vertAlign w:val="superscript"/>
                <w:lang w:val="bg-BG"/>
              </w:rPr>
              <w:t>ро</w:t>
            </w:r>
            <w:r w:rsidRPr="009072DA">
              <w:rPr>
                <w:sz w:val="18"/>
                <w:lang w:val="bg-BG"/>
              </w:rPr>
              <w:t xml:space="preserve"> и 3</w:t>
            </w:r>
            <w:r w:rsidRPr="009072DA">
              <w:rPr>
                <w:sz w:val="18"/>
                <w:vertAlign w:val="superscript"/>
                <w:lang w:val="bg-BG"/>
              </w:rPr>
              <w:t>то</w:t>
            </w:r>
            <w:r w:rsidRPr="009072DA">
              <w:rPr>
                <w:sz w:val="18"/>
                <w:lang w:val="bg-BG"/>
              </w:rPr>
              <w:t xml:space="preserve"> изречение</w:t>
            </w:r>
          </w:p>
        </w:tc>
        <w:tc>
          <w:tcPr>
            <w:tcW w:w="3296" w:type="dxa"/>
            <w:shd w:val="clear" w:color="auto" w:fill="auto"/>
          </w:tcPr>
          <w:p w:rsidR="00C01A94" w:rsidRPr="009072DA" w:rsidRDefault="00C01A94" w:rsidP="00A5038C">
            <w:pPr>
              <w:tabs>
                <w:tab w:val="left" w:pos="1080"/>
              </w:tabs>
              <w:spacing w:before="80" w:after="80" w:line="240" w:lineRule="atLeast"/>
              <w:rPr>
                <w:rFonts w:cs="Arial"/>
                <w:sz w:val="18"/>
                <w:szCs w:val="18"/>
                <w:lang w:val="bg-BG"/>
              </w:rPr>
            </w:pPr>
            <w:r w:rsidRPr="009072DA">
              <w:rPr>
                <w:sz w:val="18"/>
                <w:lang w:val="bg-BG"/>
              </w:rPr>
              <w:t>Полагане на кабели</w:t>
            </w:r>
          </w:p>
        </w:tc>
        <w:tc>
          <w:tcPr>
            <w:tcW w:w="5387"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A5038C">
            <w:pPr>
              <w:spacing w:before="80" w:after="80" w:line="240" w:lineRule="atLeast"/>
              <w:rPr>
                <w:rFonts w:cs="Arial"/>
                <w:sz w:val="18"/>
                <w:szCs w:val="18"/>
                <w:lang w:val="bg-BG"/>
              </w:rPr>
            </w:pPr>
            <w:r w:rsidRPr="009072DA">
              <w:rPr>
                <w:sz w:val="18"/>
                <w:lang w:val="bg-BG"/>
              </w:rPr>
              <w:t>1.1.2015 г.</w:t>
            </w:r>
          </w:p>
        </w:tc>
        <w:tc>
          <w:tcPr>
            <w:tcW w:w="1276" w:type="dxa"/>
          </w:tcPr>
          <w:p w:rsidR="00C01A94" w:rsidRPr="009072DA" w:rsidRDefault="00C01A94" w:rsidP="00A5038C">
            <w:pPr>
              <w:spacing w:before="80" w:after="8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single" w:sz="4" w:space="0" w:color="auto"/>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6, 4</w:t>
            </w:r>
            <w:r w:rsidRPr="009072DA">
              <w:rPr>
                <w:sz w:val="18"/>
                <w:vertAlign w:val="superscript"/>
                <w:lang w:val="bg-BG"/>
              </w:rPr>
              <w:t>то</w:t>
            </w:r>
            <w:r w:rsidRPr="009072DA">
              <w:rPr>
                <w:sz w:val="18"/>
                <w:lang w:val="bg-BG"/>
              </w:rPr>
              <w:t xml:space="preserve"> изречение</w:t>
            </w:r>
          </w:p>
        </w:tc>
        <w:tc>
          <w:tcPr>
            <w:tcW w:w="3296" w:type="dxa"/>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Авариен захранващ агрегат над пределната линия</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1.1.2015 г.</w:t>
            </w: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1.1.2006 г.</w:t>
            </w:r>
          </w:p>
        </w:tc>
      </w:tr>
      <w:tr w:rsidR="00C01A94" w:rsidRPr="009072DA" w:rsidTr="00AA5614">
        <w:trPr>
          <w:cantSplit/>
          <w:trHeight w:val="347"/>
          <w:jc w:val="center"/>
        </w:trPr>
        <w:tc>
          <w:tcPr>
            <w:tcW w:w="1342" w:type="dxa"/>
            <w:vMerge w:val="restart"/>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19.11</w:t>
            </w:r>
          </w:p>
        </w:tc>
        <w:tc>
          <w:tcPr>
            <w:tcW w:w="1458" w:type="dxa"/>
            <w:vMerge w:val="restart"/>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1</w:t>
            </w:r>
          </w:p>
        </w:tc>
        <w:tc>
          <w:tcPr>
            <w:tcW w:w="3296" w:type="dxa"/>
            <w:vMerge w:val="restart"/>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Годност на материалите и компонентите за противопожарна защита</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1.1.2006 г.</w:t>
            </w:r>
          </w:p>
        </w:tc>
      </w:tr>
      <w:tr w:rsidR="00C01A94" w:rsidRPr="009072DA" w:rsidTr="00E67DA4">
        <w:trPr>
          <w:cantSplit/>
          <w:trHeight w:val="346"/>
          <w:jc w:val="center"/>
        </w:trPr>
        <w:tc>
          <w:tcPr>
            <w:tcW w:w="1342" w:type="dxa"/>
            <w:vMerge/>
            <w:tcBorders>
              <w:bottom w:val="nil"/>
            </w:tcBorders>
            <w:shd w:val="clear" w:color="auto" w:fill="auto"/>
          </w:tcPr>
          <w:p w:rsidR="00C01A94" w:rsidRPr="009072DA" w:rsidRDefault="00C01A94" w:rsidP="00C01A94">
            <w:pPr>
              <w:spacing w:before="60" w:after="60" w:line="240" w:lineRule="atLeast"/>
              <w:rPr>
                <w:rFonts w:cs="Arial"/>
                <w:sz w:val="18"/>
                <w:szCs w:val="18"/>
                <w:lang w:val="bg-BG"/>
              </w:rPr>
            </w:pPr>
          </w:p>
        </w:tc>
        <w:tc>
          <w:tcPr>
            <w:tcW w:w="1458" w:type="dxa"/>
            <w:vMerge/>
            <w:shd w:val="clear" w:color="auto" w:fill="auto"/>
          </w:tcPr>
          <w:p w:rsidR="00C01A94" w:rsidRPr="009072DA" w:rsidRDefault="00C01A94" w:rsidP="00C01A94">
            <w:pPr>
              <w:spacing w:before="60" w:after="60" w:line="240" w:lineRule="atLeast"/>
              <w:rPr>
                <w:rFonts w:cs="Arial"/>
                <w:sz w:val="18"/>
                <w:szCs w:val="18"/>
                <w:lang w:val="bg-BG"/>
              </w:rPr>
            </w:pPr>
          </w:p>
        </w:tc>
        <w:tc>
          <w:tcPr>
            <w:tcW w:w="3296" w:type="dxa"/>
            <w:vMerge/>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За материали и компоненти, одобрени съгласно Международния кодекс за прилагане на процедури за пожарни изпитвания (кодекс FTP), приет с Резолюция MSC.61(67)</w:t>
            </w:r>
            <w:r w:rsidRPr="009072DA">
              <w:rPr>
                <w:rStyle w:val="FootnoteReference"/>
                <w:sz w:val="18"/>
                <w:lang w:val="bg-BG"/>
              </w:rPr>
              <w:footnoteReference w:id="45"/>
            </w:r>
            <w:r w:rsidRPr="009072DA">
              <w:rPr>
                <w:sz w:val="18"/>
                <w:lang w:val="bg-BG"/>
              </w:rPr>
              <w:t>: НЗР</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7.10.2018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Проектиране на преградни стени</w:t>
            </w:r>
          </w:p>
        </w:tc>
        <w:tc>
          <w:tcPr>
            <w:tcW w:w="5387"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20" w:after="12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3</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Боите, лаковете и другите продукти за обработка на повърхности, както и покритията на палубите, използвани в помещенията, без машинните отделения и складовите помещения, трябва да са забавящи горенето</w:t>
            </w:r>
          </w:p>
        </w:tc>
        <w:tc>
          <w:tcPr>
            <w:tcW w:w="5387"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1.1.2015 г.</w:t>
            </w:r>
          </w:p>
        </w:tc>
        <w:tc>
          <w:tcPr>
            <w:tcW w:w="1276" w:type="dxa"/>
          </w:tcPr>
          <w:p w:rsidR="00C01A94" w:rsidRPr="009072DA" w:rsidRDefault="00C01A94" w:rsidP="00C01A94">
            <w:pPr>
              <w:spacing w:before="120" w:after="12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Таваните на салоните и покритията на стените трябва да са произведени от негорим материал</w:t>
            </w:r>
          </w:p>
        </w:tc>
        <w:tc>
          <w:tcPr>
            <w:tcW w:w="5387"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20" w:after="12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5</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Мебелите и оборудването в сборните пунктове трябва да са произведени от негорим материал</w:t>
            </w:r>
          </w:p>
        </w:tc>
        <w:tc>
          <w:tcPr>
            <w:tcW w:w="5387"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20" w:after="12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6</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Изпитани съгласно Кодекса</w:t>
            </w:r>
          </w:p>
        </w:tc>
        <w:tc>
          <w:tcPr>
            <w:tcW w:w="5387"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20" w:after="12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7</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Изолационни материали в салоните</w:t>
            </w:r>
          </w:p>
        </w:tc>
        <w:tc>
          <w:tcPr>
            <w:tcW w:w="5387"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20" w:after="12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9, буква a), б), в), 2</w:t>
            </w:r>
            <w:r w:rsidRPr="009072DA">
              <w:rPr>
                <w:sz w:val="18"/>
                <w:vertAlign w:val="superscript"/>
                <w:lang w:val="bg-BG"/>
              </w:rPr>
              <w:t>ро </w:t>
            </w:r>
            <w:r w:rsidRPr="009072DA">
              <w:rPr>
                <w:sz w:val="18"/>
                <w:lang w:val="bg-BG"/>
              </w:rPr>
              <w:t>изречение и буква г)</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Изисквания към вратите в преградните стени</w:t>
            </w:r>
          </w:p>
        </w:tc>
        <w:tc>
          <w:tcPr>
            <w:tcW w:w="5387"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20" w:after="12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11</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Преградни стени</w:t>
            </w:r>
          </w:p>
        </w:tc>
        <w:tc>
          <w:tcPr>
            <w:tcW w:w="5387"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20" w:after="12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120" w:after="120" w:line="240" w:lineRule="atLeast"/>
              <w:rPr>
                <w:rFonts w:cs="Arial"/>
                <w:sz w:val="18"/>
                <w:szCs w:val="18"/>
                <w:lang w:val="bg-BG"/>
              </w:rPr>
            </w:pPr>
          </w:p>
        </w:tc>
        <w:tc>
          <w:tcPr>
            <w:tcW w:w="1458"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Точка 13</w:t>
            </w:r>
          </w:p>
        </w:tc>
        <w:tc>
          <w:tcPr>
            <w:tcW w:w="3296" w:type="dxa"/>
            <w:shd w:val="clear" w:color="auto" w:fill="auto"/>
          </w:tcPr>
          <w:p w:rsidR="00C01A94" w:rsidRPr="009072DA" w:rsidRDefault="00C01A94" w:rsidP="00C01A94">
            <w:pPr>
              <w:tabs>
                <w:tab w:val="left" w:pos="1080"/>
              </w:tabs>
              <w:spacing w:before="120" w:after="120" w:line="240" w:lineRule="atLeast"/>
              <w:rPr>
                <w:rFonts w:cs="Arial"/>
                <w:sz w:val="18"/>
                <w:szCs w:val="18"/>
                <w:lang w:val="bg-BG"/>
              </w:rPr>
            </w:pPr>
            <w:r w:rsidRPr="009072DA">
              <w:rPr>
                <w:sz w:val="18"/>
                <w:lang w:val="bg-BG"/>
              </w:rPr>
              <w:t>Стълбища от стомана или друг еквивалентен негорим материал</w:t>
            </w:r>
          </w:p>
        </w:tc>
        <w:tc>
          <w:tcPr>
            <w:tcW w:w="5387"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20" w:after="12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20" w:after="12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14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Точка 14</w:t>
            </w:r>
          </w:p>
        </w:tc>
        <w:tc>
          <w:tcPr>
            <w:tcW w:w="3296" w:type="dxa"/>
            <w:shd w:val="clear" w:color="auto" w:fill="auto"/>
          </w:tcPr>
          <w:p w:rsidR="00C01A94" w:rsidRPr="009072DA" w:rsidRDefault="00C01A94" w:rsidP="00C01A94">
            <w:pPr>
              <w:tabs>
                <w:tab w:val="left" w:pos="1080"/>
              </w:tabs>
              <w:spacing w:before="140" w:after="160" w:line="240" w:lineRule="atLeast"/>
              <w:rPr>
                <w:rFonts w:cs="Arial"/>
                <w:sz w:val="18"/>
                <w:szCs w:val="18"/>
                <w:lang w:val="bg-BG"/>
              </w:rPr>
            </w:pPr>
            <w:r w:rsidRPr="009072DA">
              <w:rPr>
                <w:sz w:val="18"/>
                <w:lang w:val="bg-BG"/>
              </w:rPr>
              <w:t>Вътрешните стълбища, обградени на всички нива от стени в съответствие с точка 2.</w:t>
            </w:r>
          </w:p>
        </w:tc>
        <w:tc>
          <w:tcPr>
            <w:tcW w:w="5387"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40" w:after="1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14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Точка 15</w:t>
            </w:r>
          </w:p>
        </w:tc>
        <w:tc>
          <w:tcPr>
            <w:tcW w:w="3296" w:type="dxa"/>
            <w:shd w:val="clear" w:color="auto" w:fill="auto"/>
          </w:tcPr>
          <w:p w:rsidR="00C01A94" w:rsidRPr="009072DA" w:rsidRDefault="00C01A94" w:rsidP="00C01A94">
            <w:pPr>
              <w:tabs>
                <w:tab w:val="left" w:pos="1080"/>
              </w:tabs>
              <w:spacing w:before="140" w:after="160" w:line="240" w:lineRule="atLeast"/>
              <w:rPr>
                <w:rFonts w:cs="Arial"/>
                <w:sz w:val="18"/>
                <w:szCs w:val="18"/>
                <w:lang w:val="bg-BG"/>
              </w:rPr>
            </w:pPr>
            <w:r w:rsidRPr="009072DA">
              <w:rPr>
                <w:sz w:val="18"/>
                <w:lang w:val="bg-BG"/>
              </w:rPr>
              <w:t>Вентилационни системи и системи за подаване на въздух</w:t>
            </w:r>
          </w:p>
        </w:tc>
        <w:tc>
          <w:tcPr>
            <w:tcW w:w="5387"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40" w:after="1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nil"/>
            </w:tcBorders>
            <w:shd w:val="clear" w:color="auto" w:fill="auto"/>
          </w:tcPr>
          <w:p w:rsidR="00C01A94" w:rsidRPr="009072DA" w:rsidRDefault="00C01A94" w:rsidP="00C01A94">
            <w:pPr>
              <w:spacing w:before="14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Точка 16</w:t>
            </w:r>
          </w:p>
        </w:tc>
        <w:tc>
          <w:tcPr>
            <w:tcW w:w="3296" w:type="dxa"/>
            <w:shd w:val="clear" w:color="auto" w:fill="auto"/>
          </w:tcPr>
          <w:p w:rsidR="00C01A94" w:rsidRPr="009072DA" w:rsidRDefault="00C01A94" w:rsidP="00C01A94">
            <w:pPr>
              <w:tabs>
                <w:tab w:val="left" w:pos="1080"/>
              </w:tabs>
              <w:spacing w:before="140" w:after="160" w:line="240" w:lineRule="atLeast"/>
              <w:rPr>
                <w:rFonts w:cs="Arial"/>
                <w:sz w:val="18"/>
                <w:szCs w:val="18"/>
                <w:lang w:val="bg-BG"/>
              </w:rPr>
            </w:pPr>
            <w:r w:rsidRPr="009072DA">
              <w:rPr>
                <w:sz w:val="18"/>
                <w:lang w:val="bg-BG"/>
              </w:rPr>
              <w:t>Вентилационни системи в камбузите и печки с аспирационни чадъри</w:t>
            </w:r>
          </w:p>
        </w:tc>
        <w:tc>
          <w:tcPr>
            <w:tcW w:w="5387"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40" w:after="160" w:line="240" w:lineRule="atLeast"/>
              <w:rPr>
                <w:rFonts w:cs="Arial"/>
                <w:sz w:val="18"/>
                <w:szCs w:val="18"/>
                <w:lang w:val="bg-BG"/>
              </w:rPr>
            </w:pPr>
            <w:r w:rsidRPr="009072DA">
              <w:rPr>
                <w:sz w:val="18"/>
                <w:lang w:val="bg-BG"/>
              </w:rPr>
              <w:t>1.1.2006 г.</w:t>
            </w:r>
          </w:p>
        </w:tc>
      </w:tr>
      <w:tr w:rsidR="00C01A94" w:rsidRPr="009072DA" w:rsidTr="001640EF">
        <w:trPr>
          <w:cantSplit/>
          <w:jc w:val="center"/>
        </w:trPr>
        <w:tc>
          <w:tcPr>
            <w:tcW w:w="1342" w:type="dxa"/>
            <w:tcBorders>
              <w:top w:val="nil"/>
              <w:bottom w:val="single" w:sz="4" w:space="0" w:color="auto"/>
            </w:tcBorders>
            <w:shd w:val="clear" w:color="auto" w:fill="auto"/>
          </w:tcPr>
          <w:p w:rsidR="00C01A94" w:rsidRPr="009072DA" w:rsidRDefault="00C01A94" w:rsidP="00C01A94">
            <w:pPr>
              <w:spacing w:before="14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Точка 17</w:t>
            </w:r>
          </w:p>
        </w:tc>
        <w:tc>
          <w:tcPr>
            <w:tcW w:w="3296" w:type="dxa"/>
            <w:shd w:val="clear" w:color="auto" w:fill="auto"/>
          </w:tcPr>
          <w:p w:rsidR="00C01A94" w:rsidRPr="009072DA" w:rsidRDefault="00C01A94" w:rsidP="00C01A94">
            <w:pPr>
              <w:tabs>
                <w:tab w:val="left" w:pos="1080"/>
              </w:tabs>
              <w:spacing w:before="140" w:after="160" w:line="240" w:lineRule="atLeast"/>
              <w:rPr>
                <w:rFonts w:cs="Arial"/>
                <w:sz w:val="18"/>
                <w:szCs w:val="18"/>
                <w:lang w:val="bg-BG"/>
              </w:rPr>
            </w:pPr>
            <w:r w:rsidRPr="009072DA">
              <w:rPr>
                <w:sz w:val="18"/>
                <w:lang w:val="bg-BG"/>
              </w:rPr>
              <w:t>Центрове за управление, стълбищни шахти, сборни пунктове и системи за изтегляне на дим</w:t>
            </w:r>
          </w:p>
        </w:tc>
        <w:tc>
          <w:tcPr>
            <w:tcW w:w="5387"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40" w:after="160" w:line="240" w:lineRule="atLeast"/>
              <w:rPr>
                <w:rFonts w:cs="Arial"/>
                <w:sz w:val="18"/>
                <w:szCs w:val="18"/>
                <w:lang w:val="bg-BG"/>
              </w:rPr>
            </w:pPr>
            <w:r w:rsidRPr="009072DA">
              <w:rPr>
                <w:sz w:val="18"/>
                <w:lang w:val="bg-BG"/>
              </w:rPr>
              <w:t>1.1.2006 г.</w:t>
            </w:r>
          </w:p>
        </w:tc>
      </w:tr>
      <w:tr w:rsidR="00C01A94" w:rsidRPr="009072DA" w:rsidTr="001640EF">
        <w:trPr>
          <w:cantSplit/>
          <w:jc w:val="center"/>
        </w:trPr>
        <w:tc>
          <w:tcPr>
            <w:tcW w:w="1342" w:type="dxa"/>
            <w:tcBorders>
              <w:top w:val="single" w:sz="4" w:space="0" w:color="auto"/>
              <w:bottom w:val="nil"/>
            </w:tcBorders>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19.12</w:t>
            </w:r>
          </w:p>
        </w:tc>
        <w:tc>
          <w:tcPr>
            <w:tcW w:w="1458" w:type="dxa"/>
            <w:tcBorders>
              <w:bottom w:val="single" w:sz="4" w:space="0" w:color="auto"/>
            </w:tcBorders>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Точка 8, буква г)</w:t>
            </w:r>
          </w:p>
        </w:tc>
        <w:tc>
          <w:tcPr>
            <w:tcW w:w="3296" w:type="dxa"/>
            <w:tcBorders>
              <w:bottom w:val="single" w:sz="4" w:space="0" w:color="auto"/>
            </w:tcBorders>
            <w:shd w:val="clear" w:color="auto" w:fill="auto"/>
          </w:tcPr>
          <w:p w:rsidR="00C01A94" w:rsidRPr="009072DA" w:rsidRDefault="00C01A94" w:rsidP="00C01A94">
            <w:pPr>
              <w:tabs>
                <w:tab w:val="left" w:pos="1080"/>
              </w:tabs>
              <w:spacing w:before="140" w:after="160" w:line="240" w:lineRule="atLeast"/>
              <w:rPr>
                <w:rFonts w:cs="Arial"/>
                <w:sz w:val="18"/>
                <w:szCs w:val="18"/>
                <w:lang w:val="bg-BG"/>
              </w:rPr>
            </w:pPr>
            <w:r w:rsidRPr="009072DA">
              <w:rPr>
                <w:sz w:val="18"/>
                <w:lang w:val="bg-BG"/>
              </w:rPr>
              <w:t>Инсталиране на пожарни помпи</w:t>
            </w:r>
          </w:p>
        </w:tc>
        <w:tc>
          <w:tcPr>
            <w:tcW w:w="5387"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1.1.2020 г.</w:t>
            </w:r>
          </w:p>
        </w:tc>
        <w:tc>
          <w:tcPr>
            <w:tcW w:w="1276" w:type="dxa"/>
          </w:tcPr>
          <w:p w:rsidR="00C01A94" w:rsidRPr="009072DA" w:rsidRDefault="00C01A94" w:rsidP="00C01A94">
            <w:pPr>
              <w:spacing w:before="140" w:after="160" w:line="240" w:lineRule="atLeast"/>
              <w:rPr>
                <w:rFonts w:cs="Arial"/>
                <w:sz w:val="18"/>
                <w:szCs w:val="18"/>
                <w:lang w:val="bg-BG"/>
              </w:rPr>
            </w:pPr>
            <w:r w:rsidRPr="009072DA">
              <w:rPr>
                <w:sz w:val="18"/>
                <w:lang w:val="bg-BG"/>
              </w:rPr>
              <w:t>7.10.2018 г.</w:t>
            </w:r>
          </w:p>
        </w:tc>
      </w:tr>
      <w:tr w:rsidR="00C01A94" w:rsidRPr="009072DA" w:rsidTr="00F14E8B">
        <w:trPr>
          <w:cantSplit/>
          <w:jc w:val="center"/>
        </w:trPr>
        <w:tc>
          <w:tcPr>
            <w:tcW w:w="1342" w:type="dxa"/>
            <w:tcBorders>
              <w:top w:val="nil"/>
              <w:bottom w:val="nil"/>
            </w:tcBorders>
            <w:shd w:val="clear" w:color="auto" w:fill="auto"/>
          </w:tcPr>
          <w:p w:rsidR="00C01A94" w:rsidRPr="009072DA" w:rsidRDefault="00C01A94" w:rsidP="00C01A94">
            <w:pPr>
              <w:spacing w:before="140" w:after="160" w:line="240" w:lineRule="atLeast"/>
              <w:rPr>
                <w:rFonts w:cs="Arial"/>
                <w:sz w:val="18"/>
                <w:szCs w:val="18"/>
                <w:lang w:val="bg-BG"/>
              </w:rPr>
            </w:pPr>
          </w:p>
        </w:tc>
        <w:tc>
          <w:tcPr>
            <w:tcW w:w="1458" w:type="dxa"/>
            <w:vMerge w:val="restart"/>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Точка 9</w:t>
            </w:r>
          </w:p>
        </w:tc>
        <w:tc>
          <w:tcPr>
            <w:tcW w:w="3296" w:type="dxa"/>
            <w:vMerge w:val="restart"/>
            <w:shd w:val="clear" w:color="auto" w:fill="auto"/>
          </w:tcPr>
          <w:p w:rsidR="00C01A94" w:rsidRPr="009072DA" w:rsidRDefault="00C01A94" w:rsidP="00C01A94">
            <w:pPr>
              <w:tabs>
                <w:tab w:val="left" w:pos="1080"/>
              </w:tabs>
              <w:spacing w:before="140" w:after="160" w:line="240" w:lineRule="atLeast"/>
              <w:rPr>
                <w:rFonts w:cs="Arial"/>
                <w:sz w:val="18"/>
                <w:szCs w:val="18"/>
                <w:lang w:val="bg-BG"/>
              </w:rPr>
            </w:pPr>
            <w:r w:rsidRPr="009072DA">
              <w:rPr>
                <w:sz w:val="18"/>
                <w:lang w:val="bg-BG"/>
              </w:rPr>
              <w:t>Пожарогасителна система в машинните отделения</w:t>
            </w:r>
          </w:p>
        </w:tc>
        <w:tc>
          <w:tcPr>
            <w:tcW w:w="5387"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vMerge w:val="restart"/>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1.1.2015 г.</w:t>
            </w:r>
          </w:p>
        </w:tc>
        <w:tc>
          <w:tcPr>
            <w:tcW w:w="1276" w:type="dxa"/>
            <w:vMerge w:val="restart"/>
          </w:tcPr>
          <w:p w:rsidR="00C01A94" w:rsidRPr="009072DA" w:rsidRDefault="00C01A94" w:rsidP="00C01A94">
            <w:pPr>
              <w:spacing w:before="140" w:after="160" w:line="240" w:lineRule="atLeast"/>
              <w:rPr>
                <w:rFonts w:cs="Arial"/>
                <w:sz w:val="18"/>
                <w:szCs w:val="18"/>
                <w:lang w:val="bg-BG"/>
              </w:rPr>
            </w:pPr>
            <w:r w:rsidRPr="009072DA">
              <w:rPr>
                <w:sz w:val="18"/>
                <w:lang w:val="bg-BG"/>
              </w:rPr>
              <w:t>1.1.2006 г.</w:t>
            </w:r>
          </w:p>
        </w:tc>
      </w:tr>
      <w:tr w:rsidR="00C01A94" w:rsidRPr="008D2440" w:rsidTr="00F14E8B">
        <w:trPr>
          <w:cantSplit/>
          <w:jc w:val="center"/>
        </w:trPr>
        <w:tc>
          <w:tcPr>
            <w:tcW w:w="1342" w:type="dxa"/>
            <w:tcBorders>
              <w:top w:val="nil"/>
            </w:tcBorders>
            <w:shd w:val="clear" w:color="auto" w:fill="auto"/>
          </w:tcPr>
          <w:p w:rsidR="00C01A94" w:rsidRPr="009072DA" w:rsidRDefault="00C01A94" w:rsidP="00C01A94">
            <w:pPr>
              <w:spacing w:before="140" w:after="160" w:line="240" w:lineRule="atLeast"/>
              <w:rPr>
                <w:rFonts w:cs="Arial"/>
                <w:sz w:val="18"/>
                <w:szCs w:val="18"/>
                <w:lang w:val="bg-BG"/>
              </w:rPr>
            </w:pPr>
          </w:p>
        </w:tc>
        <w:tc>
          <w:tcPr>
            <w:tcW w:w="1458" w:type="dxa"/>
            <w:vMerge/>
            <w:shd w:val="clear" w:color="auto" w:fill="auto"/>
          </w:tcPr>
          <w:p w:rsidR="00C01A94" w:rsidRPr="009072DA" w:rsidRDefault="00C01A94" w:rsidP="00C01A94">
            <w:pPr>
              <w:spacing w:before="140" w:after="160" w:line="240" w:lineRule="atLeast"/>
              <w:rPr>
                <w:rFonts w:cs="Arial"/>
                <w:sz w:val="18"/>
                <w:szCs w:val="18"/>
                <w:lang w:val="bg-BG"/>
              </w:rPr>
            </w:pPr>
          </w:p>
        </w:tc>
        <w:tc>
          <w:tcPr>
            <w:tcW w:w="3296" w:type="dxa"/>
            <w:vMerge/>
            <w:shd w:val="clear" w:color="auto" w:fill="auto"/>
          </w:tcPr>
          <w:p w:rsidR="00C01A94" w:rsidRPr="009072DA" w:rsidRDefault="00C01A94" w:rsidP="00C01A94">
            <w:pPr>
              <w:tabs>
                <w:tab w:val="left" w:pos="1080"/>
              </w:tabs>
              <w:spacing w:before="140" w:after="160" w:line="240" w:lineRule="atLeast"/>
              <w:rPr>
                <w:rFonts w:cs="Arial"/>
                <w:sz w:val="18"/>
                <w:szCs w:val="18"/>
                <w:lang w:val="bg-BG"/>
              </w:rPr>
            </w:pPr>
          </w:p>
        </w:tc>
        <w:tc>
          <w:tcPr>
            <w:tcW w:w="5387"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Преходната разпоредба не се прилага за пътнически плавателни съдове, построени след 31.12.1995 г., чийто корпус е от дърво, алуминий или пластмаса и чиито машинни отделения не са направени от материал,  съответстващ на изискванията по член 3.04, точки 3 и 4.</w:t>
            </w:r>
          </w:p>
        </w:tc>
        <w:tc>
          <w:tcPr>
            <w:tcW w:w="1276" w:type="dxa"/>
            <w:vMerge/>
            <w:shd w:val="clear" w:color="auto" w:fill="auto"/>
          </w:tcPr>
          <w:p w:rsidR="00C01A94" w:rsidRPr="009072DA" w:rsidRDefault="00C01A94" w:rsidP="00C01A94">
            <w:pPr>
              <w:spacing w:before="140" w:after="160" w:line="240" w:lineRule="atLeast"/>
              <w:rPr>
                <w:rFonts w:cs="Arial"/>
                <w:sz w:val="18"/>
                <w:szCs w:val="18"/>
                <w:lang w:val="bg-BG"/>
              </w:rPr>
            </w:pPr>
          </w:p>
        </w:tc>
        <w:tc>
          <w:tcPr>
            <w:tcW w:w="1276" w:type="dxa"/>
            <w:vMerge/>
          </w:tcPr>
          <w:p w:rsidR="00C01A94" w:rsidRPr="009072DA" w:rsidRDefault="00C01A94" w:rsidP="00C01A94">
            <w:pPr>
              <w:spacing w:before="140" w:after="160" w:line="240" w:lineRule="atLeast"/>
              <w:rPr>
                <w:rFonts w:cs="Arial"/>
                <w:sz w:val="18"/>
                <w:szCs w:val="18"/>
                <w:lang w:val="bg-BG"/>
              </w:rPr>
            </w:pPr>
          </w:p>
        </w:tc>
      </w:tr>
      <w:tr w:rsidR="00C01A94" w:rsidRPr="009072DA" w:rsidTr="00E67DA4">
        <w:trPr>
          <w:cantSplit/>
          <w:jc w:val="center"/>
        </w:trPr>
        <w:tc>
          <w:tcPr>
            <w:tcW w:w="1342" w:type="dxa"/>
            <w:tcBorders>
              <w:bottom w:val="nil"/>
            </w:tcBorders>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19.14</w:t>
            </w:r>
          </w:p>
        </w:tc>
        <w:tc>
          <w:tcPr>
            <w:tcW w:w="1458"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Точка 1</w:t>
            </w:r>
          </w:p>
        </w:tc>
        <w:tc>
          <w:tcPr>
            <w:tcW w:w="3296" w:type="dxa"/>
            <w:shd w:val="clear" w:color="auto" w:fill="auto"/>
          </w:tcPr>
          <w:p w:rsidR="00C01A94" w:rsidRPr="009072DA" w:rsidRDefault="00C01A94" w:rsidP="00C01A94">
            <w:pPr>
              <w:tabs>
                <w:tab w:val="left" w:pos="1080"/>
              </w:tabs>
              <w:spacing w:before="140" w:after="160" w:line="240" w:lineRule="atLeast"/>
              <w:rPr>
                <w:rFonts w:cs="Arial"/>
                <w:sz w:val="18"/>
                <w:szCs w:val="18"/>
                <w:lang w:val="bg-BG"/>
              </w:rPr>
            </w:pPr>
            <w:r w:rsidRPr="009072DA">
              <w:rPr>
                <w:sz w:val="18"/>
                <w:lang w:val="bg-BG"/>
              </w:rPr>
              <w:t>Резервоари и съоръжения за събиране и обезвреждане на отпадъчни води</w:t>
            </w:r>
          </w:p>
        </w:tc>
        <w:tc>
          <w:tcPr>
            <w:tcW w:w="5387"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За плавателни съдове с каюти с не повече от 50 койки и за плавателни съдове за дневно пътуване: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40" w:after="1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top w:val="nil"/>
              <w:bottom w:val="single" w:sz="4" w:space="0" w:color="auto"/>
            </w:tcBorders>
            <w:shd w:val="clear" w:color="auto" w:fill="auto"/>
          </w:tcPr>
          <w:p w:rsidR="00C01A94" w:rsidRPr="009072DA" w:rsidRDefault="00C01A94" w:rsidP="00C01A94">
            <w:pPr>
              <w:spacing w:before="140" w:after="160" w:line="240" w:lineRule="atLeast"/>
              <w:rPr>
                <w:rFonts w:cs="Arial"/>
                <w:sz w:val="18"/>
                <w:szCs w:val="18"/>
                <w:lang w:val="bg-BG"/>
              </w:rPr>
            </w:pPr>
          </w:p>
        </w:tc>
        <w:tc>
          <w:tcPr>
            <w:tcW w:w="1458"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C01A94">
            <w:pPr>
              <w:tabs>
                <w:tab w:val="left" w:pos="1080"/>
              </w:tabs>
              <w:spacing w:before="140" w:after="160" w:line="240" w:lineRule="atLeast"/>
              <w:rPr>
                <w:rFonts w:cs="Arial"/>
                <w:sz w:val="18"/>
                <w:szCs w:val="18"/>
                <w:lang w:val="bg-BG"/>
              </w:rPr>
            </w:pPr>
            <w:r w:rsidRPr="009072DA">
              <w:rPr>
                <w:sz w:val="18"/>
                <w:lang w:val="bg-BG"/>
              </w:rPr>
              <w:t>Изисквания към резервоарите за събиране на отпадъчни води</w:t>
            </w:r>
          </w:p>
        </w:tc>
        <w:tc>
          <w:tcPr>
            <w:tcW w:w="5387"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За плавателни съдове с каюти с не повече от 50 койки и за плавателни съдове за дневно пътуване с не повече от 50 пътника: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140" w:after="1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140" w:after="1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1342" w:type="dxa"/>
            <w:tcBorders>
              <w:bottom w:val="nil"/>
            </w:tcBorders>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19.15</w:t>
            </w: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1</w:t>
            </w:r>
          </w:p>
        </w:tc>
        <w:tc>
          <w:tcPr>
            <w:tcW w:w="3296" w:type="dxa"/>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Устойчивост в повредено състояние</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1.1.2045 г.</w:t>
            </w: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1.1.2006 г.</w:t>
            </w:r>
          </w:p>
        </w:tc>
      </w:tr>
      <w:tr w:rsidR="00C01A94" w:rsidRPr="009072DA" w:rsidTr="00E67DA4">
        <w:trPr>
          <w:cantSplit/>
          <w:jc w:val="center"/>
        </w:trPr>
        <w:tc>
          <w:tcPr>
            <w:tcW w:w="6096" w:type="dxa"/>
            <w:gridSpan w:val="3"/>
            <w:shd w:val="clear" w:color="auto" w:fill="auto"/>
          </w:tcPr>
          <w:p w:rsidR="00C01A94" w:rsidRPr="009072DA" w:rsidRDefault="00C01A94" w:rsidP="00C01A94">
            <w:pPr>
              <w:tabs>
                <w:tab w:val="left" w:pos="1080"/>
              </w:tabs>
              <w:spacing w:before="60" w:after="60" w:line="240" w:lineRule="atLeast"/>
              <w:jc w:val="center"/>
              <w:rPr>
                <w:rFonts w:cs="Arial"/>
                <w:sz w:val="18"/>
                <w:szCs w:val="18"/>
                <w:lang w:val="bg-BG"/>
              </w:rPr>
            </w:pPr>
            <w:r w:rsidRPr="009072DA">
              <w:rPr>
                <w:b/>
                <w:sz w:val="18"/>
                <w:lang w:val="bg-BG"/>
              </w:rPr>
              <w:t>ГЛАВА 29</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p>
        </w:tc>
        <w:tc>
          <w:tcPr>
            <w:tcW w:w="1276" w:type="dxa"/>
          </w:tcPr>
          <w:p w:rsidR="00C01A94" w:rsidRPr="009072DA" w:rsidRDefault="00C01A94" w:rsidP="00C01A94">
            <w:pPr>
              <w:spacing w:before="60" w:after="60" w:line="240" w:lineRule="atLeast"/>
              <w:rPr>
                <w:rFonts w:cs="Arial"/>
                <w:sz w:val="18"/>
                <w:szCs w:val="18"/>
                <w:lang w:val="bg-BG"/>
              </w:rPr>
            </w:pPr>
          </w:p>
        </w:tc>
      </w:tr>
      <w:tr w:rsidR="00C01A94" w:rsidRPr="009072DA" w:rsidTr="00E67DA4">
        <w:trPr>
          <w:cantSplit/>
          <w:jc w:val="center"/>
        </w:trPr>
        <w:tc>
          <w:tcPr>
            <w:tcW w:w="1342"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lastRenderedPageBreak/>
              <w:t>29.02</w:t>
            </w:r>
          </w:p>
        </w:tc>
        <w:tc>
          <w:tcPr>
            <w:tcW w:w="1458"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Точка 3</w:t>
            </w:r>
          </w:p>
        </w:tc>
        <w:tc>
          <w:tcPr>
            <w:tcW w:w="3296" w:type="dxa"/>
            <w:shd w:val="clear" w:color="auto" w:fill="auto"/>
          </w:tcPr>
          <w:p w:rsidR="00C01A94" w:rsidRPr="009072DA" w:rsidRDefault="00C01A94" w:rsidP="00C01A94">
            <w:pPr>
              <w:tabs>
                <w:tab w:val="left" w:pos="1080"/>
              </w:tabs>
              <w:spacing w:before="60" w:after="60" w:line="240" w:lineRule="atLeast"/>
              <w:rPr>
                <w:rFonts w:cs="Arial"/>
                <w:sz w:val="18"/>
                <w:szCs w:val="18"/>
                <w:lang w:val="bg-BG"/>
              </w:rPr>
            </w:pPr>
            <w:r w:rsidRPr="009072DA">
              <w:rPr>
                <w:sz w:val="18"/>
                <w:lang w:val="bg-BG"/>
              </w:rPr>
              <w:t>В експлоатация влиза второ независимо задвижващо звено на рулевия апарат или ръчно задвижващо звено</w:t>
            </w:r>
          </w:p>
        </w:tc>
        <w:tc>
          <w:tcPr>
            <w:tcW w:w="5387"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C01A94">
            <w:pPr>
              <w:spacing w:before="60" w:after="60" w:line="240" w:lineRule="atLeast"/>
              <w:rPr>
                <w:rFonts w:cs="Arial"/>
                <w:sz w:val="18"/>
                <w:szCs w:val="18"/>
                <w:lang w:val="bg-BG"/>
              </w:rPr>
            </w:pPr>
            <w:r w:rsidRPr="009072DA">
              <w:rPr>
                <w:sz w:val="18"/>
                <w:lang w:val="bg-BG"/>
              </w:rPr>
              <w:t>1.1.2025 г.</w:t>
            </w:r>
          </w:p>
        </w:tc>
        <w:tc>
          <w:tcPr>
            <w:tcW w:w="1276" w:type="dxa"/>
          </w:tcPr>
          <w:p w:rsidR="00C01A94" w:rsidRPr="009072DA" w:rsidRDefault="00C01A94" w:rsidP="00C01A94">
            <w:pPr>
              <w:spacing w:before="60" w:after="60" w:line="240" w:lineRule="atLeast"/>
              <w:rPr>
                <w:rFonts w:cs="Arial"/>
                <w:sz w:val="18"/>
                <w:szCs w:val="18"/>
                <w:lang w:val="bg-BG"/>
              </w:rPr>
            </w:pPr>
            <w:r w:rsidRPr="009072DA">
              <w:rPr>
                <w:sz w:val="18"/>
                <w:lang w:val="bg-BG"/>
              </w:rPr>
              <w:t>1.4.2005 г.</w:t>
            </w:r>
          </w:p>
        </w:tc>
      </w:tr>
    </w:tbl>
    <w:p w:rsidR="001E2331" w:rsidRPr="009072DA" w:rsidRDefault="001E2331" w:rsidP="001E2331">
      <w:pPr>
        <w:spacing w:line="240" w:lineRule="atLeast"/>
        <w:ind w:left="567" w:hanging="567"/>
        <w:rPr>
          <w:rFonts w:cs="Arial"/>
          <w:sz w:val="18"/>
          <w:szCs w:val="18"/>
          <w:lang w:val="bg-BG"/>
        </w:rPr>
      </w:pPr>
    </w:p>
    <w:p w:rsidR="00600BEE" w:rsidRPr="009072DA" w:rsidRDefault="00600BEE">
      <w:pPr>
        <w:rPr>
          <w:lang w:val="bg-BG"/>
        </w:rPr>
      </w:pPr>
    </w:p>
    <w:p w:rsidR="00234B95" w:rsidRPr="009072DA" w:rsidRDefault="00234B95">
      <w:pPr>
        <w:rPr>
          <w:lang w:val="bg-BG"/>
        </w:rPr>
      </w:pPr>
      <w:r w:rsidRPr="009072DA">
        <w:rPr>
          <w:lang w:val="bg-BG"/>
        </w:rPr>
        <w:br w:type="page"/>
      </w:r>
    </w:p>
    <w:p w:rsidR="00234B95" w:rsidRPr="009072DA" w:rsidRDefault="00234B95">
      <w:pPr>
        <w:rPr>
          <w:lang w:val="bg-BG"/>
        </w:rPr>
      </w:pPr>
    </w:p>
    <w:p w:rsidR="002B4577" w:rsidRPr="009072DA" w:rsidRDefault="002B4577" w:rsidP="001E2331">
      <w:pPr>
        <w:spacing w:line="240" w:lineRule="atLeast"/>
        <w:ind w:left="567" w:hanging="567"/>
        <w:rPr>
          <w:lang w:val="bg-BG"/>
        </w:rPr>
      </w:pPr>
    </w:p>
    <w:p w:rsidR="002B4577" w:rsidRPr="009072DA" w:rsidRDefault="002B4577" w:rsidP="001E2331">
      <w:pPr>
        <w:spacing w:line="240" w:lineRule="atLeast"/>
        <w:ind w:left="567" w:hanging="567"/>
        <w:rPr>
          <w:lang w:val="bg-BG"/>
        </w:rPr>
      </w:pPr>
    </w:p>
    <w:p w:rsidR="001E2331" w:rsidRPr="009072DA" w:rsidRDefault="001E2331" w:rsidP="001E2331">
      <w:pPr>
        <w:spacing w:line="240" w:lineRule="atLeast"/>
        <w:ind w:left="567" w:hanging="567"/>
        <w:rPr>
          <w:lang w:val="bg-BG"/>
        </w:rPr>
      </w:pPr>
    </w:p>
    <w:p w:rsidR="00C05CA2" w:rsidRPr="009072DA" w:rsidRDefault="00C05CA2" w:rsidP="001E2331">
      <w:pPr>
        <w:spacing w:line="240" w:lineRule="atLeast"/>
        <w:ind w:left="567" w:hanging="567"/>
        <w:rPr>
          <w:lang w:val="bg-BG"/>
        </w:rPr>
        <w:sectPr w:rsidR="00C05CA2" w:rsidRPr="009072DA" w:rsidSect="001E2331">
          <w:footnotePr>
            <w:numRestart w:val="eachPage"/>
          </w:footnotePr>
          <w:pgSz w:w="16838" w:h="11906" w:orient="landscape" w:code="9"/>
          <w:pgMar w:top="1418" w:right="1418" w:bottom="1418" w:left="1418" w:header="709" w:footer="709" w:gutter="0"/>
          <w:cols w:space="709"/>
          <w:titlePg/>
          <w:docGrid w:linePitch="272"/>
        </w:sectPr>
      </w:pPr>
    </w:p>
    <w:p w:rsidR="00C05CA2" w:rsidRPr="009072DA" w:rsidRDefault="00C05CA2" w:rsidP="00254134">
      <w:pPr>
        <w:ind w:left="567" w:hanging="567"/>
        <w:rPr>
          <w:sz w:val="12"/>
          <w:lang w:val="bg-BG"/>
        </w:rPr>
      </w:pPr>
    </w:p>
    <w:p w:rsidR="001E2331" w:rsidRPr="009072DA" w:rsidRDefault="001E2331" w:rsidP="00C05CA2">
      <w:pPr>
        <w:pStyle w:val="ES-Titre2"/>
        <w:pageBreakBefore w:val="0"/>
      </w:pPr>
      <w:bookmarkStart w:id="576" w:name="_Toc491854283"/>
      <w:bookmarkStart w:id="577" w:name="_Toc535827724"/>
      <w:r w:rsidRPr="009072DA">
        <w:t>Глава 33</w:t>
      </w:r>
      <w:r w:rsidRPr="009072DA">
        <w:br/>
        <w:t>Преходни разпоредби по отношение на плавателните средства, плаващи изключително по водните пътища извън Рейн (зона R)</w:t>
      </w:r>
      <w:bookmarkEnd w:id="576"/>
      <w:bookmarkEnd w:id="577"/>
    </w:p>
    <w:p w:rsidR="001E2331" w:rsidRPr="009072DA" w:rsidRDefault="001E2331" w:rsidP="001E2331">
      <w:pPr>
        <w:overflowPunct w:val="0"/>
        <w:adjustRightInd w:val="0"/>
        <w:spacing w:line="240" w:lineRule="exact"/>
        <w:jc w:val="center"/>
        <w:textAlignment w:val="baseline"/>
        <w:rPr>
          <w:rFonts w:eastAsia="Calibri"/>
          <w:b/>
          <w:lang w:val="bg-BG"/>
        </w:rPr>
      </w:pPr>
    </w:p>
    <w:p w:rsidR="001E2331" w:rsidRPr="009072DA" w:rsidRDefault="001E2331" w:rsidP="00C05CA2">
      <w:pPr>
        <w:pStyle w:val="ES-Titre3prchap32"/>
      </w:pPr>
      <w:bookmarkStart w:id="578" w:name="_Toc491854284"/>
      <w:bookmarkStart w:id="579" w:name="_Toc535827725"/>
      <w:r w:rsidRPr="009072DA">
        <w:t>Член 33.01</w:t>
      </w:r>
      <w:bookmarkEnd w:id="578"/>
      <w:bookmarkEnd w:id="579"/>
    </w:p>
    <w:p w:rsidR="001E2331" w:rsidRPr="009072DA" w:rsidRDefault="00934A8A" w:rsidP="00A455C7">
      <w:pPr>
        <w:pStyle w:val="ES-Titre3a"/>
        <w:rPr>
          <w:lang w:val="bg-BG"/>
        </w:rPr>
      </w:pPr>
      <w:bookmarkStart w:id="580" w:name="_Toc421775895"/>
      <w:bookmarkStart w:id="581" w:name="_Toc491854285"/>
      <w:bookmarkStart w:id="582" w:name="_Toc535827726"/>
      <w:r w:rsidRPr="009072DA">
        <w:rPr>
          <w:lang w:val="bg-BG"/>
        </w:rPr>
        <w:t>Приложимост на преходните разпоредби към плавателни средства, които са вече в експлоатация</w:t>
      </w:r>
      <w:bookmarkEnd w:id="580"/>
      <w:bookmarkEnd w:id="581"/>
      <w:bookmarkEnd w:id="582"/>
    </w:p>
    <w:p w:rsidR="001E2331" w:rsidRPr="009072DA" w:rsidRDefault="001E2331" w:rsidP="001E2331">
      <w:pPr>
        <w:spacing w:line="240" w:lineRule="atLeast"/>
        <w:ind w:left="567" w:hanging="567"/>
        <w:rPr>
          <w:lang w:val="bg-BG"/>
        </w:rPr>
      </w:pPr>
    </w:p>
    <w:p w:rsidR="00934A8A" w:rsidRPr="009072DA" w:rsidRDefault="00934A8A" w:rsidP="00934A8A">
      <w:pPr>
        <w:spacing w:line="240" w:lineRule="atLeast"/>
        <w:ind w:left="567" w:hanging="567"/>
        <w:rPr>
          <w:lang w:val="bg-BG"/>
        </w:rPr>
      </w:pPr>
      <w:r w:rsidRPr="009072DA">
        <w:rPr>
          <w:lang w:val="bg-BG"/>
        </w:rPr>
        <w:t>1.</w:t>
      </w:r>
      <w:r w:rsidRPr="009072DA">
        <w:rPr>
          <w:lang w:val="bg-BG"/>
        </w:rPr>
        <w:tab/>
        <w:t>Разпоредбите на член 33.02 и член 33.03 се прилагат по отношение на плавателни средства, плаващи изключително по водните пътища извън Рейн (зона R):</w:t>
      </w:r>
    </w:p>
    <w:p w:rsidR="00934A8A" w:rsidRPr="009072DA" w:rsidRDefault="00934A8A" w:rsidP="00934A8A">
      <w:pPr>
        <w:spacing w:before="60" w:line="240" w:lineRule="atLeast"/>
        <w:ind w:left="992"/>
        <w:rPr>
          <w:lang w:val="bg-BG"/>
        </w:rPr>
      </w:pPr>
      <w:r w:rsidRPr="009072DA">
        <w:rPr>
          <w:lang w:val="bg-BG"/>
        </w:rPr>
        <w:t>a)</w:t>
      </w:r>
      <w:r w:rsidRPr="009072DA">
        <w:rPr>
          <w:lang w:val="bg-BG"/>
        </w:rPr>
        <w:tab/>
        <w:t>за които удостоверение на Общността е било издадено първоначално преди 30 декември 2008 г.,</w:t>
      </w:r>
    </w:p>
    <w:p w:rsidR="00934A8A" w:rsidRPr="009072DA" w:rsidRDefault="00934A8A" w:rsidP="00934A8A">
      <w:pPr>
        <w:spacing w:before="60" w:line="240" w:lineRule="atLeast"/>
        <w:ind w:left="992"/>
        <w:rPr>
          <w:lang w:val="bg-BG"/>
        </w:rPr>
      </w:pPr>
      <w:r w:rsidRPr="009072DA">
        <w:rPr>
          <w:lang w:val="bg-BG"/>
        </w:rPr>
        <w:t>б)</w:t>
      </w:r>
      <w:r w:rsidRPr="009072DA">
        <w:rPr>
          <w:lang w:val="bg-BG"/>
        </w:rPr>
        <w:tab/>
        <w:t xml:space="preserve">за които друг лиценз за движение е бил издаден преди 30 декември 2008 г. </w:t>
      </w:r>
    </w:p>
    <w:p w:rsidR="00934A8A" w:rsidRPr="009072DA" w:rsidRDefault="00934A8A" w:rsidP="00934A8A">
      <w:pPr>
        <w:spacing w:line="240" w:lineRule="atLeast"/>
        <w:ind w:left="567" w:hanging="567"/>
        <w:rPr>
          <w:lang w:val="bg-BG"/>
        </w:rPr>
      </w:pPr>
    </w:p>
    <w:p w:rsidR="00934A8A" w:rsidRPr="009072DA" w:rsidRDefault="00934A8A" w:rsidP="00934A8A">
      <w:pPr>
        <w:spacing w:line="240" w:lineRule="atLeast"/>
        <w:ind w:left="567" w:hanging="567"/>
        <w:rPr>
          <w:lang w:val="bg-BG"/>
        </w:rPr>
      </w:pPr>
      <w:r w:rsidRPr="009072DA">
        <w:rPr>
          <w:lang w:val="bg-BG"/>
        </w:rPr>
        <w:t>2.</w:t>
      </w:r>
      <w:r w:rsidRPr="009072DA">
        <w:rPr>
          <w:lang w:val="bg-BG"/>
        </w:rPr>
        <w:tab/>
        <w:t>Трябва да се докаже, че тези плавателни средства отговарят на техническите изисквания на глави 1—12 от приложение II към Директива 82/714/ЕИО към датата, на която е издаден(о) удостоверението на Общността или другият лиценз за движение.</w:t>
      </w:r>
    </w:p>
    <w:p w:rsidR="00934A8A" w:rsidRPr="009072DA" w:rsidRDefault="00934A8A" w:rsidP="00934A8A">
      <w:pPr>
        <w:spacing w:line="240" w:lineRule="atLeast"/>
        <w:ind w:left="567" w:hanging="567"/>
        <w:rPr>
          <w:lang w:val="bg-BG"/>
        </w:rPr>
      </w:pPr>
    </w:p>
    <w:p w:rsidR="00934A8A" w:rsidRPr="009072DA" w:rsidRDefault="00934A8A" w:rsidP="00934A8A">
      <w:pPr>
        <w:spacing w:line="240" w:lineRule="atLeast"/>
        <w:ind w:left="567" w:hanging="567"/>
        <w:rPr>
          <w:lang w:val="bg-BG"/>
        </w:rPr>
      </w:pPr>
      <w:r w:rsidRPr="009072DA">
        <w:rPr>
          <w:lang w:val="bg-BG"/>
        </w:rPr>
        <w:t>3.</w:t>
      </w:r>
      <w:r w:rsidRPr="009072DA">
        <w:rPr>
          <w:lang w:val="bg-BG"/>
        </w:rPr>
        <w:tab/>
        <w:t>Удостоверенията на Общността, издадени преди 30 декември 2008 г., остават валидни до датата на изтичане на срока им, посочена в тях.</w:t>
      </w:r>
    </w:p>
    <w:p w:rsidR="001E2331" w:rsidRPr="009072DA" w:rsidRDefault="001E2331" w:rsidP="00254134">
      <w:pPr>
        <w:rPr>
          <w:lang w:val="bg-BG"/>
        </w:rPr>
      </w:pPr>
    </w:p>
    <w:p w:rsidR="002B4577" w:rsidRPr="009072DA" w:rsidRDefault="002B4577" w:rsidP="00254134">
      <w:pPr>
        <w:rPr>
          <w:lang w:val="bg-BG"/>
        </w:rPr>
      </w:pPr>
    </w:p>
    <w:p w:rsidR="001E2331" w:rsidRPr="009072DA" w:rsidRDefault="001E2331" w:rsidP="00A455C7">
      <w:pPr>
        <w:pStyle w:val="ES-Titre3"/>
        <w:rPr>
          <w:lang w:val="bg-BG"/>
        </w:rPr>
      </w:pPr>
      <w:bookmarkStart w:id="583" w:name="_Toc491854286"/>
      <w:bookmarkStart w:id="584" w:name="_Toc535827727"/>
      <w:r w:rsidRPr="009072DA">
        <w:rPr>
          <w:lang w:val="bg-BG"/>
        </w:rPr>
        <w:t>Член 33.02</w:t>
      </w:r>
      <w:bookmarkEnd w:id="583"/>
      <w:bookmarkEnd w:id="584"/>
    </w:p>
    <w:p w:rsidR="001E2331" w:rsidRPr="009072DA" w:rsidRDefault="00934A8A" w:rsidP="00A455C7">
      <w:pPr>
        <w:pStyle w:val="ES-Titre3a"/>
        <w:rPr>
          <w:lang w:val="bg-BG"/>
        </w:rPr>
      </w:pPr>
      <w:bookmarkStart w:id="585" w:name="_Toc421775897"/>
      <w:bookmarkStart w:id="586" w:name="_Toc491854287"/>
      <w:bookmarkStart w:id="587" w:name="_Toc535827728"/>
      <w:r w:rsidRPr="009072DA">
        <w:rPr>
          <w:lang w:val="bg-BG"/>
        </w:rPr>
        <w:t>Преходни разпоредби относно плавателните средства, които вече са в експлоатация</w:t>
      </w:r>
      <w:bookmarkEnd w:id="585"/>
      <w:bookmarkEnd w:id="586"/>
      <w:bookmarkEnd w:id="587"/>
    </w:p>
    <w:p w:rsidR="001E2331" w:rsidRPr="009072DA" w:rsidRDefault="001E2331" w:rsidP="001E2331">
      <w:pPr>
        <w:rPr>
          <w:lang w:val="bg-BG"/>
        </w:rPr>
      </w:pPr>
    </w:p>
    <w:p w:rsidR="00934A8A" w:rsidRPr="009072DA" w:rsidRDefault="00934A8A" w:rsidP="00934A8A">
      <w:pPr>
        <w:spacing w:line="240" w:lineRule="atLeast"/>
        <w:ind w:left="567" w:hanging="567"/>
        <w:rPr>
          <w:b/>
          <w:lang w:val="bg-BG"/>
        </w:rPr>
      </w:pPr>
      <w:r w:rsidRPr="009072DA">
        <w:rPr>
          <w:lang w:val="bg-BG"/>
        </w:rPr>
        <w:t>1.</w:t>
      </w:r>
      <w:r w:rsidRPr="009072DA">
        <w:rPr>
          <w:lang w:val="bg-BG"/>
        </w:rPr>
        <w:tab/>
        <w:t>Плавателни средства, които не отговарят изцяло на изискванията на настоящия стандарт:</w:t>
      </w:r>
    </w:p>
    <w:p w:rsidR="00934A8A" w:rsidRPr="009072DA" w:rsidRDefault="00934A8A" w:rsidP="00934A8A">
      <w:pPr>
        <w:spacing w:before="60" w:line="240" w:lineRule="atLeast"/>
        <w:ind w:left="992"/>
        <w:rPr>
          <w:lang w:val="bg-BG"/>
        </w:rPr>
      </w:pPr>
      <w:r w:rsidRPr="009072DA">
        <w:rPr>
          <w:lang w:val="bg-BG"/>
        </w:rPr>
        <w:t>a)</w:t>
      </w:r>
      <w:r w:rsidRPr="009072DA">
        <w:rPr>
          <w:lang w:val="bg-BG"/>
        </w:rPr>
        <w:tab/>
        <w:t>трябва да бъдат адаптирани, за да бъдат в съответствие с тези разпоредби съгласно преходните разпоредби, изброени в таблицата по-долу и</w:t>
      </w:r>
    </w:p>
    <w:p w:rsidR="00934A8A" w:rsidRPr="009072DA" w:rsidRDefault="00934A8A" w:rsidP="00934A8A">
      <w:pPr>
        <w:spacing w:before="60" w:line="240" w:lineRule="atLeast"/>
        <w:ind w:left="992"/>
        <w:rPr>
          <w:lang w:val="bg-BG"/>
        </w:rPr>
      </w:pPr>
      <w:r w:rsidRPr="009072DA">
        <w:rPr>
          <w:lang w:val="bg-BG"/>
        </w:rPr>
        <w:t>б)</w:t>
      </w:r>
      <w:r w:rsidRPr="009072DA">
        <w:rPr>
          <w:lang w:val="bg-BG"/>
        </w:rPr>
        <w:tab/>
        <w:t>до привеждането им в съответствие, трябва да отговарят на изискванията, определени в глави 1—12 от приложение II към Директива 82/714/ЕИО.</w:t>
      </w:r>
    </w:p>
    <w:p w:rsidR="001E2331" w:rsidRPr="009072DA" w:rsidRDefault="001E2331" w:rsidP="001E2331">
      <w:pPr>
        <w:spacing w:line="240" w:lineRule="atLeast"/>
        <w:ind w:left="567" w:hanging="567"/>
        <w:rPr>
          <w:rFonts w:cs="Arial"/>
          <w:sz w:val="18"/>
          <w:szCs w:val="18"/>
          <w:lang w:val="bg-BG"/>
        </w:rPr>
      </w:pPr>
    </w:p>
    <w:p w:rsidR="00934A8A" w:rsidRPr="009072DA" w:rsidRDefault="00934A8A" w:rsidP="00934A8A">
      <w:pPr>
        <w:spacing w:line="240" w:lineRule="atLeast"/>
        <w:ind w:left="567"/>
        <w:rPr>
          <w:lang w:val="bg-BG"/>
        </w:rPr>
      </w:pPr>
      <w:r w:rsidRPr="009072DA">
        <w:rPr>
          <w:lang w:val="bg-BG"/>
        </w:rPr>
        <w:t>Когато се издава ново удостоверение на плавателен съд за плаване по вътрешни водни пътища, както е определено в член 33.01, точка 1, удостоверението на Общността или другият лиценз за движение се представят като потвърждаване, след което удостоверението на Общността или другият лиценз за движение се отменят и датата на издаване на удостоверението на Общността или другия лиценз за движение се записва в точка 52 от новото удостоверение на плавателния съд за плаване по вътрешни водни пътища, както следва:</w:t>
      </w:r>
    </w:p>
    <w:p w:rsidR="00934A8A" w:rsidRPr="009072DA" w:rsidRDefault="00934A8A" w:rsidP="00934A8A">
      <w:pPr>
        <w:spacing w:before="60" w:line="240" w:lineRule="atLeast"/>
        <w:ind w:left="567"/>
        <w:jc w:val="center"/>
        <w:rPr>
          <w:lang w:val="bg-BG"/>
        </w:rPr>
      </w:pPr>
      <w:r w:rsidRPr="009072DA">
        <w:rPr>
          <w:lang w:val="bg-BG"/>
        </w:rPr>
        <w:t>„Удостоверение на Общността съгласно Директива 82/714/ЕИО е издадено ...“</w:t>
      </w:r>
    </w:p>
    <w:p w:rsidR="00934A8A" w:rsidRPr="009072DA" w:rsidRDefault="00934A8A" w:rsidP="00934A8A">
      <w:pPr>
        <w:spacing w:line="240" w:lineRule="atLeast"/>
        <w:ind w:left="567"/>
        <w:jc w:val="center"/>
        <w:rPr>
          <w:lang w:val="bg-BG"/>
        </w:rPr>
      </w:pPr>
      <w:r w:rsidRPr="009072DA">
        <w:rPr>
          <w:lang w:val="bg-BG"/>
        </w:rPr>
        <w:t>/</w:t>
      </w:r>
    </w:p>
    <w:p w:rsidR="00934A8A" w:rsidRPr="009072DA" w:rsidRDefault="00934A8A" w:rsidP="00934A8A">
      <w:pPr>
        <w:spacing w:line="240" w:lineRule="atLeast"/>
        <w:ind w:left="567"/>
        <w:jc w:val="center"/>
        <w:rPr>
          <w:lang w:val="bg-BG"/>
        </w:rPr>
      </w:pPr>
      <w:r w:rsidRPr="009072DA">
        <w:rPr>
          <w:lang w:val="bg-BG"/>
        </w:rPr>
        <w:t>„Лиценз за движение съгласно [...] е издаден на: …“</w:t>
      </w:r>
    </w:p>
    <w:p w:rsidR="00934A8A" w:rsidRPr="009072DA" w:rsidRDefault="00934A8A" w:rsidP="001E2331">
      <w:pPr>
        <w:spacing w:line="240" w:lineRule="atLeast"/>
        <w:ind w:left="567" w:hanging="567"/>
        <w:rPr>
          <w:rFonts w:cs="Arial"/>
          <w:sz w:val="18"/>
          <w:szCs w:val="18"/>
          <w:lang w:val="bg-BG"/>
        </w:rPr>
      </w:pPr>
    </w:p>
    <w:p w:rsidR="00934A8A" w:rsidRPr="009072DA" w:rsidRDefault="00934A8A">
      <w:pPr>
        <w:rPr>
          <w:rFonts w:cs="Arial"/>
          <w:sz w:val="18"/>
          <w:szCs w:val="18"/>
          <w:lang w:val="bg-BG"/>
        </w:rPr>
      </w:pPr>
      <w:r w:rsidRPr="009072DA">
        <w:rPr>
          <w:lang w:val="bg-BG"/>
        </w:rPr>
        <w:br w:type="page"/>
      </w:r>
    </w:p>
    <w:p w:rsidR="00934A8A" w:rsidRPr="009072DA" w:rsidRDefault="00934A8A" w:rsidP="001E2331">
      <w:pPr>
        <w:spacing w:line="240" w:lineRule="atLeast"/>
        <w:ind w:left="567" w:hanging="567"/>
        <w:rPr>
          <w:rFonts w:cs="Arial"/>
          <w:sz w:val="18"/>
          <w:szCs w:val="18"/>
          <w:lang w:val="bg-BG"/>
        </w:rPr>
      </w:pPr>
    </w:p>
    <w:p w:rsidR="00934A8A" w:rsidRPr="009072DA" w:rsidRDefault="00934A8A" w:rsidP="00934A8A">
      <w:pPr>
        <w:spacing w:line="240" w:lineRule="atLeast"/>
        <w:ind w:left="567" w:hanging="567"/>
        <w:rPr>
          <w:lang w:val="bg-BG"/>
        </w:rPr>
      </w:pPr>
      <w:r w:rsidRPr="009072DA">
        <w:rPr>
          <w:lang w:val="bg-BG"/>
        </w:rPr>
        <w:t>2.</w:t>
      </w:r>
      <w:r w:rsidRPr="009072DA">
        <w:rPr>
          <w:lang w:val="bg-BG"/>
        </w:rPr>
        <w:tab/>
        <w:t>За таблицата по-долу важат следните определения:</w:t>
      </w:r>
    </w:p>
    <w:p w:rsidR="00934A8A" w:rsidRPr="009072DA" w:rsidRDefault="00934A8A" w:rsidP="00934A8A">
      <w:pPr>
        <w:spacing w:line="240" w:lineRule="atLeast"/>
        <w:ind w:left="567" w:hanging="567"/>
        <w:rPr>
          <w:lang w:val="bg-BG"/>
        </w:rPr>
      </w:pPr>
    </w:p>
    <w:p w:rsidR="00934A8A" w:rsidRPr="009072DA" w:rsidRDefault="00934A8A" w:rsidP="00934A8A">
      <w:pPr>
        <w:spacing w:line="240" w:lineRule="atLeast"/>
        <w:ind w:left="567"/>
        <w:rPr>
          <w:lang w:val="bg-BG"/>
        </w:rPr>
      </w:pPr>
      <w:r w:rsidRPr="009072DA">
        <w:rPr>
          <w:lang w:val="bg-BG"/>
        </w:rPr>
        <w:t xml:space="preserve">„НЗР“: разпоредбата не се прилага за плавателни средства, които вече са в експлоатация, освен ако въпросните части не бъдат заменени или преустроени, т.е. разпоредбата важи само по отношение на </w:t>
      </w:r>
      <w:r w:rsidRPr="009072DA">
        <w:rPr>
          <w:u w:val="single"/>
          <w:lang w:val="bg-BG"/>
        </w:rPr>
        <w:t>Н</w:t>
      </w:r>
      <w:r w:rsidRPr="009072DA">
        <w:rPr>
          <w:lang w:val="bg-BG"/>
        </w:rPr>
        <w:t xml:space="preserve">овоизградени плавателни средства и на </w:t>
      </w:r>
      <w:r w:rsidRPr="009072DA">
        <w:rPr>
          <w:u w:val="single"/>
          <w:lang w:val="bg-BG"/>
        </w:rPr>
        <w:t>З</w:t>
      </w:r>
      <w:r w:rsidRPr="009072DA">
        <w:rPr>
          <w:lang w:val="bg-BG"/>
        </w:rPr>
        <w:t xml:space="preserve">амяната или </w:t>
      </w:r>
      <w:r w:rsidRPr="009072DA">
        <w:rPr>
          <w:u w:val="single"/>
          <w:lang w:val="bg-BG"/>
        </w:rPr>
        <w:t>Р</w:t>
      </w:r>
      <w:r w:rsidRPr="009072DA">
        <w:rPr>
          <w:lang w:val="bg-BG"/>
        </w:rPr>
        <w:t xml:space="preserve">еконструкцията (преустройството) на въпросните части или пространства. В случай че съществуващи части се заменят с части от същия вид при използване на същата технология, това не представлява замяна „З“ по смисъла на преходните разпоредби. </w:t>
      </w:r>
    </w:p>
    <w:p w:rsidR="00934A8A" w:rsidRPr="009072DA" w:rsidRDefault="00934A8A" w:rsidP="00934A8A">
      <w:pPr>
        <w:spacing w:line="240" w:lineRule="atLeast"/>
        <w:ind w:left="567"/>
        <w:rPr>
          <w:lang w:val="bg-BG"/>
        </w:rPr>
      </w:pPr>
    </w:p>
    <w:p w:rsidR="00934A8A" w:rsidRPr="009072DA" w:rsidRDefault="00934A8A" w:rsidP="00934A8A">
      <w:pPr>
        <w:tabs>
          <w:tab w:val="left" w:pos="4678"/>
        </w:tabs>
        <w:spacing w:line="240" w:lineRule="atLeast"/>
        <w:ind w:left="567"/>
        <w:rPr>
          <w:lang w:val="bg-BG"/>
        </w:rPr>
      </w:pPr>
      <w:r w:rsidRPr="009072DA">
        <w:rPr>
          <w:lang w:val="bg-BG"/>
        </w:rPr>
        <w:t>„Издаване или подновяване на удостоверението на плавателния съд за плаване по вътрешни водни пътища“: разпоредбата трябва да бъде спазена при следващото издаване или подновяване на удостоверението на плавателния съд за плаване по вътрешни водни пътища след посочената дата.</w:t>
      </w:r>
    </w:p>
    <w:p w:rsidR="00934A8A" w:rsidRPr="009072DA" w:rsidRDefault="00934A8A" w:rsidP="001E2331">
      <w:pPr>
        <w:spacing w:line="240" w:lineRule="atLeast"/>
        <w:ind w:left="567" w:hanging="567"/>
        <w:rPr>
          <w:rFonts w:cs="Arial"/>
          <w:sz w:val="18"/>
          <w:szCs w:val="18"/>
          <w:lang w:val="bg-BG"/>
        </w:rPr>
      </w:pPr>
    </w:p>
    <w:p w:rsidR="00934A8A" w:rsidRPr="009072DA" w:rsidRDefault="00934A8A" w:rsidP="001E2331">
      <w:pPr>
        <w:spacing w:line="240" w:lineRule="atLeast"/>
        <w:ind w:left="567" w:hanging="567"/>
        <w:rPr>
          <w:rFonts w:cs="Arial"/>
          <w:sz w:val="18"/>
          <w:szCs w:val="18"/>
          <w:lang w:val="bg-BG"/>
        </w:rPr>
      </w:pPr>
    </w:p>
    <w:p w:rsidR="001E2331" w:rsidRPr="009072DA" w:rsidRDefault="001E2331" w:rsidP="001E2331">
      <w:pPr>
        <w:spacing w:line="240" w:lineRule="atLeast"/>
        <w:ind w:left="567"/>
        <w:rPr>
          <w:b/>
          <w:lang w:val="bg-BG"/>
        </w:rPr>
      </w:pPr>
    </w:p>
    <w:p w:rsidR="001E2331" w:rsidRPr="009072DA" w:rsidRDefault="001E2331" w:rsidP="001E2331">
      <w:pPr>
        <w:spacing w:line="240" w:lineRule="atLeast"/>
        <w:ind w:left="567"/>
        <w:rPr>
          <w:lang w:val="bg-BG"/>
        </w:rPr>
        <w:sectPr w:rsidR="001E2331" w:rsidRPr="009072DA" w:rsidSect="001E2331">
          <w:headerReference w:type="default" r:id="rId35"/>
          <w:headerReference w:type="first" r:id="rId36"/>
          <w:footnotePr>
            <w:numRestart w:val="eachPage"/>
          </w:footnotePr>
          <w:pgSz w:w="16838" w:h="11906" w:orient="landscape" w:code="9"/>
          <w:pgMar w:top="1418" w:right="1418" w:bottom="1418" w:left="1418" w:header="709" w:footer="709" w:gutter="0"/>
          <w:cols w:space="709"/>
          <w:titlePg/>
          <w:docGrid w:linePitch="272"/>
        </w:sectPr>
      </w:pPr>
    </w:p>
    <w:p w:rsidR="002B4577" w:rsidRPr="009072DA" w:rsidRDefault="002B4577">
      <w:pPr>
        <w:rPr>
          <w:lang w:val="bg-BG"/>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1964F8" w:rsidRPr="009072DA" w:rsidTr="001964F8">
        <w:trPr>
          <w:cantSplit/>
          <w:tblHeader/>
          <w:jc w:val="center"/>
        </w:trPr>
        <w:tc>
          <w:tcPr>
            <w:tcW w:w="2800" w:type="dxa"/>
            <w:gridSpan w:val="2"/>
            <w:shd w:val="clear" w:color="auto" w:fill="auto"/>
          </w:tcPr>
          <w:p w:rsidR="001964F8" w:rsidRPr="009072DA" w:rsidRDefault="001964F8" w:rsidP="00A8005B">
            <w:pPr>
              <w:spacing w:before="60" w:after="60" w:line="240" w:lineRule="atLeast"/>
              <w:jc w:val="center"/>
              <w:rPr>
                <w:rFonts w:cs="Arial"/>
                <w:sz w:val="18"/>
                <w:szCs w:val="18"/>
                <w:lang w:val="bg-BG"/>
              </w:rPr>
            </w:pPr>
            <w:r w:rsidRPr="009072DA">
              <w:rPr>
                <w:i/>
                <w:sz w:val="18"/>
                <w:lang w:val="bg-BG"/>
              </w:rPr>
              <w:t>Член и точка</w:t>
            </w:r>
          </w:p>
        </w:tc>
        <w:tc>
          <w:tcPr>
            <w:tcW w:w="3296" w:type="dxa"/>
            <w:shd w:val="clear" w:color="auto" w:fill="auto"/>
          </w:tcPr>
          <w:p w:rsidR="001964F8" w:rsidRPr="009072DA" w:rsidRDefault="001964F8" w:rsidP="00A8005B">
            <w:pPr>
              <w:spacing w:before="60" w:after="60" w:line="240" w:lineRule="atLeast"/>
              <w:jc w:val="center"/>
              <w:rPr>
                <w:rFonts w:cs="Arial"/>
                <w:sz w:val="18"/>
                <w:szCs w:val="18"/>
                <w:lang w:val="bg-BG"/>
              </w:rPr>
            </w:pPr>
            <w:r w:rsidRPr="009072DA">
              <w:rPr>
                <w:i/>
                <w:sz w:val="18"/>
                <w:lang w:val="bg-BG"/>
              </w:rPr>
              <w:t>Съдържание</w:t>
            </w:r>
          </w:p>
        </w:tc>
        <w:tc>
          <w:tcPr>
            <w:tcW w:w="7797" w:type="dxa"/>
            <w:gridSpan w:val="2"/>
            <w:shd w:val="clear" w:color="auto" w:fill="auto"/>
          </w:tcPr>
          <w:p w:rsidR="001964F8" w:rsidRPr="009072DA" w:rsidRDefault="001964F8" w:rsidP="00A8005B">
            <w:pPr>
              <w:spacing w:before="60" w:after="60" w:line="240" w:lineRule="atLeast"/>
              <w:jc w:val="center"/>
              <w:rPr>
                <w:rFonts w:cs="Arial"/>
                <w:sz w:val="18"/>
                <w:szCs w:val="18"/>
                <w:lang w:val="bg-BG"/>
              </w:rPr>
            </w:pPr>
            <w:r w:rsidRPr="009072DA">
              <w:rPr>
                <w:i/>
                <w:sz w:val="18"/>
                <w:lang w:val="bg-BG"/>
              </w:rPr>
              <w:t>Краен срок и бележки</w:t>
            </w:r>
          </w:p>
        </w:tc>
      </w:tr>
      <w:tr w:rsidR="001964F8" w:rsidRPr="009072DA" w:rsidTr="001964F8">
        <w:trPr>
          <w:cantSplit/>
          <w:jc w:val="center"/>
        </w:trPr>
        <w:tc>
          <w:tcPr>
            <w:tcW w:w="6096" w:type="dxa"/>
            <w:gridSpan w:val="3"/>
            <w:shd w:val="clear" w:color="auto" w:fill="auto"/>
          </w:tcPr>
          <w:p w:rsidR="001964F8" w:rsidRPr="009072DA" w:rsidRDefault="001964F8" w:rsidP="00A8005B">
            <w:pPr>
              <w:spacing w:before="160" w:after="160" w:line="240" w:lineRule="atLeast"/>
              <w:jc w:val="center"/>
              <w:rPr>
                <w:rFonts w:cs="Arial"/>
                <w:b/>
                <w:sz w:val="18"/>
                <w:szCs w:val="18"/>
                <w:lang w:val="bg-BG"/>
              </w:rPr>
            </w:pPr>
            <w:r w:rsidRPr="009072DA">
              <w:rPr>
                <w:b/>
                <w:sz w:val="18"/>
                <w:lang w:val="bg-BG"/>
              </w:rPr>
              <w:t>ГЛАВА 3</w:t>
            </w:r>
          </w:p>
        </w:tc>
        <w:tc>
          <w:tcPr>
            <w:tcW w:w="6521" w:type="dxa"/>
            <w:shd w:val="clear" w:color="auto" w:fill="auto"/>
          </w:tcPr>
          <w:p w:rsidR="001964F8" w:rsidRPr="009072DA" w:rsidRDefault="001964F8" w:rsidP="00A8005B">
            <w:pPr>
              <w:spacing w:before="160" w:after="160" w:line="240" w:lineRule="atLeast"/>
              <w:rPr>
                <w:rFonts w:cs="Arial"/>
                <w:sz w:val="18"/>
                <w:szCs w:val="18"/>
                <w:lang w:val="bg-BG"/>
              </w:rPr>
            </w:pP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p>
        </w:tc>
      </w:tr>
      <w:tr w:rsidR="001964F8" w:rsidRPr="009072DA" w:rsidTr="001964F8">
        <w:trPr>
          <w:cantSplit/>
          <w:jc w:val="center"/>
        </w:trPr>
        <w:tc>
          <w:tcPr>
            <w:tcW w:w="1342" w:type="dxa"/>
            <w:vMerge w:val="restart"/>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3.03</w:t>
            </w:r>
          </w:p>
        </w:tc>
        <w:tc>
          <w:tcPr>
            <w:tcW w:w="1458"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Точка 1, буква a)</w:t>
            </w:r>
          </w:p>
        </w:tc>
        <w:tc>
          <w:tcPr>
            <w:tcW w:w="329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Положение на първата носова непроницаема преграда</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30.12.2049 г.</w:t>
            </w:r>
          </w:p>
        </w:tc>
      </w:tr>
      <w:tr w:rsidR="001964F8" w:rsidRPr="009072DA" w:rsidTr="001964F8">
        <w:trPr>
          <w:cantSplit/>
          <w:jc w:val="center"/>
        </w:trPr>
        <w:tc>
          <w:tcPr>
            <w:tcW w:w="1342" w:type="dxa"/>
            <w:vMerge/>
            <w:shd w:val="clear" w:color="auto" w:fill="auto"/>
          </w:tcPr>
          <w:p w:rsidR="001964F8" w:rsidRPr="009072DA" w:rsidRDefault="001964F8" w:rsidP="00A8005B">
            <w:pPr>
              <w:spacing w:before="160" w:after="160" w:line="240" w:lineRule="atLeast"/>
              <w:rPr>
                <w:rFonts w:cs="Arial"/>
                <w:sz w:val="18"/>
                <w:szCs w:val="18"/>
                <w:lang w:val="bg-BG"/>
              </w:rPr>
            </w:pPr>
          </w:p>
        </w:tc>
        <w:tc>
          <w:tcPr>
            <w:tcW w:w="1458"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Точка 1, буква б)</w:t>
            </w:r>
          </w:p>
        </w:tc>
        <w:tc>
          <w:tcPr>
            <w:tcW w:w="329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Положение на ахтерпиковата преграда</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30.12.2049 г.</w:t>
            </w:r>
          </w:p>
        </w:tc>
      </w:tr>
      <w:tr w:rsidR="001964F8" w:rsidRPr="009072DA" w:rsidTr="001964F8">
        <w:trPr>
          <w:cantSplit/>
          <w:jc w:val="center"/>
        </w:trPr>
        <w:tc>
          <w:tcPr>
            <w:tcW w:w="1342" w:type="dxa"/>
            <w:vMerge/>
            <w:shd w:val="clear" w:color="auto" w:fill="auto"/>
          </w:tcPr>
          <w:p w:rsidR="001964F8" w:rsidRPr="009072DA" w:rsidRDefault="001964F8" w:rsidP="00A8005B">
            <w:pPr>
              <w:spacing w:before="160" w:after="160" w:line="240" w:lineRule="atLeast"/>
              <w:rPr>
                <w:rFonts w:cs="Arial"/>
                <w:sz w:val="18"/>
                <w:szCs w:val="18"/>
                <w:lang w:val="bg-BG"/>
              </w:rPr>
            </w:pPr>
          </w:p>
        </w:tc>
        <w:tc>
          <w:tcPr>
            <w:tcW w:w="1458" w:type="dxa"/>
            <w:vMerge w:val="restart"/>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Точка 2</w:t>
            </w:r>
          </w:p>
        </w:tc>
        <w:tc>
          <w:tcPr>
            <w:tcW w:w="329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Помещения пред ахтерпиковата преграда</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30.12.2024 г.</w:t>
            </w:r>
          </w:p>
        </w:tc>
      </w:tr>
      <w:tr w:rsidR="001964F8" w:rsidRPr="009072DA" w:rsidTr="001964F8">
        <w:trPr>
          <w:cantSplit/>
          <w:jc w:val="center"/>
        </w:trPr>
        <w:tc>
          <w:tcPr>
            <w:tcW w:w="1342" w:type="dxa"/>
            <w:vMerge/>
            <w:shd w:val="clear" w:color="auto" w:fill="auto"/>
          </w:tcPr>
          <w:p w:rsidR="001964F8" w:rsidRPr="009072DA" w:rsidRDefault="001964F8" w:rsidP="00A8005B">
            <w:pPr>
              <w:spacing w:before="160" w:after="160" w:line="240" w:lineRule="atLeast"/>
              <w:rPr>
                <w:rFonts w:cs="Arial"/>
                <w:sz w:val="18"/>
                <w:szCs w:val="18"/>
                <w:lang w:val="bg-BG"/>
              </w:rPr>
            </w:pPr>
          </w:p>
        </w:tc>
        <w:tc>
          <w:tcPr>
            <w:tcW w:w="1458" w:type="dxa"/>
            <w:vMerge/>
            <w:shd w:val="clear" w:color="auto" w:fill="auto"/>
          </w:tcPr>
          <w:p w:rsidR="001964F8" w:rsidRPr="009072DA" w:rsidRDefault="001964F8" w:rsidP="00A8005B">
            <w:pPr>
              <w:spacing w:before="160" w:after="160" w:line="240" w:lineRule="atLeast"/>
              <w:rPr>
                <w:rFonts w:cs="Arial"/>
                <w:sz w:val="18"/>
                <w:szCs w:val="18"/>
                <w:lang w:val="bg-BG"/>
              </w:rPr>
            </w:pPr>
          </w:p>
        </w:tc>
        <w:tc>
          <w:tcPr>
            <w:tcW w:w="3296" w:type="dxa"/>
            <w:shd w:val="clear" w:color="auto" w:fill="auto"/>
          </w:tcPr>
          <w:p w:rsidR="001964F8" w:rsidRPr="009072DA" w:rsidRDefault="001964F8" w:rsidP="00A8005B">
            <w:pPr>
              <w:tabs>
                <w:tab w:val="left" w:pos="2790"/>
              </w:tabs>
              <w:spacing w:before="160" w:after="160" w:line="240" w:lineRule="atLeast"/>
              <w:rPr>
                <w:rFonts w:cs="Arial"/>
                <w:sz w:val="18"/>
                <w:szCs w:val="18"/>
                <w:lang w:val="bg-BG"/>
              </w:rPr>
            </w:pPr>
            <w:r w:rsidRPr="009072DA">
              <w:rPr>
                <w:sz w:val="18"/>
                <w:lang w:val="bg-BG"/>
              </w:rPr>
              <w:t>Помещения зад ахтерпиковата преграда</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30.12.2059 г.</w:t>
            </w:r>
          </w:p>
        </w:tc>
      </w:tr>
      <w:tr w:rsidR="001964F8" w:rsidRPr="009072DA" w:rsidTr="001964F8">
        <w:trPr>
          <w:cantSplit/>
          <w:jc w:val="center"/>
        </w:trPr>
        <w:tc>
          <w:tcPr>
            <w:tcW w:w="1342" w:type="dxa"/>
            <w:vMerge/>
            <w:shd w:val="clear" w:color="auto" w:fill="auto"/>
          </w:tcPr>
          <w:p w:rsidR="001964F8" w:rsidRPr="009072DA" w:rsidRDefault="001964F8" w:rsidP="00A8005B">
            <w:pPr>
              <w:spacing w:before="160" w:after="160" w:line="240" w:lineRule="atLeast"/>
              <w:rPr>
                <w:rFonts w:cs="Arial"/>
                <w:sz w:val="18"/>
                <w:szCs w:val="18"/>
                <w:lang w:val="bg-BG"/>
              </w:rPr>
            </w:pPr>
          </w:p>
        </w:tc>
        <w:tc>
          <w:tcPr>
            <w:tcW w:w="1458" w:type="dxa"/>
            <w:vMerge/>
            <w:shd w:val="clear" w:color="auto" w:fill="auto"/>
          </w:tcPr>
          <w:p w:rsidR="001964F8" w:rsidRPr="009072DA" w:rsidRDefault="001964F8" w:rsidP="00A8005B">
            <w:pPr>
              <w:spacing w:before="160" w:after="160" w:line="240" w:lineRule="atLeast"/>
              <w:rPr>
                <w:rFonts w:cs="Arial"/>
                <w:sz w:val="18"/>
                <w:szCs w:val="18"/>
                <w:lang w:val="bg-BG"/>
              </w:rPr>
            </w:pPr>
          </w:p>
        </w:tc>
        <w:tc>
          <w:tcPr>
            <w:tcW w:w="329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Оборудване за безопасност</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30.12.2029 г.</w:t>
            </w:r>
          </w:p>
        </w:tc>
      </w:tr>
      <w:tr w:rsidR="001964F8" w:rsidRPr="009072DA" w:rsidTr="001964F8">
        <w:trPr>
          <w:cantSplit/>
          <w:jc w:val="center"/>
        </w:trPr>
        <w:tc>
          <w:tcPr>
            <w:tcW w:w="1342" w:type="dxa"/>
            <w:vMerge/>
            <w:shd w:val="clear" w:color="auto" w:fill="auto"/>
          </w:tcPr>
          <w:p w:rsidR="001964F8" w:rsidRPr="009072DA" w:rsidRDefault="001964F8" w:rsidP="00A8005B">
            <w:pPr>
              <w:spacing w:before="160" w:after="160" w:line="240" w:lineRule="atLeast"/>
              <w:rPr>
                <w:rFonts w:cs="Arial"/>
                <w:sz w:val="18"/>
                <w:szCs w:val="18"/>
                <w:lang w:val="bg-BG"/>
              </w:rPr>
            </w:pPr>
          </w:p>
        </w:tc>
        <w:tc>
          <w:tcPr>
            <w:tcW w:w="1458"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Точка 4</w:t>
            </w:r>
          </w:p>
        </w:tc>
        <w:tc>
          <w:tcPr>
            <w:tcW w:w="329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Газонепроницаемо отделяне на жилищните помещения от машинните отделения, котелните отделения и трюмовете</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30.12.2024 г.</w:t>
            </w:r>
          </w:p>
        </w:tc>
      </w:tr>
      <w:tr w:rsidR="001964F8" w:rsidRPr="009072DA" w:rsidTr="001964F8">
        <w:trPr>
          <w:cantSplit/>
          <w:jc w:val="center"/>
        </w:trPr>
        <w:tc>
          <w:tcPr>
            <w:tcW w:w="1342" w:type="dxa"/>
            <w:vMerge/>
            <w:shd w:val="clear" w:color="auto" w:fill="auto"/>
          </w:tcPr>
          <w:p w:rsidR="001964F8" w:rsidRPr="009072DA" w:rsidRDefault="001964F8" w:rsidP="00A8005B">
            <w:pPr>
              <w:spacing w:before="160" w:after="160" w:line="240" w:lineRule="atLeast"/>
              <w:rPr>
                <w:rFonts w:cs="Arial"/>
                <w:sz w:val="18"/>
                <w:szCs w:val="18"/>
                <w:lang w:val="bg-BG"/>
              </w:rPr>
            </w:pPr>
          </w:p>
        </w:tc>
        <w:tc>
          <w:tcPr>
            <w:tcW w:w="1458"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Точка 5, 2</w:t>
            </w:r>
            <w:r w:rsidRPr="009072DA">
              <w:rPr>
                <w:sz w:val="18"/>
                <w:vertAlign w:val="superscript"/>
                <w:lang w:val="bg-BG"/>
              </w:rPr>
              <w:t>ра</w:t>
            </w:r>
            <w:r w:rsidRPr="009072DA">
              <w:rPr>
                <w:sz w:val="18"/>
                <w:lang w:val="bg-BG"/>
              </w:rPr>
              <w:t xml:space="preserve"> алинея</w:t>
            </w:r>
          </w:p>
        </w:tc>
        <w:tc>
          <w:tcPr>
            <w:tcW w:w="3296" w:type="dxa"/>
            <w:shd w:val="clear" w:color="auto" w:fill="auto"/>
          </w:tcPr>
          <w:p w:rsidR="001964F8" w:rsidRPr="009072DA" w:rsidRDefault="001964F8" w:rsidP="00A8005B">
            <w:pPr>
              <w:tabs>
                <w:tab w:val="left" w:pos="1260"/>
              </w:tabs>
              <w:spacing w:before="160" w:after="160" w:line="240" w:lineRule="atLeast"/>
              <w:rPr>
                <w:rFonts w:cs="Arial"/>
                <w:sz w:val="18"/>
                <w:szCs w:val="18"/>
                <w:lang w:val="bg-BG"/>
              </w:rPr>
            </w:pPr>
            <w:r w:rsidRPr="009072DA">
              <w:rPr>
                <w:sz w:val="18"/>
                <w:lang w:val="bg-BG"/>
              </w:rPr>
              <w:t>Следене на вратите в ахтерпиковата преграда</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30.12.2024 г.</w:t>
            </w:r>
          </w:p>
        </w:tc>
      </w:tr>
      <w:tr w:rsidR="001964F8" w:rsidRPr="009072DA" w:rsidTr="001964F8">
        <w:trPr>
          <w:cantSplit/>
          <w:jc w:val="center"/>
        </w:trPr>
        <w:tc>
          <w:tcPr>
            <w:tcW w:w="1342" w:type="dxa"/>
            <w:vMerge/>
            <w:shd w:val="clear" w:color="auto" w:fill="auto"/>
          </w:tcPr>
          <w:p w:rsidR="001964F8" w:rsidRPr="009072DA" w:rsidRDefault="001964F8" w:rsidP="00A8005B">
            <w:pPr>
              <w:spacing w:before="160" w:after="160" w:line="240" w:lineRule="atLeast"/>
              <w:rPr>
                <w:rFonts w:cs="Arial"/>
                <w:sz w:val="18"/>
                <w:szCs w:val="18"/>
                <w:lang w:val="bg-BG"/>
              </w:rPr>
            </w:pPr>
          </w:p>
        </w:tc>
        <w:tc>
          <w:tcPr>
            <w:tcW w:w="1458"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Точка 7</w:t>
            </w:r>
          </w:p>
        </w:tc>
        <w:tc>
          <w:tcPr>
            <w:tcW w:w="329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Котви, които не стърчат в носовите части на плавателните съдове</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30.12.2049 г.</w:t>
            </w:r>
          </w:p>
        </w:tc>
      </w:tr>
      <w:tr w:rsidR="001964F8" w:rsidRPr="008D2440" w:rsidTr="001964F8">
        <w:trPr>
          <w:cantSplit/>
          <w:jc w:val="center"/>
        </w:trPr>
        <w:tc>
          <w:tcPr>
            <w:tcW w:w="1342" w:type="dxa"/>
            <w:vMerge w:val="restart"/>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lastRenderedPageBreak/>
              <w:t>3.04</w:t>
            </w:r>
          </w:p>
        </w:tc>
        <w:tc>
          <w:tcPr>
            <w:tcW w:w="1458"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Точка 3, 2</w:t>
            </w:r>
            <w:r w:rsidRPr="009072DA">
              <w:rPr>
                <w:sz w:val="18"/>
                <w:vertAlign w:val="superscript"/>
                <w:lang w:val="bg-BG"/>
              </w:rPr>
              <w:t>ро </w:t>
            </w:r>
            <w:r w:rsidRPr="009072DA">
              <w:rPr>
                <w:sz w:val="18"/>
                <w:lang w:val="bg-BG"/>
              </w:rPr>
              <w:t>изречение</w:t>
            </w:r>
          </w:p>
        </w:tc>
        <w:tc>
          <w:tcPr>
            <w:tcW w:w="329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Изолация в машинните отделения</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p>
        </w:tc>
      </w:tr>
      <w:tr w:rsidR="001964F8" w:rsidRPr="008D2440" w:rsidTr="001964F8">
        <w:trPr>
          <w:cantSplit/>
          <w:jc w:val="center"/>
        </w:trPr>
        <w:tc>
          <w:tcPr>
            <w:tcW w:w="1342" w:type="dxa"/>
            <w:vMerge/>
            <w:shd w:val="clear" w:color="auto" w:fill="auto"/>
          </w:tcPr>
          <w:p w:rsidR="001964F8" w:rsidRPr="009072DA" w:rsidRDefault="001964F8" w:rsidP="00A8005B">
            <w:pPr>
              <w:spacing w:before="160" w:after="160" w:line="240" w:lineRule="atLeast"/>
              <w:jc w:val="center"/>
              <w:rPr>
                <w:rFonts w:cs="Arial"/>
                <w:b/>
                <w:sz w:val="18"/>
                <w:szCs w:val="18"/>
                <w:lang w:val="bg-BG"/>
              </w:rPr>
            </w:pPr>
          </w:p>
        </w:tc>
        <w:tc>
          <w:tcPr>
            <w:tcW w:w="1458"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Точка 3, 3</w:t>
            </w:r>
            <w:r w:rsidRPr="009072DA">
              <w:rPr>
                <w:sz w:val="18"/>
                <w:vertAlign w:val="superscript"/>
                <w:lang w:val="bg-BG"/>
              </w:rPr>
              <w:t>то</w:t>
            </w:r>
            <w:r w:rsidRPr="009072DA">
              <w:rPr>
                <w:sz w:val="18"/>
                <w:lang w:val="bg-BG"/>
              </w:rPr>
              <w:t xml:space="preserve"> и 4</w:t>
            </w:r>
            <w:r w:rsidRPr="009072DA">
              <w:rPr>
                <w:sz w:val="18"/>
                <w:vertAlign w:val="superscript"/>
                <w:lang w:val="bg-BG"/>
              </w:rPr>
              <w:t>то</w:t>
            </w:r>
            <w:r w:rsidRPr="009072DA">
              <w:rPr>
                <w:sz w:val="18"/>
                <w:lang w:val="bg-BG"/>
              </w:rPr>
              <w:t xml:space="preserve"> изречение</w:t>
            </w:r>
          </w:p>
        </w:tc>
        <w:tc>
          <w:tcPr>
            <w:tcW w:w="329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Отвори и заключващи устройства</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p>
        </w:tc>
      </w:tr>
      <w:tr w:rsidR="001964F8" w:rsidRPr="009072DA" w:rsidTr="001964F8">
        <w:trPr>
          <w:cantSplit/>
          <w:jc w:val="center"/>
        </w:trPr>
        <w:tc>
          <w:tcPr>
            <w:tcW w:w="1342" w:type="dxa"/>
            <w:vMerge/>
            <w:shd w:val="clear" w:color="auto" w:fill="auto"/>
          </w:tcPr>
          <w:p w:rsidR="001964F8" w:rsidRPr="009072DA" w:rsidRDefault="001964F8" w:rsidP="00A8005B">
            <w:pPr>
              <w:spacing w:before="140" w:after="140" w:line="240" w:lineRule="atLeast"/>
              <w:jc w:val="center"/>
              <w:rPr>
                <w:rFonts w:cs="Arial"/>
                <w:b/>
                <w:sz w:val="18"/>
                <w:szCs w:val="18"/>
                <w:lang w:val="bg-BG"/>
              </w:rPr>
            </w:pPr>
          </w:p>
        </w:tc>
        <w:tc>
          <w:tcPr>
            <w:tcW w:w="1458"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Точка 6</w:t>
            </w: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Изходи от машинните отделения</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30.12.2049 г.</w:t>
            </w:r>
          </w:p>
        </w:tc>
      </w:tr>
      <w:tr w:rsidR="001964F8" w:rsidRPr="009072DA" w:rsidTr="001964F8">
        <w:trPr>
          <w:cantSplit/>
          <w:jc w:val="center"/>
        </w:trPr>
        <w:tc>
          <w:tcPr>
            <w:tcW w:w="6096" w:type="dxa"/>
            <w:gridSpan w:val="3"/>
            <w:shd w:val="clear" w:color="auto" w:fill="auto"/>
          </w:tcPr>
          <w:p w:rsidR="001964F8" w:rsidRPr="009072DA" w:rsidRDefault="001964F8" w:rsidP="00A8005B">
            <w:pPr>
              <w:spacing w:before="140" w:after="140" w:line="240" w:lineRule="atLeast"/>
              <w:jc w:val="center"/>
              <w:rPr>
                <w:rFonts w:cs="Arial"/>
                <w:sz w:val="18"/>
                <w:szCs w:val="18"/>
                <w:lang w:val="bg-BG"/>
              </w:rPr>
            </w:pPr>
            <w:r w:rsidRPr="009072DA">
              <w:rPr>
                <w:b/>
                <w:sz w:val="18"/>
                <w:lang w:val="bg-BG"/>
              </w:rPr>
              <w:t>ГЛАВА 4</w:t>
            </w:r>
          </w:p>
        </w:tc>
        <w:tc>
          <w:tcPr>
            <w:tcW w:w="6521" w:type="dxa"/>
            <w:shd w:val="clear" w:color="auto" w:fill="auto"/>
          </w:tcPr>
          <w:p w:rsidR="001964F8" w:rsidRPr="009072DA" w:rsidRDefault="001964F8" w:rsidP="00A8005B">
            <w:pPr>
              <w:spacing w:before="140" w:after="140" w:line="240" w:lineRule="atLeast"/>
              <w:rPr>
                <w:rFonts w:cs="Arial"/>
                <w:sz w:val="18"/>
                <w:szCs w:val="18"/>
                <w:lang w:val="bg-BG"/>
              </w:rPr>
            </w:pP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p>
        </w:tc>
      </w:tr>
      <w:tr w:rsidR="001964F8" w:rsidRPr="009072DA" w:rsidTr="001964F8">
        <w:trPr>
          <w:cantSplit/>
          <w:jc w:val="center"/>
        </w:trPr>
        <w:tc>
          <w:tcPr>
            <w:tcW w:w="1342"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4.04</w:t>
            </w:r>
          </w:p>
        </w:tc>
        <w:tc>
          <w:tcPr>
            <w:tcW w:w="1458" w:type="dxa"/>
            <w:shd w:val="clear" w:color="auto" w:fill="auto"/>
          </w:tcPr>
          <w:p w:rsidR="001964F8" w:rsidRPr="009072DA" w:rsidRDefault="001964F8" w:rsidP="00A8005B">
            <w:pPr>
              <w:spacing w:before="140" w:after="140" w:line="240" w:lineRule="atLeast"/>
              <w:rPr>
                <w:rFonts w:cs="Arial"/>
                <w:sz w:val="18"/>
                <w:szCs w:val="18"/>
                <w:lang w:val="bg-BG"/>
              </w:rPr>
            </w:pP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Марки за газене</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30.12.2024 г.</w:t>
            </w:r>
          </w:p>
        </w:tc>
      </w:tr>
      <w:tr w:rsidR="001964F8" w:rsidRPr="009072DA" w:rsidTr="001964F8">
        <w:trPr>
          <w:cantSplit/>
          <w:jc w:val="center"/>
        </w:trPr>
        <w:tc>
          <w:tcPr>
            <w:tcW w:w="6096" w:type="dxa"/>
            <w:gridSpan w:val="3"/>
            <w:shd w:val="clear" w:color="auto" w:fill="auto"/>
          </w:tcPr>
          <w:p w:rsidR="001964F8" w:rsidRPr="009072DA" w:rsidRDefault="001964F8" w:rsidP="00A8005B">
            <w:pPr>
              <w:spacing w:before="140" w:after="140" w:line="240" w:lineRule="atLeast"/>
              <w:jc w:val="center"/>
              <w:rPr>
                <w:rFonts w:cs="Arial"/>
                <w:sz w:val="18"/>
                <w:szCs w:val="18"/>
                <w:lang w:val="bg-BG"/>
              </w:rPr>
            </w:pPr>
            <w:r w:rsidRPr="009072DA">
              <w:rPr>
                <w:b/>
                <w:sz w:val="18"/>
                <w:lang w:val="bg-BG"/>
              </w:rPr>
              <w:t>ГЛАВА 5</w:t>
            </w:r>
          </w:p>
        </w:tc>
        <w:tc>
          <w:tcPr>
            <w:tcW w:w="6521" w:type="dxa"/>
            <w:shd w:val="clear" w:color="auto" w:fill="auto"/>
          </w:tcPr>
          <w:p w:rsidR="001964F8" w:rsidRPr="009072DA" w:rsidRDefault="001964F8" w:rsidP="00A8005B">
            <w:pPr>
              <w:spacing w:before="140" w:after="140" w:line="240" w:lineRule="atLeast"/>
              <w:rPr>
                <w:rFonts w:cs="Arial"/>
                <w:b/>
                <w:sz w:val="18"/>
                <w:szCs w:val="18"/>
                <w:lang w:val="bg-BG"/>
              </w:rPr>
            </w:pP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p>
        </w:tc>
      </w:tr>
      <w:tr w:rsidR="001964F8" w:rsidRPr="009072DA" w:rsidTr="001964F8">
        <w:trPr>
          <w:cantSplit/>
          <w:jc w:val="center"/>
        </w:trPr>
        <w:tc>
          <w:tcPr>
            <w:tcW w:w="1342"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5.06</w:t>
            </w:r>
          </w:p>
        </w:tc>
        <w:tc>
          <w:tcPr>
            <w:tcW w:w="1458"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Точка 1, 1</w:t>
            </w:r>
            <w:r w:rsidRPr="009072DA">
              <w:rPr>
                <w:sz w:val="18"/>
                <w:vertAlign w:val="superscript"/>
                <w:lang w:val="bg-BG"/>
              </w:rPr>
              <w:t>во </w:t>
            </w:r>
            <w:r w:rsidRPr="009072DA">
              <w:rPr>
                <w:sz w:val="18"/>
                <w:lang w:val="bg-BG"/>
              </w:rPr>
              <w:t>изречение</w:t>
            </w: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Минимална скорост</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30.12.2049 г.</w:t>
            </w:r>
          </w:p>
        </w:tc>
      </w:tr>
      <w:tr w:rsidR="001964F8" w:rsidRPr="009072DA" w:rsidTr="001964F8">
        <w:trPr>
          <w:cantSplit/>
          <w:jc w:val="center"/>
        </w:trPr>
        <w:tc>
          <w:tcPr>
            <w:tcW w:w="6096" w:type="dxa"/>
            <w:gridSpan w:val="3"/>
            <w:shd w:val="clear" w:color="auto" w:fill="auto"/>
          </w:tcPr>
          <w:p w:rsidR="001964F8" w:rsidRPr="009072DA" w:rsidRDefault="001964F8" w:rsidP="00A8005B">
            <w:pPr>
              <w:spacing w:before="140" w:after="140" w:line="240" w:lineRule="atLeast"/>
              <w:jc w:val="center"/>
              <w:rPr>
                <w:rFonts w:cs="Arial"/>
                <w:sz w:val="18"/>
                <w:szCs w:val="18"/>
                <w:lang w:val="bg-BG"/>
              </w:rPr>
            </w:pPr>
            <w:r w:rsidRPr="009072DA">
              <w:rPr>
                <w:b/>
                <w:sz w:val="18"/>
                <w:lang w:val="bg-BG"/>
              </w:rPr>
              <w:t>ГЛАВА 6</w:t>
            </w:r>
          </w:p>
        </w:tc>
        <w:tc>
          <w:tcPr>
            <w:tcW w:w="6521" w:type="dxa"/>
            <w:shd w:val="clear" w:color="auto" w:fill="auto"/>
          </w:tcPr>
          <w:p w:rsidR="001964F8" w:rsidRPr="009072DA" w:rsidRDefault="001964F8" w:rsidP="00A8005B">
            <w:pPr>
              <w:spacing w:before="140" w:after="140" w:line="240" w:lineRule="atLeast"/>
              <w:rPr>
                <w:rFonts w:cs="Arial"/>
                <w:sz w:val="18"/>
                <w:szCs w:val="18"/>
                <w:lang w:val="bg-BG"/>
              </w:rPr>
            </w:pP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p>
        </w:tc>
      </w:tr>
      <w:tr w:rsidR="001964F8" w:rsidRPr="009072DA" w:rsidTr="001964F8">
        <w:trPr>
          <w:cantSplit/>
          <w:jc w:val="center"/>
        </w:trPr>
        <w:tc>
          <w:tcPr>
            <w:tcW w:w="1342" w:type="dxa"/>
            <w:vMerge w:val="restart"/>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6.01</w:t>
            </w:r>
          </w:p>
        </w:tc>
        <w:tc>
          <w:tcPr>
            <w:tcW w:w="1458"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Точка 1</w:t>
            </w: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Маневреност, изисквана съгласно глава 5</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30.12.2049 г.</w:t>
            </w:r>
          </w:p>
        </w:tc>
      </w:tr>
      <w:tr w:rsidR="001964F8" w:rsidRPr="009072DA" w:rsidTr="001964F8">
        <w:trPr>
          <w:cantSplit/>
          <w:jc w:val="center"/>
        </w:trPr>
        <w:tc>
          <w:tcPr>
            <w:tcW w:w="1342" w:type="dxa"/>
            <w:vMerge/>
            <w:shd w:val="clear" w:color="auto" w:fill="auto"/>
          </w:tcPr>
          <w:p w:rsidR="001964F8" w:rsidRPr="009072DA" w:rsidRDefault="001964F8" w:rsidP="00A8005B">
            <w:pPr>
              <w:spacing w:before="140" w:after="140" w:line="240" w:lineRule="atLeast"/>
              <w:rPr>
                <w:rFonts w:cs="Arial"/>
                <w:sz w:val="18"/>
                <w:szCs w:val="18"/>
                <w:lang w:val="bg-BG"/>
              </w:rPr>
            </w:pPr>
          </w:p>
        </w:tc>
        <w:tc>
          <w:tcPr>
            <w:tcW w:w="1458"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Точка 3</w:t>
            </w: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Постоянен крен и околни температури</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30.12.2024 г.</w:t>
            </w:r>
          </w:p>
        </w:tc>
      </w:tr>
      <w:tr w:rsidR="001964F8" w:rsidRPr="009072DA" w:rsidTr="001964F8">
        <w:trPr>
          <w:cantSplit/>
          <w:jc w:val="center"/>
        </w:trPr>
        <w:tc>
          <w:tcPr>
            <w:tcW w:w="1342" w:type="dxa"/>
            <w:vMerge/>
            <w:shd w:val="clear" w:color="auto" w:fill="auto"/>
          </w:tcPr>
          <w:p w:rsidR="001964F8" w:rsidRPr="009072DA" w:rsidRDefault="001964F8" w:rsidP="00A8005B">
            <w:pPr>
              <w:spacing w:before="140" w:after="140" w:line="240" w:lineRule="atLeast"/>
              <w:rPr>
                <w:rFonts w:cs="Arial"/>
                <w:sz w:val="18"/>
                <w:szCs w:val="18"/>
                <w:lang w:val="bg-BG"/>
              </w:rPr>
            </w:pPr>
          </w:p>
        </w:tc>
        <w:tc>
          <w:tcPr>
            <w:tcW w:w="1458"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Точка 7</w:t>
            </w: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Конструкция на балерите на руля</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30.12.2029 г.</w:t>
            </w:r>
          </w:p>
        </w:tc>
      </w:tr>
      <w:tr w:rsidR="001964F8" w:rsidRPr="009072DA" w:rsidTr="001964F8">
        <w:trPr>
          <w:cantSplit/>
          <w:jc w:val="center"/>
        </w:trPr>
        <w:tc>
          <w:tcPr>
            <w:tcW w:w="1342" w:type="dxa"/>
            <w:vMerge w:val="restart"/>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6.02</w:t>
            </w:r>
          </w:p>
        </w:tc>
        <w:tc>
          <w:tcPr>
            <w:tcW w:w="1458" w:type="dxa"/>
            <w:vMerge w:val="restart"/>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Точка 1</w:t>
            </w: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 xml:space="preserve">Наличие на отделни хидравлични резервоари </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1.1.2026 г.</w:t>
            </w:r>
          </w:p>
        </w:tc>
      </w:tr>
      <w:tr w:rsidR="001964F8" w:rsidRPr="009072DA" w:rsidTr="001964F8">
        <w:trPr>
          <w:cantSplit/>
          <w:jc w:val="center"/>
        </w:trPr>
        <w:tc>
          <w:tcPr>
            <w:tcW w:w="1342" w:type="dxa"/>
            <w:vMerge/>
            <w:shd w:val="clear" w:color="auto" w:fill="auto"/>
          </w:tcPr>
          <w:p w:rsidR="001964F8" w:rsidRPr="009072DA" w:rsidRDefault="001964F8" w:rsidP="00A8005B">
            <w:pPr>
              <w:spacing w:before="140" w:after="140" w:line="240" w:lineRule="atLeast"/>
              <w:rPr>
                <w:rFonts w:cs="Arial"/>
                <w:sz w:val="18"/>
                <w:szCs w:val="18"/>
                <w:lang w:val="bg-BG"/>
              </w:rPr>
            </w:pPr>
          </w:p>
        </w:tc>
        <w:tc>
          <w:tcPr>
            <w:tcW w:w="1458" w:type="dxa"/>
            <w:vMerge/>
            <w:shd w:val="clear" w:color="auto" w:fill="auto"/>
          </w:tcPr>
          <w:p w:rsidR="001964F8" w:rsidRPr="009072DA" w:rsidRDefault="001964F8" w:rsidP="00A8005B">
            <w:pPr>
              <w:spacing w:before="140" w:after="140" w:line="240" w:lineRule="atLeast"/>
              <w:rPr>
                <w:rFonts w:cs="Arial"/>
                <w:sz w:val="18"/>
                <w:szCs w:val="18"/>
                <w:lang w:val="bg-BG"/>
              </w:rPr>
            </w:pP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Дублирани регулиращи клапани при хидравлични задвижващи звена</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1.1.2026 г.</w:t>
            </w:r>
          </w:p>
        </w:tc>
      </w:tr>
      <w:tr w:rsidR="001964F8" w:rsidRPr="009072DA" w:rsidTr="001964F8">
        <w:trPr>
          <w:cantSplit/>
          <w:jc w:val="center"/>
        </w:trPr>
        <w:tc>
          <w:tcPr>
            <w:tcW w:w="1342" w:type="dxa"/>
            <w:vMerge/>
            <w:shd w:val="clear" w:color="auto" w:fill="auto"/>
          </w:tcPr>
          <w:p w:rsidR="001964F8" w:rsidRPr="009072DA" w:rsidRDefault="001964F8" w:rsidP="00A8005B">
            <w:pPr>
              <w:spacing w:before="140" w:after="140" w:line="240" w:lineRule="atLeast"/>
              <w:rPr>
                <w:rFonts w:cs="Arial"/>
                <w:sz w:val="18"/>
                <w:szCs w:val="18"/>
                <w:lang w:val="bg-BG"/>
              </w:rPr>
            </w:pPr>
          </w:p>
        </w:tc>
        <w:tc>
          <w:tcPr>
            <w:tcW w:w="1458" w:type="dxa"/>
            <w:vMerge/>
            <w:shd w:val="clear" w:color="auto" w:fill="auto"/>
          </w:tcPr>
          <w:p w:rsidR="001964F8" w:rsidRPr="009072DA" w:rsidRDefault="001964F8" w:rsidP="00A8005B">
            <w:pPr>
              <w:spacing w:before="140" w:after="140" w:line="240" w:lineRule="atLeast"/>
              <w:rPr>
                <w:rFonts w:cs="Arial"/>
                <w:sz w:val="18"/>
                <w:szCs w:val="18"/>
                <w:lang w:val="bg-BG"/>
              </w:rPr>
            </w:pPr>
          </w:p>
        </w:tc>
        <w:tc>
          <w:tcPr>
            <w:tcW w:w="3296" w:type="dxa"/>
            <w:shd w:val="clear" w:color="auto" w:fill="auto"/>
          </w:tcPr>
          <w:p w:rsidR="001964F8" w:rsidRPr="009072DA" w:rsidRDefault="001964F8" w:rsidP="00A8005B">
            <w:pPr>
              <w:tabs>
                <w:tab w:val="left" w:pos="1125"/>
              </w:tabs>
              <w:spacing w:before="140" w:after="140" w:line="240" w:lineRule="atLeast"/>
              <w:rPr>
                <w:rFonts w:cs="Arial"/>
                <w:sz w:val="18"/>
                <w:szCs w:val="18"/>
                <w:lang w:val="bg-BG"/>
              </w:rPr>
            </w:pPr>
            <w:r w:rsidRPr="009072DA">
              <w:rPr>
                <w:sz w:val="18"/>
                <w:lang w:val="bg-BG"/>
              </w:rPr>
              <w:t>Отделна система от тръбопроводи за второто задвижващо звено в случай на хидравлични задвижващи звена</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1.1.2026 г.</w:t>
            </w:r>
          </w:p>
        </w:tc>
      </w:tr>
      <w:tr w:rsidR="001964F8" w:rsidRPr="009072DA" w:rsidTr="001964F8">
        <w:trPr>
          <w:cantSplit/>
          <w:jc w:val="center"/>
        </w:trPr>
        <w:tc>
          <w:tcPr>
            <w:tcW w:w="1342" w:type="dxa"/>
            <w:vMerge/>
            <w:shd w:val="clear" w:color="auto" w:fill="auto"/>
          </w:tcPr>
          <w:p w:rsidR="001964F8" w:rsidRPr="009072DA" w:rsidRDefault="001964F8" w:rsidP="00A8005B">
            <w:pPr>
              <w:spacing w:before="140" w:after="140" w:line="240" w:lineRule="atLeast"/>
              <w:rPr>
                <w:rFonts w:cs="Arial"/>
                <w:sz w:val="18"/>
                <w:szCs w:val="18"/>
                <w:lang w:val="bg-BG"/>
              </w:rPr>
            </w:pPr>
          </w:p>
        </w:tc>
        <w:tc>
          <w:tcPr>
            <w:tcW w:w="1458"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Точка 2</w:t>
            </w: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Отделна система от тръбопроводи за второто задвижващо звено в случай на хидравлични задвижващи звена</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1.1.2026 г.</w:t>
            </w:r>
          </w:p>
        </w:tc>
      </w:tr>
      <w:tr w:rsidR="001964F8" w:rsidRPr="009072DA" w:rsidTr="001964F8">
        <w:trPr>
          <w:cantSplit/>
          <w:jc w:val="center"/>
        </w:trPr>
        <w:tc>
          <w:tcPr>
            <w:tcW w:w="1342" w:type="dxa"/>
            <w:vMerge/>
            <w:shd w:val="clear" w:color="auto" w:fill="auto"/>
          </w:tcPr>
          <w:p w:rsidR="001964F8" w:rsidRPr="009072DA" w:rsidRDefault="001964F8" w:rsidP="00A8005B">
            <w:pPr>
              <w:spacing w:before="60" w:after="60" w:line="240" w:lineRule="atLeast"/>
              <w:rPr>
                <w:rFonts w:cs="Arial"/>
                <w:sz w:val="18"/>
                <w:szCs w:val="18"/>
                <w:lang w:val="bg-BG"/>
              </w:rPr>
            </w:pPr>
          </w:p>
        </w:tc>
        <w:tc>
          <w:tcPr>
            <w:tcW w:w="1458"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Точка 3</w:t>
            </w:r>
          </w:p>
        </w:tc>
        <w:tc>
          <w:tcPr>
            <w:tcW w:w="3296"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Маневреност, изисквана съгласно глава 5, осигурена чрез второ задвижващо звено или ръчно задвижване</w:t>
            </w:r>
          </w:p>
        </w:tc>
        <w:tc>
          <w:tcPr>
            <w:tcW w:w="6521" w:type="dxa"/>
            <w:shd w:val="clear" w:color="auto" w:fill="auto"/>
          </w:tcPr>
          <w:p w:rsidR="001964F8" w:rsidRPr="009072DA" w:rsidRDefault="008761D9" w:rsidP="00A8005B">
            <w:pPr>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30.12.2049 г.</w:t>
            </w:r>
          </w:p>
        </w:tc>
      </w:tr>
      <w:tr w:rsidR="001964F8" w:rsidRPr="009072DA" w:rsidTr="001964F8">
        <w:trPr>
          <w:cantSplit/>
          <w:jc w:val="center"/>
        </w:trPr>
        <w:tc>
          <w:tcPr>
            <w:tcW w:w="1342"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6.03</w:t>
            </w:r>
          </w:p>
        </w:tc>
        <w:tc>
          <w:tcPr>
            <w:tcW w:w="1458"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Точка 1</w:t>
            </w:r>
          </w:p>
        </w:tc>
        <w:tc>
          <w:tcPr>
            <w:tcW w:w="3296" w:type="dxa"/>
            <w:shd w:val="clear" w:color="auto" w:fill="auto"/>
          </w:tcPr>
          <w:p w:rsidR="001964F8" w:rsidRPr="009072DA" w:rsidRDefault="001964F8" w:rsidP="005B1BE0">
            <w:pPr>
              <w:spacing w:before="60" w:after="60" w:line="240" w:lineRule="atLeast"/>
              <w:rPr>
                <w:rFonts w:cs="Arial"/>
                <w:sz w:val="18"/>
                <w:szCs w:val="18"/>
                <w:lang w:val="bg-BG"/>
              </w:rPr>
            </w:pPr>
            <w:r w:rsidRPr="009072DA">
              <w:rPr>
                <w:sz w:val="18"/>
                <w:lang w:val="bg-BG"/>
              </w:rPr>
              <w:t>Свързване на други потребители към задвижващото звено на хидравличния рулеви апарат</w:t>
            </w:r>
          </w:p>
        </w:tc>
        <w:tc>
          <w:tcPr>
            <w:tcW w:w="6521" w:type="dxa"/>
            <w:shd w:val="clear" w:color="auto" w:fill="auto"/>
          </w:tcPr>
          <w:p w:rsidR="001964F8" w:rsidRPr="009072DA" w:rsidRDefault="008761D9" w:rsidP="00A8005B">
            <w:pPr>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1.1.2026 г.</w:t>
            </w:r>
          </w:p>
        </w:tc>
      </w:tr>
      <w:tr w:rsidR="001964F8" w:rsidRPr="009072DA" w:rsidTr="001964F8">
        <w:trPr>
          <w:cantSplit/>
          <w:jc w:val="center"/>
        </w:trPr>
        <w:tc>
          <w:tcPr>
            <w:tcW w:w="1342"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6.05</w:t>
            </w:r>
          </w:p>
        </w:tc>
        <w:tc>
          <w:tcPr>
            <w:tcW w:w="1458"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Точка 1</w:t>
            </w:r>
          </w:p>
        </w:tc>
        <w:tc>
          <w:tcPr>
            <w:tcW w:w="3296"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Колелото на ръчното задвижване да не се задвижва от задвижващо звено с усилвател</w:t>
            </w:r>
          </w:p>
        </w:tc>
        <w:tc>
          <w:tcPr>
            <w:tcW w:w="6521" w:type="dxa"/>
            <w:shd w:val="clear" w:color="auto" w:fill="auto"/>
          </w:tcPr>
          <w:p w:rsidR="001964F8" w:rsidRPr="009072DA" w:rsidRDefault="008761D9" w:rsidP="00A8005B">
            <w:pPr>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30.12.2024 г.</w:t>
            </w:r>
          </w:p>
        </w:tc>
      </w:tr>
      <w:tr w:rsidR="001964F8" w:rsidRPr="009072DA" w:rsidTr="001964F8">
        <w:trPr>
          <w:cantSplit/>
          <w:jc w:val="center"/>
        </w:trPr>
        <w:tc>
          <w:tcPr>
            <w:tcW w:w="1342" w:type="dxa"/>
            <w:tcBorders>
              <w:bottom w:val="single" w:sz="4" w:space="0" w:color="auto"/>
            </w:tcBorders>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6.06</w:t>
            </w:r>
          </w:p>
        </w:tc>
        <w:tc>
          <w:tcPr>
            <w:tcW w:w="1458"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Точка 1</w:t>
            </w:r>
          </w:p>
        </w:tc>
        <w:tc>
          <w:tcPr>
            <w:tcW w:w="3296"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Две независими уредби за управление на руля</w:t>
            </w:r>
          </w:p>
        </w:tc>
        <w:tc>
          <w:tcPr>
            <w:tcW w:w="6521" w:type="dxa"/>
            <w:shd w:val="clear" w:color="auto" w:fill="auto"/>
          </w:tcPr>
          <w:p w:rsidR="001964F8" w:rsidRPr="009072DA" w:rsidRDefault="008761D9" w:rsidP="00A8005B">
            <w:pPr>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30.12.2029 г.</w:t>
            </w:r>
          </w:p>
        </w:tc>
      </w:tr>
      <w:tr w:rsidR="001964F8" w:rsidRPr="009072DA" w:rsidTr="001964F8">
        <w:trPr>
          <w:cantSplit/>
          <w:jc w:val="center"/>
        </w:trPr>
        <w:tc>
          <w:tcPr>
            <w:tcW w:w="1342" w:type="dxa"/>
            <w:tcBorders>
              <w:bottom w:val="nil"/>
            </w:tcBorders>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6.07</w:t>
            </w:r>
          </w:p>
        </w:tc>
        <w:tc>
          <w:tcPr>
            <w:tcW w:w="1458"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Точка 2, буква a)</w:t>
            </w:r>
          </w:p>
        </w:tc>
        <w:tc>
          <w:tcPr>
            <w:tcW w:w="3296" w:type="dxa"/>
            <w:shd w:val="clear" w:color="auto" w:fill="auto"/>
          </w:tcPr>
          <w:p w:rsidR="001964F8" w:rsidRPr="009072DA" w:rsidRDefault="001964F8" w:rsidP="00A8005B">
            <w:pPr>
              <w:tabs>
                <w:tab w:val="left" w:pos="1080"/>
              </w:tabs>
              <w:spacing w:before="60" w:after="60" w:line="240" w:lineRule="atLeast"/>
              <w:rPr>
                <w:rFonts w:cs="Arial"/>
                <w:sz w:val="18"/>
                <w:szCs w:val="18"/>
                <w:lang w:val="bg-BG"/>
              </w:rPr>
            </w:pPr>
            <w:r w:rsidRPr="009072DA">
              <w:rPr>
                <w:sz w:val="18"/>
                <w:lang w:val="bg-BG"/>
              </w:rPr>
              <w:t>Сигнализация за нивото на хидравличните резервоари и сигнализация за работното налягане</w:t>
            </w:r>
          </w:p>
        </w:tc>
        <w:tc>
          <w:tcPr>
            <w:tcW w:w="6521" w:type="dxa"/>
            <w:shd w:val="clear" w:color="auto" w:fill="auto"/>
          </w:tcPr>
          <w:p w:rsidR="001964F8" w:rsidRPr="009072DA" w:rsidRDefault="008761D9" w:rsidP="00A8005B">
            <w:pPr>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1.1.2026 г.</w:t>
            </w:r>
          </w:p>
        </w:tc>
      </w:tr>
      <w:tr w:rsidR="001964F8" w:rsidRPr="008D2440" w:rsidTr="001964F8">
        <w:trPr>
          <w:cantSplit/>
          <w:jc w:val="center"/>
        </w:trPr>
        <w:tc>
          <w:tcPr>
            <w:tcW w:w="1342" w:type="dxa"/>
            <w:tcBorders>
              <w:top w:val="nil"/>
            </w:tcBorders>
            <w:shd w:val="clear" w:color="auto" w:fill="auto"/>
          </w:tcPr>
          <w:p w:rsidR="001964F8" w:rsidRPr="009072DA" w:rsidRDefault="001964F8" w:rsidP="00A8005B">
            <w:pPr>
              <w:spacing w:before="60" w:after="60" w:line="240" w:lineRule="atLeast"/>
              <w:rPr>
                <w:rFonts w:cs="Arial"/>
                <w:sz w:val="18"/>
                <w:szCs w:val="18"/>
                <w:lang w:val="bg-BG"/>
              </w:rPr>
            </w:pPr>
          </w:p>
        </w:tc>
        <w:tc>
          <w:tcPr>
            <w:tcW w:w="1458"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Точка 2, буква д)</w:t>
            </w:r>
          </w:p>
        </w:tc>
        <w:tc>
          <w:tcPr>
            <w:tcW w:w="3296"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Следене на буферните устройства</w:t>
            </w:r>
          </w:p>
        </w:tc>
        <w:tc>
          <w:tcPr>
            <w:tcW w:w="6521" w:type="dxa"/>
            <w:shd w:val="clear" w:color="auto" w:fill="auto"/>
          </w:tcPr>
          <w:p w:rsidR="001964F8" w:rsidRPr="009072DA" w:rsidRDefault="008761D9" w:rsidP="00A8005B">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1964F8" w:rsidRPr="009072DA" w:rsidRDefault="001964F8" w:rsidP="00A8005B">
            <w:pPr>
              <w:spacing w:before="60" w:after="60" w:line="240" w:lineRule="atLeast"/>
              <w:rPr>
                <w:rFonts w:cs="Arial"/>
                <w:sz w:val="18"/>
                <w:szCs w:val="18"/>
                <w:lang w:val="bg-BG"/>
              </w:rPr>
            </w:pPr>
          </w:p>
        </w:tc>
      </w:tr>
      <w:tr w:rsidR="001964F8" w:rsidRPr="009072DA" w:rsidTr="001964F8">
        <w:trPr>
          <w:cantSplit/>
          <w:jc w:val="center"/>
        </w:trPr>
        <w:tc>
          <w:tcPr>
            <w:tcW w:w="1342"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6.08</w:t>
            </w:r>
          </w:p>
        </w:tc>
        <w:tc>
          <w:tcPr>
            <w:tcW w:w="1458"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Точка 1</w:t>
            </w:r>
          </w:p>
        </w:tc>
        <w:tc>
          <w:tcPr>
            <w:tcW w:w="3296"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Изисквания към електрическото оборудване съгласно член 10.20</w:t>
            </w:r>
          </w:p>
        </w:tc>
        <w:tc>
          <w:tcPr>
            <w:tcW w:w="6521" w:type="dxa"/>
            <w:shd w:val="clear" w:color="auto" w:fill="auto"/>
          </w:tcPr>
          <w:p w:rsidR="001964F8" w:rsidRPr="009072DA" w:rsidRDefault="008761D9" w:rsidP="00A8005B">
            <w:pPr>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30.12.2029 г.</w:t>
            </w:r>
          </w:p>
        </w:tc>
      </w:tr>
      <w:tr w:rsidR="001964F8" w:rsidRPr="009072DA" w:rsidTr="001964F8">
        <w:trPr>
          <w:cantSplit/>
          <w:jc w:val="center"/>
        </w:trPr>
        <w:tc>
          <w:tcPr>
            <w:tcW w:w="6096" w:type="dxa"/>
            <w:gridSpan w:val="3"/>
            <w:shd w:val="clear" w:color="auto" w:fill="auto"/>
          </w:tcPr>
          <w:p w:rsidR="001964F8" w:rsidRPr="009072DA" w:rsidRDefault="001964F8" w:rsidP="005B1BE0">
            <w:pPr>
              <w:spacing w:before="100" w:after="100" w:line="240" w:lineRule="atLeast"/>
              <w:jc w:val="center"/>
              <w:rPr>
                <w:rFonts w:cs="Arial"/>
                <w:sz w:val="18"/>
                <w:szCs w:val="18"/>
                <w:lang w:val="bg-BG"/>
              </w:rPr>
            </w:pPr>
            <w:r w:rsidRPr="009072DA">
              <w:rPr>
                <w:b/>
                <w:sz w:val="18"/>
                <w:lang w:val="bg-BG"/>
              </w:rPr>
              <w:t>ГЛАВА 7</w:t>
            </w:r>
          </w:p>
        </w:tc>
        <w:tc>
          <w:tcPr>
            <w:tcW w:w="6521" w:type="dxa"/>
            <w:shd w:val="clear" w:color="auto" w:fill="auto"/>
          </w:tcPr>
          <w:p w:rsidR="001964F8" w:rsidRPr="009072DA" w:rsidRDefault="001964F8" w:rsidP="005B1BE0">
            <w:pPr>
              <w:spacing w:before="100" w:after="100" w:line="240" w:lineRule="atLeast"/>
              <w:rPr>
                <w:rFonts w:cs="Arial"/>
                <w:sz w:val="18"/>
                <w:szCs w:val="18"/>
                <w:lang w:val="bg-BG"/>
              </w:rPr>
            </w:pPr>
          </w:p>
        </w:tc>
        <w:tc>
          <w:tcPr>
            <w:tcW w:w="1276" w:type="dxa"/>
            <w:shd w:val="clear" w:color="auto" w:fill="auto"/>
          </w:tcPr>
          <w:p w:rsidR="001964F8" w:rsidRPr="009072DA" w:rsidRDefault="001964F8" w:rsidP="005B1BE0">
            <w:pPr>
              <w:spacing w:before="100" w:after="100" w:line="240" w:lineRule="atLeast"/>
              <w:rPr>
                <w:rFonts w:cs="Arial"/>
                <w:sz w:val="18"/>
                <w:szCs w:val="18"/>
                <w:lang w:val="bg-BG"/>
              </w:rPr>
            </w:pPr>
          </w:p>
        </w:tc>
      </w:tr>
      <w:tr w:rsidR="001964F8" w:rsidRPr="009072DA" w:rsidTr="001964F8">
        <w:trPr>
          <w:cantSplit/>
          <w:jc w:val="center"/>
        </w:trPr>
        <w:tc>
          <w:tcPr>
            <w:tcW w:w="1342" w:type="dxa"/>
            <w:tcBorders>
              <w:bottom w:val="nil"/>
            </w:tcBorders>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lastRenderedPageBreak/>
              <w:t>7.02</w:t>
            </w:r>
          </w:p>
        </w:tc>
        <w:tc>
          <w:tcPr>
            <w:tcW w:w="1458"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Точки 2 — 6</w:t>
            </w:r>
          </w:p>
        </w:tc>
        <w:tc>
          <w:tcPr>
            <w:tcW w:w="3296" w:type="dxa"/>
            <w:shd w:val="clear" w:color="auto" w:fill="auto"/>
          </w:tcPr>
          <w:p w:rsidR="001964F8" w:rsidRPr="009072DA" w:rsidRDefault="001964F8" w:rsidP="00A8005B">
            <w:pPr>
              <w:tabs>
                <w:tab w:val="right" w:pos="3856"/>
                <w:tab w:val="center" w:pos="4536"/>
                <w:tab w:val="left" w:pos="6521"/>
                <w:tab w:val="right" w:pos="9072"/>
              </w:tabs>
              <w:spacing w:before="60" w:after="60" w:line="240" w:lineRule="atLeast"/>
              <w:rPr>
                <w:rFonts w:cs="Arial"/>
                <w:sz w:val="18"/>
                <w:szCs w:val="18"/>
                <w:lang w:val="bg-BG"/>
              </w:rPr>
            </w:pPr>
            <w:r w:rsidRPr="009072DA">
              <w:rPr>
                <w:color w:val="000000"/>
                <w:sz w:val="18"/>
                <w:lang w:val="bg-BG"/>
              </w:rPr>
              <w:t>Безпрепятствена видимост от рулевата рубка, освен следните сектори</w:t>
            </w:r>
          </w:p>
        </w:tc>
        <w:tc>
          <w:tcPr>
            <w:tcW w:w="6521" w:type="dxa"/>
            <w:shd w:val="clear" w:color="auto" w:fill="auto"/>
          </w:tcPr>
          <w:p w:rsidR="001964F8" w:rsidRPr="009072DA" w:rsidRDefault="008761D9" w:rsidP="00A8005B">
            <w:pPr>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1.1.2049 г.</w:t>
            </w:r>
          </w:p>
        </w:tc>
      </w:tr>
      <w:tr w:rsidR="001964F8" w:rsidRPr="009072DA" w:rsidTr="001964F8">
        <w:trPr>
          <w:cantSplit/>
          <w:jc w:val="center"/>
        </w:trPr>
        <w:tc>
          <w:tcPr>
            <w:tcW w:w="1342" w:type="dxa"/>
            <w:tcBorders>
              <w:top w:val="nil"/>
              <w:bottom w:val="nil"/>
            </w:tcBorders>
            <w:shd w:val="clear" w:color="auto" w:fill="auto"/>
          </w:tcPr>
          <w:p w:rsidR="001964F8" w:rsidRPr="009072DA" w:rsidRDefault="001964F8" w:rsidP="005B1BE0">
            <w:pPr>
              <w:spacing w:before="100" w:after="100" w:line="240" w:lineRule="atLeast"/>
              <w:jc w:val="center"/>
              <w:rPr>
                <w:rFonts w:cs="Arial"/>
                <w:b/>
                <w:sz w:val="18"/>
                <w:szCs w:val="18"/>
                <w:lang w:val="bg-BG"/>
              </w:rPr>
            </w:pPr>
          </w:p>
        </w:tc>
        <w:tc>
          <w:tcPr>
            <w:tcW w:w="1458" w:type="dxa"/>
            <w:shd w:val="clear" w:color="auto" w:fill="auto"/>
          </w:tcPr>
          <w:p w:rsidR="001964F8" w:rsidRPr="009072DA" w:rsidRDefault="001964F8" w:rsidP="005B1BE0">
            <w:pPr>
              <w:spacing w:before="100" w:after="100" w:line="240" w:lineRule="atLeast"/>
              <w:rPr>
                <w:rFonts w:cs="Arial"/>
                <w:sz w:val="18"/>
                <w:szCs w:val="18"/>
                <w:lang w:val="bg-BG"/>
              </w:rPr>
            </w:pPr>
            <w:r w:rsidRPr="009072DA">
              <w:rPr>
                <w:sz w:val="18"/>
                <w:lang w:val="bg-BG"/>
              </w:rPr>
              <w:t>Точка 3, 2</w:t>
            </w:r>
            <w:r w:rsidRPr="009072DA">
              <w:rPr>
                <w:sz w:val="18"/>
                <w:vertAlign w:val="superscript"/>
                <w:lang w:val="bg-BG"/>
              </w:rPr>
              <w:t>ра</w:t>
            </w:r>
            <w:r w:rsidRPr="009072DA">
              <w:rPr>
                <w:sz w:val="18"/>
                <w:lang w:val="bg-BG"/>
              </w:rPr>
              <w:t xml:space="preserve"> алинея</w:t>
            </w:r>
          </w:p>
        </w:tc>
        <w:tc>
          <w:tcPr>
            <w:tcW w:w="3296" w:type="dxa"/>
            <w:shd w:val="clear" w:color="auto" w:fill="auto"/>
          </w:tcPr>
          <w:p w:rsidR="001964F8" w:rsidRPr="009072DA" w:rsidRDefault="001964F8" w:rsidP="005B1BE0">
            <w:pPr>
              <w:tabs>
                <w:tab w:val="right" w:pos="3856"/>
                <w:tab w:val="center" w:pos="4536"/>
                <w:tab w:val="left" w:pos="6521"/>
                <w:tab w:val="right" w:pos="9072"/>
              </w:tabs>
              <w:spacing w:before="100" w:after="100" w:line="240" w:lineRule="atLeast"/>
              <w:rPr>
                <w:rFonts w:cs="Arial"/>
                <w:sz w:val="18"/>
                <w:szCs w:val="18"/>
                <w:lang w:val="bg-BG"/>
              </w:rPr>
            </w:pPr>
            <w:r w:rsidRPr="009072DA">
              <w:rPr>
                <w:color w:val="000000"/>
                <w:sz w:val="18"/>
                <w:lang w:val="bg-BG"/>
              </w:rPr>
              <w:t>Безпрепятствена видимост по обичайната ос на наблюдение на рулевия</w:t>
            </w:r>
          </w:p>
        </w:tc>
        <w:tc>
          <w:tcPr>
            <w:tcW w:w="6521" w:type="dxa"/>
            <w:shd w:val="clear" w:color="auto" w:fill="auto"/>
          </w:tcPr>
          <w:p w:rsidR="001964F8" w:rsidRPr="009072DA" w:rsidRDefault="008761D9" w:rsidP="005B1BE0">
            <w:pPr>
              <w:spacing w:before="100" w:after="10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5B1BE0">
            <w:pPr>
              <w:spacing w:before="100" w:after="100" w:line="240" w:lineRule="atLeast"/>
              <w:rPr>
                <w:rFonts w:cs="Arial"/>
                <w:sz w:val="18"/>
                <w:szCs w:val="18"/>
                <w:lang w:val="bg-BG"/>
              </w:rPr>
            </w:pPr>
            <w:r w:rsidRPr="009072DA">
              <w:rPr>
                <w:sz w:val="18"/>
                <w:lang w:val="bg-BG"/>
              </w:rPr>
              <w:t>30.12.2029 г.</w:t>
            </w:r>
          </w:p>
        </w:tc>
      </w:tr>
      <w:tr w:rsidR="001964F8" w:rsidRPr="009072DA" w:rsidTr="001964F8">
        <w:trPr>
          <w:cantSplit/>
          <w:jc w:val="center"/>
        </w:trPr>
        <w:tc>
          <w:tcPr>
            <w:tcW w:w="1342" w:type="dxa"/>
            <w:tcBorders>
              <w:top w:val="nil"/>
              <w:bottom w:val="nil"/>
            </w:tcBorders>
            <w:shd w:val="clear" w:color="auto" w:fill="auto"/>
          </w:tcPr>
          <w:p w:rsidR="001964F8" w:rsidRPr="009072DA" w:rsidRDefault="001964F8" w:rsidP="005B1BE0">
            <w:pPr>
              <w:spacing w:before="100" w:after="100" w:line="240" w:lineRule="atLeast"/>
              <w:rPr>
                <w:rFonts w:cs="Arial"/>
                <w:sz w:val="18"/>
                <w:szCs w:val="18"/>
                <w:lang w:val="bg-BG"/>
              </w:rPr>
            </w:pPr>
          </w:p>
        </w:tc>
        <w:tc>
          <w:tcPr>
            <w:tcW w:w="1458" w:type="dxa"/>
            <w:vMerge w:val="restart"/>
            <w:shd w:val="clear" w:color="auto" w:fill="auto"/>
          </w:tcPr>
          <w:p w:rsidR="001964F8" w:rsidRPr="009072DA" w:rsidRDefault="001964F8" w:rsidP="005B1BE0">
            <w:pPr>
              <w:spacing w:before="100" w:after="100" w:line="240" w:lineRule="atLeast"/>
              <w:rPr>
                <w:rFonts w:cs="Arial"/>
                <w:sz w:val="18"/>
                <w:szCs w:val="18"/>
                <w:lang w:val="bg-BG"/>
              </w:rPr>
            </w:pPr>
            <w:r w:rsidRPr="009072DA">
              <w:rPr>
                <w:sz w:val="18"/>
                <w:lang w:val="bg-BG"/>
              </w:rPr>
              <w:t>Точка 6</w:t>
            </w:r>
          </w:p>
        </w:tc>
        <w:tc>
          <w:tcPr>
            <w:tcW w:w="3296" w:type="dxa"/>
            <w:vMerge w:val="restart"/>
            <w:shd w:val="clear" w:color="auto" w:fill="auto"/>
          </w:tcPr>
          <w:p w:rsidR="001964F8" w:rsidRPr="009072DA" w:rsidRDefault="001964F8" w:rsidP="005B1BE0">
            <w:pPr>
              <w:tabs>
                <w:tab w:val="right" w:pos="3856"/>
                <w:tab w:val="center" w:pos="4536"/>
                <w:tab w:val="left" w:pos="6521"/>
                <w:tab w:val="right" w:pos="9072"/>
              </w:tabs>
              <w:spacing w:before="100" w:after="100" w:line="240" w:lineRule="atLeast"/>
              <w:rPr>
                <w:rFonts w:cs="Arial"/>
                <w:color w:val="000000"/>
                <w:sz w:val="18"/>
                <w:szCs w:val="18"/>
                <w:lang w:val="bg-BG"/>
              </w:rPr>
            </w:pPr>
            <w:r w:rsidRPr="009072DA">
              <w:rPr>
                <w:color w:val="000000"/>
                <w:sz w:val="18"/>
                <w:lang w:val="bg-BG"/>
              </w:rPr>
              <w:t>Минимално пропускане на светлина от покритието</w:t>
            </w:r>
          </w:p>
        </w:tc>
        <w:tc>
          <w:tcPr>
            <w:tcW w:w="6521" w:type="dxa"/>
            <w:shd w:val="clear" w:color="auto" w:fill="auto"/>
          </w:tcPr>
          <w:p w:rsidR="001964F8" w:rsidRPr="009072DA" w:rsidRDefault="008761D9" w:rsidP="005B1BE0">
            <w:pPr>
              <w:spacing w:before="100" w:after="10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5B1BE0">
            <w:pPr>
              <w:spacing w:before="100" w:after="100" w:line="240" w:lineRule="atLeast"/>
              <w:rPr>
                <w:rFonts w:cs="Arial"/>
                <w:sz w:val="18"/>
                <w:szCs w:val="18"/>
                <w:lang w:val="bg-BG"/>
              </w:rPr>
            </w:pPr>
            <w:r w:rsidRPr="009072DA">
              <w:rPr>
                <w:sz w:val="18"/>
                <w:lang w:val="bg-BG"/>
              </w:rPr>
              <w:t>1.1.2024  г.</w:t>
            </w:r>
          </w:p>
        </w:tc>
      </w:tr>
      <w:tr w:rsidR="001964F8" w:rsidRPr="008D2440" w:rsidTr="001964F8">
        <w:trPr>
          <w:cantSplit/>
          <w:jc w:val="center"/>
        </w:trPr>
        <w:tc>
          <w:tcPr>
            <w:tcW w:w="1342" w:type="dxa"/>
            <w:tcBorders>
              <w:top w:val="nil"/>
              <w:bottom w:val="nil"/>
            </w:tcBorders>
            <w:shd w:val="clear" w:color="auto" w:fill="auto"/>
          </w:tcPr>
          <w:p w:rsidR="001964F8" w:rsidRPr="009072DA" w:rsidRDefault="001964F8" w:rsidP="00A8005B">
            <w:pPr>
              <w:spacing w:before="120" w:after="120" w:line="240" w:lineRule="atLeast"/>
              <w:rPr>
                <w:rFonts w:cs="Arial"/>
                <w:sz w:val="18"/>
                <w:szCs w:val="18"/>
                <w:lang w:val="bg-BG"/>
              </w:rPr>
            </w:pPr>
          </w:p>
        </w:tc>
        <w:tc>
          <w:tcPr>
            <w:tcW w:w="1458" w:type="dxa"/>
            <w:vMerge/>
            <w:shd w:val="clear" w:color="auto" w:fill="auto"/>
          </w:tcPr>
          <w:p w:rsidR="001964F8" w:rsidRPr="009072DA" w:rsidRDefault="001964F8" w:rsidP="00A8005B">
            <w:pPr>
              <w:spacing w:before="120" w:after="120" w:line="240" w:lineRule="atLeast"/>
              <w:rPr>
                <w:rFonts w:cs="Arial"/>
                <w:sz w:val="18"/>
                <w:szCs w:val="18"/>
                <w:lang w:val="bg-BG"/>
              </w:rPr>
            </w:pPr>
          </w:p>
        </w:tc>
        <w:tc>
          <w:tcPr>
            <w:tcW w:w="3296" w:type="dxa"/>
            <w:vMerge/>
            <w:shd w:val="clear" w:color="auto" w:fill="auto"/>
          </w:tcPr>
          <w:p w:rsidR="001964F8" w:rsidRPr="009072DA" w:rsidRDefault="001964F8" w:rsidP="00A8005B">
            <w:pPr>
              <w:spacing w:before="120" w:after="120" w:line="240" w:lineRule="atLeast"/>
              <w:rPr>
                <w:rFonts w:cs="Arial"/>
                <w:sz w:val="18"/>
                <w:szCs w:val="18"/>
                <w:lang w:val="bg-BG"/>
              </w:rPr>
            </w:pPr>
          </w:p>
        </w:tc>
        <w:tc>
          <w:tcPr>
            <w:tcW w:w="6521" w:type="dxa"/>
            <w:shd w:val="clear" w:color="auto" w:fill="auto"/>
          </w:tcPr>
          <w:p w:rsidR="001964F8" w:rsidRPr="009072DA" w:rsidRDefault="008761D9" w:rsidP="00A8005B">
            <w:pPr>
              <w:tabs>
                <w:tab w:val="left" w:pos="57"/>
                <w:tab w:val="left" w:pos="907"/>
              </w:tabs>
              <w:overflowPunct w:val="0"/>
              <w:adjustRightInd w:val="0"/>
              <w:spacing w:before="120" w:after="120" w:line="240" w:lineRule="atLeast"/>
              <w:ind w:right="57"/>
              <w:textAlignment w:val="baseline"/>
              <w:rPr>
                <w:rFonts w:cs="Arial"/>
                <w:sz w:val="18"/>
                <w:szCs w:val="18"/>
                <w:lang w:val="bg-BG"/>
              </w:rPr>
            </w:pPr>
            <w:r w:rsidRPr="009072DA">
              <w:rPr>
                <w:sz w:val="18"/>
                <w:lang w:val="bg-BG"/>
              </w:rPr>
              <w:t>НЗР за плавателни съдове с тонирани стъкла, които отговарят на следните условия:</w:t>
            </w:r>
          </w:p>
          <w:p w:rsidR="001964F8" w:rsidRPr="009072DA" w:rsidRDefault="001964F8" w:rsidP="00A8005B">
            <w:pPr>
              <w:spacing w:before="120" w:after="120" w:line="240" w:lineRule="atLeast"/>
              <w:ind w:left="317" w:hanging="317"/>
              <w:rPr>
                <w:rFonts w:cs="Arial"/>
                <w:sz w:val="18"/>
                <w:szCs w:val="18"/>
                <w:lang w:val="bg-BG"/>
              </w:rPr>
            </w:pPr>
            <w:r w:rsidRPr="009072DA">
              <w:rPr>
                <w:sz w:val="18"/>
                <w:lang w:val="bg-BG"/>
              </w:rPr>
              <w:t>-</w:t>
            </w:r>
            <w:r w:rsidRPr="009072DA">
              <w:rPr>
                <w:lang w:val="bg-BG"/>
              </w:rPr>
              <w:tab/>
            </w:r>
            <w:r w:rsidRPr="009072DA">
              <w:rPr>
                <w:sz w:val="18"/>
                <w:lang w:val="bg-BG"/>
              </w:rPr>
              <w:t>Прозорците са оцветени в зелено и се характеризират с минимално пропускане на светлина 60 %,</w:t>
            </w:r>
          </w:p>
          <w:p w:rsidR="001964F8" w:rsidRPr="009072DA" w:rsidRDefault="001964F8" w:rsidP="00A8005B">
            <w:pPr>
              <w:spacing w:before="120" w:after="120" w:line="240" w:lineRule="atLeast"/>
              <w:ind w:left="317" w:hanging="317"/>
              <w:rPr>
                <w:rFonts w:cs="Arial"/>
                <w:sz w:val="18"/>
                <w:szCs w:val="18"/>
                <w:lang w:val="bg-BG"/>
              </w:rPr>
            </w:pPr>
            <w:r w:rsidRPr="009072DA">
              <w:rPr>
                <w:sz w:val="18"/>
                <w:lang w:val="bg-BG"/>
              </w:rPr>
              <w:t>-</w:t>
            </w:r>
            <w:r w:rsidRPr="009072DA">
              <w:rPr>
                <w:lang w:val="bg-BG"/>
              </w:rPr>
              <w:tab/>
            </w:r>
            <w:r w:rsidRPr="009072DA">
              <w:rPr>
                <w:sz w:val="18"/>
                <w:lang w:val="bg-BG"/>
              </w:rPr>
              <w:t>Таванът на рулевата рубка е проектиран така, че да изключва отражения върху прозорците,</w:t>
            </w:r>
          </w:p>
          <w:p w:rsidR="001964F8" w:rsidRPr="009072DA" w:rsidRDefault="00903243" w:rsidP="00A8005B">
            <w:pPr>
              <w:spacing w:before="120" w:after="120" w:line="240" w:lineRule="atLeast"/>
              <w:ind w:left="317" w:hanging="317"/>
              <w:rPr>
                <w:rFonts w:cs="Arial"/>
                <w:sz w:val="18"/>
                <w:szCs w:val="18"/>
                <w:lang w:val="bg-BG"/>
              </w:rPr>
            </w:pPr>
            <w:r w:rsidRPr="009072DA">
              <w:rPr>
                <w:sz w:val="18"/>
                <w:lang w:val="bg-BG"/>
              </w:rPr>
              <w:t>-</w:t>
            </w:r>
            <w:r w:rsidRPr="009072DA">
              <w:rPr>
                <w:lang w:val="bg-BG"/>
              </w:rPr>
              <w:tab/>
            </w:r>
            <w:r w:rsidRPr="009072DA">
              <w:rPr>
                <w:sz w:val="18"/>
                <w:lang w:val="bg-BG"/>
              </w:rPr>
              <w:t>Източниците на светлина в рулевата рубка могат да бъдат регулирани плавно или изключвани.</w:t>
            </w:r>
          </w:p>
          <w:p w:rsidR="001964F8" w:rsidRPr="009072DA" w:rsidRDefault="001964F8" w:rsidP="00A8005B">
            <w:pPr>
              <w:spacing w:before="120" w:after="120" w:line="240" w:lineRule="atLeast"/>
              <w:ind w:left="317" w:hanging="317"/>
              <w:rPr>
                <w:rFonts w:cs="Arial"/>
                <w:sz w:val="18"/>
                <w:szCs w:val="18"/>
                <w:lang w:val="bg-BG"/>
              </w:rPr>
            </w:pPr>
            <w:r w:rsidRPr="009072DA">
              <w:rPr>
                <w:sz w:val="18"/>
                <w:lang w:val="bg-BG"/>
              </w:rPr>
              <w:t>-</w:t>
            </w:r>
            <w:r w:rsidRPr="009072DA">
              <w:rPr>
                <w:lang w:val="bg-BG"/>
              </w:rPr>
              <w:tab/>
            </w:r>
            <w:r w:rsidRPr="009072DA">
              <w:rPr>
                <w:sz w:val="18"/>
                <w:lang w:val="bg-BG"/>
              </w:rPr>
              <w:t>Всички разумни мерки за избягване на други отражения са били предприети.</w:t>
            </w:r>
          </w:p>
        </w:tc>
        <w:tc>
          <w:tcPr>
            <w:tcW w:w="1276" w:type="dxa"/>
            <w:shd w:val="clear" w:color="auto" w:fill="auto"/>
          </w:tcPr>
          <w:p w:rsidR="001964F8" w:rsidRPr="009072DA" w:rsidRDefault="001964F8" w:rsidP="00A8005B">
            <w:pPr>
              <w:spacing w:before="120" w:after="120" w:line="240" w:lineRule="atLeast"/>
              <w:rPr>
                <w:rFonts w:cs="Arial"/>
                <w:sz w:val="18"/>
                <w:szCs w:val="18"/>
                <w:lang w:val="bg-BG"/>
              </w:rPr>
            </w:pPr>
          </w:p>
        </w:tc>
      </w:tr>
      <w:tr w:rsidR="001964F8" w:rsidRPr="009072DA" w:rsidTr="001964F8">
        <w:trPr>
          <w:cantSplit/>
          <w:jc w:val="center"/>
        </w:trPr>
        <w:tc>
          <w:tcPr>
            <w:tcW w:w="1342" w:type="dxa"/>
            <w:tcBorders>
              <w:top w:val="nil"/>
            </w:tcBorders>
            <w:shd w:val="clear" w:color="auto" w:fill="auto"/>
          </w:tcPr>
          <w:p w:rsidR="001964F8" w:rsidRPr="009072DA" w:rsidRDefault="001964F8" w:rsidP="00A8005B">
            <w:pPr>
              <w:spacing w:before="160" w:after="160" w:line="240" w:lineRule="atLeast"/>
              <w:rPr>
                <w:rFonts w:cs="Arial"/>
                <w:sz w:val="18"/>
                <w:szCs w:val="18"/>
                <w:lang w:val="bg-BG"/>
              </w:rPr>
            </w:pPr>
          </w:p>
        </w:tc>
        <w:tc>
          <w:tcPr>
            <w:tcW w:w="1458"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Точка 6</w:t>
            </w:r>
          </w:p>
        </w:tc>
        <w:tc>
          <w:tcPr>
            <w:tcW w:w="329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Параметри на безопасното стъкло</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НЗР</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p>
        </w:tc>
      </w:tr>
      <w:tr w:rsidR="001964F8" w:rsidRPr="008D2440" w:rsidTr="001964F8">
        <w:trPr>
          <w:cantSplit/>
          <w:jc w:val="center"/>
        </w:trPr>
        <w:tc>
          <w:tcPr>
            <w:tcW w:w="1342" w:type="dxa"/>
            <w:vMerge w:val="restart"/>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7.03</w:t>
            </w:r>
          </w:p>
        </w:tc>
        <w:tc>
          <w:tcPr>
            <w:tcW w:w="1458"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Точка 7</w:t>
            </w:r>
          </w:p>
        </w:tc>
        <w:tc>
          <w:tcPr>
            <w:tcW w:w="329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Изключване на системите за тревога</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p>
        </w:tc>
      </w:tr>
      <w:tr w:rsidR="001964F8" w:rsidRPr="009072DA" w:rsidTr="001964F8">
        <w:trPr>
          <w:cantSplit/>
          <w:jc w:val="center"/>
        </w:trPr>
        <w:tc>
          <w:tcPr>
            <w:tcW w:w="1342" w:type="dxa"/>
            <w:vMerge/>
            <w:shd w:val="clear" w:color="auto" w:fill="auto"/>
          </w:tcPr>
          <w:p w:rsidR="001964F8" w:rsidRPr="009072DA" w:rsidRDefault="001964F8" w:rsidP="00A8005B">
            <w:pPr>
              <w:spacing w:before="160" w:after="160" w:line="240" w:lineRule="atLeast"/>
              <w:rPr>
                <w:rFonts w:cs="Arial"/>
                <w:sz w:val="18"/>
                <w:szCs w:val="18"/>
                <w:lang w:val="bg-BG"/>
              </w:rPr>
            </w:pPr>
          </w:p>
        </w:tc>
        <w:tc>
          <w:tcPr>
            <w:tcW w:w="1458"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Точка 8</w:t>
            </w:r>
          </w:p>
        </w:tc>
        <w:tc>
          <w:tcPr>
            <w:tcW w:w="3296" w:type="dxa"/>
            <w:shd w:val="clear" w:color="auto" w:fill="auto"/>
          </w:tcPr>
          <w:p w:rsidR="001964F8" w:rsidRPr="009072DA" w:rsidRDefault="006F55F5" w:rsidP="00A8005B">
            <w:pPr>
              <w:spacing w:before="160" w:after="160" w:line="240" w:lineRule="atLeast"/>
              <w:rPr>
                <w:rFonts w:cs="Arial"/>
                <w:sz w:val="18"/>
                <w:szCs w:val="18"/>
                <w:lang w:val="bg-BG"/>
              </w:rPr>
            </w:pPr>
            <w:r w:rsidRPr="009072DA">
              <w:rPr>
                <w:sz w:val="18"/>
                <w:lang w:val="bg-BG"/>
              </w:rPr>
              <w:t>Автоматично превключване към друг източник на енергия</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30.12.2024 г.</w:t>
            </w:r>
          </w:p>
        </w:tc>
      </w:tr>
      <w:tr w:rsidR="001964F8" w:rsidRPr="008D2440" w:rsidTr="001964F8">
        <w:trPr>
          <w:cantSplit/>
          <w:jc w:val="center"/>
        </w:trPr>
        <w:tc>
          <w:tcPr>
            <w:tcW w:w="1342" w:type="dxa"/>
            <w:vMerge w:val="restart"/>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7.04</w:t>
            </w:r>
          </w:p>
        </w:tc>
        <w:tc>
          <w:tcPr>
            <w:tcW w:w="1458" w:type="dxa"/>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Точка 1</w:t>
            </w:r>
          </w:p>
        </w:tc>
        <w:tc>
          <w:tcPr>
            <w:tcW w:w="3296" w:type="dxa"/>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Управление на главните двигатели и рулевите системи</w:t>
            </w:r>
          </w:p>
        </w:tc>
        <w:tc>
          <w:tcPr>
            <w:tcW w:w="6521" w:type="dxa"/>
            <w:shd w:val="clear" w:color="auto" w:fill="auto"/>
          </w:tcPr>
          <w:p w:rsidR="001964F8" w:rsidRPr="009072DA" w:rsidRDefault="008761D9" w:rsidP="00A8005B">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1964F8" w:rsidRPr="009072DA" w:rsidRDefault="001964F8" w:rsidP="00A8005B">
            <w:pPr>
              <w:spacing w:before="80" w:after="80" w:line="240" w:lineRule="atLeast"/>
              <w:rPr>
                <w:rFonts w:cs="Arial"/>
                <w:sz w:val="18"/>
                <w:szCs w:val="18"/>
                <w:lang w:val="bg-BG"/>
              </w:rPr>
            </w:pPr>
          </w:p>
        </w:tc>
      </w:tr>
      <w:tr w:rsidR="001964F8" w:rsidRPr="009072DA" w:rsidTr="001964F8">
        <w:trPr>
          <w:cantSplit/>
          <w:jc w:val="center"/>
        </w:trPr>
        <w:tc>
          <w:tcPr>
            <w:tcW w:w="1342" w:type="dxa"/>
            <w:vMerge/>
            <w:shd w:val="clear" w:color="auto" w:fill="auto"/>
          </w:tcPr>
          <w:p w:rsidR="001964F8" w:rsidRPr="009072DA" w:rsidRDefault="001964F8" w:rsidP="00A8005B">
            <w:pPr>
              <w:spacing w:before="80" w:after="80" w:line="240" w:lineRule="atLeast"/>
              <w:rPr>
                <w:rFonts w:cs="Arial"/>
                <w:sz w:val="18"/>
                <w:szCs w:val="18"/>
                <w:lang w:val="bg-BG"/>
              </w:rPr>
            </w:pPr>
          </w:p>
        </w:tc>
        <w:tc>
          <w:tcPr>
            <w:tcW w:w="1458" w:type="dxa"/>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Точка 2</w:t>
            </w:r>
          </w:p>
        </w:tc>
        <w:tc>
          <w:tcPr>
            <w:tcW w:w="3296" w:type="dxa"/>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Управление на всеки главен двигател</w:t>
            </w:r>
          </w:p>
        </w:tc>
        <w:tc>
          <w:tcPr>
            <w:tcW w:w="6521" w:type="dxa"/>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Освен ако рулевите рубки не са били проектирани за управление с радиолокационни средства от едно лице: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034331" w:rsidRPr="009072DA" w:rsidRDefault="00034331" w:rsidP="00A8005B">
            <w:pPr>
              <w:spacing w:before="80" w:after="80" w:line="240" w:lineRule="atLeast"/>
              <w:rPr>
                <w:rFonts w:cs="Arial"/>
                <w:sz w:val="18"/>
                <w:szCs w:val="18"/>
                <w:lang w:val="bg-BG"/>
              </w:rPr>
            </w:pPr>
            <w:r w:rsidRPr="009072DA">
              <w:rPr>
                <w:sz w:val="18"/>
                <w:lang w:val="bg-BG"/>
              </w:rPr>
              <w:t>30.12.2049 г.</w:t>
            </w:r>
          </w:p>
          <w:p w:rsidR="00034331" w:rsidRPr="009072DA" w:rsidRDefault="00034331" w:rsidP="00A8005B">
            <w:pPr>
              <w:spacing w:before="80" w:after="80" w:line="240" w:lineRule="atLeast"/>
              <w:rPr>
                <w:rFonts w:cs="Arial"/>
                <w:sz w:val="18"/>
                <w:szCs w:val="18"/>
                <w:lang w:val="bg-BG"/>
              </w:rPr>
            </w:pPr>
            <w:r w:rsidRPr="009072DA">
              <w:rPr>
                <w:sz w:val="18"/>
                <w:lang w:val="bg-BG"/>
              </w:rPr>
              <w:t>ако посоката на движение може да бъде постигната директно</w:t>
            </w:r>
          </w:p>
          <w:p w:rsidR="00034331" w:rsidRPr="009072DA" w:rsidRDefault="00034331" w:rsidP="00A8005B">
            <w:pPr>
              <w:spacing w:before="80" w:after="80" w:line="240" w:lineRule="atLeast"/>
              <w:rPr>
                <w:rFonts w:cs="Arial"/>
                <w:sz w:val="18"/>
                <w:szCs w:val="18"/>
                <w:lang w:val="bg-BG"/>
              </w:rPr>
            </w:pPr>
            <w:r w:rsidRPr="009072DA">
              <w:rPr>
                <w:sz w:val="18"/>
                <w:lang w:val="bg-BG"/>
              </w:rPr>
              <w:t xml:space="preserve">30.12.2024 г. </w:t>
            </w:r>
          </w:p>
          <w:p w:rsidR="001964F8" w:rsidRPr="009072DA" w:rsidRDefault="00034331" w:rsidP="00A8005B">
            <w:pPr>
              <w:spacing w:before="80" w:after="80" w:line="240" w:lineRule="atLeast"/>
              <w:rPr>
                <w:rFonts w:cs="Arial"/>
                <w:sz w:val="18"/>
                <w:szCs w:val="18"/>
                <w:lang w:val="bg-BG"/>
              </w:rPr>
            </w:pPr>
            <w:r w:rsidRPr="009072DA">
              <w:rPr>
                <w:sz w:val="18"/>
                <w:lang w:val="bg-BG"/>
              </w:rPr>
              <w:t>за останалите двигатели.</w:t>
            </w:r>
          </w:p>
        </w:tc>
      </w:tr>
      <w:tr w:rsidR="001964F8" w:rsidRPr="009072DA" w:rsidTr="001964F8">
        <w:trPr>
          <w:cantSplit/>
          <w:jc w:val="center"/>
        </w:trPr>
        <w:tc>
          <w:tcPr>
            <w:tcW w:w="1342" w:type="dxa"/>
            <w:vMerge/>
            <w:shd w:val="clear" w:color="auto" w:fill="auto"/>
          </w:tcPr>
          <w:p w:rsidR="001964F8" w:rsidRPr="009072DA" w:rsidRDefault="001964F8" w:rsidP="00A8005B">
            <w:pPr>
              <w:spacing w:before="120" w:after="120" w:line="240" w:lineRule="atLeast"/>
              <w:rPr>
                <w:rFonts w:cs="Arial"/>
                <w:sz w:val="18"/>
                <w:szCs w:val="18"/>
                <w:lang w:val="bg-BG"/>
              </w:rPr>
            </w:pPr>
          </w:p>
        </w:tc>
        <w:tc>
          <w:tcPr>
            <w:tcW w:w="1458" w:type="dxa"/>
            <w:shd w:val="clear" w:color="auto" w:fill="auto"/>
          </w:tcPr>
          <w:p w:rsidR="001964F8" w:rsidRPr="009072DA" w:rsidRDefault="001964F8" w:rsidP="00A8005B">
            <w:pPr>
              <w:spacing w:before="120" w:after="120" w:line="240" w:lineRule="atLeast"/>
              <w:rPr>
                <w:rFonts w:cs="Arial"/>
                <w:sz w:val="18"/>
                <w:szCs w:val="18"/>
                <w:lang w:val="bg-BG"/>
              </w:rPr>
            </w:pPr>
            <w:r w:rsidRPr="009072DA">
              <w:rPr>
                <w:sz w:val="18"/>
                <w:lang w:val="bg-BG"/>
              </w:rPr>
              <w:t>Точка 3</w:t>
            </w:r>
          </w:p>
        </w:tc>
        <w:tc>
          <w:tcPr>
            <w:tcW w:w="3296" w:type="dxa"/>
            <w:shd w:val="clear" w:color="auto" w:fill="auto"/>
          </w:tcPr>
          <w:p w:rsidR="001964F8" w:rsidRPr="009072DA" w:rsidRDefault="001964F8" w:rsidP="00A8005B">
            <w:pPr>
              <w:spacing w:before="120" w:after="120" w:line="240" w:lineRule="atLeast"/>
              <w:rPr>
                <w:rFonts w:cs="Arial"/>
                <w:sz w:val="18"/>
                <w:szCs w:val="18"/>
                <w:lang w:val="bg-BG"/>
              </w:rPr>
            </w:pPr>
            <w:r w:rsidRPr="009072DA">
              <w:rPr>
                <w:sz w:val="18"/>
                <w:lang w:val="bg-BG"/>
              </w:rPr>
              <w:t>Показване</w:t>
            </w:r>
          </w:p>
        </w:tc>
        <w:tc>
          <w:tcPr>
            <w:tcW w:w="6521" w:type="dxa"/>
            <w:shd w:val="clear" w:color="auto" w:fill="auto"/>
          </w:tcPr>
          <w:p w:rsidR="001964F8" w:rsidRPr="009072DA" w:rsidRDefault="001964F8" w:rsidP="00A8005B">
            <w:pPr>
              <w:spacing w:before="120" w:after="120" w:line="240" w:lineRule="atLeast"/>
              <w:rPr>
                <w:rFonts w:cs="Arial"/>
                <w:sz w:val="18"/>
                <w:szCs w:val="18"/>
                <w:lang w:val="bg-BG"/>
              </w:rPr>
            </w:pPr>
            <w:r w:rsidRPr="009072DA">
              <w:rPr>
                <w:sz w:val="18"/>
                <w:lang w:val="bg-BG"/>
              </w:rPr>
              <w:t>Освен ако рулевите рубки не са били проектирани за управление с радиолокационни средства от едно лице: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120" w:after="120" w:line="240" w:lineRule="atLeast"/>
              <w:rPr>
                <w:rFonts w:cs="Arial"/>
                <w:sz w:val="18"/>
                <w:szCs w:val="18"/>
                <w:lang w:val="bg-BG"/>
              </w:rPr>
            </w:pPr>
            <w:r w:rsidRPr="009072DA">
              <w:rPr>
                <w:sz w:val="18"/>
                <w:lang w:val="bg-BG"/>
              </w:rPr>
              <w:t>30.12.2024 г.</w:t>
            </w:r>
          </w:p>
        </w:tc>
      </w:tr>
      <w:tr w:rsidR="001964F8" w:rsidRPr="009072DA" w:rsidTr="001964F8">
        <w:trPr>
          <w:cantSplit/>
          <w:jc w:val="center"/>
        </w:trPr>
        <w:tc>
          <w:tcPr>
            <w:tcW w:w="1342" w:type="dxa"/>
            <w:vMerge/>
            <w:shd w:val="clear" w:color="auto" w:fill="auto"/>
          </w:tcPr>
          <w:p w:rsidR="001964F8" w:rsidRPr="009072DA" w:rsidRDefault="001964F8" w:rsidP="00A8005B">
            <w:pPr>
              <w:spacing w:before="60" w:after="60" w:line="240" w:lineRule="atLeast"/>
              <w:rPr>
                <w:rFonts w:cs="Arial"/>
                <w:sz w:val="18"/>
                <w:szCs w:val="18"/>
                <w:lang w:val="bg-BG"/>
              </w:rPr>
            </w:pPr>
          </w:p>
        </w:tc>
        <w:tc>
          <w:tcPr>
            <w:tcW w:w="1458"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Точка 9, 3-то изречение</w:t>
            </w:r>
          </w:p>
        </w:tc>
        <w:tc>
          <w:tcPr>
            <w:tcW w:w="3296"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Управление чрез ръкохватка</w:t>
            </w:r>
          </w:p>
        </w:tc>
        <w:tc>
          <w:tcPr>
            <w:tcW w:w="6521" w:type="dxa"/>
            <w:shd w:val="clear" w:color="auto" w:fill="auto"/>
          </w:tcPr>
          <w:p w:rsidR="001964F8" w:rsidRPr="009072DA" w:rsidRDefault="008761D9" w:rsidP="00A8005B">
            <w:pPr>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30.12.2024 г.</w:t>
            </w:r>
          </w:p>
        </w:tc>
      </w:tr>
      <w:tr w:rsidR="001964F8" w:rsidRPr="009072DA" w:rsidTr="001964F8">
        <w:trPr>
          <w:cantSplit/>
          <w:jc w:val="center"/>
        </w:trPr>
        <w:tc>
          <w:tcPr>
            <w:tcW w:w="1342" w:type="dxa"/>
            <w:vMerge/>
            <w:shd w:val="clear" w:color="auto" w:fill="auto"/>
          </w:tcPr>
          <w:p w:rsidR="001964F8" w:rsidRPr="009072DA" w:rsidRDefault="001964F8" w:rsidP="00A8005B">
            <w:pPr>
              <w:spacing w:before="60" w:after="60" w:line="240" w:lineRule="atLeast"/>
              <w:rPr>
                <w:rFonts w:cs="Arial"/>
                <w:sz w:val="18"/>
                <w:szCs w:val="18"/>
                <w:lang w:val="bg-BG"/>
              </w:rPr>
            </w:pPr>
          </w:p>
        </w:tc>
        <w:tc>
          <w:tcPr>
            <w:tcW w:w="1458"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Точка 9, 4</w:t>
            </w:r>
            <w:r w:rsidRPr="009072DA">
              <w:rPr>
                <w:sz w:val="18"/>
                <w:vertAlign w:val="superscript"/>
                <w:lang w:val="bg-BG"/>
              </w:rPr>
              <w:t>то</w:t>
            </w:r>
            <w:r w:rsidRPr="009072DA">
              <w:rPr>
                <w:sz w:val="18"/>
                <w:lang w:val="bg-BG"/>
              </w:rPr>
              <w:t xml:space="preserve"> изречение</w:t>
            </w:r>
          </w:p>
        </w:tc>
        <w:tc>
          <w:tcPr>
            <w:tcW w:w="3296"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Ясно показване на посоката на тягата</w:t>
            </w:r>
          </w:p>
        </w:tc>
        <w:tc>
          <w:tcPr>
            <w:tcW w:w="6521" w:type="dxa"/>
            <w:shd w:val="clear" w:color="auto" w:fill="auto"/>
          </w:tcPr>
          <w:p w:rsidR="001964F8" w:rsidRPr="009072DA" w:rsidRDefault="008761D9" w:rsidP="00A8005B">
            <w:pPr>
              <w:spacing w:before="60" w:after="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60" w:after="60" w:line="240" w:lineRule="atLeast"/>
              <w:rPr>
                <w:rFonts w:cs="Arial"/>
                <w:sz w:val="18"/>
                <w:szCs w:val="18"/>
                <w:lang w:val="bg-BG"/>
              </w:rPr>
            </w:pPr>
            <w:r w:rsidRPr="009072DA">
              <w:rPr>
                <w:sz w:val="18"/>
                <w:lang w:val="bg-BG"/>
              </w:rPr>
              <w:t>30.12.2024 г.</w:t>
            </w:r>
          </w:p>
        </w:tc>
      </w:tr>
      <w:tr w:rsidR="00B90A00" w:rsidRPr="008D2440" w:rsidTr="001964F8">
        <w:trPr>
          <w:cantSplit/>
          <w:jc w:val="center"/>
        </w:trPr>
        <w:tc>
          <w:tcPr>
            <w:tcW w:w="1342" w:type="dxa"/>
            <w:tcBorders>
              <w:bottom w:val="single" w:sz="4" w:space="0" w:color="auto"/>
            </w:tcBorders>
            <w:shd w:val="clear" w:color="auto" w:fill="auto"/>
          </w:tcPr>
          <w:p w:rsidR="00B90A00" w:rsidRPr="009072DA" w:rsidRDefault="00B90A00" w:rsidP="00A8005B">
            <w:pPr>
              <w:spacing w:before="60" w:after="60" w:line="240" w:lineRule="atLeast"/>
              <w:rPr>
                <w:rFonts w:cs="Arial"/>
                <w:sz w:val="18"/>
                <w:szCs w:val="18"/>
                <w:lang w:val="bg-BG"/>
              </w:rPr>
            </w:pPr>
            <w:r w:rsidRPr="009072DA">
              <w:rPr>
                <w:sz w:val="18"/>
                <w:lang w:val="bg-BG"/>
              </w:rPr>
              <w:t>7.05</w:t>
            </w:r>
          </w:p>
        </w:tc>
        <w:tc>
          <w:tcPr>
            <w:tcW w:w="1458" w:type="dxa"/>
            <w:tcBorders>
              <w:bottom w:val="single" w:sz="4" w:space="0" w:color="auto"/>
            </w:tcBorders>
            <w:shd w:val="clear" w:color="auto" w:fill="auto"/>
          </w:tcPr>
          <w:p w:rsidR="00B90A00" w:rsidRPr="009072DA" w:rsidRDefault="00B90A00" w:rsidP="00A8005B">
            <w:pPr>
              <w:spacing w:before="60" w:after="60" w:line="240" w:lineRule="atLeast"/>
              <w:rPr>
                <w:rFonts w:cs="Arial"/>
                <w:sz w:val="18"/>
                <w:szCs w:val="18"/>
                <w:lang w:val="bg-BG"/>
              </w:rPr>
            </w:pPr>
            <w:r w:rsidRPr="009072DA">
              <w:rPr>
                <w:sz w:val="18"/>
                <w:lang w:val="bg-BG"/>
              </w:rPr>
              <w:t>Точка 1</w:t>
            </w:r>
          </w:p>
        </w:tc>
        <w:tc>
          <w:tcPr>
            <w:tcW w:w="3296" w:type="dxa"/>
            <w:tcBorders>
              <w:bottom w:val="single" w:sz="4" w:space="0" w:color="auto"/>
            </w:tcBorders>
            <w:shd w:val="clear" w:color="auto" w:fill="auto"/>
          </w:tcPr>
          <w:p w:rsidR="00B90A00" w:rsidRPr="009072DA" w:rsidRDefault="00B90A00" w:rsidP="00A8005B">
            <w:pPr>
              <w:spacing w:before="60" w:after="60" w:line="240" w:lineRule="atLeast"/>
              <w:rPr>
                <w:rFonts w:cs="Arial"/>
                <w:sz w:val="18"/>
                <w:szCs w:val="18"/>
                <w:lang w:val="bg-BG"/>
              </w:rPr>
            </w:pPr>
            <w:r w:rsidRPr="009072DA">
              <w:rPr>
                <w:sz w:val="18"/>
                <w:lang w:val="bg-BG"/>
              </w:rPr>
              <w:t>Навигационни светлини, техните осветители, принадлежности и светлинни източници</w:t>
            </w:r>
          </w:p>
        </w:tc>
        <w:tc>
          <w:tcPr>
            <w:tcW w:w="6521" w:type="dxa"/>
            <w:shd w:val="clear" w:color="auto" w:fill="auto"/>
          </w:tcPr>
          <w:p w:rsidR="00B90A00" w:rsidRPr="009072DA" w:rsidRDefault="00B90A00" w:rsidP="00A8005B">
            <w:pPr>
              <w:spacing w:before="60" w:after="60" w:line="240" w:lineRule="atLeast"/>
              <w:rPr>
                <w:rFonts w:cs="Arial"/>
                <w:sz w:val="18"/>
                <w:szCs w:val="18"/>
                <w:lang w:val="bg-BG"/>
              </w:rPr>
            </w:pPr>
            <w:r w:rsidRPr="009072DA">
              <w:rPr>
                <w:sz w:val="18"/>
                <w:lang w:val="bg-BG"/>
              </w:rPr>
              <w:t xml:space="preserve">Навигационни светлини, техните осветители, принадлежности и светлинни източници, които изпълняват </w:t>
            </w:r>
          </w:p>
          <w:p w:rsidR="00B90A00" w:rsidRPr="009072DA" w:rsidRDefault="00B90A00" w:rsidP="00A8005B">
            <w:pPr>
              <w:spacing w:before="60" w:after="60" w:line="240" w:lineRule="atLeast"/>
              <w:ind w:left="317" w:hanging="317"/>
              <w:rPr>
                <w:rFonts w:cs="Arial"/>
                <w:sz w:val="18"/>
                <w:szCs w:val="18"/>
                <w:lang w:val="bg-BG"/>
              </w:rPr>
            </w:pPr>
            <w:r w:rsidRPr="009072DA">
              <w:rPr>
                <w:sz w:val="18"/>
                <w:lang w:val="bg-BG"/>
              </w:rPr>
              <w:t>-</w:t>
            </w:r>
            <w:r w:rsidRPr="009072DA">
              <w:rPr>
                <w:lang w:val="bg-BG"/>
              </w:rPr>
              <w:tab/>
            </w:r>
            <w:r w:rsidRPr="009072DA">
              <w:rPr>
                <w:sz w:val="18"/>
                <w:lang w:val="bg-BG"/>
              </w:rPr>
              <w:t>изискванията по отношение на цвета и светлината на светлините на борда, както и допускането на навигационни светлини за корабоплаването по река Рейн, считано от 30 ноември 2009 г. все още могат да бъдат използвани;</w:t>
            </w:r>
          </w:p>
          <w:p w:rsidR="00B90A00" w:rsidRPr="009072DA" w:rsidRDefault="00B90A00" w:rsidP="00A8005B">
            <w:pPr>
              <w:spacing w:before="60" w:after="60" w:line="240" w:lineRule="atLeast"/>
              <w:ind w:left="317" w:hanging="317"/>
              <w:rPr>
                <w:rFonts w:cs="Arial"/>
                <w:sz w:val="18"/>
                <w:szCs w:val="18"/>
                <w:lang w:val="bg-BG"/>
              </w:rPr>
            </w:pPr>
            <w:r w:rsidRPr="009072DA">
              <w:rPr>
                <w:sz w:val="18"/>
                <w:lang w:val="bg-BG"/>
              </w:rPr>
              <w:t>-</w:t>
            </w:r>
            <w:r w:rsidRPr="009072DA">
              <w:rPr>
                <w:lang w:val="bg-BG"/>
              </w:rPr>
              <w:tab/>
            </w:r>
            <w:r w:rsidRPr="009072DA">
              <w:rPr>
                <w:sz w:val="18"/>
                <w:lang w:val="bg-BG"/>
              </w:rPr>
              <w:t>съответните изисквания на дадена държава членка, считано от 30 ноември 2009 г., все още могат да се използват.</w:t>
            </w:r>
          </w:p>
        </w:tc>
        <w:tc>
          <w:tcPr>
            <w:tcW w:w="1276" w:type="dxa"/>
            <w:shd w:val="clear" w:color="auto" w:fill="auto"/>
          </w:tcPr>
          <w:p w:rsidR="00B90A00" w:rsidRPr="009072DA" w:rsidRDefault="00B90A00" w:rsidP="00A8005B">
            <w:pPr>
              <w:spacing w:before="60" w:after="60" w:line="240" w:lineRule="atLeast"/>
              <w:rPr>
                <w:rFonts w:cs="Arial"/>
                <w:sz w:val="18"/>
                <w:szCs w:val="18"/>
                <w:lang w:val="bg-BG"/>
              </w:rPr>
            </w:pPr>
          </w:p>
        </w:tc>
      </w:tr>
      <w:tr w:rsidR="00B90A00" w:rsidRPr="009072DA" w:rsidTr="00AB6D23">
        <w:trPr>
          <w:cantSplit/>
          <w:jc w:val="center"/>
        </w:trPr>
        <w:tc>
          <w:tcPr>
            <w:tcW w:w="1342" w:type="dxa"/>
            <w:tcBorders>
              <w:bottom w:val="nil"/>
            </w:tcBorders>
            <w:shd w:val="clear" w:color="auto" w:fill="auto"/>
          </w:tcPr>
          <w:p w:rsidR="00B90A00" w:rsidRPr="009072DA" w:rsidRDefault="00B90A00" w:rsidP="00A8005B">
            <w:pPr>
              <w:spacing w:before="60" w:after="60" w:line="240" w:lineRule="atLeast"/>
              <w:rPr>
                <w:rFonts w:cs="Arial"/>
                <w:sz w:val="18"/>
                <w:szCs w:val="18"/>
                <w:lang w:val="bg-BG"/>
              </w:rPr>
            </w:pPr>
            <w:r w:rsidRPr="009072DA">
              <w:rPr>
                <w:sz w:val="18"/>
                <w:lang w:val="bg-BG"/>
              </w:rPr>
              <w:lastRenderedPageBreak/>
              <w:t>7.06</w:t>
            </w:r>
          </w:p>
        </w:tc>
        <w:tc>
          <w:tcPr>
            <w:tcW w:w="1458" w:type="dxa"/>
            <w:vMerge w:val="restart"/>
            <w:shd w:val="clear" w:color="auto" w:fill="auto"/>
          </w:tcPr>
          <w:p w:rsidR="00B90A00" w:rsidRPr="009072DA" w:rsidRDefault="00B90A00" w:rsidP="00A8005B">
            <w:pPr>
              <w:spacing w:before="60" w:after="60" w:line="240" w:lineRule="atLeast"/>
              <w:rPr>
                <w:rFonts w:cs="Arial"/>
                <w:sz w:val="18"/>
                <w:szCs w:val="18"/>
                <w:lang w:val="bg-BG"/>
              </w:rPr>
            </w:pPr>
            <w:r w:rsidRPr="009072DA">
              <w:rPr>
                <w:sz w:val="18"/>
                <w:lang w:val="bg-BG"/>
              </w:rPr>
              <w:t>Точка 1</w:t>
            </w:r>
          </w:p>
        </w:tc>
        <w:tc>
          <w:tcPr>
            <w:tcW w:w="3296" w:type="dxa"/>
            <w:vMerge w:val="restart"/>
            <w:shd w:val="clear" w:color="auto" w:fill="auto"/>
          </w:tcPr>
          <w:p w:rsidR="00B90A00" w:rsidRPr="009072DA" w:rsidRDefault="00B90A00" w:rsidP="00A8005B">
            <w:pPr>
              <w:adjustRightInd w:val="0"/>
              <w:spacing w:before="60" w:after="60" w:line="240" w:lineRule="atLeast"/>
              <w:rPr>
                <w:rFonts w:cs="Arial"/>
                <w:sz w:val="18"/>
                <w:szCs w:val="18"/>
                <w:lang w:val="bg-BG"/>
              </w:rPr>
            </w:pPr>
            <w:r w:rsidRPr="009072DA">
              <w:rPr>
                <w:sz w:val="18"/>
                <w:lang w:val="bg-BG"/>
              </w:rPr>
              <w:t>Навигационно радиолокационно оборудване и индикатори на ъгловата скорост на поворот, одобрени преди 31 декември 2012 г.</w:t>
            </w:r>
          </w:p>
        </w:tc>
        <w:tc>
          <w:tcPr>
            <w:tcW w:w="6521" w:type="dxa"/>
            <w:shd w:val="clear" w:color="auto" w:fill="auto"/>
          </w:tcPr>
          <w:p w:rsidR="00B90A00" w:rsidRPr="009072DA" w:rsidRDefault="00B90A00" w:rsidP="00A8005B">
            <w:pPr>
              <w:adjustRightInd w:val="0"/>
              <w:spacing w:before="60" w:after="60" w:line="240" w:lineRule="atLeast"/>
              <w:rPr>
                <w:rFonts w:cs="Arial"/>
                <w:sz w:val="18"/>
                <w:szCs w:val="18"/>
                <w:lang w:val="bg-BG"/>
              </w:rPr>
            </w:pPr>
            <w:r w:rsidRPr="009072DA">
              <w:rPr>
                <w:sz w:val="18"/>
                <w:lang w:val="bg-BG"/>
              </w:rPr>
              <w:t>Навигационното радиолокационно оборудване и индикаторите на ъгловата скорост на поворот, одобрени и инсталирани в съответствие с регламентите на дадена държава членка преди 31 декември 2012 г., могат да продължат да бъдат поддържани и да се използват до подновяване на удостоверението на плавателния съд за плаване по вътрешни водни пътища след</w:t>
            </w:r>
          </w:p>
        </w:tc>
        <w:tc>
          <w:tcPr>
            <w:tcW w:w="1276" w:type="dxa"/>
            <w:shd w:val="clear" w:color="auto" w:fill="auto"/>
          </w:tcPr>
          <w:p w:rsidR="00B90A00" w:rsidRPr="009072DA" w:rsidRDefault="00B90A00" w:rsidP="00A8005B">
            <w:pPr>
              <w:spacing w:before="60" w:after="60" w:line="240" w:lineRule="atLeast"/>
              <w:rPr>
                <w:rFonts w:cs="Arial"/>
                <w:sz w:val="18"/>
                <w:szCs w:val="18"/>
                <w:lang w:val="bg-BG"/>
              </w:rPr>
            </w:pPr>
            <w:r w:rsidRPr="009072DA">
              <w:rPr>
                <w:sz w:val="18"/>
                <w:lang w:val="bg-BG"/>
              </w:rPr>
              <w:t>31.12.2018</w:t>
            </w:r>
          </w:p>
        </w:tc>
      </w:tr>
      <w:tr w:rsidR="00B90A00" w:rsidRPr="008D2440" w:rsidTr="00AB6D23">
        <w:trPr>
          <w:cantSplit/>
          <w:jc w:val="center"/>
        </w:trPr>
        <w:tc>
          <w:tcPr>
            <w:tcW w:w="1342" w:type="dxa"/>
            <w:tcBorders>
              <w:top w:val="nil"/>
              <w:bottom w:val="nil"/>
            </w:tcBorders>
            <w:shd w:val="clear" w:color="auto" w:fill="auto"/>
          </w:tcPr>
          <w:p w:rsidR="00B90A00" w:rsidRPr="009072DA" w:rsidRDefault="00B90A00" w:rsidP="00A8005B">
            <w:pPr>
              <w:spacing w:before="60" w:after="60" w:line="240" w:lineRule="atLeast"/>
              <w:rPr>
                <w:rFonts w:cs="Arial"/>
                <w:sz w:val="18"/>
                <w:szCs w:val="18"/>
                <w:lang w:val="bg-BG"/>
              </w:rPr>
            </w:pPr>
          </w:p>
        </w:tc>
        <w:tc>
          <w:tcPr>
            <w:tcW w:w="1458" w:type="dxa"/>
            <w:vMerge/>
            <w:shd w:val="clear" w:color="auto" w:fill="auto"/>
          </w:tcPr>
          <w:p w:rsidR="00B90A00" w:rsidRPr="009072DA" w:rsidRDefault="00B90A00" w:rsidP="00A8005B">
            <w:pPr>
              <w:spacing w:before="60" w:after="60" w:line="240" w:lineRule="atLeast"/>
              <w:rPr>
                <w:rFonts w:cs="Arial"/>
                <w:sz w:val="18"/>
                <w:szCs w:val="18"/>
                <w:lang w:val="bg-BG"/>
              </w:rPr>
            </w:pPr>
          </w:p>
        </w:tc>
        <w:tc>
          <w:tcPr>
            <w:tcW w:w="3296" w:type="dxa"/>
            <w:vMerge/>
            <w:shd w:val="clear" w:color="auto" w:fill="auto"/>
          </w:tcPr>
          <w:p w:rsidR="00B90A00" w:rsidRPr="009072DA" w:rsidRDefault="00B90A00" w:rsidP="00A8005B">
            <w:pPr>
              <w:spacing w:before="60" w:after="60" w:line="240" w:lineRule="atLeast"/>
              <w:rPr>
                <w:rFonts w:cs="Arial"/>
                <w:sz w:val="18"/>
                <w:szCs w:val="18"/>
                <w:lang w:val="bg-BG"/>
              </w:rPr>
            </w:pPr>
          </w:p>
        </w:tc>
        <w:tc>
          <w:tcPr>
            <w:tcW w:w="6521" w:type="dxa"/>
            <w:shd w:val="clear" w:color="auto" w:fill="auto"/>
          </w:tcPr>
          <w:p w:rsidR="00B90A00" w:rsidRPr="009072DA" w:rsidRDefault="00B90A00" w:rsidP="00A8005B">
            <w:pPr>
              <w:spacing w:before="60" w:after="60" w:line="240" w:lineRule="atLeast"/>
              <w:rPr>
                <w:rFonts w:cs="Arial"/>
                <w:sz w:val="18"/>
                <w:szCs w:val="18"/>
                <w:lang w:val="bg-BG"/>
              </w:rPr>
            </w:pPr>
            <w:r w:rsidRPr="009072DA">
              <w:rPr>
                <w:sz w:val="18"/>
                <w:lang w:val="bg-BG"/>
              </w:rPr>
              <w:t>Тези системи трябва да се посочат в точка 52 от удостоверението на плавателния съд за плаване по вътрешни водни пътища.</w:t>
            </w:r>
          </w:p>
        </w:tc>
        <w:tc>
          <w:tcPr>
            <w:tcW w:w="1276" w:type="dxa"/>
            <w:shd w:val="clear" w:color="auto" w:fill="auto"/>
          </w:tcPr>
          <w:p w:rsidR="00B90A00" w:rsidRPr="009072DA" w:rsidRDefault="00B90A00" w:rsidP="00A8005B">
            <w:pPr>
              <w:spacing w:before="60" w:after="60" w:line="240" w:lineRule="atLeast"/>
              <w:rPr>
                <w:rFonts w:cs="Arial"/>
                <w:sz w:val="18"/>
                <w:szCs w:val="18"/>
                <w:lang w:val="bg-BG"/>
              </w:rPr>
            </w:pPr>
          </w:p>
        </w:tc>
      </w:tr>
      <w:tr w:rsidR="00B90A00" w:rsidRPr="008D2440" w:rsidTr="00AB6D23">
        <w:trPr>
          <w:cantSplit/>
          <w:jc w:val="center"/>
        </w:trPr>
        <w:tc>
          <w:tcPr>
            <w:tcW w:w="1342" w:type="dxa"/>
            <w:tcBorders>
              <w:top w:val="nil"/>
              <w:bottom w:val="nil"/>
            </w:tcBorders>
            <w:shd w:val="clear" w:color="auto" w:fill="auto"/>
          </w:tcPr>
          <w:p w:rsidR="00B90A00" w:rsidRPr="009072DA" w:rsidRDefault="00B90A00" w:rsidP="00A8005B">
            <w:pPr>
              <w:spacing w:before="60" w:after="60" w:line="240" w:lineRule="atLeast"/>
              <w:rPr>
                <w:rFonts w:cs="Arial"/>
                <w:sz w:val="18"/>
                <w:szCs w:val="18"/>
                <w:lang w:val="bg-BG"/>
              </w:rPr>
            </w:pPr>
          </w:p>
        </w:tc>
        <w:tc>
          <w:tcPr>
            <w:tcW w:w="1458" w:type="dxa"/>
            <w:vMerge/>
            <w:shd w:val="clear" w:color="auto" w:fill="auto"/>
          </w:tcPr>
          <w:p w:rsidR="00B90A00" w:rsidRPr="009072DA" w:rsidRDefault="00B90A00" w:rsidP="00A8005B">
            <w:pPr>
              <w:spacing w:before="60" w:after="60" w:line="240" w:lineRule="atLeast"/>
              <w:rPr>
                <w:rFonts w:cs="Arial"/>
                <w:sz w:val="18"/>
                <w:szCs w:val="18"/>
                <w:lang w:val="bg-BG"/>
              </w:rPr>
            </w:pPr>
          </w:p>
        </w:tc>
        <w:tc>
          <w:tcPr>
            <w:tcW w:w="3296" w:type="dxa"/>
            <w:shd w:val="clear" w:color="auto" w:fill="auto"/>
          </w:tcPr>
          <w:p w:rsidR="00B90A00" w:rsidRPr="009072DA" w:rsidRDefault="00B90A00" w:rsidP="00A8005B">
            <w:pPr>
              <w:spacing w:before="60" w:after="60" w:line="240" w:lineRule="atLeast"/>
              <w:rPr>
                <w:rFonts w:cs="Arial"/>
                <w:sz w:val="18"/>
                <w:szCs w:val="18"/>
                <w:lang w:val="bg-BG"/>
              </w:rPr>
            </w:pPr>
            <w:r w:rsidRPr="009072DA">
              <w:rPr>
                <w:sz w:val="18"/>
                <w:lang w:val="bg-BG"/>
              </w:rPr>
              <w:t>Навигационно радиолокационно оборудване и индикатори на ъгловата скорост на поворот, одобрени след 1 януари 1990 г.</w:t>
            </w:r>
          </w:p>
        </w:tc>
        <w:tc>
          <w:tcPr>
            <w:tcW w:w="6521" w:type="dxa"/>
            <w:shd w:val="clear" w:color="auto" w:fill="auto"/>
          </w:tcPr>
          <w:p w:rsidR="00B90A00" w:rsidRPr="009072DA" w:rsidRDefault="00B90A00" w:rsidP="00A8005B">
            <w:pPr>
              <w:spacing w:before="60" w:after="60" w:line="240" w:lineRule="atLeast"/>
              <w:rPr>
                <w:rFonts w:cs="Arial"/>
                <w:sz w:val="18"/>
                <w:szCs w:val="18"/>
                <w:lang w:val="bg-BG"/>
              </w:rPr>
            </w:pPr>
            <w:r w:rsidRPr="009072DA">
              <w:rPr>
                <w:sz w:val="18"/>
                <w:lang w:val="bg-BG"/>
              </w:rPr>
              <w:t>Навигационното радиолокационно оборудване и индикаторите на ъгловата скорост на поворот, които са одобрени на или след 1 януари 1990 г. съгласно минималните изисквания и условия на изпитване за</w:t>
            </w:r>
            <w:r w:rsidRPr="009072DA">
              <w:rPr>
                <w:lang w:val="bg-BG"/>
              </w:rPr>
              <w:t xml:space="preserve"> радиолокационно оборудване</w:t>
            </w:r>
            <w:r w:rsidRPr="009072DA">
              <w:rPr>
                <w:sz w:val="18"/>
                <w:lang w:val="bg-BG"/>
              </w:rPr>
              <w:t>, използвани за корабоплаване по река Рейн и минималните изисквания и условия на изпитване за индикаторите на ъгловата скорост на поворот, използвани за корабоплаване по река Рейн, могат да продължат да бъдат монтирани и използвани, ако е налице валидно удостоверение за монтаж в съответствие с настоящия стандарт, Директива 2006/87/ЕО или с Резолюция 1989-II-35 на ЦККР.</w:t>
            </w:r>
          </w:p>
        </w:tc>
        <w:tc>
          <w:tcPr>
            <w:tcW w:w="1276" w:type="dxa"/>
            <w:shd w:val="clear" w:color="auto" w:fill="auto"/>
          </w:tcPr>
          <w:p w:rsidR="00B90A00" w:rsidRPr="009072DA" w:rsidRDefault="00B90A00" w:rsidP="00A8005B">
            <w:pPr>
              <w:spacing w:before="60" w:after="60" w:line="240" w:lineRule="atLeast"/>
              <w:rPr>
                <w:rFonts w:cs="Arial"/>
                <w:sz w:val="18"/>
                <w:szCs w:val="18"/>
                <w:lang w:val="bg-BG"/>
              </w:rPr>
            </w:pPr>
          </w:p>
        </w:tc>
      </w:tr>
      <w:tr w:rsidR="00B90A00" w:rsidRPr="008D2440" w:rsidTr="00AB6D23">
        <w:trPr>
          <w:cantSplit/>
          <w:jc w:val="center"/>
        </w:trPr>
        <w:tc>
          <w:tcPr>
            <w:tcW w:w="1342" w:type="dxa"/>
            <w:tcBorders>
              <w:top w:val="nil"/>
              <w:bottom w:val="nil"/>
            </w:tcBorders>
            <w:shd w:val="clear" w:color="auto" w:fill="auto"/>
          </w:tcPr>
          <w:p w:rsidR="00B90A00" w:rsidRPr="009072DA" w:rsidRDefault="00B90A00" w:rsidP="00A8005B">
            <w:pPr>
              <w:spacing w:before="60" w:after="60" w:line="240" w:lineRule="atLeast"/>
              <w:rPr>
                <w:rFonts w:cs="Arial"/>
                <w:sz w:val="18"/>
                <w:szCs w:val="18"/>
                <w:lang w:val="bg-BG"/>
              </w:rPr>
            </w:pPr>
          </w:p>
        </w:tc>
        <w:tc>
          <w:tcPr>
            <w:tcW w:w="1458" w:type="dxa"/>
            <w:vMerge/>
            <w:shd w:val="clear" w:color="auto" w:fill="auto"/>
          </w:tcPr>
          <w:p w:rsidR="00B90A00" w:rsidRPr="009072DA" w:rsidRDefault="00B90A00" w:rsidP="00A8005B">
            <w:pPr>
              <w:spacing w:before="60" w:after="60" w:line="240" w:lineRule="atLeast"/>
              <w:rPr>
                <w:rFonts w:cs="Arial"/>
                <w:sz w:val="18"/>
                <w:szCs w:val="18"/>
                <w:lang w:val="bg-BG"/>
              </w:rPr>
            </w:pPr>
          </w:p>
        </w:tc>
        <w:tc>
          <w:tcPr>
            <w:tcW w:w="3296" w:type="dxa"/>
            <w:shd w:val="clear" w:color="auto" w:fill="auto"/>
          </w:tcPr>
          <w:p w:rsidR="00B90A00" w:rsidRPr="009072DA" w:rsidRDefault="00B90A00" w:rsidP="00A8005B">
            <w:pPr>
              <w:spacing w:before="60" w:after="60" w:line="240" w:lineRule="atLeast"/>
              <w:rPr>
                <w:rFonts w:cs="Arial"/>
                <w:sz w:val="18"/>
                <w:szCs w:val="18"/>
                <w:lang w:val="bg-BG"/>
              </w:rPr>
            </w:pPr>
            <w:r w:rsidRPr="009072DA">
              <w:rPr>
                <w:sz w:val="18"/>
                <w:lang w:val="bg-BG"/>
              </w:rPr>
              <w:t>Навигационно радиолокационно оборудване и индикатори на ъгловата скорост на поворот, одобрени след 31 декември 2006 г.</w:t>
            </w:r>
          </w:p>
        </w:tc>
        <w:tc>
          <w:tcPr>
            <w:tcW w:w="6521" w:type="dxa"/>
            <w:shd w:val="clear" w:color="auto" w:fill="auto"/>
          </w:tcPr>
          <w:p w:rsidR="00B90A00" w:rsidRPr="009072DA" w:rsidRDefault="00B90A00" w:rsidP="00A8005B">
            <w:pPr>
              <w:spacing w:before="60" w:after="60" w:line="240" w:lineRule="atLeast"/>
              <w:rPr>
                <w:rFonts w:cs="Arial"/>
                <w:sz w:val="18"/>
                <w:szCs w:val="18"/>
                <w:lang w:val="bg-BG"/>
              </w:rPr>
            </w:pPr>
            <w:r w:rsidRPr="009072DA">
              <w:rPr>
                <w:sz w:val="18"/>
                <w:lang w:val="bg-BG"/>
              </w:rPr>
              <w:t>Навигационното радиолокационно оборудване и индикаторите на ъгловата скорост на поворот, които са одобрени на или след 31 декември 2006 г. съгласно минималните изисквания и условия на изпитване от Директива 2006/87/ЕО, могат да продължат да бъдат монтирани и използвани, ако е налице валидно удостоверение за монтаж в съответствие с настоящия стандарт или Директива 2006/87/ЕО.</w:t>
            </w:r>
          </w:p>
        </w:tc>
        <w:tc>
          <w:tcPr>
            <w:tcW w:w="1276" w:type="dxa"/>
            <w:shd w:val="clear" w:color="auto" w:fill="auto"/>
          </w:tcPr>
          <w:p w:rsidR="00B90A00" w:rsidRPr="009072DA" w:rsidRDefault="00B90A00" w:rsidP="00A8005B">
            <w:pPr>
              <w:spacing w:before="60" w:after="60" w:line="240" w:lineRule="atLeast"/>
              <w:rPr>
                <w:rFonts w:cs="Arial"/>
                <w:sz w:val="18"/>
                <w:szCs w:val="18"/>
                <w:lang w:val="bg-BG"/>
              </w:rPr>
            </w:pPr>
          </w:p>
        </w:tc>
      </w:tr>
      <w:tr w:rsidR="00B90A00" w:rsidRPr="008D2440" w:rsidTr="00DF5C3B">
        <w:trPr>
          <w:cantSplit/>
          <w:jc w:val="center"/>
        </w:trPr>
        <w:tc>
          <w:tcPr>
            <w:tcW w:w="1342" w:type="dxa"/>
            <w:tcBorders>
              <w:top w:val="nil"/>
              <w:bottom w:val="nil"/>
            </w:tcBorders>
            <w:shd w:val="clear" w:color="auto" w:fill="auto"/>
          </w:tcPr>
          <w:p w:rsidR="00B90A00" w:rsidRPr="009072DA" w:rsidRDefault="00B90A00" w:rsidP="00A8005B">
            <w:pPr>
              <w:spacing w:before="80" w:after="80" w:line="240" w:lineRule="atLeast"/>
              <w:rPr>
                <w:rFonts w:cs="Arial"/>
                <w:sz w:val="18"/>
                <w:szCs w:val="18"/>
                <w:lang w:val="bg-BG"/>
              </w:rPr>
            </w:pPr>
          </w:p>
        </w:tc>
        <w:tc>
          <w:tcPr>
            <w:tcW w:w="1458" w:type="dxa"/>
            <w:vMerge/>
            <w:tcBorders>
              <w:bottom w:val="single" w:sz="4" w:space="0" w:color="auto"/>
            </w:tcBorders>
            <w:shd w:val="clear" w:color="auto" w:fill="auto"/>
          </w:tcPr>
          <w:p w:rsidR="00B90A00" w:rsidRPr="009072DA" w:rsidRDefault="00B90A00" w:rsidP="00A8005B">
            <w:pPr>
              <w:spacing w:before="80" w:after="80" w:line="240" w:lineRule="atLeast"/>
              <w:rPr>
                <w:rFonts w:cs="Arial"/>
                <w:sz w:val="18"/>
                <w:szCs w:val="18"/>
                <w:lang w:val="bg-BG"/>
              </w:rPr>
            </w:pPr>
          </w:p>
        </w:tc>
        <w:tc>
          <w:tcPr>
            <w:tcW w:w="3296" w:type="dxa"/>
            <w:tcBorders>
              <w:bottom w:val="single" w:sz="4" w:space="0" w:color="auto"/>
            </w:tcBorders>
            <w:shd w:val="clear" w:color="auto" w:fill="auto"/>
          </w:tcPr>
          <w:p w:rsidR="00B90A00" w:rsidRPr="009072DA" w:rsidRDefault="00B90A00" w:rsidP="00A8005B">
            <w:pPr>
              <w:spacing w:before="80" w:after="80" w:line="240" w:lineRule="atLeast"/>
              <w:rPr>
                <w:rFonts w:cs="Arial"/>
                <w:sz w:val="18"/>
                <w:szCs w:val="18"/>
                <w:lang w:val="bg-BG"/>
              </w:rPr>
            </w:pPr>
            <w:r w:rsidRPr="009072DA">
              <w:rPr>
                <w:sz w:val="18"/>
                <w:lang w:val="bg-BG"/>
              </w:rPr>
              <w:t>Навигационно радиолокационно оборудване и индикатори на ъгловата скорост на поворот, одобрени след 1 декември 2009 г.</w:t>
            </w:r>
          </w:p>
        </w:tc>
        <w:tc>
          <w:tcPr>
            <w:tcW w:w="6521" w:type="dxa"/>
            <w:shd w:val="clear" w:color="auto" w:fill="auto"/>
          </w:tcPr>
          <w:p w:rsidR="00B90A00" w:rsidRPr="009072DA" w:rsidRDefault="00B90A00" w:rsidP="00A8005B">
            <w:pPr>
              <w:spacing w:before="80" w:after="80" w:line="240" w:lineRule="atLeast"/>
              <w:rPr>
                <w:rFonts w:cs="Arial"/>
                <w:sz w:val="18"/>
                <w:szCs w:val="18"/>
                <w:lang w:val="bg-BG"/>
              </w:rPr>
            </w:pPr>
            <w:r w:rsidRPr="009072DA">
              <w:rPr>
                <w:sz w:val="18"/>
                <w:lang w:val="bg-BG"/>
              </w:rPr>
              <w:t>Навигационното радиолокационно оборудване и индикаторите на ъгловата скорост на поворот, които са одобрени на или след 1 декември 2009 г. съгласно минималните изисквания и условия на изпитване от Резолюция 2008-II-11 на ЦККР, могат да продължат да бъдат монтирани и използвани, ако е налице валидно удостоверение за монтаж в съответствие с настоящия стандарт или Резолюция 2008-II-11 на ЦККР.</w:t>
            </w:r>
          </w:p>
        </w:tc>
        <w:tc>
          <w:tcPr>
            <w:tcW w:w="1276" w:type="dxa"/>
            <w:shd w:val="clear" w:color="auto" w:fill="auto"/>
          </w:tcPr>
          <w:p w:rsidR="00B90A00" w:rsidRPr="009072DA" w:rsidRDefault="00B90A00" w:rsidP="00A8005B">
            <w:pPr>
              <w:spacing w:before="80" w:after="80" w:line="240" w:lineRule="atLeast"/>
              <w:rPr>
                <w:rFonts w:cs="Arial"/>
                <w:sz w:val="18"/>
                <w:szCs w:val="18"/>
                <w:lang w:val="bg-BG"/>
              </w:rPr>
            </w:pPr>
          </w:p>
        </w:tc>
      </w:tr>
      <w:tr w:rsidR="001964F8" w:rsidRPr="009072DA" w:rsidTr="00DF5C3B">
        <w:trPr>
          <w:cantSplit/>
          <w:jc w:val="center"/>
        </w:trPr>
        <w:tc>
          <w:tcPr>
            <w:tcW w:w="1342" w:type="dxa"/>
            <w:tcBorders>
              <w:top w:val="nil"/>
              <w:bottom w:val="nil"/>
            </w:tcBorders>
            <w:shd w:val="clear" w:color="auto" w:fill="auto"/>
          </w:tcPr>
          <w:p w:rsidR="001964F8" w:rsidRPr="009072DA" w:rsidRDefault="001964F8" w:rsidP="00A8005B">
            <w:pPr>
              <w:spacing w:before="80" w:after="80" w:line="240" w:lineRule="atLeast"/>
              <w:rPr>
                <w:rFonts w:cs="Arial"/>
                <w:sz w:val="18"/>
                <w:szCs w:val="18"/>
                <w:lang w:val="bg-BG"/>
              </w:rPr>
            </w:pPr>
          </w:p>
        </w:tc>
        <w:tc>
          <w:tcPr>
            <w:tcW w:w="1458" w:type="dxa"/>
            <w:tcBorders>
              <w:bottom w:val="nil"/>
            </w:tcBorders>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Точка 3</w:t>
            </w:r>
          </w:p>
        </w:tc>
        <w:tc>
          <w:tcPr>
            <w:tcW w:w="3296" w:type="dxa"/>
            <w:tcBorders>
              <w:bottom w:val="nil"/>
            </w:tcBorders>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Оборудване за AIS за вътрешните водни пътища</w:t>
            </w:r>
          </w:p>
        </w:tc>
        <w:tc>
          <w:tcPr>
            <w:tcW w:w="6521" w:type="dxa"/>
            <w:shd w:val="clear" w:color="auto" w:fill="auto"/>
          </w:tcPr>
          <w:p w:rsidR="001964F8" w:rsidRPr="009072DA" w:rsidRDefault="008761D9" w:rsidP="00A8005B">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1964F8" w:rsidRPr="009072DA" w:rsidRDefault="001964F8" w:rsidP="00A8005B">
            <w:pPr>
              <w:spacing w:before="80" w:after="80" w:line="240" w:lineRule="atLeast"/>
              <w:rPr>
                <w:rFonts w:cs="Arial"/>
                <w:sz w:val="18"/>
                <w:szCs w:val="18"/>
                <w:lang w:val="bg-BG"/>
              </w:rPr>
            </w:pPr>
          </w:p>
        </w:tc>
      </w:tr>
      <w:tr w:rsidR="00DF5C3B" w:rsidRPr="009072DA" w:rsidTr="00DF5C3B">
        <w:trPr>
          <w:cantSplit/>
          <w:jc w:val="center"/>
        </w:trPr>
        <w:tc>
          <w:tcPr>
            <w:tcW w:w="1342" w:type="dxa"/>
            <w:tcBorders>
              <w:top w:val="nil"/>
            </w:tcBorders>
            <w:shd w:val="clear" w:color="auto" w:fill="auto"/>
          </w:tcPr>
          <w:p w:rsidR="00DF5C3B" w:rsidRPr="009072DA" w:rsidRDefault="00DF5C3B" w:rsidP="00A8005B">
            <w:pPr>
              <w:spacing w:before="80" w:after="80" w:line="240" w:lineRule="atLeast"/>
              <w:rPr>
                <w:rFonts w:cs="Arial"/>
                <w:sz w:val="18"/>
                <w:szCs w:val="18"/>
                <w:lang w:val="bg-BG"/>
              </w:rPr>
            </w:pPr>
          </w:p>
        </w:tc>
        <w:tc>
          <w:tcPr>
            <w:tcW w:w="1458" w:type="dxa"/>
            <w:tcBorders>
              <w:top w:val="nil"/>
            </w:tcBorders>
            <w:shd w:val="clear" w:color="auto" w:fill="auto"/>
          </w:tcPr>
          <w:p w:rsidR="00DF5C3B" w:rsidRPr="009072DA" w:rsidRDefault="00DF5C3B" w:rsidP="00A8005B">
            <w:pPr>
              <w:spacing w:before="80" w:after="80" w:line="240" w:lineRule="atLeast"/>
              <w:rPr>
                <w:rFonts w:cs="Arial"/>
                <w:sz w:val="18"/>
                <w:szCs w:val="18"/>
                <w:lang w:val="bg-BG"/>
              </w:rPr>
            </w:pPr>
          </w:p>
        </w:tc>
        <w:tc>
          <w:tcPr>
            <w:tcW w:w="3296" w:type="dxa"/>
            <w:tcBorders>
              <w:top w:val="nil"/>
            </w:tcBorders>
            <w:shd w:val="clear" w:color="auto" w:fill="auto"/>
          </w:tcPr>
          <w:p w:rsidR="00DF5C3B" w:rsidRPr="009072DA" w:rsidRDefault="00DF5C3B" w:rsidP="00A8005B">
            <w:pPr>
              <w:spacing w:before="80" w:after="80" w:line="240" w:lineRule="atLeast"/>
              <w:rPr>
                <w:rFonts w:cs="Arial"/>
                <w:sz w:val="18"/>
                <w:szCs w:val="18"/>
                <w:lang w:val="bg-BG"/>
              </w:rPr>
            </w:pPr>
          </w:p>
        </w:tc>
        <w:tc>
          <w:tcPr>
            <w:tcW w:w="6521" w:type="dxa"/>
            <w:shd w:val="clear" w:color="auto" w:fill="auto"/>
          </w:tcPr>
          <w:p w:rsidR="00DF5C3B" w:rsidRPr="009072DA" w:rsidRDefault="00DF5C3B" w:rsidP="007A3786">
            <w:pPr>
              <w:spacing w:before="80" w:after="80" w:line="240" w:lineRule="atLeast"/>
              <w:rPr>
                <w:rFonts w:cs="Arial"/>
                <w:sz w:val="18"/>
                <w:szCs w:val="18"/>
                <w:lang w:val="bg-BG"/>
              </w:rPr>
            </w:pPr>
            <w:r w:rsidRPr="009072DA">
              <w:rPr>
                <w:sz w:val="18"/>
                <w:lang w:val="bg-BG"/>
              </w:rPr>
              <w:t>Оборудването за AIS за вътрешните водни пътища, одобрено на 19 октомври 2012 г. или след тази дата, съгласно изискванията на стандарта за изпитване за AIS за вътрешни водни пътища, издание 2.0, прието с Резолюция 2012-II-20 на ЦККР може да продължи да бъде инсталирано и използвано.</w:t>
            </w:r>
          </w:p>
        </w:tc>
        <w:tc>
          <w:tcPr>
            <w:tcW w:w="1276" w:type="dxa"/>
            <w:shd w:val="clear" w:color="auto" w:fill="auto"/>
          </w:tcPr>
          <w:p w:rsidR="00DF5C3B" w:rsidRPr="009072DA" w:rsidRDefault="0012395A" w:rsidP="00A8005B">
            <w:pPr>
              <w:spacing w:before="80" w:after="80" w:line="240" w:lineRule="atLeast"/>
              <w:rPr>
                <w:rFonts w:cs="Arial"/>
                <w:sz w:val="18"/>
                <w:szCs w:val="18"/>
                <w:lang w:val="bg-BG"/>
              </w:rPr>
            </w:pPr>
            <w:r w:rsidRPr="009072DA">
              <w:rPr>
                <w:sz w:val="18"/>
                <w:lang w:val="bg-BG"/>
              </w:rPr>
              <w:t>7.10.2018 г.</w:t>
            </w:r>
          </w:p>
        </w:tc>
      </w:tr>
      <w:tr w:rsidR="001964F8" w:rsidRPr="009072DA" w:rsidTr="00E1635F">
        <w:trPr>
          <w:cantSplit/>
          <w:trHeight w:val="884"/>
          <w:jc w:val="center"/>
        </w:trPr>
        <w:tc>
          <w:tcPr>
            <w:tcW w:w="1342" w:type="dxa"/>
            <w:tcBorders>
              <w:bottom w:val="single" w:sz="4" w:space="0" w:color="auto"/>
            </w:tcBorders>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7.09</w:t>
            </w:r>
          </w:p>
        </w:tc>
        <w:tc>
          <w:tcPr>
            <w:tcW w:w="1458" w:type="dxa"/>
            <w:tcBorders>
              <w:bottom w:val="single" w:sz="4" w:space="0" w:color="auto"/>
            </w:tcBorders>
            <w:shd w:val="clear" w:color="auto" w:fill="auto"/>
          </w:tcPr>
          <w:p w:rsidR="001964F8" w:rsidRPr="009072DA" w:rsidRDefault="001964F8" w:rsidP="00A8005B">
            <w:pPr>
              <w:spacing w:before="80" w:after="80" w:line="240" w:lineRule="atLeast"/>
              <w:rPr>
                <w:rFonts w:cs="Arial"/>
                <w:sz w:val="18"/>
                <w:szCs w:val="18"/>
                <w:lang w:val="bg-BG"/>
              </w:rPr>
            </w:pPr>
          </w:p>
        </w:tc>
        <w:tc>
          <w:tcPr>
            <w:tcW w:w="3296" w:type="dxa"/>
            <w:tcBorders>
              <w:bottom w:val="single" w:sz="4" w:space="0" w:color="auto"/>
            </w:tcBorders>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Алармена система</w:t>
            </w:r>
          </w:p>
        </w:tc>
        <w:tc>
          <w:tcPr>
            <w:tcW w:w="6521" w:type="dxa"/>
            <w:shd w:val="clear" w:color="auto" w:fill="auto"/>
          </w:tcPr>
          <w:p w:rsidR="001964F8" w:rsidRPr="009072DA" w:rsidRDefault="008761D9" w:rsidP="00A8005B">
            <w:pPr>
              <w:spacing w:before="80" w:after="8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30.12.2024 г.</w:t>
            </w:r>
          </w:p>
        </w:tc>
      </w:tr>
      <w:tr w:rsidR="00E1635F" w:rsidRPr="008D2440" w:rsidTr="00136542">
        <w:trPr>
          <w:cantSplit/>
          <w:jc w:val="center"/>
        </w:trPr>
        <w:tc>
          <w:tcPr>
            <w:tcW w:w="1342" w:type="dxa"/>
            <w:vMerge w:val="restart"/>
            <w:shd w:val="clear" w:color="auto" w:fill="auto"/>
          </w:tcPr>
          <w:p w:rsidR="00E1635F" w:rsidRPr="009072DA" w:rsidRDefault="00E1635F" w:rsidP="00A8005B">
            <w:pPr>
              <w:spacing w:before="80" w:after="80" w:line="240" w:lineRule="atLeast"/>
              <w:rPr>
                <w:rFonts w:cs="Arial"/>
                <w:sz w:val="18"/>
                <w:szCs w:val="18"/>
                <w:lang w:val="bg-BG"/>
              </w:rPr>
            </w:pPr>
            <w:r w:rsidRPr="009072DA">
              <w:rPr>
                <w:sz w:val="18"/>
                <w:lang w:val="bg-BG"/>
              </w:rPr>
              <w:t>7.12</w:t>
            </w:r>
          </w:p>
        </w:tc>
        <w:tc>
          <w:tcPr>
            <w:tcW w:w="1458"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 xml:space="preserve">Точка 4 </w:t>
            </w:r>
            <w:r w:rsidRPr="009072DA">
              <w:rPr>
                <w:rFonts w:cs="Arial"/>
                <w:sz w:val="18"/>
                <w:szCs w:val="18"/>
                <w:lang w:val="bg-BG"/>
              </w:rPr>
              <w:br/>
            </w:r>
            <w:r w:rsidRPr="009072DA">
              <w:rPr>
                <w:sz w:val="18"/>
                <w:lang w:val="bg-BG"/>
              </w:rPr>
              <w:t>2-ро изречение</w:t>
            </w:r>
          </w:p>
        </w:tc>
        <w:tc>
          <w:tcPr>
            <w:tcW w:w="3296"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Указания</w:t>
            </w:r>
          </w:p>
        </w:tc>
        <w:tc>
          <w:tcPr>
            <w:tcW w:w="6521"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E1635F" w:rsidRPr="009072DA" w:rsidRDefault="00E1635F" w:rsidP="00A8005B">
            <w:pPr>
              <w:widowControl w:val="0"/>
              <w:spacing w:before="80" w:after="80" w:line="240" w:lineRule="atLeast"/>
              <w:rPr>
                <w:rFonts w:cs="Arial"/>
                <w:sz w:val="18"/>
                <w:szCs w:val="18"/>
                <w:lang w:val="bg-BG"/>
              </w:rPr>
            </w:pPr>
          </w:p>
        </w:tc>
      </w:tr>
      <w:tr w:rsidR="00E1635F" w:rsidRPr="009072DA" w:rsidTr="00136542">
        <w:trPr>
          <w:cantSplit/>
          <w:jc w:val="center"/>
        </w:trPr>
        <w:tc>
          <w:tcPr>
            <w:tcW w:w="1342" w:type="dxa"/>
            <w:vMerge/>
            <w:shd w:val="clear" w:color="auto" w:fill="auto"/>
          </w:tcPr>
          <w:p w:rsidR="00E1635F" w:rsidRPr="009072DA" w:rsidRDefault="00E1635F" w:rsidP="00A8005B">
            <w:pPr>
              <w:spacing w:before="80" w:after="80" w:line="240" w:lineRule="atLeast"/>
              <w:rPr>
                <w:rFonts w:cs="Arial"/>
                <w:sz w:val="18"/>
                <w:szCs w:val="18"/>
                <w:lang w:val="bg-BG"/>
              </w:rPr>
            </w:pPr>
          </w:p>
        </w:tc>
        <w:tc>
          <w:tcPr>
            <w:tcW w:w="1458"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Точка 5</w:t>
            </w:r>
          </w:p>
        </w:tc>
        <w:tc>
          <w:tcPr>
            <w:tcW w:w="3296"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Спиране и блокиране</w:t>
            </w:r>
          </w:p>
        </w:tc>
        <w:tc>
          <w:tcPr>
            <w:tcW w:w="6521"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1.1.2025 г.</w:t>
            </w:r>
          </w:p>
        </w:tc>
      </w:tr>
      <w:tr w:rsidR="00E1635F" w:rsidRPr="009072DA" w:rsidTr="00136542">
        <w:trPr>
          <w:cantSplit/>
          <w:jc w:val="center"/>
        </w:trPr>
        <w:tc>
          <w:tcPr>
            <w:tcW w:w="1342" w:type="dxa"/>
            <w:vMerge/>
            <w:shd w:val="clear" w:color="auto" w:fill="auto"/>
          </w:tcPr>
          <w:p w:rsidR="00E1635F" w:rsidRPr="009072DA" w:rsidRDefault="00E1635F" w:rsidP="00A8005B">
            <w:pPr>
              <w:spacing w:before="80" w:after="80" w:line="240" w:lineRule="atLeast"/>
              <w:rPr>
                <w:rFonts w:cs="Arial"/>
                <w:sz w:val="18"/>
                <w:szCs w:val="18"/>
                <w:lang w:val="bg-BG"/>
              </w:rPr>
            </w:pPr>
          </w:p>
        </w:tc>
        <w:tc>
          <w:tcPr>
            <w:tcW w:w="1458"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Точка 6</w:t>
            </w:r>
          </w:p>
        </w:tc>
        <w:tc>
          <w:tcPr>
            <w:tcW w:w="3296"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Автоматично изключване</w:t>
            </w:r>
          </w:p>
        </w:tc>
        <w:tc>
          <w:tcPr>
            <w:tcW w:w="6521"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1.1.2025 г.</w:t>
            </w:r>
          </w:p>
        </w:tc>
      </w:tr>
      <w:tr w:rsidR="00E1635F" w:rsidRPr="009072DA" w:rsidTr="00136542">
        <w:trPr>
          <w:cantSplit/>
          <w:jc w:val="center"/>
        </w:trPr>
        <w:tc>
          <w:tcPr>
            <w:tcW w:w="1342" w:type="dxa"/>
            <w:vMerge/>
            <w:shd w:val="clear" w:color="auto" w:fill="auto"/>
          </w:tcPr>
          <w:p w:rsidR="00E1635F" w:rsidRPr="009072DA" w:rsidRDefault="00E1635F" w:rsidP="00A8005B">
            <w:pPr>
              <w:spacing w:before="80" w:after="80" w:line="240" w:lineRule="atLeast"/>
              <w:rPr>
                <w:rFonts w:cs="Arial"/>
                <w:sz w:val="18"/>
                <w:szCs w:val="18"/>
                <w:lang w:val="bg-BG"/>
              </w:rPr>
            </w:pPr>
          </w:p>
        </w:tc>
        <w:tc>
          <w:tcPr>
            <w:tcW w:w="1458"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 xml:space="preserve">Точка 7 </w:t>
            </w:r>
            <w:r w:rsidRPr="009072DA">
              <w:rPr>
                <w:rFonts w:cs="Arial"/>
                <w:sz w:val="18"/>
                <w:szCs w:val="18"/>
                <w:lang w:val="bg-BG"/>
              </w:rPr>
              <w:br/>
            </w:r>
            <w:r w:rsidRPr="009072DA">
              <w:rPr>
                <w:sz w:val="18"/>
                <w:lang w:val="bg-BG"/>
              </w:rPr>
              <w:t>1-во и 2-ро изречение</w:t>
            </w:r>
          </w:p>
        </w:tc>
        <w:tc>
          <w:tcPr>
            <w:tcW w:w="3296"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Мерки и функции за защита</w:t>
            </w:r>
          </w:p>
        </w:tc>
        <w:tc>
          <w:tcPr>
            <w:tcW w:w="6521"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1.1.2025 г.</w:t>
            </w:r>
          </w:p>
        </w:tc>
      </w:tr>
      <w:tr w:rsidR="00E1635F" w:rsidRPr="008D2440" w:rsidTr="00136542">
        <w:trPr>
          <w:cantSplit/>
          <w:jc w:val="center"/>
        </w:trPr>
        <w:tc>
          <w:tcPr>
            <w:tcW w:w="1342" w:type="dxa"/>
            <w:vMerge/>
            <w:shd w:val="clear" w:color="auto" w:fill="auto"/>
          </w:tcPr>
          <w:p w:rsidR="00E1635F" w:rsidRPr="009072DA" w:rsidRDefault="00E1635F" w:rsidP="00A8005B">
            <w:pPr>
              <w:spacing w:before="80" w:after="80" w:line="240" w:lineRule="atLeast"/>
              <w:rPr>
                <w:rFonts w:cs="Arial"/>
                <w:sz w:val="18"/>
                <w:szCs w:val="18"/>
                <w:lang w:val="bg-BG"/>
              </w:rPr>
            </w:pPr>
          </w:p>
        </w:tc>
        <w:tc>
          <w:tcPr>
            <w:tcW w:w="1458"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 xml:space="preserve">Точка 7 </w:t>
            </w:r>
            <w:r w:rsidRPr="009072DA">
              <w:rPr>
                <w:rFonts w:cs="Arial"/>
                <w:sz w:val="18"/>
                <w:szCs w:val="18"/>
                <w:lang w:val="bg-BG"/>
              </w:rPr>
              <w:br/>
            </w:r>
            <w:r w:rsidRPr="009072DA">
              <w:rPr>
                <w:sz w:val="18"/>
                <w:lang w:val="bg-BG"/>
              </w:rPr>
              <w:t>3-то изречение</w:t>
            </w:r>
          </w:p>
        </w:tc>
        <w:tc>
          <w:tcPr>
            <w:tcW w:w="3296"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Оптичен сигнал</w:t>
            </w:r>
          </w:p>
        </w:tc>
        <w:tc>
          <w:tcPr>
            <w:tcW w:w="6521"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E1635F" w:rsidRPr="009072DA" w:rsidRDefault="00E1635F" w:rsidP="00A8005B">
            <w:pPr>
              <w:widowControl w:val="0"/>
              <w:spacing w:before="80" w:after="80" w:line="240" w:lineRule="atLeast"/>
              <w:rPr>
                <w:rFonts w:cs="Arial"/>
                <w:sz w:val="18"/>
                <w:szCs w:val="18"/>
                <w:lang w:val="bg-BG"/>
              </w:rPr>
            </w:pPr>
          </w:p>
        </w:tc>
      </w:tr>
      <w:tr w:rsidR="00E1635F" w:rsidRPr="009072DA" w:rsidTr="00136542">
        <w:trPr>
          <w:cantSplit/>
          <w:jc w:val="center"/>
        </w:trPr>
        <w:tc>
          <w:tcPr>
            <w:tcW w:w="1342" w:type="dxa"/>
            <w:vMerge/>
            <w:shd w:val="clear" w:color="auto" w:fill="auto"/>
          </w:tcPr>
          <w:p w:rsidR="00E1635F" w:rsidRPr="009072DA" w:rsidRDefault="00E1635F" w:rsidP="00A8005B">
            <w:pPr>
              <w:spacing w:before="80" w:after="80" w:line="240" w:lineRule="atLeast"/>
              <w:rPr>
                <w:rFonts w:cs="Arial"/>
                <w:sz w:val="18"/>
                <w:szCs w:val="18"/>
                <w:lang w:val="bg-BG"/>
              </w:rPr>
            </w:pPr>
          </w:p>
        </w:tc>
        <w:tc>
          <w:tcPr>
            <w:tcW w:w="1458"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Точка 8</w:t>
            </w:r>
          </w:p>
        </w:tc>
        <w:tc>
          <w:tcPr>
            <w:tcW w:w="3296" w:type="dxa"/>
            <w:shd w:val="clear" w:color="auto" w:fill="auto"/>
          </w:tcPr>
          <w:p w:rsidR="00E1635F" w:rsidRPr="009072DA" w:rsidRDefault="00E1635F" w:rsidP="00A8005B">
            <w:pPr>
              <w:widowControl w:val="0"/>
              <w:tabs>
                <w:tab w:val="left" w:pos="1260"/>
              </w:tabs>
              <w:adjustRightInd w:val="0"/>
              <w:spacing w:before="80" w:after="80" w:line="240" w:lineRule="atLeast"/>
              <w:rPr>
                <w:rFonts w:cs="Arial"/>
                <w:sz w:val="18"/>
                <w:szCs w:val="18"/>
                <w:lang w:val="bg-BG"/>
              </w:rPr>
            </w:pPr>
            <w:r w:rsidRPr="009072DA">
              <w:rPr>
                <w:sz w:val="18"/>
                <w:lang w:val="bg-BG"/>
              </w:rPr>
              <w:t>Система за аварийно спускане</w:t>
            </w:r>
          </w:p>
        </w:tc>
        <w:tc>
          <w:tcPr>
            <w:tcW w:w="6521"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 xml:space="preserve">Ако хидравлично спускане не е възможно: 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1.1.2040 г.</w:t>
            </w:r>
          </w:p>
        </w:tc>
      </w:tr>
      <w:tr w:rsidR="00E1635F" w:rsidRPr="008D2440" w:rsidTr="00136542">
        <w:trPr>
          <w:cantSplit/>
          <w:trHeight w:val="184"/>
          <w:jc w:val="center"/>
        </w:trPr>
        <w:tc>
          <w:tcPr>
            <w:tcW w:w="1342" w:type="dxa"/>
            <w:vMerge/>
            <w:shd w:val="clear" w:color="auto" w:fill="auto"/>
          </w:tcPr>
          <w:p w:rsidR="00E1635F" w:rsidRPr="009072DA" w:rsidRDefault="00E1635F" w:rsidP="00A8005B">
            <w:pPr>
              <w:spacing w:before="80" w:after="80" w:line="240" w:lineRule="atLeast"/>
              <w:rPr>
                <w:rFonts w:cs="Arial"/>
                <w:sz w:val="18"/>
                <w:szCs w:val="18"/>
                <w:lang w:val="bg-BG"/>
              </w:rPr>
            </w:pPr>
          </w:p>
        </w:tc>
        <w:tc>
          <w:tcPr>
            <w:tcW w:w="1458" w:type="dxa"/>
            <w:vMerge w:val="restart"/>
            <w:shd w:val="clear" w:color="auto" w:fill="auto"/>
          </w:tcPr>
          <w:p w:rsidR="00E1635F" w:rsidRPr="009072DA" w:rsidDel="00F12D85" w:rsidRDefault="00E1635F" w:rsidP="00A8005B">
            <w:pPr>
              <w:widowControl w:val="0"/>
              <w:spacing w:before="80" w:after="80" w:line="240" w:lineRule="atLeast"/>
              <w:rPr>
                <w:rFonts w:cs="Arial"/>
                <w:sz w:val="18"/>
                <w:szCs w:val="18"/>
                <w:lang w:val="bg-BG"/>
              </w:rPr>
            </w:pPr>
            <w:r w:rsidRPr="009072DA">
              <w:rPr>
                <w:sz w:val="18"/>
                <w:lang w:val="bg-BG"/>
              </w:rPr>
              <w:t>Точка 12, буква в)</w:t>
            </w:r>
          </w:p>
        </w:tc>
        <w:tc>
          <w:tcPr>
            <w:tcW w:w="3296" w:type="dxa"/>
            <w:vMerge w:val="restart"/>
            <w:shd w:val="clear" w:color="auto" w:fill="auto"/>
          </w:tcPr>
          <w:p w:rsidR="00E1635F" w:rsidRPr="009072DA" w:rsidRDefault="00E1635F" w:rsidP="00A8005B">
            <w:pPr>
              <w:widowControl w:val="0"/>
              <w:tabs>
                <w:tab w:val="left" w:pos="1260"/>
              </w:tabs>
              <w:adjustRightInd w:val="0"/>
              <w:spacing w:before="80" w:after="80" w:line="240" w:lineRule="atLeast"/>
              <w:rPr>
                <w:rFonts w:cs="Arial"/>
                <w:sz w:val="18"/>
                <w:szCs w:val="18"/>
                <w:lang w:val="bg-BG"/>
              </w:rPr>
            </w:pPr>
            <w:r w:rsidRPr="009072DA">
              <w:rPr>
                <w:sz w:val="18"/>
                <w:lang w:val="bg-BG"/>
              </w:rPr>
              <w:t>Изпитване</w:t>
            </w:r>
          </w:p>
        </w:tc>
        <w:tc>
          <w:tcPr>
            <w:tcW w:w="6521"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vMerge w:val="restart"/>
            <w:shd w:val="clear" w:color="auto" w:fill="auto"/>
          </w:tcPr>
          <w:p w:rsidR="00E1635F" w:rsidRPr="009072DA" w:rsidRDefault="00E1635F" w:rsidP="00A8005B">
            <w:pPr>
              <w:widowControl w:val="0"/>
              <w:spacing w:before="80" w:after="80" w:line="240" w:lineRule="atLeast"/>
              <w:rPr>
                <w:rFonts w:cs="Arial"/>
                <w:sz w:val="18"/>
                <w:szCs w:val="18"/>
                <w:highlight w:val="lightGray"/>
                <w:lang w:val="bg-BG"/>
              </w:rPr>
            </w:pPr>
          </w:p>
        </w:tc>
      </w:tr>
      <w:tr w:rsidR="00E1635F" w:rsidRPr="008D2440" w:rsidTr="00136542">
        <w:trPr>
          <w:cantSplit/>
          <w:trHeight w:val="183"/>
          <w:jc w:val="center"/>
        </w:trPr>
        <w:tc>
          <w:tcPr>
            <w:tcW w:w="1342" w:type="dxa"/>
            <w:vMerge/>
            <w:shd w:val="clear" w:color="auto" w:fill="auto"/>
          </w:tcPr>
          <w:p w:rsidR="00E1635F" w:rsidRPr="009072DA" w:rsidRDefault="00E1635F" w:rsidP="00A8005B">
            <w:pPr>
              <w:spacing w:before="80" w:after="80" w:line="240" w:lineRule="atLeast"/>
              <w:rPr>
                <w:rFonts w:cs="Arial"/>
                <w:sz w:val="18"/>
                <w:szCs w:val="18"/>
                <w:lang w:val="bg-BG"/>
              </w:rPr>
            </w:pPr>
          </w:p>
        </w:tc>
        <w:tc>
          <w:tcPr>
            <w:tcW w:w="1458" w:type="dxa"/>
            <w:vMerge/>
            <w:shd w:val="clear" w:color="auto" w:fill="auto"/>
          </w:tcPr>
          <w:p w:rsidR="00E1635F" w:rsidRPr="009072DA" w:rsidRDefault="00E1635F" w:rsidP="00A8005B">
            <w:pPr>
              <w:widowControl w:val="0"/>
              <w:spacing w:before="80" w:after="80" w:line="240" w:lineRule="atLeast"/>
              <w:rPr>
                <w:rFonts w:cs="Arial"/>
                <w:sz w:val="18"/>
                <w:szCs w:val="18"/>
                <w:lang w:val="bg-BG"/>
              </w:rPr>
            </w:pPr>
          </w:p>
        </w:tc>
        <w:tc>
          <w:tcPr>
            <w:tcW w:w="3296" w:type="dxa"/>
            <w:vMerge/>
            <w:shd w:val="clear" w:color="auto" w:fill="auto"/>
          </w:tcPr>
          <w:p w:rsidR="00E1635F" w:rsidRPr="009072DA" w:rsidRDefault="00E1635F" w:rsidP="00A8005B">
            <w:pPr>
              <w:widowControl w:val="0"/>
              <w:tabs>
                <w:tab w:val="left" w:pos="1260"/>
              </w:tabs>
              <w:adjustRightInd w:val="0"/>
              <w:spacing w:before="80" w:after="80" w:line="240" w:lineRule="atLeast"/>
              <w:rPr>
                <w:rFonts w:cs="Arial"/>
                <w:sz w:val="18"/>
                <w:szCs w:val="18"/>
                <w:lang w:val="bg-BG"/>
              </w:rPr>
            </w:pPr>
          </w:p>
        </w:tc>
        <w:tc>
          <w:tcPr>
            <w:tcW w:w="6521" w:type="dxa"/>
            <w:shd w:val="clear" w:color="auto" w:fill="auto"/>
          </w:tcPr>
          <w:p w:rsidR="00E1635F" w:rsidRPr="009072DA" w:rsidRDefault="00E1635F" w:rsidP="00A8005B">
            <w:pPr>
              <w:widowControl w:val="0"/>
              <w:spacing w:before="80" w:after="80" w:line="240" w:lineRule="atLeast"/>
              <w:rPr>
                <w:rFonts w:cs="Arial"/>
                <w:sz w:val="18"/>
                <w:szCs w:val="18"/>
                <w:lang w:val="bg-BG"/>
              </w:rPr>
            </w:pPr>
            <w:r w:rsidRPr="009072DA">
              <w:rPr>
                <w:sz w:val="18"/>
                <w:lang w:val="bg-BG"/>
              </w:rPr>
              <w:t>Ако не може да се предостави математическо доказателство, контролният орган може да признае друго подходящо доказателство като еквивалентно.</w:t>
            </w:r>
          </w:p>
        </w:tc>
        <w:tc>
          <w:tcPr>
            <w:tcW w:w="1276" w:type="dxa"/>
            <w:vMerge/>
            <w:shd w:val="clear" w:color="auto" w:fill="auto"/>
          </w:tcPr>
          <w:p w:rsidR="00E1635F" w:rsidRPr="009072DA" w:rsidRDefault="00E1635F" w:rsidP="00A8005B">
            <w:pPr>
              <w:spacing w:before="80" w:after="80" w:line="240" w:lineRule="atLeast"/>
              <w:rPr>
                <w:rFonts w:cs="Arial"/>
                <w:sz w:val="18"/>
                <w:szCs w:val="18"/>
                <w:lang w:val="bg-BG"/>
              </w:rPr>
            </w:pPr>
          </w:p>
        </w:tc>
      </w:tr>
      <w:tr w:rsidR="001964F8" w:rsidRPr="009072DA" w:rsidTr="001964F8">
        <w:trPr>
          <w:cantSplit/>
          <w:jc w:val="center"/>
        </w:trPr>
        <w:tc>
          <w:tcPr>
            <w:tcW w:w="6096" w:type="dxa"/>
            <w:gridSpan w:val="3"/>
            <w:shd w:val="clear" w:color="auto" w:fill="auto"/>
          </w:tcPr>
          <w:p w:rsidR="001964F8" w:rsidRPr="009072DA" w:rsidRDefault="001964F8" w:rsidP="00A8005B">
            <w:pPr>
              <w:spacing w:before="140" w:after="140" w:line="240" w:lineRule="atLeast"/>
              <w:jc w:val="center"/>
              <w:rPr>
                <w:rFonts w:cs="Arial"/>
                <w:sz w:val="18"/>
                <w:szCs w:val="18"/>
                <w:lang w:val="bg-BG"/>
              </w:rPr>
            </w:pPr>
            <w:r w:rsidRPr="009072DA">
              <w:rPr>
                <w:b/>
                <w:sz w:val="18"/>
                <w:lang w:val="bg-BG"/>
              </w:rPr>
              <w:t>ГЛАВА 8</w:t>
            </w:r>
          </w:p>
        </w:tc>
        <w:tc>
          <w:tcPr>
            <w:tcW w:w="6521" w:type="dxa"/>
            <w:shd w:val="clear" w:color="auto" w:fill="auto"/>
          </w:tcPr>
          <w:p w:rsidR="001964F8" w:rsidRPr="009072DA" w:rsidRDefault="001964F8" w:rsidP="00A8005B">
            <w:pPr>
              <w:spacing w:before="140" w:after="140" w:line="240" w:lineRule="atLeast"/>
              <w:rPr>
                <w:rFonts w:cs="Arial"/>
                <w:sz w:val="18"/>
                <w:szCs w:val="18"/>
                <w:lang w:val="bg-BG"/>
              </w:rPr>
            </w:pP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p>
        </w:tc>
      </w:tr>
      <w:tr w:rsidR="001964F8" w:rsidRPr="009072DA" w:rsidTr="001964F8">
        <w:trPr>
          <w:cantSplit/>
          <w:jc w:val="center"/>
        </w:trPr>
        <w:tc>
          <w:tcPr>
            <w:tcW w:w="1342" w:type="dxa"/>
            <w:tcBorders>
              <w:bottom w:val="single" w:sz="4" w:space="0" w:color="auto"/>
            </w:tcBorders>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lastRenderedPageBreak/>
              <w:t>8.01</w:t>
            </w:r>
          </w:p>
        </w:tc>
        <w:tc>
          <w:tcPr>
            <w:tcW w:w="1458"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Точка 3</w:t>
            </w: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Само двигатели с вътрешно горене, използващи горива с температура на възпламеняване над 55 °С</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30.12.2029 г.</w:t>
            </w:r>
          </w:p>
        </w:tc>
      </w:tr>
      <w:tr w:rsidR="001964F8" w:rsidRPr="009072DA" w:rsidTr="001964F8">
        <w:trPr>
          <w:cantSplit/>
          <w:jc w:val="center"/>
        </w:trPr>
        <w:tc>
          <w:tcPr>
            <w:tcW w:w="1342" w:type="dxa"/>
            <w:tcBorders>
              <w:bottom w:val="nil"/>
            </w:tcBorders>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8.02</w:t>
            </w:r>
          </w:p>
        </w:tc>
        <w:tc>
          <w:tcPr>
            <w:tcW w:w="1458"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Точка 1</w:t>
            </w: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Обезопасяване на двигателите срещу случайно пускане</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30.12.2024 г.</w:t>
            </w:r>
          </w:p>
        </w:tc>
      </w:tr>
      <w:tr w:rsidR="001964F8" w:rsidRPr="009072DA" w:rsidTr="001964F8">
        <w:trPr>
          <w:cantSplit/>
          <w:jc w:val="center"/>
        </w:trPr>
        <w:tc>
          <w:tcPr>
            <w:tcW w:w="1342" w:type="dxa"/>
            <w:tcBorders>
              <w:top w:val="nil"/>
              <w:bottom w:val="nil"/>
            </w:tcBorders>
            <w:shd w:val="clear" w:color="auto" w:fill="auto"/>
          </w:tcPr>
          <w:p w:rsidR="001964F8" w:rsidRPr="009072DA" w:rsidRDefault="001964F8" w:rsidP="00A8005B">
            <w:pPr>
              <w:spacing w:before="140" w:after="140" w:line="240" w:lineRule="atLeast"/>
              <w:rPr>
                <w:rFonts w:cs="Arial"/>
                <w:sz w:val="18"/>
                <w:szCs w:val="18"/>
                <w:lang w:val="bg-BG"/>
              </w:rPr>
            </w:pPr>
          </w:p>
        </w:tc>
        <w:tc>
          <w:tcPr>
            <w:tcW w:w="1458"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Точка 4</w:t>
            </w: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Екраниране на тръби</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30.12.2024 г.</w:t>
            </w:r>
          </w:p>
        </w:tc>
      </w:tr>
      <w:tr w:rsidR="001964F8" w:rsidRPr="009072DA" w:rsidTr="001964F8">
        <w:trPr>
          <w:cantSplit/>
          <w:jc w:val="center"/>
        </w:trPr>
        <w:tc>
          <w:tcPr>
            <w:tcW w:w="1342" w:type="dxa"/>
            <w:tcBorders>
              <w:top w:val="nil"/>
              <w:bottom w:val="nil"/>
            </w:tcBorders>
            <w:shd w:val="clear" w:color="auto" w:fill="auto"/>
          </w:tcPr>
          <w:p w:rsidR="001964F8" w:rsidRPr="009072DA" w:rsidRDefault="001964F8" w:rsidP="00A8005B">
            <w:pPr>
              <w:spacing w:before="140" w:after="140" w:line="240" w:lineRule="atLeast"/>
              <w:rPr>
                <w:rFonts w:cs="Arial"/>
                <w:sz w:val="18"/>
                <w:szCs w:val="18"/>
                <w:lang w:val="bg-BG"/>
              </w:rPr>
            </w:pPr>
          </w:p>
        </w:tc>
        <w:tc>
          <w:tcPr>
            <w:tcW w:w="1458"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Точка 5</w:t>
            </w: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Тръбопроводна система с изолация</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30.12.2024 г.</w:t>
            </w:r>
          </w:p>
        </w:tc>
      </w:tr>
      <w:tr w:rsidR="001964F8" w:rsidRPr="008D2440" w:rsidTr="001964F8">
        <w:trPr>
          <w:cantSplit/>
          <w:jc w:val="center"/>
        </w:trPr>
        <w:tc>
          <w:tcPr>
            <w:tcW w:w="1342" w:type="dxa"/>
            <w:tcBorders>
              <w:top w:val="nil"/>
              <w:bottom w:val="single" w:sz="4" w:space="0" w:color="auto"/>
            </w:tcBorders>
            <w:shd w:val="clear" w:color="auto" w:fill="auto"/>
          </w:tcPr>
          <w:p w:rsidR="001964F8" w:rsidRPr="009072DA" w:rsidRDefault="001964F8" w:rsidP="00A8005B">
            <w:pPr>
              <w:spacing w:before="140" w:after="140" w:line="240" w:lineRule="atLeast"/>
              <w:rPr>
                <w:rFonts w:cs="Arial"/>
                <w:strike/>
                <w:sz w:val="18"/>
                <w:szCs w:val="18"/>
                <w:lang w:val="bg-BG"/>
              </w:rPr>
            </w:pPr>
          </w:p>
        </w:tc>
        <w:tc>
          <w:tcPr>
            <w:tcW w:w="1458"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Точка 6</w:t>
            </w: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Изолация на частите на двигателя</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p>
        </w:tc>
      </w:tr>
      <w:tr w:rsidR="001964F8" w:rsidRPr="009072DA" w:rsidTr="001964F8">
        <w:trPr>
          <w:cantSplit/>
          <w:jc w:val="center"/>
        </w:trPr>
        <w:tc>
          <w:tcPr>
            <w:tcW w:w="1342" w:type="dxa"/>
            <w:tcBorders>
              <w:bottom w:val="nil"/>
            </w:tcBorders>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8.03</w:t>
            </w:r>
          </w:p>
        </w:tc>
        <w:tc>
          <w:tcPr>
            <w:tcW w:w="1458"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Точка 2</w:t>
            </w: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Устройства за следене</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30.12.2024 г.</w:t>
            </w:r>
          </w:p>
        </w:tc>
      </w:tr>
      <w:tr w:rsidR="001964F8" w:rsidRPr="009072DA" w:rsidTr="001964F8">
        <w:trPr>
          <w:cantSplit/>
          <w:jc w:val="center"/>
        </w:trPr>
        <w:tc>
          <w:tcPr>
            <w:tcW w:w="1342" w:type="dxa"/>
            <w:tcBorders>
              <w:top w:val="nil"/>
              <w:bottom w:val="nil"/>
            </w:tcBorders>
            <w:shd w:val="clear" w:color="auto" w:fill="auto"/>
          </w:tcPr>
          <w:p w:rsidR="001964F8" w:rsidRPr="009072DA" w:rsidRDefault="001964F8" w:rsidP="00A8005B">
            <w:pPr>
              <w:spacing w:before="140" w:after="140" w:line="240" w:lineRule="atLeast"/>
              <w:rPr>
                <w:rFonts w:cs="Arial"/>
                <w:sz w:val="18"/>
                <w:szCs w:val="18"/>
                <w:lang w:val="bg-BG"/>
              </w:rPr>
            </w:pPr>
          </w:p>
        </w:tc>
        <w:tc>
          <w:tcPr>
            <w:tcW w:w="1458"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Точка 4</w:t>
            </w: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Автоматична защита срещу прекалено висока честота на въртене, индикация и изключване</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30.12.2024 г.</w:t>
            </w:r>
          </w:p>
        </w:tc>
      </w:tr>
      <w:tr w:rsidR="001964F8" w:rsidRPr="009072DA" w:rsidTr="001964F8">
        <w:trPr>
          <w:cantSplit/>
          <w:jc w:val="center"/>
        </w:trPr>
        <w:tc>
          <w:tcPr>
            <w:tcW w:w="1342" w:type="dxa"/>
            <w:tcBorders>
              <w:top w:val="nil"/>
              <w:bottom w:val="single" w:sz="4" w:space="0" w:color="auto"/>
            </w:tcBorders>
            <w:shd w:val="clear" w:color="auto" w:fill="auto"/>
          </w:tcPr>
          <w:p w:rsidR="001964F8" w:rsidRPr="009072DA" w:rsidRDefault="001964F8" w:rsidP="00A8005B">
            <w:pPr>
              <w:spacing w:before="140" w:after="140" w:line="240" w:lineRule="atLeast"/>
              <w:rPr>
                <w:rFonts w:cs="Arial"/>
                <w:sz w:val="18"/>
                <w:szCs w:val="18"/>
                <w:lang w:val="bg-BG"/>
              </w:rPr>
            </w:pPr>
          </w:p>
        </w:tc>
        <w:tc>
          <w:tcPr>
            <w:tcW w:w="1458"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Точка 5</w:t>
            </w: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Проектиране на отворите на валовете</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30.12.2029 г.</w:t>
            </w:r>
          </w:p>
        </w:tc>
      </w:tr>
      <w:tr w:rsidR="001964F8" w:rsidRPr="009072DA" w:rsidTr="001964F8">
        <w:trPr>
          <w:cantSplit/>
          <w:jc w:val="center"/>
        </w:trPr>
        <w:tc>
          <w:tcPr>
            <w:tcW w:w="1342" w:type="dxa"/>
            <w:tcBorders>
              <w:bottom w:val="nil"/>
            </w:tcBorders>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8.05</w:t>
            </w:r>
          </w:p>
        </w:tc>
        <w:tc>
          <w:tcPr>
            <w:tcW w:w="1458"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Точка 1</w:t>
            </w: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Стоманени резервоари за течни горива</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30.12.2029 г.</w:t>
            </w:r>
          </w:p>
        </w:tc>
      </w:tr>
      <w:tr w:rsidR="001964F8" w:rsidRPr="008D2440" w:rsidTr="001964F8">
        <w:trPr>
          <w:cantSplit/>
          <w:jc w:val="center"/>
        </w:trPr>
        <w:tc>
          <w:tcPr>
            <w:tcW w:w="1342" w:type="dxa"/>
            <w:tcBorders>
              <w:top w:val="nil"/>
              <w:bottom w:val="nil"/>
            </w:tcBorders>
            <w:shd w:val="clear" w:color="auto" w:fill="auto"/>
          </w:tcPr>
          <w:p w:rsidR="001964F8" w:rsidRPr="009072DA" w:rsidRDefault="001964F8" w:rsidP="00A8005B">
            <w:pPr>
              <w:spacing w:before="140" w:after="140" w:line="240" w:lineRule="atLeast"/>
              <w:rPr>
                <w:rFonts w:cs="Arial"/>
                <w:sz w:val="18"/>
                <w:szCs w:val="18"/>
                <w:lang w:val="bg-BG"/>
              </w:rPr>
            </w:pPr>
          </w:p>
        </w:tc>
        <w:tc>
          <w:tcPr>
            <w:tcW w:w="1458" w:type="dxa"/>
            <w:tcBorders>
              <w:bottom w:val="single" w:sz="4" w:space="0" w:color="auto"/>
            </w:tcBorders>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Точка 2</w:t>
            </w: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Автоматично затваряне на вентилите на резервоарите</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p>
        </w:tc>
      </w:tr>
      <w:tr w:rsidR="001964F8" w:rsidRPr="009072DA" w:rsidTr="001964F8">
        <w:trPr>
          <w:cantSplit/>
          <w:jc w:val="center"/>
        </w:trPr>
        <w:tc>
          <w:tcPr>
            <w:tcW w:w="1342" w:type="dxa"/>
            <w:tcBorders>
              <w:top w:val="nil"/>
              <w:bottom w:val="nil"/>
            </w:tcBorders>
            <w:shd w:val="clear" w:color="auto" w:fill="auto"/>
          </w:tcPr>
          <w:p w:rsidR="001964F8" w:rsidRPr="009072DA" w:rsidRDefault="001964F8" w:rsidP="00A8005B">
            <w:pPr>
              <w:spacing w:before="140" w:after="140" w:line="240" w:lineRule="atLeast"/>
              <w:rPr>
                <w:rFonts w:cs="Arial"/>
                <w:sz w:val="18"/>
                <w:szCs w:val="18"/>
                <w:lang w:val="bg-BG"/>
              </w:rPr>
            </w:pPr>
          </w:p>
        </w:tc>
        <w:tc>
          <w:tcPr>
            <w:tcW w:w="1458" w:type="dxa"/>
            <w:tcBorders>
              <w:bottom w:val="nil"/>
            </w:tcBorders>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Точка 3</w:t>
            </w:r>
          </w:p>
        </w:tc>
        <w:tc>
          <w:tcPr>
            <w:tcW w:w="3296" w:type="dxa"/>
            <w:shd w:val="clear" w:color="auto" w:fill="auto"/>
          </w:tcPr>
          <w:p w:rsidR="001964F8" w:rsidRPr="009072DA" w:rsidRDefault="001964F8" w:rsidP="00A8005B">
            <w:pPr>
              <w:tabs>
                <w:tab w:val="left" w:pos="1170"/>
              </w:tabs>
              <w:spacing w:before="140" w:after="140" w:line="240" w:lineRule="atLeast"/>
              <w:rPr>
                <w:rFonts w:cs="Arial"/>
                <w:sz w:val="18"/>
                <w:szCs w:val="18"/>
                <w:lang w:val="bg-BG"/>
              </w:rPr>
            </w:pPr>
            <w:r w:rsidRPr="009072DA">
              <w:rPr>
                <w:sz w:val="18"/>
                <w:lang w:val="bg-BG"/>
              </w:rPr>
              <w:t>Без резервоари за гориво пред първата носова непроницаема преграда</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30.12.2024 г.</w:t>
            </w:r>
          </w:p>
        </w:tc>
      </w:tr>
      <w:tr w:rsidR="001964F8" w:rsidRPr="009072DA" w:rsidTr="001964F8">
        <w:trPr>
          <w:cantSplit/>
          <w:jc w:val="center"/>
        </w:trPr>
        <w:tc>
          <w:tcPr>
            <w:tcW w:w="1342" w:type="dxa"/>
            <w:tcBorders>
              <w:top w:val="nil"/>
              <w:bottom w:val="nil"/>
            </w:tcBorders>
            <w:shd w:val="clear" w:color="auto" w:fill="auto"/>
          </w:tcPr>
          <w:p w:rsidR="001964F8" w:rsidRPr="009072DA" w:rsidRDefault="001964F8" w:rsidP="00A8005B">
            <w:pPr>
              <w:spacing w:before="140" w:after="140" w:line="240" w:lineRule="atLeast"/>
              <w:rPr>
                <w:rFonts w:cs="Arial"/>
                <w:sz w:val="18"/>
                <w:szCs w:val="18"/>
                <w:lang w:val="bg-BG"/>
              </w:rPr>
            </w:pPr>
          </w:p>
        </w:tc>
        <w:tc>
          <w:tcPr>
            <w:tcW w:w="1458" w:type="dxa"/>
            <w:tcBorders>
              <w:top w:val="nil"/>
              <w:bottom w:val="single" w:sz="4" w:space="0" w:color="auto"/>
            </w:tcBorders>
            <w:shd w:val="clear" w:color="auto" w:fill="auto"/>
          </w:tcPr>
          <w:p w:rsidR="001964F8" w:rsidRPr="009072DA" w:rsidRDefault="001964F8" w:rsidP="00A8005B">
            <w:pPr>
              <w:spacing w:before="140" w:after="140" w:line="240" w:lineRule="atLeast"/>
              <w:rPr>
                <w:rFonts w:cs="Arial"/>
                <w:sz w:val="18"/>
                <w:szCs w:val="18"/>
                <w:lang w:val="bg-BG"/>
              </w:rPr>
            </w:pPr>
          </w:p>
        </w:tc>
        <w:tc>
          <w:tcPr>
            <w:tcW w:w="3296" w:type="dxa"/>
            <w:shd w:val="clear" w:color="auto" w:fill="auto"/>
          </w:tcPr>
          <w:p w:rsidR="001964F8" w:rsidRPr="009072DA" w:rsidRDefault="001964F8" w:rsidP="00A8005B">
            <w:pPr>
              <w:spacing w:before="140" w:after="140" w:line="240" w:lineRule="atLeast"/>
              <w:rPr>
                <w:rFonts w:cs="Arial"/>
                <w:sz w:val="18"/>
                <w:szCs w:val="18"/>
                <w:lang w:val="bg-BG"/>
              </w:rPr>
            </w:pPr>
            <w:r w:rsidRPr="009072DA">
              <w:rPr>
                <w:sz w:val="18"/>
                <w:lang w:val="bg-BG"/>
              </w:rPr>
              <w:t>Без резервоари за гориво зад ахтерпиковата преграда</w:t>
            </w:r>
          </w:p>
        </w:tc>
        <w:tc>
          <w:tcPr>
            <w:tcW w:w="6521" w:type="dxa"/>
            <w:shd w:val="clear" w:color="auto" w:fill="auto"/>
          </w:tcPr>
          <w:p w:rsidR="001964F8" w:rsidRPr="009072DA" w:rsidRDefault="008761D9" w:rsidP="00A8005B">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A19C2" w:rsidP="00A8005B">
            <w:pPr>
              <w:spacing w:before="140" w:after="140" w:line="240" w:lineRule="atLeast"/>
              <w:rPr>
                <w:rFonts w:cs="Arial"/>
                <w:sz w:val="18"/>
                <w:szCs w:val="18"/>
                <w:lang w:val="bg-BG"/>
              </w:rPr>
            </w:pPr>
            <w:r w:rsidRPr="009072DA">
              <w:rPr>
                <w:sz w:val="18"/>
                <w:lang w:val="bg-BG"/>
              </w:rPr>
              <w:t>30.12.2049 г.</w:t>
            </w:r>
          </w:p>
        </w:tc>
      </w:tr>
      <w:tr w:rsidR="003A3ED2" w:rsidRPr="009072DA" w:rsidTr="00AB6D23">
        <w:trPr>
          <w:cantSplit/>
          <w:jc w:val="center"/>
        </w:trPr>
        <w:tc>
          <w:tcPr>
            <w:tcW w:w="1342" w:type="dxa"/>
            <w:tcBorders>
              <w:top w:val="nil"/>
              <w:bottom w:val="nil"/>
            </w:tcBorders>
            <w:shd w:val="clear" w:color="auto" w:fill="auto"/>
          </w:tcPr>
          <w:p w:rsidR="003A3ED2" w:rsidRPr="009072DA" w:rsidRDefault="003A3ED2" w:rsidP="00A8005B">
            <w:pPr>
              <w:spacing w:before="160" w:after="160" w:line="240" w:lineRule="atLeast"/>
              <w:rPr>
                <w:rFonts w:cs="Arial"/>
                <w:sz w:val="18"/>
                <w:szCs w:val="18"/>
                <w:lang w:val="bg-BG"/>
              </w:rPr>
            </w:pPr>
          </w:p>
        </w:tc>
        <w:tc>
          <w:tcPr>
            <w:tcW w:w="1458" w:type="dxa"/>
            <w:vMerge w:val="restart"/>
            <w:shd w:val="clear" w:color="auto" w:fill="auto"/>
          </w:tcPr>
          <w:p w:rsidR="003A3ED2" w:rsidRPr="009072DA" w:rsidRDefault="003A3ED2" w:rsidP="00A8005B">
            <w:pPr>
              <w:spacing w:before="160" w:after="160" w:line="240" w:lineRule="atLeast"/>
              <w:rPr>
                <w:rFonts w:cs="Arial"/>
                <w:sz w:val="18"/>
                <w:szCs w:val="18"/>
                <w:lang w:val="bg-BG"/>
              </w:rPr>
            </w:pPr>
            <w:r w:rsidRPr="009072DA">
              <w:rPr>
                <w:sz w:val="18"/>
                <w:lang w:val="bg-BG"/>
              </w:rPr>
              <w:t>Точка 4</w:t>
            </w:r>
          </w:p>
        </w:tc>
        <w:tc>
          <w:tcPr>
            <w:tcW w:w="3296" w:type="dxa"/>
            <w:vMerge w:val="restart"/>
            <w:shd w:val="clear" w:color="auto" w:fill="auto"/>
          </w:tcPr>
          <w:p w:rsidR="003A3ED2" w:rsidRPr="009072DA" w:rsidRDefault="003A3ED2" w:rsidP="00A8005B">
            <w:pPr>
              <w:spacing w:before="160" w:after="160" w:line="240" w:lineRule="atLeast"/>
              <w:rPr>
                <w:rFonts w:cs="Arial"/>
                <w:sz w:val="18"/>
                <w:szCs w:val="18"/>
                <w:lang w:val="bg-BG"/>
              </w:rPr>
            </w:pPr>
            <w:r w:rsidRPr="009072DA">
              <w:rPr>
                <w:sz w:val="18"/>
                <w:lang w:val="bg-BG"/>
              </w:rPr>
              <w:t>Без резервоари за гориво и техни фитинги над двигатели или изпускателни тръби</w:t>
            </w:r>
          </w:p>
        </w:tc>
        <w:tc>
          <w:tcPr>
            <w:tcW w:w="6521" w:type="dxa"/>
            <w:shd w:val="clear" w:color="auto" w:fill="auto"/>
          </w:tcPr>
          <w:p w:rsidR="003A3ED2" w:rsidRPr="009072DA" w:rsidRDefault="008761D9" w:rsidP="00A8005B">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3A3ED2" w:rsidRPr="009072DA" w:rsidRDefault="003A3ED2" w:rsidP="00A8005B">
            <w:pPr>
              <w:spacing w:before="160" w:after="160" w:line="240" w:lineRule="atLeast"/>
              <w:rPr>
                <w:rFonts w:cs="Arial"/>
                <w:sz w:val="18"/>
                <w:szCs w:val="18"/>
                <w:lang w:val="bg-BG"/>
              </w:rPr>
            </w:pPr>
            <w:r w:rsidRPr="009072DA">
              <w:rPr>
                <w:sz w:val="18"/>
                <w:lang w:val="bg-BG"/>
              </w:rPr>
              <w:t>30.12.2024 г.</w:t>
            </w:r>
          </w:p>
        </w:tc>
      </w:tr>
      <w:tr w:rsidR="003A3ED2" w:rsidRPr="008D2440" w:rsidTr="00AB6D23">
        <w:trPr>
          <w:cantSplit/>
          <w:jc w:val="center"/>
        </w:trPr>
        <w:tc>
          <w:tcPr>
            <w:tcW w:w="1342" w:type="dxa"/>
            <w:tcBorders>
              <w:top w:val="nil"/>
              <w:bottom w:val="nil"/>
            </w:tcBorders>
            <w:shd w:val="clear" w:color="auto" w:fill="auto"/>
          </w:tcPr>
          <w:p w:rsidR="003A3ED2" w:rsidRPr="009072DA" w:rsidRDefault="003A3ED2" w:rsidP="00A8005B">
            <w:pPr>
              <w:spacing w:before="160" w:after="160" w:line="240" w:lineRule="atLeast"/>
              <w:rPr>
                <w:rFonts w:cs="Arial"/>
                <w:sz w:val="18"/>
                <w:szCs w:val="18"/>
                <w:lang w:val="bg-BG"/>
              </w:rPr>
            </w:pPr>
          </w:p>
        </w:tc>
        <w:tc>
          <w:tcPr>
            <w:tcW w:w="1458" w:type="dxa"/>
            <w:vMerge/>
            <w:shd w:val="clear" w:color="auto" w:fill="auto"/>
          </w:tcPr>
          <w:p w:rsidR="003A3ED2" w:rsidRPr="009072DA" w:rsidRDefault="003A3ED2" w:rsidP="00A8005B">
            <w:pPr>
              <w:spacing w:before="160" w:after="160" w:line="240" w:lineRule="atLeast"/>
              <w:rPr>
                <w:rFonts w:cs="Arial"/>
                <w:sz w:val="18"/>
                <w:szCs w:val="18"/>
                <w:lang w:val="bg-BG"/>
              </w:rPr>
            </w:pPr>
          </w:p>
        </w:tc>
        <w:tc>
          <w:tcPr>
            <w:tcW w:w="3296" w:type="dxa"/>
            <w:vMerge/>
            <w:shd w:val="clear" w:color="auto" w:fill="auto"/>
          </w:tcPr>
          <w:p w:rsidR="003A3ED2" w:rsidRPr="009072DA" w:rsidRDefault="003A3ED2" w:rsidP="00A8005B">
            <w:pPr>
              <w:spacing w:before="160" w:after="160" w:line="240" w:lineRule="atLeast"/>
              <w:rPr>
                <w:rFonts w:cs="Arial"/>
                <w:sz w:val="18"/>
                <w:szCs w:val="18"/>
                <w:lang w:val="bg-BG"/>
              </w:rPr>
            </w:pPr>
          </w:p>
        </w:tc>
        <w:tc>
          <w:tcPr>
            <w:tcW w:w="6521" w:type="dxa"/>
            <w:shd w:val="clear" w:color="auto" w:fill="auto"/>
          </w:tcPr>
          <w:p w:rsidR="003A3ED2" w:rsidRPr="009072DA" w:rsidRDefault="003A3ED2" w:rsidP="00A8005B">
            <w:pPr>
              <w:spacing w:before="160" w:after="160" w:line="240" w:lineRule="atLeast"/>
              <w:rPr>
                <w:rFonts w:cs="Arial"/>
                <w:sz w:val="18"/>
                <w:szCs w:val="18"/>
                <w:lang w:val="bg-BG"/>
              </w:rPr>
            </w:pPr>
            <w:r w:rsidRPr="009072DA">
              <w:rPr>
                <w:sz w:val="18"/>
                <w:lang w:val="bg-BG"/>
              </w:rPr>
              <w:t>До тогава подходящи устройства трябва да осигуряват безопасното изливане на горивата.</w:t>
            </w:r>
          </w:p>
        </w:tc>
        <w:tc>
          <w:tcPr>
            <w:tcW w:w="1276" w:type="dxa"/>
            <w:shd w:val="clear" w:color="auto" w:fill="auto"/>
          </w:tcPr>
          <w:p w:rsidR="003A3ED2" w:rsidRPr="009072DA" w:rsidRDefault="003A3ED2" w:rsidP="00A8005B">
            <w:pPr>
              <w:spacing w:before="160" w:after="160" w:line="240" w:lineRule="atLeast"/>
              <w:rPr>
                <w:rFonts w:cs="Arial"/>
                <w:sz w:val="18"/>
                <w:szCs w:val="18"/>
                <w:lang w:val="bg-BG"/>
              </w:rPr>
            </w:pPr>
          </w:p>
        </w:tc>
      </w:tr>
      <w:tr w:rsidR="001964F8" w:rsidRPr="009072DA" w:rsidTr="001964F8">
        <w:trPr>
          <w:cantSplit/>
          <w:jc w:val="center"/>
        </w:trPr>
        <w:tc>
          <w:tcPr>
            <w:tcW w:w="1342" w:type="dxa"/>
            <w:tcBorders>
              <w:top w:val="nil"/>
              <w:bottom w:val="nil"/>
            </w:tcBorders>
            <w:shd w:val="clear" w:color="auto" w:fill="auto"/>
          </w:tcPr>
          <w:p w:rsidR="001964F8" w:rsidRPr="009072DA" w:rsidRDefault="001964F8" w:rsidP="00A8005B">
            <w:pPr>
              <w:spacing w:before="160" w:after="160" w:line="240" w:lineRule="atLeast"/>
              <w:rPr>
                <w:rFonts w:cs="Arial"/>
                <w:sz w:val="18"/>
                <w:szCs w:val="18"/>
                <w:lang w:val="bg-BG"/>
              </w:rPr>
            </w:pPr>
          </w:p>
        </w:tc>
        <w:tc>
          <w:tcPr>
            <w:tcW w:w="1458"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Точка 6, от 3</w:t>
            </w:r>
            <w:r w:rsidRPr="009072DA">
              <w:rPr>
                <w:sz w:val="18"/>
                <w:vertAlign w:val="superscript"/>
                <w:lang w:val="bg-BG"/>
              </w:rPr>
              <w:t>то</w:t>
            </w:r>
            <w:r w:rsidRPr="009072DA">
              <w:rPr>
                <w:sz w:val="18"/>
                <w:lang w:val="bg-BG"/>
              </w:rPr>
              <w:t xml:space="preserve"> до 5</w:t>
            </w:r>
            <w:r w:rsidRPr="009072DA">
              <w:rPr>
                <w:sz w:val="18"/>
                <w:vertAlign w:val="superscript"/>
                <w:lang w:val="bg-BG"/>
              </w:rPr>
              <w:t>то</w:t>
            </w:r>
            <w:r w:rsidRPr="009072DA">
              <w:rPr>
                <w:sz w:val="18"/>
                <w:lang w:val="bg-BG"/>
              </w:rPr>
              <w:t xml:space="preserve"> изречение</w:t>
            </w:r>
          </w:p>
        </w:tc>
        <w:tc>
          <w:tcPr>
            <w:tcW w:w="329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Монтаж и мерки на тръбите за проветряване и свързващите тръби</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30.12.2024 г.</w:t>
            </w:r>
          </w:p>
        </w:tc>
      </w:tr>
      <w:tr w:rsidR="001964F8" w:rsidRPr="009072DA" w:rsidTr="001964F8">
        <w:trPr>
          <w:cantSplit/>
          <w:jc w:val="center"/>
        </w:trPr>
        <w:tc>
          <w:tcPr>
            <w:tcW w:w="1342" w:type="dxa"/>
            <w:tcBorders>
              <w:top w:val="nil"/>
              <w:bottom w:val="nil"/>
            </w:tcBorders>
            <w:shd w:val="clear" w:color="auto" w:fill="auto"/>
          </w:tcPr>
          <w:p w:rsidR="001964F8" w:rsidRPr="009072DA" w:rsidRDefault="001964F8" w:rsidP="00A8005B">
            <w:pPr>
              <w:spacing w:before="160" w:after="160" w:line="240" w:lineRule="atLeast"/>
              <w:rPr>
                <w:rFonts w:cs="Arial"/>
                <w:sz w:val="18"/>
                <w:szCs w:val="18"/>
                <w:lang w:val="bg-BG"/>
              </w:rPr>
            </w:pPr>
          </w:p>
        </w:tc>
        <w:tc>
          <w:tcPr>
            <w:tcW w:w="1458"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Точка 7, 1</w:t>
            </w:r>
            <w:r w:rsidRPr="009072DA">
              <w:rPr>
                <w:sz w:val="18"/>
                <w:vertAlign w:val="superscript"/>
                <w:lang w:val="bg-BG"/>
              </w:rPr>
              <w:t>во</w:t>
            </w:r>
            <w:r w:rsidRPr="009072DA">
              <w:rPr>
                <w:sz w:val="18"/>
                <w:lang w:val="bg-BG"/>
              </w:rPr>
              <w:t xml:space="preserve"> изречение</w:t>
            </w:r>
          </w:p>
        </w:tc>
        <w:tc>
          <w:tcPr>
            <w:tcW w:w="329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Бързозатварящ се клапан на резервоара, управляван от палубата, дори ако въпросните помещения са затворени</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1.1.2029  г.</w:t>
            </w:r>
          </w:p>
        </w:tc>
      </w:tr>
      <w:tr w:rsidR="001964F8" w:rsidRPr="009072DA" w:rsidTr="001964F8">
        <w:trPr>
          <w:cantSplit/>
          <w:jc w:val="center"/>
        </w:trPr>
        <w:tc>
          <w:tcPr>
            <w:tcW w:w="1342" w:type="dxa"/>
            <w:tcBorders>
              <w:top w:val="nil"/>
              <w:bottom w:val="nil"/>
            </w:tcBorders>
            <w:shd w:val="clear" w:color="auto" w:fill="auto"/>
          </w:tcPr>
          <w:p w:rsidR="001964F8" w:rsidRPr="009072DA" w:rsidRDefault="001964F8" w:rsidP="00A8005B">
            <w:pPr>
              <w:spacing w:before="160" w:after="160" w:line="240" w:lineRule="atLeast"/>
              <w:rPr>
                <w:rFonts w:cs="Arial"/>
                <w:sz w:val="18"/>
                <w:szCs w:val="18"/>
                <w:lang w:val="bg-BG"/>
              </w:rPr>
            </w:pPr>
          </w:p>
        </w:tc>
        <w:tc>
          <w:tcPr>
            <w:tcW w:w="1458"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Точка 9, 2</w:t>
            </w:r>
            <w:r w:rsidRPr="009072DA">
              <w:rPr>
                <w:sz w:val="18"/>
                <w:vertAlign w:val="superscript"/>
                <w:lang w:val="bg-BG"/>
              </w:rPr>
              <w:t>ро </w:t>
            </w:r>
            <w:r w:rsidRPr="009072DA">
              <w:rPr>
                <w:sz w:val="18"/>
                <w:lang w:val="bg-BG"/>
              </w:rPr>
              <w:t>изречение</w:t>
            </w:r>
          </w:p>
        </w:tc>
        <w:tc>
          <w:tcPr>
            <w:tcW w:w="329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Устройствата за измерване на вместимостта да могат да бъдат разчитани до равнището на максимално напълване</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30.12.2029 г.</w:t>
            </w:r>
          </w:p>
        </w:tc>
      </w:tr>
      <w:tr w:rsidR="001964F8" w:rsidRPr="009072DA" w:rsidTr="001964F8">
        <w:trPr>
          <w:cantSplit/>
          <w:jc w:val="center"/>
        </w:trPr>
        <w:tc>
          <w:tcPr>
            <w:tcW w:w="1342" w:type="dxa"/>
            <w:tcBorders>
              <w:top w:val="nil"/>
            </w:tcBorders>
            <w:shd w:val="clear" w:color="auto" w:fill="auto"/>
          </w:tcPr>
          <w:p w:rsidR="001964F8" w:rsidRPr="009072DA" w:rsidRDefault="001964F8" w:rsidP="00A8005B">
            <w:pPr>
              <w:spacing w:before="160" w:after="160" w:line="240" w:lineRule="atLeast"/>
              <w:rPr>
                <w:rFonts w:cs="Arial"/>
                <w:sz w:val="18"/>
                <w:szCs w:val="18"/>
                <w:lang w:val="bg-BG"/>
              </w:rPr>
            </w:pPr>
          </w:p>
        </w:tc>
        <w:tc>
          <w:tcPr>
            <w:tcW w:w="1458"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Точка 13</w:t>
            </w:r>
          </w:p>
        </w:tc>
        <w:tc>
          <w:tcPr>
            <w:tcW w:w="329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Контрол на равнището на напълване не само за главните двигатели, а също и за другите двигатели, необходими за безопасна експлоатация на плавателния съд</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30.12.2029 г.</w:t>
            </w:r>
          </w:p>
        </w:tc>
      </w:tr>
      <w:tr w:rsidR="001964F8" w:rsidRPr="009072DA" w:rsidTr="001964F8">
        <w:trPr>
          <w:cantSplit/>
          <w:jc w:val="center"/>
        </w:trPr>
        <w:tc>
          <w:tcPr>
            <w:tcW w:w="1342"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lastRenderedPageBreak/>
              <w:t>8.06</w:t>
            </w:r>
          </w:p>
        </w:tc>
        <w:tc>
          <w:tcPr>
            <w:tcW w:w="1458" w:type="dxa"/>
            <w:shd w:val="clear" w:color="auto" w:fill="auto"/>
          </w:tcPr>
          <w:p w:rsidR="001964F8" w:rsidRPr="009072DA" w:rsidRDefault="001964F8" w:rsidP="00A8005B">
            <w:pPr>
              <w:spacing w:before="160" w:after="160" w:line="240" w:lineRule="atLeast"/>
              <w:rPr>
                <w:rFonts w:cs="Arial"/>
                <w:sz w:val="18"/>
                <w:szCs w:val="18"/>
                <w:lang w:val="bg-BG"/>
              </w:rPr>
            </w:pPr>
          </w:p>
        </w:tc>
        <w:tc>
          <w:tcPr>
            <w:tcW w:w="329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Резервоари за смазочно масло, тръби и принадлежности</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30.12.2049 г.</w:t>
            </w:r>
          </w:p>
        </w:tc>
      </w:tr>
      <w:tr w:rsidR="001964F8" w:rsidRPr="009072DA" w:rsidTr="001964F8">
        <w:trPr>
          <w:cantSplit/>
          <w:jc w:val="center"/>
        </w:trPr>
        <w:tc>
          <w:tcPr>
            <w:tcW w:w="1342" w:type="dxa"/>
            <w:tcBorders>
              <w:bottom w:val="single" w:sz="4" w:space="0" w:color="auto"/>
            </w:tcBorders>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8.07</w:t>
            </w:r>
          </w:p>
        </w:tc>
        <w:tc>
          <w:tcPr>
            <w:tcW w:w="1458" w:type="dxa"/>
            <w:shd w:val="clear" w:color="auto" w:fill="auto"/>
          </w:tcPr>
          <w:p w:rsidR="001964F8" w:rsidRPr="009072DA" w:rsidRDefault="001964F8" w:rsidP="00A8005B">
            <w:pPr>
              <w:spacing w:before="160" w:after="160" w:line="240" w:lineRule="atLeast"/>
              <w:rPr>
                <w:rFonts w:cs="Arial"/>
                <w:sz w:val="18"/>
                <w:szCs w:val="18"/>
                <w:lang w:val="bg-BG"/>
              </w:rPr>
            </w:pPr>
          </w:p>
        </w:tc>
        <w:tc>
          <w:tcPr>
            <w:tcW w:w="329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Резервоари за масла в силови трансмисии, системи за управление и задействане и системи за отопление, тръбопроводи и принадлежности</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30.12.2049 г.</w:t>
            </w:r>
          </w:p>
        </w:tc>
      </w:tr>
      <w:tr w:rsidR="001964F8" w:rsidRPr="009072DA" w:rsidTr="001964F8">
        <w:trPr>
          <w:cantSplit/>
          <w:jc w:val="center"/>
        </w:trPr>
        <w:tc>
          <w:tcPr>
            <w:tcW w:w="1342" w:type="dxa"/>
            <w:tcBorders>
              <w:bottom w:val="nil"/>
            </w:tcBorders>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8.08</w:t>
            </w:r>
          </w:p>
        </w:tc>
        <w:tc>
          <w:tcPr>
            <w:tcW w:w="1458"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Точка 8</w:t>
            </w:r>
          </w:p>
        </w:tc>
        <w:tc>
          <w:tcPr>
            <w:tcW w:w="329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Обикновено затварящо устройство не е достатъчно за свързване на местата за баласт с осушителните тръби на трюмовете, които могат да приемат баласт</w:t>
            </w:r>
          </w:p>
        </w:tc>
        <w:tc>
          <w:tcPr>
            <w:tcW w:w="6521" w:type="dxa"/>
            <w:shd w:val="clear" w:color="auto" w:fill="auto"/>
          </w:tcPr>
          <w:p w:rsidR="001964F8" w:rsidRPr="009072DA" w:rsidRDefault="008761D9" w:rsidP="00A8005B">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160" w:after="160" w:line="240" w:lineRule="atLeast"/>
              <w:rPr>
                <w:rFonts w:cs="Arial"/>
                <w:sz w:val="18"/>
                <w:szCs w:val="18"/>
                <w:lang w:val="bg-BG"/>
              </w:rPr>
            </w:pPr>
            <w:r w:rsidRPr="009072DA">
              <w:rPr>
                <w:sz w:val="18"/>
                <w:lang w:val="bg-BG"/>
              </w:rPr>
              <w:t>30.12.2024 г.</w:t>
            </w:r>
          </w:p>
        </w:tc>
      </w:tr>
      <w:tr w:rsidR="001964F8" w:rsidRPr="009072DA" w:rsidTr="001964F8">
        <w:trPr>
          <w:cantSplit/>
          <w:jc w:val="center"/>
        </w:trPr>
        <w:tc>
          <w:tcPr>
            <w:tcW w:w="1342" w:type="dxa"/>
            <w:tcBorders>
              <w:top w:val="nil"/>
            </w:tcBorders>
            <w:shd w:val="clear" w:color="auto" w:fill="auto"/>
          </w:tcPr>
          <w:p w:rsidR="001964F8" w:rsidRPr="009072DA" w:rsidRDefault="001964F8" w:rsidP="00A8005B">
            <w:pPr>
              <w:spacing w:before="80" w:after="80" w:line="240" w:lineRule="atLeast"/>
              <w:rPr>
                <w:rFonts w:cs="Arial"/>
                <w:sz w:val="18"/>
                <w:szCs w:val="18"/>
                <w:lang w:val="bg-BG"/>
              </w:rPr>
            </w:pPr>
          </w:p>
        </w:tc>
        <w:tc>
          <w:tcPr>
            <w:tcW w:w="1458" w:type="dxa"/>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Точка 9</w:t>
            </w:r>
          </w:p>
        </w:tc>
        <w:tc>
          <w:tcPr>
            <w:tcW w:w="3296" w:type="dxa"/>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Измервателни устройства на дъната на трюмовете</w:t>
            </w:r>
          </w:p>
        </w:tc>
        <w:tc>
          <w:tcPr>
            <w:tcW w:w="6521" w:type="dxa"/>
            <w:shd w:val="clear" w:color="auto" w:fill="auto"/>
          </w:tcPr>
          <w:p w:rsidR="001964F8" w:rsidRPr="009072DA" w:rsidRDefault="008761D9" w:rsidP="00A8005B">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30.12.2024 г.</w:t>
            </w:r>
          </w:p>
        </w:tc>
      </w:tr>
      <w:tr w:rsidR="001964F8" w:rsidRPr="009072DA" w:rsidTr="001964F8">
        <w:trPr>
          <w:cantSplit/>
          <w:jc w:val="center"/>
        </w:trPr>
        <w:tc>
          <w:tcPr>
            <w:tcW w:w="1342" w:type="dxa"/>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8.09</w:t>
            </w:r>
          </w:p>
        </w:tc>
        <w:tc>
          <w:tcPr>
            <w:tcW w:w="1458" w:type="dxa"/>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Точка 2</w:t>
            </w:r>
          </w:p>
        </w:tc>
        <w:tc>
          <w:tcPr>
            <w:tcW w:w="3296" w:type="dxa"/>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Съоръжения за събиране на вода, замърсена с нефтопродукти и съхранение на отработени масла</w:t>
            </w:r>
          </w:p>
        </w:tc>
        <w:tc>
          <w:tcPr>
            <w:tcW w:w="6521" w:type="dxa"/>
            <w:shd w:val="clear" w:color="auto" w:fill="auto"/>
          </w:tcPr>
          <w:p w:rsidR="001964F8" w:rsidRPr="009072DA" w:rsidRDefault="008761D9" w:rsidP="00A8005B">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30.12.2024 г.</w:t>
            </w:r>
          </w:p>
        </w:tc>
      </w:tr>
      <w:tr w:rsidR="001964F8" w:rsidRPr="009072DA" w:rsidTr="00A8005B">
        <w:trPr>
          <w:cantSplit/>
          <w:jc w:val="center"/>
        </w:trPr>
        <w:tc>
          <w:tcPr>
            <w:tcW w:w="1342" w:type="dxa"/>
            <w:tcBorders>
              <w:bottom w:val="single" w:sz="4" w:space="0" w:color="auto"/>
            </w:tcBorders>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8.10</w:t>
            </w:r>
          </w:p>
        </w:tc>
        <w:tc>
          <w:tcPr>
            <w:tcW w:w="1458" w:type="dxa"/>
            <w:tcBorders>
              <w:bottom w:val="single" w:sz="4" w:space="0" w:color="auto"/>
            </w:tcBorders>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Точка 3</w:t>
            </w:r>
          </w:p>
        </w:tc>
        <w:tc>
          <w:tcPr>
            <w:tcW w:w="3296" w:type="dxa"/>
            <w:tcBorders>
              <w:bottom w:val="single" w:sz="4" w:space="0" w:color="auto"/>
            </w:tcBorders>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Ограничение за емисиите от 65 dB(A) за неподвижни плавателни съдове</w:t>
            </w:r>
          </w:p>
        </w:tc>
        <w:tc>
          <w:tcPr>
            <w:tcW w:w="6521" w:type="dxa"/>
            <w:tcBorders>
              <w:bottom w:val="single" w:sz="4" w:space="0" w:color="auto"/>
            </w:tcBorders>
            <w:shd w:val="clear" w:color="auto" w:fill="auto"/>
          </w:tcPr>
          <w:p w:rsidR="001964F8" w:rsidRPr="009072DA" w:rsidRDefault="008761D9" w:rsidP="00A8005B">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tcBorders>
              <w:bottom w:val="single" w:sz="4" w:space="0" w:color="auto"/>
            </w:tcBorders>
            <w:shd w:val="clear" w:color="auto" w:fill="auto"/>
          </w:tcPr>
          <w:p w:rsidR="001964F8" w:rsidRPr="009072DA" w:rsidRDefault="001964F8" w:rsidP="00A8005B">
            <w:pPr>
              <w:spacing w:before="80" w:after="80" w:line="240" w:lineRule="atLeast"/>
              <w:rPr>
                <w:rFonts w:cs="Arial"/>
                <w:sz w:val="18"/>
                <w:szCs w:val="18"/>
                <w:lang w:val="bg-BG"/>
              </w:rPr>
            </w:pPr>
            <w:r w:rsidRPr="009072DA">
              <w:rPr>
                <w:sz w:val="18"/>
                <w:lang w:val="bg-BG"/>
              </w:rPr>
              <w:t>30.12.2029 г.</w:t>
            </w:r>
          </w:p>
        </w:tc>
      </w:tr>
      <w:tr w:rsidR="00C01A94" w:rsidRPr="008D2440" w:rsidTr="00C01A94">
        <w:trPr>
          <w:cantSplit/>
          <w:jc w:val="center"/>
        </w:trPr>
        <w:tc>
          <w:tcPr>
            <w:tcW w:w="6096" w:type="dxa"/>
            <w:gridSpan w:val="3"/>
            <w:tcBorders>
              <w:top w:val="single" w:sz="4" w:space="0" w:color="auto"/>
            </w:tcBorders>
            <w:shd w:val="clear" w:color="auto" w:fill="auto"/>
          </w:tcPr>
          <w:p w:rsidR="00C01A94" w:rsidRPr="009072DA" w:rsidRDefault="00C01A94" w:rsidP="00A8005B">
            <w:pPr>
              <w:spacing w:before="80" w:after="80" w:line="240" w:lineRule="atLeast"/>
              <w:jc w:val="center"/>
              <w:rPr>
                <w:rFonts w:cs="Arial"/>
                <w:b/>
                <w:sz w:val="18"/>
                <w:szCs w:val="18"/>
                <w:lang w:val="bg-BG"/>
              </w:rPr>
            </w:pPr>
            <w:r w:rsidRPr="009072DA">
              <w:rPr>
                <w:b/>
                <w:sz w:val="18"/>
                <w:lang w:val="bg-BG"/>
              </w:rPr>
              <w:t>ГЛАВА 9</w:t>
            </w:r>
          </w:p>
        </w:tc>
        <w:tc>
          <w:tcPr>
            <w:tcW w:w="6521" w:type="dxa"/>
            <w:tcBorders>
              <w:top w:val="single" w:sz="4" w:space="0" w:color="auto"/>
            </w:tcBorders>
            <w:shd w:val="clear" w:color="auto" w:fill="auto"/>
          </w:tcPr>
          <w:p w:rsidR="00C01A94" w:rsidRPr="009072DA" w:rsidRDefault="00C01A94" w:rsidP="00A8005B">
            <w:pPr>
              <w:spacing w:before="80" w:after="80" w:line="240" w:lineRule="atLeast"/>
              <w:rPr>
                <w:rFonts w:cs="Arial"/>
                <w:sz w:val="18"/>
                <w:szCs w:val="18"/>
                <w:lang w:val="bg-BG"/>
              </w:rPr>
            </w:pPr>
            <w:r w:rsidRPr="009072DA">
              <w:rPr>
                <w:sz w:val="18"/>
                <w:lang w:val="bg-BG"/>
              </w:rPr>
              <w:t>За двигателите, които вече са монтирани на борда и нямат одобрение на типа, се прилага само член 9.02.</w:t>
            </w:r>
          </w:p>
        </w:tc>
        <w:tc>
          <w:tcPr>
            <w:tcW w:w="1276" w:type="dxa"/>
            <w:tcBorders>
              <w:top w:val="single" w:sz="4" w:space="0" w:color="auto"/>
              <w:bottom w:val="nil"/>
            </w:tcBorders>
            <w:shd w:val="clear" w:color="auto" w:fill="auto"/>
          </w:tcPr>
          <w:p w:rsidR="00C01A94" w:rsidRPr="009072DA" w:rsidRDefault="00C01A94" w:rsidP="00A8005B">
            <w:pPr>
              <w:spacing w:before="80" w:after="80" w:line="240" w:lineRule="atLeast"/>
              <w:rPr>
                <w:rFonts w:cs="Arial"/>
                <w:sz w:val="18"/>
                <w:szCs w:val="18"/>
                <w:lang w:val="bg-BG"/>
              </w:rPr>
            </w:pPr>
          </w:p>
        </w:tc>
      </w:tr>
      <w:tr w:rsidR="00C01A94" w:rsidRPr="008D2440" w:rsidTr="00C01A94">
        <w:trPr>
          <w:cantSplit/>
          <w:jc w:val="center"/>
        </w:trPr>
        <w:tc>
          <w:tcPr>
            <w:tcW w:w="1342" w:type="dxa"/>
            <w:shd w:val="clear" w:color="auto" w:fill="auto"/>
          </w:tcPr>
          <w:p w:rsidR="00C01A94" w:rsidRPr="009072DA" w:rsidRDefault="00C01A94" w:rsidP="00A8005B">
            <w:pPr>
              <w:spacing w:before="80" w:after="80" w:line="240" w:lineRule="atLeast"/>
              <w:rPr>
                <w:rFonts w:eastAsia="Calibri" w:cs="Arial"/>
                <w:sz w:val="18"/>
                <w:szCs w:val="18"/>
                <w:lang w:val="bg-BG"/>
              </w:rPr>
            </w:pPr>
            <w:r w:rsidRPr="009072DA">
              <w:rPr>
                <w:sz w:val="18"/>
                <w:lang w:val="bg-BG"/>
              </w:rPr>
              <w:t>9.01</w:t>
            </w:r>
          </w:p>
        </w:tc>
        <w:tc>
          <w:tcPr>
            <w:tcW w:w="1458" w:type="dxa"/>
            <w:shd w:val="clear" w:color="auto" w:fill="auto"/>
          </w:tcPr>
          <w:p w:rsidR="00C01A94" w:rsidRPr="009072DA" w:rsidRDefault="00C01A94" w:rsidP="00A8005B">
            <w:pPr>
              <w:spacing w:before="80" w:after="80" w:line="240" w:lineRule="atLeast"/>
              <w:rPr>
                <w:sz w:val="18"/>
                <w:szCs w:val="18"/>
                <w:lang w:val="bg-BG"/>
              </w:rPr>
            </w:pPr>
            <w:r w:rsidRPr="009072DA">
              <w:rPr>
                <w:sz w:val="18"/>
                <w:lang w:val="bg-BG"/>
              </w:rPr>
              <w:t>Точки 1 — 4</w:t>
            </w:r>
          </w:p>
        </w:tc>
        <w:tc>
          <w:tcPr>
            <w:tcW w:w="3296" w:type="dxa"/>
            <w:shd w:val="clear" w:color="auto" w:fill="auto"/>
          </w:tcPr>
          <w:p w:rsidR="00C01A94" w:rsidRPr="009072DA" w:rsidRDefault="00C01A94" w:rsidP="00A8005B">
            <w:pPr>
              <w:spacing w:before="80" w:after="80" w:line="240" w:lineRule="atLeast"/>
              <w:rPr>
                <w:rFonts w:eastAsia="Calibri" w:cs="Arial"/>
                <w:sz w:val="18"/>
                <w:szCs w:val="18"/>
                <w:lang w:val="bg-BG"/>
              </w:rPr>
            </w:pPr>
            <w:r w:rsidRPr="009072DA">
              <w:rPr>
                <w:sz w:val="18"/>
                <w:lang w:val="bg-BG"/>
              </w:rPr>
              <w:t>Общи разпоредби</w:t>
            </w:r>
          </w:p>
        </w:tc>
        <w:tc>
          <w:tcPr>
            <w:tcW w:w="6521" w:type="dxa"/>
            <w:vMerge w:val="restart"/>
            <w:shd w:val="clear" w:color="auto" w:fill="auto"/>
            <w:vAlign w:val="center"/>
          </w:tcPr>
          <w:p w:rsidR="00C01A94" w:rsidRPr="009072DA" w:rsidRDefault="00C01A94" w:rsidP="00A8005B">
            <w:pPr>
              <w:spacing w:before="80" w:after="80" w:line="240" w:lineRule="atLeast"/>
              <w:rPr>
                <w:rFonts w:cs="Arial"/>
                <w:sz w:val="18"/>
                <w:szCs w:val="18"/>
                <w:lang w:val="bg-BG"/>
              </w:rPr>
            </w:pPr>
            <w:r w:rsidRPr="009072DA">
              <w:rPr>
                <w:sz w:val="18"/>
                <w:lang w:val="bg-BG"/>
              </w:rPr>
              <w:t>За двигателите, които съответстват на разпоредбите за одобряване на типа и монтажа в сила към датата на монтажа: НЗ</w:t>
            </w:r>
          </w:p>
        </w:tc>
        <w:tc>
          <w:tcPr>
            <w:tcW w:w="1276" w:type="dxa"/>
            <w:tcBorders>
              <w:top w:val="nil"/>
              <w:bottom w:val="nil"/>
            </w:tcBorders>
            <w:shd w:val="clear" w:color="auto" w:fill="auto"/>
          </w:tcPr>
          <w:p w:rsidR="00C01A94" w:rsidRPr="009072DA" w:rsidRDefault="00C01A94" w:rsidP="00A8005B">
            <w:pPr>
              <w:spacing w:before="80" w:after="80" w:line="240" w:lineRule="atLeast"/>
              <w:rPr>
                <w:rFonts w:cs="Arial"/>
                <w:sz w:val="18"/>
                <w:szCs w:val="18"/>
                <w:lang w:val="bg-BG"/>
              </w:rPr>
            </w:pPr>
          </w:p>
        </w:tc>
      </w:tr>
      <w:tr w:rsidR="00C01A94" w:rsidRPr="009072DA" w:rsidTr="00C01A94">
        <w:trPr>
          <w:cantSplit/>
          <w:jc w:val="center"/>
        </w:trPr>
        <w:tc>
          <w:tcPr>
            <w:tcW w:w="1342" w:type="dxa"/>
            <w:shd w:val="clear" w:color="auto" w:fill="auto"/>
          </w:tcPr>
          <w:p w:rsidR="00C01A94" w:rsidRPr="009072DA" w:rsidRDefault="00C01A94" w:rsidP="00A8005B">
            <w:pPr>
              <w:spacing w:before="80" w:after="80" w:line="240" w:lineRule="atLeast"/>
              <w:rPr>
                <w:sz w:val="18"/>
                <w:szCs w:val="18"/>
                <w:lang w:val="bg-BG"/>
              </w:rPr>
            </w:pPr>
            <w:r w:rsidRPr="009072DA">
              <w:rPr>
                <w:sz w:val="18"/>
                <w:lang w:val="bg-BG"/>
              </w:rPr>
              <w:t>9.06</w:t>
            </w:r>
          </w:p>
        </w:tc>
        <w:tc>
          <w:tcPr>
            <w:tcW w:w="1458" w:type="dxa"/>
            <w:shd w:val="clear" w:color="auto" w:fill="auto"/>
          </w:tcPr>
          <w:p w:rsidR="00C01A94" w:rsidRPr="009072DA" w:rsidRDefault="00C01A94" w:rsidP="00A8005B">
            <w:pPr>
              <w:spacing w:before="80" w:after="80" w:line="240" w:lineRule="atLeast"/>
              <w:rPr>
                <w:sz w:val="18"/>
                <w:szCs w:val="18"/>
                <w:lang w:val="bg-BG"/>
              </w:rPr>
            </w:pPr>
          </w:p>
        </w:tc>
        <w:tc>
          <w:tcPr>
            <w:tcW w:w="3296" w:type="dxa"/>
            <w:shd w:val="clear" w:color="auto" w:fill="auto"/>
          </w:tcPr>
          <w:p w:rsidR="00C01A94" w:rsidRPr="009072DA" w:rsidRDefault="00C01A94" w:rsidP="00A8005B">
            <w:pPr>
              <w:spacing w:before="80" w:after="80" w:line="240" w:lineRule="atLeast"/>
              <w:rPr>
                <w:sz w:val="18"/>
                <w:szCs w:val="18"/>
                <w:lang w:val="bg-BG"/>
              </w:rPr>
            </w:pPr>
            <w:r w:rsidRPr="009072DA">
              <w:rPr>
                <w:sz w:val="18"/>
                <w:lang w:val="bg-BG"/>
              </w:rPr>
              <w:t>Изпитване на монтажа</w:t>
            </w:r>
          </w:p>
        </w:tc>
        <w:tc>
          <w:tcPr>
            <w:tcW w:w="6521" w:type="dxa"/>
            <w:vMerge/>
            <w:shd w:val="clear" w:color="auto" w:fill="auto"/>
          </w:tcPr>
          <w:p w:rsidR="00C01A94" w:rsidRPr="009072DA" w:rsidRDefault="00C01A94" w:rsidP="00A8005B">
            <w:pPr>
              <w:spacing w:before="80" w:after="80" w:line="240" w:lineRule="atLeast"/>
              <w:rPr>
                <w:rFonts w:cs="Arial"/>
                <w:sz w:val="18"/>
                <w:szCs w:val="18"/>
                <w:lang w:val="bg-BG"/>
              </w:rPr>
            </w:pPr>
          </w:p>
        </w:tc>
        <w:tc>
          <w:tcPr>
            <w:tcW w:w="1276" w:type="dxa"/>
            <w:tcBorders>
              <w:top w:val="nil"/>
            </w:tcBorders>
            <w:shd w:val="clear" w:color="auto" w:fill="auto"/>
          </w:tcPr>
          <w:p w:rsidR="00C01A94" w:rsidRPr="009072DA" w:rsidRDefault="00C01A94" w:rsidP="00A8005B">
            <w:pPr>
              <w:spacing w:before="80" w:after="80" w:line="240" w:lineRule="atLeast"/>
              <w:rPr>
                <w:rFonts w:cs="Arial"/>
                <w:sz w:val="18"/>
                <w:szCs w:val="18"/>
                <w:lang w:val="bg-BG"/>
              </w:rPr>
            </w:pPr>
          </w:p>
        </w:tc>
      </w:tr>
      <w:tr w:rsidR="00C01A94" w:rsidRPr="009072DA" w:rsidTr="001964F8">
        <w:trPr>
          <w:cantSplit/>
          <w:jc w:val="center"/>
        </w:trPr>
        <w:tc>
          <w:tcPr>
            <w:tcW w:w="6096" w:type="dxa"/>
            <w:gridSpan w:val="3"/>
            <w:tcBorders>
              <w:top w:val="single" w:sz="4" w:space="0" w:color="auto"/>
            </w:tcBorders>
            <w:shd w:val="clear" w:color="auto" w:fill="auto"/>
          </w:tcPr>
          <w:p w:rsidR="00C01A94" w:rsidRPr="009072DA" w:rsidRDefault="00C01A94" w:rsidP="00A8005B">
            <w:pPr>
              <w:spacing w:before="80" w:after="80" w:line="240" w:lineRule="atLeast"/>
              <w:jc w:val="center"/>
              <w:rPr>
                <w:rFonts w:cs="Arial"/>
                <w:b/>
                <w:sz w:val="18"/>
                <w:szCs w:val="18"/>
                <w:lang w:val="bg-BG"/>
              </w:rPr>
            </w:pPr>
            <w:r w:rsidRPr="009072DA">
              <w:rPr>
                <w:b/>
                <w:sz w:val="18"/>
                <w:lang w:val="bg-BG"/>
              </w:rPr>
              <w:t>ГЛАВА 10</w:t>
            </w:r>
          </w:p>
        </w:tc>
        <w:tc>
          <w:tcPr>
            <w:tcW w:w="6521" w:type="dxa"/>
            <w:tcBorders>
              <w:top w:val="single" w:sz="4" w:space="0" w:color="auto"/>
            </w:tcBorders>
            <w:shd w:val="clear" w:color="auto" w:fill="auto"/>
          </w:tcPr>
          <w:p w:rsidR="00C01A94" w:rsidRPr="009072DA" w:rsidRDefault="00C01A94" w:rsidP="00A8005B">
            <w:pPr>
              <w:spacing w:before="80" w:after="80" w:line="240" w:lineRule="atLeast"/>
              <w:jc w:val="center"/>
              <w:rPr>
                <w:rFonts w:cs="Arial"/>
                <w:sz w:val="18"/>
                <w:szCs w:val="18"/>
                <w:lang w:val="bg-BG"/>
              </w:rPr>
            </w:pPr>
          </w:p>
        </w:tc>
        <w:tc>
          <w:tcPr>
            <w:tcW w:w="1276" w:type="dxa"/>
            <w:tcBorders>
              <w:top w:val="single" w:sz="4" w:space="0" w:color="auto"/>
            </w:tcBorders>
            <w:shd w:val="clear" w:color="auto" w:fill="auto"/>
          </w:tcPr>
          <w:p w:rsidR="00C01A94" w:rsidRPr="009072DA" w:rsidRDefault="00C01A94" w:rsidP="00A8005B">
            <w:pPr>
              <w:spacing w:before="80" w:after="80" w:line="240" w:lineRule="atLeast"/>
              <w:rPr>
                <w:rFonts w:cs="Arial"/>
                <w:sz w:val="18"/>
                <w:szCs w:val="18"/>
                <w:lang w:val="bg-BG"/>
              </w:rPr>
            </w:pPr>
          </w:p>
        </w:tc>
      </w:tr>
      <w:tr w:rsidR="00C01A94" w:rsidRPr="009072DA" w:rsidTr="00E04086">
        <w:trPr>
          <w:cantSplit/>
          <w:jc w:val="center"/>
        </w:trPr>
        <w:tc>
          <w:tcPr>
            <w:tcW w:w="1342" w:type="dxa"/>
            <w:vMerge w:val="restart"/>
            <w:shd w:val="clear" w:color="auto" w:fill="auto"/>
          </w:tcPr>
          <w:p w:rsidR="00C01A94" w:rsidRPr="009072DA" w:rsidRDefault="00C01A94" w:rsidP="00A8005B">
            <w:pPr>
              <w:spacing w:before="80" w:after="80" w:line="240" w:lineRule="atLeast"/>
              <w:rPr>
                <w:rFonts w:cs="Arial"/>
                <w:sz w:val="18"/>
                <w:szCs w:val="18"/>
                <w:lang w:val="bg-BG"/>
              </w:rPr>
            </w:pPr>
            <w:r w:rsidRPr="009072DA">
              <w:rPr>
                <w:sz w:val="18"/>
                <w:lang w:val="bg-BG"/>
              </w:rPr>
              <w:t>10.01</w:t>
            </w:r>
          </w:p>
        </w:tc>
        <w:tc>
          <w:tcPr>
            <w:tcW w:w="1458" w:type="dxa"/>
            <w:shd w:val="clear" w:color="auto" w:fill="auto"/>
          </w:tcPr>
          <w:p w:rsidR="00C01A94" w:rsidRPr="009072DA" w:rsidRDefault="00C01A94" w:rsidP="00A8005B">
            <w:pPr>
              <w:spacing w:before="80" w:after="80" w:line="240" w:lineRule="atLeast"/>
              <w:rPr>
                <w:rFonts w:cs="Arial"/>
                <w:sz w:val="18"/>
                <w:szCs w:val="18"/>
                <w:lang w:val="bg-BG"/>
              </w:rPr>
            </w:pPr>
            <w:r w:rsidRPr="009072DA">
              <w:rPr>
                <w:sz w:val="18"/>
                <w:lang w:val="bg-BG"/>
              </w:rPr>
              <w:t>Точка 1, второ изречение</w:t>
            </w:r>
          </w:p>
        </w:tc>
        <w:tc>
          <w:tcPr>
            <w:tcW w:w="3296" w:type="dxa"/>
            <w:shd w:val="clear" w:color="auto" w:fill="auto"/>
          </w:tcPr>
          <w:p w:rsidR="00C01A94" w:rsidRPr="009072DA" w:rsidRDefault="00C01A94" w:rsidP="00A8005B">
            <w:pPr>
              <w:spacing w:before="80" w:after="80" w:line="240" w:lineRule="atLeast"/>
              <w:rPr>
                <w:rFonts w:cs="Arial"/>
                <w:sz w:val="18"/>
                <w:szCs w:val="18"/>
                <w:lang w:val="bg-BG"/>
              </w:rPr>
            </w:pPr>
            <w:r w:rsidRPr="009072DA">
              <w:rPr>
                <w:sz w:val="18"/>
                <w:lang w:val="bg-BG"/>
              </w:rPr>
              <w:t>Изискваните документи трябва да бъдат представени на контролния орган</w:t>
            </w:r>
          </w:p>
        </w:tc>
        <w:tc>
          <w:tcPr>
            <w:tcW w:w="6521" w:type="dxa"/>
            <w:shd w:val="clear" w:color="auto" w:fill="auto"/>
          </w:tcPr>
          <w:p w:rsidR="00C01A94" w:rsidRPr="009072DA" w:rsidRDefault="00C01A94" w:rsidP="00A8005B">
            <w:pPr>
              <w:spacing w:before="80" w:after="8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A8005B">
            <w:pPr>
              <w:spacing w:before="80" w:after="80" w:line="240" w:lineRule="atLeast"/>
              <w:jc w:val="center"/>
              <w:rPr>
                <w:rFonts w:cs="Arial"/>
                <w:sz w:val="18"/>
                <w:szCs w:val="18"/>
                <w:lang w:val="bg-BG"/>
              </w:rPr>
            </w:pPr>
            <w:r w:rsidRPr="009072DA">
              <w:rPr>
                <w:sz w:val="18"/>
                <w:lang w:val="bg-BG"/>
              </w:rPr>
              <w:t>1.1.2035 г.</w:t>
            </w:r>
          </w:p>
        </w:tc>
      </w:tr>
      <w:tr w:rsidR="00C01A94" w:rsidRPr="009072DA" w:rsidTr="00E04086">
        <w:trPr>
          <w:cantSplit/>
          <w:jc w:val="center"/>
        </w:trPr>
        <w:tc>
          <w:tcPr>
            <w:tcW w:w="1342" w:type="dxa"/>
            <w:vMerge/>
            <w:shd w:val="clear" w:color="auto" w:fill="auto"/>
          </w:tcPr>
          <w:p w:rsidR="00C01A94" w:rsidRPr="009072DA" w:rsidRDefault="00C01A94" w:rsidP="00A8005B">
            <w:pPr>
              <w:spacing w:before="80" w:after="80" w:line="240" w:lineRule="atLeast"/>
              <w:rPr>
                <w:rFonts w:cs="Arial"/>
                <w:sz w:val="18"/>
                <w:szCs w:val="18"/>
                <w:lang w:val="bg-BG"/>
              </w:rPr>
            </w:pPr>
          </w:p>
        </w:tc>
        <w:tc>
          <w:tcPr>
            <w:tcW w:w="1458" w:type="dxa"/>
            <w:shd w:val="clear" w:color="auto" w:fill="auto"/>
          </w:tcPr>
          <w:p w:rsidR="00C01A94" w:rsidRPr="009072DA" w:rsidRDefault="00C01A94" w:rsidP="00A8005B">
            <w:pPr>
              <w:spacing w:before="80" w:after="80" w:line="240" w:lineRule="atLeast"/>
              <w:rPr>
                <w:rFonts w:cs="Arial"/>
                <w:sz w:val="18"/>
                <w:szCs w:val="18"/>
                <w:lang w:val="bg-BG"/>
              </w:rPr>
            </w:pPr>
            <w:r w:rsidRPr="009072DA">
              <w:rPr>
                <w:sz w:val="18"/>
                <w:lang w:val="bg-BG"/>
              </w:rPr>
              <w:t>Точка 2, буква б)</w:t>
            </w:r>
          </w:p>
        </w:tc>
        <w:tc>
          <w:tcPr>
            <w:tcW w:w="3296" w:type="dxa"/>
            <w:shd w:val="clear" w:color="auto" w:fill="auto"/>
          </w:tcPr>
          <w:p w:rsidR="00C01A94" w:rsidRPr="009072DA" w:rsidRDefault="00C01A94" w:rsidP="00A8005B">
            <w:pPr>
              <w:spacing w:before="80" w:after="80" w:line="240" w:lineRule="atLeast"/>
              <w:rPr>
                <w:rFonts w:cs="Arial"/>
                <w:sz w:val="18"/>
                <w:szCs w:val="18"/>
                <w:lang w:val="bg-BG"/>
              </w:rPr>
            </w:pPr>
            <w:r w:rsidRPr="009072DA">
              <w:rPr>
                <w:sz w:val="18"/>
                <w:lang w:val="bg-BG"/>
              </w:rPr>
              <w:t>Планове на главното разпределително табло, аварийното разпределително табло и разпределителните табла трябва да се съхраняват на борда</w:t>
            </w:r>
          </w:p>
        </w:tc>
        <w:tc>
          <w:tcPr>
            <w:tcW w:w="6521" w:type="dxa"/>
            <w:shd w:val="clear" w:color="auto" w:fill="auto"/>
          </w:tcPr>
          <w:p w:rsidR="00C01A94" w:rsidRPr="009072DA" w:rsidRDefault="00C01A94" w:rsidP="00A8005B">
            <w:pPr>
              <w:spacing w:before="80" w:after="8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A8005B">
            <w:pPr>
              <w:spacing w:before="80" w:after="80" w:line="240" w:lineRule="atLeast"/>
              <w:jc w:val="center"/>
              <w:rPr>
                <w:rFonts w:cs="Arial"/>
                <w:sz w:val="18"/>
                <w:szCs w:val="18"/>
                <w:lang w:val="bg-BG"/>
              </w:rPr>
            </w:pPr>
            <w:r w:rsidRPr="009072DA">
              <w:rPr>
                <w:sz w:val="18"/>
                <w:lang w:val="bg-BG"/>
              </w:rPr>
              <w:t>1.1.2010 г.</w:t>
            </w:r>
          </w:p>
        </w:tc>
      </w:tr>
      <w:tr w:rsidR="00C01A94" w:rsidRPr="009072DA" w:rsidTr="00E04086">
        <w:trPr>
          <w:cantSplit/>
          <w:jc w:val="center"/>
        </w:trPr>
        <w:tc>
          <w:tcPr>
            <w:tcW w:w="1342" w:type="dxa"/>
            <w:vMerge/>
            <w:shd w:val="clear" w:color="auto" w:fill="auto"/>
          </w:tcPr>
          <w:p w:rsidR="00C01A94" w:rsidRPr="009072DA" w:rsidRDefault="00C01A94" w:rsidP="00A8005B">
            <w:pPr>
              <w:spacing w:before="80" w:after="80" w:line="240" w:lineRule="atLeast"/>
              <w:rPr>
                <w:rFonts w:cs="Arial"/>
                <w:sz w:val="18"/>
                <w:szCs w:val="18"/>
                <w:lang w:val="bg-BG"/>
              </w:rPr>
            </w:pPr>
          </w:p>
        </w:tc>
        <w:tc>
          <w:tcPr>
            <w:tcW w:w="1458" w:type="dxa"/>
            <w:shd w:val="clear" w:color="auto" w:fill="auto"/>
          </w:tcPr>
          <w:p w:rsidR="00C01A94" w:rsidRPr="009072DA" w:rsidRDefault="00AA3519" w:rsidP="00AA3519">
            <w:pPr>
              <w:spacing w:before="80" w:after="80" w:line="240" w:lineRule="atLeast"/>
              <w:rPr>
                <w:rFonts w:cs="Arial"/>
                <w:sz w:val="18"/>
                <w:szCs w:val="18"/>
                <w:lang w:val="bg-BG"/>
              </w:rPr>
            </w:pPr>
            <w:r w:rsidRPr="009072DA">
              <w:rPr>
                <w:sz w:val="18"/>
                <w:lang w:val="bg-BG"/>
              </w:rPr>
              <w:t>Точка 2, буква д)</w:t>
            </w:r>
          </w:p>
        </w:tc>
        <w:tc>
          <w:tcPr>
            <w:tcW w:w="3296" w:type="dxa"/>
            <w:shd w:val="clear" w:color="auto" w:fill="auto"/>
          </w:tcPr>
          <w:p w:rsidR="00C01A94" w:rsidRPr="009072DA" w:rsidRDefault="00C01A94" w:rsidP="00A8005B">
            <w:pPr>
              <w:spacing w:before="80" w:after="80" w:line="240" w:lineRule="atLeast"/>
              <w:rPr>
                <w:rFonts w:cs="Arial"/>
                <w:sz w:val="18"/>
                <w:szCs w:val="18"/>
                <w:lang w:val="bg-BG"/>
              </w:rPr>
            </w:pPr>
            <w:r w:rsidRPr="009072DA">
              <w:rPr>
                <w:sz w:val="18"/>
                <w:lang w:val="bg-BG"/>
              </w:rPr>
              <w:t>Планове на разпределителните табла, както и документация за електрическия задвижващ двигател</w:t>
            </w:r>
          </w:p>
        </w:tc>
        <w:tc>
          <w:tcPr>
            <w:tcW w:w="6521" w:type="dxa"/>
            <w:shd w:val="clear" w:color="auto" w:fill="auto"/>
          </w:tcPr>
          <w:p w:rsidR="00C01A94" w:rsidRPr="009072DA" w:rsidRDefault="0012395A" w:rsidP="00A8005B">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A8005B">
            <w:pPr>
              <w:spacing w:before="80" w:after="80" w:line="240" w:lineRule="atLeast"/>
              <w:jc w:val="center"/>
              <w:rPr>
                <w:rFonts w:cs="Arial"/>
                <w:sz w:val="18"/>
                <w:szCs w:val="18"/>
                <w:lang w:val="bg-BG"/>
              </w:rPr>
            </w:pPr>
          </w:p>
        </w:tc>
      </w:tr>
      <w:tr w:rsidR="00C01A94" w:rsidRPr="009072DA" w:rsidTr="001964F8">
        <w:trPr>
          <w:cantSplit/>
          <w:jc w:val="center"/>
        </w:trPr>
        <w:tc>
          <w:tcPr>
            <w:tcW w:w="1342" w:type="dxa"/>
            <w:vMerge/>
            <w:tcBorders>
              <w:bottom w:val="nil"/>
            </w:tcBorders>
            <w:shd w:val="clear" w:color="auto" w:fill="auto"/>
          </w:tcPr>
          <w:p w:rsidR="00C01A94" w:rsidRPr="009072DA" w:rsidRDefault="00C01A94" w:rsidP="00A8005B">
            <w:pPr>
              <w:spacing w:before="80" w:after="80" w:line="240" w:lineRule="atLeast"/>
              <w:rPr>
                <w:rFonts w:cs="Arial"/>
                <w:sz w:val="18"/>
                <w:szCs w:val="18"/>
                <w:lang w:val="bg-BG"/>
              </w:rPr>
            </w:pPr>
          </w:p>
        </w:tc>
        <w:tc>
          <w:tcPr>
            <w:tcW w:w="1458" w:type="dxa"/>
            <w:shd w:val="clear" w:color="auto" w:fill="auto"/>
          </w:tcPr>
          <w:p w:rsidR="00C01A94" w:rsidRPr="009072DA" w:rsidRDefault="00AA3519" w:rsidP="00AA3519">
            <w:pPr>
              <w:spacing w:before="80" w:after="80" w:line="240" w:lineRule="atLeast"/>
              <w:rPr>
                <w:rFonts w:cs="Arial"/>
                <w:sz w:val="18"/>
                <w:szCs w:val="18"/>
                <w:lang w:val="bg-BG"/>
              </w:rPr>
            </w:pPr>
            <w:r w:rsidRPr="009072DA">
              <w:rPr>
                <w:sz w:val="18"/>
                <w:lang w:val="bg-BG"/>
              </w:rPr>
              <w:t>Точка 2, буква е)</w:t>
            </w:r>
          </w:p>
        </w:tc>
        <w:tc>
          <w:tcPr>
            <w:tcW w:w="3296" w:type="dxa"/>
            <w:shd w:val="clear" w:color="auto" w:fill="auto"/>
          </w:tcPr>
          <w:p w:rsidR="00C01A94" w:rsidRPr="009072DA" w:rsidRDefault="00C01A94" w:rsidP="00A8005B">
            <w:pPr>
              <w:spacing w:before="80" w:after="80" w:line="240" w:lineRule="atLeast"/>
              <w:rPr>
                <w:rFonts w:cs="Arial"/>
                <w:sz w:val="18"/>
                <w:szCs w:val="18"/>
                <w:lang w:val="bg-BG"/>
              </w:rPr>
            </w:pPr>
            <w:r w:rsidRPr="009072DA">
              <w:rPr>
                <w:sz w:val="18"/>
                <w:lang w:val="bg-BG"/>
              </w:rPr>
              <w:t>Планове на електронни системи</w:t>
            </w:r>
          </w:p>
        </w:tc>
        <w:tc>
          <w:tcPr>
            <w:tcW w:w="6521" w:type="dxa"/>
            <w:shd w:val="clear" w:color="auto" w:fill="auto"/>
          </w:tcPr>
          <w:p w:rsidR="00C01A94" w:rsidRPr="009072DA" w:rsidRDefault="0012395A" w:rsidP="00A8005B">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A8005B">
            <w:pPr>
              <w:spacing w:before="80" w:after="80" w:line="240" w:lineRule="atLeast"/>
              <w:jc w:val="center"/>
              <w:rPr>
                <w:rFonts w:cs="Arial"/>
                <w:sz w:val="18"/>
                <w:szCs w:val="18"/>
                <w:lang w:val="bg-BG"/>
              </w:rPr>
            </w:pPr>
          </w:p>
        </w:tc>
      </w:tr>
      <w:tr w:rsidR="00C01A94" w:rsidRPr="009072DA" w:rsidTr="001964F8">
        <w:trPr>
          <w:cantSplit/>
          <w:jc w:val="center"/>
        </w:trPr>
        <w:tc>
          <w:tcPr>
            <w:tcW w:w="1342" w:type="dxa"/>
            <w:tcBorders>
              <w:top w:val="nil"/>
              <w:bottom w:val="nil"/>
            </w:tcBorders>
            <w:shd w:val="clear" w:color="auto" w:fill="auto"/>
          </w:tcPr>
          <w:p w:rsidR="00C01A94" w:rsidRPr="009072DA" w:rsidRDefault="00C01A94" w:rsidP="00A8005B">
            <w:pPr>
              <w:spacing w:before="80" w:after="80" w:line="240" w:lineRule="atLeast"/>
              <w:rPr>
                <w:rFonts w:cs="Arial"/>
                <w:sz w:val="18"/>
                <w:szCs w:val="18"/>
                <w:lang w:val="bg-BG"/>
              </w:rPr>
            </w:pPr>
          </w:p>
        </w:tc>
        <w:tc>
          <w:tcPr>
            <w:tcW w:w="1458" w:type="dxa"/>
            <w:shd w:val="clear" w:color="auto" w:fill="auto"/>
          </w:tcPr>
          <w:p w:rsidR="00C01A94" w:rsidRPr="009072DA" w:rsidRDefault="00AA3519" w:rsidP="00AA3519">
            <w:pPr>
              <w:spacing w:before="80" w:after="80" w:line="240" w:lineRule="atLeast"/>
              <w:rPr>
                <w:rFonts w:cs="Arial"/>
                <w:sz w:val="18"/>
                <w:szCs w:val="18"/>
                <w:lang w:val="bg-BG"/>
              </w:rPr>
            </w:pPr>
            <w:r w:rsidRPr="009072DA">
              <w:rPr>
                <w:sz w:val="18"/>
                <w:lang w:val="bg-BG"/>
              </w:rPr>
              <w:t>Точка 2, буква ж)</w:t>
            </w:r>
          </w:p>
        </w:tc>
        <w:tc>
          <w:tcPr>
            <w:tcW w:w="3296" w:type="dxa"/>
            <w:shd w:val="clear" w:color="auto" w:fill="auto"/>
          </w:tcPr>
          <w:p w:rsidR="00C01A94" w:rsidRPr="009072DA" w:rsidRDefault="003D4DBF" w:rsidP="00A8005B">
            <w:pPr>
              <w:spacing w:before="80" w:after="80" w:line="240" w:lineRule="atLeast"/>
              <w:rPr>
                <w:rFonts w:cs="Arial"/>
                <w:sz w:val="18"/>
                <w:szCs w:val="18"/>
                <w:lang w:val="bg-BG"/>
              </w:rPr>
            </w:pPr>
            <w:r w:rsidRPr="009072DA">
              <w:rPr>
                <w:sz w:val="18"/>
                <w:lang w:val="bg-BG"/>
              </w:rPr>
              <w:t>Планове на управляващи вериги</w:t>
            </w:r>
          </w:p>
        </w:tc>
        <w:tc>
          <w:tcPr>
            <w:tcW w:w="6521" w:type="dxa"/>
            <w:shd w:val="clear" w:color="auto" w:fill="auto"/>
          </w:tcPr>
          <w:p w:rsidR="00C01A94" w:rsidRPr="009072DA" w:rsidRDefault="0012395A" w:rsidP="00A8005B">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A8005B">
            <w:pPr>
              <w:spacing w:before="80" w:after="80" w:line="240" w:lineRule="atLeast"/>
              <w:jc w:val="center"/>
              <w:rPr>
                <w:rFonts w:cs="Arial"/>
                <w:sz w:val="18"/>
                <w:szCs w:val="18"/>
                <w:lang w:val="bg-BG"/>
              </w:rPr>
            </w:pPr>
          </w:p>
        </w:tc>
      </w:tr>
      <w:tr w:rsidR="00C01A94" w:rsidRPr="009072DA" w:rsidTr="001964F8">
        <w:trPr>
          <w:cantSplit/>
          <w:jc w:val="center"/>
        </w:trPr>
        <w:tc>
          <w:tcPr>
            <w:tcW w:w="1342" w:type="dxa"/>
            <w:tcBorders>
              <w:top w:val="nil"/>
            </w:tcBorders>
            <w:shd w:val="clear" w:color="auto" w:fill="auto"/>
          </w:tcPr>
          <w:p w:rsidR="00C01A94" w:rsidRPr="009072DA" w:rsidRDefault="00C01A94" w:rsidP="00A8005B">
            <w:pPr>
              <w:spacing w:before="80" w:after="80" w:line="240" w:lineRule="atLeast"/>
              <w:rPr>
                <w:rFonts w:cs="Arial"/>
                <w:sz w:val="18"/>
                <w:szCs w:val="18"/>
                <w:lang w:val="bg-BG"/>
              </w:rPr>
            </w:pPr>
          </w:p>
        </w:tc>
        <w:tc>
          <w:tcPr>
            <w:tcW w:w="1458" w:type="dxa"/>
            <w:shd w:val="clear" w:color="auto" w:fill="auto"/>
          </w:tcPr>
          <w:p w:rsidR="00C01A94" w:rsidRPr="009072DA" w:rsidRDefault="00C01A94" w:rsidP="00A8005B">
            <w:pPr>
              <w:spacing w:before="80" w:after="80" w:line="240" w:lineRule="atLeast"/>
              <w:rPr>
                <w:rFonts w:cs="Arial"/>
                <w:sz w:val="18"/>
                <w:szCs w:val="18"/>
                <w:lang w:val="bg-BG"/>
              </w:rPr>
            </w:pPr>
            <w:r w:rsidRPr="009072DA">
              <w:rPr>
                <w:sz w:val="18"/>
                <w:lang w:val="bg-BG"/>
              </w:rPr>
              <w:t>Точка 3</w:t>
            </w:r>
          </w:p>
        </w:tc>
        <w:tc>
          <w:tcPr>
            <w:tcW w:w="3296" w:type="dxa"/>
            <w:shd w:val="clear" w:color="auto" w:fill="auto"/>
          </w:tcPr>
          <w:p w:rsidR="00C01A94" w:rsidRPr="009072DA" w:rsidRDefault="00C01A94" w:rsidP="00A8005B">
            <w:pPr>
              <w:spacing w:before="80" w:after="80" w:line="240" w:lineRule="atLeast"/>
              <w:rPr>
                <w:rFonts w:cs="Arial"/>
                <w:sz w:val="18"/>
                <w:szCs w:val="18"/>
                <w:lang w:val="bg-BG"/>
              </w:rPr>
            </w:pPr>
            <w:r w:rsidRPr="009072DA">
              <w:rPr>
                <w:sz w:val="18"/>
                <w:lang w:val="bg-BG"/>
              </w:rPr>
              <w:t>Температура на околната среда в помещенията и на палубата</w:t>
            </w:r>
          </w:p>
        </w:tc>
        <w:tc>
          <w:tcPr>
            <w:tcW w:w="6521" w:type="dxa"/>
            <w:shd w:val="clear" w:color="auto" w:fill="auto"/>
          </w:tcPr>
          <w:p w:rsidR="00C01A94" w:rsidRPr="009072DA" w:rsidRDefault="00C01A94" w:rsidP="00A8005B">
            <w:pPr>
              <w:spacing w:before="80" w:after="8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A8005B">
            <w:pPr>
              <w:spacing w:before="80" w:after="80" w:line="240" w:lineRule="atLeast"/>
              <w:jc w:val="center"/>
              <w:rPr>
                <w:rFonts w:cs="Arial"/>
                <w:sz w:val="18"/>
                <w:szCs w:val="18"/>
                <w:lang w:val="bg-BG"/>
              </w:rPr>
            </w:pPr>
            <w:r w:rsidRPr="009072DA">
              <w:rPr>
                <w:sz w:val="18"/>
                <w:lang w:val="bg-BG"/>
              </w:rPr>
              <w:t>1.1.2010 г.</w:t>
            </w:r>
          </w:p>
        </w:tc>
      </w:tr>
      <w:tr w:rsidR="00C01A94" w:rsidRPr="009072DA" w:rsidTr="001964F8">
        <w:trPr>
          <w:cantSplit/>
          <w:jc w:val="center"/>
        </w:trPr>
        <w:tc>
          <w:tcPr>
            <w:tcW w:w="1342" w:type="dxa"/>
            <w:shd w:val="clear" w:color="auto" w:fill="auto"/>
          </w:tcPr>
          <w:p w:rsidR="00C01A94" w:rsidRPr="009072DA" w:rsidRDefault="00C01A94" w:rsidP="00A8005B">
            <w:pPr>
              <w:spacing w:before="80" w:after="80" w:line="240" w:lineRule="atLeast"/>
              <w:rPr>
                <w:rFonts w:cs="Arial"/>
                <w:sz w:val="18"/>
                <w:szCs w:val="18"/>
                <w:lang w:val="bg-BG"/>
              </w:rPr>
            </w:pPr>
            <w:r w:rsidRPr="009072DA">
              <w:rPr>
                <w:sz w:val="18"/>
                <w:lang w:val="bg-BG"/>
              </w:rPr>
              <w:t>10.02</w:t>
            </w:r>
          </w:p>
        </w:tc>
        <w:tc>
          <w:tcPr>
            <w:tcW w:w="1458" w:type="dxa"/>
            <w:shd w:val="clear" w:color="auto" w:fill="auto"/>
          </w:tcPr>
          <w:p w:rsidR="00C01A94" w:rsidRPr="009072DA" w:rsidRDefault="00C01A94" w:rsidP="00A8005B">
            <w:pPr>
              <w:spacing w:before="80" w:after="80" w:line="240" w:lineRule="atLeast"/>
              <w:rPr>
                <w:rFonts w:cs="Arial"/>
                <w:sz w:val="18"/>
                <w:szCs w:val="18"/>
                <w:lang w:val="bg-BG"/>
              </w:rPr>
            </w:pPr>
          </w:p>
        </w:tc>
        <w:tc>
          <w:tcPr>
            <w:tcW w:w="3296" w:type="dxa"/>
            <w:shd w:val="clear" w:color="auto" w:fill="auto"/>
          </w:tcPr>
          <w:p w:rsidR="00C01A94" w:rsidRPr="009072DA" w:rsidRDefault="00C01A94" w:rsidP="00A8005B">
            <w:pPr>
              <w:spacing w:before="80" w:after="80" w:line="240" w:lineRule="atLeast"/>
              <w:rPr>
                <w:rFonts w:cs="Arial"/>
                <w:sz w:val="18"/>
                <w:szCs w:val="18"/>
                <w:lang w:val="bg-BG"/>
              </w:rPr>
            </w:pPr>
            <w:r w:rsidRPr="009072DA">
              <w:rPr>
                <w:sz w:val="18"/>
                <w:lang w:val="bg-BG"/>
              </w:rPr>
              <w:t>Електрозахранващи системи</w:t>
            </w:r>
          </w:p>
        </w:tc>
        <w:tc>
          <w:tcPr>
            <w:tcW w:w="6521" w:type="dxa"/>
            <w:shd w:val="clear" w:color="auto" w:fill="auto"/>
          </w:tcPr>
          <w:p w:rsidR="00C01A94" w:rsidRPr="009072DA" w:rsidRDefault="00C01A94" w:rsidP="00A8005B">
            <w:pPr>
              <w:spacing w:before="80" w:after="8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A8005B">
            <w:pPr>
              <w:spacing w:before="80" w:after="80" w:line="240" w:lineRule="atLeast"/>
              <w:jc w:val="center"/>
              <w:rPr>
                <w:rFonts w:cs="Arial"/>
                <w:sz w:val="18"/>
                <w:szCs w:val="18"/>
                <w:lang w:val="bg-BG"/>
              </w:rPr>
            </w:pPr>
            <w:r w:rsidRPr="009072DA">
              <w:rPr>
                <w:sz w:val="18"/>
                <w:lang w:val="bg-BG"/>
              </w:rPr>
              <w:t>1.1.2010 г.</w:t>
            </w:r>
          </w:p>
        </w:tc>
      </w:tr>
      <w:tr w:rsidR="00C01A94" w:rsidRPr="009072DA" w:rsidTr="001964F8">
        <w:trPr>
          <w:cantSplit/>
          <w:jc w:val="center"/>
        </w:trPr>
        <w:tc>
          <w:tcPr>
            <w:tcW w:w="1342"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10.03</w:t>
            </w:r>
          </w:p>
        </w:tc>
        <w:tc>
          <w:tcPr>
            <w:tcW w:w="1458" w:type="dxa"/>
            <w:shd w:val="clear" w:color="auto" w:fill="auto"/>
          </w:tcPr>
          <w:p w:rsidR="00C01A94" w:rsidRPr="009072DA" w:rsidRDefault="00C01A94" w:rsidP="005B1BE0">
            <w:pPr>
              <w:spacing w:before="140" w:after="140" w:line="240" w:lineRule="atLeast"/>
              <w:rPr>
                <w:rFonts w:cs="Arial"/>
                <w:sz w:val="18"/>
                <w:szCs w:val="18"/>
                <w:lang w:val="bg-BG"/>
              </w:rPr>
            </w:pPr>
          </w:p>
        </w:tc>
        <w:tc>
          <w:tcPr>
            <w:tcW w:w="3296"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Вид защита в зависимост от мястото на инсталиране</w:t>
            </w:r>
          </w:p>
        </w:tc>
        <w:tc>
          <w:tcPr>
            <w:tcW w:w="6521" w:type="dxa"/>
            <w:shd w:val="clear" w:color="auto" w:fill="auto"/>
          </w:tcPr>
          <w:p w:rsidR="00C01A94" w:rsidRPr="009072DA" w:rsidRDefault="0012395A" w:rsidP="005B1BE0">
            <w:pPr>
              <w:spacing w:before="140" w:after="14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5B1BE0">
            <w:pPr>
              <w:spacing w:before="140" w:after="140" w:line="240" w:lineRule="atLeast"/>
              <w:jc w:val="center"/>
              <w:rPr>
                <w:rFonts w:cs="Arial"/>
                <w:sz w:val="18"/>
                <w:szCs w:val="18"/>
                <w:lang w:val="bg-BG"/>
              </w:rPr>
            </w:pPr>
          </w:p>
        </w:tc>
      </w:tr>
      <w:tr w:rsidR="00C01A94" w:rsidRPr="009072DA" w:rsidTr="001964F8">
        <w:trPr>
          <w:cantSplit/>
          <w:jc w:val="center"/>
        </w:trPr>
        <w:tc>
          <w:tcPr>
            <w:tcW w:w="1342"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10.04</w:t>
            </w:r>
          </w:p>
        </w:tc>
        <w:tc>
          <w:tcPr>
            <w:tcW w:w="1458" w:type="dxa"/>
            <w:shd w:val="clear" w:color="auto" w:fill="auto"/>
          </w:tcPr>
          <w:p w:rsidR="00C01A94" w:rsidRPr="009072DA" w:rsidRDefault="00C01A94" w:rsidP="005B1BE0">
            <w:pPr>
              <w:spacing w:before="140" w:after="140" w:line="240" w:lineRule="atLeast"/>
              <w:rPr>
                <w:rFonts w:cs="Arial"/>
                <w:sz w:val="18"/>
                <w:szCs w:val="18"/>
                <w:lang w:val="bg-BG"/>
              </w:rPr>
            </w:pPr>
          </w:p>
        </w:tc>
        <w:tc>
          <w:tcPr>
            <w:tcW w:w="3296"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Защита от експлозия</w:t>
            </w:r>
          </w:p>
        </w:tc>
        <w:tc>
          <w:tcPr>
            <w:tcW w:w="6521" w:type="dxa"/>
            <w:shd w:val="clear" w:color="auto" w:fill="auto"/>
          </w:tcPr>
          <w:p w:rsidR="00C01A94" w:rsidRPr="009072DA" w:rsidRDefault="0012395A" w:rsidP="005B1BE0">
            <w:pPr>
              <w:spacing w:before="140" w:after="14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5B1BE0">
            <w:pPr>
              <w:spacing w:before="140" w:after="140" w:line="240" w:lineRule="atLeast"/>
              <w:jc w:val="center"/>
              <w:rPr>
                <w:rFonts w:cs="Arial"/>
                <w:sz w:val="18"/>
                <w:szCs w:val="18"/>
                <w:lang w:val="bg-BG"/>
              </w:rPr>
            </w:pPr>
          </w:p>
        </w:tc>
      </w:tr>
      <w:tr w:rsidR="00C01A94" w:rsidRPr="009072DA" w:rsidTr="001964F8">
        <w:trPr>
          <w:cantSplit/>
          <w:jc w:val="center"/>
        </w:trPr>
        <w:tc>
          <w:tcPr>
            <w:tcW w:w="1342"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10.05</w:t>
            </w:r>
          </w:p>
        </w:tc>
        <w:tc>
          <w:tcPr>
            <w:tcW w:w="1458"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Сечение на заземяващите проводници</w:t>
            </w:r>
          </w:p>
        </w:tc>
        <w:tc>
          <w:tcPr>
            <w:tcW w:w="6521"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5B1BE0">
            <w:pPr>
              <w:spacing w:before="140" w:after="140" w:line="240" w:lineRule="atLeast"/>
              <w:jc w:val="center"/>
              <w:rPr>
                <w:rFonts w:cs="Arial"/>
                <w:sz w:val="18"/>
                <w:szCs w:val="18"/>
                <w:lang w:val="bg-BG"/>
              </w:rPr>
            </w:pPr>
            <w:r w:rsidRPr="009072DA">
              <w:rPr>
                <w:sz w:val="18"/>
                <w:lang w:val="bg-BG"/>
              </w:rPr>
              <w:t>1.1.2015 г.</w:t>
            </w:r>
          </w:p>
        </w:tc>
      </w:tr>
      <w:tr w:rsidR="00C01A94" w:rsidRPr="009072DA" w:rsidTr="001964F8">
        <w:trPr>
          <w:cantSplit/>
          <w:jc w:val="center"/>
        </w:trPr>
        <w:tc>
          <w:tcPr>
            <w:tcW w:w="1342" w:type="dxa"/>
            <w:tcBorders>
              <w:bottom w:val="single" w:sz="4" w:space="0" w:color="auto"/>
            </w:tcBorders>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 xml:space="preserve">10.06 </w:t>
            </w:r>
          </w:p>
        </w:tc>
        <w:tc>
          <w:tcPr>
            <w:tcW w:w="1458"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Точка 1, таблица</w:t>
            </w:r>
          </w:p>
        </w:tc>
        <w:tc>
          <w:tcPr>
            <w:tcW w:w="3296"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Трифазен променлив ток</w:t>
            </w:r>
          </w:p>
        </w:tc>
        <w:tc>
          <w:tcPr>
            <w:tcW w:w="6521" w:type="dxa"/>
            <w:shd w:val="clear" w:color="auto" w:fill="auto"/>
          </w:tcPr>
          <w:p w:rsidR="00C01A94" w:rsidRPr="009072DA" w:rsidRDefault="0012395A" w:rsidP="005B1BE0">
            <w:pPr>
              <w:spacing w:before="140" w:after="14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5B1BE0">
            <w:pPr>
              <w:spacing w:before="140" w:after="140" w:line="240" w:lineRule="atLeast"/>
              <w:jc w:val="center"/>
              <w:rPr>
                <w:rFonts w:cs="Arial"/>
                <w:sz w:val="18"/>
                <w:szCs w:val="18"/>
                <w:lang w:val="bg-BG"/>
              </w:rPr>
            </w:pPr>
          </w:p>
        </w:tc>
      </w:tr>
      <w:tr w:rsidR="00C01A94" w:rsidRPr="009072DA" w:rsidTr="001964F8">
        <w:trPr>
          <w:cantSplit/>
          <w:jc w:val="center"/>
        </w:trPr>
        <w:tc>
          <w:tcPr>
            <w:tcW w:w="1342" w:type="dxa"/>
            <w:tcBorders>
              <w:bottom w:val="single" w:sz="4" w:space="0" w:color="auto"/>
            </w:tcBorders>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10.08</w:t>
            </w:r>
          </w:p>
        </w:tc>
        <w:tc>
          <w:tcPr>
            <w:tcW w:w="1458"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Точка 1</w:t>
            </w:r>
          </w:p>
        </w:tc>
        <w:tc>
          <w:tcPr>
            <w:tcW w:w="3296"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Съответствие с европейските стандарти EN 15869-1, EN 15869-3 и EN 16840</w:t>
            </w:r>
          </w:p>
        </w:tc>
        <w:tc>
          <w:tcPr>
            <w:tcW w:w="6521" w:type="dxa"/>
            <w:shd w:val="clear" w:color="auto" w:fill="auto"/>
          </w:tcPr>
          <w:p w:rsidR="00C01A94" w:rsidRPr="009072DA" w:rsidRDefault="0012395A" w:rsidP="005B1BE0">
            <w:pPr>
              <w:spacing w:before="140" w:after="14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5B1BE0">
            <w:pPr>
              <w:spacing w:before="140" w:after="140" w:line="240" w:lineRule="atLeast"/>
              <w:jc w:val="center"/>
              <w:rPr>
                <w:rFonts w:cs="Arial"/>
                <w:sz w:val="18"/>
                <w:szCs w:val="18"/>
                <w:lang w:val="bg-BG"/>
              </w:rPr>
            </w:pPr>
          </w:p>
        </w:tc>
      </w:tr>
      <w:tr w:rsidR="00C01A94" w:rsidRPr="009072DA" w:rsidTr="00E04086">
        <w:trPr>
          <w:cantSplit/>
          <w:jc w:val="center"/>
        </w:trPr>
        <w:tc>
          <w:tcPr>
            <w:tcW w:w="1342" w:type="dxa"/>
            <w:vMerge w:val="restart"/>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lastRenderedPageBreak/>
              <w:t xml:space="preserve">10.10 </w:t>
            </w:r>
          </w:p>
        </w:tc>
        <w:tc>
          <w:tcPr>
            <w:tcW w:w="1458"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Инсталиране на трансформатори</w:t>
            </w:r>
          </w:p>
        </w:tc>
        <w:tc>
          <w:tcPr>
            <w:tcW w:w="6521" w:type="dxa"/>
            <w:shd w:val="clear" w:color="auto" w:fill="auto"/>
          </w:tcPr>
          <w:p w:rsidR="00C01A94" w:rsidRPr="009072DA" w:rsidRDefault="0012395A" w:rsidP="005B1BE0">
            <w:pPr>
              <w:spacing w:before="140" w:after="14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5B1BE0">
            <w:pPr>
              <w:spacing w:before="140" w:after="140" w:line="240" w:lineRule="atLeast"/>
              <w:jc w:val="center"/>
              <w:rPr>
                <w:rFonts w:cs="Arial"/>
                <w:sz w:val="18"/>
                <w:szCs w:val="18"/>
                <w:lang w:val="bg-BG"/>
              </w:rPr>
            </w:pPr>
          </w:p>
        </w:tc>
      </w:tr>
      <w:tr w:rsidR="00C01A94" w:rsidRPr="009072DA" w:rsidTr="00E04086">
        <w:trPr>
          <w:cantSplit/>
          <w:jc w:val="center"/>
        </w:trPr>
        <w:tc>
          <w:tcPr>
            <w:tcW w:w="1342" w:type="dxa"/>
            <w:vMerge/>
            <w:shd w:val="clear" w:color="auto" w:fill="auto"/>
          </w:tcPr>
          <w:p w:rsidR="00C01A94" w:rsidRPr="009072DA" w:rsidRDefault="00C01A94" w:rsidP="005B1BE0">
            <w:pPr>
              <w:spacing w:before="140" w:after="140" w:line="240" w:lineRule="atLeast"/>
              <w:rPr>
                <w:rFonts w:cs="Arial"/>
                <w:sz w:val="18"/>
                <w:szCs w:val="18"/>
                <w:lang w:val="bg-BG"/>
              </w:rPr>
            </w:pPr>
          </w:p>
        </w:tc>
        <w:tc>
          <w:tcPr>
            <w:tcW w:w="1458"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Точка 3</w:t>
            </w:r>
          </w:p>
        </w:tc>
        <w:tc>
          <w:tcPr>
            <w:tcW w:w="3296"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Отделни първични и вторични намотки на трансформатори</w:t>
            </w:r>
          </w:p>
        </w:tc>
        <w:tc>
          <w:tcPr>
            <w:tcW w:w="6521" w:type="dxa"/>
            <w:shd w:val="clear" w:color="auto" w:fill="auto"/>
          </w:tcPr>
          <w:p w:rsidR="00C01A94" w:rsidRPr="009072DA" w:rsidRDefault="0012395A" w:rsidP="005B1BE0">
            <w:pPr>
              <w:spacing w:before="140" w:after="14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5B1BE0">
            <w:pPr>
              <w:spacing w:before="140" w:after="140" w:line="240" w:lineRule="atLeast"/>
              <w:jc w:val="center"/>
              <w:rPr>
                <w:rFonts w:cs="Arial"/>
                <w:sz w:val="18"/>
                <w:szCs w:val="18"/>
                <w:lang w:val="bg-BG"/>
              </w:rPr>
            </w:pPr>
          </w:p>
        </w:tc>
      </w:tr>
      <w:tr w:rsidR="00C01A94" w:rsidRPr="009072DA" w:rsidTr="00E04086">
        <w:trPr>
          <w:cantSplit/>
          <w:jc w:val="center"/>
        </w:trPr>
        <w:tc>
          <w:tcPr>
            <w:tcW w:w="1342" w:type="dxa"/>
            <w:vMerge/>
            <w:shd w:val="clear" w:color="auto" w:fill="auto"/>
          </w:tcPr>
          <w:p w:rsidR="00C01A94" w:rsidRPr="009072DA" w:rsidRDefault="00C01A94" w:rsidP="005B1BE0">
            <w:pPr>
              <w:spacing w:before="140" w:after="140" w:line="240" w:lineRule="atLeast"/>
              <w:rPr>
                <w:rFonts w:cs="Arial"/>
                <w:sz w:val="18"/>
                <w:szCs w:val="18"/>
                <w:lang w:val="bg-BG"/>
              </w:rPr>
            </w:pPr>
          </w:p>
        </w:tc>
        <w:tc>
          <w:tcPr>
            <w:tcW w:w="1458"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Изводи на вторичните намотки на трансформатори</w:t>
            </w:r>
          </w:p>
        </w:tc>
        <w:tc>
          <w:tcPr>
            <w:tcW w:w="6521" w:type="dxa"/>
            <w:shd w:val="clear" w:color="auto" w:fill="auto"/>
          </w:tcPr>
          <w:p w:rsidR="00C01A94" w:rsidRPr="009072DA" w:rsidRDefault="0012395A" w:rsidP="005B1BE0">
            <w:pPr>
              <w:spacing w:before="140" w:after="14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5B1BE0">
            <w:pPr>
              <w:spacing w:before="140" w:after="140" w:line="240" w:lineRule="atLeast"/>
              <w:jc w:val="center"/>
              <w:rPr>
                <w:rFonts w:cs="Arial"/>
                <w:sz w:val="18"/>
                <w:szCs w:val="18"/>
                <w:lang w:val="bg-BG"/>
              </w:rPr>
            </w:pPr>
          </w:p>
        </w:tc>
      </w:tr>
      <w:tr w:rsidR="00C01A94" w:rsidRPr="009072DA" w:rsidTr="001964F8">
        <w:trPr>
          <w:cantSplit/>
          <w:jc w:val="center"/>
        </w:trPr>
        <w:tc>
          <w:tcPr>
            <w:tcW w:w="1342" w:type="dxa"/>
            <w:vMerge/>
            <w:tcBorders>
              <w:bottom w:val="single" w:sz="4" w:space="0" w:color="auto"/>
            </w:tcBorders>
            <w:shd w:val="clear" w:color="auto" w:fill="auto"/>
          </w:tcPr>
          <w:p w:rsidR="00C01A94" w:rsidRPr="009072DA" w:rsidRDefault="00C01A94" w:rsidP="005B1BE0">
            <w:pPr>
              <w:spacing w:before="140" w:after="140" w:line="240" w:lineRule="atLeast"/>
              <w:rPr>
                <w:rFonts w:cs="Arial"/>
                <w:sz w:val="18"/>
                <w:szCs w:val="18"/>
                <w:lang w:val="bg-BG"/>
              </w:rPr>
            </w:pPr>
          </w:p>
        </w:tc>
        <w:tc>
          <w:tcPr>
            <w:tcW w:w="1458"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Точка 5</w:t>
            </w:r>
          </w:p>
        </w:tc>
        <w:tc>
          <w:tcPr>
            <w:tcW w:w="3296" w:type="dxa"/>
            <w:shd w:val="clear" w:color="auto" w:fill="auto"/>
          </w:tcPr>
          <w:p w:rsidR="00C01A94" w:rsidRPr="009072DA" w:rsidRDefault="00C01A94" w:rsidP="005B1BE0">
            <w:pPr>
              <w:spacing w:before="140" w:after="140" w:line="240" w:lineRule="atLeast"/>
              <w:rPr>
                <w:rFonts w:cs="Arial"/>
                <w:sz w:val="18"/>
                <w:szCs w:val="18"/>
                <w:lang w:val="bg-BG"/>
              </w:rPr>
            </w:pPr>
            <w:r w:rsidRPr="009072DA">
              <w:rPr>
                <w:sz w:val="18"/>
                <w:lang w:val="bg-BG"/>
              </w:rPr>
              <w:t xml:space="preserve"> Табела, указваща производителя и мощността на двигатели, генератори, трансформатори</w:t>
            </w:r>
          </w:p>
        </w:tc>
        <w:tc>
          <w:tcPr>
            <w:tcW w:w="6521" w:type="dxa"/>
            <w:shd w:val="clear" w:color="auto" w:fill="auto"/>
          </w:tcPr>
          <w:p w:rsidR="00C01A94" w:rsidRPr="009072DA" w:rsidRDefault="0012395A" w:rsidP="005B1BE0">
            <w:pPr>
              <w:spacing w:before="140" w:after="14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5B1BE0">
            <w:pPr>
              <w:spacing w:before="140" w:after="140" w:line="240" w:lineRule="atLeast"/>
              <w:jc w:val="center"/>
              <w:rPr>
                <w:rFonts w:cs="Arial"/>
                <w:sz w:val="18"/>
                <w:szCs w:val="18"/>
                <w:lang w:val="bg-BG"/>
              </w:rPr>
            </w:pPr>
          </w:p>
        </w:tc>
      </w:tr>
      <w:tr w:rsidR="00C01A94" w:rsidRPr="009072DA" w:rsidTr="00E04086">
        <w:trPr>
          <w:cantSplit/>
          <w:jc w:val="center"/>
        </w:trPr>
        <w:tc>
          <w:tcPr>
            <w:tcW w:w="1342" w:type="dxa"/>
            <w:vMerge w:val="restart"/>
            <w:shd w:val="clear" w:color="auto" w:fill="auto"/>
          </w:tcPr>
          <w:p w:rsidR="00C01A94" w:rsidRPr="009072DA" w:rsidRDefault="00C01A94" w:rsidP="0012395A">
            <w:pPr>
              <w:spacing w:before="60" w:after="60" w:line="240" w:lineRule="atLeast"/>
              <w:rPr>
                <w:rFonts w:cs="Arial"/>
                <w:sz w:val="18"/>
                <w:szCs w:val="18"/>
                <w:lang w:val="bg-BG"/>
              </w:rPr>
            </w:pPr>
            <w:r w:rsidRPr="009072DA">
              <w:rPr>
                <w:sz w:val="18"/>
                <w:lang w:val="bg-BG"/>
              </w:rPr>
              <w:t xml:space="preserve">10.11 </w:t>
            </w:r>
          </w:p>
        </w:tc>
        <w:tc>
          <w:tcPr>
            <w:tcW w:w="1458" w:type="dxa"/>
            <w:shd w:val="clear" w:color="auto" w:fill="auto"/>
          </w:tcPr>
          <w:p w:rsidR="00C01A94" w:rsidRPr="009072DA" w:rsidRDefault="00C01A94" w:rsidP="0012395A">
            <w:pPr>
              <w:spacing w:before="60" w:after="60" w:line="240" w:lineRule="atLeast"/>
              <w:rPr>
                <w:rFonts w:cs="Arial"/>
                <w:sz w:val="18"/>
                <w:szCs w:val="18"/>
                <w:lang w:val="bg-BG"/>
              </w:rPr>
            </w:pPr>
            <w:r w:rsidRPr="009072DA">
              <w:rPr>
                <w:sz w:val="18"/>
                <w:lang w:val="bg-BG"/>
              </w:rPr>
              <w:t>Точка 3</w:t>
            </w:r>
          </w:p>
        </w:tc>
        <w:tc>
          <w:tcPr>
            <w:tcW w:w="3296" w:type="dxa"/>
            <w:shd w:val="clear" w:color="auto" w:fill="auto"/>
          </w:tcPr>
          <w:p w:rsidR="00C01A94" w:rsidRPr="009072DA" w:rsidRDefault="00C01A94" w:rsidP="0012395A">
            <w:pPr>
              <w:spacing w:before="60" w:after="60" w:line="240" w:lineRule="atLeast"/>
              <w:rPr>
                <w:rFonts w:cs="Arial"/>
                <w:sz w:val="18"/>
                <w:szCs w:val="18"/>
                <w:lang w:val="bg-BG"/>
              </w:rPr>
            </w:pPr>
            <w:r w:rsidRPr="009072DA">
              <w:rPr>
                <w:sz w:val="18"/>
                <w:lang w:val="bg-BG"/>
              </w:rPr>
              <w:t>Вентилация на сервизни помещения и шкафове към откритата палуба</w:t>
            </w:r>
          </w:p>
        </w:tc>
        <w:tc>
          <w:tcPr>
            <w:tcW w:w="6521" w:type="dxa"/>
            <w:shd w:val="clear" w:color="auto" w:fill="auto"/>
          </w:tcPr>
          <w:p w:rsidR="00C01A94" w:rsidRPr="009072DA" w:rsidRDefault="0012395A" w:rsidP="0012395A">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12395A">
            <w:pPr>
              <w:spacing w:before="60" w:after="60" w:line="240" w:lineRule="atLeast"/>
              <w:jc w:val="center"/>
              <w:rPr>
                <w:rFonts w:cs="Arial"/>
                <w:sz w:val="18"/>
                <w:szCs w:val="18"/>
                <w:lang w:val="bg-BG"/>
              </w:rPr>
            </w:pPr>
          </w:p>
        </w:tc>
      </w:tr>
      <w:tr w:rsidR="00C01A94" w:rsidRPr="008D2440" w:rsidTr="00E04086">
        <w:trPr>
          <w:cantSplit/>
          <w:jc w:val="center"/>
        </w:trPr>
        <w:tc>
          <w:tcPr>
            <w:tcW w:w="1342" w:type="dxa"/>
            <w:vMerge/>
            <w:shd w:val="clear" w:color="auto" w:fill="auto"/>
          </w:tcPr>
          <w:p w:rsidR="00C01A94" w:rsidRPr="009072DA" w:rsidRDefault="00C01A94" w:rsidP="0012395A">
            <w:pPr>
              <w:spacing w:before="60" w:after="60" w:line="240" w:lineRule="atLeast"/>
              <w:rPr>
                <w:rFonts w:cs="Arial"/>
                <w:sz w:val="18"/>
                <w:szCs w:val="18"/>
                <w:lang w:val="bg-BG"/>
              </w:rPr>
            </w:pPr>
          </w:p>
        </w:tc>
        <w:tc>
          <w:tcPr>
            <w:tcW w:w="1458" w:type="dxa"/>
            <w:shd w:val="clear" w:color="auto" w:fill="auto"/>
          </w:tcPr>
          <w:p w:rsidR="00C01A94" w:rsidRPr="009072DA" w:rsidRDefault="00C01A94" w:rsidP="001610C7">
            <w:pPr>
              <w:spacing w:before="60" w:after="60" w:line="240" w:lineRule="atLeast"/>
              <w:rPr>
                <w:rFonts w:cs="Arial"/>
                <w:sz w:val="18"/>
                <w:szCs w:val="18"/>
                <w:lang w:val="bg-BG"/>
              </w:rPr>
            </w:pPr>
            <w:r w:rsidRPr="009072DA">
              <w:rPr>
                <w:sz w:val="18"/>
                <w:lang w:val="bg-BG"/>
              </w:rPr>
              <w:t>Точка 7</w:t>
            </w:r>
          </w:p>
        </w:tc>
        <w:tc>
          <w:tcPr>
            <w:tcW w:w="3296" w:type="dxa"/>
            <w:shd w:val="clear" w:color="auto" w:fill="auto"/>
          </w:tcPr>
          <w:p w:rsidR="00C01A94" w:rsidRPr="009072DA" w:rsidRDefault="00C01A94" w:rsidP="0012395A">
            <w:pPr>
              <w:spacing w:before="60" w:after="60" w:line="240" w:lineRule="atLeast"/>
              <w:rPr>
                <w:rFonts w:cs="Arial"/>
                <w:sz w:val="18"/>
                <w:szCs w:val="18"/>
                <w:lang w:val="bg-BG"/>
              </w:rPr>
            </w:pPr>
            <w:r w:rsidRPr="009072DA">
              <w:rPr>
                <w:sz w:val="18"/>
                <w:lang w:val="bg-BG"/>
              </w:rPr>
              <w:t>Вентилация на затворени помещения, шкафове или кутии, в които са монтирани акумулатори</w:t>
            </w:r>
          </w:p>
        </w:tc>
        <w:tc>
          <w:tcPr>
            <w:tcW w:w="6521" w:type="dxa"/>
            <w:shd w:val="clear" w:color="auto" w:fill="auto"/>
          </w:tcPr>
          <w:p w:rsidR="00C01A94" w:rsidRPr="009072DA" w:rsidRDefault="00C01A94" w:rsidP="0012395A">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C01A94" w:rsidRPr="009072DA" w:rsidRDefault="00C01A94" w:rsidP="0012395A">
            <w:pPr>
              <w:spacing w:before="60" w:after="60" w:line="240" w:lineRule="atLeast"/>
              <w:jc w:val="center"/>
              <w:rPr>
                <w:rFonts w:cs="Arial"/>
                <w:sz w:val="18"/>
                <w:szCs w:val="18"/>
                <w:lang w:val="bg-BG"/>
              </w:rPr>
            </w:pPr>
          </w:p>
        </w:tc>
      </w:tr>
      <w:tr w:rsidR="00C01A94" w:rsidRPr="009072DA" w:rsidTr="00E04086">
        <w:trPr>
          <w:cantSplit/>
          <w:jc w:val="center"/>
        </w:trPr>
        <w:tc>
          <w:tcPr>
            <w:tcW w:w="1342" w:type="dxa"/>
            <w:vMerge/>
            <w:shd w:val="clear" w:color="auto" w:fill="auto"/>
          </w:tcPr>
          <w:p w:rsidR="00C01A94" w:rsidRPr="009072DA" w:rsidRDefault="00C01A94" w:rsidP="0012395A">
            <w:pPr>
              <w:spacing w:before="60" w:after="60" w:line="240" w:lineRule="atLeast"/>
              <w:rPr>
                <w:rFonts w:cs="Arial"/>
                <w:sz w:val="18"/>
                <w:szCs w:val="18"/>
                <w:lang w:val="bg-BG"/>
              </w:rPr>
            </w:pPr>
          </w:p>
        </w:tc>
        <w:tc>
          <w:tcPr>
            <w:tcW w:w="1458" w:type="dxa"/>
            <w:shd w:val="clear" w:color="auto" w:fill="auto"/>
          </w:tcPr>
          <w:p w:rsidR="00C01A94" w:rsidRPr="009072DA" w:rsidRDefault="00C01A94" w:rsidP="0012395A">
            <w:pPr>
              <w:spacing w:before="60" w:after="60" w:line="240" w:lineRule="atLeast"/>
              <w:rPr>
                <w:rFonts w:cs="Arial"/>
                <w:sz w:val="18"/>
                <w:szCs w:val="18"/>
                <w:lang w:val="bg-BG"/>
              </w:rPr>
            </w:pPr>
            <w:r w:rsidRPr="009072DA">
              <w:rPr>
                <w:sz w:val="18"/>
                <w:lang w:val="bg-BG"/>
              </w:rPr>
              <w:t>Точка 12</w:t>
            </w:r>
          </w:p>
        </w:tc>
        <w:tc>
          <w:tcPr>
            <w:tcW w:w="3296" w:type="dxa"/>
            <w:shd w:val="clear" w:color="auto" w:fill="auto"/>
          </w:tcPr>
          <w:p w:rsidR="00C01A94" w:rsidRPr="009072DA" w:rsidRDefault="00C01A94" w:rsidP="0012395A">
            <w:pPr>
              <w:spacing w:before="60" w:after="60" w:line="240" w:lineRule="atLeast"/>
              <w:rPr>
                <w:rFonts w:cs="Arial"/>
                <w:sz w:val="18"/>
                <w:szCs w:val="18"/>
                <w:lang w:val="bg-BG"/>
              </w:rPr>
            </w:pPr>
            <w:r w:rsidRPr="009072DA">
              <w:rPr>
                <w:sz w:val="18"/>
                <w:lang w:val="bg-BG"/>
              </w:rPr>
              <w:t>Измерване на зарядни устройства</w:t>
            </w:r>
          </w:p>
        </w:tc>
        <w:tc>
          <w:tcPr>
            <w:tcW w:w="6521" w:type="dxa"/>
            <w:shd w:val="clear" w:color="auto" w:fill="auto"/>
          </w:tcPr>
          <w:p w:rsidR="00C01A94" w:rsidRPr="009072DA" w:rsidRDefault="0012395A" w:rsidP="0012395A">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12395A">
            <w:pPr>
              <w:spacing w:before="60" w:after="60" w:line="240" w:lineRule="atLeast"/>
              <w:jc w:val="center"/>
              <w:rPr>
                <w:rFonts w:cs="Arial"/>
                <w:sz w:val="18"/>
                <w:szCs w:val="18"/>
                <w:lang w:val="bg-BG"/>
              </w:rPr>
            </w:pPr>
          </w:p>
        </w:tc>
      </w:tr>
      <w:tr w:rsidR="00C01A94" w:rsidRPr="009072DA" w:rsidTr="00E04086">
        <w:trPr>
          <w:cantSplit/>
          <w:jc w:val="center"/>
        </w:trPr>
        <w:tc>
          <w:tcPr>
            <w:tcW w:w="1342" w:type="dxa"/>
            <w:vMerge/>
            <w:shd w:val="clear" w:color="auto" w:fill="auto"/>
          </w:tcPr>
          <w:p w:rsidR="00C01A94" w:rsidRPr="009072DA" w:rsidRDefault="00C01A94" w:rsidP="0012395A">
            <w:pPr>
              <w:spacing w:before="60" w:after="60" w:line="240" w:lineRule="atLeast"/>
              <w:rPr>
                <w:rFonts w:cs="Arial"/>
                <w:sz w:val="18"/>
                <w:szCs w:val="18"/>
                <w:lang w:val="bg-BG"/>
              </w:rPr>
            </w:pPr>
          </w:p>
        </w:tc>
        <w:tc>
          <w:tcPr>
            <w:tcW w:w="1458" w:type="dxa"/>
            <w:shd w:val="clear" w:color="auto" w:fill="auto"/>
          </w:tcPr>
          <w:p w:rsidR="00C01A94" w:rsidRPr="009072DA" w:rsidRDefault="00C01A94" w:rsidP="0012395A">
            <w:pPr>
              <w:spacing w:before="60" w:after="60" w:line="240" w:lineRule="atLeast"/>
              <w:rPr>
                <w:rFonts w:cs="Arial"/>
                <w:sz w:val="18"/>
                <w:szCs w:val="18"/>
                <w:lang w:val="bg-BG"/>
              </w:rPr>
            </w:pPr>
            <w:r w:rsidRPr="009072DA">
              <w:rPr>
                <w:sz w:val="18"/>
                <w:lang w:val="bg-BG"/>
              </w:rPr>
              <w:t>Точка 13</w:t>
            </w:r>
          </w:p>
        </w:tc>
        <w:tc>
          <w:tcPr>
            <w:tcW w:w="3296" w:type="dxa"/>
            <w:shd w:val="clear" w:color="auto" w:fill="auto"/>
          </w:tcPr>
          <w:p w:rsidR="00C01A94" w:rsidRPr="009072DA" w:rsidRDefault="00C01A94" w:rsidP="0012395A">
            <w:pPr>
              <w:spacing w:before="60" w:after="60" w:line="240" w:lineRule="atLeast"/>
              <w:rPr>
                <w:rFonts w:cs="Arial"/>
                <w:sz w:val="18"/>
                <w:szCs w:val="18"/>
                <w:lang w:val="bg-BG"/>
              </w:rPr>
            </w:pPr>
            <w:r w:rsidRPr="009072DA">
              <w:rPr>
                <w:sz w:val="18"/>
                <w:lang w:val="bg-BG"/>
              </w:rPr>
              <w:t>Автоматични зарядни устройства</w:t>
            </w:r>
          </w:p>
        </w:tc>
        <w:tc>
          <w:tcPr>
            <w:tcW w:w="6521" w:type="dxa"/>
            <w:shd w:val="clear" w:color="auto" w:fill="auto"/>
          </w:tcPr>
          <w:p w:rsidR="00C01A94" w:rsidRPr="009072DA" w:rsidRDefault="0012395A" w:rsidP="0012395A">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12395A">
            <w:pPr>
              <w:spacing w:before="60" w:after="60" w:line="240" w:lineRule="atLeast"/>
              <w:jc w:val="center"/>
              <w:rPr>
                <w:rFonts w:cs="Arial"/>
                <w:sz w:val="18"/>
                <w:szCs w:val="18"/>
                <w:lang w:val="bg-BG"/>
              </w:rPr>
            </w:pPr>
          </w:p>
        </w:tc>
      </w:tr>
      <w:tr w:rsidR="00C01A94" w:rsidRPr="009072DA" w:rsidTr="00E04086">
        <w:trPr>
          <w:cantSplit/>
          <w:jc w:val="center"/>
        </w:trPr>
        <w:tc>
          <w:tcPr>
            <w:tcW w:w="1342" w:type="dxa"/>
            <w:vMerge/>
            <w:shd w:val="clear" w:color="auto" w:fill="auto"/>
          </w:tcPr>
          <w:p w:rsidR="00C01A94" w:rsidRPr="009072DA" w:rsidRDefault="00C01A94" w:rsidP="0012395A">
            <w:pPr>
              <w:spacing w:before="60" w:after="60" w:line="240" w:lineRule="atLeast"/>
              <w:rPr>
                <w:rFonts w:cs="Arial"/>
                <w:sz w:val="18"/>
                <w:szCs w:val="18"/>
                <w:lang w:val="bg-BG"/>
              </w:rPr>
            </w:pPr>
          </w:p>
        </w:tc>
        <w:tc>
          <w:tcPr>
            <w:tcW w:w="1458" w:type="dxa"/>
            <w:shd w:val="clear" w:color="auto" w:fill="auto"/>
          </w:tcPr>
          <w:p w:rsidR="00C01A94" w:rsidRPr="009072DA" w:rsidRDefault="00C01A94" w:rsidP="0012395A">
            <w:pPr>
              <w:spacing w:before="60" w:after="60" w:line="240" w:lineRule="atLeast"/>
              <w:rPr>
                <w:rFonts w:cs="Arial"/>
                <w:sz w:val="18"/>
                <w:szCs w:val="18"/>
                <w:lang w:val="bg-BG"/>
              </w:rPr>
            </w:pPr>
            <w:r w:rsidRPr="009072DA">
              <w:rPr>
                <w:sz w:val="18"/>
                <w:lang w:val="bg-BG"/>
              </w:rPr>
              <w:t>Точка 14</w:t>
            </w:r>
          </w:p>
        </w:tc>
        <w:tc>
          <w:tcPr>
            <w:tcW w:w="3296" w:type="dxa"/>
            <w:shd w:val="clear" w:color="auto" w:fill="auto"/>
          </w:tcPr>
          <w:p w:rsidR="00C01A94" w:rsidRPr="009072DA" w:rsidRDefault="00C01A94" w:rsidP="0012395A">
            <w:pPr>
              <w:spacing w:before="60" w:after="60" w:line="240" w:lineRule="atLeast"/>
              <w:rPr>
                <w:rFonts w:cs="Arial"/>
                <w:sz w:val="18"/>
                <w:szCs w:val="18"/>
                <w:lang w:val="bg-BG"/>
              </w:rPr>
            </w:pPr>
            <w:r w:rsidRPr="009072DA">
              <w:rPr>
                <w:sz w:val="18"/>
                <w:lang w:val="bg-BG"/>
              </w:rPr>
              <w:t>Максимално напрежение на зареждане</w:t>
            </w:r>
          </w:p>
        </w:tc>
        <w:tc>
          <w:tcPr>
            <w:tcW w:w="6521" w:type="dxa"/>
            <w:shd w:val="clear" w:color="auto" w:fill="auto"/>
          </w:tcPr>
          <w:p w:rsidR="00C01A94" w:rsidRPr="009072DA" w:rsidRDefault="0012395A" w:rsidP="0012395A">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12395A">
            <w:pPr>
              <w:spacing w:before="60" w:after="60" w:line="240" w:lineRule="atLeast"/>
              <w:jc w:val="center"/>
              <w:rPr>
                <w:rFonts w:cs="Arial"/>
                <w:sz w:val="18"/>
                <w:szCs w:val="18"/>
                <w:lang w:val="bg-BG"/>
              </w:rPr>
            </w:pPr>
          </w:p>
        </w:tc>
      </w:tr>
      <w:tr w:rsidR="00C01A94" w:rsidRPr="009072DA" w:rsidTr="00E04086">
        <w:trPr>
          <w:cantSplit/>
          <w:jc w:val="center"/>
        </w:trPr>
        <w:tc>
          <w:tcPr>
            <w:tcW w:w="1342" w:type="dxa"/>
            <w:vMerge/>
            <w:shd w:val="clear" w:color="auto" w:fill="auto"/>
          </w:tcPr>
          <w:p w:rsidR="00C01A94" w:rsidRPr="009072DA" w:rsidRDefault="00C01A94" w:rsidP="0012395A">
            <w:pPr>
              <w:spacing w:before="60" w:after="60" w:line="240" w:lineRule="atLeast"/>
              <w:rPr>
                <w:rFonts w:cs="Arial"/>
                <w:sz w:val="18"/>
                <w:szCs w:val="18"/>
                <w:lang w:val="bg-BG"/>
              </w:rPr>
            </w:pPr>
          </w:p>
        </w:tc>
        <w:tc>
          <w:tcPr>
            <w:tcW w:w="1458" w:type="dxa"/>
            <w:shd w:val="clear" w:color="auto" w:fill="auto"/>
          </w:tcPr>
          <w:p w:rsidR="00C01A94" w:rsidRPr="009072DA" w:rsidRDefault="00C01A94" w:rsidP="0012395A">
            <w:pPr>
              <w:spacing w:before="60" w:after="60" w:line="240" w:lineRule="atLeast"/>
              <w:rPr>
                <w:rFonts w:cs="Arial"/>
                <w:sz w:val="18"/>
                <w:szCs w:val="18"/>
                <w:lang w:val="bg-BG"/>
              </w:rPr>
            </w:pPr>
            <w:r w:rsidRPr="009072DA">
              <w:rPr>
                <w:sz w:val="18"/>
                <w:lang w:val="bg-BG"/>
              </w:rPr>
              <w:t>Точка 15</w:t>
            </w:r>
          </w:p>
        </w:tc>
        <w:tc>
          <w:tcPr>
            <w:tcW w:w="3296" w:type="dxa"/>
            <w:shd w:val="clear" w:color="auto" w:fill="auto"/>
          </w:tcPr>
          <w:p w:rsidR="00C01A94" w:rsidRPr="009072DA" w:rsidRDefault="00C01A94" w:rsidP="0012395A">
            <w:pPr>
              <w:spacing w:before="60" w:after="60" w:line="240" w:lineRule="atLeast"/>
              <w:rPr>
                <w:rFonts w:cs="Arial"/>
                <w:sz w:val="18"/>
                <w:szCs w:val="18"/>
                <w:lang w:val="bg-BG"/>
              </w:rPr>
            </w:pPr>
            <w:r w:rsidRPr="009072DA">
              <w:rPr>
                <w:sz w:val="18"/>
                <w:lang w:val="bg-BG"/>
              </w:rPr>
              <w:t>Стандарти EN 62619 и EN 62620 за литиево-йонни акумулатори</w:t>
            </w:r>
          </w:p>
        </w:tc>
        <w:tc>
          <w:tcPr>
            <w:tcW w:w="6521" w:type="dxa"/>
            <w:shd w:val="clear" w:color="auto" w:fill="auto"/>
          </w:tcPr>
          <w:p w:rsidR="00C01A94" w:rsidRPr="009072DA" w:rsidRDefault="0012395A" w:rsidP="0012395A">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12395A">
            <w:pPr>
              <w:spacing w:before="60" w:after="60" w:line="240" w:lineRule="atLeast"/>
              <w:jc w:val="center"/>
              <w:rPr>
                <w:rFonts w:cs="Arial"/>
                <w:sz w:val="18"/>
                <w:szCs w:val="18"/>
                <w:lang w:val="bg-BG"/>
              </w:rPr>
            </w:pPr>
          </w:p>
        </w:tc>
      </w:tr>
      <w:tr w:rsidR="00C01A94" w:rsidRPr="009072DA" w:rsidTr="00E04086">
        <w:trPr>
          <w:cantSplit/>
          <w:jc w:val="center"/>
        </w:trPr>
        <w:tc>
          <w:tcPr>
            <w:tcW w:w="1342" w:type="dxa"/>
            <w:vMerge/>
            <w:tcBorders>
              <w:bottom w:val="single" w:sz="4" w:space="0" w:color="auto"/>
            </w:tcBorders>
            <w:shd w:val="clear" w:color="auto" w:fill="auto"/>
            <w:vAlign w:val="center"/>
          </w:tcPr>
          <w:p w:rsidR="00C01A94" w:rsidRPr="009072DA" w:rsidRDefault="00C01A94" w:rsidP="00FD6754">
            <w:pPr>
              <w:spacing w:before="160" w:after="160" w:line="240" w:lineRule="atLeast"/>
              <w:rPr>
                <w:rFonts w:cs="Arial"/>
                <w:sz w:val="18"/>
                <w:szCs w:val="18"/>
                <w:lang w:val="bg-BG"/>
              </w:rPr>
            </w:pPr>
          </w:p>
        </w:tc>
        <w:tc>
          <w:tcPr>
            <w:tcW w:w="1458" w:type="dxa"/>
            <w:shd w:val="clear" w:color="auto" w:fill="auto"/>
            <w:vAlign w:val="center"/>
          </w:tcPr>
          <w:p w:rsidR="00C01A94" w:rsidRPr="009072DA" w:rsidRDefault="00C01A94" w:rsidP="00FD6754">
            <w:pPr>
              <w:spacing w:before="160" w:after="160" w:line="240" w:lineRule="atLeast"/>
              <w:rPr>
                <w:rFonts w:cs="Arial"/>
                <w:sz w:val="18"/>
                <w:szCs w:val="18"/>
                <w:lang w:val="bg-BG"/>
              </w:rPr>
            </w:pPr>
            <w:r w:rsidRPr="009072DA">
              <w:rPr>
                <w:sz w:val="18"/>
                <w:lang w:val="bg-BG"/>
              </w:rPr>
              <w:t>Точка 16</w:t>
            </w:r>
          </w:p>
        </w:tc>
        <w:tc>
          <w:tcPr>
            <w:tcW w:w="3296"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Система за управление на акумулатор</w:t>
            </w:r>
          </w:p>
        </w:tc>
        <w:tc>
          <w:tcPr>
            <w:tcW w:w="6521" w:type="dxa"/>
            <w:shd w:val="clear" w:color="auto" w:fill="auto"/>
          </w:tcPr>
          <w:p w:rsidR="00C01A94" w:rsidRPr="009072DA" w:rsidRDefault="0012395A" w:rsidP="00FD6754">
            <w:pPr>
              <w:spacing w:before="160" w:after="1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FD6754">
            <w:pPr>
              <w:spacing w:before="160" w:after="160" w:line="240" w:lineRule="atLeast"/>
              <w:jc w:val="center"/>
              <w:rPr>
                <w:rFonts w:cs="Arial"/>
                <w:sz w:val="18"/>
                <w:szCs w:val="18"/>
                <w:lang w:val="bg-BG"/>
              </w:rPr>
            </w:pPr>
          </w:p>
        </w:tc>
      </w:tr>
      <w:tr w:rsidR="00C01A94" w:rsidRPr="009072DA" w:rsidTr="00E04086">
        <w:trPr>
          <w:cantSplit/>
          <w:jc w:val="center"/>
        </w:trPr>
        <w:tc>
          <w:tcPr>
            <w:tcW w:w="1342" w:type="dxa"/>
            <w:vMerge w:val="restart"/>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10.12</w:t>
            </w:r>
          </w:p>
        </w:tc>
        <w:tc>
          <w:tcPr>
            <w:tcW w:w="1458"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Точка 2, буква г)</w:t>
            </w:r>
          </w:p>
        </w:tc>
        <w:tc>
          <w:tcPr>
            <w:tcW w:w="3296"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Пряко захранване на потребителско оборудване за системи за задвижване и маневриране на плавателния съд</w:t>
            </w:r>
          </w:p>
        </w:tc>
        <w:tc>
          <w:tcPr>
            <w:tcW w:w="6521"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FD6754">
            <w:pPr>
              <w:spacing w:before="160" w:after="160" w:line="240" w:lineRule="atLeast"/>
              <w:jc w:val="center"/>
              <w:rPr>
                <w:rFonts w:cs="Arial"/>
                <w:sz w:val="18"/>
                <w:szCs w:val="18"/>
                <w:lang w:val="bg-BG"/>
              </w:rPr>
            </w:pPr>
            <w:r w:rsidRPr="009072DA">
              <w:rPr>
                <w:sz w:val="18"/>
                <w:lang w:val="bg-BG"/>
              </w:rPr>
              <w:t>1.1.2015 г.</w:t>
            </w:r>
          </w:p>
        </w:tc>
      </w:tr>
      <w:tr w:rsidR="00C01A94" w:rsidRPr="009072DA" w:rsidTr="00E04086">
        <w:trPr>
          <w:cantSplit/>
          <w:jc w:val="center"/>
        </w:trPr>
        <w:tc>
          <w:tcPr>
            <w:tcW w:w="1342" w:type="dxa"/>
            <w:vMerge/>
            <w:shd w:val="clear" w:color="auto" w:fill="auto"/>
          </w:tcPr>
          <w:p w:rsidR="00C01A94" w:rsidRPr="009072DA" w:rsidRDefault="00C01A94" w:rsidP="00FD6754">
            <w:pPr>
              <w:spacing w:before="160" w:after="160" w:line="240" w:lineRule="atLeast"/>
              <w:rPr>
                <w:rFonts w:cs="Arial"/>
                <w:sz w:val="18"/>
                <w:szCs w:val="18"/>
                <w:lang w:val="bg-BG"/>
              </w:rPr>
            </w:pPr>
          </w:p>
        </w:tc>
        <w:tc>
          <w:tcPr>
            <w:tcW w:w="1458"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Точка 3, буква б)</w:t>
            </w:r>
          </w:p>
        </w:tc>
        <w:tc>
          <w:tcPr>
            <w:tcW w:w="3296"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Устройство за следене на изолацията</w:t>
            </w:r>
          </w:p>
        </w:tc>
        <w:tc>
          <w:tcPr>
            <w:tcW w:w="6521"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FD6754">
            <w:pPr>
              <w:spacing w:before="160" w:after="160" w:line="240" w:lineRule="atLeast"/>
              <w:jc w:val="center"/>
              <w:rPr>
                <w:rFonts w:cs="Arial"/>
                <w:sz w:val="18"/>
                <w:szCs w:val="18"/>
                <w:lang w:val="bg-BG"/>
              </w:rPr>
            </w:pPr>
            <w:r w:rsidRPr="009072DA">
              <w:rPr>
                <w:sz w:val="18"/>
                <w:lang w:val="bg-BG"/>
              </w:rPr>
              <w:t>1.1.2010 г.</w:t>
            </w:r>
          </w:p>
        </w:tc>
      </w:tr>
      <w:tr w:rsidR="00C01A94" w:rsidRPr="009072DA" w:rsidTr="00EB50AB">
        <w:trPr>
          <w:cantSplit/>
          <w:jc w:val="center"/>
        </w:trPr>
        <w:tc>
          <w:tcPr>
            <w:tcW w:w="1342" w:type="dxa"/>
            <w:tcBorders>
              <w:bottom w:val="single" w:sz="4" w:space="0" w:color="auto"/>
            </w:tcBorders>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10.13</w:t>
            </w:r>
          </w:p>
        </w:tc>
        <w:tc>
          <w:tcPr>
            <w:tcW w:w="1458" w:type="dxa"/>
            <w:shd w:val="clear" w:color="auto" w:fill="auto"/>
          </w:tcPr>
          <w:p w:rsidR="00C01A94" w:rsidRPr="009072DA" w:rsidRDefault="00C01A94" w:rsidP="00FD6754">
            <w:pPr>
              <w:spacing w:before="160" w:after="160" w:line="240" w:lineRule="atLeast"/>
              <w:rPr>
                <w:rFonts w:cs="Arial"/>
                <w:sz w:val="18"/>
                <w:szCs w:val="18"/>
                <w:lang w:val="bg-BG"/>
              </w:rPr>
            </w:pPr>
          </w:p>
        </w:tc>
        <w:tc>
          <w:tcPr>
            <w:tcW w:w="3296" w:type="dxa"/>
            <w:shd w:val="clear" w:color="auto" w:fill="auto"/>
          </w:tcPr>
          <w:p w:rsidR="00C01A94" w:rsidRPr="009072DA" w:rsidRDefault="00F87682" w:rsidP="00FD6754">
            <w:pPr>
              <w:spacing w:before="160" w:after="160" w:line="240" w:lineRule="atLeast"/>
              <w:rPr>
                <w:rFonts w:cs="Arial"/>
                <w:sz w:val="18"/>
                <w:szCs w:val="18"/>
                <w:lang w:val="bg-BG"/>
              </w:rPr>
            </w:pPr>
            <w:r w:rsidRPr="009072DA">
              <w:rPr>
                <w:sz w:val="18"/>
                <w:lang w:val="bg-BG"/>
              </w:rPr>
              <w:t>Аварийни прекъсвачи</w:t>
            </w:r>
          </w:p>
        </w:tc>
        <w:tc>
          <w:tcPr>
            <w:tcW w:w="6521"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FD6754">
            <w:pPr>
              <w:spacing w:before="160" w:after="160" w:line="240" w:lineRule="atLeast"/>
              <w:jc w:val="center"/>
              <w:rPr>
                <w:rFonts w:cs="Arial"/>
                <w:sz w:val="18"/>
                <w:szCs w:val="18"/>
                <w:lang w:val="bg-BG"/>
              </w:rPr>
            </w:pPr>
            <w:r w:rsidRPr="009072DA">
              <w:rPr>
                <w:sz w:val="18"/>
                <w:lang w:val="bg-BG"/>
              </w:rPr>
              <w:t>1.1.2010 г.</w:t>
            </w:r>
          </w:p>
        </w:tc>
      </w:tr>
      <w:tr w:rsidR="00C01A94" w:rsidRPr="009072DA" w:rsidTr="00EB50AB">
        <w:trPr>
          <w:cantSplit/>
          <w:jc w:val="center"/>
        </w:trPr>
        <w:tc>
          <w:tcPr>
            <w:tcW w:w="1342" w:type="dxa"/>
            <w:tcBorders>
              <w:bottom w:val="nil"/>
            </w:tcBorders>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 xml:space="preserve">10.14 </w:t>
            </w:r>
          </w:p>
        </w:tc>
        <w:tc>
          <w:tcPr>
            <w:tcW w:w="1458"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Точка 3, второ изречение</w:t>
            </w:r>
          </w:p>
        </w:tc>
        <w:tc>
          <w:tcPr>
            <w:tcW w:w="3296"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Забрана на еднополюсни прекъсвачи в санитарните помещения, бани и други мокри помещения</w:t>
            </w:r>
          </w:p>
        </w:tc>
        <w:tc>
          <w:tcPr>
            <w:tcW w:w="6521"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FD6754">
            <w:pPr>
              <w:spacing w:before="160" w:after="160" w:line="240" w:lineRule="atLeast"/>
              <w:jc w:val="center"/>
              <w:rPr>
                <w:rFonts w:cs="Arial"/>
                <w:sz w:val="18"/>
                <w:szCs w:val="18"/>
                <w:lang w:val="bg-BG"/>
              </w:rPr>
            </w:pPr>
            <w:r w:rsidRPr="009072DA">
              <w:rPr>
                <w:sz w:val="18"/>
                <w:lang w:val="bg-BG"/>
              </w:rPr>
              <w:t>1.1.2010 г.</w:t>
            </w:r>
          </w:p>
        </w:tc>
      </w:tr>
      <w:tr w:rsidR="00C01A94" w:rsidRPr="008D2440" w:rsidTr="00E04086">
        <w:trPr>
          <w:cantSplit/>
          <w:jc w:val="center"/>
        </w:trPr>
        <w:tc>
          <w:tcPr>
            <w:tcW w:w="1342" w:type="dxa"/>
            <w:vMerge w:val="restart"/>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 xml:space="preserve">10.15 </w:t>
            </w:r>
          </w:p>
        </w:tc>
        <w:tc>
          <w:tcPr>
            <w:tcW w:w="1458"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Минимално напречно сечение от 1,5 mm</w:t>
            </w:r>
            <w:r w:rsidRPr="009072DA">
              <w:rPr>
                <w:sz w:val="18"/>
                <w:vertAlign w:val="superscript"/>
                <w:lang w:val="bg-BG"/>
              </w:rPr>
              <w:t>2</w:t>
            </w:r>
            <w:r w:rsidRPr="009072DA">
              <w:rPr>
                <w:sz w:val="18"/>
                <w:lang w:val="bg-BG"/>
              </w:rPr>
              <w:t xml:space="preserve"> на проводник</w:t>
            </w:r>
          </w:p>
        </w:tc>
        <w:tc>
          <w:tcPr>
            <w:tcW w:w="6521"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C01A94" w:rsidRPr="009072DA" w:rsidRDefault="00C01A94" w:rsidP="00FD6754">
            <w:pPr>
              <w:spacing w:before="160" w:after="160" w:line="240" w:lineRule="atLeast"/>
              <w:jc w:val="center"/>
              <w:rPr>
                <w:rFonts w:cs="Arial"/>
                <w:sz w:val="18"/>
                <w:szCs w:val="18"/>
                <w:lang w:val="bg-BG"/>
              </w:rPr>
            </w:pPr>
          </w:p>
        </w:tc>
      </w:tr>
      <w:tr w:rsidR="00C01A94" w:rsidRPr="008D2440" w:rsidTr="00E04086">
        <w:trPr>
          <w:cantSplit/>
          <w:jc w:val="center"/>
        </w:trPr>
        <w:tc>
          <w:tcPr>
            <w:tcW w:w="1342" w:type="dxa"/>
            <w:vMerge/>
            <w:shd w:val="clear" w:color="auto" w:fill="auto"/>
          </w:tcPr>
          <w:p w:rsidR="00C01A94" w:rsidRPr="009072DA" w:rsidRDefault="00C01A94" w:rsidP="00FD6754">
            <w:pPr>
              <w:spacing w:before="160" w:after="160" w:line="240" w:lineRule="atLeast"/>
              <w:rPr>
                <w:rFonts w:cs="Arial"/>
                <w:sz w:val="18"/>
                <w:szCs w:val="18"/>
                <w:lang w:val="bg-BG"/>
              </w:rPr>
            </w:pPr>
          </w:p>
        </w:tc>
        <w:tc>
          <w:tcPr>
            <w:tcW w:w="1458"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Точка 10</w:t>
            </w:r>
          </w:p>
        </w:tc>
        <w:tc>
          <w:tcPr>
            <w:tcW w:w="3296"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Кабели, свързани с издигащи се рулеви рубки</w:t>
            </w:r>
          </w:p>
        </w:tc>
        <w:tc>
          <w:tcPr>
            <w:tcW w:w="6521"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w:t>
            </w:r>
          </w:p>
        </w:tc>
        <w:tc>
          <w:tcPr>
            <w:tcW w:w="1276" w:type="dxa"/>
            <w:shd w:val="clear" w:color="auto" w:fill="auto"/>
          </w:tcPr>
          <w:p w:rsidR="00C01A94" w:rsidRPr="009072DA" w:rsidRDefault="00C01A94" w:rsidP="00FD6754">
            <w:pPr>
              <w:spacing w:before="160" w:after="160" w:line="240" w:lineRule="atLeast"/>
              <w:jc w:val="center"/>
              <w:rPr>
                <w:rFonts w:cs="Arial"/>
                <w:sz w:val="18"/>
                <w:szCs w:val="18"/>
                <w:lang w:val="bg-BG"/>
              </w:rPr>
            </w:pPr>
          </w:p>
        </w:tc>
      </w:tr>
      <w:tr w:rsidR="00C01A94" w:rsidRPr="009072DA" w:rsidTr="00E04086">
        <w:trPr>
          <w:cantSplit/>
          <w:jc w:val="center"/>
        </w:trPr>
        <w:tc>
          <w:tcPr>
            <w:tcW w:w="1342" w:type="dxa"/>
            <w:vMerge/>
            <w:shd w:val="clear" w:color="auto" w:fill="auto"/>
          </w:tcPr>
          <w:p w:rsidR="00C01A94" w:rsidRPr="009072DA" w:rsidRDefault="00C01A94" w:rsidP="00FD6754">
            <w:pPr>
              <w:spacing w:before="160" w:after="160" w:line="240" w:lineRule="atLeast"/>
              <w:rPr>
                <w:rFonts w:cs="Arial"/>
                <w:sz w:val="18"/>
                <w:szCs w:val="18"/>
                <w:lang w:val="bg-BG"/>
              </w:rPr>
            </w:pPr>
          </w:p>
        </w:tc>
        <w:tc>
          <w:tcPr>
            <w:tcW w:w="1458"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Точка 11</w:t>
            </w:r>
          </w:p>
        </w:tc>
        <w:tc>
          <w:tcPr>
            <w:tcW w:w="3296"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Oтвори за кабелния сноп</w:t>
            </w:r>
          </w:p>
        </w:tc>
        <w:tc>
          <w:tcPr>
            <w:tcW w:w="6521" w:type="dxa"/>
            <w:shd w:val="clear" w:color="auto" w:fill="auto"/>
          </w:tcPr>
          <w:p w:rsidR="00C01A94" w:rsidRPr="009072DA" w:rsidRDefault="0012395A" w:rsidP="00FD6754">
            <w:pPr>
              <w:spacing w:before="160" w:after="1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FD6754">
            <w:pPr>
              <w:spacing w:before="160" w:after="160" w:line="240" w:lineRule="atLeast"/>
              <w:jc w:val="center"/>
              <w:rPr>
                <w:rFonts w:cs="Arial"/>
                <w:sz w:val="18"/>
                <w:szCs w:val="18"/>
                <w:lang w:val="bg-BG"/>
              </w:rPr>
            </w:pPr>
          </w:p>
        </w:tc>
      </w:tr>
      <w:tr w:rsidR="00C01A94" w:rsidRPr="009072DA" w:rsidTr="00E04086">
        <w:trPr>
          <w:cantSplit/>
          <w:jc w:val="center"/>
        </w:trPr>
        <w:tc>
          <w:tcPr>
            <w:tcW w:w="1342" w:type="dxa"/>
            <w:vMerge/>
            <w:shd w:val="clear" w:color="auto" w:fill="auto"/>
          </w:tcPr>
          <w:p w:rsidR="00C01A94" w:rsidRPr="009072DA" w:rsidRDefault="00C01A94" w:rsidP="00FD6754">
            <w:pPr>
              <w:spacing w:before="160" w:after="160" w:line="240" w:lineRule="atLeast"/>
              <w:rPr>
                <w:rFonts w:cs="Arial"/>
                <w:sz w:val="18"/>
                <w:szCs w:val="18"/>
                <w:lang w:val="bg-BG"/>
              </w:rPr>
            </w:pPr>
          </w:p>
        </w:tc>
        <w:tc>
          <w:tcPr>
            <w:tcW w:w="1458"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Точка 12</w:t>
            </w:r>
          </w:p>
        </w:tc>
        <w:tc>
          <w:tcPr>
            <w:tcW w:w="3296"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Кабели от авариен източник на електроенергия до потребителско оборудване</w:t>
            </w:r>
          </w:p>
        </w:tc>
        <w:tc>
          <w:tcPr>
            <w:tcW w:w="6521" w:type="dxa"/>
            <w:shd w:val="clear" w:color="auto" w:fill="auto"/>
          </w:tcPr>
          <w:p w:rsidR="00C01A94" w:rsidRPr="009072DA" w:rsidRDefault="0012395A" w:rsidP="00FD6754">
            <w:pPr>
              <w:spacing w:before="160" w:after="1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FD6754">
            <w:pPr>
              <w:spacing w:before="160" w:after="160" w:line="240" w:lineRule="atLeast"/>
              <w:jc w:val="center"/>
              <w:rPr>
                <w:rFonts w:cs="Arial"/>
                <w:sz w:val="18"/>
                <w:szCs w:val="18"/>
                <w:lang w:val="bg-BG"/>
              </w:rPr>
            </w:pPr>
          </w:p>
        </w:tc>
      </w:tr>
      <w:tr w:rsidR="00C01A94" w:rsidRPr="009072DA" w:rsidTr="00E04086">
        <w:trPr>
          <w:cantSplit/>
          <w:jc w:val="center"/>
        </w:trPr>
        <w:tc>
          <w:tcPr>
            <w:tcW w:w="1342" w:type="dxa"/>
            <w:vMerge/>
            <w:shd w:val="clear" w:color="auto" w:fill="auto"/>
          </w:tcPr>
          <w:p w:rsidR="00C01A94" w:rsidRPr="009072DA" w:rsidRDefault="00C01A94" w:rsidP="00FD6754">
            <w:pPr>
              <w:spacing w:before="160" w:after="160" w:line="240" w:lineRule="atLeast"/>
              <w:rPr>
                <w:rFonts w:cs="Arial"/>
                <w:sz w:val="18"/>
                <w:szCs w:val="18"/>
                <w:lang w:val="bg-BG"/>
              </w:rPr>
            </w:pPr>
          </w:p>
        </w:tc>
        <w:tc>
          <w:tcPr>
            <w:tcW w:w="1458"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Точка 13</w:t>
            </w:r>
          </w:p>
        </w:tc>
        <w:tc>
          <w:tcPr>
            <w:tcW w:w="3296"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Кабел в области с високи температури на околната среда</w:t>
            </w:r>
          </w:p>
        </w:tc>
        <w:tc>
          <w:tcPr>
            <w:tcW w:w="6521" w:type="dxa"/>
            <w:shd w:val="clear" w:color="auto" w:fill="auto"/>
          </w:tcPr>
          <w:p w:rsidR="00C01A94" w:rsidRPr="009072DA" w:rsidRDefault="0012395A" w:rsidP="00FD6754">
            <w:pPr>
              <w:spacing w:before="160" w:after="1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FD6754">
            <w:pPr>
              <w:spacing w:before="160" w:after="160" w:line="240" w:lineRule="atLeast"/>
              <w:jc w:val="center"/>
              <w:rPr>
                <w:rFonts w:cs="Arial"/>
                <w:sz w:val="18"/>
                <w:szCs w:val="18"/>
                <w:lang w:val="bg-BG"/>
              </w:rPr>
            </w:pPr>
          </w:p>
        </w:tc>
      </w:tr>
      <w:tr w:rsidR="00C01A94" w:rsidRPr="009072DA" w:rsidTr="00E04086">
        <w:trPr>
          <w:cantSplit/>
          <w:jc w:val="center"/>
        </w:trPr>
        <w:tc>
          <w:tcPr>
            <w:tcW w:w="1342" w:type="dxa"/>
            <w:vMerge/>
            <w:shd w:val="clear" w:color="auto" w:fill="auto"/>
          </w:tcPr>
          <w:p w:rsidR="00C01A94" w:rsidRPr="009072DA" w:rsidRDefault="00C01A94" w:rsidP="00FD6754">
            <w:pPr>
              <w:spacing w:before="160" w:after="160" w:line="240" w:lineRule="atLeast"/>
              <w:rPr>
                <w:rFonts w:cs="Arial"/>
                <w:sz w:val="18"/>
                <w:szCs w:val="18"/>
                <w:lang w:val="bg-BG"/>
              </w:rPr>
            </w:pPr>
          </w:p>
        </w:tc>
        <w:tc>
          <w:tcPr>
            <w:tcW w:w="1458"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Точка 14</w:t>
            </w:r>
          </w:p>
        </w:tc>
        <w:tc>
          <w:tcPr>
            <w:tcW w:w="3296" w:type="dxa"/>
            <w:shd w:val="clear" w:color="auto" w:fill="auto"/>
          </w:tcPr>
          <w:p w:rsidR="00C01A94" w:rsidRPr="009072DA" w:rsidRDefault="00C01A94" w:rsidP="00FD6754">
            <w:pPr>
              <w:spacing w:before="160" w:after="160" w:line="240" w:lineRule="atLeast"/>
              <w:rPr>
                <w:rFonts w:cs="Arial"/>
                <w:sz w:val="18"/>
                <w:szCs w:val="18"/>
                <w:lang w:val="bg-BG"/>
              </w:rPr>
            </w:pPr>
            <w:r w:rsidRPr="009072DA">
              <w:rPr>
                <w:sz w:val="18"/>
                <w:lang w:val="bg-BG"/>
              </w:rPr>
              <w:t>Монтаж на основни и аварийни захранващи кабели</w:t>
            </w:r>
          </w:p>
        </w:tc>
        <w:tc>
          <w:tcPr>
            <w:tcW w:w="6521" w:type="dxa"/>
            <w:shd w:val="clear" w:color="auto" w:fill="auto"/>
          </w:tcPr>
          <w:p w:rsidR="00C01A94" w:rsidRPr="009072DA" w:rsidRDefault="0012395A" w:rsidP="00FD6754">
            <w:pPr>
              <w:spacing w:before="160" w:after="16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FD6754">
            <w:pPr>
              <w:spacing w:before="160" w:after="160" w:line="240" w:lineRule="atLeast"/>
              <w:jc w:val="center"/>
              <w:rPr>
                <w:rFonts w:cs="Arial"/>
                <w:sz w:val="18"/>
                <w:szCs w:val="18"/>
                <w:lang w:val="bg-BG"/>
              </w:rPr>
            </w:pPr>
          </w:p>
        </w:tc>
      </w:tr>
      <w:tr w:rsidR="00C01A94" w:rsidRPr="009072DA" w:rsidTr="001964F8">
        <w:trPr>
          <w:cantSplit/>
          <w:jc w:val="center"/>
        </w:trPr>
        <w:tc>
          <w:tcPr>
            <w:tcW w:w="1342"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 xml:space="preserve">10.16 </w:t>
            </w:r>
          </w:p>
        </w:tc>
        <w:tc>
          <w:tcPr>
            <w:tcW w:w="1458"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Точка 3, второ изречение</w:t>
            </w:r>
          </w:p>
        </w:tc>
        <w:tc>
          <w:tcPr>
            <w:tcW w:w="3296"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Втора верига</w:t>
            </w:r>
          </w:p>
        </w:tc>
        <w:tc>
          <w:tcPr>
            <w:tcW w:w="6521"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A8005B">
            <w:pPr>
              <w:spacing w:before="100" w:after="80" w:line="240" w:lineRule="atLeast"/>
              <w:jc w:val="center"/>
              <w:rPr>
                <w:rFonts w:cs="Arial"/>
                <w:sz w:val="18"/>
                <w:szCs w:val="18"/>
                <w:lang w:val="bg-BG"/>
              </w:rPr>
            </w:pPr>
            <w:r w:rsidRPr="009072DA">
              <w:rPr>
                <w:sz w:val="18"/>
                <w:lang w:val="bg-BG"/>
              </w:rPr>
              <w:t>1.1.2015 г.</w:t>
            </w:r>
          </w:p>
        </w:tc>
      </w:tr>
      <w:tr w:rsidR="00C01A94" w:rsidRPr="009072DA" w:rsidTr="001964F8">
        <w:trPr>
          <w:cantSplit/>
          <w:jc w:val="center"/>
        </w:trPr>
        <w:tc>
          <w:tcPr>
            <w:tcW w:w="1342" w:type="dxa"/>
            <w:vMerge w:val="restart"/>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lastRenderedPageBreak/>
              <w:t xml:space="preserve">10.18 </w:t>
            </w:r>
          </w:p>
        </w:tc>
        <w:tc>
          <w:tcPr>
            <w:tcW w:w="1458"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Точка 1</w:t>
            </w:r>
          </w:p>
        </w:tc>
        <w:tc>
          <w:tcPr>
            <w:tcW w:w="3296"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Устройство за изключване от електрическата мрежа</w:t>
            </w:r>
          </w:p>
        </w:tc>
        <w:tc>
          <w:tcPr>
            <w:tcW w:w="6521" w:type="dxa"/>
            <w:shd w:val="clear" w:color="auto" w:fill="auto"/>
          </w:tcPr>
          <w:p w:rsidR="00C01A94" w:rsidRPr="009072DA" w:rsidRDefault="0012395A" w:rsidP="00A8005B">
            <w:pPr>
              <w:spacing w:before="10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5B1BE0">
            <w:pPr>
              <w:spacing w:before="100" w:after="80" w:line="240" w:lineRule="atLeast"/>
              <w:jc w:val="center"/>
              <w:rPr>
                <w:rFonts w:cs="Arial"/>
                <w:sz w:val="18"/>
                <w:szCs w:val="18"/>
                <w:lang w:val="bg-BG"/>
              </w:rPr>
            </w:pPr>
          </w:p>
        </w:tc>
      </w:tr>
      <w:tr w:rsidR="00C01A94" w:rsidRPr="009072DA" w:rsidTr="001964F8">
        <w:trPr>
          <w:cantSplit/>
          <w:jc w:val="center"/>
        </w:trPr>
        <w:tc>
          <w:tcPr>
            <w:tcW w:w="1342" w:type="dxa"/>
            <w:vMerge/>
            <w:shd w:val="clear" w:color="auto" w:fill="auto"/>
          </w:tcPr>
          <w:p w:rsidR="00C01A94" w:rsidRPr="009072DA" w:rsidRDefault="00C01A94" w:rsidP="00A8005B">
            <w:pPr>
              <w:spacing w:before="100" w:after="80" w:line="240" w:lineRule="atLeast"/>
              <w:rPr>
                <w:rFonts w:cs="Arial"/>
                <w:sz w:val="18"/>
                <w:szCs w:val="18"/>
                <w:lang w:val="bg-BG"/>
              </w:rPr>
            </w:pPr>
          </w:p>
        </w:tc>
        <w:tc>
          <w:tcPr>
            <w:tcW w:w="1458"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Достъпност</w:t>
            </w:r>
          </w:p>
        </w:tc>
        <w:tc>
          <w:tcPr>
            <w:tcW w:w="6521" w:type="dxa"/>
            <w:shd w:val="clear" w:color="auto" w:fill="auto"/>
          </w:tcPr>
          <w:p w:rsidR="00C01A94" w:rsidRPr="009072DA" w:rsidRDefault="0012395A" w:rsidP="00A8005B">
            <w:pPr>
              <w:spacing w:before="10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5B1BE0">
            <w:pPr>
              <w:spacing w:before="100" w:after="80" w:line="240" w:lineRule="atLeast"/>
              <w:jc w:val="center"/>
              <w:rPr>
                <w:rFonts w:cs="Arial"/>
                <w:sz w:val="18"/>
                <w:szCs w:val="18"/>
                <w:lang w:val="bg-BG"/>
              </w:rPr>
            </w:pPr>
          </w:p>
        </w:tc>
      </w:tr>
      <w:tr w:rsidR="00C01A94" w:rsidRPr="009072DA" w:rsidTr="001964F8">
        <w:trPr>
          <w:cantSplit/>
          <w:jc w:val="center"/>
        </w:trPr>
        <w:tc>
          <w:tcPr>
            <w:tcW w:w="1342" w:type="dxa"/>
            <w:vMerge/>
            <w:shd w:val="clear" w:color="auto" w:fill="auto"/>
          </w:tcPr>
          <w:p w:rsidR="00C01A94" w:rsidRPr="009072DA" w:rsidRDefault="00C01A94" w:rsidP="00A8005B">
            <w:pPr>
              <w:spacing w:before="100" w:after="80" w:line="240" w:lineRule="atLeast"/>
              <w:rPr>
                <w:rFonts w:cs="Arial"/>
                <w:sz w:val="18"/>
                <w:szCs w:val="18"/>
                <w:lang w:val="bg-BG"/>
              </w:rPr>
            </w:pPr>
          </w:p>
        </w:tc>
        <w:tc>
          <w:tcPr>
            <w:tcW w:w="1458"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Точка 3</w:t>
            </w:r>
          </w:p>
        </w:tc>
        <w:tc>
          <w:tcPr>
            <w:tcW w:w="3296"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Галванично разделяне на управляващи и силови вериги</w:t>
            </w:r>
          </w:p>
        </w:tc>
        <w:tc>
          <w:tcPr>
            <w:tcW w:w="6521" w:type="dxa"/>
            <w:shd w:val="clear" w:color="auto" w:fill="auto"/>
          </w:tcPr>
          <w:p w:rsidR="00C01A94" w:rsidRPr="009072DA" w:rsidRDefault="0012395A" w:rsidP="00A8005B">
            <w:pPr>
              <w:spacing w:before="10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5B1BE0">
            <w:pPr>
              <w:spacing w:before="100" w:after="80" w:line="240" w:lineRule="atLeast"/>
              <w:jc w:val="center"/>
              <w:rPr>
                <w:rFonts w:cs="Arial"/>
                <w:sz w:val="18"/>
                <w:szCs w:val="18"/>
                <w:lang w:val="bg-BG"/>
              </w:rPr>
            </w:pPr>
          </w:p>
        </w:tc>
      </w:tr>
      <w:tr w:rsidR="00C01A94" w:rsidRPr="009072DA" w:rsidTr="001964F8">
        <w:trPr>
          <w:cantSplit/>
          <w:jc w:val="center"/>
        </w:trPr>
        <w:tc>
          <w:tcPr>
            <w:tcW w:w="1342" w:type="dxa"/>
            <w:vMerge/>
            <w:shd w:val="clear" w:color="auto" w:fill="auto"/>
          </w:tcPr>
          <w:p w:rsidR="00C01A94" w:rsidRPr="009072DA" w:rsidRDefault="00C01A94" w:rsidP="00A8005B">
            <w:pPr>
              <w:spacing w:before="100" w:after="80" w:line="240" w:lineRule="atLeast"/>
              <w:rPr>
                <w:rFonts w:cs="Arial"/>
                <w:sz w:val="18"/>
                <w:szCs w:val="18"/>
                <w:lang w:val="bg-BG"/>
              </w:rPr>
            </w:pPr>
          </w:p>
        </w:tc>
        <w:tc>
          <w:tcPr>
            <w:tcW w:w="1458"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Работа при колебания в напрежението и честотата</w:t>
            </w:r>
          </w:p>
        </w:tc>
        <w:tc>
          <w:tcPr>
            <w:tcW w:w="6521" w:type="dxa"/>
            <w:shd w:val="clear" w:color="auto" w:fill="auto"/>
          </w:tcPr>
          <w:p w:rsidR="00C01A94" w:rsidRPr="009072DA" w:rsidRDefault="0012395A" w:rsidP="00A8005B">
            <w:pPr>
              <w:spacing w:before="10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5B1BE0">
            <w:pPr>
              <w:spacing w:before="100" w:after="80" w:line="240" w:lineRule="atLeast"/>
              <w:jc w:val="center"/>
              <w:rPr>
                <w:rFonts w:cs="Arial"/>
                <w:sz w:val="18"/>
                <w:szCs w:val="18"/>
                <w:lang w:val="bg-BG"/>
              </w:rPr>
            </w:pPr>
          </w:p>
        </w:tc>
      </w:tr>
      <w:tr w:rsidR="00C01A94" w:rsidRPr="009072DA" w:rsidTr="001964F8">
        <w:trPr>
          <w:cantSplit/>
          <w:jc w:val="center"/>
        </w:trPr>
        <w:tc>
          <w:tcPr>
            <w:tcW w:w="1342" w:type="dxa"/>
            <w:vMerge/>
            <w:shd w:val="clear" w:color="auto" w:fill="auto"/>
          </w:tcPr>
          <w:p w:rsidR="00C01A94" w:rsidRPr="009072DA" w:rsidRDefault="00C01A94" w:rsidP="00A8005B">
            <w:pPr>
              <w:spacing w:before="100" w:after="80" w:line="240" w:lineRule="atLeast"/>
              <w:rPr>
                <w:rFonts w:cs="Arial"/>
                <w:sz w:val="18"/>
                <w:szCs w:val="18"/>
                <w:lang w:val="bg-BG"/>
              </w:rPr>
            </w:pPr>
          </w:p>
        </w:tc>
        <w:tc>
          <w:tcPr>
            <w:tcW w:w="1458"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Точка 5</w:t>
            </w:r>
          </w:p>
        </w:tc>
        <w:tc>
          <w:tcPr>
            <w:tcW w:w="3296"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Време за разреждане при изключване от електрическата мрежа</w:t>
            </w:r>
          </w:p>
        </w:tc>
        <w:tc>
          <w:tcPr>
            <w:tcW w:w="6521" w:type="dxa"/>
            <w:shd w:val="clear" w:color="auto" w:fill="auto"/>
          </w:tcPr>
          <w:p w:rsidR="00C01A94" w:rsidRPr="009072DA" w:rsidRDefault="0012395A" w:rsidP="00A8005B">
            <w:pPr>
              <w:spacing w:before="10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A8005B">
            <w:pPr>
              <w:spacing w:before="100" w:after="80" w:line="240" w:lineRule="atLeast"/>
              <w:jc w:val="center"/>
              <w:rPr>
                <w:rFonts w:cs="Arial"/>
                <w:sz w:val="18"/>
                <w:szCs w:val="18"/>
                <w:lang w:val="bg-BG"/>
              </w:rPr>
            </w:pPr>
          </w:p>
        </w:tc>
      </w:tr>
      <w:tr w:rsidR="00C01A94" w:rsidRPr="009072DA" w:rsidTr="001964F8">
        <w:trPr>
          <w:cantSplit/>
          <w:jc w:val="center"/>
        </w:trPr>
        <w:tc>
          <w:tcPr>
            <w:tcW w:w="1342" w:type="dxa"/>
            <w:vMerge/>
            <w:shd w:val="clear" w:color="auto" w:fill="auto"/>
          </w:tcPr>
          <w:p w:rsidR="00C01A94" w:rsidRPr="009072DA" w:rsidRDefault="00C01A94" w:rsidP="00A8005B">
            <w:pPr>
              <w:spacing w:before="100" w:after="80" w:line="240" w:lineRule="atLeast"/>
              <w:rPr>
                <w:rFonts w:cs="Arial"/>
                <w:sz w:val="18"/>
                <w:szCs w:val="18"/>
                <w:lang w:val="bg-BG"/>
              </w:rPr>
            </w:pPr>
          </w:p>
        </w:tc>
        <w:tc>
          <w:tcPr>
            <w:tcW w:w="1458"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Точка 6</w:t>
            </w:r>
          </w:p>
        </w:tc>
        <w:tc>
          <w:tcPr>
            <w:tcW w:w="3296"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Реакция при отказ на сигналите за външен контрол</w:t>
            </w:r>
          </w:p>
        </w:tc>
        <w:tc>
          <w:tcPr>
            <w:tcW w:w="6521" w:type="dxa"/>
            <w:shd w:val="clear" w:color="auto" w:fill="auto"/>
          </w:tcPr>
          <w:p w:rsidR="00C01A94" w:rsidRPr="009072DA" w:rsidRDefault="0012395A" w:rsidP="00A8005B">
            <w:pPr>
              <w:spacing w:before="10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5B1BE0">
            <w:pPr>
              <w:spacing w:before="100" w:after="80" w:line="240" w:lineRule="atLeast"/>
              <w:jc w:val="center"/>
              <w:rPr>
                <w:rFonts w:cs="Arial"/>
                <w:sz w:val="18"/>
                <w:szCs w:val="18"/>
                <w:lang w:val="bg-BG"/>
              </w:rPr>
            </w:pPr>
          </w:p>
        </w:tc>
      </w:tr>
      <w:tr w:rsidR="00C01A94" w:rsidRPr="009072DA" w:rsidTr="001964F8">
        <w:trPr>
          <w:cantSplit/>
          <w:jc w:val="center"/>
        </w:trPr>
        <w:tc>
          <w:tcPr>
            <w:tcW w:w="1342" w:type="dxa"/>
            <w:vMerge/>
            <w:shd w:val="clear" w:color="auto" w:fill="auto"/>
          </w:tcPr>
          <w:p w:rsidR="00C01A94" w:rsidRPr="009072DA" w:rsidRDefault="00C01A94" w:rsidP="00A8005B">
            <w:pPr>
              <w:spacing w:before="100" w:after="80" w:line="240" w:lineRule="atLeast"/>
              <w:rPr>
                <w:rFonts w:cs="Arial"/>
                <w:sz w:val="18"/>
                <w:szCs w:val="18"/>
                <w:lang w:val="bg-BG"/>
              </w:rPr>
            </w:pPr>
          </w:p>
        </w:tc>
        <w:tc>
          <w:tcPr>
            <w:tcW w:w="1458"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Точка 7</w:t>
            </w:r>
          </w:p>
        </w:tc>
        <w:tc>
          <w:tcPr>
            <w:tcW w:w="3296"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Реакция при отказ на контролни напрежения</w:t>
            </w:r>
          </w:p>
        </w:tc>
        <w:tc>
          <w:tcPr>
            <w:tcW w:w="6521" w:type="dxa"/>
            <w:shd w:val="clear" w:color="auto" w:fill="auto"/>
          </w:tcPr>
          <w:p w:rsidR="00C01A94" w:rsidRPr="009072DA" w:rsidRDefault="0012395A" w:rsidP="00A8005B">
            <w:pPr>
              <w:spacing w:before="10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5B1BE0">
            <w:pPr>
              <w:spacing w:before="100" w:after="80" w:line="240" w:lineRule="atLeast"/>
              <w:jc w:val="center"/>
              <w:rPr>
                <w:rFonts w:cs="Arial"/>
                <w:sz w:val="18"/>
                <w:szCs w:val="18"/>
                <w:lang w:val="bg-BG"/>
              </w:rPr>
            </w:pPr>
          </w:p>
        </w:tc>
      </w:tr>
      <w:tr w:rsidR="00C01A94" w:rsidRPr="009072DA" w:rsidTr="001964F8">
        <w:trPr>
          <w:cantSplit/>
          <w:jc w:val="center"/>
        </w:trPr>
        <w:tc>
          <w:tcPr>
            <w:tcW w:w="1342" w:type="dxa"/>
            <w:vMerge/>
            <w:shd w:val="clear" w:color="auto" w:fill="auto"/>
          </w:tcPr>
          <w:p w:rsidR="00C01A94" w:rsidRPr="009072DA" w:rsidRDefault="00C01A94" w:rsidP="00A8005B">
            <w:pPr>
              <w:spacing w:before="100" w:after="80" w:line="240" w:lineRule="atLeast"/>
              <w:rPr>
                <w:rFonts w:cs="Arial"/>
                <w:sz w:val="18"/>
                <w:szCs w:val="18"/>
                <w:lang w:val="bg-BG"/>
              </w:rPr>
            </w:pPr>
          </w:p>
        </w:tc>
        <w:tc>
          <w:tcPr>
            <w:tcW w:w="1458"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Точка 8</w:t>
            </w:r>
          </w:p>
        </w:tc>
        <w:tc>
          <w:tcPr>
            <w:tcW w:w="3296"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Откриване на грешки и предотвратяване на неоткрити грешки</w:t>
            </w:r>
          </w:p>
        </w:tc>
        <w:tc>
          <w:tcPr>
            <w:tcW w:w="6521" w:type="dxa"/>
            <w:shd w:val="clear" w:color="auto" w:fill="auto"/>
          </w:tcPr>
          <w:p w:rsidR="00C01A94" w:rsidRPr="009072DA" w:rsidRDefault="0012395A" w:rsidP="00A8005B">
            <w:pPr>
              <w:spacing w:before="10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5B1BE0">
            <w:pPr>
              <w:spacing w:before="100" w:after="80" w:line="240" w:lineRule="atLeast"/>
              <w:jc w:val="center"/>
              <w:rPr>
                <w:rFonts w:cs="Arial"/>
                <w:sz w:val="18"/>
                <w:szCs w:val="18"/>
                <w:lang w:val="bg-BG"/>
              </w:rPr>
            </w:pPr>
          </w:p>
        </w:tc>
      </w:tr>
      <w:tr w:rsidR="00C01A94" w:rsidRPr="009072DA" w:rsidTr="001964F8">
        <w:trPr>
          <w:cantSplit/>
          <w:jc w:val="center"/>
        </w:trPr>
        <w:tc>
          <w:tcPr>
            <w:tcW w:w="1342" w:type="dxa"/>
            <w:vMerge/>
            <w:shd w:val="clear" w:color="auto" w:fill="auto"/>
          </w:tcPr>
          <w:p w:rsidR="00C01A94" w:rsidRPr="009072DA" w:rsidRDefault="00C01A94" w:rsidP="00A8005B">
            <w:pPr>
              <w:spacing w:before="100" w:after="80" w:line="240" w:lineRule="atLeast"/>
              <w:rPr>
                <w:rFonts w:cs="Arial"/>
                <w:sz w:val="18"/>
                <w:szCs w:val="18"/>
                <w:lang w:val="bg-BG"/>
              </w:rPr>
            </w:pPr>
          </w:p>
        </w:tc>
        <w:tc>
          <w:tcPr>
            <w:tcW w:w="1458"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Точка 9</w:t>
            </w:r>
          </w:p>
        </w:tc>
        <w:tc>
          <w:tcPr>
            <w:tcW w:w="3296" w:type="dxa"/>
            <w:shd w:val="clear" w:color="auto" w:fill="auto"/>
          </w:tcPr>
          <w:p w:rsidR="00C01A94" w:rsidRPr="009072DA" w:rsidRDefault="00C01A94" w:rsidP="00A8005B">
            <w:pPr>
              <w:spacing w:before="100" w:after="80" w:line="240" w:lineRule="atLeast"/>
              <w:rPr>
                <w:rFonts w:cs="Arial"/>
                <w:sz w:val="18"/>
                <w:szCs w:val="18"/>
                <w:lang w:val="bg-BG"/>
              </w:rPr>
            </w:pPr>
            <w:r w:rsidRPr="009072DA">
              <w:rPr>
                <w:sz w:val="18"/>
                <w:lang w:val="bg-BG"/>
              </w:rPr>
              <w:t>Следене</w:t>
            </w:r>
          </w:p>
        </w:tc>
        <w:tc>
          <w:tcPr>
            <w:tcW w:w="6521" w:type="dxa"/>
            <w:shd w:val="clear" w:color="auto" w:fill="auto"/>
          </w:tcPr>
          <w:p w:rsidR="00C01A94" w:rsidRPr="009072DA" w:rsidRDefault="0012395A" w:rsidP="00A8005B">
            <w:pPr>
              <w:spacing w:before="100" w:after="8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A8005B">
            <w:pPr>
              <w:spacing w:before="100" w:after="80" w:line="240" w:lineRule="atLeast"/>
              <w:jc w:val="center"/>
              <w:rPr>
                <w:rFonts w:cs="Arial"/>
                <w:sz w:val="18"/>
                <w:szCs w:val="18"/>
                <w:lang w:val="bg-BG"/>
              </w:rPr>
            </w:pPr>
          </w:p>
        </w:tc>
      </w:tr>
      <w:tr w:rsidR="00C01A94" w:rsidRPr="009072DA" w:rsidTr="001964F8">
        <w:trPr>
          <w:cantSplit/>
          <w:jc w:val="center"/>
        </w:trPr>
        <w:tc>
          <w:tcPr>
            <w:tcW w:w="1342" w:type="dxa"/>
            <w:vMerge/>
            <w:shd w:val="clear" w:color="auto" w:fill="auto"/>
          </w:tcPr>
          <w:p w:rsidR="00C01A94" w:rsidRPr="009072DA" w:rsidRDefault="00C01A94" w:rsidP="005B1BE0">
            <w:pPr>
              <w:spacing w:before="140" w:after="120" w:line="240" w:lineRule="atLeast"/>
              <w:rPr>
                <w:rFonts w:cs="Arial"/>
                <w:sz w:val="18"/>
                <w:szCs w:val="18"/>
                <w:lang w:val="bg-BG"/>
              </w:rPr>
            </w:pPr>
          </w:p>
        </w:tc>
        <w:tc>
          <w:tcPr>
            <w:tcW w:w="1458" w:type="dxa"/>
            <w:shd w:val="clear" w:color="auto" w:fill="auto"/>
          </w:tcPr>
          <w:p w:rsidR="00C01A94" w:rsidRPr="009072DA" w:rsidRDefault="00C01A94" w:rsidP="005B1BE0">
            <w:pPr>
              <w:spacing w:before="140" w:after="120" w:line="240" w:lineRule="atLeast"/>
              <w:rPr>
                <w:rFonts w:cs="Arial"/>
                <w:sz w:val="18"/>
                <w:szCs w:val="18"/>
                <w:lang w:val="bg-BG"/>
              </w:rPr>
            </w:pPr>
            <w:r w:rsidRPr="009072DA">
              <w:rPr>
                <w:sz w:val="18"/>
                <w:lang w:val="bg-BG"/>
              </w:rPr>
              <w:t>Точка 10</w:t>
            </w:r>
          </w:p>
        </w:tc>
        <w:tc>
          <w:tcPr>
            <w:tcW w:w="3296" w:type="dxa"/>
            <w:shd w:val="clear" w:color="auto" w:fill="auto"/>
          </w:tcPr>
          <w:p w:rsidR="00C01A94" w:rsidRPr="009072DA" w:rsidRDefault="00C01A94" w:rsidP="005B1BE0">
            <w:pPr>
              <w:spacing w:before="140" w:after="120" w:line="240" w:lineRule="atLeast"/>
              <w:rPr>
                <w:rFonts w:cs="Arial"/>
                <w:sz w:val="18"/>
                <w:szCs w:val="18"/>
                <w:lang w:val="bg-BG"/>
              </w:rPr>
            </w:pPr>
            <w:r w:rsidRPr="009072DA">
              <w:rPr>
                <w:sz w:val="18"/>
                <w:lang w:val="bg-BG"/>
              </w:rPr>
              <w:t>Проверка на типа</w:t>
            </w:r>
          </w:p>
        </w:tc>
        <w:tc>
          <w:tcPr>
            <w:tcW w:w="6521" w:type="dxa"/>
            <w:shd w:val="clear" w:color="auto" w:fill="auto"/>
          </w:tcPr>
          <w:p w:rsidR="00C01A94" w:rsidRPr="009072DA" w:rsidRDefault="0012395A" w:rsidP="005B1BE0">
            <w:pPr>
              <w:spacing w:before="140" w:after="120" w:line="240" w:lineRule="atLeast"/>
              <w:rPr>
                <w:rFonts w:cs="Arial"/>
                <w:sz w:val="18"/>
                <w:szCs w:val="18"/>
                <w:lang w:val="bg-BG"/>
              </w:rPr>
            </w:pPr>
            <w:r w:rsidRPr="009072DA">
              <w:rPr>
                <w:sz w:val="18"/>
                <w:lang w:val="bg-BG"/>
              </w:rPr>
              <w:t>НЗР</w:t>
            </w:r>
          </w:p>
        </w:tc>
        <w:tc>
          <w:tcPr>
            <w:tcW w:w="1276" w:type="dxa"/>
            <w:shd w:val="clear" w:color="auto" w:fill="auto"/>
          </w:tcPr>
          <w:p w:rsidR="00C01A94" w:rsidRPr="009072DA" w:rsidRDefault="00C01A94" w:rsidP="005B1BE0">
            <w:pPr>
              <w:spacing w:before="140" w:after="120" w:line="240" w:lineRule="atLeast"/>
              <w:jc w:val="center"/>
              <w:rPr>
                <w:rFonts w:cs="Arial"/>
                <w:sz w:val="18"/>
                <w:szCs w:val="18"/>
                <w:lang w:val="bg-BG"/>
              </w:rPr>
            </w:pPr>
          </w:p>
        </w:tc>
      </w:tr>
      <w:tr w:rsidR="00C01A94" w:rsidRPr="009072DA" w:rsidTr="001964F8">
        <w:trPr>
          <w:cantSplit/>
          <w:jc w:val="center"/>
        </w:trPr>
        <w:tc>
          <w:tcPr>
            <w:tcW w:w="1342"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10.19</w:t>
            </w:r>
          </w:p>
        </w:tc>
        <w:tc>
          <w:tcPr>
            <w:tcW w:w="1458" w:type="dxa"/>
            <w:shd w:val="clear" w:color="auto" w:fill="auto"/>
          </w:tcPr>
          <w:p w:rsidR="00C01A94" w:rsidRPr="009072DA" w:rsidRDefault="00C01A94" w:rsidP="00A8005B">
            <w:pPr>
              <w:spacing w:before="100" w:after="100" w:line="240" w:lineRule="atLeast"/>
              <w:rPr>
                <w:rFonts w:cs="Arial"/>
                <w:sz w:val="18"/>
                <w:szCs w:val="18"/>
                <w:lang w:val="bg-BG"/>
              </w:rPr>
            </w:pPr>
          </w:p>
        </w:tc>
        <w:tc>
          <w:tcPr>
            <w:tcW w:w="3296"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 xml:space="preserve">Алармени системи и системи за безопасност за механични инсталации </w:t>
            </w:r>
          </w:p>
        </w:tc>
        <w:tc>
          <w:tcPr>
            <w:tcW w:w="6521"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A8005B">
            <w:pPr>
              <w:spacing w:before="100" w:after="100" w:line="240" w:lineRule="atLeast"/>
              <w:jc w:val="center"/>
              <w:rPr>
                <w:rFonts w:cs="Arial"/>
                <w:sz w:val="18"/>
                <w:szCs w:val="18"/>
                <w:lang w:val="bg-BG"/>
              </w:rPr>
            </w:pPr>
            <w:r w:rsidRPr="009072DA">
              <w:rPr>
                <w:sz w:val="18"/>
                <w:lang w:val="bg-BG"/>
              </w:rPr>
              <w:t>1.1.2015 г.</w:t>
            </w:r>
          </w:p>
        </w:tc>
      </w:tr>
      <w:tr w:rsidR="00C01A94" w:rsidRPr="009072DA" w:rsidTr="001964F8">
        <w:trPr>
          <w:cantSplit/>
          <w:jc w:val="center"/>
        </w:trPr>
        <w:tc>
          <w:tcPr>
            <w:tcW w:w="1342"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10.20</w:t>
            </w:r>
          </w:p>
        </w:tc>
        <w:tc>
          <w:tcPr>
            <w:tcW w:w="1458" w:type="dxa"/>
            <w:shd w:val="clear" w:color="auto" w:fill="auto"/>
          </w:tcPr>
          <w:p w:rsidR="00C01A94" w:rsidRPr="009072DA" w:rsidRDefault="00C01A94" w:rsidP="00A8005B">
            <w:pPr>
              <w:spacing w:before="100" w:after="100" w:line="240" w:lineRule="atLeast"/>
              <w:rPr>
                <w:rFonts w:cs="Arial"/>
                <w:sz w:val="18"/>
                <w:szCs w:val="18"/>
                <w:lang w:val="bg-BG"/>
              </w:rPr>
            </w:pPr>
          </w:p>
        </w:tc>
        <w:tc>
          <w:tcPr>
            <w:tcW w:w="3296"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Условия за изпитване на електронни съоръжения</w:t>
            </w:r>
          </w:p>
        </w:tc>
        <w:tc>
          <w:tcPr>
            <w:tcW w:w="6521"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 xml:space="preserve">НЗР, най-късно при подновяване на удостоверението на плавателния съд за плаване по вътрешни водни пътища след </w:t>
            </w:r>
          </w:p>
        </w:tc>
        <w:tc>
          <w:tcPr>
            <w:tcW w:w="1276" w:type="dxa"/>
            <w:shd w:val="clear" w:color="auto" w:fill="auto"/>
          </w:tcPr>
          <w:p w:rsidR="00C01A94" w:rsidRPr="009072DA" w:rsidRDefault="00C01A94" w:rsidP="00A8005B">
            <w:pPr>
              <w:spacing w:before="100" w:after="100" w:line="240" w:lineRule="atLeast"/>
              <w:jc w:val="center"/>
              <w:rPr>
                <w:rFonts w:cs="Arial"/>
                <w:sz w:val="18"/>
                <w:szCs w:val="18"/>
                <w:lang w:val="bg-BG"/>
              </w:rPr>
            </w:pPr>
            <w:r w:rsidRPr="009072DA">
              <w:rPr>
                <w:sz w:val="18"/>
                <w:lang w:val="bg-BG"/>
              </w:rPr>
              <w:t>1.1.2035 г.</w:t>
            </w:r>
          </w:p>
        </w:tc>
      </w:tr>
      <w:tr w:rsidR="00C01A94" w:rsidRPr="009072DA" w:rsidTr="001964F8">
        <w:trPr>
          <w:cantSplit/>
          <w:jc w:val="center"/>
        </w:trPr>
        <w:tc>
          <w:tcPr>
            <w:tcW w:w="1342"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10.21</w:t>
            </w:r>
          </w:p>
        </w:tc>
        <w:tc>
          <w:tcPr>
            <w:tcW w:w="1458" w:type="dxa"/>
            <w:shd w:val="clear" w:color="auto" w:fill="auto"/>
          </w:tcPr>
          <w:p w:rsidR="00C01A94" w:rsidRPr="009072DA" w:rsidRDefault="00C01A94" w:rsidP="00A8005B">
            <w:pPr>
              <w:spacing w:before="100" w:after="100" w:line="240" w:lineRule="atLeast"/>
              <w:rPr>
                <w:rFonts w:cs="Arial"/>
                <w:sz w:val="18"/>
                <w:szCs w:val="18"/>
                <w:lang w:val="bg-BG"/>
              </w:rPr>
            </w:pPr>
          </w:p>
        </w:tc>
        <w:tc>
          <w:tcPr>
            <w:tcW w:w="3296"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Електромагнитна съвместимост</w:t>
            </w:r>
          </w:p>
        </w:tc>
        <w:tc>
          <w:tcPr>
            <w:tcW w:w="6521"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A8005B">
            <w:pPr>
              <w:spacing w:before="100" w:after="100" w:line="240" w:lineRule="atLeast"/>
              <w:jc w:val="center"/>
              <w:rPr>
                <w:rFonts w:cs="Arial"/>
                <w:sz w:val="18"/>
                <w:szCs w:val="18"/>
                <w:lang w:val="bg-BG"/>
              </w:rPr>
            </w:pPr>
            <w:r w:rsidRPr="009072DA">
              <w:rPr>
                <w:sz w:val="18"/>
                <w:lang w:val="bg-BG"/>
              </w:rPr>
              <w:t>1.1.2035 г.</w:t>
            </w:r>
          </w:p>
        </w:tc>
      </w:tr>
      <w:tr w:rsidR="00C01A94" w:rsidRPr="009072DA" w:rsidTr="001964F8">
        <w:trPr>
          <w:cantSplit/>
          <w:jc w:val="center"/>
        </w:trPr>
        <w:tc>
          <w:tcPr>
            <w:tcW w:w="6096" w:type="dxa"/>
            <w:gridSpan w:val="3"/>
            <w:shd w:val="clear" w:color="auto" w:fill="auto"/>
          </w:tcPr>
          <w:p w:rsidR="00C01A94" w:rsidRPr="009072DA" w:rsidRDefault="00C01A94" w:rsidP="00A8005B">
            <w:pPr>
              <w:spacing w:before="100" w:after="100" w:line="240" w:lineRule="atLeast"/>
              <w:jc w:val="center"/>
              <w:rPr>
                <w:rFonts w:cs="Arial"/>
                <w:sz w:val="18"/>
                <w:szCs w:val="18"/>
                <w:lang w:val="bg-BG"/>
              </w:rPr>
            </w:pPr>
            <w:r w:rsidRPr="009072DA">
              <w:rPr>
                <w:b/>
                <w:sz w:val="18"/>
                <w:lang w:val="bg-BG"/>
              </w:rPr>
              <w:t>ГЛАВА 13</w:t>
            </w:r>
          </w:p>
        </w:tc>
        <w:tc>
          <w:tcPr>
            <w:tcW w:w="6521" w:type="dxa"/>
            <w:shd w:val="clear" w:color="auto" w:fill="auto"/>
          </w:tcPr>
          <w:p w:rsidR="00C01A94" w:rsidRPr="009072DA" w:rsidRDefault="00C01A94" w:rsidP="00A8005B">
            <w:pPr>
              <w:spacing w:before="100" w:after="100" w:line="240" w:lineRule="atLeast"/>
              <w:rPr>
                <w:rFonts w:cs="Arial"/>
                <w:sz w:val="18"/>
                <w:szCs w:val="18"/>
                <w:lang w:val="bg-BG"/>
              </w:rPr>
            </w:pPr>
          </w:p>
        </w:tc>
        <w:tc>
          <w:tcPr>
            <w:tcW w:w="1276" w:type="dxa"/>
            <w:shd w:val="clear" w:color="auto" w:fill="auto"/>
          </w:tcPr>
          <w:p w:rsidR="00C01A94" w:rsidRPr="009072DA" w:rsidRDefault="00C01A94" w:rsidP="00A8005B">
            <w:pPr>
              <w:spacing w:before="100" w:after="100" w:line="240" w:lineRule="atLeast"/>
              <w:rPr>
                <w:rFonts w:cs="Arial"/>
                <w:sz w:val="18"/>
                <w:szCs w:val="18"/>
                <w:lang w:val="bg-BG"/>
              </w:rPr>
            </w:pPr>
          </w:p>
        </w:tc>
      </w:tr>
      <w:tr w:rsidR="00C01A94" w:rsidRPr="009072DA" w:rsidTr="001964F8">
        <w:trPr>
          <w:cantSplit/>
          <w:jc w:val="center"/>
        </w:trPr>
        <w:tc>
          <w:tcPr>
            <w:tcW w:w="1342" w:type="dxa"/>
            <w:tcBorders>
              <w:bottom w:val="single" w:sz="4" w:space="0" w:color="auto"/>
            </w:tcBorders>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lastRenderedPageBreak/>
              <w:t>13.01</w:t>
            </w:r>
          </w:p>
        </w:tc>
        <w:tc>
          <w:tcPr>
            <w:tcW w:w="1458" w:type="dxa"/>
            <w:tcBorders>
              <w:bottom w:val="single" w:sz="4" w:space="0" w:color="auto"/>
            </w:tcBorders>
            <w:shd w:val="clear" w:color="auto" w:fill="auto"/>
          </w:tcPr>
          <w:p w:rsidR="00C01A94" w:rsidRPr="009072DA" w:rsidRDefault="00C01A94" w:rsidP="00A8005B">
            <w:pPr>
              <w:spacing w:before="100" w:after="100" w:line="240" w:lineRule="atLeast"/>
              <w:rPr>
                <w:rFonts w:cs="Arial"/>
                <w:sz w:val="18"/>
                <w:szCs w:val="18"/>
                <w:lang w:val="bg-BG"/>
              </w:rPr>
            </w:pPr>
          </w:p>
        </w:tc>
        <w:tc>
          <w:tcPr>
            <w:tcW w:w="3296" w:type="dxa"/>
            <w:tcBorders>
              <w:bottom w:val="single" w:sz="4" w:space="0" w:color="auto"/>
            </w:tcBorders>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Котвено оборудване</w:t>
            </w:r>
          </w:p>
        </w:tc>
        <w:tc>
          <w:tcPr>
            <w:tcW w:w="6521"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30.12.2024 г.</w:t>
            </w:r>
          </w:p>
        </w:tc>
      </w:tr>
      <w:tr w:rsidR="00C01A94" w:rsidRPr="009072DA" w:rsidTr="00F14E8B">
        <w:trPr>
          <w:cantSplit/>
          <w:jc w:val="center"/>
        </w:trPr>
        <w:tc>
          <w:tcPr>
            <w:tcW w:w="1342" w:type="dxa"/>
            <w:tcBorders>
              <w:bottom w:val="nil"/>
            </w:tcBorders>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13.02</w:t>
            </w:r>
          </w:p>
        </w:tc>
        <w:tc>
          <w:tcPr>
            <w:tcW w:w="1458" w:type="dxa"/>
            <w:vMerge w:val="restart"/>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Точка 3, буква a)</w:t>
            </w:r>
          </w:p>
        </w:tc>
        <w:tc>
          <w:tcPr>
            <w:tcW w:w="3296" w:type="dxa"/>
            <w:vMerge w:val="restart"/>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Удостоверение за швартови и други въжета</w:t>
            </w:r>
          </w:p>
        </w:tc>
        <w:tc>
          <w:tcPr>
            <w:tcW w:w="6521"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Първото въже, което следва да се замени на плавателния съд: НЗР, най-късно след</w:t>
            </w:r>
          </w:p>
        </w:tc>
        <w:tc>
          <w:tcPr>
            <w:tcW w:w="1276"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30.12.2024 г.</w:t>
            </w:r>
          </w:p>
        </w:tc>
      </w:tr>
      <w:tr w:rsidR="00C01A94" w:rsidRPr="009072DA" w:rsidTr="00F14E8B">
        <w:trPr>
          <w:cantSplit/>
          <w:jc w:val="center"/>
        </w:trPr>
        <w:tc>
          <w:tcPr>
            <w:tcW w:w="1342" w:type="dxa"/>
            <w:tcBorders>
              <w:top w:val="nil"/>
              <w:bottom w:val="single" w:sz="4" w:space="0" w:color="auto"/>
            </w:tcBorders>
            <w:shd w:val="clear" w:color="auto" w:fill="auto"/>
          </w:tcPr>
          <w:p w:rsidR="00C01A94" w:rsidRPr="009072DA" w:rsidRDefault="00C01A94" w:rsidP="00A8005B">
            <w:pPr>
              <w:spacing w:before="100" w:after="100" w:line="240" w:lineRule="atLeast"/>
              <w:rPr>
                <w:rFonts w:cs="Arial"/>
                <w:sz w:val="18"/>
                <w:szCs w:val="18"/>
                <w:lang w:val="bg-BG"/>
              </w:rPr>
            </w:pPr>
          </w:p>
        </w:tc>
        <w:tc>
          <w:tcPr>
            <w:tcW w:w="1458" w:type="dxa"/>
            <w:vMerge/>
            <w:shd w:val="clear" w:color="auto" w:fill="auto"/>
          </w:tcPr>
          <w:p w:rsidR="00C01A94" w:rsidRPr="009072DA" w:rsidRDefault="00C01A94" w:rsidP="00A8005B">
            <w:pPr>
              <w:spacing w:before="100" w:after="100" w:line="240" w:lineRule="atLeast"/>
              <w:rPr>
                <w:rFonts w:cs="Arial"/>
                <w:sz w:val="18"/>
                <w:szCs w:val="18"/>
                <w:lang w:val="bg-BG"/>
              </w:rPr>
            </w:pPr>
          </w:p>
        </w:tc>
        <w:tc>
          <w:tcPr>
            <w:tcW w:w="3296" w:type="dxa"/>
            <w:vMerge/>
            <w:shd w:val="clear" w:color="auto" w:fill="auto"/>
          </w:tcPr>
          <w:p w:rsidR="00C01A94" w:rsidRPr="009072DA" w:rsidRDefault="00C01A94" w:rsidP="00A8005B">
            <w:pPr>
              <w:spacing w:before="100" w:after="100" w:line="240" w:lineRule="atLeast"/>
              <w:rPr>
                <w:rFonts w:cs="Arial"/>
                <w:sz w:val="18"/>
                <w:szCs w:val="18"/>
                <w:lang w:val="bg-BG"/>
              </w:rPr>
            </w:pPr>
          </w:p>
        </w:tc>
        <w:tc>
          <w:tcPr>
            <w:tcW w:w="6521"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Второто и третото въже, които следва да се заменят на плавателния съд: НЗР, най-късно след</w:t>
            </w:r>
          </w:p>
        </w:tc>
        <w:tc>
          <w:tcPr>
            <w:tcW w:w="1276"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30.12.2029 г.</w:t>
            </w:r>
          </w:p>
        </w:tc>
      </w:tr>
      <w:tr w:rsidR="00C01A94" w:rsidRPr="009072DA" w:rsidTr="001964F8">
        <w:trPr>
          <w:cantSplit/>
          <w:jc w:val="center"/>
        </w:trPr>
        <w:tc>
          <w:tcPr>
            <w:tcW w:w="1342" w:type="dxa"/>
            <w:tcBorders>
              <w:bottom w:val="nil"/>
            </w:tcBorders>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13.03</w:t>
            </w:r>
          </w:p>
        </w:tc>
        <w:tc>
          <w:tcPr>
            <w:tcW w:w="1458"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Точка 1</w:t>
            </w:r>
          </w:p>
        </w:tc>
        <w:tc>
          <w:tcPr>
            <w:tcW w:w="3296"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Европейски стандарт</w:t>
            </w:r>
          </w:p>
        </w:tc>
        <w:tc>
          <w:tcPr>
            <w:tcW w:w="6521"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30.12.2024 г.</w:t>
            </w:r>
          </w:p>
        </w:tc>
      </w:tr>
      <w:tr w:rsidR="00C01A94" w:rsidRPr="009072DA" w:rsidTr="001964F8">
        <w:trPr>
          <w:cantSplit/>
          <w:jc w:val="center"/>
        </w:trPr>
        <w:tc>
          <w:tcPr>
            <w:tcW w:w="1342" w:type="dxa"/>
            <w:tcBorders>
              <w:top w:val="nil"/>
              <w:bottom w:val="nil"/>
            </w:tcBorders>
            <w:shd w:val="clear" w:color="auto" w:fill="auto"/>
          </w:tcPr>
          <w:p w:rsidR="00C01A94" w:rsidRPr="009072DA" w:rsidRDefault="00C01A94" w:rsidP="00A8005B">
            <w:pPr>
              <w:spacing w:before="100" w:after="100" w:line="240" w:lineRule="atLeast"/>
              <w:rPr>
                <w:rFonts w:cs="Arial"/>
                <w:sz w:val="18"/>
                <w:szCs w:val="18"/>
                <w:lang w:val="bg-BG"/>
              </w:rPr>
            </w:pPr>
          </w:p>
        </w:tc>
        <w:tc>
          <w:tcPr>
            <w:tcW w:w="1458"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Точка 2</w:t>
            </w:r>
          </w:p>
        </w:tc>
        <w:tc>
          <w:tcPr>
            <w:tcW w:w="3296"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Пригодност за пожари от клас А, В и С</w:t>
            </w:r>
          </w:p>
        </w:tc>
        <w:tc>
          <w:tcPr>
            <w:tcW w:w="6521"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30.12.2024 г.</w:t>
            </w:r>
          </w:p>
        </w:tc>
      </w:tr>
      <w:tr w:rsidR="00C01A94" w:rsidRPr="009072DA" w:rsidTr="001964F8">
        <w:trPr>
          <w:cantSplit/>
          <w:jc w:val="center"/>
        </w:trPr>
        <w:tc>
          <w:tcPr>
            <w:tcW w:w="1342" w:type="dxa"/>
            <w:tcBorders>
              <w:top w:val="nil"/>
            </w:tcBorders>
            <w:shd w:val="clear" w:color="auto" w:fill="auto"/>
          </w:tcPr>
          <w:p w:rsidR="00C01A94" w:rsidRPr="009072DA" w:rsidRDefault="00C01A94" w:rsidP="00A8005B">
            <w:pPr>
              <w:spacing w:before="100" w:after="100" w:line="240" w:lineRule="atLeast"/>
              <w:rPr>
                <w:rFonts w:cs="Arial"/>
                <w:sz w:val="18"/>
                <w:szCs w:val="18"/>
                <w:lang w:val="bg-BG"/>
              </w:rPr>
            </w:pPr>
          </w:p>
        </w:tc>
        <w:tc>
          <w:tcPr>
            <w:tcW w:w="1458"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Точка 4</w:t>
            </w:r>
          </w:p>
        </w:tc>
        <w:tc>
          <w:tcPr>
            <w:tcW w:w="3296"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Съотношение на съдържанието на СО</w:t>
            </w:r>
            <w:r w:rsidRPr="009072DA">
              <w:rPr>
                <w:sz w:val="18"/>
                <w:vertAlign w:val="subscript"/>
                <w:lang w:val="bg-BG"/>
              </w:rPr>
              <w:t>2</w:t>
            </w:r>
            <w:r w:rsidRPr="009072DA">
              <w:rPr>
                <w:sz w:val="18"/>
                <w:lang w:val="bg-BG"/>
              </w:rPr>
              <w:t xml:space="preserve"> и размера на помещението</w:t>
            </w:r>
          </w:p>
        </w:tc>
        <w:tc>
          <w:tcPr>
            <w:tcW w:w="6521"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30.12.2024 г.</w:t>
            </w:r>
          </w:p>
        </w:tc>
      </w:tr>
      <w:tr w:rsidR="00C01A94" w:rsidRPr="009072DA" w:rsidTr="001964F8">
        <w:trPr>
          <w:cantSplit/>
          <w:jc w:val="center"/>
        </w:trPr>
        <w:tc>
          <w:tcPr>
            <w:tcW w:w="1342"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13.04</w:t>
            </w:r>
          </w:p>
        </w:tc>
        <w:tc>
          <w:tcPr>
            <w:tcW w:w="1458" w:type="dxa"/>
            <w:shd w:val="clear" w:color="auto" w:fill="auto"/>
          </w:tcPr>
          <w:p w:rsidR="00C01A94" w:rsidRPr="009072DA" w:rsidRDefault="00C01A94" w:rsidP="00A8005B">
            <w:pPr>
              <w:spacing w:before="100" w:after="100" w:line="240" w:lineRule="atLeast"/>
              <w:rPr>
                <w:rFonts w:cs="Arial"/>
                <w:sz w:val="18"/>
                <w:szCs w:val="18"/>
                <w:lang w:val="bg-BG"/>
              </w:rPr>
            </w:pPr>
          </w:p>
        </w:tc>
        <w:tc>
          <w:tcPr>
            <w:tcW w:w="3296"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Постоянно монтирани противопожарни системи в жилищните помещения, рулевите рубки и помещенията за пътници</w:t>
            </w:r>
          </w:p>
        </w:tc>
        <w:tc>
          <w:tcPr>
            <w:tcW w:w="6521"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30.12.2049 г.</w:t>
            </w:r>
          </w:p>
        </w:tc>
      </w:tr>
      <w:tr w:rsidR="00C01A94" w:rsidRPr="009072DA" w:rsidTr="001964F8">
        <w:trPr>
          <w:cantSplit/>
          <w:jc w:val="center"/>
        </w:trPr>
        <w:tc>
          <w:tcPr>
            <w:tcW w:w="1342"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13.05</w:t>
            </w:r>
          </w:p>
        </w:tc>
        <w:tc>
          <w:tcPr>
            <w:tcW w:w="1458" w:type="dxa"/>
            <w:shd w:val="clear" w:color="auto" w:fill="auto"/>
          </w:tcPr>
          <w:p w:rsidR="00C01A94" w:rsidRPr="009072DA" w:rsidRDefault="00C01A94" w:rsidP="00A8005B">
            <w:pPr>
              <w:spacing w:before="100" w:after="100" w:line="240" w:lineRule="atLeast"/>
              <w:rPr>
                <w:rFonts w:cs="Arial"/>
                <w:sz w:val="18"/>
                <w:szCs w:val="18"/>
                <w:lang w:val="bg-BG"/>
              </w:rPr>
            </w:pPr>
          </w:p>
        </w:tc>
        <w:tc>
          <w:tcPr>
            <w:tcW w:w="3296"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Постоянно монтирани противопожарни системи в машинните, котелните и помпените отделения</w:t>
            </w:r>
          </w:p>
        </w:tc>
        <w:tc>
          <w:tcPr>
            <w:tcW w:w="6521"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Постоянно монтирани противопожарни системи с СО</w:t>
            </w:r>
            <w:r w:rsidRPr="009072DA">
              <w:rPr>
                <w:sz w:val="18"/>
                <w:vertAlign w:val="subscript"/>
                <w:lang w:val="bg-BG"/>
              </w:rPr>
              <w:t>2</w:t>
            </w:r>
            <w:r w:rsidRPr="009072DA">
              <w:rPr>
                <w:sz w:val="18"/>
                <w:lang w:val="bg-BG"/>
              </w:rPr>
              <w:t>, монтирани преди 1 октомври 1985 г., ако отговарят на изискванията на член 16.03 от настоящия стандарт, могат да продължат да се използват до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30.12.2049 г.</w:t>
            </w:r>
          </w:p>
        </w:tc>
      </w:tr>
      <w:tr w:rsidR="00C01A94" w:rsidRPr="009072DA" w:rsidTr="001964F8">
        <w:trPr>
          <w:cantSplit/>
          <w:jc w:val="center"/>
        </w:trPr>
        <w:tc>
          <w:tcPr>
            <w:tcW w:w="1342" w:type="dxa"/>
            <w:tcBorders>
              <w:bottom w:val="single" w:sz="4" w:space="0" w:color="auto"/>
            </w:tcBorders>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13.07</w:t>
            </w:r>
          </w:p>
        </w:tc>
        <w:tc>
          <w:tcPr>
            <w:tcW w:w="1458" w:type="dxa"/>
            <w:tcBorders>
              <w:bottom w:val="single" w:sz="4" w:space="0" w:color="auto"/>
            </w:tcBorders>
            <w:shd w:val="clear" w:color="auto" w:fill="auto"/>
          </w:tcPr>
          <w:p w:rsidR="00C01A94" w:rsidRPr="009072DA" w:rsidRDefault="00C01A94" w:rsidP="00A8005B">
            <w:pPr>
              <w:spacing w:before="100" w:after="100" w:line="240" w:lineRule="atLeast"/>
              <w:rPr>
                <w:rFonts w:cs="Arial"/>
                <w:sz w:val="18"/>
                <w:szCs w:val="18"/>
                <w:lang w:val="bg-BG"/>
              </w:rPr>
            </w:pPr>
          </w:p>
        </w:tc>
        <w:tc>
          <w:tcPr>
            <w:tcW w:w="3296" w:type="dxa"/>
            <w:tcBorders>
              <w:bottom w:val="single" w:sz="4" w:space="0" w:color="auto"/>
            </w:tcBorders>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Прилагане на европейския стандарт за корабна лодка</w:t>
            </w:r>
          </w:p>
        </w:tc>
        <w:tc>
          <w:tcPr>
            <w:tcW w:w="6521"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A8005B">
            <w:pPr>
              <w:spacing w:before="100" w:after="100" w:line="240" w:lineRule="atLeast"/>
              <w:rPr>
                <w:rFonts w:cs="Arial"/>
                <w:sz w:val="18"/>
                <w:szCs w:val="18"/>
                <w:lang w:val="bg-BG"/>
              </w:rPr>
            </w:pPr>
            <w:r w:rsidRPr="009072DA">
              <w:rPr>
                <w:sz w:val="18"/>
                <w:lang w:val="bg-BG"/>
              </w:rPr>
              <w:t>30.12.2029 г.</w:t>
            </w:r>
          </w:p>
        </w:tc>
      </w:tr>
      <w:tr w:rsidR="00C01A94" w:rsidRPr="009072DA" w:rsidTr="00AB6D23">
        <w:trPr>
          <w:cantSplit/>
          <w:jc w:val="center"/>
        </w:trPr>
        <w:tc>
          <w:tcPr>
            <w:tcW w:w="1342" w:type="dxa"/>
            <w:tcBorders>
              <w:bottom w:val="nil"/>
            </w:tcBorders>
            <w:shd w:val="clear" w:color="auto" w:fill="auto"/>
          </w:tcPr>
          <w:p w:rsidR="00C01A94" w:rsidRPr="009072DA" w:rsidRDefault="00C01A94" w:rsidP="00A8005B">
            <w:pPr>
              <w:spacing w:before="140" w:after="140" w:line="240" w:lineRule="atLeast"/>
              <w:rPr>
                <w:rFonts w:cs="Arial"/>
                <w:sz w:val="18"/>
                <w:szCs w:val="18"/>
                <w:lang w:val="bg-BG"/>
              </w:rPr>
            </w:pPr>
            <w:r w:rsidRPr="009072DA">
              <w:rPr>
                <w:sz w:val="18"/>
                <w:lang w:val="bg-BG"/>
              </w:rPr>
              <w:t>13.08</w:t>
            </w:r>
          </w:p>
        </w:tc>
        <w:tc>
          <w:tcPr>
            <w:tcW w:w="1458" w:type="dxa"/>
            <w:vMerge w:val="restart"/>
            <w:shd w:val="clear" w:color="auto" w:fill="auto"/>
          </w:tcPr>
          <w:p w:rsidR="00C01A94" w:rsidRPr="009072DA" w:rsidRDefault="00C01A94" w:rsidP="00A8005B">
            <w:pPr>
              <w:spacing w:before="140" w:after="140" w:line="240" w:lineRule="atLeast"/>
              <w:rPr>
                <w:rFonts w:cs="Arial"/>
                <w:sz w:val="18"/>
                <w:szCs w:val="18"/>
                <w:lang w:val="bg-BG"/>
              </w:rPr>
            </w:pPr>
            <w:r w:rsidRPr="009072DA">
              <w:rPr>
                <w:sz w:val="18"/>
                <w:lang w:val="bg-BG"/>
              </w:rPr>
              <w:t>Точка 2</w:t>
            </w:r>
          </w:p>
        </w:tc>
        <w:tc>
          <w:tcPr>
            <w:tcW w:w="3296" w:type="dxa"/>
            <w:vMerge w:val="restart"/>
            <w:shd w:val="clear" w:color="auto" w:fill="auto"/>
          </w:tcPr>
          <w:p w:rsidR="00C01A94" w:rsidRPr="009072DA" w:rsidRDefault="00C01A94" w:rsidP="00A8005B">
            <w:pPr>
              <w:spacing w:before="140" w:after="140" w:line="240" w:lineRule="atLeast"/>
              <w:rPr>
                <w:rFonts w:cs="Arial"/>
                <w:sz w:val="18"/>
                <w:szCs w:val="18"/>
                <w:lang w:val="bg-BG"/>
              </w:rPr>
            </w:pPr>
            <w:r w:rsidRPr="009072DA">
              <w:rPr>
                <w:sz w:val="18"/>
                <w:lang w:val="bg-BG"/>
              </w:rPr>
              <w:t>Надуваеми спасителни жилетки</w:t>
            </w:r>
          </w:p>
        </w:tc>
        <w:tc>
          <w:tcPr>
            <w:tcW w:w="6521" w:type="dxa"/>
            <w:shd w:val="clear" w:color="auto" w:fill="auto"/>
          </w:tcPr>
          <w:p w:rsidR="00C01A94" w:rsidRPr="009072DA" w:rsidRDefault="00C01A94" w:rsidP="00A8005B">
            <w:pPr>
              <w:spacing w:before="140" w:after="14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A8005B">
            <w:pPr>
              <w:spacing w:before="140" w:after="140" w:line="240" w:lineRule="atLeast"/>
              <w:rPr>
                <w:rFonts w:cs="Arial"/>
                <w:sz w:val="18"/>
                <w:szCs w:val="18"/>
                <w:lang w:val="bg-BG"/>
              </w:rPr>
            </w:pPr>
            <w:r w:rsidRPr="009072DA">
              <w:rPr>
                <w:sz w:val="18"/>
                <w:lang w:val="bg-BG"/>
              </w:rPr>
              <w:t>30.12.2024 г.</w:t>
            </w:r>
          </w:p>
        </w:tc>
      </w:tr>
      <w:tr w:rsidR="00C01A94" w:rsidRPr="009072DA" w:rsidTr="00AB6D23">
        <w:trPr>
          <w:cantSplit/>
          <w:jc w:val="center"/>
        </w:trPr>
        <w:tc>
          <w:tcPr>
            <w:tcW w:w="1342" w:type="dxa"/>
            <w:tcBorders>
              <w:top w:val="nil"/>
            </w:tcBorders>
            <w:shd w:val="clear" w:color="auto" w:fill="auto"/>
          </w:tcPr>
          <w:p w:rsidR="00C01A94" w:rsidRPr="009072DA" w:rsidRDefault="00C01A94" w:rsidP="00A8005B">
            <w:pPr>
              <w:spacing w:before="140" w:after="140" w:line="240" w:lineRule="atLeast"/>
              <w:rPr>
                <w:rFonts w:cs="Arial"/>
                <w:sz w:val="18"/>
                <w:szCs w:val="18"/>
                <w:lang w:val="bg-BG"/>
              </w:rPr>
            </w:pPr>
          </w:p>
        </w:tc>
        <w:tc>
          <w:tcPr>
            <w:tcW w:w="1458" w:type="dxa"/>
            <w:vMerge/>
            <w:shd w:val="clear" w:color="auto" w:fill="auto"/>
          </w:tcPr>
          <w:p w:rsidR="00C01A94" w:rsidRPr="009072DA" w:rsidRDefault="00C01A94" w:rsidP="00A8005B">
            <w:pPr>
              <w:spacing w:before="140" w:after="140" w:line="240" w:lineRule="atLeast"/>
              <w:rPr>
                <w:rFonts w:cs="Arial"/>
                <w:sz w:val="18"/>
                <w:szCs w:val="18"/>
                <w:lang w:val="bg-BG"/>
              </w:rPr>
            </w:pPr>
          </w:p>
        </w:tc>
        <w:tc>
          <w:tcPr>
            <w:tcW w:w="3296" w:type="dxa"/>
            <w:vMerge/>
            <w:shd w:val="clear" w:color="auto" w:fill="auto"/>
          </w:tcPr>
          <w:p w:rsidR="00C01A94" w:rsidRPr="009072DA" w:rsidRDefault="00C01A94" w:rsidP="00A8005B">
            <w:pPr>
              <w:spacing w:before="140" w:after="140" w:line="240" w:lineRule="atLeast"/>
              <w:rPr>
                <w:rFonts w:cs="Arial"/>
                <w:sz w:val="18"/>
                <w:szCs w:val="18"/>
                <w:lang w:val="bg-BG"/>
              </w:rPr>
            </w:pPr>
          </w:p>
        </w:tc>
        <w:tc>
          <w:tcPr>
            <w:tcW w:w="6521" w:type="dxa"/>
            <w:shd w:val="clear" w:color="auto" w:fill="auto"/>
          </w:tcPr>
          <w:p w:rsidR="00C01A94" w:rsidRPr="009072DA" w:rsidRDefault="00C01A94" w:rsidP="00A8005B">
            <w:pPr>
              <w:spacing w:before="140" w:after="140" w:line="240" w:lineRule="atLeast"/>
              <w:rPr>
                <w:rFonts w:cs="Arial"/>
                <w:sz w:val="18"/>
                <w:szCs w:val="18"/>
                <w:lang w:val="bg-BG"/>
              </w:rPr>
            </w:pPr>
            <w:r w:rsidRPr="009072DA">
              <w:rPr>
                <w:sz w:val="18"/>
                <w:lang w:val="bg-BG"/>
              </w:rPr>
              <w:t>Спасителните жилетки, които са се намирали на борда на 29.12.2008 г., могат да се използват до подновяване на удостоверението на плавателния съд за плаване по вътрешни водни пътища след</w:t>
            </w:r>
          </w:p>
        </w:tc>
        <w:tc>
          <w:tcPr>
            <w:tcW w:w="1276" w:type="dxa"/>
            <w:shd w:val="clear" w:color="auto" w:fill="auto"/>
          </w:tcPr>
          <w:p w:rsidR="00C01A94" w:rsidRPr="009072DA" w:rsidRDefault="00C01A94" w:rsidP="00A8005B">
            <w:pPr>
              <w:spacing w:before="140" w:after="140" w:line="240" w:lineRule="atLeast"/>
              <w:rPr>
                <w:rFonts w:cs="Arial"/>
                <w:sz w:val="18"/>
                <w:szCs w:val="18"/>
                <w:lang w:val="bg-BG"/>
              </w:rPr>
            </w:pPr>
            <w:r w:rsidRPr="009072DA">
              <w:rPr>
                <w:sz w:val="18"/>
                <w:lang w:val="bg-BG"/>
              </w:rPr>
              <w:t>30.12.2024 г.</w:t>
            </w:r>
          </w:p>
        </w:tc>
      </w:tr>
      <w:tr w:rsidR="00C01A94" w:rsidRPr="009072DA" w:rsidTr="001964F8">
        <w:trPr>
          <w:cantSplit/>
          <w:jc w:val="center"/>
        </w:trPr>
        <w:tc>
          <w:tcPr>
            <w:tcW w:w="6096" w:type="dxa"/>
            <w:gridSpan w:val="3"/>
            <w:shd w:val="clear" w:color="auto" w:fill="auto"/>
          </w:tcPr>
          <w:p w:rsidR="00C01A94" w:rsidRPr="009072DA" w:rsidRDefault="00C01A94" w:rsidP="00A8005B">
            <w:pPr>
              <w:spacing w:before="140" w:after="140" w:line="240" w:lineRule="atLeast"/>
              <w:jc w:val="center"/>
              <w:rPr>
                <w:rFonts w:cs="Arial"/>
                <w:sz w:val="18"/>
                <w:szCs w:val="18"/>
                <w:lang w:val="bg-BG"/>
              </w:rPr>
            </w:pPr>
            <w:r w:rsidRPr="009072DA">
              <w:rPr>
                <w:b/>
                <w:sz w:val="18"/>
                <w:lang w:val="bg-BG"/>
              </w:rPr>
              <w:t>ГЛАВА 14</w:t>
            </w:r>
          </w:p>
        </w:tc>
        <w:tc>
          <w:tcPr>
            <w:tcW w:w="6521" w:type="dxa"/>
            <w:shd w:val="clear" w:color="auto" w:fill="auto"/>
          </w:tcPr>
          <w:p w:rsidR="00C01A94" w:rsidRPr="009072DA" w:rsidRDefault="00C01A94" w:rsidP="00A8005B">
            <w:pPr>
              <w:spacing w:before="140" w:after="140" w:line="240" w:lineRule="atLeast"/>
              <w:rPr>
                <w:rFonts w:cs="Arial"/>
                <w:sz w:val="18"/>
                <w:szCs w:val="18"/>
                <w:lang w:val="bg-BG"/>
              </w:rPr>
            </w:pPr>
          </w:p>
        </w:tc>
        <w:tc>
          <w:tcPr>
            <w:tcW w:w="1276" w:type="dxa"/>
            <w:shd w:val="clear" w:color="auto" w:fill="auto"/>
          </w:tcPr>
          <w:p w:rsidR="00C01A94" w:rsidRPr="009072DA" w:rsidRDefault="00C01A94" w:rsidP="00A8005B">
            <w:pPr>
              <w:spacing w:before="140" w:after="140" w:line="240" w:lineRule="atLeast"/>
              <w:rPr>
                <w:rFonts w:cs="Arial"/>
                <w:sz w:val="18"/>
                <w:szCs w:val="18"/>
                <w:lang w:val="bg-BG"/>
              </w:rPr>
            </w:pPr>
          </w:p>
        </w:tc>
      </w:tr>
      <w:tr w:rsidR="009F3675" w:rsidRPr="009072DA" w:rsidTr="00AB6D23">
        <w:trPr>
          <w:cantSplit/>
          <w:jc w:val="center"/>
        </w:trPr>
        <w:tc>
          <w:tcPr>
            <w:tcW w:w="1342" w:type="dxa"/>
            <w:tcBorders>
              <w:bottom w:val="nil"/>
            </w:tcBorders>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14.02</w:t>
            </w:r>
          </w:p>
        </w:tc>
        <w:tc>
          <w:tcPr>
            <w:tcW w:w="1458"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Точка 4</w:t>
            </w:r>
          </w:p>
        </w:tc>
        <w:tc>
          <w:tcPr>
            <w:tcW w:w="3296"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Оборудване на външните краища на палуби, палубните проходи и други работни места</w:t>
            </w:r>
          </w:p>
        </w:tc>
        <w:tc>
          <w:tcPr>
            <w:tcW w:w="6521"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НЗР</w:t>
            </w:r>
            <w:r w:rsidRPr="009072DA">
              <w:rPr>
                <w:rStyle w:val="FootnoteReference"/>
                <w:sz w:val="18"/>
                <w:lang w:val="bg-BG"/>
              </w:rPr>
              <w:t xml:space="preserve"> </w:t>
            </w:r>
            <w:r w:rsidRPr="009072DA">
              <w:rPr>
                <w:rStyle w:val="FootnoteReference"/>
                <w:sz w:val="18"/>
                <w:lang w:val="bg-BG"/>
              </w:rPr>
              <w:footnoteReference w:id="46"/>
            </w:r>
          </w:p>
        </w:tc>
        <w:tc>
          <w:tcPr>
            <w:tcW w:w="1276" w:type="dxa"/>
            <w:shd w:val="clear" w:color="auto" w:fill="auto"/>
          </w:tcPr>
          <w:p w:rsidR="009F3675" w:rsidRPr="009072DA" w:rsidRDefault="009F3675" w:rsidP="00D321F1">
            <w:pPr>
              <w:spacing w:before="80" w:after="80" w:line="240" w:lineRule="atLeast"/>
              <w:rPr>
                <w:rFonts w:cs="Arial"/>
                <w:sz w:val="18"/>
                <w:szCs w:val="18"/>
                <w:lang w:val="bg-BG"/>
              </w:rPr>
            </w:pPr>
          </w:p>
        </w:tc>
      </w:tr>
      <w:tr w:rsidR="009F3675" w:rsidRPr="009072DA" w:rsidTr="001964F8">
        <w:trPr>
          <w:cantSplit/>
          <w:jc w:val="center"/>
        </w:trPr>
        <w:tc>
          <w:tcPr>
            <w:tcW w:w="1342" w:type="dxa"/>
            <w:tcBorders>
              <w:bottom w:val="nil"/>
            </w:tcBorders>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14.04</w:t>
            </w:r>
          </w:p>
        </w:tc>
        <w:tc>
          <w:tcPr>
            <w:tcW w:w="1458"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Точка 1</w:t>
            </w:r>
          </w:p>
        </w:tc>
        <w:tc>
          <w:tcPr>
            <w:tcW w:w="3296"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Габаритна ширина на палубните проходи</w:t>
            </w:r>
          </w:p>
        </w:tc>
        <w:tc>
          <w:tcPr>
            <w:tcW w:w="6521"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 xml:space="preserve">За плавателни съдове с </w:t>
            </w:r>
            <m:oMath>
              <m:r>
                <w:rPr>
                  <w:rFonts w:ascii="Cambria Math" w:hAnsi="Cambria Math" w:cs="Arial"/>
                  <w:sz w:val="18"/>
                  <w:szCs w:val="18"/>
                  <w:lang w:val="bg-BG"/>
                </w:rPr>
                <m:t>B &gt; 7,30 m</m:t>
              </m:r>
            </m:oMath>
            <w:r w:rsidRPr="009072DA">
              <w:rPr>
                <w:sz w:val="18"/>
                <w:lang w:val="bg-BG"/>
              </w:rPr>
              <w:t>, 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1.1.2035 г.</w:t>
            </w:r>
            <w:r w:rsidRPr="009072DA">
              <w:rPr>
                <w:sz w:val="18"/>
                <w:vertAlign w:val="superscript"/>
                <w:lang w:val="bg-BG"/>
              </w:rPr>
              <w:footnoteReference w:id="47"/>
            </w:r>
          </w:p>
        </w:tc>
      </w:tr>
      <w:tr w:rsidR="009F3675" w:rsidRPr="009072DA" w:rsidTr="001964F8">
        <w:trPr>
          <w:cantSplit/>
          <w:jc w:val="center"/>
        </w:trPr>
        <w:tc>
          <w:tcPr>
            <w:tcW w:w="1342" w:type="dxa"/>
            <w:tcBorders>
              <w:top w:val="nil"/>
              <w:bottom w:val="single" w:sz="4" w:space="0" w:color="auto"/>
            </w:tcBorders>
            <w:shd w:val="clear" w:color="auto" w:fill="auto"/>
          </w:tcPr>
          <w:p w:rsidR="009F3675" w:rsidRPr="009072DA" w:rsidRDefault="009F3675" w:rsidP="00D321F1">
            <w:pPr>
              <w:spacing w:before="80" w:after="80" w:line="240" w:lineRule="atLeast"/>
              <w:rPr>
                <w:rFonts w:cs="Arial"/>
                <w:sz w:val="18"/>
                <w:szCs w:val="18"/>
                <w:lang w:val="bg-BG"/>
              </w:rPr>
            </w:pPr>
          </w:p>
        </w:tc>
        <w:tc>
          <w:tcPr>
            <w:tcW w:w="1458"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Точка 2</w:t>
            </w:r>
          </w:p>
        </w:tc>
        <w:tc>
          <w:tcPr>
            <w:tcW w:w="3296"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Мантинели на палубния проход</w:t>
            </w:r>
          </w:p>
        </w:tc>
        <w:tc>
          <w:tcPr>
            <w:tcW w:w="6521"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НЗР</w:t>
            </w:r>
          </w:p>
        </w:tc>
        <w:tc>
          <w:tcPr>
            <w:tcW w:w="1276" w:type="dxa"/>
            <w:shd w:val="clear" w:color="auto" w:fill="auto"/>
          </w:tcPr>
          <w:p w:rsidR="009F3675" w:rsidRPr="009072DA" w:rsidRDefault="009F3675" w:rsidP="00D321F1">
            <w:pPr>
              <w:spacing w:before="80" w:after="80" w:line="240" w:lineRule="atLeast"/>
              <w:rPr>
                <w:rFonts w:cs="Arial"/>
                <w:sz w:val="18"/>
                <w:szCs w:val="18"/>
                <w:lang w:val="bg-BG"/>
              </w:rPr>
            </w:pPr>
          </w:p>
        </w:tc>
      </w:tr>
      <w:tr w:rsidR="009F3675" w:rsidRPr="009072DA" w:rsidTr="001964F8">
        <w:trPr>
          <w:cantSplit/>
          <w:jc w:val="center"/>
        </w:trPr>
        <w:tc>
          <w:tcPr>
            <w:tcW w:w="1342" w:type="dxa"/>
            <w:tcBorders>
              <w:bottom w:val="nil"/>
            </w:tcBorders>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lastRenderedPageBreak/>
              <w:t>14.05</w:t>
            </w:r>
          </w:p>
        </w:tc>
        <w:tc>
          <w:tcPr>
            <w:tcW w:w="1458"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Точка 1</w:t>
            </w:r>
          </w:p>
        </w:tc>
        <w:tc>
          <w:tcPr>
            <w:tcW w:w="3296"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Достъп до работните места</w:t>
            </w:r>
          </w:p>
        </w:tc>
        <w:tc>
          <w:tcPr>
            <w:tcW w:w="6521"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30.12.2049 г.</w:t>
            </w:r>
          </w:p>
        </w:tc>
      </w:tr>
      <w:tr w:rsidR="009F3675" w:rsidRPr="008D2440" w:rsidTr="001964F8">
        <w:trPr>
          <w:cantSplit/>
          <w:jc w:val="center"/>
        </w:trPr>
        <w:tc>
          <w:tcPr>
            <w:tcW w:w="1342" w:type="dxa"/>
            <w:tcBorders>
              <w:top w:val="nil"/>
              <w:bottom w:val="nil"/>
            </w:tcBorders>
            <w:shd w:val="clear" w:color="auto" w:fill="auto"/>
          </w:tcPr>
          <w:p w:rsidR="009F3675" w:rsidRPr="009072DA" w:rsidRDefault="009F3675" w:rsidP="00D321F1">
            <w:pPr>
              <w:spacing w:before="80" w:after="80" w:line="240" w:lineRule="atLeast"/>
              <w:rPr>
                <w:rFonts w:cs="Arial"/>
                <w:sz w:val="18"/>
                <w:szCs w:val="18"/>
                <w:lang w:val="bg-BG"/>
              </w:rPr>
            </w:pPr>
          </w:p>
        </w:tc>
        <w:tc>
          <w:tcPr>
            <w:tcW w:w="1458"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Точки 2 и 3</w:t>
            </w:r>
          </w:p>
        </w:tc>
        <w:tc>
          <w:tcPr>
            <w:tcW w:w="3296"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Врати и входове, изходи и проходи, където има повече от 0,50 m разлика в равнището на пода</w:t>
            </w:r>
          </w:p>
        </w:tc>
        <w:tc>
          <w:tcPr>
            <w:tcW w:w="6521"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9F3675" w:rsidRPr="009072DA" w:rsidRDefault="009F3675" w:rsidP="00D321F1">
            <w:pPr>
              <w:spacing w:before="80" w:after="80" w:line="240" w:lineRule="atLeast"/>
              <w:rPr>
                <w:rFonts w:cs="Arial"/>
                <w:sz w:val="18"/>
                <w:szCs w:val="18"/>
                <w:lang w:val="bg-BG"/>
              </w:rPr>
            </w:pPr>
          </w:p>
        </w:tc>
      </w:tr>
      <w:tr w:rsidR="009F3675" w:rsidRPr="009072DA" w:rsidTr="001964F8">
        <w:trPr>
          <w:cantSplit/>
          <w:jc w:val="center"/>
        </w:trPr>
        <w:tc>
          <w:tcPr>
            <w:tcW w:w="1342" w:type="dxa"/>
            <w:tcBorders>
              <w:top w:val="nil"/>
            </w:tcBorders>
            <w:shd w:val="clear" w:color="auto" w:fill="auto"/>
          </w:tcPr>
          <w:p w:rsidR="009F3675" w:rsidRPr="009072DA" w:rsidRDefault="009F3675" w:rsidP="00D321F1">
            <w:pPr>
              <w:spacing w:before="80" w:after="80" w:line="240" w:lineRule="atLeast"/>
              <w:rPr>
                <w:rFonts w:cs="Arial"/>
                <w:sz w:val="18"/>
                <w:szCs w:val="18"/>
                <w:lang w:val="bg-BG"/>
              </w:rPr>
            </w:pPr>
          </w:p>
        </w:tc>
        <w:tc>
          <w:tcPr>
            <w:tcW w:w="1458"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Точка 4</w:t>
            </w:r>
          </w:p>
        </w:tc>
        <w:tc>
          <w:tcPr>
            <w:tcW w:w="3296"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Стълбища на работните места, където постоянно има хора</w:t>
            </w:r>
          </w:p>
        </w:tc>
        <w:tc>
          <w:tcPr>
            <w:tcW w:w="6521"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30.12.2049 г.</w:t>
            </w:r>
          </w:p>
        </w:tc>
      </w:tr>
      <w:tr w:rsidR="009F3675" w:rsidRPr="009072DA" w:rsidTr="001964F8">
        <w:trPr>
          <w:cantSplit/>
          <w:jc w:val="center"/>
        </w:trPr>
        <w:tc>
          <w:tcPr>
            <w:tcW w:w="1342" w:type="dxa"/>
            <w:tcBorders>
              <w:bottom w:val="single" w:sz="4" w:space="0" w:color="auto"/>
            </w:tcBorders>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14.06</w:t>
            </w:r>
          </w:p>
        </w:tc>
        <w:tc>
          <w:tcPr>
            <w:tcW w:w="1458"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Точка 2</w:t>
            </w:r>
          </w:p>
        </w:tc>
        <w:tc>
          <w:tcPr>
            <w:tcW w:w="3296"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Изходи и аварийни изходи</w:t>
            </w:r>
          </w:p>
        </w:tc>
        <w:tc>
          <w:tcPr>
            <w:tcW w:w="6521"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D321F1">
            <w:pPr>
              <w:spacing w:before="80" w:after="80" w:line="240" w:lineRule="atLeast"/>
              <w:rPr>
                <w:rFonts w:cs="Arial"/>
                <w:sz w:val="18"/>
                <w:szCs w:val="18"/>
                <w:lang w:val="bg-BG"/>
              </w:rPr>
            </w:pPr>
            <w:r w:rsidRPr="009072DA">
              <w:rPr>
                <w:sz w:val="18"/>
                <w:lang w:val="bg-BG"/>
              </w:rPr>
              <w:t>30.12.2049 г.</w:t>
            </w:r>
          </w:p>
        </w:tc>
      </w:tr>
      <w:tr w:rsidR="009F3675" w:rsidRPr="009072DA" w:rsidTr="001964F8">
        <w:trPr>
          <w:cantSplit/>
          <w:jc w:val="center"/>
        </w:trPr>
        <w:tc>
          <w:tcPr>
            <w:tcW w:w="1342" w:type="dxa"/>
            <w:tcBorders>
              <w:bottom w:val="nil"/>
            </w:tcBorders>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14.07</w:t>
            </w:r>
          </w:p>
        </w:tc>
        <w:tc>
          <w:tcPr>
            <w:tcW w:w="1458"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Точка 1 2</w:t>
            </w:r>
            <w:r w:rsidRPr="009072DA">
              <w:rPr>
                <w:sz w:val="18"/>
                <w:vertAlign w:val="superscript"/>
                <w:lang w:val="bg-BG"/>
              </w:rPr>
              <w:t>ро</w:t>
            </w:r>
            <w:r w:rsidRPr="009072DA">
              <w:rPr>
                <w:sz w:val="18"/>
                <w:lang w:val="bg-BG"/>
              </w:rPr>
              <w:t xml:space="preserve"> изречение</w:t>
            </w:r>
          </w:p>
        </w:tc>
        <w:tc>
          <w:tcPr>
            <w:tcW w:w="3296" w:type="dxa"/>
            <w:vMerge w:val="restart"/>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Подвижни стълби, стъпала и подобни приспособления</w:t>
            </w:r>
          </w:p>
        </w:tc>
        <w:tc>
          <w:tcPr>
            <w:tcW w:w="6521"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30.12.2049 г.</w:t>
            </w:r>
          </w:p>
        </w:tc>
      </w:tr>
      <w:tr w:rsidR="009F3675" w:rsidRPr="008D2440" w:rsidTr="001964F8">
        <w:trPr>
          <w:cantSplit/>
          <w:jc w:val="center"/>
        </w:trPr>
        <w:tc>
          <w:tcPr>
            <w:tcW w:w="1342" w:type="dxa"/>
            <w:tcBorders>
              <w:top w:val="nil"/>
            </w:tcBorders>
            <w:shd w:val="clear" w:color="auto" w:fill="auto"/>
          </w:tcPr>
          <w:p w:rsidR="009F3675" w:rsidRPr="009072DA" w:rsidRDefault="009F3675" w:rsidP="00A8005B">
            <w:pPr>
              <w:spacing w:before="120" w:after="120" w:line="240" w:lineRule="atLeast"/>
              <w:rPr>
                <w:rFonts w:cs="Arial"/>
                <w:sz w:val="18"/>
                <w:szCs w:val="18"/>
                <w:lang w:val="bg-BG"/>
              </w:rPr>
            </w:pPr>
          </w:p>
        </w:tc>
        <w:tc>
          <w:tcPr>
            <w:tcW w:w="1458"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Точки 2 и 3</w:t>
            </w:r>
          </w:p>
        </w:tc>
        <w:tc>
          <w:tcPr>
            <w:tcW w:w="3296" w:type="dxa"/>
            <w:vMerge/>
            <w:shd w:val="clear" w:color="auto" w:fill="auto"/>
          </w:tcPr>
          <w:p w:rsidR="009F3675" w:rsidRPr="009072DA" w:rsidRDefault="009F3675" w:rsidP="00A8005B">
            <w:pPr>
              <w:spacing w:before="120" w:after="120" w:line="240" w:lineRule="atLeast"/>
              <w:rPr>
                <w:rFonts w:cs="Arial"/>
                <w:sz w:val="18"/>
                <w:szCs w:val="18"/>
                <w:lang w:val="bg-BG"/>
              </w:rPr>
            </w:pPr>
          </w:p>
        </w:tc>
        <w:tc>
          <w:tcPr>
            <w:tcW w:w="6521"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9F3675" w:rsidRPr="009072DA" w:rsidRDefault="009F3675" w:rsidP="00A8005B">
            <w:pPr>
              <w:spacing w:before="120" w:after="120" w:line="240" w:lineRule="atLeast"/>
              <w:rPr>
                <w:rFonts w:cs="Arial"/>
                <w:sz w:val="18"/>
                <w:szCs w:val="18"/>
                <w:lang w:val="bg-BG"/>
              </w:rPr>
            </w:pPr>
          </w:p>
        </w:tc>
      </w:tr>
      <w:tr w:rsidR="009F3675" w:rsidRPr="009072DA" w:rsidTr="001964F8">
        <w:trPr>
          <w:cantSplit/>
          <w:jc w:val="center"/>
        </w:trPr>
        <w:tc>
          <w:tcPr>
            <w:tcW w:w="1342"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14.10</w:t>
            </w:r>
          </w:p>
        </w:tc>
        <w:tc>
          <w:tcPr>
            <w:tcW w:w="1458" w:type="dxa"/>
            <w:shd w:val="clear" w:color="auto" w:fill="auto"/>
          </w:tcPr>
          <w:p w:rsidR="009F3675" w:rsidRPr="009072DA" w:rsidRDefault="009F3675" w:rsidP="00A8005B">
            <w:pPr>
              <w:spacing w:before="120" w:after="120" w:line="240" w:lineRule="atLeast"/>
              <w:rPr>
                <w:rFonts w:cs="Arial"/>
                <w:sz w:val="18"/>
                <w:szCs w:val="18"/>
                <w:lang w:val="bg-BG"/>
              </w:rPr>
            </w:pPr>
          </w:p>
        </w:tc>
        <w:tc>
          <w:tcPr>
            <w:tcW w:w="3296"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Капаци на люковете</w:t>
            </w:r>
          </w:p>
        </w:tc>
        <w:tc>
          <w:tcPr>
            <w:tcW w:w="6521"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30.12.2024 г.</w:t>
            </w:r>
          </w:p>
        </w:tc>
      </w:tr>
      <w:tr w:rsidR="009F3675" w:rsidRPr="009072DA" w:rsidTr="001964F8">
        <w:trPr>
          <w:cantSplit/>
          <w:jc w:val="center"/>
        </w:trPr>
        <w:tc>
          <w:tcPr>
            <w:tcW w:w="1342"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14.11</w:t>
            </w:r>
          </w:p>
        </w:tc>
        <w:tc>
          <w:tcPr>
            <w:tcW w:w="1458" w:type="dxa"/>
            <w:shd w:val="clear" w:color="auto" w:fill="auto"/>
          </w:tcPr>
          <w:p w:rsidR="009F3675" w:rsidRPr="009072DA" w:rsidRDefault="009F3675" w:rsidP="00A8005B">
            <w:pPr>
              <w:spacing w:before="120" w:after="120" w:line="240" w:lineRule="atLeast"/>
              <w:rPr>
                <w:rFonts w:cs="Arial"/>
                <w:sz w:val="18"/>
                <w:szCs w:val="18"/>
                <w:lang w:val="bg-BG"/>
              </w:rPr>
            </w:pPr>
          </w:p>
        </w:tc>
        <w:tc>
          <w:tcPr>
            <w:tcW w:w="3296"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Лебедки</w:t>
            </w:r>
          </w:p>
        </w:tc>
        <w:tc>
          <w:tcPr>
            <w:tcW w:w="6521"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30.12.2024 г.</w:t>
            </w:r>
          </w:p>
        </w:tc>
      </w:tr>
      <w:tr w:rsidR="009F3675" w:rsidRPr="009072DA" w:rsidTr="001964F8">
        <w:trPr>
          <w:cantSplit/>
          <w:jc w:val="center"/>
        </w:trPr>
        <w:tc>
          <w:tcPr>
            <w:tcW w:w="1342"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14.12</w:t>
            </w:r>
          </w:p>
        </w:tc>
        <w:tc>
          <w:tcPr>
            <w:tcW w:w="1458"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Точки 2 — 6 и точки 8 — 10</w:t>
            </w:r>
          </w:p>
        </w:tc>
        <w:tc>
          <w:tcPr>
            <w:tcW w:w="3296"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Кранове: Табелка на производителя, максимална товароподемност, защитни устройства, доказване чрез изчисления, проверка от експерт, документи на борда на кораба</w:t>
            </w:r>
          </w:p>
        </w:tc>
        <w:tc>
          <w:tcPr>
            <w:tcW w:w="6521"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30.12.2029 г.</w:t>
            </w:r>
          </w:p>
        </w:tc>
      </w:tr>
      <w:tr w:rsidR="009F3675" w:rsidRPr="008D2440" w:rsidTr="001964F8">
        <w:trPr>
          <w:cantSplit/>
          <w:jc w:val="center"/>
        </w:trPr>
        <w:tc>
          <w:tcPr>
            <w:tcW w:w="1342"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14.13</w:t>
            </w:r>
          </w:p>
        </w:tc>
        <w:tc>
          <w:tcPr>
            <w:tcW w:w="1458" w:type="dxa"/>
            <w:shd w:val="clear" w:color="auto" w:fill="auto"/>
          </w:tcPr>
          <w:p w:rsidR="009F3675" w:rsidRPr="009072DA" w:rsidRDefault="009F3675" w:rsidP="00A8005B">
            <w:pPr>
              <w:spacing w:before="120" w:after="120" w:line="240" w:lineRule="atLeast"/>
              <w:rPr>
                <w:rFonts w:cs="Arial"/>
                <w:sz w:val="18"/>
                <w:szCs w:val="18"/>
                <w:lang w:val="bg-BG"/>
              </w:rPr>
            </w:pPr>
          </w:p>
        </w:tc>
        <w:tc>
          <w:tcPr>
            <w:tcW w:w="3296"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Съхранение на запалими течности</w:t>
            </w:r>
          </w:p>
        </w:tc>
        <w:tc>
          <w:tcPr>
            <w:tcW w:w="6521"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9F3675" w:rsidRPr="009072DA" w:rsidRDefault="009F3675" w:rsidP="00A8005B">
            <w:pPr>
              <w:spacing w:before="120" w:after="120" w:line="240" w:lineRule="atLeast"/>
              <w:rPr>
                <w:rFonts w:cs="Arial"/>
                <w:sz w:val="18"/>
                <w:szCs w:val="18"/>
                <w:lang w:val="bg-BG"/>
              </w:rPr>
            </w:pPr>
          </w:p>
        </w:tc>
      </w:tr>
      <w:tr w:rsidR="009F3675" w:rsidRPr="009072DA" w:rsidTr="001964F8">
        <w:trPr>
          <w:cantSplit/>
          <w:jc w:val="center"/>
        </w:trPr>
        <w:tc>
          <w:tcPr>
            <w:tcW w:w="6096" w:type="dxa"/>
            <w:gridSpan w:val="3"/>
            <w:shd w:val="clear" w:color="auto" w:fill="auto"/>
          </w:tcPr>
          <w:p w:rsidR="009F3675" w:rsidRPr="009072DA" w:rsidRDefault="009F3675" w:rsidP="00A8005B">
            <w:pPr>
              <w:spacing w:before="120" w:after="120" w:line="240" w:lineRule="atLeast"/>
              <w:jc w:val="center"/>
              <w:rPr>
                <w:rFonts w:cs="Arial"/>
                <w:sz w:val="18"/>
                <w:szCs w:val="18"/>
                <w:lang w:val="bg-BG"/>
              </w:rPr>
            </w:pPr>
            <w:r w:rsidRPr="009072DA">
              <w:rPr>
                <w:b/>
                <w:sz w:val="18"/>
                <w:lang w:val="bg-BG"/>
              </w:rPr>
              <w:t>ГЛАВА 15</w:t>
            </w:r>
          </w:p>
        </w:tc>
        <w:tc>
          <w:tcPr>
            <w:tcW w:w="6521" w:type="dxa"/>
            <w:shd w:val="clear" w:color="auto" w:fill="auto"/>
          </w:tcPr>
          <w:p w:rsidR="009F3675" w:rsidRPr="009072DA" w:rsidRDefault="009F3675" w:rsidP="00A8005B">
            <w:pPr>
              <w:spacing w:before="120" w:after="120" w:line="240" w:lineRule="atLeast"/>
              <w:rPr>
                <w:rFonts w:cs="Arial"/>
                <w:sz w:val="18"/>
                <w:szCs w:val="18"/>
                <w:lang w:val="bg-BG"/>
              </w:rPr>
            </w:pPr>
          </w:p>
        </w:tc>
        <w:tc>
          <w:tcPr>
            <w:tcW w:w="1276" w:type="dxa"/>
            <w:shd w:val="clear" w:color="auto" w:fill="auto"/>
          </w:tcPr>
          <w:p w:rsidR="009F3675" w:rsidRPr="009072DA" w:rsidRDefault="009F3675" w:rsidP="00A8005B">
            <w:pPr>
              <w:spacing w:before="120" w:after="120" w:line="240" w:lineRule="atLeast"/>
              <w:rPr>
                <w:rFonts w:cs="Arial"/>
                <w:sz w:val="18"/>
                <w:szCs w:val="18"/>
                <w:lang w:val="bg-BG"/>
              </w:rPr>
            </w:pPr>
          </w:p>
        </w:tc>
      </w:tr>
      <w:tr w:rsidR="009F3675" w:rsidRPr="009072DA" w:rsidTr="001964F8">
        <w:trPr>
          <w:cantSplit/>
          <w:jc w:val="center"/>
        </w:trPr>
        <w:tc>
          <w:tcPr>
            <w:tcW w:w="1342" w:type="dxa"/>
            <w:tcBorders>
              <w:bottom w:val="single" w:sz="4" w:space="0" w:color="auto"/>
            </w:tcBorders>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lastRenderedPageBreak/>
              <w:t>15.01</w:t>
            </w:r>
          </w:p>
        </w:tc>
        <w:tc>
          <w:tcPr>
            <w:tcW w:w="1458"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Точка 1</w:t>
            </w:r>
          </w:p>
        </w:tc>
        <w:tc>
          <w:tcPr>
            <w:tcW w:w="3296"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Жилищни помещения за лицата, обичайно настанени на борда</w:t>
            </w:r>
          </w:p>
        </w:tc>
        <w:tc>
          <w:tcPr>
            <w:tcW w:w="6521"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30.12.2049 г.</w:t>
            </w:r>
          </w:p>
        </w:tc>
      </w:tr>
      <w:tr w:rsidR="009F3675" w:rsidRPr="009072DA" w:rsidTr="001964F8">
        <w:trPr>
          <w:cantSplit/>
          <w:jc w:val="center"/>
        </w:trPr>
        <w:tc>
          <w:tcPr>
            <w:tcW w:w="1342" w:type="dxa"/>
            <w:tcBorders>
              <w:bottom w:val="nil"/>
            </w:tcBorders>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15.02</w:t>
            </w:r>
          </w:p>
        </w:tc>
        <w:tc>
          <w:tcPr>
            <w:tcW w:w="1458"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Точка 3</w:t>
            </w:r>
          </w:p>
        </w:tc>
        <w:tc>
          <w:tcPr>
            <w:tcW w:w="3296"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Разположение на етажите</w:t>
            </w:r>
          </w:p>
        </w:tc>
        <w:tc>
          <w:tcPr>
            <w:tcW w:w="6521"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30.12.2049 г.</w:t>
            </w:r>
          </w:p>
        </w:tc>
      </w:tr>
      <w:tr w:rsidR="009F3675" w:rsidRPr="009072DA" w:rsidTr="001964F8">
        <w:trPr>
          <w:cantSplit/>
          <w:jc w:val="center"/>
        </w:trPr>
        <w:tc>
          <w:tcPr>
            <w:tcW w:w="1342" w:type="dxa"/>
            <w:tcBorders>
              <w:top w:val="nil"/>
              <w:bottom w:val="nil"/>
            </w:tcBorders>
            <w:shd w:val="clear" w:color="auto" w:fill="auto"/>
          </w:tcPr>
          <w:p w:rsidR="009F3675" w:rsidRPr="009072DA" w:rsidRDefault="009F3675" w:rsidP="00A8005B">
            <w:pPr>
              <w:spacing w:before="120" w:after="120" w:line="240" w:lineRule="atLeast"/>
              <w:rPr>
                <w:rFonts w:cs="Arial"/>
                <w:sz w:val="18"/>
                <w:szCs w:val="18"/>
                <w:lang w:val="bg-BG"/>
              </w:rPr>
            </w:pPr>
          </w:p>
        </w:tc>
        <w:tc>
          <w:tcPr>
            <w:tcW w:w="1458"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Точка 4</w:t>
            </w:r>
          </w:p>
        </w:tc>
        <w:tc>
          <w:tcPr>
            <w:tcW w:w="3296"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Жилищни помещения за общо ползване и спални каюти</w:t>
            </w:r>
          </w:p>
        </w:tc>
        <w:tc>
          <w:tcPr>
            <w:tcW w:w="6521"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30.12.2049 г.</w:t>
            </w:r>
          </w:p>
        </w:tc>
      </w:tr>
      <w:tr w:rsidR="009F3675" w:rsidRPr="009072DA" w:rsidTr="001964F8">
        <w:trPr>
          <w:cantSplit/>
          <w:jc w:val="center"/>
        </w:trPr>
        <w:tc>
          <w:tcPr>
            <w:tcW w:w="1342" w:type="dxa"/>
            <w:tcBorders>
              <w:top w:val="nil"/>
              <w:bottom w:val="nil"/>
            </w:tcBorders>
            <w:shd w:val="clear" w:color="auto" w:fill="auto"/>
          </w:tcPr>
          <w:p w:rsidR="009F3675" w:rsidRPr="009072DA" w:rsidRDefault="009F3675" w:rsidP="00A8005B">
            <w:pPr>
              <w:spacing w:before="120" w:after="120" w:line="240" w:lineRule="atLeast"/>
              <w:rPr>
                <w:rFonts w:cs="Arial"/>
                <w:sz w:val="18"/>
                <w:szCs w:val="18"/>
                <w:lang w:val="bg-BG"/>
              </w:rPr>
            </w:pPr>
          </w:p>
        </w:tc>
        <w:tc>
          <w:tcPr>
            <w:tcW w:w="1458"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Точка 5</w:t>
            </w:r>
          </w:p>
        </w:tc>
        <w:tc>
          <w:tcPr>
            <w:tcW w:w="3296"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Шум и вибрации в жилищните помещения</w:t>
            </w:r>
          </w:p>
        </w:tc>
        <w:tc>
          <w:tcPr>
            <w:tcW w:w="6521"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A8005B">
            <w:pPr>
              <w:spacing w:before="120" w:after="120" w:line="240" w:lineRule="atLeast"/>
              <w:rPr>
                <w:rFonts w:cs="Arial"/>
                <w:sz w:val="18"/>
                <w:szCs w:val="18"/>
                <w:lang w:val="bg-BG"/>
              </w:rPr>
            </w:pPr>
            <w:r w:rsidRPr="009072DA">
              <w:rPr>
                <w:sz w:val="18"/>
                <w:lang w:val="bg-BG"/>
              </w:rPr>
              <w:t>30.12.2029 г.</w:t>
            </w:r>
          </w:p>
        </w:tc>
      </w:tr>
      <w:tr w:rsidR="009F3675" w:rsidRPr="009072DA" w:rsidTr="001964F8">
        <w:trPr>
          <w:cantSplit/>
          <w:jc w:val="center"/>
        </w:trPr>
        <w:tc>
          <w:tcPr>
            <w:tcW w:w="1342" w:type="dxa"/>
            <w:tcBorders>
              <w:top w:val="nil"/>
              <w:bottom w:val="nil"/>
            </w:tcBorders>
            <w:shd w:val="clear" w:color="auto" w:fill="auto"/>
          </w:tcPr>
          <w:p w:rsidR="009F3675" w:rsidRPr="009072DA" w:rsidRDefault="009F3675" w:rsidP="00A8005B">
            <w:pPr>
              <w:spacing w:before="200" w:line="240" w:lineRule="atLeast"/>
              <w:rPr>
                <w:rFonts w:cs="Arial"/>
                <w:sz w:val="18"/>
                <w:szCs w:val="18"/>
                <w:lang w:val="bg-BG"/>
              </w:rPr>
            </w:pPr>
          </w:p>
        </w:tc>
        <w:tc>
          <w:tcPr>
            <w:tcW w:w="1458" w:type="dxa"/>
            <w:shd w:val="clear" w:color="auto" w:fill="auto"/>
          </w:tcPr>
          <w:p w:rsidR="009F3675" w:rsidRPr="009072DA" w:rsidRDefault="009F3675" w:rsidP="00A8005B">
            <w:pPr>
              <w:spacing w:before="200" w:line="240" w:lineRule="atLeast"/>
              <w:rPr>
                <w:rFonts w:cs="Arial"/>
                <w:sz w:val="18"/>
                <w:szCs w:val="18"/>
                <w:lang w:val="bg-BG"/>
              </w:rPr>
            </w:pPr>
            <w:r w:rsidRPr="009072DA">
              <w:rPr>
                <w:sz w:val="18"/>
                <w:lang w:val="bg-BG"/>
              </w:rPr>
              <w:t>Точка 6</w:t>
            </w:r>
          </w:p>
        </w:tc>
        <w:tc>
          <w:tcPr>
            <w:tcW w:w="3296" w:type="dxa"/>
            <w:shd w:val="clear" w:color="auto" w:fill="auto"/>
          </w:tcPr>
          <w:p w:rsidR="009F3675" w:rsidRPr="009072DA" w:rsidRDefault="009F3675" w:rsidP="00A8005B">
            <w:pPr>
              <w:spacing w:before="200" w:line="240" w:lineRule="atLeast"/>
              <w:rPr>
                <w:rFonts w:cs="Arial"/>
                <w:sz w:val="18"/>
                <w:szCs w:val="18"/>
                <w:lang w:val="bg-BG"/>
              </w:rPr>
            </w:pPr>
            <w:r w:rsidRPr="009072DA">
              <w:rPr>
                <w:sz w:val="18"/>
                <w:lang w:val="bg-BG"/>
              </w:rPr>
              <w:t>Височина на таваните в жилищните помещения</w:t>
            </w:r>
          </w:p>
        </w:tc>
        <w:tc>
          <w:tcPr>
            <w:tcW w:w="6521" w:type="dxa"/>
            <w:shd w:val="clear" w:color="auto" w:fill="auto"/>
          </w:tcPr>
          <w:p w:rsidR="009F3675" w:rsidRPr="009072DA" w:rsidRDefault="009F3675" w:rsidP="00A8005B">
            <w:pPr>
              <w:spacing w:before="2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A8005B">
            <w:pPr>
              <w:spacing w:before="200" w:line="240" w:lineRule="atLeast"/>
              <w:rPr>
                <w:rFonts w:cs="Arial"/>
                <w:sz w:val="18"/>
                <w:szCs w:val="18"/>
                <w:lang w:val="bg-BG"/>
              </w:rPr>
            </w:pPr>
            <w:r w:rsidRPr="009072DA">
              <w:rPr>
                <w:sz w:val="18"/>
                <w:lang w:val="bg-BG"/>
              </w:rPr>
              <w:t>30.12.2049 г.</w:t>
            </w:r>
          </w:p>
        </w:tc>
      </w:tr>
      <w:tr w:rsidR="009F3675" w:rsidRPr="009072DA" w:rsidTr="001964F8">
        <w:trPr>
          <w:cantSplit/>
          <w:jc w:val="center"/>
        </w:trPr>
        <w:tc>
          <w:tcPr>
            <w:tcW w:w="1342" w:type="dxa"/>
            <w:tcBorders>
              <w:top w:val="nil"/>
              <w:bottom w:val="nil"/>
            </w:tcBorders>
            <w:shd w:val="clear" w:color="auto" w:fill="auto"/>
          </w:tcPr>
          <w:p w:rsidR="009F3675" w:rsidRPr="009072DA" w:rsidRDefault="009F3675" w:rsidP="00A8005B">
            <w:pPr>
              <w:spacing w:before="200" w:line="240" w:lineRule="atLeast"/>
              <w:rPr>
                <w:rFonts w:cs="Arial"/>
                <w:sz w:val="18"/>
                <w:szCs w:val="18"/>
                <w:lang w:val="bg-BG"/>
              </w:rPr>
            </w:pPr>
          </w:p>
        </w:tc>
        <w:tc>
          <w:tcPr>
            <w:tcW w:w="1458" w:type="dxa"/>
            <w:shd w:val="clear" w:color="auto" w:fill="auto"/>
          </w:tcPr>
          <w:p w:rsidR="009F3675" w:rsidRPr="009072DA" w:rsidRDefault="009F3675" w:rsidP="00A8005B">
            <w:pPr>
              <w:spacing w:before="200" w:line="240" w:lineRule="atLeast"/>
              <w:rPr>
                <w:rFonts w:cs="Arial"/>
                <w:sz w:val="18"/>
                <w:szCs w:val="18"/>
                <w:lang w:val="bg-BG"/>
              </w:rPr>
            </w:pPr>
            <w:r w:rsidRPr="009072DA">
              <w:rPr>
                <w:sz w:val="18"/>
                <w:lang w:val="bg-BG"/>
              </w:rPr>
              <w:t>Точка 8</w:t>
            </w:r>
          </w:p>
        </w:tc>
        <w:tc>
          <w:tcPr>
            <w:tcW w:w="3296" w:type="dxa"/>
            <w:shd w:val="clear" w:color="auto" w:fill="auto"/>
          </w:tcPr>
          <w:p w:rsidR="009F3675" w:rsidRPr="009072DA" w:rsidRDefault="009F3675" w:rsidP="00A8005B">
            <w:pPr>
              <w:spacing w:before="200" w:line="240" w:lineRule="atLeast"/>
              <w:rPr>
                <w:rFonts w:cs="Arial"/>
                <w:sz w:val="18"/>
                <w:szCs w:val="18"/>
                <w:lang w:val="bg-BG"/>
              </w:rPr>
            </w:pPr>
            <w:r w:rsidRPr="009072DA">
              <w:rPr>
                <w:sz w:val="18"/>
                <w:lang w:val="bg-BG"/>
              </w:rPr>
              <w:t>Свободна площ в жилищните помещения за общо ползване</w:t>
            </w:r>
          </w:p>
        </w:tc>
        <w:tc>
          <w:tcPr>
            <w:tcW w:w="6521" w:type="dxa"/>
            <w:shd w:val="clear" w:color="auto" w:fill="auto"/>
          </w:tcPr>
          <w:p w:rsidR="009F3675" w:rsidRPr="009072DA" w:rsidRDefault="009F3675" w:rsidP="00A8005B">
            <w:pPr>
              <w:spacing w:before="2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A8005B">
            <w:pPr>
              <w:spacing w:before="200" w:line="240" w:lineRule="atLeast"/>
              <w:rPr>
                <w:rFonts w:cs="Arial"/>
                <w:sz w:val="18"/>
                <w:szCs w:val="18"/>
                <w:lang w:val="bg-BG"/>
              </w:rPr>
            </w:pPr>
            <w:r w:rsidRPr="009072DA">
              <w:rPr>
                <w:sz w:val="18"/>
                <w:lang w:val="bg-BG"/>
              </w:rPr>
              <w:t>30.12.2049 г.</w:t>
            </w:r>
          </w:p>
        </w:tc>
      </w:tr>
      <w:tr w:rsidR="009F3675" w:rsidRPr="009072DA" w:rsidTr="001964F8">
        <w:trPr>
          <w:cantSplit/>
          <w:jc w:val="center"/>
        </w:trPr>
        <w:tc>
          <w:tcPr>
            <w:tcW w:w="1342" w:type="dxa"/>
            <w:tcBorders>
              <w:top w:val="nil"/>
              <w:bottom w:val="nil"/>
            </w:tcBorders>
            <w:shd w:val="clear" w:color="auto" w:fill="auto"/>
          </w:tcPr>
          <w:p w:rsidR="009F3675" w:rsidRPr="009072DA" w:rsidRDefault="009F3675" w:rsidP="00A8005B">
            <w:pPr>
              <w:spacing w:before="200" w:line="240" w:lineRule="atLeast"/>
              <w:rPr>
                <w:rFonts w:cs="Arial"/>
                <w:sz w:val="18"/>
                <w:szCs w:val="18"/>
                <w:lang w:val="bg-BG"/>
              </w:rPr>
            </w:pPr>
          </w:p>
        </w:tc>
        <w:tc>
          <w:tcPr>
            <w:tcW w:w="1458" w:type="dxa"/>
            <w:shd w:val="clear" w:color="auto" w:fill="auto"/>
          </w:tcPr>
          <w:p w:rsidR="009F3675" w:rsidRPr="009072DA" w:rsidRDefault="009F3675" w:rsidP="00A8005B">
            <w:pPr>
              <w:spacing w:before="200" w:line="240" w:lineRule="atLeast"/>
              <w:rPr>
                <w:rFonts w:cs="Arial"/>
                <w:sz w:val="18"/>
                <w:szCs w:val="18"/>
                <w:lang w:val="bg-BG"/>
              </w:rPr>
            </w:pPr>
            <w:r w:rsidRPr="009072DA">
              <w:rPr>
                <w:sz w:val="18"/>
                <w:lang w:val="bg-BG"/>
              </w:rPr>
              <w:t>Точка 9</w:t>
            </w:r>
          </w:p>
        </w:tc>
        <w:tc>
          <w:tcPr>
            <w:tcW w:w="3296" w:type="dxa"/>
            <w:shd w:val="clear" w:color="auto" w:fill="auto"/>
          </w:tcPr>
          <w:p w:rsidR="009F3675" w:rsidRPr="009072DA" w:rsidRDefault="009F3675" w:rsidP="00A8005B">
            <w:pPr>
              <w:spacing w:before="200" w:line="240" w:lineRule="atLeast"/>
              <w:rPr>
                <w:rFonts w:cs="Arial"/>
                <w:sz w:val="18"/>
                <w:szCs w:val="18"/>
                <w:lang w:val="bg-BG"/>
              </w:rPr>
            </w:pPr>
            <w:r w:rsidRPr="009072DA">
              <w:rPr>
                <w:sz w:val="18"/>
                <w:lang w:val="bg-BG"/>
              </w:rPr>
              <w:t>Кубатура на помещенията</w:t>
            </w:r>
          </w:p>
        </w:tc>
        <w:tc>
          <w:tcPr>
            <w:tcW w:w="6521" w:type="dxa"/>
            <w:shd w:val="clear" w:color="auto" w:fill="auto"/>
          </w:tcPr>
          <w:p w:rsidR="009F3675" w:rsidRPr="009072DA" w:rsidRDefault="009F3675" w:rsidP="00A8005B">
            <w:pPr>
              <w:spacing w:before="2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A8005B">
            <w:pPr>
              <w:spacing w:before="200" w:line="240" w:lineRule="atLeast"/>
              <w:rPr>
                <w:rFonts w:cs="Arial"/>
                <w:sz w:val="18"/>
                <w:szCs w:val="18"/>
                <w:lang w:val="bg-BG"/>
              </w:rPr>
            </w:pPr>
            <w:r w:rsidRPr="009072DA">
              <w:rPr>
                <w:sz w:val="18"/>
                <w:lang w:val="bg-BG"/>
              </w:rPr>
              <w:t>30.12.2049 г.</w:t>
            </w:r>
          </w:p>
        </w:tc>
      </w:tr>
      <w:tr w:rsidR="009F3675" w:rsidRPr="009072DA" w:rsidTr="001964F8">
        <w:trPr>
          <w:cantSplit/>
          <w:jc w:val="center"/>
        </w:trPr>
        <w:tc>
          <w:tcPr>
            <w:tcW w:w="1342" w:type="dxa"/>
            <w:tcBorders>
              <w:top w:val="nil"/>
              <w:bottom w:val="nil"/>
            </w:tcBorders>
            <w:shd w:val="clear" w:color="auto" w:fill="auto"/>
          </w:tcPr>
          <w:p w:rsidR="009F3675" w:rsidRPr="009072DA" w:rsidRDefault="009F3675" w:rsidP="00D321F1">
            <w:pPr>
              <w:spacing w:before="280" w:after="280" w:line="240" w:lineRule="atLeast"/>
              <w:rPr>
                <w:rFonts w:cs="Arial"/>
                <w:sz w:val="18"/>
                <w:szCs w:val="18"/>
                <w:lang w:val="bg-BG"/>
              </w:rPr>
            </w:pPr>
          </w:p>
        </w:tc>
        <w:tc>
          <w:tcPr>
            <w:tcW w:w="1458" w:type="dxa"/>
            <w:shd w:val="clear" w:color="auto" w:fill="auto"/>
          </w:tcPr>
          <w:p w:rsidR="009F3675" w:rsidRPr="009072DA" w:rsidRDefault="009F3675" w:rsidP="00D321F1">
            <w:pPr>
              <w:spacing w:before="280" w:after="280" w:line="240" w:lineRule="atLeast"/>
              <w:rPr>
                <w:rFonts w:cs="Arial"/>
                <w:sz w:val="18"/>
                <w:szCs w:val="18"/>
                <w:lang w:val="bg-BG"/>
              </w:rPr>
            </w:pPr>
            <w:r w:rsidRPr="009072DA">
              <w:rPr>
                <w:sz w:val="18"/>
                <w:lang w:val="bg-BG"/>
              </w:rPr>
              <w:t>Точка 10</w:t>
            </w:r>
          </w:p>
        </w:tc>
        <w:tc>
          <w:tcPr>
            <w:tcW w:w="3296" w:type="dxa"/>
            <w:shd w:val="clear" w:color="auto" w:fill="auto"/>
          </w:tcPr>
          <w:p w:rsidR="009F3675" w:rsidRPr="009072DA" w:rsidRDefault="009F3675" w:rsidP="00D321F1">
            <w:pPr>
              <w:spacing w:before="280" w:after="280" w:line="240" w:lineRule="atLeast"/>
              <w:rPr>
                <w:rFonts w:cs="Arial"/>
                <w:sz w:val="18"/>
                <w:szCs w:val="18"/>
                <w:lang w:val="bg-BG"/>
              </w:rPr>
            </w:pPr>
            <w:r w:rsidRPr="009072DA">
              <w:rPr>
                <w:sz w:val="18"/>
                <w:lang w:val="bg-BG"/>
              </w:rPr>
              <w:t>Обем въздух на човек</w:t>
            </w:r>
          </w:p>
        </w:tc>
        <w:tc>
          <w:tcPr>
            <w:tcW w:w="6521" w:type="dxa"/>
            <w:shd w:val="clear" w:color="auto" w:fill="auto"/>
          </w:tcPr>
          <w:p w:rsidR="009F3675" w:rsidRPr="009072DA" w:rsidRDefault="009F3675" w:rsidP="00D321F1">
            <w:pPr>
              <w:spacing w:before="280" w:after="28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D321F1">
            <w:pPr>
              <w:spacing w:before="280" w:after="280" w:line="240" w:lineRule="atLeast"/>
              <w:rPr>
                <w:rFonts w:cs="Arial"/>
                <w:sz w:val="18"/>
                <w:szCs w:val="18"/>
                <w:lang w:val="bg-BG"/>
              </w:rPr>
            </w:pPr>
            <w:r w:rsidRPr="009072DA">
              <w:rPr>
                <w:sz w:val="18"/>
                <w:lang w:val="bg-BG"/>
              </w:rPr>
              <w:t>30.12.2049 г.</w:t>
            </w:r>
          </w:p>
        </w:tc>
      </w:tr>
      <w:tr w:rsidR="009F3675" w:rsidRPr="009072DA" w:rsidTr="001964F8">
        <w:trPr>
          <w:cantSplit/>
          <w:jc w:val="center"/>
        </w:trPr>
        <w:tc>
          <w:tcPr>
            <w:tcW w:w="1342" w:type="dxa"/>
            <w:tcBorders>
              <w:top w:val="nil"/>
              <w:bottom w:val="nil"/>
            </w:tcBorders>
            <w:shd w:val="clear" w:color="auto" w:fill="auto"/>
          </w:tcPr>
          <w:p w:rsidR="009F3675" w:rsidRPr="009072DA" w:rsidRDefault="009F3675" w:rsidP="00D321F1">
            <w:pPr>
              <w:spacing w:before="320" w:after="320" w:line="240" w:lineRule="atLeast"/>
              <w:rPr>
                <w:rFonts w:cs="Arial"/>
                <w:sz w:val="18"/>
                <w:szCs w:val="18"/>
                <w:lang w:val="bg-BG"/>
              </w:rPr>
            </w:pPr>
          </w:p>
        </w:tc>
        <w:tc>
          <w:tcPr>
            <w:tcW w:w="1458"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Точка 11</w:t>
            </w:r>
          </w:p>
        </w:tc>
        <w:tc>
          <w:tcPr>
            <w:tcW w:w="3296"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Размери на вратите</w:t>
            </w:r>
          </w:p>
        </w:tc>
        <w:tc>
          <w:tcPr>
            <w:tcW w:w="6521"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30.12.2049 г.</w:t>
            </w:r>
          </w:p>
        </w:tc>
      </w:tr>
      <w:tr w:rsidR="009F3675" w:rsidRPr="009072DA" w:rsidTr="001964F8">
        <w:trPr>
          <w:cantSplit/>
          <w:jc w:val="center"/>
        </w:trPr>
        <w:tc>
          <w:tcPr>
            <w:tcW w:w="1342" w:type="dxa"/>
            <w:tcBorders>
              <w:top w:val="nil"/>
              <w:bottom w:val="nil"/>
            </w:tcBorders>
            <w:shd w:val="clear" w:color="auto" w:fill="auto"/>
          </w:tcPr>
          <w:p w:rsidR="009F3675" w:rsidRPr="009072DA" w:rsidRDefault="009F3675" w:rsidP="00D321F1">
            <w:pPr>
              <w:spacing w:before="320" w:after="320" w:line="240" w:lineRule="atLeast"/>
              <w:rPr>
                <w:rFonts w:cs="Arial"/>
                <w:sz w:val="18"/>
                <w:szCs w:val="18"/>
                <w:lang w:val="bg-BG"/>
              </w:rPr>
            </w:pPr>
          </w:p>
        </w:tc>
        <w:tc>
          <w:tcPr>
            <w:tcW w:w="1458"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Точка 12, букви a) и б)</w:t>
            </w:r>
          </w:p>
        </w:tc>
        <w:tc>
          <w:tcPr>
            <w:tcW w:w="3296" w:type="dxa"/>
            <w:shd w:val="clear" w:color="auto" w:fill="auto"/>
          </w:tcPr>
          <w:p w:rsidR="009F3675" w:rsidRPr="009072DA" w:rsidRDefault="009F3675" w:rsidP="00D321F1">
            <w:pPr>
              <w:tabs>
                <w:tab w:val="left" w:pos="1080"/>
              </w:tabs>
              <w:spacing w:before="320" w:after="320" w:line="240" w:lineRule="atLeast"/>
              <w:rPr>
                <w:rFonts w:cs="Arial"/>
                <w:sz w:val="18"/>
                <w:szCs w:val="18"/>
                <w:lang w:val="bg-BG"/>
              </w:rPr>
            </w:pPr>
            <w:r w:rsidRPr="009072DA">
              <w:rPr>
                <w:sz w:val="18"/>
                <w:lang w:val="bg-BG"/>
              </w:rPr>
              <w:t>Разположение на стълбищата</w:t>
            </w:r>
          </w:p>
        </w:tc>
        <w:tc>
          <w:tcPr>
            <w:tcW w:w="6521"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30.12.2049 г.</w:t>
            </w:r>
          </w:p>
        </w:tc>
      </w:tr>
      <w:tr w:rsidR="009F3675" w:rsidRPr="009072DA" w:rsidTr="001964F8">
        <w:trPr>
          <w:cantSplit/>
          <w:jc w:val="center"/>
        </w:trPr>
        <w:tc>
          <w:tcPr>
            <w:tcW w:w="1342" w:type="dxa"/>
            <w:tcBorders>
              <w:top w:val="nil"/>
            </w:tcBorders>
            <w:shd w:val="clear" w:color="auto" w:fill="auto"/>
          </w:tcPr>
          <w:p w:rsidR="009F3675" w:rsidRPr="009072DA" w:rsidRDefault="009F3675" w:rsidP="00D321F1">
            <w:pPr>
              <w:spacing w:before="320" w:after="320" w:line="240" w:lineRule="atLeast"/>
              <w:rPr>
                <w:rFonts w:cs="Arial"/>
                <w:sz w:val="18"/>
                <w:szCs w:val="18"/>
                <w:lang w:val="bg-BG"/>
              </w:rPr>
            </w:pPr>
          </w:p>
        </w:tc>
        <w:tc>
          <w:tcPr>
            <w:tcW w:w="1458"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Точка 13</w:t>
            </w:r>
          </w:p>
        </w:tc>
        <w:tc>
          <w:tcPr>
            <w:tcW w:w="3296"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Тръби, пренасящи опасни газове или течности</w:t>
            </w:r>
          </w:p>
        </w:tc>
        <w:tc>
          <w:tcPr>
            <w:tcW w:w="6521"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30.12.2049 г.</w:t>
            </w:r>
          </w:p>
        </w:tc>
      </w:tr>
      <w:tr w:rsidR="009F3675" w:rsidRPr="009072DA" w:rsidTr="001964F8">
        <w:trPr>
          <w:cantSplit/>
          <w:jc w:val="center"/>
        </w:trPr>
        <w:tc>
          <w:tcPr>
            <w:tcW w:w="1342"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15.03</w:t>
            </w:r>
          </w:p>
        </w:tc>
        <w:tc>
          <w:tcPr>
            <w:tcW w:w="1458" w:type="dxa"/>
            <w:shd w:val="clear" w:color="auto" w:fill="auto"/>
          </w:tcPr>
          <w:p w:rsidR="009F3675" w:rsidRPr="009072DA" w:rsidRDefault="009F3675" w:rsidP="00D321F1">
            <w:pPr>
              <w:spacing w:before="320" w:after="320" w:line="240" w:lineRule="atLeast"/>
              <w:rPr>
                <w:rFonts w:cs="Arial"/>
                <w:sz w:val="18"/>
                <w:szCs w:val="18"/>
                <w:lang w:val="bg-BG"/>
              </w:rPr>
            </w:pPr>
          </w:p>
        </w:tc>
        <w:tc>
          <w:tcPr>
            <w:tcW w:w="3296"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Санитарни съоръжения</w:t>
            </w:r>
          </w:p>
        </w:tc>
        <w:tc>
          <w:tcPr>
            <w:tcW w:w="6521"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30.12.2049 г.</w:t>
            </w:r>
          </w:p>
        </w:tc>
      </w:tr>
      <w:tr w:rsidR="009F3675" w:rsidRPr="009072DA" w:rsidTr="001964F8">
        <w:trPr>
          <w:cantSplit/>
          <w:jc w:val="center"/>
        </w:trPr>
        <w:tc>
          <w:tcPr>
            <w:tcW w:w="1342"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15.04</w:t>
            </w:r>
          </w:p>
        </w:tc>
        <w:tc>
          <w:tcPr>
            <w:tcW w:w="1458" w:type="dxa"/>
            <w:shd w:val="clear" w:color="auto" w:fill="auto"/>
          </w:tcPr>
          <w:p w:rsidR="009F3675" w:rsidRPr="009072DA" w:rsidRDefault="009F3675" w:rsidP="00D321F1">
            <w:pPr>
              <w:spacing w:before="320" w:after="320" w:line="240" w:lineRule="atLeast"/>
              <w:rPr>
                <w:rFonts w:cs="Arial"/>
                <w:sz w:val="18"/>
                <w:szCs w:val="18"/>
                <w:lang w:val="bg-BG"/>
              </w:rPr>
            </w:pPr>
          </w:p>
        </w:tc>
        <w:tc>
          <w:tcPr>
            <w:tcW w:w="3296"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Камбузи</w:t>
            </w:r>
          </w:p>
        </w:tc>
        <w:tc>
          <w:tcPr>
            <w:tcW w:w="6521"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30.12.2049 г.</w:t>
            </w:r>
          </w:p>
        </w:tc>
      </w:tr>
      <w:tr w:rsidR="009F3675" w:rsidRPr="008D2440" w:rsidTr="001964F8">
        <w:trPr>
          <w:cantSplit/>
          <w:jc w:val="center"/>
        </w:trPr>
        <w:tc>
          <w:tcPr>
            <w:tcW w:w="1342"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15.05</w:t>
            </w:r>
          </w:p>
        </w:tc>
        <w:tc>
          <w:tcPr>
            <w:tcW w:w="1458" w:type="dxa"/>
            <w:shd w:val="clear" w:color="auto" w:fill="auto"/>
          </w:tcPr>
          <w:p w:rsidR="009F3675" w:rsidRPr="009072DA" w:rsidRDefault="009F3675" w:rsidP="00D321F1">
            <w:pPr>
              <w:spacing w:before="320" w:after="320" w:line="240" w:lineRule="atLeast"/>
              <w:rPr>
                <w:rFonts w:cs="Arial"/>
                <w:sz w:val="18"/>
                <w:szCs w:val="18"/>
                <w:lang w:val="bg-BG"/>
              </w:rPr>
            </w:pPr>
          </w:p>
        </w:tc>
        <w:tc>
          <w:tcPr>
            <w:tcW w:w="3296" w:type="dxa"/>
            <w:shd w:val="clear" w:color="auto" w:fill="auto"/>
          </w:tcPr>
          <w:p w:rsidR="009F3675" w:rsidRPr="009072DA" w:rsidRDefault="009F3675" w:rsidP="00D321F1">
            <w:pPr>
              <w:spacing w:before="320" w:after="320" w:line="240" w:lineRule="atLeast"/>
              <w:rPr>
                <w:rFonts w:cs="Arial"/>
                <w:color w:val="000000"/>
                <w:sz w:val="18"/>
                <w:szCs w:val="18"/>
                <w:lang w:val="bg-BG"/>
              </w:rPr>
            </w:pPr>
            <w:r w:rsidRPr="009072DA">
              <w:rPr>
                <w:color w:val="000000"/>
                <w:sz w:val="18"/>
                <w:lang w:val="bg-BG"/>
              </w:rPr>
              <w:t>Инсталации за питейна вода</w:t>
            </w:r>
          </w:p>
        </w:tc>
        <w:tc>
          <w:tcPr>
            <w:tcW w:w="6521" w:type="dxa"/>
            <w:shd w:val="clear" w:color="auto" w:fill="auto"/>
          </w:tcPr>
          <w:p w:rsidR="009F3675" w:rsidRPr="009072DA" w:rsidRDefault="009F3675" w:rsidP="00D321F1">
            <w:pPr>
              <w:spacing w:before="320" w:after="32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9F3675" w:rsidRPr="009072DA" w:rsidRDefault="009F3675" w:rsidP="00D321F1">
            <w:pPr>
              <w:spacing w:before="320" w:after="320" w:line="240" w:lineRule="atLeast"/>
              <w:rPr>
                <w:rFonts w:cs="Arial"/>
                <w:sz w:val="18"/>
                <w:szCs w:val="18"/>
                <w:lang w:val="bg-BG"/>
              </w:rPr>
            </w:pPr>
          </w:p>
        </w:tc>
      </w:tr>
      <w:tr w:rsidR="009F3675" w:rsidRPr="009072DA" w:rsidTr="001964F8">
        <w:trPr>
          <w:cantSplit/>
          <w:jc w:val="center"/>
        </w:trPr>
        <w:tc>
          <w:tcPr>
            <w:tcW w:w="1342" w:type="dxa"/>
            <w:shd w:val="clear" w:color="auto" w:fill="auto"/>
          </w:tcPr>
          <w:p w:rsidR="009F3675" w:rsidRPr="009072DA" w:rsidRDefault="009F3675" w:rsidP="00D321F1">
            <w:pPr>
              <w:spacing w:before="300" w:after="300" w:line="240" w:lineRule="atLeast"/>
              <w:rPr>
                <w:rFonts w:cs="Arial"/>
                <w:sz w:val="18"/>
                <w:szCs w:val="18"/>
                <w:lang w:val="bg-BG"/>
              </w:rPr>
            </w:pPr>
            <w:r w:rsidRPr="009072DA">
              <w:rPr>
                <w:sz w:val="18"/>
                <w:lang w:val="bg-BG"/>
              </w:rPr>
              <w:t>15.06</w:t>
            </w:r>
          </w:p>
        </w:tc>
        <w:tc>
          <w:tcPr>
            <w:tcW w:w="1458" w:type="dxa"/>
            <w:shd w:val="clear" w:color="auto" w:fill="auto"/>
          </w:tcPr>
          <w:p w:rsidR="009F3675" w:rsidRPr="009072DA" w:rsidRDefault="009F3675" w:rsidP="00D321F1">
            <w:pPr>
              <w:spacing w:before="300" w:after="300" w:line="240" w:lineRule="atLeast"/>
              <w:rPr>
                <w:rFonts w:cs="Arial"/>
                <w:sz w:val="18"/>
                <w:szCs w:val="18"/>
                <w:lang w:val="bg-BG"/>
              </w:rPr>
            </w:pPr>
          </w:p>
        </w:tc>
        <w:tc>
          <w:tcPr>
            <w:tcW w:w="3296" w:type="dxa"/>
            <w:shd w:val="clear" w:color="auto" w:fill="auto"/>
          </w:tcPr>
          <w:p w:rsidR="009F3675" w:rsidRPr="009072DA" w:rsidRDefault="009F3675" w:rsidP="00D321F1">
            <w:pPr>
              <w:spacing w:before="300" w:after="300" w:line="240" w:lineRule="atLeast"/>
              <w:rPr>
                <w:rFonts w:cs="Arial"/>
                <w:color w:val="000000"/>
                <w:sz w:val="18"/>
                <w:szCs w:val="18"/>
                <w:lang w:val="bg-BG"/>
              </w:rPr>
            </w:pPr>
            <w:r w:rsidRPr="009072DA">
              <w:rPr>
                <w:sz w:val="18"/>
                <w:lang w:val="bg-BG"/>
              </w:rPr>
              <w:t>Отопление и вентилация</w:t>
            </w:r>
          </w:p>
        </w:tc>
        <w:tc>
          <w:tcPr>
            <w:tcW w:w="6521" w:type="dxa"/>
            <w:shd w:val="clear" w:color="auto" w:fill="auto"/>
          </w:tcPr>
          <w:p w:rsidR="009F3675" w:rsidRPr="009072DA" w:rsidRDefault="009F3675" w:rsidP="00D321F1">
            <w:pPr>
              <w:spacing w:before="300" w:after="3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D321F1">
            <w:pPr>
              <w:spacing w:before="300" w:after="300" w:line="240" w:lineRule="atLeast"/>
              <w:rPr>
                <w:rFonts w:cs="Arial"/>
                <w:sz w:val="18"/>
                <w:szCs w:val="18"/>
                <w:lang w:val="bg-BG"/>
              </w:rPr>
            </w:pPr>
            <w:r w:rsidRPr="009072DA">
              <w:rPr>
                <w:sz w:val="18"/>
                <w:lang w:val="bg-BG"/>
              </w:rPr>
              <w:t>30.12.2049 г.</w:t>
            </w:r>
          </w:p>
        </w:tc>
      </w:tr>
      <w:tr w:rsidR="009F3675" w:rsidRPr="009072DA" w:rsidTr="001964F8">
        <w:trPr>
          <w:cantSplit/>
          <w:jc w:val="center"/>
        </w:trPr>
        <w:tc>
          <w:tcPr>
            <w:tcW w:w="1342" w:type="dxa"/>
            <w:shd w:val="clear" w:color="auto" w:fill="auto"/>
          </w:tcPr>
          <w:p w:rsidR="009F3675" w:rsidRPr="009072DA" w:rsidRDefault="009F3675" w:rsidP="00D321F1">
            <w:pPr>
              <w:spacing w:before="300" w:after="300" w:line="240" w:lineRule="atLeast"/>
              <w:rPr>
                <w:rFonts w:cs="Arial"/>
                <w:sz w:val="18"/>
                <w:szCs w:val="18"/>
                <w:lang w:val="bg-BG"/>
              </w:rPr>
            </w:pPr>
            <w:r w:rsidRPr="009072DA">
              <w:rPr>
                <w:sz w:val="18"/>
                <w:lang w:val="bg-BG"/>
              </w:rPr>
              <w:t>15.07</w:t>
            </w:r>
          </w:p>
        </w:tc>
        <w:tc>
          <w:tcPr>
            <w:tcW w:w="1458" w:type="dxa"/>
            <w:shd w:val="clear" w:color="auto" w:fill="auto"/>
          </w:tcPr>
          <w:p w:rsidR="009F3675" w:rsidRPr="009072DA" w:rsidRDefault="009F3675" w:rsidP="00D321F1">
            <w:pPr>
              <w:spacing w:before="300" w:after="300" w:line="240" w:lineRule="atLeast"/>
              <w:rPr>
                <w:rFonts w:cs="Arial"/>
                <w:sz w:val="18"/>
                <w:szCs w:val="18"/>
                <w:lang w:val="bg-BG"/>
              </w:rPr>
            </w:pPr>
            <w:r w:rsidRPr="009072DA">
              <w:rPr>
                <w:sz w:val="18"/>
                <w:lang w:val="bg-BG"/>
              </w:rPr>
              <w:t>Точка 1, 2</w:t>
            </w:r>
            <w:r w:rsidRPr="009072DA">
              <w:rPr>
                <w:sz w:val="18"/>
                <w:vertAlign w:val="superscript"/>
                <w:lang w:val="bg-BG"/>
              </w:rPr>
              <w:t>ро</w:t>
            </w:r>
            <w:r w:rsidRPr="009072DA">
              <w:rPr>
                <w:sz w:val="18"/>
                <w:lang w:val="bg-BG"/>
              </w:rPr>
              <w:t xml:space="preserve"> изречение</w:t>
            </w:r>
          </w:p>
        </w:tc>
        <w:tc>
          <w:tcPr>
            <w:tcW w:w="3296" w:type="dxa"/>
            <w:shd w:val="clear" w:color="auto" w:fill="auto"/>
          </w:tcPr>
          <w:p w:rsidR="009F3675" w:rsidRPr="009072DA" w:rsidRDefault="009F3675" w:rsidP="00D321F1">
            <w:pPr>
              <w:spacing w:before="300" w:after="300" w:line="240" w:lineRule="atLeast"/>
              <w:rPr>
                <w:rFonts w:cs="Arial"/>
                <w:color w:val="000000"/>
                <w:sz w:val="18"/>
                <w:szCs w:val="18"/>
                <w:lang w:val="bg-BG"/>
              </w:rPr>
            </w:pPr>
            <w:r w:rsidRPr="009072DA">
              <w:rPr>
                <w:sz w:val="18"/>
                <w:lang w:val="bg-BG"/>
              </w:rPr>
              <w:t>Други съоръжения в жилищните помещения</w:t>
            </w:r>
          </w:p>
        </w:tc>
        <w:tc>
          <w:tcPr>
            <w:tcW w:w="6521" w:type="dxa"/>
            <w:shd w:val="clear" w:color="auto" w:fill="auto"/>
          </w:tcPr>
          <w:p w:rsidR="009F3675" w:rsidRPr="009072DA" w:rsidRDefault="009F3675" w:rsidP="00D321F1">
            <w:pPr>
              <w:spacing w:before="300" w:after="3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D321F1">
            <w:pPr>
              <w:spacing w:before="300" w:after="300" w:line="240" w:lineRule="atLeast"/>
              <w:rPr>
                <w:rFonts w:cs="Arial"/>
                <w:sz w:val="18"/>
                <w:szCs w:val="18"/>
                <w:lang w:val="bg-BG"/>
              </w:rPr>
            </w:pPr>
            <w:r w:rsidRPr="009072DA">
              <w:rPr>
                <w:sz w:val="18"/>
                <w:lang w:val="bg-BG"/>
              </w:rPr>
              <w:t>30.12.2049 г.</w:t>
            </w:r>
          </w:p>
        </w:tc>
      </w:tr>
      <w:tr w:rsidR="009F3675" w:rsidRPr="009072DA" w:rsidTr="001964F8">
        <w:trPr>
          <w:cantSplit/>
          <w:trHeight w:val="70"/>
          <w:jc w:val="center"/>
        </w:trPr>
        <w:tc>
          <w:tcPr>
            <w:tcW w:w="6096" w:type="dxa"/>
            <w:gridSpan w:val="3"/>
            <w:shd w:val="clear" w:color="auto" w:fill="auto"/>
          </w:tcPr>
          <w:p w:rsidR="009F3675" w:rsidRPr="009072DA" w:rsidRDefault="009F3675" w:rsidP="00A8005B">
            <w:pPr>
              <w:spacing w:before="60" w:after="60" w:line="240" w:lineRule="atLeast"/>
              <w:jc w:val="center"/>
              <w:rPr>
                <w:rFonts w:cs="Arial"/>
                <w:b/>
                <w:sz w:val="18"/>
                <w:szCs w:val="18"/>
                <w:lang w:val="bg-BG"/>
              </w:rPr>
            </w:pPr>
            <w:r w:rsidRPr="009072DA">
              <w:rPr>
                <w:b/>
                <w:sz w:val="18"/>
                <w:lang w:val="bg-BG"/>
              </w:rPr>
              <w:t>ГЛАВА 18</w:t>
            </w:r>
          </w:p>
        </w:tc>
        <w:tc>
          <w:tcPr>
            <w:tcW w:w="6521" w:type="dxa"/>
            <w:shd w:val="clear" w:color="auto" w:fill="auto"/>
          </w:tcPr>
          <w:p w:rsidR="009F3675" w:rsidRPr="009072DA" w:rsidRDefault="009F3675" w:rsidP="00A8005B">
            <w:pPr>
              <w:spacing w:before="60" w:after="60" w:line="240" w:lineRule="atLeast"/>
              <w:rPr>
                <w:rFonts w:cs="Arial"/>
                <w:sz w:val="18"/>
                <w:szCs w:val="18"/>
                <w:lang w:val="bg-BG"/>
              </w:rPr>
            </w:pP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p>
        </w:tc>
      </w:tr>
      <w:tr w:rsidR="009F3675" w:rsidRPr="008D2440" w:rsidTr="007E4031">
        <w:trPr>
          <w:cantSplit/>
          <w:jc w:val="center"/>
        </w:trPr>
        <w:tc>
          <w:tcPr>
            <w:tcW w:w="1342" w:type="dxa"/>
            <w:vMerge w:val="restart"/>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lastRenderedPageBreak/>
              <w:t>18.01</w:t>
            </w:r>
          </w:p>
        </w:tc>
        <w:tc>
          <w:tcPr>
            <w:tcW w:w="1458" w:type="dxa"/>
            <w:vMerge w:val="restart"/>
            <w:shd w:val="clear" w:color="auto" w:fill="auto"/>
          </w:tcPr>
          <w:p w:rsidR="009F3675" w:rsidRPr="009072DA" w:rsidRDefault="009F3675" w:rsidP="00A8005B">
            <w:pPr>
              <w:adjustRightInd w:val="0"/>
              <w:spacing w:before="60" w:after="60" w:line="240" w:lineRule="atLeast"/>
              <w:ind w:right="-108"/>
              <w:rPr>
                <w:rFonts w:cs="Arial"/>
                <w:sz w:val="18"/>
                <w:szCs w:val="18"/>
                <w:lang w:val="bg-BG"/>
              </w:rPr>
            </w:pPr>
            <w:r w:rsidRPr="009072DA">
              <w:rPr>
                <w:sz w:val="18"/>
                <w:lang w:val="bg-BG"/>
              </w:rPr>
              <w:t>Точка 2, таблици 1 и 2, и Точка 5</w:t>
            </w:r>
          </w:p>
        </w:tc>
        <w:tc>
          <w:tcPr>
            <w:tcW w:w="3296" w:type="dxa"/>
            <w:tcBorders>
              <w:bottom w:val="nil"/>
            </w:tcBorders>
            <w:shd w:val="clear" w:color="auto" w:fill="auto"/>
          </w:tcPr>
          <w:p w:rsidR="009F3675" w:rsidRPr="009072DA" w:rsidRDefault="009F3675" w:rsidP="00A8005B">
            <w:pPr>
              <w:adjustRightInd w:val="0"/>
              <w:spacing w:before="60" w:after="60" w:line="240" w:lineRule="atLeast"/>
              <w:rPr>
                <w:rFonts w:cs="Arial"/>
                <w:sz w:val="18"/>
                <w:szCs w:val="18"/>
                <w:lang w:val="bg-BG"/>
              </w:rPr>
            </w:pPr>
            <w:r w:rsidRPr="009072DA">
              <w:rPr>
                <w:sz w:val="18"/>
                <w:lang w:val="bg-BG"/>
              </w:rPr>
              <w:t>Пределни/контролни стойности и одобрения на типа</w:t>
            </w:r>
          </w:p>
        </w:tc>
        <w:tc>
          <w:tcPr>
            <w:tcW w:w="6521"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НЗР, при условие че</w:t>
            </w:r>
          </w:p>
          <w:p w:rsidR="009F3675" w:rsidRPr="009072DA" w:rsidRDefault="009F3675" w:rsidP="00A8005B">
            <w:pPr>
              <w:spacing w:before="60" w:after="60" w:line="240" w:lineRule="atLeast"/>
              <w:ind w:left="317" w:hanging="317"/>
              <w:rPr>
                <w:rFonts w:cs="Arial"/>
                <w:sz w:val="18"/>
                <w:szCs w:val="18"/>
                <w:lang w:val="bg-BG"/>
              </w:rPr>
            </w:pPr>
            <w:r w:rsidRPr="009072DA">
              <w:rPr>
                <w:sz w:val="18"/>
                <w:lang w:val="bg-BG"/>
              </w:rPr>
              <w:t>a)</w:t>
            </w:r>
            <w:r w:rsidRPr="009072DA">
              <w:rPr>
                <w:lang w:val="bg-BG"/>
              </w:rPr>
              <w:tab/>
            </w:r>
            <w:r w:rsidRPr="009072DA">
              <w:rPr>
                <w:sz w:val="18"/>
                <w:lang w:val="bg-BG"/>
              </w:rPr>
              <w:t>пределните и контролните стойности не надвишават стойностите съгласно етап II с повече от фактор 2,</w:t>
            </w:r>
          </w:p>
          <w:p w:rsidR="009F3675" w:rsidRPr="009072DA" w:rsidRDefault="009F3675" w:rsidP="00A8005B">
            <w:pPr>
              <w:spacing w:before="60" w:after="60" w:line="240" w:lineRule="atLeast"/>
              <w:ind w:left="317" w:hanging="317"/>
              <w:rPr>
                <w:rFonts w:cs="Arial"/>
                <w:sz w:val="18"/>
                <w:szCs w:val="18"/>
                <w:lang w:val="bg-BG"/>
              </w:rPr>
            </w:pPr>
            <w:r w:rsidRPr="009072DA">
              <w:rPr>
                <w:sz w:val="18"/>
                <w:lang w:val="bg-BG"/>
              </w:rPr>
              <w:t>б)</w:t>
            </w:r>
            <w:r w:rsidRPr="009072DA">
              <w:rPr>
                <w:lang w:val="bg-BG"/>
              </w:rPr>
              <w:tab/>
            </w:r>
            <w:r w:rsidRPr="009072DA">
              <w:rPr>
                <w:sz w:val="18"/>
                <w:lang w:val="bg-BG"/>
              </w:rPr>
              <w:t>бордовата станция за пречистване на отпадъчни води има сертификат от производителя или от експерт, който потвърждава, че тя може да се справи с обичайните видове натоварване на борда на плавателното средство и</w:t>
            </w:r>
          </w:p>
          <w:p w:rsidR="009F3675" w:rsidRPr="009072DA" w:rsidRDefault="009F3675" w:rsidP="00A8005B">
            <w:pPr>
              <w:tabs>
                <w:tab w:val="left" w:pos="317"/>
              </w:tabs>
              <w:adjustRightInd w:val="0"/>
              <w:spacing w:before="60" w:after="60" w:line="240" w:lineRule="atLeast"/>
              <w:ind w:left="317" w:hanging="317"/>
              <w:rPr>
                <w:rFonts w:cs="Arial"/>
                <w:sz w:val="18"/>
                <w:szCs w:val="18"/>
                <w:lang w:val="bg-BG"/>
              </w:rPr>
            </w:pPr>
            <w:r w:rsidRPr="009072DA">
              <w:rPr>
                <w:sz w:val="18"/>
                <w:lang w:val="bg-BG"/>
              </w:rPr>
              <w:t>в)</w:t>
            </w:r>
            <w:r w:rsidRPr="009072DA">
              <w:rPr>
                <w:lang w:val="bg-BG"/>
              </w:rPr>
              <w:tab/>
            </w:r>
            <w:r w:rsidRPr="009072DA">
              <w:rPr>
                <w:sz w:val="18"/>
                <w:lang w:val="bg-BG"/>
              </w:rPr>
              <w:t>за нея е налице система за управление на утайките от отпадъчните води, която е подходяща за условията на експлоатация на бордова станция за пречистване на отпадъчни води на борда на пътнически плавателен съд.</w:t>
            </w: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p>
        </w:tc>
      </w:tr>
      <w:tr w:rsidR="009F3675" w:rsidRPr="008D2440" w:rsidTr="007E4031">
        <w:trPr>
          <w:cantSplit/>
          <w:jc w:val="center"/>
        </w:trPr>
        <w:tc>
          <w:tcPr>
            <w:tcW w:w="1342" w:type="dxa"/>
            <w:vMerge/>
            <w:shd w:val="clear" w:color="auto" w:fill="auto"/>
          </w:tcPr>
          <w:p w:rsidR="009F3675" w:rsidRPr="009072DA" w:rsidRDefault="009F3675" w:rsidP="00A8005B">
            <w:pPr>
              <w:spacing w:before="60" w:after="60" w:line="240" w:lineRule="atLeast"/>
              <w:rPr>
                <w:rFonts w:cs="Arial"/>
                <w:sz w:val="18"/>
                <w:szCs w:val="18"/>
                <w:lang w:val="bg-BG"/>
              </w:rPr>
            </w:pPr>
          </w:p>
        </w:tc>
        <w:tc>
          <w:tcPr>
            <w:tcW w:w="1458" w:type="dxa"/>
            <w:vMerge/>
            <w:shd w:val="clear" w:color="auto" w:fill="auto"/>
          </w:tcPr>
          <w:p w:rsidR="009F3675" w:rsidRPr="009072DA" w:rsidRDefault="009F3675" w:rsidP="00A8005B">
            <w:pPr>
              <w:spacing w:before="60" w:after="60" w:line="240" w:lineRule="atLeast"/>
              <w:rPr>
                <w:rFonts w:cs="Arial"/>
                <w:sz w:val="18"/>
                <w:szCs w:val="18"/>
                <w:lang w:val="bg-BG"/>
              </w:rPr>
            </w:pPr>
          </w:p>
        </w:tc>
        <w:tc>
          <w:tcPr>
            <w:tcW w:w="3296" w:type="dxa"/>
            <w:tcBorders>
              <w:top w:val="nil"/>
              <w:bottom w:val="nil"/>
            </w:tcBorders>
            <w:shd w:val="clear" w:color="auto" w:fill="auto"/>
          </w:tcPr>
          <w:p w:rsidR="009F3675" w:rsidRPr="009072DA" w:rsidRDefault="009F3675" w:rsidP="00A8005B">
            <w:pPr>
              <w:tabs>
                <w:tab w:val="left" w:pos="1080"/>
              </w:tabs>
              <w:spacing w:before="60" w:after="60" w:line="240" w:lineRule="atLeast"/>
              <w:rPr>
                <w:rFonts w:cs="Arial"/>
                <w:sz w:val="18"/>
                <w:szCs w:val="18"/>
                <w:lang w:val="bg-BG"/>
              </w:rPr>
            </w:pPr>
          </w:p>
        </w:tc>
        <w:tc>
          <w:tcPr>
            <w:tcW w:w="6521"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Бордови станции за пречистване на отпадъчни води, които са одобрени на или след 1 декември 2011 г. съгласно изискванията на Резолюция 2010-II-27 на ЦККР (етап II), могат да продължат да бъдат монтирани и използвани.</w:t>
            </w: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p>
        </w:tc>
      </w:tr>
      <w:tr w:rsidR="009F3675" w:rsidRPr="008D2440" w:rsidTr="007E4031">
        <w:trPr>
          <w:cantSplit/>
          <w:jc w:val="center"/>
        </w:trPr>
        <w:tc>
          <w:tcPr>
            <w:tcW w:w="1342" w:type="dxa"/>
            <w:vMerge/>
            <w:shd w:val="clear" w:color="auto" w:fill="auto"/>
          </w:tcPr>
          <w:p w:rsidR="009F3675" w:rsidRPr="009072DA" w:rsidRDefault="009F3675" w:rsidP="00A8005B">
            <w:pPr>
              <w:spacing w:before="60" w:after="60" w:line="240" w:lineRule="atLeast"/>
              <w:rPr>
                <w:rFonts w:cs="Arial"/>
                <w:sz w:val="18"/>
                <w:szCs w:val="18"/>
                <w:lang w:val="bg-BG"/>
              </w:rPr>
            </w:pPr>
          </w:p>
        </w:tc>
        <w:tc>
          <w:tcPr>
            <w:tcW w:w="1458" w:type="dxa"/>
            <w:vMerge/>
            <w:shd w:val="clear" w:color="auto" w:fill="auto"/>
          </w:tcPr>
          <w:p w:rsidR="009F3675" w:rsidRPr="009072DA" w:rsidRDefault="009F3675" w:rsidP="00A8005B">
            <w:pPr>
              <w:spacing w:before="60" w:after="60" w:line="240" w:lineRule="atLeast"/>
              <w:rPr>
                <w:rFonts w:cs="Arial"/>
                <w:sz w:val="18"/>
                <w:szCs w:val="18"/>
                <w:lang w:val="bg-BG"/>
              </w:rPr>
            </w:pPr>
          </w:p>
        </w:tc>
        <w:tc>
          <w:tcPr>
            <w:tcW w:w="3296" w:type="dxa"/>
            <w:tcBorders>
              <w:top w:val="nil"/>
            </w:tcBorders>
            <w:shd w:val="clear" w:color="auto" w:fill="auto"/>
          </w:tcPr>
          <w:p w:rsidR="009F3675" w:rsidRPr="009072DA" w:rsidRDefault="009F3675" w:rsidP="00A8005B">
            <w:pPr>
              <w:tabs>
                <w:tab w:val="left" w:pos="1080"/>
              </w:tabs>
              <w:spacing w:before="60" w:after="60" w:line="240" w:lineRule="atLeast"/>
              <w:rPr>
                <w:rFonts w:cs="Arial"/>
                <w:sz w:val="18"/>
                <w:szCs w:val="18"/>
                <w:lang w:val="bg-BG"/>
              </w:rPr>
            </w:pPr>
          </w:p>
        </w:tc>
        <w:tc>
          <w:tcPr>
            <w:tcW w:w="6521"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Бордови станции за пречистване на отпадъчни води, които са одобрени на или след 10 януари 2013 г. съгласно изискванията на Директива 2012/49/ЕС (етап II), могат да продължат да бъдат монтирани и използвани.</w:t>
            </w: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p>
        </w:tc>
      </w:tr>
      <w:tr w:rsidR="009F3675" w:rsidRPr="009072DA" w:rsidTr="001964F8">
        <w:trPr>
          <w:cantSplit/>
          <w:jc w:val="center"/>
        </w:trPr>
        <w:tc>
          <w:tcPr>
            <w:tcW w:w="6096" w:type="dxa"/>
            <w:gridSpan w:val="3"/>
            <w:shd w:val="clear" w:color="auto" w:fill="auto"/>
          </w:tcPr>
          <w:p w:rsidR="009F3675" w:rsidRPr="009072DA" w:rsidRDefault="009F3675" w:rsidP="00A8005B">
            <w:pPr>
              <w:tabs>
                <w:tab w:val="left" w:pos="1080"/>
              </w:tabs>
              <w:spacing w:before="60" w:after="60" w:line="240" w:lineRule="atLeast"/>
              <w:jc w:val="center"/>
              <w:rPr>
                <w:rFonts w:cs="Arial"/>
                <w:sz w:val="18"/>
                <w:szCs w:val="18"/>
                <w:lang w:val="bg-BG"/>
              </w:rPr>
            </w:pPr>
            <w:r w:rsidRPr="009072DA">
              <w:rPr>
                <w:b/>
                <w:sz w:val="18"/>
                <w:lang w:val="bg-BG"/>
              </w:rPr>
              <w:t>ГЛАВА 19</w:t>
            </w:r>
          </w:p>
        </w:tc>
        <w:tc>
          <w:tcPr>
            <w:tcW w:w="6521" w:type="dxa"/>
            <w:shd w:val="clear" w:color="auto" w:fill="auto"/>
          </w:tcPr>
          <w:p w:rsidR="009F3675" w:rsidRPr="009072DA" w:rsidRDefault="009F3675" w:rsidP="00A8005B">
            <w:pPr>
              <w:spacing w:before="60" w:after="60" w:line="240" w:lineRule="atLeast"/>
              <w:rPr>
                <w:rFonts w:cs="Arial"/>
                <w:sz w:val="18"/>
                <w:szCs w:val="18"/>
                <w:lang w:val="bg-BG"/>
              </w:rPr>
            </w:pP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p>
        </w:tc>
      </w:tr>
      <w:tr w:rsidR="009F3675" w:rsidRPr="008D2440" w:rsidTr="00AA5614">
        <w:trPr>
          <w:cantSplit/>
          <w:trHeight w:val="1133"/>
          <w:jc w:val="center"/>
        </w:trPr>
        <w:tc>
          <w:tcPr>
            <w:tcW w:w="1342" w:type="dxa"/>
            <w:shd w:val="clear" w:color="auto" w:fill="auto"/>
          </w:tcPr>
          <w:p w:rsidR="009F3675" w:rsidRPr="009072DA" w:rsidRDefault="009F3675" w:rsidP="00A8005B">
            <w:pPr>
              <w:spacing w:before="60" w:after="60" w:line="240" w:lineRule="atLeast"/>
              <w:rPr>
                <w:rFonts w:cs="Arial"/>
                <w:sz w:val="18"/>
                <w:szCs w:val="18"/>
                <w:lang w:val="bg-BG"/>
              </w:rPr>
            </w:pPr>
          </w:p>
        </w:tc>
        <w:tc>
          <w:tcPr>
            <w:tcW w:w="1458" w:type="dxa"/>
            <w:shd w:val="clear" w:color="auto" w:fill="auto"/>
          </w:tcPr>
          <w:p w:rsidR="009F3675" w:rsidRPr="009072DA" w:rsidRDefault="009F3675" w:rsidP="00A8005B">
            <w:pPr>
              <w:spacing w:before="60" w:after="60" w:line="240" w:lineRule="atLeast"/>
              <w:rPr>
                <w:rFonts w:cs="Arial"/>
                <w:sz w:val="18"/>
                <w:szCs w:val="18"/>
                <w:lang w:val="bg-BG"/>
              </w:rPr>
            </w:pPr>
          </w:p>
        </w:tc>
        <w:tc>
          <w:tcPr>
            <w:tcW w:w="3296" w:type="dxa"/>
            <w:shd w:val="clear" w:color="auto" w:fill="auto"/>
          </w:tcPr>
          <w:p w:rsidR="009F3675" w:rsidRPr="009072DA" w:rsidRDefault="009F3675" w:rsidP="00A8005B">
            <w:pPr>
              <w:tabs>
                <w:tab w:val="left" w:pos="1080"/>
              </w:tabs>
              <w:spacing w:before="60" w:after="60" w:line="240" w:lineRule="atLeast"/>
              <w:rPr>
                <w:rFonts w:cs="Arial"/>
                <w:sz w:val="18"/>
                <w:szCs w:val="18"/>
                <w:lang w:val="bg-BG"/>
              </w:rPr>
            </w:pPr>
            <w:r w:rsidRPr="009072DA">
              <w:rPr>
                <w:sz w:val="18"/>
                <w:lang w:val="bg-BG"/>
              </w:rPr>
              <w:t>Пътнически плавателни съдове</w:t>
            </w:r>
          </w:p>
        </w:tc>
        <w:tc>
          <w:tcPr>
            <w:tcW w:w="6521" w:type="dxa"/>
            <w:shd w:val="clear" w:color="auto" w:fill="auto"/>
          </w:tcPr>
          <w:p w:rsidR="009F3675" w:rsidRPr="009072DA" w:rsidRDefault="009F3675" w:rsidP="00A8005B">
            <w:pPr>
              <w:adjustRightInd w:val="0"/>
              <w:spacing w:before="60" w:after="60" w:line="240" w:lineRule="atLeast"/>
              <w:rPr>
                <w:rFonts w:cs="Arial"/>
                <w:sz w:val="18"/>
                <w:szCs w:val="18"/>
                <w:lang w:val="bg-BG"/>
              </w:rPr>
            </w:pPr>
            <w:r w:rsidRPr="009072DA">
              <w:rPr>
                <w:sz w:val="18"/>
                <w:lang w:val="bg-BG"/>
              </w:rPr>
              <w:t xml:space="preserve">Вж. разпоредбите, залегнали в регламентите за плавателни съдове, изключени от обхвата на Директива 82/714/ЕИО: „Липса на </w:t>
            </w:r>
            <w:r w:rsidRPr="009072DA">
              <w:rPr>
                <w:color w:val="000000"/>
                <w:sz w:val="18"/>
                <w:lang w:val="bg-BG"/>
              </w:rPr>
              <w:t>явна</w:t>
            </w:r>
            <w:r w:rsidRPr="009072DA">
              <w:rPr>
                <w:sz w:val="18"/>
                <w:lang w:val="bg-BG"/>
              </w:rPr>
              <w:t xml:space="preserve"> опасност“</w:t>
            </w:r>
            <w:r w:rsidRPr="009072DA">
              <w:rPr>
                <w:color w:val="000000"/>
                <w:sz w:val="18"/>
                <w:lang w:val="bg-BG"/>
              </w:rPr>
              <w:t xml:space="preserve"> </w:t>
            </w:r>
            <w:r w:rsidRPr="009072DA">
              <w:rPr>
                <w:sz w:val="18"/>
                <w:lang w:val="bg-BG"/>
              </w:rPr>
              <w:t>Отнася се до всички разпоредби на глава 19, с изключение на посочените по-долу.</w:t>
            </w: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p>
        </w:tc>
      </w:tr>
      <w:tr w:rsidR="009F3675" w:rsidRPr="009072DA" w:rsidTr="001964F8">
        <w:trPr>
          <w:cantSplit/>
          <w:jc w:val="center"/>
        </w:trPr>
        <w:tc>
          <w:tcPr>
            <w:tcW w:w="1342"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19.01</w:t>
            </w:r>
          </w:p>
        </w:tc>
        <w:tc>
          <w:tcPr>
            <w:tcW w:w="1458"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Точки 5 и 6</w:t>
            </w:r>
          </w:p>
        </w:tc>
        <w:tc>
          <w:tcPr>
            <w:tcW w:w="3296" w:type="dxa"/>
            <w:shd w:val="clear" w:color="auto" w:fill="auto"/>
          </w:tcPr>
          <w:p w:rsidR="009F3675" w:rsidRPr="009072DA" w:rsidRDefault="009F3675" w:rsidP="00A8005B">
            <w:pPr>
              <w:tabs>
                <w:tab w:val="right" w:pos="3856"/>
                <w:tab w:val="center" w:pos="4536"/>
                <w:tab w:val="left" w:pos="6521"/>
                <w:tab w:val="right" w:pos="9072"/>
              </w:tabs>
              <w:spacing w:before="60" w:after="60" w:line="240" w:lineRule="atLeast"/>
              <w:rPr>
                <w:rFonts w:cs="Arial"/>
                <w:sz w:val="18"/>
                <w:szCs w:val="18"/>
                <w:lang w:val="bg-BG"/>
              </w:rPr>
            </w:pPr>
            <w:r w:rsidRPr="009072DA">
              <w:rPr>
                <w:color w:val="000000"/>
                <w:sz w:val="18"/>
                <w:lang w:val="bg-BG"/>
              </w:rPr>
              <w:t xml:space="preserve">Мъртва зона пред плавателния съд на две дължини на плавателния съд, ако дължината е под 250 m </w:t>
            </w:r>
            <w:r w:rsidRPr="009072DA">
              <w:rPr>
                <w:rFonts w:cs="Arial"/>
                <w:color w:val="000000"/>
                <w:sz w:val="18"/>
                <w:szCs w:val="18"/>
                <w:lang w:val="bg-BG"/>
              </w:rPr>
              <w:br/>
            </w:r>
            <w:r w:rsidRPr="009072DA">
              <w:rPr>
                <w:sz w:val="18"/>
                <w:lang w:val="bg-BG"/>
              </w:rPr>
              <w:t>Достатъчна видимост назад</w:t>
            </w:r>
          </w:p>
        </w:tc>
        <w:tc>
          <w:tcPr>
            <w:tcW w:w="6521"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1.1.2049 г.</w:t>
            </w:r>
          </w:p>
        </w:tc>
      </w:tr>
      <w:tr w:rsidR="009F3675" w:rsidRPr="008D2440" w:rsidTr="00AA5614">
        <w:trPr>
          <w:cantSplit/>
          <w:trHeight w:val="1061"/>
          <w:jc w:val="center"/>
        </w:trPr>
        <w:tc>
          <w:tcPr>
            <w:tcW w:w="1342"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19.11</w:t>
            </w:r>
          </w:p>
        </w:tc>
        <w:tc>
          <w:tcPr>
            <w:tcW w:w="1458"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Точка 1</w:t>
            </w:r>
          </w:p>
        </w:tc>
        <w:tc>
          <w:tcPr>
            <w:tcW w:w="3296" w:type="dxa"/>
            <w:shd w:val="clear" w:color="auto" w:fill="auto"/>
          </w:tcPr>
          <w:p w:rsidR="009F3675" w:rsidRPr="009072DA" w:rsidRDefault="009F3675" w:rsidP="00A8005B">
            <w:pPr>
              <w:tabs>
                <w:tab w:val="left" w:pos="1080"/>
              </w:tabs>
              <w:spacing w:before="60" w:after="60" w:line="240" w:lineRule="atLeast"/>
              <w:ind w:left="15" w:hanging="15"/>
              <w:rPr>
                <w:rFonts w:cs="Arial"/>
                <w:sz w:val="18"/>
                <w:szCs w:val="18"/>
                <w:lang w:val="bg-BG"/>
              </w:rPr>
            </w:pPr>
            <w:r w:rsidRPr="009072DA">
              <w:rPr>
                <w:sz w:val="18"/>
                <w:lang w:val="bg-BG"/>
              </w:rPr>
              <w:t>Годност на материалите и компонентите за противопожарна защита</w:t>
            </w:r>
          </w:p>
        </w:tc>
        <w:tc>
          <w:tcPr>
            <w:tcW w:w="6521" w:type="dxa"/>
            <w:shd w:val="clear" w:color="auto" w:fill="auto"/>
          </w:tcPr>
          <w:p w:rsidR="009F3675" w:rsidRPr="009072DA" w:rsidRDefault="009F3675" w:rsidP="00A8005B">
            <w:pPr>
              <w:spacing w:before="60" w:after="60" w:line="240" w:lineRule="atLeast"/>
              <w:ind w:left="15" w:hanging="15"/>
              <w:rPr>
                <w:rFonts w:cs="Arial"/>
                <w:sz w:val="18"/>
                <w:szCs w:val="18"/>
                <w:lang w:val="bg-BG"/>
              </w:rPr>
            </w:pPr>
            <w:r w:rsidRPr="009072DA">
              <w:rPr>
                <w:sz w:val="18"/>
                <w:lang w:val="bg-BG"/>
              </w:rPr>
              <w:t>За материали и компоненти, одобрени съгласно Международния кодекс за прилагане на процедури за пожарни изпитвания (кодекс FTP), приет с Резолюция MSC.61(67)</w:t>
            </w:r>
            <w:r w:rsidRPr="009072DA">
              <w:rPr>
                <w:rStyle w:val="FootnoteReference"/>
                <w:sz w:val="18"/>
                <w:lang w:val="bg-BG"/>
              </w:rPr>
              <w:footnoteReference w:id="48"/>
            </w:r>
            <w:r w:rsidRPr="009072DA">
              <w:rPr>
                <w:sz w:val="18"/>
                <w:lang w:val="bg-BG"/>
              </w:rPr>
              <w:t>: НЗР</w:t>
            </w: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p>
        </w:tc>
      </w:tr>
      <w:tr w:rsidR="009F3675" w:rsidRPr="009072DA" w:rsidTr="00995717">
        <w:trPr>
          <w:cantSplit/>
          <w:jc w:val="center"/>
        </w:trPr>
        <w:tc>
          <w:tcPr>
            <w:tcW w:w="6096" w:type="dxa"/>
            <w:gridSpan w:val="3"/>
            <w:shd w:val="clear" w:color="auto" w:fill="auto"/>
          </w:tcPr>
          <w:p w:rsidR="009F3675" w:rsidRPr="009072DA" w:rsidRDefault="009F3675" w:rsidP="00A8005B">
            <w:pPr>
              <w:tabs>
                <w:tab w:val="left" w:pos="1080"/>
              </w:tabs>
              <w:spacing w:before="60" w:after="60" w:line="240" w:lineRule="atLeast"/>
              <w:jc w:val="center"/>
              <w:rPr>
                <w:rFonts w:cs="Arial"/>
                <w:sz w:val="18"/>
                <w:szCs w:val="18"/>
                <w:lang w:val="bg-BG"/>
              </w:rPr>
            </w:pPr>
            <w:r w:rsidRPr="009072DA">
              <w:rPr>
                <w:b/>
                <w:sz w:val="18"/>
                <w:lang w:val="bg-BG"/>
              </w:rPr>
              <w:lastRenderedPageBreak/>
              <w:t>ГЛАВА 20</w:t>
            </w:r>
          </w:p>
        </w:tc>
        <w:tc>
          <w:tcPr>
            <w:tcW w:w="6521" w:type="dxa"/>
            <w:shd w:val="clear" w:color="auto" w:fill="auto"/>
          </w:tcPr>
          <w:p w:rsidR="009F3675" w:rsidRPr="009072DA" w:rsidRDefault="009F3675" w:rsidP="00A8005B">
            <w:pPr>
              <w:adjustRightInd w:val="0"/>
              <w:spacing w:before="60" w:after="60" w:line="240" w:lineRule="atLeast"/>
              <w:jc w:val="center"/>
              <w:rPr>
                <w:rFonts w:cs="Arial"/>
                <w:sz w:val="18"/>
                <w:szCs w:val="18"/>
                <w:lang w:val="bg-BG"/>
              </w:rPr>
            </w:pP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p>
        </w:tc>
      </w:tr>
      <w:tr w:rsidR="009F3675" w:rsidRPr="008D2440" w:rsidTr="00AA5614">
        <w:trPr>
          <w:cantSplit/>
          <w:trHeight w:val="896"/>
          <w:jc w:val="center"/>
        </w:trPr>
        <w:tc>
          <w:tcPr>
            <w:tcW w:w="1342" w:type="dxa"/>
            <w:shd w:val="clear" w:color="auto" w:fill="auto"/>
          </w:tcPr>
          <w:p w:rsidR="009F3675" w:rsidRPr="009072DA" w:rsidRDefault="009F3675" w:rsidP="00A8005B">
            <w:pPr>
              <w:spacing w:before="60" w:after="60" w:line="240" w:lineRule="atLeast"/>
              <w:rPr>
                <w:rFonts w:cs="Arial"/>
                <w:sz w:val="18"/>
                <w:szCs w:val="18"/>
                <w:lang w:val="bg-BG"/>
              </w:rPr>
            </w:pPr>
          </w:p>
        </w:tc>
        <w:tc>
          <w:tcPr>
            <w:tcW w:w="1458" w:type="dxa"/>
            <w:shd w:val="clear" w:color="auto" w:fill="auto"/>
          </w:tcPr>
          <w:p w:rsidR="009F3675" w:rsidRPr="009072DA" w:rsidRDefault="009F3675" w:rsidP="00A8005B">
            <w:pPr>
              <w:spacing w:before="60" w:after="60" w:line="240" w:lineRule="atLeast"/>
              <w:rPr>
                <w:rFonts w:cs="Arial"/>
                <w:sz w:val="18"/>
                <w:szCs w:val="18"/>
                <w:lang w:val="bg-BG"/>
              </w:rPr>
            </w:pPr>
          </w:p>
        </w:tc>
        <w:tc>
          <w:tcPr>
            <w:tcW w:w="3296" w:type="dxa"/>
            <w:shd w:val="clear" w:color="auto" w:fill="auto"/>
          </w:tcPr>
          <w:p w:rsidR="009F3675" w:rsidRPr="009072DA" w:rsidRDefault="009F3675" w:rsidP="00A8005B">
            <w:pPr>
              <w:tabs>
                <w:tab w:val="left" w:pos="1080"/>
              </w:tabs>
              <w:spacing w:before="60" w:after="60" w:line="240" w:lineRule="atLeast"/>
              <w:rPr>
                <w:rFonts w:cs="Arial"/>
                <w:sz w:val="18"/>
                <w:szCs w:val="18"/>
                <w:lang w:val="bg-BG"/>
              </w:rPr>
            </w:pPr>
            <w:r w:rsidRPr="009072DA">
              <w:rPr>
                <w:sz w:val="18"/>
                <w:lang w:val="bg-BG"/>
              </w:rPr>
              <w:t>Пътнически ветроходни плавателни съдове</w:t>
            </w:r>
          </w:p>
        </w:tc>
        <w:tc>
          <w:tcPr>
            <w:tcW w:w="6521"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Вж. разпоредбите, залегнали в регламентите за плавателни съдове, изключени от обхвата на Директива 82/714/ЕИО: „Липса на явна опасност“.</w:t>
            </w: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p>
        </w:tc>
      </w:tr>
      <w:tr w:rsidR="009F3675" w:rsidRPr="009072DA" w:rsidTr="001964F8">
        <w:trPr>
          <w:cantSplit/>
          <w:jc w:val="center"/>
        </w:trPr>
        <w:tc>
          <w:tcPr>
            <w:tcW w:w="6096" w:type="dxa"/>
            <w:gridSpan w:val="3"/>
            <w:shd w:val="clear" w:color="auto" w:fill="auto"/>
          </w:tcPr>
          <w:p w:rsidR="009F3675" w:rsidRPr="009072DA" w:rsidRDefault="009F3675" w:rsidP="00A8005B">
            <w:pPr>
              <w:tabs>
                <w:tab w:val="left" w:pos="1080"/>
              </w:tabs>
              <w:spacing w:before="60" w:after="60" w:line="240" w:lineRule="atLeast"/>
              <w:jc w:val="center"/>
              <w:rPr>
                <w:rFonts w:cs="Arial"/>
                <w:sz w:val="18"/>
                <w:szCs w:val="18"/>
                <w:lang w:val="bg-BG"/>
              </w:rPr>
            </w:pPr>
            <w:r w:rsidRPr="009072DA">
              <w:rPr>
                <w:b/>
                <w:sz w:val="18"/>
                <w:lang w:val="bg-BG"/>
              </w:rPr>
              <w:t>ГЛАВА 21</w:t>
            </w:r>
          </w:p>
        </w:tc>
        <w:tc>
          <w:tcPr>
            <w:tcW w:w="6521" w:type="dxa"/>
            <w:shd w:val="clear" w:color="auto" w:fill="auto"/>
          </w:tcPr>
          <w:p w:rsidR="009F3675" w:rsidRPr="009072DA" w:rsidRDefault="009F3675" w:rsidP="00A8005B">
            <w:pPr>
              <w:spacing w:before="60" w:after="60" w:line="240" w:lineRule="atLeast"/>
              <w:rPr>
                <w:rFonts w:cs="Arial"/>
                <w:sz w:val="18"/>
                <w:szCs w:val="18"/>
                <w:lang w:val="bg-BG"/>
              </w:rPr>
            </w:pP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p>
        </w:tc>
      </w:tr>
      <w:tr w:rsidR="009F3675" w:rsidRPr="009072DA" w:rsidTr="00AA5614">
        <w:trPr>
          <w:cantSplit/>
          <w:trHeight w:val="1262"/>
          <w:jc w:val="center"/>
        </w:trPr>
        <w:tc>
          <w:tcPr>
            <w:tcW w:w="1342" w:type="dxa"/>
            <w:tcBorders>
              <w:bottom w:val="nil"/>
            </w:tcBorders>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21.01</w:t>
            </w:r>
          </w:p>
        </w:tc>
        <w:tc>
          <w:tcPr>
            <w:tcW w:w="1458"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Точка 2</w:t>
            </w:r>
          </w:p>
        </w:tc>
        <w:tc>
          <w:tcPr>
            <w:tcW w:w="3296" w:type="dxa"/>
            <w:shd w:val="clear" w:color="auto" w:fill="auto"/>
          </w:tcPr>
          <w:p w:rsidR="009F3675" w:rsidRPr="009072DA" w:rsidRDefault="009F3675" w:rsidP="00A8005B">
            <w:pPr>
              <w:tabs>
                <w:tab w:val="left" w:pos="1080"/>
              </w:tabs>
              <w:spacing w:before="60" w:after="60" w:line="240" w:lineRule="atLeast"/>
              <w:rPr>
                <w:rFonts w:cs="Arial"/>
                <w:sz w:val="18"/>
                <w:szCs w:val="18"/>
                <w:lang w:val="bg-BG"/>
              </w:rPr>
            </w:pPr>
            <w:r w:rsidRPr="009072DA">
              <w:rPr>
                <w:sz w:val="18"/>
                <w:lang w:val="bg-BG"/>
              </w:rPr>
              <w:t>Специални лебедки или равностойни свързващи устройства, които се използват за тласкане</w:t>
            </w:r>
          </w:p>
        </w:tc>
        <w:tc>
          <w:tcPr>
            <w:tcW w:w="6521"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30.12.2049 г.</w:t>
            </w:r>
          </w:p>
        </w:tc>
      </w:tr>
      <w:tr w:rsidR="009F3675" w:rsidRPr="009072DA" w:rsidTr="00AA5614">
        <w:trPr>
          <w:cantSplit/>
          <w:trHeight w:val="854"/>
          <w:jc w:val="center"/>
        </w:trPr>
        <w:tc>
          <w:tcPr>
            <w:tcW w:w="1342" w:type="dxa"/>
            <w:tcBorders>
              <w:top w:val="nil"/>
            </w:tcBorders>
            <w:shd w:val="clear" w:color="auto" w:fill="auto"/>
          </w:tcPr>
          <w:p w:rsidR="009F3675" w:rsidRPr="009072DA" w:rsidRDefault="009F3675" w:rsidP="00A8005B">
            <w:pPr>
              <w:spacing w:before="60" w:after="60" w:line="240" w:lineRule="atLeast"/>
              <w:rPr>
                <w:rFonts w:cs="Arial"/>
                <w:sz w:val="18"/>
                <w:szCs w:val="18"/>
                <w:lang w:val="bg-BG"/>
              </w:rPr>
            </w:pPr>
          </w:p>
        </w:tc>
        <w:tc>
          <w:tcPr>
            <w:tcW w:w="1458"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Точка 3, последно изречение</w:t>
            </w:r>
          </w:p>
        </w:tc>
        <w:tc>
          <w:tcPr>
            <w:tcW w:w="3296" w:type="dxa"/>
            <w:shd w:val="clear" w:color="auto" w:fill="auto"/>
          </w:tcPr>
          <w:p w:rsidR="009F3675" w:rsidRPr="009072DA" w:rsidRDefault="009F3675" w:rsidP="00A8005B">
            <w:pPr>
              <w:tabs>
                <w:tab w:val="left" w:pos="1080"/>
              </w:tabs>
              <w:spacing w:before="60" w:after="60" w:line="240" w:lineRule="atLeast"/>
              <w:rPr>
                <w:rFonts w:cs="Arial"/>
                <w:sz w:val="18"/>
                <w:szCs w:val="18"/>
                <w:lang w:val="bg-BG"/>
              </w:rPr>
            </w:pPr>
            <w:r w:rsidRPr="009072DA">
              <w:rPr>
                <w:sz w:val="18"/>
                <w:lang w:val="bg-BG"/>
              </w:rPr>
              <w:t>Изисквания към задвижващите звена</w:t>
            </w:r>
          </w:p>
        </w:tc>
        <w:tc>
          <w:tcPr>
            <w:tcW w:w="6521"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30.12.2049 г.</w:t>
            </w:r>
          </w:p>
        </w:tc>
      </w:tr>
      <w:tr w:rsidR="009F3675" w:rsidRPr="009072DA" w:rsidTr="001964F8">
        <w:trPr>
          <w:cantSplit/>
          <w:jc w:val="center"/>
        </w:trPr>
        <w:tc>
          <w:tcPr>
            <w:tcW w:w="6096" w:type="dxa"/>
            <w:gridSpan w:val="3"/>
            <w:shd w:val="clear" w:color="auto" w:fill="auto"/>
          </w:tcPr>
          <w:p w:rsidR="009F3675" w:rsidRPr="009072DA" w:rsidRDefault="009F3675" w:rsidP="00A8005B">
            <w:pPr>
              <w:tabs>
                <w:tab w:val="left" w:pos="1080"/>
              </w:tabs>
              <w:spacing w:before="60" w:after="60" w:line="240" w:lineRule="atLeast"/>
              <w:jc w:val="center"/>
              <w:rPr>
                <w:rFonts w:cs="Arial"/>
                <w:sz w:val="18"/>
                <w:szCs w:val="18"/>
                <w:lang w:val="bg-BG"/>
              </w:rPr>
            </w:pPr>
            <w:r w:rsidRPr="009072DA">
              <w:rPr>
                <w:b/>
                <w:sz w:val="18"/>
                <w:lang w:val="bg-BG"/>
              </w:rPr>
              <w:t>ГЛАВА 22</w:t>
            </w:r>
          </w:p>
        </w:tc>
        <w:tc>
          <w:tcPr>
            <w:tcW w:w="6521" w:type="dxa"/>
            <w:shd w:val="clear" w:color="auto" w:fill="auto"/>
          </w:tcPr>
          <w:p w:rsidR="009F3675" w:rsidRPr="009072DA" w:rsidRDefault="009F3675" w:rsidP="00A8005B">
            <w:pPr>
              <w:spacing w:before="60" w:after="60" w:line="240" w:lineRule="atLeast"/>
              <w:rPr>
                <w:rFonts w:cs="Arial"/>
                <w:sz w:val="18"/>
                <w:szCs w:val="18"/>
                <w:lang w:val="bg-BG"/>
              </w:rPr>
            </w:pP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p>
        </w:tc>
      </w:tr>
      <w:tr w:rsidR="009F3675" w:rsidRPr="008D2440" w:rsidTr="001964F8">
        <w:trPr>
          <w:cantSplit/>
          <w:jc w:val="center"/>
        </w:trPr>
        <w:tc>
          <w:tcPr>
            <w:tcW w:w="1342" w:type="dxa"/>
            <w:shd w:val="clear" w:color="auto" w:fill="auto"/>
          </w:tcPr>
          <w:p w:rsidR="009F3675" w:rsidRPr="009072DA" w:rsidRDefault="009F3675" w:rsidP="00A8005B">
            <w:pPr>
              <w:spacing w:before="60" w:after="60" w:line="240" w:lineRule="atLeast"/>
              <w:rPr>
                <w:rFonts w:cs="Arial"/>
                <w:sz w:val="18"/>
                <w:szCs w:val="18"/>
                <w:lang w:val="bg-BG"/>
              </w:rPr>
            </w:pPr>
          </w:p>
        </w:tc>
        <w:tc>
          <w:tcPr>
            <w:tcW w:w="1458" w:type="dxa"/>
            <w:shd w:val="clear" w:color="auto" w:fill="auto"/>
          </w:tcPr>
          <w:p w:rsidR="009F3675" w:rsidRPr="009072DA" w:rsidRDefault="009F3675" w:rsidP="00A8005B">
            <w:pPr>
              <w:spacing w:before="60" w:after="60" w:line="240" w:lineRule="atLeast"/>
              <w:rPr>
                <w:rFonts w:cs="Arial"/>
                <w:sz w:val="18"/>
                <w:szCs w:val="18"/>
                <w:lang w:val="bg-BG"/>
              </w:rPr>
            </w:pPr>
          </w:p>
        </w:tc>
        <w:tc>
          <w:tcPr>
            <w:tcW w:w="3296" w:type="dxa"/>
            <w:shd w:val="clear" w:color="auto" w:fill="auto"/>
          </w:tcPr>
          <w:p w:rsidR="009F3675" w:rsidRPr="009072DA" w:rsidRDefault="009F3675" w:rsidP="00A8005B">
            <w:pPr>
              <w:tabs>
                <w:tab w:val="left" w:pos="1080"/>
              </w:tabs>
              <w:spacing w:before="60" w:after="60" w:line="240" w:lineRule="atLeast"/>
              <w:rPr>
                <w:rFonts w:cs="Arial"/>
                <w:sz w:val="18"/>
                <w:szCs w:val="18"/>
                <w:lang w:val="bg-BG"/>
              </w:rPr>
            </w:pPr>
            <w:r w:rsidRPr="009072DA">
              <w:rPr>
                <w:sz w:val="18"/>
                <w:lang w:val="bg-BG"/>
              </w:rPr>
              <w:t>Плаващо съоръжение</w:t>
            </w:r>
          </w:p>
        </w:tc>
        <w:tc>
          <w:tcPr>
            <w:tcW w:w="6521" w:type="dxa"/>
            <w:shd w:val="clear" w:color="auto" w:fill="auto"/>
          </w:tcPr>
          <w:p w:rsidR="009F3675" w:rsidRPr="009072DA" w:rsidRDefault="009F3675" w:rsidP="005B1BE0">
            <w:pPr>
              <w:spacing w:before="60" w:after="60" w:line="240" w:lineRule="atLeast"/>
              <w:rPr>
                <w:rFonts w:cs="Arial"/>
                <w:sz w:val="18"/>
                <w:szCs w:val="18"/>
                <w:lang w:val="bg-BG"/>
              </w:rPr>
            </w:pPr>
            <w:r w:rsidRPr="009072DA">
              <w:rPr>
                <w:sz w:val="18"/>
                <w:lang w:val="bg-BG"/>
              </w:rPr>
              <w:t>Вж. разпоредбите, залегнали в регламентите за плавателни съдове, изключени от обхвата на Директива 82/714/ЕИО: „Липса на явна опасност“.</w:t>
            </w: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p>
        </w:tc>
      </w:tr>
      <w:tr w:rsidR="009F3675" w:rsidRPr="009072DA" w:rsidTr="001964F8">
        <w:trPr>
          <w:cantSplit/>
          <w:jc w:val="center"/>
        </w:trPr>
        <w:tc>
          <w:tcPr>
            <w:tcW w:w="6096" w:type="dxa"/>
            <w:gridSpan w:val="3"/>
            <w:shd w:val="clear" w:color="auto" w:fill="auto"/>
          </w:tcPr>
          <w:p w:rsidR="009F3675" w:rsidRPr="009072DA" w:rsidRDefault="009F3675" w:rsidP="00A8005B">
            <w:pPr>
              <w:tabs>
                <w:tab w:val="left" w:pos="1080"/>
              </w:tabs>
              <w:spacing w:before="60" w:after="60" w:line="240" w:lineRule="atLeast"/>
              <w:jc w:val="center"/>
              <w:rPr>
                <w:rFonts w:cs="Arial"/>
                <w:sz w:val="18"/>
                <w:szCs w:val="18"/>
                <w:lang w:val="bg-BG"/>
              </w:rPr>
            </w:pPr>
            <w:r w:rsidRPr="009072DA">
              <w:rPr>
                <w:b/>
                <w:sz w:val="18"/>
                <w:lang w:val="bg-BG"/>
              </w:rPr>
              <w:t>ГЛАВА 26</w:t>
            </w:r>
          </w:p>
        </w:tc>
        <w:tc>
          <w:tcPr>
            <w:tcW w:w="6521" w:type="dxa"/>
            <w:shd w:val="clear" w:color="auto" w:fill="auto"/>
          </w:tcPr>
          <w:p w:rsidR="009F3675" w:rsidRPr="009072DA" w:rsidRDefault="009F3675" w:rsidP="00A8005B">
            <w:pPr>
              <w:spacing w:before="60" w:after="60" w:line="240" w:lineRule="atLeast"/>
              <w:rPr>
                <w:rFonts w:cs="Arial"/>
                <w:sz w:val="18"/>
                <w:szCs w:val="18"/>
                <w:lang w:val="bg-BG"/>
              </w:rPr>
            </w:pP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p>
        </w:tc>
      </w:tr>
      <w:tr w:rsidR="009F3675" w:rsidRPr="008D2440" w:rsidTr="001964F8">
        <w:trPr>
          <w:cantSplit/>
          <w:jc w:val="center"/>
        </w:trPr>
        <w:tc>
          <w:tcPr>
            <w:tcW w:w="1342" w:type="dxa"/>
            <w:shd w:val="clear" w:color="auto" w:fill="auto"/>
          </w:tcPr>
          <w:p w:rsidR="009F3675" w:rsidRPr="009072DA" w:rsidRDefault="009F3675" w:rsidP="00A8005B">
            <w:pPr>
              <w:spacing w:before="60" w:after="60" w:line="240" w:lineRule="atLeast"/>
              <w:rPr>
                <w:rFonts w:cs="Arial"/>
                <w:sz w:val="18"/>
                <w:szCs w:val="18"/>
                <w:lang w:val="bg-BG"/>
              </w:rPr>
            </w:pPr>
          </w:p>
        </w:tc>
        <w:tc>
          <w:tcPr>
            <w:tcW w:w="1458" w:type="dxa"/>
            <w:shd w:val="clear" w:color="auto" w:fill="auto"/>
          </w:tcPr>
          <w:p w:rsidR="009F3675" w:rsidRPr="009072DA" w:rsidRDefault="009F3675" w:rsidP="00A8005B">
            <w:pPr>
              <w:spacing w:before="60" w:after="60" w:line="240" w:lineRule="atLeast"/>
              <w:rPr>
                <w:rFonts w:cs="Arial"/>
                <w:sz w:val="18"/>
                <w:szCs w:val="18"/>
                <w:lang w:val="bg-BG"/>
              </w:rPr>
            </w:pPr>
          </w:p>
        </w:tc>
        <w:tc>
          <w:tcPr>
            <w:tcW w:w="3296" w:type="dxa"/>
            <w:shd w:val="clear" w:color="auto" w:fill="auto"/>
          </w:tcPr>
          <w:p w:rsidR="009F3675" w:rsidRPr="009072DA" w:rsidRDefault="009F3675" w:rsidP="00A8005B">
            <w:pPr>
              <w:tabs>
                <w:tab w:val="left" w:pos="1080"/>
              </w:tabs>
              <w:spacing w:before="60" w:after="60" w:line="240" w:lineRule="atLeast"/>
              <w:rPr>
                <w:rFonts w:cs="Arial"/>
                <w:sz w:val="18"/>
                <w:szCs w:val="18"/>
                <w:lang w:val="bg-BG"/>
              </w:rPr>
            </w:pPr>
            <w:r w:rsidRPr="009072DA">
              <w:rPr>
                <w:sz w:val="18"/>
                <w:lang w:val="bg-BG"/>
              </w:rPr>
              <w:t>Плавателни съдове за отдих</w:t>
            </w:r>
          </w:p>
        </w:tc>
        <w:tc>
          <w:tcPr>
            <w:tcW w:w="6521" w:type="dxa"/>
            <w:shd w:val="clear" w:color="auto" w:fill="auto"/>
          </w:tcPr>
          <w:p w:rsidR="009F3675" w:rsidRPr="009072DA" w:rsidRDefault="009F3675" w:rsidP="005B1BE0">
            <w:pPr>
              <w:spacing w:before="60" w:after="60" w:line="240" w:lineRule="atLeast"/>
              <w:rPr>
                <w:rFonts w:cs="Arial"/>
                <w:sz w:val="18"/>
                <w:szCs w:val="18"/>
                <w:lang w:val="bg-BG"/>
              </w:rPr>
            </w:pPr>
            <w:r w:rsidRPr="009072DA">
              <w:rPr>
                <w:sz w:val="18"/>
                <w:lang w:val="bg-BG"/>
              </w:rPr>
              <w:t>Вж. разпоредбите, залегнали в регламентите за плавателни съдове, изключени от обхвата на Директива 82/714/ЕИО: „Липса на явна опасност“.</w:t>
            </w: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p>
        </w:tc>
      </w:tr>
      <w:tr w:rsidR="009F3675" w:rsidRPr="009072DA" w:rsidTr="001964F8">
        <w:trPr>
          <w:cantSplit/>
          <w:jc w:val="center"/>
        </w:trPr>
        <w:tc>
          <w:tcPr>
            <w:tcW w:w="6096" w:type="dxa"/>
            <w:gridSpan w:val="3"/>
            <w:shd w:val="clear" w:color="auto" w:fill="auto"/>
          </w:tcPr>
          <w:p w:rsidR="009F3675" w:rsidRPr="009072DA" w:rsidRDefault="009F3675" w:rsidP="00A8005B">
            <w:pPr>
              <w:tabs>
                <w:tab w:val="left" w:pos="1080"/>
              </w:tabs>
              <w:spacing w:before="60" w:after="60" w:line="240" w:lineRule="atLeast"/>
              <w:jc w:val="center"/>
              <w:rPr>
                <w:rFonts w:cs="Arial"/>
                <w:sz w:val="18"/>
                <w:szCs w:val="18"/>
                <w:lang w:val="bg-BG"/>
              </w:rPr>
            </w:pPr>
            <w:r w:rsidRPr="009072DA">
              <w:rPr>
                <w:b/>
                <w:sz w:val="18"/>
                <w:lang w:val="bg-BG"/>
              </w:rPr>
              <w:t>ГЛАВА 29</w:t>
            </w:r>
          </w:p>
        </w:tc>
        <w:tc>
          <w:tcPr>
            <w:tcW w:w="6521" w:type="dxa"/>
            <w:shd w:val="clear" w:color="auto" w:fill="auto"/>
          </w:tcPr>
          <w:p w:rsidR="009F3675" w:rsidRPr="009072DA" w:rsidRDefault="009F3675" w:rsidP="00A8005B">
            <w:pPr>
              <w:adjustRightInd w:val="0"/>
              <w:spacing w:before="60" w:after="60" w:line="240" w:lineRule="atLeast"/>
              <w:jc w:val="center"/>
              <w:rPr>
                <w:rFonts w:cs="Arial"/>
                <w:sz w:val="18"/>
                <w:szCs w:val="18"/>
                <w:lang w:val="bg-BG"/>
              </w:rPr>
            </w:pP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p>
        </w:tc>
      </w:tr>
      <w:tr w:rsidR="009F3675" w:rsidRPr="009072DA" w:rsidTr="001964F8">
        <w:trPr>
          <w:cantSplit/>
          <w:jc w:val="center"/>
        </w:trPr>
        <w:tc>
          <w:tcPr>
            <w:tcW w:w="1342"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 xml:space="preserve">29.02 </w:t>
            </w:r>
          </w:p>
        </w:tc>
        <w:tc>
          <w:tcPr>
            <w:tcW w:w="1458"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Точка 3</w:t>
            </w:r>
          </w:p>
        </w:tc>
        <w:tc>
          <w:tcPr>
            <w:tcW w:w="3296" w:type="dxa"/>
            <w:shd w:val="clear" w:color="auto" w:fill="auto"/>
          </w:tcPr>
          <w:p w:rsidR="009F3675" w:rsidRPr="009072DA" w:rsidRDefault="009F3675" w:rsidP="00A8005B">
            <w:pPr>
              <w:tabs>
                <w:tab w:val="left" w:pos="1080"/>
              </w:tabs>
              <w:spacing w:before="60" w:after="60" w:line="240" w:lineRule="atLeast"/>
              <w:rPr>
                <w:rFonts w:cs="Arial"/>
                <w:sz w:val="18"/>
                <w:szCs w:val="18"/>
                <w:lang w:val="bg-BG"/>
              </w:rPr>
            </w:pPr>
            <w:r w:rsidRPr="009072DA">
              <w:rPr>
                <w:sz w:val="18"/>
                <w:lang w:val="bg-BG"/>
              </w:rPr>
              <w:t>В експлоатация влиза второ независимо задвижващо звено на рулевия апарат или ръчно задвижващо звено</w:t>
            </w:r>
          </w:p>
        </w:tc>
        <w:tc>
          <w:tcPr>
            <w:tcW w:w="6521"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F3675" w:rsidRPr="009072DA" w:rsidRDefault="009F3675" w:rsidP="00A8005B">
            <w:pPr>
              <w:spacing w:before="60" w:after="60" w:line="240" w:lineRule="atLeast"/>
              <w:rPr>
                <w:rFonts w:cs="Arial"/>
                <w:sz w:val="18"/>
                <w:szCs w:val="18"/>
                <w:lang w:val="bg-BG"/>
              </w:rPr>
            </w:pPr>
            <w:r w:rsidRPr="009072DA">
              <w:rPr>
                <w:sz w:val="18"/>
                <w:lang w:val="bg-BG"/>
              </w:rPr>
              <w:t>30.12.2029 г.</w:t>
            </w:r>
          </w:p>
        </w:tc>
      </w:tr>
    </w:tbl>
    <w:p w:rsidR="001E2331" w:rsidRPr="009072DA" w:rsidRDefault="001E2331" w:rsidP="001E2331">
      <w:pPr>
        <w:spacing w:line="240" w:lineRule="atLeast"/>
        <w:ind w:left="567" w:hanging="567"/>
        <w:rPr>
          <w:lang w:val="bg-BG"/>
        </w:rPr>
      </w:pPr>
    </w:p>
    <w:p w:rsidR="00A455C7" w:rsidRPr="009072DA" w:rsidRDefault="00A455C7" w:rsidP="001E2331">
      <w:pPr>
        <w:spacing w:line="240" w:lineRule="atLeast"/>
        <w:ind w:left="567" w:hanging="567"/>
        <w:rPr>
          <w:lang w:val="bg-BG"/>
        </w:rPr>
      </w:pPr>
    </w:p>
    <w:p w:rsidR="00AA5614" w:rsidRPr="009072DA" w:rsidRDefault="00AA5614">
      <w:pPr>
        <w:rPr>
          <w:rFonts w:eastAsia="Calibri"/>
          <w:b/>
          <w:lang w:val="bg-BG"/>
        </w:rPr>
      </w:pPr>
      <w:r w:rsidRPr="009072DA">
        <w:rPr>
          <w:lang w:val="bg-BG"/>
        </w:rPr>
        <w:br w:type="page"/>
      </w:r>
    </w:p>
    <w:p w:rsidR="00A455C7" w:rsidRPr="009072DA" w:rsidRDefault="001E2331" w:rsidP="00A455C7">
      <w:pPr>
        <w:pStyle w:val="ES-Titre3"/>
        <w:rPr>
          <w:lang w:val="bg-BG"/>
        </w:rPr>
      </w:pPr>
      <w:bookmarkStart w:id="588" w:name="_Toc491854288"/>
      <w:bookmarkStart w:id="589" w:name="_Toc535827729"/>
      <w:r w:rsidRPr="009072DA">
        <w:rPr>
          <w:lang w:val="bg-BG"/>
        </w:rPr>
        <w:lastRenderedPageBreak/>
        <w:t>Член 33.03</w:t>
      </w:r>
      <w:bookmarkEnd w:id="588"/>
      <w:bookmarkEnd w:id="589"/>
    </w:p>
    <w:p w:rsidR="001E2331" w:rsidRPr="009072DA" w:rsidRDefault="00934A8A" w:rsidP="00A455C7">
      <w:pPr>
        <w:pStyle w:val="ES-Titre3a"/>
        <w:rPr>
          <w:lang w:val="bg-BG"/>
        </w:rPr>
      </w:pPr>
      <w:bookmarkStart w:id="590" w:name="_Toc421775899"/>
      <w:bookmarkStart w:id="591" w:name="_Toc491854289"/>
      <w:bookmarkStart w:id="592" w:name="_Toc535827730"/>
      <w:r w:rsidRPr="009072DA">
        <w:rPr>
          <w:lang w:val="bg-BG"/>
        </w:rPr>
        <w:t>Допълнителни преходни разпоредби относно плавателните средства, които са построени преди 1 януари 1985 г.</w:t>
      </w:r>
      <w:bookmarkEnd w:id="590"/>
      <w:bookmarkEnd w:id="591"/>
      <w:bookmarkEnd w:id="592"/>
    </w:p>
    <w:p w:rsidR="001E2331" w:rsidRPr="009072DA" w:rsidRDefault="001E2331" w:rsidP="001E2331">
      <w:pPr>
        <w:spacing w:line="240" w:lineRule="atLeast"/>
        <w:ind w:left="567" w:hanging="567"/>
        <w:rPr>
          <w:lang w:val="bg-BG"/>
        </w:rPr>
      </w:pPr>
    </w:p>
    <w:p w:rsidR="00934A8A" w:rsidRPr="009072DA" w:rsidRDefault="00934A8A" w:rsidP="00934A8A">
      <w:pPr>
        <w:spacing w:line="240" w:lineRule="atLeast"/>
        <w:ind w:left="567" w:hanging="567"/>
        <w:rPr>
          <w:lang w:val="bg-BG"/>
        </w:rPr>
      </w:pPr>
      <w:r w:rsidRPr="009072DA">
        <w:rPr>
          <w:lang w:val="bg-BG"/>
        </w:rPr>
        <w:t xml:space="preserve">1. </w:t>
      </w:r>
      <w:r w:rsidRPr="009072DA">
        <w:rPr>
          <w:lang w:val="bg-BG"/>
        </w:rPr>
        <w:tab/>
        <w:t>В допълнение към преходните разпоредби на член 33.02 следните разпоредби могат да бъдат прилагани по отношение на плавателни средства, които са били построени преди 1 януари 1985 г., при условие че са налице подходящи гаранции за безопасността на плавателния съд и екипажа.</w:t>
      </w:r>
    </w:p>
    <w:p w:rsidR="00934A8A" w:rsidRPr="009072DA" w:rsidRDefault="00934A8A" w:rsidP="00934A8A">
      <w:pPr>
        <w:spacing w:line="240" w:lineRule="atLeast"/>
        <w:ind w:left="567" w:hanging="567"/>
        <w:rPr>
          <w:highlight w:val="yellow"/>
          <w:lang w:val="bg-BG"/>
        </w:rPr>
      </w:pPr>
    </w:p>
    <w:p w:rsidR="00934A8A" w:rsidRPr="009072DA" w:rsidRDefault="00934A8A" w:rsidP="00934A8A">
      <w:pPr>
        <w:spacing w:line="240" w:lineRule="atLeast"/>
        <w:ind w:left="567" w:hanging="567"/>
        <w:rPr>
          <w:lang w:val="bg-BG"/>
        </w:rPr>
      </w:pPr>
      <w:r w:rsidRPr="009072DA">
        <w:rPr>
          <w:lang w:val="bg-BG"/>
        </w:rPr>
        <w:t>2.</w:t>
      </w:r>
      <w:r w:rsidRPr="009072DA">
        <w:rPr>
          <w:lang w:val="bg-BG"/>
        </w:rPr>
        <w:tab/>
        <w:t>За таблицата по-долу важат следните определения:</w:t>
      </w:r>
    </w:p>
    <w:p w:rsidR="00934A8A" w:rsidRPr="009072DA" w:rsidRDefault="00934A8A" w:rsidP="00934A8A">
      <w:pPr>
        <w:spacing w:line="240" w:lineRule="atLeast"/>
        <w:ind w:left="567" w:hanging="567"/>
        <w:rPr>
          <w:lang w:val="bg-BG"/>
        </w:rPr>
      </w:pPr>
    </w:p>
    <w:p w:rsidR="00934A8A" w:rsidRPr="009072DA" w:rsidRDefault="00934A8A" w:rsidP="00934A8A">
      <w:pPr>
        <w:spacing w:line="240" w:lineRule="atLeast"/>
        <w:ind w:left="567"/>
        <w:rPr>
          <w:lang w:val="bg-BG"/>
        </w:rPr>
      </w:pPr>
      <w:r w:rsidRPr="009072DA">
        <w:rPr>
          <w:lang w:val="bg-BG"/>
        </w:rPr>
        <w:t xml:space="preserve">„НЗР“: разпоредбата не се прилага за плавателни средства, които вече са в експлоатация, освен ако въпросните части не бъдат заменени или преустроени, т.е. разпоредбата важи само по отношение на </w:t>
      </w:r>
      <w:r w:rsidRPr="009072DA">
        <w:rPr>
          <w:u w:val="single"/>
          <w:lang w:val="bg-BG"/>
        </w:rPr>
        <w:t>Н</w:t>
      </w:r>
      <w:r w:rsidRPr="009072DA">
        <w:rPr>
          <w:lang w:val="bg-BG"/>
        </w:rPr>
        <w:t xml:space="preserve">овоизградени плавателни средства и на </w:t>
      </w:r>
      <w:r w:rsidRPr="009072DA">
        <w:rPr>
          <w:u w:val="single"/>
          <w:lang w:val="bg-BG"/>
        </w:rPr>
        <w:t>З</w:t>
      </w:r>
      <w:r w:rsidRPr="009072DA">
        <w:rPr>
          <w:lang w:val="bg-BG"/>
        </w:rPr>
        <w:t xml:space="preserve">амяната или </w:t>
      </w:r>
      <w:r w:rsidRPr="009072DA">
        <w:rPr>
          <w:u w:val="single"/>
          <w:lang w:val="bg-BG"/>
        </w:rPr>
        <w:t>Р</w:t>
      </w:r>
      <w:r w:rsidRPr="009072DA">
        <w:rPr>
          <w:lang w:val="bg-BG"/>
        </w:rPr>
        <w:t xml:space="preserve">еконструкцията (преустройството) на въпросните части или пространства. В случай че съществуващи части се заменят от заместващи части  от същия вид при използване на същата технология, това не съставлява замяна „З“ по смисъла на преходните разпоредби. </w:t>
      </w:r>
    </w:p>
    <w:p w:rsidR="00E959CB" w:rsidRPr="009072DA" w:rsidRDefault="00E959CB" w:rsidP="00934A8A">
      <w:pPr>
        <w:spacing w:line="240" w:lineRule="atLeast"/>
        <w:ind w:left="567"/>
        <w:rPr>
          <w:lang w:val="bg-BG"/>
        </w:rPr>
      </w:pPr>
    </w:p>
    <w:p w:rsidR="00E959CB" w:rsidRPr="009072DA" w:rsidRDefault="00E959CB" w:rsidP="00E959CB">
      <w:pPr>
        <w:tabs>
          <w:tab w:val="left" w:pos="4678"/>
        </w:tabs>
        <w:spacing w:line="240" w:lineRule="atLeast"/>
        <w:ind w:left="567"/>
        <w:rPr>
          <w:lang w:val="bg-BG"/>
        </w:rPr>
      </w:pPr>
      <w:r w:rsidRPr="009072DA">
        <w:rPr>
          <w:lang w:val="bg-BG"/>
        </w:rPr>
        <w:t>„Издаване или подновяване на удостоверението на плавателния съд за плаване по вътрешни водни пътища“: разпоредбата трябва да бъде спазена при следващото издаване или подновяване на удостоверението на плавателния съд за плаване по вътрешни водни пътища след посочената дата.</w:t>
      </w:r>
    </w:p>
    <w:p w:rsidR="00E959CB" w:rsidRPr="009072DA" w:rsidRDefault="00E959CB" w:rsidP="00934A8A">
      <w:pPr>
        <w:spacing w:line="240" w:lineRule="atLeast"/>
        <w:ind w:left="567"/>
        <w:rPr>
          <w:lang w:val="bg-BG"/>
        </w:rPr>
      </w:pPr>
    </w:p>
    <w:p w:rsidR="00930A86" w:rsidRPr="009072DA" w:rsidRDefault="00930A86">
      <w:pPr>
        <w:rPr>
          <w:lang w:val="bg-BG"/>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930A86" w:rsidRPr="009072DA" w:rsidTr="00930A86">
        <w:trPr>
          <w:cantSplit/>
          <w:tblHeader/>
          <w:jc w:val="center"/>
        </w:trPr>
        <w:tc>
          <w:tcPr>
            <w:tcW w:w="2800" w:type="dxa"/>
            <w:gridSpan w:val="2"/>
            <w:tcBorders>
              <w:bottom w:val="nil"/>
            </w:tcBorders>
            <w:shd w:val="clear" w:color="auto" w:fill="auto"/>
          </w:tcPr>
          <w:p w:rsidR="00930A86" w:rsidRPr="009072DA" w:rsidRDefault="00930A86" w:rsidP="008525B2">
            <w:pPr>
              <w:spacing w:before="60" w:after="60" w:line="240" w:lineRule="atLeast"/>
              <w:jc w:val="center"/>
              <w:rPr>
                <w:rFonts w:cs="Arial"/>
                <w:sz w:val="18"/>
                <w:szCs w:val="18"/>
                <w:lang w:val="bg-BG"/>
              </w:rPr>
            </w:pPr>
            <w:r w:rsidRPr="009072DA">
              <w:rPr>
                <w:i/>
                <w:sz w:val="18"/>
                <w:lang w:val="bg-BG"/>
              </w:rPr>
              <w:t>Член и точка</w:t>
            </w:r>
          </w:p>
        </w:tc>
        <w:tc>
          <w:tcPr>
            <w:tcW w:w="3296" w:type="dxa"/>
            <w:shd w:val="clear" w:color="auto" w:fill="auto"/>
          </w:tcPr>
          <w:p w:rsidR="00930A86" w:rsidRPr="009072DA" w:rsidRDefault="00930A86" w:rsidP="008525B2">
            <w:pPr>
              <w:spacing w:before="60" w:after="60" w:line="240" w:lineRule="atLeast"/>
              <w:jc w:val="center"/>
              <w:rPr>
                <w:rFonts w:cs="Arial"/>
                <w:sz w:val="18"/>
                <w:szCs w:val="18"/>
                <w:lang w:val="bg-BG"/>
              </w:rPr>
            </w:pPr>
            <w:r w:rsidRPr="009072DA">
              <w:rPr>
                <w:i/>
                <w:sz w:val="18"/>
                <w:lang w:val="bg-BG"/>
              </w:rPr>
              <w:t>Съдържание</w:t>
            </w:r>
          </w:p>
        </w:tc>
        <w:tc>
          <w:tcPr>
            <w:tcW w:w="7797" w:type="dxa"/>
            <w:gridSpan w:val="2"/>
            <w:shd w:val="clear" w:color="auto" w:fill="auto"/>
          </w:tcPr>
          <w:p w:rsidR="00930A86" w:rsidRPr="009072DA" w:rsidRDefault="00930A86" w:rsidP="008525B2">
            <w:pPr>
              <w:spacing w:before="60" w:after="60" w:line="240" w:lineRule="atLeast"/>
              <w:jc w:val="center"/>
              <w:rPr>
                <w:rFonts w:cs="Arial"/>
                <w:sz w:val="18"/>
                <w:szCs w:val="18"/>
                <w:lang w:val="bg-BG"/>
              </w:rPr>
            </w:pPr>
            <w:r w:rsidRPr="009072DA">
              <w:rPr>
                <w:i/>
                <w:sz w:val="18"/>
                <w:lang w:val="bg-BG"/>
              </w:rPr>
              <w:t>Краен срок и бележки</w:t>
            </w:r>
          </w:p>
        </w:tc>
      </w:tr>
      <w:tr w:rsidR="00930A86" w:rsidRPr="009072DA" w:rsidTr="00930A86">
        <w:trPr>
          <w:cantSplit/>
          <w:jc w:val="center"/>
        </w:trPr>
        <w:tc>
          <w:tcPr>
            <w:tcW w:w="6096" w:type="dxa"/>
            <w:gridSpan w:val="3"/>
            <w:shd w:val="clear" w:color="auto" w:fill="auto"/>
          </w:tcPr>
          <w:p w:rsidR="00930A86" w:rsidRPr="009072DA" w:rsidRDefault="00930A86" w:rsidP="008525B2">
            <w:pPr>
              <w:spacing w:before="100" w:after="100" w:line="240" w:lineRule="atLeast"/>
              <w:jc w:val="center"/>
              <w:rPr>
                <w:rFonts w:cs="Arial"/>
                <w:b/>
                <w:sz w:val="18"/>
                <w:szCs w:val="18"/>
                <w:lang w:val="bg-BG"/>
              </w:rPr>
            </w:pPr>
            <w:r w:rsidRPr="009072DA">
              <w:rPr>
                <w:b/>
                <w:sz w:val="18"/>
                <w:lang w:val="bg-BG"/>
              </w:rPr>
              <w:t>ГЛАВА 3</w:t>
            </w:r>
          </w:p>
        </w:tc>
        <w:tc>
          <w:tcPr>
            <w:tcW w:w="6521" w:type="dxa"/>
            <w:shd w:val="clear" w:color="auto" w:fill="auto"/>
          </w:tcPr>
          <w:p w:rsidR="00930A86" w:rsidRPr="009072DA" w:rsidRDefault="00930A86" w:rsidP="008525B2">
            <w:pPr>
              <w:spacing w:before="100" w:after="100" w:line="240" w:lineRule="atLeast"/>
              <w:rPr>
                <w:rFonts w:cs="Arial"/>
                <w:sz w:val="18"/>
                <w:szCs w:val="18"/>
                <w:lang w:val="bg-BG"/>
              </w:rPr>
            </w:pP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tcBorders>
              <w:bottom w:val="nil"/>
            </w:tcBorders>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3.03</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 xml:space="preserve">Точка 1 </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Водонепроницаеми първи носови прегради</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tcBorders>
              <w:top w:val="nil"/>
              <w:bottom w:val="nil"/>
            </w:tcBorders>
            <w:shd w:val="clear" w:color="auto" w:fill="auto"/>
          </w:tcPr>
          <w:p w:rsidR="00930A86" w:rsidRPr="009072DA" w:rsidRDefault="00930A86" w:rsidP="008525B2">
            <w:pPr>
              <w:spacing w:before="100" w:after="100" w:line="240" w:lineRule="atLeast"/>
              <w:rPr>
                <w:rFonts w:cs="Arial"/>
                <w:sz w:val="18"/>
                <w:szCs w:val="18"/>
                <w:lang w:val="bg-BG"/>
              </w:rPr>
            </w:pP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2</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Жилищни помещения, оборудване за безопасност</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tcBorders>
              <w:top w:val="nil"/>
              <w:bottom w:val="single" w:sz="4" w:space="0" w:color="auto"/>
            </w:tcBorders>
            <w:shd w:val="clear" w:color="auto" w:fill="auto"/>
          </w:tcPr>
          <w:p w:rsidR="00930A86" w:rsidRPr="009072DA" w:rsidRDefault="00930A86" w:rsidP="008525B2">
            <w:pPr>
              <w:spacing w:before="100" w:after="100" w:line="240" w:lineRule="atLeast"/>
              <w:rPr>
                <w:rFonts w:cs="Arial"/>
                <w:sz w:val="18"/>
                <w:szCs w:val="18"/>
                <w:lang w:val="bg-BG"/>
              </w:rPr>
            </w:pP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5</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Отвори във водонепроницаемите прегради</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tcBorders>
              <w:bottom w:val="nil"/>
            </w:tcBorders>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3.04</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2</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Общи стени на бункерите, жилищните помещения и помещенията за пътници</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tcBorders>
              <w:top w:val="nil"/>
            </w:tcBorders>
            <w:shd w:val="clear" w:color="auto" w:fill="auto"/>
          </w:tcPr>
          <w:p w:rsidR="00930A86" w:rsidRPr="009072DA" w:rsidRDefault="00930A86" w:rsidP="008525B2">
            <w:pPr>
              <w:spacing w:before="100" w:after="100" w:line="240" w:lineRule="atLeast"/>
              <w:rPr>
                <w:rFonts w:cs="Arial"/>
                <w:sz w:val="18"/>
                <w:szCs w:val="18"/>
                <w:lang w:val="bg-BG"/>
              </w:rPr>
            </w:pP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7</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Максимално допустимо ниво на звуковото налягане в машинното отделение</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6096" w:type="dxa"/>
            <w:gridSpan w:val="3"/>
            <w:shd w:val="clear" w:color="auto" w:fill="auto"/>
          </w:tcPr>
          <w:p w:rsidR="00930A86" w:rsidRPr="009072DA" w:rsidRDefault="00930A86" w:rsidP="008525B2">
            <w:pPr>
              <w:spacing w:before="100" w:after="100" w:line="240" w:lineRule="atLeast"/>
              <w:jc w:val="center"/>
              <w:rPr>
                <w:rFonts w:cs="Arial"/>
                <w:sz w:val="18"/>
                <w:szCs w:val="18"/>
                <w:lang w:val="bg-BG"/>
              </w:rPr>
            </w:pPr>
            <w:r w:rsidRPr="009072DA">
              <w:rPr>
                <w:b/>
                <w:sz w:val="18"/>
                <w:lang w:val="bg-BG"/>
              </w:rPr>
              <w:t>ГЛАВА 4</w:t>
            </w:r>
          </w:p>
        </w:tc>
        <w:tc>
          <w:tcPr>
            <w:tcW w:w="6521" w:type="dxa"/>
            <w:shd w:val="clear" w:color="auto" w:fill="auto"/>
          </w:tcPr>
          <w:p w:rsidR="00930A86" w:rsidRPr="009072DA" w:rsidRDefault="00930A86" w:rsidP="008525B2">
            <w:pPr>
              <w:spacing w:before="100" w:after="100" w:line="240" w:lineRule="atLeast"/>
              <w:rPr>
                <w:rFonts w:cs="Arial"/>
                <w:b/>
                <w:sz w:val="18"/>
                <w:szCs w:val="18"/>
                <w:lang w:val="bg-BG"/>
              </w:rPr>
            </w:pP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4.01</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1</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Разстояние на безопасност</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 след</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30.12.2019 г.</w:t>
            </w: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4.02</w:t>
            </w:r>
          </w:p>
        </w:tc>
        <w:tc>
          <w:tcPr>
            <w:tcW w:w="1458" w:type="dxa"/>
            <w:shd w:val="clear" w:color="auto" w:fill="auto"/>
          </w:tcPr>
          <w:p w:rsidR="00930A86" w:rsidRPr="009072DA" w:rsidRDefault="00930A86" w:rsidP="008525B2">
            <w:pPr>
              <w:spacing w:before="100" w:after="100" w:line="240" w:lineRule="atLeast"/>
              <w:jc w:val="center"/>
              <w:rPr>
                <w:rFonts w:cs="Arial"/>
                <w:sz w:val="18"/>
                <w:szCs w:val="18"/>
                <w:lang w:val="bg-BG"/>
              </w:rPr>
            </w:pP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Надводен борд</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6096" w:type="dxa"/>
            <w:gridSpan w:val="3"/>
            <w:shd w:val="clear" w:color="auto" w:fill="auto"/>
          </w:tcPr>
          <w:p w:rsidR="00930A86" w:rsidRPr="009072DA" w:rsidRDefault="00930A86" w:rsidP="008525B2">
            <w:pPr>
              <w:spacing w:before="100" w:after="100" w:line="240" w:lineRule="atLeast"/>
              <w:jc w:val="center"/>
              <w:rPr>
                <w:rFonts w:cs="Arial"/>
                <w:sz w:val="18"/>
                <w:szCs w:val="18"/>
                <w:lang w:val="bg-BG"/>
              </w:rPr>
            </w:pPr>
            <w:r w:rsidRPr="009072DA">
              <w:rPr>
                <w:b/>
                <w:sz w:val="18"/>
                <w:lang w:val="bg-BG"/>
              </w:rPr>
              <w:t>ГЛАВА 6</w:t>
            </w:r>
          </w:p>
        </w:tc>
        <w:tc>
          <w:tcPr>
            <w:tcW w:w="6521" w:type="dxa"/>
            <w:shd w:val="clear" w:color="auto" w:fill="auto"/>
          </w:tcPr>
          <w:p w:rsidR="00930A86" w:rsidRPr="009072DA" w:rsidRDefault="00930A86" w:rsidP="008525B2">
            <w:pPr>
              <w:spacing w:before="100" w:after="100" w:line="240" w:lineRule="atLeast"/>
              <w:rPr>
                <w:rFonts w:cs="Arial"/>
                <w:sz w:val="18"/>
                <w:szCs w:val="18"/>
                <w:lang w:val="bg-BG"/>
              </w:rPr>
            </w:pP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6.01</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3</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Изисквания към рулевата система</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6096" w:type="dxa"/>
            <w:gridSpan w:val="3"/>
            <w:shd w:val="clear" w:color="auto" w:fill="auto"/>
          </w:tcPr>
          <w:p w:rsidR="00930A86" w:rsidRPr="009072DA" w:rsidRDefault="00930A86" w:rsidP="008525B2">
            <w:pPr>
              <w:spacing w:before="100" w:after="100" w:line="240" w:lineRule="atLeast"/>
              <w:jc w:val="center"/>
              <w:rPr>
                <w:rFonts w:cs="Arial"/>
                <w:sz w:val="18"/>
                <w:szCs w:val="18"/>
                <w:lang w:val="bg-BG"/>
              </w:rPr>
            </w:pPr>
            <w:r w:rsidRPr="009072DA">
              <w:rPr>
                <w:b/>
                <w:sz w:val="18"/>
                <w:lang w:val="bg-BG"/>
              </w:rPr>
              <w:t>ГЛАВА 7</w:t>
            </w:r>
          </w:p>
        </w:tc>
        <w:tc>
          <w:tcPr>
            <w:tcW w:w="6521" w:type="dxa"/>
            <w:shd w:val="clear" w:color="auto" w:fill="auto"/>
          </w:tcPr>
          <w:p w:rsidR="00930A86" w:rsidRPr="009072DA" w:rsidRDefault="00930A86" w:rsidP="008525B2">
            <w:pPr>
              <w:spacing w:before="100" w:after="100" w:line="240" w:lineRule="atLeast"/>
              <w:rPr>
                <w:rFonts w:cs="Arial"/>
                <w:sz w:val="18"/>
                <w:szCs w:val="18"/>
                <w:lang w:val="bg-BG"/>
              </w:rPr>
            </w:pP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7.01</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2</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Звуково налягане, създавано от плавателния съд</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8D2440"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7.05</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2</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Следене на навигационните светлини</w:t>
            </w:r>
          </w:p>
        </w:tc>
        <w:tc>
          <w:tcPr>
            <w:tcW w:w="6521" w:type="dxa"/>
            <w:shd w:val="clear" w:color="auto" w:fill="auto"/>
          </w:tcPr>
          <w:p w:rsidR="00930A86" w:rsidRPr="009072DA" w:rsidRDefault="00930A86" w:rsidP="005B1BE0">
            <w:pPr>
              <w:spacing w:before="100" w:after="100" w:line="240" w:lineRule="atLeast"/>
              <w:rPr>
                <w:rFonts w:cs="Arial"/>
                <w:sz w:val="18"/>
                <w:szCs w:val="18"/>
                <w:lang w:val="bg-BG"/>
              </w:rPr>
            </w:pPr>
            <w:r w:rsidRPr="009072DA">
              <w:rPr>
                <w:sz w:val="18"/>
                <w:lang w:val="bg-BG"/>
              </w:rPr>
              <w:t>Подновяване на удостоверението на плавателния съд за плаване по вътрешни водни пътища.</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7.12</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Спускаеми рулеви рубки</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6096" w:type="dxa"/>
            <w:gridSpan w:val="3"/>
            <w:shd w:val="clear" w:color="auto" w:fill="auto"/>
          </w:tcPr>
          <w:p w:rsidR="00930A86" w:rsidRPr="009072DA" w:rsidRDefault="00930A86" w:rsidP="008525B2">
            <w:pPr>
              <w:spacing w:before="100" w:after="100" w:line="240" w:lineRule="atLeast"/>
              <w:jc w:val="center"/>
              <w:rPr>
                <w:rFonts w:cs="Arial"/>
                <w:sz w:val="18"/>
                <w:szCs w:val="18"/>
                <w:lang w:val="bg-BG"/>
              </w:rPr>
            </w:pPr>
            <w:r w:rsidRPr="009072DA">
              <w:rPr>
                <w:b/>
                <w:sz w:val="18"/>
                <w:lang w:val="bg-BG"/>
              </w:rPr>
              <w:t>ГЛАВА 8</w:t>
            </w:r>
          </w:p>
        </w:tc>
        <w:tc>
          <w:tcPr>
            <w:tcW w:w="6521" w:type="dxa"/>
            <w:shd w:val="clear" w:color="auto" w:fill="auto"/>
          </w:tcPr>
          <w:p w:rsidR="00930A86" w:rsidRPr="009072DA" w:rsidRDefault="00930A86" w:rsidP="008525B2">
            <w:pPr>
              <w:spacing w:before="100" w:after="100" w:line="240" w:lineRule="atLeast"/>
              <w:rPr>
                <w:rFonts w:cs="Arial"/>
                <w:sz w:val="18"/>
                <w:szCs w:val="18"/>
                <w:lang w:val="bg-BG"/>
              </w:rPr>
            </w:pP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8.01</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3</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Забрана на определени течни горива</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8D2440"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lastRenderedPageBreak/>
              <w:t>8.04</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Изпускателна система на двигателя</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 най-късно при подновяване на удостоверението на плавателния съд за плаване по вътрешни водни пътища.</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AA5614" w:rsidRPr="009072DA" w:rsidTr="00930A86">
        <w:trPr>
          <w:cantSplit/>
          <w:jc w:val="center"/>
        </w:trPr>
        <w:tc>
          <w:tcPr>
            <w:tcW w:w="1342" w:type="dxa"/>
            <w:shd w:val="clear" w:color="auto" w:fill="auto"/>
          </w:tcPr>
          <w:p w:rsidR="00AA5614" w:rsidRPr="009072DA" w:rsidRDefault="00AA5614" w:rsidP="008525B2">
            <w:pPr>
              <w:spacing w:before="100" w:after="100" w:line="240" w:lineRule="atLeast"/>
              <w:rPr>
                <w:rFonts w:cs="Arial"/>
                <w:sz w:val="18"/>
                <w:szCs w:val="18"/>
                <w:lang w:val="bg-BG"/>
              </w:rPr>
            </w:pPr>
            <w:r w:rsidRPr="009072DA">
              <w:rPr>
                <w:sz w:val="18"/>
                <w:lang w:val="bg-BG"/>
              </w:rPr>
              <w:t>8.05</w:t>
            </w:r>
          </w:p>
        </w:tc>
        <w:tc>
          <w:tcPr>
            <w:tcW w:w="1458" w:type="dxa"/>
            <w:shd w:val="clear" w:color="auto" w:fill="auto"/>
          </w:tcPr>
          <w:p w:rsidR="00AA5614" w:rsidRPr="009072DA" w:rsidRDefault="00AA5614" w:rsidP="008525B2">
            <w:pPr>
              <w:spacing w:before="100" w:after="100" w:line="240" w:lineRule="atLeast"/>
              <w:rPr>
                <w:rFonts w:cs="Arial"/>
                <w:sz w:val="18"/>
                <w:szCs w:val="18"/>
                <w:lang w:val="bg-BG"/>
              </w:rPr>
            </w:pPr>
            <w:r w:rsidRPr="009072DA">
              <w:rPr>
                <w:sz w:val="18"/>
                <w:lang w:val="bg-BG"/>
              </w:rPr>
              <w:t>Точка 13</w:t>
            </w:r>
          </w:p>
        </w:tc>
        <w:tc>
          <w:tcPr>
            <w:tcW w:w="3296" w:type="dxa"/>
            <w:shd w:val="clear" w:color="auto" w:fill="auto"/>
          </w:tcPr>
          <w:p w:rsidR="00AA5614" w:rsidRPr="009072DA" w:rsidRDefault="00AA5614" w:rsidP="008525B2">
            <w:pPr>
              <w:spacing w:before="100" w:after="100" w:line="240" w:lineRule="atLeast"/>
              <w:ind w:left="15" w:hanging="15"/>
              <w:rPr>
                <w:rFonts w:cs="Arial"/>
                <w:sz w:val="18"/>
                <w:szCs w:val="18"/>
                <w:lang w:val="bg-BG"/>
              </w:rPr>
            </w:pPr>
            <w:r w:rsidRPr="009072DA">
              <w:rPr>
                <w:sz w:val="18"/>
                <w:lang w:val="bg-BG"/>
              </w:rPr>
              <w:t>Контрол на равнището на напълване не само за главните двигатели, а също и за другите двигатели, необходими за безопасна експлоатация на плавателния съд</w:t>
            </w:r>
          </w:p>
        </w:tc>
        <w:tc>
          <w:tcPr>
            <w:tcW w:w="6521" w:type="dxa"/>
            <w:shd w:val="clear" w:color="auto" w:fill="auto"/>
          </w:tcPr>
          <w:p w:rsidR="00AA5614"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AA5614" w:rsidRPr="009072DA" w:rsidRDefault="00AA5614"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8.08</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2</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Оборудване с осушителни помпи</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8.08</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Точки 3 и 4</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Диаметър и минимален капацитет на осушителните помпи</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8.08</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5</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Самозасмукващи осушителни помпи</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8.08</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6</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Оборудване с филтри</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8.08</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7</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Автоматично затваряща се арматура</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8.10</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2</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Шум, създаван от плавателния съд в движение</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6096" w:type="dxa"/>
            <w:gridSpan w:val="3"/>
            <w:shd w:val="clear" w:color="auto" w:fill="auto"/>
          </w:tcPr>
          <w:p w:rsidR="00930A86" w:rsidRPr="009072DA" w:rsidRDefault="00930A86" w:rsidP="008525B2">
            <w:pPr>
              <w:spacing w:before="100" w:after="100" w:line="240" w:lineRule="atLeast"/>
              <w:jc w:val="center"/>
              <w:rPr>
                <w:rFonts w:cs="Arial"/>
                <w:sz w:val="18"/>
                <w:szCs w:val="18"/>
                <w:lang w:val="bg-BG"/>
              </w:rPr>
            </w:pPr>
            <w:r w:rsidRPr="009072DA">
              <w:rPr>
                <w:b/>
                <w:sz w:val="18"/>
                <w:lang w:val="bg-BG"/>
              </w:rPr>
              <w:t>ГЛАВА 10</w:t>
            </w:r>
          </w:p>
        </w:tc>
        <w:tc>
          <w:tcPr>
            <w:tcW w:w="6521" w:type="dxa"/>
            <w:shd w:val="clear" w:color="auto" w:fill="auto"/>
          </w:tcPr>
          <w:p w:rsidR="00930A86" w:rsidRPr="009072DA" w:rsidRDefault="00930A86" w:rsidP="008525B2">
            <w:pPr>
              <w:spacing w:before="100" w:after="100" w:line="240" w:lineRule="atLeast"/>
              <w:rPr>
                <w:rFonts w:cs="Arial"/>
                <w:sz w:val="18"/>
                <w:szCs w:val="18"/>
                <w:lang w:val="bg-BG"/>
              </w:rPr>
            </w:pP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10.01</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2</w:t>
            </w:r>
          </w:p>
        </w:tc>
        <w:tc>
          <w:tcPr>
            <w:tcW w:w="3296" w:type="dxa"/>
            <w:shd w:val="clear" w:color="auto" w:fill="auto"/>
          </w:tcPr>
          <w:p w:rsidR="00930A86" w:rsidRPr="009072DA" w:rsidRDefault="00E1635F" w:rsidP="00E1635F">
            <w:pPr>
              <w:spacing w:before="100" w:after="100" w:line="240" w:lineRule="atLeast"/>
              <w:rPr>
                <w:rFonts w:cs="Arial"/>
                <w:sz w:val="18"/>
                <w:szCs w:val="18"/>
                <w:lang w:val="bg-BG"/>
              </w:rPr>
            </w:pPr>
            <w:r w:rsidRPr="009072DA">
              <w:rPr>
                <w:sz w:val="18"/>
                <w:lang w:val="bg-BG"/>
              </w:rPr>
              <w:t>Документи за електрически инсталации</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10.01</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3</w:t>
            </w:r>
          </w:p>
        </w:tc>
        <w:tc>
          <w:tcPr>
            <w:tcW w:w="3296" w:type="dxa"/>
            <w:shd w:val="clear" w:color="auto" w:fill="auto"/>
          </w:tcPr>
          <w:p w:rsidR="00930A86" w:rsidRPr="009072DA" w:rsidRDefault="00930A86" w:rsidP="00116526">
            <w:pPr>
              <w:spacing w:before="100" w:after="100" w:line="240" w:lineRule="atLeast"/>
              <w:rPr>
                <w:rFonts w:cs="Arial"/>
                <w:sz w:val="18"/>
                <w:szCs w:val="18"/>
                <w:lang w:val="bg-BG"/>
              </w:rPr>
            </w:pPr>
            <w:r w:rsidRPr="009072DA">
              <w:rPr>
                <w:sz w:val="18"/>
                <w:lang w:val="bg-BG"/>
              </w:rPr>
              <w:t>Проектиране на електрическа инсталация</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10.06</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Максимално допустимо напрежение</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10.10</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p>
        </w:tc>
        <w:tc>
          <w:tcPr>
            <w:tcW w:w="3296" w:type="dxa"/>
            <w:shd w:val="clear" w:color="auto" w:fill="auto"/>
          </w:tcPr>
          <w:p w:rsidR="00930A86" w:rsidRPr="009072DA" w:rsidRDefault="00694E6B" w:rsidP="008525B2">
            <w:pPr>
              <w:spacing w:before="100" w:after="100" w:line="240" w:lineRule="atLeast"/>
              <w:rPr>
                <w:rFonts w:cs="Arial"/>
                <w:sz w:val="18"/>
                <w:szCs w:val="18"/>
                <w:lang w:val="bg-BG"/>
              </w:rPr>
            </w:pPr>
            <w:r w:rsidRPr="009072DA">
              <w:rPr>
                <w:sz w:val="18"/>
                <w:lang w:val="bg-BG"/>
              </w:rPr>
              <w:t>Генератори, двигатели и трансформатори</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10.11</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2</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Монтаж на акумулатори</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lastRenderedPageBreak/>
              <w:t xml:space="preserve">10.12 </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2</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Прекъсвачи, предпазители</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 xml:space="preserve">10.14 </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3</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Едновременно превключване</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10.15</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Кабели</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 xml:space="preserve">10.16 </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3</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Осветление в машинните отделения</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10.17</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1</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Разпределителни табла за навигационни светлини</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10.17</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2</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Захранване на навигационните светлини</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6096" w:type="dxa"/>
            <w:gridSpan w:val="3"/>
            <w:shd w:val="clear" w:color="auto" w:fill="auto"/>
          </w:tcPr>
          <w:p w:rsidR="00930A86" w:rsidRPr="009072DA" w:rsidRDefault="00930A86" w:rsidP="008525B2">
            <w:pPr>
              <w:spacing w:before="100" w:after="100" w:line="240" w:lineRule="atLeast"/>
              <w:jc w:val="center"/>
              <w:rPr>
                <w:rFonts w:cs="Arial"/>
                <w:sz w:val="18"/>
                <w:szCs w:val="18"/>
                <w:lang w:val="bg-BG"/>
              </w:rPr>
            </w:pPr>
            <w:r w:rsidRPr="009072DA">
              <w:rPr>
                <w:b/>
                <w:sz w:val="18"/>
                <w:lang w:val="bg-BG"/>
              </w:rPr>
              <w:t>ГЛАВА 13</w:t>
            </w:r>
          </w:p>
        </w:tc>
        <w:tc>
          <w:tcPr>
            <w:tcW w:w="6521" w:type="dxa"/>
            <w:shd w:val="clear" w:color="auto" w:fill="auto"/>
          </w:tcPr>
          <w:p w:rsidR="00930A86" w:rsidRPr="009072DA" w:rsidRDefault="00930A86" w:rsidP="008525B2">
            <w:pPr>
              <w:spacing w:before="100" w:after="100" w:line="240" w:lineRule="atLeast"/>
              <w:rPr>
                <w:rFonts w:cs="Arial"/>
                <w:sz w:val="18"/>
                <w:szCs w:val="18"/>
                <w:lang w:val="bg-BG"/>
              </w:rPr>
            </w:pP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13.01</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9</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Котвени брашпили за котви с маса над 50 kg</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13.07</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1</w:t>
            </w:r>
          </w:p>
        </w:tc>
        <w:tc>
          <w:tcPr>
            <w:tcW w:w="3296" w:type="dxa"/>
            <w:shd w:val="clear" w:color="auto" w:fill="auto"/>
          </w:tcPr>
          <w:p w:rsidR="00930A86" w:rsidRPr="009072DA" w:rsidRDefault="00AA5614" w:rsidP="008525B2">
            <w:pPr>
              <w:spacing w:before="100" w:after="100" w:line="240" w:lineRule="atLeast"/>
              <w:rPr>
                <w:rFonts w:cs="Arial"/>
                <w:sz w:val="18"/>
                <w:szCs w:val="18"/>
                <w:lang w:val="bg-BG"/>
              </w:rPr>
            </w:pPr>
            <w:r w:rsidRPr="009072DA">
              <w:rPr>
                <w:sz w:val="18"/>
                <w:lang w:val="bg-BG"/>
              </w:rPr>
              <w:t>Прилагане на европейския стандарт за корабна лодка</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13.08</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1</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Прилагане на стандарта за спасителни кръгове</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13.08</w:t>
            </w:r>
          </w:p>
        </w:tc>
        <w:tc>
          <w:tcPr>
            <w:tcW w:w="1458"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Точка 2</w:t>
            </w:r>
          </w:p>
        </w:tc>
        <w:tc>
          <w:tcPr>
            <w:tcW w:w="3296" w:type="dxa"/>
            <w:shd w:val="clear" w:color="auto" w:fill="auto"/>
          </w:tcPr>
          <w:p w:rsidR="00930A86" w:rsidRPr="009072DA" w:rsidRDefault="00930A86" w:rsidP="008525B2">
            <w:pPr>
              <w:spacing w:before="100" w:after="100" w:line="240" w:lineRule="atLeast"/>
              <w:rPr>
                <w:rFonts w:cs="Arial"/>
                <w:sz w:val="18"/>
                <w:szCs w:val="18"/>
                <w:lang w:val="bg-BG"/>
              </w:rPr>
            </w:pPr>
            <w:r w:rsidRPr="009072DA">
              <w:rPr>
                <w:sz w:val="18"/>
                <w:lang w:val="bg-BG"/>
              </w:rPr>
              <w:t>Прилагане на стандарта за спасителни жилетки</w:t>
            </w:r>
          </w:p>
        </w:tc>
        <w:tc>
          <w:tcPr>
            <w:tcW w:w="6521" w:type="dxa"/>
            <w:shd w:val="clear" w:color="auto" w:fill="auto"/>
          </w:tcPr>
          <w:p w:rsidR="00930A86" w:rsidRPr="009072DA" w:rsidRDefault="008761D9" w:rsidP="008525B2">
            <w:pPr>
              <w:spacing w:before="100" w:after="10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100" w:after="100" w:line="240" w:lineRule="atLeast"/>
              <w:rPr>
                <w:rFonts w:cs="Arial"/>
                <w:sz w:val="18"/>
                <w:szCs w:val="18"/>
                <w:lang w:val="bg-BG"/>
              </w:rPr>
            </w:pPr>
          </w:p>
        </w:tc>
      </w:tr>
      <w:tr w:rsidR="00930A86" w:rsidRPr="009072DA" w:rsidTr="00930A86">
        <w:trPr>
          <w:cantSplit/>
          <w:jc w:val="center"/>
        </w:trPr>
        <w:tc>
          <w:tcPr>
            <w:tcW w:w="6096" w:type="dxa"/>
            <w:gridSpan w:val="3"/>
            <w:shd w:val="clear" w:color="auto" w:fill="auto"/>
          </w:tcPr>
          <w:p w:rsidR="00930A86" w:rsidRPr="009072DA" w:rsidRDefault="00930A86" w:rsidP="008525B2">
            <w:pPr>
              <w:spacing w:before="60" w:after="60" w:line="240" w:lineRule="atLeast"/>
              <w:jc w:val="center"/>
              <w:rPr>
                <w:rFonts w:cs="Arial"/>
                <w:sz w:val="18"/>
                <w:szCs w:val="18"/>
                <w:lang w:val="bg-BG"/>
              </w:rPr>
            </w:pPr>
            <w:r w:rsidRPr="009072DA">
              <w:rPr>
                <w:b/>
                <w:sz w:val="18"/>
                <w:lang w:val="bg-BG"/>
              </w:rPr>
              <w:t>ГЛАВА 14</w:t>
            </w:r>
          </w:p>
        </w:tc>
        <w:tc>
          <w:tcPr>
            <w:tcW w:w="6521" w:type="dxa"/>
            <w:shd w:val="clear" w:color="auto" w:fill="auto"/>
          </w:tcPr>
          <w:p w:rsidR="00930A86" w:rsidRPr="009072DA" w:rsidRDefault="00930A86" w:rsidP="008525B2">
            <w:pPr>
              <w:spacing w:before="60" w:after="60" w:line="240" w:lineRule="atLeast"/>
              <w:rPr>
                <w:rFonts w:cs="Arial"/>
                <w:sz w:val="18"/>
                <w:szCs w:val="18"/>
                <w:lang w:val="bg-BG"/>
              </w:rPr>
            </w:pPr>
          </w:p>
        </w:tc>
        <w:tc>
          <w:tcPr>
            <w:tcW w:w="1276" w:type="dxa"/>
            <w:shd w:val="clear" w:color="auto" w:fill="auto"/>
          </w:tcPr>
          <w:p w:rsidR="00930A86" w:rsidRPr="009072DA" w:rsidRDefault="00930A86" w:rsidP="008525B2">
            <w:pPr>
              <w:spacing w:before="60" w:after="6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60" w:after="60" w:line="240" w:lineRule="atLeast"/>
              <w:rPr>
                <w:rFonts w:cs="Arial"/>
                <w:sz w:val="18"/>
                <w:szCs w:val="18"/>
                <w:lang w:val="bg-BG"/>
              </w:rPr>
            </w:pPr>
            <w:r w:rsidRPr="009072DA">
              <w:rPr>
                <w:sz w:val="18"/>
                <w:lang w:val="bg-BG"/>
              </w:rPr>
              <w:t>14.11</w:t>
            </w:r>
          </w:p>
        </w:tc>
        <w:tc>
          <w:tcPr>
            <w:tcW w:w="1458" w:type="dxa"/>
            <w:shd w:val="clear" w:color="auto" w:fill="auto"/>
          </w:tcPr>
          <w:p w:rsidR="00930A86" w:rsidRPr="009072DA" w:rsidRDefault="00930A86" w:rsidP="008525B2">
            <w:pPr>
              <w:spacing w:before="60" w:after="60" w:line="240" w:lineRule="atLeast"/>
              <w:rPr>
                <w:rFonts w:cs="Arial"/>
                <w:sz w:val="18"/>
                <w:szCs w:val="18"/>
                <w:lang w:val="bg-BG"/>
              </w:rPr>
            </w:pPr>
            <w:r w:rsidRPr="009072DA">
              <w:rPr>
                <w:sz w:val="18"/>
                <w:lang w:val="bg-BG"/>
              </w:rPr>
              <w:t>Точка 2</w:t>
            </w:r>
          </w:p>
        </w:tc>
        <w:tc>
          <w:tcPr>
            <w:tcW w:w="3296" w:type="dxa"/>
            <w:shd w:val="clear" w:color="auto" w:fill="auto"/>
          </w:tcPr>
          <w:p w:rsidR="00930A86" w:rsidRPr="009072DA" w:rsidRDefault="00930A86" w:rsidP="008525B2">
            <w:pPr>
              <w:spacing w:before="60" w:after="60" w:line="240" w:lineRule="atLeast"/>
              <w:rPr>
                <w:rFonts w:cs="Arial"/>
                <w:sz w:val="18"/>
                <w:szCs w:val="18"/>
                <w:lang w:val="bg-BG"/>
              </w:rPr>
            </w:pPr>
            <w:r w:rsidRPr="009072DA">
              <w:rPr>
                <w:sz w:val="18"/>
                <w:lang w:val="bg-BG"/>
              </w:rPr>
              <w:t>Обезопасяване на лебедките</w:t>
            </w:r>
          </w:p>
        </w:tc>
        <w:tc>
          <w:tcPr>
            <w:tcW w:w="6521" w:type="dxa"/>
            <w:shd w:val="clear" w:color="auto" w:fill="auto"/>
          </w:tcPr>
          <w:p w:rsidR="00930A86" w:rsidRPr="009072DA" w:rsidRDefault="008761D9" w:rsidP="008525B2">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60" w:after="60" w:line="240" w:lineRule="atLeast"/>
              <w:rPr>
                <w:rFonts w:cs="Arial"/>
                <w:sz w:val="18"/>
                <w:szCs w:val="18"/>
                <w:lang w:val="bg-BG"/>
              </w:rPr>
            </w:pPr>
          </w:p>
        </w:tc>
      </w:tr>
      <w:tr w:rsidR="00930A86" w:rsidRPr="009072DA" w:rsidTr="00930A86">
        <w:trPr>
          <w:cantSplit/>
          <w:jc w:val="center"/>
        </w:trPr>
        <w:tc>
          <w:tcPr>
            <w:tcW w:w="6096" w:type="dxa"/>
            <w:gridSpan w:val="3"/>
            <w:shd w:val="clear" w:color="auto" w:fill="auto"/>
          </w:tcPr>
          <w:p w:rsidR="00930A86" w:rsidRPr="009072DA" w:rsidRDefault="00930A86" w:rsidP="008525B2">
            <w:pPr>
              <w:spacing w:before="60" w:after="60" w:line="240" w:lineRule="atLeast"/>
              <w:jc w:val="center"/>
              <w:rPr>
                <w:rFonts w:cs="Arial"/>
                <w:sz w:val="18"/>
                <w:szCs w:val="18"/>
                <w:lang w:val="bg-BG"/>
              </w:rPr>
            </w:pPr>
            <w:r w:rsidRPr="009072DA">
              <w:rPr>
                <w:b/>
                <w:sz w:val="18"/>
                <w:lang w:val="bg-BG"/>
              </w:rPr>
              <w:t>ГЛАВА 15</w:t>
            </w:r>
          </w:p>
        </w:tc>
        <w:tc>
          <w:tcPr>
            <w:tcW w:w="6521" w:type="dxa"/>
            <w:shd w:val="clear" w:color="auto" w:fill="auto"/>
          </w:tcPr>
          <w:p w:rsidR="00930A86" w:rsidRPr="009072DA" w:rsidRDefault="00930A86" w:rsidP="008525B2">
            <w:pPr>
              <w:spacing w:before="60" w:after="60" w:line="240" w:lineRule="atLeast"/>
              <w:rPr>
                <w:rFonts w:cs="Arial"/>
                <w:sz w:val="18"/>
                <w:szCs w:val="18"/>
                <w:lang w:val="bg-BG"/>
              </w:rPr>
            </w:pPr>
          </w:p>
        </w:tc>
        <w:tc>
          <w:tcPr>
            <w:tcW w:w="1276" w:type="dxa"/>
            <w:shd w:val="clear" w:color="auto" w:fill="auto"/>
          </w:tcPr>
          <w:p w:rsidR="00930A86" w:rsidRPr="009072DA" w:rsidRDefault="00930A86" w:rsidP="008525B2">
            <w:pPr>
              <w:spacing w:before="60" w:after="60" w:line="240" w:lineRule="atLeast"/>
              <w:rPr>
                <w:rFonts w:cs="Arial"/>
                <w:sz w:val="18"/>
                <w:szCs w:val="18"/>
                <w:lang w:val="bg-BG"/>
              </w:rPr>
            </w:pPr>
          </w:p>
        </w:tc>
      </w:tr>
      <w:tr w:rsidR="00930A86" w:rsidRPr="009072DA" w:rsidTr="00930A86">
        <w:trPr>
          <w:cantSplit/>
          <w:jc w:val="center"/>
        </w:trPr>
        <w:tc>
          <w:tcPr>
            <w:tcW w:w="1342" w:type="dxa"/>
            <w:shd w:val="clear" w:color="auto" w:fill="auto"/>
          </w:tcPr>
          <w:p w:rsidR="00930A86" w:rsidRPr="009072DA" w:rsidRDefault="00930A86" w:rsidP="008525B2">
            <w:pPr>
              <w:spacing w:before="60" w:after="60" w:line="240" w:lineRule="atLeast"/>
              <w:rPr>
                <w:rFonts w:cs="Arial"/>
                <w:sz w:val="18"/>
                <w:szCs w:val="18"/>
                <w:lang w:val="bg-BG"/>
              </w:rPr>
            </w:pPr>
            <w:r w:rsidRPr="009072DA">
              <w:rPr>
                <w:sz w:val="18"/>
                <w:lang w:val="bg-BG"/>
              </w:rPr>
              <w:t>15.02</w:t>
            </w:r>
          </w:p>
        </w:tc>
        <w:tc>
          <w:tcPr>
            <w:tcW w:w="1458" w:type="dxa"/>
            <w:shd w:val="clear" w:color="auto" w:fill="auto"/>
          </w:tcPr>
          <w:p w:rsidR="00930A86" w:rsidRPr="009072DA" w:rsidRDefault="00930A86" w:rsidP="008525B2">
            <w:pPr>
              <w:spacing w:before="60" w:after="60" w:line="240" w:lineRule="atLeast"/>
              <w:rPr>
                <w:rFonts w:cs="Arial"/>
                <w:sz w:val="18"/>
                <w:szCs w:val="18"/>
                <w:lang w:val="bg-BG"/>
              </w:rPr>
            </w:pPr>
            <w:r w:rsidRPr="009072DA">
              <w:rPr>
                <w:sz w:val="18"/>
                <w:lang w:val="bg-BG"/>
              </w:rPr>
              <w:t>Точка 3</w:t>
            </w:r>
          </w:p>
        </w:tc>
        <w:tc>
          <w:tcPr>
            <w:tcW w:w="3296" w:type="dxa"/>
            <w:shd w:val="clear" w:color="auto" w:fill="auto"/>
          </w:tcPr>
          <w:p w:rsidR="00930A86" w:rsidRPr="009072DA" w:rsidRDefault="00930A86" w:rsidP="008525B2">
            <w:pPr>
              <w:spacing w:before="60" w:after="60" w:line="240" w:lineRule="atLeast"/>
              <w:rPr>
                <w:rFonts w:cs="Arial"/>
                <w:sz w:val="18"/>
                <w:szCs w:val="18"/>
                <w:lang w:val="bg-BG"/>
              </w:rPr>
            </w:pPr>
            <w:r w:rsidRPr="009072DA">
              <w:rPr>
                <w:sz w:val="18"/>
                <w:lang w:val="bg-BG"/>
              </w:rPr>
              <w:t>Тръби, пренасящи опасни газове или течности</w:t>
            </w:r>
          </w:p>
        </w:tc>
        <w:tc>
          <w:tcPr>
            <w:tcW w:w="6521" w:type="dxa"/>
            <w:shd w:val="clear" w:color="auto" w:fill="auto"/>
          </w:tcPr>
          <w:p w:rsidR="00930A86" w:rsidRPr="009072DA" w:rsidRDefault="008761D9" w:rsidP="008525B2">
            <w:pPr>
              <w:spacing w:before="60" w:after="60" w:line="240" w:lineRule="atLeast"/>
              <w:rPr>
                <w:rFonts w:cs="Arial"/>
                <w:sz w:val="18"/>
                <w:szCs w:val="18"/>
                <w:lang w:val="bg-BG"/>
              </w:rPr>
            </w:pPr>
            <w:r w:rsidRPr="009072DA">
              <w:rPr>
                <w:sz w:val="18"/>
                <w:lang w:val="bg-BG"/>
              </w:rPr>
              <w:t>НЗР</w:t>
            </w:r>
          </w:p>
        </w:tc>
        <w:tc>
          <w:tcPr>
            <w:tcW w:w="1276" w:type="dxa"/>
            <w:shd w:val="clear" w:color="auto" w:fill="auto"/>
          </w:tcPr>
          <w:p w:rsidR="00930A86" w:rsidRPr="009072DA" w:rsidRDefault="00930A86" w:rsidP="008525B2">
            <w:pPr>
              <w:spacing w:before="60" w:after="60" w:line="240" w:lineRule="atLeast"/>
              <w:rPr>
                <w:rFonts w:cs="Arial"/>
                <w:sz w:val="18"/>
                <w:szCs w:val="18"/>
                <w:lang w:val="bg-BG"/>
              </w:rPr>
            </w:pPr>
          </w:p>
        </w:tc>
      </w:tr>
    </w:tbl>
    <w:p w:rsidR="001E2331" w:rsidRPr="009072DA" w:rsidRDefault="001E2331" w:rsidP="001E2331">
      <w:pPr>
        <w:spacing w:line="240" w:lineRule="atLeast"/>
        <w:rPr>
          <w:lang w:val="bg-BG"/>
        </w:rPr>
      </w:pPr>
    </w:p>
    <w:p w:rsidR="001E2331" w:rsidRPr="009072DA" w:rsidRDefault="001E2331" w:rsidP="001E2331">
      <w:pPr>
        <w:spacing w:line="240" w:lineRule="atLeast"/>
        <w:ind w:left="567" w:hanging="567"/>
        <w:rPr>
          <w:lang w:val="bg-BG"/>
        </w:rPr>
      </w:pPr>
    </w:p>
    <w:p w:rsidR="001E2331" w:rsidRPr="009072DA" w:rsidRDefault="001E2331" w:rsidP="001E2331">
      <w:pPr>
        <w:rPr>
          <w:lang w:val="bg-BG"/>
        </w:rPr>
      </w:pPr>
    </w:p>
    <w:p w:rsidR="001E2331" w:rsidRPr="009072DA" w:rsidRDefault="001E2331" w:rsidP="001E2331">
      <w:pPr>
        <w:rPr>
          <w:lang w:val="bg-BG"/>
        </w:rPr>
      </w:pPr>
    </w:p>
    <w:p w:rsidR="001E2331" w:rsidRPr="009072DA" w:rsidRDefault="001E2331" w:rsidP="001E2331">
      <w:pPr>
        <w:rPr>
          <w:lang w:val="bg-BG"/>
        </w:rPr>
      </w:pPr>
    </w:p>
    <w:p w:rsidR="000526B5" w:rsidRPr="009072DA" w:rsidRDefault="000526B5" w:rsidP="00125490">
      <w:pPr>
        <w:pStyle w:val="ESch"/>
        <w:rPr>
          <w:lang w:val="bg-BG"/>
        </w:rPr>
      </w:pPr>
    </w:p>
    <w:p w:rsidR="00AB18EA" w:rsidRPr="009072DA" w:rsidRDefault="00AB18EA" w:rsidP="00125490">
      <w:pPr>
        <w:pStyle w:val="ESch"/>
        <w:rPr>
          <w:lang w:val="bg-BG"/>
        </w:rPr>
      </w:pPr>
    </w:p>
    <w:p w:rsidR="00AB18EA" w:rsidRPr="009072DA" w:rsidRDefault="00AB18EA" w:rsidP="00125490">
      <w:pPr>
        <w:pStyle w:val="ESch"/>
        <w:rPr>
          <w:lang w:val="bg-BG"/>
        </w:rPr>
      </w:pPr>
    </w:p>
    <w:p w:rsidR="00AB18EA" w:rsidRPr="009072DA" w:rsidRDefault="00AB18EA" w:rsidP="00125490">
      <w:pPr>
        <w:pStyle w:val="ESch"/>
        <w:rPr>
          <w:lang w:val="bg-BG"/>
        </w:rPr>
        <w:sectPr w:rsidR="00AB18EA" w:rsidRPr="009072DA" w:rsidSect="001E2331">
          <w:headerReference w:type="first" r:id="rId37"/>
          <w:footerReference w:type="first" r:id="rId38"/>
          <w:footnotePr>
            <w:numRestart w:val="eachPage"/>
          </w:footnotePr>
          <w:pgSz w:w="16838" w:h="11906" w:orient="landscape" w:code="9"/>
          <w:pgMar w:top="1418" w:right="1418" w:bottom="1418" w:left="1418" w:header="709" w:footer="709" w:gutter="0"/>
          <w:cols w:space="709"/>
          <w:titlePg/>
          <w:docGrid w:linePitch="272"/>
        </w:sect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3a"/>
        <w:rPr>
          <w:lang w:val="bg-BG"/>
        </w:rPr>
      </w:pPr>
    </w:p>
    <w:p w:rsidR="001E2331" w:rsidRPr="009072DA" w:rsidRDefault="001E2331" w:rsidP="001E2331">
      <w:pPr>
        <w:pStyle w:val="Es-Titreannexes"/>
        <w:rPr>
          <w:lang w:val="bg-BG"/>
        </w:rPr>
      </w:pPr>
      <w:bookmarkStart w:id="593" w:name="_Toc491854290"/>
      <w:bookmarkStart w:id="594" w:name="_Toc535827731"/>
      <w:r w:rsidRPr="009072DA">
        <w:rPr>
          <w:lang w:val="bg-BG"/>
        </w:rPr>
        <w:t>Приложения към Европейски стандарт</w:t>
      </w:r>
      <w:bookmarkEnd w:id="593"/>
      <w:bookmarkEnd w:id="594"/>
    </w:p>
    <w:p w:rsidR="001E2331" w:rsidRPr="009072DA" w:rsidRDefault="001E2331" w:rsidP="001E2331">
      <w:pPr>
        <w:pStyle w:val="ES-Titre3a"/>
        <w:rPr>
          <w:lang w:val="bg-BG"/>
        </w:rPr>
      </w:pPr>
    </w:p>
    <w:p w:rsidR="00AB18EA" w:rsidRPr="009072DA" w:rsidRDefault="00AB18EA" w:rsidP="00125490">
      <w:pPr>
        <w:pStyle w:val="ESch"/>
        <w:rPr>
          <w:lang w:val="bg-BG"/>
        </w:rPr>
      </w:pPr>
    </w:p>
    <w:p w:rsidR="001E2331" w:rsidRPr="009072DA" w:rsidRDefault="001E2331" w:rsidP="00125490">
      <w:pPr>
        <w:pStyle w:val="ESch"/>
        <w:rPr>
          <w:lang w:val="bg-BG"/>
        </w:rPr>
      </w:pPr>
    </w:p>
    <w:p w:rsidR="001E2331" w:rsidRPr="009072DA" w:rsidRDefault="001E2331" w:rsidP="00125490">
      <w:pPr>
        <w:pStyle w:val="ESch"/>
        <w:rPr>
          <w:lang w:val="bg-BG"/>
        </w:rPr>
      </w:pPr>
    </w:p>
    <w:p w:rsidR="001E2331" w:rsidRPr="009072DA" w:rsidRDefault="001E2331" w:rsidP="00125490">
      <w:pPr>
        <w:pStyle w:val="ESch"/>
        <w:rPr>
          <w:lang w:val="bg-BG"/>
        </w:rPr>
      </w:pPr>
      <w:r w:rsidRPr="009072DA">
        <w:rPr>
          <w:lang w:val="bg-BG"/>
        </w:rPr>
        <w:br w:type="page"/>
      </w:r>
    </w:p>
    <w:p w:rsidR="00AB18EA" w:rsidRPr="009072DA" w:rsidRDefault="00AB18EA" w:rsidP="00125490">
      <w:pPr>
        <w:pStyle w:val="ESch"/>
        <w:rPr>
          <w:lang w:val="bg-BG"/>
        </w:rPr>
      </w:pPr>
    </w:p>
    <w:p w:rsidR="00AB18EA" w:rsidRPr="009072DA" w:rsidRDefault="00AB18EA" w:rsidP="00125490">
      <w:pPr>
        <w:pStyle w:val="ESch"/>
        <w:rPr>
          <w:lang w:val="bg-BG"/>
        </w:rPr>
      </w:pPr>
    </w:p>
    <w:p w:rsidR="001E2331" w:rsidRPr="009072DA" w:rsidRDefault="001E2331" w:rsidP="00125490">
      <w:pPr>
        <w:pStyle w:val="ESch"/>
        <w:rPr>
          <w:lang w:val="bg-BG"/>
        </w:rPr>
      </w:pPr>
    </w:p>
    <w:p w:rsidR="001E2331" w:rsidRPr="009072DA" w:rsidRDefault="001E2331" w:rsidP="00125490">
      <w:pPr>
        <w:pStyle w:val="ESch"/>
        <w:rPr>
          <w:lang w:val="bg-BG"/>
        </w:rPr>
        <w:sectPr w:rsidR="001E2331" w:rsidRPr="009072DA" w:rsidSect="00AC5CC1">
          <w:headerReference w:type="default" r:id="rId39"/>
          <w:footerReference w:type="default" r:id="rId40"/>
          <w:headerReference w:type="first" r:id="rId41"/>
          <w:footerReference w:type="first" r:id="rId42"/>
          <w:footnotePr>
            <w:numRestart w:val="eachPage"/>
          </w:footnotePr>
          <w:pgSz w:w="11906" w:h="16838" w:code="9"/>
          <w:pgMar w:top="1418" w:right="1418" w:bottom="1418" w:left="1418" w:header="709" w:footer="709" w:gutter="0"/>
          <w:cols w:space="709"/>
          <w:titlePg/>
          <w:docGrid w:linePitch="272"/>
        </w:sectPr>
      </w:pPr>
    </w:p>
    <w:p w:rsidR="009C13A9" w:rsidRPr="009072DA" w:rsidRDefault="009C13A9" w:rsidP="009C13A9">
      <w:pPr>
        <w:pStyle w:val="ES-Titre1"/>
      </w:pPr>
      <w:bookmarkStart w:id="595" w:name="_Toc395775413"/>
      <w:bookmarkStart w:id="596" w:name="_Toc491854291"/>
      <w:bookmarkStart w:id="597" w:name="_Toc535827732"/>
      <w:r w:rsidRPr="009072DA">
        <w:lastRenderedPageBreak/>
        <w:t>ЧАСТ I</w:t>
      </w:r>
      <w:r w:rsidRPr="009072DA">
        <w:br/>
      </w:r>
      <w:bookmarkEnd w:id="595"/>
      <w:r w:rsidRPr="009072DA">
        <w:t>ИДЕНТИФИКАЦИЯ И РЕГИСТЪР НА ПЛАВАТЕЛНИЯ СЪД</w:t>
      </w:r>
      <w:bookmarkEnd w:id="596"/>
      <w:bookmarkEnd w:id="597"/>
    </w:p>
    <w:p w:rsidR="009C13A9" w:rsidRPr="009072DA" w:rsidRDefault="009C13A9" w:rsidP="009C13A9">
      <w:pPr>
        <w:overflowPunct w:val="0"/>
        <w:adjustRightInd w:val="0"/>
        <w:spacing w:line="240" w:lineRule="atLeast"/>
        <w:jc w:val="center"/>
        <w:textAlignment w:val="baseline"/>
        <w:rPr>
          <w:rFonts w:eastAsia="Calibri"/>
          <w:b/>
          <w:i/>
          <w:caps/>
          <w:sz w:val="24"/>
          <w:lang w:val="bg-BG"/>
        </w:rPr>
      </w:pPr>
    </w:p>
    <w:p w:rsidR="009C13A9" w:rsidRPr="009072DA" w:rsidRDefault="009C13A9" w:rsidP="009C13A9">
      <w:pPr>
        <w:pStyle w:val="ES-Titre2"/>
        <w:pageBreakBefore w:val="0"/>
      </w:pPr>
      <w:bookmarkStart w:id="598" w:name="_Toc395775414"/>
      <w:bookmarkStart w:id="599" w:name="_Toc491854292"/>
      <w:bookmarkStart w:id="600" w:name="_Toc535827733"/>
      <w:r w:rsidRPr="009072DA">
        <w:t>Приложение 1</w:t>
      </w:r>
      <w:r w:rsidRPr="009072DA">
        <w:br/>
      </w:r>
      <w:bookmarkEnd w:id="598"/>
      <w:r w:rsidRPr="009072DA">
        <w:t>Образец на уникалния Европейски идентификационен номер на плавателния съд (ENI)</w:t>
      </w:r>
      <w:bookmarkEnd w:id="599"/>
      <w:bookmarkEnd w:id="600"/>
    </w:p>
    <w:p w:rsidR="009C13A9" w:rsidRPr="009072DA" w:rsidRDefault="009C13A9" w:rsidP="009C13A9">
      <w:pPr>
        <w:overflowPunct w:val="0"/>
        <w:adjustRightInd w:val="0"/>
        <w:spacing w:line="240" w:lineRule="atLeast"/>
        <w:jc w:val="center"/>
        <w:textAlignment w:val="baseline"/>
        <w:rPr>
          <w:rFonts w:eastAsia="Calibri"/>
          <w:lang w:val="bg-BG"/>
        </w:rPr>
      </w:pPr>
    </w:p>
    <w:p w:rsidR="009C13A9" w:rsidRPr="009072DA" w:rsidRDefault="009C13A9" w:rsidP="009C13A9">
      <w:pPr>
        <w:overflowPunct w:val="0"/>
        <w:adjustRightInd w:val="0"/>
        <w:spacing w:line="240" w:lineRule="atLeast"/>
        <w:jc w:val="center"/>
        <w:textAlignment w:val="baseline"/>
        <w:rPr>
          <w:rFonts w:eastAsia="Calibri"/>
          <w:lang w:val="bg-BG"/>
        </w:rPr>
      </w:pPr>
    </w:p>
    <w:p w:rsidR="009C13A9" w:rsidRPr="009072DA" w:rsidRDefault="009C13A9" w:rsidP="009C13A9">
      <w:pPr>
        <w:overflowPunct w:val="0"/>
        <w:adjustRightInd w:val="0"/>
        <w:textAlignment w:val="baseline"/>
        <w:rPr>
          <w:rFonts w:cs="Arial"/>
          <w:szCs w:val="20"/>
          <w:lang w:val="bg-BG"/>
        </w:rPr>
      </w:pPr>
    </w:p>
    <w:tbl>
      <w:tblPr>
        <w:tblW w:w="0" w:type="auto"/>
        <w:tblInd w:w="19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90"/>
        <w:gridCol w:w="789"/>
        <w:gridCol w:w="789"/>
        <w:gridCol w:w="564"/>
        <w:gridCol w:w="564"/>
        <w:gridCol w:w="564"/>
        <w:gridCol w:w="564"/>
        <w:gridCol w:w="564"/>
      </w:tblGrid>
      <w:tr w:rsidR="009C13A9" w:rsidRPr="009072DA" w:rsidTr="009C13A9">
        <w:trPr>
          <w:cantSplit/>
        </w:trPr>
        <w:tc>
          <w:tcPr>
            <w:tcW w:w="790" w:type="dxa"/>
            <w:tcBorders>
              <w:top w:val="single" w:sz="4" w:space="0" w:color="auto"/>
              <w:left w:val="single" w:sz="4" w:space="0" w:color="auto"/>
              <w:bottom w:val="single" w:sz="4" w:space="0" w:color="auto"/>
              <w:right w:val="single" w:sz="4" w:space="0" w:color="auto"/>
            </w:tcBorders>
          </w:tcPr>
          <w:p w:rsidR="009C13A9" w:rsidRPr="009072DA" w:rsidRDefault="009C13A9" w:rsidP="009C13A9">
            <w:pPr>
              <w:adjustRightInd w:val="0"/>
              <w:spacing w:before="40" w:after="40"/>
              <w:jc w:val="center"/>
              <w:rPr>
                <w:rFonts w:cs="Arial"/>
                <w:snapToGrid w:val="0"/>
                <w:sz w:val="18"/>
                <w:szCs w:val="20"/>
                <w:lang w:val="bg-BG"/>
              </w:rPr>
            </w:pPr>
            <w:r w:rsidRPr="009072DA">
              <w:rPr>
                <w:snapToGrid w:val="0"/>
                <w:sz w:val="18"/>
                <w:lang w:val="bg-BG"/>
              </w:rPr>
              <w:t>A</w:t>
            </w:r>
          </w:p>
        </w:tc>
        <w:tc>
          <w:tcPr>
            <w:tcW w:w="789" w:type="dxa"/>
            <w:tcBorders>
              <w:top w:val="single" w:sz="4" w:space="0" w:color="auto"/>
              <w:left w:val="single" w:sz="4" w:space="0" w:color="auto"/>
              <w:bottom w:val="single" w:sz="4" w:space="0" w:color="auto"/>
              <w:right w:val="single" w:sz="4" w:space="0" w:color="auto"/>
            </w:tcBorders>
          </w:tcPr>
          <w:p w:rsidR="009C13A9" w:rsidRPr="009072DA" w:rsidRDefault="009C13A9" w:rsidP="009C13A9">
            <w:pPr>
              <w:overflowPunct w:val="0"/>
              <w:adjustRightInd w:val="0"/>
              <w:spacing w:before="40" w:after="40"/>
              <w:jc w:val="center"/>
              <w:textAlignment w:val="baseline"/>
              <w:rPr>
                <w:rFonts w:cs="Arial"/>
                <w:sz w:val="18"/>
                <w:szCs w:val="20"/>
                <w:lang w:val="bg-BG"/>
              </w:rPr>
            </w:pPr>
            <w:r w:rsidRPr="009072DA">
              <w:rPr>
                <w:sz w:val="18"/>
                <w:lang w:val="bg-BG"/>
              </w:rPr>
              <w:t>A</w:t>
            </w:r>
          </w:p>
        </w:tc>
        <w:tc>
          <w:tcPr>
            <w:tcW w:w="789" w:type="dxa"/>
            <w:tcBorders>
              <w:top w:val="single" w:sz="4" w:space="0" w:color="auto"/>
              <w:left w:val="single" w:sz="4" w:space="0" w:color="auto"/>
              <w:bottom w:val="single" w:sz="4" w:space="0" w:color="auto"/>
              <w:right w:val="single" w:sz="4" w:space="0" w:color="auto"/>
            </w:tcBorders>
          </w:tcPr>
          <w:p w:rsidR="009C13A9" w:rsidRPr="009072DA" w:rsidRDefault="009C13A9" w:rsidP="009C13A9">
            <w:pPr>
              <w:overflowPunct w:val="0"/>
              <w:adjustRightInd w:val="0"/>
              <w:spacing w:before="40" w:after="40"/>
              <w:jc w:val="center"/>
              <w:textAlignment w:val="baseline"/>
              <w:rPr>
                <w:rFonts w:cs="Arial"/>
                <w:sz w:val="18"/>
                <w:szCs w:val="20"/>
                <w:lang w:val="bg-BG"/>
              </w:rPr>
            </w:pPr>
            <w:r w:rsidRPr="009072DA">
              <w:rPr>
                <w:sz w:val="18"/>
                <w:lang w:val="bg-BG"/>
              </w:rPr>
              <w:t>A</w:t>
            </w:r>
          </w:p>
        </w:tc>
        <w:tc>
          <w:tcPr>
            <w:tcW w:w="564" w:type="dxa"/>
            <w:tcBorders>
              <w:top w:val="single" w:sz="4" w:space="0" w:color="auto"/>
              <w:left w:val="single" w:sz="4" w:space="0" w:color="auto"/>
              <w:bottom w:val="single" w:sz="4" w:space="0" w:color="auto"/>
              <w:right w:val="single" w:sz="4" w:space="0" w:color="auto"/>
            </w:tcBorders>
          </w:tcPr>
          <w:p w:rsidR="009C13A9" w:rsidRPr="009072DA" w:rsidRDefault="009C13A9" w:rsidP="009C13A9">
            <w:pPr>
              <w:overflowPunct w:val="0"/>
              <w:adjustRightInd w:val="0"/>
              <w:spacing w:before="40" w:after="40"/>
              <w:jc w:val="center"/>
              <w:textAlignment w:val="baseline"/>
              <w:rPr>
                <w:rFonts w:cs="Arial"/>
                <w:sz w:val="18"/>
                <w:szCs w:val="20"/>
                <w:lang w:val="bg-BG"/>
              </w:rPr>
            </w:pPr>
            <w:r w:rsidRPr="009072DA">
              <w:rPr>
                <w:sz w:val="18"/>
                <w:lang w:val="bg-BG"/>
              </w:rPr>
              <w:t>x</w:t>
            </w:r>
          </w:p>
        </w:tc>
        <w:tc>
          <w:tcPr>
            <w:tcW w:w="564" w:type="dxa"/>
            <w:tcBorders>
              <w:top w:val="single" w:sz="4" w:space="0" w:color="auto"/>
              <w:left w:val="single" w:sz="4" w:space="0" w:color="auto"/>
              <w:bottom w:val="single" w:sz="4" w:space="0" w:color="auto"/>
              <w:right w:val="single" w:sz="4" w:space="0" w:color="auto"/>
            </w:tcBorders>
          </w:tcPr>
          <w:p w:rsidR="009C13A9" w:rsidRPr="009072DA" w:rsidRDefault="009C13A9" w:rsidP="009C13A9">
            <w:pPr>
              <w:overflowPunct w:val="0"/>
              <w:adjustRightInd w:val="0"/>
              <w:spacing w:before="40" w:after="40"/>
              <w:jc w:val="center"/>
              <w:textAlignment w:val="baseline"/>
              <w:rPr>
                <w:rFonts w:cs="Arial"/>
                <w:sz w:val="18"/>
                <w:szCs w:val="20"/>
                <w:lang w:val="bg-BG"/>
              </w:rPr>
            </w:pPr>
            <w:r w:rsidRPr="009072DA">
              <w:rPr>
                <w:sz w:val="18"/>
                <w:lang w:val="bg-BG"/>
              </w:rPr>
              <w:t>x</w:t>
            </w:r>
          </w:p>
        </w:tc>
        <w:tc>
          <w:tcPr>
            <w:tcW w:w="564" w:type="dxa"/>
            <w:tcBorders>
              <w:top w:val="single" w:sz="4" w:space="0" w:color="auto"/>
              <w:left w:val="single" w:sz="4" w:space="0" w:color="auto"/>
              <w:bottom w:val="single" w:sz="4" w:space="0" w:color="auto"/>
              <w:right w:val="single" w:sz="4" w:space="0" w:color="auto"/>
            </w:tcBorders>
          </w:tcPr>
          <w:p w:rsidR="009C13A9" w:rsidRPr="009072DA" w:rsidRDefault="009C13A9" w:rsidP="009C13A9">
            <w:pPr>
              <w:overflowPunct w:val="0"/>
              <w:adjustRightInd w:val="0"/>
              <w:spacing w:before="40" w:after="40"/>
              <w:jc w:val="center"/>
              <w:textAlignment w:val="baseline"/>
              <w:rPr>
                <w:rFonts w:cs="Arial"/>
                <w:sz w:val="18"/>
                <w:szCs w:val="20"/>
                <w:lang w:val="bg-BG"/>
              </w:rPr>
            </w:pPr>
            <w:r w:rsidRPr="009072DA">
              <w:rPr>
                <w:sz w:val="18"/>
                <w:lang w:val="bg-BG"/>
              </w:rPr>
              <w:t>x</w:t>
            </w:r>
          </w:p>
        </w:tc>
        <w:tc>
          <w:tcPr>
            <w:tcW w:w="564" w:type="dxa"/>
            <w:tcBorders>
              <w:top w:val="single" w:sz="4" w:space="0" w:color="auto"/>
              <w:left w:val="single" w:sz="4" w:space="0" w:color="auto"/>
              <w:bottom w:val="single" w:sz="4" w:space="0" w:color="auto"/>
              <w:right w:val="single" w:sz="4" w:space="0" w:color="auto"/>
            </w:tcBorders>
          </w:tcPr>
          <w:p w:rsidR="009C13A9" w:rsidRPr="009072DA" w:rsidRDefault="009C13A9" w:rsidP="009C13A9">
            <w:pPr>
              <w:overflowPunct w:val="0"/>
              <w:adjustRightInd w:val="0"/>
              <w:spacing w:before="40" w:after="40"/>
              <w:jc w:val="center"/>
              <w:textAlignment w:val="baseline"/>
              <w:rPr>
                <w:rFonts w:cs="Arial"/>
                <w:sz w:val="18"/>
                <w:szCs w:val="20"/>
                <w:lang w:val="bg-BG"/>
              </w:rPr>
            </w:pPr>
            <w:r w:rsidRPr="009072DA">
              <w:rPr>
                <w:sz w:val="18"/>
                <w:lang w:val="bg-BG"/>
              </w:rPr>
              <w:t>x</w:t>
            </w:r>
          </w:p>
        </w:tc>
        <w:tc>
          <w:tcPr>
            <w:tcW w:w="564" w:type="dxa"/>
            <w:tcBorders>
              <w:top w:val="single" w:sz="4" w:space="0" w:color="auto"/>
              <w:left w:val="single" w:sz="4" w:space="0" w:color="auto"/>
              <w:bottom w:val="single" w:sz="4" w:space="0" w:color="auto"/>
              <w:right w:val="single" w:sz="4" w:space="0" w:color="auto"/>
            </w:tcBorders>
          </w:tcPr>
          <w:p w:rsidR="009C13A9" w:rsidRPr="009072DA" w:rsidRDefault="009C13A9" w:rsidP="009C13A9">
            <w:pPr>
              <w:overflowPunct w:val="0"/>
              <w:adjustRightInd w:val="0"/>
              <w:spacing w:before="40" w:after="40"/>
              <w:jc w:val="center"/>
              <w:textAlignment w:val="baseline"/>
              <w:rPr>
                <w:rFonts w:cs="Arial"/>
                <w:sz w:val="18"/>
                <w:szCs w:val="20"/>
                <w:lang w:val="bg-BG"/>
              </w:rPr>
            </w:pPr>
            <w:r w:rsidRPr="009072DA">
              <w:rPr>
                <w:sz w:val="18"/>
                <w:lang w:val="bg-BG"/>
              </w:rPr>
              <w:t>x</w:t>
            </w:r>
          </w:p>
        </w:tc>
      </w:tr>
      <w:tr w:rsidR="009C13A9" w:rsidRPr="009072DA" w:rsidTr="009C13A9">
        <w:trPr>
          <w:cantSplit/>
        </w:trPr>
        <w:tc>
          <w:tcPr>
            <w:tcW w:w="2368" w:type="dxa"/>
            <w:gridSpan w:val="3"/>
            <w:tcBorders>
              <w:top w:val="single" w:sz="4" w:space="0" w:color="auto"/>
              <w:left w:val="single" w:sz="4" w:space="0" w:color="auto"/>
              <w:bottom w:val="single" w:sz="4" w:space="0" w:color="auto"/>
              <w:right w:val="single" w:sz="4" w:space="0" w:color="auto"/>
            </w:tcBorders>
          </w:tcPr>
          <w:p w:rsidR="009C13A9" w:rsidRPr="009072DA" w:rsidRDefault="009C13A9" w:rsidP="009C13A9">
            <w:pPr>
              <w:overflowPunct w:val="0"/>
              <w:adjustRightInd w:val="0"/>
              <w:spacing w:before="40" w:after="40"/>
              <w:textAlignment w:val="baseline"/>
              <w:rPr>
                <w:rFonts w:cs="Arial"/>
                <w:sz w:val="18"/>
                <w:szCs w:val="20"/>
                <w:lang w:val="bg-BG"/>
              </w:rPr>
            </w:pPr>
            <w:r w:rsidRPr="009072DA">
              <w:rPr>
                <w:sz w:val="18"/>
                <w:lang w:val="bg-BG"/>
              </w:rPr>
              <w:t>Код на компетентния орган, който определя уникалния европейски идентификационен номер на плавателния съд</w:t>
            </w:r>
          </w:p>
        </w:tc>
        <w:tc>
          <w:tcPr>
            <w:tcW w:w="2820" w:type="dxa"/>
            <w:gridSpan w:val="5"/>
            <w:tcBorders>
              <w:top w:val="single" w:sz="4" w:space="0" w:color="auto"/>
              <w:left w:val="single" w:sz="4" w:space="0" w:color="auto"/>
              <w:bottom w:val="single" w:sz="4" w:space="0" w:color="auto"/>
              <w:right w:val="single" w:sz="4" w:space="0" w:color="auto"/>
            </w:tcBorders>
            <w:vAlign w:val="center"/>
          </w:tcPr>
          <w:p w:rsidR="009C13A9" w:rsidRPr="009072DA" w:rsidRDefault="009C13A9" w:rsidP="009C13A9">
            <w:pPr>
              <w:overflowPunct w:val="0"/>
              <w:adjustRightInd w:val="0"/>
              <w:spacing w:before="40" w:after="40"/>
              <w:jc w:val="center"/>
              <w:textAlignment w:val="baseline"/>
              <w:rPr>
                <w:rFonts w:cs="Arial"/>
                <w:sz w:val="18"/>
                <w:szCs w:val="20"/>
                <w:lang w:val="bg-BG"/>
              </w:rPr>
            </w:pPr>
            <w:r w:rsidRPr="009072DA">
              <w:rPr>
                <w:sz w:val="18"/>
                <w:lang w:val="bg-BG"/>
              </w:rPr>
              <w:t xml:space="preserve">Сериен номер </w:t>
            </w:r>
          </w:p>
        </w:tc>
      </w:tr>
    </w:tbl>
    <w:p w:rsidR="009C13A9" w:rsidRPr="009072DA" w:rsidRDefault="009C13A9" w:rsidP="009C13A9">
      <w:pPr>
        <w:overflowPunct w:val="0"/>
        <w:adjustRightInd w:val="0"/>
        <w:spacing w:before="40" w:after="40"/>
        <w:textAlignment w:val="baseline"/>
        <w:rPr>
          <w:rFonts w:cs="Arial"/>
          <w:sz w:val="18"/>
          <w:szCs w:val="20"/>
          <w:lang w:val="bg-BG"/>
        </w:rPr>
      </w:pPr>
    </w:p>
    <w:p w:rsidR="009C13A9" w:rsidRPr="009072DA" w:rsidRDefault="009C13A9" w:rsidP="009C13A9">
      <w:pPr>
        <w:overflowPunct w:val="0"/>
        <w:adjustRightInd w:val="0"/>
        <w:textAlignment w:val="baseline"/>
        <w:rPr>
          <w:rFonts w:cs="Arial"/>
          <w:szCs w:val="20"/>
          <w:lang w:val="bg-BG"/>
        </w:rPr>
      </w:pPr>
    </w:p>
    <w:p w:rsidR="009C13A9" w:rsidRPr="009072DA" w:rsidRDefault="009C13A9" w:rsidP="009C13A9">
      <w:pPr>
        <w:overflowPunct w:val="0"/>
        <w:adjustRightInd w:val="0"/>
        <w:textAlignment w:val="baseline"/>
        <w:rPr>
          <w:rFonts w:cs="Arial"/>
          <w:szCs w:val="20"/>
          <w:lang w:val="bg-BG"/>
        </w:rPr>
      </w:pPr>
      <w:r w:rsidRPr="009072DA">
        <w:rPr>
          <w:lang w:val="bg-BG"/>
        </w:rPr>
        <w:t>В образеца „ААА“ представлява трицифрения код, даден от компетентния орган, който определя уникалния европейски идентификационен номер на плавателния съд в съответствие със следните обхвати:</w:t>
      </w:r>
    </w:p>
    <w:p w:rsidR="009C13A9" w:rsidRPr="009072DA" w:rsidRDefault="009C13A9" w:rsidP="009C13A9">
      <w:pPr>
        <w:overflowPunct w:val="0"/>
        <w:adjustRightInd w:val="0"/>
        <w:textAlignment w:val="baseline"/>
        <w:rPr>
          <w:rFonts w:cs="Arial"/>
          <w:szCs w:val="20"/>
          <w:lang w:val="bg-BG"/>
        </w:rPr>
      </w:pP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001 – 019</w:t>
      </w:r>
      <w:r w:rsidRPr="009072DA">
        <w:rPr>
          <w:lang w:val="bg-BG"/>
        </w:rPr>
        <w:tab/>
        <w:t>Франция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020 – 039</w:t>
      </w:r>
      <w:r w:rsidRPr="009072DA">
        <w:rPr>
          <w:lang w:val="bg-BG"/>
        </w:rPr>
        <w:tab/>
        <w:t>Нидерландия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040 – 059</w:t>
      </w:r>
      <w:r w:rsidRPr="009072DA">
        <w:rPr>
          <w:lang w:val="bg-BG"/>
        </w:rPr>
        <w:tab/>
        <w:t>Германия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060 – 069</w:t>
      </w:r>
      <w:r w:rsidRPr="009072DA">
        <w:rPr>
          <w:lang w:val="bg-BG"/>
        </w:rPr>
        <w:tab/>
        <w:t>Белгия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070 – 079</w:t>
      </w:r>
      <w:r w:rsidRPr="009072DA">
        <w:rPr>
          <w:lang w:val="bg-BG"/>
        </w:rPr>
        <w:tab/>
        <w:t>Швейцария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080 – 099</w:t>
      </w:r>
      <w:r w:rsidRPr="009072DA">
        <w:rPr>
          <w:lang w:val="bg-BG"/>
        </w:rPr>
        <w:tab/>
        <w:t xml:space="preserve">запазени за плавателни средства от държави, които не са страни по Конвенцията от Манхайм, и за които има издаден сертификат съгласно Регламента за проверка на плавателните съдове по река Рейн преди 1 април 2007 г. </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100 – 119</w:t>
      </w:r>
      <w:r w:rsidRPr="009072DA">
        <w:rPr>
          <w:lang w:val="bg-BG"/>
        </w:rPr>
        <w:tab/>
        <w:t>Норвегия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120 – 139</w:t>
      </w:r>
      <w:r w:rsidRPr="009072DA">
        <w:rPr>
          <w:lang w:val="bg-BG"/>
        </w:rPr>
        <w:tab/>
        <w:t>Дания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140 – 159</w:t>
      </w:r>
      <w:r w:rsidRPr="009072DA">
        <w:rPr>
          <w:lang w:val="bg-BG"/>
        </w:rPr>
        <w:tab/>
        <w:t>Обединено кралство</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160 – 169</w:t>
      </w:r>
      <w:r w:rsidRPr="009072DA">
        <w:rPr>
          <w:lang w:val="bg-BG"/>
        </w:rPr>
        <w:tab/>
        <w:t>Исландия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170 – 179</w:t>
      </w:r>
      <w:r w:rsidRPr="009072DA">
        <w:rPr>
          <w:lang w:val="bg-BG"/>
        </w:rPr>
        <w:tab/>
        <w:t>Ирландия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lastRenderedPageBreak/>
        <w:t>180 – 189</w:t>
      </w:r>
      <w:r w:rsidRPr="009072DA">
        <w:rPr>
          <w:lang w:val="bg-BG"/>
        </w:rPr>
        <w:tab/>
        <w:t>Португалия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190 – 199</w:t>
      </w:r>
      <w:r w:rsidRPr="009072DA">
        <w:rPr>
          <w:lang w:val="bg-BG"/>
        </w:rPr>
        <w:tab/>
        <w:t>запазено</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200 – 219</w:t>
      </w:r>
      <w:r w:rsidRPr="009072DA">
        <w:rPr>
          <w:lang w:val="bg-BG"/>
        </w:rPr>
        <w:tab/>
        <w:t>Люксембург</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220 – 239</w:t>
      </w:r>
      <w:r w:rsidRPr="009072DA">
        <w:rPr>
          <w:lang w:val="bg-BG"/>
        </w:rPr>
        <w:tab/>
        <w:t>Финландия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240 – 259</w:t>
      </w:r>
      <w:r w:rsidRPr="009072DA">
        <w:rPr>
          <w:lang w:val="bg-BG"/>
        </w:rPr>
        <w:tab/>
        <w:t>Полша</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260 – 269</w:t>
      </w:r>
      <w:r w:rsidRPr="009072DA">
        <w:rPr>
          <w:lang w:val="bg-BG"/>
        </w:rPr>
        <w:tab/>
        <w:t>Естония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270 – 279</w:t>
      </w:r>
      <w:r w:rsidRPr="009072DA">
        <w:rPr>
          <w:lang w:val="bg-BG"/>
        </w:rPr>
        <w:tab/>
        <w:t>Литва</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280 – 289</w:t>
      </w:r>
      <w:r w:rsidRPr="009072DA">
        <w:rPr>
          <w:lang w:val="bg-BG"/>
        </w:rPr>
        <w:tab/>
        <w:t>Латвия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290 – 299</w:t>
      </w:r>
      <w:r w:rsidRPr="009072DA">
        <w:rPr>
          <w:lang w:val="bg-BG"/>
        </w:rPr>
        <w:tab/>
        <w:t>запазено</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300 – 309</w:t>
      </w:r>
      <w:r w:rsidRPr="009072DA">
        <w:rPr>
          <w:lang w:val="bg-BG"/>
        </w:rPr>
        <w:tab/>
        <w:t>Австрия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310 – 319</w:t>
      </w:r>
      <w:r w:rsidRPr="009072DA">
        <w:rPr>
          <w:lang w:val="bg-BG"/>
        </w:rPr>
        <w:tab/>
        <w:t>Лихтенщайн</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320 – 329</w:t>
      </w:r>
      <w:r w:rsidRPr="009072DA">
        <w:rPr>
          <w:lang w:val="bg-BG"/>
        </w:rPr>
        <w:tab/>
        <w:t>Чешка република</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330 – 339</w:t>
      </w:r>
      <w:r w:rsidRPr="009072DA">
        <w:rPr>
          <w:lang w:val="bg-BG"/>
        </w:rPr>
        <w:tab/>
        <w:t>Словакия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340 – 349</w:t>
      </w:r>
      <w:r w:rsidRPr="009072DA">
        <w:rPr>
          <w:lang w:val="bg-BG"/>
        </w:rPr>
        <w:tab/>
        <w:t>запазено</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350 – 359</w:t>
      </w:r>
      <w:r w:rsidRPr="009072DA">
        <w:rPr>
          <w:lang w:val="bg-BG"/>
        </w:rPr>
        <w:tab/>
        <w:t>Хърватия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360 – 369</w:t>
      </w:r>
      <w:r w:rsidRPr="009072DA">
        <w:rPr>
          <w:lang w:val="bg-BG"/>
        </w:rPr>
        <w:tab/>
        <w:t>Сърбия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370 – 379</w:t>
      </w:r>
      <w:r w:rsidRPr="009072DA">
        <w:rPr>
          <w:lang w:val="bg-BG"/>
        </w:rPr>
        <w:tab/>
        <w:t>Босна и Херцеговина</w:t>
      </w:r>
    </w:p>
    <w:p w:rsidR="009C13A9" w:rsidRPr="009072DA" w:rsidRDefault="009C13A9" w:rsidP="009C13A9">
      <w:pPr>
        <w:tabs>
          <w:tab w:val="left" w:pos="1134"/>
        </w:tabs>
        <w:overflowPunct w:val="0"/>
        <w:adjustRightInd w:val="0"/>
        <w:ind w:left="1134" w:hanging="1134"/>
        <w:textAlignment w:val="baseline"/>
        <w:rPr>
          <w:rFonts w:cs="Arial"/>
          <w:snapToGrid w:val="0"/>
          <w:szCs w:val="20"/>
          <w:lang w:val="bg-BG"/>
        </w:rPr>
      </w:pPr>
    </w:p>
    <w:p w:rsidR="009C13A9" w:rsidRPr="009072DA" w:rsidRDefault="009C13A9" w:rsidP="009C13A9">
      <w:pPr>
        <w:tabs>
          <w:tab w:val="left" w:pos="1134"/>
        </w:tabs>
        <w:overflowPunct w:val="0"/>
        <w:adjustRightInd w:val="0"/>
        <w:ind w:left="1134" w:hanging="1134"/>
        <w:textAlignment w:val="baseline"/>
        <w:rPr>
          <w:rFonts w:cs="Arial"/>
          <w:snapToGrid w:val="0"/>
          <w:szCs w:val="20"/>
          <w:lang w:val="bg-BG"/>
        </w:rPr>
      </w:pPr>
      <w:r w:rsidRPr="009072DA">
        <w:rPr>
          <w:lang w:val="bg-BG"/>
        </w:rPr>
        <w:br w:type="page"/>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lastRenderedPageBreak/>
        <w:t>380 – 399</w:t>
      </w:r>
      <w:r w:rsidRPr="009072DA">
        <w:rPr>
          <w:lang w:val="bg-BG"/>
        </w:rPr>
        <w:tab/>
        <w:t>Унгария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400 – 419</w:t>
      </w:r>
      <w:r w:rsidRPr="009072DA">
        <w:rPr>
          <w:lang w:val="bg-BG"/>
        </w:rPr>
        <w:tab/>
        <w:t>Руска федерация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420 – 439</w:t>
      </w:r>
      <w:r w:rsidRPr="009072DA">
        <w:rPr>
          <w:lang w:val="bg-BG"/>
        </w:rPr>
        <w:tab/>
        <w:t>Украйна</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440 – 449</w:t>
      </w:r>
      <w:r w:rsidRPr="009072DA">
        <w:rPr>
          <w:lang w:val="bg-BG"/>
        </w:rPr>
        <w:tab/>
        <w:t>Беларус</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450 – 459</w:t>
      </w:r>
      <w:r w:rsidRPr="009072DA">
        <w:rPr>
          <w:lang w:val="bg-BG"/>
        </w:rPr>
        <w:tab/>
        <w:t>Република Молдова</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460 – 469</w:t>
      </w:r>
      <w:r w:rsidRPr="009072DA">
        <w:rPr>
          <w:lang w:val="bg-BG"/>
        </w:rPr>
        <w:tab/>
        <w:t>Румъния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470 – 479</w:t>
      </w:r>
      <w:r w:rsidRPr="009072DA">
        <w:rPr>
          <w:lang w:val="bg-BG"/>
        </w:rPr>
        <w:tab/>
        <w:t>България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480 – 489</w:t>
      </w:r>
      <w:r w:rsidRPr="009072DA">
        <w:rPr>
          <w:lang w:val="bg-BG"/>
        </w:rPr>
        <w:tab/>
        <w:t>Грузия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490 – 499</w:t>
      </w:r>
      <w:r w:rsidRPr="009072DA">
        <w:rPr>
          <w:lang w:val="bg-BG"/>
        </w:rPr>
        <w:tab/>
        <w:t>запазено</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500 – 519</w:t>
      </w:r>
      <w:r w:rsidRPr="009072DA">
        <w:rPr>
          <w:lang w:val="bg-BG"/>
        </w:rPr>
        <w:tab/>
        <w:t>Турция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520 – 539</w:t>
      </w:r>
      <w:r w:rsidRPr="009072DA">
        <w:rPr>
          <w:lang w:val="bg-BG"/>
        </w:rPr>
        <w:tab/>
        <w:t xml:space="preserve">Гърция </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540 – 549</w:t>
      </w:r>
      <w:r w:rsidRPr="009072DA">
        <w:rPr>
          <w:lang w:val="bg-BG"/>
        </w:rPr>
        <w:tab/>
        <w:t>Кипър</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550 – 559</w:t>
      </w:r>
      <w:r w:rsidRPr="009072DA">
        <w:rPr>
          <w:lang w:val="bg-BG"/>
        </w:rPr>
        <w:tab/>
        <w:t xml:space="preserve">Албания </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560 – 569</w:t>
      </w:r>
      <w:r w:rsidRPr="009072DA">
        <w:rPr>
          <w:lang w:val="bg-BG"/>
        </w:rPr>
        <w:tab/>
        <w:t xml:space="preserve">бивша югославска република Македония </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570 – 579</w:t>
      </w:r>
      <w:r w:rsidRPr="009072DA">
        <w:rPr>
          <w:lang w:val="bg-BG"/>
        </w:rPr>
        <w:tab/>
        <w:t>Словения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580 – 589</w:t>
      </w:r>
      <w:r w:rsidRPr="009072DA">
        <w:rPr>
          <w:lang w:val="bg-BG"/>
        </w:rPr>
        <w:tab/>
        <w:t>Черна гора</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590 – 599</w:t>
      </w:r>
      <w:r w:rsidRPr="009072DA">
        <w:rPr>
          <w:lang w:val="bg-BG"/>
        </w:rPr>
        <w:tab/>
        <w:t>запазено</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600 – 619</w:t>
      </w:r>
      <w:r w:rsidRPr="009072DA">
        <w:rPr>
          <w:lang w:val="bg-BG"/>
        </w:rPr>
        <w:tab/>
        <w:t>Италия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620 – 639</w:t>
      </w:r>
      <w:r w:rsidRPr="009072DA">
        <w:rPr>
          <w:lang w:val="bg-BG"/>
        </w:rPr>
        <w:tab/>
        <w:t>Испания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640 – 649</w:t>
      </w:r>
      <w:r w:rsidRPr="009072DA">
        <w:rPr>
          <w:lang w:val="bg-BG"/>
        </w:rPr>
        <w:tab/>
        <w:t>Андора</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650 – 659</w:t>
      </w:r>
      <w:r w:rsidRPr="009072DA">
        <w:rPr>
          <w:lang w:val="bg-BG"/>
        </w:rPr>
        <w:tab/>
        <w:t>Малта</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660 – 669</w:t>
      </w:r>
      <w:r w:rsidRPr="009072DA">
        <w:rPr>
          <w:lang w:val="bg-BG"/>
        </w:rPr>
        <w:tab/>
        <w:t>Монако</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670 – 679</w:t>
      </w:r>
      <w:r w:rsidRPr="009072DA">
        <w:rPr>
          <w:lang w:val="bg-BG"/>
        </w:rPr>
        <w:tab/>
        <w:t>Сан Марино</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680 – 699</w:t>
      </w:r>
      <w:r w:rsidRPr="009072DA">
        <w:rPr>
          <w:lang w:val="bg-BG"/>
        </w:rPr>
        <w:tab/>
        <w:t>запазено</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700 – 719</w:t>
      </w:r>
      <w:r w:rsidRPr="009072DA">
        <w:rPr>
          <w:lang w:val="bg-BG"/>
        </w:rPr>
        <w:tab/>
        <w:t>Швеция</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720 – 739</w:t>
      </w:r>
      <w:r w:rsidRPr="009072DA">
        <w:rPr>
          <w:lang w:val="bg-BG"/>
        </w:rPr>
        <w:tab/>
        <w:t>Канада</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740 – 759</w:t>
      </w:r>
      <w:r w:rsidRPr="009072DA">
        <w:rPr>
          <w:lang w:val="bg-BG"/>
        </w:rPr>
        <w:tab/>
        <w:t>САЩ</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760 – 769</w:t>
      </w:r>
      <w:r w:rsidRPr="009072DA">
        <w:rPr>
          <w:lang w:val="bg-BG"/>
        </w:rPr>
        <w:tab/>
        <w:t>Израел</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770 – 799</w:t>
      </w:r>
      <w:r w:rsidRPr="009072DA">
        <w:rPr>
          <w:lang w:val="bg-BG"/>
        </w:rPr>
        <w:tab/>
        <w:t>запазено</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800 – 809</w:t>
      </w:r>
      <w:r w:rsidRPr="009072DA">
        <w:rPr>
          <w:lang w:val="bg-BG"/>
        </w:rPr>
        <w:tab/>
        <w:t>Азербайджан</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lastRenderedPageBreak/>
        <w:t>810 – 819</w:t>
      </w:r>
      <w:r w:rsidRPr="009072DA">
        <w:rPr>
          <w:lang w:val="bg-BG"/>
        </w:rPr>
        <w:tab/>
        <w:t>Казахстан</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820 – 829</w:t>
      </w:r>
      <w:r w:rsidRPr="009072DA">
        <w:rPr>
          <w:lang w:val="bg-BG"/>
        </w:rPr>
        <w:tab/>
        <w:t>Киргизстан</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830 – 839</w:t>
      </w:r>
      <w:r w:rsidRPr="009072DA">
        <w:rPr>
          <w:lang w:val="bg-BG"/>
        </w:rPr>
        <w:tab/>
        <w:t>Таджикистан</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840 – 849</w:t>
      </w:r>
      <w:r w:rsidRPr="009072DA">
        <w:rPr>
          <w:lang w:val="bg-BG"/>
        </w:rPr>
        <w:tab/>
        <w:t>Туркменистан</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850 – 859</w:t>
      </w:r>
      <w:r w:rsidRPr="009072DA">
        <w:rPr>
          <w:lang w:val="bg-BG"/>
        </w:rPr>
        <w:tab/>
        <w:t>Узбекистан</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860 – 869</w:t>
      </w:r>
      <w:r w:rsidRPr="009072DA">
        <w:rPr>
          <w:lang w:val="bg-BG"/>
        </w:rPr>
        <w:tab/>
        <w:t>Иран</w:t>
      </w:r>
    </w:p>
    <w:p w:rsidR="009C13A9" w:rsidRPr="009072DA" w:rsidRDefault="009C13A9" w:rsidP="009C13A9">
      <w:pPr>
        <w:tabs>
          <w:tab w:val="left" w:pos="1418"/>
        </w:tabs>
        <w:overflowPunct w:val="0"/>
        <w:adjustRightInd w:val="0"/>
        <w:spacing w:line="240" w:lineRule="atLeast"/>
        <w:ind w:left="1418" w:hanging="1418"/>
        <w:textAlignment w:val="baseline"/>
        <w:rPr>
          <w:rFonts w:cs="Arial"/>
          <w:snapToGrid w:val="0"/>
          <w:szCs w:val="20"/>
          <w:lang w:val="bg-BG"/>
        </w:rPr>
      </w:pPr>
      <w:r w:rsidRPr="009072DA">
        <w:rPr>
          <w:lang w:val="bg-BG"/>
        </w:rPr>
        <w:t>870 – 999</w:t>
      </w:r>
      <w:r w:rsidRPr="009072DA">
        <w:rPr>
          <w:lang w:val="bg-BG"/>
        </w:rPr>
        <w:tab/>
        <w:t>запазено</w:t>
      </w:r>
    </w:p>
    <w:p w:rsidR="009C13A9" w:rsidRPr="009072DA" w:rsidRDefault="009C13A9" w:rsidP="009C13A9">
      <w:pPr>
        <w:overflowPunct w:val="0"/>
        <w:adjustRightInd w:val="0"/>
        <w:textAlignment w:val="baseline"/>
        <w:rPr>
          <w:rFonts w:cs="Arial"/>
          <w:szCs w:val="20"/>
          <w:lang w:val="bg-BG"/>
        </w:rPr>
      </w:pPr>
    </w:p>
    <w:p w:rsidR="009C13A9" w:rsidRPr="009072DA" w:rsidRDefault="009C13A9" w:rsidP="009C13A9">
      <w:pPr>
        <w:overflowPunct w:val="0"/>
        <w:adjustRightInd w:val="0"/>
        <w:textAlignment w:val="baseline"/>
        <w:rPr>
          <w:rFonts w:cs="Arial"/>
          <w:szCs w:val="20"/>
          <w:lang w:val="bg-BG"/>
        </w:rPr>
      </w:pPr>
    </w:p>
    <w:p w:rsidR="009C13A9" w:rsidRPr="009072DA" w:rsidRDefault="009C13A9" w:rsidP="009C13A9">
      <w:pPr>
        <w:rPr>
          <w:lang w:val="bg-BG"/>
        </w:rPr>
      </w:pPr>
      <w:r w:rsidRPr="009072DA">
        <w:rPr>
          <w:lang w:val="bg-BG"/>
        </w:rPr>
        <w:t>„xxxxx“ представлява петцифреният сериен номер, даден от компетентния орган.</w:t>
      </w:r>
    </w:p>
    <w:p w:rsidR="009C13A9" w:rsidRPr="009072DA" w:rsidRDefault="009C13A9" w:rsidP="009C13A9">
      <w:pPr>
        <w:overflowPunct w:val="0"/>
        <w:adjustRightInd w:val="0"/>
        <w:textAlignment w:val="baseline"/>
        <w:rPr>
          <w:rFonts w:cs="Arial"/>
          <w:szCs w:val="20"/>
          <w:lang w:val="bg-BG"/>
        </w:rPr>
      </w:pPr>
    </w:p>
    <w:p w:rsidR="009C13A9" w:rsidRPr="009072DA" w:rsidRDefault="009C13A9" w:rsidP="009C13A9">
      <w:pPr>
        <w:overflowPunct w:val="0"/>
        <w:adjustRightInd w:val="0"/>
        <w:textAlignment w:val="baseline"/>
        <w:rPr>
          <w:rFonts w:cs="Arial"/>
          <w:szCs w:val="20"/>
          <w:lang w:val="bg-BG"/>
        </w:rPr>
      </w:pPr>
    </w:p>
    <w:p w:rsidR="009C13A9" w:rsidRPr="009072DA" w:rsidRDefault="009C13A9" w:rsidP="009C13A9">
      <w:pPr>
        <w:spacing w:line="240" w:lineRule="atLeast"/>
        <w:ind w:left="567" w:hanging="567"/>
        <w:rPr>
          <w:rFonts w:cs="Arial"/>
          <w:szCs w:val="20"/>
          <w:lang w:val="bg-BG"/>
        </w:rPr>
      </w:pPr>
    </w:p>
    <w:p w:rsidR="009C13A9" w:rsidRPr="009072DA" w:rsidRDefault="009C13A9" w:rsidP="009C13A9">
      <w:pPr>
        <w:spacing w:line="240" w:lineRule="atLeast"/>
        <w:ind w:left="567" w:hanging="567"/>
        <w:rPr>
          <w:rFonts w:cs="Arial"/>
          <w:szCs w:val="20"/>
          <w:lang w:val="bg-BG"/>
        </w:rPr>
      </w:pPr>
    </w:p>
    <w:p w:rsidR="009C13A9" w:rsidRPr="009072DA" w:rsidRDefault="009C13A9" w:rsidP="009C13A9">
      <w:pPr>
        <w:spacing w:line="240" w:lineRule="atLeast"/>
        <w:ind w:left="567" w:hanging="567"/>
        <w:rPr>
          <w:rFonts w:cs="Arial"/>
          <w:szCs w:val="20"/>
          <w:lang w:val="bg-BG"/>
        </w:rPr>
      </w:pPr>
    </w:p>
    <w:p w:rsidR="009C13A9" w:rsidRPr="009072DA" w:rsidRDefault="009C13A9" w:rsidP="009C13A9">
      <w:pPr>
        <w:spacing w:line="240" w:lineRule="atLeast"/>
        <w:rPr>
          <w:rFonts w:cs="Arial"/>
          <w:szCs w:val="20"/>
          <w:lang w:val="bg-BG"/>
        </w:rPr>
      </w:pPr>
    </w:p>
    <w:p w:rsidR="009C13A9" w:rsidRPr="009072DA" w:rsidRDefault="009C13A9" w:rsidP="009C13A9">
      <w:pPr>
        <w:spacing w:line="240" w:lineRule="atLeast"/>
        <w:rPr>
          <w:lang w:val="bg-BG"/>
        </w:rPr>
      </w:pPr>
      <w:r w:rsidRPr="009072DA">
        <w:rPr>
          <w:lang w:val="bg-BG"/>
        </w:rPr>
        <w:br w:type="page"/>
      </w:r>
    </w:p>
    <w:p w:rsidR="009C13A9" w:rsidRPr="009072DA" w:rsidRDefault="009C13A9" w:rsidP="009C13A9">
      <w:pPr>
        <w:pStyle w:val="ES-Titre2"/>
        <w:pageBreakBefore w:val="0"/>
      </w:pPr>
      <w:bookmarkStart w:id="601" w:name="_Toc491854293"/>
      <w:bookmarkStart w:id="602" w:name="_Toc535827734"/>
      <w:r w:rsidRPr="009072DA">
        <w:lastRenderedPageBreak/>
        <w:t>Приложение 2</w:t>
      </w:r>
      <w:r w:rsidRPr="009072DA">
        <w:br/>
        <w:t>Данни за идентифицирането на плавателен съд</w:t>
      </w:r>
      <w:bookmarkEnd w:id="601"/>
      <w:bookmarkEnd w:id="602"/>
    </w:p>
    <w:p w:rsidR="009C13A9" w:rsidRPr="009072DA" w:rsidRDefault="009C13A9" w:rsidP="009C13A9">
      <w:pPr>
        <w:overflowPunct w:val="0"/>
        <w:adjustRightInd w:val="0"/>
        <w:textAlignment w:val="baseline"/>
        <w:rPr>
          <w:rFonts w:cs="Arial"/>
          <w:szCs w:val="20"/>
          <w:lang w:val="bg-BG"/>
        </w:rPr>
      </w:pPr>
    </w:p>
    <w:p w:rsidR="009C13A9" w:rsidRPr="009072DA" w:rsidRDefault="009C13A9" w:rsidP="009C13A9">
      <w:pPr>
        <w:spacing w:line="240" w:lineRule="atLeast"/>
        <w:rPr>
          <w:rFonts w:cs="Arial"/>
          <w:szCs w:val="20"/>
          <w:lang w:val="bg-BG"/>
        </w:rPr>
      </w:pPr>
    </w:p>
    <w:p w:rsidR="009C13A9" w:rsidRPr="009072DA" w:rsidRDefault="009C13A9" w:rsidP="009C13A9">
      <w:pPr>
        <w:spacing w:line="240" w:lineRule="atLeast"/>
        <w:rPr>
          <w:rFonts w:cs="Arial"/>
          <w:color w:val="000000"/>
          <w:lang w:val="bg-BG"/>
        </w:rPr>
      </w:pPr>
      <w:r w:rsidRPr="009072DA">
        <w:rPr>
          <w:color w:val="000000"/>
          <w:lang w:val="bg-BG"/>
        </w:rPr>
        <w:t>A.</w:t>
      </w:r>
      <w:r w:rsidRPr="009072DA">
        <w:rPr>
          <w:lang w:val="bg-BG"/>
        </w:rPr>
        <w:tab/>
      </w:r>
      <w:r w:rsidRPr="009072DA">
        <w:rPr>
          <w:color w:val="000000"/>
          <w:lang w:val="bg-BG"/>
        </w:rPr>
        <w:t>Всички плавателни съдове:</w:t>
      </w:r>
    </w:p>
    <w:p w:rsidR="009C13A9" w:rsidRPr="009072DA" w:rsidRDefault="009C13A9" w:rsidP="009C13A9">
      <w:pPr>
        <w:spacing w:before="60" w:line="240" w:lineRule="atLeast"/>
        <w:ind w:left="992" w:hanging="567"/>
        <w:rPr>
          <w:rFonts w:cs="Arial"/>
          <w:szCs w:val="20"/>
          <w:lang w:val="bg-BG"/>
        </w:rPr>
      </w:pPr>
      <w:r w:rsidRPr="009072DA">
        <w:rPr>
          <w:lang w:val="bg-BG"/>
        </w:rPr>
        <w:t>1.</w:t>
      </w:r>
      <w:r w:rsidRPr="009072DA">
        <w:rPr>
          <w:lang w:val="bg-BG"/>
        </w:rPr>
        <w:tab/>
        <w:t>Уникален европейски идентификационен номер на плавателен съд (приложение 3, раздел I, точка 3 от образеца и раздел VI, петата колона)</w:t>
      </w:r>
    </w:p>
    <w:p w:rsidR="009C13A9" w:rsidRPr="009072DA" w:rsidRDefault="009C13A9" w:rsidP="009C13A9">
      <w:pPr>
        <w:spacing w:before="60" w:line="240" w:lineRule="atLeast"/>
        <w:ind w:left="992" w:hanging="567"/>
        <w:rPr>
          <w:rFonts w:cs="Arial"/>
          <w:szCs w:val="20"/>
          <w:lang w:val="bg-BG"/>
        </w:rPr>
      </w:pPr>
      <w:r w:rsidRPr="009072DA">
        <w:rPr>
          <w:lang w:val="bg-BG"/>
        </w:rPr>
        <w:t>2.</w:t>
      </w:r>
      <w:r w:rsidRPr="009072DA">
        <w:rPr>
          <w:lang w:val="bg-BG"/>
        </w:rPr>
        <w:tab/>
        <w:t>Наименование на плавателното средство/плавателния съд (приложение 3, раздел I, точка 1 от образеца и раздел VI, четвърта колона)</w:t>
      </w:r>
    </w:p>
    <w:p w:rsidR="009C13A9" w:rsidRPr="009072DA" w:rsidRDefault="009C13A9" w:rsidP="009C13A9">
      <w:pPr>
        <w:spacing w:before="60" w:line="240" w:lineRule="atLeast"/>
        <w:ind w:left="992" w:hanging="567"/>
        <w:rPr>
          <w:rFonts w:cs="Arial"/>
          <w:szCs w:val="20"/>
          <w:lang w:val="bg-BG"/>
        </w:rPr>
      </w:pPr>
      <w:r w:rsidRPr="009072DA">
        <w:rPr>
          <w:lang w:val="bg-BG"/>
        </w:rPr>
        <w:t>3.</w:t>
      </w:r>
      <w:r w:rsidRPr="009072DA">
        <w:rPr>
          <w:lang w:val="bg-BG"/>
        </w:rPr>
        <w:tab/>
        <w:t>Вид на плавателното средство съгласно определението по член 1.01, точки 1.1 — 1.28 (приложение 3, раздел I, точка 2 от образеца)</w:t>
      </w:r>
    </w:p>
    <w:p w:rsidR="009C13A9" w:rsidRPr="009072DA" w:rsidRDefault="009C13A9" w:rsidP="009C13A9">
      <w:pPr>
        <w:spacing w:before="60" w:line="240" w:lineRule="atLeast"/>
        <w:ind w:left="992" w:hanging="567"/>
        <w:rPr>
          <w:rFonts w:cs="Arial"/>
          <w:szCs w:val="20"/>
          <w:lang w:val="bg-BG"/>
        </w:rPr>
      </w:pPr>
      <w:r w:rsidRPr="009072DA">
        <w:rPr>
          <w:lang w:val="bg-BG"/>
        </w:rPr>
        <w:t>4.</w:t>
      </w:r>
      <w:r w:rsidRPr="009072DA">
        <w:rPr>
          <w:lang w:val="bg-BG"/>
        </w:rPr>
        <w:tab/>
        <w:t>Габаритна дължина съгласно определението в член 1.01, точка 4.17 (приложение 3, раздел I, точка 17a)</w:t>
      </w:r>
    </w:p>
    <w:p w:rsidR="009C13A9" w:rsidRPr="009072DA" w:rsidRDefault="009C13A9" w:rsidP="009C13A9">
      <w:pPr>
        <w:spacing w:before="60" w:line="240" w:lineRule="atLeast"/>
        <w:ind w:left="992" w:hanging="567"/>
        <w:rPr>
          <w:rFonts w:cs="Arial"/>
          <w:szCs w:val="20"/>
          <w:lang w:val="bg-BG"/>
        </w:rPr>
      </w:pPr>
      <w:r w:rsidRPr="009072DA">
        <w:rPr>
          <w:lang w:val="bg-BG"/>
        </w:rPr>
        <w:t>5.</w:t>
      </w:r>
      <w:r w:rsidRPr="009072DA">
        <w:rPr>
          <w:lang w:val="bg-BG"/>
        </w:rPr>
        <w:tab/>
        <w:t>Габаритна ширина съгласно определението в член 1.01, точка 4.20 (приложение 3, раздел I, точка 18a)</w:t>
      </w:r>
    </w:p>
    <w:p w:rsidR="009C13A9" w:rsidRPr="009072DA" w:rsidRDefault="009C13A9" w:rsidP="009C13A9">
      <w:pPr>
        <w:spacing w:before="60" w:line="240" w:lineRule="atLeast"/>
        <w:ind w:left="992" w:hanging="567"/>
        <w:rPr>
          <w:rFonts w:cs="Arial"/>
          <w:szCs w:val="20"/>
          <w:lang w:val="bg-BG"/>
        </w:rPr>
      </w:pPr>
      <w:r w:rsidRPr="009072DA">
        <w:rPr>
          <w:lang w:val="bg-BG"/>
        </w:rPr>
        <w:t>6.</w:t>
      </w:r>
      <w:r w:rsidRPr="009072DA">
        <w:rPr>
          <w:lang w:val="bg-BG"/>
        </w:rPr>
        <w:tab/>
        <w:t>Газене съгласно определението в член 1.01, точка 4.23 (приложение 3, раздел I, точка 19a)</w:t>
      </w:r>
    </w:p>
    <w:p w:rsidR="009C13A9" w:rsidRPr="009072DA" w:rsidRDefault="009C13A9" w:rsidP="009C13A9">
      <w:pPr>
        <w:spacing w:before="60" w:line="240" w:lineRule="atLeast"/>
        <w:ind w:left="992" w:hanging="567"/>
        <w:rPr>
          <w:rFonts w:cs="Arial"/>
          <w:szCs w:val="20"/>
          <w:lang w:val="bg-BG"/>
        </w:rPr>
      </w:pPr>
      <w:r w:rsidRPr="009072DA">
        <w:rPr>
          <w:lang w:val="bg-BG"/>
        </w:rPr>
        <w:t>7.</w:t>
      </w:r>
      <w:r w:rsidRPr="009072DA">
        <w:rPr>
          <w:lang w:val="bg-BG"/>
        </w:rPr>
        <w:tab/>
        <w:t>Източник на данни (=  удостоверение на плавателния съд за плаване по вътрешни водни пътища.)</w:t>
      </w:r>
    </w:p>
    <w:p w:rsidR="009C13A9" w:rsidRPr="009072DA" w:rsidRDefault="009C13A9" w:rsidP="009C13A9">
      <w:pPr>
        <w:spacing w:before="60" w:line="240" w:lineRule="atLeast"/>
        <w:ind w:left="992" w:hanging="567"/>
        <w:rPr>
          <w:rFonts w:cs="Arial"/>
          <w:szCs w:val="20"/>
          <w:lang w:val="bg-BG"/>
        </w:rPr>
      </w:pPr>
      <w:r w:rsidRPr="009072DA">
        <w:rPr>
          <w:lang w:val="bg-BG"/>
        </w:rPr>
        <w:t>8.</w:t>
      </w:r>
      <w:r w:rsidRPr="009072DA">
        <w:rPr>
          <w:lang w:val="bg-BG"/>
        </w:rPr>
        <w:tab/>
        <w:t>Товароподемност (приложение 3, раздел I, точка 21 и раздел VI, 13-а колона) за товарни плавателни съдове</w:t>
      </w:r>
    </w:p>
    <w:p w:rsidR="009C13A9" w:rsidRPr="009072DA" w:rsidRDefault="009C13A9" w:rsidP="009C13A9">
      <w:pPr>
        <w:spacing w:before="60" w:line="240" w:lineRule="atLeast"/>
        <w:ind w:left="992" w:hanging="567"/>
        <w:rPr>
          <w:rFonts w:cs="Arial"/>
          <w:szCs w:val="20"/>
          <w:lang w:val="bg-BG"/>
        </w:rPr>
      </w:pPr>
      <w:r w:rsidRPr="009072DA">
        <w:rPr>
          <w:lang w:val="bg-BG"/>
        </w:rPr>
        <w:t>9.</w:t>
      </w:r>
      <w:r w:rsidRPr="009072DA">
        <w:rPr>
          <w:lang w:val="bg-BG"/>
        </w:rPr>
        <w:tab/>
        <w:t>Водоизместване съгласно определението в член 1.01, точка 4.7 (приложение 3, раздел I, точка 21 и раздел VI, 13-</w:t>
      </w:r>
      <w:r w:rsidRPr="009072DA">
        <w:rPr>
          <w:vertAlign w:val="superscript"/>
          <w:lang w:val="bg-BG"/>
        </w:rPr>
        <w:t xml:space="preserve">та </w:t>
      </w:r>
      <w:r w:rsidRPr="009072DA">
        <w:rPr>
          <w:lang w:val="bg-BG"/>
        </w:rPr>
        <w:t>колона) за плавателни съдове, различни от товарните</w:t>
      </w:r>
    </w:p>
    <w:p w:rsidR="009C13A9" w:rsidRPr="009072DA" w:rsidRDefault="009C13A9" w:rsidP="009C13A9">
      <w:pPr>
        <w:spacing w:before="60" w:line="240" w:lineRule="atLeast"/>
        <w:ind w:left="992" w:hanging="567"/>
        <w:rPr>
          <w:rFonts w:cs="Arial"/>
          <w:szCs w:val="20"/>
          <w:lang w:val="bg-BG"/>
        </w:rPr>
      </w:pPr>
      <w:r w:rsidRPr="009072DA">
        <w:rPr>
          <w:lang w:val="bg-BG"/>
        </w:rPr>
        <w:t>10.</w:t>
      </w:r>
      <w:r w:rsidRPr="009072DA">
        <w:rPr>
          <w:lang w:val="bg-BG"/>
        </w:rPr>
        <w:tab/>
        <w:t>Оператор (собственик или негов представител)</w:t>
      </w:r>
    </w:p>
    <w:p w:rsidR="009C13A9" w:rsidRPr="009072DA" w:rsidRDefault="009C13A9" w:rsidP="009C13A9">
      <w:pPr>
        <w:spacing w:before="60" w:line="240" w:lineRule="atLeast"/>
        <w:ind w:left="992" w:hanging="567"/>
        <w:rPr>
          <w:rFonts w:cs="Arial"/>
          <w:szCs w:val="20"/>
          <w:lang w:val="bg-BG"/>
        </w:rPr>
      </w:pPr>
      <w:r w:rsidRPr="009072DA">
        <w:rPr>
          <w:lang w:val="bg-BG"/>
        </w:rPr>
        <w:t>11.</w:t>
      </w:r>
      <w:r w:rsidRPr="009072DA">
        <w:rPr>
          <w:lang w:val="bg-BG"/>
        </w:rPr>
        <w:tab/>
        <w:t>Контролен орган / Издаващ орган (приложение 3, раздели I и VI)</w:t>
      </w:r>
    </w:p>
    <w:p w:rsidR="009C13A9" w:rsidRPr="009072DA" w:rsidRDefault="009C13A9" w:rsidP="009C13A9">
      <w:pPr>
        <w:spacing w:before="60" w:line="240" w:lineRule="atLeast"/>
        <w:ind w:left="992" w:hanging="567"/>
        <w:rPr>
          <w:rFonts w:cs="Arial"/>
          <w:szCs w:val="20"/>
          <w:lang w:val="bg-BG"/>
        </w:rPr>
      </w:pPr>
      <w:r w:rsidRPr="009072DA">
        <w:rPr>
          <w:lang w:val="bg-BG"/>
        </w:rPr>
        <w:t>12.</w:t>
      </w:r>
      <w:r w:rsidRPr="009072DA">
        <w:rPr>
          <w:lang w:val="bg-BG"/>
        </w:rPr>
        <w:tab/>
        <w:t>Номер на удостоверението на плавателния съд за плаване по вътрешни водни пътища (приложение 3, раздел I и раздел VI, първа колона)</w:t>
      </w:r>
    </w:p>
    <w:p w:rsidR="009C13A9" w:rsidRPr="009072DA" w:rsidRDefault="009C13A9" w:rsidP="009C13A9">
      <w:pPr>
        <w:spacing w:before="60" w:line="240" w:lineRule="atLeast"/>
        <w:ind w:left="992" w:hanging="567"/>
        <w:rPr>
          <w:rFonts w:cs="Arial"/>
          <w:szCs w:val="20"/>
          <w:lang w:val="bg-BG"/>
        </w:rPr>
      </w:pPr>
      <w:r w:rsidRPr="009072DA">
        <w:rPr>
          <w:lang w:val="bg-BG"/>
        </w:rPr>
        <w:t>13.</w:t>
      </w:r>
      <w:r w:rsidRPr="009072DA">
        <w:rPr>
          <w:lang w:val="bg-BG"/>
        </w:rPr>
        <w:tab/>
        <w:t>Дата на изтичане (приложение 3, раздел I, точка 11 от образеца и раздел VI, 17-та колона)</w:t>
      </w:r>
    </w:p>
    <w:p w:rsidR="009C13A9" w:rsidRPr="009072DA" w:rsidRDefault="009C13A9" w:rsidP="009C13A9">
      <w:pPr>
        <w:spacing w:before="60" w:line="240" w:lineRule="atLeast"/>
        <w:ind w:left="992" w:hanging="567"/>
        <w:rPr>
          <w:rFonts w:cs="Arial"/>
          <w:szCs w:val="20"/>
          <w:lang w:val="bg-BG"/>
        </w:rPr>
      </w:pPr>
      <w:r w:rsidRPr="009072DA">
        <w:rPr>
          <w:lang w:val="bg-BG"/>
        </w:rPr>
        <w:t>14.</w:t>
      </w:r>
      <w:r w:rsidRPr="009072DA">
        <w:rPr>
          <w:lang w:val="bg-BG"/>
        </w:rPr>
        <w:tab/>
        <w:t>Автор на набора от данни.</w:t>
      </w:r>
    </w:p>
    <w:p w:rsidR="009C13A9" w:rsidRPr="009072DA" w:rsidRDefault="009C13A9" w:rsidP="009C13A9">
      <w:pPr>
        <w:spacing w:line="240" w:lineRule="atLeast"/>
        <w:rPr>
          <w:rFonts w:cs="Arial"/>
          <w:szCs w:val="20"/>
          <w:lang w:val="bg-BG"/>
        </w:rPr>
      </w:pPr>
    </w:p>
    <w:p w:rsidR="009C13A9" w:rsidRPr="009072DA" w:rsidRDefault="009C13A9" w:rsidP="009C13A9">
      <w:pPr>
        <w:spacing w:line="240" w:lineRule="atLeast"/>
        <w:rPr>
          <w:rFonts w:cs="Arial"/>
          <w:color w:val="000000"/>
          <w:lang w:val="bg-BG"/>
        </w:rPr>
      </w:pPr>
      <w:r w:rsidRPr="009072DA">
        <w:rPr>
          <w:color w:val="000000"/>
          <w:lang w:val="bg-BG"/>
        </w:rPr>
        <w:t>Б.</w:t>
      </w:r>
      <w:r w:rsidRPr="009072DA">
        <w:rPr>
          <w:lang w:val="bg-BG"/>
        </w:rPr>
        <w:tab/>
      </w:r>
      <w:r w:rsidRPr="009072DA">
        <w:rPr>
          <w:color w:val="000000"/>
          <w:lang w:val="bg-BG"/>
        </w:rPr>
        <w:t>Където са налични:</w:t>
      </w:r>
    </w:p>
    <w:p w:rsidR="009C13A9" w:rsidRPr="009072DA" w:rsidRDefault="009C13A9" w:rsidP="009C13A9">
      <w:pPr>
        <w:spacing w:before="60" w:line="240" w:lineRule="atLeast"/>
        <w:ind w:left="992" w:hanging="567"/>
        <w:rPr>
          <w:rFonts w:cs="Arial"/>
          <w:szCs w:val="20"/>
          <w:lang w:val="bg-BG"/>
        </w:rPr>
      </w:pPr>
      <w:r w:rsidRPr="009072DA">
        <w:rPr>
          <w:lang w:val="bg-BG"/>
        </w:rPr>
        <w:t>1.</w:t>
      </w:r>
      <w:r w:rsidRPr="009072DA">
        <w:rPr>
          <w:lang w:val="bg-BG"/>
        </w:rPr>
        <w:tab/>
        <w:t>Национален номер</w:t>
      </w:r>
    </w:p>
    <w:p w:rsidR="009C13A9" w:rsidRPr="009072DA" w:rsidRDefault="009C13A9" w:rsidP="009C13A9">
      <w:pPr>
        <w:spacing w:before="60" w:line="240" w:lineRule="atLeast"/>
        <w:ind w:left="992" w:hanging="567"/>
        <w:rPr>
          <w:rFonts w:cs="Arial"/>
          <w:szCs w:val="20"/>
          <w:lang w:val="bg-BG"/>
        </w:rPr>
      </w:pPr>
      <w:r w:rsidRPr="009072DA">
        <w:rPr>
          <w:lang w:val="bg-BG"/>
        </w:rPr>
        <w:t>2.</w:t>
      </w:r>
      <w:r w:rsidRPr="009072DA">
        <w:rPr>
          <w:lang w:val="bg-BG"/>
        </w:rPr>
        <w:tab/>
        <w:t>Вид на плавателното средство съгласно техническата спецификация за електронната система за докладване при вътрешното корабоплаване</w:t>
      </w:r>
    </w:p>
    <w:p w:rsidR="009C13A9" w:rsidRPr="009072DA" w:rsidRDefault="009C13A9" w:rsidP="009C13A9">
      <w:pPr>
        <w:spacing w:before="60" w:line="240" w:lineRule="atLeast"/>
        <w:ind w:left="992" w:hanging="567"/>
        <w:rPr>
          <w:rFonts w:cs="Arial"/>
          <w:szCs w:val="20"/>
          <w:lang w:val="bg-BG"/>
        </w:rPr>
      </w:pPr>
      <w:r w:rsidRPr="009072DA">
        <w:rPr>
          <w:lang w:val="bg-BG"/>
        </w:rPr>
        <w:lastRenderedPageBreak/>
        <w:t>3.</w:t>
      </w:r>
      <w:r w:rsidRPr="009072DA">
        <w:rPr>
          <w:lang w:val="bg-BG"/>
        </w:rPr>
        <w:tab/>
        <w:t>Единичен или двоен корпус съгласно ADN/ADNR (Европейско споразумение за международен превоз на опасни товари по вътрешни водни пътища/Споразумение за превоз на опасни товари по река Рейн)</w:t>
      </w:r>
    </w:p>
    <w:p w:rsidR="009C13A9" w:rsidRPr="009072DA" w:rsidRDefault="009C13A9" w:rsidP="009C13A9">
      <w:pPr>
        <w:spacing w:before="60" w:line="240" w:lineRule="atLeast"/>
        <w:ind w:left="992" w:hanging="567"/>
        <w:rPr>
          <w:rFonts w:cs="Arial"/>
          <w:szCs w:val="20"/>
          <w:lang w:val="bg-BG"/>
        </w:rPr>
      </w:pPr>
      <w:r w:rsidRPr="009072DA">
        <w:rPr>
          <w:lang w:val="bg-BG"/>
        </w:rPr>
        <w:t>4.</w:t>
      </w:r>
      <w:r w:rsidRPr="009072DA">
        <w:rPr>
          <w:lang w:val="bg-BG"/>
        </w:rPr>
        <w:tab/>
        <w:t>Височина съгласно определението в член 1.01, точка 4.22</w:t>
      </w:r>
    </w:p>
    <w:p w:rsidR="009C13A9" w:rsidRPr="009072DA" w:rsidRDefault="009C13A9" w:rsidP="009C13A9">
      <w:pPr>
        <w:spacing w:before="60" w:line="240" w:lineRule="atLeast"/>
        <w:ind w:left="992" w:hanging="567"/>
        <w:rPr>
          <w:rFonts w:cs="Arial"/>
          <w:szCs w:val="20"/>
          <w:lang w:val="bg-BG"/>
        </w:rPr>
      </w:pPr>
      <w:r w:rsidRPr="009072DA">
        <w:rPr>
          <w:lang w:val="bg-BG"/>
        </w:rPr>
        <w:t>5.</w:t>
      </w:r>
      <w:r w:rsidRPr="009072DA">
        <w:rPr>
          <w:lang w:val="bg-BG"/>
        </w:rPr>
        <w:tab/>
        <w:t>Брутен тонаж (за морските плавателни съдове)</w:t>
      </w:r>
    </w:p>
    <w:p w:rsidR="009C13A9" w:rsidRPr="009072DA" w:rsidRDefault="009C13A9" w:rsidP="009C13A9">
      <w:pPr>
        <w:spacing w:before="60" w:line="240" w:lineRule="atLeast"/>
        <w:ind w:left="992" w:hanging="567"/>
        <w:rPr>
          <w:rFonts w:cs="Arial"/>
          <w:szCs w:val="20"/>
          <w:lang w:val="bg-BG"/>
        </w:rPr>
      </w:pPr>
      <w:r w:rsidRPr="009072DA">
        <w:rPr>
          <w:lang w:val="bg-BG"/>
        </w:rPr>
        <w:t>6.</w:t>
      </w:r>
      <w:r w:rsidRPr="009072DA">
        <w:rPr>
          <w:lang w:val="bg-BG"/>
        </w:rPr>
        <w:tab/>
        <w:t>Номер, издаден от Международната морска организация (за морските плавателни съдове)</w:t>
      </w:r>
    </w:p>
    <w:p w:rsidR="009C13A9" w:rsidRPr="009072DA" w:rsidRDefault="009C13A9" w:rsidP="009C13A9">
      <w:pPr>
        <w:spacing w:before="60" w:line="240" w:lineRule="atLeast"/>
        <w:ind w:left="992" w:hanging="567"/>
        <w:rPr>
          <w:rFonts w:cs="Arial"/>
          <w:szCs w:val="20"/>
          <w:lang w:val="bg-BG"/>
        </w:rPr>
      </w:pPr>
      <w:r w:rsidRPr="009072DA">
        <w:rPr>
          <w:lang w:val="bg-BG"/>
        </w:rPr>
        <w:t>7.</w:t>
      </w:r>
      <w:r w:rsidRPr="009072DA">
        <w:rPr>
          <w:lang w:val="bg-BG"/>
        </w:rPr>
        <w:tab/>
        <w:t>Повиквателен сигнал (за морските плавателни съдове)</w:t>
      </w:r>
    </w:p>
    <w:p w:rsidR="009C13A9" w:rsidRPr="009072DA" w:rsidRDefault="009C13A9" w:rsidP="009C13A9">
      <w:pPr>
        <w:spacing w:before="60" w:line="240" w:lineRule="atLeast"/>
        <w:ind w:left="992" w:hanging="567"/>
        <w:rPr>
          <w:rFonts w:cs="Arial"/>
          <w:szCs w:val="20"/>
          <w:lang w:val="bg-BG"/>
        </w:rPr>
      </w:pPr>
      <w:r w:rsidRPr="009072DA">
        <w:rPr>
          <w:lang w:val="bg-BG"/>
        </w:rPr>
        <w:t>8.</w:t>
      </w:r>
      <w:r w:rsidRPr="009072DA">
        <w:rPr>
          <w:lang w:val="bg-BG"/>
        </w:rPr>
        <w:tab/>
        <w:t>MMSI номер</w:t>
      </w:r>
    </w:p>
    <w:p w:rsidR="009C13A9" w:rsidRPr="009072DA" w:rsidRDefault="009C13A9" w:rsidP="009C13A9">
      <w:pPr>
        <w:spacing w:before="60" w:line="240" w:lineRule="atLeast"/>
        <w:ind w:left="992" w:hanging="567"/>
        <w:rPr>
          <w:rFonts w:cs="Arial"/>
          <w:szCs w:val="20"/>
          <w:lang w:val="bg-BG"/>
        </w:rPr>
      </w:pPr>
      <w:r w:rsidRPr="009072DA">
        <w:rPr>
          <w:lang w:val="bg-BG"/>
        </w:rPr>
        <w:t>9.</w:t>
      </w:r>
      <w:r w:rsidRPr="009072DA">
        <w:rPr>
          <w:lang w:val="bg-BG"/>
        </w:rPr>
        <w:tab/>
        <w:t>Код по ATIS (автоматичната система за идентификация на предаватели)</w:t>
      </w:r>
    </w:p>
    <w:p w:rsidR="009C13A9" w:rsidRPr="009072DA" w:rsidRDefault="009C13A9" w:rsidP="009C13A9">
      <w:pPr>
        <w:spacing w:before="60" w:line="240" w:lineRule="atLeast"/>
        <w:ind w:left="992" w:hanging="567"/>
        <w:rPr>
          <w:rFonts w:cs="Arial"/>
          <w:szCs w:val="20"/>
          <w:lang w:val="bg-BG"/>
        </w:rPr>
      </w:pPr>
      <w:r w:rsidRPr="009072DA">
        <w:rPr>
          <w:lang w:val="bg-BG"/>
        </w:rPr>
        <w:t>10.</w:t>
      </w:r>
      <w:r w:rsidRPr="009072DA">
        <w:rPr>
          <w:lang w:val="bg-BG"/>
        </w:rPr>
        <w:tab/>
        <w:t>Вид, номер, издаващ орган и срок на валидност на други удостоверения.</w:t>
      </w:r>
    </w:p>
    <w:p w:rsidR="009C13A9" w:rsidRPr="009072DA" w:rsidRDefault="009C13A9" w:rsidP="009C13A9">
      <w:pPr>
        <w:spacing w:before="60" w:line="240" w:lineRule="atLeast"/>
        <w:ind w:left="992" w:hanging="567"/>
        <w:rPr>
          <w:rFonts w:cs="Arial"/>
          <w:szCs w:val="20"/>
          <w:lang w:val="bg-BG"/>
        </w:rPr>
      </w:pPr>
    </w:p>
    <w:p w:rsidR="009C13A9" w:rsidRPr="009072DA" w:rsidRDefault="009C13A9" w:rsidP="009C13A9">
      <w:pPr>
        <w:spacing w:before="60" w:line="240" w:lineRule="atLeast"/>
        <w:ind w:left="992" w:hanging="567"/>
        <w:rPr>
          <w:rFonts w:cs="Arial"/>
          <w:szCs w:val="20"/>
          <w:lang w:val="bg-BG"/>
        </w:rPr>
      </w:pPr>
    </w:p>
    <w:p w:rsidR="009C13A9" w:rsidRPr="009072DA" w:rsidRDefault="009C13A9" w:rsidP="009C13A9">
      <w:pPr>
        <w:spacing w:line="240" w:lineRule="atLeast"/>
        <w:rPr>
          <w:rFonts w:cs="Arial"/>
          <w:szCs w:val="20"/>
          <w:lang w:val="bg-BG"/>
        </w:rPr>
      </w:pPr>
      <w:r w:rsidRPr="009072DA">
        <w:rPr>
          <w:lang w:val="bg-BG"/>
        </w:rPr>
        <w:br w:type="page"/>
      </w:r>
    </w:p>
    <w:p w:rsidR="009C13A9" w:rsidRPr="009072DA" w:rsidRDefault="009C13A9" w:rsidP="009C13A9">
      <w:pPr>
        <w:spacing w:line="240" w:lineRule="atLeast"/>
        <w:rPr>
          <w:rFonts w:cs="Arial"/>
          <w:szCs w:val="20"/>
          <w:lang w:val="bg-BG"/>
        </w:rPr>
      </w:pPr>
    </w:p>
    <w:p w:rsidR="009C13A9" w:rsidRPr="009072DA" w:rsidRDefault="009C13A9" w:rsidP="009C13A9">
      <w:pPr>
        <w:spacing w:line="240" w:lineRule="atLeast"/>
        <w:rPr>
          <w:rFonts w:cs="Arial"/>
          <w:szCs w:val="20"/>
          <w:lang w:val="bg-BG"/>
        </w:rPr>
      </w:pPr>
    </w:p>
    <w:p w:rsidR="009C13A9" w:rsidRPr="009072DA" w:rsidRDefault="009C13A9" w:rsidP="009C13A9">
      <w:pPr>
        <w:spacing w:line="240" w:lineRule="atLeast"/>
        <w:rPr>
          <w:rFonts w:cs="Arial"/>
          <w:szCs w:val="20"/>
          <w:lang w:val="bg-BG"/>
        </w:rPr>
      </w:pPr>
    </w:p>
    <w:p w:rsidR="009C13A9" w:rsidRPr="009072DA" w:rsidRDefault="009C13A9" w:rsidP="009C13A9">
      <w:pPr>
        <w:tabs>
          <w:tab w:val="center" w:pos="8647"/>
        </w:tabs>
        <w:rPr>
          <w:rFonts w:cs="Arial"/>
          <w:szCs w:val="20"/>
          <w:lang w:val="bg-BG"/>
        </w:rPr>
        <w:sectPr w:rsidR="009C13A9" w:rsidRPr="009072DA" w:rsidSect="0042206B">
          <w:headerReference w:type="default" r:id="rId43"/>
          <w:footerReference w:type="default" r:id="rId44"/>
          <w:headerReference w:type="first" r:id="rId45"/>
          <w:footnotePr>
            <w:numRestart w:val="eachPage"/>
          </w:footnotePr>
          <w:pgSz w:w="11907" w:h="16840"/>
          <w:pgMar w:top="1418" w:right="1418" w:bottom="1418" w:left="1418" w:header="720" w:footer="720" w:gutter="0"/>
          <w:cols w:space="720"/>
          <w:docGrid w:linePitch="272"/>
        </w:sectPr>
      </w:pPr>
    </w:p>
    <w:p w:rsidR="009C13A9" w:rsidRPr="009072DA" w:rsidRDefault="009C13A9" w:rsidP="009C13A9">
      <w:pPr>
        <w:tabs>
          <w:tab w:val="center" w:pos="8647"/>
        </w:tabs>
        <w:rPr>
          <w:rFonts w:cs="Arial"/>
          <w:szCs w:val="20"/>
          <w:lang w:val="bg-BG"/>
        </w:rPr>
      </w:pPr>
    </w:p>
    <w:p w:rsidR="009C13A9" w:rsidRPr="009072DA" w:rsidRDefault="009C13A9" w:rsidP="009C13A9">
      <w:pPr>
        <w:pStyle w:val="ES-Titre2"/>
        <w:pageBreakBefore w:val="0"/>
      </w:pPr>
      <w:bookmarkStart w:id="603" w:name="_Toc491854294"/>
      <w:bookmarkStart w:id="604" w:name="_Toc535827735"/>
      <w:r w:rsidRPr="009072DA">
        <w:t>Приложение 3</w:t>
      </w:r>
      <w:r w:rsidRPr="009072DA">
        <w:br/>
        <w:t>Образци на удостоверенията на плавателни съдове за плаване по вътрешни водни пътища и образец на регистъра на удостоверенията на плавателни съдове за плаване по вътрешни водни пътища</w:t>
      </w:r>
      <w:bookmarkEnd w:id="603"/>
      <w:bookmarkEnd w:id="604"/>
    </w:p>
    <w:p w:rsidR="0006083D" w:rsidRPr="009072DA" w:rsidRDefault="0006083D" w:rsidP="00394AE4">
      <w:pPr>
        <w:pStyle w:val="ESgauche"/>
        <w:rPr>
          <w:noProof w:val="0"/>
          <w:lang w:val="bg-BG"/>
        </w:rPr>
      </w:pPr>
    </w:p>
    <w:p w:rsidR="009C13A9" w:rsidRPr="009072DA" w:rsidRDefault="00925755" w:rsidP="00857FC2">
      <w:pPr>
        <w:pStyle w:val="ES-Titre3"/>
        <w:rPr>
          <w:lang w:val="bg-BG"/>
        </w:rPr>
      </w:pPr>
      <w:bookmarkStart w:id="605" w:name="_Toc491854295"/>
      <w:bookmarkStart w:id="606" w:name="_Toc535827736"/>
      <w:r w:rsidRPr="009072DA">
        <w:rPr>
          <w:lang w:val="bg-BG"/>
        </w:rPr>
        <w:t>Раздел I</w:t>
      </w:r>
      <w:bookmarkEnd w:id="605"/>
      <w:bookmarkEnd w:id="606"/>
    </w:p>
    <w:p w:rsidR="009C13A9" w:rsidRPr="009072DA" w:rsidRDefault="009C13A9" w:rsidP="00857FC2">
      <w:pPr>
        <w:pStyle w:val="ES-Titre3a"/>
        <w:rPr>
          <w:lang w:val="bg-BG"/>
        </w:rPr>
      </w:pPr>
      <w:bookmarkStart w:id="607" w:name="_Toc491854296"/>
      <w:bookmarkStart w:id="608" w:name="_Toc535827737"/>
      <w:r w:rsidRPr="009072DA">
        <w:rPr>
          <w:lang w:val="bg-BG"/>
        </w:rPr>
        <w:t>Образец на удостоверение на плавателен съд за плаване по вътрешни водни пътища</w:t>
      </w:r>
      <w:bookmarkEnd w:id="607"/>
      <w:bookmarkEnd w:id="608"/>
    </w:p>
    <w:p w:rsidR="009C13A9" w:rsidRPr="009072DA" w:rsidRDefault="009C13A9" w:rsidP="009C13A9">
      <w:pPr>
        <w:tabs>
          <w:tab w:val="left" w:pos="284"/>
          <w:tab w:val="left" w:leader="dot" w:pos="9356"/>
        </w:tabs>
        <w:overflowPunct w:val="0"/>
        <w:adjustRightInd w:val="0"/>
        <w:textAlignment w:val="baseline"/>
        <w:rPr>
          <w:rFonts w:cs="Arial"/>
          <w:szCs w:val="20"/>
          <w:lang w:val="bg-BG"/>
        </w:rPr>
      </w:pPr>
    </w:p>
    <w:p w:rsidR="009C13A9" w:rsidRPr="009072DA" w:rsidRDefault="009C13A9" w:rsidP="009C13A9">
      <w:pPr>
        <w:tabs>
          <w:tab w:val="left" w:pos="284"/>
          <w:tab w:val="left" w:leader="dot" w:pos="9356"/>
        </w:tabs>
        <w:overflowPunct w:val="0"/>
        <w:adjustRightInd w:val="0"/>
        <w:textAlignment w:val="baseline"/>
        <w:rPr>
          <w:rFonts w:cs="Arial"/>
          <w:szCs w:val="20"/>
          <w:lang w:val="bg-BG"/>
        </w:rPr>
      </w:pPr>
    </w:p>
    <w:p w:rsidR="009C13A9" w:rsidRPr="009072DA" w:rsidRDefault="009C13A9" w:rsidP="009C13A9">
      <w:pPr>
        <w:tabs>
          <w:tab w:val="left" w:pos="284"/>
          <w:tab w:val="left" w:leader="dot" w:pos="9356"/>
        </w:tabs>
        <w:overflowPunct w:val="0"/>
        <w:adjustRightInd w:val="0"/>
        <w:jc w:val="center"/>
        <w:textAlignment w:val="baseline"/>
        <w:rPr>
          <w:rFonts w:cs="Arial"/>
          <w:b/>
          <w:lang w:val="bg-BG"/>
        </w:rPr>
      </w:pPr>
      <w:r w:rsidRPr="009072DA">
        <w:rPr>
          <w:b/>
          <w:lang w:val="bg-BG"/>
        </w:rPr>
        <w:t>Име на държавата/печат</w:t>
      </w:r>
    </w:p>
    <w:p w:rsidR="009C13A9" w:rsidRPr="009072DA" w:rsidRDefault="009C13A9" w:rsidP="009C13A9">
      <w:pPr>
        <w:tabs>
          <w:tab w:val="left" w:pos="284"/>
          <w:tab w:val="left" w:leader="dot" w:pos="9356"/>
        </w:tabs>
        <w:overflowPunct w:val="0"/>
        <w:adjustRightInd w:val="0"/>
        <w:jc w:val="center"/>
        <w:textAlignment w:val="baseline"/>
        <w:rPr>
          <w:rFonts w:cs="Arial"/>
          <w:b/>
          <w:lang w:val="bg-BG"/>
        </w:rPr>
      </w:pPr>
    </w:p>
    <w:p w:rsidR="009C13A9" w:rsidRPr="009072DA" w:rsidRDefault="009C13A9" w:rsidP="009C13A9">
      <w:pPr>
        <w:tabs>
          <w:tab w:val="left" w:pos="284"/>
          <w:tab w:val="left" w:leader="dot" w:pos="9356"/>
        </w:tabs>
        <w:overflowPunct w:val="0"/>
        <w:adjustRightInd w:val="0"/>
        <w:jc w:val="center"/>
        <w:textAlignment w:val="baseline"/>
        <w:rPr>
          <w:rFonts w:cs="Arial"/>
          <w:b/>
          <w:lang w:val="bg-BG"/>
        </w:rPr>
      </w:pPr>
    </w:p>
    <w:p w:rsidR="00AA5614" w:rsidRPr="009072DA" w:rsidRDefault="00AA5614" w:rsidP="00AA5614">
      <w:pPr>
        <w:tabs>
          <w:tab w:val="left" w:pos="284"/>
          <w:tab w:val="left" w:leader="dot" w:pos="9356"/>
        </w:tabs>
        <w:overflowPunct w:val="0"/>
        <w:adjustRightInd w:val="0"/>
        <w:jc w:val="center"/>
        <w:textAlignment w:val="baseline"/>
        <w:rPr>
          <w:rFonts w:cs="Arial"/>
          <w:b/>
          <w:lang w:val="bg-BG"/>
        </w:rPr>
      </w:pPr>
      <w:r w:rsidRPr="009072DA">
        <w:rPr>
          <w:b/>
          <w:lang w:val="bg-BG"/>
        </w:rPr>
        <w:t>УДОСТОВЕРЕНИЕ НА ПЛАВАТЕЛЕН СЪД ЗА ПЛАВАНЕ ПО ВЪТРЕШНИ ВОДНИ ПЪТИЩА</w:t>
      </w:r>
    </w:p>
    <w:p w:rsidR="009C13A9" w:rsidRPr="009072DA" w:rsidRDefault="009C13A9" w:rsidP="009C13A9">
      <w:pPr>
        <w:tabs>
          <w:tab w:val="left" w:pos="284"/>
          <w:tab w:val="left" w:leader="dot" w:pos="9356"/>
        </w:tabs>
        <w:overflowPunct w:val="0"/>
        <w:adjustRightInd w:val="0"/>
        <w:jc w:val="center"/>
        <w:textAlignment w:val="baseline"/>
        <w:rPr>
          <w:rFonts w:cs="Arial"/>
          <w:b/>
          <w:lang w:val="bg-BG"/>
        </w:rPr>
      </w:pPr>
    </w:p>
    <w:p w:rsidR="009C13A9" w:rsidRPr="009072DA" w:rsidRDefault="009C13A9" w:rsidP="009C13A9">
      <w:pPr>
        <w:tabs>
          <w:tab w:val="left" w:pos="284"/>
          <w:tab w:val="left" w:leader="dot" w:pos="9356"/>
        </w:tabs>
        <w:overflowPunct w:val="0"/>
        <w:adjustRightInd w:val="0"/>
        <w:jc w:val="center"/>
        <w:textAlignment w:val="baseline"/>
        <w:rPr>
          <w:rFonts w:cs="Arial"/>
          <w:b/>
          <w:lang w:val="bg-BG"/>
        </w:rPr>
      </w:pPr>
    </w:p>
    <w:p w:rsidR="009C13A9" w:rsidRPr="009072DA" w:rsidRDefault="009C13A9" w:rsidP="009C13A9">
      <w:pPr>
        <w:tabs>
          <w:tab w:val="left" w:pos="284"/>
          <w:tab w:val="left" w:leader="dot" w:pos="1701"/>
          <w:tab w:val="left" w:leader="dot" w:pos="9356"/>
        </w:tabs>
        <w:overflowPunct w:val="0"/>
        <w:adjustRightInd w:val="0"/>
        <w:jc w:val="center"/>
        <w:textAlignment w:val="baseline"/>
        <w:rPr>
          <w:rFonts w:cs="Arial"/>
          <w:b/>
          <w:lang w:val="bg-BG"/>
        </w:rPr>
      </w:pPr>
      <w:r w:rsidRPr="009072DA">
        <w:rPr>
          <w:b/>
          <w:lang w:val="bg-BG"/>
        </w:rPr>
        <w:t xml:space="preserve">№ </w:t>
      </w:r>
      <w:r w:rsidRPr="009072DA">
        <w:rPr>
          <w:lang w:val="bg-BG"/>
        </w:rPr>
        <w:tab/>
      </w:r>
    </w:p>
    <w:p w:rsidR="009C13A9" w:rsidRPr="009072DA" w:rsidRDefault="009C13A9" w:rsidP="009C13A9">
      <w:pPr>
        <w:tabs>
          <w:tab w:val="left" w:pos="284"/>
          <w:tab w:val="left" w:leader="dot" w:pos="2268"/>
          <w:tab w:val="left" w:leader="dot" w:pos="9356"/>
        </w:tabs>
        <w:overflowPunct w:val="0"/>
        <w:adjustRightInd w:val="0"/>
        <w:textAlignment w:val="baseline"/>
        <w:rPr>
          <w:rFonts w:cs="Arial"/>
          <w:szCs w:val="20"/>
          <w:lang w:val="bg-BG"/>
        </w:rPr>
      </w:pPr>
    </w:p>
    <w:p w:rsidR="009C13A9" w:rsidRPr="009072DA" w:rsidRDefault="009C13A9" w:rsidP="009C13A9">
      <w:pPr>
        <w:tabs>
          <w:tab w:val="left" w:pos="284"/>
          <w:tab w:val="left" w:leader="dot" w:pos="2268"/>
          <w:tab w:val="left" w:leader="dot" w:pos="9356"/>
        </w:tabs>
        <w:overflowPunct w:val="0"/>
        <w:adjustRightInd w:val="0"/>
        <w:textAlignment w:val="baseline"/>
        <w:rPr>
          <w:rFonts w:cs="Arial"/>
          <w:szCs w:val="20"/>
          <w:lang w:val="bg-BG"/>
        </w:rPr>
      </w:pPr>
    </w:p>
    <w:p w:rsidR="009C13A9" w:rsidRPr="009072DA" w:rsidRDefault="009C13A9" w:rsidP="009C13A9">
      <w:pPr>
        <w:tabs>
          <w:tab w:val="left" w:pos="284"/>
          <w:tab w:val="left" w:leader="dot" w:pos="2268"/>
          <w:tab w:val="left" w:leader="dot" w:pos="9356"/>
        </w:tabs>
        <w:overflowPunct w:val="0"/>
        <w:adjustRightInd w:val="0"/>
        <w:textAlignment w:val="baseline"/>
        <w:rPr>
          <w:rFonts w:cs="Arial"/>
          <w:szCs w:val="20"/>
          <w:lang w:val="bg-BG"/>
        </w:rPr>
      </w:pPr>
    </w:p>
    <w:p w:rsidR="009C13A9" w:rsidRPr="009072DA" w:rsidRDefault="009C13A9" w:rsidP="009C13A9">
      <w:pPr>
        <w:tabs>
          <w:tab w:val="left" w:pos="397"/>
          <w:tab w:val="left" w:leader="dot" w:pos="9356"/>
        </w:tabs>
        <w:overflowPunct w:val="0"/>
        <w:adjustRightInd w:val="0"/>
        <w:textAlignment w:val="baseline"/>
        <w:rPr>
          <w:rFonts w:cs="Arial"/>
          <w:szCs w:val="20"/>
          <w:lang w:val="bg-BG"/>
        </w:rPr>
      </w:pPr>
      <w:r w:rsidRPr="009072DA">
        <w:rPr>
          <w:lang w:val="bg-BG"/>
        </w:rPr>
        <w:tab/>
        <w:t>Място, дата</w:t>
      </w:r>
    </w:p>
    <w:p w:rsidR="009C13A9" w:rsidRPr="009072DA" w:rsidRDefault="009C13A9" w:rsidP="009C13A9">
      <w:pPr>
        <w:tabs>
          <w:tab w:val="left" w:pos="113"/>
          <w:tab w:val="left" w:pos="397"/>
          <w:tab w:val="left" w:leader="dot" w:pos="9356"/>
        </w:tabs>
        <w:overflowPunct w:val="0"/>
        <w:adjustRightInd w:val="0"/>
        <w:textAlignment w:val="baseline"/>
        <w:rPr>
          <w:rFonts w:cs="Arial"/>
          <w:szCs w:val="20"/>
          <w:lang w:val="bg-BG"/>
        </w:rPr>
      </w:pPr>
    </w:p>
    <w:p w:rsidR="009C13A9" w:rsidRPr="009072DA" w:rsidRDefault="009C13A9" w:rsidP="009C13A9">
      <w:pPr>
        <w:tabs>
          <w:tab w:val="left" w:pos="397"/>
          <w:tab w:val="left" w:leader="dot" w:pos="4536"/>
          <w:tab w:val="left" w:leader="dot" w:pos="9356"/>
        </w:tabs>
        <w:overflowPunct w:val="0"/>
        <w:adjustRightInd w:val="0"/>
        <w:textAlignment w:val="baseline"/>
        <w:rPr>
          <w:rFonts w:cs="Arial"/>
          <w:szCs w:val="20"/>
          <w:lang w:val="bg-BG"/>
        </w:rPr>
      </w:pPr>
      <w:r w:rsidRPr="009072DA">
        <w:rPr>
          <w:lang w:val="bg-BG"/>
        </w:rPr>
        <w:tab/>
      </w:r>
      <w:r w:rsidRPr="009072DA">
        <w:rPr>
          <w:lang w:val="bg-BG"/>
        </w:rPr>
        <w:tab/>
      </w:r>
    </w:p>
    <w:p w:rsidR="009C13A9" w:rsidRPr="009072DA" w:rsidRDefault="009C13A9" w:rsidP="009C13A9">
      <w:pPr>
        <w:tabs>
          <w:tab w:val="left" w:pos="113"/>
          <w:tab w:val="left" w:pos="397"/>
          <w:tab w:val="left" w:leader="dot" w:pos="3969"/>
          <w:tab w:val="left" w:leader="dot" w:pos="9356"/>
        </w:tabs>
        <w:overflowPunct w:val="0"/>
        <w:adjustRightInd w:val="0"/>
        <w:textAlignment w:val="baseline"/>
        <w:rPr>
          <w:rFonts w:cs="Arial"/>
          <w:szCs w:val="20"/>
          <w:lang w:val="bg-BG"/>
        </w:rPr>
      </w:pPr>
    </w:p>
    <w:p w:rsidR="009C13A9" w:rsidRPr="009072DA" w:rsidRDefault="009C13A9" w:rsidP="009C13A9">
      <w:pPr>
        <w:tabs>
          <w:tab w:val="center" w:pos="7088"/>
          <w:tab w:val="left" w:leader="dot" w:pos="9356"/>
        </w:tabs>
        <w:overflowPunct w:val="0"/>
        <w:adjustRightInd w:val="0"/>
        <w:textAlignment w:val="baseline"/>
        <w:rPr>
          <w:rFonts w:cs="Arial"/>
          <w:szCs w:val="20"/>
          <w:lang w:val="bg-BG"/>
        </w:rPr>
      </w:pPr>
      <w:r w:rsidRPr="009072DA">
        <w:rPr>
          <w:lang w:val="bg-BG"/>
        </w:rPr>
        <w:tab/>
        <w:t>Контролен орган</w:t>
      </w:r>
    </w:p>
    <w:p w:rsidR="009C13A9" w:rsidRPr="009072DA" w:rsidRDefault="009C13A9" w:rsidP="009C13A9">
      <w:pPr>
        <w:tabs>
          <w:tab w:val="left" w:pos="113"/>
          <w:tab w:val="left" w:pos="397"/>
          <w:tab w:val="left" w:pos="5103"/>
          <w:tab w:val="left" w:leader="dot" w:pos="9356"/>
        </w:tabs>
        <w:overflowPunct w:val="0"/>
        <w:adjustRightInd w:val="0"/>
        <w:textAlignment w:val="baseline"/>
        <w:rPr>
          <w:rFonts w:cs="Arial"/>
          <w:szCs w:val="20"/>
          <w:lang w:val="bg-BG"/>
        </w:rPr>
      </w:pPr>
    </w:p>
    <w:p w:rsidR="009C13A9" w:rsidRPr="009072DA" w:rsidRDefault="009C13A9" w:rsidP="009C13A9">
      <w:pPr>
        <w:tabs>
          <w:tab w:val="left" w:pos="5103"/>
          <w:tab w:val="left" w:leader="dot" w:pos="9072"/>
        </w:tabs>
        <w:overflowPunct w:val="0"/>
        <w:adjustRightInd w:val="0"/>
        <w:textAlignment w:val="baseline"/>
        <w:rPr>
          <w:rFonts w:cs="Arial"/>
          <w:szCs w:val="20"/>
          <w:lang w:val="bg-BG"/>
        </w:rPr>
      </w:pPr>
      <w:r w:rsidRPr="009072DA">
        <w:rPr>
          <w:lang w:val="bg-BG"/>
        </w:rPr>
        <w:tab/>
      </w:r>
      <w:r w:rsidRPr="009072DA">
        <w:rPr>
          <w:lang w:val="bg-BG"/>
        </w:rPr>
        <w:tab/>
      </w:r>
    </w:p>
    <w:p w:rsidR="009C13A9" w:rsidRPr="009072DA" w:rsidRDefault="009C13A9" w:rsidP="009C13A9">
      <w:pPr>
        <w:tabs>
          <w:tab w:val="center" w:pos="1985"/>
          <w:tab w:val="left" w:pos="5103"/>
          <w:tab w:val="left" w:leader="dot" w:pos="9356"/>
        </w:tabs>
        <w:overflowPunct w:val="0"/>
        <w:adjustRightInd w:val="0"/>
        <w:textAlignment w:val="baseline"/>
        <w:rPr>
          <w:rFonts w:cs="Arial"/>
          <w:szCs w:val="20"/>
          <w:lang w:val="bg-BG"/>
        </w:rPr>
      </w:pPr>
      <w:r w:rsidRPr="009072DA">
        <w:rPr>
          <w:lang w:val="bg-BG"/>
        </w:rPr>
        <w:tab/>
        <w:t>Печат</w:t>
      </w:r>
    </w:p>
    <w:p w:rsidR="009C13A9" w:rsidRPr="009072DA" w:rsidRDefault="009C13A9" w:rsidP="009C13A9">
      <w:pPr>
        <w:tabs>
          <w:tab w:val="left" w:pos="113"/>
          <w:tab w:val="left" w:pos="397"/>
          <w:tab w:val="left" w:pos="5103"/>
          <w:tab w:val="left" w:leader="dot" w:pos="9356"/>
        </w:tabs>
        <w:overflowPunct w:val="0"/>
        <w:adjustRightInd w:val="0"/>
        <w:textAlignment w:val="baseline"/>
        <w:rPr>
          <w:rFonts w:cs="Arial"/>
          <w:szCs w:val="20"/>
          <w:lang w:val="bg-BG"/>
        </w:rPr>
      </w:pPr>
    </w:p>
    <w:p w:rsidR="009C13A9" w:rsidRPr="009072DA" w:rsidRDefault="009C13A9" w:rsidP="009C13A9">
      <w:pPr>
        <w:tabs>
          <w:tab w:val="left" w:pos="113"/>
          <w:tab w:val="left" w:pos="397"/>
          <w:tab w:val="left" w:pos="5103"/>
          <w:tab w:val="left" w:leader="dot" w:pos="9356"/>
        </w:tabs>
        <w:overflowPunct w:val="0"/>
        <w:adjustRightInd w:val="0"/>
        <w:textAlignment w:val="baseline"/>
        <w:rPr>
          <w:rFonts w:cs="Arial"/>
          <w:szCs w:val="20"/>
          <w:lang w:val="bg-BG"/>
        </w:rPr>
      </w:pPr>
    </w:p>
    <w:p w:rsidR="009C13A9" w:rsidRPr="009072DA" w:rsidRDefault="009C13A9" w:rsidP="009C13A9">
      <w:pPr>
        <w:tabs>
          <w:tab w:val="left" w:pos="113"/>
          <w:tab w:val="left" w:pos="397"/>
          <w:tab w:val="left" w:pos="5103"/>
          <w:tab w:val="left" w:leader="dot" w:pos="9356"/>
        </w:tabs>
        <w:overflowPunct w:val="0"/>
        <w:adjustRightInd w:val="0"/>
        <w:textAlignment w:val="baseline"/>
        <w:rPr>
          <w:rFonts w:cs="Arial"/>
          <w:szCs w:val="20"/>
          <w:lang w:val="bg-BG"/>
        </w:rPr>
      </w:pPr>
    </w:p>
    <w:p w:rsidR="009C13A9" w:rsidRPr="009072DA" w:rsidRDefault="009C13A9" w:rsidP="009C13A9">
      <w:pPr>
        <w:tabs>
          <w:tab w:val="left" w:pos="113"/>
          <w:tab w:val="left" w:pos="397"/>
          <w:tab w:val="left" w:pos="5103"/>
          <w:tab w:val="left" w:leader="dot" w:pos="9356"/>
        </w:tabs>
        <w:overflowPunct w:val="0"/>
        <w:adjustRightInd w:val="0"/>
        <w:textAlignment w:val="baseline"/>
        <w:rPr>
          <w:rFonts w:cs="Arial"/>
          <w:szCs w:val="20"/>
          <w:lang w:val="bg-BG"/>
        </w:rPr>
      </w:pPr>
    </w:p>
    <w:p w:rsidR="009C13A9" w:rsidRPr="009072DA" w:rsidRDefault="009C13A9" w:rsidP="009C13A9">
      <w:pPr>
        <w:tabs>
          <w:tab w:val="left" w:pos="5103"/>
          <w:tab w:val="left" w:leader="dot" w:pos="9072"/>
        </w:tabs>
        <w:overflowPunct w:val="0"/>
        <w:adjustRightInd w:val="0"/>
        <w:textAlignment w:val="baseline"/>
        <w:rPr>
          <w:rFonts w:cs="Arial"/>
          <w:szCs w:val="20"/>
          <w:lang w:val="bg-BG"/>
        </w:rPr>
      </w:pPr>
      <w:r w:rsidRPr="009072DA">
        <w:rPr>
          <w:lang w:val="bg-BG"/>
        </w:rPr>
        <w:tab/>
      </w:r>
      <w:r w:rsidRPr="009072DA">
        <w:rPr>
          <w:lang w:val="bg-BG"/>
        </w:rPr>
        <w:tab/>
      </w:r>
    </w:p>
    <w:p w:rsidR="009C13A9" w:rsidRPr="009072DA" w:rsidRDefault="009C13A9" w:rsidP="009C13A9">
      <w:pPr>
        <w:tabs>
          <w:tab w:val="center" w:pos="7088"/>
          <w:tab w:val="left" w:leader="dot" w:pos="9356"/>
        </w:tabs>
        <w:overflowPunct w:val="0"/>
        <w:adjustRightInd w:val="0"/>
        <w:textAlignment w:val="baseline"/>
        <w:rPr>
          <w:rFonts w:cs="Arial"/>
          <w:szCs w:val="20"/>
          <w:lang w:val="bg-BG"/>
        </w:rPr>
      </w:pPr>
      <w:r w:rsidRPr="009072DA">
        <w:rPr>
          <w:lang w:val="bg-BG"/>
        </w:rPr>
        <w:tab/>
      </w:r>
      <w:r w:rsidRPr="009072DA">
        <w:rPr>
          <w:sz w:val="16"/>
          <w:lang w:val="bg-BG"/>
        </w:rPr>
        <w:t>(Подпис)</w:t>
      </w:r>
    </w:p>
    <w:p w:rsidR="009C13A9" w:rsidRPr="009072DA" w:rsidRDefault="009C13A9" w:rsidP="009C13A9">
      <w:pPr>
        <w:tabs>
          <w:tab w:val="left" w:pos="284"/>
          <w:tab w:val="left" w:leader="dot" w:pos="2268"/>
          <w:tab w:val="left" w:leader="dot" w:pos="9356"/>
        </w:tabs>
        <w:overflowPunct w:val="0"/>
        <w:adjustRightInd w:val="0"/>
        <w:textAlignment w:val="baseline"/>
        <w:rPr>
          <w:rFonts w:cs="Arial"/>
          <w:b/>
          <w:szCs w:val="20"/>
          <w:lang w:val="bg-BG"/>
        </w:rPr>
      </w:pPr>
    </w:p>
    <w:p w:rsidR="009C13A9" w:rsidRPr="009072DA" w:rsidRDefault="009C13A9" w:rsidP="009C13A9">
      <w:pPr>
        <w:tabs>
          <w:tab w:val="left" w:pos="284"/>
          <w:tab w:val="left" w:leader="dot" w:pos="2268"/>
          <w:tab w:val="left" w:leader="dot" w:pos="9356"/>
        </w:tabs>
        <w:overflowPunct w:val="0"/>
        <w:adjustRightInd w:val="0"/>
        <w:textAlignment w:val="baseline"/>
        <w:rPr>
          <w:rFonts w:cs="Arial"/>
          <w:b/>
          <w:szCs w:val="20"/>
          <w:lang w:val="bg-BG"/>
        </w:rPr>
      </w:pPr>
    </w:p>
    <w:p w:rsidR="009C13A9" w:rsidRPr="009072DA" w:rsidRDefault="009C13A9" w:rsidP="009C13A9">
      <w:pPr>
        <w:tabs>
          <w:tab w:val="left" w:pos="284"/>
          <w:tab w:val="left" w:leader="dot" w:pos="2268"/>
          <w:tab w:val="left" w:leader="dot" w:pos="9356"/>
        </w:tabs>
        <w:overflowPunct w:val="0"/>
        <w:adjustRightInd w:val="0"/>
        <w:textAlignment w:val="baseline"/>
        <w:rPr>
          <w:rFonts w:cs="Arial"/>
          <w:b/>
          <w:szCs w:val="20"/>
          <w:lang w:val="bg-BG"/>
        </w:rPr>
      </w:pPr>
    </w:p>
    <w:p w:rsidR="009C13A9" w:rsidRPr="009072DA" w:rsidRDefault="009C13A9" w:rsidP="009C13A9">
      <w:pPr>
        <w:tabs>
          <w:tab w:val="left" w:pos="284"/>
          <w:tab w:val="left" w:leader="dot" w:pos="2268"/>
          <w:tab w:val="left" w:leader="dot" w:pos="9356"/>
        </w:tabs>
        <w:overflowPunct w:val="0"/>
        <w:adjustRightInd w:val="0"/>
        <w:textAlignment w:val="baseline"/>
        <w:rPr>
          <w:rFonts w:cs="Arial"/>
          <w:b/>
          <w:szCs w:val="20"/>
          <w:lang w:val="bg-BG"/>
        </w:rPr>
      </w:pPr>
    </w:p>
    <w:p w:rsidR="009C13A9" w:rsidRPr="009072DA" w:rsidRDefault="009C13A9" w:rsidP="009C13A9">
      <w:pPr>
        <w:tabs>
          <w:tab w:val="left" w:pos="284"/>
          <w:tab w:val="left" w:leader="dot" w:pos="2268"/>
          <w:tab w:val="left" w:leader="dot" w:pos="9356"/>
        </w:tabs>
        <w:overflowPunct w:val="0"/>
        <w:adjustRightInd w:val="0"/>
        <w:textAlignment w:val="baseline"/>
        <w:rPr>
          <w:rFonts w:cs="Arial"/>
          <w:b/>
          <w:szCs w:val="20"/>
          <w:lang w:val="bg-BG"/>
        </w:rPr>
      </w:pPr>
    </w:p>
    <w:p w:rsidR="009C13A9" w:rsidRPr="009072DA" w:rsidRDefault="009C13A9" w:rsidP="009C13A9">
      <w:pPr>
        <w:tabs>
          <w:tab w:val="left" w:pos="284"/>
          <w:tab w:val="left" w:leader="dot" w:pos="2268"/>
          <w:tab w:val="left" w:leader="dot" w:pos="9356"/>
        </w:tabs>
        <w:overflowPunct w:val="0"/>
        <w:adjustRightInd w:val="0"/>
        <w:textAlignment w:val="baseline"/>
        <w:rPr>
          <w:rFonts w:cs="Arial"/>
          <w:szCs w:val="20"/>
          <w:lang w:val="bg-BG"/>
        </w:rPr>
      </w:pPr>
      <w:r w:rsidRPr="009072DA">
        <w:rPr>
          <w:lang w:val="bg-BG"/>
        </w:rPr>
        <w:t>Забележки:</w:t>
      </w:r>
    </w:p>
    <w:p w:rsidR="009C13A9" w:rsidRPr="009072DA" w:rsidRDefault="009C13A9" w:rsidP="009C13A9">
      <w:pPr>
        <w:tabs>
          <w:tab w:val="left" w:pos="284"/>
          <w:tab w:val="left" w:leader="dot" w:pos="2268"/>
          <w:tab w:val="left" w:leader="dot" w:pos="9356"/>
        </w:tabs>
        <w:overflowPunct w:val="0"/>
        <w:adjustRightInd w:val="0"/>
        <w:textAlignment w:val="baseline"/>
        <w:rPr>
          <w:rFonts w:cs="Arial"/>
          <w:szCs w:val="20"/>
          <w:lang w:val="bg-BG"/>
        </w:rPr>
      </w:pPr>
    </w:p>
    <w:p w:rsidR="00AA5614" w:rsidRPr="009072DA" w:rsidRDefault="00AA5614" w:rsidP="00AA5614">
      <w:pPr>
        <w:tabs>
          <w:tab w:val="left" w:leader="dot" w:pos="2268"/>
          <w:tab w:val="left" w:leader="dot" w:pos="9356"/>
        </w:tabs>
        <w:overflowPunct w:val="0"/>
        <w:adjustRightInd w:val="0"/>
        <w:textAlignment w:val="baseline"/>
        <w:rPr>
          <w:rFonts w:cs="Arial"/>
          <w:szCs w:val="20"/>
          <w:lang w:val="bg-BG"/>
        </w:rPr>
      </w:pPr>
      <w:r w:rsidRPr="009072DA">
        <w:rPr>
          <w:lang w:val="bg-BG"/>
        </w:rPr>
        <w:t>Плавателното средство може да се използва за плаване по силата на настоящото удостоверение на плавателен съд за плаване по вътрешни водни пътища само в състоянието, посочено в настоящия документ.</w:t>
      </w:r>
    </w:p>
    <w:p w:rsidR="00AA5614" w:rsidRPr="009072DA" w:rsidRDefault="00AA5614" w:rsidP="00AA5614">
      <w:pPr>
        <w:tabs>
          <w:tab w:val="left" w:leader="dot" w:pos="2268"/>
          <w:tab w:val="left" w:leader="dot" w:pos="9356"/>
        </w:tabs>
        <w:overflowPunct w:val="0"/>
        <w:adjustRightInd w:val="0"/>
        <w:textAlignment w:val="baseline"/>
        <w:rPr>
          <w:rFonts w:cs="Arial"/>
          <w:szCs w:val="20"/>
          <w:lang w:val="bg-BG"/>
        </w:rPr>
      </w:pPr>
    </w:p>
    <w:p w:rsidR="00AA5614" w:rsidRPr="009072DA" w:rsidRDefault="00AA5614" w:rsidP="00AA5614">
      <w:pPr>
        <w:tabs>
          <w:tab w:val="left" w:leader="dot" w:pos="2268"/>
          <w:tab w:val="left" w:leader="dot" w:pos="9356"/>
        </w:tabs>
        <w:overflowPunct w:val="0"/>
        <w:adjustRightInd w:val="0"/>
        <w:textAlignment w:val="baseline"/>
        <w:rPr>
          <w:rFonts w:cs="Arial"/>
          <w:szCs w:val="20"/>
          <w:lang w:val="bg-BG"/>
        </w:rPr>
      </w:pPr>
      <w:r w:rsidRPr="009072DA">
        <w:rPr>
          <w:lang w:val="bg-BG"/>
        </w:rPr>
        <w:t>В случай на големи промени или ремонти плавателното средство трябва да премине специална проверка преди предприемане на нов курс.</w:t>
      </w:r>
    </w:p>
    <w:p w:rsidR="00AA5614" w:rsidRPr="009072DA" w:rsidRDefault="00AA5614" w:rsidP="00AA5614">
      <w:pPr>
        <w:tabs>
          <w:tab w:val="left" w:leader="dot" w:pos="2268"/>
          <w:tab w:val="left" w:leader="dot" w:pos="9356"/>
        </w:tabs>
        <w:overflowPunct w:val="0"/>
        <w:adjustRightInd w:val="0"/>
        <w:textAlignment w:val="baseline"/>
        <w:rPr>
          <w:rFonts w:cs="Arial"/>
          <w:szCs w:val="20"/>
          <w:lang w:val="bg-BG"/>
        </w:rPr>
      </w:pPr>
    </w:p>
    <w:p w:rsidR="009C13A9" w:rsidRPr="009072DA" w:rsidRDefault="00AA5614" w:rsidP="00AA5614">
      <w:pPr>
        <w:tabs>
          <w:tab w:val="left" w:leader="dot" w:pos="2268"/>
          <w:tab w:val="left" w:leader="dot" w:pos="9356"/>
        </w:tabs>
        <w:overflowPunct w:val="0"/>
        <w:adjustRightInd w:val="0"/>
        <w:textAlignment w:val="baseline"/>
        <w:rPr>
          <w:rFonts w:cs="Arial"/>
          <w:b/>
          <w:szCs w:val="20"/>
          <w:lang w:val="bg-BG"/>
        </w:rPr>
      </w:pPr>
      <w:r w:rsidRPr="009072DA">
        <w:rPr>
          <w:lang w:val="bg-BG"/>
        </w:rPr>
        <w:t>Собственикът на плавателното средство или негов представител довежда до знанието на контролния орган всяка промяна в името или собствеността на плавателното средство, всяко повторно измерване и всяка промяна в регистрацията или пристанището на домуване и изпраща удостоверението на плавателния съд за плаване по вътрешни водни пътища до контролния орган за отразяване на промените.</w:t>
      </w:r>
    </w:p>
    <w:p w:rsidR="009C13A9" w:rsidRPr="009072DA" w:rsidRDefault="009C13A9" w:rsidP="00AA5614">
      <w:pPr>
        <w:tabs>
          <w:tab w:val="left" w:leader="dot" w:pos="2835"/>
          <w:tab w:val="left" w:leader="dot" w:pos="5103"/>
        </w:tabs>
        <w:overflowPunct w:val="0"/>
        <w:adjustRightInd w:val="0"/>
        <w:textAlignment w:val="baseline"/>
        <w:rPr>
          <w:rFonts w:cs="Arial"/>
          <w:szCs w:val="20"/>
          <w:lang w:val="bg-BG"/>
        </w:rPr>
      </w:pPr>
      <w:r w:rsidRPr="009072DA">
        <w:rPr>
          <w:lang w:val="bg-BG"/>
        </w:rPr>
        <w:br w:type="page"/>
      </w:r>
      <w:r w:rsidRPr="009072DA">
        <w:rPr>
          <w:lang w:val="bg-BG"/>
        </w:rPr>
        <w:lastRenderedPageBreak/>
        <w:t xml:space="preserve">Удостоверение на плавателния съд за плаване по вътрешни водни пътища № </w:t>
      </w:r>
      <w:r w:rsidRPr="009072DA">
        <w:rPr>
          <w:lang w:val="bg-BG"/>
        </w:rPr>
        <w:tab/>
        <w:t xml:space="preserve"> на контролния орган </w:t>
      </w:r>
      <w:r w:rsidRPr="009072DA">
        <w:rPr>
          <w:lang w:val="bg-BG"/>
        </w:rPr>
        <w:tab/>
      </w:r>
      <w:r w:rsidRPr="009072DA">
        <w:rPr>
          <w:lang w:val="bg-BG"/>
        </w:rPr>
        <w:tab/>
      </w:r>
    </w:p>
    <w:tbl>
      <w:tblPr>
        <w:tblW w:w="0" w:type="auto"/>
        <w:jc w:val="center"/>
        <w:tblLayout w:type="fixed"/>
        <w:tblCellMar>
          <w:left w:w="0" w:type="dxa"/>
          <w:right w:w="0" w:type="dxa"/>
        </w:tblCellMar>
        <w:tblLook w:val="0000" w:firstRow="0" w:lastRow="0" w:firstColumn="0" w:lastColumn="0" w:noHBand="0" w:noVBand="0"/>
      </w:tblPr>
      <w:tblGrid>
        <w:gridCol w:w="284"/>
        <w:gridCol w:w="2665"/>
        <w:gridCol w:w="113"/>
        <w:gridCol w:w="1531"/>
        <w:gridCol w:w="1531"/>
        <w:gridCol w:w="3062"/>
      </w:tblGrid>
      <w:tr w:rsidR="009C13A9" w:rsidRPr="008D2440" w:rsidTr="009C13A9">
        <w:trPr>
          <w:cantSplit/>
          <w:jc w:val="center"/>
        </w:trPr>
        <w:tc>
          <w:tcPr>
            <w:tcW w:w="284" w:type="dxa"/>
            <w:tcBorders>
              <w:top w:val="single" w:sz="6" w:space="0" w:color="auto"/>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lang w:val="bg-BG"/>
              </w:rPr>
              <w:tab/>
            </w:r>
            <w:r w:rsidRPr="009072DA">
              <w:rPr>
                <w:sz w:val="18"/>
                <w:lang w:val="bg-BG"/>
              </w:rPr>
              <w:t>1.</w:t>
            </w:r>
          </w:p>
        </w:tc>
        <w:tc>
          <w:tcPr>
            <w:tcW w:w="2778" w:type="dxa"/>
            <w:gridSpan w:val="2"/>
            <w:tcBorders>
              <w:top w:val="single" w:sz="6" w:space="0" w:color="auto"/>
              <w:bottom w:val="single" w:sz="6" w:space="0" w:color="auto"/>
              <w:righ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sz w:val="18"/>
                <w:lang w:val="bg-BG"/>
              </w:rPr>
              <w:t>Име на плавателното средство</w:t>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p>
        </w:tc>
        <w:tc>
          <w:tcPr>
            <w:tcW w:w="3062" w:type="dxa"/>
            <w:gridSpan w:val="2"/>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pos="227"/>
              </w:tabs>
              <w:overflowPunct w:val="0"/>
              <w:adjustRightInd w:val="0"/>
              <w:textAlignment w:val="baseline"/>
              <w:rPr>
                <w:rFonts w:cs="Arial"/>
                <w:sz w:val="18"/>
                <w:szCs w:val="20"/>
                <w:lang w:val="bg-BG"/>
              </w:rPr>
            </w:pPr>
            <w:r w:rsidRPr="009072DA">
              <w:rPr>
                <w:lang w:val="bg-BG"/>
              </w:rPr>
              <w:tab/>
            </w:r>
            <w:r w:rsidRPr="009072DA">
              <w:rPr>
                <w:sz w:val="18"/>
                <w:lang w:val="bg-BG"/>
              </w:rPr>
              <w:t>2.</w:t>
            </w:r>
            <w:r w:rsidRPr="009072DA">
              <w:rPr>
                <w:lang w:val="bg-BG"/>
              </w:rPr>
              <w:tab/>
            </w:r>
            <w:r w:rsidRPr="009072DA">
              <w:rPr>
                <w:sz w:val="18"/>
                <w:lang w:val="bg-BG"/>
              </w:rPr>
              <w:t>Вид на плавателното средство</w:t>
            </w:r>
          </w:p>
        </w:tc>
        <w:tc>
          <w:tcPr>
            <w:tcW w:w="3062" w:type="dxa"/>
            <w:tcBorders>
              <w:top w:val="single" w:sz="6" w:space="0" w:color="auto"/>
              <w:bottom w:val="single" w:sz="6" w:space="0" w:color="auto"/>
              <w:right w:val="single" w:sz="6" w:space="0" w:color="auto"/>
            </w:tcBorders>
          </w:tcPr>
          <w:p w:rsidR="009C13A9" w:rsidRPr="009072DA" w:rsidRDefault="009C13A9" w:rsidP="009C13A9">
            <w:pPr>
              <w:tabs>
                <w:tab w:val="left" w:pos="57"/>
                <w:tab w:val="left" w:pos="284"/>
              </w:tabs>
              <w:overflowPunct w:val="0"/>
              <w:adjustRightInd w:val="0"/>
              <w:ind w:left="284" w:hanging="284"/>
              <w:textAlignment w:val="baseline"/>
              <w:rPr>
                <w:rFonts w:cs="Arial"/>
                <w:sz w:val="18"/>
                <w:szCs w:val="20"/>
                <w:lang w:val="bg-BG"/>
              </w:rPr>
            </w:pPr>
            <w:r w:rsidRPr="009072DA">
              <w:rPr>
                <w:lang w:val="bg-BG"/>
              </w:rPr>
              <w:tab/>
            </w:r>
            <w:r w:rsidRPr="009072DA">
              <w:rPr>
                <w:sz w:val="18"/>
                <w:lang w:val="bg-BG"/>
              </w:rPr>
              <w:t>3.</w:t>
            </w:r>
            <w:r w:rsidRPr="009072DA">
              <w:rPr>
                <w:lang w:val="bg-BG"/>
              </w:rPr>
              <w:tab/>
            </w:r>
            <w:r w:rsidRPr="009072DA">
              <w:rPr>
                <w:sz w:val="18"/>
                <w:lang w:val="bg-BG"/>
              </w:rPr>
              <w:t>Уникален европейски идентификационен номер на плавателния съд</w:t>
            </w:r>
          </w:p>
        </w:tc>
      </w:tr>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textAlignment w:val="baseline"/>
              <w:rPr>
                <w:rFonts w:cs="Arial"/>
                <w:sz w:val="18"/>
                <w:szCs w:val="20"/>
                <w:lang w:val="bg-BG"/>
              </w:rPr>
            </w:pPr>
            <w:r w:rsidRPr="009072DA">
              <w:rPr>
                <w:lang w:val="bg-BG"/>
              </w:rPr>
              <w:tab/>
            </w:r>
            <w:r w:rsidRPr="009072DA">
              <w:rPr>
                <w:sz w:val="18"/>
                <w:lang w:val="bg-BG"/>
              </w:rPr>
              <w:t>4.</w:t>
            </w:r>
          </w:p>
        </w:tc>
        <w:tc>
          <w:tcPr>
            <w:tcW w:w="8902" w:type="dxa"/>
            <w:gridSpan w:val="5"/>
            <w:tcBorders>
              <w:top w:val="single" w:sz="6" w:space="0" w:color="auto"/>
              <w:bottom w:val="single" w:sz="6" w:space="0" w:color="auto"/>
              <w:right w:val="single" w:sz="6" w:space="0" w:color="auto"/>
            </w:tcBorders>
          </w:tcPr>
          <w:p w:rsidR="009C13A9" w:rsidRPr="009072DA" w:rsidRDefault="009C13A9" w:rsidP="009C13A9">
            <w:pPr>
              <w:tabs>
                <w:tab w:val="left" w:pos="57"/>
                <w:tab w:val="left" w:pos="227"/>
              </w:tabs>
              <w:overflowPunct w:val="0"/>
              <w:adjustRightInd w:val="0"/>
              <w:textAlignment w:val="baseline"/>
              <w:rPr>
                <w:rFonts w:cs="Arial"/>
                <w:sz w:val="18"/>
                <w:szCs w:val="20"/>
                <w:lang w:val="bg-BG"/>
              </w:rPr>
            </w:pPr>
            <w:r w:rsidRPr="009072DA">
              <w:rPr>
                <w:sz w:val="18"/>
                <w:lang w:val="bg-BG"/>
              </w:rPr>
              <w:t>Име и адрес на собственика</w:t>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lang w:val="bg-BG"/>
              </w:rPr>
              <w:tab/>
            </w:r>
            <w:r w:rsidRPr="009072DA">
              <w:rPr>
                <w:sz w:val="18"/>
                <w:lang w:val="bg-BG"/>
              </w:rPr>
              <w:t>5.</w:t>
            </w:r>
          </w:p>
        </w:tc>
        <w:tc>
          <w:tcPr>
            <w:tcW w:w="4309" w:type="dxa"/>
            <w:gridSpan w:val="3"/>
            <w:tcBorders>
              <w:right w:val="single" w:sz="6" w:space="0" w:color="auto"/>
            </w:tcBorders>
          </w:tcPr>
          <w:p w:rsidR="009C13A9" w:rsidRPr="009072DA" w:rsidRDefault="009C13A9" w:rsidP="009C13A9">
            <w:pPr>
              <w:tabs>
                <w:tab w:val="left" w:pos="57"/>
                <w:tab w:val="left" w:pos="227"/>
              </w:tabs>
              <w:overflowPunct w:val="0"/>
              <w:adjustRightInd w:val="0"/>
              <w:textAlignment w:val="baseline"/>
              <w:rPr>
                <w:rFonts w:cs="Arial"/>
                <w:sz w:val="18"/>
                <w:szCs w:val="20"/>
                <w:lang w:val="bg-BG"/>
              </w:rPr>
            </w:pPr>
            <w:r w:rsidRPr="009072DA">
              <w:rPr>
                <w:sz w:val="18"/>
                <w:lang w:val="bg-BG"/>
              </w:rPr>
              <w:t>Място на регистрация и регистрационен номер</w:t>
            </w:r>
            <w:r w:rsidRPr="009072DA">
              <w:rPr>
                <w:rFonts w:cs="Arial"/>
                <w:sz w:val="18"/>
                <w:szCs w:val="20"/>
                <w:lang w:val="bg-BG"/>
              </w:rPr>
              <w:br/>
            </w:r>
            <w:r w:rsidRPr="009072DA">
              <w:rPr>
                <w:rFonts w:cs="Arial"/>
                <w:sz w:val="18"/>
                <w:szCs w:val="20"/>
                <w:lang w:val="bg-BG"/>
              </w:rPr>
              <w:br/>
            </w:r>
          </w:p>
        </w:tc>
        <w:tc>
          <w:tcPr>
            <w:tcW w:w="4593" w:type="dxa"/>
            <w:gridSpan w:val="2"/>
            <w:tcBorders>
              <w:top w:val="single" w:sz="6" w:space="0" w:color="auto"/>
              <w:bottom w:val="single" w:sz="6" w:space="0" w:color="auto"/>
              <w:right w:val="single" w:sz="6" w:space="0" w:color="auto"/>
            </w:tcBorders>
          </w:tcPr>
          <w:p w:rsidR="009C13A9" w:rsidRPr="009072DA" w:rsidRDefault="009C13A9" w:rsidP="009C13A9">
            <w:pPr>
              <w:tabs>
                <w:tab w:val="left" w:pos="57"/>
                <w:tab w:val="left" w:pos="227"/>
              </w:tabs>
              <w:overflowPunct w:val="0"/>
              <w:adjustRightInd w:val="0"/>
              <w:textAlignment w:val="baseline"/>
              <w:rPr>
                <w:rFonts w:cs="Arial"/>
                <w:sz w:val="18"/>
                <w:szCs w:val="20"/>
                <w:lang w:val="bg-BG"/>
              </w:rPr>
            </w:pPr>
            <w:r w:rsidRPr="009072DA">
              <w:rPr>
                <w:lang w:val="bg-BG"/>
              </w:rPr>
              <w:tab/>
            </w:r>
            <w:r w:rsidRPr="009072DA">
              <w:rPr>
                <w:sz w:val="18"/>
                <w:lang w:val="bg-BG"/>
              </w:rPr>
              <w:t>6.</w:t>
            </w:r>
            <w:r w:rsidRPr="009072DA">
              <w:rPr>
                <w:lang w:val="bg-BG"/>
              </w:rPr>
              <w:tab/>
            </w:r>
            <w:r w:rsidRPr="009072DA">
              <w:rPr>
                <w:sz w:val="18"/>
                <w:lang w:val="bg-BG"/>
              </w:rPr>
              <w:t>Пристанище на домуване</w:t>
            </w:r>
          </w:p>
        </w:tc>
      </w:tr>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lang w:val="bg-BG"/>
              </w:rPr>
              <w:tab/>
            </w:r>
            <w:r w:rsidRPr="009072DA">
              <w:rPr>
                <w:sz w:val="18"/>
                <w:lang w:val="bg-BG"/>
              </w:rPr>
              <w:t>7.</w:t>
            </w:r>
          </w:p>
        </w:tc>
        <w:tc>
          <w:tcPr>
            <w:tcW w:w="2665" w:type="dxa"/>
            <w:tcBorders>
              <w:top w:val="single" w:sz="6" w:space="0" w:color="auto"/>
              <w:bottom w:val="single" w:sz="6" w:space="0" w:color="auto"/>
              <w:right w:val="single" w:sz="6" w:space="0" w:color="auto"/>
            </w:tcBorders>
          </w:tcPr>
          <w:p w:rsidR="009C13A9" w:rsidRPr="009072DA" w:rsidRDefault="009C13A9" w:rsidP="009C13A9">
            <w:pPr>
              <w:tabs>
                <w:tab w:val="left" w:pos="57"/>
                <w:tab w:val="left" w:pos="227"/>
              </w:tabs>
              <w:overflowPunct w:val="0"/>
              <w:adjustRightInd w:val="0"/>
              <w:textAlignment w:val="baseline"/>
              <w:rPr>
                <w:rFonts w:cs="Arial"/>
                <w:sz w:val="18"/>
                <w:szCs w:val="20"/>
                <w:lang w:val="bg-BG"/>
              </w:rPr>
            </w:pPr>
            <w:r w:rsidRPr="009072DA">
              <w:rPr>
                <w:sz w:val="18"/>
                <w:lang w:val="bg-BG"/>
              </w:rPr>
              <w:t>Година на построяване</w:t>
            </w:r>
            <w:r w:rsidRPr="009072DA">
              <w:rPr>
                <w:rFonts w:cs="Arial"/>
                <w:sz w:val="18"/>
                <w:szCs w:val="20"/>
                <w:lang w:val="bg-BG"/>
              </w:rPr>
              <w:br/>
            </w:r>
            <w:r w:rsidRPr="009072DA">
              <w:rPr>
                <w:rFonts w:cs="Arial"/>
                <w:sz w:val="18"/>
                <w:szCs w:val="20"/>
                <w:lang w:val="bg-BG"/>
              </w:rPr>
              <w:br/>
            </w:r>
          </w:p>
        </w:tc>
        <w:tc>
          <w:tcPr>
            <w:tcW w:w="6237" w:type="dxa"/>
            <w:gridSpan w:val="4"/>
            <w:tcBorders>
              <w:top w:val="single" w:sz="6" w:space="0" w:color="auto"/>
              <w:bottom w:val="single" w:sz="6" w:space="0" w:color="auto"/>
              <w:right w:val="single" w:sz="6" w:space="0" w:color="auto"/>
            </w:tcBorders>
          </w:tcPr>
          <w:p w:rsidR="009C13A9" w:rsidRPr="009072DA" w:rsidRDefault="009C13A9" w:rsidP="009C13A9">
            <w:pPr>
              <w:tabs>
                <w:tab w:val="left" w:pos="57"/>
                <w:tab w:val="left" w:pos="227"/>
              </w:tabs>
              <w:overflowPunct w:val="0"/>
              <w:adjustRightInd w:val="0"/>
              <w:textAlignment w:val="baseline"/>
              <w:rPr>
                <w:rFonts w:cs="Arial"/>
                <w:sz w:val="18"/>
                <w:szCs w:val="20"/>
                <w:lang w:val="bg-BG"/>
              </w:rPr>
            </w:pPr>
            <w:r w:rsidRPr="009072DA">
              <w:rPr>
                <w:lang w:val="bg-BG"/>
              </w:rPr>
              <w:tab/>
            </w:r>
            <w:r w:rsidRPr="009072DA">
              <w:rPr>
                <w:sz w:val="18"/>
                <w:lang w:val="bg-BG"/>
              </w:rPr>
              <w:t>8.</w:t>
            </w:r>
            <w:r w:rsidRPr="009072DA">
              <w:rPr>
                <w:lang w:val="bg-BG"/>
              </w:rPr>
              <w:tab/>
            </w:r>
            <w:r w:rsidRPr="009072DA">
              <w:rPr>
                <w:sz w:val="18"/>
                <w:lang w:val="bg-BG"/>
              </w:rPr>
              <w:t>Име и местоположение на корабостроителницата</w:t>
            </w:r>
          </w:p>
        </w:tc>
      </w:tr>
      <w:tr w:rsidR="009C13A9" w:rsidRPr="008D2440"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spacing w:before="160"/>
              <w:textAlignment w:val="baseline"/>
              <w:rPr>
                <w:rFonts w:cs="Arial"/>
                <w:sz w:val="18"/>
                <w:szCs w:val="20"/>
                <w:lang w:val="bg-BG"/>
              </w:rPr>
            </w:pPr>
            <w:r w:rsidRPr="009072DA">
              <w:rPr>
                <w:lang w:val="bg-BG"/>
              </w:rPr>
              <w:tab/>
            </w:r>
            <w:r w:rsidRPr="009072DA">
              <w:rPr>
                <w:sz w:val="18"/>
                <w:lang w:val="bg-BG"/>
              </w:rPr>
              <w:t>9.</w:t>
            </w:r>
          </w:p>
        </w:tc>
        <w:tc>
          <w:tcPr>
            <w:tcW w:w="8902" w:type="dxa"/>
            <w:gridSpan w:val="5"/>
            <w:tcBorders>
              <w:bottom w:val="single" w:sz="6" w:space="0" w:color="auto"/>
              <w:right w:val="single" w:sz="6" w:space="0" w:color="auto"/>
            </w:tcBorders>
          </w:tcPr>
          <w:p w:rsidR="009C13A9" w:rsidRPr="009072DA" w:rsidRDefault="009C13A9" w:rsidP="00B9093D">
            <w:pPr>
              <w:tabs>
                <w:tab w:val="left" w:pos="57"/>
                <w:tab w:val="left" w:leader="dot" w:pos="2835"/>
                <w:tab w:val="left" w:leader="dot" w:pos="6295"/>
                <w:tab w:val="left" w:leader="dot" w:pos="8138"/>
                <w:tab w:val="left" w:leader="dot" w:pos="8705"/>
              </w:tabs>
              <w:overflowPunct w:val="0"/>
              <w:adjustRightInd w:val="0"/>
              <w:spacing w:before="160"/>
              <w:textAlignment w:val="baseline"/>
              <w:rPr>
                <w:rFonts w:cs="Arial"/>
                <w:sz w:val="18"/>
                <w:szCs w:val="20"/>
                <w:lang w:val="bg-BG"/>
              </w:rPr>
            </w:pPr>
            <w:r w:rsidRPr="009072DA">
              <w:rPr>
                <w:sz w:val="18"/>
                <w:lang w:val="bg-BG"/>
              </w:rPr>
              <w:t>Настоящото удостоверение замества удостоверение на плавателния съд за плаване по вътрешни водни пътища</w:t>
            </w:r>
            <w:r w:rsidRPr="009072DA">
              <w:rPr>
                <w:lang w:val="bg-BG"/>
              </w:rPr>
              <w:t xml:space="preserve"> </w:t>
            </w:r>
            <w:r w:rsidRPr="009072DA">
              <w:rPr>
                <w:sz w:val="18"/>
                <w:lang w:val="bg-BG"/>
              </w:rPr>
              <w:t>№</w:t>
            </w:r>
            <w:r w:rsidRPr="009072DA">
              <w:rPr>
                <w:lang w:val="bg-BG"/>
              </w:rPr>
              <w:tab/>
            </w:r>
            <w:r w:rsidRPr="009072DA">
              <w:rPr>
                <w:sz w:val="18"/>
                <w:lang w:val="bg-BG"/>
              </w:rPr>
              <w:t xml:space="preserve"> издадено на </w:t>
            </w:r>
            <w:r w:rsidRPr="009072DA">
              <w:rPr>
                <w:lang w:val="bg-BG"/>
              </w:rPr>
              <w:tab/>
            </w:r>
            <w:r w:rsidRPr="009072DA">
              <w:rPr>
                <w:sz w:val="18"/>
                <w:lang w:val="bg-BG"/>
              </w:rPr>
              <w:t xml:space="preserve"> от </w:t>
            </w:r>
            <w:r w:rsidRPr="009072DA">
              <w:rPr>
                <w:lang w:val="bg-BG"/>
              </w:rPr>
              <w:tab/>
            </w:r>
            <w:r w:rsidRPr="009072DA">
              <w:rPr>
                <w:sz w:val="18"/>
                <w:lang w:val="bg-BG"/>
              </w:rPr>
              <w:t xml:space="preserve"> </w:t>
            </w:r>
            <w:r w:rsidRPr="009072DA">
              <w:rPr>
                <w:lang w:val="bg-BG"/>
              </w:rPr>
              <w:tab/>
            </w:r>
            <w:r w:rsidRPr="009072DA">
              <w:rPr>
                <w:lang w:val="bg-BG"/>
              </w:rPr>
              <w:tab/>
            </w:r>
            <w:r w:rsidRPr="009072DA">
              <w:rPr>
                <w:sz w:val="18"/>
                <w:lang w:val="bg-BG"/>
              </w:rPr>
              <w:t>Контролен орган</w:t>
            </w:r>
          </w:p>
        </w:tc>
      </w:tr>
      <w:tr w:rsidR="009C13A9" w:rsidRPr="009072DA" w:rsidTr="009C13A9">
        <w:trPr>
          <w:cantSplit/>
          <w:jc w:val="center"/>
        </w:trPr>
        <w:tc>
          <w:tcPr>
            <w:tcW w:w="284" w:type="dxa"/>
            <w:tcBorders>
              <w:top w:val="single" w:sz="6" w:space="0" w:color="auto"/>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r w:rsidRPr="009072DA">
              <w:rPr>
                <w:sz w:val="18"/>
                <w:lang w:val="bg-BG"/>
              </w:rPr>
              <w:t>10.</w:t>
            </w:r>
          </w:p>
        </w:tc>
        <w:tc>
          <w:tcPr>
            <w:tcW w:w="8902" w:type="dxa"/>
            <w:gridSpan w:val="5"/>
            <w:tcBorders>
              <w:right w:val="single" w:sz="6" w:space="0" w:color="auto"/>
            </w:tcBorders>
          </w:tcPr>
          <w:p w:rsidR="009C13A9" w:rsidRPr="009072DA" w:rsidRDefault="009C13A9" w:rsidP="009C13A9">
            <w:pPr>
              <w:tabs>
                <w:tab w:val="left" w:pos="57"/>
                <w:tab w:val="left" w:leader="dot" w:pos="3402"/>
                <w:tab w:val="left" w:leader="dot" w:pos="8505"/>
              </w:tabs>
              <w:overflowPunct w:val="0"/>
              <w:adjustRightInd w:val="0"/>
              <w:spacing w:before="120"/>
              <w:textAlignment w:val="baseline"/>
              <w:rPr>
                <w:rFonts w:cs="Arial"/>
                <w:sz w:val="18"/>
                <w:szCs w:val="20"/>
                <w:lang w:val="bg-BG"/>
              </w:rPr>
            </w:pPr>
            <w:r w:rsidRPr="009072DA">
              <w:rPr>
                <w:sz w:val="18"/>
                <w:lang w:val="bg-BG"/>
              </w:rPr>
              <w:t>Гореспоменатото плавателно средство,</w:t>
            </w:r>
            <w:r w:rsidRPr="009072DA">
              <w:rPr>
                <w:rFonts w:cs="Arial"/>
                <w:sz w:val="18"/>
                <w:szCs w:val="20"/>
                <w:lang w:val="bg-BG"/>
              </w:rPr>
              <w:br/>
            </w:r>
            <w:r w:rsidRPr="009072DA">
              <w:rPr>
                <w:rFonts w:cs="Arial"/>
                <w:sz w:val="18"/>
                <w:szCs w:val="20"/>
                <w:lang w:val="bg-BG"/>
              </w:rPr>
              <w:br/>
            </w:r>
            <w:r w:rsidRPr="009072DA">
              <w:rPr>
                <w:sz w:val="18"/>
                <w:lang w:val="bg-BG"/>
              </w:rPr>
              <w:t xml:space="preserve">след проверката, извършена на </w:t>
            </w:r>
            <w:r w:rsidRPr="009072DA">
              <w:rPr>
                <w:position w:val="6"/>
                <w:sz w:val="16"/>
                <w:lang w:val="bg-BG"/>
              </w:rPr>
              <w:t>*)</w:t>
            </w:r>
            <w:r w:rsidRPr="009072DA">
              <w:rPr>
                <w:sz w:val="18"/>
                <w:lang w:val="bg-BG"/>
              </w:rPr>
              <w:t xml:space="preserve"> </w:t>
            </w:r>
            <w:r w:rsidRPr="009072DA">
              <w:rPr>
                <w:lang w:val="bg-BG"/>
              </w:rPr>
              <w:tab/>
            </w:r>
          </w:p>
          <w:p w:rsidR="009C13A9" w:rsidRPr="009072DA" w:rsidRDefault="009C13A9" w:rsidP="009C13A9">
            <w:pPr>
              <w:tabs>
                <w:tab w:val="left" w:pos="57"/>
                <w:tab w:val="left" w:leader="dot" w:pos="4536"/>
                <w:tab w:val="left" w:leader="dot" w:pos="8505"/>
              </w:tabs>
              <w:overflowPunct w:val="0"/>
              <w:adjustRightInd w:val="0"/>
              <w:textAlignment w:val="baseline"/>
              <w:rPr>
                <w:rFonts w:cs="Arial"/>
                <w:sz w:val="18"/>
                <w:szCs w:val="20"/>
                <w:lang w:val="bg-BG"/>
              </w:rPr>
            </w:pPr>
            <w:r w:rsidRPr="009072DA">
              <w:rPr>
                <w:rFonts w:cs="Arial"/>
                <w:sz w:val="18"/>
                <w:szCs w:val="20"/>
                <w:lang w:val="bg-BG"/>
              </w:rPr>
              <w:br/>
            </w:r>
            <w:r w:rsidRPr="009072DA">
              <w:rPr>
                <w:sz w:val="18"/>
                <w:lang w:val="bg-BG"/>
              </w:rPr>
              <w:t xml:space="preserve">при представяне на удостоверението, издадено на </w:t>
            </w:r>
            <w:r w:rsidRPr="009072DA">
              <w:rPr>
                <w:position w:val="6"/>
                <w:sz w:val="16"/>
                <w:lang w:val="bg-BG"/>
              </w:rPr>
              <w:t>*)</w:t>
            </w:r>
            <w:r w:rsidRPr="009072DA">
              <w:rPr>
                <w:sz w:val="18"/>
                <w:lang w:val="bg-BG"/>
              </w:rPr>
              <w:t xml:space="preserve"> </w:t>
            </w:r>
            <w:r w:rsidRPr="009072DA">
              <w:rPr>
                <w:lang w:val="bg-BG"/>
              </w:rPr>
              <w:tab/>
            </w:r>
          </w:p>
          <w:p w:rsidR="009C13A9" w:rsidRPr="009072DA" w:rsidRDefault="009C13A9" w:rsidP="00B82F01">
            <w:pPr>
              <w:tabs>
                <w:tab w:val="left" w:pos="57"/>
                <w:tab w:val="left" w:leader="dot" w:pos="6237"/>
                <w:tab w:val="left" w:leader="dot" w:pos="8505"/>
              </w:tabs>
              <w:overflowPunct w:val="0"/>
              <w:adjustRightInd w:val="0"/>
              <w:textAlignment w:val="baseline"/>
              <w:rPr>
                <w:rFonts w:cs="Arial"/>
                <w:sz w:val="18"/>
                <w:szCs w:val="20"/>
                <w:lang w:val="bg-BG"/>
              </w:rPr>
            </w:pPr>
            <w:r w:rsidRPr="009072DA">
              <w:rPr>
                <w:rFonts w:cs="Arial"/>
                <w:sz w:val="18"/>
                <w:szCs w:val="20"/>
                <w:lang w:val="bg-BG"/>
              </w:rPr>
              <w:br/>
            </w:r>
            <w:r w:rsidRPr="009072DA">
              <w:rPr>
                <w:sz w:val="18"/>
                <w:lang w:val="bg-BG"/>
              </w:rPr>
              <w:t>от призната класификационна организация</w:t>
            </w:r>
            <w:r w:rsidRPr="009072DA">
              <w:rPr>
                <w:lang w:val="bg-BG"/>
              </w:rPr>
              <w:tab/>
            </w:r>
          </w:p>
        </w:tc>
      </w:tr>
      <w:tr w:rsidR="009C13A9" w:rsidRPr="008D2440"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8902" w:type="dxa"/>
            <w:gridSpan w:val="5"/>
            <w:tcBorders>
              <w:right w:val="single" w:sz="6" w:space="0" w:color="auto"/>
            </w:tcBorders>
          </w:tcPr>
          <w:p w:rsidR="009C13A9" w:rsidRPr="009072DA" w:rsidRDefault="009C13A9" w:rsidP="009C13A9">
            <w:pPr>
              <w:tabs>
                <w:tab w:val="left" w:pos="57"/>
                <w:tab w:val="left" w:leader="dot" w:pos="3969"/>
                <w:tab w:val="left" w:pos="4253"/>
                <w:tab w:val="left" w:leader="dot" w:pos="8505"/>
              </w:tabs>
              <w:overflowPunct w:val="0"/>
              <w:adjustRightInd w:val="0"/>
              <w:spacing w:before="120" w:after="120"/>
              <w:textAlignment w:val="baseline"/>
              <w:rPr>
                <w:rFonts w:cs="Arial"/>
                <w:sz w:val="18"/>
                <w:szCs w:val="20"/>
                <w:lang w:val="bg-BG"/>
              </w:rPr>
            </w:pPr>
            <w:r w:rsidRPr="009072DA">
              <w:rPr>
                <w:sz w:val="18"/>
                <w:lang w:val="bg-BG"/>
              </w:rPr>
              <w:t>се признава като годно за плаване:</w:t>
            </w:r>
          </w:p>
          <w:p w:rsidR="009C13A9" w:rsidRPr="009072DA" w:rsidRDefault="009C13A9" w:rsidP="009C13A9">
            <w:pPr>
              <w:tabs>
                <w:tab w:val="left" w:pos="340"/>
                <w:tab w:val="left" w:leader="dot" w:pos="3969"/>
                <w:tab w:val="left" w:pos="4253"/>
                <w:tab w:val="left" w:leader="dot" w:pos="8505"/>
              </w:tabs>
              <w:overflowPunct w:val="0"/>
              <w:adjustRightInd w:val="0"/>
              <w:textAlignment w:val="baseline"/>
              <w:rPr>
                <w:position w:val="6"/>
                <w:sz w:val="16"/>
                <w:lang w:val="bg-BG"/>
              </w:rPr>
            </w:pPr>
            <w:r w:rsidRPr="009072DA">
              <w:rPr>
                <w:sz w:val="18"/>
                <w:lang w:val="bg-BG"/>
              </w:rPr>
              <w:t>-</w:t>
            </w:r>
            <w:r w:rsidRPr="009072DA">
              <w:rPr>
                <w:lang w:val="bg-BG"/>
              </w:rPr>
              <w:tab/>
            </w:r>
            <w:r w:rsidRPr="009072DA">
              <w:rPr>
                <w:sz w:val="18"/>
                <w:lang w:val="bg-BG"/>
              </w:rPr>
              <w:t>по река Рейн </w:t>
            </w:r>
            <w:r w:rsidRPr="009072DA">
              <w:rPr>
                <w:position w:val="6"/>
                <w:sz w:val="16"/>
                <w:lang w:val="bg-BG"/>
              </w:rPr>
              <w:t>(*)</w:t>
            </w:r>
          </w:p>
          <w:p w:rsidR="009C13A9" w:rsidRPr="009072DA" w:rsidRDefault="009C13A9" w:rsidP="009C13A9">
            <w:pPr>
              <w:tabs>
                <w:tab w:val="left" w:pos="57"/>
                <w:tab w:val="left" w:leader="dot" w:pos="3969"/>
                <w:tab w:val="left" w:pos="4253"/>
                <w:tab w:val="left" w:leader="dot" w:pos="8505"/>
              </w:tabs>
              <w:overflowPunct w:val="0"/>
              <w:adjustRightInd w:val="0"/>
              <w:textAlignment w:val="baseline"/>
              <w:rPr>
                <w:rFonts w:cs="Arial"/>
                <w:position w:val="6"/>
                <w:sz w:val="16"/>
                <w:szCs w:val="20"/>
                <w:lang w:val="bg-BG"/>
              </w:rPr>
            </w:pPr>
            <w:r w:rsidRPr="009072DA">
              <w:rPr>
                <w:sz w:val="18"/>
                <w:lang w:val="bg-BG"/>
              </w:rPr>
              <w:t xml:space="preserve">между </w:t>
            </w:r>
            <w:r w:rsidRPr="009072DA">
              <w:rPr>
                <w:lang w:val="bg-BG"/>
              </w:rPr>
              <w:tab/>
            </w:r>
            <w:r w:rsidRPr="009072DA">
              <w:rPr>
                <w:sz w:val="18"/>
                <w:lang w:val="bg-BG"/>
              </w:rPr>
              <w:t xml:space="preserve"> и</w:t>
            </w:r>
            <w:r w:rsidRPr="009072DA">
              <w:rPr>
                <w:lang w:val="bg-BG"/>
              </w:rPr>
              <w:tab/>
            </w:r>
            <w:r w:rsidRPr="009072DA">
              <w:rPr>
                <w:lang w:val="bg-BG"/>
              </w:rPr>
              <w:tab/>
            </w:r>
            <w:r w:rsidRPr="009072DA">
              <w:rPr>
                <w:position w:val="6"/>
                <w:sz w:val="16"/>
                <w:lang w:val="bg-BG"/>
              </w:rPr>
              <w:t>*)</w:t>
            </w:r>
          </w:p>
          <w:p w:rsidR="009C13A9" w:rsidRPr="009072DA" w:rsidRDefault="009C13A9" w:rsidP="009C13A9">
            <w:pPr>
              <w:tabs>
                <w:tab w:val="left" w:pos="57"/>
                <w:tab w:val="left" w:leader="dot" w:pos="3969"/>
                <w:tab w:val="left" w:pos="4253"/>
                <w:tab w:val="left" w:leader="dot" w:pos="8505"/>
              </w:tabs>
              <w:overflowPunct w:val="0"/>
              <w:adjustRightInd w:val="0"/>
              <w:textAlignment w:val="baseline"/>
              <w:rPr>
                <w:rFonts w:cs="Arial"/>
                <w:sz w:val="18"/>
                <w:szCs w:val="20"/>
                <w:lang w:val="bg-BG"/>
              </w:rPr>
            </w:pPr>
          </w:p>
          <w:p w:rsidR="009C13A9" w:rsidRPr="009072DA" w:rsidRDefault="009C13A9" w:rsidP="009C13A9">
            <w:pPr>
              <w:tabs>
                <w:tab w:val="left" w:pos="340"/>
                <w:tab w:val="left" w:leader="dot" w:pos="8703"/>
              </w:tabs>
              <w:overflowPunct w:val="0"/>
              <w:adjustRightInd w:val="0"/>
              <w:textAlignment w:val="baseline"/>
              <w:rPr>
                <w:position w:val="6"/>
                <w:sz w:val="16"/>
                <w:lang w:val="bg-BG"/>
              </w:rPr>
            </w:pPr>
            <w:r w:rsidRPr="009072DA">
              <w:rPr>
                <w:sz w:val="18"/>
                <w:lang w:val="bg-BG"/>
              </w:rPr>
              <w:t>-</w:t>
            </w:r>
            <w:r w:rsidRPr="009072DA">
              <w:rPr>
                <w:lang w:val="bg-BG"/>
              </w:rPr>
              <w:tab/>
            </w:r>
            <w:r w:rsidRPr="009072DA">
              <w:rPr>
                <w:sz w:val="18"/>
                <w:lang w:val="bg-BG"/>
              </w:rPr>
              <w:t xml:space="preserve">по водни пътища на ЕС от зона(и) </w:t>
            </w:r>
            <w:r w:rsidRPr="009072DA">
              <w:rPr>
                <w:position w:val="6"/>
                <w:sz w:val="16"/>
                <w:lang w:val="bg-BG"/>
              </w:rPr>
              <w:t xml:space="preserve">(*) </w:t>
            </w:r>
            <w:r w:rsidRPr="009072DA">
              <w:rPr>
                <w:lang w:val="bg-BG"/>
              </w:rPr>
              <w:tab/>
            </w:r>
          </w:p>
          <w:p w:rsidR="009C13A9" w:rsidRPr="009072DA" w:rsidRDefault="009C13A9" w:rsidP="009C13A9">
            <w:pPr>
              <w:tabs>
                <w:tab w:val="left" w:leader="dot" w:pos="8703"/>
              </w:tabs>
              <w:overflowPunct w:val="0"/>
              <w:adjustRightInd w:val="0"/>
              <w:textAlignment w:val="baseline"/>
              <w:rPr>
                <w:sz w:val="18"/>
                <w:szCs w:val="20"/>
                <w:lang w:val="bg-BG"/>
              </w:rPr>
            </w:pPr>
            <w:r w:rsidRPr="009072DA">
              <w:rPr>
                <w:lang w:val="bg-BG"/>
              </w:rPr>
              <w:tab/>
            </w:r>
          </w:p>
          <w:p w:rsidR="009C13A9" w:rsidRPr="009072DA" w:rsidRDefault="009C13A9" w:rsidP="009C13A9">
            <w:pPr>
              <w:tabs>
                <w:tab w:val="left" w:leader="dot" w:pos="8703"/>
              </w:tabs>
              <w:overflowPunct w:val="0"/>
              <w:adjustRightInd w:val="0"/>
              <w:ind w:left="341" w:hanging="341"/>
              <w:textAlignment w:val="baseline"/>
              <w:rPr>
                <w:sz w:val="18"/>
                <w:lang w:val="bg-BG"/>
              </w:rPr>
            </w:pPr>
          </w:p>
          <w:p w:rsidR="009C13A9" w:rsidRPr="009072DA" w:rsidRDefault="009C13A9" w:rsidP="009C13A9">
            <w:pPr>
              <w:tabs>
                <w:tab w:val="left" w:leader="dot" w:pos="8703"/>
              </w:tabs>
              <w:overflowPunct w:val="0"/>
              <w:adjustRightInd w:val="0"/>
              <w:ind w:left="341" w:hanging="341"/>
              <w:textAlignment w:val="baseline"/>
              <w:rPr>
                <w:sz w:val="18"/>
                <w:lang w:val="bg-BG"/>
              </w:rPr>
            </w:pPr>
            <w:r w:rsidRPr="009072DA">
              <w:rPr>
                <w:sz w:val="18"/>
                <w:lang w:val="bg-BG"/>
              </w:rPr>
              <w:t>-</w:t>
            </w:r>
            <w:r w:rsidRPr="009072DA">
              <w:rPr>
                <w:lang w:val="bg-BG"/>
              </w:rPr>
              <w:tab/>
            </w:r>
            <w:r w:rsidRPr="009072DA">
              <w:rPr>
                <w:sz w:val="18"/>
                <w:lang w:val="bg-BG"/>
              </w:rPr>
              <w:t xml:space="preserve">по водни пътища от зона(и) </w:t>
            </w:r>
            <w:r w:rsidRPr="009072DA">
              <w:rPr>
                <w:position w:val="6"/>
                <w:sz w:val="16"/>
                <w:lang w:val="bg-BG"/>
              </w:rPr>
              <w:t xml:space="preserve">(*) </w:t>
            </w:r>
            <w:r w:rsidRPr="009072DA">
              <w:rPr>
                <w:lang w:val="bg-BG"/>
              </w:rPr>
              <w:tab/>
            </w:r>
          </w:p>
          <w:p w:rsidR="009C13A9" w:rsidRPr="009072DA" w:rsidRDefault="009C13A9" w:rsidP="009C13A9">
            <w:pPr>
              <w:tabs>
                <w:tab w:val="left" w:leader="dot" w:pos="8703"/>
              </w:tabs>
              <w:overflowPunct w:val="0"/>
              <w:adjustRightInd w:val="0"/>
              <w:textAlignment w:val="baseline"/>
              <w:rPr>
                <w:sz w:val="18"/>
                <w:lang w:val="bg-BG"/>
              </w:rPr>
            </w:pPr>
            <w:r w:rsidRPr="009072DA">
              <w:rPr>
                <w:sz w:val="18"/>
                <w:lang w:val="bg-BG"/>
              </w:rPr>
              <w:t>.................................................................................................................................................................................</w:t>
            </w:r>
            <w:r w:rsidRPr="009072DA">
              <w:rPr>
                <w:sz w:val="18"/>
                <w:lang w:val="bg-BG"/>
              </w:rPr>
              <w:br/>
              <w:t>в .... [наименование на държавите </w:t>
            </w:r>
            <w:r w:rsidRPr="009072DA">
              <w:rPr>
                <w:position w:val="6"/>
                <w:sz w:val="16"/>
                <w:lang w:val="bg-BG"/>
              </w:rPr>
              <w:t>(*)</w:t>
            </w:r>
            <w:r w:rsidRPr="009072DA">
              <w:rPr>
                <w:sz w:val="18"/>
                <w:lang w:val="bg-BG"/>
              </w:rPr>
              <w:t>]</w:t>
            </w:r>
            <w:r w:rsidRPr="009072DA">
              <w:rPr>
                <w:lang w:val="bg-BG"/>
              </w:rPr>
              <w:tab/>
            </w:r>
            <w:r w:rsidRPr="009072DA">
              <w:rPr>
                <w:sz w:val="18"/>
                <w:lang w:val="bg-BG"/>
              </w:rPr>
              <w:br/>
            </w:r>
            <w:r w:rsidRPr="009072DA">
              <w:rPr>
                <w:lang w:val="bg-BG"/>
              </w:rPr>
              <w:tab/>
            </w:r>
            <w:r w:rsidRPr="009072DA">
              <w:rPr>
                <w:sz w:val="18"/>
                <w:szCs w:val="20"/>
                <w:lang w:val="bg-BG"/>
              </w:rPr>
              <w:br/>
            </w:r>
            <w:r w:rsidRPr="009072DA">
              <w:rPr>
                <w:sz w:val="18"/>
                <w:lang w:val="bg-BG"/>
              </w:rPr>
              <w:t xml:space="preserve">с изключение на: </w:t>
            </w:r>
            <w:r w:rsidRPr="009072DA">
              <w:rPr>
                <w:lang w:val="bg-BG"/>
              </w:rPr>
              <w:tab/>
            </w:r>
            <w:r w:rsidRPr="009072DA">
              <w:rPr>
                <w:sz w:val="18"/>
                <w:szCs w:val="20"/>
                <w:lang w:val="bg-BG"/>
              </w:rPr>
              <w:br/>
            </w:r>
            <w:r w:rsidRPr="009072DA">
              <w:rPr>
                <w:lang w:val="bg-BG"/>
              </w:rPr>
              <w:tab/>
            </w:r>
            <w:r w:rsidRPr="009072DA">
              <w:rPr>
                <w:sz w:val="18"/>
                <w:szCs w:val="20"/>
                <w:lang w:val="bg-BG"/>
              </w:rPr>
              <w:br/>
            </w:r>
            <w:r w:rsidRPr="009072DA">
              <w:rPr>
                <w:lang w:val="bg-BG"/>
              </w:rPr>
              <w:tab/>
            </w:r>
          </w:p>
          <w:p w:rsidR="009C13A9" w:rsidRPr="009072DA" w:rsidRDefault="009C13A9" w:rsidP="009C13A9">
            <w:pPr>
              <w:tabs>
                <w:tab w:val="left" w:pos="340"/>
                <w:tab w:val="left" w:leader="dot" w:pos="8703"/>
              </w:tabs>
              <w:overflowPunct w:val="0"/>
              <w:adjustRightInd w:val="0"/>
              <w:textAlignment w:val="baseline"/>
              <w:rPr>
                <w:sz w:val="18"/>
                <w:lang w:val="bg-BG"/>
              </w:rPr>
            </w:pPr>
            <w:r w:rsidRPr="009072DA">
              <w:rPr>
                <w:sz w:val="18"/>
                <w:lang w:val="bg-BG"/>
              </w:rPr>
              <w:t>-</w:t>
            </w:r>
            <w:r w:rsidRPr="009072DA">
              <w:rPr>
                <w:lang w:val="bg-BG"/>
              </w:rPr>
              <w:tab/>
            </w:r>
            <w:r w:rsidRPr="009072DA">
              <w:rPr>
                <w:sz w:val="18"/>
                <w:lang w:val="bg-BG"/>
              </w:rPr>
              <w:t>по следните водни пътища в [наименование на държавата </w:t>
            </w:r>
            <w:r w:rsidRPr="009072DA">
              <w:rPr>
                <w:position w:val="6"/>
                <w:sz w:val="16"/>
                <w:lang w:val="bg-BG"/>
              </w:rPr>
              <w:t>(*)</w:t>
            </w:r>
            <w:r w:rsidRPr="009072DA">
              <w:rPr>
                <w:sz w:val="18"/>
                <w:lang w:val="bg-BG"/>
              </w:rPr>
              <w:t xml:space="preserve">] </w:t>
            </w:r>
            <w:r w:rsidRPr="009072DA">
              <w:rPr>
                <w:lang w:val="bg-BG"/>
              </w:rPr>
              <w:tab/>
            </w:r>
          </w:p>
          <w:p w:rsidR="009C13A9" w:rsidRPr="009072DA" w:rsidRDefault="009C13A9" w:rsidP="009C13A9">
            <w:pPr>
              <w:tabs>
                <w:tab w:val="left" w:leader="dot" w:pos="8703"/>
              </w:tabs>
              <w:overflowPunct w:val="0"/>
              <w:adjustRightInd w:val="0"/>
              <w:textAlignment w:val="baseline"/>
              <w:rPr>
                <w:rFonts w:cs="Arial"/>
                <w:sz w:val="18"/>
                <w:szCs w:val="20"/>
                <w:lang w:val="bg-BG"/>
              </w:rPr>
            </w:pPr>
            <w:r w:rsidRPr="009072DA">
              <w:rPr>
                <w:lang w:val="bg-BG"/>
              </w:rPr>
              <w:tab/>
            </w:r>
            <w:r w:rsidRPr="009072DA">
              <w:rPr>
                <w:sz w:val="18"/>
                <w:szCs w:val="20"/>
                <w:lang w:val="bg-BG"/>
              </w:rPr>
              <w:br/>
            </w:r>
            <w:r w:rsidRPr="009072DA">
              <w:rPr>
                <w:lang w:val="bg-BG"/>
              </w:rPr>
              <w:tab/>
            </w:r>
            <w:r w:rsidRPr="009072DA">
              <w:rPr>
                <w:rFonts w:cs="Arial"/>
                <w:sz w:val="18"/>
                <w:szCs w:val="20"/>
                <w:lang w:val="bg-BG"/>
              </w:rPr>
              <w:br/>
            </w:r>
            <w:r w:rsidRPr="009072DA">
              <w:rPr>
                <w:lang w:val="bg-BG"/>
              </w:rPr>
              <w:tab/>
            </w:r>
          </w:p>
        </w:tc>
      </w:tr>
      <w:tr w:rsidR="009C13A9" w:rsidRPr="008D2440"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8902" w:type="dxa"/>
            <w:gridSpan w:val="5"/>
            <w:tcBorders>
              <w:bottom w:val="single" w:sz="6" w:space="0" w:color="auto"/>
              <w:right w:val="single" w:sz="6" w:space="0" w:color="auto"/>
            </w:tcBorders>
          </w:tcPr>
          <w:p w:rsidR="009C13A9" w:rsidRPr="009072DA" w:rsidRDefault="009C13A9" w:rsidP="009C13A9">
            <w:pPr>
              <w:tabs>
                <w:tab w:val="left" w:pos="57"/>
                <w:tab w:val="left" w:pos="340"/>
                <w:tab w:val="left" w:leader="dot" w:pos="8505"/>
              </w:tabs>
              <w:overflowPunct w:val="0"/>
              <w:adjustRightInd w:val="0"/>
              <w:spacing w:before="120"/>
              <w:textAlignment w:val="baseline"/>
              <w:rPr>
                <w:rFonts w:cs="Arial"/>
                <w:sz w:val="18"/>
                <w:szCs w:val="20"/>
                <w:lang w:val="bg-BG"/>
              </w:rPr>
            </w:pPr>
            <w:r w:rsidRPr="009072DA">
              <w:rPr>
                <w:sz w:val="18"/>
                <w:lang w:val="bg-BG"/>
              </w:rPr>
              <w:t>при максималното разрешено газене и с оборудването и екипажа, указани по-долу.</w:t>
            </w:r>
          </w:p>
        </w:tc>
      </w:tr>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s>
              <w:overflowPunct w:val="0"/>
              <w:adjustRightInd w:val="0"/>
              <w:spacing w:before="160"/>
              <w:textAlignment w:val="baseline"/>
              <w:rPr>
                <w:rFonts w:cs="Arial"/>
                <w:sz w:val="18"/>
                <w:szCs w:val="20"/>
                <w:lang w:val="bg-BG"/>
              </w:rPr>
            </w:pPr>
            <w:r w:rsidRPr="009072DA">
              <w:rPr>
                <w:sz w:val="18"/>
                <w:lang w:val="bg-BG"/>
              </w:rPr>
              <w:t>11.</w:t>
            </w:r>
          </w:p>
        </w:tc>
        <w:tc>
          <w:tcPr>
            <w:tcW w:w="8902" w:type="dxa"/>
            <w:gridSpan w:val="5"/>
            <w:tcBorders>
              <w:top w:val="single" w:sz="6" w:space="0" w:color="auto"/>
              <w:bottom w:val="single" w:sz="6" w:space="0" w:color="auto"/>
              <w:right w:val="single" w:sz="6" w:space="0" w:color="auto"/>
            </w:tcBorders>
          </w:tcPr>
          <w:p w:rsidR="009C13A9" w:rsidRPr="009072DA" w:rsidRDefault="009C13A9" w:rsidP="003D7271">
            <w:pPr>
              <w:tabs>
                <w:tab w:val="left" w:pos="57"/>
                <w:tab w:val="left" w:leader="dot" w:pos="4536"/>
                <w:tab w:val="left" w:leader="dot" w:pos="6437"/>
              </w:tabs>
              <w:overflowPunct w:val="0"/>
              <w:adjustRightInd w:val="0"/>
              <w:spacing w:before="160"/>
              <w:textAlignment w:val="baseline"/>
              <w:rPr>
                <w:rFonts w:cs="Arial"/>
                <w:sz w:val="18"/>
                <w:szCs w:val="20"/>
                <w:lang w:val="bg-BG"/>
              </w:rPr>
            </w:pPr>
            <w:r w:rsidRPr="009072DA">
              <w:rPr>
                <w:sz w:val="18"/>
                <w:lang w:val="bg-BG"/>
              </w:rPr>
              <w:t>Валидността на настоящото удостоверение на плавателен съд за плаване по вътрешни водни пътища</w:t>
            </w:r>
            <w:r w:rsidRPr="009072DA">
              <w:rPr>
                <w:lang w:val="bg-BG"/>
              </w:rPr>
              <w:t xml:space="preserve"> </w:t>
            </w:r>
            <w:r w:rsidRPr="009072DA">
              <w:rPr>
                <w:sz w:val="18"/>
                <w:lang w:val="bg-BG"/>
              </w:rPr>
              <w:t xml:space="preserve">изтича на </w:t>
            </w:r>
            <w:r w:rsidRPr="009072DA">
              <w:rPr>
                <w:lang w:val="bg-BG"/>
              </w:rPr>
              <w:tab/>
            </w:r>
            <w:r w:rsidRPr="009072DA">
              <w:rPr>
                <w:rFonts w:cs="Arial"/>
                <w:sz w:val="18"/>
                <w:szCs w:val="20"/>
                <w:lang w:val="bg-BG"/>
              </w:rPr>
              <w:br/>
            </w:r>
          </w:p>
        </w:tc>
      </w:tr>
      <w:tr w:rsidR="009C13A9" w:rsidRPr="008D2440"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s>
              <w:overflowPunct w:val="0"/>
              <w:adjustRightInd w:val="0"/>
              <w:spacing w:before="80"/>
              <w:textAlignment w:val="baseline"/>
              <w:rPr>
                <w:rFonts w:cs="Arial"/>
                <w:sz w:val="18"/>
                <w:szCs w:val="20"/>
                <w:lang w:val="bg-BG"/>
              </w:rPr>
            </w:pPr>
            <w:r w:rsidRPr="009072DA">
              <w:rPr>
                <w:lang w:val="bg-BG"/>
              </w:rPr>
              <w:tab/>
            </w:r>
            <w:r w:rsidRPr="009072DA">
              <w:rPr>
                <w:sz w:val="18"/>
                <w:lang w:val="bg-BG"/>
              </w:rPr>
              <w:t>*)</w:t>
            </w:r>
            <w:r w:rsidRPr="009072DA">
              <w:rPr>
                <w:rFonts w:cs="Arial"/>
                <w:sz w:val="18"/>
                <w:szCs w:val="20"/>
                <w:lang w:val="bg-BG"/>
              </w:rPr>
              <w:br/>
            </w:r>
            <w:r w:rsidRPr="009072DA">
              <w:rPr>
                <w:rFonts w:cs="Arial"/>
                <w:sz w:val="18"/>
                <w:szCs w:val="20"/>
                <w:lang w:val="bg-BG"/>
              </w:rPr>
              <w:br/>
            </w:r>
          </w:p>
          <w:p w:rsidR="009C13A9" w:rsidRPr="009072DA" w:rsidRDefault="009C13A9" w:rsidP="009C13A9">
            <w:pPr>
              <w:tabs>
                <w:tab w:val="left" w:pos="57"/>
              </w:tabs>
              <w:overflowPunct w:val="0"/>
              <w:adjustRightInd w:val="0"/>
              <w:spacing w:before="80"/>
              <w:textAlignment w:val="baseline"/>
              <w:rPr>
                <w:rFonts w:cs="Arial"/>
                <w:sz w:val="18"/>
                <w:szCs w:val="20"/>
                <w:lang w:val="bg-BG"/>
              </w:rPr>
            </w:pPr>
          </w:p>
          <w:p w:rsidR="009C13A9" w:rsidRPr="009072DA" w:rsidRDefault="009C13A9" w:rsidP="009C13A9">
            <w:pPr>
              <w:tabs>
                <w:tab w:val="left" w:pos="57"/>
              </w:tabs>
              <w:overflowPunct w:val="0"/>
              <w:adjustRightInd w:val="0"/>
              <w:spacing w:before="160"/>
              <w:textAlignment w:val="baseline"/>
              <w:rPr>
                <w:rFonts w:cs="Arial"/>
                <w:sz w:val="18"/>
                <w:szCs w:val="20"/>
                <w:lang w:val="bg-BG"/>
              </w:rPr>
            </w:pPr>
            <w:r w:rsidRPr="009072DA">
              <w:rPr>
                <w:lang w:val="bg-BG"/>
              </w:rPr>
              <w:tab/>
            </w:r>
            <w:r w:rsidRPr="009072DA">
              <w:rPr>
                <w:sz w:val="18"/>
                <w:lang w:val="bg-BG"/>
              </w:rPr>
              <w:t>*)</w:t>
            </w:r>
          </w:p>
        </w:tc>
        <w:tc>
          <w:tcPr>
            <w:tcW w:w="8902" w:type="dxa"/>
            <w:gridSpan w:val="5"/>
            <w:tcBorders>
              <w:bottom w:val="single" w:sz="6" w:space="0" w:color="auto"/>
              <w:right w:val="single" w:sz="6" w:space="0" w:color="auto"/>
            </w:tcBorders>
          </w:tcPr>
          <w:p w:rsidR="009C13A9" w:rsidRPr="009072DA"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bg-BG"/>
              </w:rPr>
            </w:pPr>
            <w:r w:rsidRPr="009072DA">
              <w:rPr>
                <w:sz w:val="18"/>
                <w:lang w:val="bg-BG"/>
              </w:rPr>
              <w:t>Изменение на точка(и): ....................</w:t>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sz w:val="18"/>
                <w:lang w:val="bg-BG"/>
              </w:rPr>
              <w:t>Нов текст:</w:t>
            </w:r>
            <w:r w:rsidRPr="009072DA">
              <w:rPr>
                <w:lang w:val="bg-BG"/>
              </w:rPr>
              <w:tab/>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lang w:val="bg-BG"/>
              </w:rPr>
              <w:tab/>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lang w:val="bg-BG"/>
              </w:rPr>
              <w:tab/>
            </w:r>
          </w:p>
          <w:p w:rsidR="009C13A9" w:rsidRPr="009072D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bg-BG"/>
              </w:rPr>
            </w:pPr>
            <w:r w:rsidRPr="009072DA">
              <w:rPr>
                <w:sz w:val="18"/>
                <w:lang w:val="bg-BG"/>
              </w:rPr>
              <w:t>Тази страница е заменена.</w:t>
            </w:r>
          </w:p>
          <w:p w:rsidR="009C13A9" w:rsidRPr="009072D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bg-BG"/>
              </w:rPr>
            </w:pPr>
            <w:r w:rsidRPr="009072DA">
              <w:rPr>
                <w:sz w:val="18"/>
                <w:lang w:val="bg-BG"/>
              </w:rPr>
              <w:t xml:space="preserve">Място, дата </w:t>
            </w:r>
            <w:r w:rsidRPr="009072DA">
              <w:rPr>
                <w:lang w:val="bg-BG"/>
              </w:rPr>
              <w:tab/>
            </w:r>
            <w:r w:rsidRPr="009072DA">
              <w:rPr>
                <w:lang w:val="bg-BG"/>
              </w:rPr>
              <w:tab/>
            </w:r>
            <w:r w:rsidRPr="009072DA">
              <w:rPr>
                <w:sz w:val="18"/>
                <w:lang w:val="bg-BG"/>
              </w:rPr>
              <w:t>Контролен орган</w:t>
            </w:r>
          </w:p>
          <w:p w:rsidR="009C13A9" w:rsidRPr="009072DA" w:rsidRDefault="009C13A9" w:rsidP="009C13A9">
            <w:pPr>
              <w:tabs>
                <w:tab w:val="left" w:pos="5103"/>
                <w:tab w:val="left" w:leader="dot" w:pos="8505"/>
              </w:tabs>
              <w:overflowPunct w:val="0"/>
              <w:adjustRightInd w:val="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1701"/>
              </w:tabs>
              <w:overflowPunct w:val="0"/>
              <w:adjustRightInd w:val="0"/>
              <w:spacing w:after="80"/>
              <w:textAlignment w:val="baseline"/>
              <w:rPr>
                <w:rFonts w:cs="Arial"/>
                <w:sz w:val="18"/>
                <w:szCs w:val="20"/>
                <w:lang w:val="bg-BG"/>
              </w:rPr>
            </w:pPr>
            <w:r w:rsidRPr="009072DA">
              <w:rPr>
                <w:lang w:val="bg-BG"/>
              </w:rPr>
              <w:tab/>
            </w:r>
            <w:r w:rsidRPr="009072DA">
              <w:rPr>
                <w:sz w:val="18"/>
                <w:lang w:val="bg-BG"/>
              </w:rPr>
              <w:t>Печат</w:t>
            </w:r>
          </w:p>
          <w:p w:rsidR="009C13A9" w:rsidRPr="009072DA" w:rsidRDefault="009C13A9" w:rsidP="009C13A9">
            <w:pPr>
              <w:tabs>
                <w:tab w:val="left" w:pos="5103"/>
                <w:tab w:val="left" w:leader="dot" w:pos="8505"/>
              </w:tabs>
              <w:overflowPunct w:val="0"/>
              <w:adjustRightInd w:val="0"/>
              <w:textAlignment w:val="baseline"/>
              <w:rPr>
                <w:rFonts w:cs="Arial"/>
                <w:szCs w:val="20"/>
                <w:lang w:val="bg-BG"/>
              </w:rPr>
            </w:pPr>
            <w:r w:rsidRPr="009072DA">
              <w:rPr>
                <w:lang w:val="bg-BG"/>
              </w:rPr>
              <w:tab/>
            </w:r>
            <w:r w:rsidRPr="009072DA">
              <w:rPr>
                <w:lang w:val="bg-BG"/>
              </w:rPr>
              <w:tab/>
            </w:r>
          </w:p>
          <w:p w:rsidR="009C13A9" w:rsidRPr="009072DA" w:rsidRDefault="009C13A9" w:rsidP="009C13A9">
            <w:pPr>
              <w:tabs>
                <w:tab w:val="center" w:pos="6862"/>
              </w:tabs>
              <w:overflowPunct w:val="0"/>
              <w:adjustRightInd w:val="0"/>
              <w:textAlignment w:val="baseline"/>
              <w:rPr>
                <w:rFonts w:cs="Arial"/>
                <w:sz w:val="16"/>
                <w:szCs w:val="20"/>
                <w:lang w:val="bg-BG"/>
              </w:rPr>
            </w:pPr>
            <w:r w:rsidRPr="009072DA">
              <w:rPr>
                <w:lang w:val="bg-BG"/>
              </w:rPr>
              <w:tab/>
            </w:r>
            <w:r w:rsidRPr="009072DA">
              <w:rPr>
                <w:sz w:val="16"/>
                <w:lang w:val="bg-BG"/>
              </w:rPr>
              <w:t>(Подпис)</w:t>
            </w:r>
          </w:p>
          <w:p w:rsidR="009C13A9" w:rsidRPr="009072D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bg-BG"/>
              </w:rPr>
            </w:pPr>
            <w:r w:rsidRPr="009072DA">
              <w:rPr>
                <w:sz w:val="18"/>
                <w:lang w:val="bg-BG"/>
              </w:rPr>
              <w:t>_______________________</w:t>
            </w:r>
          </w:p>
          <w:p w:rsidR="009C13A9" w:rsidRPr="009072DA" w:rsidRDefault="009C13A9" w:rsidP="009C13A9">
            <w:pPr>
              <w:tabs>
                <w:tab w:val="left" w:pos="284"/>
              </w:tabs>
              <w:overflowPunct w:val="0"/>
              <w:adjustRightInd w:val="0"/>
              <w:spacing w:after="40"/>
              <w:ind w:left="57"/>
              <w:textAlignment w:val="baseline"/>
              <w:rPr>
                <w:rFonts w:cs="Arial"/>
                <w:sz w:val="18"/>
                <w:szCs w:val="20"/>
                <w:lang w:val="bg-BG"/>
              </w:rPr>
            </w:pPr>
            <w:r w:rsidRPr="009072DA">
              <w:rPr>
                <w:position w:val="4"/>
                <w:sz w:val="16"/>
                <w:lang w:val="bg-BG"/>
              </w:rPr>
              <w:t>*)</w:t>
            </w:r>
            <w:r w:rsidRPr="009072DA">
              <w:rPr>
                <w:lang w:val="bg-BG"/>
              </w:rPr>
              <w:tab/>
            </w:r>
            <w:r w:rsidRPr="009072DA">
              <w:rPr>
                <w:sz w:val="16"/>
                <w:lang w:val="bg-BG"/>
              </w:rPr>
              <w:t>Ненужното се зачерква</w:t>
            </w:r>
          </w:p>
        </w:tc>
      </w:tr>
    </w:tbl>
    <w:p w:rsidR="009C13A9" w:rsidRPr="009072DA" w:rsidRDefault="009C13A9" w:rsidP="00AA5614">
      <w:pPr>
        <w:tabs>
          <w:tab w:val="left" w:leader="dot" w:pos="2835"/>
          <w:tab w:val="left" w:leader="dot" w:pos="5103"/>
        </w:tabs>
        <w:overflowPunct w:val="0"/>
        <w:adjustRightInd w:val="0"/>
        <w:textAlignment w:val="baseline"/>
        <w:rPr>
          <w:rFonts w:cs="Arial"/>
          <w:szCs w:val="20"/>
          <w:lang w:val="bg-BG"/>
        </w:rPr>
      </w:pPr>
      <w:r w:rsidRPr="009072DA">
        <w:rPr>
          <w:lang w:val="bg-BG"/>
        </w:rPr>
        <w:br w:type="page"/>
      </w:r>
      <w:r w:rsidRPr="009072DA">
        <w:rPr>
          <w:lang w:val="bg-BG"/>
        </w:rPr>
        <w:lastRenderedPageBreak/>
        <w:t xml:space="preserve">Удостоверение на плавателния съд за плаване по вътрешни водни пътища № </w:t>
      </w:r>
      <w:r w:rsidRPr="009072DA">
        <w:rPr>
          <w:lang w:val="bg-BG"/>
        </w:rPr>
        <w:tab/>
        <w:t xml:space="preserve"> на контролния орган </w:t>
      </w:r>
      <w:r w:rsidRPr="009072DA">
        <w:rPr>
          <w:lang w:val="bg-BG"/>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r w:rsidRPr="009072DA">
              <w:rPr>
                <w:sz w:val="18"/>
                <w:lang w:val="bg-BG"/>
              </w:rPr>
              <w:t>12.</w:t>
            </w:r>
          </w:p>
        </w:tc>
        <w:tc>
          <w:tcPr>
            <w:tcW w:w="8902" w:type="dxa"/>
            <w:tcBorders>
              <w:top w:val="single" w:sz="6" w:space="0" w:color="auto"/>
              <w:bottom w:val="single" w:sz="6" w:space="0" w:color="auto"/>
              <w:right w:val="single" w:sz="6" w:space="0" w:color="auto"/>
            </w:tcBorders>
          </w:tcPr>
          <w:p w:rsidR="009C13A9" w:rsidRPr="009072DA" w:rsidRDefault="009C13A9" w:rsidP="009C13A9">
            <w:pPr>
              <w:tabs>
                <w:tab w:val="left" w:pos="57"/>
                <w:tab w:val="left" w:pos="340"/>
                <w:tab w:val="left" w:leader="dot" w:pos="8505"/>
              </w:tabs>
              <w:overflowPunct w:val="0"/>
              <w:adjustRightInd w:val="0"/>
              <w:spacing w:before="120"/>
              <w:ind w:left="57" w:hanging="57"/>
              <w:textAlignment w:val="baseline"/>
              <w:rPr>
                <w:rFonts w:cs="Arial"/>
                <w:sz w:val="18"/>
                <w:szCs w:val="20"/>
                <w:lang w:val="bg-BG"/>
              </w:rPr>
            </w:pPr>
            <w:r w:rsidRPr="009072DA">
              <w:rPr>
                <w:lang w:val="bg-BG"/>
              </w:rPr>
              <w:tab/>
            </w:r>
            <w:r w:rsidRPr="009072DA">
              <w:rPr>
                <w:sz w:val="18"/>
                <w:lang w:val="bg-BG"/>
              </w:rPr>
              <w:t>Номерът на удостоверението на плавателния съд за плаване по вътрешни водни пътища — точка 1,</w:t>
            </w:r>
            <w:r w:rsidRPr="009072DA">
              <w:rPr>
                <w:lang w:val="bg-BG"/>
              </w:rPr>
              <w:t xml:space="preserve"> </w:t>
            </w:r>
            <w:r w:rsidRPr="009072DA">
              <w:rPr>
                <w:sz w:val="18"/>
                <w:lang w:val="bg-BG"/>
              </w:rPr>
              <w:t>уникалният европейски идентификационен номер на плавателния съд — точка 2, регистрационният номер — точка 3 и номерът на измерването — точка 4 се поставят със съответните знаци на следните места върху плавателното средство</w:t>
            </w:r>
            <w:r w:rsidRPr="009072DA">
              <w:rPr>
                <w:rFonts w:cs="Arial"/>
                <w:sz w:val="18"/>
                <w:szCs w:val="18"/>
                <w:lang w:val="bg-BG"/>
              </w:rPr>
              <w:br/>
            </w:r>
            <w:r w:rsidRPr="009072DA">
              <w:rPr>
                <w:rFonts w:cs="Arial"/>
                <w:sz w:val="18"/>
                <w:szCs w:val="18"/>
                <w:lang w:val="bg-BG"/>
              </w:rPr>
              <w:br/>
            </w:r>
            <w:r w:rsidRPr="009072DA">
              <w:rPr>
                <w:sz w:val="18"/>
                <w:lang w:val="bg-BG"/>
              </w:rPr>
              <w:t>1</w:t>
            </w:r>
            <w:r w:rsidRPr="009072DA">
              <w:rPr>
                <w:lang w:val="bg-BG"/>
              </w:rPr>
              <w:tab/>
            </w:r>
            <w:r w:rsidRPr="009072DA">
              <w:rPr>
                <w:lang w:val="bg-BG"/>
              </w:rPr>
              <w:tab/>
            </w:r>
            <w:r w:rsidRPr="009072DA">
              <w:rPr>
                <w:rFonts w:cs="Arial"/>
                <w:sz w:val="18"/>
                <w:szCs w:val="20"/>
                <w:lang w:val="bg-BG"/>
              </w:rPr>
              <w:br/>
            </w:r>
            <w:r w:rsidRPr="009072DA">
              <w:rPr>
                <w:rFonts w:cs="Arial"/>
                <w:sz w:val="18"/>
                <w:szCs w:val="20"/>
                <w:lang w:val="bg-BG"/>
              </w:rPr>
              <w:br/>
            </w:r>
            <w:r w:rsidRPr="009072DA">
              <w:rPr>
                <w:sz w:val="18"/>
                <w:lang w:val="bg-BG"/>
              </w:rPr>
              <w:t>2</w:t>
            </w:r>
            <w:r w:rsidRPr="009072DA">
              <w:rPr>
                <w:lang w:val="bg-BG"/>
              </w:rPr>
              <w:tab/>
            </w:r>
            <w:r w:rsidRPr="009072DA">
              <w:rPr>
                <w:lang w:val="bg-BG"/>
              </w:rPr>
              <w:tab/>
            </w:r>
            <w:r w:rsidRPr="009072DA">
              <w:rPr>
                <w:rFonts w:cs="Arial"/>
                <w:sz w:val="18"/>
                <w:szCs w:val="20"/>
                <w:lang w:val="bg-BG"/>
              </w:rPr>
              <w:br/>
            </w:r>
            <w:r w:rsidRPr="009072DA">
              <w:rPr>
                <w:rFonts w:cs="Arial"/>
                <w:sz w:val="18"/>
                <w:szCs w:val="20"/>
                <w:lang w:val="bg-BG"/>
              </w:rPr>
              <w:br/>
            </w:r>
            <w:r w:rsidRPr="009072DA">
              <w:rPr>
                <w:sz w:val="18"/>
                <w:lang w:val="bg-BG"/>
              </w:rPr>
              <w:t>3</w:t>
            </w:r>
            <w:r w:rsidRPr="009072DA">
              <w:rPr>
                <w:lang w:val="bg-BG"/>
              </w:rPr>
              <w:tab/>
            </w:r>
            <w:r w:rsidRPr="009072DA">
              <w:rPr>
                <w:lang w:val="bg-BG"/>
              </w:rPr>
              <w:tab/>
            </w:r>
            <w:r w:rsidRPr="009072DA">
              <w:rPr>
                <w:rFonts w:cs="Arial"/>
                <w:sz w:val="18"/>
                <w:szCs w:val="20"/>
                <w:lang w:val="bg-BG"/>
              </w:rPr>
              <w:br/>
            </w:r>
            <w:r w:rsidRPr="009072DA">
              <w:rPr>
                <w:rFonts w:cs="Arial"/>
                <w:sz w:val="18"/>
                <w:szCs w:val="20"/>
                <w:lang w:val="bg-BG"/>
              </w:rPr>
              <w:br/>
            </w:r>
            <w:r w:rsidRPr="009072DA">
              <w:rPr>
                <w:sz w:val="18"/>
                <w:lang w:val="bg-BG"/>
              </w:rPr>
              <w:t>4</w:t>
            </w:r>
            <w:r w:rsidRPr="009072DA">
              <w:rPr>
                <w:lang w:val="bg-BG"/>
              </w:rPr>
              <w:tab/>
            </w:r>
            <w:r w:rsidRPr="009072DA">
              <w:rPr>
                <w:lang w:val="bg-BG"/>
              </w:rPr>
              <w:tab/>
            </w:r>
            <w:r w:rsidRPr="009072DA">
              <w:rPr>
                <w:rFonts w:cs="Arial"/>
                <w:sz w:val="18"/>
                <w:szCs w:val="20"/>
                <w:lang w:val="bg-BG"/>
              </w:rPr>
              <w:br/>
            </w:r>
          </w:p>
        </w:tc>
      </w:tr>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r w:rsidRPr="009072DA">
              <w:rPr>
                <w:sz w:val="18"/>
                <w:lang w:val="bg-BG"/>
              </w:rPr>
              <w:t>13.</w:t>
            </w:r>
          </w:p>
        </w:tc>
        <w:tc>
          <w:tcPr>
            <w:tcW w:w="8902" w:type="dxa"/>
            <w:tcBorders>
              <w:top w:val="single" w:sz="6" w:space="0" w:color="auto"/>
              <w:bottom w:val="single" w:sz="6" w:space="0" w:color="auto"/>
              <w:right w:val="single" w:sz="6" w:space="0" w:color="auto"/>
            </w:tcBorders>
          </w:tcPr>
          <w:p w:rsidR="009C13A9" w:rsidRPr="009072DA" w:rsidRDefault="009C13A9" w:rsidP="009C13A9">
            <w:pPr>
              <w:tabs>
                <w:tab w:val="left" w:pos="57"/>
                <w:tab w:val="left" w:pos="340"/>
                <w:tab w:val="left" w:pos="567"/>
                <w:tab w:val="left" w:pos="4536"/>
                <w:tab w:val="left" w:pos="4820"/>
              </w:tabs>
              <w:overflowPunct w:val="0"/>
              <w:adjustRightInd w:val="0"/>
              <w:spacing w:before="120" w:after="120"/>
              <w:textAlignment w:val="baseline"/>
              <w:rPr>
                <w:rFonts w:cs="Arial"/>
                <w:sz w:val="18"/>
                <w:szCs w:val="20"/>
                <w:lang w:val="bg-BG"/>
              </w:rPr>
            </w:pPr>
            <w:r w:rsidRPr="009072DA">
              <w:rPr>
                <w:lang w:val="bg-BG"/>
              </w:rPr>
              <w:tab/>
            </w:r>
            <w:r w:rsidRPr="009072DA">
              <w:rPr>
                <w:sz w:val="18"/>
                <w:lang w:val="bg-BG"/>
              </w:rPr>
              <w:t>Максимално разрешеното газене е посочено от всяка страна на плавателното средство</w:t>
            </w:r>
          </w:p>
          <w:p w:rsidR="009C13A9" w:rsidRPr="009072DA" w:rsidRDefault="009C13A9" w:rsidP="009C13A9">
            <w:pPr>
              <w:tabs>
                <w:tab w:val="left" w:pos="57"/>
                <w:tab w:val="left" w:pos="340"/>
                <w:tab w:val="left" w:pos="567"/>
                <w:tab w:val="left" w:pos="4536"/>
                <w:tab w:val="left" w:pos="4820"/>
              </w:tabs>
              <w:overflowPunct w:val="0"/>
              <w:adjustRightInd w:val="0"/>
              <w:spacing w:after="120"/>
              <w:textAlignment w:val="baseline"/>
              <w:rPr>
                <w:rFonts w:cs="Arial"/>
                <w:sz w:val="18"/>
                <w:szCs w:val="20"/>
                <w:lang w:val="bg-BG"/>
              </w:rPr>
            </w:pPr>
            <w:r w:rsidRPr="009072DA">
              <w:rPr>
                <w:sz w:val="18"/>
                <w:lang w:val="bg-BG"/>
              </w:rPr>
              <w:t>-</w:t>
            </w:r>
            <w:r w:rsidRPr="009072DA">
              <w:rPr>
                <w:lang w:val="bg-BG"/>
              </w:rPr>
              <w:tab/>
            </w:r>
            <w:r w:rsidRPr="009072DA">
              <w:rPr>
                <w:sz w:val="18"/>
                <w:lang w:val="bg-BG"/>
              </w:rPr>
              <w:t>посредством дву -.................................... – марки за газене</w:t>
            </w:r>
            <w:r w:rsidRPr="009072DA">
              <w:rPr>
                <w:position w:val="6"/>
                <w:sz w:val="16"/>
                <w:lang w:val="bg-BG"/>
              </w:rPr>
              <w:t>*)</w:t>
            </w:r>
            <w:r w:rsidRPr="009072DA">
              <w:rPr>
                <w:sz w:val="18"/>
                <w:lang w:val="bg-BG"/>
              </w:rPr>
              <w:t>.</w:t>
            </w:r>
          </w:p>
          <w:p w:rsidR="009C13A9" w:rsidRPr="009072DA"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lang w:val="bg-BG"/>
              </w:rPr>
            </w:pPr>
            <w:r w:rsidRPr="009072DA">
              <w:rPr>
                <w:sz w:val="18"/>
                <w:lang w:val="bg-BG"/>
              </w:rPr>
              <w:t>-</w:t>
            </w:r>
            <w:r w:rsidRPr="009072DA">
              <w:rPr>
                <w:lang w:val="bg-BG"/>
              </w:rPr>
              <w:tab/>
            </w:r>
            <w:r w:rsidRPr="009072DA">
              <w:rPr>
                <w:sz w:val="18"/>
                <w:lang w:val="bg-BG"/>
              </w:rPr>
              <w:t xml:space="preserve">от горните мерителни табели </w:t>
            </w:r>
            <w:r w:rsidRPr="009072DA">
              <w:rPr>
                <w:position w:val="6"/>
                <w:sz w:val="16"/>
                <w:lang w:val="bg-BG"/>
              </w:rPr>
              <w:t>*)</w:t>
            </w:r>
            <w:r w:rsidRPr="009072DA">
              <w:rPr>
                <w:sz w:val="18"/>
                <w:lang w:val="bg-BG"/>
              </w:rPr>
              <w:t>.</w:t>
            </w:r>
          </w:p>
          <w:p w:rsidR="009C13A9" w:rsidRPr="009072DA"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lang w:val="bg-BG"/>
              </w:rPr>
            </w:pPr>
          </w:p>
          <w:p w:rsidR="009C13A9" w:rsidRPr="009072DA"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lang w:val="bg-BG"/>
              </w:rPr>
            </w:pPr>
            <w:r w:rsidRPr="009072DA">
              <w:rPr>
                <w:lang w:val="bg-BG"/>
              </w:rPr>
              <w:t>Приложени са д</w:t>
            </w:r>
            <w:r w:rsidRPr="009072DA">
              <w:rPr>
                <w:sz w:val="18"/>
                <w:lang w:val="bg-BG"/>
              </w:rPr>
              <w:t xml:space="preserve">ве скали на газене </w:t>
            </w:r>
            <w:r w:rsidRPr="009072DA">
              <w:rPr>
                <w:position w:val="6"/>
                <w:sz w:val="16"/>
                <w:lang w:val="bg-BG"/>
              </w:rPr>
              <w:t>*)</w:t>
            </w:r>
            <w:r w:rsidRPr="009072DA">
              <w:rPr>
                <w:sz w:val="18"/>
                <w:lang w:val="bg-BG"/>
              </w:rPr>
              <w:t>.</w:t>
            </w:r>
            <w:r w:rsidRPr="009072DA">
              <w:rPr>
                <w:rFonts w:cs="Arial"/>
                <w:sz w:val="18"/>
                <w:szCs w:val="20"/>
                <w:lang w:val="bg-BG"/>
              </w:rPr>
              <w:br/>
            </w:r>
            <w:r w:rsidRPr="009072DA">
              <w:rPr>
                <w:sz w:val="18"/>
                <w:lang w:val="bg-BG"/>
              </w:rPr>
              <w:t>Задните мерителни скали служат като скали на газенето: те са били допълнени за тази цел със стойности, показващи газенето</w:t>
            </w:r>
            <w:r w:rsidRPr="009072DA">
              <w:rPr>
                <w:position w:val="6"/>
                <w:sz w:val="16"/>
                <w:lang w:val="bg-BG"/>
              </w:rPr>
              <w:t>*)</w:t>
            </w:r>
            <w:r w:rsidRPr="009072DA">
              <w:rPr>
                <w:sz w:val="18"/>
                <w:lang w:val="bg-BG"/>
              </w:rPr>
              <w:t>.</w:t>
            </w:r>
            <w:r w:rsidRPr="009072DA">
              <w:rPr>
                <w:rFonts w:cs="Arial"/>
                <w:sz w:val="18"/>
                <w:szCs w:val="20"/>
                <w:lang w:val="bg-BG"/>
              </w:rPr>
              <w:br/>
            </w:r>
          </w:p>
        </w:tc>
      </w:tr>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r w:rsidRPr="009072DA">
              <w:rPr>
                <w:sz w:val="18"/>
                <w:lang w:val="bg-BG"/>
              </w:rPr>
              <w:lastRenderedPageBreak/>
              <w:t>14.</w:t>
            </w:r>
          </w:p>
        </w:tc>
        <w:tc>
          <w:tcPr>
            <w:tcW w:w="8902" w:type="dxa"/>
            <w:tcBorders>
              <w:top w:val="single" w:sz="6" w:space="0" w:color="auto"/>
              <w:bottom w:val="single" w:sz="6" w:space="0" w:color="auto"/>
              <w:right w:val="single" w:sz="6" w:space="0" w:color="auto"/>
            </w:tcBorders>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 xml:space="preserve">Без да се засягат ограниченията </w:t>
            </w:r>
            <w:r w:rsidRPr="009072DA">
              <w:rPr>
                <w:position w:val="6"/>
                <w:sz w:val="14"/>
                <w:lang w:val="bg-BG"/>
              </w:rPr>
              <w:t>*)</w:t>
            </w:r>
            <w:r w:rsidRPr="009072DA">
              <w:rPr>
                <w:sz w:val="18"/>
                <w:lang w:val="bg-BG"/>
              </w:rPr>
              <w:t xml:space="preserve"> споменати в точки 15 и 52, плавателното средство е годно да</w:t>
            </w:r>
          </w:p>
          <w:p w:rsidR="009C13A9" w:rsidRPr="009072DA"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lang w:val="bg-BG"/>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4"/>
              <w:gridCol w:w="3232"/>
              <w:gridCol w:w="284"/>
              <w:gridCol w:w="624"/>
              <w:gridCol w:w="3515"/>
            </w:tblGrid>
            <w:tr w:rsidR="009C13A9" w:rsidRPr="008D2440" w:rsidTr="009C13A9">
              <w:trPr>
                <w:jc w:val="center"/>
              </w:trPr>
              <w:tc>
                <w:tcPr>
                  <w:tcW w:w="624"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1.</w:t>
                  </w:r>
                </w:p>
              </w:tc>
              <w:tc>
                <w:tcPr>
                  <w:tcW w:w="3232" w:type="dxa"/>
                  <w:tcBorders>
                    <w:right w:val="nil"/>
                  </w:tcBorders>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тласка</w:t>
                  </w:r>
                  <w:r w:rsidRPr="009072DA">
                    <w:rPr>
                      <w:position w:val="6"/>
                      <w:sz w:val="16"/>
                      <w:lang w:val="bg-BG"/>
                    </w:rPr>
                    <w:t xml:space="preserve"> *)</w:t>
                  </w:r>
                </w:p>
              </w:tc>
              <w:tc>
                <w:tcPr>
                  <w:tcW w:w="284" w:type="dxa"/>
                  <w:tcBorders>
                    <w:left w:val="nil"/>
                  </w:tcBorders>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p>
              </w:tc>
              <w:tc>
                <w:tcPr>
                  <w:tcW w:w="624"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4.</w:t>
                  </w:r>
                </w:p>
              </w:tc>
              <w:tc>
                <w:tcPr>
                  <w:tcW w:w="3515"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бъде задвижвано в бордово свързана група</w:t>
                  </w:r>
                  <w:r w:rsidRPr="009072DA">
                    <w:rPr>
                      <w:position w:val="6"/>
                      <w:sz w:val="16"/>
                      <w:lang w:val="bg-BG"/>
                    </w:rPr>
                    <w:t>*)</w:t>
                  </w:r>
                </w:p>
              </w:tc>
            </w:tr>
            <w:tr w:rsidR="009C13A9" w:rsidRPr="009072DA" w:rsidTr="009C13A9">
              <w:trPr>
                <w:jc w:val="center"/>
              </w:trPr>
              <w:tc>
                <w:tcPr>
                  <w:tcW w:w="624"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1.1</w:t>
                  </w:r>
                </w:p>
              </w:tc>
              <w:tc>
                <w:tcPr>
                  <w:tcW w:w="3232" w:type="dxa"/>
                  <w:tcBorders>
                    <w:right w:val="nil"/>
                  </w:tcBorders>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в твърдо свързано формирование</w:t>
                  </w:r>
                  <w:r w:rsidRPr="009072DA">
                    <w:rPr>
                      <w:position w:val="6"/>
                      <w:sz w:val="16"/>
                      <w:lang w:val="bg-BG"/>
                    </w:rPr>
                    <w:t xml:space="preserve"> *)</w:t>
                  </w:r>
                </w:p>
              </w:tc>
              <w:tc>
                <w:tcPr>
                  <w:tcW w:w="284" w:type="dxa"/>
                  <w:tcBorders>
                    <w:left w:val="nil"/>
                  </w:tcBorders>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p>
              </w:tc>
              <w:tc>
                <w:tcPr>
                  <w:tcW w:w="624"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5.</w:t>
                  </w:r>
                </w:p>
              </w:tc>
              <w:tc>
                <w:tcPr>
                  <w:tcW w:w="3515"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влачи</w:t>
                  </w:r>
                  <w:r w:rsidRPr="009072DA">
                    <w:rPr>
                      <w:position w:val="6"/>
                      <w:sz w:val="16"/>
                      <w:lang w:val="bg-BG"/>
                    </w:rPr>
                    <w:t xml:space="preserve"> *)</w:t>
                  </w:r>
                </w:p>
              </w:tc>
            </w:tr>
            <w:tr w:rsidR="009C13A9" w:rsidRPr="008D2440" w:rsidTr="009C13A9">
              <w:trPr>
                <w:jc w:val="center"/>
              </w:trPr>
              <w:tc>
                <w:tcPr>
                  <w:tcW w:w="624"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1.2</w:t>
                  </w:r>
                </w:p>
              </w:tc>
              <w:tc>
                <w:tcPr>
                  <w:tcW w:w="3232" w:type="dxa"/>
                  <w:tcBorders>
                    <w:right w:val="nil"/>
                  </w:tcBorders>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с управляемо шарнирно съединение</w:t>
                  </w:r>
                  <w:r w:rsidRPr="009072DA">
                    <w:rPr>
                      <w:position w:val="6"/>
                      <w:sz w:val="16"/>
                      <w:lang w:val="bg-BG"/>
                    </w:rPr>
                    <w:t xml:space="preserve"> *)</w:t>
                  </w:r>
                </w:p>
              </w:tc>
              <w:tc>
                <w:tcPr>
                  <w:tcW w:w="284" w:type="dxa"/>
                  <w:tcBorders>
                    <w:left w:val="nil"/>
                  </w:tcBorders>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p>
              </w:tc>
              <w:tc>
                <w:tcPr>
                  <w:tcW w:w="624"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5.1</w:t>
                  </w:r>
                </w:p>
              </w:tc>
              <w:tc>
                <w:tcPr>
                  <w:tcW w:w="3515"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плавателни средства без собствено задвижване</w:t>
                  </w:r>
                  <w:r w:rsidRPr="009072DA">
                    <w:rPr>
                      <w:position w:val="6"/>
                      <w:sz w:val="16"/>
                      <w:lang w:val="bg-BG"/>
                    </w:rPr>
                    <w:t>*)</w:t>
                  </w:r>
                </w:p>
              </w:tc>
            </w:tr>
            <w:tr w:rsidR="009C13A9" w:rsidRPr="009072DA" w:rsidTr="009C13A9">
              <w:trPr>
                <w:jc w:val="center"/>
              </w:trPr>
              <w:tc>
                <w:tcPr>
                  <w:tcW w:w="624"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2.</w:t>
                  </w:r>
                </w:p>
              </w:tc>
              <w:tc>
                <w:tcPr>
                  <w:tcW w:w="3232" w:type="dxa"/>
                  <w:tcBorders>
                    <w:right w:val="nil"/>
                  </w:tcBorders>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бъде тласкано</w:t>
                  </w:r>
                  <w:r w:rsidRPr="009072DA">
                    <w:rPr>
                      <w:position w:val="6"/>
                      <w:sz w:val="16"/>
                      <w:lang w:val="bg-BG"/>
                    </w:rPr>
                    <w:t xml:space="preserve"> *)</w:t>
                  </w:r>
                </w:p>
              </w:tc>
              <w:tc>
                <w:tcPr>
                  <w:tcW w:w="284" w:type="dxa"/>
                  <w:tcBorders>
                    <w:left w:val="nil"/>
                  </w:tcBorders>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p>
              </w:tc>
              <w:tc>
                <w:tcPr>
                  <w:tcW w:w="624"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5.2</w:t>
                  </w:r>
                </w:p>
              </w:tc>
              <w:tc>
                <w:tcPr>
                  <w:tcW w:w="3515"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 xml:space="preserve">плавателно средство с мотор </w:t>
                  </w:r>
                  <w:r w:rsidRPr="009072DA">
                    <w:rPr>
                      <w:position w:val="6"/>
                      <w:sz w:val="16"/>
                      <w:lang w:val="bg-BG"/>
                    </w:rPr>
                    <w:t>*)</w:t>
                  </w:r>
                </w:p>
              </w:tc>
            </w:tr>
            <w:tr w:rsidR="009C13A9" w:rsidRPr="009072DA" w:rsidTr="009C13A9">
              <w:trPr>
                <w:jc w:val="center"/>
              </w:trPr>
              <w:tc>
                <w:tcPr>
                  <w:tcW w:w="624"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2.1</w:t>
                  </w:r>
                </w:p>
              </w:tc>
              <w:tc>
                <w:tcPr>
                  <w:tcW w:w="3232" w:type="dxa"/>
                  <w:tcBorders>
                    <w:right w:val="nil"/>
                  </w:tcBorders>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в твърдо свързано формирование</w:t>
                  </w:r>
                  <w:r w:rsidRPr="009072DA">
                    <w:rPr>
                      <w:position w:val="6"/>
                      <w:sz w:val="16"/>
                      <w:lang w:val="bg-BG"/>
                    </w:rPr>
                    <w:t xml:space="preserve"> *)</w:t>
                  </w:r>
                </w:p>
              </w:tc>
              <w:tc>
                <w:tcPr>
                  <w:tcW w:w="284" w:type="dxa"/>
                  <w:tcBorders>
                    <w:left w:val="nil"/>
                  </w:tcBorders>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p>
              </w:tc>
              <w:tc>
                <w:tcPr>
                  <w:tcW w:w="624"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5.3</w:t>
                  </w:r>
                </w:p>
              </w:tc>
              <w:tc>
                <w:tcPr>
                  <w:tcW w:w="3515"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само нагоре по течението</w:t>
                  </w:r>
                  <w:r w:rsidRPr="009072DA">
                    <w:rPr>
                      <w:position w:val="6"/>
                      <w:sz w:val="16"/>
                      <w:lang w:val="bg-BG"/>
                    </w:rPr>
                    <w:t xml:space="preserve"> *)</w:t>
                  </w:r>
                </w:p>
              </w:tc>
            </w:tr>
            <w:tr w:rsidR="009C13A9" w:rsidRPr="009072DA" w:rsidTr="009C13A9">
              <w:trPr>
                <w:jc w:val="center"/>
              </w:trPr>
              <w:tc>
                <w:tcPr>
                  <w:tcW w:w="624"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2.2</w:t>
                  </w:r>
                </w:p>
              </w:tc>
              <w:tc>
                <w:tcPr>
                  <w:tcW w:w="3232" w:type="dxa"/>
                  <w:tcBorders>
                    <w:right w:val="nil"/>
                  </w:tcBorders>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начело на твърдо свързано формирование</w:t>
                  </w:r>
                  <w:r w:rsidRPr="009072DA">
                    <w:rPr>
                      <w:position w:val="6"/>
                      <w:sz w:val="16"/>
                      <w:lang w:val="bg-BG"/>
                    </w:rPr>
                    <w:t xml:space="preserve"> *)</w:t>
                  </w:r>
                </w:p>
              </w:tc>
              <w:tc>
                <w:tcPr>
                  <w:tcW w:w="284" w:type="dxa"/>
                  <w:tcBorders>
                    <w:left w:val="nil"/>
                  </w:tcBorders>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p>
              </w:tc>
              <w:tc>
                <w:tcPr>
                  <w:tcW w:w="624"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6.</w:t>
                  </w:r>
                </w:p>
              </w:tc>
              <w:tc>
                <w:tcPr>
                  <w:tcW w:w="3515"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бъде влачен</w:t>
                  </w:r>
                  <w:r w:rsidRPr="009072DA">
                    <w:rPr>
                      <w:lang w:val="bg-BG"/>
                    </w:rPr>
                    <w:t>о</w:t>
                  </w:r>
                  <w:r w:rsidRPr="009072DA">
                    <w:rPr>
                      <w:position w:val="6"/>
                      <w:sz w:val="16"/>
                      <w:lang w:val="bg-BG"/>
                    </w:rPr>
                    <w:t xml:space="preserve"> *)</w:t>
                  </w:r>
                </w:p>
              </w:tc>
            </w:tr>
            <w:tr w:rsidR="009C13A9" w:rsidRPr="008D2440" w:rsidTr="009C13A9">
              <w:trPr>
                <w:jc w:val="center"/>
              </w:trPr>
              <w:tc>
                <w:tcPr>
                  <w:tcW w:w="624"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2.3</w:t>
                  </w:r>
                </w:p>
              </w:tc>
              <w:tc>
                <w:tcPr>
                  <w:tcW w:w="3232" w:type="dxa"/>
                  <w:tcBorders>
                    <w:right w:val="nil"/>
                  </w:tcBorders>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с управляемо шарнирно съединение</w:t>
                  </w:r>
                  <w:r w:rsidRPr="009072DA">
                    <w:rPr>
                      <w:position w:val="6"/>
                      <w:sz w:val="16"/>
                      <w:lang w:val="bg-BG"/>
                    </w:rPr>
                    <w:t xml:space="preserve"> *)</w:t>
                  </w:r>
                </w:p>
              </w:tc>
              <w:tc>
                <w:tcPr>
                  <w:tcW w:w="284" w:type="dxa"/>
                  <w:tcBorders>
                    <w:left w:val="nil"/>
                  </w:tcBorders>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p>
              </w:tc>
              <w:tc>
                <w:tcPr>
                  <w:tcW w:w="624"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6.1</w:t>
                  </w:r>
                </w:p>
              </w:tc>
              <w:tc>
                <w:tcPr>
                  <w:tcW w:w="3515"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като плавателно средство с мотор</w:t>
                  </w:r>
                  <w:r w:rsidRPr="009072DA">
                    <w:rPr>
                      <w:position w:val="6"/>
                      <w:sz w:val="16"/>
                      <w:lang w:val="bg-BG"/>
                    </w:rPr>
                    <w:t>*)</w:t>
                  </w:r>
                </w:p>
              </w:tc>
            </w:tr>
            <w:tr w:rsidR="009C13A9" w:rsidRPr="008D2440" w:rsidTr="009C13A9">
              <w:trPr>
                <w:jc w:val="center"/>
              </w:trPr>
              <w:tc>
                <w:tcPr>
                  <w:tcW w:w="624"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3.</w:t>
                  </w:r>
                </w:p>
              </w:tc>
              <w:tc>
                <w:tcPr>
                  <w:tcW w:w="3232" w:type="dxa"/>
                  <w:tcBorders>
                    <w:right w:val="nil"/>
                  </w:tcBorders>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задвижва бордово свързана група</w:t>
                  </w:r>
                  <w:r w:rsidRPr="009072DA">
                    <w:rPr>
                      <w:position w:val="6"/>
                      <w:sz w:val="16"/>
                      <w:lang w:val="bg-BG"/>
                    </w:rPr>
                    <w:t xml:space="preserve"> *)</w:t>
                  </w:r>
                </w:p>
              </w:tc>
              <w:tc>
                <w:tcPr>
                  <w:tcW w:w="284" w:type="dxa"/>
                  <w:tcBorders>
                    <w:left w:val="nil"/>
                  </w:tcBorders>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p>
              </w:tc>
              <w:tc>
                <w:tcPr>
                  <w:tcW w:w="624"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6.2</w:t>
                  </w:r>
                </w:p>
              </w:tc>
              <w:tc>
                <w:tcPr>
                  <w:tcW w:w="3515" w:type="dxa"/>
                  <w:shd w:val="clear" w:color="auto" w:fill="auto"/>
                </w:tcPr>
                <w:p w:rsidR="009C13A9" w:rsidRPr="009072D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bg-BG"/>
                    </w:rPr>
                  </w:pPr>
                  <w:r w:rsidRPr="009072DA">
                    <w:rPr>
                      <w:sz w:val="18"/>
                      <w:lang w:val="bg-BG"/>
                    </w:rPr>
                    <w:t>като плавателно средство без собствено задвижване</w:t>
                  </w:r>
                  <w:r w:rsidRPr="009072DA">
                    <w:rPr>
                      <w:position w:val="6"/>
                      <w:sz w:val="16"/>
                      <w:lang w:val="bg-BG"/>
                    </w:rPr>
                    <w:t>*)</w:t>
                  </w:r>
                </w:p>
              </w:tc>
            </w:tr>
          </w:tbl>
          <w:p w:rsidR="009C13A9" w:rsidRPr="009072DA"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lang w:val="bg-BG"/>
              </w:rPr>
            </w:pPr>
          </w:p>
          <w:p w:rsidR="009C13A9" w:rsidRPr="009072DA"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lang w:val="bg-BG"/>
              </w:rPr>
            </w:pPr>
          </w:p>
        </w:tc>
      </w:tr>
      <w:tr w:rsidR="009C13A9" w:rsidRPr="008D2440"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s>
              <w:overflowPunct w:val="0"/>
              <w:adjustRightInd w:val="0"/>
              <w:spacing w:before="80"/>
              <w:textAlignment w:val="baseline"/>
              <w:rPr>
                <w:rFonts w:cs="Arial"/>
                <w:sz w:val="18"/>
                <w:szCs w:val="20"/>
                <w:lang w:val="bg-BG"/>
              </w:rPr>
            </w:pPr>
            <w:r w:rsidRPr="009072DA">
              <w:rPr>
                <w:lang w:val="bg-BG"/>
              </w:rPr>
              <w:tab/>
            </w:r>
            <w:r w:rsidRPr="009072DA">
              <w:rPr>
                <w:sz w:val="18"/>
                <w:lang w:val="bg-BG"/>
              </w:rPr>
              <w:t>*)</w:t>
            </w:r>
            <w:r w:rsidRPr="009072DA">
              <w:rPr>
                <w:rFonts w:cs="Arial"/>
                <w:sz w:val="18"/>
                <w:szCs w:val="20"/>
                <w:lang w:val="bg-BG"/>
              </w:rPr>
              <w:br/>
            </w:r>
            <w:r w:rsidRPr="009072DA">
              <w:rPr>
                <w:rFonts w:cs="Arial"/>
                <w:sz w:val="18"/>
                <w:szCs w:val="20"/>
                <w:lang w:val="bg-BG"/>
              </w:rPr>
              <w:br/>
            </w:r>
          </w:p>
          <w:p w:rsidR="009C13A9" w:rsidRPr="009072DA" w:rsidRDefault="009C13A9" w:rsidP="009C13A9">
            <w:pPr>
              <w:tabs>
                <w:tab w:val="left" w:pos="57"/>
              </w:tabs>
              <w:overflowPunct w:val="0"/>
              <w:adjustRightInd w:val="0"/>
              <w:spacing w:before="80"/>
              <w:textAlignment w:val="baseline"/>
              <w:rPr>
                <w:rFonts w:cs="Arial"/>
                <w:sz w:val="18"/>
                <w:szCs w:val="20"/>
                <w:lang w:val="bg-BG"/>
              </w:rPr>
            </w:pPr>
          </w:p>
          <w:p w:rsidR="009C13A9" w:rsidRPr="009072DA" w:rsidRDefault="009C13A9" w:rsidP="009C13A9">
            <w:pPr>
              <w:tabs>
                <w:tab w:val="left" w:pos="57"/>
              </w:tabs>
              <w:overflowPunct w:val="0"/>
              <w:adjustRightInd w:val="0"/>
              <w:spacing w:before="160"/>
              <w:textAlignment w:val="baseline"/>
              <w:rPr>
                <w:rFonts w:cs="Arial"/>
                <w:sz w:val="18"/>
                <w:szCs w:val="20"/>
                <w:lang w:val="bg-BG"/>
              </w:rPr>
            </w:pPr>
            <w:r w:rsidRPr="009072DA">
              <w:rPr>
                <w:lang w:val="bg-BG"/>
              </w:rPr>
              <w:tab/>
            </w:r>
            <w:r w:rsidRPr="009072DA">
              <w:rPr>
                <w:sz w:val="18"/>
                <w:lang w:val="bg-BG"/>
              </w:rPr>
              <w:t>*)</w:t>
            </w:r>
          </w:p>
        </w:tc>
        <w:tc>
          <w:tcPr>
            <w:tcW w:w="8902" w:type="dxa"/>
            <w:tcBorders>
              <w:bottom w:val="single" w:sz="6" w:space="0" w:color="auto"/>
              <w:right w:val="single" w:sz="6" w:space="0" w:color="auto"/>
            </w:tcBorders>
          </w:tcPr>
          <w:p w:rsidR="009C13A9" w:rsidRPr="009072DA"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bg-BG"/>
              </w:rPr>
            </w:pPr>
            <w:r w:rsidRPr="009072DA">
              <w:rPr>
                <w:sz w:val="18"/>
                <w:lang w:val="bg-BG"/>
              </w:rPr>
              <w:t>Изменение на точка(и): ....................</w:t>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sz w:val="18"/>
                <w:lang w:val="bg-BG"/>
              </w:rPr>
              <w:t>Нов текст:</w:t>
            </w:r>
            <w:r w:rsidRPr="009072DA">
              <w:rPr>
                <w:lang w:val="bg-BG"/>
              </w:rPr>
              <w:tab/>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lang w:val="bg-BG"/>
              </w:rPr>
              <w:tab/>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lang w:val="bg-BG"/>
              </w:rPr>
              <w:tab/>
            </w:r>
          </w:p>
          <w:p w:rsidR="009C13A9" w:rsidRPr="009072D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bg-BG"/>
              </w:rPr>
            </w:pPr>
            <w:r w:rsidRPr="009072DA">
              <w:rPr>
                <w:sz w:val="18"/>
                <w:lang w:val="bg-BG"/>
              </w:rPr>
              <w:t>Тази страница е заменена.</w:t>
            </w:r>
          </w:p>
          <w:p w:rsidR="009C13A9" w:rsidRPr="009072D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bg-BG"/>
              </w:rPr>
            </w:pPr>
            <w:r w:rsidRPr="009072DA">
              <w:rPr>
                <w:sz w:val="18"/>
                <w:lang w:val="bg-BG"/>
              </w:rPr>
              <w:t xml:space="preserve">Място, дата </w:t>
            </w:r>
            <w:r w:rsidRPr="009072DA">
              <w:rPr>
                <w:lang w:val="bg-BG"/>
              </w:rPr>
              <w:tab/>
            </w:r>
            <w:r w:rsidRPr="009072DA">
              <w:rPr>
                <w:lang w:val="bg-BG"/>
              </w:rPr>
              <w:tab/>
            </w:r>
            <w:r w:rsidRPr="009072DA">
              <w:rPr>
                <w:sz w:val="18"/>
                <w:lang w:val="bg-BG"/>
              </w:rPr>
              <w:t>Контролен орган</w:t>
            </w:r>
          </w:p>
          <w:p w:rsidR="009C13A9" w:rsidRPr="009072DA" w:rsidRDefault="009C13A9" w:rsidP="009C13A9">
            <w:pPr>
              <w:tabs>
                <w:tab w:val="left" w:pos="5103"/>
                <w:tab w:val="left" w:leader="dot" w:pos="8505"/>
              </w:tabs>
              <w:overflowPunct w:val="0"/>
              <w:adjustRightInd w:val="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1701"/>
              </w:tabs>
              <w:overflowPunct w:val="0"/>
              <w:adjustRightInd w:val="0"/>
              <w:spacing w:after="80"/>
              <w:textAlignment w:val="baseline"/>
              <w:rPr>
                <w:rFonts w:cs="Arial"/>
                <w:sz w:val="18"/>
                <w:szCs w:val="20"/>
                <w:lang w:val="bg-BG"/>
              </w:rPr>
            </w:pPr>
            <w:r w:rsidRPr="009072DA">
              <w:rPr>
                <w:lang w:val="bg-BG"/>
              </w:rPr>
              <w:tab/>
            </w:r>
            <w:r w:rsidRPr="009072DA">
              <w:rPr>
                <w:sz w:val="18"/>
                <w:lang w:val="bg-BG"/>
              </w:rPr>
              <w:t>Печат</w:t>
            </w:r>
          </w:p>
          <w:p w:rsidR="009C13A9" w:rsidRPr="009072DA" w:rsidRDefault="009C13A9" w:rsidP="009C13A9">
            <w:pPr>
              <w:tabs>
                <w:tab w:val="left" w:pos="5103"/>
                <w:tab w:val="left" w:leader="dot" w:pos="8505"/>
              </w:tabs>
              <w:overflowPunct w:val="0"/>
              <w:adjustRightInd w:val="0"/>
              <w:textAlignment w:val="baseline"/>
              <w:rPr>
                <w:rFonts w:cs="Arial"/>
                <w:szCs w:val="20"/>
                <w:lang w:val="bg-BG"/>
              </w:rPr>
            </w:pPr>
            <w:r w:rsidRPr="009072DA">
              <w:rPr>
                <w:lang w:val="bg-BG"/>
              </w:rPr>
              <w:tab/>
            </w:r>
            <w:r w:rsidRPr="009072DA">
              <w:rPr>
                <w:lang w:val="bg-BG"/>
              </w:rPr>
              <w:tab/>
            </w:r>
          </w:p>
          <w:p w:rsidR="009C13A9" w:rsidRPr="009072DA" w:rsidRDefault="009C13A9" w:rsidP="009C13A9">
            <w:pPr>
              <w:tabs>
                <w:tab w:val="center" w:pos="6862"/>
              </w:tabs>
              <w:overflowPunct w:val="0"/>
              <w:adjustRightInd w:val="0"/>
              <w:textAlignment w:val="baseline"/>
              <w:rPr>
                <w:rFonts w:cs="Arial"/>
                <w:sz w:val="16"/>
                <w:szCs w:val="20"/>
                <w:lang w:val="bg-BG"/>
              </w:rPr>
            </w:pPr>
            <w:r w:rsidRPr="009072DA">
              <w:rPr>
                <w:lang w:val="bg-BG"/>
              </w:rPr>
              <w:tab/>
            </w:r>
            <w:r w:rsidRPr="009072DA">
              <w:rPr>
                <w:sz w:val="16"/>
                <w:lang w:val="bg-BG"/>
              </w:rPr>
              <w:t>(Подпис)</w:t>
            </w:r>
          </w:p>
          <w:p w:rsidR="009C13A9" w:rsidRPr="009072D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bg-BG"/>
              </w:rPr>
            </w:pPr>
            <w:r w:rsidRPr="009072DA">
              <w:rPr>
                <w:sz w:val="18"/>
                <w:lang w:val="bg-BG"/>
              </w:rPr>
              <w:t>_______________________</w:t>
            </w:r>
          </w:p>
          <w:p w:rsidR="009C13A9" w:rsidRPr="009072DA" w:rsidRDefault="009C13A9" w:rsidP="009C13A9">
            <w:pPr>
              <w:tabs>
                <w:tab w:val="left" w:pos="284"/>
              </w:tabs>
              <w:overflowPunct w:val="0"/>
              <w:adjustRightInd w:val="0"/>
              <w:spacing w:after="40"/>
              <w:ind w:left="57"/>
              <w:textAlignment w:val="baseline"/>
              <w:rPr>
                <w:rFonts w:cs="Arial"/>
                <w:sz w:val="18"/>
                <w:szCs w:val="20"/>
                <w:lang w:val="bg-BG"/>
              </w:rPr>
            </w:pPr>
            <w:r w:rsidRPr="009072DA">
              <w:rPr>
                <w:position w:val="4"/>
                <w:sz w:val="16"/>
                <w:lang w:val="bg-BG"/>
              </w:rPr>
              <w:t>*)</w:t>
            </w:r>
            <w:r w:rsidRPr="009072DA">
              <w:rPr>
                <w:lang w:val="bg-BG"/>
              </w:rPr>
              <w:tab/>
            </w:r>
            <w:r w:rsidRPr="009072DA">
              <w:rPr>
                <w:sz w:val="16"/>
                <w:lang w:val="bg-BG"/>
              </w:rPr>
              <w:t>Ненужното се зачерква</w:t>
            </w:r>
          </w:p>
        </w:tc>
      </w:tr>
    </w:tbl>
    <w:p w:rsidR="009C13A9" w:rsidRPr="009072DA" w:rsidRDefault="009C13A9" w:rsidP="009C13A9">
      <w:pPr>
        <w:overflowPunct w:val="0"/>
        <w:adjustRightInd w:val="0"/>
        <w:textAlignment w:val="baseline"/>
        <w:rPr>
          <w:rFonts w:cs="Arial"/>
          <w:szCs w:val="20"/>
          <w:lang w:val="bg-BG"/>
        </w:rPr>
      </w:pPr>
    </w:p>
    <w:p w:rsidR="009C13A9" w:rsidRPr="009072DA" w:rsidRDefault="009C13A9" w:rsidP="00AA5614">
      <w:pPr>
        <w:tabs>
          <w:tab w:val="left" w:leader="dot" w:pos="2835"/>
          <w:tab w:val="left" w:leader="dot" w:pos="5103"/>
        </w:tabs>
        <w:overflowPunct w:val="0"/>
        <w:adjustRightInd w:val="0"/>
        <w:textAlignment w:val="baseline"/>
        <w:rPr>
          <w:rFonts w:cs="Arial"/>
          <w:szCs w:val="20"/>
          <w:lang w:val="bg-BG"/>
        </w:rPr>
      </w:pPr>
      <w:r w:rsidRPr="009072DA">
        <w:rPr>
          <w:lang w:val="bg-BG"/>
        </w:rPr>
        <w:br w:type="page"/>
      </w:r>
      <w:r w:rsidRPr="009072DA">
        <w:rPr>
          <w:lang w:val="bg-BG"/>
        </w:rPr>
        <w:lastRenderedPageBreak/>
        <w:t xml:space="preserve">Удостоверение на плавателния съд за плаване по вътрешни водни пътища № </w:t>
      </w:r>
      <w:r w:rsidRPr="009072DA">
        <w:rPr>
          <w:lang w:val="bg-BG"/>
        </w:rPr>
        <w:tab/>
        <w:t xml:space="preserve"> на контролния орган </w:t>
      </w:r>
      <w:r w:rsidRPr="009072DA">
        <w:rPr>
          <w:lang w:val="bg-BG"/>
        </w:rPr>
        <w:tab/>
      </w:r>
    </w:p>
    <w:tbl>
      <w:tblPr>
        <w:tblW w:w="9188" w:type="dxa"/>
        <w:jc w:val="center"/>
        <w:tblLayout w:type="fixed"/>
        <w:tblCellMar>
          <w:left w:w="0" w:type="dxa"/>
          <w:right w:w="0" w:type="dxa"/>
        </w:tblCellMar>
        <w:tblLook w:val="0000" w:firstRow="0" w:lastRow="0" w:firstColumn="0" w:lastColumn="0" w:noHBand="0" w:noVBand="0"/>
      </w:tblPr>
      <w:tblGrid>
        <w:gridCol w:w="284"/>
        <w:gridCol w:w="567"/>
        <w:gridCol w:w="794"/>
        <w:gridCol w:w="794"/>
        <w:gridCol w:w="794"/>
        <w:gridCol w:w="794"/>
        <w:gridCol w:w="794"/>
        <w:gridCol w:w="794"/>
        <w:gridCol w:w="851"/>
        <w:gridCol w:w="851"/>
        <w:gridCol w:w="1701"/>
        <w:gridCol w:w="170"/>
      </w:tblGrid>
      <w:tr w:rsidR="009C13A9" w:rsidRPr="008D2440" w:rsidTr="009C13A9">
        <w:trPr>
          <w:cantSplit/>
          <w:jc w:val="center"/>
        </w:trPr>
        <w:tc>
          <w:tcPr>
            <w:tcW w:w="284" w:type="dxa"/>
            <w:tcBorders>
              <w:top w:val="single" w:sz="6" w:space="0" w:color="auto"/>
              <w:left w:val="single" w:sz="6" w:space="0" w:color="auto"/>
            </w:tcBorders>
          </w:tcPr>
          <w:p w:rsidR="009C13A9" w:rsidRPr="009072DA" w:rsidRDefault="009C13A9" w:rsidP="009C13A9">
            <w:pPr>
              <w:tabs>
                <w:tab w:val="left" w:pos="57"/>
                <w:tab w:val="left" w:pos="227"/>
              </w:tabs>
              <w:overflowPunct w:val="0"/>
              <w:adjustRightInd w:val="0"/>
              <w:spacing w:before="80"/>
              <w:textAlignment w:val="baseline"/>
              <w:rPr>
                <w:rFonts w:cs="Arial"/>
                <w:sz w:val="18"/>
                <w:szCs w:val="20"/>
                <w:lang w:val="bg-BG"/>
              </w:rPr>
            </w:pPr>
            <w:r w:rsidRPr="009072DA">
              <w:rPr>
                <w:sz w:val="18"/>
                <w:lang w:val="bg-BG"/>
              </w:rPr>
              <w:t>15.</w:t>
            </w:r>
          </w:p>
        </w:tc>
        <w:tc>
          <w:tcPr>
            <w:tcW w:w="8904" w:type="dxa"/>
            <w:gridSpan w:val="11"/>
            <w:tcBorders>
              <w:top w:val="single" w:sz="6" w:space="0" w:color="auto"/>
              <w:right w:val="single" w:sz="6" w:space="0" w:color="auto"/>
            </w:tcBorders>
          </w:tcPr>
          <w:p w:rsidR="009C13A9" w:rsidRPr="009072DA" w:rsidRDefault="009C13A9" w:rsidP="009C13A9">
            <w:pPr>
              <w:tabs>
                <w:tab w:val="left" w:pos="57"/>
                <w:tab w:val="left" w:pos="340"/>
                <w:tab w:val="left" w:leader="dot" w:pos="8505"/>
              </w:tabs>
              <w:overflowPunct w:val="0"/>
              <w:adjustRightInd w:val="0"/>
              <w:spacing w:before="80"/>
              <w:ind w:left="57" w:right="113" w:hanging="57"/>
              <w:textAlignment w:val="baseline"/>
              <w:rPr>
                <w:rFonts w:cs="Arial"/>
                <w:sz w:val="18"/>
                <w:szCs w:val="20"/>
                <w:lang w:val="bg-BG"/>
              </w:rPr>
            </w:pPr>
            <w:r w:rsidRPr="009072DA">
              <w:rPr>
                <w:lang w:val="bg-BG"/>
              </w:rPr>
              <w:tab/>
              <w:t>Разрешени формирования</w:t>
            </w:r>
            <w:r w:rsidRPr="009072DA">
              <w:rPr>
                <w:lang w:val="bg-BG"/>
              </w:rPr>
              <w:br/>
              <w:t>1.</w:t>
            </w:r>
            <w:r w:rsidRPr="009072DA">
              <w:rPr>
                <w:lang w:val="bg-BG"/>
              </w:rPr>
              <w:tab/>
              <w:t>Плавателното средство има разрешение да задвижва следните формирования:</w:t>
            </w:r>
          </w:p>
        </w:tc>
      </w:tr>
      <w:tr w:rsidR="009C13A9" w:rsidRPr="008D2440" w:rsidTr="009C13A9">
        <w:trPr>
          <w:cantSplit/>
          <w:jc w:val="center"/>
        </w:trPr>
        <w:tc>
          <w:tcPr>
            <w:tcW w:w="284" w:type="dxa"/>
            <w:tcBorders>
              <w:left w:val="single" w:sz="6"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bg-BG"/>
              </w:rPr>
            </w:pPr>
          </w:p>
        </w:tc>
        <w:tc>
          <w:tcPr>
            <w:tcW w:w="567" w:type="dxa"/>
            <w:tcBorders>
              <w:top w:val="single" w:sz="6" w:space="0" w:color="auto"/>
              <w:left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bg-BG"/>
              </w:rPr>
            </w:pPr>
            <w:r w:rsidRPr="009072DA">
              <w:rPr>
                <w:sz w:val="16"/>
                <w:lang w:val="bg-BG"/>
              </w:rPr>
              <w:t>Схема на формированието</w:t>
            </w:r>
          </w:p>
        </w:tc>
        <w:tc>
          <w:tcPr>
            <w:tcW w:w="8167" w:type="dxa"/>
            <w:gridSpan w:val="9"/>
            <w:tcBorders>
              <w:top w:val="single" w:sz="6" w:space="0" w:color="auto"/>
              <w:left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bg-BG"/>
              </w:rPr>
            </w:pPr>
            <w:r w:rsidRPr="009072DA">
              <w:rPr>
                <w:sz w:val="18"/>
                <w:lang w:val="bg-BG"/>
              </w:rPr>
              <w:t>Ограничения, произтичащи от глави 5 и 21</w:t>
            </w:r>
          </w:p>
        </w:tc>
        <w:tc>
          <w:tcPr>
            <w:tcW w:w="170" w:type="dxa"/>
            <w:tcBorders>
              <w:left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bg-BG"/>
              </w:rPr>
            </w:pPr>
          </w:p>
        </w:tc>
        <w:tc>
          <w:tcPr>
            <w:tcW w:w="567" w:type="dxa"/>
            <w:tcBorders>
              <w:left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bg-BG"/>
              </w:rPr>
            </w:pPr>
          </w:p>
        </w:tc>
        <w:tc>
          <w:tcPr>
            <w:tcW w:w="1588" w:type="dxa"/>
            <w:gridSpan w:val="2"/>
            <w:tcBorders>
              <w:top w:val="single" w:sz="6" w:space="0" w:color="auto"/>
              <w:left w:val="single" w:sz="6"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bg-BG"/>
              </w:rPr>
            </w:pPr>
            <w:r w:rsidRPr="009072DA">
              <w:rPr>
                <w:sz w:val="18"/>
                <w:lang w:val="bg-BG"/>
              </w:rPr>
              <w:t>Максимални размери</w:t>
            </w:r>
          </w:p>
        </w:tc>
        <w:tc>
          <w:tcPr>
            <w:tcW w:w="3176" w:type="dxa"/>
            <w:gridSpan w:val="4"/>
            <w:tcBorders>
              <w:top w:val="single" w:sz="6" w:space="0" w:color="auto"/>
              <w:left w:val="single" w:sz="12"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bg-BG"/>
              </w:rPr>
            </w:pPr>
            <w:r w:rsidRPr="009072DA">
              <w:rPr>
                <w:sz w:val="18"/>
                <w:lang w:val="bg-BG"/>
              </w:rPr>
              <w:t>Посока на плаване и състояние на товара</w:t>
            </w:r>
          </w:p>
        </w:tc>
        <w:tc>
          <w:tcPr>
            <w:tcW w:w="1702" w:type="dxa"/>
            <w:gridSpan w:val="2"/>
            <w:tcBorders>
              <w:top w:val="single" w:sz="6" w:space="0" w:color="auto"/>
              <w:left w:val="single" w:sz="12" w:space="0" w:color="auto"/>
              <w:right w:val="single" w:sz="12" w:space="0" w:color="auto"/>
            </w:tcBorders>
          </w:tcPr>
          <w:p w:rsidR="009C13A9" w:rsidRPr="009072DA" w:rsidRDefault="009C13A9" w:rsidP="009C13A9">
            <w:pPr>
              <w:rPr>
                <w:lang w:val="bg-BG"/>
              </w:rPr>
            </w:pPr>
            <w:r w:rsidRPr="009072DA">
              <w:rPr>
                <w:lang w:val="bg-BG"/>
              </w:rPr>
              <w:t>Максимално живо сечение</w:t>
            </w:r>
          </w:p>
        </w:tc>
        <w:tc>
          <w:tcPr>
            <w:tcW w:w="1701" w:type="dxa"/>
            <w:tcBorders>
              <w:top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bg-BG"/>
              </w:rPr>
            </w:pPr>
          </w:p>
        </w:tc>
        <w:tc>
          <w:tcPr>
            <w:tcW w:w="170" w:type="dxa"/>
            <w:tcBorders>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bg-BG"/>
              </w:rPr>
            </w:pPr>
          </w:p>
        </w:tc>
        <w:tc>
          <w:tcPr>
            <w:tcW w:w="567" w:type="dxa"/>
            <w:tcBorders>
              <w:left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6"/>
                <w:szCs w:val="20"/>
                <w:lang w:val="bg-BG"/>
              </w:rPr>
            </w:pPr>
          </w:p>
        </w:tc>
        <w:tc>
          <w:tcPr>
            <w:tcW w:w="1588" w:type="dxa"/>
            <w:gridSpan w:val="2"/>
            <w:tcBorders>
              <w:left w:val="single" w:sz="6"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bg-BG"/>
              </w:rPr>
            </w:pPr>
            <w:r w:rsidRPr="009072DA">
              <w:rPr>
                <w:sz w:val="18"/>
                <w:lang w:val="bg-BG"/>
              </w:rPr>
              <w:t>m</w:t>
            </w:r>
          </w:p>
        </w:tc>
        <w:tc>
          <w:tcPr>
            <w:tcW w:w="1588" w:type="dxa"/>
            <w:gridSpan w:val="2"/>
            <w:tcBorders>
              <w:left w:val="single" w:sz="12"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bg-BG"/>
              </w:rPr>
            </w:pPr>
            <w:r w:rsidRPr="009072DA">
              <w:rPr>
                <w:sz w:val="18"/>
                <w:lang w:val="bg-BG"/>
              </w:rPr>
              <w:t>НАГОРЕ ПО ТЕЧЕНИЕТО</w:t>
            </w:r>
          </w:p>
        </w:tc>
        <w:tc>
          <w:tcPr>
            <w:tcW w:w="1588" w:type="dxa"/>
            <w:gridSpan w:val="2"/>
            <w:tcBorders>
              <w:left w:val="single" w:sz="12" w:space="0" w:color="auto"/>
              <w:right w:val="single" w:sz="12" w:space="0" w:color="auto"/>
            </w:tcBorders>
          </w:tcPr>
          <w:p w:rsidR="009C13A9" w:rsidRPr="009072DA" w:rsidRDefault="009C13A9" w:rsidP="009C13A9">
            <w:pPr>
              <w:rPr>
                <w:lang w:val="bg-BG"/>
              </w:rPr>
            </w:pPr>
            <w:r w:rsidRPr="009072DA">
              <w:rPr>
                <w:lang w:val="bg-BG"/>
              </w:rPr>
              <w:t>сечение в m²</w:t>
            </w:r>
          </w:p>
        </w:tc>
        <w:tc>
          <w:tcPr>
            <w:tcW w:w="1702" w:type="dxa"/>
            <w:gridSpan w:val="2"/>
            <w:tcBorders>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bg-BG"/>
              </w:rPr>
            </w:pPr>
            <w:r w:rsidRPr="009072DA">
              <w:rPr>
                <w:sz w:val="18"/>
                <w:lang w:val="bg-BG"/>
              </w:rPr>
              <w:t>maximale en m</w:t>
            </w:r>
            <w:r w:rsidRPr="009072DA">
              <w:rPr>
                <w:position w:val="6"/>
                <w:sz w:val="12"/>
                <w:lang w:val="bg-BG"/>
              </w:rPr>
              <w:t>2</w:t>
            </w:r>
          </w:p>
        </w:tc>
        <w:tc>
          <w:tcPr>
            <w:tcW w:w="1701" w:type="dxa"/>
            <w:tcBorders>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bg-BG"/>
              </w:rPr>
            </w:pPr>
            <w:r w:rsidRPr="009072DA">
              <w:rPr>
                <w:sz w:val="18"/>
                <w:lang w:val="bg-BG"/>
              </w:rPr>
              <w:t>Забележки</w:t>
            </w:r>
          </w:p>
        </w:tc>
        <w:tc>
          <w:tcPr>
            <w:tcW w:w="170" w:type="dxa"/>
            <w:tcBorders>
              <w:left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bg-BG"/>
              </w:rPr>
            </w:pPr>
          </w:p>
        </w:tc>
        <w:tc>
          <w:tcPr>
            <w:tcW w:w="567" w:type="dxa"/>
            <w:tcBorders>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6"/>
                <w:szCs w:val="20"/>
                <w:lang w:val="bg-BG"/>
              </w:rPr>
            </w:pPr>
            <w:r w:rsidRPr="009072DA">
              <w:rPr>
                <w:sz w:val="16"/>
                <w:lang w:val="bg-BG"/>
              </w:rPr>
              <w:t>Номер</w:t>
            </w:r>
          </w:p>
        </w:tc>
        <w:tc>
          <w:tcPr>
            <w:tcW w:w="794" w:type="dxa"/>
            <w:tcBorders>
              <w:left w:val="single" w:sz="6" w:space="0" w:color="auto"/>
              <w:bottom w:val="single" w:sz="6" w:space="0" w:color="auto"/>
              <w:right w:val="single" w:sz="6" w:space="0" w:color="auto"/>
            </w:tcBorders>
          </w:tcPr>
          <w:p w:rsidR="009C13A9" w:rsidRPr="009072DA" w:rsidRDefault="009C13A9" w:rsidP="009C13A9">
            <w:pPr>
              <w:rPr>
                <w:lang w:val="bg-BG"/>
              </w:rPr>
            </w:pPr>
            <w:r w:rsidRPr="009072DA">
              <w:rPr>
                <w:lang w:val="bg-BG"/>
              </w:rPr>
              <w:t>дължина</w:t>
            </w:r>
          </w:p>
        </w:tc>
        <w:tc>
          <w:tcPr>
            <w:tcW w:w="794" w:type="dxa"/>
            <w:tcBorders>
              <w:left w:val="single" w:sz="6" w:space="0" w:color="auto"/>
              <w:bottom w:val="single" w:sz="6" w:space="0" w:color="auto"/>
            </w:tcBorders>
          </w:tcPr>
          <w:p w:rsidR="009C13A9" w:rsidRPr="009072DA" w:rsidRDefault="009C13A9" w:rsidP="009C13A9">
            <w:pPr>
              <w:rPr>
                <w:lang w:val="bg-BG"/>
              </w:rPr>
            </w:pPr>
            <w:r w:rsidRPr="009072DA">
              <w:rPr>
                <w:lang w:val="bg-BG"/>
              </w:rPr>
              <w:t>ширина</w:t>
            </w:r>
          </w:p>
        </w:tc>
        <w:tc>
          <w:tcPr>
            <w:tcW w:w="794" w:type="dxa"/>
            <w:tcBorders>
              <w:left w:val="single" w:sz="12" w:space="0" w:color="auto"/>
              <w:bottom w:val="single" w:sz="6" w:space="0" w:color="auto"/>
              <w:right w:val="single" w:sz="6" w:space="0" w:color="auto"/>
            </w:tcBorders>
          </w:tcPr>
          <w:p w:rsidR="009C13A9" w:rsidRPr="009072DA" w:rsidRDefault="009C13A9" w:rsidP="009C13A9">
            <w:pPr>
              <w:rPr>
                <w:lang w:val="bg-BG"/>
              </w:rPr>
            </w:pPr>
            <w:r w:rsidRPr="009072DA">
              <w:rPr>
                <w:lang w:val="bg-BG"/>
              </w:rPr>
              <w:t>с товар t</w:t>
            </w:r>
          </w:p>
        </w:tc>
        <w:tc>
          <w:tcPr>
            <w:tcW w:w="794" w:type="dxa"/>
            <w:tcBorders>
              <w:left w:val="single" w:sz="6" w:space="0" w:color="auto"/>
              <w:bottom w:val="single" w:sz="6" w:space="0" w:color="auto"/>
              <w:right w:val="single" w:sz="12" w:space="0" w:color="auto"/>
            </w:tcBorders>
          </w:tcPr>
          <w:p w:rsidR="009C13A9" w:rsidRPr="009072DA" w:rsidRDefault="009C13A9" w:rsidP="009C13A9">
            <w:pPr>
              <w:rPr>
                <w:lang w:val="bg-BG"/>
              </w:rPr>
            </w:pPr>
            <w:r w:rsidRPr="009072DA">
              <w:rPr>
                <w:lang w:val="bg-BG"/>
              </w:rPr>
              <w:t>празно</w:t>
            </w:r>
          </w:p>
        </w:tc>
        <w:tc>
          <w:tcPr>
            <w:tcW w:w="794" w:type="dxa"/>
            <w:tcBorders>
              <w:bottom w:val="single" w:sz="6" w:space="0" w:color="auto"/>
              <w:right w:val="single" w:sz="6" w:space="0" w:color="auto"/>
            </w:tcBorders>
          </w:tcPr>
          <w:p w:rsidR="009C13A9" w:rsidRPr="009072DA" w:rsidRDefault="009C13A9" w:rsidP="009C13A9">
            <w:pPr>
              <w:rPr>
                <w:lang w:val="bg-BG"/>
              </w:rPr>
            </w:pPr>
            <w:r w:rsidRPr="009072DA">
              <w:rPr>
                <w:lang w:val="bg-BG"/>
              </w:rPr>
              <w:t>с товар t</w:t>
            </w:r>
          </w:p>
        </w:tc>
        <w:tc>
          <w:tcPr>
            <w:tcW w:w="794" w:type="dxa"/>
            <w:tcBorders>
              <w:left w:val="single" w:sz="6" w:space="0" w:color="auto"/>
              <w:bottom w:val="single" w:sz="6" w:space="0" w:color="auto"/>
            </w:tcBorders>
          </w:tcPr>
          <w:p w:rsidR="009C13A9" w:rsidRPr="009072DA" w:rsidRDefault="009C13A9" w:rsidP="009C13A9">
            <w:pPr>
              <w:rPr>
                <w:lang w:val="bg-BG"/>
              </w:rPr>
            </w:pPr>
            <w:r w:rsidRPr="009072DA">
              <w:rPr>
                <w:lang w:val="bg-BG"/>
              </w:rPr>
              <w:t>празно</w:t>
            </w:r>
          </w:p>
        </w:tc>
        <w:tc>
          <w:tcPr>
            <w:tcW w:w="851" w:type="dxa"/>
            <w:tcBorders>
              <w:left w:val="single" w:sz="12" w:space="0" w:color="auto"/>
              <w:bottom w:val="single" w:sz="6" w:space="0" w:color="auto"/>
              <w:right w:val="single" w:sz="6" w:space="0" w:color="auto"/>
            </w:tcBorders>
          </w:tcPr>
          <w:p w:rsidR="009C13A9" w:rsidRPr="009072DA" w:rsidRDefault="009C13A9" w:rsidP="009C13A9">
            <w:pPr>
              <w:rPr>
                <w:lang w:val="bg-BG"/>
              </w:rPr>
            </w:pPr>
            <w:r w:rsidRPr="009072DA">
              <w:rPr>
                <w:lang w:val="bg-BG"/>
              </w:rPr>
              <w:t>нагоре</w:t>
            </w:r>
          </w:p>
        </w:tc>
        <w:tc>
          <w:tcPr>
            <w:tcW w:w="851" w:type="dxa"/>
            <w:tcBorders>
              <w:left w:val="single" w:sz="6" w:space="0" w:color="auto"/>
              <w:bottom w:val="single" w:sz="6" w:space="0" w:color="auto"/>
              <w:right w:val="single" w:sz="12" w:space="0" w:color="auto"/>
            </w:tcBorders>
          </w:tcPr>
          <w:p w:rsidR="009C13A9" w:rsidRPr="009072DA" w:rsidRDefault="009C13A9" w:rsidP="009C13A9">
            <w:pPr>
              <w:rPr>
                <w:lang w:val="bg-BG"/>
              </w:rPr>
            </w:pPr>
            <w:r w:rsidRPr="009072DA">
              <w:rPr>
                <w:lang w:val="bg-BG"/>
              </w:rPr>
              <w:t>надолу</w:t>
            </w:r>
          </w:p>
        </w:tc>
        <w:tc>
          <w:tcPr>
            <w:tcW w:w="1701" w:type="dxa"/>
            <w:tcBorders>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bg-BG"/>
              </w:rPr>
            </w:pPr>
          </w:p>
        </w:tc>
        <w:tc>
          <w:tcPr>
            <w:tcW w:w="170" w:type="dxa"/>
            <w:tcBorders>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c>
          <w:tcPr>
            <w:tcW w:w="56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6"/>
                <w:szCs w:val="20"/>
                <w:lang w:val="bg-BG"/>
              </w:rPr>
            </w:pPr>
          </w:p>
        </w:tc>
        <w:tc>
          <w:tcPr>
            <w:tcW w:w="79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12"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12"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6" w:space="0" w:color="auto"/>
              <w:bottom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1" w:type="dxa"/>
            <w:tcBorders>
              <w:top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 w:type="dxa"/>
            <w:tcBorders>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c>
          <w:tcPr>
            <w:tcW w:w="56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6"/>
                <w:szCs w:val="20"/>
                <w:lang w:val="bg-BG"/>
              </w:rPr>
            </w:pPr>
          </w:p>
        </w:tc>
        <w:tc>
          <w:tcPr>
            <w:tcW w:w="79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12"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12"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6" w:space="0" w:color="auto"/>
              <w:bottom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1" w:type="dxa"/>
            <w:tcBorders>
              <w:top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 w:type="dxa"/>
            <w:tcBorders>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c>
          <w:tcPr>
            <w:tcW w:w="56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6"/>
                <w:szCs w:val="20"/>
                <w:lang w:val="bg-BG"/>
              </w:rPr>
            </w:pPr>
          </w:p>
        </w:tc>
        <w:tc>
          <w:tcPr>
            <w:tcW w:w="79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12"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12"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6" w:space="0" w:color="auto"/>
              <w:bottom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1" w:type="dxa"/>
            <w:tcBorders>
              <w:top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 w:type="dxa"/>
            <w:tcBorders>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c>
          <w:tcPr>
            <w:tcW w:w="56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6"/>
                <w:szCs w:val="20"/>
                <w:lang w:val="bg-BG"/>
              </w:rPr>
            </w:pPr>
          </w:p>
        </w:tc>
        <w:tc>
          <w:tcPr>
            <w:tcW w:w="79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12"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12"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6" w:space="0" w:color="auto"/>
              <w:bottom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1" w:type="dxa"/>
            <w:tcBorders>
              <w:top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 w:type="dxa"/>
            <w:tcBorders>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c>
          <w:tcPr>
            <w:tcW w:w="56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6"/>
                <w:szCs w:val="20"/>
                <w:lang w:val="bg-BG"/>
              </w:rPr>
            </w:pPr>
          </w:p>
        </w:tc>
        <w:tc>
          <w:tcPr>
            <w:tcW w:w="79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12"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12"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6" w:space="0" w:color="auto"/>
              <w:bottom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1" w:type="dxa"/>
            <w:tcBorders>
              <w:top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 w:type="dxa"/>
            <w:tcBorders>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c>
          <w:tcPr>
            <w:tcW w:w="56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6"/>
                <w:szCs w:val="20"/>
                <w:lang w:val="bg-BG"/>
              </w:rPr>
            </w:pPr>
          </w:p>
        </w:tc>
        <w:tc>
          <w:tcPr>
            <w:tcW w:w="79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12"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12"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6" w:space="0" w:color="auto"/>
              <w:bottom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1" w:type="dxa"/>
            <w:tcBorders>
              <w:top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 w:type="dxa"/>
            <w:tcBorders>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c>
          <w:tcPr>
            <w:tcW w:w="56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6"/>
                <w:szCs w:val="20"/>
                <w:lang w:val="bg-BG"/>
              </w:rPr>
            </w:pPr>
          </w:p>
        </w:tc>
        <w:tc>
          <w:tcPr>
            <w:tcW w:w="79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12"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12"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6" w:space="0" w:color="auto"/>
              <w:bottom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1" w:type="dxa"/>
            <w:tcBorders>
              <w:top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 w:type="dxa"/>
            <w:tcBorders>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c>
          <w:tcPr>
            <w:tcW w:w="56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6"/>
                <w:szCs w:val="20"/>
                <w:lang w:val="bg-BG"/>
              </w:rPr>
            </w:pPr>
          </w:p>
        </w:tc>
        <w:tc>
          <w:tcPr>
            <w:tcW w:w="79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12"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12"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6" w:space="0" w:color="auto"/>
              <w:bottom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1" w:type="dxa"/>
            <w:tcBorders>
              <w:top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 w:type="dxa"/>
            <w:tcBorders>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c>
          <w:tcPr>
            <w:tcW w:w="567" w:type="dxa"/>
            <w:tcBorders>
              <w:top w:val="single" w:sz="6" w:space="0" w:color="auto"/>
              <w:left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6"/>
                <w:szCs w:val="20"/>
                <w:lang w:val="bg-BG"/>
              </w:rPr>
            </w:pPr>
          </w:p>
        </w:tc>
        <w:tc>
          <w:tcPr>
            <w:tcW w:w="794" w:type="dxa"/>
            <w:tcBorders>
              <w:top w:val="single" w:sz="6" w:space="0" w:color="auto"/>
              <w:left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12"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12"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1" w:type="dxa"/>
            <w:tcBorders>
              <w:top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 w:type="dxa"/>
            <w:tcBorders>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c>
          <w:tcPr>
            <w:tcW w:w="56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6"/>
                <w:szCs w:val="20"/>
                <w:lang w:val="bg-BG"/>
              </w:rPr>
            </w:pPr>
          </w:p>
        </w:tc>
        <w:tc>
          <w:tcPr>
            <w:tcW w:w="79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12"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794" w:type="dxa"/>
            <w:tcBorders>
              <w:top w:val="single" w:sz="6" w:space="0" w:color="auto"/>
              <w:left w:val="single" w:sz="6" w:space="0" w:color="auto"/>
              <w:bottom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12"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851" w:type="dxa"/>
            <w:tcBorders>
              <w:top w:val="single" w:sz="6" w:space="0" w:color="auto"/>
              <w:left w:val="single" w:sz="6" w:space="0" w:color="auto"/>
              <w:bottom w:val="single" w:sz="6" w:space="0" w:color="auto"/>
              <w:right w:val="single" w:sz="12"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1" w:type="dxa"/>
            <w:tcBorders>
              <w:top w:val="single" w:sz="6" w:space="0" w:color="auto"/>
              <w:bottom w:val="single" w:sz="6" w:space="0" w:color="auto"/>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bg-BG"/>
              </w:rPr>
            </w:pPr>
          </w:p>
        </w:tc>
        <w:tc>
          <w:tcPr>
            <w:tcW w:w="170" w:type="dxa"/>
            <w:tcBorders>
              <w:right w:val="single" w:sz="6" w:space="0" w:color="auto"/>
            </w:tcBorders>
          </w:tcPr>
          <w:p w:rsidR="009C13A9" w:rsidRPr="009072DA" w:rsidRDefault="009C13A9" w:rsidP="009C13A9">
            <w:pPr>
              <w:tabs>
                <w:tab w:val="left" w:pos="113"/>
                <w:tab w:val="left" w:pos="567"/>
                <w:tab w:val="left" w:pos="851"/>
                <w:tab w:val="left" w:pos="1247"/>
              </w:tabs>
              <w:overflowPunct w:val="0"/>
              <w:adjustRightInd w:val="0"/>
              <w:textAlignment w:val="baseline"/>
              <w:rPr>
                <w:rFonts w:cs="Arial"/>
                <w:sz w:val="18"/>
                <w:szCs w:val="20"/>
                <w:lang w:val="bg-BG"/>
              </w:rPr>
            </w:pPr>
          </w:p>
        </w:tc>
      </w:tr>
      <w:tr w:rsidR="009C13A9" w:rsidRPr="008D2440"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8904" w:type="dxa"/>
            <w:gridSpan w:val="11"/>
            <w:tcBorders>
              <w:right w:val="single" w:sz="6" w:space="0" w:color="auto"/>
            </w:tcBorders>
          </w:tcPr>
          <w:p w:rsidR="009C13A9" w:rsidRPr="009072DA" w:rsidRDefault="009C13A9" w:rsidP="009C13A9">
            <w:pPr>
              <w:tabs>
                <w:tab w:val="left" w:pos="57"/>
                <w:tab w:val="left" w:pos="340"/>
                <w:tab w:val="left" w:leader="dot" w:pos="8505"/>
              </w:tabs>
              <w:overflowPunct w:val="0"/>
              <w:adjustRightInd w:val="0"/>
              <w:ind w:left="57" w:right="113" w:hanging="57"/>
              <w:textAlignment w:val="baseline"/>
              <w:rPr>
                <w:rFonts w:cs="Arial"/>
                <w:sz w:val="8"/>
                <w:szCs w:val="20"/>
                <w:lang w:val="bg-BG"/>
              </w:rPr>
            </w:pPr>
          </w:p>
          <w:p w:rsidR="009C13A9" w:rsidRPr="009072DA" w:rsidRDefault="009C13A9" w:rsidP="009C13A9">
            <w:pPr>
              <w:tabs>
                <w:tab w:val="left" w:pos="57"/>
                <w:tab w:val="left" w:pos="340"/>
                <w:tab w:val="left" w:leader="dot" w:pos="8505"/>
              </w:tabs>
              <w:overflowPunct w:val="0"/>
              <w:adjustRightInd w:val="0"/>
              <w:spacing w:before="120"/>
              <w:ind w:left="57" w:right="113" w:hanging="57"/>
              <w:textAlignment w:val="baseline"/>
              <w:rPr>
                <w:rFonts w:cs="Arial"/>
                <w:sz w:val="18"/>
                <w:szCs w:val="20"/>
                <w:lang w:val="bg-BG"/>
              </w:rPr>
            </w:pPr>
            <w:r w:rsidRPr="009072DA">
              <w:rPr>
                <w:lang w:val="bg-BG"/>
              </w:rPr>
              <w:tab/>
            </w:r>
            <w:r w:rsidRPr="009072DA">
              <w:rPr>
                <w:noProof/>
                <w:szCs w:val="20"/>
                <w:lang w:eastAsia="en-GB"/>
              </w:rPr>
              <w:drawing>
                <wp:inline distT="0" distB="0" distL="0" distR="0" wp14:anchorId="4CEF8BB7" wp14:editId="1CCFCCD1">
                  <wp:extent cx="5133975" cy="3162300"/>
                  <wp:effectExtent l="0" t="0" r="9525"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133975" cy="3162300"/>
                          </a:xfrm>
                          <a:prstGeom prst="rect">
                            <a:avLst/>
                          </a:prstGeom>
                          <a:noFill/>
                          <a:ln>
                            <a:noFill/>
                          </a:ln>
                        </pic:spPr>
                      </pic:pic>
                    </a:graphicData>
                  </a:graphic>
                </wp:inline>
              </w:drawing>
            </w:r>
          </w:p>
          <w:p w:rsidR="009C13A9" w:rsidRPr="009072DA" w:rsidRDefault="009C13A9" w:rsidP="009C13A9">
            <w:pPr>
              <w:tabs>
                <w:tab w:val="left" w:pos="57"/>
                <w:tab w:val="left" w:pos="340"/>
                <w:tab w:val="left" w:leader="dot" w:pos="8505"/>
              </w:tabs>
              <w:overflowPunct w:val="0"/>
              <w:adjustRightInd w:val="0"/>
              <w:ind w:left="57" w:right="113" w:hanging="57"/>
              <w:textAlignment w:val="baseline"/>
              <w:rPr>
                <w:rFonts w:cs="Arial"/>
                <w:sz w:val="6"/>
                <w:szCs w:val="20"/>
                <w:lang w:val="bg-BG"/>
              </w:rPr>
            </w:pPr>
          </w:p>
          <w:p w:rsidR="009C13A9" w:rsidRPr="009072DA" w:rsidRDefault="009C13A9" w:rsidP="009C13A9">
            <w:pPr>
              <w:pBdr>
                <w:left w:val="single" w:sz="6" w:space="1" w:color="auto"/>
                <w:right w:val="single" w:sz="6" w:space="1" w:color="auto"/>
              </w:pBdr>
              <w:tabs>
                <w:tab w:val="left" w:pos="341"/>
              </w:tabs>
              <w:overflowPunct w:val="0"/>
              <w:adjustRightInd w:val="0"/>
              <w:textAlignment w:val="baseline"/>
              <w:rPr>
                <w:rFonts w:cs="Arial"/>
                <w:szCs w:val="20"/>
                <w:lang w:val="bg-BG"/>
              </w:rPr>
            </w:pPr>
            <w:r w:rsidRPr="009072DA">
              <w:rPr>
                <w:lang w:val="bg-BG"/>
              </w:rPr>
              <w:t>2.</w:t>
            </w:r>
            <w:r w:rsidRPr="009072DA">
              <w:rPr>
                <w:lang w:val="bg-BG"/>
              </w:rPr>
              <w:tab/>
              <w:t xml:space="preserve">Съединения: </w:t>
            </w:r>
          </w:p>
          <w:p w:rsidR="009C13A9" w:rsidRPr="009072DA" w:rsidRDefault="009C13A9" w:rsidP="009C13A9">
            <w:pPr>
              <w:pBdr>
                <w:right w:val="single" w:sz="6" w:space="1" w:color="auto"/>
              </w:pBdr>
              <w:tabs>
                <w:tab w:val="left" w:pos="341"/>
                <w:tab w:val="left" w:leader="dot" w:pos="3969"/>
                <w:tab w:val="left" w:pos="4168"/>
                <w:tab w:val="left" w:leader="dot" w:pos="8505"/>
              </w:tabs>
              <w:overflowPunct w:val="0"/>
              <w:adjustRightInd w:val="0"/>
              <w:ind w:left="341"/>
              <w:textAlignment w:val="baseline"/>
              <w:rPr>
                <w:rFonts w:cs="Arial"/>
                <w:szCs w:val="20"/>
                <w:lang w:val="bg-BG"/>
              </w:rPr>
            </w:pPr>
            <w:r w:rsidRPr="009072DA">
              <w:rPr>
                <w:lang w:val="bg-BG"/>
              </w:rPr>
              <w:t xml:space="preserve">Тип на съединенията: </w:t>
            </w:r>
            <w:r w:rsidRPr="009072DA">
              <w:rPr>
                <w:lang w:val="bg-BG"/>
              </w:rPr>
              <w:tab/>
            </w:r>
            <w:r w:rsidRPr="009072DA">
              <w:rPr>
                <w:lang w:val="bg-BG"/>
              </w:rPr>
              <w:tab/>
              <w:t xml:space="preserve">Брой на съединенията за страна: </w:t>
            </w:r>
            <w:r w:rsidRPr="009072DA">
              <w:rPr>
                <w:lang w:val="bg-BG"/>
              </w:rPr>
              <w:tab/>
            </w:r>
          </w:p>
          <w:p w:rsidR="009C13A9" w:rsidRPr="009072DA" w:rsidRDefault="009C13A9" w:rsidP="009C13A9">
            <w:pPr>
              <w:pBdr>
                <w:right w:val="single" w:sz="6" w:space="1" w:color="auto"/>
              </w:pBdr>
              <w:tabs>
                <w:tab w:val="left" w:pos="397"/>
                <w:tab w:val="left" w:leader="dot" w:pos="3969"/>
                <w:tab w:val="left" w:pos="4168"/>
                <w:tab w:val="left" w:leader="dot" w:pos="8505"/>
              </w:tabs>
              <w:overflowPunct w:val="0"/>
              <w:adjustRightInd w:val="0"/>
              <w:ind w:left="341"/>
              <w:textAlignment w:val="baseline"/>
              <w:rPr>
                <w:rFonts w:cs="Arial"/>
                <w:szCs w:val="20"/>
                <w:lang w:val="bg-BG"/>
              </w:rPr>
            </w:pPr>
            <w:r w:rsidRPr="009072DA">
              <w:rPr>
                <w:lang w:val="bg-BG"/>
              </w:rPr>
              <w:t xml:space="preserve">Брой на съединителните въжета: </w:t>
            </w:r>
            <w:r w:rsidRPr="009072DA">
              <w:rPr>
                <w:lang w:val="bg-BG"/>
              </w:rPr>
              <w:tab/>
            </w:r>
            <w:r w:rsidRPr="009072DA">
              <w:rPr>
                <w:lang w:val="bg-BG"/>
              </w:rPr>
              <w:tab/>
              <w:t>Дължина на всяко съединително въже:</w:t>
            </w:r>
            <w:r w:rsidRPr="009072DA">
              <w:rPr>
                <w:lang w:val="bg-BG"/>
              </w:rPr>
              <w:tab/>
            </w:r>
          </w:p>
          <w:p w:rsidR="009C13A9" w:rsidRPr="009072DA" w:rsidRDefault="009C13A9" w:rsidP="009C13A9">
            <w:pPr>
              <w:pBdr>
                <w:right w:val="single" w:sz="6" w:space="1" w:color="auto"/>
              </w:pBdr>
              <w:tabs>
                <w:tab w:val="left" w:pos="397"/>
                <w:tab w:val="left" w:leader="dot" w:pos="3969"/>
                <w:tab w:val="left" w:leader="dot" w:pos="5670"/>
                <w:tab w:val="left" w:leader="dot" w:pos="8505"/>
              </w:tabs>
              <w:overflowPunct w:val="0"/>
              <w:adjustRightInd w:val="0"/>
              <w:ind w:left="341"/>
              <w:textAlignment w:val="baseline"/>
              <w:rPr>
                <w:rFonts w:cs="Arial"/>
                <w:szCs w:val="20"/>
                <w:lang w:val="bg-BG"/>
              </w:rPr>
            </w:pPr>
            <w:r w:rsidRPr="009072DA">
              <w:rPr>
                <w:lang w:val="bg-BG"/>
              </w:rPr>
              <w:t xml:space="preserve">Якост на опън за надлъжно съединение: </w:t>
            </w:r>
            <w:r w:rsidRPr="009072DA">
              <w:rPr>
                <w:lang w:val="bg-BG"/>
              </w:rPr>
              <w:tab/>
              <w:t xml:space="preserve"> kN</w:t>
            </w:r>
          </w:p>
          <w:p w:rsidR="009C13A9" w:rsidRPr="009072DA" w:rsidRDefault="009C13A9" w:rsidP="009C13A9">
            <w:pPr>
              <w:pBdr>
                <w:right w:val="single" w:sz="6" w:space="1" w:color="auto"/>
              </w:pBdr>
              <w:tabs>
                <w:tab w:val="left" w:pos="397"/>
                <w:tab w:val="left" w:leader="dot" w:pos="5670"/>
                <w:tab w:val="left" w:leader="dot" w:pos="8789"/>
              </w:tabs>
              <w:overflowPunct w:val="0"/>
              <w:adjustRightInd w:val="0"/>
              <w:ind w:left="341"/>
              <w:textAlignment w:val="baseline"/>
              <w:rPr>
                <w:rFonts w:cs="Arial"/>
                <w:szCs w:val="20"/>
                <w:lang w:val="bg-BG"/>
              </w:rPr>
            </w:pPr>
            <w:r w:rsidRPr="009072DA">
              <w:rPr>
                <w:lang w:val="bg-BG"/>
              </w:rPr>
              <w:t>Якост на опън за въже:</w:t>
            </w:r>
            <w:r w:rsidRPr="009072DA">
              <w:rPr>
                <w:lang w:val="bg-BG"/>
              </w:rPr>
              <w:tab/>
              <w:t xml:space="preserve"> kN</w:t>
            </w:r>
          </w:p>
          <w:p w:rsidR="009C13A9" w:rsidRPr="009072DA" w:rsidRDefault="009C13A9" w:rsidP="009C13A9">
            <w:pPr>
              <w:pBdr>
                <w:right w:val="single" w:sz="6" w:space="1" w:color="auto"/>
              </w:pBdr>
              <w:tabs>
                <w:tab w:val="left" w:pos="397"/>
                <w:tab w:val="left" w:leader="dot" w:pos="5670"/>
                <w:tab w:val="left" w:leader="dot" w:pos="8789"/>
              </w:tabs>
              <w:overflowPunct w:val="0"/>
              <w:adjustRightInd w:val="0"/>
              <w:ind w:left="341"/>
              <w:textAlignment w:val="baseline"/>
              <w:rPr>
                <w:rFonts w:cs="Arial"/>
                <w:sz w:val="18"/>
                <w:szCs w:val="20"/>
                <w:lang w:val="bg-BG"/>
              </w:rPr>
            </w:pPr>
            <w:r w:rsidRPr="009072DA">
              <w:rPr>
                <w:lang w:val="bg-BG"/>
              </w:rPr>
              <w:t xml:space="preserve">Брой на усукванията на въжетата: </w:t>
            </w:r>
            <w:r w:rsidRPr="009072DA">
              <w:rPr>
                <w:lang w:val="bg-BG"/>
              </w:rPr>
              <w:tab/>
              <w:t xml:space="preserve"> </w:t>
            </w:r>
          </w:p>
        </w:tc>
      </w:tr>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s>
              <w:overflowPunct w:val="0"/>
              <w:adjustRightInd w:val="0"/>
              <w:spacing w:before="80"/>
              <w:textAlignment w:val="baseline"/>
              <w:rPr>
                <w:rFonts w:cs="Arial"/>
                <w:sz w:val="18"/>
                <w:szCs w:val="20"/>
                <w:lang w:val="bg-BG"/>
              </w:rPr>
            </w:pPr>
            <w:r w:rsidRPr="009072DA">
              <w:rPr>
                <w:lang w:val="bg-BG"/>
              </w:rPr>
              <w:tab/>
            </w:r>
            <w:r w:rsidRPr="009072DA">
              <w:rPr>
                <w:sz w:val="18"/>
                <w:lang w:val="bg-BG"/>
              </w:rPr>
              <w:t>*)</w:t>
            </w:r>
            <w:r w:rsidRPr="009072DA">
              <w:rPr>
                <w:rFonts w:cs="Arial"/>
                <w:sz w:val="18"/>
                <w:szCs w:val="20"/>
                <w:lang w:val="bg-BG"/>
              </w:rPr>
              <w:br/>
            </w:r>
            <w:r w:rsidRPr="009072DA">
              <w:rPr>
                <w:rFonts w:cs="Arial"/>
                <w:sz w:val="18"/>
                <w:szCs w:val="20"/>
                <w:lang w:val="bg-BG"/>
              </w:rPr>
              <w:br/>
            </w:r>
          </w:p>
          <w:p w:rsidR="009C13A9" w:rsidRPr="009072DA" w:rsidRDefault="009C13A9" w:rsidP="009C13A9">
            <w:pPr>
              <w:tabs>
                <w:tab w:val="left" w:pos="57"/>
              </w:tabs>
              <w:overflowPunct w:val="0"/>
              <w:adjustRightInd w:val="0"/>
              <w:spacing w:before="80"/>
              <w:textAlignment w:val="baseline"/>
              <w:rPr>
                <w:rFonts w:cs="Arial"/>
                <w:sz w:val="18"/>
                <w:szCs w:val="20"/>
                <w:lang w:val="bg-BG"/>
              </w:rPr>
            </w:pPr>
          </w:p>
          <w:p w:rsidR="009C13A9" w:rsidRPr="009072DA" w:rsidRDefault="009C13A9" w:rsidP="009C13A9">
            <w:pPr>
              <w:tabs>
                <w:tab w:val="left" w:pos="57"/>
              </w:tabs>
              <w:overflowPunct w:val="0"/>
              <w:adjustRightInd w:val="0"/>
              <w:spacing w:before="160"/>
              <w:textAlignment w:val="baseline"/>
              <w:rPr>
                <w:rFonts w:cs="Arial"/>
                <w:sz w:val="18"/>
                <w:szCs w:val="20"/>
                <w:lang w:val="bg-BG"/>
              </w:rPr>
            </w:pPr>
            <w:r w:rsidRPr="009072DA">
              <w:rPr>
                <w:lang w:val="bg-BG"/>
              </w:rPr>
              <w:tab/>
            </w:r>
            <w:r w:rsidRPr="009072DA">
              <w:rPr>
                <w:sz w:val="18"/>
                <w:lang w:val="bg-BG"/>
              </w:rPr>
              <w:t>*)</w:t>
            </w:r>
          </w:p>
        </w:tc>
        <w:tc>
          <w:tcPr>
            <w:tcW w:w="8904" w:type="dxa"/>
            <w:gridSpan w:val="11"/>
            <w:tcBorders>
              <w:top w:val="single" w:sz="6" w:space="0" w:color="auto"/>
              <w:bottom w:val="single" w:sz="6" w:space="0" w:color="auto"/>
              <w:right w:val="single" w:sz="6" w:space="0" w:color="auto"/>
            </w:tcBorders>
          </w:tcPr>
          <w:p w:rsidR="009C13A9" w:rsidRPr="009072DA"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bg-BG"/>
              </w:rPr>
            </w:pPr>
            <w:r w:rsidRPr="009072DA">
              <w:rPr>
                <w:sz w:val="18"/>
                <w:lang w:val="bg-BG"/>
              </w:rPr>
              <w:t>Изменение на точка(и): ....................</w:t>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sz w:val="18"/>
                <w:lang w:val="bg-BG"/>
              </w:rPr>
              <w:t>Нов текст:</w:t>
            </w:r>
            <w:r w:rsidRPr="009072DA">
              <w:rPr>
                <w:lang w:val="bg-BG"/>
              </w:rPr>
              <w:tab/>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lang w:val="bg-BG"/>
              </w:rPr>
              <w:tab/>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lang w:val="bg-BG"/>
              </w:rPr>
              <w:tab/>
            </w:r>
          </w:p>
          <w:p w:rsidR="009C13A9" w:rsidRPr="009072D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bg-BG"/>
              </w:rPr>
            </w:pPr>
            <w:r w:rsidRPr="009072DA">
              <w:rPr>
                <w:sz w:val="18"/>
                <w:lang w:val="bg-BG"/>
              </w:rPr>
              <w:t>Тази страница е заменена.</w:t>
            </w:r>
          </w:p>
          <w:p w:rsidR="009C13A9" w:rsidRPr="009072D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bg-BG"/>
              </w:rPr>
            </w:pPr>
            <w:r w:rsidRPr="009072DA">
              <w:rPr>
                <w:sz w:val="18"/>
                <w:lang w:val="bg-BG"/>
              </w:rPr>
              <w:t xml:space="preserve">Място, дата </w:t>
            </w:r>
            <w:r w:rsidRPr="009072DA">
              <w:rPr>
                <w:lang w:val="bg-BG"/>
              </w:rPr>
              <w:tab/>
            </w:r>
            <w:r w:rsidRPr="009072DA">
              <w:rPr>
                <w:lang w:val="bg-BG"/>
              </w:rPr>
              <w:tab/>
            </w:r>
            <w:r w:rsidRPr="009072DA">
              <w:rPr>
                <w:sz w:val="18"/>
                <w:lang w:val="bg-BG"/>
              </w:rPr>
              <w:t>Контролен орган</w:t>
            </w:r>
          </w:p>
          <w:p w:rsidR="009C13A9" w:rsidRPr="009072DA" w:rsidRDefault="009C13A9" w:rsidP="009C13A9">
            <w:pPr>
              <w:tabs>
                <w:tab w:val="left" w:pos="5103"/>
                <w:tab w:val="left" w:leader="dot" w:pos="8505"/>
              </w:tabs>
              <w:overflowPunct w:val="0"/>
              <w:adjustRightInd w:val="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1701"/>
              </w:tabs>
              <w:overflowPunct w:val="0"/>
              <w:adjustRightInd w:val="0"/>
              <w:spacing w:after="80"/>
              <w:textAlignment w:val="baseline"/>
              <w:rPr>
                <w:rFonts w:cs="Arial"/>
                <w:sz w:val="18"/>
                <w:szCs w:val="20"/>
                <w:lang w:val="bg-BG"/>
              </w:rPr>
            </w:pPr>
            <w:r w:rsidRPr="009072DA">
              <w:rPr>
                <w:lang w:val="bg-BG"/>
              </w:rPr>
              <w:tab/>
            </w:r>
            <w:r w:rsidRPr="009072DA">
              <w:rPr>
                <w:sz w:val="18"/>
                <w:lang w:val="bg-BG"/>
              </w:rPr>
              <w:t>Печат</w:t>
            </w:r>
          </w:p>
          <w:p w:rsidR="009C13A9" w:rsidRPr="009072DA" w:rsidRDefault="009C13A9" w:rsidP="009C13A9">
            <w:pPr>
              <w:tabs>
                <w:tab w:val="left" w:pos="5103"/>
                <w:tab w:val="left" w:leader="dot" w:pos="8505"/>
              </w:tabs>
              <w:overflowPunct w:val="0"/>
              <w:adjustRightInd w:val="0"/>
              <w:textAlignment w:val="baseline"/>
              <w:rPr>
                <w:rFonts w:cs="Arial"/>
                <w:szCs w:val="20"/>
                <w:lang w:val="bg-BG"/>
              </w:rPr>
            </w:pPr>
            <w:r w:rsidRPr="009072DA">
              <w:rPr>
                <w:lang w:val="bg-BG"/>
              </w:rPr>
              <w:tab/>
            </w:r>
            <w:r w:rsidRPr="009072DA">
              <w:rPr>
                <w:lang w:val="bg-BG"/>
              </w:rPr>
              <w:tab/>
            </w:r>
          </w:p>
          <w:p w:rsidR="009C13A9" w:rsidRPr="009072DA" w:rsidRDefault="009C13A9" w:rsidP="009C13A9">
            <w:pPr>
              <w:tabs>
                <w:tab w:val="center" w:pos="6862"/>
              </w:tabs>
              <w:overflowPunct w:val="0"/>
              <w:adjustRightInd w:val="0"/>
              <w:textAlignment w:val="baseline"/>
              <w:rPr>
                <w:rFonts w:cs="Arial"/>
                <w:sz w:val="16"/>
                <w:szCs w:val="20"/>
                <w:lang w:val="bg-BG"/>
              </w:rPr>
            </w:pPr>
            <w:r w:rsidRPr="009072DA">
              <w:rPr>
                <w:lang w:val="bg-BG"/>
              </w:rPr>
              <w:tab/>
            </w:r>
            <w:r w:rsidRPr="009072DA">
              <w:rPr>
                <w:sz w:val="16"/>
                <w:lang w:val="bg-BG"/>
              </w:rPr>
              <w:t>(Подпис)</w:t>
            </w:r>
          </w:p>
          <w:p w:rsidR="009C13A9" w:rsidRPr="009072D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bg-BG"/>
              </w:rPr>
            </w:pPr>
            <w:r w:rsidRPr="009072DA">
              <w:rPr>
                <w:sz w:val="18"/>
                <w:lang w:val="bg-BG"/>
              </w:rPr>
              <w:t>_______________________</w:t>
            </w:r>
          </w:p>
          <w:p w:rsidR="009C13A9" w:rsidRPr="009072DA" w:rsidRDefault="009C13A9" w:rsidP="009C13A9">
            <w:pPr>
              <w:tabs>
                <w:tab w:val="left" w:pos="284"/>
              </w:tabs>
              <w:overflowPunct w:val="0"/>
              <w:adjustRightInd w:val="0"/>
              <w:spacing w:after="40"/>
              <w:ind w:left="57"/>
              <w:textAlignment w:val="baseline"/>
              <w:rPr>
                <w:rFonts w:cs="Arial"/>
                <w:sz w:val="18"/>
                <w:szCs w:val="20"/>
                <w:lang w:val="bg-BG"/>
              </w:rPr>
            </w:pPr>
            <w:r w:rsidRPr="009072DA">
              <w:rPr>
                <w:position w:val="4"/>
                <w:sz w:val="16"/>
                <w:lang w:val="bg-BG"/>
              </w:rPr>
              <w:t>*)</w:t>
            </w:r>
            <w:r w:rsidRPr="009072DA">
              <w:rPr>
                <w:lang w:val="bg-BG"/>
              </w:rPr>
              <w:tab/>
            </w:r>
            <w:r w:rsidRPr="009072DA">
              <w:rPr>
                <w:sz w:val="16"/>
                <w:lang w:val="bg-BG"/>
              </w:rPr>
              <w:t>Ненужното се зачерква</w:t>
            </w:r>
          </w:p>
        </w:tc>
      </w:tr>
    </w:tbl>
    <w:p w:rsidR="009C13A9" w:rsidRPr="009072DA" w:rsidRDefault="009C13A9" w:rsidP="00AA5614">
      <w:pPr>
        <w:tabs>
          <w:tab w:val="left" w:leader="dot" w:pos="2835"/>
          <w:tab w:val="left" w:leader="dot" w:pos="5103"/>
        </w:tabs>
        <w:overflowPunct w:val="0"/>
        <w:adjustRightInd w:val="0"/>
        <w:textAlignment w:val="baseline"/>
        <w:rPr>
          <w:rFonts w:cs="Arial"/>
          <w:szCs w:val="20"/>
          <w:lang w:val="bg-BG"/>
        </w:rPr>
      </w:pPr>
      <w:r w:rsidRPr="009072DA">
        <w:rPr>
          <w:lang w:val="bg-BG"/>
        </w:rPr>
        <w:br w:type="page"/>
      </w:r>
      <w:r w:rsidRPr="009072DA">
        <w:rPr>
          <w:lang w:val="bg-BG"/>
        </w:rPr>
        <w:lastRenderedPageBreak/>
        <w:t xml:space="preserve">Удостоверение на плавателния съд за плаване по вътрешни водни пътища № </w:t>
      </w:r>
      <w:r w:rsidRPr="009072DA">
        <w:rPr>
          <w:lang w:val="bg-BG"/>
        </w:rPr>
        <w:tab/>
        <w:t xml:space="preserve"> на контролния орган </w:t>
      </w:r>
      <w:r w:rsidRPr="009072DA">
        <w:rPr>
          <w:lang w:val="bg-BG"/>
        </w:rPr>
        <w:tab/>
      </w:r>
    </w:p>
    <w:tbl>
      <w:tblPr>
        <w:tblW w:w="9189" w:type="dxa"/>
        <w:jc w:val="center"/>
        <w:tblLayout w:type="fixed"/>
        <w:tblCellMar>
          <w:left w:w="0" w:type="dxa"/>
          <w:right w:w="0" w:type="dxa"/>
        </w:tblCellMar>
        <w:tblLook w:val="0000" w:firstRow="0" w:lastRow="0" w:firstColumn="0" w:lastColumn="0" w:noHBand="0" w:noVBand="0"/>
      </w:tblPr>
      <w:tblGrid>
        <w:gridCol w:w="284"/>
        <w:gridCol w:w="2014"/>
        <w:gridCol w:w="764"/>
        <w:gridCol w:w="1533"/>
        <w:gridCol w:w="1529"/>
        <w:gridCol w:w="768"/>
        <w:gridCol w:w="2297"/>
      </w:tblGrid>
      <w:tr w:rsidR="009C13A9" w:rsidRPr="008D2440" w:rsidTr="009C13A9">
        <w:trPr>
          <w:cantSplit/>
          <w:jc w:val="center"/>
        </w:trPr>
        <w:tc>
          <w:tcPr>
            <w:tcW w:w="284" w:type="dxa"/>
            <w:tcBorders>
              <w:top w:val="single" w:sz="6" w:space="0" w:color="auto"/>
              <w:left w:val="single" w:sz="6" w:space="0" w:color="auto"/>
            </w:tcBorders>
          </w:tcPr>
          <w:p w:rsidR="009C13A9" w:rsidRPr="009072DA" w:rsidRDefault="009C13A9" w:rsidP="009C13A9">
            <w:pPr>
              <w:tabs>
                <w:tab w:val="left" w:pos="57"/>
                <w:tab w:val="left" w:pos="227"/>
              </w:tabs>
              <w:overflowPunct w:val="0"/>
              <w:adjustRightInd w:val="0"/>
              <w:spacing w:before="80"/>
              <w:textAlignment w:val="baseline"/>
              <w:rPr>
                <w:rFonts w:cs="Arial"/>
                <w:sz w:val="18"/>
                <w:szCs w:val="20"/>
                <w:lang w:val="bg-BG"/>
              </w:rPr>
            </w:pPr>
            <w:r w:rsidRPr="009072DA">
              <w:rPr>
                <w:sz w:val="18"/>
                <w:lang w:val="bg-BG"/>
              </w:rPr>
              <w:t>16.</w:t>
            </w:r>
          </w:p>
        </w:tc>
        <w:tc>
          <w:tcPr>
            <w:tcW w:w="8905" w:type="dxa"/>
            <w:gridSpan w:val="6"/>
            <w:tcBorders>
              <w:top w:val="single" w:sz="6" w:space="0" w:color="auto"/>
              <w:right w:val="single" w:sz="6" w:space="0" w:color="auto"/>
            </w:tcBorders>
          </w:tcPr>
          <w:p w:rsidR="009C13A9" w:rsidRPr="009072DA" w:rsidRDefault="009C13A9" w:rsidP="009C13A9">
            <w:pPr>
              <w:tabs>
                <w:tab w:val="left" w:pos="57"/>
                <w:tab w:val="left" w:pos="340"/>
                <w:tab w:val="left" w:leader="dot" w:pos="2835"/>
                <w:tab w:val="left" w:leader="dot" w:pos="6804"/>
                <w:tab w:val="left" w:leader="dot" w:pos="8505"/>
              </w:tabs>
              <w:overflowPunct w:val="0"/>
              <w:adjustRightInd w:val="0"/>
              <w:spacing w:before="80"/>
              <w:textAlignment w:val="baseline"/>
              <w:rPr>
                <w:rFonts w:cs="Arial"/>
                <w:sz w:val="18"/>
                <w:szCs w:val="20"/>
                <w:lang w:val="bg-BG"/>
              </w:rPr>
            </w:pPr>
            <w:r w:rsidRPr="009072DA">
              <w:rPr>
                <w:lang w:val="bg-BG"/>
              </w:rPr>
              <w:tab/>
            </w:r>
            <w:r w:rsidRPr="009072DA">
              <w:rPr>
                <w:sz w:val="18"/>
                <w:lang w:val="bg-BG"/>
              </w:rPr>
              <w:t>Удостоверение за измерване №</w:t>
            </w:r>
            <w:r w:rsidRPr="009072DA">
              <w:rPr>
                <w:lang w:val="bg-BG"/>
              </w:rPr>
              <w:t xml:space="preserve"> </w:t>
            </w:r>
            <w:r w:rsidRPr="009072DA">
              <w:rPr>
                <w:lang w:val="bg-BG"/>
              </w:rPr>
              <w:tab/>
              <w:t xml:space="preserve"> на </w:t>
            </w:r>
            <w:r w:rsidRPr="009072DA">
              <w:rPr>
                <w:lang w:val="bg-BG"/>
              </w:rPr>
              <w:tab/>
              <w:t xml:space="preserve"> Служба за измерване от дата </w:t>
            </w:r>
            <w:r w:rsidRPr="009072DA">
              <w:rPr>
                <w:lang w:val="bg-BG"/>
              </w:rPr>
              <w:tab/>
            </w:r>
            <w:r w:rsidRPr="009072DA">
              <w:rPr>
                <w:rFonts w:cs="Arial"/>
                <w:sz w:val="18"/>
                <w:szCs w:val="20"/>
                <w:lang w:val="bg-BG"/>
              </w:rPr>
              <w:br/>
            </w:r>
            <w:r w:rsidRPr="009072DA">
              <w:rPr>
                <w:lang w:val="bg-BG"/>
              </w:rPr>
              <w:tab/>
            </w:r>
          </w:p>
        </w:tc>
      </w:tr>
      <w:tr w:rsidR="009C13A9" w:rsidRPr="009072DA"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s>
              <w:overflowPunct w:val="0"/>
              <w:adjustRightInd w:val="0"/>
              <w:spacing w:before="40"/>
              <w:textAlignment w:val="baseline"/>
              <w:rPr>
                <w:rFonts w:cs="Arial"/>
                <w:sz w:val="14"/>
                <w:szCs w:val="20"/>
                <w:lang w:val="bg-BG"/>
              </w:rPr>
            </w:pPr>
            <w:r w:rsidRPr="009072DA">
              <w:rPr>
                <w:sz w:val="14"/>
                <w:lang w:val="bg-BG"/>
              </w:rPr>
              <w:t>17a.</w:t>
            </w:r>
          </w:p>
          <w:p w:rsidR="009C13A9" w:rsidRPr="009072DA" w:rsidRDefault="009C13A9" w:rsidP="009C13A9">
            <w:pPr>
              <w:tabs>
                <w:tab w:val="left" w:pos="57"/>
              </w:tabs>
              <w:overflowPunct w:val="0"/>
              <w:adjustRightInd w:val="0"/>
              <w:spacing w:before="40"/>
              <w:textAlignment w:val="baseline"/>
              <w:rPr>
                <w:rFonts w:cs="Arial"/>
                <w:sz w:val="18"/>
                <w:szCs w:val="20"/>
                <w:lang w:val="bg-BG"/>
              </w:rPr>
            </w:pPr>
            <w:r w:rsidRPr="009072DA">
              <w:rPr>
                <w:sz w:val="14"/>
                <w:lang w:val="bg-BG"/>
              </w:rPr>
              <w:t>17</w:t>
            </w:r>
            <w:r w:rsidRPr="009072DA">
              <w:rPr>
                <w:sz w:val="12"/>
                <w:lang w:val="bg-BG"/>
              </w:rPr>
              <w:t>б.</w:t>
            </w:r>
          </w:p>
        </w:tc>
        <w:tc>
          <w:tcPr>
            <w:tcW w:w="2014" w:type="dxa"/>
            <w:tcBorders>
              <w:top w:val="single" w:sz="6" w:space="0" w:color="auto"/>
              <w:bottom w:val="single" w:sz="6" w:space="0" w:color="auto"/>
            </w:tcBorders>
          </w:tcPr>
          <w:p w:rsidR="009C13A9" w:rsidRPr="009072DA" w:rsidRDefault="009C13A9" w:rsidP="009C13A9">
            <w:pPr>
              <w:tabs>
                <w:tab w:val="left" w:pos="57"/>
                <w:tab w:val="left" w:pos="1758"/>
              </w:tabs>
              <w:overflowPunct w:val="0"/>
              <w:adjustRightInd w:val="0"/>
              <w:textAlignment w:val="baseline"/>
              <w:rPr>
                <w:rFonts w:cs="Arial"/>
                <w:sz w:val="18"/>
                <w:szCs w:val="20"/>
                <w:lang w:val="bg-BG"/>
              </w:rPr>
            </w:pPr>
            <w:r w:rsidRPr="009072DA">
              <w:rPr>
                <w:lang w:val="bg-BG"/>
              </w:rPr>
              <w:tab/>
            </w:r>
            <w:r w:rsidRPr="009072DA">
              <w:rPr>
                <w:sz w:val="18"/>
                <w:lang w:val="bg-BG"/>
              </w:rPr>
              <w:t>Обща дължина</w:t>
            </w:r>
            <w:r w:rsidRPr="009072DA">
              <w:rPr>
                <w:lang w:val="bg-BG"/>
              </w:rPr>
              <w:tab/>
            </w:r>
            <w:r w:rsidRPr="009072DA">
              <w:rPr>
                <w:sz w:val="18"/>
                <w:lang w:val="bg-BG"/>
              </w:rPr>
              <w:t>m</w:t>
            </w:r>
            <w:r w:rsidRPr="009072DA">
              <w:rPr>
                <w:rFonts w:cs="Arial"/>
                <w:sz w:val="18"/>
                <w:szCs w:val="20"/>
                <w:lang w:val="bg-BG"/>
              </w:rPr>
              <w:br/>
            </w:r>
            <w:r w:rsidRPr="009072DA">
              <w:rPr>
                <w:lang w:val="bg-BG"/>
              </w:rPr>
              <w:tab/>
            </w:r>
            <w:r w:rsidRPr="009072DA">
              <w:rPr>
                <w:sz w:val="18"/>
                <w:lang w:val="bg-BG"/>
              </w:rPr>
              <w:t>Дължина L</w:t>
            </w:r>
            <w:r w:rsidRPr="009072DA">
              <w:rPr>
                <w:lang w:val="bg-BG"/>
              </w:rPr>
              <w:tab/>
            </w:r>
            <w:r w:rsidRPr="009072DA">
              <w:rPr>
                <w:sz w:val="18"/>
                <w:lang w:val="bg-BG"/>
              </w:rPr>
              <w:t>m</w:t>
            </w:r>
            <w:r w:rsidRPr="009072DA">
              <w:rPr>
                <w:rFonts w:cs="Arial"/>
                <w:sz w:val="18"/>
                <w:szCs w:val="20"/>
                <w:lang w:val="bg-BG"/>
              </w:rPr>
              <w:br/>
            </w:r>
          </w:p>
        </w:tc>
        <w:tc>
          <w:tcPr>
            <w:tcW w:w="2297" w:type="dxa"/>
            <w:gridSpan w:val="2"/>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pos="454"/>
                <w:tab w:val="left" w:pos="1758"/>
              </w:tabs>
              <w:overflowPunct w:val="0"/>
              <w:adjustRightInd w:val="0"/>
              <w:textAlignment w:val="baseline"/>
              <w:rPr>
                <w:rFonts w:cs="Arial"/>
                <w:sz w:val="18"/>
                <w:szCs w:val="20"/>
                <w:lang w:val="bg-BG"/>
              </w:rPr>
            </w:pPr>
            <w:r w:rsidRPr="009072DA">
              <w:rPr>
                <w:lang w:val="bg-BG"/>
              </w:rPr>
              <w:tab/>
            </w:r>
            <w:r w:rsidRPr="009072DA">
              <w:rPr>
                <w:sz w:val="16"/>
                <w:lang w:val="bg-BG"/>
              </w:rPr>
              <w:t>18a.</w:t>
            </w:r>
            <w:r w:rsidRPr="009072DA">
              <w:rPr>
                <w:lang w:val="bg-BG"/>
              </w:rPr>
              <w:tab/>
            </w:r>
            <w:r w:rsidRPr="009072DA">
              <w:rPr>
                <w:sz w:val="18"/>
                <w:lang w:val="bg-BG"/>
              </w:rPr>
              <w:t>Обща ширина</w:t>
            </w:r>
            <w:r w:rsidRPr="009072DA">
              <w:rPr>
                <w:lang w:val="bg-BG"/>
              </w:rPr>
              <w:tab/>
            </w:r>
            <w:r w:rsidRPr="009072DA">
              <w:rPr>
                <w:sz w:val="18"/>
                <w:lang w:val="bg-BG"/>
              </w:rPr>
              <w:t>m</w:t>
            </w:r>
            <w:r w:rsidRPr="009072DA">
              <w:rPr>
                <w:rFonts w:cs="Arial"/>
                <w:position w:val="6"/>
                <w:sz w:val="16"/>
                <w:szCs w:val="20"/>
                <w:lang w:val="bg-BG"/>
              </w:rPr>
              <w:br/>
            </w:r>
            <w:r w:rsidRPr="009072DA">
              <w:rPr>
                <w:lang w:val="bg-BG"/>
              </w:rPr>
              <w:tab/>
            </w:r>
            <w:r w:rsidRPr="009072DA">
              <w:rPr>
                <w:sz w:val="16"/>
                <w:lang w:val="bg-BG"/>
              </w:rPr>
              <w:t>18б.</w:t>
            </w:r>
            <w:r w:rsidRPr="009072DA">
              <w:rPr>
                <w:lang w:val="bg-BG"/>
              </w:rPr>
              <w:tab/>
            </w:r>
            <w:r w:rsidRPr="009072DA">
              <w:rPr>
                <w:sz w:val="18"/>
                <w:lang w:val="bg-BG"/>
              </w:rPr>
              <w:t>Ширина В</w:t>
            </w:r>
            <w:r w:rsidRPr="009072DA">
              <w:rPr>
                <w:lang w:val="bg-BG"/>
              </w:rPr>
              <w:tab/>
            </w:r>
            <w:r w:rsidRPr="009072DA">
              <w:rPr>
                <w:sz w:val="18"/>
                <w:lang w:val="bg-BG"/>
              </w:rPr>
              <w:t>m</w:t>
            </w:r>
            <w:r w:rsidRPr="009072DA">
              <w:rPr>
                <w:rFonts w:cs="Arial"/>
                <w:sz w:val="16"/>
                <w:szCs w:val="20"/>
                <w:lang w:val="bg-BG"/>
              </w:rPr>
              <w:br/>
            </w:r>
          </w:p>
        </w:tc>
        <w:tc>
          <w:tcPr>
            <w:tcW w:w="2297" w:type="dxa"/>
            <w:gridSpan w:val="2"/>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pos="340"/>
                <w:tab w:val="left" w:pos="1985"/>
              </w:tabs>
              <w:overflowPunct w:val="0"/>
              <w:adjustRightInd w:val="0"/>
              <w:textAlignment w:val="baseline"/>
              <w:rPr>
                <w:rFonts w:cs="Arial"/>
                <w:sz w:val="18"/>
                <w:szCs w:val="20"/>
                <w:lang w:val="bg-BG"/>
              </w:rPr>
            </w:pPr>
            <w:r w:rsidRPr="009072DA">
              <w:rPr>
                <w:lang w:val="bg-BG"/>
              </w:rPr>
              <w:tab/>
            </w:r>
            <w:r w:rsidRPr="009072DA">
              <w:rPr>
                <w:sz w:val="16"/>
                <w:lang w:val="bg-BG"/>
              </w:rPr>
              <w:t>19a.</w:t>
            </w:r>
            <w:r w:rsidRPr="009072DA">
              <w:rPr>
                <w:lang w:val="bg-BG"/>
              </w:rPr>
              <w:t xml:space="preserve"> </w:t>
            </w:r>
            <w:r w:rsidRPr="009072DA">
              <w:rPr>
                <w:sz w:val="18"/>
                <w:lang w:val="bg-BG"/>
              </w:rPr>
              <w:t>Общо газене</w:t>
            </w:r>
            <w:r w:rsidRPr="009072DA">
              <w:rPr>
                <w:lang w:val="bg-BG"/>
              </w:rPr>
              <w:tab/>
            </w:r>
            <w:r w:rsidRPr="009072DA">
              <w:rPr>
                <w:sz w:val="18"/>
                <w:lang w:val="bg-BG"/>
              </w:rPr>
              <w:t>m</w:t>
            </w:r>
          </w:p>
          <w:p w:rsidR="009C13A9" w:rsidRPr="009072DA" w:rsidRDefault="009C13A9" w:rsidP="009C13A9">
            <w:pPr>
              <w:tabs>
                <w:tab w:val="left" w:pos="57"/>
                <w:tab w:val="left" w:pos="340"/>
                <w:tab w:val="left" w:pos="1985"/>
              </w:tabs>
              <w:overflowPunct w:val="0"/>
              <w:adjustRightInd w:val="0"/>
              <w:textAlignment w:val="baseline"/>
              <w:rPr>
                <w:rFonts w:cs="Arial"/>
                <w:sz w:val="18"/>
                <w:szCs w:val="20"/>
                <w:lang w:val="bg-BG"/>
              </w:rPr>
            </w:pPr>
            <w:r w:rsidRPr="009072DA">
              <w:rPr>
                <w:sz w:val="16"/>
                <w:lang w:val="bg-BG"/>
              </w:rPr>
              <w:t>19б.</w:t>
            </w:r>
            <w:r w:rsidRPr="009072DA">
              <w:rPr>
                <w:lang w:val="bg-BG"/>
              </w:rPr>
              <w:tab/>
            </w:r>
            <w:r w:rsidRPr="009072DA">
              <w:rPr>
                <w:sz w:val="18"/>
                <w:lang w:val="bg-BG"/>
              </w:rPr>
              <w:t>Газене Т</w:t>
            </w:r>
            <w:r w:rsidRPr="009072DA">
              <w:rPr>
                <w:lang w:val="bg-BG"/>
              </w:rPr>
              <w:tab/>
            </w:r>
            <w:r w:rsidRPr="009072DA">
              <w:rPr>
                <w:sz w:val="18"/>
                <w:lang w:val="bg-BG"/>
              </w:rPr>
              <w:t>m</w:t>
            </w:r>
          </w:p>
        </w:tc>
        <w:tc>
          <w:tcPr>
            <w:tcW w:w="2297" w:type="dxa"/>
            <w:tcBorders>
              <w:top w:val="single" w:sz="6" w:space="0" w:color="auto"/>
              <w:bottom w:val="single" w:sz="6" w:space="0" w:color="auto"/>
              <w:right w:val="single" w:sz="6" w:space="0" w:color="auto"/>
            </w:tcBorders>
          </w:tcPr>
          <w:p w:rsidR="009C13A9" w:rsidRPr="009072DA" w:rsidRDefault="009C13A9" w:rsidP="009C13A9">
            <w:pPr>
              <w:tabs>
                <w:tab w:val="left" w:pos="57"/>
                <w:tab w:val="left" w:pos="340"/>
                <w:tab w:val="left" w:pos="1758"/>
              </w:tabs>
              <w:overflowPunct w:val="0"/>
              <w:adjustRightInd w:val="0"/>
              <w:textAlignment w:val="baseline"/>
              <w:rPr>
                <w:rFonts w:cs="Arial"/>
                <w:sz w:val="18"/>
                <w:szCs w:val="20"/>
                <w:lang w:val="bg-BG"/>
              </w:rPr>
            </w:pPr>
            <w:r w:rsidRPr="009072DA">
              <w:rPr>
                <w:lang w:val="bg-BG"/>
              </w:rPr>
              <w:tab/>
            </w:r>
            <w:r w:rsidRPr="009072DA">
              <w:rPr>
                <w:sz w:val="18"/>
                <w:lang w:val="bg-BG"/>
              </w:rPr>
              <w:t>20.</w:t>
            </w:r>
            <w:r w:rsidRPr="009072DA">
              <w:rPr>
                <w:lang w:val="bg-BG"/>
              </w:rPr>
              <w:tab/>
            </w:r>
            <w:r w:rsidRPr="009072DA">
              <w:rPr>
                <w:sz w:val="18"/>
                <w:lang w:val="bg-BG"/>
              </w:rPr>
              <w:t>Надводен борд</w:t>
            </w:r>
            <w:r w:rsidRPr="009072DA">
              <w:rPr>
                <w:lang w:val="bg-BG"/>
              </w:rPr>
              <w:tab/>
            </w:r>
            <w:r w:rsidRPr="009072DA">
              <w:rPr>
                <w:sz w:val="18"/>
                <w:lang w:val="bg-BG"/>
              </w:rPr>
              <w:t>cm</w:t>
            </w:r>
            <w:r w:rsidRPr="009072DA">
              <w:rPr>
                <w:rFonts w:cs="Arial"/>
                <w:sz w:val="18"/>
                <w:szCs w:val="20"/>
                <w:lang w:val="bg-BG"/>
              </w:rPr>
              <w:br/>
            </w:r>
            <w:r w:rsidRPr="009072DA">
              <w:rPr>
                <w:rFonts w:cs="Arial"/>
                <w:sz w:val="18"/>
                <w:szCs w:val="20"/>
                <w:lang w:val="bg-BG"/>
              </w:rPr>
              <w:br/>
            </w:r>
            <w:r w:rsidRPr="009072DA">
              <w:rPr>
                <w:lang w:val="bg-BG"/>
              </w:rPr>
              <w:tab/>
            </w:r>
          </w:p>
        </w:tc>
      </w:tr>
      <w:tr w:rsidR="009C13A9" w:rsidRPr="008D2440"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 w:val="left" w:pos="227"/>
              </w:tabs>
              <w:overflowPunct w:val="0"/>
              <w:adjustRightInd w:val="0"/>
              <w:textAlignment w:val="baseline"/>
              <w:rPr>
                <w:rFonts w:cs="Arial"/>
                <w:sz w:val="18"/>
                <w:szCs w:val="20"/>
                <w:lang w:val="bg-BG"/>
              </w:rPr>
            </w:pPr>
            <w:r w:rsidRPr="009072DA">
              <w:rPr>
                <w:sz w:val="18"/>
                <w:lang w:val="bg-BG"/>
              </w:rPr>
              <w:t>21.</w:t>
            </w:r>
          </w:p>
        </w:tc>
        <w:tc>
          <w:tcPr>
            <w:tcW w:w="2778" w:type="dxa"/>
            <w:gridSpan w:val="2"/>
            <w:tcBorders>
              <w:bottom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 xml:space="preserve">Пълна товароподемност/Водоизместване </w:t>
            </w:r>
            <w:r w:rsidRPr="009072DA">
              <w:rPr>
                <w:position w:val="6"/>
                <w:sz w:val="16"/>
                <w:lang w:val="bg-BG"/>
              </w:rPr>
              <w:t>*)</w:t>
            </w:r>
            <w:r w:rsidRPr="009072DA">
              <w:rPr>
                <w:sz w:val="18"/>
                <w:lang w:val="bg-BG"/>
              </w:rPr>
              <w:t xml:space="preserve"> </w:t>
            </w:r>
            <w:r w:rsidRPr="009072DA">
              <w:rPr>
                <w:rFonts w:cs="Arial"/>
                <w:sz w:val="18"/>
                <w:szCs w:val="20"/>
                <w:lang w:val="bg-BG"/>
              </w:rPr>
              <w:br/>
            </w:r>
            <w:r w:rsidRPr="009072DA">
              <w:rPr>
                <w:rFonts w:cs="Arial"/>
                <w:sz w:val="18"/>
                <w:szCs w:val="20"/>
                <w:lang w:val="bg-BG"/>
              </w:rPr>
              <w:br/>
            </w:r>
            <w:r w:rsidRPr="009072DA">
              <w:rPr>
                <w:lang w:val="bg-BG"/>
              </w:rPr>
              <w:tab/>
            </w:r>
            <w:r w:rsidRPr="009072DA">
              <w:rPr>
                <w:lang w:val="bg-BG"/>
              </w:rPr>
              <w:tab/>
            </w:r>
            <w:r w:rsidRPr="009072DA">
              <w:rPr>
                <w:lang w:val="bg-BG"/>
              </w:rPr>
              <w:tab/>
            </w:r>
            <w:r w:rsidRPr="009072DA">
              <w:rPr>
                <w:lang w:val="bg-BG"/>
              </w:rPr>
              <w:tab/>
            </w:r>
            <w:r w:rsidRPr="009072DA">
              <w:rPr>
                <w:lang w:val="bg-BG"/>
              </w:rPr>
              <w:tab/>
            </w:r>
            <w:r w:rsidRPr="009072DA">
              <w:rPr>
                <w:sz w:val="18"/>
                <w:lang w:val="bg-BG"/>
              </w:rPr>
              <w:t>t/m</w:t>
            </w:r>
            <w:r w:rsidRPr="009072DA">
              <w:rPr>
                <w:position w:val="6"/>
                <w:sz w:val="14"/>
                <w:lang w:val="bg-BG"/>
              </w:rPr>
              <w:t>3*)</w:t>
            </w:r>
          </w:p>
        </w:tc>
        <w:tc>
          <w:tcPr>
            <w:tcW w:w="3062" w:type="dxa"/>
            <w:gridSpan w:val="2"/>
            <w:tcBorders>
              <w:left w:val="single" w:sz="6" w:space="0" w:color="auto"/>
              <w:bottom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22.</w:t>
            </w:r>
            <w:r w:rsidRPr="009072DA">
              <w:rPr>
                <w:lang w:val="bg-BG"/>
              </w:rPr>
              <w:tab/>
            </w:r>
            <w:r w:rsidRPr="009072DA">
              <w:rPr>
                <w:sz w:val="18"/>
                <w:lang w:val="bg-BG"/>
              </w:rPr>
              <w:t>Брой на пътниците:</w:t>
            </w:r>
          </w:p>
        </w:tc>
        <w:tc>
          <w:tcPr>
            <w:tcW w:w="3065" w:type="dxa"/>
            <w:gridSpan w:val="2"/>
            <w:tcBorders>
              <w:left w:val="single" w:sz="6" w:space="0" w:color="auto"/>
              <w:bottom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23.</w:t>
            </w:r>
            <w:r w:rsidRPr="009072DA">
              <w:rPr>
                <w:lang w:val="bg-BG"/>
              </w:rPr>
              <w:tab/>
            </w:r>
            <w:r w:rsidRPr="009072DA">
              <w:rPr>
                <w:sz w:val="18"/>
                <w:lang w:val="bg-BG"/>
              </w:rPr>
              <w:t>Брой на койките за пътници</w:t>
            </w:r>
            <w:r w:rsidRPr="009072DA">
              <w:rPr>
                <w:rFonts w:cs="Arial"/>
                <w:sz w:val="18"/>
                <w:szCs w:val="20"/>
                <w:lang w:val="bg-BG"/>
              </w:rPr>
              <w:br/>
            </w:r>
          </w:p>
        </w:tc>
      </w:tr>
      <w:tr w:rsidR="009C13A9" w:rsidRPr="009072DA"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 w:val="left" w:pos="227"/>
              </w:tabs>
              <w:overflowPunct w:val="0"/>
              <w:adjustRightInd w:val="0"/>
              <w:textAlignment w:val="baseline"/>
              <w:rPr>
                <w:rFonts w:cs="Arial"/>
                <w:sz w:val="18"/>
                <w:szCs w:val="20"/>
                <w:lang w:val="bg-BG"/>
              </w:rPr>
            </w:pPr>
            <w:r w:rsidRPr="009072DA">
              <w:rPr>
                <w:sz w:val="18"/>
                <w:lang w:val="bg-BG"/>
              </w:rPr>
              <w:t>24.</w:t>
            </w:r>
          </w:p>
        </w:tc>
        <w:tc>
          <w:tcPr>
            <w:tcW w:w="2778" w:type="dxa"/>
            <w:gridSpan w:val="2"/>
            <w:tcBorders>
              <w:bottom w:val="single" w:sz="6" w:space="0" w:color="auto"/>
              <w:right w:val="single" w:sz="6" w:space="0" w:color="auto"/>
            </w:tcBorders>
          </w:tcPr>
          <w:p w:rsidR="009C13A9" w:rsidRPr="009072DA" w:rsidRDefault="00E3172D" w:rsidP="009C13A9">
            <w:pPr>
              <w:tabs>
                <w:tab w:val="left" w:pos="57"/>
                <w:tab w:val="left" w:pos="340"/>
              </w:tabs>
              <w:overflowPunct w:val="0"/>
              <w:adjustRightInd w:val="0"/>
              <w:textAlignment w:val="baseline"/>
              <w:rPr>
                <w:rFonts w:cs="Arial"/>
                <w:sz w:val="18"/>
                <w:szCs w:val="20"/>
                <w:lang w:val="bg-BG"/>
              </w:rPr>
            </w:pPr>
            <w:r w:rsidRPr="009072DA">
              <w:rPr>
                <w:sz w:val="18"/>
                <w:lang w:val="bg-BG"/>
              </w:rPr>
              <w:t>Брой на напречните водонепроницаеми прегради</w:t>
            </w:r>
            <w:r w:rsidRPr="009072DA">
              <w:rPr>
                <w:rFonts w:cs="Arial"/>
                <w:sz w:val="18"/>
                <w:szCs w:val="20"/>
                <w:lang w:val="bg-BG"/>
              </w:rPr>
              <w:br/>
            </w:r>
            <w:r w:rsidRPr="009072DA">
              <w:rPr>
                <w:rFonts w:cs="Arial"/>
                <w:sz w:val="18"/>
                <w:szCs w:val="20"/>
                <w:lang w:val="bg-BG"/>
              </w:rPr>
              <w:br/>
            </w:r>
            <w:r w:rsidRPr="009072DA">
              <w:rPr>
                <w:lang w:val="bg-BG"/>
              </w:rPr>
              <w:tab/>
            </w:r>
          </w:p>
        </w:tc>
        <w:tc>
          <w:tcPr>
            <w:tcW w:w="3062" w:type="dxa"/>
            <w:gridSpan w:val="2"/>
            <w:tcBorders>
              <w:left w:val="single" w:sz="6" w:space="0" w:color="auto"/>
              <w:bottom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25.</w:t>
            </w:r>
            <w:r w:rsidRPr="009072DA">
              <w:rPr>
                <w:lang w:val="bg-BG"/>
              </w:rPr>
              <w:tab/>
            </w:r>
            <w:r w:rsidRPr="009072DA">
              <w:rPr>
                <w:sz w:val="18"/>
                <w:lang w:val="bg-BG"/>
              </w:rPr>
              <w:t>Брой на трюмовете</w:t>
            </w:r>
          </w:p>
        </w:tc>
        <w:tc>
          <w:tcPr>
            <w:tcW w:w="3065" w:type="dxa"/>
            <w:gridSpan w:val="2"/>
            <w:tcBorders>
              <w:left w:val="single" w:sz="6" w:space="0" w:color="auto"/>
              <w:bottom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26.</w:t>
            </w:r>
            <w:r w:rsidRPr="009072DA">
              <w:rPr>
                <w:lang w:val="bg-BG"/>
              </w:rPr>
              <w:tab/>
            </w:r>
            <w:r w:rsidRPr="009072DA">
              <w:rPr>
                <w:sz w:val="18"/>
                <w:lang w:val="bg-BG"/>
              </w:rPr>
              <w:t>Вид капак на люка</w:t>
            </w:r>
            <w:r w:rsidRPr="009072DA">
              <w:rPr>
                <w:rFonts w:cs="Arial"/>
                <w:sz w:val="18"/>
                <w:szCs w:val="20"/>
                <w:lang w:val="bg-BG"/>
              </w:rPr>
              <w:br/>
            </w:r>
          </w:p>
        </w:tc>
      </w:tr>
      <w:tr w:rsidR="009C13A9" w:rsidRPr="008D2440"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 w:val="left" w:pos="227"/>
              </w:tabs>
              <w:overflowPunct w:val="0"/>
              <w:adjustRightInd w:val="0"/>
              <w:textAlignment w:val="baseline"/>
              <w:rPr>
                <w:rFonts w:cs="Arial"/>
                <w:sz w:val="18"/>
                <w:szCs w:val="20"/>
                <w:lang w:val="bg-BG"/>
              </w:rPr>
            </w:pPr>
            <w:r w:rsidRPr="009072DA">
              <w:rPr>
                <w:sz w:val="18"/>
                <w:lang w:val="bg-BG"/>
              </w:rPr>
              <w:t>27.</w:t>
            </w:r>
          </w:p>
        </w:tc>
        <w:tc>
          <w:tcPr>
            <w:tcW w:w="2778" w:type="dxa"/>
            <w:gridSpan w:val="2"/>
            <w:tcBorders>
              <w:bottom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Брой на главните задвижващи двигатели</w:t>
            </w:r>
            <w:r w:rsidRPr="009072DA">
              <w:rPr>
                <w:rFonts w:cs="Arial"/>
                <w:sz w:val="18"/>
                <w:szCs w:val="20"/>
                <w:lang w:val="bg-BG"/>
              </w:rPr>
              <w:br/>
            </w:r>
          </w:p>
        </w:tc>
        <w:tc>
          <w:tcPr>
            <w:tcW w:w="3062" w:type="dxa"/>
            <w:gridSpan w:val="2"/>
            <w:tcBorders>
              <w:left w:val="single" w:sz="6" w:space="0" w:color="auto"/>
              <w:bottom w:val="single" w:sz="6" w:space="0" w:color="auto"/>
              <w:right w:val="single" w:sz="6" w:space="0" w:color="auto"/>
            </w:tcBorders>
          </w:tcPr>
          <w:p w:rsidR="009C13A9" w:rsidRPr="009072DA" w:rsidRDefault="009C13A9" w:rsidP="009C13A9">
            <w:pPr>
              <w:tabs>
                <w:tab w:val="left" w:pos="57"/>
                <w:tab w:val="left" w:pos="340"/>
                <w:tab w:val="left" w:pos="2242"/>
              </w:tabs>
              <w:overflowPunct w:val="0"/>
              <w:adjustRightInd w:val="0"/>
              <w:textAlignment w:val="baseline"/>
              <w:rPr>
                <w:rFonts w:cs="Arial"/>
                <w:sz w:val="18"/>
                <w:szCs w:val="20"/>
                <w:lang w:val="bg-BG"/>
              </w:rPr>
            </w:pPr>
            <w:r w:rsidRPr="009072DA">
              <w:rPr>
                <w:lang w:val="bg-BG"/>
              </w:rPr>
              <w:tab/>
            </w:r>
            <w:r w:rsidRPr="009072DA">
              <w:rPr>
                <w:sz w:val="18"/>
                <w:lang w:val="bg-BG"/>
              </w:rPr>
              <w:t>28.</w:t>
            </w:r>
            <w:r w:rsidRPr="009072DA">
              <w:rPr>
                <w:lang w:val="bg-BG"/>
              </w:rPr>
              <w:t xml:space="preserve"> </w:t>
            </w:r>
            <w:r w:rsidRPr="009072DA">
              <w:rPr>
                <w:sz w:val="18"/>
                <w:lang w:val="bg-BG"/>
              </w:rPr>
              <w:t>Обща номинална мощност на основните средства за задвижване</w:t>
            </w:r>
            <w:r w:rsidRPr="009072DA">
              <w:rPr>
                <w:rFonts w:cs="Arial"/>
                <w:sz w:val="18"/>
                <w:szCs w:val="20"/>
                <w:lang w:val="bg-BG"/>
              </w:rPr>
              <w:br/>
            </w:r>
            <w:r w:rsidRPr="009072DA">
              <w:rPr>
                <w:rFonts w:cs="Arial"/>
                <w:sz w:val="18"/>
                <w:szCs w:val="20"/>
                <w:lang w:val="bg-BG"/>
              </w:rPr>
              <w:br/>
            </w:r>
            <w:r w:rsidRPr="009072DA">
              <w:rPr>
                <w:lang w:val="bg-BG"/>
              </w:rPr>
              <w:tab/>
            </w:r>
            <w:r w:rsidRPr="009072DA">
              <w:rPr>
                <w:lang w:val="bg-BG"/>
              </w:rPr>
              <w:tab/>
            </w:r>
            <w:r w:rsidRPr="009072DA">
              <w:rPr>
                <w:lang w:val="bg-BG"/>
              </w:rPr>
              <w:tab/>
            </w:r>
            <w:r w:rsidRPr="009072DA">
              <w:rPr>
                <w:sz w:val="18"/>
                <w:lang w:val="bg-BG"/>
              </w:rPr>
              <w:t xml:space="preserve">kW </w:t>
            </w:r>
          </w:p>
        </w:tc>
        <w:tc>
          <w:tcPr>
            <w:tcW w:w="3065" w:type="dxa"/>
            <w:gridSpan w:val="2"/>
            <w:tcBorders>
              <w:bottom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29.</w:t>
            </w:r>
            <w:r w:rsidRPr="009072DA">
              <w:rPr>
                <w:lang w:val="bg-BG"/>
              </w:rPr>
              <w:tab/>
            </w:r>
            <w:r w:rsidRPr="009072DA">
              <w:rPr>
                <w:sz w:val="18"/>
                <w:lang w:val="bg-BG"/>
              </w:rPr>
              <w:t>Брой на основните гребни винтове</w:t>
            </w:r>
            <w:r w:rsidRPr="009072DA">
              <w:rPr>
                <w:rFonts w:cs="Arial"/>
                <w:sz w:val="18"/>
                <w:szCs w:val="20"/>
                <w:lang w:val="bg-BG"/>
              </w:rPr>
              <w:br/>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sz w:val="18"/>
                <w:lang w:val="bg-BG"/>
              </w:rPr>
              <w:t>30.</w:t>
            </w:r>
          </w:p>
        </w:tc>
        <w:tc>
          <w:tcPr>
            <w:tcW w:w="2014" w:type="dxa"/>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lang w:val="bg-BG"/>
              </w:rPr>
              <w:tab/>
            </w:r>
            <w:r w:rsidRPr="009072DA">
              <w:rPr>
                <w:sz w:val="18"/>
                <w:lang w:val="bg-BG"/>
              </w:rPr>
              <w:t>Брой носови брашпили</w:t>
            </w:r>
            <w:r w:rsidRPr="009072DA">
              <w:rPr>
                <w:rFonts w:cs="Arial"/>
                <w:sz w:val="18"/>
                <w:szCs w:val="20"/>
                <w:lang w:val="bg-BG"/>
              </w:rPr>
              <w:br/>
            </w:r>
            <w:r w:rsidRPr="009072DA">
              <w:rPr>
                <w:lang w:val="bg-BG"/>
              </w:rPr>
              <w:tab/>
            </w:r>
          </w:p>
        </w:tc>
        <w:tc>
          <w:tcPr>
            <w:tcW w:w="2297" w:type="dxa"/>
            <w:gridSpan w:val="2"/>
            <w:tcBorders>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от които ................... захранени</w:t>
            </w:r>
          </w:p>
        </w:tc>
        <w:tc>
          <w:tcPr>
            <w:tcW w:w="2297" w:type="dxa"/>
            <w:gridSpan w:val="2"/>
          </w:tcPr>
          <w:p w:rsidR="009C13A9" w:rsidRPr="009072DA" w:rsidRDefault="009C13A9" w:rsidP="009C13A9">
            <w:pPr>
              <w:tabs>
                <w:tab w:val="left" w:pos="340"/>
              </w:tabs>
              <w:overflowPunct w:val="0"/>
              <w:adjustRightInd w:val="0"/>
              <w:ind w:left="284" w:hanging="284"/>
              <w:textAlignment w:val="baseline"/>
              <w:rPr>
                <w:rFonts w:cs="Arial"/>
                <w:sz w:val="18"/>
                <w:szCs w:val="20"/>
                <w:lang w:val="bg-BG"/>
              </w:rPr>
            </w:pPr>
            <w:r w:rsidRPr="009072DA">
              <w:rPr>
                <w:sz w:val="18"/>
                <w:lang w:val="bg-BG"/>
              </w:rPr>
              <w:t>31.</w:t>
            </w:r>
            <w:r w:rsidRPr="009072DA">
              <w:rPr>
                <w:lang w:val="bg-BG"/>
              </w:rPr>
              <w:tab/>
            </w:r>
            <w:r w:rsidRPr="009072DA">
              <w:rPr>
                <w:sz w:val="18"/>
                <w:lang w:val="bg-BG"/>
              </w:rPr>
              <w:t>Брой кърмови брашпили</w:t>
            </w:r>
          </w:p>
        </w:tc>
        <w:tc>
          <w:tcPr>
            <w:tcW w:w="2297" w:type="dxa"/>
            <w:tcBorders>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от които ......................... захранени</w:t>
            </w:r>
          </w:p>
        </w:tc>
      </w:tr>
      <w:tr w:rsidR="009C13A9" w:rsidRPr="009072DA"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p>
        </w:tc>
        <w:tc>
          <w:tcPr>
            <w:tcW w:w="2014" w:type="dxa"/>
            <w:tcBorders>
              <w:bottom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rFonts w:cs="Arial"/>
                <w:sz w:val="18"/>
                <w:szCs w:val="20"/>
                <w:lang w:val="bg-BG"/>
              </w:rPr>
              <w:br/>
            </w:r>
          </w:p>
        </w:tc>
        <w:tc>
          <w:tcPr>
            <w:tcW w:w="2297" w:type="dxa"/>
            <w:gridSpan w:val="2"/>
            <w:tcBorders>
              <w:left w:val="single" w:sz="6" w:space="0" w:color="auto"/>
              <w:bottom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rFonts w:cs="Arial"/>
                <w:sz w:val="18"/>
                <w:szCs w:val="20"/>
                <w:lang w:val="bg-BG"/>
              </w:rPr>
              <w:br/>
            </w:r>
          </w:p>
        </w:tc>
        <w:tc>
          <w:tcPr>
            <w:tcW w:w="2297" w:type="dxa"/>
            <w:gridSpan w:val="2"/>
            <w:tcBorders>
              <w:bottom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c>
          <w:tcPr>
            <w:tcW w:w="2297" w:type="dxa"/>
            <w:tcBorders>
              <w:bottom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textAlignment w:val="baseline"/>
              <w:rPr>
                <w:rFonts w:cs="Arial"/>
                <w:sz w:val="18"/>
                <w:szCs w:val="20"/>
                <w:lang w:val="bg-BG"/>
              </w:rPr>
            </w:pPr>
            <w:r w:rsidRPr="009072DA">
              <w:rPr>
                <w:sz w:val="18"/>
                <w:lang w:val="bg-BG"/>
              </w:rPr>
              <w:t>32.</w:t>
            </w:r>
          </w:p>
        </w:tc>
        <w:tc>
          <w:tcPr>
            <w:tcW w:w="2778" w:type="dxa"/>
            <w:gridSpan w:val="2"/>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Брой буксирни куки</w:t>
            </w:r>
            <w:r w:rsidRPr="009072DA">
              <w:rPr>
                <w:rFonts w:cs="Arial"/>
                <w:sz w:val="18"/>
                <w:szCs w:val="20"/>
                <w:lang w:val="bg-BG"/>
              </w:rPr>
              <w:br/>
            </w:r>
          </w:p>
        </w:tc>
        <w:tc>
          <w:tcPr>
            <w:tcW w:w="3062" w:type="dxa"/>
            <w:gridSpan w:val="2"/>
            <w:tcBorders>
              <w:lef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33.</w:t>
            </w:r>
            <w:r w:rsidRPr="009072DA">
              <w:rPr>
                <w:lang w:val="bg-BG"/>
              </w:rPr>
              <w:tab/>
            </w:r>
            <w:r w:rsidRPr="009072DA">
              <w:rPr>
                <w:sz w:val="18"/>
                <w:lang w:val="bg-BG"/>
              </w:rPr>
              <w:t>Брой буксирни лебедки</w:t>
            </w:r>
          </w:p>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sz w:val="18"/>
                <w:lang w:val="bg-BG"/>
              </w:rPr>
              <w:t>от които</w:t>
            </w:r>
          </w:p>
        </w:tc>
        <w:tc>
          <w:tcPr>
            <w:tcW w:w="3065" w:type="dxa"/>
            <w:gridSpan w:val="2"/>
            <w:tcBorders>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sz w:val="18"/>
                <w:lang w:val="bg-BG"/>
              </w:rPr>
              <w:t xml:space="preserve"> от които................................................ </w:t>
            </w:r>
          </w:p>
        </w:tc>
      </w:tr>
      <w:tr w:rsidR="009C13A9" w:rsidRPr="009072DA"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 w:val="left" w:pos="227"/>
              </w:tabs>
              <w:overflowPunct w:val="0"/>
              <w:adjustRightInd w:val="0"/>
              <w:textAlignment w:val="baseline"/>
              <w:rPr>
                <w:rFonts w:cs="Arial"/>
                <w:sz w:val="18"/>
                <w:szCs w:val="20"/>
                <w:lang w:val="bg-BG"/>
              </w:rPr>
            </w:pPr>
          </w:p>
        </w:tc>
        <w:tc>
          <w:tcPr>
            <w:tcW w:w="2778" w:type="dxa"/>
            <w:gridSpan w:val="2"/>
            <w:tcBorders>
              <w:bottom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rFonts w:cs="Arial"/>
                <w:sz w:val="18"/>
                <w:szCs w:val="20"/>
                <w:lang w:val="bg-BG"/>
              </w:rPr>
              <w:br/>
            </w:r>
          </w:p>
        </w:tc>
        <w:tc>
          <w:tcPr>
            <w:tcW w:w="3062" w:type="dxa"/>
            <w:gridSpan w:val="2"/>
            <w:tcBorders>
              <w:left w:val="single" w:sz="6" w:space="0" w:color="auto"/>
              <w:bottom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rFonts w:cs="Arial"/>
                <w:sz w:val="18"/>
                <w:szCs w:val="20"/>
                <w:lang w:val="bg-BG"/>
              </w:rPr>
              <w:br/>
            </w:r>
          </w:p>
        </w:tc>
        <w:tc>
          <w:tcPr>
            <w:tcW w:w="3065" w:type="dxa"/>
            <w:gridSpan w:val="2"/>
            <w:tcBorders>
              <w:bottom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sz w:val="18"/>
                <w:lang w:val="bg-BG"/>
              </w:rPr>
              <w:t>34.</w:t>
            </w:r>
          </w:p>
        </w:tc>
        <w:tc>
          <w:tcPr>
            <w:tcW w:w="2014" w:type="dxa"/>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lang w:val="bg-BG"/>
              </w:rPr>
              <w:tab/>
            </w:r>
            <w:r w:rsidRPr="009072DA">
              <w:rPr>
                <w:sz w:val="18"/>
                <w:lang w:val="bg-BG"/>
              </w:rPr>
              <w:t>Рулево устройство</w:t>
            </w:r>
          </w:p>
        </w:tc>
        <w:tc>
          <w:tcPr>
            <w:tcW w:w="2297" w:type="dxa"/>
            <w:gridSpan w:val="2"/>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c>
          <w:tcPr>
            <w:tcW w:w="2297" w:type="dxa"/>
            <w:gridSpan w:val="2"/>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p>
        </w:tc>
        <w:tc>
          <w:tcPr>
            <w:tcW w:w="2297" w:type="dxa"/>
            <w:tcBorders>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p>
        </w:tc>
        <w:tc>
          <w:tcPr>
            <w:tcW w:w="2014" w:type="dxa"/>
            <w:tcBorders>
              <w:bottom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lang w:val="bg-BG"/>
              </w:rPr>
              <w:tab/>
            </w:r>
            <w:r w:rsidRPr="009072DA">
              <w:rPr>
                <w:sz w:val="18"/>
                <w:lang w:val="bg-BG"/>
              </w:rPr>
              <w:t>Брой пера на главния рул</w:t>
            </w:r>
            <w:r w:rsidRPr="009072DA">
              <w:rPr>
                <w:rFonts w:cs="Arial"/>
                <w:sz w:val="18"/>
                <w:szCs w:val="20"/>
                <w:lang w:val="bg-BG"/>
              </w:rPr>
              <w:br/>
            </w:r>
            <w:r w:rsidRPr="009072DA">
              <w:rPr>
                <w:rFonts w:cs="Arial"/>
                <w:sz w:val="18"/>
                <w:szCs w:val="20"/>
                <w:lang w:val="bg-BG"/>
              </w:rPr>
              <w:br/>
            </w:r>
          </w:p>
        </w:tc>
        <w:tc>
          <w:tcPr>
            <w:tcW w:w="2297" w:type="dxa"/>
            <w:gridSpan w:val="2"/>
            <w:tcBorders>
              <w:left w:val="single" w:sz="6" w:space="0" w:color="auto"/>
              <w:bottom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Задвижване на главния рул</w:t>
            </w:r>
            <w:r w:rsidRPr="009072DA">
              <w:rPr>
                <w:rFonts w:cs="Arial"/>
                <w:sz w:val="18"/>
                <w:szCs w:val="20"/>
                <w:lang w:val="bg-BG"/>
              </w:rPr>
              <w:br/>
            </w:r>
            <w:r w:rsidRPr="009072DA">
              <w:rPr>
                <w:rFonts w:cs="Arial"/>
                <w:sz w:val="18"/>
                <w:szCs w:val="20"/>
                <w:lang w:val="bg-BG"/>
              </w:rPr>
              <w:br/>
            </w:r>
          </w:p>
        </w:tc>
        <w:tc>
          <w:tcPr>
            <w:tcW w:w="2297" w:type="dxa"/>
            <w:gridSpan w:val="2"/>
            <w:tcBorders>
              <w:left w:val="single" w:sz="6" w:space="0" w:color="auto"/>
              <w:bottom w:val="single" w:sz="6" w:space="0" w:color="auto"/>
              <w:right w:val="single" w:sz="6" w:space="0" w:color="auto"/>
            </w:tcBorders>
          </w:tcPr>
          <w:p w:rsidR="009C13A9" w:rsidRPr="009072DA" w:rsidRDefault="009C13A9" w:rsidP="00E61D20">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w:t>
            </w:r>
            <w:r w:rsidRPr="009072DA">
              <w:rPr>
                <w:lang w:val="bg-BG"/>
              </w:rPr>
              <w:tab/>
            </w:r>
            <w:r w:rsidRPr="009072DA">
              <w:rPr>
                <w:sz w:val="18"/>
                <w:lang w:val="bg-BG"/>
              </w:rPr>
              <w:t xml:space="preserve">ръчно </w:t>
            </w:r>
            <w:r w:rsidRPr="009072DA">
              <w:rPr>
                <w:position w:val="6"/>
                <w:sz w:val="16"/>
                <w:lang w:val="bg-BG"/>
              </w:rPr>
              <w:t xml:space="preserve">*) </w:t>
            </w:r>
            <w:r w:rsidRPr="009072DA">
              <w:rPr>
                <w:rFonts w:cs="Arial"/>
                <w:sz w:val="18"/>
                <w:szCs w:val="20"/>
                <w:lang w:val="bg-BG"/>
              </w:rPr>
              <w:br/>
            </w:r>
            <w:r w:rsidRPr="009072DA">
              <w:rPr>
                <w:lang w:val="bg-BG"/>
              </w:rPr>
              <w:tab/>
            </w:r>
            <w:r w:rsidRPr="009072DA">
              <w:rPr>
                <w:sz w:val="18"/>
                <w:lang w:val="bg-BG"/>
              </w:rPr>
              <w:t>-</w:t>
            </w:r>
            <w:r w:rsidRPr="009072DA">
              <w:rPr>
                <w:lang w:val="bg-BG"/>
              </w:rPr>
              <w:tab/>
            </w:r>
            <w:r w:rsidRPr="009072DA">
              <w:rPr>
                <w:sz w:val="18"/>
                <w:lang w:val="bg-BG"/>
              </w:rPr>
              <w:t>електрическо</w:t>
            </w:r>
            <w:r w:rsidRPr="009072DA">
              <w:rPr>
                <w:position w:val="6"/>
                <w:sz w:val="16"/>
                <w:lang w:val="bg-BG"/>
              </w:rPr>
              <w:t xml:space="preserve">*) </w:t>
            </w:r>
            <w:r w:rsidRPr="009072DA">
              <w:rPr>
                <w:rFonts w:cs="Arial"/>
                <w:sz w:val="18"/>
                <w:szCs w:val="20"/>
                <w:lang w:val="bg-BG"/>
              </w:rPr>
              <w:br/>
            </w:r>
          </w:p>
        </w:tc>
        <w:tc>
          <w:tcPr>
            <w:tcW w:w="2297" w:type="dxa"/>
            <w:tcBorders>
              <w:left w:val="single" w:sz="6" w:space="0" w:color="auto"/>
              <w:bottom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w:t>
            </w:r>
            <w:r w:rsidRPr="009072DA">
              <w:rPr>
                <w:lang w:val="bg-BG"/>
              </w:rPr>
              <w:tab/>
            </w:r>
            <w:r w:rsidRPr="009072DA">
              <w:rPr>
                <w:sz w:val="18"/>
                <w:lang w:val="bg-BG"/>
              </w:rPr>
              <w:t>електрическо/хидравлично</w:t>
            </w:r>
            <w:r w:rsidRPr="009072DA">
              <w:rPr>
                <w:position w:val="6"/>
                <w:sz w:val="16"/>
                <w:lang w:val="bg-BG"/>
              </w:rPr>
              <w:t>*)</w:t>
            </w:r>
            <w:r w:rsidRPr="009072DA">
              <w:rPr>
                <w:rFonts w:cs="Arial"/>
                <w:sz w:val="18"/>
                <w:szCs w:val="20"/>
                <w:lang w:val="bg-BG"/>
              </w:rPr>
              <w:br/>
            </w:r>
            <w:r w:rsidRPr="009072DA">
              <w:rPr>
                <w:lang w:val="bg-BG"/>
              </w:rPr>
              <w:tab/>
            </w:r>
            <w:r w:rsidRPr="009072DA">
              <w:rPr>
                <w:sz w:val="18"/>
                <w:lang w:val="bg-BG"/>
              </w:rPr>
              <w:t>-</w:t>
            </w:r>
            <w:r w:rsidRPr="009072DA">
              <w:rPr>
                <w:lang w:val="bg-BG"/>
              </w:rPr>
              <w:tab/>
            </w:r>
            <w:r w:rsidRPr="009072DA">
              <w:rPr>
                <w:sz w:val="18"/>
                <w:lang w:val="bg-BG"/>
              </w:rPr>
              <w:t>хидравлично</w:t>
            </w:r>
            <w:r w:rsidRPr="009072DA">
              <w:rPr>
                <w:position w:val="6"/>
                <w:sz w:val="16"/>
                <w:lang w:val="bg-BG"/>
              </w:rPr>
              <w:t>*)</w:t>
            </w:r>
          </w:p>
        </w:tc>
      </w:tr>
      <w:tr w:rsidR="009C13A9" w:rsidRPr="008D2440"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textAlignment w:val="baseline"/>
              <w:rPr>
                <w:rFonts w:cs="Arial"/>
                <w:sz w:val="18"/>
                <w:szCs w:val="20"/>
                <w:lang w:val="bg-BG"/>
              </w:rPr>
            </w:pPr>
          </w:p>
        </w:tc>
        <w:tc>
          <w:tcPr>
            <w:tcW w:w="8905" w:type="dxa"/>
            <w:gridSpan w:val="6"/>
            <w:tcBorders>
              <w:top w:val="single" w:sz="6" w:space="0" w:color="auto"/>
              <w:bottom w:val="single" w:sz="6" w:space="0" w:color="auto"/>
              <w:right w:val="single" w:sz="6" w:space="0" w:color="auto"/>
            </w:tcBorders>
          </w:tcPr>
          <w:p w:rsidR="009C13A9" w:rsidRPr="009072DA" w:rsidRDefault="009C13A9" w:rsidP="002D794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Други инсталации: Да/Не</w:t>
            </w:r>
            <w:r w:rsidRPr="009072DA">
              <w:rPr>
                <w:position w:val="6"/>
                <w:sz w:val="16"/>
                <w:lang w:val="bg-BG"/>
              </w:rPr>
              <w:t>*)</w:t>
            </w:r>
            <w:r w:rsidRPr="009072DA">
              <w:rPr>
                <w:sz w:val="18"/>
                <w:lang w:val="bg-BG"/>
              </w:rPr>
              <w:t xml:space="preserve"> Тип:</w:t>
            </w:r>
            <w:r w:rsidRPr="009072DA">
              <w:rPr>
                <w:rFonts w:cs="Arial"/>
                <w:sz w:val="18"/>
                <w:szCs w:val="20"/>
                <w:lang w:val="bg-BG"/>
              </w:rPr>
              <w:br/>
            </w:r>
            <w:r w:rsidRPr="009072DA">
              <w:rPr>
                <w:rFonts w:cs="Arial"/>
                <w:sz w:val="18"/>
                <w:szCs w:val="20"/>
                <w:lang w:val="bg-BG"/>
              </w:rPr>
              <w:br/>
            </w:r>
            <w:r w:rsidRPr="009072DA">
              <w:rPr>
                <w:sz w:val="18"/>
                <w:lang w:val="bg-BG"/>
              </w:rPr>
              <w:t xml:space="preserve"> </w:t>
            </w:r>
          </w:p>
        </w:tc>
      </w:tr>
      <w:tr w:rsidR="009C13A9" w:rsidRPr="008D2440"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p>
        </w:tc>
        <w:tc>
          <w:tcPr>
            <w:tcW w:w="2014" w:type="dxa"/>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lang w:val="bg-BG"/>
              </w:rPr>
              <w:tab/>
            </w:r>
            <w:r w:rsidRPr="009072DA">
              <w:rPr>
                <w:sz w:val="18"/>
                <w:lang w:val="bg-BG"/>
              </w:rPr>
              <w:t>Рул за заден ход:</w:t>
            </w:r>
          </w:p>
          <w:p w:rsidR="009C13A9" w:rsidRPr="009072DA" w:rsidRDefault="009C13A9" w:rsidP="009C13A9">
            <w:pPr>
              <w:tabs>
                <w:tab w:val="left" w:pos="57"/>
              </w:tabs>
              <w:overflowPunct w:val="0"/>
              <w:adjustRightInd w:val="0"/>
              <w:textAlignment w:val="baseline"/>
              <w:rPr>
                <w:rFonts w:cs="Arial"/>
                <w:sz w:val="18"/>
                <w:szCs w:val="20"/>
                <w:lang w:val="bg-BG"/>
              </w:rPr>
            </w:pPr>
            <w:r w:rsidRPr="009072DA">
              <w:rPr>
                <w:lang w:val="bg-BG"/>
              </w:rPr>
              <w:tab/>
            </w:r>
            <w:r w:rsidRPr="009072DA">
              <w:rPr>
                <w:sz w:val="18"/>
                <w:lang w:val="bg-BG"/>
              </w:rPr>
              <w:t xml:space="preserve">Да/Не </w:t>
            </w:r>
            <w:r w:rsidRPr="009072DA">
              <w:rPr>
                <w:position w:val="6"/>
                <w:sz w:val="16"/>
                <w:lang w:val="bg-BG"/>
              </w:rPr>
              <w:t>*)</w:t>
            </w:r>
          </w:p>
        </w:tc>
        <w:tc>
          <w:tcPr>
            <w:tcW w:w="2297" w:type="dxa"/>
            <w:gridSpan w:val="2"/>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Задвижване на руля за заден ход:</w:t>
            </w:r>
          </w:p>
        </w:tc>
        <w:tc>
          <w:tcPr>
            <w:tcW w:w="2297" w:type="dxa"/>
            <w:gridSpan w:val="2"/>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p>
        </w:tc>
        <w:tc>
          <w:tcPr>
            <w:tcW w:w="2297" w:type="dxa"/>
            <w:tcBorders>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p>
        </w:tc>
        <w:tc>
          <w:tcPr>
            <w:tcW w:w="2014" w:type="dxa"/>
            <w:tcBorders>
              <w:bottom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rFonts w:cs="Arial"/>
                <w:sz w:val="18"/>
                <w:szCs w:val="20"/>
                <w:lang w:val="bg-BG"/>
              </w:rPr>
              <w:br/>
            </w:r>
          </w:p>
        </w:tc>
        <w:tc>
          <w:tcPr>
            <w:tcW w:w="2297" w:type="dxa"/>
            <w:gridSpan w:val="2"/>
            <w:tcBorders>
              <w:left w:val="single" w:sz="6" w:space="0" w:color="auto"/>
              <w:bottom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rFonts w:cs="Arial"/>
                <w:sz w:val="18"/>
                <w:szCs w:val="20"/>
                <w:lang w:val="bg-BG"/>
              </w:rPr>
              <w:br/>
            </w:r>
            <w:r w:rsidRPr="009072DA">
              <w:rPr>
                <w:rFonts w:cs="Arial"/>
                <w:sz w:val="18"/>
                <w:szCs w:val="20"/>
                <w:lang w:val="bg-BG"/>
              </w:rPr>
              <w:br/>
            </w:r>
          </w:p>
        </w:tc>
        <w:tc>
          <w:tcPr>
            <w:tcW w:w="2297" w:type="dxa"/>
            <w:gridSpan w:val="2"/>
            <w:tcBorders>
              <w:left w:val="single" w:sz="6" w:space="0" w:color="auto"/>
              <w:bottom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w:t>
            </w:r>
            <w:r w:rsidRPr="009072DA">
              <w:rPr>
                <w:lang w:val="bg-BG"/>
              </w:rPr>
              <w:tab/>
            </w:r>
            <w:r w:rsidRPr="009072DA">
              <w:rPr>
                <w:sz w:val="18"/>
                <w:lang w:val="bg-BG"/>
              </w:rPr>
              <w:t xml:space="preserve">ръчно </w:t>
            </w:r>
            <w:r w:rsidRPr="009072DA">
              <w:rPr>
                <w:position w:val="6"/>
                <w:sz w:val="16"/>
                <w:lang w:val="bg-BG"/>
              </w:rPr>
              <w:t>*)</w:t>
            </w:r>
            <w:r w:rsidRPr="009072DA">
              <w:rPr>
                <w:rFonts w:cs="Arial"/>
                <w:sz w:val="18"/>
                <w:szCs w:val="20"/>
                <w:lang w:val="bg-BG"/>
              </w:rPr>
              <w:br/>
            </w:r>
            <w:r w:rsidRPr="009072DA">
              <w:rPr>
                <w:lang w:val="bg-BG"/>
              </w:rPr>
              <w:tab/>
            </w:r>
            <w:r w:rsidRPr="009072DA">
              <w:rPr>
                <w:sz w:val="18"/>
                <w:lang w:val="bg-BG"/>
              </w:rPr>
              <w:t>-</w:t>
            </w:r>
            <w:r w:rsidRPr="009072DA">
              <w:rPr>
                <w:lang w:val="bg-BG"/>
              </w:rPr>
              <w:tab/>
            </w:r>
            <w:r w:rsidRPr="009072DA">
              <w:rPr>
                <w:sz w:val="18"/>
                <w:lang w:val="bg-BG"/>
              </w:rPr>
              <w:t>електрическо</w:t>
            </w:r>
            <w:r w:rsidRPr="009072DA">
              <w:rPr>
                <w:position w:val="6"/>
                <w:sz w:val="16"/>
                <w:lang w:val="bg-BG"/>
              </w:rPr>
              <w:t xml:space="preserve">*) </w:t>
            </w:r>
            <w:r w:rsidRPr="009072DA">
              <w:rPr>
                <w:rFonts w:cs="Arial"/>
                <w:sz w:val="18"/>
                <w:szCs w:val="20"/>
                <w:lang w:val="bg-BG"/>
              </w:rPr>
              <w:br/>
            </w:r>
          </w:p>
        </w:tc>
        <w:tc>
          <w:tcPr>
            <w:tcW w:w="2297" w:type="dxa"/>
            <w:tcBorders>
              <w:left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w:t>
            </w:r>
            <w:r w:rsidRPr="009072DA">
              <w:rPr>
                <w:lang w:val="bg-BG"/>
              </w:rPr>
              <w:tab/>
            </w:r>
            <w:r w:rsidRPr="009072DA">
              <w:rPr>
                <w:sz w:val="18"/>
                <w:lang w:val="bg-BG"/>
              </w:rPr>
              <w:t>електрическо/хидравлично*)</w:t>
            </w:r>
            <w:r w:rsidRPr="009072DA">
              <w:rPr>
                <w:rFonts w:cs="Arial"/>
                <w:sz w:val="18"/>
                <w:szCs w:val="20"/>
                <w:lang w:val="bg-BG"/>
              </w:rPr>
              <w:br/>
            </w:r>
            <w:r w:rsidRPr="009072DA">
              <w:rPr>
                <w:lang w:val="bg-BG"/>
              </w:rPr>
              <w:tab/>
            </w:r>
            <w:r w:rsidRPr="009072DA">
              <w:rPr>
                <w:sz w:val="18"/>
                <w:lang w:val="bg-BG"/>
              </w:rPr>
              <w:t>-</w:t>
            </w:r>
            <w:r w:rsidRPr="009072DA">
              <w:rPr>
                <w:lang w:val="bg-BG"/>
              </w:rPr>
              <w:tab/>
            </w:r>
            <w:r w:rsidRPr="009072DA">
              <w:rPr>
                <w:sz w:val="18"/>
                <w:lang w:val="bg-BG"/>
              </w:rPr>
              <w:t>хидравлично</w:t>
            </w:r>
            <w:r w:rsidRPr="009072DA">
              <w:rPr>
                <w:position w:val="6"/>
                <w:sz w:val="16"/>
                <w:lang w:val="bg-BG"/>
              </w:rPr>
              <w:t xml:space="preserve">*) </w:t>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p>
        </w:tc>
        <w:tc>
          <w:tcPr>
            <w:tcW w:w="2014" w:type="dxa"/>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lang w:val="bg-BG"/>
              </w:rPr>
              <w:tab/>
            </w:r>
            <w:r w:rsidRPr="009072DA">
              <w:rPr>
                <w:sz w:val="18"/>
                <w:lang w:val="bg-BG"/>
              </w:rPr>
              <w:t>Инсталация на носови рул</w:t>
            </w:r>
          </w:p>
        </w:tc>
        <w:tc>
          <w:tcPr>
            <w:tcW w:w="2297" w:type="dxa"/>
            <w:gridSpan w:val="2"/>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w:t>
            </w:r>
            <w:r w:rsidRPr="009072DA">
              <w:rPr>
                <w:lang w:val="bg-BG"/>
              </w:rPr>
              <w:tab/>
            </w:r>
            <w:r w:rsidRPr="009072DA">
              <w:rPr>
                <w:sz w:val="18"/>
                <w:lang w:val="bg-BG"/>
              </w:rPr>
              <w:t>носови рул</w:t>
            </w:r>
            <w:r w:rsidRPr="009072DA">
              <w:rPr>
                <w:position w:val="6"/>
                <w:sz w:val="16"/>
                <w:lang w:val="bg-BG"/>
              </w:rPr>
              <w:t>*)</w:t>
            </w:r>
            <w:r w:rsidRPr="009072DA">
              <w:rPr>
                <w:sz w:val="18"/>
                <w:lang w:val="bg-BG"/>
              </w:rPr>
              <w:t xml:space="preserve"> </w:t>
            </w:r>
          </w:p>
        </w:tc>
        <w:tc>
          <w:tcPr>
            <w:tcW w:w="2297" w:type="dxa"/>
            <w:gridSpan w:val="2"/>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w:t>
            </w:r>
            <w:r w:rsidRPr="009072DA">
              <w:rPr>
                <w:lang w:val="bg-BG"/>
              </w:rPr>
              <w:tab/>
            </w:r>
            <w:r w:rsidRPr="009072DA">
              <w:rPr>
                <w:sz w:val="18"/>
                <w:lang w:val="bg-BG"/>
              </w:rPr>
              <w:t>Дистанционно управление</w:t>
            </w:r>
          </w:p>
        </w:tc>
        <w:tc>
          <w:tcPr>
            <w:tcW w:w="2297" w:type="dxa"/>
            <w:tcBorders>
              <w:top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Задействане от разстояние</w:t>
            </w:r>
          </w:p>
        </w:tc>
      </w:tr>
      <w:tr w:rsidR="009C13A9" w:rsidRPr="009072DA"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p>
        </w:tc>
        <w:tc>
          <w:tcPr>
            <w:tcW w:w="2014" w:type="dxa"/>
            <w:tcBorders>
              <w:bottom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lang w:val="bg-BG"/>
              </w:rPr>
              <w:tab/>
            </w:r>
            <w:r w:rsidRPr="009072DA">
              <w:rPr>
                <w:sz w:val="18"/>
                <w:lang w:val="bg-BG"/>
              </w:rPr>
              <w:t>Да/Не</w:t>
            </w:r>
            <w:r w:rsidRPr="009072DA">
              <w:rPr>
                <w:position w:val="6"/>
                <w:sz w:val="16"/>
                <w:lang w:val="bg-BG"/>
              </w:rPr>
              <w:t>*)</w:t>
            </w:r>
            <w:r w:rsidRPr="009072DA">
              <w:rPr>
                <w:rFonts w:cs="Arial"/>
                <w:sz w:val="18"/>
                <w:szCs w:val="20"/>
                <w:lang w:val="bg-BG"/>
              </w:rPr>
              <w:br/>
            </w:r>
          </w:p>
        </w:tc>
        <w:tc>
          <w:tcPr>
            <w:tcW w:w="2297" w:type="dxa"/>
            <w:gridSpan w:val="2"/>
            <w:tcBorders>
              <w:left w:val="single" w:sz="6" w:space="0" w:color="auto"/>
              <w:bottom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w:t>
            </w:r>
            <w:r w:rsidRPr="009072DA">
              <w:rPr>
                <w:lang w:val="bg-BG"/>
              </w:rPr>
              <w:tab/>
            </w:r>
            <w:r w:rsidRPr="009072DA">
              <w:rPr>
                <w:sz w:val="18"/>
                <w:lang w:val="bg-BG"/>
              </w:rPr>
              <w:t>носово подрулващо устройство</w:t>
            </w:r>
            <w:r w:rsidRPr="009072DA">
              <w:rPr>
                <w:position w:val="6"/>
                <w:sz w:val="16"/>
                <w:lang w:val="bg-BG"/>
              </w:rPr>
              <w:t>*)</w:t>
            </w:r>
            <w:r w:rsidRPr="009072DA">
              <w:rPr>
                <w:sz w:val="18"/>
                <w:lang w:val="bg-BG"/>
              </w:rPr>
              <w:t xml:space="preserve"> </w:t>
            </w:r>
            <w:r w:rsidRPr="009072DA">
              <w:rPr>
                <w:rFonts w:cs="Arial"/>
                <w:sz w:val="18"/>
                <w:szCs w:val="20"/>
                <w:lang w:val="bg-BG"/>
              </w:rPr>
              <w:br/>
            </w:r>
            <w:r w:rsidRPr="009072DA">
              <w:rPr>
                <w:lang w:val="bg-BG"/>
              </w:rPr>
              <w:tab/>
            </w:r>
            <w:r w:rsidRPr="009072DA">
              <w:rPr>
                <w:sz w:val="18"/>
                <w:lang w:val="bg-BG"/>
              </w:rPr>
              <w:t>-</w:t>
            </w:r>
            <w:r w:rsidRPr="009072DA">
              <w:rPr>
                <w:lang w:val="bg-BG"/>
              </w:rPr>
              <w:tab/>
            </w:r>
            <w:r w:rsidRPr="009072DA">
              <w:rPr>
                <w:sz w:val="18"/>
                <w:lang w:val="bg-BG"/>
              </w:rPr>
              <w:t>друга инсталация</w:t>
            </w:r>
            <w:r w:rsidRPr="009072DA">
              <w:rPr>
                <w:position w:val="6"/>
                <w:sz w:val="16"/>
                <w:lang w:val="bg-BG"/>
              </w:rPr>
              <w:t>*)</w:t>
            </w:r>
          </w:p>
        </w:tc>
        <w:tc>
          <w:tcPr>
            <w:tcW w:w="2297" w:type="dxa"/>
            <w:gridSpan w:val="2"/>
            <w:tcBorders>
              <w:left w:val="single" w:sz="6" w:space="0" w:color="auto"/>
              <w:bottom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lang w:val="bg-BG"/>
              </w:rPr>
              <w:tab/>
            </w:r>
            <w:r w:rsidRPr="009072DA">
              <w:rPr>
                <w:sz w:val="18"/>
                <w:lang w:val="bg-BG"/>
              </w:rPr>
              <w:t>Да/Не</w:t>
            </w:r>
            <w:r w:rsidRPr="009072DA">
              <w:rPr>
                <w:position w:val="6"/>
                <w:sz w:val="16"/>
                <w:lang w:val="bg-BG"/>
              </w:rPr>
              <w:t>*)</w:t>
            </w:r>
            <w:r w:rsidRPr="009072DA">
              <w:rPr>
                <w:rFonts w:cs="Arial"/>
                <w:sz w:val="18"/>
                <w:szCs w:val="20"/>
                <w:lang w:val="bg-BG"/>
              </w:rPr>
              <w:br/>
            </w:r>
          </w:p>
        </w:tc>
        <w:tc>
          <w:tcPr>
            <w:tcW w:w="2297" w:type="dxa"/>
            <w:tcBorders>
              <w:left w:val="single" w:sz="6" w:space="0" w:color="auto"/>
              <w:bottom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Да/Не</w:t>
            </w:r>
            <w:r w:rsidRPr="009072DA">
              <w:rPr>
                <w:position w:val="6"/>
                <w:sz w:val="16"/>
                <w:lang w:val="bg-BG"/>
              </w:rPr>
              <w:t>*)</w:t>
            </w:r>
          </w:p>
        </w:tc>
      </w:tr>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80"/>
              <w:textAlignment w:val="baseline"/>
              <w:rPr>
                <w:rFonts w:cs="Arial"/>
                <w:sz w:val="18"/>
                <w:szCs w:val="20"/>
                <w:lang w:val="bg-BG"/>
              </w:rPr>
            </w:pPr>
            <w:r w:rsidRPr="009072DA">
              <w:rPr>
                <w:sz w:val="18"/>
                <w:lang w:val="bg-BG"/>
              </w:rPr>
              <w:t>35.</w:t>
            </w:r>
          </w:p>
        </w:tc>
        <w:tc>
          <w:tcPr>
            <w:tcW w:w="8905" w:type="dxa"/>
            <w:gridSpan w:val="6"/>
            <w:tcBorders>
              <w:top w:val="single" w:sz="6" w:space="0" w:color="auto"/>
              <w:bottom w:val="single" w:sz="6" w:space="0" w:color="auto"/>
              <w:right w:val="single" w:sz="6" w:space="0" w:color="auto"/>
            </w:tcBorders>
          </w:tcPr>
          <w:p w:rsidR="009C13A9" w:rsidRPr="009072DA" w:rsidRDefault="009C13A9" w:rsidP="009C13A9">
            <w:pPr>
              <w:tabs>
                <w:tab w:val="left" w:pos="57"/>
                <w:tab w:val="left" w:pos="340"/>
                <w:tab w:val="left" w:pos="2752"/>
                <w:tab w:val="left" w:pos="4820"/>
                <w:tab w:val="left" w:pos="7088"/>
                <w:tab w:val="left" w:leader="dot" w:pos="8505"/>
              </w:tabs>
              <w:overflowPunct w:val="0"/>
              <w:adjustRightInd w:val="0"/>
              <w:spacing w:before="80"/>
              <w:ind w:left="57" w:hanging="57"/>
              <w:textAlignment w:val="baseline"/>
              <w:rPr>
                <w:rFonts w:cs="Arial"/>
                <w:sz w:val="18"/>
                <w:szCs w:val="20"/>
                <w:lang w:val="bg-BG"/>
              </w:rPr>
            </w:pPr>
            <w:r w:rsidRPr="009072DA">
              <w:rPr>
                <w:lang w:val="bg-BG"/>
              </w:rPr>
              <w:tab/>
            </w:r>
            <w:r w:rsidRPr="009072DA">
              <w:rPr>
                <w:sz w:val="18"/>
                <w:lang w:val="bg-BG"/>
              </w:rPr>
              <w:t>Система за изпомпване и осушаване на трюма</w:t>
            </w:r>
          </w:p>
          <w:p w:rsidR="009C13A9" w:rsidRPr="009072DA" w:rsidRDefault="009C13A9" w:rsidP="009C13A9">
            <w:pPr>
              <w:tabs>
                <w:tab w:val="left" w:pos="2552"/>
                <w:tab w:val="left" w:leader="dot" w:pos="3602"/>
                <w:tab w:val="left" w:pos="4820"/>
                <w:tab w:val="left" w:leader="dot" w:pos="6012"/>
                <w:tab w:val="left" w:pos="7088"/>
                <w:tab w:val="left" w:leader="dot" w:pos="8505"/>
              </w:tabs>
              <w:overflowPunct w:val="0"/>
              <w:adjustRightInd w:val="0"/>
              <w:spacing w:before="40" w:after="40"/>
              <w:ind w:left="57" w:hanging="57"/>
              <w:textAlignment w:val="baseline"/>
              <w:rPr>
                <w:rFonts w:cs="Arial"/>
                <w:sz w:val="18"/>
                <w:szCs w:val="20"/>
                <w:lang w:val="bg-BG"/>
              </w:rPr>
            </w:pPr>
            <w:r w:rsidRPr="009072DA">
              <w:rPr>
                <w:lang w:val="bg-BG"/>
              </w:rPr>
              <w:tab/>
            </w:r>
            <w:r w:rsidRPr="009072DA">
              <w:rPr>
                <w:sz w:val="18"/>
                <w:lang w:val="bg-BG"/>
              </w:rPr>
              <w:t>Брой на осушителните помпи</w:t>
            </w:r>
            <w:r w:rsidRPr="009072DA">
              <w:rPr>
                <w:lang w:val="bg-BG"/>
              </w:rPr>
              <w:tab/>
            </w:r>
            <w:r w:rsidRPr="009072DA">
              <w:rPr>
                <w:lang w:val="bg-BG"/>
              </w:rPr>
              <w:tab/>
            </w:r>
            <w:r w:rsidRPr="009072DA">
              <w:rPr>
                <w:sz w:val="18"/>
                <w:lang w:val="bg-BG"/>
              </w:rPr>
              <w:t>, от които захранени</w:t>
            </w:r>
            <w:r w:rsidRPr="009072DA">
              <w:rPr>
                <w:lang w:val="bg-BG"/>
              </w:rPr>
              <w:tab/>
            </w:r>
            <w:r w:rsidRPr="009072DA">
              <w:rPr>
                <w:rFonts w:cs="Arial"/>
                <w:sz w:val="18"/>
                <w:szCs w:val="20"/>
                <w:lang w:val="bg-BG"/>
              </w:rPr>
              <w:br/>
            </w:r>
            <w:r w:rsidRPr="009072DA">
              <w:rPr>
                <w:sz w:val="18"/>
                <w:lang w:val="bg-BG"/>
              </w:rPr>
              <w:t>Минимален капацитет на изпомпване</w:t>
            </w:r>
            <w:r w:rsidRPr="009072DA">
              <w:rPr>
                <w:lang w:val="bg-BG"/>
              </w:rPr>
              <w:tab/>
            </w:r>
            <w:r w:rsidRPr="009072DA">
              <w:rPr>
                <w:sz w:val="18"/>
                <w:lang w:val="bg-BG"/>
              </w:rPr>
              <w:t>първа осушителна помпа</w:t>
            </w:r>
            <w:r w:rsidRPr="009072DA">
              <w:rPr>
                <w:lang w:val="bg-BG"/>
              </w:rPr>
              <w:tab/>
            </w:r>
            <w:r w:rsidRPr="009072DA">
              <w:rPr>
                <w:sz w:val="18"/>
                <w:lang w:val="bg-BG"/>
              </w:rPr>
              <w:t xml:space="preserve"> l/min</w:t>
            </w:r>
            <w:r w:rsidRPr="009072DA">
              <w:rPr>
                <w:rFonts w:cs="Arial"/>
                <w:sz w:val="18"/>
                <w:szCs w:val="20"/>
                <w:lang w:val="bg-BG"/>
              </w:rPr>
              <w:br/>
            </w:r>
            <w:r w:rsidRPr="009072DA">
              <w:rPr>
                <w:lang w:val="bg-BG"/>
              </w:rPr>
              <w:tab/>
            </w:r>
            <w:r w:rsidRPr="009072DA">
              <w:rPr>
                <w:sz w:val="18"/>
                <w:lang w:val="bg-BG"/>
              </w:rPr>
              <w:t>втора осушителна помпа</w:t>
            </w:r>
            <w:r w:rsidRPr="009072DA">
              <w:rPr>
                <w:lang w:val="bg-BG"/>
              </w:rPr>
              <w:tab/>
            </w:r>
            <w:r w:rsidRPr="009072DA">
              <w:rPr>
                <w:sz w:val="18"/>
                <w:lang w:val="bg-BG"/>
              </w:rPr>
              <w:t xml:space="preserve"> l/min</w:t>
            </w:r>
          </w:p>
        </w:tc>
      </w:tr>
      <w:tr w:rsidR="009C13A9" w:rsidRPr="008D2440"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s>
              <w:overflowPunct w:val="0"/>
              <w:adjustRightInd w:val="0"/>
              <w:spacing w:before="80"/>
              <w:textAlignment w:val="baseline"/>
              <w:rPr>
                <w:rFonts w:cs="Arial"/>
                <w:sz w:val="18"/>
                <w:szCs w:val="20"/>
                <w:lang w:val="bg-BG"/>
              </w:rPr>
            </w:pPr>
            <w:r w:rsidRPr="009072DA">
              <w:rPr>
                <w:lang w:val="bg-BG"/>
              </w:rPr>
              <w:tab/>
            </w:r>
            <w:r w:rsidRPr="009072DA">
              <w:rPr>
                <w:sz w:val="18"/>
                <w:lang w:val="bg-BG"/>
              </w:rPr>
              <w:t>*)</w:t>
            </w:r>
            <w:r w:rsidRPr="009072DA">
              <w:rPr>
                <w:rFonts w:cs="Arial"/>
                <w:sz w:val="18"/>
                <w:szCs w:val="20"/>
                <w:lang w:val="bg-BG"/>
              </w:rPr>
              <w:br/>
            </w:r>
            <w:r w:rsidRPr="009072DA">
              <w:rPr>
                <w:rFonts w:cs="Arial"/>
                <w:sz w:val="18"/>
                <w:szCs w:val="20"/>
                <w:lang w:val="bg-BG"/>
              </w:rPr>
              <w:br/>
            </w:r>
          </w:p>
          <w:p w:rsidR="009C13A9" w:rsidRPr="009072DA" w:rsidRDefault="009C13A9" w:rsidP="009C13A9">
            <w:pPr>
              <w:tabs>
                <w:tab w:val="left" w:pos="57"/>
              </w:tabs>
              <w:overflowPunct w:val="0"/>
              <w:adjustRightInd w:val="0"/>
              <w:spacing w:before="80"/>
              <w:textAlignment w:val="baseline"/>
              <w:rPr>
                <w:rFonts w:cs="Arial"/>
                <w:sz w:val="18"/>
                <w:szCs w:val="20"/>
                <w:lang w:val="bg-BG"/>
              </w:rPr>
            </w:pPr>
          </w:p>
          <w:p w:rsidR="009C13A9" w:rsidRPr="009072DA" w:rsidRDefault="009C13A9" w:rsidP="009C13A9">
            <w:pPr>
              <w:tabs>
                <w:tab w:val="left" w:pos="57"/>
              </w:tabs>
              <w:overflowPunct w:val="0"/>
              <w:adjustRightInd w:val="0"/>
              <w:spacing w:before="160"/>
              <w:textAlignment w:val="baseline"/>
              <w:rPr>
                <w:rFonts w:cs="Arial"/>
                <w:sz w:val="18"/>
                <w:szCs w:val="20"/>
                <w:lang w:val="bg-BG"/>
              </w:rPr>
            </w:pPr>
            <w:r w:rsidRPr="009072DA">
              <w:rPr>
                <w:lang w:val="bg-BG"/>
              </w:rPr>
              <w:tab/>
            </w:r>
            <w:r w:rsidRPr="009072DA">
              <w:rPr>
                <w:sz w:val="18"/>
                <w:lang w:val="bg-BG"/>
              </w:rPr>
              <w:t>*)</w:t>
            </w:r>
          </w:p>
        </w:tc>
        <w:tc>
          <w:tcPr>
            <w:tcW w:w="8905" w:type="dxa"/>
            <w:gridSpan w:val="6"/>
            <w:tcBorders>
              <w:bottom w:val="single" w:sz="6" w:space="0" w:color="auto"/>
              <w:right w:val="single" w:sz="6" w:space="0" w:color="auto"/>
            </w:tcBorders>
          </w:tcPr>
          <w:p w:rsidR="009C13A9" w:rsidRPr="009072DA"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bg-BG"/>
              </w:rPr>
            </w:pPr>
            <w:r w:rsidRPr="009072DA">
              <w:rPr>
                <w:sz w:val="18"/>
                <w:lang w:val="bg-BG"/>
              </w:rPr>
              <w:t>Изменение на точка(и): ....................</w:t>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sz w:val="18"/>
                <w:lang w:val="bg-BG"/>
              </w:rPr>
              <w:t xml:space="preserve">Нов текст: </w:t>
            </w:r>
            <w:r w:rsidRPr="009072DA">
              <w:rPr>
                <w:lang w:val="bg-BG"/>
              </w:rPr>
              <w:tab/>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lang w:val="bg-BG"/>
              </w:rPr>
              <w:tab/>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lang w:val="bg-BG"/>
              </w:rPr>
              <w:tab/>
            </w:r>
          </w:p>
          <w:p w:rsidR="009C13A9" w:rsidRPr="009072D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bg-BG"/>
              </w:rPr>
            </w:pPr>
            <w:r w:rsidRPr="009072DA">
              <w:rPr>
                <w:sz w:val="18"/>
                <w:lang w:val="bg-BG"/>
              </w:rPr>
              <w:t>Тази страница е заменена.</w:t>
            </w:r>
          </w:p>
          <w:p w:rsidR="009C13A9" w:rsidRPr="009072D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bg-BG"/>
              </w:rPr>
            </w:pPr>
            <w:r w:rsidRPr="009072DA">
              <w:rPr>
                <w:sz w:val="18"/>
                <w:lang w:val="bg-BG"/>
              </w:rPr>
              <w:t xml:space="preserve">Място, дата </w:t>
            </w:r>
            <w:r w:rsidRPr="009072DA">
              <w:rPr>
                <w:lang w:val="bg-BG"/>
              </w:rPr>
              <w:tab/>
            </w:r>
            <w:r w:rsidRPr="009072DA">
              <w:rPr>
                <w:lang w:val="bg-BG"/>
              </w:rPr>
              <w:tab/>
            </w:r>
            <w:r w:rsidRPr="009072DA">
              <w:rPr>
                <w:sz w:val="18"/>
                <w:lang w:val="bg-BG"/>
              </w:rPr>
              <w:t>Контролен орган</w:t>
            </w:r>
          </w:p>
          <w:p w:rsidR="009C13A9" w:rsidRPr="009072DA" w:rsidRDefault="009C13A9" w:rsidP="009C13A9">
            <w:pPr>
              <w:tabs>
                <w:tab w:val="left" w:pos="5103"/>
                <w:tab w:val="left" w:leader="dot" w:pos="8505"/>
              </w:tabs>
              <w:overflowPunct w:val="0"/>
              <w:adjustRightInd w:val="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1701"/>
              </w:tabs>
              <w:overflowPunct w:val="0"/>
              <w:adjustRightInd w:val="0"/>
              <w:spacing w:after="80"/>
              <w:textAlignment w:val="baseline"/>
              <w:rPr>
                <w:rFonts w:cs="Arial"/>
                <w:sz w:val="18"/>
                <w:szCs w:val="20"/>
                <w:lang w:val="bg-BG"/>
              </w:rPr>
            </w:pPr>
            <w:r w:rsidRPr="009072DA">
              <w:rPr>
                <w:lang w:val="bg-BG"/>
              </w:rPr>
              <w:tab/>
            </w:r>
            <w:r w:rsidRPr="009072DA">
              <w:rPr>
                <w:sz w:val="18"/>
                <w:lang w:val="bg-BG"/>
              </w:rPr>
              <w:t>Печат</w:t>
            </w:r>
          </w:p>
          <w:p w:rsidR="009C13A9" w:rsidRPr="009072DA" w:rsidRDefault="009C13A9" w:rsidP="009C13A9">
            <w:pPr>
              <w:tabs>
                <w:tab w:val="left" w:pos="5103"/>
                <w:tab w:val="left" w:leader="dot" w:pos="8505"/>
              </w:tabs>
              <w:overflowPunct w:val="0"/>
              <w:adjustRightInd w:val="0"/>
              <w:textAlignment w:val="baseline"/>
              <w:rPr>
                <w:rFonts w:cs="Arial"/>
                <w:szCs w:val="20"/>
                <w:lang w:val="bg-BG"/>
              </w:rPr>
            </w:pPr>
            <w:r w:rsidRPr="009072DA">
              <w:rPr>
                <w:lang w:val="bg-BG"/>
              </w:rPr>
              <w:tab/>
            </w:r>
            <w:r w:rsidRPr="009072DA">
              <w:rPr>
                <w:lang w:val="bg-BG"/>
              </w:rPr>
              <w:tab/>
            </w:r>
          </w:p>
          <w:p w:rsidR="009C13A9" w:rsidRPr="009072DA" w:rsidRDefault="009C13A9" w:rsidP="009C13A9">
            <w:pPr>
              <w:tabs>
                <w:tab w:val="center" w:pos="6862"/>
              </w:tabs>
              <w:overflowPunct w:val="0"/>
              <w:adjustRightInd w:val="0"/>
              <w:textAlignment w:val="baseline"/>
              <w:rPr>
                <w:rFonts w:cs="Arial"/>
                <w:sz w:val="16"/>
                <w:szCs w:val="20"/>
                <w:lang w:val="bg-BG"/>
              </w:rPr>
            </w:pPr>
            <w:r w:rsidRPr="009072DA">
              <w:rPr>
                <w:lang w:val="bg-BG"/>
              </w:rPr>
              <w:tab/>
            </w:r>
            <w:r w:rsidRPr="009072DA">
              <w:rPr>
                <w:sz w:val="16"/>
                <w:lang w:val="bg-BG"/>
              </w:rPr>
              <w:t>(Подпис)</w:t>
            </w:r>
          </w:p>
          <w:p w:rsidR="009C13A9" w:rsidRPr="009072D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bg-BG"/>
              </w:rPr>
            </w:pPr>
            <w:r w:rsidRPr="009072DA">
              <w:rPr>
                <w:sz w:val="18"/>
                <w:lang w:val="bg-BG"/>
              </w:rPr>
              <w:t>_______________________</w:t>
            </w:r>
          </w:p>
          <w:p w:rsidR="009C13A9" w:rsidRPr="009072DA" w:rsidRDefault="009C13A9" w:rsidP="009C13A9">
            <w:pPr>
              <w:tabs>
                <w:tab w:val="left" w:pos="284"/>
              </w:tabs>
              <w:overflowPunct w:val="0"/>
              <w:adjustRightInd w:val="0"/>
              <w:spacing w:after="40"/>
              <w:ind w:left="57"/>
              <w:textAlignment w:val="baseline"/>
              <w:rPr>
                <w:rFonts w:cs="Arial"/>
                <w:sz w:val="18"/>
                <w:szCs w:val="20"/>
                <w:lang w:val="bg-BG"/>
              </w:rPr>
            </w:pPr>
            <w:r w:rsidRPr="009072DA">
              <w:rPr>
                <w:position w:val="4"/>
                <w:sz w:val="16"/>
                <w:lang w:val="bg-BG"/>
              </w:rPr>
              <w:t>*)</w:t>
            </w:r>
            <w:r w:rsidRPr="009072DA">
              <w:rPr>
                <w:lang w:val="bg-BG"/>
              </w:rPr>
              <w:tab/>
            </w:r>
            <w:r w:rsidRPr="009072DA">
              <w:rPr>
                <w:sz w:val="16"/>
                <w:lang w:val="bg-BG"/>
              </w:rPr>
              <w:t>Ненужното се зачерква</w:t>
            </w:r>
          </w:p>
        </w:tc>
      </w:tr>
    </w:tbl>
    <w:p w:rsidR="009C13A9" w:rsidRPr="009072DA" w:rsidRDefault="009C13A9" w:rsidP="00AA5614">
      <w:pPr>
        <w:tabs>
          <w:tab w:val="left" w:leader="dot" w:pos="2835"/>
          <w:tab w:val="left" w:leader="dot" w:pos="5103"/>
        </w:tabs>
        <w:overflowPunct w:val="0"/>
        <w:adjustRightInd w:val="0"/>
        <w:textAlignment w:val="baseline"/>
        <w:rPr>
          <w:rFonts w:cs="Arial"/>
          <w:szCs w:val="20"/>
          <w:lang w:val="bg-BG"/>
        </w:rPr>
      </w:pPr>
      <w:r w:rsidRPr="009072DA">
        <w:rPr>
          <w:lang w:val="bg-BG"/>
        </w:rPr>
        <w:br w:type="page"/>
      </w:r>
      <w:r w:rsidRPr="009072DA">
        <w:rPr>
          <w:lang w:val="bg-BG"/>
        </w:rPr>
        <w:lastRenderedPageBreak/>
        <w:t xml:space="preserve">Удостоверение на плавателния съд за плаване по вътрешни водни пътища № </w:t>
      </w:r>
      <w:r w:rsidRPr="009072DA">
        <w:rPr>
          <w:lang w:val="bg-BG"/>
        </w:rPr>
        <w:tab/>
        <w:t xml:space="preserve"> на контролния орган </w:t>
      </w:r>
      <w:r w:rsidRPr="009072DA">
        <w:rPr>
          <w:lang w:val="bg-BG"/>
        </w:rPr>
        <w:tab/>
      </w:r>
    </w:p>
    <w:tbl>
      <w:tblPr>
        <w:tblW w:w="9189" w:type="dxa"/>
        <w:jc w:val="center"/>
        <w:tblLayout w:type="fixed"/>
        <w:tblCellMar>
          <w:left w:w="0" w:type="dxa"/>
          <w:right w:w="0" w:type="dxa"/>
        </w:tblCellMar>
        <w:tblLook w:val="0000" w:firstRow="0" w:lastRow="0" w:firstColumn="0" w:lastColumn="0" w:noHBand="0" w:noVBand="0"/>
      </w:tblPr>
      <w:tblGrid>
        <w:gridCol w:w="284"/>
        <w:gridCol w:w="2014"/>
        <w:gridCol w:w="2297"/>
        <w:gridCol w:w="2297"/>
        <w:gridCol w:w="26"/>
        <w:gridCol w:w="2271"/>
      </w:tblGrid>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r w:rsidRPr="009072DA">
              <w:rPr>
                <w:sz w:val="18"/>
                <w:lang w:val="bg-BG"/>
              </w:rPr>
              <w:t>36.</w:t>
            </w:r>
          </w:p>
        </w:tc>
        <w:tc>
          <w:tcPr>
            <w:tcW w:w="8905" w:type="dxa"/>
            <w:gridSpan w:val="5"/>
            <w:tcBorders>
              <w:top w:val="single" w:sz="6" w:space="0" w:color="auto"/>
              <w:bottom w:val="single" w:sz="6" w:space="0" w:color="auto"/>
              <w:right w:val="single" w:sz="6" w:space="0" w:color="auto"/>
            </w:tcBorders>
          </w:tcPr>
          <w:p w:rsidR="009C13A9" w:rsidRPr="009072DA" w:rsidRDefault="009C13A9" w:rsidP="009C13A9">
            <w:pPr>
              <w:tabs>
                <w:tab w:val="left" w:pos="57"/>
                <w:tab w:val="left" w:pos="340"/>
                <w:tab w:val="left" w:leader="dot" w:pos="5103"/>
                <w:tab w:val="left" w:leader="dot" w:pos="8505"/>
              </w:tabs>
              <w:overflowPunct w:val="0"/>
              <w:adjustRightInd w:val="0"/>
              <w:spacing w:before="120"/>
              <w:ind w:left="57"/>
              <w:textAlignment w:val="baseline"/>
              <w:rPr>
                <w:rFonts w:cs="Arial"/>
                <w:sz w:val="18"/>
                <w:szCs w:val="20"/>
                <w:lang w:val="bg-BG"/>
              </w:rPr>
            </w:pPr>
            <w:r w:rsidRPr="009072DA">
              <w:rPr>
                <w:sz w:val="18"/>
                <w:lang w:val="bg-BG"/>
              </w:rPr>
              <w:t>Брой и разположение на пробките, посочени в член 8.08, раздели 10 и 11</w:t>
            </w:r>
            <w:r w:rsidRPr="009072DA">
              <w:rPr>
                <w:rFonts w:cs="Arial"/>
                <w:sz w:val="18"/>
                <w:szCs w:val="18"/>
                <w:lang w:val="bg-BG"/>
              </w:rPr>
              <w:br/>
            </w:r>
            <w:r w:rsidRPr="009072DA">
              <w:rPr>
                <w:rFonts w:cs="Arial"/>
                <w:sz w:val="18"/>
                <w:szCs w:val="18"/>
                <w:lang w:val="bg-BG"/>
              </w:rPr>
              <w:br/>
            </w:r>
            <w:r w:rsidRPr="009072DA">
              <w:rPr>
                <w:rFonts w:cs="Arial"/>
                <w:sz w:val="18"/>
                <w:szCs w:val="18"/>
                <w:lang w:val="bg-BG"/>
              </w:rPr>
              <w:br/>
            </w:r>
            <w:r w:rsidRPr="009072DA">
              <w:rPr>
                <w:rFonts w:cs="Arial"/>
                <w:sz w:val="18"/>
                <w:szCs w:val="18"/>
                <w:lang w:val="bg-BG"/>
              </w:rPr>
              <w:br/>
            </w:r>
            <w:r w:rsidRPr="009072DA">
              <w:rPr>
                <w:rFonts w:cs="Arial"/>
                <w:sz w:val="18"/>
                <w:szCs w:val="18"/>
                <w:lang w:val="bg-BG"/>
              </w:rPr>
              <w:br/>
            </w:r>
            <w:r w:rsidRPr="009072DA">
              <w:rPr>
                <w:rFonts w:cs="Arial"/>
                <w:sz w:val="18"/>
                <w:szCs w:val="18"/>
                <w:lang w:val="bg-BG"/>
              </w:rPr>
              <w:br/>
            </w:r>
            <w:r w:rsidRPr="009072DA">
              <w:rPr>
                <w:rFonts w:cs="Arial"/>
                <w:sz w:val="18"/>
                <w:szCs w:val="18"/>
                <w:lang w:val="bg-BG"/>
              </w:rPr>
              <w:br/>
            </w:r>
            <w:r w:rsidRPr="009072DA">
              <w:rPr>
                <w:rFonts w:cs="Arial"/>
                <w:sz w:val="18"/>
                <w:szCs w:val="18"/>
                <w:lang w:val="bg-BG"/>
              </w:rPr>
              <w:br/>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sz w:val="18"/>
                <w:lang w:val="bg-BG"/>
              </w:rPr>
              <w:t>37.</w:t>
            </w:r>
          </w:p>
        </w:tc>
        <w:tc>
          <w:tcPr>
            <w:tcW w:w="2014" w:type="dxa"/>
          </w:tcPr>
          <w:p w:rsidR="009C13A9" w:rsidRPr="009072DA" w:rsidRDefault="009C13A9" w:rsidP="009C13A9">
            <w:pPr>
              <w:tabs>
                <w:tab w:val="left" w:pos="57"/>
              </w:tabs>
              <w:overflowPunct w:val="0"/>
              <w:adjustRightInd w:val="0"/>
              <w:ind w:left="57"/>
              <w:textAlignment w:val="baseline"/>
              <w:rPr>
                <w:rFonts w:cs="Arial"/>
                <w:sz w:val="18"/>
                <w:szCs w:val="20"/>
                <w:lang w:val="bg-BG"/>
              </w:rPr>
            </w:pPr>
            <w:r w:rsidRPr="009072DA">
              <w:rPr>
                <w:sz w:val="18"/>
                <w:lang w:val="bg-BG"/>
              </w:rPr>
              <w:t>Котви</w:t>
            </w:r>
          </w:p>
        </w:tc>
        <w:tc>
          <w:tcPr>
            <w:tcW w:w="2297" w:type="dxa"/>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c>
          <w:tcPr>
            <w:tcW w:w="2297" w:type="dxa"/>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c>
          <w:tcPr>
            <w:tcW w:w="2297" w:type="dxa"/>
            <w:gridSpan w:val="2"/>
            <w:tcBorders>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r>
      <w:tr w:rsidR="009C13A9" w:rsidRPr="008D2440"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p>
        </w:tc>
        <w:tc>
          <w:tcPr>
            <w:tcW w:w="2014" w:type="dxa"/>
          </w:tcPr>
          <w:p w:rsidR="009C13A9" w:rsidRPr="009072DA" w:rsidRDefault="009C13A9" w:rsidP="009C13A9">
            <w:pPr>
              <w:widowControl w:val="0"/>
              <w:tabs>
                <w:tab w:val="left" w:pos="57"/>
              </w:tabs>
              <w:spacing w:before="80" w:after="80"/>
              <w:rPr>
                <w:sz w:val="18"/>
                <w:szCs w:val="20"/>
                <w:lang w:val="bg-BG"/>
              </w:rPr>
            </w:pPr>
            <w:r w:rsidRPr="009072DA">
              <w:rPr>
                <w:lang w:val="bg-BG"/>
              </w:rPr>
              <w:tab/>
            </w:r>
            <w:r w:rsidRPr="009072DA">
              <w:rPr>
                <w:sz w:val="18"/>
                <w:lang w:val="bg-BG"/>
              </w:rPr>
              <w:t>Брой на носовите котви</w:t>
            </w:r>
          </w:p>
        </w:tc>
        <w:tc>
          <w:tcPr>
            <w:tcW w:w="2297" w:type="dxa"/>
            <w:tcBorders>
              <w:left w:val="single" w:sz="6" w:space="0" w:color="auto"/>
              <w:right w:val="single" w:sz="6" w:space="0" w:color="auto"/>
            </w:tcBorders>
          </w:tcPr>
          <w:p w:rsidR="009C13A9" w:rsidRPr="009072DA" w:rsidRDefault="009C13A9" w:rsidP="009C13A9">
            <w:pPr>
              <w:widowControl w:val="0"/>
              <w:tabs>
                <w:tab w:val="left" w:pos="57"/>
                <w:tab w:val="left" w:pos="340"/>
              </w:tabs>
              <w:spacing w:before="80" w:after="80"/>
              <w:rPr>
                <w:sz w:val="18"/>
                <w:szCs w:val="20"/>
                <w:lang w:val="bg-BG"/>
              </w:rPr>
            </w:pPr>
            <w:r w:rsidRPr="009072DA">
              <w:rPr>
                <w:lang w:val="bg-BG"/>
              </w:rPr>
              <w:tab/>
            </w:r>
            <w:r w:rsidRPr="009072DA">
              <w:rPr>
                <w:sz w:val="18"/>
                <w:lang w:val="bg-BG"/>
              </w:rPr>
              <w:t>Обща маса на носовите котви</w:t>
            </w:r>
          </w:p>
        </w:tc>
        <w:tc>
          <w:tcPr>
            <w:tcW w:w="2297" w:type="dxa"/>
            <w:tcBorders>
              <w:left w:val="single" w:sz="6" w:space="0" w:color="auto"/>
              <w:right w:val="single" w:sz="6" w:space="0" w:color="auto"/>
            </w:tcBorders>
          </w:tcPr>
          <w:p w:rsidR="009C13A9" w:rsidRPr="009072DA" w:rsidRDefault="009C13A9" w:rsidP="009C13A9">
            <w:pPr>
              <w:widowControl w:val="0"/>
              <w:tabs>
                <w:tab w:val="left" w:pos="57"/>
                <w:tab w:val="left" w:pos="340"/>
              </w:tabs>
              <w:spacing w:before="80" w:after="80"/>
              <w:rPr>
                <w:sz w:val="18"/>
                <w:szCs w:val="20"/>
                <w:lang w:val="bg-BG"/>
              </w:rPr>
            </w:pPr>
            <w:r w:rsidRPr="009072DA">
              <w:rPr>
                <w:lang w:val="bg-BG"/>
              </w:rPr>
              <w:tab/>
            </w:r>
            <w:r w:rsidRPr="009072DA">
              <w:rPr>
                <w:sz w:val="18"/>
                <w:lang w:val="bg-BG"/>
              </w:rPr>
              <w:t>Брой кърмови котви</w:t>
            </w:r>
          </w:p>
        </w:tc>
        <w:tc>
          <w:tcPr>
            <w:tcW w:w="2297" w:type="dxa"/>
            <w:gridSpan w:val="2"/>
            <w:tcBorders>
              <w:left w:val="single" w:sz="6" w:space="0" w:color="auto"/>
              <w:right w:val="single" w:sz="6" w:space="0" w:color="auto"/>
            </w:tcBorders>
          </w:tcPr>
          <w:p w:rsidR="009C13A9" w:rsidRPr="009072DA" w:rsidRDefault="009C13A9" w:rsidP="009C13A9">
            <w:pPr>
              <w:widowControl w:val="0"/>
              <w:tabs>
                <w:tab w:val="left" w:pos="57"/>
                <w:tab w:val="left" w:pos="340"/>
              </w:tabs>
              <w:spacing w:before="80" w:after="80"/>
              <w:rPr>
                <w:sz w:val="18"/>
                <w:szCs w:val="20"/>
                <w:lang w:val="bg-BG"/>
              </w:rPr>
            </w:pPr>
            <w:r w:rsidRPr="009072DA">
              <w:rPr>
                <w:lang w:val="bg-BG"/>
              </w:rPr>
              <w:tab/>
            </w:r>
            <w:r w:rsidRPr="009072DA">
              <w:rPr>
                <w:sz w:val="18"/>
                <w:lang w:val="bg-BG"/>
              </w:rPr>
              <w:t>Обща маса на кърмовите котви</w:t>
            </w:r>
          </w:p>
        </w:tc>
      </w:tr>
      <w:tr w:rsidR="009C13A9" w:rsidRPr="009072DA"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s>
              <w:overflowPunct w:val="0"/>
              <w:adjustRightInd w:val="0"/>
              <w:spacing w:after="120"/>
              <w:textAlignment w:val="baseline"/>
              <w:rPr>
                <w:rFonts w:cs="Arial"/>
                <w:sz w:val="18"/>
                <w:szCs w:val="20"/>
                <w:lang w:val="bg-BG"/>
              </w:rPr>
            </w:pPr>
          </w:p>
        </w:tc>
        <w:tc>
          <w:tcPr>
            <w:tcW w:w="2014" w:type="dxa"/>
            <w:tcBorders>
              <w:bottom w:val="single" w:sz="6" w:space="0" w:color="auto"/>
            </w:tcBorders>
          </w:tcPr>
          <w:p w:rsidR="009C13A9" w:rsidRPr="009072DA" w:rsidRDefault="009C13A9" w:rsidP="009C13A9">
            <w:pPr>
              <w:tabs>
                <w:tab w:val="left" w:pos="57"/>
                <w:tab w:val="left" w:leader="dot" w:pos="1701"/>
              </w:tabs>
              <w:overflowPunct w:val="0"/>
              <w:adjustRightInd w:val="0"/>
              <w:spacing w:after="120"/>
              <w:textAlignment w:val="baseline"/>
              <w:rPr>
                <w:rFonts w:cs="Arial"/>
                <w:sz w:val="18"/>
                <w:szCs w:val="20"/>
                <w:lang w:val="bg-BG"/>
              </w:rPr>
            </w:pPr>
            <w:r w:rsidRPr="009072DA">
              <w:rPr>
                <w:lang w:val="bg-BG"/>
              </w:rPr>
              <w:tab/>
            </w:r>
            <w:r w:rsidRPr="009072DA">
              <w:rPr>
                <w:lang w:val="bg-BG"/>
              </w:rPr>
              <w:tab/>
            </w:r>
          </w:p>
        </w:tc>
        <w:tc>
          <w:tcPr>
            <w:tcW w:w="2297" w:type="dxa"/>
            <w:tcBorders>
              <w:bottom w:val="single" w:sz="6" w:space="0" w:color="auto"/>
            </w:tcBorders>
          </w:tcPr>
          <w:p w:rsidR="009C13A9" w:rsidRPr="009072DA" w:rsidRDefault="009C13A9" w:rsidP="009C13A9">
            <w:pPr>
              <w:tabs>
                <w:tab w:val="left" w:pos="57"/>
                <w:tab w:val="left" w:leader="dot" w:pos="1814"/>
              </w:tabs>
              <w:overflowPunct w:val="0"/>
              <w:adjustRightInd w:val="0"/>
              <w:spacing w:after="120"/>
              <w:textAlignment w:val="baseline"/>
              <w:rPr>
                <w:rFonts w:cs="Arial"/>
                <w:sz w:val="18"/>
                <w:szCs w:val="20"/>
                <w:lang w:val="bg-BG"/>
              </w:rPr>
            </w:pPr>
            <w:r w:rsidRPr="009072DA">
              <w:rPr>
                <w:lang w:val="bg-BG"/>
              </w:rPr>
              <w:tab/>
            </w:r>
            <w:r w:rsidRPr="009072DA">
              <w:rPr>
                <w:lang w:val="bg-BG"/>
              </w:rPr>
              <w:tab/>
            </w:r>
            <w:r w:rsidRPr="009072DA">
              <w:rPr>
                <w:sz w:val="18"/>
                <w:lang w:val="bg-BG"/>
              </w:rPr>
              <w:t xml:space="preserve"> kg </w:t>
            </w:r>
          </w:p>
        </w:tc>
        <w:tc>
          <w:tcPr>
            <w:tcW w:w="2297" w:type="dxa"/>
            <w:tcBorders>
              <w:left w:val="single" w:sz="6" w:space="0" w:color="auto"/>
              <w:bottom w:val="single" w:sz="6" w:space="0" w:color="auto"/>
            </w:tcBorders>
          </w:tcPr>
          <w:p w:rsidR="009C13A9" w:rsidRPr="009072DA" w:rsidRDefault="009C13A9" w:rsidP="009C13A9">
            <w:pPr>
              <w:tabs>
                <w:tab w:val="left" w:pos="57"/>
                <w:tab w:val="left" w:leader="dot" w:pos="1814"/>
              </w:tabs>
              <w:overflowPunct w:val="0"/>
              <w:adjustRightInd w:val="0"/>
              <w:spacing w:after="120"/>
              <w:textAlignment w:val="baseline"/>
              <w:rPr>
                <w:rFonts w:cs="Arial"/>
                <w:sz w:val="18"/>
                <w:szCs w:val="20"/>
                <w:lang w:val="bg-BG"/>
              </w:rPr>
            </w:pPr>
            <w:r w:rsidRPr="009072DA">
              <w:rPr>
                <w:lang w:val="bg-BG"/>
              </w:rPr>
              <w:tab/>
            </w:r>
            <w:r w:rsidRPr="009072DA">
              <w:rPr>
                <w:lang w:val="bg-BG"/>
              </w:rPr>
              <w:tab/>
            </w:r>
          </w:p>
        </w:tc>
        <w:tc>
          <w:tcPr>
            <w:tcW w:w="2297" w:type="dxa"/>
            <w:gridSpan w:val="2"/>
            <w:tcBorders>
              <w:bottom w:val="single" w:sz="6" w:space="0" w:color="auto"/>
              <w:right w:val="single" w:sz="6" w:space="0" w:color="auto"/>
            </w:tcBorders>
          </w:tcPr>
          <w:p w:rsidR="009C13A9" w:rsidRPr="009072DA" w:rsidRDefault="009C13A9" w:rsidP="009C13A9">
            <w:pPr>
              <w:tabs>
                <w:tab w:val="left" w:pos="57"/>
                <w:tab w:val="left" w:leader="dot" w:pos="1814"/>
              </w:tabs>
              <w:overflowPunct w:val="0"/>
              <w:adjustRightInd w:val="0"/>
              <w:spacing w:after="120"/>
              <w:textAlignment w:val="baseline"/>
              <w:rPr>
                <w:rFonts w:cs="Arial"/>
                <w:sz w:val="18"/>
                <w:szCs w:val="20"/>
                <w:lang w:val="bg-BG"/>
              </w:rPr>
            </w:pPr>
            <w:r w:rsidRPr="009072DA">
              <w:rPr>
                <w:lang w:val="bg-BG"/>
              </w:rPr>
              <w:tab/>
            </w:r>
            <w:r w:rsidRPr="009072DA">
              <w:rPr>
                <w:lang w:val="bg-BG"/>
              </w:rPr>
              <w:tab/>
            </w:r>
            <w:r w:rsidRPr="009072DA">
              <w:rPr>
                <w:sz w:val="18"/>
                <w:lang w:val="bg-BG"/>
              </w:rPr>
              <w:t xml:space="preserve"> kg</w:t>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sz w:val="18"/>
                <w:lang w:val="bg-BG"/>
              </w:rPr>
              <w:t>38.</w:t>
            </w:r>
          </w:p>
        </w:tc>
        <w:tc>
          <w:tcPr>
            <w:tcW w:w="2014" w:type="dxa"/>
          </w:tcPr>
          <w:p w:rsidR="009C13A9" w:rsidRPr="009072DA" w:rsidRDefault="009C13A9" w:rsidP="009C13A9">
            <w:pPr>
              <w:tabs>
                <w:tab w:val="left" w:pos="57"/>
              </w:tabs>
              <w:overflowPunct w:val="0"/>
              <w:adjustRightInd w:val="0"/>
              <w:ind w:left="57"/>
              <w:textAlignment w:val="baseline"/>
              <w:rPr>
                <w:rFonts w:cs="Arial"/>
                <w:sz w:val="18"/>
                <w:szCs w:val="20"/>
                <w:lang w:val="bg-BG"/>
              </w:rPr>
            </w:pPr>
            <w:r w:rsidRPr="009072DA">
              <w:rPr>
                <w:sz w:val="18"/>
                <w:lang w:val="bg-BG"/>
              </w:rPr>
              <w:t>Котвени вериги</w:t>
            </w:r>
          </w:p>
        </w:tc>
        <w:tc>
          <w:tcPr>
            <w:tcW w:w="2297" w:type="dxa"/>
          </w:tcPr>
          <w:p w:rsidR="009C13A9" w:rsidRPr="009072DA" w:rsidRDefault="009C13A9" w:rsidP="009C13A9">
            <w:pPr>
              <w:tabs>
                <w:tab w:val="left" w:pos="57"/>
                <w:tab w:val="left" w:pos="340"/>
              </w:tabs>
              <w:overflowPunct w:val="0"/>
              <w:adjustRightInd w:val="0"/>
              <w:ind w:left="57"/>
              <w:textAlignment w:val="baseline"/>
              <w:rPr>
                <w:rFonts w:cs="Arial"/>
                <w:sz w:val="18"/>
                <w:szCs w:val="20"/>
                <w:lang w:val="bg-BG"/>
              </w:rPr>
            </w:pPr>
          </w:p>
        </w:tc>
        <w:tc>
          <w:tcPr>
            <w:tcW w:w="2297" w:type="dxa"/>
          </w:tcPr>
          <w:p w:rsidR="009C13A9" w:rsidRPr="009072DA" w:rsidRDefault="009C13A9" w:rsidP="009C13A9">
            <w:pPr>
              <w:tabs>
                <w:tab w:val="left" w:pos="57"/>
                <w:tab w:val="left" w:pos="340"/>
              </w:tabs>
              <w:overflowPunct w:val="0"/>
              <w:adjustRightInd w:val="0"/>
              <w:ind w:left="57"/>
              <w:textAlignment w:val="baseline"/>
              <w:rPr>
                <w:rFonts w:cs="Arial"/>
                <w:sz w:val="18"/>
                <w:szCs w:val="20"/>
                <w:lang w:val="bg-BG"/>
              </w:rPr>
            </w:pPr>
          </w:p>
        </w:tc>
        <w:tc>
          <w:tcPr>
            <w:tcW w:w="2297" w:type="dxa"/>
            <w:gridSpan w:val="2"/>
            <w:tcBorders>
              <w:top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r>
      <w:tr w:rsidR="009C13A9" w:rsidRPr="008D2440"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p>
        </w:tc>
        <w:tc>
          <w:tcPr>
            <w:tcW w:w="2014" w:type="dxa"/>
          </w:tcPr>
          <w:p w:rsidR="009C13A9" w:rsidRPr="009072DA" w:rsidRDefault="009C13A9" w:rsidP="009C13A9">
            <w:pPr>
              <w:tabs>
                <w:tab w:val="left" w:pos="57"/>
              </w:tabs>
              <w:overflowPunct w:val="0"/>
              <w:adjustRightInd w:val="0"/>
              <w:ind w:left="57"/>
              <w:textAlignment w:val="baseline"/>
              <w:rPr>
                <w:rFonts w:cs="Arial"/>
                <w:sz w:val="18"/>
                <w:szCs w:val="20"/>
                <w:lang w:val="bg-BG"/>
              </w:rPr>
            </w:pPr>
            <w:r w:rsidRPr="009072DA">
              <w:rPr>
                <w:sz w:val="18"/>
                <w:lang w:val="bg-BG"/>
              </w:rPr>
              <w:t>Брой вериги на носовите котви</w:t>
            </w:r>
            <w:r w:rsidRPr="009072DA">
              <w:rPr>
                <w:rFonts w:cs="Arial"/>
                <w:sz w:val="18"/>
                <w:szCs w:val="20"/>
                <w:lang w:val="bg-BG"/>
              </w:rPr>
              <w:br/>
            </w:r>
          </w:p>
        </w:tc>
        <w:tc>
          <w:tcPr>
            <w:tcW w:w="2297" w:type="dxa"/>
            <w:tcBorders>
              <w:left w:val="single" w:sz="6" w:space="0" w:color="auto"/>
              <w:right w:val="single" w:sz="6" w:space="0" w:color="auto"/>
            </w:tcBorders>
          </w:tcPr>
          <w:p w:rsidR="009C13A9" w:rsidRPr="009072DA" w:rsidRDefault="009C13A9" w:rsidP="009C13A9">
            <w:pPr>
              <w:tabs>
                <w:tab w:val="left" w:pos="57"/>
                <w:tab w:val="left" w:pos="340"/>
              </w:tabs>
              <w:overflowPunct w:val="0"/>
              <w:adjustRightInd w:val="0"/>
              <w:ind w:left="57"/>
              <w:textAlignment w:val="baseline"/>
              <w:rPr>
                <w:rFonts w:cs="Arial"/>
                <w:sz w:val="18"/>
                <w:szCs w:val="20"/>
                <w:lang w:val="bg-BG"/>
              </w:rPr>
            </w:pPr>
            <w:r w:rsidRPr="009072DA">
              <w:rPr>
                <w:sz w:val="18"/>
                <w:lang w:val="bg-BG"/>
              </w:rPr>
              <w:t>Дължина на всяка верига</w:t>
            </w:r>
            <w:r w:rsidRPr="009072DA">
              <w:rPr>
                <w:rFonts w:cs="Arial"/>
                <w:sz w:val="18"/>
                <w:szCs w:val="20"/>
                <w:lang w:val="bg-BG"/>
              </w:rPr>
              <w:br/>
            </w:r>
            <w:r w:rsidRPr="009072DA">
              <w:rPr>
                <w:sz w:val="18"/>
                <w:lang w:val="bg-BG"/>
              </w:rPr>
              <w:t xml:space="preserve"> </w:t>
            </w:r>
          </w:p>
        </w:tc>
        <w:tc>
          <w:tcPr>
            <w:tcW w:w="2297" w:type="dxa"/>
            <w:tcBorders>
              <w:left w:val="single" w:sz="6" w:space="0" w:color="auto"/>
            </w:tcBorders>
          </w:tcPr>
          <w:p w:rsidR="009C13A9" w:rsidRPr="009072DA" w:rsidRDefault="009C13A9" w:rsidP="009C13A9">
            <w:pPr>
              <w:tabs>
                <w:tab w:val="left" w:pos="57"/>
                <w:tab w:val="left" w:pos="340"/>
              </w:tabs>
              <w:overflowPunct w:val="0"/>
              <w:adjustRightInd w:val="0"/>
              <w:ind w:left="57"/>
              <w:textAlignment w:val="baseline"/>
              <w:rPr>
                <w:rFonts w:cs="Arial"/>
                <w:sz w:val="18"/>
                <w:szCs w:val="20"/>
                <w:lang w:val="bg-BG"/>
              </w:rPr>
            </w:pPr>
            <w:r w:rsidRPr="009072DA">
              <w:rPr>
                <w:sz w:val="18"/>
                <w:lang w:val="bg-BG"/>
              </w:rPr>
              <w:t>Натоварване на скъсване на всяка верига</w:t>
            </w:r>
          </w:p>
        </w:tc>
        <w:tc>
          <w:tcPr>
            <w:tcW w:w="2297" w:type="dxa"/>
            <w:gridSpan w:val="2"/>
            <w:tcBorders>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spacing w:after="120"/>
              <w:textAlignment w:val="baseline"/>
              <w:rPr>
                <w:rFonts w:cs="Arial"/>
                <w:sz w:val="18"/>
                <w:szCs w:val="20"/>
                <w:lang w:val="bg-BG"/>
              </w:rPr>
            </w:pPr>
          </w:p>
        </w:tc>
        <w:tc>
          <w:tcPr>
            <w:tcW w:w="2014" w:type="dxa"/>
            <w:tcBorders>
              <w:right w:val="single" w:sz="6" w:space="0" w:color="auto"/>
            </w:tcBorders>
          </w:tcPr>
          <w:p w:rsidR="009C13A9" w:rsidRPr="009072DA" w:rsidRDefault="009C13A9" w:rsidP="009C13A9">
            <w:pPr>
              <w:tabs>
                <w:tab w:val="left" w:pos="57"/>
                <w:tab w:val="left" w:leader="dot" w:pos="1701"/>
              </w:tabs>
              <w:overflowPunct w:val="0"/>
              <w:adjustRightInd w:val="0"/>
              <w:spacing w:after="120"/>
              <w:textAlignment w:val="baseline"/>
              <w:rPr>
                <w:rFonts w:cs="Arial"/>
                <w:sz w:val="18"/>
                <w:szCs w:val="20"/>
                <w:lang w:val="bg-BG"/>
              </w:rPr>
            </w:pPr>
            <w:r w:rsidRPr="009072DA">
              <w:rPr>
                <w:lang w:val="bg-BG"/>
              </w:rPr>
              <w:tab/>
            </w:r>
            <w:r w:rsidRPr="009072DA">
              <w:rPr>
                <w:lang w:val="bg-BG"/>
              </w:rPr>
              <w:tab/>
            </w:r>
          </w:p>
        </w:tc>
        <w:tc>
          <w:tcPr>
            <w:tcW w:w="2297" w:type="dxa"/>
          </w:tcPr>
          <w:p w:rsidR="009C13A9" w:rsidRPr="009072DA" w:rsidRDefault="009C13A9" w:rsidP="009C13A9">
            <w:pPr>
              <w:tabs>
                <w:tab w:val="left" w:pos="57"/>
                <w:tab w:val="left" w:leader="dot" w:pos="1814"/>
              </w:tabs>
              <w:overflowPunct w:val="0"/>
              <w:adjustRightInd w:val="0"/>
              <w:spacing w:after="120"/>
              <w:textAlignment w:val="baseline"/>
              <w:rPr>
                <w:rFonts w:cs="Arial"/>
                <w:sz w:val="18"/>
                <w:szCs w:val="20"/>
                <w:lang w:val="bg-BG"/>
              </w:rPr>
            </w:pPr>
            <w:r w:rsidRPr="009072DA">
              <w:rPr>
                <w:lang w:val="bg-BG"/>
              </w:rPr>
              <w:tab/>
            </w:r>
            <w:r w:rsidRPr="009072DA">
              <w:rPr>
                <w:lang w:val="bg-BG"/>
              </w:rPr>
              <w:tab/>
            </w:r>
            <w:r w:rsidRPr="009072DA">
              <w:rPr>
                <w:sz w:val="18"/>
                <w:lang w:val="bg-BG"/>
              </w:rPr>
              <w:t xml:space="preserve"> m</w:t>
            </w:r>
          </w:p>
        </w:tc>
        <w:tc>
          <w:tcPr>
            <w:tcW w:w="2297" w:type="dxa"/>
            <w:tcBorders>
              <w:left w:val="single" w:sz="6" w:space="0" w:color="auto"/>
            </w:tcBorders>
          </w:tcPr>
          <w:p w:rsidR="009C13A9" w:rsidRPr="009072DA" w:rsidRDefault="009C13A9" w:rsidP="009C13A9">
            <w:pPr>
              <w:tabs>
                <w:tab w:val="left" w:pos="57"/>
                <w:tab w:val="left" w:leader="dot" w:pos="1814"/>
              </w:tabs>
              <w:overflowPunct w:val="0"/>
              <w:adjustRightInd w:val="0"/>
              <w:spacing w:after="120"/>
              <w:textAlignment w:val="baseline"/>
              <w:rPr>
                <w:rFonts w:cs="Arial"/>
                <w:sz w:val="18"/>
                <w:szCs w:val="20"/>
                <w:lang w:val="bg-BG"/>
              </w:rPr>
            </w:pPr>
            <w:r w:rsidRPr="009072DA">
              <w:rPr>
                <w:lang w:val="bg-BG"/>
              </w:rPr>
              <w:tab/>
            </w:r>
            <w:r w:rsidRPr="009072DA">
              <w:rPr>
                <w:lang w:val="bg-BG"/>
              </w:rPr>
              <w:tab/>
            </w:r>
            <w:r w:rsidRPr="009072DA">
              <w:rPr>
                <w:sz w:val="18"/>
                <w:lang w:val="bg-BG"/>
              </w:rPr>
              <w:t xml:space="preserve"> kN</w:t>
            </w:r>
          </w:p>
        </w:tc>
        <w:tc>
          <w:tcPr>
            <w:tcW w:w="2297" w:type="dxa"/>
            <w:gridSpan w:val="2"/>
            <w:tcBorders>
              <w:right w:val="single" w:sz="6" w:space="0" w:color="auto"/>
            </w:tcBorders>
          </w:tcPr>
          <w:p w:rsidR="009C13A9" w:rsidRPr="009072DA" w:rsidRDefault="009C13A9" w:rsidP="009C13A9">
            <w:pPr>
              <w:tabs>
                <w:tab w:val="left" w:pos="57"/>
                <w:tab w:val="left" w:leader="dot" w:pos="1814"/>
              </w:tabs>
              <w:overflowPunct w:val="0"/>
              <w:adjustRightInd w:val="0"/>
              <w:spacing w:after="120"/>
              <w:textAlignment w:val="baseline"/>
              <w:rPr>
                <w:rFonts w:cs="Arial"/>
                <w:sz w:val="18"/>
                <w:szCs w:val="20"/>
                <w:lang w:val="bg-BG"/>
              </w:rPr>
            </w:pPr>
          </w:p>
        </w:tc>
      </w:tr>
      <w:tr w:rsidR="009C13A9" w:rsidRPr="008D2440"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p>
        </w:tc>
        <w:tc>
          <w:tcPr>
            <w:tcW w:w="2014" w:type="dxa"/>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lang w:val="bg-BG"/>
              </w:rPr>
              <w:tab/>
            </w:r>
            <w:r w:rsidRPr="009072DA">
              <w:rPr>
                <w:sz w:val="18"/>
                <w:lang w:val="bg-BG"/>
              </w:rPr>
              <w:t>Брой вериги на кърмовите котви</w:t>
            </w:r>
            <w:r w:rsidRPr="009072DA">
              <w:rPr>
                <w:rFonts w:cs="Arial"/>
                <w:sz w:val="18"/>
                <w:szCs w:val="20"/>
                <w:lang w:val="bg-BG"/>
              </w:rPr>
              <w:br/>
            </w:r>
          </w:p>
        </w:tc>
        <w:tc>
          <w:tcPr>
            <w:tcW w:w="2297" w:type="dxa"/>
            <w:tcBorders>
              <w:left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r w:rsidRPr="009072DA">
              <w:rPr>
                <w:lang w:val="bg-BG"/>
              </w:rPr>
              <w:tab/>
            </w:r>
            <w:r w:rsidRPr="009072DA">
              <w:rPr>
                <w:sz w:val="18"/>
                <w:lang w:val="bg-BG"/>
              </w:rPr>
              <w:t>Дължина на всяка верига</w:t>
            </w:r>
            <w:r w:rsidRPr="009072DA">
              <w:rPr>
                <w:rFonts w:cs="Arial"/>
                <w:sz w:val="18"/>
                <w:szCs w:val="20"/>
                <w:lang w:val="bg-BG"/>
              </w:rPr>
              <w:br/>
            </w:r>
            <w:r w:rsidRPr="009072DA">
              <w:rPr>
                <w:sz w:val="18"/>
                <w:lang w:val="bg-BG"/>
              </w:rPr>
              <w:t xml:space="preserve"> </w:t>
            </w:r>
          </w:p>
        </w:tc>
        <w:tc>
          <w:tcPr>
            <w:tcW w:w="2297" w:type="dxa"/>
            <w:tcBorders>
              <w:left w:val="single" w:sz="6" w:space="0" w:color="auto"/>
            </w:tcBorders>
          </w:tcPr>
          <w:p w:rsidR="009C13A9" w:rsidRPr="009072DA" w:rsidRDefault="009C13A9" w:rsidP="009C13A9">
            <w:pPr>
              <w:tabs>
                <w:tab w:val="left" w:pos="57"/>
                <w:tab w:val="left" w:pos="340"/>
              </w:tabs>
              <w:overflowPunct w:val="0"/>
              <w:adjustRightInd w:val="0"/>
              <w:ind w:left="57"/>
              <w:textAlignment w:val="baseline"/>
              <w:rPr>
                <w:rFonts w:cs="Arial"/>
                <w:sz w:val="18"/>
                <w:szCs w:val="20"/>
                <w:lang w:val="bg-BG"/>
              </w:rPr>
            </w:pPr>
            <w:r w:rsidRPr="009072DA">
              <w:rPr>
                <w:sz w:val="18"/>
                <w:lang w:val="bg-BG"/>
              </w:rPr>
              <w:t>Натоварване на скъсване на всяка верига</w:t>
            </w:r>
          </w:p>
        </w:tc>
        <w:tc>
          <w:tcPr>
            <w:tcW w:w="2297" w:type="dxa"/>
            <w:gridSpan w:val="2"/>
            <w:tcBorders>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s>
              <w:overflowPunct w:val="0"/>
              <w:adjustRightInd w:val="0"/>
              <w:spacing w:after="120"/>
              <w:textAlignment w:val="baseline"/>
              <w:rPr>
                <w:rFonts w:cs="Arial"/>
                <w:sz w:val="18"/>
                <w:szCs w:val="20"/>
                <w:lang w:val="bg-BG"/>
              </w:rPr>
            </w:pPr>
          </w:p>
        </w:tc>
        <w:tc>
          <w:tcPr>
            <w:tcW w:w="2014" w:type="dxa"/>
            <w:tcBorders>
              <w:bottom w:val="single" w:sz="6" w:space="0" w:color="auto"/>
              <w:right w:val="single" w:sz="6" w:space="0" w:color="auto"/>
            </w:tcBorders>
          </w:tcPr>
          <w:p w:rsidR="009C13A9" w:rsidRPr="009072DA" w:rsidRDefault="009C13A9" w:rsidP="009C13A9">
            <w:pPr>
              <w:tabs>
                <w:tab w:val="left" w:pos="57"/>
                <w:tab w:val="left" w:leader="dot" w:pos="1701"/>
              </w:tabs>
              <w:overflowPunct w:val="0"/>
              <w:adjustRightInd w:val="0"/>
              <w:spacing w:after="120"/>
              <w:textAlignment w:val="baseline"/>
              <w:rPr>
                <w:rFonts w:cs="Arial"/>
                <w:sz w:val="18"/>
                <w:szCs w:val="20"/>
                <w:lang w:val="bg-BG"/>
              </w:rPr>
            </w:pPr>
            <w:r w:rsidRPr="009072DA">
              <w:rPr>
                <w:lang w:val="bg-BG"/>
              </w:rPr>
              <w:tab/>
            </w:r>
            <w:r w:rsidRPr="009072DA">
              <w:rPr>
                <w:lang w:val="bg-BG"/>
              </w:rPr>
              <w:tab/>
            </w:r>
          </w:p>
        </w:tc>
        <w:tc>
          <w:tcPr>
            <w:tcW w:w="2297" w:type="dxa"/>
            <w:tcBorders>
              <w:bottom w:val="single" w:sz="6" w:space="0" w:color="auto"/>
            </w:tcBorders>
          </w:tcPr>
          <w:p w:rsidR="009C13A9" w:rsidRPr="009072DA" w:rsidRDefault="009C13A9" w:rsidP="009C13A9">
            <w:pPr>
              <w:tabs>
                <w:tab w:val="left" w:pos="57"/>
                <w:tab w:val="left" w:leader="dot" w:pos="1814"/>
              </w:tabs>
              <w:overflowPunct w:val="0"/>
              <w:adjustRightInd w:val="0"/>
              <w:spacing w:after="120"/>
              <w:textAlignment w:val="baseline"/>
              <w:rPr>
                <w:rFonts w:cs="Arial"/>
                <w:sz w:val="18"/>
                <w:szCs w:val="20"/>
                <w:lang w:val="bg-BG"/>
              </w:rPr>
            </w:pPr>
            <w:r w:rsidRPr="009072DA">
              <w:rPr>
                <w:lang w:val="bg-BG"/>
              </w:rPr>
              <w:tab/>
            </w:r>
            <w:r w:rsidRPr="009072DA">
              <w:rPr>
                <w:lang w:val="bg-BG"/>
              </w:rPr>
              <w:tab/>
            </w:r>
            <w:r w:rsidRPr="009072DA">
              <w:rPr>
                <w:sz w:val="18"/>
                <w:lang w:val="bg-BG"/>
              </w:rPr>
              <w:t xml:space="preserve"> m</w:t>
            </w:r>
          </w:p>
        </w:tc>
        <w:tc>
          <w:tcPr>
            <w:tcW w:w="2297" w:type="dxa"/>
            <w:tcBorders>
              <w:left w:val="single" w:sz="6" w:space="0" w:color="auto"/>
              <w:bottom w:val="single" w:sz="6" w:space="0" w:color="auto"/>
            </w:tcBorders>
          </w:tcPr>
          <w:p w:rsidR="009C13A9" w:rsidRPr="009072DA" w:rsidRDefault="009C13A9" w:rsidP="009C13A9">
            <w:pPr>
              <w:tabs>
                <w:tab w:val="left" w:pos="57"/>
                <w:tab w:val="left" w:leader="dot" w:pos="1814"/>
              </w:tabs>
              <w:overflowPunct w:val="0"/>
              <w:adjustRightInd w:val="0"/>
              <w:spacing w:after="120"/>
              <w:textAlignment w:val="baseline"/>
              <w:rPr>
                <w:rFonts w:cs="Arial"/>
                <w:sz w:val="18"/>
                <w:szCs w:val="20"/>
                <w:lang w:val="bg-BG"/>
              </w:rPr>
            </w:pPr>
            <w:r w:rsidRPr="009072DA">
              <w:rPr>
                <w:lang w:val="bg-BG"/>
              </w:rPr>
              <w:tab/>
            </w:r>
            <w:r w:rsidRPr="009072DA">
              <w:rPr>
                <w:lang w:val="bg-BG"/>
              </w:rPr>
              <w:tab/>
            </w:r>
            <w:r w:rsidRPr="009072DA">
              <w:rPr>
                <w:sz w:val="18"/>
                <w:lang w:val="bg-BG"/>
              </w:rPr>
              <w:t xml:space="preserve"> kN</w:t>
            </w:r>
          </w:p>
        </w:tc>
        <w:tc>
          <w:tcPr>
            <w:tcW w:w="2297" w:type="dxa"/>
            <w:gridSpan w:val="2"/>
            <w:tcBorders>
              <w:bottom w:val="single" w:sz="6" w:space="0" w:color="auto"/>
              <w:right w:val="single" w:sz="6" w:space="0" w:color="auto"/>
            </w:tcBorders>
          </w:tcPr>
          <w:p w:rsidR="009C13A9" w:rsidRPr="009072DA" w:rsidRDefault="009C13A9" w:rsidP="009C13A9">
            <w:pPr>
              <w:tabs>
                <w:tab w:val="left" w:pos="57"/>
                <w:tab w:val="left" w:leader="dot" w:pos="1814"/>
              </w:tabs>
              <w:overflowPunct w:val="0"/>
              <w:adjustRightInd w:val="0"/>
              <w:spacing w:after="12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sz w:val="18"/>
                <w:lang w:val="bg-BG"/>
              </w:rPr>
              <w:t>39.</w:t>
            </w:r>
          </w:p>
        </w:tc>
        <w:tc>
          <w:tcPr>
            <w:tcW w:w="2014" w:type="dxa"/>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lang w:val="bg-BG"/>
              </w:rPr>
              <w:tab/>
            </w:r>
            <w:r w:rsidRPr="009072DA">
              <w:rPr>
                <w:sz w:val="18"/>
                <w:lang w:val="bg-BG"/>
              </w:rPr>
              <w:t>Швартови въжета</w:t>
            </w:r>
          </w:p>
        </w:tc>
        <w:tc>
          <w:tcPr>
            <w:tcW w:w="2297" w:type="dxa"/>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c>
          <w:tcPr>
            <w:tcW w:w="2297" w:type="dxa"/>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c>
          <w:tcPr>
            <w:tcW w:w="2297" w:type="dxa"/>
            <w:gridSpan w:val="2"/>
            <w:tcBorders>
              <w:top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r>
      <w:tr w:rsidR="009C13A9" w:rsidRPr="008D2440"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p>
        </w:tc>
        <w:tc>
          <w:tcPr>
            <w:tcW w:w="6634" w:type="dxa"/>
            <w:gridSpan w:val="4"/>
          </w:tcPr>
          <w:p w:rsidR="009C13A9" w:rsidRPr="009072DA" w:rsidRDefault="009C13A9" w:rsidP="009C13A9">
            <w:pPr>
              <w:tabs>
                <w:tab w:val="left" w:pos="57"/>
                <w:tab w:val="left" w:leader="dot" w:pos="3005"/>
                <w:tab w:val="left" w:leader="dot" w:pos="6237"/>
              </w:tabs>
              <w:overflowPunct w:val="0"/>
              <w:adjustRightInd w:val="0"/>
              <w:textAlignment w:val="baseline"/>
              <w:rPr>
                <w:rFonts w:cs="Arial"/>
                <w:sz w:val="18"/>
                <w:szCs w:val="20"/>
                <w:lang w:val="bg-BG"/>
              </w:rPr>
            </w:pPr>
            <w:r w:rsidRPr="009072DA">
              <w:rPr>
                <w:lang w:val="bg-BG"/>
              </w:rPr>
              <w:tab/>
            </w:r>
            <w:r w:rsidRPr="009072DA">
              <w:rPr>
                <w:sz w:val="18"/>
                <w:lang w:val="bg-BG"/>
              </w:rPr>
              <w:t xml:space="preserve">1-во въже  </w:t>
            </w:r>
            <w:r w:rsidRPr="009072DA">
              <w:rPr>
                <w:lang w:val="bg-BG"/>
              </w:rPr>
              <w:tab/>
            </w:r>
            <w:r w:rsidRPr="009072DA">
              <w:rPr>
                <w:sz w:val="18"/>
                <w:lang w:val="bg-BG"/>
              </w:rPr>
              <w:t xml:space="preserve"> m дълго, с натоварване на скъсване от</w:t>
            </w:r>
            <w:r w:rsidRPr="009072DA">
              <w:rPr>
                <w:lang w:val="bg-BG"/>
              </w:rPr>
              <w:tab/>
            </w:r>
            <w:r w:rsidRPr="009072DA">
              <w:rPr>
                <w:sz w:val="18"/>
                <w:lang w:val="bg-BG"/>
              </w:rPr>
              <w:t xml:space="preserve"> kN</w:t>
            </w:r>
            <w:r w:rsidRPr="009072DA">
              <w:rPr>
                <w:rFonts w:cs="Arial"/>
                <w:sz w:val="18"/>
                <w:szCs w:val="20"/>
                <w:lang w:val="bg-BG"/>
              </w:rPr>
              <w:br/>
            </w:r>
          </w:p>
        </w:tc>
        <w:tc>
          <w:tcPr>
            <w:tcW w:w="2271" w:type="dxa"/>
            <w:tcBorders>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r>
      <w:tr w:rsidR="009C13A9" w:rsidRPr="008D2440"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p>
        </w:tc>
        <w:tc>
          <w:tcPr>
            <w:tcW w:w="6634" w:type="dxa"/>
            <w:gridSpan w:val="4"/>
          </w:tcPr>
          <w:p w:rsidR="009C13A9" w:rsidRPr="009072DA" w:rsidRDefault="009C13A9" w:rsidP="009C13A9">
            <w:pPr>
              <w:tabs>
                <w:tab w:val="left" w:pos="57"/>
                <w:tab w:val="left" w:leader="dot" w:pos="3005"/>
                <w:tab w:val="left" w:leader="dot" w:pos="6237"/>
              </w:tabs>
              <w:overflowPunct w:val="0"/>
              <w:adjustRightInd w:val="0"/>
              <w:textAlignment w:val="baseline"/>
              <w:rPr>
                <w:rFonts w:cs="Arial"/>
                <w:sz w:val="18"/>
                <w:szCs w:val="20"/>
                <w:lang w:val="bg-BG"/>
              </w:rPr>
            </w:pPr>
            <w:r w:rsidRPr="009072DA">
              <w:rPr>
                <w:lang w:val="bg-BG"/>
              </w:rPr>
              <w:tab/>
            </w:r>
            <w:r w:rsidRPr="009072DA">
              <w:rPr>
                <w:sz w:val="18"/>
                <w:lang w:val="bg-BG"/>
              </w:rPr>
              <w:t xml:space="preserve">2-ро въже </w:t>
            </w:r>
            <w:r w:rsidRPr="009072DA">
              <w:rPr>
                <w:lang w:val="bg-BG"/>
              </w:rPr>
              <w:tab/>
            </w:r>
            <w:r w:rsidRPr="009072DA">
              <w:rPr>
                <w:sz w:val="18"/>
                <w:lang w:val="bg-BG"/>
              </w:rPr>
              <w:t xml:space="preserve"> m дълго, с натоварване на скъсване от</w:t>
            </w:r>
            <w:r w:rsidRPr="009072DA">
              <w:rPr>
                <w:lang w:val="bg-BG"/>
              </w:rPr>
              <w:tab/>
            </w:r>
            <w:r w:rsidRPr="009072DA">
              <w:rPr>
                <w:sz w:val="18"/>
                <w:lang w:val="bg-BG"/>
              </w:rPr>
              <w:t xml:space="preserve"> kN</w:t>
            </w:r>
            <w:r w:rsidRPr="009072DA">
              <w:rPr>
                <w:rFonts w:cs="Arial"/>
                <w:sz w:val="18"/>
                <w:szCs w:val="20"/>
                <w:lang w:val="bg-BG"/>
              </w:rPr>
              <w:br/>
            </w:r>
          </w:p>
        </w:tc>
        <w:tc>
          <w:tcPr>
            <w:tcW w:w="2271" w:type="dxa"/>
            <w:tcBorders>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r>
      <w:tr w:rsidR="009C13A9" w:rsidRPr="008D2440"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p>
        </w:tc>
        <w:tc>
          <w:tcPr>
            <w:tcW w:w="6634" w:type="dxa"/>
            <w:gridSpan w:val="4"/>
          </w:tcPr>
          <w:p w:rsidR="009C13A9" w:rsidRPr="009072DA" w:rsidRDefault="009C13A9" w:rsidP="009C13A9">
            <w:pPr>
              <w:tabs>
                <w:tab w:val="left" w:pos="57"/>
                <w:tab w:val="left" w:leader="dot" w:pos="3005"/>
                <w:tab w:val="left" w:leader="dot" w:pos="6237"/>
              </w:tabs>
              <w:overflowPunct w:val="0"/>
              <w:adjustRightInd w:val="0"/>
              <w:textAlignment w:val="baseline"/>
              <w:rPr>
                <w:rFonts w:cs="Arial"/>
                <w:sz w:val="18"/>
                <w:szCs w:val="20"/>
                <w:lang w:val="bg-BG"/>
              </w:rPr>
            </w:pPr>
            <w:r w:rsidRPr="009072DA">
              <w:rPr>
                <w:lang w:val="bg-BG"/>
              </w:rPr>
              <w:tab/>
            </w:r>
            <w:r w:rsidRPr="009072DA">
              <w:rPr>
                <w:sz w:val="18"/>
                <w:lang w:val="bg-BG"/>
              </w:rPr>
              <w:t xml:space="preserve">3-то въже </w:t>
            </w:r>
            <w:r w:rsidRPr="009072DA">
              <w:rPr>
                <w:lang w:val="bg-BG"/>
              </w:rPr>
              <w:tab/>
            </w:r>
            <w:r w:rsidRPr="009072DA">
              <w:rPr>
                <w:sz w:val="18"/>
                <w:lang w:val="bg-BG"/>
              </w:rPr>
              <w:t xml:space="preserve"> m дълго, с натоварване на скъсване от</w:t>
            </w:r>
            <w:r w:rsidRPr="009072DA">
              <w:rPr>
                <w:lang w:val="bg-BG"/>
              </w:rPr>
              <w:tab/>
            </w:r>
            <w:r w:rsidRPr="009072DA">
              <w:rPr>
                <w:sz w:val="18"/>
                <w:lang w:val="bg-BG"/>
              </w:rPr>
              <w:t xml:space="preserve"> kN</w:t>
            </w:r>
            <w:r w:rsidRPr="009072DA">
              <w:rPr>
                <w:rFonts w:cs="Arial"/>
                <w:sz w:val="18"/>
                <w:szCs w:val="20"/>
                <w:lang w:val="bg-BG"/>
              </w:rPr>
              <w:br/>
            </w:r>
          </w:p>
        </w:tc>
        <w:tc>
          <w:tcPr>
            <w:tcW w:w="2271" w:type="dxa"/>
            <w:tcBorders>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top w:val="single" w:sz="6" w:space="0" w:color="auto"/>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sz w:val="18"/>
                <w:lang w:val="bg-BG"/>
              </w:rPr>
              <w:t>40.</w:t>
            </w:r>
          </w:p>
        </w:tc>
        <w:tc>
          <w:tcPr>
            <w:tcW w:w="6634" w:type="dxa"/>
            <w:gridSpan w:val="4"/>
            <w:tcBorders>
              <w:top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r w:rsidRPr="009072DA">
              <w:rPr>
                <w:lang w:val="bg-BG"/>
              </w:rPr>
              <w:tab/>
            </w:r>
            <w:r w:rsidRPr="009072DA">
              <w:rPr>
                <w:sz w:val="18"/>
                <w:lang w:val="bg-BG"/>
              </w:rPr>
              <w:t>Буксирни въжета</w:t>
            </w:r>
          </w:p>
        </w:tc>
        <w:tc>
          <w:tcPr>
            <w:tcW w:w="2271" w:type="dxa"/>
            <w:tcBorders>
              <w:top w:val="single" w:sz="6" w:space="0" w:color="auto"/>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r>
      <w:tr w:rsidR="009C13A9" w:rsidRPr="008D2440"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textAlignment w:val="baseline"/>
              <w:rPr>
                <w:rFonts w:cs="Arial"/>
                <w:sz w:val="18"/>
                <w:szCs w:val="20"/>
                <w:lang w:val="bg-BG"/>
              </w:rPr>
            </w:pPr>
          </w:p>
        </w:tc>
        <w:tc>
          <w:tcPr>
            <w:tcW w:w="6634" w:type="dxa"/>
            <w:gridSpan w:val="4"/>
          </w:tcPr>
          <w:p w:rsidR="009C13A9" w:rsidRPr="009072DA" w:rsidRDefault="009C13A9" w:rsidP="009C13A9">
            <w:pPr>
              <w:tabs>
                <w:tab w:val="left" w:pos="57"/>
                <w:tab w:val="left" w:leader="dot" w:pos="567"/>
                <w:tab w:val="left" w:leader="dot" w:pos="851"/>
                <w:tab w:val="left" w:leader="dot" w:pos="3005"/>
                <w:tab w:val="left" w:leader="dot" w:pos="6237"/>
              </w:tabs>
              <w:overflowPunct w:val="0"/>
              <w:adjustRightInd w:val="0"/>
              <w:textAlignment w:val="baseline"/>
              <w:rPr>
                <w:rFonts w:cs="Arial"/>
                <w:sz w:val="18"/>
                <w:szCs w:val="20"/>
                <w:lang w:val="bg-BG"/>
              </w:rPr>
            </w:pPr>
            <w:r w:rsidRPr="009072DA">
              <w:rPr>
                <w:lang w:val="bg-BG"/>
              </w:rPr>
              <w:tab/>
            </w:r>
            <w:r w:rsidRPr="009072DA">
              <w:rPr>
                <w:lang w:val="bg-BG"/>
              </w:rPr>
              <w:tab/>
            </w:r>
            <w:r w:rsidRPr="009072DA">
              <w:rPr>
                <w:sz w:val="18"/>
                <w:lang w:val="bg-BG"/>
              </w:rPr>
              <w:t xml:space="preserve"> с дължина </w:t>
            </w:r>
            <w:r w:rsidRPr="009072DA">
              <w:rPr>
                <w:lang w:val="bg-BG"/>
              </w:rPr>
              <w:tab/>
            </w:r>
            <w:r w:rsidRPr="009072DA">
              <w:rPr>
                <w:sz w:val="18"/>
                <w:lang w:val="bg-BG"/>
              </w:rPr>
              <w:t xml:space="preserve"> m и натоварване на скъсване от </w:t>
            </w:r>
            <w:r w:rsidRPr="009072DA">
              <w:rPr>
                <w:lang w:val="bg-BG"/>
              </w:rPr>
              <w:tab/>
            </w:r>
            <w:r w:rsidRPr="009072DA">
              <w:rPr>
                <w:sz w:val="18"/>
                <w:lang w:val="bg-BG"/>
              </w:rPr>
              <w:t xml:space="preserve"> kN</w:t>
            </w:r>
            <w:r w:rsidRPr="009072DA">
              <w:rPr>
                <w:rFonts w:cs="Arial"/>
                <w:sz w:val="18"/>
                <w:szCs w:val="20"/>
                <w:lang w:val="bg-BG"/>
              </w:rPr>
              <w:br/>
            </w:r>
          </w:p>
        </w:tc>
        <w:tc>
          <w:tcPr>
            <w:tcW w:w="2271" w:type="dxa"/>
            <w:tcBorders>
              <w:right w:val="single" w:sz="6" w:space="0" w:color="auto"/>
            </w:tcBorders>
          </w:tcPr>
          <w:p w:rsidR="009C13A9" w:rsidRPr="009072DA" w:rsidRDefault="009C13A9" w:rsidP="009C13A9">
            <w:pPr>
              <w:tabs>
                <w:tab w:val="left" w:pos="57"/>
                <w:tab w:val="left" w:pos="340"/>
              </w:tabs>
              <w:overflowPunct w:val="0"/>
              <w:adjustRightInd w:val="0"/>
              <w:textAlignment w:val="baseline"/>
              <w:rPr>
                <w:rFonts w:cs="Arial"/>
                <w:sz w:val="18"/>
                <w:szCs w:val="20"/>
                <w:lang w:val="bg-BG"/>
              </w:rPr>
            </w:pPr>
          </w:p>
        </w:tc>
      </w:tr>
      <w:tr w:rsidR="009C13A9" w:rsidRPr="008D2440"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spacing w:after="120"/>
              <w:textAlignment w:val="baseline"/>
              <w:rPr>
                <w:rFonts w:cs="Arial"/>
                <w:sz w:val="18"/>
                <w:szCs w:val="20"/>
                <w:lang w:val="bg-BG"/>
              </w:rPr>
            </w:pPr>
          </w:p>
        </w:tc>
        <w:tc>
          <w:tcPr>
            <w:tcW w:w="6634" w:type="dxa"/>
            <w:gridSpan w:val="4"/>
          </w:tcPr>
          <w:p w:rsidR="009C13A9" w:rsidRPr="009072DA" w:rsidRDefault="009C13A9" w:rsidP="009C13A9">
            <w:pPr>
              <w:tabs>
                <w:tab w:val="left" w:pos="57"/>
                <w:tab w:val="left" w:leader="dot" w:pos="567"/>
                <w:tab w:val="left" w:leader="dot" w:pos="851"/>
                <w:tab w:val="left" w:leader="dot" w:pos="1701"/>
                <w:tab w:val="left" w:leader="dot" w:pos="3005"/>
                <w:tab w:val="left" w:leader="dot" w:pos="6237"/>
              </w:tabs>
              <w:overflowPunct w:val="0"/>
              <w:adjustRightInd w:val="0"/>
              <w:spacing w:after="120"/>
              <w:textAlignment w:val="baseline"/>
              <w:rPr>
                <w:rFonts w:cs="Arial"/>
                <w:sz w:val="18"/>
                <w:szCs w:val="20"/>
                <w:lang w:val="bg-BG"/>
              </w:rPr>
            </w:pPr>
            <w:r w:rsidRPr="009072DA">
              <w:rPr>
                <w:lang w:val="bg-BG"/>
              </w:rPr>
              <w:tab/>
            </w:r>
            <w:r w:rsidRPr="009072DA">
              <w:rPr>
                <w:lang w:val="bg-BG"/>
              </w:rPr>
              <w:tab/>
            </w:r>
            <w:r w:rsidRPr="009072DA">
              <w:rPr>
                <w:sz w:val="18"/>
                <w:lang w:val="bg-BG"/>
              </w:rPr>
              <w:t xml:space="preserve"> с дължина </w:t>
            </w:r>
            <w:r w:rsidRPr="009072DA">
              <w:rPr>
                <w:lang w:val="bg-BG"/>
              </w:rPr>
              <w:tab/>
            </w:r>
            <w:r w:rsidRPr="009072DA">
              <w:rPr>
                <w:sz w:val="18"/>
                <w:lang w:val="bg-BG"/>
              </w:rPr>
              <w:t xml:space="preserve"> m и натоварване на скъсване от </w:t>
            </w:r>
            <w:r w:rsidRPr="009072DA">
              <w:rPr>
                <w:lang w:val="bg-BG"/>
              </w:rPr>
              <w:tab/>
            </w:r>
            <w:r w:rsidRPr="009072DA">
              <w:rPr>
                <w:sz w:val="18"/>
                <w:lang w:val="bg-BG"/>
              </w:rPr>
              <w:t xml:space="preserve"> kN</w:t>
            </w:r>
          </w:p>
        </w:tc>
        <w:tc>
          <w:tcPr>
            <w:tcW w:w="2271" w:type="dxa"/>
            <w:tcBorders>
              <w:right w:val="single" w:sz="6" w:space="0" w:color="auto"/>
            </w:tcBorders>
          </w:tcPr>
          <w:p w:rsidR="009C13A9" w:rsidRPr="009072DA" w:rsidRDefault="009C13A9" w:rsidP="009C13A9">
            <w:pPr>
              <w:tabs>
                <w:tab w:val="left" w:pos="57"/>
                <w:tab w:val="left" w:leader="dot" w:pos="1814"/>
              </w:tabs>
              <w:overflowPunct w:val="0"/>
              <w:adjustRightInd w:val="0"/>
              <w:spacing w:after="120"/>
              <w:textAlignment w:val="baseline"/>
              <w:rPr>
                <w:rFonts w:cs="Arial"/>
                <w:sz w:val="18"/>
                <w:szCs w:val="20"/>
                <w:lang w:val="bg-BG"/>
              </w:rPr>
            </w:pPr>
          </w:p>
        </w:tc>
      </w:tr>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r w:rsidRPr="009072DA">
              <w:rPr>
                <w:sz w:val="18"/>
                <w:lang w:val="bg-BG"/>
              </w:rPr>
              <w:lastRenderedPageBreak/>
              <w:t>41.</w:t>
            </w:r>
          </w:p>
        </w:tc>
        <w:tc>
          <w:tcPr>
            <w:tcW w:w="8905" w:type="dxa"/>
            <w:gridSpan w:val="5"/>
            <w:tcBorders>
              <w:top w:val="single" w:sz="6" w:space="0" w:color="auto"/>
              <w:bottom w:val="single" w:sz="6" w:space="0" w:color="auto"/>
              <w:right w:val="single" w:sz="6" w:space="0" w:color="auto"/>
            </w:tcBorders>
          </w:tcPr>
          <w:p w:rsidR="009C13A9" w:rsidRPr="009072DA" w:rsidRDefault="009C13A9" w:rsidP="006C7BF8">
            <w:pPr>
              <w:tabs>
                <w:tab w:val="left" w:pos="57"/>
                <w:tab w:val="left" w:pos="340"/>
                <w:tab w:val="left" w:leader="dot" w:pos="5103"/>
                <w:tab w:val="left" w:leader="dot" w:pos="8505"/>
              </w:tabs>
              <w:overflowPunct w:val="0"/>
              <w:adjustRightInd w:val="0"/>
              <w:spacing w:before="120"/>
              <w:ind w:left="57" w:right="57" w:hanging="57"/>
              <w:textAlignment w:val="baseline"/>
              <w:rPr>
                <w:rFonts w:cs="Arial"/>
                <w:sz w:val="18"/>
                <w:szCs w:val="20"/>
                <w:lang w:val="bg-BG"/>
              </w:rPr>
            </w:pPr>
            <w:r w:rsidRPr="009072DA">
              <w:rPr>
                <w:lang w:val="bg-BG"/>
              </w:rPr>
              <w:tab/>
            </w:r>
            <w:r w:rsidRPr="009072DA">
              <w:rPr>
                <w:sz w:val="18"/>
                <w:lang w:val="bg-BG"/>
              </w:rPr>
              <w:t>Визуални и звукови сигнали</w:t>
            </w:r>
            <w:r w:rsidRPr="009072DA">
              <w:rPr>
                <w:sz w:val="18"/>
                <w:szCs w:val="20"/>
                <w:lang w:val="bg-BG"/>
              </w:rPr>
              <w:br/>
            </w:r>
            <w:r w:rsidRPr="009072DA">
              <w:rPr>
                <w:sz w:val="18"/>
                <w:lang w:val="bg-BG"/>
              </w:rPr>
              <w:t>Светлини, флагове, топки, поплавъци и звукови предупредителни устройства, използвани за сигнализация и излъчване на визуалните и звуковите сигнали, както е предписано от [полицейските разпоредби за р. Рейн / приложимите</w:t>
            </w:r>
            <w:r w:rsidRPr="009072DA">
              <w:rPr>
                <w:lang w:val="bg-BG"/>
              </w:rPr>
              <w:t xml:space="preserve"> </w:t>
            </w:r>
            <w:r w:rsidRPr="009072DA">
              <w:rPr>
                <w:sz w:val="18"/>
                <w:lang w:val="bg-BG"/>
              </w:rPr>
              <w:t>разпоредби на навигационните служби на държавите членки] се носят на борда, както и самостоятелни извънредни швартови светлини, предвидени от [полицейските разпоредби за р. Рейн / приложимите разпоредби на навигационните служби на държавите членки].</w:t>
            </w:r>
            <w:r w:rsidRPr="009072DA">
              <w:rPr>
                <w:sz w:val="18"/>
                <w:szCs w:val="20"/>
                <w:lang w:val="bg-BG"/>
              </w:rPr>
              <w:br/>
            </w:r>
            <w:r w:rsidRPr="009072DA">
              <w:rPr>
                <w:sz w:val="18"/>
                <w:szCs w:val="20"/>
                <w:lang w:val="bg-BG"/>
              </w:rPr>
              <w:br/>
            </w:r>
          </w:p>
        </w:tc>
      </w:tr>
      <w:tr w:rsidR="009C13A9" w:rsidRPr="008D2440"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s>
              <w:overflowPunct w:val="0"/>
              <w:adjustRightInd w:val="0"/>
              <w:spacing w:before="80"/>
              <w:textAlignment w:val="baseline"/>
              <w:rPr>
                <w:rFonts w:cs="Arial"/>
                <w:sz w:val="18"/>
                <w:szCs w:val="20"/>
                <w:lang w:val="bg-BG"/>
              </w:rPr>
            </w:pPr>
            <w:r w:rsidRPr="009072DA">
              <w:rPr>
                <w:lang w:val="bg-BG"/>
              </w:rPr>
              <w:tab/>
            </w:r>
            <w:r w:rsidRPr="009072DA">
              <w:rPr>
                <w:sz w:val="18"/>
                <w:lang w:val="bg-BG"/>
              </w:rPr>
              <w:t>*)</w:t>
            </w:r>
            <w:r w:rsidRPr="009072DA">
              <w:rPr>
                <w:rFonts w:cs="Arial"/>
                <w:sz w:val="18"/>
                <w:szCs w:val="20"/>
                <w:lang w:val="bg-BG"/>
              </w:rPr>
              <w:br/>
            </w:r>
            <w:r w:rsidRPr="009072DA">
              <w:rPr>
                <w:rFonts w:cs="Arial"/>
                <w:sz w:val="18"/>
                <w:szCs w:val="20"/>
                <w:lang w:val="bg-BG"/>
              </w:rPr>
              <w:br/>
            </w:r>
          </w:p>
          <w:p w:rsidR="009C13A9" w:rsidRPr="009072DA" w:rsidRDefault="009C13A9" w:rsidP="009C13A9">
            <w:pPr>
              <w:tabs>
                <w:tab w:val="left" w:pos="57"/>
              </w:tabs>
              <w:overflowPunct w:val="0"/>
              <w:adjustRightInd w:val="0"/>
              <w:spacing w:before="80"/>
              <w:textAlignment w:val="baseline"/>
              <w:rPr>
                <w:rFonts w:cs="Arial"/>
                <w:sz w:val="18"/>
                <w:szCs w:val="20"/>
                <w:lang w:val="bg-BG"/>
              </w:rPr>
            </w:pPr>
          </w:p>
          <w:p w:rsidR="009C13A9" w:rsidRPr="009072DA" w:rsidRDefault="009C13A9" w:rsidP="009C13A9">
            <w:pPr>
              <w:tabs>
                <w:tab w:val="left" w:pos="57"/>
              </w:tabs>
              <w:overflowPunct w:val="0"/>
              <w:adjustRightInd w:val="0"/>
              <w:spacing w:before="160"/>
              <w:textAlignment w:val="baseline"/>
              <w:rPr>
                <w:rFonts w:cs="Arial"/>
                <w:sz w:val="18"/>
                <w:szCs w:val="20"/>
                <w:lang w:val="bg-BG"/>
              </w:rPr>
            </w:pPr>
            <w:r w:rsidRPr="009072DA">
              <w:rPr>
                <w:lang w:val="bg-BG"/>
              </w:rPr>
              <w:tab/>
            </w:r>
            <w:r w:rsidRPr="009072DA">
              <w:rPr>
                <w:sz w:val="18"/>
                <w:lang w:val="bg-BG"/>
              </w:rPr>
              <w:t>*)</w:t>
            </w:r>
          </w:p>
        </w:tc>
        <w:tc>
          <w:tcPr>
            <w:tcW w:w="8905" w:type="dxa"/>
            <w:gridSpan w:val="5"/>
            <w:tcBorders>
              <w:bottom w:val="single" w:sz="6" w:space="0" w:color="auto"/>
              <w:right w:val="single" w:sz="6" w:space="0" w:color="auto"/>
            </w:tcBorders>
          </w:tcPr>
          <w:p w:rsidR="009C13A9" w:rsidRPr="009072DA"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bg-BG"/>
              </w:rPr>
            </w:pPr>
            <w:r w:rsidRPr="009072DA">
              <w:rPr>
                <w:sz w:val="18"/>
                <w:lang w:val="bg-BG"/>
              </w:rPr>
              <w:t>Изменение на точка(и): ....................</w:t>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sz w:val="18"/>
                <w:lang w:val="bg-BG"/>
              </w:rPr>
              <w:t>Нов текст:</w:t>
            </w:r>
            <w:r w:rsidRPr="009072DA">
              <w:rPr>
                <w:lang w:val="bg-BG"/>
              </w:rPr>
              <w:tab/>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lang w:val="bg-BG"/>
              </w:rPr>
              <w:tab/>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lang w:val="bg-BG"/>
              </w:rPr>
              <w:tab/>
            </w:r>
          </w:p>
          <w:p w:rsidR="009C13A9" w:rsidRPr="009072D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bg-BG"/>
              </w:rPr>
            </w:pPr>
            <w:r w:rsidRPr="009072DA">
              <w:rPr>
                <w:sz w:val="18"/>
                <w:lang w:val="bg-BG"/>
              </w:rPr>
              <w:t>Тази страница е заменена.</w:t>
            </w:r>
          </w:p>
          <w:p w:rsidR="009C13A9" w:rsidRPr="009072D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bg-BG"/>
              </w:rPr>
            </w:pPr>
            <w:r w:rsidRPr="009072DA">
              <w:rPr>
                <w:sz w:val="18"/>
                <w:lang w:val="bg-BG"/>
              </w:rPr>
              <w:t xml:space="preserve">Място, дата </w:t>
            </w:r>
            <w:r w:rsidRPr="009072DA">
              <w:rPr>
                <w:lang w:val="bg-BG"/>
              </w:rPr>
              <w:tab/>
            </w:r>
            <w:r w:rsidRPr="009072DA">
              <w:rPr>
                <w:lang w:val="bg-BG"/>
              </w:rPr>
              <w:tab/>
            </w:r>
            <w:r w:rsidRPr="009072DA">
              <w:rPr>
                <w:sz w:val="18"/>
                <w:lang w:val="bg-BG"/>
              </w:rPr>
              <w:t>Контролен орган</w:t>
            </w:r>
          </w:p>
          <w:p w:rsidR="009C13A9" w:rsidRPr="009072DA" w:rsidRDefault="009C13A9" w:rsidP="009C13A9">
            <w:pPr>
              <w:tabs>
                <w:tab w:val="left" w:pos="5103"/>
                <w:tab w:val="left" w:leader="dot" w:pos="8505"/>
              </w:tabs>
              <w:overflowPunct w:val="0"/>
              <w:adjustRightInd w:val="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1701"/>
              </w:tabs>
              <w:overflowPunct w:val="0"/>
              <w:adjustRightInd w:val="0"/>
              <w:spacing w:after="80"/>
              <w:textAlignment w:val="baseline"/>
              <w:rPr>
                <w:rFonts w:cs="Arial"/>
                <w:sz w:val="18"/>
                <w:szCs w:val="20"/>
                <w:lang w:val="bg-BG"/>
              </w:rPr>
            </w:pPr>
            <w:r w:rsidRPr="009072DA">
              <w:rPr>
                <w:lang w:val="bg-BG"/>
              </w:rPr>
              <w:tab/>
            </w:r>
            <w:r w:rsidRPr="009072DA">
              <w:rPr>
                <w:sz w:val="18"/>
                <w:lang w:val="bg-BG"/>
              </w:rPr>
              <w:t>Печат</w:t>
            </w:r>
          </w:p>
          <w:p w:rsidR="009C13A9" w:rsidRPr="009072DA" w:rsidRDefault="009C13A9" w:rsidP="009C13A9">
            <w:pPr>
              <w:tabs>
                <w:tab w:val="left" w:pos="5103"/>
                <w:tab w:val="left" w:leader="dot" w:pos="8505"/>
              </w:tabs>
              <w:overflowPunct w:val="0"/>
              <w:adjustRightInd w:val="0"/>
              <w:textAlignment w:val="baseline"/>
              <w:rPr>
                <w:rFonts w:cs="Arial"/>
                <w:szCs w:val="20"/>
                <w:lang w:val="bg-BG"/>
              </w:rPr>
            </w:pPr>
            <w:r w:rsidRPr="009072DA">
              <w:rPr>
                <w:lang w:val="bg-BG"/>
              </w:rPr>
              <w:tab/>
            </w:r>
            <w:r w:rsidRPr="009072DA">
              <w:rPr>
                <w:lang w:val="bg-BG"/>
              </w:rPr>
              <w:tab/>
            </w:r>
          </w:p>
          <w:p w:rsidR="009C13A9" w:rsidRPr="009072DA" w:rsidRDefault="009C13A9" w:rsidP="009C13A9">
            <w:pPr>
              <w:tabs>
                <w:tab w:val="center" w:pos="6862"/>
              </w:tabs>
              <w:overflowPunct w:val="0"/>
              <w:adjustRightInd w:val="0"/>
              <w:textAlignment w:val="baseline"/>
              <w:rPr>
                <w:rFonts w:cs="Arial"/>
                <w:sz w:val="16"/>
                <w:szCs w:val="20"/>
                <w:lang w:val="bg-BG"/>
              </w:rPr>
            </w:pPr>
            <w:r w:rsidRPr="009072DA">
              <w:rPr>
                <w:lang w:val="bg-BG"/>
              </w:rPr>
              <w:tab/>
            </w:r>
            <w:r w:rsidRPr="009072DA">
              <w:rPr>
                <w:sz w:val="16"/>
                <w:lang w:val="bg-BG"/>
              </w:rPr>
              <w:t>(Подпис)</w:t>
            </w:r>
          </w:p>
          <w:p w:rsidR="009C13A9" w:rsidRPr="009072D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bg-BG"/>
              </w:rPr>
            </w:pPr>
            <w:r w:rsidRPr="009072DA">
              <w:rPr>
                <w:sz w:val="18"/>
                <w:lang w:val="bg-BG"/>
              </w:rPr>
              <w:t>_______________________</w:t>
            </w:r>
          </w:p>
          <w:p w:rsidR="009C13A9" w:rsidRPr="009072DA" w:rsidRDefault="009C13A9" w:rsidP="009C13A9">
            <w:pPr>
              <w:tabs>
                <w:tab w:val="left" w:pos="284"/>
              </w:tabs>
              <w:overflowPunct w:val="0"/>
              <w:adjustRightInd w:val="0"/>
              <w:spacing w:after="40"/>
              <w:ind w:left="57"/>
              <w:textAlignment w:val="baseline"/>
              <w:rPr>
                <w:rFonts w:cs="Arial"/>
                <w:sz w:val="18"/>
                <w:szCs w:val="20"/>
                <w:lang w:val="bg-BG"/>
              </w:rPr>
            </w:pPr>
            <w:r w:rsidRPr="009072DA">
              <w:rPr>
                <w:position w:val="4"/>
                <w:sz w:val="16"/>
                <w:lang w:val="bg-BG"/>
              </w:rPr>
              <w:t>*)</w:t>
            </w:r>
            <w:r w:rsidRPr="009072DA">
              <w:rPr>
                <w:lang w:val="bg-BG"/>
              </w:rPr>
              <w:tab/>
            </w:r>
            <w:r w:rsidRPr="009072DA">
              <w:rPr>
                <w:sz w:val="16"/>
                <w:lang w:val="bg-BG"/>
              </w:rPr>
              <w:t>Ненужното се зачерква</w:t>
            </w:r>
          </w:p>
        </w:tc>
      </w:tr>
    </w:tbl>
    <w:p w:rsidR="009C13A9" w:rsidRPr="009072DA" w:rsidRDefault="009C13A9" w:rsidP="009C13A9">
      <w:pPr>
        <w:overflowPunct w:val="0"/>
        <w:adjustRightInd w:val="0"/>
        <w:textAlignment w:val="baseline"/>
        <w:rPr>
          <w:rFonts w:cs="Arial"/>
          <w:szCs w:val="20"/>
          <w:lang w:val="bg-BG"/>
        </w:rPr>
      </w:pPr>
    </w:p>
    <w:p w:rsidR="009C13A9" w:rsidRPr="009072DA" w:rsidRDefault="009C13A9" w:rsidP="00AA5614">
      <w:pPr>
        <w:tabs>
          <w:tab w:val="left" w:leader="dot" w:pos="2835"/>
          <w:tab w:val="left" w:leader="dot" w:pos="5103"/>
        </w:tabs>
        <w:overflowPunct w:val="0"/>
        <w:adjustRightInd w:val="0"/>
        <w:textAlignment w:val="baseline"/>
        <w:rPr>
          <w:rFonts w:cs="Arial"/>
          <w:szCs w:val="20"/>
          <w:lang w:val="bg-BG"/>
        </w:rPr>
      </w:pPr>
      <w:r w:rsidRPr="009072DA">
        <w:rPr>
          <w:lang w:val="bg-BG"/>
        </w:rPr>
        <w:br w:type="page"/>
      </w:r>
      <w:r w:rsidRPr="009072DA">
        <w:rPr>
          <w:lang w:val="bg-BG"/>
        </w:rPr>
        <w:lastRenderedPageBreak/>
        <w:t xml:space="preserve">Удостоверение на плавателния съд за плаване по вътрешни водни пътища № </w:t>
      </w:r>
      <w:r w:rsidRPr="009072DA">
        <w:rPr>
          <w:lang w:val="bg-BG"/>
        </w:rPr>
        <w:tab/>
        <w:t xml:space="preserve"> на контролния орган</w:t>
      </w:r>
    </w:p>
    <w:tbl>
      <w:tblPr>
        <w:tblW w:w="9186" w:type="dxa"/>
        <w:jc w:val="center"/>
        <w:tblLayout w:type="fixed"/>
        <w:tblCellMar>
          <w:left w:w="0" w:type="dxa"/>
          <w:right w:w="0" w:type="dxa"/>
        </w:tblCellMar>
        <w:tblLook w:val="0000" w:firstRow="0" w:lastRow="0" w:firstColumn="0" w:lastColumn="0" w:noHBand="0" w:noVBand="0"/>
      </w:tblPr>
      <w:tblGrid>
        <w:gridCol w:w="284"/>
        <w:gridCol w:w="4451"/>
        <w:gridCol w:w="4445"/>
        <w:gridCol w:w="6"/>
      </w:tblGrid>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20"/>
              <w:textAlignment w:val="baseline"/>
              <w:rPr>
                <w:rFonts w:cs="Arial"/>
                <w:sz w:val="18"/>
                <w:szCs w:val="20"/>
                <w:lang w:val="bg-BG"/>
              </w:rPr>
            </w:pPr>
            <w:r w:rsidRPr="009072DA">
              <w:rPr>
                <w:sz w:val="18"/>
                <w:lang w:val="bg-BG"/>
              </w:rPr>
              <w:t>42.</w:t>
            </w:r>
          </w:p>
        </w:tc>
        <w:tc>
          <w:tcPr>
            <w:tcW w:w="4451" w:type="dxa"/>
            <w:tcBorders>
              <w:top w:val="single" w:sz="6" w:space="0" w:color="auto"/>
              <w:bottom w:val="single" w:sz="6" w:space="0" w:color="auto"/>
            </w:tcBorders>
          </w:tcPr>
          <w:p w:rsidR="009C13A9" w:rsidRPr="009072DA" w:rsidRDefault="009C13A9" w:rsidP="009C13A9">
            <w:pPr>
              <w:overflowPunct w:val="0"/>
              <w:adjustRightInd w:val="0"/>
              <w:spacing w:before="20" w:after="20"/>
              <w:ind w:left="57"/>
              <w:textAlignment w:val="baseline"/>
              <w:rPr>
                <w:rFonts w:cs="Arial"/>
                <w:sz w:val="18"/>
                <w:szCs w:val="20"/>
                <w:lang w:val="bg-BG"/>
              </w:rPr>
            </w:pPr>
            <w:r w:rsidRPr="009072DA">
              <w:rPr>
                <w:sz w:val="18"/>
                <w:lang w:val="bg-BG"/>
              </w:rPr>
              <w:t>Друго оборудване</w:t>
            </w:r>
          </w:p>
          <w:p w:rsidR="009C13A9" w:rsidRPr="009072DA" w:rsidRDefault="009C13A9" w:rsidP="009C13A9">
            <w:pPr>
              <w:overflowPunct w:val="0"/>
              <w:adjustRightInd w:val="0"/>
              <w:spacing w:before="20" w:after="20"/>
              <w:ind w:left="57"/>
              <w:textAlignment w:val="baseline"/>
              <w:rPr>
                <w:rFonts w:cs="Arial"/>
                <w:sz w:val="18"/>
                <w:szCs w:val="20"/>
                <w:lang w:val="bg-BG"/>
              </w:rPr>
            </w:pPr>
            <w:r w:rsidRPr="009072DA">
              <w:rPr>
                <w:sz w:val="18"/>
                <w:lang w:val="bg-BG"/>
              </w:rPr>
              <w:t>Хвъргало</w:t>
            </w:r>
          </w:p>
          <w:p w:rsidR="009C13A9" w:rsidRPr="009072DA" w:rsidRDefault="009C13A9" w:rsidP="009C13A9">
            <w:pPr>
              <w:tabs>
                <w:tab w:val="left" w:pos="1010"/>
              </w:tabs>
              <w:overflowPunct w:val="0"/>
              <w:adjustRightInd w:val="0"/>
              <w:spacing w:before="20" w:after="20"/>
              <w:ind w:left="57"/>
              <w:textAlignment w:val="baseline"/>
              <w:rPr>
                <w:rFonts w:cs="Arial"/>
                <w:sz w:val="18"/>
                <w:szCs w:val="20"/>
                <w:lang w:val="bg-BG"/>
              </w:rPr>
            </w:pPr>
            <w:r w:rsidRPr="009072DA">
              <w:rPr>
                <w:sz w:val="18"/>
                <w:lang w:val="bg-BG"/>
              </w:rPr>
              <w:t>Корабен трап</w:t>
            </w:r>
            <w:r w:rsidRPr="009072DA">
              <w:rPr>
                <w:lang w:val="bg-BG"/>
              </w:rPr>
              <w:tab/>
            </w:r>
            <w:r w:rsidRPr="009072DA">
              <w:rPr>
                <w:sz w:val="18"/>
                <w:lang w:val="bg-BG"/>
              </w:rPr>
              <w:t>в съответствие с член 13.02, точка 3, буква г)*)/</w:t>
            </w:r>
          </w:p>
          <w:p w:rsidR="009C13A9" w:rsidRPr="009072DA" w:rsidRDefault="009C13A9" w:rsidP="009C13A9">
            <w:pPr>
              <w:tabs>
                <w:tab w:val="left" w:pos="1010"/>
              </w:tabs>
              <w:overflowPunct w:val="0"/>
              <w:adjustRightInd w:val="0"/>
              <w:spacing w:before="20" w:after="20"/>
              <w:ind w:left="57"/>
              <w:textAlignment w:val="baseline"/>
              <w:rPr>
                <w:rFonts w:cs="Arial"/>
                <w:sz w:val="18"/>
                <w:szCs w:val="20"/>
                <w:lang w:val="bg-BG"/>
              </w:rPr>
            </w:pPr>
            <w:r w:rsidRPr="009072DA">
              <w:rPr>
                <w:lang w:val="bg-BG"/>
              </w:rPr>
              <w:tab/>
            </w:r>
            <w:r w:rsidRPr="009072DA">
              <w:rPr>
                <w:sz w:val="18"/>
                <w:lang w:val="bg-BG"/>
              </w:rPr>
              <w:t xml:space="preserve">в съответствие с 19.06, точка 12*), </w:t>
            </w:r>
          </w:p>
          <w:p w:rsidR="009C13A9" w:rsidRPr="009072DA" w:rsidRDefault="009C13A9" w:rsidP="009C13A9">
            <w:pPr>
              <w:tabs>
                <w:tab w:val="left" w:pos="1010"/>
              </w:tabs>
              <w:overflowPunct w:val="0"/>
              <w:adjustRightInd w:val="0"/>
              <w:spacing w:before="20" w:after="20"/>
              <w:ind w:left="57"/>
              <w:textAlignment w:val="baseline"/>
              <w:rPr>
                <w:rFonts w:cs="Arial"/>
                <w:sz w:val="18"/>
                <w:szCs w:val="20"/>
                <w:lang w:val="bg-BG"/>
              </w:rPr>
            </w:pPr>
            <w:r w:rsidRPr="009072DA">
              <w:rPr>
                <w:lang w:val="bg-BG"/>
              </w:rPr>
              <w:tab/>
            </w:r>
            <w:r w:rsidRPr="009072DA">
              <w:rPr>
                <w:sz w:val="18"/>
                <w:lang w:val="bg-BG"/>
              </w:rPr>
              <w:t xml:space="preserve">Дължина... m </w:t>
            </w:r>
          </w:p>
          <w:p w:rsidR="009C13A9" w:rsidRPr="009072DA" w:rsidRDefault="009C13A9" w:rsidP="009C13A9">
            <w:pPr>
              <w:tabs>
                <w:tab w:val="left" w:pos="970"/>
              </w:tabs>
              <w:overflowPunct w:val="0"/>
              <w:adjustRightInd w:val="0"/>
              <w:spacing w:before="20" w:after="20"/>
              <w:ind w:left="57"/>
              <w:textAlignment w:val="baseline"/>
              <w:rPr>
                <w:rFonts w:cs="Arial"/>
                <w:sz w:val="18"/>
                <w:szCs w:val="20"/>
                <w:lang w:val="bg-BG"/>
              </w:rPr>
            </w:pPr>
            <w:r w:rsidRPr="009072DA">
              <w:rPr>
                <w:sz w:val="18"/>
                <w:lang w:val="bg-BG"/>
              </w:rPr>
              <w:t>Гафелна кука</w:t>
            </w:r>
          </w:p>
          <w:p w:rsidR="009C13A9" w:rsidRPr="009072DA" w:rsidRDefault="009C13A9" w:rsidP="009C13A9">
            <w:pPr>
              <w:overflowPunct w:val="0"/>
              <w:adjustRightInd w:val="0"/>
              <w:spacing w:before="20" w:after="20"/>
              <w:ind w:left="57"/>
              <w:textAlignment w:val="baseline"/>
              <w:rPr>
                <w:rFonts w:cs="Arial"/>
                <w:sz w:val="18"/>
                <w:szCs w:val="20"/>
                <w:lang w:val="bg-BG"/>
              </w:rPr>
            </w:pPr>
            <w:r w:rsidRPr="009072DA">
              <w:rPr>
                <w:sz w:val="18"/>
                <w:lang w:val="bg-BG"/>
              </w:rPr>
              <w:t>Брой комплекти за оказване на първа помощ...</w:t>
            </w:r>
          </w:p>
          <w:p w:rsidR="009C13A9" w:rsidRPr="009072DA" w:rsidRDefault="009C13A9" w:rsidP="009C13A9">
            <w:pPr>
              <w:overflowPunct w:val="0"/>
              <w:adjustRightInd w:val="0"/>
              <w:spacing w:before="20" w:after="20"/>
              <w:ind w:left="57"/>
              <w:textAlignment w:val="baseline"/>
              <w:rPr>
                <w:rFonts w:cs="Arial"/>
                <w:sz w:val="18"/>
                <w:szCs w:val="20"/>
                <w:lang w:val="bg-BG"/>
              </w:rPr>
            </w:pPr>
            <w:r w:rsidRPr="009072DA">
              <w:rPr>
                <w:sz w:val="18"/>
                <w:lang w:val="bg-BG"/>
              </w:rPr>
              <w:t>Бинокъл</w:t>
            </w:r>
          </w:p>
          <w:p w:rsidR="009C13A9" w:rsidRPr="009072DA" w:rsidRDefault="009C13A9" w:rsidP="009C13A9">
            <w:pPr>
              <w:overflowPunct w:val="0"/>
              <w:adjustRightInd w:val="0"/>
              <w:spacing w:before="20" w:after="20"/>
              <w:ind w:left="57"/>
              <w:textAlignment w:val="baseline"/>
              <w:rPr>
                <w:rFonts w:cs="Arial"/>
                <w:sz w:val="18"/>
                <w:szCs w:val="20"/>
                <w:lang w:val="bg-BG"/>
              </w:rPr>
            </w:pPr>
            <w:r w:rsidRPr="009072DA">
              <w:rPr>
                <w:sz w:val="18"/>
                <w:lang w:val="bg-BG"/>
              </w:rPr>
              <w:t>Табела относно спасяването на хора зад борда</w:t>
            </w:r>
          </w:p>
          <w:p w:rsidR="009C13A9" w:rsidRPr="009072DA" w:rsidRDefault="009C13A9" w:rsidP="009C13A9">
            <w:pPr>
              <w:overflowPunct w:val="0"/>
              <w:adjustRightInd w:val="0"/>
              <w:spacing w:before="20" w:after="20"/>
              <w:ind w:left="57"/>
              <w:textAlignment w:val="baseline"/>
              <w:rPr>
                <w:rFonts w:cs="Arial"/>
                <w:sz w:val="18"/>
                <w:szCs w:val="20"/>
                <w:lang w:val="bg-BG"/>
              </w:rPr>
            </w:pPr>
            <w:r w:rsidRPr="009072DA">
              <w:rPr>
                <w:sz w:val="18"/>
                <w:lang w:val="bg-BG"/>
              </w:rPr>
              <w:t xml:space="preserve">Прожектор, който може да се управлява от </w:t>
            </w:r>
          </w:p>
          <w:p w:rsidR="009C13A9" w:rsidRPr="009072DA" w:rsidRDefault="009C13A9" w:rsidP="009C13A9">
            <w:pPr>
              <w:overflowPunct w:val="0"/>
              <w:adjustRightInd w:val="0"/>
              <w:spacing w:before="20" w:after="20"/>
              <w:ind w:left="57"/>
              <w:textAlignment w:val="baseline"/>
              <w:rPr>
                <w:rFonts w:cs="Arial"/>
                <w:sz w:val="18"/>
                <w:szCs w:val="20"/>
                <w:lang w:val="bg-BG"/>
              </w:rPr>
            </w:pPr>
            <w:r w:rsidRPr="009072DA">
              <w:rPr>
                <w:sz w:val="18"/>
                <w:lang w:val="bg-BG"/>
              </w:rPr>
              <w:t>рулева рубка</w:t>
            </w:r>
          </w:p>
          <w:p w:rsidR="009C13A9" w:rsidRPr="009072DA" w:rsidRDefault="009C13A9" w:rsidP="009C13A9">
            <w:pPr>
              <w:overflowPunct w:val="0"/>
              <w:adjustRightInd w:val="0"/>
              <w:spacing w:before="20" w:after="20"/>
              <w:ind w:left="57"/>
              <w:textAlignment w:val="baseline"/>
              <w:rPr>
                <w:rFonts w:cs="Arial"/>
                <w:sz w:val="18"/>
                <w:szCs w:val="20"/>
                <w:lang w:val="bg-BG"/>
              </w:rPr>
            </w:pPr>
            <w:r w:rsidRPr="009072DA">
              <w:rPr>
                <w:sz w:val="18"/>
                <w:lang w:val="bg-BG"/>
              </w:rPr>
              <w:t>Огнеустойчиви съдове.....</w:t>
            </w:r>
          </w:p>
          <w:p w:rsidR="009C13A9" w:rsidRPr="009072DA" w:rsidRDefault="009C13A9" w:rsidP="009C13A9">
            <w:pPr>
              <w:tabs>
                <w:tab w:val="left" w:pos="57"/>
                <w:tab w:val="left" w:pos="340"/>
                <w:tab w:val="left" w:pos="3402"/>
                <w:tab w:val="left" w:pos="3969"/>
                <w:tab w:val="left" w:pos="4820"/>
                <w:tab w:val="left" w:pos="4990"/>
                <w:tab w:val="left" w:pos="5160"/>
              </w:tabs>
              <w:overflowPunct w:val="0"/>
              <w:adjustRightInd w:val="0"/>
              <w:spacing w:before="20" w:after="20"/>
              <w:ind w:left="57"/>
              <w:textAlignment w:val="baseline"/>
              <w:rPr>
                <w:rFonts w:cs="Arial"/>
                <w:sz w:val="18"/>
                <w:szCs w:val="20"/>
                <w:lang w:val="bg-BG"/>
              </w:rPr>
            </w:pPr>
            <w:r w:rsidRPr="009072DA">
              <w:rPr>
                <w:sz w:val="18"/>
                <w:lang w:val="bg-BG"/>
              </w:rPr>
              <w:t xml:space="preserve">Стълба/подвижна стълба </w:t>
            </w:r>
            <w:r w:rsidRPr="009072DA">
              <w:rPr>
                <w:position w:val="6"/>
                <w:sz w:val="14"/>
                <w:lang w:val="bg-BG"/>
              </w:rPr>
              <w:t>*)</w:t>
            </w:r>
          </w:p>
        </w:tc>
        <w:tc>
          <w:tcPr>
            <w:tcW w:w="4451" w:type="dxa"/>
            <w:gridSpan w:val="2"/>
            <w:tcBorders>
              <w:top w:val="single" w:sz="6" w:space="0" w:color="auto"/>
              <w:bottom w:val="single" w:sz="6" w:space="0" w:color="auto"/>
              <w:right w:val="single" w:sz="6" w:space="0" w:color="auto"/>
            </w:tcBorders>
          </w:tcPr>
          <w:p w:rsidR="009C13A9" w:rsidRPr="009072DA" w:rsidRDefault="009C13A9" w:rsidP="009C13A9">
            <w:pPr>
              <w:tabs>
                <w:tab w:val="left" w:pos="1844"/>
              </w:tabs>
              <w:overflowPunct w:val="0"/>
              <w:adjustRightInd w:val="0"/>
              <w:spacing w:before="20" w:after="20"/>
              <w:ind w:left="1844" w:hanging="1844"/>
              <w:textAlignment w:val="baseline"/>
              <w:rPr>
                <w:rFonts w:cs="Arial"/>
                <w:sz w:val="18"/>
                <w:szCs w:val="20"/>
                <w:lang w:val="bg-BG"/>
              </w:rPr>
            </w:pPr>
            <w:r w:rsidRPr="009072DA">
              <w:rPr>
                <w:sz w:val="18"/>
                <w:lang w:val="bg-BG"/>
              </w:rPr>
              <w:t>Гласова комуникация</w:t>
            </w:r>
            <w:r w:rsidRPr="009072DA">
              <w:rPr>
                <w:lang w:val="bg-BG"/>
              </w:rPr>
              <w:tab/>
            </w:r>
            <w:r w:rsidRPr="009072DA">
              <w:rPr>
                <w:sz w:val="18"/>
                <w:lang w:val="bg-BG"/>
              </w:rPr>
              <w:t>алтернативна двупосочна*)</w:t>
            </w:r>
          </w:p>
          <w:p w:rsidR="009C13A9" w:rsidRPr="009072DA" w:rsidRDefault="009C13A9" w:rsidP="009C13A9">
            <w:pPr>
              <w:tabs>
                <w:tab w:val="left" w:pos="1844"/>
              </w:tabs>
              <w:overflowPunct w:val="0"/>
              <w:adjustRightInd w:val="0"/>
              <w:spacing w:before="20" w:after="20"/>
              <w:ind w:left="1844" w:hanging="1844"/>
              <w:textAlignment w:val="baseline"/>
              <w:rPr>
                <w:rFonts w:cs="Arial"/>
                <w:sz w:val="18"/>
                <w:szCs w:val="20"/>
                <w:lang w:val="bg-BG"/>
              </w:rPr>
            </w:pPr>
            <w:r w:rsidRPr="009072DA">
              <w:rPr>
                <w:sz w:val="18"/>
                <w:lang w:val="bg-BG"/>
              </w:rPr>
              <w:t>система</w:t>
            </w:r>
            <w:r w:rsidRPr="009072DA">
              <w:rPr>
                <w:lang w:val="bg-BG"/>
              </w:rPr>
              <w:tab/>
            </w:r>
            <w:r w:rsidRPr="009072DA">
              <w:rPr>
                <w:sz w:val="18"/>
                <w:lang w:val="bg-BG"/>
              </w:rPr>
              <w:t>едновременна двупосочна/телефон *)</w:t>
            </w:r>
          </w:p>
          <w:p w:rsidR="009C13A9" w:rsidRPr="009072DA" w:rsidRDefault="009C13A9" w:rsidP="009C13A9">
            <w:pPr>
              <w:tabs>
                <w:tab w:val="left" w:pos="1844"/>
                <w:tab w:val="left" w:pos="1910"/>
              </w:tabs>
              <w:overflowPunct w:val="0"/>
              <w:adjustRightInd w:val="0"/>
              <w:spacing w:before="20" w:after="20"/>
              <w:ind w:left="1844" w:hanging="1844"/>
              <w:textAlignment w:val="baseline"/>
              <w:rPr>
                <w:rFonts w:cs="Arial"/>
                <w:sz w:val="18"/>
                <w:szCs w:val="20"/>
                <w:lang w:val="bg-BG"/>
              </w:rPr>
            </w:pPr>
            <w:r w:rsidRPr="009072DA">
              <w:rPr>
                <w:lang w:val="bg-BG"/>
              </w:rPr>
              <w:tab/>
            </w:r>
            <w:r w:rsidRPr="009072DA">
              <w:rPr>
                <w:sz w:val="18"/>
                <w:lang w:val="bg-BG"/>
              </w:rPr>
              <w:t xml:space="preserve">вътрешна радиотелефонна връзка *) </w:t>
            </w:r>
          </w:p>
          <w:p w:rsidR="009C13A9" w:rsidRPr="009072DA" w:rsidRDefault="009C13A9" w:rsidP="009C13A9">
            <w:pPr>
              <w:tabs>
                <w:tab w:val="left" w:pos="1844"/>
                <w:tab w:val="left" w:pos="1910"/>
              </w:tabs>
              <w:overflowPunct w:val="0"/>
              <w:adjustRightInd w:val="0"/>
              <w:spacing w:before="20" w:after="20"/>
              <w:ind w:left="1844" w:hanging="1844"/>
              <w:textAlignment w:val="baseline"/>
              <w:rPr>
                <w:rFonts w:cs="Arial"/>
                <w:sz w:val="18"/>
                <w:szCs w:val="20"/>
                <w:lang w:val="bg-BG"/>
              </w:rPr>
            </w:pPr>
          </w:p>
          <w:p w:rsidR="009C13A9" w:rsidRPr="009072DA" w:rsidRDefault="009C13A9" w:rsidP="009C13A9">
            <w:pPr>
              <w:tabs>
                <w:tab w:val="left" w:pos="1702"/>
              </w:tabs>
              <w:overflowPunct w:val="0"/>
              <w:adjustRightInd w:val="0"/>
              <w:spacing w:before="20" w:after="20"/>
              <w:ind w:left="1702" w:hanging="1702"/>
              <w:textAlignment w:val="baseline"/>
              <w:rPr>
                <w:rFonts w:cs="Arial"/>
                <w:sz w:val="18"/>
                <w:szCs w:val="20"/>
                <w:lang w:val="bg-BG"/>
              </w:rPr>
            </w:pPr>
            <w:r w:rsidRPr="009072DA">
              <w:rPr>
                <w:sz w:val="18"/>
                <w:lang w:val="bg-BG"/>
              </w:rPr>
              <w:t>Радио-телефонни</w:t>
            </w:r>
            <w:r w:rsidRPr="009072DA">
              <w:rPr>
                <w:lang w:val="bg-BG"/>
              </w:rPr>
              <w:tab/>
            </w:r>
            <w:r w:rsidRPr="009072DA">
              <w:rPr>
                <w:sz w:val="18"/>
                <w:lang w:val="bg-BG"/>
              </w:rPr>
              <w:t>връзка между плавателни съдове</w:t>
            </w:r>
          </w:p>
          <w:p w:rsidR="009C13A9" w:rsidRPr="009072DA" w:rsidRDefault="009C13A9" w:rsidP="009C13A9">
            <w:pPr>
              <w:tabs>
                <w:tab w:val="left" w:pos="1702"/>
              </w:tabs>
              <w:overflowPunct w:val="0"/>
              <w:adjustRightInd w:val="0"/>
              <w:spacing w:before="20" w:after="20"/>
              <w:ind w:left="1702" w:hanging="1702"/>
              <w:textAlignment w:val="baseline"/>
              <w:rPr>
                <w:rFonts w:cs="Arial"/>
                <w:sz w:val="18"/>
                <w:szCs w:val="20"/>
                <w:lang w:val="bg-BG"/>
              </w:rPr>
            </w:pPr>
            <w:r w:rsidRPr="009072DA">
              <w:rPr>
                <w:sz w:val="18"/>
                <w:lang w:val="bg-BG"/>
              </w:rPr>
              <w:t>системи</w:t>
            </w:r>
            <w:r w:rsidRPr="009072DA">
              <w:rPr>
                <w:lang w:val="bg-BG"/>
              </w:rPr>
              <w:tab/>
            </w:r>
            <w:r w:rsidRPr="009072DA">
              <w:rPr>
                <w:sz w:val="18"/>
                <w:lang w:val="bg-BG"/>
              </w:rPr>
              <w:t>морско информационно обслужване</w:t>
            </w:r>
          </w:p>
          <w:p w:rsidR="009C13A9" w:rsidRPr="009072DA" w:rsidRDefault="009C13A9" w:rsidP="009C13A9">
            <w:pPr>
              <w:tabs>
                <w:tab w:val="left" w:pos="1702"/>
              </w:tabs>
              <w:overflowPunct w:val="0"/>
              <w:adjustRightInd w:val="0"/>
              <w:spacing w:before="20" w:after="20"/>
              <w:ind w:left="1702" w:hanging="1702"/>
              <w:textAlignment w:val="baseline"/>
              <w:rPr>
                <w:rFonts w:cs="Arial"/>
                <w:sz w:val="18"/>
                <w:szCs w:val="20"/>
                <w:lang w:val="bg-BG"/>
              </w:rPr>
            </w:pPr>
            <w:r w:rsidRPr="009072DA">
              <w:rPr>
                <w:lang w:val="bg-BG"/>
              </w:rPr>
              <w:tab/>
            </w:r>
            <w:r w:rsidRPr="009072DA">
              <w:rPr>
                <w:sz w:val="18"/>
                <w:lang w:val="bg-BG"/>
              </w:rPr>
              <w:t>връзка между плавателен съд и пристанищна служба</w:t>
            </w:r>
          </w:p>
          <w:p w:rsidR="009C13A9" w:rsidRPr="009072DA" w:rsidRDefault="009C13A9" w:rsidP="009C13A9">
            <w:pPr>
              <w:tabs>
                <w:tab w:val="left" w:pos="1702"/>
              </w:tabs>
              <w:overflowPunct w:val="0"/>
              <w:adjustRightInd w:val="0"/>
              <w:spacing w:before="20" w:after="20"/>
              <w:ind w:left="1702" w:hanging="1702"/>
              <w:textAlignment w:val="baseline"/>
              <w:rPr>
                <w:rFonts w:cs="Arial"/>
                <w:sz w:val="18"/>
                <w:szCs w:val="20"/>
                <w:lang w:val="bg-BG"/>
              </w:rPr>
            </w:pPr>
          </w:p>
          <w:p w:rsidR="009C13A9" w:rsidRPr="009072DA" w:rsidRDefault="009C13A9" w:rsidP="009C13A9">
            <w:pPr>
              <w:tabs>
                <w:tab w:val="left" w:pos="1702"/>
              </w:tabs>
              <w:overflowPunct w:val="0"/>
              <w:adjustRightInd w:val="0"/>
              <w:spacing w:before="20" w:after="20"/>
              <w:ind w:left="1702" w:hanging="1702"/>
              <w:textAlignment w:val="baseline"/>
              <w:rPr>
                <w:rFonts w:cs="Arial"/>
                <w:sz w:val="18"/>
                <w:szCs w:val="20"/>
                <w:lang w:val="bg-BG"/>
              </w:rPr>
            </w:pPr>
            <w:r w:rsidRPr="009072DA">
              <w:rPr>
                <w:sz w:val="18"/>
                <w:lang w:val="bg-BG"/>
              </w:rPr>
              <w:t>Кранове</w:t>
            </w:r>
            <w:r w:rsidRPr="009072DA">
              <w:rPr>
                <w:lang w:val="bg-BG"/>
              </w:rPr>
              <w:tab/>
            </w:r>
            <w:r w:rsidRPr="009072DA">
              <w:rPr>
                <w:sz w:val="18"/>
                <w:lang w:val="bg-BG"/>
              </w:rPr>
              <w:t>в съответствие с член 14.12, точка 9*)</w:t>
            </w:r>
          </w:p>
          <w:p w:rsidR="009C13A9" w:rsidRPr="009072DA" w:rsidRDefault="009C13A9" w:rsidP="009C13A9">
            <w:pPr>
              <w:tabs>
                <w:tab w:val="left" w:pos="1702"/>
              </w:tabs>
              <w:overflowPunct w:val="0"/>
              <w:adjustRightInd w:val="0"/>
              <w:spacing w:before="20" w:after="20"/>
              <w:ind w:left="1702" w:hanging="1702"/>
              <w:textAlignment w:val="baseline"/>
              <w:rPr>
                <w:rFonts w:cs="Arial"/>
                <w:sz w:val="18"/>
                <w:szCs w:val="20"/>
                <w:lang w:val="bg-BG"/>
              </w:rPr>
            </w:pPr>
            <w:r w:rsidRPr="009072DA">
              <w:rPr>
                <w:lang w:val="bg-BG"/>
              </w:rPr>
              <w:tab/>
            </w:r>
            <w:r w:rsidRPr="009072DA">
              <w:rPr>
                <w:sz w:val="18"/>
                <w:lang w:val="bg-BG"/>
              </w:rPr>
              <w:t>други кранове с товароподемност, непревишаваща 2000 kg *)</w:t>
            </w:r>
          </w:p>
        </w:tc>
      </w:tr>
      <w:tr w:rsidR="009C13A9" w:rsidRPr="008D2440" w:rsidTr="009C13A9">
        <w:trPr>
          <w:gridAfter w:val="1"/>
          <w:wAfter w:w="6" w:type="dxa"/>
          <w:cantSplit/>
          <w:jc w:val="center"/>
        </w:trPr>
        <w:tc>
          <w:tcPr>
            <w:tcW w:w="284" w:type="dxa"/>
            <w:tcBorders>
              <w:top w:val="single" w:sz="6" w:space="0" w:color="auto"/>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vertAlign w:val="superscript"/>
                <w:lang w:val="bg-BG"/>
              </w:rPr>
            </w:pPr>
            <w:r w:rsidRPr="009072DA">
              <w:rPr>
                <w:sz w:val="18"/>
                <w:lang w:val="bg-BG"/>
              </w:rPr>
              <w:t>43.</w:t>
            </w:r>
          </w:p>
        </w:tc>
        <w:tc>
          <w:tcPr>
            <w:tcW w:w="8896" w:type="dxa"/>
            <w:gridSpan w:val="2"/>
            <w:tcBorders>
              <w:top w:val="single" w:sz="6" w:space="0" w:color="auto"/>
              <w:right w:val="single" w:sz="6" w:space="0" w:color="auto"/>
            </w:tcBorders>
          </w:tcPr>
          <w:p w:rsidR="009C13A9" w:rsidRPr="009072DA" w:rsidRDefault="009C13A9" w:rsidP="009C13A9">
            <w:pPr>
              <w:overflowPunct w:val="0"/>
              <w:adjustRightInd w:val="0"/>
              <w:spacing w:before="120"/>
              <w:ind w:left="57"/>
              <w:textAlignment w:val="baseline"/>
              <w:rPr>
                <w:rFonts w:cs="Arial"/>
                <w:sz w:val="18"/>
                <w:szCs w:val="20"/>
                <w:lang w:val="bg-BG"/>
              </w:rPr>
            </w:pPr>
            <w:r w:rsidRPr="009072DA">
              <w:rPr>
                <w:sz w:val="18"/>
                <w:lang w:val="bg-BG"/>
              </w:rPr>
              <w:t>Противопожарно оборудване</w:t>
            </w:r>
          </w:p>
          <w:p w:rsidR="009C13A9" w:rsidRPr="009072DA" w:rsidRDefault="009C13A9" w:rsidP="009C13A9">
            <w:pPr>
              <w:overflowPunct w:val="0"/>
              <w:adjustRightInd w:val="0"/>
              <w:ind w:left="57"/>
              <w:textAlignment w:val="baseline"/>
              <w:rPr>
                <w:rFonts w:cs="Arial"/>
                <w:sz w:val="18"/>
                <w:szCs w:val="20"/>
                <w:lang w:val="bg-BG"/>
              </w:rPr>
            </w:pPr>
            <w:r w:rsidRPr="009072DA">
              <w:rPr>
                <w:sz w:val="18"/>
                <w:lang w:val="bg-BG"/>
              </w:rPr>
              <w:t>Брой на преносимите пожарогасители....., противопожарни помпи......., хидранти...</w:t>
            </w:r>
          </w:p>
          <w:p w:rsidR="009C13A9" w:rsidRPr="009072DA" w:rsidRDefault="009C13A9" w:rsidP="009C13A9">
            <w:pPr>
              <w:tabs>
                <w:tab w:val="left" w:pos="5690"/>
              </w:tabs>
              <w:overflowPunct w:val="0"/>
              <w:adjustRightInd w:val="0"/>
              <w:ind w:left="57"/>
              <w:textAlignment w:val="baseline"/>
              <w:rPr>
                <w:rFonts w:cs="Arial"/>
                <w:sz w:val="18"/>
                <w:szCs w:val="20"/>
                <w:lang w:val="bg-BG"/>
              </w:rPr>
            </w:pPr>
            <w:r w:rsidRPr="009072DA">
              <w:rPr>
                <w:sz w:val="18"/>
                <w:lang w:val="bg-BG"/>
              </w:rPr>
              <w:t xml:space="preserve">Постоянно монтирани противопожарни системи в жилищни помещения и т.н. </w:t>
            </w:r>
            <w:r w:rsidRPr="009072DA">
              <w:rPr>
                <w:lang w:val="bg-BG"/>
              </w:rPr>
              <w:tab/>
            </w:r>
            <w:r w:rsidRPr="009072DA">
              <w:rPr>
                <w:sz w:val="18"/>
                <w:lang w:val="bg-BG"/>
              </w:rPr>
              <w:t>№ / Брой ..... *)</w:t>
            </w:r>
          </w:p>
          <w:p w:rsidR="009C13A9" w:rsidRPr="009072DA" w:rsidRDefault="009C13A9" w:rsidP="009C13A9">
            <w:pPr>
              <w:tabs>
                <w:tab w:val="left" w:pos="5690"/>
              </w:tabs>
              <w:overflowPunct w:val="0"/>
              <w:adjustRightInd w:val="0"/>
              <w:ind w:left="57"/>
              <w:textAlignment w:val="baseline"/>
              <w:rPr>
                <w:rFonts w:cs="Arial"/>
                <w:sz w:val="18"/>
                <w:szCs w:val="20"/>
                <w:lang w:val="bg-BG"/>
              </w:rPr>
            </w:pPr>
            <w:r w:rsidRPr="009072DA">
              <w:rPr>
                <w:sz w:val="18"/>
                <w:lang w:val="bg-BG"/>
              </w:rPr>
              <w:t>Постоянно монтирани противопожарни системи в машинни отделения и т.н.</w:t>
            </w:r>
            <w:r w:rsidRPr="009072DA">
              <w:rPr>
                <w:lang w:val="bg-BG"/>
              </w:rPr>
              <w:tab/>
            </w:r>
            <w:r w:rsidRPr="009072DA">
              <w:rPr>
                <w:sz w:val="18"/>
                <w:lang w:val="bg-BG"/>
              </w:rPr>
              <w:t>№ / Брой ..... *)</w:t>
            </w:r>
          </w:p>
          <w:p w:rsidR="009C13A9" w:rsidRPr="009072DA" w:rsidRDefault="009C13A9" w:rsidP="009C13A9">
            <w:pPr>
              <w:tabs>
                <w:tab w:val="left" w:pos="57"/>
                <w:tab w:val="left" w:pos="3289"/>
                <w:tab w:val="left" w:pos="3686"/>
                <w:tab w:val="left" w:pos="5724"/>
              </w:tabs>
              <w:overflowPunct w:val="0"/>
              <w:adjustRightInd w:val="0"/>
              <w:spacing w:after="60"/>
              <w:ind w:left="57"/>
              <w:textAlignment w:val="baseline"/>
              <w:rPr>
                <w:rFonts w:cs="Arial"/>
                <w:sz w:val="18"/>
                <w:szCs w:val="20"/>
                <w:lang w:val="bg-BG"/>
              </w:rPr>
            </w:pPr>
            <w:r w:rsidRPr="009072DA">
              <w:rPr>
                <w:sz w:val="18"/>
                <w:lang w:val="bg-BG"/>
              </w:rPr>
              <w:t>Задвижвана от двигател осушителна помпа замества пожарна помпа</w:t>
            </w:r>
            <w:r w:rsidRPr="009072DA">
              <w:rPr>
                <w:lang w:val="bg-BG"/>
              </w:rPr>
              <w:tab/>
            </w:r>
            <w:r w:rsidRPr="009072DA">
              <w:rPr>
                <w:sz w:val="18"/>
                <w:lang w:val="bg-BG"/>
              </w:rPr>
              <w:t>Да/Не</w:t>
            </w:r>
            <w:r w:rsidRPr="009072DA">
              <w:rPr>
                <w:sz w:val="18"/>
                <w:vertAlign w:val="superscript"/>
                <w:lang w:val="bg-BG"/>
              </w:rPr>
              <w:t>*)</w:t>
            </w:r>
          </w:p>
        </w:tc>
      </w:tr>
      <w:tr w:rsidR="009C13A9" w:rsidRPr="008D2440" w:rsidTr="009C13A9">
        <w:trPr>
          <w:cantSplit/>
          <w:jc w:val="center"/>
        </w:trPr>
        <w:tc>
          <w:tcPr>
            <w:tcW w:w="284" w:type="dxa"/>
            <w:tcBorders>
              <w:top w:val="single" w:sz="6" w:space="0" w:color="auto"/>
              <w:left w:val="single" w:sz="6" w:space="0" w:color="auto"/>
            </w:tcBorders>
          </w:tcPr>
          <w:p w:rsidR="009C13A9" w:rsidRPr="009072DA" w:rsidRDefault="009C13A9" w:rsidP="009C13A9">
            <w:pPr>
              <w:tabs>
                <w:tab w:val="left" w:pos="57"/>
                <w:tab w:val="left" w:pos="227"/>
              </w:tabs>
              <w:overflowPunct w:val="0"/>
              <w:adjustRightInd w:val="0"/>
              <w:spacing w:before="60"/>
              <w:textAlignment w:val="baseline"/>
              <w:rPr>
                <w:rFonts w:cs="Arial"/>
                <w:sz w:val="18"/>
                <w:szCs w:val="20"/>
                <w:vertAlign w:val="superscript"/>
                <w:lang w:val="bg-BG"/>
              </w:rPr>
            </w:pPr>
            <w:r w:rsidRPr="009072DA">
              <w:rPr>
                <w:sz w:val="18"/>
                <w:lang w:val="bg-BG"/>
              </w:rPr>
              <w:lastRenderedPageBreak/>
              <w:t>44.</w:t>
            </w:r>
          </w:p>
        </w:tc>
        <w:tc>
          <w:tcPr>
            <w:tcW w:w="8902" w:type="dxa"/>
            <w:gridSpan w:val="3"/>
            <w:tcBorders>
              <w:top w:val="single" w:sz="6" w:space="0" w:color="auto"/>
              <w:right w:val="single" w:sz="6" w:space="0" w:color="auto"/>
            </w:tcBorders>
          </w:tcPr>
          <w:p w:rsidR="009C13A9" w:rsidRPr="009072DA" w:rsidRDefault="009C13A9" w:rsidP="009C13A9">
            <w:pPr>
              <w:overflowPunct w:val="0"/>
              <w:adjustRightInd w:val="0"/>
              <w:spacing w:before="60"/>
              <w:ind w:left="57" w:right="57"/>
              <w:textAlignment w:val="baseline"/>
              <w:rPr>
                <w:rFonts w:cs="Arial"/>
                <w:sz w:val="18"/>
                <w:szCs w:val="20"/>
                <w:lang w:val="bg-BG"/>
              </w:rPr>
            </w:pPr>
            <w:r w:rsidRPr="009072DA">
              <w:rPr>
                <w:sz w:val="18"/>
                <w:lang w:val="bg-BG"/>
              </w:rPr>
              <w:t>Животоспасяващи уреди</w:t>
            </w:r>
          </w:p>
          <w:p w:rsidR="009C13A9" w:rsidRPr="009072DA" w:rsidRDefault="00C62508" w:rsidP="009C13A9">
            <w:pPr>
              <w:overflowPunct w:val="0"/>
              <w:adjustRightInd w:val="0"/>
              <w:spacing w:before="60"/>
              <w:ind w:left="57" w:right="57"/>
              <w:textAlignment w:val="baseline"/>
              <w:rPr>
                <w:rFonts w:cs="Arial"/>
                <w:sz w:val="18"/>
                <w:szCs w:val="20"/>
                <w:lang w:val="bg-BG"/>
              </w:rPr>
            </w:pPr>
            <w:r w:rsidRPr="009072DA">
              <w:rPr>
                <w:sz w:val="18"/>
                <w:lang w:val="bg-BG"/>
              </w:rPr>
              <w:t>Брой спасителни кръгове..., от които със светлина..., с въже... *)</w:t>
            </w:r>
          </w:p>
          <w:p w:rsidR="009C13A9" w:rsidRPr="009072DA" w:rsidRDefault="009C13A9" w:rsidP="009C13A9">
            <w:pPr>
              <w:overflowPunct w:val="0"/>
              <w:adjustRightInd w:val="0"/>
              <w:spacing w:before="60"/>
              <w:ind w:left="57" w:right="57"/>
              <w:textAlignment w:val="baseline"/>
              <w:rPr>
                <w:rFonts w:cs="Arial"/>
                <w:sz w:val="18"/>
                <w:szCs w:val="20"/>
                <w:lang w:val="bg-BG"/>
              </w:rPr>
            </w:pPr>
            <w:r w:rsidRPr="009072DA">
              <w:rPr>
                <w:sz w:val="18"/>
                <w:lang w:val="bg-BG"/>
              </w:rPr>
              <w:t>Спасителна жилетка за всяко лице, което е редовно на борда/в съответствие с член 13.08, точка 2</w:t>
            </w:r>
            <w:r w:rsidRPr="009072DA">
              <w:rPr>
                <w:position w:val="6"/>
                <w:sz w:val="16"/>
                <w:lang w:val="bg-BG"/>
              </w:rPr>
              <w:t>*)</w:t>
            </w:r>
          </w:p>
          <w:p w:rsidR="009C13A9" w:rsidRPr="009072DA" w:rsidRDefault="009C13A9" w:rsidP="009C13A9">
            <w:pPr>
              <w:overflowPunct w:val="0"/>
              <w:adjustRightInd w:val="0"/>
              <w:spacing w:before="60"/>
              <w:ind w:left="57" w:right="57"/>
              <w:textAlignment w:val="baseline"/>
              <w:rPr>
                <w:rFonts w:cs="Arial"/>
                <w:sz w:val="18"/>
                <w:szCs w:val="20"/>
                <w:lang w:val="bg-BG"/>
              </w:rPr>
            </w:pPr>
            <w:r w:rsidRPr="009072DA">
              <w:rPr>
                <w:sz w:val="18"/>
                <w:lang w:val="bg-BG"/>
              </w:rPr>
              <w:t>Корабна лодка с комплект гребла, швартово въже и съд за изгребване на вода/в съответствие с Европейския стандарт</w:t>
            </w:r>
            <w:r w:rsidRPr="009072DA">
              <w:rPr>
                <w:position w:val="6"/>
                <w:sz w:val="16"/>
                <w:lang w:val="bg-BG"/>
              </w:rPr>
              <w:t>*)</w:t>
            </w:r>
          </w:p>
          <w:p w:rsidR="009C13A9" w:rsidRPr="009072DA" w:rsidRDefault="009C13A9" w:rsidP="009C13A9">
            <w:pPr>
              <w:overflowPunct w:val="0"/>
              <w:adjustRightInd w:val="0"/>
              <w:spacing w:before="60"/>
              <w:ind w:left="57" w:right="57"/>
              <w:textAlignment w:val="baseline"/>
              <w:rPr>
                <w:rFonts w:cs="Arial"/>
                <w:sz w:val="18"/>
                <w:szCs w:val="20"/>
                <w:lang w:val="bg-BG"/>
              </w:rPr>
            </w:pPr>
            <w:r w:rsidRPr="009072DA">
              <w:rPr>
                <w:sz w:val="18"/>
                <w:lang w:val="bg-BG"/>
              </w:rPr>
              <w:t>Платформа или съоръжение в съответствие с член 19.15, точка 4 или 5</w:t>
            </w:r>
            <w:r w:rsidRPr="009072DA">
              <w:rPr>
                <w:position w:val="6"/>
                <w:sz w:val="16"/>
                <w:lang w:val="bg-BG"/>
              </w:rPr>
              <w:t>*)</w:t>
            </w:r>
          </w:p>
          <w:p w:rsidR="009C13A9" w:rsidRPr="009072DA" w:rsidRDefault="009C13A9" w:rsidP="009C13A9">
            <w:pPr>
              <w:tabs>
                <w:tab w:val="left" w:leader="dot" w:pos="8505"/>
              </w:tabs>
              <w:overflowPunct w:val="0"/>
              <w:adjustRightInd w:val="0"/>
              <w:spacing w:before="60"/>
              <w:ind w:left="57" w:right="57"/>
              <w:textAlignment w:val="baseline"/>
              <w:rPr>
                <w:rFonts w:cs="Arial"/>
                <w:sz w:val="18"/>
                <w:szCs w:val="20"/>
                <w:lang w:val="bg-BG"/>
              </w:rPr>
            </w:pPr>
            <w:r w:rsidRPr="009072DA">
              <w:rPr>
                <w:sz w:val="18"/>
                <w:lang w:val="bg-BG"/>
              </w:rPr>
              <w:t xml:space="preserve">Брой, тип и място (места) на монтиране на оборудването, позволяващо на лица да бъдат прехвърлени безопасно в плитки води, на брега или на друго плавателно средство в съответствие с член 19.09, точка 3 </w:t>
            </w:r>
            <w:r w:rsidRPr="009072DA">
              <w:rPr>
                <w:lang w:val="bg-BG"/>
              </w:rPr>
              <w:tab/>
            </w:r>
          </w:p>
          <w:p w:rsidR="009C13A9" w:rsidRPr="009072DA" w:rsidRDefault="009C13A9" w:rsidP="009C13A9">
            <w:pPr>
              <w:tabs>
                <w:tab w:val="left" w:leader="dot" w:pos="8505"/>
              </w:tabs>
              <w:overflowPunct w:val="0"/>
              <w:adjustRightInd w:val="0"/>
              <w:spacing w:before="60"/>
              <w:ind w:left="57" w:righ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60"/>
              <w:ind w:left="57" w:right="57"/>
              <w:textAlignment w:val="baseline"/>
              <w:rPr>
                <w:rFonts w:cs="Arial"/>
                <w:sz w:val="18"/>
                <w:szCs w:val="20"/>
                <w:lang w:val="bg-BG"/>
              </w:rPr>
            </w:pPr>
            <w:r w:rsidRPr="009072DA">
              <w:rPr>
                <w:lang w:val="bg-BG"/>
              </w:rPr>
              <w:tab/>
            </w:r>
          </w:p>
          <w:p w:rsidR="009C13A9" w:rsidRPr="009072DA" w:rsidRDefault="009C13A9" w:rsidP="009C13A9">
            <w:pPr>
              <w:overflowPunct w:val="0"/>
              <w:adjustRightInd w:val="0"/>
              <w:spacing w:before="60"/>
              <w:ind w:left="57" w:right="57"/>
              <w:textAlignment w:val="baseline"/>
              <w:rPr>
                <w:rFonts w:cs="Arial"/>
                <w:sz w:val="18"/>
                <w:szCs w:val="20"/>
                <w:lang w:val="bg-BG"/>
              </w:rPr>
            </w:pPr>
            <w:r w:rsidRPr="009072DA">
              <w:rPr>
                <w:sz w:val="18"/>
                <w:lang w:val="bg-BG"/>
              </w:rPr>
              <w:t>Брой на личните спасителни средства за обслужващия персонал..., от които в съответствие с член 13.08, точка 2.....</w:t>
            </w:r>
            <w:r w:rsidRPr="009072DA">
              <w:rPr>
                <w:position w:val="6"/>
                <w:sz w:val="16"/>
                <w:lang w:val="bg-BG"/>
              </w:rPr>
              <w:t xml:space="preserve"> *)</w:t>
            </w:r>
          </w:p>
          <w:p w:rsidR="009C13A9" w:rsidRPr="009072DA" w:rsidRDefault="009C13A9" w:rsidP="009C13A9">
            <w:pPr>
              <w:overflowPunct w:val="0"/>
              <w:adjustRightInd w:val="0"/>
              <w:spacing w:before="60"/>
              <w:ind w:left="57" w:right="57"/>
              <w:textAlignment w:val="baseline"/>
              <w:rPr>
                <w:rFonts w:cs="Arial"/>
                <w:sz w:val="18"/>
                <w:szCs w:val="20"/>
                <w:lang w:val="bg-BG"/>
              </w:rPr>
            </w:pPr>
            <w:r w:rsidRPr="009072DA">
              <w:rPr>
                <w:sz w:val="18"/>
                <w:lang w:val="bg-BG"/>
              </w:rPr>
              <w:t>Брой на личните спасителни средства за пътници... *)</w:t>
            </w:r>
          </w:p>
          <w:p w:rsidR="009C13A9" w:rsidRPr="009072DA" w:rsidRDefault="009C13A9" w:rsidP="009C13A9">
            <w:pPr>
              <w:overflowPunct w:val="0"/>
              <w:adjustRightInd w:val="0"/>
              <w:spacing w:before="60"/>
              <w:ind w:left="57" w:right="57"/>
              <w:textAlignment w:val="baseline"/>
              <w:rPr>
                <w:rFonts w:cs="Arial"/>
                <w:sz w:val="18"/>
                <w:szCs w:val="18"/>
                <w:lang w:val="bg-BG"/>
              </w:rPr>
            </w:pPr>
            <w:r w:rsidRPr="009072DA">
              <w:rPr>
                <w:sz w:val="18"/>
                <w:lang w:val="bg-BG"/>
              </w:rPr>
              <w:t>Колективно спасително оборудване по отношение на броя, еквивалентно на…..... лични спасителни средства *)</w:t>
            </w:r>
          </w:p>
          <w:p w:rsidR="009C13A9" w:rsidRPr="009072DA" w:rsidRDefault="009C13A9" w:rsidP="009C13A9">
            <w:pPr>
              <w:tabs>
                <w:tab w:val="left" w:leader="dot" w:pos="8505"/>
              </w:tabs>
              <w:overflowPunct w:val="0"/>
              <w:adjustRightInd w:val="0"/>
              <w:spacing w:before="60"/>
              <w:ind w:left="57" w:right="57"/>
              <w:textAlignment w:val="baseline"/>
              <w:rPr>
                <w:lang w:val="bg-BG"/>
              </w:rPr>
            </w:pPr>
            <w:r w:rsidRPr="009072DA">
              <w:rPr>
                <w:sz w:val="18"/>
                <w:lang w:val="bg-BG"/>
              </w:rPr>
              <w:t>Два комплекта дихателни апарати, два комплекта оборудване, брой..... димозащитни качулки *)</w:t>
            </w:r>
            <w:r w:rsidRPr="009072DA">
              <w:rPr>
                <w:lang w:val="bg-BG"/>
              </w:rPr>
              <w:t xml:space="preserve"> </w:t>
            </w:r>
          </w:p>
          <w:p w:rsidR="009C13A9" w:rsidRPr="009072DA" w:rsidRDefault="009C13A9" w:rsidP="009C13A9">
            <w:pPr>
              <w:tabs>
                <w:tab w:val="left" w:leader="dot" w:pos="8505"/>
              </w:tabs>
              <w:overflowPunct w:val="0"/>
              <w:adjustRightInd w:val="0"/>
              <w:spacing w:before="60"/>
              <w:ind w:left="57" w:right="57"/>
              <w:textAlignment w:val="baseline"/>
              <w:rPr>
                <w:rFonts w:cs="Arial"/>
                <w:sz w:val="18"/>
                <w:szCs w:val="18"/>
                <w:lang w:val="bg-BG"/>
              </w:rPr>
            </w:pPr>
            <w:r w:rsidRPr="009072DA">
              <w:rPr>
                <w:sz w:val="18"/>
                <w:lang w:val="bg-BG"/>
              </w:rPr>
              <w:t>Разписанието по безопасността и планът за безопасност са показани на:</w:t>
            </w:r>
            <w:r w:rsidRPr="009072DA">
              <w:rPr>
                <w:lang w:val="bg-BG"/>
              </w:rPr>
              <w:tab/>
            </w:r>
          </w:p>
          <w:p w:rsidR="009C13A9" w:rsidRPr="009072DA" w:rsidRDefault="009C13A9" w:rsidP="009C13A9">
            <w:pPr>
              <w:tabs>
                <w:tab w:val="left" w:leader="dot" w:pos="8505"/>
              </w:tabs>
              <w:overflowPunct w:val="0"/>
              <w:adjustRightInd w:val="0"/>
              <w:spacing w:before="60"/>
              <w:ind w:left="57" w:righ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60"/>
              <w:ind w:left="57" w:right="57"/>
              <w:textAlignment w:val="baseline"/>
              <w:rPr>
                <w:rFonts w:cs="Arial"/>
                <w:sz w:val="18"/>
                <w:szCs w:val="20"/>
                <w:lang w:val="bg-BG"/>
              </w:rPr>
            </w:pPr>
            <w:r w:rsidRPr="009072DA">
              <w:rPr>
                <w:lang w:val="bg-BG"/>
              </w:rPr>
              <w:tab/>
            </w:r>
          </w:p>
          <w:p w:rsidR="009C13A9" w:rsidRPr="009072DA" w:rsidRDefault="009C13A9" w:rsidP="009C13A9">
            <w:pPr>
              <w:tabs>
                <w:tab w:val="left" w:pos="57"/>
                <w:tab w:val="left" w:pos="5103"/>
              </w:tabs>
              <w:overflowPunct w:val="0"/>
              <w:adjustRightInd w:val="0"/>
              <w:textAlignment w:val="baseline"/>
              <w:rPr>
                <w:rFonts w:cs="Arial"/>
                <w:sz w:val="18"/>
                <w:szCs w:val="20"/>
                <w:lang w:val="bg-BG"/>
              </w:rPr>
            </w:pPr>
          </w:p>
        </w:tc>
      </w:tr>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r w:rsidRPr="009072DA">
              <w:rPr>
                <w:sz w:val="18"/>
                <w:lang w:val="bg-BG"/>
              </w:rPr>
              <w:t>45.</w:t>
            </w:r>
          </w:p>
        </w:tc>
        <w:tc>
          <w:tcPr>
            <w:tcW w:w="8902" w:type="dxa"/>
            <w:gridSpan w:val="3"/>
            <w:tcBorders>
              <w:top w:val="single" w:sz="6" w:space="0" w:color="auto"/>
              <w:bottom w:val="single" w:sz="6" w:space="0" w:color="auto"/>
              <w:right w:val="single" w:sz="6" w:space="0" w:color="auto"/>
            </w:tcBorders>
          </w:tcPr>
          <w:p w:rsidR="009C13A9" w:rsidRPr="009072DA" w:rsidRDefault="009C13A9" w:rsidP="009C13A9">
            <w:pPr>
              <w:tabs>
                <w:tab w:val="left" w:pos="57"/>
                <w:tab w:val="left" w:leader="dot" w:pos="8505"/>
              </w:tabs>
              <w:overflowPunct w:val="0"/>
              <w:adjustRightInd w:val="0"/>
              <w:spacing w:before="120"/>
              <w:ind w:left="57" w:right="57"/>
              <w:textAlignment w:val="baseline"/>
              <w:rPr>
                <w:rFonts w:cs="Arial"/>
                <w:sz w:val="18"/>
                <w:szCs w:val="20"/>
                <w:lang w:val="bg-BG"/>
              </w:rPr>
            </w:pPr>
            <w:r w:rsidRPr="009072DA">
              <w:rPr>
                <w:sz w:val="18"/>
                <w:lang w:val="bg-BG"/>
              </w:rPr>
              <w:t>Специално оборудване на рулевата рубка за управление с радиолокационни средства от едно лице:</w:t>
            </w:r>
          </w:p>
          <w:p w:rsidR="009C13A9" w:rsidRPr="009072DA" w:rsidRDefault="009C13A9" w:rsidP="009C13A9">
            <w:pPr>
              <w:tabs>
                <w:tab w:val="left" w:pos="57"/>
                <w:tab w:val="left" w:leader="dot" w:pos="8505"/>
              </w:tabs>
              <w:overflowPunct w:val="0"/>
              <w:adjustRightInd w:val="0"/>
              <w:spacing w:before="120"/>
              <w:ind w:left="57" w:right="57"/>
              <w:textAlignment w:val="baseline"/>
              <w:rPr>
                <w:rFonts w:cs="Arial"/>
                <w:sz w:val="18"/>
                <w:szCs w:val="20"/>
                <w:lang w:val="bg-BG"/>
              </w:rPr>
            </w:pPr>
            <w:r w:rsidRPr="009072DA">
              <w:rPr>
                <w:sz w:val="18"/>
                <w:lang w:val="bg-BG"/>
              </w:rPr>
              <w:t xml:space="preserve">Плавателният съд е оборудван с рулева рубка, проектирана за управление  с радиолокационни средства от едно лице </w:t>
            </w:r>
            <w:r w:rsidRPr="009072DA">
              <w:rPr>
                <w:position w:val="6"/>
                <w:sz w:val="16"/>
                <w:lang w:val="bg-BG"/>
              </w:rPr>
              <w:t>*)</w:t>
            </w:r>
            <w:r w:rsidRPr="009072DA">
              <w:rPr>
                <w:sz w:val="18"/>
                <w:lang w:val="bg-BG"/>
              </w:rPr>
              <w:t>.</w:t>
            </w:r>
          </w:p>
          <w:p w:rsidR="009C13A9" w:rsidRPr="009072DA" w:rsidRDefault="009C13A9" w:rsidP="009C13A9">
            <w:pPr>
              <w:tabs>
                <w:tab w:val="left" w:pos="57"/>
                <w:tab w:val="left" w:pos="5103"/>
              </w:tabs>
              <w:overflowPunct w:val="0"/>
              <w:adjustRightInd w:val="0"/>
              <w:textAlignment w:val="baseline"/>
              <w:rPr>
                <w:rFonts w:cs="Arial"/>
                <w:sz w:val="18"/>
                <w:szCs w:val="20"/>
                <w:lang w:val="bg-BG"/>
              </w:rPr>
            </w:pPr>
          </w:p>
        </w:tc>
      </w:tr>
      <w:tr w:rsidR="009C13A9" w:rsidRPr="008D2440"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s>
              <w:overflowPunct w:val="0"/>
              <w:adjustRightInd w:val="0"/>
              <w:spacing w:before="80"/>
              <w:textAlignment w:val="baseline"/>
              <w:rPr>
                <w:rFonts w:cs="Arial"/>
                <w:sz w:val="18"/>
                <w:szCs w:val="20"/>
                <w:lang w:val="bg-BG"/>
              </w:rPr>
            </w:pPr>
            <w:r w:rsidRPr="009072DA">
              <w:rPr>
                <w:lang w:val="bg-BG"/>
              </w:rPr>
              <w:lastRenderedPageBreak/>
              <w:tab/>
            </w:r>
            <w:r w:rsidRPr="009072DA">
              <w:rPr>
                <w:sz w:val="18"/>
                <w:lang w:val="bg-BG"/>
              </w:rPr>
              <w:t>*)</w:t>
            </w:r>
            <w:r w:rsidRPr="009072DA">
              <w:rPr>
                <w:rFonts w:cs="Arial"/>
                <w:sz w:val="18"/>
                <w:szCs w:val="20"/>
                <w:lang w:val="bg-BG"/>
              </w:rPr>
              <w:br/>
            </w:r>
            <w:r w:rsidRPr="009072DA">
              <w:rPr>
                <w:rFonts w:cs="Arial"/>
                <w:sz w:val="18"/>
                <w:szCs w:val="20"/>
                <w:lang w:val="bg-BG"/>
              </w:rPr>
              <w:br/>
            </w:r>
          </w:p>
          <w:p w:rsidR="009C13A9" w:rsidRPr="009072DA" w:rsidRDefault="009C13A9" w:rsidP="009C13A9">
            <w:pPr>
              <w:tabs>
                <w:tab w:val="left" w:pos="57"/>
              </w:tabs>
              <w:overflowPunct w:val="0"/>
              <w:adjustRightInd w:val="0"/>
              <w:spacing w:before="80"/>
              <w:textAlignment w:val="baseline"/>
              <w:rPr>
                <w:rFonts w:cs="Arial"/>
                <w:sz w:val="18"/>
                <w:szCs w:val="20"/>
                <w:lang w:val="bg-BG"/>
              </w:rPr>
            </w:pPr>
          </w:p>
          <w:p w:rsidR="009C13A9" w:rsidRPr="009072DA" w:rsidRDefault="009C13A9" w:rsidP="009C13A9">
            <w:pPr>
              <w:tabs>
                <w:tab w:val="left" w:pos="57"/>
              </w:tabs>
              <w:overflowPunct w:val="0"/>
              <w:adjustRightInd w:val="0"/>
              <w:spacing w:before="160"/>
              <w:textAlignment w:val="baseline"/>
              <w:rPr>
                <w:rFonts w:cs="Arial"/>
                <w:sz w:val="18"/>
                <w:szCs w:val="20"/>
                <w:lang w:val="bg-BG"/>
              </w:rPr>
            </w:pPr>
            <w:r w:rsidRPr="009072DA">
              <w:rPr>
                <w:lang w:val="bg-BG"/>
              </w:rPr>
              <w:tab/>
            </w:r>
            <w:r w:rsidRPr="009072DA">
              <w:rPr>
                <w:sz w:val="18"/>
                <w:lang w:val="bg-BG"/>
              </w:rPr>
              <w:t>*)</w:t>
            </w:r>
          </w:p>
        </w:tc>
        <w:tc>
          <w:tcPr>
            <w:tcW w:w="8902" w:type="dxa"/>
            <w:gridSpan w:val="3"/>
            <w:tcBorders>
              <w:bottom w:val="single" w:sz="6" w:space="0" w:color="auto"/>
              <w:right w:val="single" w:sz="6" w:space="0" w:color="auto"/>
            </w:tcBorders>
          </w:tcPr>
          <w:p w:rsidR="009C13A9" w:rsidRPr="009072DA"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bg-BG"/>
              </w:rPr>
            </w:pPr>
            <w:r w:rsidRPr="009072DA">
              <w:rPr>
                <w:sz w:val="18"/>
                <w:lang w:val="bg-BG"/>
              </w:rPr>
              <w:t>Изменение на точка(и): ....................</w:t>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sz w:val="18"/>
                <w:lang w:val="bg-BG"/>
              </w:rPr>
              <w:t>Нов текст:</w:t>
            </w:r>
            <w:r w:rsidRPr="009072DA">
              <w:rPr>
                <w:lang w:val="bg-BG"/>
              </w:rPr>
              <w:tab/>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lang w:val="bg-BG"/>
              </w:rPr>
              <w:tab/>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lang w:val="bg-BG"/>
              </w:rPr>
              <w:tab/>
            </w:r>
          </w:p>
          <w:p w:rsidR="009C13A9" w:rsidRPr="009072D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bg-BG"/>
              </w:rPr>
            </w:pPr>
            <w:r w:rsidRPr="009072DA">
              <w:rPr>
                <w:sz w:val="18"/>
                <w:lang w:val="bg-BG"/>
              </w:rPr>
              <w:t>Тази страница е заменена.</w:t>
            </w:r>
          </w:p>
          <w:p w:rsidR="009C13A9" w:rsidRPr="009072D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bg-BG"/>
              </w:rPr>
            </w:pPr>
            <w:r w:rsidRPr="009072DA">
              <w:rPr>
                <w:sz w:val="18"/>
                <w:lang w:val="bg-BG"/>
              </w:rPr>
              <w:t xml:space="preserve">Място, дата </w:t>
            </w:r>
            <w:r w:rsidRPr="009072DA">
              <w:rPr>
                <w:lang w:val="bg-BG"/>
              </w:rPr>
              <w:tab/>
            </w:r>
            <w:r w:rsidRPr="009072DA">
              <w:rPr>
                <w:lang w:val="bg-BG"/>
              </w:rPr>
              <w:tab/>
            </w:r>
            <w:r w:rsidRPr="009072DA">
              <w:rPr>
                <w:sz w:val="18"/>
                <w:lang w:val="bg-BG"/>
              </w:rPr>
              <w:t>Контролен орган</w:t>
            </w:r>
          </w:p>
          <w:p w:rsidR="009C13A9" w:rsidRPr="009072DA" w:rsidRDefault="009C13A9" w:rsidP="009C13A9">
            <w:pPr>
              <w:tabs>
                <w:tab w:val="left" w:pos="5103"/>
                <w:tab w:val="left" w:leader="dot" w:pos="8505"/>
              </w:tabs>
              <w:overflowPunct w:val="0"/>
              <w:adjustRightInd w:val="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1701"/>
              </w:tabs>
              <w:overflowPunct w:val="0"/>
              <w:adjustRightInd w:val="0"/>
              <w:spacing w:after="80"/>
              <w:textAlignment w:val="baseline"/>
              <w:rPr>
                <w:rFonts w:cs="Arial"/>
                <w:sz w:val="18"/>
                <w:szCs w:val="20"/>
                <w:lang w:val="bg-BG"/>
              </w:rPr>
            </w:pPr>
            <w:r w:rsidRPr="009072DA">
              <w:rPr>
                <w:lang w:val="bg-BG"/>
              </w:rPr>
              <w:tab/>
            </w:r>
            <w:r w:rsidRPr="009072DA">
              <w:rPr>
                <w:sz w:val="18"/>
                <w:lang w:val="bg-BG"/>
              </w:rPr>
              <w:t>Печат</w:t>
            </w:r>
          </w:p>
          <w:p w:rsidR="009C13A9" w:rsidRPr="009072DA" w:rsidRDefault="009C13A9" w:rsidP="009C13A9">
            <w:pPr>
              <w:tabs>
                <w:tab w:val="left" w:pos="5103"/>
                <w:tab w:val="left" w:leader="dot" w:pos="8505"/>
              </w:tabs>
              <w:overflowPunct w:val="0"/>
              <w:adjustRightInd w:val="0"/>
              <w:textAlignment w:val="baseline"/>
              <w:rPr>
                <w:rFonts w:cs="Arial"/>
                <w:szCs w:val="20"/>
                <w:lang w:val="bg-BG"/>
              </w:rPr>
            </w:pPr>
            <w:r w:rsidRPr="009072DA">
              <w:rPr>
                <w:lang w:val="bg-BG"/>
              </w:rPr>
              <w:tab/>
            </w:r>
            <w:r w:rsidRPr="009072DA">
              <w:rPr>
                <w:lang w:val="bg-BG"/>
              </w:rPr>
              <w:tab/>
            </w:r>
          </w:p>
          <w:p w:rsidR="009C13A9" w:rsidRPr="009072DA" w:rsidRDefault="009C13A9" w:rsidP="009C13A9">
            <w:pPr>
              <w:tabs>
                <w:tab w:val="center" w:pos="6862"/>
              </w:tabs>
              <w:overflowPunct w:val="0"/>
              <w:adjustRightInd w:val="0"/>
              <w:textAlignment w:val="baseline"/>
              <w:rPr>
                <w:rFonts w:cs="Arial"/>
                <w:sz w:val="16"/>
                <w:szCs w:val="20"/>
                <w:lang w:val="bg-BG"/>
              </w:rPr>
            </w:pPr>
            <w:r w:rsidRPr="009072DA">
              <w:rPr>
                <w:lang w:val="bg-BG"/>
              </w:rPr>
              <w:tab/>
            </w:r>
            <w:r w:rsidRPr="009072DA">
              <w:rPr>
                <w:sz w:val="16"/>
                <w:lang w:val="bg-BG"/>
              </w:rPr>
              <w:t>(Подпис)</w:t>
            </w:r>
          </w:p>
          <w:p w:rsidR="009C13A9" w:rsidRPr="009072D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bg-BG"/>
              </w:rPr>
            </w:pPr>
            <w:r w:rsidRPr="009072DA">
              <w:rPr>
                <w:sz w:val="18"/>
                <w:lang w:val="bg-BG"/>
              </w:rPr>
              <w:t>_______________________</w:t>
            </w:r>
          </w:p>
          <w:p w:rsidR="009C13A9" w:rsidRPr="009072DA" w:rsidRDefault="009C13A9" w:rsidP="009C13A9">
            <w:pPr>
              <w:tabs>
                <w:tab w:val="left" w:pos="284"/>
              </w:tabs>
              <w:overflowPunct w:val="0"/>
              <w:adjustRightInd w:val="0"/>
              <w:spacing w:after="40"/>
              <w:ind w:left="57"/>
              <w:textAlignment w:val="baseline"/>
              <w:rPr>
                <w:rFonts w:cs="Arial"/>
                <w:sz w:val="18"/>
                <w:szCs w:val="20"/>
                <w:lang w:val="bg-BG"/>
              </w:rPr>
            </w:pPr>
            <w:r w:rsidRPr="009072DA">
              <w:rPr>
                <w:position w:val="4"/>
                <w:sz w:val="16"/>
                <w:lang w:val="bg-BG"/>
              </w:rPr>
              <w:t>*)</w:t>
            </w:r>
            <w:r w:rsidRPr="009072DA">
              <w:rPr>
                <w:lang w:val="bg-BG"/>
              </w:rPr>
              <w:tab/>
            </w:r>
            <w:r w:rsidRPr="009072DA">
              <w:rPr>
                <w:sz w:val="16"/>
                <w:lang w:val="bg-BG"/>
              </w:rPr>
              <w:t>Ненужното се зачерква</w:t>
            </w:r>
          </w:p>
        </w:tc>
      </w:tr>
    </w:tbl>
    <w:p w:rsidR="009C13A9" w:rsidRPr="009072DA" w:rsidRDefault="009C13A9" w:rsidP="00AA5614">
      <w:pPr>
        <w:tabs>
          <w:tab w:val="left" w:leader="dot" w:pos="2835"/>
          <w:tab w:val="left" w:leader="dot" w:pos="5103"/>
        </w:tabs>
        <w:overflowPunct w:val="0"/>
        <w:adjustRightInd w:val="0"/>
        <w:textAlignment w:val="baseline"/>
        <w:rPr>
          <w:rFonts w:cs="Arial"/>
          <w:szCs w:val="20"/>
          <w:lang w:val="bg-BG"/>
        </w:rPr>
      </w:pPr>
      <w:r w:rsidRPr="009072DA">
        <w:rPr>
          <w:lang w:val="bg-BG"/>
        </w:rPr>
        <w:br w:type="page"/>
      </w:r>
      <w:r w:rsidRPr="009072DA">
        <w:rPr>
          <w:lang w:val="bg-BG"/>
        </w:rPr>
        <w:lastRenderedPageBreak/>
        <w:t xml:space="preserve">Удостоверение на плавателния съд за плаване по вътрешни водни пътища № </w:t>
      </w:r>
      <w:r w:rsidRPr="009072DA">
        <w:rPr>
          <w:lang w:val="bg-BG"/>
        </w:rPr>
        <w:tab/>
        <w:t xml:space="preserve"> на контролния орган </w:t>
      </w:r>
      <w:r w:rsidRPr="009072DA">
        <w:rPr>
          <w:lang w:val="bg-BG"/>
        </w:rPr>
        <w:tab/>
      </w:r>
    </w:p>
    <w:tbl>
      <w:tblPr>
        <w:tblW w:w="9188" w:type="dxa"/>
        <w:jc w:val="center"/>
        <w:tblLayout w:type="fixed"/>
        <w:tblCellMar>
          <w:left w:w="0" w:type="dxa"/>
          <w:right w:w="0" w:type="dxa"/>
        </w:tblCellMar>
        <w:tblLook w:val="0000" w:firstRow="0" w:lastRow="0" w:firstColumn="0" w:lastColumn="0" w:noHBand="0" w:noVBand="0"/>
      </w:tblPr>
      <w:tblGrid>
        <w:gridCol w:w="284"/>
        <w:gridCol w:w="4253"/>
        <w:gridCol w:w="1418"/>
        <w:gridCol w:w="1418"/>
        <w:gridCol w:w="1418"/>
        <w:gridCol w:w="397"/>
      </w:tblGrid>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r w:rsidRPr="009072DA">
              <w:rPr>
                <w:sz w:val="18"/>
                <w:lang w:val="bg-BG"/>
              </w:rPr>
              <w:t>46.</w:t>
            </w:r>
          </w:p>
        </w:tc>
        <w:tc>
          <w:tcPr>
            <w:tcW w:w="8904" w:type="dxa"/>
            <w:gridSpan w:val="5"/>
            <w:tcBorders>
              <w:top w:val="single" w:sz="6" w:space="0" w:color="auto"/>
              <w:bottom w:val="single" w:sz="6" w:space="0" w:color="auto"/>
              <w:right w:val="single" w:sz="6" w:space="0" w:color="auto"/>
            </w:tcBorders>
          </w:tcPr>
          <w:p w:rsidR="009C13A9" w:rsidRPr="009072DA" w:rsidRDefault="009C13A9" w:rsidP="009C13A9">
            <w:pPr>
              <w:tabs>
                <w:tab w:val="left" w:pos="5103"/>
              </w:tabs>
              <w:overflowPunct w:val="0"/>
              <w:adjustRightInd w:val="0"/>
              <w:spacing w:before="120"/>
              <w:ind w:left="57"/>
              <w:textAlignment w:val="baseline"/>
              <w:rPr>
                <w:rFonts w:cs="Arial"/>
                <w:sz w:val="18"/>
                <w:szCs w:val="20"/>
                <w:lang w:val="bg-BG"/>
              </w:rPr>
            </w:pPr>
            <w:r w:rsidRPr="009072DA">
              <w:rPr>
                <w:sz w:val="18"/>
                <w:lang w:val="bg-BG"/>
              </w:rPr>
              <w:t>Режими на работа, които отговарят на [A1</w:t>
            </w:r>
            <w:r w:rsidRPr="009072DA">
              <w:rPr>
                <w:sz w:val="16"/>
                <w:vertAlign w:val="superscript"/>
                <w:lang w:val="bg-BG"/>
              </w:rPr>
              <w:t>*)</w:t>
            </w:r>
            <w:r w:rsidRPr="009072DA">
              <w:rPr>
                <w:sz w:val="18"/>
                <w:lang w:val="bg-BG"/>
              </w:rPr>
              <w:t>, A2</w:t>
            </w:r>
            <w:r w:rsidRPr="009072DA">
              <w:rPr>
                <w:sz w:val="16"/>
                <w:vertAlign w:val="superscript"/>
                <w:lang w:val="bg-BG"/>
              </w:rPr>
              <w:t>*)</w:t>
            </w:r>
            <w:r w:rsidRPr="009072DA">
              <w:rPr>
                <w:sz w:val="18"/>
                <w:lang w:val="bg-BG"/>
              </w:rPr>
              <w:t>, B</w:t>
            </w:r>
            <w:r w:rsidRPr="009072DA">
              <w:rPr>
                <w:sz w:val="16"/>
                <w:vertAlign w:val="superscript"/>
                <w:lang w:val="bg-BG"/>
              </w:rPr>
              <w:t>*)</w:t>
            </w:r>
            <w:r w:rsidRPr="009072DA">
              <w:rPr>
                <w:sz w:val="18"/>
                <w:lang w:val="bg-BG"/>
              </w:rPr>
              <w:t>. / изискванията на националното или международното право относно екипажа]</w:t>
            </w:r>
          </w:p>
          <w:p w:rsidR="009C13A9" w:rsidRPr="009072DA" w:rsidRDefault="009C13A9" w:rsidP="009C13A9">
            <w:pPr>
              <w:tabs>
                <w:tab w:val="left" w:pos="57"/>
                <w:tab w:val="left" w:pos="5103"/>
              </w:tabs>
              <w:overflowPunct w:val="0"/>
              <w:adjustRightInd w:val="0"/>
              <w:spacing w:after="120"/>
              <w:textAlignment w:val="baseline"/>
              <w:rPr>
                <w:rFonts w:cs="Arial"/>
                <w:sz w:val="18"/>
                <w:szCs w:val="20"/>
                <w:lang w:val="bg-BG"/>
              </w:rPr>
            </w:pPr>
          </w:p>
        </w:tc>
      </w:tr>
      <w:tr w:rsidR="009C13A9" w:rsidRPr="008D2440" w:rsidTr="009C13A9">
        <w:trPr>
          <w:cantSplit/>
          <w:jc w:val="center"/>
        </w:trPr>
        <w:tc>
          <w:tcPr>
            <w:tcW w:w="284" w:type="dxa"/>
            <w:tcBorders>
              <w:top w:val="single" w:sz="6" w:space="0" w:color="auto"/>
              <w:left w:val="single" w:sz="6" w:space="0" w:color="auto"/>
            </w:tcBorders>
          </w:tcPr>
          <w:p w:rsidR="009C13A9" w:rsidRPr="009072DA" w:rsidRDefault="009C13A9" w:rsidP="009C13A9">
            <w:pPr>
              <w:tabs>
                <w:tab w:val="left" w:pos="57"/>
                <w:tab w:val="left" w:pos="227"/>
              </w:tabs>
              <w:overflowPunct w:val="0"/>
              <w:adjustRightInd w:val="0"/>
              <w:textAlignment w:val="baseline"/>
              <w:rPr>
                <w:rFonts w:cs="Arial"/>
                <w:sz w:val="18"/>
                <w:szCs w:val="20"/>
                <w:lang w:val="bg-BG"/>
              </w:rPr>
            </w:pPr>
            <w:r w:rsidRPr="009072DA">
              <w:rPr>
                <w:sz w:val="18"/>
                <w:lang w:val="bg-BG"/>
              </w:rPr>
              <w:t>47.</w:t>
            </w:r>
          </w:p>
        </w:tc>
        <w:tc>
          <w:tcPr>
            <w:tcW w:w="8904" w:type="dxa"/>
            <w:gridSpan w:val="5"/>
            <w:tcBorders>
              <w:top w:val="single" w:sz="6" w:space="0" w:color="auto"/>
              <w:right w:val="single" w:sz="6" w:space="0" w:color="auto"/>
            </w:tcBorders>
          </w:tcPr>
          <w:p w:rsidR="009C13A9" w:rsidRPr="009072DA" w:rsidRDefault="009C13A9" w:rsidP="00C62508">
            <w:pPr>
              <w:tabs>
                <w:tab w:val="left" w:pos="5103"/>
              </w:tabs>
              <w:overflowPunct w:val="0"/>
              <w:adjustRightInd w:val="0"/>
              <w:ind w:left="57"/>
              <w:textAlignment w:val="baseline"/>
              <w:rPr>
                <w:rFonts w:cs="Arial"/>
                <w:sz w:val="18"/>
                <w:szCs w:val="20"/>
                <w:lang w:val="bg-BG"/>
              </w:rPr>
            </w:pPr>
            <w:r w:rsidRPr="009072DA">
              <w:rPr>
                <w:sz w:val="18"/>
                <w:lang w:val="bg-BG"/>
              </w:rPr>
              <w:t>Оборудване на плавателен съд в съответствие с член 31.01.</w:t>
            </w:r>
            <w:r w:rsidRPr="009072DA">
              <w:rPr>
                <w:sz w:val="18"/>
                <w:szCs w:val="20"/>
                <w:lang w:val="bg-BG"/>
              </w:rPr>
              <w:br/>
            </w:r>
            <w:r w:rsidRPr="009072DA">
              <w:rPr>
                <w:sz w:val="18"/>
                <w:lang w:val="bg-BG"/>
              </w:rPr>
              <w:t>Плавателният съд съответства</w:t>
            </w:r>
            <w:r w:rsidRPr="009072DA">
              <w:rPr>
                <w:position w:val="6"/>
                <w:sz w:val="16"/>
                <w:lang w:val="bg-BG"/>
              </w:rPr>
              <w:t xml:space="preserve"> *)</w:t>
            </w:r>
            <w:r w:rsidRPr="009072DA">
              <w:rPr>
                <w:sz w:val="18"/>
                <w:lang w:val="bg-BG"/>
              </w:rPr>
              <w:t xml:space="preserve"> / не съответства </w:t>
            </w:r>
            <w:r w:rsidRPr="009072DA">
              <w:rPr>
                <w:position w:val="6"/>
                <w:sz w:val="16"/>
                <w:lang w:val="bg-BG"/>
              </w:rPr>
              <w:t>*)</w:t>
            </w:r>
            <w:r w:rsidRPr="009072DA">
              <w:rPr>
                <w:sz w:val="18"/>
                <w:lang w:val="bg-BG"/>
              </w:rPr>
              <w:t xml:space="preserve"> на член 31.02 (Стандарт S1)</w:t>
            </w:r>
            <w:r w:rsidRPr="009072DA">
              <w:rPr>
                <w:position w:val="6"/>
                <w:sz w:val="16"/>
                <w:lang w:val="bg-BG"/>
              </w:rPr>
              <w:t>*)</w:t>
            </w:r>
            <w:r w:rsidRPr="009072DA">
              <w:rPr>
                <w:sz w:val="18"/>
                <w:lang w:val="bg-BG"/>
              </w:rPr>
              <w:t xml:space="preserve"> / член 31.03 (Стандарт S2)</w:t>
            </w:r>
            <w:r w:rsidRPr="009072DA">
              <w:rPr>
                <w:position w:val="6"/>
                <w:sz w:val="16"/>
                <w:lang w:val="bg-BG"/>
              </w:rPr>
              <w:t>*)</w:t>
            </w:r>
            <w:r w:rsidRPr="009072DA">
              <w:rPr>
                <w:sz w:val="18"/>
                <w:lang w:val="bg-BG"/>
              </w:rPr>
              <w:t>.</w:t>
            </w:r>
            <w:r w:rsidRPr="009072DA">
              <w:rPr>
                <w:rFonts w:cs="Arial"/>
                <w:sz w:val="18"/>
                <w:szCs w:val="18"/>
                <w:lang w:val="bg-BG"/>
              </w:rPr>
              <w:br/>
            </w:r>
            <w:r w:rsidRPr="009072DA">
              <w:rPr>
                <w:sz w:val="18"/>
                <w:lang w:val="bg-BG"/>
              </w:rPr>
              <w:t>[В съответствие с член 3.18 от разпоредбите относно навигационния персонал по река Рейн / в съответствие с националните или международните изисквания], минималният екипаж трябва да бъде увеличен както следва</w:t>
            </w:r>
            <w:r w:rsidRPr="009072DA">
              <w:rPr>
                <w:position w:val="6"/>
                <w:sz w:val="16"/>
                <w:lang w:val="bg-BG"/>
              </w:rPr>
              <w:t>*)</w:t>
            </w:r>
            <w:r w:rsidRPr="009072DA">
              <w:rPr>
                <w:lang w:val="bg-BG"/>
              </w:rPr>
              <w:t xml:space="preserve"> </w:t>
            </w:r>
            <w:r w:rsidRPr="009072DA">
              <w:rPr>
                <w:sz w:val="18"/>
                <w:lang w:val="bg-BG"/>
              </w:rPr>
              <w:t>/ не трябва да бъде увеличен:</w:t>
            </w:r>
            <w:r w:rsidRPr="009072DA">
              <w:rPr>
                <w:position w:val="6"/>
                <w:sz w:val="16"/>
                <w:lang w:val="bg-BG"/>
              </w:rPr>
              <w:t>*)</w:t>
            </w:r>
            <w:r w:rsidRPr="009072DA">
              <w:rPr>
                <w:sz w:val="18"/>
                <w:lang w:val="bg-BG"/>
              </w:rPr>
              <w:t>:</w:t>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4253" w:type="dxa"/>
            <w:tcBorders>
              <w:top w:val="single" w:sz="6" w:space="0" w:color="auto"/>
              <w:left w:val="single" w:sz="6" w:space="0" w:color="auto"/>
              <w:right w:val="single" w:sz="6" w:space="0" w:color="auto"/>
            </w:tcBorders>
          </w:tcPr>
          <w:p w:rsidR="009C13A9" w:rsidRPr="009072DA" w:rsidRDefault="009C13A9" w:rsidP="009C13A9">
            <w:pPr>
              <w:tabs>
                <w:tab w:val="left" w:pos="57"/>
                <w:tab w:val="left" w:leader="dot" w:pos="8505"/>
              </w:tabs>
              <w:overflowPunct w:val="0"/>
              <w:adjustRightInd w:val="0"/>
              <w:spacing w:before="20" w:after="20"/>
              <w:ind w:left="57" w:hanging="57"/>
              <w:textAlignment w:val="baseline"/>
              <w:rPr>
                <w:rFonts w:cs="Arial"/>
                <w:sz w:val="18"/>
                <w:szCs w:val="20"/>
                <w:lang w:val="bg-BG"/>
              </w:rPr>
            </w:pPr>
          </w:p>
        </w:tc>
        <w:tc>
          <w:tcPr>
            <w:tcW w:w="4254" w:type="dxa"/>
            <w:gridSpan w:val="3"/>
            <w:tcBorders>
              <w:top w:val="single" w:sz="6" w:space="0" w:color="auto"/>
              <w:left w:val="single" w:sz="6" w:space="0" w:color="auto"/>
              <w:right w:val="single" w:sz="6" w:space="0" w:color="auto"/>
            </w:tcBorders>
          </w:tcPr>
          <w:p w:rsidR="009C13A9" w:rsidRPr="009072DA" w:rsidRDefault="009C13A9" w:rsidP="009C13A9">
            <w:pPr>
              <w:tabs>
                <w:tab w:val="center" w:pos="2042"/>
              </w:tabs>
              <w:overflowPunct w:val="0"/>
              <w:adjustRightInd w:val="0"/>
              <w:spacing w:before="20" w:after="20"/>
              <w:jc w:val="center"/>
              <w:textAlignment w:val="baseline"/>
              <w:rPr>
                <w:rFonts w:cs="Arial"/>
                <w:sz w:val="18"/>
                <w:szCs w:val="20"/>
                <w:lang w:val="bg-BG"/>
              </w:rPr>
            </w:pPr>
            <w:r w:rsidRPr="009072DA">
              <w:rPr>
                <w:sz w:val="18"/>
                <w:lang w:val="bg-BG"/>
              </w:rPr>
              <w:t>Режими на работа</w:t>
            </w:r>
            <w:r w:rsidRPr="009072DA">
              <w:rPr>
                <w:sz w:val="18"/>
                <w:vertAlign w:val="superscript"/>
                <w:lang w:val="bg-BG"/>
              </w:rPr>
              <w:footnoteReference w:id="49"/>
            </w:r>
          </w:p>
        </w:tc>
        <w:tc>
          <w:tcPr>
            <w:tcW w:w="397" w:type="dxa"/>
            <w:tcBorders>
              <w:right w:val="single" w:sz="6" w:space="0" w:color="auto"/>
            </w:tcBorders>
          </w:tcPr>
          <w:p w:rsidR="009C13A9" w:rsidRPr="009072DA" w:rsidRDefault="009C13A9" w:rsidP="009C13A9">
            <w:pPr>
              <w:tabs>
                <w:tab w:val="left" w:pos="57"/>
                <w:tab w:val="left" w:leader="dot" w:pos="8505"/>
              </w:tabs>
              <w:overflowPunct w:val="0"/>
              <w:adjustRightInd w:val="0"/>
              <w:spacing w:before="20" w:after="20"/>
              <w:ind w:left="57" w:hanging="57"/>
              <w:textAlignment w:val="baseline"/>
              <w:rPr>
                <w:rFonts w:cs="Arial"/>
                <w:sz w:val="18"/>
                <w:szCs w:val="20"/>
                <w:lang w:val="bg-BG"/>
              </w:rPr>
            </w:pPr>
            <w:r w:rsidRPr="009072DA">
              <w:rPr>
                <w:lang w:val="bg-BG"/>
              </w:rPr>
              <w:tab/>
            </w:r>
          </w:p>
          <w:p w:rsidR="009C13A9" w:rsidRPr="009072DA" w:rsidRDefault="009C13A9" w:rsidP="009C13A9">
            <w:pPr>
              <w:tabs>
                <w:tab w:val="left" w:pos="57"/>
                <w:tab w:val="left" w:pos="5103"/>
              </w:tabs>
              <w:overflowPunct w:val="0"/>
              <w:adjustRightInd w:val="0"/>
              <w:spacing w:before="20" w:after="2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4253" w:type="dxa"/>
            <w:tcBorders>
              <w:top w:val="single" w:sz="6" w:space="0" w:color="auto"/>
              <w:left w:val="single" w:sz="6" w:space="0" w:color="auto"/>
              <w:right w:val="single" w:sz="6" w:space="0" w:color="auto"/>
            </w:tcBorders>
          </w:tcPr>
          <w:p w:rsidR="009C13A9" w:rsidRPr="009072DA" w:rsidRDefault="009C13A9" w:rsidP="009C13A9">
            <w:pPr>
              <w:tabs>
                <w:tab w:val="left" w:pos="57"/>
                <w:tab w:val="left" w:leader="dot" w:pos="3969"/>
                <w:tab w:val="left" w:leader="dot" w:pos="8505"/>
              </w:tabs>
              <w:overflowPunct w:val="0"/>
              <w:adjustRightInd w:val="0"/>
              <w:spacing w:before="20" w:after="20"/>
              <w:ind w:left="57" w:hanging="57"/>
              <w:textAlignment w:val="baseline"/>
              <w:rPr>
                <w:rFonts w:cs="Arial"/>
                <w:sz w:val="18"/>
                <w:szCs w:val="20"/>
                <w:lang w:val="bg-BG"/>
              </w:rPr>
            </w:pPr>
          </w:p>
        </w:tc>
        <w:tc>
          <w:tcPr>
            <w:tcW w:w="1418" w:type="dxa"/>
            <w:tcBorders>
              <w:top w:val="single" w:sz="6" w:space="0" w:color="auto"/>
              <w:bottom w:val="single" w:sz="6" w:space="0" w:color="auto"/>
              <w:right w:val="single" w:sz="6" w:space="0" w:color="auto"/>
            </w:tcBorders>
          </w:tcPr>
          <w:p w:rsidR="009C13A9" w:rsidRPr="009072DA" w:rsidRDefault="009C13A9" w:rsidP="009C13A9">
            <w:pPr>
              <w:tabs>
                <w:tab w:val="center" w:pos="624"/>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center" w:pos="624"/>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center" w:pos="624"/>
              </w:tabs>
              <w:overflowPunct w:val="0"/>
              <w:adjustRightInd w:val="0"/>
              <w:spacing w:before="20" w:after="20"/>
              <w:textAlignment w:val="baseline"/>
              <w:rPr>
                <w:rFonts w:cs="Arial"/>
                <w:sz w:val="18"/>
                <w:szCs w:val="20"/>
                <w:lang w:val="bg-BG"/>
              </w:rPr>
            </w:pPr>
            <w:r w:rsidRPr="009072DA">
              <w:rPr>
                <w:lang w:val="bg-BG"/>
              </w:rPr>
              <w:tab/>
            </w: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20" w:after="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4253" w:type="dxa"/>
            <w:tcBorders>
              <w:left w:val="single" w:sz="6" w:space="0" w:color="auto"/>
              <w:right w:val="single" w:sz="6" w:space="0" w:color="auto"/>
            </w:tcBorders>
          </w:tcPr>
          <w:p w:rsidR="009C13A9" w:rsidRPr="009072D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bg-BG"/>
              </w:rPr>
            </w:pPr>
          </w:p>
        </w:tc>
        <w:tc>
          <w:tcPr>
            <w:tcW w:w="1418" w:type="dxa"/>
            <w:tcBorders>
              <w:right w:val="single" w:sz="6" w:space="0" w:color="auto"/>
            </w:tcBorders>
          </w:tcPr>
          <w:p w:rsidR="009C13A9" w:rsidRPr="009072DA" w:rsidRDefault="009C13A9" w:rsidP="009C13A9">
            <w:pPr>
              <w:tabs>
                <w:tab w:val="left" w:leader="dot" w:pos="1134"/>
                <w:tab w:val="left" w:leader="dot" w:pos="8505"/>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right w:val="single" w:sz="6" w:space="0" w:color="auto"/>
            </w:tcBorders>
          </w:tcPr>
          <w:p w:rsidR="009C13A9" w:rsidRPr="009072DA" w:rsidRDefault="009C13A9" w:rsidP="009C13A9">
            <w:pPr>
              <w:tabs>
                <w:tab w:val="left" w:leader="dot" w:pos="1134"/>
                <w:tab w:val="left" w:leader="dot" w:pos="8505"/>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right w:val="single" w:sz="6" w:space="0" w:color="auto"/>
            </w:tcBorders>
          </w:tcPr>
          <w:p w:rsidR="009C13A9" w:rsidRPr="009072DA" w:rsidRDefault="009C13A9" w:rsidP="009C13A9">
            <w:pPr>
              <w:tabs>
                <w:tab w:val="left" w:leader="dot" w:pos="1134"/>
                <w:tab w:val="left" w:leader="dot" w:pos="8505"/>
              </w:tabs>
              <w:overflowPunct w:val="0"/>
              <w:adjustRightInd w:val="0"/>
              <w:spacing w:before="20" w:after="20"/>
              <w:textAlignment w:val="baseline"/>
              <w:rPr>
                <w:rFonts w:cs="Arial"/>
                <w:sz w:val="18"/>
                <w:szCs w:val="20"/>
                <w:lang w:val="bg-BG"/>
              </w:rPr>
            </w:pPr>
            <w:r w:rsidRPr="009072DA">
              <w:rPr>
                <w:lang w:val="bg-BG"/>
              </w:rPr>
              <w:tab/>
            </w: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20" w:after="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4253" w:type="dxa"/>
            <w:tcBorders>
              <w:left w:val="single" w:sz="6" w:space="0" w:color="auto"/>
              <w:bottom w:val="single" w:sz="6" w:space="0" w:color="auto"/>
              <w:right w:val="single" w:sz="6" w:space="0" w:color="auto"/>
            </w:tcBorders>
          </w:tcPr>
          <w:p w:rsidR="009C13A9" w:rsidRPr="009072D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bg-BG"/>
              </w:rPr>
            </w:pPr>
          </w:p>
        </w:tc>
        <w:tc>
          <w:tcPr>
            <w:tcW w:w="1418" w:type="dxa"/>
            <w:tcBorders>
              <w:bottom w:val="single" w:sz="6" w:space="0" w:color="auto"/>
              <w:right w:val="single" w:sz="6" w:space="0" w:color="auto"/>
            </w:tcBorders>
          </w:tcPr>
          <w:p w:rsidR="009C13A9" w:rsidRPr="009072DA" w:rsidRDefault="009C13A9" w:rsidP="009C13A9">
            <w:pPr>
              <w:tabs>
                <w:tab w:val="left" w:leader="dot" w:pos="1134"/>
                <w:tab w:val="left" w:leader="dot" w:pos="8505"/>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bottom w:val="single" w:sz="6" w:space="0" w:color="auto"/>
              <w:right w:val="single" w:sz="6" w:space="0" w:color="auto"/>
            </w:tcBorders>
          </w:tcPr>
          <w:p w:rsidR="009C13A9" w:rsidRPr="009072DA" w:rsidRDefault="009C13A9" w:rsidP="009C13A9">
            <w:pPr>
              <w:tabs>
                <w:tab w:val="left" w:leader="dot" w:pos="1134"/>
                <w:tab w:val="left" w:leader="dot" w:pos="8505"/>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bottom w:val="single" w:sz="6" w:space="0" w:color="auto"/>
              <w:right w:val="single" w:sz="6" w:space="0" w:color="auto"/>
            </w:tcBorders>
          </w:tcPr>
          <w:p w:rsidR="009C13A9" w:rsidRPr="009072DA" w:rsidRDefault="009C13A9" w:rsidP="009C13A9">
            <w:pPr>
              <w:tabs>
                <w:tab w:val="left" w:leader="dot" w:pos="1134"/>
                <w:tab w:val="left" w:leader="dot" w:pos="8505"/>
              </w:tabs>
              <w:overflowPunct w:val="0"/>
              <w:adjustRightInd w:val="0"/>
              <w:spacing w:before="20" w:after="20"/>
              <w:textAlignment w:val="baseline"/>
              <w:rPr>
                <w:rFonts w:cs="Arial"/>
                <w:sz w:val="18"/>
                <w:szCs w:val="20"/>
                <w:lang w:val="bg-BG"/>
              </w:rPr>
            </w:pPr>
            <w:r w:rsidRPr="009072DA">
              <w:rPr>
                <w:lang w:val="bg-BG"/>
              </w:rPr>
              <w:tab/>
            </w: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20" w:after="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8904" w:type="dxa"/>
            <w:gridSpan w:val="5"/>
            <w:tcBorders>
              <w:right w:val="single" w:sz="6" w:space="0" w:color="auto"/>
            </w:tcBorders>
          </w:tcPr>
          <w:p w:rsidR="009C13A9" w:rsidRPr="009072DA" w:rsidRDefault="009C13A9" w:rsidP="009C13A9">
            <w:pPr>
              <w:tabs>
                <w:tab w:val="left" w:leader="dot" w:pos="8505"/>
              </w:tabs>
              <w:overflowPunct w:val="0"/>
              <w:adjustRightInd w:val="0"/>
              <w:spacing w:before="80"/>
              <w:ind w:left="57"/>
              <w:textAlignment w:val="baseline"/>
              <w:rPr>
                <w:sz w:val="18"/>
                <w:szCs w:val="20"/>
                <w:lang w:val="bg-BG"/>
              </w:rPr>
            </w:pPr>
            <w:r w:rsidRPr="009072DA">
              <w:rPr>
                <w:sz w:val="18"/>
                <w:lang w:val="bg-BG"/>
              </w:rPr>
              <w:t>Забележки и специални условия:</w:t>
            </w:r>
          </w:p>
          <w:p w:rsidR="009C13A9" w:rsidRPr="009072DA" w:rsidRDefault="009C13A9" w:rsidP="009C13A9">
            <w:pPr>
              <w:tabs>
                <w:tab w:val="left" w:leader="dot" w:pos="8505"/>
              </w:tabs>
              <w:overflowPunct w:val="0"/>
              <w:adjustRightInd w:val="0"/>
              <w:spacing w:before="8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8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80"/>
              <w:ind w:left="57"/>
              <w:textAlignment w:val="baseline"/>
              <w:rPr>
                <w:rFonts w:cs="Arial"/>
                <w:sz w:val="18"/>
                <w:szCs w:val="20"/>
                <w:lang w:val="bg-BG"/>
              </w:rPr>
            </w:pPr>
            <w:r w:rsidRPr="009072DA">
              <w:rPr>
                <w:lang w:val="bg-BG"/>
              </w:rPr>
              <w:tab/>
            </w:r>
          </w:p>
        </w:tc>
      </w:tr>
      <w:tr w:rsidR="009C13A9" w:rsidRPr="008D2440" w:rsidTr="009C13A9">
        <w:trPr>
          <w:cantSplit/>
          <w:jc w:val="center"/>
        </w:trPr>
        <w:tc>
          <w:tcPr>
            <w:tcW w:w="284" w:type="dxa"/>
            <w:tcBorders>
              <w:top w:val="single" w:sz="6" w:space="0" w:color="auto"/>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r w:rsidRPr="009072DA">
              <w:rPr>
                <w:sz w:val="18"/>
                <w:lang w:val="bg-BG"/>
              </w:rPr>
              <w:t>48.</w:t>
            </w:r>
          </w:p>
        </w:tc>
        <w:tc>
          <w:tcPr>
            <w:tcW w:w="8904" w:type="dxa"/>
            <w:gridSpan w:val="5"/>
            <w:tcBorders>
              <w:top w:val="single" w:sz="6" w:space="0" w:color="auto"/>
              <w:right w:val="single" w:sz="6" w:space="0" w:color="auto"/>
            </w:tcBorders>
          </w:tcPr>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sz w:val="18"/>
                <w:lang w:val="bg-BG"/>
              </w:rPr>
              <w:t>Минимален екипаж [съгласно член 3.19  от разпоредбите относно навигационния персонал по река Рейн /в съответствие с национални или международни изисквания]</w:t>
            </w:r>
            <w:r w:rsidRPr="009072DA">
              <w:rPr>
                <w:sz w:val="18"/>
                <w:vertAlign w:val="superscript"/>
                <w:lang w:val="bg-BG"/>
              </w:rPr>
              <w:footnoteReference w:id="50"/>
            </w:r>
          </w:p>
          <w:p w:rsidR="009C13A9" w:rsidRPr="009072DA" w:rsidRDefault="009C13A9" w:rsidP="009C13A9">
            <w:pPr>
              <w:tabs>
                <w:tab w:val="left" w:pos="57"/>
                <w:tab w:val="left" w:pos="5103"/>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4253" w:type="dxa"/>
            <w:tcBorders>
              <w:top w:val="single" w:sz="6" w:space="0" w:color="auto"/>
              <w:left w:val="single" w:sz="6" w:space="0" w:color="auto"/>
              <w:right w:val="single" w:sz="6" w:space="0" w:color="auto"/>
            </w:tcBorders>
          </w:tcPr>
          <w:p w:rsidR="009C13A9" w:rsidRPr="009072DA" w:rsidRDefault="009C13A9" w:rsidP="009C13A9">
            <w:pPr>
              <w:tabs>
                <w:tab w:val="left" w:pos="57"/>
                <w:tab w:val="left" w:leader="dot" w:pos="8505"/>
              </w:tabs>
              <w:overflowPunct w:val="0"/>
              <w:adjustRightInd w:val="0"/>
              <w:spacing w:before="20" w:after="20"/>
              <w:ind w:left="57" w:hanging="57"/>
              <w:textAlignment w:val="baseline"/>
              <w:rPr>
                <w:rFonts w:cs="Arial"/>
                <w:sz w:val="18"/>
                <w:szCs w:val="20"/>
                <w:lang w:val="bg-BG"/>
              </w:rPr>
            </w:pPr>
          </w:p>
        </w:tc>
        <w:tc>
          <w:tcPr>
            <w:tcW w:w="4254" w:type="dxa"/>
            <w:gridSpan w:val="3"/>
            <w:tcBorders>
              <w:top w:val="single" w:sz="6" w:space="0" w:color="auto"/>
              <w:left w:val="single" w:sz="6" w:space="0" w:color="auto"/>
              <w:right w:val="single" w:sz="6" w:space="0" w:color="auto"/>
            </w:tcBorders>
          </w:tcPr>
          <w:p w:rsidR="009C13A9" w:rsidRPr="009072DA" w:rsidRDefault="009C13A9" w:rsidP="009C13A9">
            <w:pPr>
              <w:tabs>
                <w:tab w:val="center" w:pos="2041"/>
              </w:tabs>
              <w:overflowPunct w:val="0"/>
              <w:adjustRightInd w:val="0"/>
              <w:spacing w:before="20" w:after="20"/>
              <w:jc w:val="center"/>
              <w:textAlignment w:val="baseline"/>
              <w:rPr>
                <w:rFonts w:cs="Arial"/>
                <w:sz w:val="18"/>
                <w:szCs w:val="20"/>
                <w:lang w:val="bg-BG"/>
              </w:rPr>
            </w:pPr>
            <w:r w:rsidRPr="009072DA">
              <w:rPr>
                <w:sz w:val="18"/>
                <w:lang w:val="bg-BG"/>
              </w:rPr>
              <w:t>Режими на работа</w:t>
            </w:r>
          </w:p>
        </w:tc>
        <w:tc>
          <w:tcPr>
            <w:tcW w:w="397" w:type="dxa"/>
            <w:tcBorders>
              <w:right w:val="single" w:sz="6" w:space="0" w:color="auto"/>
            </w:tcBorders>
          </w:tcPr>
          <w:p w:rsidR="009C13A9" w:rsidRPr="009072DA" w:rsidRDefault="009C13A9" w:rsidP="009C13A9">
            <w:pPr>
              <w:tabs>
                <w:tab w:val="left" w:pos="57"/>
                <w:tab w:val="left" w:leader="dot" w:pos="8505"/>
              </w:tabs>
              <w:overflowPunct w:val="0"/>
              <w:adjustRightInd w:val="0"/>
              <w:spacing w:before="20" w:after="20"/>
              <w:ind w:left="57" w:hanging="57"/>
              <w:textAlignment w:val="baseline"/>
              <w:rPr>
                <w:rFonts w:cs="Arial"/>
                <w:sz w:val="18"/>
                <w:szCs w:val="20"/>
                <w:lang w:val="bg-BG"/>
              </w:rPr>
            </w:pPr>
          </w:p>
          <w:p w:rsidR="009C13A9" w:rsidRPr="009072DA" w:rsidRDefault="009C13A9" w:rsidP="009C13A9">
            <w:pPr>
              <w:tabs>
                <w:tab w:val="left" w:pos="57"/>
                <w:tab w:val="left" w:pos="5103"/>
              </w:tabs>
              <w:overflowPunct w:val="0"/>
              <w:adjustRightInd w:val="0"/>
              <w:spacing w:before="20" w:after="2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80"/>
              <w:textAlignment w:val="baseline"/>
              <w:rPr>
                <w:rFonts w:cs="Arial"/>
                <w:sz w:val="18"/>
                <w:szCs w:val="20"/>
                <w:lang w:val="bg-BG"/>
              </w:rPr>
            </w:pPr>
          </w:p>
        </w:tc>
        <w:tc>
          <w:tcPr>
            <w:tcW w:w="4253" w:type="dxa"/>
            <w:tcBorders>
              <w:top w:val="single" w:sz="6" w:space="0" w:color="auto"/>
              <w:left w:val="single" w:sz="6" w:space="0" w:color="auto"/>
              <w:right w:val="single" w:sz="6" w:space="0" w:color="auto"/>
            </w:tcBorders>
          </w:tcPr>
          <w:p w:rsidR="009C13A9" w:rsidRPr="009072DA" w:rsidRDefault="009C13A9" w:rsidP="009C13A9">
            <w:pPr>
              <w:tabs>
                <w:tab w:val="left" w:pos="57"/>
                <w:tab w:val="left" w:leader="dot" w:pos="3969"/>
                <w:tab w:val="left" w:leader="dot" w:pos="8505"/>
              </w:tabs>
              <w:overflowPunct w:val="0"/>
              <w:adjustRightInd w:val="0"/>
              <w:spacing w:before="20" w:after="20"/>
              <w:ind w:left="57" w:hanging="57"/>
              <w:textAlignment w:val="baseline"/>
              <w:rPr>
                <w:rFonts w:cs="Arial"/>
                <w:sz w:val="18"/>
                <w:szCs w:val="20"/>
                <w:lang w:val="bg-BG"/>
              </w:rPr>
            </w:pPr>
          </w:p>
        </w:tc>
        <w:tc>
          <w:tcPr>
            <w:tcW w:w="1418" w:type="dxa"/>
            <w:tcBorders>
              <w:top w:val="single" w:sz="6" w:space="0" w:color="auto"/>
              <w:bottom w:val="single" w:sz="6" w:space="0" w:color="auto"/>
              <w:right w:val="single" w:sz="6" w:space="0" w:color="auto"/>
            </w:tcBorders>
          </w:tcPr>
          <w:p w:rsidR="009C13A9" w:rsidRPr="009072DA" w:rsidRDefault="009C13A9" w:rsidP="009C13A9">
            <w:pPr>
              <w:tabs>
                <w:tab w:val="center" w:pos="624"/>
              </w:tabs>
              <w:overflowPunct w:val="0"/>
              <w:adjustRightInd w:val="0"/>
              <w:spacing w:before="20" w:after="20"/>
              <w:textAlignment w:val="baseline"/>
              <w:rPr>
                <w:rFonts w:cs="Arial"/>
                <w:sz w:val="18"/>
                <w:szCs w:val="20"/>
                <w:lang w:val="bg-BG"/>
              </w:rPr>
            </w:pPr>
          </w:p>
        </w:tc>
        <w:tc>
          <w:tcPr>
            <w:tcW w:w="141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center" w:pos="624"/>
              </w:tabs>
              <w:overflowPunct w:val="0"/>
              <w:adjustRightInd w:val="0"/>
              <w:spacing w:before="20" w:after="20"/>
              <w:textAlignment w:val="baseline"/>
              <w:rPr>
                <w:rFonts w:cs="Arial"/>
                <w:sz w:val="18"/>
                <w:szCs w:val="20"/>
                <w:lang w:val="bg-BG"/>
              </w:rPr>
            </w:pPr>
          </w:p>
        </w:tc>
        <w:tc>
          <w:tcPr>
            <w:tcW w:w="141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center" w:pos="624"/>
              </w:tabs>
              <w:overflowPunct w:val="0"/>
              <w:adjustRightInd w:val="0"/>
              <w:spacing w:before="20" w:after="20"/>
              <w:textAlignment w:val="baseline"/>
              <w:rPr>
                <w:rFonts w:cs="Arial"/>
                <w:sz w:val="18"/>
                <w:szCs w:val="20"/>
                <w:lang w:val="bg-BG"/>
              </w:rPr>
            </w:pP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20" w:after="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80"/>
              <w:textAlignment w:val="baseline"/>
              <w:rPr>
                <w:rFonts w:cs="Arial"/>
                <w:sz w:val="18"/>
                <w:szCs w:val="20"/>
                <w:lang w:val="bg-BG"/>
              </w:rPr>
            </w:pPr>
          </w:p>
        </w:tc>
        <w:tc>
          <w:tcPr>
            <w:tcW w:w="4253" w:type="dxa"/>
            <w:tcBorders>
              <w:left w:val="single" w:sz="6" w:space="0" w:color="auto"/>
              <w:right w:val="single" w:sz="6" w:space="0" w:color="auto"/>
            </w:tcBorders>
          </w:tcPr>
          <w:p w:rsidR="009C13A9" w:rsidRPr="009072D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bg-BG"/>
              </w:rPr>
            </w:pPr>
          </w:p>
        </w:tc>
        <w:tc>
          <w:tcPr>
            <w:tcW w:w="1418" w:type="dxa"/>
            <w:tcBorders>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20" w:after="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80"/>
              <w:textAlignment w:val="baseline"/>
              <w:rPr>
                <w:rFonts w:cs="Arial"/>
                <w:sz w:val="18"/>
                <w:szCs w:val="20"/>
                <w:lang w:val="bg-BG"/>
              </w:rPr>
            </w:pPr>
          </w:p>
        </w:tc>
        <w:tc>
          <w:tcPr>
            <w:tcW w:w="4253" w:type="dxa"/>
            <w:tcBorders>
              <w:left w:val="single" w:sz="6" w:space="0" w:color="auto"/>
              <w:right w:val="single" w:sz="6" w:space="0" w:color="auto"/>
            </w:tcBorders>
          </w:tcPr>
          <w:p w:rsidR="009C13A9" w:rsidRPr="009072D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bg-BG"/>
              </w:rPr>
            </w:pPr>
          </w:p>
        </w:tc>
        <w:tc>
          <w:tcPr>
            <w:tcW w:w="1418" w:type="dxa"/>
            <w:tcBorders>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20" w:after="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80"/>
              <w:textAlignment w:val="baseline"/>
              <w:rPr>
                <w:rFonts w:cs="Arial"/>
                <w:sz w:val="18"/>
                <w:szCs w:val="20"/>
                <w:lang w:val="bg-BG"/>
              </w:rPr>
            </w:pPr>
          </w:p>
        </w:tc>
        <w:tc>
          <w:tcPr>
            <w:tcW w:w="4253" w:type="dxa"/>
            <w:tcBorders>
              <w:left w:val="single" w:sz="6" w:space="0" w:color="auto"/>
              <w:right w:val="single" w:sz="6" w:space="0" w:color="auto"/>
            </w:tcBorders>
          </w:tcPr>
          <w:p w:rsidR="009C13A9" w:rsidRPr="009072D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bg-BG"/>
              </w:rPr>
            </w:pPr>
          </w:p>
        </w:tc>
        <w:tc>
          <w:tcPr>
            <w:tcW w:w="1418" w:type="dxa"/>
            <w:tcBorders>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20" w:after="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80"/>
              <w:textAlignment w:val="baseline"/>
              <w:rPr>
                <w:rFonts w:cs="Arial"/>
                <w:sz w:val="18"/>
                <w:szCs w:val="20"/>
                <w:lang w:val="bg-BG"/>
              </w:rPr>
            </w:pPr>
          </w:p>
        </w:tc>
        <w:tc>
          <w:tcPr>
            <w:tcW w:w="4253" w:type="dxa"/>
            <w:tcBorders>
              <w:left w:val="single" w:sz="6" w:space="0" w:color="auto"/>
              <w:right w:val="single" w:sz="6" w:space="0" w:color="auto"/>
            </w:tcBorders>
          </w:tcPr>
          <w:p w:rsidR="009C13A9" w:rsidRPr="009072D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bg-BG"/>
              </w:rPr>
            </w:pPr>
          </w:p>
        </w:tc>
        <w:tc>
          <w:tcPr>
            <w:tcW w:w="1418" w:type="dxa"/>
            <w:tcBorders>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20" w:after="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80"/>
              <w:textAlignment w:val="baseline"/>
              <w:rPr>
                <w:rFonts w:cs="Arial"/>
                <w:sz w:val="18"/>
                <w:szCs w:val="20"/>
                <w:lang w:val="bg-BG"/>
              </w:rPr>
            </w:pPr>
          </w:p>
        </w:tc>
        <w:tc>
          <w:tcPr>
            <w:tcW w:w="4253" w:type="dxa"/>
            <w:tcBorders>
              <w:left w:val="single" w:sz="6" w:space="0" w:color="auto"/>
              <w:right w:val="single" w:sz="6" w:space="0" w:color="auto"/>
            </w:tcBorders>
          </w:tcPr>
          <w:p w:rsidR="009C13A9" w:rsidRPr="009072D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bg-BG"/>
              </w:rPr>
            </w:pPr>
          </w:p>
        </w:tc>
        <w:tc>
          <w:tcPr>
            <w:tcW w:w="1418" w:type="dxa"/>
            <w:tcBorders>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20" w:after="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80"/>
              <w:textAlignment w:val="baseline"/>
              <w:rPr>
                <w:rFonts w:cs="Arial"/>
                <w:sz w:val="18"/>
                <w:szCs w:val="20"/>
                <w:lang w:val="bg-BG"/>
              </w:rPr>
            </w:pPr>
          </w:p>
        </w:tc>
        <w:tc>
          <w:tcPr>
            <w:tcW w:w="4253" w:type="dxa"/>
            <w:tcBorders>
              <w:left w:val="single" w:sz="6" w:space="0" w:color="auto"/>
              <w:right w:val="single" w:sz="6" w:space="0" w:color="auto"/>
            </w:tcBorders>
          </w:tcPr>
          <w:p w:rsidR="009C13A9" w:rsidRPr="009072D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bg-BG"/>
              </w:rPr>
            </w:pPr>
          </w:p>
        </w:tc>
        <w:tc>
          <w:tcPr>
            <w:tcW w:w="1418" w:type="dxa"/>
            <w:tcBorders>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20" w:after="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80"/>
              <w:textAlignment w:val="baseline"/>
              <w:rPr>
                <w:rFonts w:cs="Arial"/>
                <w:sz w:val="18"/>
                <w:szCs w:val="20"/>
                <w:lang w:val="bg-BG"/>
              </w:rPr>
            </w:pPr>
          </w:p>
        </w:tc>
        <w:tc>
          <w:tcPr>
            <w:tcW w:w="4253" w:type="dxa"/>
            <w:tcBorders>
              <w:left w:val="single" w:sz="6" w:space="0" w:color="auto"/>
              <w:right w:val="single" w:sz="6" w:space="0" w:color="auto"/>
            </w:tcBorders>
          </w:tcPr>
          <w:p w:rsidR="009C13A9" w:rsidRPr="009072D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bg-BG"/>
              </w:rPr>
            </w:pPr>
          </w:p>
        </w:tc>
        <w:tc>
          <w:tcPr>
            <w:tcW w:w="1418" w:type="dxa"/>
            <w:tcBorders>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20" w:after="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80"/>
              <w:textAlignment w:val="baseline"/>
              <w:rPr>
                <w:rFonts w:cs="Arial"/>
                <w:sz w:val="18"/>
                <w:szCs w:val="20"/>
                <w:lang w:val="bg-BG"/>
              </w:rPr>
            </w:pPr>
          </w:p>
        </w:tc>
        <w:tc>
          <w:tcPr>
            <w:tcW w:w="4253" w:type="dxa"/>
            <w:tcBorders>
              <w:left w:val="single" w:sz="6" w:space="0" w:color="auto"/>
              <w:bottom w:val="single" w:sz="6" w:space="0" w:color="auto"/>
              <w:right w:val="single" w:sz="6" w:space="0" w:color="auto"/>
            </w:tcBorders>
          </w:tcPr>
          <w:p w:rsidR="009C13A9" w:rsidRPr="009072D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bg-BG"/>
              </w:rPr>
            </w:pPr>
          </w:p>
        </w:tc>
        <w:tc>
          <w:tcPr>
            <w:tcW w:w="1418" w:type="dxa"/>
            <w:tcBorders>
              <w:bottom w:val="single" w:sz="6" w:space="0" w:color="auto"/>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bottom w:val="single" w:sz="6" w:space="0" w:color="auto"/>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1418" w:type="dxa"/>
            <w:tcBorders>
              <w:left w:val="single" w:sz="6" w:space="0" w:color="auto"/>
              <w:bottom w:val="single" w:sz="6" w:space="0" w:color="auto"/>
              <w:right w:val="single" w:sz="6" w:space="0" w:color="auto"/>
            </w:tcBorders>
          </w:tcPr>
          <w:p w:rsidR="009C13A9" w:rsidRPr="009072DA" w:rsidRDefault="009C13A9" w:rsidP="009C13A9">
            <w:pPr>
              <w:tabs>
                <w:tab w:val="left" w:leader="dot" w:pos="1134"/>
              </w:tabs>
              <w:overflowPunct w:val="0"/>
              <w:adjustRightInd w:val="0"/>
              <w:spacing w:before="20" w:after="20"/>
              <w:textAlignment w:val="baseline"/>
              <w:rPr>
                <w:rFonts w:cs="Arial"/>
                <w:sz w:val="18"/>
                <w:szCs w:val="20"/>
                <w:lang w:val="bg-BG"/>
              </w:rPr>
            </w:pPr>
            <w:r w:rsidRPr="009072DA">
              <w:rPr>
                <w:lang w:val="bg-BG"/>
              </w:rPr>
              <w:tab/>
            </w: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20" w:after="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80"/>
              <w:textAlignment w:val="baseline"/>
              <w:rPr>
                <w:rFonts w:cs="Arial"/>
                <w:sz w:val="18"/>
                <w:szCs w:val="20"/>
                <w:lang w:val="bg-BG"/>
              </w:rPr>
            </w:pPr>
          </w:p>
        </w:tc>
        <w:tc>
          <w:tcPr>
            <w:tcW w:w="8904" w:type="dxa"/>
            <w:gridSpan w:val="5"/>
            <w:tcBorders>
              <w:bottom w:val="single" w:sz="6" w:space="0" w:color="auto"/>
              <w:right w:val="single" w:sz="6" w:space="0" w:color="auto"/>
            </w:tcBorders>
          </w:tcPr>
          <w:p w:rsidR="009C13A9" w:rsidRPr="009072DA" w:rsidRDefault="009C13A9" w:rsidP="009C13A9">
            <w:pPr>
              <w:widowControl w:val="0"/>
              <w:tabs>
                <w:tab w:val="left" w:pos="57"/>
                <w:tab w:val="left" w:leader="dot" w:pos="8505"/>
              </w:tabs>
              <w:spacing w:before="40" w:after="40"/>
              <w:ind w:left="57" w:hanging="57"/>
              <w:rPr>
                <w:rFonts w:cs="Arial"/>
                <w:sz w:val="18"/>
                <w:szCs w:val="20"/>
                <w:lang w:val="bg-BG"/>
              </w:rPr>
            </w:pPr>
            <w:r w:rsidRPr="009072DA">
              <w:rPr>
                <w:lang w:val="bg-BG"/>
              </w:rPr>
              <w:tab/>
            </w:r>
            <w:r w:rsidRPr="009072DA">
              <w:rPr>
                <w:sz w:val="18"/>
                <w:lang w:val="bg-BG"/>
              </w:rPr>
              <w:t>Забележки и специални условия:</w:t>
            </w:r>
          </w:p>
          <w:p w:rsidR="009C13A9" w:rsidRPr="009072DA" w:rsidRDefault="009C13A9" w:rsidP="009C13A9">
            <w:pPr>
              <w:tabs>
                <w:tab w:val="left" w:leader="dot" w:pos="8505"/>
              </w:tabs>
              <w:overflowPunct w:val="0"/>
              <w:adjustRightInd w:val="0"/>
              <w:spacing w:before="8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8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8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80" w:after="40"/>
              <w:ind w:left="57"/>
              <w:textAlignment w:val="baseline"/>
              <w:rPr>
                <w:rFonts w:cs="Arial"/>
                <w:sz w:val="18"/>
                <w:szCs w:val="20"/>
                <w:lang w:val="bg-BG"/>
              </w:rPr>
            </w:pPr>
            <w:r w:rsidRPr="009072DA">
              <w:rPr>
                <w:lang w:val="bg-BG"/>
              </w:rPr>
              <w:tab/>
            </w:r>
          </w:p>
        </w:tc>
      </w:tr>
      <w:tr w:rsidR="009C13A9" w:rsidRPr="008D2440"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s>
              <w:overflowPunct w:val="0"/>
              <w:adjustRightInd w:val="0"/>
              <w:spacing w:before="80"/>
              <w:textAlignment w:val="baseline"/>
              <w:rPr>
                <w:rFonts w:cs="Arial"/>
                <w:sz w:val="18"/>
                <w:szCs w:val="20"/>
                <w:lang w:val="bg-BG"/>
              </w:rPr>
            </w:pPr>
            <w:r w:rsidRPr="009072DA">
              <w:rPr>
                <w:lang w:val="bg-BG"/>
              </w:rPr>
              <w:tab/>
            </w:r>
            <w:r w:rsidRPr="009072DA">
              <w:rPr>
                <w:sz w:val="18"/>
                <w:lang w:val="bg-BG"/>
              </w:rPr>
              <w:t>*)</w:t>
            </w:r>
            <w:r w:rsidRPr="009072DA">
              <w:rPr>
                <w:rFonts w:cs="Arial"/>
                <w:sz w:val="18"/>
                <w:szCs w:val="20"/>
                <w:lang w:val="bg-BG"/>
              </w:rPr>
              <w:br/>
            </w:r>
            <w:r w:rsidRPr="009072DA">
              <w:rPr>
                <w:rFonts w:cs="Arial"/>
                <w:sz w:val="18"/>
                <w:szCs w:val="20"/>
                <w:lang w:val="bg-BG"/>
              </w:rPr>
              <w:br/>
            </w:r>
          </w:p>
          <w:p w:rsidR="009C13A9" w:rsidRPr="009072DA" w:rsidRDefault="009C13A9" w:rsidP="009C13A9">
            <w:pPr>
              <w:tabs>
                <w:tab w:val="left" w:pos="57"/>
              </w:tabs>
              <w:overflowPunct w:val="0"/>
              <w:adjustRightInd w:val="0"/>
              <w:spacing w:before="80"/>
              <w:textAlignment w:val="baseline"/>
              <w:rPr>
                <w:rFonts w:cs="Arial"/>
                <w:sz w:val="18"/>
                <w:szCs w:val="20"/>
                <w:lang w:val="bg-BG"/>
              </w:rPr>
            </w:pPr>
          </w:p>
          <w:p w:rsidR="009C13A9" w:rsidRPr="009072DA" w:rsidRDefault="009C13A9" w:rsidP="009C13A9">
            <w:pPr>
              <w:tabs>
                <w:tab w:val="left" w:pos="57"/>
              </w:tabs>
              <w:overflowPunct w:val="0"/>
              <w:adjustRightInd w:val="0"/>
              <w:spacing w:before="160"/>
              <w:textAlignment w:val="baseline"/>
              <w:rPr>
                <w:rFonts w:cs="Arial"/>
                <w:sz w:val="18"/>
                <w:szCs w:val="20"/>
                <w:lang w:val="bg-BG"/>
              </w:rPr>
            </w:pPr>
            <w:r w:rsidRPr="009072DA">
              <w:rPr>
                <w:lang w:val="bg-BG"/>
              </w:rPr>
              <w:tab/>
            </w:r>
            <w:r w:rsidRPr="009072DA">
              <w:rPr>
                <w:sz w:val="18"/>
                <w:lang w:val="bg-BG"/>
              </w:rPr>
              <w:t>*)</w:t>
            </w:r>
          </w:p>
        </w:tc>
        <w:tc>
          <w:tcPr>
            <w:tcW w:w="8904" w:type="dxa"/>
            <w:gridSpan w:val="5"/>
            <w:tcBorders>
              <w:bottom w:val="single" w:sz="6" w:space="0" w:color="auto"/>
              <w:right w:val="single" w:sz="6" w:space="0" w:color="auto"/>
            </w:tcBorders>
          </w:tcPr>
          <w:p w:rsidR="009C13A9" w:rsidRPr="009072DA"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bg-BG"/>
              </w:rPr>
            </w:pPr>
            <w:r w:rsidRPr="009072DA">
              <w:rPr>
                <w:sz w:val="18"/>
                <w:lang w:val="bg-BG"/>
              </w:rPr>
              <w:t>Изменение на точка(и): ....................</w:t>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sz w:val="18"/>
                <w:lang w:val="bg-BG"/>
              </w:rPr>
              <w:t>Нов текст:</w:t>
            </w:r>
            <w:r w:rsidRPr="009072DA">
              <w:rPr>
                <w:lang w:val="bg-BG"/>
              </w:rPr>
              <w:tab/>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lang w:val="bg-BG"/>
              </w:rPr>
              <w:tab/>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lang w:val="bg-BG"/>
              </w:rPr>
              <w:tab/>
            </w:r>
          </w:p>
          <w:p w:rsidR="009C13A9" w:rsidRPr="009072D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bg-BG"/>
              </w:rPr>
            </w:pPr>
            <w:r w:rsidRPr="009072DA">
              <w:rPr>
                <w:sz w:val="18"/>
                <w:lang w:val="bg-BG"/>
              </w:rPr>
              <w:t>Тази страница е заменена.</w:t>
            </w:r>
          </w:p>
          <w:p w:rsidR="009C13A9" w:rsidRPr="009072D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bg-BG"/>
              </w:rPr>
            </w:pPr>
            <w:r w:rsidRPr="009072DA">
              <w:rPr>
                <w:sz w:val="18"/>
                <w:lang w:val="bg-BG"/>
              </w:rPr>
              <w:t xml:space="preserve">Място, дата </w:t>
            </w:r>
            <w:r w:rsidRPr="009072DA">
              <w:rPr>
                <w:lang w:val="bg-BG"/>
              </w:rPr>
              <w:tab/>
            </w:r>
            <w:r w:rsidRPr="009072DA">
              <w:rPr>
                <w:lang w:val="bg-BG"/>
              </w:rPr>
              <w:tab/>
            </w:r>
            <w:r w:rsidRPr="009072DA">
              <w:rPr>
                <w:sz w:val="18"/>
                <w:lang w:val="bg-BG"/>
              </w:rPr>
              <w:t>Контролен орган</w:t>
            </w:r>
          </w:p>
          <w:p w:rsidR="009C13A9" w:rsidRPr="009072DA" w:rsidRDefault="009C13A9" w:rsidP="009C13A9">
            <w:pPr>
              <w:tabs>
                <w:tab w:val="left" w:pos="5103"/>
                <w:tab w:val="left" w:leader="dot" w:pos="8505"/>
              </w:tabs>
              <w:overflowPunct w:val="0"/>
              <w:adjustRightInd w:val="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1701"/>
              </w:tabs>
              <w:overflowPunct w:val="0"/>
              <w:adjustRightInd w:val="0"/>
              <w:spacing w:after="80"/>
              <w:textAlignment w:val="baseline"/>
              <w:rPr>
                <w:rFonts w:cs="Arial"/>
                <w:sz w:val="18"/>
                <w:szCs w:val="20"/>
                <w:lang w:val="bg-BG"/>
              </w:rPr>
            </w:pPr>
            <w:r w:rsidRPr="009072DA">
              <w:rPr>
                <w:lang w:val="bg-BG"/>
              </w:rPr>
              <w:tab/>
            </w:r>
            <w:r w:rsidRPr="009072DA">
              <w:rPr>
                <w:sz w:val="18"/>
                <w:lang w:val="bg-BG"/>
              </w:rPr>
              <w:t>Печат</w:t>
            </w:r>
          </w:p>
          <w:p w:rsidR="009C13A9" w:rsidRPr="009072DA" w:rsidRDefault="009C13A9" w:rsidP="009C13A9">
            <w:pPr>
              <w:tabs>
                <w:tab w:val="left" w:pos="5103"/>
                <w:tab w:val="left" w:leader="dot" w:pos="8505"/>
              </w:tabs>
              <w:overflowPunct w:val="0"/>
              <w:adjustRightInd w:val="0"/>
              <w:textAlignment w:val="baseline"/>
              <w:rPr>
                <w:rFonts w:cs="Arial"/>
                <w:szCs w:val="20"/>
                <w:lang w:val="bg-BG"/>
              </w:rPr>
            </w:pPr>
            <w:r w:rsidRPr="009072DA">
              <w:rPr>
                <w:lang w:val="bg-BG"/>
              </w:rPr>
              <w:tab/>
            </w:r>
            <w:r w:rsidRPr="009072DA">
              <w:rPr>
                <w:lang w:val="bg-BG"/>
              </w:rPr>
              <w:tab/>
            </w:r>
          </w:p>
          <w:p w:rsidR="009C13A9" w:rsidRPr="009072DA" w:rsidRDefault="009C13A9" w:rsidP="009C13A9">
            <w:pPr>
              <w:tabs>
                <w:tab w:val="center" w:pos="6862"/>
              </w:tabs>
              <w:overflowPunct w:val="0"/>
              <w:adjustRightInd w:val="0"/>
              <w:textAlignment w:val="baseline"/>
              <w:rPr>
                <w:rFonts w:cs="Arial"/>
                <w:sz w:val="16"/>
                <w:szCs w:val="20"/>
                <w:lang w:val="bg-BG"/>
              </w:rPr>
            </w:pPr>
            <w:r w:rsidRPr="009072DA">
              <w:rPr>
                <w:lang w:val="bg-BG"/>
              </w:rPr>
              <w:tab/>
            </w:r>
            <w:r w:rsidRPr="009072DA">
              <w:rPr>
                <w:sz w:val="16"/>
                <w:lang w:val="bg-BG"/>
              </w:rPr>
              <w:t>(Подпис)</w:t>
            </w:r>
          </w:p>
          <w:p w:rsidR="009C13A9" w:rsidRPr="009072D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bg-BG"/>
              </w:rPr>
            </w:pPr>
            <w:r w:rsidRPr="009072DA">
              <w:rPr>
                <w:sz w:val="18"/>
                <w:lang w:val="bg-BG"/>
              </w:rPr>
              <w:t>_______________________</w:t>
            </w:r>
          </w:p>
          <w:p w:rsidR="009C13A9" w:rsidRPr="009072DA" w:rsidRDefault="009C13A9" w:rsidP="009C13A9">
            <w:pPr>
              <w:tabs>
                <w:tab w:val="left" w:pos="284"/>
              </w:tabs>
              <w:overflowPunct w:val="0"/>
              <w:adjustRightInd w:val="0"/>
              <w:spacing w:after="40"/>
              <w:ind w:left="57"/>
              <w:textAlignment w:val="baseline"/>
              <w:rPr>
                <w:rFonts w:cs="Arial"/>
                <w:sz w:val="18"/>
                <w:szCs w:val="20"/>
                <w:lang w:val="bg-BG"/>
              </w:rPr>
            </w:pPr>
            <w:r w:rsidRPr="009072DA">
              <w:rPr>
                <w:position w:val="4"/>
                <w:sz w:val="16"/>
                <w:lang w:val="bg-BG"/>
              </w:rPr>
              <w:t>*)</w:t>
            </w:r>
            <w:r w:rsidRPr="009072DA">
              <w:rPr>
                <w:lang w:val="bg-BG"/>
              </w:rPr>
              <w:tab/>
            </w:r>
            <w:r w:rsidRPr="009072DA">
              <w:rPr>
                <w:sz w:val="16"/>
                <w:lang w:val="bg-BG"/>
              </w:rPr>
              <w:t>Ненужното се зачерква</w:t>
            </w:r>
          </w:p>
        </w:tc>
      </w:tr>
    </w:tbl>
    <w:p w:rsidR="009C13A9" w:rsidRPr="009072DA" w:rsidRDefault="009C13A9" w:rsidP="00AA5614">
      <w:pPr>
        <w:tabs>
          <w:tab w:val="left" w:leader="dot" w:pos="2835"/>
          <w:tab w:val="left" w:leader="dot" w:pos="5103"/>
        </w:tabs>
        <w:overflowPunct w:val="0"/>
        <w:adjustRightInd w:val="0"/>
        <w:textAlignment w:val="baseline"/>
        <w:rPr>
          <w:rFonts w:cs="Arial"/>
          <w:szCs w:val="20"/>
          <w:lang w:val="bg-BG"/>
        </w:rPr>
      </w:pPr>
      <w:r w:rsidRPr="009072DA">
        <w:rPr>
          <w:lang w:val="bg-BG"/>
        </w:rPr>
        <w:br w:type="page"/>
      </w:r>
      <w:r w:rsidRPr="009072DA">
        <w:rPr>
          <w:lang w:val="bg-BG"/>
        </w:rPr>
        <w:lastRenderedPageBreak/>
        <w:t xml:space="preserve">Удостоверение на плавателния съд за плаване по вътрешни водни пътища № </w:t>
      </w:r>
      <w:r w:rsidRPr="009072DA">
        <w:rPr>
          <w:lang w:val="bg-BG"/>
        </w:rPr>
        <w:tab/>
        <w:t xml:space="preserve"> на контролния орган </w:t>
      </w:r>
      <w:r w:rsidRPr="009072DA">
        <w:rPr>
          <w:lang w:val="bg-BG"/>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9C13A9" w:rsidRPr="009072DA" w:rsidTr="00E3172D">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60"/>
              <w:textAlignment w:val="baseline"/>
              <w:rPr>
                <w:rFonts w:cs="Arial"/>
                <w:sz w:val="18"/>
                <w:szCs w:val="20"/>
                <w:lang w:val="bg-BG"/>
              </w:rPr>
            </w:pPr>
            <w:r w:rsidRPr="009072DA">
              <w:rPr>
                <w:sz w:val="18"/>
                <w:lang w:val="bg-BG"/>
              </w:rPr>
              <w:t>49.</w:t>
            </w:r>
          </w:p>
        </w:tc>
        <w:tc>
          <w:tcPr>
            <w:tcW w:w="8902" w:type="dxa"/>
            <w:tcBorders>
              <w:top w:val="single" w:sz="6" w:space="0" w:color="auto"/>
              <w:bottom w:val="single" w:sz="6" w:space="0" w:color="auto"/>
              <w:right w:val="single" w:sz="6" w:space="0" w:color="auto"/>
            </w:tcBorders>
          </w:tcPr>
          <w:p w:rsidR="009C13A9" w:rsidRPr="009072DA"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lang w:val="bg-BG"/>
              </w:rPr>
            </w:pPr>
            <w:r w:rsidRPr="009072DA">
              <w:rPr>
                <w:b/>
                <w:sz w:val="18"/>
                <w:lang w:val="bg-BG"/>
              </w:rPr>
              <w:t xml:space="preserve">Удължаване/потвърждаване </w:t>
            </w:r>
            <w:r w:rsidRPr="009072DA">
              <w:rPr>
                <w:b/>
                <w:position w:val="6"/>
                <w:sz w:val="16"/>
                <w:lang w:val="bg-BG"/>
              </w:rPr>
              <w:t>*)</w:t>
            </w:r>
            <w:r w:rsidRPr="009072DA">
              <w:rPr>
                <w:b/>
                <w:sz w:val="18"/>
                <w:lang w:val="bg-BG"/>
              </w:rPr>
              <w:t xml:space="preserve"> на валидността на удостоверение на плавателния съд за плаване по вътрешни водни пътища</w:t>
            </w:r>
            <w:r w:rsidRPr="009072DA">
              <w:rPr>
                <w:b/>
                <w:position w:val="6"/>
                <w:sz w:val="16"/>
                <w:lang w:val="bg-BG"/>
              </w:rPr>
              <w:t>*)</w:t>
            </w:r>
            <w:r w:rsidRPr="009072DA">
              <w:rPr>
                <w:b/>
                <w:sz w:val="18"/>
                <w:lang w:val="bg-BG"/>
              </w:rPr>
              <w:t xml:space="preserve"> Периодична - специална</w:t>
            </w:r>
            <w:r w:rsidRPr="009072DA">
              <w:rPr>
                <w:b/>
                <w:position w:val="6"/>
                <w:sz w:val="16"/>
                <w:lang w:val="bg-BG"/>
              </w:rPr>
              <w:t xml:space="preserve">*) </w:t>
            </w:r>
            <w:r w:rsidRPr="009072DA">
              <w:rPr>
                <w:b/>
                <w:sz w:val="18"/>
                <w:lang w:val="bg-BG"/>
              </w:rPr>
              <w:t>проверка</w:t>
            </w:r>
          </w:p>
          <w:p w:rsidR="009C13A9" w:rsidRPr="009072DA" w:rsidRDefault="009C13A9" w:rsidP="00083603">
            <w:pPr>
              <w:tabs>
                <w:tab w:val="left" w:leader="dot" w:pos="5103"/>
                <w:tab w:val="left" w:leader="dot" w:pos="8505"/>
              </w:tabs>
              <w:overflowPunct w:val="0"/>
              <w:adjustRightInd w:val="0"/>
              <w:ind w:left="57"/>
              <w:textAlignment w:val="baseline"/>
              <w:rPr>
                <w:rFonts w:cs="Arial"/>
                <w:sz w:val="18"/>
                <w:szCs w:val="20"/>
                <w:lang w:val="bg-BG"/>
              </w:rPr>
            </w:pPr>
            <w:r w:rsidRPr="009072DA">
              <w:rPr>
                <w:sz w:val="18"/>
                <w:lang w:val="bg-BG"/>
              </w:rPr>
              <w:t>Контролният орган е проверил плавателния съд на</w:t>
            </w:r>
            <w:r w:rsidRPr="009072DA">
              <w:rPr>
                <w:lang w:val="bg-BG"/>
              </w:rPr>
              <w:tab/>
            </w:r>
            <w:r w:rsidRPr="009072DA">
              <w:rPr>
                <w:position w:val="6"/>
                <w:sz w:val="16"/>
                <w:lang w:val="bg-BG"/>
              </w:rPr>
              <w:t>*)</w:t>
            </w:r>
            <w:r w:rsidRPr="009072DA">
              <w:rPr>
                <w:sz w:val="18"/>
                <w:lang w:val="bg-BG"/>
              </w:rPr>
              <w:t>.</w:t>
            </w:r>
          </w:p>
          <w:p w:rsidR="009C13A9" w:rsidRPr="009072DA" w:rsidRDefault="009C13A9" w:rsidP="00083603">
            <w:pPr>
              <w:tabs>
                <w:tab w:val="left" w:leader="dot" w:pos="3686"/>
                <w:tab w:val="left" w:leader="dot" w:pos="8505"/>
              </w:tabs>
              <w:overflowPunct w:val="0"/>
              <w:adjustRightInd w:val="0"/>
              <w:spacing w:before="20" w:after="20"/>
              <w:ind w:left="57"/>
              <w:textAlignment w:val="baseline"/>
              <w:rPr>
                <w:rFonts w:cs="Arial"/>
                <w:sz w:val="18"/>
                <w:szCs w:val="20"/>
                <w:lang w:val="bg-BG"/>
              </w:rPr>
            </w:pPr>
            <w:r w:rsidRPr="009072DA">
              <w:rPr>
                <w:sz w:val="18"/>
                <w:lang w:val="bg-BG"/>
              </w:rPr>
              <w:t>Удостоверение с дата</w:t>
            </w:r>
            <w:r w:rsidRPr="009072DA">
              <w:rPr>
                <w:lang w:val="bg-BG"/>
              </w:rPr>
              <w:tab/>
            </w:r>
            <w:r w:rsidRPr="009072DA">
              <w:rPr>
                <w:sz w:val="18"/>
                <w:lang w:val="bg-BG"/>
              </w:rPr>
              <w:t xml:space="preserve"> от </w:t>
            </w:r>
            <w:r w:rsidRPr="009072DA">
              <w:rPr>
                <w:lang w:val="bg-BG"/>
              </w:rPr>
              <w:t>призната</w:t>
            </w:r>
            <w:r w:rsidRPr="009072DA">
              <w:rPr>
                <w:sz w:val="18"/>
                <w:lang w:val="bg-BG"/>
              </w:rPr>
              <w:t xml:space="preserve"> класификационна организация </w:t>
            </w:r>
            <w:r w:rsidRPr="009072DA">
              <w:rPr>
                <w:lang w:val="bg-BG"/>
              </w:rPr>
              <w:tab/>
            </w:r>
          </w:p>
          <w:p w:rsidR="009C13A9" w:rsidRPr="009072DA" w:rsidRDefault="009C13A9" w:rsidP="009C13A9">
            <w:pPr>
              <w:tabs>
                <w:tab w:val="left" w:leader="dot" w:pos="8505"/>
              </w:tabs>
              <w:overflowPunct w:val="0"/>
              <w:adjustRightInd w:val="0"/>
              <w:ind w:left="57"/>
              <w:textAlignment w:val="baseline"/>
              <w:rPr>
                <w:rFonts w:cs="Arial"/>
                <w:sz w:val="18"/>
                <w:szCs w:val="20"/>
                <w:lang w:val="bg-BG"/>
              </w:rPr>
            </w:pPr>
            <w:r w:rsidRPr="009072DA">
              <w:rPr>
                <w:lang w:val="bg-BG"/>
              </w:rPr>
              <w:tab/>
            </w:r>
          </w:p>
          <w:p w:rsidR="009C13A9" w:rsidRPr="009072DA" w:rsidRDefault="009C13A9" w:rsidP="009C13A9">
            <w:pPr>
              <w:overflowPunct w:val="0"/>
              <w:adjustRightInd w:val="0"/>
              <w:spacing w:after="20"/>
              <w:ind w:left="57"/>
              <w:textAlignment w:val="baseline"/>
              <w:rPr>
                <w:rFonts w:cs="Arial"/>
                <w:sz w:val="18"/>
                <w:szCs w:val="20"/>
                <w:lang w:val="bg-BG"/>
              </w:rPr>
            </w:pPr>
            <w:r w:rsidRPr="009072DA">
              <w:rPr>
                <w:sz w:val="18"/>
                <w:lang w:val="bg-BG"/>
              </w:rPr>
              <w:t>беше представено на контролния орган</w:t>
            </w:r>
            <w:r w:rsidRPr="009072DA">
              <w:rPr>
                <w:position w:val="6"/>
                <w:sz w:val="16"/>
                <w:lang w:val="bg-BG"/>
              </w:rPr>
              <w:t>*)</w:t>
            </w:r>
            <w:r w:rsidRPr="009072DA">
              <w:rPr>
                <w:sz w:val="18"/>
                <w:lang w:val="bg-BG"/>
              </w:rPr>
              <w:t>.</w:t>
            </w:r>
          </w:p>
          <w:p w:rsidR="009C13A9" w:rsidRPr="009072DA" w:rsidRDefault="009C13A9" w:rsidP="009C13A9">
            <w:pPr>
              <w:overflowPunct w:val="0"/>
              <w:adjustRightInd w:val="0"/>
              <w:spacing w:after="20"/>
              <w:ind w:left="57"/>
              <w:textAlignment w:val="baseline"/>
              <w:rPr>
                <w:rFonts w:cs="Arial"/>
                <w:sz w:val="18"/>
                <w:szCs w:val="20"/>
                <w:lang w:val="bg-BG"/>
              </w:rPr>
            </w:pPr>
            <w:r w:rsidRPr="009072DA">
              <w:rPr>
                <w:sz w:val="18"/>
                <w:lang w:val="bg-BG"/>
              </w:rPr>
              <w:t>Причина за проверката/удостоверяването</w:t>
            </w:r>
            <w:r w:rsidRPr="009072DA">
              <w:rPr>
                <w:position w:val="6"/>
                <w:sz w:val="16"/>
                <w:lang w:val="bg-BG"/>
              </w:rPr>
              <w:t>*)</w:t>
            </w:r>
            <w:r w:rsidRPr="009072DA">
              <w:rPr>
                <w:sz w:val="18"/>
                <w:lang w:val="bg-BG"/>
              </w:rPr>
              <w:t>:</w:t>
            </w:r>
          </w:p>
          <w:p w:rsidR="009C13A9" w:rsidRPr="009072DA" w:rsidRDefault="009C13A9" w:rsidP="00083603">
            <w:pPr>
              <w:tabs>
                <w:tab w:val="left" w:leader="dot" w:pos="8505"/>
              </w:tabs>
              <w:overflowPunct w:val="0"/>
              <w:adjustRightInd w:val="0"/>
              <w:spacing w:after="80"/>
              <w:ind w:left="57"/>
              <w:textAlignment w:val="baseline"/>
              <w:rPr>
                <w:rFonts w:cs="Arial"/>
                <w:position w:val="6"/>
                <w:sz w:val="16"/>
                <w:szCs w:val="20"/>
                <w:lang w:val="bg-BG"/>
              </w:rPr>
            </w:pPr>
            <w:r w:rsidRPr="009072DA">
              <w:rPr>
                <w:lang w:val="bg-BG"/>
              </w:rPr>
              <w:tab/>
            </w:r>
          </w:p>
          <w:p w:rsidR="009C13A9" w:rsidRPr="009072DA" w:rsidRDefault="009C13A9" w:rsidP="009C13A9">
            <w:pPr>
              <w:tabs>
                <w:tab w:val="left" w:leader="dot" w:pos="8505"/>
              </w:tabs>
              <w:overflowPunct w:val="0"/>
              <w:adjustRightInd w:val="0"/>
              <w:ind w:left="57"/>
              <w:textAlignment w:val="baseline"/>
              <w:rPr>
                <w:rFonts w:cs="Arial"/>
                <w:position w:val="6"/>
                <w:sz w:val="16"/>
                <w:szCs w:val="20"/>
                <w:lang w:val="bg-BG"/>
              </w:rPr>
            </w:pPr>
            <w:r w:rsidRPr="009072DA">
              <w:rPr>
                <w:lang w:val="bg-BG"/>
              </w:rPr>
              <w:tab/>
            </w:r>
          </w:p>
          <w:p w:rsidR="009C13A9" w:rsidRPr="009072DA" w:rsidRDefault="009C13A9" w:rsidP="009C13A9">
            <w:pPr>
              <w:tabs>
                <w:tab w:val="left" w:leader="dot" w:pos="8505"/>
              </w:tabs>
              <w:overflowPunct w:val="0"/>
              <w:adjustRightInd w:val="0"/>
              <w:ind w:left="57"/>
              <w:textAlignment w:val="baseline"/>
              <w:rPr>
                <w:rFonts w:cs="Arial"/>
                <w:position w:val="6"/>
                <w:sz w:val="16"/>
                <w:szCs w:val="20"/>
                <w:lang w:val="bg-BG"/>
              </w:rPr>
            </w:pPr>
            <w:r w:rsidRPr="009072DA">
              <w:rPr>
                <w:sz w:val="18"/>
                <w:lang w:val="bg-BG"/>
              </w:rPr>
              <w:t>С оглед на  – резултата от проверката - удостоверяването  - *), срокът на валидност на удостоверението на плавателния съд за плаване по вътрешни водни пътища се запазва – удължава -</w:t>
            </w:r>
            <w:r w:rsidRPr="009072DA">
              <w:rPr>
                <w:position w:val="6"/>
                <w:sz w:val="16"/>
                <w:lang w:val="bg-BG"/>
              </w:rPr>
              <w:t>*)</w:t>
            </w:r>
          </w:p>
          <w:p w:rsidR="009C13A9" w:rsidRPr="009072DA"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lang w:val="bg-BG"/>
              </w:rPr>
            </w:pPr>
            <w:r w:rsidRPr="009072DA">
              <w:rPr>
                <w:sz w:val="18"/>
                <w:lang w:val="bg-BG"/>
              </w:rPr>
              <w:t xml:space="preserve">до </w:t>
            </w:r>
            <w:r w:rsidRPr="009072DA">
              <w:rPr>
                <w:lang w:val="bg-BG"/>
              </w:rPr>
              <w:tab/>
            </w:r>
            <w:r w:rsidRPr="009072DA">
              <w:rPr>
                <w:sz w:val="18"/>
                <w:lang w:val="bg-BG"/>
              </w:rPr>
              <w:t xml:space="preserve"> .</w:t>
            </w:r>
          </w:p>
          <w:p w:rsidR="009C13A9" w:rsidRPr="009072DA" w:rsidRDefault="009C13A9" w:rsidP="00083603">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lang w:val="bg-BG"/>
              </w:rPr>
            </w:pPr>
            <w:r w:rsidRPr="009072DA">
              <w:rPr>
                <w:lang w:val="bg-BG"/>
              </w:rPr>
              <w:tab/>
            </w:r>
            <w:r w:rsidRPr="009072DA">
              <w:rPr>
                <w:sz w:val="18"/>
                <w:lang w:val="bg-BG"/>
              </w:rPr>
              <w:t xml:space="preserve">, </w:t>
            </w:r>
            <w:r w:rsidRPr="009072DA">
              <w:rPr>
                <w:lang w:val="bg-BG"/>
              </w:rPr>
              <w:tab/>
            </w:r>
          </w:p>
          <w:p w:rsidR="009C13A9" w:rsidRPr="009072DA" w:rsidRDefault="009C13A9" w:rsidP="009C13A9">
            <w:pPr>
              <w:tabs>
                <w:tab w:val="center" w:pos="2041"/>
                <w:tab w:val="center" w:pos="5216"/>
              </w:tabs>
              <w:overflowPunct w:val="0"/>
              <w:adjustRightInd w:val="0"/>
              <w:textAlignment w:val="baseline"/>
              <w:rPr>
                <w:rFonts w:cs="Arial"/>
                <w:sz w:val="18"/>
                <w:szCs w:val="20"/>
                <w:lang w:val="bg-BG"/>
              </w:rPr>
            </w:pPr>
            <w:r w:rsidRPr="009072DA">
              <w:rPr>
                <w:lang w:val="bg-BG"/>
              </w:rPr>
              <w:tab/>
            </w:r>
            <w:r w:rsidRPr="009072DA">
              <w:rPr>
                <w:sz w:val="16"/>
                <w:lang w:val="bg-BG"/>
              </w:rPr>
              <w:t>(Място)</w:t>
            </w:r>
            <w:r w:rsidRPr="009072DA">
              <w:rPr>
                <w:lang w:val="bg-BG"/>
              </w:rPr>
              <w:tab/>
            </w:r>
            <w:r w:rsidRPr="009072DA">
              <w:rPr>
                <w:sz w:val="16"/>
                <w:lang w:val="bg-BG"/>
              </w:rPr>
              <w:t>(дата)</w:t>
            </w:r>
          </w:p>
          <w:p w:rsidR="009C13A9" w:rsidRPr="009072DA" w:rsidRDefault="009C13A9" w:rsidP="009C13A9">
            <w:pPr>
              <w:tabs>
                <w:tab w:val="left" w:pos="4820"/>
                <w:tab w:val="left" w:leader="dot" w:pos="8505"/>
              </w:tabs>
              <w:overflowPunct w:val="0"/>
              <w:adjustRightInd w:val="0"/>
              <w:spacing w:before="120"/>
              <w:ind w:left="57"/>
              <w:textAlignment w:val="baseline"/>
              <w:rPr>
                <w:rFonts w:cs="Arial"/>
                <w:sz w:val="18"/>
                <w:szCs w:val="20"/>
                <w:lang w:val="bg-BG"/>
              </w:rPr>
            </w:pPr>
            <w:r w:rsidRPr="009072DA">
              <w:rPr>
                <w:lang w:val="bg-BG"/>
              </w:rPr>
              <w:tab/>
            </w:r>
            <w:r w:rsidRPr="009072DA">
              <w:rPr>
                <w:lang w:val="bg-BG"/>
              </w:rPr>
              <w:tab/>
            </w:r>
          </w:p>
          <w:p w:rsidR="009C13A9" w:rsidRPr="009072DA" w:rsidRDefault="009C13A9" w:rsidP="00E3172D">
            <w:pPr>
              <w:tabs>
                <w:tab w:val="center" w:pos="1985"/>
                <w:tab w:val="center" w:pos="6662"/>
              </w:tabs>
              <w:overflowPunct w:val="0"/>
              <w:adjustRightInd w:val="0"/>
              <w:textAlignment w:val="baseline"/>
              <w:rPr>
                <w:rFonts w:cs="Arial"/>
                <w:sz w:val="18"/>
                <w:szCs w:val="20"/>
                <w:lang w:val="bg-BG"/>
              </w:rPr>
            </w:pPr>
            <w:r w:rsidRPr="009072DA">
              <w:rPr>
                <w:lang w:val="bg-BG"/>
              </w:rPr>
              <w:tab/>
            </w:r>
            <w:r w:rsidRPr="009072DA">
              <w:rPr>
                <w:sz w:val="16"/>
                <w:lang w:val="bg-BG"/>
              </w:rPr>
              <w:t>Печат</w:t>
            </w:r>
            <w:r w:rsidRPr="009072DA">
              <w:rPr>
                <w:lang w:val="bg-BG"/>
              </w:rPr>
              <w:tab/>
            </w:r>
            <w:r w:rsidRPr="009072DA">
              <w:rPr>
                <w:sz w:val="16"/>
                <w:lang w:val="bg-BG"/>
              </w:rPr>
              <w:t>Контролен орган</w:t>
            </w:r>
          </w:p>
          <w:p w:rsidR="009C13A9" w:rsidRPr="009072DA" w:rsidRDefault="009C13A9" w:rsidP="00E3172D">
            <w:pPr>
              <w:tabs>
                <w:tab w:val="left" w:pos="4820"/>
                <w:tab w:val="left" w:leader="dot" w:pos="8505"/>
              </w:tabs>
              <w:overflowPunct w:val="0"/>
              <w:adjustRightInd w:val="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6662"/>
              </w:tabs>
              <w:overflowPunct w:val="0"/>
              <w:adjustRightInd w:val="0"/>
              <w:ind w:left="57"/>
              <w:textAlignment w:val="baseline"/>
              <w:rPr>
                <w:rFonts w:cs="Arial"/>
                <w:sz w:val="16"/>
                <w:szCs w:val="20"/>
                <w:lang w:val="bg-BG"/>
              </w:rPr>
            </w:pPr>
            <w:r w:rsidRPr="009072DA">
              <w:rPr>
                <w:sz w:val="18"/>
                <w:lang w:val="bg-BG"/>
              </w:rPr>
              <w:t>______________________</w:t>
            </w:r>
            <w:r w:rsidRPr="009072DA">
              <w:rPr>
                <w:lang w:val="bg-BG"/>
              </w:rPr>
              <w:tab/>
            </w:r>
            <w:r w:rsidRPr="009072DA">
              <w:rPr>
                <w:sz w:val="16"/>
                <w:lang w:val="bg-BG"/>
              </w:rPr>
              <w:t>(Подпис)</w:t>
            </w:r>
          </w:p>
          <w:p w:rsidR="009C13A9" w:rsidRPr="009072DA"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bg-BG"/>
              </w:rPr>
            </w:pPr>
            <w:r w:rsidRPr="009072DA">
              <w:rPr>
                <w:position w:val="4"/>
                <w:sz w:val="16"/>
                <w:vertAlign w:val="superscript"/>
                <w:lang w:val="bg-BG"/>
              </w:rPr>
              <w:t>*)</w:t>
            </w:r>
            <w:r w:rsidRPr="009072DA">
              <w:rPr>
                <w:lang w:val="bg-BG"/>
              </w:rPr>
              <w:tab/>
            </w:r>
            <w:r w:rsidRPr="009072DA">
              <w:rPr>
                <w:sz w:val="16"/>
                <w:lang w:val="bg-BG"/>
              </w:rPr>
              <w:t>Ненужното се зачерква</w:t>
            </w:r>
          </w:p>
        </w:tc>
      </w:tr>
      <w:tr w:rsidR="009C13A9" w:rsidRPr="009072DA" w:rsidTr="00083603">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60"/>
              <w:textAlignment w:val="baseline"/>
              <w:rPr>
                <w:rFonts w:cs="Arial"/>
                <w:sz w:val="18"/>
                <w:szCs w:val="20"/>
                <w:lang w:val="bg-BG"/>
              </w:rPr>
            </w:pPr>
            <w:r w:rsidRPr="009072DA">
              <w:rPr>
                <w:sz w:val="18"/>
                <w:lang w:val="bg-BG"/>
              </w:rPr>
              <w:lastRenderedPageBreak/>
              <w:t>49.</w:t>
            </w:r>
          </w:p>
        </w:tc>
        <w:tc>
          <w:tcPr>
            <w:tcW w:w="8902" w:type="dxa"/>
            <w:tcBorders>
              <w:top w:val="single" w:sz="6" w:space="0" w:color="auto"/>
              <w:bottom w:val="single" w:sz="6" w:space="0" w:color="auto"/>
              <w:right w:val="single" w:sz="6" w:space="0" w:color="auto"/>
            </w:tcBorders>
          </w:tcPr>
          <w:p w:rsidR="009C13A9" w:rsidRPr="009072DA"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lang w:val="bg-BG"/>
              </w:rPr>
            </w:pPr>
            <w:r w:rsidRPr="009072DA">
              <w:rPr>
                <w:b/>
                <w:sz w:val="18"/>
                <w:lang w:val="bg-BG"/>
              </w:rPr>
              <w:t xml:space="preserve">Удължаване/потвърждаване </w:t>
            </w:r>
            <w:r w:rsidRPr="009072DA">
              <w:rPr>
                <w:b/>
                <w:position w:val="6"/>
                <w:sz w:val="16"/>
                <w:lang w:val="bg-BG"/>
              </w:rPr>
              <w:t>*)</w:t>
            </w:r>
            <w:r w:rsidRPr="009072DA">
              <w:rPr>
                <w:b/>
                <w:sz w:val="18"/>
                <w:lang w:val="bg-BG"/>
              </w:rPr>
              <w:t xml:space="preserve"> на валидността на удостоверение на плавателния съд за плаване по вътрешни водни пътища</w:t>
            </w:r>
            <w:r w:rsidRPr="009072DA">
              <w:rPr>
                <w:b/>
                <w:position w:val="6"/>
                <w:sz w:val="16"/>
                <w:lang w:val="bg-BG"/>
              </w:rPr>
              <w:t>*)</w:t>
            </w:r>
            <w:r w:rsidRPr="009072DA">
              <w:rPr>
                <w:lang w:val="bg-BG"/>
              </w:rPr>
              <w:t xml:space="preserve"> </w:t>
            </w:r>
            <w:r w:rsidRPr="009072DA">
              <w:rPr>
                <w:b/>
                <w:sz w:val="18"/>
                <w:lang w:val="bg-BG"/>
              </w:rPr>
              <w:t>Периодична - специална</w:t>
            </w:r>
            <w:r w:rsidRPr="009072DA">
              <w:rPr>
                <w:b/>
                <w:position w:val="6"/>
                <w:sz w:val="16"/>
                <w:lang w:val="bg-BG"/>
              </w:rPr>
              <w:t xml:space="preserve">*) </w:t>
            </w:r>
            <w:r w:rsidRPr="009072DA">
              <w:rPr>
                <w:b/>
                <w:sz w:val="18"/>
                <w:lang w:val="bg-BG"/>
              </w:rPr>
              <w:t>проверка</w:t>
            </w:r>
          </w:p>
          <w:p w:rsidR="009C13A9" w:rsidRPr="009072DA" w:rsidRDefault="009C13A9" w:rsidP="00083603">
            <w:pPr>
              <w:tabs>
                <w:tab w:val="left" w:leader="dot" w:pos="5103"/>
                <w:tab w:val="left" w:leader="dot" w:pos="8505"/>
              </w:tabs>
              <w:overflowPunct w:val="0"/>
              <w:adjustRightInd w:val="0"/>
              <w:spacing w:before="20"/>
              <w:ind w:left="57"/>
              <w:textAlignment w:val="baseline"/>
              <w:rPr>
                <w:rFonts w:cs="Arial"/>
                <w:sz w:val="18"/>
                <w:szCs w:val="20"/>
                <w:lang w:val="bg-BG"/>
              </w:rPr>
            </w:pPr>
            <w:r w:rsidRPr="009072DA">
              <w:rPr>
                <w:sz w:val="18"/>
                <w:lang w:val="bg-BG"/>
              </w:rPr>
              <w:t>Контролният орган е проверил плавателния съд на</w:t>
            </w:r>
            <w:r w:rsidRPr="009072DA">
              <w:rPr>
                <w:lang w:val="bg-BG"/>
              </w:rPr>
              <w:tab/>
            </w:r>
            <w:r w:rsidRPr="009072DA">
              <w:rPr>
                <w:position w:val="6"/>
                <w:sz w:val="16"/>
                <w:lang w:val="bg-BG"/>
              </w:rPr>
              <w:t>*)</w:t>
            </w:r>
            <w:r w:rsidRPr="009072DA">
              <w:rPr>
                <w:sz w:val="18"/>
                <w:lang w:val="bg-BG"/>
              </w:rPr>
              <w:t>.</w:t>
            </w:r>
          </w:p>
          <w:p w:rsidR="009C13A9" w:rsidRPr="009072DA" w:rsidRDefault="009C13A9" w:rsidP="00083603">
            <w:pPr>
              <w:tabs>
                <w:tab w:val="left" w:leader="dot" w:pos="3686"/>
                <w:tab w:val="left" w:leader="dot" w:pos="8505"/>
              </w:tabs>
              <w:overflowPunct w:val="0"/>
              <w:adjustRightInd w:val="0"/>
              <w:spacing w:before="20" w:after="20"/>
              <w:ind w:left="57"/>
              <w:textAlignment w:val="baseline"/>
              <w:rPr>
                <w:rFonts w:cs="Arial"/>
                <w:sz w:val="18"/>
                <w:szCs w:val="20"/>
                <w:lang w:val="bg-BG"/>
              </w:rPr>
            </w:pPr>
            <w:r w:rsidRPr="009072DA">
              <w:rPr>
                <w:sz w:val="18"/>
                <w:lang w:val="bg-BG"/>
              </w:rPr>
              <w:t>Удостоверение с дата</w:t>
            </w:r>
            <w:r w:rsidRPr="009072DA">
              <w:rPr>
                <w:lang w:val="bg-BG"/>
              </w:rPr>
              <w:tab/>
            </w:r>
            <w:r w:rsidRPr="009072DA">
              <w:rPr>
                <w:sz w:val="18"/>
                <w:lang w:val="bg-BG"/>
              </w:rPr>
              <w:t xml:space="preserve">от </w:t>
            </w:r>
            <w:r w:rsidRPr="009072DA">
              <w:rPr>
                <w:lang w:val="bg-BG"/>
              </w:rPr>
              <w:t>призната</w:t>
            </w:r>
            <w:r w:rsidRPr="009072DA">
              <w:rPr>
                <w:sz w:val="18"/>
                <w:lang w:val="bg-BG"/>
              </w:rPr>
              <w:t xml:space="preserve"> класификационна организация</w:t>
            </w:r>
            <w:r w:rsidRPr="009072DA">
              <w:rPr>
                <w:lang w:val="bg-BG"/>
              </w:rPr>
              <w:tab/>
            </w:r>
          </w:p>
          <w:p w:rsidR="009C13A9" w:rsidRPr="009072DA" w:rsidRDefault="009C13A9" w:rsidP="009C13A9">
            <w:pPr>
              <w:tabs>
                <w:tab w:val="left" w:leader="dot" w:pos="8505"/>
              </w:tabs>
              <w:overflowPunct w:val="0"/>
              <w:adjustRightInd w:val="0"/>
              <w:ind w:left="57"/>
              <w:textAlignment w:val="baseline"/>
              <w:rPr>
                <w:rFonts w:cs="Arial"/>
                <w:sz w:val="18"/>
                <w:szCs w:val="20"/>
                <w:lang w:val="bg-BG"/>
              </w:rPr>
            </w:pPr>
            <w:r w:rsidRPr="009072DA">
              <w:rPr>
                <w:lang w:val="bg-BG"/>
              </w:rPr>
              <w:tab/>
            </w:r>
          </w:p>
          <w:p w:rsidR="009C13A9" w:rsidRPr="009072DA" w:rsidRDefault="009C13A9" w:rsidP="009C13A9">
            <w:pPr>
              <w:overflowPunct w:val="0"/>
              <w:adjustRightInd w:val="0"/>
              <w:spacing w:after="20"/>
              <w:ind w:left="57"/>
              <w:textAlignment w:val="baseline"/>
              <w:rPr>
                <w:rFonts w:cs="Arial"/>
                <w:sz w:val="18"/>
                <w:szCs w:val="20"/>
                <w:lang w:val="bg-BG"/>
              </w:rPr>
            </w:pPr>
            <w:r w:rsidRPr="009072DA">
              <w:rPr>
                <w:sz w:val="18"/>
                <w:lang w:val="bg-BG"/>
              </w:rPr>
              <w:t>беше представено на контролния орган</w:t>
            </w:r>
            <w:r w:rsidRPr="009072DA">
              <w:rPr>
                <w:position w:val="6"/>
                <w:sz w:val="16"/>
                <w:lang w:val="bg-BG"/>
              </w:rPr>
              <w:t>*)</w:t>
            </w:r>
            <w:r w:rsidRPr="009072DA">
              <w:rPr>
                <w:sz w:val="18"/>
                <w:lang w:val="bg-BG"/>
              </w:rPr>
              <w:t>.</w:t>
            </w:r>
          </w:p>
          <w:p w:rsidR="009C13A9" w:rsidRPr="009072DA" w:rsidRDefault="009C13A9" w:rsidP="009C13A9">
            <w:pPr>
              <w:overflowPunct w:val="0"/>
              <w:adjustRightInd w:val="0"/>
              <w:spacing w:after="20"/>
              <w:ind w:left="57"/>
              <w:textAlignment w:val="baseline"/>
              <w:rPr>
                <w:rFonts w:cs="Arial"/>
                <w:sz w:val="18"/>
                <w:szCs w:val="20"/>
                <w:lang w:val="bg-BG"/>
              </w:rPr>
            </w:pPr>
            <w:r w:rsidRPr="009072DA">
              <w:rPr>
                <w:sz w:val="18"/>
                <w:lang w:val="bg-BG"/>
              </w:rPr>
              <w:t>Причина за проверката/удостоверяването</w:t>
            </w:r>
            <w:r w:rsidRPr="009072DA">
              <w:rPr>
                <w:position w:val="6"/>
                <w:sz w:val="16"/>
                <w:lang w:val="bg-BG"/>
              </w:rPr>
              <w:t>*)</w:t>
            </w:r>
            <w:r w:rsidRPr="009072DA">
              <w:rPr>
                <w:sz w:val="18"/>
                <w:lang w:val="bg-BG"/>
              </w:rPr>
              <w:t>:</w:t>
            </w:r>
          </w:p>
          <w:p w:rsidR="009C13A9" w:rsidRPr="009072DA" w:rsidRDefault="009C13A9" w:rsidP="00083603">
            <w:pPr>
              <w:tabs>
                <w:tab w:val="left" w:leader="dot" w:pos="8505"/>
              </w:tabs>
              <w:overflowPunct w:val="0"/>
              <w:adjustRightInd w:val="0"/>
              <w:spacing w:after="80"/>
              <w:ind w:left="57"/>
              <w:textAlignment w:val="baseline"/>
              <w:rPr>
                <w:rFonts w:cs="Arial"/>
                <w:position w:val="6"/>
                <w:sz w:val="16"/>
                <w:szCs w:val="20"/>
                <w:lang w:val="bg-BG"/>
              </w:rPr>
            </w:pPr>
            <w:r w:rsidRPr="009072DA">
              <w:rPr>
                <w:lang w:val="bg-BG"/>
              </w:rPr>
              <w:tab/>
            </w:r>
          </w:p>
          <w:p w:rsidR="009C13A9" w:rsidRPr="009072DA" w:rsidRDefault="009C13A9" w:rsidP="009C13A9">
            <w:pPr>
              <w:tabs>
                <w:tab w:val="left" w:leader="dot" w:pos="8505"/>
              </w:tabs>
              <w:overflowPunct w:val="0"/>
              <w:adjustRightInd w:val="0"/>
              <w:ind w:left="57"/>
              <w:textAlignment w:val="baseline"/>
              <w:rPr>
                <w:rFonts w:cs="Arial"/>
                <w:position w:val="6"/>
                <w:sz w:val="16"/>
                <w:szCs w:val="20"/>
                <w:lang w:val="bg-BG"/>
              </w:rPr>
            </w:pPr>
            <w:r w:rsidRPr="009072DA">
              <w:rPr>
                <w:lang w:val="bg-BG"/>
              </w:rPr>
              <w:tab/>
            </w:r>
          </w:p>
          <w:p w:rsidR="009C13A9" w:rsidRPr="009072DA" w:rsidRDefault="009C13A9" w:rsidP="009C13A9">
            <w:pPr>
              <w:tabs>
                <w:tab w:val="left" w:leader="dot" w:pos="8505"/>
              </w:tabs>
              <w:overflowPunct w:val="0"/>
              <w:adjustRightInd w:val="0"/>
              <w:ind w:left="57"/>
              <w:textAlignment w:val="baseline"/>
              <w:rPr>
                <w:rFonts w:cs="Arial"/>
                <w:position w:val="6"/>
                <w:sz w:val="16"/>
                <w:szCs w:val="20"/>
                <w:lang w:val="bg-BG"/>
              </w:rPr>
            </w:pPr>
            <w:r w:rsidRPr="009072DA">
              <w:rPr>
                <w:sz w:val="18"/>
                <w:lang w:val="bg-BG"/>
              </w:rPr>
              <w:t>С оглед на  – резултата от проверката - удостоверяването  - *), срокът на валидност на удостоверението на плавателния съд за плаване по вътрешни водни пътища се запазва – удължава -</w:t>
            </w:r>
            <w:r w:rsidRPr="009072DA">
              <w:rPr>
                <w:position w:val="6"/>
                <w:sz w:val="16"/>
                <w:lang w:val="bg-BG"/>
              </w:rPr>
              <w:t>*)</w:t>
            </w:r>
          </w:p>
          <w:p w:rsidR="009C13A9" w:rsidRPr="009072DA"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lang w:val="bg-BG"/>
              </w:rPr>
            </w:pPr>
            <w:r w:rsidRPr="009072DA">
              <w:rPr>
                <w:sz w:val="18"/>
                <w:lang w:val="bg-BG"/>
              </w:rPr>
              <w:t xml:space="preserve">до </w:t>
            </w:r>
            <w:r w:rsidRPr="009072DA">
              <w:rPr>
                <w:lang w:val="bg-BG"/>
              </w:rPr>
              <w:tab/>
            </w:r>
            <w:r w:rsidRPr="009072DA">
              <w:rPr>
                <w:sz w:val="18"/>
                <w:lang w:val="bg-BG"/>
              </w:rPr>
              <w:t xml:space="preserve"> .</w:t>
            </w:r>
          </w:p>
          <w:p w:rsidR="009C13A9" w:rsidRPr="009072DA" w:rsidRDefault="009C13A9" w:rsidP="00083603">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lang w:val="bg-BG"/>
              </w:rPr>
            </w:pPr>
            <w:r w:rsidRPr="009072DA">
              <w:rPr>
                <w:lang w:val="bg-BG"/>
              </w:rPr>
              <w:tab/>
            </w:r>
            <w:r w:rsidRPr="009072DA">
              <w:rPr>
                <w:sz w:val="18"/>
                <w:lang w:val="bg-BG"/>
              </w:rPr>
              <w:t xml:space="preserve">, </w:t>
            </w:r>
            <w:r w:rsidRPr="009072DA">
              <w:rPr>
                <w:lang w:val="bg-BG"/>
              </w:rPr>
              <w:tab/>
            </w:r>
          </w:p>
          <w:p w:rsidR="009C13A9" w:rsidRPr="009072DA" w:rsidRDefault="009C13A9" w:rsidP="009C13A9">
            <w:pPr>
              <w:tabs>
                <w:tab w:val="center" w:pos="2041"/>
                <w:tab w:val="center" w:pos="5216"/>
              </w:tabs>
              <w:overflowPunct w:val="0"/>
              <w:adjustRightInd w:val="0"/>
              <w:textAlignment w:val="baseline"/>
              <w:rPr>
                <w:rFonts w:cs="Arial"/>
                <w:sz w:val="18"/>
                <w:szCs w:val="20"/>
                <w:lang w:val="bg-BG"/>
              </w:rPr>
            </w:pPr>
            <w:r w:rsidRPr="009072DA">
              <w:rPr>
                <w:lang w:val="bg-BG"/>
              </w:rPr>
              <w:tab/>
            </w:r>
            <w:r w:rsidRPr="009072DA">
              <w:rPr>
                <w:sz w:val="16"/>
                <w:lang w:val="bg-BG"/>
              </w:rPr>
              <w:t>(Място)</w:t>
            </w:r>
            <w:r w:rsidRPr="009072DA">
              <w:rPr>
                <w:lang w:val="bg-BG"/>
              </w:rPr>
              <w:tab/>
            </w:r>
            <w:r w:rsidRPr="009072DA">
              <w:rPr>
                <w:sz w:val="16"/>
                <w:lang w:val="bg-BG"/>
              </w:rPr>
              <w:t>(дата)</w:t>
            </w:r>
          </w:p>
          <w:p w:rsidR="009C13A9" w:rsidRPr="009072DA" w:rsidRDefault="009C13A9" w:rsidP="009C13A9">
            <w:pPr>
              <w:tabs>
                <w:tab w:val="left" w:pos="4820"/>
                <w:tab w:val="left" w:leader="dot" w:pos="8505"/>
              </w:tabs>
              <w:overflowPunct w:val="0"/>
              <w:adjustRightInd w:val="0"/>
              <w:spacing w:before="120"/>
              <w:ind w:left="57"/>
              <w:textAlignment w:val="baseline"/>
              <w:rPr>
                <w:rFonts w:cs="Arial"/>
                <w:sz w:val="18"/>
                <w:szCs w:val="20"/>
                <w:lang w:val="bg-BG"/>
              </w:rPr>
            </w:pPr>
            <w:r w:rsidRPr="009072DA">
              <w:rPr>
                <w:lang w:val="bg-BG"/>
              </w:rPr>
              <w:tab/>
            </w:r>
            <w:r w:rsidRPr="009072DA">
              <w:rPr>
                <w:lang w:val="bg-BG"/>
              </w:rPr>
              <w:tab/>
            </w:r>
          </w:p>
          <w:p w:rsidR="009C13A9" w:rsidRPr="009072DA" w:rsidRDefault="009C13A9" w:rsidP="00AA5614">
            <w:pPr>
              <w:tabs>
                <w:tab w:val="center" w:pos="1985"/>
                <w:tab w:val="center" w:pos="6662"/>
              </w:tabs>
              <w:overflowPunct w:val="0"/>
              <w:adjustRightInd w:val="0"/>
              <w:textAlignment w:val="baseline"/>
              <w:rPr>
                <w:rFonts w:cs="Arial"/>
                <w:sz w:val="18"/>
                <w:szCs w:val="20"/>
                <w:lang w:val="bg-BG"/>
              </w:rPr>
            </w:pPr>
            <w:r w:rsidRPr="009072DA">
              <w:rPr>
                <w:lang w:val="bg-BG"/>
              </w:rPr>
              <w:tab/>
            </w:r>
            <w:r w:rsidRPr="009072DA">
              <w:rPr>
                <w:sz w:val="16"/>
                <w:lang w:val="bg-BG"/>
              </w:rPr>
              <w:t>Печат</w:t>
            </w:r>
            <w:r w:rsidRPr="009072DA">
              <w:rPr>
                <w:lang w:val="bg-BG"/>
              </w:rPr>
              <w:tab/>
            </w:r>
            <w:r w:rsidRPr="009072DA">
              <w:rPr>
                <w:sz w:val="16"/>
                <w:lang w:val="bg-BG"/>
              </w:rPr>
              <w:t>Контролен орган</w:t>
            </w:r>
          </w:p>
          <w:p w:rsidR="009C13A9" w:rsidRPr="009072DA" w:rsidRDefault="009C13A9" w:rsidP="00AA5614">
            <w:pPr>
              <w:tabs>
                <w:tab w:val="left" w:pos="4820"/>
                <w:tab w:val="left" w:leader="dot" w:pos="8505"/>
              </w:tabs>
              <w:overflowPunct w:val="0"/>
              <w:adjustRightInd w:val="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6662"/>
              </w:tabs>
              <w:overflowPunct w:val="0"/>
              <w:adjustRightInd w:val="0"/>
              <w:ind w:left="57"/>
              <w:textAlignment w:val="baseline"/>
              <w:rPr>
                <w:rFonts w:cs="Arial"/>
                <w:sz w:val="16"/>
                <w:szCs w:val="20"/>
                <w:lang w:val="bg-BG"/>
              </w:rPr>
            </w:pPr>
            <w:r w:rsidRPr="009072DA">
              <w:rPr>
                <w:sz w:val="18"/>
                <w:lang w:val="bg-BG"/>
              </w:rPr>
              <w:t>______________________</w:t>
            </w:r>
            <w:r w:rsidRPr="009072DA">
              <w:rPr>
                <w:lang w:val="bg-BG"/>
              </w:rPr>
              <w:tab/>
            </w:r>
            <w:r w:rsidRPr="009072DA">
              <w:rPr>
                <w:sz w:val="16"/>
                <w:lang w:val="bg-BG"/>
              </w:rPr>
              <w:t>(Подпис)</w:t>
            </w:r>
          </w:p>
          <w:p w:rsidR="009C13A9" w:rsidRPr="009072DA"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bg-BG"/>
              </w:rPr>
            </w:pPr>
            <w:r w:rsidRPr="009072DA">
              <w:rPr>
                <w:position w:val="4"/>
                <w:sz w:val="16"/>
                <w:vertAlign w:val="superscript"/>
                <w:lang w:val="bg-BG"/>
              </w:rPr>
              <w:t>*)</w:t>
            </w:r>
            <w:r w:rsidRPr="009072DA">
              <w:rPr>
                <w:lang w:val="bg-BG"/>
              </w:rPr>
              <w:tab/>
            </w:r>
            <w:r w:rsidRPr="009072DA">
              <w:rPr>
                <w:sz w:val="16"/>
                <w:lang w:val="bg-BG"/>
              </w:rPr>
              <w:t>Ненужното се зачерква</w:t>
            </w:r>
          </w:p>
        </w:tc>
      </w:tr>
      <w:tr w:rsidR="009C13A9" w:rsidRPr="009072DA" w:rsidTr="00083603">
        <w:trPr>
          <w:cantSplit/>
          <w:jc w:val="center"/>
        </w:trPr>
        <w:tc>
          <w:tcPr>
            <w:tcW w:w="284" w:type="dxa"/>
            <w:tcBorders>
              <w:top w:val="single" w:sz="6" w:space="0" w:color="auto"/>
              <w:left w:val="single" w:sz="6" w:space="0" w:color="auto"/>
              <w:bottom w:val="single" w:sz="4" w:space="0" w:color="auto"/>
            </w:tcBorders>
          </w:tcPr>
          <w:p w:rsidR="009C13A9" w:rsidRPr="009072DA" w:rsidRDefault="009C13A9" w:rsidP="009C13A9">
            <w:pPr>
              <w:tabs>
                <w:tab w:val="left" w:pos="57"/>
                <w:tab w:val="left" w:pos="227"/>
              </w:tabs>
              <w:overflowPunct w:val="0"/>
              <w:adjustRightInd w:val="0"/>
              <w:spacing w:before="60"/>
              <w:textAlignment w:val="baseline"/>
              <w:rPr>
                <w:rFonts w:cs="Arial"/>
                <w:sz w:val="18"/>
                <w:szCs w:val="20"/>
                <w:lang w:val="bg-BG"/>
              </w:rPr>
            </w:pPr>
            <w:r w:rsidRPr="009072DA">
              <w:rPr>
                <w:sz w:val="18"/>
                <w:lang w:val="bg-BG"/>
              </w:rPr>
              <w:lastRenderedPageBreak/>
              <w:t>49.</w:t>
            </w:r>
          </w:p>
        </w:tc>
        <w:tc>
          <w:tcPr>
            <w:tcW w:w="8902" w:type="dxa"/>
            <w:tcBorders>
              <w:top w:val="single" w:sz="6" w:space="0" w:color="auto"/>
              <w:bottom w:val="single" w:sz="4" w:space="0" w:color="auto"/>
              <w:right w:val="single" w:sz="6" w:space="0" w:color="auto"/>
            </w:tcBorders>
          </w:tcPr>
          <w:p w:rsidR="009C13A9" w:rsidRPr="009072DA"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lang w:val="bg-BG"/>
              </w:rPr>
            </w:pPr>
            <w:r w:rsidRPr="009072DA">
              <w:rPr>
                <w:b/>
                <w:sz w:val="18"/>
                <w:lang w:val="bg-BG"/>
              </w:rPr>
              <w:t xml:space="preserve">Удължаване/потвърждаване </w:t>
            </w:r>
            <w:r w:rsidRPr="009072DA">
              <w:rPr>
                <w:b/>
                <w:position w:val="6"/>
                <w:sz w:val="16"/>
                <w:lang w:val="bg-BG"/>
              </w:rPr>
              <w:t>*)</w:t>
            </w:r>
            <w:r w:rsidRPr="009072DA">
              <w:rPr>
                <w:b/>
                <w:sz w:val="18"/>
                <w:lang w:val="bg-BG"/>
              </w:rPr>
              <w:t xml:space="preserve"> на валидността на удостоверение на плавателния съд за плаване по вътрешни водни пътища</w:t>
            </w:r>
            <w:r w:rsidRPr="009072DA">
              <w:rPr>
                <w:b/>
                <w:position w:val="6"/>
                <w:sz w:val="16"/>
                <w:lang w:val="bg-BG"/>
              </w:rPr>
              <w:t>*)</w:t>
            </w:r>
            <w:r w:rsidRPr="009072DA">
              <w:rPr>
                <w:b/>
                <w:sz w:val="18"/>
                <w:lang w:val="bg-BG"/>
              </w:rPr>
              <w:t xml:space="preserve"> Периодична - специална</w:t>
            </w:r>
            <w:r w:rsidRPr="009072DA">
              <w:rPr>
                <w:b/>
                <w:position w:val="6"/>
                <w:sz w:val="16"/>
                <w:lang w:val="bg-BG"/>
              </w:rPr>
              <w:t xml:space="preserve">*) </w:t>
            </w:r>
            <w:r w:rsidRPr="009072DA">
              <w:rPr>
                <w:b/>
                <w:sz w:val="18"/>
                <w:lang w:val="bg-BG"/>
              </w:rPr>
              <w:t>проверка</w:t>
            </w:r>
          </w:p>
          <w:p w:rsidR="009C13A9" w:rsidRPr="009072DA" w:rsidRDefault="009C13A9" w:rsidP="00083603">
            <w:pPr>
              <w:tabs>
                <w:tab w:val="left" w:leader="dot" w:pos="5103"/>
                <w:tab w:val="left" w:leader="dot" w:pos="8505"/>
              </w:tabs>
              <w:overflowPunct w:val="0"/>
              <w:adjustRightInd w:val="0"/>
              <w:spacing w:before="20" w:after="20"/>
              <w:ind w:left="57"/>
              <w:textAlignment w:val="baseline"/>
              <w:rPr>
                <w:rFonts w:cs="Arial"/>
                <w:sz w:val="18"/>
                <w:szCs w:val="20"/>
                <w:lang w:val="bg-BG"/>
              </w:rPr>
            </w:pPr>
            <w:r w:rsidRPr="009072DA">
              <w:rPr>
                <w:sz w:val="18"/>
                <w:lang w:val="bg-BG"/>
              </w:rPr>
              <w:t>Контролният орган е проверил плавателния съд на</w:t>
            </w:r>
            <w:r w:rsidRPr="009072DA">
              <w:rPr>
                <w:lang w:val="bg-BG"/>
              </w:rPr>
              <w:tab/>
            </w:r>
            <w:r w:rsidRPr="009072DA">
              <w:rPr>
                <w:position w:val="6"/>
                <w:sz w:val="16"/>
                <w:lang w:val="bg-BG"/>
              </w:rPr>
              <w:t>*)</w:t>
            </w:r>
            <w:r w:rsidRPr="009072DA">
              <w:rPr>
                <w:sz w:val="18"/>
                <w:lang w:val="bg-BG"/>
              </w:rPr>
              <w:t>.</w:t>
            </w:r>
          </w:p>
          <w:p w:rsidR="009C13A9" w:rsidRPr="009072DA" w:rsidRDefault="009C13A9" w:rsidP="00083603">
            <w:pPr>
              <w:tabs>
                <w:tab w:val="left" w:leader="dot" w:pos="3686"/>
                <w:tab w:val="left" w:leader="dot" w:pos="8505"/>
              </w:tabs>
              <w:overflowPunct w:val="0"/>
              <w:adjustRightInd w:val="0"/>
              <w:spacing w:before="20" w:after="20"/>
              <w:ind w:left="57"/>
              <w:textAlignment w:val="baseline"/>
              <w:rPr>
                <w:rFonts w:cs="Arial"/>
                <w:sz w:val="18"/>
                <w:szCs w:val="20"/>
                <w:lang w:val="bg-BG"/>
              </w:rPr>
            </w:pPr>
            <w:r w:rsidRPr="009072DA">
              <w:rPr>
                <w:sz w:val="18"/>
                <w:lang w:val="bg-BG"/>
              </w:rPr>
              <w:t>Удостоверение с дата</w:t>
            </w:r>
            <w:r w:rsidRPr="009072DA">
              <w:rPr>
                <w:lang w:val="bg-BG"/>
              </w:rPr>
              <w:tab/>
            </w:r>
            <w:r w:rsidRPr="009072DA">
              <w:rPr>
                <w:sz w:val="18"/>
                <w:lang w:val="bg-BG"/>
              </w:rPr>
              <w:t xml:space="preserve">от </w:t>
            </w:r>
            <w:r w:rsidRPr="009072DA">
              <w:rPr>
                <w:lang w:val="bg-BG"/>
              </w:rPr>
              <w:t>призната</w:t>
            </w:r>
            <w:r w:rsidRPr="009072DA">
              <w:rPr>
                <w:sz w:val="18"/>
                <w:lang w:val="bg-BG"/>
              </w:rPr>
              <w:t xml:space="preserve"> класификационна организация</w:t>
            </w:r>
            <w:r w:rsidRPr="009072DA">
              <w:rPr>
                <w:lang w:val="bg-BG"/>
              </w:rPr>
              <w:tab/>
            </w:r>
          </w:p>
          <w:p w:rsidR="009C13A9" w:rsidRPr="009072DA" w:rsidRDefault="009C13A9" w:rsidP="009C13A9">
            <w:pPr>
              <w:tabs>
                <w:tab w:val="left" w:leader="dot" w:pos="8505"/>
              </w:tabs>
              <w:overflowPunct w:val="0"/>
              <w:adjustRightInd w:val="0"/>
              <w:ind w:left="57"/>
              <w:textAlignment w:val="baseline"/>
              <w:rPr>
                <w:rFonts w:cs="Arial"/>
                <w:sz w:val="18"/>
                <w:szCs w:val="20"/>
                <w:lang w:val="bg-BG"/>
              </w:rPr>
            </w:pPr>
            <w:r w:rsidRPr="009072DA">
              <w:rPr>
                <w:lang w:val="bg-BG"/>
              </w:rPr>
              <w:tab/>
            </w:r>
          </w:p>
          <w:p w:rsidR="009C13A9" w:rsidRPr="009072DA" w:rsidRDefault="009C13A9" w:rsidP="009C13A9">
            <w:pPr>
              <w:overflowPunct w:val="0"/>
              <w:adjustRightInd w:val="0"/>
              <w:spacing w:after="20"/>
              <w:ind w:left="57"/>
              <w:textAlignment w:val="baseline"/>
              <w:rPr>
                <w:rFonts w:cs="Arial"/>
                <w:sz w:val="18"/>
                <w:szCs w:val="20"/>
                <w:lang w:val="bg-BG"/>
              </w:rPr>
            </w:pPr>
            <w:r w:rsidRPr="009072DA">
              <w:rPr>
                <w:sz w:val="18"/>
                <w:lang w:val="bg-BG"/>
              </w:rPr>
              <w:t>беше представено на контролния орган</w:t>
            </w:r>
            <w:r w:rsidRPr="009072DA">
              <w:rPr>
                <w:position w:val="6"/>
                <w:sz w:val="16"/>
                <w:lang w:val="bg-BG"/>
              </w:rPr>
              <w:t>*)</w:t>
            </w:r>
            <w:r w:rsidRPr="009072DA">
              <w:rPr>
                <w:sz w:val="18"/>
                <w:lang w:val="bg-BG"/>
              </w:rPr>
              <w:t>.</w:t>
            </w:r>
          </w:p>
          <w:p w:rsidR="009C13A9" w:rsidRPr="009072DA" w:rsidRDefault="009C13A9" w:rsidP="009C13A9">
            <w:pPr>
              <w:overflowPunct w:val="0"/>
              <w:adjustRightInd w:val="0"/>
              <w:spacing w:after="20"/>
              <w:ind w:left="57"/>
              <w:textAlignment w:val="baseline"/>
              <w:rPr>
                <w:rFonts w:cs="Arial"/>
                <w:sz w:val="18"/>
                <w:szCs w:val="20"/>
                <w:lang w:val="bg-BG"/>
              </w:rPr>
            </w:pPr>
            <w:r w:rsidRPr="009072DA">
              <w:rPr>
                <w:sz w:val="18"/>
                <w:lang w:val="bg-BG"/>
              </w:rPr>
              <w:t>Причина за проверката/удостоверяването</w:t>
            </w:r>
            <w:r w:rsidRPr="009072DA">
              <w:rPr>
                <w:position w:val="6"/>
                <w:sz w:val="16"/>
                <w:lang w:val="bg-BG"/>
              </w:rPr>
              <w:t>*)</w:t>
            </w:r>
            <w:r w:rsidRPr="009072DA">
              <w:rPr>
                <w:sz w:val="18"/>
                <w:lang w:val="bg-BG"/>
              </w:rPr>
              <w:t>:</w:t>
            </w:r>
          </w:p>
          <w:p w:rsidR="009C13A9" w:rsidRPr="009072DA" w:rsidRDefault="009C13A9" w:rsidP="00083603">
            <w:pPr>
              <w:tabs>
                <w:tab w:val="left" w:leader="dot" w:pos="8505"/>
              </w:tabs>
              <w:overflowPunct w:val="0"/>
              <w:adjustRightInd w:val="0"/>
              <w:spacing w:after="80"/>
              <w:ind w:left="57"/>
              <w:textAlignment w:val="baseline"/>
              <w:rPr>
                <w:rFonts w:cs="Arial"/>
                <w:position w:val="6"/>
                <w:sz w:val="16"/>
                <w:szCs w:val="20"/>
                <w:lang w:val="bg-BG"/>
              </w:rPr>
            </w:pPr>
            <w:r w:rsidRPr="009072DA">
              <w:rPr>
                <w:lang w:val="bg-BG"/>
              </w:rPr>
              <w:tab/>
            </w:r>
          </w:p>
          <w:p w:rsidR="009C13A9" w:rsidRPr="009072DA" w:rsidRDefault="009C13A9" w:rsidP="009C13A9">
            <w:pPr>
              <w:tabs>
                <w:tab w:val="left" w:leader="dot" w:pos="8505"/>
              </w:tabs>
              <w:overflowPunct w:val="0"/>
              <w:adjustRightInd w:val="0"/>
              <w:ind w:left="57"/>
              <w:textAlignment w:val="baseline"/>
              <w:rPr>
                <w:rFonts w:cs="Arial"/>
                <w:position w:val="6"/>
                <w:sz w:val="16"/>
                <w:szCs w:val="20"/>
                <w:lang w:val="bg-BG"/>
              </w:rPr>
            </w:pPr>
            <w:r w:rsidRPr="009072DA">
              <w:rPr>
                <w:lang w:val="bg-BG"/>
              </w:rPr>
              <w:tab/>
            </w:r>
          </w:p>
          <w:p w:rsidR="009C13A9" w:rsidRPr="009072DA" w:rsidRDefault="009C13A9" w:rsidP="009C13A9">
            <w:pPr>
              <w:tabs>
                <w:tab w:val="left" w:leader="dot" w:pos="8505"/>
              </w:tabs>
              <w:overflowPunct w:val="0"/>
              <w:adjustRightInd w:val="0"/>
              <w:ind w:left="57"/>
              <w:textAlignment w:val="baseline"/>
              <w:rPr>
                <w:rFonts w:cs="Arial"/>
                <w:position w:val="6"/>
                <w:sz w:val="16"/>
                <w:szCs w:val="20"/>
                <w:lang w:val="bg-BG"/>
              </w:rPr>
            </w:pPr>
            <w:r w:rsidRPr="009072DA">
              <w:rPr>
                <w:sz w:val="18"/>
                <w:lang w:val="bg-BG"/>
              </w:rPr>
              <w:t>С оглед на  – резултата от проверката - удостоверяването  - *), срокът на валидност на удостоверението на плавателния съд за плаване по вътрешни водни пътища се запазва – удължава -</w:t>
            </w:r>
            <w:r w:rsidRPr="009072DA">
              <w:rPr>
                <w:position w:val="6"/>
                <w:sz w:val="16"/>
                <w:lang w:val="bg-BG"/>
              </w:rPr>
              <w:t>*)</w:t>
            </w:r>
          </w:p>
          <w:p w:rsidR="009C13A9" w:rsidRPr="009072DA"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lang w:val="bg-BG"/>
              </w:rPr>
            </w:pPr>
            <w:r w:rsidRPr="009072DA">
              <w:rPr>
                <w:sz w:val="18"/>
                <w:lang w:val="bg-BG"/>
              </w:rPr>
              <w:t xml:space="preserve">до </w:t>
            </w:r>
            <w:r w:rsidRPr="009072DA">
              <w:rPr>
                <w:lang w:val="bg-BG"/>
              </w:rPr>
              <w:tab/>
            </w:r>
            <w:r w:rsidRPr="009072DA">
              <w:rPr>
                <w:sz w:val="18"/>
                <w:lang w:val="bg-BG"/>
              </w:rPr>
              <w:t xml:space="preserve"> .</w:t>
            </w:r>
          </w:p>
          <w:p w:rsidR="009C13A9" w:rsidRPr="009072DA" w:rsidRDefault="009C13A9" w:rsidP="00083603">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lang w:val="bg-BG"/>
              </w:rPr>
            </w:pPr>
            <w:r w:rsidRPr="009072DA">
              <w:rPr>
                <w:lang w:val="bg-BG"/>
              </w:rPr>
              <w:tab/>
            </w:r>
            <w:r w:rsidRPr="009072DA">
              <w:rPr>
                <w:sz w:val="18"/>
                <w:lang w:val="bg-BG"/>
              </w:rPr>
              <w:t xml:space="preserve">, </w:t>
            </w:r>
            <w:r w:rsidRPr="009072DA">
              <w:rPr>
                <w:lang w:val="bg-BG"/>
              </w:rPr>
              <w:tab/>
            </w:r>
          </w:p>
          <w:p w:rsidR="009C13A9" w:rsidRPr="009072DA" w:rsidRDefault="009C13A9" w:rsidP="009C13A9">
            <w:pPr>
              <w:tabs>
                <w:tab w:val="center" w:pos="2041"/>
                <w:tab w:val="center" w:pos="5216"/>
              </w:tabs>
              <w:overflowPunct w:val="0"/>
              <w:adjustRightInd w:val="0"/>
              <w:textAlignment w:val="baseline"/>
              <w:rPr>
                <w:rFonts w:cs="Arial"/>
                <w:sz w:val="18"/>
                <w:szCs w:val="20"/>
                <w:lang w:val="bg-BG"/>
              </w:rPr>
            </w:pPr>
            <w:r w:rsidRPr="009072DA">
              <w:rPr>
                <w:lang w:val="bg-BG"/>
              </w:rPr>
              <w:tab/>
            </w:r>
            <w:r w:rsidRPr="009072DA">
              <w:rPr>
                <w:sz w:val="16"/>
                <w:lang w:val="bg-BG"/>
              </w:rPr>
              <w:t>(Място)</w:t>
            </w:r>
            <w:r w:rsidRPr="009072DA">
              <w:rPr>
                <w:lang w:val="bg-BG"/>
              </w:rPr>
              <w:tab/>
            </w:r>
            <w:r w:rsidRPr="009072DA">
              <w:rPr>
                <w:sz w:val="16"/>
                <w:lang w:val="bg-BG"/>
              </w:rPr>
              <w:t>(дата)</w:t>
            </w:r>
          </w:p>
          <w:p w:rsidR="009C13A9" w:rsidRPr="009072DA" w:rsidRDefault="009C13A9" w:rsidP="009C13A9">
            <w:pPr>
              <w:tabs>
                <w:tab w:val="left" w:pos="4820"/>
                <w:tab w:val="left" w:leader="dot" w:pos="8505"/>
              </w:tabs>
              <w:overflowPunct w:val="0"/>
              <w:adjustRightInd w:val="0"/>
              <w:spacing w:before="120"/>
              <w:ind w:left="57"/>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1985"/>
                <w:tab w:val="center" w:pos="6662"/>
              </w:tabs>
              <w:overflowPunct w:val="0"/>
              <w:adjustRightInd w:val="0"/>
              <w:textAlignment w:val="baseline"/>
              <w:rPr>
                <w:rFonts w:cs="Arial"/>
                <w:sz w:val="18"/>
                <w:szCs w:val="20"/>
                <w:lang w:val="bg-BG"/>
              </w:rPr>
            </w:pPr>
            <w:r w:rsidRPr="009072DA">
              <w:rPr>
                <w:lang w:val="bg-BG"/>
              </w:rPr>
              <w:tab/>
            </w:r>
            <w:r w:rsidRPr="009072DA">
              <w:rPr>
                <w:sz w:val="16"/>
                <w:lang w:val="bg-BG"/>
              </w:rPr>
              <w:t>Печат</w:t>
            </w:r>
            <w:r w:rsidRPr="009072DA">
              <w:rPr>
                <w:lang w:val="bg-BG"/>
              </w:rPr>
              <w:tab/>
            </w:r>
            <w:r w:rsidRPr="009072DA">
              <w:rPr>
                <w:sz w:val="16"/>
                <w:lang w:val="bg-BG"/>
              </w:rPr>
              <w:t>Контролен орган</w:t>
            </w:r>
          </w:p>
          <w:p w:rsidR="009C13A9" w:rsidRPr="009072DA" w:rsidRDefault="009C13A9" w:rsidP="009C13A9">
            <w:pPr>
              <w:tabs>
                <w:tab w:val="left" w:pos="4820"/>
                <w:tab w:val="left" w:leader="dot" w:pos="8505"/>
              </w:tabs>
              <w:overflowPunct w:val="0"/>
              <w:adjustRightInd w:val="0"/>
              <w:spacing w:before="12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6662"/>
              </w:tabs>
              <w:overflowPunct w:val="0"/>
              <w:adjustRightInd w:val="0"/>
              <w:ind w:left="57"/>
              <w:textAlignment w:val="baseline"/>
              <w:rPr>
                <w:rFonts w:cs="Arial"/>
                <w:sz w:val="16"/>
                <w:szCs w:val="20"/>
                <w:lang w:val="bg-BG"/>
              </w:rPr>
            </w:pPr>
            <w:r w:rsidRPr="009072DA">
              <w:rPr>
                <w:sz w:val="18"/>
                <w:lang w:val="bg-BG"/>
              </w:rPr>
              <w:t>______________________</w:t>
            </w:r>
            <w:r w:rsidRPr="009072DA">
              <w:rPr>
                <w:lang w:val="bg-BG"/>
              </w:rPr>
              <w:tab/>
            </w:r>
            <w:r w:rsidRPr="009072DA">
              <w:rPr>
                <w:sz w:val="16"/>
                <w:lang w:val="bg-BG"/>
              </w:rPr>
              <w:t>(Подпис)</w:t>
            </w:r>
          </w:p>
          <w:p w:rsidR="009C13A9" w:rsidRPr="009072DA"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bg-BG"/>
              </w:rPr>
            </w:pPr>
            <w:r w:rsidRPr="009072DA">
              <w:rPr>
                <w:position w:val="4"/>
                <w:sz w:val="16"/>
                <w:vertAlign w:val="superscript"/>
                <w:lang w:val="bg-BG"/>
              </w:rPr>
              <w:t>*)</w:t>
            </w:r>
            <w:r w:rsidRPr="009072DA">
              <w:rPr>
                <w:lang w:val="bg-BG"/>
              </w:rPr>
              <w:tab/>
            </w:r>
            <w:r w:rsidRPr="009072DA">
              <w:rPr>
                <w:sz w:val="16"/>
                <w:lang w:val="bg-BG"/>
              </w:rPr>
              <w:t>Ненужното се зачерква</w:t>
            </w:r>
          </w:p>
        </w:tc>
      </w:tr>
      <w:tr w:rsidR="00E3172D" w:rsidRPr="008D2440" w:rsidTr="00083603">
        <w:trPr>
          <w:cantSplit/>
          <w:jc w:val="center"/>
        </w:trPr>
        <w:tc>
          <w:tcPr>
            <w:tcW w:w="284" w:type="dxa"/>
            <w:tcBorders>
              <w:top w:val="single" w:sz="4" w:space="0" w:color="auto"/>
              <w:bottom w:val="single" w:sz="4" w:space="0" w:color="auto"/>
            </w:tcBorders>
          </w:tcPr>
          <w:p w:rsidR="00E3172D" w:rsidRPr="009072DA" w:rsidRDefault="00E3172D" w:rsidP="00083603">
            <w:pPr>
              <w:tabs>
                <w:tab w:val="left" w:pos="57"/>
                <w:tab w:val="left" w:pos="227"/>
              </w:tabs>
              <w:overflowPunct w:val="0"/>
              <w:adjustRightInd w:val="0"/>
              <w:spacing w:before="120"/>
              <w:textAlignment w:val="baseline"/>
              <w:rPr>
                <w:rFonts w:cs="Arial"/>
                <w:sz w:val="18"/>
                <w:szCs w:val="20"/>
                <w:lang w:val="bg-BG"/>
              </w:rPr>
            </w:pPr>
          </w:p>
        </w:tc>
        <w:tc>
          <w:tcPr>
            <w:tcW w:w="8902" w:type="dxa"/>
            <w:tcBorders>
              <w:top w:val="single" w:sz="4" w:space="0" w:color="auto"/>
              <w:bottom w:val="single" w:sz="4" w:space="0" w:color="auto"/>
            </w:tcBorders>
          </w:tcPr>
          <w:p w:rsidR="00E3172D" w:rsidRPr="009072DA" w:rsidRDefault="00E3172D" w:rsidP="009C13A9">
            <w:pPr>
              <w:tabs>
                <w:tab w:val="left" w:pos="4310"/>
                <w:tab w:val="left" w:leader="dot" w:pos="8505"/>
              </w:tabs>
              <w:overflowPunct w:val="0"/>
              <w:adjustRightInd w:val="0"/>
              <w:spacing w:before="60"/>
              <w:ind w:left="57"/>
              <w:textAlignment w:val="baseline"/>
              <w:rPr>
                <w:rFonts w:cs="Arial"/>
                <w:b/>
                <w:sz w:val="18"/>
                <w:szCs w:val="20"/>
                <w:lang w:val="bg-BG"/>
              </w:rPr>
            </w:pPr>
            <w:r w:rsidRPr="009072DA">
              <w:rPr>
                <w:lang w:val="bg-BG"/>
              </w:rPr>
              <w:t xml:space="preserve">Удостоверение на плавателния съд за плаване по вътрешни водни пътища № </w:t>
            </w:r>
            <w:r w:rsidRPr="009072DA">
              <w:rPr>
                <w:lang w:val="bg-BG"/>
              </w:rPr>
              <w:tab/>
              <w:t xml:space="preserve"> на контролния орган </w:t>
            </w:r>
            <w:r w:rsidRPr="009072DA">
              <w:rPr>
                <w:lang w:val="bg-BG"/>
              </w:rPr>
              <w:tab/>
            </w:r>
          </w:p>
        </w:tc>
      </w:tr>
      <w:tr w:rsidR="009C13A9" w:rsidRPr="009072DA" w:rsidTr="00E3172D">
        <w:trPr>
          <w:cantSplit/>
          <w:jc w:val="center"/>
        </w:trPr>
        <w:tc>
          <w:tcPr>
            <w:tcW w:w="284" w:type="dxa"/>
            <w:tcBorders>
              <w:top w:val="single" w:sz="4" w:space="0" w:color="auto"/>
              <w:left w:val="single" w:sz="4" w:space="0" w:color="auto"/>
              <w:bottom w:val="single" w:sz="4" w:space="0" w:color="auto"/>
            </w:tcBorders>
          </w:tcPr>
          <w:p w:rsidR="009C13A9" w:rsidRPr="009072DA" w:rsidRDefault="009C13A9" w:rsidP="009C13A9">
            <w:pPr>
              <w:tabs>
                <w:tab w:val="left" w:pos="57"/>
                <w:tab w:val="left" w:pos="227"/>
              </w:tabs>
              <w:overflowPunct w:val="0"/>
              <w:adjustRightInd w:val="0"/>
              <w:spacing w:before="60"/>
              <w:textAlignment w:val="baseline"/>
              <w:rPr>
                <w:rFonts w:cs="Arial"/>
                <w:sz w:val="18"/>
                <w:szCs w:val="20"/>
                <w:lang w:val="bg-BG"/>
              </w:rPr>
            </w:pPr>
            <w:r w:rsidRPr="009072DA">
              <w:rPr>
                <w:sz w:val="18"/>
                <w:lang w:val="bg-BG"/>
              </w:rPr>
              <w:lastRenderedPageBreak/>
              <w:t>49.</w:t>
            </w:r>
          </w:p>
        </w:tc>
        <w:tc>
          <w:tcPr>
            <w:tcW w:w="8902" w:type="dxa"/>
            <w:tcBorders>
              <w:top w:val="single" w:sz="4" w:space="0" w:color="auto"/>
              <w:bottom w:val="single" w:sz="4" w:space="0" w:color="auto"/>
              <w:right w:val="single" w:sz="4" w:space="0" w:color="auto"/>
            </w:tcBorders>
          </w:tcPr>
          <w:p w:rsidR="009C13A9" w:rsidRPr="009072DA"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lang w:val="bg-BG"/>
              </w:rPr>
            </w:pPr>
            <w:r w:rsidRPr="009072DA">
              <w:rPr>
                <w:b/>
                <w:sz w:val="18"/>
                <w:lang w:val="bg-BG"/>
              </w:rPr>
              <w:t xml:space="preserve">Удължаване/потвърждаване </w:t>
            </w:r>
            <w:r w:rsidRPr="009072DA">
              <w:rPr>
                <w:b/>
                <w:position w:val="6"/>
                <w:sz w:val="16"/>
                <w:lang w:val="bg-BG"/>
              </w:rPr>
              <w:t>*)</w:t>
            </w:r>
            <w:r w:rsidRPr="009072DA">
              <w:rPr>
                <w:b/>
                <w:sz w:val="18"/>
                <w:lang w:val="bg-BG"/>
              </w:rPr>
              <w:t xml:space="preserve"> на валидността на удостоверение на плавателния съд за плаване по вътрешни водни пътища</w:t>
            </w:r>
            <w:r w:rsidRPr="009072DA">
              <w:rPr>
                <w:b/>
                <w:position w:val="6"/>
                <w:sz w:val="16"/>
                <w:lang w:val="bg-BG"/>
              </w:rPr>
              <w:t>*)</w:t>
            </w:r>
            <w:r w:rsidRPr="009072DA">
              <w:rPr>
                <w:b/>
                <w:sz w:val="18"/>
                <w:lang w:val="bg-BG"/>
              </w:rPr>
              <w:t xml:space="preserve"> Периодична - специална</w:t>
            </w:r>
            <w:r w:rsidRPr="009072DA">
              <w:rPr>
                <w:b/>
                <w:position w:val="6"/>
                <w:sz w:val="16"/>
                <w:lang w:val="bg-BG"/>
              </w:rPr>
              <w:t xml:space="preserve">*) </w:t>
            </w:r>
            <w:r w:rsidRPr="009072DA">
              <w:rPr>
                <w:b/>
                <w:sz w:val="18"/>
                <w:lang w:val="bg-BG"/>
              </w:rPr>
              <w:t>проверка</w:t>
            </w:r>
          </w:p>
          <w:p w:rsidR="009C13A9" w:rsidRPr="009072DA" w:rsidRDefault="009C13A9" w:rsidP="00083603">
            <w:pPr>
              <w:tabs>
                <w:tab w:val="left" w:leader="dot" w:pos="5103"/>
                <w:tab w:val="left" w:leader="dot" w:pos="8505"/>
              </w:tabs>
              <w:overflowPunct w:val="0"/>
              <w:adjustRightInd w:val="0"/>
              <w:spacing w:before="20"/>
              <w:ind w:left="57"/>
              <w:textAlignment w:val="baseline"/>
              <w:rPr>
                <w:rFonts w:cs="Arial"/>
                <w:sz w:val="18"/>
                <w:szCs w:val="20"/>
                <w:lang w:val="bg-BG"/>
              </w:rPr>
            </w:pPr>
            <w:r w:rsidRPr="009072DA">
              <w:rPr>
                <w:sz w:val="18"/>
                <w:lang w:val="bg-BG"/>
              </w:rPr>
              <w:t>Контролният орган е проверил плавателния съд на</w:t>
            </w:r>
            <w:r w:rsidRPr="009072DA">
              <w:rPr>
                <w:lang w:val="bg-BG"/>
              </w:rPr>
              <w:tab/>
            </w:r>
            <w:r w:rsidRPr="009072DA">
              <w:rPr>
                <w:position w:val="6"/>
                <w:sz w:val="16"/>
                <w:lang w:val="bg-BG"/>
              </w:rPr>
              <w:t>*)</w:t>
            </w:r>
            <w:r w:rsidRPr="009072DA">
              <w:rPr>
                <w:sz w:val="18"/>
                <w:lang w:val="bg-BG"/>
              </w:rPr>
              <w:t>.</w:t>
            </w:r>
          </w:p>
          <w:p w:rsidR="009C13A9" w:rsidRPr="009072DA" w:rsidRDefault="009C13A9" w:rsidP="00083603">
            <w:pPr>
              <w:tabs>
                <w:tab w:val="left" w:leader="dot" w:pos="3686"/>
                <w:tab w:val="left" w:leader="dot" w:pos="8505"/>
              </w:tabs>
              <w:overflowPunct w:val="0"/>
              <w:adjustRightInd w:val="0"/>
              <w:spacing w:after="20"/>
              <w:ind w:left="57"/>
              <w:textAlignment w:val="baseline"/>
              <w:rPr>
                <w:rFonts w:cs="Arial"/>
                <w:sz w:val="18"/>
                <w:szCs w:val="20"/>
                <w:lang w:val="bg-BG"/>
              </w:rPr>
            </w:pPr>
            <w:r w:rsidRPr="009072DA">
              <w:rPr>
                <w:sz w:val="18"/>
                <w:lang w:val="bg-BG"/>
              </w:rPr>
              <w:t>Удостоверение с дата</w:t>
            </w:r>
            <w:r w:rsidRPr="009072DA">
              <w:rPr>
                <w:lang w:val="bg-BG"/>
              </w:rPr>
              <w:tab/>
            </w:r>
            <w:r w:rsidRPr="009072DA">
              <w:rPr>
                <w:sz w:val="18"/>
                <w:lang w:val="bg-BG"/>
              </w:rPr>
              <w:t>от призната класификационна организация</w:t>
            </w:r>
            <w:r w:rsidRPr="009072DA">
              <w:rPr>
                <w:lang w:val="bg-BG"/>
              </w:rPr>
              <w:tab/>
            </w:r>
          </w:p>
          <w:p w:rsidR="009C13A9" w:rsidRPr="009072DA" w:rsidRDefault="009C13A9" w:rsidP="009C13A9">
            <w:pPr>
              <w:tabs>
                <w:tab w:val="left" w:leader="dot" w:pos="8505"/>
              </w:tabs>
              <w:overflowPunct w:val="0"/>
              <w:adjustRightInd w:val="0"/>
              <w:ind w:left="57"/>
              <w:textAlignment w:val="baseline"/>
              <w:rPr>
                <w:rFonts w:cs="Arial"/>
                <w:sz w:val="18"/>
                <w:szCs w:val="20"/>
                <w:lang w:val="bg-BG"/>
              </w:rPr>
            </w:pPr>
            <w:r w:rsidRPr="009072DA">
              <w:rPr>
                <w:lang w:val="bg-BG"/>
              </w:rPr>
              <w:tab/>
            </w:r>
          </w:p>
          <w:p w:rsidR="009C13A9" w:rsidRPr="009072DA" w:rsidRDefault="009C13A9" w:rsidP="009C13A9">
            <w:pPr>
              <w:overflowPunct w:val="0"/>
              <w:adjustRightInd w:val="0"/>
              <w:spacing w:after="20"/>
              <w:ind w:left="57"/>
              <w:textAlignment w:val="baseline"/>
              <w:rPr>
                <w:rFonts w:cs="Arial"/>
                <w:sz w:val="18"/>
                <w:szCs w:val="20"/>
                <w:lang w:val="bg-BG"/>
              </w:rPr>
            </w:pPr>
            <w:r w:rsidRPr="009072DA">
              <w:rPr>
                <w:sz w:val="18"/>
                <w:lang w:val="bg-BG"/>
              </w:rPr>
              <w:t>беше представено на контролния орган</w:t>
            </w:r>
            <w:r w:rsidRPr="009072DA">
              <w:rPr>
                <w:position w:val="6"/>
                <w:sz w:val="16"/>
                <w:lang w:val="bg-BG"/>
              </w:rPr>
              <w:t>*)</w:t>
            </w:r>
            <w:r w:rsidRPr="009072DA">
              <w:rPr>
                <w:sz w:val="18"/>
                <w:lang w:val="bg-BG"/>
              </w:rPr>
              <w:t>.</w:t>
            </w:r>
          </w:p>
          <w:p w:rsidR="009C13A9" w:rsidRPr="009072DA" w:rsidRDefault="009C13A9" w:rsidP="009C13A9">
            <w:pPr>
              <w:overflowPunct w:val="0"/>
              <w:adjustRightInd w:val="0"/>
              <w:spacing w:after="20"/>
              <w:ind w:left="57"/>
              <w:textAlignment w:val="baseline"/>
              <w:rPr>
                <w:rFonts w:cs="Arial"/>
                <w:sz w:val="18"/>
                <w:szCs w:val="20"/>
                <w:lang w:val="bg-BG"/>
              </w:rPr>
            </w:pPr>
            <w:r w:rsidRPr="009072DA">
              <w:rPr>
                <w:sz w:val="18"/>
                <w:lang w:val="bg-BG"/>
              </w:rPr>
              <w:t>Причина за проверката/удостоверяването</w:t>
            </w:r>
            <w:r w:rsidRPr="009072DA">
              <w:rPr>
                <w:position w:val="6"/>
                <w:sz w:val="16"/>
                <w:lang w:val="bg-BG"/>
              </w:rPr>
              <w:t>*)</w:t>
            </w:r>
            <w:r w:rsidRPr="009072DA">
              <w:rPr>
                <w:sz w:val="18"/>
                <w:lang w:val="bg-BG"/>
              </w:rPr>
              <w:t>:</w:t>
            </w:r>
          </w:p>
          <w:p w:rsidR="009C13A9" w:rsidRPr="009072DA" w:rsidRDefault="009C13A9" w:rsidP="00083603">
            <w:pPr>
              <w:tabs>
                <w:tab w:val="left" w:leader="dot" w:pos="8505"/>
              </w:tabs>
              <w:overflowPunct w:val="0"/>
              <w:adjustRightInd w:val="0"/>
              <w:spacing w:after="80"/>
              <w:ind w:left="57"/>
              <w:textAlignment w:val="baseline"/>
              <w:rPr>
                <w:rFonts w:cs="Arial"/>
                <w:position w:val="6"/>
                <w:sz w:val="16"/>
                <w:szCs w:val="20"/>
                <w:lang w:val="bg-BG"/>
              </w:rPr>
            </w:pPr>
            <w:r w:rsidRPr="009072DA">
              <w:rPr>
                <w:lang w:val="bg-BG"/>
              </w:rPr>
              <w:tab/>
            </w:r>
          </w:p>
          <w:p w:rsidR="009C13A9" w:rsidRPr="009072DA" w:rsidRDefault="009C13A9" w:rsidP="00E3172D">
            <w:pPr>
              <w:tabs>
                <w:tab w:val="left" w:leader="dot" w:pos="8505"/>
              </w:tabs>
              <w:overflowPunct w:val="0"/>
              <w:adjustRightInd w:val="0"/>
              <w:ind w:left="57"/>
              <w:textAlignment w:val="baseline"/>
              <w:rPr>
                <w:rFonts w:cs="Arial"/>
                <w:position w:val="6"/>
                <w:sz w:val="16"/>
                <w:szCs w:val="20"/>
                <w:lang w:val="bg-BG"/>
              </w:rPr>
            </w:pPr>
            <w:r w:rsidRPr="009072DA">
              <w:rPr>
                <w:lang w:val="bg-BG"/>
              </w:rPr>
              <w:tab/>
            </w:r>
          </w:p>
          <w:p w:rsidR="009C13A9" w:rsidRPr="009072DA" w:rsidRDefault="009C13A9" w:rsidP="00E3172D">
            <w:pPr>
              <w:tabs>
                <w:tab w:val="left" w:leader="dot" w:pos="8505"/>
              </w:tabs>
              <w:overflowPunct w:val="0"/>
              <w:adjustRightInd w:val="0"/>
              <w:ind w:left="57"/>
              <w:textAlignment w:val="baseline"/>
              <w:rPr>
                <w:rFonts w:cs="Arial"/>
                <w:position w:val="6"/>
                <w:sz w:val="16"/>
                <w:szCs w:val="20"/>
                <w:lang w:val="bg-BG"/>
              </w:rPr>
            </w:pPr>
            <w:r w:rsidRPr="009072DA">
              <w:rPr>
                <w:sz w:val="18"/>
                <w:lang w:val="bg-BG"/>
              </w:rPr>
              <w:t>С оглед на  – резултата от проверката - удостоверяването  - *), срокът на валидност на удостоверението на плавателния съд за плаване по вътрешни водни пътища се запазва – удължава -</w:t>
            </w:r>
            <w:r w:rsidRPr="009072DA">
              <w:rPr>
                <w:position w:val="6"/>
                <w:sz w:val="16"/>
                <w:lang w:val="bg-BG"/>
              </w:rPr>
              <w:t>*)</w:t>
            </w:r>
          </w:p>
          <w:p w:rsidR="009C13A9" w:rsidRPr="009072DA"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lang w:val="bg-BG"/>
              </w:rPr>
            </w:pPr>
            <w:r w:rsidRPr="009072DA">
              <w:rPr>
                <w:sz w:val="18"/>
                <w:lang w:val="bg-BG"/>
              </w:rPr>
              <w:t xml:space="preserve">до </w:t>
            </w:r>
            <w:r w:rsidRPr="009072DA">
              <w:rPr>
                <w:lang w:val="bg-BG"/>
              </w:rPr>
              <w:tab/>
            </w:r>
            <w:r w:rsidRPr="009072DA">
              <w:rPr>
                <w:sz w:val="18"/>
                <w:lang w:val="bg-BG"/>
              </w:rPr>
              <w:t xml:space="preserve"> .</w:t>
            </w:r>
          </w:p>
          <w:p w:rsidR="009C13A9" w:rsidRPr="009072DA" w:rsidRDefault="009C13A9" w:rsidP="009C13A9">
            <w:pPr>
              <w:tabs>
                <w:tab w:val="left" w:pos="57"/>
                <w:tab w:val="left" w:leader="dot" w:pos="3969"/>
                <w:tab w:val="left" w:leader="dot" w:pos="6237"/>
                <w:tab w:val="left" w:leader="dot" w:pos="8505"/>
              </w:tabs>
              <w:overflowPunct w:val="0"/>
              <w:adjustRightInd w:val="0"/>
              <w:spacing w:before="80"/>
              <w:ind w:left="57"/>
              <w:textAlignment w:val="baseline"/>
              <w:rPr>
                <w:rFonts w:cs="Arial"/>
                <w:sz w:val="18"/>
                <w:szCs w:val="20"/>
                <w:lang w:val="bg-BG"/>
              </w:rPr>
            </w:pPr>
            <w:r w:rsidRPr="009072DA">
              <w:rPr>
                <w:lang w:val="bg-BG"/>
              </w:rPr>
              <w:tab/>
            </w:r>
            <w:r w:rsidRPr="009072DA">
              <w:rPr>
                <w:sz w:val="18"/>
                <w:lang w:val="bg-BG"/>
              </w:rPr>
              <w:t xml:space="preserve">, на </w:t>
            </w:r>
            <w:r w:rsidRPr="009072DA">
              <w:rPr>
                <w:lang w:val="bg-BG"/>
              </w:rPr>
              <w:tab/>
            </w:r>
          </w:p>
          <w:p w:rsidR="009C13A9" w:rsidRPr="009072DA" w:rsidRDefault="009C13A9" w:rsidP="009C13A9">
            <w:pPr>
              <w:tabs>
                <w:tab w:val="center" w:pos="2041"/>
                <w:tab w:val="center" w:pos="5216"/>
              </w:tabs>
              <w:overflowPunct w:val="0"/>
              <w:adjustRightInd w:val="0"/>
              <w:textAlignment w:val="baseline"/>
              <w:rPr>
                <w:rFonts w:cs="Arial"/>
                <w:sz w:val="18"/>
                <w:szCs w:val="20"/>
                <w:lang w:val="bg-BG"/>
              </w:rPr>
            </w:pPr>
            <w:r w:rsidRPr="009072DA">
              <w:rPr>
                <w:lang w:val="bg-BG"/>
              </w:rPr>
              <w:tab/>
            </w:r>
            <w:r w:rsidRPr="009072DA">
              <w:rPr>
                <w:sz w:val="16"/>
                <w:lang w:val="bg-BG"/>
              </w:rPr>
              <w:t>(Място)</w:t>
            </w:r>
            <w:r w:rsidRPr="009072DA">
              <w:rPr>
                <w:lang w:val="bg-BG"/>
              </w:rPr>
              <w:tab/>
            </w:r>
            <w:r w:rsidRPr="009072DA">
              <w:rPr>
                <w:sz w:val="16"/>
                <w:lang w:val="bg-BG"/>
              </w:rPr>
              <w:t>(дата)</w:t>
            </w:r>
          </w:p>
          <w:p w:rsidR="009C13A9" w:rsidRPr="009072DA" w:rsidRDefault="009C13A9" w:rsidP="009C13A9">
            <w:pPr>
              <w:tabs>
                <w:tab w:val="left" w:pos="4820"/>
                <w:tab w:val="left" w:leader="dot" w:pos="8505"/>
              </w:tabs>
              <w:overflowPunct w:val="0"/>
              <w:adjustRightInd w:val="0"/>
              <w:spacing w:before="120"/>
              <w:ind w:left="57"/>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1985"/>
                <w:tab w:val="center" w:pos="6662"/>
              </w:tabs>
              <w:overflowPunct w:val="0"/>
              <w:adjustRightInd w:val="0"/>
              <w:textAlignment w:val="baseline"/>
              <w:rPr>
                <w:rFonts w:cs="Arial"/>
                <w:sz w:val="18"/>
                <w:szCs w:val="20"/>
                <w:lang w:val="bg-BG"/>
              </w:rPr>
            </w:pPr>
            <w:r w:rsidRPr="009072DA">
              <w:rPr>
                <w:lang w:val="bg-BG"/>
              </w:rPr>
              <w:tab/>
            </w:r>
            <w:r w:rsidRPr="009072DA">
              <w:rPr>
                <w:sz w:val="16"/>
                <w:lang w:val="bg-BG"/>
              </w:rPr>
              <w:t>Печат</w:t>
            </w:r>
            <w:r w:rsidRPr="009072DA">
              <w:rPr>
                <w:lang w:val="bg-BG"/>
              </w:rPr>
              <w:tab/>
            </w:r>
            <w:r w:rsidRPr="009072DA">
              <w:rPr>
                <w:sz w:val="16"/>
                <w:lang w:val="bg-BG"/>
              </w:rPr>
              <w:t>Контролен орган</w:t>
            </w:r>
          </w:p>
          <w:p w:rsidR="009C13A9" w:rsidRPr="009072DA" w:rsidRDefault="009C13A9" w:rsidP="009C13A9">
            <w:pPr>
              <w:tabs>
                <w:tab w:val="left" w:pos="4820"/>
                <w:tab w:val="left" w:leader="dot" w:pos="8505"/>
              </w:tabs>
              <w:overflowPunct w:val="0"/>
              <w:adjustRightInd w:val="0"/>
              <w:spacing w:before="12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6662"/>
              </w:tabs>
              <w:overflowPunct w:val="0"/>
              <w:adjustRightInd w:val="0"/>
              <w:ind w:left="57"/>
              <w:textAlignment w:val="baseline"/>
              <w:rPr>
                <w:rFonts w:cs="Arial"/>
                <w:sz w:val="16"/>
                <w:szCs w:val="20"/>
                <w:lang w:val="bg-BG"/>
              </w:rPr>
            </w:pPr>
            <w:r w:rsidRPr="009072DA">
              <w:rPr>
                <w:sz w:val="18"/>
                <w:lang w:val="bg-BG"/>
              </w:rPr>
              <w:t>______________________</w:t>
            </w:r>
            <w:r w:rsidRPr="009072DA">
              <w:rPr>
                <w:lang w:val="bg-BG"/>
              </w:rPr>
              <w:tab/>
            </w:r>
            <w:r w:rsidRPr="009072DA">
              <w:rPr>
                <w:sz w:val="16"/>
                <w:lang w:val="bg-BG"/>
              </w:rPr>
              <w:t>(Подпис)</w:t>
            </w:r>
          </w:p>
          <w:p w:rsidR="009C13A9" w:rsidRPr="009072DA" w:rsidRDefault="009C13A9" w:rsidP="009C13A9">
            <w:pPr>
              <w:tabs>
                <w:tab w:val="left" w:pos="227"/>
              </w:tabs>
              <w:overflowPunct w:val="0"/>
              <w:adjustRightInd w:val="0"/>
              <w:spacing w:after="40"/>
              <w:ind w:left="57"/>
              <w:textAlignment w:val="baseline"/>
              <w:rPr>
                <w:rFonts w:cs="Arial"/>
                <w:sz w:val="18"/>
                <w:szCs w:val="20"/>
                <w:lang w:val="bg-BG"/>
              </w:rPr>
            </w:pPr>
            <w:r w:rsidRPr="009072DA">
              <w:rPr>
                <w:position w:val="4"/>
                <w:sz w:val="16"/>
                <w:vertAlign w:val="superscript"/>
                <w:lang w:val="bg-BG"/>
              </w:rPr>
              <w:t>*)</w:t>
            </w:r>
            <w:r w:rsidRPr="009072DA">
              <w:rPr>
                <w:lang w:val="bg-BG"/>
              </w:rPr>
              <w:tab/>
            </w:r>
            <w:r w:rsidRPr="009072DA">
              <w:rPr>
                <w:sz w:val="16"/>
                <w:lang w:val="bg-BG"/>
              </w:rPr>
              <w:t>Ненужното се зачерква</w:t>
            </w:r>
          </w:p>
        </w:tc>
      </w:tr>
      <w:tr w:rsidR="009C13A9" w:rsidRPr="009072DA" w:rsidTr="00E3172D">
        <w:trPr>
          <w:cantSplit/>
          <w:jc w:val="center"/>
        </w:trPr>
        <w:tc>
          <w:tcPr>
            <w:tcW w:w="284" w:type="dxa"/>
            <w:tcBorders>
              <w:top w:val="single" w:sz="4"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60"/>
              <w:textAlignment w:val="baseline"/>
              <w:rPr>
                <w:rFonts w:cs="Arial"/>
                <w:sz w:val="18"/>
                <w:szCs w:val="20"/>
                <w:lang w:val="bg-BG"/>
              </w:rPr>
            </w:pPr>
            <w:r w:rsidRPr="009072DA">
              <w:rPr>
                <w:sz w:val="18"/>
                <w:lang w:val="bg-BG"/>
              </w:rPr>
              <w:lastRenderedPageBreak/>
              <w:t>49.</w:t>
            </w:r>
          </w:p>
        </w:tc>
        <w:tc>
          <w:tcPr>
            <w:tcW w:w="8902" w:type="dxa"/>
            <w:tcBorders>
              <w:top w:val="single" w:sz="4" w:space="0" w:color="auto"/>
              <w:bottom w:val="single" w:sz="6" w:space="0" w:color="auto"/>
              <w:right w:val="single" w:sz="6" w:space="0" w:color="auto"/>
            </w:tcBorders>
          </w:tcPr>
          <w:p w:rsidR="009C13A9" w:rsidRPr="009072DA" w:rsidRDefault="009C13A9" w:rsidP="009C13A9">
            <w:pPr>
              <w:tabs>
                <w:tab w:val="left" w:pos="4452"/>
                <w:tab w:val="left" w:leader="dot" w:pos="8505"/>
              </w:tabs>
              <w:overflowPunct w:val="0"/>
              <w:adjustRightInd w:val="0"/>
              <w:spacing w:before="60"/>
              <w:ind w:left="57"/>
              <w:textAlignment w:val="baseline"/>
              <w:rPr>
                <w:rFonts w:cs="Arial"/>
                <w:b/>
                <w:position w:val="6"/>
                <w:sz w:val="16"/>
                <w:szCs w:val="20"/>
                <w:lang w:val="bg-BG"/>
              </w:rPr>
            </w:pPr>
            <w:r w:rsidRPr="009072DA">
              <w:rPr>
                <w:b/>
                <w:sz w:val="18"/>
                <w:lang w:val="bg-BG"/>
              </w:rPr>
              <w:t xml:space="preserve">Удължаване/потвърждаване </w:t>
            </w:r>
            <w:r w:rsidRPr="009072DA">
              <w:rPr>
                <w:b/>
                <w:position w:val="6"/>
                <w:sz w:val="16"/>
                <w:lang w:val="bg-BG"/>
              </w:rPr>
              <w:t>*)</w:t>
            </w:r>
            <w:r w:rsidRPr="009072DA">
              <w:rPr>
                <w:b/>
                <w:sz w:val="18"/>
                <w:lang w:val="bg-BG"/>
              </w:rPr>
              <w:t xml:space="preserve"> на валидността на удостоверение на плавателния съд за плаване по вътрешни водни пътища</w:t>
            </w:r>
            <w:r w:rsidRPr="009072DA">
              <w:rPr>
                <w:b/>
                <w:position w:val="6"/>
                <w:sz w:val="16"/>
                <w:lang w:val="bg-BG"/>
              </w:rPr>
              <w:t>*)</w:t>
            </w:r>
            <w:r w:rsidRPr="009072DA">
              <w:rPr>
                <w:b/>
                <w:sz w:val="18"/>
                <w:lang w:val="bg-BG"/>
              </w:rPr>
              <w:t xml:space="preserve"> Периодична - специална</w:t>
            </w:r>
            <w:r w:rsidRPr="009072DA">
              <w:rPr>
                <w:b/>
                <w:position w:val="6"/>
                <w:sz w:val="16"/>
                <w:lang w:val="bg-BG"/>
              </w:rPr>
              <w:t xml:space="preserve">*) </w:t>
            </w:r>
            <w:r w:rsidRPr="009072DA">
              <w:rPr>
                <w:b/>
                <w:sz w:val="18"/>
                <w:lang w:val="bg-BG"/>
              </w:rPr>
              <w:t>проверка</w:t>
            </w:r>
          </w:p>
          <w:p w:rsidR="009C13A9" w:rsidRPr="009072DA" w:rsidRDefault="009C13A9" w:rsidP="00083603">
            <w:pPr>
              <w:tabs>
                <w:tab w:val="left" w:leader="dot" w:pos="5103"/>
                <w:tab w:val="left" w:leader="dot" w:pos="8505"/>
              </w:tabs>
              <w:overflowPunct w:val="0"/>
              <w:adjustRightInd w:val="0"/>
              <w:spacing w:before="20"/>
              <w:ind w:left="57"/>
              <w:textAlignment w:val="baseline"/>
              <w:rPr>
                <w:rFonts w:cs="Arial"/>
                <w:sz w:val="18"/>
                <w:szCs w:val="20"/>
                <w:lang w:val="bg-BG"/>
              </w:rPr>
            </w:pPr>
            <w:r w:rsidRPr="009072DA">
              <w:rPr>
                <w:sz w:val="18"/>
                <w:lang w:val="bg-BG"/>
              </w:rPr>
              <w:t>Контролният орган е проверил плавателния съд на</w:t>
            </w:r>
            <w:r w:rsidRPr="009072DA">
              <w:rPr>
                <w:lang w:val="bg-BG"/>
              </w:rPr>
              <w:tab/>
            </w:r>
            <w:r w:rsidRPr="009072DA">
              <w:rPr>
                <w:position w:val="6"/>
                <w:sz w:val="16"/>
                <w:lang w:val="bg-BG"/>
              </w:rPr>
              <w:t>*)</w:t>
            </w:r>
            <w:r w:rsidRPr="009072DA">
              <w:rPr>
                <w:sz w:val="18"/>
                <w:lang w:val="bg-BG"/>
              </w:rPr>
              <w:t>.</w:t>
            </w:r>
          </w:p>
          <w:p w:rsidR="009C13A9" w:rsidRPr="009072DA" w:rsidRDefault="009C13A9" w:rsidP="00083603">
            <w:pPr>
              <w:tabs>
                <w:tab w:val="left" w:leader="dot" w:pos="3686"/>
                <w:tab w:val="left" w:leader="dot" w:pos="8505"/>
              </w:tabs>
              <w:overflowPunct w:val="0"/>
              <w:adjustRightInd w:val="0"/>
              <w:spacing w:after="20"/>
              <w:ind w:left="57"/>
              <w:textAlignment w:val="baseline"/>
              <w:rPr>
                <w:rFonts w:cs="Arial"/>
                <w:sz w:val="18"/>
                <w:szCs w:val="20"/>
                <w:lang w:val="bg-BG"/>
              </w:rPr>
            </w:pPr>
            <w:r w:rsidRPr="009072DA">
              <w:rPr>
                <w:sz w:val="18"/>
                <w:lang w:val="bg-BG"/>
              </w:rPr>
              <w:t>Удостоверение с дата</w:t>
            </w:r>
            <w:r w:rsidRPr="009072DA">
              <w:rPr>
                <w:lang w:val="bg-BG"/>
              </w:rPr>
              <w:tab/>
            </w:r>
            <w:r w:rsidRPr="009072DA">
              <w:rPr>
                <w:sz w:val="18"/>
                <w:lang w:val="bg-BG"/>
              </w:rPr>
              <w:t>от призната класификационна организация</w:t>
            </w:r>
            <w:r w:rsidRPr="009072DA">
              <w:rPr>
                <w:lang w:val="bg-BG"/>
              </w:rPr>
              <w:tab/>
            </w:r>
          </w:p>
          <w:p w:rsidR="009C13A9" w:rsidRPr="009072DA" w:rsidRDefault="009C13A9" w:rsidP="009C13A9">
            <w:pPr>
              <w:tabs>
                <w:tab w:val="left" w:leader="dot" w:pos="8505"/>
              </w:tabs>
              <w:overflowPunct w:val="0"/>
              <w:adjustRightInd w:val="0"/>
              <w:ind w:left="57"/>
              <w:textAlignment w:val="baseline"/>
              <w:rPr>
                <w:rFonts w:cs="Arial"/>
                <w:sz w:val="18"/>
                <w:szCs w:val="20"/>
                <w:lang w:val="bg-BG"/>
              </w:rPr>
            </w:pPr>
            <w:r w:rsidRPr="009072DA">
              <w:rPr>
                <w:lang w:val="bg-BG"/>
              </w:rPr>
              <w:tab/>
            </w:r>
          </w:p>
          <w:p w:rsidR="009C13A9" w:rsidRPr="009072DA" w:rsidRDefault="009C13A9" w:rsidP="009C13A9">
            <w:pPr>
              <w:overflowPunct w:val="0"/>
              <w:adjustRightInd w:val="0"/>
              <w:spacing w:after="20"/>
              <w:ind w:left="57"/>
              <w:textAlignment w:val="baseline"/>
              <w:rPr>
                <w:rFonts w:cs="Arial"/>
                <w:sz w:val="18"/>
                <w:szCs w:val="20"/>
                <w:lang w:val="bg-BG"/>
              </w:rPr>
            </w:pPr>
            <w:r w:rsidRPr="009072DA">
              <w:rPr>
                <w:sz w:val="18"/>
                <w:lang w:val="bg-BG"/>
              </w:rPr>
              <w:t>беше представено на контролния орган</w:t>
            </w:r>
            <w:r w:rsidRPr="009072DA">
              <w:rPr>
                <w:position w:val="6"/>
                <w:sz w:val="16"/>
                <w:lang w:val="bg-BG"/>
              </w:rPr>
              <w:t>*)</w:t>
            </w:r>
            <w:r w:rsidRPr="009072DA">
              <w:rPr>
                <w:sz w:val="18"/>
                <w:lang w:val="bg-BG"/>
              </w:rPr>
              <w:t>.</w:t>
            </w:r>
          </w:p>
          <w:p w:rsidR="009C13A9" w:rsidRPr="009072DA" w:rsidRDefault="009C13A9" w:rsidP="009C13A9">
            <w:pPr>
              <w:overflowPunct w:val="0"/>
              <w:adjustRightInd w:val="0"/>
              <w:spacing w:after="20"/>
              <w:ind w:left="57"/>
              <w:textAlignment w:val="baseline"/>
              <w:rPr>
                <w:rFonts w:cs="Arial"/>
                <w:sz w:val="18"/>
                <w:szCs w:val="20"/>
                <w:lang w:val="bg-BG"/>
              </w:rPr>
            </w:pPr>
            <w:r w:rsidRPr="009072DA">
              <w:rPr>
                <w:sz w:val="18"/>
                <w:lang w:val="bg-BG"/>
              </w:rPr>
              <w:t>Причина за проверката/удостоверяването</w:t>
            </w:r>
            <w:r w:rsidRPr="009072DA">
              <w:rPr>
                <w:position w:val="6"/>
                <w:sz w:val="16"/>
                <w:lang w:val="bg-BG"/>
              </w:rPr>
              <w:t>*)</w:t>
            </w:r>
            <w:r w:rsidRPr="009072DA">
              <w:rPr>
                <w:sz w:val="18"/>
                <w:lang w:val="bg-BG"/>
              </w:rPr>
              <w:t>:</w:t>
            </w:r>
          </w:p>
          <w:p w:rsidR="009C13A9" w:rsidRPr="009072DA" w:rsidRDefault="009C13A9" w:rsidP="00083603">
            <w:pPr>
              <w:tabs>
                <w:tab w:val="left" w:leader="dot" w:pos="8505"/>
              </w:tabs>
              <w:overflowPunct w:val="0"/>
              <w:adjustRightInd w:val="0"/>
              <w:spacing w:after="80"/>
              <w:ind w:left="57"/>
              <w:textAlignment w:val="baseline"/>
              <w:rPr>
                <w:rFonts w:cs="Arial"/>
                <w:position w:val="6"/>
                <w:sz w:val="16"/>
                <w:szCs w:val="20"/>
                <w:lang w:val="bg-BG"/>
              </w:rPr>
            </w:pPr>
            <w:r w:rsidRPr="009072DA">
              <w:rPr>
                <w:lang w:val="bg-BG"/>
              </w:rPr>
              <w:tab/>
            </w:r>
          </w:p>
          <w:p w:rsidR="009C13A9" w:rsidRPr="009072DA" w:rsidRDefault="009C13A9" w:rsidP="009C13A9">
            <w:pPr>
              <w:tabs>
                <w:tab w:val="left" w:leader="dot" w:pos="8505"/>
              </w:tabs>
              <w:overflowPunct w:val="0"/>
              <w:adjustRightInd w:val="0"/>
              <w:ind w:left="57"/>
              <w:textAlignment w:val="baseline"/>
              <w:rPr>
                <w:rFonts w:cs="Arial"/>
                <w:position w:val="6"/>
                <w:sz w:val="16"/>
                <w:szCs w:val="20"/>
                <w:lang w:val="bg-BG"/>
              </w:rPr>
            </w:pPr>
            <w:r w:rsidRPr="009072DA">
              <w:rPr>
                <w:lang w:val="bg-BG"/>
              </w:rPr>
              <w:tab/>
            </w:r>
          </w:p>
          <w:p w:rsidR="009C13A9" w:rsidRPr="009072DA" w:rsidRDefault="009C13A9" w:rsidP="009C13A9">
            <w:pPr>
              <w:tabs>
                <w:tab w:val="left" w:leader="dot" w:pos="8505"/>
              </w:tabs>
              <w:overflowPunct w:val="0"/>
              <w:adjustRightInd w:val="0"/>
              <w:ind w:left="57"/>
              <w:textAlignment w:val="baseline"/>
              <w:rPr>
                <w:rFonts w:cs="Arial"/>
                <w:position w:val="6"/>
                <w:sz w:val="16"/>
                <w:szCs w:val="20"/>
                <w:lang w:val="bg-BG"/>
              </w:rPr>
            </w:pPr>
            <w:r w:rsidRPr="009072DA">
              <w:rPr>
                <w:sz w:val="18"/>
                <w:lang w:val="bg-BG"/>
              </w:rPr>
              <w:t>С оглед на  – резултата от проверката - удостоверяването  - *), срокът на валидност на удостоверението на плавателния съд за плаване по вътрешни водни пътища се запазва – удължава -</w:t>
            </w:r>
            <w:r w:rsidRPr="009072DA">
              <w:rPr>
                <w:position w:val="6"/>
                <w:sz w:val="16"/>
                <w:lang w:val="bg-BG"/>
              </w:rPr>
              <w:t>*)</w:t>
            </w:r>
          </w:p>
          <w:p w:rsidR="009C13A9" w:rsidRPr="009072DA"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lang w:val="bg-BG"/>
              </w:rPr>
            </w:pPr>
            <w:r w:rsidRPr="009072DA">
              <w:rPr>
                <w:sz w:val="18"/>
                <w:lang w:val="bg-BG"/>
              </w:rPr>
              <w:t xml:space="preserve">до </w:t>
            </w:r>
            <w:r w:rsidRPr="009072DA">
              <w:rPr>
                <w:lang w:val="bg-BG"/>
              </w:rPr>
              <w:tab/>
            </w:r>
            <w:r w:rsidRPr="009072DA">
              <w:rPr>
                <w:sz w:val="18"/>
                <w:lang w:val="bg-BG"/>
              </w:rPr>
              <w:t xml:space="preserve"> .</w:t>
            </w:r>
          </w:p>
          <w:p w:rsidR="009C13A9" w:rsidRPr="009072DA" w:rsidRDefault="009C13A9" w:rsidP="00083603">
            <w:pPr>
              <w:tabs>
                <w:tab w:val="left" w:pos="57"/>
                <w:tab w:val="left" w:leader="dot" w:pos="3969"/>
                <w:tab w:val="left" w:leader="dot" w:pos="6237"/>
                <w:tab w:val="left" w:leader="dot" w:pos="8505"/>
              </w:tabs>
              <w:overflowPunct w:val="0"/>
              <w:adjustRightInd w:val="0"/>
              <w:spacing w:before="20"/>
              <w:ind w:left="57"/>
              <w:textAlignment w:val="baseline"/>
              <w:rPr>
                <w:rFonts w:cs="Arial"/>
                <w:sz w:val="18"/>
                <w:szCs w:val="20"/>
                <w:lang w:val="bg-BG"/>
              </w:rPr>
            </w:pPr>
            <w:r w:rsidRPr="009072DA">
              <w:rPr>
                <w:lang w:val="bg-BG"/>
              </w:rPr>
              <w:tab/>
            </w:r>
            <w:r w:rsidRPr="009072DA">
              <w:rPr>
                <w:sz w:val="18"/>
                <w:lang w:val="bg-BG"/>
              </w:rPr>
              <w:t xml:space="preserve">, </w:t>
            </w:r>
            <w:r w:rsidRPr="009072DA">
              <w:rPr>
                <w:lang w:val="bg-BG"/>
              </w:rPr>
              <w:tab/>
            </w:r>
          </w:p>
          <w:p w:rsidR="009C13A9" w:rsidRPr="009072DA" w:rsidRDefault="009C13A9" w:rsidP="009C13A9">
            <w:pPr>
              <w:tabs>
                <w:tab w:val="center" w:pos="2041"/>
                <w:tab w:val="center" w:pos="5216"/>
              </w:tabs>
              <w:overflowPunct w:val="0"/>
              <w:adjustRightInd w:val="0"/>
              <w:textAlignment w:val="baseline"/>
              <w:rPr>
                <w:rFonts w:cs="Arial"/>
                <w:sz w:val="18"/>
                <w:szCs w:val="20"/>
                <w:lang w:val="bg-BG"/>
              </w:rPr>
            </w:pPr>
            <w:r w:rsidRPr="009072DA">
              <w:rPr>
                <w:lang w:val="bg-BG"/>
              </w:rPr>
              <w:tab/>
            </w:r>
            <w:r w:rsidRPr="009072DA">
              <w:rPr>
                <w:sz w:val="16"/>
                <w:lang w:val="bg-BG"/>
              </w:rPr>
              <w:t>(Място)</w:t>
            </w:r>
            <w:r w:rsidRPr="009072DA">
              <w:rPr>
                <w:lang w:val="bg-BG"/>
              </w:rPr>
              <w:tab/>
            </w:r>
            <w:r w:rsidRPr="009072DA">
              <w:rPr>
                <w:sz w:val="16"/>
                <w:lang w:val="bg-BG"/>
              </w:rPr>
              <w:t>(дата)</w:t>
            </w:r>
          </w:p>
          <w:p w:rsidR="009C13A9" w:rsidRPr="009072DA" w:rsidRDefault="009C13A9" w:rsidP="009C13A9">
            <w:pPr>
              <w:tabs>
                <w:tab w:val="left" w:pos="4820"/>
                <w:tab w:val="left" w:leader="dot" w:pos="8505"/>
              </w:tabs>
              <w:overflowPunct w:val="0"/>
              <w:adjustRightInd w:val="0"/>
              <w:spacing w:before="120"/>
              <w:ind w:left="57"/>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1985"/>
                <w:tab w:val="center" w:pos="6662"/>
              </w:tabs>
              <w:overflowPunct w:val="0"/>
              <w:adjustRightInd w:val="0"/>
              <w:textAlignment w:val="baseline"/>
              <w:rPr>
                <w:rFonts w:cs="Arial"/>
                <w:sz w:val="18"/>
                <w:szCs w:val="20"/>
                <w:lang w:val="bg-BG"/>
              </w:rPr>
            </w:pPr>
            <w:r w:rsidRPr="009072DA">
              <w:rPr>
                <w:lang w:val="bg-BG"/>
              </w:rPr>
              <w:tab/>
            </w:r>
            <w:r w:rsidRPr="009072DA">
              <w:rPr>
                <w:sz w:val="16"/>
                <w:lang w:val="bg-BG"/>
              </w:rPr>
              <w:t>Печат</w:t>
            </w:r>
            <w:r w:rsidRPr="009072DA">
              <w:rPr>
                <w:lang w:val="bg-BG"/>
              </w:rPr>
              <w:tab/>
            </w:r>
            <w:r w:rsidRPr="009072DA">
              <w:rPr>
                <w:sz w:val="16"/>
                <w:lang w:val="bg-BG"/>
              </w:rPr>
              <w:t>Контролен орган</w:t>
            </w:r>
          </w:p>
          <w:p w:rsidR="009C13A9" w:rsidRPr="009072DA" w:rsidRDefault="009C13A9" w:rsidP="009C13A9">
            <w:pPr>
              <w:tabs>
                <w:tab w:val="left" w:pos="4820"/>
                <w:tab w:val="left" w:leader="dot" w:pos="8505"/>
              </w:tabs>
              <w:overflowPunct w:val="0"/>
              <w:adjustRightInd w:val="0"/>
              <w:spacing w:before="12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6662"/>
              </w:tabs>
              <w:overflowPunct w:val="0"/>
              <w:adjustRightInd w:val="0"/>
              <w:ind w:left="57"/>
              <w:textAlignment w:val="baseline"/>
              <w:rPr>
                <w:rFonts w:cs="Arial"/>
                <w:sz w:val="16"/>
                <w:szCs w:val="20"/>
                <w:lang w:val="bg-BG"/>
              </w:rPr>
            </w:pPr>
            <w:r w:rsidRPr="009072DA">
              <w:rPr>
                <w:sz w:val="18"/>
                <w:lang w:val="bg-BG"/>
              </w:rPr>
              <w:t>______________________</w:t>
            </w:r>
            <w:r w:rsidRPr="009072DA">
              <w:rPr>
                <w:lang w:val="bg-BG"/>
              </w:rPr>
              <w:tab/>
            </w:r>
            <w:r w:rsidRPr="009072DA">
              <w:rPr>
                <w:sz w:val="16"/>
                <w:lang w:val="bg-BG"/>
              </w:rPr>
              <w:t>(Подпис)</w:t>
            </w:r>
          </w:p>
          <w:p w:rsidR="009C13A9" w:rsidRPr="009072DA"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bg-BG"/>
              </w:rPr>
            </w:pPr>
            <w:r w:rsidRPr="009072DA">
              <w:rPr>
                <w:position w:val="4"/>
                <w:sz w:val="16"/>
                <w:vertAlign w:val="superscript"/>
                <w:lang w:val="bg-BG"/>
              </w:rPr>
              <w:t>*)</w:t>
            </w:r>
            <w:r w:rsidRPr="009072DA">
              <w:rPr>
                <w:lang w:val="bg-BG"/>
              </w:rPr>
              <w:tab/>
            </w:r>
            <w:r w:rsidRPr="009072DA">
              <w:rPr>
                <w:sz w:val="16"/>
                <w:lang w:val="bg-BG"/>
              </w:rPr>
              <w:t>Ненужното се зачерква</w:t>
            </w:r>
          </w:p>
        </w:tc>
      </w:tr>
      <w:tr w:rsidR="009C13A9" w:rsidRPr="009072DA" w:rsidTr="00E3172D">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60"/>
              <w:textAlignment w:val="baseline"/>
              <w:rPr>
                <w:rFonts w:cs="Arial"/>
                <w:sz w:val="18"/>
                <w:szCs w:val="20"/>
                <w:lang w:val="bg-BG"/>
              </w:rPr>
            </w:pPr>
            <w:r w:rsidRPr="009072DA">
              <w:rPr>
                <w:sz w:val="18"/>
                <w:lang w:val="bg-BG"/>
              </w:rPr>
              <w:lastRenderedPageBreak/>
              <w:t>49.</w:t>
            </w:r>
          </w:p>
        </w:tc>
        <w:tc>
          <w:tcPr>
            <w:tcW w:w="8902" w:type="dxa"/>
            <w:tcBorders>
              <w:top w:val="single" w:sz="6" w:space="0" w:color="auto"/>
              <w:bottom w:val="single" w:sz="6" w:space="0" w:color="auto"/>
              <w:right w:val="single" w:sz="6" w:space="0" w:color="auto"/>
            </w:tcBorders>
          </w:tcPr>
          <w:p w:rsidR="009C13A9" w:rsidRPr="009072DA"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lang w:val="bg-BG"/>
              </w:rPr>
            </w:pPr>
            <w:r w:rsidRPr="009072DA">
              <w:rPr>
                <w:b/>
                <w:sz w:val="18"/>
                <w:lang w:val="bg-BG"/>
              </w:rPr>
              <w:t xml:space="preserve">Удължаване/потвърждаване </w:t>
            </w:r>
            <w:r w:rsidRPr="009072DA">
              <w:rPr>
                <w:b/>
                <w:position w:val="6"/>
                <w:sz w:val="16"/>
                <w:lang w:val="bg-BG"/>
              </w:rPr>
              <w:t>*)</w:t>
            </w:r>
            <w:r w:rsidRPr="009072DA">
              <w:rPr>
                <w:b/>
                <w:sz w:val="18"/>
                <w:lang w:val="bg-BG"/>
              </w:rPr>
              <w:t xml:space="preserve"> на валидността на удостоверение на плавателния съд за плаване по вътрешни водни пътища</w:t>
            </w:r>
            <w:r w:rsidRPr="009072DA">
              <w:rPr>
                <w:b/>
                <w:position w:val="6"/>
                <w:sz w:val="16"/>
                <w:lang w:val="bg-BG"/>
              </w:rPr>
              <w:t>*)</w:t>
            </w:r>
            <w:r w:rsidRPr="009072DA">
              <w:rPr>
                <w:b/>
                <w:sz w:val="18"/>
                <w:lang w:val="bg-BG"/>
              </w:rPr>
              <w:t xml:space="preserve"> Периодична - специална</w:t>
            </w:r>
            <w:r w:rsidRPr="009072DA">
              <w:rPr>
                <w:b/>
                <w:position w:val="6"/>
                <w:sz w:val="16"/>
                <w:lang w:val="bg-BG"/>
              </w:rPr>
              <w:t xml:space="preserve">*) </w:t>
            </w:r>
            <w:r w:rsidRPr="009072DA">
              <w:rPr>
                <w:b/>
                <w:sz w:val="18"/>
                <w:lang w:val="bg-BG"/>
              </w:rPr>
              <w:t>проверка</w:t>
            </w:r>
          </w:p>
          <w:p w:rsidR="009C13A9" w:rsidRPr="009072DA" w:rsidRDefault="009C13A9" w:rsidP="00083603">
            <w:pPr>
              <w:tabs>
                <w:tab w:val="left" w:leader="dot" w:pos="5103"/>
                <w:tab w:val="left" w:leader="dot" w:pos="8505"/>
              </w:tabs>
              <w:overflowPunct w:val="0"/>
              <w:adjustRightInd w:val="0"/>
              <w:spacing w:before="20"/>
              <w:ind w:left="57"/>
              <w:textAlignment w:val="baseline"/>
              <w:rPr>
                <w:rFonts w:cs="Arial"/>
                <w:sz w:val="18"/>
                <w:szCs w:val="20"/>
                <w:lang w:val="bg-BG"/>
              </w:rPr>
            </w:pPr>
            <w:r w:rsidRPr="009072DA">
              <w:rPr>
                <w:sz w:val="18"/>
                <w:lang w:val="bg-BG"/>
              </w:rPr>
              <w:t>Контролният орган е проверил плавателния съд на</w:t>
            </w:r>
            <w:r w:rsidRPr="009072DA">
              <w:rPr>
                <w:lang w:val="bg-BG"/>
              </w:rPr>
              <w:tab/>
            </w:r>
            <w:r w:rsidRPr="009072DA">
              <w:rPr>
                <w:position w:val="6"/>
                <w:sz w:val="16"/>
                <w:lang w:val="bg-BG"/>
              </w:rPr>
              <w:t>*)</w:t>
            </w:r>
            <w:r w:rsidRPr="009072DA">
              <w:rPr>
                <w:sz w:val="18"/>
                <w:lang w:val="bg-BG"/>
              </w:rPr>
              <w:t>.</w:t>
            </w:r>
          </w:p>
          <w:p w:rsidR="009C13A9" w:rsidRPr="009072DA" w:rsidRDefault="009C13A9" w:rsidP="00083603">
            <w:pPr>
              <w:tabs>
                <w:tab w:val="left" w:leader="dot" w:pos="3686"/>
                <w:tab w:val="left" w:leader="dot" w:pos="8505"/>
              </w:tabs>
              <w:overflowPunct w:val="0"/>
              <w:adjustRightInd w:val="0"/>
              <w:spacing w:after="20"/>
              <w:ind w:left="57"/>
              <w:textAlignment w:val="baseline"/>
              <w:rPr>
                <w:rFonts w:cs="Arial"/>
                <w:sz w:val="18"/>
                <w:szCs w:val="20"/>
                <w:lang w:val="bg-BG"/>
              </w:rPr>
            </w:pPr>
            <w:r w:rsidRPr="009072DA">
              <w:rPr>
                <w:sz w:val="18"/>
                <w:lang w:val="bg-BG"/>
              </w:rPr>
              <w:t>Удостоверение с дата</w:t>
            </w:r>
            <w:r w:rsidRPr="009072DA">
              <w:rPr>
                <w:lang w:val="bg-BG"/>
              </w:rPr>
              <w:tab/>
            </w:r>
            <w:r w:rsidRPr="009072DA">
              <w:rPr>
                <w:sz w:val="18"/>
                <w:lang w:val="bg-BG"/>
              </w:rPr>
              <w:t xml:space="preserve">от </w:t>
            </w:r>
            <w:r w:rsidRPr="009072DA">
              <w:rPr>
                <w:lang w:val="bg-BG"/>
              </w:rPr>
              <w:t>призната</w:t>
            </w:r>
            <w:r w:rsidRPr="009072DA">
              <w:rPr>
                <w:sz w:val="18"/>
                <w:lang w:val="bg-BG"/>
              </w:rPr>
              <w:t xml:space="preserve"> класификационна организация</w:t>
            </w:r>
            <w:r w:rsidRPr="009072DA">
              <w:rPr>
                <w:lang w:val="bg-BG"/>
              </w:rPr>
              <w:tab/>
            </w:r>
          </w:p>
          <w:p w:rsidR="009C13A9" w:rsidRPr="009072DA" w:rsidRDefault="009C13A9" w:rsidP="009C13A9">
            <w:pPr>
              <w:tabs>
                <w:tab w:val="left" w:leader="dot" w:pos="8505"/>
              </w:tabs>
              <w:overflowPunct w:val="0"/>
              <w:adjustRightInd w:val="0"/>
              <w:ind w:left="57"/>
              <w:textAlignment w:val="baseline"/>
              <w:rPr>
                <w:rFonts w:cs="Arial"/>
                <w:sz w:val="18"/>
                <w:szCs w:val="20"/>
                <w:lang w:val="bg-BG"/>
              </w:rPr>
            </w:pPr>
            <w:r w:rsidRPr="009072DA">
              <w:rPr>
                <w:lang w:val="bg-BG"/>
              </w:rPr>
              <w:tab/>
            </w:r>
          </w:p>
          <w:p w:rsidR="009C13A9" w:rsidRPr="009072DA" w:rsidRDefault="009C13A9" w:rsidP="009C13A9">
            <w:pPr>
              <w:overflowPunct w:val="0"/>
              <w:adjustRightInd w:val="0"/>
              <w:spacing w:after="20"/>
              <w:ind w:left="57"/>
              <w:textAlignment w:val="baseline"/>
              <w:rPr>
                <w:rFonts w:cs="Arial"/>
                <w:sz w:val="18"/>
                <w:szCs w:val="20"/>
                <w:lang w:val="bg-BG"/>
              </w:rPr>
            </w:pPr>
            <w:r w:rsidRPr="009072DA">
              <w:rPr>
                <w:sz w:val="18"/>
                <w:lang w:val="bg-BG"/>
              </w:rPr>
              <w:t>беше представено на контролния орган</w:t>
            </w:r>
            <w:r w:rsidRPr="009072DA">
              <w:rPr>
                <w:position w:val="6"/>
                <w:sz w:val="16"/>
                <w:lang w:val="bg-BG"/>
              </w:rPr>
              <w:t>*)</w:t>
            </w:r>
            <w:r w:rsidRPr="009072DA">
              <w:rPr>
                <w:sz w:val="18"/>
                <w:lang w:val="bg-BG"/>
              </w:rPr>
              <w:t>.</w:t>
            </w:r>
          </w:p>
          <w:p w:rsidR="009C13A9" w:rsidRPr="009072DA" w:rsidRDefault="009C13A9" w:rsidP="009C13A9">
            <w:pPr>
              <w:overflowPunct w:val="0"/>
              <w:adjustRightInd w:val="0"/>
              <w:spacing w:after="20"/>
              <w:ind w:left="57"/>
              <w:textAlignment w:val="baseline"/>
              <w:rPr>
                <w:rFonts w:cs="Arial"/>
                <w:sz w:val="18"/>
                <w:szCs w:val="20"/>
                <w:lang w:val="bg-BG"/>
              </w:rPr>
            </w:pPr>
            <w:r w:rsidRPr="009072DA">
              <w:rPr>
                <w:sz w:val="18"/>
                <w:lang w:val="bg-BG"/>
              </w:rPr>
              <w:t>Причина за проверката/удостоверяването</w:t>
            </w:r>
            <w:r w:rsidRPr="009072DA">
              <w:rPr>
                <w:position w:val="6"/>
                <w:sz w:val="16"/>
                <w:lang w:val="bg-BG"/>
              </w:rPr>
              <w:t>*)</w:t>
            </w:r>
            <w:r w:rsidRPr="009072DA">
              <w:rPr>
                <w:sz w:val="18"/>
                <w:lang w:val="bg-BG"/>
              </w:rPr>
              <w:t>:</w:t>
            </w:r>
          </w:p>
          <w:p w:rsidR="009C13A9" w:rsidRPr="009072DA" w:rsidRDefault="009C13A9" w:rsidP="00083603">
            <w:pPr>
              <w:tabs>
                <w:tab w:val="left" w:leader="dot" w:pos="8505"/>
              </w:tabs>
              <w:overflowPunct w:val="0"/>
              <w:adjustRightInd w:val="0"/>
              <w:spacing w:after="80"/>
              <w:ind w:left="57"/>
              <w:textAlignment w:val="baseline"/>
              <w:rPr>
                <w:rFonts w:cs="Arial"/>
                <w:position w:val="6"/>
                <w:sz w:val="16"/>
                <w:szCs w:val="20"/>
                <w:lang w:val="bg-BG"/>
              </w:rPr>
            </w:pPr>
            <w:r w:rsidRPr="009072DA">
              <w:rPr>
                <w:lang w:val="bg-BG"/>
              </w:rPr>
              <w:tab/>
            </w:r>
          </w:p>
          <w:p w:rsidR="009C13A9" w:rsidRPr="009072DA" w:rsidRDefault="009C13A9" w:rsidP="009C13A9">
            <w:pPr>
              <w:tabs>
                <w:tab w:val="left" w:leader="dot" w:pos="8505"/>
              </w:tabs>
              <w:overflowPunct w:val="0"/>
              <w:adjustRightInd w:val="0"/>
              <w:ind w:left="57"/>
              <w:textAlignment w:val="baseline"/>
              <w:rPr>
                <w:rFonts w:cs="Arial"/>
                <w:position w:val="6"/>
                <w:sz w:val="16"/>
                <w:szCs w:val="20"/>
                <w:lang w:val="bg-BG"/>
              </w:rPr>
            </w:pPr>
            <w:r w:rsidRPr="009072DA">
              <w:rPr>
                <w:lang w:val="bg-BG"/>
              </w:rPr>
              <w:tab/>
            </w:r>
          </w:p>
          <w:p w:rsidR="009C13A9" w:rsidRPr="009072DA" w:rsidRDefault="009C13A9" w:rsidP="009C13A9">
            <w:pPr>
              <w:tabs>
                <w:tab w:val="left" w:leader="dot" w:pos="8505"/>
              </w:tabs>
              <w:overflowPunct w:val="0"/>
              <w:adjustRightInd w:val="0"/>
              <w:ind w:left="57"/>
              <w:textAlignment w:val="baseline"/>
              <w:rPr>
                <w:rFonts w:cs="Arial"/>
                <w:position w:val="6"/>
                <w:sz w:val="16"/>
                <w:szCs w:val="20"/>
                <w:lang w:val="bg-BG"/>
              </w:rPr>
            </w:pPr>
            <w:r w:rsidRPr="009072DA">
              <w:rPr>
                <w:sz w:val="18"/>
                <w:lang w:val="bg-BG"/>
              </w:rPr>
              <w:t>С оглед на  – резултата от проверката - удостоверяването  - *), срокът на валидност на удостоверението на плавателния съд за плаване по вътрешни водни пътища се запазва – удължава -</w:t>
            </w:r>
            <w:r w:rsidRPr="009072DA">
              <w:rPr>
                <w:position w:val="6"/>
                <w:sz w:val="16"/>
                <w:lang w:val="bg-BG"/>
              </w:rPr>
              <w:t>*)</w:t>
            </w:r>
          </w:p>
          <w:p w:rsidR="009C13A9" w:rsidRPr="009072DA"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lang w:val="bg-BG"/>
              </w:rPr>
            </w:pPr>
            <w:r w:rsidRPr="009072DA">
              <w:rPr>
                <w:sz w:val="18"/>
                <w:lang w:val="bg-BG"/>
              </w:rPr>
              <w:t xml:space="preserve">до </w:t>
            </w:r>
            <w:r w:rsidRPr="009072DA">
              <w:rPr>
                <w:lang w:val="bg-BG"/>
              </w:rPr>
              <w:tab/>
            </w:r>
            <w:r w:rsidRPr="009072DA">
              <w:rPr>
                <w:sz w:val="18"/>
                <w:lang w:val="bg-BG"/>
              </w:rPr>
              <w:t xml:space="preserve"> .</w:t>
            </w:r>
          </w:p>
          <w:p w:rsidR="009C13A9" w:rsidRPr="009072DA" w:rsidRDefault="009C13A9" w:rsidP="00083603">
            <w:pPr>
              <w:tabs>
                <w:tab w:val="left" w:pos="57"/>
                <w:tab w:val="left" w:leader="dot" w:pos="3969"/>
                <w:tab w:val="left" w:leader="dot" w:pos="6237"/>
                <w:tab w:val="left" w:leader="dot" w:pos="8505"/>
              </w:tabs>
              <w:overflowPunct w:val="0"/>
              <w:adjustRightInd w:val="0"/>
              <w:spacing w:before="20"/>
              <w:ind w:left="57"/>
              <w:textAlignment w:val="baseline"/>
              <w:rPr>
                <w:rFonts w:cs="Arial"/>
                <w:sz w:val="18"/>
                <w:szCs w:val="20"/>
                <w:lang w:val="bg-BG"/>
              </w:rPr>
            </w:pPr>
            <w:r w:rsidRPr="009072DA">
              <w:rPr>
                <w:lang w:val="bg-BG"/>
              </w:rPr>
              <w:tab/>
            </w:r>
            <w:r w:rsidRPr="009072DA">
              <w:rPr>
                <w:sz w:val="18"/>
                <w:lang w:val="bg-BG"/>
              </w:rPr>
              <w:t xml:space="preserve">, </w:t>
            </w:r>
            <w:r w:rsidRPr="009072DA">
              <w:rPr>
                <w:lang w:val="bg-BG"/>
              </w:rPr>
              <w:tab/>
            </w:r>
          </w:p>
          <w:p w:rsidR="009C13A9" w:rsidRPr="009072DA" w:rsidRDefault="009C13A9" w:rsidP="009C13A9">
            <w:pPr>
              <w:tabs>
                <w:tab w:val="center" w:pos="2041"/>
                <w:tab w:val="center" w:pos="5216"/>
              </w:tabs>
              <w:overflowPunct w:val="0"/>
              <w:adjustRightInd w:val="0"/>
              <w:textAlignment w:val="baseline"/>
              <w:rPr>
                <w:rFonts w:cs="Arial"/>
                <w:sz w:val="18"/>
                <w:szCs w:val="20"/>
                <w:lang w:val="bg-BG"/>
              </w:rPr>
            </w:pPr>
            <w:r w:rsidRPr="009072DA">
              <w:rPr>
                <w:lang w:val="bg-BG"/>
              </w:rPr>
              <w:tab/>
            </w:r>
            <w:r w:rsidRPr="009072DA">
              <w:rPr>
                <w:sz w:val="16"/>
                <w:lang w:val="bg-BG"/>
              </w:rPr>
              <w:t>(Място)</w:t>
            </w:r>
            <w:r w:rsidRPr="009072DA">
              <w:rPr>
                <w:lang w:val="bg-BG"/>
              </w:rPr>
              <w:tab/>
            </w:r>
            <w:r w:rsidRPr="009072DA">
              <w:rPr>
                <w:sz w:val="16"/>
                <w:lang w:val="bg-BG"/>
              </w:rPr>
              <w:t>(дата)</w:t>
            </w:r>
          </w:p>
          <w:p w:rsidR="009C13A9" w:rsidRPr="009072DA" w:rsidRDefault="009C13A9" w:rsidP="009C13A9">
            <w:pPr>
              <w:tabs>
                <w:tab w:val="left" w:pos="4820"/>
                <w:tab w:val="left" w:leader="dot" w:pos="8505"/>
              </w:tabs>
              <w:overflowPunct w:val="0"/>
              <w:adjustRightInd w:val="0"/>
              <w:spacing w:before="120"/>
              <w:ind w:left="57"/>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1985"/>
                <w:tab w:val="center" w:pos="6662"/>
              </w:tabs>
              <w:overflowPunct w:val="0"/>
              <w:adjustRightInd w:val="0"/>
              <w:textAlignment w:val="baseline"/>
              <w:rPr>
                <w:rFonts w:cs="Arial"/>
                <w:sz w:val="18"/>
                <w:szCs w:val="20"/>
                <w:lang w:val="bg-BG"/>
              </w:rPr>
            </w:pPr>
            <w:r w:rsidRPr="009072DA">
              <w:rPr>
                <w:lang w:val="bg-BG"/>
              </w:rPr>
              <w:tab/>
            </w:r>
            <w:r w:rsidRPr="009072DA">
              <w:rPr>
                <w:sz w:val="16"/>
                <w:lang w:val="bg-BG"/>
              </w:rPr>
              <w:t>Печат</w:t>
            </w:r>
            <w:r w:rsidRPr="009072DA">
              <w:rPr>
                <w:lang w:val="bg-BG"/>
              </w:rPr>
              <w:tab/>
            </w:r>
            <w:r w:rsidRPr="009072DA">
              <w:rPr>
                <w:sz w:val="16"/>
                <w:lang w:val="bg-BG"/>
              </w:rPr>
              <w:t>Контролен орган</w:t>
            </w:r>
          </w:p>
          <w:p w:rsidR="009C13A9" w:rsidRPr="009072DA" w:rsidRDefault="009C13A9" w:rsidP="009C13A9">
            <w:pPr>
              <w:tabs>
                <w:tab w:val="left" w:pos="4820"/>
                <w:tab w:val="left" w:leader="dot" w:pos="8505"/>
              </w:tabs>
              <w:overflowPunct w:val="0"/>
              <w:adjustRightInd w:val="0"/>
              <w:spacing w:before="12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6662"/>
              </w:tabs>
              <w:overflowPunct w:val="0"/>
              <w:adjustRightInd w:val="0"/>
              <w:ind w:left="57"/>
              <w:textAlignment w:val="baseline"/>
              <w:rPr>
                <w:rFonts w:cs="Arial"/>
                <w:sz w:val="16"/>
                <w:szCs w:val="20"/>
                <w:lang w:val="bg-BG"/>
              </w:rPr>
            </w:pPr>
            <w:r w:rsidRPr="009072DA">
              <w:rPr>
                <w:sz w:val="18"/>
                <w:lang w:val="bg-BG"/>
              </w:rPr>
              <w:t>______________________</w:t>
            </w:r>
            <w:r w:rsidRPr="009072DA">
              <w:rPr>
                <w:lang w:val="bg-BG"/>
              </w:rPr>
              <w:tab/>
            </w:r>
            <w:r w:rsidRPr="009072DA">
              <w:rPr>
                <w:sz w:val="16"/>
                <w:lang w:val="bg-BG"/>
              </w:rPr>
              <w:t>(Подпис)</w:t>
            </w:r>
          </w:p>
          <w:p w:rsidR="009C13A9" w:rsidRPr="009072DA"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bg-BG"/>
              </w:rPr>
            </w:pPr>
            <w:r w:rsidRPr="009072DA">
              <w:rPr>
                <w:position w:val="4"/>
                <w:sz w:val="16"/>
                <w:vertAlign w:val="superscript"/>
                <w:lang w:val="bg-BG"/>
              </w:rPr>
              <w:t>*)</w:t>
            </w:r>
            <w:r w:rsidRPr="009072DA">
              <w:rPr>
                <w:lang w:val="bg-BG"/>
              </w:rPr>
              <w:tab/>
            </w:r>
            <w:r w:rsidRPr="009072DA">
              <w:rPr>
                <w:sz w:val="16"/>
                <w:lang w:val="bg-BG"/>
              </w:rPr>
              <w:t>Ненужното се зачерква</w:t>
            </w:r>
          </w:p>
        </w:tc>
      </w:tr>
    </w:tbl>
    <w:p w:rsidR="009C13A9" w:rsidRPr="009072DA" w:rsidRDefault="009C13A9" w:rsidP="009C13A9">
      <w:pPr>
        <w:tabs>
          <w:tab w:val="left" w:leader="dot" w:pos="2835"/>
          <w:tab w:val="left" w:leader="dot" w:pos="7371"/>
        </w:tabs>
        <w:overflowPunct w:val="0"/>
        <w:adjustRightInd w:val="0"/>
        <w:jc w:val="center"/>
        <w:textAlignment w:val="baseline"/>
        <w:rPr>
          <w:rFonts w:cs="Arial"/>
          <w:szCs w:val="20"/>
          <w:lang w:val="bg-BG"/>
        </w:rPr>
        <w:sectPr w:rsidR="009C13A9" w:rsidRPr="009072DA" w:rsidSect="00A50F11">
          <w:headerReference w:type="default" r:id="rId47"/>
          <w:footerReference w:type="default" r:id="rId48"/>
          <w:footnotePr>
            <w:numRestart w:val="eachPage"/>
          </w:footnotePr>
          <w:pgSz w:w="11907" w:h="16840"/>
          <w:pgMar w:top="1191" w:right="1418" w:bottom="1077" w:left="1418" w:header="720" w:footer="720" w:gutter="0"/>
          <w:cols w:space="720"/>
        </w:sectPr>
      </w:pPr>
    </w:p>
    <w:p w:rsidR="009C13A9" w:rsidRPr="009072DA" w:rsidRDefault="00E3172D" w:rsidP="00E3172D">
      <w:pPr>
        <w:tabs>
          <w:tab w:val="left" w:leader="dot" w:pos="2835"/>
          <w:tab w:val="left" w:leader="dot" w:pos="5103"/>
        </w:tabs>
        <w:overflowPunct w:val="0"/>
        <w:adjustRightInd w:val="0"/>
        <w:textAlignment w:val="baseline"/>
        <w:rPr>
          <w:rFonts w:cs="Arial"/>
          <w:szCs w:val="20"/>
          <w:lang w:val="bg-BG"/>
        </w:rPr>
      </w:pPr>
      <w:r w:rsidRPr="009072DA">
        <w:rPr>
          <w:lang w:val="bg-BG"/>
        </w:rPr>
        <w:lastRenderedPageBreak/>
        <w:t xml:space="preserve">Удостоверение на плавателния съд за плаване по вътрешни водни пътища № </w:t>
      </w:r>
      <w:r w:rsidRPr="009072DA">
        <w:rPr>
          <w:lang w:val="bg-BG"/>
        </w:rPr>
        <w:tab/>
        <w:t xml:space="preserve"> на контролния орган </w:t>
      </w:r>
      <w:r w:rsidRPr="009072DA">
        <w:rPr>
          <w:lang w:val="bg-BG"/>
        </w:rPr>
        <w:tab/>
      </w:r>
    </w:p>
    <w:tbl>
      <w:tblPr>
        <w:tblW w:w="9187" w:type="dxa"/>
        <w:jc w:val="center"/>
        <w:tblLayout w:type="fixed"/>
        <w:tblCellMar>
          <w:left w:w="0" w:type="dxa"/>
          <w:right w:w="0" w:type="dxa"/>
        </w:tblCellMar>
        <w:tblLook w:val="0000" w:firstRow="0" w:lastRow="0" w:firstColumn="0" w:lastColumn="0" w:noHBand="0" w:noVBand="0"/>
      </w:tblPr>
      <w:tblGrid>
        <w:gridCol w:w="284"/>
        <w:gridCol w:w="1418"/>
        <w:gridCol w:w="1191"/>
        <w:gridCol w:w="1247"/>
        <w:gridCol w:w="1758"/>
        <w:gridCol w:w="1134"/>
        <w:gridCol w:w="1758"/>
        <w:gridCol w:w="397"/>
      </w:tblGrid>
      <w:tr w:rsidR="009C13A9" w:rsidRPr="008D2440" w:rsidTr="009C13A9">
        <w:trPr>
          <w:cantSplit/>
          <w:jc w:val="center"/>
        </w:trPr>
        <w:tc>
          <w:tcPr>
            <w:tcW w:w="284" w:type="dxa"/>
            <w:tcBorders>
              <w:top w:val="single" w:sz="6" w:space="0" w:color="auto"/>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r w:rsidRPr="009072DA">
              <w:rPr>
                <w:sz w:val="18"/>
                <w:lang w:val="bg-BG"/>
              </w:rPr>
              <w:t>50.</w:t>
            </w:r>
          </w:p>
        </w:tc>
        <w:tc>
          <w:tcPr>
            <w:tcW w:w="8903" w:type="dxa"/>
            <w:gridSpan w:val="7"/>
            <w:tcBorders>
              <w:top w:val="single" w:sz="6" w:space="0" w:color="auto"/>
              <w:right w:val="single" w:sz="6" w:space="0" w:color="auto"/>
            </w:tcBorders>
          </w:tcPr>
          <w:p w:rsidR="009C13A9" w:rsidRPr="009072DA" w:rsidRDefault="009C13A9" w:rsidP="009C13A9">
            <w:pPr>
              <w:tabs>
                <w:tab w:val="left" w:pos="57"/>
                <w:tab w:val="left" w:leader="dot" w:pos="8505"/>
              </w:tabs>
              <w:overflowPunct w:val="0"/>
              <w:adjustRightInd w:val="0"/>
              <w:spacing w:before="120"/>
              <w:textAlignment w:val="baseline"/>
              <w:rPr>
                <w:rFonts w:cs="Arial"/>
                <w:b/>
                <w:sz w:val="18"/>
                <w:szCs w:val="20"/>
                <w:lang w:val="bg-BG"/>
              </w:rPr>
            </w:pPr>
            <w:r w:rsidRPr="009072DA">
              <w:rPr>
                <w:b/>
                <w:sz w:val="18"/>
                <w:lang w:val="bg-BG"/>
              </w:rPr>
              <w:t>Атестация, отнасяща се до уредбата(ите) за втечнен газ</w:t>
            </w:r>
          </w:p>
          <w:p w:rsidR="009C13A9" w:rsidRPr="009072DA" w:rsidRDefault="009C13A9" w:rsidP="009C13A9">
            <w:pPr>
              <w:tabs>
                <w:tab w:val="left" w:pos="57"/>
                <w:tab w:val="left" w:leader="dot" w:pos="8505"/>
              </w:tabs>
              <w:overflowPunct w:val="0"/>
              <w:adjustRightInd w:val="0"/>
              <w:spacing w:before="120"/>
              <w:textAlignment w:val="baseline"/>
              <w:rPr>
                <w:rFonts w:cs="Arial"/>
                <w:sz w:val="18"/>
                <w:szCs w:val="20"/>
                <w:lang w:val="bg-BG"/>
              </w:rPr>
            </w:pPr>
            <w:r w:rsidRPr="009072DA">
              <w:rPr>
                <w:sz w:val="18"/>
                <w:lang w:val="bg-BG"/>
              </w:rPr>
              <w:t>Уредбата(ите) за втечнен газ на борда на плавателното средство е/са била(и) проверена(и) от експерта</w:t>
            </w:r>
            <w:r w:rsidRPr="009072DA">
              <w:rPr>
                <w:position w:val="6"/>
                <w:sz w:val="16"/>
                <w:lang w:val="bg-BG"/>
              </w:rPr>
              <w:t>*)</w:t>
            </w:r>
            <w:r w:rsidRPr="009072DA">
              <w:rPr>
                <w:sz w:val="18"/>
                <w:lang w:val="bg-BG"/>
              </w:rPr>
              <w:t xml:space="preserve"> </w:t>
            </w:r>
            <w:r w:rsidRPr="009072DA">
              <w:rPr>
                <w:lang w:val="bg-BG"/>
              </w:rPr>
              <w:tab/>
            </w:r>
          </w:p>
          <w:p w:rsidR="009C13A9" w:rsidRPr="009072DA" w:rsidRDefault="009C13A9" w:rsidP="009C13A9">
            <w:pPr>
              <w:tabs>
                <w:tab w:val="left" w:leader="dot" w:pos="8505"/>
              </w:tabs>
              <w:overflowPunct w:val="0"/>
              <w:adjustRightInd w:val="0"/>
              <w:spacing w:before="120"/>
              <w:textAlignment w:val="baseline"/>
              <w:rPr>
                <w:rFonts w:cs="Arial"/>
                <w:sz w:val="18"/>
                <w:szCs w:val="20"/>
                <w:lang w:val="bg-BG"/>
              </w:rPr>
            </w:pPr>
            <w:r w:rsidRPr="009072DA">
              <w:rPr>
                <w:lang w:val="bg-BG"/>
              </w:rPr>
              <w:tab/>
            </w:r>
          </w:p>
          <w:p w:rsidR="009C13A9" w:rsidRPr="009072DA" w:rsidRDefault="009C13A9" w:rsidP="009C13A9">
            <w:pPr>
              <w:tabs>
                <w:tab w:val="left" w:pos="57"/>
                <w:tab w:val="left" w:leader="dot" w:pos="5103"/>
                <w:tab w:val="left" w:leader="dot" w:pos="5670"/>
                <w:tab w:val="left" w:leader="dot" w:pos="8505"/>
              </w:tabs>
              <w:overflowPunct w:val="0"/>
              <w:adjustRightInd w:val="0"/>
              <w:spacing w:before="120"/>
              <w:textAlignment w:val="baseline"/>
              <w:rPr>
                <w:rFonts w:cs="Arial"/>
                <w:sz w:val="18"/>
                <w:szCs w:val="20"/>
                <w:lang w:val="bg-BG"/>
              </w:rPr>
            </w:pPr>
            <w:r w:rsidRPr="009072DA">
              <w:rPr>
                <w:sz w:val="18"/>
                <w:lang w:val="bg-BG"/>
              </w:rPr>
              <w:t>и съгласно неговото удостоверение за атестация от дата</w:t>
            </w:r>
            <w:r w:rsidRPr="009072DA">
              <w:rPr>
                <w:lang w:val="bg-BG"/>
              </w:rPr>
              <w:tab/>
            </w:r>
            <w:r w:rsidRPr="009072DA">
              <w:rPr>
                <w:position w:val="6"/>
                <w:sz w:val="16"/>
                <w:lang w:val="bg-BG"/>
              </w:rPr>
              <w:t xml:space="preserve">*) </w:t>
            </w:r>
            <w:r w:rsidRPr="009072DA">
              <w:rPr>
                <w:sz w:val="18"/>
                <w:lang w:val="bg-BG"/>
              </w:rPr>
              <w:t>изпълнява(т) определените условия.</w:t>
            </w:r>
          </w:p>
          <w:p w:rsidR="009C13A9" w:rsidRPr="009072DA" w:rsidRDefault="009C13A9" w:rsidP="009C13A9">
            <w:pPr>
              <w:tabs>
                <w:tab w:val="left" w:pos="57"/>
                <w:tab w:val="left" w:leader="dot" w:pos="5103"/>
                <w:tab w:val="left" w:leader="dot" w:pos="5670"/>
                <w:tab w:val="left" w:leader="dot" w:pos="8505"/>
              </w:tabs>
              <w:overflowPunct w:val="0"/>
              <w:adjustRightInd w:val="0"/>
              <w:spacing w:before="120" w:after="40"/>
              <w:textAlignment w:val="baseline"/>
              <w:rPr>
                <w:rFonts w:cs="Arial"/>
                <w:sz w:val="18"/>
                <w:szCs w:val="20"/>
                <w:lang w:val="bg-BG"/>
              </w:rPr>
            </w:pPr>
            <w:r w:rsidRPr="009072DA">
              <w:rPr>
                <w:sz w:val="18"/>
                <w:lang w:val="bg-BG"/>
              </w:rPr>
              <w:t xml:space="preserve">Уредбата(ите) включва(т) следните съоръжения, консумиращи газ </w:t>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1418" w:type="dxa"/>
            <w:tcBorders>
              <w:top w:val="single" w:sz="6" w:space="0" w:color="auto"/>
              <w:left w:val="single" w:sz="6" w:space="0" w:color="auto"/>
              <w:right w:val="single" w:sz="6" w:space="0" w:color="auto"/>
            </w:tcBorders>
            <w:vAlign w:val="center"/>
          </w:tcPr>
          <w:p w:rsidR="009C13A9" w:rsidRPr="009072DA" w:rsidRDefault="009C13A9" w:rsidP="009C13A9">
            <w:pPr>
              <w:jc w:val="center"/>
              <w:rPr>
                <w:sz w:val="18"/>
                <w:lang w:val="bg-BG"/>
              </w:rPr>
            </w:pPr>
            <w:r w:rsidRPr="009072DA">
              <w:rPr>
                <w:sz w:val="18"/>
                <w:lang w:val="bg-BG"/>
              </w:rPr>
              <w:t>Уредба</w:t>
            </w:r>
          </w:p>
        </w:tc>
        <w:tc>
          <w:tcPr>
            <w:tcW w:w="1191" w:type="dxa"/>
            <w:tcBorders>
              <w:top w:val="single" w:sz="6" w:space="0" w:color="auto"/>
              <w:left w:val="single" w:sz="6" w:space="0" w:color="auto"/>
              <w:right w:val="single" w:sz="6" w:space="0" w:color="auto"/>
            </w:tcBorders>
            <w:vAlign w:val="center"/>
          </w:tcPr>
          <w:p w:rsidR="009C13A9" w:rsidRPr="009072DA" w:rsidRDefault="009C13A9" w:rsidP="009C13A9">
            <w:pPr>
              <w:jc w:val="center"/>
              <w:rPr>
                <w:sz w:val="18"/>
                <w:lang w:val="bg-BG"/>
              </w:rPr>
            </w:pPr>
            <w:r w:rsidRPr="009072DA">
              <w:rPr>
                <w:sz w:val="18"/>
                <w:lang w:val="bg-BG"/>
              </w:rPr>
              <w:t>Сериен №</w:t>
            </w:r>
          </w:p>
        </w:tc>
        <w:tc>
          <w:tcPr>
            <w:tcW w:w="1247" w:type="dxa"/>
            <w:tcBorders>
              <w:top w:val="single" w:sz="6" w:space="0" w:color="auto"/>
              <w:left w:val="single" w:sz="6" w:space="0" w:color="auto"/>
              <w:right w:val="single" w:sz="6" w:space="0" w:color="auto"/>
            </w:tcBorders>
            <w:vAlign w:val="center"/>
          </w:tcPr>
          <w:p w:rsidR="009C13A9" w:rsidRPr="009072DA" w:rsidRDefault="009C13A9" w:rsidP="009C13A9">
            <w:pPr>
              <w:jc w:val="center"/>
              <w:rPr>
                <w:sz w:val="18"/>
                <w:lang w:val="bg-BG"/>
              </w:rPr>
            </w:pPr>
            <w:r w:rsidRPr="009072DA">
              <w:rPr>
                <w:sz w:val="18"/>
                <w:lang w:val="bg-BG"/>
              </w:rPr>
              <w:t>Образец</w:t>
            </w:r>
          </w:p>
        </w:tc>
        <w:tc>
          <w:tcPr>
            <w:tcW w:w="1758" w:type="dxa"/>
            <w:tcBorders>
              <w:top w:val="single" w:sz="6" w:space="0" w:color="auto"/>
              <w:left w:val="single" w:sz="6" w:space="0" w:color="auto"/>
              <w:right w:val="single" w:sz="6" w:space="0" w:color="auto"/>
            </w:tcBorders>
            <w:vAlign w:val="center"/>
          </w:tcPr>
          <w:p w:rsidR="009C13A9" w:rsidRPr="009072DA" w:rsidRDefault="009C13A9" w:rsidP="009C13A9">
            <w:pPr>
              <w:jc w:val="center"/>
              <w:rPr>
                <w:sz w:val="18"/>
                <w:lang w:val="bg-BG"/>
              </w:rPr>
            </w:pPr>
            <w:r w:rsidRPr="009072DA">
              <w:rPr>
                <w:sz w:val="18"/>
                <w:lang w:val="bg-BG"/>
              </w:rPr>
              <w:t>Марка</w:t>
            </w:r>
          </w:p>
        </w:tc>
        <w:tc>
          <w:tcPr>
            <w:tcW w:w="1134" w:type="dxa"/>
            <w:tcBorders>
              <w:top w:val="single" w:sz="6" w:space="0" w:color="auto"/>
              <w:left w:val="single" w:sz="6" w:space="0" w:color="auto"/>
              <w:right w:val="single" w:sz="6" w:space="0" w:color="auto"/>
            </w:tcBorders>
            <w:vAlign w:val="center"/>
          </w:tcPr>
          <w:p w:rsidR="009C13A9" w:rsidRPr="009072DA" w:rsidRDefault="009C13A9" w:rsidP="009C13A9">
            <w:pPr>
              <w:jc w:val="center"/>
              <w:rPr>
                <w:sz w:val="18"/>
                <w:lang w:val="bg-BG"/>
              </w:rPr>
            </w:pPr>
            <w:r w:rsidRPr="009072DA">
              <w:rPr>
                <w:sz w:val="18"/>
                <w:lang w:val="bg-BG"/>
              </w:rPr>
              <w:t>Тип</w:t>
            </w:r>
          </w:p>
        </w:tc>
        <w:tc>
          <w:tcPr>
            <w:tcW w:w="1758" w:type="dxa"/>
            <w:tcBorders>
              <w:top w:val="single" w:sz="6" w:space="0" w:color="auto"/>
              <w:left w:val="single" w:sz="6" w:space="0" w:color="auto"/>
              <w:right w:val="single" w:sz="6" w:space="0" w:color="auto"/>
            </w:tcBorders>
            <w:vAlign w:val="center"/>
          </w:tcPr>
          <w:p w:rsidR="009C13A9" w:rsidRPr="009072DA" w:rsidRDefault="009C13A9" w:rsidP="009C13A9">
            <w:pPr>
              <w:jc w:val="center"/>
              <w:rPr>
                <w:sz w:val="18"/>
                <w:lang w:val="bg-BG"/>
              </w:rPr>
            </w:pPr>
            <w:r w:rsidRPr="009072DA">
              <w:rPr>
                <w:sz w:val="18"/>
                <w:lang w:val="bg-BG"/>
              </w:rPr>
              <w:t xml:space="preserve">Позиция </w:t>
            </w: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141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lang w:val="bg-BG"/>
              </w:rPr>
            </w:pPr>
          </w:p>
        </w:tc>
        <w:tc>
          <w:tcPr>
            <w:tcW w:w="1191" w:type="dxa"/>
            <w:tcBorders>
              <w:top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24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13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141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lang w:val="bg-BG"/>
              </w:rPr>
            </w:pPr>
          </w:p>
        </w:tc>
        <w:tc>
          <w:tcPr>
            <w:tcW w:w="1191" w:type="dxa"/>
            <w:tcBorders>
              <w:top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24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13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1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141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lang w:val="bg-BG"/>
              </w:rPr>
            </w:pPr>
          </w:p>
        </w:tc>
        <w:tc>
          <w:tcPr>
            <w:tcW w:w="1191" w:type="dxa"/>
            <w:tcBorders>
              <w:top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24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13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141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lang w:val="bg-BG"/>
              </w:rPr>
            </w:pPr>
          </w:p>
        </w:tc>
        <w:tc>
          <w:tcPr>
            <w:tcW w:w="1191" w:type="dxa"/>
            <w:tcBorders>
              <w:top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24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13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1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141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lang w:val="bg-BG"/>
              </w:rPr>
            </w:pPr>
          </w:p>
        </w:tc>
        <w:tc>
          <w:tcPr>
            <w:tcW w:w="1191" w:type="dxa"/>
            <w:tcBorders>
              <w:top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24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13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141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lang w:val="bg-BG"/>
              </w:rPr>
            </w:pPr>
          </w:p>
        </w:tc>
        <w:tc>
          <w:tcPr>
            <w:tcW w:w="1191" w:type="dxa"/>
            <w:tcBorders>
              <w:top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24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13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1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141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lang w:val="bg-BG"/>
              </w:rPr>
            </w:pPr>
          </w:p>
        </w:tc>
        <w:tc>
          <w:tcPr>
            <w:tcW w:w="1191" w:type="dxa"/>
            <w:tcBorders>
              <w:top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24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13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141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lang w:val="bg-BG"/>
              </w:rPr>
            </w:pPr>
          </w:p>
        </w:tc>
        <w:tc>
          <w:tcPr>
            <w:tcW w:w="1191" w:type="dxa"/>
            <w:tcBorders>
              <w:top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24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13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1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141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lang w:val="bg-BG"/>
              </w:rPr>
            </w:pPr>
          </w:p>
        </w:tc>
        <w:tc>
          <w:tcPr>
            <w:tcW w:w="1191" w:type="dxa"/>
            <w:tcBorders>
              <w:top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24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13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ind w:left="57" w:hanging="57"/>
              <w:textAlignment w:val="baseline"/>
              <w:rPr>
                <w:rFonts w:cs="Arial"/>
                <w:sz w:val="18"/>
                <w:szCs w:val="20"/>
                <w:lang w:val="bg-BG"/>
              </w:rPr>
            </w:pP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141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lang w:val="bg-BG"/>
              </w:rPr>
            </w:pPr>
          </w:p>
        </w:tc>
        <w:tc>
          <w:tcPr>
            <w:tcW w:w="1191" w:type="dxa"/>
            <w:tcBorders>
              <w:top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24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13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1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141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lang w:val="bg-BG"/>
              </w:rPr>
            </w:pPr>
          </w:p>
        </w:tc>
        <w:tc>
          <w:tcPr>
            <w:tcW w:w="1191" w:type="dxa"/>
            <w:tcBorders>
              <w:top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247"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134"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1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8903" w:type="dxa"/>
            <w:gridSpan w:val="7"/>
            <w:tcBorders>
              <w:bottom w:val="single" w:sz="6" w:space="0" w:color="auto"/>
              <w:right w:val="single" w:sz="6" w:space="0" w:color="auto"/>
            </w:tcBorders>
          </w:tcPr>
          <w:p w:rsidR="009C13A9" w:rsidRPr="009072DA" w:rsidRDefault="009C13A9" w:rsidP="009C13A9">
            <w:pPr>
              <w:tabs>
                <w:tab w:val="left" w:pos="57"/>
                <w:tab w:val="left" w:leader="dot" w:pos="8505"/>
              </w:tabs>
              <w:overflowPunct w:val="0"/>
              <w:adjustRightInd w:val="0"/>
              <w:textAlignment w:val="baseline"/>
              <w:rPr>
                <w:rFonts w:cs="Arial"/>
                <w:sz w:val="18"/>
                <w:szCs w:val="20"/>
                <w:lang w:val="bg-BG"/>
              </w:rPr>
            </w:pPr>
          </w:p>
          <w:p w:rsidR="009C13A9" w:rsidRPr="009072DA" w:rsidRDefault="009C13A9" w:rsidP="009C13A9">
            <w:pPr>
              <w:tabs>
                <w:tab w:val="left" w:pos="57"/>
                <w:tab w:val="left" w:leader="dot" w:pos="8505"/>
              </w:tabs>
              <w:overflowPunct w:val="0"/>
              <w:adjustRightInd w:val="0"/>
              <w:textAlignment w:val="baseline"/>
              <w:rPr>
                <w:rFonts w:cs="Arial"/>
                <w:sz w:val="18"/>
                <w:szCs w:val="20"/>
                <w:lang w:val="bg-BG"/>
              </w:rPr>
            </w:pPr>
            <w:r w:rsidRPr="009072DA">
              <w:rPr>
                <w:sz w:val="18"/>
                <w:lang w:val="bg-BG"/>
              </w:rPr>
              <w:t>Настоящата атестация е валидна до</w:t>
            </w:r>
            <w:r w:rsidRPr="009072DA">
              <w:rPr>
                <w:lang w:val="bg-BG"/>
              </w:rPr>
              <w:tab/>
            </w:r>
          </w:p>
          <w:p w:rsidR="009C13A9" w:rsidRPr="009072DA" w:rsidRDefault="009C13A9" w:rsidP="009C13A9">
            <w:pPr>
              <w:tabs>
                <w:tab w:val="left" w:pos="57"/>
                <w:tab w:val="left" w:leader="dot" w:pos="3969"/>
                <w:tab w:val="left" w:leader="dot" w:pos="6237"/>
                <w:tab w:val="left" w:leader="dot" w:pos="8505"/>
              </w:tabs>
              <w:overflowPunct w:val="0"/>
              <w:adjustRightInd w:val="0"/>
              <w:spacing w:before="120"/>
              <w:ind w:left="57" w:hanging="57"/>
              <w:textAlignment w:val="baseline"/>
              <w:rPr>
                <w:rFonts w:cs="Arial"/>
                <w:sz w:val="18"/>
                <w:szCs w:val="20"/>
                <w:lang w:val="bg-BG"/>
              </w:rPr>
            </w:pPr>
          </w:p>
          <w:p w:rsidR="009C13A9" w:rsidRPr="009072DA" w:rsidRDefault="009C13A9" w:rsidP="009C13A9">
            <w:pPr>
              <w:tabs>
                <w:tab w:val="left" w:leader="dot" w:pos="3969"/>
                <w:tab w:val="left" w:leader="dot" w:pos="6237"/>
                <w:tab w:val="left" w:leader="dot" w:pos="8505"/>
              </w:tabs>
              <w:overflowPunct w:val="0"/>
              <w:adjustRightInd w:val="0"/>
              <w:spacing w:before="120"/>
              <w:textAlignment w:val="baseline"/>
              <w:rPr>
                <w:rFonts w:cs="Arial"/>
                <w:sz w:val="18"/>
                <w:szCs w:val="20"/>
                <w:lang w:val="bg-BG"/>
              </w:rPr>
            </w:pPr>
            <w:r w:rsidRPr="009072DA">
              <w:rPr>
                <w:lang w:val="bg-BG"/>
              </w:rPr>
              <w:tab/>
            </w:r>
            <w:r w:rsidRPr="009072DA">
              <w:rPr>
                <w:sz w:val="18"/>
                <w:lang w:val="bg-BG"/>
              </w:rPr>
              <w:t xml:space="preserve">, </w:t>
            </w:r>
            <w:r w:rsidRPr="009072DA">
              <w:rPr>
                <w:lang w:val="bg-BG"/>
              </w:rPr>
              <w:tab/>
            </w:r>
          </w:p>
          <w:p w:rsidR="009C13A9" w:rsidRPr="009072DA" w:rsidRDefault="009C13A9" w:rsidP="009C13A9">
            <w:pPr>
              <w:tabs>
                <w:tab w:val="left" w:pos="57"/>
                <w:tab w:val="center" w:pos="5302"/>
                <w:tab w:val="left" w:leader="dot" w:pos="6237"/>
                <w:tab w:val="left" w:leader="dot" w:pos="8505"/>
              </w:tabs>
              <w:overflowPunct w:val="0"/>
              <w:adjustRightInd w:val="0"/>
              <w:textAlignment w:val="baseline"/>
              <w:rPr>
                <w:rFonts w:cs="Arial"/>
                <w:sz w:val="18"/>
                <w:szCs w:val="20"/>
                <w:lang w:val="bg-BG"/>
              </w:rPr>
            </w:pPr>
            <w:r w:rsidRPr="009072DA">
              <w:rPr>
                <w:sz w:val="16"/>
                <w:lang w:val="bg-BG"/>
              </w:rPr>
              <w:t>(Място)</w:t>
            </w:r>
            <w:r w:rsidRPr="009072DA">
              <w:rPr>
                <w:lang w:val="bg-BG"/>
              </w:rPr>
              <w:tab/>
            </w:r>
            <w:r w:rsidRPr="009072DA">
              <w:rPr>
                <w:sz w:val="16"/>
                <w:lang w:val="bg-BG"/>
              </w:rPr>
              <w:t>(Дата)</w:t>
            </w:r>
          </w:p>
          <w:p w:rsidR="009C13A9" w:rsidRPr="009072DA" w:rsidRDefault="009C13A9" w:rsidP="009C13A9">
            <w:pPr>
              <w:tabs>
                <w:tab w:val="left" w:pos="57"/>
                <w:tab w:val="left" w:leader="dot" w:pos="8505"/>
              </w:tabs>
              <w:overflowPunct w:val="0"/>
              <w:adjustRightInd w:val="0"/>
              <w:ind w:left="57" w:hanging="57"/>
              <w:textAlignment w:val="baseline"/>
              <w:rPr>
                <w:rFonts w:cs="Arial"/>
                <w:sz w:val="18"/>
                <w:szCs w:val="20"/>
                <w:lang w:val="bg-BG"/>
              </w:rPr>
            </w:pPr>
          </w:p>
          <w:p w:rsidR="009C13A9" w:rsidRPr="009072DA" w:rsidRDefault="009C13A9" w:rsidP="009C13A9">
            <w:pPr>
              <w:tabs>
                <w:tab w:val="left" w:pos="3402"/>
                <w:tab w:val="left" w:leader="dot" w:pos="8505"/>
              </w:tabs>
              <w:overflowPunct w:val="0"/>
              <w:adjustRightInd w:val="0"/>
              <w:spacing w:before="12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5869"/>
                <w:tab w:val="left" w:leader="dot" w:pos="8505"/>
              </w:tabs>
              <w:overflowPunct w:val="0"/>
              <w:adjustRightInd w:val="0"/>
              <w:textAlignment w:val="baseline"/>
              <w:rPr>
                <w:rFonts w:cs="Arial"/>
                <w:sz w:val="18"/>
                <w:szCs w:val="20"/>
                <w:lang w:val="bg-BG"/>
              </w:rPr>
            </w:pPr>
            <w:r w:rsidRPr="009072DA">
              <w:rPr>
                <w:lang w:val="bg-BG"/>
              </w:rPr>
              <w:tab/>
            </w:r>
            <w:r w:rsidRPr="009072DA">
              <w:rPr>
                <w:sz w:val="16"/>
                <w:lang w:val="bg-BG"/>
              </w:rPr>
              <w:t>Контролен орган</w:t>
            </w:r>
          </w:p>
          <w:p w:rsidR="009C13A9" w:rsidRPr="009072DA" w:rsidRDefault="009C13A9" w:rsidP="009C13A9">
            <w:pPr>
              <w:tabs>
                <w:tab w:val="left" w:pos="57"/>
                <w:tab w:val="left" w:pos="3402"/>
                <w:tab w:val="left" w:leader="dot" w:pos="8505"/>
              </w:tabs>
              <w:overflowPunct w:val="0"/>
              <w:adjustRightInd w:val="0"/>
              <w:spacing w:before="120"/>
              <w:ind w:left="57" w:hanging="57"/>
              <w:textAlignment w:val="baseline"/>
              <w:rPr>
                <w:rFonts w:cs="Arial"/>
                <w:sz w:val="18"/>
                <w:szCs w:val="20"/>
                <w:lang w:val="bg-BG"/>
              </w:rPr>
            </w:pPr>
          </w:p>
          <w:p w:rsidR="009C13A9" w:rsidRPr="009072DA" w:rsidRDefault="009C13A9" w:rsidP="009C13A9">
            <w:pPr>
              <w:tabs>
                <w:tab w:val="left" w:pos="57"/>
                <w:tab w:val="center" w:pos="2326"/>
                <w:tab w:val="left" w:pos="3402"/>
                <w:tab w:val="left" w:leader="dot" w:pos="8505"/>
              </w:tabs>
              <w:overflowPunct w:val="0"/>
              <w:adjustRightInd w:val="0"/>
              <w:spacing w:before="120"/>
              <w:ind w:left="57" w:hanging="57"/>
              <w:textAlignment w:val="baseline"/>
              <w:rPr>
                <w:rFonts w:cs="Arial"/>
                <w:sz w:val="16"/>
                <w:szCs w:val="16"/>
                <w:lang w:val="bg-BG"/>
              </w:rPr>
            </w:pPr>
            <w:r w:rsidRPr="009072DA">
              <w:rPr>
                <w:lang w:val="bg-BG"/>
              </w:rPr>
              <w:tab/>
            </w:r>
            <w:r w:rsidRPr="009072DA">
              <w:rPr>
                <w:lang w:val="bg-BG"/>
              </w:rPr>
              <w:tab/>
            </w:r>
            <w:r w:rsidRPr="009072DA">
              <w:rPr>
                <w:sz w:val="16"/>
                <w:lang w:val="bg-BG"/>
              </w:rPr>
              <w:t>Печат</w:t>
            </w:r>
            <w:r w:rsidRPr="009072DA">
              <w:rPr>
                <w:lang w:val="bg-BG"/>
              </w:rPr>
              <w:tab/>
            </w:r>
            <w:r w:rsidRPr="009072DA">
              <w:rPr>
                <w:lang w:val="bg-BG"/>
              </w:rPr>
              <w:tab/>
            </w:r>
          </w:p>
          <w:p w:rsidR="009C13A9" w:rsidRPr="009072DA" w:rsidRDefault="009C13A9" w:rsidP="009C13A9">
            <w:pPr>
              <w:tabs>
                <w:tab w:val="left" w:pos="57"/>
                <w:tab w:val="left" w:pos="5670"/>
                <w:tab w:val="left" w:leader="dot" w:pos="8505"/>
              </w:tabs>
              <w:overflowPunct w:val="0"/>
              <w:adjustRightInd w:val="0"/>
              <w:ind w:left="57" w:hanging="57"/>
              <w:textAlignment w:val="baseline"/>
              <w:rPr>
                <w:rFonts w:cs="Arial"/>
                <w:sz w:val="18"/>
                <w:szCs w:val="20"/>
                <w:lang w:val="bg-BG"/>
              </w:rPr>
            </w:pPr>
            <w:r w:rsidRPr="009072DA">
              <w:rPr>
                <w:lang w:val="bg-BG"/>
              </w:rPr>
              <w:tab/>
            </w:r>
            <w:r w:rsidRPr="009072DA">
              <w:rPr>
                <w:lang w:val="bg-BG"/>
              </w:rPr>
              <w:tab/>
            </w:r>
            <w:r w:rsidRPr="009072DA">
              <w:rPr>
                <w:sz w:val="16"/>
                <w:lang w:val="bg-BG"/>
              </w:rPr>
              <w:t>(Подпис)</w:t>
            </w:r>
          </w:p>
          <w:p w:rsidR="009C13A9" w:rsidRPr="009072DA" w:rsidRDefault="009C13A9" w:rsidP="009C13A9">
            <w:pPr>
              <w:tabs>
                <w:tab w:val="left" w:pos="57"/>
                <w:tab w:val="left" w:pos="5103"/>
              </w:tabs>
              <w:overflowPunct w:val="0"/>
              <w:adjustRightInd w:val="0"/>
              <w:textAlignment w:val="baseline"/>
              <w:rPr>
                <w:rFonts w:cs="Arial"/>
                <w:sz w:val="18"/>
                <w:szCs w:val="20"/>
                <w:lang w:val="bg-BG"/>
              </w:rPr>
            </w:pPr>
          </w:p>
          <w:p w:rsidR="009C13A9" w:rsidRPr="009072DA" w:rsidRDefault="009C13A9" w:rsidP="009C13A9">
            <w:pPr>
              <w:tabs>
                <w:tab w:val="left" w:pos="57"/>
                <w:tab w:val="left" w:pos="5103"/>
              </w:tabs>
              <w:overflowPunct w:val="0"/>
              <w:adjustRightInd w:val="0"/>
              <w:spacing w:after="120"/>
              <w:textAlignment w:val="baseline"/>
              <w:rPr>
                <w:rFonts w:cs="Arial"/>
                <w:sz w:val="18"/>
                <w:szCs w:val="20"/>
                <w:lang w:val="bg-BG"/>
              </w:rPr>
            </w:pPr>
          </w:p>
        </w:tc>
      </w:tr>
      <w:tr w:rsidR="009C13A9" w:rsidRPr="008D2440"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s>
              <w:overflowPunct w:val="0"/>
              <w:adjustRightInd w:val="0"/>
              <w:spacing w:before="80"/>
              <w:textAlignment w:val="baseline"/>
              <w:rPr>
                <w:rFonts w:cs="Arial"/>
                <w:sz w:val="18"/>
                <w:szCs w:val="20"/>
                <w:lang w:val="bg-BG"/>
              </w:rPr>
            </w:pPr>
            <w:r w:rsidRPr="009072DA">
              <w:rPr>
                <w:lang w:val="bg-BG"/>
              </w:rPr>
              <w:tab/>
            </w:r>
            <w:r w:rsidRPr="009072DA">
              <w:rPr>
                <w:sz w:val="18"/>
                <w:lang w:val="bg-BG"/>
              </w:rPr>
              <w:t>*)</w:t>
            </w:r>
            <w:r w:rsidRPr="009072DA">
              <w:rPr>
                <w:rFonts w:cs="Arial"/>
                <w:sz w:val="18"/>
                <w:szCs w:val="20"/>
                <w:lang w:val="bg-BG"/>
              </w:rPr>
              <w:br/>
            </w:r>
            <w:r w:rsidRPr="009072DA">
              <w:rPr>
                <w:rFonts w:cs="Arial"/>
                <w:sz w:val="18"/>
                <w:szCs w:val="20"/>
                <w:lang w:val="bg-BG"/>
              </w:rPr>
              <w:br/>
            </w:r>
          </w:p>
          <w:p w:rsidR="009C13A9" w:rsidRPr="009072DA" w:rsidRDefault="009C13A9" w:rsidP="009C13A9">
            <w:pPr>
              <w:tabs>
                <w:tab w:val="left" w:pos="57"/>
              </w:tabs>
              <w:overflowPunct w:val="0"/>
              <w:adjustRightInd w:val="0"/>
              <w:spacing w:before="80"/>
              <w:textAlignment w:val="baseline"/>
              <w:rPr>
                <w:rFonts w:cs="Arial"/>
                <w:sz w:val="18"/>
                <w:szCs w:val="20"/>
                <w:lang w:val="bg-BG"/>
              </w:rPr>
            </w:pPr>
          </w:p>
          <w:p w:rsidR="009C13A9" w:rsidRPr="009072DA" w:rsidRDefault="009C13A9" w:rsidP="009C13A9">
            <w:pPr>
              <w:tabs>
                <w:tab w:val="left" w:pos="57"/>
              </w:tabs>
              <w:overflowPunct w:val="0"/>
              <w:adjustRightInd w:val="0"/>
              <w:spacing w:before="160"/>
              <w:textAlignment w:val="baseline"/>
              <w:rPr>
                <w:rFonts w:cs="Arial"/>
                <w:sz w:val="18"/>
                <w:szCs w:val="20"/>
                <w:lang w:val="bg-BG"/>
              </w:rPr>
            </w:pPr>
            <w:r w:rsidRPr="009072DA">
              <w:rPr>
                <w:lang w:val="bg-BG"/>
              </w:rPr>
              <w:tab/>
            </w:r>
            <w:r w:rsidRPr="009072DA">
              <w:rPr>
                <w:sz w:val="18"/>
                <w:lang w:val="bg-BG"/>
              </w:rPr>
              <w:t>*)</w:t>
            </w:r>
          </w:p>
        </w:tc>
        <w:tc>
          <w:tcPr>
            <w:tcW w:w="8903" w:type="dxa"/>
            <w:gridSpan w:val="7"/>
            <w:tcBorders>
              <w:bottom w:val="single" w:sz="6" w:space="0" w:color="auto"/>
              <w:right w:val="single" w:sz="6" w:space="0" w:color="auto"/>
            </w:tcBorders>
          </w:tcPr>
          <w:p w:rsidR="009C13A9" w:rsidRPr="009072DA"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bg-BG"/>
              </w:rPr>
            </w:pPr>
            <w:r w:rsidRPr="009072DA">
              <w:rPr>
                <w:sz w:val="18"/>
                <w:lang w:val="bg-BG"/>
              </w:rPr>
              <w:t>Изменение на точка(и): ....................</w:t>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sz w:val="18"/>
                <w:lang w:val="bg-BG"/>
              </w:rPr>
              <w:t>Нов текст:</w:t>
            </w:r>
            <w:r w:rsidRPr="009072DA">
              <w:rPr>
                <w:lang w:val="bg-BG"/>
              </w:rPr>
              <w:tab/>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lang w:val="bg-BG"/>
              </w:rPr>
              <w:tab/>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lang w:val="bg-BG"/>
              </w:rPr>
              <w:tab/>
            </w:r>
          </w:p>
          <w:p w:rsidR="009C13A9" w:rsidRPr="009072D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bg-BG"/>
              </w:rPr>
            </w:pPr>
            <w:r w:rsidRPr="009072DA">
              <w:rPr>
                <w:sz w:val="18"/>
                <w:lang w:val="bg-BG"/>
              </w:rPr>
              <w:t>Тази страница е заменена.</w:t>
            </w:r>
          </w:p>
          <w:p w:rsidR="009C13A9" w:rsidRPr="009072D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bg-BG"/>
              </w:rPr>
            </w:pPr>
            <w:r w:rsidRPr="009072DA">
              <w:rPr>
                <w:sz w:val="18"/>
                <w:lang w:val="bg-BG"/>
              </w:rPr>
              <w:t xml:space="preserve">Място, дата </w:t>
            </w:r>
            <w:r w:rsidRPr="009072DA">
              <w:rPr>
                <w:lang w:val="bg-BG"/>
              </w:rPr>
              <w:tab/>
            </w:r>
            <w:r w:rsidRPr="009072DA">
              <w:rPr>
                <w:lang w:val="bg-BG"/>
              </w:rPr>
              <w:tab/>
            </w:r>
            <w:r w:rsidRPr="009072DA">
              <w:rPr>
                <w:sz w:val="18"/>
                <w:lang w:val="bg-BG"/>
              </w:rPr>
              <w:t>Контролен орган</w:t>
            </w:r>
          </w:p>
          <w:p w:rsidR="009C13A9" w:rsidRPr="009072DA" w:rsidRDefault="009C13A9" w:rsidP="009C13A9">
            <w:pPr>
              <w:tabs>
                <w:tab w:val="left" w:pos="5103"/>
                <w:tab w:val="left" w:leader="dot" w:pos="8505"/>
              </w:tabs>
              <w:overflowPunct w:val="0"/>
              <w:adjustRightInd w:val="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1701"/>
              </w:tabs>
              <w:overflowPunct w:val="0"/>
              <w:adjustRightInd w:val="0"/>
              <w:spacing w:after="80"/>
              <w:textAlignment w:val="baseline"/>
              <w:rPr>
                <w:rFonts w:cs="Arial"/>
                <w:sz w:val="18"/>
                <w:szCs w:val="20"/>
                <w:lang w:val="bg-BG"/>
              </w:rPr>
            </w:pPr>
            <w:r w:rsidRPr="009072DA">
              <w:rPr>
                <w:lang w:val="bg-BG"/>
              </w:rPr>
              <w:tab/>
            </w:r>
            <w:r w:rsidRPr="009072DA">
              <w:rPr>
                <w:sz w:val="18"/>
                <w:lang w:val="bg-BG"/>
              </w:rPr>
              <w:t>Печат</w:t>
            </w:r>
          </w:p>
          <w:p w:rsidR="009C13A9" w:rsidRPr="009072DA" w:rsidRDefault="009C13A9" w:rsidP="009C13A9">
            <w:pPr>
              <w:tabs>
                <w:tab w:val="left" w:pos="5103"/>
                <w:tab w:val="left" w:leader="dot" w:pos="8505"/>
              </w:tabs>
              <w:overflowPunct w:val="0"/>
              <w:adjustRightInd w:val="0"/>
              <w:textAlignment w:val="baseline"/>
              <w:rPr>
                <w:rFonts w:cs="Arial"/>
                <w:szCs w:val="20"/>
                <w:lang w:val="bg-BG"/>
              </w:rPr>
            </w:pPr>
            <w:r w:rsidRPr="009072DA">
              <w:rPr>
                <w:lang w:val="bg-BG"/>
              </w:rPr>
              <w:tab/>
            </w:r>
            <w:r w:rsidRPr="009072DA">
              <w:rPr>
                <w:lang w:val="bg-BG"/>
              </w:rPr>
              <w:tab/>
            </w:r>
          </w:p>
          <w:p w:rsidR="009C13A9" w:rsidRPr="009072DA" w:rsidRDefault="009C13A9" w:rsidP="009C13A9">
            <w:pPr>
              <w:tabs>
                <w:tab w:val="center" w:pos="6862"/>
              </w:tabs>
              <w:overflowPunct w:val="0"/>
              <w:adjustRightInd w:val="0"/>
              <w:textAlignment w:val="baseline"/>
              <w:rPr>
                <w:rFonts w:cs="Arial"/>
                <w:sz w:val="16"/>
                <w:szCs w:val="20"/>
                <w:lang w:val="bg-BG"/>
              </w:rPr>
            </w:pPr>
            <w:r w:rsidRPr="009072DA">
              <w:rPr>
                <w:lang w:val="bg-BG"/>
              </w:rPr>
              <w:tab/>
            </w:r>
            <w:r w:rsidRPr="009072DA">
              <w:rPr>
                <w:sz w:val="16"/>
                <w:lang w:val="bg-BG"/>
              </w:rPr>
              <w:t>(Подпис)</w:t>
            </w:r>
          </w:p>
          <w:p w:rsidR="009C13A9" w:rsidRPr="009072D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bg-BG"/>
              </w:rPr>
            </w:pPr>
            <w:r w:rsidRPr="009072DA">
              <w:rPr>
                <w:sz w:val="18"/>
                <w:lang w:val="bg-BG"/>
              </w:rPr>
              <w:t>_______________________</w:t>
            </w:r>
          </w:p>
          <w:p w:rsidR="009C13A9" w:rsidRPr="009072DA" w:rsidRDefault="009C13A9" w:rsidP="009C13A9">
            <w:pPr>
              <w:tabs>
                <w:tab w:val="left" w:pos="284"/>
              </w:tabs>
              <w:overflowPunct w:val="0"/>
              <w:adjustRightInd w:val="0"/>
              <w:spacing w:after="40"/>
              <w:ind w:left="57"/>
              <w:textAlignment w:val="baseline"/>
              <w:rPr>
                <w:rFonts w:cs="Arial"/>
                <w:sz w:val="18"/>
                <w:szCs w:val="20"/>
                <w:lang w:val="bg-BG"/>
              </w:rPr>
            </w:pPr>
            <w:r w:rsidRPr="009072DA">
              <w:rPr>
                <w:position w:val="4"/>
                <w:sz w:val="16"/>
                <w:lang w:val="bg-BG"/>
              </w:rPr>
              <w:t>*)</w:t>
            </w:r>
            <w:r w:rsidRPr="009072DA">
              <w:rPr>
                <w:lang w:val="bg-BG"/>
              </w:rPr>
              <w:tab/>
            </w:r>
            <w:r w:rsidRPr="009072DA">
              <w:rPr>
                <w:sz w:val="16"/>
                <w:lang w:val="bg-BG"/>
              </w:rPr>
              <w:t>Ненужното се зачерква</w:t>
            </w:r>
          </w:p>
        </w:tc>
      </w:tr>
    </w:tbl>
    <w:p w:rsidR="009C13A9" w:rsidRPr="009072DA" w:rsidRDefault="009C13A9" w:rsidP="009C13A9">
      <w:pPr>
        <w:overflowPunct w:val="0"/>
        <w:adjustRightInd w:val="0"/>
        <w:textAlignment w:val="baseline"/>
        <w:rPr>
          <w:rFonts w:cs="Arial"/>
          <w:szCs w:val="20"/>
          <w:lang w:val="bg-BG"/>
        </w:rPr>
      </w:pPr>
    </w:p>
    <w:p w:rsidR="009C13A9" w:rsidRPr="009072DA" w:rsidRDefault="009C13A9" w:rsidP="00E3172D">
      <w:pPr>
        <w:tabs>
          <w:tab w:val="left" w:leader="dot" w:pos="2835"/>
          <w:tab w:val="left" w:leader="dot" w:pos="5103"/>
        </w:tabs>
        <w:overflowPunct w:val="0"/>
        <w:adjustRightInd w:val="0"/>
        <w:textAlignment w:val="baseline"/>
        <w:rPr>
          <w:rFonts w:cs="Arial"/>
          <w:szCs w:val="20"/>
          <w:lang w:val="bg-BG"/>
        </w:rPr>
      </w:pPr>
      <w:r w:rsidRPr="009072DA">
        <w:rPr>
          <w:lang w:val="bg-BG"/>
        </w:rPr>
        <w:br w:type="page"/>
      </w:r>
      <w:r w:rsidRPr="009072DA">
        <w:rPr>
          <w:lang w:val="bg-BG"/>
        </w:rPr>
        <w:lastRenderedPageBreak/>
        <w:t xml:space="preserve">Удостоверение на плавателния съд за плаване по вътрешни водни пътища № </w:t>
      </w:r>
      <w:r w:rsidRPr="009072DA">
        <w:rPr>
          <w:lang w:val="bg-BG"/>
        </w:rPr>
        <w:tab/>
        <w:t xml:space="preserve"> на контролния орган </w:t>
      </w:r>
      <w:r w:rsidRPr="009072DA">
        <w:rPr>
          <w:lang w:val="bg-BG"/>
        </w:rPr>
        <w:tab/>
      </w:r>
    </w:p>
    <w:tbl>
      <w:tblPr>
        <w:tblW w:w="0" w:type="auto"/>
        <w:jc w:val="center"/>
        <w:tblLayout w:type="fixed"/>
        <w:tblCellMar>
          <w:left w:w="0" w:type="dxa"/>
          <w:right w:w="0" w:type="dxa"/>
        </w:tblCellMar>
        <w:tblLook w:val="0000" w:firstRow="0" w:lastRow="0" w:firstColumn="0" w:lastColumn="0" w:noHBand="0" w:noVBand="0"/>
      </w:tblPr>
      <w:tblGrid>
        <w:gridCol w:w="284"/>
        <w:gridCol w:w="8902"/>
      </w:tblGrid>
      <w:tr w:rsidR="009C13A9" w:rsidRPr="009072DA"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r w:rsidRPr="009072DA">
              <w:rPr>
                <w:sz w:val="18"/>
                <w:lang w:val="bg-BG"/>
              </w:rPr>
              <w:t>51.</w:t>
            </w:r>
          </w:p>
        </w:tc>
        <w:tc>
          <w:tcPr>
            <w:tcW w:w="8902" w:type="dxa"/>
            <w:tcBorders>
              <w:top w:val="single" w:sz="6" w:space="0" w:color="auto"/>
              <w:bottom w:val="single" w:sz="6" w:space="0" w:color="auto"/>
              <w:right w:val="single" w:sz="6" w:space="0" w:color="auto"/>
            </w:tcBorders>
          </w:tcPr>
          <w:p w:rsidR="009C13A9" w:rsidRPr="009072DA" w:rsidRDefault="009C13A9" w:rsidP="009C13A9">
            <w:pPr>
              <w:tabs>
                <w:tab w:val="left" w:leader="dot" w:pos="8505"/>
              </w:tabs>
              <w:overflowPunct w:val="0"/>
              <w:adjustRightInd w:val="0"/>
              <w:spacing w:before="120"/>
              <w:ind w:left="114" w:hanging="57"/>
              <w:textAlignment w:val="baseline"/>
              <w:rPr>
                <w:rFonts w:cs="Arial"/>
                <w:b/>
                <w:position w:val="6"/>
                <w:sz w:val="16"/>
                <w:szCs w:val="20"/>
                <w:lang w:val="bg-BG"/>
              </w:rPr>
            </w:pPr>
            <w:r w:rsidRPr="009072DA">
              <w:rPr>
                <w:b/>
                <w:sz w:val="18"/>
                <w:lang w:val="bg-BG"/>
              </w:rPr>
              <w:t>Удължаване на атестацията, отнасяща се за уредбата(ите) за втечнен газ</w:t>
            </w:r>
          </w:p>
          <w:p w:rsidR="009C13A9" w:rsidRPr="009072DA" w:rsidRDefault="009C13A9" w:rsidP="009C13A9">
            <w:pPr>
              <w:tabs>
                <w:tab w:val="left" w:leader="dot" w:pos="4453"/>
                <w:tab w:val="left" w:leader="dot" w:pos="8505"/>
              </w:tabs>
              <w:overflowPunct w:val="0"/>
              <w:adjustRightInd w:val="0"/>
              <w:spacing w:after="120"/>
              <w:ind w:left="114" w:hanging="57"/>
              <w:textAlignment w:val="baseline"/>
              <w:rPr>
                <w:rFonts w:cs="Arial"/>
                <w:sz w:val="18"/>
                <w:szCs w:val="20"/>
                <w:lang w:val="bg-BG"/>
              </w:rPr>
            </w:pPr>
            <w:r w:rsidRPr="009072DA">
              <w:rPr>
                <w:sz w:val="18"/>
                <w:lang w:val="bg-BG"/>
              </w:rPr>
              <w:t>Срокът на атестацията, която се отнася за уредбата(ите) за втечнен газ</w:t>
            </w:r>
          </w:p>
          <w:p w:rsidR="009C13A9" w:rsidRPr="009072DA" w:rsidRDefault="009C13A9" w:rsidP="009C13A9">
            <w:pPr>
              <w:tabs>
                <w:tab w:val="left" w:leader="dot" w:pos="4453"/>
                <w:tab w:val="left" w:leader="dot" w:pos="8505"/>
              </w:tabs>
              <w:overflowPunct w:val="0"/>
              <w:adjustRightInd w:val="0"/>
              <w:spacing w:after="120"/>
              <w:ind w:left="114" w:hanging="57"/>
              <w:textAlignment w:val="baseline"/>
              <w:rPr>
                <w:rFonts w:cs="Arial"/>
                <w:sz w:val="18"/>
                <w:szCs w:val="20"/>
                <w:lang w:val="bg-BG"/>
              </w:rPr>
            </w:pPr>
            <w:r w:rsidRPr="009072DA">
              <w:rPr>
                <w:sz w:val="18"/>
                <w:lang w:val="bg-BG"/>
              </w:rPr>
              <w:t>от дата</w:t>
            </w:r>
            <w:r w:rsidRPr="009072DA">
              <w:rPr>
                <w:lang w:val="bg-BG"/>
              </w:rPr>
              <w:tab/>
            </w:r>
            <w:r w:rsidRPr="009072DA">
              <w:rPr>
                <w:sz w:val="18"/>
                <w:lang w:val="bg-BG"/>
              </w:rPr>
              <w:t xml:space="preserve"> валиден до</w:t>
            </w:r>
            <w:r w:rsidRPr="009072DA">
              <w:rPr>
                <w:lang w:val="bg-BG"/>
              </w:rPr>
              <w:tab/>
            </w:r>
            <w:r w:rsidRPr="009072DA">
              <w:rPr>
                <w:sz w:val="18"/>
                <w:lang w:val="bg-BG"/>
              </w:rPr>
              <w:t xml:space="preserve"> </w:t>
            </w:r>
          </w:p>
          <w:p w:rsidR="009C13A9" w:rsidRPr="009072DA" w:rsidRDefault="009C13A9" w:rsidP="009C13A9">
            <w:pPr>
              <w:tabs>
                <w:tab w:val="left" w:pos="227"/>
                <w:tab w:val="left" w:leader="dot" w:pos="8505"/>
              </w:tabs>
              <w:overflowPunct w:val="0"/>
              <w:adjustRightInd w:val="0"/>
              <w:spacing w:after="120"/>
              <w:ind w:left="114" w:hanging="57"/>
              <w:textAlignment w:val="baseline"/>
              <w:rPr>
                <w:rFonts w:cs="Arial"/>
                <w:sz w:val="18"/>
                <w:szCs w:val="20"/>
                <w:lang w:val="bg-BG"/>
              </w:rPr>
            </w:pPr>
            <w:r w:rsidRPr="009072DA">
              <w:rPr>
                <w:sz w:val="18"/>
                <w:lang w:val="bg-BG"/>
              </w:rPr>
              <w:t>се удължава</w:t>
            </w:r>
          </w:p>
          <w:p w:rsidR="009C13A9" w:rsidRPr="009072DA" w:rsidRDefault="009C13A9" w:rsidP="009C13A9">
            <w:pPr>
              <w:tabs>
                <w:tab w:val="left" w:pos="227"/>
                <w:tab w:val="left" w:leader="dot" w:pos="8505"/>
              </w:tabs>
              <w:overflowPunct w:val="0"/>
              <w:adjustRightInd w:val="0"/>
              <w:spacing w:after="100"/>
              <w:ind w:left="114" w:hanging="57"/>
              <w:textAlignment w:val="baseline"/>
              <w:rPr>
                <w:rFonts w:cs="Arial"/>
                <w:sz w:val="18"/>
                <w:szCs w:val="20"/>
                <w:lang w:val="bg-BG"/>
              </w:rPr>
            </w:pPr>
            <w:r w:rsidRPr="009072DA">
              <w:rPr>
                <w:sz w:val="18"/>
                <w:lang w:val="bg-BG"/>
              </w:rPr>
              <w:t>-</w:t>
            </w:r>
            <w:r w:rsidRPr="009072DA">
              <w:rPr>
                <w:lang w:val="bg-BG"/>
              </w:rPr>
              <w:tab/>
            </w:r>
            <w:r w:rsidRPr="009072DA">
              <w:rPr>
                <w:sz w:val="18"/>
                <w:lang w:val="bg-BG"/>
              </w:rPr>
              <w:t>след периодичната проверка от експерт</w:t>
            </w:r>
            <w:r w:rsidRPr="009072DA">
              <w:rPr>
                <w:lang w:val="bg-BG"/>
              </w:rPr>
              <w:tab/>
            </w:r>
          </w:p>
          <w:p w:rsidR="009C13A9" w:rsidRPr="009072DA" w:rsidRDefault="009C13A9" w:rsidP="009C13A9">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lang w:val="bg-BG"/>
              </w:rPr>
            </w:pPr>
            <w:r w:rsidRPr="009072DA">
              <w:rPr>
                <w:sz w:val="18"/>
                <w:lang w:val="bg-BG"/>
              </w:rPr>
              <w:t>-</w:t>
            </w:r>
            <w:r w:rsidRPr="009072DA">
              <w:rPr>
                <w:lang w:val="bg-BG"/>
              </w:rPr>
              <w:tab/>
            </w:r>
            <w:r w:rsidRPr="009072DA">
              <w:rPr>
                <w:sz w:val="18"/>
                <w:lang w:val="bg-BG"/>
              </w:rPr>
              <w:t>при представяне на удостоверението за атестация от</w:t>
            </w:r>
            <w:r w:rsidRPr="009072DA">
              <w:rPr>
                <w:lang w:val="bg-BG"/>
              </w:rPr>
              <w:tab/>
            </w:r>
            <w:r w:rsidRPr="009072DA">
              <w:rPr>
                <w:sz w:val="18"/>
                <w:lang w:val="bg-BG"/>
              </w:rPr>
              <w:t xml:space="preserve"> </w:t>
            </w:r>
            <w:r w:rsidRPr="009072DA">
              <w:rPr>
                <w:lang w:val="bg-BG"/>
              </w:rPr>
              <w:tab/>
            </w:r>
          </w:p>
          <w:p w:rsidR="009C13A9" w:rsidRPr="009072DA" w:rsidRDefault="009C13A9" w:rsidP="009C13A9">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lang w:val="bg-BG"/>
              </w:rPr>
            </w:pPr>
            <w:r w:rsidRPr="009072DA">
              <w:rPr>
                <w:sz w:val="18"/>
                <w:lang w:val="bg-BG"/>
              </w:rPr>
              <w:t xml:space="preserve">до </w:t>
            </w:r>
            <w:r w:rsidRPr="009072DA">
              <w:rPr>
                <w:lang w:val="bg-BG"/>
              </w:rPr>
              <w:tab/>
            </w:r>
          </w:p>
          <w:p w:rsidR="009C13A9" w:rsidRPr="009072DA" w:rsidRDefault="009C13A9" w:rsidP="009C13A9">
            <w:pPr>
              <w:tabs>
                <w:tab w:val="left" w:pos="57"/>
                <w:tab w:val="left" w:leader="dot" w:pos="8505"/>
              </w:tabs>
              <w:overflowPunct w:val="0"/>
              <w:adjustRightInd w:val="0"/>
              <w:ind w:left="57" w:hanging="57"/>
              <w:textAlignment w:val="baseline"/>
              <w:rPr>
                <w:rFonts w:cs="Arial"/>
                <w:sz w:val="18"/>
                <w:szCs w:val="20"/>
                <w:lang w:val="bg-BG"/>
              </w:rPr>
            </w:pPr>
          </w:p>
          <w:p w:rsidR="009C13A9" w:rsidRPr="009072DA" w:rsidRDefault="009C13A9" w:rsidP="009C13A9">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lang w:val="bg-BG"/>
              </w:rPr>
            </w:pPr>
            <w:r w:rsidRPr="009072DA">
              <w:rPr>
                <w:lang w:val="bg-BG"/>
              </w:rPr>
              <w:tab/>
            </w:r>
            <w:r w:rsidRPr="009072DA">
              <w:rPr>
                <w:lang w:val="bg-BG"/>
              </w:rPr>
              <w:tab/>
            </w:r>
            <w:r w:rsidRPr="009072DA">
              <w:rPr>
                <w:sz w:val="18"/>
                <w:lang w:val="bg-BG"/>
              </w:rPr>
              <w:t xml:space="preserve">, </w:t>
            </w:r>
            <w:r w:rsidRPr="009072DA">
              <w:rPr>
                <w:lang w:val="bg-BG"/>
              </w:rPr>
              <w:tab/>
            </w:r>
          </w:p>
          <w:p w:rsidR="009C13A9" w:rsidRPr="009072DA" w:rsidRDefault="009C13A9" w:rsidP="009C13A9">
            <w:pPr>
              <w:tabs>
                <w:tab w:val="center" w:pos="2041"/>
                <w:tab w:val="center" w:pos="5216"/>
              </w:tabs>
              <w:overflowPunct w:val="0"/>
              <w:adjustRightInd w:val="0"/>
              <w:textAlignment w:val="baseline"/>
              <w:rPr>
                <w:rFonts w:cs="Arial"/>
                <w:sz w:val="18"/>
                <w:szCs w:val="20"/>
                <w:lang w:val="bg-BG"/>
              </w:rPr>
            </w:pPr>
            <w:r w:rsidRPr="009072DA">
              <w:rPr>
                <w:lang w:val="bg-BG"/>
              </w:rPr>
              <w:tab/>
            </w:r>
            <w:r w:rsidRPr="009072DA">
              <w:rPr>
                <w:sz w:val="16"/>
                <w:lang w:val="bg-BG"/>
              </w:rPr>
              <w:t>(Място)</w:t>
            </w:r>
            <w:r w:rsidRPr="009072DA">
              <w:rPr>
                <w:lang w:val="bg-BG"/>
              </w:rPr>
              <w:tab/>
            </w:r>
            <w:r w:rsidRPr="009072DA">
              <w:rPr>
                <w:sz w:val="16"/>
                <w:lang w:val="bg-BG"/>
              </w:rPr>
              <w:t>(Дата)</w:t>
            </w:r>
          </w:p>
          <w:p w:rsidR="009C13A9" w:rsidRPr="009072DA" w:rsidRDefault="009C13A9" w:rsidP="009C13A9">
            <w:pPr>
              <w:tabs>
                <w:tab w:val="left" w:pos="4820"/>
                <w:tab w:val="left" w:leader="dot" w:pos="8505"/>
              </w:tabs>
              <w:overflowPunct w:val="0"/>
              <w:adjustRightInd w:val="0"/>
              <w:spacing w:before="12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6719"/>
              </w:tabs>
              <w:overflowPunct w:val="0"/>
              <w:adjustRightInd w:val="0"/>
              <w:textAlignment w:val="baseline"/>
              <w:rPr>
                <w:rFonts w:cs="Arial"/>
                <w:sz w:val="18"/>
                <w:szCs w:val="20"/>
                <w:lang w:val="bg-BG"/>
              </w:rPr>
            </w:pPr>
            <w:r w:rsidRPr="009072DA">
              <w:rPr>
                <w:lang w:val="bg-BG"/>
              </w:rPr>
              <w:tab/>
            </w:r>
            <w:r w:rsidRPr="009072DA">
              <w:rPr>
                <w:sz w:val="16"/>
                <w:lang w:val="bg-BG"/>
              </w:rPr>
              <w:t>Контролен орган</w:t>
            </w:r>
          </w:p>
          <w:p w:rsidR="009C13A9" w:rsidRPr="009072DA" w:rsidRDefault="009C13A9" w:rsidP="009C13A9">
            <w:pPr>
              <w:tabs>
                <w:tab w:val="center" w:pos="1985"/>
              </w:tabs>
              <w:overflowPunct w:val="0"/>
              <w:adjustRightInd w:val="0"/>
              <w:spacing w:before="120"/>
              <w:textAlignment w:val="baseline"/>
              <w:rPr>
                <w:rFonts w:cs="Arial"/>
                <w:sz w:val="18"/>
                <w:szCs w:val="20"/>
                <w:lang w:val="bg-BG"/>
              </w:rPr>
            </w:pPr>
            <w:r w:rsidRPr="009072DA">
              <w:rPr>
                <w:lang w:val="bg-BG"/>
              </w:rPr>
              <w:tab/>
            </w:r>
            <w:r w:rsidRPr="009072DA">
              <w:rPr>
                <w:sz w:val="16"/>
                <w:lang w:val="bg-BG"/>
              </w:rPr>
              <w:t>Печат</w:t>
            </w:r>
          </w:p>
          <w:p w:rsidR="009C13A9" w:rsidRPr="009072DA" w:rsidRDefault="009C13A9" w:rsidP="009C13A9">
            <w:pPr>
              <w:tabs>
                <w:tab w:val="left" w:pos="4820"/>
                <w:tab w:val="left" w:leader="dot" w:pos="8505"/>
              </w:tabs>
              <w:overflowPunct w:val="0"/>
              <w:adjustRightInd w:val="0"/>
              <w:spacing w:before="12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6719"/>
              </w:tabs>
              <w:overflowPunct w:val="0"/>
              <w:adjustRightInd w:val="0"/>
              <w:textAlignment w:val="baseline"/>
              <w:rPr>
                <w:rFonts w:cs="Arial"/>
                <w:sz w:val="18"/>
                <w:szCs w:val="20"/>
                <w:lang w:val="bg-BG"/>
              </w:rPr>
            </w:pPr>
            <w:r w:rsidRPr="009072DA">
              <w:rPr>
                <w:lang w:val="bg-BG"/>
              </w:rPr>
              <w:tab/>
            </w:r>
            <w:r w:rsidRPr="009072DA">
              <w:rPr>
                <w:sz w:val="16"/>
                <w:lang w:val="bg-BG"/>
              </w:rPr>
              <w:t>(Подпис)</w:t>
            </w:r>
          </w:p>
          <w:p w:rsidR="009C13A9" w:rsidRPr="009072DA" w:rsidRDefault="009C13A9" w:rsidP="009C13A9">
            <w:pPr>
              <w:tabs>
                <w:tab w:val="left" w:pos="57"/>
                <w:tab w:val="left" w:pos="5670"/>
                <w:tab w:val="left" w:leader="dot" w:pos="8505"/>
              </w:tabs>
              <w:overflowPunct w:val="0"/>
              <w:adjustRightInd w:val="0"/>
              <w:ind w:left="57" w:hanging="57"/>
              <w:textAlignment w:val="baseline"/>
              <w:rPr>
                <w:rFonts w:cs="Arial"/>
                <w:sz w:val="18"/>
                <w:szCs w:val="20"/>
                <w:lang w:val="bg-BG"/>
              </w:rPr>
            </w:pPr>
          </w:p>
        </w:tc>
      </w:tr>
      <w:tr w:rsidR="009C13A9" w:rsidRPr="009072DA"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r w:rsidRPr="009072DA">
              <w:rPr>
                <w:sz w:val="18"/>
                <w:lang w:val="bg-BG"/>
              </w:rPr>
              <w:lastRenderedPageBreak/>
              <w:t>51.</w:t>
            </w:r>
          </w:p>
        </w:tc>
        <w:tc>
          <w:tcPr>
            <w:tcW w:w="8902" w:type="dxa"/>
            <w:tcBorders>
              <w:top w:val="single" w:sz="6" w:space="0" w:color="auto"/>
              <w:bottom w:val="single" w:sz="6" w:space="0" w:color="auto"/>
              <w:right w:val="single" w:sz="6" w:space="0" w:color="auto"/>
            </w:tcBorders>
          </w:tcPr>
          <w:p w:rsidR="009C13A9" w:rsidRPr="009072DA" w:rsidRDefault="009C13A9" w:rsidP="009C13A9">
            <w:pPr>
              <w:tabs>
                <w:tab w:val="left" w:leader="dot" w:pos="8505"/>
              </w:tabs>
              <w:overflowPunct w:val="0"/>
              <w:adjustRightInd w:val="0"/>
              <w:spacing w:before="120"/>
              <w:ind w:left="114" w:hanging="57"/>
              <w:textAlignment w:val="baseline"/>
              <w:rPr>
                <w:rFonts w:cs="Arial"/>
                <w:b/>
                <w:position w:val="6"/>
                <w:sz w:val="16"/>
                <w:szCs w:val="20"/>
                <w:lang w:val="bg-BG"/>
              </w:rPr>
            </w:pPr>
            <w:r w:rsidRPr="009072DA">
              <w:rPr>
                <w:b/>
                <w:sz w:val="18"/>
                <w:lang w:val="bg-BG"/>
              </w:rPr>
              <w:t>Удължаване на атестацията, отнасяща се за уредбата(ите) за втечнен газ</w:t>
            </w:r>
          </w:p>
          <w:p w:rsidR="009C13A9" w:rsidRPr="009072DA" w:rsidRDefault="009C13A9" w:rsidP="009C13A9">
            <w:pPr>
              <w:tabs>
                <w:tab w:val="left" w:leader="dot" w:pos="4453"/>
                <w:tab w:val="left" w:leader="dot" w:pos="8505"/>
              </w:tabs>
              <w:overflowPunct w:val="0"/>
              <w:adjustRightInd w:val="0"/>
              <w:spacing w:after="120"/>
              <w:ind w:left="114" w:hanging="57"/>
              <w:textAlignment w:val="baseline"/>
              <w:rPr>
                <w:rFonts w:cs="Arial"/>
                <w:sz w:val="18"/>
                <w:szCs w:val="20"/>
                <w:lang w:val="bg-BG"/>
              </w:rPr>
            </w:pPr>
            <w:r w:rsidRPr="009072DA">
              <w:rPr>
                <w:sz w:val="18"/>
                <w:lang w:val="bg-BG"/>
              </w:rPr>
              <w:t>Срокът на атестацията, която се отнася за уредбата(ите) за втечнен газ</w:t>
            </w:r>
          </w:p>
          <w:p w:rsidR="009C13A9" w:rsidRPr="009072DA" w:rsidRDefault="009C13A9" w:rsidP="009C13A9">
            <w:pPr>
              <w:tabs>
                <w:tab w:val="left" w:leader="dot" w:pos="4453"/>
                <w:tab w:val="left" w:leader="dot" w:pos="8505"/>
              </w:tabs>
              <w:overflowPunct w:val="0"/>
              <w:adjustRightInd w:val="0"/>
              <w:spacing w:after="120"/>
              <w:ind w:left="114" w:hanging="57"/>
              <w:textAlignment w:val="baseline"/>
              <w:rPr>
                <w:rFonts w:cs="Arial"/>
                <w:sz w:val="18"/>
                <w:szCs w:val="20"/>
                <w:lang w:val="bg-BG"/>
              </w:rPr>
            </w:pPr>
            <w:r w:rsidRPr="009072DA">
              <w:rPr>
                <w:sz w:val="18"/>
                <w:lang w:val="bg-BG"/>
              </w:rPr>
              <w:t>от дата</w:t>
            </w:r>
            <w:r w:rsidRPr="009072DA">
              <w:rPr>
                <w:lang w:val="bg-BG"/>
              </w:rPr>
              <w:tab/>
            </w:r>
            <w:r w:rsidRPr="009072DA">
              <w:rPr>
                <w:sz w:val="18"/>
                <w:lang w:val="bg-BG"/>
              </w:rPr>
              <w:t xml:space="preserve"> валиден до</w:t>
            </w:r>
            <w:r w:rsidRPr="009072DA">
              <w:rPr>
                <w:lang w:val="bg-BG"/>
              </w:rPr>
              <w:tab/>
            </w:r>
            <w:r w:rsidRPr="009072DA">
              <w:rPr>
                <w:sz w:val="18"/>
                <w:lang w:val="bg-BG"/>
              </w:rPr>
              <w:t xml:space="preserve"> </w:t>
            </w:r>
          </w:p>
          <w:p w:rsidR="009C13A9" w:rsidRPr="009072DA" w:rsidRDefault="009C13A9" w:rsidP="009C13A9">
            <w:pPr>
              <w:tabs>
                <w:tab w:val="left" w:pos="227"/>
                <w:tab w:val="left" w:leader="dot" w:pos="8505"/>
              </w:tabs>
              <w:overflowPunct w:val="0"/>
              <w:adjustRightInd w:val="0"/>
              <w:spacing w:after="120"/>
              <w:ind w:left="114" w:hanging="57"/>
              <w:textAlignment w:val="baseline"/>
              <w:rPr>
                <w:rFonts w:cs="Arial"/>
                <w:sz w:val="18"/>
                <w:szCs w:val="20"/>
                <w:lang w:val="bg-BG"/>
              </w:rPr>
            </w:pPr>
            <w:r w:rsidRPr="009072DA">
              <w:rPr>
                <w:sz w:val="18"/>
                <w:lang w:val="bg-BG"/>
              </w:rPr>
              <w:t>се удължава</w:t>
            </w:r>
          </w:p>
          <w:p w:rsidR="009C13A9" w:rsidRPr="009072DA" w:rsidRDefault="009C13A9" w:rsidP="009C13A9">
            <w:pPr>
              <w:tabs>
                <w:tab w:val="left" w:pos="227"/>
                <w:tab w:val="left" w:leader="dot" w:pos="8505"/>
              </w:tabs>
              <w:overflowPunct w:val="0"/>
              <w:adjustRightInd w:val="0"/>
              <w:spacing w:after="100"/>
              <w:ind w:left="114" w:hanging="57"/>
              <w:textAlignment w:val="baseline"/>
              <w:rPr>
                <w:rFonts w:cs="Arial"/>
                <w:sz w:val="18"/>
                <w:szCs w:val="20"/>
                <w:lang w:val="bg-BG"/>
              </w:rPr>
            </w:pPr>
            <w:r w:rsidRPr="009072DA">
              <w:rPr>
                <w:sz w:val="18"/>
                <w:lang w:val="bg-BG"/>
              </w:rPr>
              <w:t>-</w:t>
            </w:r>
            <w:r w:rsidRPr="009072DA">
              <w:rPr>
                <w:lang w:val="bg-BG"/>
              </w:rPr>
              <w:tab/>
            </w:r>
            <w:r w:rsidRPr="009072DA">
              <w:rPr>
                <w:sz w:val="18"/>
                <w:lang w:val="bg-BG"/>
              </w:rPr>
              <w:t>след периодичната проверка от експерт</w:t>
            </w:r>
            <w:r w:rsidRPr="009072DA">
              <w:rPr>
                <w:lang w:val="bg-BG"/>
              </w:rPr>
              <w:tab/>
            </w:r>
          </w:p>
          <w:p w:rsidR="009C13A9" w:rsidRPr="009072DA" w:rsidRDefault="009C13A9" w:rsidP="009C13A9">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lang w:val="bg-BG"/>
              </w:rPr>
            </w:pPr>
            <w:r w:rsidRPr="009072DA">
              <w:rPr>
                <w:sz w:val="18"/>
                <w:lang w:val="bg-BG"/>
              </w:rPr>
              <w:t>-</w:t>
            </w:r>
            <w:r w:rsidRPr="009072DA">
              <w:rPr>
                <w:lang w:val="bg-BG"/>
              </w:rPr>
              <w:tab/>
            </w:r>
            <w:r w:rsidRPr="009072DA">
              <w:rPr>
                <w:sz w:val="18"/>
                <w:lang w:val="bg-BG"/>
              </w:rPr>
              <w:t>при представяне на удостоверението за атестация от</w:t>
            </w:r>
            <w:r w:rsidRPr="009072DA">
              <w:rPr>
                <w:lang w:val="bg-BG"/>
              </w:rPr>
              <w:tab/>
            </w:r>
            <w:r w:rsidRPr="009072DA">
              <w:rPr>
                <w:sz w:val="18"/>
                <w:lang w:val="bg-BG"/>
              </w:rPr>
              <w:t xml:space="preserve"> </w:t>
            </w:r>
            <w:r w:rsidRPr="009072DA">
              <w:rPr>
                <w:lang w:val="bg-BG"/>
              </w:rPr>
              <w:tab/>
            </w:r>
          </w:p>
          <w:p w:rsidR="009C13A9" w:rsidRPr="009072DA" w:rsidRDefault="009C13A9" w:rsidP="009C13A9">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lang w:val="bg-BG"/>
              </w:rPr>
            </w:pPr>
            <w:r w:rsidRPr="009072DA">
              <w:rPr>
                <w:sz w:val="18"/>
                <w:lang w:val="bg-BG"/>
              </w:rPr>
              <w:t xml:space="preserve">до </w:t>
            </w:r>
            <w:r w:rsidRPr="009072DA">
              <w:rPr>
                <w:lang w:val="bg-BG"/>
              </w:rPr>
              <w:tab/>
            </w:r>
          </w:p>
          <w:p w:rsidR="009C13A9" w:rsidRPr="009072DA" w:rsidRDefault="009C13A9" w:rsidP="009C13A9">
            <w:pPr>
              <w:tabs>
                <w:tab w:val="left" w:pos="57"/>
                <w:tab w:val="left" w:leader="dot" w:pos="8505"/>
              </w:tabs>
              <w:overflowPunct w:val="0"/>
              <w:adjustRightInd w:val="0"/>
              <w:ind w:left="57" w:hanging="57"/>
              <w:textAlignment w:val="baseline"/>
              <w:rPr>
                <w:rFonts w:cs="Arial"/>
                <w:sz w:val="18"/>
                <w:szCs w:val="20"/>
                <w:lang w:val="bg-BG"/>
              </w:rPr>
            </w:pPr>
          </w:p>
          <w:p w:rsidR="009C13A9" w:rsidRPr="009072DA" w:rsidRDefault="009C13A9" w:rsidP="009C13A9">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lang w:val="bg-BG"/>
              </w:rPr>
            </w:pPr>
            <w:r w:rsidRPr="009072DA">
              <w:rPr>
                <w:lang w:val="bg-BG"/>
              </w:rPr>
              <w:tab/>
            </w:r>
            <w:r w:rsidRPr="009072DA">
              <w:rPr>
                <w:lang w:val="bg-BG"/>
              </w:rPr>
              <w:tab/>
            </w:r>
            <w:r w:rsidRPr="009072DA">
              <w:rPr>
                <w:sz w:val="18"/>
                <w:lang w:val="bg-BG"/>
              </w:rPr>
              <w:t xml:space="preserve">, </w:t>
            </w:r>
            <w:r w:rsidRPr="009072DA">
              <w:rPr>
                <w:lang w:val="bg-BG"/>
              </w:rPr>
              <w:tab/>
            </w:r>
          </w:p>
          <w:p w:rsidR="009C13A9" w:rsidRPr="009072DA" w:rsidRDefault="009C13A9" w:rsidP="009C13A9">
            <w:pPr>
              <w:tabs>
                <w:tab w:val="center" w:pos="2041"/>
                <w:tab w:val="center" w:pos="5216"/>
              </w:tabs>
              <w:overflowPunct w:val="0"/>
              <w:adjustRightInd w:val="0"/>
              <w:textAlignment w:val="baseline"/>
              <w:rPr>
                <w:rFonts w:cs="Arial"/>
                <w:sz w:val="18"/>
                <w:szCs w:val="20"/>
                <w:lang w:val="bg-BG"/>
              </w:rPr>
            </w:pPr>
            <w:r w:rsidRPr="009072DA">
              <w:rPr>
                <w:lang w:val="bg-BG"/>
              </w:rPr>
              <w:tab/>
            </w:r>
            <w:r w:rsidRPr="009072DA">
              <w:rPr>
                <w:sz w:val="16"/>
                <w:lang w:val="bg-BG"/>
              </w:rPr>
              <w:t>(Място)</w:t>
            </w:r>
            <w:r w:rsidRPr="009072DA">
              <w:rPr>
                <w:lang w:val="bg-BG"/>
              </w:rPr>
              <w:tab/>
            </w:r>
            <w:r w:rsidRPr="009072DA">
              <w:rPr>
                <w:sz w:val="16"/>
                <w:lang w:val="bg-BG"/>
              </w:rPr>
              <w:t>(Дата)</w:t>
            </w:r>
          </w:p>
          <w:p w:rsidR="009C13A9" w:rsidRPr="009072DA" w:rsidRDefault="009C13A9" w:rsidP="009C13A9">
            <w:pPr>
              <w:tabs>
                <w:tab w:val="left" w:pos="4820"/>
                <w:tab w:val="left" w:leader="dot" w:pos="8505"/>
              </w:tabs>
              <w:overflowPunct w:val="0"/>
              <w:adjustRightInd w:val="0"/>
              <w:spacing w:before="12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6719"/>
              </w:tabs>
              <w:overflowPunct w:val="0"/>
              <w:adjustRightInd w:val="0"/>
              <w:textAlignment w:val="baseline"/>
              <w:rPr>
                <w:rFonts w:cs="Arial"/>
                <w:sz w:val="18"/>
                <w:szCs w:val="20"/>
                <w:lang w:val="bg-BG"/>
              </w:rPr>
            </w:pPr>
            <w:r w:rsidRPr="009072DA">
              <w:rPr>
                <w:lang w:val="bg-BG"/>
              </w:rPr>
              <w:tab/>
            </w:r>
            <w:r w:rsidRPr="009072DA">
              <w:rPr>
                <w:sz w:val="16"/>
                <w:lang w:val="bg-BG"/>
              </w:rPr>
              <w:t>Контролен орган</w:t>
            </w:r>
          </w:p>
          <w:p w:rsidR="009C13A9" w:rsidRPr="009072DA" w:rsidRDefault="009C13A9" w:rsidP="009C13A9">
            <w:pPr>
              <w:tabs>
                <w:tab w:val="center" w:pos="1985"/>
              </w:tabs>
              <w:overflowPunct w:val="0"/>
              <w:adjustRightInd w:val="0"/>
              <w:spacing w:before="120"/>
              <w:textAlignment w:val="baseline"/>
              <w:rPr>
                <w:rFonts w:cs="Arial"/>
                <w:sz w:val="18"/>
                <w:szCs w:val="20"/>
                <w:lang w:val="bg-BG"/>
              </w:rPr>
            </w:pPr>
            <w:r w:rsidRPr="009072DA">
              <w:rPr>
                <w:lang w:val="bg-BG"/>
              </w:rPr>
              <w:tab/>
            </w:r>
            <w:r w:rsidRPr="009072DA">
              <w:rPr>
                <w:sz w:val="16"/>
                <w:lang w:val="bg-BG"/>
              </w:rPr>
              <w:t>Печат</w:t>
            </w:r>
          </w:p>
          <w:p w:rsidR="009C13A9" w:rsidRPr="009072DA" w:rsidRDefault="009C13A9" w:rsidP="009C13A9">
            <w:pPr>
              <w:tabs>
                <w:tab w:val="left" w:pos="4820"/>
                <w:tab w:val="left" w:leader="dot" w:pos="8505"/>
              </w:tabs>
              <w:overflowPunct w:val="0"/>
              <w:adjustRightInd w:val="0"/>
              <w:spacing w:before="12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6719"/>
              </w:tabs>
              <w:overflowPunct w:val="0"/>
              <w:adjustRightInd w:val="0"/>
              <w:textAlignment w:val="baseline"/>
              <w:rPr>
                <w:rFonts w:cs="Arial"/>
                <w:sz w:val="18"/>
                <w:szCs w:val="20"/>
                <w:lang w:val="bg-BG"/>
              </w:rPr>
            </w:pPr>
            <w:r w:rsidRPr="009072DA">
              <w:rPr>
                <w:lang w:val="bg-BG"/>
              </w:rPr>
              <w:tab/>
            </w:r>
            <w:r w:rsidRPr="009072DA">
              <w:rPr>
                <w:sz w:val="16"/>
                <w:lang w:val="bg-BG"/>
              </w:rPr>
              <w:t>(Подпис)</w:t>
            </w:r>
          </w:p>
          <w:p w:rsidR="009C13A9" w:rsidRPr="009072DA" w:rsidRDefault="009C13A9" w:rsidP="009C13A9">
            <w:pPr>
              <w:tabs>
                <w:tab w:val="center" w:pos="6719"/>
              </w:tabs>
              <w:overflowPunct w:val="0"/>
              <w:adjustRightInd w:val="0"/>
              <w:textAlignment w:val="baseline"/>
              <w:rPr>
                <w:rFonts w:cs="Arial"/>
                <w:sz w:val="18"/>
                <w:szCs w:val="20"/>
                <w:lang w:val="bg-BG"/>
              </w:rPr>
            </w:pPr>
          </w:p>
          <w:p w:rsidR="009C13A9" w:rsidRPr="009072DA" w:rsidRDefault="009C13A9" w:rsidP="009C13A9">
            <w:pPr>
              <w:tabs>
                <w:tab w:val="left" w:pos="57"/>
                <w:tab w:val="left" w:pos="5670"/>
                <w:tab w:val="left" w:leader="dot" w:pos="8505"/>
              </w:tabs>
              <w:overflowPunct w:val="0"/>
              <w:adjustRightInd w:val="0"/>
              <w:ind w:left="57" w:hanging="57"/>
              <w:textAlignment w:val="baseline"/>
              <w:rPr>
                <w:rFonts w:cs="Arial"/>
                <w:sz w:val="18"/>
                <w:szCs w:val="20"/>
                <w:lang w:val="bg-BG"/>
              </w:rPr>
            </w:pPr>
          </w:p>
        </w:tc>
      </w:tr>
      <w:tr w:rsidR="009C13A9" w:rsidRPr="009072DA"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r w:rsidRPr="009072DA">
              <w:rPr>
                <w:sz w:val="18"/>
                <w:lang w:val="bg-BG"/>
              </w:rPr>
              <w:lastRenderedPageBreak/>
              <w:t>51.</w:t>
            </w:r>
          </w:p>
        </w:tc>
        <w:tc>
          <w:tcPr>
            <w:tcW w:w="8902" w:type="dxa"/>
            <w:tcBorders>
              <w:top w:val="single" w:sz="6" w:space="0" w:color="auto"/>
              <w:bottom w:val="single" w:sz="6" w:space="0" w:color="auto"/>
              <w:right w:val="single" w:sz="6" w:space="0" w:color="auto"/>
            </w:tcBorders>
          </w:tcPr>
          <w:p w:rsidR="009C13A9" w:rsidRPr="009072DA" w:rsidRDefault="009C13A9" w:rsidP="009C13A9">
            <w:pPr>
              <w:tabs>
                <w:tab w:val="left" w:leader="dot" w:pos="8505"/>
              </w:tabs>
              <w:overflowPunct w:val="0"/>
              <w:adjustRightInd w:val="0"/>
              <w:spacing w:before="120"/>
              <w:ind w:left="114" w:hanging="57"/>
              <w:textAlignment w:val="baseline"/>
              <w:rPr>
                <w:rFonts w:cs="Arial"/>
                <w:b/>
                <w:position w:val="6"/>
                <w:sz w:val="16"/>
                <w:szCs w:val="20"/>
                <w:lang w:val="bg-BG"/>
              </w:rPr>
            </w:pPr>
            <w:r w:rsidRPr="009072DA">
              <w:rPr>
                <w:b/>
                <w:sz w:val="18"/>
                <w:lang w:val="bg-BG"/>
              </w:rPr>
              <w:t>Удължаване на атестацията, отнасяща се за уредбата(ите) за втечнен газ</w:t>
            </w:r>
          </w:p>
          <w:p w:rsidR="009C13A9" w:rsidRPr="009072DA" w:rsidRDefault="009C13A9" w:rsidP="009C13A9">
            <w:pPr>
              <w:tabs>
                <w:tab w:val="left" w:leader="dot" w:pos="4453"/>
                <w:tab w:val="left" w:leader="dot" w:pos="8505"/>
              </w:tabs>
              <w:overflowPunct w:val="0"/>
              <w:adjustRightInd w:val="0"/>
              <w:spacing w:after="120"/>
              <w:ind w:left="114" w:hanging="57"/>
              <w:textAlignment w:val="baseline"/>
              <w:rPr>
                <w:rFonts w:cs="Arial"/>
                <w:sz w:val="18"/>
                <w:szCs w:val="20"/>
                <w:lang w:val="bg-BG"/>
              </w:rPr>
            </w:pPr>
            <w:r w:rsidRPr="009072DA">
              <w:rPr>
                <w:sz w:val="18"/>
                <w:lang w:val="bg-BG"/>
              </w:rPr>
              <w:t>Срокът на атестацията, която се отнася за уредбата(ите) за втечнен газ</w:t>
            </w:r>
          </w:p>
          <w:p w:rsidR="009C13A9" w:rsidRPr="009072DA" w:rsidRDefault="009C13A9" w:rsidP="009C13A9">
            <w:pPr>
              <w:tabs>
                <w:tab w:val="left" w:leader="dot" w:pos="4453"/>
                <w:tab w:val="left" w:leader="dot" w:pos="8505"/>
              </w:tabs>
              <w:overflowPunct w:val="0"/>
              <w:adjustRightInd w:val="0"/>
              <w:spacing w:after="120"/>
              <w:ind w:left="114" w:hanging="57"/>
              <w:textAlignment w:val="baseline"/>
              <w:rPr>
                <w:rFonts w:cs="Arial"/>
                <w:sz w:val="18"/>
                <w:szCs w:val="20"/>
                <w:lang w:val="bg-BG"/>
              </w:rPr>
            </w:pPr>
            <w:r w:rsidRPr="009072DA">
              <w:rPr>
                <w:sz w:val="18"/>
                <w:lang w:val="bg-BG"/>
              </w:rPr>
              <w:t>от дата</w:t>
            </w:r>
            <w:r w:rsidRPr="009072DA">
              <w:rPr>
                <w:lang w:val="bg-BG"/>
              </w:rPr>
              <w:tab/>
            </w:r>
            <w:r w:rsidRPr="009072DA">
              <w:rPr>
                <w:sz w:val="18"/>
                <w:lang w:val="bg-BG"/>
              </w:rPr>
              <w:t xml:space="preserve"> валиден до</w:t>
            </w:r>
            <w:r w:rsidRPr="009072DA">
              <w:rPr>
                <w:lang w:val="bg-BG"/>
              </w:rPr>
              <w:tab/>
            </w:r>
            <w:r w:rsidRPr="009072DA">
              <w:rPr>
                <w:sz w:val="18"/>
                <w:lang w:val="bg-BG"/>
              </w:rPr>
              <w:t xml:space="preserve"> </w:t>
            </w:r>
          </w:p>
          <w:p w:rsidR="009C13A9" w:rsidRPr="009072DA" w:rsidRDefault="009C13A9" w:rsidP="009C13A9">
            <w:pPr>
              <w:tabs>
                <w:tab w:val="left" w:pos="227"/>
                <w:tab w:val="left" w:leader="dot" w:pos="8505"/>
              </w:tabs>
              <w:overflowPunct w:val="0"/>
              <w:adjustRightInd w:val="0"/>
              <w:spacing w:after="120"/>
              <w:ind w:left="114" w:hanging="57"/>
              <w:textAlignment w:val="baseline"/>
              <w:rPr>
                <w:rFonts w:cs="Arial"/>
                <w:sz w:val="18"/>
                <w:szCs w:val="20"/>
                <w:lang w:val="bg-BG"/>
              </w:rPr>
            </w:pPr>
            <w:r w:rsidRPr="009072DA">
              <w:rPr>
                <w:sz w:val="18"/>
                <w:lang w:val="bg-BG"/>
              </w:rPr>
              <w:t>се удължава</w:t>
            </w:r>
          </w:p>
          <w:p w:rsidR="009C13A9" w:rsidRPr="009072DA" w:rsidRDefault="009C13A9" w:rsidP="009C13A9">
            <w:pPr>
              <w:tabs>
                <w:tab w:val="left" w:pos="227"/>
                <w:tab w:val="left" w:leader="dot" w:pos="8505"/>
              </w:tabs>
              <w:overflowPunct w:val="0"/>
              <w:adjustRightInd w:val="0"/>
              <w:spacing w:after="100"/>
              <w:ind w:left="114" w:hanging="57"/>
              <w:textAlignment w:val="baseline"/>
              <w:rPr>
                <w:rFonts w:cs="Arial"/>
                <w:sz w:val="18"/>
                <w:szCs w:val="20"/>
                <w:lang w:val="bg-BG"/>
              </w:rPr>
            </w:pPr>
            <w:r w:rsidRPr="009072DA">
              <w:rPr>
                <w:sz w:val="18"/>
                <w:lang w:val="bg-BG"/>
              </w:rPr>
              <w:t>-</w:t>
            </w:r>
            <w:r w:rsidRPr="009072DA">
              <w:rPr>
                <w:lang w:val="bg-BG"/>
              </w:rPr>
              <w:tab/>
            </w:r>
            <w:r w:rsidRPr="009072DA">
              <w:rPr>
                <w:sz w:val="18"/>
                <w:lang w:val="bg-BG"/>
              </w:rPr>
              <w:t>след периодичната проверка от експерт</w:t>
            </w:r>
            <w:r w:rsidRPr="009072DA">
              <w:rPr>
                <w:lang w:val="bg-BG"/>
              </w:rPr>
              <w:tab/>
            </w:r>
          </w:p>
          <w:p w:rsidR="009C13A9" w:rsidRPr="009072DA" w:rsidRDefault="009C13A9" w:rsidP="009C13A9">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lang w:val="bg-BG"/>
              </w:rPr>
            </w:pPr>
            <w:r w:rsidRPr="009072DA">
              <w:rPr>
                <w:sz w:val="18"/>
                <w:lang w:val="bg-BG"/>
              </w:rPr>
              <w:t>-</w:t>
            </w:r>
            <w:r w:rsidRPr="009072DA">
              <w:rPr>
                <w:lang w:val="bg-BG"/>
              </w:rPr>
              <w:tab/>
            </w:r>
            <w:r w:rsidRPr="009072DA">
              <w:rPr>
                <w:sz w:val="18"/>
                <w:lang w:val="bg-BG"/>
              </w:rPr>
              <w:t>при представяне на удостоверението за атестация от</w:t>
            </w:r>
            <w:r w:rsidRPr="009072DA">
              <w:rPr>
                <w:lang w:val="bg-BG"/>
              </w:rPr>
              <w:tab/>
            </w:r>
            <w:r w:rsidRPr="009072DA">
              <w:rPr>
                <w:sz w:val="18"/>
                <w:lang w:val="bg-BG"/>
              </w:rPr>
              <w:t xml:space="preserve"> </w:t>
            </w:r>
            <w:r w:rsidRPr="009072DA">
              <w:rPr>
                <w:lang w:val="bg-BG"/>
              </w:rPr>
              <w:tab/>
            </w:r>
          </w:p>
          <w:p w:rsidR="009C13A9" w:rsidRPr="009072DA" w:rsidRDefault="009C13A9" w:rsidP="009C13A9">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lang w:val="bg-BG"/>
              </w:rPr>
            </w:pPr>
            <w:r w:rsidRPr="009072DA">
              <w:rPr>
                <w:sz w:val="18"/>
                <w:lang w:val="bg-BG"/>
              </w:rPr>
              <w:t xml:space="preserve">до </w:t>
            </w:r>
            <w:r w:rsidRPr="009072DA">
              <w:rPr>
                <w:lang w:val="bg-BG"/>
              </w:rPr>
              <w:tab/>
            </w:r>
          </w:p>
          <w:p w:rsidR="009C13A9" w:rsidRPr="009072DA" w:rsidRDefault="009C13A9" w:rsidP="009C13A9">
            <w:pPr>
              <w:tabs>
                <w:tab w:val="left" w:pos="57"/>
                <w:tab w:val="left" w:leader="dot" w:pos="8505"/>
              </w:tabs>
              <w:overflowPunct w:val="0"/>
              <w:adjustRightInd w:val="0"/>
              <w:ind w:left="57" w:hanging="57"/>
              <w:textAlignment w:val="baseline"/>
              <w:rPr>
                <w:rFonts w:cs="Arial"/>
                <w:sz w:val="18"/>
                <w:szCs w:val="20"/>
                <w:lang w:val="bg-BG"/>
              </w:rPr>
            </w:pPr>
          </w:p>
          <w:p w:rsidR="009C13A9" w:rsidRPr="009072DA" w:rsidRDefault="009C13A9" w:rsidP="009C13A9">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lang w:val="bg-BG"/>
              </w:rPr>
            </w:pPr>
            <w:r w:rsidRPr="009072DA">
              <w:rPr>
                <w:lang w:val="bg-BG"/>
              </w:rPr>
              <w:tab/>
            </w:r>
            <w:r w:rsidRPr="009072DA">
              <w:rPr>
                <w:lang w:val="bg-BG"/>
              </w:rPr>
              <w:tab/>
            </w:r>
            <w:r w:rsidRPr="009072DA">
              <w:rPr>
                <w:sz w:val="18"/>
                <w:lang w:val="bg-BG"/>
              </w:rPr>
              <w:t xml:space="preserve">, </w:t>
            </w:r>
            <w:r w:rsidRPr="009072DA">
              <w:rPr>
                <w:lang w:val="bg-BG"/>
              </w:rPr>
              <w:tab/>
            </w:r>
          </w:p>
          <w:p w:rsidR="009C13A9" w:rsidRPr="009072DA" w:rsidRDefault="009C13A9" w:rsidP="009C13A9">
            <w:pPr>
              <w:tabs>
                <w:tab w:val="center" w:pos="2041"/>
                <w:tab w:val="center" w:pos="5216"/>
              </w:tabs>
              <w:overflowPunct w:val="0"/>
              <w:adjustRightInd w:val="0"/>
              <w:textAlignment w:val="baseline"/>
              <w:rPr>
                <w:rFonts w:cs="Arial"/>
                <w:sz w:val="18"/>
                <w:szCs w:val="20"/>
                <w:lang w:val="bg-BG"/>
              </w:rPr>
            </w:pPr>
            <w:r w:rsidRPr="009072DA">
              <w:rPr>
                <w:lang w:val="bg-BG"/>
              </w:rPr>
              <w:tab/>
            </w:r>
            <w:r w:rsidRPr="009072DA">
              <w:rPr>
                <w:sz w:val="16"/>
                <w:lang w:val="bg-BG"/>
              </w:rPr>
              <w:t>(Място)</w:t>
            </w:r>
            <w:r w:rsidRPr="009072DA">
              <w:rPr>
                <w:lang w:val="bg-BG"/>
              </w:rPr>
              <w:tab/>
            </w:r>
            <w:r w:rsidRPr="009072DA">
              <w:rPr>
                <w:sz w:val="16"/>
                <w:lang w:val="bg-BG"/>
              </w:rPr>
              <w:t>(Дата)</w:t>
            </w:r>
          </w:p>
          <w:p w:rsidR="009C13A9" w:rsidRPr="009072DA" w:rsidRDefault="009C13A9" w:rsidP="009C13A9">
            <w:pPr>
              <w:tabs>
                <w:tab w:val="left" w:pos="4820"/>
                <w:tab w:val="left" w:leader="dot" w:pos="8505"/>
              </w:tabs>
              <w:overflowPunct w:val="0"/>
              <w:adjustRightInd w:val="0"/>
              <w:spacing w:before="12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6719"/>
              </w:tabs>
              <w:overflowPunct w:val="0"/>
              <w:adjustRightInd w:val="0"/>
              <w:textAlignment w:val="baseline"/>
              <w:rPr>
                <w:rFonts w:cs="Arial"/>
                <w:sz w:val="18"/>
                <w:szCs w:val="20"/>
                <w:lang w:val="bg-BG"/>
              </w:rPr>
            </w:pPr>
            <w:r w:rsidRPr="009072DA">
              <w:rPr>
                <w:lang w:val="bg-BG"/>
              </w:rPr>
              <w:tab/>
            </w:r>
            <w:r w:rsidRPr="009072DA">
              <w:rPr>
                <w:sz w:val="16"/>
                <w:lang w:val="bg-BG"/>
              </w:rPr>
              <w:t>Контролен орган</w:t>
            </w:r>
          </w:p>
          <w:p w:rsidR="009C13A9" w:rsidRPr="009072DA" w:rsidRDefault="009C13A9" w:rsidP="009C13A9">
            <w:pPr>
              <w:tabs>
                <w:tab w:val="center" w:pos="1985"/>
              </w:tabs>
              <w:overflowPunct w:val="0"/>
              <w:adjustRightInd w:val="0"/>
              <w:spacing w:before="120"/>
              <w:textAlignment w:val="baseline"/>
              <w:rPr>
                <w:rFonts w:cs="Arial"/>
                <w:sz w:val="18"/>
                <w:szCs w:val="20"/>
                <w:lang w:val="bg-BG"/>
              </w:rPr>
            </w:pPr>
            <w:r w:rsidRPr="009072DA">
              <w:rPr>
                <w:lang w:val="bg-BG"/>
              </w:rPr>
              <w:tab/>
            </w:r>
            <w:r w:rsidRPr="009072DA">
              <w:rPr>
                <w:sz w:val="16"/>
                <w:lang w:val="bg-BG"/>
              </w:rPr>
              <w:t>Печат</w:t>
            </w:r>
          </w:p>
          <w:p w:rsidR="009C13A9" w:rsidRPr="009072DA" w:rsidRDefault="009C13A9" w:rsidP="009C13A9">
            <w:pPr>
              <w:tabs>
                <w:tab w:val="left" w:pos="4820"/>
                <w:tab w:val="left" w:leader="dot" w:pos="8505"/>
              </w:tabs>
              <w:overflowPunct w:val="0"/>
              <w:adjustRightInd w:val="0"/>
              <w:spacing w:before="12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6719"/>
              </w:tabs>
              <w:overflowPunct w:val="0"/>
              <w:adjustRightInd w:val="0"/>
              <w:textAlignment w:val="baseline"/>
              <w:rPr>
                <w:rFonts w:cs="Arial"/>
                <w:sz w:val="18"/>
                <w:szCs w:val="20"/>
                <w:lang w:val="bg-BG"/>
              </w:rPr>
            </w:pPr>
            <w:r w:rsidRPr="009072DA">
              <w:rPr>
                <w:lang w:val="bg-BG"/>
              </w:rPr>
              <w:tab/>
            </w:r>
            <w:r w:rsidRPr="009072DA">
              <w:rPr>
                <w:sz w:val="16"/>
                <w:lang w:val="bg-BG"/>
              </w:rPr>
              <w:t>(Подпис)</w:t>
            </w:r>
          </w:p>
          <w:p w:rsidR="009C13A9" w:rsidRPr="009072DA" w:rsidRDefault="009C13A9" w:rsidP="009C13A9">
            <w:pPr>
              <w:tabs>
                <w:tab w:val="left" w:pos="57"/>
                <w:tab w:val="left" w:pos="5103"/>
              </w:tabs>
              <w:overflowPunct w:val="0"/>
              <w:adjustRightInd w:val="0"/>
              <w:spacing w:after="120"/>
              <w:textAlignment w:val="baseline"/>
              <w:rPr>
                <w:rFonts w:cs="Arial"/>
                <w:sz w:val="18"/>
                <w:szCs w:val="20"/>
                <w:lang w:val="bg-BG"/>
              </w:rPr>
            </w:pPr>
          </w:p>
        </w:tc>
      </w:tr>
    </w:tbl>
    <w:p w:rsidR="009C13A9" w:rsidRPr="009072DA" w:rsidRDefault="009C13A9" w:rsidP="009C13A9">
      <w:pPr>
        <w:overflowPunct w:val="0"/>
        <w:adjustRightInd w:val="0"/>
        <w:textAlignment w:val="baseline"/>
        <w:rPr>
          <w:rFonts w:cs="Arial"/>
          <w:sz w:val="16"/>
          <w:szCs w:val="20"/>
          <w:lang w:val="bg-BG"/>
        </w:rPr>
        <w:sectPr w:rsidR="009C13A9" w:rsidRPr="009072DA" w:rsidSect="009C13A9">
          <w:footnotePr>
            <w:numRestart w:val="eachPage"/>
          </w:footnotePr>
          <w:pgSz w:w="11907" w:h="16840"/>
          <w:pgMar w:top="851" w:right="1418" w:bottom="851" w:left="1418" w:header="720" w:footer="720" w:gutter="0"/>
          <w:cols w:space="720"/>
        </w:sectPr>
      </w:pPr>
    </w:p>
    <w:p w:rsidR="009C13A9" w:rsidRPr="009072DA" w:rsidRDefault="009C13A9" w:rsidP="00E3172D">
      <w:pPr>
        <w:tabs>
          <w:tab w:val="left" w:leader="dot" w:pos="2835"/>
          <w:tab w:val="left" w:leader="dot" w:pos="5103"/>
        </w:tabs>
        <w:overflowPunct w:val="0"/>
        <w:adjustRightInd w:val="0"/>
        <w:textAlignment w:val="baseline"/>
        <w:rPr>
          <w:rFonts w:cs="Arial"/>
          <w:szCs w:val="20"/>
          <w:lang w:val="bg-BG"/>
        </w:rPr>
      </w:pPr>
      <w:r w:rsidRPr="009072DA">
        <w:rPr>
          <w:lang w:val="bg-BG"/>
        </w:rPr>
        <w:lastRenderedPageBreak/>
        <w:br w:type="page"/>
        <w:t xml:space="preserve">Удостоверение на плавателния съд за плаване по вътрешни водни пътища № </w:t>
      </w:r>
      <w:r w:rsidRPr="009072DA">
        <w:rPr>
          <w:lang w:val="bg-BG"/>
        </w:rPr>
        <w:tab/>
        <w:t xml:space="preserve"> на контролния орган </w:t>
      </w:r>
      <w:r w:rsidRPr="009072DA">
        <w:rPr>
          <w:lang w:val="bg-BG"/>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r w:rsidRPr="009072DA">
              <w:rPr>
                <w:sz w:val="18"/>
                <w:lang w:val="bg-BG"/>
              </w:rPr>
              <w:t>52.</w:t>
            </w:r>
          </w:p>
        </w:tc>
        <w:tc>
          <w:tcPr>
            <w:tcW w:w="8902" w:type="dxa"/>
            <w:tcBorders>
              <w:top w:val="single" w:sz="6" w:space="0" w:color="auto"/>
              <w:bottom w:val="single" w:sz="6" w:space="0" w:color="auto"/>
              <w:right w:val="single" w:sz="6" w:space="0" w:color="auto"/>
            </w:tcBorders>
          </w:tcPr>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sz w:val="18"/>
                <w:lang w:val="bg-BG"/>
              </w:rPr>
              <w:t>Приложение към удостоверение на плавателния съд за плаване по вътрешни водни пътища</w:t>
            </w:r>
            <w:r w:rsidRPr="009072DA">
              <w:rPr>
                <w:lang w:val="bg-BG"/>
              </w:rPr>
              <w:t xml:space="preserve"> №</w:t>
            </w:r>
            <w:r w:rsidRPr="009072DA">
              <w:rPr>
                <w:sz w:val="18"/>
                <w:lang w:val="bg-BG"/>
              </w:rPr>
              <w:t xml:space="preserve"> </w:t>
            </w:r>
            <w:r w:rsidRPr="009072DA">
              <w:rPr>
                <w:lang w:val="bg-BG"/>
              </w:rPr>
              <w:tab/>
            </w:r>
          </w:p>
          <w:p w:rsidR="009C13A9" w:rsidRPr="009072DA" w:rsidRDefault="009C13A9" w:rsidP="009C13A9">
            <w:pPr>
              <w:tabs>
                <w:tab w:val="left" w:leader="dot" w:pos="8505"/>
              </w:tabs>
              <w:overflowPunct w:val="0"/>
              <w:adjustRightInd w:val="0"/>
              <w:spacing w:before="8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0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ind w:left="57"/>
              <w:textAlignment w:val="baseline"/>
              <w:rPr>
                <w:rFonts w:cs="Arial"/>
                <w:sz w:val="18"/>
                <w:szCs w:val="20"/>
                <w:lang w:val="bg-BG"/>
              </w:rPr>
            </w:pPr>
            <w:r w:rsidRPr="009072DA">
              <w:rPr>
                <w:lang w:val="bg-BG"/>
              </w:rPr>
              <w:tab/>
            </w:r>
          </w:p>
          <w:p w:rsidR="009C13A9" w:rsidRPr="009072DA" w:rsidRDefault="009C13A9" w:rsidP="009C13A9">
            <w:pPr>
              <w:tabs>
                <w:tab w:val="left" w:leader="dot" w:pos="8505"/>
              </w:tabs>
              <w:overflowPunct w:val="0"/>
              <w:adjustRightInd w:val="0"/>
              <w:spacing w:before="120" w:after="40"/>
              <w:ind w:left="57"/>
              <w:textAlignment w:val="baseline"/>
              <w:rPr>
                <w:rFonts w:cs="Arial"/>
                <w:sz w:val="18"/>
                <w:szCs w:val="20"/>
                <w:lang w:val="bg-BG"/>
              </w:rPr>
            </w:pPr>
            <w:r w:rsidRPr="009072DA">
              <w:rPr>
                <w:lang w:val="bg-BG"/>
              </w:rPr>
              <w:tab/>
            </w:r>
          </w:p>
        </w:tc>
      </w:tr>
      <w:tr w:rsidR="009C13A9" w:rsidRPr="008D2440" w:rsidTr="009C13A9">
        <w:trPr>
          <w:cantSplit/>
          <w:jc w:val="center"/>
        </w:trPr>
        <w:tc>
          <w:tcPr>
            <w:tcW w:w="284" w:type="dxa"/>
            <w:tcBorders>
              <w:left w:val="single" w:sz="6" w:space="0" w:color="auto"/>
              <w:bottom w:val="single" w:sz="6" w:space="0" w:color="auto"/>
            </w:tcBorders>
          </w:tcPr>
          <w:p w:rsidR="009C13A9" w:rsidRPr="009072DA" w:rsidRDefault="009C13A9" w:rsidP="009C13A9">
            <w:pPr>
              <w:tabs>
                <w:tab w:val="left" w:pos="57"/>
              </w:tabs>
              <w:overflowPunct w:val="0"/>
              <w:adjustRightInd w:val="0"/>
              <w:spacing w:before="80"/>
              <w:textAlignment w:val="baseline"/>
              <w:rPr>
                <w:rFonts w:cs="Arial"/>
                <w:sz w:val="18"/>
                <w:szCs w:val="20"/>
                <w:lang w:val="bg-BG"/>
              </w:rPr>
            </w:pPr>
            <w:r w:rsidRPr="009072DA">
              <w:rPr>
                <w:lang w:val="bg-BG"/>
              </w:rPr>
              <w:tab/>
            </w:r>
            <w:r w:rsidRPr="009072DA">
              <w:rPr>
                <w:sz w:val="18"/>
                <w:lang w:val="bg-BG"/>
              </w:rPr>
              <w:t>*)</w:t>
            </w:r>
            <w:r w:rsidRPr="009072DA">
              <w:rPr>
                <w:rFonts w:cs="Arial"/>
                <w:sz w:val="18"/>
                <w:szCs w:val="20"/>
                <w:lang w:val="bg-BG"/>
              </w:rPr>
              <w:br/>
            </w:r>
            <w:r w:rsidRPr="009072DA">
              <w:rPr>
                <w:rFonts w:cs="Arial"/>
                <w:sz w:val="18"/>
                <w:szCs w:val="20"/>
                <w:lang w:val="bg-BG"/>
              </w:rPr>
              <w:br/>
            </w:r>
          </w:p>
          <w:p w:rsidR="009C13A9" w:rsidRPr="009072DA" w:rsidRDefault="009C13A9" w:rsidP="009C13A9">
            <w:pPr>
              <w:tabs>
                <w:tab w:val="left" w:pos="57"/>
              </w:tabs>
              <w:overflowPunct w:val="0"/>
              <w:adjustRightInd w:val="0"/>
              <w:spacing w:before="80"/>
              <w:textAlignment w:val="baseline"/>
              <w:rPr>
                <w:rFonts w:cs="Arial"/>
                <w:sz w:val="18"/>
                <w:szCs w:val="20"/>
                <w:lang w:val="bg-BG"/>
              </w:rPr>
            </w:pPr>
          </w:p>
          <w:p w:rsidR="009C13A9" w:rsidRPr="009072DA" w:rsidRDefault="009C13A9" w:rsidP="009C13A9">
            <w:pPr>
              <w:tabs>
                <w:tab w:val="left" w:pos="57"/>
              </w:tabs>
              <w:overflowPunct w:val="0"/>
              <w:adjustRightInd w:val="0"/>
              <w:spacing w:before="160"/>
              <w:textAlignment w:val="baseline"/>
              <w:rPr>
                <w:rFonts w:cs="Arial"/>
                <w:sz w:val="18"/>
                <w:szCs w:val="20"/>
                <w:lang w:val="bg-BG"/>
              </w:rPr>
            </w:pPr>
            <w:r w:rsidRPr="009072DA">
              <w:rPr>
                <w:lang w:val="bg-BG"/>
              </w:rPr>
              <w:tab/>
            </w:r>
            <w:r w:rsidRPr="009072DA">
              <w:rPr>
                <w:sz w:val="18"/>
                <w:lang w:val="bg-BG"/>
              </w:rPr>
              <w:t>*)</w:t>
            </w:r>
          </w:p>
        </w:tc>
        <w:tc>
          <w:tcPr>
            <w:tcW w:w="8902" w:type="dxa"/>
            <w:tcBorders>
              <w:bottom w:val="single" w:sz="6" w:space="0" w:color="auto"/>
              <w:right w:val="single" w:sz="6" w:space="0" w:color="auto"/>
            </w:tcBorders>
          </w:tcPr>
          <w:p w:rsidR="009C13A9" w:rsidRPr="009072DA"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bg-BG"/>
              </w:rPr>
            </w:pPr>
            <w:r w:rsidRPr="009072DA">
              <w:rPr>
                <w:sz w:val="18"/>
                <w:lang w:val="bg-BG"/>
              </w:rPr>
              <w:t>Изменение на точка(и): ....................</w:t>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sz w:val="18"/>
                <w:lang w:val="bg-BG"/>
              </w:rPr>
              <w:t>Нов текст:</w:t>
            </w:r>
            <w:r w:rsidRPr="009072DA">
              <w:rPr>
                <w:lang w:val="bg-BG"/>
              </w:rPr>
              <w:tab/>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lang w:val="bg-BG"/>
              </w:rPr>
              <w:tab/>
            </w:r>
          </w:p>
          <w:p w:rsidR="009C13A9" w:rsidRPr="009072DA" w:rsidRDefault="009C13A9" w:rsidP="009C13A9">
            <w:pPr>
              <w:tabs>
                <w:tab w:val="left" w:pos="57"/>
                <w:tab w:val="left" w:leader="dot" w:pos="8505"/>
              </w:tabs>
              <w:overflowPunct w:val="0"/>
              <w:adjustRightInd w:val="0"/>
              <w:spacing w:after="60"/>
              <w:ind w:left="57" w:right="57"/>
              <w:textAlignment w:val="baseline"/>
              <w:rPr>
                <w:rFonts w:cs="Arial"/>
                <w:sz w:val="18"/>
                <w:szCs w:val="20"/>
                <w:lang w:val="bg-BG"/>
              </w:rPr>
            </w:pPr>
            <w:r w:rsidRPr="009072DA">
              <w:rPr>
                <w:lang w:val="bg-BG"/>
              </w:rPr>
              <w:tab/>
            </w:r>
          </w:p>
          <w:p w:rsidR="009C13A9" w:rsidRPr="009072D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bg-BG"/>
              </w:rPr>
            </w:pPr>
            <w:r w:rsidRPr="009072DA">
              <w:rPr>
                <w:sz w:val="18"/>
                <w:lang w:val="bg-BG"/>
              </w:rPr>
              <w:t>Тази страница е заменена.</w:t>
            </w:r>
          </w:p>
          <w:p w:rsidR="009C13A9" w:rsidRPr="009072D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bg-BG"/>
              </w:rPr>
            </w:pPr>
            <w:r w:rsidRPr="009072DA">
              <w:rPr>
                <w:sz w:val="18"/>
                <w:lang w:val="bg-BG"/>
              </w:rPr>
              <w:t xml:space="preserve">Място, дата </w:t>
            </w:r>
            <w:r w:rsidRPr="009072DA">
              <w:rPr>
                <w:lang w:val="bg-BG"/>
              </w:rPr>
              <w:tab/>
            </w:r>
            <w:r w:rsidRPr="009072DA">
              <w:rPr>
                <w:lang w:val="bg-BG"/>
              </w:rPr>
              <w:tab/>
            </w:r>
            <w:r w:rsidRPr="009072DA">
              <w:rPr>
                <w:sz w:val="18"/>
                <w:lang w:val="bg-BG"/>
              </w:rPr>
              <w:t>Контролен орган</w:t>
            </w:r>
          </w:p>
          <w:p w:rsidR="009C13A9" w:rsidRPr="009072DA" w:rsidRDefault="009C13A9" w:rsidP="009C13A9">
            <w:pPr>
              <w:tabs>
                <w:tab w:val="left" w:pos="5103"/>
                <w:tab w:val="left" w:leader="dot" w:pos="8505"/>
              </w:tabs>
              <w:overflowPunct w:val="0"/>
              <w:adjustRightInd w:val="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1701"/>
              </w:tabs>
              <w:overflowPunct w:val="0"/>
              <w:adjustRightInd w:val="0"/>
              <w:spacing w:after="80"/>
              <w:textAlignment w:val="baseline"/>
              <w:rPr>
                <w:rFonts w:cs="Arial"/>
                <w:sz w:val="18"/>
                <w:szCs w:val="20"/>
                <w:lang w:val="bg-BG"/>
              </w:rPr>
            </w:pPr>
            <w:r w:rsidRPr="009072DA">
              <w:rPr>
                <w:lang w:val="bg-BG"/>
              </w:rPr>
              <w:tab/>
            </w:r>
            <w:r w:rsidRPr="009072DA">
              <w:rPr>
                <w:sz w:val="18"/>
                <w:lang w:val="bg-BG"/>
              </w:rPr>
              <w:t>Печат</w:t>
            </w:r>
          </w:p>
          <w:p w:rsidR="009C13A9" w:rsidRPr="009072DA" w:rsidRDefault="009C13A9" w:rsidP="009C13A9">
            <w:pPr>
              <w:tabs>
                <w:tab w:val="left" w:pos="5103"/>
                <w:tab w:val="left" w:leader="dot" w:pos="8505"/>
              </w:tabs>
              <w:overflowPunct w:val="0"/>
              <w:adjustRightInd w:val="0"/>
              <w:textAlignment w:val="baseline"/>
              <w:rPr>
                <w:rFonts w:cs="Arial"/>
                <w:szCs w:val="20"/>
                <w:lang w:val="bg-BG"/>
              </w:rPr>
            </w:pPr>
            <w:r w:rsidRPr="009072DA">
              <w:rPr>
                <w:lang w:val="bg-BG"/>
              </w:rPr>
              <w:tab/>
            </w:r>
            <w:r w:rsidRPr="009072DA">
              <w:rPr>
                <w:lang w:val="bg-BG"/>
              </w:rPr>
              <w:tab/>
            </w:r>
          </w:p>
          <w:p w:rsidR="009C13A9" w:rsidRPr="009072DA" w:rsidRDefault="009C13A9" w:rsidP="009C13A9">
            <w:pPr>
              <w:tabs>
                <w:tab w:val="center" w:pos="6862"/>
              </w:tabs>
              <w:overflowPunct w:val="0"/>
              <w:adjustRightInd w:val="0"/>
              <w:textAlignment w:val="baseline"/>
              <w:rPr>
                <w:rFonts w:cs="Arial"/>
                <w:sz w:val="16"/>
                <w:szCs w:val="20"/>
                <w:lang w:val="bg-BG"/>
              </w:rPr>
            </w:pPr>
            <w:r w:rsidRPr="009072DA">
              <w:rPr>
                <w:lang w:val="bg-BG"/>
              </w:rPr>
              <w:tab/>
            </w:r>
            <w:r w:rsidRPr="009072DA">
              <w:rPr>
                <w:sz w:val="16"/>
                <w:lang w:val="bg-BG"/>
              </w:rPr>
              <w:t>(Подпис)</w:t>
            </w:r>
          </w:p>
          <w:p w:rsidR="009C13A9" w:rsidRPr="009072D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bg-BG"/>
              </w:rPr>
            </w:pPr>
            <w:r w:rsidRPr="009072DA">
              <w:rPr>
                <w:sz w:val="18"/>
                <w:lang w:val="bg-BG"/>
              </w:rPr>
              <w:t>_______________________</w:t>
            </w:r>
          </w:p>
          <w:p w:rsidR="009C13A9" w:rsidRPr="009072DA" w:rsidRDefault="009C13A9" w:rsidP="009C13A9">
            <w:pPr>
              <w:tabs>
                <w:tab w:val="left" w:pos="284"/>
              </w:tabs>
              <w:overflowPunct w:val="0"/>
              <w:adjustRightInd w:val="0"/>
              <w:spacing w:after="40"/>
              <w:ind w:left="57"/>
              <w:textAlignment w:val="baseline"/>
              <w:rPr>
                <w:rFonts w:cs="Arial"/>
                <w:sz w:val="18"/>
                <w:szCs w:val="20"/>
                <w:lang w:val="bg-BG"/>
              </w:rPr>
            </w:pPr>
            <w:r w:rsidRPr="009072DA">
              <w:rPr>
                <w:position w:val="4"/>
                <w:sz w:val="16"/>
                <w:lang w:val="bg-BG"/>
              </w:rPr>
              <w:t>*)</w:t>
            </w:r>
            <w:r w:rsidRPr="009072DA">
              <w:rPr>
                <w:lang w:val="bg-BG"/>
              </w:rPr>
              <w:tab/>
            </w:r>
            <w:r w:rsidRPr="009072DA">
              <w:rPr>
                <w:sz w:val="16"/>
                <w:lang w:val="bg-BG"/>
              </w:rPr>
              <w:t>Ненужното се зачерква</w:t>
            </w:r>
          </w:p>
        </w:tc>
      </w:tr>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r w:rsidRPr="009072DA">
              <w:rPr>
                <w:sz w:val="18"/>
                <w:lang w:val="bg-BG"/>
              </w:rPr>
              <w:t xml:space="preserve"> </w:t>
            </w:r>
          </w:p>
        </w:tc>
        <w:tc>
          <w:tcPr>
            <w:tcW w:w="8902" w:type="dxa"/>
            <w:tcBorders>
              <w:top w:val="single" w:sz="6" w:space="0" w:color="auto"/>
              <w:bottom w:val="single" w:sz="6" w:space="0" w:color="auto"/>
              <w:right w:val="single" w:sz="6" w:space="0" w:color="auto"/>
            </w:tcBorders>
          </w:tcPr>
          <w:p w:rsidR="009C13A9" w:rsidRPr="009072DA" w:rsidRDefault="009C13A9" w:rsidP="00430B47">
            <w:pPr>
              <w:tabs>
                <w:tab w:val="left" w:pos="57"/>
                <w:tab w:val="left" w:pos="6295"/>
                <w:tab w:val="left" w:leader="dot" w:pos="8505"/>
              </w:tabs>
              <w:overflowPunct w:val="0"/>
              <w:adjustRightInd w:val="0"/>
              <w:spacing w:before="120" w:after="40"/>
              <w:textAlignment w:val="baseline"/>
              <w:rPr>
                <w:rFonts w:cs="Arial"/>
                <w:sz w:val="18"/>
                <w:szCs w:val="20"/>
                <w:lang w:val="bg-BG"/>
              </w:rPr>
            </w:pPr>
            <w:r w:rsidRPr="009072DA">
              <w:rPr>
                <w:lang w:val="bg-BG"/>
              </w:rPr>
              <w:tab/>
            </w:r>
            <w:r w:rsidRPr="009072DA">
              <w:rPr>
                <w:lang w:val="bg-BG"/>
              </w:rPr>
              <w:tab/>
            </w:r>
            <w:r w:rsidRPr="009072DA">
              <w:rPr>
                <w:sz w:val="18"/>
                <w:lang w:val="bg-BG"/>
              </w:rPr>
              <w:t>Продължава на страница</w:t>
            </w:r>
            <w:r w:rsidRPr="009072DA">
              <w:rPr>
                <w:position w:val="4"/>
                <w:sz w:val="16"/>
                <w:vertAlign w:val="superscript"/>
                <w:lang w:val="bg-BG"/>
              </w:rPr>
              <w:t>*)</w:t>
            </w:r>
            <w:r w:rsidRPr="009072DA">
              <w:rPr>
                <w:lang w:val="bg-BG"/>
              </w:rPr>
              <w:tab/>
            </w:r>
            <w:r w:rsidRPr="009072DA">
              <w:rPr>
                <w:rFonts w:cs="Arial"/>
                <w:position w:val="4"/>
                <w:sz w:val="16"/>
                <w:szCs w:val="20"/>
                <w:lang w:val="bg-BG"/>
              </w:rPr>
              <w:br/>
            </w:r>
            <w:r w:rsidRPr="009072DA">
              <w:rPr>
                <w:lang w:val="bg-BG"/>
              </w:rPr>
              <w:tab/>
            </w:r>
            <w:r w:rsidRPr="009072DA">
              <w:rPr>
                <w:lang w:val="bg-BG"/>
              </w:rPr>
              <w:tab/>
            </w:r>
            <w:r w:rsidRPr="009072DA">
              <w:rPr>
                <w:position w:val="4"/>
                <w:sz w:val="18"/>
                <w:lang w:val="bg-BG"/>
              </w:rPr>
              <w:t>Край на удостоверението</w:t>
            </w:r>
            <w:r w:rsidRPr="009072DA">
              <w:rPr>
                <w:position w:val="4"/>
                <w:sz w:val="16"/>
                <w:vertAlign w:val="superscript"/>
                <w:lang w:val="bg-BG"/>
              </w:rPr>
              <w:t>*)</w:t>
            </w:r>
          </w:p>
        </w:tc>
      </w:tr>
    </w:tbl>
    <w:p w:rsidR="009C13A9" w:rsidRPr="009072DA" w:rsidRDefault="009C13A9" w:rsidP="009C13A9">
      <w:pPr>
        <w:overflowPunct w:val="0"/>
        <w:adjustRightInd w:val="0"/>
        <w:textAlignment w:val="baseline"/>
        <w:rPr>
          <w:rFonts w:cs="Arial"/>
          <w:sz w:val="16"/>
          <w:szCs w:val="16"/>
          <w:lang w:val="bg-BG"/>
        </w:rPr>
      </w:pPr>
    </w:p>
    <w:p w:rsidR="009C13A9" w:rsidRPr="009072DA" w:rsidRDefault="009C13A9" w:rsidP="009C13A9">
      <w:pPr>
        <w:overflowPunct w:val="0"/>
        <w:adjustRightInd w:val="0"/>
        <w:textAlignment w:val="baseline"/>
        <w:rPr>
          <w:rFonts w:cs="Arial"/>
          <w:sz w:val="16"/>
          <w:szCs w:val="16"/>
          <w:lang w:val="bg-BG"/>
        </w:rPr>
      </w:pPr>
      <w:r w:rsidRPr="009072DA">
        <w:rPr>
          <w:lang w:val="bg-BG"/>
        </w:rPr>
        <w:br w:type="page"/>
      </w:r>
    </w:p>
    <w:p w:rsidR="009C13A9" w:rsidRPr="009072DA" w:rsidRDefault="009C13A9" w:rsidP="009C13A9">
      <w:pPr>
        <w:overflowPunct w:val="0"/>
        <w:adjustRightInd w:val="0"/>
        <w:textAlignment w:val="baseline"/>
        <w:rPr>
          <w:rFonts w:cs="Arial"/>
          <w:sz w:val="16"/>
          <w:szCs w:val="16"/>
          <w:lang w:val="bg-BG"/>
        </w:rPr>
      </w:pPr>
    </w:p>
    <w:p w:rsidR="009C13A9" w:rsidRPr="009072DA" w:rsidRDefault="009C13A9" w:rsidP="009C13A9">
      <w:pPr>
        <w:overflowPunct w:val="0"/>
        <w:adjustRightInd w:val="0"/>
        <w:textAlignment w:val="baseline"/>
        <w:rPr>
          <w:rFonts w:cs="Arial"/>
          <w:sz w:val="16"/>
          <w:szCs w:val="16"/>
          <w:lang w:val="bg-BG"/>
        </w:rPr>
      </w:pPr>
    </w:p>
    <w:p w:rsidR="009C13A9" w:rsidRPr="009072DA" w:rsidRDefault="009C13A9" w:rsidP="009C13A9">
      <w:pPr>
        <w:overflowPunct w:val="0"/>
        <w:adjustRightInd w:val="0"/>
        <w:textAlignment w:val="baseline"/>
        <w:rPr>
          <w:rFonts w:cs="Arial"/>
          <w:sz w:val="16"/>
          <w:szCs w:val="16"/>
          <w:lang w:val="bg-BG"/>
        </w:rPr>
      </w:pPr>
    </w:p>
    <w:p w:rsidR="009C13A9" w:rsidRPr="009072DA" w:rsidRDefault="009C13A9" w:rsidP="001865DF">
      <w:pPr>
        <w:pStyle w:val="ESgauche"/>
        <w:rPr>
          <w:noProof w:val="0"/>
          <w:lang w:val="bg-BG"/>
        </w:rPr>
      </w:pPr>
      <w:r w:rsidRPr="009072DA">
        <w:rPr>
          <w:noProof w:val="0"/>
          <w:lang w:val="bg-BG"/>
        </w:rPr>
        <w:br w:type="page"/>
      </w:r>
    </w:p>
    <w:p w:rsidR="009C13A9" w:rsidRPr="009072DA" w:rsidRDefault="00925755" w:rsidP="00857FC2">
      <w:pPr>
        <w:pStyle w:val="ES-Titre3"/>
        <w:rPr>
          <w:lang w:val="bg-BG"/>
        </w:rPr>
      </w:pPr>
      <w:bookmarkStart w:id="609" w:name="_Toc491854297"/>
      <w:bookmarkStart w:id="610" w:name="_Toc535827738"/>
      <w:r w:rsidRPr="009072DA">
        <w:rPr>
          <w:lang w:val="bg-BG"/>
        </w:rPr>
        <w:lastRenderedPageBreak/>
        <w:t>Раздел II</w:t>
      </w:r>
      <w:bookmarkEnd w:id="609"/>
      <w:bookmarkEnd w:id="610"/>
    </w:p>
    <w:p w:rsidR="009C13A9" w:rsidRPr="009072DA" w:rsidRDefault="009C13A9" w:rsidP="00857FC2">
      <w:pPr>
        <w:pStyle w:val="ES-Titre3a"/>
        <w:rPr>
          <w:lang w:val="bg-BG"/>
        </w:rPr>
      </w:pPr>
      <w:bookmarkStart w:id="611" w:name="_Toc491854298"/>
      <w:bookmarkStart w:id="612" w:name="_Toc535827739"/>
      <w:r w:rsidRPr="009072DA">
        <w:rPr>
          <w:lang w:val="bg-BG"/>
        </w:rPr>
        <w:t>Образец на временно удостоверение на плавателния съд за плаване по вътрешни водни пътища</w:t>
      </w:r>
      <w:bookmarkEnd w:id="611"/>
      <w:bookmarkEnd w:id="612"/>
    </w:p>
    <w:p w:rsidR="009C13A9" w:rsidRPr="009072DA" w:rsidRDefault="009C13A9" w:rsidP="009C13A9">
      <w:pPr>
        <w:tabs>
          <w:tab w:val="center" w:pos="8080"/>
        </w:tabs>
        <w:overflowPunct w:val="0"/>
        <w:adjustRightInd w:val="0"/>
        <w:textAlignment w:val="baseline"/>
        <w:rPr>
          <w:rFonts w:cs="Arial"/>
          <w:szCs w:val="20"/>
          <w:lang w:val="bg-BG"/>
        </w:rPr>
      </w:pPr>
    </w:p>
    <w:p w:rsidR="009C13A9" w:rsidRPr="009072DA" w:rsidRDefault="009C13A9" w:rsidP="009C13A9">
      <w:pPr>
        <w:tabs>
          <w:tab w:val="left" w:pos="284"/>
          <w:tab w:val="left" w:leader="dot" w:pos="9356"/>
        </w:tabs>
        <w:overflowPunct w:val="0"/>
        <w:adjustRightInd w:val="0"/>
        <w:jc w:val="center"/>
        <w:textAlignment w:val="baseline"/>
        <w:rPr>
          <w:rFonts w:cs="Arial"/>
          <w:b/>
          <w:lang w:val="bg-BG"/>
        </w:rPr>
      </w:pPr>
      <w:r w:rsidRPr="009072DA">
        <w:rPr>
          <w:b/>
          <w:lang w:val="bg-BG"/>
        </w:rPr>
        <w:t>Име на държавата/печат</w:t>
      </w:r>
    </w:p>
    <w:p w:rsidR="009C13A9" w:rsidRPr="009072DA" w:rsidRDefault="009C13A9" w:rsidP="009C13A9">
      <w:pPr>
        <w:tabs>
          <w:tab w:val="center" w:pos="8080"/>
        </w:tabs>
        <w:overflowPunct w:val="0"/>
        <w:adjustRightInd w:val="0"/>
        <w:textAlignment w:val="baseline"/>
        <w:rPr>
          <w:rFonts w:cs="Arial"/>
          <w:szCs w:val="20"/>
          <w:lang w:val="bg-BG"/>
        </w:rPr>
      </w:pPr>
    </w:p>
    <w:p w:rsidR="00E3172D" w:rsidRPr="009072DA" w:rsidRDefault="00E3172D" w:rsidP="00E3172D">
      <w:pPr>
        <w:tabs>
          <w:tab w:val="left" w:pos="284"/>
          <w:tab w:val="left" w:leader="dot" w:pos="9356"/>
        </w:tabs>
        <w:overflowPunct w:val="0"/>
        <w:adjustRightInd w:val="0"/>
        <w:jc w:val="center"/>
        <w:textAlignment w:val="baseline"/>
        <w:rPr>
          <w:rFonts w:cs="Arial"/>
          <w:b/>
          <w:lang w:val="bg-BG"/>
        </w:rPr>
      </w:pPr>
      <w:r w:rsidRPr="009072DA">
        <w:rPr>
          <w:b/>
          <w:lang w:val="bg-BG"/>
        </w:rPr>
        <w:t>Временно удостоверение на плавателния съд за плаване по вътрешни водни пътища</w:t>
      </w:r>
    </w:p>
    <w:p w:rsidR="009C13A9" w:rsidRPr="009072DA" w:rsidRDefault="009C13A9" w:rsidP="009C13A9">
      <w:pPr>
        <w:overflowPunct w:val="0"/>
        <w:adjustRightInd w:val="0"/>
        <w:jc w:val="center"/>
        <w:textAlignment w:val="baseline"/>
        <w:rPr>
          <w:rFonts w:cs="Arial"/>
          <w:lang w:val="bg-BG"/>
        </w:rPr>
      </w:pPr>
    </w:p>
    <w:p w:rsidR="009C13A9" w:rsidRPr="009072DA" w:rsidRDefault="009C13A9" w:rsidP="009C13A9">
      <w:pPr>
        <w:overflowPunct w:val="0"/>
        <w:adjustRightInd w:val="0"/>
        <w:jc w:val="center"/>
        <w:textAlignment w:val="baseline"/>
        <w:rPr>
          <w:rFonts w:cs="Arial"/>
          <w:lang w:val="bg-BG"/>
        </w:rPr>
      </w:pPr>
      <w:r w:rsidRPr="009072DA">
        <w:rPr>
          <w:b/>
          <w:lang w:val="bg-BG"/>
        </w:rPr>
        <w:t>N</w:t>
      </w:r>
      <w:r w:rsidRPr="009072DA">
        <w:rPr>
          <w:rFonts w:cs="Arial"/>
          <w:b/>
          <w:lang w:val="bg-BG"/>
        </w:rPr>
        <w:sym w:font="Symbol" w:char="F0B0"/>
      </w:r>
      <w:r w:rsidRPr="009072DA">
        <w:rPr>
          <w:b/>
          <w:lang w:val="bg-BG"/>
        </w:rPr>
        <w:t xml:space="preserve"> …..............</w:t>
      </w:r>
    </w:p>
    <w:tbl>
      <w:tblPr>
        <w:tblW w:w="9188" w:type="dxa"/>
        <w:jc w:val="center"/>
        <w:tblLayout w:type="fixed"/>
        <w:tblCellMar>
          <w:left w:w="0" w:type="dxa"/>
          <w:right w:w="0" w:type="dxa"/>
        </w:tblCellMar>
        <w:tblLook w:val="0000" w:firstRow="0" w:lastRow="0" w:firstColumn="0" w:lastColumn="0" w:noHBand="0" w:noVBand="0"/>
      </w:tblPr>
      <w:tblGrid>
        <w:gridCol w:w="284"/>
        <w:gridCol w:w="2778"/>
        <w:gridCol w:w="1475"/>
        <w:gridCol w:w="1418"/>
        <w:gridCol w:w="169"/>
        <w:gridCol w:w="1249"/>
        <w:gridCol w:w="1418"/>
        <w:gridCol w:w="397"/>
      </w:tblGrid>
      <w:tr w:rsidR="009C13A9" w:rsidRPr="008D2440" w:rsidTr="009C13A9">
        <w:trPr>
          <w:cantSplit/>
          <w:jc w:val="center"/>
        </w:trPr>
        <w:tc>
          <w:tcPr>
            <w:tcW w:w="284" w:type="dxa"/>
            <w:tcBorders>
              <w:top w:val="single" w:sz="6" w:space="0" w:color="auto"/>
              <w:left w:val="single" w:sz="6" w:space="0" w:color="auto"/>
            </w:tcBorders>
          </w:tcPr>
          <w:p w:rsidR="009C13A9" w:rsidRPr="009072DA" w:rsidRDefault="009C13A9" w:rsidP="009C13A9">
            <w:pPr>
              <w:tabs>
                <w:tab w:val="left" w:pos="57"/>
              </w:tabs>
              <w:overflowPunct w:val="0"/>
              <w:adjustRightInd w:val="0"/>
              <w:spacing w:before="40"/>
              <w:textAlignment w:val="baseline"/>
              <w:rPr>
                <w:rFonts w:cs="Arial"/>
                <w:sz w:val="18"/>
                <w:szCs w:val="20"/>
                <w:lang w:val="bg-BG"/>
              </w:rPr>
            </w:pPr>
            <w:r w:rsidRPr="009072DA">
              <w:rPr>
                <w:lang w:val="bg-BG"/>
              </w:rPr>
              <w:tab/>
            </w:r>
            <w:r w:rsidRPr="009072DA">
              <w:rPr>
                <w:sz w:val="18"/>
                <w:lang w:val="bg-BG"/>
              </w:rPr>
              <w:t>1.</w:t>
            </w:r>
          </w:p>
        </w:tc>
        <w:tc>
          <w:tcPr>
            <w:tcW w:w="2778" w:type="dxa"/>
            <w:tcBorders>
              <w:top w:val="single" w:sz="6" w:space="0" w:color="auto"/>
              <w:bottom w:val="single" w:sz="6" w:space="0" w:color="auto"/>
              <w:right w:val="single" w:sz="6" w:space="0" w:color="auto"/>
            </w:tcBorders>
          </w:tcPr>
          <w:p w:rsidR="009C13A9" w:rsidRPr="009072DA" w:rsidRDefault="009C13A9" w:rsidP="009C13A9">
            <w:pPr>
              <w:tabs>
                <w:tab w:val="left" w:pos="57"/>
              </w:tabs>
              <w:overflowPunct w:val="0"/>
              <w:adjustRightInd w:val="0"/>
              <w:spacing w:before="40"/>
              <w:textAlignment w:val="baseline"/>
              <w:rPr>
                <w:rFonts w:cs="Arial"/>
                <w:sz w:val="18"/>
                <w:szCs w:val="20"/>
                <w:lang w:val="bg-BG"/>
              </w:rPr>
            </w:pPr>
            <w:r w:rsidRPr="009072DA">
              <w:rPr>
                <w:sz w:val="18"/>
                <w:lang w:val="bg-BG"/>
              </w:rPr>
              <w:t>Име на плавателното средство</w:t>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p>
        </w:tc>
        <w:tc>
          <w:tcPr>
            <w:tcW w:w="3062" w:type="dxa"/>
            <w:gridSpan w:val="3"/>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57"/>
                <w:tab w:val="left" w:pos="227"/>
              </w:tabs>
              <w:overflowPunct w:val="0"/>
              <w:adjustRightInd w:val="0"/>
              <w:spacing w:before="40"/>
              <w:textAlignment w:val="baseline"/>
              <w:rPr>
                <w:rFonts w:cs="Arial"/>
                <w:sz w:val="18"/>
                <w:szCs w:val="20"/>
                <w:lang w:val="bg-BG"/>
              </w:rPr>
            </w:pPr>
            <w:r w:rsidRPr="009072DA">
              <w:rPr>
                <w:lang w:val="bg-BG"/>
              </w:rPr>
              <w:tab/>
            </w:r>
            <w:r w:rsidRPr="009072DA">
              <w:rPr>
                <w:sz w:val="18"/>
                <w:lang w:val="bg-BG"/>
              </w:rPr>
              <w:t>2.</w:t>
            </w:r>
            <w:r w:rsidRPr="009072DA">
              <w:rPr>
                <w:lang w:val="bg-BG"/>
              </w:rPr>
              <w:tab/>
            </w:r>
            <w:r w:rsidRPr="009072DA">
              <w:rPr>
                <w:sz w:val="18"/>
                <w:lang w:val="bg-BG"/>
              </w:rPr>
              <w:t>Вид на плавателното средство</w:t>
            </w:r>
          </w:p>
        </w:tc>
        <w:tc>
          <w:tcPr>
            <w:tcW w:w="3064" w:type="dxa"/>
            <w:gridSpan w:val="3"/>
            <w:tcBorders>
              <w:top w:val="single" w:sz="6" w:space="0" w:color="auto"/>
              <w:bottom w:val="single" w:sz="6" w:space="0" w:color="auto"/>
              <w:right w:val="single" w:sz="6" w:space="0" w:color="auto"/>
            </w:tcBorders>
          </w:tcPr>
          <w:p w:rsidR="009C13A9" w:rsidRPr="009072DA" w:rsidRDefault="009C13A9" w:rsidP="006D37CC">
            <w:pPr>
              <w:tabs>
                <w:tab w:val="left" w:pos="57"/>
                <w:tab w:val="left" w:pos="284"/>
              </w:tabs>
              <w:overflowPunct w:val="0"/>
              <w:adjustRightInd w:val="0"/>
              <w:spacing w:before="40"/>
              <w:ind w:left="284" w:hanging="284"/>
              <w:textAlignment w:val="baseline"/>
              <w:rPr>
                <w:rFonts w:cs="Arial"/>
                <w:sz w:val="18"/>
                <w:szCs w:val="20"/>
                <w:lang w:val="bg-BG"/>
              </w:rPr>
            </w:pPr>
            <w:r w:rsidRPr="009072DA">
              <w:rPr>
                <w:lang w:val="bg-BG"/>
              </w:rPr>
              <w:tab/>
            </w:r>
            <w:r w:rsidRPr="009072DA">
              <w:rPr>
                <w:sz w:val="18"/>
                <w:lang w:val="bg-BG"/>
              </w:rPr>
              <w:t>3.</w:t>
            </w:r>
            <w:r w:rsidRPr="009072DA">
              <w:rPr>
                <w:lang w:val="bg-BG"/>
              </w:rPr>
              <w:tab/>
            </w:r>
            <w:r w:rsidRPr="009072DA">
              <w:rPr>
                <w:sz w:val="18"/>
                <w:lang w:val="bg-BG"/>
              </w:rPr>
              <w:t>Уникален европейски идентификационен номер на плавателния съд</w:t>
            </w:r>
          </w:p>
        </w:tc>
      </w:tr>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40"/>
              <w:textAlignment w:val="baseline"/>
              <w:rPr>
                <w:rFonts w:cs="Arial"/>
                <w:sz w:val="18"/>
                <w:szCs w:val="20"/>
                <w:lang w:val="bg-BG"/>
              </w:rPr>
            </w:pPr>
            <w:r w:rsidRPr="009072DA">
              <w:rPr>
                <w:lang w:val="bg-BG"/>
              </w:rPr>
              <w:tab/>
            </w:r>
            <w:r w:rsidRPr="009072DA">
              <w:rPr>
                <w:sz w:val="18"/>
                <w:lang w:val="bg-BG"/>
              </w:rPr>
              <w:t>4.</w:t>
            </w:r>
          </w:p>
        </w:tc>
        <w:tc>
          <w:tcPr>
            <w:tcW w:w="8904" w:type="dxa"/>
            <w:gridSpan w:val="7"/>
            <w:tcBorders>
              <w:top w:val="single" w:sz="6" w:space="0" w:color="auto"/>
              <w:bottom w:val="single" w:sz="6" w:space="0" w:color="auto"/>
              <w:right w:val="single" w:sz="6" w:space="0" w:color="auto"/>
            </w:tcBorders>
          </w:tcPr>
          <w:p w:rsidR="009C13A9" w:rsidRPr="009072DA" w:rsidRDefault="009C13A9" w:rsidP="009C13A9">
            <w:pPr>
              <w:tabs>
                <w:tab w:val="left" w:pos="57"/>
                <w:tab w:val="left" w:pos="227"/>
              </w:tabs>
              <w:overflowPunct w:val="0"/>
              <w:adjustRightInd w:val="0"/>
              <w:spacing w:before="40"/>
              <w:ind w:left="57"/>
              <w:textAlignment w:val="baseline"/>
              <w:rPr>
                <w:rFonts w:cs="Arial"/>
                <w:sz w:val="18"/>
                <w:szCs w:val="20"/>
                <w:lang w:val="bg-BG"/>
              </w:rPr>
            </w:pPr>
            <w:r w:rsidRPr="009072DA">
              <w:rPr>
                <w:sz w:val="18"/>
                <w:lang w:val="bg-BG"/>
              </w:rPr>
              <w:t>Име и адрес на собственика</w:t>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s>
              <w:overflowPunct w:val="0"/>
              <w:adjustRightInd w:val="0"/>
              <w:spacing w:before="40"/>
              <w:textAlignment w:val="baseline"/>
              <w:rPr>
                <w:rFonts w:cs="Arial"/>
                <w:sz w:val="18"/>
                <w:szCs w:val="20"/>
                <w:lang w:val="bg-BG"/>
              </w:rPr>
            </w:pPr>
            <w:r w:rsidRPr="009072DA">
              <w:rPr>
                <w:lang w:val="bg-BG"/>
              </w:rPr>
              <w:tab/>
            </w:r>
            <w:r w:rsidRPr="009072DA">
              <w:rPr>
                <w:sz w:val="18"/>
                <w:lang w:val="bg-BG"/>
              </w:rPr>
              <w:t>5.</w:t>
            </w:r>
          </w:p>
        </w:tc>
        <w:tc>
          <w:tcPr>
            <w:tcW w:w="8904" w:type="dxa"/>
            <w:gridSpan w:val="7"/>
            <w:tcBorders>
              <w:top w:val="single" w:sz="6" w:space="0" w:color="auto"/>
              <w:bottom w:val="single" w:sz="6" w:space="0" w:color="auto"/>
              <w:right w:val="single" w:sz="6" w:space="0" w:color="auto"/>
            </w:tcBorders>
          </w:tcPr>
          <w:p w:rsidR="009C13A9" w:rsidRPr="009072DA" w:rsidRDefault="009C13A9" w:rsidP="009C13A9">
            <w:pPr>
              <w:tabs>
                <w:tab w:val="left" w:pos="57"/>
                <w:tab w:val="left" w:pos="227"/>
                <w:tab w:val="left" w:leader="dot" w:pos="2835"/>
                <w:tab w:val="left" w:pos="3686"/>
                <w:tab w:val="left" w:leader="dot" w:pos="5670"/>
                <w:tab w:val="left" w:leader="dot" w:pos="8505"/>
              </w:tabs>
              <w:overflowPunct w:val="0"/>
              <w:adjustRightInd w:val="0"/>
              <w:spacing w:before="40"/>
              <w:ind w:left="57"/>
              <w:textAlignment w:val="baseline"/>
              <w:rPr>
                <w:rFonts w:cs="Arial"/>
                <w:sz w:val="18"/>
                <w:szCs w:val="20"/>
                <w:lang w:val="bg-BG"/>
              </w:rPr>
            </w:pPr>
            <w:r w:rsidRPr="009072DA">
              <w:rPr>
                <w:sz w:val="18"/>
                <w:lang w:val="bg-BG"/>
              </w:rPr>
              <w:t xml:space="preserve">Дължина </w:t>
            </w:r>
            <m:oMath>
              <m:r>
                <w:rPr>
                  <w:rFonts w:ascii="Cambria Math" w:hAnsi="Cambria Math" w:cs="Arial"/>
                  <w:sz w:val="18"/>
                  <w:szCs w:val="20"/>
                  <w:lang w:val="bg-BG"/>
                </w:rPr>
                <m:t>L</m:t>
              </m:r>
            </m:oMath>
            <w:r w:rsidRPr="009072DA">
              <w:rPr>
                <w:sz w:val="18"/>
                <w:lang w:val="bg-BG"/>
              </w:rPr>
              <w:t xml:space="preserve">/ </w:t>
            </w:r>
            <m:oMath>
              <m:sSub>
                <m:sSubPr>
                  <m:ctrlPr>
                    <w:rPr>
                      <w:rFonts w:ascii="Cambria Math" w:hAnsi="Cambria Math" w:cs="Arial"/>
                      <w:i/>
                      <w:sz w:val="18"/>
                      <w:szCs w:val="18"/>
                      <w:lang w:val="bg-BG"/>
                    </w:rPr>
                  </m:ctrlPr>
                </m:sSubPr>
                <m:e>
                  <m:r>
                    <w:rPr>
                      <w:rFonts w:ascii="Cambria Math" w:hAnsi="Cambria Math" w:cs="Arial"/>
                      <w:sz w:val="18"/>
                      <w:szCs w:val="18"/>
                      <w:lang w:val="bg-BG"/>
                    </w:rPr>
                    <m:t>L</m:t>
                  </m:r>
                </m:e>
                <m:sub>
                  <m:r>
                    <w:rPr>
                      <w:rFonts w:ascii="Cambria Math" w:hAnsi="Cambria Math" w:cs="Arial"/>
                      <w:sz w:val="18"/>
                      <w:szCs w:val="18"/>
                      <w:lang w:val="bg-BG"/>
                    </w:rPr>
                    <m:t>WL</m:t>
                  </m:r>
                </m:sub>
              </m:sSub>
            </m:oMath>
            <w:r w:rsidRPr="009072DA">
              <w:rPr>
                <w:sz w:val="16"/>
                <w:vertAlign w:val="superscript"/>
                <w:lang w:val="bg-BG"/>
              </w:rPr>
              <w:t>*)</w:t>
            </w:r>
            <w:r w:rsidRPr="009072DA">
              <w:rPr>
                <w:lang w:val="bg-BG"/>
              </w:rPr>
              <w:tab/>
            </w:r>
            <w:r w:rsidRPr="009072DA">
              <w:rPr>
                <w:sz w:val="16"/>
                <w:vertAlign w:val="superscript"/>
                <w:lang w:val="bg-BG"/>
              </w:rPr>
              <w:t xml:space="preserve"> </w:t>
            </w:r>
            <w:r w:rsidRPr="009072DA">
              <w:rPr>
                <w:sz w:val="18"/>
                <w:lang w:val="bg-BG"/>
              </w:rPr>
              <w:t>Брой на пътниците</w:t>
            </w:r>
            <w:r w:rsidRPr="009072DA">
              <w:rPr>
                <w:lang w:val="bg-BG"/>
              </w:rPr>
              <w:tab/>
            </w:r>
          </w:p>
          <w:p w:rsidR="009C13A9" w:rsidRPr="009072DA" w:rsidRDefault="009C13A9" w:rsidP="009C13A9">
            <w:pPr>
              <w:tabs>
                <w:tab w:val="left" w:pos="57"/>
                <w:tab w:val="left" w:pos="227"/>
                <w:tab w:val="left" w:leader="dot" w:pos="2835"/>
                <w:tab w:val="left" w:pos="3686"/>
                <w:tab w:val="left" w:leader="dot" w:pos="5670"/>
                <w:tab w:val="left" w:leader="dot" w:pos="8505"/>
              </w:tabs>
              <w:overflowPunct w:val="0"/>
              <w:adjustRightInd w:val="0"/>
              <w:spacing w:before="40" w:after="80"/>
              <w:ind w:left="57"/>
              <w:textAlignment w:val="baseline"/>
              <w:rPr>
                <w:rFonts w:cs="Arial"/>
                <w:sz w:val="18"/>
                <w:szCs w:val="20"/>
                <w:lang w:val="bg-BG"/>
              </w:rPr>
            </w:pPr>
            <w:r w:rsidRPr="009072DA">
              <w:rPr>
                <w:sz w:val="18"/>
                <w:lang w:val="bg-BG"/>
              </w:rPr>
              <w:t>Брой на койките</w:t>
            </w:r>
            <w:r w:rsidRPr="009072DA">
              <w:rPr>
                <w:sz w:val="16"/>
                <w:vertAlign w:val="superscript"/>
                <w:lang w:val="bg-BG"/>
              </w:rPr>
              <w:t>*)</w:t>
            </w:r>
            <w:r w:rsidRPr="009072DA">
              <w:rPr>
                <w:sz w:val="18"/>
                <w:lang w:val="bg-BG"/>
              </w:rPr>
              <w:t xml:space="preserve"> </w:t>
            </w:r>
            <w:r w:rsidRPr="009072DA">
              <w:rPr>
                <w:lang w:val="bg-BG"/>
              </w:rPr>
              <w:tab/>
            </w:r>
          </w:p>
        </w:tc>
      </w:tr>
      <w:tr w:rsidR="009C13A9" w:rsidRPr="009072DA"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40"/>
              <w:textAlignment w:val="baseline"/>
              <w:rPr>
                <w:rFonts w:cs="Arial"/>
                <w:sz w:val="18"/>
                <w:szCs w:val="20"/>
                <w:lang w:val="bg-BG"/>
              </w:rPr>
            </w:pPr>
            <w:r w:rsidRPr="009072DA">
              <w:rPr>
                <w:lang w:val="bg-BG"/>
              </w:rPr>
              <w:tab/>
            </w:r>
            <w:r w:rsidRPr="009072DA">
              <w:rPr>
                <w:sz w:val="18"/>
                <w:lang w:val="bg-BG"/>
              </w:rPr>
              <w:t>6.</w:t>
            </w:r>
          </w:p>
        </w:tc>
        <w:tc>
          <w:tcPr>
            <w:tcW w:w="8904" w:type="dxa"/>
            <w:gridSpan w:val="7"/>
            <w:tcBorders>
              <w:top w:val="single" w:sz="6" w:space="0" w:color="auto"/>
              <w:bottom w:val="single" w:sz="6" w:space="0" w:color="auto"/>
              <w:right w:val="single" w:sz="6" w:space="0" w:color="auto"/>
            </w:tcBorders>
          </w:tcPr>
          <w:p w:rsidR="009C13A9" w:rsidRPr="009072DA" w:rsidRDefault="009C13A9" w:rsidP="00166C9D">
            <w:pPr>
              <w:tabs>
                <w:tab w:val="left" w:pos="57"/>
                <w:tab w:val="left" w:pos="227"/>
                <w:tab w:val="left" w:leader="dot" w:pos="8505"/>
              </w:tabs>
              <w:overflowPunct w:val="0"/>
              <w:adjustRightInd w:val="0"/>
              <w:spacing w:before="40"/>
              <w:ind w:left="57"/>
              <w:textAlignment w:val="baseline"/>
              <w:rPr>
                <w:rFonts w:cs="Arial"/>
                <w:sz w:val="18"/>
                <w:szCs w:val="20"/>
                <w:lang w:val="bg-BG"/>
              </w:rPr>
            </w:pPr>
            <w:r w:rsidRPr="009072DA">
              <w:rPr>
                <w:sz w:val="18"/>
                <w:lang w:val="bg-BG"/>
              </w:rPr>
              <w:t xml:space="preserve">Екипаж: </w:t>
            </w:r>
            <w:r w:rsidRPr="009072DA">
              <w:rPr>
                <w:lang w:val="bg-BG"/>
              </w:rPr>
              <w:tab/>
            </w:r>
            <w:r w:rsidRPr="009072DA">
              <w:rPr>
                <w:rFonts w:cs="Arial"/>
                <w:sz w:val="18"/>
                <w:szCs w:val="20"/>
                <w:lang w:val="bg-BG"/>
              </w:rPr>
              <w:br/>
            </w:r>
          </w:p>
        </w:tc>
      </w:tr>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r w:rsidRPr="009072DA">
              <w:rPr>
                <w:sz w:val="18"/>
                <w:lang w:val="bg-BG"/>
              </w:rPr>
              <w:t>6.1</w:t>
            </w:r>
          </w:p>
        </w:tc>
        <w:tc>
          <w:tcPr>
            <w:tcW w:w="8904" w:type="dxa"/>
            <w:gridSpan w:val="7"/>
            <w:tcBorders>
              <w:top w:val="single" w:sz="6" w:space="0" w:color="auto"/>
              <w:bottom w:val="single" w:sz="6" w:space="0" w:color="auto"/>
              <w:right w:val="single" w:sz="6" w:space="0" w:color="auto"/>
            </w:tcBorders>
          </w:tcPr>
          <w:p w:rsidR="009C13A9" w:rsidRPr="009072DA" w:rsidRDefault="009C13A9" w:rsidP="001C4EBD">
            <w:pPr>
              <w:ind w:left="57" w:right="57"/>
              <w:rPr>
                <w:sz w:val="18"/>
                <w:lang w:val="bg-BG"/>
              </w:rPr>
            </w:pPr>
          </w:p>
          <w:p w:rsidR="009C13A9" w:rsidRPr="009072DA" w:rsidRDefault="009C13A9" w:rsidP="001C4EBD">
            <w:pPr>
              <w:ind w:left="57" w:right="57"/>
              <w:rPr>
                <w:rFonts w:cs="Arial"/>
                <w:sz w:val="18"/>
                <w:szCs w:val="18"/>
                <w:lang w:val="bg-BG"/>
              </w:rPr>
            </w:pPr>
            <w:r w:rsidRPr="009072DA">
              <w:rPr>
                <w:sz w:val="18"/>
                <w:lang w:val="bg-BG"/>
              </w:rPr>
              <w:t>[Плавателният съд е приет за режим на работа A1</w:t>
            </w:r>
            <w:r w:rsidRPr="009072DA">
              <w:rPr>
                <w:sz w:val="16"/>
                <w:vertAlign w:val="superscript"/>
                <w:lang w:val="bg-BG"/>
              </w:rPr>
              <w:t>*)</w:t>
            </w:r>
            <w:r w:rsidRPr="009072DA">
              <w:rPr>
                <w:sz w:val="18"/>
                <w:lang w:val="bg-BG"/>
              </w:rPr>
              <w:t>, A2</w:t>
            </w:r>
            <w:r w:rsidRPr="009072DA">
              <w:rPr>
                <w:sz w:val="16"/>
                <w:vertAlign w:val="superscript"/>
                <w:lang w:val="bg-BG"/>
              </w:rPr>
              <w:t>*)</w:t>
            </w:r>
            <w:r w:rsidRPr="009072DA">
              <w:rPr>
                <w:sz w:val="18"/>
                <w:lang w:val="bg-BG"/>
              </w:rPr>
              <w:t>, Б</w:t>
            </w:r>
            <w:r w:rsidRPr="009072DA">
              <w:rPr>
                <w:sz w:val="16"/>
                <w:vertAlign w:val="superscript"/>
                <w:lang w:val="bg-BG"/>
              </w:rPr>
              <w:t>*)</w:t>
            </w:r>
            <w:r w:rsidRPr="009072DA">
              <w:rPr>
                <w:sz w:val="18"/>
                <w:lang w:val="bg-BG"/>
              </w:rPr>
              <w:t xml:space="preserve"> / Препратка към режимите на работа в съответствие с националните и международните изисквания.]</w:t>
            </w:r>
          </w:p>
        </w:tc>
      </w:tr>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r w:rsidRPr="009072DA">
              <w:rPr>
                <w:sz w:val="18"/>
                <w:lang w:val="bg-BG"/>
              </w:rPr>
              <w:t>6.2</w:t>
            </w:r>
          </w:p>
        </w:tc>
        <w:tc>
          <w:tcPr>
            <w:tcW w:w="8904" w:type="dxa"/>
            <w:gridSpan w:val="7"/>
            <w:tcBorders>
              <w:top w:val="single" w:sz="6" w:space="0" w:color="auto"/>
              <w:bottom w:val="single" w:sz="6" w:space="0" w:color="auto"/>
              <w:right w:val="single" w:sz="6" w:space="0" w:color="auto"/>
            </w:tcBorders>
          </w:tcPr>
          <w:p w:rsidR="009C13A9" w:rsidRPr="009072DA" w:rsidRDefault="009C13A9" w:rsidP="001C4EBD">
            <w:pPr>
              <w:ind w:left="57" w:right="57"/>
              <w:rPr>
                <w:rFonts w:cs="Arial"/>
                <w:sz w:val="18"/>
                <w:szCs w:val="18"/>
                <w:lang w:val="bg-BG"/>
              </w:rPr>
            </w:pPr>
            <w:r w:rsidRPr="009072DA">
              <w:rPr>
                <w:sz w:val="18"/>
                <w:lang w:val="bg-BG"/>
              </w:rPr>
              <w:t>Оборудване на плавателен съд в съответствие с член 31.01.</w:t>
            </w:r>
            <w:r w:rsidRPr="009072DA">
              <w:rPr>
                <w:sz w:val="18"/>
                <w:szCs w:val="20"/>
                <w:lang w:val="bg-BG"/>
              </w:rPr>
              <w:br/>
            </w:r>
            <w:r w:rsidRPr="009072DA">
              <w:rPr>
                <w:sz w:val="18"/>
                <w:lang w:val="bg-BG"/>
              </w:rPr>
              <w:t>Плавателният съд съответства</w:t>
            </w:r>
            <w:r w:rsidRPr="009072DA">
              <w:rPr>
                <w:position w:val="6"/>
                <w:sz w:val="16"/>
                <w:lang w:val="bg-BG"/>
              </w:rPr>
              <w:t xml:space="preserve"> *)</w:t>
            </w:r>
            <w:r w:rsidRPr="009072DA">
              <w:rPr>
                <w:sz w:val="18"/>
                <w:lang w:val="bg-BG"/>
              </w:rPr>
              <w:t xml:space="preserve"> / не съответства </w:t>
            </w:r>
            <w:r w:rsidRPr="009072DA">
              <w:rPr>
                <w:position w:val="6"/>
                <w:sz w:val="16"/>
                <w:lang w:val="bg-BG"/>
              </w:rPr>
              <w:t>*)</w:t>
            </w:r>
            <w:r w:rsidRPr="009072DA">
              <w:rPr>
                <w:sz w:val="18"/>
                <w:lang w:val="bg-BG"/>
              </w:rPr>
              <w:t xml:space="preserve"> на член 31.02 (Стандарт S1)</w:t>
            </w:r>
            <w:r w:rsidRPr="009072DA">
              <w:rPr>
                <w:position w:val="6"/>
                <w:sz w:val="16"/>
                <w:lang w:val="bg-BG"/>
              </w:rPr>
              <w:t>*)</w:t>
            </w:r>
            <w:r w:rsidRPr="009072DA">
              <w:rPr>
                <w:sz w:val="18"/>
                <w:lang w:val="bg-BG"/>
              </w:rPr>
              <w:t xml:space="preserve"> / член 31.03 (Стандарт S2)</w:t>
            </w:r>
            <w:r w:rsidRPr="009072DA">
              <w:rPr>
                <w:position w:val="6"/>
                <w:sz w:val="16"/>
                <w:lang w:val="bg-BG"/>
              </w:rPr>
              <w:t>*)</w:t>
            </w:r>
            <w:r w:rsidRPr="009072DA">
              <w:rPr>
                <w:sz w:val="18"/>
                <w:lang w:val="bg-BG"/>
              </w:rPr>
              <w:t>.</w:t>
            </w:r>
            <w:r w:rsidRPr="009072DA">
              <w:rPr>
                <w:rFonts w:cs="Arial"/>
                <w:sz w:val="18"/>
                <w:szCs w:val="18"/>
                <w:lang w:val="bg-BG"/>
              </w:rPr>
              <w:br/>
            </w:r>
            <w:r w:rsidRPr="009072DA">
              <w:rPr>
                <w:sz w:val="18"/>
                <w:lang w:val="bg-BG"/>
              </w:rPr>
              <w:t>[В съответствие с член 3.18 от разпоредбите относно навигационния персонал по река Рейн / в съответствие с националните или международните изисквания], минималният екипаж трябва да бъде увеличен както следва</w:t>
            </w:r>
            <w:r w:rsidRPr="009072DA">
              <w:rPr>
                <w:position w:val="6"/>
                <w:sz w:val="16"/>
                <w:lang w:val="bg-BG"/>
              </w:rPr>
              <w:t>*)</w:t>
            </w:r>
            <w:r w:rsidRPr="009072DA">
              <w:rPr>
                <w:sz w:val="18"/>
                <w:lang w:val="bg-BG"/>
              </w:rPr>
              <w:t>/ не трябва да бъде увеличен:</w:t>
            </w:r>
            <w:r w:rsidRPr="009072DA">
              <w:rPr>
                <w:position w:val="6"/>
                <w:sz w:val="16"/>
                <w:lang w:val="bg-BG"/>
              </w:rPr>
              <w:t>*)</w:t>
            </w:r>
            <w:r w:rsidRPr="009072DA">
              <w:rPr>
                <w:sz w:val="18"/>
                <w:lang w:val="bg-BG"/>
              </w:rPr>
              <w:t>:</w:t>
            </w:r>
            <w:r w:rsidRPr="009072DA">
              <w:rPr>
                <w:sz w:val="18"/>
                <w:vertAlign w:val="superscript"/>
                <w:lang w:val="bg-BG"/>
              </w:rPr>
              <w:footnoteReference w:id="51"/>
            </w:r>
          </w:p>
        </w:tc>
      </w:tr>
      <w:tr w:rsidR="009C13A9" w:rsidRPr="008D2440"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4253" w:type="dxa"/>
            <w:gridSpan w:val="2"/>
            <w:tcBorders>
              <w:top w:val="single" w:sz="6" w:space="0" w:color="auto"/>
              <w:bottom w:val="single" w:sz="4" w:space="0" w:color="auto"/>
            </w:tcBorders>
          </w:tcPr>
          <w:p w:rsidR="009C13A9" w:rsidRPr="009072DA" w:rsidRDefault="009C13A9" w:rsidP="009C13A9">
            <w:pPr>
              <w:tabs>
                <w:tab w:val="left" w:pos="57"/>
                <w:tab w:val="left" w:leader="dot" w:pos="8505"/>
              </w:tabs>
              <w:overflowPunct w:val="0"/>
              <w:adjustRightInd w:val="0"/>
              <w:spacing w:before="120"/>
              <w:ind w:left="57" w:hanging="57"/>
              <w:textAlignment w:val="baseline"/>
              <w:rPr>
                <w:rFonts w:cs="Arial"/>
                <w:sz w:val="18"/>
                <w:szCs w:val="20"/>
                <w:lang w:val="bg-BG"/>
              </w:rPr>
            </w:pPr>
          </w:p>
        </w:tc>
        <w:tc>
          <w:tcPr>
            <w:tcW w:w="4254" w:type="dxa"/>
            <w:gridSpan w:val="4"/>
            <w:tcBorders>
              <w:top w:val="single" w:sz="6" w:space="0" w:color="auto"/>
              <w:bottom w:val="single" w:sz="4" w:space="0" w:color="auto"/>
            </w:tcBorders>
          </w:tcPr>
          <w:p w:rsidR="009C13A9" w:rsidRPr="009072DA" w:rsidRDefault="009C13A9" w:rsidP="009C13A9">
            <w:pPr>
              <w:tabs>
                <w:tab w:val="left" w:pos="1134"/>
              </w:tabs>
              <w:overflowPunct w:val="0"/>
              <w:adjustRightInd w:val="0"/>
              <w:spacing w:before="120"/>
              <w:ind w:left="57" w:hanging="57"/>
              <w:textAlignment w:val="baseline"/>
              <w:rPr>
                <w:rFonts w:cs="Arial"/>
                <w:sz w:val="18"/>
                <w:szCs w:val="20"/>
                <w:lang w:val="bg-BG"/>
              </w:rPr>
            </w:pPr>
          </w:p>
        </w:tc>
        <w:tc>
          <w:tcPr>
            <w:tcW w:w="397" w:type="dxa"/>
            <w:tcBorders>
              <w:left w:val="nil"/>
              <w:right w:val="single" w:sz="6" w:space="0" w:color="auto"/>
            </w:tcBorders>
          </w:tcPr>
          <w:p w:rsidR="009C13A9" w:rsidRPr="009072DA" w:rsidRDefault="009C13A9" w:rsidP="009C13A9">
            <w:pPr>
              <w:tabs>
                <w:tab w:val="left" w:pos="57"/>
                <w:tab w:val="left" w:pos="5103"/>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4253" w:type="dxa"/>
            <w:gridSpan w:val="2"/>
            <w:tcBorders>
              <w:top w:val="single" w:sz="4" w:space="0" w:color="auto"/>
              <w:left w:val="single" w:sz="6" w:space="0" w:color="auto"/>
              <w:right w:val="single" w:sz="6" w:space="0" w:color="auto"/>
            </w:tcBorders>
          </w:tcPr>
          <w:p w:rsidR="009C13A9" w:rsidRPr="009072DA" w:rsidRDefault="009C13A9" w:rsidP="009C13A9">
            <w:pPr>
              <w:tabs>
                <w:tab w:val="left" w:pos="57"/>
                <w:tab w:val="left" w:leader="dot" w:pos="8505"/>
              </w:tabs>
              <w:overflowPunct w:val="0"/>
              <w:adjustRightInd w:val="0"/>
              <w:spacing w:before="120"/>
              <w:ind w:left="57" w:hanging="57"/>
              <w:textAlignment w:val="baseline"/>
              <w:rPr>
                <w:rFonts w:cs="Arial"/>
                <w:sz w:val="18"/>
                <w:szCs w:val="20"/>
                <w:lang w:val="bg-BG"/>
              </w:rPr>
            </w:pPr>
          </w:p>
        </w:tc>
        <w:tc>
          <w:tcPr>
            <w:tcW w:w="4254" w:type="dxa"/>
            <w:gridSpan w:val="4"/>
            <w:tcBorders>
              <w:top w:val="single" w:sz="4" w:space="0" w:color="auto"/>
              <w:left w:val="single" w:sz="6" w:space="0" w:color="auto"/>
              <w:right w:val="single" w:sz="6" w:space="0" w:color="auto"/>
            </w:tcBorders>
          </w:tcPr>
          <w:p w:rsidR="009C13A9" w:rsidRPr="009072DA" w:rsidRDefault="009C13A9" w:rsidP="009C13A9">
            <w:pPr>
              <w:tabs>
                <w:tab w:val="left" w:pos="1134"/>
              </w:tabs>
              <w:overflowPunct w:val="0"/>
              <w:adjustRightInd w:val="0"/>
              <w:spacing w:before="120"/>
              <w:ind w:left="57" w:hanging="57"/>
              <w:textAlignment w:val="baseline"/>
              <w:rPr>
                <w:rFonts w:cs="Arial"/>
                <w:sz w:val="18"/>
                <w:szCs w:val="20"/>
                <w:lang w:val="bg-BG"/>
              </w:rPr>
            </w:pPr>
            <w:r w:rsidRPr="009072DA">
              <w:rPr>
                <w:lang w:val="bg-BG"/>
              </w:rPr>
              <w:tab/>
            </w:r>
            <w:r w:rsidRPr="009072DA">
              <w:rPr>
                <w:lang w:val="bg-BG"/>
              </w:rPr>
              <w:tab/>
            </w:r>
            <w:r w:rsidRPr="009072DA">
              <w:rPr>
                <w:sz w:val="18"/>
                <w:lang w:val="bg-BG"/>
              </w:rPr>
              <w:t>Режими на работа</w:t>
            </w: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textAlignment w:val="baseline"/>
              <w:rPr>
                <w:rFonts w:cs="Arial"/>
                <w:sz w:val="18"/>
                <w:szCs w:val="20"/>
                <w:lang w:val="bg-BG"/>
              </w:rPr>
            </w:pP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40" w:after="40"/>
              <w:textAlignment w:val="baseline"/>
              <w:rPr>
                <w:rFonts w:cs="Arial"/>
                <w:sz w:val="18"/>
                <w:szCs w:val="20"/>
                <w:lang w:val="bg-BG"/>
              </w:rPr>
            </w:pPr>
          </w:p>
        </w:tc>
        <w:tc>
          <w:tcPr>
            <w:tcW w:w="4253" w:type="dxa"/>
            <w:gridSpan w:val="2"/>
            <w:tcBorders>
              <w:top w:val="single" w:sz="6" w:space="0" w:color="auto"/>
              <w:left w:val="single" w:sz="6" w:space="0" w:color="auto"/>
              <w:right w:val="single" w:sz="6" w:space="0" w:color="auto"/>
            </w:tcBorders>
          </w:tcPr>
          <w:p w:rsidR="009C13A9" w:rsidRPr="009072DA" w:rsidRDefault="009C13A9" w:rsidP="009C13A9">
            <w:pPr>
              <w:tabs>
                <w:tab w:val="left" w:pos="57"/>
                <w:tab w:val="left" w:leader="dot" w:pos="3969"/>
                <w:tab w:val="left" w:leader="dot" w:pos="8505"/>
              </w:tabs>
              <w:overflowPunct w:val="0"/>
              <w:adjustRightInd w:val="0"/>
              <w:spacing w:before="40" w:after="40"/>
              <w:ind w:left="57" w:hanging="57"/>
              <w:textAlignment w:val="baseline"/>
              <w:rPr>
                <w:rFonts w:cs="Arial"/>
                <w:sz w:val="18"/>
                <w:szCs w:val="20"/>
                <w:lang w:val="bg-BG"/>
              </w:rPr>
            </w:pPr>
          </w:p>
        </w:tc>
        <w:tc>
          <w:tcPr>
            <w:tcW w:w="1418" w:type="dxa"/>
            <w:tcBorders>
              <w:top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spacing w:before="40" w:after="40"/>
              <w:ind w:left="57" w:hanging="57"/>
              <w:textAlignment w:val="baseline"/>
              <w:rPr>
                <w:rFonts w:cs="Arial"/>
                <w:sz w:val="18"/>
                <w:szCs w:val="20"/>
                <w:lang w:val="bg-BG"/>
              </w:rPr>
            </w:pPr>
          </w:p>
        </w:tc>
        <w:tc>
          <w:tcPr>
            <w:tcW w:w="1418" w:type="dxa"/>
            <w:gridSpan w:val="2"/>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spacing w:before="40" w:after="40"/>
              <w:ind w:left="57" w:hanging="57"/>
              <w:textAlignment w:val="baseline"/>
              <w:rPr>
                <w:rFonts w:cs="Arial"/>
                <w:sz w:val="18"/>
                <w:szCs w:val="20"/>
                <w:lang w:val="bg-BG"/>
              </w:rPr>
            </w:pPr>
          </w:p>
        </w:tc>
        <w:tc>
          <w:tcPr>
            <w:tcW w:w="1418" w:type="dxa"/>
            <w:tcBorders>
              <w:top w:val="single" w:sz="6" w:space="0" w:color="auto"/>
              <w:left w:val="single" w:sz="6" w:space="0" w:color="auto"/>
              <w:bottom w:val="single" w:sz="6" w:space="0" w:color="auto"/>
              <w:right w:val="single" w:sz="6" w:space="0" w:color="auto"/>
            </w:tcBorders>
          </w:tcPr>
          <w:p w:rsidR="009C13A9" w:rsidRPr="009072DA" w:rsidRDefault="009C13A9" w:rsidP="009C13A9">
            <w:pPr>
              <w:tabs>
                <w:tab w:val="left" w:pos="454"/>
              </w:tabs>
              <w:overflowPunct w:val="0"/>
              <w:adjustRightInd w:val="0"/>
              <w:spacing w:before="40" w:after="40"/>
              <w:ind w:left="57" w:hanging="57"/>
              <w:textAlignment w:val="baseline"/>
              <w:rPr>
                <w:rFonts w:cs="Arial"/>
                <w:sz w:val="18"/>
                <w:szCs w:val="20"/>
                <w:lang w:val="bg-BG"/>
              </w:rPr>
            </w:pP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40" w:after="4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4253" w:type="dxa"/>
            <w:gridSpan w:val="2"/>
            <w:tcBorders>
              <w:left w:val="single" w:sz="6" w:space="0" w:color="auto"/>
              <w:right w:val="single" w:sz="6" w:space="0" w:color="auto"/>
            </w:tcBorders>
          </w:tcPr>
          <w:p w:rsidR="009C13A9" w:rsidRPr="009072DA" w:rsidRDefault="009C13A9" w:rsidP="009C13A9">
            <w:pPr>
              <w:tabs>
                <w:tab w:val="left" w:pos="57"/>
                <w:tab w:val="left" w:leader="dot" w:pos="3969"/>
                <w:tab w:val="left" w:leader="dot" w:pos="8505"/>
              </w:tabs>
              <w:overflowPunct w:val="0"/>
              <w:adjustRightInd w:val="0"/>
              <w:spacing w:before="120"/>
              <w:ind w:left="114" w:hanging="57"/>
              <w:textAlignment w:val="baseline"/>
              <w:rPr>
                <w:rFonts w:cs="Arial"/>
                <w:sz w:val="18"/>
                <w:szCs w:val="20"/>
                <w:lang w:val="bg-BG"/>
              </w:rPr>
            </w:pPr>
          </w:p>
        </w:tc>
        <w:tc>
          <w:tcPr>
            <w:tcW w:w="1418" w:type="dxa"/>
            <w:tcBorders>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r w:rsidRPr="009072DA">
              <w:rPr>
                <w:lang w:val="bg-BG"/>
              </w:rPr>
              <w:tab/>
            </w:r>
            <w:r w:rsidRPr="009072DA">
              <w:rPr>
                <w:lang w:val="bg-BG"/>
              </w:rPr>
              <w:tab/>
            </w:r>
          </w:p>
        </w:tc>
        <w:tc>
          <w:tcPr>
            <w:tcW w:w="1418" w:type="dxa"/>
            <w:gridSpan w:val="2"/>
            <w:tcBorders>
              <w:left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r w:rsidRPr="009072DA">
              <w:rPr>
                <w:lang w:val="bg-BG"/>
              </w:rPr>
              <w:tab/>
            </w:r>
            <w:r w:rsidRPr="009072DA">
              <w:rPr>
                <w:lang w:val="bg-BG"/>
              </w:rPr>
              <w:tab/>
            </w:r>
          </w:p>
        </w:tc>
        <w:tc>
          <w:tcPr>
            <w:tcW w:w="1418" w:type="dxa"/>
            <w:tcBorders>
              <w:left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r w:rsidRPr="009072DA">
              <w:rPr>
                <w:lang w:val="bg-BG"/>
              </w:rPr>
              <w:tab/>
            </w:r>
            <w:r w:rsidRPr="009072DA">
              <w:rPr>
                <w:lang w:val="bg-BG"/>
              </w:rPr>
              <w:tab/>
            </w: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1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p>
        </w:tc>
        <w:tc>
          <w:tcPr>
            <w:tcW w:w="4253" w:type="dxa"/>
            <w:gridSpan w:val="2"/>
            <w:tcBorders>
              <w:left w:val="single" w:sz="6" w:space="0" w:color="auto"/>
              <w:bottom w:val="single" w:sz="6" w:space="0" w:color="auto"/>
              <w:right w:val="single" w:sz="6" w:space="0" w:color="auto"/>
            </w:tcBorders>
          </w:tcPr>
          <w:p w:rsidR="009C13A9" w:rsidRPr="009072DA" w:rsidRDefault="009C13A9" w:rsidP="009C13A9">
            <w:pPr>
              <w:tabs>
                <w:tab w:val="left" w:pos="57"/>
                <w:tab w:val="left" w:leader="dot" w:pos="3969"/>
                <w:tab w:val="left" w:leader="dot" w:pos="8505"/>
              </w:tabs>
              <w:overflowPunct w:val="0"/>
              <w:adjustRightInd w:val="0"/>
              <w:spacing w:before="120"/>
              <w:ind w:left="114" w:hanging="57"/>
              <w:textAlignment w:val="baseline"/>
              <w:rPr>
                <w:rFonts w:cs="Arial"/>
                <w:sz w:val="18"/>
                <w:szCs w:val="20"/>
                <w:lang w:val="bg-BG"/>
              </w:rPr>
            </w:pPr>
          </w:p>
        </w:tc>
        <w:tc>
          <w:tcPr>
            <w:tcW w:w="1418" w:type="dxa"/>
            <w:tcBorders>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r w:rsidRPr="009072DA">
              <w:rPr>
                <w:lang w:val="bg-BG"/>
              </w:rPr>
              <w:tab/>
            </w:r>
            <w:r w:rsidRPr="009072DA">
              <w:rPr>
                <w:lang w:val="bg-BG"/>
              </w:rPr>
              <w:tab/>
            </w:r>
          </w:p>
        </w:tc>
        <w:tc>
          <w:tcPr>
            <w:tcW w:w="1418" w:type="dxa"/>
            <w:gridSpan w:val="2"/>
            <w:tcBorders>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r w:rsidRPr="009072DA">
              <w:rPr>
                <w:lang w:val="bg-BG"/>
              </w:rPr>
              <w:tab/>
            </w:r>
            <w:r w:rsidRPr="009072DA">
              <w:rPr>
                <w:lang w:val="bg-BG"/>
              </w:rPr>
              <w:tab/>
            </w:r>
          </w:p>
        </w:tc>
        <w:tc>
          <w:tcPr>
            <w:tcW w:w="1418" w:type="dxa"/>
            <w:tcBorders>
              <w:left w:val="single" w:sz="6" w:space="0" w:color="auto"/>
              <w:bottom w:val="single" w:sz="6" w:space="0" w:color="auto"/>
              <w:right w:val="single" w:sz="6" w:space="0" w:color="auto"/>
            </w:tcBorders>
          </w:tcPr>
          <w:p w:rsidR="009C13A9" w:rsidRPr="009072D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bg-BG"/>
              </w:rPr>
            </w:pPr>
            <w:r w:rsidRPr="009072DA">
              <w:rPr>
                <w:lang w:val="bg-BG"/>
              </w:rPr>
              <w:tab/>
            </w:r>
            <w:r w:rsidRPr="009072DA">
              <w:rPr>
                <w:lang w:val="bg-BG"/>
              </w:rPr>
              <w:tab/>
            </w:r>
          </w:p>
        </w:tc>
        <w:tc>
          <w:tcPr>
            <w:tcW w:w="397" w:type="dxa"/>
            <w:tcBorders>
              <w:right w:val="single" w:sz="6" w:space="0" w:color="auto"/>
            </w:tcBorders>
          </w:tcPr>
          <w:p w:rsidR="009C13A9" w:rsidRPr="009072DA" w:rsidRDefault="009C13A9" w:rsidP="009C13A9">
            <w:pPr>
              <w:tabs>
                <w:tab w:val="left" w:pos="57"/>
                <w:tab w:val="left" w:pos="5103"/>
              </w:tabs>
              <w:overflowPunct w:val="0"/>
              <w:adjustRightInd w:val="0"/>
              <w:spacing w:before="120"/>
              <w:textAlignment w:val="baseline"/>
              <w:rPr>
                <w:rFonts w:cs="Arial"/>
                <w:sz w:val="18"/>
                <w:szCs w:val="20"/>
                <w:lang w:val="bg-BG"/>
              </w:rPr>
            </w:pPr>
            <w:r w:rsidRPr="009072DA">
              <w:rPr>
                <w:lang w:val="bg-BG"/>
              </w:rPr>
              <w:tab/>
            </w:r>
          </w:p>
        </w:tc>
      </w:tr>
      <w:tr w:rsidR="009C13A9" w:rsidRPr="009072DA" w:rsidTr="009C13A9">
        <w:trPr>
          <w:cantSplit/>
          <w:jc w:val="center"/>
        </w:trPr>
        <w:tc>
          <w:tcPr>
            <w:tcW w:w="284" w:type="dxa"/>
            <w:tcBorders>
              <w:left w:val="single" w:sz="6" w:space="0" w:color="auto"/>
            </w:tcBorders>
          </w:tcPr>
          <w:p w:rsidR="009C13A9" w:rsidRPr="009072DA" w:rsidRDefault="009C13A9" w:rsidP="009C13A9">
            <w:pPr>
              <w:tabs>
                <w:tab w:val="left" w:pos="57"/>
                <w:tab w:val="left" w:pos="227"/>
              </w:tabs>
              <w:overflowPunct w:val="0"/>
              <w:adjustRightInd w:val="0"/>
              <w:spacing w:before="40"/>
              <w:textAlignment w:val="baseline"/>
              <w:rPr>
                <w:rFonts w:cs="Arial"/>
                <w:sz w:val="18"/>
                <w:szCs w:val="20"/>
                <w:lang w:val="bg-BG"/>
              </w:rPr>
            </w:pPr>
          </w:p>
        </w:tc>
        <w:tc>
          <w:tcPr>
            <w:tcW w:w="8904" w:type="dxa"/>
            <w:gridSpan w:val="7"/>
            <w:tcBorders>
              <w:right w:val="single" w:sz="6" w:space="0" w:color="auto"/>
            </w:tcBorders>
          </w:tcPr>
          <w:p w:rsidR="009C13A9" w:rsidRPr="009072DA" w:rsidRDefault="009C13A9" w:rsidP="009C13A9">
            <w:pPr>
              <w:tabs>
                <w:tab w:val="left" w:leader="dot" w:pos="8505"/>
              </w:tabs>
              <w:overflowPunct w:val="0"/>
              <w:adjustRightInd w:val="0"/>
              <w:spacing w:before="80"/>
              <w:ind w:left="57"/>
              <w:textAlignment w:val="baseline"/>
              <w:rPr>
                <w:rFonts w:cs="Arial"/>
                <w:sz w:val="18"/>
                <w:szCs w:val="20"/>
                <w:lang w:val="bg-BG"/>
              </w:rPr>
            </w:pPr>
            <w:r w:rsidRPr="009072DA">
              <w:rPr>
                <w:sz w:val="18"/>
                <w:lang w:val="bg-BG"/>
              </w:rPr>
              <w:t>Забележки и специални условия:</w:t>
            </w:r>
            <w:r w:rsidRPr="009072DA">
              <w:rPr>
                <w:sz w:val="18"/>
                <w:szCs w:val="20"/>
                <w:lang w:val="bg-BG"/>
              </w:rPr>
              <w:br/>
            </w:r>
            <w:r w:rsidRPr="009072DA">
              <w:rPr>
                <w:lang w:val="bg-BG"/>
              </w:rPr>
              <w:tab/>
            </w:r>
            <w:r w:rsidRPr="009072DA">
              <w:rPr>
                <w:rFonts w:cs="Arial"/>
                <w:sz w:val="18"/>
                <w:szCs w:val="20"/>
                <w:lang w:val="bg-BG"/>
              </w:rPr>
              <w:br/>
            </w:r>
            <w:r w:rsidRPr="009072DA">
              <w:rPr>
                <w:lang w:val="bg-BG"/>
              </w:rPr>
              <w:tab/>
            </w:r>
          </w:p>
        </w:tc>
      </w:tr>
      <w:tr w:rsidR="009C13A9" w:rsidRPr="008D2440" w:rsidTr="009C13A9">
        <w:trPr>
          <w:cantSplit/>
          <w:jc w:val="center"/>
        </w:trPr>
        <w:tc>
          <w:tcPr>
            <w:tcW w:w="284" w:type="dxa"/>
            <w:tcBorders>
              <w:top w:val="single" w:sz="6" w:space="0" w:color="auto"/>
              <w:left w:val="single" w:sz="6" w:space="0" w:color="auto"/>
            </w:tcBorders>
          </w:tcPr>
          <w:p w:rsidR="009C13A9" w:rsidRPr="009072DA" w:rsidRDefault="009C13A9" w:rsidP="009C13A9">
            <w:pPr>
              <w:tabs>
                <w:tab w:val="left" w:pos="57"/>
                <w:tab w:val="left" w:pos="227"/>
              </w:tabs>
              <w:overflowPunct w:val="0"/>
              <w:adjustRightInd w:val="0"/>
              <w:spacing w:before="120"/>
              <w:textAlignment w:val="baseline"/>
              <w:rPr>
                <w:rFonts w:cs="Arial"/>
                <w:sz w:val="18"/>
                <w:szCs w:val="20"/>
                <w:lang w:val="bg-BG"/>
              </w:rPr>
            </w:pPr>
            <w:r w:rsidRPr="009072DA">
              <w:rPr>
                <w:sz w:val="18"/>
                <w:lang w:val="bg-BG"/>
              </w:rPr>
              <w:t>6.3</w:t>
            </w:r>
          </w:p>
        </w:tc>
        <w:tc>
          <w:tcPr>
            <w:tcW w:w="8904" w:type="dxa"/>
            <w:gridSpan w:val="7"/>
            <w:tcBorders>
              <w:top w:val="single" w:sz="6" w:space="0" w:color="auto"/>
              <w:right w:val="single" w:sz="6" w:space="0" w:color="auto"/>
            </w:tcBorders>
          </w:tcPr>
          <w:p w:rsidR="009C13A9" w:rsidRPr="009072DA" w:rsidRDefault="009C13A9" w:rsidP="00166C9D">
            <w:pPr>
              <w:tabs>
                <w:tab w:val="left" w:pos="57"/>
                <w:tab w:val="left" w:leader="dot" w:pos="8505"/>
              </w:tabs>
              <w:overflowPunct w:val="0"/>
              <w:adjustRightInd w:val="0"/>
              <w:spacing w:before="120" w:after="120"/>
              <w:ind w:left="57"/>
              <w:textAlignment w:val="baseline"/>
              <w:rPr>
                <w:rFonts w:cs="Arial"/>
                <w:sz w:val="18"/>
                <w:szCs w:val="20"/>
                <w:lang w:val="bg-BG"/>
              </w:rPr>
            </w:pPr>
            <w:r w:rsidRPr="009072DA">
              <w:rPr>
                <w:sz w:val="18"/>
                <w:lang w:val="bg-BG"/>
              </w:rPr>
              <w:t xml:space="preserve">Минимален екипаж [съгласно член 3.19 от разпоредбите относно навигационния персонал по река Рейн /в съответствие с национални или международни изисквания]: </w:t>
            </w:r>
            <w:r w:rsidRPr="009072DA">
              <w:rPr>
                <w:lang w:val="bg-BG"/>
              </w:rPr>
              <w:tab/>
            </w:r>
            <w:r w:rsidRPr="009072DA">
              <w:rPr>
                <w:rFonts w:cs="Arial"/>
                <w:sz w:val="18"/>
                <w:szCs w:val="20"/>
                <w:lang w:val="bg-BG"/>
              </w:rPr>
              <w:br/>
            </w:r>
            <w:r w:rsidRPr="009072DA">
              <w:rPr>
                <w:lang w:val="bg-BG"/>
              </w:rPr>
              <w:tab/>
            </w:r>
          </w:p>
        </w:tc>
      </w:tr>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80"/>
              <w:textAlignment w:val="baseline"/>
              <w:rPr>
                <w:rFonts w:cs="Arial"/>
                <w:sz w:val="18"/>
                <w:szCs w:val="20"/>
                <w:lang w:val="bg-BG"/>
              </w:rPr>
            </w:pPr>
            <w:r w:rsidRPr="009072DA">
              <w:rPr>
                <w:sz w:val="18"/>
                <w:lang w:val="bg-BG"/>
              </w:rPr>
              <w:t xml:space="preserve"> 7.</w:t>
            </w:r>
          </w:p>
        </w:tc>
        <w:tc>
          <w:tcPr>
            <w:tcW w:w="8904" w:type="dxa"/>
            <w:gridSpan w:val="7"/>
            <w:tcBorders>
              <w:top w:val="single" w:sz="6" w:space="0" w:color="auto"/>
              <w:bottom w:val="single" w:sz="6" w:space="0" w:color="auto"/>
              <w:right w:val="single" w:sz="6" w:space="0" w:color="auto"/>
            </w:tcBorders>
          </w:tcPr>
          <w:p w:rsidR="009C13A9" w:rsidRPr="009072DA" w:rsidRDefault="009C13A9" w:rsidP="009C13A9">
            <w:pPr>
              <w:tabs>
                <w:tab w:val="left" w:pos="57"/>
                <w:tab w:val="left" w:leader="dot" w:pos="4536"/>
                <w:tab w:val="left" w:pos="5103"/>
              </w:tabs>
              <w:overflowPunct w:val="0"/>
              <w:adjustRightInd w:val="0"/>
              <w:spacing w:before="80" w:after="120"/>
              <w:ind w:left="57"/>
              <w:textAlignment w:val="baseline"/>
              <w:rPr>
                <w:rFonts w:cs="Arial"/>
                <w:sz w:val="18"/>
                <w:szCs w:val="20"/>
                <w:lang w:val="bg-BG"/>
              </w:rPr>
            </w:pPr>
            <w:r w:rsidRPr="009072DA">
              <w:rPr>
                <w:sz w:val="18"/>
                <w:lang w:val="bg-BG"/>
              </w:rPr>
              <w:t>Уредба(и) за втечнен газ</w:t>
            </w:r>
            <w:r w:rsidRPr="009072DA">
              <w:rPr>
                <w:sz w:val="18"/>
                <w:szCs w:val="20"/>
                <w:lang w:val="bg-BG"/>
              </w:rPr>
              <w:br/>
            </w:r>
            <w:r w:rsidRPr="009072DA">
              <w:rPr>
                <w:sz w:val="18"/>
                <w:lang w:val="bg-BG"/>
              </w:rPr>
              <w:t>Атестация, валидна до</w:t>
            </w:r>
            <w:r w:rsidRPr="009072DA">
              <w:rPr>
                <w:lang w:val="bg-BG"/>
              </w:rPr>
              <w:tab/>
            </w:r>
          </w:p>
        </w:tc>
      </w:tr>
      <w:tr w:rsidR="009C13A9" w:rsidRPr="009072DA"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40"/>
              <w:textAlignment w:val="baseline"/>
              <w:rPr>
                <w:rFonts w:cs="Arial"/>
                <w:sz w:val="18"/>
                <w:szCs w:val="20"/>
                <w:lang w:val="bg-BG"/>
              </w:rPr>
            </w:pPr>
            <w:r w:rsidRPr="009072DA">
              <w:rPr>
                <w:sz w:val="18"/>
                <w:lang w:val="bg-BG"/>
              </w:rPr>
              <w:t xml:space="preserve"> 8.</w:t>
            </w:r>
          </w:p>
        </w:tc>
        <w:tc>
          <w:tcPr>
            <w:tcW w:w="8904" w:type="dxa"/>
            <w:gridSpan w:val="7"/>
            <w:tcBorders>
              <w:top w:val="single" w:sz="6" w:space="0" w:color="auto"/>
              <w:bottom w:val="single" w:sz="6" w:space="0" w:color="auto"/>
              <w:right w:val="single" w:sz="6" w:space="0" w:color="auto"/>
            </w:tcBorders>
          </w:tcPr>
          <w:p w:rsidR="009C13A9" w:rsidRPr="009072DA" w:rsidRDefault="009C13A9" w:rsidP="009C13A9">
            <w:pPr>
              <w:tabs>
                <w:tab w:val="left" w:pos="57"/>
                <w:tab w:val="left" w:pos="5103"/>
              </w:tabs>
              <w:overflowPunct w:val="0"/>
              <w:adjustRightInd w:val="0"/>
              <w:spacing w:before="40" w:after="120"/>
              <w:ind w:left="57"/>
              <w:textAlignment w:val="baseline"/>
              <w:rPr>
                <w:rFonts w:cs="Arial"/>
                <w:sz w:val="18"/>
                <w:szCs w:val="20"/>
                <w:lang w:val="bg-BG"/>
              </w:rPr>
            </w:pPr>
            <w:r w:rsidRPr="009072DA">
              <w:rPr>
                <w:sz w:val="18"/>
                <w:lang w:val="bg-BG"/>
              </w:rPr>
              <w:t>Специални условия</w:t>
            </w:r>
            <w:r w:rsidRPr="009072DA">
              <w:rPr>
                <w:rFonts w:cs="Arial"/>
                <w:sz w:val="18"/>
                <w:szCs w:val="20"/>
                <w:lang w:val="bg-BG"/>
              </w:rPr>
              <w:br/>
            </w:r>
          </w:p>
        </w:tc>
      </w:tr>
      <w:tr w:rsidR="009C13A9" w:rsidRPr="009072DA"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80"/>
              <w:textAlignment w:val="baseline"/>
              <w:rPr>
                <w:rFonts w:cs="Arial"/>
                <w:sz w:val="18"/>
                <w:szCs w:val="20"/>
                <w:lang w:val="bg-BG"/>
              </w:rPr>
            </w:pPr>
            <w:r w:rsidRPr="009072DA">
              <w:rPr>
                <w:sz w:val="18"/>
                <w:lang w:val="bg-BG"/>
              </w:rPr>
              <w:t xml:space="preserve"> [9.</w:t>
            </w:r>
          </w:p>
        </w:tc>
        <w:tc>
          <w:tcPr>
            <w:tcW w:w="8904" w:type="dxa"/>
            <w:gridSpan w:val="7"/>
            <w:tcBorders>
              <w:top w:val="single" w:sz="6" w:space="0" w:color="auto"/>
              <w:bottom w:val="single" w:sz="6" w:space="0" w:color="auto"/>
              <w:right w:val="single" w:sz="6" w:space="0" w:color="auto"/>
            </w:tcBorders>
          </w:tcPr>
          <w:p w:rsidR="009C13A9" w:rsidRPr="009072DA" w:rsidRDefault="009C13A9" w:rsidP="009C13A9">
            <w:pPr>
              <w:tabs>
                <w:tab w:val="left" w:pos="57"/>
                <w:tab w:val="left" w:pos="5103"/>
              </w:tabs>
              <w:overflowPunct w:val="0"/>
              <w:adjustRightInd w:val="0"/>
              <w:spacing w:before="80" w:after="120"/>
              <w:ind w:left="57"/>
              <w:textAlignment w:val="baseline"/>
              <w:rPr>
                <w:rFonts w:cs="Arial"/>
                <w:sz w:val="18"/>
                <w:szCs w:val="20"/>
                <w:lang w:val="bg-BG"/>
              </w:rPr>
            </w:pPr>
            <w:r w:rsidRPr="009072DA">
              <w:rPr>
                <w:sz w:val="18"/>
                <w:lang w:val="bg-BG"/>
              </w:rPr>
              <w:t>Превоз на опасни товари, вж. Временно удостоверение за одобрение</w:t>
            </w:r>
            <w:r w:rsidRPr="009072DA">
              <w:rPr>
                <w:sz w:val="16"/>
                <w:vertAlign w:val="superscript"/>
                <w:lang w:val="bg-BG"/>
              </w:rPr>
              <w:t xml:space="preserve"> *)</w:t>
            </w:r>
            <w:r w:rsidRPr="009072DA">
              <w:rPr>
                <w:sz w:val="18"/>
                <w:lang w:val="bg-BG"/>
              </w:rPr>
              <w:t>]</w:t>
            </w:r>
          </w:p>
        </w:tc>
      </w:tr>
      <w:tr w:rsidR="009C13A9" w:rsidRPr="008D2440"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80"/>
              <w:textAlignment w:val="baseline"/>
              <w:rPr>
                <w:rFonts w:cs="Arial"/>
                <w:sz w:val="18"/>
                <w:szCs w:val="20"/>
                <w:lang w:val="bg-BG"/>
              </w:rPr>
            </w:pPr>
            <w:r w:rsidRPr="009072DA">
              <w:rPr>
                <w:sz w:val="18"/>
                <w:lang w:val="bg-BG"/>
              </w:rPr>
              <w:lastRenderedPageBreak/>
              <w:t>10.</w:t>
            </w:r>
          </w:p>
        </w:tc>
        <w:tc>
          <w:tcPr>
            <w:tcW w:w="8904" w:type="dxa"/>
            <w:gridSpan w:val="7"/>
            <w:tcBorders>
              <w:top w:val="single" w:sz="6" w:space="0" w:color="auto"/>
              <w:bottom w:val="single" w:sz="6" w:space="0" w:color="auto"/>
              <w:right w:val="single" w:sz="6" w:space="0" w:color="auto"/>
            </w:tcBorders>
          </w:tcPr>
          <w:p w:rsidR="009C13A9" w:rsidRPr="009072DA" w:rsidRDefault="009C13A9" w:rsidP="00E3172D">
            <w:pPr>
              <w:tabs>
                <w:tab w:val="left" w:pos="57"/>
                <w:tab w:val="left" w:leader="dot" w:pos="2835"/>
                <w:tab w:val="left" w:pos="6296"/>
                <w:tab w:val="left" w:leader="dot" w:pos="8564"/>
              </w:tabs>
              <w:overflowPunct w:val="0"/>
              <w:adjustRightInd w:val="0"/>
              <w:spacing w:before="80" w:after="20"/>
              <w:ind w:left="57"/>
              <w:textAlignment w:val="baseline"/>
              <w:rPr>
                <w:rFonts w:cs="Arial"/>
                <w:sz w:val="16"/>
                <w:szCs w:val="20"/>
                <w:lang w:val="bg-BG"/>
              </w:rPr>
            </w:pPr>
            <w:r w:rsidRPr="009072DA">
              <w:rPr>
                <w:sz w:val="18"/>
                <w:lang w:val="bg-BG"/>
              </w:rPr>
              <w:t>Валидност</w:t>
            </w:r>
            <w:r w:rsidRPr="009072DA">
              <w:rPr>
                <w:rFonts w:cs="Arial"/>
                <w:sz w:val="18"/>
                <w:szCs w:val="20"/>
                <w:lang w:val="bg-BG"/>
              </w:rPr>
              <w:br/>
            </w:r>
            <w:r w:rsidRPr="009072DA">
              <w:rPr>
                <w:sz w:val="18"/>
                <w:lang w:val="bg-BG"/>
              </w:rPr>
              <w:t>Временното удостоверение на плавателния съд за плаване по вътрешни водни пътища е валидно до ………………………………………………………</w:t>
            </w:r>
            <w:r w:rsidRPr="009072DA">
              <w:rPr>
                <w:rFonts w:cs="Arial"/>
                <w:sz w:val="18"/>
                <w:szCs w:val="20"/>
                <w:lang w:val="bg-BG"/>
              </w:rPr>
              <w:br/>
            </w:r>
            <w:r w:rsidRPr="009072DA">
              <w:rPr>
                <w:sz w:val="18"/>
                <w:lang w:val="bg-BG"/>
              </w:rPr>
              <w:t>за плаване</w:t>
            </w:r>
            <w:r w:rsidRPr="009072DA">
              <w:rPr>
                <w:sz w:val="16"/>
                <w:vertAlign w:val="superscript"/>
                <w:lang w:val="bg-BG"/>
              </w:rPr>
              <w:t>*)</w:t>
            </w:r>
            <w:r w:rsidRPr="009072DA">
              <w:rPr>
                <w:sz w:val="18"/>
                <w:lang w:val="bg-BG"/>
              </w:rPr>
              <w:t xml:space="preserve"> / за едно пътуване</w:t>
            </w:r>
            <w:r w:rsidRPr="009072DA">
              <w:rPr>
                <w:sz w:val="16"/>
                <w:vertAlign w:val="superscript"/>
                <w:lang w:val="bg-BG"/>
              </w:rPr>
              <w:t>*)</w:t>
            </w:r>
            <w:r w:rsidRPr="009072DA">
              <w:rPr>
                <w:lang w:val="bg-BG"/>
              </w:rPr>
              <w:tab/>
            </w:r>
            <w:r w:rsidRPr="009072DA">
              <w:rPr>
                <w:sz w:val="18"/>
                <w:lang w:val="bg-BG"/>
              </w:rPr>
              <w:t xml:space="preserve"> </w:t>
            </w:r>
            <w:r w:rsidRPr="009072DA">
              <w:rPr>
                <w:sz w:val="16"/>
                <w:lang w:val="bg-BG"/>
              </w:rPr>
              <w:t>(Дата)</w:t>
            </w:r>
          </w:p>
          <w:p w:rsidR="009C13A9" w:rsidRPr="009072DA" w:rsidRDefault="009C13A9" w:rsidP="009C13A9">
            <w:pPr>
              <w:tabs>
                <w:tab w:val="left" w:pos="342"/>
                <w:tab w:val="left" w:leader="dot" w:pos="3969"/>
                <w:tab w:val="left" w:pos="4253"/>
                <w:tab w:val="left" w:leader="dot" w:pos="8505"/>
              </w:tabs>
              <w:overflowPunct w:val="0"/>
              <w:adjustRightInd w:val="0"/>
              <w:textAlignment w:val="baseline"/>
              <w:rPr>
                <w:position w:val="6"/>
                <w:sz w:val="16"/>
                <w:lang w:val="bg-BG"/>
              </w:rPr>
            </w:pPr>
            <w:r w:rsidRPr="009072DA">
              <w:rPr>
                <w:sz w:val="18"/>
                <w:lang w:val="bg-BG"/>
              </w:rPr>
              <w:t>-</w:t>
            </w:r>
            <w:r w:rsidRPr="009072DA">
              <w:rPr>
                <w:lang w:val="bg-BG"/>
              </w:rPr>
              <w:tab/>
            </w:r>
            <w:r w:rsidRPr="009072DA">
              <w:rPr>
                <w:sz w:val="18"/>
                <w:lang w:val="bg-BG"/>
              </w:rPr>
              <w:t>по река Рейн </w:t>
            </w:r>
            <w:r w:rsidRPr="009072DA">
              <w:rPr>
                <w:position w:val="6"/>
                <w:sz w:val="16"/>
                <w:lang w:val="bg-BG"/>
              </w:rPr>
              <w:t>(*)</w:t>
            </w:r>
          </w:p>
          <w:p w:rsidR="009C13A9" w:rsidRPr="009072DA" w:rsidRDefault="009C13A9" w:rsidP="009C13A9">
            <w:pPr>
              <w:tabs>
                <w:tab w:val="left" w:pos="57"/>
                <w:tab w:val="left" w:leader="dot" w:pos="3969"/>
                <w:tab w:val="left" w:pos="4253"/>
                <w:tab w:val="left" w:leader="dot" w:pos="8505"/>
              </w:tabs>
              <w:overflowPunct w:val="0"/>
              <w:adjustRightInd w:val="0"/>
              <w:textAlignment w:val="baseline"/>
              <w:rPr>
                <w:rFonts w:cs="Arial"/>
                <w:position w:val="6"/>
                <w:sz w:val="16"/>
                <w:szCs w:val="20"/>
                <w:lang w:val="bg-BG"/>
              </w:rPr>
            </w:pPr>
            <w:r w:rsidRPr="009072DA">
              <w:rPr>
                <w:sz w:val="18"/>
                <w:lang w:val="bg-BG"/>
              </w:rPr>
              <w:t xml:space="preserve">между </w:t>
            </w:r>
            <w:r w:rsidRPr="009072DA">
              <w:rPr>
                <w:lang w:val="bg-BG"/>
              </w:rPr>
              <w:tab/>
            </w:r>
            <w:r w:rsidRPr="009072DA">
              <w:rPr>
                <w:lang w:val="bg-BG"/>
              </w:rPr>
              <w:tab/>
            </w:r>
            <w:r w:rsidRPr="009072DA">
              <w:rPr>
                <w:lang w:val="bg-BG"/>
              </w:rPr>
              <w:tab/>
            </w:r>
            <w:r w:rsidRPr="009072DA">
              <w:rPr>
                <w:position w:val="6"/>
                <w:sz w:val="16"/>
                <w:lang w:val="bg-BG"/>
              </w:rPr>
              <w:t>*)</w:t>
            </w:r>
          </w:p>
          <w:p w:rsidR="009C13A9" w:rsidRPr="009072DA" w:rsidRDefault="009C13A9" w:rsidP="009C13A9">
            <w:pPr>
              <w:tabs>
                <w:tab w:val="left" w:pos="57"/>
                <w:tab w:val="left" w:leader="dot" w:pos="3969"/>
                <w:tab w:val="left" w:pos="4253"/>
                <w:tab w:val="left" w:leader="dot" w:pos="8505"/>
              </w:tabs>
              <w:overflowPunct w:val="0"/>
              <w:adjustRightInd w:val="0"/>
              <w:textAlignment w:val="baseline"/>
              <w:rPr>
                <w:rFonts w:cs="Arial"/>
                <w:sz w:val="18"/>
                <w:szCs w:val="20"/>
                <w:lang w:val="bg-BG"/>
              </w:rPr>
            </w:pPr>
          </w:p>
          <w:p w:rsidR="009C13A9" w:rsidRPr="009072DA" w:rsidRDefault="009C13A9" w:rsidP="009C13A9">
            <w:pPr>
              <w:tabs>
                <w:tab w:val="left" w:pos="340"/>
                <w:tab w:val="left" w:leader="dot" w:pos="8564"/>
                <w:tab w:val="left" w:leader="dot" w:pos="8789"/>
              </w:tabs>
              <w:overflowPunct w:val="0"/>
              <w:adjustRightInd w:val="0"/>
              <w:textAlignment w:val="baseline"/>
              <w:rPr>
                <w:position w:val="6"/>
                <w:sz w:val="16"/>
                <w:lang w:val="bg-BG"/>
              </w:rPr>
            </w:pPr>
            <w:r w:rsidRPr="009072DA">
              <w:rPr>
                <w:sz w:val="18"/>
                <w:lang w:val="bg-BG"/>
              </w:rPr>
              <w:t>-</w:t>
            </w:r>
            <w:r w:rsidRPr="009072DA">
              <w:rPr>
                <w:lang w:val="bg-BG"/>
              </w:rPr>
              <w:tab/>
            </w:r>
            <w:r w:rsidRPr="009072DA">
              <w:rPr>
                <w:sz w:val="18"/>
                <w:lang w:val="bg-BG"/>
              </w:rPr>
              <w:t xml:space="preserve">по водни пътища на ЕС от зона(и) </w:t>
            </w:r>
            <w:r w:rsidRPr="009072DA">
              <w:rPr>
                <w:position w:val="6"/>
                <w:sz w:val="16"/>
                <w:lang w:val="bg-BG"/>
              </w:rPr>
              <w:t xml:space="preserve">(*) </w:t>
            </w:r>
            <w:r w:rsidRPr="009072DA">
              <w:rPr>
                <w:lang w:val="bg-BG"/>
              </w:rPr>
              <w:tab/>
            </w:r>
          </w:p>
          <w:p w:rsidR="009C13A9" w:rsidRPr="009072DA" w:rsidRDefault="009C13A9" w:rsidP="009C13A9">
            <w:pPr>
              <w:tabs>
                <w:tab w:val="left" w:leader="dot" w:pos="8564"/>
                <w:tab w:val="left" w:leader="dot" w:pos="8789"/>
              </w:tabs>
              <w:overflowPunct w:val="0"/>
              <w:adjustRightInd w:val="0"/>
              <w:ind w:left="342" w:hanging="342"/>
              <w:textAlignment w:val="baseline"/>
              <w:rPr>
                <w:sz w:val="18"/>
                <w:szCs w:val="20"/>
                <w:lang w:val="bg-BG"/>
              </w:rPr>
            </w:pPr>
            <w:r w:rsidRPr="009072DA">
              <w:rPr>
                <w:lang w:val="bg-BG"/>
              </w:rPr>
              <w:tab/>
            </w:r>
            <w:r w:rsidRPr="009072DA">
              <w:rPr>
                <w:lang w:val="bg-BG"/>
              </w:rPr>
              <w:tab/>
            </w:r>
          </w:p>
          <w:p w:rsidR="009C13A9" w:rsidRPr="009072DA" w:rsidRDefault="009C13A9" w:rsidP="009C13A9">
            <w:pPr>
              <w:tabs>
                <w:tab w:val="left" w:leader="dot" w:pos="8564"/>
                <w:tab w:val="left" w:leader="dot" w:pos="8789"/>
              </w:tabs>
              <w:overflowPunct w:val="0"/>
              <w:adjustRightInd w:val="0"/>
              <w:ind w:left="342" w:hanging="342"/>
              <w:textAlignment w:val="baseline"/>
              <w:rPr>
                <w:sz w:val="18"/>
                <w:lang w:val="bg-BG"/>
              </w:rPr>
            </w:pPr>
          </w:p>
          <w:p w:rsidR="009C13A9" w:rsidRPr="009072DA" w:rsidRDefault="009C13A9" w:rsidP="009C13A9">
            <w:pPr>
              <w:tabs>
                <w:tab w:val="left" w:leader="dot" w:pos="8564"/>
                <w:tab w:val="left" w:leader="dot" w:pos="8789"/>
              </w:tabs>
              <w:overflowPunct w:val="0"/>
              <w:adjustRightInd w:val="0"/>
              <w:ind w:left="342" w:hanging="342"/>
              <w:textAlignment w:val="baseline"/>
              <w:rPr>
                <w:sz w:val="18"/>
                <w:lang w:val="bg-BG"/>
              </w:rPr>
            </w:pPr>
            <w:r w:rsidRPr="009072DA">
              <w:rPr>
                <w:sz w:val="18"/>
                <w:lang w:val="bg-BG"/>
              </w:rPr>
              <w:t>-</w:t>
            </w:r>
            <w:r w:rsidRPr="009072DA">
              <w:rPr>
                <w:lang w:val="bg-BG"/>
              </w:rPr>
              <w:tab/>
            </w:r>
            <w:r w:rsidRPr="009072DA">
              <w:rPr>
                <w:sz w:val="18"/>
                <w:lang w:val="bg-BG"/>
              </w:rPr>
              <w:t xml:space="preserve">по водни пътища от зона(и) </w:t>
            </w:r>
            <w:r w:rsidRPr="009072DA">
              <w:rPr>
                <w:position w:val="6"/>
                <w:sz w:val="16"/>
                <w:lang w:val="bg-BG"/>
              </w:rPr>
              <w:t xml:space="preserve">(*) </w:t>
            </w:r>
            <w:r w:rsidRPr="009072DA">
              <w:rPr>
                <w:lang w:val="bg-BG"/>
              </w:rPr>
              <w:tab/>
            </w:r>
          </w:p>
          <w:p w:rsidR="009C13A9" w:rsidRPr="009072DA" w:rsidRDefault="009C13A9" w:rsidP="009C13A9">
            <w:pPr>
              <w:tabs>
                <w:tab w:val="right" w:pos="342"/>
                <w:tab w:val="left" w:leader="dot" w:pos="8564"/>
              </w:tabs>
              <w:overflowPunct w:val="0"/>
              <w:adjustRightInd w:val="0"/>
              <w:textAlignment w:val="baseline"/>
              <w:rPr>
                <w:sz w:val="18"/>
                <w:lang w:val="bg-BG"/>
              </w:rPr>
            </w:pPr>
            <w:r w:rsidRPr="009072DA">
              <w:rPr>
                <w:lang w:val="bg-BG"/>
              </w:rPr>
              <w:tab/>
            </w:r>
            <w:r w:rsidRPr="009072DA">
              <w:rPr>
                <w:sz w:val="18"/>
                <w:lang w:val="bg-BG"/>
              </w:rPr>
              <w:t>.</w:t>
            </w:r>
            <w:r w:rsidRPr="009072DA">
              <w:rPr>
                <w:lang w:val="bg-BG"/>
              </w:rPr>
              <w:tab/>
            </w:r>
          </w:p>
          <w:p w:rsidR="009C13A9" w:rsidRPr="009072DA" w:rsidRDefault="009C13A9" w:rsidP="009C13A9">
            <w:pPr>
              <w:tabs>
                <w:tab w:val="left" w:leader="dot" w:pos="8564"/>
                <w:tab w:val="left" w:leader="dot" w:pos="8789"/>
              </w:tabs>
              <w:overflowPunct w:val="0"/>
              <w:adjustRightInd w:val="0"/>
              <w:spacing w:before="120"/>
              <w:textAlignment w:val="baseline"/>
              <w:rPr>
                <w:sz w:val="18"/>
                <w:lang w:val="bg-BG"/>
              </w:rPr>
            </w:pPr>
            <w:r w:rsidRPr="009072DA">
              <w:rPr>
                <w:sz w:val="18"/>
                <w:lang w:val="bg-BG"/>
              </w:rPr>
              <w:t>в [наименование на държавите </w:t>
            </w:r>
            <w:r w:rsidRPr="009072DA">
              <w:rPr>
                <w:position w:val="6"/>
                <w:sz w:val="16"/>
                <w:lang w:val="bg-BG"/>
              </w:rPr>
              <w:t>(*)</w:t>
            </w:r>
            <w:r w:rsidRPr="009072DA">
              <w:rPr>
                <w:sz w:val="18"/>
                <w:lang w:val="bg-BG"/>
              </w:rPr>
              <w:t xml:space="preserve">] </w:t>
            </w:r>
          </w:p>
          <w:p w:rsidR="009C13A9" w:rsidRPr="009072DA" w:rsidRDefault="009C13A9" w:rsidP="009C13A9">
            <w:pPr>
              <w:tabs>
                <w:tab w:val="left" w:leader="dot" w:pos="8564"/>
                <w:tab w:val="left" w:leader="dot" w:pos="8789"/>
              </w:tabs>
              <w:overflowPunct w:val="0"/>
              <w:adjustRightInd w:val="0"/>
              <w:textAlignment w:val="baseline"/>
              <w:rPr>
                <w:sz w:val="18"/>
                <w:lang w:val="bg-BG"/>
              </w:rPr>
            </w:pPr>
            <w:r w:rsidRPr="009072DA">
              <w:rPr>
                <w:lang w:val="bg-BG"/>
              </w:rPr>
              <w:tab/>
            </w:r>
            <w:r w:rsidRPr="009072DA">
              <w:rPr>
                <w:sz w:val="18"/>
                <w:lang w:val="bg-BG"/>
              </w:rPr>
              <w:br/>
            </w:r>
            <w:r w:rsidRPr="009072DA">
              <w:rPr>
                <w:lang w:val="bg-BG"/>
              </w:rPr>
              <w:tab/>
            </w:r>
            <w:r w:rsidRPr="009072DA">
              <w:rPr>
                <w:sz w:val="18"/>
                <w:szCs w:val="20"/>
                <w:lang w:val="bg-BG"/>
              </w:rPr>
              <w:br/>
            </w:r>
            <w:r w:rsidRPr="009072DA">
              <w:rPr>
                <w:sz w:val="18"/>
                <w:lang w:val="bg-BG"/>
              </w:rPr>
              <w:t xml:space="preserve">с изключение на: </w:t>
            </w:r>
            <w:r w:rsidRPr="009072DA">
              <w:rPr>
                <w:lang w:val="bg-BG"/>
              </w:rPr>
              <w:tab/>
            </w:r>
            <w:r w:rsidRPr="009072DA">
              <w:rPr>
                <w:sz w:val="18"/>
                <w:szCs w:val="20"/>
                <w:lang w:val="bg-BG"/>
              </w:rPr>
              <w:br/>
            </w:r>
            <w:r w:rsidRPr="009072DA">
              <w:rPr>
                <w:lang w:val="bg-BG"/>
              </w:rPr>
              <w:tab/>
            </w:r>
          </w:p>
          <w:p w:rsidR="009C13A9" w:rsidRPr="009072DA" w:rsidRDefault="009C13A9" w:rsidP="009C13A9">
            <w:pPr>
              <w:tabs>
                <w:tab w:val="left" w:leader="dot" w:pos="8564"/>
                <w:tab w:val="left" w:leader="dot" w:pos="8789"/>
              </w:tabs>
              <w:overflowPunct w:val="0"/>
              <w:adjustRightInd w:val="0"/>
              <w:textAlignment w:val="baseline"/>
              <w:rPr>
                <w:sz w:val="18"/>
                <w:lang w:val="bg-BG"/>
              </w:rPr>
            </w:pPr>
            <w:r w:rsidRPr="009072DA">
              <w:rPr>
                <w:lang w:val="bg-BG"/>
              </w:rPr>
              <w:tab/>
            </w:r>
          </w:p>
          <w:p w:rsidR="009C13A9" w:rsidRPr="009072DA" w:rsidRDefault="009C13A9" w:rsidP="009C13A9">
            <w:pPr>
              <w:tabs>
                <w:tab w:val="left" w:pos="57"/>
                <w:tab w:val="left" w:pos="345"/>
                <w:tab w:val="left" w:leader="dot" w:pos="8505"/>
              </w:tabs>
              <w:overflowPunct w:val="0"/>
              <w:adjustRightInd w:val="0"/>
              <w:spacing w:before="120" w:after="120"/>
              <w:textAlignment w:val="baseline"/>
              <w:rPr>
                <w:sz w:val="18"/>
                <w:lang w:val="bg-BG"/>
              </w:rPr>
            </w:pPr>
            <w:r w:rsidRPr="009072DA">
              <w:rPr>
                <w:sz w:val="18"/>
                <w:lang w:val="bg-BG"/>
              </w:rPr>
              <w:t>-</w:t>
            </w:r>
            <w:r w:rsidRPr="009072DA">
              <w:rPr>
                <w:lang w:val="bg-BG"/>
              </w:rPr>
              <w:tab/>
            </w:r>
            <w:r w:rsidRPr="009072DA">
              <w:rPr>
                <w:sz w:val="18"/>
                <w:lang w:val="bg-BG"/>
              </w:rPr>
              <w:t>по следните водни пътища в [наименование на държавата </w:t>
            </w:r>
            <w:r w:rsidRPr="009072DA">
              <w:rPr>
                <w:position w:val="6"/>
                <w:sz w:val="16"/>
                <w:lang w:val="bg-BG"/>
              </w:rPr>
              <w:t>(*)</w:t>
            </w:r>
            <w:r w:rsidRPr="009072DA">
              <w:rPr>
                <w:sz w:val="18"/>
                <w:lang w:val="bg-BG"/>
              </w:rPr>
              <w:t>]</w:t>
            </w:r>
            <w:r w:rsidRPr="009072DA">
              <w:rPr>
                <w:lang w:val="bg-BG"/>
              </w:rPr>
              <w:tab/>
            </w:r>
          </w:p>
          <w:p w:rsidR="009C13A9" w:rsidRPr="009072DA" w:rsidRDefault="009C13A9" w:rsidP="009C13A9">
            <w:pPr>
              <w:tabs>
                <w:tab w:val="left" w:leader="dot" w:pos="8505"/>
              </w:tabs>
              <w:overflowPunct w:val="0"/>
              <w:adjustRightInd w:val="0"/>
              <w:spacing w:after="120"/>
              <w:ind w:left="342"/>
              <w:textAlignment w:val="baseline"/>
              <w:rPr>
                <w:rFonts w:cs="Arial"/>
                <w:sz w:val="18"/>
                <w:szCs w:val="20"/>
                <w:lang w:val="bg-BG"/>
              </w:rPr>
            </w:pPr>
            <w:r w:rsidRPr="009072DA">
              <w:rPr>
                <w:lang w:val="bg-BG"/>
              </w:rPr>
              <w:tab/>
            </w:r>
            <w:r w:rsidRPr="009072DA">
              <w:rPr>
                <w:sz w:val="18"/>
                <w:szCs w:val="20"/>
                <w:lang w:val="bg-BG"/>
              </w:rPr>
              <w:br/>
            </w:r>
            <w:r w:rsidRPr="009072DA">
              <w:rPr>
                <w:lang w:val="bg-BG"/>
              </w:rPr>
              <w:tab/>
            </w:r>
            <w:r w:rsidRPr="009072DA">
              <w:rPr>
                <w:sz w:val="18"/>
                <w:szCs w:val="20"/>
                <w:lang w:val="bg-BG"/>
              </w:rPr>
              <w:br/>
            </w:r>
            <w:r w:rsidRPr="009072DA">
              <w:rPr>
                <w:lang w:val="bg-BG"/>
              </w:rPr>
              <w:tab/>
            </w:r>
          </w:p>
        </w:tc>
      </w:tr>
      <w:tr w:rsidR="009C13A9" w:rsidRPr="009072DA" w:rsidTr="009C13A9">
        <w:trPr>
          <w:cantSplit/>
          <w:jc w:val="center"/>
        </w:trPr>
        <w:tc>
          <w:tcPr>
            <w:tcW w:w="284" w:type="dxa"/>
            <w:tcBorders>
              <w:top w:val="single" w:sz="6" w:space="0" w:color="auto"/>
              <w:left w:val="single" w:sz="6" w:space="0" w:color="auto"/>
              <w:bottom w:val="single" w:sz="6" w:space="0" w:color="auto"/>
            </w:tcBorders>
          </w:tcPr>
          <w:p w:rsidR="009C13A9" w:rsidRPr="009072DA" w:rsidRDefault="009C13A9" w:rsidP="009C13A9">
            <w:pPr>
              <w:tabs>
                <w:tab w:val="left" w:pos="57"/>
                <w:tab w:val="left" w:pos="227"/>
              </w:tabs>
              <w:overflowPunct w:val="0"/>
              <w:adjustRightInd w:val="0"/>
              <w:spacing w:before="100"/>
              <w:textAlignment w:val="baseline"/>
              <w:rPr>
                <w:rFonts w:cs="Arial"/>
                <w:sz w:val="18"/>
                <w:szCs w:val="20"/>
                <w:lang w:val="bg-BG"/>
              </w:rPr>
            </w:pPr>
            <w:r w:rsidRPr="009072DA">
              <w:rPr>
                <w:sz w:val="18"/>
                <w:lang w:val="bg-BG"/>
              </w:rPr>
              <w:t>11.</w:t>
            </w:r>
          </w:p>
        </w:tc>
        <w:tc>
          <w:tcPr>
            <w:tcW w:w="8904" w:type="dxa"/>
            <w:gridSpan w:val="7"/>
            <w:tcBorders>
              <w:top w:val="single" w:sz="6" w:space="0" w:color="auto"/>
              <w:bottom w:val="single" w:sz="6" w:space="0" w:color="auto"/>
              <w:right w:val="single" w:sz="6" w:space="0" w:color="auto"/>
            </w:tcBorders>
          </w:tcPr>
          <w:p w:rsidR="009C13A9" w:rsidRPr="009072DA" w:rsidRDefault="009C13A9" w:rsidP="009C13A9">
            <w:pPr>
              <w:tabs>
                <w:tab w:val="left" w:leader="dot" w:pos="4536"/>
                <w:tab w:val="center" w:pos="6862"/>
              </w:tabs>
              <w:overflowPunct w:val="0"/>
              <w:adjustRightInd w:val="0"/>
              <w:spacing w:before="100" w:after="80"/>
              <w:ind w:left="57" w:right="57"/>
              <w:textAlignment w:val="baseline"/>
              <w:rPr>
                <w:rFonts w:cs="Arial"/>
                <w:sz w:val="18"/>
                <w:szCs w:val="20"/>
                <w:lang w:val="bg-BG"/>
              </w:rPr>
            </w:pPr>
            <w:r w:rsidRPr="009072DA">
              <w:rPr>
                <w:sz w:val="18"/>
                <w:lang w:val="bg-BG"/>
              </w:rPr>
              <w:t xml:space="preserve">Място, дата </w:t>
            </w:r>
            <w:r w:rsidRPr="009072DA">
              <w:rPr>
                <w:lang w:val="bg-BG"/>
              </w:rPr>
              <w:tab/>
            </w:r>
            <w:r w:rsidRPr="009072DA">
              <w:rPr>
                <w:lang w:val="bg-BG"/>
              </w:rPr>
              <w:tab/>
            </w:r>
            <w:r w:rsidRPr="009072DA">
              <w:rPr>
                <w:sz w:val="18"/>
                <w:lang w:val="bg-BG"/>
              </w:rPr>
              <w:t>Контролен орган</w:t>
            </w:r>
          </w:p>
          <w:p w:rsidR="009C13A9" w:rsidRPr="009072DA" w:rsidRDefault="009C13A9" w:rsidP="009C13A9">
            <w:pPr>
              <w:tabs>
                <w:tab w:val="left" w:pos="5103"/>
                <w:tab w:val="left" w:leader="dot" w:pos="8505"/>
              </w:tabs>
              <w:overflowPunct w:val="0"/>
              <w:adjustRightInd w:val="0"/>
              <w:textAlignment w:val="baseline"/>
              <w:rPr>
                <w:rFonts w:cs="Arial"/>
                <w:sz w:val="18"/>
                <w:szCs w:val="20"/>
                <w:lang w:val="bg-BG"/>
              </w:rPr>
            </w:pPr>
            <w:r w:rsidRPr="009072DA">
              <w:rPr>
                <w:lang w:val="bg-BG"/>
              </w:rPr>
              <w:tab/>
            </w:r>
            <w:r w:rsidRPr="009072DA">
              <w:rPr>
                <w:lang w:val="bg-BG"/>
              </w:rPr>
              <w:tab/>
            </w:r>
          </w:p>
          <w:p w:rsidR="009C13A9" w:rsidRPr="009072DA" w:rsidRDefault="009C13A9" w:rsidP="009C13A9">
            <w:pPr>
              <w:tabs>
                <w:tab w:val="center" w:pos="1701"/>
              </w:tabs>
              <w:overflowPunct w:val="0"/>
              <w:adjustRightInd w:val="0"/>
              <w:spacing w:after="80"/>
              <w:textAlignment w:val="baseline"/>
              <w:rPr>
                <w:rFonts w:cs="Arial"/>
                <w:sz w:val="18"/>
                <w:szCs w:val="20"/>
                <w:lang w:val="bg-BG"/>
              </w:rPr>
            </w:pPr>
            <w:r w:rsidRPr="009072DA">
              <w:rPr>
                <w:lang w:val="bg-BG"/>
              </w:rPr>
              <w:tab/>
            </w:r>
            <w:r w:rsidRPr="009072DA">
              <w:rPr>
                <w:sz w:val="18"/>
                <w:lang w:val="bg-BG"/>
              </w:rPr>
              <w:t>Печат</w:t>
            </w:r>
          </w:p>
          <w:p w:rsidR="009C13A9" w:rsidRPr="009072DA" w:rsidRDefault="009C13A9" w:rsidP="009C13A9">
            <w:pPr>
              <w:tabs>
                <w:tab w:val="left" w:pos="5103"/>
                <w:tab w:val="left" w:leader="dot" w:pos="8505"/>
              </w:tabs>
              <w:overflowPunct w:val="0"/>
              <w:adjustRightInd w:val="0"/>
              <w:textAlignment w:val="baseline"/>
              <w:rPr>
                <w:rFonts w:cs="Arial"/>
                <w:szCs w:val="20"/>
                <w:lang w:val="bg-BG"/>
              </w:rPr>
            </w:pPr>
            <w:r w:rsidRPr="009072DA">
              <w:rPr>
                <w:lang w:val="bg-BG"/>
              </w:rPr>
              <w:tab/>
            </w:r>
            <w:r w:rsidRPr="009072DA">
              <w:rPr>
                <w:lang w:val="bg-BG"/>
              </w:rPr>
              <w:tab/>
            </w:r>
          </w:p>
          <w:p w:rsidR="009C13A9" w:rsidRPr="009072DA" w:rsidRDefault="009C13A9" w:rsidP="009C13A9">
            <w:pPr>
              <w:tabs>
                <w:tab w:val="center" w:pos="6862"/>
              </w:tabs>
              <w:overflowPunct w:val="0"/>
              <w:adjustRightInd w:val="0"/>
              <w:textAlignment w:val="baseline"/>
              <w:rPr>
                <w:rFonts w:cs="Arial"/>
                <w:sz w:val="16"/>
                <w:szCs w:val="20"/>
                <w:lang w:val="bg-BG"/>
              </w:rPr>
            </w:pPr>
            <w:r w:rsidRPr="009072DA">
              <w:rPr>
                <w:lang w:val="bg-BG"/>
              </w:rPr>
              <w:tab/>
            </w:r>
            <w:r w:rsidRPr="009072DA">
              <w:rPr>
                <w:sz w:val="16"/>
                <w:lang w:val="bg-BG"/>
              </w:rPr>
              <w:t>(Подпис)</w:t>
            </w:r>
          </w:p>
          <w:p w:rsidR="009C13A9" w:rsidRPr="009072D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bg-BG"/>
              </w:rPr>
            </w:pPr>
            <w:r w:rsidRPr="009072DA">
              <w:rPr>
                <w:sz w:val="18"/>
                <w:lang w:val="bg-BG"/>
              </w:rPr>
              <w:t>_______________________</w:t>
            </w:r>
          </w:p>
          <w:p w:rsidR="009C13A9" w:rsidRPr="009072DA" w:rsidRDefault="009C13A9" w:rsidP="009C13A9">
            <w:pPr>
              <w:tabs>
                <w:tab w:val="left" w:pos="284"/>
              </w:tabs>
              <w:overflowPunct w:val="0"/>
              <w:adjustRightInd w:val="0"/>
              <w:spacing w:before="80"/>
              <w:textAlignment w:val="baseline"/>
              <w:rPr>
                <w:rFonts w:cs="Arial"/>
                <w:sz w:val="18"/>
                <w:szCs w:val="20"/>
                <w:lang w:val="bg-BG"/>
              </w:rPr>
            </w:pPr>
            <w:r w:rsidRPr="009072DA">
              <w:rPr>
                <w:position w:val="4"/>
                <w:sz w:val="16"/>
                <w:lang w:val="bg-BG"/>
              </w:rPr>
              <w:t>*)</w:t>
            </w:r>
            <w:r w:rsidRPr="009072DA">
              <w:rPr>
                <w:lang w:val="bg-BG"/>
              </w:rPr>
              <w:tab/>
            </w:r>
            <w:r w:rsidRPr="009072DA">
              <w:rPr>
                <w:sz w:val="16"/>
                <w:lang w:val="bg-BG"/>
              </w:rPr>
              <w:t>Ненужното се зачерква</w:t>
            </w:r>
          </w:p>
        </w:tc>
      </w:tr>
    </w:tbl>
    <w:p w:rsidR="009C13A9" w:rsidRPr="009072DA" w:rsidRDefault="009C13A9" w:rsidP="009C13A9">
      <w:pPr>
        <w:overflowPunct w:val="0"/>
        <w:adjustRightInd w:val="0"/>
        <w:textAlignment w:val="baseline"/>
        <w:rPr>
          <w:rFonts w:cs="Arial"/>
          <w:szCs w:val="20"/>
          <w:lang w:val="bg-BG"/>
        </w:rPr>
      </w:pPr>
    </w:p>
    <w:p w:rsidR="009C13A9" w:rsidRPr="009072DA" w:rsidRDefault="009C13A9" w:rsidP="009C13A9">
      <w:pPr>
        <w:overflowPunct w:val="0"/>
        <w:adjustRightInd w:val="0"/>
        <w:textAlignment w:val="baseline"/>
        <w:rPr>
          <w:rFonts w:cs="Arial"/>
          <w:szCs w:val="20"/>
          <w:lang w:val="bg-BG"/>
        </w:rPr>
      </w:pPr>
    </w:p>
    <w:p w:rsidR="009C13A9" w:rsidRPr="009072DA" w:rsidRDefault="009C13A9" w:rsidP="009C13A9">
      <w:pPr>
        <w:spacing w:line="240" w:lineRule="atLeast"/>
        <w:ind w:left="567" w:hanging="567"/>
        <w:rPr>
          <w:lang w:val="bg-BG"/>
        </w:rPr>
      </w:pPr>
      <w:r w:rsidRPr="009072DA">
        <w:rPr>
          <w:lang w:val="bg-BG"/>
        </w:rPr>
        <w:br w:type="page"/>
      </w:r>
    </w:p>
    <w:p w:rsidR="009C13A9" w:rsidRPr="009072DA" w:rsidRDefault="00925755" w:rsidP="00857FC2">
      <w:pPr>
        <w:pStyle w:val="ES-Titre3"/>
        <w:rPr>
          <w:lang w:val="bg-BG"/>
        </w:rPr>
      </w:pPr>
      <w:bookmarkStart w:id="613" w:name="_Toc491854299"/>
      <w:bookmarkStart w:id="614" w:name="_Toc535827740"/>
      <w:r w:rsidRPr="009072DA">
        <w:rPr>
          <w:lang w:val="bg-BG"/>
        </w:rPr>
        <w:lastRenderedPageBreak/>
        <w:t>Раздел III</w:t>
      </w:r>
      <w:bookmarkEnd w:id="613"/>
      <w:bookmarkEnd w:id="614"/>
    </w:p>
    <w:p w:rsidR="009C13A9" w:rsidRPr="009072DA" w:rsidRDefault="009C13A9" w:rsidP="00857FC2">
      <w:pPr>
        <w:pStyle w:val="ES-Titre3a"/>
        <w:rPr>
          <w:lang w:val="bg-BG"/>
        </w:rPr>
      </w:pPr>
      <w:bookmarkStart w:id="615" w:name="_Toc491854300"/>
      <w:bookmarkStart w:id="616" w:name="_Toc535827741"/>
      <w:r w:rsidRPr="009072DA">
        <w:rPr>
          <w:lang w:val="bg-BG"/>
        </w:rPr>
        <w:t>Образец на допълнително удостоверение на плавателния съд за плаване по вътрешни водни пътища на Съюза</w:t>
      </w:r>
      <w:bookmarkEnd w:id="615"/>
      <w:bookmarkEnd w:id="616"/>
    </w:p>
    <w:p w:rsidR="009C13A9" w:rsidRPr="009072DA" w:rsidRDefault="009C13A9" w:rsidP="009C13A9">
      <w:pPr>
        <w:widowControl w:val="0"/>
        <w:spacing w:line="240" w:lineRule="atLeast"/>
        <w:jc w:val="center"/>
        <w:rPr>
          <w:szCs w:val="20"/>
          <w:lang w:val="bg-BG"/>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6"/>
      </w:tblGrid>
      <w:tr w:rsidR="009C13A9" w:rsidRPr="008D2440" w:rsidTr="009C13A9">
        <w:tc>
          <w:tcPr>
            <w:tcW w:w="9286" w:type="dxa"/>
            <w:vAlign w:val="center"/>
          </w:tcPr>
          <w:p w:rsidR="009C13A9" w:rsidRPr="009072DA" w:rsidRDefault="00E3172D" w:rsidP="007233FE">
            <w:pPr>
              <w:widowControl w:val="0"/>
              <w:tabs>
                <w:tab w:val="left" w:leader="dot" w:pos="7655"/>
              </w:tabs>
              <w:spacing w:before="80" w:after="80" w:line="240" w:lineRule="atLeast"/>
              <w:rPr>
                <w:szCs w:val="20"/>
                <w:lang w:val="bg-BG"/>
              </w:rPr>
            </w:pPr>
            <w:r w:rsidRPr="009072DA">
              <w:rPr>
                <w:lang w:val="bg-BG"/>
              </w:rPr>
              <w:t xml:space="preserve">Приложение към удостоверение на плавателния съд за плаване по вътрешни водни пътища № </w:t>
            </w:r>
            <w:r w:rsidRPr="009072DA">
              <w:rPr>
                <w:lang w:val="bg-BG"/>
              </w:rPr>
              <w:tab/>
            </w:r>
          </w:p>
        </w:tc>
      </w:tr>
      <w:tr w:rsidR="009C13A9" w:rsidRPr="008D2440" w:rsidTr="009C13A9">
        <w:tc>
          <w:tcPr>
            <w:tcW w:w="9286" w:type="dxa"/>
          </w:tcPr>
          <w:p w:rsidR="009C13A9" w:rsidRPr="009072DA" w:rsidRDefault="009C13A9" w:rsidP="009C13A9">
            <w:pPr>
              <w:widowControl w:val="0"/>
              <w:spacing w:before="120" w:line="240" w:lineRule="atLeast"/>
              <w:jc w:val="center"/>
              <w:rPr>
                <w:b/>
                <w:szCs w:val="20"/>
                <w:lang w:val="bg-BG"/>
              </w:rPr>
            </w:pPr>
            <w:r w:rsidRPr="009072DA">
              <w:rPr>
                <w:b/>
                <w:lang w:val="bg-BG"/>
              </w:rPr>
              <w:t>Допълнително удостоверение на плавателния съд за плаване по вътрешни водни пътища на Съюза</w:t>
            </w:r>
          </w:p>
          <w:p w:rsidR="009C13A9" w:rsidRPr="009072DA" w:rsidRDefault="009C13A9" w:rsidP="009C13A9">
            <w:pPr>
              <w:widowControl w:val="0"/>
              <w:spacing w:line="240" w:lineRule="atLeast"/>
              <w:jc w:val="center"/>
              <w:rPr>
                <w:szCs w:val="20"/>
                <w:lang w:val="bg-BG"/>
              </w:rPr>
            </w:pPr>
          </w:p>
          <w:p w:rsidR="009C13A9" w:rsidRPr="009072DA" w:rsidRDefault="009C13A9" w:rsidP="009C13A9">
            <w:pPr>
              <w:widowControl w:val="0"/>
              <w:spacing w:line="240" w:lineRule="atLeast"/>
              <w:jc w:val="center"/>
              <w:rPr>
                <w:szCs w:val="20"/>
                <w:lang w:val="bg-BG"/>
              </w:rPr>
            </w:pPr>
          </w:p>
          <w:p w:rsidR="009C13A9" w:rsidRPr="009072DA" w:rsidRDefault="009C13A9" w:rsidP="009C13A9">
            <w:pPr>
              <w:widowControl w:val="0"/>
              <w:spacing w:line="240" w:lineRule="atLeast"/>
              <w:jc w:val="center"/>
              <w:rPr>
                <w:b/>
                <w:szCs w:val="20"/>
                <w:lang w:val="bg-BG"/>
              </w:rPr>
            </w:pPr>
            <w:r w:rsidRPr="009072DA">
              <w:rPr>
                <w:b/>
                <w:lang w:val="bg-BG"/>
              </w:rPr>
              <w:t>Име на държавата/печат</w:t>
            </w:r>
          </w:p>
          <w:p w:rsidR="009C13A9" w:rsidRPr="009072DA" w:rsidRDefault="009C13A9" w:rsidP="009C13A9">
            <w:pPr>
              <w:widowControl w:val="0"/>
              <w:spacing w:line="240" w:lineRule="atLeast"/>
              <w:jc w:val="center"/>
              <w:rPr>
                <w:szCs w:val="20"/>
                <w:lang w:val="bg-BG"/>
              </w:rPr>
            </w:pPr>
          </w:p>
          <w:p w:rsidR="009C13A9" w:rsidRPr="009072DA" w:rsidRDefault="009C13A9" w:rsidP="009C13A9">
            <w:pPr>
              <w:widowControl w:val="0"/>
              <w:spacing w:line="240" w:lineRule="atLeast"/>
              <w:jc w:val="center"/>
              <w:rPr>
                <w:szCs w:val="20"/>
                <w:lang w:val="bg-BG"/>
              </w:rPr>
            </w:pPr>
          </w:p>
          <w:p w:rsidR="009C13A9" w:rsidRPr="009072DA" w:rsidRDefault="009C13A9" w:rsidP="009C13A9">
            <w:pPr>
              <w:widowControl w:val="0"/>
              <w:spacing w:line="240" w:lineRule="atLeast"/>
              <w:jc w:val="center"/>
              <w:rPr>
                <w:szCs w:val="20"/>
                <w:lang w:val="bg-BG"/>
              </w:rPr>
            </w:pPr>
            <w:r w:rsidRPr="009072DA">
              <w:rPr>
                <w:lang w:val="bg-BG"/>
              </w:rPr>
              <w:t>Име и адрес на компетентния орган, който издава допълнителното удостоверение</w:t>
            </w:r>
          </w:p>
          <w:p w:rsidR="009C13A9" w:rsidRPr="009072DA" w:rsidRDefault="009C13A9" w:rsidP="009C13A9">
            <w:pPr>
              <w:widowControl w:val="0"/>
              <w:spacing w:line="240" w:lineRule="atLeast"/>
              <w:jc w:val="center"/>
              <w:rPr>
                <w:lang w:val="bg-BG"/>
              </w:rPr>
            </w:pPr>
          </w:p>
          <w:p w:rsidR="009C13A9" w:rsidRPr="009072DA" w:rsidRDefault="009C13A9" w:rsidP="009C13A9">
            <w:pPr>
              <w:widowControl w:val="0"/>
              <w:tabs>
                <w:tab w:val="left" w:pos="851"/>
                <w:tab w:val="right" w:leader="dot" w:pos="8931"/>
              </w:tabs>
              <w:spacing w:line="360" w:lineRule="auto"/>
              <w:rPr>
                <w:szCs w:val="20"/>
                <w:lang w:val="bg-BG"/>
              </w:rPr>
            </w:pPr>
            <w:r w:rsidRPr="009072DA">
              <w:rPr>
                <w:lang w:val="bg-BG"/>
              </w:rPr>
              <w:t>1.</w:t>
            </w:r>
            <w:r w:rsidRPr="009072DA">
              <w:rPr>
                <w:lang w:val="bg-BG"/>
              </w:rPr>
              <w:tab/>
              <w:t xml:space="preserve">Име на плавателния съд: </w:t>
            </w:r>
            <w:r w:rsidRPr="009072DA">
              <w:rPr>
                <w:lang w:val="bg-BG"/>
              </w:rPr>
              <w:tab/>
            </w:r>
          </w:p>
          <w:p w:rsidR="009C13A9" w:rsidRPr="009072DA" w:rsidRDefault="009C13A9" w:rsidP="009C13A9">
            <w:pPr>
              <w:widowControl w:val="0"/>
              <w:tabs>
                <w:tab w:val="left" w:pos="851"/>
                <w:tab w:val="right" w:leader="dot" w:pos="8931"/>
              </w:tabs>
              <w:spacing w:line="360" w:lineRule="auto"/>
              <w:rPr>
                <w:lang w:val="bg-BG"/>
              </w:rPr>
            </w:pPr>
            <w:r w:rsidRPr="009072DA">
              <w:rPr>
                <w:lang w:val="bg-BG"/>
              </w:rPr>
              <w:t>2.</w:t>
            </w:r>
            <w:r w:rsidRPr="009072DA">
              <w:rPr>
                <w:lang w:val="bg-BG"/>
              </w:rPr>
              <w:tab/>
              <w:t xml:space="preserve">Уникален европейски идентификационен номер на плавателния съд: </w:t>
            </w:r>
            <w:r w:rsidRPr="009072DA">
              <w:rPr>
                <w:lang w:val="bg-BG"/>
              </w:rPr>
              <w:tab/>
            </w:r>
          </w:p>
          <w:p w:rsidR="009C13A9" w:rsidRPr="009072DA" w:rsidRDefault="009C13A9" w:rsidP="009C13A9">
            <w:pPr>
              <w:widowControl w:val="0"/>
              <w:tabs>
                <w:tab w:val="left" w:pos="851"/>
                <w:tab w:val="right" w:leader="dot" w:pos="8931"/>
              </w:tabs>
              <w:spacing w:line="360" w:lineRule="auto"/>
              <w:rPr>
                <w:lang w:val="bg-BG"/>
              </w:rPr>
            </w:pPr>
            <w:r w:rsidRPr="009072DA">
              <w:rPr>
                <w:lang w:val="bg-BG"/>
              </w:rPr>
              <w:t>3.</w:t>
            </w:r>
            <w:r w:rsidRPr="009072DA">
              <w:rPr>
                <w:lang w:val="bg-BG"/>
              </w:rPr>
              <w:tab/>
              <w:t xml:space="preserve">Място на регистрация и регистрационен номер: </w:t>
            </w:r>
            <w:r w:rsidRPr="009072DA">
              <w:rPr>
                <w:lang w:val="bg-BG"/>
              </w:rPr>
              <w:tab/>
            </w:r>
          </w:p>
          <w:p w:rsidR="009C13A9" w:rsidRPr="009072DA" w:rsidRDefault="009C13A9" w:rsidP="009C13A9">
            <w:pPr>
              <w:widowControl w:val="0"/>
              <w:tabs>
                <w:tab w:val="left" w:pos="851"/>
                <w:tab w:val="right" w:leader="dot" w:pos="8931"/>
              </w:tabs>
              <w:spacing w:line="360" w:lineRule="auto"/>
              <w:rPr>
                <w:szCs w:val="20"/>
                <w:lang w:val="bg-BG"/>
              </w:rPr>
            </w:pPr>
            <w:r w:rsidRPr="009072DA">
              <w:rPr>
                <w:lang w:val="bg-BG"/>
              </w:rPr>
              <w:t>4.</w:t>
            </w:r>
            <w:r w:rsidRPr="009072DA">
              <w:rPr>
                <w:lang w:val="bg-BG"/>
              </w:rPr>
              <w:tab/>
              <w:t xml:space="preserve">Държава по регистрация и/или пристанище на домуване: </w:t>
            </w:r>
            <w:r w:rsidRPr="009072DA">
              <w:rPr>
                <w:vertAlign w:val="superscript"/>
                <w:lang w:val="bg-BG"/>
              </w:rPr>
              <w:t xml:space="preserve">(1) </w:t>
            </w:r>
            <w:r w:rsidRPr="009072DA">
              <w:rPr>
                <w:lang w:val="bg-BG"/>
              </w:rPr>
              <w:tab/>
            </w:r>
          </w:p>
          <w:p w:rsidR="009C13A9" w:rsidRPr="009072DA" w:rsidRDefault="009C13A9" w:rsidP="009C13A9">
            <w:pPr>
              <w:widowControl w:val="0"/>
              <w:tabs>
                <w:tab w:val="left" w:pos="851"/>
                <w:tab w:val="right" w:leader="dot" w:pos="7230"/>
              </w:tabs>
              <w:spacing w:line="360" w:lineRule="auto"/>
              <w:rPr>
                <w:szCs w:val="20"/>
                <w:lang w:val="bg-BG"/>
              </w:rPr>
            </w:pPr>
            <w:r w:rsidRPr="009072DA">
              <w:rPr>
                <w:lang w:val="bg-BG"/>
              </w:rPr>
              <w:t>5.</w:t>
            </w:r>
            <w:r w:rsidRPr="009072DA">
              <w:rPr>
                <w:lang w:val="bg-BG"/>
              </w:rPr>
              <w:tab/>
              <w:t xml:space="preserve">Предвид удостоверението на плавателния съд за плаване по вътрешни водни пътища № </w:t>
            </w:r>
            <w:r w:rsidRPr="009072DA">
              <w:rPr>
                <w:lang w:val="bg-BG"/>
              </w:rPr>
              <w:tab/>
            </w:r>
          </w:p>
          <w:p w:rsidR="009C13A9" w:rsidRPr="009072DA" w:rsidRDefault="009C13A9" w:rsidP="009C13A9">
            <w:pPr>
              <w:widowControl w:val="0"/>
              <w:tabs>
                <w:tab w:val="left" w:pos="851"/>
                <w:tab w:val="right" w:leader="dot" w:pos="8931"/>
              </w:tabs>
              <w:spacing w:line="360" w:lineRule="auto"/>
              <w:ind w:firstLine="1"/>
              <w:rPr>
                <w:szCs w:val="20"/>
                <w:lang w:val="bg-BG"/>
              </w:rPr>
            </w:pPr>
            <w:r w:rsidRPr="009072DA">
              <w:rPr>
                <w:lang w:val="bg-BG"/>
              </w:rPr>
              <w:t xml:space="preserve">от дата …………….………………….. валидно до </w:t>
            </w:r>
            <w:r w:rsidRPr="009072DA">
              <w:rPr>
                <w:lang w:val="bg-BG"/>
              </w:rPr>
              <w:tab/>
            </w:r>
          </w:p>
          <w:p w:rsidR="009C13A9" w:rsidRPr="009072DA" w:rsidRDefault="009C13A9" w:rsidP="009C13A9">
            <w:pPr>
              <w:widowControl w:val="0"/>
              <w:tabs>
                <w:tab w:val="left" w:pos="851"/>
                <w:tab w:val="right" w:leader="dot" w:pos="8931"/>
              </w:tabs>
              <w:spacing w:line="360" w:lineRule="auto"/>
              <w:rPr>
                <w:szCs w:val="20"/>
                <w:lang w:val="bg-BG"/>
              </w:rPr>
            </w:pPr>
            <w:r w:rsidRPr="009072DA">
              <w:rPr>
                <w:lang w:val="bg-BG"/>
              </w:rPr>
              <w:t>6.</w:t>
            </w:r>
            <w:r w:rsidRPr="009072DA">
              <w:rPr>
                <w:lang w:val="bg-BG"/>
              </w:rPr>
              <w:tab/>
              <w:t xml:space="preserve">Предвид резултата от проверката, </w:t>
            </w:r>
            <w:r w:rsidRPr="009072DA">
              <w:rPr>
                <w:lang w:val="bg-BG"/>
              </w:rPr>
              <w:tab/>
            </w:r>
          </w:p>
          <w:p w:rsidR="009C13A9" w:rsidRPr="009072DA" w:rsidRDefault="009C13A9" w:rsidP="009C13A9">
            <w:pPr>
              <w:widowControl w:val="0"/>
              <w:tabs>
                <w:tab w:val="left" w:leader="dot" w:pos="3686"/>
                <w:tab w:val="left" w:pos="3969"/>
                <w:tab w:val="right" w:leader="dot" w:pos="8931"/>
              </w:tabs>
              <w:spacing w:line="360" w:lineRule="auto"/>
              <w:rPr>
                <w:szCs w:val="20"/>
                <w:lang w:val="bg-BG"/>
              </w:rPr>
            </w:pPr>
            <w:r w:rsidRPr="009072DA">
              <w:rPr>
                <w:lang w:val="bg-BG"/>
              </w:rPr>
              <w:tab/>
            </w:r>
            <w:r w:rsidRPr="009072DA">
              <w:rPr>
                <w:lang w:val="bg-BG"/>
              </w:rPr>
              <w:tab/>
              <w:t xml:space="preserve">от </w:t>
            </w:r>
            <w:r w:rsidRPr="009072DA">
              <w:rPr>
                <w:lang w:val="bg-BG"/>
              </w:rPr>
              <w:tab/>
            </w:r>
          </w:p>
          <w:p w:rsidR="009C13A9" w:rsidRPr="009072DA" w:rsidRDefault="009C13A9" w:rsidP="009C13A9">
            <w:pPr>
              <w:widowControl w:val="0"/>
              <w:tabs>
                <w:tab w:val="left" w:pos="851"/>
                <w:tab w:val="right" w:leader="dot" w:pos="8789"/>
              </w:tabs>
              <w:spacing w:line="360" w:lineRule="auto"/>
              <w:rPr>
                <w:szCs w:val="20"/>
                <w:lang w:val="bg-BG"/>
              </w:rPr>
            </w:pPr>
            <w:r w:rsidRPr="009072DA">
              <w:rPr>
                <w:lang w:val="bg-BG"/>
              </w:rPr>
              <w:t>7.</w:t>
            </w:r>
            <w:r w:rsidRPr="009072DA">
              <w:rPr>
                <w:lang w:val="bg-BG"/>
              </w:rPr>
              <w:tab/>
              <w:t>Горепосоченият плавателен съд се счита за годен за експлоатация по водните пътища на ЕС от зона(и)</w:t>
            </w:r>
          </w:p>
          <w:p w:rsidR="009C13A9" w:rsidRPr="009072DA" w:rsidRDefault="009C13A9" w:rsidP="009C13A9">
            <w:pPr>
              <w:widowControl w:val="0"/>
              <w:tabs>
                <w:tab w:val="left" w:pos="426"/>
                <w:tab w:val="right" w:leader="dot" w:pos="8931"/>
              </w:tabs>
              <w:spacing w:line="360" w:lineRule="auto"/>
              <w:ind w:firstLine="1"/>
              <w:rPr>
                <w:lang w:val="bg-BG"/>
              </w:rPr>
            </w:pPr>
            <w:r w:rsidRPr="009072DA">
              <w:rPr>
                <w:lang w:val="bg-BG"/>
              </w:rPr>
              <w:tab/>
            </w:r>
          </w:p>
          <w:p w:rsidR="009C13A9" w:rsidRPr="009072DA" w:rsidRDefault="009C13A9" w:rsidP="009C13A9">
            <w:pPr>
              <w:widowControl w:val="0"/>
              <w:tabs>
                <w:tab w:val="left" w:pos="426"/>
                <w:tab w:val="right" w:leader="dot" w:pos="8931"/>
              </w:tabs>
              <w:spacing w:line="360" w:lineRule="auto"/>
              <w:rPr>
                <w:szCs w:val="20"/>
                <w:lang w:val="bg-BG"/>
              </w:rPr>
            </w:pPr>
            <w:r w:rsidRPr="009072DA">
              <w:rPr>
                <w:lang w:val="bg-BG"/>
              </w:rPr>
              <w:lastRenderedPageBreak/>
              <w:t>8.</w:t>
            </w:r>
            <w:r w:rsidRPr="009072DA">
              <w:rPr>
                <w:lang w:val="bg-BG"/>
              </w:rPr>
              <w:tab/>
              <w:t xml:space="preserve">Допълнителното удостоверение изтича на </w:t>
            </w:r>
            <w:r w:rsidRPr="009072DA">
              <w:rPr>
                <w:lang w:val="bg-BG"/>
              </w:rPr>
              <w:tab/>
            </w:r>
          </w:p>
          <w:p w:rsidR="009C13A9" w:rsidRPr="009072DA" w:rsidRDefault="009C13A9" w:rsidP="009C13A9">
            <w:pPr>
              <w:widowControl w:val="0"/>
              <w:tabs>
                <w:tab w:val="left" w:pos="851"/>
                <w:tab w:val="left" w:leader="dot" w:pos="3969"/>
                <w:tab w:val="right" w:leader="dot" w:pos="8931"/>
              </w:tabs>
              <w:spacing w:line="360" w:lineRule="auto"/>
              <w:rPr>
                <w:szCs w:val="20"/>
                <w:lang w:val="bg-BG"/>
              </w:rPr>
            </w:pPr>
            <w:r w:rsidRPr="009072DA">
              <w:rPr>
                <w:lang w:val="bg-BG"/>
              </w:rPr>
              <w:t>9.</w:t>
            </w:r>
            <w:r w:rsidRPr="009072DA">
              <w:rPr>
                <w:lang w:val="bg-BG"/>
              </w:rPr>
              <w:tab/>
              <w:t xml:space="preserve">Издадено в </w:t>
            </w:r>
            <w:r w:rsidRPr="009072DA">
              <w:rPr>
                <w:lang w:val="bg-BG"/>
              </w:rPr>
              <w:tab/>
              <w:t xml:space="preserve">, на </w:t>
            </w:r>
            <w:r w:rsidRPr="009072DA">
              <w:rPr>
                <w:lang w:val="bg-BG"/>
              </w:rPr>
              <w:tab/>
            </w:r>
          </w:p>
          <w:p w:rsidR="009C13A9" w:rsidRPr="009072DA" w:rsidRDefault="00074E15" w:rsidP="009C13A9">
            <w:pPr>
              <w:widowControl w:val="0"/>
              <w:tabs>
                <w:tab w:val="left" w:pos="5954"/>
                <w:tab w:val="left" w:leader="dot" w:pos="8789"/>
              </w:tabs>
              <w:spacing w:line="360" w:lineRule="auto"/>
              <w:rPr>
                <w:lang w:val="bg-BG"/>
              </w:rPr>
            </w:pPr>
            <w:r w:rsidRPr="009072DA">
              <w:rPr>
                <w:lang w:val="bg-BG"/>
              </w:rPr>
              <w:t>10.</w:t>
            </w:r>
          </w:p>
          <w:p w:rsidR="009C13A9" w:rsidRPr="009072DA" w:rsidRDefault="009C13A9" w:rsidP="009C13A9">
            <w:pPr>
              <w:widowControl w:val="0"/>
              <w:tabs>
                <w:tab w:val="center" w:pos="6804"/>
                <w:tab w:val="left" w:leader="dot" w:pos="8789"/>
              </w:tabs>
              <w:spacing w:line="360" w:lineRule="auto"/>
              <w:rPr>
                <w:szCs w:val="20"/>
                <w:lang w:val="bg-BG"/>
              </w:rPr>
            </w:pPr>
            <w:r w:rsidRPr="009072DA">
              <w:rPr>
                <w:lang w:val="bg-BG"/>
              </w:rPr>
              <w:tab/>
              <w:t>…………………………………….</w:t>
            </w:r>
          </w:p>
          <w:p w:rsidR="009C13A9" w:rsidRPr="009072DA" w:rsidRDefault="009C13A9" w:rsidP="009C13A9">
            <w:pPr>
              <w:widowControl w:val="0"/>
              <w:tabs>
                <w:tab w:val="center" w:pos="6804"/>
                <w:tab w:val="left" w:leader="dot" w:pos="8789"/>
              </w:tabs>
              <w:spacing w:after="240" w:line="360" w:lineRule="auto"/>
              <w:rPr>
                <w:lang w:val="bg-BG"/>
              </w:rPr>
            </w:pPr>
            <w:r w:rsidRPr="009072DA">
              <w:rPr>
                <w:lang w:val="bg-BG"/>
              </w:rPr>
              <w:tab/>
              <w:t>(Контролен орган)</w:t>
            </w:r>
          </w:p>
          <w:p w:rsidR="009C13A9" w:rsidRPr="009072DA" w:rsidRDefault="00313B91" w:rsidP="009C13A9">
            <w:pPr>
              <w:widowControl w:val="0"/>
              <w:tabs>
                <w:tab w:val="center" w:pos="6804"/>
                <w:tab w:val="left" w:leader="dot" w:pos="8789"/>
              </w:tabs>
              <w:spacing w:line="240" w:lineRule="atLeast"/>
              <w:ind w:left="1134"/>
              <w:rPr>
                <w:szCs w:val="20"/>
                <w:lang w:val="bg-BG"/>
              </w:rPr>
            </w:pPr>
            <w:r w:rsidRPr="009072DA">
              <w:rPr>
                <w:lang w:val="bg-BG"/>
              </w:rPr>
              <w:t>Печат</w:t>
            </w:r>
          </w:p>
          <w:p w:rsidR="009C13A9" w:rsidRPr="009072DA" w:rsidRDefault="009C13A9" w:rsidP="009C13A9">
            <w:pPr>
              <w:widowControl w:val="0"/>
              <w:tabs>
                <w:tab w:val="center" w:pos="6804"/>
                <w:tab w:val="left" w:leader="dot" w:pos="8789"/>
              </w:tabs>
              <w:spacing w:line="360" w:lineRule="auto"/>
              <w:rPr>
                <w:szCs w:val="20"/>
                <w:lang w:val="bg-BG"/>
              </w:rPr>
            </w:pPr>
            <w:r w:rsidRPr="009072DA">
              <w:rPr>
                <w:lang w:val="bg-BG"/>
              </w:rPr>
              <w:tab/>
              <w:t>…………………………………….</w:t>
            </w:r>
          </w:p>
          <w:p w:rsidR="009C13A9" w:rsidRPr="009072DA" w:rsidRDefault="009C13A9" w:rsidP="009C13A9">
            <w:pPr>
              <w:widowControl w:val="0"/>
              <w:tabs>
                <w:tab w:val="center" w:pos="6804"/>
                <w:tab w:val="left" w:leader="dot" w:pos="8789"/>
              </w:tabs>
              <w:spacing w:after="240" w:line="360" w:lineRule="auto"/>
              <w:rPr>
                <w:sz w:val="16"/>
                <w:szCs w:val="20"/>
                <w:lang w:val="bg-BG"/>
              </w:rPr>
            </w:pPr>
            <w:r w:rsidRPr="009072DA">
              <w:rPr>
                <w:lang w:val="bg-BG"/>
              </w:rPr>
              <w:tab/>
              <w:t>(Подпис)</w:t>
            </w:r>
          </w:p>
          <w:p w:rsidR="009C13A9" w:rsidRPr="009072DA" w:rsidRDefault="009C13A9" w:rsidP="009C13A9">
            <w:pPr>
              <w:widowControl w:val="0"/>
              <w:tabs>
                <w:tab w:val="left" w:pos="6946"/>
                <w:tab w:val="left" w:leader="dot" w:pos="8789"/>
              </w:tabs>
              <w:spacing w:line="360" w:lineRule="auto"/>
              <w:rPr>
                <w:sz w:val="16"/>
                <w:szCs w:val="20"/>
                <w:vertAlign w:val="superscript"/>
                <w:lang w:val="bg-BG"/>
              </w:rPr>
            </w:pPr>
          </w:p>
          <w:p w:rsidR="009C13A9" w:rsidRPr="009072DA" w:rsidRDefault="009C13A9" w:rsidP="009C13A9">
            <w:pPr>
              <w:widowControl w:val="0"/>
              <w:tabs>
                <w:tab w:val="left" w:pos="6946"/>
                <w:tab w:val="left" w:leader="dot" w:pos="8789"/>
              </w:tabs>
              <w:spacing w:line="360" w:lineRule="auto"/>
              <w:rPr>
                <w:sz w:val="16"/>
                <w:szCs w:val="20"/>
                <w:vertAlign w:val="superscript"/>
                <w:lang w:val="bg-BG"/>
              </w:rPr>
            </w:pPr>
            <w:r w:rsidRPr="009072DA">
              <w:rPr>
                <w:sz w:val="16"/>
                <w:vertAlign w:val="superscript"/>
                <w:lang w:val="bg-BG"/>
              </w:rPr>
              <w:t>_________________</w:t>
            </w:r>
          </w:p>
          <w:p w:rsidR="009C13A9" w:rsidRPr="009072DA" w:rsidRDefault="009C13A9" w:rsidP="009C13A9">
            <w:pPr>
              <w:widowControl w:val="0"/>
              <w:tabs>
                <w:tab w:val="left" w:pos="6946"/>
                <w:tab w:val="left" w:leader="dot" w:pos="8789"/>
              </w:tabs>
              <w:spacing w:line="360" w:lineRule="auto"/>
              <w:rPr>
                <w:b/>
                <w:szCs w:val="20"/>
                <w:lang w:val="bg-BG"/>
              </w:rPr>
            </w:pPr>
            <w:r w:rsidRPr="009072DA">
              <w:rPr>
                <w:sz w:val="16"/>
                <w:vertAlign w:val="superscript"/>
                <w:lang w:val="bg-BG"/>
              </w:rPr>
              <w:t>(1)</w:t>
            </w:r>
            <w:r w:rsidRPr="009072DA">
              <w:rPr>
                <w:sz w:val="16"/>
                <w:lang w:val="bg-BG"/>
              </w:rPr>
              <w:t xml:space="preserve"> Ненужното се зачерква.</w:t>
            </w:r>
          </w:p>
        </w:tc>
      </w:tr>
    </w:tbl>
    <w:p w:rsidR="009C13A9" w:rsidRPr="009072DA" w:rsidRDefault="009C13A9" w:rsidP="009C13A9">
      <w:pPr>
        <w:widowControl w:val="0"/>
        <w:spacing w:line="360" w:lineRule="auto"/>
        <w:rPr>
          <w:szCs w:val="20"/>
          <w:lang w:val="bg-BG"/>
        </w:rPr>
      </w:pPr>
    </w:p>
    <w:p w:rsidR="009C13A9" w:rsidRPr="009072DA" w:rsidRDefault="009C13A9" w:rsidP="009C13A9">
      <w:pPr>
        <w:widowControl w:val="0"/>
        <w:rPr>
          <w:szCs w:val="20"/>
          <w:lang w:val="bg-BG"/>
        </w:rPr>
      </w:pPr>
      <w:r w:rsidRPr="009072DA">
        <w:rPr>
          <w:lang w:val="bg-BG"/>
        </w:rPr>
        <w:br w:type="page"/>
      </w:r>
    </w:p>
    <w:tbl>
      <w:tblPr>
        <w:tblW w:w="9322" w:type="dxa"/>
        <w:tblBorders>
          <w:top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322"/>
      </w:tblGrid>
      <w:tr w:rsidR="009C13A9" w:rsidRPr="008D2440" w:rsidTr="009C13A9">
        <w:tc>
          <w:tcPr>
            <w:tcW w:w="9322" w:type="dxa"/>
            <w:tcBorders>
              <w:left w:val="single" w:sz="4" w:space="0" w:color="auto"/>
              <w:bottom w:val="nil"/>
            </w:tcBorders>
          </w:tcPr>
          <w:p w:rsidR="009C13A9" w:rsidRPr="009072DA" w:rsidRDefault="009C13A9" w:rsidP="009C13A9">
            <w:pPr>
              <w:widowControl w:val="0"/>
              <w:spacing w:before="60" w:after="60" w:line="240" w:lineRule="atLeast"/>
              <w:rPr>
                <w:szCs w:val="20"/>
                <w:lang w:val="bg-BG"/>
              </w:rPr>
            </w:pPr>
            <w:r w:rsidRPr="009072DA">
              <w:rPr>
                <w:lang w:val="bg-BG"/>
              </w:rPr>
              <w:lastRenderedPageBreak/>
              <w:br w:type="page"/>
              <w:t>Приложение към удостоверение на плавателния съд за плаване по вътрешни водни пътища № ……………………….</w:t>
            </w:r>
          </w:p>
        </w:tc>
      </w:tr>
      <w:tr w:rsidR="009C13A9" w:rsidRPr="008D2440" w:rsidTr="009C13A9">
        <w:trPr>
          <w:cantSplit/>
        </w:trPr>
        <w:tc>
          <w:tcPr>
            <w:tcW w:w="9322" w:type="dxa"/>
            <w:tcBorders>
              <w:left w:val="single" w:sz="4" w:space="0" w:color="auto"/>
              <w:bottom w:val="nil"/>
            </w:tcBorders>
          </w:tcPr>
          <w:p w:rsidR="009C13A9" w:rsidRPr="009072DA" w:rsidRDefault="009C13A9" w:rsidP="009C13A9">
            <w:pPr>
              <w:widowControl w:val="0"/>
              <w:tabs>
                <w:tab w:val="left" w:leader="dot" w:pos="2835"/>
                <w:tab w:val="left" w:leader="dot" w:pos="7371"/>
              </w:tabs>
              <w:spacing w:line="360" w:lineRule="auto"/>
              <w:ind w:left="284"/>
              <w:rPr>
                <w:sz w:val="18"/>
                <w:szCs w:val="20"/>
                <w:lang w:val="bg-BG"/>
              </w:rPr>
            </w:pPr>
          </w:p>
        </w:tc>
      </w:tr>
      <w:tr w:rsidR="009C13A9" w:rsidRPr="009072DA" w:rsidTr="009C13A9">
        <w:tc>
          <w:tcPr>
            <w:tcW w:w="9322" w:type="dxa"/>
            <w:tcBorders>
              <w:top w:val="nil"/>
              <w:left w:val="single" w:sz="4" w:space="0" w:color="auto"/>
              <w:bottom w:val="nil"/>
            </w:tcBorders>
          </w:tcPr>
          <w:p w:rsidR="009C13A9" w:rsidRPr="009072DA" w:rsidRDefault="009C13A9" w:rsidP="009C13A9">
            <w:pPr>
              <w:tabs>
                <w:tab w:val="left" w:pos="57"/>
                <w:tab w:val="left" w:pos="345"/>
                <w:tab w:val="left" w:leader="dot" w:pos="8505"/>
              </w:tabs>
              <w:overflowPunct w:val="0"/>
              <w:adjustRightInd w:val="0"/>
              <w:spacing w:line="240" w:lineRule="atLeast"/>
              <w:textAlignment w:val="baseline"/>
              <w:rPr>
                <w:rFonts w:eastAsia="Calibri" w:cs="Arial"/>
                <w:sz w:val="18"/>
                <w:szCs w:val="20"/>
                <w:lang w:val="bg-BG"/>
              </w:rPr>
            </w:pPr>
            <w:r w:rsidRPr="009072DA">
              <w:rPr>
                <w:sz w:val="18"/>
                <w:lang w:val="bg-BG"/>
              </w:rPr>
              <w:t>11.</w:t>
            </w:r>
          </w:p>
        </w:tc>
      </w:tr>
      <w:tr w:rsidR="009C13A9" w:rsidRPr="009072DA" w:rsidTr="009C13A9">
        <w:tc>
          <w:tcPr>
            <w:tcW w:w="9322" w:type="dxa"/>
            <w:tcBorders>
              <w:top w:val="nil"/>
              <w:left w:val="single" w:sz="4" w:space="0" w:color="auto"/>
              <w:bottom w:val="nil"/>
            </w:tcBorders>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7"/>
              <w:gridCol w:w="2041"/>
              <w:gridCol w:w="1021"/>
              <w:gridCol w:w="1021"/>
              <w:gridCol w:w="1021"/>
              <w:gridCol w:w="1021"/>
              <w:gridCol w:w="1021"/>
              <w:gridCol w:w="236"/>
            </w:tblGrid>
            <w:tr w:rsidR="009C13A9" w:rsidRPr="008D2440" w:rsidTr="009C13A9">
              <w:trPr>
                <w:jc w:val="center"/>
              </w:trPr>
              <w:tc>
                <w:tcPr>
                  <w:tcW w:w="1077" w:type="dxa"/>
                  <w:tcBorders>
                    <w:top w:val="nil"/>
                    <w:left w:val="nil"/>
                    <w:bottom w:val="nil"/>
                    <w:right w:val="nil"/>
                  </w:tcBorders>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p>
              </w:tc>
              <w:tc>
                <w:tcPr>
                  <w:tcW w:w="2041" w:type="dxa"/>
                  <w:tcBorders>
                    <w:top w:val="nil"/>
                    <w:left w:val="nil"/>
                    <w:bottom w:val="nil"/>
                  </w:tcBorders>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p>
              </w:tc>
              <w:tc>
                <w:tcPr>
                  <w:tcW w:w="5105" w:type="dxa"/>
                  <w:gridSpan w:val="5"/>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bg-BG"/>
                    </w:rPr>
                  </w:pPr>
                  <w:r w:rsidRPr="009072DA">
                    <w:rPr>
                      <w:sz w:val="18"/>
                      <w:lang w:val="bg-BG"/>
                    </w:rPr>
                    <w:t xml:space="preserve">Зона и/или водни пътища </w:t>
                  </w:r>
                  <w:r w:rsidRPr="009072DA">
                    <w:rPr>
                      <w:sz w:val="18"/>
                      <w:vertAlign w:val="superscript"/>
                      <w:lang w:val="bg-BG"/>
                    </w:rPr>
                    <w:t>(1)</w:t>
                  </w:r>
                </w:p>
              </w:tc>
              <w:tc>
                <w:tcPr>
                  <w:tcW w:w="170" w:type="dxa"/>
                  <w:tcBorders>
                    <w:top w:val="nil"/>
                    <w:bottom w:val="nil"/>
                    <w:right w:val="nil"/>
                  </w:tcBorders>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bg-BG"/>
                    </w:rPr>
                  </w:pPr>
                </w:p>
              </w:tc>
            </w:tr>
            <w:tr w:rsidR="009C13A9" w:rsidRPr="009072DA" w:rsidTr="009C13A9">
              <w:trPr>
                <w:jc w:val="center"/>
              </w:trPr>
              <w:tc>
                <w:tcPr>
                  <w:tcW w:w="1077" w:type="dxa"/>
                  <w:tcBorders>
                    <w:top w:val="nil"/>
                    <w:left w:val="nil"/>
                    <w:bottom w:val="single" w:sz="4" w:space="0" w:color="auto"/>
                    <w:right w:val="nil"/>
                  </w:tcBorders>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p>
              </w:tc>
              <w:tc>
                <w:tcPr>
                  <w:tcW w:w="2041" w:type="dxa"/>
                  <w:tcBorders>
                    <w:top w:val="nil"/>
                    <w:left w:val="nil"/>
                    <w:bottom w:val="single" w:sz="4" w:space="0" w:color="auto"/>
                  </w:tcBorders>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p>
              </w:tc>
              <w:tc>
                <w:tcPr>
                  <w:tcW w:w="1021" w:type="dxa"/>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bg-BG"/>
                    </w:rPr>
                  </w:pPr>
                  <w:r w:rsidRPr="009072DA">
                    <w:rPr>
                      <w:sz w:val="18"/>
                      <w:lang w:val="bg-BG"/>
                    </w:rPr>
                    <w:t>4</w:t>
                  </w:r>
                </w:p>
              </w:tc>
              <w:tc>
                <w:tcPr>
                  <w:tcW w:w="1021" w:type="dxa"/>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bg-BG"/>
                    </w:rPr>
                  </w:pPr>
                  <w:r w:rsidRPr="009072DA">
                    <w:rPr>
                      <w:sz w:val="18"/>
                      <w:lang w:val="bg-BG"/>
                    </w:rPr>
                    <w:t>3</w:t>
                  </w:r>
                </w:p>
              </w:tc>
              <w:tc>
                <w:tcPr>
                  <w:tcW w:w="1021" w:type="dxa"/>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bg-BG"/>
                    </w:rPr>
                  </w:pPr>
                  <w:r w:rsidRPr="009072DA">
                    <w:rPr>
                      <w:sz w:val="18"/>
                      <w:lang w:val="bg-BG"/>
                    </w:rPr>
                    <w:t>2</w:t>
                  </w:r>
                </w:p>
              </w:tc>
              <w:tc>
                <w:tcPr>
                  <w:tcW w:w="1021" w:type="dxa"/>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bg-BG"/>
                    </w:rPr>
                  </w:pPr>
                  <w:r w:rsidRPr="009072DA">
                    <w:rPr>
                      <w:sz w:val="18"/>
                      <w:lang w:val="bg-BG"/>
                    </w:rPr>
                    <w:t>1</w:t>
                  </w:r>
                </w:p>
              </w:tc>
              <w:tc>
                <w:tcPr>
                  <w:tcW w:w="1021" w:type="dxa"/>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p>
              </w:tc>
              <w:tc>
                <w:tcPr>
                  <w:tcW w:w="170" w:type="dxa"/>
                  <w:tcBorders>
                    <w:top w:val="nil"/>
                    <w:bottom w:val="nil"/>
                    <w:right w:val="nil"/>
                  </w:tcBorders>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bg-BG"/>
                    </w:rPr>
                  </w:pPr>
                </w:p>
              </w:tc>
            </w:tr>
            <w:tr w:rsidR="009C13A9" w:rsidRPr="009072DA" w:rsidTr="009C13A9">
              <w:trPr>
                <w:jc w:val="center"/>
              </w:trPr>
              <w:tc>
                <w:tcPr>
                  <w:tcW w:w="1077" w:type="dxa"/>
                  <w:tcBorders>
                    <w:top w:val="single" w:sz="4" w:space="0" w:color="auto"/>
                    <w:bottom w:val="nil"/>
                  </w:tcBorders>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r w:rsidRPr="009072DA">
                    <w:rPr>
                      <w:sz w:val="18"/>
                      <w:lang w:val="bg-BG"/>
                    </w:rPr>
                    <w:t>Надводен борд (cm)</w:t>
                  </w:r>
                </w:p>
              </w:tc>
              <w:tc>
                <w:tcPr>
                  <w:tcW w:w="2041" w:type="dxa"/>
                  <w:tcBorders>
                    <w:top w:val="single" w:sz="4" w:space="0" w:color="auto"/>
                  </w:tcBorders>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r w:rsidRPr="009072DA">
                    <w:rPr>
                      <w:sz w:val="18"/>
                      <w:lang w:val="bg-BG"/>
                    </w:rPr>
                    <w:t>със затворен трюм</w:t>
                  </w:r>
                </w:p>
              </w:tc>
              <w:tc>
                <w:tcPr>
                  <w:tcW w:w="1021" w:type="dxa"/>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p>
              </w:tc>
              <w:tc>
                <w:tcPr>
                  <w:tcW w:w="1021" w:type="dxa"/>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p>
              </w:tc>
              <w:tc>
                <w:tcPr>
                  <w:tcW w:w="1021" w:type="dxa"/>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p>
              </w:tc>
              <w:tc>
                <w:tcPr>
                  <w:tcW w:w="1021" w:type="dxa"/>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p>
              </w:tc>
              <w:tc>
                <w:tcPr>
                  <w:tcW w:w="1021" w:type="dxa"/>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p>
              </w:tc>
              <w:tc>
                <w:tcPr>
                  <w:tcW w:w="170" w:type="dxa"/>
                  <w:tcBorders>
                    <w:top w:val="nil"/>
                    <w:bottom w:val="nil"/>
                    <w:right w:val="nil"/>
                  </w:tcBorders>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bg-BG"/>
                    </w:rPr>
                  </w:pPr>
                </w:p>
              </w:tc>
            </w:tr>
            <w:tr w:rsidR="009C13A9" w:rsidRPr="009072DA" w:rsidTr="009C13A9">
              <w:trPr>
                <w:jc w:val="center"/>
              </w:trPr>
              <w:tc>
                <w:tcPr>
                  <w:tcW w:w="1077" w:type="dxa"/>
                  <w:tcBorders>
                    <w:top w:val="nil"/>
                  </w:tcBorders>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p>
              </w:tc>
              <w:tc>
                <w:tcPr>
                  <w:tcW w:w="2041" w:type="dxa"/>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r w:rsidRPr="009072DA">
                    <w:rPr>
                      <w:sz w:val="18"/>
                      <w:lang w:val="bg-BG"/>
                    </w:rPr>
                    <w:t>с отворен трюм</w:t>
                  </w:r>
                </w:p>
              </w:tc>
              <w:tc>
                <w:tcPr>
                  <w:tcW w:w="1021" w:type="dxa"/>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p>
              </w:tc>
              <w:tc>
                <w:tcPr>
                  <w:tcW w:w="1021" w:type="dxa"/>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p>
              </w:tc>
              <w:tc>
                <w:tcPr>
                  <w:tcW w:w="1021" w:type="dxa"/>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p>
              </w:tc>
              <w:tc>
                <w:tcPr>
                  <w:tcW w:w="1021" w:type="dxa"/>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p>
              </w:tc>
              <w:tc>
                <w:tcPr>
                  <w:tcW w:w="1021" w:type="dxa"/>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bg-BG"/>
                    </w:rPr>
                  </w:pPr>
                </w:p>
              </w:tc>
              <w:tc>
                <w:tcPr>
                  <w:tcW w:w="170" w:type="dxa"/>
                  <w:tcBorders>
                    <w:top w:val="nil"/>
                    <w:bottom w:val="nil"/>
                    <w:right w:val="nil"/>
                  </w:tcBorders>
                  <w:shd w:val="clear" w:color="auto" w:fill="auto"/>
                </w:tcPr>
                <w:p w:rsidR="009C13A9" w:rsidRPr="009072D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bg-BG"/>
                    </w:rPr>
                  </w:pPr>
                </w:p>
              </w:tc>
            </w:tr>
          </w:tbl>
          <w:p w:rsidR="009C13A9" w:rsidRPr="009072DA" w:rsidRDefault="009C13A9" w:rsidP="009C13A9">
            <w:pPr>
              <w:widowControl w:val="0"/>
              <w:tabs>
                <w:tab w:val="left" w:pos="426"/>
                <w:tab w:val="right" w:pos="8789"/>
              </w:tabs>
              <w:spacing w:before="240" w:line="360" w:lineRule="auto"/>
              <w:ind w:left="426" w:hanging="426"/>
              <w:rPr>
                <w:lang w:val="bg-BG"/>
              </w:rPr>
            </w:pPr>
          </w:p>
        </w:tc>
      </w:tr>
      <w:tr w:rsidR="009C13A9" w:rsidRPr="009072DA" w:rsidTr="009C13A9">
        <w:tc>
          <w:tcPr>
            <w:tcW w:w="9322" w:type="dxa"/>
            <w:tcBorders>
              <w:top w:val="nil"/>
              <w:left w:val="single" w:sz="4" w:space="0" w:color="auto"/>
              <w:bottom w:val="single" w:sz="4" w:space="0" w:color="auto"/>
            </w:tcBorders>
          </w:tcPr>
          <w:p w:rsidR="009C13A9" w:rsidRPr="009072DA" w:rsidRDefault="009C13A9" w:rsidP="009C13A9">
            <w:pPr>
              <w:widowControl w:val="0"/>
              <w:tabs>
                <w:tab w:val="left" w:pos="426"/>
                <w:tab w:val="right" w:pos="8789"/>
              </w:tabs>
              <w:spacing w:before="240" w:line="360" w:lineRule="auto"/>
              <w:ind w:left="426" w:hanging="426"/>
              <w:rPr>
                <w:szCs w:val="20"/>
                <w:lang w:val="bg-BG"/>
              </w:rPr>
            </w:pPr>
            <w:r w:rsidRPr="009072DA">
              <w:rPr>
                <w:lang w:val="bg-BG"/>
              </w:rPr>
              <w:t>12.</w:t>
            </w:r>
            <w:r w:rsidRPr="009072DA">
              <w:rPr>
                <w:lang w:val="bg-BG"/>
              </w:rPr>
              <w:tab/>
              <w:t>Изключения от удостоверението на плавателния съд за плаване по вътрешни водни пътища № ……………………….</w:t>
            </w:r>
          </w:p>
          <w:p w:rsidR="009C13A9" w:rsidRPr="009072DA" w:rsidRDefault="009C13A9" w:rsidP="009C13A9">
            <w:pPr>
              <w:widowControl w:val="0"/>
              <w:tabs>
                <w:tab w:val="right" w:leader="dot" w:pos="8789"/>
              </w:tabs>
              <w:spacing w:line="360" w:lineRule="auto"/>
              <w:ind w:left="426"/>
              <w:rPr>
                <w:lang w:val="bg-BG"/>
              </w:rPr>
            </w:pPr>
            <w:r w:rsidRPr="009072DA">
              <w:rPr>
                <w:lang w:val="bg-BG"/>
              </w:rPr>
              <w:tab/>
            </w:r>
          </w:p>
          <w:p w:rsidR="009C13A9" w:rsidRPr="009072DA" w:rsidRDefault="009C13A9" w:rsidP="009C13A9">
            <w:pPr>
              <w:widowControl w:val="0"/>
              <w:tabs>
                <w:tab w:val="right" w:leader="dot" w:pos="8789"/>
              </w:tabs>
              <w:spacing w:line="360" w:lineRule="auto"/>
              <w:ind w:left="426"/>
              <w:rPr>
                <w:lang w:val="bg-BG"/>
              </w:rPr>
            </w:pPr>
            <w:r w:rsidRPr="009072DA">
              <w:rPr>
                <w:lang w:val="bg-BG"/>
              </w:rPr>
              <w:tab/>
            </w:r>
          </w:p>
          <w:p w:rsidR="009C13A9" w:rsidRPr="009072DA" w:rsidRDefault="009C13A9" w:rsidP="009C13A9">
            <w:pPr>
              <w:widowControl w:val="0"/>
              <w:tabs>
                <w:tab w:val="right" w:leader="dot" w:pos="8789"/>
              </w:tabs>
              <w:spacing w:line="360" w:lineRule="auto"/>
              <w:ind w:left="426"/>
              <w:rPr>
                <w:lang w:val="bg-BG"/>
              </w:rPr>
            </w:pPr>
            <w:r w:rsidRPr="009072DA">
              <w:rPr>
                <w:lang w:val="bg-BG"/>
              </w:rPr>
              <w:tab/>
            </w:r>
          </w:p>
          <w:p w:rsidR="009C13A9" w:rsidRPr="009072DA" w:rsidRDefault="009C13A9" w:rsidP="009C13A9">
            <w:pPr>
              <w:widowControl w:val="0"/>
              <w:tabs>
                <w:tab w:val="right" w:leader="dot" w:pos="8789"/>
              </w:tabs>
              <w:spacing w:line="360" w:lineRule="auto"/>
              <w:ind w:left="426"/>
              <w:rPr>
                <w:lang w:val="bg-BG"/>
              </w:rPr>
            </w:pPr>
            <w:r w:rsidRPr="009072DA">
              <w:rPr>
                <w:lang w:val="bg-BG"/>
              </w:rPr>
              <w:tab/>
            </w:r>
          </w:p>
          <w:p w:rsidR="009C13A9" w:rsidRPr="009072DA" w:rsidRDefault="009C13A9" w:rsidP="009C13A9">
            <w:pPr>
              <w:widowControl w:val="0"/>
              <w:tabs>
                <w:tab w:val="right" w:leader="dot" w:pos="8789"/>
              </w:tabs>
              <w:spacing w:line="360" w:lineRule="auto"/>
              <w:ind w:left="426"/>
              <w:rPr>
                <w:lang w:val="bg-BG"/>
              </w:rPr>
            </w:pPr>
            <w:r w:rsidRPr="009072DA">
              <w:rPr>
                <w:lang w:val="bg-BG"/>
              </w:rPr>
              <w:tab/>
            </w:r>
          </w:p>
          <w:p w:rsidR="009C13A9" w:rsidRPr="009072DA" w:rsidRDefault="009C13A9" w:rsidP="009C13A9">
            <w:pPr>
              <w:widowControl w:val="0"/>
              <w:tabs>
                <w:tab w:val="right" w:leader="dot" w:pos="8789"/>
              </w:tabs>
              <w:spacing w:line="360" w:lineRule="auto"/>
              <w:ind w:left="426"/>
              <w:rPr>
                <w:lang w:val="bg-BG"/>
              </w:rPr>
            </w:pPr>
            <w:r w:rsidRPr="009072DA">
              <w:rPr>
                <w:lang w:val="bg-BG"/>
              </w:rPr>
              <w:tab/>
            </w:r>
          </w:p>
          <w:p w:rsidR="009C13A9" w:rsidRPr="009072DA" w:rsidRDefault="009C13A9" w:rsidP="009C13A9">
            <w:pPr>
              <w:widowControl w:val="0"/>
              <w:tabs>
                <w:tab w:val="right" w:pos="8789"/>
              </w:tabs>
              <w:spacing w:line="360" w:lineRule="auto"/>
              <w:ind w:left="426" w:hanging="426"/>
              <w:rPr>
                <w:szCs w:val="20"/>
                <w:lang w:val="bg-BG"/>
              </w:rPr>
            </w:pPr>
            <w:r w:rsidRPr="009072DA">
              <w:rPr>
                <w:lang w:val="bg-BG"/>
              </w:rPr>
              <w:t>13.</w:t>
            </w:r>
            <w:r w:rsidRPr="009072DA">
              <w:rPr>
                <w:lang w:val="bg-BG"/>
              </w:rPr>
              <w:tab/>
              <w:t>Записите относно броя на членовете на екипажа в удостоверението на плавателния съд за плаване по вътрешни водни пътища не се прилагат.</w:t>
            </w:r>
          </w:p>
          <w:p w:rsidR="009C13A9" w:rsidRPr="009072DA" w:rsidRDefault="009C13A9" w:rsidP="009C13A9">
            <w:pPr>
              <w:widowControl w:val="0"/>
              <w:tabs>
                <w:tab w:val="right" w:leader="dot" w:pos="6804"/>
              </w:tabs>
              <w:spacing w:line="360" w:lineRule="auto"/>
              <w:rPr>
                <w:szCs w:val="20"/>
                <w:lang w:val="bg-BG"/>
              </w:rPr>
            </w:pPr>
            <w:r w:rsidRPr="009072DA">
              <w:rPr>
                <w:lang w:val="bg-BG"/>
              </w:rPr>
              <w:t>14.</w:t>
            </w:r>
            <w:r w:rsidRPr="009072DA">
              <w:rPr>
                <w:lang w:val="bg-BG"/>
              </w:rPr>
              <w:tab/>
              <w:t>Предвид удостоверението на плавателния съд за плаване по вътрешни водни пътища №</w:t>
            </w:r>
            <w:r w:rsidRPr="009072DA">
              <w:rPr>
                <w:lang w:val="bg-BG"/>
              </w:rPr>
              <w:tab/>
            </w:r>
          </w:p>
          <w:p w:rsidR="009C13A9" w:rsidRPr="009072DA" w:rsidRDefault="009C13A9" w:rsidP="009C13A9">
            <w:pPr>
              <w:widowControl w:val="0"/>
              <w:tabs>
                <w:tab w:val="left" w:pos="709"/>
                <w:tab w:val="left" w:leader="dot" w:pos="3686"/>
                <w:tab w:val="right" w:leader="dot" w:pos="8789"/>
              </w:tabs>
              <w:spacing w:line="360" w:lineRule="auto"/>
              <w:ind w:left="426"/>
              <w:rPr>
                <w:szCs w:val="20"/>
                <w:lang w:val="bg-BG"/>
              </w:rPr>
            </w:pPr>
            <w:r w:rsidRPr="009072DA">
              <w:rPr>
                <w:lang w:val="bg-BG"/>
              </w:rPr>
              <w:t xml:space="preserve">от дата </w:t>
            </w:r>
            <w:r w:rsidRPr="009072DA">
              <w:rPr>
                <w:lang w:val="bg-BG"/>
              </w:rPr>
              <w:tab/>
              <w:t xml:space="preserve"> валидно до </w:t>
            </w:r>
            <w:r w:rsidRPr="009072DA">
              <w:rPr>
                <w:lang w:val="bg-BG"/>
              </w:rPr>
              <w:tab/>
            </w:r>
          </w:p>
          <w:p w:rsidR="009C13A9" w:rsidRPr="009072DA" w:rsidRDefault="009C13A9" w:rsidP="009C13A9">
            <w:pPr>
              <w:widowControl w:val="0"/>
              <w:tabs>
                <w:tab w:val="left" w:pos="709"/>
                <w:tab w:val="right" w:leader="dot" w:pos="8789"/>
              </w:tabs>
              <w:spacing w:line="360" w:lineRule="auto"/>
              <w:ind w:left="426"/>
              <w:rPr>
                <w:lang w:val="bg-BG"/>
              </w:rPr>
            </w:pPr>
            <w:r w:rsidRPr="009072DA">
              <w:rPr>
                <w:lang w:val="bg-BG"/>
              </w:rPr>
              <w:t xml:space="preserve">Предвид резултата от проверката, </w:t>
            </w:r>
            <w:r w:rsidRPr="009072DA">
              <w:rPr>
                <w:lang w:val="bg-BG"/>
              </w:rPr>
              <w:tab/>
              <w:t>,</w:t>
            </w:r>
          </w:p>
          <w:p w:rsidR="009C13A9" w:rsidRPr="009072DA" w:rsidRDefault="009C13A9" w:rsidP="009C13A9">
            <w:pPr>
              <w:widowControl w:val="0"/>
              <w:tabs>
                <w:tab w:val="left" w:pos="709"/>
                <w:tab w:val="right" w:leader="dot" w:pos="8789"/>
              </w:tabs>
              <w:spacing w:line="360" w:lineRule="auto"/>
              <w:ind w:left="426"/>
              <w:rPr>
                <w:szCs w:val="20"/>
                <w:lang w:val="bg-BG"/>
              </w:rPr>
            </w:pPr>
            <w:r w:rsidRPr="009072DA">
              <w:rPr>
                <w:lang w:val="bg-BG"/>
              </w:rPr>
              <w:t>на ………………………….,</w:t>
            </w:r>
          </w:p>
          <w:p w:rsidR="009C13A9" w:rsidRPr="009072DA" w:rsidRDefault="009C13A9" w:rsidP="009C13A9">
            <w:pPr>
              <w:widowControl w:val="0"/>
              <w:tabs>
                <w:tab w:val="right" w:leader="dot" w:pos="8789"/>
              </w:tabs>
              <w:spacing w:line="360" w:lineRule="auto"/>
              <w:ind w:left="426"/>
              <w:rPr>
                <w:lang w:val="bg-BG"/>
              </w:rPr>
            </w:pPr>
            <w:r w:rsidRPr="009072DA">
              <w:rPr>
                <w:lang w:val="bg-BG"/>
              </w:rPr>
              <w:t xml:space="preserve">Настоящото допълнително удостоверение се удължава/подновява </w:t>
            </w:r>
            <w:r w:rsidRPr="009072DA">
              <w:rPr>
                <w:vertAlign w:val="superscript"/>
                <w:lang w:val="bg-BG"/>
              </w:rPr>
              <w:t>(1)</w:t>
            </w:r>
            <w:r w:rsidRPr="009072DA">
              <w:rPr>
                <w:lang w:val="bg-BG"/>
              </w:rPr>
              <w:t xml:space="preserve"> до </w:t>
            </w:r>
            <w:r w:rsidRPr="009072DA">
              <w:rPr>
                <w:lang w:val="bg-BG"/>
              </w:rPr>
              <w:tab/>
            </w:r>
          </w:p>
          <w:p w:rsidR="009C13A9" w:rsidRPr="009072DA" w:rsidRDefault="009C13A9" w:rsidP="009C13A9">
            <w:pPr>
              <w:widowControl w:val="0"/>
              <w:tabs>
                <w:tab w:val="right" w:leader="dot" w:pos="8789"/>
              </w:tabs>
              <w:spacing w:line="360" w:lineRule="auto"/>
              <w:ind w:left="284"/>
              <w:rPr>
                <w:lang w:val="bg-BG"/>
              </w:rPr>
            </w:pPr>
            <w:r w:rsidRPr="009072DA">
              <w:rPr>
                <w:lang w:val="bg-BG"/>
              </w:rPr>
              <w:tab/>
            </w:r>
          </w:p>
          <w:p w:rsidR="009C13A9" w:rsidRPr="009072DA" w:rsidRDefault="009C13A9" w:rsidP="009C13A9">
            <w:pPr>
              <w:widowControl w:val="0"/>
              <w:tabs>
                <w:tab w:val="right" w:leader="dot" w:pos="8789"/>
              </w:tabs>
              <w:spacing w:line="360" w:lineRule="auto"/>
              <w:ind w:left="284"/>
              <w:rPr>
                <w:lang w:val="bg-BG"/>
              </w:rPr>
            </w:pPr>
          </w:p>
          <w:p w:rsidR="009C13A9" w:rsidRPr="009072DA" w:rsidRDefault="009C13A9" w:rsidP="009C13A9">
            <w:pPr>
              <w:widowControl w:val="0"/>
              <w:tabs>
                <w:tab w:val="left" w:pos="5954"/>
                <w:tab w:val="left" w:leader="dot" w:pos="8789"/>
              </w:tabs>
              <w:spacing w:line="240" w:lineRule="atLeast"/>
              <w:rPr>
                <w:lang w:val="bg-BG"/>
              </w:rPr>
            </w:pPr>
            <w:r w:rsidRPr="009072DA">
              <w:rPr>
                <w:lang w:val="bg-BG"/>
              </w:rPr>
              <w:tab/>
            </w:r>
            <w:r w:rsidRPr="009072DA">
              <w:rPr>
                <w:lang w:val="bg-BG"/>
              </w:rPr>
              <w:tab/>
              <w:t>,</w:t>
            </w:r>
          </w:p>
          <w:p w:rsidR="009C13A9" w:rsidRPr="009072DA" w:rsidRDefault="009C13A9" w:rsidP="009C13A9">
            <w:pPr>
              <w:widowControl w:val="0"/>
              <w:tabs>
                <w:tab w:val="left" w:pos="6804"/>
                <w:tab w:val="left" w:leader="dot" w:pos="8789"/>
              </w:tabs>
              <w:spacing w:after="240" w:line="360" w:lineRule="auto"/>
              <w:rPr>
                <w:lang w:val="bg-BG"/>
              </w:rPr>
            </w:pPr>
            <w:r w:rsidRPr="009072DA">
              <w:rPr>
                <w:lang w:val="bg-BG"/>
              </w:rPr>
              <w:tab/>
              <w:t>(Място) (Дата)</w:t>
            </w:r>
          </w:p>
          <w:p w:rsidR="009C13A9" w:rsidRPr="009072DA" w:rsidRDefault="009C13A9" w:rsidP="009C13A9">
            <w:pPr>
              <w:widowControl w:val="0"/>
              <w:tabs>
                <w:tab w:val="left" w:pos="5954"/>
                <w:tab w:val="left" w:leader="dot" w:pos="8789"/>
              </w:tabs>
              <w:spacing w:line="240" w:lineRule="atLeast"/>
              <w:rPr>
                <w:szCs w:val="20"/>
                <w:lang w:val="bg-BG"/>
              </w:rPr>
            </w:pPr>
            <w:r w:rsidRPr="009072DA">
              <w:rPr>
                <w:lang w:val="bg-BG"/>
              </w:rPr>
              <w:tab/>
              <w:t>…………………………………….</w:t>
            </w:r>
          </w:p>
          <w:p w:rsidR="009C13A9" w:rsidRPr="009072DA" w:rsidRDefault="009C13A9" w:rsidP="009C13A9">
            <w:pPr>
              <w:widowControl w:val="0"/>
              <w:tabs>
                <w:tab w:val="left" w:pos="6521"/>
                <w:tab w:val="left" w:leader="dot" w:pos="8789"/>
              </w:tabs>
              <w:spacing w:after="240" w:line="360" w:lineRule="auto"/>
              <w:rPr>
                <w:lang w:val="bg-BG"/>
              </w:rPr>
            </w:pPr>
            <w:r w:rsidRPr="009072DA">
              <w:rPr>
                <w:lang w:val="bg-BG"/>
              </w:rPr>
              <w:tab/>
              <w:t>(Контролен орган)</w:t>
            </w:r>
          </w:p>
          <w:p w:rsidR="009C13A9" w:rsidRPr="009072DA" w:rsidRDefault="00313B91" w:rsidP="009C13A9">
            <w:pPr>
              <w:widowControl w:val="0"/>
              <w:tabs>
                <w:tab w:val="center" w:pos="6804"/>
                <w:tab w:val="left" w:leader="dot" w:pos="8789"/>
              </w:tabs>
              <w:spacing w:line="240" w:lineRule="atLeast"/>
              <w:ind w:left="1134"/>
              <w:rPr>
                <w:szCs w:val="20"/>
                <w:lang w:val="bg-BG"/>
              </w:rPr>
            </w:pPr>
            <w:r w:rsidRPr="009072DA">
              <w:rPr>
                <w:lang w:val="bg-BG"/>
              </w:rPr>
              <w:t>Печат</w:t>
            </w:r>
          </w:p>
          <w:p w:rsidR="009C13A9" w:rsidRPr="009072DA" w:rsidRDefault="009C13A9" w:rsidP="009C13A9">
            <w:pPr>
              <w:widowControl w:val="0"/>
              <w:tabs>
                <w:tab w:val="left" w:pos="5954"/>
                <w:tab w:val="left" w:leader="dot" w:pos="8789"/>
              </w:tabs>
              <w:spacing w:line="240" w:lineRule="atLeast"/>
              <w:rPr>
                <w:szCs w:val="20"/>
                <w:lang w:val="bg-BG"/>
              </w:rPr>
            </w:pPr>
            <w:r w:rsidRPr="009072DA">
              <w:rPr>
                <w:lang w:val="bg-BG"/>
              </w:rPr>
              <w:tab/>
              <w:t>…………………………………….</w:t>
            </w:r>
          </w:p>
          <w:p w:rsidR="009C13A9" w:rsidRPr="009072DA" w:rsidRDefault="009C13A9" w:rsidP="009C13A9">
            <w:pPr>
              <w:widowControl w:val="0"/>
              <w:tabs>
                <w:tab w:val="left" w:pos="7088"/>
                <w:tab w:val="left" w:leader="dot" w:pos="8789"/>
              </w:tabs>
              <w:spacing w:after="240" w:line="360" w:lineRule="auto"/>
              <w:rPr>
                <w:sz w:val="16"/>
                <w:szCs w:val="20"/>
                <w:lang w:val="bg-BG"/>
              </w:rPr>
            </w:pPr>
            <w:r w:rsidRPr="009072DA">
              <w:rPr>
                <w:lang w:val="bg-BG"/>
              </w:rPr>
              <w:tab/>
              <w:t>(Подпис)</w:t>
            </w:r>
          </w:p>
          <w:p w:rsidR="009C13A9" w:rsidRPr="009072DA" w:rsidRDefault="009C13A9" w:rsidP="009C13A9">
            <w:pPr>
              <w:widowControl w:val="0"/>
              <w:tabs>
                <w:tab w:val="left" w:pos="6946"/>
                <w:tab w:val="left" w:leader="dot" w:pos="8789"/>
              </w:tabs>
              <w:spacing w:before="960" w:line="240" w:lineRule="atLeast"/>
              <w:ind w:left="284" w:hanging="284"/>
              <w:rPr>
                <w:sz w:val="16"/>
                <w:szCs w:val="20"/>
                <w:vertAlign w:val="superscript"/>
                <w:lang w:val="bg-BG"/>
              </w:rPr>
            </w:pPr>
            <w:r w:rsidRPr="009072DA">
              <w:rPr>
                <w:sz w:val="16"/>
                <w:vertAlign w:val="superscript"/>
                <w:lang w:val="bg-BG"/>
              </w:rPr>
              <w:t>_________________</w:t>
            </w:r>
          </w:p>
          <w:p w:rsidR="009C13A9" w:rsidRPr="009072DA" w:rsidRDefault="009C13A9" w:rsidP="00FF6A33">
            <w:pPr>
              <w:widowControl w:val="0"/>
              <w:tabs>
                <w:tab w:val="right" w:pos="8789"/>
              </w:tabs>
              <w:spacing w:line="360" w:lineRule="auto"/>
              <w:ind w:left="284" w:hanging="284"/>
              <w:rPr>
                <w:szCs w:val="20"/>
                <w:lang w:val="bg-BG"/>
              </w:rPr>
            </w:pPr>
            <w:r w:rsidRPr="009072DA">
              <w:rPr>
                <w:sz w:val="16"/>
                <w:vertAlign w:val="superscript"/>
                <w:lang w:val="bg-BG"/>
              </w:rPr>
              <w:t>(1)</w:t>
            </w:r>
            <w:r w:rsidRPr="009072DA">
              <w:rPr>
                <w:sz w:val="16"/>
                <w:lang w:val="bg-BG"/>
              </w:rPr>
              <w:t xml:space="preserve"> Ненужното се зачерква.</w:t>
            </w:r>
          </w:p>
        </w:tc>
      </w:tr>
    </w:tbl>
    <w:p w:rsidR="009C13A9" w:rsidRPr="009072DA" w:rsidRDefault="009C13A9" w:rsidP="00857FC2">
      <w:pPr>
        <w:pStyle w:val="ES-Titre3"/>
        <w:rPr>
          <w:lang w:val="bg-BG"/>
        </w:rPr>
      </w:pPr>
      <w:r w:rsidRPr="009072DA">
        <w:rPr>
          <w:lang w:val="bg-BG"/>
        </w:rPr>
        <w:lastRenderedPageBreak/>
        <w:br w:type="page"/>
      </w:r>
      <w:bookmarkStart w:id="617" w:name="_Toc491854301"/>
      <w:bookmarkStart w:id="618" w:name="_Toc535827742"/>
      <w:r w:rsidRPr="009072DA">
        <w:rPr>
          <w:lang w:val="bg-BG"/>
        </w:rPr>
        <w:lastRenderedPageBreak/>
        <w:t>Раздел IV</w:t>
      </w:r>
      <w:bookmarkEnd w:id="617"/>
      <w:bookmarkEnd w:id="618"/>
    </w:p>
    <w:p w:rsidR="009C13A9" w:rsidRPr="009072DA" w:rsidRDefault="009C13A9" w:rsidP="00857FC2">
      <w:pPr>
        <w:pStyle w:val="ES-Titre3a"/>
        <w:rPr>
          <w:lang w:val="bg-BG"/>
        </w:rPr>
      </w:pPr>
      <w:bookmarkStart w:id="619" w:name="_Toc491854302"/>
      <w:bookmarkStart w:id="620" w:name="_Toc535827743"/>
      <w:r w:rsidRPr="009072DA">
        <w:rPr>
          <w:lang w:val="bg-BG"/>
        </w:rPr>
        <w:t>Образец на удостоверение за морски плавателен съд, плаващ по река Рейн</w:t>
      </w:r>
      <w:bookmarkEnd w:id="619"/>
      <w:bookmarkEnd w:id="620"/>
    </w:p>
    <w:p w:rsidR="009C13A9" w:rsidRPr="009072DA" w:rsidRDefault="009C13A9" w:rsidP="00DE404B">
      <w:pPr>
        <w:pStyle w:val="ESch"/>
        <w:rPr>
          <w:lang w:val="bg-BG"/>
        </w:rPr>
      </w:pPr>
    </w:p>
    <w:p w:rsidR="009C13A9" w:rsidRPr="009072DA" w:rsidRDefault="009C13A9" w:rsidP="009C13A9">
      <w:pPr>
        <w:tabs>
          <w:tab w:val="left" w:pos="284"/>
          <w:tab w:val="left" w:leader="dot" w:pos="9356"/>
        </w:tabs>
        <w:overflowPunct w:val="0"/>
        <w:adjustRightInd w:val="0"/>
        <w:jc w:val="center"/>
        <w:textAlignment w:val="baseline"/>
        <w:rPr>
          <w:rFonts w:cs="Arial"/>
          <w:b/>
          <w:lang w:val="bg-BG"/>
        </w:rPr>
      </w:pPr>
      <w:r w:rsidRPr="009072DA">
        <w:rPr>
          <w:b/>
          <w:lang w:val="bg-BG"/>
        </w:rPr>
        <w:t>Име на държавата/печат</w:t>
      </w:r>
    </w:p>
    <w:p w:rsidR="009C13A9" w:rsidRPr="009072DA" w:rsidRDefault="009C13A9" w:rsidP="00DE404B">
      <w:pPr>
        <w:pStyle w:val="ESch"/>
        <w:rPr>
          <w:lang w:val="bg-BG"/>
        </w:rPr>
      </w:pPr>
    </w:p>
    <w:p w:rsidR="009C13A9" w:rsidRPr="009072DA" w:rsidRDefault="009C13A9" w:rsidP="009C13A9">
      <w:pPr>
        <w:overflowPunct w:val="0"/>
        <w:adjustRightInd w:val="0"/>
        <w:jc w:val="center"/>
        <w:textAlignment w:val="baseline"/>
        <w:rPr>
          <w:rFonts w:cs="Arial"/>
          <w:b/>
          <w:lang w:val="bg-BG"/>
        </w:rPr>
      </w:pPr>
      <w:r w:rsidRPr="009072DA">
        <w:rPr>
          <w:b/>
          <w:lang w:val="bg-BG"/>
        </w:rPr>
        <w:t>Удостоверение за морски плавателен съд, плаващ по река Рейн</w:t>
      </w:r>
    </w:p>
    <w:p w:rsidR="009C13A9" w:rsidRPr="009072DA" w:rsidRDefault="009C13A9" w:rsidP="009C13A9">
      <w:pPr>
        <w:overflowPunct w:val="0"/>
        <w:adjustRightInd w:val="0"/>
        <w:jc w:val="center"/>
        <w:textAlignment w:val="baseline"/>
        <w:rPr>
          <w:rFonts w:cs="Arial"/>
          <w:b/>
          <w:lang w:val="bg-BG"/>
        </w:rPr>
      </w:pPr>
      <w:r w:rsidRPr="009072DA">
        <w:rPr>
          <w:b/>
          <w:lang w:val="bg-BG"/>
        </w:rPr>
        <w:t>№</w:t>
      </w:r>
      <w:r w:rsidRPr="009072DA">
        <w:rPr>
          <w:rFonts w:cs="Arial"/>
          <w:b/>
          <w:lang w:val="bg-BG"/>
        </w:rPr>
        <w:sym w:font="Symbol" w:char="F0B0"/>
      </w:r>
      <w:r w:rsidRPr="009072DA">
        <w:rPr>
          <w:b/>
          <w:lang w:val="bg-BG"/>
        </w:rPr>
        <w:t xml:space="preserve"> ........................</w:t>
      </w:r>
    </w:p>
    <w:p w:rsidR="009C13A9" w:rsidRPr="009072DA" w:rsidRDefault="009C13A9" w:rsidP="009C13A9">
      <w:pPr>
        <w:tabs>
          <w:tab w:val="left" w:pos="284"/>
          <w:tab w:val="left" w:leader="dot" w:pos="9072"/>
        </w:tabs>
        <w:ind w:left="284" w:hanging="284"/>
        <w:rPr>
          <w:lang w:val="bg-BG"/>
        </w:rPr>
      </w:pPr>
    </w:p>
    <w:p w:rsidR="009C13A9" w:rsidRPr="009072DA" w:rsidRDefault="009C13A9" w:rsidP="009C13A9">
      <w:pPr>
        <w:tabs>
          <w:tab w:val="left" w:leader="dot" w:pos="5954"/>
          <w:tab w:val="left" w:leader="dot" w:pos="9072"/>
        </w:tabs>
        <w:rPr>
          <w:lang w:val="bg-BG"/>
        </w:rPr>
      </w:pPr>
      <w:r w:rsidRPr="009072DA">
        <w:rPr>
          <w:lang w:val="bg-BG"/>
        </w:rPr>
        <w:t xml:space="preserve">Контролният орган </w:t>
      </w:r>
      <w:r w:rsidRPr="009072DA">
        <w:rPr>
          <w:lang w:val="bg-BG"/>
        </w:rPr>
        <w:tab/>
        <w:t xml:space="preserve"> удостоверява с настоящото, че морски плавателен съд </w:t>
      </w:r>
    </w:p>
    <w:p w:rsidR="009C13A9" w:rsidRPr="009072DA" w:rsidRDefault="009C13A9" w:rsidP="00DE404B">
      <w:pPr>
        <w:pStyle w:val="ESch"/>
        <w:rPr>
          <w:lang w:val="bg-BG"/>
        </w:rPr>
      </w:pPr>
    </w:p>
    <w:p w:rsidR="009C13A9" w:rsidRPr="009072DA" w:rsidRDefault="009C13A9" w:rsidP="009C13A9">
      <w:pPr>
        <w:tabs>
          <w:tab w:val="left" w:pos="284"/>
          <w:tab w:val="left" w:leader="dot" w:pos="9072"/>
        </w:tabs>
        <w:spacing w:after="120"/>
        <w:ind w:left="284" w:hanging="284"/>
        <w:rPr>
          <w:lang w:val="bg-BG"/>
        </w:rPr>
      </w:pPr>
      <w:r w:rsidRPr="009072DA">
        <w:rPr>
          <w:lang w:val="bg-BG"/>
        </w:rPr>
        <w:t xml:space="preserve">Име: </w:t>
      </w:r>
      <w:r w:rsidRPr="009072DA">
        <w:rPr>
          <w:lang w:val="bg-BG"/>
        </w:rPr>
        <w:tab/>
      </w:r>
    </w:p>
    <w:p w:rsidR="009C13A9" w:rsidRPr="009072DA" w:rsidRDefault="009C13A9" w:rsidP="009C13A9">
      <w:pPr>
        <w:tabs>
          <w:tab w:val="left" w:pos="284"/>
          <w:tab w:val="left" w:leader="dot" w:pos="9072"/>
        </w:tabs>
        <w:spacing w:after="120"/>
        <w:ind w:left="284" w:hanging="284"/>
        <w:rPr>
          <w:lang w:val="bg-BG"/>
        </w:rPr>
      </w:pPr>
      <w:r w:rsidRPr="009072DA">
        <w:rPr>
          <w:lang w:val="bg-BG"/>
        </w:rPr>
        <w:t xml:space="preserve">Регистрационен номер или букви на плавателния съд: </w:t>
      </w:r>
      <w:r w:rsidRPr="009072DA">
        <w:rPr>
          <w:lang w:val="bg-BG"/>
        </w:rPr>
        <w:tab/>
      </w:r>
    </w:p>
    <w:p w:rsidR="009C13A9" w:rsidRPr="009072DA" w:rsidRDefault="009C13A9" w:rsidP="009C13A9">
      <w:pPr>
        <w:tabs>
          <w:tab w:val="left" w:pos="284"/>
          <w:tab w:val="left" w:leader="dot" w:pos="9072"/>
        </w:tabs>
        <w:spacing w:after="120"/>
        <w:ind w:left="284" w:hanging="284"/>
        <w:rPr>
          <w:lang w:val="bg-BG"/>
        </w:rPr>
      </w:pPr>
      <w:r w:rsidRPr="009072DA">
        <w:rPr>
          <w:lang w:val="bg-BG"/>
        </w:rPr>
        <w:t xml:space="preserve">Място на регистрация: </w:t>
      </w:r>
      <w:r w:rsidRPr="009072DA">
        <w:rPr>
          <w:lang w:val="bg-BG"/>
        </w:rPr>
        <w:tab/>
      </w:r>
    </w:p>
    <w:p w:rsidR="009C13A9" w:rsidRPr="009072DA" w:rsidRDefault="009C13A9" w:rsidP="009C13A9">
      <w:pPr>
        <w:tabs>
          <w:tab w:val="left" w:pos="284"/>
          <w:tab w:val="left" w:leader="dot" w:pos="9072"/>
        </w:tabs>
        <w:spacing w:after="120"/>
        <w:ind w:left="284" w:hanging="284"/>
        <w:rPr>
          <w:lang w:val="bg-BG"/>
        </w:rPr>
      </w:pPr>
      <w:r w:rsidRPr="009072DA">
        <w:rPr>
          <w:lang w:val="bg-BG"/>
        </w:rPr>
        <w:t xml:space="preserve">Година на построяване: </w:t>
      </w:r>
      <w:r w:rsidRPr="009072DA">
        <w:rPr>
          <w:lang w:val="bg-BG"/>
        </w:rPr>
        <w:tab/>
      </w:r>
    </w:p>
    <w:p w:rsidR="009C13A9" w:rsidRPr="009072DA" w:rsidRDefault="009C13A9" w:rsidP="009C13A9">
      <w:pPr>
        <w:tabs>
          <w:tab w:val="left" w:pos="284"/>
          <w:tab w:val="left" w:leader="dot" w:pos="9072"/>
        </w:tabs>
        <w:spacing w:after="120"/>
        <w:ind w:left="284" w:hanging="284"/>
        <w:rPr>
          <w:lang w:val="bg-BG"/>
        </w:rPr>
      </w:pPr>
      <w:r w:rsidRPr="009072DA">
        <w:rPr>
          <w:lang w:val="bg-BG"/>
        </w:rPr>
        <w:t xml:space="preserve">Дължина на плавателния съд: </w:t>
      </w:r>
      <w:r w:rsidRPr="009072DA">
        <w:rPr>
          <w:lang w:val="bg-BG"/>
        </w:rPr>
        <w:tab/>
      </w:r>
    </w:p>
    <w:p w:rsidR="009C13A9" w:rsidRPr="009072DA" w:rsidRDefault="009C13A9" w:rsidP="00DE404B">
      <w:pPr>
        <w:tabs>
          <w:tab w:val="left" w:leader="dot" w:pos="4536"/>
          <w:tab w:val="left" w:leader="dot" w:pos="9072"/>
        </w:tabs>
        <w:spacing w:before="80" w:after="80" w:line="240" w:lineRule="atLeast"/>
        <w:ind w:right="-1"/>
        <w:rPr>
          <w:lang w:val="bg-BG"/>
        </w:rPr>
      </w:pPr>
      <w:r w:rsidRPr="009072DA">
        <w:rPr>
          <w:lang w:val="bg-BG"/>
        </w:rPr>
        <w:t xml:space="preserve">след като проверката приключи, </w:t>
      </w:r>
      <w:r w:rsidRPr="009072DA">
        <w:rPr>
          <w:lang w:val="bg-BG"/>
        </w:rPr>
        <w:tab/>
        <w:t xml:space="preserve"> се признава за годен за плаване по река Рейн, и има право да прави това при специалните условия, посочени по-долу.</w:t>
      </w:r>
    </w:p>
    <w:p w:rsidR="009C13A9" w:rsidRPr="009072DA" w:rsidRDefault="009C13A9" w:rsidP="00DE404B">
      <w:pPr>
        <w:tabs>
          <w:tab w:val="left" w:leader="dot" w:pos="9072"/>
        </w:tabs>
        <w:spacing w:line="240" w:lineRule="atLeast"/>
        <w:rPr>
          <w:lang w:val="bg-BG"/>
        </w:rPr>
      </w:pPr>
      <w:r w:rsidRPr="009072DA">
        <w:rPr>
          <w:lang w:val="bg-BG"/>
        </w:rPr>
        <w:t xml:space="preserve">Специални условия: </w:t>
      </w:r>
      <w:r w:rsidRPr="009072DA">
        <w:rPr>
          <w:lang w:val="bg-BG"/>
        </w:rPr>
        <w:tab/>
      </w:r>
    </w:p>
    <w:p w:rsidR="009C13A9" w:rsidRPr="009072DA" w:rsidRDefault="009C13A9" w:rsidP="00DE404B">
      <w:pPr>
        <w:tabs>
          <w:tab w:val="left" w:leader="dot" w:pos="9072"/>
        </w:tabs>
        <w:spacing w:line="240" w:lineRule="atLeast"/>
        <w:rPr>
          <w:lang w:val="bg-BG"/>
        </w:rPr>
      </w:pPr>
      <w:r w:rsidRPr="009072DA">
        <w:rPr>
          <w:lang w:val="bg-BG"/>
        </w:rPr>
        <w:tab/>
      </w:r>
    </w:p>
    <w:p w:rsidR="009C13A9" w:rsidRPr="009072DA" w:rsidRDefault="009C13A9" w:rsidP="00DE404B">
      <w:pPr>
        <w:tabs>
          <w:tab w:val="left" w:leader="dot" w:pos="9072"/>
        </w:tabs>
        <w:spacing w:line="240" w:lineRule="atLeast"/>
        <w:rPr>
          <w:lang w:val="bg-BG"/>
        </w:rPr>
      </w:pPr>
      <w:r w:rsidRPr="009072DA">
        <w:rPr>
          <w:lang w:val="bg-BG"/>
        </w:rPr>
        <w:tab/>
      </w:r>
    </w:p>
    <w:p w:rsidR="009C13A9" w:rsidRPr="009072DA" w:rsidRDefault="009C13A9" w:rsidP="00DE404B">
      <w:pPr>
        <w:tabs>
          <w:tab w:val="left" w:leader="dot" w:pos="9072"/>
        </w:tabs>
        <w:spacing w:line="240" w:lineRule="atLeast"/>
        <w:rPr>
          <w:lang w:val="bg-BG"/>
        </w:rPr>
      </w:pPr>
      <w:r w:rsidRPr="009072DA">
        <w:rPr>
          <w:lang w:val="bg-BG"/>
        </w:rPr>
        <w:tab/>
      </w:r>
    </w:p>
    <w:p w:rsidR="00DE404B" w:rsidRPr="009072DA" w:rsidRDefault="00DE404B" w:rsidP="00DE404B">
      <w:pPr>
        <w:pStyle w:val="ESch"/>
        <w:rPr>
          <w:lang w:val="bg-BG"/>
        </w:rPr>
      </w:pPr>
    </w:p>
    <w:p w:rsidR="009C13A9" w:rsidRPr="009072DA" w:rsidRDefault="009C13A9" w:rsidP="009C13A9">
      <w:pPr>
        <w:tabs>
          <w:tab w:val="left" w:leader="dot" w:pos="9072"/>
        </w:tabs>
        <w:spacing w:before="60" w:after="40" w:line="240" w:lineRule="atLeast"/>
        <w:ind w:right="-1"/>
        <w:rPr>
          <w:lang w:val="bg-BG"/>
        </w:rPr>
      </w:pPr>
      <w:r w:rsidRPr="009072DA">
        <w:rPr>
          <w:lang w:val="bg-BG"/>
        </w:rPr>
        <w:t xml:space="preserve">Настоящото удостоверение е валидно само при условие, че плавателният съд разполага с валидни удостоверения за морско или крайбрежно корабоплаване, и не е валидно след </w:t>
      </w:r>
      <w:r w:rsidRPr="009072DA">
        <w:rPr>
          <w:lang w:val="bg-BG"/>
        </w:rPr>
        <w:tab/>
      </w:r>
    </w:p>
    <w:p w:rsidR="009C13A9" w:rsidRPr="009072DA" w:rsidRDefault="009C13A9" w:rsidP="009C13A9">
      <w:pPr>
        <w:tabs>
          <w:tab w:val="left" w:pos="284"/>
          <w:tab w:val="left" w:leader="dot" w:pos="9072"/>
        </w:tabs>
        <w:ind w:left="284" w:hanging="284"/>
        <w:rPr>
          <w:lang w:val="bg-BG"/>
        </w:rPr>
      </w:pPr>
    </w:p>
    <w:p w:rsidR="009C13A9" w:rsidRPr="009072DA" w:rsidRDefault="009C13A9" w:rsidP="009C13A9">
      <w:pPr>
        <w:tabs>
          <w:tab w:val="left" w:pos="2835"/>
          <w:tab w:val="left" w:leader="dot" w:pos="5670"/>
          <w:tab w:val="left" w:leader="dot" w:pos="9072"/>
        </w:tabs>
        <w:ind w:left="284" w:hanging="284"/>
        <w:rPr>
          <w:lang w:val="bg-BG"/>
        </w:rPr>
      </w:pPr>
      <w:r w:rsidRPr="009072DA">
        <w:rPr>
          <w:lang w:val="bg-BG"/>
        </w:rPr>
        <w:tab/>
      </w:r>
      <w:r w:rsidRPr="009072DA">
        <w:rPr>
          <w:lang w:val="bg-BG"/>
        </w:rPr>
        <w:tab/>
      </w:r>
      <w:r w:rsidRPr="009072DA">
        <w:rPr>
          <w:lang w:val="bg-BG"/>
        </w:rPr>
        <w:tab/>
        <w:t xml:space="preserve">, </w:t>
      </w:r>
      <w:r w:rsidRPr="009072DA">
        <w:rPr>
          <w:lang w:val="bg-BG"/>
        </w:rPr>
        <w:tab/>
      </w:r>
    </w:p>
    <w:p w:rsidR="009C13A9" w:rsidRPr="009072DA" w:rsidRDefault="009C13A9" w:rsidP="009C13A9">
      <w:pPr>
        <w:tabs>
          <w:tab w:val="center" w:pos="4253"/>
          <w:tab w:val="center" w:pos="7513"/>
          <w:tab w:val="left" w:leader="dot" w:pos="9072"/>
        </w:tabs>
        <w:ind w:left="284" w:hanging="284"/>
        <w:rPr>
          <w:lang w:val="bg-BG"/>
        </w:rPr>
      </w:pPr>
      <w:r w:rsidRPr="009072DA">
        <w:rPr>
          <w:lang w:val="bg-BG"/>
        </w:rPr>
        <w:tab/>
      </w:r>
      <w:r w:rsidRPr="009072DA">
        <w:rPr>
          <w:lang w:val="bg-BG"/>
        </w:rPr>
        <w:tab/>
        <w:t xml:space="preserve">(Място) </w:t>
      </w:r>
      <w:r w:rsidRPr="009072DA">
        <w:rPr>
          <w:lang w:val="bg-BG"/>
        </w:rPr>
        <w:tab/>
        <w:t>(Дата)</w:t>
      </w:r>
    </w:p>
    <w:p w:rsidR="009C13A9" w:rsidRPr="009072DA" w:rsidRDefault="009C13A9" w:rsidP="00DE404B">
      <w:pPr>
        <w:pStyle w:val="ESch"/>
        <w:rPr>
          <w:lang w:val="bg-BG"/>
        </w:rPr>
      </w:pPr>
    </w:p>
    <w:p w:rsidR="009C13A9" w:rsidRPr="009072DA" w:rsidRDefault="009C13A9" w:rsidP="009C13A9">
      <w:pPr>
        <w:tabs>
          <w:tab w:val="left" w:pos="5103"/>
          <w:tab w:val="left" w:leader="dot" w:pos="9072"/>
        </w:tabs>
        <w:ind w:left="284" w:hanging="284"/>
        <w:rPr>
          <w:lang w:val="bg-BG"/>
        </w:rPr>
      </w:pPr>
      <w:r w:rsidRPr="009072DA">
        <w:rPr>
          <w:lang w:val="bg-BG"/>
        </w:rPr>
        <w:tab/>
      </w:r>
      <w:r w:rsidRPr="009072DA">
        <w:rPr>
          <w:lang w:val="bg-BG"/>
        </w:rPr>
        <w:tab/>
      </w:r>
      <w:r w:rsidRPr="009072DA">
        <w:rPr>
          <w:lang w:val="bg-BG"/>
        </w:rPr>
        <w:tab/>
      </w:r>
    </w:p>
    <w:p w:rsidR="009C13A9" w:rsidRPr="009072DA" w:rsidRDefault="00313B91" w:rsidP="00313B91">
      <w:pPr>
        <w:tabs>
          <w:tab w:val="center" w:pos="7088"/>
          <w:tab w:val="left" w:leader="dot" w:pos="9072"/>
        </w:tabs>
        <w:ind w:left="1560"/>
        <w:rPr>
          <w:lang w:val="bg-BG"/>
        </w:rPr>
      </w:pPr>
      <w:r w:rsidRPr="009072DA">
        <w:rPr>
          <w:lang w:val="bg-BG"/>
        </w:rPr>
        <w:lastRenderedPageBreak/>
        <w:t>Печат</w:t>
      </w:r>
      <w:r w:rsidRPr="009072DA">
        <w:rPr>
          <w:lang w:val="bg-BG"/>
        </w:rPr>
        <w:tab/>
        <w:t>(Контролен орган)</w:t>
      </w:r>
    </w:p>
    <w:p w:rsidR="009C13A9" w:rsidRPr="009072DA" w:rsidRDefault="009C13A9" w:rsidP="009C13A9">
      <w:pPr>
        <w:tabs>
          <w:tab w:val="left" w:pos="5103"/>
          <w:tab w:val="left" w:leader="dot" w:pos="9072"/>
        </w:tabs>
        <w:ind w:left="284" w:hanging="284"/>
        <w:rPr>
          <w:lang w:val="bg-BG"/>
        </w:rPr>
      </w:pPr>
      <w:r w:rsidRPr="009072DA">
        <w:rPr>
          <w:lang w:val="bg-BG"/>
        </w:rPr>
        <w:tab/>
      </w:r>
      <w:r w:rsidRPr="009072DA">
        <w:rPr>
          <w:lang w:val="bg-BG"/>
        </w:rPr>
        <w:tab/>
      </w:r>
      <w:r w:rsidRPr="009072DA">
        <w:rPr>
          <w:lang w:val="bg-BG"/>
        </w:rPr>
        <w:tab/>
      </w:r>
    </w:p>
    <w:p w:rsidR="009C13A9" w:rsidRPr="009072DA" w:rsidRDefault="009C13A9" w:rsidP="009C13A9">
      <w:pPr>
        <w:tabs>
          <w:tab w:val="center" w:pos="7088"/>
          <w:tab w:val="left" w:leader="dot" w:pos="9072"/>
        </w:tabs>
        <w:ind w:left="284" w:hanging="284"/>
        <w:rPr>
          <w:lang w:val="bg-BG"/>
        </w:rPr>
      </w:pPr>
      <w:r w:rsidRPr="009072DA">
        <w:rPr>
          <w:lang w:val="bg-BG"/>
        </w:rPr>
        <w:tab/>
      </w:r>
      <w:r w:rsidRPr="009072DA">
        <w:rPr>
          <w:lang w:val="bg-BG"/>
        </w:rPr>
        <w:tab/>
        <w:t>(Подпис)</w:t>
      </w:r>
    </w:p>
    <w:p w:rsidR="009C13A9" w:rsidRPr="009072DA" w:rsidRDefault="009C13A9" w:rsidP="009C13A9">
      <w:pPr>
        <w:tabs>
          <w:tab w:val="left" w:pos="2579"/>
        </w:tabs>
        <w:rPr>
          <w:lang w:val="bg-BG"/>
        </w:rPr>
      </w:pPr>
      <w:r w:rsidRPr="009072DA">
        <w:rPr>
          <w:lang w:val="bg-BG"/>
        </w:rPr>
        <w:br w:type="page"/>
      </w:r>
    </w:p>
    <w:p w:rsidR="001865DF" w:rsidRPr="009072DA" w:rsidRDefault="001865DF" w:rsidP="009C13A9">
      <w:pPr>
        <w:tabs>
          <w:tab w:val="left" w:pos="2579"/>
        </w:tabs>
        <w:rPr>
          <w:lang w:val="bg-BG"/>
        </w:rPr>
      </w:pPr>
    </w:p>
    <w:p w:rsidR="001865DF" w:rsidRPr="009072DA" w:rsidRDefault="001865DF" w:rsidP="009C13A9">
      <w:pPr>
        <w:tabs>
          <w:tab w:val="left" w:pos="2579"/>
        </w:tabs>
        <w:rPr>
          <w:lang w:val="bg-BG"/>
        </w:rPr>
      </w:pPr>
    </w:p>
    <w:p w:rsidR="001865DF" w:rsidRPr="009072DA" w:rsidRDefault="001865DF" w:rsidP="009C13A9">
      <w:pPr>
        <w:tabs>
          <w:tab w:val="left" w:pos="2579"/>
        </w:tabs>
        <w:rPr>
          <w:lang w:val="bg-BG"/>
        </w:rPr>
      </w:pPr>
      <w:r w:rsidRPr="009072DA">
        <w:rPr>
          <w:lang w:val="bg-BG"/>
        </w:rPr>
        <w:br w:type="page"/>
      </w:r>
    </w:p>
    <w:p w:rsidR="009C13A9" w:rsidRPr="009072DA" w:rsidRDefault="00925755" w:rsidP="00857FC2">
      <w:pPr>
        <w:pStyle w:val="ES-Titre3"/>
        <w:rPr>
          <w:lang w:val="bg-BG"/>
        </w:rPr>
      </w:pPr>
      <w:bookmarkStart w:id="621" w:name="_Toc491854303"/>
      <w:bookmarkStart w:id="622" w:name="_Toc535827744"/>
      <w:r w:rsidRPr="009072DA">
        <w:rPr>
          <w:lang w:val="bg-BG"/>
        </w:rPr>
        <w:lastRenderedPageBreak/>
        <w:t>Раздел V</w:t>
      </w:r>
      <w:bookmarkEnd w:id="621"/>
      <w:bookmarkEnd w:id="622"/>
    </w:p>
    <w:p w:rsidR="009C13A9" w:rsidRPr="009072DA" w:rsidRDefault="00E3172D" w:rsidP="00677052">
      <w:pPr>
        <w:pStyle w:val="ES-Titre3a"/>
        <w:rPr>
          <w:rFonts w:cs="Arial"/>
          <w:color w:val="000000"/>
          <w:lang w:val="bg-BG"/>
        </w:rPr>
      </w:pPr>
      <w:bookmarkStart w:id="623" w:name="_Toc491854304"/>
      <w:bookmarkStart w:id="624" w:name="_Toc535827745"/>
      <w:r w:rsidRPr="009072DA">
        <w:rPr>
          <w:lang w:val="bg-BG"/>
        </w:rPr>
        <w:t>Образец на приложение „Традиционен плавателен съд“ към удостоверението на плавателния съд за плаване по вътрешни водни пътища съгласно глава 24</w:t>
      </w:r>
      <w:bookmarkEnd w:id="623"/>
      <w:bookmarkEnd w:id="624"/>
    </w:p>
    <w:p w:rsidR="009C13A9" w:rsidRPr="009072DA" w:rsidRDefault="009C13A9" w:rsidP="009C13A9">
      <w:pPr>
        <w:tabs>
          <w:tab w:val="center" w:pos="8222"/>
        </w:tabs>
        <w:rPr>
          <w:lang w:val="bg-BG"/>
        </w:rPr>
      </w:pPr>
    </w:p>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3"/>
        <w:gridCol w:w="4592"/>
      </w:tblGrid>
      <w:tr w:rsidR="00E3172D" w:rsidRPr="009072DA" w:rsidTr="001077F3">
        <w:tc>
          <w:tcPr>
            <w:tcW w:w="10188" w:type="dxa"/>
            <w:gridSpan w:val="2"/>
            <w:tcBorders>
              <w:bottom w:val="nil"/>
            </w:tcBorders>
          </w:tcPr>
          <w:p w:rsidR="00E3172D" w:rsidRPr="009072DA" w:rsidRDefault="00E3172D" w:rsidP="001077F3">
            <w:pPr>
              <w:spacing w:before="60" w:after="60" w:line="240" w:lineRule="atLeast"/>
              <w:jc w:val="center"/>
              <w:rPr>
                <w:rFonts w:cs="Arial"/>
                <w:b/>
                <w:color w:val="000000"/>
                <w:lang w:val="bg-BG"/>
              </w:rPr>
            </w:pPr>
            <w:r w:rsidRPr="009072DA">
              <w:rPr>
                <w:b/>
                <w:color w:val="000000"/>
                <w:lang w:val="bg-BG"/>
              </w:rPr>
              <w:t>Приложение „Традиционен плавателен съд“</w:t>
            </w:r>
          </w:p>
          <w:p w:rsidR="00E3172D" w:rsidRPr="009072DA" w:rsidRDefault="00E3172D" w:rsidP="001077F3">
            <w:pPr>
              <w:spacing w:before="60" w:after="60" w:line="240" w:lineRule="atLeast"/>
              <w:jc w:val="center"/>
              <w:rPr>
                <w:rFonts w:cs="Arial"/>
                <w:color w:val="000000"/>
                <w:lang w:val="bg-BG"/>
              </w:rPr>
            </w:pPr>
          </w:p>
        </w:tc>
      </w:tr>
      <w:tr w:rsidR="00E3172D" w:rsidRPr="009072DA" w:rsidTr="001077F3">
        <w:tc>
          <w:tcPr>
            <w:tcW w:w="10188" w:type="dxa"/>
            <w:gridSpan w:val="2"/>
            <w:tcBorders>
              <w:top w:val="nil"/>
              <w:bottom w:val="nil"/>
            </w:tcBorders>
          </w:tcPr>
          <w:p w:rsidR="00E3172D" w:rsidRPr="009072DA" w:rsidRDefault="00E3172D" w:rsidP="001077F3">
            <w:pPr>
              <w:spacing w:before="60" w:after="60" w:line="240" w:lineRule="atLeast"/>
              <w:jc w:val="center"/>
              <w:rPr>
                <w:rFonts w:cs="Arial"/>
                <w:b/>
                <w:color w:val="000000"/>
                <w:lang w:val="bg-BG"/>
              </w:rPr>
            </w:pPr>
            <w:r w:rsidRPr="009072DA">
              <w:rPr>
                <w:b/>
                <w:lang w:val="bg-BG"/>
              </w:rPr>
              <w:t>Име на държавата/печат</w:t>
            </w:r>
          </w:p>
          <w:p w:rsidR="00E3172D" w:rsidRPr="009072DA" w:rsidRDefault="00E3172D" w:rsidP="001077F3">
            <w:pPr>
              <w:spacing w:before="60" w:after="60" w:line="240" w:lineRule="atLeast"/>
              <w:jc w:val="center"/>
              <w:rPr>
                <w:rFonts w:cs="Arial"/>
                <w:b/>
                <w:color w:val="000000"/>
                <w:lang w:val="bg-BG"/>
              </w:rPr>
            </w:pPr>
          </w:p>
        </w:tc>
      </w:tr>
      <w:tr w:rsidR="00E3172D" w:rsidRPr="009072DA" w:rsidTr="001077F3">
        <w:tc>
          <w:tcPr>
            <w:tcW w:w="10188" w:type="dxa"/>
            <w:gridSpan w:val="2"/>
            <w:tcBorders>
              <w:top w:val="nil"/>
            </w:tcBorders>
          </w:tcPr>
          <w:p w:rsidR="00E3172D" w:rsidRPr="009072DA" w:rsidRDefault="00E3172D" w:rsidP="001077F3">
            <w:pPr>
              <w:spacing w:before="60" w:after="60" w:line="240" w:lineRule="atLeast"/>
              <w:jc w:val="center"/>
              <w:rPr>
                <w:rFonts w:cs="Arial"/>
                <w:color w:val="000000"/>
                <w:lang w:val="bg-BG"/>
              </w:rPr>
            </w:pPr>
            <w:r w:rsidRPr="009072DA">
              <w:rPr>
                <w:b/>
                <w:color w:val="000000"/>
                <w:lang w:val="bg-BG"/>
              </w:rPr>
              <w:t>Приложение към</w:t>
            </w:r>
            <w:r w:rsidRPr="009072DA">
              <w:rPr>
                <w:lang w:val="bg-BG"/>
              </w:rPr>
              <w:t xml:space="preserve"> </w:t>
            </w:r>
            <w:r w:rsidRPr="009072DA">
              <w:rPr>
                <w:b/>
                <w:color w:val="000000"/>
                <w:lang w:val="bg-BG"/>
              </w:rPr>
              <w:t>удостоверението на плавателния съд за плаване по вътрешни водни пътища №</w:t>
            </w:r>
            <w:r w:rsidRPr="009072DA">
              <w:rPr>
                <w:color w:val="000000"/>
                <w:lang w:val="bg-BG"/>
              </w:rPr>
              <w:t>…………….</w:t>
            </w:r>
          </w:p>
          <w:p w:rsidR="00E3172D" w:rsidRPr="009072DA" w:rsidRDefault="00E3172D" w:rsidP="001077F3">
            <w:pPr>
              <w:spacing w:before="60" w:after="60" w:line="240" w:lineRule="atLeast"/>
              <w:jc w:val="center"/>
              <w:rPr>
                <w:rFonts w:cs="Arial"/>
                <w:color w:val="000000"/>
                <w:lang w:val="bg-BG"/>
              </w:rPr>
            </w:pPr>
          </w:p>
        </w:tc>
      </w:tr>
      <w:tr w:rsidR="00E3172D" w:rsidRPr="008D2440" w:rsidTr="001077F3">
        <w:tc>
          <w:tcPr>
            <w:tcW w:w="5094" w:type="dxa"/>
          </w:tcPr>
          <w:p w:rsidR="00E3172D" w:rsidRPr="009072DA" w:rsidRDefault="00E3172D" w:rsidP="001077F3">
            <w:pPr>
              <w:tabs>
                <w:tab w:val="left" w:pos="284"/>
                <w:tab w:val="left" w:leader="dot" w:pos="4253"/>
              </w:tabs>
              <w:spacing w:before="80" w:line="360" w:lineRule="auto"/>
              <w:rPr>
                <w:rFonts w:cs="Arial"/>
                <w:color w:val="000000"/>
                <w:lang w:val="bg-BG"/>
              </w:rPr>
            </w:pPr>
            <w:r w:rsidRPr="009072DA">
              <w:rPr>
                <w:color w:val="000000"/>
                <w:sz w:val="18"/>
                <w:lang w:val="bg-BG"/>
              </w:rPr>
              <w:t>1.</w:t>
            </w:r>
            <w:r w:rsidRPr="009072DA">
              <w:rPr>
                <w:lang w:val="bg-BG"/>
              </w:rPr>
              <w:tab/>
            </w:r>
            <w:r w:rsidRPr="009072DA">
              <w:rPr>
                <w:color w:val="000000"/>
                <w:sz w:val="18"/>
                <w:lang w:val="bg-BG"/>
              </w:rPr>
              <w:t>Име на традиционния плавателен съд:</w:t>
            </w:r>
            <w:r w:rsidRPr="009072DA">
              <w:rPr>
                <w:color w:val="000000"/>
                <w:sz w:val="18"/>
                <w:lang w:val="bg-BG"/>
              </w:rPr>
              <w:br/>
            </w:r>
            <w:r w:rsidRPr="009072DA">
              <w:rPr>
                <w:lang w:val="bg-BG"/>
              </w:rPr>
              <w:tab/>
            </w:r>
            <w:r w:rsidRPr="009072DA">
              <w:rPr>
                <w:lang w:val="bg-BG"/>
              </w:rPr>
              <w:tab/>
            </w:r>
          </w:p>
        </w:tc>
        <w:tc>
          <w:tcPr>
            <w:tcW w:w="5094" w:type="dxa"/>
          </w:tcPr>
          <w:p w:rsidR="00E3172D" w:rsidRPr="009072DA" w:rsidRDefault="00E3172D" w:rsidP="001077F3">
            <w:pPr>
              <w:tabs>
                <w:tab w:val="left" w:pos="227"/>
                <w:tab w:val="left" w:leader="dot" w:pos="4196"/>
              </w:tabs>
              <w:spacing w:before="80"/>
              <w:ind w:left="227" w:hanging="227"/>
              <w:rPr>
                <w:rFonts w:cs="Arial"/>
                <w:color w:val="000000"/>
                <w:sz w:val="18"/>
                <w:lang w:val="bg-BG"/>
              </w:rPr>
            </w:pPr>
            <w:r w:rsidRPr="009072DA">
              <w:rPr>
                <w:sz w:val="18"/>
                <w:lang w:val="bg-BG"/>
              </w:rPr>
              <w:t>2.</w:t>
            </w:r>
            <w:r w:rsidRPr="009072DA">
              <w:rPr>
                <w:lang w:val="bg-BG"/>
              </w:rPr>
              <w:tab/>
            </w:r>
            <w:r w:rsidRPr="009072DA">
              <w:rPr>
                <w:sz w:val="18"/>
                <w:lang w:val="bg-BG"/>
              </w:rPr>
              <w:t>Уникален европейски идентификационен номер на плавателния съд</w:t>
            </w:r>
          </w:p>
          <w:p w:rsidR="00E3172D" w:rsidRPr="009072DA" w:rsidRDefault="00E3172D" w:rsidP="001077F3">
            <w:pPr>
              <w:tabs>
                <w:tab w:val="left" w:pos="227"/>
                <w:tab w:val="left" w:leader="dot" w:pos="4196"/>
              </w:tabs>
              <w:spacing w:before="80" w:line="360" w:lineRule="auto"/>
              <w:ind w:left="227" w:hanging="227"/>
              <w:rPr>
                <w:rFonts w:cs="Arial"/>
                <w:color w:val="000000"/>
                <w:lang w:val="bg-BG"/>
              </w:rPr>
            </w:pPr>
            <w:r w:rsidRPr="009072DA">
              <w:rPr>
                <w:lang w:val="bg-BG"/>
              </w:rPr>
              <w:tab/>
            </w:r>
            <w:r w:rsidRPr="009072DA">
              <w:rPr>
                <w:lang w:val="bg-BG"/>
              </w:rPr>
              <w:tab/>
            </w:r>
          </w:p>
        </w:tc>
      </w:tr>
      <w:tr w:rsidR="00E3172D" w:rsidRPr="009072DA" w:rsidTr="001077F3">
        <w:tc>
          <w:tcPr>
            <w:tcW w:w="5094" w:type="dxa"/>
          </w:tcPr>
          <w:p w:rsidR="00E3172D" w:rsidRPr="009072DA" w:rsidRDefault="00E3172D" w:rsidP="001077F3">
            <w:pPr>
              <w:tabs>
                <w:tab w:val="left" w:pos="284"/>
                <w:tab w:val="left" w:leader="dot" w:pos="4253"/>
              </w:tabs>
              <w:spacing w:before="80" w:line="360" w:lineRule="auto"/>
              <w:rPr>
                <w:rFonts w:cs="Arial"/>
                <w:color w:val="000000"/>
                <w:sz w:val="18"/>
                <w:lang w:val="bg-BG"/>
              </w:rPr>
            </w:pPr>
            <w:r w:rsidRPr="009072DA">
              <w:rPr>
                <w:color w:val="000000"/>
                <w:sz w:val="18"/>
                <w:lang w:val="bg-BG"/>
              </w:rPr>
              <w:t>3.</w:t>
            </w:r>
            <w:r w:rsidRPr="009072DA">
              <w:rPr>
                <w:lang w:val="bg-BG"/>
              </w:rPr>
              <w:tab/>
            </w:r>
            <w:r w:rsidRPr="009072DA">
              <w:rPr>
                <w:color w:val="000000"/>
                <w:sz w:val="18"/>
                <w:lang w:val="bg-BG"/>
              </w:rPr>
              <w:t>Вид на плавателния съд преди признаването</w:t>
            </w:r>
            <w:r w:rsidRPr="009072DA">
              <w:rPr>
                <w:color w:val="000000"/>
                <w:sz w:val="18"/>
                <w:lang w:val="bg-BG"/>
              </w:rPr>
              <w:br/>
            </w:r>
            <w:r w:rsidRPr="009072DA">
              <w:rPr>
                <w:lang w:val="bg-BG"/>
              </w:rPr>
              <w:tab/>
            </w:r>
            <w:r w:rsidRPr="009072DA">
              <w:rPr>
                <w:lang w:val="bg-BG"/>
              </w:rPr>
              <w:tab/>
            </w:r>
          </w:p>
        </w:tc>
        <w:tc>
          <w:tcPr>
            <w:tcW w:w="5094" w:type="dxa"/>
          </w:tcPr>
          <w:p w:rsidR="00E3172D" w:rsidRPr="009072DA" w:rsidRDefault="00E3172D" w:rsidP="001077F3">
            <w:pPr>
              <w:tabs>
                <w:tab w:val="left" w:pos="293"/>
                <w:tab w:val="left" w:leader="dot" w:pos="4196"/>
              </w:tabs>
              <w:spacing w:before="80" w:line="360" w:lineRule="auto"/>
              <w:rPr>
                <w:rFonts w:cs="Arial"/>
                <w:color w:val="000000"/>
                <w:sz w:val="18"/>
                <w:lang w:val="bg-BG"/>
              </w:rPr>
            </w:pPr>
            <w:r w:rsidRPr="009072DA">
              <w:rPr>
                <w:color w:val="000000"/>
                <w:sz w:val="18"/>
                <w:lang w:val="bg-BG"/>
              </w:rPr>
              <w:t>4.</w:t>
            </w:r>
            <w:r w:rsidRPr="009072DA">
              <w:rPr>
                <w:lang w:val="bg-BG"/>
              </w:rPr>
              <w:tab/>
            </w:r>
            <w:r w:rsidRPr="009072DA">
              <w:rPr>
                <w:color w:val="000000"/>
                <w:sz w:val="18"/>
                <w:lang w:val="bg-BG"/>
              </w:rPr>
              <w:t>Исторически период</w:t>
            </w:r>
            <w:r w:rsidRPr="009072DA">
              <w:rPr>
                <w:color w:val="000000"/>
                <w:sz w:val="18"/>
                <w:lang w:val="bg-BG"/>
              </w:rPr>
              <w:br/>
            </w:r>
            <w:r w:rsidRPr="009072DA">
              <w:rPr>
                <w:lang w:val="bg-BG"/>
              </w:rPr>
              <w:tab/>
            </w:r>
            <w:r w:rsidRPr="009072DA">
              <w:rPr>
                <w:lang w:val="bg-BG"/>
              </w:rPr>
              <w:tab/>
            </w:r>
          </w:p>
        </w:tc>
      </w:tr>
      <w:tr w:rsidR="00E3172D" w:rsidRPr="009072DA" w:rsidTr="001077F3">
        <w:tc>
          <w:tcPr>
            <w:tcW w:w="10188" w:type="dxa"/>
            <w:gridSpan w:val="2"/>
          </w:tcPr>
          <w:p w:rsidR="00E3172D" w:rsidRPr="009072DA" w:rsidRDefault="00E3172D" w:rsidP="001077F3">
            <w:pPr>
              <w:tabs>
                <w:tab w:val="left" w:pos="284"/>
              </w:tabs>
              <w:spacing w:before="120" w:line="360" w:lineRule="auto"/>
              <w:ind w:left="284" w:hanging="284"/>
              <w:rPr>
                <w:rFonts w:cs="Arial"/>
                <w:color w:val="000000"/>
                <w:sz w:val="18"/>
                <w:lang w:val="bg-BG"/>
              </w:rPr>
            </w:pPr>
            <w:r w:rsidRPr="009072DA">
              <w:rPr>
                <w:color w:val="000000"/>
                <w:sz w:val="18"/>
                <w:lang w:val="bg-BG"/>
              </w:rPr>
              <w:t>5.</w:t>
            </w:r>
            <w:r w:rsidRPr="009072DA">
              <w:rPr>
                <w:lang w:val="bg-BG"/>
              </w:rPr>
              <w:tab/>
            </w:r>
            <w:r w:rsidRPr="009072DA">
              <w:rPr>
                <w:color w:val="000000"/>
                <w:sz w:val="18"/>
                <w:lang w:val="bg-BG"/>
              </w:rPr>
              <w:t xml:space="preserve">Съответствието на традиционния плавателен съд, описан по-горе, е установено въз основа на </w:t>
            </w:r>
          </w:p>
          <w:p w:rsidR="00E3172D" w:rsidRPr="009072DA" w:rsidRDefault="00E3172D" w:rsidP="00486A70">
            <w:pPr>
              <w:tabs>
                <w:tab w:val="left" w:pos="284"/>
                <w:tab w:val="left" w:leader="dot" w:pos="4820"/>
              </w:tabs>
              <w:spacing w:before="120" w:line="360" w:lineRule="auto"/>
              <w:ind w:left="284"/>
              <w:rPr>
                <w:rFonts w:cs="Arial"/>
                <w:color w:val="000000"/>
                <w:sz w:val="18"/>
                <w:lang w:val="bg-BG"/>
              </w:rPr>
            </w:pPr>
            <w:r w:rsidRPr="009072DA">
              <w:rPr>
                <w:color w:val="000000"/>
                <w:sz w:val="18"/>
                <w:lang w:val="bg-BG"/>
              </w:rPr>
              <w:t xml:space="preserve">проверка на </w:t>
            </w:r>
            <w:r w:rsidRPr="009072DA">
              <w:rPr>
                <w:lang w:val="bg-BG"/>
              </w:rPr>
              <w:tab/>
            </w:r>
            <w:r w:rsidRPr="009072DA">
              <w:rPr>
                <w:color w:val="000000"/>
                <w:sz w:val="18"/>
                <w:lang w:val="bg-BG"/>
              </w:rPr>
              <w:t>,</w:t>
            </w:r>
          </w:p>
          <w:p w:rsidR="00E3172D" w:rsidRPr="009072DA" w:rsidRDefault="00E3172D" w:rsidP="00486A70">
            <w:pPr>
              <w:tabs>
                <w:tab w:val="left" w:pos="720"/>
              </w:tabs>
              <w:spacing w:line="360" w:lineRule="auto"/>
              <w:ind w:left="284"/>
              <w:rPr>
                <w:rFonts w:cs="Arial"/>
                <w:color w:val="000000"/>
                <w:lang w:val="bg-BG"/>
              </w:rPr>
            </w:pPr>
            <w:r w:rsidRPr="009072DA">
              <w:rPr>
                <w:color w:val="000000"/>
                <w:sz w:val="18"/>
                <w:lang w:val="bg-BG"/>
              </w:rPr>
              <w:t>както и експертния доклад на органа за опазване на културното наследство / на експерта за традиционни плавателни средства</w:t>
            </w:r>
            <w:r w:rsidRPr="009072DA">
              <w:rPr>
                <w:color w:val="000000"/>
                <w:vertAlign w:val="superscript"/>
                <w:lang w:val="bg-BG"/>
              </w:rPr>
              <w:t>*)</w:t>
            </w:r>
          </w:p>
          <w:p w:rsidR="00E3172D" w:rsidRPr="009072DA" w:rsidRDefault="00E3172D" w:rsidP="00486A70">
            <w:pPr>
              <w:tabs>
                <w:tab w:val="left" w:pos="284"/>
                <w:tab w:val="left" w:leader="dot" w:pos="5812"/>
                <w:tab w:val="left" w:leader="dot" w:pos="8789"/>
              </w:tabs>
              <w:spacing w:line="360" w:lineRule="auto"/>
              <w:ind w:left="284"/>
              <w:rPr>
                <w:rFonts w:cs="Arial"/>
                <w:color w:val="000000"/>
                <w:sz w:val="18"/>
                <w:lang w:val="bg-BG"/>
              </w:rPr>
            </w:pPr>
            <w:r w:rsidRPr="009072DA">
              <w:rPr>
                <w:lang w:val="bg-BG"/>
              </w:rPr>
              <w:tab/>
            </w:r>
            <w:r w:rsidRPr="009072DA">
              <w:rPr>
                <w:color w:val="000000"/>
                <w:sz w:val="18"/>
                <w:lang w:val="bg-BG"/>
              </w:rPr>
              <w:t xml:space="preserve"> от дата </w:t>
            </w:r>
            <w:r w:rsidRPr="009072DA">
              <w:rPr>
                <w:lang w:val="bg-BG"/>
              </w:rPr>
              <w:tab/>
            </w:r>
          </w:p>
          <w:p w:rsidR="00E3172D" w:rsidRPr="009072DA" w:rsidRDefault="00E3172D" w:rsidP="00486A70">
            <w:pPr>
              <w:spacing w:line="360" w:lineRule="auto"/>
              <w:ind w:left="284"/>
              <w:rPr>
                <w:rFonts w:cs="Arial"/>
                <w:color w:val="000000"/>
                <w:lang w:val="bg-BG"/>
              </w:rPr>
            </w:pPr>
            <w:r w:rsidRPr="009072DA">
              <w:rPr>
                <w:color w:val="000000"/>
                <w:sz w:val="18"/>
                <w:lang w:val="bg-BG"/>
              </w:rPr>
              <w:t xml:space="preserve">с </w:t>
            </w:r>
          </w:p>
          <w:p w:rsidR="00E3172D" w:rsidRPr="009072DA" w:rsidRDefault="00E3172D" w:rsidP="001077F3">
            <w:pPr>
              <w:spacing w:line="360" w:lineRule="auto"/>
              <w:ind w:left="709"/>
              <w:rPr>
                <w:rFonts w:cs="Arial"/>
                <w:color w:val="000000"/>
                <w:lang w:val="bg-BG"/>
              </w:rPr>
            </w:pPr>
            <w:r w:rsidRPr="009072DA">
              <w:rPr>
                <w:color w:val="000000"/>
                <w:sz w:val="18"/>
                <w:lang w:val="bg-BG"/>
              </w:rPr>
              <w:t>-</w:t>
            </w:r>
            <w:r w:rsidRPr="009072DA">
              <w:rPr>
                <w:lang w:val="bg-BG"/>
              </w:rPr>
              <w:tab/>
            </w:r>
            <w:r w:rsidRPr="009072DA">
              <w:rPr>
                <w:color w:val="000000"/>
                <w:sz w:val="18"/>
                <w:lang w:val="bg-BG"/>
              </w:rPr>
              <w:t>отклоненията, посочени в точка 6, и</w:t>
            </w:r>
          </w:p>
          <w:p w:rsidR="00E3172D" w:rsidRPr="009072DA" w:rsidRDefault="00E3172D" w:rsidP="001077F3">
            <w:pPr>
              <w:spacing w:line="360" w:lineRule="auto"/>
              <w:ind w:left="709"/>
              <w:rPr>
                <w:rFonts w:cs="Arial"/>
                <w:color w:val="000000"/>
                <w:lang w:val="bg-BG"/>
              </w:rPr>
            </w:pPr>
            <w:r w:rsidRPr="009072DA">
              <w:rPr>
                <w:color w:val="000000"/>
                <w:sz w:val="18"/>
                <w:lang w:val="bg-BG"/>
              </w:rPr>
              <w:t>-</w:t>
            </w:r>
            <w:r w:rsidRPr="009072DA">
              <w:rPr>
                <w:lang w:val="bg-BG"/>
              </w:rPr>
              <w:tab/>
            </w:r>
            <w:r w:rsidRPr="009072DA">
              <w:rPr>
                <w:color w:val="000000"/>
                <w:sz w:val="18"/>
                <w:lang w:val="bg-BG"/>
              </w:rPr>
              <w:t>допълнителните изисквания, посочени в точка 7</w:t>
            </w:r>
          </w:p>
          <w:p w:rsidR="00E3172D" w:rsidRPr="009072DA" w:rsidRDefault="00E3172D" w:rsidP="00486A70">
            <w:pPr>
              <w:spacing w:line="360" w:lineRule="auto"/>
              <w:ind w:left="284"/>
              <w:rPr>
                <w:rFonts w:cs="Arial"/>
                <w:color w:val="000000"/>
                <w:lang w:val="bg-BG"/>
              </w:rPr>
            </w:pPr>
            <w:r w:rsidRPr="009072DA">
              <w:rPr>
                <w:color w:val="000000"/>
                <w:sz w:val="18"/>
                <w:lang w:val="bg-BG"/>
              </w:rPr>
              <w:t>се считат за уместни.</w:t>
            </w:r>
          </w:p>
        </w:tc>
      </w:tr>
      <w:tr w:rsidR="00E3172D" w:rsidRPr="009072DA" w:rsidTr="001077F3">
        <w:tc>
          <w:tcPr>
            <w:tcW w:w="10188" w:type="dxa"/>
            <w:gridSpan w:val="2"/>
          </w:tcPr>
          <w:p w:rsidR="00E3172D" w:rsidRPr="009072DA" w:rsidRDefault="00E3172D" w:rsidP="001077F3">
            <w:pPr>
              <w:rPr>
                <w:rFonts w:cs="Arial"/>
                <w:color w:val="000000"/>
                <w:lang w:val="bg-BG"/>
              </w:rPr>
            </w:pPr>
          </w:p>
          <w:p w:rsidR="00E3172D" w:rsidRPr="009072DA" w:rsidRDefault="00E3172D" w:rsidP="00486A70">
            <w:pPr>
              <w:tabs>
                <w:tab w:val="left" w:leader="dot" w:pos="3969"/>
                <w:tab w:val="left" w:leader="dot" w:pos="6237"/>
                <w:tab w:val="left" w:leader="dot" w:pos="8789"/>
              </w:tabs>
              <w:ind w:left="284"/>
              <w:rPr>
                <w:rFonts w:cs="Arial"/>
                <w:color w:val="000000"/>
                <w:lang w:val="bg-BG"/>
              </w:rPr>
            </w:pPr>
            <w:r w:rsidRPr="009072DA">
              <w:rPr>
                <w:lang w:val="bg-BG"/>
              </w:rPr>
              <w:tab/>
            </w:r>
            <w:r w:rsidRPr="009072DA">
              <w:rPr>
                <w:color w:val="000000"/>
                <w:lang w:val="bg-BG"/>
              </w:rPr>
              <w:t xml:space="preserve">, </w:t>
            </w:r>
            <w:r w:rsidRPr="009072DA">
              <w:rPr>
                <w:lang w:val="bg-BG"/>
              </w:rPr>
              <w:tab/>
            </w:r>
          </w:p>
          <w:p w:rsidR="00E3172D" w:rsidRPr="009072DA" w:rsidRDefault="00E3172D" w:rsidP="00486A70">
            <w:pPr>
              <w:tabs>
                <w:tab w:val="center" w:pos="2127"/>
                <w:tab w:val="center" w:pos="5103"/>
                <w:tab w:val="center" w:pos="8080"/>
              </w:tabs>
              <w:ind w:firstLine="1"/>
              <w:rPr>
                <w:rFonts w:cs="Arial"/>
                <w:color w:val="000000"/>
                <w:lang w:val="bg-BG"/>
              </w:rPr>
            </w:pPr>
            <w:r w:rsidRPr="009072DA">
              <w:rPr>
                <w:lang w:val="bg-BG"/>
              </w:rPr>
              <w:tab/>
            </w:r>
            <w:r w:rsidRPr="009072DA">
              <w:rPr>
                <w:color w:val="000000"/>
                <w:sz w:val="16"/>
                <w:lang w:val="bg-BG"/>
              </w:rPr>
              <w:t>(Място)</w:t>
            </w:r>
            <w:r w:rsidRPr="009072DA">
              <w:rPr>
                <w:lang w:val="bg-BG"/>
              </w:rPr>
              <w:tab/>
            </w:r>
            <w:r w:rsidRPr="009072DA">
              <w:rPr>
                <w:color w:val="000000"/>
                <w:sz w:val="16"/>
                <w:lang w:val="bg-BG"/>
              </w:rPr>
              <w:t>(дата)</w:t>
            </w:r>
          </w:p>
          <w:p w:rsidR="00E3172D" w:rsidRPr="009072DA" w:rsidRDefault="00E3172D" w:rsidP="001077F3">
            <w:pPr>
              <w:rPr>
                <w:rFonts w:cs="Arial"/>
                <w:color w:val="000000"/>
                <w:lang w:val="bg-BG"/>
              </w:rPr>
            </w:pPr>
          </w:p>
          <w:p w:rsidR="00E3172D" w:rsidRPr="009072DA" w:rsidRDefault="00E3172D" w:rsidP="00486A70">
            <w:pPr>
              <w:tabs>
                <w:tab w:val="left" w:pos="4820"/>
                <w:tab w:val="left" w:leader="dot" w:pos="8789"/>
              </w:tabs>
              <w:ind w:firstLine="1"/>
              <w:rPr>
                <w:rFonts w:cs="Arial"/>
                <w:color w:val="000000"/>
                <w:lang w:val="bg-BG"/>
              </w:rPr>
            </w:pPr>
            <w:r w:rsidRPr="009072DA">
              <w:rPr>
                <w:lang w:val="bg-BG"/>
              </w:rPr>
              <w:lastRenderedPageBreak/>
              <w:tab/>
            </w:r>
            <w:r w:rsidRPr="009072DA">
              <w:rPr>
                <w:lang w:val="bg-BG"/>
              </w:rPr>
              <w:tab/>
            </w:r>
          </w:p>
          <w:p w:rsidR="00E3172D" w:rsidRPr="009072DA" w:rsidRDefault="00E3172D" w:rsidP="00486A70">
            <w:pPr>
              <w:tabs>
                <w:tab w:val="center" w:pos="6804"/>
              </w:tabs>
              <w:ind w:firstLine="1"/>
              <w:rPr>
                <w:rFonts w:cs="Arial"/>
                <w:color w:val="000000"/>
                <w:lang w:val="bg-BG"/>
              </w:rPr>
            </w:pPr>
            <w:r w:rsidRPr="009072DA">
              <w:rPr>
                <w:lang w:val="bg-BG"/>
              </w:rPr>
              <w:tab/>
            </w:r>
            <w:r w:rsidRPr="009072DA">
              <w:rPr>
                <w:color w:val="000000"/>
                <w:sz w:val="16"/>
                <w:lang w:val="bg-BG"/>
              </w:rPr>
              <w:t>Контролен орган</w:t>
            </w:r>
          </w:p>
          <w:p w:rsidR="00E3172D" w:rsidRPr="009072DA" w:rsidRDefault="00E3172D" w:rsidP="00486A70">
            <w:pPr>
              <w:tabs>
                <w:tab w:val="center" w:pos="1985"/>
              </w:tabs>
              <w:spacing w:before="120" w:line="240" w:lineRule="atLeast"/>
              <w:ind w:firstLine="1"/>
              <w:rPr>
                <w:rFonts w:cs="Arial"/>
                <w:color w:val="000000"/>
                <w:sz w:val="18"/>
                <w:szCs w:val="18"/>
                <w:lang w:val="bg-BG"/>
              </w:rPr>
            </w:pPr>
            <w:r w:rsidRPr="009072DA">
              <w:rPr>
                <w:lang w:val="bg-BG"/>
              </w:rPr>
              <w:tab/>
            </w:r>
            <w:r w:rsidRPr="009072DA">
              <w:rPr>
                <w:color w:val="000000"/>
                <w:sz w:val="18"/>
                <w:lang w:val="bg-BG"/>
              </w:rPr>
              <w:t>Печат</w:t>
            </w:r>
          </w:p>
          <w:p w:rsidR="00E3172D" w:rsidRPr="009072DA" w:rsidRDefault="00E3172D" w:rsidP="00486A70">
            <w:pPr>
              <w:tabs>
                <w:tab w:val="left" w:pos="4820"/>
                <w:tab w:val="left" w:leader="dot" w:pos="8789"/>
              </w:tabs>
              <w:spacing w:before="120" w:line="240" w:lineRule="atLeast"/>
              <w:ind w:firstLine="1"/>
              <w:rPr>
                <w:rFonts w:cs="Arial"/>
                <w:color w:val="000000"/>
                <w:lang w:val="bg-BG"/>
              </w:rPr>
            </w:pPr>
            <w:r w:rsidRPr="009072DA">
              <w:rPr>
                <w:lang w:val="bg-BG"/>
              </w:rPr>
              <w:tab/>
            </w:r>
            <w:r w:rsidRPr="009072DA">
              <w:rPr>
                <w:lang w:val="bg-BG"/>
              </w:rPr>
              <w:tab/>
            </w:r>
          </w:p>
          <w:p w:rsidR="00E3172D" w:rsidRPr="009072DA" w:rsidRDefault="00E3172D" w:rsidP="00486A70">
            <w:pPr>
              <w:tabs>
                <w:tab w:val="center" w:pos="6804"/>
              </w:tabs>
              <w:ind w:firstLine="1"/>
              <w:rPr>
                <w:rFonts w:cs="Arial"/>
                <w:color w:val="000000"/>
                <w:sz w:val="16"/>
                <w:lang w:val="bg-BG"/>
              </w:rPr>
            </w:pPr>
            <w:r w:rsidRPr="009072DA">
              <w:rPr>
                <w:lang w:val="bg-BG"/>
              </w:rPr>
              <w:tab/>
            </w:r>
            <w:r w:rsidRPr="009072DA">
              <w:rPr>
                <w:color w:val="000000"/>
                <w:sz w:val="16"/>
                <w:lang w:val="bg-BG"/>
              </w:rPr>
              <w:t>(подпис)</w:t>
            </w:r>
          </w:p>
          <w:p w:rsidR="00E3172D" w:rsidRPr="009072DA" w:rsidRDefault="00E3172D" w:rsidP="00486A70">
            <w:pPr>
              <w:ind w:firstLine="1"/>
              <w:rPr>
                <w:rFonts w:cs="Arial"/>
                <w:color w:val="000000"/>
                <w:lang w:val="bg-BG"/>
              </w:rPr>
            </w:pPr>
          </w:p>
          <w:p w:rsidR="00E3172D" w:rsidRPr="009072DA" w:rsidRDefault="00E3172D" w:rsidP="00486A70">
            <w:pPr>
              <w:ind w:firstLine="1"/>
              <w:rPr>
                <w:rFonts w:cs="Arial"/>
                <w:color w:val="000000"/>
                <w:lang w:val="bg-BG"/>
              </w:rPr>
            </w:pPr>
          </w:p>
          <w:p w:rsidR="00E3172D" w:rsidRPr="009072DA" w:rsidRDefault="00E3172D" w:rsidP="00486A70">
            <w:pPr>
              <w:tabs>
                <w:tab w:val="left" w:leader="dot" w:pos="8789"/>
              </w:tabs>
              <w:ind w:left="3261"/>
              <w:rPr>
                <w:rFonts w:cs="Arial"/>
                <w:color w:val="000000"/>
                <w:sz w:val="16"/>
                <w:lang w:val="bg-BG"/>
              </w:rPr>
            </w:pPr>
            <w:r w:rsidRPr="009072DA">
              <w:rPr>
                <w:lang w:val="bg-BG"/>
              </w:rPr>
              <w:tab/>
            </w:r>
          </w:p>
          <w:p w:rsidR="00E3172D" w:rsidRPr="009072DA" w:rsidRDefault="00E3172D" w:rsidP="00486A70">
            <w:pPr>
              <w:ind w:left="4111"/>
              <w:rPr>
                <w:rFonts w:cs="Arial"/>
                <w:color w:val="000000"/>
                <w:sz w:val="16"/>
                <w:lang w:val="bg-BG"/>
              </w:rPr>
            </w:pPr>
            <w:r w:rsidRPr="009072DA">
              <w:rPr>
                <w:color w:val="000000"/>
                <w:sz w:val="16"/>
                <w:lang w:val="bg-BG"/>
              </w:rPr>
              <w:t>Име/адрес на експерта за традиционни плавателни средства</w:t>
            </w:r>
          </w:p>
          <w:p w:rsidR="00E3172D" w:rsidRPr="009072DA" w:rsidRDefault="00E3172D" w:rsidP="00486A70">
            <w:pPr>
              <w:ind w:firstLine="1"/>
              <w:rPr>
                <w:rFonts w:cs="Arial"/>
                <w:color w:val="000000"/>
                <w:lang w:val="bg-BG"/>
              </w:rPr>
            </w:pPr>
          </w:p>
          <w:p w:rsidR="00E3172D" w:rsidRPr="009072DA" w:rsidRDefault="00E3172D" w:rsidP="001077F3">
            <w:pPr>
              <w:rPr>
                <w:rFonts w:cs="Arial"/>
                <w:color w:val="000000"/>
                <w:sz w:val="12"/>
                <w:lang w:val="bg-BG"/>
              </w:rPr>
            </w:pPr>
            <w:r w:rsidRPr="009072DA">
              <w:rPr>
                <w:color w:val="000000"/>
                <w:sz w:val="12"/>
                <w:lang w:val="bg-BG"/>
              </w:rPr>
              <w:t>___________________________________</w:t>
            </w:r>
          </w:p>
          <w:p w:rsidR="00E3172D" w:rsidRPr="009072DA" w:rsidRDefault="00E3172D" w:rsidP="001077F3">
            <w:pPr>
              <w:spacing w:before="40" w:after="40" w:line="240" w:lineRule="atLeast"/>
              <w:ind w:left="284" w:hanging="284"/>
              <w:rPr>
                <w:rFonts w:cs="Arial"/>
                <w:color w:val="000000"/>
                <w:sz w:val="16"/>
                <w:szCs w:val="16"/>
                <w:lang w:val="bg-BG"/>
              </w:rPr>
            </w:pPr>
            <w:r w:rsidRPr="009072DA">
              <w:rPr>
                <w:sz w:val="16"/>
                <w:lang w:val="bg-BG"/>
              </w:rPr>
              <w:t>*)</w:t>
            </w:r>
            <w:r w:rsidRPr="009072DA">
              <w:rPr>
                <w:lang w:val="bg-BG"/>
              </w:rPr>
              <w:tab/>
            </w:r>
            <w:r w:rsidRPr="009072DA">
              <w:rPr>
                <w:color w:val="000000"/>
                <w:sz w:val="16"/>
                <w:lang w:val="bg-BG"/>
              </w:rPr>
              <w:t xml:space="preserve">Ненужното се зачерква. </w:t>
            </w:r>
          </w:p>
        </w:tc>
      </w:tr>
    </w:tbl>
    <w:p w:rsidR="00E3172D" w:rsidRPr="009072DA" w:rsidRDefault="00E3172D" w:rsidP="009C13A9">
      <w:pPr>
        <w:tabs>
          <w:tab w:val="center" w:pos="8222"/>
        </w:tabs>
        <w:rPr>
          <w:lang w:val="bg-BG"/>
        </w:rPr>
      </w:pPr>
    </w:p>
    <w:p w:rsidR="009C13A9" w:rsidRPr="009072DA" w:rsidRDefault="009C13A9" w:rsidP="009C13A9">
      <w:pPr>
        <w:tabs>
          <w:tab w:val="center" w:pos="8222"/>
        </w:tabs>
        <w:rPr>
          <w:lang w:val="bg-BG"/>
        </w:rPr>
      </w:pPr>
    </w:p>
    <w:p w:rsidR="00A50F11" w:rsidRPr="009072DA" w:rsidRDefault="00A50F11" w:rsidP="009C13A9">
      <w:pPr>
        <w:tabs>
          <w:tab w:val="center" w:pos="8222"/>
        </w:tabs>
        <w:rPr>
          <w:lang w:val="bg-BG"/>
        </w:rPr>
      </w:pPr>
      <w:r w:rsidRPr="009072DA">
        <w:rPr>
          <w:lang w:val="bg-BG"/>
        </w:rPr>
        <w:br w:type="page"/>
      </w:r>
    </w:p>
    <w:p w:rsidR="00A50F11" w:rsidRPr="009072DA" w:rsidRDefault="00A50F11" w:rsidP="009C13A9">
      <w:pPr>
        <w:tabs>
          <w:tab w:val="center" w:pos="8222"/>
        </w:tabs>
        <w:rPr>
          <w:lang w:val="bg-BG"/>
        </w:rPr>
      </w:pPr>
    </w:p>
    <w:p w:rsidR="000F600A" w:rsidRPr="009072DA" w:rsidRDefault="000F600A" w:rsidP="000F600A">
      <w:pPr>
        <w:tabs>
          <w:tab w:val="left" w:leader="dot" w:pos="8364"/>
        </w:tabs>
        <w:spacing w:line="240" w:lineRule="atLeast"/>
        <w:jc w:val="center"/>
        <w:rPr>
          <w:b/>
          <w:color w:val="000000"/>
          <w:sz w:val="18"/>
          <w:szCs w:val="18"/>
          <w:lang w:val="bg-BG"/>
        </w:rPr>
      </w:pPr>
      <w:r w:rsidRPr="009072DA">
        <w:rPr>
          <w:b/>
          <w:color w:val="000000"/>
          <w:lang w:val="bg-BG"/>
        </w:rPr>
        <w:t xml:space="preserve">Приложение към удостоверението на плавателния съд за плаване по вътрешни водни пътища № </w:t>
      </w:r>
      <w:r w:rsidRPr="009072DA">
        <w:rPr>
          <w:lang w:val="bg-BG"/>
        </w:rPr>
        <w:tab/>
      </w:r>
    </w:p>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3"/>
        <w:gridCol w:w="4592"/>
      </w:tblGrid>
      <w:tr w:rsidR="000F600A" w:rsidRPr="008D2440" w:rsidTr="001077F3">
        <w:tc>
          <w:tcPr>
            <w:tcW w:w="5063" w:type="dxa"/>
            <w:tcBorders>
              <w:bottom w:val="nil"/>
            </w:tcBorders>
          </w:tcPr>
          <w:p w:rsidR="000F600A" w:rsidRPr="009072DA" w:rsidRDefault="000F600A" w:rsidP="001077F3">
            <w:pPr>
              <w:spacing w:before="80" w:after="60" w:line="240" w:lineRule="atLeast"/>
              <w:ind w:left="284" w:hanging="284"/>
              <w:rPr>
                <w:rFonts w:cs="Arial"/>
                <w:color w:val="000000"/>
                <w:sz w:val="18"/>
                <w:szCs w:val="18"/>
                <w:lang w:val="bg-BG"/>
              </w:rPr>
            </w:pPr>
            <w:r w:rsidRPr="009072DA">
              <w:rPr>
                <w:color w:val="000000"/>
                <w:sz w:val="18"/>
                <w:lang w:val="bg-BG"/>
              </w:rPr>
              <w:t>6.</w:t>
            </w:r>
            <w:r w:rsidRPr="009072DA">
              <w:rPr>
                <w:lang w:val="bg-BG"/>
              </w:rPr>
              <w:tab/>
            </w:r>
            <w:r w:rsidRPr="009072DA">
              <w:rPr>
                <w:color w:val="000000"/>
                <w:sz w:val="18"/>
                <w:lang w:val="bg-BG"/>
              </w:rPr>
              <w:t>Списък на отклоненията в техническото състояние от състоянието на приложимия стандарт за избрания исторически период към момента на признаване:</w:t>
            </w:r>
          </w:p>
        </w:tc>
        <w:tc>
          <w:tcPr>
            <w:tcW w:w="5063" w:type="dxa"/>
            <w:tcBorders>
              <w:bottom w:val="nil"/>
            </w:tcBorders>
          </w:tcPr>
          <w:p w:rsidR="000F600A" w:rsidRPr="009072DA" w:rsidRDefault="000F600A" w:rsidP="001077F3">
            <w:pPr>
              <w:spacing w:before="80" w:after="60" w:line="240" w:lineRule="atLeast"/>
              <w:ind w:left="284" w:hanging="284"/>
              <w:rPr>
                <w:rFonts w:cs="Arial"/>
                <w:color w:val="000000"/>
                <w:sz w:val="18"/>
                <w:szCs w:val="18"/>
                <w:lang w:val="bg-BG"/>
              </w:rPr>
            </w:pPr>
            <w:r w:rsidRPr="009072DA">
              <w:rPr>
                <w:color w:val="000000"/>
                <w:sz w:val="18"/>
                <w:lang w:val="bg-BG"/>
              </w:rPr>
              <w:t>7.</w:t>
            </w:r>
            <w:r w:rsidRPr="009072DA">
              <w:rPr>
                <w:lang w:val="bg-BG"/>
              </w:rPr>
              <w:tab/>
            </w:r>
            <w:r w:rsidRPr="009072DA">
              <w:rPr>
                <w:color w:val="000000"/>
                <w:sz w:val="18"/>
                <w:lang w:val="bg-BG"/>
              </w:rPr>
              <w:t>Допълнителни изисквания, произтичащи от точка  6:</w:t>
            </w:r>
          </w:p>
        </w:tc>
      </w:tr>
      <w:tr w:rsidR="000F600A" w:rsidRPr="008D2440" w:rsidTr="001077F3">
        <w:tc>
          <w:tcPr>
            <w:tcW w:w="5063" w:type="dxa"/>
            <w:tcBorders>
              <w:top w:val="nil"/>
            </w:tcBorders>
          </w:tcPr>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253"/>
              </w:tabs>
              <w:spacing w:line="360" w:lineRule="auto"/>
              <w:ind w:left="284"/>
              <w:rPr>
                <w:rFonts w:cs="Arial"/>
                <w:color w:val="000000"/>
                <w:sz w:val="18"/>
                <w:szCs w:val="18"/>
                <w:lang w:val="bg-BG"/>
              </w:rPr>
            </w:pPr>
            <w:r w:rsidRPr="009072DA">
              <w:rPr>
                <w:lang w:val="bg-BG"/>
              </w:rPr>
              <w:tab/>
            </w:r>
            <w:r w:rsidRPr="009072DA">
              <w:rPr>
                <w:lang w:val="bg-BG"/>
              </w:rPr>
              <w:tab/>
            </w:r>
          </w:p>
        </w:tc>
        <w:tc>
          <w:tcPr>
            <w:tcW w:w="5063" w:type="dxa"/>
            <w:tcBorders>
              <w:top w:val="nil"/>
            </w:tcBorders>
          </w:tcPr>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4196"/>
              </w:tabs>
              <w:spacing w:line="360" w:lineRule="auto"/>
              <w:ind w:left="284"/>
              <w:rPr>
                <w:rFonts w:cs="Arial"/>
                <w:color w:val="000000"/>
                <w:sz w:val="18"/>
                <w:szCs w:val="18"/>
                <w:lang w:val="bg-BG"/>
              </w:rPr>
            </w:pPr>
            <w:r w:rsidRPr="009072DA">
              <w:rPr>
                <w:lang w:val="bg-BG"/>
              </w:rPr>
              <w:tab/>
            </w:r>
            <w:r w:rsidRPr="009072DA">
              <w:rPr>
                <w:lang w:val="bg-BG"/>
              </w:rPr>
              <w:tab/>
            </w:r>
          </w:p>
        </w:tc>
      </w:tr>
      <w:tr w:rsidR="000F600A" w:rsidRPr="009072DA" w:rsidTr="001077F3">
        <w:tc>
          <w:tcPr>
            <w:tcW w:w="10126" w:type="dxa"/>
            <w:gridSpan w:val="2"/>
          </w:tcPr>
          <w:p w:rsidR="000F600A" w:rsidRPr="009072DA" w:rsidRDefault="000F600A" w:rsidP="001077F3">
            <w:pPr>
              <w:spacing w:before="80"/>
              <w:ind w:left="284" w:hanging="284"/>
              <w:rPr>
                <w:rFonts w:cs="Arial"/>
                <w:sz w:val="18"/>
                <w:szCs w:val="18"/>
                <w:lang w:val="bg-BG"/>
              </w:rPr>
            </w:pPr>
            <w:r w:rsidRPr="009072DA">
              <w:rPr>
                <w:sz w:val="18"/>
                <w:lang w:val="bg-BG"/>
              </w:rPr>
              <w:t>8.</w:t>
            </w:r>
            <w:r w:rsidRPr="009072DA">
              <w:rPr>
                <w:lang w:val="bg-BG"/>
              </w:rPr>
              <w:tab/>
            </w:r>
            <w:r w:rsidRPr="009072DA">
              <w:rPr>
                <w:sz w:val="18"/>
                <w:lang w:val="bg-BG"/>
              </w:rPr>
              <w:t>Други условия:</w:t>
            </w:r>
          </w:p>
          <w:p w:rsidR="000F600A" w:rsidRPr="009072DA" w:rsidRDefault="000F600A" w:rsidP="001077F3">
            <w:pPr>
              <w:tabs>
                <w:tab w:val="left" w:leader="dot" w:pos="8789"/>
              </w:tabs>
              <w:spacing w:before="40" w:line="360" w:lineRule="auto"/>
              <w:ind w:left="284"/>
              <w:rPr>
                <w:rFonts w:cs="Arial"/>
                <w:color w:val="000000"/>
                <w:sz w:val="18"/>
                <w:szCs w:val="18"/>
                <w:lang w:val="bg-BG"/>
              </w:rPr>
            </w:pPr>
            <w:r w:rsidRPr="009072DA">
              <w:rPr>
                <w:lang w:val="bg-BG"/>
              </w:rPr>
              <w:tab/>
            </w:r>
            <w:r w:rsidRPr="009072DA">
              <w:rPr>
                <w:lang w:val="bg-BG"/>
              </w:rPr>
              <w:lastRenderedPageBreak/>
              <w:tab/>
            </w:r>
          </w:p>
          <w:p w:rsidR="000F600A" w:rsidRPr="009072DA" w:rsidRDefault="000F600A" w:rsidP="001077F3">
            <w:pPr>
              <w:tabs>
                <w:tab w:val="left" w:leader="dot" w:pos="8789"/>
              </w:tabs>
              <w:spacing w:before="40" w:line="360" w:lineRule="auto"/>
              <w:ind w:left="284"/>
              <w:rPr>
                <w:rFonts w:cs="Arial"/>
                <w:color w:val="000000"/>
                <w:sz w:val="18"/>
                <w:szCs w:val="18"/>
                <w:lang w:val="bg-BG"/>
              </w:rPr>
            </w:pPr>
            <w:r w:rsidRPr="009072DA">
              <w:rPr>
                <w:lang w:val="bg-BG"/>
              </w:rPr>
              <w:tab/>
            </w:r>
            <w:r w:rsidRPr="009072DA">
              <w:rPr>
                <w:lang w:val="bg-BG"/>
              </w:rPr>
              <w:tab/>
            </w:r>
          </w:p>
        </w:tc>
      </w:tr>
      <w:tr w:rsidR="000F600A" w:rsidRPr="009072DA" w:rsidTr="001077F3">
        <w:tc>
          <w:tcPr>
            <w:tcW w:w="10126" w:type="dxa"/>
            <w:gridSpan w:val="2"/>
          </w:tcPr>
          <w:p w:rsidR="000F600A" w:rsidRPr="009072DA" w:rsidRDefault="000F600A" w:rsidP="001077F3">
            <w:pPr>
              <w:spacing w:before="80"/>
              <w:ind w:left="284" w:hanging="284"/>
              <w:rPr>
                <w:rFonts w:cs="Arial"/>
                <w:sz w:val="18"/>
                <w:szCs w:val="18"/>
                <w:lang w:val="bg-BG"/>
              </w:rPr>
            </w:pPr>
            <w:r w:rsidRPr="009072DA">
              <w:rPr>
                <w:sz w:val="18"/>
                <w:lang w:val="bg-BG"/>
              </w:rPr>
              <w:lastRenderedPageBreak/>
              <w:t>9.</w:t>
            </w:r>
            <w:r w:rsidRPr="009072DA">
              <w:rPr>
                <w:lang w:val="bg-BG"/>
              </w:rPr>
              <w:tab/>
            </w:r>
            <w:r w:rsidRPr="009072DA">
              <w:rPr>
                <w:sz w:val="18"/>
                <w:lang w:val="bg-BG"/>
              </w:rPr>
              <w:t>Забележки:</w:t>
            </w:r>
          </w:p>
          <w:p w:rsidR="000F600A" w:rsidRPr="009072DA" w:rsidRDefault="000F600A" w:rsidP="001077F3">
            <w:pPr>
              <w:tabs>
                <w:tab w:val="left" w:leader="dot" w:pos="8789"/>
              </w:tabs>
              <w:spacing w:before="40" w:line="360" w:lineRule="auto"/>
              <w:ind w:left="284"/>
              <w:rPr>
                <w:rFonts w:cs="Arial"/>
                <w:color w:val="000000"/>
                <w:sz w:val="18"/>
                <w:szCs w:val="18"/>
                <w:lang w:val="bg-BG"/>
              </w:rPr>
            </w:pPr>
            <w:r w:rsidRPr="009072DA">
              <w:rPr>
                <w:lang w:val="bg-BG"/>
              </w:rPr>
              <w:tab/>
            </w:r>
            <w:r w:rsidRPr="009072DA">
              <w:rPr>
                <w:lang w:val="bg-BG"/>
              </w:rPr>
              <w:tab/>
            </w:r>
          </w:p>
          <w:p w:rsidR="000F600A" w:rsidRPr="009072DA" w:rsidRDefault="000F600A" w:rsidP="001077F3">
            <w:pPr>
              <w:tabs>
                <w:tab w:val="left" w:leader="dot" w:pos="8789"/>
              </w:tabs>
              <w:spacing w:before="40" w:line="360" w:lineRule="auto"/>
              <w:ind w:left="284"/>
              <w:rPr>
                <w:rFonts w:cs="Arial"/>
                <w:color w:val="000000"/>
                <w:sz w:val="18"/>
                <w:szCs w:val="18"/>
                <w:lang w:val="bg-BG"/>
              </w:rPr>
            </w:pPr>
            <w:r w:rsidRPr="009072DA">
              <w:rPr>
                <w:lang w:val="bg-BG"/>
              </w:rPr>
              <w:tab/>
            </w:r>
            <w:r w:rsidRPr="009072DA">
              <w:rPr>
                <w:lang w:val="bg-BG"/>
              </w:rPr>
              <w:tab/>
            </w:r>
          </w:p>
        </w:tc>
      </w:tr>
      <w:tr w:rsidR="000F600A" w:rsidRPr="009072DA" w:rsidTr="001077F3">
        <w:tc>
          <w:tcPr>
            <w:tcW w:w="10126" w:type="dxa"/>
            <w:gridSpan w:val="2"/>
          </w:tcPr>
          <w:p w:rsidR="000F600A" w:rsidRPr="009072DA" w:rsidRDefault="000F600A" w:rsidP="001077F3">
            <w:pPr>
              <w:spacing w:before="80"/>
              <w:rPr>
                <w:rFonts w:cs="Arial"/>
                <w:color w:val="000000"/>
                <w:sz w:val="18"/>
                <w:szCs w:val="18"/>
                <w:lang w:val="bg-BG"/>
              </w:rPr>
            </w:pPr>
            <w:r w:rsidRPr="009072DA">
              <w:rPr>
                <w:sz w:val="18"/>
                <w:lang w:val="bg-BG"/>
              </w:rPr>
              <w:t>Тази страница е издадена / заменена (*)</w:t>
            </w:r>
          </w:p>
          <w:p w:rsidR="000F600A" w:rsidRPr="009072DA" w:rsidRDefault="000F600A" w:rsidP="001077F3">
            <w:pPr>
              <w:rPr>
                <w:rFonts w:cs="Arial"/>
                <w:color w:val="000000"/>
                <w:sz w:val="18"/>
                <w:szCs w:val="18"/>
                <w:lang w:val="bg-BG"/>
              </w:rPr>
            </w:pPr>
          </w:p>
          <w:p w:rsidR="000F600A" w:rsidRPr="009072DA" w:rsidRDefault="000F600A" w:rsidP="001077F3">
            <w:pPr>
              <w:tabs>
                <w:tab w:val="left" w:leader="dot" w:pos="4536"/>
                <w:tab w:val="center" w:pos="7088"/>
              </w:tabs>
              <w:spacing w:after="80" w:line="240" w:lineRule="atLeast"/>
              <w:rPr>
                <w:color w:val="000000"/>
                <w:sz w:val="18"/>
                <w:szCs w:val="18"/>
                <w:lang w:val="bg-BG"/>
              </w:rPr>
            </w:pPr>
            <w:r w:rsidRPr="009072DA">
              <w:rPr>
                <w:color w:val="000000"/>
                <w:sz w:val="18"/>
                <w:lang w:val="bg-BG"/>
              </w:rPr>
              <w:t xml:space="preserve">Място, дата </w:t>
            </w:r>
            <w:r w:rsidRPr="009072DA">
              <w:rPr>
                <w:lang w:val="bg-BG"/>
              </w:rPr>
              <w:tab/>
            </w:r>
            <w:r w:rsidRPr="009072DA">
              <w:rPr>
                <w:lang w:val="bg-BG"/>
              </w:rPr>
              <w:tab/>
            </w:r>
            <w:r w:rsidRPr="009072DA">
              <w:rPr>
                <w:color w:val="000000"/>
                <w:sz w:val="18"/>
                <w:lang w:val="bg-BG"/>
              </w:rPr>
              <w:t>Контролен орган</w:t>
            </w:r>
          </w:p>
          <w:p w:rsidR="000F600A" w:rsidRPr="009072DA" w:rsidRDefault="000F600A" w:rsidP="001077F3">
            <w:pPr>
              <w:tabs>
                <w:tab w:val="left" w:pos="5387"/>
                <w:tab w:val="left" w:leader="dot" w:pos="8789"/>
              </w:tabs>
              <w:rPr>
                <w:rFonts w:cs="Arial"/>
                <w:color w:val="000000"/>
                <w:sz w:val="18"/>
                <w:szCs w:val="18"/>
                <w:lang w:val="bg-BG"/>
              </w:rPr>
            </w:pPr>
            <w:r w:rsidRPr="009072DA">
              <w:rPr>
                <w:lang w:val="bg-BG"/>
              </w:rPr>
              <w:tab/>
            </w:r>
            <w:r w:rsidRPr="009072DA">
              <w:rPr>
                <w:lang w:val="bg-BG"/>
              </w:rPr>
              <w:tab/>
            </w:r>
          </w:p>
          <w:p w:rsidR="000F600A" w:rsidRPr="009072DA" w:rsidRDefault="000F600A" w:rsidP="001077F3">
            <w:pPr>
              <w:rPr>
                <w:rFonts w:cs="Arial"/>
                <w:color w:val="000000"/>
                <w:sz w:val="18"/>
                <w:szCs w:val="18"/>
                <w:lang w:val="bg-BG"/>
              </w:rPr>
            </w:pPr>
          </w:p>
          <w:p w:rsidR="000F600A" w:rsidRPr="009072DA" w:rsidRDefault="000F600A" w:rsidP="001077F3">
            <w:pPr>
              <w:tabs>
                <w:tab w:val="center" w:pos="1985"/>
              </w:tabs>
              <w:rPr>
                <w:rFonts w:cs="Arial"/>
                <w:color w:val="000000"/>
                <w:sz w:val="18"/>
                <w:szCs w:val="18"/>
                <w:lang w:val="bg-BG"/>
              </w:rPr>
            </w:pPr>
            <w:r w:rsidRPr="009072DA">
              <w:rPr>
                <w:lang w:val="bg-BG"/>
              </w:rPr>
              <w:tab/>
            </w:r>
            <w:r w:rsidRPr="009072DA">
              <w:rPr>
                <w:color w:val="000000"/>
                <w:sz w:val="18"/>
                <w:lang w:val="bg-BG"/>
              </w:rPr>
              <w:t>Печат</w:t>
            </w:r>
          </w:p>
          <w:p w:rsidR="000F600A" w:rsidRPr="009072DA" w:rsidRDefault="000F600A" w:rsidP="001077F3">
            <w:pPr>
              <w:tabs>
                <w:tab w:val="left" w:leader="dot" w:pos="8789"/>
              </w:tabs>
              <w:ind w:left="5387"/>
              <w:rPr>
                <w:rFonts w:cs="Arial"/>
                <w:color w:val="000000"/>
                <w:lang w:val="bg-BG"/>
              </w:rPr>
            </w:pPr>
            <w:r w:rsidRPr="009072DA">
              <w:rPr>
                <w:lang w:val="bg-BG"/>
              </w:rPr>
              <w:tab/>
            </w:r>
            <w:r w:rsidRPr="009072DA">
              <w:rPr>
                <w:lang w:val="bg-BG"/>
              </w:rPr>
              <w:tab/>
            </w:r>
          </w:p>
          <w:p w:rsidR="000F600A" w:rsidRPr="009072DA" w:rsidRDefault="000F600A" w:rsidP="001077F3">
            <w:pPr>
              <w:tabs>
                <w:tab w:val="center" w:pos="7088"/>
              </w:tabs>
              <w:rPr>
                <w:rFonts w:cs="Arial"/>
                <w:color w:val="000000"/>
                <w:sz w:val="16"/>
                <w:lang w:val="bg-BG"/>
              </w:rPr>
            </w:pPr>
            <w:r w:rsidRPr="009072DA">
              <w:rPr>
                <w:lang w:val="bg-BG"/>
              </w:rPr>
              <w:tab/>
            </w:r>
            <w:r w:rsidRPr="009072DA">
              <w:rPr>
                <w:lang w:val="bg-BG"/>
              </w:rPr>
              <w:tab/>
            </w:r>
            <w:r w:rsidRPr="009072DA">
              <w:rPr>
                <w:color w:val="000000"/>
                <w:sz w:val="16"/>
                <w:lang w:val="bg-BG"/>
              </w:rPr>
              <w:t xml:space="preserve"> (Подпис)</w:t>
            </w:r>
          </w:p>
          <w:p w:rsidR="000F600A" w:rsidRPr="009072DA" w:rsidRDefault="000F600A" w:rsidP="001077F3">
            <w:pPr>
              <w:rPr>
                <w:rFonts w:cs="Arial"/>
                <w:color w:val="000000"/>
                <w:lang w:val="bg-BG"/>
              </w:rPr>
            </w:pPr>
          </w:p>
          <w:p w:rsidR="000F600A" w:rsidRPr="009072DA" w:rsidRDefault="000F600A" w:rsidP="001077F3">
            <w:pPr>
              <w:rPr>
                <w:rFonts w:cs="Arial"/>
                <w:color w:val="000000"/>
                <w:sz w:val="12"/>
                <w:lang w:val="bg-BG"/>
              </w:rPr>
            </w:pPr>
            <w:r w:rsidRPr="009072DA">
              <w:rPr>
                <w:color w:val="000000"/>
                <w:sz w:val="12"/>
                <w:lang w:val="bg-BG"/>
              </w:rPr>
              <w:t>___________________________________</w:t>
            </w:r>
          </w:p>
          <w:p w:rsidR="000F600A" w:rsidRPr="009072DA" w:rsidRDefault="000F600A" w:rsidP="001077F3">
            <w:pPr>
              <w:spacing w:before="40" w:after="40" w:line="240" w:lineRule="atLeast"/>
              <w:ind w:left="284" w:hanging="284"/>
              <w:rPr>
                <w:rFonts w:cs="Arial"/>
                <w:color w:val="000000"/>
                <w:sz w:val="18"/>
                <w:szCs w:val="18"/>
                <w:lang w:val="bg-BG"/>
              </w:rPr>
            </w:pPr>
            <w:r w:rsidRPr="009072DA">
              <w:rPr>
                <w:sz w:val="16"/>
                <w:lang w:val="bg-BG"/>
              </w:rPr>
              <w:t>*)</w:t>
            </w:r>
            <w:r w:rsidRPr="009072DA">
              <w:rPr>
                <w:lang w:val="bg-BG"/>
              </w:rPr>
              <w:tab/>
            </w:r>
            <w:r w:rsidRPr="009072DA">
              <w:rPr>
                <w:color w:val="000000"/>
                <w:sz w:val="16"/>
                <w:lang w:val="bg-BG"/>
              </w:rPr>
              <w:t>Ненужното се зачерква</w:t>
            </w:r>
          </w:p>
        </w:tc>
      </w:tr>
      <w:tr w:rsidR="000F600A" w:rsidRPr="009072DA" w:rsidTr="001077F3">
        <w:tc>
          <w:tcPr>
            <w:tcW w:w="10126" w:type="dxa"/>
            <w:gridSpan w:val="2"/>
          </w:tcPr>
          <w:p w:rsidR="000F600A" w:rsidRPr="009072DA" w:rsidRDefault="000F600A" w:rsidP="005F2D46">
            <w:pPr>
              <w:tabs>
                <w:tab w:val="left" w:pos="5670"/>
                <w:tab w:val="left" w:leader="dot" w:pos="8789"/>
              </w:tabs>
              <w:spacing w:before="120" w:after="40"/>
              <w:ind w:left="5670"/>
              <w:rPr>
                <w:rFonts w:cs="Arial"/>
                <w:color w:val="000000"/>
                <w:sz w:val="18"/>
                <w:szCs w:val="18"/>
                <w:lang w:val="bg-BG"/>
              </w:rPr>
            </w:pPr>
            <w:r w:rsidRPr="009072DA">
              <w:rPr>
                <w:color w:val="000000"/>
                <w:sz w:val="18"/>
                <w:lang w:val="bg-BG"/>
              </w:rPr>
              <w:t>Продължава на страница</w:t>
            </w:r>
            <w:r w:rsidRPr="009072DA">
              <w:rPr>
                <w:sz w:val="16"/>
                <w:lang w:val="bg-BG"/>
              </w:rPr>
              <w:t xml:space="preserve">*) </w:t>
            </w:r>
            <w:r w:rsidRPr="009072DA">
              <w:rPr>
                <w:lang w:val="bg-BG"/>
              </w:rPr>
              <w:tab/>
            </w:r>
            <w:r w:rsidRPr="009072DA">
              <w:rPr>
                <w:color w:val="000000"/>
                <w:sz w:val="18"/>
                <w:szCs w:val="18"/>
                <w:lang w:val="bg-BG"/>
              </w:rPr>
              <w:br/>
            </w:r>
            <w:r w:rsidRPr="009072DA">
              <w:rPr>
                <w:color w:val="000000"/>
                <w:sz w:val="18"/>
                <w:lang w:val="bg-BG"/>
              </w:rPr>
              <w:t>Край на приложението на традиционния плавателен съд</w:t>
            </w:r>
            <w:r w:rsidRPr="009072DA">
              <w:rPr>
                <w:sz w:val="16"/>
                <w:lang w:val="bg-BG"/>
              </w:rPr>
              <w:t>*)</w:t>
            </w:r>
          </w:p>
        </w:tc>
      </w:tr>
    </w:tbl>
    <w:p w:rsidR="000F600A" w:rsidRPr="009072DA" w:rsidRDefault="000F600A" w:rsidP="000F600A">
      <w:pPr>
        <w:jc w:val="right"/>
        <w:outlineLvl w:val="0"/>
        <w:rPr>
          <w:lang w:val="bg-BG"/>
        </w:rPr>
      </w:pPr>
      <w:r w:rsidRPr="009072DA">
        <w:rPr>
          <w:lang w:val="bg-BG"/>
        </w:rPr>
        <w:t> “</w:t>
      </w:r>
    </w:p>
    <w:p w:rsidR="000F600A" w:rsidRPr="009072DA" w:rsidRDefault="000F600A" w:rsidP="000F600A">
      <w:pPr>
        <w:spacing w:line="240" w:lineRule="atLeast"/>
        <w:ind w:left="851"/>
        <w:rPr>
          <w:rFonts w:cs="Arial"/>
          <w:bCs/>
          <w:i/>
          <w:lang w:val="bg-BG"/>
        </w:rPr>
      </w:pPr>
    </w:p>
    <w:p w:rsidR="000F600A" w:rsidRPr="009072DA" w:rsidRDefault="000F600A" w:rsidP="000F600A">
      <w:pPr>
        <w:rPr>
          <w:rFonts w:cs="Arial"/>
          <w:szCs w:val="20"/>
          <w:lang w:val="bg-BG"/>
        </w:rPr>
      </w:pPr>
      <w:r w:rsidRPr="009072DA">
        <w:rPr>
          <w:lang w:val="bg-BG"/>
        </w:rPr>
        <w:br w:type="page"/>
      </w:r>
    </w:p>
    <w:p w:rsidR="001077F3" w:rsidRPr="009072DA" w:rsidRDefault="001077F3" w:rsidP="0091173E">
      <w:pPr>
        <w:pStyle w:val="ESch"/>
        <w:rPr>
          <w:lang w:val="bg-BG"/>
        </w:rPr>
      </w:pPr>
    </w:p>
    <w:p w:rsidR="00A50F11" w:rsidRPr="009072DA" w:rsidRDefault="00A50F11" w:rsidP="00A50F11">
      <w:pPr>
        <w:pStyle w:val="ES-Titre3"/>
        <w:rPr>
          <w:lang w:val="bg-BG"/>
        </w:rPr>
      </w:pPr>
      <w:bookmarkStart w:id="625" w:name="_Toc491854305"/>
      <w:bookmarkStart w:id="626" w:name="_Toc535827746"/>
      <w:r w:rsidRPr="009072DA">
        <w:rPr>
          <w:lang w:val="bg-BG"/>
        </w:rPr>
        <w:t>Раздел VI</w:t>
      </w:r>
      <w:bookmarkEnd w:id="625"/>
      <w:bookmarkEnd w:id="626"/>
    </w:p>
    <w:p w:rsidR="00A50F11" w:rsidRPr="009072DA" w:rsidRDefault="00A50F11" w:rsidP="00A50F11">
      <w:pPr>
        <w:pStyle w:val="ES-Titre3a"/>
        <w:rPr>
          <w:lang w:val="bg-BG"/>
        </w:rPr>
      </w:pPr>
      <w:bookmarkStart w:id="627" w:name="_Toc491854306"/>
      <w:bookmarkStart w:id="628" w:name="_Toc535827747"/>
      <w:r w:rsidRPr="009072DA">
        <w:rPr>
          <w:lang w:val="bg-BG"/>
        </w:rPr>
        <w:t>Образец на регистър на удостоверенията на плавателни съдове за плаване по вътрешни водни пътища</w:t>
      </w:r>
      <w:bookmarkEnd w:id="627"/>
      <w:bookmarkEnd w:id="628"/>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jc w:val="center"/>
        <w:textAlignment w:val="baseline"/>
        <w:rPr>
          <w:rFonts w:cs="Arial"/>
          <w:szCs w:val="20"/>
          <w:lang w:val="bg-BG"/>
        </w:rPr>
      </w:pPr>
      <w:r w:rsidRPr="009072DA">
        <w:rPr>
          <w:b/>
          <w:sz w:val="24"/>
          <w:lang w:val="bg-BG"/>
        </w:rPr>
        <w:t>Регистър на удостоверенията на плавателни съдове за плаване по вътрешни водни пътища</w:t>
      </w: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tabs>
          <w:tab w:val="left" w:leader="dot" w:pos="5670"/>
        </w:tabs>
        <w:overflowPunct w:val="0"/>
        <w:adjustRightInd w:val="0"/>
        <w:jc w:val="center"/>
        <w:textAlignment w:val="baseline"/>
        <w:rPr>
          <w:rFonts w:cs="Arial"/>
          <w:szCs w:val="20"/>
          <w:lang w:val="bg-BG"/>
        </w:rPr>
      </w:pPr>
      <w:r w:rsidRPr="009072DA">
        <w:rPr>
          <w:lang w:val="bg-BG"/>
        </w:rPr>
        <w:t>Компетентен орган/контролен орган</w:t>
      </w:r>
      <w:r w:rsidRPr="009072DA">
        <w:rPr>
          <w:lang w:val="bg-BG"/>
        </w:rPr>
        <w:tab/>
      </w:r>
    </w:p>
    <w:p w:rsidR="00A50F11" w:rsidRPr="009072DA" w:rsidRDefault="00A50F11" w:rsidP="00A50F11">
      <w:pPr>
        <w:tabs>
          <w:tab w:val="left" w:leader="dot" w:pos="5670"/>
        </w:tabs>
        <w:overflowPunct w:val="0"/>
        <w:adjustRightInd w:val="0"/>
        <w:jc w:val="center"/>
        <w:textAlignment w:val="baseline"/>
        <w:rPr>
          <w:rFonts w:cs="Arial"/>
          <w:szCs w:val="20"/>
          <w:lang w:val="bg-BG"/>
        </w:rPr>
      </w:pPr>
    </w:p>
    <w:p w:rsidR="00A50F11" w:rsidRPr="009072DA" w:rsidRDefault="00A50F11" w:rsidP="00A50F11">
      <w:pPr>
        <w:tabs>
          <w:tab w:val="left" w:leader="dot" w:pos="5670"/>
        </w:tabs>
        <w:overflowPunct w:val="0"/>
        <w:adjustRightInd w:val="0"/>
        <w:jc w:val="center"/>
        <w:textAlignment w:val="baseline"/>
        <w:rPr>
          <w:rFonts w:cs="Arial"/>
          <w:szCs w:val="20"/>
          <w:lang w:val="bg-BG"/>
        </w:rPr>
      </w:pPr>
    </w:p>
    <w:p w:rsidR="00A50F11" w:rsidRPr="009072DA" w:rsidRDefault="00A50F11" w:rsidP="00A50F11">
      <w:pPr>
        <w:tabs>
          <w:tab w:val="left" w:leader="dot" w:pos="5670"/>
        </w:tabs>
        <w:overflowPunct w:val="0"/>
        <w:adjustRightInd w:val="0"/>
        <w:jc w:val="center"/>
        <w:textAlignment w:val="baseline"/>
        <w:rPr>
          <w:rFonts w:cs="Arial"/>
          <w:szCs w:val="20"/>
          <w:lang w:val="bg-BG"/>
        </w:rPr>
      </w:pPr>
    </w:p>
    <w:p w:rsidR="00A50F11" w:rsidRPr="009072DA" w:rsidRDefault="00A50F11" w:rsidP="00A50F11">
      <w:pPr>
        <w:tabs>
          <w:tab w:val="left" w:leader="dot" w:pos="5670"/>
        </w:tabs>
        <w:overflowPunct w:val="0"/>
        <w:adjustRightInd w:val="0"/>
        <w:jc w:val="center"/>
        <w:textAlignment w:val="baseline"/>
        <w:rPr>
          <w:rFonts w:cs="Arial"/>
          <w:szCs w:val="20"/>
          <w:lang w:val="bg-BG"/>
        </w:rPr>
      </w:pPr>
      <w:r w:rsidRPr="009072DA">
        <w:rPr>
          <w:lang w:val="bg-BG"/>
        </w:rPr>
        <w:t>Регистър на удостоверенията</w:t>
      </w:r>
    </w:p>
    <w:p w:rsidR="00A50F11" w:rsidRPr="009072DA" w:rsidRDefault="00A50F11" w:rsidP="00A50F11">
      <w:pPr>
        <w:tabs>
          <w:tab w:val="left" w:leader="dot" w:pos="5670"/>
        </w:tabs>
        <w:overflowPunct w:val="0"/>
        <w:adjustRightInd w:val="0"/>
        <w:jc w:val="center"/>
        <w:textAlignment w:val="baseline"/>
        <w:rPr>
          <w:rFonts w:cs="Arial"/>
          <w:szCs w:val="20"/>
          <w:lang w:val="bg-BG"/>
        </w:rPr>
      </w:pPr>
    </w:p>
    <w:p w:rsidR="00A50F11" w:rsidRPr="009072DA" w:rsidRDefault="00A50F11" w:rsidP="00A50F11">
      <w:pPr>
        <w:tabs>
          <w:tab w:val="left" w:leader="dot" w:pos="5670"/>
        </w:tabs>
        <w:overflowPunct w:val="0"/>
        <w:adjustRightInd w:val="0"/>
        <w:jc w:val="center"/>
        <w:textAlignment w:val="baseline"/>
        <w:rPr>
          <w:rFonts w:cs="Arial"/>
          <w:szCs w:val="20"/>
          <w:lang w:val="bg-BG"/>
        </w:rPr>
      </w:pPr>
    </w:p>
    <w:p w:rsidR="00A50F11" w:rsidRPr="009072DA" w:rsidRDefault="00A50F11" w:rsidP="00A50F11">
      <w:pPr>
        <w:tabs>
          <w:tab w:val="left" w:leader="dot" w:pos="5670"/>
        </w:tabs>
        <w:overflowPunct w:val="0"/>
        <w:adjustRightInd w:val="0"/>
        <w:jc w:val="center"/>
        <w:textAlignment w:val="baseline"/>
        <w:rPr>
          <w:rFonts w:cs="Arial"/>
          <w:szCs w:val="20"/>
          <w:lang w:val="bg-BG"/>
        </w:rPr>
      </w:pPr>
    </w:p>
    <w:p w:rsidR="00A50F11" w:rsidRPr="009072DA" w:rsidRDefault="00A50F11" w:rsidP="00A50F11">
      <w:pPr>
        <w:tabs>
          <w:tab w:val="left" w:leader="dot" w:pos="1701"/>
        </w:tabs>
        <w:overflowPunct w:val="0"/>
        <w:adjustRightInd w:val="0"/>
        <w:jc w:val="center"/>
        <w:textAlignment w:val="baseline"/>
        <w:rPr>
          <w:rFonts w:cs="Arial"/>
          <w:szCs w:val="20"/>
          <w:lang w:val="bg-BG"/>
        </w:rPr>
      </w:pPr>
      <w:r w:rsidRPr="009072DA">
        <w:rPr>
          <w:lang w:val="bg-BG"/>
        </w:rPr>
        <w:t xml:space="preserve">Година </w:t>
      </w:r>
      <w:r w:rsidRPr="009072DA">
        <w:rPr>
          <w:lang w:val="bg-BG"/>
        </w:rPr>
        <w:tab/>
      </w:r>
    </w:p>
    <w:p w:rsidR="00A50F11" w:rsidRPr="009072DA" w:rsidRDefault="00A50F11" w:rsidP="00A50F11">
      <w:pPr>
        <w:overflowPunct w:val="0"/>
        <w:adjustRightInd w:val="0"/>
        <w:spacing w:line="240" w:lineRule="atLeast"/>
        <w:jc w:val="center"/>
        <w:textAlignment w:val="baseline"/>
        <w:rPr>
          <w:rFonts w:eastAsia="Calibri"/>
          <w:b/>
          <w:i/>
          <w:caps/>
          <w:sz w:val="24"/>
          <w:lang w:val="bg-BG"/>
        </w:rPr>
      </w:pPr>
    </w:p>
    <w:p w:rsidR="00A50F11" w:rsidRPr="009072DA" w:rsidRDefault="00A50F11" w:rsidP="00A50F11">
      <w:pPr>
        <w:tabs>
          <w:tab w:val="center" w:pos="8647"/>
        </w:tabs>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A50F11">
      <w:pPr>
        <w:overflowPunct w:val="0"/>
        <w:adjustRightInd w:val="0"/>
        <w:textAlignment w:val="baseline"/>
        <w:rPr>
          <w:rFonts w:cs="Arial"/>
          <w:szCs w:val="20"/>
          <w:lang w:val="bg-BG"/>
        </w:rPr>
      </w:pPr>
    </w:p>
    <w:p w:rsidR="00A50F11" w:rsidRPr="009072DA" w:rsidRDefault="00A50F11" w:rsidP="00C92875">
      <w:pPr>
        <w:tabs>
          <w:tab w:val="left" w:leader="dot" w:pos="1701"/>
        </w:tabs>
        <w:overflowPunct w:val="0"/>
        <w:adjustRightInd w:val="0"/>
        <w:textAlignment w:val="baseline"/>
        <w:rPr>
          <w:rFonts w:cs="Arial"/>
          <w:b/>
          <w:szCs w:val="20"/>
          <w:lang w:val="bg-BG"/>
        </w:rPr>
      </w:pPr>
    </w:p>
    <w:p w:rsidR="00A50F11" w:rsidRPr="009072DA" w:rsidRDefault="00A50F11" w:rsidP="00A50F11">
      <w:pPr>
        <w:tabs>
          <w:tab w:val="left" w:leader="dot" w:pos="1701"/>
        </w:tabs>
        <w:overflowPunct w:val="0"/>
        <w:adjustRightInd w:val="0"/>
        <w:textAlignment w:val="baseline"/>
        <w:rPr>
          <w:rFonts w:cs="Arial"/>
          <w:b/>
          <w:szCs w:val="20"/>
          <w:lang w:val="bg-BG"/>
        </w:rPr>
      </w:pPr>
    </w:p>
    <w:p w:rsidR="00A50F11" w:rsidRPr="009072DA" w:rsidRDefault="00A50F11" w:rsidP="00A50F11">
      <w:pPr>
        <w:rPr>
          <w:rFonts w:cs="Arial"/>
          <w:b/>
          <w:szCs w:val="20"/>
          <w:lang w:val="bg-BG"/>
        </w:rPr>
      </w:pPr>
    </w:p>
    <w:p w:rsidR="00A50F11" w:rsidRPr="009072DA" w:rsidRDefault="00A50F11" w:rsidP="00A50F11">
      <w:pPr>
        <w:tabs>
          <w:tab w:val="left" w:pos="3930"/>
        </w:tabs>
        <w:rPr>
          <w:rFonts w:cs="Arial"/>
          <w:b/>
          <w:szCs w:val="20"/>
          <w:lang w:val="bg-BG"/>
        </w:rPr>
      </w:pPr>
    </w:p>
    <w:p w:rsidR="00A50F11" w:rsidRPr="009072DA" w:rsidRDefault="00A50F11" w:rsidP="00A50F11">
      <w:pPr>
        <w:rPr>
          <w:rFonts w:cs="Arial"/>
          <w:b/>
          <w:szCs w:val="20"/>
          <w:lang w:val="bg-BG"/>
        </w:rPr>
      </w:pPr>
    </w:p>
    <w:p w:rsidR="00A50F11" w:rsidRPr="009072DA" w:rsidRDefault="00A50F11" w:rsidP="00A50F11">
      <w:pPr>
        <w:rPr>
          <w:rFonts w:cs="Arial"/>
          <w:b/>
          <w:szCs w:val="20"/>
          <w:lang w:val="bg-BG"/>
        </w:rPr>
        <w:sectPr w:rsidR="00A50F11" w:rsidRPr="009072DA" w:rsidSect="0042206B">
          <w:headerReference w:type="default" r:id="rId49"/>
          <w:footerReference w:type="default" r:id="rId50"/>
          <w:footnotePr>
            <w:numRestart w:val="eachPage"/>
          </w:footnotePr>
          <w:type w:val="continuous"/>
          <w:pgSz w:w="11907" w:h="16840"/>
          <w:pgMar w:top="1418" w:right="1418" w:bottom="1418" w:left="1418" w:header="720" w:footer="720" w:gutter="0"/>
          <w:cols w:space="720"/>
          <w:docGrid w:linePitch="272"/>
        </w:sectPr>
      </w:pPr>
    </w:p>
    <w:p w:rsidR="00A50F11" w:rsidRPr="009072DA" w:rsidRDefault="00A50F11" w:rsidP="00A50F11">
      <w:pPr>
        <w:tabs>
          <w:tab w:val="left" w:leader="dot" w:pos="1701"/>
        </w:tabs>
        <w:overflowPunct w:val="0"/>
        <w:adjustRightInd w:val="0"/>
        <w:spacing w:before="60" w:after="60"/>
        <w:jc w:val="center"/>
        <w:textAlignment w:val="baseline"/>
        <w:rPr>
          <w:rFonts w:cs="Arial"/>
          <w:szCs w:val="20"/>
          <w:lang w:val="bg-BG"/>
        </w:rPr>
      </w:pPr>
      <w:r w:rsidRPr="009072DA">
        <w:rPr>
          <w:lang w:val="bg-BG"/>
        </w:rPr>
        <w:lastRenderedPageBreak/>
        <w:t>(Лява страница)</w:t>
      </w:r>
    </w:p>
    <w:tbl>
      <w:tblPr>
        <w:tblW w:w="14178"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831"/>
        <w:gridCol w:w="831"/>
        <w:gridCol w:w="833"/>
        <w:gridCol w:w="1985"/>
        <w:gridCol w:w="1985"/>
        <w:gridCol w:w="1474"/>
        <w:gridCol w:w="2212"/>
        <w:gridCol w:w="1190"/>
        <w:gridCol w:w="1193"/>
        <w:gridCol w:w="1644"/>
      </w:tblGrid>
      <w:tr w:rsidR="00A50F11" w:rsidRPr="009072DA" w:rsidTr="00FC0393">
        <w:tc>
          <w:tcPr>
            <w:tcW w:w="2495" w:type="dxa"/>
            <w:gridSpan w:val="3"/>
            <w:vAlign w:val="center"/>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Удостоверения на плавателни съдове за плаване по вътрешни водни пътища</w:t>
            </w:r>
          </w:p>
        </w:tc>
        <w:tc>
          <w:tcPr>
            <w:tcW w:w="1985" w:type="dxa"/>
            <w:tcBorders>
              <w:bottom w:val="nil"/>
            </w:tcBorders>
            <w:vAlign w:val="center"/>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Име на плавателния съд</w:t>
            </w:r>
          </w:p>
        </w:tc>
        <w:tc>
          <w:tcPr>
            <w:tcW w:w="1985" w:type="dxa"/>
            <w:tcBorders>
              <w:bottom w:val="nil"/>
            </w:tcBorders>
            <w:vAlign w:val="center"/>
          </w:tcPr>
          <w:p w:rsidR="00A50F11" w:rsidRPr="009072DA" w:rsidRDefault="00A50F11" w:rsidP="006D37CC">
            <w:pPr>
              <w:tabs>
                <w:tab w:val="left" w:leader="dot" w:pos="1701"/>
              </w:tabs>
              <w:overflowPunct w:val="0"/>
              <w:adjustRightInd w:val="0"/>
              <w:spacing w:before="40"/>
              <w:jc w:val="center"/>
              <w:textAlignment w:val="baseline"/>
              <w:rPr>
                <w:rFonts w:cs="Arial"/>
                <w:sz w:val="18"/>
                <w:szCs w:val="18"/>
                <w:lang w:val="bg-BG"/>
              </w:rPr>
            </w:pPr>
            <w:r w:rsidRPr="009072DA">
              <w:rPr>
                <w:sz w:val="18"/>
                <w:lang w:val="bg-BG"/>
              </w:rPr>
              <w:t xml:space="preserve">Уникален европейски идентификационен номер на плавателен съд </w:t>
            </w:r>
          </w:p>
        </w:tc>
        <w:tc>
          <w:tcPr>
            <w:tcW w:w="3686" w:type="dxa"/>
            <w:gridSpan w:val="2"/>
            <w:vAlign w:val="center"/>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Собственик</w:t>
            </w:r>
          </w:p>
        </w:tc>
        <w:tc>
          <w:tcPr>
            <w:tcW w:w="2383" w:type="dxa"/>
            <w:gridSpan w:val="2"/>
            <w:vAlign w:val="center"/>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Регистър на плавателния съд</w:t>
            </w:r>
          </w:p>
        </w:tc>
        <w:tc>
          <w:tcPr>
            <w:tcW w:w="1644" w:type="dxa"/>
            <w:tcBorders>
              <w:bottom w:val="nil"/>
            </w:tcBorders>
            <w:vAlign w:val="center"/>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Вид на плавателния съд</w:t>
            </w:r>
          </w:p>
        </w:tc>
      </w:tr>
      <w:tr w:rsidR="00A50F11" w:rsidRPr="009072DA" w:rsidTr="00FC0393">
        <w:tc>
          <w:tcPr>
            <w:tcW w:w="831" w:type="dxa"/>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w:t>
            </w:r>
          </w:p>
        </w:tc>
        <w:tc>
          <w:tcPr>
            <w:tcW w:w="831" w:type="dxa"/>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Ден</w:t>
            </w:r>
          </w:p>
        </w:tc>
        <w:tc>
          <w:tcPr>
            <w:tcW w:w="833" w:type="dxa"/>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Месец</w:t>
            </w:r>
          </w:p>
        </w:tc>
        <w:tc>
          <w:tcPr>
            <w:tcW w:w="1985" w:type="dxa"/>
            <w:tcBorders>
              <w:top w:val="nil"/>
            </w:tcBorders>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p>
        </w:tc>
        <w:tc>
          <w:tcPr>
            <w:tcW w:w="1985" w:type="dxa"/>
            <w:tcBorders>
              <w:top w:val="nil"/>
            </w:tcBorders>
          </w:tcPr>
          <w:p w:rsidR="00A50F11" w:rsidRPr="009072DA" w:rsidRDefault="006D37CC" w:rsidP="00FC0393">
            <w:pPr>
              <w:tabs>
                <w:tab w:val="left" w:leader="dot" w:pos="1701"/>
              </w:tabs>
              <w:overflowPunct w:val="0"/>
              <w:adjustRightInd w:val="0"/>
              <w:spacing w:after="40"/>
              <w:jc w:val="center"/>
              <w:textAlignment w:val="baseline"/>
              <w:rPr>
                <w:rFonts w:cs="Arial"/>
                <w:sz w:val="18"/>
                <w:szCs w:val="20"/>
                <w:lang w:val="bg-BG"/>
              </w:rPr>
            </w:pPr>
            <w:r w:rsidRPr="009072DA">
              <w:rPr>
                <w:sz w:val="18"/>
                <w:lang w:val="bg-BG"/>
              </w:rPr>
              <w:t>номер</w:t>
            </w:r>
          </w:p>
        </w:tc>
        <w:tc>
          <w:tcPr>
            <w:tcW w:w="1474" w:type="dxa"/>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Име</w:t>
            </w:r>
          </w:p>
        </w:tc>
        <w:tc>
          <w:tcPr>
            <w:tcW w:w="2212" w:type="dxa"/>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Адрес</w:t>
            </w:r>
          </w:p>
        </w:tc>
        <w:tc>
          <w:tcPr>
            <w:tcW w:w="1190" w:type="dxa"/>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Място</w:t>
            </w:r>
          </w:p>
        </w:tc>
        <w:tc>
          <w:tcPr>
            <w:tcW w:w="1193" w:type="dxa"/>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w:t>
            </w:r>
          </w:p>
        </w:tc>
        <w:tc>
          <w:tcPr>
            <w:tcW w:w="1644" w:type="dxa"/>
            <w:tcBorders>
              <w:top w:val="nil"/>
            </w:tcBorders>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p>
        </w:tc>
      </w:tr>
      <w:tr w:rsidR="00A50F11" w:rsidRPr="009072DA" w:rsidTr="00FC0393">
        <w:tc>
          <w:tcPr>
            <w:tcW w:w="831" w:type="dxa"/>
          </w:tcPr>
          <w:p w:rsidR="00A50F11" w:rsidRPr="009072DA" w:rsidRDefault="00A50F11" w:rsidP="00FC0393">
            <w:pPr>
              <w:tabs>
                <w:tab w:val="left" w:leader="dot" w:pos="1701"/>
              </w:tabs>
              <w:overflowPunct w:val="0"/>
              <w:adjustRightInd w:val="0"/>
              <w:jc w:val="center"/>
              <w:textAlignment w:val="baseline"/>
              <w:rPr>
                <w:rFonts w:cs="Arial"/>
                <w:sz w:val="18"/>
                <w:szCs w:val="20"/>
                <w:lang w:val="bg-BG"/>
              </w:rPr>
            </w:pP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lastRenderedPageBreak/>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p>
        </w:tc>
        <w:tc>
          <w:tcPr>
            <w:tcW w:w="831" w:type="dxa"/>
          </w:tcPr>
          <w:p w:rsidR="00A50F11" w:rsidRPr="009072DA" w:rsidRDefault="00A50F11" w:rsidP="00FC0393">
            <w:pPr>
              <w:tabs>
                <w:tab w:val="left" w:leader="dot" w:pos="1701"/>
              </w:tabs>
              <w:overflowPunct w:val="0"/>
              <w:adjustRightInd w:val="0"/>
              <w:jc w:val="center"/>
              <w:textAlignment w:val="baseline"/>
              <w:rPr>
                <w:rFonts w:cs="Arial"/>
                <w:sz w:val="18"/>
                <w:szCs w:val="20"/>
                <w:lang w:val="bg-BG"/>
              </w:rPr>
            </w:pPr>
          </w:p>
        </w:tc>
        <w:tc>
          <w:tcPr>
            <w:tcW w:w="833" w:type="dxa"/>
          </w:tcPr>
          <w:p w:rsidR="00A50F11" w:rsidRPr="009072DA" w:rsidRDefault="00A50F11" w:rsidP="00FC0393">
            <w:pPr>
              <w:tabs>
                <w:tab w:val="left" w:leader="dot" w:pos="1701"/>
              </w:tabs>
              <w:overflowPunct w:val="0"/>
              <w:adjustRightInd w:val="0"/>
              <w:jc w:val="center"/>
              <w:textAlignment w:val="baseline"/>
              <w:rPr>
                <w:rFonts w:cs="Arial"/>
                <w:sz w:val="18"/>
                <w:szCs w:val="20"/>
                <w:lang w:val="bg-BG"/>
              </w:rPr>
            </w:pPr>
          </w:p>
        </w:tc>
        <w:tc>
          <w:tcPr>
            <w:tcW w:w="1985" w:type="dxa"/>
          </w:tcPr>
          <w:p w:rsidR="00A50F11" w:rsidRPr="009072DA" w:rsidRDefault="00A50F11" w:rsidP="00FC0393">
            <w:pPr>
              <w:tabs>
                <w:tab w:val="left" w:leader="dot" w:pos="1701"/>
              </w:tabs>
              <w:overflowPunct w:val="0"/>
              <w:adjustRightInd w:val="0"/>
              <w:jc w:val="center"/>
              <w:textAlignment w:val="baseline"/>
              <w:rPr>
                <w:rFonts w:cs="Arial"/>
                <w:sz w:val="18"/>
                <w:szCs w:val="20"/>
                <w:lang w:val="bg-BG"/>
              </w:rPr>
            </w:pPr>
          </w:p>
        </w:tc>
        <w:tc>
          <w:tcPr>
            <w:tcW w:w="1985" w:type="dxa"/>
          </w:tcPr>
          <w:p w:rsidR="00A50F11" w:rsidRPr="009072DA" w:rsidRDefault="00A50F11" w:rsidP="00FC0393">
            <w:pPr>
              <w:tabs>
                <w:tab w:val="left" w:leader="dot" w:pos="1701"/>
              </w:tabs>
              <w:overflowPunct w:val="0"/>
              <w:adjustRightInd w:val="0"/>
              <w:jc w:val="center"/>
              <w:textAlignment w:val="baseline"/>
              <w:rPr>
                <w:rFonts w:cs="Arial"/>
                <w:sz w:val="18"/>
                <w:szCs w:val="20"/>
                <w:lang w:val="bg-BG"/>
              </w:rPr>
            </w:pPr>
          </w:p>
        </w:tc>
        <w:tc>
          <w:tcPr>
            <w:tcW w:w="1474" w:type="dxa"/>
          </w:tcPr>
          <w:p w:rsidR="00A50F11" w:rsidRPr="009072DA" w:rsidRDefault="00A50F11" w:rsidP="00FC0393">
            <w:pPr>
              <w:tabs>
                <w:tab w:val="left" w:leader="dot" w:pos="1701"/>
              </w:tabs>
              <w:overflowPunct w:val="0"/>
              <w:adjustRightInd w:val="0"/>
              <w:jc w:val="center"/>
              <w:textAlignment w:val="baseline"/>
              <w:rPr>
                <w:rFonts w:cs="Arial"/>
                <w:sz w:val="18"/>
                <w:szCs w:val="20"/>
                <w:lang w:val="bg-BG"/>
              </w:rPr>
            </w:pPr>
          </w:p>
        </w:tc>
        <w:tc>
          <w:tcPr>
            <w:tcW w:w="2212" w:type="dxa"/>
          </w:tcPr>
          <w:p w:rsidR="00A50F11" w:rsidRPr="009072DA" w:rsidRDefault="00A50F11" w:rsidP="00FC0393">
            <w:pPr>
              <w:tabs>
                <w:tab w:val="left" w:leader="dot" w:pos="1701"/>
              </w:tabs>
              <w:overflowPunct w:val="0"/>
              <w:adjustRightInd w:val="0"/>
              <w:jc w:val="center"/>
              <w:textAlignment w:val="baseline"/>
              <w:rPr>
                <w:rFonts w:cs="Arial"/>
                <w:sz w:val="18"/>
                <w:szCs w:val="20"/>
                <w:lang w:val="bg-BG"/>
              </w:rPr>
            </w:pPr>
          </w:p>
        </w:tc>
        <w:tc>
          <w:tcPr>
            <w:tcW w:w="1190" w:type="dxa"/>
          </w:tcPr>
          <w:p w:rsidR="00A50F11" w:rsidRPr="009072DA" w:rsidRDefault="00A50F11" w:rsidP="00FC0393">
            <w:pPr>
              <w:tabs>
                <w:tab w:val="left" w:leader="dot" w:pos="1701"/>
              </w:tabs>
              <w:overflowPunct w:val="0"/>
              <w:adjustRightInd w:val="0"/>
              <w:jc w:val="center"/>
              <w:textAlignment w:val="baseline"/>
              <w:rPr>
                <w:rFonts w:cs="Arial"/>
                <w:sz w:val="18"/>
                <w:szCs w:val="20"/>
                <w:lang w:val="bg-BG"/>
              </w:rPr>
            </w:pPr>
          </w:p>
        </w:tc>
        <w:tc>
          <w:tcPr>
            <w:tcW w:w="1193" w:type="dxa"/>
          </w:tcPr>
          <w:p w:rsidR="00A50F11" w:rsidRPr="009072DA" w:rsidRDefault="00A50F11" w:rsidP="00FC0393">
            <w:pPr>
              <w:tabs>
                <w:tab w:val="left" w:leader="dot" w:pos="1701"/>
              </w:tabs>
              <w:overflowPunct w:val="0"/>
              <w:adjustRightInd w:val="0"/>
              <w:jc w:val="center"/>
              <w:textAlignment w:val="baseline"/>
              <w:rPr>
                <w:rFonts w:cs="Arial"/>
                <w:sz w:val="18"/>
                <w:szCs w:val="20"/>
                <w:lang w:val="bg-BG"/>
              </w:rPr>
            </w:pPr>
          </w:p>
        </w:tc>
        <w:tc>
          <w:tcPr>
            <w:tcW w:w="1644" w:type="dxa"/>
          </w:tcPr>
          <w:p w:rsidR="00A50F11" w:rsidRPr="009072DA" w:rsidRDefault="00A50F11" w:rsidP="00FC0393">
            <w:pPr>
              <w:tabs>
                <w:tab w:val="left" w:leader="dot" w:pos="1701"/>
              </w:tabs>
              <w:overflowPunct w:val="0"/>
              <w:adjustRightInd w:val="0"/>
              <w:jc w:val="center"/>
              <w:textAlignment w:val="baseline"/>
              <w:rPr>
                <w:rFonts w:cs="Arial"/>
                <w:sz w:val="18"/>
                <w:szCs w:val="20"/>
                <w:lang w:val="bg-BG"/>
              </w:rPr>
            </w:pPr>
          </w:p>
        </w:tc>
      </w:tr>
    </w:tbl>
    <w:p w:rsidR="00A50F11" w:rsidRPr="009072DA" w:rsidRDefault="00A50F11" w:rsidP="00A50F11">
      <w:pPr>
        <w:tabs>
          <w:tab w:val="left" w:leader="dot" w:pos="1701"/>
        </w:tabs>
        <w:overflowPunct w:val="0"/>
        <w:adjustRightInd w:val="0"/>
        <w:textAlignment w:val="baseline"/>
        <w:rPr>
          <w:rFonts w:cs="Arial"/>
          <w:szCs w:val="20"/>
          <w:lang w:val="bg-BG"/>
        </w:rPr>
      </w:pPr>
    </w:p>
    <w:p w:rsidR="00A50F11" w:rsidRPr="009072DA" w:rsidRDefault="00A50F11" w:rsidP="00A50F11">
      <w:pPr>
        <w:tabs>
          <w:tab w:val="left" w:leader="dot" w:pos="1701"/>
        </w:tabs>
        <w:overflowPunct w:val="0"/>
        <w:adjustRightInd w:val="0"/>
        <w:jc w:val="center"/>
        <w:textAlignment w:val="baseline"/>
        <w:rPr>
          <w:rFonts w:cs="Arial"/>
          <w:szCs w:val="20"/>
          <w:lang w:val="bg-BG"/>
        </w:rPr>
      </w:pPr>
      <w:r w:rsidRPr="009072DA">
        <w:rPr>
          <w:lang w:val="bg-BG"/>
        </w:rPr>
        <w:br w:type="page"/>
      </w:r>
      <w:r w:rsidRPr="009072DA">
        <w:rPr>
          <w:lang w:val="bg-BG"/>
        </w:rPr>
        <w:lastRenderedPageBreak/>
        <w:t>(дясна страница)</w:t>
      </w:r>
    </w:p>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190"/>
        <w:gridCol w:w="1190"/>
        <w:gridCol w:w="1192"/>
        <w:gridCol w:w="1757"/>
        <w:gridCol w:w="1758"/>
        <w:gridCol w:w="2948"/>
        <w:gridCol w:w="2325"/>
        <w:gridCol w:w="1758"/>
      </w:tblGrid>
      <w:tr w:rsidR="00A50F11" w:rsidRPr="009072DA" w:rsidTr="00FC0393">
        <w:tc>
          <w:tcPr>
            <w:tcW w:w="3572" w:type="dxa"/>
            <w:gridSpan w:val="3"/>
            <w:vAlign w:val="center"/>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Пълна товароподемност съгласно удостоверението за измерване или водоизместването *)</w:t>
            </w:r>
          </w:p>
        </w:tc>
        <w:tc>
          <w:tcPr>
            <w:tcW w:w="3515" w:type="dxa"/>
            <w:gridSpan w:val="2"/>
            <w:vAlign w:val="center"/>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 xml:space="preserve">Зони или участък от вътрешен воден път, </w:t>
            </w:r>
            <w:r w:rsidRPr="009072DA">
              <w:rPr>
                <w:rFonts w:cs="Arial"/>
                <w:sz w:val="18"/>
                <w:szCs w:val="20"/>
                <w:lang w:val="bg-BG"/>
              </w:rPr>
              <w:br/>
            </w:r>
            <w:r w:rsidRPr="009072DA">
              <w:rPr>
                <w:sz w:val="18"/>
                <w:lang w:val="bg-BG"/>
              </w:rPr>
              <w:t>според случая</w:t>
            </w:r>
          </w:p>
        </w:tc>
        <w:tc>
          <w:tcPr>
            <w:tcW w:w="2948" w:type="dxa"/>
            <w:tcBorders>
              <w:bottom w:val="nil"/>
            </w:tcBorders>
            <w:vAlign w:val="center"/>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 xml:space="preserve">Забележки относно периодични проверки или специални проверки, отнемане и анулиране </w:t>
            </w:r>
          </w:p>
        </w:tc>
        <w:tc>
          <w:tcPr>
            <w:tcW w:w="2325" w:type="dxa"/>
            <w:tcBorders>
              <w:bottom w:val="nil"/>
            </w:tcBorders>
            <w:vAlign w:val="center"/>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rFonts w:cs="Arial"/>
                <w:sz w:val="18"/>
                <w:szCs w:val="20"/>
                <w:lang w:val="bg-BG"/>
              </w:rPr>
              <w:br/>
            </w:r>
            <w:r w:rsidRPr="009072DA">
              <w:rPr>
                <w:sz w:val="18"/>
                <w:lang w:val="bg-BG"/>
              </w:rPr>
              <w:t xml:space="preserve">Удостоверение </w:t>
            </w:r>
          </w:p>
        </w:tc>
        <w:tc>
          <w:tcPr>
            <w:tcW w:w="1758" w:type="dxa"/>
            <w:tcBorders>
              <w:bottom w:val="nil"/>
            </w:tcBorders>
            <w:vAlign w:val="center"/>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rFonts w:cs="Arial"/>
                <w:sz w:val="18"/>
                <w:szCs w:val="20"/>
                <w:lang w:val="bg-BG"/>
              </w:rPr>
              <w:br/>
            </w:r>
            <w:r w:rsidRPr="009072DA">
              <w:rPr>
                <w:sz w:val="18"/>
                <w:lang w:val="bg-BG"/>
              </w:rPr>
              <w:t xml:space="preserve">Други забележки </w:t>
            </w:r>
          </w:p>
        </w:tc>
      </w:tr>
      <w:tr w:rsidR="00A50F11" w:rsidRPr="009072DA" w:rsidTr="00FC0393">
        <w:tc>
          <w:tcPr>
            <w:tcW w:w="1190" w:type="dxa"/>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дата на удостоверението</w:t>
            </w:r>
          </w:p>
        </w:tc>
        <w:tc>
          <w:tcPr>
            <w:tcW w:w="1190" w:type="dxa"/>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тонажна марка</w:t>
            </w:r>
          </w:p>
        </w:tc>
        <w:tc>
          <w:tcPr>
            <w:tcW w:w="1192" w:type="dxa"/>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t или</w:t>
            </w:r>
            <w:r w:rsidRPr="009072DA">
              <w:rPr>
                <w:rFonts w:cs="Arial"/>
                <w:sz w:val="18"/>
                <w:szCs w:val="20"/>
                <w:lang w:val="bg-BG"/>
              </w:rPr>
              <w:br/>
            </w:r>
            <w:r w:rsidRPr="009072DA">
              <w:rPr>
                <w:sz w:val="18"/>
                <w:lang w:val="bg-BG"/>
              </w:rPr>
              <w:t>m</w:t>
            </w:r>
            <w:r w:rsidRPr="009072DA">
              <w:rPr>
                <w:position w:val="4"/>
                <w:sz w:val="16"/>
                <w:vertAlign w:val="superscript"/>
                <w:lang w:val="bg-BG"/>
              </w:rPr>
              <w:t>3</w:t>
            </w:r>
          </w:p>
        </w:tc>
        <w:tc>
          <w:tcPr>
            <w:tcW w:w="1757" w:type="dxa"/>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между</w:t>
            </w:r>
          </w:p>
        </w:tc>
        <w:tc>
          <w:tcPr>
            <w:tcW w:w="1758" w:type="dxa"/>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и</w:t>
            </w:r>
          </w:p>
        </w:tc>
        <w:tc>
          <w:tcPr>
            <w:tcW w:w="2948" w:type="dxa"/>
            <w:tcBorders>
              <w:top w:val="nil"/>
            </w:tcBorders>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на удостоверението</w:t>
            </w:r>
          </w:p>
        </w:tc>
        <w:tc>
          <w:tcPr>
            <w:tcW w:w="2325" w:type="dxa"/>
            <w:tcBorders>
              <w:top w:val="nil"/>
            </w:tcBorders>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r w:rsidRPr="009072DA">
              <w:rPr>
                <w:sz w:val="18"/>
                <w:lang w:val="bg-BG"/>
              </w:rPr>
              <w:t>валидно до</w:t>
            </w:r>
          </w:p>
        </w:tc>
        <w:tc>
          <w:tcPr>
            <w:tcW w:w="1758" w:type="dxa"/>
            <w:tcBorders>
              <w:top w:val="nil"/>
            </w:tcBorders>
          </w:tcPr>
          <w:p w:rsidR="00A50F11" w:rsidRPr="009072DA" w:rsidRDefault="00A50F11" w:rsidP="00FC0393">
            <w:pPr>
              <w:tabs>
                <w:tab w:val="left" w:leader="dot" w:pos="1701"/>
              </w:tabs>
              <w:overflowPunct w:val="0"/>
              <w:adjustRightInd w:val="0"/>
              <w:spacing w:before="40" w:after="40"/>
              <w:jc w:val="center"/>
              <w:textAlignment w:val="baseline"/>
              <w:rPr>
                <w:rFonts w:cs="Arial"/>
                <w:sz w:val="18"/>
                <w:szCs w:val="20"/>
                <w:lang w:val="bg-BG"/>
              </w:rPr>
            </w:pPr>
          </w:p>
        </w:tc>
      </w:tr>
      <w:tr w:rsidR="00A50F11" w:rsidRPr="009072DA" w:rsidTr="00FC0393">
        <w:tc>
          <w:tcPr>
            <w:tcW w:w="1190" w:type="dxa"/>
          </w:tcPr>
          <w:p w:rsidR="00A50F11" w:rsidRPr="009072DA" w:rsidRDefault="00A50F11" w:rsidP="00C92875">
            <w:pPr>
              <w:tabs>
                <w:tab w:val="left" w:leader="dot" w:pos="1701"/>
              </w:tabs>
              <w:overflowPunct w:val="0"/>
              <w:adjustRightInd w:val="0"/>
              <w:jc w:val="center"/>
              <w:textAlignment w:val="baseline"/>
              <w:rPr>
                <w:rFonts w:cs="Arial"/>
                <w:sz w:val="18"/>
                <w:szCs w:val="20"/>
                <w:lang w:val="bg-BG"/>
              </w:rPr>
            </w:pP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lastRenderedPageBreak/>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r w:rsidRPr="009072DA">
              <w:rPr>
                <w:rFonts w:cs="Arial"/>
                <w:sz w:val="18"/>
                <w:szCs w:val="20"/>
                <w:lang w:val="bg-BG"/>
              </w:rPr>
              <w:br/>
            </w:r>
          </w:p>
        </w:tc>
        <w:tc>
          <w:tcPr>
            <w:tcW w:w="1190" w:type="dxa"/>
          </w:tcPr>
          <w:p w:rsidR="00A50F11" w:rsidRPr="009072DA" w:rsidRDefault="00A50F11" w:rsidP="00FC0393">
            <w:pPr>
              <w:tabs>
                <w:tab w:val="left" w:leader="dot" w:pos="1701"/>
              </w:tabs>
              <w:overflowPunct w:val="0"/>
              <w:adjustRightInd w:val="0"/>
              <w:jc w:val="center"/>
              <w:textAlignment w:val="baseline"/>
              <w:rPr>
                <w:rFonts w:cs="Arial"/>
                <w:sz w:val="18"/>
                <w:szCs w:val="20"/>
                <w:lang w:val="bg-BG"/>
              </w:rPr>
            </w:pPr>
          </w:p>
        </w:tc>
        <w:tc>
          <w:tcPr>
            <w:tcW w:w="1192" w:type="dxa"/>
          </w:tcPr>
          <w:p w:rsidR="00A50F11" w:rsidRPr="009072DA" w:rsidRDefault="00A50F11" w:rsidP="00FC0393">
            <w:pPr>
              <w:tabs>
                <w:tab w:val="left" w:leader="dot" w:pos="1701"/>
              </w:tabs>
              <w:overflowPunct w:val="0"/>
              <w:adjustRightInd w:val="0"/>
              <w:jc w:val="center"/>
              <w:textAlignment w:val="baseline"/>
              <w:rPr>
                <w:rFonts w:cs="Arial"/>
                <w:sz w:val="18"/>
                <w:szCs w:val="20"/>
                <w:lang w:val="bg-BG"/>
              </w:rPr>
            </w:pPr>
          </w:p>
        </w:tc>
        <w:tc>
          <w:tcPr>
            <w:tcW w:w="1757" w:type="dxa"/>
          </w:tcPr>
          <w:p w:rsidR="00A50F11" w:rsidRPr="009072DA" w:rsidRDefault="00A50F11" w:rsidP="00FC0393">
            <w:pPr>
              <w:tabs>
                <w:tab w:val="left" w:leader="dot" w:pos="1701"/>
              </w:tabs>
              <w:overflowPunct w:val="0"/>
              <w:adjustRightInd w:val="0"/>
              <w:spacing w:before="120"/>
              <w:jc w:val="center"/>
              <w:textAlignment w:val="baseline"/>
              <w:rPr>
                <w:rFonts w:cs="Arial"/>
                <w:sz w:val="18"/>
                <w:szCs w:val="20"/>
                <w:lang w:val="bg-BG"/>
              </w:rPr>
            </w:pPr>
          </w:p>
        </w:tc>
        <w:tc>
          <w:tcPr>
            <w:tcW w:w="1758" w:type="dxa"/>
          </w:tcPr>
          <w:p w:rsidR="00A50F11" w:rsidRPr="009072DA" w:rsidRDefault="00A50F11" w:rsidP="00FC0393">
            <w:pPr>
              <w:tabs>
                <w:tab w:val="left" w:leader="dot" w:pos="1701"/>
              </w:tabs>
              <w:overflowPunct w:val="0"/>
              <w:adjustRightInd w:val="0"/>
              <w:spacing w:before="120"/>
              <w:jc w:val="center"/>
              <w:textAlignment w:val="baseline"/>
              <w:rPr>
                <w:rFonts w:cs="Arial"/>
                <w:sz w:val="18"/>
                <w:szCs w:val="20"/>
                <w:lang w:val="bg-BG"/>
              </w:rPr>
            </w:pPr>
          </w:p>
        </w:tc>
        <w:tc>
          <w:tcPr>
            <w:tcW w:w="2948" w:type="dxa"/>
          </w:tcPr>
          <w:p w:rsidR="00A50F11" w:rsidRPr="009072DA" w:rsidRDefault="00A50F11" w:rsidP="00FC0393">
            <w:pPr>
              <w:tabs>
                <w:tab w:val="left" w:leader="dot" w:pos="1701"/>
              </w:tabs>
              <w:overflowPunct w:val="0"/>
              <w:adjustRightInd w:val="0"/>
              <w:jc w:val="center"/>
              <w:textAlignment w:val="baseline"/>
              <w:rPr>
                <w:rFonts w:cs="Arial"/>
                <w:sz w:val="18"/>
                <w:szCs w:val="20"/>
                <w:lang w:val="bg-BG"/>
              </w:rPr>
            </w:pPr>
          </w:p>
        </w:tc>
        <w:tc>
          <w:tcPr>
            <w:tcW w:w="2325" w:type="dxa"/>
          </w:tcPr>
          <w:p w:rsidR="00A50F11" w:rsidRPr="009072DA" w:rsidRDefault="00A50F11" w:rsidP="00FC0393">
            <w:pPr>
              <w:tabs>
                <w:tab w:val="left" w:leader="dot" w:pos="1701"/>
              </w:tabs>
              <w:overflowPunct w:val="0"/>
              <w:adjustRightInd w:val="0"/>
              <w:jc w:val="center"/>
              <w:textAlignment w:val="baseline"/>
              <w:rPr>
                <w:rFonts w:cs="Arial"/>
                <w:sz w:val="18"/>
                <w:szCs w:val="20"/>
                <w:lang w:val="bg-BG"/>
              </w:rPr>
            </w:pPr>
          </w:p>
        </w:tc>
        <w:tc>
          <w:tcPr>
            <w:tcW w:w="1758" w:type="dxa"/>
          </w:tcPr>
          <w:p w:rsidR="00A50F11" w:rsidRPr="009072DA" w:rsidRDefault="00A50F11" w:rsidP="00FC0393">
            <w:pPr>
              <w:tabs>
                <w:tab w:val="left" w:leader="dot" w:pos="1701"/>
              </w:tabs>
              <w:overflowPunct w:val="0"/>
              <w:adjustRightInd w:val="0"/>
              <w:jc w:val="center"/>
              <w:textAlignment w:val="baseline"/>
              <w:rPr>
                <w:rFonts w:cs="Arial"/>
                <w:sz w:val="18"/>
                <w:szCs w:val="20"/>
                <w:lang w:val="bg-BG"/>
              </w:rPr>
            </w:pPr>
          </w:p>
        </w:tc>
      </w:tr>
    </w:tbl>
    <w:p w:rsidR="00A50F11" w:rsidRPr="009072DA" w:rsidRDefault="00A50F11" w:rsidP="00C92875">
      <w:pPr>
        <w:tabs>
          <w:tab w:val="left" w:pos="284"/>
          <w:tab w:val="left" w:leader="dot" w:pos="1701"/>
        </w:tabs>
        <w:overflowPunct w:val="0"/>
        <w:adjustRightInd w:val="0"/>
        <w:spacing w:before="60"/>
        <w:textAlignment w:val="baseline"/>
        <w:rPr>
          <w:rFonts w:cs="Arial"/>
          <w:sz w:val="16"/>
          <w:szCs w:val="20"/>
          <w:lang w:val="bg-BG"/>
        </w:rPr>
      </w:pPr>
      <w:r w:rsidRPr="009072DA">
        <w:rPr>
          <w:sz w:val="18"/>
          <w:lang w:val="bg-BG"/>
        </w:rPr>
        <w:lastRenderedPageBreak/>
        <w:t>*)</w:t>
      </w:r>
      <w:r w:rsidRPr="009072DA">
        <w:rPr>
          <w:lang w:val="bg-BG"/>
        </w:rPr>
        <w:tab/>
      </w:r>
      <w:r w:rsidRPr="009072DA">
        <w:rPr>
          <w:sz w:val="16"/>
          <w:lang w:val="bg-BG"/>
        </w:rPr>
        <w:t>Ако не е налично удостоверение за измерване, пресметнете пълната товароподемност или водоизместването.</w:t>
      </w:r>
    </w:p>
    <w:p w:rsidR="00C92875" w:rsidRPr="009072DA" w:rsidRDefault="00C92875">
      <w:pPr>
        <w:rPr>
          <w:rFonts w:cs="Arial"/>
          <w:sz w:val="18"/>
          <w:szCs w:val="20"/>
          <w:lang w:val="bg-BG"/>
        </w:rPr>
      </w:pPr>
      <w:r w:rsidRPr="009072DA">
        <w:rPr>
          <w:lang w:val="bg-BG"/>
        </w:rPr>
        <w:br w:type="page"/>
      </w:r>
    </w:p>
    <w:p w:rsidR="00402237" w:rsidRPr="009072DA" w:rsidRDefault="00402237" w:rsidP="00C92875">
      <w:pPr>
        <w:tabs>
          <w:tab w:val="left" w:pos="284"/>
          <w:tab w:val="left" w:leader="dot" w:pos="1701"/>
        </w:tabs>
        <w:overflowPunct w:val="0"/>
        <w:adjustRightInd w:val="0"/>
        <w:textAlignment w:val="baseline"/>
        <w:rPr>
          <w:rFonts w:cs="Arial"/>
          <w:sz w:val="18"/>
          <w:szCs w:val="20"/>
          <w:lang w:val="bg-BG"/>
        </w:rPr>
      </w:pPr>
    </w:p>
    <w:p w:rsidR="00A50F11" w:rsidRPr="009072DA" w:rsidRDefault="00A50F11" w:rsidP="00A50F11">
      <w:pPr>
        <w:tabs>
          <w:tab w:val="left" w:pos="284"/>
          <w:tab w:val="left" w:leader="dot" w:pos="1701"/>
        </w:tabs>
        <w:overflowPunct w:val="0"/>
        <w:adjustRightInd w:val="0"/>
        <w:textAlignment w:val="baseline"/>
        <w:rPr>
          <w:rFonts w:cs="Arial"/>
          <w:sz w:val="18"/>
          <w:szCs w:val="20"/>
          <w:lang w:val="bg-BG"/>
        </w:rPr>
      </w:pPr>
    </w:p>
    <w:p w:rsidR="00A50F11" w:rsidRPr="009072DA" w:rsidRDefault="00A50F11" w:rsidP="00A50F11">
      <w:pPr>
        <w:tabs>
          <w:tab w:val="left" w:pos="284"/>
          <w:tab w:val="left" w:leader="dot" w:pos="1701"/>
        </w:tabs>
        <w:overflowPunct w:val="0"/>
        <w:adjustRightInd w:val="0"/>
        <w:textAlignment w:val="baseline"/>
        <w:rPr>
          <w:rFonts w:cs="Arial"/>
          <w:sz w:val="18"/>
          <w:szCs w:val="20"/>
          <w:lang w:val="bg-BG"/>
        </w:rPr>
      </w:pPr>
    </w:p>
    <w:p w:rsidR="009C13A9" w:rsidRPr="009072DA" w:rsidRDefault="009C13A9" w:rsidP="00A50F11">
      <w:pPr>
        <w:tabs>
          <w:tab w:val="left" w:pos="284"/>
          <w:tab w:val="left" w:leader="dot" w:pos="1701"/>
        </w:tabs>
        <w:overflowPunct w:val="0"/>
        <w:adjustRightInd w:val="0"/>
        <w:textAlignment w:val="baseline"/>
        <w:rPr>
          <w:lang w:val="bg-BG"/>
        </w:rPr>
      </w:pPr>
    </w:p>
    <w:p w:rsidR="009C13A9" w:rsidRPr="009072DA" w:rsidRDefault="009C13A9" w:rsidP="009C13A9">
      <w:pPr>
        <w:tabs>
          <w:tab w:val="center" w:pos="8222"/>
        </w:tabs>
        <w:rPr>
          <w:lang w:val="bg-BG"/>
        </w:rPr>
      </w:pPr>
    </w:p>
    <w:p w:rsidR="009C13A9" w:rsidRPr="009072DA" w:rsidRDefault="009C13A9" w:rsidP="009C13A9">
      <w:pPr>
        <w:tabs>
          <w:tab w:val="center" w:pos="7088"/>
          <w:tab w:val="left" w:leader="dot" w:pos="9072"/>
        </w:tabs>
        <w:ind w:left="284" w:hanging="284"/>
        <w:rPr>
          <w:sz w:val="18"/>
          <w:lang w:val="bg-BG"/>
        </w:rPr>
      </w:pPr>
    </w:p>
    <w:p w:rsidR="009C13A9" w:rsidRPr="009072DA" w:rsidRDefault="009C13A9" w:rsidP="009C13A9">
      <w:pPr>
        <w:tabs>
          <w:tab w:val="center" w:pos="7088"/>
          <w:tab w:val="left" w:leader="dot" w:pos="9072"/>
        </w:tabs>
        <w:ind w:left="284" w:hanging="284"/>
        <w:rPr>
          <w:sz w:val="18"/>
          <w:lang w:val="bg-BG"/>
        </w:rPr>
        <w:sectPr w:rsidR="009C13A9" w:rsidRPr="009072DA" w:rsidSect="00FB55E9">
          <w:headerReference w:type="default" r:id="rId51"/>
          <w:footerReference w:type="default" r:id="rId52"/>
          <w:footerReference w:type="first" r:id="rId53"/>
          <w:footnotePr>
            <w:numRestart w:val="eachPage"/>
          </w:footnotePr>
          <w:pgSz w:w="16840" w:h="11907" w:orient="landscape" w:code="9"/>
          <w:pgMar w:top="1418" w:right="1418" w:bottom="1418" w:left="1418" w:header="680" w:footer="680" w:gutter="0"/>
          <w:cols w:space="720"/>
          <w:docGrid w:linePitch="326"/>
        </w:sectPr>
      </w:pPr>
    </w:p>
    <w:p w:rsidR="009C13A9" w:rsidRPr="009072DA" w:rsidRDefault="009C13A9" w:rsidP="00857FC2">
      <w:pPr>
        <w:pStyle w:val="ES-Titre1"/>
      </w:pPr>
      <w:bookmarkStart w:id="629" w:name="_Toc491854307"/>
      <w:bookmarkStart w:id="630" w:name="_Toc535827748"/>
      <w:r w:rsidRPr="009072DA">
        <w:lastRenderedPageBreak/>
        <w:t>ЧАСТ II</w:t>
      </w:r>
      <w:r w:rsidRPr="009072DA">
        <w:br/>
        <w:t>ДОПЪЛНИТЕЛНИ ИЗИСКВАНИЯ ЗА СПЕЦИФИЧНО ОБОРУДВАНЕ, ИЗПОЛЗВАНО НА БОРДА</w:t>
      </w:r>
      <w:bookmarkEnd w:id="629"/>
      <w:bookmarkEnd w:id="630"/>
    </w:p>
    <w:p w:rsidR="009C13A9" w:rsidRPr="009072DA" w:rsidRDefault="009C13A9" w:rsidP="009C13A9">
      <w:pPr>
        <w:overflowPunct w:val="0"/>
        <w:adjustRightInd w:val="0"/>
        <w:textAlignment w:val="baseline"/>
        <w:rPr>
          <w:rFonts w:cs="Arial"/>
          <w:szCs w:val="20"/>
          <w:lang w:val="bg-BG"/>
        </w:rPr>
      </w:pPr>
    </w:p>
    <w:p w:rsidR="009C13A9" w:rsidRPr="009072DA" w:rsidRDefault="009C13A9" w:rsidP="009C13A9">
      <w:pPr>
        <w:overflowPunct w:val="0"/>
        <w:adjustRightInd w:val="0"/>
        <w:textAlignment w:val="baseline"/>
        <w:rPr>
          <w:rFonts w:cs="Arial"/>
          <w:szCs w:val="20"/>
          <w:lang w:val="bg-BG"/>
        </w:rPr>
      </w:pPr>
    </w:p>
    <w:p w:rsidR="009C13A9" w:rsidRPr="009072DA" w:rsidRDefault="009C13A9" w:rsidP="00857FC2">
      <w:pPr>
        <w:pStyle w:val="ES-Titre2"/>
        <w:pageBreakBefore w:val="0"/>
      </w:pPr>
      <w:bookmarkStart w:id="631" w:name="_Toc491854308"/>
      <w:bookmarkStart w:id="632" w:name="_Toc535827749"/>
      <w:r w:rsidRPr="009072DA">
        <w:t>Приложение 4</w:t>
      </w:r>
      <w:r w:rsidRPr="009072DA">
        <w:br/>
        <w:t>Знаци за безопасност</w:t>
      </w:r>
      <w:bookmarkEnd w:id="631"/>
      <w:bookmarkEnd w:id="632"/>
    </w:p>
    <w:p w:rsidR="009C13A9" w:rsidRPr="009072DA" w:rsidRDefault="009C13A9" w:rsidP="009C13A9">
      <w:pPr>
        <w:overflowPunct w:val="0"/>
        <w:adjustRightInd w:val="0"/>
        <w:textAlignment w:val="baseline"/>
        <w:rPr>
          <w:rFonts w:cs="Arial"/>
          <w:szCs w:val="20"/>
          <w:lang w:val="bg-BG"/>
        </w:rPr>
      </w:pPr>
    </w:p>
    <w:p w:rsidR="009C13A9" w:rsidRPr="009072DA" w:rsidRDefault="009C13A9" w:rsidP="009C13A9">
      <w:pPr>
        <w:overflowPunct w:val="0"/>
        <w:adjustRightInd w:val="0"/>
        <w:textAlignment w:val="baseline"/>
        <w:rPr>
          <w:rFonts w:cs="Arial"/>
          <w:szCs w:val="20"/>
          <w:lang w:val="bg-BG"/>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9C13A9" w:rsidRPr="009072DA" w:rsidTr="009C13A9">
        <w:tc>
          <w:tcPr>
            <w:tcW w:w="3331" w:type="dxa"/>
            <w:vAlign w:val="center"/>
          </w:tcPr>
          <w:p w:rsidR="009C13A9" w:rsidRPr="009072DA"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szCs w:val="20"/>
                <w:lang w:val="bg-BG"/>
              </w:rPr>
            </w:pPr>
            <w:r w:rsidRPr="009072DA">
              <w:rPr>
                <w:lang w:val="bg-BG"/>
              </w:rPr>
              <w:t>Фигура 1</w:t>
            </w:r>
          </w:p>
          <w:p w:rsidR="009C13A9" w:rsidRPr="009072DA" w:rsidRDefault="009C13A9" w:rsidP="009C13A9">
            <w:pPr>
              <w:overflowPunct w:val="0"/>
              <w:adjustRightInd w:val="0"/>
              <w:textAlignment w:val="baseline"/>
              <w:rPr>
                <w:rFonts w:cs="Arial"/>
                <w:szCs w:val="20"/>
                <w:lang w:val="bg-BG"/>
              </w:rPr>
            </w:pPr>
            <w:r w:rsidRPr="009072DA">
              <w:rPr>
                <w:lang w:val="bg-BG"/>
              </w:rPr>
              <w:t>Вход за външни лица забранен</w:t>
            </w:r>
          </w:p>
        </w:tc>
        <w:tc>
          <w:tcPr>
            <w:tcW w:w="2551" w:type="dxa"/>
          </w:tcPr>
          <w:p w:rsidR="009C13A9" w:rsidRPr="009072DA" w:rsidRDefault="009C13A9" w:rsidP="009C13A9">
            <w:pPr>
              <w:overflowPunct w:val="0"/>
              <w:adjustRightInd w:val="0"/>
              <w:textAlignment w:val="baseline"/>
              <w:rPr>
                <w:rFonts w:cs="Arial"/>
                <w:sz w:val="18"/>
                <w:szCs w:val="20"/>
                <w:lang w:val="bg-BG"/>
              </w:rPr>
            </w:pPr>
          </w:p>
          <w:p w:rsidR="009C13A9" w:rsidRPr="009072DA" w:rsidRDefault="002C0BA5" w:rsidP="009C13A9">
            <w:pPr>
              <w:overflowPunct w:val="0"/>
              <w:adjustRightInd w:val="0"/>
              <w:jc w:val="center"/>
              <w:textAlignment w:val="baseline"/>
              <w:rPr>
                <w:rFonts w:cs="Arial"/>
                <w:sz w:val="18"/>
                <w:szCs w:val="20"/>
                <w:lang w:val="bg-BG"/>
              </w:rPr>
            </w:pPr>
            <w:r w:rsidRPr="009072DA">
              <w:rPr>
                <w:rFonts w:cs="Arial"/>
                <w:b/>
                <w:noProof/>
                <w:szCs w:val="20"/>
                <w:lang w:eastAsia="en-GB"/>
              </w:rPr>
              <w:drawing>
                <wp:inline distT="0" distB="0" distL="0" distR="0" wp14:anchorId="6AF11F87" wp14:editId="3F536153">
                  <wp:extent cx="1282700" cy="1282700"/>
                  <wp:effectExtent l="0" t="0" r="0" b="0"/>
                  <wp:docPr id="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9072DA" w:rsidRDefault="009C13A9" w:rsidP="009C13A9">
            <w:pPr>
              <w:overflowPunct w:val="0"/>
              <w:adjustRightInd w:val="0"/>
              <w:textAlignment w:val="baseline"/>
              <w:rPr>
                <w:rFonts w:cs="Arial"/>
                <w:sz w:val="18"/>
                <w:szCs w:val="20"/>
                <w:lang w:val="bg-BG"/>
              </w:rPr>
            </w:pPr>
          </w:p>
        </w:tc>
        <w:tc>
          <w:tcPr>
            <w:tcW w:w="3328" w:type="dxa"/>
            <w:vAlign w:val="center"/>
          </w:tcPr>
          <w:p w:rsidR="009C13A9" w:rsidRPr="009072DA" w:rsidRDefault="009C13A9" w:rsidP="009C13A9">
            <w:pPr>
              <w:overflowPunct w:val="0"/>
              <w:adjustRightInd w:val="0"/>
              <w:textAlignment w:val="baseline"/>
              <w:rPr>
                <w:rFonts w:cs="Arial"/>
                <w:szCs w:val="20"/>
                <w:lang w:val="bg-BG"/>
              </w:rPr>
            </w:pPr>
            <w:r w:rsidRPr="009072DA">
              <w:rPr>
                <w:lang w:val="bg-BG"/>
              </w:rPr>
              <w:t>Цвят: червено/бяло/черно</w:t>
            </w:r>
          </w:p>
        </w:tc>
      </w:tr>
      <w:tr w:rsidR="009C13A9" w:rsidRPr="009072DA" w:rsidTr="009C13A9">
        <w:tc>
          <w:tcPr>
            <w:tcW w:w="3331" w:type="dxa"/>
            <w:vAlign w:val="center"/>
          </w:tcPr>
          <w:p w:rsidR="009C13A9" w:rsidRPr="009072DA" w:rsidRDefault="009C13A9" w:rsidP="009C13A9">
            <w:pPr>
              <w:overflowPunct w:val="0"/>
              <w:adjustRightInd w:val="0"/>
              <w:textAlignment w:val="baseline"/>
              <w:rPr>
                <w:rFonts w:cs="Arial"/>
                <w:szCs w:val="20"/>
                <w:lang w:val="bg-BG"/>
              </w:rPr>
            </w:pPr>
            <w:r w:rsidRPr="009072DA">
              <w:rPr>
                <w:lang w:val="bg-BG"/>
              </w:rPr>
              <w:t>Фигура 2</w:t>
            </w:r>
          </w:p>
          <w:p w:rsidR="009C13A9" w:rsidRPr="009072DA" w:rsidRDefault="009C13A9" w:rsidP="009C13A9">
            <w:pPr>
              <w:overflowPunct w:val="0"/>
              <w:adjustRightInd w:val="0"/>
              <w:textAlignment w:val="baseline"/>
              <w:rPr>
                <w:rFonts w:cs="Arial"/>
                <w:szCs w:val="20"/>
                <w:lang w:val="bg-BG"/>
              </w:rPr>
            </w:pPr>
            <w:r w:rsidRPr="009072DA">
              <w:rPr>
                <w:lang w:val="bg-BG"/>
              </w:rPr>
              <w:t>Забранено паленето на огън и пушенето</w:t>
            </w:r>
          </w:p>
        </w:tc>
        <w:tc>
          <w:tcPr>
            <w:tcW w:w="2551" w:type="dxa"/>
          </w:tcPr>
          <w:p w:rsidR="009C13A9" w:rsidRPr="009072DA" w:rsidRDefault="009C13A9" w:rsidP="009C13A9">
            <w:pPr>
              <w:overflowPunct w:val="0"/>
              <w:adjustRightInd w:val="0"/>
              <w:textAlignment w:val="baseline"/>
              <w:rPr>
                <w:rFonts w:cs="Arial"/>
                <w:sz w:val="18"/>
                <w:szCs w:val="20"/>
                <w:lang w:val="bg-BG"/>
              </w:rPr>
            </w:pPr>
          </w:p>
          <w:p w:rsidR="009C13A9" w:rsidRPr="009072DA" w:rsidRDefault="002C0BA5" w:rsidP="009C13A9">
            <w:pPr>
              <w:overflowPunct w:val="0"/>
              <w:adjustRightInd w:val="0"/>
              <w:jc w:val="center"/>
              <w:textAlignment w:val="baseline"/>
              <w:rPr>
                <w:rFonts w:cs="Arial"/>
                <w:sz w:val="18"/>
                <w:szCs w:val="20"/>
                <w:lang w:val="bg-BG"/>
              </w:rPr>
            </w:pPr>
            <w:r w:rsidRPr="009072DA">
              <w:rPr>
                <w:rFonts w:cs="Arial"/>
                <w:noProof/>
                <w:szCs w:val="20"/>
                <w:lang w:eastAsia="en-GB"/>
              </w:rPr>
              <w:drawing>
                <wp:inline distT="0" distB="0" distL="0" distR="0" wp14:anchorId="7CC97A8D" wp14:editId="586F656A">
                  <wp:extent cx="1282700" cy="12827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9072DA" w:rsidRDefault="009C13A9" w:rsidP="009C13A9">
            <w:pPr>
              <w:overflowPunct w:val="0"/>
              <w:adjustRightInd w:val="0"/>
              <w:textAlignment w:val="baseline"/>
              <w:rPr>
                <w:rFonts w:cs="Arial"/>
                <w:sz w:val="18"/>
                <w:szCs w:val="20"/>
                <w:lang w:val="bg-BG"/>
              </w:rPr>
            </w:pPr>
          </w:p>
        </w:tc>
        <w:tc>
          <w:tcPr>
            <w:tcW w:w="3328" w:type="dxa"/>
            <w:vAlign w:val="center"/>
          </w:tcPr>
          <w:p w:rsidR="009C13A9" w:rsidRPr="009072DA" w:rsidRDefault="009C13A9" w:rsidP="009C13A9">
            <w:pPr>
              <w:overflowPunct w:val="0"/>
              <w:adjustRightInd w:val="0"/>
              <w:textAlignment w:val="baseline"/>
              <w:rPr>
                <w:rFonts w:cs="Arial"/>
                <w:szCs w:val="20"/>
                <w:lang w:val="bg-BG"/>
              </w:rPr>
            </w:pPr>
            <w:r w:rsidRPr="009072DA">
              <w:rPr>
                <w:lang w:val="bg-BG"/>
              </w:rPr>
              <w:t>Цвят: червено/бяло/черно</w:t>
            </w:r>
          </w:p>
        </w:tc>
      </w:tr>
      <w:tr w:rsidR="009C13A9" w:rsidRPr="009072DA" w:rsidTr="009C13A9">
        <w:tc>
          <w:tcPr>
            <w:tcW w:w="3331" w:type="dxa"/>
            <w:vAlign w:val="center"/>
          </w:tcPr>
          <w:p w:rsidR="009C13A9" w:rsidRPr="009072DA"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szCs w:val="20"/>
                <w:lang w:val="bg-BG"/>
              </w:rPr>
            </w:pPr>
            <w:r w:rsidRPr="009072DA">
              <w:rPr>
                <w:lang w:val="bg-BG"/>
              </w:rPr>
              <w:t>Фигура 3</w:t>
            </w:r>
          </w:p>
          <w:p w:rsidR="009C13A9" w:rsidRPr="009072DA" w:rsidRDefault="009C13A9" w:rsidP="009C13A9">
            <w:pPr>
              <w:overflowPunct w:val="0"/>
              <w:adjustRightInd w:val="0"/>
              <w:textAlignment w:val="baseline"/>
              <w:rPr>
                <w:rFonts w:cs="Arial"/>
                <w:szCs w:val="20"/>
                <w:lang w:val="bg-BG"/>
              </w:rPr>
            </w:pPr>
            <w:r w:rsidRPr="009072DA">
              <w:rPr>
                <w:lang w:val="bg-BG"/>
              </w:rPr>
              <w:t>Пожарогасител</w:t>
            </w:r>
          </w:p>
        </w:tc>
        <w:tc>
          <w:tcPr>
            <w:tcW w:w="2551" w:type="dxa"/>
          </w:tcPr>
          <w:p w:rsidR="009C13A9" w:rsidRPr="009072DA" w:rsidRDefault="009C13A9" w:rsidP="009C13A9">
            <w:pPr>
              <w:overflowPunct w:val="0"/>
              <w:adjustRightInd w:val="0"/>
              <w:textAlignment w:val="baseline"/>
              <w:rPr>
                <w:rFonts w:cs="Arial"/>
                <w:sz w:val="18"/>
                <w:szCs w:val="20"/>
                <w:lang w:val="bg-BG"/>
              </w:rPr>
            </w:pPr>
          </w:p>
          <w:p w:rsidR="009C13A9" w:rsidRPr="009072DA" w:rsidRDefault="002C0BA5" w:rsidP="009C13A9">
            <w:pPr>
              <w:overflowPunct w:val="0"/>
              <w:adjustRightInd w:val="0"/>
              <w:jc w:val="center"/>
              <w:textAlignment w:val="baseline"/>
              <w:rPr>
                <w:rFonts w:cs="Arial"/>
                <w:sz w:val="18"/>
                <w:szCs w:val="20"/>
                <w:lang w:val="bg-BG"/>
              </w:rPr>
            </w:pPr>
            <w:r w:rsidRPr="009072DA">
              <w:rPr>
                <w:rFonts w:cs="Arial"/>
                <w:noProof/>
                <w:szCs w:val="20"/>
                <w:lang w:eastAsia="en-GB"/>
              </w:rPr>
              <w:drawing>
                <wp:inline distT="0" distB="0" distL="0" distR="0" wp14:anchorId="44926674" wp14:editId="3F714CE7">
                  <wp:extent cx="1282700" cy="1282700"/>
                  <wp:effectExtent l="0" t="0" r="0" b="0"/>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9072DA" w:rsidRDefault="009C13A9" w:rsidP="009C13A9">
            <w:pPr>
              <w:overflowPunct w:val="0"/>
              <w:adjustRightInd w:val="0"/>
              <w:textAlignment w:val="baseline"/>
              <w:rPr>
                <w:rFonts w:cs="Arial"/>
                <w:sz w:val="18"/>
                <w:szCs w:val="20"/>
                <w:lang w:val="bg-BG"/>
              </w:rPr>
            </w:pPr>
          </w:p>
        </w:tc>
        <w:tc>
          <w:tcPr>
            <w:tcW w:w="3328" w:type="dxa"/>
            <w:vAlign w:val="center"/>
          </w:tcPr>
          <w:p w:rsidR="009C13A9" w:rsidRPr="009072DA" w:rsidRDefault="009C13A9" w:rsidP="009C13A9">
            <w:pPr>
              <w:overflowPunct w:val="0"/>
              <w:adjustRightInd w:val="0"/>
              <w:textAlignment w:val="baseline"/>
              <w:rPr>
                <w:rFonts w:cs="Arial"/>
                <w:szCs w:val="20"/>
                <w:lang w:val="bg-BG"/>
              </w:rPr>
            </w:pPr>
            <w:r w:rsidRPr="009072DA">
              <w:rPr>
                <w:lang w:val="bg-BG"/>
              </w:rPr>
              <w:t>Цвят: червено/бяло</w:t>
            </w:r>
          </w:p>
        </w:tc>
      </w:tr>
      <w:tr w:rsidR="009C13A9" w:rsidRPr="009072DA" w:rsidTr="009C13A9">
        <w:tc>
          <w:tcPr>
            <w:tcW w:w="3331" w:type="dxa"/>
            <w:vAlign w:val="center"/>
          </w:tcPr>
          <w:p w:rsidR="009C13A9" w:rsidRPr="009072DA"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szCs w:val="20"/>
                <w:lang w:val="bg-BG"/>
              </w:rPr>
            </w:pPr>
            <w:r w:rsidRPr="009072DA">
              <w:rPr>
                <w:lang w:val="bg-BG"/>
              </w:rPr>
              <w:lastRenderedPageBreak/>
              <w:t>Фигура 4</w:t>
            </w:r>
          </w:p>
          <w:p w:rsidR="009C13A9" w:rsidRPr="009072DA" w:rsidRDefault="009C13A9" w:rsidP="009C13A9">
            <w:pPr>
              <w:overflowPunct w:val="0"/>
              <w:adjustRightInd w:val="0"/>
              <w:textAlignment w:val="baseline"/>
              <w:rPr>
                <w:rFonts w:cs="Arial"/>
                <w:szCs w:val="20"/>
                <w:lang w:val="bg-BG"/>
              </w:rPr>
            </w:pPr>
            <w:r w:rsidRPr="009072DA">
              <w:rPr>
                <w:lang w:val="bg-BG"/>
              </w:rPr>
              <w:t>Предупреждение за обща опасност</w:t>
            </w:r>
          </w:p>
        </w:tc>
        <w:tc>
          <w:tcPr>
            <w:tcW w:w="2551" w:type="dxa"/>
          </w:tcPr>
          <w:p w:rsidR="009C13A9" w:rsidRPr="009072DA" w:rsidRDefault="009C13A9" w:rsidP="009C13A9">
            <w:pPr>
              <w:overflowPunct w:val="0"/>
              <w:adjustRightInd w:val="0"/>
              <w:textAlignment w:val="baseline"/>
              <w:rPr>
                <w:rFonts w:cs="Arial"/>
                <w:sz w:val="18"/>
                <w:szCs w:val="20"/>
                <w:lang w:val="bg-BG"/>
              </w:rPr>
            </w:pPr>
          </w:p>
          <w:p w:rsidR="009C13A9" w:rsidRPr="009072DA" w:rsidRDefault="002C0BA5" w:rsidP="009C13A9">
            <w:pPr>
              <w:overflowPunct w:val="0"/>
              <w:adjustRightInd w:val="0"/>
              <w:jc w:val="center"/>
              <w:textAlignment w:val="baseline"/>
              <w:rPr>
                <w:rFonts w:cs="Arial"/>
                <w:sz w:val="18"/>
                <w:szCs w:val="20"/>
                <w:lang w:val="bg-BG"/>
              </w:rPr>
            </w:pPr>
            <w:r w:rsidRPr="009072DA">
              <w:rPr>
                <w:rFonts w:cs="Arial"/>
                <w:noProof/>
                <w:szCs w:val="20"/>
                <w:lang w:eastAsia="en-GB"/>
              </w:rPr>
              <w:drawing>
                <wp:inline distT="0" distB="0" distL="0" distR="0" wp14:anchorId="78A00ECF" wp14:editId="2F6513AF">
                  <wp:extent cx="1460500" cy="1282700"/>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460500" cy="1282700"/>
                          </a:xfrm>
                          <a:prstGeom prst="rect">
                            <a:avLst/>
                          </a:prstGeom>
                          <a:noFill/>
                          <a:ln>
                            <a:noFill/>
                          </a:ln>
                        </pic:spPr>
                      </pic:pic>
                    </a:graphicData>
                  </a:graphic>
                </wp:inline>
              </w:drawing>
            </w:r>
          </w:p>
          <w:p w:rsidR="009C13A9" w:rsidRPr="009072DA" w:rsidRDefault="009C13A9" w:rsidP="009C13A9">
            <w:pPr>
              <w:overflowPunct w:val="0"/>
              <w:adjustRightInd w:val="0"/>
              <w:textAlignment w:val="baseline"/>
              <w:rPr>
                <w:rFonts w:cs="Arial"/>
                <w:sz w:val="18"/>
                <w:szCs w:val="20"/>
                <w:lang w:val="bg-BG"/>
              </w:rPr>
            </w:pPr>
          </w:p>
        </w:tc>
        <w:tc>
          <w:tcPr>
            <w:tcW w:w="3328" w:type="dxa"/>
            <w:vAlign w:val="center"/>
          </w:tcPr>
          <w:p w:rsidR="009C13A9" w:rsidRPr="009072DA" w:rsidRDefault="009C13A9" w:rsidP="009C13A9">
            <w:pPr>
              <w:overflowPunct w:val="0"/>
              <w:adjustRightInd w:val="0"/>
              <w:textAlignment w:val="baseline"/>
              <w:rPr>
                <w:rFonts w:cs="Arial"/>
                <w:szCs w:val="20"/>
                <w:lang w:val="bg-BG"/>
              </w:rPr>
            </w:pPr>
            <w:r w:rsidRPr="009072DA">
              <w:rPr>
                <w:lang w:val="bg-BG"/>
              </w:rPr>
              <w:t>Цвят: черно/жълто</w:t>
            </w:r>
          </w:p>
        </w:tc>
      </w:tr>
    </w:tbl>
    <w:p w:rsidR="009C13A9" w:rsidRPr="009072DA" w:rsidRDefault="009C13A9" w:rsidP="009C13A9">
      <w:pPr>
        <w:overflowPunct w:val="0"/>
        <w:adjustRightInd w:val="0"/>
        <w:textAlignment w:val="baseline"/>
        <w:rPr>
          <w:rFonts w:cs="Arial"/>
          <w:szCs w:val="20"/>
          <w:lang w:val="bg-BG"/>
        </w:rPr>
      </w:pPr>
    </w:p>
    <w:p w:rsidR="009C13A9" w:rsidRPr="009072DA" w:rsidRDefault="009C13A9" w:rsidP="009C13A9">
      <w:pPr>
        <w:overflowPunct w:val="0"/>
        <w:adjustRightInd w:val="0"/>
        <w:textAlignment w:val="baseline"/>
        <w:rPr>
          <w:rFonts w:cs="Arial"/>
          <w:szCs w:val="20"/>
          <w:lang w:val="bg-BG"/>
        </w:rPr>
      </w:pPr>
    </w:p>
    <w:p w:rsidR="009C13A9" w:rsidRPr="009072DA" w:rsidRDefault="009C13A9" w:rsidP="009C13A9">
      <w:pPr>
        <w:overflowPunct w:val="0"/>
        <w:adjustRightInd w:val="0"/>
        <w:textAlignment w:val="baseline"/>
        <w:rPr>
          <w:rFonts w:cs="Arial"/>
          <w:szCs w:val="20"/>
          <w:lang w:val="bg-BG"/>
        </w:rPr>
      </w:pPr>
    </w:p>
    <w:p w:rsidR="009C13A9" w:rsidRPr="009072DA" w:rsidRDefault="009C13A9" w:rsidP="009C13A9">
      <w:pPr>
        <w:overflowPunct w:val="0"/>
        <w:adjustRightInd w:val="0"/>
        <w:textAlignment w:val="baseline"/>
        <w:rPr>
          <w:rFonts w:cs="Arial"/>
          <w:szCs w:val="20"/>
          <w:lang w:val="bg-BG"/>
        </w:rPr>
      </w:pPr>
      <w:r w:rsidRPr="009072DA">
        <w:rPr>
          <w:lang w:val="bg-BG"/>
        </w:rPr>
        <w:br w:type="page"/>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9C13A9" w:rsidRPr="009072DA" w:rsidTr="009C13A9">
        <w:tc>
          <w:tcPr>
            <w:tcW w:w="3331" w:type="dxa"/>
            <w:vAlign w:val="center"/>
          </w:tcPr>
          <w:p w:rsidR="009C13A9" w:rsidRPr="009072DA"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szCs w:val="20"/>
                <w:lang w:val="bg-BG"/>
              </w:rPr>
            </w:pPr>
            <w:r w:rsidRPr="009072DA">
              <w:rPr>
                <w:lang w:val="bg-BG"/>
              </w:rPr>
              <w:lastRenderedPageBreak/>
              <w:t>Фигура 5</w:t>
            </w:r>
          </w:p>
          <w:p w:rsidR="009C13A9" w:rsidRPr="009072DA" w:rsidRDefault="009C13A9" w:rsidP="009C13A9">
            <w:pPr>
              <w:overflowPunct w:val="0"/>
              <w:adjustRightInd w:val="0"/>
              <w:textAlignment w:val="baseline"/>
              <w:rPr>
                <w:rFonts w:cs="Arial"/>
                <w:szCs w:val="20"/>
                <w:lang w:val="bg-BG"/>
              </w:rPr>
            </w:pPr>
            <w:r w:rsidRPr="009072DA">
              <w:rPr>
                <w:lang w:val="bg-BG"/>
              </w:rPr>
              <w:t>Маркуч за гасене на пожар</w:t>
            </w:r>
          </w:p>
        </w:tc>
        <w:tc>
          <w:tcPr>
            <w:tcW w:w="2551" w:type="dxa"/>
          </w:tcPr>
          <w:p w:rsidR="009C13A9" w:rsidRPr="009072DA" w:rsidRDefault="009C13A9" w:rsidP="009C13A9">
            <w:pPr>
              <w:overflowPunct w:val="0"/>
              <w:adjustRightInd w:val="0"/>
              <w:textAlignment w:val="baseline"/>
              <w:rPr>
                <w:rFonts w:cs="Arial"/>
                <w:sz w:val="18"/>
                <w:szCs w:val="20"/>
                <w:lang w:val="bg-BG"/>
              </w:rPr>
            </w:pPr>
          </w:p>
          <w:p w:rsidR="009C13A9" w:rsidRPr="009072DA" w:rsidRDefault="002C0BA5" w:rsidP="009C13A9">
            <w:pPr>
              <w:overflowPunct w:val="0"/>
              <w:adjustRightInd w:val="0"/>
              <w:jc w:val="center"/>
              <w:textAlignment w:val="baseline"/>
              <w:rPr>
                <w:rFonts w:cs="Arial"/>
                <w:sz w:val="18"/>
                <w:szCs w:val="20"/>
                <w:lang w:val="bg-BG"/>
              </w:rPr>
            </w:pPr>
            <w:r w:rsidRPr="009072DA">
              <w:rPr>
                <w:rFonts w:cs="Arial"/>
                <w:noProof/>
                <w:szCs w:val="20"/>
                <w:lang w:eastAsia="en-GB"/>
              </w:rPr>
              <w:drawing>
                <wp:inline distT="0" distB="0" distL="0" distR="0" wp14:anchorId="53B0FD69" wp14:editId="47F68102">
                  <wp:extent cx="1282700" cy="12827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9072DA" w:rsidRDefault="009C13A9" w:rsidP="009C13A9">
            <w:pPr>
              <w:overflowPunct w:val="0"/>
              <w:adjustRightInd w:val="0"/>
              <w:textAlignment w:val="baseline"/>
              <w:rPr>
                <w:rFonts w:cs="Arial"/>
                <w:sz w:val="18"/>
                <w:szCs w:val="20"/>
                <w:lang w:val="bg-BG"/>
              </w:rPr>
            </w:pPr>
          </w:p>
        </w:tc>
        <w:tc>
          <w:tcPr>
            <w:tcW w:w="3328" w:type="dxa"/>
            <w:vAlign w:val="center"/>
          </w:tcPr>
          <w:p w:rsidR="009C13A9" w:rsidRPr="009072DA" w:rsidRDefault="009C13A9" w:rsidP="009C13A9">
            <w:pPr>
              <w:overflowPunct w:val="0"/>
              <w:adjustRightInd w:val="0"/>
              <w:textAlignment w:val="baseline"/>
              <w:rPr>
                <w:rFonts w:cs="Arial"/>
                <w:szCs w:val="20"/>
                <w:lang w:val="bg-BG"/>
              </w:rPr>
            </w:pPr>
            <w:r w:rsidRPr="009072DA">
              <w:rPr>
                <w:lang w:val="bg-BG"/>
              </w:rPr>
              <w:t>Цвят: червено/бяло</w:t>
            </w:r>
          </w:p>
        </w:tc>
      </w:tr>
      <w:tr w:rsidR="009C13A9" w:rsidRPr="009072DA" w:rsidTr="009C13A9">
        <w:tc>
          <w:tcPr>
            <w:tcW w:w="3331" w:type="dxa"/>
            <w:vAlign w:val="center"/>
          </w:tcPr>
          <w:p w:rsidR="009C13A9" w:rsidRPr="009072DA"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szCs w:val="20"/>
                <w:lang w:val="bg-BG"/>
              </w:rPr>
            </w:pPr>
            <w:r w:rsidRPr="009072DA">
              <w:rPr>
                <w:lang w:val="bg-BG"/>
              </w:rPr>
              <w:t>Фигура 6</w:t>
            </w:r>
          </w:p>
          <w:p w:rsidR="009C13A9" w:rsidRPr="009072DA" w:rsidRDefault="009C13A9" w:rsidP="009C13A9">
            <w:pPr>
              <w:overflowPunct w:val="0"/>
              <w:adjustRightInd w:val="0"/>
              <w:textAlignment w:val="baseline"/>
              <w:rPr>
                <w:rFonts w:cs="Arial"/>
                <w:szCs w:val="20"/>
                <w:lang w:val="bg-BG"/>
              </w:rPr>
            </w:pPr>
            <w:r w:rsidRPr="009072DA">
              <w:rPr>
                <w:lang w:val="bg-BG"/>
              </w:rPr>
              <w:t>Противопожарна инсталация</w:t>
            </w:r>
          </w:p>
        </w:tc>
        <w:tc>
          <w:tcPr>
            <w:tcW w:w="2551" w:type="dxa"/>
          </w:tcPr>
          <w:p w:rsidR="009C13A9" w:rsidRPr="009072DA" w:rsidRDefault="009C13A9" w:rsidP="009C13A9">
            <w:pPr>
              <w:overflowPunct w:val="0"/>
              <w:adjustRightInd w:val="0"/>
              <w:textAlignment w:val="baseline"/>
              <w:rPr>
                <w:rFonts w:cs="Arial"/>
                <w:sz w:val="18"/>
                <w:szCs w:val="20"/>
                <w:lang w:val="bg-BG"/>
              </w:rPr>
            </w:pPr>
          </w:p>
          <w:p w:rsidR="009C13A9" w:rsidRPr="009072DA" w:rsidRDefault="002C0BA5" w:rsidP="009C13A9">
            <w:pPr>
              <w:overflowPunct w:val="0"/>
              <w:adjustRightInd w:val="0"/>
              <w:jc w:val="center"/>
              <w:textAlignment w:val="baseline"/>
              <w:rPr>
                <w:rFonts w:cs="Arial"/>
                <w:sz w:val="18"/>
                <w:szCs w:val="20"/>
                <w:lang w:val="bg-BG"/>
              </w:rPr>
            </w:pPr>
            <w:r w:rsidRPr="009072DA">
              <w:rPr>
                <w:rFonts w:cs="Arial"/>
                <w:noProof/>
                <w:szCs w:val="20"/>
                <w:lang w:eastAsia="en-GB"/>
              </w:rPr>
              <w:drawing>
                <wp:inline distT="0" distB="0" distL="0" distR="0" wp14:anchorId="56BFF7BA" wp14:editId="1D8F77C9">
                  <wp:extent cx="1282700" cy="12827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9072DA" w:rsidRDefault="009C13A9" w:rsidP="009C13A9">
            <w:pPr>
              <w:overflowPunct w:val="0"/>
              <w:adjustRightInd w:val="0"/>
              <w:textAlignment w:val="baseline"/>
              <w:rPr>
                <w:rFonts w:cs="Arial"/>
                <w:sz w:val="18"/>
                <w:szCs w:val="20"/>
                <w:lang w:val="bg-BG"/>
              </w:rPr>
            </w:pPr>
          </w:p>
        </w:tc>
        <w:tc>
          <w:tcPr>
            <w:tcW w:w="3328" w:type="dxa"/>
            <w:vAlign w:val="center"/>
          </w:tcPr>
          <w:p w:rsidR="009C13A9" w:rsidRPr="009072DA" w:rsidRDefault="009C13A9" w:rsidP="009C13A9">
            <w:pPr>
              <w:overflowPunct w:val="0"/>
              <w:adjustRightInd w:val="0"/>
              <w:textAlignment w:val="baseline"/>
              <w:rPr>
                <w:rFonts w:cs="Arial"/>
                <w:szCs w:val="20"/>
                <w:lang w:val="bg-BG"/>
              </w:rPr>
            </w:pPr>
            <w:r w:rsidRPr="009072DA">
              <w:rPr>
                <w:lang w:val="bg-BG"/>
              </w:rPr>
              <w:t>Цвят: червено/бяло</w:t>
            </w:r>
          </w:p>
        </w:tc>
      </w:tr>
      <w:tr w:rsidR="009C13A9" w:rsidRPr="009072DA" w:rsidTr="009C13A9">
        <w:tc>
          <w:tcPr>
            <w:tcW w:w="3331" w:type="dxa"/>
            <w:vAlign w:val="center"/>
          </w:tcPr>
          <w:p w:rsidR="009C13A9" w:rsidRPr="009072DA"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szCs w:val="20"/>
                <w:lang w:val="bg-BG"/>
              </w:rPr>
            </w:pPr>
            <w:r w:rsidRPr="009072DA">
              <w:rPr>
                <w:lang w:val="bg-BG"/>
              </w:rPr>
              <w:t>Фигура 7</w:t>
            </w:r>
          </w:p>
          <w:p w:rsidR="009C13A9" w:rsidRPr="009072DA" w:rsidRDefault="009C13A9" w:rsidP="009C13A9">
            <w:pPr>
              <w:overflowPunct w:val="0"/>
              <w:adjustRightInd w:val="0"/>
              <w:textAlignment w:val="baseline"/>
              <w:rPr>
                <w:rFonts w:cs="Arial"/>
                <w:szCs w:val="20"/>
                <w:lang w:val="bg-BG"/>
              </w:rPr>
            </w:pPr>
            <w:r w:rsidRPr="009072DA">
              <w:rPr>
                <w:lang w:val="bg-BG"/>
              </w:rPr>
              <w:t>Да се носят предпазни средства против шум</w:t>
            </w:r>
          </w:p>
        </w:tc>
        <w:tc>
          <w:tcPr>
            <w:tcW w:w="2551" w:type="dxa"/>
          </w:tcPr>
          <w:p w:rsidR="009C13A9" w:rsidRPr="009072DA" w:rsidRDefault="009C13A9" w:rsidP="009C13A9">
            <w:pPr>
              <w:overflowPunct w:val="0"/>
              <w:adjustRightInd w:val="0"/>
              <w:textAlignment w:val="baseline"/>
              <w:rPr>
                <w:rFonts w:cs="Arial"/>
                <w:sz w:val="18"/>
                <w:szCs w:val="20"/>
                <w:lang w:val="bg-BG"/>
              </w:rPr>
            </w:pPr>
          </w:p>
          <w:p w:rsidR="009C13A9" w:rsidRPr="009072DA" w:rsidRDefault="002C0BA5" w:rsidP="009C13A9">
            <w:pPr>
              <w:overflowPunct w:val="0"/>
              <w:adjustRightInd w:val="0"/>
              <w:jc w:val="center"/>
              <w:textAlignment w:val="baseline"/>
              <w:rPr>
                <w:rFonts w:cs="Arial"/>
                <w:sz w:val="18"/>
                <w:szCs w:val="20"/>
                <w:lang w:val="bg-BG"/>
              </w:rPr>
            </w:pPr>
            <w:r w:rsidRPr="009072DA">
              <w:rPr>
                <w:rFonts w:cs="Arial"/>
                <w:noProof/>
                <w:szCs w:val="20"/>
                <w:lang w:eastAsia="en-GB"/>
              </w:rPr>
              <w:drawing>
                <wp:inline distT="0" distB="0" distL="0" distR="0" wp14:anchorId="23F30C00" wp14:editId="3E201565">
                  <wp:extent cx="1282700" cy="12827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9072DA" w:rsidRDefault="009C13A9" w:rsidP="009C13A9">
            <w:pPr>
              <w:overflowPunct w:val="0"/>
              <w:adjustRightInd w:val="0"/>
              <w:textAlignment w:val="baseline"/>
              <w:rPr>
                <w:rFonts w:cs="Arial"/>
                <w:sz w:val="18"/>
                <w:szCs w:val="20"/>
                <w:lang w:val="bg-BG"/>
              </w:rPr>
            </w:pPr>
          </w:p>
        </w:tc>
        <w:tc>
          <w:tcPr>
            <w:tcW w:w="3328" w:type="dxa"/>
            <w:vAlign w:val="center"/>
          </w:tcPr>
          <w:p w:rsidR="009C13A9" w:rsidRPr="009072DA" w:rsidRDefault="009C13A9" w:rsidP="009C13A9">
            <w:pPr>
              <w:overflowPunct w:val="0"/>
              <w:adjustRightInd w:val="0"/>
              <w:textAlignment w:val="baseline"/>
              <w:rPr>
                <w:rFonts w:cs="Arial"/>
                <w:szCs w:val="20"/>
                <w:lang w:val="bg-BG"/>
              </w:rPr>
            </w:pPr>
            <w:r w:rsidRPr="009072DA">
              <w:rPr>
                <w:lang w:val="bg-BG"/>
              </w:rPr>
              <w:t>Цвят: синьо/бяло</w:t>
            </w:r>
          </w:p>
        </w:tc>
      </w:tr>
      <w:tr w:rsidR="009C13A9" w:rsidRPr="009072DA" w:rsidTr="009C13A9">
        <w:tc>
          <w:tcPr>
            <w:tcW w:w="3331" w:type="dxa"/>
            <w:tcBorders>
              <w:bottom w:val="single" w:sz="6" w:space="0" w:color="auto"/>
            </w:tcBorders>
            <w:vAlign w:val="center"/>
          </w:tcPr>
          <w:p w:rsidR="009C13A9" w:rsidRPr="009072DA"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szCs w:val="20"/>
                <w:lang w:val="bg-BG"/>
              </w:rPr>
            </w:pPr>
            <w:r w:rsidRPr="009072DA">
              <w:rPr>
                <w:lang w:val="bg-BG"/>
              </w:rPr>
              <w:t>Фигура 8</w:t>
            </w:r>
          </w:p>
          <w:p w:rsidR="009C13A9" w:rsidRPr="009072DA" w:rsidRDefault="009C13A9" w:rsidP="009C13A9">
            <w:pPr>
              <w:overflowPunct w:val="0"/>
              <w:adjustRightInd w:val="0"/>
              <w:textAlignment w:val="baseline"/>
              <w:rPr>
                <w:rFonts w:cs="Arial"/>
                <w:szCs w:val="20"/>
                <w:lang w:val="bg-BG"/>
              </w:rPr>
            </w:pPr>
            <w:r w:rsidRPr="009072DA">
              <w:rPr>
                <w:lang w:val="bg-BG"/>
              </w:rPr>
              <w:t>Комплект за оказване на първа помощ</w:t>
            </w:r>
          </w:p>
        </w:tc>
        <w:tc>
          <w:tcPr>
            <w:tcW w:w="2551" w:type="dxa"/>
            <w:tcBorders>
              <w:bottom w:val="single" w:sz="6" w:space="0" w:color="auto"/>
            </w:tcBorders>
          </w:tcPr>
          <w:p w:rsidR="009C13A9" w:rsidRPr="009072DA" w:rsidRDefault="00014931" w:rsidP="009C13A9">
            <w:pPr>
              <w:overflowPunct w:val="0"/>
              <w:adjustRightInd w:val="0"/>
              <w:spacing w:line="240" w:lineRule="atLeast"/>
              <w:textAlignment w:val="baseline"/>
              <w:rPr>
                <w:rFonts w:cs="Arial"/>
                <w:sz w:val="18"/>
                <w:szCs w:val="20"/>
                <w:lang w:val="bg-BG"/>
              </w:rPr>
            </w:pPr>
            <w:r w:rsidRPr="009072DA">
              <w:rPr>
                <w:rFonts w:cs="Arial"/>
                <w:noProof/>
                <w:sz w:val="18"/>
                <w:szCs w:val="20"/>
                <w:lang w:eastAsia="en-GB"/>
              </w:rPr>
              <w:drawing>
                <wp:inline distT="0" distB="0" distL="0" distR="0" wp14:anchorId="6FE1A2C6" wp14:editId="3E2E7307">
                  <wp:extent cx="1438275" cy="1438275"/>
                  <wp:effectExtent l="0" t="0" r="9525" b="9525"/>
                  <wp:docPr id="70" name="Image 70" descr="Verbandskas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Verbandskasten"/>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inline>
              </w:drawing>
            </w:r>
          </w:p>
        </w:tc>
        <w:tc>
          <w:tcPr>
            <w:tcW w:w="3328" w:type="dxa"/>
            <w:tcBorders>
              <w:bottom w:val="single" w:sz="6" w:space="0" w:color="auto"/>
            </w:tcBorders>
            <w:vAlign w:val="center"/>
          </w:tcPr>
          <w:p w:rsidR="009C13A9" w:rsidRPr="009072DA" w:rsidRDefault="009C13A9" w:rsidP="009C13A9">
            <w:pPr>
              <w:overflowPunct w:val="0"/>
              <w:adjustRightInd w:val="0"/>
              <w:textAlignment w:val="baseline"/>
              <w:rPr>
                <w:rFonts w:cs="Arial"/>
                <w:szCs w:val="20"/>
                <w:lang w:val="bg-BG"/>
              </w:rPr>
            </w:pPr>
            <w:r w:rsidRPr="009072DA">
              <w:rPr>
                <w:lang w:val="bg-BG"/>
              </w:rPr>
              <w:t>Цвят: зелено/бяло</w:t>
            </w:r>
          </w:p>
        </w:tc>
      </w:tr>
      <w:tr w:rsidR="009C13A9" w:rsidRPr="009072DA" w:rsidTr="009C13A9">
        <w:tc>
          <w:tcPr>
            <w:tcW w:w="3331" w:type="dxa"/>
            <w:tcBorders>
              <w:bottom w:val="single" w:sz="4" w:space="0" w:color="auto"/>
            </w:tcBorders>
            <w:vAlign w:val="center"/>
          </w:tcPr>
          <w:p w:rsidR="009C13A9" w:rsidRPr="009072DA" w:rsidRDefault="009C13A9" w:rsidP="009C13A9">
            <w:pPr>
              <w:rPr>
                <w:rFonts w:cs="Arial"/>
                <w:szCs w:val="20"/>
                <w:lang w:val="bg-BG"/>
              </w:rPr>
            </w:pPr>
            <w:r w:rsidRPr="009072DA">
              <w:rPr>
                <w:lang w:val="bg-BG"/>
              </w:rPr>
              <w:lastRenderedPageBreak/>
              <w:t>Фигура 9</w:t>
            </w:r>
          </w:p>
          <w:p w:rsidR="009C13A9" w:rsidRPr="009072DA" w:rsidRDefault="009C13A9" w:rsidP="009C13A9">
            <w:pPr>
              <w:overflowPunct w:val="0"/>
              <w:adjustRightInd w:val="0"/>
              <w:textAlignment w:val="baseline"/>
              <w:rPr>
                <w:rFonts w:cs="Arial"/>
                <w:szCs w:val="20"/>
                <w:lang w:val="bg-BG"/>
              </w:rPr>
            </w:pPr>
            <w:r w:rsidRPr="009072DA">
              <w:rPr>
                <w:lang w:val="bg-BG"/>
              </w:rPr>
              <w:t>Бързозатварящ се клапан на резервоара </w:t>
            </w:r>
          </w:p>
        </w:tc>
        <w:tc>
          <w:tcPr>
            <w:tcW w:w="2551" w:type="dxa"/>
            <w:tcBorders>
              <w:bottom w:val="single" w:sz="4" w:space="0" w:color="auto"/>
            </w:tcBorders>
          </w:tcPr>
          <w:p w:rsidR="009C13A9" w:rsidRPr="009072DA" w:rsidRDefault="00014931" w:rsidP="009C13A9">
            <w:pPr>
              <w:overflowPunct w:val="0"/>
              <w:adjustRightInd w:val="0"/>
              <w:spacing w:line="240" w:lineRule="atLeast"/>
              <w:textAlignment w:val="baseline"/>
              <w:rPr>
                <w:rFonts w:cs="Arial"/>
                <w:sz w:val="18"/>
                <w:szCs w:val="20"/>
                <w:lang w:val="bg-BG"/>
              </w:rPr>
            </w:pPr>
            <w:r w:rsidRPr="009072DA">
              <w:rPr>
                <w:rFonts w:cs="Arial"/>
                <w:noProof/>
                <w:sz w:val="18"/>
                <w:szCs w:val="20"/>
                <w:lang w:eastAsia="en-GB"/>
              </w:rPr>
              <w:drawing>
                <wp:anchor distT="0" distB="0" distL="0" distR="0" simplePos="0" relativeHeight="251648000" behindDoc="0" locked="0" layoutInCell="1" allowOverlap="1" wp14:anchorId="16FF9901" wp14:editId="669D7D73">
                  <wp:simplePos x="0" y="0"/>
                  <wp:positionH relativeFrom="column">
                    <wp:posOffset>34290</wp:posOffset>
                  </wp:positionH>
                  <wp:positionV relativeFrom="paragraph">
                    <wp:posOffset>-1162050</wp:posOffset>
                  </wp:positionV>
                  <wp:extent cx="1463040" cy="1167765"/>
                  <wp:effectExtent l="0" t="0" r="3810" b="0"/>
                  <wp:wrapTopAndBottom/>
                  <wp:docPr id="28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463040" cy="1167765"/>
                          </a:xfrm>
                          <a:prstGeom prst="rect">
                            <a:avLst/>
                          </a:prstGeom>
                          <a:solidFill>
                            <a:srgbClr val="FFFFFF"/>
                          </a:solidFill>
                          <a:ln>
                            <a:noFill/>
                          </a:ln>
                        </pic:spPr>
                      </pic:pic>
                    </a:graphicData>
                  </a:graphic>
                </wp:anchor>
              </w:drawing>
            </w:r>
          </w:p>
        </w:tc>
        <w:tc>
          <w:tcPr>
            <w:tcW w:w="3328" w:type="dxa"/>
            <w:tcBorders>
              <w:bottom w:val="single" w:sz="4" w:space="0" w:color="auto"/>
            </w:tcBorders>
            <w:vAlign w:val="center"/>
          </w:tcPr>
          <w:p w:rsidR="009C13A9" w:rsidRPr="009072DA" w:rsidRDefault="009C13A9" w:rsidP="009C13A9">
            <w:pPr>
              <w:overflowPunct w:val="0"/>
              <w:adjustRightInd w:val="0"/>
              <w:textAlignment w:val="baseline"/>
              <w:rPr>
                <w:rFonts w:cs="Arial"/>
                <w:szCs w:val="20"/>
                <w:lang w:val="bg-BG"/>
              </w:rPr>
            </w:pPr>
            <w:r w:rsidRPr="009072DA">
              <w:rPr>
                <w:lang w:val="bg-BG"/>
              </w:rPr>
              <w:t>Цвят: кафяво/бяло</w:t>
            </w:r>
          </w:p>
        </w:tc>
      </w:tr>
    </w:tbl>
    <w:p w:rsidR="009C13A9" w:rsidRPr="009072DA" w:rsidRDefault="009C13A9" w:rsidP="009C13A9">
      <w:pPr>
        <w:overflowPunct w:val="0"/>
        <w:adjustRightInd w:val="0"/>
        <w:textAlignment w:val="baseline"/>
        <w:rPr>
          <w:rFonts w:cs="Arial"/>
          <w:szCs w:val="20"/>
          <w:lang w:val="bg-BG"/>
        </w:rPr>
      </w:pPr>
    </w:p>
    <w:p w:rsidR="009C13A9" w:rsidRPr="009072DA" w:rsidRDefault="009C13A9" w:rsidP="009C13A9">
      <w:pPr>
        <w:overflowPunct w:val="0"/>
        <w:adjustRightInd w:val="0"/>
        <w:textAlignment w:val="baseline"/>
        <w:rPr>
          <w:rFonts w:cs="Arial"/>
          <w:szCs w:val="20"/>
          <w:lang w:val="bg-BG"/>
        </w:rPr>
      </w:pPr>
      <w:r w:rsidRPr="009072DA">
        <w:rPr>
          <w:lang w:val="bg-BG"/>
        </w:rPr>
        <w:br w:type="page"/>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9C13A9" w:rsidRPr="009072DA" w:rsidTr="009C13A9">
        <w:trPr>
          <w:trHeight w:val="2552"/>
        </w:trPr>
        <w:tc>
          <w:tcPr>
            <w:tcW w:w="3331" w:type="dxa"/>
            <w:tcBorders>
              <w:top w:val="single" w:sz="6" w:space="0" w:color="auto"/>
              <w:left w:val="single" w:sz="6" w:space="0" w:color="auto"/>
              <w:bottom w:val="single" w:sz="6" w:space="0" w:color="auto"/>
              <w:right w:val="single" w:sz="6" w:space="0" w:color="auto"/>
            </w:tcBorders>
            <w:vAlign w:val="center"/>
          </w:tcPr>
          <w:p w:rsidR="009C13A9" w:rsidRPr="009072DA" w:rsidRDefault="009C13A9" w:rsidP="009C13A9">
            <w:pPr>
              <w:rPr>
                <w:rFonts w:cs="Arial"/>
                <w:szCs w:val="20"/>
                <w:lang w:val="bg-BG"/>
              </w:rPr>
            </w:pPr>
            <w:r w:rsidRPr="009072DA">
              <w:rPr>
                <w:lang w:val="bg-BG"/>
              </w:rPr>
              <w:lastRenderedPageBreak/>
              <w:t>Фигура 10</w:t>
            </w:r>
          </w:p>
          <w:p w:rsidR="009C13A9" w:rsidRPr="009072DA" w:rsidRDefault="009C13A9" w:rsidP="009C13A9">
            <w:pPr>
              <w:overflowPunct w:val="0"/>
              <w:adjustRightInd w:val="0"/>
              <w:textAlignment w:val="baseline"/>
              <w:rPr>
                <w:rFonts w:cs="Arial"/>
                <w:szCs w:val="20"/>
                <w:lang w:val="bg-BG"/>
              </w:rPr>
            </w:pPr>
            <w:r w:rsidRPr="009072DA">
              <w:rPr>
                <w:lang w:val="bg-BG"/>
              </w:rPr>
              <w:t>Носете спасителна жилетка</w:t>
            </w:r>
          </w:p>
        </w:tc>
        <w:tc>
          <w:tcPr>
            <w:tcW w:w="2551" w:type="dxa"/>
            <w:tcBorders>
              <w:top w:val="single" w:sz="6" w:space="0" w:color="auto"/>
              <w:left w:val="single" w:sz="6" w:space="0" w:color="auto"/>
              <w:bottom w:val="single" w:sz="6" w:space="0" w:color="auto"/>
              <w:right w:val="single" w:sz="6" w:space="0" w:color="auto"/>
            </w:tcBorders>
          </w:tcPr>
          <w:p w:rsidR="009C13A9" w:rsidRPr="009072DA" w:rsidRDefault="00014931" w:rsidP="009C13A9">
            <w:pPr>
              <w:overflowPunct w:val="0"/>
              <w:adjustRightInd w:val="0"/>
              <w:spacing w:line="240" w:lineRule="atLeast"/>
              <w:textAlignment w:val="baseline"/>
              <w:rPr>
                <w:rFonts w:cs="Arial"/>
                <w:sz w:val="18"/>
                <w:szCs w:val="20"/>
                <w:lang w:val="bg-BG"/>
              </w:rPr>
            </w:pPr>
            <w:r w:rsidRPr="009072DA">
              <w:rPr>
                <w:rFonts w:cs="Arial"/>
                <w:noProof/>
                <w:sz w:val="18"/>
                <w:szCs w:val="20"/>
                <w:lang w:eastAsia="en-GB"/>
              </w:rPr>
              <w:drawing>
                <wp:anchor distT="0" distB="0" distL="114300" distR="114300" simplePos="0" relativeHeight="251649024" behindDoc="0" locked="0" layoutInCell="1" allowOverlap="1" wp14:anchorId="42E2868F" wp14:editId="0750F75E">
                  <wp:simplePos x="0" y="0"/>
                  <wp:positionH relativeFrom="column">
                    <wp:posOffset>-3810</wp:posOffset>
                  </wp:positionH>
                  <wp:positionV relativeFrom="paragraph">
                    <wp:posOffset>51435</wp:posOffset>
                  </wp:positionV>
                  <wp:extent cx="1530985" cy="1530985"/>
                  <wp:effectExtent l="0" t="0" r="0" b="0"/>
                  <wp:wrapNone/>
                  <wp:docPr id="287"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530985" cy="1530985"/>
                          </a:xfrm>
                          <a:prstGeom prst="rect">
                            <a:avLst/>
                          </a:prstGeom>
                          <a:noFill/>
                          <a:ln>
                            <a:noFill/>
                          </a:ln>
                        </pic:spPr>
                      </pic:pic>
                    </a:graphicData>
                  </a:graphic>
                </wp:anchor>
              </w:drawing>
            </w:r>
          </w:p>
        </w:tc>
        <w:tc>
          <w:tcPr>
            <w:tcW w:w="3328" w:type="dxa"/>
            <w:tcBorders>
              <w:top w:val="single" w:sz="6" w:space="0" w:color="auto"/>
              <w:left w:val="single" w:sz="6" w:space="0" w:color="auto"/>
              <w:bottom w:val="single" w:sz="6" w:space="0" w:color="auto"/>
              <w:right w:val="single" w:sz="6" w:space="0" w:color="auto"/>
            </w:tcBorders>
            <w:vAlign w:val="center"/>
          </w:tcPr>
          <w:p w:rsidR="009C13A9" w:rsidRPr="009072DA" w:rsidRDefault="009C13A9" w:rsidP="005C7DB3">
            <w:pPr>
              <w:rPr>
                <w:rFonts w:cs="Arial"/>
                <w:szCs w:val="20"/>
                <w:lang w:val="bg-BG"/>
              </w:rPr>
            </w:pPr>
            <w:r w:rsidRPr="009072DA">
              <w:rPr>
                <w:lang w:val="bg-BG"/>
              </w:rPr>
              <w:t>Цвят: синьо/бяло</w:t>
            </w:r>
          </w:p>
        </w:tc>
      </w:tr>
      <w:tr w:rsidR="005C7DB3" w:rsidRPr="009072DA" w:rsidTr="009C13A9">
        <w:trPr>
          <w:trHeight w:val="2552"/>
        </w:trPr>
        <w:tc>
          <w:tcPr>
            <w:tcW w:w="3331" w:type="dxa"/>
            <w:tcBorders>
              <w:top w:val="single" w:sz="6" w:space="0" w:color="auto"/>
              <w:left w:val="single" w:sz="6" w:space="0" w:color="auto"/>
              <w:bottom w:val="single" w:sz="6" w:space="0" w:color="auto"/>
              <w:right w:val="single" w:sz="6" w:space="0" w:color="auto"/>
            </w:tcBorders>
            <w:vAlign w:val="center"/>
          </w:tcPr>
          <w:p w:rsidR="005C7DB3" w:rsidRPr="009072DA" w:rsidRDefault="005C7DB3" w:rsidP="00A94102">
            <w:pPr>
              <w:tabs>
                <w:tab w:val="left" w:pos="454"/>
                <w:tab w:val="left" w:pos="907"/>
                <w:tab w:val="left" w:pos="1361"/>
                <w:tab w:val="left" w:pos="1814"/>
              </w:tabs>
              <w:overflowPunct w:val="0"/>
              <w:adjustRightInd w:val="0"/>
              <w:spacing w:before="240" w:line="240" w:lineRule="exact"/>
              <w:textAlignment w:val="baseline"/>
              <w:rPr>
                <w:szCs w:val="20"/>
                <w:lang w:val="bg-BG"/>
              </w:rPr>
            </w:pPr>
            <w:r w:rsidRPr="009072DA">
              <w:rPr>
                <w:lang w:val="bg-BG"/>
              </w:rPr>
              <w:t>Фигура 11</w:t>
            </w:r>
          </w:p>
          <w:p w:rsidR="005C7DB3" w:rsidRPr="009072DA" w:rsidRDefault="005C7DB3" w:rsidP="00A94102">
            <w:pPr>
              <w:overflowPunct w:val="0"/>
              <w:adjustRightInd w:val="0"/>
              <w:textAlignment w:val="baseline"/>
              <w:rPr>
                <w:szCs w:val="20"/>
                <w:lang w:val="bg-BG"/>
              </w:rPr>
            </w:pPr>
            <w:r w:rsidRPr="009072DA">
              <w:rPr>
                <w:lang w:val="bg-BG"/>
              </w:rPr>
              <w:t>Предупреждение за втечнен природен газ</w:t>
            </w:r>
          </w:p>
        </w:tc>
        <w:tc>
          <w:tcPr>
            <w:tcW w:w="2551" w:type="dxa"/>
            <w:tcBorders>
              <w:top w:val="single" w:sz="6" w:space="0" w:color="auto"/>
              <w:left w:val="single" w:sz="6" w:space="0" w:color="auto"/>
              <w:bottom w:val="single" w:sz="6" w:space="0" w:color="auto"/>
              <w:right w:val="single" w:sz="6" w:space="0" w:color="auto"/>
            </w:tcBorders>
          </w:tcPr>
          <w:p w:rsidR="005C7DB3" w:rsidRPr="009072DA" w:rsidRDefault="005C7DB3" w:rsidP="00A94102">
            <w:pPr>
              <w:overflowPunct w:val="0"/>
              <w:adjustRightInd w:val="0"/>
              <w:jc w:val="center"/>
              <w:textAlignment w:val="baseline"/>
              <w:rPr>
                <w:szCs w:val="20"/>
                <w:lang w:val="bg-BG"/>
              </w:rPr>
            </w:pPr>
            <w:r w:rsidRPr="009072DA">
              <w:rPr>
                <w:noProof/>
                <w:szCs w:val="20"/>
                <w:lang w:eastAsia="en-GB"/>
              </w:rPr>
              <w:drawing>
                <wp:inline distT="0" distB="0" distL="0" distR="0" wp14:anchorId="482E7557" wp14:editId="39585A2E">
                  <wp:extent cx="1585240" cy="1457325"/>
                  <wp:effectExtent l="0" t="0" r="0" b="0"/>
                  <wp:docPr id="4" name="Image 4" descr="panneau L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nneau LN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593290" cy="1464725"/>
                          </a:xfrm>
                          <a:prstGeom prst="rect">
                            <a:avLst/>
                          </a:prstGeom>
                          <a:noFill/>
                          <a:ln>
                            <a:noFill/>
                          </a:ln>
                        </pic:spPr>
                      </pic:pic>
                    </a:graphicData>
                  </a:graphic>
                </wp:inline>
              </w:drawing>
            </w:r>
          </w:p>
        </w:tc>
        <w:tc>
          <w:tcPr>
            <w:tcW w:w="3328" w:type="dxa"/>
            <w:tcBorders>
              <w:top w:val="single" w:sz="6" w:space="0" w:color="auto"/>
              <w:left w:val="single" w:sz="6" w:space="0" w:color="auto"/>
              <w:bottom w:val="single" w:sz="6" w:space="0" w:color="auto"/>
              <w:right w:val="single" w:sz="6" w:space="0" w:color="auto"/>
            </w:tcBorders>
            <w:vAlign w:val="center"/>
          </w:tcPr>
          <w:p w:rsidR="005C7DB3" w:rsidRPr="009072DA" w:rsidRDefault="005C7DB3" w:rsidP="00A94102">
            <w:pPr>
              <w:overflowPunct w:val="0"/>
              <w:adjustRightInd w:val="0"/>
              <w:textAlignment w:val="baseline"/>
              <w:rPr>
                <w:szCs w:val="20"/>
                <w:lang w:val="bg-BG"/>
              </w:rPr>
            </w:pPr>
            <w:r w:rsidRPr="009072DA">
              <w:rPr>
                <w:lang w:val="bg-BG"/>
              </w:rPr>
              <w:t>Цвят: черно/жълто</w:t>
            </w:r>
          </w:p>
        </w:tc>
      </w:tr>
    </w:tbl>
    <w:p w:rsidR="009C13A9" w:rsidRPr="009072DA" w:rsidRDefault="009C13A9" w:rsidP="009C13A9">
      <w:pPr>
        <w:tabs>
          <w:tab w:val="left" w:pos="6237"/>
        </w:tabs>
        <w:overflowPunct w:val="0"/>
        <w:adjustRightInd w:val="0"/>
        <w:textAlignment w:val="baseline"/>
        <w:rPr>
          <w:rFonts w:cs="Arial"/>
          <w:sz w:val="18"/>
          <w:szCs w:val="20"/>
          <w:lang w:val="bg-BG"/>
        </w:rPr>
      </w:pPr>
    </w:p>
    <w:p w:rsidR="009C13A9" w:rsidRPr="009072DA" w:rsidRDefault="009C13A9" w:rsidP="009C13A9">
      <w:pPr>
        <w:tabs>
          <w:tab w:val="left" w:pos="284"/>
          <w:tab w:val="left" w:leader="dot" w:pos="3402"/>
          <w:tab w:val="left" w:pos="4536"/>
          <w:tab w:val="left" w:leader="dot" w:pos="8505"/>
        </w:tabs>
        <w:overflowPunct w:val="0"/>
        <w:adjustRightInd w:val="0"/>
        <w:textAlignment w:val="baseline"/>
        <w:rPr>
          <w:rFonts w:cs="Arial"/>
          <w:szCs w:val="20"/>
          <w:lang w:val="bg-BG"/>
        </w:rPr>
      </w:pPr>
      <w:r w:rsidRPr="009072DA">
        <w:rPr>
          <w:lang w:val="bg-BG"/>
        </w:rPr>
        <w:t>Реално използваните символи може леко да се различават или да бъдат по-подробни от графичните изображения в настоящото приложение, стига значението да не бъде променено и разликите и промените да не го правят неразбираемо.</w:t>
      </w:r>
    </w:p>
    <w:p w:rsidR="009C13A9" w:rsidRPr="009072DA" w:rsidRDefault="009C13A9" w:rsidP="009C13A9">
      <w:pPr>
        <w:tabs>
          <w:tab w:val="left" w:pos="284"/>
          <w:tab w:val="left" w:leader="dot" w:pos="3402"/>
          <w:tab w:val="left" w:pos="4536"/>
          <w:tab w:val="left" w:leader="dot" w:pos="8505"/>
        </w:tabs>
        <w:overflowPunct w:val="0"/>
        <w:adjustRightInd w:val="0"/>
        <w:textAlignment w:val="baseline"/>
        <w:rPr>
          <w:rFonts w:cs="Arial"/>
          <w:szCs w:val="20"/>
          <w:lang w:val="bg-BG"/>
        </w:rPr>
      </w:pPr>
    </w:p>
    <w:p w:rsidR="009C13A9" w:rsidRPr="009072DA" w:rsidRDefault="009C13A9" w:rsidP="009C13A9">
      <w:pPr>
        <w:tabs>
          <w:tab w:val="left" w:pos="284"/>
          <w:tab w:val="left" w:leader="dot" w:pos="3402"/>
          <w:tab w:val="left" w:pos="4536"/>
          <w:tab w:val="left" w:leader="dot" w:pos="8505"/>
        </w:tabs>
        <w:overflowPunct w:val="0"/>
        <w:adjustRightInd w:val="0"/>
        <w:textAlignment w:val="baseline"/>
        <w:rPr>
          <w:rFonts w:cs="Arial"/>
          <w:szCs w:val="20"/>
          <w:lang w:val="bg-BG"/>
        </w:rPr>
      </w:pPr>
      <w:r w:rsidRPr="009072DA">
        <w:rPr>
          <w:lang w:val="bg-BG"/>
        </w:rPr>
        <w:br w:type="page"/>
      </w:r>
    </w:p>
    <w:p w:rsidR="009C13A9" w:rsidRPr="009072DA" w:rsidRDefault="009C13A9" w:rsidP="009C13A9">
      <w:pPr>
        <w:tabs>
          <w:tab w:val="left" w:pos="284"/>
          <w:tab w:val="left" w:leader="dot" w:pos="3402"/>
          <w:tab w:val="left" w:pos="4536"/>
          <w:tab w:val="left" w:leader="dot" w:pos="8505"/>
        </w:tabs>
        <w:overflowPunct w:val="0"/>
        <w:adjustRightInd w:val="0"/>
        <w:textAlignment w:val="baseline"/>
        <w:rPr>
          <w:rFonts w:cs="Arial"/>
          <w:szCs w:val="20"/>
          <w:lang w:val="bg-BG"/>
        </w:rPr>
      </w:pPr>
    </w:p>
    <w:p w:rsidR="009C13A9" w:rsidRPr="009072DA" w:rsidRDefault="009C13A9" w:rsidP="009C13A9">
      <w:pPr>
        <w:tabs>
          <w:tab w:val="left" w:pos="284"/>
          <w:tab w:val="left" w:leader="dot" w:pos="3402"/>
          <w:tab w:val="left" w:pos="4536"/>
          <w:tab w:val="left" w:leader="dot" w:pos="8505"/>
        </w:tabs>
        <w:overflowPunct w:val="0"/>
        <w:adjustRightInd w:val="0"/>
        <w:textAlignment w:val="baseline"/>
        <w:rPr>
          <w:rFonts w:cs="Arial"/>
          <w:szCs w:val="20"/>
          <w:lang w:val="bg-BG"/>
        </w:rPr>
      </w:pPr>
    </w:p>
    <w:p w:rsidR="009C13A9" w:rsidRPr="009072DA" w:rsidRDefault="009C13A9" w:rsidP="009C13A9">
      <w:pPr>
        <w:tabs>
          <w:tab w:val="left" w:pos="284"/>
          <w:tab w:val="left" w:leader="dot" w:pos="3402"/>
          <w:tab w:val="left" w:pos="4536"/>
          <w:tab w:val="left" w:leader="dot" w:pos="8505"/>
        </w:tabs>
        <w:overflowPunct w:val="0"/>
        <w:adjustRightInd w:val="0"/>
        <w:textAlignment w:val="baseline"/>
        <w:rPr>
          <w:rFonts w:cs="Arial"/>
          <w:szCs w:val="20"/>
          <w:lang w:val="bg-BG"/>
        </w:rPr>
      </w:pPr>
    </w:p>
    <w:p w:rsidR="009C13A9" w:rsidRPr="009072DA" w:rsidRDefault="009C13A9" w:rsidP="009C13A9">
      <w:pPr>
        <w:overflowPunct w:val="0"/>
        <w:adjustRightInd w:val="0"/>
        <w:textAlignment w:val="baseline"/>
        <w:rPr>
          <w:rFonts w:ascii="Times New Roman" w:hAnsi="Times New Roman"/>
          <w:szCs w:val="20"/>
          <w:lang w:val="bg-BG"/>
        </w:rPr>
      </w:pPr>
      <w:r w:rsidRPr="009072DA">
        <w:rPr>
          <w:lang w:val="bg-BG"/>
        </w:rPr>
        <w:br w:type="page"/>
      </w:r>
    </w:p>
    <w:p w:rsidR="009C13A9" w:rsidRPr="009072DA" w:rsidRDefault="009C13A9" w:rsidP="00857FC2">
      <w:pPr>
        <w:pStyle w:val="ES-Titre2"/>
        <w:pageBreakBefore w:val="0"/>
      </w:pPr>
      <w:bookmarkStart w:id="633" w:name="_Toc491854309"/>
      <w:bookmarkStart w:id="634" w:name="_Toc535827750"/>
      <w:r w:rsidRPr="009072DA">
        <w:lastRenderedPageBreak/>
        <w:t>Приложение 5</w:t>
      </w:r>
      <w:r w:rsidRPr="009072DA">
        <w:br/>
        <w:t>Навигационни и информационни устройства</w:t>
      </w:r>
      <w:bookmarkEnd w:id="633"/>
      <w:bookmarkEnd w:id="634"/>
    </w:p>
    <w:p w:rsidR="009C13A9" w:rsidRPr="009072DA" w:rsidRDefault="009C13A9" w:rsidP="009C13A9">
      <w:pPr>
        <w:overflowPunct w:val="0"/>
        <w:adjustRightInd w:val="0"/>
        <w:textAlignment w:val="baseline"/>
        <w:rPr>
          <w:rFonts w:cs="Arial"/>
          <w:szCs w:val="20"/>
          <w:lang w:val="bg-BG"/>
        </w:rPr>
      </w:pPr>
    </w:p>
    <w:p w:rsidR="009C13A9" w:rsidRPr="009072DA" w:rsidRDefault="009C13A9" w:rsidP="009C13A9">
      <w:pPr>
        <w:overflowPunct w:val="0"/>
        <w:adjustRightInd w:val="0"/>
        <w:spacing w:line="240" w:lineRule="atLeast"/>
        <w:jc w:val="center"/>
        <w:textAlignment w:val="baseline"/>
        <w:rPr>
          <w:rFonts w:cs="Arial"/>
          <w:bCs/>
          <w:lang w:val="bg-BG"/>
        </w:rPr>
      </w:pPr>
    </w:p>
    <w:p w:rsidR="009C13A9" w:rsidRPr="009072DA" w:rsidRDefault="009C13A9" w:rsidP="009C13A9">
      <w:pPr>
        <w:overflowPunct w:val="0"/>
        <w:adjustRightInd w:val="0"/>
        <w:spacing w:line="240" w:lineRule="atLeast"/>
        <w:jc w:val="center"/>
        <w:textAlignment w:val="baseline"/>
        <w:rPr>
          <w:rFonts w:cs="Arial"/>
          <w:b/>
          <w:bCs/>
          <w:lang w:val="bg-BG"/>
        </w:rPr>
      </w:pPr>
      <w:r w:rsidRPr="009072DA">
        <w:rPr>
          <w:b/>
          <w:lang w:val="bg-BG"/>
        </w:rPr>
        <w:t>Съдържание</w:t>
      </w:r>
    </w:p>
    <w:p w:rsidR="009C13A9" w:rsidRPr="009072DA" w:rsidRDefault="009C13A9" w:rsidP="009C13A9">
      <w:pPr>
        <w:overflowPunct w:val="0"/>
        <w:adjustRightInd w:val="0"/>
        <w:spacing w:line="240" w:lineRule="atLeast"/>
        <w:jc w:val="center"/>
        <w:textAlignment w:val="baseline"/>
        <w:rPr>
          <w:rFonts w:cs="Arial"/>
          <w:lang w:val="bg-BG"/>
        </w:rPr>
      </w:pPr>
    </w:p>
    <w:p w:rsidR="009C13A9" w:rsidRPr="009072DA" w:rsidRDefault="009C13A9" w:rsidP="009C13A9">
      <w:pPr>
        <w:overflowPunct w:val="0"/>
        <w:adjustRightInd w:val="0"/>
        <w:spacing w:line="240" w:lineRule="atLeast"/>
        <w:ind w:left="1134" w:hanging="1134"/>
        <w:textAlignment w:val="baseline"/>
        <w:rPr>
          <w:rFonts w:cs="Arial"/>
          <w:b/>
          <w:bCs/>
          <w:szCs w:val="20"/>
          <w:lang w:val="bg-BG"/>
        </w:rPr>
      </w:pPr>
      <w:r w:rsidRPr="009072DA">
        <w:rPr>
          <w:b/>
          <w:lang w:val="bg-BG"/>
        </w:rPr>
        <w:t>Определения</w:t>
      </w:r>
    </w:p>
    <w:p w:rsidR="009C13A9" w:rsidRPr="009072DA" w:rsidRDefault="009C13A9" w:rsidP="009C13A9">
      <w:pPr>
        <w:overflowPunct w:val="0"/>
        <w:adjustRightInd w:val="0"/>
        <w:spacing w:line="240" w:lineRule="atLeast"/>
        <w:ind w:left="1134" w:hanging="1134"/>
        <w:textAlignment w:val="baseline"/>
        <w:rPr>
          <w:rFonts w:cs="Arial"/>
          <w:b/>
          <w:bCs/>
          <w:szCs w:val="20"/>
          <w:lang w:val="bg-BG"/>
        </w:rPr>
      </w:pPr>
    </w:p>
    <w:p w:rsidR="009C13A9" w:rsidRPr="009072DA" w:rsidRDefault="00925755" w:rsidP="009C13A9">
      <w:pPr>
        <w:overflowPunct w:val="0"/>
        <w:adjustRightInd w:val="0"/>
        <w:spacing w:line="240" w:lineRule="atLeast"/>
        <w:ind w:left="1134" w:hanging="1134"/>
        <w:textAlignment w:val="baseline"/>
        <w:rPr>
          <w:rFonts w:cs="Arial"/>
          <w:szCs w:val="20"/>
          <w:lang w:val="bg-BG"/>
        </w:rPr>
      </w:pPr>
      <w:r w:rsidRPr="009072DA">
        <w:rPr>
          <w:b/>
          <w:lang w:val="bg-BG"/>
        </w:rPr>
        <w:t>Раздел I</w:t>
      </w:r>
      <w:r w:rsidRPr="009072DA">
        <w:rPr>
          <w:lang w:val="bg-BG"/>
        </w:rPr>
        <w:tab/>
        <w:t>Минимални изисквания и условия на изпитване на навигационното радиолокационно оборудване, използвано при плаване по вътрешните водни пътища</w:t>
      </w:r>
    </w:p>
    <w:p w:rsidR="001077F3" w:rsidRPr="009072DA" w:rsidRDefault="001077F3" w:rsidP="00C92875">
      <w:pPr>
        <w:overflowPunct w:val="0"/>
        <w:adjustRightInd w:val="0"/>
        <w:spacing w:line="240" w:lineRule="atLeast"/>
        <w:ind w:left="2410" w:hanging="1276"/>
        <w:textAlignment w:val="baseline"/>
        <w:rPr>
          <w:rFonts w:cs="Arial"/>
          <w:szCs w:val="20"/>
          <w:lang w:val="bg-BG"/>
        </w:rPr>
      </w:pPr>
      <w:r w:rsidRPr="009072DA">
        <w:rPr>
          <w:lang w:val="bg-BG"/>
        </w:rPr>
        <w:t>Допълнение:</w:t>
      </w:r>
      <w:r w:rsidRPr="009072DA">
        <w:rPr>
          <w:lang w:val="bg-BG"/>
        </w:rPr>
        <w:tab/>
        <w:t>Оборудване за ECDIS за вътрешните водни пътища, самостоятелно оборудване, свързано с радиолокационно оборудване</w:t>
      </w:r>
    </w:p>
    <w:p w:rsidR="009C13A9" w:rsidRPr="009072DA" w:rsidRDefault="009C13A9" w:rsidP="009C13A9">
      <w:pPr>
        <w:overflowPunct w:val="0"/>
        <w:adjustRightInd w:val="0"/>
        <w:spacing w:line="240" w:lineRule="atLeast"/>
        <w:ind w:left="1134" w:hanging="1134"/>
        <w:textAlignment w:val="baseline"/>
        <w:rPr>
          <w:rFonts w:cs="Arial"/>
          <w:szCs w:val="20"/>
          <w:lang w:val="bg-BG"/>
        </w:rPr>
      </w:pPr>
    </w:p>
    <w:p w:rsidR="009C13A9" w:rsidRPr="009072DA" w:rsidRDefault="00925755" w:rsidP="009C13A9">
      <w:pPr>
        <w:overflowPunct w:val="0"/>
        <w:adjustRightInd w:val="0"/>
        <w:spacing w:line="240" w:lineRule="atLeast"/>
        <w:ind w:left="1134" w:hanging="1134"/>
        <w:textAlignment w:val="baseline"/>
        <w:rPr>
          <w:rFonts w:cs="Arial"/>
          <w:szCs w:val="20"/>
          <w:lang w:val="bg-BG"/>
        </w:rPr>
      </w:pPr>
      <w:r w:rsidRPr="009072DA">
        <w:rPr>
          <w:b/>
          <w:lang w:val="bg-BG"/>
        </w:rPr>
        <w:t>Раздел II</w:t>
      </w:r>
      <w:r w:rsidRPr="009072DA">
        <w:rPr>
          <w:lang w:val="bg-BG"/>
        </w:rPr>
        <w:tab/>
        <w:t>Минимални изисквания и условия на изпитване на индикаторите на ъгловата скорост на поворот, използвани при плаване по вътрешните водни пътища</w:t>
      </w:r>
    </w:p>
    <w:p w:rsidR="009C13A9" w:rsidRPr="009072DA" w:rsidRDefault="009C13A9" w:rsidP="009C13A9">
      <w:pPr>
        <w:overflowPunct w:val="0"/>
        <w:adjustRightInd w:val="0"/>
        <w:spacing w:line="240" w:lineRule="atLeast"/>
        <w:ind w:left="2410" w:hanging="1276"/>
        <w:textAlignment w:val="baseline"/>
        <w:rPr>
          <w:rFonts w:cs="Arial"/>
          <w:szCs w:val="20"/>
          <w:lang w:val="bg-BG"/>
        </w:rPr>
      </w:pPr>
      <w:r w:rsidRPr="009072DA">
        <w:rPr>
          <w:lang w:val="bg-BG"/>
        </w:rPr>
        <w:t>Глава 1</w:t>
      </w:r>
      <w:r w:rsidRPr="009072DA">
        <w:rPr>
          <w:lang w:val="bg-BG"/>
        </w:rPr>
        <w:tab/>
        <w:t>Общи положения</w:t>
      </w:r>
    </w:p>
    <w:p w:rsidR="009C13A9" w:rsidRPr="009072DA" w:rsidRDefault="009C13A9" w:rsidP="009C13A9">
      <w:pPr>
        <w:tabs>
          <w:tab w:val="left" w:pos="2410"/>
        </w:tabs>
        <w:overflowPunct w:val="0"/>
        <w:adjustRightInd w:val="0"/>
        <w:spacing w:before="60" w:line="240" w:lineRule="atLeast"/>
        <w:ind w:left="2410" w:hanging="1276"/>
        <w:textAlignment w:val="baseline"/>
        <w:rPr>
          <w:rFonts w:cs="Arial"/>
          <w:szCs w:val="20"/>
          <w:lang w:val="bg-BG"/>
        </w:rPr>
      </w:pPr>
      <w:r w:rsidRPr="009072DA">
        <w:rPr>
          <w:lang w:val="bg-BG"/>
        </w:rPr>
        <w:t xml:space="preserve">Глава 2 </w:t>
      </w:r>
      <w:r w:rsidRPr="009072DA">
        <w:rPr>
          <w:lang w:val="bg-BG"/>
        </w:rPr>
        <w:tab/>
        <w:t>Общи минимални изисквания за индикатори на ъгловата скорост на поворот</w:t>
      </w:r>
    </w:p>
    <w:p w:rsidR="009C13A9" w:rsidRPr="009072DA" w:rsidRDefault="009C13A9" w:rsidP="009C13A9">
      <w:pPr>
        <w:tabs>
          <w:tab w:val="left" w:pos="2410"/>
        </w:tabs>
        <w:overflowPunct w:val="0"/>
        <w:adjustRightInd w:val="0"/>
        <w:spacing w:before="60" w:line="240" w:lineRule="atLeast"/>
        <w:ind w:left="2410" w:hanging="1276"/>
        <w:textAlignment w:val="baseline"/>
        <w:rPr>
          <w:rFonts w:cs="Arial"/>
          <w:szCs w:val="20"/>
          <w:lang w:val="bg-BG"/>
        </w:rPr>
      </w:pPr>
      <w:r w:rsidRPr="009072DA">
        <w:rPr>
          <w:lang w:val="bg-BG"/>
        </w:rPr>
        <w:t xml:space="preserve">Глава 3 </w:t>
      </w:r>
      <w:r w:rsidRPr="009072DA">
        <w:rPr>
          <w:lang w:val="bg-BG"/>
        </w:rPr>
        <w:tab/>
        <w:t>Минимални оперативни изисквания за индикатори на ъгловата скорост на поворот</w:t>
      </w:r>
    </w:p>
    <w:p w:rsidR="009C13A9" w:rsidRPr="009072DA" w:rsidRDefault="009C13A9" w:rsidP="009C13A9">
      <w:pPr>
        <w:tabs>
          <w:tab w:val="left" w:pos="2410"/>
        </w:tabs>
        <w:overflowPunct w:val="0"/>
        <w:adjustRightInd w:val="0"/>
        <w:spacing w:before="60" w:line="240" w:lineRule="atLeast"/>
        <w:ind w:left="2410" w:hanging="1276"/>
        <w:textAlignment w:val="baseline"/>
        <w:rPr>
          <w:rFonts w:cs="Arial"/>
          <w:szCs w:val="20"/>
          <w:lang w:val="bg-BG"/>
        </w:rPr>
      </w:pPr>
      <w:r w:rsidRPr="009072DA">
        <w:rPr>
          <w:lang w:val="bg-BG"/>
        </w:rPr>
        <w:t xml:space="preserve">Глава 4 </w:t>
      </w:r>
      <w:r w:rsidRPr="009072DA">
        <w:rPr>
          <w:lang w:val="bg-BG"/>
        </w:rPr>
        <w:tab/>
        <w:t>Минимални технически изисквания за индикатори на ъгловата скорост на поворот</w:t>
      </w:r>
    </w:p>
    <w:p w:rsidR="009C13A9" w:rsidRPr="009072DA" w:rsidRDefault="009C13A9" w:rsidP="009C13A9">
      <w:pPr>
        <w:tabs>
          <w:tab w:val="left" w:pos="2410"/>
        </w:tabs>
        <w:overflowPunct w:val="0"/>
        <w:adjustRightInd w:val="0"/>
        <w:spacing w:before="60" w:line="240" w:lineRule="atLeast"/>
        <w:ind w:left="2410" w:hanging="1276"/>
        <w:textAlignment w:val="baseline"/>
        <w:rPr>
          <w:rFonts w:cs="Arial"/>
          <w:szCs w:val="20"/>
          <w:lang w:val="bg-BG"/>
        </w:rPr>
      </w:pPr>
      <w:r w:rsidRPr="009072DA">
        <w:rPr>
          <w:lang w:val="bg-BG"/>
        </w:rPr>
        <w:t xml:space="preserve">Глава 5 </w:t>
      </w:r>
      <w:r w:rsidRPr="009072DA">
        <w:rPr>
          <w:lang w:val="bg-BG"/>
        </w:rPr>
        <w:tab/>
        <w:t>Условия и процедури на изпитване на индикаторите на ъгловата скорост на поворот</w:t>
      </w:r>
    </w:p>
    <w:p w:rsidR="009C13A9" w:rsidRPr="009072DA" w:rsidRDefault="009C13A9" w:rsidP="002052A6">
      <w:pPr>
        <w:tabs>
          <w:tab w:val="left" w:pos="1418"/>
          <w:tab w:val="left" w:pos="3544"/>
        </w:tabs>
        <w:overflowPunct w:val="0"/>
        <w:adjustRightInd w:val="0"/>
        <w:spacing w:before="60" w:line="240" w:lineRule="atLeast"/>
        <w:ind w:left="3544" w:hanging="1134"/>
        <w:textAlignment w:val="baseline"/>
        <w:rPr>
          <w:rFonts w:cs="Arial"/>
          <w:szCs w:val="20"/>
          <w:lang w:val="bg-BG"/>
        </w:rPr>
      </w:pPr>
      <w:r w:rsidRPr="009072DA">
        <w:rPr>
          <w:lang w:val="bg-BG"/>
        </w:rPr>
        <w:t>Допълнение:</w:t>
      </w:r>
      <w:r w:rsidRPr="009072DA">
        <w:rPr>
          <w:lang w:val="bg-BG"/>
        </w:rPr>
        <w:tab/>
        <w:t>Максимални допустими отклонения в показанията на индикаторите на ъгловата скорост на поворот</w:t>
      </w:r>
    </w:p>
    <w:p w:rsidR="009C13A9" w:rsidRPr="009072DA" w:rsidRDefault="009C13A9" w:rsidP="009C13A9">
      <w:pPr>
        <w:overflowPunct w:val="0"/>
        <w:adjustRightInd w:val="0"/>
        <w:spacing w:line="240" w:lineRule="atLeast"/>
        <w:ind w:left="1134" w:hanging="1134"/>
        <w:textAlignment w:val="baseline"/>
        <w:rPr>
          <w:rFonts w:cs="Arial"/>
          <w:szCs w:val="20"/>
          <w:lang w:val="bg-BG"/>
        </w:rPr>
      </w:pPr>
    </w:p>
    <w:p w:rsidR="009C13A9" w:rsidRPr="009072DA" w:rsidRDefault="00925755" w:rsidP="009C13A9">
      <w:pPr>
        <w:overflowPunct w:val="0"/>
        <w:adjustRightInd w:val="0"/>
        <w:spacing w:line="240" w:lineRule="atLeast"/>
        <w:ind w:left="1134" w:hanging="1134"/>
        <w:textAlignment w:val="baseline"/>
        <w:rPr>
          <w:rFonts w:cs="Arial"/>
          <w:szCs w:val="20"/>
          <w:lang w:val="bg-BG"/>
        </w:rPr>
      </w:pPr>
      <w:r w:rsidRPr="009072DA">
        <w:rPr>
          <w:b/>
          <w:lang w:val="bg-BG"/>
        </w:rPr>
        <w:t>Раздел III</w:t>
      </w:r>
      <w:r w:rsidRPr="009072DA">
        <w:rPr>
          <w:lang w:val="bg-BG"/>
        </w:rPr>
        <w:tab/>
        <w:t>Изисквания по отношение на монтажа и изпитванията на показателите на навигационното радиолокационно оборудване и индикаторите на ъгловата скорост на поворот, използвани при плаване по вътрешните водни пътища</w:t>
      </w:r>
    </w:p>
    <w:p w:rsidR="009C13A9" w:rsidRPr="009072DA" w:rsidRDefault="009C13A9" w:rsidP="009C13A9">
      <w:pPr>
        <w:overflowPunct w:val="0"/>
        <w:adjustRightInd w:val="0"/>
        <w:spacing w:line="240" w:lineRule="atLeast"/>
        <w:ind w:left="1134" w:hanging="1134"/>
        <w:textAlignment w:val="baseline"/>
        <w:rPr>
          <w:rFonts w:cs="Arial"/>
          <w:szCs w:val="20"/>
          <w:lang w:val="bg-BG"/>
        </w:rPr>
      </w:pPr>
    </w:p>
    <w:p w:rsidR="009C13A9" w:rsidRPr="009072DA" w:rsidRDefault="00925755" w:rsidP="009C13A9">
      <w:pPr>
        <w:overflowPunct w:val="0"/>
        <w:adjustRightInd w:val="0"/>
        <w:spacing w:line="240" w:lineRule="atLeast"/>
        <w:ind w:left="1134" w:hanging="1134"/>
        <w:textAlignment w:val="baseline"/>
        <w:rPr>
          <w:rFonts w:cs="Arial"/>
          <w:szCs w:val="20"/>
          <w:lang w:val="bg-BG"/>
        </w:rPr>
      </w:pPr>
      <w:r w:rsidRPr="009072DA">
        <w:rPr>
          <w:b/>
          <w:lang w:val="bg-BG"/>
        </w:rPr>
        <w:t>Раздел IV</w:t>
      </w:r>
      <w:r w:rsidRPr="009072DA">
        <w:rPr>
          <w:lang w:val="bg-BG"/>
        </w:rPr>
        <w:tab/>
        <w:t>Минимални изисквания, изисквания по отношение на монтажа и изпитванията на показателите на оборудване за AIS, използвано при плаване по вътрешните водни пътища</w:t>
      </w:r>
    </w:p>
    <w:p w:rsidR="009C13A9" w:rsidRPr="009072DA" w:rsidRDefault="009C13A9" w:rsidP="009C13A9">
      <w:pPr>
        <w:overflowPunct w:val="0"/>
        <w:adjustRightInd w:val="0"/>
        <w:spacing w:line="240" w:lineRule="atLeast"/>
        <w:ind w:left="1134" w:hanging="1134"/>
        <w:textAlignment w:val="baseline"/>
        <w:rPr>
          <w:rFonts w:cs="Arial"/>
          <w:szCs w:val="20"/>
          <w:lang w:val="bg-BG"/>
        </w:rPr>
      </w:pPr>
    </w:p>
    <w:p w:rsidR="009C13A9" w:rsidRPr="009072DA" w:rsidRDefault="00925755" w:rsidP="00925755">
      <w:pPr>
        <w:tabs>
          <w:tab w:val="left" w:pos="284"/>
        </w:tabs>
        <w:overflowPunct w:val="0"/>
        <w:adjustRightInd w:val="0"/>
        <w:ind w:left="1134" w:hanging="1134"/>
        <w:textAlignment w:val="baseline"/>
        <w:rPr>
          <w:rFonts w:cs="Arial"/>
          <w:szCs w:val="20"/>
          <w:lang w:val="bg-BG"/>
        </w:rPr>
      </w:pPr>
      <w:r w:rsidRPr="009072DA">
        <w:rPr>
          <w:b/>
          <w:color w:val="000000"/>
          <w:lang w:val="bg-BG"/>
        </w:rPr>
        <w:t>Раздел V</w:t>
      </w:r>
      <w:r w:rsidRPr="009072DA">
        <w:rPr>
          <w:lang w:val="bg-BG"/>
        </w:rPr>
        <w:tab/>
        <w:t>Минимални изисквания, изисквания по отношение на монтажа и изпитванията на показателите на тахографи, използвани при плаване по вътрешните водни пътища</w:t>
      </w:r>
    </w:p>
    <w:p w:rsidR="009C13A9" w:rsidRPr="009072DA" w:rsidRDefault="009C13A9" w:rsidP="009C13A9">
      <w:pPr>
        <w:tabs>
          <w:tab w:val="left" w:pos="284"/>
          <w:tab w:val="left" w:leader="dot" w:pos="9072"/>
        </w:tabs>
        <w:overflowPunct w:val="0"/>
        <w:adjustRightInd w:val="0"/>
        <w:ind w:left="1134" w:hanging="1134"/>
        <w:textAlignment w:val="baseline"/>
        <w:rPr>
          <w:rFonts w:cs="Arial"/>
          <w:szCs w:val="20"/>
          <w:lang w:val="bg-BG"/>
        </w:rPr>
      </w:pPr>
    </w:p>
    <w:p w:rsidR="009C13A9" w:rsidRPr="009072DA" w:rsidRDefault="00925755" w:rsidP="009C13A9">
      <w:pPr>
        <w:overflowPunct w:val="0"/>
        <w:adjustRightInd w:val="0"/>
        <w:spacing w:line="240" w:lineRule="atLeast"/>
        <w:ind w:left="1134" w:hanging="1134"/>
        <w:textAlignment w:val="baseline"/>
        <w:rPr>
          <w:rFonts w:cs="Arial"/>
          <w:szCs w:val="20"/>
          <w:lang w:val="bg-BG"/>
        </w:rPr>
      </w:pPr>
      <w:r w:rsidRPr="009072DA">
        <w:rPr>
          <w:b/>
          <w:lang w:val="bg-BG"/>
        </w:rPr>
        <w:t>Раздел VI</w:t>
      </w:r>
      <w:r w:rsidRPr="009072DA">
        <w:rPr>
          <w:lang w:val="bg-BG"/>
        </w:rPr>
        <w:tab/>
        <w:t>Удостоверение за монтажа и показателите на навигационно радиолокационно оборудване и индикатори на ъгловата скорост на поворот, оборудване за AIS за вътрешните водни пътища и тахографи при вътрешното корабоплаване</w:t>
      </w:r>
    </w:p>
    <w:p w:rsidR="009C13A9" w:rsidRPr="009072DA" w:rsidRDefault="009C13A9" w:rsidP="009C13A9">
      <w:pPr>
        <w:overflowPunct w:val="0"/>
        <w:adjustRightInd w:val="0"/>
        <w:spacing w:line="240" w:lineRule="atLeast"/>
        <w:ind w:left="1134" w:hanging="1134"/>
        <w:textAlignment w:val="baseline"/>
        <w:rPr>
          <w:rFonts w:cs="Arial"/>
          <w:szCs w:val="20"/>
          <w:lang w:val="bg-BG"/>
        </w:rPr>
      </w:pPr>
    </w:p>
    <w:p w:rsidR="009C13A9" w:rsidRPr="009072DA" w:rsidRDefault="009C13A9" w:rsidP="009C13A9">
      <w:pPr>
        <w:overflowPunct w:val="0"/>
        <w:adjustRightInd w:val="0"/>
        <w:spacing w:line="240" w:lineRule="atLeast"/>
        <w:ind w:left="1134" w:hanging="1134"/>
        <w:textAlignment w:val="baseline"/>
        <w:rPr>
          <w:rFonts w:cs="Arial"/>
          <w:szCs w:val="20"/>
          <w:lang w:val="bg-BG"/>
        </w:rPr>
      </w:pPr>
    </w:p>
    <w:p w:rsidR="00C92875" w:rsidRPr="009072DA" w:rsidRDefault="00C92875" w:rsidP="009C13A9">
      <w:pPr>
        <w:overflowPunct w:val="0"/>
        <w:adjustRightInd w:val="0"/>
        <w:spacing w:line="240" w:lineRule="atLeast"/>
        <w:ind w:left="1134" w:hanging="1134"/>
        <w:textAlignment w:val="baseline"/>
        <w:rPr>
          <w:rFonts w:cs="Arial"/>
          <w:szCs w:val="20"/>
          <w:lang w:val="bg-BG"/>
        </w:rPr>
      </w:pPr>
    </w:p>
    <w:p w:rsidR="009C13A9" w:rsidRPr="009072DA" w:rsidRDefault="009C13A9" w:rsidP="009C13A9">
      <w:pPr>
        <w:overflowPunct w:val="0"/>
        <w:adjustRightInd w:val="0"/>
        <w:spacing w:line="240" w:lineRule="exact"/>
        <w:jc w:val="center"/>
        <w:textAlignment w:val="baseline"/>
        <w:rPr>
          <w:rFonts w:eastAsia="Calibri"/>
          <w:b/>
          <w:lang w:val="bg-BG"/>
        </w:rPr>
      </w:pPr>
      <w:r w:rsidRPr="009072DA">
        <w:rPr>
          <w:b/>
          <w:lang w:val="bg-BG"/>
        </w:rPr>
        <w:t>Определения</w:t>
      </w:r>
    </w:p>
    <w:p w:rsidR="009C13A9" w:rsidRPr="009072DA" w:rsidRDefault="009C13A9" w:rsidP="009C13A9">
      <w:pPr>
        <w:overflowPunct w:val="0"/>
        <w:adjustRightInd w:val="0"/>
        <w:spacing w:line="240" w:lineRule="atLeast"/>
        <w:ind w:left="1134" w:hanging="1134"/>
        <w:textAlignment w:val="baseline"/>
        <w:rPr>
          <w:rFonts w:cs="Arial"/>
          <w:szCs w:val="2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„Изпитване на типа“ означава процедурата на изпитване, посочена в раздел I, член 4 или раздел II, член 1.03, която техническата служба използва, за да провери съответствието с изискванията по настоящото приложение. Изпитването на типа представлява неразделна част от одобряването на типа.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„Одобряване на типа“ означава административната процедура, чрез която държава членка потвърждава, че оборудването отговаря на изискванията на настоящото приложение.</w:t>
      </w:r>
    </w:p>
    <w:p w:rsidR="009C13A9" w:rsidRPr="009072DA" w:rsidRDefault="009C13A9" w:rsidP="009C13A9">
      <w:pPr>
        <w:spacing w:line="240" w:lineRule="atLeast"/>
        <w:rPr>
          <w:rFonts w:cs="Arial"/>
          <w:strike/>
          <w:color w:val="000000"/>
          <w:lang w:val="bg-BG"/>
        </w:rPr>
      </w:pPr>
    </w:p>
    <w:p w:rsidR="009C13A9" w:rsidRPr="009072DA" w:rsidRDefault="009C13A9" w:rsidP="009C13A9">
      <w:pPr>
        <w:spacing w:line="240" w:lineRule="atLeast"/>
        <w:rPr>
          <w:rFonts w:cs="Arial"/>
          <w:color w:val="000000"/>
          <w:lang w:val="bg-BG"/>
        </w:rPr>
      </w:pPr>
      <w:r w:rsidRPr="009072DA">
        <w:rPr>
          <w:lang w:val="bg-BG"/>
        </w:rPr>
        <w:br w:type="page"/>
      </w:r>
    </w:p>
    <w:p w:rsidR="009C13A9" w:rsidRPr="009072DA" w:rsidRDefault="009C13A9" w:rsidP="009C13A9">
      <w:pPr>
        <w:spacing w:line="240" w:lineRule="atLeast"/>
        <w:rPr>
          <w:rFonts w:cs="Arial"/>
          <w:color w:val="000000"/>
          <w:lang w:val="bg-BG"/>
        </w:rPr>
      </w:pPr>
      <w:r w:rsidRPr="009072DA">
        <w:rPr>
          <w:color w:val="000000"/>
          <w:lang w:val="bg-BG"/>
        </w:rPr>
        <w:lastRenderedPageBreak/>
        <w:t>3.</w:t>
      </w:r>
      <w:r w:rsidRPr="009072DA">
        <w:rPr>
          <w:lang w:val="bg-BG"/>
        </w:rPr>
        <w:tab/>
      </w:r>
      <w:r w:rsidRPr="009072DA">
        <w:rPr>
          <w:color w:val="000000"/>
          <w:lang w:val="bg-BG"/>
        </w:rPr>
        <w:t>„Удостоверение за изпитване“ означава документа, в който са вписани резултатите от изпитването на типа.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4.</w:t>
      </w:r>
      <w:r w:rsidRPr="009072DA">
        <w:rPr>
          <w:lang w:val="bg-BG"/>
        </w:rPr>
        <w:tab/>
      </w:r>
      <w:r w:rsidRPr="009072DA">
        <w:rPr>
          <w:color w:val="000000"/>
          <w:lang w:val="bg-BG"/>
        </w:rPr>
        <w:t>„Заявител“ или „производител“ означава всяко юридическо или физическо лице, под чието име, търговска марка или друга форма на идентификация се произвежда или продава оборудването, представено за изпитване, и което е отговорно за всички въпроси, свързани с изпитването на типа и процедурата за  одобряване на типа, по отношение на техническата служба и одобряващия орган.</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5.</w:t>
      </w:r>
      <w:r w:rsidRPr="009072DA">
        <w:rPr>
          <w:lang w:val="bg-BG"/>
        </w:rPr>
        <w:tab/>
      </w:r>
      <w:r w:rsidRPr="009072DA">
        <w:rPr>
          <w:color w:val="000000"/>
          <w:lang w:val="bg-BG"/>
        </w:rPr>
        <w:t>„Техническа служба“ означава институция, орган или организация, която извършва изпитването на типа.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6.</w:t>
      </w:r>
      <w:r w:rsidRPr="009072DA">
        <w:rPr>
          <w:lang w:val="bg-BG"/>
        </w:rPr>
        <w:tab/>
      </w:r>
      <w:r w:rsidRPr="009072DA">
        <w:rPr>
          <w:color w:val="000000"/>
          <w:lang w:val="bg-BG"/>
        </w:rPr>
        <w:t>„Декларация на производителя“ означава декларацията, с която производителят удостоверява, че оборудването отговаря на приетите минимални изисквания и че във всяко отношение е идентично с типа, предоставен за изпитване.</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7.</w:t>
      </w:r>
      <w:r w:rsidRPr="009072DA">
        <w:rPr>
          <w:lang w:val="bg-BG"/>
        </w:rPr>
        <w:tab/>
      </w:r>
      <w:r w:rsidRPr="009072DA">
        <w:rPr>
          <w:color w:val="000000"/>
          <w:lang w:val="bg-BG"/>
        </w:rPr>
        <w:t>„Декларация за съответствие съгласно Директива 2014/53/ЕС</w:t>
      </w:r>
      <w:r w:rsidRPr="009072DA">
        <w:rPr>
          <w:vertAlign w:val="superscript"/>
          <w:lang w:val="bg-BG"/>
        </w:rPr>
        <w:footnoteReference w:id="52"/>
      </w:r>
      <w:r w:rsidRPr="009072DA">
        <w:rPr>
          <w:color w:val="000000"/>
          <w:lang w:val="bg-BG"/>
        </w:rPr>
        <w:t>“ означава декларацията в съответствие с Директива 2014/53/ЕС приложение II точка 4, чрез която производителят потвърждава, че въпросните продукти отговарят на приложимите изисквания на директивата.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szCs w:val="20"/>
          <w:lang w:val="bg-BG"/>
        </w:rPr>
      </w:pPr>
    </w:p>
    <w:p w:rsidR="009C13A9" w:rsidRPr="009072DA" w:rsidRDefault="009C13A9" w:rsidP="009C13A9">
      <w:pPr>
        <w:overflowPunct w:val="0"/>
        <w:adjustRightInd w:val="0"/>
        <w:spacing w:line="240" w:lineRule="atLeast"/>
        <w:ind w:left="1134" w:hanging="1134"/>
        <w:textAlignment w:val="baseline"/>
        <w:rPr>
          <w:rFonts w:cs="Arial"/>
          <w:szCs w:val="20"/>
          <w:lang w:val="bg-BG"/>
        </w:rPr>
      </w:pPr>
    </w:p>
    <w:p w:rsidR="009C13A9" w:rsidRPr="009072DA" w:rsidRDefault="009C13A9" w:rsidP="009C13A9">
      <w:pPr>
        <w:overflowPunct w:val="0"/>
        <w:adjustRightInd w:val="0"/>
        <w:spacing w:line="240" w:lineRule="atLeast"/>
        <w:ind w:left="1134" w:hanging="1134"/>
        <w:textAlignment w:val="baseline"/>
        <w:rPr>
          <w:rFonts w:cs="Arial"/>
          <w:szCs w:val="20"/>
          <w:lang w:val="bg-BG"/>
        </w:rPr>
      </w:pPr>
    </w:p>
    <w:p w:rsidR="009C13A9" w:rsidRPr="009072DA" w:rsidRDefault="009C13A9" w:rsidP="009C13A9">
      <w:pPr>
        <w:overflowPunct w:val="0"/>
        <w:adjustRightInd w:val="0"/>
        <w:spacing w:line="240" w:lineRule="atLeast"/>
        <w:jc w:val="center"/>
        <w:textAlignment w:val="baseline"/>
        <w:rPr>
          <w:rFonts w:cs="Arial"/>
          <w:szCs w:val="20"/>
          <w:lang w:val="bg-BG"/>
        </w:rPr>
        <w:sectPr w:rsidR="009C13A9" w:rsidRPr="009072DA" w:rsidSect="00FB55E9">
          <w:headerReference w:type="default" r:id="rId65"/>
          <w:footerReference w:type="default" r:id="rId66"/>
          <w:footnotePr>
            <w:numRestart w:val="eachPage"/>
          </w:footnotePr>
          <w:pgSz w:w="11907" w:h="16840" w:code="9"/>
          <w:pgMar w:top="1361" w:right="1418" w:bottom="1361" w:left="1418" w:header="680" w:footer="680" w:gutter="0"/>
          <w:cols w:space="720"/>
          <w:docGrid w:linePitch="326"/>
        </w:sectPr>
      </w:pPr>
    </w:p>
    <w:p w:rsidR="009C13A9" w:rsidRPr="009072DA" w:rsidRDefault="009C13A9" w:rsidP="009C13A9">
      <w:pPr>
        <w:overflowPunct w:val="0"/>
        <w:adjustRightInd w:val="0"/>
        <w:spacing w:line="240" w:lineRule="atLeast"/>
        <w:jc w:val="center"/>
        <w:textAlignment w:val="baseline"/>
        <w:rPr>
          <w:rFonts w:cs="Arial"/>
          <w:szCs w:val="20"/>
          <w:lang w:val="bg-BG"/>
        </w:rPr>
      </w:pPr>
    </w:p>
    <w:p w:rsidR="009C13A9" w:rsidRPr="009072DA" w:rsidRDefault="00925755" w:rsidP="00C50DA9">
      <w:pPr>
        <w:pStyle w:val="ES-Titre3"/>
        <w:rPr>
          <w:lang w:val="bg-BG"/>
        </w:rPr>
      </w:pPr>
      <w:bookmarkStart w:id="635" w:name="_Toc491854310"/>
      <w:bookmarkStart w:id="636" w:name="_Toc535827751"/>
      <w:r w:rsidRPr="009072DA">
        <w:rPr>
          <w:lang w:val="bg-BG"/>
        </w:rPr>
        <w:t>Раздел I</w:t>
      </w:r>
      <w:bookmarkEnd w:id="635"/>
      <w:bookmarkEnd w:id="636"/>
    </w:p>
    <w:p w:rsidR="009C13A9" w:rsidRPr="009072DA" w:rsidRDefault="009C13A9" w:rsidP="00C50DA9">
      <w:pPr>
        <w:pStyle w:val="ES-Titre3a"/>
        <w:rPr>
          <w:rFonts w:cs="Arial"/>
          <w:bCs/>
          <w:szCs w:val="20"/>
          <w:lang w:val="bg-BG"/>
        </w:rPr>
      </w:pPr>
      <w:bookmarkStart w:id="637" w:name="_Toc491854311"/>
      <w:bookmarkStart w:id="638" w:name="_Toc535827752"/>
      <w:r w:rsidRPr="009072DA">
        <w:rPr>
          <w:lang w:val="bg-BG"/>
        </w:rPr>
        <w:t>Минимални изисквания и условия на изпитване на навигационното радиолокационно оборудване, използвано по вътрешните водни пътища</w:t>
      </w:r>
      <w:bookmarkEnd w:id="637"/>
      <w:bookmarkEnd w:id="638"/>
    </w:p>
    <w:p w:rsidR="009C13A9" w:rsidRPr="009072DA" w:rsidRDefault="009C13A9" w:rsidP="009C13A9">
      <w:pPr>
        <w:tabs>
          <w:tab w:val="right" w:pos="9072"/>
        </w:tabs>
        <w:overflowPunct w:val="0"/>
        <w:adjustRightInd w:val="0"/>
        <w:spacing w:line="240" w:lineRule="atLeast"/>
        <w:textAlignment w:val="baseline"/>
        <w:rPr>
          <w:rFonts w:cs="Arial"/>
          <w:szCs w:val="20"/>
          <w:lang w:val="bg-BG"/>
        </w:rPr>
      </w:pPr>
    </w:p>
    <w:p w:rsidR="009C13A9" w:rsidRPr="009072DA" w:rsidRDefault="009C13A9" w:rsidP="009C13A9">
      <w:pPr>
        <w:spacing w:line="240" w:lineRule="atLeast"/>
        <w:jc w:val="center"/>
        <w:rPr>
          <w:rFonts w:cs="Arial"/>
          <w:i/>
          <w:lang w:val="bg-BG"/>
        </w:rPr>
      </w:pPr>
      <w:r w:rsidRPr="009072DA">
        <w:rPr>
          <w:b/>
          <w:lang w:val="bg-BG"/>
        </w:rPr>
        <w:t>Член 1</w:t>
      </w:r>
      <w:r w:rsidRPr="009072DA">
        <w:rPr>
          <w:rFonts w:cs="Arial"/>
          <w:b/>
          <w:lang w:val="bg-BG"/>
        </w:rPr>
        <w:br/>
      </w:r>
      <w:r w:rsidRPr="009072DA">
        <w:rPr>
          <w:i/>
          <w:lang w:val="bg-BG"/>
        </w:rPr>
        <w:t>Обхват</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 xml:space="preserve">Настоящите разпоредби определят минималните изисквания към навигационното радиолокационно оборудване, използвано при плаването по вътрешните водни пътища, както и условията за проверка на съответствието с тези минимални изисквания. </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spacing w:line="240" w:lineRule="atLeast"/>
        <w:jc w:val="center"/>
        <w:rPr>
          <w:rFonts w:cs="Arial"/>
          <w:i/>
          <w:lang w:val="bg-BG"/>
        </w:rPr>
      </w:pPr>
      <w:r w:rsidRPr="009072DA">
        <w:rPr>
          <w:b/>
          <w:lang w:val="bg-BG"/>
        </w:rPr>
        <w:t>Член 2</w:t>
      </w:r>
      <w:r w:rsidRPr="009072DA">
        <w:rPr>
          <w:rFonts w:cs="Arial"/>
          <w:b/>
          <w:lang w:val="bg-BG"/>
        </w:rPr>
        <w:br/>
      </w:r>
      <w:r w:rsidRPr="009072DA">
        <w:rPr>
          <w:i/>
          <w:lang w:val="bg-BG"/>
        </w:rPr>
        <w:t>Предназначение на навигационното радиолокационно оборудване</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Навигационното радиолокационно оборудване улеснява навигацията на плавателния съд, като подава разбираемо радиолокационно изображение за местоположението му спрямо шамандури, брегови линии и навигационни съоръжения, както и като позволява надеждно и своевременно разпознаване на други плавателни съдове и препятствия, подаващи се над повърхността на водния път.</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spacing w:line="240" w:lineRule="atLeast"/>
        <w:jc w:val="center"/>
        <w:rPr>
          <w:rFonts w:cs="Arial"/>
          <w:i/>
          <w:lang w:val="bg-BG"/>
        </w:rPr>
      </w:pPr>
      <w:r w:rsidRPr="009072DA">
        <w:rPr>
          <w:b/>
          <w:lang w:val="bg-BG"/>
        </w:rPr>
        <w:t>Член 3</w:t>
      </w:r>
      <w:r w:rsidRPr="009072DA">
        <w:rPr>
          <w:rFonts w:cs="Arial"/>
          <w:b/>
          <w:lang w:val="bg-BG"/>
        </w:rPr>
        <w:br/>
      </w:r>
      <w:r w:rsidRPr="009072DA">
        <w:rPr>
          <w:i/>
          <w:lang w:val="bg-BG"/>
        </w:rPr>
        <w:t>Минимални изисквания</w:t>
      </w:r>
    </w:p>
    <w:p w:rsidR="009C13A9" w:rsidRPr="009072DA" w:rsidRDefault="009C13A9" w:rsidP="009C13A9">
      <w:pPr>
        <w:spacing w:line="240" w:lineRule="atLeast"/>
        <w:jc w:val="center"/>
        <w:rPr>
          <w:rFonts w:cs="Arial"/>
          <w:lang w:val="bg-BG"/>
        </w:rPr>
      </w:pPr>
    </w:p>
    <w:p w:rsidR="001077F3" w:rsidRPr="009072DA" w:rsidRDefault="001077F3" w:rsidP="001077F3">
      <w:pPr>
        <w:spacing w:line="240" w:lineRule="atLeast"/>
        <w:ind w:left="426" w:hanging="426"/>
        <w:rPr>
          <w:rFonts w:eastAsia="Batang" w:cs="Arial"/>
          <w:color w:val="000000"/>
          <w:lang w:val="bg-BG"/>
        </w:rPr>
      </w:pPr>
      <w:r w:rsidRPr="009072DA">
        <w:rPr>
          <w:color w:val="000000"/>
          <w:lang w:val="bg-BG"/>
        </w:rPr>
        <w:t>1.</w:t>
      </w:r>
      <w:r w:rsidRPr="009072DA">
        <w:rPr>
          <w:lang w:val="bg-BG"/>
        </w:rPr>
        <w:tab/>
      </w:r>
      <w:r w:rsidRPr="009072DA">
        <w:rPr>
          <w:color w:val="000000"/>
          <w:lang w:val="bg-BG"/>
        </w:rPr>
        <w:t xml:space="preserve">Навигационното радиолокационно оборудване трябва да отговаря на изискванията на Директива </w:t>
      </w:r>
      <w:r w:rsidRPr="009072DA">
        <w:rPr>
          <w:rFonts w:ascii="ArialMT" w:hAnsi="ArialMT"/>
          <w:lang w:val="bg-BG"/>
        </w:rPr>
        <w:t>2014/53/ЕС</w:t>
      </w:r>
      <w:r w:rsidRPr="009072DA">
        <w:rPr>
          <w:color w:val="000000"/>
          <w:lang w:val="bg-BG"/>
        </w:rPr>
        <w:t>.</w:t>
      </w:r>
    </w:p>
    <w:p w:rsidR="001077F3" w:rsidRPr="009072DA" w:rsidRDefault="001077F3" w:rsidP="001077F3">
      <w:pPr>
        <w:spacing w:line="240" w:lineRule="atLeast"/>
        <w:ind w:left="426" w:hanging="426"/>
        <w:rPr>
          <w:rFonts w:eastAsia="Batang" w:cs="Arial"/>
          <w:color w:val="000000"/>
          <w:lang w:val="bg-BG"/>
        </w:rPr>
      </w:pPr>
    </w:p>
    <w:p w:rsidR="001077F3" w:rsidRPr="009072DA" w:rsidRDefault="001077F3" w:rsidP="001077F3">
      <w:pPr>
        <w:spacing w:line="240" w:lineRule="atLeast"/>
        <w:ind w:left="426" w:hanging="426"/>
        <w:rPr>
          <w:rFonts w:cs="Arial"/>
          <w:color w:val="000000"/>
          <w:lang w:val="bg-BG"/>
        </w:rPr>
      </w:pPr>
      <w:r w:rsidRPr="009072DA">
        <w:rPr>
          <w:color w:val="000000"/>
          <w:lang w:val="bg-BG"/>
        </w:rPr>
        <w:t>2.</w:t>
      </w:r>
      <w:r w:rsidRPr="009072DA">
        <w:rPr>
          <w:lang w:val="bg-BG"/>
        </w:rPr>
        <w:tab/>
      </w:r>
      <w:r w:rsidRPr="009072DA">
        <w:rPr>
          <w:color w:val="000000"/>
          <w:lang w:val="bg-BG"/>
        </w:rPr>
        <w:t>Навигационното радиолокационно оборудване трябва да отговаря също на изискванията на Европейски стандарт EN 302 194-1 : 2006 Електромагнитна съвместимост и въпроси на радиоспектъра (ERM); Навигационни радиолокатори, използвани по вътрешните водни пътища: Част 1: Технически характеристики и методи на измерване.</w:t>
      </w:r>
    </w:p>
    <w:p w:rsidR="001077F3" w:rsidRPr="009072DA" w:rsidRDefault="001077F3" w:rsidP="001077F3">
      <w:pPr>
        <w:spacing w:line="240" w:lineRule="atLeast"/>
        <w:ind w:left="426" w:hanging="426"/>
        <w:rPr>
          <w:rFonts w:cs="Arial"/>
          <w:color w:val="000000"/>
          <w:lang w:val="bg-BG"/>
        </w:rPr>
      </w:pPr>
    </w:p>
    <w:p w:rsidR="001077F3" w:rsidRPr="009072DA" w:rsidRDefault="001077F3" w:rsidP="001077F3">
      <w:pPr>
        <w:spacing w:line="240" w:lineRule="atLeast"/>
        <w:ind w:left="426" w:hanging="426"/>
        <w:rPr>
          <w:rFonts w:cs="Arial"/>
          <w:color w:val="000000"/>
          <w:lang w:val="bg-BG"/>
        </w:rPr>
      </w:pPr>
      <w:r w:rsidRPr="009072DA">
        <w:rPr>
          <w:color w:val="000000"/>
          <w:lang w:val="bg-BG"/>
        </w:rPr>
        <w:t>3.</w:t>
      </w:r>
      <w:r w:rsidRPr="009072DA">
        <w:rPr>
          <w:lang w:val="bg-BG"/>
        </w:rPr>
        <w:tab/>
      </w:r>
      <w:r w:rsidRPr="009072DA">
        <w:rPr>
          <w:color w:val="000000"/>
          <w:lang w:val="bg-BG"/>
        </w:rPr>
        <w:t xml:space="preserve">Точка 2 по-горе не се прилага за апаратната част на оборудване за ECDIS за вътрешните водни пътища, използвано в навигационен режим в конфигурацията на системата 2 или 3 в </w:t>
      </w:r>
      <w:r w:rsidRPr="009072DA">
        <w:rPr>
          <w:color w:val="000000"/>
          <w:lang w:val="bg-BG"/>
        </w:rPr>
        <w:lastRenderedPageBreak/>
        <w:t>съответствие със стандарта за ECDIS за вътрешните водни пътища, раздел 1, точка 5.2 във връзка с раздел 4, точка 2.2.2 или 2.2.3, ако е изготвен сертификат за съответствие на производителя. Сертификатът за съответствие трябва да потвърждава, че апаратната част:</w:t>
      </w:r>
    </w:p>
    <w:p w:rsidR="001077F3" w:rsidRPr="009072DA" w:rsidRDefault="001077F3" w:rsidP="00C92875">
      <w:pPr>
        <w:tabs>
          <w:tab w:val="left" w:pos="0"/>
        </w:tabs>
        <w:overflowPunct w:val="0"/>
        <w:adjustRightInd w:val="0"/>
        <w:spacing w:before="60" w:line="240" w:lineRule="atLeast"/>
        <w:ind w:left="850"/>
        <w:textAlignment w:val="baseline"/>
        <w:rPr>
          <w:rFonts w:cs="Arial"/>
          <w:szCs w:val="20"/>
          <w:lang w:val="bg-BG"/>
        </w:rPr>
      </w:pPr>
      <w:r w:rsidRPr="009072DA">
        <w:rPr>
          <w:color w:val="000000"/>
          <w:lang w:val="bg-BG"/>
        </w:rPr>
        <w:t>a)</w:t>
      </w:r>
      <w:r w:rsidRPr="009072DA">
        <w:rPr>
          <w:lang w:val="bg-BG"/>
        </w:rPr>
        <w:tab/>
      </w:r>
      <w:r w:rsidRPr="009072DA">
        <w:rPr>
          <w:color w:val="000000"/>
          <w:lang w:val="bg-BG"/>
        </w:rPr>
        <w:t>е проектирана и произведена така, че да издържа на обичайните натоварвания и екологичните условия на борда на плавателен съд, без влошаване на качеството или надеждността и</w:t>
      </w:r>
    </w:p>
    <w:p w:rsidR="001077F3" w:rsidRPr="009072DA" w:rsidRDefault="001077F3" w:rsidP="00C92875">
      <w:pPr>
        <w:tabs>
          <w:tab w:val="left" w:pos="0"/>
        </w:tabs>
        <w:overflowPunct w:val="0"/>
        <w:adjustRightInd w:val="0"/>
        <w:spacing w:before="60" w:line="240" w:lineRule="atLeast"/>
        <w:ind w:left="850"/>
        <w:textAlignment w:val="baseline"/>
        <w:rPr>
          <w:rFonts w:cs="Arial"/>
          <w:color w:val="000000"/>
          <w:szCs w:val="20"/>
          <w:lang w:val="bg-BG"/>
        </w:rPr>
      </w:pPr>
      <w:r w:rsidRPr="009072DA">
        <w:rPr>
          <w:lang w:val="bg-BG"/>
        </w:rPr>
        <w:t>б)</w:t>
      </w:r>
      <w:r w:rsidRPr="009072DA">
        <w:rPr>
          <w:lang w:val="bg-BG"/>
        </w:rPr>
        <w:tab/>
      </w:r>
      <w:r w:rsidRPr="009072DA">
        <w:rPr>
          <w:color w:val="000000"/>
          <w:lang w:val="bg-BG"/>
        </w:rPr>
        <w:t>не нарушава работата на друго бордово комуникационно и навигационно оборудване.</w:t>
      </w:r>
    </w:p>
    <w:p w:rsidR="001077F3" w:rsidRPr="009072DA" w:rsidRDefault="001077F3" w:rsidP="001077F3">
      <w:pPr>
        <w:tabs>
          <w:tab w:val="left" w:pos="495"/>
        </w:tabs>
        <w:overflowPunct w:val="0"/>
        <w:adjustRightInd w:val="0"/>
        <w:spacing w:line="240" w:lineRule="atLeast"/>
        <w:ind w:left="426" w:hanging="426"/>
        <w:textAlignment w:val="baseline"/>
        <w:rPr>
          <w:rFonts w:cs="Arial"/>
          <w:b/>
          <w:bCs/>
          <w:szCs w:val="20"/>
          <w:lang w:val="bg-BG"/>
        </w:rPr>
      </w:pPr>
    </w:p>
    <w:p w:rsidR="001077F3" w:rsidRPr="009072DA" w:rsidRDefault="001077F3" w:rsidP="00C92875">
      <w:pPr>
        <w:spacing w:line="240" w:lineRule="atLeast"/>
        <w:ind w:left="426"/>
        <w:rPr>
          <w:rFonts w:cs="Arial"/>
          <w:color w:val="000000"/>
          <w:lang w:val="bg-BG"/>
        </w:rPr>
      </w:pPr>
      <w:r w:rsidRPr="009072DA">
        <w:rPr>
          <w:color w:val="000000"/>
          <w:lang w:val="bg-BG"/>
        </w:rPr>
        <w:t>Първото изречение не се прилага за устройства за видеоизобразяване, използвани в навигационен режим в конфигурация на системата 3, нито за компонентите на апаратната част, използвани за предоставяне на информацията от процесора на радиолокатора за показване върху екрана на оборудването за ECDIS за вътрешните водни пътища.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1077F3" w:rsidRPr="009072DA" w:rsidRDefault="001077F3">
      <w:pPr>
        <w:rPr>
          <w:rFonts w:cs="Arial"/>
          <w:b/>
          <w:lang w:val="bg-BG"/>
        </w:rPr>
      </w:pPr>
      <w:r w:rsidRPr="009072DA">
        <w:rPr>
          <w:lang w:val="bg-BG"/>
        </w:rPr>
        <w:br w:type="page"/>
      </w:r>
    </w:p>
    <w:p w:rsidR="001077F3" w:rsidRPr="009072DA" w:rsidRDefault="001077F3" w:rsidP="009C13A9">
      <w:pPr>
        <w:spacing w:line="240" w:lineRule="atLeast"/>
        <w:jc w:val="center"/>
        <w:rPr>
          <w:rFonts w:cs="Arial"/>
          <w:b/>
          <w:lang w:val="bg-BG"/>
        </w:rPr>
      </w:pPr>
    </w:p>
    <w:p w:rsidR="009C13A9" w:rsidRPr="009072DA" w:rsidRDefault="009C13A9" w:rsidP="009C13A9">
      <w:pPr>
        <w:spacing w:line="240" w:lineRule="atLeast"/>
        <w:jc w:val="center"/>
        <w:rPr>
          <w:rFonts w:cs="Arial"/>
          <w:i/>
          <w:lang w:val="bg-BG"/>
        </w:rPr>
      </w:pPr>
      <w:r w:rsidRPr="009072DA">
        <w:rPr>
          <w:b/>
          <w:lang w:val="bg-BG"/>
        </w:rPr>
        <w:t>Член 4</w:t>
      </w:r>
      <w:r w:rsidRPr="009072DA">
        <w:rPr>
          <w:rFonts w:cs="Arial"/>
          <w:b/>
          <w:lang w:val="bg-BG"/>
        </w:rPr>
        <w:br/>
      </w:r>
      <w:r w:rsidRPr="009072DA">
        <w:rPr>
          <w:i/>
          <w:lang w:val="bg-BG"/>
        </w:rPr>
        <w:t>Изпитвания на типа</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Спазването на минималните изисквания, определени в член 3, точка 2, се установява чрез изпитване на типа.</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Ако оборудването премине изпитване на типа, техническата служба издава удостоверение за изпитването. Ако оборудването не покрива минималните изисквания, заявителят се уведомява писмено за причините за отказа на одобрение.</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spacing w:line="240" w:lineRule="atLeast"/>
        <w:jc w:val="center"/>
        <w:rPr>
          <w:rFonts w:cs="Arial"/>
          <w:i/>
          <w:lang w:val="bg-BG"/>
        </w:rPr>
      </w:pPr>
      <w:r w:rsidRPr="009072DA">
        <w:rPr>
          <w:b/>
          <w:lang w:val="bg-BG"/>
        </w:rPr>
        <w:t>Член 5</w:t>
      </w:r>
      <w:r w:rsidRPr="009072DA">
        <w:rPr>
          <w:rFonts w:cs="Arial"/>
          <w:b/>
          <w:lang w:val="bg-BG"/>
        </w:rPr>
        <w:br/>
      </w:r>
      <w:r w:rsidRPr="009072DA">
        <w:rPr>
          <w:i/>
          <w:lang w:val="bg-BG"/>
        </w:rPr>
        <w:t>Заявление за изпитване на типа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Заявленията за изпитване на типа на навигационно радиолокационно оборудване се подават до компетентната техническа служба.</w:t>
      </w:r>
    </w:p>
    <w:p w:rsidR="009C13A9" w:rsidRPr="009072DA" w:rsidRDefault="009C13A9" w:rsidP="001077F3">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Всяко заявление трябва да бъде придружено от следните документи:</w:t>
      </w:r>
    </w:p>
    <w:p w:rsidR="009C13A9" w:rsidRPr="009072DA" w:rsidRDefault="009C13A9" w:rsidP="009C13A9">
      <w:pPr>
        <w:spacing w:before="60" w:line="240" w:lineRule="atLeast"/>
        <w:ind w:left="851"/>
        <w:rPr>
          <w:rFonts w:cs="Arial"/>
          <w:lang w:val="bg-BG"/>
        </w:rPr>
      </w:pPr>
      <w:r w:rsidRPr="009072DA">
        <w:rPr>
          <w:lang w:val="bg-BG"/>
        </w:rPr>
        <w:t>a)</w:t>
      </w:r>
      <w:r w:rsidRPr="009072DA">
        <w:rPr>
          <w:lang w:val="bg-BG"/>
        </w:rPr>
        <w:tab/>
        <w:t>две подробни технически описания;</w:t>
      </w:r>
    </w:p>
    <w:p w:rsidR="009C13A9" w:rsidRPr="009072DA" w:rsidRDefault="009C13A9" w:rsidP="009C13A9">
      <w:pPr>
        <w:spacing w:before="60" w:line="240" w:lineRule="atLeast"/>
        <w:ind w:left="851"/>
        <w:rPr>
          <w:rFonts w:cs="Arial"/>
          <w:lang w:val="bg-BG"/>
        </w:rPr>
      </w:pPr>
      <w:r w:rsidRPr="009072DA">
        <w:rPr>
          <w:lang w:val="bg-BG"/>
        </w:rPr>
        <w:t>б)</w:t>
      </w:r>
      <w:r w:rsidRPr="009072DA">
        <w:rPr>
          <w:lang w:val="bg-BG"/>
        </w:rPr>
        <w:tab/>
        <w:t>два пълни комплекта документи за монтаж и обслужване;</w:t>
      </w:r>
    </w:p>
    <w:p w:rsidR="009C13A9" w:rsidRPr="009072DA" w:rsidRDefault="009C13A9" w:rsidP="009C13A9">
      <w:pPr>
        <w:spacing w:before="60" w:line="240" w:lineRule="atLeast"/>
        <w:ind w:left="851"/>
        <w:rPr>
          <w:rFonts w:cs="Arial"/>
          <w:lang w:val="bg-BG"/>
        </w:rPr>
      </w:pPr>
      <w:r w:rsidRPr="009072DA">
        <w:rPr>
          <w:lang w:val="bg-BG"/>
        </w:rPr>
        <w:t>в)</w:t>
      </w:r>
      <w:r w:rsidRPr="009072DA">
        <w:rPr>
          <w:lang w:val="bg-BG"/>
        </w:rPr>
        <w:tab/>
        <w:t xml:space="preserve">два подробни наръчника за експлоатация; </w:t>
      </w:r>
    </w:p>
    <w:p w:rsidR="009C13A9" w:rsidRPr="009072DA" w:rsidRDefault="009C13A9" w:rsidP="009C13A9">
      <w:pPr>
        <w:spacing w:before="60" w:line="240" w:lineRule="atLeast"/>
        <w:ind w:left="851"/>
        <w:rPr>
          <w:rFonts w:cs="Arial"/>
          <w:lang w:val="bg-BG"/>
        </w:rPr>
      </w:pPr>
      <w:r w:rsidRPr="009072DA">
        <w:rPr>
          <w:lang w:val="bg-BG"/>
        </w:rPr>
        <w:t>г)</w:t>
      </w:r>
      <w:r w:rsidRPr="009072DA">
        <w:rPr>
          <w:lang w:val="bg-BG"/>
        </w:rPr>
        <w:tab/>
        <w:t>два кратки наръчника за експлоатация; и</w:t>
      </w:r>
    </w:p>
    <w:p w:rsidR="009C13A9" w:rsidRPr="009072DA" w:rsidRDefault="009C13A9" w:rsidP="009C13A9">
      <w:pPr>
        <w:spacing w:before="60" w:line="240" w:lineRule="atLeast"/>
        <w:ind w:left="851"/>
        <w:rPr>
          <w:rFonts w:cs="Arial"/>
          <w:lang w:val="bg-BG"/>
        </w:rPr>
      </w:pPr>
      <w:r w:rsidRPr="009072DA">
        <w:rPr>
          <w:lang w:val="bg-BG"/>
        </w:rPr>
        <w:t>д)</w:t>
      </w:r>
      <w:r w:rsidRPr="009072DA">
        <w:rPr>
          <w:lang w:val="bg-BG"/>
        </w:rPr>
        <w:tab/>
        <w:t>когато е приложимо, доказателство за предходни преминати изпитвания.</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3.</w:t>
      </w:r>
      <w:r w:rsidRPr="009072DA">
        <w:rPr>
          <w:lang w:val="bg-BG"/>
        </w:rPr>
        <w:tab/>
      </w:r>
      <w:r w:rsidRPr="009072DA">
        <w:rPr>
          <w:color w:val="000000"/>
          <w:lang w:val="bg-BG"/>
        </w:rPr>
        <w:t>В случай че заявителят не предвижда да притежава декларация за съответствие съгласно Директива 2014/53/ЕС, изготвена едновременно с одобрението на типа, декларацията за съответствие трябва да бъде подадена заедно със заявлението за изпитване на типа.</w:t>
      </w:r>
    </w:p>
    <w:p w:rsidR="009C13A9" w:rsidRPr="009072DA" w:rsidRDefault="009C13A9" w:rsidP="009C13A9">
      <w:pPr>
        <w:spacing w:line="240" w:lineRule="atLeast"/>
        <w:rPr>
          <w:rFonts w:cs="Arial"/>
          <w:color w:val="000000"/>
          <w:lang w:val="bg-BG"/>
        </w:rPr>
      </w:pPr>
    </w:p>
    <w:p w:rsidR="001077F3" w:rsidRPr="009072DA" w:rsidRDefault="001077F3" w:rsidP="009C13A9">
      <w:pPr>
        <w:spacing w:line="240" w:lineRule="atLeast"/>
        <w:jc w:val="center"/>
        <w:rPr>
          <w:rFonts w:cs="Arial"/>
          <w:b/>
          <w:lang w:val="bg-BG"/>
        </w:rPr>
      </w:pPr>
    </w:p>
    <w:p w:rsidR="009C13A9" w:rsidRPr="009072DA" w:rsidRDefault="009C13A9" w:rsidP="009C13A9">
      <w:pPr>
        <w:spacing w:line="240" w:lineRule="atLeast"/>
        <w:jc w:val="center"/>
        <w:rPr>
          <w:rFonts w:cs="Arial"/>
          <w:i/>
          <w:lang w:val="bg-BG"/>
        </w:rPr>
      </w:pPr>
      <w:r w:rsidRPr="009072DA">
        <w:rPr>
          <w:b/>
          <w:lang w:val="bg-BG"/>
        </w:rPr>
        <w:t>Член 6</w:t>
      </w:r>
      <w:r w:rsidRPr="009072DA">
        <w:rPr>
          <w:rFonts w:cs="Arial"/>
          <w:b/>
          <w:lang w:val="bg-BG"/>
        </w:rPr>
        <w:br/>
      </w:r>
      <w:r w:rsidRPr="009072DA">
        <w:rPr>
          <w:i/>
          <w:lang w:val="bg-BG"/>
        </w:rPr>
        <w:t>Одобрение на типа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 xml:space="preserve">Одобрението на типа се издава от компетентния орган в съответствие с удостоверението за изпитване. </w:t>
      </w:r>
    </w:p>
    <w:p w:rsidR="009C13A9" w:rsidRPr="009072DA" w:rsidRDefault="009C13A9" w:rsidP="009C13A9">
      <w:pPr>
        <w:ind w:left="851"/>
        <w:rPr>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Всеки компетентен орган или техническата служба, определена от компетентния орган, има право да избира оборудване от производствената серия за проверка по всяко време.</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Ако при проверката се установят дефекти в оборудването, одобрението на типа може да бъде оттеглено.</w:t>
      </w:r>
    </w:p>
    <w:p w:rsidR="009C13A9" w:rsidRPr="009072DA" w:rsidRDefault="009C13A9" w:rsidP="009C13A9">
      <w:pPr>
        <w:ind w:left="850"/>
        <w:rPr>
          <w:lang w:val="bg-BG"/>
        </w:rPr>
      </w:pPr>
    </w:p>
    <w:p w:rsidR="009C13A9" w:rsidRPr="009072DA" w:rsidRDefault="009C13A9" w:rsidP="009C13A9">
      <w:pPr>
        <w:spacing w:line="240" w:lineRule="atLeast"/>
        <w:ind w:left="426"/>
        <w:rPr>
          <w:lang w:val="bg-BG"/>
        </w:rPr>
      </w:pPr>
      <w:r w:rsidRPr="009072DA">
        <w:rPr>
          <w:lang w:val="bg-BG"/>
        </w:rPr>
        <w:t>Одобрението на типа се оттегля от органа, който го е издал.</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p>
    <w:p w:rsidR="009C13A9" w:rsidRPr="009072DA" w:rsidRDefault="009C13A9" w:rsidP="009C13A9">
      <w:pPr>
        <w:spacing w:line="240" w:lineRule="atLeast"/>
        <w:jc w:val="center"/>
        <w:rPr>
          <w:rFonts w:cs="Arial"/>
          <w:i/>
          <w:lang w:val="bg-BG"/>
        </w:rPr>
      </w:pPr>
      <w:r w:rsidRPr="009072DA">
        <w:rPr>
          <w:b/>
          <w:lang w:val="bg-BG"/>
        </w:rPr>
        <w:t>Член 7</w:t>
      </w:r>
      <w:r w:rsidRPr="009072DA">
        <w:rPr>
          <w:rFonts w:cs="Arial"/>
          <w:b/>
          <w:lang w:val="bg-BG"/>
        </w:rPr>
        <w:br/>
      </w:r>
      <w:r w:rsidRPr="009072DA">
        <w:rPr>
          <w:i/>
          <w:lang w:val="bg-BG"/>
        </w:rPr>
        <w:t>Маркиране на оборудването и номер на одобрението на типа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Всеки компонент на оборудването се маркира неизличимо с името на производителя, търговското обозначение на оборудването, типа оборудване и серийния номер.</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Номерът на одобрението на типа, определен от компетентния орган, се поставя по траен начин върху устройството за показване така, че да остава ясно видим, след като оборудването бъде монтирано.</w:t>
      </w:r>
    </w:p>
    <w:p w:rsidR="009C13A9" w:rsidRPr="009072DA" w:rsidRDefault="009C13A9" w:rsidP="009C13A9">
      <w:pPr>
        <w:spacing w:line="240" w:lineRule="atLeast"/>
        <w:ind w:left="426"/>
        <w:rPr>
          <w:lang w:val="bg-BG"/>
        </w:rPr>
      </w:pPr>
    </w:p>
    <w:p w:rsidR="001077F3" w:rsidRPr="009072DA" w:rsidRDefault="001077F3">
      <w:pPr>
        <w:rPr>
          <w:lang w:val="bg-BG"/>
        </w:rPr>
      </w:pPr>
      <w:r w:rsidRPr="009072DA">
        <w:rPr>
          <w:lang w:val="bg-BG"/>
        </w:rPr>
        <w:br w:type="page"/>
      </w:r>
    </w:p>
    <w:p w:rsidR="009C13A9" w:rsidRPr="009072DA" w:rsidRDefault="009C13A9" w:rsidP="009C13A9">
      <w:pPr>
        <w:spacing w:line="240" w:lineRule="atLeast"/>
        <w:ind w:left="426"/>
        <w:rPr>
          <w:lang w:val="bg-BG"/>
        </w:rPr>
      </w:pPr>
      <w:r w:rsidRPr="009072DA">
        <w:rPr>
          <w:lang w:val="bg-BG"/>
        </w:rPr>
        <w:lastRenderedPageBreak/>
        <w:t>Състав на номера на одобрение на типа: R-NN-NNN или e-NN-NNN</w:t>
      </w:r>
    </w:p>
    <w:p w:rsidR="009C13A9" w:rsidRPr="009072DA" w:rsidRDefault="009C13A9" w:rsidP="009C13A9">
      <w:pPr>
        <w:tabs>
          <w:tab w:val="left" w:pos="993"/>
        </w:tabs>
        <w:spacing w:before="60" w:line="240" w:lineRule="atLeast"/>
        <w:ind w:left="1418" w:hanging="993"/>
        <w:rPr>
          <w:rFonts w:cs="Arial"/>
          <w:szCs w:val="20"/>
          <w:lang w:val="bg-BG"/>
        </w:rPr>
      </w:pPr>
      <w:r w:rsidRPr="009072DA">
        <w:rPr>
          <w:lang w:val="bg-BG"/>
        </w:rPr>
        <w:t>R</w:t>
      </w:r>
      <w:r w:rsidRPr="009072DA">
        <w:rPr>
          <w:lang w:val="bg-BG"/>
        </w:rPr>
        <w:tab/>
        <w:t>=</w:t>
      </w:r>
      <w:r w:rsidRPr="009072DA">
        <w:rPr>
          <w:lang w:val="bg-BG"/>
        </w:rPr>
        <w:tab/>
        <w:t>Рейн</w:t>
      </w:r>
    </w:p>
    <w:p w:rsidR="009C13A9" w:rsidRPr="009072DA" w:rsidRDefault="009C13A9" w:rsidP="009C13A9">
      <w:pPr>
        <w:tabs>
          <w:tab w:val="left" w:pos="993"/>
        </w:tabs>
        <w:spacing w:before="60" w:line="240" w:lineRule="atLeast"/>
        <w:ind w:left="1418" w:hanging="993"/>
        <w:rPr>
          <w:lang w:val="bg-BG"/>
        </w:rPr>
      </w:pPr>
      <w:r w:rsidRPr="009072DA">
        <w:rPr>
          <w:lang w:val="bg-BG"/>
        </w:rPr>
        <w:t>e</w:t>
      </w:r>
      <w:r w:rsidRPr="009072DA">
        <w:rPr>
          <w:lang w:val="bg-BG"/>
        </w:rPr>
        <w:tab/>
        <w:t>=</w:t>
      </w:r>
      <w:r w:rsidRPr="009072DA">
        <w:rPr>
          <w:lang w:val="bg-BG"/>
        </w:rPr>
        <w:tab/>
        <w:t>Европейски съюз</w:t>
      </w:r>
    </w:p>
    <w:p w:rsidR="009C13A9" w:rsidRPr="009072DA" w:rsidRDefault="009C13A9" w:rsidP="009C13A9">
      <w:pPr>
        <w:tabs>
          <w:tab w:val="left" w:pos="993"/>
        </w:tabs>
        <w:spacing w:before="60" w:line="240" w:lineRule="atLeast"/>
        <w:ind w:left="1418" w:hanging="993"/>
        <w:rPr>
          <w:lang w:val="bg-BG"/>
        </w:rPr>
      </w:pPr>
      <w:r w:rsidRPr="009072DA">
        <w:rPr>
          <w:lang w:val="bg-BG"/>
        </w:rPr>
        <w:t>NN</w:t>
      </w:r>
      <w:r w:rsidRPr="009072DA">
        <w:rPr>
          <w:lang w:val="bg-BG"/>
        </w:rPr>
        <w:tab/>
        <w:t>=</w:t>
      </w:r>
      <w:r w:rsidRPr="009072DA">
        <w:rPr>
          <w:lang w:val="bg-BG"/>
        </w:rPr>
        <w:tab/>
        <w:t>номер на държавата, издала одобрението на типа, където</w:t>
      </w:r>
    </w:p>
    <w:p w:rsidR="009C13A9" w:rsidRPr="009072DA" w:rsidRDefault="009C13A9" w:rsidP="009C13A9">
      <w:pPr>
        <w:spacing w:line="240" w:lineRule="atLeast"/>
        <w:ind w:left="426"/>
        <w:rPr>
          <w:lang w:val="bg-BG"/>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01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Германия</w:t>
            </w:r>
          </w:p>
        </w:tc>
        <w:tc>
          <w:tcPr>
            <w:tcW w:w="724" w:type="dxa"/>
          </w:tcPr>
          <w:p w:rsidR="009C13A9" w:rsidRPr="009072DA" w:rsidRDefault="009C13A9" w:rsidP="009C13A9">
            <w:pPr>
              <w:spacing w:before="40" w:after="40" w:line="240" w:lineRule="atLeast"/>
              <w:rPr>
                <w:szCs w:val="20"/>
                <w:lang w:val="bg-BG"/>
              </w:rPr>
            </w:pPr>
            <w:r w:rsidRPr="009072DA">
              <w:rPr>
                <w:lang w:val="bg-BG"/>
              </w:rPr>
              <w:t>19</w:t>
            </w:r>
          </w:p>
        </w:tc>
        <w:tc>
          <w:tcPr>
            <w:tcW w:w="416" w:type="dxa"/>
          </w:tcPr>
          <w:p w:rsidR="009C13A9" w:rsidRPr="009072DA" w:rsidRDefault="009C13A9" w:rsidP="009C13A9">
            <w:pPr>
              <w:spacing w:before="40" w:after="40" w:line="240" w:lineRule="atLeast"/>
              <w:rPr>
                <w:szCs w:val="20"/>
                <w:lang w:val="bg-BG"/>
              </w:rPr>
            </w:pPr>
            <w:r w:rsidRPr="009072DA">
              <w:rPr>
                <w:lang w:val="bg-BG"/>
              </w:rPr>
              <w:t>=</w:t>
            </w:r>
          </w:p>
        </w:tc>
        <w:tc>
          <w:tcPr>
            <w:tcW w:w="2205" w:type="dxa"/>
          </w:tcPr>
          <w:p w:rsidR="009C13A9" w:rsidRPr="009072DA" w:rsidRDefault="009C13A9" w:rsidP="009C13A9">
            <w:pPr>
              <w:spacing w:before="40" w:after="40" w:line="240" w:lineRule="atLeast"/>
              <w:rPr>
                <w:szCs w:val="20"/>
                <w:lang w:val="bg-BG"/>
              </w:rPr>
            </w:pPr>
            <w:r w:rsidRPr="009072DA">
              <w:rPr>
                <w:lang w:val="bg-BG"/>
              </w:rPr>
              <w:t>Румъния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02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 xml:space="preserve">Франция </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20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 xml:space="preserve">Полша </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03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Италия</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21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 xml:space="preserve">Португалия </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04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 xml:space="preserve">Нидерландия </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23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Гърция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05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Швеция</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24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Ирландия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06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 xml:space="preserve">Белгия </w:t>
            </w:r>
          </w:p>
        </w:tc>
        <w:tc>
          <w:tcPr>
            <w:tcW w:w="724" w:type="dxa"/>
            <w:vAlign w:val="center"/>
          </w:tcPr>
          <w:p w:rsidR="009C13A9" w:rsidRPr="009072DA" w:rsidRDefault="009C13A9" w:rsidP="009C13A9">
            <w:pPr>
              <w:spacing w:before="40" w:after="40" w:line="240" w:lineRule="atLeast"/>
              <w:rPr>
                <w:szCs w:val="20"/>
                <w:lang w:val="bg-BG"/>
              </w:rPr>
            </w:pPr>
            <w:r w:rsidRPr="009072DA">
              <w:rPr>
                <w:color w:val="000000"/>
                <w:lang w:val="bg-BG"/>
              </w:rPr>
              <w:t>25</w:t>
            </w:r>
          </w:p>
        </w:tc>
        <w:tc>
          <w:tcPr>
            <w:tcW w:w="416" w:type="dxa"/>
            <w:vAlign w:val="center"/>
          </w:tcPr>
          <w:p w:rsidR="009C13A9" w:rsidRPr="009072DA" w:rsidRDefault="009C13A9" w:rsidP="009C13A9">
            <w:pPr>
              <w:spacing w:before="40" w:after="40" w:line="240" w:lineRule="atLeast"/>
              <w:rPr>
                <w:szCs w:val="20"/>
                <w:lang w:val="bg-BG"/>
              </w:rPr>
            </w:pPr>
            <w:r w:rsidRPr="009072DA">
              <w:rPr>
                <w:color w:val="000000"/>
                <w:lang w:val="bg-BG"/>
              </w:rPr>
              <w:t>=</w:t>
            </w:r>
          </w:p>
        </w:tc>
        <w:tc>
          <w:tcPr>
            <w:tcW w:w="2205" w:type="dxa"/>
            <w:vAlign w:val="center"/>
          </w:tcPr>
          <w:p w:rsidR="009C13A9" w:rsidRPr="009072DA" w:rsidRDefault="009C13A9" w:rsidP="009C13A9">
            <w:pPr>
              <w:spacing w:before="40" w:after="40" w:line="240" w:lineRule="atLeast"/>
              <w:rPr>
                <w:szCs w:val="20"/>
                <w:lang w:val="bg-BG"/>
              </w:rPr>
            </w:pPr>
            <w:r w:rsidRPr="009072DA">
              <w:rPr>
                <w:lang w:val="bg-BG"/>
              </w:rPr>
              <w:t>Хърватия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07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Унгария</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26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Словения</w:t>
            </w:r>
          </w:p>
        </w:tc>
      </w:tr>
      <w:tr w:rsidR="009C13A9" w:rsidRPr="009072DA" w:rsidTr="009C13A9">
        <w:trPr>
          <w:jc w:val="center"/>
        </w:trPr>
        <w:tc>
          <w:tcPr>
            <w:tcW w:w="720" w:type="dxa"/>
          </w:tcPr>
          <w:p w:rsidR="009C13A9" w:rsidRPr="009072DA" w:rsidRDefault="009C13A9" w:rsidP="009C13A9">
            <w:pPr>
              <w:spacing w:before="40" w:after="160" w:line="240" w:lineRule="atLeast"/>
              <w:rPr>
                <w:szCs w:val="20"/>
                <w:lang w:val="bg-BG"/>
              </w:rPr>
            </w:pPr>
            <w:r w:rsidRPr="009072DA">
              <w:rPr>
                <w:lang w:val="bg-BG"/>
              </w:rPr>
              <w:t xml:space="preserve">08 </w:t>
            </w:r>
          </w:p>
        </w:tc>
        <w:tc>
          <w:tcPr>
            <w:tcW w:w="360" w:type="dxa"/>
          </w:tcPr>
          <w:p w:rsidR="009C13A9" w:rsidRPr="009072DA" w:rsidRDefault="009C13A9" w:rsidP="009C13A9">
            <w:pPr>
              <w:spacing w:before="40" w:after="16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160" w:line="240" w:lineRule="atLeast"/>
              <w:rPr>
                <w:szCs w:val="20"/>
                <w:lang w:val="bg-BG"/>
              </w:rPr>
            </w:pPr>
            <w:r w:rsidRPr="009072DA">
              <w:rPr>
                <w:lang w:val="bg-BG"/>
              </w:rPr>
              <w:t>Чешка република</w:t>
            </w:r>
          </w:p>
        </w:tc>
        <w:tc>
          <w:tcPr>
            <w:tcW w:w="724" w:type="dxa"/>
          </w:tcPr>
          <w:p w:rsidR="009C13A9" w:rsidRPr="009072DA" w:rsidRDefault="009C13A9" w:rsidP="009C13A9">
            <w:pPr>
              <w:spacing w:before="40" w:after="160" w:line="240" w:lineRule="atLeast"/>
              <w:rPr>
                <w:szCs w:val="20"/>
                <w:lang w:val="bg-BG"/>
              </w:rPr>
            </w:pPr>
            <w:r w:rsidRPr="009072DA">
              <w:rPr>
                <w:lang w:val="bg-BG"/>
              </w:rPr>
              <w:t xml:space="preserve">27 </w:t>
            </w:r>
          </w:p>
        </w:tc>
        <w:tc>
          <w:tcPr>
            <w:tcW w:w="416" w:type="dxa"/>
          </w:tcPr>
          <w:p w:rsidR="009C13A9" w:rsidRPr="009072DA" w:rsidRDefault="009C13A9" w:rsidP="009C13A9">
            <w:pPr>
              <w:spacing w:before="40" w:after="16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160" w:line="240" w:lineRule="atLeast"/>
              <w:rPr>
                <w:szCs w:val="20"/>
                <w:lang w:val="bg-BG"/>
              </w:rPr>
            </w:pPr>
            <w:r w:rsidRPr="009072DA">
              <w:rPr>
                <w:lang w:val="bg-BG"/>
              </w:rPr>
              <w:t>Словакия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09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 xml:space="preserve">Испания </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29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Естония</w:t>
            </w:r>
          </w:p>
        </w:tc>
      </w:tr>
    </w:tbl>
    <w:p w:rsidR="009C13A9" w:rsidRPr="009072DA" w:rsidRDefault="009C13A9" w:rsidP="001077F3">
      <w:pPr>
        <w:rPr>
          <w:lang w:val="bg-BG"/>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11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Обединено кралство</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32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Латвия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12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Австрия</w:t>
            </w:r>
          </w:p>
        </w:tc>
        <w:tc>
          <w:tcPr>
            <w:tcW w:w="724" w:type="dxa"/>
          </w:tcPr>
          <w:p w:rsidR="009C13A9" w:rsidRPr="009072DA" w:rsidRDefault="009C13A9" w:rsidP="009C13A9">
            <w:pPr>
              <w:spacing w:before="40" w:after="40" w:line="240" w:lineRule="atLeast"/>
              <w:rPr>
                <w:szCs w:val="20"/>
                <w:lang w:val="bg-BG"/>
              </w:rPr>
            </w:pPr>
            <w:r w:rsidRPr="009072DA">
              <w:rPr>
                <w:lang w:val="bg-BG"/>
              </w:rPr>
              <w:t>34</w:t>
            </w:r>
          </w:p>
        </w:tc>
        <w:tc>
          <w:tcPr>
            <w:tcW w:w="416" w:type="dxa"/>
          </w:tcPr>
          <w:p w:rsidR="009C13A9" w:rsidRPr="009072DA" w:rsidRDefault="009C13A9" w:rsidP="009C13A9">
            <w:pPr>
              <w:spacing w:before="40" w:after="40" w:line="240" w:lineRule="atLeast"/>
              <w:rPr>
                <w:szCs w:val="20"/>
                <w:lang w:val="bg-BG"/>
              </w:rPr>
            </w:pPr>
            <w:r w:rsidRPr="009072DA">
              <w:rPr>
                <w:lang w:val="bg-BG"/>
              </w:rPr>
              <w:t>=</w:t>
            </w:r>
          </w:p>
        </w:tc>
        <w:tc>
          <w:tcPr>
            <w:tcW w:w="2205" w:type="dxa"/>
          </w:tcPr>
          <w:p w:rsidR="009C13A9" w:rsidRPr="009072DA" w:rsidRDefault="009C13A9" w:rsidP="009C13A9">
            <w:pPr>
              <w:spacing w:before="40" w:after="40" w:line="240" w:lineRule="atLeast"/>
              <w:rPr>
                <w:szCs w:val="20"/>
                <w:lang w:val="bg-BG"/>
              </w:rPr>
            </w:pPr>
            <w:r w:rsidRPr="009072DA">
              <w:rPr>
                <w:lang w:val="bg-BG"/>
              </w:rPr>
              <w:t>България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13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 xml:space="preserve">Люксембург </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36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Литва</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14</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Швейцария</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49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Кипър</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17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Финландия</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50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Малта</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18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 xml:space="preserve">Дания </w:t>
            </w:r>
          </w:p>
        </w:tc>
        <w:tc>
          <w:tcPr>
            <w:tcW w:w="724" w:type="dxa"/>
          </w:tcPr>
          <w:p w:rsidR="009C13A9" w:rsidRPr="009072DA" w:rsidRDefault="009C13A9" w:rsidP="009C13A9">
            <w:pPr>
              <w:spacing w:before="40" w:after="40" w:line="240" w:lineRule="atLeast"/>
              <w:rPr>
                <w:szCs w:val="20"/>
                <w:lang w:val="bg-BG"/>
              </w:rPr>
            </w:pPr>
          </w:p>
        </w:tc>
        <w:tc>
          <w:tcPr>
            <w:tcW w:w="416" w:type="dxa"/>
          </w:tcPr>
          <w:p w:rsidR="009C13A9" w:rsidRPr="009072DA" w:rsidRDefault="009C13A9" w:rsidP="009C13A9">
            <w:pPr>
              <w:spacing w:before="40" w:after="40" w:line="240" w:lineRule="atLeast"/>
              <w:rPr>
                <w:szCs w:val="20"/>
                <w:lang w:val="bg-BG"/>
              </w:rPr>
            </w:pPr>
          </w:p>
        </w:tc>
        <w:tc>
          <w:tcPr>
            <w:tcW w:w="2205" w:type="dxa"/>
          </w:tcPr>
          <w:p w:rsidR="009C13A9" w:rsidRPr="009072DA" w:rsidRDefault="009C13A9" w:rsidP="009C13A9">
            <w:pPr>
              <w:spacing w:before="40" w:after="40" w:line="240" w:lineRule="atLeast"/>
              <w:rPr>
                <w:szCs w:val="20"/>
                <w:lang w:val="bg-BG"/>
              </w:rPr>
            </w:pPr>
          </w:p>
        </w:tc>
      </w:tr>
    </w:tbl>
    <w:p w:rsidR="009C13A9" w:rsidRPr="009072DA" w:rsidRDefault="009C13A9" w:rsidP="009C13A9">
      <w:pPr>
        <w:tabs>
          <w:tab w:val="left" w:pos="993"/>
        </w:tabs>
        <w:spacing w:line="240" w:lineRule="atLeast"/>
        <w:ind w:left="1418" w:hanging="992"/>
        <w:rPr>
          <w:lang w:val="bg-BG"/>
        </w:rPr>
      </w:pPr>
    </w:p>
    <w:p w:rsidR="009C13A9" w:rsidRPr="009072DA" w:rsidRDefault="009C13A9" w:rsidP="009C13A9">
      <w:pPr>
        <w:tabs>
          <w:tab w:val="left" w:pos="993"/>
        </w:tabs>
        <w:spacing w:line="240" w:lineRule="atLeast"/>
        <w:ind w:left="1418" w:hanging="992"/>
        <w:rPr>
          <w:lang w:val="bg-BG"/>
        </w:rPr>
      </w:pPr>
      <w:r w:rsidRPr="009072DA">
        <w:rPr>
          <w:lang w:val="bg-BG"/>
        </w:rPr>
        <w:t>NNN</w:t>
      </w:r>
      <w:r w:rsidRPr="009072DA">
        <w:rPr>
          <w:lang w:val="bg-BG"/>
        </w:rPr>
        <w:tab/>
        <w:t>=</w:t>
      </w:r>
      <w:r w:rsidRPr="009072DA">
        <w:rPr>
          <w:lang w:val="bg-BG"/>
        </w:rPr>
        <w:tab/>
        <w:t>трицифрен номер, който се определя от компетентния орган.</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3.</w:t>
      </w:r>
      <w:r w:rsidRPr="009072DA">
        <w:rPr>
          <w:lang w:val="bg-BG"/>
        </w:rPr>
        <w:tab/>
      </w:r>
      <w:r w:rsidRPr="009072DA">
        <w:rPr>
          <w:color w:val="000000"/>
          <w:lang w:val="bg-BG"/>
        </w:rPr>
        <w:t xml:space="preserve">Номерът на одобрението на типа се използва само във връзка със съответното одобрение на типа. </w:t>
      </w:r>
    </w:p>
    <w:p w:rsidR="009C13A9" w:rsidRPr="009072DA" w:rsidRDefault="009C13A9" w:rsidP="009C13A9">
      <w:pPr>
        <w:spacing w:line="240" w:lineRule="atLeast"/>
        <w:ind w:left="426"/>
        <w:rPr>
          <w:lang w:val="bg-BG"/>
        </w:rPr>
      </w:pPr>
      <w:r w:rsidRPr="009072DA">
        <w:rPr>
          <w:lang w:val="bg-BG"/>
        </w:rPr>
        <w:t>Задължение на заявителя е да произведе и прикрепи номера на одобрение на типа.</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spacing w:line="240" w:lineRule="atLeast"/>
        <w:jc w:val="center"/>
        <w:rPr>
          <w:rFonts w:cs="Arial"/>
          <w:i/>
          <w:lang w:val="bg-BG"/>
        </w:rPr>
      </w:pPr>
      <w:r w:rsidRPr="009072DA">
        <w:rPr>
          <w:b/>
          <w:lang w:val="bg-BG"/>
        </w:rPr>
        <w:t>Член 8</w:t>
      </w:r>
      <w:r w:rsidRPr="009072DA">
        <w:rPr>
          <w:rFonts w:cs="Arial"/>
          <w:b/>
          <w:lang w:val="bg-BG"/>
        </w:rPr>
        <w:br/>
      </w:r>
      <w:r w:rsidRPr="009072DA">
        <w:rPr>
          <w:i/>
          <w:lang w:val="bg-BG"/>
        </w:rPr>
        <w:t>Декларация на производителя</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Всяка единица оборудване се придружава от декларация на производителя.</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jc w:val="center"/>
        <w:rPr>
          <w:rFonts w:cs="Arial"/>
          <w:i/>
          <w:lang w:val="bg-BG"/>
        </w:rPr>
      </w:pPr>
      <w:r w:rsidRPr="009072DA">
        <w:rPr>
          <w:b/>
          <w:lang w:val="bg-BG"/>
        </w:rPr>
        <w:t>Член 9</w:t>
      </w:r>
      <w:r w:rsidRPr="009072DA">
        <w:rPr>
          <w:rFonts w:cs="Arial"/>
          <w:b/>
          <w:lang w:val="bg-BG"/>
        </w:rPr>
        <w:br/>
      </w:r>
      <w:r w:rsidRPr="009072DA">
        <w:rPr>
          <w:i/>
          <w:lang w:val="bg-BG"/>
        </w:rPr>
        <w:t>Изменения на оборудване с одобрен тип</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 xml:space="preserve">Всякакви изменения, внесени в оборудване, което вече е одобрено, водят до анулиране на одобрението на типа. </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Когато се планират изменения, данните се представят в писмена форма на компетентната техническа служба.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Компетентният орган решава, след консултации с техническата служба, дали одобрението на типа остава валидно, или се налага нова проверка или изпитване на типа.</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В случай на ново изпитване на типа се определя нов номер на одобрение на типа.</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br w:type="page"/>
      </w:r>
    </w:p>
    <w:p w:rsidR="009C13A9" w:rsidRPr="009072DA" w:rsidRDefault="009C13A9" w:rsidP="009C13A9">
      <w:pPr>
        <w:spacing w:line="240" w:lineRule="atLeast"/>
        <w:ind w:left="426"/>
        <w:rPr>
          <w:lang w:val="bg-BG"/>
        </w:rPr>
      </w:pPr>
    </w:p>
    <w:p w:rsidR="001077F3" w:rsidRPr="009072DA" w:rsidRDefault="001077F3" w:rsidP="001077F3">
      <w:pPr>
        <w:overflowPunct w:val="0"/>
        <w:adjustRightInd w:val="0"/>
        <w:spacing w:line="240" w:lineRule="atLeast"/>
        <w:jc w:val="center"/>
        <w:textAlignment w:val="baseline"/>
        <w:rPr>
          <w:rFonts w:cs="Arial"/>
          <w:b/>
          <w:bCs/>
          <w:lang w:val="bg-BG"/>
        </w:rPr>
      </w:pPr>
      <w:r w:rsidRPr="009072DA">
        <w:rPr>
          <w:b/>
          <w:lang w:val="bg-BG"/>
        </w:rPr>
        <w:t>Допълнение</w:t>
      </w:r>
    </w:p>
    <w:p w:rsidR="001077F3" w:rsidRPr="009072DA" w:rsidRDefault="001077F3" w:rsidP="001077F3">
      <w:pPr>
        <w:tabs>
          <w:tab w:val="left" w:pos="0"/>
        </w:tabs>
        <w:suppressAutoHyphens/>
        <w:spacing w:line="240" w:lineRule="atLeast"/>
        <w:ind w:left="1276" w:hanging="992"/>
        <w:jc w:val="center"/>
        <w:rPr>
          <w:b/>
          <w:szCs w:val="20"/>
          <w:lang w:val="bg-BG"/>
        </w:rPr>
      </w:pPr>
      <w:r w:rsidRPr="009072DA">
        <w:rPr>
          <w:b/>
          <w:lang w:val="bg-BG"/>
        </w:rPr>
        <w:t>Фигура 1:</w:t>
      </w:r>
      <w:r w:rsidRPr="009072DA">
        <w:rPr>
          <w:lang w:val="bg-BG"/>
        </w:rPr>
        <w:tab/>
      </w:r>
      <w:r w:rsidRPr="009072DA">
        <w:rPr>
          <w:b/>
          <w:lang w:val="bg-BG"/>
        </w:rPr>
        <w:t>Оборудване за ECDIS за вътрешните водни пътища, самостоятелно оборудване, свързано с радиолокационно оборудване (конфигурация на системата 2)</w:t>
      </w:r>
    </w:p>
    <w:p w:rsidR="001077F3" w:rsidRPr="009072DA" w:rsidRDefault="001077F3" w:rsidP="001077F3">
      <w:pPr>
        <w:tabs>
          <w:tab w:val="left" w:pos="0"/>
        </w:tabs>
        <w:suppressAutoHyphens/>
        <w:spacing w:line="240" w:lineRule="atLeast"/>
        <w:ind w:left="993" w:hanging="709"/>
        <w:rPr>
          <w:b/>
          <w:i/>
          <w:sz w:val="18"/>
          <w:lang w:val="bg-BG"/>
        </w:rPr>
      </w:pPr>
    </w:p>
    <w:p w:rsidR="001077F3" w:rsidRPr="009072DA" w:rsidRDefault="001077F3" w:rsidP="001077F3">
      <w:pPr>
        <w:tabs>
          <w:tab w:val="left" w:pos="0"/>
        </w:tabs>
        <w:suppressAutoHyphens/>
        <w:spacing w:line="240" w:lineRule="atLeast"/>
        <w:ind w:left="993" w:hanging="709"/>
        <w:rPr>
          <w:b/>
          <w:i/>
          <w:sz w:val="18"/>
          <w:lang w:val="bg-BG"/>
        </w:rPr>
      </w:pPr>
      <w:r w:rsidRPr="009072DA">
        <w:rPr>
          <w:noProof/>
          <w:lang w:eastAsia="en-GB"/>
        </w:rPr>
        <mc:AlternateContent>
          <mc:Choice Requires="wps">
            <w:drawing>
              <wp:anchor distT="0" distB="0" distL="114300" distR="114300" simplePos="0" relativeHeight="251682816" behindDoc="0" locked="0" layoutInCell="1" allowOverlap="1" wp14:anchorId="0D886CCF" wp14:editId="45C2E95C">
                <wp:simplePos x="0" y="0"/>
                <wp:positionH relativeFrom="column">
                  <wp:posOffset>252095</wp:posOffset>
                </wp:positionH>
                <wp:positionV relativeFrom="paragraph">
                  <wp:posOffset>130175</wp:posOffset>
                </wp:positionV>
                <wp:extent cx="2333625" cy="3438525"/>
                <wp:effectExtent l="0" t="0" r="28575" b="28575"/>
                <wp:wrapNone/>
                <wp:docPr id="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3625" cy="3438525"/>
                        </a:xfrm>
                        <a:prstGeom prst="rect">
                          <a:avLst/>
                        </a:prstGeom>
                        <a:noFill/>
                        <a:ln w="25400">
                          <a:solidFill>
                            <a:srgbClr val="F79646"/>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w:pict>
              <v:rect xmlns:o="urn:schemas-microsoft-com:office:office" xmlns:v="urn:schemas-microsoft-com:vml" id="Rectangle 4" style="position:absolute;margin-left:19.85pt;margin-top:10.25pt;width:183.75pt;height:27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f79646" strokeweigh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">
                <v:stroke dashstyle="dash"/>
              </v:rect>
            </w:pict>
          </mc:Fallback>
        </mc:AlternateContent>
      </w:r>
      <w:r w:rsidRPr="009072DA">
        <w:rPr>
          <w:b/>
          <w:i/>
          <w:noProof/>
          <w:sz w:val="18"/>
          <w:lang w:eastAsia="en-GB"/>
        </w:rPr>
        <w:drawing>
          <wp:inline distT="0" distB="0" distL="0" distR="0" wp14:anchorId="617F560C" wp14:editId="6D14EC37">
            <wp:extent cx="5362575" cy="3913309"/>
            <wp:effectExtent l="0" t="0" r="0" b="0"/>
            <wp:docPr id="291" name="Imag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367317" cy="3916769"/>
                    </a:xfrm>
                    <a:prstGeom prst="rect">
                      <a:avLst/>
                    </a:prstGeom>
                    <a:noFill/>
                  </pic:spPr>
                </pic:pic>
              </a:graphicData>
            </a:graphic>
          </wp:inline>
        </w:drawing>
      </w:r>
    </w:p>
    <w:p w:rsidR="001077F3" w:rsidRPr="009072DA" w:rsidRDefault="001077F3" w:rsidP="001077F3">
      <w:pPr>
        <w:tabs>
          <w:tab w:val="left" w:pos="0"/>
        </w:tabs>
        <w:suppressAutoHyphens/>
        <w:spacing w:line="240" w:lineRule="atLeast"/>
        <w:ind w:left="1276" w:hanging="992"/>
        <w:rPr>
          <w:b/>
          <w:szCs w:val="20"/>
          <w:lang w:val="bg-BG"/>
        </w:rPr>
      </w:pPr>
      <w:r w:rsidRPr="009072DA">
        <w:rPr>
          <w:b/>
          <w:lang w:val="bg-BG"/>
        </w:rPr>
        <w:t>Фигура 2:</w:t>
      </w:r>
      <w:r w:rsidRPr="009072DA">
        <w:rPr>
          <w:lang w:val="bg-BG"/>
        </w:rPr>
        <w:tab/>
      </w:r>
      <w:r w:rsidRPr="009072DA">
        <w:rPr>
          <w:b/>
          <w:lang w:val="bg-BG"/>
        </w:rPr>
        <w:t>Оборудване за ECDIS за вътрешните водни пътища, самостоятелно оборудване, свързано с радиолокатор и общ монитор (конфигурация на системата 3)</w:t>
      </w:r>
    </w:p>
    <w:p w:rsidR="001077F3" w:rsidRPr="009072DA" w:rsidRDefault="001077F3" w:rsidP="001077F3">
      <w:pPr>
        <w:tabs>
          <w:tab w:val="left" w:pos="0"/>
        </w:tabs>
        <w:suppressAutoHyphens/>
        <w:spacing w:line="240" w:lineRule="atLeast"/>
        <w:ind w:left="1276" w:hanging="992"/>
        <w:rPr>
          <w:b/>
          <w:i/>
          <w:sz w:val="18"/>
          <w:lang w:val="bg-BG"/>
        </w:rPr>
      </w:pPr>
    </w:p>
    <w:p w:rsidR="001077F3" w:rsidRPr="009072DA" w:rsidRDefault="001077F3" w:rsidP="001077F3">
      <w:pPr>
        <w:tabs>
          <w:tab w:val="left" w:pos="0"/>
        </w:tabs>
        <w:suppressAutoHyphens/>
        <w:spacing w:line="240" w:lineRule="atLeast"/>
        <w:ind w:left="993" w:hanging="709"/>
        <w:rPr>
          <w:rFonts w:cs="Arial"/>
          <w:b/>
          <w:i/>
          <w:sz w:val="18"/>
          <w:szCs w:val="18"/>
          <w:lang w:val="bg-BG"/>
        </w:rPr>
      </w:pPr>
      <w:r w:rsidRPr="009072DA">
        <w:rPr>
          <w:noProof/>
          <w:lang w:eastAsia="en-GB"/>
        </w:rPr>
        <w:lastRenderedPageBreak/>
        <mc:AlternateContent>
          <mc:Choice Requires="wps">
            <w:drawing>
              <wp:anchor distT="0" distB="0" distL="114300" distR="114300" simplePos="0" relativeHeight="251683840" behindDoc="0" locked="0" layoutInCell="1" allowOverlap="1" wp14:anchorId="56B6DC5C" wp14:editId="4030A24B">
                <wp:simplePos x="0" y="0"/>
                <wp:positionH relativeFrom="column">
                  <wp:posOffset>213995</wp:posOffset>
                </wp:positionH>
                <wp:positionV relativeFrom="paragraph">
                  <wp:posOffset>84455</wp:posOffset>
                </wp:positionV>
                <wp:extent cx="2133600" cy="2867025"/>
                <wp:effectExtent l="0" t="0" r="19050" b="28575"/>
                <wp:wrapNone/>
                <wp:docPr id="11"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33600" cy="2867025"/>
                        </a:xfrm>
                        <a:custGeom>
                          <a:avLst/>
                          <a:gdLst>
                            <a:gd name="T0" fmla="*/ 0 w 2019300"/>
                            <a:gd name="T1" fmla="*/ 1466850 h 2867025"/>
                            <a:gd name="T2" fmla="*/ 0 w 2019300"/>
                            <a:gd name="T3" fmla="*/ 0 h 2867025"/>
                            <a:gd name="T4" fmla="*/ 781050 w 2019300"/>
                            <a:gd name="T5" fmla="*/ 0 h 2867025"/>
                            <a:gd name="T6" fmla="*/ 771525 w 2019300"/>
                            <a:gd name="T7" fmla="*/ 1457325 h 2867025"/>
                            <a:gd name="T8" fmla="*/ 2019300 w 2019300"/>
                            <a:gd name="T9" fmla="*/ 1466850 h 2867025"/>
                            <a:gd name="T10" fmla="*/ 2019300 w 2019300"/>
                            <a:gd name="T11" fmla="*/ 2867025 h 2867025"/>
                            <a:gd name="T12" fmla="*/ 0 w 2019300"/>
                            <a:gd name="T13" fmla="*/ 2867025 h 2867025"/>
                            <a:gd name="T14" fmla="*/ 0 w 2019300"/>
                            <a:gd name="T15" fmla="*/ 1466850 h 286702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2019300" h="2867025">
                              <a:moveTo>
                                <a:pt x="0" y="1466850"/>
                              </a:moveTo>
                              <a:lnTo>
                                <a:pt x="0" y="0"/>
                              </a:lnTo>
                              <a:lnTo>
                                <a:pt x="781050" y="0"/>
                              </a:lnTo>
                              <a:lnTo>
                                <a:pt x="771525" y="1457325"/>
                              </a:lnTo>
                              <a:lnTo>
                                <a:pt x="2019300" y="1466850"/>
                              </a:lnTo>
                              <a:lnTo>
                                <a:pt x="2019300" y="2867025"/>
                              </a:lnTo>
                              <a:lnTo>
                                <a:pt x="0" y="2867025"/>
                              </a:lnTo>
                              <a:lnTo>
                                <a:pt x="0" y="1466850"/>
                              </a:lnTo>
                              <a:close/>
                            </a:path>
                          </a:pathLst>
                        </a:custGeom>
                        <a:noFill/>
                        <a:ln w="25400">
                          <a:solidFill>
                            <a:srgbClr val="F79646"/>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w:pict>
              <v:shape xmlns:o="urn:schemas-microsoft-com:office:office" xmlns:v="urn:schemas-microsoft-com:vml" id="Rectangle 5" style="position:absolute;margin-left:16.85pt;margin-top:6.65pt;width:168pt;height:225.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19300,2867025" o:spid="_x0000_s1026" filled="f" strokecolor="#f79646" strokeweight="2pt" path="m,1466850l,,781050,r-9525,1457325l2019300,1466850r,1400175l,2867025,,146685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">
                <v:stroke dashstyle="dash"/>
                <v:path arrowok="t" o:connecttype="custom" o:connectlocs="0,1466850;0,0;825260,0;815196,1457325;2133600,1466850;2133600,2867025;0,2867025;0,1466850" o:connectangles="0,0,0,0,0,0,0,0"/>
              </v:shape>
            </w:pict>
          </mc:Fallback>
        </mc:AlternateContent>
      </w:r>
      <w:r w:rsidRPr="009072DA">
        <w:rPr>
          <w:rFonts w:cs="Arial"/>
          <w:b/>
          <w:i/>
          <w:noProof/>
          <w:sz w:val="18"/>
          <w:szCs w:val="18"/>
          <w:lang w:eastAsia="en-GB"/>
        </w:rPr>
        <w:drawing>
          <wp:inline distT="0" distB="0" distL="0" distR="0" wp14:anchorId="24CEEE2A" wp14:editId="31938FB5">
            <wp:extent cx="5362575" cy="3005907"/>
            <wp:effectExtent l="0" t="0" r="0" b="4445"/>
            <wp:docPr id="292" name="Imag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362939" cy="3006111"/>
                    </a:xfrm>
                    <a:prstGeom prst="rect">
                      <a:avLst/>
                    </a:prstGeom>
                    <a:noFill/>
                  </pic:spPr>
                </pic:pic>
              </a:graphicData>
            </a:graphic>
          </wp:inline>
        </w:drawing>
      </w:r>
    </w:p>
    <w:p w:rsidR="001077F3" w:rsidRPr="009072DA" w:rsidRDefault="001077F3" w:rsidP="001077F3">
      <w:pPr>
        <w:adjustRightInd w:val="0"/>
        <w:spacing w:line="240" w:lineRule="atLeast"/>
        <w:jc w:val="center"/>
        <w:rPr>
          <w:rFonts w:ascii="Times New Roman" w:hAnsi="Times New Roman"/>
          <w:sz w:val="24"/>
          <w:lang w:val="bg-BG"/>
        </w:rPr>
      </w:pPr>
      <w:r w:rsidRPr="009072DA">
        <w:rPr>
          <w:noProof/>
          <w:lang w:eastAsia="en-GB"/>
        </w:rPr>
        <mc:AlternateContent>
          <mc:Choice Requires="wps">
            <w:drawing>
              <wp:anchor distT="0" distB="0" distL="114300" distR="114300" simplePos="0" relativeHeight="251681792" behindDoc="0" locked="0" layoutInCell="1" allowOverlap="1" wp14:anchorId="04FCF36A" wp14:editId="7712E91E">
                <wp:simplePos x="0" y="0"/>
                <wp:positionH relativeFrom="column">
                  <wp:posOffset>194945</wp:posOffset>
                </wp:positionH>
                <wp:positionV relativeFrom="paragraph">
                  <wp:posOffset>125095</wp:posOffset>
                </wp:positionV>
                <wp:extent cx="1943100" cy="304800"/>
                <wp:effectExtent l="0" t="0" r="19050" b="19050"/>
                <wp:wrapNone/>
                <wp:docPr id="290"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304800"/>
                        </a:xfrm>
                        <a:prstGeom prst="rect">
                          <a:avLst/>
                        </a:prstGeom>
                        <a:noFill/>
                        <a:ln w="25400">
                          <a:solidFill>
                            <a:srgbClr val="F79646"/>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2B712C" w:rsidRPr="00CC14C6" w:rsidRDefault="002B712C" w:rsidP="001077F3">
                            <w:pPr>
                              <w:rPr>
                                <w:szCs w:val="20"/>
                              </w:rPr>
                            </w:pPr>
                            <w:r>
                              <w:rPr>
                                <w:sz w:val="16"/>
                              </w:rPr>
                              <w:t>Апаратна част</w:t>
                            </w:r>
                            <w:r>
                              <w:t xml:space="preserve"> на </w:t>
                            </w:r>
                            <w:r>
                              <w:rPr>
                                <w:sz w:val="16"/>
                              </w:rPr>
                              <w:t>оборудване</w:t>
                            </w:r>
                            <w:r>
                              <w:t xml:space="preserve"> за AIS за вътрешните водни пътища</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7" o:spid="_x0000_s1026" style="position:absolute;left:0;text-align:left;margin-left:15.35pt;margin-top:9.85pt;width:153pt;height:2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" filled="f" strokecolor="#f79646" strokeweight="2pt">
                <v:stroke dashstyle="dash"/>
                <v:textbox>
                  <w:txbxContent>
                    <w:p w:rsidR="002B712C" w:rsidRPr="00CC14C6" w:rsidRDefault="002B712C" w:rsidP="001077F3">
                      <w:pPr>
                        <w:rPr>
                          <w:szCs w:val="20"/>
                        </w:rPr>
                      </w:pPr>
                      <w:r>
                        <w:rPr>
                          <w:sz w:val="16"/>
                        </w:rPr>
                        <w:t>Апаратна част</w:t>
                      </w:r>
                      <w:r>
                        <w:t xml:space="preserve"> на </w:t>
                      </w:r>
                      <w:r>
                        <w:rPr>
                          <w:sz w:val="16"/>
                        </w:rPr>
                        <w:t>оборудване</w:t>
                      </w:r>
                      <w:r>
                        <w:t xml:space="preserve"> за AIS за вътрешните водни пътища</w:t>
                      </w:r>
                    </w:p>
                  </w:txbxContent>
                </v:textbox>
              </v:rect>
            </w:pict>
          </mc:Fallback>
        </mc:AlternateContent>
      </w:r>
    </w:p>
    <w:p w:rsidR="001077F3" w:rsidRPr="009072DA" w:rsidRDefault="001077F3" w:rsidP="001077F3">
      <w:pPr>
        <w:tabs>
          <w:tab w:val="left" w:pos="1985"/>
        </w:tabs>
        <w:suppressAutoHyphens/>
        <w:spacing w:line="240" w:lineRule="atLeast"/>
        <w:ind w:left="1985" w:hanging="1276"/>
        <w:rPr>
          <w:rFonts w:ascii="Times New Roman" w:hAnsi="Times New Roman"/>
          <w:sz w:val="24"/>
          <w:lang w:val="bg-BG"/>
        </w:rPr>
      </w:pPr>
    </w:p>
    <w:p w:rsidR="001077F3" w:rsidRPr="009072DA" w:rsidRDefault="001077F3" w:rsidP="001077F3">
      <w:pPr>
        <w:spacing w:line="240" w:lineRule="atLeast"/>
        <w:ind w:left="851"/>
        <w:rPr>
          <w:rFonts w:cs="Arial"/>
          <w:bCs/>
          <w:i/>
          <w:lang w:val="bg-BG"/>
        </w:rPr>
      </w:pPr>
    </w:p>
    <w:p w:rsidR="002043D6" w:rsidRPr="009072DA" w:rsidRDefault="002043D6">
      <w:pPr>
        <w:rPr>
          <w:rFonts w:cs="Arial"/>
          <w:b/>
          <w:bCs/>
          <w:szCs w:val="20"/>
          <w:lang w:val="bg-BG"/>
        </w:rPr>
      </w:pPr>
      <w:r w:rsidRPr="009072DA">
        <w:rPr>
          <w:lang w:val="bg-BG"/>
        </w:rPr>
        <w:br w:type="page"/>
      </w:r>
    </w:p>
    <w:p w:rsidR="009C13A9" w:rsidRPr="009072DA" w:rsidRDefault="009C13A9" w:rsidP="007D3F2F">
      <w:pPr>
        <w:tabs>
          <w:tab w:val="right" w:pos="9072"/>
        </w:tabs>
        <w:overflowPunct w:val="0"/>
        <w:adjustRightInd w:val="0"/>
        <w:spacing w:line="240" w:lineRule="atLeast"/>
        <w:textAlignment w:val="baseline"/>
        <w:rPr>
          <w:rFonts w:cs="Arial"/>
          <w:b/>
          <w:bCs/>
          <w:szCs w:val="20"/>
          <w:lang w:val="bg-BG"/>
        </w:rPr>
      </w:pPr>
    </w:p>
    <w:p w:rsidR="009C13A9" w:rsidRPr="009072DA" w:rsidRDefault="00925755" w:rsidP="00C50DA9">
      <w:pPr>
        <w:pStyle w:val="ES-Titre3"/>
        <w:rPr>
          <w:lang w:val="bg-BG"/>
        </w:rPr>
      </w:pPr>
      <w:bookmarkStart w:id="639" w:name="_Toc491854312"/>
      <w:bookmarkStart w:id="640" w:name="_Toc535827753"/>
      <w:r w:rsidRPr="009072DA">
        <w:rPr>
          <w:lang w:val="bg-BG"/>
        </w:rPr>
        <w:t>Раздел II</w:t>
      </w:r>
      <w:bookmarkEnd w:id="639"/>
      <w:bookmarkEnd w:id="640"/>
      <w:r w:rsidRPr="009072DA">
        <w:rPr>
          <w:lang w:val="bg-BG"/>
        </w:rPr>
        <w:t xml:space="preserve"> </w:t>
      </w:r>
    </w:p>
    <w:p w:rsidR="009C13A9" w:rsidRPr="009072DA" w:rsidRDefault="009C13A9" w:rsidP="00C50DA9">
      <w:pPr>
        <w:pStyle w:val="ES-Titre3a"/>
        <w:rPr>
          <w:rFonts w:cs="Arial"/>
          <w:szCs w:val="20"/>
          <w:lang w:val="bg-BG"/>
        </w:rPr>
      </w:pPr>
      <w:bookmarkStart w:id="641" w:name="_Toc491854313"/>
      <w:bookmarkStart w:id="642" w:name="_Toc535827754"/>
      <w:r w:rsidRPr="009072DA">
        <w:rPr>
          <w:lang w:val="bg-BG"/>
        </w:rPr>
        <w:t>Минимални изисквания и условия на изпитване на индикаторите на ъгловата скорост на поворот, използвани по вътрешните водни пътища</w:t>
      </w:r>
      <w:bookmarkEnd w:id="641"/>
      <w:bookmarkEnd w:id="642"/>
    </w:p>
    <w:p w:rsidR="009C13A9" w:rsidRPr="009072DA" w:rsidRDefault="009C13A9" w:rsidP="009C13A9">
      <w:pPr>
        <w:tabs>
          <w:tab w:val="right" w:pos="9072"/>
        </w:tabs>
        <w:overflowPunct w:val="0"/>
        <w:adjustRightInd w:val="0"/>
        <w:spacing w:line="240" w:lineRule="atLeast"/>
        <w:textAlignment w:val="baseline"/>
        <w:rPr>
          <w:rFonts w:cs="Arial"/>
          <w:szCs w:val="20"/>
          <w:lang w:val="bg-BG"/>
        </w:rPr>
      </w:pPr>
    </w:p>
    <w:p w:rsidR="009C13A9" w:rsidRPr="009072DA" w:rsidRDefault="009C13A9" w:rsidP="009C13A9">
      <w:pPr>
        <w:spacing w:line="240" w:lineRule="atLeast"/>
        <w:jc w:val="center"/>
        <w:rPr>
          <w:rFonts w:cs="Arial"/>
          <w:b/>
          <w:lang w:val="bg-BG"/>
        </w:rPr>
      </w:pPr>
      <w:r w:rsidRPr="009072DA">
        <w:rPr>
          <w:b/>
          <w:lang w:val="bg-BG"/>
        </w:rPr>
        <w:t>Глава 1</w:t>
      </w:r>
    </w:p>
    <w:p w:rsidR="009C13A9" w:rsidRPr="009072DA" w:rsidRDefault="009C13A9" w:rsidP="009C13A9">
      <w:pPr>
        <w:spacing w:line="240" w:lineRule="atLeast"/>
        <w:jc w:val="center"/>
        <w:rPr>
          <w:rFonts w:cs="Arial"/>
          <w:b/>
          <w:caps/>
          <w:lang w:val="bg-BG"/>
        </w:rPr>
      </w:pPr>
      <w:r w:rsidRPr="009072DA">
        <w:rPr>
          <w:b/>
          <w:lang w:val="bg-BG"/>
        </w:rPr>
        <w:t>Общи положения</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p>
    <w:p w:rsidR="009C13A9" w:rsidRPr="009072DA" w:rsidRDefault="009C13A9" w:rsidP="009C13A9">
      <w:pPr>
        <w:spacing w:line="240" w:lineRule="atLeast"/>
        <w:jc w:val="center"/>
        <w:rPr>
          <w:rFonts w:cs="Arial"/>
          <w:b/>
          <w:lang w:val="bg-BG"/>
        </w:rPr>
      </w:pPr>
      <w:r w:rsidRPr="009072DA">
        <w:rPr>
          <w:b/>
          <w:lang w:val="bg-BG"/>
        </w:rPr>
        <w:t>Член 1.01</w:t>
      </w:r>
    </w:p>
    <w:p w:rsidR="009C13A9" w:rsidRPr="009072DA" w:rsidRDefault="009C13A9" w:rsidP="009C13A9">
      <w:pPr>
        <w:spacing w:line="240" w:lineRule="atLeast"/>
        <w:jc w:val="center"/>
        <w:rPr>
          <w:rFonts w:cs="Arial"/>
          <w:i/>
          <w:lang w:val="bg-BG"/>
        </w:rPr>
      </w:pPr>
      <w:r w:rsidRPr="009072DA">
        <w:rPr>
          <w:i/>
          <w:lang w:val="bg-BG"/>
        </w:rPr>
        <w:t>Обхват</w:t>
      </w: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tabs>
          <w:tab w:val="left" w:leader="dot" w:pos="9072"/>
        </w:tabs>
        <w:spacing w:line="240" w:lineRule="atLeast"/>
        <w:rPr>
          <w:rFonts w:cs="Arial"/>
          <w:szCs w:val="20"/>
          <w:lang w:val="bg-BG"/>
        </w:rPr>
      </w:pPr>
      <w:r w:rsidRPr="009072DA">
        <w:rPr>
          <w:lang w:val="bg-BG"/>
        </w:rPr>
        <w:t>Настоящите разпоредби излагат минималните изисквания към индикаторите на ъгловата скорост на поворот, използвани при плаването по вътрешните водни пътища, както и условията за проверка на съответствието с тези минимални изисквания.</w:t>
      </w:r>
    </w:p>
    <w:p w:rsidR="009C13A9" w:rsidRPr="009072DA" w:rsidRDefault="009C13A9" w:rsidP="009C13A9">
      <w:pPr>
        <w:tabs>
          <w:tab w:val="left" w:leader="dot" w:pos="9072"/>
        </w:tabs>
        <w:spacing w:line="240" w:lineRule="atLeast"/>
        <w:rPr>
          <w:rFonts w:cs="Arial"/>
          <w:szCs w:val="20"/>
          <w:lang w:val="bg-BG"/>
        </w:rPr>
      </w:pPr>
    </w:p>
    <w:p w:rsidR="009C13A9" w:rsidRPr="009072DA" w:rsidRDefault="009C13A9" w:rsidP="009C13A9">
      <w:pPr>
        <w:tabs>
          <w:tab w:val="left" w:leader="dot" w:pos="9072"/>
        </w:tabs>
        <w:spacing w:line="240" w:lineRule="atLeast"/>
        <w:rPr>
          <w:rFonts w:cs="Arial"/>
          <w:szCs w:val="20"/>
          <w:lang w:val="bg-BG"/>
        </w:rPr>
      </w:pPr>
    </w:p>
    <w:p w:rsidR="009C13A9" w:rsidRPr="009072DA" w:rsidRDefault="009C13A9" w:rsidP="009C13A9">
      <w:pPr>
        <w:spacing w:line="240" w:lineRule="atLeast"/>
        <w:jc w:val="center"/>
        <w:rPr>
          <w:rFonts w:cs="Arial"/>
          <w:b/>
          <w:lang w:val="bg-BG"/>
        </w:rPr>
      </w:pPr>
      <w:r w:rsidRPr="009072DA">
        <w:rPr>
          <w:b/>
          <w:lang w:val="bg-BG"/>
        </w:rPr>
        <w:t>Член 1.02</w:t>
      </w:r>
    </w:p>
    <w:p w:rsidR="009C13A9" w:rsidRPr="009072DA" w:rsidRDefault="009C13A9" w:rsidP="009C13A9">
      <w:pPr>
        <w:overflowPunct w:val="0"/>
        <w:adjustRightInd w:val="0"/>
        <w:jc w:val="center"/>
        <w:textAlignment w:val="baseline"/>
        <w:rPr>
          <w:rFonts w:cs="Arial"/>
          <w:szCs w:val="20"/>
          <w:lang w:val="bg-BG"/>
        </w:rPr>
      </w:pPr>
      <w:r w:rsidRPr="009072DA">
        <w:rPr>
          <w:i/>
          <w:lang w:val="bg-BG"/>
        </w:rPr>
        <w:t>Предназначение на индикатора на ъгловата скорост на поворот</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szCs w:val="20"/>
          <w:lang w:val="bg-BG"/>
        </w:rPr>
      </w:pPr>
      <w:r w:rsidRPr="009072DA">
        <w:rPr>
          <w:lang w:val="bg-BG"/>
        </w:rPr>
        <w:t>Индикаторът на ъгловата скорост на поворот е предназначен да улеснява плаването с радиолокатор и да измерва и показва ъгловата скорост на поворот на плавателния съд към левия или десния борд.</w:t>
      </w:r>
    </w:p>
    <w:p w:rsidR="009C13A9" w:rsidRPr="009072DA" w:rsidRDefault="009C13A9" w:rsidP="009C13A9">
      <w:pPr>
        <w:tabs>
          <w:tab w:val="left" w:leader="dot" w:pos="9072"/>
        </w:tabs>
        <w:spacing w:line="240" w:lineRule="atLeast"/>
        <w:rPr>
          <w:rFonts w:cs="Arial"/>
          <w:szCs w:val="20"/>
          <w:lang w:val="bg-BG"/>
        </w:rPr>
      </w:pPr>
    </w:p>
    <w:p w:rsidR="009C13A9" w:rsidRPr="009072DA" w:rsidRDefault="009C13A9" w:rsidP="009C13A9">
      <w:pPr>
        <w:tabs>
          <w:tab w:val="left" w:leader="dot" w:pos="9072"/>
        </w:tabs>
        <w:spacing w:line="240" w:lineRule="atLeast"/>
        <w:rPr>
          <w:rFonts w:cs="Arial"/>
          <w:szCs w:val="20"/>
          <w:lang w:val="bg-BG"/>
        </w:rPr>
      </w:pPr>
    </w:p>
    <w:p w:rsidR="009C13A9" w:rsidRPr="009072DA" w:rsidRDefault="009C13A9" w:rsidP="009C13A9">
      <w:pPr>
        <w:spacing w:line="240" w:lineRule="atLeast"/>
        <w:jc w:val="center"/>
        <w:rPr>
          <w:rFonts w:cs="Arial"/>
          <w:b/>
          <w:lang w:val="bg-BG"/>
        </w:rPr>
      </w:pPr>
      <w:r w:rsidRPr="009072DA">
        <w:rPr>
          <w:b/>
          <w:lang w:val="bg-BG"/>
        </w:rPr>
        <w:t>Член 1.03</w:t>
      </w:r>
    </w:p>
    <w:p w:rsidR="009C13A9" w:rsidRPr="009072DA" w:rsidRDefault="009C13A9" w:rsidP="009C13A9">
      <w:pPr>
        <w:spacing w:line="240" w:lineRule="atLeast"/>
        <w:jc w:val="center"/>
        <w:rPr>
          <w:rFonts w:cs="Arial"/>
          <w:lang w:val="bg-BG"/>
        </w:rPr>
      </w:pPr>
      <w:r w:rsidRPr="009072DA">
        <w:rPr>
          <w:i/>
          <w:lang w:val="bg-BG"/>
        </w:rPr>
        <w:t>Изпитване на типа</w:t>
      </w: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Спазването на минималните изисквания към индикаторите на ъгловата скорост на поворот съгласно глави 2 — 4 се установява чрез изпитване на типа.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szCs w:val="20"/>
          <w:lang w:val="bg-BG"/>
        </w:rPr>
      </w:pPr>
      <w:r w:rsidRPr="009072DA">
        <w:rPr>
          <w:color w:val="000000"/>
          <w:lang w:val="bg-BG"/>
        </w:rPr>
        <w:lastRenderedPageBreak/>
        <w:t>2.</w:t>
      </w:r>
      <w:r w:rsidRPr="009072DA">
        <w:rPr>
          <w:lang w:val="bg-BG"/>
        </w:rPr>
        <w:tab/>
      </w:r>
      <w:r w:rsidRPr="009072DA">
        <w:rPr>
          <w:color w:val="000000"/>
          <w:lang w:val="bg-BG"/>
        </w:rPr>
        <w:t>Ако оборудването премине изпитването на типа, техническата служба издава удостоверение за изпитването. Ако оборудването не покрива минималните изисквания, заявителят се уведомява писмено за причините за отказа на одобрение.</w:t>
      </w:r>
    </w:p>
    <w:p w:rsidR="009C13A9" w:rsidRPr="009072DA" w:rsidRDefault="009C13A9" w:rsidP="009C13A9">
      <w:pPr>
        <w:spacing w:line="240" w:lineRule="atLeast"/>
        <w:ind w:left="567" w:hanging="567"/>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spacing w:line="240" w:lineRule="atLeast"/>
        <w:jc w:val="center"/>
        <w:rPr>
          <w:rFonts w:cs="Arial"/>
          <w:b/>
          <w:lang w:val="bg-BG"/>
        </w:rPr>
      </w:pPr>
      <w:r w:rsidRPr="009072DA">
        <w:rPr>
          <w:b/>
          <w:lang w:val="bg-BG"/>
        </w:rPr>
        <w:t>Член 1.04</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i/>
          <w:iCs/>
          <w:lang w:val="bg-BG"/>
        </w:rPr>
      </w:pPr>
      <w:r w:rsidRPr="009072DA">
        <w:rPr>
          <w:i/>
          <w:lang w:val="bg-BG"/>
        </w:rPr>
        <w:t>Заявление за изпитване на типа</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Заявленията за изпитване на типа на индикатора на ъгловата скорост на поворот се подават до компетентната техническа служба.</w:t>
      </w:r>
    </w:p>
    <w:p w:rsidR="009C13A9" w:rsidRPr="009072DA" w:rsidRDefault="009C13A9" w:rsidP="009C13A9">
      <w:pPr>
        <w:spacing w:line="240" w:lineRule="atLeast"/>
        <w:rPr>
          <w:rFonts w:cs="Arial"/>
          <w:color w:val="000000"/>
          <w:szCs w:val="2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Всяко заявление трябва да бъде придружено от следните документи:</w:t>
      </w:r>
    </w:p>
    <w:p w:rsidR="009C13A9" w:rsidRPr="009072DA" w:rsidRDefault="009C13A9" w:rsidP="009C13A9">
      <w:pPr>
        <w:spacing w:before="60" w:line="240" w:lineRule="atLeast"/>
        <w:ind w:left="851"/>
        <w:rPr>
          <w:rFonts w:cs="Arial"/>
          <w:lang w:val="bg-BG"/>
        </w:rPr>
      </w:pPr>
      <w:r w:rsidRPr="009072DA">
        <w:rPr>
          <w:lang w:val="bg-BG"/>
        </w:rPr>
        <w:t>a)</w:t>
      </w:r>
      <w:r w:rsidRPr="009072DA">
        <w:rPr>
          <w:lang w:val="bg-BG"/>
        </w:rPr>
        <w:tab/>
        <w:t>две подробни технически описания;</w:t>
      </w:r>
    </w:p>
    <w:p w:rsidR="009C13A9" w:rsidRPr="009072DA" w:rsidRDefault="009C13A9" w:rsidP="009C13A9">
      <w:pPr>
        <w:spacing w:before="60" w:line="240" w:lineRule="atLeast"/>
        <w:ind w:left="851"/>
        <w:rPr>
          <w:rFonts w:cs="Arial"/>
          <w:lang w:val="bg-BG"/>
        </w:rPr>
      </w:pPr>
      <w:r w:rsidRPr="009072DA">
        <w:rPr>
          <w:lang w:val="bg-BG"/>
        </w:rPr>
        <w:t>б)</w:t>
      </w:r>
      <w:r w:rsidRPr="009072DA">
        <w:rPr>
          <w:lang w:val="bg-BG"/>
        </w:rPr>
        <w:tab/>
        <w:t>два пълни комплекта документи за монтаж и обслужване</w:t>
      </w:r>
    </w:p>
    <w:p w:rsidR="009C13A9" w:rsidRPr="009072DA" w:rsidRDefault="009C13A9" w:rsidP="009C13A9">
      <w:pPr>
        <w:spacing w:before="60" w:line="240" w:lineRule="atLeast"/>
        <w:ind w:left="851"/>
        <w:rPr>
          <w:rFonts w:cs="Arial"/>
          <w:lang w:val="bg-BG"/>
        </w:rPr>
      </w:pPr>
      <w:r w:rsidRPr="009072DA">
        <w:rPr>
          <w:lang w:val="bg-BG"/>
        </w:rPr>
        <w:t>в)</w:t>
      </w:r>
      <w:r w:rsidRPr="009072DA">
        <w:rPr>
          <w:lang w:val="bg-BG"/>
        </w:rPr>
        <w:tab/>
        <w:t>две инструкции за експлоатация.</w:t>
      </w:r>
    </w:p>
    <w:p w:rsidR="009C13A9" w:rsidRPr="009072DA" w:rsidRDefault="009C13A9" w:rsidP="009C13A9">
      <w:pPr>
        <w:overflowPunct w:val="0"/>
        <w:adjustRightInd w:val="0"/>
        <w:textAlignment w:val="baseline"/>
        <w:rPr>
          <w:rFonts w:cs="Arial"/>
          <w:szCs w:val="20"/>
          <w:lang w:val="bg-BG"/>
        </w:rPr>
      </w:pPr>
    </w:p>
    <w:p w:rsidR="009C13A9" w:rsidRPr="009072DA" w:rsidRDefault="009C13A9" w:rsidP="009C13A9">
      <w:pPr>
        <w:spacing w:line="240" w:lineRule="atLeast"/>
        <w:rPr>
          <w:rFonts w:cs="Arial"/>
          <w:color w:val="000000"/>
          <w:lang w:val="bg-BG"/>
        </w:rPr>
      </w:pPr>
      <w:r w:rsidRPr="009072DA">
        <w:rPr>
          <w:color w:val="000000"/>
          <w:lang w:val="bg-BG"/>
        </w:rPr>
        <w:t>3.</w:t>
      </w:r>
      <w:r w:rsidRPr="009072DA">
        <w:rPr>
          <w:lang w:val="bg-BG"/>
        </w:rPr>
        <w:tab/>
      </w:r>
      <w:r w:rsidRPr="009072DA">
        <w:rPr>
          <w:color w:val="000000"/>
          <w:lang w:val="bg-BG"/>
        </w:rPr>
        <w:t>Чрез изпитвания заявителят доказва или дава възможност да бъде доказано, че оборудването отговаря на минималните изисквания на настоящите разпоредби.</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ind w:left="426"/>
        <w:rPr>
          <w:lang w:val="bg-BG"/>
        </w:rPr>
      </w:pPr>
      <w:r w:rsidRPr="009072DA">
        <w:rPr>
          <w:lang w:val="bg-BG"/>
        </w:rPr>
        <w:t>Резултатите от изпитването и докладите от измерването се прилагат към заявлението.</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szCs w:val="20"/>
          <w:lang w:val="bg-BG"/>
        </w:rPr>
      </w:pPr>
      <w:r w:rsidRPr="009072DA">
        <w:rPr>
          <w:lang w:val="bg-BG"/>
        </w:rPr>
        <w:t>Тези документи и информацията, получена при изпитванията, се съхраняват от компетентния орган.</w:t>
      </w:r>
    </w:p>
    <w:p w:rsidR="009C13A9" w:rsidRPr="009072DA" w:rsidRDefault="009C13A9" w:rsidP="009C13A9">
      <w:pPr>
        <w:tabs>
          <w:tab w:val="left" w:pos="425"/>
        </w:tabs>
        <w:overflowPunct w:val="0"/>
        <w:adjustRightInd w:val="0"/>
        <w:spacing w:line="240" w:lineRule="atLeast"/>
        <w:textAlignment w:val="baseline"/>
        <w:rPr>
          <w:rFonts w:cs="Arial"/>
          <w:szCs w:val="20"/>
          <w:lang w:val="bg-BG"/>
        </w:rPr>
      </w:pPr>
      <w:r w:rsidRPr="009072DA">
        <w:rPr>
          <w:lang w:val="bg-BG"/>
        </w:rPr>
        <w:br w:type="page"/>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bg-BG"/>
        </w:rPr>
      </w:pPr>
      <w:r w:rsidRPr="009072DA">
        <w:rPr>
          <w:b/>
          <w:lang w:val="bg-BG"/>
        </w:rPr>
        <w:lastRenderedPageBreak/>
        <w:t>Член 1.05</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r w:rsidRPr="009072DA">
        <w:rPr>
          <w:i/>
          <w:lang w:val="bg-BG"/>
        </w:rPr>
        <w:t>Одобрение на типа</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Одобрението на типа се издава от компетентния орган в съответствие с удостоверението за изпитване.</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Всеки компетентен орган или техническата служба, определена от компетентния орган, има право да избира оборудване от производствената серия за проверка по всяко време.</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ind w:left="426"/>
        <w:rPr>
          <w:lang w:val="bg-BG"/>
        </w:rPr>
      </w:pPr>
      <w:r w:rsidRPr="009072DA">
        <w:rPr>
          <w:lang w:val="bg-BG"/>
        </w:rPr>
        <w:t>Ако при проверката се установят дефекти в оборудването, одобрението на типа може да бъде оттеглено.</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szCs w:val="20"/>
          <w:lang w:val="bg-BG"/>
        </w:rPr>
      </w:pPr>
      <w:r w:rsidRPr="009072DA">
        <w:rPr>
          <w:lang w:val="bg-BG"/>
        </w:rPr>
        <w:t>Одобрението на типа се оттегля от органа, който го е издал.</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bg-BG"/>
        </w:rPr>
      </w:pPr>
      <w:r w:rsidRPr="009072DA">
        <w:rPr>
          <w:b/>
          <w:lang w:val="bg-BG"/>
        </w:rPr>
        <w:t>Член 1.06</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i/>
          <w:iCs/>
          <w:szCs w:val="20"/>
          <w:lang w:val="bg-BG"/>
        </w:rPr>
      </w:pPr>
      <w:r w:rsidRPr="009072DA">
        <w:rPr>
          <w:i/>
          <w:lang w:val="bg-BG"/>
        </w:rPr>
        <w:t>Маркиране на оборудването и номер на одобрението на типа</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 xml:space="preserve">Всеки компонент на оборудването се маркира незаличимо с името на производителя, </w:t>
      </w:r>
      <w:r w:rsidRPr="009072DA">
        <w:rPr>
          <w:lang w:val="bg-BG"/>
        </w:rPr>
        <w:tab/>
      </w:r>
      <w:r w:rsidRPr="009072DA">
        <w:rPr>
          <w:color w:val="000000"/>
          <w:lang w:val="bg-BG"/>
        </w:rPr>
        <w:t xml:space="preserve">търговското обозначение на оборудването, </w:t>
      </w:r>
      <w:r w:rsidRPr="009072DA">
        <w:rPr>
          <w:lang w:val="bg-BG"/>
        </w:rPr>
        <w:tab/>
      </w:r>
      <w:r w:rsidRPr="009072DA">
        <w:rPr>
          <w:color w:val="000000"/>
          <w:lang w:val="bg-BG"/>
        </w:rPr>
        <w:t>типа на оборудването и серийния номер.</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Номерът на одобрението на типа, определен от компетентния орган, се поставя по траен начин върху уреда за управление така, че да остава ясно видим, след като оборудването бъде монтирано.</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ind w:left="426"/>
        <w:rPr>
          <w:lang w:val="bg-BG"/>
        </w:rPr>
      </w:pPr>
      <w:r w:rsidRPr="009072DA">
        <w:rPr>
          <w:lang w:val="bg-BG"/>
        </w:rPr>
        <w:t>Състав на номера на одобрение на типа: R-NN-NNN или e-NN-NNN</w:t>
      </w:r>
    </w:p>
    <w:p w:rsidR="009C13A9" w:rsidRPr="009072DA" w:rsidRDefault="009C13A9" w:rsidP="009C13A9">
      <w:pPr>
        <w:tabs>
          <w:tab w:val="left" w:pos="425"/>
          <w:tab w:val="left" w:pos="993"/>
          <w:tab w:val="left" w:pos="1418"/>
        </w:tabs>
        <w:overflowPunct w:val="0"/>
        <w:adjustRightInd w:val="0"/>
        <w:spacing w:before="60" w:line="240" w:lineRule="atLeast"/>
        <w:ind w:left="992" w:hanging="567"/>
        <w:textAlignment w:val="baseline"/>
        <w:rPr>
          <w:rFonts w:cs="Arial"/>
          <w:szCs w:val="20"/>
          <w:lang w:val="bg-BG"/>
        </w:rPr>
      </w:pPr>
      <w:r w:rsidRPr="009072DA">
        <w:rPr>
          <w:lang w:val="bg-BG"/>
        </w:rPr>
        <w:t>R</w:t>
      </w:r>
      <w:r w:rsidRPr="009072DA">
        <w:rPr>
          <w:lang w:val="bg-BG"/>
        </w:rPr>
        <w:tab/>
        <w:t>=</w:t>
      </w:r>
      <w:r w:rsidRPr="009072DA">
        <w:rPr>
          <w:lang w:val="bg-BG"/>
        </w:rPr>
        <w:tab/>
        <w:t>Рейн</w:t>
      </w:r>
    </w:p>
    <w:p w:rsidR="009C13A9" w:rsidRPr="009072DA" w:rsidRDefault="009C13A9" w:rsidP="009C13A9">
      <w:pPr>
        <w:tabs>
          <w:tab w:val="left" w:pos="993"/>
          <w:tab w:val="left" w:pos="1418"/>
        </w:tabs>
        <w:ind w:left="992" w:hanging="567"/>
        <w:rPr>
          <w:lang w:val="bg-BG"/>
        </w:rPr>
      </w:pPr>
      <w:r w:rsidRPr="009072DA">
        <w:rPr>
          <w:lang w:val="bg-BG"/>
        </w:rPr>
        <w:t>e</w:t>
      </w:r>
      <w:r w:rsidRPr="009072DA">
        <w:rPr>
          <w:lang w:val="bg-BG"/>
        </w:rPr>
        <w:tab/>
        <w:t>=</w:t>
      </w:r>
      <w:r w:rsidRPr="009072DA">
        <w:rPr>
          <w:lang w:val="bg-BG"/>
        </w:rPr>
        <w:tab/>
        <w:t>Европейски съюз</w:t>
      </w:r>
    </w:p>
    <w:p w:rsidR="009C13A9" w:rsidRPr="009072DA" w:rsidRDefault="009C13A9" w:rsidP="009C13A9">
      <w:pPr>
        <w:tabs>
          <w:tab w:val="left" w:pos="993"/>
          <w:tab w:val="left" w:pos="1418"/>
        </w:tabs>
        <w:ind w:left="992" w:hanging="567"/>
        <w:rPr>
          <w:lang w:val="bg-BG"/>
        </w:rPr>
      </w:pPr>
      <w:r w:rsidRPr="009072DA">
        <w:rPr>
          <w:lang w:val="bg-BG"/>
        </w:rPr>
        <w:t>NN</w:t>
      </w:r>
      <w:r w:rsidRPr="009072DA">
        <w:rPr>
          <w:lang w:val="bg-BG"/>
        </w:rPr>
        <w:tab/>
        <w:t>=</w:t>
      </w:r>
      <w:r w:rsidRPr="009072DA">
        <w:rPr>
          <w:lang w:val="bg-BG"/>
        </w:rPr>
        <w:tab/>
        <w:t>номер на държавата, издала одобрението на типа, където</w:t>
      </w:r>
    </w:p>
    <w:p w:rsidR="009C13A9" w:rsidRPr="009072DA" w:rsidRDefault="009C13A9" w:rsidP="009C13A9">
      <w:pPr>
        <w:ind w:left="850"/>
        <w:rPr>
          <w:lang w:val="bg-BG"/>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01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Германия</w:t>
            </w:r>
          </w:p>
        </w:tc>
        <w:tc>
          <w:tcPr>
            <w:tcW w:w="724" w:type="dxa"/>
          </w:tcPr>
          <w:p w:rsidR="009C13A9" w:rsidRPr="009072DA" w:rsidRDefault="009C13A9" w:rsidP="009C13A9">
            <w:pPr>
              <w:spacing w:before="40" w:after="40" w:line="240" w:lineRule="atLeast"/>
              <w:rPr>
                <w:szCs w:val="20"/>
                <w:lang w:val="bg-BG"/>
              </w:rPr>
            </w:pPr>
            <w:r w:rsidRPr="009072DA">
              <w:rPr>
                <w:lang w:val="bg-BG"/>
              </w:rPr>
              <w:t>19</w:t>
            </w:r>
          </w:p>
        </w:tc>
        <w:tc>
          <w:tcPr>
            <w:tcW w:w="416" w:type="dxa"/>
          </w:tcPr>
          <w:p w:rsidR="009C13A9" w:rsidRPr="009072DA" w:rsidRDefault="009C13A9" w:rsidP="009C13A9">
            <w:pPr>
              <w:spacing w:before="40" w:after="40" w:line="240" w:lineRule="atLeast"/>
              <w:rPr>
                <w:szCs w:val="20"/>
                <w:lang w:val="bg-BG"/>
              </w:rPr>
            </w:pPr>
            <w:r w:rsidRPr="009072DA">
              <w:rPr>
                <w:lang w:val="bg-BG"/>
              </w:rPr>
              <w:t>=</w:t>
            </w:r>
          </w:p>
        </w:tc>
        <w:tc>
          <w:tcPr>
            <w:tcW w:w="2205" w:type="dxa"/>
          </w:tcPr>
          <w:p w:rsidR="009C13A9" w:rsidRPr="009072DA" w:rsidRDefault="009C13A9" w:rsidP="009C13A9">
            <w:pPr>
              <w:spacing w:before="40" w:after="40" w:line="240" w:lineRule="atLeast"/>
              <w:rPr>
                <w:szCs w:val="20"/>
                <w:lang w:val="bg-BG"/>
              </w:rPr>
            </w:pPr>
            <w:r w:rsidRPr="009072DA">
              <w:rPr>
                <w:lang w:val="bg-BG"/>
              </w:rPr>
              <w:t>Румъния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lastRenderedPageBreak/>
              <w:t xml:space="preserve">02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 xml:space="preserve">Франция </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20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 xml:space="preserve">Полша </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03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Италия</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21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 xml:space="preserve">Португалия </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04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 xml:space="preserve">Нидерландия </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23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Гърция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05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Швеция</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24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Ирландия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06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 xml:space="preserve">Белгия </w:t>
            </w:r>
          </w:p>
        </w:tc>
        <w:tc>
          <w:tcPr>
            <w:tcW w:w="724" w:type="dxa"/>
            <w:vAlign w:val="center"/>
          </w:tcPr>
          <w:p w:rsidR="009C13A9" w:rsidRPr="009072DA" w:rsidRDefault="009C13A9" w:rsidP="009C13A9">
            <w:pPr>
              <w:spacing w:before="40" w:after="40" w:line="240" w:lineRule="atLeast"/>
              <w:rPr>
                <w:szCs w:val="20"/>
                <w:lang w:val="bg-BG"/>
              </w:rPr>
            </w:pPr>
            <w:r w:rsidRPr="009072DA">
              <w:rPr>
                <w:color w:val="000000"/>
                <w:lang w:val="bg-BG"/>
              </w:rPr>
              <w:t>25</w:t>
            </w:r>
          </w:p>
        </w:tc>
        <w:tc>
          <w:tcPr>
            <w:tcW w:w="416" w:type="dxa"/>
            <w:vAlign w:val="center"/>
          </w:tcPr>
          <w:p w:rsidR="009C13A9" w:rsidRPr="009072DA" w:rsidRDefault="009C13A9" w:rsidP="009C13A9">
            <w:pPr>
              <w:spacing w:before="40" w:after="40" w:line="240" w:lineRule="atLeast"/>
              <w:rPr>
                <w:szCs w:val="20"/>
                <w:lang w:val="bg-BG"/>
              </w:rPr>
            </w:pPr>
            <w:r w:rsidRPr="009072DA">
              <w:rPr>
                <w:color w:val="000000"/>
                <w:lang w:val="bg-BG"/>
              </w:rPr>
              <w:t>=</w:t>
            </w:r>
          </w:p>
        </w:tc>
        <w:tc>
          <w:tcPr>
            <w:tcW w:w="2205" w:type="dxa"/>
            <w:vAlign w:val="center"/>
          </w:tcPr>
          <w:p w:rsidR="009C13A9" w:rsidRPr="009072DA" w:rsidRDefault="009C13A9" w:rsidP="009C13A9">
            <w:pPr>
              <w:spacing w:before="40" w:after="40" w:line="240" w:lineRule="atLeast"/>
              <w:rPr>
                <w:szCs w:val="20"/>
                <w:lang w:val="bg-BG"/>
              </w:rPr>
            </w:pPr>
            <w:r w:rsidRPr="009072DA">
              <w:rPr>
                <w:lang w:val="bg-BG"/>
              </w:rPr>
              <w:t>Хърватия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07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Унгария</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26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Словения</w:t>
            </w:r>
          </w:p>
        </w:tc>
      </w:tr>
      <w:tr w:rsidR="009C13A9" w:rsidRPr="009072DA" w:rsidTr="009C13A9">
        <w:trPr>
          <w:jc w:val="center"/>
        </w:trPr>
        <w:tc>
          <w:tcPr>
            <w:tcW w:w="720" w:type="dxa"/>
          </w:tcPr>
          <w:p w:rsidR="009C13A9" w:rsidRPr="009072DA" w:rsidRDefault="009C13A9" w:rsidP="009C13A9">
            <w:pPr>
              <w:spacing w:before="40" w:after="160" w:line="240" w:lineRule="atLeast"/>
              <w:rPr>
                <w:szCs w:val="20"/>
                <w:lang w:val="bg-BG"/>
              </w:rPr>
            </w:pPr>
            <w:r w:rsidRPr="009072DA">
              <w:rPr>
                <w:lang w:val="bg-BG"/>
              </w:rPr>
              <w:t xml:space="preserve">08 </w:t>
            </w:r>
          </w:p>
        </w:tc>
        <w:tc>
          <w:tcPr>
            <w:tcW w:w="360" w:type="dxa"/>
          </w:tcPr>
          <w:p w:rsidR="009C13A9" w:rsidRPr="009072DA" w:rsidRDefault="009C13A9" w:rsidP="009C13A9">
            <w:pPr>
              <w:spacing w:before="40" w:after="16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160" w:line="240" w:lineRule="atLeast"/>
              <w:rPr>
                <w:szCs w:val="20"/>
                <w:lang w:val="bg-BG"/>
              </w:rPr>
            </w:pPr>
            <w:r w:rsidRPr="009072DA">
              <w:rPr>
                <w:lang w:val="bg-BG"/>
              </w:rPr>
              <w:t>Чешка република</w:t>
            </w:r>
          </w:p>
        </w:tc>
        <w:tc>
          <w:tcPr>
            <w:tcW w:w="724" w:type="dxa"/>
          </w:tcPr>
          <w:p w:rsidR="009C13A9" w:rsidRPr="009072DA" w:rsidRDefault="009C13A9" w:rsidP="009C13A9">
            <w:pPr>
              <w:spacing w:before="40" w:after="160" w:line="240" w:lineRule="atLeast"/>
              <w:rPr>
                <w:szCs w:val="20"/>
                <w:lang w:val="bg-BG"/>
              </w:rPr>
            </w:pPr>
            <w:r w:rsidRPr="009072DA">
              <w:rPr>
                <w:lang w:val="bg-BG"/>
              </w:rPr>
              <w:t xml:space="preserve">27 </w:t>
            </w:r>
          </w:p>
        </w:tc>
        <w:tc>
          <w:tcPr>
            <w:tcW w:w="416" w:type="dxa"/>
          </w:tcPr>
          <w:p w:rsidR="009C13A9" w:rsidRPr="009072DA" w:rsidRDefault="009C13A9" w:rsidP="009C13A9">
            <w:pPr>
              <w:spacing w:before="40" w:after="16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160" w:line="240" w:lineRule="atLeast"/>
              <w:rPr>
                <w:szCs w:val="20"/>
                <w:lang w:val="bg-BG"/>
              </w:rPr>
            </w:pPr>
            <w:r w:rsidRPr="009072DA">
              <w:rPr>
                <w:lang w:val="bg-BG"/>
              </w:rPr>
              <w:t>Словакия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09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 xml:space="preserve">Испания </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29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Естония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11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Обединено кралство</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32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Латвия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12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Австрия</w:t>
            </w:r>
          </w:p>
        </w:tc>
        <w:tc>
          <w:tcPr>
            <w:tcW w:w="724" w:type="dxa"/>
          </w:tcPr>
          <w:p w:rsidR="009C13A9" w:rsidRPr="009072DA" w:rsidRDefault="009C13A9" w:rsidP="009C13A9">
            <w:pPr>
              <w:spacing w:before="40" w:after="40" w:line="240" w:lineRule="atLeast"/>
              <w:rPr>
                <w:szCs w:val="20"/>
                <w:lang w:val="bg-BG"/>
              </w:rPr>
            </w:pPr>
            <w:r w:rsidRPr="009072DA">
              <w:rPr>
                <w:lang w:val="bg-BG"/>
              </w:rPr>
              <w:t>34</w:t>
            </w:r>
          </w:p>
        </w:tc>
        <w:tc>
          <w:tcPr>
            <w:tcW w:w="416" w:type="dxa"/>
          </w:tcPr>
          <w:p w:rsidR="009C13A9" w:rsidRPr="009072DA" w:rsidRDefault="009C13A9" w:rsidP="009C13A9">
            <w:pPr>
              <w:spacing w:before="40" w:after="40" w:line="240" w:lineRule="atLeast"/>
              <w:rPr>
                <w:szCs w:val="20"/>
                <w:lang w:val="bg-BG"/>
              </w:rPr>
            </w:pPr>
            <w:r w:rsidRPr="009072DA">
              <w:rPr>
                <w:lang w:val="bg-BG"/>
              </w:rPr>
              <w:t>=</w:t>
            </w:r>
          </w:p>
        </w:tc>
        <w:tc>
          <w:tcPr>
            <w:tcW w:w="2205" w:type="dxa"/>
          </w:tcPr>
          <w:p w:rsidR="009C13A9" w:rsidRPr="009072DA" w:rsidRDefault="009C13A9" w:rsidP="009C13A9">
            <w:pPr>
              <w:spacing w:before="40" w:after="40" w:line="240" w:lineRule="atLeast"/>
              <w:rPr>
                <w:szCs w:val="20"/>
                <w:lang w:val="bg-BG"/>
              </w:rPr>
            </w:pPr>
            <w:r w:rsidRPr="009072DA">
              <w:rPr>
                <w:lang w:val="bg-BG"/>
              </w:rPr>
              <w:t>България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13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 xml:space="preserve">Люксембург </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36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Литва</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14</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Швейцария</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49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Кипър</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17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Финландия</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50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Малта</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18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 xml:space="preserve">Дания </w:t>
            </w:r>
          </w:p>
        </w:tc>
        <w:tc>
          <w:tcPr>
            <w:tcW w:w="724" w:type="dxa"/>
          </w:tcPr>
          <w:p w:rsidR="009C13A9" w:rsidRPr="009072DA" w:rsidRDefault="009C13A9" w:rsidP="009C13A9">
            <w:pPr>
              <w:spacing w:before="40" w:after="40" w:line="240" w:lineRule="atLeast"/>
              <w:rPr>
                <w:szCs w:val="20"/>
                <w:lang w:val="bg-BG"/>
              </w:rPr>
            </w:pPr>
          </w:p>
        </w:tc>
        <w:tc>
          <w:tcPr>
            <w:tcW w:w="416" w:type="dxa"/>
          </w:tcPr>
          <w:p w:rsidR="009C13A9" w:rsidRPr="009072DA" w:rsidRDefault="009C13A9" w:rsidP="009C13A9">
            <w:pPr>
              <w:spacing w:before="40" w:after="40" w:line="240" w:lineRule="atLeast"/>
              <w:rPr>
                <w:szCs w:val="20"/>
                <w:lang w:val="bg-BG"/>
              </w:rPr>
            </w:pPr>
          </w:p>
        </w:tc>
        <w:tc>
          <w:tcPr>
            <w:tcW w:w="2205" w:type="dxa"/>
          </w:tcPr>
          <w:p w:rsidR="009C13A9" w:rsidRPr="009072DA" w:rsidRDefault="009C13A9" w:rsidP="009C13A9">
            <w:pPr>
              <w:spacing w:before="40" w:after="40" w:line="240" w:lineRule="atLeast"/>
              <w:rPr>
                <w:szCs w:val="20"/>
                <w:lang w:val="bg-BG"/>
              </w:rPr>
            </w:pPr>
          </w:p>
        </w:tc>
      </w:tr>
    </w:tbl>
    <w:p w:rsidR="009C13A9" w:rsidRPr="009072DA" w:rsidRDefault="009C13A9" w:rsidP="009C13A9">
      <w:pPr>
        <w:tabs>
          <w:tab w:val="left" w:pos="993"/>
        </w:tabs>
        <w:spacing w:line="240" w:lineRule="atLeast"/>
        <w:ind w:left="1418" w:hanging="992"/>
        <w:rPr>
          <w:lang w:val="bg-BG"/>
        </w:rPr>
      </w:pPr>
    </w:p>
    <w:p w:rsidR="009C13A9" w:rsidRPr="009072DA" w:rsidRDefault="009C13A9" w:rsidP="009C13A9">
      <w:pPr>
        <w:tabs>
          <w:tab w:val="left" w:pos="993"/>
        </w:tabs>
        <w:spacing w:line="240" w:lineRule="atLeast"/>
        <w:ind w:left="1418" w:hanging="992"/>
        <w:rPr>
          <w:lang w:val="bg-BG"/>
        </w:rPr>
      </w:pPr>
      <w:r w:rsidRPr="009072DA">
        <w:rPr>
          <w:lang w:val="bg-BG"/>
        </w:rPr>
        <w:t>NNN</w:t>
      </w:r>
      <w:r w:rsidRPr="009072DA">
        <w:rPr>
          <w:lang w:val="bg-BG"/>
        </w:rPr>
        <w:tab/>
        <w:t>=</w:t>
      </w:r>
      <w:r w:rsidRPr="009072DA">
        <w:rPr>
          <w:lang w:val="bg-BG"/>
        </w:rPr>
        <w:tab/>
        <w:t>трицифрен номер, който се определя от компетентния орган</w:t>
      </w:r>
    </w:p>
    <w:p w:rsidR="009C13A9" w:rsidRPr="009072DA" w:rsidRDefault="009C13A9" w:rsidP="009C13A9">
      <w:pPr>
        <w:tabs>
          <w:tab w:val="left" w:pos="288"/>
          <w:tab w:val="left" w:pos="432"/>
        </w:tabs>
        <w:overflowPunct w:val="0"/>
        <w:adjustRightInd w:val="0"/>
        <w:textAlignment w:val="baseline"/>
        <w:rPr>
          <w:rFonts w:cs="Arial"/>
          <w:szCs w:val="20"/>
          <w:lang w:val="bg-BG"/>
        </w:rPr>
      </w:pPr>
    </w:p>
    <w:p w:rsidR="009C13A9" w:rsidRPr="009072DA" w:rsidRDefault="009C13A9" w:rsidP="00B70FC2">
      <w:pPr>
        <w:pStyle w:val="Esannch"/>
      </w:pPr>
      <w:r w:rsidRPr="009072DA">
        <w:t>3.</w:t>
      </w:r>
      <w:r w:rsidRPr="009072DA">
        <w:tab/>
        <w:t xml:space="preserve">Номерът на одобрението на типа се използва само във връзка със съответното одобрение на типа. </w:t>
      </w:r>
    </w:p>
    <w:p w:rsidR="009C13A9" w:rsidRPr="009072DA" w:rsidRDefault="009C13A9" w:rsidP="009C13A9">
      <w:pPr>
        <w:spacing w:line="240" w:lineRule="atLeast"/>
        <w:ind w:left="426"/>
        <w:rPr>
          <w:lang w:val="bg-BG"/>
        </w:rPr>
      </w:pPr>
      <w:r w:rsidRPr="009072DA">
        <w:rPr>
          <w:lang w:val="bg-BG"/>
        </w:rPr>
        <w:t>Задължение на заявителя е да представи и постави номера на одобрението на типа.</w:t>
      </w:r>
    </w:p>
    <w:p w:rsidR="009C13A9" w:rsidRPr="009072DA" w:rsidRDefault="009C13A9" w:rsidP="009C13A9">
      <w:pPr>
        <w:tabs>
          <w:tab w:val="left" w:pos="288"/>
          <w:tab w:val="left" w:pos="432"/>
        </w:tabs>
        <w:overflowPunct w:val="0"/>
        <w:adjustRightInd w:val="0"/>
        <w:textAlignment w:val="baseline"/>
        <w:rPr>
          <w:rFonts w:cs="Arial"/>
          <w:szCs w:val="20"/>
          <w:lang w:val="bg-BG"/>
        </w:rPr>
      </w:pPr>
    </w:p>
    <w:p w:rsidR="00B70FC2" w:rsidRPr="009072DA" w:rsidRDefault="00B70FC2">
      <w:pPr>
        <w:rPr>
          <w:rFonts w:cs="Arial"/>
          <w:szCs w:val="20"/>
          <w:lang w:val="bg-BG"/>
        </w:rPr>
      </w:pPr>
      <w:r w:rsidRPr="009072DA">
        <w:rPr>
          <w:lang w:val="bg-BG"/>
        </w:rPr>
        <w:br w:type="page"/>
      </w:r>
    </w:p>
    <w:p w:rsidR="009C13A9" w:rsidRPr="009072DA" w:rsidRDefault="009C13A9" w:rsidP="009C13A9">
      <w:pPr>
        <w:tabs>
          <w:tab w:val="left" w:pos="288"/>
          <w:tab w:val="left" w:pos="432"/>
        </w:tabs>
        <w:overflowPunct w:val="0"/>
        <w:adjustRightInd w:val="0"/>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bg-BG"/>
        </w:rPr>
      </w:pPr>
      <w:r w:rsidRPr="009072DA">
        <w:rPr>
          <w:b/>
          <w:lang w:val="bg-BG"/>
        </w:rPr>
        <w:t>Член 1.07</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r w:rsidRPr="009072DA">
        <w:rPr>
          <w:i/>
          <w:lang w:val="bg-BG"/>
        </w:rPr>
        <w:t>Декларация на производителя</w:t>
      </w:r>
    </w:p>
    <w:p w:rsidR="009C13A9" w:rsidRPr="009072DA" w:rsidRDefault="009C13A9" w:rsidP="009C13A9">
      <w:pPr>
        <w:tabs>
          <w:tab w:val="left" w:pos="288"/>
          <w:tab w:val="left" w:pos="432"/>
        </w:tabs>
        <w:overflowPunct w:val="0"/>
        <w:adjustRightInd w:val="0"/>
        <w:textAlignment w:val="baseline"/>
        <w:rPr>
          <w:rFonts w:cs="Arial"/>
          <w:szCs w:val="20"/>
          <w:lang w:val="bg-BG"/>
        </w:rPr>
      </w:pPr>
    </w:p>
    <w:p w:rsidR="009C13A9" w:rsidRPr="009072DA" w:rsidRDefault="009C13A9" w:rsidP="009C13A9">
      <w:pPr>
        <w:tabs>
          <w:tab w:val="left" w:leader="dot" w:pos="9072"/>
        </w:tabs>
        <w:spacing w:line="240" w:lineRule="atLeast"/>
        <w:rPr>
          <w:rFonts w:cs="Arial"/>
          <w:szCs w:val="20"/>
          <w:lang w:val="bg-BG"/>
        </w:rPr>
      </w:pPr>
      <w:r w:rsidRPr="009072DA">
        <w:rPr>
          <w:lang w:val="bg-BG"/>
        </w:rPr>
        <w:t>Всяка единица оборудване се придружава от декларация на производителя.</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bg-BG"/>
        </w:rPr>
      </w:pPr>
      <w:r w:rsidRPr="009072DA">
        <w:rPr>
          <w:b/>
          <w:lang w:val="bg-BG"/>
        </w:rPr>
        <w:t>Член 1.08</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i/>
          <w:iCs/>
          <w:szCs w:val="20"/>
          <w:lang w:val="bg-BG"/>
        </w:rPr>
      </w:pPr>
      <w:r w:rsidRPr="009072DA">
        <w:rPr>
          <w:i/>
          <w:lang w:val="bg-BG"/>
        </w:rPr>
        <w:t>Изменения на оборудване с одобрен тип</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 xml:space="preserve">Всякакви изменения, внесени в оборудване, което вече е одобрено, водят до анулиране на одобрението на типа. </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Когато се планират изменения, данните се представят в писмена форма на компетентната техническа служба.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Компетентният орган решава след консултации с техническата служба дали одобрението на типа остава валидно, или се налага нова проверка или изпитване на типа.</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szCs w:val="20"/>
          <w:lang w:val="bg-BG"/>
        </w:rPr>
      </w:pPr>
      <w:r w:rsidRPr="009072DA">
        <w:rPr>
          <w:lang w:val="bg-BG"/>
        </w:rPr>
        <w:t>В случай на ново изпитване на типа се определя нов номер на одобрение на типа.</w:t>
      </w: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overflowPunct w:val="0"/>
        <w:adjustRightInd w:val="0"/>
        <w:jc w:val="center"/>
        <w:textAlignment w:val="baseline"/>
        <w:rPr>
          <w:rFonts w:cs="Arial"/>
          <w:b/>
          <w:bCs/>
          <w:szCs w:val="20"/>
          <w:lang w:val="bg-BG"/>
        </w:rPr>
      </w:pPr>
      <w:r w:rsidRPr="009072DA">
        <w:rPr>
          <w:b/>
          <w:lang w:val="bg-BG"/>
        </w:rPr>
        <w:t>Глава 2</w:t>
      </w:r>
    </w:p>
    <w:p w:rsidR="009C13A9" w:rsidRPr="009072DA" w:rsidRDefault="009C13A9" w:rsidP="009C13A9">
      <w:pPr>
        <w:overflowPunct w:val="0"/>
        <w:adjustRightInd w:val="0"/>
        <w:jc w:val="center"/>
        <w:textAlignment w:val="baseline"/>
        <w:rPr>
          <w:rFonts w:cs="Arial"/>
          <w:b/>
          <w:bCs/>
          <w:caps/>
          <w:szCs w:val="20"/>
          <w:lang w:val="bg-BG"/>
        </w:rPr>
      </w:pPr>
      <w:r w:rsidRPr="009072DA">
        <w:rPr>
          <w:b/>
          <w:lang w:val="bg-BG"/>
        </w:rPr>
        <w:t>Общи минимални изисквания за индикатори на ъгловата скорост на поворот</w:t>
      </w:r>
    </w:p>
    <w:p w:rsidR="009C13A9" w:rsidRPr="009072DA" w:rsidRDefault="009C13A9" w:rsidP="009C13A9">
      <w:pPr>
        <w:overflowPunct w:val="0"/>
        <w:adjustRightInd w:val="0"/>
        <w:jc w:val="center"/>
        <w:textAlignment w:val="baseline"/>
        <w:rPr>
          <w:rFonts w:cs="Arial"/>
          <w:szCs w:val="20"/>
          <w:lang w:val="bg-BG"/>
        </w:rPr>
      </w:pPr>
    </w:p>
    <w:p w:rsidR="009C13A9" w:rsidRPr="009072DA" w:rsidRDefault="009C13A9" w:rsidP="009C13A9">
      <w:pPr>
        <w:overflowPunct w:val="0"/>
        <w:adjustRightInd w:val="0"/>
        <w:jc w:val="center"/>
        <w:textAlignment w:val="baseline"/>
        <w:rPr>
          <w:rFonts w:cs="Arial"/>
          <w:b/>
          <w:bCs/>
          <w:szCs w:val="20"/>
          <w:lang w:val="bg-BG"/>
        </w:rPr>
      </w:pPr>
      <w:r w:rsidRPr="009072DA">
        <w:rPr>
          <w:b/>
          <w:lang w:val="bg-BG"/>
        </w:rPr>
        <w:t>Член 2.01</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i/>
          <w:iCs/>
          <w:szCs w:val="20"/>
          <w:lang w:val="bg-BG"/>
        </w:rPr>
      </w:pPr>
      <w:r w:rsidRPr="009072DA">
        <w:rPr>
          <w:i/>
          <w:lang w:val="bg-BG"/>
        </w:rPr>
        <w:t>Изграждане, проектиране</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p>
    <w:p w:rsidR="009C13A9" w:rsidRPr="009072DA" w:rsidRDefault="009C13A9" w:rsidP="009C13A9">
      <w:pPr>
        <w:spacing w:line="240" w:lineRule="atLeast"/>
        <w:rPr>
          <w:rFonts w:cs="Arial"/>
          <w:snapToGrid w:val="0"/>
          <w:color w:val="000000"/>
          <w:lang w:val="bg-BG"/>
        </w:rPr>
      </w:pPr>
      <w:r w:rsidRPr="009072DA">
        <w:rPr>
          <w:snapToGrid w:val="0"/>
          <w:color w:val="000000"/>
          <w:lang w:val="bg-BG"/>
        </w:rPr>
        <w:t>1.</w:t>
      </w:r>
      <w:r w:rsidRPr="009072DA">
        <w:rPr>
          <w:lang w:val="bg-BG"/>
        </w:rPr>
        <w:tab/>
      </w:r>
      <w:r w:rsidRPr="009072DA">
        <w:rPr>
          <w:snapToGrid w:val="0"/>
          <w:color w:val="000000"/>
          <w:lang w:val="bg-BG"/>
        </w:rPr>
        <w:t>Индикаторите на ъгловата скорост на поворот трябва да бъдат годни за експлоатация на борда на плавателни съдове по вътрешни водни пътища.</w:t>
      </w:r>
    </w:p>
    <w:p w:rsidR="009C13A9" w:rsidRPr="009072DA" w:rsidRDefault="009C13A9" w:rsidP="009C13A9">
      <w:pPr>
        <w:spacing w:line="240" w:lineRule="atLeast"/>
        <w:rPr>
          <w:rFonts w:cs="Arial"/>
          <w:snapToGrid w:val="0"/>
          <w:color w:val="000000"/>
          <w:lang w:val="bg-BG"/>
        </w:rPr>
      </w:pPr>
    </w:p>
    <w:p w:rsidR="009C13A9" w:rsidRPr="009072DA" w:rsidRDefault="009C13A9" w:rsidP="009C13A9">
      <w:pPr>
        <w:spacing w:line="240" w:lineRule="atLeast"/>
        <w:rPr>
          <w:rFonts w:cs="Arial"/>
          <w:snapToGrid w:val="0"/>
          <w:color w:val="000000"/>
          <w:lang w:val="bg-BG"/>
        </w:rPr>
      </w:pPr>
      <w:r w:rsidRPr="009072DA">
        <w:rPr>
          <w:snapToGrid w:val="0"/>
          <w:color w:val="000000"/>
          <w:lang w:val="bg-BG"/>
        </w:rPr>
        <w:t>2.</w:t>
      </w:r>
      <w:r w:rsidRPr="009072DA">
        <w:rPr>
          <w:lang w:val="bg-BG"/>
        </w:rPr>
        <w:tab/>
      </w:r>
      <w:r w:rsidRPr="009072DA">
        <w:rPr>
          <w:snapToGrid w:val="0"/>
          <w:color w:val="000000"/>
          <w:lang w:val="bg-BG"/>
        </w:rPr>
        <w:t>Изграждането и проектирането на оборудването трябва да отговарят на действащата добра инженерна практика от механична и електротехническа гледна точка.</w:t>
      </w:r>
    </w:p>
    <w:p w:rsidR="009C13A9" w:rsidRPr="009072DA" w:rsidRDefault="009C13A9" w:rsidP="009C13A9">
      <w:pPr>
        <w:tabs>
          <w:tab w:val="left" w:leader="dot" w:pos="9072"/>
        </w:tabs>
        <w:spacing w:line="240" w:lineRule="atLeast"/>
        <w:rPr>
          <w:rFonts w:cs="Arial"/>
          <w:snapToGrid w:val="0"/>
          <w:lang w:val="bg-BG"/>
        </w:rPr>
      </w:pPr>
    </w:p>
    <w:p w:rsidR="009C13A9" w:rsidRPr="009072DA" w:rsidRDefault="009C13A9" w:rsidP="009C13A9">
      <w:pPr>
        <w:spacing w:line="240" w:lineRule="atLeast"/>
        <w:rPr>
          <w:rFonts w:cs="Arial"/>
          <w:snapToGrid w:val="0"/>
          <w:color w:val="000000"/>
          <w:lang w:val="bg-BG"/>
        </w:rPr>
      </w:pPr>
      <w:r w:rsidRPr="009072DA">
        <w:rPr>
          <w:snapToGrid w:val="0"/>
          <w:color w:val="000000"/>
          <w:lang w:val="bg-BG"/>
        </w:rPr>
        <w:t>3.</w:t>
      </w:r>
      <w:r w:rsidRPr="009072DA">
        <w:rPr>
          <w:lang w:val="bg-BG"/>
        </w:rPr>
        <w:tab/>
      </w:r>
      <w:r w:rsidRPr="009072DA">
        <w:rPr>
          <w:color w:val="000000"/>
          <w:lang w:val="bg-BG"/>
        </w:rPr>
        <w:t>При отсъствие на конкретна разпоредба в настоящия стандарт, по отношение на електрозахранването, безопасността, взаимните смущения на бордовото оборудване, разстоянието на безопасност от компаса, устойчивостта на климатични въздействия, механичната якост, влиянието върху околната среда, излъчването на шум в звуковата област и маркировката на оборудването се прилагат изискванията и методите за изпитване, съдържащи се в европейски стандарт EN 60945: 2002.</w:t>
      </w:r>
    </w:p>
    <w:p w:rsidR="009C13A9" w:rsidRPr="009072DA" w:rsidRDefault="009C13A9" w:rsidP="009C13A9">
      <w:pPr>
        <w:spacing w:line="240" w:lineRule="atLeast"/>
        <w:ind w:left="426"/>
        <w:rPr>
          <w:snapToGrid w:val="0"/>
          <w:lang w:val="bg-BG"/>
        </w:rPr>
      </w:pPr>
    </w:p>
    <w:p w:rsidR="009C13A9" w:rsidRPr="009072DA" w:rsidRDefault="009C13A9" w:rsidP="009C13A9">
      <w:pPr>
        <w:spacing w:line="240" w:lineRule="atLeast"/>
        <w:ind w:left="426"/>
        <w:rPr>
          <w:snapToGrid w:val="0"/>
          <w:lang w:val="bg-BG"/>
        </w:rPr>
      </w:pPr>
      <w:r w:rsidRPr="009072DA">
        <w:rPr>
          <w:lang w:val="bg-BG"/>
        </w:rPr>
        <w:t>Оборудването трябва да съответства на всички изисквания на настоящото приложение при температури на околната среда между 0 °C и + 40 °C.</w:t>
      </w: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r w:rsidRPr="009072DA">
        <w:rPr>
          <w:lang w:val="bg-BG"/>
        </w:rPr>
        <w:br w:type="page"/>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bg-BG"/>
        </w:rPr>
      </w:pPr>
      <w:r w:rsidRPr="009072DA">
        <w:rPr>
          <w:b/>
          <w:lang w:val="bg-BG"/>
        </w:rPr>
        <w:lastRenderedPageBreak/>
        <w:t>Член 2.02</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r w:rsidRPr="009072DA">
        <w:rPr>
          <w:i/>
          <w:lang w:val="bg-BG"/>
        </w:rPr>
        <w:t>Паразитни излъчвания и електромагнитна съвместимост</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w w:val="103"/>
          <w:lang w:val="bg-BG"/>
        </w:rPr>
        <w:t>Общи изисквания</w:t>
      </w:r>
    </w:p>
    <w:p w:rsidR="009C13A9" w:rsidRPr="009072DA" w:rsidRDefault="009C13A9" w:rsidP="009C13A9">
      <w:pPr>
        <w:spacing w:line="240" w:lineRule="atLeast"/>
        <w:rPr>
          <w:rFonts w:cs="Arial"/>
          <w:color w:val="000000"/>
          <w:szCs w:val="20"/>
          <w:lang w:val="bg-BG"/>
        </w:rPr>
      </w:pPr>
    </w:p>
    <w:p w:rsidR="001077F3" w:rsidRPr="009072DA" w:rsidRDefault="001077F3" w:rsidP="001077F3">
      <w:pPr>
        <w:spacing w:line="240" w:lineRule="atLeast"/>
        <w:rPr>
          <w:szCs w:val="20"/>
          <w:lang w:val="bg-BG"/>
        </w:rPr>
      </w:pPr>
      <w:r w:rsidRPr="009072DA">
        <w:rPr>
          <w:lang w:val="bg-BG"/>
        </w:rPr>
        <w:t>Индикаторите на ъгловата скорост на поворот трябва да отговарят на изискванията на Директива 2014/30/ЕС</w:t>
      </w:r>
      <w:r w:rsidRPr="009072DA">
        <w:rPr>
          <w:vertAlign w:val="superscript"/>
          <w:lang w:val="bg-BG"/>
        </w:rPr>
        <w:footnoteReference w:id="53"/>
      </w:r>
      <w:r w:rsidRPr="009072DA">
        <w:rPr>
          <w:lang w:val="bg-BG"/>
        </w:rPr>
        <w:t>.</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Паразитни излъчвания</w:t>
      </w:r>
    </w:p>
    <w:p w:rsidR="009C13A9" w:rsidRPr="009072DA" w:rsidRDefault="009C13A9" w:rsidP="009C13A9">
      <w:pPr>
        <w:spacing w:line="240" w:lineRule="atLeast"/>
        <w:rPr>
          <w:rFonts w:cs="Arial"/>
          <w:color w:val="000000"/>
          <w:szCs w:val="20"/>
          <w:lang w:val="bg-BG"/>
        </w:rPr>
      </w:pPr>
    </w:p>
    <w:p w:rsidR="009C13A9" w:rsidRPr="009072DA" w:rsidRDefault="009C13A9" w:rsidP="009C13A9">
      <w:pPr>
        <w:spacing w:line="240" w:lineRule="atLeast"/>
        <w:ind w:left="426"/>
        <w:rPr>
          <w:lang w:val="bg-BG"/>
        </w:rPr>
      </w:pPr>
      <w:r w:rsidRPr="009072DA">
        <w:rPr>
          <w:lang w:val="bg-BG"/>
        </w:rPr>
        <w:t>В честотните обхвати от 156 до 165 mHz, от 450 до 470 mHz и от 1,53 до 1,544 GHz интензитетът на полето не трябва да превишава 15 µV/m.  Тези интензитети на полето са валидни за разстояние на изпитване 3 m от оборудването, което се изпитва.</w:t>
      </w:r>
    </w:p>
    <w:p w:rsidR="009C13A9" w:rsidRPr="009072DA" w:rsidRDefault="009C13A9" w:rsidP="009C13A9">
      <w:pPr>
        <w:tabs>
          <w:tab w:val="left" w:pos="425"/>
        </w:tabs>
        <w:overflowPunct w:val="0"/>
        <w:adjustRightInd w:val="0"/>
        <w:spacing w:line="240" w:lineRule="atLeast"/>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bg-BG"/>
        </w:rPr>
      </w:pPr>
      <w:r w:rsidRPr="009072DA">
        <w:rPr>
          <w:b/>
          <w:lang w:val="bg-BG"/>
        </w:rPr>
        <w:t>Член 2.03</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r w:rsidRPr="009072DA">
        <w:rPr>
          <w:i/>
          <w:lang w:val="bg-BG"/>
        </w:rPr>
        <w:t>Експлоатация</w:t>
      </w: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Оборудването не трябва да има повече устройства за управление, отколкото са необходими за правилната му експлоатация.</w:t>
      </w:r>
    </w:p>
    <w:p w:rsidR="009C13A9" w:rsidRPr="009072DA" w:rsidRDefault="009C13A9" w:rsidP="009C13A9">
      <w:pPr>
        <w:tabs>
          <w:tab w:val="left" w:pos="425"/>
        </w:tabs>
        <w:overflowPunct w:val="0"/>
        <w:adjustRightInd w:val="0"/>
        <w:spacing w:line="240" w:lineRule="atLeast"/>
        <w:textAlignment w:val="baseline"/>
        <w:rPr>
          <w:rFonts w:cs="Arial"/>
          <w:szCs w:val="20"/>
          <w:lang w:val="bg-BG"/>
        </w:rPr>
      </w:pPr>
    </w:p>
    <w:p w:rsidR="009C13A9" w:rsidRPr="009072DA" w:rsidRDefault="009C13A9" w:rsidP="009C13A9">
      <w:pPr>
        <w:spacing w:line="240" w:lineRule="atLeast"/>
        <w:ind w:left="426"/>
        <w:rPr>
          <w:lang w:val="bg-BG"/>
        </w:rPr>
      </w:pPr>
      <w:r w:rsidRPr="009072DA">
        <w:rPr>
          <w:lang w:val="bg-BG"/>
        </w:rPr>
        <w:t xml:space="preserve">Конструкцията, маркировката и боравенето с устройствата за управление трябва да са такива, че да позволяват използването им по прост, еднозначен и бърз начин.  </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Разположението им трябва да е такова, че доколкото е възможно, да се предотвратяват грешките при работа.</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Устройствата за управление, които не са необходими за нормална работа, не следва да са леснодостъпни.</w:t>
      </w:r>
    </w:p>
    <w:p w:rsidR="009C13A9" w:rsidRPr="009072DA" w:rsidRDefault="009C13A9" w:rsidP="009C13A9">
      <w:pPr>
        <w:tabs>
          <w:tab w:val="left" w:pos="425"/>
        </w:tabs>
        <w:overflowPunct w:val="0"/>
        <w:adjustRightInd w:val="0"/>
        <w:spacing w:line="240" w:lineRule="atLeast"/>
        <w:textAlignment w:val="baseline"/>
        <w:rPr>
          <w:rFonts w:cs="Arial"/>
          <w:szCs w:val="20"/>
          <w:lang w:val="bg-BG"/>
        </w:rPr>
      </w:pPr>
    </w:p>
    <w:p w:rsidR="009C13A9" w:rsidRPr="009072DA" w:rsidRDefault="009C13A9" w:rsidP="009C13A9">
      <w:pPr>
        <w:spacing w:line="240" w:lineRule="atLeast"/>
        <w:rPr>
          <w:rFonts w:cs="Arial"/>
          <w:color w:val="000000"/>
          <w:lang w:val="bg-BG"/>
        </w:rPr>
      </w:pPr>
      <w:r w:rsidRPr="009072DA">
        <w:rPr>
          <w:color w:val="000000"/>
          <w:lang w:val="bg-BG"/>
        </w:rPr>
        <w:t xml:space="preserve">2. </w:t>
      </w:r>
      <w:r w:rsidRPr="009072DA">
        <w:rPr>
          <w:lang w:val="bg-BG"/>
        </w:rPr>
        <w:tab/>
      </w:r>
      <w:r w:rsidRPr="009072DA">
        <w:rPr>
          <w:rFonts w:ascii="ArialMT" w:hAnsi="ArialMT"/>
          <w:lang w:val="bg-BG"/>
        </w:rPr>
        <w:t>Всички устройства за управление и индикатори са оборудвани със символи и/или маркировки на английски език.  Символите трябва да отговарят на изискванията на европейски стандарт EN 60417: 2002 (графични символи, които се поставят върху електрическите съоръжения).</w:t>
      </w:r>
    </w:p>
    <w:p w:rsidR="009C13A9" w:rsidRPr="009072DA" w:rsidRDefault="009C13A9" w:rsidP="009C13A9">
      <w:pPr>
        <w:tabs>
          <w:tab w:val="left" w:pos="425"/>
        </w:tabs>
        <w:overflowPunct w:val="0"/>
        <w:adjustRightInd w:val="0"/>
        <w:spacing w:line="240" w:lineRule="atLeast"/>
        <w:textAlignment w:val="baseline"/>
        <w:rPr>
          <w:rFonts w:cs="Arial"/>
          <w:szCs w:val="20"/>
          <w:lang w:val="bg-BG"/>
        </w:rPr>
      </w:pPr>
    </w:p>
    <w:p w:rsidR="009C13A9" w:rsidRPr="009072DA" w:rsidRDefault="009C13A9" w:rsidP="009C13A9">
      <w:pPr>
        <w:spacing w:line="240" w:lineRule="atLeast"/>
        <w:ind w:left="426"/>
        <w:rPr>
          <w:lang w:val="bg-BG"/>
        </w:rPr>
      </w:pPr>
      <w:r w:rsidRPr="009072DA">
        <w:rPr>
          <w:lang w:val="bg-BG"/>
        </w:rPr>
        <w:t>Всички цифри и букви имат височина не по-малко от 4 mm. Ако може да бъде доказано, че поради технически причини цифри и букви с височина 4 mm не са възможни и ако за целите на експлоатацията са приемливи по-малки цифри и букви, се допуска намаляване до 3 mm.</w:t>
      </w:r>
    </w:p>
    <w:p w:rsidR="009C13A9" w:rsidRPr="009072DA" w:rsidRDefault="009C13A9" w:rsidP="009C13A9">
      <w:pPr>
        <w:tabs>
          <w:tab w:val="left" w:pos="425"/>
        </w:tabs>
        <w:overflowPunct w:val="0"/>
        <w:adjustRightInd w:val="0"/>
        <w:spacing w:line="240" w:lineRule="atLeast"/>
        <w:textAlignment w:val="baseline"/>
        <w:rPr>
          <w:rFonts w:cs="Arial"/>
          <w:szCs w:val="20"/>
          <w:lang w:val="bg-BG"/>
        </w:rPr>
      </w:pPr>
    </w:p>
    <w:p w:rsidR="009C13A9" w:rsidRPr="009072DA" w:rsidRDefault="009C13A9" w:rsidP="009C13A9">
      <w:pPr>
        <w:spacing w:line="240" w:lineRule="atLeast"/>
        <w:rPr>
          <w:rFonts w:cs="Arial"/>
          <w:color w:val="000000"/>
          <w:lang w:val="bg-BG"/>
        </w:rPr>
      </w:pPr>
      <w:r w:rsidRPr="009072DA">
        <w:rPr>
          <w:color w:val="000000"/>
          <w:lang w:val="bg-BG"/>
        </w:rPr>
        <w:t>3.</w:t>
      </w:r>
      <w:r w:rsidRPr="009072DA">
        <w:rPr>
          <w:lang w:val="bg-BG"/>
        </w:rPr>
        <w:tab/>
      </w:r>
      <w:r w:rsidRPr="009072DA">
        <w:rPr>
          <w:color w:val="000000"/>
          <w:lang w:val="bg-BG"/>
        </w:rPr>
        <w:t>Оборудването се проектира така, че грешки при обслужването му да не могат да доведат до отказ.</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4.</w:t>
      </w:r>
      <w:r w:rsidRPr="009072DA">
        <w:rPr>
          <w:lang w:val="bg-BG"/>
        </w:rPr>
        <w:tab/>
      </w:r>
      <w:r w:rsidRPr="009072DA">
        <w:rPr>
          <w:color w:val="000000"/>
          <w:lang w:val="bg-BG"/>
        </w:rPr>
        <w:t>Всякакви функции над и свръх минималните изисквания, каквито са съоръженията за свързване с друго оборудване, се подсигуряват по такъв начин, че оборудването да отговаря на минималните изисквания при всякакви условия.</w:t>
      </w:r>
    </w:p>
    <w:p w:rsidR="009C13A9" w:rsidRPr="009072DA" w:rsidRDefault="009C13A9" w:rsidP="009C13A9">
      <w:pPr>
        <w:tabs>
          <w:tab w:val="right" w:pos="9072"/>
        </w:tabs>
        <w:overflowPunct w:val="0"/>
        <w:adjustRightInd w:val="0"/>
        <w:spacing w:line="240" w:lineRule="atLeast"/>
        <w:textAlignment w:val="baseline"/>
        <w:rPr>
          <w:rFonts w:cs="Arial"/>
          <w:szCs w:val="20"/>
          <w:lang w:val="bg-BG"/>
        </w:rPr>
      </w:pPr>
    </w:p>
    <w:p w:rsidR="009C13A9" w:rsidRPr="009072DA" w:rsidRDefault="009C13A9" w:rsidP="009C13A9">
      <w:pPr>
        <w:tabs>
          <w:tab w:val="right" w:pos="9072"/>
        </w:tabs>
        <w:overflowPunct w:val="0"/>
        <w:adjustRightInd w:val="0"/>
        <w:spacing w:line="240" w:lineRule="atLeast"/>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bg-BG"/>
        </w:rPr>
      </w:pPr>
      <w:r w:rsidRPr="009072DA">
        <w:rPr>
          <w:b/>
          <w:lang w:val="bg-BG"/>
        </w:rPr>
        <w:t>Член 2.04</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r w:rsidRPr="009072DA">
        <w:rPr>
          <w:i/>
          <w:lang w:val="bg-BG"/>
        </w:rPr>
        <w:t>Ръководство за работа за оператора</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За всяка единица оборудване се предоставя подробна инструкция за експлоатация. Тя трябва да бъде на разположение на английски, немски, нидерландски и френски език и да съдържа най-малко следната информация:</w:t>
      </w:r>
    </w:p>
    <w:p w:rsidR="009C13A9" w:rsidRPr="009072DA" w:rsidRDefault="009C13A9" w:rsidP="009C13A9">
      <w:pPr>
        <w:spacing w:before="60" w:line="240" w:lineRule="atLeast"/>
        <w:rPr>
          <w:rFonts w:cs="Arial"/>
          <w:lang w:val="bg-BG"/>
        </w:rPr>
      </w:pPr>
      <w:r w:rsidRPr="009072DA">
        <w:rPr>
          <w:lang w:val="bg-BG"/>
        </w:rPr>
        <w:t>a)</w:t>
      </w:r>
      <w:r w:rsidRPr="009072DA">
        <w:rPr>
          <w:lang w:val="bg-BG"/>
        </w:rPr>
        <w:tab/>
        <w:t>задействане и експлоатация;</w:t>
      </w:r>
    </w:p>
    <w:p w:rsidR="009C13A9" w:rsidRPr="009072DA" w:rsidRDefault="009C13A9" w:rsidP="009C13A9">
      <w:pPr>
        <w:spacing w:before="60" w:line="240" w:lineRule="atLeast"/>
        <w:rPr>
          <w:rFonts w:cs="Arial"/>
          <w:lang w:val="bg-BG"/>
        </w:rPr>
      </w:pPr>
      <w:r w:rsidRPr="009072DA">
        <w:rPr>
          <w:lang w:val="bg-BG"/>
        </w:rPr>
        <w:t>б)</w:t>
      </w:r>
      <w:r w:rsidRPr="009072DA">
        <w:rPr>
          <w:lang w:val="bg-BG"/>
        </w:rPr>
        <w:tab/>
        <w:t>поддръжка и обслужване;</w:t>
      </w:r>
    </w:p>
    <w:p w:rsidR="009C13A9" w:rsidRPr="009072DA" w:rsidRDefault="009C13A9" w:rsidP="009C13A9">
      <w:pPr>
        <w:spacing w:before="60" w:line="240" w:lineRule="atLeast"/>
        <w:rPr>
          <w:rFonts w:cs="Arial"/>
          <w:szCs w:val="20"/>
          <w:lang w:val="bg-BG"/>
        </w:rPr>
      </w:pPr>
      <w:r w:rsidRPr="009072DA">
        <w:rPr>
          <w:lang w:val="bg-BG"/>
        </w:rPr>
        <w:t>в)</w:t>
      </w:r>
      <w:r w:rsidRPr="009072DA">
        <w:rPr>
          <w:lang w:val="bg-BG"/>
        </w:rPr>
        <w:tab/>
        <w:t>общи указания за безопасността.</w:t>
      </w: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r w:rsidRPr="009072DA">
        <w:rPr>
          <w:lang w:val="bg-BG"/>
        </w:rPr>
        <w:br w:type="page"/>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bg-BG"/>
        </w:rPr>
      </w:pPr>
      <w:r w:rsidRPr="009072DA">
        <w:rPr>
          <w:b/>
          <w:lang w:val="bg-BG"/>
        </w:rPr>
        <w:lastRenderedPageBreak/>
        <w:t>Член 2.05</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r w:rsidRPr="009072DA">
        <w:rPr>
          <w:i/>
          <w:lang w:val="bg-BG"/>
        </w:rPr>
        <w:t>Монтаж на датчика</w:t>
      </w:r>
    </w:p>
    <w:p w:rsidR="009C13A9" w:rsidRPr="009072DA" w:rsidRDefault="009C13A9" w:rsidP="009C13A9">
      <w:pPr>
        <w:tabs>
          <w:tab w:val="left" w:pos="425"/>
        </w:tabs>
        <w:overflowPunct w:val="0"/>
        <w:adjustRightInd w:val="0"/>
        <w:spacing w:line="240" w:lineRule="atLeast"/>
        <w:textAlignment w:val="baseline"/>
        <w:rPr>
          <w:rFonts w:eastAsia="Batang" w:cs="Arial"/>
          <w:lang w:val="bg-BG"/>
        </w:rPr>
      </w:pPr>
    </w:p>
    <w:p w:rsidR="009C13A9" w:rsidRPr="009072DA" w:rsidRDefault="009C13A9" w:rsidP="009C13A9">
      <w:pPr>
        <w:tabs>
          <w:tab w:val="left" w:leader="dot" w:pos="9072"/>
        </w:tabs>
        <w:spacing w:line="240" w:lineRule="atLeast"/>
        <w:rPr>
          <w:rFonts w:cs="Arial"/>
          <w:szCs w:val="20"/>
          <w:lang w:val="bg-BG"/>
        </w:rPr>
      </w:pPr>
      <w:r w:rsidRPr="009072DA">
        <w:rPr>
          <w:lang w:val="bg-BG"/>
        </w:rPr>
        <w:t>Ориентацията на монтажа спрямо линията на кила е означена върху сензорната част на индикатора на ъгловата скорост на поворот.  Предоставят се инструкции за монтаж за осигуряване на максимална нечувствителност към другите нормални движения на плавателния съд.</w:t>
      </w:r>
    </w:p>
    <w:p w:rsidR="009C13A9" w:rsidRPr="009072DA" w:rsidRDefault="009C13A9" w:rsidP="009C13A9">
      <w:pPr>
        <w:tabs>
          <w:tab w:val="left" w:pos="425"/>
        </w:tabs>
        <w:overflowPunct w:val="0"/>
        <w:adjustRightInd w:val="0"/>
        <w:spacing w:line="240" w:lineRule="atLeast"/>
        <w:textAlignment w:val="baseline"/>
        <w:rPr>
          <w:rFonts w:cs="Arial"/>
          <w:szCs w:val="20"/>
          <w:lang w:val="bg-BG"/>
        </w:rPr>
      </w:pPr>
    </w:p>
    <w:p w:rsidR="009C13A9" w:rsidRPr="009072DA" w:rsidRDefault="009C13A9" w:rsidP="009C13A9">
      <w:pPr>
        <w:tabs>
          <w:tab w:val="left" w:pos="425"/>
        </w:tabs>
        <w:overflowPunct w:val="0"/>
        <w:adjustRightInd w:val="0"/>
        <w:spacing w:line="240" w:lineRule="atLeast"/>
        <w:textAlignment w:val="baseline"/>
        <w:rPr>
          <w:rFonts w:cs="Arial"/>
          <w:szCs w:val="20"/>
          <w:lang w:val="bg-BG"/>
        </w:rPr>
      </w:pPr>
    </w:p>
    <w:p w:rsidR="009C13A9" w:rsidRPr="009072DA" w:rsidRDefault="009C13A9" w:rsidP="009C13A9">
      <w:pPr>
        <w:overflowPunct w:val="0"/>
        <w:adjustRightInd w:val="0"/>
        <w:spacing w:line="240" w:lineRule="atLeast"/>
        <w:jc w:val="center"/>
        <w:textAlignment w:val="baseline"/>
        <w:rPr>
          <w:rFonts w:cs="Arial"/>
          <w:b/>
          <w:bCs/>
          <w:szCs w:val="20"/>
          <w:lang w:val="bg-BG"/>
        </w:rPr>
      </w:pPr>
      <w:r w:rsidRPr="009072DA">
        <w:rPr>
          <w:b/>
          <w:lang w:val="bg-BG"/>
        </w:rPr>
        <w:t>Глава 3</w:t>
      </w:r>
    </w:p>
    <w:p w:rsidR="009C13A9" w:rsidRPr="009072DA" w:rsidRDefault="009C13A9" w:rsidP="009C13A9">
      <w:pPr>
        <w:overflowPunct w:val="0"/>
        <w:adjustRightInd w:val="0"/>
        <w:jc w:val="center"/>
        <w:textAlignment w:val="baseline"/>
        <w:rPr>
          <w:rFonts w:cs="Arial"/>
          <w:b/>
          <w:bCs/>
          <w:szCs w:val="20"/>
          <w:lang w:val="bg-BG"/>
        </w:rPr>
      </w:pPr>
      <w:r w:rsidRPr="009072DA">
        <w:rPr>
          <w:b/>
          <w:lang w:val="bg-BG"/>
        </w:rPr>
        <w:t>Минимални оперативни изисквания за индикатори на ъгловата скорост на поворот</w:t>
      </w:r>
    </w:p>
    <w:p w:rsidR="009C13A9" w:rsidRPr="009072DA" w:rsidRDefault="009C13A9" w:rsidP="009C13A9">
      <w:pPr>
        <w:overflowPunct w:val="0"/>
        <w:adjustRightInd w:val="0"/>
        <w:jc w:val="center"/>
        <w:textAlignment w:val="baseline"/>
        <w:rPr>
          <w:rFonts w:cs="Arial"/>
          <w:szCs w:val="20"/>
          <w:lang w:val="bg-BG"/>
        </w:rPr>
      </w:pPr>
    </w:p>
    <w:p w:rsidR="009C13A9" w:rsidRPr="009072DA" w:rsidRDefault="009C13A9" w:rsidP="009C13A9">
      <w:pPr>
        <w:overflowPunct w:val="0"/>
        <w:adjustRightInd w:val="0"/>
        <w:jc w:val="center"/>
        <w:textAlignment w:val="baseline"/>
        <w:rPr>
          <w:rFonts w:cs="Arial"/>
          <w:b/>
          <w:bCs/>
          <w:szCs w:val="20"/>
          <w:lang w:val="bg-BG"/>
        </w:rPr>
      </w:pPr>
      <w:r w:rsidRPr="009072DA">
        <w:rPr>
          <w:b/>
          <w:lang w:val="bg-BG"/>
        </w:rPr>
        <w:t>Член 3.01</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i/>
          <w:iCs/>
          <w:szCs w:val="20"/>
          <w:lang w:val="bg-BG"/>
        </w:rPr>
      </w:pPr>
      <w:r w:rsidRPr="009072DA">
        <w:rPr>
          <w:i/>
          <w:lang w:val="bg-BG"/>
        </w:rPr>
        <w:t>Експлоатационна готовност на индикатора на ъгловата скорост на поворот</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При задействане от студено състояние индикаторът на ъгловата скорост на поворот трябва да е напълно готов за работа в рамките на 4 минути и да работи в рамките на допустимите отклонения на изискваната точност.</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При задействане на индикатора се включва предупредителен сигнал. Трябва да бъде възможно едновременното наблюдаване и боравене с индикатора на ъгловата скорост на поворот.</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3.</w:t>
      </w:r>
      <w:r w:rsidRPr="009072DA">
        <w:rPr>
          <w:lang w:val="bg-BG"/>
        </w:rPr>
        <w:tab/>
      </w:r>
      <w:r w:rsidRPr="009072DA">
        <w:rPr>
          <w:color w:val="000000"/>
          <w:lang w:val="bg-BG"/>
        </w:rPr>
        <w:t>Безжични устройства за дистанционно управление не се допускат.</w:t>
      </w: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bg-BG"/>
        </w:rPr>
      </w:pPr>
      <w:r w:rsidRPr="009072DA">
        <w:rPr>
          <w:b/>
          <w:lang w:val="bg-BG"/>
        </w:rPr>
        <w:t>Член 3.02</w:t>
      </w:r>
    </w:p>
    <w:p w:rsidR="009C13A9" w:rsidRPr="009072DA" w:rsidRDefault="009C13A9" w:rsidP="00C50DA9">
      <w:pPr>
        <w:tabs>
          <w:tab w:val="left" w:pos="284"/>
          <w:tab w:val="left" w:pos="454"/>
          <w:tab w:val="left" w:pos="680"/>
          <w:tab w:val="left" w:pos="1021"/>
        </w:tabs>
        <w:overflowPunct w:val="0"/>
        <w:adjustRightInd w:val="0"/>
        <w:jc w:val="center"/>
        <w:textAlignment w:val="baseline"/>
        <w:rPr>
          <w:rFonts w:cs="Arial"/>
          <w:i/>
          <w:iCs/>
          <w:szCs w:val="20"/>
          <w:lang w:val="bg-BG"/>
        </w:rPr>
      </w:pPr>
      <w:r w:rsidRPr="009072DA">
        <w:rPr>
          <w:i/>
          <w:lang w:val="bg-BG"/>
        </w:rPr>
        <w:t>Показване на скоростта на извършване на поворот</w:t>
      </w:r>
    </w:p>
    <w:p w:rsidR="00C50DA9" w:rsidRPr="009072DA" w:rsidRDefault="00C50D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 xml:space="preserve">Скоростта на извършване на поворот се показва върху градуирана скала, чиято нулева точка е разположена в средата.  Посоката и степента на поворота трябва да могат да бъдат </w:t>
      </w:r>
      <w:r w:rsidRPr="009072DA">
        <w:rPr>
          <w:color w:val="000000"/>
          <w:lang w:val="bg-BG"/>
        </w:rPr>
        <w:lastRenderedPageBreak/>
        <w:t>разчитани с необходимата точност.  Индикатори, различни от тези с формата на стрелки и хистограми, не се допускат.</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Скалата на индикатора има дължина не по-малко от 20 сm и може да бъде кръгла или праволинейна.</w:t>
      </w:r>
    </w:p>
    <w:p w:rsidR="009C13A9" w:rsidRPr="009072DA" w:rsidRDefault="009C13A9" w:rsidP="009C13A9">
      <w:pPr>
        <w:tabs>
          <w:tab w:val="left" w:pos="425"/>
        </w:tabs>
        <w:overflowPunct w:val="0"/>
        <w:adjustRightInd w:val="0"/>
        <w:spacing w:line="240" w:lineRule="atLeast"/>
        <w:textAlignment w:val="baseline"/>
        <w:rPr>
          <w:rFonts w:cs="Arial"/>
          <w:szCs w:val="20"/>
          <w:lang w:val="bg-BG"/>
        </w:rPr>
      </w:pPr>
    </w:p>
    <w:p w:rsidR="009C13A9" w:rsidRPr="009072DA" w:rsidRDefault="009C13A9" w:rsidP="009C13A9">
      <w:pPr>
        <w:tabs>
          <w:tab w:val="left" w:pos="425"/>
        </w:tabs>
        <w:overflowPunct w:val="0"/>
        <w:adjustRightInd w:val="0"/>
        <w:spacing w:line="240" w:lineRule="atLeast"/>
        <w:textAlignment w:val="baseline"/>
        <w:rPr>
          <w:lang w:val="bg-BG"/>
        </w:rPr>
      </w:pPr>
      <w:r w:rsidRPr="009072DA">
        <w:rPr>
          <w:lang w:val="bg-BG"/>
        </w:rPr>
        <w:tab/>
        <w:t>Праволинейните скали могат да бъдат разположени само хоризонтално.</w:t>
      </w:r>
    </w:p>
    <w:p w:rsidR="009C13A9" w:rsidRPr="009072DA" w:rsidRDefault="009C13A9" w:rsidP="009C13A9">
      <w:pPr>
        <w:tabs>
          <w:tab w:val="left" w:pos="425"/>
        </w:tabs>
        <w:overflowPunct w:val="0"/>
        <w:adjustRightInd w:val="0"/>
        <w:spacing w:line="240" w:lineRule="atLeast"/>
        <w:textAlignment w:val="baseline"/>
        <w:rPr>
          <w:rFonts w:cs="Arial"/>
          <w:szCs w:val="20"/>
          <w:lang w:val="bg-BG"/>
        </w:rPr>
      </w:pPr>
    </w:p>
    <w:p w:rsidR="009C13A9" w:rsidRPr="009072DA" w:rsidRDefault="009C13A9" w:rsidP="009C13A9">
      <w:pPr>
        <w:spacing w:line="240" w:lineRule="atLeast"/>
        <w:rPr>
          <w:rFonts w:cs="Arial"/>
          <w:color w:val="000000"/>
          <w:lang w:val="bg-BG"/>
        </w:rPr>
      </w:pPr>
      <w:r w:rsidRPr="009072DA">
        <w:rPr>
          <w:color w:val="000000"/>
          <w:lang w:val="bg-BG"/>
        </w:rPr>
        <w:t>3.</w:t>
      </w:r>
      <w:r w:rsidRPr="009072DA">
        <w:rPr>
          <w:lang w:val="bg-BG"/>
        </w:rPr>
        <w:tab/>
      </w:r>
      <w:r w:rsidRPr="009072DA">
        <w:rPr>
          <w:color w:val="000000"/>
          <w:lang w:val="bg-BG"/>
        </w:rPr>
        <w:t>Не се допускат индикатори, които са само цифрови.</w:t>
      </w: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bg-BG"/>
        </w:rPr>
      </w:pPr>
      <w:r w:rsidRPr="009072DA">
        <w:rPr>
          <w:b/>
          <w:lang w:val="bg-BG"/>
        </w:rPr>
        <w:t>Член 3.03</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i/>
          <w:iCs/>
          <w:szCs w:val="20"/>
          <w:lang w:val="bg-BG"/>
        </w:rPr>
      </w:pPr>
      <w:r w:rsidRPr="009072DA">
        <w:rPr>
          <w:i/>
          <w:lang w:val="bg-BG"/>
        </w:rPr>
        <w:t>Измервателни обхвати</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Индикаторите на ъгловата скорост на поворот могат да бъдат снабдени с един или повече измервателни обхвати. Препоръчват се следните измервателни обхвати:</w:t>
      </w:r>
    </w:p>
    <w:p w:rsidR="009C13A9" w:rsidRPr="009072DA" w:rsidRDefault="008872E2" w:rsidP="009C13A9">
      <w:pPr>
        <w:tabs>
          <w:tab w:val="left" w:pos="-340"/>
          <w:tab w:val="decimal" w:pos="709"/>
          <w:tab w:val="left" w:pos="851"/>
        </w:tabs>
        <w:overflowPunct w:val="0"/>
        <w:adjustRightInd w:val="0"/>
        <w:textAlignment w:val="baseline"/>
        <w:rPr>
          <w:rFonts w:cs="Arial"/>
          <w:szCs w:val="20"/>
          <w:lang w:val="bg-BG"/>
        </w:rPr>
      </w:pPr>
      <w:r w:rsidRPr="009072DA">
        <w:rPr>
          <w:lang w:val="bg-BG"/>
        </w:rPr>
        <w:tab/>
        <w:t>30°/min</w:t>
      </w:r>
    </w:p>
    <w:p w:rsidR="009C13A9" w:rsidRPr="009072DA" w:rsidRDefault="008872E2" w:rsidP="009C13A9">
      <w:pPr>
        <w:tabs>
          <w:tab w:val="left" w:pos="-340"/>
          <w:tab w:val="decimal" w:pos="709"/>
          <w:tab w:val="left" w:pos="851"/>
        </w:tabs>
        <w:overflowPunct w:val="0"/>
        <w:adjustRightInd w:val="0"/>
        <w:textAlignment w:val="baseline"/>
        <w:rPr>
          <w:rFonts w:cs="Arial"/>
          <w:szCs w:val="20"/>
          <w:lang w:val="bg-BG"/>
        </w:rPr>
      </w:pPr>
      <w:r w:rsidRPr="009072DA">
        <w:rPr>
          <w:lang w:val="bg-BG"/>
        </w:rPr>
        <w:tab/>
        <w:t>60°/min</w:t>
      </w:r>
    </w:p>
    <w:p w:rsidR="009C13A9" w:rsidRPr="009072DA" w:rsidRDefault="008872E2" w:rsidP="009C13A9">
      <w:pPr>
        <w:tabs>
          <w:tab w:val="left" w:pos="-340"/>
          <w:tab w:val="decimal" w:pos="709"/>
          <w:tab w:val="left" w:pos="851"/>
        </w:tabs>
        <w:overflowPunct w:val="0"/>
        <w:adjustRightInd w:val="0"/>
        <w:textAlignment w:val="baseline"/>
        <w:rPr>
          <w:rFonts w:cs="Arial"/>
          <w:szCs w:val="20"/>
          <w:lang w:val="bg-BG"/>
        </w:rPr>
      </w:pPr>
      <w:r w:rsidRPr="009072DA">
        <w:rPr>
          <w:lang w:val="bg-BG"/>
        </w:rPr>
        <w:tab/>
        <w:t>90°/min</w:t>
      </w:r>
    </w:p>
    <w:p w:rsidR="009C13A9" w:rsidRPr="009072DA" w:rsidRDefault="008872E2" w:rsidP="009C13A9">
      <w:pPr>
        <w:tabs>
          <w:tab w:val="left" w:pos="-340"/>
          <w:tab w:val="decimal" w:pos="709"/>
          <w:tab w:val="left" w:pos="851"/>
        </w:tabs>
        <w:overflowPunct w:val="0"/>
        <w:adjustRightInd w:val="0"/>
        <w:textAlignment w:val="baseline"/>
        <w:rPr>
          <w:rFonts w:cs="Arial"/>
          <w:szCs w:val="20"/>
          <w:lang w:val="bg-BG"/>
        </w:rPr>
      </w:pPr>
      <w:r w:rsidRPr="009072DA">
        <w:rPr>
          <w:lang w:val="bg-BG"/>
        </w:rPr>
        <w:tab/>
        <w:t>180°/min</w:t>
      </w:r>
    </w:p>
    <w:p w:rsidR="009C13A9" w:rsidRPr="009072DA" w:rsidRDefault="008872E2" w:rsidP="009C13A9">
      <w:pPr>
        <w:tabs>
          <w:tab w:val="left" w:pos="-340"/>
          <w:tab w:val="decimal" w:pos="709"/>
          <w:tab w:val="left" w:pos="851"/>
        </w:tabs>
        <w:overflowPunct w:val="0"/>
        <w:adjustRightInd w:val="0"/>
        <w:textAlignment w:val="baseline"/>
        <w:rPr>
          <w:rFonts w:cs="Arial"/>
          <w:szCs w:val="20"/>
          <w:lang w:val="bg-BG"/>
        </w:rPr>
      </w:pPr>
      <w:r w:rsidRPr="009072DA">
        <w:rPr>
          <w:lang w:val="bg-BG"/>
        </w:rPr>
        <w:tab/>
        <w:t>300°/min.</w:t>
      </w:r>
    </w:p>
    <w:p w:rsidR="009C13A9" w:rsidRPr="009072DA" w:rsidRDefault="009C13A9" w:rsidP="009C13A9">
      <w:pPr>
        <w:tabs>
          <w:tab w:val="right" w:pos="9072"/>
        </w:tabs>
        <w:overflowPunct w:val="0"/>
        <w:adjustRightInd w:val="0"/>
        <w:spacing w:line="240" w:lineRule="atLeast"/>
        <w:textAlignment w:val="baseline"/>
        <w:rPr>
          <w:rFonts w:cs="Arial"/>
          <w:szCs w:val="20"/>
          <w:lang w:val="bg-BG"/>
        </w:rPr>
      </w:pPr>
    </w:p>
    <w:p w:rsidR="009C13A9" w:rsidRPr="009072DA" w:rsidRDefault="009C13A9" w:rsidP="009C13A9">
      <w:pPr>
        <w:tabs>
          <w:tab w:val="right" w:pos="9072"/>
        </w:tabs>
        <w:overflowPunct w:val="0"/>
        <w:adjustRightInd w:val="0"/>
        <w:spacing w:line="240" w:lineRule="atLeast"/>
        <w:textAlignment w:val="baseline"/>
        <w:rPr>
          <w:rFonts w:cs="Arial"/>
          <w:szCs w:val="20"/>
          <w:lang w:val="bg-BG"/>
        </w:rPr>
      </w:pPr>
      <w:r w:rsidRPr="009072DA">
        <w:rPr>
          <w:lang w:val="bg-BG"/>
        </w:rPr>
        <w:br w:type="page"/>
      </w:r>
    </w:p>
    <w:p w:rsidR="009C13A9" w:rsidRPr="009072DA" w:rsidRDefault="009C13A9" w:rsidP="009C13A9">
      <w:pPr>
        <w:overflowPunct w:val="0"/>
        <w:adjustRightInd w:val="0"/>
        <w:jc w:val="center"/>
        <w:textAlignment w:val="baseline"/>
        <w:rPr>
          <w:rFonts w:cs="Arial"/>
          <w:b/>
          <w:bCs/>
          <w:szCs w:val="20"/>
          <w:lang w:val="bg-BG"/>
        </w:rPr>
      </w:pPr>
      <w:r w:rsidRPr="009072DA">
        <w:rPr>
          <w:b/>
          <w:lang w:val="bg-BG"/>
        </w:rPr>
        <w:lastRenderedPageBreak/>
        <w:t>Член 3.04</w:t>
      </w:r>
    </w:p>
    <w:p w:rsidR="009C13A9" w:rsidRPr="009072DA" w:rsidRDefault="009C13A9" w:rsidP="009C13A9">
      <w:pPr>
        <w:tabs>
          <w:tab w:val="left" w:leader="dot" w:pos="9072"/>
        </w:tabs>
        <w:spacing w:line="240" w:lineRule="atLeast"/>
        <w:jc w:val="center"/>
        <w:rPr>
          <w:rFonts w:cs="Arial"/>
          <w:i/>
          <w:iCs/>
          <w:szCs w:val="20"/>
          <w:lang w:val="bg-BG"/>
        </w:rPr>
      </w:pPr>
      <w:r w:rsidRPr="009072DA">
        <w:rPr>
          <w:i/>
          <w:lang w:val="bg-BG"/>
        </w:rPr>
        <w:t>Точност на показваната скорост на извършване на поворот</w:t>
      </w:r>
    </w:p>
    <w:p w:rsidR="009C13A9" w:rsidRPr="009072DA" w:rsidRDefault="009C13A9" w:rsidP="009C13A9">
      <w:pPr>
        <w:tabs>
          <w:tab w:val="left" w:leader="dot" w:pos="9072"/>
        </w:tabs>
        <w:spacing w:line="240" w:lineRule="atLeast"/>
        <w:jc w:val="center"/>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Показваната скорост на извършване на поворот не може да се отклонява с повече от 2 % от измеримата максимална стойност или с повече от 10 % от действителната стойност; според това коя е по-голяма (вж. допълнението).</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bg-BG"/>
        </w:rPr>
      </w:pPr>
      <w:r w:rsidRPr="009072DA">
        <w:rPr>
          <w:b/>
          <w:lang w:val="bg-BG"/>
        </w:rPr>
        <w:t>Член 3.05</w:t>
      </w:r>
    </w:p>
    <w:p w:rsidR="009C13A9" w:rsidRPr="009072DA" w:rsidRDefault="009C13A9" w:rsidP="009C13A9">
      <w:pPr>
        <w:tabs>
          <w:tab w:val="left" w:leader="dot" w:pos="9072"/>
        </w:tabs>
        <w:spacing w:line="240" w:lineRule="atLeast"/>
        <w:jc w:val="center"/>
        <w:rPr>
          <w:rFonts w:cs="Arial"/>
          <w:lang w:val="bg-BG"/>
        </w:rPr>
      </w:pPr>
      <w:r w:rsidRPr="009072DA">
        <w:rPr>
          <w:i/>
          <w:lang w:val="bg-BG"/>
        </w:rPr>
        <w:t>Чувствителност</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Работният праг следва да бъде по-нисък или равен на промяната в ъгловата скорост, еквивалентна на 1 % от показваната стойност.</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bg-BG"/>
        </w:rPr>
      </w:pPr>
      <w:r w:rsidRPr="009072DA">
        <w:rPr>
          <w:b/>
          <w:lang w:val="bg-BG"/>
        </w:rPr>
        <w:t>Член 3.06</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r w:rsidRPr="009072DA">
        <w:rPr>
          <w:i/>
          <w:lang w:val="bg-BG"/>
        </w:rPr>
        <w:t>Следене на работата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Ако индикаторът на ъгловата скорост на поворот не работи в изисквания обхват на точност, това трябва да бъде посочено.</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Ако се използва жироскоп, всеки критичен спад в ъгловата скорост на жироскопа се сигнализира от индикатор. Критичен спад в ъгловата скорост на жироскопа е налице, когато точността спадне с 10 %.</w:t>
      </w: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bg-BG"/>
        </w:rPr>
      </w:pPr>
      <w:r w:rsidRPr="009072DA">
        <w:rPr>
          <w:b/>
          <w:lang w:val="bg-BG"/>
        </w:rPr>
        <w:t>Член 3.07</w:t>
      </w:r>
    </w:p>
    <w:p w:rsidR="009C13A9" w:rsidRPr="009072DA" w:rsidRDefault="009C13A9" w:rsidP="00C50DA9">
      <w:pPr>
        <w:tabs>
          <w:tab w:val="left" w:pos="284"/>
          <w:tab w:val="left" w:pos="454"/>
          <w:tab w:val="left" w:pos="680"/>
          <w:tab w:val="left" w:pos="1021"/>
        </w:tabs>
        <w:overflowPunct w:val="0"/>
        <w:adjustRightInd w:val="0"/>
        <w:jc w:val="center"/>
        <w:textAlignment w:val="baseline"/>
        <w:rPr>
          <w:rFonts w:cs="Arial"/>
          <w:i/>
          <w:iCs/>
          <w:szCs w:val="20"/>
          <w:lang w:val="bg-BG"/>
        </w:rPr>
      </w:pPr>
      <w:r w:rsidRPr="009072DA">
        <w:rPr>
          <w:i/>
          <w:lang w:val="bg-BG"/>
        </w:rPr>
        <w:t>Нечувствителност към нормалните движения на плавателния съд</w:t>
      </w:r>
    </w:p>
    <w:p w:rsidR="00C50DA9" w:rsidRPr="009072DA" w:rsidRDefault="00C50D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Напречното бордово клатене на плавателния съд до 10° при скорост на поворота от 4°/s не трябва да води до грешки при измерванията извън определените толеранси.</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Въздействия като тези, които могат да се получат при швартоване, не трябва да водят до грешки при измерванията извън определените толеранси.</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overflowPunct w:val="0"/>
        <w:adjustRightInd w:val="0"/>
        <w:jc w:val="center"/>
        <w:textAlignment w:val="baseline"/>
        <w:rPr>
          <w:rFonts w:cs="Arial"/>
          <w:b/>
          <w:bCs/>
          <w:szCs w:val="20"/>
          <w:lang w:val="bg-BG"/>
        </w:rPr>
      </w:pPr>
      <w:r w:rsidRPr="009072DA">
        <w:rPr>
          <w:b/>
          <w:lang w:val="bg-BG"/>
        </w:rPr>
        <w:t>Член 3.08</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r w:rsidRPr="009072DA">
        <w:rPr>
          <w:i/>
          <w:lang w:val="bg-BG"/>
        </w:rPr>
        <w:t>Нечувствителност към магнитни полета</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szCs w:val="20"/>
          <w:lang w:val="bg-BG"/>
        </w:rPr>
      </w:pPr>
      <w:r w:rsidRPr="009072DA">
        <w:rPr>
          <w:lang w:val="bg-BG"/>
        </w:rPr>
        <w:t>Индикаторът на ъгловата скорост на поворот трябва да бъде нечувствителен към магнитните полета, които обичайно се наблюдават на борда на плавателния съд.</w:t>
      </w: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overflowPunct w:val="0"/>
        <w:adjustRightInd w:val="0"/>
        <w:jc w:val="center"/>
        <w:textAlignment w:val="baseline"/>
        <w:rPr>
          <w:rFonts w:cs="Arial"/>
          <w:b/>
          <w:bCs/>
          <w:szCs w:val="20"/>
          <w:lang w:val="bg-BG"/>
        </w:rPr>
      </w:pPr>
      <w:r w:rsidRPr="009072DA">
        <w:rPr>
          <w:b/>
          <w:lang w:val="bg-BG"/>
        </w:rPr>
        <w:t>Член 3.09</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i/>
          <w:iCs/>
          <w:szCs w:val="20"/>
          <w:lang w:val="bg-BG"/>
        </w:rPr>
      </w:pPr>
      <w:r w:rsidRPr="009072DA">
        <w:rPr>
          <w:i/>
          <w:lang w:val="bg-BG"/>
        </w:rPr>
        <w:t>Спомагателни индикатори</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Спомагателните индикатори трябва да отговарят на всички изисквания, приложими към индикаторите на ъгловата скорост на поворот</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right" w:pos="9072"/>
        </w:tabs>
        <w:overflowPunct w:val="0"/>
        <w:adjustRightInd w:val="0"/>
        <w:spacing w:line="240" w:lineRule="atLeast"/>
        <w:textAlignment w:val="baseline"/>
        <w:rPr>
          <w:rFonts w:cs="Arial"/>
          <w:szCs w:val="20"/>
          <w:lang w:val="bg-BG"/>
        </w:rPr>
      </w:pPr>
      <w:r w:rsidRPr="009072DA">
        <w:rPr>
          <w:lang w:val="bg-BG"/>
        </w:rPr>
        <w:br w:type="page"/>
      </w:r>
    </w:p>
    <w:p w:rsidR="009C13A9" w:rsidRPr="009072DA" w:rsidRDefault="009C13A9" w:rsidP="009C13A9">
      <w:pPr>
        <w:tabs>
          <w:tab w:val="left" w:pos="284"/>
          <w:tab w:val="left" w:pos="454"/>
          <w:tab w:val="left" w:pos="680"/>
          <w:tab w:val="left" w:pos="1021"/>
        </w:tabs>
        <w:overflowPunct w:val="0"/>
        <w:adjustRightInd w:val="0"/>
        <w:spacing w:line="240" w:lineRule="atLeast"/>
        <w:jc w:val="center"/>
        <w:textAlignment w:val="baseline"/>
        <w:rPr>
          <w:rFonts w:cs="Arial"/>
          <w:b/>
          <w:bCs/>
          <w:szCs w:val="20"/>
          <w:lang w:val="bg-BG"/>
        </w:rPr>
      </w:pPr>
      <w:r w:rsidRPr="009072DA">
        <w:rPr>
          <w:b/>
          <w:lang w:val="bg-BG"/>
        </w:rPr>
        <w:lastRenderedPageBreak/>
        <w:t>Глава 4</w:t>
      </w:r>
    </w:p>
    <w:p w:rsidR="009C13A9" w:rsidRPr="009072DA" w:rsidRDefault="009C13A9" w:rsidP="009C13A9">
      <w:pPr>
        <w:tabs>
          <w:tab w:val="left" w:pos="284"/>
          <w:tab w:val="left" w:pos="454"/>
          <w:tab w:val="left" w:pos="680"/>
          <w:tab w:val="left" w:pos="1021"/>
        </w:tabs>
        <w:overflowPunct w:val="0"/>
        <w:adjustRightInd w:val="0"/>
        <w:spacing w:line="240" w:lineRule="atLeast"/>
        <w:jc w:val="center"/>
        <w:textAlignment w:val="baseline"/>
        <w:rPr>
          <w:rFonts w:cs="Arial"/>
          <w:szCs w:val="20"/>
          <w:lang w:val="bg-BG"/>
        </w:rPr>
      </w:pPr>
      <w:r w:rsidRPr="009072DA">
        <w:rPr>
          <w:b/>
          <w:lang w:val="bg-BG"/>
        </w:rPr>
        <w:t>Минимални технически изисквания за индикатори на ъгловата скорост на поворот</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bg-BG"/>
        </w:rPr>
      </w:pP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bg-BG"/>
        </w:rPr>
      </w:pPr>
      <w:r w:rsidRPr="009072DA">
        <w:rPr>
          <w:b/>
          <w:lang w:val="bg-BG"/>
        </w:rPr>
        <w:t>Член 4.01</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i/>
          <w:iCs/>
          <w:szCs w:val="20"/>
          <w:lang w:val="bg-BG"/>
        </w:rPr>
      </w:pPr>
      <w:r w:rsidRPr="009072DA">
        <w:rPr>
          <w:i/>
          <w:lang w:val="bg-BG"/>
        </w:rPr>
        <w:t>Експлоатация</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p>
    <w:p w:rsidR="009C13A9" w:rsidRPr="009072DA" w:rsidRDefault="009C13A9" w:rsidP="009C13A9">
      <w:pPr>
        <w:rPr>
          <w:lang w:val="bg-BG"/>
        </w:rPr>
      </w:pPr>
      <w:r w:rsidRPr="009072DA">
        <w:rPr>
          <w:lang w:val="bg-BG"/>
        </w:rPr>
        <w:t>1.</w:t>
      </w:r>
      <w:r w:rsidRPr="009072DA">
        <w:rPr>
          <w:lang w:val="bg-BG"/>
        </w:rPr>
        <w:tab/>
        <w:t>Всички устройства за управление следва да бъдат разположени така, че при използването им никоя информация да не остава извън полезрението и плаването с радиолокатор да не бъде затруднявано.</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Всички устройства за управление и индикатори трябва да са оборудвани с незаслепяващ източник на светлина, съобразен с околните условия на осветление и пригоден за намаляване до нула посредством независимо устройство за управление.</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3.</w:t>
      </w:r>
      <w:r w:rsidRPr="009072DA">
        <w:rPr>
          <w:lang w:val="bg-BG"/>
        </w:rPr>
        <w:tab/>
      </w:r>
      <w:r w:rsidRPr="009072DA">
        <w:rPr>
          <w:color w:val="000000"/>
          <w:lang w:val="bg-BG"/>
        </w:rPr>
        <w:t>Настройката на устройствата за управление трябва да е такава, че движението надясно или нагоре да има положителен ефект върху променливата, а движенията наляво и надолу да имат отрицателен ефект.</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4.</w:t>
      </w:r>
      <w:r w:rsidRPr="009072DA">
        <w:rPr>
          <w:lang w:val="bg-BG"/>
        </w:rPr>
        <w:tab/>
      </w:r>
      <w:r w:rsidRPr="009072DA">
        <w:rPr>
          <w:color w:val="000000"/>
          <w:lang w:val="bg-BG"/>
        </w:rPr>
        <w:t>Ако се използват бутони, те трябва да могат да бъдат откривани и задействани чрез допир. Те трябва да имат също така ясно осезаемо прекъсване на контакта. При наличие на многофункционални бутони трябва да бъде очевидно кое йерархично равнище е активно.</w:t>
      </w: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overflowPunct w:val="0"/>
        <w:adjustRightInd w:val="0"/>
        <w:jc w:val="center"/>
        <w:textAlignment w:val="baseline"/>
        <w:rPr>
          <w:rFonts w:cs="Arial"/>
          <w:b/>
          <w:bCs/>
          <w:szCs w:val="20"/>
          <w:lang w:val="bg-BG"/>
        </w:rPr>
      </w:pPr>
      <w:r w:rsidRPr="009072DA">
        <w:rPr>
          <w:b/>
          <w:lang w:val="bg-BG"/>
        </w:rPr>
        <w:t>Член 4.02</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r w:rsidRPr="009072DA">
        <w:rPr>
          <w:i/>
          <w:lang w:val="bg-BG"/>
        </w:rPr>
        <w:t>Демпфериращи устройства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Сензорната система трябва да бъде защитена с демпфериращи устройства срещу критични стойности. Коефициентът на затихване (63 % от пределната стойност) не трябва да превишава 0,4 s.</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Индикаторът трябва да бъде защитен с демпфериращи устройства срещу критични стойности.</w:t>
      </w:r>
    </w:p>
    <w:p w:rsidR="009C13A9" w:rsidRPr="009072DA" w:rsidRDefault="009C13A9" w:rsidP="009C13A9">
      <w:pPr>
        <w:spacing w:line="240" w:lineRule="atLeast"/>
        <w:ind w:left="426"/>
        <w:rPr>
          <w:lang w:val="bg-BG"/>
        </w:rPr>
      </w:pPr>
      <w:r w:rsidRPr="009072DA">
        <w:rPr>
          <w:lang w:val="bg-BG"/>
        </w:rPr>
        <w:lastRenderedPageBreak/>
        <w:t>Допускат се уреди за управление за засилване на демпферирането.</w:t>
      </w:r>
    </w:p>
    <w:p w:rsidR="009C13A9" w:rsidRPr="009072DA" w:rsidRDefault="009C13A9" w:rsidP="009C13A9">
      <w:pPr>
        <w:spacing w:line="240" w:lineRule="atLeast"/>
        <w:ind w:left="426"/>
        <w:rPr>
          <w:lang w:val="bg-BG"/>
        </w:rPr>
      </w:pPr>
      <w:r w:rsidRPr="009072DA">
        <w:rPr>
          <w:lang w:val="bg-BG"/>
        </w:rPr>
        <w:t>Коефициентът на затихване при никакви обстоятелства не трябва да превишава 5 s.</w:t>
      </w:r>
    </w:p>
    <w:p w:rsidR="009C13A9" w:rsidRPr="009072DA" w:rsidRDefault="009C13A9" w:rsidP="009C13A9">
      <w:pPr>
        <w:tabs>
          <w:tab w:val="left" w:pos="425"/>
        </w:tabs>
        <w:overflowPunct w:val="0"/>
        <w:adjustRightInd w:val="0"/>
        <w:spacing w:line="240" w:lineRule="atLeast"/>
        <w:textAlignment w:val="baseline"/>
        <w:rPr>
          <w:rFonts w:cs="Arial"/>
          <w:szCs w:val="20"/>
          <w:lang w:val="bg-BG"/>
        </w:rPr>
      </w:pPr>
    </w:p>
    <w:p w:rsidR="009C13A9" w:rsidRPr="009072DA" w:rsidRDefault="009C13A9" w:rsidP="009C13A9">
      <w:pPr>
        <w:tabs>
          <w:tab w:val="right" w:pos="9072"/>
        </w:tabs>
        <w:overflowPunct w:val="0"/>
        <w:adjustRightInd w:val="0"/>
        <w:spacing w:line="240" w:lineRule="atLeast"/>
        <w:textAlignment w:val="baseline"/>
        <w:rPr>
          <w:rFonts w:cs="Arial"/>
          <w:szCs w:val="20"/>
          <w:lang w:val="bg-BG"/>
        </w:rPr>
      </w:pPr>
    </w:p>
    <w:p w:rsidR="009C13A9" w:rsidRPr="009072DA" w:rsidRDefault="009C13A9" w:rsidP="009C13A9">
      <w:pPr>
        <w:overflowPunct w:val="0"/>
        <w:adjustRightInd w:val="0"/>
        <w:jc w:val="center"/>
        <w:textAlignment w:val="baseline"/>
        <w:rPr>
          <w:rFonts w:cs="Arial"/>
          <w:b/>
          <w:bCs/>
          <w:szCs w:val="20"/>
          <w:lang w:val="bg-BG"/>
        </w:rPr>
      </w:pPr>
      <w:r w:rsidRPr="009072DA">
        <w:rPr>
          <w:b/>
          <w:lang w:val="bg-BG"/>
        </w:rPr>
        <w:t>Член 4.03</w:t>
      </w:r>
    </w:p>
    <w:p w:rsidR="009C13A9" w:rsidRPr="009072DA" w:rsidRDefault="009C13A9" w:rsidP="009C13A9">
      <w:pPr>
        <w:tabs>
          <w:tab w:val="left" w:pos="284"/>
          <w:tab w:val="left" w:pos="454"/>
          <w:tab w:val="left" w:pos="680"/>
          <w:tab w:val="left" w:pos="1021"/>
        </w:tabs>
        <w:overflowPunct w:val="0"/>
        <w:adjustRightInd w:val="0"/>
        <w:jc w:val="center"/>
        <w:textAlignment w:val="baseline"/>
        <w:rPr>
          <w:i/>
          <w:lang w:val="bg-BG"/>
        </w:rPr>
      </w:pPr>
      <w:r w:rsidRPr="009072DA">
        <w:rPr>
          <w:i/>
          <w:lang w:val="bg-BG"/>
        </w:rPr>
        <w:t>Свързване на допълнително оборудване</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p>
    <w:p w:rsidR="009C13A9" w:rsidRPr="009072DA" w:rsidRDefault="009C13A9" w:rsidP="009C13A9">
      <w:pPr>
        <w:spacing w:line="240" w:lineRule="atLeast"/>
        <w:rPr>
          <w:rFonts w:cs="Arial"/>
          <w:color w:val="000000"/>
          <w:lang w:val="bg-BG"/>
        </w:rPr>
      </w:pPr>
      <w:r w:rsidRPr="009072DA">
        <w:rPr>
          <w:color w:val="000000"/>
          <w:lang w:val="bg-BG"/>
        </w:rPr>
        <w:t xml:space="preserve">1. </w:t>
      </w:r>
      <w:r w:rsidRPr="009072DA">
        <w:rPr>
          <w:lang w:val="bg-BG"/>
        </w:rPr>
        <w:tab/>
      </w:r>
      <w:r w:rsidRPr="009072DA">
        <w:rPr>
          <w:color w:val="000000"/>
          <w:lang w:val="bg-BG"/>
        </w:rPr>
        <w:t>Ако индикаторът на ъгловата скорост на поворот може да бъде свързан със спомагателни индикатори или подобно оборудване, показването на промяната на ъгловата скорост на поворот трябва да остава използваемо като аналогов електрически сигнал.  Индикаторът на ъгловата скорост на поворот може освен това да притежава цифров интерфейс в съответствие с точка 2.</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ind w:left="426"/>
        <w:rPr>
          <w:lang w:val="bg-BG"/>
        </w:rPr>
      </w:pPr>
      <w:r w:rsidRPr="009072DA">
        <w:rPr>
          <w:lang w:val="bg-BG"/>
        </w:rPr>
        <w:t xml:space="preserve">Скоростта на извършване на поворот трябва да продължава да бъде показвана при галванично разделяне спрямо земя и еквивалент на аналогово напрежение 20 mV/°/min ± 5 % и максимално вътрешно съпротивление 100 </w:t>
      </w:r>
      <w:r w:rsidRPr="009072DA">
        <w:rPr>
          <w:rFonts w:eastAsia="TimesNewRoman"/>
          <w:szCs w:val="20"/>
          <w:lang w:val="bg-BG"/>
        </w:rPr>
        <w:sym w:font="Symbol" w:char="F057"/>
      </w:r>
      <w:r w:rsidRPr="009072DA">
        <w:rPr>
          <w:lang w:val="bg-BG"/>
        </w:rPr>
        <w:t>.</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Полярността трябва да е положителна, когато плавателният съд завива дясно на борд, и отрицателна, когато той завива ляво на борд.</w:t>
      </w:r>
    </w:p>
    <w:p w:rsidR="009C13A9" w:rsidRPr="009072DA" w:rsidRDefault="009C13A9" w:rsidP="009C13A9">
      <w:pPr>
        <w:tabs>
          <w:tab w:val="left" w:pos="425"/>
        </w:tabs>
        <w:overflowPunct w:val="0"/>
        <w:adjustRightInd w:val="0"/>
        <w:spacing w:line="240" w:lineRule="atLeast"/>
        <w:ind w:firstLine="1"/>
        <w:textAlignment w:val="baseline"/>
        <w:rPr>
          <w:rFonts w:cs="Arial"/>
          <w:szCs w:val="20"/>
          <w:lang w:val="bg-BG"/>
        </w:rPr>
      </w:pPr>
      <w:r w:rsidRPr="009072DA">
        <w:rPr>
          <w:lang w:val="bg-BG"/>
        </w:rPr>
        <w:br w:type="page"/>
      </w:r>
    </w:p>
    <w:p w:rsidR="009C13A9" w:rsidRPr="009072DA" w:rsidRDefault="009C13A9" w:rsidP="009C13A9">
      <w:pPr>
        <w:spacing w:line="240" w:lineRule="atLeast"/>
        <w:ind w:left="426"/>
        <w:rPr>
          <w:lang w:val="bg-BG"/>
        </w:rPr>
      </w:pPr>
      <w:r w:rsidRPr="009072DA">
        <w:rPr>
          <w:lang w:val="bg-BG"/>
        </w:rPr>
        <w:lastRenderedPageBreak/>
        <w:t>Работният праг не трябва да превишава 0,3°/min.</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Нулевата грешка не трябва да превишава 1°/min при температури от 0 до 40° С.</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Когато индикаторът е включен, а датчикът не е изложен на влиянието на движението, паразитното напрежение в изходящия сигнал, измерено с нискочестотен филтър с лента на пропускане 10 Hz, не трябва да превишава 10 mV.</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Сигналът на ъгловата скорост на поворот трябва да се получава без допълнително успокояване извън границите, посочени в член 4.02, точка 1.</w:t>
      </w:r>
    </w:p>
    <w:p w:rsidR="009C13A9" w:rsidRPr="009072DA" w:rsidRDefault="009C13A9" w:rsidP="009C13A9">
      <w:pPr>
        <w:tabs>
          <w:tab w:val="left" w:pos="425"/>
        </w:tabs>
        <w:overflowPunct w:val="0"/>
        <w:adjustRightInd w:val="0"/>
        <w:spacing w:line="240" w:lineRule="atLeast"/>
        <w:textAlignment w:val="baseline"/>
        <w:rPr>
          <w:rFonts w:cs="Arial"/>
          <w:szCs w:val="2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Цифров интерфейс трябва да бъде проектиран в съответствие с европейски стандарти EN 61162</w:t>
      </w:r>
      <w:r w:rsidRPr="009072DA">
        <w:rPr>
          <w:lang w:val="bg-BG"/>
        </w:rPr>
        <w:softHyphen/>
      </w:r>
      <w:r w:rsidRPr="009072DA">
        <w:rPr>
          <w:color w:val="000000"/>
          <w:lang w:val="bg-BG"/>
        </w:rPr>
        <w:t>1: 2011, EN 61162-2 : 1998 и EN 61162-3 : 2014.</w:t>
      </w:r>
    </w:p>
    <w:p w:rsidR="009C13A9" w:rsidRPr="009072DA" w:rsidRDefault="009C13A9" w:rsidP="009C13A9">
      <w:pPr>
        <w:spacing w:line="240" w:lineRule="atLeast"/>
        <w:rPr>
          <w:rFonts w:cs="Arial"/>
          <w:color w:val="000000"/>
          <w:szCs w:val="20"/>
          <w:lang w:val="bg-BG"/>
        </w:rPr>
      </w:pPr>
    </w:p>
    <w:p w:rsidR="009C13A9" w:rsidRPr="009072DA" w:rsidRDefault="009C13A9" w:rsidP="009C13A9">
      <w:pPr>
        <w:spacing w:line="240" w:lineRule="atLeast"/>
        <w:rPr>
          <w:rFonts w:cs="Arial"/>
          <w:color w:val="000000"/>
          <w:lang w:val="bg-BG"/>
        </w:rPr>
      </w:pPr>
      <w:r w:rsidRPr="009072DA">
        <w:rPr>
          <w:color w:val="000000"/>
          <w:lang w:val="bg-BG"/>
        </w:rPr>
        <w:t>3.</w:t>
      </w:r>
      <w:r w:rsidRPr="009072DA">
        <w:rPr>
          <w:lang w:val="bg-BG"/>
        </w:rPr>
        <w:tab/>
      </w:r>
      <w:r w:rsidRPr="009072DA">
        <w:rPr>
          <w:color w:val="000000"/>
          <w:lang w:val="bg-BG"/>
        </w:rPr>
        <w:t>Трябва да има външен превключвател за подаване на алармен сигнал.  Превключвателят се инсталира като галванично изолиран изключвател за индикатора.</w:t>
      </w:r>
    </w:p>
    <w:p w:rsidR="008761B8" w:rsidRPr="009072DA" w:rsidRDefault="008761B8"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Външният алармен сигнал се включва при затваряне на контакта в един от следните случаи:</w:t>
      </w:r>
    </w:p>
    <w:p w:rsidR="009C13A9" w:rsidRPr="009072DA" w:rsidRDefault="009C13A9" w:rsidP="009C13A9">
      <w:pPr>
        <w:spacing w:before="60" w:line="240" w:lineRule="atLeast"/>
        <w:ind w:left="851"/>
        <w:rPr>
          <w:rFonts w:cs="Arial"/>
          <w:lang w:val="bg-BG"/>
        </w:rPr>
      </w:pPr>
      <w:r w:rsidRPr="009072DA">
        <w:rPr>
          <w:lang w:val="bg-BG"/>
        </w:rPr>
        <w:t>a)</w:t>
      </w:r>
      <w:r w:rsidRPr="009072DA">
        <w:rPr>
          <w:lang w:val="bg-BG"/>
        </w:rPr>
        <w:tab/>
        <w:t>ако индикаторът на ъгловата скорост на поворот бъде изключен; или</w:t>
      </w:r>
    </w:p>
    <w:p w:rsidR="009C13A9" w:rsidRPr="009072DA" w:rsidRDefault="009C13A9" w:rsidP="009C13A9">
      <w:pPr>
        <w:spacing w:before="60" w:line="240" w:lineRule="atLeast"/>
        <w:ind w:left="851"/>
        <w:rPr>
          <w:rFonts w:cs="Arial"/>
          <w:lang w:val="bg-BG"/>
        </w:rPr>
      </w:pPr>
      <w:r w:rsidRPr="009072DA">
        <w:rPr>
          <w:lang w:val="bg-BG"/>
        </w:rPr>
        <w:t>б)</w:t>
      </w:r>
      <w:r w:rsidRPr="009072DA">
        <w:rPr>
          <w:lang w:val="bg-BG"/>
        </w:rPr>
        <w:tab/>
        <w:t>ако индикаторът на ъгловата скорост на поворот не работи; или</w:t>
      </w:r>
    </w:p>
    <w:p w:rsidR="009C13A9" w:rsidRPr="009072DA" w:rsidRDefault="009C13A9" w:rsidP="009C13A9">
      <w:pPr>
        <w:spacing w:before="60" w:line="240" w:lineRule="atLeast"/>
        <w:ind w:left="851"/>
        <w:rPr>
          <w:rFonts w:cs="Arial"/>
          <w:lang w:val="bg-BG"/>
        </w:rPr>
      </w:pPr>
      <w:r w:rsidRPr="009072DA">
        <w:rPr>
          <w:lang w:val="bg-BG"/>
        </w:rPr>
        <w:t>в)</w:t>
      </w:r>
      <w:r w:rsidRPr="009072DA">
        <w:rPr>
          <w:lang w:val="bg-BG"/>
        </w:rPr>
        <w:tab/>
        <w:t>ако уредът за управление е реагирал на прекомерна грешка (член 3.06).</w:t>
      </w:r>
    </w:p>
    <w:p w:rsidR="009C13A9" w:rsidRPr="009072DA" w:rsidRDefault="009C13A9" w:rsidP="009C13A9">
      <w:pPr>
        <w:tabs>
          <w:tab w:val="left" w:pos="425"/>
        </w:tabs>
        <w:overflowPunct w:val="0"/>
        <w:adjustRightInd w:val="0"/>
        <w:spacing w:line="240" w:lineRule="atLeast"/>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spacing w:line="240" w:lineRule="atLeast"/>
        <w:jc w:val="center"/>
        <w:textAlignment w:val="baseline"/>
        <w:rPr>
          <w:rFonts w:cs="Arial"/>
          <w:b/>
          <w:bCs/>
          <w:szCs w:val="20"/>
          <w:lang w:val="bg-BG"/>
        </w:rPr>
      </w:pPr>
      <w:r w:rsidRPr="009072DA">
        <w:rPr>
          <w:b/>
          <w:lang w:val="bg-BG"/>
        </w:rPr>
        <w:t>Глава 5</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r w:rsidRPr="009072DA">
        <w:rPr>
          <w:b/>
          <w:lang w:val="bg-BG"/>
        </w:rPr>
        <w:t>Условия и процедури на изпитване на индикаторите на ъгловата скорост на поворот</w:t>
      </w:r>
    </w:p>
    <w:p w:rsidR="009C13A9" w:rsidRPr="009072DA" w:rsidRDefault="009C13A9" w:rsidP="009C13A9">
      <w:pPr>
        <w:spacing w:line="240" w:lineRule="atLeast"/>
        <w:rPr>
          <w:rFonts w:cs="Arial"/>
          <w:color w:val="000000"/>
          <w:lang w:val="bg-BG"/>
        </w:rPr>
      </w:pP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bg-BG"/>
        </w:rPr>
      </w:pPr>
      <w:r w:rsidRPr="009072DA">
        <w:rPr>
          <w:b/>
          <w:lang w:val="bg-BG"/>
        </w:rPr>
        <w:t>Член 5.01</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r w:rsidRPr="009072DA">
        <w:rPr>
          <w:i/>
          <w:lang w:val="bg-BG"/>
        </w:rPr>
        <w:t>Безопасност, капацитет на натоварване и електромагнитна съвместимост</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 xml:space="preserve">Електрозахранването, безопасността, взаимните смущения на бордовото оборудване, разстоянието на безопасност от компаса, устойчивостта на климатични въздействия, </w:t>
      </w:r>
      <w:r w:rsidRPr="009072DA">
        <w:rPr>
          <w:lang w:val="bg-BG"/>
        </w:rPr>
        <w:lastRenderedPageBreak/>
        <w:t xml:space="preserve">механичната якост, отражението върху околната среда, излъчването на шум в звуковата област и електромагнитната съвместимост се изпитват в съответствие с европейски стандарт EN 60945: 2002. </w:t>
      </w: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overflowPunct w:val="0"/>
        <w:adjustRightInd w:val="0"/>
        <w:jc w:val="center"/>
        <w:textAlignment w:val="baseline"/>
        <w:rPr>
          <w:rFonts w:cs="Arial"/>
          <w:b/>
          <w:bCs/>
          <w:szCs w:val="20"/>
          <w:lang w:val="bg-BG"/>
        </w:rPr>
      </w:pPr>
      <w:r w:rsidRPr="009072DA">
        <w:rPr>
          <w:b/>
          <w:lang w:val="bg-BG"/>
        </w:rPr>
        <w:t>Член 5.02</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r w:rsidRPr="009072DA">
        <w:rPr>
          <w:i/>
          <w:lang w:val="bg-BG"/>
        </w:rPr>
        <w:t>Паразитни излъчвания</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 xml:space="preserve">Паразитните излъчвания се измерват в съответствие с европейски стандарт EN 60945 : 2002 в честотния диапазон от 30 до 2000 MHz. </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Изискванията на член 2.02, точка 2 трябва да бъдат изпълнени.</w:t>
      </w:r>
    </w:p>
    <w:p w:rsidR="009C13A9" w:rsidRPr="009072DA" w:rsidRDefault="009C13A9" w:rsidP="009C13A9">
      <w:pPr>
        <w:tabs>
          <w:tab w:val="left" w:pos="425"/>
        </w:tabs>
        <w:overflowPunct w:val="0"/>
        <w:adjustRightInd w:val="0"/>
        <w:spacing w:line="240" w:lineRule="atLeast"/>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textAlignment w:val="baseline"/>
        <w:rPr>
          <w:rFonts w:cs="Arial"/>
          <w:szCs w:val="20"/>
          <w:lang w:val="bg-BG"/>
        </w:rPr>
      </w:pP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bg-BG"/>
        </w:rPr>
      </w:pPr>
      <w:r w:rsidRPr="009072DA">
        <w:rPr>
          <w:b/>
          <w:lang w:val="bg-BG"/>
        </w:rPr>
        <w:t>Член 5.03</w:t>
      </w:r>
    </w:p>
    <w:p w:rsidR="009C13A9" w:rsidRPr="009072DA" w:rsidRDefault="009C13A9" w:rsidP="009C13A9">
      <w:pPr>
        <w:tabs>
          <w:tab w:val="left" w:pos="284"/>
          <w:tab w:val="left" w:pos="454"/>
          <w:tab w:val="left" w:pos="680"/>
          <w:tab w:val="left" w:pos="1021"/>
        </w:tabs>
        <w:overflowPunct w:val="0"/>
        <w:adjustRightInd w:val="0"/>
        <w:jc w:val="center"/>
        <w:textAlignment w:val="baseline"/>
        <w:rPr>
          <w:rFonts w:cs="Arial"/>
          <w:szCs w:val="20"/>
          <w:lang w:val="bg-BG"/>
        </w:rPr>
      </w:pPr>
      <w:r w:rsidRPr="009072DA">
        <w:rPr>
          <w:i/>
          <w:lang w:val="bg-BG"/>
        </w:rPr>
        <w:t>Процедура на изпитване</w:t>
      </w:r>
    </w:p>
    <w:p w:rsidR="009C13A9" w:rsidRPr="009072DA" w:rsidRDefault="009C13A9" w:rsidP="009C13A9">
      <w:pPr>
        <w:overflowPunct w:val="0"/>
        <w:adjustRightInd w:val="0"/>
        <w:ind w:left="426" w:hanging="426"/>
        <w:textAlignment w:val="baseline"/>
        <w:rPr>
          <w:rFonts w:cs="Arial"/>
          <w:szCs w:val="20"/>
          <w:lang w:val="bg-BG"/>
        </w:rPr>
      </w:pPr>
    </w:p>
    <w:p w:rsidR="009C13A9" w:rsidRPr="009072DA" w:rsidRDefault="009C13A9" w:rsidP="009C13A9">
      <w:pPr>
        <w:spacing w:line="240" w:lineRule="atLeast"/>
        <w:rPr>
          <w:rFonts w:cs="Arial"/>
          <w:color w:val="000000"/>
          <w:lang w:val="bg-BG"/>
        </w:rPr>
      </w:pPr>
      <w:r w:rsidRPr="009072DA">
        <w:rPr>
          <w:snapToGrid w:val="0"/>
          <w:color w:val="000000"/>
          <w:lang w:val="bg-BG"/>
        </w:rPr>
        <w:t>1.</w:t>
      </w:r>
      <w:r w:rsidRPr="009072DA">
        <w:rPr>
          <w:lang w:val="bg-BG"/>
        </w:rPr>
        <w:tab/>
      </w:r>
      <w:r w:rsidRPr="009072DA">
        <w:rPr>
          <w:color w:val="000000"/>
          <w:lang w:val="bg-BG"/>
        </w:rPr>
        <w:t>Индикаторите на ъгловата скорост на поворот се изпитват при номинални и гранични условия. В тази връзка влиянието на работното напрежение и на околната температура се изпитва до предписаната пределна стойност.</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Освен това с помощта на радиопредаватели трябва да се създават максимални магнитни полета в близост до индикаторите.</w:t>
      </w:r>
    </w:p>
    <w:p w:rsidR="009C13A9" w:rsidRPr="009072DA" w:rsidRDefault="009C13A9" w:rsidP="009C13A9">
      <w:pPr>
        <w:spacing w:line="240" w:lineRule="atLeast"/>
        <w:rPr>
          <w:rFonts w:cs="Arial"/>
          <w:color w:val="000000"/>
          <w:szCs w:val="20"/>
          <w:lang w:val="bg-BG"/>
        </w:rPr>
      </w:pPr>
    </w:p>
    <w:p w:rsidR="009C13A9" w:rsidRPr="009072DA" w:rsidRDefault="009C13A9" w:rsidP="009C13A9">
      <w:pPr>
        <w:overflowPunct w:val="0"/>
        <w:adjustRightInd w:val="0"/>
        <w:ind w:left="426" w:hanging="426"/>
        <w:textAlignment w:val="baseline"/>
        <w:rPr>
          <w:rFonts w:cs="Arial"/>
          <w:szCs w:val="20"/>
          <w:lang w:val="bg-BG"/>
        </w:rPr>
      </w:pPr>
      <w:r w:rsidRPr="009072DA">
        <w:rPr>
          <w:lang w:val="bg-BG"/>
        </w:rPr>
        <w:br w:type="page"/>
      </w:r>
    </w:p>
    <w:p w:rsidR="009C13A9" w:rsidRPr="009072DA" w:rsidRDefault="009C13A9" w:rsidP="009C13A9">
      <w:pPr>
        <w:spacing w:line="240" w:lineRule="atLeast"/>
        <w:rPr>
          <w:rFonts w:cs="Arial"/>
          <w:snapToGrid w:val="0"/>
          <w:color w:val="000000"/>
          <w:lang w:val="bg-BG"/>
        </w:rPr>
      </w:pPr>
      <w:r w:rsidRPr="009072DA">
        <w:rPr>
          <w:snapToGrid w:val="0"/>
          <w:color w:val="000000"/>
          <w:lang w:val="bg-BG"/>
        </w:rPr>
        <w:lastRenderedPageBreak/>
        <w:t>2.</w:t>
      </w:r>
      <w:r w:rsidRPr="009072DA">
        <w:rPr>
          <w:lang w:val="bg-BG"/>
        </w:rPr>
        <w:tab/>
      </w:r>
      <w:r w:rsidRPr="009072DA">
        <w:rPr>
          <w:color w:val="000000"/>
          <w:lang w:val="bg-BG"/>
        </w:rPr>
        <w:t>При условията, описани в точка 1, грешките на индикаторите трябва да остават в рамките на допустимите отклонения, посочени в допълнението.</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Всички минимални изисквания на глави 2—4 трябва да бъдат изпълнени.</w:t>
      </w:r>
    </w:p>
    <w:p w:rsidR="009C13A9" w:rsidRPr="009072DA" w:rsidRDefault="009C13A9" w:rsidP="009C13A9">
      <w:pPr>
        <w:spacing w:line="240" w:lineRule="atLeast"/>
        <w:ind w:left="426"/>
        <w:rPr>
          <w:lang w:val="bg-BG"/>
        </w:rPr>
      </w:pPr>
    </w:p>
    <w:p w:rsidR="009C13A9" w:rsidRPr="009072DA" w:rsidRDefault="009C13A9" w:rsidP="009C13A9">
      <w:pPr>
        <w:tabs>
          <w:tab w:val="right" w:pos="9072"/>
        </w:tabs>
        <w:overflowPunct w:val="0"/>
        <w:adjustRightInd w:val="0"/>
        <w:spacing w:line="240" w:lineRule="atLeast"/>
        <w:jc w:val="center"/>
        <w:textAlignment w:val="baseline"/>
        <w:rPr>
          <w:rFonts w:cs="Arial"/>
          <w:b/>
          <w:bCs/>
          <w:szCs w:val="20"/>
          <w:lang w:val="bg-BG"/>
        </w:rPr>
      </w:pPr>
      <w:r w:rsidRPr="009072DA">
        <w:rPr>
          <w:b/>
          <w:lang w:val="bg-BG"/>
        </w:rPr>
        <w:t>Допълнение</w:t>
      </w:r>
    </w:p>
    <w:p w:rsidR="009C13A9" w:rsidRPr="009072DA" w:rsidRDefault="009C13A9" w:rsidP="009C13A9">
      <w:pPr>
        <w:tabs>
          <w:tab w:val="decimal" w:pos="7056"/>
          <w:tab w:val="decimal" w:pos="9504"/>
        </w:tabs>
        <w:overflowPunct w:val="0"/>
        <w:adjustRightInd w:val="0"/>
        <w:jc w:val="center"/>
        <w:textAlignment w:val="baseline"/>
        <w:rPr>
          <w:rFonts w:cs="Arial"/>
          <w:b/>
          <w:bCs/>
          <w:szCs w:val="20"/>
          <w:lang w:val="bg-BG"/>
        </w:rPr>
      </w:pPr>
      <w:r w:rsidRPr="009072DA">
        <w:rPr>
          <w:b/>
          <w:lang w:val="bg-BG"/>
        </w:rPr>
        <w:t xml:space="preserve">Фигура 1: Максимални допустими отклонения за грешки </w:t>
      </w:r>
      <w:r w:rsidRPr="009072DA">
        <w:rPr>
          <w:rFonts w:cs="Arial"/>
          <w:b/>
          <w:bCs/>
          <w:szCs w:val="20"/>
          <w:lang w:val="bg-BG"/>
        </w:rPr>
        <w:br/>
      </w:r>
      <w:r w:rsidRPr="009072DA">
        <w:rPr>
          <w:b/>
          <w:lang w:val="bg-BG"/>
        </w:rPr>
        <w:t>при индикаторите на ъгловата скорост на поворот</w:t>
      </w:r>
    </w:p>
    <w:p w:rsidR="009C13A9" w:rsidRPr="009072DA" w:rsidRDefault="009C13A9" w:rsidP="009C13A9">
      <w:pPr>
        <w:tabs>
          <w:tab w:val="decimal" w:pos="7056"/>
          <w:tab w:val="decimal" w:pos="9504"/>
        </w:tabs>
        <w:overflowPunct w:val="0"/>
        <w:adjustRightInd w:val="0"/>
        <w:jc w:val="center"/>
        <w:textAlignment w:val="baseline"/>
        <w:rPr>
          <w:rFonts w:cs="Arial"/>
          <w:b/>
          <w:bCs/>
          <w:szCs w:val="20"/>
          <w:lang w:val="bg-BG"/>
        </w:rPr>
      </w:pPr>
    </w:p>
    <w:p w:rsidR="009C13A9" w:rsidRPr="009072DA" w:rsidRDefault="00014931" w:rsidP="009C13A9">
      <w:pPr>
        <w:tabs>
          <w:tab w:val="decimal" w:pos="7056"/>
          <w:tab w:val="decimal" w:pos="9504"/>
        </w:tabs>
        <w:overflowPunct w:val="0"/>
        <w:adjustRightInd w:val="0"/>
        <w:jc w:val="center"/>
        <w:textAlignment w:val="baseline"/>
        <w:rPr>
          <w:rFonts w:cs="Arial"/>
          <w:b/>
          <w:bCs/>
          <w:szCs w:val="20"/>
          <w:lang w:val="bg-BG"/>
        </w:rPr>
      </w:pPr>
      <w:r w:rsidRPr="009072DA">
        <w:rPr>
          <w:noProof/>
          <w:lang w:eastAsia="en-GB"/>
        </w:rPr>
        <w:lastRenderedPageBreak/>
        <w:drawing>
          <wp:inline distT="0" distB="0" distL="0" distR="0" wp14:anchorId="2B862C45" wp14:editId="555D1D05">
            <wp:extent cx="5038725" cy="7334250"/>
            <wp:effectExtent l="0" t="0" r="9525"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038725" cy="7334250"/>
                    </a:xfrm>
                    <a:prstGeom prst="rect">
                      <a:avLst/>
                    </a:prstGeom>
                    <a:noFill/>
                    <a:ln>
                      <a:noFill/>
                    </a:ln>
                  </pic:spPr>
                </pic:pic>
              </a:graphicData>
            </a:graphic>
          </wp:inline>
        </w:drawing>
      </w:r>
    </w:p>
    <w:p w:rsidR="009C13A9" w:rsidRPr="009072DA" w:rsidRDefault="009C13A9" w:rsidP="009C13A9">
      <w:pPr>
        <w:tabs>
          <w:tab w:val="decimal" w:pos="7056"/>
          <w:tab w:val="decimal" w:pos="9504"/>
        </w:tabs>
        <w:overflowPunct w:val="0"/>
        <w:adjustRightInd w:val="0"/>
        <w:jc w:val="center"/>
        <w:textAlignment w:val="baseline"/>
        <w:rPr>
          <w:rFonts w:cs="Arial"/>
          <w:b/>
          <w:bCs/>
          <w:szCs w:val="20"/>
          <w:lang w:val="bg-BG"/>
        </w:rPr>
      </w:pPr>
    </w:p>
    <w:p w:rsidR="009C13A9" w:rsidRPr="009072DA" w:rsidRDefault="009C13A9" w:rsidP="009C13A9">
      <w:pPr>
        <w:tabs>
          <w:tab w:val="decimal" w:pos="7056"/>
          <w:tab w:val="decimal" w:pos="9504"/>
        </w:tabs>
        <w:overflowPunct w:val="0"/>
        <w:adjustRightInd w:val="0"/>
        <w:jc w:val="center"/>
        <w:textAlignment w:val="baseline"/>
        <w:rPr>
          <w:rFonts w:cs="Arial"/>
          <w:b/>
          <w:bCs/>
          <w:szCs w:val="20"/>
          <w:lang w:val="bg-BG"/>
        </w:rPr>
      </w:pPr>
    </w:p>
    <w:p w:rsidR="009C13A9" w:rsidRPr="009072DA" w:rsidRDefault="009C13A9" w:rsidP="009C13A9">
      <w:pPr>
        <w:tabs>
          <w:tab w:val="decimal" w:pos="7056"/>
          <w:tab w:val="decimal" w:pos="9504"/>
        </w:tabs>
        <w:overflowPunct w:val="0"/>
        <w:adjustRightInd w:val="0"/>
        <w:jc w:val="center"/>
        <w:textAlignment w:val="baseline"/>
        <w:rPr>
          <w:rFonts w:cs="Arial"/>
          <w:b/>
          <w:bCs/>
          <w:szCs w:val="20"/>
          <w:lang w:val="bg-BG"/>
        </w:rPr>
      </w:pPr>
    </w:p>
    <w:p w:rsidR="009C13A9" w:rsidRPr="009072DA" w:rsidRDefault="009C13A9" w:rsidP="009C13A9">
      <w:pPr>
        <w:tabs>
          <w:tab w:val="decimal" w:pos="7056"/>
          <w:tab w:val="decimal" w:pos="9504"/>
        </w:tabs>
        <w:overflowPunct w:val="0"/>
        <w:adjustRightInd w:val="0"/>
        <w:jc w:val="center"/>
        <w:textAlignment w:val="baseline"/>
        <w:rPr>
          <w:rFonts w:cs="Arial"/>
          <w:b/>
          <w:bCs/>
          <w:szCs w:val="20"/>
          <w:lang w:val="bg-BG"/>
        </w:rPr>
      </w:pPr>
    </w:p>
    <w:p w:rsidR="009C13A9" w:rsidRPr="009072DA" w:rsidRDefault="009C13A9" w:rsidP="009C13A9">
      <w:pPr>
        <w:tabs>
          <w:tab w:val="decimal" w:pos="7056"/>
          <w:tab w:val="decimal" w:pos="9504"/>
        </w:tabs>
        <w:overflowPunct w:val="0"/>
        <w:adjustRightInd w:val="0"/>
        <w:jc w:val="center"/>
        <w:textAlignment w:val="baseline"/>
        <w:rPr>
          <w:rFonts w:cs="Arial"/>
          <w:b/>
          <w:bCs/>
          <w:szCs w:val="20"/>
          <w:lang w:val="bg-BG"/>
        </w:rPr>
      </w:pPr>
    </w:p>
    <w:p w:rsidR="009C13A9" w:rsidRPr="009072DA" w:rsidRDefault="009C13A9" w:rsidP="009C13A9">
      <w:pPr>
        <w:tabs>
          <w:tab w:val="decimal" w:pos="7056"/>
          <w:tab w:val="decimal" w:pos="9504"/>
        </w:tabs>
        <w:overflowPunct w:val="0"/>
        <w:adjustRightInd w:val="0"/>
        <w:jc w:val="center"/>
        <w:textAlignment w:val="baseline"/>
        <w:rPr>
          <w:rFonts w:cs="Arial"/>
          <w:b/>
          <w:bCs/>
          <w:szCs w:val="20"/>
          <w:lang w:val="bg-BG"/>
        </w:rPr>
      </w:pPr>
    </w:p>
    <w:p w:rsidR="009C13A9" w:rsidRPr="009072DA" w:rsidRDefault="009C13A9" w:rsidP="009C13A9">
      <w:pPr>
        <w:tabs>
          <w:tab w:val="decimal" w:pos="7056"/>
          <w:tab w:val="decimal" w:pos="9504"/>
        </w:tabs>
        <w:overflowPunct w:val="0"/>
        <w:adjustRightInd w:val="0"/>
        <w:jc w:val="center"/>
        <w:textAlignment w:val="baseline"/>
        <w:rPr>
          <w:rFonts w:cs="Arial"/>
          <w:b/>
          <w:bCs/>
          <w:szCs w:val="20"/>
          <w:lang w:val="bg-BG"/>
        </w:rPr>
      </w:pPr>
    </w:p>
    <w:p w:rsidR="009C13A9" w:rsidRPr="009072DA" w:rsidRDefault="009C13A9" w:rsidP="009C13A9">
      <w:pPr>
        <w:tabs>
          <w:tab w:val="decimal" w:pos="7056"/>
          <w:tab w:val="decimal" w:pos="9504"/>
        </w:tabs>
        <w:overflowPunct w:val="0"/>
        <w:adjustRightInd w:val="0"/>
        <w:jc w:val="center"/>
        <w:textAlignment w:val="baseline"/>
        <w:rPr>
          <w:rFonts w:cs="Arial"/>
          <w:b/>
          <w:bCs/>
          <w:szCs w:val="20"/>
          <w:lang w:val="bg-BG"/>
        </w:rPr>
      </w:pPr>
    </w:p>
    <w:p w:rsidR="009C13A9" w:rsidRPr="009072DA" w:rsidRDefault="009C13A9" w:rsidP="009C13A9">
      <w:pPr>
        <w:tabs>
          <w:tab w:val="decimal" w:pos="7056"/>
          <w:tab w:val="decimal" w:pos="9504"/>
        </w:tabs>
        <w:overflowPunct w:val="0"/>
        <w:adjustRightInd w:val="0"/>
        <w:jc w:val="center"/>
        <w:textAlignment w:val="baseline"/>
        <w:rPr>
          <w:rFonts w:cs="Arial"/>
          <w:b/>
          <w:bCs/>
          <w:szCs w:val="20"/>
          <w:lang w:val="bg-BG"/>
        </w:rPr>
      </w:pPr>
    </w:p>
    <w:p w:rsidR="009C13A9" w:rsidRPr="009072DA" w:rsidRDefault="009C13A9" w:rsidP="009C13A9">
      <w:pPr>
        <w:tabs>
          <w:tab w:val="decimal" w:pos="7056"/>
          <w:tab w:val="decimal" w:pos="9504"/>
        </w:tabs>
        <w:overflowPunct w:val="0"/>
        <w:adjustRightInd w:val="0"/>
        <w:jc w:val="center"/>
        <w:textAlignment w:val="baseline"/>
        <w:rPr>
          <w:rFonts w:cs="Arial"/>
          <w:b/>
          <w:bCs/>
          <w:szCs w:val="20"/>
          <w:lang w:val="bg-BG"/>
        </w:rPr>
      </w:pPr>
    </w:p>
    <w:p w:rsidR="009C13A9" w:rsidRPr="009072DA" w:rsidRDefault="009C13A9" w:rsidP="009C13A9">
      <w:pPr>
        <w:tabs>
          <w:tab w:val="decimal" w:pos="7056"/>
          <w:tab w:val="decimal" w:pos="9504"/>
        </w:tabs>
        <w:overflowPunct w:val="0"/>
        <w:adjustRightInd w:val="0"/>
        <w:jc w:val="center"/>
        <w:textAlignment w:val="baseline"/>
        <w:rPr>
          <w:rFonts w:cs="Arial"/>
          <w:b/>
          <w:bCs/>
          <w:szCs w:val="20"/>
          <w:lang w:val="bg-BG"/>
        </w:rPr>
      </w:pPr>
    </w:p>
    <w:p w:rsidR="009C13A9" w:rsidRPr="009072DA" w:rsidRDefault="009C13A9" w:rsidP="009C13A9">
      <w:pPr>
        <w:tabs>
          <w:tab w:val="decimal" w:pos="7056"/>
          <w:tab w:val="decimal" w:pos="9504"/>
        </w:tabs>
        <w:overflowPunct w:val="0"/>
        <w:adjustRightInd w:val="0"/>
        <w:jc w:val="center"/>
        <w:textAlignment w:val="baseline"/>
        <w:rPr>
          <w:rFonts w:cs="Arial"/>
          <w:b/>
          <w:bCs/>
          <w:szCs w:val="20"/>
          <w:lang w:val="bg-BG"/>
        </w:rPr>
      </w:pPr>
    </w:p>
    <w:p w:rsidR="009C13A9" w:rsidRPr="009072DA" w:rsidRDefault="009C13A9" w:rsidP="009C13A9">
      <w:pPr>
        <w:tabs>
          <w:tab w:val="right" w:pos="9072"/>
        </w:tabs>
        <w:overflowPunct w:val="0"/>
        <w:adjustRightInd w:val="0"/>
        <w:spacing w:line="240" w:lineRule="atLeast"/>
        <w:textAlignment w:val="baseline"/>
        <w:rPr>
          <w:rFonts w:cs="Arial"/>
          <w:szCs w:val="20"/>
          <w:lang w:val="bg-BG"/>
        </w:rPr>
      </w:pPr>
    </w:p>
    <w:p w:rsidR="009C13A9" w:rsidRPr="009072DA" w:rsidRDefault="009C13A9" w:rsidP="009C13A9">
      <w:pPr>
        <w:spacing w:line="240" w:lineRule="atLeast"/>
        <w:ind w:left="567" w:hanging="567"/>
        <w:rPr>
          <w:lang w:val="bg-BG"/>
        </w:rPr>
      </w:pPr>
      <w:r w:rsidRPr="009072DA">
        <w:rPr>
          <w:lang w:val="bg-BG"/>
        </w:rPr>
        <w:br w:type="page"/>
      </w:r>
    </w:p>
    <w:p w:rsidR="009C13A9" w:rsidRPr="009072DA" w:rsidRDefault="00925755" w:rsidP="00C50DA9">
      <w:pPr>
        <w:pStyle w:val="ES-Titre3"/>
        <w:rPr>
          <w:lang w:val="bg-BG"/>
        </w:rPr>
      </w:pPr>
      <w:bookmarkStart w:id="643" w:name="_Toc491854314"/>
      <w:bookmarkStart w:id="644" w:name="_Toc535827755"/>
      <w:r w:rsidRPr="009072DA">
        <w:rPr>
          <w:lang w:val="bg-BG"/>
        </w:rPr>
        <w:lastRenderedPageBreak/>
        <w:t>Раздел III</w:t>
      </w:r>
      <w:bookmarkEnd w:id="643"/>
      <w:bookmarkEnd w:id="644"/>
      <w:r w:rsidRPr="009072DA">
        <w:rPr>
          <w:lang w:val="bg-BG"/>
        </w:rPr>
        <w:t xml:space="preserve"> </w:t>
      </w:r>
    </w:p>
    <w:p w:rsidR="009C13A9" w:rsidRPr="009072DA" w:rsidRDefault="009C13A9" w:rsidP="00C50DA9">
      <w:pPr>
        <w:pStyle w:val="ES-Titre3a"/>
        <w:rPr>
          <w:rFonts w:cs="Arial"/>
          <w:szCs w:val="20"/>
          <w:lang w:val="bg-BG"/>
        </w:rPr>
      </w:pPr>
      <w:bookmarkStart w:id="645" w:name="_Toc491854315"/>
      <w:bookmarkStart w:id="646" w:name="_Toc535827756"/>
      <w:r w:rsidRPr="009072DA">
        <w:rPr>
          <w:lang w:val="bg-BG"/>
        </w:rPr>
        <w:t>Изисквания по отношение на монтажа и изпитванията на показателите на навигационното радиолокационно оборудване и индикаторите на ъгловата скорост на поворот, използвани по вътрешните водни пътища</w:t>
      </w:r>
      <w:bookmarkEnd w:id="645"/>
      <w:bookmarkEnd w:id="646"/>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jc w:val="center"/>
        <w:rPr>
          <w:rFonts w:cs="Arial"/>
          <w:i/>
          <w:lang w:val="bg-BG"/>
        </w:rPr>
      </w:pPr>
      <w:r w:rsidRPr="009072DA">
        <w:rPr>
          <w:b/>
          <w:lang w:val="bg-BG"/>
        </w:rPr>
        <w:t>Член 1</w:t>
      </w:r>
      <w:r w:rsidRPr="009072DA">
        <w:rPr>
          <w:rFonts w:cs="Arial"/>
          <w:b/>
          <w:lang w:val="bg-BG"/>
        </w:rPr>
        <w:br/>
      </w:r>
      <w:r w:rsidRPr="009072DA">
        <w:rPr>
          <w:i/>
          <w:lang w:val="bg-BG"/>
        </w:rPr>
        <w:t>Общи положения</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Монтажът и изпитванията на показателите на навигационното радиолокационно оборудване и на системите за индикация на ъгловата скорост на поворот се извършват съобразно следните разпоредби.</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Допуска се монтирането единствено на оборудване с одобрение на типа съгласно раздел I, член 6 или раздел II, член 1.05, или с одобрение на типа, признато за еквивалентно.</w:t>
      </w:r>
    </w:p>
    <w:p w:rsidR="009C13A9" w:rsidRPr="009072DA" w:rsidRDefault="009C13A9" w:rsidP="009C13A9">
      <w:pPr>
        <w:spacing w:line="240" w:lineRule="atLeast"/>
        <w:rPr>
          <w:rFonts w:cs="Arial"/>
          <w:color w:val="000000"/>
          <w:lang w:val="bg-BG"/>
        </w:rPr>
      </w:pPr>
    </w:p>
    <w:p w:rsidR="001077F3" w:rsidRPr="009072DA" w:rsidRDefault="001077F3" w:rsidP="001077F3">
      <w:pPr>
        <w:spacing w:line="240" w:lineRule="atLeast"/>
        <w:rPr>
          <w:rFonts w:cs="Arial"/>
          <w:color w:val="000000"/>
          <w:lang w:val="bg-BG"/>
        </w:rPr>
      </w:pPr>
      <w:r w:rsidRPr="009072DA">
        <w:rPr>
          <w:color w:val="000000"/>
          <w:lang w:val="bg-BG"/>
        </w:rPr>
        <w:t>3.</w:t>
      </w:r>
      <w:r w:rsidRPr="009072DA">
        <w:rPr>
          <w:lang w:val="bg-BG"/>
        </w:rPr>
        <w:tab/>
      </w:r>
      <w:r w:rsidRPr="009072DA">
        <w:rPr>
          <w:color w:val="000000"/>
          <w:lang w:val="bg-BG"/>
        </w:rPr>
        <w:t>Към навигационното радиолокационно оборудване се разрешава свързването единствено на външни датчици с одобрен тип. Външните датчици, свързани с навигационно радиолокационно оборудване, трябва да подлежат на одобряване на типа в съответствие със следните морски стандарти:</w:t>
      </w:r>
    </w:p>
    <w:p w:rsidR="001077F3" w:rsidRPr="009072DA" w:rsidRDefault="001077F3" w:rsidP="001077F3">
      <w:pPr>
        <w:ind w:left="426" w:hanging="426"/>
        <w:rPr>
          <w:rFonts w:cs="Arial"/>
          <w:color w:val="000000"/>
          <w:highlight w:val="lightGray"/>
          <w:lang w:val="bg-BG"/>
        </w:rPr>
      </w:pPr>
    </w:p>
    <w:tbl>
      <w:tblPr>
        <w:tblW w:w="0" w:type="auto"/>
        <w:jc w:val="right"/>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17"/>
        <w:gridCol w:w="2860"/>
        <w:gridCol w:w="2976"/>
      </w:tblGrid>
      <w:tr w:rsidR="001077F3" w:rsidRPr="008D2440" w:rsidTr="001077F3">
        <w:trPr>
          <w:trHeight w:val="595"/>
          <w:jc w:val="right"/>
        </w:trPr>
        <w:tc>
          <w:tcPr>
            <w:tcW w:w="2917" w:type="dxa"/>
            <w:vMerge w:val="restart"/>
            <w:shd w:val="clear" w:color="auto" w:fill="auto"/>
          </w:tcPr>
          <w:p w:rsidR="001077F3" w:rsidRPr="009072DA" w:rsidRDefault="001077F3" w:rsidP="001077F3">
            <w:pPr>
              <w:spacing w:before="60" w:after="60" w:line="240" w:lineRule="atLeast"/>
              <w:jc w:val="center"/>
              <w:rPr>
                <w:sz w:val="18"/>
                <w:szCs w:val="18"/>
                <w:lang w:val="bg-BG"/>
              </w:rPr>
            </w:pPr>
          </w:p>
          <w:p w:rsidR="001077F3" w:rsidRPr="009072DA" w:rsidRDefault="001077F3" w:rsidP="001077F3">
            <w:pPr>
              <w:spacing w:before="60" w:after="60" w:line="240" w:lineRule="atLeast"/>
              <w:jc w:val="center"/>
              <w:rPr>
                <w:b/>
                <w:sz w:val="18"/>
                <w:szCs w:val="18"/>
                <w:lang w:val="bg-BG"/>
              </w:rPr>
            </w:pPr>
            <w:r w:rsidRPr="009072DA">
              <w:rPr>
                <w:b/>
                <w:sz w:val="18"/>
                <w:lang w:val="bg-BG"/>
              </w:rPr>
              <w:t>Датчик</w:t>
            </w:r>
          </w:p>
        </w:tc>
        <w:tc>
          <w:tcPr>
            <w:tcW w:w="5836" w:type="dxa"/>
            <w:gridSpan w:val="2"/>
            <w:shd w:val="clear" w:color="auto" w:fill="auto"/>
          </w:tcPr>
          <w:p w:rsidR="001077F3" w:rsidRPr="009072DA" w:rsidRDefault="001077F3" w:rsidP="001077F3">
            <w:pPr>
              <w:spacing w:before="60" w:after="60" w:line="240" w:lineRule="atLeast"/>
              <w:jc w:val="center"/>
              <w:rPr>
                <w:sz w:val="18"/>
                <w:szCs w:val="18"/>
                <w:lang w:val="bg-BG"/>
              </w:rPr>
            </w:pPr>
            <w:r w:rsidRPr="009072DA">
              <w:rPr>
                <w:b/>
                <w:sz w:val="18"/>
                <w:lang w:val="bg-BG"/>
              </w:rPr>
              <w:t>Минимални изисквания в съответствие със</w:t>
            </w:r>
          </w:p>
        </w:tc>
      </w:tr>
      <w:tr w:rsidR="001077F3" w:rsidRPr="009072DA" w:rsidTr="001077F3">
        <w:trPr>
          <w:trHeight w:val="516"/>
          <w:jc w:val="right"/>
        </w:trPr>
        <w:tc>
          <w:tcPr>
            <w:tcW w:w="2917" w:type="dxa"/>
            <w:vMerge/>
            <w:shd w:val="clear" w:color="auto" w:fill="auto"/>
          </w:tcPr>
          <w:p w:rsidR="001077F3" w:rsidRPr="009072DA" w:rsidRDefault="001077F3" w:rsidP="001077F3">
            <w:pPr>
              <w:spacing w:before="60" w:after="60" w:line="240" w:lineRule="atLeast"/>
              <w:jc w:val="center"/>
              <w:rPr>
                <w:color w:val="000000"/>
                <w:sz w:val="18"/>
                <w:szCs w:val="18"/>
                <w:lang w:val="bg-BG"/>
              </w:rPr>
            </w:pPr>
          </w:p>
        </w:tc>
        <w:tc>
          <w:tcPr>
            <w:tcW w:w="2860" w:type="dxa"/>
            <w:shd w:val="clear" w:color="auto" w:fill="auto"/>
          </w:tcPr>
          <w:p w:rsidR="001077F3" w:rsidRPr="009072DA" w:rsidRDefault="001077F3" w:rsidP="001077F3">
            <w:pPr>
              <w:spacing w:before="60" w:after="60" w:line="240" w:lineRule="atLeast"/>
              <w:jc w:val="center"/>
              <w:rPr>
                <w:b/>
                <w:color w:val="000000"/>
                <w:sz w:val="18"/>
                <w:szCs w:val="18"/>
                <w:lang w:val="bg-BG"/>
              </w:rPr>
            </w:pPr>
            <w:r w:rsidRPr="009072DA">
              <w:rPr>
                <w:b/>
                <w:sz w:val="18"/>
                <w:lang w:val="bg-BG"/>
              </w:rPr>
              <w:t>стандарт (ИМО)</w:t>
            </w:r>
          </w:p>
        </w:tc>
        <w:tc>
          <w:tcPr>
            <w:tcW w:w="2976" w:type="dxa"/>
            <w:shd w:val="clear" w:color="auto" w:fill="auto"/>
          </w:tcPr>
          <w:p w:rsidR="001077F3" w:rsidRPr="009072DA" w:rsidRDefault="001077F3" w:rsidP="001077F3">
            <w:pPr>
              <w:spacing w:before="60" w:after="60" w:line="240" w:lineRule="atLeast"/>
              <w:jc w:val="center"/>
              <w:rPr>
                <w:b/>
                <w:color w:val="000000"/>
                <w:sz w:val="18"/>
                <w:szCs w:val="18"/>
                <w:lang w:val="bg-BG"/>
              </w:rPr>
            </w:pPr>
            <w:r w:rsidRPr="009072DA">
              <w:rPr>
                <w:b/>
                <w:sz w:val="18"/>
                <w:lang w:val="bg-BG"/>
              </w:rPr>
              <w:t>стандарт ISO / IEC</w:t>
            </w:r>
          </w:p>
        </w:tc>
      </w:tr>
      <w:tr w:rsidR="001077F3" w:rsidRPr="009072DA" w:rsidTr="001077F3">
        <w:trPr>
          <w:jc w:val="right"/>
        </w:trPr>
        <w:tc>
          <w:tcPr>
            <w:tcW w:w="2917" w:type="dxa"/>
            <w:shd w:val="clear" w:color="auto" w:fill="auto"/>
          </w:tcPr>
          <w:p w:rsidR="001077F3" w:rsidRPr="009072DA" w:rsidRDefault="001077F3" w:rsidP="001077F3">
            <w:pPr>
              <w:spacing w:before="60" w:after="60" w:line="240" w:lineRule="atLeast"/>
              <w:rPr>
                <w:color w:val="000000"/>
                <w:sz w:val="18"/>
                <w:szCs w:val="18"/>
                <w:lang w:val="bg-BG"/>
              </w:rPr>
            </w:pPr>
            <w:r w:rsidRPr="009072DA">
              <w:rPr>
                <w:sz w:val="18"/>
                <w:lang w:val="bg-BG"/>
              </w:rPr>
              <w:t>GPS</w:t>
            </w:r>
          </w:p>
        </w:tc>
        <w:tc>
          <w:tcPr>
            <w:tcW w:w="2860" w:type="dxa"/>
            <w:shd w:val="clear" w:color="auto" w:fill="auto"/>
          </w:tcPr>
          <w:p w:rsidR="001077F3" w:rsidRPr="009072DA" w:rsidRDefault="001077F3" w:rsidP="001077F3">
            <w:pPr>
              <w:spacing w:before="60" w:after="60" w:line="240" w:lineRule="atLeast"/>
              <w:jc w:val="center"/>
              <w:rPr>
                <w:color w:val="000000"/>
                <w:sz w:val="18"/>
                <w:szCs w:val="18"/>
                <w:lang w:val="bg-BG"/>
              </w:rPr>
            </w:pPr>
            <w:r w:rsidRPr="009072DA">
              <w:rPr>
                <w:sz w:val="18"/>
                <w:lang w:val="bg-BG"/>
              </w:rPr>
              <w:t>MSC.112(73)</w:t>
            </w:r>
            <w:r w:rsidRPr="009072DA">
              <w:rPr>
                <w:sz w:val="18"/>
                <w:vertAlign w:val="superscript"/>
                <w:lang w:val="bg-BG"/>
              </w:rPr>
              <w:footnoteReference w:id="54"/>
            </w:r>
          </w:p>
        </w:tc>
        <w:tc>
          <w:tcPr>
            <w:tcW w:w="2976" w:type="dxa"/>
            <w:shd w:val="clear" w:color="auto" w:fill="auto"/>
          </w:tcPr>
          <w:p w:rsidR="001077F3" w:rsidRPr="009072DA" w:rsidRDefault="001077F3" w:rsidP="001077F3">
            <w:pPr>
              <w:spacing w:before="60" w:after="60" w:line="240" w:lineRule="atLeast"/>
              <w:jc w:val="center"/>
              <w:rPr>
                <w:color w:val="000000"/>
                <w:sz w:val="18"/>
                <w:szCs w:val="18"/>
                <w:lang w:val="bg-BG"/>
              </w:rPr>
            </w:pPr>
            <w:r w:rsidRPr="009072DA">
              <w:rPr>
                <w:sz w:val="18"/>
                <w:lang w:val="bg-BG"/>
              </w:rPr>
              <w:t>IEC 61108-1 : 2003</w:t>
            </w:r>
          </w:p>
        </w:tc>
      </w:tr>
      <w:tr w:rsidR="001077F3" w:rsidRPr="009072DA" w:rsidTr="001077F3">
        <w:trPr>
          <w:jc w:val="right"/>
        </w:trPr>
        <w:tc>
          <w:tcPr>
            <w:tcW w:w="2917" w:type="dxa"/>
            <w:shd w:val="clear" w:color="auto" w:fill="auto"/>
          </w:tcPr>
          <w:p w:rsidR="001077F3" w:rsidRPr="009072DA" w:rsidRDefault="001077F3" w:rsidP="001077F3">
            <w:pPr>
              <w:spacing w:before="60" w:after="60" w:line="240" w:lineRule="atLeast"/>
              <w:rPr>
                <w:color w:val="000000"/>
                <w:sz w:val="18"/>
                <w:szCs w:val="18"/>
                <w:lang w:val="bg-BG"/>
              </w:rPr>
            </w:pPr>
            <w:r w:rsidRPr="009072DA">
              <w:rPr>
                <w:sz w:val="18"/>
                <w:lang w:val="bg-BG"/>
              </w:rPr>
              <w:t>DGPS/DGLONASS</w:t>
            </w:r>
          </w:p>
        </w:tc>
        <w:tc>
          <w:tcPr>
            <w:tcW w:w="2860" w:type="dxa"/>
            <w:shd w:val="clear" w:color="auto" w:fill="auto"/>
          </w:tcPr>
          <w:p w:rsidR="001077F3" w:rsidRPr="009072DA" w:rsidRDefault="001077F3" w:rsidP="001077F3">
            <w:pPr>
              <w:spacing w:before="60" w:after="60" w:line="240" w:lineRule="atLeast"/>
              <w:jc w:val="center"/>
              <w:rPr>
                <w:color w:val="000000"/>
                <w:sz w:val="18"/>
                <w:szCs w:val="18"/>
                <w:lang w:val="bg-BG"/>
              </w:rPr>
            </w:pPr>
            <w:r w:rsidRPr="009072DA">
              <w:rPr>
                <w:sz w:val="18"/>
                <w:lang w:val="bg-BG"/>
              </w:rPr>
              <w:t>MSC.114(73)</w:t>
            </w:r>
            <w:r w:rsidRPr="009072DA">
              <w:rPr>
                <w:sz w:val="18"/>
                <w:vertAlign w:val="superscript"/>
                <w:lang w:val="bg-BG"/>
              </w:rPr>
              <w:footnoteReference w:id="55"/>
            </w:r>
          </w:p>
        </w:tc>
        <w:tc>
          <w:tcPr>
            <w:tcW w:w="2976" w:type="dxa"/>
            <w:shd w:val="clear" w:color="auto" w:fill="auto"/>
          </w:tcPr>
          <w:p w:rsidR="001077F3" w:rsidRPr="009072DA" w:rsidRDefault="001077F3" w:rsidP="001077F3">
            <w:pPr>
              <w:spacing w:before="60" w:after="60" w:line="240" w:lineRule="atLeast"/>
              <w:jc w:val="center"/>
              <w:rPr>
                <w:color w:val="000000"/>
                <w:sz w:val="18"/>
                <w:szCs w:val="18"/>
                <w:lang w:val="bg-BG"/>
              </w:rPr>
            </w:pPr>
            <w:r w:rsidRPr="009072DA">
              <w:rPr>
                <w:sz w:val="18"/>
                <w:lang w:val="bg-BG"/>
              </w:rPr>
              <w:t>IEC 61108-4 : 2004</w:t>
            </w:r>
          </w:p>
        </w:tc>
      </w:tr>
      <w:tr w:rsidR="001077F3" w:rsidRPr="009072DA" w:rsidTr="001077F3">
        <w:trPr>
          <w:jc w:val="right"/>
        </w:trPr>
        <w:tc>
          <w:tcPr>
            <w:tcW w:w="2917" w:type="dxa"/>
            <w:shd w:val="clear" w:color="auto" w:fill="auto"/>
          </w:tcPr>
          <w:p w:rsidR="001077F3" w:rsidRPr="009072DA" w:rsidRDefault="001077F3" w:rsidP="001077F3">
            <w:pPr>
              <w:spacing w:before="60" w:after="60" w:line="240" w:lineRule="atLeast"/>
              <w:rPr>
                <w:color w:val="000000"/>
                <w:sz w:val="18"/>
                <w:szCs w:val="18"/>
                <w:lang w:val="bg-BG"/>
              </w:rPr>
            </w:pPr>
            <w:r w:rsidRPr="009072DA">
              <w:rPr>
                <w:sz w:val="18"/>
                <w:lang w:val="bg-BG"/>
              </w:rPr>
              <w:t>„Галилео“</w:t>
            </w:r>
          </w:p>
        </w:tc>
        <w:tc>
          <w:tcPr>
            <w:tcW w:w="2860" w:type="dxa"/>
            <w:shd w:val="clear" w:color="auto" w:fill="auto"/>
          </w:tcPr>
          <w:p w:rsidR="001077F3" w:rsidRPr="009072DA" w:rsidRDefault="001077F3" w:rsidP="001077F3">
            <w:pPr>
              <w:spacing w:before="60" w:after="60" w:line="240" w:lineRule="atLeast"/>
              <w:jc w:val="center"/>
              <w:rPr>
                <w:color w:val="000000"/>
                <w:sz w:val="18"/>
                <w:szCs w:val="18"/>
                <w:lang w:val="bg-BG"/>
              </w:rPr>
            </w:pPr>
            <w:r w:rsidRPr="009072DA">
              <w:rPr>
                <w:sz w:val="18"/>
                <w:lang w:val="bg-BG"/>
              </w:rPr>
              <w:t>MSC.233(82)</w:t>
            </w:r>
            <w:r w:rsidRPr="009072DA">
              <w:rPr>
                <w:sz w:val="18"/>
                <w:vertAlign w:val="superscript"/>
                <w:lang w:val="bg-BG"/>
              </w:rPr>
              <w:footnoteReference w:id="56"/>
            </w:r>
          </w:p>
        </w:tc>
        <w:tc>
          <w:tcPr>
            <w:tcW w:w="2976" w:type="dxa"/>
            <w:shd w:val="clear" w:color="auto" w:fill="auto"/>
          </w:tcPr>
          <w:p w:rsidR="001077F3" w:rsidRPr="009072DA" w:rsidRDefault="001077F3" w:rsidP="001077F3">
            <w:pPr>
              <w:spacing w:before="60" w:after="60" w:line="240" w:lineRule="atLeast"/>
              <w:jc w:val="center"/>
              <w:rPr>
                <w:color w:val="000000"/>
                <w:sz w:val="18"/>
                <w:szCs w:val="18"/>
                <w:lang w:val="bg-BG"/>
              </w:rPr>
            </w:pPr>
            <w:r w:rsidRPr="009072DA">
              <w:rPr>
                <w:sz w:val="18"/>
                <w:lang w:val="bg-BG"/>
              </w:rPr>
              <w:t>IEC 61108-3 : 2010</w:t>
            </w:r>
          </w:p>
        </w:tc>
      </w:tr>
      <w:tr w:rsidR="001077F3" w:rsidRPr="008D2440" w:rsidTr="001077F3">
        <w:trPr>
          <w:jc w:val="right"/>
        </w:trPr>
        <w:tc>
          <w:tcPr>
            <w:tcW w:w="2917" w:type="dxa"/>
            <w:shd w:val="clear" w:color="auto" w:fill="auto"/>
          </w:tcPr>
          <w:p w:rsidR="001077F3" w:rsidRPr="009072DA" w:rsidRDefault="001077F3" w:rsidP="001077F3">
            <w:pPr>
              <w:spacing w:before="60" w:after="60" w:line="240" w:lineRule="atLeast"/>
              <w:rPr>
                <w:color w:val="000000"/>
                <w:sz w:val="18"/>
                <w:szCs w:val="18"/>
                <w:lang w:val="bg-BG"/>
              </w:rPr>
            </w:pPr>
            <w:r w:rsidRPr="009072DA">
              <w:rPr>
                <w:sz w:val="18"/>
                <w:lang w:val="bg-BG"/>
              </w:rPr>
              <w:t>Заглавие/GPS компас</w:t>
            </w:r>
          </w:p>
        </w:tc>
        <w:tc>
          <w:tcPr>
            <w:tcW w:w="2860" w:type="dxa"/>
            <w:shd w:val="clear" w:color="auto" w:fill="auto"/>
          </w:tcPr>
          <w:p w:rsidR="001077F3" w:rsidRPr="009072DA" w:rsidRDefault="001077F3" w:rsidP="001077F3">
            <w:pPr>
              <w:spacing w:before="60" w:after="60" w:line="240" w:lineRule="atLeast"/>
              <w:jc w:val="center"/>
              <w:rPr>
                <w:color w:val="000000"/>
                <w:sz w:val="18"/>
                <w:szCs w:val="18"/>
                <w:lang w:val="bg-BG"/>
              </w:rPr>
            </w:pPr>
            <w:r w:rsidRPr="009072DA">
              <w:rPr>
                <w:sz w:val="18"/>
                <w:lang w:val="bg-BG"/>
              </w:rPr>
              <w:t>MSC.116(73)</w:t>
            </w:r>
            <w:r w:rsidRPr="009072DA">
              <w:rPr>
                <w:sz w:val="18"/>
                <w:vertAlign w:val="superscript"/>
                <w:lang w:val="bg-BG"/>
              </w:rPr>
              <w:footnoteReference w:id="57"/>
            </w:r>
          </w:p>
        </w:tc>
        <w:tc>
          <w:tcPr>
            <w:tcW w:w="2976" w:type="dxa"/>
            <w:shd w:val="clear" w:color="auto" w:fill="auto"/>
          </w:tcPr>
          <w:p w:rsidR="001077F3" w:rsidRPr="009072DA" w:rsidRDefault="001077F3" w:rsidP="001077F3">
            <w:pPr>
              <w:spacing w:before="60" w:after="60" w:line="240" w:lineRule="atLeast"/>
              <w:jc w:val="center"/>
              <w:rPr>
                <w:color w:val="000000"/>
                <w:sz w:val="18"/>
                <w:szCs w:val="18"/>
                <w:lang w:val="bg-BG"/>
              </w:rPr>
            </w:pPr>
            <w:r w:rsidRPr="009072DA">
              <w:rPr>
                <w:sz w:val="18"/>
                <w:lang w:val="bg-BG"/>
              </w:rPr>
              <w:t>ISO 22090-3 : 2014</w:t>
            </w:r>
            <w:r w:rsidRPr="009072DA">
              <w:rPr>
                <w:sz w:val="18"/>
                <w:szCs w:val="18"/>
                <w:lang w:val="bg-BG"/>
              </w:rPr>
              <w:br/>
            </w:r>
            <w:r w:rsidRPr="009072DA">
              <w:rPr>
                <w:sz w:val="18"/>
                <w:lang w:val="bg-BG"/>
              </w:rPr>
              <w:lastRenderedPageBreak/>
              <w:t>Част 3: Принципи на глобалните навигационни спътникови системи (GNSS)</w:t>
            </w:r>
          </w:p>
        </w:tc>
      </w:tr>
    </w:tbl>
    <w:p w:rsidR="001077F3" w:rsidRPr="009072DA" w:rsidRDefault="001077F3" w:rsidP="001077F3">
      <w:pPr>
        <w:spacing w:line="240" w:lineRule="atLeast"/>
        <w:rPr>
          <w:rFonts w:cs="Arial"/>
          <w:color w:val="000000"/>
          <w:highlight w:val="lightGray"/>
          <w:lang w:val="bg-BG"/>
        </w:rPr>
      </w:pPr>
    </w:p>
    <w:p w:rsidR="001077F3" w:rsidRPr="009072DA" w:rsidRDefault="001077F3" w:rsidP="001077F3">
      <w:pPr>
        <w:spacing w:line="240" w:lineRule="atLeast"/>
        <w:rPr>
          <w:rFonts w:cs="Arial"/>
          <w:color w:val="000000"/>
          <w:lang w:val="bg-BG"/>
        </w:rPr>
      </w:pPr>
      <w:r w:rsidRPr="009072DA">
        <w:rPr>
          <w:color w:val="000000"/>
          <w:lang w:val="bg-BG"/>
        </w:rPr>
        <w:t>4.</w:t>
      </w:r>
      <w:r w:rsidRPr="009072DA">
        <w:rPr>
          <w:lang w:val="bg-BG"/>
        </w:rPr>
        <w:tab/>
      </w:r>
      <w:r w:rsidRPr="009072DA">
        <w:rPr>
          <w:color w:val="000000"/>
          <w:lang w:val="bg-BG"/>
        </w:rPr>
        <w:t>Ако оборудване за AIS за вътрешните водни пътища е свързано с навигационното радиолокационно оборудване, което не е съоръжено с електронна карта за плаване по вътрешни водни пътища за показване на символи от AIS, към него трябва да е свързан също одобрен компас, за да бъде спазено изискването в приложение 5, раздел I точка 2.</w:t>
      </w:r>
    </w:p>
    <w:p w:rsidR="009C13A9" w:rsidRPr="009072DA" w:rsidRDefault="009C13A9" w:rsidP="009C13A9">
      <w:pPr>
        <w:spacing w:line="240" w:lineRule="atLeast"/>
        <w:rPr>
          <w:rFonts w:cs="Arial"/>
          <w:color w:val="000000"/>
          <w:lang w:val="bg-BG"/>
        </w:rPr>
      </w:pPr>
    </w:p>
    <w:p w:rsidR="001077F3" w:rsidRPr="009072DA" w:rsidRDefault="001077F3" w:rsidP="009C13A9">
      <w:pPr>
        <w:spacing w:line="240" w:lineRule="atLeast"/>
        <w:jc w:val="center"/>
        <w:rPr>
          <w:rFonts w:cs="Arial"/>
          <w:b/>
          <w:lang w:val="bg-BG"/>
        </w:rPr>
      </w:pPr>
    </w:p>
    <w:p w:rsidR="009C13A9" w:rsidRPr="009072DA" w:rsidRDefault="009C13A9" w:rsidP="009C13A9">
      <w:pPr>
        <w:spacing w:line="240" w:lineRule="atLeast"/>
        <w:jc w:val="center"/>
        <w:rPr>
          <w:rFonts w:cs="Arial"/>
          <w:i/>
          <w:lang w:val="bg-BG"/>
        </w:rPr>
      </w:pPr>
      <w:r w:rsidRPr="009072DA">
        <w:rPr>
          <w:b/>
          <w:lang w:val="bg-BG"/>
        </w:rPr>
        <w:t>Член 2</w:t>
      </w:r>
      <w:r w:rsidRPr="009072DA">
        <w:rPr>
          <w:rFonts w:cs="Arial"/>
          <w:b/>
          <w:lang w:val="bg-BG"/>
        </w:rPr>
        <w:br/>
      </w:r>
      <w:r w:rsidRPr="009072DA">
        <w:rPr>
          <w:i/>
          <w:lang w:val="bg-BG"/>
        </w:rPr>
        <w:t>Одобрени специализирани фирми</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 xml:space="preserve">Монтажът, замяната, ремонтът или поддръжката на навигационно радиолокационно оборудване и индикатори на ъгловата скорост на поворот се извършват само от специализирани фирми, одобрени от компетентния орган. </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Одобрението може да бъде оттеглено от компетентния орган.</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1077F3" w:rsidRPr="009072DA" w:rsidRDefault="001077F3">
      <w:pPr>
        <w:rPr>
          <w:rFonts w:cs="Arial"/>
          <w:b/>
          <w:lang w:val="bg-BG"/>
        </w:rPr>
      </w:pPr>
      <w:r w:rsidRPr="009072DA">
        <w:rPr>
          <w:lang w:val="bg-BG"/>
        </w:rPr>
        <w:br w:type="page"/>
      </w:r>
    </w:p>
    <w:p w:rsidR="001077F3" w:rsidRPr="009072DA" w:rsidRDefault="001077F3" w:rsidP="009C13A9">
      <w:pPr>
        <w:spacing w:line="240" w:lineRule="atLeast"/>
        <w:jc w:val="center"/>
        <w:rPr>
          <w:rFonts w:cs="Arial"/>
          <w:b/>
          <w:lang w:val="bg-BG"/>
        </w:rPr>
      </w:pPr>
    </w:p>
    <w:p w:rsidR="009C13A9" w:rsidRPr="009072DA" w:rsidRDefault="009C13A9" w:rsidP="009C13A9">
      <w:pPr>
        <w:spacing w:line="240" w:lineRule="atLeast"/>
        <w:jc w:val="center"/>
        <w:rPr>
          <w:rFonts w:cs="Arial"/>
          <w:i/>
          <w:lang w:val="bg-BG"/>
        </w:rPr>
      </w:pPr>
      <w:r w:rsidRPr="009072DA">
        <w:rPr>
          <w:b/>
          <w:lang w:val="bg-BG"/>
        </w:rPr>
        <w:t>Член 3</w:t>
      </w:r>
      <w:r w:rsidRPr="009072DA">
        <w:rPr>
          <w:rFonts w:cs="Arial"/>
          <w:b/>
          <w:lang w:val="bg-BG"/>
        </w:rPr>
        <w:br/>
      </w:r>
      <w:r w:rsidRPr="009072DA">
        <w:rPr>
          <w:i/>
          <w:lang w:val="bg-BG"/>
        </w:rPr>
        <w:t>Изисквания за бордовото електрозахранване</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Всички проводници за захранване на навигационното радиолокационно оборудване и индикаторите на ъгловата скорост на поворот трябва да имат собствени предпазители и по възможност да бъдат устойчиви на откази.</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szCs w:val="20"/>
          <w:lang w:val="bg-BG"/>
        </w:rPr>
      </w:pPr>
    </w:p>
    <w:p w:rsidR="009C13A9" w:rsidRPr="009072DA" w:rsidRDefault="009C13A9" w:rsidP="009C13A9">
      <w:pPr>
        <w:spacing w:line="240" w:lineRule="atLeast"/>
        <w:jc w:val="center"/>
        <w:rPr>
          <w:rFonts w:cs="Arial"/>
          <w:i/>
          <w:lang w:val="bg-BG"/>
        </w:rPr>
      </w:pPr>
      <w:r w:rsidRPr="009072DA">
        <w:rPr>
          <w:b/>
          <w:lang w:val="bg-BG"/>
        </w:rPr>
        <w:t>Член 4</w:t>
      </w:r>
      <w:r w:rsidRPr="009072DA">
        <w:rPr>
          <w:rFonts w:cs="Arial"/>
          <w:b/>
          <w:lang w:val="bg-BG"/>
        </w:rPr>
        <w:br/>
      </w:r>
      <w:r w:rsidRPr="009072DA">
        <w:rPr>
          <w:i/>
          <w:lang w:val="bg-BG"/>
        </w:rPr>
        <w:t>Монтиране на радиолокационната антена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Радиолокационната антена се монтира възможно най-близо до надлъжната линия от носа до кърмата. В близост до антената не трябва да има пречки, създаващи фалшиво ехо или нежелателни засенчвания. При необходимост антената се монтира на бака. Монтажът и укрепването на радиолокационната антена в работното ѝ положение трябва да са достатъчно стабилни, за да позволят на навигационното радиолокационно оборудване да работи в рамките на изискваните граници на точност.</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След като ъгловата грешка при монтажа бъде коригирана и оборудването бъде включено, разликата между курсовата черта и линията от носа до кърмата не трябва да превишава 1°.</w:t>
      </w:r>
    </w:p>
    <w:p w:rsidR="009C13A9" w:rsidRPr="009072DA" w:rsidRDefault="009C13A9" w:rsidP="009C13A9">
      <w:pPr>
        <w:spacing w:line="240" w:lineRule="atLeast"/>
        <w:rPr>
          <w:rFonts w:cs="Arial"/>
          <w:color w:val="000000"/>
          <w:lang w:val="bg-BG"/>
        </w:rPr>
      </w:pPr>
    </w:p>
    <w:p w:rsidR="009C13A9" w:rsidRPr="009072DA" w:rsidRDefault="009C13A9" w:rsidP="001077F3">
      <w:pPr>
        <w:spacing w:line="240" w:lineRule="atLeast"/>
        <w:rPr>
          <w:rFonts w:cs="Arial"/>
          <w:color w:val="000000"/>
          <w:lang w:val="bg-BG"/>
        </w:rPr>
      </w:pPr>
    </w:p>
    <w:p w:rsidR="009C13A9" w:rsidRPr="009072DA" w:rsidRDefault="009C13A9" w:rsidP="009C13A9">
      <w:pPr>
        <w:spacing w:line="240" w:lineRule="atLeast"/>
        <w:jc w:val="center"/>
        <w:rPr>
          <w:rFonts w:cs="Arial"/>
          <w:i/>
          <w:lang w:val="bg-BG"/>
        </w:rPr>
      </w:pPr>
      <w:r w:rsidRPr="009072DA">
        <w:rPr>
          <w:b/>
          <w:lang w:val="bg-BG"/>
        </w:rPr>
        <w:t>Член 5</w:t>
      </w:r>
      <w:r w:rsidRPr="009072DA">
        <w:rPr>
          <w:rFonts w:cs="Arial"/>
          <w:b/>
          <w:lang w:val="bg-BG"/>
        </w:rPr>
        <w:br/>
      </w:r>
      <w:r w:rsidRPr="009072DA">
        <w:rPr>
          <w:i/>
          <w:lang w:val="bg-BG"/>
        </w:rPr>
        <w:t>Монтиране на модула за показване и модула за управление</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Модулът за показване и модулът за управление се монтират в рулевата рубка по такъв начин, че оценката на радиолокационното изображение и работата на навигационното радиолокационно оборудване да не представляват трудност. Азимутната ориентация на радиолокационното изображение трябва да бъде в съответствие с нормалното разположение на околните обекти. Държателите и регулируемите конзоли се конструират по такъв начин, че да могат да бъдат фиксирани във всяко положение без вибрации.</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По време на плаване с радиолокатор изкуственото осветление не трябва да се отразява в посоката на оператора на радиолокатора.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lastRenderedPageBreak/>
        <w:t>3.</w:t>
      </w:r>
      <w:r w:rsidRPr="009072DA">
        <w:rPr>
          <w:lang w:val="bg-BG"/>
        </w:rPr>
        <w:tab/>
      </w:r>
      <w:r w:rsidRPr="009072DA">
        <w:rPr>
          <w:color w:val="000000"/>
          <w:lang w:val="bg-BG"/>
        </w:rPr>
        <w:t>Когато устройството за управление не е част от устройството за показване, то трябва да е поместено в кутия на разстояние до 1 метър от устройството за показване. Безжични устройства за дистанционно управление не се допускат.</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4.</w:t>
      </w:r>
      <w:r w:rsidRPr="009072DA">
        <w:rPr>
          <w:lang w:val="bg-BG"/>
        </w:rPr>
        <w:tab/>
      </w:r>
      <w:r w:rsidRPr="009072DA">
        <w:rPr>
          <w:color w:val="000000"/>
          <w:lang w:val="bg-BG"/>
        </w:rPr>
        <w:t>Ако се монтират спомагателни индикатори, те трябва да съответстват на изискванията, приложими към навигационното радиолокационно оборудване.</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jc w:val="center"/>
        <w:rPr>
          <w:rFonts w:cs="Arial"/>
          <w:i/>
          <w:lang w:val="bg-BG"/>
        </w:rPr>
      </w:pPr>
      <w:r w:rsidRPr="009072DA">
        <w:rPr>
          <w:b/>
          <w:lang w:val="bg-BG"/>
        </w:rPr>
        <w:t>Член 6</w:t>
      </w:r>
      <w:r w:rsidRPr="009072DA">
        <w:rPr>
          <w:rFonts w:cs="Arial"/>
          <w:b/>
          <w:lang w:val="bg-BG"/>
        </w:rPr>
        <w:br/>
      </w:r>
      <w:r w:rsidRPr="009072DA">
        <w:rPr>
          <w:i/>
          <w:lang w:val="bg-BG"/>
        </w:rPr>
        <w:t>Монтаж на индикатора на ъгловата скорост на поворот</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Индикаторът на ъгловата скорост на поворот се разполага пред рулевия и в неговото полезрение.</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Сензорната система се монтира по възможност в средата на плавателния съд, хоризонтално и успоредно на линията на диаметралната равнина на кораба.  Доколкото е възможно, инсталацията не трябва да има вибрации и трябва да е изложена само на умерени изменения на температурата. При възможност индикаторното устройство се монтира над дисплея на радиолокатора.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3.</w:t>
      </w:r>
      <w:r w:rsidRPr="009072DA">
        <w:rPr>
          <w:lang w:val="bg-BG"/>
        </w:rPr>
        <w:tab/>
      </w:r>
      <w:r w:rsidRPr="009072DA">
        <w:rPr>
          <w:color w:val="000000"/>
          <w:lang w:val="bg-BG"/>
        </w:rPr>
        <w:t>Ако се монтират спомагателни индикатори, те трябва да съответстват на изискванията, приложими към индикатора на ъгловата скорост на поворот.</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1077F3" w:rsidRPr="009072DA" w:rsidRDefault="001077F3">
      <w:pPr>
        <w:rPr>
          <w:rFonts w:cs="Arial"/>
          <w:b/>
          <w:lang w:val="bg-BG"/>
        </w:rPr>
      </w:pPr>
      <w:r w:rsidRPr="009072DA">
        <w:rPr>
          <w:lang w:val="bg-BG"/>
        </w:rPr>
        <w:br w:type="page"/>
      </w:r>
    </w:p>
    <w:p w:rsidR="001077F3" w:rsidRPr="009072DA" w:rsidRDefault="001077F3" w:rsidP="009C13A9">
      <w:pPr>
        <w:spacing w:line="240" w:lineRule="atLeast"/>
        <w:jc w:val="center"/>
        <w:rPr>
          <w:rFonts w:cs="Arial"/>
          <w:b/>
          <w:lang w:val="bg-BG"/>
        </w:rPr>
      </w:pPr>
    </w:p>
    <w:p w:rsidR="009C13A9" w:rsidRPr="009072DA" w:rsidRDefault="009C13A9" w:rsidP="009C13A9">
      <w:pPr>
        <w:spacing w:line="240" w:lineRule="atLeast"/>
        <w:jc w:val="center"/>
        <w:rPr>
          <w:rFonts w:cs="Arial"/>
          <w:i/>
          <w:lang w:val="bg-BG"/>
        </w:rPr>
      </w:pPr>
      <w:r w:rsidRPr="009072DA">
        <w:rPr>
          <w:b/>
          <w:lang w:val="bg-BG"/>
        </w:rPr>
        <w:t>Член 7</w:t>
      </w:r>
      <w:r w:rsidRPr="009072DA">
        <w:rPr>
          <w:rFonts w:cs="Arial"/>
          <w:b/>
          <w:lang w:val="bg-BG"/>
        </w:rPr>
        <w:br/>
      </w:r>
      <w:r w:rsidRPr="009072DA">
        <w:rPr>
          <w:i/>
          <w:lang w:val="bg-BG"/>
        </w:rPr>
        <w:t>Монтаж на датчик за местоположение</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За оборудване за ECDIS за вътрешните водни пътища, което работи в навигационен режим, датчикът за местоположение (напр. антената DGPS) трябва да се монтира по начин, който гарантира, че той работи с възможно най-голяма точност и не е изложен на неблагоприятно влияние от надстройките и предавателната апаратура на борда на кораба.</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spacing w:line="240" w:lineRule="atLeast"/>
        <w:jc w:val="center"/>
        <w:rPr>
          <w:rFonts w:cs="Arial"/>
          <w:i/>
          <w:lang w:val="bg-BG"/>
        </w:rPr>
      </w:pPr>
      <w:r w:rsidRPr="009072DA">
        <w:rPr>
          <w:b/>
          <w:lang w:val="bg-BG"/>
        </w:rPr>
        <w:t>Член 8</w:t>
      </w:r>
      <w:r w:rsidRPr="009072DA">
        <w:rPr>
          <w:rFonts w:cs="Arial"/>
          <w:b/>
          <w:lang w:val="bg-BG"/>
        </w:rPr>
        <w:br/>
      </w:r>
      <w:r w:rsidRPr="009072DA">
        <w:rPr>
          <w:i/>
          <w:lang w:val="bg-BG"/>
        </w:rPr>
        <w:t>Изпитване на монтажа и показателите</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Преди оборудването да бъде включено за първи път след монтажа, в случай на периодична проверка за удължаване на срока на валидност на удостоверение на плавателен съд за плаване по вътрешни водни пътища, както и след всяко изменение на плавателния съд, което е вероятно да засегне експлоатационните условия на оборудването, се извършва изпитване на монтажа и показателите от компетентния орган или специализирана фирма, оправомощена съгласно член 2. За тази цел трябва да бъдат изпълнени следните условия:</w:t>
      </w:r>
    </w:p>
    <w:p w:rsidR="009C13A9" w:rsidRPr="009072DA" w:rsidRDefault="009C13A9" w:rsidP="009C13A9">
      <w:pPr>
        <w:spacing w:before="60" w:line="240" w:lineRule="atLeast"/>
        <w:rPr>
          <w:rFonts w:cs="Arial"/>
          <w:lang w:val="bg-BG"/>
        </w:rPr>
      </w:pPr>
      <w:r w:rsidRPr="009072DA">
        <w:rPr>
          <w:lang w:val="bg-BG"/>
        </w:rPr>
        <w:t>a)</w:t>
      </w:r>
      <w:r w:rsidRPr="009072DA">
        <w:rPr>
          <w:lang w:val="bg-BG"/>
        </w:rPr>
        <w:tab/>
        <w:t>електрозахранването да има отделен предпазител;</w:t>
      </w:r>
    </w:p>
    <w:p w:rsidR="009C13A9" w:rsidRPr="009072DA" w:rsidRDefault="009C13A9" w:rsidP="001077F3">
      <w:pPr>
        <w:spacing w:before="60" w:line="240" w:lineRule="atLeast"/>
        <w:rPr>
          <w:rFonts w:cs="Arial"/>
          <w:lang w:val="bg-BG"/>
        </w:rPr>
      </w:pPr>
      <w:r w:rsidRPr="009072DA">
        <w:rPr>
          <w:lang w:val="bg-BG"/>
        </w:rPr>
        <w:t>б)</w:t>
      </w:r>
      <w:r w:rsidRPr="009072DA">
        <w:rPr>
          <w:lang w:val="bg-BG"/>
        </w:rPr>
        <w:tab/>
        <w:t>работното напрежение да бъде в рамките на допустимите отклонения;</w:t>
      </w:r>
    </w:p>
    <w:p w:rsidR="009C13A9" w:rsidRPr="009072DA" w:rsidRDefault="009C13A9" w:rsidP="009C13A9">
      <w:pPr>
        <w:spacing w:before="60" w:line="240" w:lineRule="atLeast"/>
        <w:rPr>
          <w:rFonts w:cs="Arial"/>
          <w:lang w:val="bg-BG"/>
        </w:rPr>
      </w:pPr>
      <w:r w:rsidRPr="009072DA">
        <w:rPr>
          <w:lang w:val="bg-BG"/>
        </w:rPr>
        <w:t>в)</w:t>
      </w:r>
      <w:r w:rsidRPr="009072DA">
        <w:rPr>
          <w:lang w:val="bg-BG"/>
        </w:rPr>
        <w:tab/>
        <w:t xml:space="preserve">кабелите и монтажът им да съответстват на разпоредбите на настоящия стандарт и, ако е приложимо, на Европейското споразумение за международен превоз на опасни товари по вътрешните водни пътища; </w:t>
      </w:r>
    </w:p>
    <w:p w:rsidR="009C13A9" w:rsidRPr="009072DA" w:rsidRDefault="009C13A9" w:rsidP="009C13A9">
      <w:pPr>
        <w:spacing w:before="60" w:line="240" w:lineRule="atLeast"/>
        <w:rPr>
          <w:rFonts w:cs="Arial"/>
          <w:lang w:val="bg-BG"/>
        </w:rPr>
      </w:pPr>
      <w:r w:rsidRPr="009072DA">
        <w:rPr>
          <w:lang w:val="bg-BG"/>
        </w:rPr>
        <w:t>г)</w:t>
      </w:r>
      <w:r w:rsidRPr="009072DA">
        <w:rPr>
          <w:lang w:val="bg-BG"/>
        </w:rPr>
        <w:tab/>
        <w:t>оборотите на антената да достигат най-малко 24 оборота в минута;</w:t>
      </w:r>
    </w:p>
    <w:p w:rsidR="009C13A9" w:rsidRPr="009072DA" w:rsidRDefault="009C13A9" w:rsidP="009C13A9">
      <w:pPr>
        <w:spacing w:before="60" w:line="240" w:lineRule="atLeast"/>
        <w:rPr>
          <w:rFonts w:cs="Arial"/>
          <w:lang w:val="bg-BG"/>
        </w:rPr>
      </w:pPr>
      <w:r w:rsidRPr="009072DA">
        <w:rPr>
          <w:lang w:val="bg-BG"/>
        </w:rPr>
        <w:t>д)</w:t>
      </w:r>
      <w:r w:rsidRPr="009072DA">
        <w:rPr>
          <w:lang w:val="bg-BG"/>
        </w:rPr>
        <w:tab/>
        <w:t>не трябва да има препятствие в близост до антената, затрудняващо навигацията;</w:t>
      </w:r>
    </w:p>
    <w:p w:rsidR="009C13A9" w:rsidRPr="009072DA" w:rsidRDefault="009C13A9" w:rsidP="009C13A9">
      <w:pPr>
        <w:spacing w:before="60" w:line="240" w:lineRule="atLeast"/>
        <w:rPr>
          <w:rFonts w:cs="Arial"/>
          <w:lang w:val="bg-BG"/>
        </w:rPr>
      </w:pPr>
      <w:r w:rsidRPr="009072DA">
        <w:rPr>
          <w:lang w:val="bg-BG"/>
        </w:rPr>
        <w:t>е)</w:t>
      </w:r>
      <w:r w:rsidRPr="009072DA">
        <w:rPr>
          <w:lang w:val="bg-BG"/>
        </w:rPr>
        <w:tab/>
        <w:t>автоматичният изключвател на антената, ако има такъв, да бъде в изправност;</w:t>
      </w:r>
    </w:p>
    <w:p w:rsidR="009C13A9" w:rsidRPr="009072DA" w:rsidRDefault="009C13A9" w:rsidP="009C13A9">
      <w:pPr>
        <w:spacing w:before="60" w:line="240" w:lineRule="atLeast"/>
        <w:rPr>
          <w:rFonts w:cs="Arial"/>
          <w:lang w:val="bg-BG"/>
        </w:rPr>
      </w:pPr>
      <w:r w:rsidRPr="009072DA">
        <w:rPr>
          <w:lang w:val="bg-BG"/>
        </w:rPr>
        <w:t>ж)</w:t>
      </w:r>
      <w:r w:rsidRPr="009072DA">
        <w:rPr>
          <w:lang w:val="bg-BG"/>
        </w:rPr>
        <w:tab/>
        <w:t>разположението на екраните, индикаторите на ъгловата скорост на поворот и уредите за управление да бъде ергономично и лесно за ползване;</w:t>
      </w:r>
    </w:p>
    <w:p w:rsidR="009C13A9" w:rsidRPr="009072DA" w:rsidRDefault="009C13A9" w:rsidP="009C13A9">
      <w:pPr>
        <w:spacing w:before="60" w:line="240" w:lineRule="atLeast"/>
        <w:rPr>
          <w:rFonts w:cs="Arial"/>
          <w:lang w:val="bg-BG"/>
        </w:rPr>
      </w:pPr>
      <w:r w:rsidRPr="009072DA">
        <w:rPr>
          <w:lang w:val="bg-BG"/>
        </w:rPr>
        <w:t>з)</w:t>
      </w:r>
      <w:r w:rsidRPr="009072DA">
        <w:rPr>
          <w:lang w:val="bg-BG"/>
        </w:rPr>
        <w:tab/>
        <w:t>разликата между курсовата черта на оборудването за плаване с радиолокатор и линията на диаметралната равнина на кораба да не превишава 1°;</w:t>
      </w:r>
    </w:p>
    <w:p w:rsidR="009C13A9" w:rsidRPr="009072DA" w:rsidRDefault="009C13A9" w:rsidP="009C13A9">
      <w:pPr>
        <w:spacing w:before="60" w:line="240" w:lineRule="atLeast"/>
        <w:rPr>
          <w:rFonts w:cs="Arial"/>
          <w:lang w:val="bg-BG"/>
        </w:rPr>
      </w:pPr>
      <w:r w:rsidRPr="009072DA">
        <w:rPr>
          <w:lang w:val="bg-BG"/>
        </w:rPr>
        <w:t>и)</w:t>
      </w:r>
      <w:r w:rsidRPr="009072DA">
        <w:rPr>
          <w:lang w:val="bg-BG"/>
        </w:rPr>
        <w:tab/>
        <w:t>точността на обхвата и азимутните изписвания да съответстват на изискванията (измерване с използване на известни цели);</w:t>
      </w:r>
    </w:p>
    <w:p w:rsidR="009C13A9" w:rsidRPr="009072DA" w:rsidRDefault="009C13A9" w:rsidP="009C13A9">
      <w:pPr>
        <w:spacing w:before="60" w:line="240" w:lineRule="atLeast"/>
        <w:rPr>
          <w:rFonts w:cs="Arial"/>
          <w:lang w:val="bg-BG"/>
        </w:rPr>
      </w:pPr>
      <w:r w:rsidRPr="009072DA">
        <w:rPr>
          <w:lang w:val="bg-BG"/>
        </w:rPr>
        <w:t>й)</w:t>
      </w:r>
      <w:r w:rsidRPr="009072DA">
        <w:rPr>
          <w:lang w:val="bg-BG"/>
        </w:rPr>
        <w:tab/>
        <w:t>линейността на кратки разстояния да бъде правилна (за тласкане и влачене);</w:t>
      </w:r>
    </w:p>
    <w:p w:rsidR="009C13A9" w:rsidRPr="009072DA" w:rsidRDefault="009C13A9" w:rsidP="009C13A9">
      <w:pPr>
        <w:spacing w:before="60" w:line="240" w:lineRule="atLeast"/>
        <w:rPr>
          <w:rFonts w:cs="Arial"/>
          <w:lang w:val="bg-BG"/>
        </w:rPr>
      </w:pPr>
      <w:r w:rsidRPr="009072DA">
        <w:rPr>
          <w:lang w:val="bg-BG"/>
        </w:rPr>
        <w:t>к)</w:t>
      </w:r>
      <w:r w:rsidRPr="009072DA">
        <w:rPr>
          <w:lang w:val="bg-BG"/>
        </w:rPr>
        <w:tab/>
        <w:t>минималният извеждан обсег да е 15 метра или по-малко;</w:t>
      </w:r>
    </w:p>
    <w:p w:rsidR="009C13A9" w:rsidRPr="009072DA" w:rsidRDefault="009C13A9" w:rsidP="009C13A9">
      <w:pPr>
        <w:spacing w:before="60" w:line="240" w:lineRule="atLeast"/>
        <w:rPr>
          <w:rFonts w:cs="Arial"/>
          <w:lang w:val="bg-BG"/>
        </w:rPr>
      </w:pPr>
      <w:r w:rsidRPr="009072DA">
        <w:rPr>
          <w:lang w:val="bg-BG"/>
        </w:rPr>
        <w:t>л)</w:t>
      </w:r>
      <w:r w:rsidRPr="009072DA">
        <w:rPr>
          <w:lang w:val="bg-BG"/>
        </w:rPr>
        <w:tab/>
        <w:t>центърът на изображението да e видим, а диаметърът му да не превишава 1 mm;</w:t>
      </w:r>
    </w:p>
    <w:p w:rsidR="009C13A9" w:rsidRPr="009072DA" w:rsidRDefault="009C13A9" w:rsidP="009C13A9">
      <w:pPr>
        <w:spacing w:before="60" w:line="240" w:lineRule="atLeast"/>
        <w:rPr>
          <w:rFonts w:cs="Arial"/>
          <w:lang w:val="bg-BG"/>
        </w:rPr>
      </w:pPr>
      <w:r w:rsidRPr="009072DA">
        <w:rPr>
          <w:lang w:val="bg-BG"/>
        </w:rPr>
        <w:lastRenderedPageBreak/>
        <w:t>м)</w:t>
      </w:r>
      <w:r w:rsidRPr="009072DA">
        <w:rPr>
          <w:lang w:val="bg-BG"/>
        </w:rPr>
        <w:tab/>
        <w:t>да не се наблюдава фалшиво ехо вследствие на отразяване и нежелателни засенчвания при курсовата черта или или най-малкото такова ехо да не застрашава безопасността на навигацията;</w:t>
      </w:r>
    </w:p>
    <w:p w:rsidR="009C13A9" w:rsidRPr="009072DA" w:rsidRDefault="009C13A9" w:rsidP="009C13A9">
      <w:pPr>
        <w:spacing w:before="60" w:line="240" w:lineRule="atLeast"/>
        <w:rPr>
          <w:rFonts w:cs="Arial"/>
          <w:lang w:val="bg-BG"/>
        </w:rPr>
      </w:pPr>
      <w:r w:rsidRPr="009072DA">
        <w:rPr>
          <w:lang w:val="bg-BG"/>
        </w:rPr>
        <w:t>н)</w:t>
      </w:r>
      <w:r w:rsidRPr="009072DA">
        <w:rPr>
          <w:lang w:val="bg-BG"/>
        </w:rPr>
        <w:tab/>
        <w:t>устройствата за потискане на смущаващи отражения от водната повърхност или дъжда (УВЧ и КМИ) и механизмите за управлението им да работят правилно;</w:t>
      </w:r>
    </w:p>
    <w:p w:rsidR="009C13A9" w:rsidRPr="009072DA" w:rsidRDefault="009C13A9" w:rsidP="009C13A9">
      <w:pPr>
        <w:spacing w:before="60" w:line="240" w:lineRule="atLeast"/>
        <w:rPr>
          <w:rFonts w:cs="Arial"/>
          <w:lang w:val="bg-BG"/>
        </w:rPr>
      </w:pPr>
      <w:r w:rsidRPr="009072DA">
        <w:rPr>
          <w:lang w:val="bg-BG"/>
        </w:rPr>
        <w:t>о)</w:t>
      </w:r>
      <w:r w:rsidRPr="009072DA">
        <w:rPr>
          <w:lang w:val="bg-BG"/>
        </w:rPr>
        <w:tab/>
        <w:t>регулаторът на коефициента на усилване да бъде в изправност;</w:t>
      </w:r>
    </w:p>
    <w:p w:rsidR="009C13A9" w:rsidRPr="009072DA" w:rsidRDefault="009C13A9" w:rsidP="009C13A9">
      <w:pPr>
        <w:spacing w:before="60" w:line="240" w:lineRule="atLeast"/>
        <w:rPr>
          <w:rFonts w:cs="Arial"/>
          <w:lang w:val="bg-BG"/>
        </w:rPr>
      </w:pPr>
      <w:r w:rsidRPr="009072DA">
        <w:rPr>
          <w:lang w:val="bg-BG"/>
        </w:rPr>
        <w:t>п)</w:t>
      </w:r>
      <w:r w:rsidRPr="009072DA">
        <w:rPr>
          <w:lang w:val="bg-BG"/>
        </w:rPr>
        <w:tab/>
        <w:t>фокусът и разделителната способност на изображението да са правилни;</w:t>
      </w:r>
    </w:p>
    <w:p w:rsidR="009C13A9" w:rsidRPr="009072DA" w:rsidRDefault="009C13A9" w:rsidP="009C13A9">
      <w:pPr>
        <w:spacing w:before="60" w:line="240" w:lineRule="atLeast"/>
        <w:rPr>
          <w:rFonts w:cs="Arial"/>
          <w:lang w:val="bg-BG"/>
        </w:rPr>
      </w:pPr>
      <w:r w:rsidRPr="009072DA">
        <w:rPr>
          <w:lang w:val="bg-BG"/>
        </w:rPr>
        <w:t>р)</w:t>
      </w:r>
      <w:r w:rsidRPr="009072DA">
        <w:rPr>
          <w:lang w:val="bg-BG"/>
        </w:rPr>
        <w:tab/>
        <w:t>посоката на поворот на кораба да се показва от индикатора на ъгловата скорост на поворот, а нулевата позиция при движение право напред да е правилна;</w:t>
      </w:r>
    </w:p>
    <w:p w:rsidR="009C13A9" w:rsidRPr="009072DA" w:rsidRDefault="009C13A9" w:rsidP="009C13A9">
      <w:pPr>
        <w:spacing w:before="60" w:line="240" w:lineRule="atLeast"/>
        <w:rPr>
          <w:rFonts w:cs="Arial"/>
          <w:lang w:val="bg-BG"/>
        </w:rPr>
      </w:pPr>
      <w:r w:rsidRPr="009072DA">
        <w:rPr>
          <w:lang w:val="bg-BG"/>
        </w:rPr>
        <w:t>с)</w:t>
      </w:r>
      <w:r w:rsidRPr="009072DA">
        <w:rPr>
          <w:lang w:val="bg-BG"/>
        </w:rPr>
        <w:tab/>
        <w:t>навигационното радиолокационно оборудване да не е чувствително към предавания на корабното радиооборудване или към смущения от други бордови източници;</w:t>
      </w:r>
    </w:p>
    <w:p w:rsidR="009C13A9" w:rsidRPr="009072DA" w:rsidRDefault="009C13A9" w:rsidP="009C13A9">
      <w:pPr>
        <w:spacing w:before="60" w:line="240" w:lineRule="atLeast"/>
        <w:rPr>
          <w:rFonts w:cs="Arial"/>
          <w:lang w:val="bg-BG"/>
        </w:rPr>
      </w:pPr>
      <w:r w:rsidRPr="009072DA">
        <w:rPr>
          <w:lang w:val="bg-BG"/>
        </w:rPr>
        <w:t>т)</w:t>
      </w:r>
      <w:r w:rsidRPr="009072DA">
        <w:rPr>
          <w:lang w:val="bg-BG"/>
        </w:rPr>
        <w:tab/>
        <w:t>навигационното радиолокационно оборудване и индикаторът на ъгловата скорост на поворот да не смущават друго бордово оборудване.</w:t>
      </w:r>
    </w:p>
    <w:p w:rsidR="009C13A9" w:rsidRPr="009072DA" w:rsidRDefault="009C13A9" w:rsidP="009C13A9">
      <w:pPr>
        <w:spacing w:before="60" w:line="240" w:lineRule="atLeast"/>
        <w:rPr>
          <w:rFonts w:cs="Arial"/>
          <w:lang w:val="bg-BG"/>
        </w:rPr>
      </w:pPr>
      <w:r w:rsidRPr="009072DA">
        <w:rPr>
          <w:lang w:val="bg-BG"/>
        </w:rPr>
        <w:t>Освен това, в случай на оборудване за ECDIS за вътрешните водни пътища:</w:t>
      </w:r>
    </w:p>
    <w:p w:rsidR="009C13A9" w:rsidRPr="009072DA" w:rsidRDefault="009C13A9" w:rsidP="009C13A9">
      <w:pPr>
        <w:spacing w:before="60" w:line="240" w:lineRule="atLeast"/>
        <w:rPr>
          <w:rFonts w:cs="Arial"/>
          <w:lang w:val="bg-BG"/>
        </w:rPr>
      </w:pPr>
      <w:r w:rsidRPr="009072DA">
        <w:rPr>
          <w:lang w:val="bg-BG"/>
        </w:rPr>
        <w:t>у)</w:t>
      </w:r>
      <w:r w:rsidRPr="009072DA">
        <w:rPr>
          <w:lang w:val="bg-BG"/>
        </w:rPr>
        <w:tab/>
        <w:t>статистическата грешка за местоположението, която влияе на картата, да не превишава 2 m;</w:t>
      </w:r>
    </w:p>
    <w:p w:rsidR="009C13A9" w:rsidRPr="009072DA" w:rsidRDefault="009C13A9" w:rsidP="009C13A9">
      <w:pPr>
        <w:spacing w:before="60" w:line="240" w:lineRule="atLeast"/>
        <w:rPr>
          <w:rFonts w:cs="Arial"/>
          <w:lang w:val="bg-BG"/>
        </w:rPr>
      </w:pPr>
      <w:r w:rsidRPr="009072DA">
        <w:rPr>
          <w:lang w:val="bg-BG"/>
        </w:rPr>
        <w:t>ф)</w:t>
      </w:r>
      <w:r w:rsidRPr="009072DA">
        <w:rPr>
          <w:lang w:val="bg-BG"/>
        </w:rPr>
        <w:tab/>
        <w:t>статистическата грешка за фазовия ъгъл, която влияе на картата, да не превишава 1°.</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1077F3" w:rsidRPr="009072DA" w:rsidRDefault="001077F3">
      <w:pPr>
        <w:rPr>
          <w:rFonts w:cs="Arial"/>
          <w:b/>
          <w:lang w:val="bg-BG"/>
        </w:rPr>
      </w:pPr>
      <w:r w:rsidRPr="009072DA">
        <w:rPr>
          <w:lang w:val="bg-BG"/>
        </w:rPr>
        <w:br w:type="page"/>
      </w:r>
    </w:p>
    <w:p w:rsidR="001077F3" w:rsidRPr="009072DA" w:rsidRDefault="001077F3" w:rsidP="009C13A9">
      <w:pPr>
        <w:spacing w:line="240" w:lineRule="atLeast"/>
        <w:jc w:val="center"/>
        <w:rPr>
          <w:rFonts w:cs="Arial"/>
          <w:b/>
          <w:lang w:val="bg-BG"/>
        </w:rPr>
      </w:pPr>
    </w:p>
    <w:p w:rsidR="009C13A9" w:rsidRPr="009072DA" w:rsidRDefault="009C13A9" w:rsidP="009C13A9">
      <w:pPr>
        <w:spacing w:line="240" w:lineRule="atLeast"/>
        <w:jc w:val="center"/>
        <w:rPr>
          <w:rFonts w:cs="Arial"/>
          <w:i/>
          <w:lang w:val="bg-BG"/>
        </w:rPr>
      </w:pPr>
      <w:r w:rsidRPr="009072DA">
        <w:rPr>
          <w:b/>
          <w:lang w:val="bg-BG"/>
        </w:rPr>
        <w:t>Член 9</w:t>
      </w:r>
      <w:r w:rsidRPr="009072DA">
        <w:rPr>
          <w:rFonts w:cs="Arial"/>
          <w:b/>
          <w:lang w:val="bg-BG"/>
        </w:rPr>
        <w:br/>
      </w:r>
      <w:r w:rsidRPr="009072DA">
        <w:rPr>
          <w:i/>
          <w:lang w:val="bg-BG"/>
        </w:rPr>
        <w:t>Удостоверение за монтажа и показателите</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След успешното приключване на изпитването съгласно член 8 компетентният орган или одобрената специализирана фирма издават удостоверение по образеца съгласно приложение 5, раздел V. Това удостоверение трябва постоянно да се намира на борда.</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Ако условията на изпитване не са били изпълнени, се съставя списък на дефектите. Евентуално съществуващо удостоверение се анулира или се изпраща на компетентния орган или одобрената фирма.</w:t>
      </w:r>
    </w:p>
    <w:p w:rsidR="009C13A9" w:rsidRPr="009072DA" w:rsidRDefault="009C13A9" w:rsidP="009C13A9">
      <w:pPr>
        <w:tabs>
          <w:tab w:val="left" w:pos="170"/>
        </w:tabs>
        <w:overflowPunct w:val="0"/>
        <w:adjustRightInd w:val="0"/>
        <w:spacing w:line="240" w:lineRule="exact"/>
        <w:textAlignment w:val="baseline"/>
        <w:rPr>
          <w:rFonts w:cs="Arial"/>
          <w:szCs w:val="20"/>
          <w:lang w:val="bg-BG"/>
        </w:rPr>
      </w:pPr>
    </w:p>
    <w:p w:rsidR="009C13A9" w:rsidRPr="009072DA" w:rsidRDefault="009C13A9" w:rsidP="009C13A9">
      <w:pPr>
        <w:tabs>
          <w:tab w:val="left" w:pos="170"/>
        </w:tabs>
        <w:overflowPunct w:val="0"/>
        <w:adjustRightInd w:val="0"/>
        <w:spacing w:line="240" w:lineRule="exact"/>
        <w:textAlignment w:val="baseline"/>
        <w:rPr>
          <w:rFonts w:cs="Arial"/>
          <w:szCs w:val="20"/>
          <w:lang w:val="bg-BG"/>
        </w:rPr>
      </w:pPr>
    </w:p>
    <w:p w:rsidR="009C13A9" w:rsidRPr="009072DA" w:rsidRDefault="009C13A9" w:rsidP="009C13A9">
      <w:pPr>
        <w:tabs>
          <w:tab w:val="left" w:pos="170"/>
        </w:tabs>
        <w:overflowPunct w:val="0"/>
        <w:adjustRightInd w:val="0"/>
        <w:spacing w:line="240" w:lineRule="exact"/>
        <w:textAlignment w:val="baseline"/>
        <w:rPr>
          <w:rFonts w:cs="Arial"/>
          <w:szCs w:val="20"/>
          <w:lang w:val="bg-BG"/>
        </w:rPr>
      </w:pPr>
      <w:r w:rsidRPr="009072DA">
        <w:rPr>
          <w:lang w:val="bg-BG"/>
        </w:rPr>
        <w:br w:type="page"/>
      </w:r>
    </w:p>
    <w:p w:rsidR="00C50DA9" w:rsidRPr="009072DA" w:rsidRDefault="00C50DA9" w:rsidP="009C13A9">
      <w:pPr>
        <w:tabs>
          <w:tab w:val="left" w:pos="170"/>
        </w:tabs>
        <w:overflowPunct w:val="0"/>
        <w:adjustRightInd w:val="0"/>
        <w:spacing w:line="240" w:lineRule="exact"/>
        <w:textAlignment w:val="baseline"/>
        <w:rPr>
          <w:rFonts w:cs="Arial"/>
          <w:szCs w:val="20"/>
          <w:lang w:val="bg-BG"/>
        </w:rPr>
      </w:pPr>
    </w:p>
    <w:p w:rsidR="009C13A9" w:rsidRPr="009072DA" w:rsidRDefault="00925755" w:rsidP="00C50DA9">
      <w:pPr>
        <w:pStyle w:val="ES-Titre3"/>
        <w:rPr>
          <w:lang w:val="bg-BG"/>
        </w:rPr>
      </w:pPr>
      <w:bookmarkStart w:id="647" w:name="_Toc491854316"/>
      <w:bookmarkStart w:id="648" w:name="_Toc535827757"/>
      <w:r w:rsidRPr="009072DA">
        <w:rPr>
          <w:lang w:val="bg-BG"/>
        </w:rPr>
        <w:t>Раздел IV</w:t>
      </w:r>
      <w:bookmarkEnd w:id="647"/>
      <w:bookmarkEnd w:id="648"/>
    </w:p>
    <w:p w:rsidR="009C13A9" w:rsidRPr="009072DA" w:rsidRDefault="009C13A9" w:rsidP="00AD0A30">
      <w:pPr>
        <w:pStyle w:val="ES-Titre3a"/>
        <w:rPr>
          <w:lang w:val="bg-BG"/>
        </w:rPr>
      </w:pPr>
      <w:bookmarkStart w:id="649" w:name="_Toc491854317"/>
      <w:bookmarkStart w:id="650" w:name="_Toc535827758"/>
      <w:r w:rsidRPr="009072DA">
        <w:rPr>
          <w:lang w:val="bg-BG"/>
        </w:rPr>
        <w:t>Минимални изисквания, изисквания по отношение на монтажа и изпитванията на показателите на оборудване за AIS за вътрешните водни пътища във вътрешното корабоплаване</w:t>
      </w:r>
      <w:bookmarkEnd w:id="649"/>
      <w:bookmarkEnd w:id="650"/>
    </w:p>
    <w:p w:rsidR="009C13A9" w:rsidRPr="009072DA" w:rsidRDefault="009C13A9" w:rsidP="009C13A9">
      <w:pPr>
        <w:tabs>
          <w:tab w:val="right" w:pos="9072"/>
        </w:tabs>
        <w:overflowPunct w:val="0"/>
        <w:adjustRightInd w:val="0"/>
        <w:spacing w:line="240" w:lineRule="atLeast"/>
        <w:textAlignment w:val="baseline"/>
        <w:rPr>
          <w:rFonts w:cs="Arial"/>
          <w:szCs w:val="20"/>
          <w:lang w:val="bg-BG"/>
        </w:rPr>
      </w:pPr>
    </w:p>
    <w:p w:rsidR="009C13A9" w:rsidRPr="009072DA" w:rsidRDefault="009C13A9" w:rsidP="009C13A9">
      <w:pPr>
        <w:spacing w:line="240" w:lineRule="atLeast"/>
        <w:jc w:val="center"/>
        <w:rPr>
          <w:rFonts w:cs="Arial"/>
          <w:b/>
          <w:bCs/>
          <w:i/>
          <w:iCs/>
          <w:lang w:val="bg-BG"/>
        </w:rPr>
      </w:pPr>
      <w:r w:rsidRPr="009072DA">
        <w:rPr>
          <w:b/>
          <w:lang w:val="bg-BG"/>
        </w:rPr>
        <w:t>Член 1</w:t>
      </w:r>
    </w:p>
    <w:p w:rsidR="009C13A9" w:rsidRPr="009072DA" w:rsidRDefault="009C13A9" w:rsidP="009C13A9">
      <w:pPr>
        <w:spacing w:line="240" w:lineRule="atLeast"/>
        <w:jc w:val="center"/>
        <w:rPr>
          <w:rFonts w:cs="Arial"/>
          <w:bCs/>
          <w:i/>
          <w:iCs/>
          <w:lang w:val="bg-BG"/>
        </w:rPr>
      </w:pPr>
      <w:r w:rsidRPr="009072DA">
        <w:rPr>
          <w:i/>
          <w:lang w:val="bg-BG"/>
        </w:rPr>
        <w:t>Одобряване на оборудване за AIS за вътрешните водни пътища</w:t>
      </w:r>
    </w:p>
    <w:p w:rsidR="009C13A9" w:rsidRPr="009072DA" w:rsidRDefault="009C13A9" w:rsidP="009C13A9">
      <w:pPr>
        <w:tabs>
          <w:tab w:val="right" w:pos="9072"/>
        </w:tabs>
        <w:overflowPunct w:val="0"/>
        <w:adjustRightInd w:val="0"/>
        <w:spacing w:line="240" w:lineRule="atLeast"/>
        <w:jc w:val="center"/>
        <w:textAlignment w:val="baseline"/>
        <w:rPr>
          <w:rFonts w:cs="Arial"/>
          <w:bCs/>
          <w:i/>
          <w:iCs/>
          <w:szCs w:val="20"/>
          <w:lang w:val="bg-BG"/>
        </w:rPr>
      </w:pPr>
    </w:p>
    <w:p w:rsidR="001077F3" w:rsidRPr="009072DA" w:rsidRDefault="001077F3" w:rsidP="003D0163">
      <w:pPr>
        <w:pStyle w:val="ESgauche"/>
        <w:rPr>
          <w:noProof w:val="0"/>
          <w:lang w:val="bg-BG"/>
        </w:rPr>
      </w:pPr>
      <w:r w:rsidRPr="009072DA">
        <w:rPr>
          <w:noProof w:val="0"/>
          <w:lang w:val="bg-BG"/>
        </w:rPr>
        <w:t>Оборудването за AIS за вътрешните водни пътища трябва да съответства на изискванията на стандарта за изпитване за AIS за вътрешни водни пътища, а съответствието се удостоверява чрез проверка на одобрението на типа от компетентен орган.</w:t>
      </w:r>
    </w:p>
    <w:p w:rsidR="009C13A9" w:rsidRPr="009072DA" w:rsidRDefault="009C13A9" w:rsidP="003D0163">
      <w:pPr>
        <w:pStyle w:val="ESch"/>
        <w:rPr>
          <w:lang w:val="bg-BG"/>
        </w:rPr>
      </w:pPr>
    </w:p>
    <w:p w:rsidR="009C13A9" w:rsidRPr="009072DA" w:rsidRDefault="009C13A9" w:rsidP="009C13A9">
      <w:pPr>
        <w:spacing w:line="240" w:lineRule="atLeast"/>
        <w:jc w:val="center"/>
        <w:rPr>
          <w:rFonts w:cs="Arial"/>
          <w:b/>
          <w:lang w:val="bg-BG"/>
        </w:rPr>
      </w:pPr>
      <w:r w:rsidRPr="009072DA">
        <w:rPr>
          <w:b/>
          <w:lang w:val="bg-BG"/>
        </w:rPr>
        <w:t>Член 2</w:t>
      </w:r>
    </w:p>
    <w:p w:rsidR="001077F3" w:rsidRPr="009072DA" w:rsidRDefault="001077F3" w:rsidP="001077F3">
      <w:pPr>
        <w:spacing w:line="240" w:lineRule="atLeast"/>
        <w:ind w:left="851"/>
        <w:jc w:val="center"/>
        <w:rPr>
          <w:rFonts w:cs="Arial"/>
          <w:lang w:val="bg-BG"/>
        </w:rPr>
      </w:pPr>
      <w:r w:rsidRPr="009072DA">
        <w:rPr>
          <w:i/>
          <w:lang w:val="bg-BG"/>
        </w:rPr>
        <w:t>Монтаж и изпитвания на показателите на бордово оборудване за AIS за вътрешните водни пътища</w:t>
      </w:r>
    </w:p>
    <w:p w:rsidR="001077F3" w:rsidRPr="009072DA" w:rsidRDefault="001077F3" w:rsidP="003D0163">
      <w:pPr>
        <w:pStyle w:val="ESch"/>
        <w:rPr>
          <w:lang w:val="bg-BG"/>
        </w:rPr>
      </w:pPr>
    </w:p>
    <w:p w:rsidR="001077F3" w:rsidRPr="009072DA" w:rsidRDefault="001077F3" w:rsidP="001077F3">
      <w:pPr>
        <w:tabs>
          <w:tab w:val="left" w:leader="dot" w:pos="9072"/>
        </w:tabs>
        <w:spacing w:line="240" w:lineRule="atLeast"/>
        <w:rPr>
          <w:rFonts w:cs="Arial"/>
          <w:lang w:val="bg-BG"/>
        </w:rPr>
      </w:pPr>
      <w:r w:rsidRPr="009072DA">
        <w:rPr>
          <w:lang w:val="bg-BG"/>
        </w:rPr>
        <w:t>Следните условия трябва да бъдат спазени при монтажа на бордово оборудване за AIS за вътрешните водни пътища:</w:t>
      </w:r>
    </w:p>
    <w:p w:rsidR="001077F3" w:rsidRPr="009072DA" w:rsidRDefault="001077F3" w:rsidP="001077F3">
      <w:pPr>
        <w:spacing w:line="240" w:lineRule="atLeast"/>
        <w:ind w:left="851"/>
        <w:jc w:val="center"/>
        <w:rPr>
          <w:rFonts w:cs="Arial"/>
          <w:color w:val="000000"/>
          <w:szCs w:val="20"/>
          <w:lang w:val="bg-BG"/>
        </w:rPr>
      </w:pPr>
    </w:p>
    <w:p w:rsidR="001077F3" w:rsidRPr="009072DA" w:rsidRDefault="001077F3" w:rsidP="001077F3">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 xml:space="preserve">Бордовото оборудване за AIS за вътрешните водни пътища може да бъде монтирано само от специализирани фирми, одобрени от компетентния орган. </w:t>
      </w:r>
    </w:p>
    <w:p w:rsidR="001077F3" w:rsidRPr="009072DA" w:rsidRDefault="001077F3" w:rsidP="001077F3">
      <w:pPr>
        <w:spacing w:line="240" w:lineRule="atLeast"/>
        <w:rPr>
          <w:rFonts w:cs="Arial"/>
          <w:color w:val="000000"/>
          <w:lang w:val="bg-BG"/>
        </w:rPr>
      </w:pPr>
    </w:p>
    <w:p w:rsidR="001077F3" w:rsidRPr="009072DA" w:rsidRDefault="001077F3" w:rsidP="001077F3">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Оборудването за AIS за вътрешните водни пътища трябва да бъде монтиранo в рулевата рубка или на друго лесно достъпно място.</w:t>
      </w:r>
    </w:p>
    <w:p w:rsidR="009C13A9" w:rsidRPr="009072DA" w:rsidRDefault="009C13A9" w:rsidP="009C13A9">
      <w:pPr>
        <w:spacing w:line="240" w:lineRule="atLeast"/>
        <w:rPr>
          <w:rFonts w:cs="Arial"/>
          <w:color w:val="000000"/>
          <w:lang w:val="bg-BG"/>
        </w:rPr>
      </w:pPr>
    </w:p>
    <w:p w:rsidR="001077F3" w:rsidRPr="009072DA" w:rsidRDefault="001077F3" w:rsidP="001077F3">
      <w:pPr>
        <w:spacing w:line="240" w:lineRule="atLeast"/>
        <w:rPr>
          <w:rFonts w:cs="Arial"/>
          <w:color w:val="000000"/>
          <w:lang w:val="bg-BG"/>
        </w:rPr>
      </w:pPr>
      <w:r w:rsidRPr="009072DA">
        <w:rPr>
          <w:color w:val="000000"/>
          <w:lang w:val="bg-BG"/>
        </w:rPr>
        <w:t>3.</w:t>
      </w:r>
      <w:r w:rsidRPr="009072DA">
        <w:rPr>
          <w:lang w:val="bg-BG"/>
        </w:rPr>
        <w:tab/>
      </w:r>
      <w:r w:rsidRPr="009072DA">
        <w:rPr>
          <w:color w:val="000000"/>
          <w:lang w:val="bg-BG"/>
        </w:rPr>
        <w:t>Функционалността на MKD (интегриранo устройство за снемане на данни и показване) трябва да бъде достъпна за капитана на плавателния съд. Информацията за статуса на оборудването за предупреждение и AIS за вътрешните водни пътища трябва да се намира в прякото поле на видимост на полезрението на рулевия. Други уреди, използвани за целите на корабоплаването, обаче могат да имат приоритет по отношение на своята пряка видимост. Всички индикаторни указателни светлини трябва да остават видими след монтирането.</w:t>
      </w:r>
    </w:p>
    <w:p w:rsidR="001077F3" w:rsidRPr="009072DA" w:rsidRDefault="001077F3" w:rsidP="001077F3">
      <w:pPr>
        <w:spacing w:line="240" w:lineRule="atLeast"/>
        <w:rPr>
          <w:rFonts w:cs="Arial"/>
          <w:color w:val="000000"/>
          <w:lang w:val="bg-BG"/>
        </w:rPr>
      </w:pPr>
    </w:p>
    <w:p w:rsidR="001077F3" w:rsidRPr="009072DA" w:rsidRDefault="001077F3" w:rsidP="001077F3">
      <w:pPr>
        <w:spacing w:line="240" w:lineRule="atLeast"/>
        <w:rPr>
          <w:rFonts w:cs="Arial"/>
          <w:color w:val="000000"/>
          <w:lang w:val="bg-BG"/>
        </w:rPr>
      </w:pPr>
      <w:r w:rsidRPr="009072DA">
        <w:rPr>
          <w:color w:val="000000"/>
          <w:lang w:val="bg-BG"/>
        </w:rPr>
        <w:t>4.</w:t>
      </w:r>
      <w:r w:rsidRPr="009072DA">
        <w:rPr>
          <w:lang w:val="bg-BG"/>
        </w:rPr>
        <w:tab/>
      </w:r>
      <w:r w:rsidRPr="009072DA">
        <w:rPr>
          <w:color w:val="000000"/>
          <w:lang w:val="bg-BG"/>
        </w:rPr>
        <w:t>Трябва да бъде възможно да се установи визуално дали оборудването функционира. Оборудването трябва да бъде постоянно снабдено с електрическа мощност чрез непрекъсната захранваща верига със собствен предпазител и пряко свързано с източника на захранване.</w:t>
      </w:r>
    </w:p>
    <w:p w:rsidR="001077F3" w:rsidRPr="009072DA" w:rsidRDefault="001077F3" w:rsidP="001077F3">
      <w:pPr>
        <w:spacing w:line="240" w:lineRule="atLeast"/>
        <w:rPr>
          <w:rFonts w:cs="Arial"/>
          <w:color w:val="000000"/>
          <w:lang w:val="bg-BG"/>
        </w:rPr>
      </w:pPr>
    </w:p>
    <w:p w:rsidR="001077F3" w:rsidRPr="009072DA" w:rsidRDefault="001077F3" w:rsidP="001077F3">
      <w:pPr>
        <w:spacing w:line="240" w:lineRule="atLeast"/>
        <w:rPr>
          <w:rFonts w:cs="Arial"/>
          <w:color w:val="000000"/>
          <w:lang w:val="bg-BG"/>
        </w:rPr>
      </w:pPr>
      <w:r w:rsidRPr="009072DA">
        <w:rPr>
          <w:color w:val="000000"/>
          <w:lang w:val="bg-BG"/>
        </w:rPr>
        <w:t>5.</w:t>
      </w:r>
      <w:r w:rsidRPr="009072DA">
        <w:rPr>
          <w:lang w:val="bg-BG"/>
        </w:rPr>
        <w:tab/>
      </w:r>
      <w:r w:rsidRPr="009072DA">
        <w:rPr>
          <w:color w:val="000000"/>
          <w:lang w:val="bg-BG"/>
        </w:rPr>
        <w:t>Антените на оборудването за AIS за вътрешните водни пътища трябва да бъдат монтирани и свързани към станциите така, че да е гарантирана надеждната работа на тези станции при всички нормални условия на използване. Друго оборудване може да бъде свързано само ако интерфейсите на двете оборудвания са съвместими.</w:t>
      </w:r>
    </w:p>
    <w:p w:rsidR="009C13A9" w:rsidRPr="009072DA" w:rsidRDefault="009C13A9" w:rsidP="009C13A9">
      <w:pPr>
        <w:spacing w:line="240" w:lineRule="atLeast"/>
        <w:rPr>
          <w:rFonts w:cs="Arial"/>
          <w:color w:val="000000"/>
          <w:lang w:val="bg-BG"/>
        </w:rPr>
      </w:pPr>
    </w:p>
    <w:p w:rsidR="004706D2" w:rsidRPr="009072DA" w:rsidRDefault="004706D2">
      <w:pPr>
        <w:rPr>
          <w:rFonts w:cs="Arial"/>
          <w:color w:val="000000"/>
          <w:lang w:val="bg-BG"/>
        </w:rPr>
      </w:pPr>
      <w:r w:rsidRPr="009072DA">
        <w:rPr>
          <w:lang w:val="bg-BG"/>
        </w:rPr>
        <w:br w:type="page"/>
      </w:r>
    </w:p>
    <w:p w:rsidR="004706D2" w:rsidRPr="009072DA" w:rsidRDefault="004706D2"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6.</w:t>
      </w:r>
      <w:r w:rsidRPr="009072DA">
        <w:rPr>
          <w:lang w:val="bg-BG"/>
        </w:rPr>
        <w:tab/>
      </w:r>
      <w:r w:rsidRPr="009072DA">
        <w:rPr>
          <w:color w:val="000000"/>
          <w:lang w:val="bg-BG"/>
        </w:rPr>
        <w:t>Към оборудването за AIS за вътрешните водни пътища се разрешава свързването единствено на външни датчици с одобрен тип. Външните датчици, свързани с оборудването за AIS за вътрешните водни пътища, трябва да подлежат на одобряване на типа в съответствие със следните морски стандарти:</w:t>
      </w:r>
    </w:p>
    <w:p w:rsidR="009C13A9" w:rsidRPr="009072DA" w:rsidRDefault="009C13A9" w:rsidP="009C13A9">
      <w:pPr>
        <w:spacing w:before="60" w:line="240" w:lineRule="atLeast"/>
        <w:rPr>
          <w:rFonts w:cs="Arial"/>
          <w:lang w:val="bg-BG"/>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9"/>
        <w:gridCol w:w="3119"/>
        <w:gridCol w:w="3225"/>
      </w:tblGrid>
      <w:tr w:rsidR="001077F3" w:rsidRPr="008D2440" w:rsidTr="003D0163">
        <w:trPr>
          <w:jc w:val="right"/>
        </w:trPr>
        <w:tc>
          <w:tcPr>
            <w:tcW w:w="2409" w:type="dxa"/>
            <w:vMerge w:val="restart"/>
            <w:shd w:val="clear" w:color="auto" w:fill="auto"/>
            <w:vAlign w:val="center"/>
          </w:tcPr>
          <w:p w:rsidR="001077F3" w:rsidRPr="009072DA" w:rsidRDefault="001077F3" w:rsidP="001077F3">
            <w:pPr>
              <w:spacing w:before="40" w:after="40" w:line="240" w:lineRule="atLeast"/>
              <w:jc w:val="center"/>
              <w:rPr>
                <w:b/>
                <w:sz w:val="18"/>
                <w:szCs w:val="18"/>
                <w:lang w:val="bg-BG"/>
              </w:rPr>
            </w:pPr>
            <w:r w:rsidRPr="009072DA">
              <w:rPr>
                <w:b/>
                <w:sz w:val="18"/>
                <w:lang w:val="bg-BG"/>
              </w:rPr>
              <w:t>Датчик</w:t>
            </w:r>
          </w:p>
        </w:tc>
        <w:tc>
          <w:tcPr>
            <w:tcW w:w="6344" w:type="dxa"/>
            <w:gridSpan w:val="2"/>
            <w:shd w:val="clear" w:color="auto" w:fill="auto"/>
          </w:tcPr>
          <w:p w:rsidR="001077F3" w:rsidRPr="009072DA" w:rsidRDefault="001077F3" w:rsidP="001077F3">
            <w:pPr>
              <w:spacing w:before="40" w:after="40" w:line="240" w:lineRule="atLeast"/>
              <w:jc w:val="center"/>
              <w:rPr>
                <w:sz w:val="18"/>
                <w:szCs w:val="18"/>
                <w:lang w:val="bg-BG"/>
              </w:rPr>
            </w:pPr>
            <w:r w:rsidRPr="009072DA">
              <w:rPr>
                <w:b/>
                <w:sz w:val="18"/>
                <w:lang w:val="bg-BG"/>
              </w:rPr>
              <w:t>Минимални изисквания в съответствие със</w:t>
            </w:r>
          </w:p>
        </w:tc>
      </w:tr>
      <w:tr w:rsidR="001077F3" w:rsidRPr="009072DA" w:rsidTr="003D0163">
        <w:trPr>
          <w:jc w:val="right"/>
        </w:trPr>
        <w:tc>
          <w:tcPr>
            <w:tcW w:w="2409" w:type="dxa"/>
            <w:vMerge/>
            <w:shd w:val="clear" w:color="auto" w:fill="auto"/>
          </w:tcPr>
          <w:p w:rsidR="001077F3" w:rsidRPr="009072DA" w:rsidRDefault="001077F3" w:rsidP="001077F3">
            <w:pPr>
              <w:spacing w:before="40" w:after="40" w:line="240" w:lineRule="atLeast"/>
              <w:jc w:val="center"/>
              <w:rPr>
                <w:color w:val="000000"/>
                <w:sz w:val="18"/>
                <w:szCs w:val="18"/>
                <w:lang w:val="bg-BG"/>
              </w:rPr>
            </w:pPr>
          </w:p>
        </w:tc>
        <w:tc>
          <w:tcPr>
            <w:tcW w:w="3119" w:type="dxa"/>
            <w:shd w:val="clear" w:color="auto" w:fill="auto"/>
          </w:tcPr>
          <w:p w:rsidR="001077F3" w:rsidRPr="009072DA" w:rsidRDefault="001077F3" w:rsidP="001077F3">
            <w:pPr>
              <w:spacing w:before="40" w:after="40" w:line="240" w:lineRule="atLeast"/>
              <w:jc w:val="center"/>
              <w:rPr>
                <w:color w:val="000000"/>
                <w:sz w:val="18"/>
                <w:szCs w:val="18"/>
                <w:lang w:val="bg-BG"/>
              </w:rPr>
            </w:pPr>
            <w:r w:rsidRPr="009072DA">
              <w:rPr>
                <w:b/>
                <w:sz w:val="18"/>
                <w:lang w:val="bg-BG"/>
              </w:rPr>
              <w:t>стандарт (ИМО)</w:t>
            </w:r>
          </w:p>
        </w:tc>
        <w:tc>
          <w:tcPr>
            <w:tcW w:w="3225" w:type="dxa"/>
            <w:shd w:val="clear" w:color="auto" w:fill="auto"/>
            <w:vAlign w:val="center"/>
          </w:tcPr>
          <w:p w:rsidR="001077F3" w:rsidRPr="009072DA" w:rsidRDefault="001077F3" w:rsidP="001077F3">
            <w:pPr>
              <w:spacing w:before="40" w:after="40" w:line="240" w:lineRule="atLeast"/>
              <w:jc w:val="center"/>
              <w:rPr>
                <w:b/>
                <w:color w:val="000000"/>
                <w:sz w:val="18"/>
                <w:szCs w:val="18"/>
                <w:lang w:val="bg-BG"/>
              </w:rPr>
            </w:pPr>
            <w:r w:rsidRPr="009072DA">
              <w:rPr>
                <w:b/>
                <w:sz w:val="18"/>
                <w:lang w:val="bg-BG"/>
              </w:rPr>
              <w:t>стандарт ISO/IEC</w:t>
            </w:r>
          </w:p>
        </w:tc>
      </w:tr>
      <w:tr w:rsidR="001077F3" w:rsidRPr="009072DA" w:rsidTr="003D0163">
        <w:trPr>
          <w:jc w:val="right"/>
        </w:trPr>
        <w:tc>
          <w:tcPr>
            <w:tcW w:w="2409" w:type="dxa"/>
            <w:shd w:val="clear" w:color="auto" w:fill="auto"/>
          </w:tcPr>
          <w:p w:rsidR="001077F3" w:rsidRPr="009072DA" w:rsidRDefault="001077F3" w:rsidP="001077F3">
            <w:pPr>
              <w:spacing w:before="40" w:after="40" w:line="240" w:lineRule="atLeast"/>
              <w:rPr>
                <w:color w:val="000000"/>
                <w:sz w:val="18"/>
                <w:szCs w:val="18"/>
                <w:lang w:val="bg-BG"/>
              </w:rPr>
            </w:pPr>
            <w:r w:rsidRPr="009072DA">
              <w:rPr>
                <w:sz w:val="18"/>
                <w:lang w:val="bg-BG"/>
              </w:rPr>
              <w:t>GPS</w:t>
            </w:r>
          </w:p>
        </w:tc>
        <w:tc>
          <w:tcPr>
            <w:tcW w:w="3119" w:type="dxa"/>
            <w:shd w:val="clear" w:color="auto" w:fill="auto"/>
          </w:tcPr>
          <w:p w:rsidR="001077F3" w:rsidRPr="009072DA" w:rsidRDefault="001077F3" w:rsidP="003D0163">
            <w:pPr>
              <w:spacing w:before="40" w:after="40" w:line="240" w:lineRule="atLeast"/>
              <w:jc w:val="center"/>
              <w:rPr>
                <w:sz w:val="18"/>
                <w:szCs w:val="18"/>
                <w:lang w:val="bg-BG"/>
              </w:rPr>
            </w:pPr>
            <w:r w:rsidRPr="009072DA">
              <w:rPr>
                <w:sz w:val="18"/>
                <w:lang w:val="bg-BG"/>
              </w:rPr>
              <w:t>MSC.112(73)</w:t>
            </w:r>
            <w:r w:rsidRPr="009072DA">
              <w:rPr>
                <w:sz w:val="18"/>
                <w:vertAlign w:val="superscript"/>
                <w:lang w:val="bg-BG"/>
              </w:rPr>
              <w:footnoteReference w:id="58"/>
            </w:r>
          </w:p>
        </w:tc>
        <w:tc>
          <w:tcPr>
            <w:tcW w:w="3225" w:type="dxa"/>
            <w:shd w:val="clear" w:color="auto" w:fill="auto"/>
          </w:tcPr>
          <w:p w:rsidR="001077F3" w:rsidRPr="009072DA" w:rsidRDefault="001077F3" w:rsidP="003D0163">
            <w:pPr>
              <w:spacing w:before="40" w:after="40" w:line="240" w:lineRule="atLeast"/>
              <w:jc w:val="center"/>
              <w:rPr>
                <w:sz w:val="18"/>
                <w:szCs w:val="18"/>
                <w:lang w:val="bg-BG"/>
              </w:rPr>
            </w:pPr>
            <w:r w:rsidRPr="009072DA">
              <w:rPr>
                <w:sz w:val="18"/>
                <w:lang w:val="bg-BG"/>
              </w:rPr>
              <w:t>IEC 61108-1 : 2003</w:t>
            </w:r>
          </w:p>
        </w:tc>
      </w:tr>
      <w:tr w:rsidR="001077F3" w:rsidRPr="009072DA" w:rsidTr="003D0163">
        <w:trPr>
          <w:jc w:val="right"/>
        </w:trPr>
        <w:tc>
          <w:tcPr>
            <w:tcW w:w="2409" w:type="dxa"/>
            <w:shd w:val="clear" w:color="auto" w:fill="auto"/>
          </w:tcPr>
          <w:p w:rsidR="001077F3" w:rsidRPr="009072DA" w:rsidRDefault="001077F3" w:rsidP="001077F3">
            <w:pPr>
              <w:spacing w:before="40" w:after="40" w:line="240" w:lineRule="atLeast"/>
              <w:rPr>
                <w:color w:val="000000"/>
                <w:sz w:val="18"/>
                <w:szCs w:val="18"/>
                <w:lang w:val="bg-BG"/>
              </w:rPr>
            </w:pPr>
            <w:r w:rsidRPr="009072DA">
              <w:rPr>
                <w:sz w:val="18"/>
                <w:lang w:val="bg-BG"/>
              </w:rPr>
              <w:t>DGPS/DGLONASS</w:t>
            </w:r>
          </w:p>
        </w:tc>
        <w:tc>
          <w:tcPr>
            <w:tcW w:w="3119" w:type="dxa"/>
            <w:shd w:val="clear" w:color="auto" w:fill="auto"/>
          </w:tcPr>
          <w:p w:rsidR="001077F3" w:rsidRPr="009072DA" w:rsidRDefault="001077F3" w:rsidP="003D0163">
            <w:pPr>
              <w:spacing w:before="40" w:after="40" w:line="240" w:lineRule="atLeast"/>
              <w:jc w:val="center"/>
              <w:rPr>
                <w:sz w:val="18"/>
                <w:szCs w:val="18"/>
                <w:lang w:val="bg-BG"/>
              </w:rPr>
            </w:pPr>
            <w:r w:rsidRPr="009072DA">
              <w:rPr>
                <w:sz w:val="18"/>
                <w:lang w:val="bg-BG"/>
              </w:rPr>
              <w:t>MSC.114(73)</w:t>
            </w:r>
            <w:r w:rsidRPr="009072DA">
              <w:rPr>
                <w:sz w:val="18"/>
                <w:vertAlign w:val="superscript"/>
                <w:lang w:val="bg-BG"/>
              </w:rPr>
              <w:footnoteReference w:id="59"/>
            </w:r>
          </w:p>
        </w:tc>
        <w:tc>
          <w:tcPr>
            <w:tcW w:w="3225" w:type="dxa"/>
            <w:shd w:val="clear" w:color="auto" w:fill="auto"/>
          </w:tcPr>
          <w:p w:rsidR="001077F3" w:rsidRPr="009072DA" w:rsidRDefault="001077F3" w:rsidP="003D0163">
            <w:pPr>
              <w:spacing w:before="40" w:after="40" w:line="240" w:lineRule="atLeast"/>
              <w:jc w:val="center"/>
              <w:rPr>
                <w:sz w:val="18"/>
                <w:szCs w:val="18"/>
                <w:lang w:val="bg-BG"/>
              </w:rPr>
            </w:pPr>
            <w:r w:rsidRPr="009072DA">
              <w:rPr>
                <w:sz w:val="18"/>
                <w:lang w:val="bg-BG"/>
              </w:rPr>
              <w:t>IEC 61108-4 : 2004</w:t>
            </w:r>
          </w:p>
        </w:tc>
      </w:tr>
      <w:tr w:rsidR="001077F3" w:rsidRPr="009072DA" w:rsidTr="003D0163">
        <w:trPr>
          <w:jc w:val="right"/>
        </w:trPr>
        <w:tc>
          <w:tcPr>
            <w:tcW w:w="2409" w:type="dxa"/>
            <w:shd w:val="clear" w:color="auto" w:fill="auto"/>
          </w:tcPr>
          <w:p w:rsidR="001077F3" w:rsidRPr="009072DA" w:rsidRDefault="001077F3" w:rsidP="001077F3">
            <w:pPr>
              <w:spacing w:before="40" w:after="40" w:line="240" w:lineRule="atLeast"/>
              <w:rPr>
                <w:color w:val="000000"/>
                <w:sz w:val="18"/>
                <w:szCs w:val="18"/>
                <w:lang w:val="bg-BG"/>
              </w:rPr>
            </w:pPr>
            <w:r w:rsidRPr="009072DA">
              <w:rPr>
                <w:sz w:val="18"/>
                <w:lang w:val="bg-BG"/>
              </w:rPr>
              <w:t>„Галилео“</w:t>
            </w:r>
          </w:p>
        </w:tc>
        <w:tc>
          <w:tcPr>
            <w:tcW w:w="3119" w:type="dxa"/>
            <w:shd w:val="clear" w:color="auto" w:fill="auto"/>
          </w:tcPr>
          <w:p w:rsidR="001077F3" w:rsidRPr="009072DA" w:rsidRDefault="001077F3" w:rsidP="003D0163">
            <w:pPr>
              <w:spacing w:before="40" w:after="40" w:line="240" w:lineRule="atLeast"/>
              <w:jc w:val="center"/>
              <w:rPr>
                <w:sz w:val="18"/>
                <w:szCs w:val="18"/>
                <w:lang w:val="bg-BG"/>
              </w:rPr>
            </w:pPr>
            <w:r w:rsidRPr="009072DA">
              <w:rPr>
                <w:sz w:val="18"/>
                <w:lang w:val="bg-BG"/>
              </w:rPr>
              <w:t>MSC.233(82)</w:t>
            </w:r>
            <w:r w:rsidRPr="009072DA">
              <w:rPr>
                <w:sz w:val="18"/>
                <w:vertAlign w:val="superscript"/>
                <w:lang w:val="bg-BG"/>
              </w:rPr>
              <w:footnoteReference w:id="60"/>
            </w:r>
          </w:p>
        </w:tc>
        <w:tc>
          <w:tcPr>
            <w:tcW w:w="3225" w:type="dxa"/>
            <w:shd w:val="clear" w:color="auto" w:fill="auto"/>
          </w:tcPr>
          <w:p w:rsidR="001077F3" w:rsidRPr="009072DA" w:rsidRDefault="001077F3" w:rsidP="003D0163">
            <w:pPr>
              <w:spacing w:before="40" w:after="40" w:line="240" w:lineRule="atLeast"/>
              <w:jc w:val="center"/>
              <w:rPr>
                <w:sz w:val="18"/>
                <w:szCs w:val="18"/>
                <w:lang w:val="bg-BG"/>
              </w:rPr>
            </w:pPr>
            <w:r w:rsidRPr="009072DA">
              <w:rPr>
                <w:sz w:val="18"/>
                <w:lang w:val="bg-BG"/>
              </w:rPr>
              <w:t>IEC 61108-3 : 2010</w:t>
            </w:r>
          </w:p>
        </w:tc>
      </w:tr>
      <w:tr w:rsidR="001077F3" w:rsidRPr="008D2440" w:rsidTr="003D0163">
        <w:trPr>
          <w:jc w:val="right"/>
        </w:trPr>
        <w:tc>
          <w:tcPr>
            <w:tcW w:w="2409" w:type="dxa"/>
            <w:shd w:val="clear" w:color="auto" w:fill="auto"/>
          </w:tcPr>
          <w:p w:rsidR="001077F3" w:rsidRPr="009072DA" w:rsidRDefault="001077F3" w:rsidP="001077F3">
            <w:pPr>
              <w:spacing w:before="40" w:after="40" w:line="240" w:lineRule="atLeast"/>
              <w:rPr>
                <w:color w:val="000000"/>
                <w:sz w:val="18"/>
                <w:szCs w:val="18"/>
                <w:lang w:val="bg-BG"/>
              </w:rPr>
            </w:pPr>
            <w:r w:rsidRPr="009072DA">
              <w:rPr>
                <w:sz w:val="18"/>
                <w:lang w:val="bg-BG"/>
              </w:rPr>
              <w:t>Заглавие/GPS компас</w:t>
            </w:r>
          </w:p>
        </w:tc>
        <w:tc>
          <w:tcPr>
            <w:tcW w:w="3119" w:type="dxa"/>
            <w:shd w:val="clear" w:color="auto" w:fill="auto"/>
          </w:tcPr>
          <w:p w:rsidR="001077F3" w:rsidRPr="009072DA" w:rsidRDefault="001077F3" w:rsidP="003D0163">
            <w:pPr>
              <w:spacing w:before="40" w:after="40" w:line="240" w:lineRule="atLeast"/>
              <w:jc w:val="center"/>
              <w:rPr>
                <w:sz w:val="18"/>
                <w:szCs w:val="18"/>
                <w:lang w:val="bg-BG"/>
              </w:rPr>
            </w:pPr>
            <w:r w:rsidRPr="009072DA">
              <w:rPr>
                <w:sz w:val="18"/>
                <w:lang w:val="bg-BG"/>
              </w:rPr>
              <w:t>MSC.116(73)</w:t>
            </w:r>
            <w:r w:rsidRPr="009072DA">
              <w:rPr>
                <w:sz w:val="18"/>
                <w:vertAlign w:val="superscript"/>
                <w:lang w:val="bg-BG"/>
              </w:rPr>
              <w:footnoteReference w:id="61"/>
            </w:r>
          </w:p>
        </w:tc>
        <w:tc>
          <w:tcPr>
            <w:tcW w:w="3225" w:type="dxa"/>
            <w:shd w:val="clear" w:color="auto" w:fill="auto"/>
          </w:tcPr>
          <w:p w:rsidR="001077F3" w:rsidRPr="009072DA" w:rsidRDefault="001077F3" w:rsidP="003D0163">
            <w:pPr>
              <w:spacing w:before="40" w:after="40" w:line="240" w:lineRule="atLeast"/>
              <w:ind w:left="34" w:hanging="34"/>
              <w:jc w:val="center"/>
              <w:rPr>
                <w:sz w:val="18"/>
                <w:szCs w:val="18"/>
                <w:lang w:val="bg-BG"/>
              </w:rPr>
            </w:pPr>
            <w:r w:rsidRPr="009072DA">
              <w:rPr>
                <w:sz w:val="18"/>
                <w:lang w:val="bg-BG"/>
              </w:rPr>
              <w:t>ISO 22090-3 : 2014</w:t>
            </w:r>
            <w:r w:rsidRPr="009072DA">
              <w:rPr>
                <w:sz w:val="18"/>
                <w:szCs w:val="18"/>
                <w:lang w:val="bg-BG"/>
              </w:rPr>
              <w:br/>
            </w:r>
            <w:r w:rsidRPr="009072DA">
              <w:rPr>
                <w:sz w:val="18"/>
                <w:lang w:val="bg-BG"/>
              </w:rPr>
              <w:t>Част 3: Принципи на глобалните навигационни спътникови системи (GNSS)</w:t>
            </w:r>
          </w:p>
        </w:tc>
      </w:tr>
    </w:tbl>
    <w:p w:rsidR="009C13A9" w:rsidRPr="009072DA" w:rsidRDefault="009C13A9" w:rsidP="009C13A9">
      <w:pPr>
        <w:spacing w:line="240" w:lineRule="atLeast"/>
        <w:rPr>
          <w:rFonts w:cs="Arial"/>
          <w:color w:val="000000"/>
          <w:lang w:val="bg-BG"/>
        </w:rPr>
      </w:pPr>
    </w:p>
    <w:p w:rsidR="00F04CAF" w:rsidRPr="009072DA" w:rsidRDefault="00F04CAF" w:rsidP="00F04CAF">
      <w:pPr>
        <w:spacing w:line="240" w:lineRule="atLeast"/>
        <w:rPr>
          <w:rFonts w:cs="Arial"/>
          <w:color w:val="000000"/>
          <w:lang w:val="bg-BG"/>
        </w:rPr>
      </w:pPr>
      <w:r w:rsidRPr="009072DA">
        <w:rPr>
          <w:color w:val="000000"/>
          <w:lang w:val="bg-BG"/>
        </w:rPr>
        <w:t>7.</w:t>
      </w:r>
      <w:r w:rsidRPr="009072DA">
        <w:rPr>
          <w:lang w:val="bg-BG"/>
        </w:rPr>
        <w:tab/>
      </w:r>
      <w:r w:rsidRPr="009072DA">
        <w:rPr>
          <w:color w:val="000000"/>
          <w:lang w:val="bg-BG"/>
        </w:rPr>
        <w:t>Преди пускане в експлоатация след инсталиране, в случай че се подновява или удължава удостоверение на плавателен съд за плаване по вътрешни водни пътища и при всяко преустройство на плавателния съд, което би могло да окаже влияние върху условията, при които това оборудване функционира, компетентният орган или одобрена специализирана фирма трябва да извърши проверка на инсталирането и работно изпитване.</w:t>
      </w:r>
    </w:p>
    <w:p w:rsidR="00F04CAF" w:rsidRPr="009072DA" w:rsidRDefault="00F04CAF" w:rsidP="00F04CAF">
      <w:pPr>
        <w:spacing w:line="240" w:lineRule="atLeast"/>
        <w:rPr>
          <w:rFonts w:cs="Arial"/>
          <w:color w:val="000000"/>
          <w:lang w:val="bg-BG"/>
        </w:rPr>
      </w:pPr>
    </w:p>
    <w:p w:rsidR="00F04CAF" w:rsidRPr="009072DA" w:rsidRDefault="00F04CAF" w:rsidP="00F04CAF">
      <w:pPr>
        <w:spacing w:line="240" w:lineRule="atLeast"/>
        <w:rPr>
          <w:rFonts w:cs="Arial"/>
          <w:color w:val="000000"/>
          <w:lang w:val="bg-BG"/>
        </w:rPr>
      </w:pPr>
      <w:r w:rsidRPr="009072DA">
        <w:rPr>
          <w:color w:val="000000"/>
          <w:lang w:val="bg-BG"/>
        </w:rPr>
        <w:t>8.</w:t>
      </w:r>
      <w:r w:rsidRPr="009072DA">
        <w:rPr>
          <w:lang w:val="bg-BG"/>
        </w:rPr>
        <w:tab/>
      </w:r>
      <w:r w:rsidRPr="009072DA">
        <w:rPr>
          <w:color w:val="000000"/>
          <w:lang w:val="bg-BG"/>
        </w:rPr>
        <w:t>Одобрената специализирана фирма, която е извършила монтажа и работното изпитване, издава удостоверение в съответствие с приложение 5, раздел VI, по отношение на конкретните характеристики и правилно функциониране на оборудването за AIS за вътрешните водни пътища.</w:t>
      </w:r>
    </w:p>
    <w:p w:rsidR="00F04CAF" w:rsidRPr="009072DA" w:rsidRDefault="00F04CAF" w:rsidP="00F04CAF">
      <w:pPr>
        <w:spacing w:line="240" w:lineRule="atLeast"/>
        <w:rPr>
          <w:rFonts w:cs="Arial"/>
          <w:color w:val="000000"/>
          <w:lang w:val="bg-BG"/>
        </w:rPr>
      </w:pPr>
    </w:p>
    <w:p w:rsidR="00F04CAF" w:rsidRPr="009072DA" w:rsidRDefault="00F04CAF" w:rsidP="00F04CAF">
      <w:pPr>
        <w:spacing w:line="240" w:lineRule="atLeast"/>
        <w:rPr>
          <w:rFonts w:cs="Arial"/>
          <w:color w:val="000000"/>
          <w:lang w:val="bg-BG"/>
        </w:rPr>
      </w:pPr>
      <w:r w:rsidRPr="009072DA">
        <w:rPr>
          <w:color w:val="000000"/>
          <w:lang w:val="bg-BG"/>
        </w:rPr>
        <w:t>9.</w:t>
      </w:r>
      <w:r w:rsidRPr="009072DA">
        <w:rPr>
          <w:lang w:val="bg-BG"/>
        </w:rPr>
        <w:tab/>
      </w:r>
      <w:r w:rsidRPr="009072DA">
        <w:rPr>
          <w:color w:val="000000"/>
          <w:lang w:val="bg-BG"/>
        </w:rPr>
        <w:t>Удостоверението трябва винаги да се държи на борда.</w:t>
      </w:r>
    </w:p>
    <w:p w:rsidR="00F04CAF" w:rsidRPr="009072DA" w:rsidRDefault="00F04CAF" w:rsidP="00F04CAF">
      <w:pPr>
        <w:spacing w:line="240" w:lineRule="atLeast"/>
        <w:rPr>
          <w:rFonts w:cs="Arial"/>
          <w:color w:val="000000"/>
          <w:lang w:val="bg-BG"/>
        </w:rPr>
      </w:pPr>
    </w:p>
    <w:p w:rsidR="00F04CAF" w:rsidRPr="009072DA" w:rsidRDefault="00F04CAF" w:rsidP="00F04CAF">
      <w:pPr>
        <w:spacing w:line="240" w:lineRule="atLeast"/>
        <w:rPr>
          <w:rFonts w:cs="Arial"/>
          <w:color w:val="000000"/>
          <w:lang w:val="bg-BG"/>
        </w:rPr>
      </w:pPr>
      <w:r w:rsidRPr="009072DA">
        <w:rPr>
          <w:color w:val="000000"/>
          <w:lang w:val="bg-BG"/>
        </w:rPr>
        <w:t>10.</w:t>
      </w:r>
      <w:r w:rsidRPr="009072DA">
        <w:rPr>
          <w:lang w:val="bg-BG"/>
        </w:rPr>
        <w:tab/>
      </w:r>
      <w:r w:rsidRPr="009072DA">
        <w:rPr>
          <w:color w:val="000000"/>
          <w:lang w:val="bg-BG"/>
        </w:rPr>
        <w:t>Инструкциите за потребители трябва да бъдат предадени за съхранение на борда. Това трябва да се посочи в удостоверението за монтаж на борда.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tabs>
          <w:tab w:val="right" w:pos="9072"/>
        </w:tabs>
        <w:spacing w:line="240" w:lineRule="atLeast"/>
        <w:rPr>
          <w:rFonts w:cs="Arial"/>
          <w:szCs w:val="20"/>
          <w:lang w:val="bg-BG"/>
        </w:rPr>
      </w:pPr>
      <w:r w:rsidRPr="009072DA">
        <w:rPr>
          <w:lang w:val="bg-BG"/>
        </w:rPr>
        <w:br w:type="page"/>
      </w:r>
    </w:p>
    <w:p w:rsidR="009C13A9" w:rsidRPr="009072DA" w:rsidRDefault="00925755" w:rsidP="00C92BD2">
      <w:pPr>
        <w:pStyle w:val="ES-Titre3"/>
        <w:rPr>
          <w:lang w:val="bg-BG"/>
        </w:rPr>
      </w:pPr>
      <w:bookmarkStart w:id="651" w:name="_Toc491854318"/>
      <w:bookmarkStart w:id="652" w:name="_Toc535827759"/>
      <w:r w:rsidRPr="009072DA">
        <w:rPr>
          <w:lang w:val="bg-BG"/>
        </w:rPr>
        <w:lastRenderedPageBreak/>
        <w:t>Раздел V</w:t>
      </w:r>
      <w:bookmarkEnd w:id="651"/>
      <w:bookmarkEnd w:id="652"/>
    </w:p>
    <w:p w:rsidR="009C13A9" w:rsidRPr="009072DA" w:rsidRDefault="009C13A9" w:rsidP="00C92BD2">
      <w:pPr>
        <w:pStyle w:val="ES-Titre3a"/>
        <w:rPr>
          <w:rFonts w:cs="Arial"/>
          <w:szCs w:val="20"/>
          <w:lang w:val="bg-BG"/>
        </w:rPr>
      </w:pPr>
      <w:bookmarkStart w:id="653" w:name="_Toc491854319"/>
      <w:bookmarkStart w:id="654" w:name="_Toc535827760"/>
      <w:r w:rsidRPr="009072DA">
        <w:rPr>
          <w:lang w:val="bg-BG"/>
        </w:rPr>
        <w:t>Минимални изисквания, изисквания по отношение на монтажа и изпитванията на показателите на тахографи за вътрешно корабоплаване</w:t>
      </w:r>
      <w:bookmarkEnd w:id="653"/>
      <w:bookmarkEnd w:id="654"/>
    </w:p>
    <w:p w:rsidR="009C13A9" w:rsidRPr="009072DA" w:rsidRDefault="009C13A9" w:rsidP="009C13A9">
      <w:pPr>
        <w:tabs>
          <w:tab w:val="left" w:pos="284"/>
          <w:tab w:val="left" w:leader="dot" w:pos="9072"/>
        </w:tabs>
        <w:overflowPunct w:val="0"/>
        <w:adjustRightInd w:val="0"/>
        <w:ind w:left="284" w:hanging="284"/>
        <w:textAlignment w:val="baseline"/>
        <w:rPr>
          <w:rFonts w:cs="Arial"/>
          <w:szCs w:val="20"/>
          <w:lang w:val="bg-BG"/>
        </w:rPr>
      </w:pPr>
    </w:p>
    <w:p w:rsidR="00F04CAF" w:rsidRPr="009072DA" w:rsidRDefault="00F04CAF" w:rsidP="00F04CAF">
      <w:pPr>
        <w:tabs>
          <w:tab w:val="left" w:leader="dot" w:pos="9072"/>
        </w:tabs>
        <w:spacing w:line="240" w:lineRule="atLeast"/>
        <w:jc w:val="center"/>
        <w:rPr>
          <w:rFonts w:cs="Arial"/>
          <w:b/>
          <w:lang w:val="bg-BG"/>
        </w:rPr>
      </w:pPr>
      <w:r w:rsidRPr="009072DA">
        <w:rPr>
          <w:b/>
          <w:lang w:val="bg-BG"/>
        </w:rPr>
        <w:t>Член 1</w:t>
      </w:r>
    </w:p>
    <w:p w:rsidR="00F04CAF" w:rsidRPr="009072DA" w:rsidRDefault="00F04CAF" w:rsidP="00F04CAF">
      <w:pPr>
        <w:tabs>
          <w:tab w:val="left" w:leader="dot" w:pos="9072"/>
        </w:tabs>
        <w:spacing w:line="240" w:lineRule="atLeast"/>
        <w:jc w:val="center"/>
        <w:rPr>
          <w:rFonts w:cs="Arial"/>
          <w:i/>
          <w:lang w:val="bg-BG"/>
        </w:rPr>
      </w:pPr>
      <w:r w:rsidRPr="009072DA">
        <w:rPr>
          <w:i/>
          <w:lang w:val="bg-BG"/>
        </w:rPr>
        <w:t>Одобряване на тахографи</w:t>
      </w:r>
    </w:p>
    <w:p w:rsidR="00F04CAF" w:rsidRPr="009072DA" w:rsidRDefault="00F04CAF" w:rsidP="00F04CAF">
      <w:pPr>
        <w:tabs>
          <w:tab w:val="left" w:leader="dot" w:pos="9072"/>
        </w:tabs>
        <w:spacing w:line="240" w:lineRule="atLeast"/>
        <w:rPr>
          <w:rFonts w:cs="Arial"/>
          <w:lang w:val="bg-BG"/>
        </w:rPr>
      </w:pPr>
    </w:p>
    <w:p w:rsidR="00F04CAF" w:rsidRPr="009072DA" w:rsidRDefault="00F04CAF" w:rsidP="003D0163">
      <w:pPr>
        <w:pStyle w:val="ESgauche"/>
        <w:rPr>
          <w:noProof w:val="0"/>
          <w:lang w:val="bg-BG"/>
        </w:rPr>
      </w:pPr>
      <w:r w:rsidRPr="009072DA">
        <w:rPr>
          <w:noProof w:val="0"/>
          <w:lang w:val="bg-BG"/>
        </w:rPr>
        <w:t>Тахографите трябва да отговарят на изискванията по настоящия раздел. Съответствието се удостоверява чрез проверка на одобрението на типа от компетентен орган.</w:t>
      </w:r>
    </w:p>
    <w:p w:rsidR="00F04CAF" w:rsidRPr="009072DA" w:rsidRDefault="00F04CAF" w:rsidP="003D0163">
      <w:pPr>
        <w:pStyle w:val="ESch"/>
        <w:rPr>
          <w:lang w:val="bg-BG"/>
        </w:rPr>
      </w:pPr>
    </w:p>
    <w:p w:rsidR="009C13A9" w:rsidRPr="009072DA" w:rsidRDefault="00F04CAF" w:rsidP="009C13A9">
      <w:pPr>
        <w:spacing w:line="240" w:lineRule="atLeast"/>
        <w:jc w:val="center"/>
        <w:rPr>
          <w:rFonts w:cs="Arial"/>
          <w:b/>
          <w:lang w:val="bg-BG"/>
        </w:rPr>
      </w:pPr>
      <w:r w:rsidRPr="009072DA">
        <w:rPr>
          <w:b/>
          <w:lang w:val="bg-BG"/>
        </w:rPr>
        <w:t>Член 2</w:t>
      </w:r>
    </w:p>
    <w:p w:rsidR="009C13A9" w:rsidRPr="009072DA" w:rsidRDefault="009C13A9" w:rsidP="009C13A9">
      <w:pPr>
        <w:spacing w:line="240" w:lineRule="atLeast"/>
        <w:jc w:val="center"/>
        <w:rPr>
          <w:rFonts w:cs="Arial"/>
          <w:i/>
          <w:lang w:val="bg-BG"/>
        </w:rPr>
      </w:pPr>
      <w:r w:rsidRPr="009072DA">
        <w:rPr>
          <w:i/>
          <w:lang w:val="bg-BG"/>
        </w:rPr>
        <w:t>Изисквания, на които трябва да отговарят тахографите</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Регистриране на времето за плаване на плавателния съд</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За определяне на плаването според критерия „да/не“ трябва да се измерват в подходяща точка завъртанията на гребния винт. Когато задвижването не е чрез гребен винт, придвижването на плавателния съд трябва да бъде установено по равностоен начин на подходящо място. Когато са налице два или повече двигателни вала, трябва да се гарантира, че записването ще се извършва, дори ако само един от валовете се върти.</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Идентификация на плавателния съд</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Уникалният европейски идентификационен номер на плавателния съд или официалният номер на плавателния съд трябва да бъде незаличимо записан върху носителя на данни и да може да бъде четен от него.</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3.</w:t>
      </w:r>
      <w:r w:rsidRPr="009072DA">
        <w:rPr>
          <w:lang w:val="bg-BG"/>
        </w:rPr>
        <w:tab/>
      </w:r>
      <w:r w:rsidRPr="009072DA">
        <w:rPr>
          <w:color w:val="000000"/>
          <w:lang w:val="bg-BG"/>
        </w:rPr>
        <w:t>Записване върху носителя на данни</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 xml:space="preserve">Следната информация се записва върху носителя на данни така, че да бъде защитена от подправяне и да може да бъде прочитана от него: работния режим на плавателния съд, датата и часа, когато тахографът е работил и престанал да работи, поставянето и отстраняването на носителя на данни и други действия, извършени по отношение на устройството. Тахографът трябва автоматично да регистрира времето, поставянето и </w:t>
      </w:r>
      <w:r w:rsidRPr="009072DA">
        <w:rPr>
          <w:lang w:val="bg-BG"/>
        </w:rPr>
        <w:lastRenderedPageBreak/>
        <w:t>отстраняването на носителя на данни, отварянето и затварянето на устройството, както и всяко прекъсване на неговото захранване.</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4.</w:t>
      </w:r>
      <w:r w:rsidRPr="009072DA">
        <w:rPr>
          <w:lang w:val="bg-BG"/>
        </w:rPr>
        <w:tab/>
      </w:r>
      <w:r w:rsidRPr="009072DA">
        <w:rPr>
          <w:color w:val="000000"/>
          <w:lang w:val="bg-BG"/>
        </w:rPr>
        <w:t>Период на записване в рамките на денонощието</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Датата и часът, в които валът започва и спира въртенето си, трябва да се записват непрекъснато всеки ден между 00.00 часа и 24.00 часа.</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rPr>
          <w:rFonts w:cs="Arial"/>
          <w:color w:val="000000"/>
          <w:lang w:val="bg-BG"/>
        </w:rPr>
      </w:pPr>
      <w:r w:rsidRPr="009072DA">
        <w:rPr>
          <w:color w:val="000000"/>
          <w:lang w:val="bg-BG"/>
        </w:rPr>
        <w:t>5.</w:t>
      </w:r>
      <w:r w:rsidRPr="009072DA">
        <w:rPr>
          <w:lang w:val="bg-BG"/>
        </w:rPr>
        <w:tab/>
      </w:r>
      <w:r w:rsidRPr="009072DA">
        <w:rPr>
          <w:color w:val="000000"/>
          <w:lang w:val="bg-BG"/>
        </w:rPr>
        <w:t>Прочитане на записа</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Записът трябва да бъде недвусмислен, лесен за разчитане и ясно разбираем. Трябва да е възможно записът да бъде разчетен във всеки момент без специални спомагателни устройства.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6.</w:t>
      </w:r>
      <w:r w:rsidRPr="009072DA">
        <w:rPr>
          <w:lang w:val="bg-BG"/>
        </w:rPr>
        <w:tab/>
      </w:r>
      <w:r w:rsidRPr="009072DA">
        <w:rPr>
          <w:color w:val="000000"/>
          <w:lang w:val="bg-BG"/>
        </w:rPr>
        <w:t>Отпечатване на записа</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Трябва да е възможно записите да бъдат предоставени по всяко време под формата на лесно разбираема разпечатка.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7.</w:t>
      </w:r>
      <w:r w:rsidRPr="009072DA">
        <w:rPr>
          <w:lang w:val="bg-BG"/>
        </w:rPr>
        <w:tab/>
      </w:r>
      <w:r w:rsidRPr="009072DA">
        <w:rPr>
          <w:color w:val="000000"/>
          <w:lang w:val="bg-BG"/>
        </w:rPr>
        <w:t>Сигурност на записването</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Въртенето на гребния винт трябва да бъде записвано по такъв начин, че да не може да бъде манипулирано.</w:t>
      </w:r>
    </w:p>
    <w:p w:rsidR="009C13A9" w:rsidRPr="009072DA" w:rsidRDefault="009C13A9" w:rsidP="009C13A9">
      <w:pPr>
        <w:spacing w:line="240" w:lineRule="atLeast"/>
        <w:rPr>
          <w:rFonts w:cs="Arial"/>
          <w:color w:val="000000"/>
          <w:lang w:val="bg-BG"/>
        </w:rPr>
      </w:pPr>
    </w:p>
    <w:p w:rsidR="00F04CAF" w:rsidRPr="009072DA" w:rsidRDefault="00F04CAF">
      <w:pPr>
        <w:rPr>
          <w:rFonts w:cs="Arial"/>
          <w:color w:val="000000"/>
          <w:lang w:val="bg-BG"/>
        </w:rPr>
      </w:pPr>
      <w:r w:rsidRPr="009072DA">
        <w:rPr>
          <w:lang w:val="bg-BG"/>
        </w:rPr>
        <w:br w:type="page"/>
      </w:r>
    </w:p>
    <w:p w:rsidR="00F04CAF" w:rsidRPr="009072DA" w:rsidRDefault="00F04CAF"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8.</w:t>
      </w:r>
      <w:r w:rsidRPr="009072DA">
        <w:rPr>
          <w:lang w:val="bg-BG"/>
        </w:rPr>
        <w:tab/>
      </w:r>
      <w:r w:rsidRPr="009072DA">
        <w:rPr>
          <w:color w:val="000000"/>
          <w:lang w:val="bg-BG"/>
        </w:rPr>
        <w:t>Точност на записването</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Въртенето на гребния винт трябва да бъде записвано по начин, който е точен във времето. Записването трябва да се позволява разчитане с точност от 5 минути.</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9.</w:t>
      </w:r>
      <w:r w:rsidRPr="009072DA">
        <w:rPr>
          <w:lang w:val="bg-BG"/>
        </w:rPr>
        <w:tab/>
      </w:r>
      <w:r w:rsidRPr="009072DA">
        <w:rPr>
          <w:color w:val="000000"/>
          <w:lang w:val="bg-BG"/>
        </w:rPr>
        <w:t>Оперативни напрежения</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 xml:space="preserve">Колебанията на напрежението до </w:t>
      </w:r>
      <w:r w:rsidRPr="009072DA">
        <w:rPr>
          <w:lang w:val="bg-BG"/>
        </w:rPr>
        <w:sym w:font="Symbol" w:char="F0B1"/>
      </w:r>
      <w:r w:rsidRPr="009072DA">
        <w:rPr>
          <w:lang w:val="bg-BG"/>
        </w:rPr>
        <w:t xml:space="preserve"> 10 % от номиналната стойност не трябва да пречат на правилното функциониране на устройството. Също така, инсталацията трябва да може да издържа  увеличение на подаваното напрежение с 25 % спрямо номиналното напрежение без нейната годност да бъде нарушена по какъвто и да било начин.</w:t>
      </w:r>
    </w:p>
    <w:p w:rsidR="009C13A9" w:rsidRPr="009072DA" w:rsidRDefault="009C13A9" w:rsidP="009C13A9">
      <w:pPr>
        <w:tabs>
          <w:tab w:val="left" w:pos="284"/>
          <w:tab w:val="left" w:leader="dot" w:pos="8505"/>
        </w:tabs>
        <w:ind w:left="284" w:hanging="284"/>
        <w:rPr>
          <w:lang w:val="bg-BG"/>
        </w:rPr>
      </w:pPr>
    </w:p>
    <w:p w:rsidR="009C13A9" w:rsidRPr="009072DA" w:rsidRDefault="009C13A9" w:rsidP="009C13A9">
      <w:pPr>
        <w:spacing w:line="240" w:lineRule="atLeast"/>
        <w:rPr>
          <w:rFonts w:cs="Arial"/>
          <w:color w:val="000000"/>
          <w:lang w:val="bg-BG"/>
        </w:rPr>
      </w:pPr>
      <w:r w:rsidRPr="009072DA">
        <w:rPr>
          <w:color w:val="000000"/>
          <w:lang w:val="bg-BG"/>
        </w:rPr>
        <w:t>10.</w:t>
      </w:r>
      <w:r w:rsidRPr="009072DA">
        <w:rPr>
          <w:lang w:val="bg-BG"/>
        </w:rPr>
        <w:tab/>
      </w:r>
      <w:r w:rsidRPr="009072DA">
        <w:rPr>
          <w:color w:val="000000"/>
          <w:lang w:val="bg-BG"/>
        </w:rPr>
        <w:t>Условия за експлоатация</w:t>
      </w:r>
    </w:p>
    <w:p w:rsidR="009C13A9" w:rsidRPr="009072DA" w:rsidRDefault="009C13A9" w:rsidP="009C13A9">
      <w:pPr>
        <w:tabs>
          <w:tab w:val="left" w:pos="284"/>
          <w:tab w:val="left" w:leader="dot" w:pos="8505"/>
        </w:tabs>
        <w:ind w:left="284" w:hanging="284"/>
        <w:rPr>
          <w:lang w:val="bg-BG"/>
        </w:rPr>
      </w:pPr>
    </w:p>
    <w:p w:rsidR="009C13A9" w:rsidRPr="009072DA" w:rsidRDefault="009C13A9" w:rsidP="009C13A9">
      <w:pPr>
        <w:spacing w:line="240" w:lineRule="atLeast"/>
        <w:ind w:left="426"/>
        <w:rPr>
          <w:lang w:val="bg-BG"/>
        </w:rPr>
      </w:pPr>
      <w:r w:rsidRPr="009072DA">
        <w:rPr>
          <w:lang w:val="bg-BG"/>
        </w:rPr>
        <w:t>Устройствата или техните компоненти трябва да функционират без грешки при следните условия:</w:t>
      </w:r>
    </w:p>
    <w:p w:rsidR="009C13A9" w:rsidRPr="009072DA" w:rsidRDefault="009C13A9" w:rsidP="009C13A9">
      <w:pPr>
        <w:tabs>
          <w:tab w:val="left" w:pos="851"/>
        </w:tabs>
        <w:spacing w:before="60" w:line="240" w:lineRule="atLeast"/>
        <w:ind w:left="3544" w:hanging="3118"/>
        <w:rPr>
          <w:rFonts w:cs="Arial"/>
          <w:lang w:val="bg-BG"/>
        </w:rPr>
      </w:pPr>
      <w:r w:rsidRPr="009072DA">
        <w:rPr>
          <w:lang w:val="bg-BG"/>
        </w:rPr>
        <w:t>-</w:t>
      </w:r>
      <w:r w:rsidRPr="009072DA">
        <w:rPr>
          <w:lang w:val="bg-BG"/>
        </w:rPr>
        <w:tab/>
        <w:t>температура на околната среда:</w:t>
      </w:r>
      <w:r w:rsidRPr="009072DA">
        <w:rPr>
          <w:lang w:val="bg-BG"/>
        </w:rPr>
        <w:tab/>
        <w:t xml:space="preserve">от 0 </w:t>
      </w:r>
      <w:r w:rsidRPr="009072DA">
        <w:rPr>
          <w:rFonts w:cs="Arial"/>
          <w:lang w:val="bg-BG"/>
        </w:rPr>
        <w:sym w:font="Symbol" w:char="F0B0"/>
      </w:r>
      <w:r w:rsidRPr="009072DA">
        <w:rPr>
          <w:lang w:val="bg-BG"/>
        </w:rPr>
        <w:t xml:space="preserve">C до + 40 </w:t>
      </w:r>
      <w:r w:rsidRPr="009072DA">
        <w:rPr>
          <w:rFonts w:cs="Arial"/>
          <w:lang w:val="bg-BG"/>
        </w:rPr>
        <w:sym w:font="Symbol" w:char="F0B0"/>
      </w:r>
      <w:r w:rsidRPr="009072DA">
        <w:rPr>
          <w:lang w:val="bg-BG"/>
        </w:rPr>
        <w:t>C</w:t>
      </w:r>
    </w:p>
    <w:p w:rsidR="009C13A9" w:rsidRPr="009072DA" w:rsidRDefault="009C13A9" w:rsidP="009C13A9">
      <w:pPr>
        <w:tabs>
          <w:tab w:val="left" w:pos="851"/>
        </w:tabs>
        <w:spacing w:before="60" w:line="240" w:lineRule="atLeast"/>
        <w:ind w:left="3544" w:hanging="3118"/>
        <w:rPr>
          <w:rFonts w:cs="Arial"/>
          <w:lang w:val="bg-BG"/>
        </w:rPr>
      </w:pPr>
      <w:r w:rsidRPr="009072DA">
        <w:rPr>
          <w:lang w:val="bg-BG"/>
        </w:rPr>
        <w:t>-</w:t>
      </w:r>
      <w:r w:rsidRPr="009072DA">
        <w:rPr>
          <w:lang w:val="bg-BG"/>
        </w:rPr>
        <w:tab/>
        <w:t>влажност:</w:t>
      </w:r>
      <w:r w:rsidRPr="009072DA">
        <w:rPr>
          <w:lang w:val="bg-BG"/>
        </w:rPr>
        <w:tab/>
        <w:t>до 85 % относителна влажност на въздуха</w:t>
      </w:r>
    </w:p>
    <w:p w:rsidR="009C13A9" w:rsidRPr="009072DA" w:rsidRDefault="009C13A9" w:rsidP="009C13A9">
      <w:pPr>
        <w:tabs>
          <w:tab w:val="left" w:pos="851"/>
        </w:tabs>
        <w:spacing w:before="60" w:line="240" w:lineRule="atLeast"/>
        <w:ind w:left="3544" w:hanging="3118"/>
        <w:rPr>
          <w:rFonts w:cs="Arial"/>
          <w:lang w:val="bg-BG"/>
        </w:rPr>
      </w:pPr>
      <w:r w:rsidRPr="009072DA">
        <w:rPr>
          <w:lang w:val="bg-BG"/>
        </w:rPr>
        <w:t>-</w:t>
      </w:r>
      <w:r w:rsidRPr="009072DA">
        <w:rPr>
          <w:lang w:val="bg-BG"/>
        </w:rPr>
        <w:tab/>
        <w:t>вид на електрическата защита:</w:t>
      </w:r>
      <w:r w:rsidRPr="009072DA">
        <w:rPr>
          <w:lang w:val="bg-BG"/>
        </w:rPr>
        <w:tab/>
        <w:t>IP 54 в съответствие с международен стандарт IEC 529</w:t>
      </w:r>
    </w:p>
    <w:p w:rsidR="009C13A9" w:rsidRPr="009072DA" w:rsidRDefault="009C13A9" w:rsidP="009C13A9">
      <w:pPr>
        <w:tabs>
          <w:tab w:val="left" w:pos="851"/>
        </w:tabs>
        <w:spacing w:before="60" w:line="240" w:lineRule="atLeast"/>
        <w:ind w:left="3544" w:hanging="3118"/>
        <w:rPr>
          <w:rFonts w:cs="Arial"/>
          <w:lang w:val="bg-BG"/>
        </w:rPr>
      </w:pPr>
      <w:r w:rsidRPr="009072DA">
        <w:rPr>
          <w:lang w:val="bg-BG"/>
        </w:rPr>
        <w:t>-</w:t>
      </w:r>
      <w:r w:rsidRPr="009072DA">
        <w:rPr>
          <w:lang w:val="bg-BG"/>
        </w:rPr>
        <w:tab/>
        <w:t>маслоустойчивост:</w:t>
      </w:r>
      <w:r w:rsidRPr="009072DA">
        <w:rPr>
          <w:lang w:val="bg-BG"/>
        </w:rPr>
        <w:tab/>
        <w:t>въпреки че са предназначени да бъдат инсталирани в машинното отделение, устройствата или компонентите им трябва да бъдат маслоустойчиви</w:t>
      </w:r>
    </w:p>
    <w:p w:rsidR="009C13A9" w:rsidRPr="009072DA" w:rsidRDefault="009C13A9" w:rsidP="009C13A9">
      <w:pPr>
        <w:tabs>
          <w:tab w:val="left" w:pos="851"/>
        </w:tabs>
        <w:spacing w:before="60" w:line="240" w:lineRule="atLeast"/>
        <w:ind w:left="3544" w:hanging="3118"/>
        <w:rPr>
          <w:rFonts w:cs="Arial"/>
          <w:lang w:val="bg-BG"/>
        </w:rPr>
      </w:pPr>
      <w:r w:rsidRPr="009072DA">
        <w:rPr>
          <w:lang w:val="bg-BG"/>
        </w:rPr>
        <w:t>-</w:t>
      </w:r>
      <w:r w:rsidRPr="009072DA">
        <w:rPr>
          <w:lang w:val="bg-BG"/>
        </w:rPr>
        <w:tab/>
        <w:t>разрешено отчитане на време</w:t>
      </w:r>
    </w:p>
    <w:p w:rsidR="009C13A9" w:rsidRPr="009072DA" w:rsidRDefault="009C13A9" w:rsidP="009C13A9">
      <w:pPr>
        <w:tabs>
          <w:tab w:val="left" w:pos="851"/>
        </w:tabs>
        <w:spacing w:line="240" w:lineRule="atLeast"/>
        <w:ind w:left="3544" w:hanging="2693"/>
        <w:rPr>
          <w:rFonts w:cs="Arial"/>
          <w:lang w:val="bg-BG"/>
        </w:rPr>
      </w:pPr>
      <w:r w:rsidRPr="009072DA">
        <w:rPr>
          <w:lang w:val="bg-BG"/>
        </w:rPr>
        <w:t>допустими отклонения:</w:t>
      </w:r>
      <w:r w:rsidRPr="009072DA">
        <w:rPr>
          <w:lang w:val="bg-BG"/>
        </w:rPr>
        <w:tab/>
      </w:r>
      <w:r w:rsidRPr="009072DA">
        <w:rPr>
          <w:rFonts w:cs="Arial"/>
          <w:lang w:val="bg-BG"/>
        </w:rPr>
        <w:sym w:font="Symbol" w:char="F0B1"/>
      </w:r>
      <w:r w:rsidRPr="009072DA">
        <w:rPr>
          <w:lang w:val="bg-BG"/>
        </w:rPr>
        <w:t xml:space="preserve"> 2 минути на всеки 24 часа.</w:t>
      </w:r>
    </w:p>
    <w:p w:rsidR="009C13A9" w:rsidRPr="009072DA" w:rsidRDefault="009C13A9" w:rsidP="009C13A9">
      <w:pPr>
        <w:tabs>
          <w:tab w:val="left" w:pos="284"/>
          <w:tab w:val="left" w:leader="dot" w:pos="8505"/>
        </w:tabs>
        <w:ind w:left="284" w:hanging="284"/>
        <w:rPr>
          <w:lang w:val="bg-BG"/>
        </w:rPr>
      </w:pPr>
    </w:p>
    <w:p w:rsidR="009C13A9" w:rsidRPr="009072DA" w:rsidRDefault="009C13A9" w:rsidP="009C13A9">
      <w:pPr>
        <w:tabs>
          <w:tab w:val="left" w:pos="284"/>
          <w:tab w:val="left" w:leader="dot" w:pos="8505"/>
        </w:tabs>
        <w:ind w:left="284" w:hanging="284"/>
        <w:rPr>
          <w:lang w:val="bg-BG"/>
        </w:rPr>
      </w:pPr>
    </w:p>
    <w:p w:rsidR="009C13A9" w:rsidRPr="009072DA" w:rsidRDefault="00F04CAF" w:rsidP="009C13A9">
      <w:pPr>
        <w:spacing w:line="240" w:lineRule="atLeast"/>
        <w:jc w:val="center"/>
        <w:rPr>
          <w:rFonts w:cs="Arial"/>
          <w:b/>
          <w:lang w:val="bg-BG"/>
        </w:rPr>
      </w:pPr>
      <w:r w:rsidRPr="009072DA">
        <w:rPr>
          <w:b/>
          <w:lang w:val="bg-BG"/>
        </w:rPr>
        <w:t>Член 3</w:t>
      </w:r>
    </w:p>
    <w:p w:rsidR="009C13A9" w:rsidRPr="009072DA" w:rsidRDefault="009C13A9" w:rsidP="009C13A9">
      <w:pPr>
        <w:spacing w:line="240" w:lineRule="atLeast"/>
        <w:jc w:val="center"/>
        <w:rPr>
          <w:rFonts w:cs="Arial"/>
          <w:i/>
          <w:lang w:val="bg-BG"/>
        </w:rPr>
      </w:pPr>
      <w:r w:rsidRPr="009072DA">
        <w:rPr>
          <w:i/>
          <w:lang w:val="bg-BG"/>
        </w:rPr>
        <w:t xml:space="preserve">Изисквания относно монтирането на тахографи на борда </w:t>
      </w:r>
    </w:p>
    <w:p w:rsidR="009C13A9" w:rsidRPr="009072DA" w:rsidRDefault="009C13A9" w:rsidP="009C13A9">
      <w:pPr>
        <w:tabs>
          <w:tab w:val="left" w:pos="284"/>
          <w:tab w:val="left" w:leader="dot" w:pos="8505"/>
        </w:tabs>
        <w:ind w:left="284" w:hanging="284"/>
        <w:rPr>
          <w:lang w:val="bg-BG"/>
        </w:rPr>
      </w:pPr>
    </w:p>
    <w:p w:rsidR="009C13A9" w:rsidRPr="009072DA" w:rsidRDefault="009C13A9" w:rsidP="009C13A9">
      <w:pPr>
        <w:tabs>
          <w:tab w:val="left" w:pos="284"/>
          <w:tab w:val="left" w:leader="dot" w:pos="8505"/>
        </w:tabs>
        <w:ind w:left="284" w:hanging="284"/>
        <w:rPr>
          <w:lang w:val="bg-BG"/>
        </w:rPr>
      </w:pPr>
      <w:r w:rsidRPr="009072DA">
        <w:rPr>
          <w:lang w:val="bg-BG"/>
        </w:rPr>
        <w:t>Следните условия трябва да бъдат спазени при монтирането на тахографи на борда:</w:t>
      </w:r>
    </w:p>
    <w:p w:rsidR="009C13A9" w:rsidRPr="009072DA" w:rsidRDefault="009C13A9" w:rsidP="009C13A9">
      <w:pPr>
        <w:tabs>
          <w:tab w:val="left" w:pos="284"/>
          <w:tab w:val="left" w:leader="dot" w:pos="8505"/>
        </w:tabs>
        <w:ind w:left="284" w:hanging="284"/>
        <w:rPr>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Бордовите тахографи могат да бъдат монтирани само от специализирани фирми, одобрени от компетентния орган.</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Тахографът трябва да бъде монтиран в рулевата рубка или на друго лесно достъпно място.</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3.</w:t>
      </w:r>
      <w:r w:rsidRPr="009072DA">
        <w:rPr>
          <w:lang w:val="bg-BG"/>
        </w:rPr>
        <w:tab/>
      </w:r>
      <w:r w:rsidRPr="009072DA">
        <w:rPr>
          <w:color w:val="000000"/>
          <w:lang w:val="bg-BG"/>
        </w:rPr>
        <w:t>Трябва да бъде възможно да се установи визуално дали устройството функционира. Устройството трябва да бъде постоянно снабдено с електрическа мощност посредством непрекъсваема захранваща верига със собствен предпазител и пряко свързано с източника на захранване.</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4.</w:t>
      </w:r>
      <w:r w:rsidRPr="009072DA">
        <w:rPr>
          <w:lang w:val="bg-BG"/>
        </w:rPr>
        <w:tab/>
      </w:r>
      <w:r w:rsidRPr="009072DA">
        <w:rPr>
          <w:color w:val="000000"/>
          <w:lang w:val="bg-BG"/>
        </w:rPr>
        <w:t>Информация относно придвижването на плавателния съд, а именно дали той е „в движение“ или „не в движение“ се извлича от движението на задвижващата система. Съответният сигнал трябва да се извлича от въртенето на гребния винт, двигателния вал или от експлоатацията на задвижващия механизъм. В случай на различни системи за задвижване, трябва да се намери друго равностойно решение.</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5.</w:t>
      </w:r>
      <w:r w:rsidRPr="009072DA">
        <w:rPr>
          <w:lang w:val="bg-BG"/>
        </w:rPr>
        <w:tab/>
      </w:r>
      <w:r w:rsidRPr="009072DA">
        <w:rPr>
          <w:color w:val="000000"/>
          <w:lang w:val="bg-BG"/>
        </w:rPr>
        <w:t>Техническото оборудване за установяване на движението на плавателния съд трябва да бъде монтирано така, че да е оперативно надеждно и защитено от неразрешена намеса. За тази цел веригата за предаване на сигнали (включително генератора на сигнал и сигналния вход на устройството), от системата за задвижване до устройството, трябва да бъде защитена с подходящи средства, като се следи за всяко прекъсване на веригата. Подходящи за тази цел са например пломбиращи печати с идентификационни маркировки, видими кабелни канали или вериги за следене.</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lang w:val="bg-BG"/>
        </w:rPr>
        <w:br w:type="page"/>
      </w:r>
    </w:p>
    <w:p w:rsidR="00B70FC2" w:rsidRPr="009072DA" w:rsidRDefault="00B70FC2"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6.</w:t>
      </w:r>
      <w:r w:rsidRPr="009072DA">
        <w:rPr>
          <w:lang w:val="bg-BG"/>
        </w:rPr>
        <w:tab/>
      </w:r>
      <w:r w:rsidRPr="009072DA">
        <w:rPr>
          <w:color w:val="000000"/>
          <w:lang w:val="bg-BG"/>
        </w:rPr>
        <w:t>След приключване на монтажа специализираната фирма, която е осъществила или контролирала монтажа, извършва работно изпитване. Тя издава удостоверение за характеристиките на монтажа (по-специално местоположението и вида на печатите и маркировките по тях, местоположението и вида на оборудването за следене) и удостоверява също, че то функционира правилно; удостоверението трябва също така да предоставя информация относно вида на одобреното устройство. Ново работно изпитване е необходимо след всяка замяна, изменение или ремонт; това изпитване трябва да бъде посочено в удостоверението.</w:t>
      </w:r>
    </w:p>
    <w:p w:rsidR="009C13A9" w:rsidRPr="009072DA" w:rsidRDefault="009C13A9" w:rsidP="009C13A9">
      <w:pPr>
        <w:tabs>
          <w:tab w:val="left" w:pos="284"/>
          <w:tab w:val="left" w:leader="dot" w:pos="8505"/>
        </w:tabs>
        <w:ind w:left="284" w:hanging="284"/>
        <w:rPr>
          <w:lang w:val="bg-BG"/>
        </w:rPr>
      </w:pPr>
    </w:p>
    <w:p w:rsidR="009C13A9" w:rsidRPr="009072DA" w:rsidRDefault="009C13A9" w:rsidP="009C13A9">
      <w:pPr>
        <w:spacing w:line="240" w:lineRule="atLeast"/>
        <w:ind w:left="426"/>
        <w:rPr>
          <w:lang w:val="bg-BG"/>
        </w:rPr>
      </w:pPr>
      <w:r w:rsidRPr="009072DA">
        <w:rPr>
          <w:lang w:val="bg-BG"/>
        </w:rPr>
        <w:t>Удостоверението трябва да съдържа минимум следните данни:</w:t>
      </w:r>
    </w:p>
    <w:p w:rsidR="009C13A9" w:rsidRPr="009072DA" w:rsidRDefault="009C13A9" w:rsidP="009C13A9">
      <w:pPr>
        <w:spacing w:before="60" w:line="240" w:lineRule="atLeast"/>
        <w:ind w:left="851"/>
        <w:rPr>
          <w:rFonts w:cs="Arial"/>
          <w:lang w:val="bg-BG"/>
        </w:rPr>
      </w:pPr>
      <w:r w:rsidRPr="009072DA">
        <w:rPr>
          <w:lang w:val="bg-BG"/>
        </w:rPr>
        <w:t>-</w:t>
      </w:r>
      <w:r w:rsidRPr="009072DA">
        <w:rPr>
          <w:lang w:val="bg-BG"/>
        </w:rPr>
        <w:tab/>
        <w:t>наименование, адрес и уникален референтен номер на одобрена специализирана фирма, която е извършила или контролирала монтажа;</w:t>
      </w:r>
    </w:p>
    <w:p w:rsidR="009C13A9" w:rsidRPr="009072DA" w:rsidRDefault="009C13A9" w:rsidP="009C13A9">
      <w:pPr>
        <w:spacing w:before="60" w:line="240" w:lineRule="atLeast"/>
        <w:ind w:left="851"/>
        <w:rPr>
          <w:rFonts w:cs="Arial"/>
          <w:lang w:val="bg-BG"/>
        </w:rPr>
      </w:pPr>
      <w:r w:rsidRPr="009072DA">
        <w:rPr>
          <w:lang w:val="bg-BG"/>
        </w:rPr>
        <w:t>-</w:t>
      </w:r>
      <w:r w:rsidRPr="009072DA">
        <w:rPr>
          <w:lang w:val="bg-BG"/>
        </w:rPr>
        <w:tab/>
        <w:t>наименование, адрес и телефонен номер на компетентния орган, който е одобрил фирмата;</w:t>
      </w:r>
    </w:p>
    <w:p w:rsidR="009C13A9" w:rsidRPr="009072DA" w:rsidRDefault="009C13A9" w:rsidP="009C13A9">
      <w:pPr>
        <w:spacing w:before="60" w:line="240" w:lineRule="atLeast"/>
        <w:ind w:left="851"/>
        <w:rPr>
          <w:rFonts w:cs="Arial"/>
          <w:lang w:val="bg-BG"/>
        </w:rPr>
      </w:pPr>
      <w:r w:rsidRPr="009072DA">
        <w:rPr>
          <w:lang w:val="bg-BG"/>
        </w:rPr>
        <w:t>-</w:t>
      </w:r>
      <w:r w:rsidRPr="009072DA">
        <w:rPr>
          <w:lang w:val="bg-BG"/>
        </w:rPr>
        <w:tab/>
        <w:t>уникален европейски идентификационен номер на плавателните съдове или официален номер на плавателния съд;</w:t>
      </w:r>
    </w:p>
    <w:p w:rsidR="009C13A9" w:rsidRPr="009072DA" w:rsidRDefault="009C13A9" w:rsidP="009C13A9">
      <w:pPr>
        <w:spacing w:before="60" w:line="240" w:lineRule="atLeast"/>
        <w:ind w:left="851"/>
        <w:rPr>
          <w:rFonts w:cs="Arial"/>
          <w:lang w:val="bg-BG"/>
        </w:rPr>
      </w:pPr>
      <w:r w:rsidRPr="009072DA">
        <w:rPr>
          <w:lang w:val="bg-BG"/>
        </w:rPr>
        <w:t>-</w:t>
      </w:r>
      <w:r w:rsidRPr="009072DA">
        <w:rPr>
          <w:lang w:val="bg-BG"/>
        </w:rPr>
        <w:tab/>
        <w:t>тип и сериен номер на тахографа;</w:t>
      </w:r>
    </w:p>
    <w:p w:rsidR="009C13A9" w:rsidRPr="009072DA" w:rsidRDefault="009C13A9" w:rsidP="009C13A9">
      <w:pPr>
        <w:spacing w:before="60" w:line="240" w:lineRule="atLeast"/>
        <w:ind w:left="851"/>
        <w:rPr>
          <w:rFonts w:cs="Arial"/>
          <w:lang w:val="bg-BG"/>
        </w:rPr>
      </w:pPr>
      <w:r w:rsidRPr="009072DA">
        <w:rPr>
          <w:lang w:val="bg-BG"/>
        </w:rPr>
        <w:t>-</w:t>
      </w:r>
      <w:r w:rsidRPr="009072DA">
        <w:rPr>
          <w:lang w:val="bg-BG"/>
        </w:rPr>
        <w:tab/>
        <w:t>дата на работното изпитване.</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Удостоверението е валидно 5 години.</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Целта на удостоверението е да докаже, че устройството е одобрено, монтирано от одобрена специализирана фирма и е било изпитано за надеждна работа.</w:t>
      </w:r>
    </w:p>
    <w:p w:rsidR="009C13A9" w:rsidRPr="009072DA" w:rsidRDefault="009C13A9" w:rsidP="009C13A9">
      <w:pPr>
        <w:tabs>
          <w:tab w:val="left" w:pos="284"/>
          <w:tab w:val="left" w:pos="567"/>
        </w:tabs>
        <w:ind w:left="284" w:hanging="284"/>
        <w:rPr>
          <w:lang w:val="bg-BG"/>
        </w:rPr>
      </w:pPr>
    </w:p>
    <w:p w:rsidR="009C13A9" w:rsidRPr="009072DA" w:rsidRDefault="009C13A9" w:rsidP="009C13A9">
      <w:pPr>
        <w:tabs>
          <w:tab w:val="left" w:pos="284"/>
          <w:tab w:val="left" w:pos="567"/>
        </w:tabs>
        <w:ind w:left="284" w:hanging="284"/>
        <w:rPr>
          <w:lang w:val="bg-BG"/>
        </w:rPr>
      </w:pPr>
      <w:r w:rsidRPr="009072DA">
        <w:rPr>
          <w:lang w:val="bg-BG"/>
        </w:rPr>
        <w:t>7.</w:t>
      </w:r>
      <w:r w:rsidRPr="009072DA">
        <w:rPr>
          <w:lang w:val="bg-BG"/>
        </w:rPr>
        <w:tab/>
        <w:t>Екипажът на плавателния съд трябва да е обучен за използване на устройството от одобрената фирма и инструкциите за потребителите трябва да бъдат предадени за пазене на борда. Това трябва да се посочи в удостоверението за монтаж на борда.</w:t>
      </w:r>
    </w:p>
    <w:p w:rsidR="009C13A9" w:rsidRPr="009072DA" w:rsidRDefault="009C13A9" w:rsidP="009C13A9">
      <w:pPr>
        <w:tabs>
          <w:tab w:val="left" w:pos="284"/>
          <w:tab w:val="left" w:pos="567"/>
        </w:tabs>
        <w:ind w:left="284" w:hanging="284"/>
        <w:rPr>
          <w:lang w:val="bg-BG"/>
        </w:rPr>
      </w:pPr>
    </w:p>
    <w:p w:rsidR="009C13A9" w:rsidRPr="009072DA" w:rsidRDefault="009C13A9" w:rsidP="009C13A9">
      <w:pPr>
        <w:tabs>
          <w:tab w:val="left" w:pos="284"/>
          <w:tab w:val="left" w:pos="567"/>
        </w:tabs>
        <w:ind w:left="284" w:hanging="284"/>
        <w:rPr>
          <w:lang w:val="bg-BG"/>
        </w:rPr>
      </w:pPr>
    </w:p>
    <w:p w:rsidR="009C13A9" w:rsidRPr="009072DA" w:rsidRDefault="009C13A9" w:rsidP="009C13A9">
      <w:pPr>
        <w:tabs>
          <w:tab w:val="left" w:pos="284"/>
          <w:tab w:val="left" w:pos="567"/>
        </w:tabs>
        <w:ind w:left="284" w:hanging="284"/>
        <w:rPr>
          <w:lang w:val="bg-BG"/>
        </w:rPr>
      </w:pPr>
      <w:r w:rsidRPr="009072DA">
        <w:rPr>
          <w:lang w:val="bg-BG"/>
        </w:rPr>
        <w:br w:type="page"/>
      </w:r>
    </w:p>
    <w:p w:rsidR="009C13A9" w:rsidRPr="009072DA" w:rsidRDefault="009C13A9" w:rsidP="009C13A9">
      <w:pPr>
        <w:tabs>
          <w:tab w:val="left" w:pos="284"/>
          <w:tab w:val="left" w:pos="567"/>
        </w:tabs>
        <w:ind w:left="284" w:hanging="284"/>
        <w:rPr>
          <w:lang w:val="bg-BG"/>
        </w:rPr>
      </w:pPr>
    </w:p>
    <w:p w:rsidR="009C13A9" w:rsidRPr="009072DA" w:rsidRDefault="009C13A9" w:rsidP="009C13A9">
      <w:pPr>
        <w:tabs>
          <w:tab w:val="left" w:pos="284"/>
          <w:tab w:val="left" w:pos="567"/>
        </w:tabs>
        <w:ind w:left="284" w:hanging="284"/>
        <w:rPr>
          <w:lang w:val="bg-BG"/>
        </w:rPr>
      </w:pPr>
    </w:p>
    <w:p w:rsidR="009C13A9" w:rsidRPr="009072DA" w:rsidRDefault="009C13A9" w:rsidP="009C13A9">
      <w:pPr>
        <w:tabs>
          <w:tab w:val="left" w:pos="284"/>
          <w:tab w:val="left" w:pos="567"/>
        </w:tabs>
        <w:ind w:left="284" w:hanging="284"/>
        <w:rPr>
          <w:lang w:val="bg-BG"/>
        </w:rPr>
      </w:pPr>
    </w:p>
    <w:p w:rsidR="009C13A9" w:rsidRPr="009072DA" w:rsidRDefault="009C13A9" w:rsidP="009C13A9">
      <w:pPr>
        <w:tabs>
          <w:tab w:val="left" w:pos="284"/>
          <w:tab w:val="left" w:pos="567"/>
        </w:tabs>
        <w:ind w:left="284" w:hanging="284"/>
        <w:rPr>
          <w:lang w:val="bg-BG"/>
        </w:rPr>
      </w:pPr>
    </w:p>
    <w:p w:rsidR="009C13A9" w:rsidRPr="009072DA" w:rsidRDefault="009C13A9" w:rsidP="009C13A9">
      <w:pPr>
        <w:tabs>
          <w:tab w:val="left" w:pos="284"/>
          <w:tab w:val="left" w:pos="567"/>
        </w:tabs>
        <w:ind w:left="284" w:hanging="284"/>
        <w:rPr>
          <w:lang w:val="bg-BG"/>
        </w:rPr>
      </w:pPr>
      <w:r w:rsidRPr="009072DA">
        <w:rPr>
          <w:lang w:val="bg-BG"/>
        </w:rPr>
        <w:br w:type="page"/>
      </w:r>
    </w:p>
    <w:p w:rsidR="009C13A9" w:rsidRPr="009072DA" w:rsidRDefault="00925755" w:rsidP="00C92BD2">
      <w:pPr>
        <w:pStyle w:val="ES-Titre3"/>
        <w:rPr>
          <w:lang w:val="bg-BG"/>
        </w:rPr>
      </w:pPr>
      <w:bookmarkStart w:id="655" w:name="_Toc491854320"/>
      <w:bookmarkStart w:id="656" w:name="_Toc535827761"/>
      <w:r w:rsidRPr="009072DA">
        <w:rPr>
          <w:lang w:val="bg-BG"/>
        </w:rPr>
        <w:lastRenderedPageBreak/>
        <w:t>Раздел VI</w:t>
      </w:r>
      <w:bookmarkEnd w:id="655"/>
      <w:bookmarkEnd w:id="656"/>
    </w:p>
    <w:p w:rsidR="009C13A9" w:rsidRPr="009072DA" w:rsidRDefault="009C13A9" w:rsidP="00C92BD2">
      <w:pPr>
        <w:pStyle w:val="ES-Titre3a"/>
        <w:rPr>
          <w:lang w:val="bg-BG"/>
        </w:rPr>
      </w:pPr>
      <w:bookmarkStart w:id="657" w:name="_Toc491854321"/>
      <w:bookmarkStart w:id="658" w:name="_Toc535827762"/>
      <w:r w:rsidRPr="009072DA">
        <w:rPr>
          <w:lang w:val="bg-BG"/>
        </w:rPr>
        <w:t>Удостоверение за монтажа и показателите за навигационно радиолокационно оборудване, индикатори на ъгловата скорост на поворот, оборудване за AIS за вътрешните водни пътища</w:t>
      </w:r>
      <w:bookmarkEnd w:id="657"/>
      <w:bookmarkEnd w:id="658"/>
    </w:p>
    <w:p w:rsidR="009C13A9" w:rsidRPr="009072DA" w:rsidRDefault="009C13A9" w:rsidP="009C13A9">
      <w:pPr>
        <w:overflowPunct w:val="0"/>
        <w:adjustRightInd w:val="0"/>
        <w:spacing w:line="240" w:lineRule="exact"/>
        <w:jc w:val="center"/>
        <w:textAlignment w:val="baseline"/>
        <w:rPr>
          <w:rFonts w:eastAsia="Calibri"/>
          <w:szCs w:val="20"/>
          <w:lang w:val="bg-BG"/>
        </w:rPr>
      </w:pPr>
      <w:r w:rsidRPr="009072DA">
        <w:rPr>
          <w:lang w:val="bg-BG"/>
        </w:rPr>
        <w:t>(Образец)</w:t>
      </w:r>
    </w:p>
    <w:p w:rsidR="009C13A9" w:rsidRPr="009072DA" w:rsidRDefault="009C13A9" w:rsidP="009C13A9">
      <w:pPr>
        <w:tabs>
          <w:tab w:val="left" w:leader="dot" w:pos="9072"/>
        </w:tabs>
        <w:spacing w:line="240" w:lineRule="atLeast"/>
        <w:rPr>
          <w:rFonts w:cs="Arial"/>
          <w:snapToGrid w:val="0"/>
          <w:lang w:val="bg-BG"/>
        </w:rPr>
      </w:pPr>
    </w:p>
    <w:p w:rsidR="009C13A9" w:rsidRPr="009072DA" w:rsidRDefault="009C13A9" w:rsidP="009C13A9">
      <w:pPr>
        <w:tabs>
          <w:tab w:val="left" w:leader="dot" w:pos="9072"/>
        </w:tabs>
        <w:spacing w:after="120"/>
        <w:rPr>
          <w:rFonts w:cs="Arial"/>
          <w:szCs w:val="20"/>
          <w:lang w:val="bg-BG"/>
        </w:rPr>
      </w:pPr>
      <w:r w:rsidRPr="009072DA">
        <w:rPr>
          <w:lang w:val="bg-BG"/>
        </w:rPr>
        <w:t xml:space="preserve">Име/тип на плавателния съд: </w:t>
      </w:r>
      <w:r w:rsidRPr="009072DA">
        <w:rPr>
          <w:lang w:val="bg-BG"/>
        </w:rPr>
        <w:tab/>
      </w:r>
    </w:p>
    <w:p w:rsidR="009C13A9" w:rsidRPr="009072DA" w:rsidRDefault="006D37CC" w:rsidP="009C13A9">
      <w:pPr>
        <w:tabs>
          <w:tab w:val="left" w:leader="dot" w:pos="9072"/>
        </w:tabs>
        <w:spacing w:after="120"/>
        <w:rPr>
          <w:rFonts w:cs="Arial"/>
          <w:szCs w:val="20"/>
          <w:lang w:val="bg-BG"/>
        </w:rPr>
      </w:pPr>
      <w:r w:rsidRPr="009072DA">
        <w:rPr>
          <w:lang w:val="bg-BG"/>
        </w:rPr>
        <w:t>Уникален европейски</w:t>
      </w:r>
      <w:r w:rsidRPr="009072DA">
        <w:rPr>
          <w:i/>
          <w:lang w:val="bg-BG"/>
        </w:rPr>
        <w:t xml:space="preserve"> </w:t>
      </w:r>
      <w:r w:rsidRPr="009072DA">
        <w:rPr>
          <w:lang w:val="bg-BG"/>
        </w:rPr>
        <w:t xml:space="preserve">идентификационен номер на плавателния съд: </w:t>
      </w:r>
      <w:r w:rsidRPr="009072DA">
        <w:rPr>
          <w:lang w:val="bg-BG"/>
        </w:rPr>
        <w:tab/>
      </w:r>
    </w:p>
    <w:p w:rsidR="009C13A9" w:rsidRPr="009072DA" w:rsidRDefault="009C13A9" w:rsidP="009C13A9">
      <w:pPr>
        <w:tabs>
          <w:tab w:val="left" w:leader="dot" w:pos="9072"/>
        </w:tabs>
        <w:spacing w:after="120"/>
        <w:rPr>
          <w:rFonts w:cs="Arial"/>
          <w:szCs w:val="20"/>
          <w:lang w:val="bg-BG"/>
        </w:rPr>
      </w:pPr>
      <w:r w:rsidRPr="009072DA">
        <w:rPr>
          <w:b/>
          <w:lang w:val="bg-BG"/>
        </w:rPr>
        <w:t>Собственик на плавателния съд:</w:t>
      </w:r>
      <w:r w:rsidRPr="009072DA">
        <w:rPr>
          <w:lang w:val="bg-BG"/>
        </w:rPr>
        <w:t xml:space="preserve"> </w:t>
      </w:r>
    </w:p>
    <w:p w:rsidR="009C13A9" w:rsidRPr="009072DA" w:rsidRDefault="009C13A9" w:rsidP="009C13A9">
      <w:pPr>
        <w:tabs>
          <w:tab w:val="left" w:leader="dot" w:pos="4536"/>
        </w:tabs>
        <w:spacing w:after="120"/>
        <w:rPr>
          <w:rFonts w:cs="Arial"/>
          <w:szCs w:val="20"/>
          <w:lang w:val="bg-BG"/>
        </w:rPr>
      </w:pPr>
      <w:r w:rsidRPr="009072DA">
        <w:rPr>
          <w:lang w:val="bg-BG"/>
        </w:rPr>
        <w:t xml:space="preserve">Име: </w:t>
      </w:r>
      <w:r w:rsidRPr="009072DA">
        <w:rPr>
          <w:lang w:val="bg-BG"/>
        </w:rPr>
        <w:tab/>
      </w:r>
    </w:p>
    <w:p w:rsidR="009C13A9" w:rsidRPr="009072DA" w:rsidRDefault="009C13A9" w:rsidP="009C13A9">
      <w:pPr>
        <w:tabs>
          <w:tab w:val="left" w:leader="dot" w:pos="9072"/>
        </w:tabs>
        <w:spacing w:after="120"/>
        <w:rPr>
          <w:rFonts w:cs="Arial"/>
          <w:szCs w:val="20"/>
          <w:lang w:val="bg-BG"/>
        </w:rPr>
      </w:pPr>
      <w:r w:rsidRPr="009072DA">
        <w:rPr>
          <w:lang w:val="bg-BG"/>
        </w:rPr>
        <w:t xml:space="preserve">Адрес: </w:t>
      </w:r>
      <w:r w:rsidRPr="009072DA">
        <w:rPr>
          <w:lang w:val="bg-BG"/>
        </w:rPr>
        <w:tab/>
      </w:r>
    </w:p>
    <w:p w:rsidR="009C13A9" w:rsidRPr="009072DA" w:rsidRDefault="009C13A9" w:rsidP="005C3F09">
      <w:pPr>
        <w:tabs>
          <w:tab w:val="left" w:leader="dot" w:pos="3119"/>
        </w:tabs>
        <w:rPr>
          <w:rFonts w:cs="Arial"/>
          <w:szCs w:val="20"/>
          <w:lang w:val="bg-BG"/>
        </w:rPr>
      </w:pPr>
      <w:r w:rsidRPr="009072DA">
        <w:rPr>
          <w:lang w:val="bg-BG"/>
        </w:rPr>
        <w:t xml:space="preserve">Телефон: </w:t>
      </w:r>
      <w:r w:rsidRPr="009072DA">
        <w:rPr>
          <w:lang w:val="bg-BG"/>
        </w:rPr>
        <w:tab/>
      </w:r>
    </w:p>
    <w:p w:rsidR="009C13A9" w:rsidRPr="009072DA" w:rsidRDefault="009C13A9" w:rsidP="003E6750">
      <w:pPr>
        <w:tabs>
          <w:tab w:val="left" w:leader="dot" w:pos="9072"/>
        </w:tabs>
        <w:spacing w:line="240" w:lineRule="atLeast"/>
        <w:rPr>
          <w:rFonts w:cs="Arial"/>
          <w:snapToGrid w:val="0"/>
          <w:lang w:val="bg-BG"/>
        </w:rPr>
      </w:pPr>
    </w:p>
    <w:p w:rsidR="009C13A9" w:rsidRPr="009072DA" w:rsidRDefault="009C13A9" w:rsidP="003E6750">
      <w:pPr>
        <w:tabs>
          <w:tab w:val="left" w:pos="284"/>
          <w:tab w:val="left" w:pos="5670"/>
          <w:tab w:val="left" w:leader="dot" w:pos="7655"/>
        </w:tabs>
        <w:overflowPunct w:val="0"/>
        <w:adjustRightInd w:val="0"/>
        <w:textAlignment w:val="baseline"/>
        <w:rPr>
          <w:rFonts w:cs="Arial"/>
          <w:snapToGrid w:val="0"/>
          <w:szCs w:val="20"/>
          <w:lang w:val="bg-BG"/>
        </w:rPr>
      </w:pPr>
      <w:r w:rsidRPr="009072DA">
        <w:rPr>
          <w:b/>
          <w:snapToGrid w:val="0"/>
          <w:lang w:val="bg-BG"/>
        </w:rPr>
        <w:t>Навигационно радиолокационно оборудване:</w:t>
      </w:r>
      <w:r w:rsidRPr="009072DA">
        <w:rPr>
          <w:lang w:val="bg-BG"/>
        </w:rPr>
        <w:tab/>
        <w:t xml:space="preserve">Номер: </w:t>
      </w:r>
      <w:r w:rsidRPr="009072DA">
        <w:rPr>
          <w:lang w:val="bg-BG"/>
        </w:rPr>
        <w:tab/>
      </w:r>
    </w:p>
    <w:p w:rsidR="009C13A9" w:rsidRPr="009072DA" w:rsidRDefault="009C13A9" w:rsidP="009C13A9">
      <w:pPr>
        <w:tabs>
          <w:tab w:val="left" w:leader="dot" w:pos="9072"/>
        </w:tabs>
        <w:spacing w:line="240" w:lineRule="atLeast"/>
        <w:rPr>
          <w:rFonts w:cs="Arial"/>
          <w:snapToGrid w:val="0"/>
          <w:lang w:val="bg-BG"/>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9C13A9" w:rsidRPr="009072DA" w:rsidTr="009C13A9">
        <w:trPr>
          <w:cantSplit/>
        </w:trPr>
        <w:tc>
          <w:tcPr>
            <w:tcW w:w="1814" w:type="dxa"/>
            <w:tcBorders>
              <w:bottom w:val="single" w:sz="6" w:space="0" w:color="auto"/>
              <w:right w:val="single" w:sz="6" w:space="0" w:color="auto"/>
            </w:tcBorders>
          </w:tcPr>
          <w:p w:rsidR="009C13A9" w:rsidRPr="009072DA" w:rsidRDefault="009C13A9" w:rsidP="009C13A9">
            <w:pPr>
              <w:jc w:val="center"/>
              <w:rPr>
                <w:sz w:val="16"/>
                <w:szCs w:val="20"/>
                <w:lang w:val="bg-BG"/>
              </w:rPr>
            </w:pPr>
            <w:r w:rsidRPr="009072DA">
              <w:rPr>
                <w:sz w:val="16"/>
                <w:lang w:val="bg-BG"/>
              </w:rPr>
              <w:t>Номер на съоръжение</w:t>
            </w:r>
          </w:p>
        </w:tc>
        <w:tc>
          <w:tcPr>
            <w:tcW w:w="1814" w:type="dxa"/>
            <w:tcBorders>
              <w:left w:val="single" w:sz="6" w:space="0" w:color="auto"/>
              <w:bottom w:val="single" w:sz="6" w:space="0" w:color="auto"/>
              <w:right w:val="single" w:sz="6" w:space="0" w:color="auto"/>
            </w:tcBorders>
          </w:tcPr>
          <w:p w:rsidR="009C13A9" w:rsidRPr="009072DA" w:rsidRDefault="009C13A9" w:rsidP="009C13A9">
            <w:pPr>
              <w:jc w:val="center"/>
              <w:rPr>
                <w:sz w:val="16"/>
                <w:szCs w:val="20"/>
                <w:lang w:val="bg-BG"/>
              </w:rPr>
            </w:pPr>
            <w:r w:rsidRPr="009072DA">
              <w:rPr>
                <w:sz w:val="16"/>
                <w:lang w:val="bg-BG"/>
              </w:rPr>
              <w:t>Тип</w:t>
            </w:r>
          </w:p>
        </w:tc>
        <w:tc>
          <w:tcPr>
            <w:tcW w:w="1814" w:type="dxa"/>
            <w:tcBorders>
              <w:left w:val="single" w:sz="6" w:space="0" w:color="auto"/>
              <w:bottom w:val="single" w:sz="6" w:space="0" w:color="auto"/>
              <w:right w:val="single" w:sz="6" w:space="0" w:color="auto"/>
            </w:tcBorders>
          </w:tcPr>
          <w:p w:rsidR="009C13A9" w:rsidRPr="009072DA" w:rsidRDefault="009C13A9" w:rsidP="009C13A9">
            <w:pPr>
              <w:jc w:val="center"/>
              <w:rPr>
                <w:sz w:val="16"/>
                <w:szCs w:val="20"/>
                <w:lang w:val="bg-BG"/>
              </w:rPr>
            </w:pPr>
            <w:r w:rsidRPr="009072DA">
              <w:rPr>
                <w:sz w:val="16"/>
                <w:lang w:val="bg-BG"/>
              </w:rPr>
              <w:t>Производител</w:t>
            </w:r>
          </w:p>
        </w:tc>
        <w:tc>
          <w:tcPr>
            <w:tcW w:w="1814" w:type="dxa"/>
            <w:tcBorders>
              <w:left w:val="single" w:sz="6" w:space="0" w:color="auto"/>
              <w:bottom w:val="single" w:sz="6" w:space="0" w:color="auto"/>
              <w:right w:val="single" w:sz="6" w:space="0" w:color="auto"/>
            </w:tcBorders>
          </w:tcPr>
          <w:p w:rsidR="009C13A9" w:rsidRPr="009072DA" w:rsidRDefault="009C13A9" w:rsidP="009C13A9">
            <w:pPr>
              <w:jc w:val="center"/>
              <w:rPr>
                <w:sz w:val="16"/>
                <w:szCs w:val="20"/>
                <w:lang w:val="bg-BG"/>
              </w:rPr>
            </w:pPr>
            <w:r w:rsidRPr="009072DA">
              <w:rPr>
                <w:sz w:val="16"/>
                <w:lang w:val="bg-BG"/>
              </w:rPr>
              <w:t>Номер на одобрението на типа</w:t>
            </w:r>
          </w:p>
        </w:tc>
        <w:tc>
          <w:tcPr>
            <w:tcW w:w="1814" w:type="dxa"/>
            <w:tcBorders>
              <w:left w:val="single" w:sz="6" w:space="0" w:color="auto"/>
              <w:bottom w:val="single" w:sz="6" w:space="0" w:color="auto"/>
            </w:tcBorders>
          </w:tcPr>
          <w:p w:rsidR="009C13A9" w:rsidRPr="009072DA" w:rsidRDefault="009C13A9" w:rsidP="009C13A9">
            <w:pPr>
              <w:jc w:val="center"/>
              <w:rPr>
                <w:sz w:val="16"/>
                <w:szCs w:val="20"/>
                <w:lang w:val="bg-BG"/>
              </w:rPr>
            </w:pPr>
            <w:r w:rsidRPr="009072DA">
              <w:rPr>
                <w:sz w:val="16"/>
                <w:lang w:val="bg-BG"/>
              </w:rPr>
              <w:t>Сериен номер</w:t>
            </w:r>
          </w:p>
        </w:tc>
      </w:tr>
      <w:tr w:rsidR="009C13A9" w:rsidRPr="009072DA" w:rsidTr="009C13A9">
        <w:trPr>
          <w:cantSplit/>
        </w:trPr>
        <w:tc>
          <w:tcPr>
            <w:tcW w:w="1814" w:type="dxa"/>
            <w:tcBorders>
              <w:top w:val="single" w:sz="6" w:space="0" w:color="auto"/>
              <w:right w:val="single" w:sz="6" w:space="0" w:color="auto"/>
            </w:tcBorders>
          </w:tcPr>
          <w:p w:rsidR="009C13A9" w:rsidRPr="009072DA" w:rsidRDefault="009C13A9" w:rsidP="009C13A9">
            <w:pPr>
              <w:tabs>
                <w:tab w:val="left" w:pos="284"/>
              </w:tabs>
              <w:overflowPunct w:val="0"/>
              <w:adjustRightInd w:val="0"/>
              <w:ind w:hanging="397"/>
              <w:jc w:val="center"/>
              <w:textAlignment w:val="baseline"/>
              <w:rPr>
                <w:rFonts w:cs="Arial"/>
                <w:snapToGrid w:val="0"/>
                <w:szCs w:val="20"/>
                <w:lang w:val="bg-BG"/>
              </w:rPr>
            </w:pPr>
          </w:p>
        </w:tc>
        <w:tc>
          <w:tcPr>
            <w:tcW w:w="1814" w:type="dxa"/>
            <w:tcBorders>
              <w:top w:val="single" w:sz="6" w:space="0" w:color="auto"/>
              <w:left w:val="single" w:sz="6" w:space="0" w:color="auto"/>
              <w:right w:val="single" w:sz="6" w:space="0" w:color="auto"/>
            </w:tcBorders>
          </w:tcPr>
          <w:p w:rsidR="009C13A9" w:rsidRPr="009072DA" w:rsidRDefault="009C13A9" w:rsidP="009C13A9">
            <w:pPr>
              <w:tabs>
                <w:tab w:val="left" w:pos="284"/>
              </w:tabs>
              <w:overflowPunct w:val="0"/>
              <w:adjustRightInd w:val="0"/>
              <w:ind w:hanging="397"/>
              <w:jc w:val="center"/>
              <w:textAlignment w:val="baseline"/>
              <w:rPr>
                <w:rFonts w:cs="Arial"/>
                <w:snapToGrid w:val="0"/>
                <w:sz w:val="16"/>
                <w:szCs w:val="16"/>
                <w:lang w:val="bg-BG"/>
              </w:rPr>
            </w:pPr>
          </w:p>
        </w:tc>
        <w:tc>
          <w:tcPr>
            <w:tcW w:w="1814" w:type="dxa"/>
            <w:tcBorders>
              <w:top w:val="single" w:sz="6" w:space="0" w:color="auto"/>
              <w:left w:val="single" w:sz="6" w:space="0" w:color="auto"/>
              <w:right w:val="single" w:sz="6" w:space="0" w:color="auto"/>
            </w:tcBorders>
          </w:tcPr>
          <w:p w:rsidR="009C13A9" w:rsidRPr="009072DA" w:rsidRDefault="009C13A9" w:rsidP="009C13A9">
            <w:pPr>
              <w:tabs>
                <w:tab w:val="left" w:pos="284"/>
              </w:tabs>
              <w:overflowPunct w:val="0"/>
              <w:adjustRightInd w:val="0"/>
              <w:ind w:hanging="397"/>
              <w:jc w:val="center"/>
              <w:textAlignment w:val="baseline"/>
              <w:rPr>
                <w:rFonts w:cs="Arial"/>
                <w:snapToGrid w:val="0"/>
                <w:szCs w:val="20"/>
                <w:lang w:val="bg-BG"/>
              </w:rPr>
            </w:pPr>
          </w:p>
        </w:tc>
        <w:tc>
          <w:tcPr>
            <w:tcW w:w="1814" w:type="dxa"/>
            <w:tcBorders>
              <w:top w:val="single" w:sz="6" w:space="0" w:color="auto"/>
              <w:left w:val="single" w:sz="6" w:space="0" w:color="auto"/>
              <w:right w:val="single" w:sz="6" w:space="0" w:color="auto"/>
            </w:tcBorders>
          </w:tcPr>
          <w:p w:rsidR="009C13A9" w:rsidRPr="009072DA" w:rsidRDefault="009C13A9" w:rsidP="009C13A9">
            <w:pPr>
              <w:tabs>
                <w:tab w:val="left" w:pos="284"/>
              </w:tabs>
              <w:overflowPunct w:val="0"/>
              <w:adjustRightInd w:val="0"/>
              <w:ind w:hanging="397"/>
              <w:jc w:val="center"/>
              <w:textAlignment w:val="baseline"/>
              <w:rPr>
                <w:rFonts w:cs="Arial"/>
                <w:snapToGrid w:val="0"/>
                <w:szCs w:val="20"/>
                <w:lang w:val="bg-BG"/>
              </w:rPr>
            </w:pPr>
          </w:p>
        </w:tc>
        <w:tc>
          <w:tcPr>
            <w:tcW w:w="1814" w:type="dxa"/>
            <w:tcBorders>
              <w:top w:val="single" w:sz="6" w:space="0" w:color="auto"/>
              <w:left w:val="single" w:sz="6" w:space="0" w:color="auto"/>
            </w:tcBorders>
          </w:tcPr>
          <w:p w:rsidR="009C13A9" w:rsidRPr="009072DA" w:rsidRDefault="009C13A9" w:rsidP="009C13A9">
            <w:pPr>
              <w:tabs>
                <w:tab w:val="left" w:pos="284"/>
              </w:tabs>
              <w:overflowPunct w:val="0"/>
              <w:adjustRightInd w:val="0"/>
              <w:ind w:hanging="397"/>
              <w:jc w:val="center"/>
              <w:textAlignment w:val="baseline"/>
              <w:rPr>
                <w:rFonts w:cs="Arial"/>
                <w:snapToGrid w:val="0"/>
                <w:szCs w:val="20"/>
                <w:lang w:val="bg-BG"/>
              </w:rPr>
            </w:pPr>
          </w:p>
        </w:tc>
      </w:tr>
    </w:tbl>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pos="284"/>
          <w:tab w:val="left" w:pos="5670"/>
          <w:tab w:val="left" w:leader="dot" w:pos="7655"/>
        </w:tabs>
        <w:overflowPunct w:val="0"/>
        <w:adjustRightInd w:val="0"/>
        <w:textAlignment w:val="baseline"/>
        <w:rPr>
          <w:rFonts w:cs="Arial"/>
          <w:snapToGrid w:val="0"/>
          <w:szCs w:val="20"/>
          <w:lang w:val="bg-BG"/>
        </w:rPr>
      </w:pPr>
      <w:r w:rsidRPr="009072DA">
        <w:rPr>
          <w:b/>
          <w:snapToGrid w:val="0"/>
          <w:lang w:val="bg-BG"/>
        </w:rPr>
        <w:t>Индикатори на ъгловата скорост на поворот</w:t>
      </w:r>
      <w:r w:rsidRPr="009072DA">
        <w:rPr>
          <w:lang w:val="bg-BG"/>
        </w:rPr>
        <w:t>:</w:t>
      </w:r>
      <w:r w:rsidRPr="009072DA">
        <w:rPr>
          <w:lang w:val="bg-BG"/>
        </w:rPr>
        <w:tab/>
        <w:t xml:space="preserve">Номер: </w:t>
      </w:r>
      <w:r w:rsidRPr="009072DA">
        <w:rPr>
          <w:lang w:val="bg-BG"/>
        </w:rPr>
        <w:tab/>
      </w:r>
    </w:p>
    <w:p w:rsidR="009C13A9" w:rsidRPr="009072DA" w:rsidRDefault="009C13A9" w:rsidP="009C13A9">
      <w:pPr>
        <w:tabs>
          <w:tab w:val="left" w:leader="dot" w:pos="9072"/>
        </w:tabs>
        <w:spacing w:line="240" w:lineRule="atLeast"/>
        <w:rPr>
          <w:rFonts w:cs="Arial"/>
          <w:snapToGrid w:val="0"/>
          <w:lang w:val="bg-BG"/>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9C13A9" w:rsidRPr="009072DA" w:rsidTr="009C13A9">
        <w:trPr>
          <w:cantSplit/>
        </w:trPr>
        <w:tc>
          <w:tcPr>
            <w:tcW w:w="1814" w:type="dxa"/>
            <w:tcBorders>
              <w:bottom w:val="single" w:sz="6" w:space="0" w:color="auto"/>
              <w:right w:val="single" w:sz="6" w:space="0" w:color="auto"/>
            </w:tcBorders>
          </w:tcPr>
          <w:p w:rsidR="009C13A9" w:rsidRPr="009072DA" w:rsidRDefault="009C13A9" w:rsidP="009C13A9">
            <w:pPr>
              <w:jc w:val="center"/>
              <w:rPr>
                <w:sz w:val="16"/>
                <w:szCs w:val="20"/>
                <w:lang w:val="bg-BG"/>
              </w:rPr>
            </w:pPr>
            <w:r w:rsidRPr="009072DA">
              <w:rPr>
                <w:sz w:val="16"/>
                <w:lang w:val="bg-BG"/>
              </w:rPr>
              <w:t>Номер на съоръжение</w:t>
            </w:r>
          </w:p>
        </w:tc>
        <w:tc>
          <w:tcPr>
            <w:tcW w:w="1814" w:type="dxa"/>
            <w:tcBorders>
              <w:left w:val="single" w:sz="6" w:space="0" w:color="auto"/>
              <w:bottom w:val="single" w:sz="6" w:space="0" w:color="auto"/>
              <w:right w:val="single" w:sz="6" w:space="0" w:color="auto"/>
            </w:tcBorders>
          </w:tcPr>
          <w:p w:rsidR="009C13A9" w:rsidRPr="009072DA" w:rsidRDefault="009C13A9" w:rsidP="009C13A9">
            <w:pPr>
              <w:jc w:val="center"/>
              <w:rPr>
                <w:sz w:val="16"/>
                <w:szCs w:val="20"/>
                <w:lang w:val="bg-BG"/>
              </w:rPr>
            </w:pPr>
            <w:r w:rsidRPr="009072DA">
              <w:rPr>
                <w:sz w:val="16"/>
                <w:lang w:val="bg-BG"/>
              </w:rPr>
              <w:t>Тип</w:t>
            </w:r>
          </w:p>
        </w:tc>
        <w:tc>
          <w:tcPr>
            <w:tcW w:w="1814" w:type="dxa"/>
            <w:tcBorders>
              <w:left w:val="single" w:sz="6" w:space="0" w:color="auto"/>
              <w:bottom w:val="single" w:sz="6" w:space="0" w:color="auto"/>
              <w:right w:val="single" w:sz="6" w:space="0" w:color="auto"/>
            </w:tcBorders>
          </w:tcPr>
          <w:p w:rsidR="009C13A9" w:rsidRPr="009072DA" w:rsidRDefault="009C13A9" w:rsidP="009C13A9">
            <w:pPr>
              <w:jc w:val="center"/>
              <w:rPr>
                <w:sz w:val="16"/>
                <w:szCs w:val="20"/>
                <w:lang w:val="bg-BG"/>
              </w:rPr>
            </w:pPr>
            <w:r w:rsidRPr="009072DA">
              <w:rPr>
                <w:sz w:val="16"/>
                <w:lang w:val="bg-BG"/>
              </w:rPr>
              <w:t>Производител</w:t>
            </w:r>
          </w:p>
        </w:tc>
        <w:tc>
          <w:tcPr>
            <w:tcW w:w="1814" w:type="dxa"/>
            <w:tcBorders>
              <w:left w:val="single" w:sz="6" w:space="0" w:color="auto"/>
              <w:bottom w:val="single" w:sz="6" w:space="0" w:color="auto"/>
              <w:right w:val="single" w:sz="6" w:space="0" w:color="auto"/>
            </w:tcBorders>
          </w:tcPr>
          <w:p w:rsidR="009C13A9" w:rsidRPr="009072DA" w:rsidRDefault="009C13A9" w:rsidP="009C13A9">
            <w:pPr>
              <w:jc w:val="center"/>
              <w:rPr>
                <w:sz w:val="16"/>
                <w:szCs w:val="20"/>
                <w:lang w:val="bg-BG"/>
              </w:rPr>
            </w:pPr>
            <w:r w:rsidRPr="009072DA">
              <w:rPr>
                <w:sz w:val="16"/>
                <w:lang w:val="bg-BG"/>
              </w:rPr>
              <w:t>Номер на одобрението на типа</w:t>
            </w:r>
          </w:p>
        </w:tc>
        <w:tc>
          <w:tcPr>
            <w:tcW w:w="1814" w:type="dxa"/>
            <w:tcBorders>
              <w:left w:val="single" w:sz="6" w:space="0" w:color="auto"/>
              <w:bottom w:val="single" w:sz="6" w:space="0" w:color="auto"/>
            </w:tcBorders>
          </w:tcPr>
          <w:p w:rsidR="009C13A9" w:rsidRPr="009072DA" w:rsidRDefault="009C13A9" w:rsidP="009C13A9">
            <w:pPr>
              <w:jc w:val="center"/>
              <w:rPr>
                <w:sz w:val="16"/>
                <w:szCs w:val="20"/>
                <w:lang w:val="bg-BG"/>
              </w:rPr>
            </w:pPr>
            <w:r w:rsidRPr="009072DA">
              <w:rPr>
                <w:sz w:val="16"/>
                <w:lang w:val="bg-BG"/>
              </w:rPr>
              <w:t>Сериен номер</w:t>
            </w:r>
          </w:p>
        </w:tc>
      </w:tr>
      <w:tr w:rsidR="009C13A9" w:rsidRPr="009072DA" w:rsidTr="009C13A9">
        <w:trPr>
          <w:cantSplit/>
        </w:trPr>
        <w:tc>
          <w:tcPr>
            <w:tcW w:w="1814" w:type="dxa"/>
            <w:tcBorders>
              <w:top w:val="single" w:sz="6" w:space="0" w:color="auto"/>
              <w:right w:val="single" w:sz="6" w:space="0" w:color="auto"/>
            </w:tcBorders>
          </w:tcPr>
          <w:p w:rsidR="009C13A9" w:rsidRPr="009072DA" w:rsidRDefault="009C13A9" w:rsidP="009C13A9">
            <w:pPr>
              <w:tabs>
                <w:tab w:val="left" w:pos="284"/>
              </w:tabs>
              <w:overflowPunct w:val="0"/>
              <w:adjustRightInd w:val="0"/>
              <w:ind w:hanging="397"/>
              <w:jc w:val="center"/>
              <w:textAlignment w:val="baseline"/>
              <w:rPr>
                <w:rFonts w:cs="Arial"/>
                <w:snapToGrid w:val="0"/>
                <w:szCs w:val="20"/>
                <w:lang w:val="bg-BG"/>
              </w:rPr>
            </w:pPr>
          </w:p>
        </w:tc>
        <w:tc>
          <w:tcPr>
            <w:tcW w:w="1814" w:type="dxa"/>
            <w:tcBorders>
              <w:top w:val="single" w:sz="6" w:space="0" w:color="auto"/>
              <w:left w:val="single" w:sz="6" w:space="0" w:color="auto"/>
              <w:right w:val="single" w:sz="6" w:space="0" w:color="auto"/>
            </w:tcBorders>
          </w:tcPr>
          <w:p w:rsidR="009C13A9" w:rsidRPr="009072DA" w:rsidRDefault="009C13A9" w:rsidP="009C13A9">
            <w:pPr>
              <w:tabs>
                <w:tab w:val="left" w:pos="284"/>
              </w:tabs>
              <w:overflowPunct w:val="0"/>
              <w:adjustRightInd w:val="0"/>
              <w:ind w:hanging="397"/>
              <w:jc w:val="center"/>
              <w:textAlignment w:val="baseline"/>
              <w:rPr>
                <w:rFonts w:cs="Arial"/>
                <w:snapToGrid w:val="0"/>
                <w:sz w:val="16"/>
                <w:szCs w:val="16"/>
                <w:lang w:val="bg-BG"/>
              </w:rPr>
            </w:pPr>
          </w:p>
        </w:tc>
        <w:tc>
          <w:tcPr>
            <w:tcW w:w="1814" w:type="dxa"/>
            <w:tcBorders>
              <w:top w:val="single" w:sz="6" w:space="0" w:color="auto"/>
              <w:left w:val="single" w:sz="6" w:space="0" w:color="auto"/>
              <w:right w:val="single" w:sz="6" w:space="0" w:color="auto"/>
            </w:tcBorders>
          </w:tcPr>
          <w:p w:rsidR="009C13A9" w:rsidRPr="009072DA" w:rsidRDefault="009C13A9" w:rsidP="009C13A9">
            <w:pPr>
              <w:tabs>
                <w:tab w:val="left" w:pos="284"/>
              </w:tabs>
              <w:overflowPunct w:val="0"/>
              <w:adjustRightInd w:val="0"/>
              <w:ind w:hanging="397"/>
              <w:jc w:val="center"/>
              <w:textAlignment w:val="baseline"/>
              <w:rPr>
                <w:rFonts w:cs="Arial"/>
                <w:snapToGrid w:val="0"/>
                <w:szCs w:val="20"/>
                <w:lang w:val="bg-BG"/>
              </w:rPr>
            </w:pPr>
          </w:p>
        </w:tc>
        <w:tc>
          <w:tcPr>
            <w:tcW w:w="1814" w:type="dxa"/>
            <w:tcBorders>
              <w:top w:val="single" w:sz="6" w:space="0" w:color="auto"/>
              <w:left w:val="single" w:sz="6" w:space="0" w:color="auto"/>
              <w:right w:val="single" w:sz="6" w:space="0" w:color="auto"/>
            </w:tcBorders>
          </w:tcPr>
          <w:p w:rsidR="009C13A9" w:rsidRPr="009072DA" w:rsidRDefault="009C13A9" w:rsidP="009C13A9">
            <w:pPr>
              <w:tabs>
                <w:tab w:val="left" w:pos="284"/>
              </w:tabs>
              <w:overflowPunct w:val="0"/>
              <w:adjustRightInd w:val="0"/>
              <w:ind w:hanging="397"/>
              <w:jc w:val="center"/>
              <w:textAlignment w:val="baseline"/>
              <w:rPr>
                <w:rFonts w:cs="Arial"/>
                <w:snapToGrid w:val="0"/>
                <w:szCs w:val="20"/>
                <w:lang w:val="bg-BG"/>
              </w:rPr>
            </w:pPr>
          </w:p>
        </w:tc>
        <w:tc>
          <w:tcPr>
            <w:tcW w:w="1814" w:type="dxa"/>
            <w:tcBorders>
              <w:top w:val="single" w:sz="6" w:space="0" w:color="auto"/>
              <w:left w:val="single" w:sz="6" w:space="0" w:color="auto"/>
            </w:tcBorders>
          </w:tcPr>
          <w:p w:rsidR="009C13A9" w:rsidRPr="009072DA" w:rsidRDefault="009C13A9" w:rsidP="009C13A9">
            <w:pPr>
              <w:tabs>
                <w:tab w:val="left" w:pos="284"/>
              </w:tabs>
              <w:overflowPunct w:val="0"/>
              <w:adjustRightInd w:val="0"/>
              <w:ind w:hanging="397"/>
              <w:jc w:val="center"/>
              <w:textAlignment w:val="baseline"/>
              <w:rPr>
                <w:rFonts w:cs="Arial"/>
                <w:snapToGrid w:val="0"/>
                <w:szCs w:val="20"/>
                <w:lang w:val="bg-BG"/>
              </w:rPr>
            </w:pPr>
          </w:p>
        </w:tc>
      </w:tr>
    </w:tbl>
    <w:p w:rsidR="009C13A9" w:rsidRPr="009072DA" w:rsidRDefault="009C13A9" w:rsidP="009C13A9">
      <w:pPr>
        <w:tabs>
          <w:tab w:val="left" w:leader="dot" w:pos="9072"/>
        </w:tabs>
        <w:spacing w:line="240" w:lineRule="atLeast"/>
        <w:rPr>
          <w:rFonts w:cs="Arial"/>
          <w:snapToGrid w:val="0"/>
          <w:lang w:val="bg-BG"/>
        </w:rPr>
      </w:pPr>
    </w:p>
    <w:p w:rsidR="009C13A9" w:rsidRPr="009072DA" w:rsidRDefault="009C13A9" w:rsidP="009C13A9">
      <w:pPr>
        <w:tabs>
          <w:tab w:val="left" w:pos="284"/>
          <w:tab w:val="left" w:pos="5670"/>
          <w:tab w:val="left" w:leader="dot" w:pos="7655"/>
        </w:tabs>
        <w:overflowPunct w:val="0"/>
        <w:adjustRightInd w:val="0"/>
        <w:textAlignment w:val="baseline"/>
        <w:rPr>
          <w:rFonts w:cs="Arial"/>
          <w:snapToGrid w:val="0"/>
          <w:color w:val="000000"/>
          <w:szCs w:val="20"/>
          <w:lang w:val="bg-BG"/>
        </w:rPr>
      </w:pPr>
      <w:r w:rsidRPr="009072DA">
        <w:rPr>
          <w:b/>
          <w:snapToGrid w:val="0"/>
          <w:color w:val="000000"/>
          <w:lang w:val="bg-BG"/>
        </w:rPr>
        <w:t>Оборудване за AIS за вътрешните водни пътища:</w:t>
      </w:r>
    </w:p>
    <w:p w:rsidR="009C13A9" w:rsidRPr="009072DA" w:rsidRDefault="009C13A9" w:rsidP="009C13A9">
      <w:pPr>
        <w:tabs>
          <w:tab w:val="left" w:pos="284"/>
        </w:tabs>
        <w:overflowPunct w:val="0"/>
        <w:adjustRightInd w:val="0"/>
        <w:textAlignment w:val="baseline"/>
        <w:rPr>
          <w:rFonts w:cs="Arial"/>
          <w:snapToGrid w:val="0"/>
          <w:color w:val="000000"/>
          <w:szCs w:val="20"/>
          <w:lang w:val="bg-BG"/>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5C3F09" w:rsidRPr="009072DA" w:rsidTr="005C3F09">
        <w:trPr>
          <w:cantSplit/>
        </w:trPr>
        <w:tc>
          <w:tcPr>
            <w:tcW w:w="1814" w:type="dxa"/>
            <w:tcBorders>
              <w:bottom w:val="single" w:sz="6" w:space="0" w:color="auto"/>
              <w:right w:val="single" w:sz="6" w:space="0" w:color="auto"/>
            </w:tcBorders>
          </w:tcPr>
          <w:p w:rsidR="005C3F09" w:rsidRPr="009072DA" w:rsidRDefault="005C3F09" w:rsidP="005C3F09">
            <w:pPr>
              <w:jc w:val="center"/>
              <w:rPr>
                <w:sz w:val="16"/>
                <w:szCs w:val="20"/>
                <w:lang w:val="bg-BG"/>
              </w:rPr>
            </w:pPr>
            <w:r w:rsidRPr="009072DA">
              <w:rPr>
                <w:sz w:val="16"/>
                <w:lang w:val="bg-BG"/>
              </w:rPr>
              <w:t>Номер на съоръжение</w:t>
            </w:r>
          </w:p>
        </w:tc>
        <w:tc>
          <w:tcPr>
            <w:tcW w:w="1814" w:type="dxa"/>
            <w:tcBorders>
              <w:left w:val="single" w:sz="6" w:space="0" w:color="auto"/>
              <w:bottom w:val="single" w:sz="6" w:space="0" w:color="auto"/>
              <w:right w:val="single" w:sz="6" w:space="0" w:color="auto"/>
            </w:tcBorders>
          </w:tcPr>
          <w:p w:rsidR="005C3F09" w:rsidRPr="009072DA" w:rsidRDefault="005C3F09" w:rsidP="005C3F09">
            <w:pPr>
              <w:jc w:val="center"/>
              <w:rPr>
                <w:sz w:val="16"/>
                <w:szCs w:val="20"/>
                <w:lang w:val="bg-BG"/>
              </w:rPr>
            </w:pPr>
            <w:r w:rsidRPr="009072DA">
              <w:rPr>
                <w:sz w:val="16"/>
                <w:lang w:val="bg-BG"/>
              </w:rPr>
              <w:t>Тип</w:t>
            </w:r>
          </w:p>
        </w:tc>
        <w:tc>
          <w:tcPr>
            <w:tcW w:w="1814" w:type="dxa"/>
            <w:tcBorders>
              <w:left w:val="single" w:sz="6" w:space="0" w:color="auto"/>
              <w:bottom w:val="single" w:sz="6" w:space="0" w:color="auto"/>
              <w:right w:val="single" w:sz="6" w:space="0" w:color="auto"/>
            </w:tcBorders>
          </w:tcPr>
          <w:p w:rsidR="005C3F09" w:rsidRPr="009072DA" w:rsidRDefault="005C3F09" w:rsidP="005C3F09">
            <w:pPr>
              <w:jc w:val="center"/>
              <w:rPr>
                <w:sz w:val="16"/>
                <w:szCs w:val="20"/>
                <w:lang w:val="bg-BG"/>
              </w:rPr>
            </w:pPr>
            <w:r w:rsidRPr="009072DA">
              <w:rPr>
                <w:sz w:val="16"/>
                <w:lang w:val="bg-BG"/>
              </w:rPr>
              <w:t>Производител</w:t>
            </w:r>
          </w:p>
        </w:tc>
        <w:tc>
          <w:tcPr>
            <w:tcW w:w="1814" w:type="dxa"/>
            <w:tcBorders>
              <w:left w:val="single" w:sz="6" w:space="0" w:color="auto"/>
              <w:bottom w:val="single" w:sz="6" w:space="0" w:color="auto"/>
              <w:right w:val="single" w:sz="6" w:space="0" w:color="auto"/>
            </w:tcBorders>
          </w:tcPr>
          <w:p w:rsidR="005C3F09" w:rsidRPr="009072DA" w:rsidRDefault="005C3F09" w:rsidP="005C3F09">
            <w:pPr>
              <w:jc w:val="center"/>
              <w:rPr>
                <w:sz w:val="16"/>
                <w:szCs w:val="20"/>
                <w:lang w:val="bg-BG"/>
              </w:rPr>
            </w:pPr>
            <w:r w:rsidRPr="009072DA">
              <w:rPr>
                <w:sz w:val="16"/>
                <w:lang w:val="bg-BG"/>
              </w:rPr>
              <w:t>Номер на одобрението на типа</w:t>
            </w:r>
          </w:p>
        </w:tc>
        <w:tc>
          <w:tcPr>
            <w:tcW w:w="1814" w:type="dxa"/>
            <w:tcBorders>
              <w:left w:val="single" w:sz="6" w:space="0" w:color="auto"/>
              <w:bottom w:val="single" w:sz="6" w:space="0" w:color="auto"/>
            </w:tcBorders>
          </w:tcPr>
          <w:p w:rsidR="005C3F09" w:rsidRPr="009072DA" w:rsidRDefault="005C3F09" w:rsidP="005C3F09">
            <w:pPr>
              <w:jc w:val="center"/>
              <w:rPr>
                <w:sz w:val="16"/>
                <w:szCs w:val="20"/>
                <w:lang w:val="bg-BG"/>
              </w:rPr>
            </w:pPr>
            <w:r w:rsidRPr="009072DA">
              <w:rPr>
                <w:sz w:val="16"/>
                <w:lang w:val="bg-BG"/>
              </w:rPr>
              <w:t>Сериен номер</w:t>
            </w:r>
          </w:p>
        </w:tc>
      </w:tr>
      <w:tr w:rsidR="005C3F09" w:rsidRPr="009072DA" w:rsidTr="005C3F09">
        <w:trPr>
          <w:cantSplit/>
        </w:trPr>
        <w:tc>
          <w:tcPr>
            <w:tcW w:w="1814" w:type="dxa"/>
            <w:tcBorders>
              <w:top w:val="single" w:sz="6" w:space="0" w:color="auto"/>
              <w:right w:val="single" w:sz="6" w:space="0" w:color="auto"/>
            </w:tcBorders>
          </w:tcPr>
          <w:p w:rsidR="005C3F09" w:rsidRPr="009072DA" w:rsidRDefault="005C3F09" w:rsidP="005C3F09">
            <w:pPr>
              <w:tabs>
                <w:tab w:val="left" w:pos="284"/>
              </w:tabs>
              <w:overflowPunct w:val="0"/>
              <w:adjustRightInd w:val="0"/>
              <w:ind w:hanging="397"/>
              <w:jc w:val="center"/>
              <w:textAlignment w:val="baseline"/>
              <w:rPr>
                <w:rFonts w:cs="Arial"/>
                <w:snapToGrid w:val="0"/>
                <w:szCs w:val="20"/>
                <w:lang w:val="bg-BG"/>
              </w:rPr>
            </w:pPr>
          </w:p>
        </w:tc>
        <w:tc>
          <w:tcPr>
            <w:tcW w:w="1814" w:type="dxa"/>
            <w:tcBorders>
              <w:top w:val="single" w:sz="6" w:space="0" w:color="auto"/>
              <w:left w:val="single" w:sz="6" w:space="0" w:color="auto"/>
              <w:right w:val="single" w:sz="6" w:space="0" w:color="auto"/>
            </w:tcBorders>
          </w:tcPr>
          <w:p w:rsidR="005C3F09" w:rsidRPr="009072DA" w:rsidRDefault="005C3F09" w:rsidP="005C3F09">
            <w:pPr>
              <w:tabs>
                <w:tab w:val="left" w:pos="284"/>
              </w:tabs>
              <w:overflowPunct w:val="0"/>
              <w:adjustRightInd w:val="0"/>
              <w:ind w:hanging="397"/>
              <w:jc w:val="center"/>
              <w:textAlignment w:val="baseline"/>
              <w:rPr>
                <w:rFonts w:cs="Arial"/>
                <w:snapToGrid w:val="0"/>
                <w:sz w:val="16"/>
                <w:szCs w:val="16"/>
                <w:lang w:val="bg-BG"/>
              </w:rPr>
            </w:pPr>
          </w:p>
        </w:tc>
        <w:tc>
          <w:tcPr>
            <w:tcW w:w="1814" w:type="dxa"/>
            <w:tcBorders>
              <w:top w:val="single" w:sz="6" w:space="0" w:color="auto"/>
              <w:left w:val="single" w:sz="6" w:space="0" w:color="auto"/>
              <w:right w:val="single" w:sz="6" w:space="0" w:color="auto"/>
            </w:tcBorders>
          </w:tcPr>
          <w:p w:rsidR="005C3F09" w:rsidRPr="009072DA" w:rsidRDefault="005C3F09" w:rsidP="005C3F09">
            <w:pPr>
              <w:tabs>
                <w:tab w:val="left" w:pos="284"/>
              </w:tabs>
              <w:overflowPunct w:val="0"/>
              <w:adjustRightInd w:val="0"/>
              <w:ind w:hanging="397"/>
              <w:jc w:val="center"/>
              <w:textAlignment w:val="baseline"/>
              <w:rPr>
                <w:rFonts w:cs="Arial"/>
                <w:snapToGrid w:val="0"/>
                <w:szCs w:val="20"/>
                <w:lang w:val="bg-BG"/>
              </w:rPr>
            </w:pPr>
          </w:p>
        </w:tc>
        <w:tc>
          <w:tcPr>
            <w:tcW w:w="1814" w:type="dxa"/>
            <w:tcBorders>
              <w:top w:val="single" w:sz="6" w:space="0" w:color="auto"/>
              <w:left w:val="single" w:sz="6" w:space="0" w:color="auto"/>
              <w:right w:val="single" w:sz="6" w:space="0" w:color="auto"/>
            </w:tcBorders>
          </w:tcPr>
          <w:p w:rsidR="005C3F09" w:rsidRPr="009072DA" w:rsidRDefault="005C3F09" w:rsidP="005C3F09">
            <w:pPr>
              <w:tabs>
                <w:tab w:val="left" w:pos="284"/>
              </w:tabs>
              <w:overflowPunct w:val="0"/>
              <w:adjustRightInd w:val="0"/>
              <w:ind w:hanging="397"/>
              <w:jc w:val="center"/>
              <w:textAlignment w:val="baseline"/>
              <w:rPr>
                <w:rFonts w:cs="Arial"/>
                <w:snapToGrid w:val="0"/>
                <w:szCs w:val="20"/>
                <w:lang w:val="bg-BG"/>
              </w:rPr>
            </w:pPr>
          </w:p>
        </w:tc>
        <w:tc>
          <w:tcPr>
            <w:tcW w:w="1814" w:type="dxa"/>
            <w:tcBorders>
              <w:top w:val="single" w:sz="6" w:space="0" w:color="auto"/>
              <w:left w:val="single" w:sz="6" w:space="0" w:color="auto"/>
            </w:tcBorders>
          </w:tcPr>
          <w:p w:rsidR="005C3F09" w:rsidRPr="009072DA" w:rsidRDefault="005C3F09" w:rsidP="005C3F09">
            <w:pPr>
              <w:tabs>
                <w:tab w:val="left" w:pos="284"/>
              </w:tabs>
              <w:overflowPunct w:val="0"/>
              <w:adjustRightInd w:val="0"/>
              <w:ind w:hanging="397"/>
              <w:jc w:val="center"/>
              <w:textAlignment w:val="baseline"/>
              <w:rPr>
                <w:rFonts w:cs="Arial"/>
                <w:snapToGrid w:val="0"/>
                <w:szCs w:val="20"/>
                <w:lang w:val="bg-BG"/>
              </w:rPr>
            </w:pPr>
          </w:p>
        </w:tc>
      </w:tr>
    </w:tbl>
    <w:p w:rsidR="005C3F09" w:rsidRPr="009072DA" w:rsidRDefault="005C3F09" w:rsidP="009C13A9">
      <w:pPr>
        <w:tabs>
          <w:tab w:val="left" w:pos="284"/>
        </w:tabs>
        <w:overflowPunct w:val="0"/>
        <w:adjustRightInd w:val="0"/>
        <w:textAlignment w:val="baseline"/>
        <w:rPr>
          <w:rFonts w:cs="Arial"/>
          <w:snapToGrid w:val="0"/>
          <w:color w:val="000000"/>
          <w:szCs w:val="20"/>
          <w:lang w:val="bg-BG"/>
        </w:rPr>
      </w:pPr>
    </w:p>
    <w:p w:rsidR="005C3F09" w:rsidRPr="009072DA" w:rsidRDefault="005C3F09" w:rsidP="009C13A9">
      <w:pPr>
        <w:tabs>
          <w:tab w:val="left" w:leader="dot" w:pos="9072"/>
        </w:tabs>
        <w:spacing w:line="240" w:lineRule="atLeast"/>
        <w:rPr>
          <w:lang w:val="bg-BG"/>
        </w:rPr>
      </w:pPr>
      <w:r w:rsidRPr="009072DA">
        <w:rPr>
          <w:b/>
          <w:lang w:val="bg-BG"/>
        </w:rPr>
        <w:t>Тахографи</w:t>
      </w:r>
    </w:p>
    <w:p w:rsidR="005C3F09" w:rsidRPr="009072DA" w:rsidRDefault="005C3F09" w:rsidP="009C13A9">
      <w:pPr>
        <w:tabs>
          <w:tab w:val="left" w:leader="dot" w:pos="9072"/>
        </w:tabs>
        <w:spacing w:line="240" w:lineRule="atLeast"/>
        <w:rPr>
          <w:rFonts w:cs="Arial"/>
          <w:lang w:val="bg-BG"/>
        </w:rPr>
      </w:pPr>
      <w:r w:rsidRPr="009072DA">
        <w:rPr>
          <w:lang w:val="bg-BG"/>
        </w:rPr>
        <w:lastRenderedPageBreak/>
        <w:t>…</w:t>
      </w:r>
    </w:p>
    <w:p w:rsidR="005C3F09" w:rsidRPr="009072DA" w:rsidRDefault="005C3F0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С настоящото се удостоверява, че навигационното радиолокационно оборудване, индикаторите на ъгловата скорост на поворот и оборудването за AIS за вътрешните водни пътища на плавателния съд, посочени по-горе, са в съответствие с изискванията на приложение 5 към Европейския стандарт за определяне на технически изисквания за плавателните съдове по вътрешните водни пътища (ES-TRIN) по отношение на монтажа и изпитванията на показателите на навигационно радиолокационно оборудване, индикатори на ъгловата скорост на поворот и оборудване за AIS за вътрешните водни пътища за корабоплаване по вътрешните водни пътища.</w:t>
      </w:r>
    </w:p>
    <w:p w:rsidR="001A7DAB" w:rsidRPr="009072DA" w:rsidRDefault="001A7DAB" w:rsidP="009C13A9">
      <w:pPr>
        <w:tabs>
          <w:tab w:val="left" w:leader="dot" w:pos="9072"/>
        </w:tabs>
        <w:spacing w:line="240" w:lineRule="atLeast"/>
        <w:rPr>
          <w:rFonts w:cs="Arial"/>
          <w:szCs w:val="20"/>
          <w:lang w:val="bg-BG"/>
        </w:rPr>
      </w:pPr>
    </w:p>
    <w:p w:rsidR="009C13A9" w:rsidRPr="009072DA" w:rsidRDefault="009C13A9" w:rsidP="009C13A9">
      <w:pPr>
        <w:tabs>
          <w:tab w:val="left" w:pos="284"/>
          <w:tab w:val="left" w:pos="5670"/>
        </w:tabs>
        <w:overflowPunct w:val="0"/>
        <w:adjustRightInd w:val="0"/>
        <w:textAlignment w:val="baseline"/>
        <w:rPr>
          <w:rFonts w:cs="Arial"/>
          <w:b/>
          <w:snapToGrid w:val="0"/>
          <w:color w:val="000000"/>
          <w:szCs w:val="20"/>
          <w:lang w:val="bg-BG"/>
        </w:rPr>
      </w:pPr>
      <w:r w:rsidRPr="009072DA">
        <w:rPr>
          <w:b/>
          <w:snapToGrid w:val="0"/>
          <w:color w:val="000000"/>
          <w:lang w:val="bg-BG"/>
        </w:rPr>
        <w:t>Одобрена специализирана фирма</w:t>
      </w:r>
    </w:p>
    <w:p w:rsidR="009C13A9" w:rsidRPr="009072DA" w:rsidRDefault="009C13A9" w:rsidP="009C13A9">
      <w:pPr>
        <w:tabs>
          <w:tab w:val="left" w:leader="dot" w:pos="5103"/>
        </w:tabs>
        <w:overflowPunct w:val="0"/>
        <w:adjustRightInd w:val="0"/>
        <w:spacing w:before="120"/>
        <w:textAlignment w:val="baseline"/>
        <w:rPr>
          <w:rFonts w:cs="Arial"/>
          <w:snapToGrid w:val="0"/>
          <w:color w:val="000000"/>
          <w:szCs w:val="20"/>
          <w:lang w:val="bg-BG"/>
        </w:rPr>
      </w:pPr>
      <w:r w:rsidRPr="009072DA">
        <w:rPr>
          <w:snapToGrid w:val="0"/>
          <w:color w:val="000000"/>
          <w:lang w:val="bg-BG"/>
        </w:rPr>
        <w:t xml:space="preserve">Име: </w:t>
      </w:r>
      <w:r w:rsidRPr="009072DA">
        <w:rPr>
          <w:lang w:val="bg-BG"/>
        </w:rPr>
        <w:tab/>
      </w:r>
    </w:p>
    <w:p w:rsidR="009C13A9" w:rsidRPr="009072DA" w:rsidRDefault="009C13A9" w:rsidP="009C13A9">
      <w:pPr>
        <w:tabs>
          <w:tab w:val="left" w:leader="dot" w:pos="9072"/>
        </w:tabs>
        <w:overflowPunct w:val="0"/>
        <w:adjustRightInd w:val="0"/>
        <w:spacing w:before="120"/>
        <w:textAlignment w:val="baseline"/>
        <w:rPr>
          <w:rFonts w:cs="Arial"/>
          <w:snapToGrid w:val="0"/>
          <w:color w:val="000000"/>
          <w:szCs w:val="20"/>
          <w:lang w:val="bg-BG"/>
        </w:rPr>
      </w:pPr>
      <w:r w:rsidRPr="009072DA">
        <w:rPr>
          <w:snapToGrid w:val="0"/>
          <w:color w:val="000000"/>
          <w:lang w:val="bg-BG"/>
        </w:rPr>
        <w:t xml:space="preserve">Адрес: </w:t>
      </w:r>
      <w:r w:rsidRPr="009072DA">
        <w:rPr>
          <w:lang w:val="bg-BG"/>
        </w:rPr>
        <w:tab/>
      </w:r>
    </w:p>
    <w:p w:rsidR="009C13A9" w:rsidRPr="009072DA" w:rsidRDefault="009C13A9" w:rsidP="009C13A9">
      <w:pPr>
        <w:tabs>
          <w:tab w:val="left" w:leader="dot" w:pos="3402"/>
        </w:tabs>
        <w:overflowPunct w:val="0"/>
        <w:adjustRightInd w:val="0"/>
        <w:spacing w:before="120"/>
        <w:textAlignment w:val="baseline"/>
        <w:rPr>
          <w:rFonts w:cs="Arial"/>
          <w:snapToGrid w:val="0"/>
          <w:color w:val="000000"/>
          <w:szCs w:val="20"/>
          <w:lang w:val="bg-BG"/>
        </w:rPr>
      </w:pPr>
      <w:r w:rsidRPr="009072DA">
        <w:rPr>
          <w:snapToGrid w:val="0"/>
          <w:color w:val="000000"/>
          <w:lang w:val="bg-BG"/>
        </w:rPr>
        <w:t xml:space="preserve">Телефон: </w:t>
      </w:r>
      <w:r w:rsidRPr="009072DA">
        <w:rPr>
          <w:lang w:val="bg-BG"/>
        </w:rPr>
        <w:tab/>
      </w:r>
    </w:p>
    <w:p w:rsidR="009C13A9" w:rsidRPr="009072DA" w:rsidRDefault="009C13A9" w:rsidP="009C13A9">
      <w:pPr>
        <w:tabs>
          <w:tab w:val="left" w:pos="284"/>
        </w:tabs>
        <w:overflowPunct w:val="0"/>
        <w:adjustRightInd w:val="0"/>
        <w:spacing w:before="120"/>
        <w:textAlignment w:val="baseline"/>
        <w:rPr>
          <w:rFonts w:cs="Arial"/>
          <w:snapToGrid w:val="0"/>
          <w:color w:val="000000"/>
          <w:szCs w:val="20"/>
          <w:lang w:val="bg-BG"/>
        </w:rPr>
      </w:pPr>
    </w:p>
    <w:p w:rsidR="009C13A9" w:rsidRPr="009072DA" w:rsidRDefault="009C13A9" w:rsidP="003E6750">
      <w:pPr>
        <w:tabs>
          <w:tab w:val="center" w:pos="1134"/>
          <w:tab w:val="left" w:pos="3969"/>
          <w:tab w:val="left" w:leader="dot" w:pos="6237"/>
          <w:tab w:val="left" w:pos="6521"/>
          <w:tab w:val="left" w:leader="dot" w:pos="9072"/>
        </w:tabs>
        <w:overflowPunct w:val="0"/>
        <w:adjustRightInd w:val="0"/>
        <w:textAlignment w:val="baseline"/>
        <w:rPr>
          <w:rFonts w:cs="Arial"/>
          <w:snapToGrid w:val="0"/>
          <w:color w:val="000000"/>
          <w:szCs w:val="20"/>
          <w:lang w:val="bg-BG"/>
        </w:rPr>
      </w:pPr>
      <w:r w:rsidRPr="009072DA">
        <w:rPr>
          <w:lang w:val="bg-BG"/>
        </w:rPr>
        <w:tab/>
      </w:r>
      <w:r w:rsidRPr="009072DA">
        <w:rPr>
          <w:snapToGrid w:val="0"/>
          <w:color w:val="000000"/>
          <w:lang w:val="bg-BG"/>
        </w:rPr>
        <w:t>Печат</w:t>
      </w:r>
      <w:r w:rsidRPr="009072DA">
        <w:rPr>
          <w:lang w:val="bg-BG"/>
        </w:rPr>
        <w:tab/>
      </w:r>
      <w:r w:rsidRPr="009072DA">
        <w:rPr>
          <w:snapToGrid w:val="0"/>
          <w:color w:val="000000"/>
          <w:lang w:val="bg-BG"/>
        </w:rPr>
        <w:t xml:space="preserve">Място </w:t>
      </w:r>
      <w:r w:rsidRPr="009072DA">
        <w:rPr>
          <w:lang w:val="bg-BG"/>
        </w:rPr>
        <w:tab/>
      </w:r>
      <w:r w:rsidRPr="009072DA">
        <w:rPr>
          <w:snapToGrid w:val="0"/>
          <w:color w:val="000000"/>
          <w:lang w:val="bg-BG"/>
        </w:rPr>
        <w:t xml:space="preserve"> </w:t>
      </w:r>
      <w:r w:rsidRPr="009072DA">
        <w:rPr>
          <w:lang w:val="bg-BG"/>
        </w:rPr>
        <w:tab/>
      </w:r>
      <w:r w:rsidRPr="009072DA">
        <w:rPr>
          <w:snapToGrid w:val="0"/>
          <w:color w:val="000000"/>
          <w:lang w:val="bg-BG"/>
        </w:rPr>
        <w:t xml:space="preserve">Дата </w:t>
      </w:r>
      <w:r w:rsidRPr="009072DA">
        <w:rPr>
          <w:lang w:val="bg-BG"/>
        </w:rPr>
        <w:tab/>
      </w:r>
    </w:p>
    <w:p w:rsidR="009C13A9" w:rsidRPr="009072DA" w:rsidRDefault="009C13A9" w:rsidP="009C13A9">
      <w:pPr>
        <w:tabs>
          <w:tab w:val="center" w:pos="1134"/>
          <w:tab w:val="left" w:pos="6521"/>
        </w:tabs>
        <w:overflowPunct w:val="0"/>
        <w:adjustRightInd w:val="0"/>
        <w:spacing w:before="120"/>
        <w:textAlignment w:val="baseline"/>
        <w:rPr>
          <w:rFonts w:cs="Arial"/>
          <w:snapToGrid w:val="0"/>
          <w:color w:val="000000"/>
          <w:szCs w:val="20"/>
          <w:lang w:val="bg-BG"/>
        </w:rPr>
      </w:pPr>
      <w:r w:rsidRPr="009072DA">
        <w:rPr>
          <w:lang w:val="bg-BG"/>
        </w:rPr>
        <w:tab/>
      </w:r>
      <w:r w:rsidRPr="009072DA">
        <w:rPr>
          <w:snapToGrid w:val="0"/>
          <w:color w:val="000000"/>
          <w:lang w:val="bg-BG"/>
        </w:rPr>
        <w:t>Подпис</w:t>
      </w:r>
    </w:p>
    <w:p w:rsidR="009C13A9" w:rsidRPr="009072DA" w:rsidRDefault="009C13A9" w:rsidP="003E6750">
      <w:pPr>
        <w:tabs>
          <w:tab w:val="left" w:pos="284"/>
          <w:tab w:val="left" w:pos="4536"/>
          <w:tab w:val="left" w:pos="6521"/>
        </w:tabs>
        <w:overflowPunct w:val="0"/>
        <w:adjustRightInd w:val="0"/>
        <w:textAlignment w:val="baseline"/>
        <w:rPr>
          <w:rFonts w:cs="Arial"/>
          <w:snapToGrid w:val="0"/>
          <w:color w:val="000000"/>
          <w:szCs w:val="20"/>
          <w:lang w:val="bg-BG"/>
        </w:rPr>
      </w:pPr>
    </w:p>
    <w:p w:rsidR="009C13A9" w:rsidRPr="009072DA" w:rsidRDefault="009C13A9" w:rsidP="003E6750">
      <w:pPr>
        <w:tabs>
          <w:tab w:val="left" w:pos="284"/>
          <w:tab w:val="left" w:pos="4536"/>
          <w:tab w:val="left" w:pos="6521"/>
        </w:tabs>
        <w:overflowPunct w:val="0"/>
        <w:adjustRightInd w:val="0"/>
        <w:textAlignment w:val="baseline"/>
        <w:rPr>
          <w:rFonts w:cs="Arial"/>
          <w:b/>
          <w:snapToGrid w:val="0"/>
          <w:color w:val="000000"/>
          <w:szCs w:val="20"/>
          <w:lang w:val="bg-BG"/>
        </w:rPr>
      </w:pPr>
      <w:r w:rsidRPr="009072DA">
        <w:rPr>
          <w:b/>
          <w:snapToGrid w:val="0"/>
          <w:color w:val="000000"/>
          <w:lang w:val="bg-BG"/>
        </w:rPr>
        <w:t>Компетентен орган за одобрение на специализираната фирма</w:t>
      </w:r>
    </w:p>
    <w:p w:rsidR="009C13A9" w:rsidRPr="009072DA" w:rsidRDefault="009C13A9" w:rsidP="009C13A9">
      <w:pPr>
        <w:tabs>
          <w:tab w:val="left" w:leader="dot" w:pos="5103"/>
        </w:tabs>
        <w:overflowPunct w:val="0"/>
        <w:adjustRightInd w:val="0"/>
        <w:spacing w:before="120"/>
        <w:textAlignment w:val="baseline"/>
        <w:rPr>
          <w:rFonts w:cs="Arial"/>
          <w:snapToGrid w:val="0"/>
          <w:color w:val="000000"/>
          <w:szCs w:val="20"/>
          <w:lang w:val="bg-BG"/>
        </w:rPr>
      </w:pPr>
      <w:r w:rsidRPr="009072DA">
        <w:rPr>
          <w:snapToGrid w:val="0"/>
          <w:color w:val="000000"/>
          <w:lang w:val="bg-BG"/>
        </w:rPr>
        <w:t xml:space="preserve">Име: </w:t>
      </w:r>
      <w:r w:rsidRPr="009072DA">
        <w:rPr>
          <w:lang w:val="bg-BG"/>
        </w:rPr>
        <w:tab/>
      </w:r>
    </w:p>
    <w:p w:rsidR="009C13A9" w:rsidRPr="009072DA" w:rsidRDefault="009C13A9" w:rsidP="009C13A9">
      <w:pPr>
        <w:tabs>
          <w:tab w:val="left" w:leader="dot" w:pos="9072"/>
        </w:tabs>
        <w:overflowPunct w:val="0"/>
        <w:adjustRightInd w:val="0"/>
        <w:spacing w:before="120"/>
        <w:textAlignment w:val="baseline"/>
        <w:rPr>
          <w:rFonts w:cs="Arial"/>
          <w:snapToGrid w:val="0"/>
          <w:color w:val="000000"/>
          <w:szCs w:val="20"/>
          <w:lang w:val="bg-BG"/>
        </w:rPr>
      </w:pPr>
      <w:r w:rsidRPr="009072DA">
        <w:rPr>
          <w:snapToGrid w:val="0"/>
          <w:color w:val="000000"/>
          <w:lang w:val="bg-BG"/>
        </w:rPr>
        <w:t xml:space="preserve">Адрес: </w:t>
      </w:r>
      <w:r w:rsidRPr="009072DA">
        <w:rPr>
          <w:lang w:val="bg-BG"/>
        </w:rPr>
        <w:tab/>
      </w:r>
    </w:p>
    <w:p w:rsidR="009C13A9" w:rsidRPr="009072DA" w:rsidRDefault="009C13A9" w:rsidP="009C13A9">
      <w:pPr>
        <w:tabs>
          <w:tab w:val="left" w:leader="dot" w:pos="3402"/>
        </w:tabs>
        <w:overflowPunct w:val="0"/>
        <w:adjustRightInd w:val="0"/>
        <w:spacing w:before="120"/>
        <w:textAlignment w:val="baseline"/>
        <w:rPr>
          <w:rFonts w:cs="Arial"/>
          <w:snapToGrid w:val="0"/>
          <w:color w:val="000000"/>
          <w:szCs w:val="20"/>
          <w:lang w:val="bg-BG"/>
        </w:rPr>
      </w:pPr>
      <w:r w:rsidRPr="009072DA">
        <w:rPr>
          <w:snapToGrid w:val="0"/>
          <w:color w:val="000000"/>
          <w:lang w:val="bg-BG"/>
        </w:rPr>
        <w:t xml:space="preserve">Телефон: </w:t>
      </w:r>
      <w:r w:rsidRPr="009072DA">
        <w:rPr>
          <w:lang w:val="bg-BG"/>
        </w:rPr>
        <w:tab/>
      </w:r>
    </w:p>
    <w:p w:rsidR="009C13A9" w:rsidRPr="009072DA" w:rsidRDefault="009C13A9" w:rsidP="009C13A9">
      <w:pPr>
        <w:tabs>
          <w:tab w:val="right" w:pos="9072"/>
        </w:tabs>
        <w:spacing w:line="240" w:lineRule="atLeast"/>
        <w:rPr>
          <w:lang w:val="bg-BG"/>
        </w:rPr>
      </w:pPr>
      <w:r w:rsidRPr="009072DA">
        <w:rPr>
          <w:lang w:val="bg-BG"/>
        </w:rPr>
        <w:br w:type="page"/>
      </w:r>
    </w:p>
    <w:p w:rsidR="009C13A9" w:rsidRPr="009072DA" w:rsidRDefault="009C13A9" w:rsidP="009C13A9">
      <w:pPr>
        <w:tabs>
          <w:tab w:val="right" w:pos="9072"/>
        </w:tabs>
        <w:spacing w:line="240" w:lineRule="atLeast"/>
        <w:rPr>
          <w:lang w:val="bg-BG"/>
        </w:rPr>
      </w:pPr>
    </w:p>
    <w:p w:rsidR="009C13A9" w:rsidRPr="009072DA" w:rsidRDefault="009C13A9" w:rsidP="009C13A9">
      <w:pPr>
        <w:tabs>
          <w:tab w:val="right" w:pos="9072"/>
        </w:tabs>
        <w:spacing w:line="240" w:lineRule="atLeast"/>
        <w:rPr>
          <w:lang w:val="bg-BG"/>
        </w:rPr>
      </w:pPr>
    </w:p>
    <w:p w:rsidR="009C13A9" w:rsidRPr="009072DA" w:rsidRDefault="009C13A9" w:rsidP="009C13A9">
      <w:pPr>
        <w:tabs>
          <w:tab w:val="right" w:pos="9072"/>
        </w:tabs>
        <w:spacing w:line="240" w:lineRule="atLeast"/>
        <w:rPr>
          <w:lang w:val="bg-BG"/>
        </w:rPr>
      </w:pPr>
    </w:p>
    <w:p w:rsidR="009C13A9" w:rsidRPr="009072DA" w:rsidRDefault="009C13A9" w:rsidP="009C13A9">
      <w:pPr>
        <w:tabs>
          <w:tab w:val="left" w:pos="284"/>
          <w:tab w:val="left" w:pos="5670"/>
        </w:tabs>
        <w:overflowPunct w:val="0"/>
        <w:adjustRightInd w:val="0"/>
        <w:textAlignment w:val="baseline"/>
        <w:rPr>
          <w:rFonts w:cs="Arial"/>
          <w:snapToGrid w:val="0"/>
          <w:szCs w:val="20"/>
          <w:lang w:val="bg-BG"/>
        </w:rPr>
      </w:pPr>
    </w:p>
    <w:p w:rsidR="009C13A9" w:rsidRPr="009072DA" w:rsidRDefault="009C13A9" w:rsidP="009C13A9">
      <w:pPr>
        <w:overflowPunct w:val="0"/>
        <w:adjustRightInd w:val="0"/>
        <w:ind w:left="426" w:hanging="426"/>
        <w:textAlignment w:val="baseline"/>
        <w:rPr>
          <w:rFonts w:cs="Arial"/>
          <w:szCs w:val="20"/>
          <w:lang w:val="bg-BG"/>
        </w:rPr>
      </w:pPr>
    </w:p>
    <w:p w:rsidR="009C13A9" w:rsidRPr="009072DA" w:rsidRDefault="009C13A9" w:rsidP="009C13A9">
      <w:pPr>
        <w:overflowPunct w:val="0"/>
        <w:adjustRightInd w:val="0"/>
        <w:ind w:left="426" w:hanging="426"/>
        <w:textAlignment w:val="baseline"/>
        <w:rPr>
          <w:rFonts w:cs="Arial"/>
          <w:szCs w:val="20"/>
          <w:lang w:val="bg-BG"/>
        </w:rPr>
      </w:pPr>
    </w:p>
    <w:p w:rsidR="009C13A9" w:rsidRPr="009072DA" w:rsidRDefault="009C13A9" w:rsidP="009C13A9">
      <w:pPr>
        <w:overflowPunct w:val="0"/>
        <w:adjustRightInd w:val="0"/>
        <w:ind w:left="426" w:hanging="426"/>
        <w:textAlignment w:val="baseline"/>
        <w:rPr>
          <w:rFonts w:cs="Arial"/>
          <w:szCs w:val="20"/>
          <w:lang w:val="bg-BG"/>
        </w:rPr>
      </w:pPr>
    </w:p>
    <w:p w:rsidR="009C13A9" w:rsidRPr="009072DA" w:rsidRDefault="009C13A9" w:rsidP="009C13A9">
      <w:pPr>
        <w:spacing w:line="240" w:lineRule="atLeast"/>
        <w:rPr>
          <w:rFonts w:cs="Arial"/>
          <w:szCs w:val="20"/>
          <w:lang w:val="bg-BG"/>
        </w:rPr>
      </w:pPr>
    </w:p>
    <w:p w:rsidR="009C13A9" w:rsidRPr="009072DA" w:rsidRDefault="009C13A9" w:rsidP="009C13A9">
      <w:pPr>
        <w:tabs>
          <w:tab w:val="center" w:pos="7797"/>
        </w:tabs>
        <w:ind w:right="288"/>
        <w:rPr>
          <w:rFonts w:cs="Arial"/>
          <w:szCs w:val="20"/>
          <w:lang w:val="bg-BG"/>
        </w:rPr>
        <w:sectPr w:rsidR="009C13A9" w:rsidRPr="009072DA" w:rsidSect="00FB55E9">
          <w:headerReference w:type="default" r:id="rId70"/>
          <w:footerReference w:type="default" r:id="rId71"/>
          <w:footnotePr>
            <w:numRestart w:val="eachPage"/>
          </w:footnotePr>
          <w:pgSz w:w="11907" w:h="16840" w:code="9"/>
          <w:pgMar w:top="1361" w:right="1418" w:bottom="1361" w:left="1418" w:header="680" w:footer="680" w:gutter="0"/>
          <w:cols w:space="720"/>
          <w:docGrid w:linePitch="326"/>
        </w:sectPr>
      </w:pPr>
    </w:p>
    <w:p w:rsidR="009C13A9" w:rsidRPr="009072DA" w:rsidRDefault="009C13A9" w:rsidP="009C13A9">
      <w:pPr>
        <w:tabs>
          <w:tab w:val="left" w:leader="dot" w:pos="9072"/>
        </w:tabs>
        <w:spacing w:line="240" w:lineRule="atLeast"/>
        <w:rPr>
          <w:rFonts w:cs="Arial"/>
          <w:lang w:val="bg-BG"/>
        </w:rPr>
      </w:pPr>
    </w:p>
    <w:p w:rsidR="009C13A9" w:rsidRPr="009072DA" w:rsidRDefault="009C13A9" w:rsidP="00C92BD2">
      <w:pPr>
        <w:pStyle w:val="ES-Titre2"/>
        <w:pageBreakBefore w:val="0"/>
      </w:pPr>
      <w:bookmarkStart w:id="659" w:name="_Toc491854322"/>
      <w:bookmarkStart w:id="660" w:name="_Toc535827763"/>
      <w:r w:rsidRPr="009072DA">
        <w:t>Приложение 6</w:t>
      </w:r>
      <w:r w:rsidRPr="009072DA">
        <w:br/>
        <w:t>Протокол за параметрите на двигателя</w:t>
      </w:r>
      <w:bookmarkEnd w:id="659"/>
      <w:bookmarkEnd w:id="660"/>
    </w:p>
    <w:p w:rsidR="009C13A9" w:rsidRPr="009072DA" w:rsidRDefault="009C13A9" w:rsidP="009C13A9">
      <w:pPr>
        <w:spacing w:line="240" w:lineRule="atLeast"/>
        <w:jc w:val="center"/>
        <w:rPr>
          <w:rFonts w:cs="Arial"/>
          <w:color w:val="000000"/>
          <w:lang w:val="bg-BG"/>
        </w:rPr>
      </w:pPr>
      <w:r w:rsidRPr="009072DA">
        <w:rPr>
          <w:color w:val="000000"/>
          <w:lang w:val="bg-BG"/>
        </w:rPr>
        <w:t>(Образец)</w:t>
      </w:r>
    </w:p>
    <w:p w:rsidR="009C13A9" w:rsidRPr="009072DA" w:rsidRDefault="009C13A9" w:rsidP="009C13A9">
      <w:pPr>
        <w:spacing w:line="240" w:lineRule="atLeast"/>
        <w:rPr>
          <w:rFonts w:cs="Arial"/>
          <w:b/>
          <w:color w:val="000000"/>
          <w:lang w:val="bg-BG"/>
        </w:rPr>
      </w:pPr>
    </w:p>
    <w:tbl>
      <w:tblPr>
        <w:tblW w:w="0" w:type="auto"/>
        <w:tblLayout w:type="fixed"/>
        <w:tblLook w:val="01E0" w:firstRow="1" w:lastRow="1" w:firstColumn="1" w:lastColumn="1" w:noHBand="0" w:noVBand="0"/>
      </w:tblPr>
      <w:tblGrid>
        <w:gridCol w:w="737"/>
        <w:gridCol w:w="5131"/>
        <w:gridCol w:w="3360"/>
      </w:tblGrid>
      <w:tr w:rsidR="009C13A9" w:rsidRPr="009072DA" w:rsidTr="009C13A9">
        <w:tc>
          <w:tcPr>
            <w:tcW w:w="737" w:type="dxa"/>
            <w:shd w:val="clear" w:color="auto" w:fill="auto"/>
          </w:tcPr>
          <w:p w:rsidR="009C13A9" w:rsidRPr="009072DA" w:rsidRDefault="009C13A9" w:rsidP="009C13A9">
            <w:pPr>
              <w:spacing w:line="240" w:lineRule="atLeast"/>
              <w:rPr>
                <w:b/>
                <w:bCs/>
                <w:szCs w:val="20"/>
                <w:lang w:val="bg-BG"/>
              </w:rPr>
            </w:pPr>
            <w:r w:rsidRPr="009072DA">
              <w:rPr>
                <w:b/>
                <w:lang w:val="bg-BG"/>
              </w:rPr>
              <w:t>0</w:t>
            </w:r>
          </w:p>
        </w:tc>
        <w:tc>
          <w:tcPr>
            <w:tcW w:w="8491" w:type="dxa"/>
            <w:gridSpan w:val="2"/>
            <w:shd w:val="clear" w:color="auto" w:fill="auto"/>
          </w:tcPr>
          <w:p w:rsidR="009C13A9" w:rsidRPr="009072DA" w:rsidRDefault="009C13A9" w:rsidP="009C13A9">
            <w:pPr>
              <w:tabs>
                <w:tab w:val="right" w:leader="underscore" w:pos="8263"/>
              </w:tabs>
              <w:spacing w:line="240" w:lineRule="atLeast"/>
              <w:rPr>
                <w:b/>
                <w:bCs/>
                <w:szCs w:val="20"/>
                <w:lang w:val="bg-BG"/>
              </w:rPr>
            </w:pPr>
            <w:r w:rsidRPr="009072DA">
              <w:rPr>
                <w:b/>
                <w:lang w:val="bg-BG"/>
              </w:rPr>
              <w:t>Общи положения</w:t>
            </w:r>
          </w:p>
          <w:p w:rsidR="009C13A9" w:rsidRPr="009072DA" w:rsidRDefault="009C13A9" w:rsidP="009C13A9">
            <w:pPr>
              <w:tabs>
                <w:tab w:val="right" w:leader="underscore" w:pos="8263"/>
              </w:tabs>
              <w:spacing w:line="240" w:lineRule="atLeast"/>
              <w:rPr>
                <w:b/>
                <w:bCs/>
                <w:szCs w:val="20"/>
                <w:lang w:val="bg-BG"/>
              </w:rPr>
            </w:pPr>
          </w:p>
        </w:tc>
      </w:tr>
      <w:tr w:rsidR="009C13A9" w:rsidRPr="009072DA" w:rsidTr="009C13A9">
        <w:tc>
          <w:tcPr>
            <w:tcW w:w="737" w:type="dxa"/>
            <w:shd w:val="clear" w:color="auto" w:fill="auto"/>
          </w:tcPr>
          <w:p w:rsidR="009C13A9" w:rsidRPr="009072DA" w:rsidRDefault="009C13A9" w:rsidP="009C13A9">
            <w:pPr>
              <w:spacing w:before="40" w:line="240" w:lineRule="atLeast"/>
              <w:outlineLvl w:val="0"/>
              <w:rPr>
                <w:szCs w:val="20"/>
                <w:lang w:val="bg-BG"/>
              </w:rPr>
            </w:pPr>
            <w:r w:rsidRPr="009072DA">
              <w:rPr>
                <w:lang w:val="bg-BG"/>
              </w:rPr>
              <w:t>0.1</w:t>
            </w:r>
          </w:p>
        </w:tc>
        <w:tc>
          <w:tcPr>
            <w:tcW w:w="8491" w:type="dxa"/>
            <w:gridSpan w:val="2"/>
            <w:shd w:val="clear" w:color="auto" w:fill="auto"/>
          </w:tcPr>
          <w:p w:rsidR="009C13A9" w:rsidRPr="009072DA" w:rsidRDefault="009C13A9" w:rsidP="009C13A9">
            <w:pPr>
              <w:tabs>
                <w:tab w:val="right" w:leader="underscore" w:pos="8263"/>
              </w:tabs>
              <w:spacing w:before="40" w:line="240" w:lineRule="atLeast"/>
              <w:outlineLvl w:val="0"/>
              <w:rPr>
                <w:szCs w:val="20"/>
                <w:lang w:val="bg-BG"/>
              </w:rPr>
            </w:pPr>
            <w:r w:rsidRPr="009072DA">
              <w:rPr>
                <w:lang w:val="bg-BG"/>
              </w:rPr>
              <w:t>Информация за двигателя</w:t>
            </w:r>
          </w:p>
        </w:tc>
      </w:tr>
      <w:tr w:rsidR="009C13A9" w:rsidRPr="009072DA" w:rsidTr="009C13A9">
        <w:tc>
          <w:tcPr>
            <w:tcW w:w="737" w:type="dxa"/>
            <w:shd w:val="clear" w:color="auto" w:fill="auto"/>
          </w:tcPr>
          <w:p w:rsidR="009C13A9" w:rsidRPr="009072DA" w:rsidRDefault="009C13A9" w:rsidP="009C13A9">
            <w:pPr>
              <w:spacing w:before="40" w:line="240" w:lineRule="atLeast"/>
              <w:outlineLvl w:val="0"/>
              <w:rPr>
                <w:szCs w:val="20"/>
                <w:lang w:val="bg-BG"/>
              </w:rPr>
            </w:pPr>
            <w:r w:rsidRPr="009072DA">
              <w:rPr>
                <w:lang w:val="bg-BG"/>
              </w:rPr>
              <w:t>0.1.1</w:t>
            </w:r>
          </w:p>
        </w:tc>
        <w:tc>
          <w:tcPr>
            <w:tcW w:w="8491" w:type="dxa"/>
            <w:gridSpan w:val="2"/>
            <w:shd w:val="clear" w:color="auto" w:fill="auto"/>
          </w:tcPr>
          <w:p w:rsidR="009C13A9" w:rsidRPr="009072DA" w:rsidRDefault="009C13A9" w:rsidP="009C13A9">
            <w:pPr>
              <w:tabs>
                <w:tab w:val="right" w:leader="dot" w:pos="8263"/>
              </w:tabs>
              <w:spacing w:before="40" w:line="240" w:lineRule="atLeast"/>
              <w:outlineLvl w:val="0"/>
              <w:rPr>
                <w:szCs w:val="20"/>
                <w:lang w:val="bg-BG"/>
              </w:rPr>
            </w:pPr>
            <w:r w:rsidRPr="009072DA">
              <w:rPr>
                <w:lang w:val="bg-BG"/>
              </w:rPr>
              <w:t xml:space="preserve">Марка: </w:t>
            </w:r>
            <w:r w:rsidRPr="009072DA">
              <w:rPr>
                <w:lang w:val="bg-BG"/>
              </w:rPr>
              <w:tab/>
            </w:r>
          </w:p>
        </w:tc>
      </w:tr>
      <w:tr w:rsidR="009C13A9" w:rsidRPr="009072DA" w:rsidTr="009C13A9">
        <w:tc>
          <w:tcPr>
            <w:tcW w:w="737" w:type="dxa"/>
            <w:shd w:val="clear" w:color="auto" w:fill="auto"/>
          </w:tcPr>
          <w:p w:rsidR="009C13A9" w:rsidRPr="009072DA" w:rsidRDefault="009C13A9" w:rsidP="009C13A9">
            <w:pPr>
              <w:spacing w:before="40" w:line="240" w:lineRule="atLeast"/>
              <w:outlineLvl w:val="0"/>
              <w:rPr>
                <w:szCs w:val="20"/>
                <w:lang w:val="bg-BG"/>
              </w:rPr>
            </w:pPr>
            <w:r w:rsidRPr="009072DA">
              <w:rPr>
                <w:lang w:val="bg-BG"/>
              </w:rPr>
              <w:t>0.1.2</w:t>
            </w:r>
          </w:p>
        </w:tc>
        <w:tc>
          <w:tcPr>
            <w:tcW w:w="8491" w:type="dxa"/>
            <w:gridSpan w:val="2"/>
            <w:shd w:val="clear" w:color="auto" w:fill="auto"/>
          </w:tcPr>
          <w:p w:rsidR="009C13A9" w:rsidRPr="009072DA" w:rsidRDefault="009C13A9" w:rsidP="009C13A9">
            <w:pPr>
              <w:tabs>
                <w:tab w:val="right" w:leader="dot" w:pos="8263"/>
              </w:tabs>
              <w:spacing w:before="40" w:line="240" w:lineRule="atLeast"/>
              <w:outlineLvl w:val="0"/>
              <w:rPr>
                <w:szCs w:val="20"/>
                <w:lang w:val="bg-BG"/>
              </w:rPr>
            </w:pPr>
            <w:r w:rsidRPr="009072DA">
              <w:rPr>
                <w:lang w:val="bg-BG"/>
              </w:rPr>
              <w:t xml:space="preserve">Описание на производителя: </w:t>
            </w:r>
            <w:r w:rsidRPr="009072DA">
              <w:rPr>
                <w:lang w:val="bg-BG"/>
              </w:rPr>
              <w:tab/>
            </w:r>
          </w:p>
        </w:tc>
      </w:tr>
      <w:tr w:rsidR="009C13A9" w:rsidRPr="008D2440" w:rsidTr="009C13A9">
        <w:tc>
          <w:tcPr>
            <w:tcW w:w="737" w:type="dxa"/>
            <w:shd w:val="clear" w:color="auto" w:fill="auto"/>
          </w:tcPr>
          <w:p w:rsidR="009C13A9" w:rsidRPr="009072DA" w:rsidRDefault="009C13A9" w:rsidP="009C13A9">
            <w:pPr>
              <w:spacing w:before="40" w:line="240" w:lineRule="atLeast"/>
              <w:outlineLvl w:val="0"/>
              <w:rPr>
                <w:szCs w:val="20"/>
                <w:lang w:val="bg-BG"/>
              </w:rPr>
            </w:pPr>
            <w:r w:rsidRPr="009072DA">
              <w:rPr>
                <w:lang w:val="bg-BG"/>
              </w:rPr>
              <w:t>0.1.3</w:t>
            </w:r>
          </w:p>
        </w:tc>
        <w:tc>
          <w:tcPr>
            <w:tcW w:w="8491" w:type="dxa"/>
            <w:gridSpan w:val="2"/>
            <w:shd w:val="clear" w:color="auto" w:fill="auto"/>
          </w:tcPr>
          <w:p w:rsidR="009C13A9" w:rsidRPr="009072DA" w:rsidRDefault="009C13A9" w:rsidP="009C13A9">
            <w:pPr>
              <w:tabs>
                <w:tab w:val="right" w:leader="dot" w:pos="8263"/>
              </w:tabs>
              <w:spacing w:before="40" w:line="240" w:lineRule="atLeast"/>
              <w:outlineLvl w:val="0"/>
              <w:rPr>
                <w:szCs w:val="20"/>
                <w:lang w:val="bg-BG"/>
              </w:rPr>
            </w:pPr>
            <w:r w:rsidRPr="009072DA">
              <w:rPr>
                <w:lang w:val="bg-BG"/>
              </w:rPr>
              <w:t xml:space="preserve">Номер на одобрението на типа: </w:t>
            </w:r>
            <w:r w:rsidRPr="009072DA">
              <w:rPr>
                <w:lang w:val="bg-BG"/>
              </w:rPr>
              <w:tab/>
            </w:r>
          </w:p>
        </w:tc>
      </w:tr>
      <w:tr w:rsidR="009C13A9" w:rsidRPr="009072DA" w:rsidTr="009C13A9">
        <w:tc>
          <w:tcPr>
            <w:tcW w:w="737" w:type="dxa"/>
            <w:shd w:val="clear" w:color="auto" w:fill="auto"/>
          </w:tcPr>
          <w:p w:rsidR="009C13A9" w:rsidRPr="009072DA" w:rsidRDefault="009C13A9" w:rsidP="009C13A9">
            <w:pPr>
              <w:spacing w:before="40" w:line="240" w:lineRule="atLeast"/>
              <w:outlineLvl w:val="0"/>
              <w:rPr>
                <w:szCs w:val="20"/>
                <w:lang w:val="bg-BG"/>
              </w:rPr>
            </w:pPr>
            <w:r w:rsidRPr="009072DA">
              <w:rPr>
                <w:lang w:val="bg-BG"/>
              </w:rPr>
              <w:t>0.1.4</w:t>
            </w:r>
          </w:p>
        </w:tc>
        <w:tc>
          <w:tcPr>
            <w:tcW w:w="8491" w:type="dxa"/>
            <w:gridSpan w:val="2"/>
            <w:shd w:val="clear" w:color="auto" w:fill="auto"/>
          </w:tcPr>
          <w:p w:rsidR="009C13A9" w:rsidRPr="009072DA" w:rsidRDefault="009C13A9" w:rsidP="009C13A9">
            <w:pPr>
              <w:tabs>
                <w:tab w:val="right" w:leader="dot" w:pos="8263"/>
              </w:tabs>
              <w:spacing w:before="40" w:line="240" w:lineRule="atLeast"/>
              <w:outlineLvl w:val="0"/>
              <w:rPr>
                <w:szCs w:val="20"/>
                <w:lang w:val="bg-BG"/>
              </w:rPr>
            </w:pPr>
            <w:r w:rsidRPr="009072DA">
              <w:rPr>
                <w:lang w:val="bg-BG"/>
              </w:rPr>
              <w:t xml:space="preserve">Идентификационен номер на двигателя: </w:t>
            </w:r>
            <w:r w:rsidRPr="009072DA">
              <w:rPr>
                <w:lang w:val="bg-BG"/>
              </w:rPr>
              <w:tab/>
            </w:r>
          </w:p>
        </w:tc>
      </w:tr>
      <w:tr w:rsidR="009C13A9" w:rsidRPr="009072DA" w:rsidTr="009C13A9">
        <w:tc>
          <w:tcPr>
            <w:tcW w:w="737" w:type="dxa"/>
            <w:shd w:val="clear" w:color="auto" w:fill="auto"/>
          </w:tcPr>
          <w:p w:rsidR="009C13A9" w:rsidRPr="009072DA" w:rsidRDefault="009C13A9" w:rsidP="009C13A9">
            <w:pPr>
              <w:outlineLvl w:val="0"/>
              <w:rPr>
                <w:szCs w:val="20"/>
                <w:lang w:val="bg-BG"/>
              </w:rPr>
            </w:pPr>
          </w:p>
        </w:tc>
        <w:tc>
          <w:tcPr>
            <w:tcW w:w="8491" w:type="dxa"/>
            <w:gridSpan w:val="2"/>
            <w:shd w:val="clear" w:color="auto" w:fill="auto"/>
          </w:tcPr>
          <w:p w:rsidR="009C13A9" w:rsidRPr="009072DA" w:rsidRDefault="009C13A9" w:rsidP="009C13A9">
            <w:pPr>
              <w:tabs>
                <w:tab w:val="right" w:leader="underscore" w:pos="8263"/>
              </w:tabs>
              <w:outlineLvl w:val="0"/>
              <w:rPr>
                <w:szCs w:val="20"/>
                <w:lang w:val="bg-BG"/>
              </w:rPr>
            </w:pPr>
          </w:p>
        </w:tc>
      </w:tr>
      <w:tr w:rsidR="009C13A9" w:rsidRPr="009072DA" w:rsidTr="009C13A9">
        <w:tc>
          <w:tcPr>
            <w:tcW w:w="737" w:type="dxa"/>
            <w:shd w:val="clear" w:color="auto" w:fill="auto"/>
          </w:tcPr>
          <w:p w:rsidR="009C13A9" w:rsidRPr="009072DA" w:rsidRDefault="009C13A9" w:rsidP="009C13A9">
            <w:pPr>
              <w:outlineLvl w:val="0"/>
              <w:rPr>
                <w:szCs w:val="20"/>
                <w:lang w:val="bg-BG"/>
              </w:rPr>
            </w:pPr>
            <w:r w:rsidRPr="009072DA">
              <w:rPr>
                <w:lang w:val="bg-BG"/>
              </w:rPr>
              <w:t>0.2</w:t>
            </w:r>
          </w:p>
        </w:tc>
        <w:tc>
          <w:tcPr>
            <w:tcW w:w="8491" w:type="dxa"/>
            <w:gridSpan w:val="2"/>
            <w:shd w:val="clear" w:color="auto" w:fill="auto"/>
          </w:tcPr>
          <w:p w:rsidR="009C13A9" w:rsidRPr="009072DA" w:rsidRDefault="009C13A9" w:rsidP="009C13A9">
            <w:pPr>
              <w:tabs>
                <w:tab w:val="right" w:leader="underscore" w:pos="8263"/>
              </w:tabs>
              <w:outlineLvl w:val="0"/>
              <w:rPr>
                <w:szCs w:val="20"/>
                <w:lang w:val="bg-BG"/>
              </w:rPr>
            </w:pPr>
            <w:r w:rsidRPr="009072DA">
              <w:rPr>
                <w:lang w:val="bg-BG"/>
              </w:rPr>
              <w:t>Документация</w:t>
            </w:r>
          </w:p>
        </w:tc>
      </w:tr>
      <w:tr w:rsidR="009C13A9" w:rsidRPr="008D2440" w:rsidTr="009C13A9">
        <w:tc>
          <w:tcPr>
            <w:tcW w:w="737" w:type="dxa"/>
            <w:shd w:val="clear" w:color="auto" w:fill="auto"/>
          </w:tcPr>
          <w:p w:rsidR="009C13A9" w:rsidRPr="009072DA" w:rsidRDefault="009C13A9" w:rsidP="009C13A9">
            <w:pPr>
              <w:outlineLvl w:val="0"/>
              <w:rPr>
                <w:szCs w:val="20"/>
                <w:lang w:val="bg-BG"/>
              </w:rPr>
            </w:pPr>
          </w:p>
        </w:tc>
        <w:tc>
          <w:tcPr>
            <w:tcW w:w="8491" w:type="dxa"/>
            <w:gridSpan w:val="2"/>
            <w:shd w:val="clear" w:color="auto" w:fill="auto"/>
          </w:tcPr>
          <w:p w:rsidR="009C13A9" w:rsidRPr="009072DA" w:rsidRDefault="009C13A9" w:rsidP="009C13A9">
            <w:pPr>
              <w:tabs>
                <w:tab w:val="right" w:leader="underscore" w:pos="8263"/>
              </w:tabs>
              <w:outlineLvl w:val="0"/>
              <w:rPr>
                <w:szCs w:val="20"/>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Параметрите на двигателя трябва да бъдат изпитвани, а резултатите от изпитването да бъдат документирани. Документацията се състои от отделни листове, номерирани поотделно, подписани от контрольора и приложени към настоящия протокол.</w:t>
            </w:r>
          </w:p>
          <w:p w:rsidR="009C13A9" w:rsidRPr="009072DA" w:rsidRDefault="009C13A9" w:rsidP="009C13A9">
            <w:pPr>
              <w:tabs>
                <w:tab w:val="left" w:leader="dot" w:pos="9072"/>
              </w:tabs>
              <w:spacing w:line="240" w:lineRule="atLeast"/>
              <w:rPr>
                <w:rFonts w:cs="Arial"/>
                <w:lang w:val="bg-BG"/>
              </w:rPr>
            </w:pPr>
          </w:p>
        </w:tc>
      </w:tr>
      <w:tr w:rsidR="009C13A9" w:rsidRPr="009072DA" w:rsidTr="009C13A9">
        <w:tc>
          <w:tcPr>
            <w:tcW w:w="737" w:type="dxa"/>
            <w:shd w:val="clear" w:color="auto" w:fill="auto"/>
          </w:tcPr>
          <w:p w:rsidR="009C13A9" w:rsidRPr="009072DA" w:rsidRDefault="009C13A9" w:rsidP="009C13A9">
            <w:pPr>
              <w:outlineLvl w:val="0"/>
              <w:rPr>
                <w:szCs w:val="20"/>
                <w:lang w:val="bg-BG"/>
              </w:rPr>
            </w:pPr>
            <w:r w:rsidRPr="009072DA">
              <w:rPr>
                <w:lang w:val="bg-BG"/>
              </w:rPr>
              <w:t>0.3</w:t>
            </w:r>
          </w:p>
        </w:tc>
        <w:tc>
          <w:tcPr>
            <w:tcW w:w="8491" w:type="dxa"/>
            <w:gridSpan w:val="2"/>
            <w:shd w:val="clear" w:color="auto" w:fill="auto"/>
          </w:tcPr>
          <w:p w:rsidR="009C13A9" w:rsidRPr="009072DA" w:rsidRDefault="009C13A9" w:rsidP="009C13A9">
            <w:pPr>
              <w:tabs>
                <w:tab w:val="right" w:leader="underscore" w:pos="8263"/>
              </w:tabs>
              <w:outlineLvl w:val="0"/>
              <w:rPr>
                <w:szCs w:val="20"/>
                <w:lang w:val="bg-BG"/>
              </w:rPr>
            </w:pPr>
            <w:r w:rsidRPr="009072DA">
              <w:rPr>
                <w:lang w:val="bg-BG"/>
              </w:rPr>
              <w:t>Изпитване</w:t>
            </w:r>
          </w:p>
          <w:p w:rsidR="009C13A9" w:rsidRPr="009072DA" w:rsidRDefault="009C13A9" w:rsidP="009C13A9">
            <w:pPr>
              <w:tabs>
                <w:tab w:val="right" w:leader="underscore" w:pos="8263"/>
              </w:tabs>
              <w:outlineLvl w:val="0"/>
              <w:rPr>
                <w:szCs w:val="20"/>
                <w:lang w:val="bg-BG"/>
              </w:rPr>
            </w:pPr>
          </w:p>
        </w:tc>
      </w:tr>
      <w:tr w:rsidR="009C13A9" w:rsidRPr="008D2440" w:rsidTr="009C13A9">
        <w:tc>
          <w:tcPr>
            <w:tcW w:w="737" w:type="dxa"/>
            <w:shd w:val="clear" w:color="auto" w:fill="auto"/>
          </w:tcPr>
          <w:p w:rsidR="009C13A9" w:rsidRPr="009072DA" w:rsidRDefault="009C13A9" w:rsidP="009C13A9">
            <w:pPr>
              <w:outlineLvl w:val="0"/>
              <w:rPr>
                <w:szCs w:val="20"/>
                <w:lang w:val="bg-BG"/>
              </w:rPr>
            </w:pPr>
          </w:p>
        </w:tc>
        <w:tc>
          <w:tcPr>
            <w:tcW w:w="8491" w:type="dxa"/>
            <w:gridSpan w:val="2"/>
            <w:shd w:val="clear" w:color="auto" w:fill="auto"/>
          </w:tcPr>
          <w:p w:rsidR="009C13A9" w:rsidRPr="009072DA" w:rsidRDefault="009C13A9" w:rsidP="009C13A9">
            <w:pPr>
              <w:tabs>
                <w:tab w:val="left" w:leader="dot" w:pos="9072"/>
              </w:tabs>
              <w:spacing w:line="240" w:lineRule="atLeast"/>
              <w:rPr>
                <w:rFonts w:cs="Arial"/>
                <w:lang w:val="bg-BG"/>
              </w:rPr>
            </w:pPr>
            <w:r w:rsidRPr="009072DA">
              <w:rPr>
                <w:lang w:val="bg-BG"/>
              </w:rPr>
              <w:t>Изпитването следва да се извърши въз основа на инструкциите на производителя на двигателя относно наблюдението на съставните елементи и параметрите на двигателя от значение за емисиите на отработили газове. В надлежно обосновани случаи контрольорите могат по свое собствено усмотрение да се откажат от проверката на някои параметри на двигателя.</w:t>
            </w:r>
          </w:p>
          <w:p w:rsidR="009C13A9" w:rsidRPr="009072DA" w:rsidRDefault="009C13A9" w:rsidP="009C13A9">
            <w:pPr>
              <w:tabs>
                <w:tab w:val="left" w:leader="dot" w:pos="9072"/>
              </w:tabs>
              <w:spacing w:line="240" w:lineRule="atLeast"/>
              <w:rPr>
                <w:rFonts w:cs="Arial"/>
                <w:lang w:val="bg-BG"/>
              </w:rPr>
            </w:pPr>
          </w:p>
        </w:tc>
      </w:tr>
      <w:tr w:rsidR="009C13A9" w:rsidRPr="009072DA" w:rsidTr="009C13A9">
        <w:tc>
          <w:tcPr>
            <w:tcW w:w="737" w:type="dxa"/>
            <w:shd w:val="clear" w:color="auto" w:fill="auto"/>
          </w:tcPr>
          <w:p w:rsidR="009C13A9" w:rsidRPr="009072DA" w:rsidRDefault="009C13A9" w:rsidP="009C13A9">
            <w:pPr>
              <w:outlineLvl w:val="0"/>
              <w:rPr>
                <w:szCs w:val="20"/>
                <w:lang w:val="bg-BG"/>
              </w:rPr>
            </w:pPr>
            <w:r w:rsidRPr="009072DA">
              <w:rPr>
                <w:lang w:val="bg-BG"/>
              </w:rPr>
              <w:t>0.4</w:t>
            </w:r>
          </w:p>
        </w:tc>
        <w:tc>
          <w:tcPr>
            <w:tcW w:w="8491" w:type="dxa"/>
            <w:gridSpan w:val="2"/>
            <w:shd w:val="clear" w:color="auto" w:fill="auto"/>
          </w:tcPr>
          <w:p w:rsidR="009C13A9" w:rsidRPr="009072DA" w:rsidRDefault="009C13A9" w:rsidP="009C13A9">
            <w:pPr>
              <w:tabs>
                <w:tab w:val="left" w:leader="dot" w:pos="9072"/>
              </w:tabs>
              <w:spacing w:line="240" w:lineRule="atLeast"/>
              <w:rPr>
                <w:rFonts w:cs="Arial"/>
                <w:lang w:val="bg-BG"/>
              </w:rPr>
            </w:pPr>
            <w:r w:rsidRPr="009072DA">
              <w:rPr>
                <w:lang w:val="bg-BG"/>
              </w:rPr>
              <w:t>Настоящият протокол за параметрите на двигателя, включително придружаващите го диаграми за отчетените стойности, е с общ обем... (*) страници.</w:t>
            </w:r>
          </w:p>
          <w:p w:rsidR="009C13A9" w:rsidRPr="009072DA" w:rsidRDefault="009C13A9" w:rsidP="009C13A9">
            <w:pPr>
              <w:tabs>
                <w:tab w:val="right" w:leader="underscore" w:pos="8263"/>
              </w:tabs>
              <w:outlineLvl w:val="0"/>
              <w:rPr>
                <w:szCs w:val="20"/>
                <w:lang w:val="bg-BG"/>
              </w:rPr>
            </w:pPr>
          </w:p>
        </w:tc>
      </w:tr>
      <w:tr w:rsidR="009C13A9" w:rsidRPr="009072DA" w:rsidTr="009C13A9">
        <w:tc>
          <w:tcPr>
            <w:tcW w:w="737" w:type="dxa"/>
            <w:shd w:val="clear" w:color="auto" w:fill="auto"/>
          </w:tcPr>
          <w:p w:rsidR="009C13A9" w:rsidRPr="009072DA" w:rsidRDefault="009C13A9" w:rsidP="009C13A9">
            <w:pPr>
              <w:outlineLvl w:val="0"/>
              <w:rPr>
                <w:szCs w:val="20"/>
                <w:lang w:val="bg-BG"/>
              </w:rPr>
            </w:pPr>
            <w:r w:rsidRPr="009072DA">
              <w:rPr>
                <w:b/>
                <w:lang w:val="bg-BG"/>
              </w:rPr>
              <w:t>1.</w:t>
            </w:r>
          </w:p>
        </w:tc>
        <w:tc>
          <w:tcPr>
            <w:tcW w:w="8491" w:type="dxa"/>
            <w:gridSpan w:val="2"/>
            <w:shd w:val="clear" w:color="auto" w:fill="auto"/>
          </w:tcPr>
          <w:p w:rsidR="009C13A9" w:rsidRPr="009072DA" w:rsidRDefault="009C13A9" w:rsidP="009C13A9">
            <w:pPr>
              <w:tabs>
                <w:tab w:val="right" w:leader="underscore" w:pos="8263"/>
              </w:tabs>
              <w:outlineLvl w:val="0"/>
              <w:rPr>
                <w:b/>
                <w:bCs/>
                <w:szCs w:val="20"/>
                <w:lang w:val="bg-BG"/>
              </w:rPr>
            </w:pPr>
            <w:r w:rsidRPr="009072DA">
              <w:rPr>
                <w:b/>
                <w:lang w:val="bg-BG"/>
              </w:rPr>
              <w:t>Параметри на двигателя</w:t>
            </w:r>
          </w:p>
          <w:p w:rsidR="009C13A9" w:rsidRPr="009072DA" w:rsidRDefault="009C13A9" w:rsidP="009C13A9">
            <w:pPr>
              <w:tabs>
                <w:tab w:val="right" w:leader="underscore" w:pos="8263"/>
              </w:tabs>
              <w:outlineLvl w:val="0"/>
              <w:rPr>
                <w:szCs w:val="20"/>
                <w:lang w:val="bg-BG"/>
              </w:rPr>
            </w:pPr>
          </w:p>
        </w:tc>
      </w:tr>
      <w:tr w:rsidR="009C13A9" w:rsidRPr="008D2440" w:rsidTr="009C13A9">
        <w:tc>
          <w:tcPr>
            <w:tcW w:w="737" w:type="dxa"/>
            <w:shd w:val="clear" w:color="auto" w:fill="auto"/>
          </w:tcPr>
          <w:p w:rsidR="009C13A9" w:rsidRPr="009072DA" w:rsidRDefault="009C13A9" w:rsidP="009C13A9">
            <w:pPr>
              <w:outlineLvl w:val="0"/>
              <w:rPr>
                <w:b/>
                <w:bCs/>
                <w:szCs w:val="20"/>
                <w:lang w:val="bg-BG"/>
              </w:rPr>
            </w:pPr>
          </w:p>
        </w:tc>
        <w:tc>
          <w:tcPr>
            <w:tcW w:w="8491" w:type="dxa"/>
            <w:gridSpan w:val="2"/>
            <w:shd w:val="clear" w:color="auto" w:fill="auto"/>
          </w:tcPr>
          <w:p w:rsidR="009C13A9" w:rsidRPr="009072DA" w:rsidRDefault="009C13A9" w:rsidP="009C13A9">
            <w:pPr>
              <w:tabs>
                <w:tab w:val="left" w:leader="dot" w:pos="9072"/>
              </w:tabs>
              <w:spacing w:line="240" w:lineRule="atLeast"/>
              <w:rPr>
                <w:rFonts w:cs="Arial"/>
                <w:lang w:val="bg-BG"/>
              </w:rPr>
            </w:pPr>
            <w:r w:rsidRPr="009072DA">
              <w:rPr>
                <w:lang w:val="bg-BG"/>
              </w:rPr>
              <w:t>С настоящото се удостоверява, че подложеният на изпитване двигател не се отклонява прекомерно от предписаните параметри.</w:t>
            </w:r>
          </w:p>
          <w:p w:rsidR="009C13A9" w:rsidRPr="009072DA" w:rsidRDefault="009C13A9" w:rsidP="009C13A9">
            <w:pPr>
              <w:tabs>
                <w:tab w:val="left" w:leader="dot" w:pos="9072"/>
              </w:tabs>
              <w:spacing w:line="240" w:lineRule="atLeast"/>
              <w:rPr>
                <w:rFonts w:cs="Arial"/>
                <w:b/>
                <w:bCs/>
                <w:lang w:val="bg-BG"/>
              </w:rPr>
            </w:pPr>
          </w:p>
        </w:tc>
      </w:tr>
      <w:tr w:rsidR="009C13A9" w:rsidRPr="009072DA" w:rsidTr="009C13A9">
        <w:tc>
          <w:tcPr>
            <w:tcW w:w="737" w:type="dxa"/>
            <w:shd w:val="clear" w:color="auto" w:fill="auto"/>
          </w:tcPr>
          <w:p w:rsidR="009C13A9" w:rsidRPr="009072DA" w:rsidRDefault="009C13A9" w:rsidP="009C13A9">
            <w:pPr>
              <w:outlineLvl w:val="0"/>
              <w:rPr>
                <w:b/>
                <w:bCs/>
                <w:szCs w:val="20"/>
                <w:lang w:val="bg-BG"/>
              </w:rPr>
            </w:pPr>
            <w:r w:rsidRPr="009072DA">
              <w:rPr>
                <w:lang w:val="bg-BG"/>
              </w:rPr>
              <w:t>1.1</w:t>
            </w:r>
          </w:p>
        </w:tc>
        <w:tc>
          <w:tcPr>
            <w:tcW w:w="8491" w:type="dxa"/>
            <w:gridSpan w:val="2"/>
            <w:shd w:val="clear" w:color="auto" w:fill="auto"/>
          </w:tcPr>
          <w:p w:rsidR="009C13A9" w:rsidRPr="009072DA" w:rsidRDefault="009C13A9" w:rsidP="009C13A9">
            <w:pPr>
              <w:tabs>
                <w:tab w:val="right" w:leader="underscore" w:pos="8263"/>
              </w:tabs>
              <w:outlineLvl w:val="0"/>
              <w:rPr>
                <w:szCs w:val="20"/>
                <w:lang w:val="bg-BG"/>
              </w:rPr>
            </w:pPr>
            <w:r w:rsidRPr="009072DA">
              <w:rPr>
                <w:lang w:val="bg-BG"/>
              </w:rPr>
              <w:t>Проверка на монтажа</w:t>
            </w:r>
          </w:p>
        </w:tc>
      </w:tr>
      <w:tr w:rsidR="009C13A9" w:rsidRPr="008D2440" w:rsidTr="009C13A9">
        <w:tc>
          <w:tcPr>
            <w:tcW w:w="737" w:type="dxa"/>
            <w:shd w:val="clear" w:color="auto" w:fill="auto"/>
          </w:tcPr>
          <w:p w:rsidR="009C13A9" w:rsidRPr="009072DA" w:rsidRDefault="009C13A9" w:rsidP="009C13A9">
            <w:pPr>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Име и адрес на техническата служба: </w:t>
            </w:r>
            <w:r w:rsidRPr="009072DA">
              <w:rPr>
                <w:lang w:val="bg-BG"/>
              </w:rPr>
              <w:tab/>
            </w:r>
          </w:p>
        </w:tc>
      </w:tr>
      <w:tr w:rsidR="009C13A9" w:rsidRPr="008D2440" w:rsidTr="009C13A9">
        <w:tc>
          <w:tcPr>
            <w:tcW w:w="737" w:type="dxa"/>
            <w:shd w:val="clear" w:color="auto" w:fill="auto"/>
          </w:tcPr>
          <w:p w:rsidR="009C13A9" w:rsidRPr="009072DA" w:rsidRDefault="009C13A9" w:rsidP="009C13A9">
            <w:pPr>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ab/>
            </w:r>
          </w:p>
        </w:tc>
      </w:tr>
      <w:tr w:rsidR="009C13A9" w:rsidRPr="008D2440" w:rsidTr="009C13A9">
        <w:tc>
          <w:tcPr>
            <w:tcW w:w="737" w:type="dxa"/>
            <w:shd w:val="clear" w:color="auto" w:fill="auto"/>
          </w:tcPr>
          <w:p w:rsidR="009C13A9" w:rsidRPr="009072DA" w:rsidRDefault="009C13A9" w:rsidP="009C13A9">
            <w:pPr>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ab/>
            </w:r>
          </w:p>
        </w:tc>
      </w:tr>
      <w:tr w:rsidR="009C13A9" w:rsidRPr="009072DA" w:rsidTr="009C13A9">
        <w:tc>
          <w:tcPr>
            <w:tcW w:w="737" w:type="dxa"/>
            <w:shd w:val="clear" w:color="auto" w:fill="auto"/>
          </w:tcPr>
          <w:p w:rsidR="009C13A9" w:rsidRPr="009072DA" w:rsidRDefault="009C13A9" w:rsidP="009C13A9">
            <w:pPr>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Име на контрольора:</w:t>
            </w:r>
            <w:r w:rsidRPr="009072DA">
              <w:rPr>
                <w:lang w:val="bg-BG"/>
              </w:rPr>
              <w:tab/>
            </w:r>
          </w:p>
        </w:tc>
      </w:tr>
      <w:tr w:rsidR="009C13A9" w:rsidRPr="009072DA" w:rsidTr="009C13A9">
        <w:tc>
          <w:tcPr>
            <w:tcW w:w="737" w:type="dxa"/>
            <w:shd w:val="clear" w:color="auto" w:fill="auto"/>
          </w:tcPr>
          <w:p w:rsidR="009C13A9" w:rsidRPr="009072DA" w:rsidRDefault="009C13A9" w:rsidP="009C13A9">
            <w:pPr>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Място и дата:</w:t>
            </w:r>
            <w:r w:rsidRPr="009072DA">
              <w:rPr>
                <w:lang w:val="bg-BG"/>
              </w:rPr>
              <w:tab/>
            </w:r>
          </w:p>
        </w:tc>
      </w:tr>
      <w:tr w:rsidR="009C13A9" w:rsidRPr="009072DA" w:rsidTr="009C13A9">
        <w:tc>
          <w:tcPr>
            <w:tcW w:w="737" w:type="dxa"/>
            <w:shd w:val="clear" w:color="auto" w:fill="auto"/>
          </w:tcPr>
          <w:p w:rsidR="009C13A9" w:rsidRPr="009072DA" w:rsidRDefault="009C13A9" w:rsidP="009C13A9">
            <w:pPr>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Подпис:</w:t>
            </w:r>
            <w:r w:rsidRPr="009072DA">
              <w:rPr>
                <w:lang w:val="bg-BG"/>
              </w:rPr>
              <w:tab/>
            </w:r>
          </w:p>
        </w:tc>
      </w:tr>
      <w:tr w:rsidR="009C13A9" w:rsidRPr="009072DA" w:rsidTr="009C13A9">
        <w:tc>
          <w:tcPr>
            <w:tcW w:w="737" w:type="dxa"/>
            <w:shd w:val="clear" w:color="auto" w:fill="auto"/>
          </w:tcPr>
          <w:p w:rsidR="009C13A9" w:rsidRPr="009072DA" w:rsidRDefault="009C13A9" w:rsidP="009C13A9">
            <w:pPr>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p>
        </w:tc>
      </w:tr>
      <w:tr w:rsidR="009C13A9" w:rsidRPr="008D2440" w:rsidTr="009C13A9">
        <w:tc>
          <w:tcPr>
            <w:tcW w:w="737" w:type="dxa"/>
            <w:shd w:val="clear" w:color="auto" w:fill="auto"/>
          </w:tcPr>
          <w:p w:rsidR="009C13A9" w:rsidRPr="009072DA" w:rsidRDefault="009C13A9" w:rsidP="009C13A9">
            <w:pPr>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Изпитване, признато от компетентния орган:</w:t>
            </w:r>
            <w:r w:rsidRPr="009072DA">
              <w:rPr>
                <w:lang w:val="bg-BG"/>
              </w:rPr>
              <w:tab/>
            </w:r>
          </w:p>
        </w:tc>
      </w:tr>
      <w:tr w:rsidR="009C13A9" w:rsidRPr="008D2440" w:rsidTr="009C13A9">
        <w:tc>
          <w:tcPr>
            <w:tcW w:w="737" w:type="dxa"/>
            <w:shd w:val="clear" w:color="auto" w:fill="auto"/>
          </w:tcPr>
          <w:p w:rsidR="009C13A9" w:rsidRPr="009072DA" w:rsidRDefault="009C13A9" w:rsidP="009C13A9">
            <w:pPr>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ab/>
            </w:r>
          </w:p>
        </w:tc>
      </w:tr>
      <w:tr w:rsidR="009C13A9" w:rsidRPr="008D2440" w:rsidTr="009C13A9">
        <w:tc>
          <w:tcPr>
            <w:tcW w:w="737" w:type="dxa"/>
            <w:shd w:val="clear" w:color="auto" w:fill="auto"/>
          </w:tcPr>
          <w:p w:rsidR="009C13A9" w:rsidRPr="009072DA" w:rsidRDefault="009C13A9" w:rsidP="009C13A9">
            <w:pPr>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ab/>
            </w:r>
          </w:p>
        </w:tc>
      </w:tr>
      <w:tr w:rsidR="009C13A9" w:rsidRPr="008D2440" w:rsidTr="009C13A9">
        <w:tc>
          <w:tcPr>
            <w:tcW w:w="737" w:type="dxa"/>
            <w:shd w:val="clear" w:color="auto" w:fill="auto"/>
          </w:tcPr>
          <w:p w:rsidR="009C13A9" w:rsidRPr="009072DA" w:rsidRDefault="009C13A9" w:rsidP="009C13A9">
            <w:pPr>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p>
        </w:tc>
      </w:tr>
      <w:tr w:rsidR="009C13A9" w:rsidRPr="009072DA" w:rsidTr="009C13A9">
        <w:tc>
          <w:tcPr>
            <w:tcW w:w="737" w:type="dxa"/>
            <w:shd w:val="clear" w:color="auto" w:fill="auto"/>
          </w:tcPr>
          <w:p w:rsidR="009C13A9" w:rsidRPr="009072DA" w:rsidRDefault="009C13A9" w:rsidP="009C13A9">
            <w:pPr>
              <w:outlineLvl w:val="0"/>
              <w:rPr>
                <w:szCs w:val="20"/>
                <w:lang w:val="bg-BG"/>
              </w:rPr>
            </w:pPr>
          </w:p>
        </w:tc>
        <w:tc>
          <w:tcPr>
            <w:tcW w:w="5131" w:type="dxa"/>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Място и дата:</w:t>
            </w:r>
            <w:r w:rsidRPr="009072DA">
              <w:rPr>
                <w:lang w:val="bg-BG"/>
              </w:rPr>
              <w:tab/>
            </w:r>
          </w:p>
        </w:tc>
        <w:tc>
          <w:tcPr>
            <w:tcW w:w="3360" w:type="dxa"/>
            <w:shd w:val="clear" w:color="auto" w:fill="auto"/>
          </w:tcPr>
          <w:p w:rsidR="009C13A9" w:rsidRPr="009072DA" w:rsidRDefault="009C13A9" w:rsidP="009C13A9">
            <w:pPr>
              <w:tabs>
                <w:tab w:val="right" w:leader="dot" w:pos="8263"/>
              </w:tabs>
              <w:spacing w:line="240" w:lineRule="atLeast"/>
              <w:jc w:val="center"/>
              <w:outlineLvl w:val="0"/>
              <w:rPr>
                <w:sz w:val="16"/>
                <w:szCs w:val="20"/>
                <w:lang w:val="bg-BG"/>
              </w:rPr>
            </w:pPr>
            <w:r w:rsidRPr="009072DA">
              <w:rPr>
                <w:sz w:val="16"/>
                <w:lang w:val="bg-BG"/>
              </w:rPr>
              <w:t>Печат на компетентния</w:t>
            </w:r>
          </w:p>
        </w:tc>
      </w:tr>
      <w:tr w:rsidR="009C13A9" w:rsidRPr="009072DA" w:rsidTr="009C13A9">
        <w:tc>
          <w:tcPr>
            <w:tcW w:w="737" w:type="dxa"/>
            <w:shd w:val="clear" w:color="auto" w:fill="auto"/>
          </w:tcPr>
          <w:p w:rsidR="009C13A9" w:rsidRPr="009072DA" w:rsidRDefault="009C13A9" w:rsidP="009C13A9">
            <w:pPr>
              <w:outlineLvl w:val="0"/>
              <w:rPr>
                <w:szCs w:val="20"/>
                <w:lang w:val="bg-BG"/>
              </w:rPr>
            </w:pPr>
          </w:p>
        </w:tc>
        <w:tc>
          <w:tcPr>
            <w:tcW w:w="5131" w:type="dxa"/>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Подпис:</w:t>
            </w:r>
            <w:r w:rsidRPr="009072DA">
              <w:rPr>
                <w:lang w:val="bg-BG"/>
              </w:rPr>
              <w:tab/>
            </w:r>
          </w:p>
        </w:tc>
        <w:tc>
          <w:tcPr>
            <w:tcW w:w="3360" w:type="dxa"/>
            <w:shd w:val="clear" w:color="auto" w:fill="auto"/>
          </w:tcPr>
          <w:p w:rsidR="009C13A9" w:rsidRPr="009072DA" w:rsidRDefault="009C13A9" w:rsidP="009C13A9">
            <w:pPr>
              <w:tabs>
                <w:tab w:val="right" w:leader="dot" w:pos="8263"/>
              </w:tabs>
              <w:spacing w:line="240" w:lineRule="atLeast"/>
              <w:jc w:val="center"/>
              <w:outlineLvl w:val="0"/>
              <w:rPr>
                <w:sz w:val="16"/>
                <w:szCs w:val="20"/>
                <w:lang w:val="bg-BG"/>
              </w:rPr>
            </w:pPr>
            <w:r w:rsidRPr="009072DA">
              <w:rPr>
                <w:sz w:val="16"/>
                <w:lang w:val="bg-BG"/>
              </w:rPr>
              <w:t>орган</w:t>
            </w:r>
          </w:p>
        </w:tc>
      </w:tr>
    </w:tbl>
    <w:p w:rsidR="009C13A9" w:rsidRPr="009072DA" w:rsidRDefault="009C13A9" w:rsidP="009C13A9">
      <w:pPr>
        <w:tabs>
          <w:tab w:val="left" w:pos="737"/>
          <w:tab w:val="left" w:pos="2835"/>
        </w:tabs>
        <w:rPr>
          <w:szCs w:val="20"/>
          <w:lang w:val="bg-BG"/>
        </w:rPr>
      </w:pPr>
    </w:p>
    <w:p w:rsidR="009C13A9" w:rsidRPr="009072DA" w:rsidRDefault="009C13A9" w:rsidP="009C13A9">
      <w:pPr>
        <w:tabs>
          <w:tab w:val="left" w:pos="737"/>
          <w:tab w:val="left" w:pos="2835"/>
        </w:tabs>
        <w:rPr>
          <w:szCs w:val="20"/>
          <w:lang w:val="bg-BG"/>
        </w:rPr>
      </w:pPr>
    </w:p>
    <w:p w:rsidR="009C13A9" w:rsidRPr="009072DA" w:rsidRDefault="009C13A9" w:rsidP="009C13A9">
      <w:pPr>
        <w:tabs>
          <w:tab w:val="left" w:pos="737"/>
          <w:tab w:val="left" w:pos="2835"/>
        </w:tabs>
        <w:rPr>
          <w:szCs w:val="20"/>
          <w:lang w:val="bg-BG"/>
        </w:rPr>
      </w:pPr>
    </w:p>
    <w:p w:rsidR="009C13A9" w:rsidRPr="009072DA" w:rsidRDefault="009C13A9" w:rsidP="009C13A9">
      <w:pPr>
        <w:tabs>
          <w:tab w:val="left" w:pos="737"/>
          <w:tab w:val="left" w:pos="2835"/>
        </w:tabs>
        <w:rPr>
          <w:szCs w:val="20"/>
          <w:lang w:val="bg-BG"/>
        </w:rPr>
      </w:pPr>
    </w:p>
    <w:p w:rsidR="009C13A9" w:rsidRPr="009072DA" w:rsidRDefault="009C13A9" w:rsidP="009C13A9">
      <w:pPr>
        <w:tabs>
          <w:tab w:val="left" w:pos="737"/>
          <w:tab w:val="left" w:pos="2835"/>
        </w:tabs>
        <w:rPr>
          <w:szCs w:val="20"/>
          <w:lang w:val="bg-BG"/>
        </w:rPr>
      </w:pPr>
    </w:p>
    <w:p w:rsidR="009C13A9" w:rsidRPr="009072DA" w:rsidRDefault="009C13A9" w:rsidP="009C13A9">
      <w:pPr>
        <w:tabs>
          <w:tab w:val="left" w:pos="737"/>
          <w:tab w:val="left" w:pos="2835"/>
        </w:tabs>
        <w:rPr>
          <w:szCs w:val="20"/>
          <w:lang w:val="bg-BG"/>
        </w:rPr>
      </w:pPr>
    </w:p>
    <w:p w:rsidR="0042206B" w:rsidRPr="009072DA" w:rsidRDefault="0042206B" w:rsidP="009C13A9">
      <w:pPr>
        <w:tabs>
          <w:tab w:val="left" w:pos="737"/>
          <w:tab w:val="left" w:pos="2835"/>
        </w:tabs>
        <w:rPr>
          <w:szCs w:val="20"/>
          <w:lang w:val="bg-BG"/>
        </w:rPr>
      </w:pPr>
    </w:p>
    <w:p w:rsidR="009C13A9" w:rsidRPr="009072DA" w:rsidRDefault="009C13A9" w:rsidP="009C13A9">
      <w:pPr>
        <w:tabs>
          <w:tab w:val="left" w:pos="737"/>
          <w:tab w:val="left" w:pos="2835"/>
        </w:tabs>
        <w:rPr>
          <w:szCs w:val="20"/>
          <w:lang w:val="bg-BG"/>
        </w:rPr>
      </w:pPr>
    </w:p>
    <w:p w:rsidR="009C13A9" w:rsidRPr="009072DA" w:rsidRDefault="009C13A9" w:rsidP="009C13A9">
      <w:pPr>
        <w:tabs>
          <w:tab w:val="left" w:pos="737"/>
          <w:tab w:val="left" w:pos="2835"/>
        </w:tabs>
        <w:rPr>
          <w:szCs w:val="20"/>
          <w:lang w:val="bg-BG"/>
        </w:rPr>
      </w:pPr>
      <w:r w:rsidRPr="009072DA">
        <w:rPr>
          <w:lang w:val="bg-BG"/>
        </w:rPr>
        <w:t>-----------------</w:t>
      </w:r>
    </w:p>
    <w:p w:rsidR="009C13A9" w:rsidRPr="009072DA" w:rsidRDefault="009C13A9" w:rsidP="009C13A9">
      <w:pPr>
        <w:tabs>
          <w:tab w:val="left" w:pos="284"/>
        </w:tabs>
        <w:ind w:left="284" w:hanging="284"/>
        <w:rPr>
          <w:sz w:val="16"/>
          <w:szCs w:val="20"/>
          <w:lang w:val="bg-BG"/>
        </w:rPr>
      </w:pPr>
      <w:r w:rsidRPr="009072DA">
        <w:rPr>
          <w:lang w:val="bg-BG"/>
        </w:rPr>
        <w:t>*</w:t>
      </w:r>
      <w:r w:rsidRPr="009072DA">
        <w:rPr>
          <w:lang w:val="bg-BG"/>
        </w:rPr>
        <w:tab/>
      </w:r>
      <w:r w:rsidRPr="009072DA">
        <w:rPr>
          <w:sz w:val="16"/>
          <w:lang w:val="bg-BG"/>
        </w:rPr>
        <w:t>Да се попълни от контрольора.</w:t>
      </w:r>
    </w:p>
    <w:p w:rsidR="009C13A9" w:rsidRPr="009072DA" w:rsidRDefault="009C13A9" w:rsidP="009C13A9">
      <w:pPr>
        <w:tabs>
          <w:tab w:val="left" w:leader="dot" w:pos="9072"/>
        </w:tabs>
        <w:spacing w:line="240" w:lineRule="atLeast"/>
        <w:rPr>
          <w:rFonts w:cs="Arial"/>
          <w:lang w:val="bg-BG"/>
        </w:rPr>
      </w:pPr>
      <w:r w:rsidRPr="009072DA">
        <w:rPr>
          <w:lang w:val="bg-BG"/>
        </w:rPr>
        <w:br w:type="page"/>
      </w:r>
    </w:p>
    <w:tbl>
      <w:tblPr>
        <w:tblW w:w="0" w:type="auto"/>
        <w:tblLayout w:type="fixed"/>
        <w:tblLook w:val="01E0" w:firstRow="1" w:lastRow="1" w:firstColumn="1" w:lastColumn="1" w:noHBand="0" w:noVBand="0"/>
      </w:tblPr>
      <w:tblGrid>
        <w:gridCol w:w="737"/>
        <w:gridCol w:w="5131"/>
        <w:gridCol w:w="3360"/>
      </w:tblGrid>
      <w:tr w:rsidR="009C13A9" w:rsidRPr="009072DA" w:rsidTr="009C13A9">
        <w:tc>
          <w:tcPr>
            <w:tcW w:w="737" w:type="dxa"/>
            <w:shd w:val="clear" w:color="auto" w:fill="auto"/>
          </w:tcPr>
          <w:p w:rsidR="009C13A9" w:rsidRPr="009072DA" w:rsidRDefault="009C13A9" w:rsidP="009C13A9">
            <w:pPr>
              <w:spacing w:line="240" w:lineRule="atLeast"/>
              <w:rPr>
                <w:b/>
                <w:bCs/>
                <w:szCs w:val="20"/>
                <w:lang w:val="bg-BG"/>
              </w:rPr>
            </w:pPr>
            <w:r w:rsidRPr="009072DA">
              <w:rPr>
                <w:lang w:val="bg-BG"/>
              </w:rPr>
              <w:lastRenderedPageBreak/>
              <w:t>1.2</w:t>
            </w:r>
          </w:p>
        </w:tc>
        <w:tc>
          <w:tcPr>
            <w:tcW w:w="8491" w:type="dxa"/>
            <w:gridSpan w:val="2"/>
            <w:shd w:val="clear" w:color="auto" w:fill="auto"/>
          </w:tcPr>
          <w:p w:rsidR="009C13A9" w:rsidRPr="009072DA" w:rsidRDefault="00475311" w:rsidP="009C13A9">
            <w:pPr>
              <w:spacing w:line="240" w:lineRule="atLeast"/>
              <w:rPr>
                <w:b/>
                <w:bCs/>
                <w:szCs w:val="20"/>
                <w:lang w:val="bg-BG"/>
              </w:rPr>
            </w:pPr>
            <w:r w:rsidRPr="009072DA">
              <w:rPr>
                <w:szCs w:val="20"/>
                <w:lang w:val="bg-BG"/>
              </w:rPr>
              <w:fldChar w:fldCharType="begin">
                <w:ffData>
                  <w:name w:val="Kontrollkästchen1"/>
                  <w:enabled/>
                  <w:calcOnExit w:val="0"/>
                  <w:checkBox>
                    <w:size w:val="20"/>
                    <w:default w:val="0"/>
                  </w:checkBox>
                </w:ffData>
              </w:fldChar>
            </w:r>
            <w:r w:rsidRPr="009072DA">
              <w:rPr>
                <w:szCs w:val="20"/>
                <w:lang w:val="bg-BG"/>
              </w:rPr>
              <w:instrText xml:space="preserve"> FORMCHECKBOX </w:instrText>
            </w:r>
            <w:r w:rsidR="002B712C">
              <w:rPr>
                <w:szCs w:val="20"/>
                <w:lang w:val="bg-BG"/>
              </w:rPr>
            </w:r>
            <w:r w:rsidR="002B712C">
              <w:rPr>
                <w:szCs w:val="20"/>
                <w:lang w:val="bg-BG"/>
              </w:rPr>
              <w:fldChar w:fldCharType="separate"/>
            </w:r>
            <w:r w:rsidRPr="009072DA">
              <w:rPr>
                <w:szCs w:val="20"/>
                <w:lang w:val="bg-BG"/>
              </w:rPr>
              <w:fldChar w:fldCharType="end"/>
            </w:r>
            <w:r w:rsidRPr="009072DA">
              <w:rPr>
                <w:lang w:val="bg-BG"/>
              </w:rPr>
              <w:t xml:space="preserve"> Междинно изпитване</w:t>
            </w:r>
            <w:r w:rsidRPr="009072DA">
              <w:rPr>
                <w:lang w:val="bg-BG"/>
              </w:rPr>
              <w:tab/>
            </w:r>
            <w:r w:rsidRPr="009072DA">
              <w:rPr>
                <w:szCs w:val="20"/>
                <w:lang w:val="bg-BG"/>
              </w:rPr>
              <w:fldChar w:fldCharType="begin">
                <w:ffData>
                  <w:name w:val="Kontrollkästchen1"/>
                  <w:enabled/>
                  <w:calcOnExit w:val="0"/>
                  <w:checkBox>
                    <w:size w:val="20"/>
                    <w:default w:val="0"/>
                  </w:checkBox>
                </w:ffData>
              </w:fldChar>
            </w:r>
            <w:r w:rsidRPr="009072DA">
              <w:rPr>
                <w:szCs w:val="20"/>
                <w:lang w:val="bg-BG"/>
              </w:rPr>
              <w:instrText xml:space="preserve"> FORMCHECKBOX </w:instrText>
            </w:r>
            <w:r w:rsidR="002B712C">
              <w:rPr>
                <w:szCs w:val="20"/>
                <w:lang w:val="bg-BG"/>
              </w:rPr>
            </w:r>
            <w:r w:rsidR="002B712C">
              <w:rPr>
                <w:szCs w:val="20"/>
                <w:lang w:val="bg-BG"/>
              </w:rPr>
              <w:fldChar w:fldCharType="separate"/>
            </w:r>
            <w:r w:rsidRPr="009072DA">
              <w:rPr>
                <w:szCs w:val="20"/>
                <w:lang w:val="bg-BG"/>
              </w:rPr>
              <w:fldChar w:fldCharType="end"/>
            </w:r>
            <w:r w:rsidRPr="009072DA">
              <w:rPr>
                <w:lang w:val="bg-BG"/>
              </w:rPr>
              <w:t xml:space="preserve"> Специално изпитване</w:t>
            </w:r>
            <w:r w:rsidRPr="009072DA">
              <w:rPr>
                <w:rStyle w:val="FootnoteReference"/>
                <w:lang w:val="bg-BG"/>
              </w:rPr>
              <w:footnoteReference w:id="62"/>
            </w: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Име и адрес на техническата служба: </w:t>
            </w:r>
            <w:r w:rsidRPr="009072DA">
              <w:rPr>
                <w:lang w:val="bg-BG"/>
              </w:rPr>
              <w:tab/>
            </w: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ab/>
            </w: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ab/>
            </w: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Име на контрольора: </w:t>
            </w:r>
            <w:r w:rsidRPr="009072DA">
              <w:rPr>
                <w:lang w:val="bg-BG"/>
              </w:rPr>
              <w:tab/>
            </w: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Място и дата: </w:t>
            </w:r>
            <w:r w:rsidRPr="009072DA">
              <w:rPr>
                <w:lang w:val="bg-BG"/>
              </w:rPr>
              <w:tab/>
            </w: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Подпис: </w:t>
            </w:r>
            <w:r w:rsidRPr="009072DA">
              <w:rPr>
                <w:lang w:val="bg-BG"/>
              </w:rPr>
              <w:tab/>
            </w: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Изпитване, признато от компетентния орган: </w:t>
            </w:r>
            <w:r w:rsidRPr="009072DA">
              <w:rPr>
                <w:lang w:val="bg-BG"/>
              </w:rPr>
              <w:tab/>
            </w: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ab/>
            </w: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ab/>
            </w: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5131" w:type="dxa"/>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Място и дата: </w:t>
            </w:r>
            <w:r w:rsidRPr="009072DA">
              <w:rPr>
                <w:lang w:val="bg-BG"/>
              </w:rPr>
              <w:tab/>
            </w:r>
          </w:p>
        </w:tc>
        <w:tc>
          <w:tcPr>
            <w:tcW w:w="3360" w:type="dxa"/>
            <w:shd w:val="clear" w:color="auto" w:fill="auto"/>
          </w:tcPr>
          <w:p w:rsidR="009C13A9" w:rsidRPr="009072DA" w:rsidRDefault="009C13A9" w:rsidP="009C13A9">
            <w:pPr>
              <w:tabs>
                <w:tab w:val="right" w:leader="dot" w:pos="8263"/>
              </w:tabs>
              <w:spacing w:line="240" w:lineRule="atLeast"/>
              <w:jc w:val="center"/>
              <w:outlineLvl w:val="0"/>
              <w:rPr>
                <w:sz w:val="16"/>
                <w:szCs w:val="20"/>
                <w:lang w:val="bg-BG"/>
              </w:rPr>
            </w:pPr>
            <w:r w:rsidRPr="009072DA">
              <w:rPr>
                <w:sz w:val="16"/>
                <w:lang w:val="bg-BG"/>
              </w:rPr>
              <w:t>Печат на компетентния</w:t>
            </w: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5131" w:type="dxa"/>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Подпис: </w:t>
            </w:r>
            <w:r w:rsidRPr="009072DA">
              <w:rPr>
                <w:lang w:val="bg-BG"/>
              </w:rPr>
              <w:tab/>
            </w:r>
          </w:p>
        </w:tc>
        <w:tc>
          <w:tcPr>
            <w:tcW w:w="3360" w:type="dxa"/>
            <w:shd w:val="clear" w:color="auto" w:fill="auto"/>
          </w:tcPr>
          <w:p w:rsidR="009C13A9" w:rsidRPr="009072DA" w:rsidRDefault="009C13A9" w:rsidP="009C13A9">
            <w:pPr>
              <w:tabs>
                <w:tab w:val="right" w:leader="dot" w:pos="8263"/>
              </w:tabs>
              <w:spacing w:line="240" w:lineRule="atLeast"/>
              <w:jc w:val="center"/>
              <w:outlineLvl w:val="0"/>
              <w:rPr>
                <w:sz w:val="16"/>
                <w:szCs w:val="20"/>
                <w:lang w:val="bg-BG"/>
              </w:rPr>
            </w:pPr>
            <w:r w:rsidRPr="009072DA">
              <w:rPr>
                <w:sz w:val="16"/>
                <w:lang w:val="bg-BG"/>
              </w:rPr>
              <w:t>орган</w:t>
            </w: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p w:rsidR="009C13A9" w:rsidRPr="009072DA" w:rsidRDefault="009C13A9" w:rsidP="009C13A9">
            <w:pPr>
              <w:spacing w:line="240" w:lineRule="atLeast"/>
              <w:outlineLvl w:val="0"/>
              <w:rPr>
                <w:szCs w:val="20"/>
                <w:lang w:val="bg-BG"/>
              </w:rPr>
            </w:pPr>
          </w:p>
          <w:p w:rsidR="009C13A9" w:rsidRPr="009072DA" w:rsidRDefault="009C13A9" w:rsidP="009C13A9">
            <w:pPr>
              <w:spacing w:line="240" w:lineRule="atLeast"/>
              <w:outlineLvl w:val="0"/>
              <w:rPr>
                <w:szCs w:val="20"/>
                <w:lang w:val="bg-BG"/>
              </w:rPr>
            </w:pPr>
          </w:p>
        </w:tc>
        <w:tc>
          <w:tcPr>
            <w:tcW w:w="5131" w:type="dxa"/>
            <w:shd w:val="clear" w:color="auto" w:fill="auto"/>
          </w:tcPr>
          <w:p w:rsidR="009C13A9" w:rsidRPr="009072DA" w:rsidRDefault="009C13A9" w:rsidP="009C13A9">
            <w:pPr>
              <w:tabs>
                <w:tab w:val="right" w:leader="dot" w:pos="8263"/>
              </w:tabs>
              <w:spacing w:line="240" w:lineRule="atLeast"/>
              <w:outlineLvl w:val="0"/>
              <w:rPr>
                <w:szCs w:val="20"/>
                <w:lang w:val="bg-BG"/>
              </w:rPr>
            </w:pPr>
          </w:p>
        </w:tc>
        <w:tc>
          <w:tcPr>
            <w:tcW w:w="3360" w:type="dxa"/>
            <w:shd w:val="clear" w:color="auto" w:fill="auto"/>
          </w:tcPr>
          <w:p w:rsidR="009C13A9" w:rsidRPr="009072DA" w:rsidRDefault="009C13A9" w:rsidP="009C13A9">
            <w:pPr>
              <w:tabs>
                <w:tab w:val="right" w:leader="dot" w:pos="8263"/>
              </w:tabs>
              <w:spacing w:line="240" w:lineRule="atLeast"/>
              <w:jc w:val="center"/>
              <w:outlineLvl w:val="0"/>
              <w:rPr>
                <w:sz w:val="16"/>
                <w:szCs w:val="20"/>
                <w:lang w:val="bg-BG"/>
              </w:rPr>
            </w:pPr>
          </w:p>
        </w:tc>
      </w:tr>
      <w:tr w:rsidR="009C13A9" w:rsidRPr="009072DA" w:rsidTr="009C13A9">
        <w:tc>
          <w:tcPr>
            <w:tcW w:w="737" w:type="dxa"/>
            <w:shd w:val="clear" w:color="auto" w:fill="auto"/>
          </w:tcPr>
          <w:p w:rsidR="009C13A9" w:rsidRPr="009072DA" w:rsidRDefault="009C13A9" w:rsidP="009C13A9">
            <w:pPr>
              <w:spacing w:line="240" w:lineRule="atLeast"/>
              <w:rPr>
                <w:b/>
                <w:bCs/>
                <w:szCs w:val="20"/>
                <w:lang w:val="bg-BG"/>
              </w:rPr>
            </w:pPr>
            <w:r w:rsidRPr="009072DA">
              <w:rPr>
                <w:lang w:val="bg-BG"/>
              </w:rPr>
              <w:t>1.2</w:t>
            </w:r>
          </w:p>
        </w:tc>
        <w:tc>
          <w:tcPr>
            <w:tcW w:w="8491" w:type="dxa"/>
            <w:gridSpan w:val="2"/>
            <w:shd w:val="clear" w:color="auto" w:fill="auto"/>
          </w:tcPr>
          <w:p w:rsidR="009C13A9" w:rsidRPr="009072DA" w:rsidRDefault="00475311" w:rsidP="009C13A9">
            <w:pPr>
              <w:spacing w:line="240" w:lineRule="atLeast"/>
              <w:rPr>
                <w:b/>
                <w:bCs/>
                <w:szCs w:val="20"/>
                <w:lang w:val="bg-BG"/>
              </w:rPr>
            </w:pPr>
            <w:r w:rsidRPr="009072DA">
              <w:rPr>
                <w:szCs w:val="20"/>
                <w:lang w:val="bg-BG"/>
              </w:rPr>
              <w:fldChar w:fldCharType="begin">
                <w:ffData>
                  <w:name w:val="Kontrollkästchen1"/>
                  <w:enabled/>
                  <w:calcOnExit w:val="0"/>
                  <w:checkBox>
                    <w:size w:val="20"/>
                    <w:default w:val="0"/>
                  </w:checkBox>
                </w:ffData>
              </w:fldChar>
            </w:r>
            <w:r w:rsidRPr="009072DA">
              <w:rPr>
                <w:szCs w:val="20"/>
                <w:lang w:val="bg-BG"/>
              </w:rPr>
              <w:instrText xml:space="preserve"> FORMCHECKBOX </w:instrText>
            </w:r>
            <w:r w:rsidR="002B712C">
              <w:rPr>
                <w:szCs w:val="20"/>
                <w:lang w:val="bg-BG"/>
              </w:rPr>
            </w:r>
            <w:r w:rsidR="002B712C">
              <w:rPr>
                <w:szCs w:val="20"/>
                <w:lang w:val="bg-BG"/>
              </w:rPr>
              <w:fldChar w:fldCharType="separate"/>
            </w:r>
            <w:r w:rsidRPr="009072DA">
              <w:rPr>
                <w:szCs w:val="20"/>
                <w:lang w:val="bg-BG"/>
              </w:rPr>
              <w:fldChar w:fldCharType="end"/>
            </w:r>
            <w:r w:rsidRPr="009072DA">
              <w:rPr>
                <w:lang w:val="bg-BG"/>
              </w:rPr>
              <w:t xml:space="preserve"> Междинно изпитване</w:t>
            </w:r>
            <w:r w:rsidRPr="009072DA">
              <w:rPr>
                <w:lang w:val="bg-BG"/>
              </w:rPr>
              <w:tab/>
            </w:r>
            <w:r w:rsidRPr="009072DA">
              <w:rPr>
                <w:szCs w:val="20"/>
                <w:lang w:val="bg-BG"/>
              </w:rPr>
              <w:fldChar w:fldCharType="begin">
                <w:ffData>
                  <w:name w:val="Kontrollkästchen1"/>
                  <w:enabled/>
                  <w:calcOnExit w:val="0"/>
                  <w:checkBox>
                    <w:size w:val="20"/>
                    <w:default w:val="0"/>
                  </w:checkBox>
                </w:ffData>
              </w:fldChar>
            </w:r>
            <w:r w:rsidRPr="009072DA">
              <w:rPr>
                <w:szCs w:val="20"/>
                <w:lang w:val="bg-BG"/>
              </w:rPr>
              <w:instrText xml:space="preserve"> FORMCHECKBOX </w:instrText>
            </w:r>
            <w:r w:rsidR="002B712C">
              <w:rPr>
                <w:szCs w:val="20"/>
                <w:lang w:val="bg-BG"/>
              </w:rPr>
            </w:r>
            <w:r w:rsidR="002B712C">
              <w:rPr>
                <w:szCs w:val="20"/>
                <w:lang w:val="bg-BG"/>
              </w:rPr>
              <w:fldChar w:fldCharType="separate"/>
            </w:r>
            <w:r w:rsidRPr="009072DA">
              <w:rPr>
                <w:szCs w:val="20"/>
                <w:lang w:val="bg-BG"/>
              </w:rPr>
              <w:fldChar w:fldCharType="end"/>
            </w:r>
            <w:r w:rsidRPr="009072DA">
              <w:rPr>
                <w:lang w:val="bg-BG"/>
              </w:rPr>
              <w:t xml:space="preserve"> Специално изпитване</w:t>
            </w: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Име и адрес на техническата служба: </w:t>
            </w:r>
            <w:r w:rsidRPr="009072DA">
              <w:rPr>
                <w:lang w:val="bg-BG"/>
              </w:rPr>
              <w:tab/>
            </w: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ab/>
            </w: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ab/>
            </w: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Име на контрольора: </w:t>
            </w:r>
            <w:r w:rsidRPr="009072DA">
              <w:rPr>
                <w:lang w:val="bg-BG"/>
              </w:rPr>
              <w:tab/>
            </w: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Място и дата: </w:t>
            </w:r>
            <w:r w:rsidRPr="009072DA">
              <w:rPr>
                <w:lang w:val="bg-BG"/>
              </w:rPr>
              <w:tab/>
            </w: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Подпис: </w:t>
            </w:r>
            <w:r w:rsidRPr="009072DA">
              <w:rPr>
                <w:lang w:val="bg-BG"/>
              </w:rPr>
              <w:tab/>
            </w: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Изпитване, признато от компетентния орган: </w:t>
            </w:r>
            <w:r w:rsidRPr="009072DA">
              <w:rPr>
                <w:lang w:val="bg-BG"/>
              </w:rPr>
              <w:tab/>
            </w: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ab/>
            </w: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ab/>
            </w: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5131" w:type="dxa"/>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Място и дата: </w:t>
            </w:r>
            <w:r w:rsidRPr="009072DA">
              <w:rPr>
                <w:lang w:val="bg-BG"/>
              </w:rPr>
              <w:tab/>
            </w:r>
          </w:p>
        </w:tc>
        <w:tc>
          <w:tcPr>
            <w:tcW w:w="3360" w:type="dxa"/>
            <w:shd w:val="clear" w:color="auto" w:fill="auto"/>
          </w:tcPr>
          <w:p w:rsidR="009C13A9" w:rsidRPr="009072DA" w:rsidRDefault="009C13A9" w:rsidP="009C13A9">
            <w:pPr>
              <w:tabs>
                <w:tab w:val="right" w:leader="dot" w:pos="8263"/>
              </w:tabs>
              <w:spacing w:line="240" w:lineRule="atLeast"/>
              <w:jc w:val="center"/>
              <w:outlineLvl w:val="0"/>
              <w:rPr>
                <w:sz w:val="16"/>
                <w:szCs w:val="20"/>
                <w:lang w:val="bg-BG"/>
              </w:rPr>
            </w:pPr>
            <w:r w:rsidRPr="009072DA">
              <w:rPr>
                <w:sz w:val="16"/>
                <w:lang w:val="bg-BG"/>
              </w:rPr>
              <w:t>Печат на компетентния</w:t>
            </w: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5131" w:type="dxa"/>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Подпис: </w:t>
            </w:r>
            <w:r w:rsidRPr="009072DA">
              <w:rPr>
                <w:lang w:val="bg-BG"/>
              </w:rPr>
              <w:tab/>
            </w:r>
          </w:p>
        </w:tc>
        <w:tc>
          <w:tcPr>
            <w:tcW w:w="3360" w:type="dxa"/>
            <w:shd w:val="clear" w:color="auto" w:fill="auto"/>
          </w:tcPr>
          <w:p w:rsidR="009C13A9" w:rsidRPr="009072DA" w:rsidRDefault="009C13A9" w:rsidP="009C13A9">
            <w:pPr>
              <w:tabs>
                <w:tab w:val="right" w:leader="dot" w:pos="8263"/>
              </w:tabs>
              <w:spacing w:line="240" w:lineRule="atLeast"/>
              <w:jc w:val="center"/>
              <w:outlineLvl w:val="0"/>
              <w:rPr>
                <w:sz w:val="16"/>
                <w:szCs w:val="20"/>
                <w:lang w:val="bg-BG"/>
              </w:rPr>
            </w:pPr>
            <w:r w:rsidRPr="009072DA">
              <w:rPr>
                <w:sz w:val="16"/>
                <w:lang w:val="bg-BG"/>
              </w:rPr>
              <w:t>орган</w:t>
            </w: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p w:rsidR="009C13A9" w:rsidRPr="009072DA" w:rsidRDefault="009C13A9" w:rsidP="009C13A9">
            <w:pPr>
              <w:spacing w:line="240" w:lineRule="atLeast"/>
              <w:outlineLvl w:val="0"/>
              <w:rPr>
                <w:szCs w:val="20"/>
                <w:lang w:val="bg-BG"/>
              </w:rPr>
            </w:pPr>
          </w:p>
          <w:p w:rsidR="009C13A9" w:rsidRPr="009072DA" w:rsidRDefault="009C13A9" w:rsidP="009C13A9">
            <w:pPr>
              <w:spacing w:line="240" w:lineRule="atLeast"/>
              <w:outlineLvl w:val="0"/>
              <w:rPr>
                <w:szCs w:val="20"/>
                <w:lang w:val="bg-BG"/>
              </w:rPr>
            </w:pPr>
          </w:p>
        </w:tc>
        <w:tc>
          <w:tcPr>
            <w:tcW w:w="5131" w:type="dxa"/>
            <w:shd w:val="clear" w:color="auto" w:fill="auto"/>
          </w:tcPr>
          <w:p w:rsidR="009C13A9" w:rsidRPr="009072DA" w:rsidRDefault="009C13A9" w:rsidP="009C13A9">
            <w:pPr>
              <w:tabs>
                <w:tab w:val="right" w:leader="dot" w:pos="8263"/>
              </w:tabs>
              <w:spacing w:line="240" w:lineRule="atLeast"/>
              <w:outlineLvl w:val="0"/>
              <w:rPr>
                <w:szCs w:val="20"/>
                <w:lang w:val="bg-BG"/>
              </w:rPr>
            </w:pPr>
          </w:p>
        </w:tc>
        <w:tc>
          <w:tcPr>
            <w:tcW w:w="3360" w:type="dxa"/>
            <w:shd w:val="clear" w:color="auto" w:fill="auto"/>
          </w:tcPr>
          <w:p w:rsidR="009C13A9" w:rsidRPr="009072DA" w:rsidRDefault="009C13A9" w:rsidP="009C13A9">
            <w:pPr>
              <w:tabs>
                <w:tab w:val="right" w:leader="dot" w:pos="8263"/>
              </w:tabs>
              <w:spacing w:line="240" w:lineRule="atLeast"/>
              <w:jc w:val="center"/>
              <w:outlineLvl w:val="0"/>
              <w:rPr>
                <w:sz w:val="16"/>
                <w:szCs w:val="20"/>
                <w:lang w:val="bg-BG"/>
              </w:rPr>
            </w:pPr>
          </w:p>
        </w:tc>
      </w:tr>
      <w:tr w:rsidR="009C13A9" w:rsidRPr="009072DA" w:rsidTr="009C13A9">
        <w:tc>
          <w:tcPr>
            <w:tcW w:w="737" w:type="dxa"/>
            <w:shd w:val="clear" w:color="auto" w:fill="auto"/>
          </w:tcPr>
          <w:p w:rsidR="009C13A9" w:rsidRPr="009072DA" w:rsidRDefault="009C13A9" w:rsidP="009C13A9">
            <w:pPr>
              <w:spacing w:line="240" w:lineRule="atLeast"/>
              <w:rPr>
                <w:b/>
                <w:bCs/>
                <w:szCs w:val="20"/>
                <w:lang w:val="bg-BG"/>
              </w:rPr>
            </w:pPr>
            <w:r w:rsidRPr="009072DA">
              <w:rPr>
                <w:lang w:val="bg-BG"/>
              </w:rPr>
              <w:t>1.2</w:t>
            </w:r>
          </w:p>
        </w:tc>
        <w:tc>
          <w:tcPr>
            <w:tcW w:w="8491" w:type="dxa"/>
            <w:gridSpan w:val="2"/>
            <w:shd w:val="clear" w:color="auto" w:fill="auto"/>
          </w:tcPr>
          <w:p w:rsidR="009C13A9" w:rsidRPr="009072DA" w:rsidRDefault="00475311" w:rsidP="009C13A9">
            <w:pPr>
              <w:spacing w:line="240" w:lineRule="atLeast"/>
              <w:rPr>
                <w:b/>
                <w:bCs/>
                <w:szCs w:val="20"/>
                <w:lang w:val="bg-BG"/>
              </w:rPr>
            </w:pPr>
            <w:r w:rsidRPr="009072DA">
              <w:rPr>
                <w:szCs w:val="20"/>
                <w:lang w:val="bg-BG"/>
              </w:rPr>
              <w:fldChar w:fldCharType="begin">
                <w:ffData>
                  <w:name w:val="Kontrollkästchen1"/>
                  <w:enabled/>
                  <w:calcOnExit w:val="0"/>
                  <w:checkBox>
                    <w:size w:val="20"/>
                    <w:default w:val="0"/>
                  </w:checkBox>
                </w:ffData>
              </w:fldChar>
            </w:r>
            <w:r w:rsidRPr="009072DA">
              <w:rPr>
                <w:szCs w:val="20"/>
                <w:lang w:val="bg-BG"/>
              </w:rPr>
              <w:instrText xml:space="preserve"> FORMCHECKBOX </w:instrText>
            </w:r>
            <w:r w:rsidR="002B712C">
              <w:rPr>
                <w:szCs w:val="20"/>
                <w:lang w:val="bg-BG"/>
              </w:rPr>
            </w:r>
            <w:r w:rsidR="002B712C">
              <w:rPr>
                <w:szCs w:val="20"/>
                <w:lang w:val="bg-BG"/>
              </w:rPr>
              <w:fldChar w:fldCharType="separate"/>
            </w:r>
            <w:r w:rsidRPr="009072DA">
              <w:rPr>
                <w:szCs w:val="20"/>
                <w:lang w:val="bg-BG"/>
              </w:rPr>
              <w:fldChar w:fldCharType="end"/>
            </w:r>
            <w:r w:rsidRPr="009072DA">
              <w:rPr>
                <w:lang w:val="bg-BG"/>
              </w:rPr>
              <w:t xml:space="preserve"> Междинно изпитване</w:t>
            </w:r>
            <w:r w:rsidRPr="009072DA">
              <w:rPr>
                <w:lang w:val="bg-BG"/>
              </w:rPr>
              <w:tab/>
            </w:r>
            <w:r w:rsidRPr="009072DA">
              <w:rPr>
                <w:szCs w:val="20"/>
                <w:lang w:val="bg-BG"/>
              </w:rPr>
              <w:fldChar w:fldCharType="begin">
                <w:ffData>
                  <w:name w:val="Kontrollkästchen1"/>
                  <w:enabled/>
                  <w:calcOnExit w:val="0"/>
                  <w:checkBox>
                    <w:size w:val="20"/>
                    <w:default w:val="0"/>
                  </w:checkBox>
                </w:ffData>
              </w:fldChar>
            </w:r>
            <w:r w:rsidRPr="009072DA">
              <w:rPr>
                <w:szCs w:val="20"/>
                <w:lang w:val="bg-BG"/>
              </w:rPr>
              <w:instrText xml:space="preserve"> FORMCHECKBOX </w:instrText>
            </w:r>
            <w:r w:rsidR="002B712C">
              <w:rPr>
                <w:szCs w:val="20"/>
                <w:lang w:val="bg-BG"/>
              </w:rPr>
            </w:r>
            <w:r w:rsidR="002B712C">
              <w:rPr>
                <w:szCs w:val="20"/>
                <w:lang w:val="bg-BG"/>
              </w:rPr>
              <w:fldChar w:fldCharType="separate"/>
            </w:r>
            <w:r w:rsidRPr="009072DA">
              <w:rPr>
                <w:szCs w:val="20"/>
                <w:lang w:val="bg-BG"/>
              </w:rPr>
              <w:fldChar w:fldCharType="end"/>
            </w:r>
            <w:r w:rsidRPr="009072DA">
              <w:rPr>
                <w:lang w:val="bg-BG"/>
              </w:rPr>
              <w:t xml:space="preserve"> Специално изпитване</w:t>
            </w: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Наименование и адрес на техническата служба: </w:t>
            </w:r>
            <w:r w:rsidRPr="009072DA">
              <w:rPr>
                <w:lang w:val="bg-BG"/>
              </w:rPr>
              <w:tab/>
            </w: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ab/>
            </w: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ab/>
            </w: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Име на контрольора: </w:t>
            </w:r>
            <w:r w:rsidRPr="009072DA">
              <w:rPr>
                <w:lang w:val="bg-BG"/>
              </w:rPr>
              <w:tab/>
            </w: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Място и дата: </w:t>
            </w:r>
            <w:r w:rsidRPr="009072DA">
              <w:rPr>
                <w:lang w:val="bg-BG"/>
              </w:rPr>
              <w:tab/>
            </w: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Подпис: </w:t>
            </w:r>
            <w:r w:rsidRPr="009072DA">
              <w:rPr>
                <w:lang w:val="bg-BG"/>
              </w:rPr>
              <w:tab/>
            </w: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Изпитване, признато от компетентния орган: </w:t>
            </w:r>
            <w:r w:rsidRPr="009072DA">
              <w:rPr>
                <w:lang w:val="bg-BG"/>
              </w:rPr>
              <w:tab/>
            </w: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ab/>
            </w: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ab/>
            </w:r>
          </w:p>
        </w:tc>
      </w:tr>
      <w:tr w:rsidR="009C13A9" w:rsidRPr="008D2440"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8491" w:type="dxa"/>
            <w:gridSpan w:val="2"/>
            <w:shd w:val="clear" w:color="auto" w:fill="auto"/>
          </w:tcPr>
          <w:p w:rsidR="009C13A9" w:rsidRPr="009072DA" w:rsidRDefault="009C13A9" w:rsidP="009C13A9">
            <w:pPr>
              <w:tabs>
                <w:tab w:val="right" w:leader="dot" w:pos="8263"/>
              </w:tabs>
              <w:spacing w:line="240" w:lineRule="atLeast"/>
              <w:outlineLvl w:val="0"/>
              <w:rPr>
                <w:szCs w:val="20"/>
                <w:lang w:val="bg-BG"/>
              </w:rPr>
            </w:pP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5131" w:type="dxa"/>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Място и дата: </w:t>
            </w:r>
            <w:r w:rsidRPr="009072DA">
              <w:rPr>
                <w:lang w:val="bg-BG"/>
              </w:rPr>
              <w:tab/>
            </w:r>
          </w:p>
        </w:tc>
        <w:tc>
          <w:tcPr>
            <w:tcW w:w="3360" w:type="dxa"/>
            <w:shd w:val="clear" w:color="auto" w:fill="auto"/>
          </w:tcPr>
          <w:p w:rsidR="009C13A9" w:rsidRPr="009072DA" w:rsidRDefault="009C13A9" w:rsidP="009C13A9">
            <w:pPr>
              <w:tabs>
                <w:tab w:val="right" w:leader="dot" w:pos="8263"/>
              </w:tabs>
              <w:spacing w:line="240" w:lineRule="atLeast"/>
              <w:jc w:val="center"/>
              <w:outlineLvl w:val="0"/>
              <w:rPr>
                <w:sz w:val="16"/>
                <w:szCs w:val="20"/>
                <w:lang w:val="bg-BG"/>
              </w:rPr>
            </w:pPr>
            <w:r w:rsidRPr="009072DA">
              <w:rPr>
                <w:sz w:val="16"/>
                <w:lang w:val="bg-BG"/>
              </w:rPr>
              <w:t>Печат на компетентния</w:t>
            </w: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5131" w:type="dxa"/>
            <w:shd w:val="clear" w:color="auto" w:fill="auto"/>
          </w:tcPr>
          <w:p w:rsidR="009C13A9" w:rsidRPr="009072DA" w:rsidRDefault="009C13A9" w:rsidP="009C13A9">
            <w:pPr>
              <w:tabs>
                <w:tab w:val="right" w:leader="dot" w:pos="8263"/>
              </w:tabs>
              <w:spacing w:line="240" w:lineRule="atLeast"/>
              <w:outlineLvl w:val="0"/>
              <w:rPr>
                <w:szCs w:val="20"/>
                <w:lang w:val="bg-BG"/>
              </w:rPr>
            </w:pPr>
            <w:r w:rsidRPr="009072DA">
              <w:rPr>
                <w:lang w:val="bg-BG"/>
              </w:rPr>
              <w:t xml:space="preserve">Подпис: </w:t>
            </w:r>
            <w:r w:rsidRPr="009072DA">
              <w:rPr>
                <w:lang w:val="bg-BG"/>
              </w:rPr>
              <w:tab/>
            </w:r>
          </w:p>
        </w:tc>
        <w:tc>
          <w:tcPr>
            <w:tcW w:w="3360" w:type="dxa"/>
            <w:shd w:val="clear" w:color="auto" w:fill="auto"/>
          </w:tcPr>
          <w:p w:rsidR="009C13A9" w:rsidRPr="009072DA" w:rsidRDefault="009C13A9" w:rsidP="009C13A9">
            <w:pPr>
              <w:tabs>
                <w:tab w:val="right" w:leader="dot" w:pos="8263"/>
              </w:tabs>
              <w:spacing w:line="240" w:lineRule="atLeast"/>
              <w:jc w:val="center"/>
              <w:outlineLvl w:val="0"/>
              <w:rPr>
                <w:sz w:val="16"/>
                <w:szCs w:val="20"/>
                <w:lang w:val="bg-BG"/>
              </w:rPr>
            </w:pPr>
            <w:r w:rsidRPr="009072DA">
              <w:rPr>
                <w:sz w:val="16"/>
                <w:lang w:val="bg-BG"/>
              </w:rPr>
              <w:t>орган</w:t>
            </w:r>
          </w:p>
        </w:tc>
      </w:tr>
      <w:tr w:rsidR="009C13A9" w:rsidRPr="009072DA" w:rsidTr="009C13A9">
        <w:tc>
          <w:tcPr>
            <w:tcW w:w="737" w:type="dxa"/>
            <w:shd w:val="clear" w:color="auto" w:fill="auto"/>
          </w:tcPr>
          <w:p w:rsidR="009C13A9" w:rsidRPr="009072DA" w:rsidRDefault="009C13A9" w:rsidP="009C13A9">
            <w:pPr>
              <w:spacing w:line="240" w:lineRule="atLeast"/>
              <w:outlineLvl w:val="0"/>
              <w:rPr>
                <w:szCs w:val="20"/>
                <w:lang w:val="bg-BG"/>
              </w:rPr>
            </w:pPr>
          </w:p>
        </w:tc>
        <w:tc>
          <w:tcPr>
            <w:tcW w:w="5131" w:type="dxa"/>
            <w:shd w:val="clear" w:color="auto" w:fill="auto"/>
          </w:tcPr>
          <w:p w:rsidR="009C13A9" w:rsidRPr="009072DA" w:rsidRDefault="009C13A9" w:rsidP="009C13A9">
            <w:pPr>
              <w:tabs>
                <w:tab w:val="right" w:leader="dot" w:pos="8263"/>
              </w:tabs>
              <w:spacing w:line="240" w:lineRule="atLeast"/>
              <w:outlineLvl w:val="0"/>
              <w:rPr>
                <w:szCs w:val="20"/>
                <w:lang w:val="bg-BG"/>
              </w:rPr>
            </w:pPr>
          </w:p>
        </w:tc>
        <w:tc>
          <w:tcPr>
            <w:tcW w:w="3360" w:type="dxa"/>
            <w:shd w:val="clear" w:color="auto" w:fill="auto"/>
          </w:tcPr>
          <w:p w:rsidR="009C13A9" w:rsidRPr="009072DA" w:rsidRDefault="009C13A9" w:rsidP="009C13A9">
            <w:pPr>
              <w:tabs>
                <w:tab w:val="right" w:leader="dot" w:pos="8263"/>
              </w:tabs>
              <w:spacing w:line="240" w:lineRule="atLeast"/>
              <w:jc w:val="center"/>
              <w:outlineLvl w:val="0"/>
              <w:rPr>
                <w:sz w:val="16"/>
                <w:szCs w:val="20"/>
                <w:lang w:val="bg-BG"/>
              </w:rPr>
            </w:pPr>
          </w:p>
        </w:tc>
      </w:tr>
    </w:tbl>
    <w:p w:rsidR="009C13A9" w:rsidRPr="009072DA" w:rsidRDefault="009C13A9" w:rsidP="009C13A9">
      <w:pPr>
        <w:tabs>
          <w:tab w:val="left" w:pos="737"/>
          <w:tab w:val="left" w:pos="2835"/>
        </w:tabs>
        <w:rPr>
          <w:szCs w:val="20"/>
          <w:lang w:val="bg-BG"/>
        </w:rPr>
      </w:pPr>
    </w:p>
    <w:p w:rsidR="009C13A9" w:rsidRPr="009072DA" w:rsidRDefault="009C13A9" w:rsidP="009C13A9">
      <w:pPr>
        <w:rPr>
          <w:sz w:val="4"/>
          <w:szCs w:val="4"/>
          <w:lang w:val="bg-BG"/>
        </w:rPr>
        <w:sectPr w:rsidR="009C13A9" w:rsidRPr="009072DA" w:rsidSect="009C13A9">
          <w:headerReference w:type="default" r:id="rId72"/>
          <w:footnotePr>
            <w:numRestart w:val="eachPage"/>
          </w:footnotePr>
          <w:pgSz w:w="11907" w:h="16839"/>
          <w:pgMar w:top="1134" w:right="1417" w:bottom="1134" w:left="1417" w:header="709" w:footer="709" w:gutter="0"/>
          <w:cols w:space="708"/>
          <w:docGrid w:linePitch="360"/>
        </w:sectPr>
      </w:pPr>
    </w:p>
    <w:tbl>
      <w:tblPr>
        <w:tblW w:w="9215" w:type="dxa"/>
        <w:tblLayout w:type="fixed"/>
        <w:tblCellMar>
          <w:left w:w="70" w:type="dxa"/>
          <w:right w:w="70" w:type="dxa"/>
        </w:tblCellMar>
        <w:tblLook w:val="0000" w:firstRow="0" w:lastRow="0" w:firstColumn="0" w:lastColumn="0" w:noHBand="0" w:noVBand="0"/>
      </w:tblPr>
      <w:tblGrid>
        <w:gridCol w:w="70"/>
        <w:gridCol w:w="356"/>
        <w:gridCol w:w="567"/>
        <w:gridCol w:w="283"/>
        <w:gridCol w:w="284"/>
        <w:gridCol w:w="425"/>
        <w:gridCol w:w="567"/>
        <w:gridCol w:w="283"/>
        <w:gridCol w:w="142"/>
        <w:gridCol w:w="142"/>
        <w:gridCol w:w="43"/>
        <w:gridCol w:w="382"/>
        <w:gridCol w:w="425"/>
        <w:gridCol w:w="142"/>
        <w:gridCol w:w="425"/>
        <w:gridCol w:w="142"/>
        <w:gridCol w:w="140"/>
        <w:gridCol w:w="569"/>
        <w:gridCol w:w="567"/>
        <w:gridCol w:w="135"/>
        <w:gridCol w:w="7"/>
        <w:gridCol w:w="298"/>
        <w:gridCol w:w="127"/>
        <w:gridCol w:w="567"/>
        <w:gridCol w:w="47"/>
        <w:gridCol w:w="214"/>
        <w:gridCol w:w="306"/>
        <w:gridCol w:w="496"/>
        <w:gridCol w:w="23"/>
        <w:gridCol w:w="190"/>
        <w:gridCol w:w="555"/>
        <w:gridCol w:w="296"/>
      </w:tblGrid>
      <w:tr w:rsidR="009C13A9" w:rsidRPr="009072DA" w:rsidTr="009C13A9">
        <w:trPr>
          <w:gridBefore w:val="1"/>
          <w:gridAfter w:val="1"/>
          <w:wBefore w:w="70" w:type="dxa"/>
          <w:wAfter w:w="296" w:type="dxa"/>
          <w:cantSplit/>
          <w:trHeight w:hRule="exact" w:val="160"/>
        </w:trPr>
        <w:tc>
          <w:tcPr>
            <w:tcW w:w="8849" w:type="dxa"/>
            <w:gridSpan w:val="30"/>
            <w:vAlign w:val="center"/>
          </w:tcPr>
          <w:p w:rsidR="009C13A9" w:rsidRPr="009072DA" w:rsidRDefault="009C13A9" w:rsidP="009C13A9">
            <w:pPr>
              <w:rPr>
                <w:lang w:val="bg-BG"/>
              </w:rPr>
            </w:pPr>
          </w:p>
        </w:tc>
      </w:tr>
      <w:tr w:rsidR="009C13A9" w:rsidRPr="009072DA" w:rsidTr="009C13A9">
        <w:tblPrEx>
          <w:jc w:val="center"/>
        </w:tblPrEx>
        <w:trPr>
          <w:cantSplit/>
          <w:jc w:val="center"/>
        </w:trPr>
        <w:tc>
          <w:tcPr>
            <w:tcW w:w="9215" w:type="dxa"/>
            <w:gridSpan w:val="32"/>
            <w:vAlign w:val="center"/>
          </w:tcPr>
          <w:p w:rsidR="009C13A9" w:rsidRPr="009072DA" w:rsidRDefault="009C13A9" w:rsidP="009C13A9">
            <w:pPr>
              <w:tabs>
                <w:tab w:val="center" w:pos="7316"/>
              </w:tabs>
              <w:overflowPunct w:val="0"/>
              <w:adjustRightInd w:val="0"/>
              <w:spacing w:line="240" w:lineRule="atLeast"/>
              <w:jc w:val="center"/>
              <w:textAlignment w:val="baseline"/>
              <w:rPr>
                <w:rFonts w:cs="Arial"/>
                <w:bCs/>
                <w:sz w:val="16"/>
                <w:szCs w:val="18"/>
                <w:lang w:val="bg-BG"/>
              </w:rPr>
            </w:pPr>
            <w:r w:rsidRPr="009072DA">
              <w:rPr>
                <w:lang w:val="bg-BG"/>
              </w:rPr>
              <w:br w:type="page"/>
            </w:r>
            <w:r w:rsidRPr="009072DA">
              <w:rPr>
                <w:b/>
                <w:lang w:val="bg-BG"/>
              </w:rPr>
              <w:t xml:space="preserve">Допълнение 1 </w:t>
            </w:r>
          </w:p>
          <w:p w:rsidR="009C13A9" w:rsidRPr="009072DA" w:rsidRDefault="009C13A9" w:rsidP="009C13A9">
            <w:pPr>
              <w:overflowPunct w:val="0"/>
              <w:adjustRightInd w:val="0"/>
              <w:ind w:right="57"/>
              <w:jc w:val="center"/>
              <w:textAlignment w:val="baseline"/>
              <w:rPr>
                <w:rFonts w:cs="Arial"/>
                <w:b/>
                <w:bCs/>
                <w:lang w:val="bg-BG"/>
              </w:rPr>
            </w:pPr>
            <w:r w:rsidRPr="009072DA">
              <w:rPr>
                <w:b/>
                <w:lang w:val="bg-BG"/>
              </w:rPr>
              <w:t>Приложение към протокола за параметрите на двигателя</w:t>
            </w:r>
          </w:p>
          <w:p w:rsidR="009C13A9" w:rsidRPr="009072DA" w:rsidRDefault="009C13A9" w:rsidP="009C13A9">
            <w:pPr>
              <w:overflowPunct w:val="0"/>
              <w:adjustRightInd w:val="0"/>
              <w:ind w:right="57"/>
              <w:jc w:val="center"/>
              <w:textAlignment w:val="baseline"/>
              <w:rPr>
                <w:rFonts w:cs="Arial"/>
                <w:b/>
                <w:bCs/>
                <w:caps/>
                <w:szCs w:val="20"/>
                <w:lang w:val="bg-BG"/>
              </w:rPr>
            </w:pPr>
            <w:r w:rsidRPr="009072DA">
              <w:rPr>
                <w:sz w:val="18"/>
                <w:lang w:val="bg-BG"/>
              </w:rPr>
              <w:t>(Образец)</w:t>
            </w:r>
          </w:p>
        </w:tc>
      </w:tr>
      <w:tr w:rsidR="009C13A9" w:rsidRPr="009072DA" w:rsidTr="009C13A9">
        <w:tblPrEx>
          <w:jc w:val="center"/>
        </w:tblPrEx>
        <w:trPr>
          <w:cantSplit/>
          <w:trHeight w:hRule="exact" w:val="160"/>
          <w:jc w:val="center"/>
        </w:trPr>
        <w:tc>
          <w:tcPr>
            <w:tcW w:w="9215" w:type="dxa"/>
            <w:gridSpan w:val="32"/>
            <w:vAlign w:val="center"/>
          </w:tcPr>
          <w:p w:rsidR="009C13A9" w:rsidRPr="009072DA" w:rsidRDefault="009C13A9" w:rsidP="009C13A9">
            <w:pPr>
              <w:overflowPunct w:val="0"/>
              <w:adjustRightInd w:val="0"/>
              <w:ind w:right="57"/>
              <w:textAlignment w:val="baseline"/>
              <w:rPr>
                <w:rFonts w:cs="Arial"/>
                <w:szCs w:val="20"/>
                <w:lang w:val="bg-BG"/>
              </w:rPr>
            </w:pPr>
          </w:p>
          <w:p w:rsidR="009C13A9" w:rsidRPr="009072DA" w:rsidRDefault="009C13A9" w:rsidP="009C13A9">
            <w:pPr>
              <w:overflowPunct w:val="0"/>
              <w:adjustRightInd w:val="0"/>
              <w:ind w:right="57"/>
              <w:textAlignment w:val="baseline"/>
              <w:rPr>
                <w:rFonts w:cs="Arial"/>
                <w:szCs w:val="20"/>
                <w:lang w:val="bg-BG"/>
              </w:rPr>
            </w:pPr>
          </w:p>
        </w:tc>
      </w:tr>
      <w:tr w:rsidR="009C13A9" w:rsidRPr="009072DA" w:rsidTr="009C13A9">
        <w:tblPrEx>
          <w:jc w:val="center"/>
        </w:tblPrEx>
        <w:trPr>
          <w:cantSplit/>
          <w:jc w:val="center"/>
        </w:trPr>
        <w:tc>
          <w:tcPr>
            <w:tcW w:w="1560" w:type="dxa"/>
            <w:gridSpan w:val="5"/>
            <w:vAlign w:val="center"/>
          </w:tcPr>
          <w:p w:rsidR="009C13A9" w:rsidRPr="009072DA" w:rsidRDefault="009C13A9" w:rsidP="009C13A9">
            <w:pPr>
              <w:overflowPunct w:val="0"/>
              <w:adjustRightInd w:val="0"/>
              <w:ind w:right="57"/>
              <w:textAlignment w:val="baseline"/>
              <w:rPr>
                <w:rFonts w:cs="Arial"/>
                <w:sz w:val="16"/>
                <w:szCs w:val="16"/>
                <w:lang w:val="bg-BG"/>
              </w:rPr>
            </w:pPr>
            <w:r w:rsidRPr="009072DA">
              <w:rPr>
                <w:sz w:val="16"/>
                <w:lang w:val="bg-BG"/>
              </w:rPr>
              <w:t>Наименование на плавателното средство:</w:t>
            </w:r>
          </w:p>
        </w:tc>
        <w:tc>
          <w:tcPr>
            <w:tcW w:w="2551" w:type="dxa"/>
            <w:gridSpan w:val="9"/>
            <w:vAlign w:val="center"/>
          </w:tcPr>
          <w:p w:rsidR="009C13A9" w:rsidRPr="009072DA" w:rsidRDefault="009C13A9" w:rsidP="009C13A9">
            <w:pPr>
              <w:tabs>
                <w:tab w:val="center" w:pos="4819"/>
              </w:tabs>
              <w:overflowPunct w:val="0"/>
              <w:adjustRightInd w:val="0"/>
              <w:ind w:right="57"/>
              <w:textAlignment w:val="baseline"/>
              <w:rPr>
                <w:rFonts w:cs="Arial"/>
                <w:sz w:val="16"/>
                <w:szCs w:val="16"/>
                <w:lang w:val="bg-BG"/>
              </w:rPr>
            </w:pPr>
            <w:r w:rsidRPr="009072DA">
              <w:rPr>
                <w:sz w:val="16"/>
                <w:lang w:val="bg-BG"/>
              </w:rPr>
              <w:t>……………………………….</w:t>
            </w:r>
          </w:p>
        </w:tc>
        <w:tc>
          <w:tcPr>
            <w:tcW w:w="2977" w:type="dxa"/>
            <w:gridSpan w:val="10"/>
            <w:vAlign w:val="center"/>
          </w:tcPr>
          <w:p w:rsidR="009C13A9" w:rsidRPr="009072DA" w:rsidRDefault="006D37CC" w:rsidP="006D37CC">
            <w:pPr>
              <w:overflowPunct w:val="0"/>
              <w:adjustRightInd w:val="0"/>
              <w:ind w:right="57"/>
              <w:textAlignment w:val="baseline"/>
              <w:rPr>
                <w:rFonts w:cs="Arial"/>
                <w:sz w:val="16"/>
                <w:szCs w:val="16"/>
                <w:lang w:val="bg-BG"/>
              </w:rPr>
            </w:pPr>
            <w:r w:rsidRPr="009072DA">
              <w:rPr>
                <w:sz w:val="16"/>
                <w:lang w:val="bg-BG"/>
              </w:rPr>
              <w:t>Уникален европейски идентификационен номер на плавателния съд:</w:t>
            </w:r>
          </w:p>
        </w:tc>
        <w:tc>
          <w:tcPr>
            <w:tcW w:w="2127" w:type="dxa"/>
            <w:gridSpan w:val="8"/>
            <w:vAlign w:val="center"/>
          </w:tcPr>
          <w:p w:rsidR="009C13A9" w:rsidRPr="009072DA" w:rsidRDefault="009C13A9" w:rsidP="009C13A9">
            <w:pPr>
              <w:overflowPunct w:val="0"/>
              <w:adjustRightInd w:val="0"/>
              <w:ind w:right="57"/>
              <w:textAlignment w:val="baseline"/>
              <w:rPr>
                <w:rFonts w:cs="Arial"/>
                <w:sz w:val="16"/>
                <w:szCs w:val="16"/>
                <w:lang w:val="bg-BG"/>
              </w:rPr>
            </w:pPr>
            <w:r w:rsidRPr="009072DA">
              <w:rPr>
                <w:sz w:val="16"/>
                <w:lang w:val="bg-BG"/>
              </w:rPr>
              <w:t>…………………………</w:t>
            </w:r>
          </w:p>
        </w:tc>
      </w:tr>
      <w:tr w:rsidR="009C13A9" w:rsidRPr="009072DA" w:rsidTr="009C13A9">
        <w:tblPrEx>
          <w:jc w:val="center"/>
        </w:tblPrEx>
        <w:trPr>
          <w:cantSplit/>
          <w:jc w:val="center"/>
        </w:trPr>
        <w:tc>
          <w:tcPr>
            <w:tcW w:w="9215" w:type="dxa"/>
            <w:gridSpan w:val="32"/>
            <w:vAlign w:val="center"/>
          </w:tcPr>
          <w:p w:rsidR="009C13A9" w:rsidRPr="009072DA" w:rsidRDefault="009C13A9" w:rsidP="009C13A9">
            <w:pPr>
              <w:tabs>
                <w:tab w:val="center" w:pos="4819"/>
              </w:tabs>
              <w:overflowPunct w:val="0"/>
              <w:adjustRightInd w:val="0"/>
              <w:spacing w:line="100" w:lineRule="exact"/>
              <w:ind w:right="57"/>
              <w:textAlignment w:val="baseline"/>
              <w:rPr>
                <w:rFonts w:cs="Arial"/>
                <w:szCs w:val="20"/>
                <w:lang w:val="bg-BG"/>
              </w:rPr>
            </w:pPr>
          </w:p>
        </w:tc>
      </w:tr>
      <w:tr w:rsidR="009C13A9" w:rsidRPr="009072DA" w:rsidTr="009C13A9">
        <w:tblPrEx>
          <w:jc w:val="center"/>
        </w:tblPrEx>
        <w:trPr>
          <w:jc w:val="center"/>
        </w:trPr>
        <w:tc>
          <w:tcPr>
            <w:tcW w:w="426" w:type="dxa"/>
            <w:gridSpan w:val="2"/>
            <w:vAlign w:val="center"/>
          </w:tcPr>
          <w:p w:rsidR="009C13A9" w:rsidRPr="009072DA" w:rsidRDefault="00475311" w:rsidP="009C13A9">
            <w:pPr>
              <w:overflowPunct w:val="0"/>
              <w:adjustRightInd w:val="0"/>
              <w:ind w:right="57"/>
              <w:jc w:val="center"/>
              <w:textAlignment w:val="baseline"/>
              <w:rPr>
                <w:rFonts w:cs="Arial"/>
                <w:sz w:val="12"/>
                <w:szCs w:val="12"/>
                <w:lang w:val="bg-BG"/>
              </w:rPr>
            </w:pPr>
            <w:r w:rsidRPr="009072DA">
              <w:rPr>
                <w:rFonts w:cs="Arial"/>
                <w:sz w:val="16"/>
                <w:szCs w:val="16"/>
                <w:lang w:val="bg-BG"/>
              </w:rPr>
              <w:fldChar w:fldCharType="begin">
                <w:ffData>
                  <w:name w:val="Kontrollkästchen4"/>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p>
        </w:tc>
        <w:tc>
          <w:tcPr>
            <w:tcW w:w="2736" w:type="dxa"/>
            <w:gridSpan w:val="9"/>
            <w:tcBorders>
              <w:left w:val="nil"/>
            </w:tcBorders>
            <w:vAlign w:val="center"/>
          </w:tcPr>
          <w:p w:rsidR="009C13A9" w:rsidRPr="009072DA" w:rsidRDefault="009C13A9" w:rsidP="009C13A9">
            <w:pPr>
              <w:tabs>
                <w:tab w:val="center" w:pos="4819"/>
              </w:tabs>
              <w:overflowPunct w:val="0"/>
              <w:adjustRightInd w:val="0"/>
              <w:ind w:right="57"/>
              <w:textAlignment w:val="baseline"/>
              <w:rPr>
                <w:rFonts w:cs="Arial"/>
                <w:sz w:val="18"/>
                <w:szCs w:val="18"/>
                <w:lang w:val="bg-BG"/>
              </w:rPr>
            </w:pPr>
            <w:r w:rsidRPr="009072DA">
              <w:rPr>
                <w:sz w:val="16"/>
                <w:lang w:val="bg-BG"/>
              </w:rPr>
              <w:t xml:space="preserve">Проверка на монтажа </w:t>
            </w:r>
            <w:r w:rsidRPr="009072DA">
              <w:rPr>
                <w:sz w:val="18"/>
                <w:vertAlign w:val="superscript"/>
                <w:lang w:val="bg-BG"/>
              </w:rPr>
              <w:t>1)</w:t>
            </w:r>
          </w:p>
        </w:tc>
        <w:tc>
          <w:tcPr>
            <w:tcW w:w="807" w:type="dxa"/>
            <w:gridSpan w:val="2"/>
            <w:vAlign w:val="center"/>
          </w:tcPr>
          <w:p w:rsidR="009C13A9" w:rsidRPr="009072DA" w:rsidRDefault="00475311" w:rsidP="009C13A9">
            <w:pPr>
              <w:overflowPunct w:val="0"/>
              <w:adjustRightInd w:val="0"/>
              <w:ind w:right="57"/>
              <w:jc w:val="center"/>
              <w:textAlignment w:val="baseline"/>
              <w:rPr>
                <w:rFonts w:cs="Arial"/>
                <w:sz w:val="12"/>
                <w:szCs w:val="12"/>
                <w:lang w:val="bg-BG"/>
              </w:rPr>
            </w:pPr>
            <w:r w:rsidRPr="009072DA">
              <w:rPr>
                <w:rFonts w:cs="Arial"/>
                <w:sz w:val="16"/>
                <w:szCs w:val="16"/>
                <w:lang w:val="bg-BG"/>
              </w:rPr>
              <w:fldChar w:fldCharType="begin">
                <w:ffData>
                  <w:name w:val="Kontrollkästchen4"/>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p>
        </w:tc>
        <w:tc>
          <w:tcPr>
            <w:tcW w:w="2425" w:type="dxa"/>
            <w:gridSpan w:val="9"/>
            <w:tcBorders>
              <w:left w:val="nil"/>
            </w:tcBorders>
            <w:vAlign w:val="center"/>
          </w:tcPr>
          <w:p w:rsidR="009C13A9" w:rsidRPr="009072DA" w:rsidRDefault="009C13A9" w:rsidP="009C13A9">
            <w:pPr>
              <w:overflowPunct w:val="0"/>
              <w:adjustRightInd w:val="0"/>
              <w:ind w:right="57"/>
              <w:textAlignment w:val="baseline"/>
              <w:rPr>
                <w:rFonts w:cs="Arial"/>
                <w:sz w:val="18"/>
                <w:szCs w:val="18"/>
                <w:lang w:val="bg-BG"/>
              </w:rPr>
            </w:pPr>
            <w:r w:rsidRPr="009072DA">
              <w:rPr>
                <w:sz w:val="16"/>
                <w:lang w:val="bg-BG"/>
              </w:rPr>
              <w:t xml:space="preserve">Междинно изпитване </w:t>
            </w:r>
            <w:r w:rsidRPr="009072DA">
              <w:rPr>
                <w:sz w:val="18"/>
                <w:vertAlign w:val="superscript"/>
                <w:lang w:val="bg-BG"/>
              </w:rPr>
              <w:t>1)</w:t>
            </w:r>
          </w:p>
        </w:tc>
        <w:tc>
          <w:tcPr>
            <w:tcW w:w="694" w:type="dxa"/>
            <w:gridSpan w:val="2"/>
            <w:vAlign w:val="center"/>
          </w:tcPr>
          <w:p w:rsidR="009C13A9" w:rsidRPr="009072DA" w:rsidRDefault="00475311" w:rsidP="009C13A9">
            <w:pPr>
              <w:overflowPunct w:val="0"/>
              <w:adjustRightInd w:val="0"/>
              <w:ind w:right="57"/>
              <w:jc w:val="center"/>
              <w:textAlignment w:val="baseline"/>
              <w:rPr>
                <w:rFonts w:cs="Arial"/>
                <w:sz w:val="12"/>
                <w:szCs w:val="12"/>
                <w:lang w:val="bg-BG"/>
              </w:rPr>
            </w:pPr>
            <w:r w:rsidRPr="009072DA">
              <w:rPr>
                <w:rFonts w:cs="Arial"/>
                <w:sz w:val="16"/>
                <w:szCs w:val="16"/>
                <w:lang w:val="bg-BG"/>
              </w:rPr>
              <w:fldChar w:fldCharType="begin">
                <w:ffData>
                  <w:name w:val="Kontrollkästchen4"/>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p>
        </w:tc>
        <w:tc>
          <w:tcPr>
            <w:tcW w:w="2127" w:type="dxa"/>
            <w:gridSpan w:val="8"/>
            <w:tcBorders>
              <w:left w:val="nil"/>
            </w:tcBorders>
            <w:vAlign w:val="center"/>
          </w:tcPr>
          <w:p w:rsidR="009C13A9" w:rsidRPr="009072DA" w:rsidRDefault="009C13A9" w:rsidP="009C13A9">
            <w:pPr>
              <w:overflowPunct w:val="0"/>
              <w:adjustRightInd w:val="0"/>
              <w:ind w:right="57"/>
              <w:textAlignment w:val="baseline"/>
              <w:rPr>
                <w:rFonts w:cs="Arial"/>
                <w:sz w:val="18"/>
                <w:szCs w:val="18"/>
                <w:lang w:val="bg-BG"/>
              </w:rPr>
            </w:pPr>
            <w:bookmarkStart w:id="661" w:name="Kontrollkästchen3"/>
            <w:bookmarkStart w:id="662" w:name="Kontrollkästchen2"/>
            <w:bookmarkStart w:id="663" w:name="Kontrollkästchen1"/>
            <w:r w:rsidRPr="009072DA">
              <w:rPr>
                <w:sz w:val="16"/>
                <w:lang w:val="bg-BG"/>
              </w:rPr>
              <w:t xml:space="preserve">Специално изпитване </w:t>
            </w:r>
            <w:r w:rsidRPr="009072DA">
              <w:rPr>
                <w:sz w:val="18"/>
                <w:vertAlign w:val="superscript"/>
                <w:lang w:val="bg-BG"/>
              </w:rPr>
              <w:t>1)</w:t>
            </w:r>
            <w:bookmarkEnd w:id="661"/>
            <w:bookmarkEnd w:id="662"/>
            <w:bookmarkEnd w:id="663"/>
          </w:p>
        </w:tc>
      </w:tr>
      <w:tr w:rsidR="009C13A9" w:rsidRPr="009072DA" w:rsidTr="009C13A9">
        <w:tblPrEx>
          <w:jc w:val="center"/>
          <w:tblCellMar>
            <w:left w:w="28" w:type="dxa"/>
            <w:right w:w="28" w:type="dxa"/>
          </w:tblCellMar>
        </w:tblPrEx>
        <w:trPr>
          <w:cantSplit/>
          <w:trHeight w:hRule="exact" w:val="160"/>
          <w:jc w:val="center"/>
        </w:trPr>
        <w:tc>
          <w:tcPr>
            <w:tcW w:w="9215" w:type="dxa"/>
            <w:gridSpan w:val="32"/>
            <w:vAlign w:val="center"/>
          </w:tcPr>
          <w:p w:rsidR="009C13A9" w:rsidRPr="009072DA" w:rsidRDefault="009C13A9" w:rsidP="009C13A9">
            <w:pPr>
              <w:overflowPunct w:val="0"/>
              <w:adjustRightInd w:val="0"/>
              <w:spacing w:before="60" w:after="60"/>
              <w:ind w:right="57"/>
              <w:textAlignment w:val="baseline"/>
              <w:rPr>
                <w:rFonts w:cs="Arial"/>
                <w:szCs w:val="20"/>
                <w:lang w:val="bg-BG"/>
              </w:rPr>
            </w:pPr>
          </w:p>
        </w:tc>
      </w:tr>
      <w:tr w:rsidR="009C13A9" w:rsidRPr="009072DA" w:rsidTr="009C13A9">
        <w:tblPrEx>
          <w:jc w:val="center"/>
          <w:tblCellMar>
            <w:left w:w="28" w:type="dxa"/>
            <w:right w:w="28" w:type="dxa"/>
          </w:tblCellMar>
        </w:tblPrEx>
        <w:trPr>
          <w:jc w:val="center"/>
        </w:trPr>
        <w:tc>
          <w:tcPr>
            <w:tcW w:w="1276" w:type="dxa"/>
            <w:gridSpan w:val="4"/>
            <w:vAlign w:val="center"/>
          </w:tcPr>
          <w:p w:rsidR="009C13A9" w:rsidRPr="009072DA" w:rsidRDefault="009C13A9" w:rsidP="009C13A9">
            <w:pPr>
              <w:overflowPunct w:val="0"/>
              <w:adjustRightInd w:val="0"/>
              <w:ind w:right="57"/>
              <w:textAlignment w:val="baseline"/>
              <w:rPr>
                <w:rFonts w:cs="Arial"/>
                <w:sz w:val="16"/>
                <w:szCs w:val="16"/>
                <w:lang w:val="bg-BG"/>
              </w:rPr>
            </w:pPr>
            <w:r w:rsidRPr="009072DA">
              <w:rPr>
                <w:sz w:val="16"/>
                <w:lang w:val="bg-BG"/>
              </w:rPr>
              <w:t>Производител:</w:t>
            </w:r>
          </w:p>
        </w:tc>
        <w:tc>
          <w:tcPr>
            <w:tcW w:w="3402" w:type="dxa"/>
            <w:gridSpan w:val="12"/>
            <w:vAlign w:val="center"/>
          </w:tcPr>
          <w:p w:rsidR="009C13A9" w:rsidRPr="009072DA" w:rsidRDefault="009C13A9" w:rsidP="009C13A9">
            <w:pPr>
              <w:overflowPunct w:val="0"/>
              <w:adjustRightInd w:val="0"/>
              <w:ind w:right="57"/>
              <w:textAlignment w:val="baseline"/>
              <w:rPr>
                <w:rFonts w:cs="Arial"/>
                <w:sz w:val="16"/>
                <w:szCs w:val="16"/>
                <w:lang w:val="bg-BG"/>
              </w:rPr>
            </w:pPr>
            <w:r w:rsidRPr="009072DA">
              <w:rPr>
                <w:sz w:val="16"/>
                <w:lang w:val="bg-BG"/>
              </w:rPr>
              <w:t>…………………………………………</w:t>
            </w:r>
          </w:p>
        </w:tc>
        <w:tc>
          <w:tcPr>
            <w:tcW w:w="1276" w:type="dxa"/>
            <w:gridSpan w:val="3"/>
            <w:vAlign w:val="center"/>
          </w:tcPr>
          <w:p w:rsidR="009C13A9" w:rsidRPr="009072DA" w:rsidRDefault="009C13A9" w:rsidP="009C13A9">
            <w:pPr>
              <w:overflowPunct w:val="0"/>
              <w:adjustRightInd w:val="0"/>
              <w:ind w:right="57"/>
              <w:textAlignment w:val="baseline"/>
              <w:rPr>
                <w:rFonts w:cs="Arial"/>
                <w:sz w:val="16"/>
                <w:szCs w:val="16"/>
                <w:lang w:val="bg-BG"/>
              </w:rPr>
            </w:pPr>
            <w:bookmarkStart w:id="664" w:name="Text14"/>
            <w:bookmarkStart w:id="665" w:name="Text15"/>
            <w:r w:rsidRPr="009072DA">
              <w:rPr>
                <w:sz w:val="16"/>
                <w:lang w:val="bg-BG"/>
              </w:rPr>
              <w:t>Тип на двигателя:</w:t>
            </w:r>
            <w:bookmarkEnd w:id="664"/>
            <w:bookmarkEnd w:id="665"/>
          </w:p>
        </w:tc>
        <w:tc>
          <w:tcPr>
            <w:tcW w:w="3261" w:type="dxa"/>
            <w:gridSpan w:val="13"/>
            <w:vAlign w:val="center"/>
          </w:tcPr>
          <w:p w:rsidR="009C13A9" w:rsidRPr="009072DA" w:rsidRDefault="009C13A9" w:rsidP="009C13A9">
            <w:pPr>
              <w:overflowPunct w:val="0"/>
              <w:adjustRightInd w:val="0"/>
              <w:ind w:right="57"/>
              <w:textAlignment w:val="baseline"/>
              <w:rPr>
                <w:rFonts w:cs="Arial"/>
                <w:sz w:val="16"/>
                <w:szCs w:val="16"/>
                <w:lang w:val="bg-BG"/>
              </w:rPr>
            </w:pPr>
            <w:r w:rsidRPr="009072DA">
              <w:rPr>
                <w:sz w:val="16"/>
                <w:lang w:val="bg-BG"/>
              </w:rPr>
              <w:t>..............................................</w:t>
            </w:r>
          </w:p>
        </w:tc>
      </w:tr>
      <w:tr w:rsidR="009C13A9" w:rsidRPr="008D2440" w:rsidTr="009C13A9">
        <w:tblPrEx>
          <w:jc w:val="center"/>
          <w:tblCellMar>
            <w:left w:w="28" w:type="dxa"/>
            <w:right w:w="28" w:type="dxa"/>
          </w:tblCellMar>
        </w:tblPrEx>
        <w:trPr>
          <w:jc w:val="center"/>
        </w:trPr>
        <w:tc>
          <w:tcPr>
            <w:tcW w:w="1276" w:type="dxa"/>
            <w:gridSpan w:val="4"/>
            <w:vAlign w:val="center"/>
          </w:tcPr>
          <w:p w:rsidR="009C13A9" w:rsidRPr="009072DA" w:rsidRDefault="009C13A9" w:rsidP="009C13A9">
            <w:pPr>
              <w:overflowPunct w:val="0"/>
              <w:adjustRightInd w:val="0"/>
              <w:ind w:right="57"/>
              <w:textAlignment w:val="baseline"/>
              <w:rPr>
                <w:rFonts w:cs="Arial"/>
                <w:szCs w:val="20"/>
                <w:lang w:val="bg-BG"/>
              </w:rPr>
            </w:pPr>
          </w:p>
        </w:tc>
        <w:tc>
          <w:tcPr>
            <w:tcW w:w="3402" w:type="dxa"/>
            <w:gridSpan w:val="12"/>
            <w:tcBorders>
              <w:bottom w:val="nil"/>
            </w:tcBorders>
            <w:vAlign w:val="center"/>
          </w:tcPr>
          <w:p w:rsidR="009C13A9" w:rsidRPr="009072DA" w:rsidRDefault="009C13A9" w:rsidP="009C13A9">
            <w:pPr>
              <w:overflowPunct w:val="0"/>
              <w:adjustRightInd w:val="0"/>
              <w:ind w:right="57"/>
              <w:textAlignment w:val="baseline"/>
              <w:rPr>
                <w:rFonts w:cs="Arial"/>
                <w:sz w:val="12"/>
                <w:szCs w:val="12"/>
                <w:lang w:val="bg-BG"/>
              </w:rPr>
            </w:pPr>
            <w:r w:rsidRPr="009072DA">
              <w:rPr>
                <w:sz w:val="12"/>
                <w:lang w:val="bg-BG"/>
              </w:rPr>
              <w:t>(търговско наименование/търговска марка/търговско име на производителя)</w:t>
            </w:r>
          </w:p>
        </w:tc>
        <w:tc>
          <w:tcPr>
            <w:tcW w:w="1276" w:type="dxa"/>
            <w:gridSpan w:val="3"/>
            <w:vAlign w:val="center"/>
          </w:tcPr>
          <w:p w:rsidR="009C13A9" w:rsidRPr="009072DA" w:rsidRDefault="009C13A9" w:rsidP="009C13A9">
            <w:pPr>
              <w:overflowPunct w:val="0"/>
              <w:adjustRightInd w:val="0"/>
              <w:ind w:right="57"/>
              <w:textAlignment w:val="baseline"/>
              <w:rPr>
                <w:rFonts w:cs="Arial"/>
                <w:szCs w:val="20"/>
                <w:lang w:val="bg-BG"/>
              </w:rPr>
            </w:pPr>
          </w:p>
        </w:tc>
        <w:tc>
          <w:tcPr>
            <w:tcW w:w="3261" w:type="dxa"/>
            <w:gridSpan w:val="13"/>
            <w:tcBorders>
              <w:bottom w:val="nil"/>
            </w:tcBorders>
            <w:vAlign w:val="center"/>
          </w:tcPr>
          <w:p w:rsidR="009C13A9" w:rsidRPr="009072DA" w:rsidRDefault="009C13A9" w:rsidP="009C13A9">
            <w:pPr>
              <w:overflowPunct w:val="0"/>
              <w:adjustRightInd w:val="0"/>
              <w:ind w:right="57"/>
              <w:textAlignment w:val="baseline"/>
              <w:rPr>
                <w:rFonts w:cs="Arial"/>
                <w:sz w:val="12"/>
                <w:szCs w:val="12"/>
                <w:lang w:val="bg-BG"/>
              </w:rPr>
            </w:pPr>
            <w:r w:rsidRPr="009072DA">
              <w:rPr>
                <w:sz w:val="12"/>
                <w:lang w:val="bg-BG"/>
              </w:rPr>
              <w:t>(фамилия на двигателя/означение от производителя)</w:t>
            </w:r>
          </w:p>
        </w:tc>
      </w:tr>
      <w:tr w:rsidR="009C13A9" w:rsidRPr="008D2440"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9072DA" w:rsidRDefault="009C13A9" w:rsidP="009C13A9">
            <w:pPr>
              <w:overflowPunct w:val="0"/>
              <w:adjustRightInd w:val="0"/>
              <w:spacing w:before="60" w:after="60"/>
              <w:ind w:right="57"/>
              <w:textAlignment w:val="baseline"/>
              <w:rPr>
                <w:rFonts w:cs="Arial"/>
                <w:szCs w:val="20"/>
                <w:lang w:val="bg-BG"/>
              </w:rPr>
            </w:pPr>
          </w:p>
        </w:tc>
      </w:tr>
      <w:tr w:rsidR="009C13A9" w:rsidRPr="009072DA" w:rsidTr="009C13A9">
        <w:tblPrEx>
          <w:jc w:val="center"/>
          <w:tblCellMar>
            <w:left w:w="28" w:type="dxa"/>
            <w:right w:w="28" w:type="dxa"/>
          </w:tblCellMar>
        </w:tblPrEx>
        <w:trPr>
          <w:jc w:val="center"/>
        </w:trPr>
        <w:tc>
          <w:tcPr>
            <w:tcW w:w="1985" w:type="dxa"/>
            <w:gridSpan w:val="6"/>
            <w:vAlign w:val="center"/>
          </w:tcPr>
          <w:p w:rsidR="009C13A9" w:rsidRPr="009072DA" w:rsidRDefault="009635C7" w:rsidP="009C13A9">
            <w:pPr>
              <w:tabs>
                <w:tab w:val="center" w:pos="4819"/>
              </w:tabs>
              <w:overflowPunct w:val="0"/>
              <w:adjustRightInd w:val="0"/>
              <w:ind w:right="57"/>
              <w:textAlignment w:val="baseline"/>
              <w:rPr>
                <w:rFonts w:cs="Arial"/>
                <w:sz w:val="16"/>
                <w:szCs w:val="16"/>
                <w:lang w:val="bg-BG"/>
              </w:rPr>
            </w:pPr>
            <w:r w:rsidRPr="009072DA">
              <w:rPr>
                <w:sz w:val="16"/>
                <w:lang w:val="bg-BG"/>
              </w:rPr>
              <w:t>Номинална мощност (kW):</w:t>
            </w:r>
          </w:p>
        </w:tc>
        <w:tc>
          <w:tcPr>
            <w:tcW w:w="992" w:type="dxa"/>
            <w:gridSpan w:val="3"/>
            <w:vAlign w:val="center"/>
          </w:tcPr>
          <w:p w:rsidR="009C13A9" w:rsidRPr="009072DA" w:rsidRDefault="009C13A9" w:rsidP="009C13A9">
            <w:pPr>
              <w:overflowPunct w:val="0"/>
              <w:adjustRightInd w:val="0"/>
              <w:ind w:right="57"/>
              <w:textAlignment w:val="baseline"/>
              <w:rPr>
                <w:rFonts w:cs="Arial"/>
                <w:sz w:val="18"/>
                <w:szCs w:val="18"/>
                <w:lang w:val="bg-BG"/>
              </w:rPr>
            </w:pPr>
            <w:r w:rsidRPr="009072DA">
              <w:rPr>
                <w:sz w:val="18"/>
                <w:lang w:val="bg-BG"/>
              </w:rPr>
              <w:t>…………..</w:t>
            </w:r>
          </w:p>
        </w:tc>
        <w:tc>
          <w:tcPr>
            <w:tcW w:w="2410" w:type="dxa"/>
            <w:gridSpan w:val="9"/>
            <w:vAlign w:val="center"/>
          </w:tcPr>
          <w:p w:rsidR="009C13A9" w:rsidRPr="009072DA" w:rsidRDefault="009C13A9" w:rsidP="009C13A9">
            <w:pPr>
              <w:overflowPunct w:val="0"/>
              <w:adjustRightInd w:val="0"/>
              <w:ind w:right="57"/>
              <w:textAlignment w:val="baseline"/>
              <w:rPr>
                <w:rFonts w:cs="Arial"/>
                <w:sz w:val="18"/>
                <w:szCs w:val="18"/>
                <w:lang w:val="bg-BG"/>
              </w:rPr>
            </w:pPr>
            <w:r w:rsidRPr="009072DA">
              <w:rPr>
                <w:sz w:val="16"/>
                <w:lang w:val="bg-BG"/>
              </w:rPr>
              <w:t>Номинална честота на въртене (об./мин.)</w:t>
            </w:r>
            <w:r w:rsidRPr="009072DA">
              <w:rPr>
                <w:sz w:val="18"/>
                <w:lang w:val="bg-BG"/>
              </w:rPr>
              <w:t>:</w:t>
            </w:r>
          </w:p>
        </w:tc>
        <w:tc>
          <w:tcPr>
            <w:tcW w:w="1134" w:type="dxa"/>
            <w:gridSpan w:val="5"/>
            <w:vAlign w:val="center"/>
          </w:tcPr>
          <w:p w:rsidR="009C13A9" w:rsidRPr="009072DA" w:rsidRDefault="009C13A9" w:rsidP="009C13A9">
            <w:pPr>
              <w:overflowPunct w:val="0"/>
              <w:adjustRightInd w:val="0"/>
              <w:ind w:right="57"/>
              <w:textAlignment w:val="baseline"/>
              <w:rPr>
                <w:rFonts w:cs="Arial"/>
                <w:sz w:val="18"/>
                <w:szCs w:val="18"/>
                <w:lang w:val="bg-BG"/>
              </w:rPr>
            </w:pPr>
            <w:r w:rsidRPr="009072DA">
              <w:rPr>
                <w:sz w:val="18"/>
                <w:lang w:val="bg-BG"/>
              </w:rPr>
              <w:t>…………….</w:t>
            </w:r>
          </w:p>
        </w:tc>
        <w:tc>
          <w:tcPr>
            <w:tcW w:w="1843" w:type="dxa"/>
            <w:gridSpan w:val="7"/>
            <w:vAlign w:val="center"/>
          </w:tcPr>
          <w:p w:rsidR="009C13A9" w:rsidRPr="009072DA" w:rsidRDefault="009C13A9" w:rsidP="009C13A9">
            <w:pPr>
              <w:overflowPunct w:val="0"/>
              <w:adjustRightInd w:val="0"/>
              <w:ind w:right="57"/>
              <w:textAlignment w:val="baseline"/>
              <w:rPr>
                <w:rFonts w:cs="Arial"/>
                <w:sz w:val="16"/>
                <w:szCs w:val="16"/>
                <w:lang w:val="bg-BG"/>
              </w:rPr>
            </w:pPr>
            <w:bookmarkStart w:id="666" w:name="Text16"/>
            <w:bookmarkStart w:id="667" w:name="Text17"/>
            <w:bookmarkStart w:id="668" w:name="Text18"/>
            <w:r w:rsidRPr="009072DA">
              <w:rPr>
                <w:sz w:val="16"/>
                <w:lang w:val="bg-BG"/>
              </w:rPr>
              <w:t>Брой на цилиндрите:</w:t>
            </w:r>
            <w:bookmarkEnd w:id="666"/>
            <w:bookmarkEnd w:id="667"/>
            <w:bookmarkEnd w:id="668"/>
          </w:p>
        </w:tc>
        <w:tc>
          <w:tcPr>
            <w:tcW w:w="851" w:type="dxa"/>
            <w:gridSpan w:val="2"/>
            <w:vAlign w:val="center"/>
          </w:tcPr>
          <w:p w:rsidR="009C13A9" w:rsidRPr="009072DA" w:rsidRDefault="009C13A9" w:rsidP="009C13A9">
            <w:pPr>
              <w:overflowPunct w:val="0"/>
              <w:adjustRightInd w:val="0"/>
              <w:ind w:right="57"/>
              <w:textAlignment w:val="baseline"/>
              <w:rPr>
                <w:rFonts w:cs="Arial"/>
                <w:sz w:val="18"/>
                <w:szCs w:val="18"/>
                <w:lang w:val="bg-BG"/>
              </w:rPr>
            </w:pPr>
            <w:r w:rsidRPr="009072DA">
              <w:rPr>
                <w:sz w:val="18"/>
                <w:lang w:val="bg-BG"/>
              </w:rPr>
              <w:t>………..</w:t>
            </w:r>
          </w:p>
        </w:tc>
      </w:tr>
      <w:tr w:rsidR="009C13A9" w:rsidRPr="009072DA" w:rsidTr="009C13A9">
        <w:tblPrEx>
          <w:jc w:val="center"/>
          <w:tblCellMar>
            <w:left w:w="28" w:type="dxa"/>
            <w:right w:w="28" w:type="dxa"/>
          </w:tblCellMar>
        </w:tblPrEx>
        <w:trPr>
          <w:cantSplit/>
          <w:trHeight w:hRule="exact" w:val="160"/>
          <w:jc w:val="center"/>
        </w:trPr>
        <w:tc>
          <w:tcPr>
            <w:tcW w:w="9215" w:type="dxa"/>
            <w:gridSpan w:val="32"/>
            <w:vAlign w:val="center"/>
          </w:tcPr>
          <w:p w:rsidR="009C13A9" w:rsidRPr="009072DA" w:rsidRDefault="009C13A9" w:rsidP="009C13A9">
            <w:pPr>
              <w:overflowPunct w:val="0"/>
              <w:adjustRightInd w:val="0"/>
              <w:spacing w:before="60" w:after="60"/>
              <w:ind w:right="57"/>
              <w:textAlignment w:val="baseline"/>
              <w:rPr>
                <w:rFonts w:cs="Arial"/>
                <w:szCs w:val="20"/>
                <w:lang w:val="bg-BG"/>
              </w:rPr>
            </w:pPr>
          </w:p>
        </w:tc>
      </w:tr>
      <w:tr w:rsidR="009C13A9" w:rsidRPr="009072DA" w:rsidTr="009C13A9">
        <w:tblPrEx>
          <w:jc w:val="center"/>
          <w:tblCellMar>
            <w:left w:w="28" w:type="dxa"/>
            <w:right w:w="28" w:type="dxa"/>
          </w:tblCellMar>
        </w:tblPrEx>
        <w:trPr>
          <w:cantSplit/>
          <w:jc w:val="center"/>
        </w:trPr>
        <w:tc>
          <w:tcPr>
            <w:tcW w:w="3544" w:type="dxa"/>
            <w:gridSpan w:val="12"/>
            <w:vAlign w:val="center"/>
          </w:tcPr>
          <w:p w:rsidR="009C13A9" w:rsidRPr="009072DA" w:rsidRDefault="009C13A9" w:rsidP="009C13A9">
            <w:pPr>
              <w:tabs>
                <w:tab w:val="center" w:pos="4819"/>
              </w:tabs>
              <w:overflowPunct w:val="0"/>
              <w:adjustRightInd w:val="0"/>
              <w:ind w:right="57"/>
              <w:textAlignment w:val="baseline"/>
              <w:rPr>
                <w:rFonts w:cs="Arial"/>
                <w:sz w:val="16"/>
                <w:szCs w:val="16"/>
                <w:lang w:val="bg-BG"/>
              </w:rPr>
            </w:pPr>
            <w:bookmarkStart w:id="669" w:name="Text32"/>
            <w:r w:rsidRPr="009072DA">
              <w:rPr>
                <w:sz w:val="16"/>
                <w:lang w:val="bg-BG"/>
              </w:rPr>
              <w:t>Използване, за което е предназначен двигателят:</w:t>
            </w:r>
            <w:bookmarkEnd w:id="669"/>
          </w:p>
        </w:tc>
        <w:tc>
          <w:tcPr>
            <w:tcW w:w="5671" w:type="dxa"/>
            <w:gridSpan w:val="20"/>
            <w:vAlign w:val="center"/>
          </w:tcPr>
          <w:p w:rsidR="009C13A9" w:rsidRPr="009072DA" w:rsidRDefault="009C13A9" w:rsidP="009C13A9">
            <w:pPr>
              <w:overflowPunct w:val="0"/>
              <w:adjustRightInd w:val="0"/>
              <w:ind w:right="57"/>
              <w:textAlignment w:val="baseline"/>
              <w:rPr>
                <w:rFonts w:cs="Arial"/>
                <w:sz w:val="16"/>
                <w:szCs w:val="16"/>
                <w:lang w:val="bg-BG"/>
              </w:rPr>
            </w:pPr>
            <w:r w:rsidRPr="009072DA">
              <w:rPr>
                <w:sz w:val="16"/>
                <w:lang w:val="bg-BG"/>
              </w:rPr>
              <w:t>………………………………………………………………………..</w:t>
            </w:r>
          </w:p>
        </w:tc>
      </w:tr>
      <w:tr w:rsidR="009C13A9" w:rsidRPr="008D2440" w:rsidTr="009C13A9">
        <w:tblPrEx>
          <w:jc w:val="center"/>
          <w:tblCellMar>
            <w:left w:w="28" w:type="dxa"/>
            <w:right w:w="28" w:type="dxa"/>
          </w:tblCellMar>
        </w:tblPrEx>
        <w:trPr>
          <w:cantSplit/>
          <w:jc w:val="center"/>
        </w:trPr>
        <w:tc>
          <w:tcPr>
            <w:tcW w:w="3544" w:type="dxa"/>
            <w:gridSpan w:val="12"/>
            <w:vAlign w:val="center"/>
          </w:tcPr>
          <w:p w:rsidR="009C13A9" w:rsidRPr="009072DA" w:rsidRDefault="009C13A9" w:rsidP="009C13A9">
            <w:pPr>
              <w:tabs>
                <w:tab w:val="center" w:pos="4819"/>
              </w:tabs>
              <w:overflowPunct w:val="0"/>
              <w:adjustRightInd w:val="0"/>
              <w:ind w:right="57"/>
              <w:textAlignment w:val="baseline"/>
              <w:rPr>
                <w:rFonts w:cs="Arial"/>
                <w:szCs w:val="20"/>
                <w:lang w:val="bg-BG"/>
              </w:rPr>
            </w:pPr>
          </w:p>
        </w:tc>
        <w:tc>
          <w:tcPr>
            <w:tcW w:w="5671" w:type="dxa"/>
            <w:gridSpan w:val="20"/>
            <w:tcBorders>
              <w:bottom w:val="nil"/>
            </w:tcBorders>
            <w:vAlign w:val="center"/>
          </w:tcPr>
          <w:p w:rsidR="009C13A9" w:rsidRPr="009072DA" w:rsidRDefault="009C13A9" w:rsidP="009C13A9">
            <w:pPr>
              <w:overflowPunct w:val="0"/>
              <w:adjustRightInd w:val="0"/>
              <w:ind w:right="57"/>
              <w:textAlignment w:val="baseline"/>
              <w:rPr>
                <w:rFonts w:cs="Arial"/>
                <w:sz w:val="12"/>
                <w:szCs w:val="12"/>
                <w:lang w:val="bg-BG"/>
              </w:rPr>
            </w:pPr>
            <w:r w:rsidRPr="009072DA">
              <w:rPr>
                <w:sz w:val="12"/>
                <w:lang w:val="bg-BG"/>
              </w:rPr>
              <w:t>(Главно задвижване на плавателното средство/задвижване на генератора/задвижване на носово подрулващо устройство/спомагателен двигател и т.н.)</w:t>
            </w:r>
          </w:p>
        </w:tc>
      </w:tr>
      <w:tr w:rsidR="009C13A9" w:rsidRPr="008D2440"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9072DA" w:rsidRDefault="009C13A9" w:rsidP="009C13A9">
            <w:pPr>
              <w:overflowPunct w:val="0"/>
              <w:adjustRightInd w:val="0"/>
              <w:spacing w:before="60" w:after="60"/>
              <w:ind w:right="57"/>
              <w:textAlignment w:val="baseline"/>
              <w:rPr>
                <w:rFonts w:cs="Arial"/>
                <w:szCs w:val="20"/>
                <w:lang w:val="bg-BG"/>
              </w:rPr>
            </w:pPr>
          </w:p>
        </w:tc>
      </w:tr>
      <w:tr w:rsidR="009C13A9" w:rsidRPr="009072DA" w:rsidTr="009C13A9">
        <w:tblPrEx>
          <w:jc w:val="center"/>
          <w:tblCellMar>
            <w:left w:w="28" w:type="dxa"/>
            <w:right w:w="28" w:type="dxa"/>
          </w:tblCellMar>
        </w:tblPrEx>
        <w:trPr>
          <w:cantSplit/>
          <w:jc w:val="center"/>
        </w:trPr>
        <w:tc>
          <w:tcPr>
            <w:tcW w:w="2552" w:type="dxa"/>
            <w:gridSpan w:val="7"/>
            <w:vAlign w:val="center"/>
          </w:tcPr>
          <w:p w:rsidR="009C13A9" w:rsidRPr="009072DA" w:rsidRDefault="009C13A9" w:rsidP="009C13A9">
            <w:pPr>
              <w:tabs>
                <w:tab w:val="center" w:pos="4819"/>
              </w:tabs>
              <w:overflowPunct w:val="0"/>
              <w:adjustRightInd w:val="0"/>
              <w:ind w:right="57"/>
              <w:textAlignment w:val="baseline"/>
              <w:rPr>
                <w:rFonts w:cs="Arial"/>
                <w:sz w:val="16"/>
                <w:szCs w:val="16"/>
                <w:lang w:val="bg-BG"/>
              </w:rPr>
            </w:pPr>
            <w:r w:rsidRPr="009072DA">
              <w:rPr>
                <w:sz w:val="16"/>
                <w:lang w:val="bg-BG"/>
              </w:rPr>
              <w:t>Номер на одобрението на типа:</w:t>
            </w:r>
          </w:p>
        </w:tc>
        <w:tc>
          <w:tcPr>
            <w:tcW w:w="3544" w:type="dxa"/>
            <w:gridSpan w:val="14"/>
            <w:vAlign w:val="center"/>
          </w:tcPr>
          <w:p w:rsidR="009C13A9" w:rsidRPr="009072DA" w:rsidRDefault="009C13A9" w:rsidP="009C13A9">
            <w:pPr>
              <w:overflowPunct w:val="0"/>
              <w:adjustRightInd w:val="0"/>
              <w:ind w:right="57"/>
              <w:textAlignment w:val="baseline"/>
              <w:rPr>
                <w:rFonts w:cs="Arial"/>
                <w:sz w:val="16"/>
                <w:szCs w:val="16"/>
                <w:lang w:val="bg-BG"/>
              </w:rPr>
            </w:pPr>
            <w:r w:rsidRPr="009072DA">
              <w:rPr>
                <w:sz w:val="16"/>
                <w:lang w:val="bg-BG"/>
              </w:rPr>
              <w:t>……………………………………………</w:t>
            </w:r>
          </w:p>
        </w:tc>
        <w:tc>
          <w:tcPr>
            <w:tcW w:w="1559" w:type="dxa"/>
            <w:gridSpan w:val="6"/>
            <w:vAlign w:val="center"/>
          </w:tcPr>
          <w:p w:rsidR="009C13A9" w:rsidRPr="009072DA" w:rsidRDefault="009C13A9" w:rsidP="009C13A9">
            <w:pPr>
              <w:tabs>
                <w:tab w:val="center" w:pos="4819"/>
              </w:tabs>
              <w:overflowPunct w:val="0"/>
              <w:adjustRightInd w:val="0"/>
              <w:ind w:right="57"/>
              <w:textAlignment w:val="baseline"/>
              <w:rPr>
                <w:rFonts w:cs="Arial"/>
                <w:sz w:val="16"/>
                <w:szCs w:val="16"/>
                <w:lang w:val="bg-BG"/>
              </w:rPr>
            </w:pPr>
            <w:bookmarkStart w:id="670" w:name="Text19"/>
            <w:bookmarkStart w:id="671" w:name="Text41"/>
            <w:r w:rsidRPr="009072DA">
              <w:rPr>
                <w:sz w:val="16"/>
                <w:lang w:val="bg-BG"/>
              </w:rPr>
              <w:t>Година на производство на двигателя:</w:t>
            </w:r>
            <w:bookmarkEnd w:id="670"/>
            <w:bookmarkEnd w:id="671"/>
          </w:p>
        </w:tc>
        <w:tc>
          <w:tcPr>
            <w:tcW w:w="1560" w:type="dxa"/>
            <w:gridSpan w:val="5"/>
            <w:vAlign w:val="center"/>
          </w:tcPr>
          <w:p w:rsidR="009C13A9" w:rsidRPr="009072DA" w:rsidRDefault="009C13A9" w:rsidP="009C13A9">
            <w:pPr>
              <w:overflowPunct w:val="0"/>
              <w:adjustRightInd w:val="0"/>
              <w:ind w:right="57"/>
              <w:textAlignment w:val="baseline"/>
              <w:rPr>
                <w:rFonts w:cs="Arial"/>
                <w:sz w:val="16"/>
                <w:szCs w:val="16"/>
                <w:lang w:val="bg-BG"/>
              </w:rPr>
            </w:pPr>
            <w:r w:rsidRPr="009072DA">
              <w:rPr>
                <w:sz w:val="16"/>
                <w:lang w:val="bg-BG"/>
              </w:rPr>
              <w:t>…………………</w:t>
            </w:r>
          </w:p>
        </w:tc>
      </w:tr>
      <w:tr w:rsidR="009C13A9" w:rsidRPr="009072DA"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9072DA" w:rsidRDefault="009C13A9" w:rsidP="009C13A9">
            <w:pPr>
              <w:overflowPunct w:val="0"/>
              <w:adjustRightInd w:val="0"/>
              <w:spacing w:before="60" w:after="60"/>
              <w:ind w:right="57"/>
              <w:textAlignment w:val="baseline"/>
              <w:rPr>
                <w:rFonts w:cs="Arial"/>
                <w:szCs w:val="20"/>
                <w:lang w:val="bg-BG"/>
              </w:rPr>
            </w:pPr>
          </w:p>
        </w:tc>
      </w:tr>
      <w:tr w:rsidR="009C13A9" w:rsidRPr="009072DA" w:rsidTr="009C13A9">
        <w:tblPrEx>
          <w:jc w:val="center"/>
          <w:tblCellMar>
            <w:left w:w="28" w:type="dxa"/>
            <w:right w:w="28" w:type="dxa"/>
          </w:tblCellMar>
        </w:tblPrEx>
        <w:trPr>
          <w:cantSplit/>
          <w:jc w:val="center"/>
        </w:trPr>
        <w:tc>
          <w:tcPr>
            <w:tcW w:w="2835" w:type="dxa"/>
            <w:gridSpan w:val="8"/>
            <w:vAlign w:val="center"/>
          </w:tcPr>
          <w:p w:rsidR="009C13A9" w:rsidRPr="009072DA" w:rsidRDefault="00DD67E3" w:rsidP="009C13A9">
            <w:pPr>
              <w:tabs>
                <w:tab w:val="center" w:pos="4819"/>
              </w:tabs>
              <w:overflowPunct w:val="0"/>
              <w:adjustRightInd w:val="0"/>
              <w:ind w:right="57"/>
              <w:textAlignment w:val="baseline"/>
              <w:rPr>
                <w:rFonts w:cs="Arial"/>
                <w:sz w:val="16"/>
                <w:szCs w:val="16"/>
                <w:lang w:val="bg-BG"/>
              </w:rPr>
            </w:pPr>
            <w:r w:rsidRPr="009072DA">
              <w:rPr>
                <w:sz w:val="16"/>
                <w:lang w:val="bg-BG"/>
              </w:rPr>
              <w:t>Идентификационен номер на двигателя:</w:t>
            </w:r>
          </w:p>
        </w:tc>
        <w:tc>
          <w:tcPr>
            <w:tcW w:w="3254" w:type="dxa"/>
            <w:gridSpan w:val="12"/>
            <w:vAlign w:val="center"/>
          </w:tcPr>
          <w:p w:rsidR="009C13A9" w:rsidRPr="009072DA" w:rsidRDefault="009C13A9" w:rsidP="009C13A9">
            <w:pPr>
              <w:overflowPunct w:val="0"/>
              <w:adjustRightInd w:val="0"/>
              <w:ind w:right="57"/>
              <w:textAlignment w:val="baseline"/>
              <w:rPr>
                <w:rFonts w:cs="Arial"/>
                <w:sz w:val="16"/>
                <w:szCs w:val="16"/>
                <w:lang w:val="bg-BG"/>
              </w:rPr>
            </w:pPr>
            <w:r w:rsidRPr="009072DA">
              <w:rPr>
                <w:sz w:val="16"/>
                <w:lang w:val="bg-BG"/>
              </w:rPr>
              <w:t>…………………………………………….</w:t>
            </w:r>
          </w:p>
        </w:tc>
        <w:tc>
          <w:tcPr>
            <w:tcW w:w="1260" w:type="dxa"/>
            <w:gridSpan w:val="6"/>
            <w:vAlign w:val="center"/>
          </w:tcPr>
          <w:p w:rsidR="009C13A9" w:rsidRPr="009072DA" w:rsidRDefault="009C13A9" w:rsidP="009C13A9">
            <w:pPr>
              <w:overflowPunct w:val="0"/>
              <w:adjustRightInd w:val="0"/>
              <w:ind w:right="57"/>
              <w:textAlignment w:val="baseline"/>
              <w:rPr>
                <w:rFonts w:cs="Arial"/>
                <w:sz w:val="16"/>
                <w:szCs w:val="16"/>
                <w:lang w:val="bg-BG"/>
              </w:rPr>
            </w:pPr>
            <w:r w:rsidRPr="009072DA">
              <w:rPr>
                <w:sz w:val="16"/>
                <w:lang w:val="bg-BG"/>
              </w:rPr>
              <w:t>Място на монтаж:</w:t>
            </w:r>
          </w:p>
        </w:tc>
        <w:tc>
          <w:tcPr>
            <w:tcW w:w="1866" w:type="dxa"/>
            <w:gridSpan w:val="6"/>
            <w:vAlign w:val="center"/>
          </w:tcPr>
          <w:p w:rsidR="009C13A9" w:rsidRPr="009072DA" w:rsidRDefault="009C13A9" w:rsidP="009C13A9">
            <w:pPr>
              <w:overflowPunct w:val="0"/>
              <w:adjustRightInd w:val="0"/>
              <w:ind w:right="57"/>
              <w:textAlignment w:val="baseline"/>
              <w:rPr>
                <w:rFonts w:cs="Arial"/>
                <w:sz w:val="16"/>
                <w:szCs w:val="16"/>
                <w:lang w:val="bg-BG"/>
              </w:rPr>
            </w:pPr>
            <w:r w:rsidRPr="009072DA">
              <w:rPr>
                <w:sz w:val="16"/>
                <w:lang w:val="bg-BG"/>
              </w:rPr>
              <w:t>...........................</w:t>
            </w:r>
          </w:p>
        </w:tc>
      </w:tr>
      <w:tr w:rsidR="009C13A9" w:rsidRPr="008D2440" w:rsidTr="009C13A9">
        <w:tblPrEx>
          <w:jc w:val="center"/>
          <w:tblCellMar>
            <w:left w:w="28" w:type="dxa"/>
            <w:right w:w="28" w:type="dxa"/>
          </w:tblCellMar>
        </w:tblPrEx>
        <w:trPr>
          <w:cantSplit/>
          <w:jc w:val="center"/>
        </w:trPr>
        <w:tc>
          <w:tcPr>
            <w:tcW w:w="2835" w:type="dxa"/>
            <w:gridSpan w:val="8"/>
            <w:vAlign w:val="center"/>
          </w:tcPr>
          <w:p w:rsidR="009C13A9" w:rsidRPr="009072DA" w:rsidRDefault="009C13A9" w:rsidP="009C13A9">
            <w:pPr>
              <w:overflowPunct w:val="0"/>
              <w:adjustRightInd w:val="0"/>
              <w:ind w:right="57"/>
              <w:textAlignment w:val="baseline"/>
              <w:rPr>
                <w:rFonts w:cs="Arial"/>
                <w:szCs w:val="20"/>
                <w:lang w:val="bg-BG"/>
              </w:rPr>
            </w:pPr>
          </w:p>
        </w:tc>
        <w:tc>
          <w:tcPr>
            <w:tcW w:w="6380" w:type="dxa"/>
            <w:gridSpan w:val="24"/>
            <w:tcBorders>
              <w:bottom w:val="nil"/>
            </w:tcBorders>
            <w:vAlign w:val="center"/>
          </w:tcPr>
          <w:p w:rsidR="009C13A9" w:rsidRPr="009072DA" w:rsidRDefault="009C13A9" w:rsidP="009C13A9">
            <w:pPr>
              <w:overflowPunct w:val="0"/>
              <w:adjustRightInd w:val="0"/>
              <w:ind w:right="57"/>
              <w:textAlignment w:val="baseline"/>
              <w:rPr>
                <w:rFonts w:cs="Arial"/>
                <w:sz w:val="12"/>
                <w:szCs w:val="12"/>
                <w:lang w:val="bg-BG"/>
              </w:rPr>
            </w:pPr>
            <w:r w:rsidRPr="009072DA">
              <w:rPr>
                <w:sz w:val="12"/>
                <w:lang w:val="bg-BG"/>
              </w:rPr>
              <w:t>(Сериен номер/уникален идентификационен номер)</w:t>
            </w:r>
          </w:p>
        </w:tc>
      </w:tr>
      <w:tr w:rsidR="009C13A9" w:rsidRPr="008D2440"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9072DA" w:rsidRDefault="009C13A9" w:rsidP="009C13A9">
            <w:pPr>
              <w:tabs>
                <w:tab w:val="center" w:pos="4819"/>
              </w:tabs>
              <w:overflowPunct w:val="0"/>
              <w:adjustRightInd w:val="0"/>
              <w:spacing w:before="60" w:after="60"/>
              <w:ind w:right="57"/>
              <w:textAlignment w:val="baseline"/>
              <w:rPr>
                <w:rFonts w:cs="Arial"/>
                <w:szCs w:val="20"/>
                <w:lang w:val="bg-BG"/>
              </w:rPr>
            </w:pPr>
          </w:p>
        </w:tc>
      </w:tr>
      <w:tr w:rsidR="009C13A9" w:rsidRPr="008D2440" w:rsidTr="009C13A9">
        <w:tblPrEx>
          <w:jc w:val="center"/>
          <w:tblCellMar>
            <w:left w:w="28" w:type="dxa"/>
            <w:right w:w="28" w:type="dxa"/>
          </w:tblCellMar>
        </w:tblPrEx>
        <w:trPr>
          <w:cantSplit/>
          <w:jc w:val="center"/>
        </w:trPr>
        <w:tc>
          <w:tcPr>
            <w:tcW w:w="9215" w:type="dxa"/>
            <w:gridSpan w:val="32"/>
            <w:vAlign w:val="center"/>
          </w:tcPr>
          <w:p w:rsidR="009C13A9" w:rsidRPr="009072DA" w:rsidRDefault="009C13A9" w:rsidP="009C13A9">
            <w:pPr>
              <w:overflowPunct w:val="0"/>
              <w:adjustRightInd w:val="0"/>
              <w:ind w:right="57"/>
              <w:textAlignment w:val="baseline"/>
              <w:rPr>
                <w:rFonts w:cs="Arial"/>
                <w:sz w:val="16"/>
                <w:szCs w:val="16"/>
                <w:lang w:val="bg-BG"/>
              </w:rPr>
            </w:pPr>
            <w:r w:rsidRPr="009072DA">
              <w:rPr>
                <w:sz w:val="16"/>
                <w:lang w:val="bg-BG"/>
              </w:rPr>
              <w:t>Двигателят и неговите компоненти от значение за емисиите на отработили газове бяха идентифицирани въз основа на спецификациите върху табелката с данни.</w:t>
            </w:r>
          </w:p>
          <w:p w:rsidR="009C13A9" w:rsidRPr="009072DA" w:rsidRDefault="009C13A9" w:rsidP="009C13A9">
            <w:pPr>
              <w:overflowPunct w:val="0"/>
              <w:adjustRightInd w:val="0"/>
              <w:ind w:right="57"/>
              <w:textAlignment w:val="baseline"/>
              <w:rPr>
                <w:rFonts w:cs="Arial"/>
                <w:sz w:val="16"/>
                <w:szCs w:val="16"/>
                <w:lang w:val="bg-BG"/>
              </w:rPr>
            </w:pPr>
            <w:r w:rsidRPr="009072DA">
              <w:rPr>
                <w:sz w:val="16"/>
                <w:lang w:val="bg-BG"/>
              </w:rPr>
              <w:t>Изпитването беше извършено въз основа на инструкциите на производителя на двигателя относно наблюдението на съставните елементи и параметрите на двигателя от значение за емисиите на отработили газове.</w:t>
            </w:r>
          </w:p>
        </w:tc>
      </w:tr>
      <w:tr w:rsidR="009C13A9" w:rsidRPr="008D2440" w:rsidTr="009C13A9">
        <w:tblPrEx>
          <w:jc w:val="center"/>
          <w:tblCellMar>
            <w:left w:w="28" w:type="dxa"/>
            <w:right w:w="28" w:type="dxa"/>
          </w:tblCellMar>
        </w:tblPrEx>
        <w:trPr>
          <w:cantSplit/>
          <w:trHeight w:val="57"/>
          <w:jc w:val="center"/>
        </w:trPr>
        <w:tc>
          <w:tcPr>
            <w:tcW w:w="9215" w:type="dxa"/>
            <w:gridSpan w:val="32"/>
            <w:vAlign w:val="center"/>
          </w:tcPr>
          <w:p w:rsidR="009C13A9" w:rsidRPr="009072DA" w:rsidRDefault="009C13A9" w:rsidP="009C13A9">
            <w:pPr>
              <w:overflowPunct w:val="0"/>
              <w:adjustRightInd w:val="0"/>
              <w:spacing w:line="100" w:lineRule="exact"/>
              <w:ind w:right="57"/>
              <w:textAlignment w:val="baseline"/>
              <w:rPr>
                <w:rFonts w:cs="Arial"/>
                <w:sz w:val="12"/>
                <w:szCs w:val="12"/>
                <w:lang w:val="bg-BG"/>
              </w:rPr>
            </w:pPr>
          </w:p>
        </w:tc>
      </w:tr>
      <w:tr w:rsidR="009C13A9" w:rsidRPr="008D2440" w:rsidTr="009C13A9">
        <w:tblPrEx>
          <w:jc w:val="center"/>
        </w:tblPrEx>
        <w:trPr>
          <w:cantSplit/>
          <w:jc w:val="center"/>
        </w:trPr>
        <w:tc>
          <w:tcPr>
            <w:tcW w:w="9215" w:type="dxa"/>
            <w:gridSpan w:val="32"/>
            <w:vAlign w:val="center"/>
          </w:tcPr>
          <w:p w:rsidR="009C13A9" w:rsidRPr="009072DA" w:rsidRDefault="009C13A9" w:rsidP="009C13A9">
            <w:pPr>
              <w:overflowPunct w:val="0"/>
              <w:adjustRightInd w:val="0"/>
              <w:ind w:left="286" w:hanging="286"/>
              <w:textAlignment w:val="baseline"/>
              <w:rPr>
                <w:rFonts w:cs="Arial"/>
                <w:b/>
                <w:sz w:val="18"/>
                <w:szCs w:val="18"/>
                <w:lang w:val="bg-BG"/>
              </w:rPr>
            </w:pPr>
            <w:r w:rsidRPr="009072DA">
              <w:rPr>
                <w:b/>
                <w:sz w:val="18"/>
                <w:lang w:val="bg-BG"/>
              </w:rPr>
              <w:t>A)</w:t>
            </w:r>
            <w:r w:rsidRPr="009072DA">
              <w:rPr>
                <w:lang w:val="bg-BG"/>
              </w:rPr>
              <w:tab/>
            </w:r>
            <w:r w:rsidRPr="009072DA">
              <w:rPr>
                <w:b/>
                <w:sz w:val="18"/>
                <w:lang w:val="bg-BG"/>
              </w:rPr>
              <w:t>Изпитване на компоненти</w:t>
            </w:r>
          </w:p>
          <w:p w:rsidR="009C13A9" w:rsidRPr="009072DA" w:rsidRDefault="009C13A9" w:rsidP="009C13A9">
            <w:pPr>
              <w:overflowPunct w:val="0"/>
              <w:adjustRightInd w:val="0"/>
              <w:spacing w:after="80"/>
              <w:ind w:left="284" w:right="57"/>
              <w:textAlignment w:val="baseline"/>
              <w:rPr>
                <w:rFonts w:cs="Arial"/>
                <w:sz w:val="16"/>
                <w:szCs w:val="16"/>
                <w:lang w:val="bg-BG"/>
              </w:rPr>
            </w:pPr>
            <w:r w:rsidRPr="009072DA">
              <w:rPr>
                <w:sz w:val="16"/>
                <w:lang w:val="bg-BG"/>
              </w:rPr>
              <w:t>Допълнителните компоненти от значение в контекста на отделянето на отработили газове и изброени в инструкциите на производителя на двигателя за наблюдение на компонентите и параметрите на двигателя, които са от значение за емисиите на отработили газове, следва да бъдат включени в таблицата.</w:t>
            </w:r>
          </w:p>
        </w:tc>
      </w:tr>
      <w:tr w:rsidR="009C13A9" w:rsidRPr="009072DA" w:rsidTr="009C13A9">
        <w:tblPrEx>
          <w:jc w:val="center"/>
        </w:tblPrEx>
        <w:trPr>
          <w:jc w:val="center"/>
        </w:trPr>
        <w:tc>
          <w:tcPr>
            <w:tcW w:w="426" w:type="dxa"/>
            <w:gridSpan w:val="2"/>
            <w:tcBorders>
              <w:right w:val="single" w:sz="4" w:space="0" w:color="auto"/>
            </w:tcBorders>
            <w:vAlign w:val="center"/>
          </w:tcPr>
          <w:p w:rsidR="009C13A9" w:rsidRPr="009072DA" w:rsidRDefault="009C13A9" w:rsidP="009C13A9">
            <w:pPr>
              <w:overflowPunct w:val="0"/>
              <w:adjustRightInd w:val="0"/>
              <w:spacing w:before="40" w:after="40"/>
              <w:ind w:right="57"/>
              <w:textAlignment w:val="baseline"/>
              <w:rPr>
                <w:rFonts w:cs="Arial"/>
                <w:sz w:val="18"/>
                <w:szCs w:val="18"/>
                <w:lang w:val="bg-BG"/>
              </w:rPr>
            </w:pPr>
          </w:p>
        </w:tc>
        <w:tc>
          <w:tcPr>
            <w:tcW w:w="2693" w:type="dxa"/>
            <w:gridSpan w:val="8"/>
            <w:tcBorders>
              <w:top w:val="single" w:sz="4" w:space="0" w:color="auto"/>
              <w:left w:val="nil"/>
              <w:bottom w:val="single" w:sz="4" w:space="0" w:color="auto"/>
              <w:right w:val="single" w:sz="4" w:space="0" w:color="auto"/>
            </w:tcBorders>
            <w:vAlign w:val="center"/>
          </w:tcPr>
          <w:p w:rsidR="009C13A9" w:rsidRPr="009072DA" w:rsidRDefault="009C13A9" w:rsidP="009C13A9">
            <w:pPr>
              <w:spacing w:before="60" w:after="60"/>
              <w:jc w:val="center"/>
              <w:rPr>
                <w:sz w:val="16"/>
                <w:szCs w:val="18"/>
                <w:lang w:val="bg-BG"/>
              </w:rPr>
            </w:pPr>
            <w:r w:rsidRPr="009072DA">
              <w:rPr>
                <w:sz w:val="16"/>
                <w:lang w:val="bg-BG"/>
              </w:rPr>
              <w:t>Компонент</w:t>
            </w:r>
          </w:p>
        </w:tc>
        <w:tc>
          <w:tcPr>
            <w:tcW w:w="2977" w:type="dxa"/>
            <w:gridSpan w:val="11"/>
            <w:tcBorders>
              <w:top w:val="single" w:sz="4" w:space="0" w:color="auto"/>
              <w:left w:val="nil"/>
              <w:bottom w:val="single" w:sz="4" w:space="0" w:color="auto"/>
              <w:right w:val="single" w:sz="4" w:space="0" w:color="auto"/>
            </w:tcBorders>
            <w:vAlign w:val="center"/>
          </w:tcPr>
          <w:p w:rsidR="009C13A9" w:rsidRPr="009072DA" w:rsidRDefault="009C13A9" w:rsidP="009C13A9">
            <w:pPr>
              <w:spacing w:before="60" w:after="60"/>
              <w:jc w:val="center"/>
              <w:rPr>
                <w:sz w:val="18"/>
                <w:szCs w:val="18"/>
                <w:lang w:val="bg-BG"/>
              </w:rPr>
            </w:pPr>
            <w:r w:rsidRPr="009072DA">
              <w:rPr>
                <w:sz w:val="16"/>
                <w:lang w:val="bg-BG"/>
              </w:rPr>
              <w:t>Записан номер на компонента</w:t>
            </w:r>
          </w:p>
        </w:tc>
        <w:tc>
          <w:tcPr>
            <w:tcW w:w="3119" w:type="dxa"/>
            <w:gridSpan w:val="11"/>
            <w:tcBorders>
              <w:top w:val="single" w:sz="4" w:space="0" w:color="auto"/>
              <w:left w:val="nil"/>
              <w:bottom w:val="single" w:sz="4" w:space="0" w:color="auto"/>
              <w:right w:val="single" w:sz="4" w:space="0" w:color="auto"/>
            </w:tcBorders>
            <w:vAlign w:val="center"/>
          </w:tcPr>
          <w:p w:rsidR="009C13A9" w:rsidRPr="009072DA" w:rsidRDefault="009C13A9" w:rsidP="009C13A9">
            <w:pPr>
              <w:overflowPunct w:val="0"/>
              <w:adjustRightInd w:val="0"/>
              <w:spacing w:before="40" w:after="40"/>
              <w:ind w:right="57"/>
              <w:jc w:val="center"/>
              <w:textAlignment w:val="baseline"/>
              <w:rPr>
                <w:rFonts w:cs="Arial"/>
                <w:bCs/>
                <w:sz w:val="18"/>
                <w:szCs w:val="18"/>
                <w:lang w:val="bg-BG"/>
              </w:rPr>
            </w:pPr>
            <w:r w:rsidRPr="009072DA">
              <w:rPr>
                <w:sz w:val="16"/>
                <w:lang w:val="bg-BG"/>
              </w:rPr>
              <w:t>Съответствие</w:t>
            </w:r>
            <w:r w:rsidRPr="009072DA">
              <w:rPr>
                <w:sz w:val="18"/>
                <w:lang w:val="bg-BG"/>
              </w:rPr>
              <w:t xml:space="preserve"> </w:t>
            </w:r>
            <w:r w:rsidRPr="009072DA">
              <w:rPr>
                <w:sz w:val="18"/>
                <w:vertAlign w:val="superscript"/>
                <w:lang w:val="bg-BG"/>
              </w:rPr>
              <w:t>1)</w:t>
            </w:r>
          </w:p>
        </w:tc>
      </w:tr>
      <w:tr w:rsidR="009C13A9" w:rsidRPr="009072D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9072DA" w:rsidRDefault="009C13A9" w:rsidP="009C13A9">
            <w:pPr>
              <w:overflowPunct w:val="0"/>
              <w:adjustRightInd w:val="0"/>
              <w:ind w:right="57"/>
              <w:textAlignment w:val="baseline"/>
              <w:rPr>
                <w:rFonts w:cs="Arial"/>
                <w:sz w:val="18"/>
                <w:szCs w:val="18"/>
                <w:lang w:val="bg-BG"/>
              </w:rPr>
            </w:pPr>
          </w:p>
        </w:tc>
        <w:tc>
          <w:tcPr>
            <w:tcW w:w="2693" w:type="dxa"/>
            <w:gridSpan w:val="8"/>
            <w:tcBorders>
              <w:top w:val="nil"/>
              <w:left w:val="nil"/>
              <w:bottom w:val="single" w:sz="4" w:space="0" w:color="auto"/>
              <w:right w:val="single" w:sz="4" w:space="0" w:color="auto"/>
            </w:tcBorders>
            <w:vAlign w:val="center"/>
          </w:tcPr>
          <w:p w:rsidR="009C13A9" w:rsidRPr="009072DA" w:rsidRDefault="009C13A9" w:rsidP="009C13A9">
            <w:pPr>
              <w:spacing w:before="40" w:after="40"/>
              <w:rPr>
                <w:sz w:val="16"/>
                <w:lang w:val="bg-BG"/>
              </w:rPr>
            </w:pPr>
            <w:r w:rsidRPr="009072DA">
              <w:rPr>
                <w:sz w:val="16"/>
                <w:lang w:val="bg-BG"/>
              </w:rPr>
              <w:t>Разпределителен вал/бутало</w:t>
            </w:r>
          </w:p>
        </w:tc>
        <w:tc>
          <w:tcPr>
            <w:tcW w:w="2977" w:type="dxa"/>
            <w:gridSpan w:val="11"/>
            <w:tcBorders>
              <w:top w:val="nil"/>
              <w:left w:val="single" w:sz="4" w:space="0" w:color="auto"/>
              <w:bottom w:val="single" w:sz="4" w:space="0" w:color="auto"/>
              <w:right w:val="single" w:sz="4" w:space="0" w:color="auto"/>
            </w:tcBorders>
            <w:vAlign w:val="center"/>
          </w:tcPr>
          <w:p w:rsidR="009C13A9" w:rsidRPr="009072DA" w:rsidRDefault="009C13A9" w:rsidP="009C13A9">
            <w:pPr>
              <w:overflowPunct w:val="0"/>
              <w:adjustRightInd w:val="0"/>
              <w:ind w:right="57"/>
              <w:jc w:val="center"/>
              <w:textAlignment w:val="baseline"/>
              <w:rPr>
                <w:rFonts w:cs="Arial"/>
                <w:sz w:val="18"/>
                <w:szCs w:val="18"/>
                <w:lang w:val="bg-BG"/>
              </w:rPr>
            </w:pPr>
          </w:p>
        </w:tc>
        <w:tc>
          <w:tcPr>
            <w:tcW w:w="1039" w:type="dxa"/>
            <w:gridSpan w:val="4"/>
            <w:tcBorders>
              <w:top w:val="single" w:sz="4" w:space="0" w:color="auto"/>
              <w:left w:val="single" w:sz="4" w:space="0" w:color="auto"/>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4"/>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Да</w:t>
            </w:r>
          </w:p>
        </w:tc>
        <w:tc>
          <w:tcPr>
            <w:tcW w:w="1039" w:type="dxa"/>
            <w:gridSpan w:val="4"/>
            <w:tcBorders>
              <w:top w:val="single" w:sz="4" w:space="0" w:color="auto"/>
              <w:left w:val="nil"/>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5"/>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w:t>
            </w:r>
          </w:p>
        </w:tc>
        <w:tc>
          <w:tcPr>
            <w:tcW w:w="1041" w:type="dxa"/>
            <w:gridSpan w:val="3"/>
            <w:tcBorders>
              <w:top w:val="single" w:sz="4" w:space="0" w:color="auto"/>
              <w:left w:val="nil"/>
              <w:bottom w:val="single" w:sz="4" w:space="0" w:color="auto"/>
              <w:right w:val="single" w:sz="4" w:space="0" w:color="auto"/>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6"/>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Неприложимо</w:t>
            </w:r>
          </w:p>
        </w:tc>
      </w:tr>
      <w:tr w:rsidR="009C13A9" w:rsidRPr="009072D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9072DA" w:rsidRDefault="009C13A9" w:rsidP="009C13A9">
            <w:pPr>
              <w:overflowPunct w:val="0"/>
              <w:adjustRightInd w:val="0"/>
              <w:ind w:right="57"/>
              <w:textAlignment w:val="baseline"/>
              <w:rPr>
                <w:rFonts w:cs="Arial"/>
                <w:sz w:val="18"/>
                <w:szCs w:val="18"/>
                <w:lang w:val="bg-BG"/>
              </w:rPr>
            </w:pPr>
          </w:p>
        </w:tc>
        <w:tc>
          <w:tcPr>
            <w:tcW w:w="2693" w:type="dxa"/>
            <w:gridSpan w:val="8"/>
            <w:tcBorders>
              <w:top w:val="single" w:sz="4" w:space="0" w:color="auto"/>
              <w:left w:val="nil"/>
              <w:bottom w:val="single" w:sz="4" w:space="0" w:color="auto"/>
              <w:right w:val="single" w:sz="4" w:space="0" w:color="auto"/>
            </w:tcBorders>
            <w:vAlign w:val="center"/>
          </w:tcPr>
          <w:p w:rsidR="009C13A9" w:rsidRPr="009072DA" w:rsidRDefault="009C13A9" w:rsidP="009C13A9">
            <w:pPr>
              <w:spacing w:before="40" w:after="40"/>
              <w:rPr>
                <w:sz w:val="16"/>
                <w:lang w:val="bg-BG"/>
              </w:rPr>
            </w:pPr>
            <w:r w:rsidRPr="009072DA">
              <w:rPr>
                <w:sz w:val="16"/>
                <w:lang w:val="bg-BG"/>
              </w:rPr>
              <w:t>Инжекционен клапан</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9072DA" w:rsidRDefault="009C13A9" w:rsidP="009C13A9">
            <w:pPr>
              <w:overflowPunct w:val="0"/>
              <w:adjustRightInd w:val="0"/>
              <w:ind w:right="57"/>
              <w:jc w:val="center"/>
              <w:textAlignment w:val="baseline"/>
              <w:rPr>
                <w:rFonts w:cs="Arial"/>
                <w:sz w:val="18"/>
                <w:szCs w:val="18"/>
                <w:lang w:val="bg-BG"/>
              </w:rPr>
            </w:pPr>
          </w:p>
        </w:tc>
        <w:tc>
          <w:tcPr>
            <w:tcW w:w="1039" w:type="dxa"/>
            <w:gridSpan w:val="4"/>
            <w:tcBorders>
              <w:top w:val="single" w:sz="4" w:space="0" w:color="auto"/>
              <w:left w:val="single" w:sz="4" w:space="0" w:color="auto"/>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7"/>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Да</w:t>
            </w:r>
          </w:p>
        </w:tc>
        <w:tc>
          <w:tcPr>
            <w:tcW w:w="1039" w:type="dxa"/>
            <w:gridSpan w:val="4"/>
            <w:tcBorders>
              <w:top w:val="single" w:sz="4" w:space="0" w:color="auto"/>
              <w:left w:val="nil"/>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8"/>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w:t>
            </w:r>
          </w:p>
        </w:tc>
        <w:tc>
          <w:tcPr>
            <w:tcW w:w="1041" w:type="dxa"/>
            <w:gridSpan w:val="3"/>
            <w:tcBorders>
              <w:top w:val="single" w:sz="4" w:space="0" w:color="auto"/>
              <w:left w:val="nil"/>
              <w:bottom w:val="single" w:sz="4" w:space="0" w:color="auto"/>
              <w:right w:val="single" w:sz="4" w:space="0" w:color="auto"/>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9"/>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Неприложимо</w:t>
            </w:r>
          </w:p>
        </w:tc>
      </w:tr>
      <w:tr w:rsidR="009C13A9" w:rsidRPr="009072D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9072DA" w:rsidRDefault="009C13A9" w:rsidP="009C13A9">
            <w:pPr>
              <w:overflowPunct w:val="0"/>
              <w:adjustRightInd w:val="0"/>
              <w:ind w:right="57"/>
              <w:textAlignment w:val="baseline"/>
              <w:rPr>
                <w:rFonts w:cs="Arial"/>
                <w:sz w:val="18"/>
                <w:szCs w:val="18"/>
                <w:lang w:val="bg-BG"/>
              </w:rPr>
            </w:pPr>
          </w:p>
        </w:tc>
        <w:tc>
          <w:tcPr>
            <w:tcW w:w="2693" w:type="dxa"/>
            <w:gridSpan w:val="8"/>
            <w:tcBorders>
              <w:top w:val="single" w:sz="4" w:space="0" w:color="auto"/>
              <w:left w:val="nil"/>
              <w:bottom w:val="single" w:sz="4" w:space="0" w:color="auto"/>
              <w:right w:val="single" w:sz="4" w:space="0" w:color="auto"/>
            </w:tcBorders>
            <w:vAlign w:val="center"/>
          </w:tcPr>
          <w:p w:rsidR="009C13A9" w:rsidRPr="009072DA" w:rsidRDefault="009C13A9" w:rsidP="009C13A9">
            <w:pPr>
              <w:spacing w:before="40" w:after="40"/>
              <w:rPr>
                <w:sz w:val="16"/>
                <w:lang w:val="bg-BG"/>
              </w:rPr>
            </w:pPr>
            <w:r w:rsidRPr="009072DA">
              <w:rPr>
                <w:sz w:val="16"/>
                <w:lang w:val="bg-BG"/>
              </w:rPr>
              <w:t>Номер на набора от данни / програмното осигуряване</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9072DA" w:rsidRDefault="009C13A9" w:rsidP="009C13A9">
            <w:pPr>
              <w:overflowPunct w:val="0"/>
              <w:adjustRightInd w:val="0"/>
              <w:ind w:right="57"/>
              <w:jc w:val="center"/>
              <w:textAlignment w:val="baseline"/>
              <w:rPr>
                <w:rFonts w:cs="Arial"/>
                <w:sz w:val="18"/>
                <w:szCs w:val="18"/>
                <w:lang w:val="bg-BG"/>
              </w:rPr>
            </w:pPr>
          </w:p>
        </w:tc>
        <w:tc>
          <w:tcPr>
            <w:tcW w:w="1039" w:type="dxa"/>
            <w:gridSpan w:val="4"/>
            <w:tcBorders>
              <w:top w:val="single" w:sz="4" w:space="0" w:color="auto"/>
              <w:left w:val="single" w:sz="4" w:space="0" w:color="auto"/>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7"/>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Да</w:t>
            </w:r>
          </w:p>
        </w:tc>
        <w:tc>
          <w:tcPr>
            <w:tcW w:w="1039" w:type="dxa"/>
            <w:gridSpan w:val="4"/>
            <w:tcBorders>
              <w:top w:val="single" w:sz="4" w:space="0" w:color="auto"/>
              <w:left w:val="nil"/>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8"/>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w:t>
            </w:r>
          </w:p>
        </w:tc>
        <w:tc>
          <w:tcPr>
            <w:tcW w:w="1041" w:type="dxa"/>
            <w:gridSpan w:val="3"/>
            <w:tcBorders>
              <w:top w:val="single" w:sz="4" w:space="0" w:color="auto"/>
              <w:left w:val="nil"/>
              <w:bottom w:val="single" w:sz="4" w:space="0" w:color="auto"/>
              <w:right w:val="single" w:sz="4" w:space="0" w:color="auto"/>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9"/>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Неприложимо </w:t>
            </w:r>
          </w:p>
        </w:tc>
      </w:tr>
      <w:tr w:rsidR="009C13A9" w:rsidRPr="009072D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9072DA" w:rsidRDefault="009C13A9" w:rsidP="009C13A9">
            <w:pPr>
              <w:overflowPunct w:val="0"/>
              <w:adjustRightInd w:val="0"/>
              <w:ind w:right="57"/>
              <w:textAlignment w:val="baseline"/>
              <w:rPr>
                <w:rFonts w:cs="Arial"/>
                <w:sz w:val="18"/>
                <w:szCs w:val="18"/>
                <w:lang w:val="bg-BG"/>
              </w:rPr>
            </w:pPr>
          </w:p>
        </w:tc>
        <w:tc>
          <w:tcPr>
            <w:tcW w:w="2693" w:type="dxa"/>
            <w:gridSpan w:val="8"/>
            <w:tcBorders>
              <w:top w:val="single" w:sz="4" w:space="0" w:color="auto"/>
              <w:left w:val="nil"/>
              <w:bottom w:val="single" w:sz="4" w:space="0" w:color="auto"/>
              <w:right w:val="single" w:sz="4" w:space="0" w:color="auto"/>
            </w:tcBorders>
            <w:vAlign w:val="center"/>
          </w:tcPr>
          <w:p w:rsidR="009C13A9" w:rsidRPr="009072DA" w:rsidRDefault="009C13A9" w:rsidP="009C13A9">
            <w:pPr>
              <w:spacing w:before="40" w:after="40"/>
              <w:rPr>
                <w:sz w:val="16"/>
                <w:lang w:val="bg-BG"/>
              </w:rPr>
            </w:pPr>
            <w:r w:rsidRPr="009072DA">
              <w:rPr>
                <w:sz w:val="16"/>
                <w:lang w:val="bg-BG"/>
              </w:rPr>
              <w:t>Горивонагнетателна помпа</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9072DA" w:rsidRDefault="009C13A9" w:rsidP="009C13A9">
            <w:pPr>
              <w:overflowPunct w:val="0"/>
              <w:adjustRightInd w:val="0"/>
              <w:ind w:right="57"/>
              <w:jc w:val="center"/>
              <w:textAlignment w:val="baseline"/>
              <w:rPr>
                <w:rFonts w:cs="Arial"/>
                <w:sz w:val="18"/>
                <w:szCs w:val="18"/>
                <w:lang w:val="bg-BG"/>
              </w:rPr>
            </w:pPr>
          </w:p>
        </w:tc>
        <w:tc>
          <w:tcPr>
            <w:tcW w:w="1039" w:type="dxa"/>
            <w:gridSpan w:val="4"/>
            <w:tcBorders>
              <w:top w:val="single" w:sz="4" w:space="0" w:color="auto"/>
              <w:left w:val="single" w:sz="4" w:space="0" w:color="auto"/>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7"/>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Да</w:t>
            </w:r>
          </w:p>
        </w:tc>
        <w:tc>
          <w:tcPr>
            <w:tcW w:w="1039" w:type="dxa"/>
            <w:gridSpan w:val="4"/>
            <w:tcBorders>
              <w:top w:val="single" w:sz="4" w:space="0" w:color="auto"/>
              <w:left w:val="nil"/>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8"/>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w:t>
            </w:r>
          </w:p>
        </w:tc>
        <w:tc>
          <w:tcPr>
            <w:tcW w:w="1041" w:type="dxa"/>
            <w:gridSpan w:val="3"/>
            <w:tcBorders>
              <w:top w:val="single" w:sz="4" w:space="0" w:color="auto"/>
              <w:left w:val="nil"/>
              <w:bottom w:val="single" w:sz="4" w:space="0" w:color="auto"/>
              <w:right w:val="single" w:sz="4" w:space="0" w:color="auto"/>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9"/>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Неприложимо</w:t>
            </w:r>
          </w:p>
        </w:tc>
      </w:tr>
      <w:tr w:rsidR="009C13A9" w:rsidRPr="009072D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9072DA" w:rsidRDefault="009C13A9" w:rsidP="009C13A9">
            <w:pPr>
              <w:overflowPunct w:val="0"/>
              <w:adjustRightInd w:val="0"/>
              <w:ind w:right="57"/>
              <w:textAlignment w:val="baseline"/>
              <w:rPr>
                <w:rFonts w:cs="Arial"/>
                <w:sz w:val="18"/>
                <w:szCs w:val="18"/>
                <w:lang w:val="bg-BG"/>
              </w:rPr>
            </w:pPr>
          </w:p>
        </w:tc>
        <w:tc>
          <w:tcPr>
            <w:tcW w:w="2693" w:type="dxa"/>
            <w:gridSpan w:val="8"/>
            <w:tcBorders>
              <w:top w:val="single" w:sz="4" w:space="0" w:color="auto"/>
              <w:left w:val="nil"/>
              <w:bottom w:val="single" w:sz="4" w:space="0" w:color="auto"/>
              <w:right w:val="single" w:sz="4" w:space="0" w:color="auto"/>
            </w:tcBorders>
            <w:vAlign w:val="center"/>
          </w:tcPr>
          <w:p w:rsidR="009C13A9" w:rsidRPr="009072DA" w:rsidRDefault="009C13A9" w:rsidP="009C13A9">
            <w:pPr>
              <w:spacing w:before="40" w:after="40"/>
              <w:rPr>
                <w:sz w:val="16"/>
                <w:lang w:val="bg-BG"/>
              </w:rPr>
            </w:pPr>
            <w:r w:rsidRPr="009072DA">
              <w:rPr>
                <w:sz w:val="16"/>
                <w:lang w:val="bg-BG"/>
              </w:rPr>
              <w:t>Цилиндрова глава</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9072DA" w:rsidRDefault="009C13A9" w:rsidP="009C13A9">
            <w:pPr>
              <w:overflowPunct w:val="0"/>
              <w:adjustRightInd w:val="0"/>
              <w:ind w:right="57"/>
              <w:jc w:val="center"/>
              <w:textAlignment w:val="baseline"/>
              <w:rPr>
                <w:rFonts w:cs="Arial"/>
                <w:sz w:val="18"/>
                <w:szCs w:val="18"/>
                <w:lang w:val="bg-BG"/>
              </w:rPr>
            </w:pPr>
          </w:p>
        </w:tc>
        <w:tc>
          <w:tcPr>
            <w:tcW w:w="1039" w:type="dxa"/>
            <w:gridSpan w:val="4"/>
            <w:tcBorders>
              <w:top w:val="single" w:sz="4" w:space="0" w:color="auto"/>
              <w:left w:val="single" w:sz="4" w:space="0" w:color="auto"/>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13"/>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Да</w:t>
            </w:r>
          </w:p>
        </w:tc>
        <w:tc>
          <w:tcPr>
            <w:tcW w:w="1039" w:type="dxa"/>
            <w:gridSpan w:val="4"/>
            <w:tcBorders>
              <w:top w:val="single" w:sz="4" w:space="0" w:color="auto"/>
              <w:left w:val="nil"/>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14"/>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w:t>
            </w:r>
          </w:p>
        </w:tc>
        <w:tc>
          <w:tcPr>
            <w:tcW w:w="1041" w:type="dxa"/>
            <w:gridSpan w:val="3"/>
            <w:tcBorders>
              <w:top w:val="single" w:sz="4" w:space="0" w:color="auto"/>
              <w:left w:val="nil"/>
              <w:bottom w:val="single" w:sz="4" w:space="0" w:color="auto"/>
              <w:right w:val="single" w:sz="4" w:space="0" w:color="auto"/>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15"/>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Неприложимо</w:t>
            </w:r>
          </w:p>
        </w:tc>
      </w:tr>
      <w:tr w:rsidR="009C13A9" w:rsidRPr="009072D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9072DA" w:rsidRDefault="009C13A9" w:rsidP="009C13A9">
            <w:pPr>
              <w:overflowPunct w:val="0"/>
              <w:adjustRightInd w:val="0"/>
              <w:ind w:right="57"/>
              <w:textAlignment w:val="baseline"/>
              <w:rPr>
                <w:rFonts w:cs="Arial"/>
                <w:sz w:val="18"/>
                <w:szCs w:val="18"/>
                <w:lang w:val="bg-BG"/>
              </w:rPr>
            </w:pPr>
          </w:p>
        </w:tc>
        <w:tc>
          <w:tcPr>
            <w:tcW w:w="2693" w:type="dxa"/>
            <w:gridSpan w:val="8"/>
            <w:tcBorders>
              <w:top w:val="single" w:sz="4" w:space="0" w:color="auto"/>
              <w:left w:val="nil"/>
              <w:bottom w:val="single" w:sz="4" w:space="0" w:color="auto"/>
              <w:right w:val="single" w:sz="4" w:space="0" w:color="auto"/>
            </w:tcBorders>
            <w:vAlign w:val="center"/>
          </w:tcPr>
          <w:p w:rsidR="009C13A9" w:rsidRPr="009072DA" w:rsidRDefault="009C13A9" w:rsidP="009C13A9">
            <w:pPr>
              <w:spacing w:before="40" w:after="40"/>
              <w:rPr>
                <w:sz w:val="16"/>
                <w:lang w:val="bg-BG"/>
              </w:rPr>
            </w:pPr>
            <w:r w:rsidRPr="009072DA">
              <w:rPr>
                <w:sz w:val="16"/>
                <w:lang w:val="bg-BG"/>
              </w:rPr>
              <w:t>Турбокомпресор, задвижван от отработили газове</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9072DA" w:rsidRDefault="009C13A9" w:rsidP="009C13A9">
            <w:pPr>
              <w:overflowPunct w:val="0"/>
              <w:adjustRightInd w:val="0"/>
              <w:ind w:right="57"/>
              <w:jc w:val="center"/>
              <w:textAlignment w:val="baseline"/>
              <w:rPr>
                <w:rFonts w:cs="Arial"/>
                <w:sz w:val="18"/>
                <w:szCs w:val="18"/>
                <w:lang w:val="bg-BG"/>
              </w:rPr>
            </w:pPr>
          </w:p>
        </w:tc>
        <w:tc>
          <w:tcPr>
            <w:tcW w:w="1039" w:type="dxa"/>
            <w:gridSpan w:val="4"/>
            <w:tcBorders>
              <w:top w:val="single" w:sz="4" w:space="0" w:color="auto"/>
              <w:left w:val="single" w:sz="4" w:space="0" w:color="auto"/>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7"/>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Да</w:t>
            </w:r>
          </w:p>
        </w:tc>
        <w:tc>
          <w:tcPr>
            <w:tcW w:w="1039" w:type="dxa"/>
            <w:gridSpan w:val="4"/>
            <w:tcBorders>
              <w:top w:val="single" w:sz="4" w:space="0" w:color="auto"/>
              <w:left w:val="nil"/>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8"/>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w:t>
            </w:r>
          </w:p>
        </w:tc>
        <w:tc>
          <w:tcPr>
            <w:tcW w:w="1041" w:type="dxa"/>
            <w:gridSpan w:val="3"/>
            <w:tcBorders>
              <w:top w:val="single" w:sz="4" w:space="0" w:color="auto"/>
              <w:left w:val="nil"/>
              <w:bottom w:val="single" w:sz="4" w:space="0" w:color="auto"/>
              <w:right w:val="single" w:sz="4" w:space="0" w:color="auto"/>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9"/>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Неприложимо</w:t>
            </w:r>
          </w:p>
        </w:tc>
      </w:tr>
      <w:tr w:rsidR="009C13A9" w:rsidRPr="009072D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9072DA" w:rsidRDefault="009C13A9" w:rsidP="009C13A9">
            <w:pPr>
              <w:overflowPunct w:val="0"/>
              <w:adjustRightInd w:val="0"/>
              <w:ind w:right="57"/>
              <w:textAlignment w:val="baseline"/>
              <w:rPr>
                <w:rFonts w:cs="Arial"/>
                <w:sz w:val="18"/>
                <w:szCs w:val="18"/>
                <w:lang w:val="bg-BG"/>
              </w:rPr>
            </w:pPr>
          </w:p>
        </w:tc>
        <w:tc>
          <w:tcPr>
            <w:tcW w:w="2693" w:type="dxa"/>
            <w:gridSpan w:val="8"/>
            <w:tcBorders>
              <w:top w:val="single" w:sz="4" w:space="0" w:color="auto"/>
              <w:left w:val="nil"/>
              <w:bottom w:val="single" w:sz="4" w:space="0" w:color="auto"/>
              <w:right w:val="single" w:sz="4" w:space="0" w:color="auto"/>
            </w:tcBorders>
            <w:vAlign w:val="center"/>
          </w:tcPr>
          <w:p w:rsidR="009C13A9" w:rsidRPr="009072DA" w:rsidRDefault="009C13A9" w:rsidP="009C13A9">
            <w:pPr>
              <w:spacing w:before="40" w:after="40"/>
              <w:rPr>
                <w:sz w:val="16"/>
                <w:lang w:val="bg-BG"/>
              </w:rPr>
            </w:pPr>
            <w:r w:rsidRPr="009072DA">
              <w:rPr>
                <w:sz w:val="16"/>
                <w:lang w:val="bg-BG"/>
              </w:rPr>
              <w:t>Охладител на въздуха за принудително пълнене</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9072DA" w:rsidRDefault="009C13A9" w:rsidP="009C13A9">
            <w:pPr>
              <w:overflowPunct w:val="0"/>
              <w:adjustRightInd w:val="0"/>
              <w:ind w:right="57"/>
              <w:jc w:val="center"/>
              <w:textAlignment w:val="baseline"/>
              <w:rPr>
                <w:rFonts w:cs="Arial"/>
                <w:sz w:val="18"/>
                <w:szCs w:val="18"/>
                <w:lang w:val="bg-BG"/>
              </w:rPr>
            </w:pPr>
          </w:p>
        </w:tc>
        <w:tc>
          <w:tcPr>
            <w:tcW w:w="1039" w:type="dxa"/>
            <w:gridSpan w:val="4"/>
            <w:tcBorders>
              <w:top w:val="single" w:sz="4" w:space="0" w:color="auto"/>
              <w:left w:val="single" w:sz="4" w:space="0" w:color="auto"/>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16"/>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Да</w:t>
            </w:r>
          </w:p>
        </w:tc>
        <w:tc>
          <w:tcPr>
            <w:tcW w:w="1039" w:type="dxa"/>
            <w:gridSpan w:val="4"/>
            <w:tcBorders>
              <w:top w:val="single" w:sz="4" w:space="0" w:color="auto"/>
              <w:left w:val="nil"/>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17"/>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w:t>
            </w:r>
          </w:p>
        </w:tc>
        <w:tc>
          <w:tcPr>
            <w:tcW w:w="1041" w:type="dxa"/>
            <w:gridSpan w:val="3"/>
            <w:tcBorders>
              <w:top w:val="single" w:sz="4" w:space="0" w:color="auto"/>
              <w:left w:val="nil"/>
              <w:bottom w:val="single" w:sz="4" w:space="0" w:color="auto"/>
              <w:right w:val="single" w:sz="4" w:space="0" w:color="auto"/>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18"/>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Неприложимо</w:t>
            </w:r>
          </w:p>
        </w:tc>
      </w:tr>
      <w:tr w:rsidR="009C13A9" w:rsidRPr="009072D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9072DA" w:rsidRDefault="009C13A9" w:rsidP="009C13A9">
            <w:pPr>
              <w:overflowPunct w:val="0"/>
              <w:adjustRightInd w:val="0"/>
              <w:ind w:right="57"/>
              <w:textAlignment w:val="baseline"/>
              <w:rPr>
                <w:rFonts w:cs="Arial"/>
                <w:sz w:val="18"/>
                <w:szCs w:val="18"/>
                <w:lang w:val="bg-BG"/>
              </w:rPr>
            </w:pPr>
          </w:p>
        </w:tc>
        <w:tc>
          <w:tcPr>
            <w:tcW w:w="2693" w:type="dxa"/>
            <w:gridSpan w:val="8"/>
            <w:tcBorders>
              <w:top w:val="single" w:sz="4" w:space="0" w:color="auto"/>
              <w:left w:val="nil"/>
              <w:bottom w:val="single" w:sz="4" w:space="0" w:color="auto"/>
              <w:right w:val="single" w:sz="4" w:space="0" w:color="auto"/>
            </w:tcBorders>
            <w:vAlign w:val="center"/>
          </w:tcPr>
          <w:p w:rsidR="009C13A9" w:rsidRPr="009072DA" w:rsidRDefault="009C13A9" w:rsidP="009C13A9">
            <w:pPr>
              <w:overflowPunct w:val="0"/>
              <w:adjustRightInd w:val="0"/>
              <w:ind w:right="57"/>
              <w:textAlignment w:val="baseline"/>
              <w:rPr>
                <w:rFonts w:cs="Arial"/>
                <w:sz w:val="18"/>
                <w:szCs w:val="18"/>
                <w:lang w:val="bg-BG"/>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9072DA" w:rsidRDefault="009C13A9" w:rsidP="009C13A9">
            <w:pPr>
              <w:overflowPunct w:val="0"/>
              <w:adjustRightInd w:val="0"/>
              <w:ind w:right="57"/>
              <w:jc w:val="center"/>
              <w:textAlignment w:val="baseline"/>
              <w:rPr>
                <w:rFonts w:cs="Arial"/>
                <w:sz w:val="18"/>
                <w:szCs w:val="18"/>
                <w:lang w:val="bg-BG"/>
              </w:rPr>
            </w:pPr>
          </w:p>
        </w:tc>
        <w:bookmarkStart w:id="672" w:name="Kontrollkästchen19"/>
        <w:tc>
          <w:tcPr>
            <w:tcW w:w="1039" w:type="dxa"/>
            <w:gridSpan w:val="4"/>
            <w:tcBorders>
              <w:top w:val="single" w:sz="4" w:space="0" w:color="auto"/>
              <w:left w:val="single" w:sz="4" w:space="0" w:color="auto"/>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19"/>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w:t>
            </w:r>
            <w:bookmarkEnd w:id="672"/>
            <w:r w:rsidRPr="009072DA">
              <w:rPr>
                <w:sz w:val="16"/>
                <w:lang w:val="bg-BG"/>
              </w:rPr>
              <w:t>Да</w:t>
            </w:r>
          </w:p>
        </w:tc>
        <w:bookmarkStart w:id="673" w:name="Kontrollkästchen20"/>
        <w:tc>
          <w:tcPr>
            <w:tcW w:w="1039" w:type="dxa"/>
            <w:gridSpan w:val="4"/>
            <w:tcBorders>
              <w:top w:val="single" w:sz="4" w:space="0" w:color="auto"/>
              <w:left w:val="nil"/>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20"/>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w:t>
            </w:r>
            <w:bookmarkEnd w:id="673"/>
          </w:p>
        </w:tc>
        <w:bookmarkStart w:id="674" w:name="Kontrollkästchen21"/>
        <w:tc>
          <w:tcPr>
            <w:tcW w:w="1041" w:type="dxa"/>
            <w:gridSpan w:val="3"/>
            <w:tcBorders>
              <w:top w:val="single" w:sz="4" w:space="0" w:color="auto"/>
              <w:left w:val="nil"/>
              <w:bottom w:val="single" w:sz="4" w:space="0" w:color="auto"/>
              <w:right w:val="single" w:sz="4" w:space="0" w:color="auto"/>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21"/>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w:t>
            </w:r>
            <w:bookmarkEnd w:id="674"/>
            <w:r w:rsidRPr="009072DA">
              <w:rPr>
                <w:sz w:val="16"/>
                <w:lang w:val="bg-BG"/>
              </w:rPr>
              <w:t>Неприложимо</w:t>
            </w:r>
          </w:p>
        </w:tc>
      </w:tr>
      <w:tr w:rsidR="009C13A9" w:rsidRPr="009072D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9072DA" w:rsidRDefault="009C13A9" w:rsidP="009C13A9">
            <w:pPr>
              <w:overflowPunct w:val="0"/>
              <w:adjustRightInd w:val="0"/>
              <w:ind w:right="57"/>
              <w:textAlignment w:val="baseline"/>
              <w:rPr>
                <w:rFonts w:cs="Arial"/>
                <w:sz w:val="18"/>
                <w:szCs w:val="18"/>
                <w:lang w:val="bg-BG"/>
              </w:rPr>
            </w:pPr>
          </w:p>
        </w:tc>
        <w:tc>
          <w:tcPr>
            <w:tcW w:w="2693" w:type="dxa"/>
            <w:gridSpan w:val="8"/>
            <w:tcBorders>
              <w:top w:val="single" w:sz="4" w:space="0" w:color="auto"/>
              <w:left w:val="nil"/>
              <w:bottom w:val="single" w:sz="4" w:space="0" w:color="auto"/>
              <w:right w:val="single" w:sz="4" w:space="0" w:color="auto"/>
            </w:tcBorders>
            <w:vAlign w:val="center"/>
          </w:tcPr>
          <w:p w:rsidR="009C13A9" w:rsidRPr="009072DA" w:rsidRDefault="009C13A9" w:rsidP="009C13A9">
            <w:pPr>
              <w:overflowPunct w:val="0"/>
              <w:adjustRightInd w:val="0"/>
              <w:ind w:right="57"/>
              <w:textAlignment w:val="baseline"/>
              <w:rPr>
                <w:rFonts w:cs="Arial"/>
                <w:sz w:val="18"/>
                <w:szCs w:val="18"/>
                <w:lang w:val="bg-BG"/>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9072DA" w:rsidRDefault="009C13A9" w:rsidP="009C13A9">
            <w:pPr>
              <w:overflowPunct w:val="0"/>
              <w:adjustRightInd w:val="0"/>
              <w:ind w:right="57"/>
              <w:jc w:val="center"/>
              <w:textAlignment w:val="baseline"/>
              <w:rPr>
                <w:rFonts w:cs="Arial"/>
                <w:sz w:val="18"/>
                <w:szCs w:val="18"/>
                <w:lang w:val="bg-BG"/>
              </w:rPr>
            </w:pPr>
          </w:p>
        </w:tc>
        <w:tc>
          <w:tcPr>
            <w:tcW w:w="1039" w:type="dxa"/>
            <w:gridSpan w:val="4"/>
            <w:tcBorders>
              <w:top w:val="single" w:sz="4" w:space="0" w:color="auto"/>
              <w:left w:val="single" w:sz="4" w:space="0" w:color="auto"/>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19"/>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Да</w:t>
            </w:r>
          </w:p>
        </w:tc>
        <w:tc>
          <w:tcPr>
            <w:tcW w:w="1039" w:type="dxa"/>
            <w:gridSpan w:val="4"/>
            <w:tcBorders>
              <w:top w:val="single" w:sz="4" w:space="0" w:color="auto"/>
              <w:left w:val="nil"/>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20"/>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w:t>
            </w:r>
          </w:p>
        </w:tc>
        <w:tc>
          <w:tcPr>
            <w:tcW w:w="1041" w:type="dxa"/>
            <w:gridSpan w:val="3"/>
            <w:tcBorders>
              <w:top w:val="single" w:sz="4" w:space="0" w:color="auto"/>
              <w:left w:val="nil"/>
              <w:bottom w:val="single" w:sz="4" w:space="0" w:color="auto"/>
              <w:right w:val="single" w:sz="4" w:space="0" w:color="auto"/>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21"/>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Неприложимо</w:t>
            </w:r>
          </w:p>
        </w:tc>
      </w:tr>
      <w:tr w:rsidR="009C13A9" w:rsidRPr="009072D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9072DA" w:rsidRDefault="009C13A9" w:rsidP="009C13A9">
            <w:pPr>
              <w:overflowPunct w:val="0"/>
              <w:adjustRightInd w:val="0"/>
              <w:ind w:right="57"/>
              <w:textAlignment w:val="baseline"/>
              <w:rPr>
                <w:rFonts w:cs="Arial"/>
                <w:sz w:val="18"/>
                <w:szCs w:val="18"/>
                <w:lang w:val="bg-BG"/>
              </w:rPr>
            </w:pPr>
          </w:p>
        </w:tc>
        <w:tc>
          <w:tcPr>
            <w:tcW w:w="2693" w:type="dxa"/>
            <w:gridSpan w:val="8"/>
            <w:tcBorders>
              <w:top w:val="single" w:sz="4" w:space="0" w:color="auto"/>
              <w:left w:val="nil"/>
              <w:bottom w:val="single" w:sz="4" w:space="0" w:color="auto"/>
              <w:right w:val="single" w:sz="4" w:space="0" w:color="auto"/>
            </w:tcBorders>
            <w:vAlign w:val="center"/>
          </w:tcPr>
          <w:p w:rsidR="009C13A9" w:rsidRPr="009072DA" w:rsidRDefault="009C13A9" w:rsidP="009C13A9">
            <w:pPr>
              <w:overflowPunct w:val="0"/>
              <w:adjustRightInd w:val="0"/>
              <w:ind w:right="57"/>
              <w:textAlignment w:val="baseline"/>
              <w:rPr>
                <w:rFonts w:cs="Arial"/>
                <w:sz w:val="18"/>
                <w:szCs w:val="18"/>
                <w:lang w:val="bg-BG"/>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9072DA" w:rsidRDefault="009C13A9" w:rsidP="009C13A9">
            <w:pPr>
              <w:overflowPunct w:val="0"/>
              <w:adjustRightInd w:val="0"/>
              <w:ind w:right="57"/>
              <w:jc w:val="center"/>
              <w:textAlignment w:val="baseline"/>
              <w:rPr>
                <w:rFonts w:cs="Arial"/>
                <w:sz w:val="18"/>
                <w:szCs w:val="18"/>
                <w:lang w:val="bg-BG"/>
              </w:rPr>
            </w:pPr>
          </w:p>
        </w:tc>
        <w:tc>
          <w:tcPr>
            <w:tcW w:w="1039" w:type="dxa"/>
            <w:gridSpan w:val="4"/>
            <w:tcBorders>
              <w:top w:val="single" w:sz="4" w:space="0" w:color="auto"/>
              <w:left w:val="single" w:sz="4" w:space="0" w:color="auto"/>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19"/>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Да</w:t>
            </w:r>
          </w:p>
        </w:tc>
        <w:tc>
          <w:tcPr>
            <w:tcW w:w="1039" w:type="dxa"/>
            <w:gridSpan w:val="4"/>
            <w:tcBorders>
              <w:top w:val="single" w:sz="4" w:space="0" w:color="auto"/>
              <w:left w:val="nil"/>
              <w:bottom w:val="single" w:sz="4" w:space="0" w:color="auto"/>
              <w:right w:val="nil"/>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20"/>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w:t>
            </w:r>
          </w:p>
        </w:tc>
        <w:tc>
          <w:tcPr>
            <w:tcW w:w="1041" w:type="dxa"/>
            <w:gridSpan w:val="3"/>
            <w:tcBorders>
              <w:top w:val="single" w:sz="4" w:space="0" w:color="auto"/>
              <w:left w:val="nil"/>
              <w:bottom w:val="single" w:sz="4" w:space="0" w:color="auto"/>
              <w:right w:val="single" w:sz="4" w:space="0" w:color="auto"/>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21"/>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Неприложимо</w:t>
            </w:r>
          </w:p>
        </w:tc>
      </w:tr>
      <w:tr w:rsidR="009C13A9" w:rsidRPr="009072DA" w:rsidTr="009C13A9">
        <w:tblPrEx>
          <w:jc w:val="center"/>
        </w:tblPrEx>
        <w:trPr>
          <w:cantSplit/>
          <w:trHeight w:hRule="exact" w:val="160"/>
          <w:jc w:val="center"/>
        </w:trPr>
        <w:tc>
          <w:tcPr>
            <w:tcW w:w="9215" w:type="dxa"/>
            <w:gridSpan w:val="32"/>
            <w:vAlign w:val="center"/>
          </w:tcPr>
          <w:p w:rsidR="009C13A9" w:rsidRPr="009072DA" w:rsidRDefault="009C13A9" w:rsidP="009C13A9">
            <w:pPr>
              <w:overflowPunct w:val="0"/>
              <w:adjustRightInd w:val="0"/>
              <w:ind w:right="57"/>
              <w:textAlignment w:val="baseline"/>
              <w:rPr>
                <w:rFonts w:cs="Arial"/>
                <w:sz w:val="18"/>
                <w:szCs w:val="18"/>
                <w:lang w:val="bg-BG"/>
              </w:rPr>
            </w:pPr>
          </w:p>
        </w:tc>
      </w:tr>
      <w:tr w:rsidR="009C13A9" w:rsidRPr="009072DA" w:rsidTr="009C13A9">
        <w:tblPrEx>
          <w:jc w:val="center"/>
        </w:tblPrEx>
        <w:trPr>
          <w:cantSplit/>
          <w:jc w:val="center"/>
        </w:trPr>
        <w:tc>
          <w:tcPr>
            <w:tcW w:w="9215" w:type="dxa"/>
            <w:gridSpan w:val="32"/>
            <w:vAlign w:val="center"/>
          </w:tcPr>
          <w:p w:rsidR="009C13A9" w:rsidRPr="009072DA" w:rsidRDefault="009C13A9" w:rsidP="009C13A9">
            <w:pPr>
              <w:overflowPunct w:val="0"/>
              <w:adjustRightInd w:val="0"/>
              <w:ind w:left="286" w:hanging="286"/>
              <w:textAlignment w:val="baseline"/>
              <w:rPr>
                <w:rFonts w:cs="Arial"/>
                <w:b/>
                <w:sz w:val="18"/>
                <w:szCs w:val="18"/>
                <w:lang w:val="bg-BG"/>
              </w:rPr>
            </w:pPr>
            <w:r w:rsidRPr="009072DA">
              <w:rPr>
                <w:b/>
                <w:sz w:val="18"/>
                <w:lang w:val="bg-BG"/>
              </w:rPr>
              <w:t>Б)</w:t>
            </w:r>
            <w:r w:rsidRPr="009072DA">
              <w:rPr>
                <w:lang w:val="bg-BG"/>
              </w:rPr>
              <w:tab/>
            </w:r>
            <w:r w:rsidRPr="009072DA">
              <w:rPr>
                <w:b/>
                <w:sz w:val="18"/>
                <w:lang w:val="bg-BG"/>
              </w:rPr>
              <w:t>Визуална проверка на регулираните характеристики и параметрите на двигателя</w:t>
            </w:r>
          </w:p>
        </w:tc>
      </w:tr>
      <w:tr w:rsidR="009C13A9" w:rsidRPr="009072D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9072DA" w:rsidRDefault="009C13A9" w:rsidP="009C13A9">
            <w:pPr>
              <w:overflowPunct w:val="0"/>
              <w:adjustRightInd w:val="0"/>
              <w:spacing w:before="20" w:after="20"/>
              <w:ind w:right="57"/>
              <w:jc w:val="center"/>
              <w:textAlignment w:val="baseline"/>
              <w:rPr>
                <w:rFonts w:cs="Arial"/>
                <w:sz w:val="16"/>
                <w:szCs w:val="18"/>
                <w:lang w:val="bg-BG"/>
              </w:rPr>
            </w:pPr>
          </w:p>
        </w:tc>
        <w:tc>
          <w:tcPr>
            <w:tcW w:w="3543" w:type="dxa"/>
            <w:gridSpan w:val="11"/>
            <w:tcBorders>
              <w:top w:val="single" w:sz="4" w:space="0" w:color="auto"/>
              <w:left w:val="nil"/>
              <w:bottom w:val="single" w:sz="4" w:space="0" w:color="auto"/>
              <w:right w:val="single" w:sz="4" w:space="0" w:color="auto"/>
            </w:tcBorders>
            <w:vAlign w:val="center"/>
          </w:tcPr>
          <w:p w:rsidR="009C13A9" w:rsidRPr="009072DA" w:rsidRDefault="009C13A9" w:rsidP="009C13A9">
            <w:pPr>
              <w:overflowPunct w:val="0"/>
              <w:adjustRightInd w:val="0"/>
              <w:spacing w:before="20" w:after="20"/>
              <w:ind w:right="57"/>
              <w:jc w:val="center"/>
              <w:textAlignment w:val="baseline"/>
              <w:rPr>
                <w:rFonts w:cs="Arial"/>
                <w:bCs/>
                <w:sz w:val="16"/>
                <w:szCs w:val="18"/>
                <w:lang w:val="bg-BG"/>
              </w:rPr>
            </w:pPr>
            <w:r w:rsidRPr="009072DA">
              <w:rPr>
                <w:sz w:val="16"/>
                <w:lang w:val="bg-BG"/>
              </w:rPr>
              <w:t>Параметър</w:t>
            </w:r>
          </w:p>
        </w:tc>
        <w:tc>
          <w:tcPr>
            <w:tcW w:w="3119" w:type="dxa"/>
            <w:gridSpan w:val="11"/>
            <w:tcBorders>
              <w:top w:val="single" w:sz="4" w:space="0" w:color="auto"/>
              <w:left w:val="single" w:sz="4" w:space="0" w:color="auto"/>
              <w:bottom w:val="single" w:sz="4" w:space="0" w:color="auto"/>
              <w:right w:val="single" w:sz="4" w:space="0" w:color="auto"/>
            </w:tcBorders>
            <w:vAlign w:val="center"/>
          </w:tcPr>
          <w:p w:rsidR="009C13A9" w:rsidRPr="009072DA" w:rsidRDefault="009C13A9" w:rsidP="009C13A9">
            <w:pPr>
              <w:overflowPunct w:val="0"/>
              <w:adjustRightInd w:val="0"/>
              <w:spacing w:before="20" w:after="20"/>
              <w:ind w:right="57"/>
              <w:jc w:val="center"/>
              <w:textAlignment w:val="baseline"/>
              <w:rPr>
                <w:rFonts w:cs="Arial"/>
                <w:bCs/>
                <w:sz w:val="16"/>
                <w:szCs w:val="18"/>
                <w:lang w:val="bg-BG"/>
              </w:rPr>
            </w:pPr>
            <w:r w:rsidRPr="009072DA">
              <w:rPr>
                <w:sz w:val="16"/>
                <w:lang w:val="bg-BG"/>
              </w:rPr>
              <w:t>Регистрирана стойност</w:t>
            </w:r>
          </w:p>
        </w:tc>
        <w:tc>
          <w:tcPr>
            <w:tcW w:w="2127" w:type="dxa"/>
            <w:gridSpan w:val="8"/>
            <w:tcBorders>
              <w:top w:val="single" w:sz="4" w:space="0" w:color="auto"/>
              <w:left w:val="single" w:sz="4" w:space="0" w:color="auto"/>
              <w:bottom w:val="single" w:sz="4" w:space="0" w:color="auto"/>
              <w:right w:val="single" w:sz="4" w:space="0" w:color="auto"/>
            </w:tcBorders>
            <w:vAlign w:val="center"/>
          </w:tcPr>
          <w:p w:rsidR="009C13A9" w:rsidRPr="009072DA" w:rsidRDefault="009C13A9" w:rsidP="009C13A9">
            <w:pPr>
              <w:overflowPunct w:val="0"/>
              <w:adjustRightInd w:val="0"/>
              <w:spacing w:before="20" w:after="20"/>
              <w:ind w:right="57"/>
              <w:jc w:val="center"/>
              <w:textAlignment w:val="baseline"/>
              <w:rPr>
                <w:rFonts w:cs="Arial"/>
                <w:bCs/>
                <w:sz w:val="16"/>
                <w:szCs w:val="18"/>
                <w:lang w:val="bg-BG"/>
              </w:rPr>
            </w:pPr>
            <w:r w:rsidRPr="009072DA">
              <w:rPr>
                <w:sz w:val="16"/>
                <w:lang w:val="bg-BG"/>
              </w:rPr>
              <w:t>Съответствие</w:t>
            </w:r>
            <w:r w:rsidRPr="009072DA">
              <w:rPr>
                <w:sz w:val="16"/>
                <w:vertAlign w:val="superscript"/>
                <w:lang w:val="bg-BG"/>
              </w:rPr>
              <w:t>1)</w:t>
            </w:r>
          </w:p>
        </w:tc>
      </w:tr>
      <w:tr w:rsidR="009C13A9" w:rsidRPr="009072D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9072DA" w:rsidRDefault="009C13A9" w:rsidP="009C13A9">
            <w:pPr>
              <w:overflowPunct w:val="0"/>
              <w:adjustRightInd w:val="0"/>
              <w:spacing w:before="20" w:after="20"/>
              <w:ind w:right="57"/>
              <w:jc w:val="center"/>
              <w:textAlignment w:val="baseline"/>
              <w:rPr>
                <w:rFonts w:cs="Arial"/>
                <w:sz w:val="16"/>
                <w:szCs w:val="16"/>
                <w:lang w:val="bg-BG"/>
              </w:rPr>
            </w:pPr>
          </w:p>
        </w:tc>
        <w:tc>
          <w:tcPr>
            <w:tcW w:w="3543" w:type="dxa"/>
            <w:gridSpan w:val="11"/>
            <w:tcBorders>
              <w:top w:val="single" w:sz="4" w:space="0" w:color="auto"/>
              <w:left w:val="nil"/>
              <w:bottom w:val="single" w:sz="4" w:space="0" w:color="auto"/>
              <w:right w:val="single" w:sz="4" w:space="0" w:color="auto"/>
            </w:tcBorders>
            <w:vAlign w:val="center"/>
          </w:tcPr>
          <w:p w:rsidR="009C13A9" w:rsidRPr="009072DA" w:rsidRDefault="009C13A9" w:rsidP="009C13A9">
            <w:pPr>
              <w:overflowPunct w:val="0"/>
              <w:adjustRightInd w:val="0"/>
              <w:spacing w:before="20" w:after="20"/>
              <w:ind w:right="57"/>
              <w:jc w:val="center"/>
              <w:textAlignment w:val="baseline"/>
              <w:rPr>
                <w:rFonts w:cs="Arial"/>
                <w:sz w:val="16"/>
                <w:szCs w:val="16"/>
                <w:lang w:val="bg-BG"/>
              </w:rPr>
            </w:pPr>
            <w:r w:rsidRPr="009072DA">
              <w:rPr>
                <w:sz w:val="16"/>
                <w:lang w:val="bg-BG"/>
              </w:rPr>
              <w:t>Момент на впръскване, период на впръскване</w:t>
            </w:r>
          </w:p>
        </w:tc>
        <w:tc>
          <w:tcPr>
            <w:tcW w:w="3119" w:type="dxa"/>
            <w:gridSpan w:val="11"/>
            <w:tcBorders>
              <w:top w:val="single" w:sz="4" w:space="0" w:color="auto"/>
              <w:left w:val="single" w:sz="4" w:space="0" w:color="auto"/>
              <w:bottom w:val="single" w:sz="4" w:space="0" w:color="auto"/>
              <w:right w:val="single" w:sz="4" w:space="0" w:color="auto"/>
            </w:tcBorders>
            <w:vAlign w:val="center"/>
          </w:tcPr>
          <w:p w:rsidR="009C13A9" w:rsidRPr="009072DA" w:rsidRDefault="009C13A9" w:rsidP="009C13A9">
            <w:pPr>
              <w:overflowPunct w:val="0"/>
              <w:adjustRightInd w:val="0"/>
              <w:spacing w:before="20" w:after="20"/>
              <w:ind w:right="57"/>
              <w:jc w:val="center"/>
              <w:textAlignment w:val="baseline"/>
              <w:rPr>
                <w:rFonts w:cs="Arial"/>
                <w:sz w:val="16"/>
                <w:szCs w:val="16"/>
                <w:lang w:val="bg-BG"/>
              </w:rPr>
            </w:pPr>
          </w:p>
        </w:tc>
        <w:tc>
          <w:tcPr>
            <w:tcW w:w="1063" w:type="dxa"/>
            <w:gridSpan w:val="4"/>
            <w:tcBorders>
              <w:top w:val="single" w:sz="4" w:space="0" w:color="auto"/>
              <w:left w:val="single" w:sz="4" w:space="0" w:color="auto"/>
              <w:bottom w:val="single" w:sz="4" w:space="0" w:color="auto"/>
              <w:right w:val="single" w:sz="4" w:space="0" w:color="auto"/>
            </w:tcBorders>
            <w:vAlign w:val="center"/>
          </w:tcPr>
          <w:p w:rsidR="009C13A9" w:rsidRPr="009072DA" w:rsidRDefault="00475311" w:rsidP="009C13A9">
            <w:pPr>
              <w:overflowPunct w:val="0"/>
              <w:adjustRightInd w:val="0"/>
              <w:spacing w:before="20" w:after="20"/>
              <w:ind w:right="57"/>
              <w:jc w:val="center"/>
              <w:textAlignment w:val="baseline"/>
              <w:rPr>
                <w:rFonts w:cs="Arial"/>
                <w:sz w:val="16"/>
                <w:szCs w:val="16"/>
                <w:lang w:val="bg-BG"/>
              </w:rPr>
            </w:pPr>
            <w:r w:rsidRPr="009072DA">
              <w:rPr>
                <w:rFonts w:cs="Arial"/>
                <w:sz w:val="16"/>
                <w:szCs w:val="16"/>
                <w:lang w:val="bg-BG"/>
              </w:rPr>
              <w:fldChar w:fldCharType="begin">
                <w:ffData>
                  <w:name w:val=""/>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Да</w:t>
            </w:r>
          </w:p>
        </w:tc>
        <w:tc>
          <w:tcPr>
            <w:tcW w:w="1064" w:type="dxa"/>
            <w:gridSpan w:val="4"/>
            <w:tcBorders>
              <w:top w:val="single" w:sz="4" w:space="0" w:color="auto"/>
              <w:left w:val="single" w:sz="4" w:space="0" w:color="auto"/>
              <w:bottom w:val="single" w:sz="4" w:space="0" w:color="auto"/>
              <w:right w:val="single" w:sz="4" w:space="0" w:color="auto"/>
            </w:tcBorders>
            <w:vAlign w:val="center"/>
          </w:tcPr>
          <w:p w:rsidR="009C13A9" w:rsidRPr="009072DA" w:rsidRDefault="00475311" w:rsidP="009C13A9">
            <w:pPr>
              <w:overflowPunct w:val="0"/>
              <w:adjustRightInd w:val="0"/>
              <w:spacing w:before="20" w:after="20"/>
              <w:ind w:right="57"/>
              <w:jc w:val="center"/>
              <w:textAlignment w:val="baseline"/>
              <w:rPr>
                <w:rFonts w:cs="Arial"/>
                <w:sz w:val="16"/>
                <w:szCs w:val="16"/>
                <w:lang w:val="bg-BG"/>
              </w:rPr>
            </w:pPr>
            <w:r w:rsidRPr="009072DA">
              <w:rPr>
                <w:rFonts w:cs="Arial"/>
                <w:sz w:val="16"/>
                <w:szCs w:val="16"/>
                <w:lang w:val="bg-BG"/>
              </w:rPr>
              <w:fldChar w:fldCharType="begin">
                <w:ffData>
                  <w:name w:val="Kontrollkästchen20"/>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r w:rsidRPr="009072DA">
              <w:rPr>
                <w:sz w:val="16"/>
                <w:lang w:val="bg-BG"/>
              </w:rPr>
              <w:t xml:space="preserve"> Не</w:t>
            </w:r>
          </w:p>
        </w:tc>
      </w:tr>
      <w:tr w:rsidR="009C13A9" w:rsidRPr="009072D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60"/>
          <w:jc w:val="center"/>
        </w:trPr>
        <w:tc>
          <w:tcPr>
            <w:tcW w:w="9215" w:type="dxa"/>
            <w:gridSpan w:val="32"/>
            <w:tcBorders>
              <w:top w:val="nil"/>
              <w:left w:val="nil"/>
              <w:bottom w:val="nil"/>
              <w:right w:val="nil"/>
            </w:tcBorders>
            <w:vAlign w:val="center"/>
          </w:tcPr>
          <w:p w:rsidR="009C13A9" w:rsidRPr="009072DA" w:rsidRDefault="009C13A9" w:rsidP="009C13A9">
            <w:pPr>
              <w:overflowPunct w:val="0"/>
              <w:adjustRightInd w:val="0"/>
              <w:ind w:right="57"/>
              <w:textAlignment w:val="baseline"/>
              <w:rPr>
                <w:rFonts w:cs="Arial"/>
                <w:sz w:val="18"/>
                <w:szCs w:val="18"/>
                <w:lang w:val="bg-BG"/>
              </w:rPr>
            </w:pPr>
          </w:p>
        </w:tc>
      </w:tr>
      <w:tr w:rsidR="009C13A9" w:rsidRPr="009072D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9215" w:type="dxa"/>
            <w:gridSpan w:val="32"/>
            <w:tcBorders>
              <w:top w:val="nil"/>
              <w:left w:val="nil"/>
              <w:bottom w:val="nil"/>
              <w:right w:val="nil"/>
            </w:tcBorders>
            <w:vAlign w:val="center"/>
          </w:tcPr>
          <w:p w:rsidR="009C13A9" w:rsidRPr="009072DA" w:rsidRDefault="009C13A9" w:rsidP="009C13A9">
            <w:pPr>
              <w:spacing w:before="40" w:after="40"/>
              <w:ind w:left="286" w:right="57" w:hanging="286"/>
              <w:outlineLvl w:val="4"/>
              <w:rPr>
                <w:rFonts w:cs="Arial"/>
                <w:b/>
                <w:bCs/>
                <w:snapToGrid w:val="0"/>
                <w:sz w:val="18"/>
                <w:szCs w:val="18"/>
                <w:lang w:val="bg-BG"/>
              </w:rPr>
            </w:pPr>
            <w:r w:rsidRPr="009072DA">
              <w:rPr>
                <w:b/>
                <w:snapToGrid w:val="0"/>
                <w:sz w:val="18"/>
                <w:lang w:val="bg-BG"/>
              </w:rPr>
              <w:t>В)</w:t>
            </w:r>
            <w:r w:rsidRPr="009072DA">
              <w:rPr>
                <w:lang w:val="bg-BG"/>
              </w:rPr>
              <w:tab/>
            </w:r>
            <w:r w:rsidRPr="009072DA">
              <w:rPr>
                <w:b/>
                <w:snapToGrid w:val="0"/>
                <w:sz w:val="18"/>
                <w:lang w:val="bg-BG"/>
              </w:rPr>
              <w:t>Проверка на системата за всмукване на въздух и отвеждане на отработилите газове</w:t>
            </w:r>
          </w:p>
        </w:tc>
      </w:tr>
      <w:tr w:rsidR="009C13A9" w:rsidRPr="008D2440"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9072DA" w:rsidRDefault="009C13A9" w:rsidP="009C13A9">
            <w:pPr>
              <w:overflowPunct w:val="0"/>
              <w:adjustRightInd w:val="0"/>
              <w:ind w:right="57"/>
              <w:jc w:val="center"/>
              <w:textAlignment w:val="baseline"/>
              <w:rPr>
                <w:rFonts w:cs="Arial"/>
                <w:sz w:val="18"/>
                <w:szCs w:val="18"/>
                <w:lang w:val="bg-BG"/>
              </w:rPr>
            </w:pPr>
          </w:p>
        </w:tc>
        <w:tc>
          <w:tcPr>
            <w:tcW w:w="567" w:type="dxa"/>
            <w:tcBorders>
              <w:top w:val="single" w:sz="4" w:space="0" w:color="auto"/>
              <w:left w:val="nil"/>
              <w:bottom w:val="single" w:sz="4" w:space="0" w:color="auto"/>
              <w:right w:val="single" w:sz="4" w:space="0" w:color="auto"/>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25"/>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p>
        </w:tc>
        <w:tc>
          <w:tcPr>
            <w:tcW w:w="8222" w:type="dxa"/>
            <w:gridSpan w:val="29"/>
            <w:tcBorders>
              <w:top w:val="single" w:sz="4" w:space="0" w:color="auto"/>
              <w:left w:val="single" w:sz="4" w:space="0" w:color="auto"/>
              <w:bottom w:val="single" w:sz="4" w:space="0" w:color="auto"/>
              <w:right w:val="single" w:sz="4" w:space="0" w:color="auto"/>
            </w:tcBorders>
            <w:vAlign w:val="center"/>
          </w:tcPr>
          <w:p w:rsidR="009C13A9" w:rsidRPr="009072DA" w:rsidRDefault="009C13A9" w:rsidP="009C13A9">
            <w:pPr>
              <w:overflowPunct w:val="0"/>
              <w:adjustRightInd w:val="0"/>
              <w:ind w:right="113"/>
              <w:textAlignment w:val="baseline"/>
              <w:rPr>
                <w:rFonts w:cs="Arial"/>
                <w:sz w:val="16"/>
                <w:szCs w:val="16"/>
                <w:lang w:val="bg-BG"/>
              </w:rPr>
            </w:pPr>
            <w:r w:rsidRPr="009072DA">
              <w:rPr>
                <w:sz w:val="16"/>
                <w:lang w:val="bg-BG"/>
              </w:rPr>
              <w:t>Направени бяха измервания, за да се провери съответствието с разрешените стойности</w:t>
            </w:r>
          </w:p>
          <w:p w:rsidR="009C13A9" w:rsidRPr="009072DA" w:rsidRDefault="009C13A9" w:rsidP="009C13A9">
            <w:pPr>
              <w:overflowPunct w:val="0"/>
              <w:adjustRightInd w:val="0"/>
              <w:ind w:right="113"/>
              <w:textAlignment w:val="baseline"/>
              <w:rPr>
                <w:rFonts w:cs="Arial"/>
                <w:sz w:val="16"/>
                <w:szCs w:val="16"/>
                <w:lang w:val="bg-BG"/>
              </w:rPr>
            </w:pPr>
            <w:r w:rsidRPr="009072DA">
              <w:rPr>
                <w:sz w:val="16"/>
                <w:lang w:val="bg-BG"/>
              </w:rPr>
              <w:t>Всмукване на въздух под налягане:</w:t>
            </w:r>
            <w:r w:rsidRPr="009072DA">
              <w:rPr>
                <w:lang w:val="bg-BG"/>
              </w:rPr>
              <w:tab/>
            </w:r>
            <w:r w:rsidRPr="009072DA">
              <w:rPr>
                <w:sz w:val="16"/>
                <w:lang w:val="bg-BG"/>
              </w:rPr>
              <w:t>... kPa при номинални обороти и пълно натоварване</w:t>
            </w:r>
          </w:p>
          <w:p w:rsidR="009C13A9" w:rsidRPr="009072DA" w:rsidRDefault="009C13A9" w:rsidP="009C13A9">
            <w:pPr>
              <w:ind w:right="57"/>
              <w:rPr>
                <w:rFonts w:cs="Arial"/>
                <w:snapToGrid w:val="0"/>
                <w:sz w:val="16"/>
                <w:szCs w:val="16"/>
                <w:lang w:val="bg-BG"/>
              </w:rPr>
            </w:pPr>
            <w:r w:rsidRPr="009072DA">
              <w:rPr>
                <w:snapToGrid w:val="0"/>
                <w:sz w:val="16"/>
                <w:lang w:val="bg-BG"/>
              </w:rPr>
              <w:t>Обратно налягане на отработилите газове:</w:t>
            </w:r>
            <w:r w:rsidRPr="009072DA">
              <w:rPr>
                <w:lang w:val="bg-BG"/>
              </w:rPr>
              <w:tab/>
            </w:r>
            <w:r w:rsidRPr="009072DA">
              <w:rPr>
                <w:snapToGrid w:val="0"/>
                <w:sz w:val="16"/>
                <w:lang w:val="bg-BG"/>
              </w:rPr>
              <w:t xml:space="preserve"> ... kPa при номинални обороти и пълно натоварване</w:t>
            </w:r>
          </w:p>
        </w:tc>
      </w:tr>
      <w:tr w:rsidR="009C13A9" w:rsidRPr="008D2440"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9072DA" w:rsidRDefault="009C13A9" w:rsidP="009C13A9">
            <w:pPr>
              <w:overflowPunct w:val="0"/>
              <w:adjustRightInd w:val="0"/>
              <w:ind w:right="57"/>
              <w:jc w:val="center"/>
              <w:textAlignment w:val="baseline"/>
              <w:rPr>
                <w:rFonts w:cs="Arial"/>
                <w:sz w:val="16"/>
                <w:szCs w:val="16"/>
                <w:lang w:val="bg-BG"/>
              </w:rPr>
            </w:pPr>
          </w:p>
        </w:tc>
        <w:tc>
          <w:tcPr>
            <w:tcW w:w="567" w:type="dxa"/>
            <w:tcBorders>
              <w:top w:val="single" w:sz="4" w:space="0" w:color="auto"/>
              <w:left w:val="nil"/>
              <w:bottom w:val="single" w:sz="4" w:space="0" w:color="auto"/>
              <w:right w:val="single" w:sz="4" w:space="0" w:color="auto"/>
            </w:tcBorders>
            <w:vAlign w:val="center"/>
          </w:tcPr>
          <w:p w:rsidR="009C13A9" w:rsidRPr="009072DA" w:rsidRDefault="00475311" w:rsidP="009C13A9">
            <w:pPr>
              <w:overflowPunct w:val="0"/>
              <w:adjustRightInd w:val="0"/>
              <w:ind w:right="57"/>
              <w:jc w:val="center"/>
              <w:textAlignment w:val="baseline"/>
              <w:rPr>
                <w:rFonts w:cs="Arial"/>
                <w:sz w:val="16"/>
                <w:szCs w:val="16"/>
                <w:lang w:val="bg-BG"/>
              </w:rPr>
            </w:pPr>
            <w:r w:rsidRPr="009072DA">
              <w:rPr>
                <w:rFonts w:cs="Arial"/>
                <w:sz w:val="16"/>
                <w:szCs w:val="16"/>
                <w:lang w:val="bg-BG"/>
              </w:rPr>
              <w:fldChar w:fldCharType="begin">
                <w:ffData>
                  <w:name w:val="Kontrollkästchen25"/>
                  <w:enabled/>
                  <w:calcOnExit w:val="0"/>
                  <w:checkBox>
                    <w:sizeAuto/>
                    <w:default w:val="0"/>
                  </w:checkBox>
                </w:ffData>
              </w:fldChar>
            </w:r>
            <w:r w:rsidRPr="009072DA">
              <w:rPr>
                <w:rFonts w:cs="Arial"/>
                <w:sz w:val="16"/>
                <w:szCs w:val="16"/>
                <w:lang w:val="bg-BG"/>
              </w:rPr>
              <w:instrText xml:space="preserve"> FORMCHECKBOX _</w:instrText>
            </w:r>
            <w:r w:rsidR="002B712C">
              <w:rPr>
                <w:rFonts w:cs="Arial"/>
                <w:sz w:val="16"/>
                <w:szCs w:val="16"/>
                <w:lang w:val="bg-BG"/>
              </w:rPr>
            </w:r>
            <w:r w:rsidR="002B712C">
              <w:rPr>
                <w:rFonts w:cs="Arial"/>
                <w:sz w:val="16"/>
                <w:szCs w:val="16"/>
                <w:lang w:val="bg-BG"/>
              </w:rPr>
              <w:fldChar w:fldCharType="separate"/>
            </w:r>
            <w:r w:rsidRPr="009072DA">
              <w:rPr>
                <w:rFonts w:cs="Arial"/>
                <w:sz w:val="16"/>
                <w:szCs w:val="16"/>
                <w:lang w:val="bg-BG"/>
              </w:rPr>
              <w:fldChar w:fldCharType="end"/>
            </w:r>
          </w:p>
        </w:tc>
        <w:tc>
          <w:tcPr>
            <w:tcW w:w="8222" w:type="dxa"/>
            <w:gridSpan w:val="29"/>
            <w:tcBorders>
              <w:top w:val="single" w:sz="4" w:space="0" w:color="auto"/>
              <w:left w:val="single" w:sz="4" w:space="0" w:color="auto"/>
              <w:bottom w:val="single" w:sz="4" w:space="0" w:color="auto"/>
              <w:right w:val="single" w:sz="4" w:space="0" w:color="auto"/>
            </w:tcBorders>
            <w:vAlign w:val="center"/>
          </w:tcPr>
          <w:p w:rsidR="009C13A9" w:rsidRPr="009072DA" w:rsidRDefault="009C13A9" w:rsidP="009C13A9">
            <w:pPr>
              <w:ind w:right="57"/>
              <w:rPr>
                <w:rFonts w:cs="Arial"/>
                <w:snapToGrid w:val="0"/>
                <w:sz w:val="16"/>
                <w:szCs w:val="16"/>
                <w:lang w:val="bg-BG"/>
              </w:rPr>
            </w:pPr>
            <w:bookmarkStart w:id="675" w:name="Kontrollkästchen25"/>
            <w:r w:rsidRPr="009072DA">
              <w:rPr>
                <w:snapToGrid w:val="0"/>
                <w:sz w:val="16"/>
                <w:lang w:val="bg-BG"/>
              </w:rPr>
              <w:t>Извършена беше визуална проверка на системата за всмукване на въздух и изпускане на отработили газове. Не бяха установени аномалии, които биха предположили неспазване на разрешените стойности.</w:t>
            </w:r>
            <w:bookmarkEnd w:id="675"/>
          </w:p>
        </w:tc>
      </w:tr>
      <w:tr w:rsidR="009C13A9" w:rsidRPr="008D2440" w:rsidTr="009C13A9">
        <w:tblPrEx>
          <w:jc w:val="center"/>
        </w:tblPrEx>
        <w:trPr>
          <w:cantSplit/>
          <w:trHeight w:hRule="exact" w:val="57"/>
          <w:jc w:val="center"/>
        </w:trPr>
        <w:tc>
          <w:tcPr>
            <w:tcW w:w="9215" w:type="dxa"/>
            <w:gridSpan w:val="32"/>
            <w:vAlign w:val="center"/>
          </w:tcPr>
          <w:p w:rsidR="009C13A9" w:rsidRPr="009072DA" w:rsidRDefault="009C13A9" w:rsidP="009C13A9">
            <w:pPr>
              <w:overflowPunct w:val="0"/>
              <w:adjustRightInd w:val="0"/>
              <w:ind w:right="57"/>
              <w:textAlignment w:val="baseline"/>
              <w:rPr>
                <w:rFonts w:cs="Arial"/>
                <w:b/>
                <w:bCs/>
                <w:sz w:val="16"/>
                <w:szCs w:val="16"/>
                <w:lang w:val="bg-BG"/>
              </w:rPr>
            </w:pPr>
          </w:p>
        </w:tc>
      </w:tr>
      <w:tr w:rsidR="009C13A9" w:rsidRPr="009072DA" w:rsidTr="009C13A9">
        <w:tblPrEx>
          <w:jc w:val="center"/>
        </w:tblPrEx>
        <w:trPr>
          <w:cantSplit/>
          <w:jc w:val="center"/>
        </w:trPr>
        <w:tc>
          <w:tcPr>
            <w:tcW w:w="1985" w:type="dxa"/>
            <w:gridSpan w:val="6"/>
            <w:vAlign w:val="center"/>
          </w:tcPr>
          <w:p w:rsidR="009C13A9" w:rsidRPr="009072DA" w:rsidRDefault="009C13A9" w:rsidP="009635C7">
            <w:pPr>
              <w:overflowPunct w:val="0"/>
              <w:adjustRightInd w:val="0"/>
              <w:ind w:left="286" w:right="57" w:hanging="286"/>
              <w:textAlignment w:val="baseline"/>
              <w:rPr>
                <w:rFonts w:cs="Arial"/>
                <w:sz w:val="18"/>
                <w:szCs w:val="18"/>
                <w:lang w:val="bg-BG"/>
              </w:rPr>
            </w:pPr>
            <w:bookmarkStart w:id="676" w:name="Text28"/>
            <w:r w:rsidRPr="009072DA">
              <w:rPr>
                <w:b/>
                <w:sz w:val="18"/>
                <w:lang w:val="bg-BG"/>
              </w:rPr>
              <w:t>Г)</w:t>
            </w:r>
            <w:r w:rsidRPr="009072DA">
              <w:rPr>
                <w:lang w:val="bg-BG"/>
              </w:rPr>
              <w:tab/>
            </w:r>
            <w:r w:rsidRPr="009072DA">
              <w:rPr>
                <w:b/>
                <w:sz w:val="18"/>
                <w:lang w:val="bg-BG"/>
              </w:rPr>
              <w:t>Забележки:</w:t>
            </w:r>
            <w:bookmarkEnd w:id="676"/>
          </w:p>
        </w:tc>
        <w:tc>
          <w:tcPr>
            <w:tcW w:w="7230" w:type="dxa"/>
            <w:gridSpan w:val="26"/>
            <w:tcBorders>
              <w:bottom w:val="dashed" w:sz="4" w:space="0" w:color="auto"/>
            </w:tcBorders>
            <w:vAlign w:val="center"/>
          </w:tcPr>
          <w:p w:rsidR="009C13A9" w:rsidRPr="009072DA" w:rsidRDefault="009C13A9" w:rsidP="009C13A9">
            <w:pPr>
              <w:overflowPunct w:val="0"/>
              <w:adjustRightInd w:val="0"/>
              <w:ind w:right="57"/>
              <w:textAlignment w:val="baseline"/>
              <w:rPr>
                <w:rFonts w:cs="Arial"/>
                <w:sz w:val="18"/>
                <w:szCs w:val="18"/>
                <w:lang w:val="bg-BG"/>
              </w:rPr>
            </w:pPr>
          </w:p>
        </w:tc>
      </w:tr>
      <w:tr w:rsidR="009C13A9" w:rsidRPr="008D2440" w:rsidTr="009C13A9">
        <w:tblPrEx>
          <w:jc w:val="center"/>
        </w:tblPrEx>
        <w:trPr>
          <w:cantSplit/>
          <w:jc w:val="center"/>
        </w:trPr>
        <w:tc>
          <w:tcPr>
            <w:tcW w:w="1985" w:type="dxa"/>
            <w:gridSpan w:val="6"/>
            <w:vAlign w:val="center"/>
          </w:tcPr>
          <w:p w:rsidR="009C13A9" w:rsidRPr="009072DA" w:rsidRDefault="009C13A9" w:rsidP="009C13A9">
            <w:pPr>
              <w:overflowPunct w:val="0"/>
              <w:adjustRightInd w:val="0"/>
              <w:ind w:right="57"/>
              <w:textAlignment w:val="baseline"/>
              <w:rPr>
                <w:rFonts w:cs="Arial"/>
                <w:b/>
                <w:bCs/>
                <w:szCs w:val="20"/>
                <w:lang w:val="bg-BG"/>
              </w:rPr>
            </w:pPr>
          </w:p>
        </w:tc>
        <w:tc>
          <w:tcPr>
            <w:tcW w:w="7230" w:type="dxa"/>
            <w:gridSpan w:val="26"/>
            <w:tcBorders>
              <w:top w:val="dashed" w:sz="4" w:space="0" w:color="auto"/>
              <w:bottom w:val="nil"/>
            </w:tcBorders>
            <w:vAlign w:val="center"/>
          </w:tcPr>
          <w:p w:rsidR="009C13A9" w:rsidRPr="009072DA" w:rsidRDefault="009C13A9" w:rsidP="009C13A9">
            <w:pPr>
              <w:overflowPunct w:val="0"/>
              <w:adjustRightInd w:val="0"/>
              <w:ind w:right="57"/>
              <w:textAlignment w:val="baseline"/>
              <w:rPr>
                <w:rFonts w:cs="Arial"/>
                <w:sz w:val="12"/>
                <w:szCs w:val="12"/>
                <w:lang w:val="bg-BG"/>
              </w:rPr>
            </w:pPr>
            <w:r w:rsidRPr="009072DA">
              <w:rPr>
                <w:sz w:val="12"/>
                <w:lang w:val="bg-BG"/>
              </w:rPr>
              <w:t>(Бяха констатирани следните отклоняващи се настройки, модификации или изменения в монтирания двигател.)</w:t>
            </w:r>
          </w:p>
        </w:tc>
      </w:tr>
      <w:tr w:rsidR="009C13A9" w:rsidRPr="008D2440" w:rsidTr="009C13A9">
        <w:tblPrEx>
          <w:jc w:val="center"/>
        </w:tblPrEx>
        <w:trPr>
          <w:cantSplit/>
          <w:jc w:val="center"/>
        </w:trPr>
        <w:tc>
          <w:tcPr>
            <w:tcW w:w="1985" w:type="dxa"/>
            <w:gridSpan w:val="6"/>
            <w:vAlign w:val="center"/>
          </w:tcPr>
          <w:p w:rsidR="009C13A9" w:rsidRPr="009072DA" w:rsidRDefault="009C13A9" w:rsidP="009C13A9">
            <w:pPr>
              <w:overflowPunct w:val="0"/>
              <w:adjustRightInd w:val="0"/>
              <w:ind w:right="57"/>
              <w:textAlignment w:val="baseline"/>
              <w:rPr>
                <w:rFonts w:cs="Arial"/>
                <w:sz w:val="18"/>
                <w:szCs w:val="18"/>
                <w:lang w:val="bg-BG"/>
              </w:rPr>
            </w:pPr>
          </w:p>
        </w:tc>
        <w:tc>
          <w:tcPr>
            <w:tcW w:w="7230" w:type="dxa"/>
            <w:gridSpan w:val="26"/>
            <w:tcBorders>
              <w:bottom w:val="dashed" w:sz="4" w:space="0" w:color="auto"/>
            </w:tcBorders>
            <w:vAlign w:val="center"/>
          </w:tcPr>
          <w:p w:rsidR="009C13A9" w:rsidRPr="009072DA" w:rsidRDefault="009C13A9" w:rsidP="009C13A9">
            <w:pPr>
              <w:overflowPunct w:val="0"/>
              <w:adjustRightInd w:val="0"/>
              <w:ind w:right="57"/>
              <w:textAlignment w:val="baseline"/>
              <w:rPr>
                <w:rFonts w:cs="Arial"/>
                <w:sz w:val="18"/>
                <w:szCs w:val="18"/>
                <w:lang w:val="bg-BG"/>
              </w:rPr>
            </w:pPr>
          </w:p>
        </w:tc>
      </w:tr>
      <w:tr w:rsidR="009C13A9" w:rsidRPr="008D2440" w:rsidTr="009C13A9">
        <w:tblPrEx>
          <w:jc w:val="center"/>
        </w:tblPrEx>
        <w:trPr>
          <w:cantSplit/>
          <w:jc w:val="center"/>
        </w:trPr>
        <w:tc>
          <w:tcPr>
            <w:tcW w:w="1985" w:type="dxa"/>
            <w:gridSpan w:val="6"/>
            <w:vAlign w:val="center"/>
          </w:tcPr>
          <w:p w:rsidR="009C13A9" w:rsidRPr="009072DA" w:rsidRDefault="009C13A9" w:rsidP="009C13A9">
            <w:pPr>
              <w:overflowPunct w:val="0"/>
              <w:adjustRightInd w:val="0"/>
              <w:ind w:right="57"/>
              <w:textAlignment w:val="baseline"/>
              <w:rPr>
                <w:rFonts w:cs="Arial"/>
                <w:sz w:val="18"/>
                <w:szCs w:val="18"/>
                <w:lang w:val="bg-BG"/>
              </w:rPr>
            </w:pPr>
          </w:p>
        </w:tc>
        <w:tc>
          <w:tcPr>
            <w:tcW w:w="7230" w:type="dxa"/>
            <w:gridSpan w:val="26"/>
            <w:tcBorders>
              <w:top w:val="dashed" w:sz="4" w:space="0" w:color="auto"/>
              <w:bottom w:val="dashed" w:sz="4" w:space="0" w:color="auto"/>
            </w:tcBorders>
            <w:vAlign w:val="center"/>
          </w:tcPr>
          <w:p w:rsidR="009C13A9" w:rsidRPr="009072DA" w:rsidRDefault="009C13A9" w:rsidP="009C13A9">
            <w:pPr>
              <w:overflowPunct w:val="0"/>
              <w:adjustRightInd w:val="0"/>
              <w:ind w:right="57"/>
              <w:textAlignment w:val="baseline"/>
              <w:rPr>
                <w:rFonts w:cs="Arial"/>
                <w:sz w:val="18"/>
                <w:szCs w:val="18"/>
                <w:lang w:val="bg-BG"/>
              </w:rPr>
            </w:pPr>
          </w:p>
        </w:tc>
      </w:tr>
      <w:tr w:rsidR="009C13A9" w:rsidRPr="008D2440" w:rsidTr="009C13A9">
        <w:tblPrEx>
          <w:jc w:val="center"/>
        </w:tblPrEx>
        <w:trPr>
          <w:cantSplit/>
          <w:jc w:val="center"/>
        </w:trPr>
        <w:tc>
          <w:tcPr>
            <w:tcW w:w="1985" w:type="dxa"/>
            <w:gridSpan w:val="6"/>
            <w:vAlign w:val="center"/>
          </w:tcPr>
          <w:p w:rsidR="009C13A9" w:rsidRPr="009072DA" w:rsidRDefault="009C13A9" w:rsidP="009C13A9">
            <w:pPr>
              <w:overflowPunct w:val="0"/>
              <w:adjustRightInd w:val="0"/>
              <w:ind w:right="57"/>
              <w:textAlignment w:val="baseline"/>
              <w:rPr>
                <w:rFonts w:cs="Arial"/>
                <w:sz w:val="18"/>
                <w:szCs w:val="18"/>
                <w:lang w:val="bg-BG"/>
              </w:rPr>
            </w:pPr>
          </w:p>
        </w:tc>
        <w:tc>
          <w:tcPr>
            <w:tcW w:w="7230" w:type="dxa"/>
            <w:gridSpan w:val="26"/>
            <w:tcBorders>
              <w:top w:val="dashed" w:sz="4" w:space="0" w:color="auto"/>
              <w:bottom w:val="dashed" w:sz="4" w:space="0" w:color="auto"/>
            </w:tcBorders>
            <w:vAlign w:val="center"/>
          </w:tcPr>
          <w:p w:rsidR="009C13A9" w:rsidRPr="009072DA" w:rsidRDefault="009C13A9" w:rsidP="009C13A9">
            <w:pPr>
              <w:overflowPunct w:val="0"/>
              <w:adjustRightInd w:val="0"/>
              <w:ind w:right="57"/>
              <w:textAlignment w:val="baseline"/>
              <w:rPr>
                <w:rFonts w:cs="Arial"/>
                <w:sz w:val="18"/>
                <w:szCs w:val="18"/>
                <w:lang w:val="bg-BG"/>
              </w:rPr>
            </w:pPr>
          </w:p>
        </w:tc>
      </w:tr>
      <w:tr w:rsidR="009C13A9" w:rsidRPr="008D2440" w:rsidTr="009C13A9">
        <w:tblPrEx>
          <w:jc w:val="center"/>
        </w:tblPrEx>
        <w:trPr>
          <w:cantSplit/>
          <w:trHeight w:hRule="exact" w:val="160"/>
          <w:jc w:val="center"/>
        </w:trPr>
        <w:tc>
          <w:tcPr>
            <w:tcW w:w="9215" w:type="dxa"/>
            <w:gridSpan w:val="32"/>
            <w:vAlign w:val="center"/>
          </w:tcPr>
          <w:p w:rsidR="009C13A9" w:rsidRPr="009072DA" w:rsidRDefault="009C13A9" w:rsidP="009C13A9">
            <w:pPr>
              <w:overflowPunct w:val="0"/>
              <w:adjustRightInd w:val="0"/>
              <w:ind w:right="57"/>
              <w:textAlignment w:val="baseline"/>
              <w:rPr>
                <w:rFonts w:cs="Arial"/>
                <w:szCs w:val="20"/>
                <w:lang w:val="bg-BG"/>
              </w:rPr>
            </w:pPr>
          </w:p>
        </w:tc>
      </w:tr>
      <w:tr w:rsidR="009C13A9" w:rsidRPr="009072DA" w:rsidTr="009C13A9">
        <w:tblPrEx>
          <w:jc w:val="center"/>
        </w:tblPrEx>
        <w:trPr>
          <w:cantSplit/>
          <w:jc w:val="center"/>
        </w:trPr>
        <w:tc>
          <w:tcPr>
            <w:tcW w:w="2552" w:type="dxa"/>
            <w:gridSpan w:val="7"/>
            <w:vAlign w:val="center"/>
          </w:tcPr>
          <w:p w:rsidR="009C13A9" w:rsidRPr="009072DA" w:rsidRDefault="009C13A9" w:rsidP="009C13A9">
            <w:pPr>
              <w:overflowPunct w:val="0"/>
              <w:adjustRightInd w:val="0"/>
              <w:ind w:right="57"/>
              <w:textAlignment w:val="baseline"/>
              <w:rPr>
                <w:rFonts w:cs="Arial"/>
                <w:szCs w:val="20"/>
                <w:lang w:val="bg-BG"/>
              </w:rPr>
            </w:pPr>
          </w:p>
        </w:tc>
        <w:tc>
          <w:tcPr>
            <w:tcW w:w="1984" w:type="dxa"/>
            <w:gridSpan w:val="8"/>
            <w:vAlign w:val="center"/>
          </w:tcPr>
          <w:p w:rsidR="009C13A9" w:rsidRPr="009072DA" w:rsidRDefault="009C13A9" w:rsidP="009C13A9">
            <w:pPr>
              <w:tabs>
                <w:tab w:val="center" w:pos="4819"/>
              </w:tabs>
              <w:overflowPunct w:val="0"/>
              <w:adjustRightInd w:val="0"/>
              <w:ind w:right="57"/>
              <w:textAlignment w:val="baseline"/>
              <w:rPr>
                <w:rFonts w:cs="Arial"/>
                <w:sz w:val="16"/>
                <w:szCs w:val="16"/>
                <w:lang w:val="bg-BG"/>
              </w:rPr>
            </w:pPr>
            <w:bookmarkStart w:id="677" w:name="Text30"/>
            <w:r w:rsidRPr="009072DA">
              <w:rPr>
                <w:sz w:val="16"/>
                <w:lang w:val="bg-BG"/>
              </w:rPr>
              <w:t>Име на контрольора:</w:t>
            </w:r>
            <w:bookmarkEnd w:id="677"/>
          </w:p>
        </w:tc>
        <w:tc>
          <w:tcPr>
            <w:tcW w:w="4679" w:type="dxa"/>
            <w:gridSpan w:val="17"/>
            <w:vAlign w:val="center"/>
          </w:tcPr>
          <w:p w:rsidR="009C13A9" w:rsidRPr="009072DA" w:rsidRDefault="009C13A9" w:rsidP="009C13A9">
            <w:pPr>
              <w:overflowPunct w:val="0"/>
              <w:adjustRightInd w:val="0"/>
              <w:ind w:right="57"/>
              <w:textAlignment w:val="baseline"/>
              <w:rPr>
                <w:rFonts w:cs="Arial"/>
                <w:sz w:val="18"/>
                <w:szCs w:val="18"/>
                <w:lang w:val="bg-BG"/>
              </w:rPr>
            </w:pPr>
            <w:r w:rsidRPr="009072DA">
              <w:rPr>
                <w:sz w:val="18"/>
                <w:lang w:val="bg-BG"/>
              </w:rPr>
              <w:t>………………………………………………………………...</w:t>
            </w:r>
          </w:p>
        </w:tc>
      </w:tr>
      <w:tr w:rsidR="009C13A9" w:rsidRPr="009072DA" w:rsidTr="009C13A9">
        <w:tblPrEx>
          <w:jc w:val="center"/>
        </w:tblPrEx>
        <w:trPr>
          <w:cantSplit/>
          <w:trHeight w:hRule="exact" w:val="57"/>
          <w:jc w:val="center"/>
        </w:trPr>
        <w:tc>
          <w:tcPr>
            <w:tcW w:w="9215" w:type="dxa"/>
            <w:gridSpan w:val="32"/>
            <w:vAlign w:val="center"/>
          </w:tcPr>
          <w:p w:rsidR="009C13A9" w:rsidRPr="009072DA" w:rsidRDefault="009C13A9" w:rsidP="009C13A9">
            <w:pPr>
              <w:overflowPunct w:val="0"/>
              <w:adjustRightInd w:val="0"/>
              <w:ind w:right="57"/>
              <w:textAlignment w:val="baseline"/>
              <w:rPr>
                <w:rFonts w:cs="Arial"/>
                <w:sz w:val="16"/>
                <w:szCs w:val="16"/>
                <w:lang w:val="bg-BG"/>
              </w:rPr>
            </w:pPr>
          </w:p>
        </w:tc>
      </w:tr>
      <w:tr w:rsidR="009C13A9" w:rsidRPr="009072DA" w:rsidTr="009C13A9">
        <w:tblPrEx>
          <w:jc w:val="center"/>
        </w:tblPrEx>
        <w:trPr>
          <w:cantSplit/>
          <w:jc w:val="center"/>
        </w:trPr>
        <w:tc>
          <w:tcPr>
            <w:tcW w:w="2552" w:type="dxa"/>
            <w:gridSpan w:val="7"/>
            <w:vAlign w:val="center"/>
          </w:tcPr>
          <w:p w:rsidR="009C13A9" w:rsidRPr="009072DA" w:rsidRDefault="009C13A9" w:rsidP="009C13A9">
            <w:pPr>
              <w:overflowPunct w:val="0"/>
              <w:adjustRightInd w:val="0"/>
              <w:ind w:right="57"/>
              <w:textAlignment w:val="baseline"/>
              <w:rPr>
                <w:rFonts w:cs="Arial"/>
                <w:szCs w:val="20"/>
                <w:lang w:val="bg-BG"/>
              </w:rPr>
            </w:pPr>
          </w:p>
        </w:tc>
        <w:tc>
          <w:tcPr>
            <w:tcW w:w="1984" w:type="dxa"/>
            <w:gridSpan w:val="8"/>
            <w:vAlign w:val="center"/>
          </w:tcPr>
          <w:p w:rsidR="009C13A9" w:rsidRPr="009072DA" w:rsidRDefault="009C13A9" w:rsidP="009C13A9">
            <w:pPr>
              <w:overflowPunct w:val="0"/>
              <w:adjustRightInd w:val="0"/>
              <w:ind w:right="57"/>
              <w:textAlignment w:val="baseline"/>
              <w:rPr>
                <w:rFonts w:cs="Arial"/>
                <w:sz w:val="16"/>
                <w:szCs w:val="16"/>
                <w:lang w:val="bg-BG"/>
              </w:rPr>
            </w:pPr>
            <w:bookmarkStart w:id="678" w:name="Text31"/>
            <w:r w:rsidRPr="009072DA">
              <w:rPr>
                <w:sz w:val="16"/>
                <w:lang w:val="bg-BG"/>
              </w:rPr>
              <w:t>Място и дата:</w:t>
            </w:r>
            <w:bookmarkEnd w:id="678"/>
          </w:p>
        </w:tc>
        <w:tc>
          <w:tcPr>
            <w:tcW w:w="4679" w:type="dxa"/>
            <w:gridSpan w:val="17"/>
            <w:vAlign w:val="center"/>
          </w:tcPr>
          <w:p w:rsidR="009C13A9" w:rsidRPr="009072DA" w:rsidRDefault="009C13A9" w:rsidP="009C13A9">
            <w:pPr>
              <w:overflowPunct w:val="0"/>
              <w:adjustRightInd w:val="0"/>
              <w:ind w:right="57"/>
              <w:textAlignment w:val="baseline"/>
              <w:rPr>
                <w:rFonts w:cs="Arial"/>
                <w:szCs w:val="20"/>
                <w:lang w:val="bg-BG"/>
              </w:rPr>
            </w:pPr>
            <w:r w:rsidRPr="009072DA">
              <w:rPr>
                <w:lang w:val="bg-BG"/>
              </w:rPr>
              <w:t>……………………………….</w:t>
            </w:r>
          </w:p>
        </w:tc>
      </w:tr>
      <w:tr w:rsidR="009C13A9" w:rsidRPr="009072DA" w:rsidTr="009C13A9">
        <w:tblPrEx>
          <w:jc w:val="center"/>
        </w:tblPrEx>
        <w:trPr>
          <w:cantSplit/>
          <w:trHeight w:hRule="exact" w:val="57"/>
          <w:jc w:val="center"/>
        </w:trPr>
        <w:tc>
          <w:tcPr>
            <w:tcW w:w="9215" w:type="dxa"/>
            <w:gridSpan w:val="32"/>
            <w:vAlign w:val="center"/>
          </w:tcPr>
          <w:p w:rsidR="009C13A9" w:rsidRPr="009072DA" w:rsidRDefault="009C13A9" w:rsidP="009C13A9">
            <w:pPr>
              <w:overflowPunct w:val="0"/>
              <w:adjustRightInd w:val="0"/>
              <w:ind w:right="57"/>
              <w:textAlignment w:val="baseline"/>
              <w:rPr>
                <w:rFonts w:cs="Arial"/>
                <w:sz w:val="16"/>
                <w:szCs w:val="16"/>
                <w:lang w:val="bg-BG"/>
              </w:rPr>
            </w:pPr>
          </w:p>
        </w:tc>
      </w:tr>
      <w:tr w:rsidR="009C13A9" w:rsidRPr="009072DA" w:rsidTr="009C13A9">
        <w:tblPrEx>
          <w:jc w:val="center"/>
        </w:tblPrEx>
        <w:trPr>
          <w:cantSplit/>
          <w:jc w:val="center"/>
        </w:trPr>
        <w:tc>
          <w:tcPr>
            <w:tcW w:w="2552" w:type="dxa"/>
            <w:gridSpan w:val="7"/>
            <w:vAlign w:val="center"/>
          </w:tcPr>
          <w:p w:rsidR="009C13A9" w:rsidRPr="009072DA" w:rsidRDefault="009C13A9" w:rsidP="009C13A9">
            <w:pPr>
              <w:overflowPunct w:val="0"/>
              <w:adjustRightInd w:val="0"/>
              <w:ind w:right="57"/>
              <w:textAlignment w:val="baseline"/>
              <w:rPr>
                <w:rFonts w:cs="Arial"/>
                <w:szCs w:val="20"/>
                <w:lang w:val="bg-BG"/>
              </w:rPr>
            </w:pPr>
          </w:p>
        </w:tc>
        <w:tc>
          <w:tcPr>
            <w:tcW w:w="1984" w:type="dxa"/>
            <w:gridSpan w:val="8"/>
            <w:vAlign w:val="center"/>
          </w:tcPr>
          <w:p w:rsidR="009C13A9" w:rsidRPr="009072DA" w:rsidRDefault="009C13A9" w:rsidP="009635C7">
            <w:pPr>
              <w:overflowPunct w:val="0"/>
              <w:adjustRightInd w:val="0"/>
              <w:ind w:right="57"/>
              <w:textAlignment w:val="baseline"/>
              <w:rPr>
                <w:rFonts w:cs="Arial"/>
                <w:sz w:val="16"/>
                <w:szCs w:val="16"/>
                <w:lang w:val="bg-BG"/>
              </w:rPr>
            </w:pPr>
            <w:r w:rsidRPr="009072DA">
              <w:rPr>
                <w:sz w:val="16"/>
                <w:lang w:val="bg-BG"/>
              </w:rPr>
              <w:t>Подпис:</w:t>
            </w:r>
          </w:p>
        </w:tc>
        <w:tc>
          <w:tcPr>
            <w:tcW w:w="4679" w:type="dxa"/>
            <w:gridSpan w:val="17"/>
            <w:vAlign w:val="center"/>
          </w:tcPr>
          <w:p w:rsidR="009C13A9" w:rsidRPr="009072DA" w:rsidRDefault="009C13A9" w:rsidP="009C13A9">
            <w:pPr>
              <w:overflowPunct w:val="0"/>
              <w:adjustRightInd w:val="0"/>
              <w:ind w:right="57"/>
              <w:textAlignment w:val="baseline"/>
              <w:rPr>
                <w:rFonts w:cs="Arial"/>
                <w:szCs w:val="20"/>
                <w:lang w:val="bg-BG"/>
              </w:rPr>
            </w:pPr>
          </w:p>
        </w:tc>
      </w:tr>
      <w:tr w:rsidR="009C13A9" w:rsidRPr="009072DA" w:rsidTr="009C13A9">
        <w:tblPrEx>
          <w:jc w:val="center"/>
        </w:tblPrEx>
        <w:trPr>
          <w:jc w:val="center"/>
        </w:trPr>
        <w:tc>
          <w:tcPr>
            <w:tcW w:w="4818" w:type="dxa"/>
            <w:gridSpan w:val="17"/>
            <w:vAlign w:val="center"/>
          </w:tcPr>
          <w:p w:rsidR="009C13A9" w:rsidRPr="009072DA" w:rsidRDefault="009C13A9" w:rsidP="009C13A9">
            <w:pPr>
              <w:tabs>
                <w:tab w:val="center" w:pos="4536"/>
                <w:tab w:val="right" w:pos="9072"/>
              </w:tabs>
              <w:overflowPunct w:val="0"/>
              <w:adjustRightInd w:val="0"/>
              <w:ind w:right="57"/>
              <w:textAlignment w:val="baseline"/>
              <w:rPr>
                <w:rFonts w:cs="Arial"/>
                <w:b/>
                <w:bCs/>
                <w:szCs w:val="20"/>
                <w:u w:val="single"/>
                <w:lang w:val="bg-BG"/>
              </w:rPr>
            </w:pPr>
            <w:r w:rsidRPr="009072DA">
              <w:rPr>
                <w:sz w:val="16"/>
                <w:vertAlign w:val="superscript"/>
                <w:lang w:val="bg-BG"/>
              </w:rPr>
              <w:t>1)</w:t>
            </w:r>
            <w:r w:rsidRPr="009072DA">
              <w:rPr>
                <w:lang w:val="bg-BG"/>
              </w:rPr>
              <w:t xml:space="preserve"> </w:t>
            </w:r>
            <w:r w:rsidRPr="009072DA">
              <w:rPr>
                <w:sz w:val="14"/>
                <w:lang w:val="bg-BG"/>
              </w:rPr>
              <w:t>Поставете отметка в съответната клетка.</w:t>
            </w:r>
          </w:p>
        </w:tc>
        <w:tc>
          <w:tcPr>
            <w:tcW w:w="4397" w:type="dxa"/>
            <w:gridSpan w:val="15"/>
            <w:vAlign w:val="center"/>
          </w:tcPr>
          <w:p w:rsidR="009C13A9" w:rsidRPr="009072DA" w:rsidRDefault="009C13A9" w:rsidP="009C13A9">
            <w:pPr>
              <w:tabs>
                <w:tab w:val="center" w:pos="4536"/>
                <w:tab w:val="right" w:pos="9072"/>
              </w:tabs>
              <w:overflowPunct w:val="0"/>
              <w:adjustRightInd w:val="0"/>
              <w:ind w:right="57"/>
              <w:jc w:val="right"/>
              <w:textAlignment w:val="baseline"/>
              <w:rPr>
                <w:rFonts w:cs="Arial"/>
                <w:szCs w:val="20"/>
                <w:lang w:val="bg-BG"/>
              </w:rPr>
            </w:pPr>
          </w:p>
        </w:tc>
      </w:tr>
    </w:tbl>
    <w:p w:rsidR="009C13A9" w:rsidRPr="009072DA" w:rsidRDefault="009C13A9" w:rsidP="009C13A9">
      <w:pPr>
        <w:rPr>
          <w:rFonts w:cs="Arial"/>
          <w:sz w:val="16"/>
          <w:szCs w:val="20"/>
          <w:lang w:val="bg-BG"/>
        </w:rPr>
      </w:pPr>
    </w:p>
    <w:p w:rsidR="009C13A9" w:rsidRPr="009072DA" w:rsidRDefault="009C13A9" w:rsidP="009C13A9">
      <w:pPr>
        <w:rPr>
          <w:rFonts w:cs="Arial"/>
          <w:sz w:val="16"/>
          <w:szCs w:val="20"/>
          <w:lang w:val="bg-BG"/>
        </w:rPr>
      </w:pPr>
      <w:r w:rsidRPr="009072DA">
        <w:rPr>
          <w:lang w:val="bg-BG"/>
        </w:rPr>
        <w:br w:type="page"/>
      </w:r>
    </w:p>
    <w:p w:rsidR="009C13A9" w:rsidRPr="009072DA" w:rsidRDefault="009C13A9" w:rsidP="009C13A9">
      <w:pPr>
        <w:rPr>
          <w:rFonts w:cs="Arial"/>
          <w:sz w:val="16"/>
          <w:szCs w:val="20"/>
          <w:lang w:val="bg-BG"/>
        </w:rPr>
      </w:pPr>
    </w:p>
    <w:p w:rsidR="009C13A9" w:rsidRPr="009072DA" w:rsidRDefault="009C13A9" w:rsidP="009C13A9">
      <w:pPr>
        <w:rPr>
          <w:rFonts w:cs="Arial"/>
          <w:sz w:val="16"/>
          <w:szCs w:val="20"/>
          <w:lang w:val="bg-BG"/>
        </w:rPr>
      </w:pPr>
    </w:p>
    <w:p w:rsidR="009C13A9" w:rsidRPr="009072DA" w:rsidRDefault="009C13A9" w:rsidP="009C13A9">
      <w:pPr>
        <w:rPr>
          <w:rFonts w:cs="Arial"/>
          <w:sz w:val="16"/>
          <w:szCs w:val="20"/>
          <w:lang w:val="bg-BG"/>
        </w:rPr>
      </w:pPr>
    </w:p>
    <w:p w:rsidR="009C13A9" w:rsidRPr="009072DA" w:rsidRDefault="009C13A9" w:rsidP="009C13A9">
      <w:pPr>
        <w:rPr>
          <w:rFonts w:cs="Arial"/>
          <w:sz w:val="16"/>
          <w:szCs w:val="20"/>
          <w:lang w:val="bg-BG"/>
        </w:rPr>
      </w:pPr>
    </w:p>
    <w:p w:rsidR="009C13A9" w:rsidRPr="009072DA" w:rsidRDefault="009C13A9" w:rsidP="009C13A9">
      <w:pPr>
        <w:rPr>
          <w:rFonts w:cs="Arial"/>
          <w:sz w:val="16"/>
          <w:szCs w:val="20"/>
          <w:lang w:val="bg-BG"/>
        </w:rPr>
      </w:pPr>
    </w:p>
    <w:p w:rsidR="009C13A9" w:rsidRPr="009072DA" w:rsidRDefault="009C13A9" w:rsidP="009C13A9">
      <w:pPr>
        <w:rPr>
          <w:rFonts w:cs="Arial"/>
          <w:sz w:val="16"/>
          <w:szCs w:val="20"/>
          <w:lang w:val="bg-BG"/>
        </w:rPr>
      </w:pPr>
    </w:p>
    <w:p w:rsidR="001705E4" w:rsidRPr="009072DA" w:rsidRDefault="001705E4" w:rsidP="00611BF5">
      <w:pPr>
        <w:pStyle w:val="ES-Titre2"/>
        <w:pageBreakBefore w:val="0"/>
        <w:sectPr w:rsidR="001705E4" w:rsidRPr="009072DA" w:rsidSect="00FB55E9">
          <w:headerReference w:type="default" r:id="rId73"/>
          <w:footerReference w:type="default" r:id="rId74"/>
          <w:footnotePr>
            <w:numRestart w:val="eachPage"/>
          </w:footnotePr>
          <w:pgSz w:w="11907" w:h="16840" w:code="9"/>
          <w:pgMar w:top="1361" w:right="1418" w:bottom="1361" w:left="1418" w:header="680" w:footer="680" w:gutter="0"/>
          <w:cols w:space="720"/>
          <w:docGrid w:linePitch="326"/>
        </w:sectPr>
      </w:pPr>
    </w:p>
    <w:p w:rsidR="009C13A9" w:rsidRPr="009072DA" w:rsidRDefault="009C13A9" w:rsidP="00611BF5">
      <w:pPr>
        <w:pStyle w:val="ES-Titre2"/>
        <w:pageBreakBefore w:val="0"/>
        <w:rPr>
          <w:szCs w:val="20"/>
        </w:rPr>
      </w:pPr>
      <w:bookmarkStart w:id="679" w:name="_Toc491854323"/>
      <w:bookmarkStart w:id="680" w:name="_Toc535827764"/>
      <w:r w:rsidRPr="009072DA">
        <w:lastRenderedPageBreak/>
        <w:t>Приложение 7</w:t>
      </w:r>
      <w:r w:rsidRPr="009072DA">
        <w:br/>
        <w:t>Бордови станции за пречистване на отпадъчни води</w:t>
      </w:r>
      <w:bookmarkEnd w:id="679"/>
      <w:bookmarkEnd w:id="680"/>
      <w:r w:rsidRPr="009072DA">
        <w:t xml:space="preserve"> </w:t>
      </w:r>
    </w:p>
    <w:p w:rsidR="009C13A9" w:rsidRPr="009072DA" w:rsidRDefault="009C13A9" w:rsidP="009C13A9">
      <w:pPr>
        <w:tabs>
          <w:tab w:val="left" w:pos="2552"/>
        </w:tabs>
        <w:suppressAutoHyphens/>
        <w:spacing w:line="240" w:lineRule="atLeast"/>
        <w:jc w:val="center"/>
        <w:rPr>
          <w:rFonts w:cs="Arial"/>
          <w:b/>
          <w:szCs w:val="20"/>
          <w:lang w:val="bg-BG"/>
        </w:rPr>
      </w:pPr>
    </w:p>
    <w:p w:rsidR="009C13A9" w:rsidRPr="009072DA" w:rsidRDefault="009C13A9" w:rsidP="009C13A9">
      <w:pPr>
        <w:overflowPunct w:val="0"/>
        <w:adjustRightInd w:val="0"/>
        <w:spacing w:line="240" w:lineRule="atLeast"/>
        <w:jc w:val="center"/>
        <w:textAlignment w:val="baseline"/>
        <w:rPr>
          <w:rFonts w:cs="Arial"/>
          <w:b/>
          <w:bCs/>
          <w:lang w:val="bg-BG"/>
        </w:rPr>
      </w:pPr>
      <w:r w:rsidRPr="009072DA">
        <w:rPr>
          <w:b/>
          <w:lang w:val="bg-BG"/>
        </w:rPr>
        <w:t>Съдържание</w:t>
      </w:r>
    </w:p>
    <w:p w:rsidR="009C13A9" w:rsidRPr="009072DA" w:rsidRDefault="009C13A9" w:rsidP="009C13A9">
      <w:pPr>
        <w:tabs>
          <w:tab w:val="left" w:pos="284"/>
          <w:tab w:val="left" w:pos="1134"/>
          <w:tab w:val="left" w:pos="1701"/>
        </w:tabs>
        <w:suppressAutoHyphens/>
        <w:spacing w:line="240" w:lineRule="atLeast"/>
        <w:rPr>
          <w:rFonts w:cs="Arial"/>
          <w:szCs w:val="20"/>
          <w:lang w:val="bg-BG"/>
        </w:rPr>
      </w:pPr>
    </w:p>
    <w:p w:rsidR="009C13A9" w:rsidRPr="009072DA" w:rsidRDefault="00925755" w:rsidP="009C13A9">
      <w:pPr>
        <w:tabs>
          <w:tab w:val="left" w:pos="1701"/>
        </w:tabs>
        <w:suppressAutoHyphens/>
        <w:spacing w:line="240" w:lineRule="atLeast"/>
        <w:ind w:left="1134" w:hanging="1134"/>
        <w:rPr>
          <w:rFonts w:cs="Arial"/>
          <w:szCs w:val="20"/>
          <w:lang w:val="bg-BG"/>
        </w:rPr>
      </w:pPr>
      <w:r w:rsidRPr="009072DA">
        <w:rPr>
          <w:b/>
          <w:lang w:val="bg-BG"/>
        </w:rPr>
        <w:t>Раздел I</w:t>
      </w:r>
      <w:r w:rsidRPr="009072DA">
        <w:rPr>
          <w:lang w:val="bg-BG"/>
        </w:rPr>
        <w:tab/>
        <w:t>Допълнителни разпоредби</w:t>
      </w:r>
    </w:p>
    <w:p w:rsidR="009C13A9" w:rsidRPr="009072DA" w:rsidRDefault="009C13A9" w:rsidP="009C13A9">
      <w:pPr>
        <w:suppressAutoHyphens/>
        <w:spacing w:line="240" w:lineRule="atLeast"/>
        <w:ind w:left="1134" w:hanging="1134"/>
        <w:rPr>
          <w:rFonts w:cs="Arial"/>
          <w:b/>
          <w:szCs w:val="20"/>
          <w:lang w:val="bg-BG"/>
        </w:rPr>
      </w:pPr>
    </w:p>
    <w:p w:rsidR="009C13A9" w:rsidRPr="009072DA" w:rsidRDefault="009C13A9" w:rsidP="009C13A9">
      <w:pPr>
        <w:suppressAutoHyphens/>
        <w:overflowPunct w:val="0"/>
        <w:spacing w:line="240" w:lineRule="atLeast"/>
        <w:ind w:left="1560" w:hanging="426"/>
        <w:textAlignment w:val="baseline"/>
        <w:rPr>
          <w:rFonts w:cs="Arial"/>
          <w:szCs w:val="20"/>
          <w:lang w:val="bg-BG"/>
        </w:rPr>
      </w:pPr>
      <w:r w:rsidRPr="009072DA">
        <w:rPr>
          <w:lang w:val="bg-BG"/>
        </w:rPr>
        <w:t>1.</w:t>
      </w:r>
      <w:r w:rsidRPr="009072DA">
        <w:rPr>
          <w:lang w:val="bg-BG"/>
        </w:rPr>
        <w:tab/>
        <w:t>Маркировка на бордови станции за пречистване на отпадъчни води</w:t>
      </w:r>
    </w:p>
    <w:p w:rsidR="009C13A9" w:rsidRPr="009072DA" w:rsidRDefault="009C13A9" w:rsidP="009C13A9">
      <w:pPr>
        <w:suppressAutoHyphens/>
        <w:overflowPunct w:val="0"/>
        <w:spacing w:line="240" w:lineRule="atLeast"/>
        <w:ind w:left="1560" w:hanging="426"/>
        <w:textAlignment w:val="baseline"/>
        <w:rPr>
          <w:rFonts w:cs="Arial"/>
          <w:szCs w:val="20"/>
          <w:lang w:val="bg-BG"/>
        </w:rPr>
      </w:pPr>
      <w:r w:rsidRPr="009072DA">
        <w:rPr>
          <w:lang w:val="bg-BG"/>
        </w:rPr>
        <w:t>2.</w:t>
      </w:r>
      <w:r w:rsidRPr="009072DA">
        <w:rPr>
          <w:lang w:val="bg-BG"/>
        </w:rPr>
        <w:tab/>
        <w:t>Изпитване</w:t>
      </w:r>
    </w:p>
    <w:p w:rsidR="009C13A9" w:rsidRPr="009072DA" w:rsidRDefault="009C13A9" w:rsidP="009C13A9">
      <w:pPr>
        <w:suppressAutoHyphens/>
        <w:overflowPunct w:val="0"/>
        <w:spacing w:line="240" w:lineRule="atLeast"/>
        <w:ind w:left="1560" w:hanging="426"/>
        <w:textAlignment w:val="baseline"/>
        <w:rPr>
          <w:rFonts w:cs="Arial"/>
          <w:szCs w:val="20"/>
          <w:lang w:val="bg-BG"/>
        </w:rPr>
      </w:pPr>
      <w:r w:rsidRPr="009072DA">
        <w:rPr>
          <w:lang w:val="bg-BG"/>
        </w:rPr>
        <w:t>3.</w:t>
      </w:r>
      <w:r w:rsidRPr="009072DA">
        <w:rPr>
          <w:lang w:val="bg-BG"/>
        </w:rPr>
        <w:tab/>
        <w:t>Оценка на съответствието на производството</w:t>
      </w:r>
    </w:p>
    <w:p w:rsidR="009C13A9" w:rsidRPr="009072DA" w:rsidRDefault="009C13A9" w:rsidP="009C13A9">
      <w:pPr>
        <w:suppressAutoHyphens/>
        <w:spacing w:line="240" w:lineRule="atLeast"/>
        <w:ind w:left="1134" w:hanging="1134"/>
        <w:rPr>
          <w:rFonts w:cs="Arial"/>
          <w:szCs w:val="20"/>
          <w:lang w:val="bg-BG"/>
        </w:rPr>
      </w:pPr>
    </w:p>
    <w:p w:rsidR="009C13A9" w:rsidRPr="009072DA" w:rsidRDefault="00925755" w:rsidP="009C13A9">
      <w:pPr>
        <w:suppressAutoHyphens/>
        <w:spacing w:line="240" w:lineRule="atLeast"/>
        <w:ind w:left="1134" w:hanging="1134"/>
        <w:rPr>
          <w:rFonts w:cs="Arial"/>
          <w:szCs w:val="20"/>
          <w:lang w:val="bg-BG"/>
        </w:rPr>
      </w:pPr>
      <w:r w:rsidRPr="009072DA">
        <w:rPr>
          <w:b/>
          <w:lang w:val="bg-BG"/>
        </w:rPr>
        <w:t>Раздел II</w:t>
      </w:r>
      <w:r w:rsidRPr="009072DA">
        <w:rPr>
          <w:lang w:val="bg-BG"/>
        </w:rPr>
        <w:tab/>
        <w:t>Информационен документ №... във връзка с одобрение на типа на бордовите станции за пречистване на отпадъчни води, предназначени за инсталиране на плавателните съдове по вътрешните водни пътища (образец)</w:t>
      </w:r>
    </w:p>
    <w:p w:rsidR="009C13A9" w:rsidRPr="009072DA" w:rsidRDefault="009C13A9" w:rsidP="009C13A9">
      <w:pPr>
        <w:suppressAutoHyphens/>
        <w:spacing w:line="240" w:lineRule="atLeast"/>
        <w:ind w:left="1134" w:hanging="1134"/>
        <w:rPr>
          <w:rFonts w:cs="Arial"/>
          <w:szCs w:val="20"/>
          <w:lang w:val="bg-BG"/>
        </w:rPr>
      </w:pPr>
    </w:p>
    <w:p w:rsidR="009C13A9" w:rsidRPr="009072DA" w:rsidRDefault="009C13A9" w:rsidP="009C13A9">
      <w:pPr>
        <w:suppressAutoHyphens/>
        <w:overflowPunct w:val="0"/>
        <w:spacing w:line="240" w:lineRule="atLeast"/>
        <w:ind w:left="1134"/>
        <w:textAlignment w:val="baseline"/>
        <w:rPr>
          <w:rFonts w:cs="Arial"/>
          <w:szCs w:val="20"/>
          <w:lang w:val="bg-BG"/>
        </w:rPr>
      </w:pPr>
      <w:r w:rsidRPr="009072DA">
        <w:rPr>
          <w:lang w:val="bg-BG"/>
        </w:rPr>
        <w:t>Допълнение 1 — Основни характеристики на типа на бордовата станция за пречистване на отпадъчни води (образец)</w:t>
      </w:r>
    </w:p>
    <w:p w:rsidR="009C13A9" w:rsidRPr="009072DA" w:rsidRDefault="009C13A9" w:rsidP="009C13A9">
      <w:pPr>
        <w:suppressAutoHyphens/>
        <w:spacing w:line="240" w:lineRule="atLeast"/>
        <w:ind w:left="1134" w:hanging="1134"/>
        <w:rPr>
          <w:rFonts w:cs="Arial"/>
          <w:szCs w:val="20"/>
          <w:lang w:val="bg-BG"/>
        </w:rPr>
      </w:pPr>
    </w:p>
    <w:p w:rsidR="009C13A9" w:rsidRPr="009072DA" w:rsidRDefault="00925755" w:rsidP="009C13A9">
      <w:pPr>
        <w:suppressAutoHyphens/>
        <w:spacing w:line="240" w:lineRule="atLeast"/>
        <w:ind w:left="1134" w:hanging="1134"/>
        <w:rPr>
          <w:rFonts w:cs="Arial"/>
          <w:szCs w:val="20"/>
          <w:lang w:val="bg-BG"/>
        </w:rPr>
      </w:pPr>
      <w:r w:rsidRPr="009072DA">
        <w:rPr>
          <w:b/>
          <w:lang w:val="bg-BG"/>
        </w:rPr>
        <w:t>Раздел III</w:t>
      </w:r>
      <w:r w:rsidRPr="009072DA">
        <w:rPr>
          <w:lang w:val="bg-BG"/>
        </w:rPr>
        <w:tab/>
        <w:t>Удостоверение  за одобрение на типа (образец)</w:t>
      </w:r>
    </w:p>
    <w:p w:rsidR="009C13A9" w:rsidRPr="009072DA" w:rsidRDefault="009C13A9" w:rsidP="009C13A9">
      <w:pPr>
        <w:suppressAutoHyphens/>
        <w:spacing w:line="240" w:lineRule="atLeast"/>
        <w:ind w:left="1134" w:hanging="1134"/>
        <w:rPr>
          <w:rFonts w:cs="Arial"/>
          <w:szCs w:val="20"/>
          <w:lang w:val="bg-BG"/>
        </w:rPr>
      </w:pPr>
    </w:p>
    <w:p w:rsidR="009C13A9" w:rsidRPr="009072DA" w:rsidRDefault="009C13A9" w:rsidP="009C13A9">
      <w:pPr>
        <w:suppressAutoHyphens/>
        <w:overflowPunct w:val="0"/>
        <w:spacing w:line="240" w:lineRule="atLeast"/>
        <w:ind w:left="1134"/>
        <w:textAlignment w:val="baseline"/>
        <w:rPr>
          <w:rFonts w:cs="Arial"/>
          <w:szCs w:val="20"/>
          <w:lang w:val="bg-BG"/>
        </w:rPr>
      </w:pPr>
      <w:r w:rsidRPr="009072DA">
        <w:rPr>
          <w:lang w:val="bg-BG"/>
        </w:rPr>
        <w:t>Допълнение 1 — Резултати от изпитването за одобрение на типа (образец)</w:t>
      </w:r>
    </w:p>
    <w:p w:rsidR="009C13A9" w:rsidRPr="009072DA" w:rsidRDefault="009C13A9" w:rsidP="009C13A9">
      <w:pPr>
        <w:suppressAutoHyphens/>
        <w:spacing w:line="240" w:lineRule="atLeast"/>
        <w:ind w:left="1134" w:hanging="1134"/>
        <w:rPr>
          <w:rFonts w:cs="Arial"/>
          <w:szCs w:val="20"/>
          <w:lang w:val="bg-BG"/>
        </w:rPr>
      </w:pPr>
    </w:p>
    <w:p w:rsidR="009C13A9" w:rsidRPr="009072DA" w:rsidRDefault="00925755" w:rsidP="009C13A9">
      <w:pPr>
        <w:suppressAutoHyphens/>
        <w:spacing w:line="240" w:lineRule="atLeast"/>
        <w:ind w:left="1134" w:hanging="1134"/>
        <w:rPr>
          <w:rFonts w:cs="Arial"/>
          <w:szCs w:val="20"/>
          <w:lang w:val="bg-BG"/>
        </w:rPr>
      </w:pPr>
      <w:r w:rsidRPr="009072DA">
        <w:rPr>
          <w:b/>
          <w:lang w:val="bg-BG"/>
        </w:rPr>
        <w:t>Раздел IV</w:t>
      </w:r>
      <w:r w:rsidRPr="009072DA">
        <w:rPr>
          <w:lang w:val="bg-BG"/>
        </w:rPr>
        <w:tab/>
        <w:t>Система за номериране на одобренията на типа</w:t>
      </w:r>
    </w:p>
    <w:p w:rsidR="009C13A9" w:rsidRPr="009072DA" w:rsidRDefault="009C13A9" w:rsidP="009C13A9">
      <w:pPr>
        <w:suppressAutoHyphens/>
        <w:spacing w:line="240" w:lineRule="atLeast"/>
        <w:ind w:left="1134" w:hanging="1134"/>
        <w:rPr>
          <w:rFonts w:cs="Arial"/>
          <w:szCs w:val="20"/>
          <w:lang w:val="bg-BG"/>
        </w:rPr>
      </w:pPr>
    </w:p>
    <w:p w:rsidR="009C13A9" w:rsidRPr="009072DA" w:rsidRDefault="00925755" w:rsidP="009C13A9">
      <w:pPr>
        <w:suppressAutoHyphens/>
        <w:spacing w:line="240" w:lineRule="atLeast"/>
        <w:ind w:left="1134" w:hanging="1134"/>
        <w:rPr>
          <w:rFonts w:cs="Arial"/>
          <w:szCs w:val="20"/>
          <w:lang w:val="bg-BG"/>
        </w:rPr>
      </w:pPr>
      <w:r w:rsidRPr="009072DA">
        <w:rPr>
          <w:b/>
          <w:lang w:val="bg-BG"/>
        </w:rPr>
        <w:t>Раздел V</w:t>
      </w:r>
      <w:r w:rsidRPr="009072DA">
        <w:rPr>
          <w:lang w:val="bg-BG"/>
        </w:rPr>
        <w:tab/>
        <w:t>Обобщение на одобренията на типа за типовете бордови станции за пречистване на отпадъчни води</w:t>
      </w:r>
    </w:p>
    <w:p w:rsidR="009C13A9" w:rsidRPr="009072DA" w:rsidRDefault="009C13A9" w:rsidP="009C13A9">
      <w:pPr>
        <w:suppressAutoHyphens/>
        <w:spacing w:line="240" w:lineRule="atLeast"/>
        <w:ind w:left="1134" w:hanging="1134"/>
        <w:rPr>
          <w:rFonts w:cs="Arial"/>
          <w:szCs w:val="20"/>
          <w:lang w:val="bg-BG"/>
        </w:rPr>
      </w:pPr>
    </w:p>
    <w:p w:rsidR="009C13A9" w:rsidRPr="009072DA" w:rsidRDefault="00925755" w:rsidP="009C13A9">
      <w:pPr>
        <w:suppressAutoHyphens/>
        <w:spacing w:line="240" w:lineRule="atLeast"/>
        <w:ind w:left="1134" w:hanging="1134"/>
        <w:rPr>
          <w:rFonts w:cs="Arial"/>
          <w:szCs w:val="20"/>
          <w:lang w:val="bg-BG"/>
        </w:rPr>
      </w:pPr>
      <w:r w:rsidRPr="009072DA">
        <w:rPr>
          <w:b/>
          <w:lang w:val="bg-BG"/>
        </w:rPr>
        <w:t>Раздел VI</w:t>
      </w:r>
      <w:r w:rsidRPr="009072DA">
        <w:rPr>
          <w:lang w:val="bg-BG"/>
        </w:rPr>
        <w:tab/>
        <w:t>Обобщение на произведените бордови станции за пречистване на отпадъчни води (образец)</w:t>
      </w:r>
    </w:p>
    <w:p w:rsidR="009C13A9" w:rsidRPr="009072DA" w:rsidRDefault="009C13A9" w:rsidP="009C13A9">
      <w:pPr>
        <w:suppressAutoHyphens/>
        <w:spacing w:line="240" w:lineRule="atLeast"/>
        <w:ind w:left="1134" w:hanging="1134"/>
        <w:rPr>
          <w:rFonts w:cs="Arial"/>
          <w:szCs w:val="20"/>
          <w:lang w:val="bg-BG"/>
        </w:rPr>
      </w:pPr>
    </w:p>
    <w:p w:rsidR="009C13A9" w:rsidRPr="009072DA" w:rsidRDefault="00925755" w:rsidP="009C13A9">
      <w:pPr>
        <w:suppressAutoHyphens/>
        <w:spacing w:line="240" w:lineRule="atLeast"/>
        <w:ind w:left="1134" w:hanging="1134"/>
        <w:rPr>
          <w:rFonts w:cs="Arial"/>
          <w:szCs w:val="20"/>
          <w:lang w:val="bg-BG"/>
        </w:rPr>
      </w:pPr>
      <w:r w:rsidRPr="009072DA">
        <w:rPr>
          <w:b/>
          <w:lang w:val="bg-BG"/>
        </w:rPr>
        <w:t>Раздел VII</w:t>
      </w:r>
      <w:r w:rsidRPr="009072DA">
        <w:rPr>
          <w:lang w:val="bg-BG"/>
        </w:rPr>
        <w:tab/>
        <w:t>Спецификация за бордови станции за пречистване на отпадъчни води с одобрение на типа (образец)</w:t>
      </w:r>
    </w:p>
    <w:p w:rsidR="009C13A9" w:rsidRPr="009072DA" w:rsidRDefault="009C13A9" w:rsidP="009C13A9">
      <w:pPr>
        <w:suppressAutoHyphens/>
        <w:spacing w:line="240" w:lineRule="atLeast"/>
        <w:ind w:left="1134" w:hanging="1134"/>
        <w:rPr>
          <w:rFonts w:cs="Arial"/>
          <w:szCs w:val="20"/>
          <w:lang w:val="bg-BG"/>
        </w:rPr>
      </w:pPr>
    </w:p>
    <w:p w:rsidR="009C13A9" w:rsidRPr="009072DA" w:rsidRDefault="00925755" w:rsidP="009C13A9">
      <w:pPr>
        <w:suppressAutoHyphens/>
        <w:spacing w:line="240" w:lineRule="atLeast"/>
        <w:ind w:left="1134" w:hanging="1134"/>
        <w:rPr>
          <w:rFonts w:cs="Arial"/>
          <w:szCs w:val="20"/>
          <w:lang w:val="bg-BG"/>
        </w:rPr>
      </w:pPr>
      <w:r w:rsidRPr="009072DA">
        <w:rPr>
          <w:b/>
          <w:lang w:val="bg-BG"/>
        </w:rPr>
        <w:lastRenderedPageBreak/>
        <w:t>Раздел VIII</w:t>
      </w:r>
      <w:r w:rsidRPr="009072DA">
        <w:rPr>
          <w:lang w:val="bg-BG"/>
        </w:rPr>
        <w:tab/>
        <w:t>Протокол за параметри на бордовата станция за пречистване на отпадъчни води за специално изпитване (образец)</w:t>
      </w:r>
    </w:p>
    <w:p w:rsidR="009C13A9" w:rsidRPr="009072DA" w:rsidRDefault="009C13A9" w:rsidP="009C13A9">
      <w:pPr>
        <w:suppressAutoHyphens/>
        <w:overflowPunct w:val="0"/>
        <w:spacing w:line="240" w:lineRule="atLeast"/>
        <w:ind w:left="1134" w:hanging="1134"/>
        <w:textAlignment w:val="baseline"/>
        <w:rPr>
          <w:rFonts w:cs="Arial"/>
          <w:szCs w:val="20"/>
          <w:lang w:val="bg-BG"/>
        </w:rPr>
      </w:pPr>
    </w:p>
    <w:p w:rsidR="009C13A9" w:rsidRPr="009072DA" w:rsidRDefault="009C13A9" w:rsidP="009C13A9">
      <w:pPr>
        <w:suppressAutoHyphens/>
        <w:overflowPunct w:val="0"/>
        <w:spacing w:line="240" w:lineRule="atLeast"/>
        <w:ind w:left="1134"/>
        <w:textAlignment w:val="baseline"/>
        <w:rPr>
          <w:rFonts w:cs="Arial"/>
          <w:szCs w:val="20"/>
          <w:lang w:val="bg-BG"/>
        </w:rPr>
      </w:pPr>
      <w:r w:rsidRPr="009072DA">
        <w:rPr>
          <w:lang w:val="bg-BG"/>
        </w:rPr>
        <w:t>Допълнение 1 — Допълнение към протокола за параметрите на бордовата станция за пречистване на отпадъчни води</w:t>
      </w:r>
    </w:p>
    <w:p w:rsidR="009C13A9" w:rsidRPr="009072DA" w:rsidRDefault="009C13A9" w:rsidP="009C13A9">
      <w:pPr>
        <w:suppressAutoHyphens/>
        <w:overflowPunct w:val="0"/>
        <w:spacing w:line="240" w:lineRule="atLeast"/>
        <w:ind w:left="1134"/>
        <w:textAlignment w:val="baseline"/>
        <w:rPr>
          <w:rFonts w:cs="Arial"/>
          <w:szCs w:val="20"/>
          <w:lang w:val="bg-BG"/>
        </w:rPr>
      </w:pPr>
    </w:p>
    <w:p w:rsidR="009E363E" w:rsidRPr="009072DA" w:rsidRDefault="009E363E" w:rsidP="009E363E">
      <w:pPr>
        <w:suppressAutoHyphens/>
        <w:spacing w:line="240" w:lineRule="atLeast"/>
        <w:ind w:left="1134" w:hanging="1134"/>
        <w:rPr>
          <w:rFonts w:cs="Arial"/>
          <w:szCs w:val="20"/>
          <w:lang w:val="bg-BG"/>
        </w:rPr>
      </w:pPr>
      <w:r w:rsidRPr="009072DA">
        <w:rPr>
          <w:b/>
          <w:lang w:val="bg-BG"/>
        </w:rPr>
        <w:t>Раздел IX</w:t>
      </w:r>
      <w:r w:rsidRPr="009072DA">
        <w:rPr>
          <w:lang w:val="bg-BG"/>
        </w:rPr>
        <w:tab/>
      </w:r>
      <w:r w:rsidRPr="009072DA">
        <w:rPr>
          <w:color w:val="000000"/>
          <w:lang w:val="bg-BG"/>
        </w:rPr>
        <w:t>Процедура на изпитване</w:t>
      </w:r>
    </w:p>
    <w:p w:rsidR="009C13A9" w:rsidRPr="009072DA" w:rsidRDefault="009C13A9" w:rsidP="009C13A9">
      <w:pPr>
        <w:suppressAutoHyphens/>
        <w:overflowPunct w:val="0"/>
        <w:spacing w:line="240" w:lineRule="atLeast"/>
        <w:ind w:left="1134"/>
        <w:textAlignment w:val="baseline"/>
        <w:rPr>
          <w:rFonts w:cs="Arial"/>
          <w:szCs w:val="20"/>
          <w:lang w:val="bg-BG"/>
        </w:rPr>
      </w:pPr>
    </w:p>
    <w:p w:rsidR="009C13A9" w:rsidRPr="009072DA" w:rsidRDefault="009C13A9" w:rsidP="009C13A9">
      <w:pPr>
        <w:suppressAutoHyphens/>
        <w:overflowPunct w:val="0"/>
        <w:spacing w:line="240" w:lineRule="atLeast"/>
        <w:ind w:left="1134"/>
        <w:textAlignment w:val="baseline"/>
        <w:rPr>
          <w:rFonts w:cs="Arial"/>
          <w:szCs w:val="20"/>
          <w:lang w:val="bg-BG"/>
        </w:rPr>
      </w:pPr>
    </w:p>
    <w:p w:rsidR="009C13A9" w:rsidRPr="009072DA" w:rsidRDefault="009C13A9" w:rsidP="009C13A9">
      <w:pPr>
        <w:suppressAutoHyphens/>
        <w:overflowPunct w:val="0"/>
        <w:spacing w:line="240" w:lineRule="atLeast"/>
        <w:ind w:left="1134"/>
        <w:textAlignment w:val="baseline"/>
        <w:rPr>
          <w:rFonts w:cs="Arial"/>
          <w:szCs w:val="20"/>
          <w:lang w:val="bg-BG"/>
        </w:rPr>
      </w:pPr>
      <w:r w:rsidRPr="009072DA">
        <w:rPr>
          <w:lang w:val="bg-BG"/>
        </w:rPr>
        <w:br w:type="page"/>
      </w:r>
    </w:p>
    <w:p w:rsidR="009C13A9" w:rsidRPr="009072DA" w:rsidRDefault="009C13A9" w:rsidP="009C13A9">
      <w:pPr>
        <w:suppressAutoHyphens/>
        <w:overflowPunct w:val="0"/>
        <w:spacing w:line="240" w:lineRule="atLeast"/>
        <w:ind w:left="1134"/>
        <w:textAlignment w:val="baseline"/>
        <w:rPr>
          <w:rFonts w:cs="Arial"/>
          <w:szCs w:val="20"/>
          <w:lang w:val="bg-BG"/>
        </w:rPr>
      </w:pPr>
    </w:p>
    <w:p w:rsidR="009C13A9" w:rsidRPr="009072DA" w:rsidRDefault="009C13A9" w:rsidP="009C13A9">
      <w:pPr>
        <w:suppressAutoHyphens/>
        <w:overflowPunct w:val="0"/>
        <w:spacing w:line="240" w:lineRule="atLeast"/>
        <w:ind w:left="1134"/>
        <w:textAlignment w:val="baseline"/>
        <w:rPr>
          <w:rFonts w:cs="Arial"/>
          <w:szCs w:val="20"/>
          <w:lang w:val="bg-BG"/>
        </w:rPr>
      </w:pPr>
    </w:p>
    <w:p w:rsidR="009C13A9" w:rsidRPr="009072DA" w:rsidRDefault="009C13A9" w:rsidP="009C13A9">
      <w:pPr>
        <w:suppressAutoHyphens/>
        <w:overflowPunct w:val="0"/>
        <w:spacing w:line="240" w:lineRule="atLeast"/>
        <w:ind w:left="1134"/>
        <w:textAlignment w:val="baseline"/>
        <w:rPr>
          <w:rFonts w:cs="Arial"/>
          <w:szCs w:val="20"/>
          <w:lang w:val="bg-BG"/>
        </w:rPr>
      </w:pPr>
    </w:p>
    <w:p w:rsidR="009C13A9" w:rsidRPr="009072DA" w:rsidRDefault="009C13A9" w:rsidP="009C13A9">
      <w:pPr>
        <w:suppressAutoHyphens/>
        <w:overflowPunct w:val="0"/>
        <w:spacing w:line="240" w:lineRule="atLeast"/>
        <w:ind w:left="1134"/>
        <w:textAlignment w:val="baseline"/>
        <w:rPr>
          <w:rFonts w:cs="Arial"/>
          <w:szCs w:val="20"/>
          <w:lang w:val="bg-BG"/>
        </w:rPr>
      </w:pPr>
    </w:p>
    <w:p w:rsidR="009C13A9" w:rsidRPr="009072DA" w:rsidRDefault="009C13A9" w:rsidP="009C13A9">
      <w:pPr>
        <w:suppressAutoHyphens/>
        <w:overflowPunct w:val="0"/>
        <w:spacing w:line="240" w:lineRule="atLeast"/>
        <w:ind w:left="1134"/>
        <w:textAlignment w:val="baseline"/>
        <w:rPr>
          <w:rFonts w:cs="Arial"/>
          <w:szCs w:val="20"/>
          <w:lang w:val="bg-BG"/>
        </w:rPr>
      </w:pPr>
    </w:p>
    <w:p w:rsidR="009C13A9" w:rsidRPr="009072DA" w:rsidRDefault="009C13A9" w:rsidP="009C13A9">
      <w:pPr>
        <w:tabs>
          <w:tab w:val="center" w:pos="7956"/>
        </w:tabs>
        <w:suppressAutoHyphens/>
        <w:spacing w:line="240" w:lineRule="atLeast"/>
        <w:jc w:val="right"/>
        <w:rPr>
          <w:rFonts w:cs="Arial"/>
          <w:b/>
          <w:szCs w:val="20"/>
          <w:lang w:val="bg-BG"/>
        </w:rPr>
        <w:sectPr w:rsidR="009C13A9" w:rsidRPr="009072DA" w:rsidSect="00FB55E9">
          <w:footnotePr>
            <w:numRestart w:val="eachPage"/>
          </w:footnotePr>
          <w:pgSz w:w="11907" w:h="16840" w:code="9"/>
          <w:pgMar w:top="1361" w:right="1418" w:bottom="1361" w:left="1418" w:header="680" w:footer="680" w:gutter="0"/>
          <w:cols w:space="720"/>
          <w:docGrid w:linePitch="326"/>
        </w:sectPr>
      </w:pPr>
    </w:p>
    <w:p w:rsidR="009C13A9" w:rsidRPr="009072DA" w:rsidRDefault="00925755" w:rsidP="00684B1D">
      <w:pPr>
        <w:pStyle w:val="ES-Titre3"/>
        <w:rPr>
          <w:lang w:val="bg-BG"/>
        </w:rPr>
      </w:pPr>
      <w:bookmarkStart w:id="681" w:name="_Toc491854324"/>
      <w:bookmarkStart w:id="682" w:name="_Toc535827765"/>
      <w:r w:rsidRPr="009072DA">
        <w:rPr>
          <w:lang w:val="bg-BG"/>
        </w:rPr>
        <w:lastRenderedPageBreak/>
        <w:t>Раздел I</w:t>
      </w:r>
      <w:bookmarkEnd w:id="681"/>
      <w:bookmarkEnd w:id="682"/>
    </w:p>
    <w:p w:rsidR="009C13A9" w:rsidRPr="009072DA" w:rsidRDefault="009C13A9" w:rsidP="00684B1D">
      <w:pPr>
        <w:pStyle w:val="ES-Titre3a"/>
        <w:rPr>
          <w:lang w:val="bg-BG"/>
        </w:rPr>
      </w:pPr>
      <w:bookmarkStart w:id="683" w:name="_Toc491854325"/>
      <w:bookmarkStart w:id="684" w:name="_Toc535827766"/>
      <w:r w:rsidRPr="009072DA">
        <w:rPr>
          <w:lang w:val="bg-BG"/>
        </w:rPr>
        <w:t>Допълнителни разпоредби</w:t>
      </w:r>
      <w:bookmarkEnd w:id="683"/>
      <w:bookmarkEnd w:id="684"/>
    </w:p>
    <w:p w:rsidR="009C13A9" w:rsidRPr="009072DA" w:rsidRDefault="009C13A9" w:rsidP="009C13A9">
      <w:pPr>
        <w:ind w:left="709" w:hanging="709"/>
        <w:rPr>
          <w:lang w:val="bg-BG"/>
        </w:rPr>
      </w:pPr>
    </w:p>
    <w:p w:rsidR="009C13A9" w:rsidRPr="009072DA" w:rsidRDefault="009C13A9" w:rsidP="009C13A9">
      <w:pPr>
        <w:spacing w:line="240" w:lineRule="atLeast"/>
        <w:ind w:left="709" w:hanging="709"/>
        <w:rPr>
          <w:b/>
          <w:lang w:val="bg-BG"/>
        </w:rPr>
      </w:pPr>
      <w:r w:rsidRPr="009072DA">
        <w:rPr>
          <w:b/>
          <w:lang w:val="bg-BG"/>
        </w:rPr>
        <w:t>1.</w:t>
      </w:r>
      <w:r w:rsidRPr="009072DA">
        <w:rPr>
          <w:lang w:val="bg-BG"/>
        </w:rPr>
        <w:tab/>
      </w:r>
      <w:r w:rsidRPr="009072DA">
        <w:rPr>
          <w:b/>
          <w:lang w:val="bg-BG"/>
        </w:rPr>
        <w:t>Маркировка на бордови станции за пречистване на отпадъчни води</w:t>
      </w:r>
    </w:p>
    <w:p w:rsidR="009C13A9" w:rsidRPr="009072DA" w:rsidRDefault="009C13A9" w:rsidP="009C13A9">
      <w:pPr>
        <w:spacing w:line="240" w:lineRule="atLeast"/>
        <w:ind w:left="709" w:hanging="709"/>
        <w:rPr>
          <w:lang w:val="bg-BG"/>
        </w:rPr>
      </w:pPr>
    </w:p>
    <w:p w:rsidR="009C13A9" w:rsidRPr="009072DA" w:rsidRDefault="009C13A9" w:rsidP="009C13A9">
      <w:pPr>
        <w:spacing w:line="240" w:lineRule="atLeast"/>
        <w:ind w:left="709" w:hanging="709"/>
        <w:rPr>
          <w:lang w:val="bg-BG"/>
        </w:rPr>
      </w:pPr>
      <w:r w:rsidRPr="009072DA">
        <w:rPr>
          <w:lang w:val="bg-BG"/>
        </w:rPr>
        <w:t>1.1</w:t>
      </w:r>
      <w:r w:rsidRPr="009072DA">
        <w:rPr>
          <w:lang w:val="bg-BG"/>
        </w:rPr>
        <w:tab/>
        <w:t>Изпитваните за одобряване на типа бордови станции за пречистване на отпадъчни води трябва да са означени със следната информация (маркировка):</w:t>
      </w:r>
    </w:p>
    <w:p w:rsidR="009C13A9" w:rsidRPr="009072DA" w:rsidRDefault="009C13A9" w:rsidP="009C13A9">
      <w:pPr>
        <w:tabs>
          <w:tab w:val="left" w:leader="dot" w:pos="9072"/>
        </w:tabs>
        <w:spacing w:line="240" w:lineRule="atLeast"/>
        <w:ind w:left="709" w:hanging="709"/>
        <w:rPr>
          <w:rFonts w:cs="Arial"/>
          <w:lang w:val="bg-BG"/>
        </w:rPr>
      </w:pPr>
    </w:p>
    <w:p w:rsidR="009C13A9" w:rsidRPr="009072DA" w:rsidRDefault="009C13A9" w:rsidP="009C13A9">
      <w:pPr>
        <w:spacing w:line="240" w:lineRule="atLeast"/>
        <w:ind w:left="709" w:hanging="709"/>
        <w:rPr>
          <w:lang w:val="bg-BG"/>
        </w:rPr>
      </w:pPr>
      <w:r w:rsidRPr="009072DA">
        <w:rPr>
          <w:lang w:val="bg-BG"/>
        </w:rPr>
        <w:t>1.1.1</w:t>
      </w:r>
      <w:r w:rsidRPr="009072DA">
        <w:rPr>
          <w:lang w:val="bg-BG"/>
        </w:rPr>
        <w:tab/>
        <w:t>търговска марка или търговско наименование на производителя;</w:t>
      </w:r>
    </w:p>
    <w:p w:rsidR="009C13A9" w:rsidRPr="009072DA" w:rsidRDefault="009C13A9" w:rsidP="009C13A9">
      <w:pPr>
        <w:spacing w:line="240" w:lineRule="atLeast"/>
        <w:ind w:left="709" w:hanging="709"/>
        <w:rPr>
          <w:lang w:val="bg-BG"/>
        </w:rPr>
      </w:pPr>
    </w:p>
    <w:p w:rsidR="009C13A9" w:rsidRPr="009072DA" w:rsidRDefault="009C13A9" w:rsidP="009C13A9">
      <w:pPr>
        <w:spacing w:line="240" w:lineRule="atLeast"/>
        <w:ind w:left="709" w:hanging="709"/>
        <w:rPr>
          <w:lang w:val="bg-BG"/>
        </w:rPr>
      </w:pPr>
      <w:r w:rsidRPr="009072DA">
        <w:rPr>
          <w:lang w:val="bg-BG"/>
        </w:rPr>
        <w:t>1.1.2</w:t>
      </w:r>
      <w:r w:rsidRPr="009072DA">
        <w:rPr>
          <w:lang w:val="bg-BG"/>
        </w:rPr>
        <w:tab/>
        <w:t>тип и сериен номер на бордовата станция за пречистване на отпадъчни води;</w:t>
      </w:r>
    </w:p>
    <w:p w:rsidR="009C13A9" w:rsidRPr="009072DA" w:rsidRDefault="009C13A9" w:rsidP="009C13A9">
      <w:pPr>
        <w:spacing w:line="240" w:lineRule="atLeast"/>
        <w:ind w:left="709" w:hanging="709"/>
        <w:rPr>
          <w:lang w:val="bg-BG"/>
        </w:rPr>
      </w:pPr>
    </w:p>
    <w:p w:rsidR="009C13A9" w:rsidRPr="009072DA" w:rsidRDefault="009C13A9" w:rsidP="009C13A9">
      <w:pPr>
        <w:spacing w:line="240" w:lineRule="atLeast"/>
        <w:ind w:left="709" w:hanging="709"/>
        <w:rPr>
          <w:lang w:val="bg-BG"/>
        </w:rPr>
      </w:pPr>
      <w:r w:rsidRPr="009072DA">
        <w:rPr>
          <w:lang w:val="bg-BG"/>
        </w:rPr>
        <w:t>1.1.3</w:t>
      </w:r>
      <w:r w:rsidRPr="009072DA">
        <w:rPr>
          <w:lang w:val="bg-BG"/>
        </w:rPr>
        <w:tab/>
        <w:t>номер на одобрението на типа в съответствие с раздел IV от настоящото приложение;</w:t>
      </w:r>
    </w:p>
    <w:p w:rsidR="009C13A9" w:rsidRPr="009072DA" w:rsidRDefault="009C13A9" w:rsidP="009C13A9">
      <w:pPr>
        <w:spacing w:line="240" w:lineRule="atLeast"/>
        <w:ind w:left="709" w:hanging="709"/>
        <w:rPr>
          <w:lang w:val="bg-BG"/>
        </w:rPr>
      </w:pPr>
    </w:p>
    <w:p w:rsidR="009C13A9" w:rsidRPr="009072DA" w:rsidRDefault="009C13A9" w:rsidP="009C13A9">
      <w:pPr>
        <w:spacing w:line="240" w:lineRule="atLeast"/>
        <w:ind w:left="709" w:hanging="709"/>
        <w:rPr>
          <w:lang w:val="bg-BG"/>
        </w:rPr>
      </w:pPr>
      <w:r w:rsidRPr="009072DA">
        <w:rPr>
          <w:lang w:val="bg-BG"/>
        </w:rPr>
        <w:t>1.1.4</w:t>
      </w:r>
      <w:r w:rsidRPr="009072DA">
        <w:rPr>
          <w:lang w:val="bg-BG"/>
        </w:rPr>
        <w:tab/>
        <w:t>година на производство на бордовата станция за пречистване на отпадъчни води.</w:t>
      </w:r>
    </w:p>
    <w:p w:rsidR="009C13A9" w:rsidRPr="009072DA" w:rsidRDefault="009C13A9" w:rsidP="009C13A9">
      <w:pPr>
        <w:spacing w:line="240" w:lineRule="atLeast"/>
        <w:ind w:left="709" w:hanging="709"/>
        <w:rPr>
          <w:lang w:val="bg-BG"/>
        </w:rPr>
      </w:pPr>
    </w:p>
    <w:p w:rsidR="009C13A9" w:rsidRPr="009072DA" w:rsidRDefault="009C13A9" w:rsidP="009C13A9">
      <w:pPr>
        <w:spacing w:line="240" w:lineRule="atLeast"/>
        <w:ind w:left="709" w:hanging="709"/>
        <w:rPr>
          <w:lang w:val="bg-BG"/>
        </w:rPr>
      </w:pPr>
      <w:r w:rsidRPr="009072DA">
        <w:rPr>
          <w:lang w:val="bg-BG"/>
        </w:rPr>
        <w:t>1.2</w:t>
      </w:r>
      <w:r w:rsidRPr="009072DA">
        <w:rPr>
          <w:lang w:val="bg-BG"/>
        </w:rPr>
        <w:tab/>
        <w:t>Маркировката в съответствие с точка 1.1 трябва да бъде устойчива, лесночетима и незаличима през целия срок на експлоатация на бордовата станция за пречистване на отпадъчни води. Ако са използвани лепящи етикети или табелки, те трябва да бъдат закрепени по такъв начин, че да остават през целия срок на експлоатация върху бордовата станция за пречистване на отпадъчни води и да не могат да бъдат отстранени, без да бъдат разрушени или направени нечетими.</w:t>
      </w:r>
    </w:p>
    <w:p w:rsidR="009C13A9" w:rsidRPr="009072DA" w:rsidRDefault="009C13A9" w:rsidP="009C13A9">
      <w:pPr>
        <w:spacing w:line="240" w:lineRule="atLeast"/>
        <w:ind w:left="709" w:hanging="709"/>
        <w:rPr>
          <w:lang w:val="bg-BG"/>
        </w:rPr>
      </w:pPr>
    </w:p>
    <w:p w:rsidR="009C13A9" w:rsidRPr="009072DA" w:rsidRDefault="009C13A9" w:rsidP="009C13A9">
      <w:pPr>
        <w:spacing w:line="240" w:lineRule="atLeast"/>
        <w:ind w:left="709" w:hanging="709"/>
        <w:rPr>
          <w:lang w:val="bg-BG"/>
        </w:rPr>
      </w:pPr>
      <w:r w:rsidRPr="009072DA">
        <w:rPr>
          <w:lang w:val="bg-BG"/>
        </w:rPr>
        <w:t>1.3</w:t>
      </w:r>
      <w:r w:rsidRPr="009072DA">
        <w:rPr>
          <w:lang w:val="bg-BG"/>
        </w:rPr>
        <w:tab/>
        <w:t>Маркировката трябва да бъде поставена върху такава част от бордовата станция за пречистване на отпадъчни води, която е необходима за нормална работа на станцията и която по принцип не се заменя по време на срока на експлоатация на последната.</w:t>
      </w:r>
    </w:p>
    <w:p w:rsidR="009C13A9" w:rsidRPr="009072DA" w:rsidRDefault="009C13A9" w:rsidP="009C13A9">
      <w:pPr>
        <w:spacing w:line="240" w:lineRule="atLeast"/>
        <w:ind w:left="709" w:hanging="709"/>
        <w:rPr>
          <w:lang w:val="bg-BG"/>
        </w:rPr>
      </w:pPr>
    </w:p>
    <w:p w:rsidR="009C13A9" w:rsidRPr="009072DA" w:rsidRDefault="009C13A9" w:rsidP="009C13A9">
      <w:pPr>
        <w:spacing w:line="240" w:lineRule="atLeast"/>
        <w:ind w:left="709" w:hanging="709"/>
        <w:rPr>
          <w:lang w:val="bg-BG"/>
        </w:rPr>
      </w:pPr>
      <w:r w:rsidRPr="009072DA">
        <w:rPr>
          <w:lang w:val="bg-BG"/>
        </w:rPr>
        <w:t>1.3.1</w:t>
      </w:r>
      <w:r w:rsidRPr="009072DA">
        <w:rPr>
          <w:lang w:val="bg-BG"/>
        </w:rPr>
        <w:tab/>
        <w:t>Маркировката трябва да бъде поставена по такъв начин, че да е ясно видима, след като към бордовата станция за пречистване на отпадъчни води бъде монтирано цялото спомагателно оборудване, необходимо за работата ѝ.</w:t>
      </w:r>
    </w:p>
    <w:p w:rsidR="009C13A9" w:rsidRPr="009072DA" w:rsidRDefault="009C13A9" w:rsidP="009C13A9">
      <w:pPr>
        <w:spacing w:line="240" w:lineRule="atLeast"/>
        <w:ind w:left="709" w:hanging="709"/>
        <w:rPr>
          <w:lang w:val="bg-BG"/>
        </w:rPr>
      </w:pPr>
    </w:p>
    <w:p w:rsidR="009C13A9" w:rsidRPr="009072DA" w:rsidRDefault="009C13A9" w:rsidP="009C13A9">
      <w:pPr>
        <w:spacing w:line="240" w:lineRule="atLeast"/>
        <w:ind w:left="709" w:hanging="709"/>
        <w:rPr>
          <w:lang w:val="bg-BG"/>
        </w:rPr>
      </w:pPr>
      <w:r w:rsidRPr="009072DA">
        <w:rPr>
          <w:lang w:val="bg-BG"/>
        </w:rPr>
        <w:t>1.3.2</w:t>
      </w:r>
      <w:r w:rsidRPr="009072DA">
        <w:rPr>
          <w:lang w:val="bg-BG"/>
        </w:rPr>
        <w:tab/>
        <w:t xml:space="preserve">Ако е необходимо, върху бордовата станция за пречистване на отпадъчни води трябва да има допълнителна подвижна табела, изработена от траен материал, която да съдържа цялата информация, посочена в точка 1.1, и да е поставена по такъв начин, че споменатата информация да е ясночетима и леснодостъпна след монтирането на </w:t>
      </w:r>
      <w:r w:rsidRPr="009072DA">
        <w:rPr>
          <w:lang w:val="bg-BG"/>
        </w:rPr>
        <w:lastRenderedPageBreak/>
        <w:t>бордовата станция за пречистване на отпадъчни води на борда на плавателното средство.</w:t>
      </w:r>
    </w:p>
    <w:p w:rsidR="009C13A9" w:rsidRPr="009072DA" w:rsidRDefault="009C13A9" w:rsidP="009C13A9">
      <w:pPr>
        <w:spacing w:line="240" w:lineRule="atLeast"/>
        <w:ind w:left="709" w:hanging="709"/>
        <w:rPr>
          <w:lang w:val="bg-BG"/>
        </w:rPr>
      </w:pPr>
    </w:p>
    <w:p w:rsidR="009C13A9" w:rsidRPr="009072DA" w:rsidRDefault="009C13A9" w:rsidP="009C13A9">
      <w:pPr>
        <w:spacing w:line="240" w:lineRule="atLeast"/>
        <w:ind w:left="709" w:hanging="709"/>
        <w:rPr>
          <w:lang w:val="bg-BG"/>
        </w:rPr>
      </w:pPr>
      <w:r w:rsidRPr="009072DA">
        <w:rPr>
          <w:lang w:val="bg-BG"/>
        </w:rPr>
        <w:t>1.4</w:t>
      </w:r>
      <w:r w:rsidRPr="009072DA">
        <w:rPr>
          <w:lang w:val="bg-BG"/>
        </w:rPr>
        <w:tab/>
        <w:t>Всички части на бордовата станция за пречистване на отпадъчни води, които могат да повлияят на пречистването на отпадъчните води, трябва да бъдат ясно маркирани и идентифицирани.</w:t>
      </w:r>
    </w:p>
    <w:p w:rsidR="009C13A9" w:rsidRPr="009072DA" w:rsidRDefault="009C13A9" w:rsidP="009C13A9">
      <w:pPr>
        <w:spacing w:line="240" w:lineRule="atLeast"/>
        <w:ind w:left="709" w:hanging="709"/>
        <w:rPr>
          <w:lang w:val="bg-BG"/>
        </w:rPr>
      </w:pPr>
    </w:p>
    <w:p w:rsidR="009C13A9" w:rsidRPr="009072DA" w:rsidRDefault="009C13A9" w:rsidP="009C13A9">
      <w:pPr>
        <w:spacing w:line="240" w:lineRule="atLeast"/>
        <w:ind w:left="709" w:hanging="709"/>
        <w:rPr>
          <w:lang w:val="bg-BG"/>
        </w:rPr>
      </w:pPr>
      <w:r w:rsidRPr="009072DA">
        <w:rPr>
          <w:lang w:val="bg-BG"/>
        </w:rPr>
        <w:t>1.5</w:t>
      </w:r>
      <w:r w:rsidRPr="009072DA">
        <w:rPr>
          <w:lang w:val="bg-BG"/>
        </w:rPr>
        <w:tab/>
        <w:t>Точното местоположение на маркировката, посочена в точка 1.1, се посочва в раздел I на удостоверението за одобрение на типа.</w:t>
      </w:r>
    </w:p>
    <w:p w:rsidR="009C13A9" w:rsidRPr="009072DA" w:rsidRDefault="009C13A9" w:rsidP="009C13A9">
      <w:pPr>
        <w:suppressAutoHyphens/>
        <w:spacing w:line="240" w:lineRule="atLeast"/>
        <w:ind w:left="709" w:hanging="709"/>
        <w:rPr>
          <w:rFonts w:cs="Arial"/>
          <w:szCs w:val="20"/>
          <w:lang w:val="bg-BG"/>
        </w:rPr>
      </w:pPr>
    </w:p>
    <w:p w:rsidR="009C13A9" w:rsidRPr="009072DA" w:rsidRDefault="009C13A9" w:rsidP="009C13A9">
      <w:pPr>
        <w:spacing w:line="240" w:lineRule="atLeast"/>
        <w:ind w:left="709" w:hanging="709"/>
        <w:outlineLvl w:val="0"/>
        <w:rPr>
          <w:b/>
          <w:szCs w:val="20"/>
          <w:lang w:val="bg-BG"/>
        </w:rPr>
      </w:pPr>
      <w:r w:rsidRPr="009072DA">
        <w:rPr>
          <w:b/>
          <w:lang w:val="bg-BG"/>
        </w:rPr>
        <w:t>2.</w:t>
      </w:r>
      <w:r w:rsidRPr="009072DA">
        <w:rPr>
          <w:lang w:val="bg-BG"/>
        </w:rPr>
        <w:tab/>
      </w:r>
      <w:r w:rsidRPr="009072DA">
        <w:rPr>
          <w:b/>
          <w:lang w:val="bg-BG"/>
        </w:rPr>
        <w:t>Изпитване</w:t>
      </w:r>
    </w:p>
    <w:p w:rsidR="009C13A9" w:rsidRPr="009072DA" w:rsidRDefault="009C13A9" w:rsidP="009C13A9">
      <w:pPr>
        <w:spacing w:line="240" w:lineRule="atLeast"/>
        <w:ind w:left="709" w:hanging="709"/>
        <w:rPr>
          <w:szCs w:val="20"/>
          <w:lang w:val="bg-BG"/>
        </w:rPr>
      </w:pPr>
    </w:p>
    <w:p w:rsidR="009C13A9" w:rsidRPr="009072DA" w:rsidRDefault="009C13A9" w:rsidP="009C13A9">
      <w:pPr>
        <w:spacing w:line="240" w:lineRule="atLeast"/>
        <w:ind w:left="709"/>
        <w:rPr>
          <w:szCs w:val="20"/>
          <w:lang w:val="bg-BG"/>
        </w:rPr>
      </w:pPr>
      <w:r w:rsidRPr="009072DA">
        <w:rPr>
          <w:lang w:val="bg-BG"/>
        </w:rPr>
        <w:t xml:space="preserve">Процедурата за изпитване на бордова станция за пречистване на отпадъчни води е изложена в раздел IX. </w:t>
      </w:r>
    </w:p>
    <w:p w:rsidR="009C13A9" w:rsidRPr="009072DA" w:rsidRDefault="009C13A9" w:rsidP="009C13A9">
      <w:pPr>
        <w:spacing w:line="240" w:lineRule="atLeast"/>
        <w:ind w:left="709" w:hanging="709"/>
        <w:rPr>
          <w:szCs w:val="20"/>
          <w:lang w:val="bg-BG"/>
        </w:rPr>
      </w:pPr>
    </w:p>
    <w:p w:rsidR="009C13A9" w:rsidRPr="009072DA" w:rsidRDefault="009C13A9" w:rsidP="009C13A9">
      <w:pPr>
        <w:spacing w:line="240" w:lineRule="atLeast"/>
        <w:ind w:left="709" w:hanging="709"/>
        <w:rPr>
          <w:szCs w:val="20"/>
          <w:lang w:val="bg-BG"/>
        </w:rPr>
      </w:pPr>
      <w:r w:rsidRPr="009072DA">
        <w:rPr>
          <w:lang w:val="bg-BG"/>
        </w:rPr>
        <w:br w:type="page"/>
      </w:r>
    </w:p>
    <w:p w:rsidR="009C13A9" w:rsidRPr="009072DA" w:rsidRDefault="009C13A9" w:rsidP="009C13A9">
      <w:pPr>
        <w:spacing w:line="240" w:lineRule="atLeast"/>
        <w:ind w:left="709" w:hanging="709"/>
        <w:outlineLvl w:val="0"/>
        <w:rPr>
          <w:b/>
          <w:szCs w:val="20"/>
          <w:lang w:val="bg-BG"/>
        </w:rPr>
      </w:pPr>
      <w:r w:rsidRPr="009072DA">
        <w:rPr>
          <w:b/>
          <w:lang w:val="bg-BG"/>
        </w:rPr>
        <w:lastRenderedPageBreak/>
        <w:t>3.</w:t>
      </w:r>
      <w:r w:rsidRPr="009072DA">
        <w:rPr>
          <w:lang w:val="bg-BG"/>
        </w:rPr>
        <w:tab/>
      </w:r>
      <w:r w:rsidRPr="009072DA">
        <w:rPr>
          <w:b/>
          <w:lang w:val="bg-BG"/>
        </w:rPr>
        <w:t>Оценка на съответствието на производството</w:t>
      </w:r>
    </w:p>
    <w:p w:rsidR="009C13A9" w:rsidRPr="009072DA" w:rsidRDefault="009C13A9" w:rsidP="009C13A9">
      <w:pPr>
        <w:spacing w:line="240" w:lineRule="atLeast"/>
        <w:ind w:left="709" w:hanging="709"/>
        <w:outlineLvl w:val="0"/>
        <w:rPr>
          <w:b/>
          <w:szCs w:val="20"/>
          <w:lang w:val="bg-BG"/>
        </w:rPr>
      </w:pPr>
    </w:p>
    <w:p w:rsidR="009C13A9" w:rsidRPr="009072DA" w:rsidRDefault="009C13A9" w:rsidP="009C13A9">
      <w:pPr>
        <w:spacing w:line="240" w:lineRule="atLeast"/>
        <w:ind w:left="709" w:hanging="709"/>
        <w:rPr>
          <w:szCs w:val="20"/>
          <w:lang w:val="bg-BG"/>
        </w:rPr>
      </w:pPr>
      <w:r w:rsidRPr="009072DA">
        <w:rPr>
          <w:lang w:val="bg-BG"/>
        </w:rPr>
        <w:t>3.1</w:t>
      </w:r>
      <w:r w:rsidRPr="009072DA">
        <w:rPr>
          <w:lang w:val="bg-BG"/>
        </w:rPr>
        <w:tab/>
      </w:r>
      <w:r w:rsidRPr="009072DA">
        <w:rPr>
          <w:rFonts w:ascii="ArialMT" w:hAnsi="ArialMT"/>
          <w:lang w:val="bg-BG"/>
        </w:rPr>
        <w:t xml:space="preserve">По отношение на проверката на наличието на задоволителни мерки и процедури за осигуряване на ефективен контрол на съответствието на производството, преди да издаде одобрение на типа, компетентният орган трябва да приеме регистрацията на производителя по хармонизиран стандарт EN ISO 9001:  2015 (в чийто обхват влиза производството на въпросните бордови станции за пречистване на отпадъчни води) или еквивалентен стандарт за акредитиране като изпълняваща изискванията. </w:t>
      </w:r>
      <w:r w:rsidRPr="009072DA">
        <w:rPr>
          <w:lang w:val="bg-BG"/>
        </w:rPr>
        <w:t xml:space="preserve">Производителят трябва да представи подробна информация за регистрацията и се задължава да информира компетентния орган за всякакви промени на валидността или обхвата ѝ. Провеждат се подходящи проверки на производството с цел да се гарантира, че изискванията на член 18.01, точки 2 — 5 се спазват системно. </w:t>
      </w:r>
    </w:p>
    <w:p w:rsidR="009C13A9" w:rsidRPr="009072DA" w:rsidRDefault="009C13A9" w:rsidP="009C13A9">
      <w:pPr>
        <w:spacing w:line="240" w:lineRule="atLeast"/>
        <w:ind w:left="709" w:hanging="709"/>
        <w:rPr>
          <w:szCs w:val="20"/>
          <w:lang w:val="bg-BG"/>
        </w:rPr>
      </w:pPr>
    </w:p>
    <w:p w:rsidR="009C13A9" w:rsidRPr="009072DA" w:rsidRDefault="009C13A9" w:rsidP="009C13A9">
      <w:pPr>
        <w:spacing w:line="240" w:lineRule="atLeast"/>
        <w:ind w:left="709" w:hanging="709"/>
        <w:rPr>
          <w:szCs w:val="20"/>
          <w:lang w:val="bg-BG"/>
        </w:rPr>
      </w:pPr>
      <w:r w:rsidRPr="009072DA">
        <w:rPr>
          <w:lang w:val="bg-BG"/>
        </w:rPr>
        <w:t>3.2</w:t>
      </w:r>
      <w:r w:rsidRPr="009072DA">
        <w:rPr>
          <w:lang w:val="bg-BG"/>
        </w:rPr>
        <w:tab/>
        <w:t>Притежателят на одобрението на типа трябва:</w:t>
      </w:r>
    </w:p>
    <w:p w:rsidR="009C13A9" w:rsidRPr="009072DA" w:rsidRDefault="009C13A9" w:rsidP="009C13A9">
      <w:pPr>
        <w:spacing w:line="240" w:lineRule="atLeast"/>
        <w:ind w:left="709" w:hanging="709"/>
        <w:rPr>
          <w:szCs w:val="20"/>
          <w:lang w:val="bg-BG"/>
        </w:rPr>
      </w:pPr>
    </w:p>
    <w:p w:rsidR="009C13A9" w:rsidRPr="009072DA" w:rsidRDefault="009C13A9" w:rsidP="009C13A9">
      <w:pPr>
        <w:spacing w:line="240" w:lineRule="atLeast"/>
        <w:ind w:left="709" w:hanging="709"/>
        <w:rPr>
          <w:szCs w:val="20"/>
          <w:lang w:val="bg-BG"/>
        </w:rPr>
      </w:pPr>
      <w:r w:rsidRPr="009072DA">
        <w:rPr>
          <w:lang w:val="bg-BG"/>
        </w:rPr>
        <w:t>3.2.1</w:t>
      </w:r>
      <w:r w:rsidRPr="009072DA">
        <w:rPr>
          <w:lang w:val="bg-BG"/>
        </w:rPr>
        <w:tab/>
        <w:t xml:space="preserve">да гарантира, че са въведени процедури за ефикасен контрол на качеството на продукта; </w:t>
      </w:r>
    </w:p>
    <w:p w:rsidR="009C13A9" w:rsidRPr="009072DA" w:rsidRDefault="009C13A9" w:rsidP="009C13A9">
      <w:pPr>
        <w:spacing w:line="240" w:lineRule="atLeast"/>
        <w:ind w:left="709" w:hanging="709"/>
        <w:rPr>
          <w:szCs w:val="20"/>
          <w:lang w:val="bg-BG"/>
        </w:rPr>
      </w:pPr>
    </w:p>
    <w:p w:rsidR="009C13A9" w:rsidRPr="009072DA" w:rsidRDefault="009C13A9" w:rsidP="009C13A9">
      <w:pPr>
        <w:spacing w:line="240" w:lineRule="atLeast"/>
        <w:ind w:left="709" w:hanging="709"/>
        <w:rPr>
          <w:szCs w:val="20"/>
          <w:lang w:val="bg-BG"/>
        </w:rPr>
      </w:pPr>
      <w:r w:rsidRPr="009072DA">
        <w:rPr>
          <w:lang w:val="bg-BG"/>
        </w:rPr>
        <w:t>3.2.2</w:t>
      </w:r>
      <w:r w:rsidRPr="009072DA">
        <w:rPr>
          <w:lang w:val="bg-BG"/>
        </w:rPr>
        <w:tab/>
        <w:t xml:space="preserve">да има достъп до оборудването за изпитване, необходимо за проверка на съответствието с всеки тип с одобрение на типа; </w:t>
      </w:r>
    </w:p>
    <w:p w:rsidR="009C13A9" w:rsidRPr="009072DA" w:rsidRDefault="009C13A9" w:rsidP="009C13A9">
      <w:pPr>
        <w:ind w:left="850" w:hanging="850"/>
        <w:rPr>
          <w:szCs w:val="20"/>
          <w:lang w:val="bg-BG"/>
        </w:rPr>
      </w:pPr>
    </w:p>
    <w:p w:rsidR="009C13A9" w:rsidRPr="009072DA" w:rsidRDefault="009C13A9" w:rsidP="009C13A9">
      <w:pPr>
        <w:spacing w:line="240" w:lineRule="atLeast"/>
        <w:ind w:left="709" w:hanging="709"/>
        <w:rPr>
          <w:szCs w:val="20"/>
          <w:lang w:val="bg-BG"/>
        </w:rPr>
      </w:pPr>
      <w:r w:rsidRPr="009072DA">
        <w:rPr>
          <w:lang w:val="bg-BG"/>
        </w:rPr>
        <w:t>3.2.3</w:t>
      </w:r>
      <w:r w:rsidRPr="009072DA">
        <w:rPr>
          <w:lang w:val="bg-BG"/>
        </w:rPr>
        <w:tab/>
        <w:t xml:space="preserve">да гарантира, че резултатите от изпитванията са записани и че тези записи и съответните документи остават на разположение за период, който се определя съвместно с компетентния орган; </w:t>
      </w:r>
    </w:p>
    <w:p w:rsidR="009C13A9" w:rsidRPr="009072DA" w:rsidRDefault="009C13A9" w:rsidP="009C13A9">
      <w:pPr>
        <w:spacing w:line="240" w:lineRule="atLeast"/>
        <w:ind w:left="709" w:hanging="709"/>
        <w:rPr>
          <w:szCs w:val="20"/>
          <w:lang w:val="bg-BG"/>
        </w:rPr>
      </w:pPr>
    </w:p>
    <w:p w:rsidR="009C13A9" w:rsidRPr="009072DA" w:rsidRDefault="009C13A9" w:rsidP="009C13A9">
      <w:pPr>
        <w:spacing w:line="240" w:lineRule="atLeast"/>
        <w:ind w:left="709" w:hanging="709"/>
        <w:rPr>
          <w:szCs w:val="20"/>
          <w:lang w:val="bg-BG"/>
        </w:rPr>
      </w:pPr>
      <w:r w:rsidRPr="009072DA">
        <w:rPr>
          <w:lang w:val="bg-BG"/>
        </w:rPr>
        <w:t>3.2.4</w:t>
      </w:r>
      <w:r w:rsidRPr="009072DA">
        <w:rPr>
          <w:lang w:val="bg-BG"/>
        </w:rPr>
        <w:tab/>
        <w:t xml:space="preserve">да анализира подробно резултатите от всеки вид изпитване, за да провери и гарантира съответствието на характеристиките на бордовата станция за пречистване на отпадъчни води, като предвижда възможност за стандартни отклонения при серийното производство; </w:t>
      </w:r>
    </w:p>
    <w:p w:rsidR="009C13A9" w:rsidRPr="009072DA" w:rsidRDefault="009C13A9" w:rsidP="009C13A9">
      <w:pPr>
        <w:spacing w:line="240" w:lineRule="atLeast"/>
        <w:ind w:left="709" w:hanging="709"/>
        <w:rPr>
          <w:szCs w:val="20"/>
          <w:lang w:val="bg-BG"/>
        </w:rPr>
      </w:pPr>
    </w:p>
    <w:p w:rsidR="009C13A9" w:rsidRPr="009072DA" w:rsidRDefault="009C13A9" w:rsidP="009C13A9">
      <w:pPr>
        <w:spacing w:line="240" w:lineRule="atLeast"/>
        <w:ind w:left="709" w:hanging="709"/>
        <w:rPr>
          <w:szCs w:val="20"/>
          <w:lang w:val="bg-BG"/>
        </w:rPr>
      </w:pPr>
      <w:r w:rsidRPr="009072DA">
        <w:rPr>
          <w:lang w:val="bg-BG"/>
        </w:rPr>
        <w:t>3.2.5</w:t>
      </w:r>
      <w:r w:rsidRPr="009072DA">
        <w:rPr>
          <w:lang w:val="bg-BG"/>
        </w:rPr>
        <w:tab/>
        <w:t>да гарантира, че всички проби от бордови станции за пречистване на отпадъчни води или изпитвателни образци, които показват явно несъответствие при въпросния тип изпитване, водят до допълнително вземане на проби и изпитване, като се вземат всички необходими мерки за възстановяване на съответствието на производството.</w:t>
      </w:r>
    </w:p>
    <w:p w:rsidR="009C13A9" w:rsidRPr="009072DA" w:rsidRDefault="009C13A9" w:rsidP="009C13A9">
      <w:pPr>
        <w:spacing w:line="240" w:lineRule="atLeast"/>
        <w:ind w:left="709" w:hanging="709"/>
        <w:rPr>
          <w:szCs w:val="20"/>
          <w:lang w:val="bg-BG"/>
        </w:rPr>
      </w:pPr>
    </w:p>
    <w:p w:rsidR="009C13A9" w:rsidRPr="009072DA" w:rsidRDefault="009C13A9" w:rsidP="009C13A9">
      <w:pPr>
        <w:spacing w:line="240" w:lineRule="atLeast"/>
        <w:ind w:left="709" w:hanging="709"/>
        <w:rPr>
          <w:szCs w:val="20"/>
          <w:lang w:val="bg-BG"/>
        </w:rPr>
      </w:pPr>
      <w:r w:rsidRPr="009072DA">
        <w:rPr>
          <w:lang w:val="bg-BG"/>
        </w:rPr>
        <w:t>3.3</w:t>
      </w:r>
      <w:r w:rsidRPr="009072DA">
        <w:rPr>
          <w:lang w:val="bg-BG"/>
        </w:rPr>
        <w:tab/>
        <w:t>Компетентният орган, издал одобрението на типа, може по всяко време да проверява методите за контрол на съответствието, прилагани във всяка производствена база.</w:t>
      </w:r>
    </w:p>
    <w:p w:rsidR="009C13A9" w:rsidRPr="009072DA" w:rsidRDefault="009C13A9" w:rsidP="009C13A9">
      <w:pPr>
        <w:spacing w:line="240" w:lineRule="atLeast"/>
        <w:ind w:left="709" w:hanging="709"/>
        <w:rPr>
          <w:szCs w:val="20"/>
          <w:lang w:val="bg-BG"/>
        </w:rPr>
      </w:pPr>
    </w:p>
    <w:p w:rsidR="009C13A9" w:rsidRPr="009072DA" w:rsidRDefault="009C13A9" w:rsidP="009C13A9">
      <w:pPr>
        <w:spacing w:line="240" w:lineRule="atLeast"/>
        <w:ind w:left="709" w:hanging="709"/>
        <w:rPr>
          <w:szCs w:val="20"/>
          <w:lang w:val="bg-BG"/>
        </w:rPr>
      </w:pPr>
      <w:r w:rsidRPr="009072DA">
        <w:rPr>
          <w:lang w:val="bg-BG"/>
        </w:rPr>
        <w:t>3.3.1</w:t>
      </w:r>
      <w:r w:rsidRPr="009072DA">
        <w:rPr>
          <w:lang w:val="bg-BG"/>
        </w:rPr>
        <w:tab/>
        <w:t>Документацията за изпитването и производството трябва да бъде на разположение на изпитващия при всяко изпитване.</w:t>
      </w:r>
    </w:p>
    <w:p w:rsidR="009C13A9" w:rsidRPr="009072DA" w:rsidRDefault="009C13A9" w:rsidP="009C13A9">
      <w:pPr>
        <w:spacing w:line="240" w:lineRule="atLeast"/>
        <w:ind w:left="709" w:hanging="709"/>
        <w:rPr>
          <w:szCs w:val="20"/>
          <w:lang w:val="bg-BG"/>
        </w:rPr>
      </w:pPr>
    </w:p>
    <w:p w:rsidR="009C13A9" w:rsidRPr="009072DA" w:rsidRDefault="009C13A9" w:rsidP="009C13A9">
      <w:pPr>
        <w:spacing w:line="240" w:lineRule="atLeast"/>
        <w:ind w:left="709" w:hanging="709"/>
        <w:rPr>
          <w:szCs w:val="20"/>
          <w:lang w:val="bg-BG"/>
        </w:rPr>
      </w:pPr>
      <w:r w:rsidRPr="009072DA">
        <w:rPr>
          <w:lang w:val="bg-BG"/>
        </w:rPr>
        <w:t>3.3.2</w:t>
      </w:r>
      <w:r w:rsidRPr="009072DA">
        <w:rPr>
          <w:lang w:val="bg-BG"/>
        </w:rPr>
        <w:tab/>
        <w:t>Ако качеството на изпитванията изглежда незадоволително, се прилага следната процедура:</w:t>
      </w:r>
    </w:p>
    <w:p w:rsidR="009C13A9" w:rsidRPr="009072DA" w:rsidRDefault="009C13A9" w:rsidP="009C13A9">
      <w:pPr>
        <w:spacing w:line="240" w:lineRule="atLeast"/>
        <w:ind w:left="709" w:hanging="709"/>
        <w:rPr>
          <w:szCs w:val="20"/>
          <w:lang w:val="bg-BG"/>
        </w:rPr>
      </w:pPr>
    </w:p>
    <w:p w:rsidR="009C13A9" w:rsidRPr="009072DA" w:rsidRDefault="009C13A9" w:rsidP="009C13A9">
      <w:pPr>
        <w:spacing w:line="240" w:lineRule="atLeast"/>
        <w:ind w:left="709" w:hanging="709"/>
        <w:rPr>
          <w:szCs w:val="20"/>
          <w:lang w:val="bg-BG"/>
        </w:rPr>
      </w:pPr>
      <w:r w:rsidRPr="009072DA">
        <w:rPr>
          <w:lang w:val="bg-BG"/>
        </w:rPr>
        <w:t>3.3.2.1</w:t>
      </w:r>
      <w:r w:rsidRPr="009072DA">
        <w:rPr>
          <w:lang w:val="bg-BG"/>
        </w:rPr>
        <w:tab/>
        <w:t>От серията се взема една бордова станция за пречистване на отпадъчни води и се изпитва чрез измервания на случайна проба при условията на нормално натоварване от раздел IX след един ден работа.  Съгласно методите за изпитване в раздел IX, пречистените отпадъчни води не трябва да надвишават стойностите, дадени в член 18.01, точка 2, таблица 2.</w:t>
      </w:r>
    </w:p>
    <w:p w:rsidR="009C13A9" w:rsidRPr="009072DA" w:rsidRDefault="009C13A9" w:rsidP="009C13A9">
      <w:pPr>
        <w:tabs>
          <w:tab w:val="left" w:pos="709"/>
          <w:tab w:val="left" w:pos="851"/>
        </w:tabs>
        <w:suppressAutoHyphens/>
        <w:spacing w:line="240" w:lineRule="atLeast"/>
        <w:ind w:left="709" w:hanging="709"/>
        <w:rPr>
          <w:szCs w:val="20"/>
          <w:lang w:val="bg-BG"/>
        </w:rPr>
      </w:pPr>
    </w:p>
    <w:p w:rsidR="009C13A9" w:rsidRPr="009072DA" w:rsidRDefault="009C13A9" w:rsidP="009C13A9">
      <w:pPr>
        <w:tabs>
          <w:tab w:val="left" w:pos="709"/>
          <w:tab w:val="left" w:pos="851"/>
        </w:tabs>
        <w:suppressAutoHyphens/>
        <w:spacing w:line="240" w:lineRule="atLeast"/>
        <w:ind w:left="709" w:hanging="709"/>
        <w:rPr>
          <w:szCs w:val="20"/>
          <w:lang w:val="bg-BG"/>
        </w:rPr>
      </w:pPr>
      <w:r w:rsidRPr="009072DA">
        <w:rPr>
          <w:lang w:val="bg-BG"/>
        </w:rPr>
        <w:br w:type="page"/>
      </w:r>
    </w:p>
    <w:p w:rsidR="009C13A9" w:rsidRPr="009072DA" w:rsidRDefault="009C13A9" w:rsidP="009C13A9">
      <w:pPr>
        <w:tabs>
          <w:tab w:val="left" w:pos="709"/>
          <w:tab w:val="left" w:pos="851"/>
        </w:tabs>
        <w:suppressAutoHyphens/>
        <w:spacing w:line="240" w:lineRule="atLeast"/>
        <w:ind w:left="709" w:hanging="709"/>
        <w:rPr>
          <w:szCs w:val="20"/>
          <w:lang w:val="bg-BG"/>
        </w:rPr>
      </w:pPr>
      <w:r w:rsidRPr="009072DA">
        <w:rPr>
          <w:lang w:val="bg-BG"/>
        </w:rPr>
        <w:lastRenderedPageBreak/>
        <w:t>3.3.2.2</w:t>
      </w:r>
      <w:r w:rsidRPr="009072DA">
        <w:rPr>
          <w:lang w:val="bg-BG"/>
        </w:rPr>
        <w:tab/>
        <w:t xml:space="preserve">Ако бордова станция за пречистване на отпадъчни води, взета от серията, не отговаря на изискванията, формулирани в (3.3.2.1), производителят може да поиска да бъдат проведени измервания на случайна проба от няколко бордови станции за пречистване на отпадъчни води със същата спецификация, които се вземат от серията. Тази нова проба трябва да включва бордовата станция за пречистване на отпадъчни води, която е била взета първоначално. </w:t>
      </w:r>
    </w:p>
    <w:p w:rsidR="00FF6A33" w:rsidRPr="009072DA" w:rsidRDefault="00FF6A33" w:rsidP="009C13A9">
      <w:pPr>
        <w:tabs>
          <w:tab w:val="left" w:pos="709"/>
          <w:tab w:val="left" w:pos="851"/>
        </w:tabs>
        <w:suppressAutoHyphens/>
        <w:spacing w:line="240" w:lineRule="atLeast"/>
        <w:ind w:left="709" w:hanging="709"/>
        <w:rPr>
          <w:szCs w:val="20"/>
          <w:lang w:val="bg-BG"/>
        </w:rPr>
      </w:pPr>
    </w:p>
    <w:p w:rsidR="009C13A9" w:rsidRPr="009072DA" w:rsidRDefault="009C13A9" w:rsidP="009C13A9">
      <w:pPr>
        <w:tabs>
          <w:tab w:val="left" w:pos="709"/>
        </w:tabs>
        <w:suppressAutoHyphens/>
        <w:spacing w:line="240" w:lineRule="atLeast"/>
        <w:ind w:left="709"/>
        <w:rPr>
          <w:szCs w:val="20"/>
          <w:lang w:val="bg-BG"/>
        </w:rPr>
      </w:pPr>
      <w:r w:rsidRPr="009072DA">
        <w:rPr>
          <w:lang w:val="bg-BG"/>
        </w:rPr>
        <w:t xml:space="preserve">Производителят определя обхвата </w:t>
      </w:r>
      <m:oMath>
        <m:r>
          <w:rPr>
            <w:rFonts w:ascii="Cambria Math" w:hAnsi="Cambria Math"/>
            <w:szCs w:val="20"/>
            <w:lang w:val="bg-BG"/>
          </w:rPr>
          <m:t>'n'</m:t>
        </m:r>
      </m:oMath>
      <w:r w:rsidRPr="009072DA">
        <w:rPr>
          <w:lang w:val="bg-BG"/>
        </w:rPr>
        <w:t xml:space="preserve"> на серията като се консултира с компетентния орган. Бордовите станции за пречистване на отпадъчни води се подлагат на изпитване чрез измерване на случайна проба, с изключение на първоначално изпитваната пречиствателна станция. След това трябва да бъде определена средната аритметична стойност </w:t>
      </w:r>
      <m:oMath>
        <m:r>
          <w:rPr>
            <w:rFonts w:ascii="Cambria Math" w:hAnsi="Cambria Math"/>
            <w:szCs w:val="20"/>
            <w:lang w:val="bg-BG"/>
          </w:rPr>
          <m:t>(</m:t>
        </m:r>
        <m:acc>
          <m:accPr>
            <m:chr m:val="̅"/>
            <m:ctrlPr>
              <w:rPr>
                <w:rFonts w:ascii="Cambria Math" w:hAnsi="Cambria Math"/>
                <w:i/>
                <w:szCs w:val="20"/>
                <w:lang w:val="bg-BG"/>
              </w:rPr>
            </m:ctrlPr>
          </m:accPr>
          <m:e>
            <m:r>
              <w:rPr>
                <w:rFonts w:ascii="Cambria Math" w:hAnsi="Cambria Math"/>
                <w:szCs w:val="20"/>
                <w:lang w:val="bg-BG"/>
              </w:rPr>
              <m:t>x</m:t>
            </m:r>
          </m:e>
        </m:acc>
        <m:r>
          <w:rPr>
            <w:rFonts w:ascii="Cambria Math" w:hAnsi="Cambria Math"/>
            <w:szCs w:val="20"/>
            <w:lang w:val="bg-BG"/>
          </w:rPr>
          <m:t>)</m:t>
        </m:r>
      </m:oMath>
      <w:r w:rsidRPr="009072DA">
        <w:rPr>
          <w:lang w:val="bg-BG"/>
        </w:rPr>
        <w:t xml:space="preserve"> на резултатите, получени за произволната проба от бордовата станция за пречистване на отпадъчни води. Серийното производство се счита за съответстващо на изискванията, ако е изпълнено следното условие:</w:t>
      </w:r>
    </w:p>
    <w:p w:rsidR="009C13A9" w:rsidRPr="009072DA" w:rsidRDefault="009C13A9" w:rsidP="007D3F2F">
      <w:pPr>
        <w:suppressAutoHyphens/>
        <w:spacing w:line="240" w:lineRule="atLeast"/>
        <w:rPr>
          <w:szCs w:val="20"/>
          <w:lang w:val="bg-BG"/>
        </w:rPr>
      </w:pPr>
    </w:p>
    <w:p w:rsidR="007D3F2F" w:rsidRPr="009072DA" w:rsidRDefault="002B712C" w:rsidP="007D3F2F">
      <w:pPr>
        <w:suppressAutoHyphens/>
        <w:spacing w:line="240" w:lineRule="atLeast"/>
        <w:rPr>
          <w:szCs w:val="20"/>
          <w:lang w:val="bg-BG"/>
        </w:rPr>
      </w:pPr>
      <m:oMathPara>
        <m:oMath>
          <m:acc>
            <m:accPr>
              <m:chr m:val="̅"/>
              <m:ctrlPr>
                <w:rPr>
                  <w:rFonts w:ascii="Cambria Math" w:hAnsi="Cambria Math"/>
                  <w:i/>
                  <w:szCs w:val="20"/>
                  <w:lang w:val="bg-BG"/>
                </w:rPr>
              </m:ctrlPr>
            </m:accPr>
            <m:e>
              <m:r>
                <w:rPr>
                  <w:rFonts w:ascii="Cambria Math" w:hAnsi="Cambria Math"/>
                  <w:szCs w:val="20"/>
                  <w:lang w:val="bg-BG"/>
                </w:rPr>
                <m:t>x</m:t>
              </m:r>
            </m:e>
          </m:acc>
          <m:r>
            <w:rPr>
              <w:rFonts w:ascii="Cambria Math" w:hAnsi="Cambria Math"/>
              <w:szCs w:val="20"/>
              <w:lang w:val="bg-BG"/>
            </w:rPr>
            <m:t xml:space="preserve">+k ∙  </m:t>
          </m:r>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t</m:t>
              </m:r>
            </m:sub>
          </m:sSub>
          <m:r>
            <w:rPr>
              <w:rFonts w:ascii="Cambria Math" w:hAnsi="Cambria Math"/>
              <w:szCs w:val="20"/>
              <w:lang w:val="bg-BG"/>
            </w:rPr>
            <m:t xml:space="preserve"> ≤L</m:t>
          </m:r>
        </m:oMath>
      </m:oMathPara>
    </w:p>
    <w:p w:rsidR="007D3F2F" w:rsidRPr="009072DA" w:rsidRDefault="007D3F2F" w:rsidP="009C13A9">
      <w:pPr>
        <w:tabs>
          <w:tab w:val="left" w:pos="709"/>
        </w:tabs>
        <w:suppressAutoHyphens/>
        <w:overflowPunct w:val="0"/>
        <w:spacing w:line="240" w:lineRule="atLeast"/>
        <w:ind w:left="709"/>
        <w:textAlignment w:val="baseline"/>
        <w:rPr>
          <w:rFonts w:cs="Arial"/>
          <w:szCs w:val="20"/>
          <w:lang w:val="bg-BG"/>
        </w:rPr>
      </w:pPr>
    </w:p>
    <w:p w:rsidR="009C13A9" w:rsidRPr="009072DA" w:rsidRDefault="009C13A9" w:rsidP="009C13A9">
      <w:pPr>
        <w:tabs>
          <w:tab w:val="left" w:pos="709"/>
        </w:tabs>
        <w:suppressAutoHyphens/>
        <w:overflowPunct w:val="0"/>
        <w:spacing w:line="240" w:lineRule="atLeast"/>
        <w:ind w:left="709"/>
        <w:textAlignment w:val="baseline"/>
        <w:rPr>
          <w:rFonts w:cs="Arial"/>
          <w:szCs w:val="20"/>
          <w:lang w:val="bg-BG"/>
        </w:rPr>
      </w:pPr>
      <w:r w:rsidRPr="009072DA">
        <w:rPr>
          <w:lang w:val="bg-BG"/>
        </w:rPr>
        <w:t>Където:</w:t>
      </w:r>
    </w:p>
    <w:p w:rsidR="009C13A9" w:rsidRPr="009072DA" w:rsidRDefault="009C13A9" w:rsidP="009C13A9">
      <w:pPr>
        <w:tabs>
          <w:tab w:val="left" w:pos="709"/>
          <w:tab w:val="left" w:pos="851"/>
        </w:tabs>
        <w:suppressAutoHyphens/>
        <w:spacing w:line="240" w:lineRule="atLeast"/>
        <w:ind w:left="709" w:hanging="709"/>
        <w:rPr>
          <w:rFonts w:cs="Arial"/>
          <w:szCs w:val="20"/>
          <w:lang w:val="bg-BG"/>
        </w:rPr>
      </w:pPr>
      <w:r w:rsidRPr="009072DA">
        <w:rPr>
          <w:lang w:val="bg-BG"/>
        </w:rPr>
        <w:tab/>
      </w:r>
      <m:oMath>
        <m:r>
          <w:rPr>
            <w:rFonts w:ascii="Cambria Math" w:hAnsi="Cambria Math" w:cs="Arial"/>
            <w:szCs w:val="20"/>
            <w:lang w:val="bg-BG"/>
          </w:rPr>
          <m:t>k</m:t>
        </m:r>
      </m:oMath>
      <w:r w:rsidRPr="009072DA">
        <w:rPr>
          <w:lang w:val="bg-BG"/>
        </w:rPr>
        <w:t>:</w:t>
      </w:r>
      <w:r w:rsidRPr="009072DA">
        <w:rPr>
          <w:lang w:val="bg-BG"/>
        </w:rPr>
        <w:tab/>
        <w:t xml:space="preserve">е статистически множител, който зависи от </w:t>
      </w:r>
      <m:oMath>
        <m:r>
          <w:rPr>
            <w:rFonts w:ascii="Cambria Math" w:hAnsi="Cambria Math"/>
            <w:szCs w:val="20"/>
            <w:lang w:val="bg-BG"/>
          </w:rPr>
          <m:t>'n'</m:t>
        </m:r>
      </m:oMath>
      <w:r w:rsidRPr="009072DA">
        <w:rPr>
          <w:lang w:val="bg-BG"/>
        </w:rPr>
        <w:t xml:space="preserve"> и е даден в следната таблица:</w:t>
      </w:r>
    </w:p>
    <w:p w:rsidR="009C13A9" w:rsidRPr="009072DA" w:rsidRDefault="009C13A9" w:rsidP="009C13A9">
      <w:pPr>
        <w:tabs>
          <w:tab w:val="left" w:pos="709"/>
          <w:tab w:val="left" w:pos="851"/>
        </w:tabs>
        <w:suppressAutoHyphens/>
        <w:spacing w:line="240" w:lineRule="atLeast"/>
        <w:ind w:left="709" w:hanging="709"/>
        <w:rPr>
          <w:rFonts w:cs="Arial"/>
          <w:szCs w:val="20"/>
          <w:lang w:val="bg-BG"/>
        </w:rPr>
      </w:pPr>
    </w:p>
    <w:tbl>
      <w:tblPr>
        <w:tblW w:w="0" w:type="auto"/>
        <w:jc w:val="center"/>
        <w:tblLayout w:type="fixed"/>
        <w:tblCellMar>
          <w:left w:w="70" w:type="dxa"/>
          <w:right w:w="70" w:type="dxa"/>
        </w:tblCellMar>
        <w:tblLook w:val="0000" w:firstRow="0" w:lastRow="0" w:firstColumn="0" w:lastColumn="0" w:noHBand="0" w:noVBand="0"/>
      </w:tblPr>
      <w:tblGrid>
        <w:gridCol w:w="709"/>
        <w:gridCol w:w="850"/>
        <w:gridCol w:w="851"/>
        <w:gridCol w:w="850"/>
        <w:gridCol w:w="851"/>
        <w:gridCol w:w="850"/>
        <w:gridCol w:w="851"/>
        <w:gridCol w:w="850"/>
        <w:gridCol w:w="851"/>
        <w:gridCol w:w="975"/>
      </w:tblGrid>
      <w:tr w:rsidR="009C13A9" w:rsidRPr="009072DA" w:rsidTr="009C13A9">
        <w:trPr>
          <w:jc w:val="center"/>
        </w:trPr>
        <w:tc>
          <w:tcPr>
            <w:tcW w:w="709" w:type="dxa"/>
            <w:tcBorders>
              <w:top w:val="single" w:sz="4" w:space="0" w:color="000000"/>
              <w:left w:val="single" w:sz="4" w:space="0" w:color="000000"/>
              <w:bottom w:val="single" w:sz="4" w:space="0" w:color="000000"/>
            </w:tcBorders>
          </w:tcPr>
          <w:p w:rsidR="009C13A9" w:rsidRPr="009072DA" w:rsidRDefault="007D3F2F" w:rsidP="009C13A9">
            <w:pPr>
              <w:suppressAutoHyphens/>
              <w:snapToGrid w:val="0"/>
              <w:spacing w:before="60" w:after="60" w:line="240" w:lineRule="atLeast"/>
              <w:jc w:val="center"/>
              <w:rPr>
                <w:rFonts w:cs="Arial"/>
                <w:sz w:val="18"/>
                <w:szCs w:val="20"/>
                <w:lang w:val="bg-BG"/>
              </w:rPr>
            </w:pPr>
            <m:oMathPara>
              <m:oMath>
                <m:r>
                  <w:rPr>
                    <w:rFonts w:ascii="Cambria Math" w:hAnsi="Cambria Math"/>
                    <w:szCs w:val="20"/>
                    <w:lang w:val="bg-BG"/>
                  </w:rPr>
                  <m:t>n</m:t>
                </m:r>
              </m:oMath>
            </m:oMathPara>
          </w:p>
        </w:tc>
        <w:tc>
          <w:tcPr>
            <w:tcW w:w="850"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2</w:t>
            </w:r>
          </w:p>
        </w:tc>
        <w:tc>
          <w:tcPr>
            <w:tcW w:w="851"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3</w:t>
            </w:r>
          </w:p>
        </w:tc>
        <w:tc>
          <w:tcPr>
            <w:tcW w:w="850"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4</w:t>
            </w:r>
          </w:p>
        </w:tc>
        <w:tc>
          <w:tcPr>
            <w:tcW w:w="851"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5</w:t>
            </w:r>
          </w:p>
        </w:tc>
        <w:tc>
          <w:tcPr>
            <w:tcW w:w="850"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6</w:t>
            </w:r>
          </w:p>
        </w:tc>
        <w:tc>
          <w:tcPr>
            <w:tcW w:w="851"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7</w:t>
            </w:r>
          </w:p>
        </w:tc>
        <w:tc>
          <w:tcPr>
            <w:tcW w:w="850"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8</w:t>
            </w:r>
          </w:p>
        </w:tc>
        <w:tc>
          <w:tcPr>
            <w:tcW w:w="851"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9</w:t>
            </w:r>
          </w:p>
        </w:tc>
        <w:tc>
          <w:tcPr>
            <w:tcW w:w="975" w:type="dxa"/>
            <w:tcBorders>
              <w:top w:val="single" w:sz="4" w:space="0" w:color="000000"/>
              <w:left w:val="single" w:sz="4" w:space="0" w:color="000000"/>
              <w:bottom w:val="single" w:sz="4" w:space="0" w:color="000000"/>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10</w:t>
            </w:r>
          </w:p>
        </w:tc>
      </w:tr>
      <w:tr w:rsidR="009C13A9" w:rsidRPr="009072DA" w:rsidTr="009C13A9">
        <w:trPr>
          <w:jc w:val="center"/>
        </w:trPr>
        <w:tc>
          <w:tcPr>
            <w:tcW w:w="709" w:type="dxa"/>
            <w:tcBorders>
              <w:top w:val="single" w:sz="4" w:space="0" w:color="000000"/>
              <w:left w:val="single" w:sz="4" w:space="0" w:color="000000"/>
              <w:bottom w:val="double" w:sz="4" w:space="0" w:color="auto"/>
              <w:right w:val="single" w:sz="4" w:space="0" w:color="000000"/>
            </w:tcBorders>
          </w:tcPr>
          <w:p w:rsidR="009C13A9" w:rsidRPr="009072DA" w:rsidRDefault="007D3F2F" w:rsidP="009C13A9">
            <w:pPr>
              <w:suppressAutoHyphens/>
              <w:snapToGrid w:val="0"/>
              <w:spacing w:before="60" w:after="60" w:line="240" w:lineRule="atLeast"/>
              <w:jc w:val="center"/>
              <w:rPr>
                <w:rFonts w:cs="Arial"/>
                <w:sz w:val="18"/>
                <w:szCs w:val="20"/>
                <w:lang w:val="bg-BG"/>
              </w:rPr>
            </w:pPr>
            <m:oMathPara>
              <m:oMath>
                <m:r>
                  <w:rPr>
                    <w:rFonts w:ascii="Cambria Math" w:hAnsi="Cambria Math" w:cs="Arial"/>
                    <w:szCs w:val="20"/>
                    <w:lang w:val="bg-BG"/>
                  </w:rPr>
                  <m:t>k</m:t>
                </m:r>
              </m:oMath>
            </m:oMathPara>
          </w:p>
        </w:tc>
        <w:tc>
          <w:tcPr>
            <w:tcW w:w="850" w:type="dxa"/>
            <w:tcBorders>
              <w:top w:val="single" w:sz="4" w:space="0" w:color="000000"/>
              <w:left w:val="single" w:sz="4" w:space="0" w:color="000000"/>
              <w:bottom w:val="double" w:sz="4" w:space="0" w:color="auto"/>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0,973</w:t>
            </w:r>
          </w:p>
        </w:tc>
        <w:tc>
          <w:tcPr>
            <w:tcW w:w="851" w:type="dxa"/>
            <w:tcBorders>
              <w:top w:val="single" w:sz="4" w:space="0" w:color="000000"/>
              <w:left w:val="single" w:sz="4" w:space="0" w:color="000000"/>
              <w:bottom w:val="double" w:sz="4" w:space="0" w:color="auto"/>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0,613</w:t>
            </w:r>
          </w:p>
        </w:tc>
        <w:tc>
          <w:tcPr>
            <w:tcW w:w="850" w:type="dxa"/>
            <w:tcBorders>
              <w:top w:val="single" w:sz="4" w:space="0" w:color="000000"/>
              <w:left w:val="single" w:sz="4" w:space="0" w:color="000000"/>
              <w:bottom w:val="double" w:sz="4" w:space="0" w:color="auto"/>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0,489</w:t>
            </w:r>
          </w:p>
        </w:tc>
        <w:tc>
          <w:tcPr>
            <w:tcW w:w="851" w:type="dxa"/>
            <w:tcBorders>
              <w:top w:val="single" w:sz="4" w:space="0" w:color="000000"/>
              <w:left w:val="single" w:sz="4" w:space="0" w:color="000000"/>
              <w:bottom w:val="double" w:sz="4" w:space="0" w:color="auto"/>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0,421</w:t>
            </w:r>
          </w:p>
        </w:tc>
        <w:tc>
          <w:tcPr>
            <w:tcW w:w="850" w:type="dxa"/>
            <w:tcBorders>
              <w:top w:val="single" w:sz="4" w:space="0" w:color="000000"/>
              <w:left w:val="single" w:sz="4" w:space="0" w:color="000000"/>
              <w:bottom w:val="double" w:sz="4" w:space="0" w:color="auto"/>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0,376</w:t>
            </w:r>
          </w:p>
        </w:tc>
        <w:tc>
          <w:tcPr>
            <w:tcW w:w="851" w:type="dxa"/>
            <w:tcBorders>
              <w:top w:val="single" w:sz="4" w:space="0" w:color="000000"/>
              <w:left w:val="single" w:sz="4" w:space="0" w:color="000000"/>
              <w:bottom w:val="double" w:sz="4" w:space="0" w:color="auto"/>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0,342</w:t>
            </w:r>
          </w:p>
        </w:tc>
        <w:tc>
          <w:tcPr>
            <w:tcW w:w="850" w:type="dxa"/>
            <w:tcBorders>
              <w:top w:val="single" w:sz="4" w:space="0" w:color="000000"/>
              <w:left w:val="single" w:sz="4" w:space="0" w:color="000000"/>
              <w:bottom w:val="double" w:sz="4" w:space="0" w:color="auto"/>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0,317</w:t>
            </w:r>
          </w:p>
        </w:tc>
        <w:tc>
          <w:tcPr>
            <w:tcW w:w="851" w:type="dxa"/>
            <w:tcBorders>
              <w:top w:val="single" w:sz="4" w:space="0" w:color="000000"/>
              <w:left w:val="single" w:sz="4" w:space="0" w:color="000000"/>
              <w:bottom w:val="double" w:sz="4" w:space="0" w:color="auto"/>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0,296</w:t>
            </w:r>
          </w:p>
        </w:tc>
        <w:tc>
          <w:tcPr>
            <w:tcW w:w="975" w:type="dxa"/>
            <w:tcBorders>
              <w:top w:val="single" w:sz="4" w:space="0" w:color="000000"/>
              <w:left w:val="single" w:sz="4" w:space="0" w:color="000000"/>
              <w:bottom w:val="double" w:sz="4" w:space="0" w:color="auto"/>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0,279</w:t>
            </w:r>
          </w:p>
        </w:tc>
      </w:tr>
      <w:tr w:rsidR="009C13A9" w:rsidRPr="009072DA" w:rsidTr="009C13A9">
        <w:trPr>
          <w:jc w:val="center"/>
        </w:trPr>
        <w:tc>
          <w:tcPr>
            <w:tcW w:w="709" w:type="dxa"/>
            <w:tcBorders>
              <w:top w:val="double" w:sz="4" w:space="0" w:color="auto"/>
              <w:left w:val="single" w:sz="4" w:space="0" w:color="000000"/>
              <w:bottom w:val="single" w:sz="4" w:space="0" w:color="000000"/>
              <w:right w:val="single" w:sz="4" w:space="0" w:color="000000"/>
            </w:tcBorders>
          </w:tcPr>
          <w:p w:rsidR="009C13A9" w:rsidRPr="009072DA" w:rsidRDefault="007D3F2F" w:rsidP="009C13A9">
            <w:pPr>
              <w:suppressAutoHyphens/>
              <w:snapToGrid w:val="0"/>
              <w:spacing w:before="60" w:after="60" w:line="240" w:lineRule="atLeast"/>
              <w:jc w:val="center"/>
              <w:rPr>
                <w:rFonts w:cs="Arial"/>
                <w:sz w:val="18"/>
                <w:szCs w:val="20"/>
                <w:lang w:val="bg-BG"/>
              </w:rPr>
            </w:pPr>
            <m:oMathPara>
              <m:oMath>
                <m:r>
                  <w:rPr>
                    <w:rFonts w:ascii="Cambria Math" w:hAnsi="Cambria Math"/>
                    <w:szCs w:val="20"/>
                    <w:lang w:val="bg-BG"/>
                  </w:rPr>
                  <m:t>n</m:t>
                </m:r>
              </m:oMath>
            </m:oMathPara>
          </w:p>
        </w:tc>
        <w:tc>
          <w:tcPr>
            <w:tcW w:w="850" w:type="dxa"/>
            <w:tcBorders>
              <w:top w:val="double" w:sz="4" w:space="0" w:color="auto"/>
              <w:left w:val="single" w:sz="4" w:space="0" w:color="000000"/>
              <w:bottom w:val="single" w:sz="4" w:space="0" w:color="000000"/>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11</w:t>
            </w:r>
          </w:p>
        </w:tc>
        <w:tc>
          <w:tcPr>
            <w:tcW w:w="851" w:type="dxa"/>
            <w:tcBorders>
              <w:top w:val="double" w:sz="4" w:space="0" w:color="auto"/>
              <w:left w:val="single" w:sz="4" w:space="0" w:color="000000"/>
              <w:bottom w:val="single" w:sz="4" w:space="0" w:color="000000"/>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12</w:t>
            </w:r>
          </w:p>
        </w:tc>
        <w:tc>
          <w:tcPr>
            <w:tcW w:w="850" w:type="dxa"/>
            <w:tcBorders>
              <w:top w:val="double" w:sz="4" w:space="0" w:color="auto"/>
              <w:left w:val="single" w:sz="4" w:space="0" w:color="000000"/>
              <w:bottom w:val="single" w:sz="4" w:space="0" w:color="000000"/>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13</w:t>
            </w:r>
          </w:p>
        </w:tc>
        <w:tc>
          <w:tcPr>
            <w:tcW w:w="851" w:type="dxa"/>
            <w:tcBorders>
              <w:top w:val="double" w:sz="4" w:space="0" w:color="auto"/>
              <w:left w:val="single" w:sz="4" w:space="0" w:color="000000"/>
              <w:bottom w:val="single" w:sz="4" w:space="0" w:color="000000"/>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14</w:t>
            </w:r>
          </w:p>
        </w:tc>
        <w:tc>
          <w:tcPr>
            <w:tcW w:w="850" w:type="dxa"/>
            <w:tcBorders>
              <w:top w:val="double" w:sz="4" w:space="0" w:color="auto"/>
              <w:left w:val="single" w:sz="4" w:space="0" w:color="000000"/>
              <w:bottom w:val="single" w:sz="4" w:space="0" w:color="000000"/>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15</w:t>
            </w:r>
          </w:p>
        </w:tc>
        <w:tc>
          <w:tcPr>
            <w:tcW w:w="851" w:type="dxa"/>
            <w:tcBorders>
              <w:top w:val="double" w:sz="4" w:space="0" w:color="auto"/>
              <w:left w:val="single" w:sz="4" w:space="0" w:color="000000"/>
              <w:bottom w:val="single" w:sz="4" w:space="0" w:color="000000"/>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16</w:t>
            </w:r>
          </w:p>
        </w:tc>
        <w:tc>
          <w:tcPr>
            <w:tcW w:w="850" w:type="dxa"/>
            <w:tcBorders>
              <w:top w:val="double" w:sz="4" w:space="0" w:color="auto"/>
              <w:left w:val="single" w:sz="4" w:space="0" w:color="000000"/>
              <w:bottom w:val="single" w:sz="4" w:space="0" w:color="000000"/>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17</w:t>
            </w:r>
          </w:p>
        </w:tc>
        <w:tc>
          <w:tcPr>
            <w:tcW w:w="851" w:type="dxa"/>
            <w:tcBorders>
              <w:top w:val="double" w:sz="4" w:space="0" w:color="auto"/>
              <w:left w:val="single" w:sz="4" w:space="0" w:color="000000"/>
              <w:bottom w:val="single" w:sz="4" w:space="0" w:color="000000"/>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18</w:t>
            </w:r>
          </w:p>
        </w:tc>
        <w:tc>
          <w:tcPr>
            <w:tcW w:w="975" w:type="dxa"/>
            <w:tcBorders>
              <w:top w:val="double" w:sz="4" w:space="0" w:color="auto"/>
              <w:left w:val="single" w:sz="4" w:space="0" w:color="000000"/>
              <w:bottom w:val="single" w:sz="4" w:space="0" w:color="000000"/>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19</w:t>
            </w:r>
          </w:p>
        </w:tc>
      </w:tr>
      <w:tr w:rsidR="009C13A9" w:rsidRPr="009072DA" w:rsidTr="009C13A9">
        <w:trPr>
          <w:jc w:val="center"/>
        </w:trPr>
        <w:tc>
          <w:tcPr>
            <w:tcW w:w="709" w:type="dxa"/>
            <w:tcBorders>
              <w:top w:val="single" w:sz="4" w:space="0" w:color="000000"/>
              <w:left w:val="single" w:sz="4" w:space="0" w:color="000000"/>
              <w:bottom w:val="single" w:sz="4" w:space="0" w:color="000000"/>
            </w:tcBorders>
          </w:tcPr>
          <w:p w:rsidR="009C13A9" w:rsidRPr="009072DA" w:rsidRDefault="007D3F2F" w:rsidP="009C13A9">
            <w:pPr>
              <w:suppressAutoHyphens/>
              <w:snapToGrid w:val="0"/>
              <w:spacing w:before="60" w:after="60" w:line="240" w:lineRule="atLeast"/>
              <w:jc w:val="center"/>
              <w:rPr>
                <w:rFonts w:cs="Arial"/>
                <w:sz w:val="18"/>
                <w:szCs w:val="20"/>
                <w:lang w:val="bg-BG"/>
              </w:rPr>
            </w:pPr>
            <m:oMathPara>
              <m:oMath>
                <m:r>
                  <w:rPr>
                    <w:rFonts w:ascii="Cambria Math" w:hAnsi="Cambria Math" w:cs="Arial"/>
                    <w:szCs w:val="20"/>
                    <w:lang w:val="bg-BG"/>
                  </w:rPr>
                  <m:t>k</m:t>
                </m:r>
              </m:oMath>
            </m:oMathPara>
          </w:p>
        </w:tc>
        <w:tc>
          <w:tcPr>
            <w:tcW w:w="850"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0,265</w:t>
            </w:r>
          </w:p>
        </w:tc>
        <w:tc>
          <w:tcPr>
            <w:tcW w:w="851"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0,253</w:t>
            </w:r>
          </w:p>
        </w:tc>
        <w:tc>
          <w:tcPr>
            <w:tcW w:w="850"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0,242</w:t>
            </w:r>
          </w:p>
        </w:tc>
        <w:tc>
          <w:tcPr>
            <w:tcW w:w="851"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0,233</w:t>
            </w:r>
          </w:p>
        </w:tc>
        <w:tc>
          <w:tcPr>
            <w:tcW w:w="850"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0,224</w:t>
            </w:r>
          </w:p>
        </w:tc>
        <w:tc>
          <w:tcPr>
            <w:tcW w:w="851"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0,216</w:t>
            </w:r>
          </w:p>
        </w:tc>
        <w:tc>
          <w:tcPr>
            <w:tcW w:w="850"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0,210</w:t>
            </w:r>
          </w:p>
        </w:tc>
        <w:tc>
          <w:tcPr>
            <w:tcW w:w="851"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0,203</w:t>
            </w:r>
          </w:p>
        </w:tc>
        <w:tc>
          <w:tcPr>
            <w:tcW w:w="975" w:type="dxa"/>
            <w:tcBorders>
              <w:top w:val="single" w:sz="4" w:space="0" w:color="000000"/>
              <w:left w:val="single" w:sz="4" w:space="0" w:color="000000"/>
              <w:bottom w:val="single" w:sz="4" w:space="0" w:color="000000"/>
              <w:right w:val="single" w:sz="4" w:space="0" w:color="000000"/>
            </w:tcBorders>
          </w:tcPr>
          <w:p w:rsidR="009C13A9" w:rsidRPr="009072DA" w:rsidRDefault="009C13A9" w:rsidP="009C13A9">
            <w:pPr>
              <w:suppressAutoHyphens/>
              <w:snapToGrid w:val="0"/>
              <w:spacing w:before="60" w:after="60" w:line="240" w:lineRule="atLeast"/>
              <w:jc w:val="center"/>
              <w:rPr>
                <w:rFonts w:cs="Arial"/>
                <w:sz w:val="18"/>
                <w:szCs w:val="20"/>
                <w:lang w:val="bg-BG"/>
              </w:rPr>
            </w:pPr>
            <w:r w:rsidRPr="009072DA">
              <w:rPr>
                <w:sz w:val="18"/>
                <w:lang w:val="bg-BG"/>
              </w:rPr>
              <w:t>0,198</w:t>
            </w:r>
          </w:p>
        </w:tc>
      </w:tr>
    </w:tbl>
    <w:p w:rsidR="009C13A9" w:rsidRPr="009072DA" w:rsidRDefault="009C13A9" w:rsidP="009C13A9">
      <w:pPr>
        <w:suppressAutoHyphens/>
        <w:spacing w:line="240" w:lineRule="atLeast"/>
        <w:ind w:left="851" w:hanging="851"/>
        <w:rPr>
          <w:rFonts w:cs="Arial"/>
          <w:szCs w:val="20"/>
          <w:lang w:val="bg-BG"/>
        </w:rPr>
      </w:pPr>
    </w:p>
    <w:p w:rsidR="007D3F2F" w:rsidRPr="009072DA" w:rsidRDefault="007D3F2F" w:rsidP="009C13A9">
      <w:pPr>
        <w:suppressAutoHyphens/>
        <w:spacing w:line="240" w:lineRule="atLeast"/>
        <w:ind w:left="851" w:hanging="851"/>
        <w:rPr>
          <w:rFonts w:cs="Arial"/>
          <w:szCs w:val="20"/>
          <w:lang w:val="bg-BG"/>
        </w:rPr>
      </w:pPr>
    </w:p>
    <w:p w:rsidR="007D3F2F" w:rsidRPr="009072DA" w:rsidRDefault="002B712C" w:rsidP="007D3F2F">
      <w:pPr>
        <w:suppressAutoHyphens/>
        <w:spacing w:line="240" w:lineRule="atLeast"/>
        <w:ind w:left="851" w:hanging="851"/>
        <w:jc w:val="center"/>
        <w:rPr>
          <w:rFonts w:cs="Arial"/>
          <w:szCs w:val="20"/>
          <w:lang w:val="bg-BG"/>
        </w:rPr>
      </w:pPr>
      <m:oMath>
        <m:func>
          <m:funcPr>
            <m:ctrlPr>
              <w:rPr>
                <w:rFonts w:ascii="Cambria Math" w:hAnsi="Cambria Math" w:cs="Arial"/>
                <w:i/>
                <w:szCs w:val="20"/>
                <w:lang w:val="bg-BG"/>
              </w:rPr>
            </m:ctrlPr>
          </m:funcPr>
          <m:fName>
            <m:r>
              <m:rPr>
                <m:sty m:val="p"/>
              </m:rPr>
              <w:rPr>
                <w:rFonts w:ascii="Cambria Math" w:hAnsi="Cambria Math" w:cs="Arial"/>
                <w:szCs w:val="20"/>
                <w:lang w:val="bg-BG"/>
              </w:rPr>
              <m:t>si n</m:t>
            </m:r>
          </m:fName>
          <m:e>
            <m:r>
              <w:rPr>
                <w:rFonts w:ascii="Cambria Math" w:hAnsi="Cambria Math" w:cs="Arial"/>
                <w:szCs w:val="20"/>
                <w:lang w:val="bg-BG"/>
              </w:rPr>
              <m:t>≥</m:t>
            </m:r>
          </m:e>
        </m:func>
        <m:r>
          <w:rPr>
            <w:rFonts w:ascii="Cambria Math" w:hAnsi="Cambria Math" w:cs="Arial"/>
            <w:szCs w:val="20"/>
            <w:lang w:val="bg-BG"/>
          </w:rPr>
          <m:t xml:space="preserve"> 20</m:t>
        </m:r>
      </m:oMath>
      <w:r w:rsidR="007B1046" w:rsidRPr="009072DA">
        <w:rPr>
          <w:lang w:val="bg-BG"/>
        </w:rPr>
        <w:t xml:space="preserve">, </w:t>
      </w:r>
      <m:oMath>
        <m:r>
          <w:rPr>
            <w:rFonts w:ascii="Cambria Math" w:hAnsi="Cambria Math" w:cs="Arial"/>
            <w:szCs w:val="20"/>
            <w:lang w:val="bg-BG"/>
          </w:rPr>
          <m:t xml:space="preserve">k= </m:t>
        </m:r>
        <m:f>
          <m:fPr>
            <m:ctrlPr>
              <w:rPr>
                <w:rFonts w:ascii="Cambria Math" w:hAnsi="Cambria Math" w:cs="Arial"/>
                <w:i/>
                <w:szCs w:val="20"/>
                <w:lang w:val="bg-BG"/>
              </w:rPr>
            </m:ctrlPr>
          </m:fPr>
          <m:num>
            <m:r>
              <w:rPr>
                <w:rFonts w:ascii="Cambria Math" w:hAnsi="Cambria Math" w:cs="Arial"/>
                <w:szCs w:val="20"/>
                <w:lang w:val="bg-BG"/>
              </w:rPr>
              <m:t>0,860</m:t>
            </m:r>
          </m:num>
          <m:den>
            <m:rad>
              <m:radPr>
                <m:degHide m:val="1"/>
                <m:ctrlPr>
                  <w:rPr>
                    <w:rFonts w:ascii="Cambria Math" w:hAnsi="Cambria Math" w:cs="Arial"/>
                    <w:i/>
                    <w:szCs w:val="20"/>
                    <w:lang w:val="bg-BG"/>
                  </w:rPr>
                </m:ctrlPr>
              </m:radPr>
              <m:deg/>
              <m:e>
                <m:r>
                  <w:rPr>
                    <w:rFonts w:ascii="Cambria Math" w:hAnsi="Cambria Math" w:cs="Arial"/>
                    <w:szCs w:val="20"/>
                    <w:lang w:val="bg-BG"/>
                  </w:rPr>
                  <m:t>n</m:t>
                </m:r>
              </m:e>
            </m:rad>
          </m:den>
        </m:f>
      </m:oMath>
    </w:p>
    <w:p w:rsidR="009C13A9" w:rsidRPr="009072DA" w:rsidRDefault="009C13A9" w:rsidP="009C13A9">
      <w:pPr>
        <w:suppressAutoHyphens/>
        <w:spacing w:line="240" w:lineRule="atLeast"/>
        <w:ind w:left="851" w:hanging="851"/>
        <w:jc w:val="center"/>
        <w:rPr>
          <w:rFonts w:cs="Arial"/>
          <w:szCs w:val="20"/>
          <w:lang w:val="bg-BG"/>
        </w:rPr>
      </w:pPr>
    </w:p>
    <w:p w:rsidR="009C13A9" w:rsidRPr="009072DA" w:rsidRDefault="002B712C" w:rsidP="008A5402">
      <w:pPr>
        <w:tabs>
          <w:tab w:val="left" w:pos="1276"/>
        </w:tabs>
        <w:suppressAutoHyphens/>
        <w:overflowPunct w:val="0"/>
        <w:spacing w:line="240" w:lineRule="atLeast"/>
        <w:ind w:left="709"/>
        <w:textAlignment w:val="baseline"/>
        <w:rPr>
          <w:rFonts w:cs="Arial"/>
          <w:szCs w:val="20"/>
          <w:lang w:val="bg-BG"/>
        </w:rPr>
      </w:pPr>
      <m:oMathPara>
        <m:oMathParaPr>
          <m:jc m:val="center"/>
        </m:oMathParaPr>
        <m:oMath>
          <m:sSub>
            <m:sSubPr>
              <m:ctrlPr>
                <w:rPr>
                  <w:rFonts w:ascii="Cambria Math" w:hAnsi="Cambria Math" w:cs="Arial"/>
                  <w:i/>
                  <w:szCs w:val="20"/>
                  <w:lang w:val="bg-BG"/>
                </w:rPr>
              </m:ctrlPr>
            </m:sSubPr>
            <m:e>
              <m:r>
                <w:rPr>
                  <w:rFonts w:ascii="Cambria Math" w:hAnsi="Cambria Math" w:cs="Arial"/>
                  <w:szCs w:val="20"/>
                  <w:lang w:val="bg-BG"/>
                </w:rPr>
                <m:t>S</m:t>
              </m:r>
            </m:e>
            <m:sub>
              <m:r>
                <w:rPr>
                  <w:rFonts w:ascii="Cambria Math" w:hAnsi="Cambria Math" w:cs="Arial"/>
                  <w:szCs w:val="20"/>
                  <w:lang w:val="bg-BG"/>
                </w:rPr>
                <m:t>t</m:t>
              </m:r>
            </m:sub>
          </m:sSub>
          <m:r>
            <w:rPr>
              <w:rFonts w:ascii="Cambria Math" w:hAnsi="Cambria Math" w:cs="Arial"/>
              <w:szCs w:val="20"/>
              <w:lang w:val="bg-BG"/>
            </w:rPr>
            <m:t xml:space="preserve"> : </m:t>
          </m:r>
          <m:rad>
            <m:radPr>
              <m:degHide m:val="1"/>
              <m:ctrlPr>
                <w:rPr>
                  <w:rFonts w:ascii="Cambria Math" w:hAnsi="Cambria Math" w:cs="Arial"/>
                  <w:i/>
                  <w:szCs w:val="20"/>
                  <w:lang w:val="bg-BG"/>
                </w:rPr>
              </m:ctrlPr>
            </m:radPr>
            <m:deg/>
            <m:e>
              <m:nary>
                <m:naryPr>
                  <m:chr m:val="∑"/>
                  <m:limLoc m:val="undOvr"/>
                  <m:ctrlPr>
                    <w:rPr>
                      <w:rFonts w:ascii="Cambria Math" w:hAnsi="Cambria Math" w:cs="Arial"/>
                      <w:i/>
                      <w:szCs w:val="20"/>
                      <w:lang w:val="bg-BG"/>
                    </w:rPr>
                  </m:ctrlPr>
                </m:naryPr>
                <m:sub>
                  <m:r>
                    <w:rPr>
                      <w:rFonts w:ascii="Cambria Math" w:hAnsi="Cambria Math" w:cs="Arial"/>
                      <w:szCs w:val="20"/>
                      <w:lang w:val="bg-BG"/>
                    </w:rPr>
                    <m:t>i=1</m:t>
                  </m:r>
                </m:sub>
                <m:sup>
                  <m:r>
                    <w:rPr>
                      <w:rFonts w:ascii="Cambria Math" w:hAnsi="Cambria Math" w:cs="Arial"/>
                      <w:szCs w:val="20"/>
                      <w:lang w:val="bg-BG"/>
                    </w:rPr>
                    <m:t>n</m:t>
                  </m:r>
                </m:sup>
                <m:e>
                  <m:f>
                    <m:fPr>
                      <m:ctrlPr>
                        <w:rPr>
                          <w:rFonts w:ascii="Cambria Math" w:hAnsi="Cambria Math" w:cs="Arial"/>
                          <w:i/>
                          <w:szCs w:val="20"/>
                          <w:lang w:val="bg-BG"/>
                        </w:rPr>
                      </m:ctrlPr>
                    </m:fPr>
                    <m:num>
                      <m:d>
                        <m:dPr>
                          <m:ctrlPr>
                            <w:rPr>
                              <w:rFonts w:ascii="Cambria Math" w:hAnsi="Cambria Math" w:cs="Arial"/>
                              <w:i/>
                              <w:szCs w:val="20"/>
                              <w:lang w:val="bg-BG"/>
                            </w:rPr>
                          </m:ctrlPr>
                        </m:dPr>
                        <m:e>
                          <m:sSub>
                            <m:sSubPr>
                              <m:ctrlPr>
                                <w:rPr>
                                  <w:rFonts w:ascii="Cambria Math" w:hAnsi="Cambria Math" w:cs="Arial"/>
                                  <w:i/>
                                  <w:szCs w:val="20"/>
                                  <w:lang w:val="bg-BG"/>
                                </w:rPr>
                              </m:ctrlPr>
                            </m:sSubPr>
                            <m:e>
                              <m:r>
                                <w:rPr>
                                  <w:rFonts w:ascii="Cambria Math" w:hAnsi="Cambria Math" w:cs="Arial"/>
                                  <w:szCs w:val="20"/>
                                  <w:lang w:val="bg-BG"/>
                                </w:rPr>
                                <m:t>x</m:t>
                              </m:r>
                            </m:e>
                            <m:sub>
                              <m:r>
                                <w:rPr>
                                  <w:rFonts w:ascii="Cambria Math" w:hAnsi="Cambria Math" w:cs="Arial"/>
                                  <w:szCs w:val="20"/>
                                  <w:lang w:val="bg-BG"/>
                                </w:rPr>
                                <m:t>i</m:t>
                              </m:r>
                            </m:sub>
                          </m:sSub>
                          <m:r>
                            <w:rPr>
                              <w:rFonts w:ascii="Cambria Math" w:hAnsi="Cambria Math" w:cs="Arial"/>
                              <w:szCs w:val="20"/>
                              <w:lang w:val="bg-BG"/>
                            </w:rPr>
                            <m:t xml:space="preserve">- </m:t>
                          </m:r>
                          <m:acc>
                            <m:accPr>
                              <m:chr m:val="̅"/>
                              <m:ctrlPr>
                                <w:rPr>
                                  <w:rFonts w:ascii="Cambria Math" w:hAnsi="Cambria Math" w:cs="Arial"/>
                                  <w:i/>
                                  <w:szCs w:val="20"/>
                                  <w:lang w:val="bg-BG"/>
                                </w:rPr>
                              </m:ctrlPr>
                            </m:accPr>
                            <m:e>
                              <m:r>
                                <w:rPr>
                                  <w:rFonts w:ascii="Cambria Math" w:hAnsi="Cambria Math" w:cs="Arial"/>
                                  <w:szCs w:val="20"/>
                                  <w:lang w:val="bg-BG"/>
                                </w:rPr>
                                <m:t>x</m:t>
                              </m:r>
                            </m:e>
                          </m:acc>
                        </m:e>
                      </m:d>
                    </m:num>
                    <m:den>
                      <m:r>
                        <w:rPr>
                          <w:rFonts w:ascii="Cambria Math" w:hAnsi="Cambria Math" w:cs="Arial"/>
                          <w:szCs w:val="20"/>
                          <w:lang w:val="bg-BG"/>
                        </w:rPr>
                        <m:t>n-1</m:t>
                      </m:r>
                    </m:den>
                  </m:f>
                </m:e>
              </m:nary>
            </m:e>
          </m:rad>
          <m:r>
            <m:rPr>
              <m:sty m:val="p"/>
            </m:rPr>
            <w:rPr>
              <w:rFonts w:cs="Arial"/>
              <w:szCs w:val="20"/>
              <w:lang w:val="bg-BG"/>
            </w:rPr>
            <w:br/>
          </m:r>
        </m:oMath>
      </m:oMathPara>
      <w:r w:rsidR="007B1046" w:rsidRPr="009072DA">
        <w:rPr>
          <w:lang w:val="bg-BG"/>
        </w:rPr>
        <w:t xml:space="preserve">където </w:t>
      </w:r>
      <m:oMath>
        <m:sSub>
          <m:sSubPr>
            <m:ctrlPr>
              <w:rPr>
                <w:rFonts w:ascii="Cambria Math" w:hAnsi="Cambria Math" w:cs="Arial"/>
                <w:i/>
                <w:szCs w:val="20"/>
                <w:lang w:val="bg-BG"/>
              </w:rPr>
            </m:ctrlPr>
          </m:sSubPr>
          <m:e>
            <m:r>
              <w:rPr>
                <w:rFonts w:ascii="Cambria Math" w:hAnsi="Cambria Math" w:cs="Arial"/>
                <w:szCs w:val="20"/>
                <w:lang w:val="bg-BG"/>
              </w:rPr>
              <m:t>x</m:t>
            </m:r>
          </m:e>
          <m:sub>
            <m:r>
              <w:rPr>
                <w:rFonts w:ascii="Cambria Math" w:hAnsi="Cambria Math" w:cs="Arial"/>
                <w:szCs w:val="20"/>
                <w:lang w:val="bg-BG"/>
              </w:rPr>
              <m:t>i</m:t>
            </m:r>
          </m:sub>
        </m:sSub>
      </m:oMath>
      <w:r w:rsidR="007B1046" w:rsidRPr="009072DA">
        <w:rPr>
          <w:lang w:val="bg-BG"/>
        </w:rPr>
        <w:t xml:space="preserve"> е всеки отделен резултат, получен от случайната проба </w:t>
      </w:r>
      <m:oMath>
        <m:r>
          <w:rPr>
            <w:rFonts w:ascii="Cambria Math" w:hAnsi="Cambria Math"/>
            <w:szCs w:val="20"/>
            <w:lang w:val="bg-BG"/>
          </w:rPr>
          <m:t>n</m:t>
        </m:r>
      </m:oMath>
    </w:p>
    <w:p w:rsidR="009C13A9" w:rsidRPr="009072DA" w:rsidRDefault="007D3F2F" w:rsidP="00C036E3">
      <w:pPr>
        <w:tabs>
          <w:tab w:val="left" w:pos="1134"/>
        </w:tabs>
        <w:suppressAutoHyphens/>
        <w:overflowPunct w:val="0"/>
        <w:spacing w:line="240" w:lineRule="atLeast"/>
        <w:ind w:left="1134"/>
        <w:textAlignment w:val="baseline"/>
        <w:rPr>
          <w:rFonts w:cs="Arial"/>
          <w:szCs w:val="20"/>
          <w:lang w:val="bg-BG"/>
        </w:rPr>
      </w:pPr>
      <m:oMath>
        <m:r>
          <w:rPr>
            <w:rFonts w:ascii="Cambria Math" w:hAnsi="Cambria Math" w:cs="Arial"/>
            <w:szCs w:val="20"/>
            <w:lang w:val="bg-BG"/>
          </w:rPr>
          <m:t>L</m:t>
        </m:r>
      </m:oMath>
      <w:r w:rsidRPr="009072DA">
        <w:rPr>
          <w:lang w:val="bg-BG"/>
        </w:rPr>
        <w:t>:</w:t>
      </w:r>
      <w:r w:rsidRPr="009072DA">
        <w:rPr>
          <w:lang w:val="bg-BG"/>
        </w:rPr>
        <w:tab/>
        <w:t>е допустимата пределна стойност, дадена в таблица 2 към член 18.01, точка 2, за всеки разглеждан замърсител;</w:t>
      </w:r>
    </w:p>
    <w:p w:rsidR="009C13A9" w:rsidRPr="009072DA" w:rsidRDefault="009C13A9" w:rsidP="009C13A9">
      <w:pPr>
        <w:tabs>
          <w:tab w:val="left" w:pos="709"/>
        </w:tabs>
        <w:suppressAutoHyphens/>
        <w:overflowPunct w:val="0"/>
        <w:spacing w:line="240" w:lineRule="atLeast"/>
        <w:ind w:left="709" w:hanging="709"/>
        <w:textAlignment w:val="baseline"/>
        <w:rPr>
          <w:rFonts w:cs="Arial"/>
          <w:szCs w:val="20"/>
          <w:lang w:val="bg-BG"/>
        </w:rPr>
      </w:pPr>
    </w:p>
    <w:p w:rsidR="009C13A9" w:rsidRPr="009072DA" w:rsidRDefault="009C13A9" w:rsidP="009C13A9">
      <w:pPr>
        <w:tabs>
          <w:tab w:val="left" w:pos="709"/>
        </w:tabs>
        <w:spacing w:line="240" w:lineRule="atLeast"/>
        <w:ind w:left="709" w:hanging="709"/>
        <w:rPr>
          <w:szCs w:val="20"/>
          <w:lang w:val="bg-BG"/>
        </w:rPr>
      </w:pPr>
      <w:r w:rsidRPr="009072DA">
        <w:rPr>
          <w:lang w:val="bg-BG"/>
        </w:rPr>
        <w:lastRenderedPageBreak/>
        <w:t>3.3.3</w:t>
      </w:r>
      <w:r w:rsidRPr="009072DA">
        <w:rPr>
          <w:lang w:val="bg-BG"/>
        </w:rPr>
        <w:tab/>
        <w:t>Ако стойностите, дадени в таблица 2 към член 18.01, точка 2, не са спазени, се провежда ново изпитване съгласно точка 3.3.2.1 и в случай че изпитването не покаже положителни резултати, в съответствие с точка 3.3.2.2 се провежда пълно изпитване, като се следва изпитвателната процедура, предвидена в приложение 9. Пределните стойности, дадени в таблица 1 към член 18.01, точка 2, не могат да бъдат надвишавани както за комбинираната проба, така и за случайната.</w:t>
      </w:r>
    </w:p>
    <w:p w:rsidR="009C13A9" w:rsidRPr="009072DA" w:rsidRDefault="009C13A9" w:rsidP="009C13A9">
      <w:pPr>
        <w:tabs>
          <w:tab w:val="left" w:pos="709"/>
        </w:tabs>
        <w:spacing w:line="240" w:lineRule="atLeast"/>
        <w:ind w:left="709" w:hanging="709"/>
        <w:rPr>
          <w:szCs w:val="20"/>
          <w:lang w:val="bg-BG"/>
        </w:rPr>
      </w:pPr>
    </w:p>
    <w:p w:rsidR="009C13A9" w:rsidRPr="009072DA" w:rsidRDefault="009C13A9" w:rsidP="009C13A9">
      <w:pPr>
        <w:tabs>
          <w:tab w:val="left" w:pos="709"/>
        </w:tabs>
        <w:spacing w:line="240" w:lineRule="atLeast"/>
        <w:ind w:left="709" w:hanging="709"/>
        <w:rPr>
          <w:szCs w:val="20"/>
          <w:lang w:val="bg-BG"/>
        </w:rPr>
      </w:pPr>
      <w:r w:rsidRPr="009072DA">
        <w:rPr>
          <w:lang w:val="bg-BG"/>
        </w:rPr>
        <w:t>3.3.4</w:t>
      </w:r>
      <w:r w:rsidRPr="009072DA">
        <w:rPr>
          <w:lang w:val="bg-BG"/>
        </w:rPr>
        <w:tab/>
        <w:t>Компетентният орган трябва да извършва изпитванията върху бордови станции за пречистване на отпадъчни води, които са с частични или пълни функционални възможности съгласно информацията, предоставена от производителя.</w:t>
      </w:r>
    </w:p>
    <w:p w:rsidR="009C13A9" w:rsidRPr="009072DA" w:rsidRDefault="009C13A9" w:rsidP="009C13A9">
      <w:pPr>
        <w:tabs>
          <w:tab w:val="left" w:pos="709"/>
        </w:tabs>
        <w:spacing w:line="240" w:lineRule="atLeast"/>
        <w:ind w:left="709" w:hanging="709"/>
        <w:rPr>
          <w:szCs w:val="20"/>
          <w:lang w:val="bg-BG"/>
        </w:rPr>
      </w:pPr>
    </w:p>
    <w:p w:rsidR="009C13A9" w:rsidRPr="009072DA" w:rsidRDefault="009C13A9" w:rsidP="009C13A9">
      <w:pPr>
        <w:tabs>
          <w:tab w:val="left" w:pos="709"/>
        </w:tabs>
        <w:spacing w:line="240" w:lineRule="atLeast"/>
        <w:ind w:left="709" w:hanging="709"/>
        <w:rPr>
          <w:szCs w:val="20"/>
          <w:lang w:val="bg-BG"/>
        </w:rPr>
      </w:pPr>
      <w:r w:rsidRPr="009072DA">
        <w:rPr>
          <w:lang w:val="bg-BG"/>
        </w:rPr>
        <w:t>3.3.5</w:t>
      </w:r>
      <w:r w:rsidRPr="009072DA">
        <w:rPr>
          <w:lang w:val="bg-BG"/>
        </w:rPr>
        <w:tab/>
        <w:t>Нормалната честота на изпитванията за съответствие на производството, които компетентният орган има право да провежда, е веднъж годишно. В случай на неспазване на изискванията по точка 3.3.3 компетентният орган трябва да гарантира, че се предприемат всички необходими стъпки, за да се възстанови съответствието на производството без забавяне.</w:t>
      </w:r>
    </w:p>
    <w:p w:rsidR="009C13A9" w:rsidRPr="009072DA" w:rsidRDefault="009C13A9" w:rsidP="009C13A9">
      <w:pPr>
        <w:tabs>
          <w:tab w:val="left" w:pos="709"/>
        </w:tabs>
        <w:suppressAutoHyphens/>
        <w:overflowPunct w:val="0"/>
        <w:spacing w:line="240" w:lineRule="atLeast"/>
        <w:ind w:left="709" w:hanging="709"/>
        <w:textAlignment w:val="baseline"/>
        <w:rPr>
          <w:rFonts w:cs="Arial"/>
          <w:szCs w:val="20"/>
          <w:lang w:val="bg-BG"/>
        </w:rPr>
      </w:pPr>
    </w:p>
    <w:p w:rsidR="009C13A9" w:rsidRPr="009072DA" w:rsidRDefault="009C13A9" w:rsidP="009C13A9">
      <w:pPr>
        <w:tabs>
          <w:tab w:val="left" w:pos="709"/>
          <w:tab w:val="left" w:pos="1134"/>
        </w:tabs>
        <w:suppressAutoHyphens/>
        <w:overflowPunct w:val="0"/>
        <w:spacing w:line="240" w:lineRule="atLeast"/>
        <w:ind w:left="709" w:hanging="709"/>
        <w:textAlignment w:val="baseline"/>
        <w:rPr>
          <w:rFonts w:cs="Arial"/>
          <w:szCs w:val="20"/>
          <w:lang w:val="bg-BG"/>
        </w:rPr>
      </w:pPr>
      <w:r w:rsidRPr="009072DA">
        <w:rPr>
          <w:lang w:val="bg-BG"/>
        </w:rPr>
        <w:br w:type="page"/>
      </w:r>
    </w:p>
    <w:p w:rsidR="009C13A9" w:rsidRPr="009072DA" w:rsidRDefault="009C13A9" w:rsidP="009C13A9">
      <w:pPr>
        <w:tabs>
          <w:tab w:val="left" w:pos="709"/>
          <w:tab w:val="left" w:pos="1134"/>
        </w:tabs>
        <w:suppressAutoHyphens/>
        <w:overflowPunct w:val="0"/>
        <w:spacing w:line="240" w:lineRule="atLeast"/>
        <w:ind w:left="709" w:hanging="709"/>
        <w:textAlignment w:val="baseline"/>
        <w:rPr>
          <w:rFonts w:cs="Arial"/>
          <w:szCs w:val="20"/>
          <w:lang w:val="bg-BG"/>
        </w:rPr>
      </w:pPr>
    </w:p>
    <w:p w:rsidR="009C13A9" w:rsidRPr="009072DA" w:rsidRDefault="009C13A9" w:rsidP="009C13A9">
      <w:pPr>
        <w:tabs>
          <w:tab w:val="left" w:pos="709"/>
          <w:tab w:val="left" w:pos="1134"/>
        </w:tabs>
        <w:suppressAutoHyphens/>
        <w:overflowPunct w:val="0"/>
        <w:spacing w:line="240" w:lineRule="atLeast"/>
        <w:ind w:left="709" w:hanging="709"/>
        <w:textAlignment w:val="baseline"/>
        <w:rPr>
          <w:rFonts w:cs="Arial"/>
          <w:szCs w:val="20"/>
          <w:lang w:val="bg-BG"/>
        </w:rPr>
      </w:pPr>
    </w:p>
    <w:p w:rsidR="009C13A9" w:rsidRPr="009072DA" w:rsidRDefault="009C13A9" w:rsidP="009C13A9">
      <w:pPr>
        <w:tabs>
          <w:tab w:val="left" w:pos="709"/>
          <w:tab w:val="left" w:pos="1134"/>
        </w:tabs>
        <w:suppressAutoHyphens/>
        <w:overflowPunct w:val="0"/>
        <w:spacing w:line="240" w:lineRule="atLeast"/>
        <w:ind w:left="709" w:hanging="709"/>
        <w:textAlignment w:val="baseline"/>
        <w:rPr>
          <w:rFonts w:cs="Arial"/>
          <w:szCs w:val="20"/>
          <w:lang w:val="bg-BG"/>
        </w:rPr>
      </w:pPr>
    </w:p>
    <w:p w:rsidR="009C13A9" w:rsidRPr="009072DA" w:rsidRDefault="009C13A9" w:rsidP="009C13A9">
      <w:pPr>
        <w:tabs>
          <w:tab w:val="left" w:pos="709"/>
          <w:tab w:val="left" w:pos="1134"/>
        </w:tabs>
        <w:suppressAutoHyphens/>
        <w:overflowPunct w:val="0"/>
        <w:spacing w:line="240" w:lineRule="atLeast"/>
        <w:ind w:left="709" w:hanging="709"/>
        <w:textAlignment w:val="baseline"/>
        <w:rPr>
          <w:rFonts w:cs="Arial"/>
          <w:szCs w:val="20"/>
          <w:lang w:val="bg-BG"/>
        </w:rPr>
      </w:pPr>
      <w:r w:rsidRPr="009072DA">
        <w:rPr>
          <w:lang w:val="bg-BG"/>
        </w:rPr>
        <w:br w:type="page"/>
      </w:r>
    </w:p>
    <w:p w:rsidR="009C13A9" w:rsidRPr="009072DA" w:rsidRDefault="00925755" w:rsidP="00684B1D">
      <w:pPr>
        <w:pStyle w:val="ES-Titre3"/>
        <w:rPr>
          <w:lang w:val="bg-BG"/>
        </w:rPr>
      </w:pPr>
      <w:bookmarkStart w:id="685" w:name="_Toc491854326"/>
      <w:bookmarkStart w:id="686" w:name="_Toc535827767"/>
      <w:r w:rsidRPr="009072DA">
        <w:rPr>
          <w:lang w:val="bg-BG"/>
        </w:rPr>
        <w:lastRenderedPageBreak/>
        <w:t>Раздел II</w:t>
      </w:r>
      <w:bookmarkEnd w:id="685"/>
      <w:bookmarkEnd w:id="686"/>
    </w:p>
    <w:p w:rsidR="009C13A9" w:rsidRPr="009072DA" w:rsidRDefault="009C13A9" w:rsidP="00684B1D">
      <w:pPr>
        <w:pStyle w:val="ES-Titre3a"/>
        <w:rPr>
          <w:lang w:val="bg-BG"/>
        </w:rPr>
      </w:pPr>
      <w:bookmarkStart w:id="687" w:name="_Toc491854327"/>
      <w:bookmarkStart w:id="688" w:name="_Toc535827768"/>
      <w:r w:rsidRPr="009072DA">
        <w:rPr>
          <w:lang w:val="bg-BG"/>
        </w:rPr>
        <w:t>Информационен документ №...</w:t>
      </w:r>
      <w:r w:rsidRPr="009072DA">
        <w:rPr>
          <w:vertAlign w:val="superscript"/>
          <w:lang w:val="bg-BG"/>
        </w:rPr>
        <w:footnoteReference w:id="63"/>
      </w:r>
      <w:r w:rsidRPr="009072DA">
        <w:rPr>
          <w:vertAlign w:val="superscript"/>
          <w:lang w:val="bg-BG"/>
        </w:rPr>
        <w:t xml:space="preserve"> </w:t>
      </w:r>
      <w:r w:rsidRPr="009072DA">
        <w:rPr>
          <w:lang w:val="bg-BG"/>
        </w:rPr>
        <w:t>във връзка с одобрението на типа на бордовите станции за пречистване на отпадъчни води, предназначени за инсталиране на плавателните съдове по вътрешните водни пътища</w:t>
      </w:r>
      <w:bookmarkEnd w:id="687"/>
      <w:bookmarkEnd w:id="688"/>
    </w:p>
    <w:p w:rsidR="009C13A9" w:rsidRPr="009072DA" w:rsidRDefault="009C13A9" w:rsidP="009C13A9">
      <w:pPr>
        <w:overflowPunct w:val="0"/>
        <w:adjustRightInd w:val="0"/>
        <w:spacing w:line="240" w:lineRule="exact"/>
        <w:jc w:val="center"/>
        <w:textAlignment w:val="baseline"/>
        <w:rPr>
          <w:rFonts w:eastAsia="Calibri"/>
          <w:lang w:val="bg-BG"/>
        </w:rPr>
      </w:pPr>
      <w:r w:rsidRPr="009072DA">
        <w:rPr>
          <w:lang w:val="bg-BG"/>
        </w:rPr>
        <w:t>(Образец)</w:t>
      </w:r>
    </w:p>
    <w:p w:rsidR="009C13A9" w:rsidRPr="009072DA" w:rsidRDefault="009C13A9" w:rsidP="009C13A9">
      <w:pPr>
        <w:tabs>
          <w:tab w:val="left" w:leader="dot" w:pos="9214"/>
        </w:tabs>
        <w:suppressAutoHyphens/>
        <w:spacing w:line="240" w:lineRule="atLeast"/>
        <w:rPr>
          <w:rFonts w:cs="Arial"/>
          <w:szCs w:val="20"/>
          <w:lang w:val="bg-BG"/>
        </w:rPr>
      </w:pPr>
    </w:p>
    <w:p w:rsidR="009C13A9" w:rsidRPr="009072DA" w:rsidRDefault="009C13A9" w:rsidP="009C13A9">
      <w:pPr>
        <w:tabs>
          <w:tab w:val="left" w:leader="dot" w:pos="9072"/>
        </w:tabs>
        <w:ind w:left="850" w:hanging="850"/>
        <w:rPr>
          <w:szCs w:val="20"/>
          <w:lang w:val="bg-BG"/>
        </w:rPr>
      </w:pPr>
      <w:r w:rsidRPr="009072DA">
        <w:rPr>
          <w:lang w:val="bg-BG"/>
        </w:rPr>
        <w:t xml:space="preserve">Тип бордова станция за пречистване на отпадъчни води: </w:t>
      </w:r>
      <w:r w:rsidRPr="009072DA">
        <w:rPr>
          <w:lang w:val="bg-BG"/>
        </w:rPr>
        <w:tab/>
      </w:r>
    </w:p>
    <w:p w:rsidR="009C13A9" w:rsidRPr="009072DA" w:rsidRDefault="009C13A9" w:rsidP="009C13A9">
      <w:pPr>
        <w:tabs>
          <w:tab w:val="left" w:leader="dot" w:pos="9072"/>
        </w:tabs>
        <w:ind w:left="567" w:hanging="567"/>
        <w:rPr>
          <w:szCs w:val="20"/>
          <w:lang w:val="bg-BG"/>
        </w:rPr>
      </w:pPr>
    </w:p>
    <w:p w:rsidR="009C13A9" w:rsidRPr="009072DA" w:rsidRDefault="009C13A9" w:rsidP="009C13A9">
      <w:pPr>
        <w:tabs>
          <w:tab w:val="left" w:leader="dot" w:pos="9072"/>
        </w:tabs>
        <w:spacing w:line="240" w:lineRule="atLeast"/>
        <w:ind w:left="567" w:hanging="567"/>
        <w:rPr>
          <w:szCs w:val="20"/>
          <w:lang w:val="bg-BG"/>
        </w:rPr>
      </w:pPr>
      <w:r w:rsidRPr="009072DA">
        <w:rPr>
          <w:lang w:val="bg-BG"/>
        </w:rPr>
        <w:t>0.</w:t>
      </w:r>
      <w:r w:rsidRPr="009072DA">
        <w:rPr>
          <w:lang w:val="bg-BG"/>
        </w:rPr>
        <w:tab/>
        <w:t>Общи положения</w:t>
      </w:r>
    </w:p>
    <w:p w:rsidR="009C13A9" w:rsidRPr="009072DA" w:rsidRDefault="009C13A9" w:rsidP="009C13A9">
      <w:pPr>
        <w:tabs>
          <w:tab w:val="left" w:leader="dot" w:pos="9072"/>
        </w:tabs>
        <w:spacing w:line="240" w:lineRule="atLeast"/>
        <w:ind w:left="567" w:hanging="567"/>
        <w:rPr>
          <w:szCs w:val="20"/>
          <w:lang w:val="bg-BG"/>
        </w:rPr>
      </w:pPr>
    </w:p>
    <w:p w:rsidR="009C13A9" w:rsidRPr="009072DA" w:rsidRDefault="009C13A9" w:rsidP="009C13A9">
      <w:pPr>
        <w:tabs>
          <w:tab w:val="left" w:leader="dot" w:pos="9072"/>
        </w:tabs>
        <w:spacing w:line="240" w:lineRule="atLeast"/>
        <w:ind w:left="567" w:hanging="567"/>
        <w:rPr>
          <w:szCs w:val="20"/>
          <w:lang w:val="bg-BG"/>
        </w:rPr>
      </w:pPr>
      <w:r w:rsidRPr="009072DA">
        <w:rPr>
          <w:lang w:val="bg-BG"/>
        </w:rPr>
        <w:t>0.1</w:t>
      </w:r>
      <w:r w:rsidRPr="009072DA">
        <w:rPr>
          <w:lang w:val="bg-BG"/>
        </w:rPr>
        <w:tab/>
        <w:t xml:space="preserve">Марка (наименование на дружеството производител): </w:t>
      </w:r>
      <w:r w:rsidRPr="009072DA">
        <w:rPr>
          <w:lang w:val="bg-BG"/>
        </w:rPr>
        <w:tab/>
      </w:r>
    </w:p>
    <w:p w:rsidR="009C13A9" w:rsidRPr="009072DA" w:rsidRDefault="009C13A9" w:rsidP="009C13A9">
      <w:pPr>
        <w:tabs>
          <w:tab w:val="left" w:leader="dot" w:pos="9072"/>
        </w:tabs>
        <w:spacing w:line="240" w:lineRule="atLeast"/>
        <w:ind w:left="567" w:hanging="567"/>
        <w:rPr>
          <w:szCs w:val="20"/>
          <w:lang w:val="bg-BG"/>
        </w:rPr>
      </w:pPr>
    </w:p>
    <w:p w:rsidR="009C13A9" w:rsidRPr="009072DA" w:rsidRDefault="009C13A9" w:rsidP="009C13A9">
      <w:pPr>
        <w:tabs>
          <w:tab w:val="left" w:leader="dot" w:pos="9072"/>
        </w:tabs>
        <w:spacing w:line="240" w:lineRule="atLeast"/>
        <w:ind w:left="567" w:hanging="567"/>
        <w:rPr>
          <w:szCs w:val="20"/>
          <w:lang w:val="bg-BG"/>
        </w:rPr>
      </w:pPr>
      <w:r w:rsidRPr="009072DA">
        <w:rPr>
          <w:lang w:val="bg-BG"/>
        </w:rPr>
        <w:t>0.2</w:t>
      </w:r>
      <w:r w:rsidRPr="009072DA">
        <w:rPr>
          <w:lang w:val="bg-BG"/>
        </w:rPr>
        <w:tab/>
        <w:t xml:space="preserve">Обозначение от производителя за типа на бордовата станция за пречистване на отпадъчни води: </w:t>
      </w:r>
      <w:r w:rsidRPr="009072DA">
        <w:rPr>
          <w:lang w:val="bg-BG"/>
        </w:rPr>
        <w:tab/>
      </w:r>
    </w:p>
    <w:p w:rsidR="009C13A9" w:rsidRPr="009072DA" w:rsidRDefault="009C13A9" w:rsidP="009C13A9">
      <w:pPr>
        <w:tabs>
          <w:tab w:val="left" w:leader="dot" w:pos="9072"/>
        </w:tabs>
        <w:spacing w:line="240" w:lineRule="atLeast"/>
        <w:ind w:left="567"/>
        <w:rPr>
          <w:szCs w:val="20"/>
          <w:lang w:val="bg-BG"/>
        </w:rPr>
      </w:pPr>
      <w:r w:rsidRPr="009072DA">
        <w:rPr>
          <w:lang w:val="bg-BG"/>
        </w:rPr>
        <w:tab/>
      </w:r>
    </w:p>
    <w:p w:rsidR="009C13A9" w:rsidRPr="009072DA" w:rsidRDefault="009C13A9" w:rsidP="009C13A9">
      <w:pPr>
        <w:tabs>
          <w:tab w:val="left" w:leader="dot" w:pos="9072"/>
        </w:tabs>
        <w:spacing w:line="240" w:lineRule="atLeast"/>
        <w:ind w:left="567" w:hanging="567"/>
        <w:rPr>
          <w:szCs w:val="20"/>
          <w:lang w:val="bg-BG"/>
        </w:rPr>
      </w:pPr>
    </w:p>
    <w:p w:rsidR="009C13A9" w:rsidRPr="009072DA" w:rsidRDefault="009C13A9" w:rsidP="009C13A9">
      <w:pPr>
        <w:tabs>
          <w:tab w:val="left" w:leader="dot" w:pos="9072"/>
        </w:tabs>
        <w:spacing w:line="240" w:lineRule="atLeast"/>
        <w:ind w:left="567" w:hanging="567"/>
        <w:rPr>
          <w:szCs w:val="20"/>
          <w:lang w:val="bg-BG"/>
        </w:rPr>
      </w:pPr>
      <w:r w:rsidRPr="009072DA">
        <w:rPr>
          <w:lang w:val="bg-BG"/>
        </w:rPr>
        <w:t>0.3</w:t>
      </w:r>
      <w:r w:rsidRPr="009072DA">
        <w:rPr>
          <w:lang w:val="bg-BG"/>
        </w:rPr>
        <w:tab/>
        <w:t xml:space="preserve">Код на типа на производителя, съответстващ на информацията върху бордовата станция за пречистване на отпадъчни води: </w:t>
      </w:r>
      <w:r w:rsidRPr="009072DA">
        <w:rPr>
          <w:lang w:val="bg-BG"/>
        </w:rPr>
        <w:tab/>
      </w:r>
    </w:p>
    <w:p w:rsidR="009C13A9" w:rsidRPr="009072DA" w:rsidRDefault="009C13A9" w:rsidP="009C13A9">
      <w:pPr>
        <w:tabs>
          <w:tab w:val="left" w:leader="dot" w:pos="9072"/>
        </w:tabs>
        <w:spacing w:line="240" w:lineRule="atLeast"/>
        <w:ind w:left="567"/>
        <w:rPr>
          <w:szCs w:val="20"/>
          <w:lang w:val="bg-BG"/>
        </w:rPr>
      </w:pPr>
      <w:r w:rsidRPr="009072DA">
        <w:rPr>
          <w:lang w:val="bg-BG"/>
        </w:rPr>
        <w:tab/>
      </w:r>
    </w:p>
    <w:p w:rsidR="009C13A9" w:rsidRPr="009072DA" w:rsidRDefault="009C13A9" w:rsidP="009C13A9">
      <w:pPr>
        <w:tabs>
          <w:tab w:val="left" w:leader="dot" w:pos="9072"/>
        </w:tabs>
        <w:spacing w:line="240" w:lineRule="atLeast"/>
        <w:ind w:left="567" w:hanging="567"/>
        <w:rPr>
          <w:szCs w:val="20"/>
          <w:lang w:val="bg-BG"/>
        </w:rPr>
      </w:pPr>
    </w:p>
    <w:p w:rsidR="009C13A9" w:rsidRPr="009072DA" w:rsidRDefault="009C13A9" w:rsidP="009C13A9">
      <w:pPr>
        <w:tabs>
          <w:tab w:val="left" w:leader="dot" w:pos="9072"/>
        </w:tabs>
        <w:spacing w:line="240" w:lineRule="atLeast"/>
        <w:ind w:left="567" w:hanging="567"/>
        <w:rPr>
          <w:szCs w:val="20"/>
          <w:lang w:val="bg-BG"/>
        </w:rPr>
      </w:pPr>
      <w:r w:rsidRPr="009072DA">
        <w:rPr>
          <w:lang w:val="bg-BG"/>
        </w:rPr>
        <w:t>0.4</w:t>
      </w:r>
      <w:r w:rsidRPr="009072DA">
        <w:rPr>
          <w:lang w:val="bg-BG"/>
        </w:rPr>
        <w:tab/>
        <w:t xml:space="preserve">Име и адрес на производителя: </w:t>
      </w:r>
      <w:r w:rsidRPr="009072DA">
        <w:rPr>
          <w:lang w:val="bg-BG"/>
        </w:rPr>
        <w:tab/>
      </w:r>
    </w:p>
    <w:p w:rsidR="009C13A9" w:rsidRPr="009072DA" w:rsidRDefault="009C13A9" w:rsidP="009C13A9">
      <w:pPr>
        <w:tabs>
          <w:tab w:val="left" w:leader="dot" w:pos="9072"/>
        </w:tabs>
        <w:spacing w:line="240" w:lineRule="atLeast"/>
        <w:ind w:left="567"/>
        <w:rPr>
          <w:szCs w:val="20"/>
          <w:lang w:val="bg-BG"/>
        </w:rPr>
      </w:pPr>
      <w:r w:rsidRPr="009072DA">
        <w:rPr>
          <w:lang w:val="bg-BG"/>
        </w:rPr>
        <w:t xml:space="preserve">Наименование и адрес на упълномощения представител на производителя, ако има такъв: </w:t>
      </w:r>
      <w:r w:rsidRPr="009072DA">
        <w:rPr>
          <w:lang w:val="bg-BG"/>
        </w:rPr>
        <w:tab/>
      </w:r>
    </w:p>
    <w:p w:rsidR="009C13A9" w:rsidRPr="009072DA" w:rsidRDefault="009C13A9" w:rsidP="009C13A9">
      <w:pPr>
        <w:tabs>
          <w:tab w:val="left" w:leader="dot" w:pos="9072"/>
        </w:tabs>
        <w:spacing w:line="240" w:lineRule="atLeast"/>
        <w:ind w:left="567"/>
        <w:rPr>
          <w:szCs w:val="20"/>
          <w:lang w:val="bg-BG"/>
        </w:rPr>
      </w:pPr>
      <w:r w:rsidRPr="009072DA">
        <w:rPr>
          <w:lang w:val="bg-BG"/>
        </w:rPr>
        <w:tab/>
      </w:r>
    </w:p>
    <w:p w:rsidR="009C13A9" w:rsidRPr="009072DA" w:rsidRDefault="009C13A9" w:rsidP="009C13A9">
      <w:pPr>
        <w:tabs>
          <w:tab w:val="left" w:leader="dot" w:pos="9072"/>
        </w:tabs>
        <w:spacing w:line="240" w:lineRule="atLeast"/>
        <w:ind w:left="567" w:hanging="567"/>
        <w:rPr>
          <w:szCs w:val="20"/>
          <w:lang w:val="bg-BG"/>
        </w:rPr>
      </w:pPr>
    </w:p>
    <w:p w:rsidR="009C13A9" w:rsidRPr="009072DA" w:rsidRDefault="009C13A9" w:rsidP="009C13A9">
      <w:pPr>
        <w:tabs>
          <w:tab w:val="left" w:leader="dot" w:pos="9072"/>
        </w:tabs>
        <w:spacing w:line="240" w:lineRule="atLeast"/>
        <w:ind w:left="567" w:hanging="567"/>
        <w:rPr>
          <w:szCs w:val="20"/>
          <w:lang w:val="bg-BG"/>
        </w:rPr>
      </w:pPr>
      <w:r w:rsidRPr="009072DA">
        <w:rPr>
          <w:lang w:val="bg-BG"/>
        </w:rPr>
        <w:t>0.5</w:t>
      </w:r>
      <w:r w:rsidRPr="009072DA">
        <w:rPr>
          <w:lang w:val="bg-BG"/>
        </w:rPr>
        <w:tab/>
        <w:t xml:space="preserve">Разположение, легенда и начин на закрепване на серийния номер на бордовата станция за пречистване на отпадъчни води: </w:t>
      </w:r>
      <w:r w:rsidRPr="009072DA">
        <w:rPr>
          <w:lang w:val="bg-BG"/>
        </w:rPr>
        <w:tab/>
      </w:r>
    </w:p>
    <w:p w:rsidR="009C13A9" w:rsidRPr="009072DA" w:rsidRDefault="009C13A9" w:rsidP="009C13A9">
      <w:pPr>
        <w:tabs>
          <w:tab w:val="left" w:leader="dot" w:pos="9072"/>
        </w:tabs>
        <w:spacing w:line="240" w:lineRule="atLeast"/>
        <w:ind w:left="567"/>
        <w:rPr>
          <w:szCs w:val="20"/>
          <w:lang w:val="bg-BG"/>
        </w:rPr>
      </w:pPr>
      <w:r w:rsidRPr="009072DA">
        <w:rPr>
          <w:lang w:val="bg-BG"/>
        </w:rPr>
        <w:tab/>
      </w:r>
    </w:p>
    <w:p w:rsidR="009C13A9" w:rsidRPr="009072DA" w:rsidRDefault="009C13A9" w:rsidP="009C13A9">
      <w:pPr>
        <w:tabs>
          <w:tab w:val="left" w:leader="dot" w:pos="9072"/>
        </w:tabs>
        <w:spacing w:line="240" w:lineRule="atLeast"/>
        <w:ind w:left="567" w:hanging="567"/>
        <w:rPr>
          <w:szCs w:val="20"/>
          <w:lang w:val="bg-BG"/>
        </w:rPr>
      </w:pPr>
    </w:p>
    <w:p w:rsidR="009C13A9" w:rsidRPr="009072DA" w:rsidRDefault="009C13A9" w:rsidP="009C13A9">
      <w:pPr>
        <w:tabs>
          <w:tab w:val="left" w:leader="dot" w:pos="9072"/>
        </w:tabs>
        <w:spacing w:line="240" w:lineRule="atLeast"/>
        <w:ind w:left="567" w:hanging="567"/>
        <w:rPr>
          <w:szCs w:val="20"/>
          <w:lang w:val="bg-BG"/>
        </w:rPr>
      </w:pPr>
      <w:r w:rsidRPr="009072DA">
        <w:rPr>
          <w:lang w:val="bg-BG"/>
        </w:rPr>
        <w:t>0.6</w:t>
      </w:r>
      <w:r w:rsidRPr="009072DA">
        <w:rPr>
          <w:lang w:val="bg-BG"/>
        </w:rPr>
        <w:tab/>
        <w:t xml:space="preserve">Разположение и начин на закрепване на номера на одобрението на типа: </w:t>
      </w:r>
      <w:r w:rsidRPr="009072DA">
        <w:rPr>
          <w:lang w:val="bg-BG"/>
        </w:rPr>
        <w:tab/>
      </w:r>
    </w:p>
    <w:p w:rsidR="009C13A9" w:rsidRPr="009072DA" w:rsidRDefault="009C13A9" w:rsidP="009C13A9">
      <w:pPr>
        <w:tabs>
          <w:tab w:val="left" w:leader="dot" w:pos="9072"/>
        </w:tabs>
        <w:spacing w:line="240" w:lineRule="atLeast"/>
        <w:ind w:left="567"/>
        <w:rPr>
          <w:szCs w:val="20"/>
          <w:lang w:val="bg-BG"/>
        </w:rPr>
      </w:pPr>
      <w:r w:rsidRPr="009072DA">
        <w:rPr>
          <w:lang w:val="bg-BG"/>
        </w:rPr>
        <w:lastRenderedPageBreak/>
        <w:tab/>
      </w:r>
    </w:p>
    <w:p w:rsidR="009C13A9" w:rsidRPr="009072DA" w:rsidRDefault="009C13A9" w:rsidP="009C13A9">
      <w:pPr>
        <w:tabs>
          <w:tab w:val="left" w:leader="dot" w:pos="9072"/>
        </w:tabs>
        <w:spacing w:line="240" w:lineRule="atLeast"/>
        <w:ind w:left="567" w:hanging="567"/>
        <w:rPr>
          <w:szCs w:val="20"/>
          <w:lang w:val="bg-BG"/>
        </w:rPr>
      </w:pPr>
    </w:p>
    <w:p w:rsidR="009C13A9" w:rsidRPr="009072DA" w:rsidRDefault="009C13A9" w:rsidP="009C13A9">
      <w:pPr>
        <w:tabs>
          <w:tab w:val="left" w:leader="dot" w:pos="9072"/>
        </w:tabs>
        <w:spacing w:line="240" w:lineRule="atLeast"/>
        <w:ind w:left="567" w:hanging="567"/>
        <w:rPr>
          <w:szCs w:val="20"/>
          <w:lang w:val="bg-BG"/>
        </w:rPr>
      </w:pPr>
      <w:r w:rsidRPr="009072DA">
        <w:rPr>
          <w:lang w:val="bg-BG"/>
        </w:rPr>
        <w:t>0.7</w:t>
      </w:r>
      <w:r w:rsidRPr="009072DA">
        <w:rPr>
          <w:lang w:val="bg-BG"/>
        </w:rPr>
        <w:tab/>
        <w:t xml:space="preserve">Адрес(и) производствената база: </w:t>
      </w:r>
      <w:r w:rsidRPr="009072DA">
        <w:rPr>
          <w:lang w:val="bg-BG"/>
        </w:rPr>
        <w:tab/>
      </w:r>
    </w:p>
    <w:p w:rsidR="009C13A9" w:rsidRPr="009072DA" w:rsidRDefault="009C13A9" w:rsidP="009C13A9">
      <w:pPr>
        <w:tabs>
          <w:tab w:val="left" w:leader="dot" w:pos="9072"/>
        </w:tabs>
        <w:spacing w:line="240" w:lineRule="atLeast"/>
        <w:ind w:left="567"/>
        <w:rPr>
          <w:szCs w:val="20"/>
          <w:lang w:val="bg-BG"/>
        </w:rPr>
      </w:pPr>
      <w:r w:rsidRPr="009072DA">
        <w:rPr>
          <w:lang w:val="bg-BG"/>
        </w:rPr>
        <w:tab/>
      </w:r>
    </w:p>
    <w:p w:rsidR="009C13A9" w:rsidRPr="009072DA" w:rsidRDefault="009C13A9" w:rsidP="009C13A9">
      <w:pPr>
        <w:spacing w:line="240" w:lineRule="atLeast"/>
        <w:ind w:left="850" w:hanging="850"/>
        <w:outlineLvl w:val="0"/>
        <w:rPr>
          <w:szCs w:val="20"/>
          <w:lang w:val="bg-BG"/>
        </w:rPr>
      </w:pPr>
    </w:p>
    <w:p w:rsidR="009C13A9" w:rsidRPr="009072DA" w:rsidRDefault="009C13A9" w:rsidP="009C13A9">
      <w:pPr>
        <w:spacing w:line="240" w:lineRule="atLeast"/>
        <w:ind w:left="850" w:hanging="850"/>
        <w:outlineLvl w:val="0"/>
        <w:rPr>
          <w:b/>
          <w:szCs w:val="20"/>
          <w:lang w:val="bg-BG"/>
        </w:rPr>
      </w:pPr>
      <w:r w:rsidRPr="009072DA">
        <w:rPr>
          <w:b/>
          <w:lang w:val="bg-BG"/>
        </w:rPr>
        <w:t xml:space="preserve">Допълнения: </w:t>
      </w:r>
    </w:p>
    <w:p w:rsidR="009C13A9" w:rsidRPr="009072DA" w:rsidRDefault="009C13A9" w:rsidP="009C13A9">
      <w:pPr>
        <w:spacing w:line="240" w:lineRule="atLeast"/>
        <w:ind w:left="850" w:hanging="850"/>
        <w:outlineLvl w:val="0"/>
        <w:rPr>
          <w:szCs w:val="20"/>
          <w:lang w:val="bg-BG"/>
        </w:rPr>
      </w:pPr>
    </w:p>
    <w:p w:rsidR="009C13A9" w:rsidRPr="009072DA" w:rsidRDefault="009C13A9" w:rsidP="009C13A9">
      <w:pPr>
        <w:spacing w:line="240" w:lineRule="atLeast"/>
        <w:ind w:left="567" w:hanging="567"/>
        <w:rPr>
          <w:szCs w:val="20"/>
          <w:lang w:val="bg-BG"/>
        </w:rPr>
      </w:pPr>
      <w:r w:rsidRPr="009072DA">
        <w:rPr>
          <w:lang w:val="bg-BG"/>
        </w:rPr>
        <w:t>1.</w:t>
      </w:r>
      <w:r w:rsidRPr="009072DA">
        <w:rPr>
          <w:lang w:val="bg-BG"/>
        </w:rPr>
        <w:tab/>
        <w:t xml:space="preserve">Основни характеристики на бордовата станция за пречистване на отпадъчни води </w:t>
      </w:r>
    </w:p>
    <w:p w:rsidR="009C13A9" w:rsidRPr="009072DA" w:rsidRDefault="009C13A9" w:rsidP="009C13A9">
      <w:pPr>
        <w:spacing w:before="60" w:line="240" w:lineRule="atLeast"/>
        <w:ind w:left="567" w:hanging="567"/>
        <w:rPr>
          <w:szCs w:val="20"/>
          <w:lang w:val="bg-BG"/>
        </w:rPr>
      </w:pPr>
      <w:r w:rsidRPr="009072DA">
        <w:rPr>
          <w:lang w:val="bg-BG"/>
        </w:rPr>
        <w:t>2.</w:t>
      </w:r>
      <w:r w:rsidRPr="009072DA">
        <w:rPr>
          <w:lang w:val="bg-BG"/>
        </w:rPr>
        <w:tab/>
        <w:t xml:space="preserve">Прилаганите критерии за проектиране и оразмеряване, спецификации за оразмеряване и наредби </w:t>
      </w:r>
    </w:p>
    <w:p w:rsidR="009C13A9" w:rsidRPr="009072DA" w:rsidRDefault="009C13A9" w:rsidP="009C13A9">
      <w:pPr>
        <w:spacing w:before="60" w:line="240" w:lineRule="atLeast"/>
        <w:ind w:left="567" w:hanging="567"/>
        <w:rPr>
          <w:szCs w:val="20"/>
          <w:lang w:val="bg-BG"/>
        </w:rPr>
      </w:pPr>
      <w:r w:rsidRPr="009072DA">
        <w:rPr>
          <w:lang w:val="bg-BG"/>
        </w:rPr>
        <w:t>3.</w:t>
      </w:r>
      <w:r w:rsidRPr="009072DA">
        <w:rPr>
          <w:lang w:val="bg-BG"/>
        </w:rPr>
        <w:tab/>
        <w:t>Схема на бордовата станция за пречистване на отпадъчни води със списък на частите</w:t>
      </w:r>
    </w:p>
    <w:p w:rsidR="009C13A9" w:rsidRPr="009072DA" w:rsidRDefault="009C13A9" w:rsidP="009C13A9">
      <w:pPr>
        <w:spacing w:before="60" w:line="240" w:lineRule="atLeast"/>
        <w:ind w:left="567" w:hanging="567"/>
        <w:rPr>
          <w:szCs w:val="20"/>
          <w:lang w:val="bg-BG"/>
        </w:rPr>
      </w:pPr>
      <w:r w:rsidRPr="009072DA">
        <w:rPr>
          <w:lang w:val="bg-BG"/>
        </w:rPr>
        <w:t>4.</w:t>
      </w:r>
      <w:r w:rsidRPr="009072DA">
        <w:rPr>
          <w:lang w:val="bg-BG"/>
        </w:rPr>
        <w:tab/>
        <w:t xml:space="preserve">Схема на изпитваната пречиствателна станция със списък на частите </w:t>
      </w:r>
    </w:p>
    <w:p w:rsidR="009C13A9" w:rsidRPr="009072DA" w:rsidRDefault="009C13A9" w:rsidP="009C13A9">
      <w:pPr>
        <w:spacing w:before="60" w:line="240" w:lineRule="atLeast"/>
        <w:ind w:left="567" w:hanging="567"/>
        <w:rPr>
          <w:szCs w:val="20"/>
          <w:lang w:val="bg-BG"/>
        </w:rPr>
      </w:pPr>
      <w:r w:rsidRPr="009072DA">
        <w:rPr>
          <w:lang w:val="bg-BG"/>
        </w:rPr>
        <w:t>5</w:t>
      </w:r>
      <w:r w:rsidRPr="009072DA">
        <w:rPr>
          <w:lang w:val="bg-BG"/>
        </w:rPr>
        <w:tab/>
        <w:t xml:space="preserve">Схеми на електрическата инсталация (схема на тръбопроводите и КИП) </w:t>
      </w:r>
    </w:p>
    <w:p w:rsidR="009C13A9" w:rsidRPr="009072DA" w:rsidRDefault="009C13A9" w:rsidP="009C13A9">
      <w:pPr>
        <w:spacing w:before="60" w:line="240" w:lineRule="atLeast"/>
        <w:ind w:left="567" w:hanging="567"/>
        <w:rPr>
          <w:szCs w:val="20"/>
          <w:lang w:val="bg-BG"/>
        </w:rPr>
      </w:pPr>
      <w:r w:rsidRPr="009072DA">
        <w:rPr>
          <w:lang w:val="bg-BG"/>
        </w:rPr>
        <w:t>6.</w:t>
      </w:r>
      <w:r w:rsidRPr="009072DA">
        <w:rPr>
          <w:lang w:val="bg-BG"/>
        </w:rPr>
        <w:tab/>
        <w:t xml:space="preserve">Декларация, че са спазени всички спецификации по отношение на механичната, електрическата и техническата безопасност на бордовите станции за пречистване на отпадъчни води, както и спецификациите за корабната безопасност </w:t>
      </w:r>
    </w:p>
    <w:p w:rsidR="009C13A9" w:rsidRPr="009072DA" w:rsidRDefault="009C13A9" w:rsidP="009C13A9">
      <w:pPr>
        <w:spacing w:before="60" w:line="240" w:lineRule="atLeast"/>
        <w:ind w:left="567" w:hanging="567"/>
        <w:rPr>
          <w:szCs w:val="20"/>
          <w:lang w:val="bg-BG"/>
        </w:rPr>
      </w:pPr>
      <w:r w:rsidRPr="009072DA">
        <w:rPr>
          <w:lang w:val="bg-BG"/>
        </w:rPr>
        <w:t>7.</w:t>
      </w:r>
      <w:r w:rsidRPr="009072DA">
        <w:rPr>
          <w:lang w:val="bg-BG"/>
        </w:rPr>
        <w:tab/>
        <w:t xml:space="preserve">Характеристики на всички части на плавателния съд, които са свързани с бордовата станция за пречистване на отпадъчни води </w:t>
      </w:r>
    </w:p>
    <w:p w:rsidR="009C13A9" w:rsidRPr="009072DA" w:rsidRDefault="009C13A9" w:rsidP="009C13A9">
      <w:pPr>
        <w:spacing w:before="60" w:line="240" w:lineRule="atLeast"/>
        <w:ind w:left="567" w:hanging="567"/>
        <w:rPr>
          <w:szCs w:val="20"/>
          <w:lang w:val="bg-BG"/>
        </w:rPr>
      </w:pPr>
      <w:r w:rsidRPr="009072DA">
        <w:rPr>
          <w:lang w:val="bg-BG"/>
        </w:rPr>
        <w:t>8.</w:t>
      </w:r>
      <w:r w:rsidRPr="009072DA">
        <w:rPr>
          <w:lang w:val="bg-BG"/>
        </w:rPr>
        <w:tab/>
        <w:t>Ръководство на производителя за проверка на свързаните с пречистването компоненти и параметри на бордовата станция за пречистване на отпадъчни води в съответствие с член 1.01, точка 9.10</w:t>
      </w:r>
    </w:p>
    <w:p w:rsidR="009C13A9" w:rsidRPr="009072DA" w:rsidRDefault="009C13A9" w:rsidP="009C13A9">
      <w:pPr>
        <w:spacing w:line="240" w:lineRule="atLeast"/>
        <w:ind w:left="567" w:hanging="567"/>
        <w:rPr>
          <w:szCs w:val="20"/>
          <w:lang w:val="bg-BG"/>
        </w:rPr>
      </w:pPr>
      <w:r w:rsidRPr="009072DA">
        <w:rPr>
          <w:lang w:val="bg-BG"/>
        </w:rPr>
        <w:br w:type="page"/>
      </w:r>
    </w:p>
    <w:p w:rsidR="009C13A9" w:rsidRPr="009072DA" w:rsidRDefault="009C13A9" w:rsidP="009C13A9">
      <w:pPr>
        <w:spacing w:line="240" w:lineRule="atLeast"/>
        <w:ind w:left="567" w:hanging="567"/>
        <w:rPr>
          <w:szCs w:val="20"/>
          <w:lang w:val="bg-BG"/>
        </w:rPr>
      </w:pPr>
      <w:r w:rsidRPr="009072DA">
        <w:rPr>
          <w:lang w:val="bg-BG"/>
        </w:rPr>
        <w:lastRenderedPageBreak/>
        <w:t>9.</w:t>
      </w:r>
      <w:r w:rsidRPr="009072DA">
        <w:rPr>
          <w:lang w:val="bg-BG"/>
        </w:rPr>
        <w:tab/>
        <w:t>Снимки на бордовата станция за пречистване на отпадъчни води</w:t>
      </w:r>
    </w:p>
    <w:p w:rsidR="009C13A9" w:rsidRPr="009072DA" w:rsidRDefault="009C13A9" w:rsidP="009C13A9">
      <w:pPr>
        <w:spacing w:before="60" w:line="240" w:lineRule="atLeast"/>
        <w:ind w:left="567" w:hanging="567"/>
        <w:rPr>
          <w:szCs w:val="20"/>
          <w:lang w:val="bg-BG"/>
        </w:rPr>
      </w:pPr>
      <w:r w:rsidRPr="009072DA">
        <w:rPr>
          <w:lang w:val="bg-BG"/>
        </w:rPr>
        <w:t>10.</w:t>
      </w:r>
      <w:r w:rsidRPr="009072DA">
        <w:rPr>
          <w:lang w:val="bg-BG"/>
        </w:rPr>
        <w:tab/>
        <w:t>Принципи на работа</w:t>
      </w:r>
      <w:r w:rsidRPr="009072DA">
        <w:rPr>
          <w:vertAlign w:val="superscript"/>
          <w:lang w:val="bg-BG"/>
        </w:rPr>
        <w:t>(</w:t>
      </w:r>
      <w:r w:rsidRPr="009072DA">
        <w:rPr>
          <w:vertAlign w:val="superscript"/>
          <w:lang w:val="bg-BG"/>
        </w:rPr>
        <w:footnoteReference w:id="64"/>
      </w:r>
      <w:r w:rsidRPr="009072DA">
        <w:rPr>
          <w:vertAlign w:val="superscript"/>
          <w:lang w:val="bg-BG"/>
        </w:rPr>
        <w:t>)</w:t>
      </w:r>
    </w:p>
    <w:p w:rsidR="009C13A9" w:rsidRPr="009072DA" w:rsidRDefault="009C13A9" w:rsidP="009C13A9">
      <w:pPr>
        <w:spacing w:before="60" w:line="240" w:lineRule="atLeast"/>
        <w:ind w:left="567" w:hanging="567"/>
        <w:rPr>
          <w:szCs w:val="20"/>
          <w:lang w:val="bg-BG"/>
        </w:rPr>
      </w:pPr>
      <w:r w:rsidRPr="009072DA">
        <w:rPr>
          <w:lang w:val="bg-BG"/>
        </w:rPr>
        <w:t>10.1</w:t>
      </w:r>
      <w:r w:rsidRPr="009072DA">
        <w:rPr>
          <w:lang w:val="bg-BG"/>
        </w:rPr>
        <w:tab/>
        <w:t xml:space="preserve">Инструкции за ръчното обслужване на бордовата станция за пречистване на отпадъчни води </w:t>
      </w:r>
    </w:p>
    <w:p w:rsidR="009C13A9" w:rsidRPr="009072DA" w:rsidRDefault="009C13A9" w:rsidP="009C13A9">
      <w:pPr>
        <w:spacing w:before="60" w:line="240" w:lineRule="atLeast"/>
        <w:ind w:left="567" w:hanging="567"/>
        <w:rPr>
          <w:szCs w:val="20"/>
          <w:lang w:val="bg-BG"/>
        </w:rPr>
      </w:pPr>
      <w:r w:rsidRPr="009072DA">
        <w:rPr>
          <w:lang w:val="bg-BG"/>
        </w:rPr>
        <w:t>10.2</w:t>
      </w:r>
      <w:r w:rsidRPr="009072DA">
        <w:rPr>
          <w:lang w:val="bg-BG"/>
        </w:rPr>
        <w:tab/>
        <w:t>Бележки относно управлението на излишната утайка (интервали на изпразване)</w:t>
      </w:r>
    </w:p>
    <w:p w:rsidR="009C13A9" w:rsidRPr="009072DA" w:rsidRDefault="009C13A9" w:rsidP="009C13A9">
      <w:pPr>
        <w:spacing w:before="60" w:line="240" w:lineRule="atLeast"/>
        <w:ind w:left="567" w:hanging="567"/>
        <w:rPr>
          <w:szCs w:val="20"/>
          <w:lang w:val="bg-BG"/>
        </w:rPr>
      </w:pPr>
      <w:r w:rsidRPr="009072DA">
        <w:rPr>
          <w:lang w:val="bg-BG"/>
        </w:rPr>
        <w:t>10.3</w:t>
      </w:r>
      <w:r w:rsidRPr="009072DA">
        <w:rPr>
          <w:lang w:val="bg-BG"/>
        </w:rPr>
        <w:tab/>
        <w:t>Бележки относно поддръжката и ремонта</w:t>
      </w:r>
    </w:p>
    <w:p w:rsidR="009C13A9" w:rsidRPr="009072DA" w:rsidRDefault="009C13A9" w:rsidP="009C13A9">
      <w:pPr>
        <w:spacing w:before="60" w:line="240" w:lineRule="atLeast"/>
        <w:ind w:left="567" w:hanging="567"/>
        <w:rPr>
          <w:szCs w:val="20"/>
          <w:lang w:val="bg-BG"/>
        </w:rPr>
      </w:pPr>
      <w:r w:rsidRPr="009072DA">
        <w:rPr>
          <w:lang w:val="bg-BG"/>
        </w:rPr>
        <w:t>10.4</w:t>
      </w:r>
      <w:r w:rsidRPr="009072DA">
        <w:rPr>
          <w:lang w:val="bg-BG"/>
        </w:rPr>
        <w:tab/>
        <w:t>Бележки относно необходимите действия в случай на работа в режим на готовност на бордовата станция за пречистване на отпадъчни води</w:t>
      </w:r>
    </w:p>
    <w:p w:rsidR="009C13A9" w:rsidRPr="009072DA" w:rsidRDefault="009C13A9" w:rsidP="009C13A9">
      <w:pPr>
        <w:spacing w:before="60" w:line="240" w:lineRule="atLeast"/>
        <w:ind w:left="567" w:hanging="567"/>
        <w:rPr>
          <w:szCs w:val="20"/>
          <w:lang w:val="bg-BG"/>
        </w:rPr>
      </w:pPr>
      <w:r w:rsidRPr="009072DA">
        <w:rPr>
          <w:lang w:val="bg-BG"/>
        </w:rPr>
        <w:t>10.5</w:t>
      </w:r>
      <w:r w:rsidRPr="009072DA">
        <w:rPr>
          <w:lang w:val="bg-BG"/>
        </w:rPr>
        <w:tab/>
        <w:t>Бележки относно необходимите действия в случай на работа в авариен режим на бордовата станция за пречистване на отпадъчни води</w:t>
      </w:r>
    </w:p>
    <w:p w:rsidR="009C13A9" w:rsidRPr="009072DA" w:rsidRDefault="009C13A9" w:rsidP="009C13A9">
      <w:pPr>
        <w:spacing w:before="60" w:line="240" w:lineRule="atLeast"/>
        <w:ind w:left="567" w:hanging="567"/>
        <w:rPr>
          <w:szCs w:val="20"/>
          <w:lang w:val="bg-BG"/>
        </w:rPr>
      </w:pPr>
      <w:r w:rsidRPr="009072DA">
        <w:rPr>
          <w:lang w:val="bg-BG"/>
        </w:rPr>
        <w:t>10.6</w:t>
      </w:r>
      <w:r w:rsidRPr="009072DA">
        <w:rPr>
          <w:lang w:val="bg-BG"/>
        </w:rPr>
        <w:tab/>
        <w:t>Бележки относно действията по спиране, престой и пускане на бордовата станция за пречистване на отпадъчни води</w:t>
      </w:r>
    </w:p>
    <w:p w:rsidR="009C13A9" w:rsidRPr="009072DA" w:rsidRDefault="009C13A9" w:rsidP="009C13A9">
      <w:pPr>
        <w:spacing w:before="60" w:line="240" w:lineRule="atLeast"/>
        <w:ind w:left="567" w:hanging="567"/>
        <w:rPr>
          <w:szCs w:val="20"/>
          <w:lang w:val="bg-BG"/>
        </w:rPr>
      </w:pPr>
      <w:r w:rsidRPr="009072DA">
        <w:rPr>
          <w:lang w:val="bg-BG"/>
        </w:rPr>
        <w:t>10.7</w:t>
      </w:r>
      <w:r w:rsidRPr="009072DA">
        <w:rPr>
          <w:lang w:val="bg-BG"/>
        </w:rPr>
        <w:tab/>
        <w:t xml:space="preserve">Бележки относно изискванията за предварително пречистване на отпадъчни води от камбузи </w:t>
      </w:r>
    </w:p>
    <w:p w:rsidR="009C13A9" w:rsidRPr="009072DA" w:rsidRDefault="009C13A9" w:rsidP="009C13A9">
      <w:pPr>
        <w:spacing w:before="60" w:line="240" w:lineRule="atLeast"/>
        <w:ind w:left="567" w:hanging="567"/>
        <w:rPr>
          <w:szCs w:val="20"/>
          <w:lang w:val="bg-BG"/>
        </w:rPr>
      </w:pPr>
      <w:r w:rsidRPr="009072DA">
        <w:rPr>
          <w:lang w:val="bg-BG"/>
        </w:rPr>
        <w:t>11.</w:t>
      </w:r>
      <w:r w:rsidRPr="009072DA">
        <w:rPr>
          <w:lang w:val="bg-BG"/>
        </w:rPr>
        <w:tab/>
        <w:t>Други съоръжения (списъкът е достъпен тук)</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outlineLvl w:val="0"/>
        <w:rPr>
          <w:b/>
          <w:szCs w:val="20"/>
          <w:lang w:val="bg-BG"/>
        </w:rPr>
      </w:pPr>
      <w:r w:rsidRPr="009072DA">
        <w:rPr>
          <w:b/>
          <w:lang w:val="bg-BG"/>
        </w:rPr>
        <w:t>Дата и подпис на производителя на бордовата станция за пречистване на отпадъчни води</w:t>
      </w:r>
    </w:p>
    <w:p w:rsidR="009C13A9" w:rsidRPr="009072DA" w:rsidRDefault="009C13A9" w:rsidP="009C13A9">
      <w:pPr>
        <w:spacing w:line="240" w:lineRule="atLeast"/>
        <w:rPr>
          <w:rFonts w:cs="Arial"/>
          <w:color w:val="000000"/>
          <w:lang w:val="bg-BG"/>
        </w:rPr>
      </w:pPr>
    </w:p>
    <w:p w:rsidR="009C13A9" w:rsidRPr="009072DA" w:rsidRDefault="009C13A9" w:rsidP="009C13A9">
      <w:pPr>
        <w:rPr>
          <w:szCs w:val="20"/>
          <w:lang w:val="bg-BG"/>
        </w:rPr>
      </w:pPr>
      <w:r w:rsidRPr="009072DA">
        <w:rPr>
          <w:lang w:val="bg-BG"/>
        </w:rPr>
        <w:t>……………………………………………</w:t>
      </w:r>
      <w:r w:rsidRPr="009072DA">
        <w:rPr>
          <w:lang w:val="bg-BG"/>
        </w:rPr>
        <w:tab/>
        <w:t>………………………………………….</w:t>
      </w:r>
    </w:p>
    <w:p w:rsidR="009C13A9" w:rsidRPr="009072DA" w:rsidRDefault="009C13A9" w:rsidP="009C13A9">
      <w:pPr>
        <w:rPr>
          <w:szCs w:val="20"/>
          <w:lang w:val="bg-BG"/>
        </w:rPr>
      </w:pPr>
    </w:p>
    <w:p w:rsidR="009C13A9" w:rsidRPr="009072DA" w:rsidRDefault="009C13A9" w:rsidP="009C13A9">
      <w:pPr>
        <w:tabs>
          <w:tab w:val="left" w:pos="142"/>
        </w:tabs>
        <w:suppressAutoHyphens/>
        <w:spacing w:line="240" w:lineRule="atLeast"/>
        <w:rPr>
          <w:rFonts w:cs="Arial"/>
          <w:szCs w:val="20"/>
          <w:lang w:val="bg-BG"/>
        </w:rPr>
      </w:pPr>
    </w:p>
    <w:p w:rsidR="009C13A9" w:rsidRPr="009072DA" w:rsidRDefault="009C13A9" w:rsidP="009C13A9">
      <w:pPr>
        <w:tabs>
          <w:tab w:val="center" w:pos="7655"/>
        </w:tabs>
        <w:suppressAutoHyphens/>
        <w:spacing w:line="240" w:lineRule="atLeast"/>
        <w:jc w:val="center"/>
        <w:rPr>
          <w:rFonts w:cs="Arial"/>
          <w:b/>
          <w:lang w:val="bg-BG"/>
        </w:rPr>
      </w:pPr>
      <w:r w:rsidRPr="009072DA">
        <w:rPr>
          <w:b/>
          <w:lang w:val="bg-BG"/>
        </w:rPr>
        <w:lastRenderedPageBreak/>
        <w:t>Допълнение 1</w:t>
      </w:r>
    </w:p>
    <w:p w:rsidR="009C13A9" w:rsidRPr="009072DA" w:rsidRDefault="009C13A9" w:rsidP="009C13A9">
      <w:pPr>
        <w:tabs>
          <w:tab w:val="center" w:pos="7655"/>
        </w:tabs>
        <w:suppressAutoHyphens/>
        <w:spacing w:line="240" w:lineRule="atLeast"/>
        <w:jc w:val="center"/>
        <w:rPr>
          <w:rFonts w:cs="Arial"/>
          <w:szCs w:val="20"/>
          <w:lang w:val="bg-BG"/>
        </w:rPr>
      </w:pPr>
      <w:r w:rsidRPr="009072DA">
        <w:rPr>
          <w:b/>
          <w:lang w:val="bg-BG"/>
        </w:rPr>
        <w:t xml:space="preserve">Основни характеристики на бордовата станция за пречистване на отпадъчни води </w:t>
      </w:r>
      <w:r w:rsidRPr="009072DA">
        <w:rPr>
          <w:rFonts w:cs="Arial"/>
          <w:b/>
          <w:szCs w:val="20"/>
          <w:lang w:val="bg-BG"/>
        </w:rPr>
        <w:br/>
      </w:r>
      <w:r w:rsidRPr="009072DA">
        <w:rPr>
          <w:lang w:val="bg-BG"/>
        </w:rPr>
        <w:t>(Образец)</w:t>
      </w:r>
    </w:p>
    <w:p w:rsidR="009C13A9" w:rsidRPr="009072DA" w:rsidRDefault="009C13A9" w:rsidP="009C13A9">
      <w:pPr>
        <w:suppressAutoHyphens/>
        <w:spacing w:line="240" w:lineRule="atLeast"/>
        <w:ind w:left="993" w:hanging="993"/>
        <w:rPr>
          <w:rFonts w:cs="Arial"/>
          <w:szCs w:val="20"/>
          <w:lang w:val="bg-BG"/>
        </w:rPr>
      </w:pPr>
    </w:p>
    <w:p w:rsidR="009C13A9" w:rsidRPr="009072DA" w:rsidRDefault="009C13A9" w:rsidP="009C13A9">
      <w:pPr>
        <w:ind w:left="850" w:hanging="850"/>
        <w:outlineLvl w:val="0"/>
        <w:rPr>
          <w:b/>
          <w:szCs w:val="20"/>
          <w:lang w:val="bg-BG"/>
        </w:rPr>
      </w:pPr>
      <w:r w:rsidRPr="009072DA">
        <w:rPr>
          <w:b/>
          <w:lang w:val="bg-BG"/>
        </w:rPr>
        <w:t>1.</w:t>
      </w:r>
      <w:r w:rsidRPr="009072DA">
        <w:rPr>
          <w:lang w:val="bg-BG"/>
        </w:rPr>
        <w:tab/>
      </w:r>
      <w:r w:rsidRPr="009072DA">
        <w:rPr>
          <w:b/>
          <w:lang w:val="bg-BG"/>
        </w:rPr>
        <w:t>Описание на бордовата станция за пречистване на отпадъчни води</w:t>
      </w:r>
    </w:p>
    <w:p w:rsidR="009C13A9" w:rsidRPr="009072DA" w:rsidRDefault="009C13A9" w:rsidP="00C036E3">
      <w:pPr>
        <w:tabs>
          <w:tab w:val="left" w:leader="dot" w:pos="9072"/>
        </w:tabs>
        <w:ind w:left="851" w:hanging="851"/>
        <w:rPr>
          <w:szCs w:val="20"/>
          <w:lang w:val="bg-BG"/>
        </w:rPr>
      </w:pPr>
      <w:r w:rsidRPr="009072DA">
        <w:rPr>
          <w:lang w:val="bg-BG"/>
        </w:rPr>
        <w:t>1.1</w:t>
      </w:r>
      <w:r w:rsidRPr="009072DA">
        <w:rPr>
          <w:lang w:val="bg-BG"/>
        </w:rPr>
        <w:tab/>
        <w:t xml:space="preserve">Производител: </w:t>
      </w:r>
      <w:r w:rsidRPr="009072DA">
        <w:rPr>
          <w:lang w:val="bg-BG"/>
        </w:rPr>
        <w:tab/>
      </w:r>
    </w:p>
    <w:p w:rsidR="009C13A9" w:rsidRPr="009072DA" w:rsidRDefault="009C13A9" w:rsidP="00C036E3">
      <w:pPr>
        <w:tabs>
          <w:tab w:val="left" w:leader="dot" w:pos="9072"/>
        </w:tabs>
        <w:ind w:left="851" w:hanging="851"/>
        <w:rPr>
          <w:szCs w:val="20"/>
          <w:lang w:val="bg-BG"/>
        </w:rPr>
      </w:pPr>
      <w:r w:rsidRPr="009072DA">
        <w:rPr>
          <w:lang w:val="bg-BG"/>
        </w:rPr>
        <w:t>1.2</w:t>
      </w:r>
      <w:r w:rsidRPr="009072DA">
        <w:rPr>
          <w:lang w:val="bg-BG"/>
        </w:rPr>
        <w:tab/>
        <w:t xml:space="preserve">Сериен номер на пречиствателната станция: </w:t>
      </w:r>
      <w:r w:rsidRPr="009072DA">
        <w:rPr>
          <w:lang w:val="bg-BG"/>
        </w:rPr>
        <w:tab/>
      </w:r>
    </w:p>
    <w:p w:rsidR="009C13A9" w:rsidRPr="009072DA" w:rsidRDefault="009C13A9" w:rsidP="009C13A9">
      <w:pPr>
        <w:ind w:left="850" w:hanging="850"/>
        <w:rPr>
          <w:szCs w:val="20"/>
          <w:lang w:val="bg-BG"/>
        </w:rPr>
      </w:pPr>
      <w:r w:rsidRPr="009072DA">
        <w:rPr>
          <w:lang w:val="bg-BG"/>
        </w:rPr>
        <w:t>1.3</w:t>
      </w:r>
      <w:r w:rsidRPr="009072DA">
        <w:rPr>
          <w:lang w:val="bg-BG"/>
        </w:rPr>
        <w:tab/>
        <w:t xml:space="preserve">Начин на пречистване: биологичен или механичен/химически </w:t>
      </w:r>
      <w:r w:rsidRPr="009072DA">
        <w:rPr>
          <w:vertAlign w:val="superscript"/>
          <w:lang w:val="bg-BG"/>
        </w:rPr>
        <w:t>(</w:t>
      </w:r>
      <w:r w:rsidRPr="009072DA">
        <w:rPr>
          <w:vertAlign w:val="superscript"/>
          <w:lang w:val="bg-BG"/>
        </w:rPr>
        <w:footnoteReference w:id="65"/>
      </w:r>
      <w:r w:rsidRPr="009072DA">
        <w:rPr>
          <w:vertAlign w:val="superscript"/>
          <w:lang w:val="bg-BG"/>
        </w:rPr>
        <w:t>)</w:t>
      </w:r>
    </w:p>
    <w:p w:rsidR="009C13A9" w:rsidRPr="009072DA" w:rsidRDefault="009C13A9" w:rsidP="009C13A9">
      <w:pPr>
        <w:ind w:left="850" w:hanging="850"/>
        <w:rPr>
          <w:szCs w:val="20"/>
          <w:lang w:val="bg-BG"/>
        </w:rPr>
      </w:pPr>
      <w:r w:rsidRPr="009072DA">
        <w:rPr>
          <w:lang w:val="bg-BG"/>
        </w:rPr>
        <w:t>1.4</w:t>
      </w:r>
      <w:r w:rsidRPr="009072DA">
        <w:rPr>
          <w:lang w:val="bg-BG"/>
        </w:rPr>
        <w:tab/>
        <w:t>Резервоар за отпадъчни води преди пречиствателната станция? Да, … m³ / Не</w:t>
      </w:r>
      <w:r w:rsidRPr="009072DA">
        <w:rPr>
          <w:vertAlign w:val="superscript"/>
          <w:lang w:val="bg-BG"/>
        </w:rPr>
        <w:t>(2)</w:t>
      </w:r>
    </w:p>
    <w:p w:rsidR="009C13A9" w:rsidRPr="009072DA" w:rsidRDefault="009C13A9" w:rsidP="009C13A9">
      <w:pPr>
        <w:ind w:left="850" w:hanging="850"/>
        <w:outlineLvl w:val="0"/>
        <w:rPr>
          <w:b/>
          <w:bCs/>
          <w:szCs w:val="20"/>
          <w:lang w:val="bg-BG"/>
        </w:rPr>
      </w:pPr>
    </w:p>
    <w:p w:rsidR="009C13A9" w:rsidRPr="009072DA" w:rsidRDefault="009C13A9" w:rsidP="009C13A9">
      <w:pPr>
        <w:ind w:left="850" w:hanging="850"/>
        <w:outlineLvl w:val="0"/>
        <w:rPr>
          <w:b/>
          <w:bCs/>
          <w:szCs w:val="20"/>
          <w:lang w:val="bg-BG"/>
        </w:rPr>
      </w:pPr>
      <w:r w:rsidRPr="009072DA">
        <w:rPr>
          <w:b/>
          <w:lang w:val="bg-BG"/>
        </w:rPr>
        <w:t>2.</w:t>
      </w:r>
      <w:r w:rsidRPr="009072DA">
        <w:rPr>
          <w:lang w:val="bg-BG"/>
        </w:rPr>
        <w:tab/>
      </w:r>
      <w:r w:rsidRPr="009072DA">
        <w:rPr>
          <w:b/>
          <w:lang w:val="bg-BG"/>
        </w:rPr>
        <w:t xml:space="preserve">Критерии за проектиране и оразмеряване (включително всички специални указания за инсталиране или ограничения на използването) </w:t>
      </w:r>
    </w:p>
    <w:p w:rsidR="009C13A9" w:rsidRPr="009072DA" w:rsidRDefault="009C13A9" w:rsidP="00C036E3">
      <w:pPr>
        <w:tabs>
          <w:tab w:val="left" w:leader="dot" w:pos="9072"/>
        </w:tabs>
        <w:ind w:left="851" w:hanging="851"/>
        <w:rPr>
          <w:szCs w:val="20"/>
          <w:lang w:val="bg-BG"/>
        </w:rPr>
      </w:pPr>
      <w:r w:rsidRPr="009072DA">
        <w:rPr>
          <w:lang w:val="bg-BG"/>
        </w:rPr>
        <w:t>2.1</w:t>
      </w:r>
      <w:r w:rsidRPr="009072DA">
        <w:rPr>
          <w:lang w:val="bg-BG"/>
        </w:rPr>
        <w:tab/>
      </w:r>
      <w:r w:rsidRPr="009072DA">
        <w:rPr>
          <w:lang w:val="bg-BG"/>
        </w:rPr>
        <w:tab/>
      </w:r>
    </w:p>
    <w:p w:rsidR="009C13A9" w:rsidRPr="009072DA" w:rsidRDefault="009C13A9" w:rsidP="00C036E3">
      <w:pPr>
        <w:tabs>
          <w:tab w:val="left" w:leader="dot" w:pos="9072"/>
        </w:tabs>
        <w:ind w:left="851" w:hanging="851"/>
        <w:rPr>
          <w:szCs w:val="20"/>
          <w:lang w:val="bg-BG"/>
        </w:rPr>
      </w:pPr>
      <w:r w:rsidRPr="009072DA">
        <w:rPr>
          <w:lang w:val="bg-BG"/>
        </w:rPr>
        <w:t>2.2</w:t>
      </w:r>
      <w:r w:rsidRPr="009072DA">
        <w:rPr>
          <w:lang w:val="bg-BG"/>
        </w:rPr>
        <w:tab/>
      </w:r>
      <w:r w:rsidRPr="009072DA">
        <w:rPr>
          <w:lang w:val="bg-BG"/>
        </w:rPr>
        <w:tab/>
      </w:r>
    </w:p>
    <w:p w:rsidR="009C13A9" w:rsidRPr="009072DA" w:rsidRDefault="009C13A9" w:rsidP="009C13A9">
      <w:pPr>
        <w:ind w:left="850" w:hanging="850"/>
        <w:rPr>
          <w:szCs w:val="20"/>
          <w:lang w:val="bg-BG"/>
        </w:rPr>
      </w:pPr>
    </w:p>
    <w:p w:rsidR="009C13A9" w:rsidRPr="009072DA" w:rsidRDefault="009C13A9" w:rsidP="009C13A9">
      <w:pPr>
        <w:ind w:left="850" w:hanging="850"/>
        <w:outlineLvl w:val="0"/>
        <w:rPr>
          <w:b/>
          <w:bCs/>
          <w:szCs w:val="20"/>
          <w:lang w:val="bg-BG"/>
        </w:rPr>
      </w:pPr>
      <w:r w:rsidRPr="009072DA">
        <w:rPr>
          <w:b/>
          <w:lang w:val="bg-BG"/>
        </w:rPr>
        <w:t>3.</w:t>
      </w:r>
      <w:r w:rsidRPr="009072DA">
        <w:rPr>
          <w:lang w:val="bg-BG"/>
        </w:rPr>
        <w:tab/>
      </w:r>
      <w:r w:rsidRPr="009072DA">
        <w:rPr>
          <w:b/>
          <w:lang w:val="bg-BG"/>
        </w:rPr>
        <w:t>Оразмеряване на бордовата станция за пречистване на отпадъчни води</w:t>
      </w:r>
    </w:p>
    <w:p w:rsidR="009C13A9" w:rsidRPr="009072DA" w:rsidRDefault="009C13A9" w:rsidP="00C036E3">
      <w:pPr>
        <w:tabs>
          <w:tab w:val="left" w:leader="dot" w:pos="9072"/>
        </w:tabs>
        <w:ind w:left="851" w:hanging="851"/>
        <w:rPr>
          <w:szCs w:val="20"/>
          <w:lang w:val="bg-BG"/>
        </w:rPr>
      </w:pPr>
      <w:r w:rsidRPr="009072DA">
        <w:rPr>
          <w:lang w:val="bg-BG"/>
        </w:rPr>
        <w:t>3.1</w:t>
      </w:r>
      <w:r w:rsidRPr="009072DA">
        <w:rPr>
          <w:lang w:val="bg-BG"/>
        </w:rPr>
        <w:tab/>
        <w:t xml:space="preserve">Максимален дневен обемен дебит на отпадъчните води </w:t>
      </w:r>
      <m:oMath>
        <m:sSub>
          <m:sSubPr>
            <m:ctrlPr>
              <w:rPr>
                <w:rFonts w:ascii="Cambria Math" w:hAnsi="Cambria Math" w:cs="Arial"/>
                <w:i/>
                <w:szCs w:val="20"/>
                <w:lang w:val="bg-BG"/>
              </w:rPr>
            </m:ctrlPr>
          </m:sSubPr>
          <m:e>
            <m:r>
              <w:rPr>
                <w:rFonts w:ascii="Cambria Math" w:hAnsi="Cambria Math" w:cs="Arial"/>
                <w:szCs w:val="20"/>
                <w:lang w:val="bg-BG"/>
              </w:rPr>
              <m:t>Q</m:t>
            </m:r>
          </m:e>
          <m:sub>
            <m:r>
              <w:rPr>
                <w:rFonts w:ascii="Cambria Math" w:hAnsi="Cambria Math" w:cs="Arial"/>
                <w:szCs w:val="20"/>
                <w:lang w:val="bg-BG"/>
              </w:rPr>
              <m:t>d</m:t>
            </m:r>
          </m:sub>
        </m:sSub>
      </m:oMath>
      <w:r w:rsidRPr="009072DA">
        <w:rPr>
          <w:lang w:val="bg-BG"/>
        </w:rPr>
        <w:t xml:space="preserve"> (m³/ден):  </w:t>
      </w:r>
      <w:r w:rsidRPr="009072DA">
        <w:rPr>
          <w:lang w:val="bg-BG"/>
        </w:rPr>
        <w:tab/>
      </w:r>
    </w:p>
    <w:p w:rsidR="009C13A9" w:rsidRPr="009072DA" w:rsidRDefault="009C13A9" w:rsidP="00C036E3">
      <w:pPr>
        <w:tabs>
          <w:tab w:val="left" w:leader="dot" w:pos="9072"/>
        </w:tabs>
        <w:ind w:left="851" w:hanging="851"/>
        <w:rPr>
          <w:szCs w:val="20"/>
          <w:lang w:val="bg-BG"/>
        </w:rPr>
      </w:pPr>
      <w:r w:rsidRPr="009072DA">
        <w:rPr>
          <w:lang w:val="bg-BG"/>
        </w:rPr>
        <w:t>3.2</w:t>
      </w:r>
      <w:r w:rsidRPr="009072DA">
        <w:rPr>
          <w:lang w:val="bg-BG"/>
        </w:rPr>
        <w:tab/>
        <w:t xml:space="preserve">Дневно замърсяване по </w:t>
      </w:r>
      <m:oMath>
        <m:sSub>
          <m:sSubPr>
            <m:ctrlPr>
              <w:rPr>
                <w:rFonts w:ascii="Cambria Math" w:hAnsi="Cambria Math"/>
                <w:i/>
                <w:lang w:val="bg-BG"/>
              </w:rPr>
            </m:ctrlPr>
          </m:sSubPr>
          <m:e>
            <m:r>
              <w:rPr>
                <w:rFonts w:ascii="Cambria Math" w:hAnsi="Cambria Math"/>
                <w:lang w:val="bg-BG"/>
              </w:rPr>
              <m:t>BOD</m:t>
            </m:r>
          </m:e>
          <m:sub>
            <m:r>
              <w:rPr>
                <w:rFonts w:ascii="Cambria Math" w:hAnsi="Cambria Math"/>
                <w:lang w:val="bg-BG"/>
              </w:rPr>
              <m:t>5</m:t>
            </m:r>
          </m:sub>
        </m:sSub>
      </m:oMath>
      <w:r w:rsidRPr="009072DA">
        <w:rPr>
          <w:lang w:val="bg-BG"/>
        </w:rPr>
        <w:t xml:space="preserve"> (kg/ден): </w:t>
      </w:r>
      <w:r w:rsidRPr="009072DA">
        <w:rPr>
          <w:lang w:val="bg-BG"/>
        </w:rPr>
        <w:tab/>
      </w:r>
    </w:p>
    <w:p w:rsidR="009C13A9" w:rsidRPr="009072DA" w:rsidRDefault="009C13A9" w:rsidP="009C13A9">
      <w:pPr>
        <w:ind w:left="850" w:hanging="850"/>
        <w:rPr>
          <w:szCs w:val="20"/>
          <w:lang w:val="bg-BG"/>
        </w:rPr>
      </w:pPr>
    </w:p>
    <w:p w:rsidR="009C13A9" w:rsidRPr="009072DA" w:rsidRDefault="009C13A9" w:rsidP="009C13A9">
      <w:pPr>
        <w:ind w:left="850" w:hanging="850"/>
        <w:rPr>
          <w:szCs w:val="20"/>
          <w:lang w:val="bg-BG"/>
        </w:rPr>
      </w:pPr>
    </w:p>
    <w:p w:rsidR="009C13A9" w:rsidRPr="009072DA" w:rsidRDefault="009C13A9" w:rsidP="009C13A9">
      <w:pPr>
        <w:ind w:left="850" w:hanging="850"/>
        <w:rPr>
          <w:szCs w:val="20"/>
          <w:lang w:val="bg-BG"/>
        </w:rPr>
      </w:pPr>
    </w:p>
    <w:p w:rsidR="009C13A9" w:rsidRPr="009072DA" w:rsidRDefault="009C13A9" w:rsidP="009C13A9">
      <w:pPr>
        <w:tabs>
          <w:tab w:val="center" w:pos="7956"/>
        </w:tabs>
        <w:suppressAutoHyphens/>
        <w:spacing w:line="240" w:lineRule="atLeast"/>
        <w:jc w:val="right"/>
        <w:rPr>
          <w:rFonts w:cs="Arial"/>
          <w:szCs w:val="20"/>
          <w:lang w:val="bg-BG"/>
        </w:rPr>
      </w:pPr>
      <w:r w:rsidRPr="009072DA">
        <w:rPr>
          <w:lang w:val="bg-BG"/>
        </w:rPr>
        <w:br w:type="page"/>
      </w:r>
    </w:p>
    <w:p w:rsidR="009C13A9" w:rsidRPr="009072DA" w:rsidRDefault="00925755" w:rsidP="00684B1D">
      <w:pPr>
        <w:pStyle w:val="ES-Titre3"/>
        <w:rPr>
          <w:lang w:val="bg-BG"/>
        </w:rPr>
      </w:pPr>
      <w:bookmarkStart w:id="689" w:name="_Toc491854328"/>
      <w:bookmarkStart w:id="690" w:name="_Toc535827769"/>
      <w:r w:rsidRPr="009072DA">
        <w:rPr>
          <w:lang w:val="bg-BG"/>
        </w:rPr>
        <w:lastRenderedPageBreak/>
        <w:t>Раздел III</w:t>
      </w:r>
      <w:bookmarkEnd w:id="689"/>
      <w:bookmarkEnd w:id="690"/>
    </w:p>
    <w:p w:rsidR="00684B1D" w:rsidRPr="009072DA" w:rsidRDefault="009C13A9" w:rsidP="00684B1D">
      <w:pPr>
        <w:pStyle w:val="ES-Titre3a"/>
        <w:rPr>
          <w:lang w:val="bg-BG"/>
        </w:rPr>
      </w:pPr>
      <w:bookmarkStart w:id="691" w:name="_Toc491854329"/>
      <w:bookmarkStart w:id="692" w:name="_Toc535827770"/>
      <w:r w:rsidRPr="009072DA">
        <w:rPr>
          <w:lang w:val="bg-BG"/>
        </w:rPr>
        <w:t>Удостоверение за одобрение на типа</w:t>
      </w:r>
      <w:bookmarkEnd w:id="691"/>
      <w:bookmarkEnd w:id="692"/>
      <w:r w:rsidRPr="009072DA">
        <w:rPr>
          <w:lang w:val="bg-BG"/>
        </w:rPr>
        <w:t xml:space="preserve"> </w:t>
      </w:r>
    </w:p>
    <w:p w:rsidR="009C13A9" w:rsidRPr="009072DA" w:rsidRDefault="009C13A9" w:rsidP="009C13A9">
      <w:pPr>
        <w:overflowPunct w:val="0"/>
        <w:adjustRightInd w:val="0"/>
        <w:spacing w:line="240" w:lineRule="exact"/>
        <w:jc w:val="center"/>
        <w:textAlignment w:val="baseline"/>
        <w:rPr>
          <w:rFonts w:eastAsia="Calibri"/>
          <w:lang w:val="bg-BG"/>
        </w:rPr>
      </w:pPr>
      <w:r w:rsidRPr="009072DA">
        <w:rPr>
          <w:lang w:val="bg-BG"/>
        </w:rPr>
        <w:t>(Образец)</w:t>
      </w:r>
    </w:p>
    <w:p w:rsidR="009C13A9" w:rsidRPr="009072DA" w:rsidRDefault="009C13A9" w:rsidP="009C13A9">
      <w:pPr>
        <w:suppressAutoHyphens/>
        <w:spacing w:line="240" w:lineRule="atLeast"/>
        <w:rPr>
          <w:rFonts w:cs="Arial"/>
          <w:szCs w:val="20"/>
          <w:lang w:val="bg-BG"/>
        </w:rPr>
      </w:pPr>
    </w:p>
    <w:p w:rsidR="009C13A9" w:rsidRPr="009072DA" w:rsidRDefault="009C13A9" w:rsidP="009C13A9">
      <w:pPr>
        <w:jc w:val="right"/>
        <w:rPr>
          <w:b/>
          <w:szCs w:val="20"/>
          <w:lang w:val="bg-BG"/>
        </w:rPr>
      </w:pPr>
      <w:r w:rsidRPr="009072DA">
        <w:rPr>
          <w:lang w:val="bg-BG"/>
        </w:rPr>
        <w:t>Печат на компетентния орган</w:t>
      </w:r>
    </w:p>
    <w:p w:rsidR="009C13A9" w:rsidRPr="009072DA" w:rsidRDefault="009C13A9" w:rsidP="009C13A9">
      <w:pPr>
        <w:rPr>
          <w:b/>
          <w:szCs w:val="20"/>
          <w:lang w:val="bg-BG"/>
        </w:rPr>
      </w:pPr>
    </w:p>
    <w:p w:rsidR="009C13A9" w:rsidRPr="009072DA" w:rsidRDefault="009C13A9" w:rsidP="009C13A9">
      <w:pPr>
        <w:tabs>
          <w:tab w:val="left" w:leader="dot" w:pos="4253"/>
          <w:tab w:val="left" w:pos="4536"/>
          <w:tab w:val="left" w:leader="dot" w:pos="9072"/>
        </w:tabs>
        <w:ind w:left="851" w:hanging="851"/>
        <w:outlineLvl w:val="0"/>
        <w:rPr>
          <w:szCs w:val="20"/>
          <w:lang w:val="bg-BG"/>
        </w:rPr>
      </w:pPr>
      <w:r w:rsidRPr="009072DA">
        <w:rPr>
          <w:lang w:val="bg-BG"/>
        </w:rPr>
        <w:t>Одобрение на типа</w:t>
      </w:r>
      <w:r w:rsidRPr="009072DA">
        <w:rPr>
          <w:b/>
          <w:lang w:val="bg-BG"/>
        </w:rPr>
        <w:t xml:space="preserve"> №</w:t>
      </w:r>
      <w:r w:rsidRPr="009072DA">
        <w:rPr>
          <w:lang w:val="bg-BG"/>
        </w:rPr>
        <w:t xml:space="preserve">: </w:t>
      </w:r>
      <w:r w:rsidRPr="009072DA">
        <w:rPr>
          <w:lang w:val="bg-BG"/>
        </w:rPr>
        <w:tab/>
      </w:r>
      <w:r w:rsidRPr="009072DA">
        <w:rPr>
          <w:lang w:val="bg-BG"/>
        </w:rPr>
        <w:tab/>
      </w:r>
      <w:r w:rsidRPr="009072DA">
        <w:rPr>
          <w:b/>
          <w:lang w:val="bg-BG"/>
        </w:rPr>
        <w:t>Удължаване №</w:t>
      </w:r>
      <w:r w:rsidRPr="009072DA">
        <w:rPr>
          <w:lang w:val="bg-BG"/>
        </w:rPr>
        <w:t xml:space="preserve">: </w:t>
      </w:r>
      <w:r w:rsidRPr="009072DA">
        <w:rPr>
          <w:lang w:val="bg-BG"/>
        </w:rPr>
        <w:tab/>
      </w:r>
    </w:p>
    <w:p w:rsidR="009C13A9" w:rsidRPr="009072DA" w:rsidRDefault="009C13A9" w:rsidP="009C13A9">
      <w:pPr>
        <w:ind w:left="850" w:hanging="850"/>
        <w:rPr>
          <w:szCs w:val="20"/>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 xml:space="preserve">Уведомление за </w:t>
      </w:r>
    </w:p>
    <w:p w:rsidR="009C13A9" w:rsidRPr="009072DA" w:rsidRDefault="009C13A9" w:rsidP="009C13A9">
      <w:pPr>
        <w:spacing w:line="240" w:lineRule="atLeast"/>
        <w:rPr>
          <w:rFonts w:cs="Arial"/>
          <w:color w:val="000000"/>
          <w:lang w:val="bg-BG"/>
        </w:rPr>
      </w:pPr>
      <w:r w:rsidRPr="009072DA">
        <w:rPr>
          <w:color w:val="000000"/>
          <w:lang w:val="bg-BG"/>
        </w:rPr>
        <w:t>-</w:t>
      </w:r>
      <w:r w:rsidRPr="009072DA">
        <w:rPr>
          <w:lang w:val="bg-BG"/>
        </w:rPr>
        <w:tab/>
      </w:r>
      <w:r w:rsidRPr="009072DA">
        <w:rPr>
          <w:color w:val="000000"/>
          <w:lang w:val="bg-BG"/>
        </w:rPr>
        <w:t>издаване/удължаване/отказ/отнемане</w:t>
      </w:r>
      <w:r w:rsidRPr="009072DA">
        <w:rPr>
          <w:color w:val="000000"/>
          <w:vertAlign w:val="superscript"/>
          <w:lang w:val="bg-BG"/>
        </w:rPr>
        <w:footnoteReference w:id="66"/>
      </w:r>
      <w:r w:rsidRPr="009072DA">
        <w:rPr>
          <w:color w:val="000000"/>
          <w:lang w:val="bg-BG"/>
        </w:rPr>
        <w:t xml:space="preserve"> </w:t>
      </w:r>
    </w:p>
    <w:p w:rsidR="009C13A9" w:rsidRPr="009072DA" w:rsidRDefault="009C13A9" w:rsidP="009C13A9">
      <w:pPr>
        <w:tabs>
          <w:tab w:val="left" w:leader="dot" w:pos="9072"/>
        </w:tabs>
        <w:spacing w:line="240" w:lineRule="atLeast"/>
        <w:rPr>
          <w:rFonts w:cs="Arial"/>
          <w:lang w:val="bg-BG"/>
        </w:rPr>
      </w:pPr>
      <w:r w:rsidRPr="009072DA">
        <w:rPr>
          <w:lang w:val="bg-BG"/>
        </w:rPr>
        <w:t xml:space="preserve">на одобрение на типа за тип бордова станция за пречистване на отпадъчни води в съответствие с европейския стандарт за определяне на техническите изисквания за плавателните съдове по вътрешните водни пътища (ES-TRIN) </w:t>
      </w:r>
    </w:p>
    <w:p w:rsidR="009C13A9" w:rsidRPr="009072DA" w:rsidRDefault="009C13A9" w:rsidP="009C13A9">
      <w:pPr>
        <w:ind w:left="850" w:hanging="850"/>
        <w:rPr>
          <w:szCs w:val="20"/>
          <w:lang w:val="bg-BG"/>
        </w:rPr>
      </w:pPr>
    </w:p>
    <w:p w:rsidR="009C13A9" w:rsidRPr="009072DA" w:rsidRDefault="009C13A9" w:rsidP="009C13A9">
      <w:pPr>
        <w:tabs>
          <w:tab w:val="left" w:leader="dot" w:pos="9072"/>
        </w:tabs>
        <w:ind w:left="851" w:hanging="851"/>
        <w:rPr>
          <w:szCs w:val="20"/>
          <w:lang w:val="bg-BG"/>
        </w:rPr>
      </w:pPr>
      <w:r w:rsidRPr="009072DA">
        <w:rPr>
          <w:lang w:val="bg-BG"/>
        </w:rPr>
        <w:t xml:space="preserve">Причини за удължаването, ако е приложимо: </w:t>
      </w:r>
      <w:r w:rsidRPr="009072DA">
        <w:rPr>
          <w:lang w:val="bg-BG"/>
        </w:rPr>
        <w:tab/>
      </w:r>
    </w:p>
    <w:p w:rsidR="009C13A9" w:rsidRPr="009072DA" w:rsidRDefault="009C13A9" w:rsidP="009C13A9">
      <w:pPr>
        <w:ind w:left="850" w:hanging="850"/>
        <w:rPr>
          <w:szCs w:val="20"/>
          <w:lang w:val="bg-BG"/>
        </w:rPr>
      </w:pPr>
    </w:p>
    <w:p w:rsidR="009C13A9" w:rsidRPr="009072DA" w:rsidRDefault="009C13A9" w:rsidP="009C13A9">
      <w:pPr>
        <w:ind w:left="850" w:hanging="850"/>
        <w:rPr>
          <w:szCs w:val="20"/>
          <w:lang w:val="bg-BG"/>
        </w:rPr>
      </w:pPr>
    </w:p>
    <w:p w:rsidR="009C13A9" w:rsidRPr="009072DA" w:rsidRDefault="009C13A9" w:rsidP="009C13A9">
      <w:pPr>
        <w:ind w:left="850" w:hanging="850"/>
        <w:outlineLvl w:val="0"/>
        <w:rPr>
          <w:b/>
          <w:bCs/>
          <w:szCs w:val="20"/>
          <w:lang w:val="bg-BG"/>
        </w:rPr>
      </w:pPr>
      <w:r w:rsidRPr="009072DA">
        <w:rPr>
          <w:b/>
          <w:lang w:val="bg-BG"/>
        </w:rPr>
        <w:t>Раздел I</w:t>
      </w:r>
    </w:p>
    <w:p w:rsidR="009C13A9" w:rsidRPr="009072DA" w:rsidRDefault="009C13A9" w:rsidP="009C13A9">
      <w:pPr>
        <w:ind w:left="850" w:hanging="850"/>
        <w:rPr>
          <w:szCs w:val="20"/>
          <w:lang w:val="bg-BG"/>
        </w:rPr>
      </w:pPr>
    </w:p>
    <w:p w:rsidR="009C13A9" w:rsidRPr="009072DA" w:rsidRDefault="009C13A9" w:rsidP="009C13A9">
      <w:pPr>
        <w:tabs>
          <w:tab w:val="left" w:leader="dot" w:pos="9072"/>
        </w:tabs>
        <w:spacing w:line="240" w:lineRule="atLeast"/>
        <w:ind w:left="709" w:hanging="709"/>
        <w:rPr>
          <w:szCs w:val="20"/>
          <w:lang w:val="bg-BG"/>
        </w:rPr>
      </w:pPr>
      <w:r w:rsidRPr="009072DA">
        <w:rPr>
          <w:lang w:val="bg-BG"/>
        </w:rPr>
        <w:t>0.</w:t>
      </w:r>
      <w:r w:rsidRPr="009072DA">
        <w:rPr>
          <w:lang w:val="bg-BG"/>
        </w:rPr>
        <w:tab/>
        <w:t>Общи положения</w:t>
      </w:r>
    </w:p>
    <w:p w:rsidR="009C13A9" w:rsidRPr="009072DA" w:rsidRDefault="009C13A9" w:rsidP="009C13A9">
      <w:pPr>
        <w:tabs>
          <w:tab w:val="left" w:leader="dot" w:pos="9072"/>
        </w:tabs>
        <w:spacing w:before="60" w:line="240" w:lineRule="atLeast"/>
        <w:ind w:left="709" w:hanging="709"/>
        <w:rPr>
          <w:szCs w:val="20"/>
          <w:lang w:val="bg-BG"/>
        </w:rPr>
      </w:pPr>
      <w:r w:rsidRPr="009072DA">
        <w:rPr>
          <w:lang w:val="bg-BG"/>
        </w:rPr>
        <w:t>0.1</w:t>
      </w:r>
      <w:r w:rsidRPr="009072DA">
        <w:rPr>
          <w:lang w:val="bg-BG"/>
        </w:rPr>
        <w:tab/>
        <w:t xml:space="preserve">Марка (наименование на дружеството производител): </w:t>
      </w:r>
      <w:r w:rsidRPr="009072DA">
        <w:rPr>
          <w:lang w:val="bg-BG"/>
        </w:rPr>
        <w:tab/>
      </w:r>
    </w:p>
    <w:p w:rsidR="009C13A9" w:rsidRPr="009072DA" w:rsidRDefault="009C13A9" w:rsidP="009C13A9">
      <w:pPr>
        <w:tabs>
          <w:tab w:val="left" w:leader="dot" w:pos="9072"/>
        </w:tabs>
        <w:spacing w:before="60" w:line="240" w:lineRule="atLeast"/>
        <w:ind w:left="720" w:hanging="709"/>
        <w:rPr>
          <w:szCs w:val="20"/>
          <w:lang w:val="bg-BG"/>
        </w:rPr>
      </w:pPr>
      <w:r w:rsidRPr="009072DA">
        <w:rPr>
          <w:lang w:val="bg-BG"/>
        </w:rPr>
        <w:t>0.2</w:t>
      </w:r>
      <w:r w:rsidRPr="009072DA">
        <w:rPr>
          <w:lang w:val="bg-BG"/>
        </w:rPr>
        <w:tab/>
        <w:t xml:space="preserve">Обозначение от производителя за типа на бордовата станция за пречистване на отпадъчни води: </w:t>
      </w:r>
      <w:r w:rsidRPr="009072DA">
        <w:rPr>
          <w:lang w:val="bg-BG"/>
        </w:rPr>
        <w:tab/>
      </w:r>
    </w:p>
    <w:p w:rsidR="009C13A9" w:rsidRPr="009072DA" w:rsidRDefault="009C13A9" w:rsidP="009C13A9">
      <w:pPr>
        <w:tabs>
          <w:tab w:val="left" w:leader="dot" w:pos="9072"/>
        </w:tabs>
        <w:spacing w:before="60" w:line="240" w:lineRule="atLeast"/>
        <w:ind w:left="709"/>
        <w:rPr>
          <w:szCs w:val="20"/>
          <w:lang w:val="bg-BG"/>
        </w:rPr>
      </w:pPr>
      <w:r w:rsidRPr="009072DA">
        <w:rPr>
          <w:lang w:val="bg-BG"/>
        </w:rPr>
        <w:tab/>
      </w:r>
    </w:p>
    <w:p w:rsidR="009C13A9" w:rsidRPr="009072DA" w:rsidRDefault="009C13A9" w:rsidP="009C13A9">
      <w:pPr>
        <w:tabs>
          <w:tab w:val="left" w:leader="dot" w:pos="9072"/>
        </w:tabs>
        <w:spacing w:before="60" w:line="240" w:lineRule="atLeast"/>
        <w:ind w:left="709" w:hanging="709"/>
        <w:rPr>
          <w:szCs w:val="20"/>
          <w:lang w:val="bg-BG"/>
        </w:rPr>
      </w:pPr>
      <w:r w:rsidRPr="009072DA">
        <w:rPr>
          <w:lang w:val="bg-BG"/>
        </w:rPr>
        <w:t>0.3</w:t>
      </w:r>
      <w:r w:rsidRPr="009072DA">
        <w:rPr>
          <w:lang w:val="bg-BG"/>
        </w:rPr>
        <w:tab/>
        <w:t xml:space="preserve">Код на производителя за типа, съответстващ на информацията върху бордовата станция за пречистване на отпадъчни води: </w:t>
      </w:r>
      <w:r w:rsidRPr="009072DA">
        <w:rPr>
          <w:lang w:val="bg-BG"/>
        </w:rPr>
        <w:tab/>
      </w:r>
    </w:p>
    <w:p w:rsidR="009C13A9" w:rsidRPr="009072DA" w:rsidRDefault="009C13A9" w:rsidP="009C13A9">
      <w:pPr>
        <w:tabs>
          <w:tab w:val="left" w:leader="dot" w:pos="9072"/>
        </w:tabs>
        <w:spacing w:before="60" w:line="240" w:lineRule="atLeast"/>
        <w:ind w:left="709"/>
        <w:rPr>
          <w:szCs w:val="20"/>
          <w:lang w:val="bg-BG"/>
        </w:rPr>
      </w:pPr>
      <w:r w:rsidRPr="009072DA">
        <w:rPr>
          <w:lang w:val="bg-BG"/>
        </w:rPr>
        <w:tab/>
      </w:r>
    </w:p>
    <w:p w:rsidR="009C13A9" w:rsidRPr="009072DA" w:rsidRDefault="009C13A9" w:rsidP="009C13A9">
      <w:pPr>
        <w:tabs>
          <w:tab w:val="left" w:leader="dot" w:pos="9072"/>
        </w:tabs>
        <w:spacing w:before="60" w:line="240" w:lineRule="atLeast"/>
        <w:ind w:left="709"/>
        <w:rPr>
          <w:szCs w:val="20"/>
          <w:lang w:val="bg-BG"/>
        </w:rPr>
      </w:pPr>
      <w:r w:rsidRPr="009072DA">
        <w:rPr>
          <w:lang w:val="bg-BG"/>
        </w:rPr>
        <w:t xml:space="preserve">Разположение: </w:t>
      </w:r>
      <w:r w:rsidRPr="009072DA">
        <w:rPr>
          <w:lang w:val="bg-BG"/>
        </w:rPr>
        <w:tab/>
      </w:r>
    </w:p>
    <w:p w:rsidR="009C13A9" w:rsidRPr="009072DA" w:rsidRDefault="009C13A9" w:rsidP="009C13A9">
      <w:pPr>
        <w:tabs>
          <w:tab w:val="left" w:leader="dot" w:pos="9072"/>
        </w:tabs>
        <w:spacing w:before="60" w:line="240" w:lineRule="atLeast"/>
        <w:ind w:left="709"/>
        <w:rPr>
          <w:szCs w:val="20"/>
          <w:lang w:val="bg-BG"/>
        </w:rPr>
      </w:pPr>
      <w:r w:rsidRPr="009072DA">
        <w:rPr>
          <w:lang w:val="bg-BG"/>
        </w:rPr>
        <w:lastRenderedPageBreak/>
        <w:t xml:space="preserve">Начин на закрепване: </w:t>
      </w:r>
      <w:r w:rsidRPr="009072DA">
        <w:rPr>
          <w:lang w:val="bg-BG"/>
        </w:rPr>
        <w:tab/>
      </w:r>
    </w:p>
    <w:p w:rsidR="009C13A9" w:rsidRPr="009072DA" w:rsidRDefault="009C13A9" w:rsidP="009C13A9">
      <w:pPr>
        <w:tabs>
          <w:tab w:val="left" w:leader="dot" w:pos="9072"/>
        </w:tabs>
        <w:spacing w:before="60" w:line="240" w:lineRule="atLeast"/>
        <w:ind w:left="709" w:hanging="709"/>
        <w:rPr>
          <w:szCs w:val="20"/>
          <w:lang w:val="bg-BG"/>
        </w:rPr>
      </w:pPr>
      <w:r w:rsidRPr="009072DA">
        <w:rPr>
          <w:lang w:val="bg-BG"/>
        </w:rPr>
        <w:t>0.4</w:t>
      </w:r>
      <w:r w:rsidRPr="009072DA">
        <w:rPr>
          <w:lang w:val="bg-BG"/>
        </w:rPr>
        <w:tab/>
        <w:t xml:space="preserve">Име и адрес на производителя: </w:t>
      </w:r>
      <w:r w:rsidRPr="009072DA">
        <w:rPr>
          <w:lang w:val="bg-BG"/>
        </w:rPr>
        <w:tab/>
      </w:r>
    </w:p>
    <w:p w:rsidR="009C13A9" w:rsidRPr="009072DA" w:rsidRDefault="009C13A9" w:rsidP="009C13A9">
      <w:pPr>
        <w:tabs>
          <w:tab w:val="left" w:leader="dot" w:pos="9072"/>
        </w:tabs>
        <w:spacing w:before="60" w:line="240" w:lineRule="atLeast"/>
        <w:ind w:left="709"/>
        <w:rPr>
          <w:szCs w:val="20"/>
          <w:lang w:val="bg-BG"/>
        </w:rPr>
      </w:pPr>
      <w:r w:rsidRPr="009072DA">
        <w:rPr>
          <w:lang w:val="bg-BG"/>
        </w:rPr>
        <w:tab/>
      </w:r>
    </w:p>
    <w:p w:rsidR="009C13A9" w:rsidRPr="009072DA" w:rsidRDefault="009C13A9" w:rsidP="009C13A9">
      <w:pPr>
        <w:tabs>
          <w:tab w:val="left" w:leader="dot" w:pos="9072"/>
        </w:tabs>
        <w:spacing w:before="60" w:line="240" w:lineRule="atLeast"/>
        <w:ind w:left="709"/>
        <w:rPr>
          <w:szCs w:val="20"/>
          <w:lang w:val="bg-BG"/>
        </w:rPr>
      </w:pPr>
      <w:r w:rsidRPr="009072DA">
        <w:rPr>
          <w:lang w:val="bg-BG"/>
        </w:rPr>
        <w:t xml:space="preserve">Наименование и адрес на упълномощения представител на производителя, ако има такъв: </w:t>
      </w:r>
      <w:r w:rsidRPr="009072DA">
        <w:rPr>
          <w:lang w:val="bg-BG"/>
        </w:rPr>
        <w:tab/>
      </w:r>
    </w:p>
    <w:p w:rsidR="009C13A9" w:rsidRPr="009072DA" w:rsidRDefault="009C13A9" w:rsidP="009C13A9">
      <w:pPr>
        <w:tabs>
          <w:tab w:val="left" w:leader="dot" w:pos="9072"/>
        </w:tabs>
        <w:spacing w:before="60" w:line="240" w:lineRule="atLeast"/>
        <w:ind w:left="709"/>
        <w:rPr>
          <w:szCs w:val="20"/>
          <w:lang w:val="bg-BG"/>
        </w:rPr>
      </w:pPr>
      <w:r w:rsidRPr="009072DA">
        <w:rPr>
          <w:lang w:val="bg-BG"/>
        </w:rPr>
        <w:tab/>
      </w:r>
    </w:p>
    <w:p w:rsidR="009C13A9" w:rsidRPr="009072DA" w:rsidRDefault="009C13A9" w:rsidP="009C13A9">
      <w:pPr>
        <w:tabs>
          <w:tab w:val="left" w:leader="dot" w:pos="9072"/>
        </w:tabs>
        <w:spacing w:before="60" w:line="240" w:lineRule="atLeast"/>
        <w:ind w:left="709" w:hanging="709"/>
        <w:rPr>
          <w:szCs w:val="20"/>
          <w:lang w:val="bg-BG"/>
        </w:rPr>
      </w:pPr>
      <w:r w:rsidRPr="009072DA">
        <w:rPr>
          <w:lang w:val="bg-BG"/>
        </w:rPr>
        <w:t>0.5</w:t>
      </w:r>
      <w:r w:rsidRPr="009072DA">
        <w:rPr>
          <w:lang w:val="bg-BG"/>
        </w:rPr>
        <w:tab/>
        <w:t xml:space="preserve">Разположение, легенда и начин на закрепване на серийния номер на бордовата станция за пречистване на отпадъчни води: </w:t>
      </w:r>
      <w:r w:rsidRPr="009072DA">
        <w:rPr>
          <w:lang w:val="bg-BG"/>
        </w:rPr>
        <w:tab/>
      </w:r>
    </w:p>
    <w:p w:rsidR="009C13A9" w:rsidRPr="009072DA" w:rsidRDefault="009C13A9" w:rsidP="009C13A9">
      <w:pPr>
        <w:tabs>
          <w:tab w:val="left" w:leader="dot" w:pos="9072"/>
        </w:tabs>
        <w:spacing w:before="60" w:line="240" w:lineRule="atLeast"/>
        <w:ind w:left="709"/>
        <w:rPr>
          <w:szCs w:val="20"/>
          <w:lang w:val="bg-BG"/>
        </w:rPr>
      </w:pPr>
      <w:r w:rsidRPr="009072DA">
        <w:rPr>
          <w:lang w:val="bg-BG"/>
        </w:rPr>
        <w:tab/>
      </w:r>
    </w:p>
    <w:p w:rsidR="009C13A9" w:rsidRPr="009072DA" w:rsidRDefault="009C13A9" w:rsidP="009C13A9">
      <w:pPr>
        <w:tabs>
          <w:tab w:val="left" w:leader="dot" w:pos="9072"/>
        </w:tabs>
        <w:spacing w:before="60" w:line="240" w:lineRule="atLeast"/>
        <w:ind w:left="709"/>
        <w:rPr>
          <w:szCs w:val="20"/>
          <w:lang w:val="bg-BG"/>
        </w:rPr>
      </w:pPr>
      <w:r w:rsidRPr="009072DA">
        <w:rPr>
          <w:lang w:val="bg-BG"/>
        </w:rPr>
        <w:tab/>
      </w:r>
    </w:p>
    <w:p w:rsidR="009C13A9" w:rsidRPr="009072DA" w:rsidRDefault="009C13A9" w:rsidP="009C13A9">
      <w:pPr>
        <w:tabs>
          <w:tab w:val="left" w:leader="dot" w:pos="9072"/>
        </w:tabs>
        <w:spacing w:before="60" w:line="240" w:lineRule="atLeast"/>
        <w:ind w:left="709" w:hanging="709"/>
        <w:rPr>
          <w:szCs w:val="20"/>
          <w:lang w:val="bg-BG"/>
        </w:rPr>
      </w:pPr>
      <w:r w:rsidRPr="009072DA">
        <w:rPr>
          <w:lang w:val="bg-BG"/>
        </w:rPr>
        <w:t>0.6</w:t>
      </w:r>
      <w:r w:rsidRPr="009072DA">
        <w:rPr>
          <w:lang w:val="bg-BG"/>
        </w:rPr>
        <w:tab/>
        <w:t xml:space="preserve">Разположение и начин на закрепване на номера на одобрението на типа: </w:t>
      </w:r>
      <w:r w:rsidRPr="009072DA">
        <w:rPr>
          <w:lang w:val="bg-BG"/>
        </w:rPr>
        <w:tab/>
      </w:r>
    </w:p>
    <w:p w:rsidR="009C13A9" w:rsidRPr="009072DA" w:rsidRDefault="009C13A9" w:rsidP="009C13A9">
      <w:pPr>
        <w:tabs>
          <w:tab w:val="left" w:leader="dot" w:pos="9072"/>
        </w:tabs>
        <w:spacing w:before="60" w:line="240" w:lineRule="atLeast"/>
        <w:ind w:left="709"/>
        <w:rPr>
          <w:szCs w:val="20"/>
          <w:lang w:val="bg-BG"/>
        </w:rPr>
      </w:pPr>
      <w:r w:rsidRPr="009072DA">
        <w:rPr>
          <w:lang w:val="bg-BG"/>
        </w:rPr>
        <w:tab/>
      </w:r>
    </w:p>
    <w:p w:rsidR="009C13A9" w:rsidRPr="009072DA" w:rsidRDefault="009C13A9" w:rsidP="009C13A9">
      <w:pPr>
        <w:tabs>
          <w:tab w:val="left" w:leader="dot" w:pos="9072"/>
        </w:tabs>
        <w:spacing w:before="60" w:line="240" w:lineRule="atLeast"/>
        <w:ind w:left="709" w:hanging="709"/>
        <w:rPr>
          <w:szCs w:val="20"/>
          <w:lang w:val="bg-BG"/>
        </w:rPr>
      </w:pPr>
      <w:r w:rsidRPr="009072DA">
        <w:rPr>
          <w:lang w:val="bg-BG"/>
        </w:rPr>
        <w:t>0.7</w:t>
      </w:r>
      <w:r w:rsidRPr="009072DA">
        <w:rPr>
          <w:lang w:val="bg-BG"/>
        </w:rPr>
        <w:tab/>
        <w:t xml:space="preserve">Адрес(и) производствената база: </w:t>
      </w:r>
      <w:r w:rsidRPr="009072DA">
        <w:rPr>
          <w:lang w:val="bg-BG"/>
        </w:rPr>
        <w:tab/>
      </w:r>
    </w:p>
    <w:p w:rsidR="009C13A9" w:rsidRPr="009072DA" w:rsidRDefault="009C13A9" w:rsidP="009C13A9">
      <w:pPr>
        <w:tabs>
          <w:tab w:val="left" w:leader="dot" w:pos="9072"/>
        </w:tabs>
        <w:spacing w:before="60" w:line="240" w:lineRule="atLeast"/>
        <w:ind w:left="709"/>
        <w:rPr>
          <w:szCs w:val="20"/>
          <w:lang w:val="bg-BG"/>
        </w:rPr>
      </w:pPr>
      <w:r w:rsidRPr="009072DA">
        <w:rPr>
          <w:lang w:val="bg-BG"/>
        </w:rPr>
        <w:tab/>
      </w:r>
    </w:p>
    <w:p w:rsidR="009C13A9" w:rsidRPr="009072DA" w:rsidRDefault="009C13A9" w:rsidP="009C13A9">
      <w:pPr>
        <w:ind w:left="850" w:hanging="850"/>
        <w:outlineLvl w:val="0"/>
        <w:rPr>
          <w:b/>
          <w:bCs/>
          <w:szCs w:val="20"/>
          <w:lang w:val="bg-BG"/>
        </w:rPr>
      </w:pPr>
    </w:p>
    <w:p w:rsidR="009C13A9" w:rsidRPr="009072DA" w:rsidRDefault="009C13A9" w:rsidP="009C13A9">
      <w:pPr>
        <w:ind w:left="850" w:hanging="850"/>
        <w:outlineLvl w:val="0"/>
        <w:rPr>
          <w:b/>
          <w:bCs/>
          <w:szCs w:val="20"/>
          <w:lang w:val="bg-BG"/>
        </w:rPr>
      </w:pPr>
      <w:r w:rsidRPr="009072DA">
        <w:rPr>
          <w:lang w:val="bg-BG"/>
        </w:rPr>
        <w:br w:type="page"/>
      </w:r>
    </w:p>
    <w:p w:rsidR="009C13A9" w:rsidRPr="009072DA" w:rsidRDefault="009C13A9" w:rsidP="009C13A9">
      <w:pPr>
        <w:ind w:left="850" w:hanging="850"/>
        <w:outlineLvl w:val="0"/>
        <w:rPr>
          <w:b/>
          <w:bCs/>
          <w:szCs w:val="20"/>
          <w:lang w:val="bg-BG"/>
        </w:rPr>
      </w:pPr>
      <w:r w:rsidRPr="009072DA">
        <w:rPr>
          <w:b/>
          <w:lang w:val="bg-BG"/>
        </w:rPr>
        <w:lastRenderedPageBreak/>
        <w:t>Раздел II</w:t>
      </w:r>
    </w:p>
    <w:p w:rsidR="009C13A9" w:rsidRPr="009072DA" w:rsidRDefault="009C13A9" w:rsidP="009C13A9">
      <w:pPr>
        <w:ind w:left="850" w:hanging="850"/>
        <w:rPr>
          <w:szCs w:val="20"/>
          <w:lang w:val="bg-BG"/>
        </w:rPr>
      </w:pPr>
    </w:p>
    <w:p w:rsidR="009C13A9" w:rsidRPr="009072DA" w:rsidRDefault="009C13A9" w:rsidP="009C13A9">
      <w:pPr>
        <w:tabs>
          <w:tab w:val="left" w:leader="dot" w:pos="9072"/>
        </w:tabs>
        <w:spacing w:before="60" w:line="240" w:lineRule="atLeast"/>
        <w:ind w:left="709" w:hanging="709"/>
        <w:rPr>
          <w:szCs w:val="20"/>
          <w:lang w:val="bg-BG"/>
        </w:rPr>
      </w:pPr>
      <w:r w:rsidRPr="009072DA">
        <w:rPr>
          <w:lang w:val="bg-BG"/>
        </w:rPr>
        <w:t>1.</w:t>
      </w:r>
      <w:r w:rsidRPr="009072DA">
        <w:rPr>
          <w:lang w:val="bg-BG"/>
        </w:rPr>
        <w:tab/>
        <w:t xml:space="preserve">Ограничения на използването: </w:t>
      </w:r>
      <w:r w:rsidRPr="009072DA">
        <w:rPr>
          <w:lang w:val="bg-BG"/>
        </w:rPr>
        <w:tab/>
      </w:r>
    </w:p>
    <w:p w:rsidR="009C13A9" w:rsidRPr="009072DA" w:rsidRDefault="009C13A9" w:rsidP="009C13A9">
      <w:pPr>
        <w:tabs>
          <w:tab w:val="left" w:leader="dot" w:pos="9072"/>
        </w:tabs>
        <w:spacing w:before="60" w:line="240" w:lineRule="atLeast"/>
        <w:ind w:left="709" w:hanging="709"/>
        <w:rPr>
          <w:szCs w:val="20"/>
          <w:lang w:val="bg-BG"/>
        </w:rPr>
      </w:pPr>
      <w:r w:rsidRPr="009072DA">
        <w:rPr>
          <w:lang w:val="bg-BG"/>
        </w:rPr>
        <w:t>1.1</w:t>
      </w:r>
      <w:r w:rsidRPr="009072DA">
        <w:rPr>
          <w:lang w:val="bg-BG"/>
        </w:rPr>
        <w:tab/>
        <w:t>Особености, които трябва да бъдат взети под внимание при инсталирането на бордова станция за пречистване на отпадъчни води на борда на плавателното средство:</w:t>
      </w:r>
    </w:p>
    <w:p w:rsidR="009C13A9" w:rsidRPr="009072DA" w:rsidRDefault="009C13A9" w:rsidP="009C13A9">
      <w:pPr>
        <w:tabs>
          <w:tab w:val="left" w:leader="dot" w:pos="9072"/>
        </w:tabs>
        <w:spacing w:before="60" w:line="240" w:lineRule="atLeast"/>
        <w:ind w:left="709"/>
        <w:rPr>
          <w:szCs w:val="20"/>
          <w:lang w:val="bg-BG"/>
        </w:rPr>
      </w:pPr>
      <w:r w:rsidRPr="009072DA">
        <w:rPr>
          <w:lang w:val="bg-BG"/>
        </w:rPr>
        <w:tab/>
      </w:r>
    </w:p>
    <w:p w:rsidR="009C13A9" w:rsidRPr="009072DA" w:rsidRDefault="009C13A9" w:rsidP="009C13A9">
      <w:pPr>
        <w:tabs>
          <w:tab w:val="left" w:leader="dot" w:pos="9072"/>
        </w:tabs>
        <w:spacing w:before="60" w:line="240" w:lineRule="atLeast"/>
        <w:ind w:left="709" w:hanging="709"/>
        <w:rPr>
          <w:szCs w:val="20"/>
          <w:lang w:val="bg-BG"/>
        </w:rPr>
      </w:pPr>
      <w:r w:rsidRPr="009072DA">
        <w:rPr>
          <w:lang w:val="bg-BG"/>
        </w:rPr>
        <w:t xml:space="preserve">1.1.1 </w:t>
      </w:r>
      <w:r w:rsidRPr="009072DA">
        <w:rPr>
          <w:lang w:val="bg-BG"/>
        </w:rPr>
        <w:tab/>
      </w:r>
      <w:r w:rsidRPr="009072DA">
        <w:rPr>
          <w:lang w:val="bg-BG"/>
        </w:rPr>
        <w:tab/>
      </w:r>
    </w:p>
    <w:p w:rsidR="009C13A9" w:rsidRPr="009072DA" w:rsidRDefault="009C13A9" w:rsidP="009C13A9">
      <w:pPr>
        <w:tabs>
          <w:tab w:val="left" w:leader="dot" w:pos="9072"/>
        </w:tabs>
        <w:spacing w:before="60" w:line="240" w:lineRule="atLeast"/>
        <w:ind w:left="709" w:hanging="709"/>
        <w:rPr>
          <w:szCs w:val="20"/>
          <w:lang w:val="bg-BG"/>
        </w:rPr>
      </w:pPr>
      <w:r w:rsidRPr="009072DA">
        <w:rPr>
          <w:lang w:val="bg-BG"/>
        </w:rPr>
        <w:t xml:space="preserve">1.1.2 </w:t>
      </w:r>
      <w:r w:rsidRPr="009072DA">
        <w:rPr>
          <w:lang w:val="bg-BG"/>
        </w:rPr>
        <w:tab/>
      </w:r>
      <w:r w:rsidRPr="009072DA">
        <w:rPr>
          <w:lang w:val="bg-BG"/>
        </w:rPr>
        <w:tab/>
      </w:r>
    </w:p>
    <w:p w:rsidR="009C13A9" w:rsidRPr="009072DA" w:rsidRDefault="009C13A9" w:rsidP="009C13A9">
      <w:pPr>
        <w:tabs>
          <w:tab w:val="left" w:leader="dot" w:pos="9072"/>
        </w:tabs>
        <w:spacing w:line="240" w:lineRule="atLeast"/>
        <w:ind w:left="709" w:hanging="709"/>
        <w:rPr>
          <w:szCs w:val="20"/>
          <w:lang w:val="bg-BG"/>
        </w:rPr>
      </w:pPr>
    </w:p>
    <w:p w:rsidR="009C13A9" w:rsidRPr="009072DA" w:rsidRDefault="009C13A9" w:rsidP="009C13A9">
      <w:pPr>
        <w:tabs>
          <w:tab w:val="left" w:leader="dot" w:pos="9072"/>
        </w:tabs>
        <w:spacing w:line="240" w:lineRule="atLeast"/>
        <w:ind w:left="709" w:hanging="709"/>
        <w:rPr>
          <w:szCs w:val="20"/>
          <w:lang w:val="bg-BG"/>
        </w:rPr>
      </w:pPr>
      <w:r w:rsidRPr="009072DA">
        <w:rPr>
          <w:lang w:val="bg-BG"/>
        </w:rPr>
        <w:t>2.</w:t>
      </w:r>
      <w:r w:rsidRPr="009072DA">
        <w:rPr>
          <w:lang w:val="bg-BG"/>
        </w:rPr>
        <w:tab/>
        <w:t>Техническа служба, която отговаря за извършване на изпитванията</w:t>
      </w:r>
      <w:r w:rsidRPr="009072DA">
        <w:rPr>
          <w:vertAlign w:val="superscript"/>
          <w:lang w:val="bg-BG"/>
        </w:rPr>
        <w:footnoteReference w:id="67"/>
      </w:r>
      <w:r w:rsidRPr="009072DA">
        <w:rPr>
          <w:lang w:val="bg-BG"/>
        </w:rPr>
        <w:t xml:space="preserve">: </w:t>
      </w:r>
      <w:r w:rsidRPr="009072DA">
        <w:rPr>
          <w:lang w:val="bg-BG"/>
        </w:rPr>
        <w:tab/>
      </w:r>
    </w:p>
    <w:p w:rsidR="009C13A9" w:rsidRPr="009072DA" w:rsidRDefault="009C13A9" w:rsidP="009C13A9">
      <w:pPr>
        <w:tabs>
          <w:tab w:val="left" w:leader="dot" w:pos="9072"/>
        </w:tabs>
        <w:spacing w:before="60" w:line="240" w:lineRule="atLeast"/>
        <w:ind w:left="709"/>
        <w:rPr>
          <w:szCs w:val="20"/>
          <w:lang w:val="bg-BG"/>
        </w:rPr>
      </w:pPr>
      <w:r w:rsidRPr="009072DA">
        <w:rPr>
          <w:lang w:val="bg-BG"/>
        </w:rPr>
        <w:tab/>
      </w:r>
    </w:p>
    <w:p w:rsidR="009C13A9" w:rsidRPr="009072DA" w:rsidRDefault="009C13A9" w:rsidP="009C13A9">
      <w:pPr>
        <w:tabs>
          <w:tab w:val="left" w:leader="dot" w:pos="9072"/>
        </w:tabs>
        <w:spacing w:before="60" w:line="240" w:lineRule="atLeast"/>
        <w:ind w:left="709"/>
        <w:rPr>
          <w:szCs w:val="20"/>
          <w:lang w:val="bg-BG"/>
        </w:rPr>
      </w:pPr>
      <w:r w:rsidRPr="009072DA">
        <w:rPr>
          <w:lang w:val="bg-BG"/>
        </w:rPr>
        <w:tab/>
      </w:r>
    </w:p>
    <w:p w:rsidR="009C13A9" w:rsidRPr="009072DA" w:rsidRDefault="009C13A9" w:rsidP="009C13A9">
      <w:pPr>
        <w:tabs>
          <w:tab w:val="left" w:leader="dot" w:pos="9072"/>
        </w:tabs>
        <w:spacing w:line="240" w:lineRule="atLeast"/>
        <w:ind w:left="709" w:hanging="709"/>
        <w:rPr>
          <w:szCs w:val="20"/>
          <w:lang w:val="bg-BG"/>
        </w:rPr>
      </w:pPr>
    </w:p>
    <w:p w:rsidR="009C13A9" w:rsidRPr="009072DA" w:rsidRDefault="009C13A9" w:rsidP="009C13A9">
      <w:pPr>
        <w:tabs>
          <w:tab w:val="left" w:leader="dot" w:pos="9072"/>
        </w:tabs>
        <w:spacing w:line="240" w:lineRule="atLeast"/>
        <w:ind w:left="709" w:hanging="709"/>
        <w:rPr>
          <w:szCs w:val="20"/>
          <w:lang w:val="bg-BG"/>
        </w:rPr>
      </w:pPr>
      <w:r w:rsidRPr="009072DA">
        <w:rPr>
          <w:lang w:val="bg-BG"/>
        </w:rPr>
        <w:t>3.</w:t>
      </w:r>
      <w:r w:rsidRPr="009072DA">
        <w:rPr>
          <w:lang w:val="bg-BG"/>
        </w:rPr>
        <w:tab/>
        <w:t xml:space="preserve">Дата на протокола от изпитването: </w:t>
      </w:r>
      <w:r w:rsidRPr="009072DA">
        <w:rPr>
          <w:lang w:val="bg-BG"/>
        </w:rPr>
        <w:tab/>
      </w:r>
    </w:p>
    <w:p w:rsidR="009C13A9" w:rsidRPr="009072DA" w:rsidRDefault="009C13A9" w:rsidP="009C13A9">
      <w:pPr>
        <w:tabs>
          <w:tab w:val="left" w:leader="dot" w:pos="9072"/>
        </w:tabs>
        <w:spacing w:line="240" w:lineRule="atLeast"/>
        <w:ind w:left="709" w:hanging="709"/>
        <w:rPr>
          <w:szCs w:val="20"/>
          <w:lang w:val="bg-BG"/>
        </w:rPr>
      </w:pPr>
    </w:p>
    <w:p w:rsidR="009C13A9" w:rsidRPr="009072DA" w:rsidRDefault="009C13A9" w:rsidP="009C13A9">
      <w:pPr>
        <w:tabs>
          <w:tab w:val="left" w:leader="dot" w:pos="9072"/>
        </w:tabs>
        <w:spacing w:line="240" w:lineRule="atLeast"/>
        <w:ind w:left="709" w:hanging="709"/>
        <w:rPr>
          <w:szCs w:val="20"/>
          <w:lang w:val="bg-BG"/>
        </w:rPr>
      </w:pPr>
      <w:r w:rsidRPr="009072DA">
        <w:rPr>
          <w:lang w:val="bg-BG"/>
        </w:rPr>
        <w:t>4.</w:t>
      </w:r>
      <w:r w:rsidRPr="009072DA">
        <w:rPr>
          <w:lang w:val="bg-BG"/>
        </w:rPr>
        <w:tab/>
        <w:t xml:space="preserve">Номер на протокола от изпитването: </w:t>
      </w:r>
      <w:r w:rsidRPr="009072DA">
        <w:rPr>
          <w:lang w:val="bg-BG"/>
        </w:rPr>
        <w:tab/>
      </w:r>
    </w:p>
    <w:p w:rsidR="009C13A9" w:rsidRPr="009072DA" w:rsidRDefault="009C13A9" w:rsidP="009C13A9">
      <w:pPr>
        <w:tabs>
          <w:tab w:val="left" w:leader="dot" w:pos="9072"/>
        </w:tabs>
        <w:spacing w:line="240" w:lineRule="atLeast"/>
        <w:ind w:left="709" w:hanging="709"/>
        <w:rPr>
          <w:szCs w:val="20"/>
          <w:lang w:val="bg-BG"/>
        </w:rPr>
      </w:pPr>
    </w:p>
    <w:p w:rsidR="009C13A9" w:rsidRPr="009072DA" w:rsidRDefault="009C13A9" w:rsidP="009C13A9">
      <w:pPr>
        <w:tabs>
          <w:tab w:val="left" w:leader="dot" w:pos="9072"/>
        </w:tabs>
        <w:spacing w:line="240" w:lineRule="atLeast"/>
        <w:ind w:left="709" w:hanging="709"/>
        <w:rPr>
          <w:szCs w:val="20"/>
          <w:lang w:val="bg-BG"/>
        </w:rPr>
      </w:pPr>
      <w:r w:rsidRPr="009072DA">
        <w:rPr>
          <w:lang w:val="bg-BG"/>
        </w:rPr>
        <w:t>5.</w:t>
      </w:r>
      <w:r w:rsidRPr="009072DA">
        <w:rPr>
          <w:lang w:val="bg-BG"/>
        </w:rPr>
        <w:tab/>
        <w:t>С настоящото долуподписаният удостоверява точността на информацията от производителя, съдържаща се в приложения информационен документ за гореспоменатата бордова станция за пречистване на отпадъчни води в съответствие с приложение 7, раздел IX към Европейския стандарт за определяне на технически изисквания за плавателните съдове по вътрешните водни пътища (ES-TRIN), както и валидността на приложените резултати от изпитванията във връзка с типа на бордовата станция за пречистване на отпадъчни води. Пробата(ите) е(са) избрана(и) от производителя със съгласието на компетентния орган и предоставена(и) от производителя като проектен тип на бордовата станция за пречистване на отпадъчни води:</w:t>
      </w:r>
    </w:p>
    <w:p w:rsidR="009C13A9" w:rsidRPr="009072DA" w:rsidRDefault="009C13A9" w:rsidP="009C13A9">
      <w:pPr>
        <w:tabs>
          <w:tab w:val="left" w:leader="dot" w:pos="9072"/>
        </w:tabs>
        <w:spacing w:line="240" w:lineRule="atLeast"/>
        <w:ind w:left="709" w:hanging="709"/>
        <w:rPr>
          <w:szCs w:val="20"/>
          <w:lang w:val="bg-BG"/>
        </w:rPr>
      </w:pPr>
    </w:p>
    <w:p w:rsidR="009C13A9" w:rsidRPr="009072DA" w:rsidRDefault="009C13A9" w:rsidP="009C13A9">
      <w:pPr>
        <w:tabs>
          <w:tab w:val="left" w:leader="dot" w:pos="9072"/>
        </w:tabs>
        <w:spacing w:line="240" w:lineRule="atLeast"/>
        <w:ind w:left="709"/>
        <w:rPr>
          <w:szCs w:val="20"/>
          <w:lang w:val="bg-BG"/>
        </w:rPr>
      </w:pPr>
      <w:r w:rsidRPr="009072DA">
        <w:rPr>
          <w:lang w:val="bg-BG"/>
        </w:rPr>
        <w:t>Одобрението на типа е издадено/удължено/отказано/отменено</w:t>
      </w:r>
      <w:r w:rsidRPr="009072DA">
        <w:rPr>
          <w:vertAlign w:val="superscript"/>
          <w:lang w:val="bg-BG"/>
        </w:rPr>
        <w:footnoteReference w:id="68"/>
      </w:r>
      <w:r w:rsidRPr="009072DA">
        <w:rPr>
          <w:lang w:val="bg-BG"/>
        </w:rPr>
        <w:t xml:space="preserve">: </w:t>
      </w:r>
    </w:p>
    <w:p w:rsidR="009C13A9" w:rsidRPr="009072DA" w:rsidRDefault="009C13A9" w:rsidP="009C13A9">
      <w:pPr>
        <w:tabs>
          <w:tab w:val="left" w:leader="dot" w:pos="9072"/>
        </w:tabs>
        <w:spacing w:before="60" w:line="240" w:lineRule="atLeast"/>
        <w:ind w:left="709"/>
        <w:rPr>
          <w:szCs w:val="20"/>
          <w:lang w:val="bg-BG"/>
        </w:rPr>
      </w:pPr>
      <w:r w:rsidRPr="009072DA">
        <w:rPr>
          <w:lang w:val="bg-BG"/>
        </w:rPr>
        <w:t xml:space="preserve">Място: </w:t>
      </w:r>
      <w:r w:rsidRPr="009072DA">
        <w:rPr>
          <w:lang w:val="bg-BG"/>
        </w:rPr>
        <w:tab/>
      </w:r>
    </w:p>
    <w:p w:rsidR="009C13A9" w:rsidRPr="009072DA" w:rsidRDefault="009C13A9" w:rsidP="009C13A9">
      <w:pPr>
        <w:tabs>
          <w:tab w:val="left" w:leader="dot" w:pos="9072"/>
        </w:tabs>
        <w:spacing w:before="60" w:line="240" w:lineRule="atLeast"/>
        <w:ind w:left="709"/>
        <w:rPr>
          <w:szCs w:val="20"/>
          <w:lang w:val="bg-BG"/>
        </w:rPr>
      </w:pPr>
      <w:r w:rsidRPr="009072DA">
        <w:rPr>
          <w:lang w:val="bg-BG"/>
        </w:rPr>
        <w:lastRenderedPageBreak/>
        <w:t xml:space="preserve">Дата: </w:t>
      </w:r>
      <w:r w:rsidRPr="009072DA">
        <w:rPr>
          <w:lang w:val="bg-BG"/>
        </w:rPr>
        <w:tab/>
      </w:r>
    </w:p>
    <w:p w:rsidR="009C13A9" w:rsidRPr="009072DA" w:rsidRDefault="009C13A9" w:rsidP="009C13A9">
      <w:pPr>
        <w:tabs>
          <w:tab w:val="left" w:leader="dot" w:pos="9072"/>
        </w:tabs>
        <w:spacing w:before="60" w:line="240" w:lineRule="atLeast"/>
        <w:ind w:left="709"/>
        <w:rPr>
          <w:szCs w:val="20"/>
          <w:lang w:val="bg-BG"/>
        </w:rPr>
      </w:pPr>
      <w:r w:rsidRPr="009072DA">
        <w:rPr>
          <w:lang w:val="bg-BG"/>
        </w:rPr>
        <w:t xml:space="preserve">Подпис: </w:t>
      </w:r>
      <w:r w:rsidRPr="009072DA">
        <w:rPr>
          <w:lang w:val="bg-BG"/>
        </w:rPr>
        <w:tab/>
      </w:r>
    </w:p>
    <w:p w:rsidR="009C13A9" w:rsidRPr="009072DA" w:rsidRDefault="009C13A9" w:rsidP="009C13A9">
      <w:pPr>
        <w:tabs>
          <w:tab w:val="left" w:leader="dot" w:pos="9072"/>
        </w:tabs>
        <w:spacing w:before="60" w:line="240" w:lineRule="atLeast"/>
        <w:ind w:left="709"/>
        <w:rPr>
          <w:i/>
          <w:szCs w:val="20"/>
          <w:lang w:val="bg-BG"/>
        </w:rPr>
      </w:pPr>
    </w:p>
    <w:p w:rsidR="009C13A9" w:rsidRPr="009072DA" w:rsidRDefault="009C13A9" w:rsidP="009C13A9">
      <w:pPr>
        <w:tabs>
          <w:tab w:val="left" w:leader="dot" w:pos="9072"/>
        </w:tabs>
        <w:spacing w:before="60" w:line="240" w:lineRule="atLeast"/>
        <w:ind w:left="709"/>
        <w:rPr>
          <w:szCs w:val="20"/>
          <w:lang w:val="bg-BG"/>
        </w:rPr>
      </w:pPr>
    </w:p>
    <w:p w:rsidR="009C13A9" w:rsidRPr="009072DA" w:rsidRDefault="009C13A9" w:rsidP="009C13A9">
      <w:pPr>
        <w:tabs>
          <w:tab w:val="left" w:pos="1276"/>
          <w:tab w:val="left" w:leader="dot" w:pos="9072"/>
        </w:tabs>
        <w:spacing w:before="60" w:line="240" w:lineRule="atLeast"/>
        <w:rPr>
          <w:szCs w:val="20"/>
          <w:lang w:val="bg-BG"/>
        </w:rPr>
      </w:pPr>
      <w:r w:rsidRPr="009072DA">
        <w:rPr>
          <w:lang w:val="bg-BG"/>
        </w:rPr>
        <w:t>Допълнения:</w:t>
      </w:r>
      <w:r w:rsidRPr="009072DA">
        <w:rPr>
          <w:lang w:val="bg-BG"/>
        </w:rPr>
        <w:tab/>
        <w:t>Информационно досие</w:t>
      </w:r>
    </w:p>
    <w:p w:rsidR="009C13A9" w:rsidRPr="009072DA" w:rsidRDefault="009C13A9" w:rsidP="009C13A9">
      <w:pPr>
        <w:tabs>
          <w:tab w:val="left" w:leader="dot" w:pos="9072"/>
        </w:tabs>
        <w:spacing w:before="60" w:line="240" w:lineRule="atLeast"/>
        <w:ind w:left="1276"/>
        <w:rPr>
          <w:szCs w:val="20"/>
          <w:lang w:val="bg-BG"/>
        </w:rPr>
      </w:pPr>
      <w:r w:rsidRPr="009072DA">
        <w:rPr>
          <w:lang w:val="bg-BG"/>
        </w:rPr>
        <w:t>Резултати от изпитването (виж допълнение 1)</w:t>
      </w:r>
    </w:p>
    <w:p w:rsidR="009C13A9" w:rsidRPr="009072DA" w:rsidRDefault="009C13A9" w:rsidP="009C13A9">
      <w:pPr>
        <w:suppressAutoHyphens/>
        <w:spacing w:line="240" w:lineRule="atLeast"/>
        <w:jc w:val="center"/>
        <w:rPr>
          <w:rFonts w:cs="Arial"/>
          <w:szCs w:val="20"/>
          <w:lang w:val="bg-BG"/>
        </w:rPr>
      </w:pPr>
      <w:r w:rsidRPr="009072DA">
        <w:rPr>
          <w:lang w:val="bg-BG"/>
        </w:rPr>
        <w:br w:type="page"/>
      </w:r>
    </w:p>
    <w:p w:rsidR="009C13A9" w:rsidRPr="009072DA" w:rsidRDefault="009C13A9" w:rsidP="009C13A9">
      <w:pPr>
        <w:suppressAutoHyphens/>
        <w:spacing w:line="240" w:lineRule="atLeast"/>
        <w:jc w:val="center"/>
        <w:rPr>
          <w:rFonts w:cs="Arial"/>
          <w:b/>
          <w:szCs w:val="20"/>
          <w:lang w:val="bg-BG"/>
        </w:rPr>
      </w:pPr>
      <w:r w:rsidRPr="009072DA">
        <w:rPr>
          <w:b/>
          <w:lang w:val="bg-BG"/>
        </w:rPr>
        <w:lastRenderedPageBreak/>
        <w:t>Допълнение 1</w:t>
      </w:r>
    </w:p>
    <w:p w:rsidR="009C13A9" w:rsidRPr="009072DA" w:rsidRDefault="009C13A9" w:rsidP="009C13A9">
      <w:pPr>
        <w:tabs>
          <w:tab w:val="center" w:pos="7513"/>
          <w:tab w:val="center" w:pos="8222"/>
        </w:tabs>
        <w:suppressAutoHyphens/>
        <w:spacing w:line="240" w:lineRule="atLeast"/>
        <w:jc w:val="center"/>
        <w:rPr>
          <w:rFonts w:cs="Arial"/>
          <w:szCs w:val="20"/>
          <w:lang w:val="bg-BG"/>
        </w:rPr>
      </w:pPr>
      <w:r w:rsidRPr="009072DA">
        <w:rPr>
          <w:b/>
          <w:lang w:val="bg-BG"/>
        </w:rPr>
        <w:t xml:space="preserve">Резултати от изпитването за одобряване на типа </w:t>
      </w:r>
      <w:r w:rsidRPr="009072DA">
        <w:rPr>
          <w:rFonts w:cs="Arial"/>
          <w:b/>
          <w:szCs w:val="20"/>
          <w:lang w:val="bg-BG"/>
        </w:rPr>
        <w:br/>
      </w:r>
      <w:r w:rsidRPr="009072DA">
        <w:rPr>
          <w:lang w:val="bg-BG"/>
        </w:rPr>
        <w:t>(Образец)</w:t>
      </w:r>
    </w:p>
    <w:p w:rsidR="009C13A9" w:rsidRPr="009072DA" w:rsidRDefault="009C13A9" w:rsidP="009C13A9">
      <w:pPr>
        <w:spacing w:line="240" w:lineRule="atLeast"/>
        <w:ind w:left="709" w:hanging="709"/>
        <w:rPr>
          <w:rFonts w:cs="Arial"/>
          <w:color w:val="000000"/>
          <w:szCs w:val="20"/>
          <w:lang w:val="bg-BG"/>
        </w:rPr>
      </w:pPr>
    </w:p>
    <w:p w:rsidR="009C13A9" w:rsidRPr="009072DA" w:rsidRDefault="009C13A9" w:rsidP="009C13A9">
      <w:pPr>
        <w:spacing w:line="240" w:lineRule="atLeast"/>
        <w:ind w:left="709" w:hanging="709"/>
        <w:rPr>
          <w:rFonts w:cs="Arial"/>
          <w:color w:val="000000"/>
          <w:szCs w:val="20"/>
          <w:lang w:val="bg-BG"/>
        </w:rPr>
      </w:pPr>
    </w:p>
    <w:p w:rsidR="009C13A9" w:rsidRPr="009072DA" w:rsidRDefault="009C13A9" w:rsidP="009C13A9">
      <w:pPr>
        <w:spacing w:line="240" w:lineRule="atLeast"/>
        <w:ind w:left="709" w:hanging="709"/>
        <w:rPr>
          <w:rFonts w:cs="Arial"/>
          <w:color w:val="000000"/>
          <w:szCs w:val="20"/>
          <w:lang w:val="bg-BG"/>
        </w:rPr>
      </w:pPr>
      <w:r w:rsidRPr="009072DA">
        <w:rPr>
          <w:color w:val="000000"/>
          <w:lang w:val="bg-BG"/>
        </w:rPr>
        <w:t>0.</w:t>
      </w:r>
      <w:r w:rsidRPr="009072DA">
        <w:rPr>
          <w:lang w:val="bg-BG"/>
        </w:rPr>
        <w:tab/>
      </w:r>
      <w:r w:rsidRPr="009072DA">
        <w:rPr>
          <w:color w:val="000000"/>
          <w:lang w:val="bg-BG"/>
        </w:rPr>
        <w:t>Общи положения</w:t>
      </w:r>
    </w:p>
    <w:p w:rsidR="009C13A9" w:rsidRPr="009072DA" w:rsidRDefault="009C13A9" w:rsidP="009C13A9">
      <w:pPr>
        <w:tabs>
          <w:tab w:val="left" w:leader="dot" w:pos="9072"/>
        </w:tabs>
        <w:spacing w:before="60" w:line="240" w:lineRule="atLeast"/>
        <w:ind w:left="709" w:hanging="709"/>
        <w:rPr>
          <w:rFonts w:cs="Arial"/>
          <w:color w:val="000000"/>
          <w:szCs w:val="20"/>
          <w:lang w:val="bg-BG"/>
        </w:rPr>
      </w:pPr>
      <w:r w:rsidRPr="009072DA">
        <w:rPr>
          <w:color w:val="000000"/>
          <w:lang w:val="bg-BG"/>
        </w:rPr>
        <w:t>0.1</w:t>
      </w:r>
      <w:r w:rsidRPr="009072DA">
        <w:rPr>
          <w:lang w:val="bg-BG"/>
        </w:rPr>
        <w:tab/>
      </w:r>
      <w:r w:rsidRPr="009072DA">
        <w:rPr>
          <w:color w:val="000000"/>
          <w:lang w:val="bg-BG"/>
        </w:rPr>
        <w:t xml:space="preserve">Марка (наименование на дружеството производител): </w:t>
      </w:r>
      <w:r w:rsidRPr="009072DA">
        <w:rPr>
          <w:lang w:val="bg-BG"/>
        </w:rPr>
        <w:tab/>
      </w:r>
    </w:p>
    <w:p w:rsidR="009C13A9" w:rsidRPr="009072DA" w:rsidRDefault="009C13A9" w:rsidP="009C13A9">
      <w:pPr>
        <w:tabs>
          <w:tab w:val="left" w:leader="dot" w:pos="9072"/>
        </w:tabs>
        <w:spacing w:before="60" w:line="240" w:lineRule="atLeast"/>
        <w:ind w:left="709" w:hanging="709"/>
        <w:rPr>
          <w:rFonts w:cs="Arial"/>
          <w:color w:val="000000"/>
          <w:szCs w:val="20"/>
          <w:lang w:val="bg-BG"/>
        </w:rPr>
      </w:pPr>
      <w:r w:rsidRPr="009072DA">
        <w:rPr>
          <w:color w:val="000000"/>
          <w:lang w:val="bg-BG"/>
        </w:rPr>
        <w:t>0.2</w:t>
      </w:r>
      <w:r w:rsidRPr="009072DA">
        <w:rPr>
          <w:lang w:val="bg-BG"/>
        </w:rPr>
        <w:tab/>
      </w:r>
      <w:r w:rsidRPr="009072DA">
        <w:rPr>
          <w:color w:val="000000"/>
          <w:lang w:val="bg-BG"/>
        </w:rPr>
        <w:t xml:space="preserve">Обозначение от производителя за типа на бордовата станция за пречистване на отпадъчни води: </w:t>
      </w:r>
      <w:r w:rsidRPr="009072DA">
        <w:rPr>
          <w:lang w:val="bg-BG"/>
        </w:rPr>
        <w:tab/>
      </w:r>
    </w:p>
    <w:p w:rsidR="009C13A9" w:rsidRPr="009072DA" w:rsidRDefault="009C13A9" w:rsidP="009C13A9">
      <w:pPr>
        <w:tabs>
          <w:tab w:val="left" w:leader="dot" w:pos="9072"/>
        </w:tabs>
        <w:spacing w:line="240" w:lineRule="atLeast"/>
        <w:ind w:left="709" w:hanging="709"/>
        <w:rPr>
          <w:rFonts w:cs="Arial"/>
          <w:color w:val="000000"/>
          <w:szCs w:val="20"/>
          <w:lang w:val="bg-BG"/>
        </w:rPr>
      </w:pPr>
    </w:p>
    <w:p w:rsidR="009C13A9" w:rsidRPr="009072DA" w:rsidRDefault="009C13A9" w:rsidP="009C13A9">
      <w:pPr>
        <w:tabs>
          <w:tab w:val="left" w:leader="dot" w:pos="9072"/>
        </w:tabs>
        <w:spacing w:line="240" w:lineRule="atLeast"/>
        <w:ind w:left="709" w:hanging="709"/>
        <w:rPr>
          <w:rFonts w:cs="Arial"/>
          <w:color w:val="000000"/>
          <w:szCs w:val="20"/>
          <w:vertAlign w:val="superscript"/>
          <w:lang w:val="bg-BG"/>
        </w:rPr>
      </w:pPr>
      <w:r w:rsidRPr="009072DA">
        <w:rPr>
          <w:color w:val="000000"/>
          <w:lang w:val="bg-BG"/>
        </w:rPr>
        <w:t>1.</w:t>
      </w:r>
      <w:r w:rsidRPr="009072DA">
        <w:rPr>
          <w:lang w:val="bg-BG"/>
        </w:rPr>
        <w:tab/>
      </w:r>
      <w:r w:rsidRPr="009072DA">
        <w:rPr>
          <w:b/>
          <w:color w:val="000000"/>
          <w:lang w:val="bg-BG"/>
        </w:rPr>
        <w:t>Информация относно провеждането на изпитването(ията).</w:t>
      </w:r>
      <w:r w:rsidRPr="009072DA">
        <w:rPr>
          <w:color w:val="000000"/>
          <w:vertAlign w:val="superscript"/>
          <w:lang w:val="bg-BG"/>
        </w:rPr>
        <w:footnoteReference w:id="69"/>
      </w:r>
      <w:r w:rsidRPr="009072DA">
        <w:rPr>
          <w:color w:val="000000"/>
          <w:lang w:val="bg-BG"/>
        </w:rPr>
        <w:t>.</w:t>
      </w:r>
      <w:r w:rsidRPr="009072DA">
        <w:rPr>
          <w:color w:val="000000"/>
          <w:vertAlign w:val="superscript"/>
          <w:lang w:val="bg-BG"/>
        </w:rPr>
        <w:t xml:space="preserve"> </w:t>
      </w:r>
    </w:p>
    <w:p w:rsidR="009C13A9" w:rsidRPr="009072DA" w:rsidRDefault="009C13A9" w:rsidP="009C13A9">
      <w:pPr>
        <w:tabs>
          <w:tab w:val="left" w:leader="dot" w:pos="9072"/>
        </w:tabs>
        <w:spacing w:before="60" w:line="240" w:lineRule="atLeast"/>
        <w:ind w:left="709" w:hanging="709"/>
        <w:rPr>
          <w:rFonts w:cs="Arial"/>
          <w:color w:val="000000"/>
          <w:szCs w:val="20"/>
          <w:lang w:val="bg-BG"/>
        </w:rPr>
      </w:pPr>
      <w:r w:rsidRPr="009072DA">
        <w:rPr>
          <w:color w:val="000000"/>
          <w:lang w:val="bg-BG"/>
        </w:rPr>
        <w:t>1.1</w:t>
      </w:r>
      <w:r w:rsidRPr="009072DA">
        <w:rPr>
          <w:lang w:val="bg-BG"/>
        </w:rPr>
        <w:tab/>
      </w:r>
      <w:r w:rsidRPr="009072DA">
        <w:rPr>
          <w:color w:val="000000"/>
          <w:lang w:val="bg-BG"/>
        </w:rPr>
        <w:t>Стойности на входящия поток</w:t>
      </w:r>
    </w:p>
    <w:p w:rsidR="009C13A9" w:rsidRPr="009072DA" w:rsidRDefault="009C13A9" w:rsidP="009C13A9">
      <w:pPr>
        <w:tabs>
          <w:tab w:val="left" w:leader="dot" w:pos="9072"/>
        </w:tabs>
        <w:spacing w:before="60" w:line="240" w:lineRule="atLeast"/>
        <w:ind w:left="709" w:hanging="709"/>
        <w:rPr>
          <w:rFonts w:cs="Arial"/>
          <w:color w:val="000000"/>
          <w:szCs w:val="20"/>
          <w:lang w:val="bg-BG"/>
        </w:rPr>
      </w:pPr>
      <w:r w:rsidRPr="009072DA">
        <w:rPr>
          <w:color w:val="000000"/>
          <w:lang w:val="bg-BG"/>
        </w:rPr>
        <w:t>1.1.1</w:t>
      </w:r>
      <w:r w:rsidRPr="009072DA">
        <w:rPr>
          <w:lang w:val="bg-BG"/>
        </w:rPr>
        <w:tab/>
      </w:r>
      <w:r w:rsidRPr="009072DA">
        <w:rPr>
          <w:color w:val="000000"/>
          <w:lang w:val="bg-BG"/>
        </w:rPr>
        <w:t xml:space="preserve">Дневен обемен дебит на отпадъчните води </w:t>
      </w:r>
      <m:oMath>
        <m:sSub>
          <m:sSubPr>
            <m:ctrlPr>
              <w:rPr>
                <w:rFonts w:ascii="Cambria Math" w:hAnsi="Cambria Math" w:cs="Arial"/>
                <w:i/>
                <w:szCs w:val="20"/>
                <w:lang w:val="bg-BG"/>
              </w:rPr>
            </m:ctrlPr>
          </m:sSubPr>
          <m:e>
            <m:r>
              <w:rPr>
                <w:rFonts w:ascii="Cambria Math" w:hAnsi="Cambria Math" w:cs="Arial"/>
                <w:szCs w:val="20"/>
                <w:lang w:val="bg-BG"/>
              </w:rPr>
              <m:t>Q</m:t>
            </m:r>
          </m:e>
          <m:sub>
            <m:r>
              <w:rPr>
                <w:rFonts w:ascii="Cambria Math" w:hAnsi="Cambria Math" w:cs="Arial"/>
                <w:szCs w:val="20"/>
                <w:lang w:val="bg-BG"/>
              </w:rPr>
              <m:t>d</m:t>
            </m:r>
          </m:sub>
        </m:sSub>
      </m:oMath>
      <w:r w:rsidRPr="009072DA">
        <w:rPr>
          <w:color w:val="000000"/>
          <w:lang w:val="bg-BG"/>
        </w:rPr>
        <w:t xml:space="preserve"> (m³/ден): </w:t>
      </w:r>
      <w:r w:rsidRPr="009072DA">
        <w:rPr>
          <w:lang w:val="bg-BG"/>
        </w:rPr>
        <w:tab/>
      </w:r>
    </w:p>
    <w:p w:rsidR="009C13A9" w:rsidRPr="009072DA" w:rsidRDefault="009C13A9" w:rsidP="009C13A9">
      <w:pPr>
        <w:tabs>
          <w:tab w:val="left" w:leader="dot" w:pos="9072"/>
        </w:tabs>
        <w:spacing w:before="60" w:line="240" w:lineRule="atLeast"/>
        <w:ind w:left="709" w:hanging="709"/>
        <w:rPr>
          <w:rFonts w:cs="Arial"/>
          <w:color w:val="000000"/>
          <w:szCs w:val="20"/>
          <w:lang w:val="bg-BG"/>
        </w:rPr>
      </w:pPr>
      <w:r w:rsidRPr="009072DA">
        <w:rPr>
          <w:color w:val="000000"/>
          <w:lang w:val="bg-BG"/>
        </w:rPr>
        <w:t>1.1.2</w:t>
      </w:r>
      <w:r w:rsidRPr="009072DA">
        <w:rPr>
          <w:lang w:val="bg-BG"/>
        </w:rPr>
        <w:tab/>
      </w:r>
      <w:r w:rsidRPr="009072DA">
        <w:rPr>
          <w:color w:val="000000"/>
          <w:lang w:val="bg-BG"/>
        </w:rPr>
        <w:t xml:space="preserve">Дневно замърсяване по </w:t>
      </w:r>
      <m:oMath>
        <m:sSub>
          <m:sSubPr>
            <m:ctrlPr>
              <w:rPr>
                <w:rFonts w:ascii="Cambria Math" w:hAnsi="Cambria Math"/>
                <w:i/>
                <w:lang w:val="bg-BG"/>
              </w:rPr>
            </m:ctrlPr>
          </m:sSubPr>
          <m:e>
            <m:r>
              <w:rPr>
                <w:rFonts w:ascii="Cambria Math" w:hAnsi="Cambria Math"/>
                <w:lang w:val="bg-BG"/>
              </w:rPr>
              <m:t>BOD</m:t>
            </m:r>
          </m:e>
          <m:sub>
            <m:r>
              <w:rPr>
                <w:rFonts w:ascii="Cambria Math" w:hAnsi="Cambria Math"/>
                <w:lang w:val="bg-BG"/>
              </w:rPr>
              <m:t>5</m:t>
            </m:r>
          </m:sub>
        </m:sSub>
      </m:oMath>
      <w:r w:rsidRPr="009072DA">
        <w:rPr>
          <w:color w:val="000000"/>
          <w:lang w:val="bg-BG"/>
        </w:rPr>
        <w:t xml:space="preserve"> (kg/ден): </w:t>
      </w:r>
      <w:r w:rsidRPr="009072DA">
        <w:rPr>
          <w:lang w:val="bg-BG"/>
        </w:rPr>
        <w:tab/>
      </w:r>
    </w:p>
    <w:p w:rsidR="009C13A9" w:rsidRPr="009072DA" w:rsidRDefault="009C13A9" w:rsidP="009C13A9">
      <w:pPr>
        <w:spacing w:before="60" w:line="240" w:lineRule="atLeast"/>
        <w:ind w:left="709" w:hanging="709"/>
        <w:rPr>
          <w:rFonts w:cs="Arial"/>
          <w:color w:val="000000"/>
          <w:szCs w:val="20"/>
          <w:lang w:val="bg-BG"/>
        </w:rPr>
      </w:pPr>
      <w:r w:rsidRPr="009072DA">
        <w:rPr>
          <w:color w:val="000000"/>
          <w:lang w:val="bg-BG"/>
        </w:rPr>
        <w:t>1.2</w:t>
      </w:r>
      <w:r w:rsidRPr="009072DA">
        <w:rPr>
          <w:lang w:val="bg-BG"/>
        </w:rPr>
        <w:tab/>
      </w:r>
      <w:r w:rsidRPr="009072DA">
        <w:rPr>
          <w:color w:val="000000"/>
          <w:lang w:val="bg-BG"/>
        </w:rPr>
        <w:t>Ефективност на пречистването</w:t>
      </w:r>
    </w:p>
    <w:p w:rsidR="009C13A9" w:rsidRPr="009072DA" w:rsidRDefault="009C13A9" w:rsidP="009C13A9">
      <w:pPr>
        <w:spacing w:before="60" w:line="240" w:lineRule="atLeast"/>
        <w:ind w:left="709" w:hanging="709"/>
        <w:rPr>
          <w:rFonts w:cs="Arial"/>
          <w:color w:val="000000"/>
          <w:szCs w:val="20"/>
          <w:lang w:val="bg-BG"/>
        </w:rPr>
      </w:pPr>
      <w:r w:rsidRPr="009072DA">
        <w:rPr>
          <w:color w:val="000000"/>
          <w:lang w:val="bg-BG"/>
        </w:rPr>
        <w:t>1.2.1</w:t>
      </w:r>
      <w:r w:rsidRPr="009072DA">
        <w:rPr>
          <w:lang w:val="bg-BG"/>
        </w:rPr>
        <w:tab/>
      </w:r>
      <w:r w:rsidRPr="009072DA">
        <w:rPr>
          <w:color w:val="000000"/>
          <w:lang w:val="bg-BG"/>
        </w:rPr>
        <w:t>Оценка на стойностите за изходящия поток</w:t>
      </w:r>
    </w:p>
    <w:p w:rsidR="009C13A9" w:rsidRPr="009072DA" w:rsidRDefault="009C13A9" w:rsidP="009C13A9">
      <w:pPr>
        <w:spacing w:line="240" w:lineRule="atLeast"/>
        <w:rPr>
          <w:rFonts w:cs="Arial"/>
          <w:color w:val="000000"/>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 xml:space="preserve">Оценка на стойностите на </w:t>
      </w:r>
      <m:oMath>
        <m:sSub>
          <m:sSubPr>
            <m:ctrlPr>
              <w:rPr>
                <w:rFonts w:ascii="Cambria Math" w:hAnsi="Cambria Math"/>
                <w:b/>
                <w:i/>
                <w:lang w:val="bg-BG"/>
              </w:rPr>
            </m:ctrlPr>
          </m:sSubPr>
          <m:e>
            <m:r>
              <m:rPr>
                <m:sty m:val="bi"/>
              </m:rPr>
              <w:rPr>
                <w:rFonts w:ascii="Cambria Math" w:hAnsi="Cambria Math"/>
                <w:lang w:val="bg-BG"/>
              </w:rPr>
              <m:t>BOD</m:t>
            </m:r>
          </m:e>
          <m:sub>
            <m:r>
              <m:rPr>
                <m:sty m:val="bi"/>
              </m:rPr>
              <w:rPr>
                <w:rFonts w:ascii="Cambria Math" w:hAnsi="Cambria Math"/>
                <w:lang w:val="bg-BG"/>
              </w:rPr>
              <m:t>5</m:t>
            </m:r>
          </m:sub>
        </m:sSub>
      </m:oMath>
      <w:r w:rsidRPr="009072DA">
        <w:rPr>
          <w:lang w:val="bg-BG"/>
        </w:rPr>
        <w:t xml:space="preserve"> за изходящия поток (mg/l)</w:t>
      </w:r>
    </w:p>
    <w:p w:rsidR="009C13A9" w:rsidRPr="009072DA" w:rsidRDefault="009C13A9" w:rsidP="009C13A9">
      <w:pPr>
        <w:tabs>
          <w:tab w:val="left" w:leader="dot" w:pos="9072"/>
        </w:tabs>
        <w:spacing w:line="240" w:lineRule="atLeast"/>
        <w:rPr>
          <w:rFonts w:cs="Arial"/>
          <w:lang w:val="bg-BG"/>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9072DA" w:rsidTr="009C13A9">
        <w:trPr>
          <w:trHeight w:val="300"/>
        </w:trPr>
        <w:tc>
          <w:tcPr>
            <w:tcW w:w="1560" w:type="dxa"/>
            <w:vMerge w:val="restart"/>
          </w:tcPr>
          <w:p w:rsidR="009C13A9" w:rsidRPr="009072DA" w:rsidRDefault="00390107" w:rsidP="009C13A9">
            <w:pPr>
              <w:spacing w:before="60" w:after="60"/>
              <w:rPr>
                <w:sz w:val="18"/>
                <w:szCs w:val="18"/>
                <w:lang w:val="bg-BG"/>
              </w:rPr>
            </w:pPr>
            <w:r w:rsidRPr="009072DA">
              <w:rPr>
                <w:sz w:val="18"/>
                <w:lang w:val="bg-BG"/>
              </w:rPr>
              <w:t>Местоположение</w:t>
            </w:r>
          </w:p>
        </w:tc>
        <w:tc>
          <w:tcPr>
            <w:tcW w:w="1842" w:type="dxa"/>
            <w:vMerge w:val="restart"/>
          </w:tcPr>
          <w:p w:rsidR="009C13A9" w:rsidRPr="009072DA" w:rsidRDefault="009C13A9" w:rsidP="009C13A9">
            <w:pPr>
              <w:spacing w:before="60" w:after="60"/>
              <w:jc w:val="center"/>
              <w:rPr>
                <w:sz w:val="18"/>
                <w:szCs w:val="18"/>
                <w:lang w:val="bg-BG"/>
              </w:rPr>
            </w:pPr>
            <w:r w:rsidRPr="009072DA">
              <w:rPr>
                <w:sz w:val="18"/>
                <w:lang w:val="bg-BG"/>
              </w:rPr>
              <w:t>Вид на пробата</w:t>
            </w:r>
          </w:p>
        </w:tc>
        <w:tc>
          <w:tcPr>
            <w:tcW w:w="1058" w:type="dxa"/>
            <w:vMerge w:val="restart"/>
          </w:tcPr>
          <w:p w:rsidR="009C13A9" w:rsidRPr="009072DA" w:rsidRDefault="009C13A9" w:rsidP="009C13A9">
            <w:pPr>
              <w:spacing w:before="60" w:after="60"/>
              <w:jc w:val="center"/>
              <w:rPr>
                <w:sz w:val="18"/>
                <w:szCs w:val="18"/>
                <w:lang w:val="bg-BG"/>
              </w:rPr>
            </w:pPr>
            <w:r w:rsidRPr="009072DA">
              <w:rPr>
                <w:sz w:val="18"/>
                <w:lang w:val="bg-BG"/>
              </w:rPr>
              <w:t>Брой на изпитванията, при които са спазени пределните стойности</w:t>
            </w:r>
          </w:p>
        </w:tc>
        <w:tc>
          <w:tcPr>
            <w:tcW w:w="992" w:type="dxa"/>
            <w:vMerge w:val="restart"/>
          </w:tcPr>
          <w:p w:rsidR="009C13A9" w:rsidRPr="009072DA" w:rsidRDefault="009C13A9" w:rsidP="009C13A9">
            <w:pPr>
              <w:spacing w:before="60" w:after="60"/>
              <w:jc w:val="center"/>
              <w:rPr>
                <w:sz w:val="18"/>
                <w:szCs w:val="18"/>
                <w:lang w:val="bg-BG"/>
              </w:rPr>
            </w:pPr>
            <w:r w:rsidRPr="009072DA">
              <w:rPr>
                <w:sz w:val="18"/>
                <w:lang w:val="bg-BG"/>
              </w:rPr>
              <w:t>Мин.</w:t>
            </w:r>
          </w:p>
        </w:tc>
        <w:tc>
          <w:tcPr>
            <w:tcW w:w="2203" w:type="dxa"/>
            <w:gridSpan w:val="2"/>
          </w:tcPr>
          <w:p w:rsidR="009C13A9" w:rsidRPr="009072DA" w:rsidRDefault="009C13A9" w:rsidP="009C13A9">
            <w:pPr>
              <w:spacing w:before="60" w:after="60"/>
              <w:jc w:val="center"/>
              <w:rPr>
                <w:sz w:val="18"/>
                <w:szCs w:val="18"/>
                <w:lang w:val="bg-BG"/>
              </w:rPr>
            </w:pPr>
            <w:r w:rsidRPr="009072DA">
              <w:rPr>
                <w:sz w:val="18"/>
                <w:lang w:val="bg-BG"/>
              </w:rPr>
              <w:t>Макс.</w:t>
            </w:r>
          </w:p>
        </w:tc>
        <w:tc>
          <w:tcPr>
            <w:tcW w:w="1134" w:type="dxa"/>
            <w:vMerge w:val="restart"/>
          </w:tcPr>
          <w:p w:rsidR="009C13A9" w:rsidRPr="009072DA" w:rsidRDefault="009C13A9" w:rsidP="009C13A9">
            <w:pPr>
              <w:spacing w:before="60" w:after="60"/>
              <w:jc w:val="center"/>
              <w:rPr>
                <w:sz w:val="18"/>
                <w:szCs w:val="18"/>
                <w:lang w:val="bg-BG"/>
              </w:rPr>
            </w:pPr>
            <w:r w:rsidRPr="009072DA">
              <w:rPr>
                <w:sz w:val="18"/>
                <w:lang w:val="bg-BG"/>
              </w:rPr>
              <w:t>Средно</w:t>
            </w:r>
          </w:p>
        </w:tc>
      </w:tr>
      <w:tr w:rsidR="009C13A9" w:rsidRPr="009072DA" w:rsidTr="009C13A9">
        <w:trPr>
          <w:trHeight w:val="300"/>
        </w:trPr>
        <w:tc>
          <w:tcPr>
            <w:tcW w:w="1560" w:type="dxa"/>
            <w:vMerge/>
          </w:tcPr>
          <w:p w:rsidR="009C13A9" w:rsidRPr="009072DA" w:rsidRDefault="009C13A9" w:rsidP="009C13A9">
            <w:pPr>
              <w:spacing w:before="60" w:after="60"/>
              <w:rPr>
                <w:sz w:val="18"/>
                <w:szCs w:val="18"/>
                <w:lang w:val="bg-BG"/>
              </w:rPr>
            </w:pPr>
          </w:p>
        </w:tc>
        <w:tc>
          <w:tcPr>
            <w:tcW w:w="1842" w:type="dxa"/>
            <w:vMerge/>
          </w:tcPr>
          <w:p w:rsidR="009C13A9" w:rsidRPr="009072DA" w:rsidRDefault="009C13A9" w:rsidP="009C13A9">
            <w:pPr>
              <w:spacing w:before="60" w:after="60"/>
              <w:rPr>
                <w:sz w:val="18"/>
                <w:szCs w:val="18"/>
                <w:lang w:val="bg-BG"/>
              </w:rPr>
            </w:pPr>
          </w:p>
        </w:tc>
        <w:tc>
          <w:tcPr>
            <w:tcW w:w="1058" w:type="dxa"/>
            <w:vMerge/>
          </w:tcPr>
          <w:p w:rsidR="009C13A9" w:rsidRPr="009072DA" w:rsidRDefault="009C13A9" w:rsidP="009C13A9">
            <w:pPr>
              <w:spacing w:before="60" w:after="60"/>
              <w:rPr>
                <w:sz w:val="18"/>
                <w:szCs w:val="18"/>
                <w:lang w:val="bg-BG"/>
              </w:rPr>
            </w:pPr>
          </w:p>
        </w:tc>
        <w:tc>
          <w:tcPr>
            <w:tcW w:w="992" w:type="dxa"/>
            <w:vMerge/>
          </w:tcPr>
          <w:p w:rsidR="009C13A9" w:rsidRPr="009072DA" w:rsidRDefault="009C13A9" w:rsidP="009C13A9">
            <w:pPr>
              <w:spacing w:before="60" w:after="60"/>
              <w:rPr>
                <w:sz w:val="18"/>
                <w:szCs w:val="18"/>
                <w:lang w:val="bg-BG"/>
              </w:rPr>
            </w:pPr>
          </w:p>
        </w:tc>
        <w:tc>
          <w:tcPr>
            <w:tcW w:w="1069" w:type="dxa"/>
          </w:tcPr>
          <w:p w:rsidR="009C13A9" w:rsidRPr="009072DA" w:rsidRDefault="009C13A9" w:rsidP="009C13A9">
            <w:pPr>
              <w:spacing w:before="60" w:after="60"/>
              <w:jc w:val="center"/>
              <w:rPr>
                <w:sz w:val="18"/>
                <w:szCs w:val="18"/>
                <w:lang w:val="bg-BG"/>
              </w:rPr>
            </w:pPr>
            <w:r w:rsidRPr="009072DA">
              <w:rPr>
                <w:sz w:val="18"/>
                <w:lang w:val="bg-BG"/>
              </w:rPr>
              <w:t>Стойност</w:t>
            </w:r>
          </w:p>
        </w:tc>
        <w:tc>
          <w:tcPr>
            <w:tcW w:w="1134" w:type="dxa"/>
          </w:tcPr>
          <w:p w:rsidR="009C13A9" w:rsidRPr="009072DA" w:rsidRDefault="009C13A9" w:rsidP="009C13A9">
            <w:pPr>
              <w:spacing w:before="60" w:after="60"/>
              <w:jc w:val="center"/>
              <w:rPr>
                <w:sz w:val="18"/>
                <w:szCs w:val="18"/>
                <w:lang w:val="bg-BG"/>
              </w:rPr>
            </w:pPr>
            <w:r w:rsidRPr="009072DA">
              <w:rPr>
                <w:sz w:val="18"/>
                <w:lang w:val="bg-BG"/>
              </w:rPr>
              <w:t>Фаза</w:t>
            </w:r>
          </w:p>
        </w:tc>
        <w:tc>
          <w:tcPr>
            <w:tcW w:w="1134" w:type="dxa"/>
            <w:vMerge/>
          </w:tcPr>
          <w:p w:rsidR="009C13A9" w:rsidRPr="009072DA" w:rsidRDefault="009C13A9" w:rsidP="009C13A9">
            <w:pPr>
              <w:spacing w:before="60" w:after="60"/>
              <w:rPr>
                <w:sz w:val="18"/>
                <w:szCs w:val="18"/>
                <w:lang w:val="bg-BG"/>
              </w:rPr>
            </w:pPr>
          </w:p>
        </w:tc>
      </w:tr>
      <w:tr w:rsidR="009C13A9" w:rsidRPr="009072DA" w:rsidTr="009C13A9">
        <w:tc>
          <w:tcPr>
            <w:tcW w:w="1560" w:type="dxa"/>
            <w:vAlign w:val="center"/>
          </w:tcPr>
          <w:p w:rsidR="009C13A9" w:rsidRPr="009072DA" w:rsidRDefault="009C13A9" w:rsidP="009C13A9">
            <w:pPr>
              <w:spacing w:before="60" w:after="60"/>
              <w:rPr>
                <w:sz w:val="18"/>
                <w:szCs w:val="18"/>
                <w:lang w:val="bg-BG"/>
              </w:rPr>
            </w:pPr>
            <w:r w:rsidRPr="009072DA">
              <w:rPr>
                <w:sz w:val="18"/>
                <w:lang w:val="bg-BG"/>
              </w:rPr>
              <w:t>Входящ поток</w:t>
            </w:r>
          </w:p>
        </w:tc>
        <w:tc>
          <w:tcPr>
            <w:tcW w:w="1842" w:type="dxa"/>
            <w:vAlign w:val="center"/>
          </w:tcPr>
          <w:p w:rsidR="009C13A9" w:rsidRPr="009072DA" w:rsidRDefault="009C13A9" w:rsidP="009C13A9">
            <w:pPr>
              <w:spacing w:before="60" w:after="60"/>
              <w:rPr>
                <w:sz w:val="18"/>
                <w:szCs w:val="18"/>
                <w:lang w:val="bg-BG"/>
              </w:rPr>
            </w:pPr>
            <w:r w:rsidRPr="009072DA">
              <w:rPr>
                <w:sz w:val="18"/>
                <w:lang w:val="bg-BG"/>
              </w:rPr>
              <w:t>24-часови комбинирани проби</w:t>
            </w:r>
          </w:p>
        </w:tc>
        <w:tc>
          <w:tcPr>
            <w:tcW w:w="1058" w:type="dxa"/>
            <w:vAlign w:val="center"/>
          </w:tcPr>
          <w:p w:rsidR="009C13A9" w:rsidRPr="009072DA" w:rsidRDefault="009C13A9" w:rsidP="00704BED">
            <w:pPr>
              <w:spacing w:before="60" w:after="60"/>
              <w:jc w:val="center"/>
              <w:rPr>
                <w:sz w:val="18"/>
                <w:szCs w:val="18"/>
                <w:lang w:val="bg-BG"/>
              </w:rPr>
            </w:pPr>
            <w:r w:rsidRPr="009072DA">
              <w:rPr>
                <w:sz w:val="18"/>
                <w:lang w:val="bg-BG"/>
              </w:rPr>
              <w:t>--</w:t>
            </w:r>
          </w:p>
        </w:tc>
        <w:tc>
          <w:tcPr>
            <w:tcW w:w="992" w:type="dxa"/>
            <w:vAlign w:val="center"/>
          </w:tcPr>
          <w:p w:rsidR="009C13A9" w:rsidRPr="009072DA" w:rsidRDefault="009C13A9" w:rsidP="009C13A9">
            <w:pPr>
              <w:spacing w:before="60" w:after="60"/>
              <w:rPr>
                <w:sz w:val="18"/>
                <w:szCs w:val="18"/>
                <w:lang w:val="bg-BG"/>
              </w:rPr>
            </w:pPr>
          </w:p>
        </w:tc>
        <w:tc>
          <w:tcPr>
            <w:tcW w:w="1069"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r>
      <w:tr w:rsidR="009C13A9" w:rsidRPr="009072DA" w:rsidTr="009C13A9">
        <w:tc>
          <w:tcPr>
            <w:tcW w:w="1560" w:type="dxa"/>
          </w:tcPr>
          <w:p w:rsidR="009C13A9" w:rsidRPr="009072DA" w:rsidRDefault="009C13A9" w:rsidP="009C13A9">
            <w:pPr>
              <w:spacing w:before="60" w:after="60"/>
              <w:rPr>
                <w:sz w:val="18"/>
                <w:szCs w:val="18"/>
                <w:lang w:val="bg-BG"/>
              </w:rPr>
            </w:pPr>
            <w:r w:rsidRPr="009072DA">
              <w:rPr>
                <w:sz w:val="18"/>
                <w:lang w:val="bg-BG"/>
              </w:rPr>
              <w:t>Изходящ поток</w:t>
            </w:r>
          </w:p>
        </w:tc>
        <w:tc>
          <w:tcPr>
            <w:tcW w:w="1842" w:type="dxa"/>
            <w:vAlign w:val="center"/>
          </w:tcPr>
          <w:p w:rsidR="009C13A9" w:rsidRPr="009072DA" w:rsidRDefault="009C13A9" w:rsidP="009C13A9">
            <w:pPr>
              <w:spacing w:before="60" w:after="60"/>
              <w:rPr>
                <w:sz w:val="18"/>
                <w:szCs w:val="18"/>
                <w:lang w:val="bg-BG"/>
              </w:rPr>
            </w:pPr>
            <w:r w:rsidRPr="009072DA">
              <w:rPr>
                <w:sz w:val="18"/>
                <w:lang w:val="bg-BG"/>
              </w:rPr>
              <w:t>24-часови комбинирани проби</w:t>
            </w:r>
          </w:p>
        </w:tc>
        <w:tc>
          <w:tcPr>
            <w:tcW w:w="1058" w:type="dxa"/>
            <w:vAlign w:val="center"/>
          </w:tcPr>
          <w:p w:rsidR="009C13A9" w:rsidRPr="009072DA" w:rsidRDefault="009C13A9" w:rsidP="009C13A9">
            <w:pPr>
              <w:spacing w:before="60" w:after="60"/>
              <w:rPr>
                <w:sz w:val="18"/>
                <w:szCs w:val="18"/>
                <w:lang w:val="bg-BG"/>
              </w:rPr>
            </w:pPr>
          </w:p>
        </w:tc>
        <w:tc>
          <w:tcPr>
            <w:tcW w:w="992" w:type="dxa"/>
            <w:vAlign w:val="center"/>
          </w:tcPr>
          <w:p w:rsidR="009C13A9" w:rsidRPr="009072DA" w:rsidRDefault="009C13A9" w:rsidP="009C13A9">
            <w:pPr>
              <w:spacing w:before="60" w:after="60"/>
              <w:rPr>
                <w:sz w:val="18"/>
                <w:szCs w:val="18"/>
                <w:lang w:val="bg-BG"/>
              </w:rPr>
            </w:pPr>
          </w:p>
        </w:tc>
        <w:tc>
          <w:tcPr>
            <w:tcW w:w="1069"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c>
          <w:tcPr>
            <w:tcW w:w="1134" w:type="dxa"/>
          </w:tcPr>
          <w:p w:rsidR="009C13A9" w:rsidRPr="009072DA" w:rsidRDefault="009C13A9" w:rsidP="009C13A9">
            <w:pPr>
              <w:spacing w:before="60" w:after="60"/>
              <w:rPr>
                <w:sz w:val="18"/>
                <w:szCs w:val="18"/>
                <w:lang w:val="bg-BG"/>
              </w:rPr>
            </w:pPr>
          </w:p>
        </w:tc>
      </w:tr>
      <w:tr w:rsidR="009C13A9" w:rsidRPr="009072DA" w:rsidTr="009C13A9">
        <w:tc>
          <w:tcPr>
            <w:tcW w:w="1560" w:type="dxa"/>
            <w:vAlign w:val="center"/>
          </w:tcPr>
          <w:p w:rsidR="009C13A9" w:rsidRPr="009072DA" w:rsidRDefault="009C13A9" w:rsidP="009C13A9">
            <w:pPr>
              <w:spacing w:before="60" w:after="60"/>
              <w:rPr>
                <w:sz w:val="18"/>
                <w:szCs w:val="18"/>
                <w:lang w:val="bg-BG"/>
              </w:rPr>
            </w:pPr>
            <w:r w:rsidRPr="009072DA">
              <w:rPr>
                <w:sz w:val="18"/>
                <w:lang w:val="bg-BG"/>
              </w:rPr>
              <w:t>Входящ поток</w:t>
            </w:r>
          </w:p>
        </w:tc>
        <w:tc>
          <w:tcPr>
            <w:tcW w:w="1842" w:type="dxa"/>
            <w:vAlign w:val="center"/>
          </w:tcPr>
          <w:p w:rsidR="009C13A9" w:rsidRPr="009072DA" w:rsidRDefault="009C13A9" w:rsidP="009C13A9">
            <w:pPr>
              <w:spacing w:before="60" w:after="60"/>
              <w:rPr>
                <w:sz w:val="18"/>
                <w:szCs w:val="18"/>
                <w:lang w:val="bg-BG"/>
              </w:rPr>
            </w:pPr>
            <w:r w:rsidRPr="009072DA">
              <w:rPr>
                <w:sz w:val="18"/>
                <w:lang w:val="bg-BG"/>
              </w:rPr>
              <w:t>Случайни проби</w:t>
            </w:r>
          </w:p>
        </w:tc>
        <w:tc>
          <w:tcPr>
            <w:tcW w:w="1058" w:type="dxa"/>
            <w:vAlign w:val="center"/>
          </w:tcPr>
          <w:p w:rsidR="009C13A9" w:rsidRPr="009072DA" w:rsidRDefault="009C13A9" w:rsidP="009C13A9">
            <w:pPr>
              <w:spacing w:before="60" w:after="60"/>
              <w:jc w:val="center"/>
              <w:rPr>
                <w:sz w:val="18"/>
                <w:szCs w:val="18"/>
                <w:lang w:val="bg-BG"/>
              </w:rPr>
            </w:pPr>
            <w:r w:rsidRPr="009072DA">
              <w:rPr>
                <w:sz w:val="18"/>
                <w:lang w:val="bg-BG"/>
              </w:rPr>
              <w:t>--</w:t>
            </w:r>
          </w:p>
        </w:tc>
        <w:tc>
          <w:tcPr>
            <w:tcW w:w="992" w:type="dxa"/>
            <w:vAlign w:val="center"/>
          </w:tcPr>
          <w:p w:rsidR="009C13A9" w:rsidRPr="009072DA" w:rsidRDefault="009C13A9" w:rsidP="009C13A9">
            <w:pPr>
              <w:spacing w:before="60" w:after="60"/>
              <w:rPr>
                <w:sz w:val="18"/>
                <w:szCs w:val="18"/>
                <w:lang w:val="bg-BG"/>
              </w:rPr>
            </w:pPr>
          </w:p>
        </w:tc>
        <w:tc>
          <w:tcPr>
            <w:tcW w:w="1069"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r>
      <w:tr w:rsidR="009C13A9" w:rsidRPr="009072DA" w:rsidTr="009C13A9">
        <w:tc>
          <w:tcPr>
            <w:tcW w:w="1560" w:type="dxa"/>
          </w:tcPr>
          <w:p w:rsidR="009C13A9" w:rsidRPr="009072DA" w:rsidRDefault="009C13A9" w:rsidP="009C13A9">
            <w:pPr>
              <w:spacing w:before="60" w:after="60"/>
              <w:rPr>
                <w:sz w:val="18"/>
                <w:szCs w:val="18"/>
                <w:lang w:val="bg-BG"/>
              </w:rPr>
            </w:pPr>
            <w:r w:rsidRPr="009072DA">
              <w:rPr>
                <w:sz w:val="18"/>
                <w:lang w:val="bg-BG"/>
              </w:rPr>
              <w:lastRenderedPageBreak/>
              <w:t>Изходящ поток</w:t>
            </w:r>
          </w:p>
        </w:tc>
        <w:tc>
          <w:tcPr>
            <w:tcW w:w="1842" w:type="dxa"/>
            <w:vAlign w:val="center"/>
          </w:tcPr>
          <w:p w:rsidR="009C13A9" w:rsidRPr="009072DA" w:rsidRDefault="009C13A9" w:rsidP="009C13A9">
            <w:pPr>
              <w:spacing w:before="60" w:after="60"/>
              <w:rPr>
                <w:sz w:val="18"/>
                <w:szCs w:val="18"/>
                <w:lang w:val="bg-BG"/>
              </w:rPr>
            </w:pPr>
            <w:r w:rsidRPr="009072DA">
              <w:rPr>
                <w:sz w:val="18"/>
                <w:lang w:val="bg-BG"/>
              </w:rPr>
              <w:t>Случайни проби</w:t>
            </w:r>
          </w:p>
        </w:tc>
        <w:tc>
          <w:tcPr>
            <w:tcW w:w="1058" w:type="dxa"/>
            <w:vAlign w:val="center"/>
          </w:tcPr>
          <w:p w:rsidR="009C13A9" w:rsidRPr="009072DA" w:rsidRDefault="009C13A9" w:rsidP="009C13A9">
            <w:pPr>
              <w:spacing w:before="60" w:after="60"/>
              <w:rPr>
                <w:sz w:val="18"/>
                <w:szCs w:val="18"/>
                <w:lang w:val="bg-BG"/>
              </w:rPr>
            </w:pPr>
          </w:p>
        </w:tc>
        <w:tc>
          <w:tcPr>
            <w:tcW w:w="992" w:type="dxa"/>
            <w:vAlign w:val="center"/>
          </w:tcPr>
          <w:p w:rsidR="009C13A9" w:rsidRPr="009072DA" w:rsidRDefault="009C13A9" w:rsidP="009C13A9">
            <w:pPr>
              <w:spacing w:before="60" w:after="60"/>
              <w:rPr>
                <w:sz w:val="18"/>
                <w:szCs w:val="18"/>
                <w:lang w:val="bg-BG"/>
              </w:rPr>
            </w:pPr>
          </w:p>
        </w:tc>
        <w:tc>
          <w:tcPr>
            <w:tcW w:w="1069"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c>
          <w:tcPr>
            <w:tcW w:w="1134" w:type="dxa"/>
          </w:tcPr>
          <w:p w:rsidR="009C13A9" w:rsidRPr="009072DA" w:rsidRDefault="009C13A9" w:rsidP="009C13A9">
            <w:pPr>
              <w:spacing w:before="60" w:after="60"/>
              <w:rPr>
                <w:sz w:val="18"/>
                <w:szCs w:val="18"/>
                <w:lang w:val="bg-BG"/>
              </w:rPr>
            </w:pPr>
          </w:p>
        </w:tc>
      </w:tr>
    </w:tbl>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 xml:space="preserve">Оценка на стойностите за </w:t>
      </w:r>
      <w:r w:rsidRPr="009072DA">
        <w:rPr>
          <w:b/>
          <w:color w:val="000000"/>
          <w:lang w:val="bg-BG"/>
        </w:rPr>
        <w:t xml:space="preserve">ХПК </w:t>
      </w:r>
      <w:r w:rsidRPr="009072DA">
        <w:rPr>
          <w:color w:val="000000"/>
          <w:lang w:val="bg-BG"/>
        </w:rPr>
        <w:t xml:space="preserve"> за изходящия поток (mg/l)</w:t>
      </w:r>
    </w:p>
    <w:p w:rsidR="009C13A9" w:rsidRPr="009072DA" w:rsidRDefault="009C13A9" w:rsidP="009C13A9">
      <w:pPr>
        <w:spacing w:line="240" w:lineRule="atLeast"/>
        <w:rPr>
          <w:rFonts w:cs="Arial"/>
          <w:color w:val="000000"/>
          <w:lang w:val="bg-BG"/>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9072DA" w:rsidTr="009C13A9">
        <w:tc>
          <w:tcPr>
            <w:tcW w:w="1560" w:type="dxa"/>
            <w:vMerge w:val="restart"/>
          </w:tcPr>
          <w:p w:rsidR="009C13A9" w:rsidRPr="009072DA" w:rsidRDefault="00390107" w:rsidP="009C13A9">
            <w:pPr>
              <w:spacing w:before="60" w:after="60"/>
              <w:rPr>
                <w:sz w:val="18"/>
                <w:szCs w:val="18"/>
                <w:lang w:val="bg-BG"/>
              </w:rPr>
            </w:pPr>
            <w:r w:rsidRPr="009072DA">
              <w:rPr>
                <w:sz w:val="18"/>
                <w:lang w:val="bg-BG"/>
              </w:rPr>
              <w:t>Местоположение</w:t>
            </w:r>
          </w:p>
        </w:tc>
        <w:tc>
          <w:tcPr>
            <w:tcW w:w="1842" w:type="dxa"/>
            <w:vMerge w:val="restart"/>
          </w:tcPr>
          <w:p w:rsidR="009C13A9" w:rsidRPr="009072DA" w:rsidRDefault="009C13A9" w:rsidP="009C13A9">
            <w:pPr>
              <w:spacing w:before="60" w:after="60"/>
              <w:jc w:val="center"/>
              <w:rPr>
                <w:sz w:val="18"/>
                <w:szCs w:val="18"/>
                <w:lang w:val="bg-BG"/>
              </w:rPr>
            </w:pPr>
            <w:r w:rsidRPr="009072DA">
              <w:rPr>
                <w:sz w:val="18"/>
                <w:lang w:val="bg-BG"/>
              </w:rPr>
              <w:t>Вид на пробата</w:t>
            </w:r>
          </w:p>
        </w:tc>
        <w:tc>
          <w:tcPr>
            <w:tcW w:w="1058" w:type="dxa"/>
            <w:vMerge w:val="restart"/>
          </w:tcPr>
          <w:p w:rsidR="009C13A9" w:rsidRPr="009072DA" w:rsidRDefault="009C13A9" w:rsidP="009C13A9">
            <w:pPr>
              <w:spacing w:before="60" w:after="60"/>
              <w:jc w:val="center"/>
              <w:rPr>
                <w:sz w:val="18"/>
                <w:szCs w:val="18"/>
                <w:lang w:val="bg-BG"/>
              </w:rPr>
            </w:pPr>
            <w:r w:rsidRPr="009072DA">
              <w:rPr>
                <w:sz w:val="18"/>
                <w:lang w:val="bg-BG"/>
              </w:rPr>
              <w:t>Брой на изпитванията, при които са спазени пределните стойности</w:t>
            </w:r>
          </w:p>
        </w:tc>
        <w:tc>
          <w:tcPr>
            <w:tcW w:w="992" w:type="dxa"/>
            <w:vMerge w:val="restart"/>
          </w:tcPr>
          <w:p w:rsidR="009C13A9" w:rsidRPr="009072DA" w:rsidRDefault="009C13A9" w:rsidP="009C13A9">
            <w:pPr>
              <w:spacing w:before="60" w:after="60"/>
              <w:jc w:val="center"/>
              <w:rPr>
                <w:sz w:val="18"/>
                <w:szCs w:val="18"/>
                <w:lang w:val="bg-BG"/>
              </w:rPr>
            </w:pPr>
            <w:r w:rsidRPr="009072DA">
              <w:rPr>
                <w:sz w:val="18"/>
                <w:lang w:val="bg-BG"/>
              </w:rPr>
              <w:t>Мин.</w:t>
            </w:r>
          </w:p>
        </w:tc>
        <w:tc>
          <w:tcPr>
            <w:tcW w:w="2203" w:type="dxa"/>
            <w:gridSpan w:val="2"/>
          </w:tcPr>
          <w:p w:rsidR="009C13A9" w:rsidRPr="009072DA" w:rsidRDefault="009C13A9" w:rsidP="009C13A9">
            <w:pPr>
              <w:spacing w:before="60" w:after="60"/>
              <w:jc w:val="center"/>
              <w:rPr>
                <w:sz w:val="18"/>
                <w:szCs w:val="18"/>
                <w:lang w:val="bg-BG"/>
              </w:rPr>
            </w:pPr>
            <w:r w:rsidRPr="009072DA">
              <w:rPr>
                <w:sz w:val="18"/>
                <w:lang w:val="bg-BG"/>
              </w:rPr>
              <w:t>Макс.</w:t>
            </w:r>
          </w:p>
        </w:tc>
        <w:tc>
          <w:tcPr>
            <w:tcW w:w="1134" w:type="dxa"/>
            <w:vMerge w:val="restart"/>
          </w:tcPr>
          <w:p w:rsidR="009C13A9" w:rsidRPr="009072DA" w:rsidRDefault="009C13A9" w:rsidP="009C13A9">
            <w:pPr>
              <w:spacing w:before="60" w:after="60"/>
              <w:jc w:val="center"/>
              <w:rPr>
                <w:sz w:val="18"/>
                <w:szCs w:val="18"/>
                <w:lang w:val="bg-BG"/>
              </w:rPr>
            </w:pPr>
            <w:r w:rsidRPr="009072DA">
              <w:rPr>
                <w:sz w:val="18"/>
                <w:lang w:val="bg-BG"/>
              </w:rPr>
              <w:t>Средно</w:t>
            </w:r>
          </w:p>
        </w:tc>
      </w:tr>
      <w:tr w:rsidR="009C13A9" w:rsidRPr="009072DA" w:rsidTr="009C13A9">
        <w:tc>
          <w:tcPr>
            <w:tcW w:w="1560" w:type="dxa"/>
            <w:vMerge/>
          </w:tcPr>
          <w:p w:rsidR="009C13A9" w:rsidRPr="009072DA" w:rsidRDefault="009C13A9" w:rsidP="009C13A9">
            <w:pPr>
              <w:spacing w:before="60" w:after="60"/>
              <w:rPr>
                <w:sz w:val="18"/>
                <w:szCs w:val="18"/>
                <w:lang w:val="bg-BG"/>
              </w:rPr>
            </w:pPr>
          </w:p>
        </w:tc>
        <w:tc>
          <w:tcPr>
            <w:tcW w:w="1842" w:type="dxa"/>
            <w:vMerge/>
          </w:tcPr>
          <w:p w:rsidR="009C13A9" w:rsidRPr="009072DA" w:rsidRDefault="009C13A9" w:rsidP="009C13A9">
            <w:pPr>
              <w:spacing w:before="60" w:after="60"/>
              <w:rPr>
                <w:sz w:val="18"/>
                <w:szCs w:val="18"/>
                <w:lang w:val="bg-BG"/>
              </w:rPr>
            </w:pPr>
          </w:p>
        </w:tc>
        <w:tc>
          <w:tcPr>
            <w:tcW w:w="1058" w:type="dxa"/>
            <w:vMerge/>
          </w:tcPr>
          <w:p w:rsidR="009C13A9" w:rsidRPr="009072DA" w:rsidRDefault="009C13A9" w:rsidP="009C13A9">
            <w:pPr>
              <w:spacing w:before="60" w:after="60"/>
              <w:rPr>
                <w:sz w:val="18"/>
                <w:szCs w:val="18"/>
                <w:lang w:val="bg-BG"/>
              </w:rPr>
            </w:pPr>
          </w:p>
        </w:tc>
        <w:tc>
          <w:tcPr>
            <w:tcW w:w="992" w:type="dxa"/>
            <w:vMerge/>
          </w:tcPr>
          <w:p w:rsidR="009C13A9" w:rsidRPr="009072DA" w:rsidRDefault="009C13A9" w:rsidP="009C13A9">
            <w:pPr>
              <w:spacing w:before="60" w:after="60"/>
              <w:rPr>
                <w:sz w:val="18"/>
                <w:szCs w:val="18"/>
                <w:lang w:val="bg-BG"/>
              </w:rPr>
            </w:pPr>
          </w:p>
        </w:tc>
        <w:tc>
          <w:tcPr>
            <w:tcW w:w="1069" w:type="dxa"/>
          </w:tcPr>
          <w:p w:rsidR="009C13A9" w:rsidRPr="009072DA" w:rsidRDefault="009C13A9" w:rsidP="009C13A9">
            <w:pPr>
              <w:spacing w:before="60" w:after="60"/>
              <w:jc w:val="center"/>
              <w:rPr>
                <w:sz w:val="18"/>
                <w:szCs w:val="18"/>
                <w:lang w:val="bg-BG"/>
              </w:rPr>
            </w:pPr>
            <w:r w:rsidRPr="009072DA">
              <w:rPr>
                <w:sz w:val="18"/>
                <w:lang w:val="bg-BG"/>
              </w:rPr>
              <w:t>Стойност</w:t>
            </w:r>
          </w:p>
        </w:tc>
        <w:tc>
          <w:tcPr>
            <w:tcW w:w="1134" w:type="dxa"/>
          </w:tcPr>
          <w:p w:rsidR="009C13A9" w:rsidRPr="009072DA" w:rsidRDefault="009C13A9" w:rsidP="009C13A9">
            <w:pPr>
              <w:spacing w:before="60" w:after="60"/>
              <w:jc w:val="center"/>
              <w:rPr>
                <w:sz w:val="18"/>
                <w:szCs w:val="18"/>
                <w:lang w:val="bg-BG"/>
              </w:rPr>
            </w:pPr>
            <w:r w:rsidRPr="009072DA">
              <w:rPr>
                <w:sz w:val="18"/>
                <w:lang w:val="bg-BG"/>
              </w:rPr>
              <w:t>Фаза</w:t>
            </w:r>
          </w:p>
        </w:tc>
        <w:tc>
          <w:tcPr>
            <w:tcW w:w="1134" w:type="dxa"/>
            <w:vMerge/>
          </w:tcPr>
          <w:p w:rsidR="009C13A9" w:rsidRPr="009072DA" w:rsidRDefault="009C13A9" w:rsidP="009C13A9">
            <w:pPr>
              <w:spacing w:before="60" w:after="60"/>
              <w:rPr>
                <w:sz w:val="18"/>
                <w:szCs w:val="18"/>
                <w:lang w:val="bg-BG"/>
              </w:rPr>
            </w:pPr>
          </w:p>
        </w:tc>
      </w:tr>
      <w:tr w:rsidR="009C13A9" w:rsidRPr="009072DA" w:rsidTr="009C13A9">
        <w:tc>
          <w:tcPr>
            <w:tcW w:w="1560" w:type="dxa"/>
            <w:vAlign w:val="center"/>
          </w:tcPr>
          <w:p w:rsidR="009C13A9" w:rsidRPr="009072DA" w:rsidRDefault="009C13A9" w:rsidP="009C13A9">
            <w:pPr>
              <w:spacing w:before="60" w:after="60"/>
              <w:rPr>
                <w:sz w:val="18"/>
                <w:szCs w:val="18"/>
                <w:lang w:val="bg-BG"/>
              </w:rPr>
            </w:pPr>
            <w:r w:rsidRPr="009072DA">
              <w:rPr>
                <w:sz w:val="18"/>
                <w:lang w:val="bg-BG"/>
              </w:rPr>
              <w:t>Входящ поток</w:t>
            </w:r>
          </w:p>
        </w:tc>
        <w:tc>
          <w:tcPr>
            <w:tcW w:w="1842" w:type="dxa"/>
            <w:vAlign w:val="center"/>
          </w:tcPr>
          <w:p w:rsidR="009C13A9" w:rsidRPr="009072DA" w:rsidRDefault="009C13A9" w:rsidP="009C13A9">
            <w:pPr>
              <w:spacing w:before="60" w:after="60"/>
              <w:rPr>
                <w:sz w:val="18"/>
                <w:szCs w:val="18"/>
                <w:lang w:val="bg-BG"/>
              </w:rPr>
            </w:pPr>
            <w:r w:rsidRPr="009072DA">
              <w:rPr>
                <w:sz w:val="18"/>
                <w:lang w:val="bg-BG"/>
              </w:rPr>
              <w:t>24-часови комбинирани проби</w:t>
            </w:r>
          </w:p>
        </w:tc>
        <w:tc>
          <w:tcPr>
            <w:tcW w:w="1058" w:type="dxa"/>
            <w:vAlign w:val="center"/>
          </w:tcPr>
          <w:p w:rsidR="009C13A9" w:rsidRPr="009072DA" w:rsidRDefault="009C13A9" w:rsidP="009C13A9">
            <w:pPr>
              <w:spacing w:before="60" w:after="60"/>
              <w:jc w:val="center"/>
              <w:rPr>
                <w:sz w:val="18"/>
                <w:szCs w:val="18"/>
                <w:lang w:val="bg-BG"/>
              </w:rPr>
            </w:pPr>
            <w:r w:rsidRPr="009072DA">
              <w:rPr>
                <w:sz w:val="18"/>
                <w:lang w:val="bg-BG"/>
              </w:rPr>
              <w:t>--</w:t>
            </w:r>
          </w:p>
        </w:tc>
        <w:tc>
          <w:tcPr>
            <w:tcW w:w="992" w:type="dxa"/>
            <w:vAlign w:val="center"/>
          </w:tcPr>
          <w:p w:rsidR="009C13A9" w:rsidRPr="009072DA" w:rsidRDefault="009C13A9" w:rsidP="009C13A9">
            <w:pPr>
              <w:spacing w:before="60" w:after="60"/>
              <w:rPr>
                <w:sz w:val="18"/>
                <w:szCs w:val="18"/>
                <w:lang w:val="bg-BG"/>
              </w:rPr>
            </w:pPr>
          </w:p>
        </w:tc>
        <w:tc>
          <w:tcPr>
            <w:tcW w:w="1069"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r>
      <w:tr w:rsidR="009C13A9" w:rsidRPr="009072DA" w:rsidTr="009C13A9">
        <w:tc>
          <w:tcPr>
            <w:tcW w:w="1560" w:type="dxa"/>
          </w:tcPr>
          <w:p w:rsidR="009C13A9" w:rsidRPr="009072DA" w:rsidRDefault="009C13A9" w:rsidP="009C13A9">
            <w:pPr>
              <w:spacing w:before="60" w:after="60"/>
              <w:rPr>
                <w:sz w:val="18"/>
                <w:szCs w:val="18"/>
                <w:lang w:val="bg-BG"/>
              </w:rPr>
            </w:pPr>
            <w:r w:rsidRPr="009072DA">
              <w:rPr>
                <w:sz w:val="18"/>
                <w:lang w:val="bg-BG"/>
              </w:rPr>
              <w:t>Изходящ поток</w:t>
            </w:r>
          </w:p>
        </w:tc>
        <w:tc>
          <w:tcPr>
            <w:tcW w:w="1842" w:type="dxa"/>
            <w:vAlign w:val="center"/>
          </w:tcPr>
          <w:p w:rsidR="009C13A9" w:rsidRPr="009072DA" w:rsidRDefault="009C13A9" w:rsidP="009C13A9">
            <w:pPr>
              <w:spacing w:before="60" w:after="60"/>
              <w:rPr>
                <w:sz w:val="18"/>
                <w:szCs w:val="18"/>
                <w:lang w:val="bg-BG"/>
              </w:rPr>
            </w:pPr>
            <w:r w:rsidRPr="009072DA">
              <w:rPr>
                <w:sz w:val="18"/>
                <w:lang w:val="bg-BG"/>
              </w:rPr>
              <w:t>24-часови комбинирани проби</w:t>
            </w:r>
          </w:p>
        </w:tc>
        <w:tc>
          <w:tcPr>
            <w:tcW w:w="1058" w:type="dxa"/>
            <w:vAlign w:val="center"/>
          </w:tcPr>
          <w:p w:rsidR="009C13A9" w:rsidRPr="009072DA" w:rsidRDefault="009C13A9" w:rsidP="009C13A9">
            <w:pPr>
              <w:spacing w:before="60" w:after="60"/>
              <w:rPr>
                <w:sz w:val="18"/>
                <w:szCs w:val="18"/>
                <w:lang w:val="bg-BG"/>
              </w:rPr>
            </w:pPr>
          </w:p>
        </w:tc>
        <w:tc>
          <w:tcPr>
            <w:tcW w:w="992" w:type="dxa"/>
            <w:vAlign w:val="center"/>
          </w:tcPr>
          <w:p w:rsidR="009C13A9" w:rsidRPr="009072DA" w:rsidRDefault="009C13A9" w:rsidP="009C13A9">
            <w:pPr>
              <w:spacing w:before="60" w:after="60"/>
              <w:rPr>
                <w:sz w:val="18"/>
                <w:szCs w:val="18"/>
                <w:lang w:val="bg-BG"/>
              </w:rPr>
            </w:pPr>
          </w:p>
        </w:tc>
        <w:tc>
          <w:tcPr>
            <w:tcW w:w="1069"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r>
      <w:tr w:rsidR="009C13A9" w:rsidRPr="009072DA" w:rsidTr="009C13A9">
        <w:tc>
          <w:tcPr>
            <w:tcW w:w="1560" w:type="dxa"/>
            <w:vAlign w:val="center"/>
          </w:tcPr>
          <w:p w:rsidR="009C13A9" w:rsidRPr="009072DA" w:rsidRDefault="009C13A9" w:rsidP="009C13A9">
            <w:pPr>
              <w:spacing w:before="60" w:after="60"/>
              <w:rPr>
                <w:sz w:val="18"/>
                <w:szCs w:val="18"/>
                <w:lang w:val="bg-BG"/>
              </w:rPr>
            </w:pPr>
            <w:r w:rsidRPr="009072DA">
              <w:rPr>
                <w:sz w:val="18"/>
                <w:lang w:val="bg-BG"/>
              </w:rPr>
              <w:t>Входящ поток</w:t>
            </w:r>
          </w:p>
        </w:tc>
        <w:tc>
          <w:tcPr>
            <w:tcW w:w="1842" w:type="dxa"/>
            <w:vAlign w:val="center"/>
          </w:tcPr>
          <w:p w:rsidR="009C13A9" w:rsidRPr="009072DA" w:rsidRDefault="009C13A9" w:rsidP="009C13A9">
            <w:pPr>
              <w:spacing w:before="60" w:after="60"/>
              <w:rPr>
                <w:sz w:val="18"/>
                <w:szCs w:val="18"/>
                <w:lang w:val="bg-BG"/>
              </w:rPr>
            </w:pPr>
            <w:r w:rsidRPr="009072DA">
              <w:rPr>
                <w:sz w:val="18"/>
                <w:lang w:val="bg-BG"/>
              </w:rPr>
              <w:t>Случайни проби</w:t>
            </w:r>
          </w:p>
        </w:tc>
        <w:tc>
          <w:tcPr>
            <w:tcW w:w="1058" w:type="dxa"/>
            <w:vAlign w:val="center"/>
          </w:tcPr>
          <w:p w:rsidR="009C13A9" w:rsidRPr="009072DA" w:rsidRDefault="009C13A9" w:rsidP="009C13A9">
            <w:pPr>
              <w:spacing w:before="60" w:after="60"/>
              <w:jc w:val="center"/>
              <w:rPr>
                <w:sz w:val="18"/>
                <w:szCs w:val="18"/>
                <w:lang w:val="bg-BG"/>
              </w:rPr>
            </w:pPr>
            <w:r w:rsidRPr="009072DA">
              <w:rPr>
                <w:sz w:val="18"/>
                <w:lang w:val="bg-BG"/>
              </w:rPr>
              <w:t>--</w:t>
            </w:r>
          </w:p>
        </w:tc>
        <w:tc>
          <w:tcPr>
            <w:tcW w:w="992" w:type="dxa"/>
            <w:vAlign w:val="center"/>
          </w:tcPr>
          <w:p w:rsidR="009C13A9" w:rsidRPr="009072DA" w:rsidRDefault="009C13A9" w:rsidP="009C13A9">
            <w:pPr>
              <w:spacing w:before="60" w:after="60"/>
              <w:rPr>
                <w:sz w:val="18"/>
                <w:szCs w:val="18"/>
                <w:lang w:val="bg-BG"/>
              </w:rPr>
            </w:pPr>
          </w:p>
        </w:tc>
        <w:tc>
          <w:tcPr>
            <w:tcW w:w="1069"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r>
      <w:tr w:rsidR="009C13A9" w:rsidRPr="009072DA" w:rsidTr="009C13A9">
        <w:tc>
          <w:tcPr>
            <w:tcW w:w="1560" w:type="dxa"/>
          </w:tcPr>
          <w:p w:rsidR="009C13A9" w:rsidRPr="009072DA" w:rsidRDefault="009C13A9" w:rsidP="009C13A9">
            <w:pPr>
              <w:spacing w:before="60" w:after="60"/>
              <w:rPr>
                <w:sz w:val="18"/>
                <w:szCs w:val="18"/>
                <w:lang w:val="bg-BG"/>
              </w:rPr>
            </w:pPr>
            <w:r w:rsidRPr="009072DA">
              <w:rPr>
                <w:sz w:val="18"/>
                <w:lang w:val="bg-BG"/>
              </w:rPr>
              <w:t>Изходящ поток</w:t>
            </w:r>
          </w:p>
        </w:tc>
        <w:tc>
          <w:tcPr>
            <w:tcW w:w="1842" w:type="dxa"/>
            <w:vAlign w:val="center"/>
          </w:tcPr>
          <w:p w:rsidR="009C13A9" w:rsidRPr="009072DA" w:rsidRDefault="009C13A9" w:rsidP="009C13A9">
            <w:pPr>
              <w:spacing w:before="60" w:after="60"/>
              <w:rPr>
                <w:sz w:val="18"/>
                <w:szCs w:val="18"/>
                <w:lang w:val="bg-BG"/>
              </w:rPr>
            </w:pPr>
            <w:r w:rsidRPr="009072DA">
              <w:rPr>
                <w:sz w:val="18"/>
                <w:lang w:val="bg-BG"/>
              </w:rPr>
              <w:t>Случайни проби</w:t>
            </w:r>
          </w:p>
        </w:tc>
        <w:tc>
          <w:tcPr>
            <w:tcW w:w="1058" w:type="dxa"/>
            <w:vAlign w:val="center"/>
          </w:tcPr>
          <w:p w:rsidR="009C13A9" w:rsidRPr="009072DA" w:rsidRDefault="009C13A9" w:rsidP="009C13A9">
            <w:pPr>
              <w:spacing w:before="60" w:after="60"/>
              <w:rPr>
                <w:sz w:val="18"/>
                <w:szCs w:val="18"/>
                <w:lang w:val="bg-BG"/>
              </w:rPr>
            </w:pPr>
          </w:p>
        </w:tc>
        <w:tc>
          <w:tcPr>
            <w:tcW w:w="992" w:type="dxa"/>
            <w:vAlign w:val="center"/>
          </w:tcPr>
          <w:p w:rsidR="009C13A9" w:rsidRPr="009072DA" w:rsidRDefault="009C13A9" w:rsidP="009C13A9">
            <w:pPr>
              <w:spacing w:before="60" w:after="60"/>
              <w:rPr>
                <w:sz w:val="18"/>
                <w:szCs w:val="18"/>
                <w:lang w:val="bg-BG"/>
              </w:rPr>
            </w:pPr>
          </w:p>
        </w:tc>
        <w:tc>
          <w:tcPr>
            <w:tcW w:w="1069"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r>
    </w:tbl>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lang w:val="bg-BG"/>
        </w:rPr>
        <w:br w:type="page"/>
      </w:r>
    </w:p>
    <w:p w:rsidR="009C13A9" w:rsidRPr="009072DA" w:rsidRDefault="009C13A9" w:rsidP="009C13A9">
      <w:pPr>
        <w:spacing w:line="240" w:lineRule="atLeast"/>
        <w:rPr>
          <w:rFonts w:cs="Arial"/>
          <w:color w:val="000000"/>
          <w:lang w:val="bg-BG"/>
        </w:rPr>
      </w:pPr>
      <w:r w:rsidRPr="009072DA">
        <w:rPr>
          <w:color w:val="000000"/>
          <w:lang w:val="bg-BG"/>
        </w:rPr>
        <w:lastRenderedPageBreak/>
        <w:t xml:space="preserve">Оценка на стойностите за </w:t>
      </w:r>
      <w:r w:rsidRPr="009072DA">
        <w:rPr>
          <w:b/>
          <w:color w:val="000000"/>
          <w:lang w:val="bg-BG"/>
        </w:rPr>
        <w:t>ОСОВ</w:t>
      </w:r>
      <w:r w:rsidRPr="009072DA">
        <w:rPr>
          <w:color w:val="000000"/>
          <w:lang w:val="bg-BG"/>
        </w:rPr>
        <w:t xml:space="preserve"> за изходящия поток (mg/l)</w:t>
      </w:r>
    </w:p>
    <w:p w:rsidR="009C13A9" w:rsidRPr="009072DA" w:rsidRDefault="009C13A9" w:rsidP="009C13A9">
      <w:pPr>
        <w:spacing w:line="240" w:lineRule="atLeast"/>
        <w:rPr>
          <w:rFonts w:cs="Arial"/>
          <w:color w:val="000000"/>
          <w:lang w:val="bg-BG"/>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9072DA" w:rsidTr="009C13A9">
        <w:tc>
          <w:tcPr>
            <w:tcW w:w="1560" w:type="dxa"/>
            <w:vMerge w:val="restart"/>
          </w:tcPr>
          <w:p w:rsidR="009C13A9" w:rsidRPr="009072DA" w:rsidRDefault="00390107" w:rsidP="009C13A9">
            <w:pPr>
              <w:spacing w:before="60" w:after="60"/>
              <w:rPr>
                <w:sz w:val="18"/>
                <w:szCs w:val="18"/>
                <w:lang w:val="bg-BG"/>
              </w:rPr>
            </w:pPr>
            <w:r w:rsidRPr="009072DA">
              <w:rPr>
                <w:sz w:val="18"/>
                <w:lang w:val="bg-BG"/>
              </w:rPr>
              <w:t>Местоположение</w:t>
            </w:r>
          </w:p>
        </w:tc>
        <w:tc>
          <w:tcPr>
            <w:tcW w:w="1842" w:type="dxa"/>
            <w:vMerge w:val="restart"/>
          </w:tcPr>
          <w:p w:rsidR="009C13A9" w:rsidRPr="009072DA" w:rsidRDefault="009C13A9" w:rsidP="009C13A9">
            <w:pPr>
              <w:spacing w:before="60" w:after="60"/>
              <w:jc w:val="center"/>
              <w:rPr>
                <w:sz w:val="18"/>
                <w:szCs w:val="18"/>
                <w:lang w:val="bg-BG"/>
              </w:rPr>
            </w:pPr>
            <w:r w:rsidRPr="009072DA">
              <w:rPr>
                <w:sz w:val="18"/>
                <w:lang w:val="bg-BG"/>
              </w:rPr>
              <w:t>Вид на пробата</w:t>
            </w:r>
          </w:p>
        </w:tc>
        <w:tc>
          <w:tcPr>
            <w:tcW w:w="1058" w:type="dxa"/>
            <w:vMerge w:val="restart"/>
          </w:tcPr>
          <w:p w:rsidR="009C13A9" w:rsidRPr="009072DA" w:rsidRDefault="009C13A9" w:rsidP="009C13A9">
            <w:pPr>
              <w:spacing w:before="60" w:after="60"/>
              <w:jc w:val="center"/>
              <w:rPr>
                <w:sz w:val="18"/>
                <w:szCs w:val="18"/>
                <w:lang w:val="bg-BG"/>
              </w:rPr>
            </w:pPr>
            <w:r w:rsidRPr="009072DA">
              <w:rPr>
                <w:sz w:val="18"/>
                <w:lang w:val="bg-BG"/>
              </w:rPr>
              <w:t>Брой на изпитванията, при които са спазени пределните стойности</w:t>
            </w:r>
          </w:p>
        </w:tc>
        <w:tc>
          <w:tcPr>
            <w:tcW w:w="992" w:type="dxa"/>
            <w:vMerge w:val="restart"/>
          </w:tcPr>
          <w:p w:rsidR="009C13A9" w:rsidRPr="009072DA" w:rsidRDefault="009C13A9" w:rsidP="009C13A9">
            <w:pPr>
              <w:spacing w:before="60" w:after="60"/>
              <w:jc w:val="center"/>
              <w:rPr>
                <w:sz w:val="18"/>
                <w:szCs w:val="18"/>
                <w:lang w:val="bg-BG"/>
              </w:rPr>
            </w:pPr>
            <w:r w:rsidRPr="009072DA">
              <w:rPr>
                <w:sz w:val="18"/>
                <w:lang w:val="bg-BG"/>
              </w:rPr>
              <w:t>Мин.</w:t>
            </w:r>
          </w:p>
        </w:tc>
        <w:tc>
          <w:tcPr>
            <w:tcW w:w="2203" w:type="dxa"/>
            <w:gridSpan w:val="2"/>
          </w:tcPr>
          <w:p w:rsidR="009C13A9" w:rsidRPr="009072DA" w:rsidRDefault="009C13A9" w:rsidP="009C13A9">
            <w:pPr>
              <w:spacing w:before="60" w:after="60"/>
              <w:jc w:val="center"/>
              <w:rPr>
                <w:sz w:val="18"/>
                <w:szCs w:val="18"/>
                <w:lang w:val="bg-BG"/>
              </w:rPr>
            </w:pPr>
            <w:r w:rsidRPr="009072DA">
              <w:rPr>
                <w:sz w:val="18"/>
                <w:lang w:val="bg-BG"/>
              </w:rPr>
              <w:t>Макс.</w:t>
            </w:r>
          </w:p>
        </w:tc>
        <w:tc>
          <w:tcPr>
            <w:tcW w:w="1134" w:type="dxa"/>
            <w:vMerge w:val="restart"/>
          </w:tcPr>
          <w:p w:rsidR="009C13A9" w:rsidRPr="009072DA" w:rsidRDefault="009C13A9" w:rsidP="009C13A9">
            <w:pPr>
              <w:spacing w:before="60" w:after="60"/>
              <w:jc w:val="center"/>
              <w:rPr>
                <w:sz w:val="18"/>
                <w:szCs w:val="18"/>
                <w:lang w:val="bg-BG"/>
              </w:rPr>
            </w:pPr>
            <w:r w:rsidRPr="009072DA">
              <w:rPr>
                <w:sz w:val="18"/>
                <w:lang w:val="bg-BG"/>
              </w:rPr>
              <w:t>Средно</w:t>
            </w:r>
          </w:p>
        </w:tc>
      </w:tr>
      <w:tr w:rsidR="009C13A9" w:rsidRPr="009072DA" w:rsidTr="009C13A9">
        <w:tc>
          <w:tcPr>
            <w:tcW w:w="1560" w:type="dxa"/>
            <w:vMerge/>
          </w:tcPr>
          <w:p w:rsidR="009C13A9" w:rsidRPr="009072DA" w:rsidRDefault="009C13A9" w:rsidP="009C13A9">
            <w:pPr>
              <w:spacing w:before="60" w:after="60"/>
              <w:rPr>
                <w:sz w:val="18"/>
                <w:szCs w:val="18"/>
                <w:lang w:val="bg-BG"/>
              </w:rPr>
            </w:pPr>
          </w:p>
        </w:tc>
        <w:tc>
          <w:tcPr>
            <w:tcW w:w="1842" w:type="dxa"/>
            <w:vMerge/>
          </w:tcPr>
          <w:p w:rsidR="009C13A9" w:rsidRPr="009072DA" w:rsidRDefault="009C13A9" w:rsidP="009C13A9">
            <w:pPr>
              <w:spacing w:before="60" w:after="60"/>
              <w:rPr>
                <w:sz w:val="18"/>
                <w:szCs w:val="18"/>
                <w:lang w:val="bg-BG"/>
              </w:rPr>
            </w:pPr>
          </w:p>
        </w:tc>
        <w:tc>
          <w:tcPr>
            <w:tcW w:w="1058" w:type="dxa"/>
            <w:vMerge/>
          </w:tcPr>
          <w:p w:rsidR="009C13A9" w:rsidRPr="009072DA" w:rsidRDefault="009C13A9" w:rsidP="009C13A9">
            <w:pPr>
              <w:spacing w:before="60" w:after="60"/>
              <w:rPr>
                <w:sz w:val="18"/>
                <w:szCs w:val="18"/>
                <w:lang w:val="bg-BG"/>
              </w:rPr>
            </w:pPr>
          </w:p>
        </w:tc>
        <w:tc>
          <w:tcPr>
            <w:tcW w:w="992" w:type="dxa"/>
            <w:vMerge/>
          </w:tcPr>
          <w:p w:rsidR="009C13A9" w:rsidRPr="009072DA" w:rsidRDefault="009C13A9" w:rsidP="009C13A9">
            <w:pPr>
              <w:spacing w:before="60" w:after="60"/>
              <w:rPr>
                <w:sz w:val="18"/>
                <w:szCs w:val="18"/>
                <w:lang w:val="bg-BG"/>
              </w:rPr>
            </w:pPr>
          </w:p>
        </w:tc>
        <w:tc>
          <w:tcPr>
            <w:tcW w:w="1069" w:type="dxa"/>
          </w:tcPr>
          <w:p w:rsidR="009C13A9" w:rsidRPr="009072DA" w:rsidRDefault="009C13A9" w:rsidP="009C13A9">
            <w:pPr>
              <w:spacing w:before="60" w:after="60"/>
              <w:jc w:val="center"/>
              <w:rPr>
                <w:sz w:val="18"/>
                <w:szCs w:val="18"/>
                <w:lang w:val="bg-BG"/>
              </w:rPr>
            </w:pPr>
            <w:r w:rsidRPr="009072DA">
              <w:rPr>
                <w:sz w:val="18"/>
                <w:lang w:val="bg-BG"/>
              </w:rPr>
              <w:t>Стойност</w:t>
            </w:r>
          </w:p>
        </w:tc>
        <w:tc>
          <w:tcPr>
            <w:tcW w:w="1134" w:type="dxa"/>
          </w:tcPr>
          <w:p w:rsidR="009C13A9" w:rsidRPr="009072DA" w:rsidRDefault="009C13A9" w:rsidP="009C13A9">
            <w:pPr>
              <w:spacing w:before="60" w:after="60"/>
              <w:jc w:val="center"/>
              <w:rPr>
                <w:sz w:val="18"/>
                <w:szCs w:val="18"/>
                <w:lang w:val="bg-BG"/>
              </w:rPr>
            </w:pPr>
            <w:r w:rsidRPr="009072DA">
              <w:rPr>
                <w:sz w:val="18"/>
                <w:lang w:val="bg-BG"/>
              </w:rPr>
              <w:t>Фаза</w:t>
            </w:r>
          </w:p>
        </w:tc>
        <w:tc>
          <w:tcPr>
            <w:tcW w:w="1134" w:type="dxa"/>
            <w:vMerge/>
          </w:tcPr>
          <w:p w:rsidR="009C13A9" w:rsidRPr="009072DA" w:rsidRDefault="009C13A9" w:rsidP="009C13A9">
            <w:pPr>
              <w:spacing w:before="60" w:after="60"/>
              <w:rPr>
                <w:sz w:val="18"/>
                <w:szCs w:val="18"/>
                <w:lang w:val="bg-BG"/>
              </w:rPr>
            </w:pPr>
          </w:p>
        </w:tc>
      </w:tr>
      <w:tr w:rsidR="009C13A9" w:rsidRPr="009072DA" w:rsidTr="009C13A9">
        <w:tc>
          <w:tcPr>
            <w:tcW w:w="1560" w:type="dxa"/>
            <w:vAlign w:val="center"/>
          </w:tcPr>
          <w:p w:rsidR="009C13A9" w:rsidRPr="009072DA" w:rsidRDefault="009C13A9" w:rsidP="009C13A9">
            <w:pPr>
              <w:spacing w:before="60" w:after="60"/>
              <w:rPr>
                <w:sz w:val="18"/>
                <w:szCs w:val="18"/>
                <w:lang w:val="bg-BG"/>
              </w:rPr>
            </w:pPr>
            <w:r w:rsidRPr="009072DA">
              <w:rPr>
                <w:sz w:val="18"/>
                <w:lang w:val="bg-BG"/>
              </w:rPr>
              <w:t>Входящ поток</w:t>
            </w:r>
          </w:p>
        </w:tc>
        <w:tc>
          <w:tcPr>
            <w:tcW w:w="1842" w:type="dxa"/>
            <w:vAlign w:val="center"/>
          </w:tcPr>
          <w:p w:rsidR="009C13A9" w:rsidRPr="009072DA" w:rsidRDefault="009C13A9" w:rsidP="009C13A9">
            <w:pPr>
              <w:spacing w:before="60" w:after="60"/>
              <w:rPr>
                <w:sz w:val="18"/>
                <w:szCs w:val="18"/>
                <w:lang w:val="bg-BG"/>
              </w:rPr>
            </w:pPr>
            <w:r w:rsidRPr="009072DA">
              <w:rPr>
                <w:sz w:val="18"/>
                <w:lang w:val="bg-BG"/>
              </w:rPr>
              <w:t>24-часови комбинирани проби</w:t>
            </w:r>
          </w:p>
        </w:tc>
        <w:tc>
          <w:tcPr>
            <w:tcW w:w="1058" w:type="dxa"/>
            <w:vAlign w:val="center"/>
          </w:tcPr>
          <w:p w:rsidR="009C13A9" w:rsidRPr="009072DA" w:rsidRDefault="009C13A9" w:rsidP="009C13A9">
            <w:pPr>
              <w:spacing w:before="60" w:after="60"/>
              <w:jc w:val="center"/>
              <w:rPr>
                <w:sz w:val="18"/>
                <w:szCs w:val="18"/>
                <w:lang w:val="bg-BG"/>
              </w:rPr>
            </w:pPr>
            <w:r w:rsidRPr="009072DA">
              <w:rPr>
                <w:sz w:val="18"/>
                <w:lang w:val="bg-BG"/>
              </w:rPr>
              <w:t>--</w:t>
            </w:r>
          </w:p>
        </w:tc>
        <w:tc>
          <w:tcPr>
            <w:tcW w:w="992" w:type="dxa"/>
            <w:vAlign w:val="center"/>
          </w:tcPr>
          <w:p w:rsidR="009C13A9" w:rsidRPr="009072DA" w:rsidRDefault="009C13A9" w:rsidP="009C13A9">
            <w:pPr>
              <w:spacing w:before="60" w:after="60"/>
              <w:rPr>
                <w:sz w:val="18"/>
                <w:szCs w:val="18"/>
                <w:lang w:val="bg-BG"/>
              </w:rPr>
            </w:pPr>
          </w:p>
        </w:tc>
        <w:tc>
          <w:tcPr>
            <w:tcW w:w="1069"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r>
      <w:tr w:rsidR="009C13A9" w:rsidRPr="009072DA" w:rsidTr="009C13A9">
        <w:tc>
          <w:tcPr>
            <w:tcW w:w="1560" w:type="dxa"/>
          </w:tcPr>
          <w:p w:rsidR="009C13A9" w:rsidRPr="009072DA" w:rsidRDefault="009C13A9" w:rsidP="009C13A9">
            <w:pPr>
              <w:spacing w:before="60" w:after="60"/>
              <w:rPr>
                <w:sz w:val="18"/>
                <w:szCs w:val="18"/>
                <w:lang w:val="bg-BG"/>
              </w:rPr>
            </w:pPr>
            <w:r w:rsidRPr="009072DA">
              <w:rPr>
                <w:sz w:val="18"/>
                <w:lang w:val="bg-BG"/>
              </w:rPr>
              <w:t>Изходящ поток</w:t>
            </w:r>
          </w:p>
        </w:tc>
        <w:tc>
          <w:tcPr>
            <w:tcW w:w="1842" w:type="dxa"/>
            <w:vAlign w:val="center"/>
          </w:tcPr>
          <w:p w:rsidR="009C13A9" w:rsidRPr="009072DA" w:rsidRDefault="009C13A9" w:rsidP="009C13A9">
            <w:pPr>
              <w:spacing w:before="60" w:after="60"/>
              <w:rPr>
                <w:sz w:val="18"/>
                <w:szCs w:val="18"/>
                <w:lang w:val="bg-BG"/>
              </w:rPr>
            </w:pPr>
            <w:r w:rsidRPr="009072DA">
              <w:rPr>
                <w:sz w:val="18"/>
                <w:lang w:val="bg-BG"/>
              </w:rPr>
              <w:t>24-часови комбинирани проби</w:t>
            </w:r>
          </w:p>
        </w:tc>
        <w:tc>
          <w:tcPr>
            <w:tcW w:w="1058" w:type="dxa"/>
            <w:vAlign w:val="center"/>
          </w:tcPr>
          <w:p w:rsidR="009C13A9" w:rsidRPr="009072DA" w:rsidRDefault="009C13A9" w:rsidP="009C13A9">
            <w:pPr>
              <w:spacing w:before="60" w:after="60"/>
              <w:rPr>
                <w:sz w:val="18"/>
                <w:szCs w:val="18"/>
                <w:lang w:val="bg-BG"/>
              </w:rPr>
            </w:pPr>
          </w:p>
        </w:tc>
        <w:tc>
          <w:tcPr>
            <w:tcW w:w="992" w:type="dxa"/>
            <w:vAlign w:val="center"/>
          </w:tcPr>
          <w:p w:rsidR="009C13A9" w:rsidRPr="009072DA" w:rsidRDefault="009C13A9" w:rsidP="009C13A9">
            <w:pPr>
              <w:spacing w:before="60" w:after="60"/>
              <w:rPr>
                <w:sz w:val="18"/>
                <w:szCs w:val="18"/>
                <w:lang w:val="bg-BG"/>
              </w:rPr>
            </w:pPr>
          </w:p>
        </w:tc>
        <w:tc>
          <w:tcPr>
            <w:tcW w:w="1069"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r>
      <w:tr w:rsidR="009C13A9" w:rsidRPr="009072DA" w:rsidTr="009C13A9">
        <w:tc>
          <w:tcPr>
            <w:tcW w:w="1560" w:type="dxa"/>
            <w:vAlign w:val="center"/>
          </w:tcPr>
          <w:p w:rsidR="009C13A9" w:rsidRPr="009072DA" w:rsidRDefault="009C13A9" w:rsidP="009C13A9">
            <w:pPr>
              <w:spacing w:before="60" w:after="60"/>
              <w:rPr>
                <w:sz w:val="18"/>
                <w:szCs w:val="18"/>
                <w:lang w:val="bg-BG"/>
              </w:rPr>
            </w:pPr>
            <w:r w:rsidRPr="009072DA">
              <w:rPr>
                <w:sz w:val="18"/>
                <w:lang w:val="bg-BG"/>
              </w:rPr>
              <w:t>Входящ поток</w:t>
            </w:r>
          </w:p>
        </w:tc>
        <w:tc>
          <w:tcPr>
            <w:tcW w:w="1842" w:type="dxa"/>
            <w:vAlign w:val="center"/>
          </w:tcPr>
          <w:p w:rsidR="009C13A9" w:rsidRPr="009072DA" w:rsidRDefault="009C13A9" w:rsidP="009C13A9">
            <w:pPr>
              <w:spacing w:before="60" w:after="60"/>
              <w:rPr>
                <w:sz w:val="18"/>
                <w:szCs w:val="18"/>
                <w:lang w:val="bg-BG"/>
              </w:rPr>
            </w:pPr>
            <w:r w:rsidRPr="009072DA">
              <w:rPr>
                <w:sz w:val="18"/>
                <w:lang w:val="bg-BG"/>
              </w:rPr>
              <w:t>Случайни проби</w:t>
            </w:r>
          </w:p>
        </w:tc>
        <w:tc>
          <w:tcPr>
            <w:tcW w:w="1058" w:type="dxa"/>
            <w:vAlign w:val="center"/>
          </w:tcPr>
          <w:p w:rsidR="009C13A9" w:rsidRPr="009072DA" w:rsidRDefault="009C13A9" w:rsidP="009C13A9">
            <w:pPr>
              <w:spacing w:before="60" w:after="60"/>
              <w:jc w:val="center"/>
              <w:rPr>
                <w:sz w:val="18"/>
                <w:szCs w:val="18"/>
                <w:lang w:val="bg-BG"/>
              </w:rPr>
            </w:pPr>
            <w:r w:rsidRPr="009072DA">
              <w:rPr>
                <w:sz w:val="18"/>
                <w:lang w:val="bg-BG"/>
              </w:rPr>
              <w:t>--</w:t>
            </w:r>
          </w:p>
        </w:tc>
        <w:tc>
          <w:tcPr>
            <w:tcW w:w="992" w:type="dxa"/>
            <w:vAlign w:val="center"/>
          </w:tcPr>
          <w:p w:rsidR="009C13A9" w:rsidRPr="009072DA" w:rsidRDefault="009C13A9" w:rsidP="009C13A9">
            <w:pPr>
              <w:spacing w:before="60" w:after="60"/>
              <w:rPr>
                <w:sz w:val="18"/>
                <w:szCs w:val="18"/>
                <w:lang w:val="bg-BG"/>
              </w:rPr>
            </w:pPr>
          </w:p>
        </w:tc>
        <w:tc>
          <w:tcPr>
            <w:tcW w:w="1069"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r>
      <w:tr w:rsidR="009C13A9" w:rsidRPr="009072DA" w:rsidTr="009C13A9">
        <w:tc>
          <w:tcPr>
            <w:tcW w:w="1560" w:type="dxa"/>
          </w:tcPr>
          <w:p w:rsidR="009C13A9" w:rsidRPr="009072DA" w:rsidRDefault="009C13A9" w:rsidP="009C13A9">
            <w:pPr>
              <w:spacing w:before="60" w:after="60"/>
              <w:rPr>
                <w:sz w:val="18"/>
                <w:szCs w:val="18"/>
                <w:lang w:val="bg-BG"/>
              </w:rPr>
            </w:pPr>
            <w:r w:rsidRPr="009072DA">
              <w:rPr>
                <w:sz w:val="18"/>
                <w:lang w:val="bg-BG"/>
              </w:rPr>
              <w:t>Изходящ поток</w:t>
            </w:r>
          </w:p>
        </w:tc>
        <w:tc>
          <w:tcPr>
            <w:tcW w:w="1842" w:type="dxa"/>
            <w:vAlign w:val="center"/>
          </w:tcPr>
          <w:p w:rsidR="009C13A9" w:rsidRPr="009072DA" w:rsidRDefault="009C13A9" w:rsidP="009C13A9">
            <w:pPr>
              <w:spacing w:before="60" w:after="60"/>
              <w:rPr>
                <w:sz w:val="18"/>
                <w:szCs w:val="18"/>
                <w:lang w:val="bg-BG"/>
              </w:rPr>
            </w:pPr>
            <w:r w:rsidRPr="009072DA">
              <w:rPr>
                <w:sz w:val="18"/>
                <w:lang w:val="bg-BG"/>
              </w:rPr>
              <w:t>Случайни проби</w:t>
            </w:r>
          </w:p>
        </w:tc>
        <w:tc>
          <w:tcPr>
            <w:tcW w:w="1058" w:type="dxa"/>
            <w:vAlign w:val="center"/>
          </w:tcPr>
          <w:p w:rsidR="009C13A9" w:rsidRPr="009072DA" w:rsidRDefault="009C13A9" w:rsidP="009C13A9">
            <w:pPr>
              <w:spacing w:before="60" w:after="60"/>
              <w:rPr>
                <w:sz w:val="18"/>
                <w:szCs w:val="18"/>
                <w:lang w:val="bg-BG"/>
              </w:rPr>
            </w:pPr>
          </w:p>
        </w:tc>
        <w:tc>
          <w:tcPr>
            <w:tcW w:w="992" w:type="dxa"/>
            <w:vAlign w:val="center"/>
          </w:tcPr>
          <w:p w:rsidR="009C13A9" w:rsidRPr="009072DA" w:rsidRDefault="009C13A9" w:rsidP="009C13A9">
            <w:pPr>
              <w:spacing w:before="60" w:after="60"/>
              <w:rPr>
                <w:sz w:val="18"/>
                <w:szCs w:val="18"/>
                <w:lang w:val="bg-BG"/>
              </w:rPr>
            </w:pPr>
          </w:p>
        </w:tc>
        <w:tc>
          <w:tcPr>
            <w:tcW w:w="1069"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c>
          <w:tcPr>
            <w:tcW w:w="1134" w:type="dxa"/>
            <w:vAlign w:val="center"/>
          </w:tcPr>
          <w:p w:rsidR="009C13A9" w:rsidRPr="009072DA" w:rsidRDefault="009C13A9" w:rsidP="009C13A9">
            <w:pPr>
              <w:spacing w:before="60" w:after="60"/>
              <w:rPr>
                <w:sz w:val="18"/>
                <w:szCs w:val="18"/>
                <w:lang w:val="bg-BG"/>
              </w:rPr>
            </w:pPr>
          </w:p>
        </w:tc>
      </w:tr>
    </w:tbl>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 xml:space="preserve">Оценка на стойностите за </w:t>
      </w:r>
      <w:r w:rsidRPr="009072DA">
        <w:rPr>
          <w:b/>
          <w:color w:val="000000"/>
          <w:lang w:val="bg-BG"/>
        </w:rPr>
        <w:t xml:space="preserve">ТВОФ </w:t>
      </w:r>
      <w:r w:rsidRPr="009072DA">
        <w:rPr>
          <w:color w:val="000000"/>
          <w:lang w:val="bg-BG"/>
        </w:rPr>
        <w:t xml:space="preserve"> за изходящия поток (mg/l)</w:t>
      </w:r>
    </w:p>
    <w:p w:rsidR="009C13A9" w:rsidRPr="009072DA" w:rsidRDefault="009C13A9" w:rsidP="009C13A9">
      <w:pPr>
        <w:spacing w:line="240" w:lineRule="atLeast"/>
        <w:rPr>
          <w:rFonts w:cs="Arial"/>
          <w:color w:val="000000"/>
          <w:lang w:val="bg-BG"/>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9072DA" w:rsidTr="009C13A9">
        <w:tc>
          <w:tcPr>
            <w:tcW w:w="1560" w:type="dxa"/>
            <w:vMerge w:val="restart"/>
          </w:tcPr>
          <w:p w:rsidR="009C13A9" w:rsidRPr="009072DA" w:rsidRDefault="00390107" w:rsidP="009C13A9">
            <w:pPr>
              <w:spacing w:before="60" w:after="60"/>
              <w:rPr>
                <w:sz w:val="18"/>
                <w:lang w:val="bg-BG"/>
              </w:rPr>
            </w:pPr>
            <w:r w:rsidRPr="009072DA">
              <w:rPr>
                <w:sz w:val="18"/>
                <w:lang w:val="bg-BG"/>
              </w:rPr>
              <w:t>Местоположение</w:t>
            </w:r>
          </w:p>
        </w:tc>
        <w:tc>
          <w:tcPr>
            <w:tcW w:w="1842" w:type="dxa"/>
            <w:vMerge w:val="restart"/>
          </w:tcPr>
          <w:p w:rsidR="009C13A9" w:rsidRPr="009072DA" w:rsidRDefault="009C13A9" w:rsidP="009C13A9">
            <w:pPr>
              <w:spacing w:before="60" w:after="60"/>
              <w:jc w:val="center"/>
              <w:rPr>
                <w:sz w:val="18"/>
                <w:lang w:val="bg-BG"/>
              </w:rPr>
            </w:pPr>
            <w:r w:rsidRPr="009072DA">
              <w:rPr>
                <w:sz w:val="18"/>
                <w:lang w:val="bg-BG"/>
              </w:rPr>
              <w:t>Вид на пробата</w:t>
            </w:r>
          </w:p>
        </w:tc>
        <w:tc>
          <w:tcPr>
            <w:tcW w:w="1058" w:type="dxa"/>
            <w:vMerge w:val="restart"/>
          </w:tcPr>
          <w:p w:rsidR="009C13A9" w:rsidRPr="009072DA" w:rsidRDefault="009C13A9" w:rsidP="009C13A9">
            <w:pPr>
              <w:spacing w:before="60" w:after="60"/>
              <w:jc w:val="center"/>
              <w:rPr>
                <w:sz w:val="18"/>
                <w:lang w:val="bg-BG"/>
              </w:rPr>
            </w:pPr>
            <w:r w:rsidRPr="009072DA">
              <w:rPr>
                <w:sz w:val="18"/>
                <w:lang w:val="bg-BG"/>
              </w:rPr>
              <w:t>Брой на изпитванията, при които са спазени пределните стойности</w:t>
            </w:r>
          </w:p>
        </w:tc>
        <w:tc>
          <w:tcPr>
            <w:tcW w:w="992" w:type="dxa"/>
            <w:vMerge w:val="restart"/>
          </w:tcPr>
          <w:p w:rsidR="009C13A9" w:rsidRPr="009072DA" w:rsidRDefault="009C13A9" w:rsidP="009C13A9">
            <w:pPr>
              <w:spacing w:before="60" w:after="60"/>
              <w:jc w:val="center"/>
              <w:rPr>
                <w:sz w:val="18"/>
                <w:lang w:val="bg-BG"/>
              </w:rPr>
            </w:pPr>
            <w:r w:rsidRPr="009072DA">
              <w:rPr>
                <w:sz w:val="18"/>
                <w:lang w:val="bg-BG"/>
              </w:rPr>
              <w:t>Мин.</w:t>
            </w:r>
          </w:p>
        </w:tc>
        <w:tc>
          <w:tcPr>
            <w:tcW w:w="2203" w:type="dxa"/>
            <w:gridSpan w:val="2"/>
          </w:tcPr>
          <w:p w:rsidR="009C13A9" w:rsidRPr="009072DA" w:rsidRDefault="009C13A9" w:rsidP="009C13A9">
            <w:pPr>
              <w:spacing w:before="60" w:after="60"/>
              <w:jc w:val="center"/>
              <w:rPr>
                <w:sz w:val="18"/>
                <w:lang w:val="bg-BG"/>
              </w:rPr>
            </w:pPr>
            <w:r w:rsidRPr="009072DA">
              <w:rPr>
                <w:sz w:val="18"/>
                <w:lang w:val="bg-BG"/>
              </w:rPr>
              <w:t>Макс.</w:t>
            </w:r>
          </w:p>
        </w:tc>
        <w:tc>
          <w:tcPr>
            <w:tcW w:w="1134" w:type="dxa"/>
            <w:vMerge w:val="restart"/>
          </w:tcPr>
          <w:p w:rsidR="009C13A9" w:rsidRPr="009072DA" w:rsidRDefault="009C13A9" w:rsidP="009C13A9">
            <w:pPr>
              <w:spacing w:before="60" w:after="60"/>
              <w:jc w:val="center"/>
              <w:rPr>
                <w:sz w:val="18"/>
                <w:lang w:val="bg-BG"/>
              </w:rPr>
            </w:pPr>
            <w:r w:rsidRPr="009072DA">
              <w:rPr>
                <w:sz w:val="18"/>
                <w:lang w:val="bg-BG"/>
              </w:rPr>
              <w:t>Средно</w:t>
            </w:r>
          </w:p>
        </w:tc>
      </w:tr>
      <w:tr w:rsidR="009C13A9" w:rsidRPr="009072DA" w:rsidTr="009C13A9">
        <w:tc>
          <w:tcPr>
            <w:tcW w:w="1560" w:type="dxa"/>
            <w:vMerge/>
          </w:tcPr>
          <w:p w:rsidR="009C13A9" w:rsidRPr="009072DA" w:rsidRDefault="009C13A9" w:rsidP="009C13A9">
            <w:pPr>
              <w:spacing w:before="60" w:after="60"/>
              <w:rPr>
                <w:sz w:val="18"/>
                <w:lang w:val="bg-BG"/>
              </w:rPr>
            </w:pPr>
          </w:p>
        </w:tc>
        <w:tc>
          <w:tcPr>
            <w:tcW w:w="1842" w:type="dxa"/>
            <w:vMerge/>
          </w:tcPr>
          <w:p w:rsidR="009C13A9" w:rsidRPr="009072DA" w:rsidRDefault="009C13A9" w:rsidP="009C13A9">
            <w:pPr>
              <w:spacing w:before="60" w:after="60"/>
              <w:rPr>
                <w:sz w:val="18"/>
                <w:lang w:val="bg-BG"/>
              </w:rPr>
            </w:pPr>
          </w:p>
        </w:tc>
        <w:tc>
          <w:tcPr>
            <w:tcW w:w="1058" w:type="dxa"/>
            <w:vMerge/>
          </w:tcPr>
          <w:p w:rsidR="009C13A9" w:rsidRPr="009072DA" w:rsidRDefault="009C13A9" w:rsidP="009C13A9">
            <w:pPr>
              <w:spacing w:before="60" w:after="60"/>
              <w:rPr>
                <w:sz w:val="18"/>
                <w:lang w:val="bg-BG"/>
              </w:rPr>
            </w:pPr>
          </w:p>
        </w:tc>
        <w:tc>
          <w:tcPr>
            <w:tcW w:w="992" w:type="dxa"/>
            <w:vMerge/>
          </w:tcPr>
          <w:p w:rsidR="009C13A9" w:rsidRPr="009072DA" w:rsidRDefault="009C13A9" w:rsidP="009C13A9">
            <w:pPr>
              <w:spacing w:before="60" w:after="60"/>
              <w:rPr>
                <w:sz w:val="18"/>
                <w:lang w:val="bg-BG"/>
              </w:rPr>
            </w:pPr>
          </w:p>
        </w:tc>
        <w:tc>
          <w:tcPr>
            <w:tcW w:w="1069" w:type="dxa"/>
          </w:tcPr>
          <w:p w:rsidR="009C13A9" w:rsidRPr="009072DA" w:rsidRDefault="009C13A9" w:rsidP="009C13A9">
            <w:pPr>
              <w:spacing w:before="60" w:after="60"/>
              <w:jc w:val="center"/>
              <w:rPr>
                <w:sz w:val="18"/>
                <w:lang w:val="bg-BG"/>
              </w:rPr>
            </w:pPr>
            <w:r w:rsidRPr="009072DA">
              <w:rPr>
                <w:sz w:val="18"/>
                <w:lang w:val="bg-BG"/>
              </w:rPr>
              <w:t>Стойност</w:t>
            </w:r>
          </w:p>
        </w:tc>
        <w:tc>
          <w:tcPr>
            <w:tcW w:w="1134" w:type="dxa"/>
          </w:tcPr>
          <w:p w:rsidR="009C13A9" w:rsidRPr="009072DA" w:rsidRDefault="009C13A9" w:rsidP="009C13A9">
            <w:pPr>
              <w:spacing w:before="60" w:after="60"/>
              <w:jc w:val="center"/>
              <w:rPr>
                <w:sz w:val="18"/>
                <w:lang w:val="bg-BG"/>
              </w:rPr>
            </w:pPr>
            <w:r w:rsidRPr="009072DA">
              <w:rPr>
                <w:sz w:val="18"/>
                <w:lang w:val="bg-BG"/>
              </w:rPr>
              <w:t>Фаза</w:t>
            </w:r>
          </w:p>
        </w:tc>
        <w:tc>
          <w:tcPr>
            <w:tcW w:w="1134" w:type="dxa"/>
            <w:vMerge/>
          </w:tcPr>
          <w:p w:rsidR="009C13A9" w:rsidRPr="009072DA" w:rsidRDefault="009C13A9" w:rsidP="009C13A9">
            <w:pPr>
              <w:spacing w:before="60" w:after="60"/>
              <w:rPr>
                <w:sz w:val="18"/>
                <w:lang w:val="bg-BG"/>
              </w:rPr>
            </w:pPr>
          </w:p>
        </w:tc>
      </w:tr>
      <w:tr w:rsidR="009C13A9" w:rsidRPr="009072DA" w:rsidTr="009C13A9">
        <w:tc>
          <w:tcPr>
            <w:tcW w:w="1560" w:type="dxa"/>
            <w:vAlign w:val="center"/>
          </w:tcPr>
          <w:p w:rsidR="009C13A9" w:rsidRPr="009072DA" w:rsidRDefault="009C13A9" w:rsidP="009C13A9">
            <w:pPr>
              <w:spacing w:before="60" w:after="60"/>
              <w:rPr>
                <w:sz w:val="18"/>
                <w:lang w:val="bg-BG"/>
              </w:rPr>
            </w:pPr>
            <w:r w:rsidRPr="009072DA">
              <w:rPr>
                <w:sz w:val="18"/>
                <w:lang w:val="bg-BG"/>
              </w:rPr>
              <w:t>Входящ поток</w:t>
            </w:r>
          </w:p>
        </w:tc>
        <w:tc>
          <w:tcPr>
            <w:tcW w:w="1842" w:type="dxa"/>
            <w:vAlign w:val="center"/>
          </w:tcPr>
          <w:p w:rsidR="009C13A9" w:rsidRPr="009072DA" w:rsidRDefault="009C13A9" w:rsidP="009C13A9">
            <w:pPr>
              <w:spacing w:before="60" w:after="60"/>
              <w:rPr>
                <w:sz w:val="18"/>
                <w:lang w:val="bg-BG"/>
              </w:rPr>
            </w:pPr>
            <w:r w:rsidRPr="009072DA">
              <w:rPr>
                <w:sz w:val="18"/>
                <w:lang w:val="bg-BG"/>
              </w:rPr>
              <w:t>24-часови комбинирани проби</w:t>
            </w:r>
          </w:p>
        </w:tc>
        <w:tc>
          <w:tcPr>
            <w:tcW w:w="1058" w:type="dxa"/>
            <w:vAlign w:val="center"/>
          </w:tcPr>
          <w:p w:rsidR="009C13A9" w:rsidRPr="009072DA" w:rsidRDefault="009C13A9" w:rsidP="009C13A9">
            <w:pPr>
              <w:spacing w:before="60" w:after="60"/>
              <w:jc w:val="center"/>
              <w:rPr>
                <w:sz w:val="18"/>
                <w:lang w:val="bg-BG"/>
              </w:rPr>
            </w:pPr>
            <w:r w:rsidRPr="009072DA">
              <w:rPr>
                <w:sz w:val="18"/>
                <w:lang w:val="bg-BG"/>
              </w:rPr>
              <w:t>--</w:t>
            </w:r>
          </w:p>
        </w:tc>
        <w:tc>
          <w:tcPr>
            <w:tcW w:w="992" w:type="dxa"/>
            <w:vAlign w:val="center"/>
          </w:tcPr>
          <w:p w:rsidR="009C13A9" w:rsidRPr="009072DA" w:rsidRDefault="009C13A9" w:rsidP="009C13A9">
            <w:pPr>
              <w:spacing w:before="60" w:after="60"/>
              <w:rPr>
                <w:sz w:val="18"/>
                <w:lang w:val="bg-BG"/>
              </w:rPr>
            </w:pPr>
          </w:p>
        </w:tc>
        <w:tc>
          <w:tcPr>
            <w:tcW w:w="1069" w:type="dxa"/>
            <w:vAlign w:val="center"/>
          </w:tcPr>
          <w:p w:rsidR="009C13A9" w:rsidRPr="009072DA" w:rsidRDefault="009C13A9" w:rsidP="009C13A9">
            <w:pPr>
              <w:spacing w:before="60" w:after="60"/>
              <w:rPr>
                <w:sz w:val="18"/>
                <w:lang w:val="bg-BG"/>
              </w:rPr>
            </w:pPr>
          </w:p>
        </w:tc>
        <w:tc>
          <w:tcPr>
            <w:tcW w:w="1134" w:type="dxa"/>
            <w:vAlign w:val="center"/>
          </w:tcPr>
          <w:p w:rsidR="009C13A9" w:rsidRPr="009072DA" w:rsidRDefault="009C13A9" w:rsidP="009C13A9">
            <w:pPr>
              <w:spacing w:before="60" w:after="60"/>
              <w:rPr>
                <w:sz w:val="18"/>
                <w:lang w:val="bg-BG"/>
              </w:rPr>
            </w:pPr>
          </w:p>
        </w:tc>
        <w:tc>
          <w:tcPr>
            <w:tcW w:w="1134" w:type="dxa"/>
            <w:vAlign w:val="center"/>
          </w:tcPr>
          <w:p w:rsidR="009C13A9" w:rsidRPr="009072DA" w:rsidRDefault="009C13A9" w:rsidP="009C13A9">
            <w:pPr>
              <w:spacing w:before="60" w:after="60"/>
              <w:rPr>
                <w:sz w:val="18"/>
                <w:lang w:val="bg-BG"/>
              </w:rPr>
            </w:pPr>
          </w:p>
        </w:tc>
      </w:tr>
      <w:tr w:rsidR="009C13A9" w:rsidRPr="009072DA" w:rsidTr="009C13A9">
        <w:tc>
          <w:tcPr>
            <w:tcW w:w="1560" w:type="dxa"/>
          </w:tcPr>
          <w:p w:rsidR="009C13A9" w:rsidRPr="009072DA" w:rsidRDefault="009C13A9" w:rsidP="009C13A9">
            <w:pPr>
              <w:spacing w:before="60" w:after="60"/>
              <w:rPr>
                <w:sz w:val="18"/>
                <w:lang w:val="bg-BG"/>
              </w:rPr>
            </w:pPr>
            <w:r w:rsidRPr="009072DA">
              <w:rPr>
                <w:sz w:val="18"/>
                <w:lang w:val="bg-BG"/>
              </w:rPr>
              <w:t>Изходящ поток</w:t>
            </w:r>
          </w:p>
        </w:tc>
        <w:tc>
          <w:tcPr>
            <w:tcW w:w="1842" w:type="dxa"/>
            <w:vAlign w:val="center"/>
          </w:tcPr>
          <w:p w:rsidR="009C13A9" w:rsidRPr="009072DA" w:rsidRDefault="009C13A9" w:rsidP="009C13A9">
            <w:pPr>
              <w:spacing w:before="60" w:after="60"/>
              <w:rPr>
                <w:sz w:val="18"/>
                <w:lang w:val="bg-BG"/>
              </w:rPr>
            </w:pPr>
            <w:r w:rsidRPr="009072DA">
              <w:rPr>
                <w:sz w:val="18"/>
                <w:lang w:val="bg-BG"/>
              </w:rPr>
              <w:t>24-часови комбинирани проби</w:t>
            </w:r>
          </w:p>
        </w:tc>
        <w:tc>
          <w:tcPr>
            <w:tcW w:w="1058" w:type="dxa"/>
            <w:vAlign w:val="center"/>
          </w:tcPr>
          <w:p w:rsidR="009C13A9" w:rsidRPr="009072DA" w:rsidRDefault="009C13A9" w:rsidP="009C13A9">
            <w:pPr>
              <w:spacing w:before="60" w:after="60"/>
              <w:rPr>
                <w:sz w:val="18"/>
                <w:lang w:val="bg-BG"/>
              </w:rPr>
            </w:pPr>
          </w:p>
        </w:tc>
        <w:tc>
          <w:tcPr>
            <w:tcW w:w="992" w:type="dxa"/>
            <w:vAlign w:val="center"/>
          </w:tcPr>
          <w:p w:rsidR="009C13A9" w:rsidRPr="009072DA" w:rsidRDefault="009C13A9" w:rsidP="009C13A9">
            <w:pPr>
              <w:spacing w:before="60" w:after="60"/>
              <w:rPr>
                <w:sz w:val="18"/>
                <w:lang w:val="bg-BG"/>
              </w:rPr>
            </w:pPr>
          </w:p>
        </w:tc>
        <w:tc>
          <w:tcPr>
            <w:tcW w:w="1069" w:type="dxa"/>
            <w:vAlign w:val="center"/>
          </w:tcPr>
          <w:p w:rsidR="009C13A9" w:rsidRPr="009072DA" w:rsidRDefault="009C13A9" w:rsidP="009C13A9">
            <w:pPr>
              <w:spacing w:before="60" w:after="60"/>
              <w:rPr>
                <w:sz w:val="18"/>
                <w:lang w:val="bg-BG"/>
              </w:rPr>
            </w:pPr>
          </w:p>
        </w:tc>
        <w:tc>
          <w:tcPr>
            <w:tcW w:w="1134" w:type="dxa"/>
            <w:vAlign w:val="center"/>
          </w:tcPr>
          <w:p w:rsidR="009C13A9" w:rsidRPr="009072DA" w:rsidRDefault="009C13A9" w:rsidP="009C13A9">
            <w:pPr>
              <w:spacing w:before="60" w:after="60"/>
              <w:rPr>
                <w:sz w:val="18"/>
                <w:lang w:val="bg-BG"/>
              </w:rPr>
            </w:pPr>
          </w:p>
        </w:tc>
        <w:tc>
          <w:tcPr>
            <w:tcW w:w="1134" w:type="dxa"/>
            <w:vAlign w:val="center"/>
          </w:tcPr>
          <w:p w:rsidR="009C13A9" w:rsidRPr="009072DA" w:rsidRDefault="009C13A9" w:rsidP="009C13A9">
            <w:pPr>
              <w:spacing w:before="60" w:after="60"/>
              <w:rPr>
                <w:sz w:val="18"/>
                <w:lang w:val="bg-BG"/>
              </w:rPr>
            </w:pPr>
          </w:p>
        </w:tc>
      </w:tr>
      <w:tr w:rsidR="009C13A9" w:rsidRPr="009072DA" w:rsidTr="009C13A9">
        <w:tc>
          <w:tcPr>
            <w:tcW w:w="1560" w:type="dxa"/>
            <w:vAlign w:val="center"/>
          </w:tcPr>
          <w:p w:rsidR="009C13A9" w:rsidRPr="009072DA" w:rsidRDefault="009C13A9" w:rsidP="009C13A9">
            <w:pPr>
              <w:spacing w:before="60" w:after="60"/>
              <w:rPr>
                <w:sz w:val="18"/>
                <w:lang w:val="bg-BG"/>
              </w:rPr>
            </w:pPr>
            <w:r w:rsidRPr="009072DA">
              <w:rPr>
                <w:sz w:val="18"/>
                <w:lang w:val="bg-BG"/>
              </w:rPr>
              <w:t>Входящ поток</w:t>
            </w:r>
          </w:p>
        </w:tc>
        <w:tc>
          <w:tcPr>
            <w:tcW w:w="1842" w:type="dxa"/>
            <w:vAlign w:val="center"/>
          </w:tcPr>
          <w:p w:rsidR="009C13A9" w:rsidRPr="009072DA" w:rsidRDefault="009C13A9" w:rsidP="009C13A9">
            <w:pPr>
              <w:spacing w:before="60" w:after="60"/>
              <w:rPr>
                <w:sz w:val="18"/>
                <w:lang w:val="bg-BG"/>
              </w:rPr>
            </w:pPr>
            <w:r w:rsidRPr="009072DA">
              <w:rPr>
                <w:sz w:val="18"/>
                <w:lang w:val="bg-BG"/>
              </w:rPr>
              <w:t>Случайни проби</w:t>
            </w:r>
          </w:p>
        </w:tc>
        <w:tc>
          <w:tcPr>
            <w:tcW w:w="1058" w:type="dxa"/>
            <w:vAlign w:val="center"/>
          </w:tcPr>
          <w:p w:rsidR="009C13A9" w:rsidRPr="009072DA" w:rsidRDefault="009C13A9" w:rsidP="009C13A9">
            <w:pPr>
              <w:spacing w:before="60" w:after="60"/>
              <w:jc w:val="center"/>
              <w:rPr>
                <w:sz w:val="18"/>
                <w:lang w:val="bg-BG"/>
              </w:rPr>
            </w:pPr>
            <w:r w:rsidRPr="009072DA">
              <w:rPr>
                <w:sz w:val="18"/>
                <w:lang w:val="bg-BG"/>
              </w:rPr>
              <w:t>--</w:t>
            </w:r>
          </w:p>
        </w:tc>
        <w:tc>
          <w:tcPr>
            <w:tcW w:w="992" w:type="dxa"/>
            <w:vAlign w:val="center"/>
          </w:tcPr>
          <w:p w:rsidR="009C13A9" w:rsidRPr="009072DA" w:rsidRDefault="009C13A9" w:rsidP="009C13A9">
            <w:pPr>
              <w:spacing w:before="60" w:after="60"/>
              <w:rPr>
                <w:sz w:val="18"/>
                <w:lang w:val="bg-BG"/>
              </w:rPr>
            </w:pPr>
          </w:p>
        </w:tc>
        <w:tc>
          <w:tcPr>
            <w:tcW w:w="1069" w:type="dxa"/>
            <w:vAlign w:val="center"/>
          </w:tcPr>
          <w:p w:rsidR="009C13A9" w:rsidRPr="009072DA" w:rsidRDefault="009C13A9" w:rsidP="009C13A9">
            <w:pPr>
              <w:spacing w:before="60" w:after="60"/>
              <w:rPr>
                <w:sz w:val="18"/>
                <w:lang w:val="bg-BG"/>
              </w:rPr>
            </w:pPr>
          </w:p>
        </w:tc>
        <w:tc>
          <w:tcPr>
            <w:tcW w:w="1134" w:type="dxa"/>
            <w:vAlign w:val="center"/>
          </w:tcPr>
          <w:p w:rsidR="009C13A9" w:rsidRPr="009072DA" w:rsidRDefault="009C13A9" w:rsidP="009C13A9">
            <w:pPr>
              <w:spacing w:before="60" w:after="60"/>
              <w:rPr>
                <w:sz w:val="18"/>
                <w:lang w:val="bg-BG"/>
              </w:rPr>
            </w:pPr>
          </w:p>
        </w:tc>
        <w:tc>
          <w:tcPr>
            <w:tcW w:w="1134" w:type="dxa"/>
            <w:vAlign w:val="center"/>
          </w:tcPr>
          <w:p w:rsidR="009C13A9" w:rsidRPr="009072DA" w:rsidRDefault="009C13A9" w:rsidP="009C13A9">
            <w:pPr>
              <w:spacing w:before="60" w:after="60"/>
              <w:rPr>
                <w:sz w:val="18"/>
                <w:lang w:val="bg-BG"/>
              </w:rPr>
            </w:pPr>
          </w:p>
        </w:tc>
      </w:tr>
      <w:tr w:rsidR="009C13A9" w:rsidRPr="009072DA" w:rsidTr="009C13A9">
        <w:tc>
          <w:tcPr>
            <w:tcW w:w="1560" w:type="dxa"/>
          </w:tcPr>
          <w:p w:rsidR="009C13A9" w:rsidRPr="009072DA" w:rsidRDefault="009C13A9" w:rsidP="009C13A9">
            <w:pPr>
              <w:spacing w:before="60" w:after="60"/>
              <w:rPr>
                <w:sz w:val="18"/>
                <w:lang w:val="bg-BG"/>
              </w:rPr>
            </w:pPr>
            <w:r w:rsidRPr="009072DA">
              <w:rPr>
                <w:sz w:val="18"/>
                <w:lang w:val="bg-BG"/>
              </w:rPr>
              <w:t>Изходящ поток</w:t>
            </w:r>
          </w:p>
        </w:tc>
        <w:tc>
          <w:tcPr>
            <w:tcW w:w="1842" w:type="dxa"/>
            <w:vAlign w:val="center"/>
          </w:tcPr>
          <w:p w:rsidR="009C13A9" w:rsidRPr="009072DA" w:rsidRDefault="009C13A9" w:rsidP="009C13A9">
            <w:pPr>
              <w:spacing w:before="60" w:after="60"/>
              <w:rPr>
                <w:sz w:val="18"/>
                <w:lang w:val="bg-BG"/>
              </w:rPr>
            </w:pPr>
            <w:r w:rsidRPr="009072DA">
              <w:rPr>
                <w:sz w:val="18"/>
                <w:lang w:val="bg-BG"/>
              </w:rPr>
              <w:t>Случайни проби</w:t>
            </w:r>
          </w:p>
        </w:tc>
        <w:tc>
          <w:tcPr>
            <w:tcW w:w="1058" w:type="dxa"/>
            <w:vAlign w:val="center"/>
          </w:tcPr>
          <w:p w:rsidR="009C13A9" w:rsidRPr="009072DA" w:rsidRDefault="009C13A9" w:rsidP="009C13A9">
            <w:pPr>
              <w:spacing w:before="60" w:after="60"/>
              <w:rPr>
                <w:sz w:val="18"/>
                <w:lang w:val="bg-BG"/>
              </w:rPr>
            </w:pPr>
          </w:p>
        </w:tc>
        <w:tc>
          <w:tcPr>
            <w:tcW w:w="992" w:type="dxa"/>
            <w:vAlign w:val="center"/>
          </w:tcPr>
          <w:p w:rsidR="009C13A9" w:rsidRPr="009072DA" w:rsidRDefault="009C13A9" w:rsidP="009C13A9">
            <w:pPr>
              <w:spacing w:before="60" w:after="60"/>
              <w:rPr>
                <w:sz w:val="18"/>
                <w:lang w:val="bg-BG"/>
              </w:rPr>
            </w:pPr>
          </w:p>
        </w:tc>
        <w:tc>
          <w:tcPr>
            <w:tcW w:w="1069" w:type="dxa"/>
            <w:vAlign w:val="center"/>
          </w:tcPr>
          <w:p w:rsidR="009C13A9" w:rsidRPr="009072DA" w:rsidRDefault="009C13A9" w:rsidP="009C13A9">
            <w:pPr>
              <w:spacing w:before="60" w:after="60"/>
              <w:rPr>
                <w:sz w:val="18"/>
                <w:lang w:val="bg-BG"/>
              </w:rPr>
            </w:pPr>
          </w:p>
        </w:tc>
        <w:tc>
          <w:tcPr>
            <w:tcW w:w="1134" w:type="dxa"/>
            <w:vAlign w:val="center"/>
          </w:tcPr>
          <w:p w:rsidR="009C13A9" w:rsidRPr="009072DA" w:rsidRDefault="009C13A9" w:rsidP="009C13A9">
            <w:pPr>
              <w:spacing w:before="60" w:after="60"/>
              <w:rPr>
                <w:sz w:val="18"/>
                <w:lang w:val="bg-BG"/>
              </w:rPr>
            </w:pPr>
          </w:p>
        </w:tc>
        <w:tc>
          <w:tcPr>
            <w:tcW w:w="1134" w:type="dxa"/>
            <w:vAlign w:val="center"/>
          </w:tcPr>
          <w:p w:rsidR="009C13A9" w:rsidRPr="009072DA" w:rsidRDefault="009C13A9" w:rsidP="009C13A9">
            <w:pPr>
              <w:spacing w:before="60" w:after="60"/>
              <w:rPr>
                <w:sz w:val="18"/>
                <w:lang w:val="bg-BG"/>
              </w:rPr>
            </w:pPr>
          </w:p>
        </w:tc>
      </w:tr>
    </w:tbl>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lang w:val="bg-BG"/>
        </w:rPr>
        <w:br w:type="page"/>
      </w:r>
    </w:p>
    <w:p w:rsidR="009C13A9" w:rsidRPr="009072DA" w:rsidRDefault="009C13A9" w:rsidP="009C13A9">
      <w:pPr>
        <w:spacing w:line="240" w:lineRule="atLeast"/>
        <w:ind w:left="709" w:hanging="709"/>
        <w:rPr>
          <w:rFonts w:cs="Arial"/>
          <w:color w:val="000000"/>
          <w:lang w:val="bg-BG"/>
        </w:rPr>
      </w:pPr>
      <w:r w:rsidRPr="009072DA">
        <w:rPr>
          <w:color w:val="000000"/>
          <w:lang w:val="bg-BG"/>
        </w:rPr>
        <w:lastRenderedPageBreak/>
        <w:t>1.2.2</w:t>
      </w:r>
      <w:r w:rsidRPr="009072DA">
        <w:rPr>
          <w:lang w:val="bg-BG"/>
        </w:rPr>
        <w:tab/>
      </w:r>
      <w:r w:rsidRPr="009072DA">
        <w:rPr>
          <w:color w:val="000000"/>
          <w:lang w:val="bg-BG"/>
        </w:rPr>
        <w:t xml:space="preserve">Ефективност на пречистване (ефективност на отстраняване) </w:t>
      </w:r>
    </w:p>
    <w:p w:rsidR="009C13A9" w:rsidRPr="009072DA" w:rsidRDefault="009C13A9" w:rsidP="009C13A9">
      <w:pPr>
        <w:spacing w:line="240" w:lineRule="atLeast"/>
        <w:rPr>
          <w:rFonts w:cs="Arial"/>
          <w:color w:val="000000"/>
          <w:lang w:val="bg-BG"/>
        </w:rPr>
      </w:pPr>
    </w:p>
    <w:tbl>
      <w:tblPr>
        <w:tblW w:w="66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876"/>
        <w:gridCol w:w="1046"/>
        <w:gridCol w:w="1065"/>
        <w:gridCol w:w="1134"/>
      </w:tblGrid>
      <w:tr w:rsidR="009C13A9" w:rsidRPr="009072DA" w:rsidTr="009C13A9">
        <w:trPr>
          <w:jc w:val="center"/>
        </w:trPr>
        <w:tc>
          <w:tcPr>
            <w:tcW w:w="1526" w:type="dxa"/>
            <w:vAlign w:val="center"/>
          </w:tcPr>
          <w:p w:rsidR="009C13A9" w:rsidRPr="009072DA" w:rsidRDefault="009C13A9" w:rsidP="009C13A9">
            <w:pPr>
              <w:spacing w:before="60" w:after="60"/>
              <w:rPr>
                <w:sz w:val="18"/>
                <w:lang w:val="bg-BG"/>
              </w:rPr>
            </w:pPr>
            <w:r w:rsidRPr="009072DA">
              <w:rPr>
                <w:sz w:val="18"/>
                <w:lang w:val="bg-BG"/>
              </w:rPr>
              <w:t>Параметър</w:t>
            </w:r>
          </w:p>
        </w:tc>
        <w:tc>
          <w:tcPr>
            <w:tcW w:w="1876" w:type="dxa"/>
            <w:vAlign w:val="center"/>
          </w:tcPr>
          <w:p w:rsidR="009C13A9" w:rsidRPr="009072DA" w:rsidRDefault="009C13A9" w:rsidP="009C13A9">
            <w:pPr>
              <w:spacing w:before="60" w:after="60"/>
              <w:rPr>
                <w:sz w:val="18"/>
                <w:lang w:val="bg-BG"/>
              </w:rPr>
            </w:pPr>
            <w:r w:rsidRPr="009072DA">
              <w:rPr>
                <w:sz w:val="18"/>
                <w:lang w:val="bg-BG"/>
              </w:rPr>
              <w:t>Вид на пробата</w:t>
            </w:r>
          </w:p>
        </w:tc>
        <w:tc>
          <w:tcPr>
            <w:tcW w:w="1046" w:type="dxa"/>
            <w:vAlign w:val="center"/>
          </w:tcPr>
          <w:p w:rsidR="009C13A9" w:rsidRPr="009072DA" w:rsidRDefault="009C13A9" w:rsidP="009C13A9">
            <w:pPr>
              <w:spacing w:before="60" w:after="60"/>
              <w:jc w:val="center"/>
              <w:rPr>
                <w:sz w:val="18"/>
                <w:lang w:val="bg-BG"/>
              </w:rPr>
            </w:pPr>
            <w:r w:rsidRPr="009072DA">
              <w:rPr>
                <w:sz w:val="18"/>
                <w:lang w:val="bg-BG"/>
              </w:rPr>
              <w:t>Мин.</w:t>
            </w:r>
          </w:p>
        </w:tc>
        <w:tc>
          <w:tcPr>
            <w:tcW w:w="1065" w:type="dxa"/>
            <w:vAlign w:val="center"/>
          </w:tcPr>
          <w:p w:rsidR="009C13A9" w:rsidRPr="009072DA" w:rsidRDefault="009C13A9" w:rsidP="009C13A9">
            <w:pPr>
              <w:spacing w:before="60" w:after="60"/>
              <w:jc w:val="center"/>
              <w:rPr>
                <w:sz w:val="18"/>
                <w:lang w:val="bg-BG"/>
              </w:rPr>
            </w:pPr>
            <w:r w:rsidRPr="009072DA">
              <w:rPr>
                <w:sz w:val="18"/>
                <w:lang w:val="bg-BG"/>
              </w:rPr>
              <w:t>Макс.</w:t>
            </w:r>
          </w:p>
        </w:tc>
        <w:tc>
          <w:tcPr>
            <w:tcW w:w="1134" w:type="dxa"/>
            <w:vAlign w:val="center"/>
          </w:tcPr>
          <w:p w:rsidR="009C13A9" w:rsidRPr="009072DA" w:rsidRDefault="009C13A9" w:rsidP="009C13A9">
            <w:pPr>
              <w:spacing w:before="60" w:after="60"/>
              <w:jc w:val="center"/>
              <w:rPr>
                <w:sz w:val="18"/>
                <w:lang w:val="bg-BG"/>
              </w:rPr>
            </w:pPr>
            <w:r w:rsidRPr="009072DA">
              <w:rPr>
                <w:sz w:val="18"/>
                <w:lang w:val="bg-BG"/>
              </w:rPr>
              <w:t>Средно</w:t>
            </w:r>
          </w:p>
        </w:tc>
      </w:tr>
      <w:tr w:rsidR="009C13A9" w:rsidRPr="009072DA" w:rsidTr="009C13A9">
        <w:trPr>
          <w:jc w:val="center"/>
        </w:trPr>
        <w:tc>
          <w:tcPr>
            <w:tcW w:w="1526" w:type="dxa"/>
            <w:vAlign w:val="center"/>
          </w:tcPr>
          <w:p w:rsidR="009C13A9" w:rsidRPr="009072DA" w:rsidRDefault="002B712C" w:rsidP="009C13A9">
            <w:pPr>
              <w:spacing w:before="60" w:after="60"/>
              <w:rPr>
                <w:sz w:val="18"/>
                <w:szCs w:val="18"/>
                <w:lang w:val="bg-BG"/>
              </w:rPr>
            </w:pPr>
            <m:oMathPara>
              <m:oMathParaPr>
                <m:jc m:val="left"/>
              </m:oMathParaPr>
              <m:oMath>
                <m:sSub>
                  <m:sSubPr>
                    <m:ctrlPr>
                      <w:rPr>
                        <w:rFonts w:ascii="Cambria Math" w:hAnsi="Cambria Math"/>
                        <w:i/>
                        <w:sz w:val="18"/>
                        <w:szCs w:val="18"/>
                        <w:lang w:val="bg-BG"/>
                      </w:rPr>
                    </m:ctrlPr>
                  </m:sSubPr>
                  <m:e>
                    <m:r>
                      <w:rPr>
                        <w:rFonts w:ascii="Cambria Math" w:hAnsi="Cambria Math"/>
                        <w:sz w:val="18"/>
                        <w:szCs w:val="18"/>
                        <w:lang w:val="bg-BG"/>
                      </w:rPr>
                      <m:t>BOD</m:t>
                    </m:r>
                  </m:e>
                  <m:sub>
                    <m:r>
                      <w:rPr>
                        <w:rFonts w:ascii="Cambria Math" w:hAnsi="Cambria Math"/>
                        <w:sz w:val="18"/>
                        <w:szCs w:val="18"/>
                        <w:lang w:val="bg-BG"/>
                      </w:rPr>
                      <m:t>5</m:t>
                    </m:r>
                  </m:sub>
                </m:sSub>
              </m:oMath>
            </m:oMathPara>
          </w:p>
        </w:tc>
        <w:tc>
          <w:tcPr>
            <w:tcW w:w="1876" w:type="dxa"/>
            <w:vAlign w:val="center"/>
          </w:tcPr>
          <w:p w:rsidR="009C13A9" w:rsidRPr="009072DA" w:rsidRDefault="009C13A9" w:rsidP="009C13A9">
            <w:pPr>
              <w:spacing w:before="60" w:after="60"/>
              <w:rPr>
                <w:sz w:val="18"/>
                <w:lang w:val="bg-BG"/>
              </w:rPr>
            </w:pPr>
            <w:r w:rsidRPr="009072DA">
              <w:rPr>
                <w:sz w:val="18"/>
                <w:lang w:val="bg-BG"/>
              </w:rPr>
              <w:t>24-часови комбинирани проби</w:t>
            </w:r>
          </w:p>
        </w:tc>
        <w:tc>
          <w:tcPr>
            <w:tcW w:w="1046" w:type="dxa"/>
            <w:vAlign w:val="center"/>
          </w:tcPr>
          <w:p w:rsidR="009C13A9" w:rsidRPr="009072DA" w:rsidRDefault="009C13A9" w:rsidP="009C13A9">
            <w:pPr>
              <w:spacing w:before="60" w:after="60"/>
              <w:rPr>
                <w:sz w:val="18"/>
                <w:lang w:val="bg-BG"/>
              </w:rPr>
            </w:pPr>
          </w:p>
        </w:tc>
        <w:tc>
          <w:tcPr>
            <w:tcW w:w="1065" w:type="dxa"/>
            <w:vAlign w:val="center"/>
          </w:tcPr>
          <w:p w:rsidR="009C13A9" w:rsidRPr="009072DA" w:rsidRDefault="009C13A9" w:rsidP="009C13A9">
            <w:pPr>
              <w:spacing w:before="60" w:after="60"/>
              <w:rPr>
                <w:sz w:val="18"/>
                <w:lang w:val="bg-BG"/>
              </w:rPr>
            </w:pPr>
          </w:p>
        </w:tc>
        <w:tc>
          <w:tcPr>
            <w:tcW w:w="1134" w:type="dxa"/>
            <w:vAlign w:val="center"/>
          </w:tcPr>
          <w:p w:rsidR="009C13A9" w:rsidRPr="009072DA" w:rsidRDefault="009C13A9" w:rsidP="009C13A9">
            <w:pPr>
              <w:spacing w:before="60" w:after="60"/>
              <w:rPr>
                <w:sz w:val="18"/>
                <w:lang w:val="bg-BG"/>
              </w:rPr>
            </w:pPr>
          </w:p>
        </w:tc>
      </w:tr>
      <w:tr w:rsidR="009C13A9" w:rsidRPr="009072DA" w:rsidTr="009C13A9">
        <w:trPr>
          <w:jc w:val="center"/>
        </w:trPr>
        <w:tc>
          <w:tcPr>
            <w:tcW w:w="1526" w:type="dxa"/>
            <w:vAlign w:val="center"/>
          </w:tcPr>
          <w:p w:rsidR="009C13A9" w:rsidRPr="009072DA" w:rsidRDefault="002B712C" w:rsidP="009C13A9">
            <w:pPr>
              <w:spacing w:before="60" w:after="60"/>
              <w:rPr>
                <w:sz w:val="18"/>
                <w:szCs w:val="18"/>
                <w:lang w:val="bg-BG"/>
              </w:rPr>
            </w:pPr>
            <m:oMathPara>
              <m:oMathParaPr>
                <m:jc m:val="left"/>
              </m:oMathParaPr>
              <m:oMath>
                <m:sSub>
                  <m:sSubPr>
                    <m:ctrlPr>
                      <w:rPr>
                        <w:rFonts w:ascii="Cambria Math" w:hAnsi="Cambria Math"/>
                        <w:i/>
                        <w:sz w:val="18"/>
                        <w:szCs w:val="18"/>
                        <w:lang w:val="bg-BG"/>
                      </w:rPr>
                    </m:ctrlPr>
                  </m:sSubPr>
                  <m:e>
                    <m:r>
                      <w:rPr>
                        <w:rFonts w:ascii="Cambria Math" w:hAnsi="Cambria Math"/>
                        <w:sz w:val="18"/>
                        <w:szCs w:val="18"/>
                        <w:lang w:val="bg-BG"/>
                      </w:rPr>
                      <m:t>BOD</m:t>
                    </m:r>
                  </m:e>
                  <m:sub>
                    <m:r>
                      <w:rPr>
                        <w:rFonts w:ascii="Cambria Math" w:hAnsi="Cambria Math"/>
                        <w:sz w:val="18"/>
                        <w:szCs w:val="18"/>
                        <w:lang w:val="bg-BG"/>
                      </w:rPr>
                      <m:t>5</m:t>
                    </m:r>
                  </m:sub>
                </m:sSub>
              </m:oMath>
            </m:oMathPara>
          </w:p>
        </w:tc>
        <w:tc>
          <w:tcPr>
            <w:tcW w:w="1876" w:type="dxa"/>
            <w:vAlign w:val="center"/>
          </w:tcPr>
          <w:p w:rsidR="009C13A9" w:rsidRPr="009072DA" w:rsidRDefault="009C13A9" w:rsidP="009C13A9">
            <w:pPr>
              <w:spacing w:before="60" w:after="60"/>
              <w:rPr>
                <w:sz w:val="18"/>
                <w:lang w:val="bg-BG"/>
              </w:rPr>
            </w:pPr>
            <w:r w:rsidRPr="009072DA">
              <w:rPr>
                <w:sz w:val="18"/>
                <w:lang w:val="bg-BG"/>
              </w:rPr>
              <w:t>Случайни проби</w:t>
            </w:r>
          </w:p>
        </w:tc>
        <w:tc>
          <w:tcPr>
            <w:tcW w:w="1046" w:type="dxa"/>
            <w:vAlign w:val="center"/>
          </w:tcPr>
          <w:p w:rsidR="009C13A9" w:rsidRPr="009072DA" w:rsidRDefault="009C13A9" w:rsidP="009C13A9">
            <w:pPr>
              <w:spacing w:before="60" w:after="60"/>
              <w:rPr>
                <w:sz w:val="18"/>
                <w:lang w:val="bg-BG"/>
              </w:rPr>
            </w:pPr>
          </w:p>
        </w:tc>
        <w:tc>
          <w:tcPr>
            <w:tcW w:w="1065" w:type="dxa"/>
            <w:vAlign w:val="center"/>
          </w:tcPr>
          <w:p w:rsidR="009C13A9" w:rsidRPr="009072DA" w:rsidRDefault="009C13A9" w:rsidP="009C13A9">
            <w:pPr>
              <w:spacing w:before="60" w:after="60"/>
              <w:rPr>
                <w:sz w:val="18"/>
                <w:lang w:val="bg-BG"/>
              </w:rPr>
            </w:pPr>
          </w:p>
        </w:tc>
        <w:tc>
          <w:tcPr>
            <w:tcW w:w="1134" w:type="dxa"/>
            <w:vAlign w:val="center"/>
          </w:tcPr>
          <w:p w:rsidR="009C13A9" w:rsidRPr="009072DA" w:rsidRDefault="009C13A9" w:rsidP="009C13A9">
            <w:pPr>
              <w:spacing w:before="60" w:after="60"/>
              <w:rPr>
                <w:sz w:val="18"/>
                <w:lang w:val="bg-BG"/>
              </w:rPr>
            </w:pPr>
          </w:p>
        </w:tc>
      </w:tr>
      <w:tr w:rsidR="009C13A9" w:rsidRPr="009072DA" w:rsidTr="009C13A9">
        <w:trPr>
          <w:jc w:val="center"/>
        </w:trPr>
        <w:tc>
          <w:tcPr>
            <w:tcW w:w="1526" w:type="dxa"/>
          </w:tcPr>
          <w:p w:rsidR="009C13A9" w:rsidRPr="009072DA" w:rsidRDefault="009C13A9" w:rsidP="009C13A9">
            <w:pPr>
              <w:spacing w:before="60" w:after="60"/>
              <w:rPr>
                <w:sz w:val="18"/>
                <w:lang w:val="bg-BG"/>
              </w:rPr>
            </w:pPr>
            <w:r w:rsidRPr="009072DA">
              <w:rPr>
                <w:sz w:val="18"/>
                <w:lang w:val="bg-BG"/>
              </w:rPr>
              <w:t>ХПК</w:t>
            </w:r>
          </w:p>
        </w:tc>
        <w:tc>
          <w:tcPr>
            <w:tcW w:w="1876" w:type="dxa"/>
          </w:tcPr>
          <w:p w:rsidR="009C13A9" w:rsidRPr="009072DA" w:rsidRDefault="009C13A9" w:rsidP="009C13A9">
            <w:pPr>
              <w:spacing w:before="60" w:after="60"/>
              <w:rPr>
                <w:sz w:val="18"/>
                <w:lang w:val="bg-BG"/>
              </w:rPr>
            </w:pPr>
            <w:r w:rsidRPr="009072DA">
              <w:rPr>
                <w:sz w:val="18"/>
                <w:lang w:val="bg-BG"/>
              </w:rPr>
              <w:t>24-часови комбинирани проби</w:t>
            </w:r>
          </w:p>
        </w:tc>
        <w:tc>
          <w:tcPr>
            <w:tcW w:w="1046" w:type="dxa"/>
          </w:tcPr>
          <w:p w:rsidR="009C13A9" w:rsidRPr="009072DA" w:rsidRDefault="009C13A9" w:rsidP="009C13A9">
            <w:pPr>
              <w:spacing w:before="60" w:after="60"/>
              <w:rPr>
                <w:sz w:val="18"/>
                <w:lang w:val="bg-BG"/>
              </w:rPr>
            </w:pPr>
          </w:p>
        </w:tc>
        <w:tc>
          <w:tcPr>
            <w:tcW w:w="1065" w:type="dxa"/>
          </w:tcPr>
          <w:p w:rsidR="009C13A9" w:rsidRPr="009072DA" w:rsidRDefault="009C13A9" w:rsidP="009C13A9">
            <w:pPr>
              <w:spacing w:before="60" w:after="60"/>
              <w:rPr>
                <w:sz w:val="18"/>
                <w:lang w:val="bg-BG"/>
              </w:rPr>
            </w:pPr>
          </w:p>
        </w:tc>
        <w:tc>
          <w:tcPr>
            <w:tcW w:w="1134" w:type="dxa"/>
          </w:tcPr>
          <w:p w:rsidR="009C13A9" w:rsidRPr="009072DA" w:rsidRDefault="009C13A9" w:rsidP="009C13A9">
            <w:pPr>
              <w:spacing w:before="60" w:after="60"/>
              <w:rPr>
                <w:sz w:val="18"/>
                <w:lang w:val="bg-BG"/>
              </w:rPr>
            </w:pPr>
          </w:p>
        </w:tc>
      </w:tr>
      <w:tr w:rsidR="009C13A9" w:rsidRPr="009072DA" w:rsidTr="009C13A9">
        <w:trPr>
          <w:jc w:val="center"/>
        </w:trPr>
        <w:tc>
          <w:tcPr>
            <w:tcW w:w="1526" w:type="dxa"/>
          </w:tcPr>
          <w:p w:rsidR="009C13A9" w:rsidRPr="009072DA" w:rsidRDefault="009C13A9" w:rsidP="009C13A9">
            <w:pPr>
              <w:spacing w:before="60" w:after="60"/>
              <w:rPr>
                <w:sz w:val="18"/>
                <w:lang w:val="bg-BG"/>
              </w:rPr>
            </w:pPr>
            <w:r w:rsidRPr="009072DA">
              <w:rPr>
                <w:sz w:val="18"/>
                <w:lang w:val="bg-BG"/>
              </w:rPr>
              <w:t>ХПК</w:t>
            </w:r>
          </w:p>
        </w:tc>
        <w:tc>
          <w:tcPr>
            <w:tcW w:w="1876" w:type="dxa"/>
          </w:tcPr>
          <w:p w:rsidR="009C13A9" w:rsidRPr="009072DA" w:rsidRDefault="009C13A9" w:rsidP="009C13A9">
            <w:pPr>
              <w:spacing w:before="60" w:after="60"/>
              <w:rPr>
                <w:sz w:val="18"/>
                <w:lang w:val="bg-BG"/>
              </w:rPr>
            </w:pPr>
            <w:r w:rsidRPr="009072DA">
              <w:rPr>
                <w:sz w:val="18"/>
                <w:lang w:val="bg-BG"/>
              </w:rPr>
              <w:t>Случайни проби</w:t>
            </w:r>
          </w:p>
        </w:tc>
        <w:tc>
          <w:tcPr>
            <w:tcW w:w="1046" w:type="dxa"/>
          </w:tcPr>
          <w:p w:rsidR="009C13A9" w:rsidRPr="009072DA" w:rsidRDefault="009C13A9" w:rsidP="009C13A9">
            <w:pPr>
              <w:spacing w:before="60" w:after="60"/>
              <w:rPr>
                <w:sz w:val="18"/>
                <w:lang w:val="bg-BG"/>
              </w:rPr>
            </w:pPr>
          </w:p>
        </w:tc>
        <w:tc>
          <w:tcPr>
            <w:tcW w:w="1065" w:type="dxa"/>
          </w:tcPr>
          <w:p w:rsidR="009C13A9" w:rsidRPr="009072DA" w:rsidRDefault="009C13A9" w:rsidP="009C13A9">
            <w:pPr>
              <w:spacing w:before="60" w:after="60"/>
              <w:rPr>
                <w:sz w:val="18"/>
                <w:lang w:val="bg-BG"/>
              </w:rPr>
            </w:pPr>
          </w:p>
        </w:tc>
        <w:tc>
          <w:tcPr>
            <w:tcW w:w="1134" w:type="dxa"/>
          </w:tcPr>
          <w:p w:rsidR="009C13A9" w:rsidRPr="009072DA" w:rsidRDefault="009C13A9" w:rsidP="009C13A9">
            <w:pPr>
              <w:spacing w:before="60" w:after="60"/>
              <w:rPr>
                <w:sz w:val="18"/>
                <w:lang w:val="bg-BG"/>
              </w:rPr>
            </w:pPr>
          </w:p>
        </w:tc>
      </w:tr>
      <w:tr w:rsidR="009C13A9" w:rsidRPr="009072DA" w:rsidTr="009C13A9">
        <w:trPr>
          <w:jc w:val="center"/>
        </w:trPr>
        <w:tc>
          <w:tcPr>
            <w:tcW w:w="1526" w:type="dxa"/>
          </w:tcPr>
          <w:p w:rsidR="009C13A9" w:rsidRPr="009072DA" w:rsidRDefault="009C13A9" w:rsidP="009C13A9">
            <w:pPr>
              <w:spacing w:before="60" w:after="60"/>
              <w:rPr>
                <w:sz w:val="18"/>
                <w:lang w:val="bg-BG"/>
              </w:rPr>
            </w:pPr>
            <w:r w:rsidRPr="009072DA">
              <w:rPr>
                <w:sz w:val="18"/>
                <w:lang w:val="bg-BG"/>
              </w:rPr>
              <w:t>ОСОВ</w:t>
            </w:r>
          </w:p>
        </w:tc>
        <w:tc>
          <w:tcPr>
            <w:tcW w:w="1876" w:type="dxa"/>
          </w:tcPr>
          <w:p w:rsidR="009C13A9" w:rsidRPr="009072DA" w:rsidRDefault="009C13A9" w:rsidP="009C13A9">
            <w:pPr>
              <w:spacing w:before="60" w:after="60"/>
              <w:rPr>
                <w:sz w:val="18"/>
                <w:lang w:val="bg-BG"/>
              </w:rPr>
            </w:pPr>
            <w:r w:rsidRPr="009072DA">
              <w:rPr>
                <w:sz w:val="18"/>
                <w:lang w:val="bg-BG"/>
              </w:rPr>
              <w:t>24-часови комбинирани проби</w:t>
            </w:r>
          </w:p>
        </w:tc>
        <w:tc>
          <w:tcPr>
            <w:tcW w:w="1046" w:type="dxa"/>
          </w:tcPr>
          <w:p w:rsidR="009C13A9" w:rsidRPr="009072DA" w:rsidRDefault="009C13A9" w:rsidP="009C13A9">
            <w:pPr>
              <w:spacing w:before="60" w:after="60"/>
              <w:rPr>
                <w:sz w:val="18"/>
                <w:lang w:val="bg-BG"/>
              </w:rPr>
            </w:pPr>
          </w:p>
        </w:tc>
        <w:tc>
          <w:tcPr>
            <w:tcW w:w="1065" w:type="dxa"/>
          </w:tcPr>
          <w:p w:rsidR="009C13A9" w:rsidRPr="009072DA" w:rsidRDefault="009C13A9" w:rsidP="009C13A9">
            <w:pPr>
              <w:spacing w:before="60" w:after="60"/>
              <w:rPr>
                <w:sz w:val="18"/>
                <w:lang w:val="bg-BG"/>
              </w:rPr>
            </w:pPr>
          </w:p>
        </w:tc>
        <w:tc>
          <w:tcPr>
            <w:tcW w:w="1134" w:type="dxa"/>
          </w:tcPr>
          <w:p w:rsidR="009C13A9" w:rsidRPr="009072DA" w:rsidRDefault="009C13A9" w:rsidP="009C13A9">
            <w:pPr>
              <w:spacing w:before="60" w:after="60"/>
              <w:rPr>
                <w:sz w:val="18"/>
                <w:lang w:val="bg-BG"/>
              </w:rPr>
            </w:pPr>
          </w:p>
        </w:tc>
      </w:tr>
      <w:tr w:rsidR="009C13A9" w:rsidRPr="009072DA" w:rsidTr="009C13A9">
        <w:trPr>
          <w:jc w:val="center"/>
        </w:trPr>
        <w:tc>
          <w:tcPr>
            <w:tcW w:w="1526" w:type="dxa"/>
          </w:tcPr>
          <w:p w:rsidR="009C13A9" w:rsidRPr="009072DA" w:rsidRDefault="009C13A9" w:rsidP="009C13A9">
            <w:pPr>
              <w:spacing w:before="60" w:after="60"/>
              <w:rPr>
                <w:sz w:val="18"/>
                <w:lang w:val="bg-BG"/>
              </w:rPr>
            </w:pPr>
            <w:r w:rsidRPr="009072DA">
              <w:rPr>
                <w:sz w:val="18"/>
                <w:lang w:val="bg-BG"/>
              </w:rPr>
              <w:t>ОСОВ</w:t>
            </w:r>
          </w:p>
        </w:tc>
        <w:tc>
          <w:tcPr>
            <w:tcW w:w="1876" w:type="dxa"/>
          </w:tcPr>
          <w:p w:rsidR="009C13A9" w:rsidRPr="009072DA" w:rsidRDefault="009C13A9" w:rsidP="009C13A9">
            <w:pPr>
              <w:spacing w:before="60" w:after="60"/>
              <w:rPr>
                <w:sz w:val="18"/>
                <w:lang w:val="bg-BG"/>
              </w:rPr>
            </w:pPr>
            <w:r w:rsidRPr="009072DA">
              <w:rPr>
                <w:sz w:val="18"/>
                <w:lang w:val="bg-BG"/>
              </w:rPr>
              <w:t>Случайни проби</w:t>
            </w:r>
          </w:p>
        </w:tc>
        <w:tc>
          <w:tcPr>
            <w:tcW w:w="1046" w:type="dxa"/>
          </w:tcPr>
          <w:p w:rsidR="009C13A9" w:rsidRPr="009072DA" w:rsidRDefault="009C13A9" w:rsidP="009C13A9">
            <w:pPr>
              <w:spacing w:before="60" w:after="60"/>
              <w:rPr>
                <w:sz w:val="18"/>
                <w:lang w:val="bg-BG"/>
              </w:rPr>
            </w:pPr>
          </w:p>
        </w:tc>
        <w:tc>
          <w:tcPr>
            <w:tcW w:w="1065" w:type="dxa"/>
          </w:tcPr>
          <w:p w:rsidR="009C13A9" w:rsidRPr="009072DA" w:rsidRDefault="009C13A9" w:rsidP="009C13A9">
            <w:pPr>
              <w:spacing w:before="60" w:after="60"/>
              <w:rPr>
                <w:sz w:val="18"/>
                <w:lang w:val="bg-BG"/>
              </w:rPr>
            </w:pPr>
          </w:p>
        </w:tc>
        <w:tc>
          <w:tcPr>
            <w:tcW w:w="1134" w:type="dxa"/>
          </w:tcPr>
          <w:p w:rsidR="009C13A9" w:rsidRPr="009072DA" w:rsidRDefault="009C13A9" w:rsidP="009C13A9">
            <w:pPr>
              <w:spacing w:before="60" w:after="60"/>
              <w:rPr>
                <w:sz w:val="18"/>
                <w:lang w:val="bg-BG"/>
              </w:rPr>
            </w:pPr>
          </w:p>
        </w:tc>
      </w:tr>
      <w:tr w:rsidR="009C13A9" w:rsidRPr="009072DA" w:rsidTr="009C13A9">
        <w:trPr>
          <w:jc w:val="center"/>
        </w:trPr>
        <w:tc>
          <w:tcPr>
            <w:tcW w:w="1526" w:type="dxa"/>
          </w:tcPr>
          <w:p w:rsidR="009C13A9" w:rsidRPr="009072DA" w:rsidRDefault="009C13A9" w:rsidP="009C13A9">
            <w:pPr>
              <w:spacing w:before="60" w:after="60"/>
              <w:rPr>
                <w:sz w:val="18"/>
                <w:lang w:val="bg-BG"/>
              </w:rPr>
            </w:pPr>
            <w:r w:rsidRPr="009072DA">
              <w:rPr>
                <w:sz w:val="18"/>
                <w:lang w:val="bg-BG"/>
              </w:rPr>
              <w:t>ТВОФ</w:t>
            </w:r>
          </w:p>
        </w:tc>
        <w:tc>
          <w:tcPr>
            <w:tcW w:w="1876" w:type="dxa"/>
          </w:tcPr>
          <w:p w:rsidR="009C13A9" w:rsidRPr="009072DA" w:rsidRDefault="009C13A9" w:rsidP="009C13A9">
            <w:pPr>
              <w:spacing w:before="60" w:after="60"/>
              <w:rPr>
                <w:sz w:val="18"/>
                <w:lang w:val="bg-BG"/>
              </w:rPr>
            </w:pPr>
            <w:r w:rsidRPr="009072DA">
              <w:rPr>
                <w:sz w:val="18"/>
                <w:lang w:val="bg-BG"/>
              </w:rPr>
              <w:t>24-часови комбинирани проби</w:t>
            </w:r>
          </w:p>
        </w:tc>
        <w:tc>
          <w:tcPr>
            <w:tcW w:w="1046" w:type="dxa"/>
          </w:tcPr>
          <w:p w:rsidR="009C13A9" w:rsidRPr="009072DA" w:rsidRDefault="009C13A9" w:rsidP="009C13A9">
            <w:pPr>
              <w:spacing w:before="60" w:after="60"/>
              <w:rPr>
                <w:sz w:val="18"/>
                <w:lang w:val="bg-BG"/>
              </w:rPr>
            </w:pPr>
          </w:p>
        </w:tc>
        <w:tc>
          <w:tcPr>
            <w:tcW w:w="1065" w:type="dxa"/>
          </w:tcPr>
          <w:p w:rsidR="009C13A9" w:rsidRPr="009072DA" w:rsidRDefault="009C13A9" w:rsidP="009C13A9">
            <w:pPr>
              <w:spacing w:before="60" w:after="60"/>
              <w:rPr>
                <w:sz w:val="18"/>
                <w:lang w:val="bg-BG"/>
              </w:rPr>
            </w:pPr>
          </w:p>
        </w:tc>
        <w:tc>
          <w:tcPr>
            <w:tcW w:w="1134" w:type="dxa"/>
          </w:tcPr>
          <w:p w:rsidR="009C13A9" w:rsidRPr="009072DA" w:rsidRDefault="009C13A9" w:rsidP="009C13A9">
            <w:pPr>
              <w:spacing w:before="60" w:after="60"/>
              <w:rPr>
                <w:sz w:val="18"/>
                <w:lang w:val="bg-BG"/>
              </w:rPr>
            </w:pPr>
          </w:p>
        </w:tc>
      </w:tr>
      <w:tr w:rsidR="009C13A9" w:rsidRPr="009072DA" w:rsidTr="009C13A9">
        <w:trPr>
          <w:jc w:val="center"/>
        </w:trPr>
        <w:tc>
          <w:tcPr>
            <w:tcW w:w="1526" w:type="dxa"/>
          </w:tcPr>
          <w:p w:rsidR="009C13A9" w:rsidRPr="009072DA" w:rsidRDefault="009C13A9" w:rsidP="009C13A9">
            <w:pPr>
              <w:spacing w:before="60" w:after="60"/>
              <w:rPr>
                <w:sz w:val="18"/>
                <w:lang w:val="bg-BG"/>
              </w:rPr>
            </w:pPr>
            <w:r w:rsidRPr="009072DA">
              <w:rPr>
                <w:sz w:val="18"/>
                <w:lang w:val="bg-BG"/>
              </w:rPr>
              <w:t>ТВОФ</w:t>
            </w:r>
          </w:p>
        </w:tc>
        <w:tc>
          <w:tcPr>
            <w:tcW w:w="1876" w:type="dxa"/>
          </w:tcPr>
          <w:p w:rsidR="009C13A9" w:rsidRPr="009072DA" w:rsidRDefault="009C13A9" w:rsidP="009C13A9">
            <w:pPr>
              <w:spacing w:before="60" w:after="60"/>
              <w:rPr>
                <w:sz w:val="18"/>
                <w:lang w:val="bg-BG"/>
              </w:rPr>
            </w:pPr>
            <w:r w:rsidRPr="009072DA">
              <w:rPr>
                <w:sz w:val="18"/>
                <w:lang w:val="bg-BG"/>
              </w:rPr>
              <w:t>Случайни проби</w:t>
            </w:r>
          </w:p>
        </w:tc>
        <w:tc>
          <w:tcPr>
            <w:tcW w:w="1046" w:type="dxa"/>
          </w:tcPr>
          <w:p w:rsidR="009C13A9" w:rsidRPr="009072DA" w:rsidRDefault="009C13A9" w:rsidP="009C13A9">
            <w:pPr>
              <w:spacing w:before="60" w:after="60"/>
              <w:rPr>
                <w:sz w:val="18"/>
                <w:lang w:val="bg-BG"/>
              </w:rPr>
            </w:pPr>
          </w:p>
        </w:tc>
        <w:tc>
          <w:tcPr>
            <w:tcW w:w="1065" w:type="dxa"/>
          </w:tcPr>
          <w:p w:rsidR="009C13A9" w:rsidRPr="009072DA" w:rsidRDefault="009C13A9" w:rsidP="009C13A9">
            <w:pPr>
              <w:spacing w:before="60" w:after="60"/>
              <w:rPr>
                <w:sz w:val="18"/>
                <w:lang w:val="bg-BG"/>
              </w:rPr>
            </w:pPr>
          </w:p>
        </w:tc>
        <w:tc>
          <w:tcPr>
            <w:tcW w:w="1134" w:type="dxa"/>
          </w:tcPr>
          <w:p w:rsidR="009C13A9" w:rsidRPr="009072DA" w:rsidRDefault="009C13A9" w:rsidP="009C13A9">
            <w:pPr>
              <w:spacing w:before="60" w:after="60"/>
              <w:rPr>
                <w:sz w:val="18"/>
                <w:lang w:val="bg-BG"/>
              </w:rPr>
            </w:pPr>
          </w:p>
        </w:tc>
      </w:tr>
    </w:tbl>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ind w:left="709" w:hanging="709"/>
        <w:rPr>
          <w:rFonts w:cs="Arial"/>
          <w:color w:val="000000"/>
          <w:lang w:val="bg-BG"/>
        </w:rPr>
      </w:pPr>
      <w:r w:rsidRPr="009072DA">
        <w:rPr>
          <w:color w:val="000000"/>
          <w:lang w:val="bg-BG"/>
        </w:rPr>
        <w:t>1.3</w:t>
      </w:r>
      <w:r w:rsidRPr="009072DA">
        <w:rPr>
          <w:lang w:val="bg-BG"/>
        </w:rPr>
        <w:tab/>
      </w:r>
      <w:r w:rsidRPr="009072DA">
        <w:rPr>
          <w:color w:val="000000"/>
          <w:lang w:val="bg-BG"/>
        </w:rPr>
        <w:t xml:space="preserve">Допълнителни измерени параметри </w:t>
      </w:r>
    </w:p>
    <w:p w:rsidR="009C13A9" w:rsidRPr="009072DA" w:rsidRDefault="009C13A9" w:rsidP="009C13A9">
      <w:pPr>
        <w:spacing w:line="240" w:lineRule="atLeast"/>
        <w:ind w:left="709" w:hanging="709"/>
        <w:rPr>
          <w:rFonts w:cs="Arial"/>
          <w:color w:val="000000"/>
          <w:lang w:val="bg-BG"/>
        </w:rPr>
      </w:pPr>
    </w:p>
    <w:p w:rsidR="009C13A9" w:rsidRPr="009072DA" w:rsidRDefault="009C13A9" w:rsidP="009C13A9">
      <w:pPr>
        <w:spacing w:line="240" w:lineRule="atLeast"/>
        <w:ind w:left="709" w:hanging="709"/>
        <w:rPr>
          <w:rFonts w:cs="Arial"/>
          <w:color w:val="000000"/>
          <w:lang w:val="bg-BG"/>
        </w:rPr>
      </w:pPr>
      <w:r w:rsidRPr="009072DA">
        <w:rPr>
          <w:color w:val="000000"/>
          <w:lang w:val="bg-BG"/>
        </w:rPr>
        <w:t>1.3.1</w:t>
      </w:r>
      <w:r w:rsidRPr="009072DA">
        <w:rPr>
          <w:lang w:val="bg-BG"/>
        </w:rPr>
        <w:tab/>
      </w:r>
      <w:r w:rsidRPr="009072DA">
        <w:rPr>
          <w:color w:val="000000"/>
          <w:lang w:val="bg-BG"/>
        </w:rPr>
        <w:t>Допълнителни параметри на входящия и изходящия поток:</w:t>
      </w:r>
    </w:p>
    <w:p w:rsidR="009C13A9" w:rsidRPr="009072DA" w:rsidRDefault="009C13A9" w:rsidP="009C13A9">
      <w:pPr>
        <w:spacing w:line="240" w:lineRule="atLeast"/>
        <w:rPr>
          <w:rFonts w:cs="Arial"/>
          <w:color w:val="000000"/>
          <w:lang w:val="bg-BG"/>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417"/>
        <w:gridCol w:w="1639"/>
      </w:tblGrid>
      <w:tr w:rsidR="009C13A9" w:rsidRPr="009072DA" w:rsidTr="009C13A9">
        <w:trPr>
          <w:jc w:val="center"/>
        </w:trPr>
        <w:tc>
          <w:tcPr>
            <w:tcW w:w="5103" w:type="dxa"/>
            <w:shd w:val="clear" w:color="auto" w:fill="auto"/>
          </w:tcPr>
          <w:p w:rsidR="009C13A9" w:rsidRPr="009072DA" w:rsidRDefault="009C13A9" w:rsidP="009C13A9">
            <w:pPr>
              <w:spacing w:before="60" w:after="60"/>
              <w:rPr>
                <w:sz w:val="18"/>
                <w:lang w:val="bg-BG"/>
              </w:rPr>
            </w:pPr>
            <w:r w:rsidRPr="009072DA">
              <w:rPr>
                <w:sz w:val="18"/>
                <w:lang w:val="bg-BG"/>
              </w:rPr>
              <w:t>Параметър</w:t>
            </w:r>
          </w:p>
        </w:tc>
        <w:tc>
          <w:tcPr>
            <w:tcW w:w="1417" w:type="dxa"/>
            <w:shd w:val="clear" w:color="auto" w:fill="auto"/>
          </w:tcPr>
          <w:p w:rsidR="009C13A9" w:rsidRPr="009072DA" w:rsidRDefault="009C13A9" w:rsidP="009C13A9">
            <w:pPr>
              <w:spacing w:before="60" w:after="60"/>
              <w:jc w:val="center"/>
              <w:rPr>
                <w:sz w:val="18"/>
                <w:lang w:val="bg-BG"/>
              </w:rPr>
            </w:pPr>
            <w:r w:rsidRPr="009072DA">
              <w:rPr>
                <w:sz w:val="18"/>
                <w:lang w:val="bg-BG"/>
              </w:rPr>
              <w:t>Входящ поток</w:t>
            </w:r>
          </w:p>
        </w:tc>
        <w:tc>
          <w:tcPr>
            <w:tcW w:w="1639" w:type="dxa"/>
            <w:shd w:val="clear" w:color="auto" w:fill="auto"/>
          </w:tcPr>
          <w:p w:rsidR="009C13A9" w:rsidRPr="009072DA" w:rsidRDefault="009C13A9" w:rsidP="009C13A9">
            <w:pPr>
              <w:spacing w:before="60" w:after="60"/>
              <w:jc w:val="center"/>
              <w:rPr>
                <w:sz w:val="18"/>
                <w:lang w:val="bg-BG"/>
              </w:rPr>
            </w:pPr>
            <w:r w:rsidRPr="009072DA">
              <w:rPr>
                <w:sz w:val="18"/>
                <w:lang w:val="bg-BG"/>
              </w:rPr>
              <w:t>Изходящ поток</w:t>
            </w:r>
          </w:p>
        </w:tc>
      </w:tr>
      <w:tr w:rsidR="009C13A9" w:rsidRPr="009072DA" w:rsidTr="009C13A9">
        <w:trPr>
          <w:jc w:val="center"/>
        </w:trPr>
        <w:tc>
          <w:tcPr>
            <w:tcW w:w="5103" w:type="dxa"/>
            <w:shd w:val="clear" w:color="auto" w:fill="auto"/>
          </w:tcPr>
          <w:p w:rsidR="009C13A9" w:rsidRPr="009072DA" w:rsidRDefault="009C13A9" w:rsidP="009C13A9">
            <w:pPr>
              <w:spacing w:before="60" w:after="60"/>
              <w:rPr>
                <w:sz w:val="18"/>
                <w:lang w:val="bg-BG"/>
              </w:rPr>
            </w:pPr>
            <w:r w:rsidRPr="009072DA">
              <w:rPr>
                <w:sz w:val="18"/>
                <w:lang w:val="bg-BG"/>
              </w:rPr>
              <w:t>pH</w:t>
            </w:r>
          </w:p>
        </w:tc>
        <w:tc>
          <w:tcPr>
            <w:tcW w:w="1417" w:type="dxa"/>
            <w:shd w:val="clear" w:color="auto" w:fill="auto"/>
          </w:tcPr>
          <w:p w:rsidR="009C13A9" w:rsidRPr="009072DA" w:rsidRDefault="009C13A9" w:rsidP="009C13A9">
            <w:pPr>
              <w:spacing w:before="60" w:after="60"/>
              <w:rPr>
                <w:sz w:val="18"/>
                <w:lang w:val="bg-BG"/>
              </w:rPr>
            </w:pPr>
          </w:p>
        </w:tc>
        <w:tc>
          <w:tcPr>
            <w:tcW w:w="1639" w:type="dxa"/>
            <w:shd w:val="clear" w:color="auto" w:fill="auto"/>
          </w:tcPr>
          <w:p w:rsidR="009C13A9" w:rsidRPr="009072DA" w:rsidRDefault="009C13A9" w:rsidP="009C13A9">
            <w:pPr>
              <w:spacing w:before="60" w:after="60"/>
              <w:rPr>
                <w:sz w:val="18"/>
                <w:lang w:val="bg-BG"/>
              </w:rPr>
            </w:pPr>
          </w:p>
        </w:tc>
      </w:tr>
      <w:tr w:rsidR="009C13A9" w:rsidRPr="009072DA" w:rsidTr="009C13A9">
        <w:trPr>
          <w:jc w:val="center"/>
        </w:trPr>
        <w:tc>
          <w:tcPr>
            <w:tcW w:w="5103" w:type="dxa"/>
            <w:shd w:val="clear" w:color="auto" w:fill="auto"/>
          </w:tcPr>
          <w:p w:rsidR="009C13A9" w:rsidRPr="009072DA" w:rsidRDefault="009C13A9" w:rsidP="009C13A9">
            <w:pPr>
              <w:spacing w:before="60" w:after="60"/>
              <w:rPr>
                <w:sz w:val="18"/>
                <w:lang w:val="bg-BG"/>
              </w:rPr>
            </w:pPr>
            <w:r w:rsidRPr="009072DA">
              <w:rPr>
                <w:sz w:val="18"/>
                <w:lang w:val="bg-BG"/>
              </w:rPr>
              <w:t>Проводимост</w:t>
            </w:r>
          </w:p>
        </w:tc>
        <w:tc>
          <w:tcPr>
            <w:tcW w:w="1417" w:type="dxa"/>
            <w:shd w:val="clear" w:color="auto" w:fill="auto"/>
          </w:tcPr>
          <w:p w:rsidR="009C13A9" w:rsidRPr="009072DA" w:rsidRDefault="009C13A9" w:rsidP="009C13A9">
            <w:pPr>
              <w:spacing w:before="60" w:after="60"/>
              <w:rPr>
                <w:sz w:val="18"/>
                <w:lang w:val="bg-BG"/>
              </w:rPr>
            </w:pPr>
          </w:p>
        </w:tc>
        <w:tc>
          <w:tcPr>
            <w:tcW w:w="1639" w:type="dxa"/>
            <w:shd w:val="clear" w:color="auto" w:fill="auto"/>
          </w:tcPr>
          <w:p w:rsidR="009C13A9" w:rsidRPr="009072DA" w:rsidRDefault="009C13A9" w:rsidP="009C13A9">
            <w:pPr>
              <w:spacing w:before="60" w:after="60"/>
              <w:rPr>
                <w:sz w:val="18"/>
                <w:lang w:val="bg-BG"/>
              </w:rPr>
            </w:pPr>
          </w:p>
        </w:tc>
      </w:tr>
      <w:tr w:rsidR="009C13A9" w:rsidRPr="009072DA" w:rsidTr="009C13A9">
        <w:trPr>
          <w:jc w:val="center"/>
        </w:trPr>
        <w:tc>
          <w:tcPr>
            <w:tcW w:w="5103" w:type="dxa"/>
            <w:shd w:val="clear" w:color="auto" w:fill="auto"/>
          </w:tcPr>
          <w:p w:rsidR="009C13A9" w:rsidRPr="009072DA" w:rsidRDefault="009C13A9" w:rsidP="009C13A9">
            <w:pPr>
              <w:spacing w:before="60" w:after="60"/>
              <w:rPr>
                <w:sz w:val="18"/>
                <w:lang w:val="bg-BG"/>
              </w:rPr>
            </w:pPr>
            <w:r w:rsidRPr="009072DA">
              <w:rPr>
                <w:sz w:val="18"/>
                <w:lang w:val="bg-BG"/>
              </w:rPr>
              <w:t>Температура на течните фази</w:t>
            </w:r>
          </w:p>
        </w:tc>
        <w:tc>
          <w:tcPr>
            <w:tcW w:w="1417" w:type="dxa"/>
            <w:shd w:val="clear" w:color="auto" w:fill="auto"/>
          </w:tcPr>
          <w:p w:rsidR="009C13A9" w:rsidRPr="009072DA" w:rsidRDefault="009C13A9" w:rsidP="009C13A9">
            <w:pPr>
              <w:spacing w:before="60" w:after="60"/>
              <w:rPr>
                <w:sz w:val="18"/>
                <w:lang w:val="bg-BG"/>
              </w:rPr>
            </w:pPr>
          </w:p>
        </w:tc>
        <w:tc>
          <w:tcPr>
            <w:tcW w:w="1639" w:type="dxa"/>
            <w:shd w:val="clear" w:color="auto" w:fill="auto"/>
          </w:tcPr>
          <w:p w:rsidR="009C13A9" w:rsidRPr="009072DA" w:rsidRDefault="009C13A9" w:rsidP="009C13A9">
            <w:pPr>
              <w:spacing w:before="60" w:after="60"/>
              <w:rPr>
                <w:sz w:val="18"/>
                <w:lang w:val="bg-BG"/>
              </w:rPr>
            </w:pPr>
          </w:p>
        </w:tc>
      </w:tr>
    </w:tbl>
    <w:p w:rsidR="009C13A9" w:rsidRPr="009072DA" w:rsidRDefault="009C13A9" w:rsidP="009C13A9">
      <w:pPr>
        <w:spacing w:line="240" w:lineRule="atLeast"/>
        <w:ind w:left="709" w:hanging="709"/>
        <w:rPr>
          <w:rFonts w:cs="Arial"/>
          <w:color w:val="000000"/>
          <w:lang w:val="bg-BG"/>
        </w:rPr>
      </w:pPr>
    </w:p>
    <w:p w:rsidR="009C13A9" w:rsidRPr="009072DA" w:rsidRDefault="009C13A9" w:rsidP="009C13A9">
      <w:pPr>
        <w:spacing w:line="240" w:lineRule="atLeast"/>
        <w:ind w:left="709" w:hanging="709"/>
        <w:rPr>
          <w:rFonts w:cs="Arial"/>
          <w:color w:val="000000"/>
          <w:lang w:val="bg-BG"/>
        </w:rPr>
      </w:pPr>
      <w:r w:rsidRPr="009072DA">
        <w:rPr>
          <w:color w:val="000000"/>
          <w:lang w:val="bg-BG"/>
        </w:rPr>
        <w:t>1.3.2</w:t>
      </w:r>
      <w:r w:rsidRPr="009072DA">
        <w:rPr>
          <w:lang w:val="bg-BG"/>
        </w:rPr>
        <w:tab/>
      </w:r>
      <w:r w:rsidRPr="009072DA">
        <w:rPr>
          <w:color w:val="000000"/>
          <w:lang w:val="bg-BG"/>
        </w:rPr>
        <w:t>Следните работни параметри, ако има такива, трябва да бъдат записвани по време на вземането на проби:</w:t>
      </w:r>
    </w:p>
    <w:p w:rsidR="009C13A9" w:rsidRPr="009072DA" w:rsidRDefault="009C13A9" w:rsidP="009C13A9">
      <w:pPr>
        <w:spacing w:line="240" w:lineRule="atLeast"/>
        <w:ind w:left="709" w:hanging="709"/>
        <w:rPr>
          <w:rFonts w:cs="Arial"/>
          <w:color w:val="000000"/>
          <w:lang w:val="bg-BG"/>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417"/>
      </w:tblGrid>
      <w:tr w:rsidR="009C13A9" w:rsidRPr="008D2440" w:rsidTr="009C13A9">
        <w:trPr>
          <w:jc w:val="center"/>
        </w:trPr>
        <w:tc>
          <w:tcPr>
            <w:tcW w:w="5103" w:type="dxa"/>
            <w:shd w:val="clear" w:color="auto" w:fill="auto"/>
          </w:tcPr>
          <w:p w:rsidR="009C13A9" w:rsidRPr="009072DA" w:rsidRDefault="009C13A9" w:rsidP="009C13A9">
            <w:pPr>
              <w:spacing w:before="60" w:after="60" w:line="240" w:lineRule="atLeast"/>
              <w:rPr>
                <w:rFonts w:cs="Arial"/>
                <w:color w:val="000000"/>
                <w:sz w:val="18"/>
                <w:lang w:val="bg-BG"/>
              </w:rPr>
            </w:pPr>
            <w:r w:rsidRPr="009072DA">
              <w:rPr>
                <w:color w:val="000000"/>
                <w:sz w:val="18"/>
                <w:lang w:val="bg-BG"/>
              </w:rPr>
              <w:t>Концентрация на разтворен кислород в биобасейна</w:t>
            </w:r>
          </w:p>
        </w:tc>
        <w:tc>
          <w:tcPr>
            <w:tcW w:w="1417" w:type="dxa"/>
            <w:shd w:val="clear" w:color="auto" w:fill="auto"/>
          </w:tcPr>
          <w:p w:rsidR="009C13A9" w:rsidRPr="009072DA" w:rsidRDefault="009C13A9" w:rsidP="009C13A9">
            <w:pPr>
              <w:spacing w:before="60" w:after="60" w:line="240" w:lineRule="atLeast"/>
              <w:rPr>
                <w:rFonts w:cs="Arial"/>
                <w:color w:val="000000"/>
                <w:sz w:val="18"/>
                <w:lang w:val="bg-BG"/>
              </w:rPr>
            </w:pPr>
          </w:p>
        </w:tc>
      </w:tr>
      <w:tr w:rsidR="009C13A9" w:rsidRPr="008D2440" w:rsidTr="009C13A9">
        <w:trPr>
          <w:jc w:val="center"/>
        </w:trPr>
        <w:tc>
          <w:tcPr>
            <w:tcW w:w="5103" w:type="dxa"/>
            <w:shd w:val="clear" w:color="auto" w:fill="auto"/>
          </w:tcPr>
          <w:p w:rsidR="009C13A9" w:rsidRPr="009072DA" w:rsidRDefault="009C13A9" w:rsidP="009C13A9">
            <w:pPr>
              <w:spacing w:before="60" w:after="60" w:line="240" w:lineRule="atLeast"/>
              <w:rPr>
                <w:rFonts w:cs="Arial"/>
                <w:color w:val="000000"/>
                <w:sz w:val="18"/>
                <w:lang w:val="bg-BG"/>
              </w:rPr>
            </w:pPr>
            <w:r w:rsidRPr="009072DA">
              <w:rPr>
                <w:color w:val="000000"/>
                <w:sz w:val="18"/>
                <w:lang w:val="bg-BG"/>
              </w:rPr>
              <w:t>Съдържание на сухо вещество в биобасейна</w:t>
            </w:r>
          </w:p>
        </w:tc>
        <w:tc>
          <w:tcPr>
            <w:tcW w:w="1417" w:type="dxa"/>
            <w:shd w:val="clear" w:color="auto" w:fill="auto"/>
          </w:tcPr>
          <w:p w:rsidR="009C13A9" w:rsidRPr="009072DA" w:rsidRDefault="009C13A9" w:rsidP="009C13A9">
            <w:pPr>
              <w:spacing w:before="60" w:after="60" w:line="240" w:lineRule="atLeast"/>
              <w:rPr>
                <w:rFonts w:cs="Arial"/>
                <w:color w:val="000000"/>
                <w:sz w:val="18"/>
                <w:lang w:val="bg-BG"/>
              </w:rPr>
            </w:pPr>
          </w:p>
        </w:tc>
      </w:tr>
      <w:tr w:rsidR="009C13A9" w:rsidRPr="009072DA" w:rsidTr="009C13A9">
        <w:trPr>
          <w:jc w:val="center"/>
        </w:trPr>
        <w:tc>
          <w:tcPr>
            <w:tcW w:w="5103" w:type="dxa"/>
            <w:shd w:val="clear" w:color="auto" w:fill="auto"/>
          </w:tcPr>
          <w:p w:rsidR="009C13A9" w:rsidRPr="009072DA" w:rsidRDefault="009C13A9" w:rsidP="009C13A9">
            <w:pPr>
              <w:spacing w:before="60" w:after="60" w:line="240" w:lineRule="atLeast"/>
              <w:rPr>
                <w:rFonts w:cs="Arial"/>
                <w:color w:val="000000"/>
                <w:sz w:val="18"/>
                <w:lang w:val="bg-BG"/>
              </w:rPr>
            </w:pPr>
            <w:r w:rsidRPr="009072DA">
              <w:rPr>
                <w:color w:val="000000"/>
                <w:sz w:val="18"/>
                <w:lang w:val="bg-BG"/>
              </w:rPr>
              <w:t>Температура в биобасейна</w:t>
            </w:r>
          </w:p>
        </w:tc>
        <w:tc>
          <w:tcPr>
            <w:tcW w:w="1417" w:type="dxa"/>
            <w:shd w:val="clear" w:color="auto" w:fill="auto"/>
          </w:tcPr>
          <w:p w:rsidR="009C13A9" w:rsidRPr="009072DA" w:rsidRDefault="009C13A9" w:rsidP="009C13A9">
            <w:pPr>
              <w:spacing w:before="60" w:after="60" w:line="240" w:lineRule="atLeast"/>
              <w:rPr>
                <w:rFonts w:cs="Arial"/>
                <w:color w:val="000000"/>
                <w:sz w:val="18"/>
                <w:lang w:val="bg-BG"/>
              </w:rPr>
            </w:pPr>
          </w:p>
        </w:tc>
      </w:tr>
      <w:tr w:rsidR="009C13A9" w:rsidRPr="009072DA" w:rsidTr="009C13A9">
        <w:trPr>
          <w:jc w:val="center"/>
        </w:trPr>
        <w:tc>
          <w:tcPr>
            <w:tcW w:w="5103" w:type="dxa"/>
            <w:shd w:val="clear" w:color="auto" w:fill="auto"/>
          </w:tcPr>
          <w:p w:rsidR="009C13A9" w:rsidRPr="009072DA" w:rsidRDefault="009C13A9" w:rsidP="009C13A9">
            <w:pPr>
              <w:spacing w:before="60" w:after="60" w:line="240" w:lineRule="atLeast"/>
              <w:rPr>
                <w:rFonts w:cs="Arial"/>
                <w:color w:val="000000"/>
                <w:sz w:val="18"/>
                <w:lang w:val="bg-BG"/>
              </w:rPr>
            </w:pPr>
            <w:r w:rsidRPr="009072DA">
              <w:rPr>
                <w:color w:val="000000"/>
                <w:sz w:val="18"/>
                <w:lang w:val="bg-BG"/>
              </w:rPr>
              <w:t>Температура на околната среда</w:t>
            </w:r>
          </w:p>
        </w:tc>
        <w:tc>
          <w:tcPr>
            <w:tcW w:w="1417" w:type="dxa"/>
            <w:shd w:val="clear" w:color="auto" w:fill="auto"/>
          </w:tcPr>
          <w:p w:rsidR="009C13A9" w:rsidRPr="009072DA" w:rsidRDefault="009C13A9" w:rsidP="009C13A9">
            <w:pPr>
              <w:spacing w:before="60" w:after="60" w:line="240" w:lineRule="atLeast"/>
              <w:rPr>
                <w:rFonts w:cs="Arial"/>
                <w:color w:val="000000"/>
                <w:sz w:val="18"/>
                <w:lang w:val="bg-BG"/>
              </w:rPr>
            </w:pPr>
          </w:p>
        </w:tc>
      </w:tr>
    </w:tbl>
    <w:p w:rsidR="009C13A9" w:rsidRPr="009072DA" w:rsidRDefault="009C13A9" w:rsidP="009C13A9">
      <w:pPr>
        <w:spacing w:line="240" w:lineRule="atLeast"/>
        <w:ind w:left="709" w:hanging="709"/>
        <w:rPr>
          <w:rFonts w:cs="Arial"/>
          <w:color w:val="000000"/>
          <w:lang w:val="bg-BG"/>
        </w:rPr>
      </w:pPr>
    </w:p>
    <w:p w:rsidR="009C13A9" w:rsidRPr="009072DA" w:rsidRDefault="009C13A9" w:rsidP="009C13A9">
      <w:pPr>
        <w:spacing w:line="240" w:lineRule="atLeast"/>
        <w:ind w:left="709" w:hanging="709"/>
        <w:rPr>
          <w:rFonts w:cs="Arial"/>
          <w:color w:val="000000"/>
          <w:lang w:val="bg-BG"/>
        </w:rPr>
      </w:pPr>
      <w:r w:rsidRPr="009072DA">
        <w:rPr>
          <w:color w:val="000000"/>
          <w:lang w:val="bg-BG"/>
        </w:rPr>
        <w:t>1.3.3</w:t>
      </w:r>
      <w:r w:rsidRPr="009072DA">
        <w:rPr>
          <w:lang w:val="bg-BG"/>
        </w:rPr>
        <w:tab/>
      </w:r>
      <w:r w:rsidRPr="009072DA">
        <w:rPr>
          <w:color w:val="000000"/>
          <w:lang w:val="bg-BG"/>
        </w:rPr>
        <w:t>Други работни параметри в съответствие с ръководството за работа от производителя</w:t>
      </w:r>
    </w:p>
    <w:p w:rsidR="009C13A9" w:rsidRPr="009072DA" w:rsidRDefault="009C13A9" w:rsidP="009C13A9">
      <w:pPr>
        <w:tabs>
          <w:tab w:val="left" w:leader="dot" w:pos="9072"/>
        </w:tabs>
        <w:spacing w:before="60" w:line="240" w:lineRule="atLeast"/>
        <w:ind w:left="709"/>
        <w:rPr>
          <w:rFonts w:cs="Arial"/>
          <w:color w:val="000000"/>
          <w:lang w:val="bg-BG"/>
        </w:rPr>
      </w:pPr>
      <w:r w:rsidRPr="009072DA">
        <w:rPr>
          <w:lang w:val="bg-BG"/>
        </w:rPr>
        <w:lastRenderedPageBreak/>
        <w:tab/>
      </w:r>
    </w:p>
    <w:p w:rsidR="009C13A9" w:rsidRPr="009072DA" w:rsidRDefault="009C13A9" w:rsidP="009C13A9">
      <w:pPr>
        <w:tabs>
          <w:tab w:val="left" w:leader="dot" w:pos="9072"/>
        </w:tabs>
        <w:spacing w:before="60" w:line="240" w:lineRule="atLeast"/>
        <w:ind w:left="709"/>
        <w:rPr>
          <w:rFonts w:cs="Arial"/>
          <w:color w:val="000000"/>
          <w:lang w:val="bg-BG"/>
        </w:rPr>
      </w:pPr>
      <w:r w:rsidRPr="009072DA">
        <w:rPr>
          <w:lang w:val="bg-BG"/>
        </w:rPr>
        <w:tab/>
      </w:r>
    </w:p>
    <w:p w:rsidR="009C13A9" w:rsidRPr="009072DA" w:rsidRDefault="009C13A9" w:rsidP="009C13A9">
      <w:pPr>
        <w:tabs>
          <w:tab w:val="left" w:leader="dot" w:pos="9072"/>
        </w:tabs>
        <w:spacing w:before="60" w:line="240" w:lineRule="atLeast"/>
        <w:ind w:left="709"/>
        <w:rPr>
          <w:rFonts w:cs="Arial"/>
          <w:color w:val="000000"/>
          <w:lang w:val="bg-BG"/>
        </w:rPr>
      </w:pPr>
      <w:r w:rsidRPr="009072DA">
        <w:rPr>
          <w:lang w:val="bg-BG"/>
        </w:rPr>
        <w:tab/>
      </w:r>
    </w:p>
    <w:p w:rsidR="009C13A9" w:rsidRPr="009072DA" w:rsidRDefault="009C13A9" w:rsidP="009C13A9">
      <w:pPr>
        <w:tabs>
          <w:tab w:val="left" w:leader="dot" w:pos="9072"/>
        </w:tabs>
        <w:spacing w:before="60" w:line="240" w:lineRule="atLeast"/>
        <w:ind w:left="709"/>
        <w:rPr>
          <w:rFonts w:cs="Arial"/>
          <w:color w:val="000000"/>
          <w:lang w:val="bg-BG"/>
        </w:rPr>
      </w:pPr>
      <w:r w:rsidRPr="009072DA">
        <w:rPr>
          <w:lang w:val="bg-BG"/>
        </w:rPr>
        <w:tab/>
      </w:r>
    </w:p>
    <w:p w:rsidR="009C13A9" w:rsidRPr="009072DA" w:rsidRDefault="009C13A9" w:rsidP="009C13A9">
      <w:pPr>
        <w:spacing w:line="240" w:lineRule="atLeast"/>
        <w:ind w:left="709" w:hanging="709"/>
        <w:rPr>
          <w:rFonts w:cs="Arial"/>
          <w:color w:val="000000"/>
          <w:lang w:val="bg-BG"/>
        </w:rPr>
      </w:pPr>
    </w:p>
    <w:p w:rsidR="009C13A9" w:rsidRPr="009072DA" w:rsidRDefault="009C13A9" w:rsidP="009C13A9">
      <w:pPr>
        <w:spacing w:line="240" w:lineRule="atLeast"/>
        <w:ind w:left="709" w:hanging="709"/>
        <w:rPr>
          <w:rFonts w:cs="Arial"/>
          <w:color w:val="000000"/>
          <w:lang w:val="bg-BG"/>
        </w:rPr>
      </w:pPr>
      <w:r w:rsidRPr="009072DA">
        <w:rPr>
          <w:color w:val="000000"/>
          <w:lang w:val="bg-BG"/>
        </w:rPr>
        <w:t>1.4</w:t>
      </w:r>
      <w:r w:rsidRPr="009072DA">
        <w:rPr>
          <w:lang w:val="bg-BG"/>
        </w:rPr>
        <w:tab/>
      </w:r>
      <w:r w:rsidRPr="009072DA">
        <w:rPr>
          <w:color w:val="000000"/>
          <w:lang w:val="bg-BG"/>
        </w:rPr>
        <w:t>Компетентен орган или техническа служба:</w:t>
      </w:r>
    </w:p>
    <w:p w:rsidR="009C13A9" w:rsidRPr="009072DA" w:rsidRDefault="009C13A9" w:rsidP="009C13A9">
      <w:pPr>
        <w:spacing w:line="240" w:lineRule="atLeast"/>
        <w:ind w:left="709" w:hanging="709"/>
        <w:rPr>
          <w:rFonts w:cs="Arial"/>
          <w:color w:val="000000"/>
          <w:lang w:val="bg-BG"/>
        </w:rPr>
      </w:pPr>
    </w:p>
    <w:p w:rsidR="009C13A9" w:rsidRPr="009072DA" w:rsidRDefault="009C13A9" w:rsidP="009C13A9">
      <w:pPr>
        <w:spacing w:line="240" w:lineRule="atLeast"/>
        <w:ind w:left="709" w:hanging="709"/>
        <w:rPr>
          <w:rFonts w:cs="Arial"/>
          <w:color w:val="000000"/>
          <w:lang w:val="bg-BG"/>
        </w:rPr>
      </w:pPr>
    </w:p>
    <w:p w:rsidR="009C13A9" w:rsidRPr="009072DA" w:rsidRDefault="009C13A9" w:rsidP="009C13A9">
      <w:pPr>
        <w:tabs>
          <w:tab w:val="left" w:leader="dot" w:pos="3828"/>
          <w:tab w:val="left" w:pos="4111"/>
          <w:tab w:val="left" w:leader="dot" w:pos="9072"/>
        </w:tabs>
        <w:spacing w:line="240" w:lineRule="atLeast"/>
        <w:rPr>
          <w:rFonts w:cs="Arial"/>
          <w:color w:val="000000"/>
          <w:lang w:val="bg-BG"/>
        </w:rPr>
      </w:pPr>
      <w:r w:rsidRPr="009072DA">
        <w:rPr>
          <w:color w:val="000000"/>
          <w:lang w:val="bg-BG"/>
        </w:rPr>
        <w:t xml:space="preserve">Място, дата: </w:t>
      </w:r>
      <w:r w:rsidRPr="009072DA">
        <w:rPr>
          <w:lang w:val="bg-BG"/>
        </w:rPr>
        <w:tab/>
      </w:r>
      <w:r w:rsidRPr="009072DA">
        <w:rPr>
          <w:lang w:val="bg-BG"/>
        </w:rPr>
        <w:tab/>
      </w:r>
      <w:r w:rsidRPr="009072DA">
        <w:rPr>
          <w:color w:val="000000"/>
          <w:lang w:val="bg-BG"/>
        </w:rPr>
        <w:t xml:space="preserve">Подпис: </w:t>
      </w:r>
      <w:r w:rsidRPr="009072DA">
        <w:rPr>
          <w:lang w:val="bg-BG"/>
        </w:rPr>
        <w:tab/>
      </w:r>
    </w:p>
    <w:p w:rsidR="009C13A9" w:rsidRPr="009072DA" w:rsidRDefault="009C13A9" w:rsidP="009C13A9">
      <w:pPr>
        <w:spacing w:line="240" w:lineRule="atLeast"/>
        <w:ind w:left="709" w:hanging="709"/>
        <w:rPr>
          <w:rFonts w:cs="Arial"/>
          <w:color w:val="000000"/>
          <w:lang w:val="bg-BG"/>
        </w:rPr>
      </w:pPr>
    </w:p>
    <w:p w:rsidR="009C13A9" w:rsidRPr="009072DA" w:rsidRDefault="009C13A9" w:rsidP="009C13A9">
      <w:pPr>
        <w:spacing w:line="240" w:lineRule="atLeast"/>
        <w:ind w:left="709" w:hanging="709"/>
        <w:rPr>
          <w:rFonts w:cs="Arial"/>
          <w:color w:val="000000"/>
          <w:lang w:val="bg-BG"/>
        </w:rPr>
      </w:pPr>
    </w:p>
    <w:p w:rsidR="009C13A9" w:rsidRPr="009072DA" w:rsidRDefault="009C13A9" w:rsidP="009C13A9">
      <w:pPr>
        <w:spacing w:line="240" w:lineRule="atLeast"/>
        <w:ind w:left="709" w:hanging="709"/>
        <w:rPr>
          <w:rFonts w:cs="Arial"/>
          <w:color w:val="000000"/>
          <w:lang w:val="bg-BG"/>
        </w:rPr>
      </w:pPr>
    </w:p>
    <w:p w:rsidR="009C13A9" w:rsidRPr="009072DA" w:rsidRDefault="009C13A9" w:rsidP="009C13A9">
      <w:pPr>
        <w:spacing w:line="240" w:lineRule="atLeast"/>
        <w:ind w:left="709" w:hanging="709"/>
        <w:rPr>
          <w:rFonts w:cs="Arial"/>
          <w:color w:val="000000"/>
          <w:lang w:val="bg-BG"/>
        </w:rPr>
      </w:pPr>
      <w:r w:rsidRPr="009072DA">
        <w:rPr>
          <w:lang w:val="bg-BG"/>
        </w:rPr>
        <w:br w:type="page"/>
      </w:r>
    </w:p>
    <w:p w:rsidR="00390107" w:rsidRPr="009072DA" w:rsidRDefault="00390107" w:rsidP="009C13A9">
      <w:pPr>
        <w:spacing w:line="240" w:lineRule="atLeast"/>
        <w:ind w:left="709" w:hanging="709"/>
        <w:rPr>
          <w:rFonts w:cs="Arial"/>
          <w:color w:val="000000"/>
          <w:lang w:val="bg-BG"/>
        </w:rPr>
      </w:pPr>
    </w:p>
    <w:p w:rsidR="00390107" w:rsidRPr="009072DA" w:rsidRDefault="00390107" w:rsidP="009C13A9">
      <w:pPr>
        <w:spacing w:line="240" w:lineRule="atLeast"/>
        <w:ind w:left="709" w:hanging="709"/>
        <w:rPr>
          <w:rFonts w:cs="Arial"/>
          <w:color w:val="000000"/>
          <w:lang w:val="bg-BG"/>
        </w:rPr>
      </w:pPr>
    </w:p>
    <w:p w:rsidR="009C13A9" w:rsidRPr="009072DA" w:rsidRDefault="009C13A9" w:rsidP="009C13A9">
      <w:pPr>
        <w:spacing w:line="240" w:lineRule="atLeast"/>
        <w:ind w:left="709" w:hanging="709"/>
        <w:rPr>
          <w:rFonts w:cs="Arial"/>
          <w:color w:val="000000"/>
          <w:lang w:val="bg-BG"/>
        </w:rPr>
      </w:pPr>
    </w:p>
    <w:p w:rsidR="009C13A9" w:rsidRPr="009072DA" w:rsidRDefault="009C13A9" w:rsidP="009C13A9">
      <w:pPr>
        <w:spacing w:line="240" w:lineRule="atLeast"/>
        <w:rPr>
          <w:rFonts w:cs="Arial"/>
          <w:color w:val="000000"/>
          <w:lang w:val="bg-BG"/>
        </w:rPr>
      </w:pPr>
      <w:r w:rsidRPr="009072DA">
        <w:rPr>
          <w:lang w:val="bg-BG"/>
        </w:rPr>
        <w:br w:type="page"/>
      </w:r>
    </w:p>
    <w:p w:rsidR="009C13A9" w:rsidRPr="009072DA" w:rsidRDefault="00925755" w:rsidP="00390107">
      <w:pPr>
        <w:pStyle w:val="ES-Titre3"/>
        <w:rPr>
          <w:lang w:val="bg-BG"/>
        </w:rPr>
      </w:pPr>
      <w:bookmarkStart w:id="693" w:name="_Toc491854330"/>
      <w:bookmarkStart w:id="694" w:name="_Toc535827771"/>
      <w:r w:rsidRPr="009072DA">
        <w:rPr>
          <w:lang w:val="bg-BG"/>
        </w:rPr>
        <w:lastRenderedPageBreak/>
        <w:t>Раздел IV</w:t>
      </w:r>
      <w:bookmarkEnd w:id="693"/>
      <w:bookmarkEnd w:id="694"/>
    </w:p>
    <w:p w:rsidR="009C13A9" w:rsidRPr="009072DA" w:rsidRDefault="00390107" w:rsidP="00390107">
      <w:pPr>
        <w:pStyle w:val="ES-Titre3a"/>
        <w:rPr>
          <w:lang w:val="bg-BG"/>
        </w:rPr>
      </w:pPr>
      <w:bookmarkStart w:id="695" w:name="_Toc491854331"/>
      <w:bookmarkStart w:id="696" w:name="_Toc535827772"/>
      <w:r w:rsidRPr="009072DA">
        <w:rPr>
          <w:lang w:val="bg-BG"/>
        </w:rPr>
        <w:t>Система за номериране на одобренията на типа</w:t>
      </w:r>
      <w:bookmarkEnd w:id="695"/>
      <w:bookmarkEnd w:id="696"/>
    </w:p>
    <w:p w:rsidR="009C13A9" w:rsidRPr="009072DA" w:rsidRDefault="009C13A9" w:rsidP="009C13A9">
      <w:pPr>
        <w:overflowPunct w:val="0"/>
        <w:adjustRightInd w:val="0"/>
        <w:spacing w:line="240" w:lineRule="exact"/>
        <w:jc w:val="center"/>
        <w:textAlignment w:val="baseline"/>
        <w:rPr>
          <w:rFonts w:eastAsia="Calibri"/>
          <w:lang w:val="bg-BG"/>
        </w:rPr>
      </w:pPr>
      <w:r w:rsidRPr="009072DA">
        <w:rPr>
          <w:lang w:val="bg-BG"/>
        </w:rPr>
        <w:t>(Образец)</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1.</w:t>
      </w:r>
      <w:r w:rsidRPr="009072DA">
        <w:rPr>
          <w:lang w:val="bg-BG"/>
        </w:rPr>
        <w:tab/>
      </w:r>
      <w:r w:rsidRPr="009072DA">
        <w:rPr>
          <w:color w:val="000000"/>
          <w:lang w:val="bg-BG"/>
        </w:rPr>
        <w:t>Система</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ind w:left="426"/>
        <w:rPr>
          <w:lang w:val="bg-BG"/>
        </w:rPr>
      </w:pPr>
      <w:r w:rsidRPr="009072DA">
        <w:rPr>
          <w:lang w:val="bg-BG"/>
        </w:rPr>
        <w:t>Номерът трябва да се състои от четири части, разделени от символа „*“.</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1560" w:hanging="1134"/>
        <w:rPr>
          <w:lang w:val="bg-BG"/>
        </w:rPr>
      </w:pPr>
      <w:r w:rsidRPr="009072DA">
        <w:rPr>
          <w:lang w:val="bg-BG"/>
        </w:rPr>
        <w:t>Раздел 1:</w:t>
      </w:r>
      <w:r w:rsidRPr="009072DA">
        <w:rPr>
          <w:lang w:val="bg-BG"/>
        </w:rPr>
        <w:tab/>
        <w:t>Малка буква „e“ за ЕС или буквата „R“, последвана от отличителния номер на държавата, която издава одобрението на типа:</w:t>
      </w:r>
    </w:p>
    <w:p w:rsidR="009C13A9" w:rsidRPr="009072DA" w:rsidRDefault="009C13A9" w:rsidP="009C13A9">
      <w:pPr>
        <w:ind w:left="850" w:hanging="850"/>
        <w:rPr>
          <w:lang w:val="bg-BG"/>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01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Германия</w:t>
            </w:r>
          </w:p>
        </w:tc>
        <w:tc>
          <w:tcPr>
            <w:tcW w:w="724" w:type="dxa"/>
          </w:tcPr>
          <w:p w:rsidR="009C13A9" w:rsidRPr="009072DA" w:rsidRDefault="009C13A9" w:rsidP="009C13A9">
            <w:pPr>
              <w:spacing w:before="40" w:after="40" w:line="240" w:lineRule="atLeast"/>
              <w:rPr>
                <w:szCs w:val="20"/>
                <w:lang w:val="bg-BG"/>
              </w:rPr>
            </w:pPr>
            <w:r w:rsidRPr="009072DA">
              <w:rPr>
                <w:lang w:val="bg-BG"/>
              </w:rPr>
              <w:t>19</w:t>
            </w:r>
          </w:p>
        </w:tc>
        <w:tc>
          <w:tcPr>
            <w:tcW w:w="416" w:type="dxa"/>
          </w:tcPr>
          <w:p w:rsidR="009C13A9" w:rsidRPr="009072DA" w:rsidRDefault="009C13A9" w:rsidP="009C13A9">
            <w:pPr>
              <w:spacing w:before="40" w:after="40" w:line="240" w:lineRule="atLeast"/>
              <w:rPr>
                <w:szCs w:val="20"/>
                <w:lang w:val="bg-BG"/>
              </w:rPr>
            </w:pPr>
            <w:r w:rsidRPr="009072DA">
              <w:rPr>
                <w:lang w:val="bg-BG"/>
              </w:rPr>
              <w:t>=</w:t>
            </w:r>
          </w:p>
        </w:tc>
        <w:tc>
          <w:tcPr>
            <w:tcW w:w="2205" w:type="dxa"/>
          </w:tcPr>
          <w:p w:rsidR="009C13A9" w:rsidRPr="009072DA" w:rsidRDefault="009C13A9" w:rsidP="009C13A9">
            <w:pPr>
              <w:spacing w:before="40" w:after="40" w:line="240" w:lineRule="atLeast"/>
              <w:rPr>
                <w:szCs w:val="20"/>
                <w:lang w:val="bg-BG"/>
              </w:rPr>
            </w:pPr>
            <w:r w:rsidRPr="009072DA">
              <w:rPr>
                <w:lang w:val="bg-BG"/>
              </w:rPr>
              <w:t>Румъния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02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 xml:space="preserve">Франция </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20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 xml:space="preserve">Полша </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03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Италия</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21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 xml:space="preserve">Португалия </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04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 xml:space="preserve">Нидерландия </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23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Гърция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05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Швеция</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24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Ирландия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06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 xml:space="preserve">Белгия </w:t>
            </w:r>
          </w:p>
        </w:tc>
        <w:tc>
          <w:tcPr>
            <w:tcW w:w="724" w:type="dxa"/>
            <w:vAlign w:val="center"/>
          </w:tcPr>
          <w:p w:rsidR="009C13A9" w:rsidRPr="009072DA" w:rsidRDefault="009C13A9" w:rsidP="009C13A9">
            <w:pPr>
              <w:spacing w:before="40" w:after="40" w:line="240" w:lineRule="atLeast"/>
              <w:rPr>
                <w:szCs w:val="20"/>
                <w:lang w:val="bg-BG"/>
              </w:rPr>
            </w:pPr>
            <w:r w:rsidRPr="009072DA">
              <w:rPr>
                <w:color w:val="000000"/>
                <w:lang w:val="bg-BG"/>
              </w:rPr>
              <w:t>25</w:t>
            </w:r>
          </w:p>
        </w:tc>
        <w:tc>
          <w:tcPr>
            <w:tcW w:w="416" w:type="dxa"/>
            <w:vAlign w:val="center"/>
          </w:tcPr>
          <w:p w:rsidR="009C13A9" w:rsidRPr="009072DA" w:rsidRDefault="009C13A9" w:rsidP="009C13A9">
            <w:pPr>
              <w:spacing w:before="40" w:after="40" w:line="240" w:lineRule="atLeast"/>
              <w:rPr>
                <w:szCs w:val="20"/>
                <w:lang w:val="bg-BG"/>
              </w:rPr>
            </w:pPr>
            <w:r w:rsidRPr="009072DA">
              <w:rPr>
                <w:color w:val="000000"/>
                <w:lang w:val="bg-BG"/>
              </w:rPr>
              <w:t>=</w:t>
            </w:r>
          </w:p>
        </w:tc>
        <w:tc>
          <w:tcPr>
            <w:tcW w:w="2205" w:type="dxa"/>
            <w:vAlign w:val="center"/>
          </w:tcPr>
          <w:p w:rsidR="009C13A9" w:rsidRPr="009072DA" w:rsidRDefault="009C13A9" w:rsidP="009C13A9">
            <w:pPr>
              <w:spacing w:before="40" w:after="40" w:line="240" w:lineRule="atLeast"/>
              <w:rPr>
                <w:szCs w:val="20"/>
                <w:lang w:val="bg-BG"/>
              </w:rPr>
            </w:pPr>
            <w:r w:rsidRPr="009072DA">
              <w:rPr>
                <w:lang w:val="bg-BG"/>
              </w:rPr>
              <w:t>Хърватия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07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Унгария</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26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Словения</w:t>
            </w:r>
          </w:p>
        </w:tc>
      </w:tr>
      <w:tr w:rsidR="009C13A9" w:rsidRPr="009072DA" w:rsidTr="009C13A9">
        <w:trPr>
          <w:jc w:val="center"/>
        </w:trPr>
        <w:tc>
          <w:tcPr>
            <w:tcW w:w="720" w:type="dxa"/>
          </w:tcPr>
          <w:p w:rsidR="009C13A9" w:rsidRPr="009072DA" w:rsidRDefault="009C13A9" w:rsidP="009C13A9">
            <w:pPr>
              <w:spacing w:before="40" w:after="160" w:line="240" w:lineRule="atLeast"/>
              <w:rPr>
                <w:szCs w:val="20"/>
                <w:lang w:val="bg-BG"/>
              </w:rPr>
            </w:pPr>
            <w:r w:rsidRPr="009072DA">
              <w:rPr>
                <w:lang w:val="bg-BG"/>
              </w:rPr>
              <w:t xml:space="preserve">08 </w:t>
            </w:r>
          </w:p>
        </w:tc>
        <w:tc>
          <w:tcPr>
            <w:tcW w:w="360" w:type="dxa"/>
          </w:tcPr>
          <w:p w:rsidR="009C13A9" w:rsidRPr="009072DA" w:rsidRDefault="009C13A9" w:rsidP="009C13A9">
            <w:pPr>
              <w:spacing w:before="40" w:after="16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160" w:line="240" w:lineRule="atLeast"/>
              <w:rPr>
                <w:szCs w:val="20"/>
                <w:lang w:val="bg-BG"/>
              </w:rPr>
            </w:pPr>
            <w:r w:rsidRPr="009072DA">
              <w:rPr>
                <w:lang w:val="bg-BG"/>
              </w:rPr>
              <w:t>Чешка република</w:t>
            </w:r>
          </w:p>
        </w:tc>
        <w:tc>
          <w:tcPr>
            <w:tcW w:w="724" w:type="dxa"/>
          </w:tcPr>
          <w:p w:rsidR="009C13A9" w:rsidRPr="009072DA" w:rsidRDefault="009C13A9" w:rsidP="009C13A9">
            <w:pPr>
              <w:spacing w:before="40" w:after="160" w:line="240" w:lineRule="atLeast"/>
              <w:rPr>
                <w:szCs w:val="20"/>
                <w:lang w:val="bg-BG"/>
              </w:rPr>
            </w:pPr>
            <w:r w:rsidRPr="009072DA">
              <w:rPr>
                <w:lang w:val="bg-BG"/>
              </w:rPr>
              <w:t xml:space="preserve">27 </w:t>
            </w:r>
          </w:p>
        </w:tc>
        <w:tc>
          <w:tcPr>
            <w:tcW w:w="416" w:type="dxa"/>
          </w:tcPr>
          <w:p w:rsidR="009C13A9" w:rsidRPr="009072DA" w:rsidRDefault="009C13A9" w:rsidP="009C13A9">
            <w:pPr>
              <w:spacing w:before="40" w:after="16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160" w:line="240" w:lineRule="atLeast"/>
              <w:rPr>
                <w:szCs w:val="20"/>
                <w:lang w:val="bg-BG"/>
              </w:rPr>
            </w:pPr>
            <w:r w:rsidRPr="009072DA">
              <w:rPr>
                <w:lang w:val="bg-BG"/>
              </w:rPr>
              <w:t>Словакия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09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 xml:space="preserve">Испания </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29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Естония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11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Обединено кралство</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32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Латвия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12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Австрия</w:t>
            </w:r>
          </w:p>
        </w:tc>
        <w:tc>
          <w:tcPr>
            <w:tcW w:w="724" w:type="dxa"/>
          </w:tcPr>
          <w:p w:rsidR="009C13A9" w:rsidRPr="009072DA" w:rsidRDefault="009C13A9" w:rsidP="009C13A9">
            <w:pPr>
              <w:spacing w:before="40" w:after="40" w:line="240" w:lineRule="atLeast"/>
              <w:rPr>
                <w:szCs w:val="20"/>
                <w:lang w:val="bg-BG"/>
              </w:rPr>
            </w:pPr>
            <w:r w:rsidRPr="009072DA">
              <w:rPr>
                <w:lang w:val="bg-BG"/>
              </w:rPr>
              <w:t>34</w:t>
            </w:r>
          </w:p>
        </w:tc>
        <w:tc>
          <w:tcPr>
            <w:tcW w:w="416" w:type="dxa"/>
          </w:tcPr>
          <w:p w:rsidR="009C13A9" w:rsidRPr="009072DA" w:rsidRDefault="009C13A9" w:rsidP="009C13A9">
            <w:pPr>
              <w:spacing w:before="40" w:after="40" w:line="240" w:lineRule="atLeast"/>
              <w:rPr>
                <w:szCs w:val="20"/>
                <w:lang w:val="bg-BG"/>
              </w:rPr>
            </w:pPr>
            <w:r w:rsidRPr="009072DA">
              <w:rPr>
                <w:lang w:val="bg-BG"/>
              </w:rPr>
              <w:t>=</w:t>
            </w:r>
          </w:p>
        </w:tc>
        <w:tc>
          <w:tcPr>
            <w:tcW w:w="2205" w:type="dxa"/>
          </w:tcPr>
          <w:p w:rsidR="009C13A9" w:rsidRPr="009072DA" w:rsidRDefault="009C13A9" w:rsidP="009C13A9">
            <w:pPr>
              <w:spacing w:before="40" w:after="40" w:line="240" w:lineRule="atLeast"/>
              <w:rPr>
                <w:szCs w:val="20"/>
                <w:lang w:val="bg-BG"/>
              </w:rPr>
            </w:pPr>
            <w:r w:rsidRPr="009072DA">
              <w:rPr>
                <w:lang w:val="bg-BG"/>
              </w:rPr>
              <w:t>България</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13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 xml:space="preserve">Люксембург </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36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Литва</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14</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Швейцария</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49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Кипър</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17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Финландия</w:t>
            </w:r>
          </w:p>
        </w:tc>
        <w:tc>
          <w:tcPr>
            <w:tcW w:w="724" w:type="dxa"/>
          </w:tcPr>
          <w:p w:rsidR="009C13A9" w:rsidRPr="009072DA" w:rsidRDefault="009C13A9" w:rsidP="009C13A9">
            <w:pPr>
              <w:spacing w:before="40" w:after="40" w:line="240" w:lineRule="atLeast"/>
              <w:rPr>
                <w:szCs w:val="20"/>
                <w:lang w:val="bg-BG"/>
              </w:rPr>
            </w:pPr>
            <w:r w:rsidRPr="009072DA">
              <w:rPr>
                <w:lang w:val="bg-BG"/>
              </w:rPr>
              <w:t xml:space="preserve">50 </w:t>
            </w:r>
          </w:p>
        </w:tc>
        <w:tc>
          <w:tcPr>
            <w:tcW w:w="416"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2205" w:type="dxa"/>
          </w:tcPr>
          <w:p w:rsidR="009C13A9" w:rsidRPr="009072DA" w:rsidRDefault="009C13A9" w:rsidP="009C13A9">
            <w:pPr>
              <w:spacing w:before="40" w:after="40" w:line="240" w:lineRule="atLeast"/>
              <w:rPr>
                <w:szCs w:val="20"/>
                <w:lang w:val="bg-BG"/>
              </w:rPr>
            </w:pPr>
            <w:r w:rsidRPr="009072DA">
              <w:rPr>
                <w:lang w:val="bg-BG"/>
              </w:rPr>
              <w:t>Малта</w:t>
            </w:r>
          </w:p>
        </w:tc>
      </w:tr>
      <w:tr w:rsidR="009C13A9" w:rsidRPr="009072DA" w:rsidTr="009C13A9">
        <w:trPr>
          <w:jc w:val="center"/>
        </w:trPr>
        <w:tc>
          <w:tcPr>
            <w:tcW w:w="720" w:type="dxa"/>
          </w:tcPr>
          <w:p w:rsidR="009C13A9" w:rsidRPr="009072DA" w:rsidRDefault="009C13A9" w:rsidP="009C13A9">
            <w:pPr>
              <w:spacing w:before="40" w:after="40" w:line="240" w:lineRule="atLeast"/>
              <w:rPr>
                <w:szCs w:val="20"/>
                <w:lang w:val="bg-BG"/>
              </w:rPr>
            </w:pPr>
            <w:r w:rsidRPr="009072DA">
              <w:rPr>
                <w:lang w:val="bg-BG"/>
              </w:rPr>
              <w:t xml:space="preserve">18 </w:t>
            </w:r>
          </w:p>
        </w:tc>
        <w:tc>
          <w:tcPr>
            <w:tcW w:w="360" w:type="dxa"/>
          </w:tcPr>
          <w:p w:rsidR="009C13A9" w:rsidRPr="009072DA" w:rsidRDefault="009C13A9" w:rsidP="009C13A9">
            <w:pPr>
              <w:spacing w:before="40" w:after="40" w:line="240" w:lineRule="atLeast"/>
              <w:rPr>
                <w:szCs w:val="20"/>
                <w:lang w:val="bg-BG"/>
              </w:rPr>
            </w:pPr>
            <w:r w:rsidRPr="009072DA">
              <w:rPr>
                <w:lang w:val="bg-BG"/>
              </w:rPr>
              <w:t xml:space="preserve">= </w:t>
            </w:r>
          </w:p>
        </w:tc>
        <w:tc>
          <w:tcPr>
            <w:tcW w:w="3162" w:type="dxa"/>
          </w:tcPr>
          <w:p w:rsidR="009C13A9" w:rsidRPr="009072DA" w:rsidRDefault="009C13A9" w:rsidP="009C13A9">
            <w:pPr>
              <w:spacing w:before="40" w:after="40" w:line="240" w:lineRule="atLeast"/>
              <w:rPr>
                <w:szCs w:val="20"/>
                <w:lang w:val="bg-BG"/>
              </w:rPr>
            </w:pPr>
            <w:r w:rsidRPr="009072DA">
              <w:rPr>
                <w:lang w:val="bg-BG"/>
              </w:rPr>
              <w:t xml:space="preserve">Дания </w:t>
            </w:r>
          </w:p>
        </w:tc>
        <w:tc>
          <w:tcPr>
            <w:tcW w:w="724" w:type="dxa"/>
          </w:tcPr>
          <w:p w:rsidR="009C13A9" w:rsidRPr="009072DA" w:rsidRDefault="009C13A9" w:rsidP="009C13A9">
            <w:pPr>
              <w:spacing w:before="40" w:after="40" w:line="240" w:lineRule="atLeast"/>
              <w:rPr>
                <w:szCs w:val="20"/>
                <w:lang w:val="bg-BG"/>
              </w:rPr>
            </w:pPr>
          </w:p>
        </w:tc>
        <w:tc>
          <w:tcPr>
            <w:tcW w:w="416" w:type="dxa"/>
          </w:tcPr>
          <w:p w:rsidR="009C13A9" w:rsidRPr="009072DA" w:rsidRDefault="009C13A9" w:rsidP="009C13A9">
            <w:pPr>
              <w:spacing w:before="40" w:after="40" w:line="240" w:lineRule="atLeast"/>
              <w:rPr>
                <w:szCs w:val="20"/>
                <w:lang w:val="bg-BG"/>
              </w:rPr>
            </w:pPr>
          </w:p>
        </w:tc>
        <w:tc>
          <w:tcPr>
            <w:tcW w:w="2205" w:type="dxa"/>
          </w:tcPr>
          <w:p w:rsidR="009C13A9" w:rsidRPr="009072DA" w:rsidRDefault="009C13A9" w:rsidP="009C13A9">
            <w:pPr>
              <w:spacing w:before="40" w:after="40" w:line="240" w:lineRule="atLeast"/>
              <w:rPr>
                <w:szCs w:val="20"/>
                <w:lang w:val="bg-BG"/>
              </w:rPr>
            </w:pPr>
          </w:p>
        </w:tc>
      </w:tr>
    </w:tbl>
    <w:p w:rsidR="009C13A9" w:rsidRPr="009072DA" w:rsidRDefault="009C13A9" w:rsidP="009C13A9">
      <w:pPr>
        <w:ind w:left="850" w:hanging="850"/>
        <w:rPr>
          <w:lang w:val="bg-BG"/>
        </w:rPr>
      </w:pPr>
    </w:p>
    <w:p w:rsidR="009C13A9" w:rsidRPr="009072DA" w:rsidRDefault="009C13A9" w:rsidP="009C13A9">
      <w:pPr>
        <w:ind w:left="850" w:hanging="850"/>
        <w:rPr>
          <w:lang w:val="bg-BG"/>
        </w:rPr>
      </w:pPr>
    </w:p>
    <w:p w:rsidR="009C13A9" w:rsidRPr="009072DA" w:rsidRDefault="009C13A9" w:rsidP="009C13A9">
      <w:pPr>
        <w:spacing w:line="240" w:lineRule="atLeast"/>
        <w:ind w:left="1560" w:hanging="1134"/>
        <w:rPr>
          <w:lang w:val="bg-BG"/>
        </w:rPr>
      </w:pPr>
      <w:r w:rsidRPr="009072DA">
        <w:rPr>
          <w:lang w:val="bg-BG"/>
        </w:rPr>
        <w:t>Раздел 2:</w:t>
      </w:r>
      <w:r w:rsidRPr="009072DA">
        <w:rPr>
          <w:lang w:val="bg-BG"/>
        </w:rPr>
        <w:tab/>
        <w:t>Посочване на нивото на изискването. Изискванията относно ефективността на пречистване вероятно ще бъдат по-високи в бъдеще. Различните нива на изискванията са отбелязани с римски цифри, като започват от ниво I.</w:t>
      </w:r>
    </w:p>
    <w:p w:rsidR="009C13A9" w:rsidRPr="009072DA" w:rsidRDefault="009C13A9" w:rsidP="009C13A9">
      <w:pPr>
        <w:spacing w:line="240" w:lineRule="atLeast"/>
        <w:ind w:left="1560" w:hanging="1134"/>
        <w:rPr>
          <w:lang w:val="bg-BG"/>
        </w:rPr>
      </w:pPr>
    </w:p>
    <w:p w:rsidR="009C13A9" w:rsidRPr="009072DA" w:rsidRDefault="009C13A9" w:rsidP="009C13A9">
      <w:pPr>
        <w:spacing w:line="240" w:lineRule="atLeast"/>
        <w:ind w:left="1560" w:hanging="1134"/>
        <w:rPr>
          <w:lang w:val="bg-BG"/>
        </w:rPr>
      </w:pPr>
      <w:r w:rsidRPr="009072DA">
        <w:rPr>
          <w:lang w:val="bg-BG"/>
        </w:rPr>
        <w:t>Раздел 3:</w:t>
      </w:r>
      <w:r w:rsidRPr="009072DA">
        <w:rPr>
          <w:lang w:val="bg-BG"/>
        </w:rPr>
        <w:tab/>
        <w:t>Четирицифрен последователен номер (при необходимост с начални нули) за обозначаване на базовия номер на одобрението на типа. Последователността започва от 0001.</w:t>
      </w:r>
    </w:p>
    <w:p w:rsidR="009C13A9" w:rsidRPr="009072DA" w:rsidRDefault="009C13A9" w:rsidP="009C13A9">
      <w:pPr>
        <w:spacing w:line="240" w:lineRule="atLeast"/>
        <w:ind w:left="1560" w:hanging="1134"/>
        <w:rPr>
          <w:lang w:val="bg-BG"/>
        </w:rPr>
      </w:pPr>
    </w:p>
    <w:p w:rsidR="009C13A9" w:rsidRPr="009072DA" w:rsidRDefault="009C13A9" w:rsidP="009C13A9">
      <w:pPr>
        <w:spacing w:line="240" w:lineRule="atLeast"/>
        <w:ind w:left="1560" w:hanging="1134"/>
        <w:rPr>
          <w:lang w:val="bg-BG"/>
        </w:rPr>
      </w:pPr>
      <w:r w:rsidRPr="009072DA">
        <w:rPr>
          <w:lang w:val="bg-BG"/>
        </w:rPr>
        <w:t>Раздел 4:</w:t>
      </w:r>
      <w:r w:rsidRPr="009072DA">
        <w:rPr>
          <w:lang w:val="bg-BG"/>
        </w:rPr>
        <w:tab/>
        <w:t>Двуцифрен последователен номер (при необходимост с начална нула) за обозначаване на удължаването. Последователността започва от 01 за всеки номер.</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w:t>
      </w:r>
      <w:r w:rsidRPr="009072DA">
        <w:rPr>
          <w:lang w:val="bg-BG"/>
        </w:rPr>
        <w:tab/>
      </w:r>
      <w:r w:rsidRPr="009072DA">
        <w:rPr>
          <w:color w:val="000000"/>
          <w:lang w:val="bg-BG"/>
        </w:rPr>
        <w:t>Примери</w:t>
      </w:r>
    </w:p>
    <w:p w:rsidR="009C13A9" w:rsidRPr="009072DA" w:rsidRDefault="005C7859" w:rsidP="009C13A9">
      <w:pPr>
        <w:spacing w:before="60" w:line="240" w:lineRule="atLeast"/>
        <w:ind w:left="851"/>
        <w:rPr>
          <w:rFonts w:cs="Arial"/>
          <w:lang w:val="bg-BG"/>
        </w:rPr>
      </w:pPr>
      <w:r w:rsidRPr="009072DA">
        <w:rPr>
          <w:lang w:val="bg-BG"/>
        </w:rPr>
        <w:t>a)</w:t>
      </w:r>
      <w:r w:rsidRPr="009072DA">
        <w:rPr>
          <w:lang w:val="bg-BG"/>
        </w:rPr>
        <w:tab/>
        <w:t>трето одобрение на типа (досега без удължаване), издадено от Нидерландия, което съответства на ниво I:</w:t>
      </w:r>
    </w:p>
    <w:p w:rsidR="009C13A9" w:rsidRPr="009072DA" w:rsidRDefault="009C13A9" w:rsidP="009C13A9">
      <w:pPr>
        <w:spacing w:before="60" w:line="240" w:lineRule="atLeast"/>
        <w:ind w:left="851"/>
        <w:jc w:val="center"/>
        <w:rPr>
          <w:rFonts w:cs="Arial"/>
          <w:lang w:val="bg-BG"/>
        </w:rPr>
      </w:pPr>
      <w:r w:rsidRPr="009072DA">
        <w:rPr>
          <w:lang w:val="bg-BG"/>
        </w:rPr>
        <w:t>R 4*I*0003*00 или e 4*I*0003*00</w:t>
      </w:r>
    </w:p>
    <w:p w:rsidR="009C13A9" w:rsidRPr="009072DA" w:rsidRDefault="005C7859" w:rsidP="009C13A9">
      <w:pPr>
        <w:spacing w:before="60" w:line="240" w:lineRule="atLeast"/>
        <w:ind w:left="851"/>
        <w:rPr>
          <w:rFonts w:cs="Arial"/>
          <w:lang w:val="bg-BG"/>
        </w:rPr>
      </w:pPr>
      <w:r w:rsidRPr="009072DA">
        <w:rPr>
          <w:lang w:val="bg-BG"/>
        </w:rPr>
        <w:t>б)</w:t>
      </w:r>
      <w:r w:rsidRPr="009072DA">
        <w:rPr>
          <w:lang w:val="bg-BG"/>
        </w:rPr>
        <w:tab/>
        <w:t>второ удължаване на четвъртото одобрение на типа, издадено от Германия, което съответства на ниво II:</w:t>
      </w:r>
    </w:p>
    <w:p w:rsidR="009C13A9" w:rsidRPr="009072DA" w:rsidRDefault="009C13A9" w:rsidP="009C13A9">
      <w:pPr>
        <w:spacing w:before="60" w:line="240" w:lineRule="atLeast"/>
        <w:ind w:left="851"/>
        <w:jc w:val="center"/>
        <w:rPr>
          <w:rFonts w:cs="Arial"/>
          <w:szCs w:val="20"/>
          <w:lang w:val="bg-BG"/>
        </w:rPr>
      </w:pPr>
      <w:r w:rsidRPr="009072DA">
        <w:rPr>
          <w:lang w:val="bg-BG"/>
        </w:rPr>
        <w:t>R 1*II* 0004*02 или e 4*I*0003*00</w:t>
      </w:r>
    </w:p>
    <w:p w:rsidR="009C13A9" w:rsidRPr="009072DA" w:rsidRDefault="009C13A9" w:rsidP="009C13A9">
      <w:pPr>
        <w:spacing w:before="60" w:line="240" w:lineRule="atLeast"/>
        <w:ind w:left="851"/>
        <w:jc w:val="center"/>
        <w:rPr>
          <w:rFonts w:cs="Arial"/>
          <w:lang w:val="bg-BG"/>
        </w:rPr>
      </w:pPr>
    </w:p>
    <w:p w:rsidR="009C13A9" w:rsidRPr="009072DA" w:rsidRDefault="009C13A9" w:rsidP="009C13A9">
      <w:pPr>
        <w:spacing w:line="240" w:lineRule="atLeast"/>
        <w:rPr>
          <w:rFonts w:cs="Arial"/>
          <w:color w:val="000000"/>
          <w:lang w:val="bg-BG"/>
        </w:rPr>
      </w:pPr>
      <w:r w:rsidRPr="009072DA">
        <w:rPr>
          <w:lang w:val="bg-BG"/>
        </w:rPr>
        <w:br w:type="page"/>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suppressAutoHyphens/>
        <w:spacing w:line="240" w:lineRule="atLeast"/>
        <w:ind w:left="426" w:hanging="426"/>
        <w:jc w:val="center"/>
        <w:rPr>
          <w:rFonts w:cs="Arial"/>
          <w:lang w:val="bg-BG"/>
        </w:rPr>
      </w:pPr>
    </w:p>
    <w:p w:rsidR="009C13A9" w:rsidRPr="009072DA" w:rsidRDefault="009C13A9" w:rsidP="009C13A9">
      <w:pPr>
        <w:suppressAutoHyphens/>
        <w:rPr>
          <w:rFonts w:cs="Arial"/>
          <w:sz w:val="24"/>
          <w:lang w:val="bg-BG"/>
        </w:rPr>
        <w:sectPr w:rsidR="009C13A9" w:rsidRPr="009072DA" w:rsidSect="00FB55E9">
          <w:headerReference w:type="default" r:id="rId75"/>
          <w:footerReference w:type="default" r:id="rId76"/>
          <w:footnotePr>
            <w:numRestart w:val="eachPage"/>
          </w:footnotePr>
          <w:pgSz w:w="11907" w:h="16840" w:code="9"/>
          <w:pgMar w:top="1361" w:right="1418" w:bottom="1361" w:left="1418" w:header="680" w:footer="680" w:gutter="0"/>
          <w:cols w:space="720"/>
          <w:docGrid w:linePitch="326"/>
        </w:sectPr>
      </w:pPr>
    </w:p>
    <w:p w:rsidR="009C13A9" w:rsidRPr="009072DA" w:rsidRDefault="009C13A9" w:rsidP="009C13A9">
      <w:pPr>
        <w:spacing w:line="240" w:lineRule="atLeast"/>
        <w:ind w:left="567" w:hanging="567"/>
        <w:rPr>
          <w:lang w:val="bg-BG"/>
        </w:rPr>
      </w:pPr>
    </w:p>
    <w:p w:rsidR="009C13A9" w:rsidRPr="009072DA" w:rsidRDefault="00925755" w:rsidP="00390107">
      <w:pPr>
        <w:pStyle w:val="ES-Titre3"/>
        <w:rPr>
          <w:lang w:val="bg-BG"/>
        </w:rPr>
      </w:pPr>
      <w:bookmarkStart w:id="697" w:name="_Toc491854332"/>
      <w:bookmarkStart w:id="698" w:name="_Toc535827773"/>
      <w:r w:rsidRPr="009072DA">
        <w:rPr>
          <w:lang w:val="bg-BG"/>
        </w:rPr>
        <w:t>Раздел V</w:t>
      </w:r>
      <w:bookmarkEnd w:id="697"/>
      <w:bookmarkEnd w:id="698"/>
    </w:p>
    <w:p w:rsidR="009C13A9" w:rsidRPr="009072DA" w:rsidRDefault="009C13A9" w:rsidP="00390107">
      <w:pPr>
        <w:pStyle w:val="ES-Titre3a"/>
        <w:rPr>
          <w:lang w:val="bg-BG"/>
        </w:rPr>
      </w:pPr>
      <w:bookmarkStart w:id="699" w:name="_Toc491854333"/>
      <w:bookmarkStart w:id="700" w:name="_Toc535827774"/>
      <w:r w:rsidRPr="009072DA">
        <w:rPr>
          <w:lang w:val="bg-BG"/>
        </w:rPr>
        <w:t>Обобщение на одобренията на типа за типовете бордови станции за пречистване на отпадъчни води</w:t>
      </w:r>
      <w:bookmarkEnd w:id="699"/>
      <w:bookmarkEnd w:id="700"/>
      <w:r w:rsidRPr="009072DA">
        <w:rPr>
          <w:lang w:val="bg-BG"/>
        </w:rPr>
        <w:t xml:space="preserve"> </w:t>
      </w:r>
    </w:p>
    <w:p w:rsidR="009C13A9" w:rsidRPr="009072DA" w:rsidRDefault="009C13A9" w:rsidP="009C13A9">
      <w:pPr>
        <w:overflowPunct w:val="0"/>
        <w:adjustRightInd w:val="0"/>
        <w:spacing w:line="240" w:lineRule="exact"/>
        <w:jc w:val="center"/>
        <w:textAlignment w:val="baseline"/>
        <w:rPr>
          <w:rFonts w:eastAsia="Calibri"/>
          <w:sz w:val="14"/>
          <w:szCs w:val="16"/>
          <w:lang w:val="bg-BG"/>
        </w:rPr>
      </w:pPr>
      <w:r w:rsidRPr="009072DA">
        <w:rPr>
          <w:lang w:val="bg-BG"/>
        </w:rPr>
        <w:t>(Образец)</w:t>
      </w:r>
    </w:p>
    <w:p w:rsidR="009C13A9" w:rsidRPr="009072DA" w:rsidRDefault="009C13A9" w:rsidP="009C13A9">
      <w:pPr>
        <w:suppressAutoHyphens/>
        <w:spacing w:line="240" w:lineRule="atLeast"/>
        <w:ind w:left="426" w:hanging="426"/>
        <w:rPr>
          <w:rFonts w:cs="Arial"/>
          <w:szCs w:val="20"/>
          <w:lang w:val="bg-BG"/>
        </w:rPr>
      </w:pPr>
    </w:p>
    <w:p w:rsidR="009C13A9" w:rsidRPr="009072DA" w:rsidRDefault="009C13A9" w:rsidP="009C13A9">
      <w:pPr>
        <w:tabs>
          <w:tab w:val="left" w:pos="11057"/>
        </w:tabs>
        <w:suppressAutoHyphens/>
        <w:spacing w:line="240" w:lineRule="atLeast"/>
        <w:ind w:left="11057"/>
        <w:rPr>
          <w:rFonts w:cs="Arial"/>
          <w:sz w:val="16"/>
          <w:lang w:val="bg-BG"/>
        </w:rPr>
      </w:pPr>
      <w:r w:rsidRPr="009072DA">
        <w:rPr>
          <w:sz w:val="16"/>
          <w:lang w:val="bg-BG"/>
        </w:rPr>
        <w:t>Печат на компетентния орган</w:t>
      </w:r>
    </w:p>
    <w:p w:rsidR="009C13A9" w:rsidRPr="009072DA" w:rsidRDefault="009C13A9" w:rsidP="009C13A9">
      <w:pPr>
        <w:suppressAutoHyphens/>
        <w:jc w:val="center"/>
        <w:rPr>
          <w:rFonts w:cs="Arial"/>
          <w:b/>
          <w:sz w:val="16"/>
          <w:szCs w:val="16"/>
          <w:lang w:val="bg-BG"/>
        </w:rPr>
      </w:pPr>
    </w:p>
    <w:p w:rsidR="009C13A9" w:rsidRPr="009072DA" w:rsidRDefault="009C13A9" w:rsidP="009C13A9">
      <w:pPr>
        <w:tabs>
          <w:tab w:val="left" w:leader="dot" w:pos="3402"/>
          <w:tab w:val="left" w:leader="dot" w:pos="4536"/>
          <w:tab w:val="left" w:leader="dot" w:pos="5670"/>
        </w:tabs>
        <w:suppressAutoHyphens/>
        <w:spacing w:line="240" w:lineRule="atLeast"/>
        <w:rPr>
          <w:rFonts w:cs="Arial"/>
          <w:lang w:val="bg-BG"/>
        </w:rPr>
      </w:pPr>
      <w:r w:rsidRPr="009072DA">
        <w:rPr>
          <w:lang w:val="bg-BG"/>
        </w:rPr>
        <w:t xml:space="preserve">№ в списъка: </w:t>
      </w:r>
      <w:r w:rsidRPr="009072DA">
        <w:rPr>
          <w:lang w:val="bg-BG"/>
        </w:rPr>
        <w:tab/>
      </w:r>
    </w:p>
    <w:p w:rsidR="009C13A9" w:rsidRPr="009072DA" w:rsidRDefault="009C13A9" w:rsidP="009C13A9">
      <w:pPr>
        <w:tabs>
          <w:tab w:val="left" w:leader="dot" w:pos="3969"/>
          <w:tab w:val="left" w:pos="4111"/>
          <w:tab w:val="left" w:leader="dot" w:pos="7371"/>
        </w:tabs>
        <w:suppressAutoHyphens/>
        <w:spacing w:line="240" w:lineRule="atLeast"/>
        <w:rPr>
          <w:rFonts w:cs="Arial"/>
          <w:lang w:val="bg-BG"/>
        </w:rPr>
      </w:pPr>
      <w:r w:rsidRPr="009072DA">
        <w:rPr>
          <w:lang w:val="bg-BG"/>
        </w:rPr>
        <w:t xml:space="preserve">Период от </w:t>
      </w:r>
      <w:r w:rsidRPr="009072DA">
        <w:rPr>
          <w:lang w:val="bg-BG"/>
        </w:rPr>
        <w:tab/>
      </w:r>
      <w:r w:rsidRPr="009072DA">
        <w:rPr>
          <w:lang w:val="bg-BG"/>
        </w:rPr>
        <w:tab/>
        <w:t xml:space="preserve">до </w:t>
      </w:r>
      <w:r w:rsidRPr="009072DA">
        <w:rPr>
          <w:lang w:val="bg-BG"/>
        </w:rPr>
        <w:tab/>
      </w:r>
    </w:p>
    <w:p w:rsidR="009C13A9" w:rsidRPr="009072DA" w:rsidRDefault="009C13A9" w:rsidP="009C13A9">
      <w:pPr>
        <w:suppressAutoHyphens/>
        <w:spacing w:line="240" w:lineRule="atLeast"/>
        <w:rPr>
          <w:rFonts w:cs="Arial"/>
          <w:sz w:val="14"/>
          <w:szCs w:val="16"/>
          <w:lang w:val="bg-BG"/>
        </w:rPr>
      </w:pPr>
    </w:p>
    <w:tbl>
      <w:tblPr>
        <w:tblW w:w="0" w:type="auto"/>
        <w:tblInd w:w="136" w:type="dxa"/>
        <w:tblLayout w:type="fixed"/>
        <w:tblCellMar>
          <w:left w:w="56" w:type="dxa"/>
          <w:right w:w="56" w:type="dxa"/>
        </w:tblCellMar>
        <w:tblLook w:val="0000" w:firstRow="0" w:lastRow="0" w:firstColumn="0" w:lastColumn="0" w:noHBand="0" w:noVBand="0"/>
      </w:tblPr>
      <w:tblGrid>
        <w:gridCol w:w="2126"/>
        <w:gridCol w:w="2410"/>
        <w:gridCol w:w="3147"/>
        <w:gridCol w:w="1361"/>
        <w:gridCol w:w="1361"/>
        <w:gridCol w:w="2608"/>
        <w:gridCol w:w="1440"/>
      </w:tblGrid>
      <w:tr w:rsidR="009C13A9" w:rsidRPr="009072DA" w:rsidTr="009C13A9">
        <w:tc>
          <w:tcPr>
            <w:tcW w:w="2126"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40" w:after="40" w:line="240" w:lineRule="atLeast"/>
              <w:jc w:val="center"/>
              <w:rPr>
                <w:rFonts w:cs="Arial"/>
                <w:sz w:val="18"/>
                <w:lang w:val="bg-BG"/>
              </w:rPr>
            </w:pPr>
            <w:r w:rsidRPr="009072DA">
              <w:rPr>
                <w:sz w:val="18"/>
                <w:lang w:val="bg-BG"/>
              </w:rPr>
              <w:t>1</w:t>
            </w:r>
          </w:p>
        </w:tc>
        <w:tc>
          <w:tcPr>
            <w:tcW w:w="2410"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40" w:after="40" w:line="240" w:lineRule="atLeast"/>
              <w:jc w:val="center"/>
              <w:rPr>
                <w:rFonts w:cs="Arial"/>
                <w:sz w:val="18"/>
                <w:lang w:val="bg-BG"/>
              </w:rPr>
            </w:pPr>
            <w:r w:rsidRPr="009072DA">
              <w:rPr>
                <w:sz w:val="18"/>
                <w:lang w:val="bg-BG"/>
              </w:rPr>
              <w:t>2</w:t>
            </w:r>
          </w:p>
        </w:tc>
        <w:tc>
          <w:tcPr>
            <w:tcW w:w="3147"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40" w:after="40" w:line="240" w:lineRule="atLeast"/>
              <w:jc w:val="center"/>
              <w:rPr>
                <w:rFonts w:cs="Arial"/>
                <w:sz w:val="18"/>
                <w:lang w:val="bg-BG"/>
              </w:rPr>
            </w:pPr>
            <w:r w:rsidRPr="009072DA">
              <w:rPr>
                <w:sz w:val="18"/>
                <w:lang w:val="bg-BG"/>
              </w:rPr>
              <w:t>3</w:t>
            </w:r>
          </w:p>
        </w:tc>
        <w:tc>
          <w:tcPr>
            <w:tcW w:w="1361"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40" w:after="40" w:line="240" w:lineRule="atLeast"/>
              <w:jc w:val="center"/>
              <w:rPr>
                <w:rFonts w:cs="Arial"/>
                <w:sz w:val="18"/>
                <w:lang w:val="bg-BG"/>
              </w:rPr>
            </w:pPr>
            <w:r w:rsidRPr="009072DA">
              <w:rPr>
                <w:sz w:val="18"/>
                <w:lang w:val="bg-BG"/>
              </w:rPr>
              <w:t>4</w:t>
            </w:r>
          </w:p>
        </w:tc>
        <w:tc>
          <w:tcPr>
            <w:tcW w:w="1361"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40" w:after="40" w:line="240" w:lineRule="atLeast"/>
              <w:jc w:val="center"/>
              <w:rPr>
                <w:rFonts w:cs="Arial"/>
                <w:sz w:val="18"/>
                <w:lang w:val="bg-BG"/>
              </w:rPr>
            </w:pPr>
            <w:r w:rsidRPr="009072DA">
              <w:rPr>
                <w:sz w:val="18"/>
                <w:lang w:val="bg-BG"/>
              </w:rPr>
              <w:t>5</w:t>
            </w:r>
          </w:p>
        </w:tc>
        <w:tc>
          <w:tcPr>
            <w:tcW w:w="2608" w:type="dxa"/>
            <w:tcBorders>
              <w:top w:val="single" w:sz="4" w:space="0" w:color="000000"/>
              <w:left w:val="single" w:sz="4" w:space="0" w:color="000000"/>
              <w:bottom w:val="single" w:sz="4" w:space="0" w:color="000000"/>
            </w:tcBorders>
          </w:tcPr>
          <w:p w:rsidR="009C13A9" w:rsidRPr="009072DA" w:rsidRDefault="009C13A9" w:rsidP="009C13A9">
            <w:pPr>
              <w:suppressAutoHyphens/>
              <w:snapToGrid w:val="0"/>
              <w:spacing w:before="40" w:after="40" w:line="240" w:lineRule="atLeast"/>
              <w:jc w:val="center"/>
              <w:rPr>
                <w:rFonts w:cs="Arial"/>
                <w:sz w:val="18"/>
                <w:lang w:val="bg-BG"/>
              </w:rPr>
            </w:pPr>
            <w:r w:rsidRPr="009072DA">
              <w:rPr>
                <w:sz w:val="18"/>
                <w:lang w:val="bg-BG"/>
              </w:rPr>
              <w:t>6</w:t>
            </w:r>
          </w:p>
        </w:tc>
        <w:tc>
          <w:tcPr>
            <w:tcW w:w="1440" w:type="dxa"/>
            <w:tcBorders>
              <w:top w:val="single" w:sz="4" w:space="0" w:color="000000"/>
              <w:left w:val="single" w:sz="4" w:space="0" w:color="000000"/>
              <w:bottom w:val="single" w:sz="4" w:space="0" w:color="000000"/>
              <w:right w:val="single" w:sz="4" w:space="0" w:color="000000"/>
            </w:tcBorders>
          </w:tcPr>
          <w:p w:rsidR="009C13A9" w:rsidRPr="009072DA" w:rsidRDefault="009C13A9" w:rsidP="009C13A9">
            <w:pPr>
              <w:suppressAutoHyphens/>
              <w:snapToGrid w:val="0"/>
              <w:spacing w:before="40" w:after="40" w:line="240" w:lineRule="atLeast"/>
              <w:jc w:val="center"/>
              <w:rPr>
                <w:rFonts w:cs="Arial"/>
                <w:sz w:val="18"/>
                <w:lang w:val="bg-BG"/>
              </w:rPr>
            </w:pPr>
            <w:r w:rsidRPr="009072DA">
              <w:rPr>
                <w:sz w:val="18"/>
                <w:lang w:val="bg-BG"/>
              </w:rPr>
              <w:t>7</w:t>
            </w:r>
          </w:p>
        </w:tc>
      </w:tr>
      <w:tr w:rsidR="009C13A9" w:rsidRPr="008D2440" w:rsidTr="009C13A9">
        <w:tc>
          <w:tcPr>
            <w:tcW w:w="2126" w:type="dxa"/>
            <w:tcBorders>
              <w:top w:val="single" w:sz="4" w:space="0" w:color="000000"/>
              <w:left w:val="single" w:sz="4" w:space="0" w:color="000000"/>
              <w:bottom w:val="single" w:sz="4" w:space="0" w:color="000000"/>
            </w:tcBorders>
            <w:vAlign w:val="center"/>
          </w:tcPr>
          <w:p w:rsidR="009C13A9" w:rsidRPr="009072DA" w:rsidRDefault="009C13A9" w:rsidP="00BE2EE8">
            <w:pPr>
              <w:suppressAutoHyphens/>
              <w:snapToGrid w:val="0"/>
              <w:spacing w:before="40" w:after="40" w:line="240" w:lineRule="atLeast"/>
              <w:jc w:val="center"/>
              <w:rPr>
                <w:rFonts w:cs="Arial"/>
                <w:sz w:val="18"/>
                <w:vertAlign w:val="superscript"/>
                <w:lang w:val="bg-BG"/>
              </w:rPr>
            </w:pPr>
            <w:r w:rsidRPr="009072DA">
              <w:rPr>
                <w:sz w:val="18"/>
                <w:lang w:val="bg-BG"/>
              </w:rPr>
              <w:t>Марка</w:t>
            </w:r>
            <w:r w:rsidRPr="009072DA">
              <w:rPr>
                <w:sz w:val="18"/>
                <w:vertAlign w:val="superscript"/>
                <w:lang w:val="bg-BG"/>
              </w:rPr>
              <w:t>(</w:t>
            </w:r>
            <w:r w:rsidRPr="009072DA">
              <w:rPr>
                <w:rStyle w:val="FootnoteReference"/>
                <w:sz w:val="18"/>
                <w:lang w:val="bg-BG"/>
              </w:rPr>
              <w:footnoteReference w:id="70"/>
            </w:r>
            <w:r w:rsidRPr="009072DA">
              <w:rPr>
                <w:sz w:val="18"/>
                <w:vertAlign w:val="superscript"/>
                <w:lang w:val="bg-BG"/>
              </w:rPr>
              <w:t xml:space="preserve">) </w:t>
            </w:r>
          </w:p>
        </w:tc>
        <w:tc>
          <w:tcPr>
            <w:tcW w:w="2410" w:type="dxa"/>
            <w:tcBorders>
              <w:top w:val="single" w:sz="4" w:space="0" w:color="000000"/>
              <w:left w:val="single" w:sz="4" w:space="0" w:color="000000"/>
              <w:bottom w:val="single" w:sz="4" w:space="0" w:color="000000"/>
            </w:tcBorders>
            <w:vAlign w:val="center"/>
          </w:tcPr>
          <w:p w:rsidR="009C13A9" w:rsidRPr="009072DA" w:rsidRDefault="009C13A9" w:rsidP="009C13A9">
            <w:pPr>
              <w:suppressAutoHyphens/>
              <w:snapToGrid w:val="0"/>
              <w:spacing w:before="40" w:after="40" w:line="240" w:lineRule="atLeast"/>
              <w:jc w:val="center"/>
              <w:rPr>
                <w:rFonts w:cs="Arial"/>
                <w:sz w:val="18"/>
                <w:vertAlign w:val="superscript"/>
                <w:lang w:val="bg-BG"/>
              </w:rPr>
            </w:pPr>
            <w:r w:rsidRPr="009072DA">
              <w:rPr>
                <w:sz w:val="18"/>
                <w:lang w:val="bg-BG"/>
              </w:rPr>
              <w:t xml:space="preserve">Обозначение на производителя </w:t>
            </w:r>
            <w:r w:rsidRPr="009072DA">
              <w:rPr>
                <w:sz w:val="18"/>
                <w:vertAlign w:val="superscript"/>
                <w:lang w:val="bg-BG"/>
              </w:rPr>
              <w:t>(1)</w:t>
            </w:r>
          </w:p>
        </w:tc>
        <w:tc>
          <w:tcPr>
            <w:tcW w:w="3147" w:type="dxa"/>
            <w:tcBorders>
              <w:top w:val="single" w:sz="4" w:space="0" w:color="000000"/>
              <w:left w:val="single" w:sz="4" w:space="0" w:color="000000"/>
              <w:bottom w:val="single" w:sz="4" w:space="0" w:color="000000"/>
            </w:tcBorders>
            <w:vAlign w:val="center"/>
          </w:tcPr>
          <w:p w:rsidR="009C13A9" w:rsidRPr="009072DA" w:rsidRDefault="009C13A9" w:rsidP="009C13A9">
            <w:pPr>
              <w:suppressAutoHyphens/>
              <w:snapToGrid w:val="0"/>
              <w:spacing w:before="40" w:after="40" w:line="240" w:lineRule="atLeast"/>
              <w:jc w:val="center"/>
              <w:rPr>
                <w:rFonts w:cs="Arial"/>
                <w:sz w:val="18"/>
                <w:lang w:val="bg-BG"/>
              </w:rPr>
            </w:pPr>
            <w:r w:rsidRPr="009072DA">
              <w:rPr>
                <w:sz w:val="18"/>
                <w:lang w:val="bg-BG"/>
              </w:rPr>
              <w:t>Номер на одобрението на типа</w:t>
            </w:r>
          </w:p>
        </w:tc>
        <w:tc>
          <w:tcPr>
            <w:tcW w:w="1361" w:type="dxa"/>
            <w:tcBorders>
              <w:top w:val="single" w:sz="4" w:space="0" w:color="000000"/>
              <w:left w:val="single" w:sz="4" w:space="0" w:color="000000"/>
              <w:bottom w:val="single" w:sz="4" w:space="0" w:color="000000"/>
            </w:tcBorders>
            <w:vAlign w:val="center"/>
          </w:tcPr>
          <w:p w:rsidR="009C13A9" w:rsidRPr="009072DA" w:rsidRDefault="009C13A9" w:rsidP="009C13A9">
            <w:pPr>
              <w:suppressAutoHyphens/>
              <w:snapToGrid w:val="0"/>
              <w:spacing w:before="40" w:after="40" w:line="240" w:lineRule="atLeast"/>
              <w:jc w:val="center"/>
              <w:rPr>
                <w:rFonts w:cs="Arial"/>
                <w:sz w:val="18"/>
                <w:lang w:val="bg-BG"/>
              </w:rPr>
            </w:pPr>
            <w:r w:rsidRPr="009072DA">
              <w:rPr>
                <w:sz w:val="18"/>
                <w:lang w:val="bg-BG"/>
              </w:rPr>
              <w:t>Дата на одобрението на типа</w:t>
            </w:r>
          </w:p>
        </w:tc>
        <w:tc>
          <w:tcPr>
            <w:tcW w:w="1361" w:type="dxa"/>
            <w:tcBorders>
              <w:top w:val="single" w:sz="4" w:space="0" w:color="000000"/>
              <w:left w:val="single" w:sz="4" w:space="0" w:color="000000"/>
              <w:bottom w:val="single" w:sz="4" w:space="0" w:color="000000"/>
            </w:tcBorders>
            <w:vAlign w:val="center"/>
          </w:tcPr>
          <w:p w:rsidR="009C13A9" w:rsidRPr="009072DA" w:rsidRDefault="009C13A9" w:rsidP="00BE2EE8">
            <w:pPr>
              <w:suppressAutoHyphens/>
              <w:snapToGrid w:val="0"/>
              <w:spacing w:before="40" w:after="40" w:line="240" w:lineRule="atLeast"/>
              <w:jc w:val="center"/>
              <w:rPr>
                <w:rFonts w:cs="Arial"/>
                <w:sz w:val="18"/>
                <w:vertAlign w:val="superscript"/>
                <w:lang w:val="bg-BG"/>
              </w:rPr>
            </w:pPr>
            <w:r w:rsidRPr="009072DA">
              <w:rPr>
                <w:sz w:val="18"/>
                <w:lang w:val="bg-BG"/>
              </w:rPr>
              <w:t>Удължаване/отказ/</w:t>
            </w:r>
            <w:r w:rsidRPr="009072DA">
              <w:rPr>
                <w:rFonts w:cs="Arial"/>
                <w:sz w:val="18"/>
                <w:lang w:val="bg-BG"/>
              </w:rPr>
              <w:br/>
            </w:r>
            <w:r w:rsidRPr="009072DA">
              <w:rPr>
                <w:sz w:val="18"/>
                <w:lang w:val="bg-BG"/>
              </w:rPr>
              <w:t>отнемане</w:t>
            </w:r>
            <w:r w:rsidRPr="009072DA">
              <w:rPr>
                <w:sz w:val="18"/>
                <w:vertAlign w:val="superscript"/>
                <w:lang w:val="bg-BG"/>
              </w:rPr>
              <w:t xml:space="preserve"> </w:t>
            </w:r>
            <w:r w:rsidRPr="009072DA">
              <w:rPr>
                <w:rStyle w:val="FootnoteReference"/>
                <w:sz w:val="18"/>
                <w:lang w:val="bg-BG"/>
              </w:rPr>
              <w:footnoteReference w:id="71"/>
            </w:r>
            <w:r w:rsidRPr="009072DA">
              <w:rPr>
                <w:sz w:val="18"/>
                <w:vertAlign w:val="superscript"/>
                <w:lang w:val="bg-BG"/>
              </w:rPr>
              <w:t>)</w:t>
            </w:r>
          </w:p>
        </w:tc>
        <w:tc>
          <w:tcPr>
            <w:tcW w:w="2608" w:type="dxa"/>
            <w:tcBorders>
              <w:top w:val="single" w:sz="4" w:space="0" w:color="000000"/>
              <w:left w:val="single" w:sz="4" w:space="0" w:color="000000"/>
              <w:bottom w:val="single" w:sz="4" w:space="0" w:color="000000"/>
            </w:tcBorders>
            <w:vAlign w:val="center"/>
          </w:tcPr>
          <w:p w:rsidR="009C13A9" w:rsidRPr="009072DA" w:rsidRDefault="009C13A9" w:rsidP="009C13A9">
            <w:pPr>
              <w:suppressAutoHyphens/>
              <w:snapToGrid w:val="0"/>
              <w:spacing w:before="40" w:after="40" w:line="240" w:lineRule="atLeast"/>
              <w:jc w:val="center"/>
              <w:rPr>
                <w:rFonts w:cs="Arial"/>
                <w:sz w:val="18"/>
                <w:lang w:val="bg-BG"/>
              </w:rPr>
            </w:pPr>
            <w:r w:rsidRPr="009072DA">
              <w:rPr>
                <w:sz w:val="18"/>
                <w:lang w:val="bg-BG"/>
              </w:rPr>
              <w:t>Основание за удължаването/отказа/отнемането</w:t>
            </w:r>
          </w:p>
        </w:tc>
        <w:tc>
          <w:tcPr>
            <w:tcW w:w="1440" w:type="dxa"/>
            <w:tcBorders>
              <w:top w:val="single" w:sz="4" w:space="0" w:color="000000"/>
              <w:left w:val="single" w:sz="4" w:space="0" w:color="000000"/>
              <w:bottom w:val="single" w:sz="4" w:space="0" w:color="000000"/>
              <w:right w:val="single" w:sz="4" w:space="0" w:color="000000"/>
            </w:tcBorders>
            <w:vAlign w:val="center"/>
          </w:tcPr>
          <w:p w:rsidR="009C13A9" w:rsidRPr="009072DA" w:rsidRDefault="009C13A9" w:rsidP="009C13A9">
            <w:pPr>
              <w:suppressAutoHyphens/>
              <w:snapToGrid w:val="0"/>
              <w:spacing w:before="40" w:after="40" w:line="240" w:lineRule="atLeast"/>
              <w:jc w:val="center"/>
              <w:rPr>
                <w:rFonts w:cs="Arial"/>
                <w:sz w:val="18"/>
                <w:vertAlign w:val="superscript"/>
                <w:lang w:val="bg-BG"/>
              </w:rPr>
            </w:pPr>
            <w:r w:rsidRPr="009072DA">
              <w:rPr>
                <w:sz w:val="18"/>
                <w:lang w:val="bg-BG"/>
              </w:rPr>
              <w:t>Дата на удължаването/отказа/</w:t>
            </w:r>
            <w:r w:rsidRPr="009072DA">
              <w:rPr>
                <w:rFonts w:cs="Arial"/>
                <w:sz w:val="18"/>
                <w:lang w:val="bg-BG"/>
              </w:rPr>
              <w:br/>
            </w:r>
            <w:r w:rsidRPr="009072DA">
              <w:rPr>
                <w:sz w:val="18"/>
                <w:lang w:val="bg-BG"/>
              </w:rPr>
              <w:t>отнемането</w:t>
            </w:r>
            <w:r w:rsidRPr="009072DA">
              <w:rPr>
                <w:sz w:val="18"/>
                <w:vertAlign w:val="superscript"/>
                <w:lang w:val="bg-BG"/>
              </w:rPr>
              <w:t xml:space="preserve"> 2)</w:t>
            </w:r>
          </w:p>
        </w:tc>
      </w:tr>
      <w:tr w:rsidR="009C13A9" w:rsidRPr="008D2440" w:rsidTr="009C13A9">
        <w:tc>
          <w:tcPr>
            <w:tcW w:w="2126"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410"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3147"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608"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440" w:type="dxa"/>
            <w:tcBorders>
              <w:left w:val="single" w:sz="4" w:space="0" w:color="000000"/>
              <w:righ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r>
      <w:tr w:rsidR="009C13A9" w:rsidRPr="008D2440" w:rsidTr="009C13A9">
        <w:tc>
          <w:tcPr>
            <w:tcW w:w="2126"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410"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3147"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608"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440" w:type="dxa"/>
            <w:tcBorders>
              <w:left w:val="single" w:sz="4" w:space="0" w:color="000000"/>
              <w:righ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r>
      <w:tr w:rsidR="009C13A9" w:rsidRPr="008D2440" w:rsidTr="009C13A9">
        <w:tc>
          <w:tcPr>
            <w:tcW w:w="2126"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410"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3147"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608"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440" w:type="dxa"/>
            <w:tcBorders>
              <w:left w:val="single" w:sz="4" w:space="0" w:color="000000"/>
              <w:righ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r>
      <w:tr w:rsidR="009C13A9" w:rsidRPr="008D2440" w:rsidTr="009C13A9">
        <w:tc>
          <w:tcPr>
            <w:tcW w:w="2126"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410"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3147"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608"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440" w:type="dxa"/>
            <w:tcBorders>
              <w:left w:val="single" w:sz="4" w:space="0" w:color="000000"/>
              <w:righ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r>
      <w:tr w:rsidR="009C13A9" w:rsidRPr="008D2440" w:rsidTr="009C13A9">
        <w:tc>
          <w:tcPr>
            <w:tcW w:w="2126"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410"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3147"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608"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440" w:type="dxa"/>
            <w:tcBorders>
              <w:left w:val="single" w:sz="4" w:space="0" w:color="000000"/>
              <w:righ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r>
      <w:tr w:rsidR="009C13A9" w:rsidRPr="008D2440" w:rsidTr="009C13A9">
        <w:tc>
          <w:tcPr>
            <w:tcW w:w="2126"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410"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3147"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608"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440" w:type="dxa"/>
            <w:tcBorders>
              <w:left w:val="single" w:sz="4" w:space="0" w:color="000000"/>
              <w:righ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r>
      <w:tr w:rsidR="009C13A9" w:rsidRPr="008D2440" w:rsidTr="009C13A9">
        <w:tc>
          <w:tcPr>
            <w:tcW w:w="2126"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410"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3147"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608"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440" w:type="dxa"/>
            <w:tcBorders>
              <w:left w:val="single" w:sz="4" w:space="0" w:color="000000"/>
              <w:righ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r>
      <w:tr w:rsidR="009C13A9" w:rsidRPr="008D2440" w:rsidTr="009C13A9">
        <w:tc>
          <w:tcPr>
            <w:tcW w:w="2126"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410"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3147"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608"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440" w:type="dxa"/>
            <w:tcBorders>
              <w:left w:val="single" w:sz="4" w:space="0" w:color="000000"/>
              <w:righ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r>
      <w:tr w:rsidR="009C13A9" w:rsidRPr="008D2440" w:rsidTr="009C13A9">
        <w:tc>
          <w:tcPr>
            <w:tcW w:w="2126"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410"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3147"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608"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440" w:type="dxa"/>
            <w:tcBorders>
              <w:left w:val="single" w:sz="4" w:space="0" w:color="000000"/>
              <w:righ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r>
      <w:tr w:rsidR="009C13A9" w:rsidRPr="008D2440" w:rsidTr="009C13A9">
        <w:tc>
          <w:tcPr>
            <w:tcW w:w="2126"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410"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3147"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608"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440" w:type="dxa"/>
            <w:tcBorders>
              <w:left w:val="single" w:sz="4" w:space="0" w:color="000000"/>
              <w:righ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r>
      <w:tr w:rsidR="009C13A9" w:rsidRPr="008D2440" w:rsidTr="009C13A9">
        <w:tc>
          <w:tcPr>
            <w:tcW w:w="2126"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410"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3147"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608"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440" w:type="dxa"/>
            <w:tcBorders>
              <w:left w:val="single" w:sz="4" w:space="0" w:color="000000"/>
              <w:righ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r>
      <w:tr w:rsidR="009C13A9" w:rsidRPr="008D2440" w:rsidTr="009C13A9">
        <w:tc>
          <w:tcPr>
            <w:tcW w:w="2126"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410"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3147"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361"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2608" w:type="dxa"/>
            <w:tcBorders>
              <w:lef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c>
          <w:tcPr>
            <w:tcW w:w="1440" w:type="dxa"/>
            <w:tcBorders>
              <w:left w:val="single" w:sz="4" w:space="0" w:color="000000"/>
              <w:right w:val="single" w:sz="4" w:space="0" w:color="000000"/>
            </w:tcBorders>
          </w:tcPr>
          <w:p w:rsidR="009C13A9" w:rsidRPr="009072DA" w:rsidRDefault="009C13A9" w:rsidP="009C13A9">
            <w:pPr>
              <w:suppressAutoHyphens/>
              <w:snapToGrid w:val="0"/>
              <w:spacing w:before="40" w:after="40" w:line="240" w:lineRule="atLeast"/>
              <w:rPr>
                <w:rFonts w:cs="Arial"/>
                <w:sz w:val="18"/>
                <w:lang w:val="bg-BG"/>
              </w:rPr>
            </w:pPr>
          </w:p>
        </w:tc>
      </w:tr>
    </w:tbl>
    <w:p w:rsidR="009C13A9" w:rsidRPr="009072DA" w:rsidRDefault="009C13A9" w:rsidP="009C13A9">
      <w:pPr>
        <w:suppressAutoHyphens/>
        <w:spacing w:line="240" w:lineRule="atLeast"/>
        <w:ind w:left="426" w:hanging="426"/>
        <w:rPr>
          <w:rFonts w:cs="Arial"/>
          <w:sz w:val="24"/>
          <w:lang w:val="bg-BG"/>
        </w:rPr>
      </w:pPr>
    </w:p>
    <w:p w:rsidR="009C13A9" w:rsidRPr="009072DA" w:rsidRDefault="009C13A9" w:rsidP="009C13A9">
      <w:pPr>
        <w:suppressAutoHyphens/>
        <w:spacing w:line="240" w:lineRule="atLeast"/>
        <w:ind w:left="426" w:hanging="426"/>
        <w:rPr>
          <w:rFonts w:cs="Arial"/>
          <w:lang w:val="bg-BG"/>
        </w:rPr>
      </w:pPr>
      <w:r w:rsidRPr="009072DA">
        <w:rPr>
          <w:lang w:val="bg-BG"/>
        </w:rPr>
        <w:br w:type="page"/>
      </w:r>
    </w:p>
    <w:p w:rsidR="009C13A9" w:rsidRPr="009072DA" w:rsidRDefault="009C13A9" w:rsidP="009C13A9">
      <w:pPr>
        <w:suppressAutoHyphens/>
        <w:spacing w:line="240" w:lineRule="atLeast"/>
        <w:ind w:left="426" w:hanging="426"/>
        <w:rPr>
          <w:rFonts w:cs="Arial"/>
          <w:lang w:val="bg-BG"/>
        </w:rPr>
      </w:pPr>
    </w:p>
    <w:p w:rsidR="009C13A9" w:rsidRPr="009072DA" w:rsidRDefault="009C13A9" w:rsidP="009C13A9">
      <w:pPr>
        <w:suppressAutoHyphens/>
        <w:spacing w:line="240" w:lineRule="atLeast"/>
        <w:ind w:left="426" w:hanging="426"/>
        <w:rPr>
          <w:rFonts w:cs="Arial"/>
          <w:lang w:val="bg-BG"/>
        </w:rPr>
      </w:pPr>
    </w:p>
    <w:p w:rsidR="009C13A9" w:rsidRPr="009072DA" w:rsidRDefault="009C13A9" w:rsidP="009C13A9">
      <w:pPr>
        <w:suppressAutoHyphens/>
        <w:spacing w:line="240" w:lineRule="atLeast"/>
        <w:ind w:left="426" w:hanging="426"/>
        <w:rPr>
          <w:rFonts w:cs="Arial"/>
          <w:lang w:val="bg-BG"/>
        </w:rPr>
      </w:pPr>
    </w:p>
    <w:p w:rsidR="009C13A9" w:rsidRPr="009072DA" w:rsidRDefault="009C13A9" w:rsidP="009C13A9">
      <w:pPr>
        <w:suppressAutoHyphens/>
        <w:spacing w:line="240" w:lineRule="atLeast"/>
        <w:ind w:left="426" w:hanging="426"/>
        <w:rPr>
          <w:rFonts w:cs="Arial"/>
          <w:lang w:val="bg-BG"/>
        </w:rPr>
      </w:pPr>
    </w:p>
    <w:p w:rsidR="009C13A9" w:rsidRPr="009072DA" w:rsidRDefault="009C13A9" w:rsidP="009C13A9">
      <w:pPr>
        <w:suppressAutoHyphens/>
        <w:spacing w:line="240" w:lineRule="atLeast"/>
        <w:ind w:left="426" w:hanging="426"/>
        <w:rPr>
          <w:rFonts w:cs="Arial"/>
          <w:szCs w:val="20"/>
          <w:lang w:val="bg-BG"/>
        </w:rPr>
      </w:pPr>
    </w:p>
    <w:p w:rsidR="009C13A9" w:rsidRPr="009072DA" w:rsidRDefault="009C13A9" w:rsidP="009C13A9">
      <w:pPr>
        <w:suppressAutoHyphens/>
        <w:spacing w:line="240" w:lineRule="atLeast"/>
        <w:ind w:left="426" w:hanging="426"/>
        <w:rPr>
          <w:rFonts w:cs="Arial"/>
          <w:szCs w:val="20"/>
          <w:lang w:val="bg-BG"/>
        </w:rPr>
      </w:pPr>
    </w:p>
    <w:p w:rsidR="009C13A9" w:rsidRPr="009072DA" w:rsidRDefault="009C13A9" w:rsidP="009C13A9">
      <w:pPr>
        <w:suppressAutoHyphens/>
        <w:rPr>
          <w:rFonts w:cs="Arial"/>
          <w:sz w:val="24"/>
          <w:lang w:val="bg-BG"/>
        </w:rPr>
        <w:sectPr w:rsidR="009C13A9" w:rsidRPr="009072DA" w:rsidSect="009C13A9">
          <w:headerReference w:type="even" r:id="rId77"/>
          <w:headerReference w:type="default" r:id="rId78"/>
          <w:footerReference w:type="even" r:id="rId79"/>
          <w:footerReference w:type="default" r:id="rId80"/>
          <w:headerReference w:type="first" r:id="rId81"/>
          <w:footerReference w:type="first" r:id="rId82"/>
          <w:footnotePr>
            <w:numRestart w:val="eachPage"/>
          </w:footnotePr>
          <w:pgSz w:w="16840" w:h="11907" w:orient="landscape" w:code="9"/>
          <w:pgMar w:top="1418" w:right="1418" w:bottom="1418" w:left="1418" w:header="680" w:footer="680" w:gutter="0"/>
          <w:cols w:space="720"/>
          <w:docGrid w:linePitch="360"/>
        </w:sectPr>
      </w:pPr>
    </w:p>
    <w:p w:rsidR="009C13A9" w:rsidRPr="009072DA" w:rsidRDefault="009C13A9" w:rsidP="009C13A9">
      <w:pPr>
        <w:suppressAutoHyphens/>
        <w:spacing w:line="240" w:lineRule="atLeast"/>
        <w:jc w:val="center"/>
        <w:rPr>
          <w:rFonts w:cs="Arial"/>
          <w:lang w:val="bg-BG"/>
        </w:rPr>
      </w:pPr>
    </w:p>
    <w:p w:rsidR="009C13A9" w:rsidRPr="009072DA" w:rsidRDefault="00925755" w:rsidP="00390107">
      <w:pPr>
        <w:pStyle w:val="ES-Titre3"/>
        <w:rPr>
          <w:lang w:val="bg-BG"/>
        </w:rPr>
      </w:pPr>
      <w:bookmarkStart w:id="701" w:name="_Toc491854334"/>
      <w:bookmarkStart w:id="702" w:name="_Toc535827775"/>
      <w:r w:rsidRPr="009072DA">
        <w:rPr>
          <w:lang w:val="bg-BG"/>
        </w:rPr>
        <w:t>Раздел VI</w:t>
      </w:r>
      <w:bookmarkEnd w:id="701"/>
      <w:bookmarkEnd w:id="702"/>
    </w:p>
    <w:p w:rsidR="00390107" w:rsidRPr="009072DA" w:rsidRDefault="009C13A9" w:rsidP="00390107">
      <w:pPr>
        <w:pStyle w:val="ES-Titre3a"/>
        <w:rPr>
          <w:lang w:val="bg-BG"/>
        </w:rPr>
      </w:pPr>
      <w:bookmarkStart w:id="703" w:name="_Toc535827776"/>
      <w:bookmarkStart w:id="704" w:name="_Toc491854335"/>
      <w:r w:rsidRPr="009072DA">
        <w:rPr>
          <w:lang w:val="bg-BG"/>
        </w:rPr>
        <w:t>Обобщение на произведените бордови станции за пречистване на отпадъчни води</w:t>
      </w:r>
      <w:bookmarkEnd w:id="703"/>
      <w:r w:rsidRPr="009072DA">
        <w:rPr>
          <w:lang w:val="bg-BG"/>
        </w:rPr>
        <w:t xml:space="preserve"> </w:t>
      </w:r>
      <w:bookmarkEnd w:id="704"/>
    </w:p>
    <w:p w:rsidR="009C13A9" w:rsidRPr="009072DA" w:rsidRDefault="009C13A9" w:rsidP="009C13A9">
      <w:pPr>
        <w:overflowPunct w:val="0"/>
        <w:adjustRightInd w:val="0"/>
        <w:spacing w:line="240" w:lineRule="exact"/>
        <w:jc w:val="center"/>
        <w:textAlignment w:val="baseline"/>
        <w:rPr>
          <w:rFonts w:eastAsia="Calibri" w:cs="Arial"/>
          <w:szCs w:val="20"/>
          <w:lang w:val="bg-BG"/>
        </w:rPr>
      </w:pPr>
      <w:r w:rsidRPr="009072DA">
        <w:rPr>
          <w:lang w:val="bg-BG"/>
        </w:rPr>
        <w:t>(Образец)</w:t>
      </w:r>
    </w:p>
    <w:p w:rsidR="009C13A9" w:rsidRPr="009072DA" w:rsidRDefault="009C13A9" w:rsidP="009C13A9">
      <w:pPr>
        <w:suppressAutoHyphens/>
        <w:spacing w:line="240" w:lineRule="atLeast"/>
        <w:rPr>
          <w:rFonts w:cs="Arial"/>
          <w:lang w:val="bg-BG"/>
        </w:rPr>
      </w:pPr>
    </w:p>
    <w:p w:rsidR="009C13A9" w:rsidRPr="009072DA" w:rsidRDefault="009C13A9" w:rsidP="009C13A9">
      <w:pPr>
        <w:suppressAutoHyphens/>
        <w:spacing w:line="240" w:lineRule="atLeast"/>
        <w:jc w:val="right"/>
        <w:rPr>
          <w:rFonts w:cs="Arial"/>
          <w:szCs w:val="20"/>
          <w:lang w:val="bg-BG"/>
        </w:rPr>
      </w:pPr>
      <w:r w:rsidRPr="009072DA">
        <w:rPr>
          <w:sz w:val="16"/>
          <w:lang w:val="bg-BG"/>
        </w:rPr>
        <w:t>Печат на компетентния орган</w:t>
      </w:r>
    </w:p>
    <w:p w:rsidR="009C13A9" w:rsidRPr="009072DA" w:rsidRDefault="009C13A9" w:rsidP="009C13A9">
      <w:pPr>
        <w:tabs>
          <w:tab w:val="left" w:leader="dot" w:pos="9072"/>
        </w:tabs>
        <w:suppressAutoHyphens/>
        <w:spacing w:line="240" w:lineRule="atLeast"/>
        <w:rPr>
          <w:rFonts w:cs="Arial"/>
          <w:szCs w:val="20"/>
          <w:lang w:val="bg-BG"/>
        </w:rPr>
      </w:pPr>
    </w:p>
    <w:p w:rsidR="009C13A9" w:rsidRPr="009072DA" w:rsidRDefault="009C13A9" w:rsidP="009C13A9">
      <w:pPr>
        <w:tabs>
          <w:tab w:val="left" w:leader="dot" w:pos="9072"/>
        </w:tabs>
        <w:suppressAutoHyphens/>
        <w:spacing w:line="240" w:lineRule="atLeast"/>
        <w:rPr>
          <w:rFonts w:cs="Arial"/>
          <w:szCs w:val="20"/>
          <w:lang w:val="bg-BG"/>
        </w:rPr>
      </w:pPr>
      <w:r w:rsidRPr="009072DA">
        <w:rPr>
          <w:lang w:val="bg-BG"/>
        </w:rPr>
        <w:t xml:space="preserve">№ в списъка: </w:t>
      </w:r>
      <w:r w:rsidRPr="009072DA">
        <w:rPr>
          <w:lang w:val="bg-BG"/>
        </w:rPr>
        <w:tab/>
      </w:r>
    </w:p>
    <w:p w:rsidR="009C13A9" w:rsidRPr="009072DA" w:rsidRDefault="009C13A9" w:rsidP="009C13A9">
      <w:pPr>
        <w:tabs>
          <w:tab w:val="left" w:leader="dot" w:pos="4536"/>
          <w:tab w:val="left" w:leader="dot" w:pos="8505"/>
          <w:tab w:val="left" w:leader="dot" w:pos="9072"/>
        </w:tabs>
        <w:suppressAutoHyphens/>
        <w:spacing w:line="240" w:lineRule="atLeast"/>
        <w:rPr>
          <w:rFonts w:cs="Arial"/>
          <w:szCs w:val="20"/>
          <w:lang w:val="bg-BG"/>
        </w:rPr>
      </w:pPr>
    </w:p>
    <w:p w:rsidR="009C13A9" w:rsidRPr="009072DA" w:rsidRDefault="009C13A9" w:rsidP="009C13A9">
      <w:pPr>
        <w:tabs>
          <w:tab w:val="left" w:leader="dot" w:pos="4536"/>
          <w:tab w:val="left" w:pos="4678"/>
          <w:tab w:val="left" w:leader="dot" w:pos="9072"/>
        </w:tabs>
        <w:suppressAutoHyphens/>
        <w:spacing w:line="240" w:lineRule="atLeast"/>
        <w:rPr>
          <w:rFonts w:cs="Arial"/>
          <w:szCs w:val="20"/>
          <w:lang w:val="bg-BG"/>
        </w:rPr>
      </w:pPr>
      <w:r w:rsidRPr="009072DA">
        <w:rPr>
          <w:lang w:val="bg-BG"/>
        </w:rPr>
        <w:t xml:space="preserve">За периода от: </w:t>
      </w:r>
      <w:r w:rsidRPr="009072DA">
        <w:rPr>
          <w:lang w:val="bg-BG"/>
        </w:rPr>
        <w:tab/>
        <w:t xml:space="preserve"> </w:t>
      </w:r>
      <w:r w:rsidRPr="009072DA">
        <w:rPr>
          <w:lang w:val="bg-BG"/>
        </w:rPr>
        <w:tab/>
        <w:t xml:space="preserve">до: </w:t>
      </w:r>
      <w:r w:rsidRPr="009072DA">
        <w:rPr>
          <w:lang w:val="bg-BG"/>
        </w:rPr>
        <w:tab/>
      </w:r>
    </w:p>
    <w:p w:rsidR="009C13A9" w:rsidRPr="009072DA" w:rsidRDefault="009C13A9" w:rsidP="009C13A9">
      <w:pPr>
        <w:tabs>
          <w:tab w:val="left" w:leader="dot" w:pos="9072"/>
        </w:tabs>
        <w:suppressAutoHyphens/>
        <w:spacing w:line="240" w:lineRule="atLeast"/>
        <w:rPr>
          <w:rFonts w:cs="Arial"/>
          <w:szCs w:val="20"/>
          <w:lang w:val="bg-BG"/>
        </w:rPr>
      </w:pPr>
    </w:p>
    <w:p w:rsidR="009C13A9" w:rsidRPr="009072DA" w:rsidRDefault="009C13A9" w:rsidP="009C13A9">
      <w:pPr>
        <w:tabs>
          <w:tab w:val="left" w:leader="dot" w:pos="9072"/>
        </w:tabs>
        <w:suppressAutoHyphens/>
        <w:spacing w:line="240" w:lineRule="atLeast"/>
        <w:rPr>
          <w:rFonts w:cs="Arial"/>
          <w:szCs w:val="20"/>
          <w:lang w:val="bg-BG"/>
        </w:rPr>
      </w:pPr>
      <w:r w:rsidRPr="009072DA">
        <w:rPr>
          <w:lang w:val="bg-BG"/>
        </w:rPr>
        <w:t>Следната информация се предоставя относно типовете бордови станции за пречистване на отпадъчни води и номерата на одобренията на типа на бордовите станции за пречистване на отпадъчни води, произведени в рамките на горепосочения период в съответствие с разпоредбите на Европейския стандарт за определяне на технически изисквания за плавателните съдове по вътрешните водни пътища (ES-TRIN):</w:t>
      </w:r>
    </w:p>
    <w:p w:rsidR="009C13A9" w:rsidRPr="009072DA" w:rsidRDefault="009C13A9" w:rsidP="009C13A9">
      <w:pPr>
        <w:spacing w:line="240" w:lineRule="atLeast"/>
        <w:rPr>
          <w:rFonts w:cs="Arial"/>
          <w:color w:val="000000"/>
          <w:lang w:val="bg-BG"/>
        </w:rPr>
      </w:pPr>
    </w:p>
    <w:p w:rsidR="009C13A9" w:rsidRPr="009072DA" w:rsidRDefault="009C13A9" w:rsidP="009C13A9">
      <w:pPr>
        <w:tabs>
          <w:tab w:val="left" w:leader="dot" w:pos="9072"/>
        </w:tabs>
        <w:suppressAutoHyphens/>
        <w:spacing w:line="240" w:lineRule="atLeast"/>
        <w:rPr>
          <w:rFonts w:cs="Arial"/>
          <w:szCs w:val="20"/>
          <w:lang w:val="bg-BG"/>
        </w:rPr>
      </w:pPr>
      <w:r w:rsidRPr="009072DA">
        <w:rPr>
          <w:lang w:val="bg-BG"/>
        </w:rPr>
        <w:t xml:space="preserve">Марка (наименование на дружеството производител): </w:t>
      </w:r>
      <w:r w:rsidRPr="009072DA">
        <w:rPr>
          <w:lang w:val="bg-BG"/>
        </w:rPr>
        <w:tab/>
      </w:r>
    </w:p>
    <w:p w:rsidR="009C13A9" w:rsidRPr="009072DA" w:rsidRDefault="009C13A9" w:rsidP="009C13A9">
      <w:pPr>
        <w:tabs>
          <w:tab w:val="left" w:leader="dot" w:pos="9072"/>
        </w:tabs>
        <w:suppressAutoHyphens/>
        <w:spacing w:line="240" w:lineRule="atLeast"/>
        <w:rPr>
          <w:rFonts w:cs="Arial"/>
          <w:szCs w:val="20"/>
          <w:lang w:val="bg-BG"/>
        </w:rPr>
      </w:pPr>
    </w:p>
    <w:p w:rsidR="009C13A9" w:rsidRPr="009072DA" w:rsidRDefault="009C13A9" w:rsidP="009C13A9">
      <w:pPr>
        <w:tabs>
          <w:tab w:val="left" w:leader="dot" w:pos="9072"/>
        </w:tabs>
        <w:suppressAutoHyphens/>
        <w:spacing w:line="240" w:lineRule="atLeast"/>
        <w:rPr>
          <w:rFonts w:cs="Arial"/>
          <w:szCs w:val="20"/>
          <w:lang w:val="bg-BG"/>
        </w:rPr>
      </w:pPr>
      <w:r w:rsidRPr="009072DA">
        <w:rPr>
          <w:lang w:val="bg-BG"/>
        </w:rPr>
        <w:t xml:space="preserve">Обозначение от производителя за типа на бордовата станция за пречистване на отпадъчни води: </w:t>
      </w:r>
      <w:r w:rsidRPr="009072DA">
        <w:rPr>
          <w:lang w:val="bg-BG"/>
        </w:rPr>
        <w:tab/>
      </w:r>
    </w:p>
    <w:p w:rsidR="009C13A9" w:rsidRPr="009072DA" w:rsidRDefault="009C13A9" w:rsidP="009C13A9">
      <w:pPr>
        <w:tabs>
          <w:tab w:val="left" w:leader="dot" w:pos="9072"/>
        </w:tabs>
        <w:suppressAutoHyphens/>
        <w:spacing w:line="240" w:lineRule="atLeast"/>
        <w:rPr>
          <w:rFonts w:cs="Arial"/>
          <w:szCs w:val="20"/>
          <w:lang w:val="bg-BG"/>
        </w:rPr>
      </w:pPr>
      <w:r w:rsidRPr="009072DA">
        <w:rPr>
          <w:lang w:val="bg-BG"/>
        </w:rPr>
        <w:tab/>
      </w:r>
    </w:p>
    <w:p w:rsidR="009C13A9" w:rsidRPr="009072DA" w:rsidRDefault="009C13A9" w:rsidP="009C13A9">
      <w:pPr>
        <w:tabs>
          <w:tab w:val="left" w:leader="dot" w:pos="9072"/>
        </w:tabs>
        <w:suppressAutoHyphens/>
        <w:spacing w:line="240" w:lineRule="atLeast"/>
        <w:rPr>
          <w:rFonts w:cs="Arial"/>
          <w:szCs w:val="20"/>
          <w:lang w:val="bg-BG"/>
        </w:rPr>
      </w:pPr>
    </w:p>
    <w:p w:rsidR="009C13A9" w:rsidRPr="009072DA" w:rsidRDefault="009C13A9" w:rsidP="009C13A9">
      <w:pPr>
        <w:tabs>
          <w:tab w:val="left" w:leader="dot" w:pos="9072"/>
        </w:tabs>
        <w:suppressAutoHyphens/>
        <w:spacing w:line="240" w:lineRule="atLeast"/>
        <w:rPr>
          <w:rFonts w:cs="Arial"/>
          <w:szCs w:val="20"/>
          <w:lang w:val="bg-BG"/>
        </w:rPr>
      </w:pPr>
      <w:r w:rsidRPr="009072DA">
        <w:rPr>
          <w:lang w:val="bg-BG"/>
        </w:rPr>
        <w:t xml:space="preserve">Номер на одобрението на типа: </w:t>
      </w:r>
      <w:r w:rsidRPr="009072DA">
        <w:rPr>
          <w:lang w:val="bg-BG"/>
        </w:rPr>
        <w:tab/>
      </w:r>
    </w:p>
    <w:p w:rsidR="009C13A9" w:rsidRPr="009072DA" w:rsidRDefault="009C13A9" w:rsidP="009C13A9">
      <w:pPr>
        <w:tabs>
          <w:tab w:val="left" w:leader="dot" w:pos="9072"/>
        </w:tabs>
        <w:suppressAutoHyphens/>
        <w:spacing w:line="240" w:lineRule="atLeast"/>
        <w:rPr>
          <w:rFonts w:cs="Arial"/>
          <w:szCs w:val="20"/>
          <w:lang w:val="bg-BG"/>
        </w:rPr>
      </w:pPr>
    </w:p>
    <w:p w:rsidR="009C13A9" w:rsidRPr="009072DA" w:rsidRDefault="009C13A9" w:rsidP="009C13A9">
      <w:pPr>
        <w:tabs>
          <w:tab w:val="left" w:leader="dot" w:pos="9072"/>
        </w:tabs>
        <w:suppressAutoHyphens/>
        <w:spacing w:line="240" w:lineRule="atLeast"/>
        <w:rPr>
          <w:rFonts w:cs="Arial"/>
          <w:szCs w:val="20"/>
          <w:lang w:val="bg-BG"/>
        </w:rPr>
      </w:pPr>
      <w:r w:rsidRPr="009072DA">
        <w:rPr>
          <w:lang w:val="bg-BG"/>
        </w:rPr>
        <w:t xml:space="preserve">Дата на първоначално издаване: </w:t>
      </w:r>
      <w:r w:rsidRPr="009072DA">
        <w:rPr>
          <w:lang w:val="bg-BG"/>
        </w:rPr>
        <w:tab/>
      </w:r>
    </w:p>
    <w:p w:rsidR="009C13A9" w:rsidRPr="009072DA" w:rsidRDefault="009C13A9" w:rsidP="009C13A9">
      <w:pPr>
        <w:tabs>
          <w:tab w:val="left" w:leader="dot" w:pos="9072"/>
        </w:tabs>
        <w:suppressAutoHyphens/>
        <w:spacing w:line="240" w:lineRule="atLeast"/>
        <w:rPr>
          <w:rFonts w:cs="Arial"/>
          <w:szCs w:val="20"/>
          <w:lang w:val="bg-BG"/>
        </w:rPr>
      </w:pPr>
    </w:p>
    <w:p w:rsidR="009C13A9" w:rsidRPr="009072DA" w:rsidRDefault="009C13A9" w:rsidP="009C13A9">
      <w:pPr>
        <w:tabs>
          <w:tab w:val="left" w:leader="dot" w:pos="9072"/>
        </w:tabs>
        <w:suppressAutoHyphens/>
        <w:spacing w:line="240" w:lineRule="atLeast"/>
        <w:rPr>
          <w:rFonts w:cs="Arial"/>
          <w:szCs w:val="20"/>
          <w:lang w:val="bg-BG"/>
        </w:rPr>
      </w:pPr>
      <w:r w:rsidRPr="009072DA">
        <w:rPr>
          <w:lang w:val="bg-BG"/>
        </w:rPr>
        <w:t>Дата на първоначално издаване (при удължаване):</w:t>
      </w:r>
      <w:r w:rsidRPr="009072DA">
        <w:rPr>
          <w:lang w:val="bg-BG"/>
        </w:rPr>
        <w:tab/>
      </w:r>
    </w:p>
    <w:p w:rsidR="009C13A9" w:rsidRPr="009072DA" w:rsidRDefault="009C13A9" w:rsidP="009C13A9">
      <w:pPr>
        <w:tabs>
          <w:tab w:val="left" w:leader="dot" w:pos="9072"/>
        </w:tabs>
        <w:suppressAutoHyphens/>
        <w:spacing w:line="240" w:lineRule="atLeast"/>
        <w:ind w:left="567"/>
        <w:rPr>
          <w:rFonts w:cs="Arial"/>
          <w:szCs w:val="20"/>
          <w:lang w:val="bg-BG"/>
        </w:rPr>
      </w:pPr>
    </w:p>
    <w:p w:rsidR="009C13A9" w:rsidRPr="009072DA" w:rsidRDefault="009C13A9" w:rsidP="009C13A9">
      <w:pPr>
        <w:tabs>
          <w:tab w:val="left" w:pos="4111"/>
          <w:tab w:val="left" w:pos="5812"/>
          <w:tab w:val="left" w:pos="7938"/>
        </w:tabs>
        <w:suppressAutoHyphens/>
        <w:spacing w:line="240" w:lineRule="atLeast"/>
        <w:rPr>
          <w:rFonts w:cs="Arial"/>
          <w:szCs w:val="20"/>
          <w:lang w:val="bg-BG"/>
        </w:rPr>
      </w:pPr>
      <w:r w:rsidRPr="009072DA">
        <w:rPr>
          <w:lang w:val="bg-BG"/>
        </w:rPr>
        <w:t>Сериен номер:</w:t>
      </w:r>
      <w:r w:rsidRPr="009072DA">
        <w:rPr>
          <w:lang w:val="bg-BG"/>
        </w:rPr>
        <w:tab/>
        <w:t>... 001</w:t>
      </w:r>
      <w:r w:rsidRPr="009072DA">
        <w:rPr>
          <w:lang w:val="bg-BG"/>
        </w:rPr>
        <w:tab/>
        <w:t>... 001</w:t>
      </w:r>
      <w:r w:rsidRPr="009072DA">
        <w:rPr>
          <w:lang w:val="bg-BG"/>
        </w:rPr>
        <w:tab/>
        <w:t>... 001</w:t>
      </w:r>
    </w:p>
    <w:p w:rsidR="009C13A9" w:rsidRPr="009072DA" w:rsidRDefault="009C13A9" w:rsidP="009C13A9">
      <w:pPr>
        <w:tabs>
          <w:tab w:val="left" w:pos="4111"/>
          <w:tab w:val="left" w:pos="5812"/>
          <w:tab w:val="left" w:pos="7938"/>
        </w:tabs>
        <w:suppressAutoHyphens/>
        <w:spacing w:line="240" w:lineRule="atLeast"/>
        <w:rPr>
          <w:rFonts w:cs="Arial"/>
          <w:szCs w:val="20"/>
          <w:lang w:val="bg-BG"/>
        </w:rPr>
      </w:pPr>
      <w:r w:rsidRPr="009072DA">
        <w:rPr>
          <w:lang w:val="bg-BG"/>
        </w:rPr>
        <w:tab/>
      </w:r>
    </w:p>
    <w:p w:rsidR="009C13A9" w:rsidRPr="009072DA" w:rsidRDefault="009C13A9" w:rsidP="009C13A9">
      <w:pPr>
        <w:tabs>
          <w:tab w:val="left" w:pos="4111"/>
          <w:tab w:val="left" w:pos="5812"/>
          <w:tab w:val="left" w:pos="7938"/>
        </w:tabs>
        <w:suppressAutoHyphens/>
        <w:spacing w:line="240" w:lineRule="atLeast"/>
        <w:ind w:left="4111"/>
        <w:rPr>
          <w:rFonts w:cs="Arial"/>
          <w:szCs w:val="20"/>
          <w:lang w:val="bg-BG"/>
        </w:rPr>
      </w:pPr>
      <w:r w:rsidRPr="009072DA">
        <w:rPr>
          <w:lang w:val="bg-BG"/>
        </w:rPr>
        <w:lastRenderedPageBreak/>
        <w:t>... 002</w:t>
      </w:r>
      <w:r w:rsidRPr="009072DA">
        <w:rPr>
          <w:lang w:val="bg-BG"/>
        </w:rPr>
        <w:tab/>
        <w:t>... 002</w:t>
      </w:r>
      <w:r w:rsidRPr="009072DA">
        <w:rPr>
          <w:lang w:val="bg-BG"/>
        </w:rPr>
        <w:tab/>
        <w:t>... 002</w:t>
      </w:r>
    </w:p>
    <w:p w:rsidR="009C13A9" w:rsidRPr="009072DA" w:rsidRDefault="009C13A9" w:rsidP="009C13A9">
      <w:pPr>
        <w:tabs>
          <w:tab w:val="left" w:pos="4111"/>
          <w:tab w:val="left" w:pos="5812"/>
          <w:tab w:val="left" w:pos="7938"/>
        </w:tabs>
        <w:suppressAutoHyphens/>
        <w:spacing w:line="240" w:lineRule="atLeast"/>
        <w:ind w:left="4111"/>
        <w:rPr>
          <w:rFonts w:cs="Arial"/>
          <w:szCs w:val="20"/>
          <w:lang w:val="bg-BG"/>
        </w:rPr>
      </w:pPr>
    </w:p>
    <w:p w:rsidR="009C13A9" w:rsidRPr="009072DA" w:rsidRDefault="009C13A9" w:rsidP="009C13A9">
      <w:pPr>
        <w:tabs>
          <w:tab w:val="left" w:pos="4111"/>
          <w:tab w:val="left" w:pos="5812"/>
          <w:tab w:val="left" w:pos="7938"/>
        </w:tabs>
        <w:suppressAutoHyphens/>
        <w:spacing w:line="240" w:lineRule="atLeast"/>
        <w:ind w:left="4111"/>
        <w:rPr>
          <w:rFonts w:cs="Arial"/>
          <w:szCs w:val="20"/>
          <w:lang w:val="bg-BG"/>
        </w:rPr>
      </w:pPr>
      <w:r w:rsidRPr="009072DA">
        <w:rPr>
          <w:lang w:val="bg-BG"/>
        </w:rPr>
        <w:t>.</w:t>
      </w:r>
      <w:r w:rsidRPr="009072DA">
        <w:rPr>
          <w:lang w:val="bg-BG"/>
        </w:rPr>
        <w:tab/>
        <w:t>.</w:t>
      </w:r>
      <w:r w:rsidRPr="009072DA">
        <w:rPr>
          <w:lang w:val="bg-BG"/>
        </w:rPr>
        <w:tab/>
        <w:t>.</w:t>
      </w:r>
    </w:p>
    <w:p w:rsidR="009C13A9" w:rsidRPr="009072DA" w:rsidRDefault="009C13A9" w:rsidP="009C13A9">
      <w:pPr>
        <w:tabs>
          <w:tab w:val="left" w:pos="4111"/>
          <w:tab w:val="left" w:pos="5812"/>
          <w:tab w:val="left" w:pos="7938"/>
        </w:tabs>
        <w:suppressAutoHyphens/>
        <w:spacing w:line="240" w:lineRule="atLeast"/>
        <w:ind w:left="4111"/>
        <w:rPr>
          <w:rFonts w:cs="Arial"/>
          <w:szCs w:val="20"/>
          <w:lang w:val="bg-BG"/>
        </w:rPr>
      </w:pPr>
      <w:r w:rsidRPr="009072DA">
        <w:rPr>
          <w:lang w:val="bg-BG"/>
        </w:rPr>
        <w:t>.</w:t>
      </w:r>
      <w:r w:rsidRPr="009072DA">
        <w:rPr>
          <w:lang w:val="bg-BG"/>
        </w:rPr>
        <w:tab/>
        <w:t>.</w:t>
      </w:r>
      <w:r w:rsidRPr="009072DA">
        <w:rPr>
          <w:lang w:val="bg-BG"/>
        </w:rPr>
        <w:tab/>
        <w:t>.</w:t>
      </w:r>
    </w:p>
    <w:p w:rsidR="009C13A9" w:rsidRPr="009072DA" w:rsidRDefault="009C13A9" w:rsidP="009C13A9">
      <w:pPr>
        <w:tabs>
          <w:tab w:val="left" w:pos="4111"/>
          <w:tab w:val="left" w:pos="5812"/>
          <w:tab w:val="left" w:pos="7938"/>
        </w:tabs>
        <w:suppressAutoHyphens/>
        <w:spacing w:line="240" w:lineRule="atLeast"/>
        <w:ind w:left="4111"/>
        <w:rPr>
          <w:rFonts w:cs="Arial"/>
          <w:szCs w:val="20"/>
          <w:lang w:val="bg-BG"/>
        </w:rPr>
      </w:pPr>
      <w:r w:rsidRPr="009072DA">
        <w:rPr>
          <w:lang w:val="bg-BG"/>
        </w:rPr>
        <w:t>.</w:t>
      </w:r>
      <w:r w:rsidRPr="009072DA">
        <w:rPr>
          <w:lang w:val="bg-BG"/>
        </w:rPr>
        <w:tab/>
        <w:t>.</w:t>
      </w:r>
      <w:r w:rsidRPr="009072DA">
        <w:rPr>
          <w:lang w:val="bg-BG"/>
        </w:rPr>
        <w:tab/>
        <w:t>.</w:t>
      </w:r>
    </w:p>
    <w:p w:rsidR="009C13A9" w:rsidRPr="009072DA" w:rsidRDefault="009C13A9" w:rsidP="009C13A9">
      <w:pPr>
        <w:tabs>
          <w:tab w:val="left" w:pos="4111"/>
          <w:tab w:val="left" w:pos="5812"/>
          <w:tab w:val="left" w:pos="7938"/>
        </w:tabs>
        <w:suppressAutoHyphens/>
        <w:spacing w:line="240" w:lineRule="atLeast"/>
        <w:ind w:left="4111"/>
        <w:rPr>
          <w:rFonts w:cs="Arial"/>
          <w:szCs w:val="20"/>
          <w:lang w:val="bg-BG"/>
        </w:rPr>
      </w:pPr>
    </w:p>
    <w:p w:rsidR="009C13A9" w:rsidRPr="009072DA" w:rsidRDefault="009C13A9" w:rsidP="009C13A9">
      <w:pPr>
        <w:tabs>
          <w:tab w:val="left" w:pos="4111"/>
          <w:tab w:val="left" w:pos="5812"/>
          <w:tab w:val="left" w:pos="7938"/>
        </w:tabs>
        <w:suppressAutoHyphens/>
        <w:spacing w:line="240" w:lineRule="atLeast"/>
        <w:ind w:left="4111"/>
        <w:rPr>
          <w:rFonts w:cs="Arial"/>
          <w:szCs w:val="20"/>
          <w:lang w:val="bg-BG"/>
        </w:rPr>
      </w:pPr>
      <w:r w:rsidRPr="009072DA">
        <w:rPr>
          <w:lang w:val="bg-BG"/>
        </w:rPr>
        <w:t>..... m</w:t>
      </w:r>
      <w:r w:rsidRPr="009072DA">
        <w:rPr>
          <w:lang w:val="bg-BG"/>
        </w:rPr>
        <w:tab/>
        <w:t>..... p</w:t>
      </w:r>
      <w:r w:rsidRPr="009072DA">
        <w:rPr>
          <w:lang w:val="bg-BG"/>
        </w:rPr>
        <w:tab/>
        <w:t>..... q</w:t>
      </w:r>
    </w:p>
    <w:p w:rsidR="009C13A9" w:rsidRPr="009072DA" w:rsidRDefault="009C13A9" w:rsidP="009C13A9">
      <w:pPr>
        <w:tabs>
          <w:tab w:val="left" w:pos="4111"/>
          <w:tab w:val="left" w:pos="5812"/>
          <w:tab w:val="left" w:pos="7938"/>
        </w:tabs>
        <w:suppressAutoHyphens/>
        <w:spacing w:line="240" w:lineRule="atLeast"/>
        <w:ind w:left="4111"/>
        <w:rPr>
          <w:rFonts w:cs="Arial"/>
          <w:szCs w:val="20"/>
          <w:lang w:val="bg-BG"/>
        </w:rPr>
      </w:pPr>
    </w:p>
    <w:p w:rsidR="009C13A9" w:rsidRPr="009072DA" w:rsidRDefault="009C13A9" w:rsidP="009C13A9">
      <w:pPr>
        <w:tabs>
          <w:tab w:val="left" w:pos="4111"/>
          <w:tab w:val="left" w:pos="5812"/>
          <w:tab w:val="left" w:pos="7938"/>
        </w:tabs>
        <w:suppressAutoHyphens/>
        <w:spacing w:line="240" w:lineRule="atLeast"/>
        <w:ind w:left="4111"/>
        <w:rPr>
          <w:rFonts w:cs="Arial"/>
          <w:szCs w:val="20"/>
          <w:lang w:val="bg-BG"/>
        </w:rPr>
      </w:pPr>
    </w:p>
    <w:p w:rsidR="009C13A9" w:rsidRPr="009072DA" w:rsidRDefault="009C13A9" w:rsidP="009C13A9">
      <w:pPr>
        <w:suppressAutoHyphens/>
        <w:spacing w:line="240" w:lineRule="atLeast"/>
        <w:rPr>
          <w:rFonts w:cs="Arial"/>
          <w:lang w:val="bg-BG"/>
        </w:rPr>
      </w:pPr>
    </w:p>
    <w:p w:rsidR="009C13A9" w:rsidRPr="009072DA" w:rsidRDefault="009C13A9" w:rsidP="009C13A9">
      <w:pPr>
        <w:suppressAutoHyphens/>
        <w:spacing w:line="240" w:lineRule="atLeast"/>
        <w:rPr>
          <w:rFonts w:cs="Arial"/>
          <w:lang w:val="bg-BG"/>
        </w:rPr>
      </w:pPr>
    </w:p>
    <w:p w:rsidR="009C13A9" w:rsidRPr="009072DA" w:rsidRDefault="009C13A9" w:rsidP="009C13A9">
      <w:pPr>
        <w:suppressAutoHyphens/>
        <w:spacing w:line="240" w:lineRule="atLeast"/>
        <w:rPr>
          <w:rFonts w:cs="Arial"/>
          <w:lang w:val="bg-BG"/>
        </w:rPr>
      </w:pPr>
    </w:p>
    <w:p w:rsidR="009C13A9" w:rsidRPr="009072DA" w:rsidRDefault="009C13A9" w:rsidP="009C13A9">
      <w:pPr>
        <w:suppressAutoHyphens/>
        <w:spacing w:line="240" w:lineRule="atLeast"/>
        <w:rPr>
          <w:rFonts w:cs="Arial"/>
          <w:lang w:val="bg-BG"/>
        </w:rPr>
      </w:pPr>
      <w:r w:rsidRPr="009072DA">
        <w:rPr>
          <w:lang w:val="bg-BG"/>
        </w:rPr>
        <w:br w:type="page"/>
      </w:r>
    </w:p>
    <w:p w:rsidR="009C13A9" w:rsidRPr="009072DA" w:rsidRDefault="009C13A9" w:rsidP="009C13A9">
      <w:pPr>
        <w:suppressAutoHyphens/>
        <w:spacing w:line="240" w:lineRule="atLeast"/>
        <w:rPr>
          <w:rFonts w:cs="Arial"/>
          <w:lang w:val="bg-BG"/>
        </w:rPr>
      </w:pPr>
    </w:p>
    <w:p w:rsidR="009C13A9" w:rsidRPr="009072DA" w:rsidRDefault="009C13A9" w:rsidP="009C13A9">
      <w:pPr>
        <w:suppressAutoHyphens/>
        <w:spacing w:line="240" w:lineRule="atLeast"/>
        <w:rPr>
          <w:rFonts w:cs="Arial"/>
          <w:lang w:val="bg-BG"/>
        </w:rPr>
      </w:pPr>
    </w:p>
    <w:p w:rsidR="009C13A9" w:rsidRPr="009072DA" w:rsidRDefault="009C13A9" w:rsidP="009C13A9">
      <w:pPr>
        <w:tabs>
          <w:tab w:val="left" w:pos="4111"/>
          <w:tab w:val="left" w:pos="5812"/>
          <w:tab w:val="left" w:pos="7938"/>
        </w:tabs>
        <w:suppressAutoHyphens/>
        <w:spacing w:line="240" w:lineRule="atLeast"/>
        <w:rPr>
          <w:rFonts w:cs="Arial"/>
          <w:lang w:val="bg-BG"/>
        </w:rPr>
      </w:pPr>
    </w:p>
    <w:p w:rsidR="009C13A9" w:rsidRPr="009072DA" w:rsidRDefault="009C13A9" w:rsidP="009C13A9">
      <w:pPr>
        <w:suppressAutoHyphens/>
        <w:rPr>
          <w:rFonts w:cs="Arial"/>
          <w:sz w:val="24"/>
          <w:lang w:val="bg-BG"/>
        </w:rPr>
        <w:sectPr w:rsidR="009C13A9" w:rsidRPr="009072DA" w:rsidSect="009C13A9">
          <w:headerReference w:type="even" r:id="rId83"/>
          <w:headerReference w:type="default" r:id="rId84"/>
          <w:footerReference w:type="even" r:id="rId85"/>
          <w:footerReference w:type="default" r:id="rId86"/>
          <w:headerReference w:type="first" r:id="rId87"/>
          <w:footerReference w:type="first" r:id="rId88"/>
          <w:footnotePr>
            <w:numRestart w:val="eachPage"/>
          </w:footnotePr>
          <w:pgSz w:w="11907" w:h="16840" w:code="9"/>
          <w:pgMar w:top="1418" w:right="1418" w:bottom="1418" w:left="1418" w:header="680" w:footer="680" w:gutter="0"/>
          <w:cols w:space="720"/>
          <w:docGrid w:linePitch="360"/>
        </w:sectPr>
      </w:pPr>
    </w:p>
    <w:p w:rsidR="009C13A9" w:rsidRPr="009072DA" w:rsidRDefault="009C13A9" w:rsidP="009C13A9">
      <w:pPr>
        <w:suppressAutoHyphens/>
        <w:spacing w:line="240" w:lineRule="atLeast"/>
        <w:jc w:val="center"/>
        <w:rPr>
          <w:rFonts w:cs="Arial"/>
          <w:sz w:val="18"/>
          <w:lang w:val="bg-BG"/>
        </w:rPr>
      </w:pPr>
    </w:p>
    <w:p w:rsidR="009C13A9" w:rsidRPr="009072DA" w:rsidRDefault="00925755" w:rsidP="00390107">
      <w:pPr>
        <w:pStyle w:val="ES-Titre3"/>
        <w:rPr>
          <w:lang w:val="bg-BG"/>
        </w:rPr>
      </w:pPr>
      <w:bookmarkStart w:id="705" w:name="_Toc491854336"/>
      <w:bookmarkStart w:id="706" w:name="_Toc535827777"/>
      <w:r w:rsidRPr="009072DA">
        <w:rPr>
          <w:lang w:val="bg-BG"/>
        </w:rPr>
        <w:t>Раздел VII</w:t>
      </w:r>
      <w:bookmarkEnd w:id="705"/>
      <w:bookmarkEnd w:id="706"/>
    </w:p>
    <w:p w:rsidR="009C13A9" w:rsidRPr="009072DA" w:rsidRDefault="009C13A9" w:rsidP="00390107">
      <w:pPr>
        <w:pStyle w:val="ES-Titre3a"/>
        <w:rPr>
          <w:lang w:val="bg-BG"/>
        </w:rPr>
      </w:pPr>
      <w:bookmarkStart w:id="707" w:name="_Toc491854337"/>
      <w:bookmarkStart w:id="708" w:name="_Toc535827778"/>
      <w:r w:rsidRPr="009072DA">
        <w:rPr>
          <w:lang w:val="bg-BG"/>
        </w:rPr>
        <w:t>Спецификация за бордови станции за пречистване на отпадъчни води с одобрение на типа</w:t>
      </w:r>
      <w:bookmarkEnd w:id="707"/>
      <w:bookmarkEnd w:id="708"/>
      <w:r w:rsidRPr="009072DA">
        <w:rPr>
          <w:lang w:val="bg-BG"/>
        </w:rPr>
        <w:t xml:space="preserve"> </w:t>
      </w:r>
    </w:p>
    <w:p w:rsidR="009C13A9" w:rsidRPr="009072DA" w:rsidRDefault="009C13A9" w:rsidP="009C13A9">
      <w:pPr>
        <w:overflowPunct w:val="0"/>
        <w:adjustRightInd w:val="0"/>
        <w:spacing w:line="240" w:lineRule="exact"/>
        <w:jc w:val="center"/>
        <w:textAlignment w:val="baseline"/>
        <w:rPr>
          <w:rFonts w:eastAsia="Calibri" w:cs="Arial"/>
          <w:szCs w:val="20"/>
          <w:lang w:val="bg-BG"/>
        </w:rPr>
      </w:pPr>
      <w:r w:rsidRPr="009072DA">
        <w:rPr>
          <w:lang w:val="bg-BG"/>
        </w:rPr>
        <w:t>(Образец)</w:t>
      </w:r>
    </w:p>
    <w:p w:rsidR="009C13A9" w:rsidRPr="009072DA" w:rsidRDefault="009C13A9" w:rsidP="009C13A9">
      <w:pPr>
        <w:suppressAutoHyphens/>
        <w:spacing w:line="240" w:lineRule="atLeast"/>
        <w:rPr>
          <w:rFonts w:cs="Arial"/>
          <w:szCs w:val="20"/>
          <w:lang w:val="bg-BG"/>
        </w:rPr>
      </w:pPr>
    </w:p>
    <w:p w:rsidR="009C13A9" w:rsidRPr="009072DA" w:rsidRDefault="009C13A9" w:rsidP="009C13A9">
      <w:pPr>
        <w:jc w:val="right"/>
        <w:outlineLvl w:val="0"/>
        <w:rPr>
          <w:b/>
          <w:sz w:val="16"/>
          <w:lang w:val="bg-BG"/>
        </w:rPr>
      </w:pPr>
      <w:r w:rsidRPr="009072DA">
        <w:rPr>
          <w:sz w:val="16"/>
          <w:lang w:val="bg-BG"/>
        </w:rPr>
        <w:t>Печат на компетентния орган</w:t>
      </w:r>
    </w:p>
    <w:p w:rsidR="009C13A9" w:rsidRPr="009072DA" w:rsidRDefault="009C13A9" w:rsidP="009C13A9">
      <w:pPr>
        <w:suppressAutoHyphens/>
        <w:spacing w:line="240" w:lineRule="atLeast"/>
        <w:rPr>
          <w:rFonts w:cs="Arial"/>
          <w:lang w:val="bg-BG"/>
        </w:rPr>
      </w:pPr>
    </w:p>
    <w:tbl>
      <w:tblPr>
        <w:tblW w:w="147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2"/>
        <w:gridCol w:w="923"/>
        <w:gridCol w:w="1001"/>
        <w:gridCol w:w="780"/>
        <w:gridCol w:w="2178"/>
        <w:gridCol w:w="1302"/>
        <w:gridCol w:w="1006"/>
        <w:gridCol w:w="546"/>
        <w:gridCol w:w="567"/>
        <w:gridCol w:w="992"/>
        <w:gridCol w:w="873"/>
        <w:gridCol w:w="1258"/>
        <w:gridCol w:w="812"/>
        <w:gridCol w:w="1258"/>
        <w:gridCol w:w="812"/>
        <w:gridCol w:w="12"/>
      </w:tblGrid>
      <w:tr w:rsidR="009C13A9" w:rsidRPr="009072DA" w:rsidTr="009C13A9">
        <w:tc>
          <w:tcPr>
            <w:tcW w:w="5334" w:type="dxa"/>
            <w:gridSpan w:val="5"/>
            <w:shd w:val="clear" w:color="auto" w:fill="auto"/>
          </w:tcPr>
          <w:p w:rsidR="009C13A9" w:rsidRPr="009072DA" w:rsidRDefault="009C13A9" w:rsidP="009C13A9">
            <w:pPr>
              <w:spacing w:before="120" w:after="120" w:line="240" w:lineRule="atLeast"/>
              <w:jc w:val="center"/>
              <w:rPr>
                <w:b/>
                <w:bCs/>
                <w:szCs w:val="20"/>
                <w:lang w:val="bg-BG"/>
              </w:rPr>
            </w:pPr>
          </w:p>
        </w:tc>
        <w:tc>
          <w:tcPr>
            <w:tcW w:w="3421" w:type="dxa"/>
            <w:gridSpan w:val="4"/>
            <w:shd w:val="clear" w:color="auto" w:fill="auto"/>
          </w:tcPr>
          <w:p w:rsidR="009C13A9" w:rsidRPr="009072DA" w:rsidRDefault="009C13A9" w:rsidP="009C13A9">
            <w:pPr>
              <w:spacing w:before="120" w:after="120" w:line="240" w:lineRule="atLeast"/>
              <w:jc w:val="center"/>
              <w:rPr>
                <w:b/>
                <w:bCs/>
                <w:szCs w:val="20"/>
                <w:lang w:val="bg-BG"/>
              </w:rPr>
            </w:pPr>
            <w:r w:rsidRPr="009072DA">
              <w:rPr>
                <w:b/>
                <w:sz w:val="16"/>
                <w:lang w:val="bg-BG"/>
              </w:rPr>
              <w:t>Характеристики на бордовата станция за пречистване на отпадъчни води</w:t>
            </w:r>
          </w:p>
        </w:tc>
        <w:tc>
          <w:tcPr>
            <w:tcW w:w="6017" w:type="dxa"/>
            <w:gridSpan w:val="7"/>
            <w:shd w:val="clear" w:color="auto" w:fill="auto"/>
          </w:tcPr>
          <w:p w:rsidR="009C13A9" w:rsidRPr="009072DA" w:rsidRDefault="009C13A9" w:rsidP="009C13A9">
            <w:pPr>
              <w:spacing w:before="120" w:after="120" w:line="240" w:lineRule="atLeast"/>
              <w:jc w:val="center"/>
              <w:rPr>
                <w:b/>
                <w:bCs/>
                <w:szCs w:val="20"/>
                <w:lang w:val="bg-BG"/>
              </w:rPr>
            </w:pPr>
            <w:r w:rsidRPr="009072DA">
              <w:rPr>
                <w:b/>
                <w:sz w:val="16"/>
                <w:lang w:val="bg-BG"/>
              </w:rPr>
              <w:t>Ефективност на пречистването</w:t>
            </w:r>
          </w:p>
        </w:tc>
      </w:tr>
      <w:tr w:rsidR="009C13A9" w:rsidRPr="009072DA" w:rsidTr="009C13A9">
        <w:trPr>
          <w:gridAfter w:val="1"/>
          <w:wAfter w:w="12" w:type="dxa"/>
        </w:trPr>
        <w:tc>
          <w:tcPr>
            <w:tcW w:w="452" w:type="dxa"/>
            <w:vMerge w:val="restart"/>
            <w:shd w:val="clear" w:color="auto" w:fill="auto"/>
          </w:tcPr>
          <w:p w:rsidR="009C13A9" w:rsidRPr="009072DA" w:rsidRDefault="009C13A9" w:rsidP="009C13A9">
            <w:pPr>
              <w:spacing w:before="120" w:after="120" w:line="240" w:lineRule="atLeast"/>
              <w:jc w:val="center"/>
              <w:rPr>
                <w:szCs w:val="20"/>
                <w:lang w:val="bg-BG"/>
              </w:rPr>
            </w:pPr>
            <w:r w:rsidRPr="009072DA">
              <w:rPr>
                <w:sz w:val="16"/>
                <w:lang w:val="bg-BG"/>
              </w:rPr>
              <w:t>№</w:t>
            </w:r>
          </w:p>
        </w:tc>
        <w:tc>
          <w:tcPr>
            <w:tcW w:w="923" w:type="dxa"/>
            <w:vMerge w:val="restart"/>
            <w:shd w:val="clear" w:color="auto" w:fill="auto"/>
          </w:tcPr>
          <w:p w:rsidR="009C13A9" w:rsidRPr="009072DA" w:rsidRDefault="009C13A9" w:rsidP="009C13A9">
            <w:pPr>
              <w:spacing w:before="120" w:after="120" w:line="240" w:lineRule="atLeast"/>
              <w:jc w:val="center"/>
              <w:rPr>
                <w:szCs w:val="20"/>
                <w:lang w:val="bg-BG"/>
              </w:rPr>
            </w:pPr>
            <w:r w:rsidRPr="009072DA">
              <w:rPr>
                <w:sz w:val="16"/>
                <w:lang w:val="bg-BG"/>
              </w:rPr>
              <w:t xml:space="preserve">Дата на </w:t>
            </w:r>
            <w:r w:rsidRPr="009072DA">
              <w:rPr>
                <w:sz w:val="16"/>
                <w:szCs w:val="16"/>
                <w:lang w:val="bg-BG"/>
              </w:rPr>
              <w:br/>
            </w:r>
            <w:r w:rsidRPr="009072DA">
              <w:rPr>
                <w:sz w:val="16"/>
                <w:lang w:val="bg-BG"/>
              </w:rPr>
              <w:t>одобрението на типа</w:t>
            </w:r>
          </w:p>
        </w:tc>
        <w:tc>
          <w:tcPr>
            <w:tcW w:w="1001" w:type="dxa"/>
            <w:vMerge w:val="restart"/>
            <w:shd w:val="clear" w:color="auto" w:fill="auto"/>
          </w:tcPr>
          <w:p w:rsidR="009C13A9" w:rsidRPr="009072DA" w:rsidRDefault="009C13A9" w:rsidP="009C13A9">
            <w:pPr>
              <w:spacing w:before="120" w:after="120" w:line="240" w:lineRule="atLeast"/>
              <w:jc w:val="center"/>
              <w:rPr>
                <w:szCs w:val="20"/>
                <w:lang w:val="bg-BG"/>
              </w:rPr>
            </w:pPr>
            <w:r w:rsidRPr="009072DA">
              <w:rPr>
                <w:sz w:val="16"/>
                <w:lang w:val="bg-BG"/>
              </w:rPr>
              <w:t>Номер на одобрението на типа</w:t>
            </w:r>
          </w:p>
        </w:tc>
        <w:tc>
          <w:tcPr>
            <w:tcW w:w="780" w:type="dxa"/>
            <w:vMerge w:val="restart"/>
            <w:shd w:val="clear" w:color="auto" w:fill="auto"/>
          </w:tcPr>
          <w:p w:rsidR="009C13A9" w:rsidRPr="009072DA" w:rsidRDefault="009C13A9" w:rsidP="009C13A9">
            <w:pPr>
              <w:spacing w:before="120" w:after="120" w:line="240" w:lineRule="atLeast"/>
              <w:jc w:val="center"/>
              <w:rPr>
                <w:szCs w:val="20"/>
                <w:lang w:val="bg-BG"/>
              </w:rPr>
            </w:pPr>
            <w:r w:rsidRPr="009072DA">
              <w:rPr>
                <w:sz w:val="16"/>
                <w:lang w:val="bg-BG"/>
              </w:rPr>
              <w:t>Марка</w:t>
            </w:r>
          </w:p>
        </w:tc>
        <w:tc>
          <w:tcPr>
            <w:tcW w:w="2178" w:type="dxa"/>
            <w:vMerge w:val="restart"/>
            <w:shd w:val="clear" w:color="auto" w:fill="auto"/>
          </w:tcPr>
          <w:p w:rsidR="009C13A9" w:rsidRPr="009072DA" w:rsidRDefault="009C13A9" w:rsidP="009C13A9">
            <w:pPr>
              <w:spacing w:before="120" w:after="120" w:line="240" w:lineRule="atLeast"/>
              <w:jc w:val="center"/>
              <w:rPr>
                <w:szCs w:val="20"/>
                <w:lang w:val="bg-BG"/>
              </w:rPr>
            </w:pPr>
            <w:r w:rsidRPr="009072DA">
              <w:rPr>
                <w:sz w:val="16"/>
                <w:lang w:val="bg-BG"/>
              </w:rPr>
              <w:t>Тип на бордовата станция за пречистване на отпадъчни води</w:t>
            </w:r>
          </w:p>
        </w:tc>
        <w:tc>
          <w:tcPr>
            <w:tcW w:w="1302" w:type="dxa"/>
            <w:vMerge w:val="restart"/>
            <w:shd w:val="clear" w:color="auto" w:fill="auto"/>
          </w:tcPr>
          <w:p w:rsidR="009C13A9" w:rsidRPr="009072DA" w:rsidRDefault="009C13A9" w:rsidP="009C13A9">
            <w:pPr>
              <w:spacing w:before="120" w:after="120" w:line="240" w:lineRule="atLeast"/>
              <w:jc w:val="center"/>
              <w:rPr>
                <w:szCs w:val="20"/>
                <w:lang w:val="bg-BG"/>
              </w:rPr>
            </w:pPr>
            <w:r w:rsidRPr="009072DA">
              <w:rPr>
                <w:sz w:val="16"/>
                <w:lang w:val="bg-BG"/>
              </w:rPr>
              <w:t xml:space="preserve">Дневен обемен дебит на отпадъчните води  </w:t>
            </w:r>
            <m:oMath>
              <m:sSub>
                <m:sSubPr>
                  <m:ctrlPr>
                    <w:rPr>
                      <w:rFonts w:ascii="Cambria Math" w:hAnsi="Cambria Math" w:cs="Arial"/>
                      <w:i/>
                      <w:sz w:val="16"/>
                      <w:szCs w:val="16"/>
                      <w:lang w:val="bg-BG"/>
                    </w:rPr>
                  </m:ctrlPr>
                </m:sSubPr>
                <m:e>
                  <m:r>
                    <w:rPr>
                      <w:rFonts w:ascii="Cambria Math" w:hAnsi="Cambria Math" w:cs="Arial"/>
                      <w:sz w:val="16"/>
                      <w:szCs w:val="16"/>
                      <w:lang w:val="bg-BG"/>
                    </w:rPr>
                    <m:t>Q</m:t>
                  </m:r>
                </m:e>
                <m:sub>
                  <m:r>
                    <w:rPr>
                      <w:rFonts w:ascii="Cambria Math" w:hAnsi="Cambria Math" w:cs="Arial"/>
                      <w:sz w:val="16"/>
                      <w:szCs w:val="16"/>
                      <w:lang w:val="bg-BG"/>
                    </w:rPr>
                    <m:t>d</m:t>
                  </m:r>
                </m:sub>
              </m:sSub>
            </m:oMath>
            <w:r w:rsidRPr="009072DA">
              <w:rPr>
                <w:sz w:val="16"/>
                <w:lang w:val="bg-BG"/>
              </w:rPr>
              <w:t xml:space="preserve"> (m³/ден)</w:t>
            </w:r>
          </w:p>
        </w:tc>
        <w:tc>
          <w:tcPr>
            <w:tcW w:w="1006" w:type="dxa"/>
            <w:vMerge w:val="restart"/>
            <w:shd w:val="clear" w:color="auto" w:fill="auto"/>
          </w:tcPr>
          <w:p w:rsidR="009C13A9" w:rsidRPr="009072DA" w:rsidRDefault="009C13A9" w:rsidP="009C13A9">
            <w:pPr>
              <w:spacing w:before="120" w:after="120" w:line="240" w:lineRule="atLeast"/>
              <w:jc w:val="center"/>
              <w:rPr>
                <w:szCs w:val="20"/>
                <w:lang w:val="bg-BG"/>
              </w:rPr>
            </w:pPr>
            <w:r w:rsidRPr="009072DA">
              <w:rPr>
                <w:sz w:val="16"/>
                <w:lang w:val="bg-BG"/>
              </w:rPr>
              <w:t xml:space="preserve">Дневно замърсяване по </w:t>
            </w:r>
            <m:oMath>
              <m:sSub>
                <m:sSubPr>
                  <m:ctrlPr>
                    <w:rPr>
                      <w:rFonts w:ascii="Cambria Math" w:hAnsi="Cambria Math"/>
                      <w:i/>
                      <w:sz w:val="16"/>
                      <w:szCs w:val="16"/>
                      <w:lang w:val="bg-BG"/>
                    </w:rPr>
                  </m:ctrlPr>
                </m:sSubPr>
                <m:e>
                  <m:r>
                    <w:rPr>
                      <w:rFonts w:ascii="Cambria Math" w:hAnsi="Cambria Math"/>
                      <w:sz w:val="16"/>
                      <w:szCs w:val="16"/>
                      <w:lang w:val="bg-BG"/>
                    </w:rPr>
                    <m:t>BOD</m:t>
                  </m:r>
                </m:e>
                <m:sub>
                  <m:r>
                    <w:rPr>
                      <w:rFonts w:ascii="Cambria Math" w:hAnsi="Cambria Math"/>
                      <w:sz w:val="16"/>
                      <w:szCs w:val="16"/>
                      <w:lang w:val="bg-BG"/>
                    </w:rPr>
                    <m:t>5</m:t>
                  </m:r>
                </m:sub>
              </m:sSub>
            </m:oMath>
            <w:r w:rsidRPr="009072DA">
              <w:rPr>
                <w:sz w:val="16"/>
                <w:lang w:val="bg-BG"/>
              </w:rPr>
              <w:t xml:space="preserve"> (kg/ден)</w:t>
            </w:r>
          </w:p>
        </w:tc>
        <w:tc>
          <w:tcPr>
            <w:tcW w:w="546" w:type="dxa"/>
            <w:vMerge w:val="restart"/>
            <w:shd w:val="clear" w:color="auto" w:fill="auto"/>
          </w:tcPr>
          <w:p w:rsidR="009C13A9" w:rsidRPr="009072DA" w:rsidRDefault="009C13A9" w:rsidP="009C13A9">
            <w:pPr>
              <w:spacing w:before="120" w:after="120" w:line="240" w:lineRule="atLeast"/>
              <w:jc w:val="center"/>
              <w:rPr>
                <w:szCs w:val="20"/>
                <w:lang w:val="bg-BG"/>
              </w:rPr>
            </w:pPr>
          </w:p>
        </w:tc>
        <w:tc>
          <w:tcPr>
            <w:tcW w:w="567" w:type="dxa"/>
            <w:vMerge w:val="restart"/>
            <w:shd w:val="clear" w:color="auto" w:fill="auto"/>
          </w:tcPr>
          <w:p w:rsidR="009C13A9" w:rsidRPr="009072DA" w:rsidRDefault="009C13A9" w:rsidP="009C13A9">
            <w:pPr>
              <w:spacing w:before="120" w:after="120" w:line="240" w:lineRule="atLeast"/>
              <w:jc w:val="center"/>
              <w:rPr>
                <w:szCs w:val="20"/>
                <w:lang w:val="bg-BG"/>
              </w:rPr>
            </w:pPr>
          </w:p>
        </w:tc>
        <w:tc>
          <w:tcPr>
            <w:tcW w:w="1865" w:type="dxa"/>
            <w:gridSpan w:val="2"/>
            <w:shd w:val="clear" w:color="auto" w:fill="auto"/>
          </w:tcPr>
          <w:p w:rsidR="009C13A9" w:rsidRPr="009072DA" w:rsidRDefault="002B712C" w:rsidP="009C13A9">
            <w:pPr>
              <w:spacing w:before="120" w:after="120" w:line="240" w:lineRule="atLeast"/>
              <w:jc w:val="center"/>
              <w:rPr>
                <w:sz w:val="16"/>
                <w:szCs w:val="16"/>
                <w:lang w:val="bg-BG"/>
              </w:rPr>
            </w:pPr>
            <m:oMathPara>
              <m:oMath>
                <m:sSub>
                  <m:sSubPr>
                    <m:ctrlPr>
                      <w:rPr>
                        <w:rFonts w:ascii="Cambria Math" w:hAnsi="Cambria Math"/>
                        <w:i/>
                        <w:sz w:val="16"/>
                        <w:szCs w:val="16"/>
                        <w:lang w:val="bg-BG"/>
                      </w:rPr>
                    </m:ctrlPr>
                  </m:sSubPr>
                  <m:e>
                    <m:r>
                      <w:rPr>
                        <w:rFonts w:ascii="Cambria Math" w:hAnsi="Cambria Math"/>
                        <w:sz w:val="16"/>
                        <w:szCs w:val="16"/>
                        <w:lang w:val="bg-BG"/>
                      </w:rPr>
                      <m:t>BOD</m:t>
                    </m:r>
                  </m:e>
                  <m:sub>
                    <m:r>
                      <w:rPr>
                        <w:rFonts w:ascii="Cambria Math" w:hAnsi="Cambria Math"/>
                        <w:sz w:val="16"/>
                        <w:szCs w:val="16"/>
                        <w:lang w:val="bg-BG"/>
                      </w:rPr>
                      <m:t>5</m:t>
                    </m:r>
                  </m:sub>
                </m:sSub>
              </m:oMath>
            </m:oMathPara>
          </w:p>
        </w:tc>
        <w:tc>
          <w:tcPr>
            <w:tcW w:w="2070" w:type="dxa"/>
            <w:gridSpan w:val="2"/>
            <w:shd w:val="clear" w:color="auto" w:fill="auto"/>
          </w:tcPr>
          <w:p w:rsidR="009C13A9" w:rsidRPr="009072DA" w:rsidRDefault="009C13A9" w:rsidP="009C13A9">
            <w:pPr>
              <w:spacing w:before="120" w:after="120" w:line="240" w:lineRule="atLeast"/>
              <w:jc w:val="center"/>
              <w:rPr>
                <w:szCs w:val="20"/>
                <w:lang w:val="bg-BG"/>
              </w:rPr>
            </w:pPr>
            <w:r w:rsidRPr="009072DA">
              <w:rPr>
                <w:sz w:val="16"/>
                <w:lang w:val="bg-BG"/>
              </w:rPr>
              <w:t>ХПК</w:t>
            </w:r>
          </w:p>
        </w:tc>
        <w:tc>
          <w:tcPr>
            <w:tcW w:w="2070" w:type="dxa"/>
            <w:gridSpan w:val="2"/>
            <w:shd w:val="clear" w:color="auto" w:fill="auto"/>
          </w:tcPr>
          <w:p w:rsidR="009C13A9" w:rsidRPr="009072DA" w:rsidRDefault="009C13A9" w:rsidP="009C13A9">
            <w:pPr>
              <w:spacing w:before="120" w:after="120" w:line="240" w:lineRule="atLeast"/>
              <w:jc w:val="center"/>
              <w:rPr>
                <w:szCs w:val="20"/>
                <w:lang w:val="bg-BG"/>
              </w:rPr>
            </w:pPr>
            <w:r w:rsidRPr="009072DA">
              <w:rPr>
                <w:sz w:val="16"/>
                <w:lang w:val="bg-BG"/>
              </w:rPr>
              <w:t>ОСОВ</w:t>
            </w:r>
          </w:p>
        </w:tc>
      </w:tr>
      <w:tr w:rsidR="009C13A9" w:rsidRPr="009072DA" w:rsidTr="009C13A9">
        <w:trPr>
          <w:gridAfter w:val="1"/>
          <w:wAfter w:w="12" w:type="dxa"/>
        </w:trPr>
        <w:tc>
          <w:tcPr>
            <w:tcW w:w="452" w:type="dxa"/>
            <w:vMerge/>
            <w:shd w:val="clear" w:color="auto" w:fill="auto"/>
          </w:tcPr>
          <w:p w:rsidR="009C13A9" w:rsidRPr="009072DA" w:rsidRDefault="009C13A9" w:rsidP="009C13A9">
            <w:pPr>
              <w:spacing w:before="120" w:after="120" w:line="240" w:lineRule="atLeast"/>
              <w:rPr>
                <w:szCs w:val="20"/>
                <w:lang w:val="bg-BG"/>
              </w:rPr>
            </w:pPr>
          </w:p>
        </w:tc>
        <w:tc>
          <w:tcPr>
            <w:tcW w:w="923" w:type="dxa"/>
            <w:vMerge/>
            <w:shd w:val="clear" w:color="auto" w:fill="auto"/>
          </w:tcPr>
          <w:p w:rsidR="009C13A9" w:rsidRPr="009072DA" w:rsidRDefault="009C13A9" w:rsidP="009C13A9">
            <w:pPr>
              <w:spacing w:before="120" w:after="120" w:line="240" w:lineRule="atLeast"/>
              <w:rPr>
                <w:szCs w:val="20"/>
                <w:lang w:val="bg-BG"/>
              </w:rPr>
            </w:pPr>
          </w:p>
        </w:tc>
        <w:tc>
          <w:tcPr>
            <w:tcW w:w="1001" w:type="dxa"/>
            <w:vMerge/>
            <w:shd w:val="clear" w:color="auto" w:fill="auto"/>
          </w:tcPr>
          <w:p w:rsidR="009C13A9" w:rsidRPr="009072DA" w:rsidRDefault="009C13A9" w:rsidP="009C13A9">
            <w:pPr>
              <w:spacing w:before="120" w:after="120" w:line="240" w:lineRule="atLeast"/>
              <w:rPr>
                <w:szCs w:val="20"/>
                <w:lang w:val="bg-BG"/>
              </w:rPr>
            </w:pPr>
          </w:p>
        </w:tc>
        <w:tc>
          <w:tcPr>
            <w:tcW w:w="780" w:type="dxa"/>
            <w:vMerge/>
            <w:shd w:val="clear" w:color="auto" w:fill="auto"/>
          </w:tcPr>
          <w:p w:rsidR="009C13A9" w:rsidRPr="009072DA" w:rsidRDefault="009C13A9" w:rsidP="009C13A9">
            <w:pPr>
              <w:spacing w:before="120" w:after="120" w:line="240" w:lineRule="atLeast"/>
              <w:rPr>
                <w:szCs w:val="20"/>
                <w:lang w:val="bg-BG"/>
              </w:rPr>
            </w:pPr>
          </w:p>
        </w:tc>
        <w:tc>
          <w:tcPr>
            <w:tcW w:w="2178" w:type="dxa"/>
            <w:vMerge/>
            <w:shd w:val="clear" w:color="auto" w:fill="auto"/>
          </w:tcPr>
          <w:p w:rsidR="009C13A9" w:rsidRPr="009072DA" w:rsidRDefault="009C13A9" w:rsidP="009C13A9">
            <w:pPr>
              <w:spacing w:before="120" w:after="120" w:line="240" w:lineRule="atLeast"/>
              <w:rPr>
                <w:szCs w:val="20"/>
                <w:lang w:val="bg-BG"/>
              </w:rPr>
            </w:pPr>
          </w:p>
        </w:tc>
        <w:tc>
          <w:tcPr>
            <w:tcW w:w="1302" w:type="dxa"/>
            <w:vMerge/>
            <w:shd w:val="clear" w:color="auto" w:fill="auto"/>
          </w:tcPr>
          <w:p w:rsidR="009C13A9" w:rsidRPr="009072DA" w:rsidRDefault="009C13A9" w:rsidP="009C13A9">
            <w:pPr>
              <w:spacing w:before="120" w:after="120" w:line="240" w:lineRule="atLeast"/>
              <w:rPr>
                <w:szCs w:val="20"/>
                <w:lang w:val="bg-BG"/>
              </w:rPr>
            </w:pPr>
          </w:p>
        </w:tc>
        <w:tc>
          <w:tcPr>
            <w:tcW w:w="1006" w:type="dxa"/>
            <w:vMerge/>
            <w:shd w:val="clear" w:color="auto" w:fill="auto"/>
          </w:tcPr>
          <w:p w:rsidR="009C13A9" w:rsidRPr="009072DA" w:rsidRDefault="009C13A9" w:rsidP="009C13A9">
            <w:pPr>
              <w:spacing w:before="120" w:after="120" w:line="240" w:lineRule="atLeast"/>
              <w:rPr>
                <w:szCs w:val="20"/>
                <w:lang w:val="bg-BG"/>
              </w:rPr>
            </w:pPr>
          </w:p>
        </w:tc>
        <w:tc>
          <w:tcPr>
            <w:tcW w:w="546" w:type="dxa"/>
            <w:vMerge/>
            <w:shd w:val="clear" w:color="auto" w:fill="auto"/>
          </w:tcPr>
          <w:p w:rsidR="009C13A9" w:rsidRPr="009072DA" w:rsidRDefault="009C13A9" w:rsidP="009C13A9">
            <w:pPr>
              <w:spacing w:before="120" w:after="120" w:line="240" w:lineRule="atLeast"/>
              <w:rPr>
                <w:szCs w:val="20"/>
                <w:lang w:val="bg-BG"/>
              </w:rPr>
            </w:pPr>
          </w:p>
        </w:tc>
        <w:tc>
          <w:tcPr>
            <w:tcW w:w="567" w:type="dxa"/>
            <w:vMerge/>
            <w:shd w:val="clear" w:color="auto" w:fill="auto"/>
          </w:tcPr>
          <w:p w:rsidR="009C13A9" w:rsidRPr="009072DA" w:rsidRDefault="009C13A9" w:rsidP="009C13A9">
            <w:pPr>
              <w:spacing w:before="120" w:after="120" w:line="240" w:lineRule="atLeast"/>
              <w:rPr>
                <w:szCs w:val="20"/>
                <w:lang w:val="bg-BG"/>
              </w:rPr>
            </w:pPr>
          </w:p>
        </w:tc>
        <w:tc>
          <w:tcPr>
            <w:tcW w:w="992" w:type="dxa"/>
            <w:shd w:val="clear" w:color="auto" w:fill="auto"/>
          </w:tcPr>
          <w:p w:rsidR="009C13A9" w:rsidRPr="009072DA" w:rsidRDefault="009C13A9" w:rsidP="009C13A9">
            <w:pPr>
              <w:spacing w:before="120" w:after="120" w:line="240" w:lineRule="atLeast"/>
              <w:jc w:val="center"/>
              <w:rPr>
                <w:szCs w:val="20"/>
                <w:lang w:val="bg-BG"/>
              </w:rPr>
            </w:pPr>
            <w:r w:rsidRPr="009072DA">
              <w:rPr>
                <w:sz w:val="16"/>
                <w:lang w:val="bg-BG"/>
              </w:rPr>
              <w:t>24-часова комбинирана проба</w:t>
            </w:r>
          </w:p>
        </w:tc>
        <w:tc>
          <w:tcPr>
            <w:tcW w:w="873" w:type="dxa"/>
            <w:shd w:val="clear" w:color="auto" w:fill="auto"/>
          </w:tcPr>
          <w:p w:rsidR="009C13A9" w:rsidRPr="009072DA" w:rsidRDefault="009C13A9" w:rsidP="009C13A9">
            <w:pPr>
              <w:spacing w:before="120" w:after="120" w:line="240" w:lineRule="atLeast"/>
              <w:jc w:val="center"/>
              <w:rPr>
                <w:sz w:val="16"/>
                <w:szCs w:val="16"/>
                <w:lang w:val="bg-BG"/>
              </w:rPr>
            </w:pPr>
            <w:r w:rsidRPr="009072DA">
              <w:rPr>
                <w:sz w:val="16"/>
                <w:lang w:val="bg-BG"/>
              </w:rPr>
              <w:t>Случайна проба</w:t>
            </w:r>
          </w:p>
        </w:tc>
        <w:tc>
          <w:tcPr>
            <w:tcW w:w="1258" w:type="dxa"/>
            <w:shd w:val="clear" w:color="auto" w:fill="auto"/>
          </w:tcPr>
          <w:p w:rsidR="009C13A9" w:rsidRPr="009072DA" w:rsidRDefault="009C13A9" w:rsidP="009C13A9">
            <w:pPr>
              <w:spacing w:before="120" w:after="120" w:line="240" w:lineRule="atLeast"/>
              <w:jc w:val="center"/>
              <w:rPr>
                <w:szCs w:val="20"/>
                <w:lang w:val="bg-BG"/>
              </w:rPr>
            </w:pPr>
            <w:r w:rsidRPr="009072DA">
              <w:rPr>
                <w:sz w:val="16"/>
                <w:lang w:val="bg-BG"/>
              </w:rPr>
              <w:t>24-часова комбинирана проба</w:t>
            </w:r>
          </w:p>
        </w:tc>
        <w:tc>
          <w:tcPr>
            <w:tcW w:w="812" w:type="dxa"/>
            <w:shd w:val="clear" w:color="auto" w:fill="auto"/>
          </w:tcPr>
          <w:p w:rsidR="009C13A9" w:rsidRPr="009072DA" w:rsidRDefault="009C13A9" w:rsidP="009C13A9">
            <w:pPr>
              <w:spacing w:before="120" w:after="120" w:line="240" w:lineRule="atLeast"/>
              <w:jc w:val="center"/>
              <w:rPr>
                <w:sz w:val="16"/>
                <w:szCs w:val="16"/>
                <w:lang w:val="bg-BG"/>
              </w:rPr>
            </w:pPr>
            <w:r w:rsidRPr="009072DA">
              <w:rPr>
                <w:sz w:val="16"/>
                <w:lang w:val="bg-BG"/>
              </w:rPr>
              <w:t>Случайна проба</w:t>
            </w:r>
          </w:p>
        </w:tc>
        <w:tc>
          <w:tcPr>
            <w:tcW w:w="1258" w:type="dxa"/>
            <w:shd w:val="clear" w:color="auto" w:fill="auto"/>
          </w:tcPr>
          <w:p w:rsidR="009C13A9" w:rsidRPr="009072DA" w:rsidRDefault="009C13A9" w:rsidP="009C13A9">
            <w:pPr>
              <w:spacing w:before="120" w:after="120" w:line="240" w:lineRule="atLeast"/>
              <w:jc w:val="center"/>
              <w:rPr>
                <w:szCs w:val="20"/>
                <w:lang w:val="bg-BG"/>
              </w:rPr>
            </w:pPr>
            <w:r w:rsidRPr="009072DA">
              <w:rPr>
                <w:sz w:val="16"/>
                <w:lang w:val="bg-BG"/>
              </w:rPr>
              <w:t>24-часова комбинирана проба</w:t>
            </w:r>
          </w:p>
        </w:tc>
        <w:tc>
          <w:tcPr>
            <w:tcW w:w="812" w:type="dxa"/>
            <w:shd w:val="clear" w:color="auto" w:fill="auto"/>
          </w:tcPr>
          <w:p w:rsidR="009C13A9" w:rsidRPr="009072DA" w:rsidRDefault="009C13A9" w:rsidP="009C13A9">
            <w:pPr>
              <w:spacing w:before="120" w:after="120" w:line="240" w:lineRule="atLeast"/>
              <w:jc w:val="center"/>
              <w:rPr>
                <w:sz w:val="16"/>
                <w:szCs w:val="16"/>
                <w:lang w:val="bg-BG"/>
              </w:rPr>
            </w:pPr>
            <w:r w:rsidRPr="009072DA">
              <w:rPr>
                <w:sz w:val="16"/>
                <w:lang w:val="bg-BG"/>
              </w:rPr>
              <w:t>Случайна проба</w:t>
            </w:r>
          </w:p>
        </w:tc>
      </w:tr>
      <w:tr w:rsidR="009C13A9" w:rsidRPr="009072DA" w:rsidTr="009C13A9">
        <w:trPr>
          <w:gridAfter w:val="1"/>
          <w:wAfter w:w="12" w:type="dxa"/>
        </w:trPr>
        <w:tc>
          <w:tcPr>
            <w:tcW w:w="452" w:type="dxa"/>
            <w:shd w:val="clear" w:color="auto" w:fill="auto"/>
          </w:tcPr>
          <w:p w:rsidR="009C13A9" w:rsidRPr="009072DA" w:rsidRDefault="009C13A9" w:rsidP="009C13A9">
            <w:pPr>
              <w:spacing w:before="120" w:after="120" w:line="240" w:lineRule="atLeast"/>
              <w:rPr>
                <w:szCs w:val="20"/>
                <w:lang w:val="bg-BG"/>
              </w:rPr>
            </w:pPr>
          </w:p>
        </w:tc>
        <w:tc>
          <w:tcPr>
            <w:tcW w:w="923" w:type="dxa"/>
            <w:shd w:val="clear" w:color="auto" w:fill="auto"/>
          </w:tcPr>
          <w:p w:rsidR="009C13A9" w:rsidRPr="009072DA" w:rsidRDefault="009C13A9" w:rsidP="009C13A9">
            <w:pPr>
              <w:spacing w:before="120" w:after="120" w:line="240" w:lineRule="atLeast"/>
              <w:rPr>
                <w:szCs w:val="20"/>
                <w:lang w:val="bg-BG"/>
              </w:rPr>
            </w:pPr>
          </w:p>
        </w:tc>
        <w:tc>
          <w:tcPr>
            <w:tcW w:w="1001" w:type="dxa"/>
            <w:shd w:val="clear" w:color="auto" w:fill="auto"/>
          </w:tcPr>
          <w:p w:rsidR="009C13A9" w:rsidRPr="009072DA" w:rsidRDefault="009C13A9" w:rsidP="009C13A9">
            <w:pPr>
              <w:spacing w:before="120" w:after="120" w:line="240" w:lineRule="atLeast"/>
              <w:rPr>
                <w:szCs w:val="20"/>
                <w:lang w:val="bg-BG"/>
              </w:rPr>
            </w:pPr>
          </w:p>
        </w:tc>
        <w:tc>
          <w:tcPr>
            <w:tcW w:w="780" w:type="dxa"/>
            <w:shd w:val="clear" w:color="auto" w:fill="auto"/>
          </w:tcPr>
          <w:p w:rsidR="009C13A9" w:rsidRPr="009072DA" w:rsidRDefault="009C13A9" w:rsidP="009C13A9">
            <w:pPr>
              <w:spacing w:before="120" w:after="120" w:line="240" w:lineRule="atLeast"/>
              <w:rPr>
                <w:szCs w:val="20"/>
                <w:lang w:val="bg-BG"/>
              </w:rPr>
            </w:pPr>
          </w:p>
        </w:tc>
        <w:tc>
          <w:tcPr>
            <w:tcW w:w="2178" w:type="dxa"/>
            <w:shd w:val="clear" w:color="auto" w:fill="auto"/>
          </w:tcPr>
          <w:p w:rsidR="009C13A9" w:rsidRPr="009072DA" w:rsidRDefault="009C13A9" w:rsidP="009C13A9">
            <w:pPr>
              <w:spacing w:before="120" w:after="120" w:line="240" w:lineRule="atLeast"/>
              <w:rPr>
                <w:szCs w:val="20"/>
                <w:lang w:val="bg-BG"/>
              </w:rPr>
            </w:pPr>
          </w:p>
        </w:tc>
        <w:tc>
          <w:tcPr>
            <w:tcW w:w="1302" w:type="dxa"/>
            <w:shd w:val="clear" w:color="auto" w:fill="auto"/>
          </w:tcPr>
          <w:p w:rsidR="009C13A9" w:rsidRPr="009072DA" w:rsidRDefault="009C13A9" w:rsidP="009C13A9">
            <w:pPr>
              <w:spacing w:before="120" w:after="120" w:line="240" w:lineRule="atLeast"/>
              <w:rPr>
                <w:szCs w:val="20"/>
                <w:lang w:val="bg-BG"/>
              </w:rPr>
            </w:pPr>
          </w:p>
        </w:tc>
        <w:tc>
          <w:tcPr>
            <w:tcW w:w="1006" w:type="dxa"/>
            <w:shd w:val="clear" w:color="auto" w:fill="auto"/>
          </w:tcPr>
          <w:p w:rsidR="009C13A9" w:rsidRPr="009072DA" w:rsidRDefault="009C13A9" w:rsidP="009C13A9">
            <w:pPr>
              <w:spacing w:before="120" w:after="120" w:line="240" w:lineRule="atLeast"/>
              <w:rPr>
                <w:szCs w:val="20"/>
                <w:lang w:val="bg-BG"/>
              </w:rPr>
            </w:pPr>
          </w:p>
        </w:tc>
        <w:tc>
          <w:tcPr>
            <w:tcW w:w="546" w:type="dxa"/>
            <w:shd w:val="clear" w:color="auto" w:fill="auto"/>
          </w:tcPr>
          <w:p w:rsidR="009C13A9" w:rsidRPr="009072DA" w:rsidRDefault="009C13A9" w:rsidP="009C13A9">
            <w:pPr>
              <w:spacing w:before="120" w:after="120" w:line="240" w:lineRule="atLeast"/>
              <w:rPr>
                <w:szCs w:val="20"/>
                <w:lang w:val="bg-BG"/>
              </w:rPr>
            </w:pPr>
          </w:p>
        </w:tc>
        <w:tc>
          <w:tcPr>
            <w:tcW w:w="567" w:type="dxa"/>
            <w:shd w:val="clear" w:color="auto" w:fill="auto"/>
          </w:tcPr>
          <w:p w:rsidR="009C13A9" w:rsidRPr="009072DA" w:rsidRDefault="009C13A9" w:rsidP="009C13A9">
            <w:pPr>
              <w:spacing w:before="120" w:after="120" w:line="240" w:lineRule="atLeast"/>
              <w:rPr>
                <w:szCs w:val="20"/>
                <w:lang w:val="bg-BG"/>
              </w:rPr>
            </w:pPr>
          </w:p>
        </w:tc>
        <w:tc>
          <w:tcPr>
            <w:tcW w:w="992" w:type="dxa"/>
            <w:shd w:val="clear" w:color="auto" w:fill="auto"/>
          </w:tcPr>
          <w:p w:rsidR="009C13A9" w:rsidRPr="009072DA" w:rsidRDefault="009C13A9" w:rsidP="009C13A9">
            <w:pPr>
              <w:spacing w:before="120" w:after="120" w:line="240" w:lineRule="atLeast"/>
              <w:rPr>
                <w:szCs w:val="20"/>
                <w:lang w:val="bg-BG"/>
              </w:rPr>
            </w:pPr>
          </w:p>
        </w:tc>
        <w:tc>
          <w:tcPr>
            <w:tcW w:w="873" w:type="dxa"/>
            <w:shd w:val="clear" w:color="auto" w:fill="auto"/>
          </w:tcPr>
          <w:p w:rsidR="009C13A9" w:rsidRPr="009072DA" w:rsidRDefault="009C13A9" w:rsidP="009C13A9">
            <w:pPr>
              <w:spacing w:before="120" w:after="120" w:line="240" w:lineRule="atLeast"/>
              <w:rPr>
                <w:szCs w:val="20"/>
                <w:lang w:val="bg-BG"/>
              </w:rPr>
            </w:pPr>
          </w:p>
        </w:tc>
        <w:tc>
          <w:tcPr>
            <w:tcW w:w="1258" w:type="dxa"/>
            <w:shd w:val="clear" w:color="auto" w:fill="auto"/>
          </w:tcPr>
          <w:p w:rsidR="009C13A9" w:rsidRPr="009072DA" w:rsidRDefault="009C13A9" w:rsidP="009C13A9">
            <w:pPr>
              <w:spacing w:before="120" w:after="120" w:line="240" w:lineRule="atLeast"/>
              <w:rPr>
                <w:szCs w:val="20"/>
                <w:lang w:val="bg-BG"/>
              </w:rPr>
            </w:pPr>
          </w:p>
        </w:tc>
        <w:tc>
          <w:tcPr>
            <w:tcW w:w="812" w:type="dxa"/>
            <w:shd w:val="clear" w:color="auto" w:fill="auto"/>
          </w:tcPr>
          <w:p w:rsidR="009C13A9" w:rsidRPr="009072DA" w:rsidRDefault="009C13A9" w:rsidP="009C13A9">
            <w:pPr>
              <w:spacing w:before="120" w:after="120" w:line="240" w:lineRule="atLeast"/>
              <w:rPr>
                <w:szCs w:val="20"/>
                <w:lang w:val="bg-BG"/>
              </w:rPr>
            </w:pPr>
          </w:p>
        </w:tc>
        <w:tc>
          <w:tcPr>
            <w:tcW w:w="1258" w:type="dxa"/>
            <w:shd w:val="clear" w:color="auto" w:fill="auto"/>
          </w:tcPr>
          <w:p w:rsidR="009C13A9" w:rsidRPr="009072DA" w:rsidRDefault="009C13A9" w:rsidP="009C13A9">
            <w:pPr>
              <w:spacing w:before="120" w:after="120" w:line="240" w:lineRule="atLeast"/>
              <w:rPr>
                <w:szCs w:val="20"/>
                <w:lang w:val="bg-BG"/>
              </w:rPr>
            </w:pPr>
          </w:p>
        </w:tc>
        <w:tc>
          <w:tcPr>
            <w:tcW w:w="812" w:type="dxa"/>
            <w:shd w:val="clear" w:color="auto" w:fill="auto"/>
          </w:tcPr>
          <w:p w:rsidR="009C13A9" w:rsidRPr="009072DA" w:rsidRDefault="009C13A9" w:rsidP="009C13A9">
            <w:pPr>
              <w:spacing w:before="120" w:after="120" w:line="240" w:lineRule="atLeast"/>
              <w:rPr>
                <w:szCs w:val="20"/>
                <w:lang w:val="bg-BG"/>
              </w:rPr>
            </w:pPr>
          </w:p>
        </w:tc>
      </w:tr>
      <w:tr w:rsidR="009C13A9" w:rsidRPr="009072DA" w:rsidTr="009C13A9">
        <w:trPr>
          <w:gridAfter w:val="1"/>
          <w:wAfter w:w="12" w:type="dxa"/>
        </w:trPr>
        <w:tc>
          <w:tcPr>
            <w:tcW w:w="452" w:type="dxa"/>
            <w:shd w:val="clear" w:color="auto" w:fill="auto"/>
          </w:tcPr>
          <w:p w:rsidR="009C13A9" w:rsidRPr="009072DA" w:rsidRDefault="009C13A9" w:rsidP="009C13A9">
            <w:pPr>
              <w:spacing w:before="120" w:after="120" w:line="240" w:lineRule="atLeast"/>
              <w:rPr>
                <w:szCs w:val="20"/>
                <w:lang w:val="bg-BG"/>
              </w:rPr>
            </w:pPr>
          </w:p>
        </w:tc>
        <w:tc>
          <w:tcPr>
            <w:tcW w:w="923" w:type="dxa"/>
            <w:shd w:val="clear" w:color="auto" w:fill="auto"/>
          </w:tcPr>
          <w:p w:rsidR="009C13A9" w:rsidRPr="009072DA" w:rsidRDefault="009C13A9" w:rsidP="009C13A9">
            <w:pPr>
              <w:spacing w:before="120" w:after="120" w:line="240" w:lineRule="atLeast"/>
              <w:rPr>
                <w:szCs w:val="20"/>
                <w:lang w:val="bg-BG"/>
              </w:rPr>
            </w:pPr>
          </w:p>
        </w:tc>
        <w:tc>
          <w:tcPr>
            <w:tcW w:w="1001" w:type="dxa"/>
            <w:shd w:val="clear" w:color="auto" w:fill="auto"/>
          </w:tcPr>
          <w:p w:rsidR="009C13A9" w:rsidRPr="009072DA" w:rsidRDefault="009C13A9" w:rsidP="009C13A9">
            <w:pPr>
              <w:spacing w:before="120" w:after="120" w:line="240" w:lineRule="atLeast"/>
              <w:rPr>
                <w:szCs w:val="20"/>
                <w:lang w:val="bg-BG"/>
              </w:rPr>
            </w:pPr>
          </w:p>
        </w:tc>
        <w:tc>
          <w:tcPr>
            <w:tcW w:w="780" w:type="dxa"/>
            <w:shd w:val="clear" w:color="auto" w:fill="auto"/>
          </w:tcPr>
          <w:p w:rsidR="009C13A9" w:rsidRPr="009072DA" w:rsidRDefault="009C13A9" w:rsidP="009C13A9">
            <w:pPr>
              <w:spacing w:before="120" w:after="120" w:line="240" w:lineRule="atLeast"/>
              <w:rPr>
                <w:szCs w:val="20"/>
                <w:lang w:val="bg-BG"/>
              </w:rPr>
            </w:pPr>
          </w:p>
        </w:tc>
        <w:tc>
          <w:tcPr>
            <w:tcW w:w="2178" w:type="dxa"/>
            <w:shd w:val="clear" w:color="auto" w:fill="auto"/>
          </w:tcPr>
          <w:p w:rsidR="009C13A9" w:rsidRPr="009072DA" w:rsidRDefault="009C13A9" w:rsidP="009C13A9">
            <w:pPr>
              <w:spacing w:before="120" w:after="120" w:line="240" w:lineRule="atLeast"/>
              <w:rPr>
                <w:szCs w:val="20"/>
                <w:lang w:val="bg-BG"/>
              </w:rPr>
            </w:pPr>
          </w:p>
        </w:tc>
        <w:tc>
          <w:tcPr>
            <w:tcW w:w="1302" w:type="dxa"/>
            <w:shd w:val="clear" w:color="auto" w:fill="auto"/>
          </w:tcPr>
          <w:p w:rsidR="009C13A9" w:rsidRPr="009072DA" w:rsidRDefault="009C13A9" w:rsidP="009C13A9">
            <w:pPr>
              <w:spacing w:before="120" w:after="120" w:line="240" w:lineRule="atLeast"/>
              <w:rPr>
                <w:szCs w:val="20"/>
                <w:lang w:val="bg-BG"/>
              </w:rPr>
            </w:pPr>
          </w:p>
        </w:tc>
        <w:tc>
          <w:tcPr>
            <w:tcW w:w="1006" w:type="dxa"/>
            <w:shd w:val="clear" w:color="auto" w:fill="auto"/>
          </w:tcPr>
          <w:p w:rsidR="009C13A9" w:rsidRPr="009072DA" w:rsidRDefault="009C13A9" w:rsidP="009C13A9">
            <w:pPr>
              <w:spacing w:before="120" w:after="120" w:line="240" w:lineRule="atLeast"/>
              <w:rPr>
                <w:szCs w:val="20"/>
                <w:lang w:val="bg-BG"/>
              </w:rPr>
            </w:pPr>
          </w:p>
        </w:tc>
        <w:tc>
          <w:tcPr>
            <w:tcW w:w="546" w:type="dxa"/>
            <w:shd w:val="clear" w:color="auto" w:fill="auto"/>
          </w:tcPr>
          <w:p w:rsidR="009C13A9" w:rsidRPr="009072DA" w:rsidRDefault="009C13A9" w:rsidP="009C13A9">
            <w:pPr>
              <w:spacing w:before="120" w:after="120" w:line="240" w:lineRule="atLeast"/>
              <w:rPr>
                <w:szCs w:val="20"/>
                <w:lang w:val="bg-BG"/>
              </w:rPr>
            </w:pPr>
          </w:p>
        </w:tc>
        <w:tc>
          <w:tcPr>
            <w:tcW w:w="567" w:type="dxa"/>
            <w:shd w:val="clear" w:color="auto" w:fill="auto"/>
          </w:tcPr>
          <w:p w:rsidR="009C13A9" w:rsidRPr="009072DA" w:rsidRDefault="009C13A9" w:rsidP="009C13A9">
            <w:pPr>
              <w:spacing w:before="120" w:after="120" w:line="240" w:lineRule="atLeast"/>
              <w:rPr>
                <w:szCs w:val="20"/>
                <w:lang w:val="bg-BG"/>
              </w:rPr>
            </w:pPr>
          </w:p>
        </w:tc>
        <w:tc>
          <w:tcPr>
            <w:tcW w:w="992" w:type="dxa"/>
            <w:shd w:val="clear" w:color="auto" w:fill="auto"/>
          </w:tcPr>
          <w:p w:rsidR="009C13A9" w:rsidRPr="009072DA" w:rsidRDefault="009C13A9" w:rsidP="009C13A9">
            <w:pPr>
              <w:spacing w:before="120" w:after="120" w:line="240" w:lineRule="atLeast"/>
              <w:rPr>
                <w:szCs w:val="20"/>
                <w:lang w:val="bg-BG"/>
              </w:rPr>
            </w:pPr>
          </w:p>
        </w:tc>
        <w:tc>
          <w:tcPr>
            <w:tcW w:w="873" w:type="dxa"/>
            <w:shd w:val="clear" w:color="auto" w:fill="auto"/>
          </w:tcPr>
          <w:p w:rsidR="009C13A9" w:rsidRPr="009072DA" w:rsidRDefault="009C13A9" w:rsidP="009C13A9">
            <w:pPr>
              <w:spacing w:before="120" w:after="120" w:line="240" w:lineRule="atLeast"/>
              <w:rPr>
                <w:szCs w:val="20"/>
                <w:lang w:val="bg-BG"/>
              </w:rPr>
            </w:pPr>
          </w:p>
        </w:tc>
        <w:tc>
          <w:tcPr>
            <w:tcW w:w="1258" w:type="dxa"/>
            <w:shd w:val="clear" w:color="auto" w:fill="auto"/>
          </w:tcPr>
          <w:p w:rsidR="009C13A9" w:rsidRPr="009072DA" w:rsidRDefault="009C13A9" w:rsidP="009C13A9">
            <w:pPr>
              <w:spacing w:before="120" w:after="120" w:line="240" w:lineRule="atLeast"/>
              <w:rPr>
                <w:szCs w:val="20"/>
                <w:lang w:val="bg-BG"/>
              </w:rPr>
            </w:pPr>
          </w:p>
        </w:tc>
        <w:tc>
          <w:tcPr>
            <w:tcW w:w="812" w:type="dxa"/>
            <w:shd w:val="clear" w:color="auto" w:fill="auto"/>
          </w:tcPr>
          <w:p w:rsidR="009C13A9" w:rsidRPr="009072DA" w:rsidRDefault="009C13A9" w:rsidP="009C13A9">
            <w:pPr>
              <w:spacing w:before="120" w:after="120" w:line="240" w:lineRule="atLeast"/>
              <w:rPr>
                <w:szCs w:val="20"/>
                <w:lang w:val="bg-BG"/>
              </w:rPr>
            </w:pPr>
          </w:p>
        </w:tc>
        <w:tc>
          <w:tcPr>
            <w:tcW w:w="1258" w:type="dxa"/>
            <w:shd w:val="clear" w:color="auto" w:fill="auto"/>
          </w:tcPr>
          <w:p w:rsidR="009C13A9" w:rsidRPr="009072DA" w:rsidRDefault="009C13A9" w:rsidP="009C13A9">
            <w:pPr>
              <w:spacing w:before="120" w:after="120" w:line="240" w:lineRule="atLeast"/>
              <w:rPr>
                <w:szCs w:val="20"/>
                <w:lang w:val="bg-BG"/>
              </w:rPr>
            </w:pPr>
          </w:p>
        </w:tc>
        <w:tc>
          <w:tcPr>
            <w:tcW w:w="812" w:type="dxa"/>
            <w:shd w:val="clear" w:color="auto" w:fill="auto"/>
          </w:tcPr>
          <w:p w:rsidR="009C13A9" w:rsidRPr="009072DA" w:rsidRDefault="009C13A9" w:rsidP="009C13A9">
            <w:pPr>
              <w:spacing w:before="120" w:after="120" w:line="240" w:lineRule="atLeast"/>
              <w:rPr>
                <w:szCs w:val="20"/>
                <w:lang w:val="bg-BG"/>
              </w:rPr>
            </w:pPr>
          </w:p>
        </w:tc>
      </w:tr>
      <w:tr w:rsidR="009C13A9" w:rsidRPr="009072DA" w:rsidTr="009C13A9">
        <w:trPr>
          <w:gridAfter w:val="1"/>
          <w:wAfter w:w="12" w:type="dxa"/>
        </w:trPr>
        <w:tc>
          <w:tcPr>
            <w:tcW w:w="452" w:type="dxa"/>
            <w:shd w:val="clear" w:color="auto" w:fill="auto"/>
          </w:tcPr>
          <w:p w:rsidR="009C13A9" w:rsidRPr="009072DA" w:rsidRDefault="009C13A9" w:rsidP="009C13A9">
            <w:pPr>
              <w:spacing w:before="120" w:after="120" w:line="240" w:lineRule="atLeast"/>
              <w:rPr>
                <w:szCs w:val="20"/>
                <w:lang w:val="bg-BG"/>
              </w:rPr>
            </w:pPr>
          </w:p>
        </w:tc>
        <w:tc>
          <w:tcPr>
            <w:tcW w:w="923" w:type="dxa"/>
            <w:shd w:val="clear" w:color="auto" w:fill="auto"/>
          </w:tcPr>
          <w:p w:rsidR="009C13A9" w:rsidRPr="009072DA" w:rsidRDefault="009C13A9" w:rsidP="009C13A9">
            <w:pPr>
              <w:spacing w:before="120" w:after="120" w:line="240" w:lineRule="atLeast"/>
              <w:rPr>
                <w:szCs w:val="20"/>
                <w:lang w:val="bg-BG"/>
              </w:rPr>
            </w:pPr>
          </w:p>
        </w:tc>
        <w:tc>
          <w:tcPr>
            <w:tcW w:w="1001" w:type="dxa"/>
            <w:shd w:val="clear" w:color="auto" w:fill="auto"/>
          </w:tcPr>
          <w:p w:rsidR="009C13A9" w:rsidRPr="009072DA" w:rsidRDefault="009C13A9" w:rsidP="009C13A9">
            <w:pPr>
              <w:spacing w:before="120" w:after="120" w:line="240" w:lineRule="atLeast"/>
              <w:rPr>
                <w:szCs w:val="20"/>
                <w:lang w:val="bg-BG"/>
              </w:rPr>
            </w:pPr>
          </w:p>
        </w:tc>
        <w:tc>
          <w:tcPr>
            <w:tcW w:w="780" w:type="dxa"/>
            <w:shd w:val="clear" w:color="auto" w:fill="auto"/>
          </w:tcPr>
          <w:p w:rsidR="009C13A9" w:rsidRPr="009072DA" w:rsidRDefault="009C13A9" w:rsidP="009C13A9">
            <w:pPr>
              <w:spacing w:before="120" w:after="120" w:line="240" w:lineRule="atLeast"/>
              <w:rPr>
                <w:szCs w:val="20"/>
                <w:lang w:val="bg-BG"/>
              </w:rPr>
            </w:pPr>
          </w:p>
        </w:tc>
        <w:tc>
          <w:tcPr>
            <w:tcW w:w="2178" w:type="dxa"/>
            <w:shd w:val="clear" w:color="auto" w:fill="auto"/>
          </w:tcPr>
          <w:p w:rsidR="009C13A9" w:rsidRPr="009072DA" w:rsidRDefault="009C13A9" w:rsidP="009C13A9">
            <w:pPr>
              <w:spacing w:before="120" w:after="120" w:line="240" w:lineRule="atLeast"/>
              <w:rPr>
                <w:szCs w:val="20"/>
                <w:lang w:val="bg-BG"/>
              </w:rPr>
            </w:pPr>
          </w:p>
        </w:tc>
        <w:tc>
          <w:tcPr>
            <w:tcW w:w="1302" w:type="dxa"/>
            <w:shd w:val="clear" w:color="auto" w:fill="auto"/>
          </w:tcPr>
          <w:p w:rsidR="009C13A9" w:rsidRPr="009072DA" w:rsidRDefault="009C13A9" w:rsidP="009C13A9">
            <w:pPr>
              <w:spacing w:before="120" w:after="120" w:line="240" w:lineRule="atLeast"/>
              <w:rPr>
                <w:szCs w:val="20"/>
                <w:lang w:val="bg-BG"/>
              </w:rPr>
            </w:pPr>
          </w:p>
        </w:tc>
        <w:tc>
          <w:tcPr>
            <w:tcW w:w="1006" w:type="dxa"/>
            <w:shd w:val="clear" w:color="auto" w:fill="auto"/>
          </w:tcPr>
          <w:p w:rsidR="009C13A9" w:rsidRPr="009072DA" w:rsidRDefault="009C13A9" w:rsidP="009C13A9">
            <w:pPr>
              <w:spacing w:before="120" w:after="120" w:line="240" w:lineRule="atLeast"/>
              <w:rPr>
                <w:szCs w:val="20"/>
                <w:lang w:val="bg-BG"/>
              </w:rPr>
            </w:pPr>
          </w:p>
        </w:tc>
        <w:tc>
          <w:tcPr>
            <w:tcW w:w="546" w:type="dxa"/>
            <w:shd w:val="clear" w:color="auto" w:fill="auto"/>
          </w:tcPr>
          <w:p w:rsidR="009C13A9" w:rsidRPr="009072DA" w:rsidRDefault="009C13A9" w:rsidP="009C13A9">
            <w:pPr>
              <w:spacing w:before="120" w:after="120" w:line="240" w:lineRule="atLeast"/>
              <w:rPr>
                <w:szCs w:val="20"/>
                <w:lang w:val="bg-BG"/>
              </w:rPr>
            </w:pPr>
          </w:p>
        </w:tc>
        <w:tc>
          <w:tcPr>
            <w:tcW w:w="567" w:type="dxa"/>
            <w:shd w:val="clear" w:color="auto" w:fill="auto"/>
          </w:tcPr>
          <w:p w:rsidR="009C13A9" w:rsidRPr="009072DA" w:rsidRDefault="009C13A9" w:rsidP="009C13A9">
            <w:pPr>
              <w:spacing w:before="120" w:after="120" w:line="240" w:lineRule="atLeast"/>
              <w:rPr>
                <w:szCs w:val="20"/>
                <w:lang w:val="bg-BG"/>
              </w:rPr>
            </w:pPr>
          </w:p>
        </w:tc>
        <w:tc>
          <w:tcPr>
            <w:tcW w:w="992" w:type="dxa"/>
            <w:shd w:val="clear" w:color="auto" w:fill="auto"/>
          </w:tcPr>
          <w:p w:rsidR="009C13A9" w:rsidRPr="009072DA" w:rsidRDefault="009C13A9" w:rsidP="009C13A9">
            <w:pPr>
              <w:spacing w:before="120" w:after="120" w:line="240" w:lineRule="atLeast"/>
              <w:rPr>
                <w:szCs w:val="20"/>
                <w:lang w:val="bg-BG"/>
              </w:rPr>
            </w:pPr>
          </w:p>
        </w:tc>
        <w:tc>
          <w:tcPr>
            <w:tcW w:w="873" w:type="dxa"/>
            <w:shd w:val="clear" w:color="auto" w:fill="auto"/>
          </w:tcPr>
          <w:p w:rsidR="009C13A9" w:rsidRPr="009072DA" w:rsidRDefault="009C13A9" w:rsidP="009C13A9">
            <w:pPr>
              <w:spacing w:before="120" w:after="120" w:line="240" w:lineRule="atLeast"/>
              <w:rPr>
                <w:szCs w:val="20"/>
                <w:lang w:val="bg-BG"/>
              </w:rPr>
            </w:pPr>
          </w:p>
        </w:tc>
        <w:tc>
          <w:tcPr>
            <w:tcW w:w="1258" w:type="dxa"/>
            <w:shd w:val="clear" w:color="auto" w:fill="auto"/>
          </w:tcPr>
          <w:p w:rsidR="009C13A9" w:rsidRPr="009072DA" w:rsidRDefault="009C13A9" w:rsidP="009C13A9">
            <w:pPr>
              <w:spacing w:before="120" w:after="120" w:line="240" w:lineRule="atLeast"/>
              <w:rPr>
                <w:szCs w:val="20"/>
                <w:lang w:val="bg-BG"/>
              </w:rPr>
            </w:pPr>
          </w:p>
        </w:tc>
        <w:tc>
          <w:tcPr>
            <w:tcW w:w="812" w:type="dxa"/>
            <w:shd w:val="clear" w:color="auto" w:fill="auto"/>
          </w:tcPr>
          <w:p w:rsidR="009C13A9" w:rsidRPr="009072DA" w:rsidRDefault="009C13A9" w:rsidP="009C13A9">
            <w:pPr>
              <w:spacing w:before="120" w:after="120" w:line="240" w:lineRule="atLeast"/>
              <w:rPr>
                <w:szCs w:val="20"/>
                <w:lang w:val="bg-BG"/>
              </w:rPr>
            </w:pPr>
          </w:p>
        </w:tc>
        <w:tc>
          <w:tcPr>
            <w:tcW w:w="1258" w:type="dxa"/>
            <w:shd w:val="clear" w:color="auto" w:fill="auto"/>
          </w:tcPr>
          <w:p w:rsidR="009C13A9" w:rsidRPr="009072DA" w:rsidRDefault="009C13A9" w:rsidP="009C13A9">
            <w:pPr>
              <w:spacing w:before="120" w:after="120" w:line="240" w:lineRule="atLeast"/>
              <w:rPr>
                <w:szCs w:val="20"/>
                <w:lang w:val="bg-BG"/>
              </w:rPr>
            </w:pPr>
          </w:p>
        </w:tc>
        <w:tc>
          <w:tcPr>
            <w:tcW w:w="812" w:type="dxa"/>
            <w:shd w:val="clear" w:color="auto" w:fill="auto"/>
          </w:tcPr>
          <w:p w:rsidR="009C13A9" w:rsidRPr="009072DA" w:rsidRDefault="009C13A9" w:rsidP="009C13A9">
            <w:pPr>
              <w:spacing w:before="120" w:after="120" w:line="240" w:lineRule="atLeast"/>
              <w:rPr>
                <w:szCs w:val="20"/>
                <w:lang w:val="bg-BG"/>
              </w:rPr>
            </w:pPr>
          </w:p>
        </w:tc>
      </w:tr>
      <w:tr w:rsidR="009C13A9" w:rsidRPr="009072DA" w:rsidTr="009C13A9">
        <w:trPr>
          <w:gridAfter w:val="1"/>
          <w:wAfter w:w="12" w:type="dxa"/>
        </w:trPr>
        <w:tc>
          <w:tcPr>
            <w:tcW w:w="452" w:type="dxa"/>
            <w:shd w:val="clear" w:color="auto" w:fill="auto"/>
          </w:tcPr>
          <w:p w:rsidR="009C13A9" w:rsidRPr="009072DA" w:rsidRDefault="009C13A9" w:rsidP="009C13A9">
            <w:pPr>
              <w:spacing w:before="120" w:after="120" w:line="240" w:lineRule="atLeast"/>
              <w:rPr>
                <w:szCs w:val="20"/>
                <w:lang w:val="bg-BG"/>
              </w:rPr>
            </w:pPr>
          </w:p>
        </w:tc>
        <w:tc>
          <w:tcPr>
            <w:tcW w:w="923" w:type="dxa"/>
            <w:shd w:val="clear" w:color="auto" w:fill="auto"/>
          </w:tcPr>
          <w:p w:rsidR="009C13A9" w:rsidRPr="009072DA" w:rsidRDefault="009C13A9" w:rsidP="009C13A9">
            <w:pPr>
              <w:spacing w:before="120" w:after="120" w:line="240" w:lineRule="atLeast"/>
              <w:rPr>
                <w:szCs w:val="20"/>
                <w:lang w:val="bg-BG"/>
              </w:rPr>
            </w:pPr>
          </w:p>
        </w:tc>
        <w:tc>
          <w:tcPr>
            <w:tcW w:w="1001" w:type="dxa"/>
            <w:shd w:val="clear" w:color="auto" w:fill="auto"/>
          </w:tcPr>
          <w:p w:rsidR="009C13A9" w:rsidRPr="009072DA" w:rsidRDefault="009C13A9" w:rsidP="009C13A9">
            <w:pPr>
              <w:spacing w:before="120" w:after="120" w:line="240" w:lineRule="atLeast"/>
              <w:rPr>
                <w:szCs w:val="20"/>
                <w:lang w:val="bg-BG"/>
              </w:rPr>
            </w:pPr>
          </w:p>
        </w:tc>
        <w:tc>
          <w:tcPr>
            <w:tcW w:w="780" w:type="dxa"/>
            <w:shd w:val="clear" w:color="auto" w:fill="auto"/>
          </w:tcPr>
          <w:p w:rsidR="009C13A9" w:rsidRPr="009072DA" w:rsidRDefault="009C13A9" w:rsidP="009C13A9">
            <w:pPr>
              <w:spacing w:before="120" w:after="120" w:line="240" w:lineRule="atLeast"/>
              <w:rPr>
                <w:szCs w:val="20"/>
                <w:lang w:val="bg-BG"/>
              </w:rPr>
            </w:pPr>
          </w:p>
        </w:tc>
        <w:tc>
          <w:tcPr>
            <w:tcW w:w="2178" w:type="dxa"/>
            <w:shd w:val="clear" w:color="auto" w:fill="auto"/>
          </w:tcPr>
          <w:p w:rsidR="009C13A9" w:rsidRPr="009072DA" w:rsidRDefault="009C13A9" w:rsidP="009C13A9">
            <w:pPr>
              <w:spacing w:before="120" w:after="120" w:line="240" w:lineRule="atLeast"/>
              <w:rPr>
                <w:szCs w:val="20"/>
                <w:lang w:val="bg-BG"/>
              </w:rPr>
            </w:pPr>
          </w:p>
        </w:tc>
        <w:tc>
          <w:tcPr>
            <w:tcW w:w="1302" w:type="dxa"/>
            <w:shd w:val="clear" w:color="auto" w:fill="auto"/>
          </w:tcPr>
          <w:p w:rsidR="009C13A9" w:rsidRPr="009072DA" w:rsidRDefault="009C13A9" w:rsidP="009C13A9">
            <w:pPr>
              <w:spacing w:before="120" w:after="120" w:line="240" w:lineRule="atLeast"/>
              <w:rPr>
                <w:szCs w:val="20"/>
                <w:lang w:val="bg-BG"/>
              </w:rPr>
            </w:pPr>
          </w:p>
        </w:tc>
        <w:tc>
          <w:tcPr>
            <w:tcW w:w="1006" w:type="dxa"/>
            <w:shd w:val="clear" w:color="auto" w:fill="auto"/>
          </w:tcPr>
          <w:p w:rsidR="009C13A9" w:rsidRPr="009072DA" w:rsidRDefault="009C13A9" w:rsidP="009C13A9">
            <w:pPr>
              <w:spacing w:before="120" w:after="120" w:line="240" w:lineRule="atLeast"/>
              <w:rPr>
                <w:szCs w:val="20"/>
                <w:lang w:val="bg-BG"/>
              </w:rPr>
            </w:pPr>
          </w:p>
        </w:tc>
        <w:tc>
          <w:tcPr>
            <w:tcW w:w="546" w:type="dxa"/>
            <w:shd w:val="clear" w:color="auto" w:fill="auto"/>
          </w:tcPr>
          <w:p w:rsidR="009C13A9" w:rsidRPr="009072DA" w:rsidRDefault="009C13A9" w:rsidP="009C13A9">
            <w:pPr>
              <w:spacing w:before="120" w:after="120" w:line="240" w:lineRule="atLeast"/>
              <w:rPr>
                <w:szCs w:val="20"/>
                <w:lang w:val="bg-BG"/>
              </w:rPr>
            </w:pPr>
          </w:p>
        </w:tc>
        <w:tc>
          <w:tcPr>
            <w:tcW w:w="567" w:type="dxa"/>
            <w:shd w:val="clear" w:color="auto" w:fill="auto"/>
          </w:tcPr>
          <w:p w:rsidR="009C13A9" w:rsidRPr="009072DA" w:rsidRDefault="009C13A9" w:rsidP="009C13A9">
            <w:pPr>
              <w:spacing w:before="120" w:after="120" w:line="240" w:lineRule="atLeast"/>
              <w:rPr>
                <w:szCs w:val="20"/>
                <w:lang w:val="bg-BG"/>
              </w:rPr>
            </w:pPr>
          </w:p>
        </w:tc>
        <w:tc>
          <w:tcPr>
            <w:tcW w:w="992" w:type="dxa"/>
            <w:shd w:val="clear" w:color="auto" w:fill="auto"/>
          </w:tcPr>
          <w:p w:rsidR="009C13A9" w:rsidRPr="009072DA" w:rsidRDefault="009C13A9" w:rsidP="009C13A9">
            <w:pPr>
              <w:spacing w:before="120" w:after="120" w:line="240" w:lineRule="atLeast"/>
              <w:rPr>
                <w:szCs w:val="20"/>
                <w:lang w:val="bg-BG"/>
              </w:rPr>
            </w:pPr>
          </w:p>
        </w:tc>
        <w:tc>
          <w:tcPr>
            <w:tcW w:w="873" w:type="dxa"/>
            <w:shd w:val="clear" w:color="auto" w:fill="auto"/>
          </w:tcPr>
          <w:p w:rsidR="009C13A9" w:rsidRPr="009072DA" w:rsidRDefault="009C13A9" w:rsidP="009C13A9">
            <w:pPr>
              <w:spacing w:before="120" w:after="120" w:line="240" w:lineRule="atLeast"/>
              <w:rPr>
                <w:szCs w:val="20"/>
                <w:lang w:val="bg-BG"/>
              </w:rPr>
            </w:pPr>
          </w:p>
        </w:tc>
        <w:tc>
          <w:tcPr>
            <w:tcW w:w="1258" w:type="dxa"/>
            <w:shd w:val="clear" w:color="auto" w:fill="auto"/>
          </w:tcPr>
          <w:p w:rsidR="009C13A9" w:rsidRPr="009072DA" w:rsidRDefault="009C13A9" w:rsidP="009C13A9">
            <w:pPr>
              <w:spacing w:before="120" w:after="120" w:line="240" w:lineRule="atLeast"/>
              <w:rPr>
                <w:szCs w:val="20"/>
                <w:lang w:val="bg-BG"/>
              </w:rPr>
            </w:pPr>
          </w:p>
        </w:tc>
        <w:tc>
          <w:tcPr>
            <w:tcW w:w="812" w:type="dxa"/>
            <w:shd w:val="clear" w:color="auto" w:fill="auto"/>
          </w:tcPr>
          <w:p w:rsidR="009C13A9" w:rsidRPr="009072DA" w:rsidRDefault="009C13A9" w:rsidP="009C13A9">
            <w:pPr>
              <w:spacing w:before="120" w:after="120" w:line="240" w:lineRule="atLeast"/>
              <w:rPr>
                <w:szCs w:val="20"/>
                <w:lang w:val="bg-BG"/>
              </w:rPr>
            </w:pPr>
          </w:p>
        </w:tc>
        <w:tc>
          <w:tcPr>
            <w:tcW w:w="1258" w:type="dxa"/>
            <w:shd w:val="clear" w:color="auto" w:fill="auto"/>
          </w:tcPr>
          <w:p w:rsidR="009C13A9" w:rsidRPr="009072DA" w:rsidRDefault="009C13A9" w:rsidP="009C13A9">
            <w:pPr>
              <w:spacing w:before="120" w:after="120" w:line="240" w:lineRule="atLeast"/>
              <w:rPr>
                <w:szCs w:val="20"/>
                <w:lang w:val="bg-BG"/>
              </w:rPr>
            </w:pPr>
          </w:p>
        </w:tc>
        <w:tc>
          <w:tcPr>
            <w:tcW w:w="812" w:type="dxa"/>
            <w:shd w:val="clear" w:color="auto" w:fill="auto"/>
          </w:tcPr>
          <w:p w:rsidR="009C13A9" w:rsidRPr="009072DA" w:rsidRDefault="009C13A9" w:rsidP="009C13A9">
            <w:pPr>
              <w:spacing w:before="120" w:after="120" w:line="240" w:lineRule="atLeast"/>
              <w:rPr>
                <w:szCs w:val="20"/>
                <w:lang w:val="bg-BG"/>
              </w:rPr>
            </w:pPr>
          </w:p>
        </w:tc>
      </w:tr>
    </w:tbl>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lang w:val="bg-BG"/>
        </w:rPr>
        <w:lastRenderedPageBreak/>
        <w:br w:type="page"/>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suppressAutoHyphens/>
        <w:rPr>
          <w:rFonts w:cs="Arial"/>
          <w:sz w:val="24"/>
          <w:lang w:val="bg-BG"/>
        </w:rPr>
        <w:sectPr w:rsidR="009C13A9" w:rsidRPr="009072DA" w:rsidSect="009C13A9">
          <w:headerReference w:type="even" r:id="rId89"/>
          <w:headerReference w:type="default" r:id="rId90"/>
          <w:footerReference w:type="even" r:id="rId91"/>
          <w:footerReference w:type="default" r:id="rId92"/>
          <w:headerReference w:type="first" r:id="rId93"/>
          <w:footerReference w:type="first" r:id="rId94"/>
          <w:footnotePr>
            <w:numRestart w:val="eachPage"/>
          </w:footnotePr>
          <w:pgSz w:w="16840" w:h="11907" w:orient="landscape" w:code="9"/>
          <w:pgMar w:top="1418" w:right="1418" w:bottom="1418" w:left="1418" w:header="680" w:footer="680" w:gutter="0"/>
          <w:cols w:space="720"/>
          <w:docGrid w:linePitch="360"/>
        </w:sectPr>
      </w:pPr>
    </w:p>
    <w:p w:rsidR="009C13A9" w:rsidRPr="009072DA" w:rsidRDefault="009C13A9" w:rsidP="009C13A9">
      <w:pPr>
        <w:suppressAutoHyphens/>
        <w:spacing w:line="240" w:lineRule="atLeast"/>
        <w:jc w:val="center"/>
        <w:rPr>
          <w:rFonts w:cs="Arial"/>
          <w:b/>
          <w:lang w:val="bg-BG"/>
        </w:rPr>
      </w:pPr>
    </w:p>
    <w:p w:rsidR="009C13A9" w:rsidRPr="009072DA" w:rsidRDefault="00925755" w:rsidP="00390107">
      <w:pPr>
        <w:pStyle w:val="ES-Titre3"/>
        <w:rPr>
          <w:lang w:val="bg-BG"/>
        </w:rPr>
      </w:pPr>
      <w:bookmarkStart w:id="709" w:name="_Toc491854338"/>
      <w:bookmarkStart w:id="710" w:name="_Toc535827779"/>
      <w:r w:rsidRPr="009072DA">
        <w:rPr>
          <w:lang w:val="bg-BG"/>
        </w:rPr>
        <w:t>Раздел VIII</w:t>
      </w:r>
      <w:bookmarkEnd w:id="709"/>
      <w:bookmarkEnd w:id="710"/>
    </w:p>
    <w:p w:rsidR="009C13A9" w:rsidRPr="009072DA" w:rsidRDefault="009C13A9" w:rsidP="00390107">
      <w:pPr>
        <w:pStyle w:val="ES-Titre3a"/>
        <w:rPr>
          <w:lang w:val="bg-BG"/>
        </w:rPr>
      </w:pPr>
      <w:bookmarkStart w:id="711" w:name="_Toc491854339"/>
      <w:bookmarkStart w:id="712" w:name="_Toc535827780"/>
      <w:r w:rsidRPr="009072DA">
        <w:rPr>
          <w:lang w:val="bg-BG"/>
        </w:rPr>
        <w:t>Протокол за параметри на бордовата станция за пречистване на отпадъчни води за специално изпитване</w:t>
      </w:r>
      <w:bookmarkEnd w:id="711"/>
      <w:bookmarkEnd w:id="712"/>
    </w:p>
    <w:p w:rsidR="009C13A9" w:rsidRPr="009072DA" w:rsidRDefault="009C13A9" w:rsidP="009C13A9">
      <w:pPr>
        <w:overflowPunct w:val="0"/>
        <w:adjustRightInd w:val="0"/>
        <w:spacing w:line="240" w:lineRule="exact"/>
        <w:jc w:val="center"/>
        <w:textAlignment w:val="baseline"/>
        <w:rPr>
          <w:rFonts w:eastAsia="Calibri" w:cs="Arial"/>
          <w:sz w:val="16"/>
          <w:lang w:val="bg-BG"/>
        </w:rPr>
      </w:pPr>
      <w:r w:rsidRPr="009072DA">
        <w:rPr>
          <w:lang w:val="bg-BG"/>
        </w:rPr>
        <w:t>(Образец)</w:t>
      </w:r>
    </w:p>
    <w:p w:rsidR="009C13A9" w:rsidRPr="009072DA" w:rsidRDefault="009C13A9" w:rsidP="009C13A9">
      <w:pPr>
        <w:suppressAutoHyphens/>
        <w:spacing w:line="240" w:lineRule="atLeast"/>
        <w:rPr>
          <w:rFonts w:cs="Arial"/>
          <w:szCs w:val="20"/>
          <w:lang w:val="bg-BG"/>
        </w:rPr>
      </w:pPr>
    </w:p>
    <w:p w:rsidR="009C13A9" w:rsidRPr="009072DA" w:rsidRDefault="009C13A9" w:rsidP="009C13A9">
      <w:pPr>
        <w:ind w:left="709" w:hanging="709"/>
        <w:outlineLvl w:val="0"/>
        <w:rPr>
          <w:rFonts w:cs="Arial"/>
          <w:b/>
          <w:bCs/>
          <w:szCs w:val="20"/>
          <w:lang w:val="bg-BG"/>
        </w:rPr>
      </w:pPr>
      <w:r w:rsidRPr="009072DA">
        <w:rPr>
          <w:b/>
          <w:lang w:val="bg-BG"/>
        </w:rPr>
        <w:t>1.</w:t>
      </w:r>
      <w:r w:rsidRPr="009072DA">
        <w:rPr>
          <w:lang w:val="bg-BG"/>
        </w:rPr>
        <w:tab/>
      </w:r>
      <w:r w:rsidRPr="009072DA">
        <w:rPr>
          <w:b/>
          <w:lang w:val="bg-BG"/>
        </w:rPr>
        <w:t>Общи положения</w:t>
      </w:r>
    </w:p>
    <w:p w:rsidR="009C13A9" w:rsidRPr="009072DA" w:rsidRDefault="009C13A9" w:rsidP="009C13A9">
      <w:pPr>
        <w:spacing w:before="60" w:line="240" w:lineRule="atLeast"/>
        <w:ind w:left="709" w:hanging="709"/>
        <w:rPr>
          <w:rFonts w:cs="Arial"/>
          <w:szCs w:val="20"/>
          <w:lang w:val="bg-BG"/>
        </w:rPr>
      </w:pPr>
      <w:r w:rsidRPr="009072DA">
        <w:rPr>
          <w:lang w:val="bg-BG"/>
        </w:rPr>
        <w:t>1.1</w:t>
      </w:r>
      <w:r w:rsidRPr="009072DA">
        <w:rPr>
          <w:lang w:val="bg-BG"/>
        </w:rPr>
        <w:tab/>
        <w:t xml:space="preserve">Данни на бордовата станция за пречистване на отпадъчни води </w:t>
      </w:r>
    </w:p>
    <w:p w:rsidR="009C13A9" w:rsidRPr="009072DA" w:rsidRDefault="009C13A9" w:rsidP="009C13A9">
      <w:pPr>
        <w:tabs>
          <w:tab w:val="left" w:leader="dot" w:pos="9072"/>
        </w:tabs>
        <w:spacing w:before="60" w:line="240" w:lineRule="atLeast"/>
        <w:ind w:left="709" w:hanging="709"/>
        <w:rPr>
          <w:rFonts w:cs="Arial"/>
          <w:szCs w:val="20"/>
          <w:lang w:val="bg-BG"/>
        </w:rPr>
      </w:pPr>
      <w:r w:rsidRPr="009072DA">
        <w:rPr>
          <w:lang w:val="bg-BG"/>
        </w:rPr>
        <w:t>1.1.1</w:t>
      </w:r>
      <w:r w:rsidRPr="009072DA">
        <w:rPr>
          <w:lang w:val="bg-BG"/>
        </w:rPr>
        <w:tab/>
        <w:t xml:space="preserve">Марка: </w:t>
      </w:r>
      <w:r w:rsidRPr="009072DA">
        <w:rPr>
          <w:lang w:val="bg-BG"/>
        </w:rPr>
        <w:tab/>
      </w:r>
    </w:p>
    <w:p w:rsidR="009C13A9" w:rsidRPr="009072DA" w:rsidRDefault="009C13A9" w:rsidP="009C13A9">
      <w:pPr>
        <w:tabs>
          <w:tab w:val="left" w:leader="dot" w:pos="9072"/>
        </w:tabs>
        <w:spacing w:before="60" w:line="240" w:lineRule="atLeast"/>
        <w:ind w:left="709" w:hanging="709"/>
        <w:rPr>
          <w:rFonts w:cs="Arial"/>
          <w:szCs w:val="20"/>
          <w:lang w:val="bg-BG"/>
        </w:rPr>
      </w:pPr>
      <w:r w:rsidRPr="009072DA">
        <w:rPr>
          <w:lang w:val="bg-BG"/>
        </w:rPr>
        <w:t>1.1.2</w:t>
      </w:r>
      <w:r w:rsidRPr="009072DA">
        <w:rPr>
          <w:lang w:val="bg-BG"/>
        </w:rPr>
        <w:tab/>
        <w:t xml:space="preserve">Обозначение на производителя: </w:t>
      </w:r>
      <w:r w:rsidRPr="009072DA">
        <w:rPr>
          <w:lang w:val="bg-BG"/>
        </w:rPr>
        <w:tab/>
      </w:r>
    </w:p>
    <w:p w:rsidR="009C13A9" w:rsidRPr="009072DA" w:rsidRDefault="009C13A9" w:rsidP="009C13A9">
      <w:pPr>
        <w:tabs>
          <w:tab w:val="left" w:leader="dot" w:pos="9072"/>
        </w:tabs>
        <w:spacing w:before="60" w:line="240" w:lineRule="atLeast"/>
        <w:ind w:left="709"/>
        <w:rPr>
          <w:rFonts w:cs="Arial"/>
          <w:szCs w:val="20"/>
          <w:lang w:val="bg-BG"/>
        </w:rPr>
      </w:pPr>
      <w:r w:rsidRPr="009072DA">
        <w:rPr>
          <w:lang w:val="bg-BG"/>
        </w:rPr>
        <w:tab/>
      </w:r>
    </w:p>
    <w:p w:rsidR="009C13A9" w:rsidRPr="009072DA" w:rsidRDefault="009C13A9" w:rsidP="009C13A9">
      <w:pPr>
        <w:tabs>
          <w:tab w:val="left" w:leader="dot" w:pos="9072"/>
        </w:tabs>
        <w:spacing w:before="60" w:line="240" w:lineRule="atLeast"/>
        <w:ind w:left="709" w:hanging="709"/>
        <w:rPr>
          <w:rFonts w:cs="Arial"/>
          <w:szCs w:val="20"/>
          <w:lang w:val="bg-BG"/>
        </w:rPr>
      </w:pPr>
      <w:r w:rsidRPr="009072DA">
        <w:rPr>
          <w:lang w:val="bg-BG"/>
        </w:rPr>
        <w:t>1.1.3</w:t>
      </w:r>
      <w:r w:rsidRPr="009072DA">
        <w:rPr>
          <w:lang w:val="bg-BG"/>
        </w:rPr>
        <w:tab/>
        <w:t xml:space="preserve">Номер на одобрението на типа: </w:t>
      </w:r>
      <w:r w:rsidRPr="009072DA">
        <w:rPr>
          <w:lang w:val="bg-BG"/>
        </w:rPr>
        <w:tab/>
      </w:r>
    </w:p>
    <w:p w:rsidR="009C13A9" w:rsidRPr="009072DA" w:rsidRDefault="009C13A9" w:rsidP="009C13A9">
      <w:pPr>
        <w:tabs>
          <w:tab w:val="left" w:leader="dot" w:pos="9072"/>
        </w:tabs>
        <w:spacing w:before="60" w:line="240" w:lineRule="atLeast"/>
        <w:ind w:left="709" w:hanging="709"/>
        <w:rPr>
          <w:rFonts w:cs="Arial"/>
          <w:szCs w:val="20"/>
          <w:lang w:val="bg-BG"/>
        </w:rPr>
      </w:pPr>
      <w:r w:rsidRPr="009072DA">
        <w:rPr>
          <w:lang w:val="bg-BG"/>
        </w:rPr>
        <w:t>1.1.4</w:t>
      </w:r>
      <w:r w:rsidRPr="009072DA">
        <w:rPr>
          <w:lang w:val="bg-BG"/>
        </w:rPr>
        <w:tab/>
        <w:t xml:space="preserve">Сериен номер на бордовата станция за пречистване на отпадъчни води: </w:t>
      </w:r>
      <w:r w:rsidRPr="009072DA">
        <w:rPr>
          <w:lang w:val="bg-BG"/>
        </w:rPr>
        <w:tab/>
      </w:r>
    </w:p>
    <w:p w:rsidR="009C13A9" w:rsidRPr="009072DA" w:rsidRDefault="009C13A9" w:rsidP="009C13A9">
      <w:pPr>
        <w:tabs>
          <w:tab w:val="left" w:leader="dot" w:pos="9072"/>
        </w:tabs>
        <w:spacing w:before="60" w:line="240" w:lineRule="atLeast"/>
        <w:ind w:left="709"/>
        <w:rPr>
          <w:rFonts w:cs="Arial"/>
          <w:szCs w:val="20"/>
          <w:lang w:val="bg-BG"/>
        </w:rPr>
      </w:pPr>
      <w:r w:rsidRPr="009072DA">
        <w:rPr>
          <w:lang w:val="bg-BG"/>
        </w:rPr>
        <w:tab/>
      </w:r>
    </w:p>
    <w:p w:rsidR="009C13A9" w:rsidRPr="009072DA" w:rsidRDefault="009C13A9" w:rsidP="009C13A9">
      <w:pPr>
        <w:ind w:left="709" w:hanging="709"/>
        <w:rPr>
          <w:rFonts w:cs="Arial"/>
          <w:szCs w:val="20"/>
          <w:lang w:val="bg-BG"/>
        </w:rPr>
      </w:pPr>
    </w:p>
    <w:p w:rsidR="009C13A9" w:rsidRPr="009072DA" w:rsidRDefault="009C13A9" w:rsidP="009C13A9">
      <w:pPr>
        <w:ind w:left="709" w:hanging="709"/>
        <w:rPr>
          <w:rFonts w:cs="Arial"/>
          <w:szCs w:val="20"/>
          <w:lang w:val="bg-BG"/>
        </w:rPr>
      </w:pPr>
      <w:r w:rsidRPr="009072DA">
        <w:rPr>
          <w:lang w:val="bg-BG"/>
        </w:rPr>
        <w:t>1.2</w:t>
      </w:r>
      <w:r w:rsidRPr="009072DA">
        <w:rPr>
          <w:lang w:val="bg-BG"/>
        </w:rPr>
        <w:tab/>
        <w:t>Документация</w:t>
      </w:r>
    </w:p>
    <w:p w:rsidR="009C13A9" w:rsidRPr="009072DA" w:rsidRDefault="009C13A9" w:rsidP="009C13A9">
      <w:pPr>
        <w:ind w:left="709" w:hanging="709"/>
        <w:rPr>
          <w:rFonts w:cs="Arial"/>
          <w:szCs w:val="20"/>
          <w:lang w:val="bg-BG"/>
        </w:rPr>
      </w:pPr>
    </w:p>
    <w:p w:rsidR="009C13A9" w:rsidRPr="009072DA" w:rsidRDefault="009C13A9" w:rsidP="009C13A9">
      <w:pPr>
        <w:ind w:left="709"/>
        <w:rPr>
          <w:rFonts w:cs="Arial"/>
          <w:szCs w:val="20"/>
          <w:lang w:val="bg-BG"/>
        </w:rPr>
      </w:pPr>
      <w:r w:rsidRPr="009072DA">
        <w:rPr>
          <w:lang w:val="bg-BG"/>
        </w:rPr>
        <w:t xml:space="preserve">Бордовата станция за пречистване на отпадъчни води се изпитва и резултатите от изпитването се записват на отделни листове, които се номерират поотделно, подписват се от инспектора и се прилагат към настоящия протокол. </w:t>
      </w:r>
    </w:p>
    <w:p w:rsidR="009C13A9" w:rsidRPr="009072DA" w:rsidRDefault="009C13A9" w:rsidP="009C13A9">
      <w:pPr>
        <w:ind w:left="709" w:hanging="709"/>
        <w:rPr>
          <w:rFonts w:cs="Arial"/>
          <w:szCs w:val="20"/>
          <w:lang w:val="bg-BG"/>
        </w:rPr>
      </w:pPr>
    </w:p>
    <w:p w:rsidR="009C13A9" w:rsidRPr="009072DA" w:rsidRDefault="009C13A9" w:rsidP="009C13A9">
      <w:pPr>
        <w:ind w:left="709" w:hanging="709"/>
        <w:rPr>
          <w:rFonts w:cs="Arial"/>
          <w:szCs w:val="20"/>
          <w:lang w:val="bg-BG"/>
        </w:rPr>
      </w:pPr>
      <w:r w:rsidRPr="009072DA">
        <w:rPr>
          <w:lang w:val="bg-BG"/>
        </w:rPr>
        <w:t>1.3</w:t>
      </w:r>
      <w:r w:rsidRPr="009072DA">
        <w:rPr>
          <w:lang w:val="bg-BG"/>
        </w:rPr>
        <w:tab/>
        <w:t>Изпитване</w:t>
      </w:r>
    </w:p>
    <w:p w:rsidR="009C13A9" w:rsidRPr="009072DA" w:rsidRDefault="009C13A9" w:rsidP="009C13A9">
      <w:pPr>
        <w:ind w:left="709" w:hanging="709"/>
        <w:rPr>
          <w:rFonts w:cs="Arial"/>
          <w:szCs w:val="20"/>
          <w:lang w:val="bg-BG"/>
        </w:rPr>
      </w:pPr>
    </w:p>
    <w:p w:rsidR="009C13A9" w:rsidRPr="009072DA" w:rsidRDefault="009C13A9" w:rsidP="009C13A9">
      <w:pPr>
        <w:ind w:left="709"/>
        <w:rPr>
          <w:rFonts w:cs="Arial"/>
          <w:szCs w:val="20"/>
          <w:lang w:val="bg-BG"/>
        </w:rPr>
      </w:pPr>
      <w:r w:rsidRPr="009072DA">
        <w:rPr>
          <w:lang w:val="bg-BG"/>
        </w:rPr>
        <w:t>Изпитването се извършва въз основа на ръководството на производителя за проверка на свързаните с пречистването на отпадъчни води компоненти и параметри на бордовата станция за пречистване в съответствие с член 1.01</w:t>
      </w:r>
      <w:r w:rsidR="00D01002">
        <w:rPr>
          <w:lang w:val="bg-BG"/>
        </w:rPr>
        <w:t xml:space="preserve">, точка </w:t>
      </w:r>
      <w:r w:rsidRPr="009072DA">
        <w:rPr>
          <w:lang w:val="bg-BG"/>
        </w:rPr>
        <w:t>9.10. В обосновани отделни случаи инспекторите може по свое усмотрение да откажат проверка на определени компоненти и параметри на пречиствателната станция.</w:t>
      </w:r>
    </w:p>
    <w:p w:rsidR="009C13A9" w:rsidRPr="009072DA" w:rsidRDefault="009C13A9" w:rsidP="009C13A9">
      <w:pPr>
        <w:ind w:left="709" w:hanging="709"/>
        <w:rPr>
          <w:rFonts w:cs="Arial"/>
          <w:szCs w:val="20"/>
          <w:lang w:val="bg-BG"/>
        </w:rPr>
      </w:pPr>
    </w:p>
    <w:p w:rsidR="009C13A9" w:rsidRPr="009072DA" w:rsidRDefault="009C13A9" w:rsidP="009C13A9">
      <w:pPr>
        <w:ind w:left="709"/>
        <w:rPr>
          <w:rFonts w:cs="Arial"/>
          <w:szCs w:val="20"/>
          <w:lang w:val="bg-BG"/>
        </w:rPr>
      </w:pPr>
      <w:r w:rsidRPr="009072DA">
        <w:rPr>
          <w:lang w:val="bg-BG"/>
        </w:rPr>
        <w:t>По време на изпитването се взема поне една случайна проба. Резултатите от измерването на случайната проба се сравняват с контролните стойности, определени в член 18.01, точка 2, таблица 2.</w:t>
      </w:r>
    </w:p>
    <w:p w:rsidR="009C13A9" w:rsidRPr="009072DA" w:rsidRDefault="009C13A9" w:rsidP="009C13A9">
      <w:pPr>
        <w:ind w:left="709" w:hanging="709"/>
        <w:rPr>
          <w:rFonts w:cs="Arial"/>
          <w:szCs w:val="20"/>
          <w:lang w:val="bg-BG"/>
        </w:rPr>
      </w:pPr>
    </w:p>
    <w:p w:rsidR="009C13A9" w:rsidRPr="009072DA" w:rsidRDefault="009C13A9" w:rsidP="009C13A9">
      <w:pPr>
        <w:ind w:left="709" w:hanging="709"/>
        <w:rPr>
          <w:rFonts w:cs="Arial"/>
          <w:szCs w:val="20"/>
          <w:lang w:val="bg-BG"/>
        </w:rPr>
      </w:pPr>
      <w:r w:rsidRPr="009072DA">
        <w:rPr>
          <w:lang w:val="bg-BG"/>
        </w:rPr>
        <w:t>1.4</w:t>
      </w:r>
      <w:r w:rsidRPr="009072DA">
        <w:rPr>
          <w:lang w:val="bg-BG"/>
        </w:rPr>
        <w:tab/>
        <w:t>Този протокол от изпитване, заедно с приложените записи, съдържа общо..................</w:t>
      </w:r>
      <w:r w:rsidRPr="009072DA">
        <w:rPr>
          <w:vertAlign w:val="superscript"/>
          <w:lang w:val="bg-BG"/>
        </w:rPr>
        <w:footnoteReference w:id="72"/>
      </w:r>
      <w:r w:rsidRPr="009072DA">
        <w:rPr>
          <w:lang w:val="bg-BG"/>
        </w:rPr>
        <w:t>.. страници.</w:t>
      </w:r>
    </w:p>
    <w:p w:rsidR="009C13A9" w:rsidRPr="009072DA" w:rsidRDefault="009C13A9" w:rsidP="009C13A9">
      <w:pPr>
        <w:ind w:left="709" w:hanging="709"/>
        <w:rPr>
          <w:rFonts w:cs="Arial"/>
          <w:b/>
          <w:bCs/>
          <w:szCs w:val="20"/>
          <w:lang w:val="bg-BG"/>
        </w:rPr>
      </w:pPr>
    </w:p>
    <w:p w:rsidR="009C13A9" w:rsidRPr="009072DA" w:rsidRDefault="009C13A9" w:rsidP="009C13A9">
      <w:pPr>
        <w:ind w:left="709" w:hanging="709"/>
        <w:rPr>
          <w:rFonts w:cs="Arial"/>
          <w:b/>
          <w:bCs/>
          <w:szCs w:val="20"/>
          <w:lang w:val="bg-BG"/>
        </w:rPr>
      </w:pPr>
      <w:r w:rsidRPr="009072DA">
        <w:rPr>
          <w:b/>
          <w:lang w:val="bg-BG"/>
        </w:rPr>
        <w:t>2.</w:t>
      </w:r>
      <w:r w:rsidRPr="009072DA">
        <w:rPr>
          <w:lang w:val="bg-BG"/>
        </w:rPr>
        <w:tab/>
      </w:r>
      <w:r w:rsidRPr="009072DA">
        <w:rPr>
          <w:b/>
          <w:lang w:val="bg-BG"/>
        </w:rPr>
        <w:t>Параметри</w:t>
      </w:r>
    </w:p>
    <w:p w:rsidR="009C13A9" w:rsidRPr="009072DA" w:rsidRDefault="009C13A9" w:rsidP="009C13A9">
      <w:pPr>
        <w:ind w:left="709" w:hanging="709"/>
        <w:rPr>
          <w:rFonts w:cs="Arial"/>
          <w:szCs w:val="20"/>
          <w:lang w:val="bg-BG"/>
        </w:rPr>
      </w:pPr>
    </w:p>
    <w:p w:rsidR="009C13A9" w:rsidRPr="009072DA" w:rsidRDefault="009C13A9" w:rsidP="009C13A9">
      <w:pPr>
        <w:ind w:left="709"/>
        <w:rPr>
          <w:rFonts w:cs="Arial"/>
          <w:szCs w:val="20"/>
          <w:lang w:val="bg-BG"/>
        </w:rPr>
      </w:pPr>
      <w:r w:rsidRPr="009072DA">
        <w:rPr>
          <w:lang w:val="bg-BG"/>
        </w:rPr>
        <w:t>С настоящото се удостоверява, че изпитваната бордова станция за пречистване на отпадъчни води не се отклонява недопустимо от параметрите, а контролните стойности при работа, посочени в член 18.01, точка 2, таблица 2, не са надвишени.</w:t>
      </w:r>
    </w:p>
    <w:p w:rsidR="009C13A9" w:rsidRPr="009072DA" w:rsidRDefault="009C13A9" w:rsidP="009C13A9">
      <w:pPr>
        <w:ind w:left="709"/>
        <w:rPr>
          <w:rFonts w:cs="Arial"/>
          <w:szCs w:val="20"/>
          <w:lang w:val="bg-BG"/>
        </w:rPr>
      </w:pPr>
    </w:p>
    <w:p w:rsidR="009C13A9" w:rsidRPr="009072DA" w:rsidRDefault="009C13A9" w:rsidP="009C13A9">
      <w:pPr>
        <w:tabs>
          <w:tab w:val="left" w:leader="dot" w:pos="9072"/>
        </w:tabs>
        <w:ind w:left="709"/>
        <w:rPr>
          <w:rFonts w:cs="Arial"/>
          <w:szCs w:val="20"/>
          <w:lang w:val="bg-BG"/>
        </w:rPr>
      </w:pPr>
      <w:r w:rsidRPr="009072DA">
        <w:rPr>
          <w:lang w:val="bg-BG"/>
        </w:rPr>
        <w:t xml:space="preserve">Име и адрес на техническата служба: </w:t>
      </w: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 xml:space="preserve">Име на инспектора: </w:t>
      </w: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 xml:space="preserve">Място и дата: </w:t>
      </w: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 xml:space="preserve">Подпис: </w:t>
      </w:r>
      <w:r w:rsidRPr="009072DA">
        <w:rPr>
          <w:lang w:val="bg-BG"/>
        </w:rPr>
        <w:tab/>
      </w:r>
    </w:p>
    <w:p w:rsidR="009C13A9" w:rsidRPr="009072DA" w:rsidRDefault="009C13A9" w:rsidP="009C13A9">
      <w:pPr>
        <w:tabs>
          <w:tab w:val="left" w:leader="dot" w:pos="9072"/>
        </w:tabs>
        <w:ind w:left="709"/>
        <w:rPr>
          <w:rFonts w:cs="Arial"/>
          <w:szCs w:val="20"/>
          <w:lang w:val="bg-BG"/>
        </w:rPr>
      </w:pPr>
    </w:p>
    <w:p w:rsidR="009C13A9" w:rsidRPr="009072DA" w:rsidRDefault="009C13A9" w:rsidP="009C13A9">
      <w:pPr>
        <w:tabs>
          <w:tab w:val="left" w:leader="dot" w:pos="9072"/>
        </w:tabs>
        <w:ind w:left="709"/>
        <w:rPr>
          <w:rFonts w:cs="Arial"/>
          <w:szCs w:val="20"/>
          <w:lang w:val="bg-BG"/>
        </w:rPr>
      </w:pPr>
      <w:r w:rsidRPr="009072DA">
        <w:rPr>
          <w:lang w:val="bg-BG"/>
        </w:rPr>
        <w:t xml:space="preserve">Изпитване, признато от компетентния орган: </w:t>
      </w:r>
      <w:r w:rsidRPr="009072DA">
        <w:rPr>
          <w:lang w:val="bg-BG"/>
        </w:rPr>
        <w:tab/>
      </w:r>
    </w:p>
    <w:p w:rsidR="009C13A9" w:rsidRPr="009072DA" w:rsidRDefault="009C13A9" w:rsidP="009C13A9">
      <w:pPr>
        <w:tabs>
          <w:tab w:val="left" w:leader="dot" w:pos="9072"/>
        </w:tabs>
        <w:ind w:left="709" w:firstLine="11"/>
        <w:rPr>
          <w:rFonts w:cs="Arial"/>
          <w:szCs w:val="20"/>
          <w:lang w:val="bg-BG"/>
        </w:rPr>
      </w:pP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 xml:space="preserve">Място и дата: </w:t>
      </w: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 xml:space="preserve">Подпис: </w:t>
      </w:r>
      <w:r w:rsidRPr="009072DA">
        <w:rPr>
          <w:lang w:val="bg-BG"/>
        </w:rPr>
        <w:tab/>
      </w:r>
    </w:p>
    <w:p w:rsidR="009C13A9" w:rsidRPr="009072DA" w:rsidRDefault="009C13A9" w:rsidP="009C13A9">
      <w:pPr>
        <w:ind w:left="709"/>
        <w:rPr>
          <w:rFonts w:cs="Arial"/>
          <w:szCs w:val="20"/>
          <w:lang w:val="bg-BG"/>
        </w:rPr>
      </w:pPr>
    </w:p>
    <w:p w:rsidR="009C13A9" w:rsidRPr="009072DA" w:rsidRDefault="009C13A9" w:rsidP="009C13A9">
      <w:pPr>
        <w:jc w:val="right"/>
        <w:outlineLvl w:val="0"/>
        <w:rPr>
          <w:rFonts w:cs="Arial"/>
          <w:szCs w:val="20"/>
          <w:lang w:val="bg-BG"/>
        </w:rPr>
      </w:pPr>
      <w:r w:rsidRPr="009072DA">
        <w:rPr>
          <w:lang w:val="bg-BG"/>
        </w:rPr>
        <w:t>Печат на компетентния орган</w:t>
      </w:r>
    </w:p>
    <w:p w:rsidR="009C13A9" w:rsidRPr="009072DA" w:rsidRDefault="009C13A9" w:rsidP="009C13A9">
      <w:pPr>
        <w:spacing w:line="240" w:lineRule="atLeast"/>
        <w:rPr>
          <w:rFonts w:cs="Arial"/>
          <w:color w:val="000000"/>
          <w:lang w:val="bg-BG"/>
        </w:rPr>
      </w:pPr>
      <w:r w:rsidRPr="009072DA">
        <w:rPr>
          <w:lang w:val="bg-BG"/>
        </w:rPr>
        <w:br w:type="page"/>
      </w:r>
    </w:p>
    <w:p w:rsidR="009C13A9" w:rsidRPr="009072DA" w:rsidRDefault="009C13A9" w:rsidP="009C13A9">
      <w:pPr>
        <w:tabs>
          <w:tab w:val="left" w:leader="dot" w:pos="9072"/>
        </w:tabs>
        <w:ind w:left="709"/>
        <w:rPr>
          <w:rFonts w:cs="Arial"/>
          <w:szCs w:val="20"/>
          <w:lang w:val="bg-BG"/>
        </w:rPr>
      </w:pPr>
      <w:r w:rsidRPr="009072DA">
        <w:rPr>
          <w:lang w:val="bg-BG"/>
        </w:rPr>
        <w:lastRenderedPageBreak/>
        <w:t xml:space="preserve">Име и адрес на техническата служба: </w:t>
      </w: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 xml:space="preserve">Име на инспектора: </w:t>
      </w: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 xml:space="preserve">Място и дата: </w:t>
      </w: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 xml:space="preserve">Подпис: </w:t>
      </w:r>
      <w:r w:rsidRPr="009072DA">
        <w:rPr>
          <w:lang w:val="bg-BG"/>
        </w:rPr>
        <w:tab/>
      </w:r>
    </w:p>
    <w:p w:rsidR="009C13A9" w:rsidRPr="009072DA" w:rsidRDefault="009C13A9" w:rsidP="009C13A9">
      <w:pPr>
        <w:tabs>
          <w:tab w:val="left" w:leader="dot" w:pos="9072"/>
        </w:tabs>
        <w:ind w:left="709"/>
        <w:rPr>
          <w:rFonts w:cs="Arial"/>
          <w:szCs w:val="20"/>
          <w:lang w:val="bg-BG"/>
        </w:rPr>
      </w:pPr>
    </w:p>
    <w:p w:rsidR="009C13A9" w:rsidRPr="009072DA" w:rsidRDefault="009C13A9" w:rsidP="009C13A9">
      <w:pPr>
        <w:tabs>
          <w:tab w:val="left" w:leader="dot" w:pos="9072"/>
        </w:tabs>
        <w:ind w:left="709"/>
        <w:rPr>
          <w:rFonts w:cs="Arial"/>
          <w:szCs w:val="20"/>
          <w:lang w:val="bg-BG"/>
        </w:rPr>
      </w:pPr>
      <w:r w:rsidRPr="009072DA">
        <w:rPr>
          <w:lang w:val="bg-BG"/>
        </w:rPr>
        <w:t xml:space="preserve">Изпитване, признато от компетентния орган: </w:t>
      </w:r>
      <w:r w:rsidRPr="009072DA">
        <w:rPr>
          <w:lang w:val="bg-BG"/>
        </w:rPr>
        <w:tab/>
      </w:r>
    </w:p>
    <w:p w:rsidR="009C13A9" w:rsidRPr="009072DA" w:rsidRDefault="009C13A9" w:rsidP="009C13A9">
      <w:pPr>
        <w:tabs>
          <w:tab w:val="left" w:leader="dot" w:pos="9072"/>
        </w:tabs>
        <w:ind w:left="709" w:firstLine="11"/>
        <w:rPr>
          <w:rFonts w:cs="Arial"/>
          <w:szCs w:val="20"/>
          <w:lang w:val="bg-BG"/>
        </w:rPr>
      </w:pP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 xml:space="preserve">Място и дата: </w:t>
      </w: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 xml:space="preserve">Подпис: </w:t>
      </w:r>
      <w:r w:rsidRPr="009072DA">
        <w:rPr>
          <w:lang w:val="bg-BG"/>
        </w:rPr>
        <w:tab/>
      </w:r>
    </w:p>
    <w:p w:rsidR="009C13A9" w:rsidRPr="009072DA" w:rsidRDefault="009C13A9" w:rsidP="009C13A9">
      <w:pPr>
        <w:ind w:left="709"/>
        <w:rPr>
          <w:rFonts w:cs="Arial"/>
          <w:szCs w:val="20"/>
          <w:lang w:val="bg-BG"/>
        </w:rPr>
      </w:pPr>
    </w:p>
    <w:p w:rsidR="009C13A9" w:rsidRPr="009072DA" w:rsidRDefault="009C13A9" w:rsidP="009C13A9">
      <w:pPr>
        <w:jc w:val="right"/>
        <w:outlineLvl w:val="0"/>
        <w:rPr>
          <w:rFonts w:cs="Arial"/>
          <w:szCs w:val="20"/>
          <w:lang w:val="bg-BG"/>
        </w:rPr>
      </w:pPr>
      <w:r w:rsidRPr="009072DA">
        <w:rPr>
          <w:lang w:val="bg-BG"/>
        </w:rPr>
        <w:t>Печат на компетентния орган</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tabs>
          <w:tab w:val="left" w:leader="dot" w:pos="9072"/>
        </w:tabs>
        <w:ind w:left="709"/>
        <w:rPr>
          <w:rFonts w:cs="Arial"/>
          <w:szCs w:val="20"/>
          <w:lang w:val="bg-BG"/>
        </w:rPr>
      </w:pPr>
      <w:r w:rsidRPr="009072DA">
        <w:rPr>
          <w:lang w:val="bg-BG"/>
        </w:rPr>
        <w:t xml:space="preserve">Име и адрес на техническата служба: </w:t>
      </w: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 xml:space="preserve">Име на инспектора: </w:t>
      </w: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 xml:space="preserve">Място и дата: </w:t>
      </w: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 xml:space="preserve">Подпис: </w:t>
      </w:r>
      <w:r w:rsidRPr="009072DA">
        <w:rPr>
          <w:lang w:val="bg-BG"/>
        </w:rPr>
        <w:tab/>
      </w:r>
    </w:p>
    <w:p w:rsidR="009C13A9" w:rsidRPr="009072DA" w:rsidRDefault="009C13A9" w:rsidP="009C13A9">
      <w:pPr>
        <w:tabs>
          <w:tab w:val="left" w:leader="dot" w:pos="9072"/>
        </w:tabs>
        <w:ind w:left="709"/>
        <w:rPr>
          <w:rFonts w:cs="Arial"/>
          <w:szCs w:val="20"/>
          <w:lang w:val="bg-BG"/>
        </w:rPr>
      </w:pPr>
    </w:p>
    <w:p w:rsidR="009C13A9" w:rsidRPr="009072DA" w:rsidRDefault="009C13A9" w:rsidP="009C13A9">
      <w:pPr>
        <w:tabs>
          <w:tab w:val="left" w:leader="dot" w:pos="9072"/>
        </w:tabs>
        <w:ind w:left="709"/>
        <w:rPr>
          <w:rFonts w:cs="Arial"/>
          <w:szCs w:val="20"/>
          <w:lang w:val="bg-BG"/>
        </w:rPr>
      </w:pPr>
      <w:r w:rsidRPr="009072DA">
        <w:rPr>
          <w:lang w:val="bg-BG"/>
        </w:rPr>
        <w:t xml:space="preserve">Изпитване, признато от компетентния орган: </w:t>
      </w:r>
      <w:r w:rsidRPr="009072DA">
        <w:rPr>
          <w:lang w:val="bg-BG"/>
        </w:rPr>
        <w:tab/>
      </w:r>
    </w:p>
    <w:p w:rsidR="009C13A9" w:rsidRPr="009072DA" w:rsidRDefault="009C13A9" w:rsidP="009C13A9">
      <w:pPr>
        <w:tabs>
          <w:tab w:val="left" w:leader="dot" w:pos="9072"/>
        </w:tabs>
        <w:ind w:left="709" w:firstLine="11"/>
        <w:rPr>
          <w:rFonts w:cs="Arial"/>
          <w:szCs w:val="20"/>
          <w:lang w:val="bg-BG"/>
        </w:rPr>
      </w:pP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lastRenderedPageBreak/>
        <w:tab/>
      </w:r>
    </w:p>
    <w:p w:rsidR="009C13A9" w:rsidRPr="009072DA" w:rsidRDefault="009C13A9" w:rsidP="009C13A9">
      <w:pPr>
        <w:tabs>
          <w:tab w:val="left" w:leader="dot" w:pos="9072"/>
        </w:tabs>
        <w:ind w:left="709"/>
        <w:rPr>
          <w:rFonts w:cs="Arial"/>
          <w:szCs w:val="20"/>
          <w:lang w:val="bg-BG"/>
        </w:rPr>
      </w:pPr>
      <w:r w:rsidRPr="009072DA">
        <w:rPr>
          <w:lang w:val="bg-BG"/>
        </w:rPr>
        <w:t xml:space="preserve">Място и дата: </w:t>
      </w:r>
      <w:r w:rsidRPr="009072DA">
        <w:rPr>
          <w:lang w:val="bg-BG"/>
        </w:rPr>
        <w:tab/>
      </w:r>
    </w:p>
    <w:p w:rsidR="009C13A9" w:rsidRPr="009072DA" w:rsidRDefault="009C13A9" w:rsidP="009C13A9">
      <w:pPr>
        <w:tabs>
          <w:tab w:val="left" w:leader="dot" w:pos="9072"/>
        </w:tabs>
        <w:ind w:left="709"/>
        <w:rPr>
          <w:rFonts w:cs="Arial"/>
          <w:szCs w:val="20"/>
          <w:lang w:val="bg-BG"/>
        </w:rPr>
      </w:pPr>
      <w:r w:rsidRPr="009072DA">
        <w:rPr>
          <w:lang w:val="bg-BG"/>
        </w:rPr>
        <w:t xml:space="preserve">Подпис: </w:t>
      </w:r>
      <w:r w:rsidRPr="009072DA">
        <w:rPr>
          <w:lang w:val="bg-BG"/>
        </w:rPr>
        <w:tab/>
      </w:r>
    </w:p>
    <w:p w:rsidR="009C13A9" w:rsidRPr="009072DA" w:rsidRDefault="009C13A9" w:rsidP="009C13A9">
      <w:pPr>
        <w:ind w:left="709"/>
        <w:rPr>
          <w:rFonts w:cs="Arial"/>
          <w:szCs w:val="20"/>
          <w:lang w:val="bg-BG"/>
        </w:rPr>
      </w:pPr>
    </w:p>
    <w:p w:rsidR="009C13A9" w:rsidRPr="009072DA" w:rsidRDefault="009C13A9" w:rsidP="009C13A9">
      <w:pPr>
        <w:jc w:val="right"/>
        <w:outlineLvl w:val="0"/>
        <w:rPr>
          <w:rFonts w:cs="Arial"/>
          <w:szCs w:val="20"/>
          <w:lang w:val="bg-BG"/>
        </w:rPr>
      </w:pPr>
      <w:r w:rsidRPr="009072DA">
        <w:rPr>
          <w:lang w:val="bg-BG"/>
        </w:rPr>
        <w:t>Печат на компетентния орган</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lang w:val="bg-BG"/>
        </w:rPr>
        <w:br w:type="page"/>
      </w:r>
    </w:p>
    <w:p w:rsidR="009C13A9" w:rsidRPr="009072DA" w:rsidRDefault="009C13A9" w:rsidP="009C13A9">
      <w:pPr>
        <w:suppressAutoHyphens/>
        <w:spacing w:line="240" w:lineRule="atLeast"/>
        <w:jc w:val="center"/>
        <w:rPr>
          <w:rFonts w:cs="Arial"/>
          <w:lang w:val="bg-BG"/>
        </w:rPr>
      </w:pPr>
      <w:r w:rsidRPr="009072DA">
        <w:rPr>
          <w:b/>
          <w:lang w:val="bg-BG"/>
        </w:rPr>
        <w:lastRenderedPageBreak/>
        <w:t>Допълнение 1</w:t>
      </w:r>
    </w:p>
    <w:p w:rsidR="009C13A9" w:rsidRPr="009072DA" w:rsidRDefault="009C13A9" w:rsidP="009C13A9">
      <w:pPr>
        <w:suppressAutoHyphens/>
        <w:jc w:val="center"/>
        <w:rPr>
          <w:rFonts w:cs="Arial"/>
          <w:b/>
          <w:lang w:val="bg-BG"/>
        </w:rPr>
      </w:pPr>
      <w:r w:rsidRPr="009072DA">
        <w:rPr>
          <w:b/>
          <w:lang w:val="bg-BG"/>
        </w:rPr>
        <w:t>Приложение към протокола за параметрите на бордовата станция за пречистване на отпадъчни води</w:t>
      </w:r>
    </w:p>
    <w:p w:rsidR="009C13A9" w:rsidRPr="009072DA" w:rsidRDefault="009C13A9" w:rsidP="009C13A9">
      <w:pPr>
        <w:spacing w:line="240" w:lineRule="atLeast"/>
        <w:jc w:val="center"/>
        <w:rPr>
          <w:rFonts w:cs="Arial"/>
          <w:b/>
          <w:color w:val="000000"/>
          <w:lang w:val="bg-BG"/>
        </w:rPr>
      </w:pPr>
      <w:r w:rsidRPr="009072DA">
        <w:rPr>
          <w:color w:val="000000"/>
          <w:lang w:val="bg-BG"/>
        </w:rPr>
        <w:t>(Образец)</w:t>
      </w:r>
    </w:p>
    <w:p w:rsidR="009C13A9" w:rsidRPr="009072DA" w:rsidRDefault="009C13A9" w:rsidP="009C13A9">
      <w:pPr>
        <w:spacing w:line="240" w:lineRule="atLeast"/>
        <w:rPr>
          <w:rFonts w:cs="Arial"/>
          <w:color w:val="000000"/>
          <w:lang w:val="bg-BG"/>
        </w:rPr>
      </w:pPr>
    </w:p>
    <w:tbl>
      <w:tblPr>
        <w:tblW w:w="9215" w:type="dxa"/>
        <w:jc w:val="center"/>
        <w:tblLayout w:type="fixed"/>
        <w:tblCellMar>
          <w:left w:w="70" w:type="dxa"/>
          <w:right w:w="70" w:type="dxa"/>
        </w:tblCellMar>
        <w:tblLook w:val="0000" w:firstRow="0" w:lastRow="0" w:firstColumn="0" w:lastColumn="0" w:noHBand="0" w:noVBand="0"/>
      </w:tblPr>
      <w:tblGrid>
        <w:gridCol w:w="426"/>
        <w:gridCol w:w="850"/>
        <w:gridCol w:w="284"/>
        <w:gridCol w:w="476"/>
        <w:gridCol w:w="1083"/>
        <w:gridCol w:w="43"/>
        <w:gridCol w:w="200"/>
        <w:gridCol w:w="607"/>
        <w:gridCol w:w="709"/>
        <w:gridCol w:w="634"/>
        <w:gridCol w:w="784"/>
        <w:gridCol w:w="298"/>
        <w:gridCol w:w="213"/>
        <w:gridCol w:w="265"/>
        <w:gridCol w:w="216"/>
        <w:gridCol w:w="47"/>
        <w:gridCol w:w="39"/>
        <w:gridCol w:w="1000"/>
        <w:gridCol w:w="1041"/>
      </w:tblGrid>
      <w:tr w:rsidR="009C13A9" w:rsidRPr="008D2440" w:rsidTr="009C13A9">
        <w:trPr>
          <w:cantSplit/>
          <w:jc w:val="center"/>
        </w:trPr>
        <w:tc>
          <w:tcPr>
            <w:tcW w:w="1560" w:type="dxa"/>
            <w:gridSpan w:val="3"/>
            <w:vAlign w:val="center"/>
          </w:tcPr>
          <w:p w:rsidR="009C13A9" w:rsidRPr="009072DA" w:rsidRDefault="009C13A9" w:rsidP="009C13A9">
            <w:pPr>
              <w:rPr>
                <w:szCs w:val="18"/>
                <w:lang w:val="bg-BG"/>
              </w:rPr>
            </w:pPr>
            <w:r w:rsidRPr="009072DA">
              <w:rPr>
                <w:lang w:val="bg-BG"/>
              </w:rPr>
              <w:t>Име на плавателния съд:</w:t>
            </w:r>
          </w:p>
        </w:tc>
        <w:tc>
          <w:tcPr>
            <w:tcW w:w="1802" w:type="dxa"/>
            <w:gridSpan w:val="4"/>
            <w:vAlign w:val="center"/>
          </w:tcPr>
          <w:p w:rsidR="009C13A9" w:rsidRPr="009072DA" w:rsidRDefault="009C13A9" w:rsidP="009C13A9">
            <w:pPr>
              <w:rPr>
                <w:szCs w:val="18"/>
                <w:lang w:val="bg-BG"/>
              </w:rPr>
            </w:pPr>
            <w:r w:rsidRPr="009072DA">
              <w:rPr>
                <w:lang w:val="bg-BG"/>
              </w:rPr>
              <w:t>……………………</w:t>
            </w:r>
          </w:p>
        </w:tc>
        <w:tc>
          <w:tcPr>
            <w:tcW w:w="3726" w:type="dxa"/>
            <w:gridSpan w:val="8"/>
            <w:vAlign w:val="center"/>
          </w:tcPr>
          <w:p w:rsidR="009C13A9" w:rsidRPr="009072DA" w:rsidRDefault="009C13A9" w:rsidP="006D37CC">
            <w:pPr>
              <w:rPr>
                <w:szCs w:val="18"/>
                <w:lang w:val="bg-BG"/>
              </w:rPr>
            </w:pPr>
            <w:r w:rsidRPr="009072DA">
              <w:rPr>
                <w:lang w:val="bg-BG"/>
              </w:rPr>
              <w:t>Уникален европейски идентификационен номер на плавателния съд:</w:t>
            </w:r>
          </w:p>
        </w:tc>
        <w:tc>
          <w:tcPr>
            <w:tcW w:w="2127" w:type="dxa"/>
            <w:gridSpan w:val="4"/>
            <w:vAlign w:val="center"/>
          </w:tcPr>
          <w:p w:rsidR="009C13A9" w:rsidRPr="009072DA" w:rsidRDefault="009C13A9" w:rsidP="009C13A9">
            <w:pPr>
              <w:tabs>
                <w:tab w:val="left" w:leader="dot" w:pos="1987"/>
              </w:tabs>
              <w:rPr>
                <w:szCs w:val="18"/>
                <w:lang w:val="bg-BG"/>
              </w:rPr>
            </w:pPr>
            <w:r w:rsidRPr="009072DA">
              <w:rPr>
                <w:lang w:val="bg-BG"/>
              </w:rPr>
              <w:tab/>
            </w:r>
          </w:p>
        </w:tc>
      </w:tr>
      <w:tr w:rsidR="009C13A9" w:rsidRPr="008D2440" w:rsidTr="009C13A9">
        <w:trPr>
          <w:cantSplit/>
          <w:trHeight w:hRule="exact" w:val="160"/>
          <w:jc w:val="center"/>
        </w:trPr>
        <w:tc>
          <w:tcPr>
            <w:tcW w:w="9215" w:type="dxa"/>
            <w:gridSpan w:val="19"/>
            <w:vAlign w:val="center"/>
          </w:tcPr>
          <w:p w:rsidR="009C13A9" w:rsidRPr="009072DA" w:rsidRDefault="009C13A9" w:rsidP="009C13A9">
            <w:pPr>
              <w:rPr>
                <w:lang w:val="bg-BG"/>
              </w:rPr>
            </w:pPr>
          </w:p>
        </w:tc>
      </w:tr>
      <w:tr w:rsidR="009C13A9" w:rsidRPr="008D2440" w:rsidTr="009C13A9">
        <w:trPr>
          <w:jc w:val="center"/>
        </w:trPr>
        <w:tc>
          <w:tcPr>
            <w:tcW w:w="426" w:type="dxa"/>
            <w:vAlign w:val="center"/>
          </w:tcPr>
          <w:p w:rsidR="009C13A9" w:rsidRPr="009072DA" w:rsidRDefault="009C13A9" w:rsidP="009C13A9">
            <w:pPr>
              <w:rPr>
                <w:sz w:val="18"/>
                <w:szCs w:val="18"/>
                <w:lang w:val="bg-BG"/>
              </w:rPr>
            </w:pPr>
          </w:p>
        </w:tc>
        <w:tc>
          <w:tcPr>
            <w:tcW w:w="2736" w:type="dxa"/>
            <w:gridSpan w:val="5"/>
            <w:tcBorders>
              <w:left w:val="nil"/>
            </w:tcBorders>
            <w:vAlign w:val="center"/>
          </w:tcPr>
          <w:p w:rsidR="009C13A9" w:rsidRPr="009072DA" w:rsidRDefault="009C13A9" w:rsidP="009C13A9">
            <w:pPr>
              <w:rPr>
                <w:sz w:val="18"/>
                <w:szCs w:val="18"/>
                <w:lang w:val="bg-BG"/>
              </w:rPr>
            </w:pPr>
          </w:p>
        </w:tc>
        <w:tc>
          <w:tcPr>
            <w:tcW w:w="807" w:type="dxa"/>
            <w:gridSpan w:val="2"/>
            <w:vAlign w:val="center"/>
          </w:tcPr>
          <w:p w:rsidR="009C13A9" w:rsidRPr="009072DA" w:rsidRDefault="009C13A9" w:rsidP="009C13A9">
            <w:pPr>
              <w:rPr>
                <w:lang w:val="bg-BG"/>
              </w:rPr>
            </w:pPr>
          </w:p>
        </w:tc>
        <w:tc>
          <w:tcPr>
            <w:tcW w:w="2425" w:type="dxa"/>
            <w:gridSpan w:val="4"/>
            <w:tcBorders>
              <w:left w:val="nil"/>
            </w:tcBorders>
            <w:vAlign w:val="center"/>
          </w:tcPr>
          <w:p w:rsidR="009C13A9" w:rsidRPr="009072DA" w:rsidRDefault="009C13A9" w:rsidP="009C13A9">
            <w:pPr>
              <w:rPr>
                <w:sz w:val="18"/>
                <w:szCs w:val="18"/>
                <w:lang w:val="bg-BG"/>
              </w:rPr>
            </w:pPr>
          </w:p>
        </w:tc>
        <w:tc>
          <w:tcPr>
            <w:tcW w:w="694" w:type="dxa"/>
            <w:gridSpan w:val="3"/>
            <w:vAlign w:val="center"/>
          </w:tcPr>
          <w:p w:rsidR="009C13A9" w:rsidRPr="009072DA" w:rsidRDefault="009C13A9" w:rsidP="009C13A9">
            <w:pPr>
              <w:rPr>
                <w:sz w:val="18"/>
                <w:szCs w:val="18"/>
                <w:lang w:val="bg-BG"/>
              </w:rPr>
            </w:pPr>
          </w:p>
        </w:tc>
        <w:tc>
          <w:tcPr>
            <w:tcW w:w="2127" w:type="dxa"/>
            <w:gridSpan w:val="4"/>
            <w:tcBorders>
              <w:left w:val="nil"/>
            </w:tcBorders>
            <w:vAlign w:val="center"/>
          </w:tcPr>
          <w:p w:rsidR="009C13A9" w:rsidRPr="009072DA" w:rsidRDefault="009C13A9" w:rsidP="009C13A9">
            <w:pPr>
              <w:rPr>
                <w:sz w:val="18"/>
                <w:szCs w:val="18"/>
                <w:lang w:val="bg-BG"/>
              </w:rPr>
            </w:pPr>
          </w:p>
        </w:tc>
      </w:tr>
      <w:tr w:rsidR="009C13A9" w:rsidRPr="008D2440" w:rsidTr="009C13A9">
        <w:tblPrEx>
          <w:tblCellMar>
            <w:left w:w="28" w:type="dxa"/>
            <w:right w:w="28" w:type="dxa"/>
          </w:tblCellMar>
        </w:tblPrEx>
        <w:trPr>
          <w:cantSplit/>
          <w:trHeight w:hRule="exact" w:val="160"/>
          <w:jc w:val="center"/>
        </w:trPr>
        <w:tc>
          <w:tcPr>
            <w:tcW w:w="9215" w:type="dxa"/>
            <w:gridSpan w:val="19"/>
            <w:vAlign w:val="center"/>
          </w:tcPr>
          <w:p w:rsidR="009C13A9" w:rsidRPr="009072DA" w:rsidRDefault="009C13A9" w:rsidP="009C13A9">
            <w:pPr>
              <w:rPr>
                <w:lang w:val="bg-BG"/>
              </w:rPr>
            </w:pPr>
          </w:p>
        </w:tc>
      </w:tr>
      <w:tr w:rsidR="009C13A9" w:rsidRPr="009072DA" w:rsidTr="009C13A9">
        <w:tblPrEx>
          <w:tblCellMar>
            <w:left w:w="28" w:type="dxa"/>
            <w:right w:w="28" w:type="dxa"/>
          </w:tblCellMar>
        </w:tblPrEx>
        <w:trPr>
          <w:jc w:val="center"/>
        </w:trPr>
        <w:tc>
          <w:tcPr>
            <w:tcW w:w="1276" w:type="dxa"/>
            <w:gridSpan w:val="2"/>
            <w:vAlign w:val="center"/>
          </w:tcPr>
          <w:p w:rsidR="009C13A9" w:rsidRPr="009072DA" w:rsidRDefault="009C13A9" w:rsidP="009C13A9">
            <w:pPr>
              <w:rPr>
                <w:szCs w:val="18"/>
                <w:lang w:val="bg-BG"/>
              </w:rPr>
            </w:pPr>
            <w:r w:rsidRPr="009072DA">
              <w:rPr>
                <w:lang w:val="bg-BG"/>
              </w:rPr>
              <w:t>Производител:</w:t>
            </w:r>
          </w:p>
        </w:tc>
        <w:tc>
          <w:tcPr>
            <w:tcW w:w="3402" w:type="dxa"/>
            <w:gridSpan w:val="7"/>
            <w:vAlign w:val="center"/>
          </w:tcPr>
          <w:p w:rsidR="009C13A9" w:rsidRPr="009072DA" w:rsidRDefault="009C13A9" w:rsidP="009C13A9">
            <w:pPr>
              <w:rPr>
                <w:szCs w:val="18"/>
                <w:lang w:val="bg-BG"/>
              </w:rPr>
            </w:pPr>
            <w:r w:rsidRPr="009072DA">
              <w:rPr>
                <w:lang w:val="bg-BG"/>
              </w:rPr>
              <w:t>………………………………………….</w:t>
            </w:r>
          </w:p>
        </w:tc>
        <w:tc>
          <w:tcPr>
            <w:tcW w:w="1929" w:type="dxa"/>
            <w:gridSpan w:val="4"/>
            <w:vAlign w:val="center"/>
          </w:tcPr>
          <w:p w:rsidR="009C13A9" w:rsidRPr="009072DA" w:rsidRDefault="009C13A9" w:rsidP="009C13A9">
            <w:pPr>
              <w:rPr>
                <w:szCs w:val="18"/>
                <w:lang w:val="bg-BG"/>
              </w:rPr>
            </w:pPr>
            <w:r w:rsidRPr="009072DA">
              <w:rPr>
                <w:lang w:val="bg-BG"/>
              </w:rPr>
              <w:t>Тип пречиствателна станция:</w:t>
            </w:r>
          </w:p>
        </w:tc>
        <w:tc>
          <w:tcPr>
            <w:tcW w:w="2608" w:type="dxa"/>
            <w:gridSpan w:val="6"/>
            <w:vAlign w:val="center"/>
          </w:tcPr>
          <w:p w:rsidR="009C13A9" w:rsidRPr="009072DA" w:rsidRDefault="009C13A9" w:rsidP="009C13A9">
            <w:pPr>
              <w:tabs>
                <w:tab w:val="left" w:leader="dot" w:pos="2552"/>
              </w:tabs>
              <w:rPr>
                <w:szCs w:val="18"/>
                <w:lang w:val="bg-BG"/>
              </w:rPr>
            </w:pPr>
            <w:r w:rsidRPr="009072DA">
              <w:rPr>
                <w:lang w:val="bg-BG"/>
              </w:rPr>
              <w:tab/>
            </w:r>
          </w:p>
        </w:tc>
      </w:tr>
      <w:tr w:rsidR="009C13A9" w:rsidRPr="009072DA" w:rsidTr="009C13A9">
        <w:tblPrEx>
          <w:tblCellMar>
            <w:left w:w="28" w:type="dxa"/>
            <w:right w:w="28" w:type="dxa"/>
          </w:tblCellMar>
        </w:tblPrEx>
        <w:trPr>
          <w:jc w:val="center"/>
        </w:trPr>
        <w:tc>
          <w:tcPr>
            <w:tcW w:w="1276" w:type="dxa"/>
            <w:gridSpan w:val="2"/>
            <w:vAlign w:val="center"/>
          </w:tcPr>
          <w:p w:rsidR="009C13A9" w:rsidRPr="009072DA" w:rsidRDefault="009C13A9" w:rsidP="009C13A9">
            <w:pPr>
              <w:rPr>
                <w:lang w:val="bg-BG"/>
              </w:rPr>
            </w:pPr>
          </w:p>
        </w:tc>
        <w:tc>
          <w:tcPr>
            <w:tcW w:w="3402" w:type="dxa"/>
            <w:gridSpan w:val="7"/>
            <w:tcBorders>
              <w:bottom w:val="nil"/>
            </w:tcBorders>
            <w:vAlign w:val="center"/>
          </w:tcPr>
          <w:p w:rsidR="009C13A9" w:rsidRPr="009072DA" w:rsidRDefault="009C13A9" w:rsidP="009C13A9">
            <w:pPr>
              <w:rPr>
                <w:sz w:val="12"/>
                <w:szCs w:val="12"/>
                <w:lang w:val="bg-BG"/>
              </w:rPr>
            </w:pPr>
            <w:r w:rsidRPr="009072DA">
              <w:rPr>
                <w:sz w:val="12"/>
                <w:lang w:val="bg-BG"/>
              </w:rPr>
              <w:t>(Марка/търговска марка/търговско наименование от производителя)</w:t>
            </w:r>
          </w:p>
        </w:tc>
        <w:tc>
          <w:tcPr>
            <w:tcW w:w="1929" w:type="dxa"/>
            <w:gridSpan w:val="4"/>
            <w:vAlign w:val="center"/>
          </w:tcPr>
          <w:p w:rsidR="009C13A9" w:rsidRPr="009072DA" w:rsidRDefault="009C13A9" w:rsidP="009C13A9">
            <w:pPr>
              <w:rPr>
                <w:lang w:val="bg-BG"/>
              </w:rPr>
            </w:pPr>
          </w:p>
        </w:tc>
        <w:tc>
          <w:tcPr>
            <w:tcW w:w="2608" w:type="dxa"/>
            <w:gridSpan w:val="6"/>
            <w:tcBorders>
              <w:bottom w:val="nil"/>
            </w:tcBorders>
            <w:vAlign w:val="center"/>
          </w:tcPr>
          <w:p w:rsidR="009C13A9" w:rsidRPr="009072DA" w:rsidRDefault="009C13A9" w:rsidP="009C13A9">
            <w:pPr>
              <w:rPr>
                <w:sz w:val="12"/>
                <w:szCs w:val="12"/>
                <w:lang w:val="bg-BG"/>
              </w:rPr>
            </w:pPr>
            <w:r w:rsidRPr="009072DA">
              <w:rPr>
                <w:sz w:val="12"/>
                <w:lang w:val="bg-BG"/>
              </w:rPr>
              <w:t>(Обозначение на производителя)</w:t>
            </w:r>
          </w:p>
        </w:tc>
      </w:tr>
      <w:tr w:rsidR="009C13A9" w:rsidRPr="009072DA" w:rsidTr="009C13A9">
        <w:tblPrEx>
          <w:tblCellMar>
            <w:left w:w="28" w:type="dxa"/>
            <w:right w:w="28" w:type="dxa"/>
          </w:tblCellMar>
        </w:tblPrEx>
        <w:trPr>
          <w:cantSplit/>
          <w:trHeight w:hRule="exact" w:val="160"/>
          <w:jc w:val="center"/>
        </w:trPr>
        <w:tc>
          <w:tcPr>
            <w:tcW w:w="9215" w:type="dxa"/>
            <w:gridSpan w:val="19"/>
            <w:vAlign w:val="center"/>
          </w:tcPr>
          <w:p w:rsidR="009C13A9" w:rsidRPr="009072DA" w:rsidRDefault="009C13A9" w:rsidP="009C13A9">
            <w:pPr>
              <w:rPr>
                <w:lang w:val="bg-BG"/>
              </w:rPr>
            </w:pPr>
          </w:p>
        </w:tc>
      </w:tr>
      <w:tr w:rsidR="009C13A9" w:rsidRPr="008D2440" w:rsidTr="009C13A9">
        <w:tblPrEx>
          <w:tblCellMar>
            <w:left w:w="28" w:type="dxa"/>
            <w:right w:w="28" w:type="dxa"/>
          </w:tblCellMar>
        </w:tblPrEx>
        <w:trPr>
          <w:cantSplit/>
          <w:jc w:val="center"/>
        </w:trPr>
        <w:tc>
          <w:tcPr>
            <w:tcW w:w="2036" w:type="dxa"/>
            <w:gridSpan w:val="4"/>
            <w:vAlign w:val="center"/>
          </w:tcPr>
          <w:p w:rsidR="009C13A9" w:rsidRPr="009072DA" w:rsidRDefault="009C13A9" w:rsidP="009C13A9">
            <w:pPr>
              <w:rPr>
                <w:szCs w:val="18"/>
                <w:lang w:val="bg-BG"/>
              </w:rPr>
            </w:pPr>
            <w:r w:rsidRPr="009072DA">
              <w:rPr>
                <w:lang w:val="bg-BG"/>
              </w:rPr>
              <w:t>Одобрение на типа №:</w:t>
            </w:r>
          </w:p>
        </w:tc>
        <w:tc>
          <w:tcPr>
            <w:tcW w:w="3276" w:type="dxa"/>
            <w:gridSpan w:val="6"/>
            <w:vAlign w:val="center"/>
          </w:tcPr>
          <w:p w:rsidR="009C13A9" w:rsidRPr="009072DA" w:rsidRDefault="009C13A9" w:rsidP="009C13A9">
            <w:pPr>
              <w:rPr>
                <w:szCs w:val="18"/>
                <w:lang w:val="bg-BG"/>
              </w:rPr>
            </w:pPr>
            <w:r w:rsidRPr="009072DA">
              <w:rPr>
                <w:lang w:val="bg-BG"/>
              </w:rPr>
              <w:t>………………………………………..</w:t>
            </w:r>
          </w:p>
        </w:tc>
        <w:tc>
          <w:tcPr>
            <w:tcW w:w="1862" w:type="dxa"/>
            <w:gridSpan w:val="7"/>
            <w:vAlign w:val="center"/>
          </w:tcPr>
          <w:p w:rsidR="009C13A9" w:rsidRPr="009072DA" w:rsidRDefault="009C13A9" w:rsidP="009C13A9">
            <w:pPr>
              <w:rPr>
                <w:szCs w:val="18"/>
                <w:lang w:val="bg-BG"/>
              </w:rPr>
            </w:pPr>
            <w:r w:rsidRPr="009072DA">
              <w:rPr>
                <w:lang w:val="bg-BG"/>
              </w:rPr>
              <w:t>Година на производство на бордовата станция за пречистване на отпадъчни води:</w:t>
            </w:r>
          </w:p>
        </w:tc>
        <w:tc>
          <w:tcPr>
            <w:tcW w:w="2041" w:type="dxa"/>
            <w:gridSpan w:val="2"/>
            <w:vAlign w:val="center"/>
          </w:tcPr>
          <w:p w:rsidR="009C13A9" w:rsidRPr="009072DA" w:rsidRDefault="009C13A9" w:rsidP="009C13A9">
            <w:pPr>
              <w:tabs>
                <w:tab w:val="left" w:leader="dot" w:pos="1942"/>
              </w:tabs>
              <w:rPr>
                <w:szCs w:val="18"/>
                <w:lang w:val="bg-BG"/>
              </w:rPr>
            </w:pPr>
            <w:r w:rsidRPr="009072DA">
              <w:rPr>
                <w:lang w:val="bg-BG"/>
              </w:rPr>
              <w:tab/>
            </w:r>
          </w:p>
        </w:tc>
      </w:tr>
      <w:tr w:rsidR="009C13A9" w:rsidRPr="008D2440" w:rsidTr="009C13A9">
        <w:tblPrEx>
          <w:tblCellMar>
            <w:left w:w="28" w:type="dxa"/>
            <w:right w:w="28" w:type="dxa"/>
          </w:tblCellMar>
        </w:tblPrEx>
        <w:trPr>
          <w:cantSplit/>
          <w:trHeight w:hRule="exact" w:val="160"/>
          <w:jc w:val="center"/>
        </w:trPr>
        <w:tc>
          <w:tcPr>
            <w:tcW w:w="9215" w:type="dxa"/>
            <w:gridSpan w:val="19"/>
            <w:vAlign w:val="center"/>
          </w:tcPr>
          <w:p w:rsidR="009C13A9" w:rsidRPr="009072DA" w:rsidRDefault="009C13A9" w:rsidP="009C13A9">
            <w:pPr>
              <w:rPr>
                <w:lang w:val="bg-BG"/>
              </w:rPr>
            </w:pPr>
          </w:p>
        </w:tc>
      </w:tr>
      <w:tr w:rsidR="009C13A9" w:rsidRPr="009072DA" w:rsidTr="009C13A9">
        <w:tblPrEx>
          <w:tblCellMar>
            <w:left w:w="28" w:type="dxa"/>
            <w:right w:w="28" w:type="dxa"/>
          </w:tblCellMar>
        </w:tblPrEx>
        <w:trPr>
          <w:cantSplit/>
          <w:jc w:val="center"/>
        </w:trPr>
        <w:tc>
          <w:tcPr>
            <w:tcW w:w="2036" w:type="dxa"/>
            <w:gridSpan w:val="4"/>
            <w:vAlign w:val="center"/>
          </w:tcPr>
          <w:p w:rsidR="009C13A9" w:rsidRPr="009072DA" w:rsidRDefault="009C13A9" w:rsidP="00433D99">
            <w:pPr>
              <w:rPr>
                <w:szCs w:val="18"/>
                <w:lang w:val="bg-BG"/>
              </w:rPr>
            </w:pPr>
            <w:r w:rsidRPr="009072DA">
              <w:rPr>
                <w:lang w:val="bg-BG"/>
              </w:rPr>
              <w:t>Сериен номер на бордовата станция за пречистване на отпадъчни води:</w:t>
            </w:r>
          </w:p>
        </w:tc>
        <w:tc>
          <w:tcPr>
            <w:tcW w:w="3276" w:type="dxa"/>
            <w:gridSpan w:val="6"/>
            <w:vAlign w:val="center"/>
          </w:tcPr>
          <w:p w:rsidR="009C13A9" w:rsidRPr="009072DA" w:rsidRDefault="009C13A9" w:rsidP="009C13A9">
            <w:pPr>
              <w:rPr>
                <w:szCs w:val="18"/>
                <w:lang w:val="bg-BG"/>
              </w:rPr>
            </w:pPr>
            <w:r w:rsidRPr="009072DA">
              <w:rPr>
                <w:lang w:val="bg-BG"/>
              </w:rPr>
              <w:t>………………………………………..</w:t>
            </w:r>
          </w:p>
        </w:tc>
        <w:tc>
          <w:tcPr>
            <w:tcW w:w="1560" w:type="dxa"/>
            <w:gridSpan w:val="4"/>
            <w:vAlign w:val="center"/>
          </w:tcPr>
          <w:p w:rsidR="009C13A9" w:rsidRPr="009072DA" w:rsidRDefault="009C13A9" w:rsidP="009C13A9">
            <w:pPr>
              <w:rPr>
                <w:szCs w:val="18"/>
                <w:lang w:val="bg-BG"/>
              </w:rPr>
            </w:pPr>
            <w:r w:rsidRPr="009072DA">
              <w:rPr>
                <w:lang w:val="bg-BG"/>
              </w:rPr>
              <w:t>Място на инсталиране:</w:t>
            </w:r>
          </w:p>
        </w:tc>
        <w:tc>
          <w:tcPr>
            <w:tcW w:w="2343" w:type="dxa"/>
            <w:gridSpan w:val="5"/>
            <w:vAlign w:val="center"/>
          </w:tcPr>
          <w:p w:rsidR="009C13A9" w:rsidRPr="009072DA" w:rsidRDefault="009C13A9" w:rsidP="009C13A9">
            <w:pPr>
              <w:tabs>
                <w:tab w:val="left" w:leader="dot" w:pos="2244"/>
              </w:tabs>
              <w:rPr>
                <w:szCs w:val="18"/>
                <w:lang w:val="bg-BG"/>
              </w:rPr>
            </w:pPr>
            <w:r w:rsidRPr="009072DA">
              <w:rPr>
                <w:lang w:val="bg-BG"/>
              </w:rPr>
              <w:tab/>
            </w:r>
          </w:p>
        </w:tc>
      </w:tr>
      <w:tr w:rsidR="009C13A9" w:rsidRPr="009072DA" w:rsidTr="009C13A9">
        <w:tblPrEx>
          <w:tblCellMar>
            <w:left w:w="28" w:type="dxa"/>
            <w:right w:w="28" w:type="dxa"/>
          </w:tblCellMar>
        </w:tblPrEx>
        <w:trPr>
          <w:cantSplit/>
          <w:jc w:val="center"/>
        </w:trPr>
        <w:tc>
          <w:tcPr>
            <w:tcW w:w="2036" w:type="dxa"/>
            <w:gridSpan w:val="4"/>
            <w:vAlign w:val="center"/>
          </w:tcPr>
          <w:p w:rsidR="009C13A9" w:rsidRPr="009072DA" w:rsidRDefault="009C13A9" w:rsidP="009C13A9">
            <w:pPr>
              <w:rPr>
                <w:lang w:val="bg-BG"/>
              </w:rPr>
            </w:pPr>
          </w:p>
        </w:tc>
        <w:tc>
          <w:tcPr>
            <w:tcW w:w="7179" w:type="dxa"/>
            <w:gridSpan w:val="15"/>
            <w:tcBorders>
              <w:bottom w:val="nil"/>
            </w:tcBorders>
            <w:vAlign w:val="center"/>
          </w:tcPr>
          <w:p w:rsidR="009C13A9" w:rsidRPr="009072DA" w:rsidRDefault="009C13A9" w:rsidP="009C13A9">
            <w:pPr>
              <w:rPr>
                <w:sz w:val="12"/>
                <w:szCs w:val="12"/>
                <w:lang w:val="bg-BG"/>
              </w:rPr>
            </w:pPr>
            <w:r w:rsidRPr="009072DA">
              <w:rPr>
                <w:sz w:val="12"/>
                <w:lang w:val="bg-BG"/>
              </w:rPr>
              <w:t xml:space="preserve"> (сериен номер)</w:t>
            </w:r>
          </w:p>
        </w:tc>
      </w:tr>
      <w:tr w:rsidR="009C13A9" w:rsidRPr="009072DA" w:rsidTr="009C13A9">
        <w:tblPrEx>
          <w:tblCellMar>
            <w:left w:w="28" w:type="dxa"/>
            <w:right w:w="28" w:type="dxa"/>
          </w:tblCellMar>
        </w:tblPrEx>
        <w:trPr>
          <w:cantSplit/>
          <w:trHeight w:hRule="exact" w:val="160"/>
          <w:jc w:val="center"/>
        </w:trPr>
        <w:tc>
          <w:tcPr>
            <w:tcW w:w="9215" w:type="dxa"/>
            <w:gridSpan w:val="19"/>
            <w:vAlign w:val="center"/>
          </w:tcPr>
          <w:p w:rsidR="009C13A9" w:rsidRPr="009072DA" w:rsidRDefault="009C13A9" w:rsidP="009C13A9">
            <w:pPr>
              <w:rPr>
                <w:lang w:val="bg-BG"/>
              </w:rPr>
            </w:pPr>
          </w:p>
        </w:tc>
      </w:tr>
      <w:tr w:rsidR="009C13A9" w:rsidRPr="008D2440" w:rsidTr="009C13A9">
        <w:tblPrEx>
          <w:tblCellMar>
            <w:left w:w="28" w:type="dxa"/>
            <w:right w:w="28" w:type="dxa"/>
          </w:tblCellMar>
        </w:tblPrEx>
        <w:trPr>
          <w:cantSplit/>
          <w:jc w:val="center"/>
        </w:trPr>
        <w:tc>
          <w:tcPr>
            <w:tcW w:w="9215" w:type="dxa"/>
            <w:gridSpan w:val="19"/>
            <w:vAlign w:val="center"/>
          </w:tcPr>
          <w:p w:rsidR="009C13A9" w:rsidRPr="009072DA" w:rsidRDefault="009C13A9" w:rsidP="00E43E4C">
            <w:pPr>
              <w:rPr>
                <w:szCs w:val="20"/>
                <w:lang w:val="bg-BG"/>
              </w:rPr>
            </w:pPr>
            <w:r w:rsidRPr="009072DA">
              <w:rPr>
                <w:lang w:val="bg-BG"/>
              </w:rPr>
              <w:t xml:space="preserve">Бордовата станция за пречистване на отпадъчни води и компонентите ѝ, свързани с пречистването, бяха идентифицирани от табелката с данни. Изпитването е проведено въз основа на ръководството на производителя за проверка на компонентите и параметрите на пречиствателната станция, свързани с пречистването на отпадъчни води. </w:t>
            </w:r>
          </w:p>
        </w:tc>
      </w:tr>
      <w:tr w:rsidR="009C13A9" w:rsidRPr="008D2440" w:rsidTr="009C13A9">
        <w:tblPrEx>
          <w:tblCellMar>
            <w:left w:w="28" w:type="dxa"/>
            <w:right w:w="28" w:type="dxa"/>
          </w:tblCellMar>
        </w:tblPrEx>
        <w:trPr>
          <w:cantSplit/>
          <w:jc w:val="center"/>
        </w:trPr>
        <w:tc>
          <w:tcPr>
            <w:tcW w:w="9215" w:type="dxa"/>
            <w:gridSpan w:val="19"/>
            <w:vAlign w:val="center"/>
          </w:tcPr>
          <w:p w:rsidR="009C13A9" w:rsidRPr="009072DA" w:rsidRDefault="009C13A9" w:rsidP="009C13A9">
            <w:pPr>
              <w:rPr>
                <w:szCs w:val="20"/>
                <w:lang w:val="bg-BG"/>
              </w:rPr>
            </w:pPr>
          </w:p>
        </w:tc>
      </w:tr>
      <w:tr w:rsidR="009C13A9" w:rsidRPr="008D2440" w:rsidTr="009C13A9">
        <w:trPr>
          <w:cantSplit/>
          <w:jc w:val="center"/>
        </w:trPr>
        <w:tc>
          <w:tcPr>
            <w:tcW w:w="9215" w:type="dxa"/>
            <w:gridSpan w:val="19"/>
            <w:vAlign w:val="center"/>
          </w:tcPr>
          <w:p w:rsidR="009C13A9" w:rsidRPr="009072DA" w:rsidRDefault="009C13A9" w:rsidP="009C13A9">
            <w:pPr>
              <w:rPr>
                <w:b/>
                <w:szCs w:val="20"/>
                <w:lang w:val="bg-BG"/>
              </w:rPr>
            </w:pPr>
            <w:r w:rsidRPr="009072DA">
              <w:rPr>
                <w:b/>
                <w:lang w:val="bg-BG"/>
              </w:rPr>
              <w:lastRenderedPageBreak/>
              <w:t>A.</w:t>
            </w:r>
            <w:r w:rsidRPr="009072DA">
              <w:rPr>
                <w:lang w:val="bg-BG"/>
              </w:rPr>
              <w:tab/>
            </w:r>
            <w:r w:rsidRPr="009072DA">
              <w:rPr>
                <w:b/>
                <w:lang w:val="bg-BG"/>
              </w:rPr>
              <w:t>Изпитване на компоненти</w:t>
            </w:r>
          </w:p>
          <w:p w:rsidR="009C13A9" w:rsidRPr="009072DA" w:rsidRDefault="009C13A9" w:rsidP="009C13A9">
            <w:pPr>
              <w:ind w:firstLine="3"/>
              <w:rPr>
                <w:szCs w:val="20"/>
                <w:lang w:val="bg-BG"/>
              </w:rPr>
            </w:pPr>
          </w:p>
          <w:p w:rsidR="009C13A9" w:rsidRPr="009072DA" w:rsidRDefault="009C13A9" w:rsidP="009C13A9">
            <w:pPr>
              <w:ind w:firstLine="3"/>
              <w:rPr>
                <w:szCs w:val="20"/>
                <w:lang w:val="bg-BG"/>
              </w:rPr>
            </w:pPr>
            <w:r w:rsidRPr="009072DA">
              <w:rPr>
                <w:lang w:val="bg-BG"/>
              </w:rPr>
              <w:t>Тук се въвеждат допълнителните компоненти, свързани с пречистването, които са изброени в ръководството на производителя за проверка на компонентите и параметрите на пречиствателната станция, свързани с пречистването на отпадъчните води, или в раздел II от допълнение 4.</w:t>
            </w:r>
          </w:p>
          <w:p w:rsidR="009C13A9" w:rsidRPr="009072DA" w:rsidRDefault="009C13A9" w:rsidP="009C13A9">
            <w:pPr>
              <w:rPr>
                <w:szCs w:val="20"/>
                <w:lang w:val="bg-BG"/>
              </w:rPr>
            </w:pPr>
          </w:p>
        </w:tc>
      </w:tr>
      <w:tr w:rsidR="009C13A9" w:rsidRPr="009072DA" w:rsidTr="009C13A9">
        <w:trPr>
          <w:jc w:val="center"/>
        </w:trPr>
        <w:tc>
          <w:tcPr>
            <w:tcW w:w="426" w:type="dxa"/>
            <w:tcBorders>
              <w:right w:val="single" w:sz="4" w:space="0" w:color="auto"/>
            </w:tcBorders>
            <w:vAlign w:val="center"/>
          </w:tcPr>
          <w:p w:rsidR="009C13A9" w:rsidRPr="009072DA" w:rsidRDefault="009C13A9" w:rsidP="009C13A9">
            <w:pPr>
              <w:spacing w:before="60" w:after="60" w:line="240" w:lineRule="atLeast"/>
              <w:rPr>
                <w:sz w:val="18"/>
                <w:szCs w:val="18"/>
                <w:lang w:val="bg-BG"/>
              </w:rPr>
            </w:pPr>
          </w:p>
        </w:tc>
        <w:tc>
          <w:tcPr>
            <w:tcW w:w="2693" w:type="dxa"/>
            <w:gridSpan w:val="4"/>
            <w:tcBorders>
              <w:top w:val="single" w:sz="4" w:space="0" w:color="auto"/>
              <w:left w:val="nil"/>
              <w:bottom w:val="single" w:sz="4" w:space="0" w:color="auto"/>
              <w:right w:val="single" w:sz="4" w:space="0" w:color="auto"/>
            </w:tcBorders>
            <w:vAlign w:val="center"/>
          </w:tcPr>
          <w:p w:rsidR="009C13A9" w:rsidRPr="009072DA" w:rsidRDefault="009C13A9" w:rsidP="009C13A9">
            <w:pPr>
              <w:spacing w:before="60" w:after="60" w:line="240" w:lineRule="atLeast"/>
              <w:jc w:val="center"/>
              <w:rPr>
                <w:sz w:val="18"/>
                <w:szCs w:val="18"/>
                <w:lang w:val="bg-BG"/>
              </w:rPr>
            </w:pPr>
            <w:r w:rsidRPr="009072DA">
              <w:rPr>
                <w:sz w:val="18"/>
                <w:lang w:val="bg-BG"/>
              </w:rPr>
              <w:t>Компонент</w:t>
            </w:r>
          </w:p>
        </w:tc>
        <w:tc>
          <w:tcPr>
            <w:tcW w:w="2977" w:type="dxa"/>
            <w:gridSpan w:val="6"/>
            <w:tcBorders>
              <w:top w:val="single" w:sz="4" w:space="0" w:color="auto"/>
              <w:left w:val="nil"/>
              <w:bottom w:val="single" w:sz="4" w:space="0" w:color="auto"/>
              <w:right w:val="single" w:sz="4" w:space="0" w:color="auto"/>
            </w:tcBorders>
            <w:vAlign w:val="center"/>
          </w:tcPr>
          <w:p w:rsidR="009C13A9" w:rsidRPr="009072DA" w:rsidRDefault="009C13A9" w:rsidP="009C13A9">
            <w:pPr>
              <w:spacing w:before="60" w:after="60" w:line="240" w:lineRule="atLeast"/>
              <w:jc w:val="center"/>
              <w:rPr>
                <w:bCs/>
                <w:sz w:val="18"/>
                <w:szCs w:val="18"/>
                <w:lang w:val="bg-BG"/>
              </w:rPr>
            </w:pPr>
            <w:r w:rsidRPr="009072DA">
              <w:rPr>
                <w:sz w:val="18"/>
                <w:lang w:val="bg-BG"/>
              </w:rPr>
              <w:t>Установен номер на компонента</w:t>
            </w:r>
          </w:p>
        </w:tc>
        <w:tc>
          <w:tcPr>
            <w:tcW w:w="3119" w:type="dxa"/>
            <w:gridSpan w:val="8"/>
            <w:tcBorders>
              <w:top w:val="single" w:sz="4" w:space="0" w:color="auto"/>
              <w:left w:val="nil"/>
              <w:bottom w:val="single" w:sz="4" w:space="0" w:color="auto"/>
              <w:right w:val="single" w:sz="4" w:space="0" w:color="auto"/>
            </w:tcBorders>
            <w:vAlign w:val="center"/>
          </w:tcPr>
          <w:p w:rsidR="009C13A9" w:rsidRPr="009072DA" w:rsidRDefault="009C13A9" w:rsidP="009C13A9">
            <w:pPr>
              <w:spacing w:before="60" w:after="60" w:line="240" w:lineRule="atLeast"/>
              <w:jc w:val="center"/>
              <w:rPr>
                <w:b/>
                <w:sz w:val="18"/>
                <w:szCs w:val="18"/>
                <w:lang w:val="bg-BG"/>
              </w:rPr>
            </w:pPr>
            <w:r w:rsidRPr="009072DA">
              <w:rPr>
                <w:sz w:val="18"/>
                <w:lang w:val="bg-BG"/>
              </w:rPr>
              <w:t>Съответствие</w:t>
            </w:r>
            <w:r w:rsidRPr="009072DA">
              <w:rPr>
                <w:vertAlign w:val="superscript"/>
                <w:lang w:val="bg-BG"/>
              </w:rPr>
              <w:footnoteReference w:id="73"/>
            </w:r>
          </w:p>
        </w:tc>
      </w:tr>
      <w:tr w:rsidR="009C13A9" w:rsidRPr="009072DA"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9072DA" w:rsidRDefault="009C13A9" w:rsidP="009C13A9">
            <w:pPr>
              <w:spacing w:before="60" w:after="60" w:line="240" w:lineRule="atLeast"/>
              <w:rPr>
                <w:sz w:val="18"/>
                <w:szCs w:val="18"/>
                <w:lang w:val="bg-BG"/>
              </w:rPr>
            </w:pPr>
          </w:p>
        </w:tc>
        <w:tc>
          <w:tcPr>
            <w:tcW w:w="2693" w:type="dxa"/>
            <w:gridSpan w:val="4"/>
            <w:tcBorders>
              <w:top w:val="nil"/>
              <w:left w:val="nil"/>
            </w:tcBorders>
            <w:vAlign w:val="center"/>
          </w:tcPr>
          <w:p w:rsidR="009C13A9" w:rsidRPr="009072DA" w:rsidRDefault="009C13A9" w:rsidP="009C13A9">
            <w:pPr>
              <w:spacing w:before="60" w:after="60" w:line="240" w:lineRule="atLeast"/>
              <w:rPr>
                <w:sz w:val="18"/>
                <w:szCs w:val="18"/>
                <w:lang w:val="bg-BG"/>
              </w:rPr>
            </w:pPr>
          </w:p>
        </w:tc>
        <w:tc>
          <w:tcPr>
            <w:tcW w:w="2977" w:type="dxa"/>
            <w:gridSpan w:val="6"/>
            <w:tcBorders>
              <w:top w:val="nil"/>
            </w:tcBorders>
            <w:vAlign w:val="center"/>
          </w:tcPr>
          <w:p w:rsidR="009C13A9" w:rsidRPr="009072DA" w:rsidRDefault="009C13A9" w:rsidP="009C13A9">
            <w:pPr>
              <w:spacing w:before="60" w:after="60" w:line="240" w:lineRule="atLeast"/>
              <w:rPr>
                <w:sz w:val="18"/>
                <w:szCs w:val="18"/>
                <w:lang w:val="bg-BG"/>
              </w:rPr>
            </w:pPr>
          </w:p>
        </w:tc>
        <w:tc>
          <w:tcPr>
            <w:tcW w:w="1039" w:type="dxa"/>
            <w:gridSpan w:val="5"/>
            <w:tcBorders>
              <w:righ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1"/>
                  <w:enabled/>
                  <w:calcOnExit w:val="0"/>
                  <w:checkBox>
                    <w:size w:val="20"/>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Да</w:t>
            </w:r>
          </w:p>
        </w:tc>
        <w:tc>
          <w:tcPr>
            <w:tcW w:w="1039" w:type="dxa"/>
            <w:gridSpan w:val="2"/>
            <w:tcBorders>
              <w:left w:val="nil"/>
              <w:righ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5"/>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w:t>
            </w:r>
          </w:p>
        </w:tc>
        <w:tc>
          <w:tcPr>
            <w:tcW w:w="1041" w:type="dxa"/>
            <w:tcBorders>
              <w:lef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6"/>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Неприложимо</w:t>
            </w:r>
          </w:p>
        </w:tc>
      </w:tr>
      <w:tr w:rsidR="009C13A9" w:rsidRPr="009072DA"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9072DA" w:rsidRDefault="009C13A9" w:rsidP="009C13A9">
            <w:pPr>
              <w:spacing w:before="60" w:after="60" w:line="240" w:lineRule="atLeast"/>
              <w:rPr>
                <w:sz w:val="18"/>
                <w:szCs w:val="18"/>
                <w:lang w:val="bg-BG"/>
              </w:rPr>
            </w:pPr>
          </w:p>
        </w:tc>
        <w:tc>
          <w:tcPr>
            <w:tcW w:w="2693" w:type="dxa"/>
            <w:gridSpan w:val="4"/>
            <w:tcBorders>
              <w:left w:val="nil"/>
            </w:tcBorders>
            <w:vAlign w:val="center"/>
          </w:tcPr>
          <w:p w:rsidR="009C13A9" w:rsidRPr="009072DA" w:rsidRDefault="009C13A9" w:rsidP="009C13A9">
            <w:pPr>
              <w:spacing w:before="60" w:after="60" w:line="240" w:lineRule="atLeast"/>
              <w:rPr>
                <w:sz w:val="18"/>
                <w:szCs w:val="18"/>
                <w:lang w:val="bg-BG"/>
              </w:rPr>
            </w:pPr>
          </w:p>
        </w:tc>
        <w:tc>
          <w:tcPr>
            <w:tcW w:w="2977" w:type="dxa"/>
            <w:gridSpan w:val="6"/>
            <w:vAlign w:val="center"/>
          </w:tcPr>
          <w:p w:rsidR="009C13A9" w:rsidRPr="009072DA" w:rsidRDefault="009C13A9" w:rsidP="009C13A9">
            <w:pPr>
              <w:spacing w:before="60" w:after="60" w:line="240" w:lineRule="atLeast"/>
              <w:rPr>
                <w:sz w:val="18"/>
                <w:szCs w:val="18"/>
                <w:lang w:val="bg-BG"/>
              </w:rPr>
            </w:pPr>
          </w:p>
        </w:tc>
        <w:tc>
          <w:tcPr>
            <w:tcW w:w="1039" w:type="dxa"/>
            <w:gridSpan w:val="5"/>
            <w:tcBorders>
              <w:righ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7"/>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Да</w:t>
            </w:r>
          </w:p>
        </w:tc>
        <w:tc>
          <w:tcPr>
            <w:tcW w:w="1039" w:type="dxa"/>
            <w:gridSpan w:val="2"/>
            <w:tcBorders>
              <w:left w:val="nil"/>
              <w:righ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8"/>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w:t>
            </w:r>
          </w:p>
        </w:tc>
        <w:tc>
          <w:tcPr>
            <w:tcW w:w="1041" w:type="dxa"/>
            <w:tcBorders>
              <w:lef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9"/>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Неприложимо</w:t>
            </w:r>
          </w:p>
        </w:tc>
      </w:tr>
      <w:tr w:rsidR="009C13A9" w:rsidRPr="009072DA"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9072DA" w:rsidRDefault="009C13A9" w:rsidP="009C13A9">
            <w:pPr>
              <w:spacing w:before="60" w:after="60" w:line="240" w:lineRule="atLeast"/>
              <w:rPr>
                <w:sz w:val="18"/>
                <w:szCs w:val="18"/>
                <w:lang w:val="bg-BG"/>
              </w:rPr>
            </w:pPr>
          </w:p>
        </w:tc>
        <w:tc>
          <w:tcPr>
            <w:tcW w:w="2693" w:type="dxa"/>
            <w:gridSpan w:val="4"/>
            <w:tcBorders>
              <w:left w:val="nil"/>
            </w:tcBorders>
            <w:vAlign w:val="center"/>
          </w:tcPr>
          <w:p w:rsidR="009C13A9" w:rsidRPr="009072DA" w:rsidRDefault="009C13A9" w:rsidP="009C13A9">
            <w:pPr>
              <w:spacing w:before="60" w:after="60" w:line="240" w:lineRule="atLeast"/>
              <w:rPr>
                <w:sz w:val="18"/>
                <w:szCs w:val="18"/>
                <w:lang w:val="bg-BG"/>
              </w:rPr>
            </w:pPr>
          </w:p>
        </w:tc>
        <w:tc>
          <w:tcPr>
            <w:tcW w:w="2977" w:type="dxa"/>
            <w:gridSpan w:val="6"/>
            <w:vAlign w:val="center"/>
          </w:tcPr>
          <w:p w:rsidR="009C13A9" w:rsidRPr="009072DA" w:rsidRDefault="009C13A9" w:rsidP="009C13A9">
            <w:pPr>
              <w:spacing w:before="60" w:after="60" w:line="240" w:lineRule="atLeast"/>
              <w:rPr>
                <w:sz w:val="18"/>
                <w:szCs w:val="18"/>
                <w:lang w:val="bg-BG"/>
              </w:rPr>
            </w:pPr>
          </w:p>
        </w:tc>
        <w:tc>
          <w:tcPr>
            <w:tcW w:w="1039" w:type="dxa"/>
            <w:gridSpan w:val="5"/>
            <w:tcBorders>
              <w:righ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7"/>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Да</w:t>
            </w:r>
          </w:p>
        </w:tc>
        <w:tc>
          <w:tcPr>
            <w:tcW w:w="1039" w:type="dxa"/>
            <w:gridSpan w:val="2"/>
            <w:tcBorders>
              <w:left w:val="nil"/>
              <w:righ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8"/>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w:t>
            </w:r>
          </w:p>
        </w:tc>
        <w:tc>
          <w:tcPr>
            <w:tcW w:w="1041" w:type="dxa"/>
            <w:tcBorders>
              <w:lef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9"/>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Неприложимо</w:t>
            </w:r>
          </w:p>
        </w:tc>
      </w:tr>
      <w:tr w:rsidR="009C13A9" w:rsidRPr="009072DA"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9072DA" w:rsidRDefault="009C13A9" w:rsidP="009C13A9">
            <w:pPr>
              <w:spacing w:before="60" w:after="60" w:line="240" w:lineRule="atLeast"/>
              <w:rPr>
                <w:sz w:val="18"/>
                <w:szCs w:val="18"/>
                <w:lang w:val="bg-BG"/>
              </w:rPr>
            </w:pPr>
          </w:p>
        </w:tc>
        <w:tc>
          <w:tcPr>
            <w:tcW w:w="2693" w:type="dxa"/>
            <w:gridSpan w:val="4"/>
            <w:tcBorders>
              <w:left w:val="nil"/>
            </w:tcBorders>
            <w:vAlign w:val="center"/>
          </w:tcPr>
          <w:p w:rsidR="009C13A9" w:rsidRPr="009072DA" w:rsidRDefault="009C13A9" w:rsidP="009C13A9">
            <w:pPr>
              <w:spacing w:before="60" w:after="60" w:line="240" w:lineRule="atLeast"/>
              <w:rPr>
                <w:sz w:val="18"/>
                <w:szCs w:val="18"/>
                <w:lang w:val="bg-BG"/>
              </w:rPr>
            </w:pPr>
          </w:p>
        </w:tc>
        <w:tc>
          <w:tcPr>
            <w:tcW w:w="2977" w:type="dxa"/>
            <w:gridSpan w:val="6"/>
            <w:vAlign w:val="center"/>
          </w:tcPr>
          <w:p w:rsidR="009C13A9" w:rsidRPr="009072DA" w:rsidRDefault="009C13A9" w:rsidP="009C13A9">
            <w:pPr>
              <w:spacing w:before="60" w:after="60" w:line="240" w:lineRule="atLeast"/>
              <w:rPr>
                <w:sz w:val="18"/>
                <w:szCs w:val="18"/>
                <w:lang w:val="bg-BG"/>
              </w:rPr>
            </w:pPr>
          </w:p>
        </w:tc>
        <w:tc>
          <w:tcPr>
            <w:tcW w:w="1039" w:type="dxa"/>
            <w:gridSpan w:val="5"/>
            <w:tcBorders>
              <w:righ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7"/>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Да</w:t>
            </w:r>
          </w:p>
        </w:tc>
        <w:tc>
          <w:tcPr>
            <w:tcW w:w="1039" w:type="dxa"/>
            <w:gridSpan w:val="2"/>
            <w:tcBorders>
              <w:left w:val="nil"/>
              <w:righ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8"/>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w:t>
            </w:r>
          </w:p>
        </w:tc>
        <w:tc>
          <w:tcPr>
            <w:tcW w:w="1041" w:type="dxa"/>
            <w:tcBorders>
              <w:lef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9"/>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Неприложимо</w:t>
            </w:r>
          </w:p>
        </w:tc>
      </w:tr>
      <w:tr w:rsidR="009C13A9" w:rsidRPr="009072DA"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9072DA" w:rsidRDefault="009C13A9" w:rsidP="009C13A9">
            <w:pPr>
              <w:spacing w:before="60" w:after="60" w:line="240" w:lineRule="atLeast"/>
              <w:rPr>
                <w:sz w:val="18"/>
                <w:szCs w:val="18"/>
                <w:lang w:val="bg-BG"/>
              </w:rPr>
            </w:pPr>
          </w:p>
        </w:tc>
        <w:tc>
          <w:tcPr>
            <w:tcW w:w="2693" w:type="dxa"/>
            <w:gridSpan w:val="4"/>
            <w:tcBorders>
              <w:left w:val="nil"/>
            </w:tcBorders>
            <w:vAlign w:val="center"/>
          </w:tcPr>
          <w:p w:rsidR="009C13A9" w:rsidRPr="009072DA" w:rsidRDefault="009C13A9" w:rsidP="009C13A9">
            <w:pPr>
              <w:spacing w:before="60" w:after="60" w:line="240" w:lineRule="atLeast"/>
              <w:rPr>
                <w:sz w:val="18"/>
                <w:szCs w:val="18"/>
                <w:lang w:val="bg-BG"/>
              </w:rPr>
            </w:pPr>
          </w:p>
        </w:tc>
        <w:tc>
          <w:tcPr>
            <w:tcW w:w="2977" w:type="dxa"/>
            <w:gridSpan w:val="6"/>
            <w:vAlign w:val="center"/>
          </w:tcPr>
          <w:p w:rsidR="009C13A9" w:rsidRPr="009072DA" w:rsidRDefault="009C13A9" w:rsidP="009C13A9">
            <w:pPr>
              <w:spacing w:before="60" w:after="60" w:line="240" w:lineRule="atLeast"/>
              <w:rPr>
                <w:sz w:val="18"/>
                <w:szCs w:val="18"/>
                <w:lang w:val="bg-BG"/>
              </w:rPr>
            </w:pPr>
          </w:p>
        </w:tc>
        <w:tc>
          <w:tcPr>
            <w:tcW w:w="1039" w:type="dxa"/>
            <w:gridSpan w:val="5"/>
            <w:tcBorders>
              <w:righ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13"/>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Да</w:t>
            </w:r>
          </w:p>
        </w:tc>
        <w:tc>
          <w:tcPr>
            <w:tcW w:w="1039" w:type="dxa"/>
            <w:gridSpan w:val="2"/>
            <w:tcBorders>
              <w:left w:val="nil"/>
              <w:righ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14"/>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w:t>
            </w:r>
          </w:p>
        </w:tc>
        <w:tc>
          <w:tcPr>
            <w:tcW w:w="1041" w:type="dxa"/>
            <w:tcBorders>
              <w:lef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15"/>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Неприложимо</w:t>
            </w:r>
          </w:p>
        </w:tc>
      </w:tr>
      <w:tr w:rsidR="009C13A9" w:rsidRPr="009072DA"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9C13A9" w:rsidRPr="009072DA" w:rsidRDefault="009C13A9" w:rsidP="009C13A9">
            <w:pPr>
              <w:spacing w:before="60" w:after="60" w:line="240" w:lineRule="atLeast"/>
              <w:rPr>
                <w:sz w:val="18"/>
                <w:szCs w:val="18"/>
                <w:lang w:val="bg-BG"/>
              </w:rPr>
            </w:pPr>
          </w:p>
        </w:tc>
        <w:tc>
          <w:tcPr>
            <w:tcW w:w="2693" w:type="dxa"/>
            <w:gridSpan w:val="4"/>
            <w:tcBorders>
              <w:left w:val="nil"/>
            </w:tcBorders>
            <w:vAlign w:val="center"/>
          </w:tcPr>
          <w:p w:rsidR="009C13A9" w:rsidRPr="009072DA" w:rsidRDefault="009C13A9" w:rsidP="009C13A9">
            <w:pPr>
              <w:spacing w:before="60" w:after="60" w:line="240" w:lineRule="atLeast"/>
              <w:rPr>
                <w:sz w:val="18"/>
                <w:szCs w:val="18"/>
                <w:lang w:val="bg-BG"/>
              </w:rPr>
            </w:pPr>
          </w:p>
        </w:tc>
        <w:tc>
          <w:tcPr>
            <w:tcW w:w="2977" w:type="dxa"/>
            <w:gridSpan w:val="6"/>
            <w:vAlign w:val="center"/>
          </w:tcPr>
          <w:p w:rsidR="009C13A9" w:rsidRPr="009072DA" w:rsidRDefault="009C13A9" w:rsidP="009C13A9">
            <w:pPr>
              <w:spacing w:before="60" w:after="60" w:line="240" w:lineRule="atLeast"/>
              <w:rPr>
                <w:sz w:val="18"/>
                <w:szCs w:val="18"/>
                <w:lang w:val="bg-BG"/>
              </w:rPr>
            </w:pPr>
          </w:p>
        </w:tc>
        <w:tc>
          <w:tcPr>
            <w:tcW w:w="1039" w:type="dxa"/>
            <w:gridSpan w:val="5"/>
            <w:tcBorders>
              <w:righ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7"/>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Да</w:t>
            </w:r>
          </w:p>
        </w:tc>
        <w:tc>
          <w:tcPr>
            <w:tcW w:w="1039" w:type="dxa"/>
            <w:gridSpan w:val="2"/>
            <w:tcBorders>
              <w:left w:val="nil"/>
              <w:righ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8"/>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w:t>
            </w:r>
          </w:p>
        </w:tc>
        <w:tc>
          <w:tcPr>
            <w:tcW w:w="1041" w:type="dxa"/>
            <w:tcBorders>
              <w:lef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9"/>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Неприложимо</w:t>
            </w:r>
          </w:p>
        </w:tc>
      </w:tr>
      <w:tr w:rsidR="009C13A9" w:rsidRPr="009072DA"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9072DA" w:rsidRDefault="009C13A9" w:rsidP="009C13A9">
            <w:pPr>
              <w:spacing w:before="60" w:after="60" w:line="240" w:lineRule="atLeast"/>
              <w:rPr>
                <w:sz w:val="18"/>
                <w:szCs w:val="18"/>
                <w:lang w:val="bg-BG"/>
              </w:rPr>
            </w:pPr>
          </w:p>
        </w:tc>
        <w:tc>
          <w:tcPr>
            <w:tcW w:w="2693" w:type="dxa"/>
            <w:gridSpan w:val="4"/>
            <w:tcBorders>
              <w:left w:val="nil"/>
            </w:tcBorders>
            <w:vAlign w:val="center"/>
          </w:tcPr>
          <w:p w:rsidR="009C13A9" w:rsidRPr="009072DA" w:rsidRDefault="009C13A9" w:rsidP="009C13A9">
            <w:pPr>
              <w:spacing w:before="60" w:after="60" w:line="240" w:lineRule="atLeast"/>
              <w:rPr>
                <w:sz w:val="18"/>
                <w:szCs w:val="18"/>
                <w:lang w:val="bg-BG"/>
              </w:rPr>
            </w:pPr>
          </w:p>
        </w:tc>
        <w:tc>
          <w:tcPr>
            <w:tcW w:w="2977" w:type="dxa"/>
            <w:gridSpan w:val="6"/>
            <w:vAlign w:val="center"/>
          </w:tcPr>
          <w:p w:rsidR="009C13A9" w:rsidRPr="009072DA" w:rsidRDefault="009C13A9" w:rsidP="009C13A9">
            <w:pPr>
              <w:spacing w:before="60" w:after="60" w:line="240" w:lineRule="atLeast"/>
              <w:rPr>
                <w:sz w:val="18"/>
                <w:szCs w:val="18"/>
                <w:lang w:val="bg-BG"/>
              </w:rPr>
            </w:pPr>
          </w:p>
        </w:tc>
        <w:tc>
          <w:tcPr>
            <w:tcW w:w="1039" w:type="dxa"/>
            <w:gridSpan w:val="5"/>
            <w:tcBorders>
              <w:righ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16"/>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Да</w:t>
            </w:r>
          </w:p>
        </w:tc>
        <w:tc>
          <w:tcPr>
            <w:tcW w:w="1039" w:type="dxa"/>
            <w:gridSpan w:val="2"/>
            <w:tcBorders>
              <w:left w:val="nil"/>
              <w:righ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17"/>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w:t>
            </w:r>
          </w:p>
        </w:tc>
        <w:tc>
          <w:tcPr>
            <w:tcW w:w="1041" w:type="dxa"/>
            <w:tcBorders>
              <w:lef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18"/>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Неприложимо</w:t>
            </w:r>
          </w:p>
        </w:tc>
      </w:tr>
      <w:tr w:rsidR="009C13A9" w:rsidRPr="009072DA"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9C13A9" w:rsidRPr="009072DA" w:rsidRDefault="009C13A9" w:rsidP="009C13A9">
            <w:pPr>
              <w:spacing w:before="60" w:after="60" w:line="240" w:lineRule="atLeast"/>
              <w:rPr>
                <w:sz w:val="18"/>
                <w:szCs w:val="18"/>
                <w:lang w:val="bg-BG"/>
              </w:rPr>
            </w:pPr>
          </w:p>
        </w:tc>
        <w:tc>
          <w:tcPr>
            <w:tcW w:w="2693" w:type="dxa"/>
            <w:gridSpan w:val="4"/>
            <w:tcBorders>
              <w:left w:val="nil"/>
            </w:tcBorders>
            <w:vAlign w:val="center"/>
          </w:tcPr>
          <w:p w:rsidR="009C13A9" w:rsidRPr="009072DA" w:rsidRDefault="009C13A9" w:rsidP="009C13A9">
            <w:pPr>
              <w:spacing w:before="60" w:after="60" w:line="240" w:lineRule="atLeast"/>
              <w:rPr>
                <w:sz w:val="18"/>
                <w:szCs w:val="18"/>
                <w:lang w:val="bg-BG"/>
              </w:rPr>
            </w:pPr>
          </w:p>
        </w:tc>
        <w:tc>
          <w:tcPr>
            <w:tcW w:w="2977" w:type="dxa"/>
            <w:gridSpan w:val="6"/>
            <w:vAlign w:val="center"/>
          </w:tcPr>
          <w:p w:rsidR="009C13A9" w:rsidRPr="009072DA" w:rsidRDefault="009C13A9" w:rsidP="009C13A9">
            <w:pPr>
              <w:spacing w:before="60" w:after="60" w:line="240" w:lineRule="atLeast"/>
              <w:rPr>
                <w:sz w:val="18"/>
                <w:szCs w:val="18"/>
                <w:lang w:val="bg-BG"/>
              </w:rPr>
            </w:pPr>
          </w:p>
        </w:tc>
        <w:tc>
          <w:tcPr>
            <w:tcW w:w="1039" w:type="dxa"/>
            <w:gridSpan w:val="5"/>
            <w:tcBorders>
              <w:righ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19"/>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Да</w:t>
            </w:r>
          </w:p>
        </w:tc>
        <w:tc>
          <w:tcPr>
            <w:tcW w:w="1039" w:type="dxa"/>
            <w:gridSpan w:val="2"/>
            <w:tcBorders>
              <w:left w:val="nil"/>
              <w:righ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20"/>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w:t>
            </w:r>
          </w:p>
        </w:tc>
        <w:tc>
          <w:tcPr>
            <w:tcW w:w="1041" w:type="dxa"/>
            <w:tcBorders>
              <w:lef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21"/>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Неприложимо</w:t>
            </w:r>
          </w:p>
        </w:tc>
      </w:tr>
      <w:tr w:rsidR="009C13A9" w:rsidRPr="009072DA"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9C13A9" w:rsidRPr="009072DA" w:rsidRDefault="009C13A9" w:rsidP="009C13A9">
            <w:pPr>
              <w:spacing w:before="60" w:after="60" w:line="240" w:lineRule="atLeast"/>
              <w:rPr>
                <w:sz w:val="18"/>
                <w:szCs w:val="18"/>
                <w:lang w:val="bg-BG"/>
              </w:rPr>
            </w:pPr>
          </w:p>
        </w:tc>
        <w:tc>
          <w:tcPr>
            <w:tcW w:w="2693" w:type="dxa"/>
            <w:gridSpan w:val="4"/>
            <w:tcBorders>
              <w:left w:val="nil"/>
            </w:tcBorders>
            <w:vAlign w:val="center"/>
          </w:tcPr>
          <w:p w:rsidR="009C13A9" w:rsidRPr="009072DA" w:rsidRDefault="009C13A9" w:rsidP="009C13A9">
            <w:pPr>
              <w:spacing w:before="60" w:after="60" w:line="240" w:lineRule="atLeast"/>
              <w:rPr>
                <w:sz w:val="18"/>
                <w:szCs w:val="18"/>
                <w:lang w:val="bg-BG"/>
              </w:rPr>
            </w:pPr>
          </w:p>
        </w:tc>
        <w:tc>
          <w:tcPr>
            <w:tcW w:w="2977" w:type="dxa"/>
            <w:gridSpan w:val="6"/>
            <w:vAlign w:val="center"/>
          </w:tcPr>
          <w:p w:rsidR="009C13A9" w:rsidRPr="009072DA" w:rsidRDefault="009C13A9" w:rsidP="009C13A9">
            <w:pPr>
              <w:spacing w:before="60" w:after="60" w:line="240" w:lineRule="atLeast"/>
              <w:rPr>
                <w:sz w:val="18"/>
                <w:szCs w:val="18"/>
                <w:lang w:val="bg-BG"/>
              </w:rPr>
            </w:pPr>
          </w:p>
        </w:tc>
        <w:tc>
          <w:tcPr>
            <w:tcW w:w="1039" w:type="dxa"/>
            <w:gridSpan w:val="5"/>
            <w:tcBorders>
              <w:righ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19"/>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Да</w:t>
            </w:r>
          </w:p>
        </w:tc>
        <w:tc>
          <w:tcPr>
            <w:tcW w:w="1039" w:type="dxa"/>
            <w:gridSpan w:val="2"/>
            <w:tcBorders>
              <w:left w:val="nil"/>
              <w:righ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20"/>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w:t>
            </w:r>
          </w:p>
        </w:tc>
        <w:tc>
          <w:tcPr>
            <w:tcW w:w="1041" w:type="dxa"/>
            <w:tcBorders>
              <w:left w:val="nil"/>
            </w:tcBorders>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21"/>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Неприложимо</w:t>
            </w:r>
          </w:p>
        </w:tc>
      </w:tr>
    </w:tbl>
    <w:p w:rsidR="009C13A9" w:rsidRPr="009072DA" w:rsidRDefault="009C13A9" w:rsidP="009C13A9">
      <w:pPr>
        <w:rPr>
          <w:b/>
          <w:bCs/>
          <w:sz w:val="18"/>
          <w:szCs w:val="18"/>
          <w:lang w:val="bg-BG"/>
        </w:rPr>
      </w:pPr>
    </w:p>
    <w:p w:rsidR="009C13A9" w:rsidRPr="009072DA" w:rsidRDefault="009C13A9" w:rsidP="009C13A9">
      <w:pPr>
        <w:rPr>
          <w:b/>
          <w:bCs/>
          <w:sz w:val="18"/>
          <w:szCs w:val="18"/>
          <w:lang w:val="bg-BG"/>
        </w:rPr>
      </w:pPr>
      <w:r w:rsidRPr="009072DA">
        <w:rPr>
          <w:lang w:val="bg-BG"/>
        </w:rPr>
        <w:br w:type="page"/>
      </w:r>
    </w:p>
    <w:p w:rsidR="009C13A9" w:rsidRPr="009072DA" w:rsidRDefault="009C13A9" w:rsidP="009C13A9">
      <w:pPr>
        <w:rPr>
          <w:b/>
          <w:bCs/>
          <w:sz w:val="18"/>
          <w:szCs w:val="18"/>
          <w:lang w:val="bg-BG"/>
        </w:rPr>
      </w:pPr>
      <w:r w:rsidRPr="009072DA">
        <w:rPr>
          <w:b/>
          <w:sz w:val="18"/>
          <w:lang w:val="bg-BG"/>
        </w:rPr>
        <w:lastRenderedPageBreak/>
        <w:t>Б.</w:t>
      </w:r>
      <w:r w:rsidRPr="009072DA">
        <w:rPr>
          <w:lang w:val="bg-BG"/>
        </w:rPr>
        <w:tab/>
      </w:r>
      <w:r w:rsidRPr="009072DA">
        <w:rPr>
          <w:b/>
          <w:sz w:val="18"/>
          <w:lang w:val="bg-BG"/>
        </w:rPr>
        <w:t>Резултати от измерването на случайната проба:</w:t>
      </w:r>
    </w:p>
    <w:p w:rsidR="009C13A9" w:rsidRPr="009072DA" w:rsidRDefault="009C13A9" w:rsidP="009C13A9">
      <w:pPr>
        <w:rPr>
          <w:lang w:val="bg-BG"/>
        </w:rPr>
      </w:pPr>
    </w:p>
    <w:tbl>
      <w:tblPr>
        <w:tblW w:w="92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6"/>
        <w:gridCol w:w="870"/>
        <w:gridCol w:w="514"/>
        <w:gridCol w:w="195"/>
        <w:gridCol w:w="567"/>
        <w:gridCol w:w="810"/>
        <w:gridCol w:w="998"/>
        <w:gridCol w:w="176"/>
        <w:gridCol w:w="953"/>
        <w:gridCol w:w="409"/>
        <w:gridCol w:w="3317"/>
      </w:tblGrid>
      <w:tr w:rsidR="009C13A9" w:rsidRPr="009072DA" w:rsidTr="009C13A9">
        <w:trPr>
          <w:gridBefore w:val="1"/>
          <w:gridAfter w:val="2"/>
          <w:wBefore w:w="406" w:type="dxa"/>
          <w:wAfter w:w="3726" w:type="dxa"/>
          <w:cantSplit/>
          <w:jc w:val="center"/>
        </w:trPr>
        <w:tc>
          <w:tcPr>
            <w:tcW w:w="1384" w:type="dxa"/>
            <w:gridSpan w:val="2"/>
            <w:vAlign w:val="center"/>
          </w:tcPr>
          <w:p w:rsidR="009C13A9" w:rsidRPr="009072DA" w:rsidRDefault="009C13A9" w:rsidP="00390107">
            <w:pPr>
              <w:spacing w:before="60" w:after="60" w:line="240" w:lineRule="atLeast"/>
              <w:jc w:val="center"/>
              <w:rPr>
                <w:sz w:val="18"/>
                <w:szCs w:val="18"/>
                <w:lang w:val="bg-BG"/>
              </w:rPr>
            </w:pPr>
            <w:r w:rsidRPr="009072DA">
              <w:rPr>
                <w:sz w:val="18"/>
                <w:lang w:val="bg-BG"/>
              </w:rPr>
              <w:t>Параметър</w:t>
            </w:r>
          </w:p>
        </w:tc>
        <w:tc>
          <w:tcPr>
            <w:tcW w:w="1572" w:type="dxa"/>
            <w:gridSpan w:val="3"/>
            <w:vAlign w:val="center"/>
          </w:tcPr>
          <w:p w:rsidR="009C13A9" w:rsidRPr="009072DA" w:rsidRDefault="009C13A9" w:rsidP="00390107">
            <w:pPr>
              <w:spacing w:before="60" w:after="60" w:line="240" w:lineRule="atLeast"/>
              <w:jc w:val="center"/>
              <w:rPr>
                <w:sz w:val="18"/>
                <w:szCs w:val="18"/>
                <w:lang w:val="bg-BG"/>
              </w:rPr>
            </w:pPr>
            <w:r w:rsidRPr="009072DA">
              <w:rPr>
                <w:sz w:val="18"/>
                <w:lang w:val="bg-BG"/>
              </w:rPr>
              <w:t>Получена стойност</w:t>
            </w:r>
          </w:p>
        </w:tc>
        <w:tc>
          <w:tcPr>
            <w:tcW w:w="2127" w:type="dxa"/>
            <w:gridSpan w:val="3"/>
            <w:vAlign w:val="center"/>
          </w:tcPr>
          <w:p w:rsidR="009C13A9" w:rsidRPr="009072DA" w:rsidRDefault="009C13A9" w:rsidP="00390107">
            <w:pPr>
              <w:spacing w:before="60" w:after="60" w:line="240" w:lineRule="atLeast"/>
              <w:jc w:val="center"/>
              <w:rPr>
                <w:sz w:val="18"/>
                <w:szCs w:val="18"/>
                <w:lang w:val="bg-BG"/>
              </w:rPr>
            </w:pPr>
            <w:r w:rsidRPr="009072DA">
              <w:rPr>
                <w:sz w:val="18"/>
                <w:lang w:val="bg-BG"/>
              </w:rPr>
              <w:t xml:space="preserve">Съответствие </w:t>
            </w:r>
            <w:r w:rsidRPr="009072DA">
              <w:rPr>
                <w:sz w:val="18"/>
                <w:vertAlign w:val="superscript"/>
                <w:lang w:val="bg-BG"/>
              </w:rPr>
              <w:t>(</w:t>
            </w:r>
            <w:r w:rsidRPr="009072DA">
              <w:rPr>
                <w:sz w:val="18"/>
                <w:vertAlign w:val="superscript"/>
                <w:lang w:val="bg-BG"/>
              </w:rPr>
              <w:footnoteReference w:id="74"/>
            </w:r>
            <w:r w:rsidRPr="009072DA">
              <w:rPr>
                <w:sz w:val="18"/>
                <w:vertAlign w:val="superscript"/>
                <w:lang w:val="bg-BG"/>
              </w:rPr>
              <w:t>)</w:t>
            </w:r>
          </w:p>
        </w:tc>
      </w:tr>
      <w:tr w:rsidR="009C13A9" w:rsidRPr="009072DA" w:rsidTr="009C13A9">
        <w:trPr>
          <w:gridBefore w:val="1"/>
          <w:gridAfter w:val="2"/>
          <w:wBefore w:w="406" w:type="dxa"/>
          <w:wAfter w:w="3726" w:type="dxa"/>
          <w:cantSplit/>
          <w:jc w:val="center"/>
        </w:trPr>
        <w:tc>
          <w:tcPr>
            <w:tcW w:w="1384" w:type="dxa"/>
            <w:gridSpan w:val="2"/>
            <w:vAlign w:val="center"/>
          </w:tcPr>
          <w:p w:rsidR="009C13A9" w:rsidRPr="009072DA" w:rsidRDefault="002B712C" w:rsidP="00AF0659">
            <w:pPr>
              <w:spacing w:before="60" w:after="60" w:line="240" w:lineRule="atLeast"/>
              <w:rPr>
                <w:sz w:val="18"/>
                <w:szCs w:val="18"/>
                <w:lang w:val="bg-BG"/>
              </w:rPr>
            </w:pPr>
            <m:oMathPara>
              <m:oMathParaPr>
                <m:jc m:val="left"/>
              </m:oMathParaPr>
              <m:oMath>
                <m:sSub>
                  <m:sSubPr>
                    <m:ctrlPr>
                      <w:rPr>
                        <w:rFonts w:ascii="Cambria Math" w:hAnsi="Cambria Math"/>
                        <w:i/>
                        <w:sz w:val="18"/>
                        <w:szCs w:val="18"/>
                        <w:lang w:val="bg-BG"/>
                      </w:rPr>
                    </m:ctrlPr>
                  </m:sSubPr>
                  <m:e>
                    <m:r>
                      <w:rPr>
                        <w:rFonts w:ascii="Cambria Math" w:hAnsi="Cambria Math"/>
                        <w:sz w:val="18"/>
                        <w:szCs w:val="18"/>
                        <w:lang w:val="bg-BG"/>
                      </w:rPr>
                      <m:t>BOD</m:t>
                    </m:r>
                  </m:e>
                  <m:sub>
                    <m:r>
                      <w:rPr>
                        <w:rFonts w:ascii="Cambria Math" w:hAnsi="Cambria Math"/>
                        <w:sz w:val="18"/>
                        <w:szCs w:val="18"/>
                        <w:lang w:val="bg-BG"/>
                      </w:rPr>
                      <m:t>5</m:t>
                    </m:r>
                  </m:sub>
                </m:sSub>
              </m:oMath>
            </m:oMathPara>
          </w:p>
        </w:tc>
        <w:tc>
          <w:tcPr>
            <w:tcW w:w="1572" w:type="dxa"/>
            <w:gridSpan w:val="3"/>
            <w:vAlign w:val="center"/>
          </w:tcPr>
          <w:p w:rsidR="009C13A9" w:rsidRPr="009072DA" w:rsidRDefault="009C13A9" w:rsidP="009C13A9">
            <w:pPr>
              <w:spacing w:before="60" w:after="60" w:line="240" w:lineRule="atLeast"/>
              <w:rPr>
                <w:sz w:val="18"/>
                <w:szCs w:val="18"/>
                <w:lang w:val="bg-BG"/>
              </w:rPr>
            </w:pPr>
          </w:p>
        </w:tc>
        <w:tc>
          <w:tcPr>
            <w:tcW w:w="998" w:type="dxa"/>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Да</w:t>
            </w:r>
          </w:p>
        </w:tc>
        <w:tc>
          <w:tcPr>
            <w:tcW w:w="1129" w:type="dxa"/>
            <w:gridSpan w:val="2"/>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20"/>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w:t>
            </w:r>
          </w:p>
        </w:tc>
      </w:tr>
      <w:tr w:rsidR="009C13A9" w:rsidRPr="009072DA" w:rsidTr="009C13A9">
        <w:trPr>
          <w:gridBefore w:val="1"/>
          <w:gridAfter w:val="2"/>
          <w:wBefore w:w="406" w:type="dxa"/>
          <w:wAfter w:w="3726" w:type="dxa"/>
          <w:cantSplit/>
          <w:jc w:val="center"/>
        </w:trPr>
        <w:tc>
          <w:tcPr>
            <w:tcW w:w="1384" w:type="dxa"/>
            <w:gridSpan w:val="2"/>
            <w:vAlign w:val="center"/>
          </w:tcPr>
          <w:p w:rsidR="009C13A9" w:rsidRPr="009072DA" w:rsidRDefault="009C13A9" w:rsidP="009C13A9">
            <w:pPr>
              <w:spacing w:before="60" w:after="60" w:line="240" w:lineRule="atLeast"/>
              <w:rPr>
                <w:sz w:val="18"/>
                <w:szCs w:val="18"/>
                <w:lang w:val="bg-BG"/>
              </w:rPr>
            </w:pPr>
            <w:r w:rsidRPr="009072DA">
              <w:rPr>
                <w:sz w:val="18"/>
                <w:lang w:val="bg-BG"/>
              </w:rPr>
              <w:t>ХПК</w:t>
            </w:r>
          </w:p>
        </w:tc>
        <w:tc>
          <w:tcPr>
            <w:tcW w:w="1572" w:type="dxa"/>
            <w:gridSpan w:val="3"/>
            <w:vAlign w:val="center"/>
          </w:tcPr>
          <w:p w:rsidR="009C13A9" w:rsidRPr="009072DA" w:rsidRDefault="009C13A9" w:rsidP="009C13A9">
            <w:pPr>
              <w:spacing w:before="60" w:after="60" w:line="240" w:lineRule="atLeast"/>
              <w:rPr>
                <w:sz w:val="18"/>
                <w:szCs w:val="18"/>
                <w:lang w:val="bg-BG"/>
              </w:rPr>
            </w:pPr>
          </w:p>
        </w:tc>
        <w:tc>
          <w:tcPr>
            <w:tcW w:w="998" w:type="dxa"/>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Да</w:t>
            </w:r>
          </w:p>
        </w:tc>
        <w:tc>
          <w:tcPr>
            <w:tcW w:w="1129" w:type="dxa"/>
            <w:gridSpan w:val="2"/>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20"/>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w:t>
            </w:r>
          </w:p>
        </w:tc>
      </w:tr>
      <w:tr w:rsidR="009C13A9" w:rsidRPr="009072DA" w:rsidTr="009C13A9">
        <w:trPr>
          <w:gridBefore w:val="1"/>
          <w:gridAfter w:val="2"/>
          <w:wBefore w:w="406" w:type="dxa"/>
          <w:wAfter w:w="3726" w:type="dxa"/>
          <w:cantSplit/>
          <w:jc w:val="center"/>
        </w:trPr>
        <w:tc>
          <w:tcPr>
            <w:tcW w:w="1384" w:type="dxa"/>
            <w:gridSpan w:val="2"/>
            <w:vAlign w:val="center"/>
          </w:tcPr>
          <w:p w:rsidR="009C13A9" w:rsidRPr="009072DA" w:rsidRDefault="009C13A9" w:rsidP="009C13A9">
            <w:pPr>
              <w:spacing w:before="60" w:after="60" w:line="240" w:lineRule="atLeast"/>
              <w:rPr>
                <w:sz w:val="18"/>
                <w:szCs w:val="18"/>
                <w:vertAlign w:val="superscript"/>
                <w:lang w:val="bg-BG"/>
              </w:rPr>
            </w:pPr>
            <w:r w:rsidRPr="009072DA">
              <w:rPr>
                <w:sz w:val="18"/>
                <w:lang w:val="bg-BG"/>
              </w:rPr>
              <w:t>ОСОВ</w:t>
            </w:r>
            <w:r w:rsidRPr="009072DA">
              <w:rPr>
                <w:sz w:val="18"/>
                <w:vertAlign w:val="superscript"/>
                <w:lang w:val="bg-BG"/>
              </w:rPr>
              <w:t>(</w:t>
            </w:r>
            <w:r w:rsidRPr="009072DA">
              <w:rPr>
                <w:b/>
                <w:sz w:val="18"/>
                <w:vertAlign w:val="superscript"/>
                <w:lang w:val="bg-BG"/>
              </w:rPr>
              <w:footnoteReference w:id="75"/>
            </w:r>
            <w:r w:rsidRPr="009072DA">
              <w:rPr>
                <w:sz w:val="18"/>
                <w:vertAlign w:val="superscript"/>
                <w:lang w:val="bg-BG"/>
              </w:rPr>
              <w:t>)</w:t>
            </w:r>
          </w:p>
        </w:tc>
        <w:tc>
          <w:tcPr>
            <w:tcW w:w="1572" w:type="dxa"/>
            <w:gridSpan w:val="3"/>
            <w:vAlign w:val="center"/>
          </w:tcPr>
          <w:p w:rsidR="009C13A9" w:rsidRPr="009072DA" w:rsidRDefault="009C13A9" w:rsidP="009C13A9">
            <w:pPr>
              <w:spacing w:before="60" w:after="60" w:line="240" w:lineRule="atLeast"/>
              <w:rPr>
                <w:sz w:val="18"/>
                <w:szCs w:val="18"/>
                <w:lang w:val="bg-BG"/>
              </w:rPr>
            </w:pPr>
          </w:p>
        </w:tc>
        <w:tc>
          <w:tcPr>
            <w:tcW w:w="998" w:type="dxa"/>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Да</w:t>
            </w:r>
          </w:p>
        </w:tc>
        <w:tc>
          <w:tcPr>
            <w:tcW w:w="1129" w:type="dxa"/>
            <w:gridSpan w:val="2"/>
            <w:vAlign w:val="center"/>
          </w:tcPr>
          <w:p w:rsidR="009C13A9" w:rsidRPr="009072DA" w:rsidRDefault="00475311" w:rsidP="009C13A9">
            <w:pPr>
              <w:spacing w:before="60" w:after="60" w:line="240" w:lineRule="atLeast"/>
              <w:rPr>
                <w:sz w:val="18"/>
                <w:szCs w:val="18"/>
                <w:lang w:val="bg-BG"/>
              </w:rPr>
            </w:pPr>
            <w:r w:rsidRPr="009072DA">
              <w:rPr>
                <w:sz w:val="18"/>
                <w:szCs w:val="18"/>
                <w:lang w:val="bg-BG"/>
              </w:rPr>
              <w:fldChar w:fldCharType="begin">
                <w:ffData>
                  <w:name w:val="Kontrollkästchen20"/>
                  <w:enabled/>
                  <w:calcOnExit w:val="0"/>
                  <w:checkBox>
                    <w:sizeAuto/>
                    <w:default w:val="0"/>
                  </w:checkBox>
                </w:ffData>
              </w:fldChar>
            </w:r>
            <w:r w:rsidRPr="009072DA">
              <w:rPr>
                <w:sz w:val="18"/>
                <w:szCs w:val="18"/>
                <w:lang w:val="bg-BG"/>
              </w:rPr>
              <w:instrText xml:space="preserve"> FORMCHECKBOX </w:instrText>
            </w:r>
            <w:r w:rsidR="002B712C">
              <w:rPr>
                <w:sz w:val="18"/>
                <w:szCs w:val="18"/>
                <w:lang w:val="bg-BG"/>
              </w:rPr>
            </w:r>
            <w:r w:rsidR="002B712C">
              <w:rPr>
                <w:sz w:val="18"/>
                <w:szCs w:val="18"/>
                <w:lang w:val="bg-BG"/>
              </w:rPr>
              <w:fldChar w:fldCharType="separate"/>
            </w:r>
            <w:r w:rsidRPr="009072DA">
              <w:rPr>
                <w:sz w:val="18"/>
                <w:szCs w:val="18"/>
                <w:lang w:val="bg-BG"/>
              </w:rPr>
              <w:fldChar w:fldCharType="end"/>
            </w:r>
            <w:r w:rsidRPr="009072DA">
              <w:rPr>
                <w:sz w:val="18"/>
                <w:lang w:val="bg-BG"/>
              </w:rPr>
              <w:t xml:space="preserve"> Не</w:t>
            </w:r>
          </w:p>
        </w:tc>
      </w:tr>
      <w:tr w:rsidR="009C13A9" w:rsidRPr="009072DA"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9072DA" w:rsidRDefault="009C13A9" w:rsidP="009C13A9">
            <w:pPr>
              <w:rPr>
                <w:b/>
                <w:bCs/>
                <w:sz w:val="18"/>
                <w:szCs w:val="18"/>
                <w:lang w:val="bg-BG"/>
              </w:rPr>
            </w:pPr>
          </w:p>
          <w:p w:rsidR="009C13A9" w:rsidRPr="009072DA" w:rsidRDefault="009C13A9" w:rsidP="009C13A9">
            <w:pPr>
              <w:rPr>
                <w:b/>
                <w:bCs/>
                <w:sz w:val="18"/>
                <w:szCs w:val="18"/>
                <w:lang w:val="bg-BG"/>
              </w:rPr>
            </w:pPr>
            <w:r w:rsidRPr="009072DA">
              <w:rPr>
                <w:b/>
                <w:sz w:val="18"/>
                <w:lang w:val="bg-BG"/>
              </w:rPr>
              <w:t>В.</w:t>
            </w:r>
            <w:r w:rsidRPr="009072DA">
              <w:rPr>
                <w:lang w:val="bg-BG"/>
              </w:rPr>
              <w:tab/>
            </w:r>
            <w:r w:rsidRPr="009072DA">
              <w:rPr>
                <w:b/>
                <w:sz w:val="18"/>
                <w:lang w:val="bg-BG"/>
              </w:rPr>
              <w:t>Забележки:</w:t>
            </w:r>
          </w:p>
          <w:p w:rsidR="009C13A9" w:rsidRPr="009072DA" w:rsidRDefault="009C13A9" w:rsidP="009C13A9">
            <w:pPr>
              <w:rPr>
                <w:b/>
                <w:bCs/>
                <w:sz w:val="18"/>
                <w:szCs w:val="18"/>
                <w:lang w:val="bg-BG"/>
              </w:rPr>
            </w:pPr>
          </w:p>
        </w:tc>
        <w:tc>
          <w:tcPr>
            <w:tcW w:w="7230" w:type="dxa"/>
            <w:gridSpan w:val="7"/>
            <w:tcBorders>
              <w:bottom w:val="dotted" w:sz="4" w:space="0" w:color="auto"/>
            </w:tcBorders>
            <w:vAlign w:val="center"/>
          </w:tcPr>
          <w:p w:rsidR="009C13A9" w:rsidRPr="009072DA" w:rsidRDefault="009C13A9" w:rsidP="009C13A9">
            <w:pPr>
              <w:rPr>
                <w:b/>
                <w:bCs/>
                <w:sz w:val="18"/>
                <w:szCs w:val="18"/>
                <w:lang w:val="bg-BG"/>
              </w:rPr>
            </w:pPr>
          </w:p>
        </w:tc>
      </w:tr>
      <w:tr w:rsidR="009C13A9" w:rsidRPr="008D2440"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9072DA" w:rsidRDefault="009C13A9" w:rsidP="009C13A9">
            <w:pPr>
              <w:rPr>
                <w:b/>
                <w:lang w:val="bg-BG"/>
              </w:rPr>
            </w:pPr>
          </w:p>
        </w:tc>
        <w:tc>
          <w:tcPr>
            <w:tcW w:w="7230" w:type="dxa"/>
            <w:gridSpan w:val="7"/>
            <w:tcBorders>
              <w:top w:val="dotted" w:sz="4" w:space="0" w:color="auto"/>
              <w:bottom w:val="dotted" w:sz="4" w:space="0" w:color="auto"/>
            </w:tcBorders>
            <w:vAlign w:val="center"/>
          </w:tcPr>
          <w:p w:rsidR="009C13A9" w:rsidRPr="009072DA" w:rsidRDefault="009C13A9" w:rsidP="009C13A9">
            <w:pPr>
              <w:spacing w:before="20"/>
              <w:rPr>
                <w:sz w:val="14"/>
                <w:szCs w:val="12"/>
                <w:lang w:val="bg-BG"/>
              </w:rPr>
            </w:pPr>
            <w:r w:rsidRPr="009072DA">
              <w:rPr>
                <w:sz w:val="16"/>
                <w:lang w:val="bg-BG"/>
              </w:rPr>
              <w:t>(Върху инсталираната бордова станция за пречистване на отпадъчни води бяха констатирани следните отклоняващи се настройки, промени или изменения.)</w:t>
            </w:r>
          </w:p>
        </w:tc>
      </w:tr>
      <w:tr w:rsidR="009C13A9" w:rsidRPr="008D2440"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9072DA" w:rsidRDefault="009C13A9" w:rsidP="009C13A9">
            <w:pPr>
              <w:rPr>
                <w:lang w:val="bg-BG"/>
              </w:rPr>
            </w:pPr>
          </w:p>
        </w:tc>
        <w:tc>
          <w:tcPr>
            <w:tcW w:w="7230" w:type="dxa"/>
            <w:gridSpan w:val="7"/>
            <w:tcBorders>
              <w:top w:val="dotted" w:sz="4" w:space="0" w:color="auto"/>
              <w:bottom w:val="dotted" w:sz="4" w:space="0" w:color="auto"/>
            </w:tcBorders>
            <w:vAlign w:val="center"/>
          </w:tcPr>
          <w:p w:rsidR="009C13A9" w:rsidRPr="009072DA" w:rsidRDefault="009C13A9" w:rsidP="009C13A9">
            <w:pPr>
              <w:rPr>
                <w:lang w:val="bg-BG"/>
              </w:rPr>
            </w:pPr>
          </w:p>
        </w:tc>
      </w:tr>
      <w:tr w:rsidR="009C13A9" w:rsidRPr="008D2440"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9072DA" w:rsidRDefault="009C13A9" w:rsidP="009C13A9">
            <w:pPr>
              <w:rPr>
                <w:lang w:val="bg-BG"/>
              </w:rPr>
            </w:pPr>
          </w:p>
        </w:tc>
        <w:tc>
          <w:tcPr>
            <w:tcW w:w="7230" w:type="dxa"/>
            <w:gridSpan w:val="7"/>
            <w:tcBorders>
              <w:top w:val="dotted" w:sz="4" w:space="0" w:color="auto"/>
              <w:bottom w:val="dotted" w:sz="4" w:space="0" w:color="auto"/>
            </w:tcBorders>
            <w:vAlign w:val="center"/>
          </w:tcPr>
          <w:p w:rsidR="009C13A9" w:rsidRPr="009072DA" w:rsidRDefault="009C13A9" w:rsidP="009C13A9">
            <w:pPr>
              <w:rPr>
                <w:lang w:val="bg-BG"/>
              </w:rPr>
            </w:pPr>
          </w:p>
        </w:tc>
      </w:tr>
      <w:tr w:rsidR="009C13A9" w:rsidRPr="008D2440"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9072DA" w:rsidRDefault="009C13A9" w:rsidP="009C13A9">
            <w:pPr>
              <w:rPr>
                <w:lang w:val="bg-BG"/>
              </w:rPr>
            </w:pPr>
          </w:p>
        </w:tc>
        <w:tc>
          <w:tcPr>
            <w:tcW w:w="7230" w:type="dxa"/>
            <w:gridSpan w:val="7"/>
            <w:tcBorders>
              <w:top w:val="dotted" w:sz="4" w:space="0" w:color="auto"/>
              <w:bottom w:val="dotted" w:sz="4" w:space="0" w:color="auto"/>
            </w:tcBorders>
            <w:vAlign w:val="center"/>
          </w:tcPr>
          <w:p w:rsidR="009C13A9" w:rsidRPr="009072DA" w:rsidRDefault="009C13A9" w:rsidP="009C13A9">
            <w:pPr>
              <w:rPr>
                <w:lang w:val="bg-BG"/>
              </w:rPr>
            </w:pPr>
          </w:p>
        </w:tc>
      </w:tr>
      <w:tr w:rsidR="009C13A9" w:rsidRPr="008D2440"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9072DA" w:rsidRDefault="009C13A9" w:rsidP="009C13A9">
            <w:pPr>
              <w:rPr>
                <w:lang w:val="bg-BG"/>
              </w:rPr>
            </w:pPr>
          </w:p>
        </w:tc>
        <w:tc>
          <w:tcPr>
            <w:tcW w:w="7230" w:type="dxa"/>
            <w:gridSpan w:val="7"/>
            <w:tcBorders>
              <w:top w:val="dotted" w:sz="4" w:space="0" w:color="auto"/>
              <w:bottom w:val="dotted" w:sz="4" w:space="0" w:color="auto"/>
            </w:tcBorders>
            <w:vAlign w:val="center"/>
          </w:tcPr>
          <w:p w:rsidR="009C13A9" w:rsidRPr="009072DA" w:rsidRDefault="009C13A9" w:rsidP="009C13A9">
            <w:pPr>
              <w:rPr>
                <w:lang w:val="bg-BG"/>
              </w:rPr>
            </w:pPr>
          </w:p>
        </w:tc>
      </w:tr>
      <w:tr w:rsidR="009C13A9" w:rsidRPr="008D2440"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9072DA" w:rsidRDefault="009C13A9" w:rsidP="009C13A9">
            <w:pPr>
              <w:rPr>
                <w:lang w:val="bg-BG"/>
              </w:rPr>
            </w:pPr>
          </w:p>
        </w:tc>
        <w:tc>
          <w:tcPr>
            <w:tcW w:w="7230" w:type="dxa"/>
            <w:gridSpan w:val="7"/>
            <w:tcBorders>
              <w:top w:val="dotted" w:sz="4" w:space="0" w:color="auto"/>
              <w:bottom w:val="dotted" w:sz="4" w:space="0" w:color="auto"/>
            </w:tcBorders>
            <w:vAlign w:val="center"/>
          </w:tcPr>
          <w:p w:rsidR="009C13A9" w:rsidRPr="009072DA" w:rsidRDefault="009C13A9" w:rsidP="009C13A9">
            <w:pPr>
              <w:rPr>
                <w:lang w:val="bg-BG"/>
              </w:rPr>
            </w:pPr>
          </w:p>
        </w:tc>
      </w:tr>
      <w:tr w:rsidR="009C13A9" w:rsidRPr="008D2440"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60"/>
          <w:jc w:val="center"/>
        </w:trPr>
        <w:tc>
          <w:tcPr>
            <w:tcW w:w="9215" w:type="dxa"/>
            <w:gridSpan w:val="11"/>
            <w:vAlign w:val="center"/>
          </w:tcPr>
          <w:p w:rsidR="009C13A9" w:rsidRPr="009072DA" w:rsidRDefault="009C13A9" w:rsidP="009C13A9">
            <w:pPr>
              <w:rPr>
                <w:lang w:val="bg-BG"/>
              </w:rPr>
            </w:pPr>
          </w:p>
        </w:tc>
      </w:tr>
      <w:tr w:rsidR="009C13A9" w:rsidRPr="009072DA"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9C13A9" w:rsidRPr="009072DA" w:rsidRDefault="009C13A9" w:rsidP="009C13A9">
            <w:pPr>
              <w:rPr>
                <w:sz w:val="18"/>
                <w:szCs w:val="18"/>
                <w:lang w:val="bg-BG"/>
              </w:rPr>
            </w:pPr>
          </w:p>
        </w:tc>
        <w:tc>
          <w:tcPr>
            <w:tcW w:w="1984" w:type="dxa"/>
            <w:gridSpan w:val="3"/>
            <w:vAlign w:val="center"/>
          </w:tcPr>
          <w:p w:rsidR="009C13A9" w:rsidRPr="009072DA" w:rsidRDefault="009C13A9" w:rsidP="009C13A9">
            <w:pPr>
              <w:rPr>
                <w:sz w:val="18"/>
                <w:szCs w:val="18"/>
                <w:lang w:val="bg-BG"/>
              </w:rPr>
            </w:pPr>
            <w:r w:rsidRPr="009072DA">
              <w:rPr>
                <w:sz w:val="18"/>
                <w:lang w:val="bg-BG"/>
              </w:rPr>
              <w:t>Име на инспектора:</w:t>
            </w:r>
          </w:p>
        </w:tc>
        <w:tc>
          <w:tcPr>
            <w:tcW w:w="4679" w:type="dxa"/>
            <w:gridSpan w:val="3"/>
            <w:tcBorders>
              <w:bottom w:val="dotted" w:sz="4" w:space="0" w:color="auto"/>
            </w:tcBorders>
            <w:vAlign w:val="center"/>
          </w:tcPr>
          <w:p w:rsidR="009C13A9" w:rsidRPr="009072DA" w:rsidRDefault="009C13A9" w:rsidP="009C13A9">
            <w:pPr>
              <w:rPr>
                <w:sz w:val="18"/>
                <w:szCs w:val="18"/>
                <w:lang w:val="bg-BG"/>
              </w:rPr>
            </w:pPr>
          </w:p>
        </w:tc>
      </w:tr>
      <w:tr w:rsidR="009C13A9" w:rsidRPr="009072DA"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57"/>
          <w:jc w:val="center"/>
        </w:trPr>
        <w:tc>
          <w:tcPr>
            <w:tcW w:w="9215" w:type="dxa"/>
            <w:gridSpan w:val="11"/>
            <w:vAlign w:val="center"/>
          </w:tcPr>
          <w:p w:rsidR="009C13A9" w:rsidRPr="009072DA" w:rsidRDefault="009C13A9" w:rsidP="009C13A9">
            <w:pPr>
              <w:rPr>
                <w:lang w:val="bg-BG"/>
              </w:rPr>
            </w:pPr>
          </w:p>
        </w:tc>
      </w:tr>
      <w:tr w:rsidR="009C13A9" w:rsidRPr="009072DA"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9C13A9" w:rsidRPr="009072DA" w:rsidRDefault="009C13A9" w:rsidP="009C13A9">
            <w:pPr>
              <w:rPr>
                <w:sz w:val="18"/>
                <w:szCs w:val="18"/>
                <w:lang w:val="bg-BG"/>
              </w:rPr>
            </w:pPr>
          </w:p>
        </w:tc>
        <w:tc>
          <w:tcPr>
            <w:tcW w:w="1984" w:type="dxa"/>
            <w:gridSpan w:val="3"/>
            <w:vAlign w:val="center"/>
          </w:tcPr>
          <w:p w:rsidR="009C13A9" w:rsidRPr="009072DA" w:rsidRDefault="009C13A9" w:rsidP="009C13A9">
            <w:pPr>
              <w:rPr>
                <w:sz w:val="18"/>
                <w:szCs w:val="18"/>
                <w:lang w:val="bg-BG"/>
              </w:rPr>
            </w:pPr>
            <w:r w:rsidRPr="009072DA">
              <w:rPr>
                <w:sz w:val="18"/>
                <w:lang w:val="bg-BG"/>
              </w:rPr>
              <w:t>Място и дата:</w:t>
            </w:r>
          </w:p>
        </w:tc>
        <w:tc>
          <w:tcPr>
            <w:tcW w:w="4679" w:type="dxa"/>
            <w:gridSpan w:val="3"/>
            <w:tcBorders>
              <w:bottom w:val="dotted" w:sz="4" w:space="0" w:color="auto"/>
            </w:tcBorders>
            <w:vAlign w:val="center"/>
          </w:tcPr>
          <w:p w:rsidR="009C13A9" w:rsidRPr="009072DA" w:rsidRDefault="009C13A9" w:rsidP="009C13A9">
            <w:pPr>
              <w:rPr>
                <w:sz w:val="18"/>
                <w:szCs w:val="18"/>
                <w:lang w:val="bg-BG"/>
              </w:rPr>
            </w:pPr>
          </w:p>
        </w:tc>
      </w:tr>
      <w:tr w:rsidR="009C13A9" w:rsidRPr="009072DA"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9C13A9" w:rsidRPr="009072DA" w:rsidRDefault="009C13A9" w:rsidP="009C13A9">
            <w:pPr>
              <w:rPr>
                <w:sz w:val="18"/>
                <w:szCs w:val="18"/>
                <w:lang w:val="bg-BG"/>
              </w:rPr>
            </w:pPr>
          </w:p>
        </w:tc>
        <w:tc>
          <w:tcPr>
            <w:tcW w:w="1984" w:type="dxa"/>
            <w:gridSpan w:val="3"/>
            <w:vAlign w:val="center"/>
          </w:tcPr>
          <w:p w:rsidR="009C13A9" w:rsidRPr="009072DA" w:rsidRDefault="009C13A9" w:rsidP="009C13A9">
            <w:pPr>
              <w:rPr>
                <w:sz w:val="18"/>
                <w:szCs w:val="18"/>
                <w:lang w:val="bg-BG"/>
              </w:rPr>
            </w:pPr>
            <w:r w:rsidRPr="009072DA">
              <w:rPr>
                <w:sz w:val="18"/>
                <w:lang w:val="bg-BG"/>
              </w:rPr>
              <w:t>Подпис:</w:t>
            </w:r>
          </w:p>
        </w:tc>
        <w:tc>
          <w:tcPr>
            <w:tcW w:w="4679" w:type="dxa"/>
            <w:gridSpan w:val="3"/>
            <w:tcBorders>
              <w:bottom w:val="dotted" w:sz="4" w:space="0" w:color="auto"/>
            </w:tcBorders>
            <w:vAlign w:val="center"/>
          </w:tcPr>
          <w:p w:rsidR="009C13A9" w:rsidRPr="009072DA" w:rsidRDefault="009C13A9" w:rsidP="009C13A9">
            <w:pPr>
              <w:rPr>
                <w:sz w:val="18"/>
                <w:szCs w:val="18"/>
                <w:lang w:val="bg-BG"/>
              </w:rPr>
            </w:pPr>
          </w:p>
        </w:tc>
      </w:tr>
      <w:tr w:rsidR="009C13A9" w:rsidRPr="009072DA"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57"/>
          <w:jc w:val="center"/>
        </w:trPr>
        <w:tc>
          <w:tcPr>
            <w:tcW w:w="9215" w:type="dxa"/>
            <w:gridSpan w:val="11"/>
            <w:vAlign w:val="center"/>
          </w:tcPr>
          <w:p w:rsidR="009C13A9" w:rsidRPr="009072DA" w:rsidRDefault="009C13A9" w:rsidP="009C13A9">
            <w:pPr>
              <w:rPr>
                <w:lang w:val="bg-BG"/>
              </w:rPr>
            </w:pPr>
          </w:p>
        </w:tc>
      </w:tr>
      <w:tr w:rsidR="009C13A9" w:rsidRPr="009072DA"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276" w:type="dxa"/>
            <w:gridSpan w:val="2"/>
            <w:vAlign w:val="center"/>
          </w:tcPr>
          <w:p w:rsidR="009C13A9" w:rsidRPr="009072DA" w:rsidRDefault="009C13A9" w:rsidP="009C13A9">
            <w:pPr>
              <w:rPr>
                <w:sz w:val="18"/>
                <w:szCs w:val="18"/>
                <w:lang w:val="bg-BG"/>
              </w:rPr>
            </w:pPr>
          </w:p>
        </w:tc>
        <w:tc>
          <w:tcPr>
            <w:tcW w:w="1276" w:type="dxa"/>
            <w:gridSpan w:val="3"/>
            <w:vAlign w:val="center"/>
          </w:tcPr>
          <w:p w:rsidR="009C13A9" w:rsidRPr="009072DA" w:rsidRDefault="009C13A9" w:rsidP="009C13A9">
            <w:pPr>
              <w:rPr>
                <w:sz w:val="18"/>
                <w:szCs w:val="18"/>
                <w:lang w:val="bg-BG"/>
              </w:rPr>
            </w:pPr>
          </w:p>
        </w:tc>
        <w:tc>
          <w:tcPr>
            <w:tcW w:w="1984" w:type="dxa"/>
            <w:gridSpan w:val="3"/>
            <w:vAlign w:val="center"/>
          </w:tcPr>
          <w:p w:rsidR="009C13A9" w:rsidRPr="009072DA" w:rsidRDefault="009C13A9" w:rsidP="009C13A9">
            <w:pPr>
              <w:rPr>
                <w:sz w:val="18"/>
                <w:szCs w:val="18"/>
                <w:lang w:val="bg-BG"/>
              </w:rPr>
            </w:pPr>
          </w:p>
        </w:tc>
        <w:tc>
          <w:tcPr>
            <w:tcW w:w="4679" w:type="dxa"/>
            <w:gridSpan w:val="3"/>
            <w:vAlign w:val="center"/>
          </w:tcPr>
          <w:p w:rsidR="009C13A9" w:rsidRPr="009072DA" w:rsidRDefault="009C13A9" w:rsidP="009C13A9">
            <w:pPr>
              <w:rPr>
                <w:sz w:val="18"/>
                <w:szCs w:val="18"/>
                <w:lang w:val="bg-BG"/>
              </w:rPr>
            </w:pPr>
          </w:p>
        </w:tc>
      </w:tr>
      <w:tr w:rsidR="009C13A9" w:rsidRPr="009072DA"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5898" w:type="dxa"/>
            <w:gridSpan w:val="10"/>
            <w:vAlign w:val="center"/>
          </w:tcPr>
          <w:p w:rsidR="009C13A9" w:rsidRPr="009072DA" w:rsidRDefault="009C13A9" w:rsidP="009C13A9">
            <w:pPr>
              <w:ind w:left="286" w:hanging="286"/>
              <w:rPr>
                <w:sz w:val="16"/>
                <w:szCs w:val="16"/>
                <w:lang w:val="bg-BG"/>
              </w:rPr>
            </w:pPr>
          </w:p>
        </w:tc>
        <w:tc>
          <w:tcPr>
            <w:tcW w:w="3317" w:type="dxa"/>
            <w:vAlign w:val="center"/>
          </w:tcPr>
          <w:p w:rsidR="009C13A9" w:rsidRPr="009072DA" w:rsidRDefault="009C13A9" w:rsidP="009C13A9">
            <w:pPr>
              <w:rPr>
                <w:lang w:val="bg-BG"/>
              </w:rPr>
            </w:pPr>
          </w:p>
        </w:tc>
      </w:tr>
      <w:tr w:rsidR="009C13A9" w:rsidRPr="009072DA"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5898" w:type="dxa"/>
            <w:gridSpan w:val="10"/>
            <w:vAlign w:val="center"/>
          </w:tcPr>
          <w:p w:rsidR="009C13A9" w:rsidRPr="009072DA" w:rsidRDefault="009C13A9" w:rsidP="009C13A9">
            <w:pPr>
              <w:rPr>
                <w:sz w:val="16"/>
                <w:szCs w:val="16"/>
                <w:vertAlign w:val="superscript"/>
                <w:lang w:val="bg-BG"/>
              </w:rPr>
            </w:pPr>
          </w:p>
          <w:p w:rsidR="009C13A9" w:rsidRPr="009072DA" w:rsidRDefault="009C13A9" w:rsidP="009C13A9">
            <w:pPr>
              <w:rPr>
                <w:sz w:val="16"/>
                <w:szCs w:val="16"/>
                <w:vertAlign w:val="superscript"/>
                <w:lang w:val="bg-BG"/>
              </w:rPr>
            </w:pPr>
          </w:p>
        </w:tc>
        <w:tc>
          <w:tcPr>
            <w:tcW w:w="3317" w:type="dxa"/>
            <w:vAlign w:val="center"/>
          </w:tcPr>
          <w:p w:rsidR="009C13A9" w:rsidRPr="009072DA" w:rsidRDefault="009C13A9" w:rsidP="009C13A9">
            <w:pPr>
              <w:rPr>
                <w:lang w:val="bg-BG"/>
              </w:rPr>
            </w:pPr>
          </w:p>
        </w:tc>
      </w:tr>
    </w:tbl>
    <w:p w:rsidR="009C13A9" w:rsidRPr="009072DA" w:rsidRDefault="009C13A9" w:rsidP="009C13A9">
      <w:pPr>
        <w:tabs>
          <w:tab w:val="left" w:pos="1021"/>
          <w:tab w:val="center" w:pos="8080"/>
        </w:tabs>
        <w:suppressAutoHyphens/>
        <w:spacing w:line="240" w:lineRule="atLeast"/>
        <w:rPr>
          <w:rFonts w:cs="Arial"/>
          <w:sz w:val="24"/>
          <w:lang w:val="bg-BG"/>
        </w:rPr>
        <w:sectPr w:rsidR="009C13A9" w:rsidRPr="009072DA" w:rsidSect="00FB55E9">
          <w:headerReference w:type="default" r:id="rId95"/>
          <w:footerReference w:type="default" r:id="rId96"/>
          <w:headerReference w:type="first" r:id="rId97"/>
          <w:footerReference w:type="first" r:id="rId98"/>
          <w:footnotePr>
            <w:numRestart w:val="eachPage"/>
          </w:footnotePr>
          <w:pgSz w:w="11907" w:h="16840"/>
          <w:pgMar w:top="1247" w:right="1418" w:bottom="1247" w:left="1418" w:header="720" w:footer="720" w:gutter="0"/>
          <w:cols w:space="720"/>
          <w:docGrid w:linePitch="272"/>
        </w:sectPr>
      </w:pPr>
    </w:p>
    <w:p w:rsidR="009E363E" w:rsidRPr="009072DA" w:rsidRDefault="009E363E" w:rsidP="009E363E">
      <w:pPr>
        <w:pStyle w:val="ES-Titre3"/>
        <w:rPr>
          <w:lang w:val="bg-BG"/>
        </w:rPr>
      </w:pPr>
      <w:bookmarkStart w:id="713" w:name="_Toc491854340"/>
      <w:bookmarkStart w:id="714" w:name="_Toc535827781"/>
      <w:r w:rsidRPr="009072DA">
        <w:rPr>
          <w:lang w:val="bg-BG"/>
        </w:rPr>
        <w:lastRenderedPageBreak/>
        <w:t>Раздел IX</w:t>
      </w:r>
      <w:bookmarkEnd w:id="713"/>
      <w:bookmarkEnd w:id="714"/>
    </w:p>
    <w:p w:rsidR="009E363E" w:rsidRPr="009072DA" w:rsidRDefault="00F716DC" w:rsidP="009E363E">
      <w:pPr>
        <w:pStyle w:val="ES-Titre3a"/>
        <w:rPr>
          <w:lang w:val="bg-BG"/>
        </w:rPr>
      </w:pPr>
      <w:bookmarkStart w:id="715" w:name="_Toc491854341"/>
      <w:bookmarkStart w:id="716" w:name="_Toc535827782"/>
      <w:r w:rsidRPr="009072DA">
        <w:rPr>
          <w:lang w:val="bg-BG"/>
        </w:rPr>
        <w:t>Процедура на изпитване</w:t>
      </w:r>
      <w:bookmarkEnd w:id="715"/>
      <w:bookmarkEnd w:id="716"/>
    </w:p>
    <w:p w:rsidR="009C13A9" w:rsidRPr="009072DA" w:rsidRDefault="009C13A9" w:rsidP="009C13A9">
      <w:pPr>
        <w:tabs>
          <w:tab w:val="left" w:pos="1021"/>
          <w:tab w:val="center" w:pos="8080"/>
        </w:tabs>
        <w:suppressAutoHyphens/>
        <w:spacing w:line="240" w:lineRule="atLeast"/>
        <w:rPr>
          <w:rFonts w:cs="Arial"/>
          <w:szCs w:val="20"/>
          <w:lang w:val="bg-BG"/>
        </w:rPr>
      </w:pPr>
    </w:p>
    <w:p w:rsidR="009C13A9" w:rsidRPr="009072DA" w:rsidRDefault="009C13A9" w:rsidP="009C13A9">
      <w:pPr>
        <w:spacing w:line="240" w:lineRule="atLeast"/>
        <w:rPr>
          <w:rFonts w:cs="Arial"/>
          <w:b/>
          <w:color w:val="000000"/>
          <w:lang w:val="bg-BG"/>
        </w:rPr>
      </w:pPr>
      <w:r w:rsidRPr="009072DA">
        <w:rPr>
          <w:b/>
          <w:color w:val="000000"/>
          <w:lang w:val="bg-BG"/>
        </w:rPr>
        <w:t>1.</w:t>
      </w:r>
      <w:r w:rsidRPr="009072DA">
        <w:rPr>
          <w:lang w:val="bg-BG"/>
        </w:rPr>
        <w:tab/>
      </w:r>
      <w:r w:rsidRPr="009072DA">
        <w:rPr>
          <w:b/>
          <w:color w:val="000000"/>
          <w:lang w:val="bg-BG"/>
        </w:rPr>
        <w:t>Общи положения</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1.1</w:t>
      </w:r>
      <w:r w:rsidRPr="009072DA">
        <w:rPr>
          <w:lang w:val="bg-BG"/>
        </w:rPr>
        <w:tab/>
      </w:r>
      <w:r w:rsidRPr="009072DA">
        <w:rPr>
          <w:color w:val="000000"/>
          <w:lang w:val="bg-BG"/>
        </w:rPr>
        <w:t>Основни положения</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 xml:space="preserve">За проверка на годността на бордовите станции за пречистване на отпадъчни води на пътническите плавателни съдове се използва спецификацията за изпитването. </w:t>
      </w:r>
    </w:p>
    <w:p w:rsidR="009C13A9" w:rsidRPr="009072DA" w:rsidRDefault="009C13A9" w:rsidP="009C13A9">
      <w:pPr>
        <w:spacing w:line="240" w:lineRule="atLeast"/>
        <w:ind w:left="426"/>
        <w:rPr>
          <w:lang w:val="bg-BG"/>
        </w:rPr>
      </w:pPr>
      <w:r w:rsidRPr="009072DA">
        <w:rPr>
          <w:lang w:val="bg-BG"/>
        </w:rPr>
        <w:t>В тази процедура използваната технология за обработка и пречистване се проверява и одобрява чрез изпитвателна пречиствателна станция. Съответствието на изпитвателната пречиствателна станция с изградените по-късно и пуснати в експлоатация пречиствателни станции се осигурява чрез прилагане на същите критерии за проектиране и оразмеряване.</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rPr>
          <w:rFonts w:cs="Arial"/>
          <w:color w:val="000000"/>
          <w:lang w:val="bg-BG"/>
        </w:rPr>
      </w:pPr>
      <w:r w:rsidRPr="009072DA">
        <w:rPr>
          <w:color w:val="000000"/>
          <w:lang w:val="bg-BG"/>
        </w:rPr>
        <w:t>1.2.</w:t>
      </w:r>
      <w:r w:rsidRPr="009072DA">
        <w:rPr>
          <w:lang w:val="bg-BG"/>
        </w:rPr>
        <w:tab/>
      </w:r>
      <w:r w:rsidRPr="009072DA">
        <w:rPr>
          <w:color w:val="000000"/>
          <w:lang w:val="bg-BG"/>
        </w:rPr>
        <w:t>Отговорност и място на изпитването</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 xml:space="preserve">Изпитвателната станция за множество типове бордови станции за пречистване на отпадъчни води се изпитва от техническа служба. За условията на изпитване на изпитвателната площадка е отговорна техническата служба и те трябва да отговарят на специфицираните тук условия. </w:t>
      </w:r>
    </w:p>
    <w:p w:rsidR="009C13A9" w:rsidRPr="009072DA" w:rsidRDefault="009C13A9" w:rsidP="009C13A9">
      <w:pPr>
        <w:ind w:left="850" w:hanging="850"/>
        <w:rPr>
          <w:lang w:val="bg-BG"/>
        </w:rPr>
      </w:pPr>
    </w:p>
    <w:p w:rsidR="009C13A9" w:rsidRPr="009072DA" w:rsidRDefault="009C13A9" w:rsidP="009C13A9">
      <w:pPr>
        <w:spacing w:line="240" w:lineRule="atLeast"/>
        <w:rPr>
          <w:rFonts w:cs="Arial"/>
          <w:color w:val="000000"/>
          <w:lang w:val="bg-BG"/>
        </w:rPr>
      </w:pPr>
      <w:r w:rsidRPr="009072DA">
        <w:rPr>
          <w:color w:val="000000"/>
          <w:lang w:val="bg-BG"/>
        </w:rPr>
        <w:t>1.3</w:t>
      </w:r>
      <w:r w:rsidRPr="009072DA">
        <w:rPr>
          <w:lang w:val="bg-BG"/>
        </w:rPr>
        <w:tab/>
      </w:r>
      <w:r w:rsidRPr="009072DA">
        <w:rPr>
          <w:color w:val="000000"/>
          <w:lang w:val="bg-BG"/>
        </w:rPr>
        <w:t>Документи, които трябва да бъдат представени</w:t>
      </w:r>
    </w:p>
    <w:p w:rsidR="009C13A9" w:rsidRPr="009072DA" w:rsidRDefault="009C13A9" w:rsidP="009C13A9">
      <w:pPr>
        <w:ind w:left="851"/>
        <w:rPr>
          <w:lang w:val="bg-BG"/>
        </w:rPr>
      </w:pPr>
    </w:p>
    <w:p w:rsidR="009C13A9" w:rsidRPr="009072DA" w:rsidRDefault="009C13A9" w:rsidP="009C13A9">
      <w:pPr>
        <w:spacing w:line="240" w:lineRule="atLeast"/>
        <w:ind w:left="426"/>
        <w:rPr>
          <w:lang w:val="bg-BG"/>
        </w:rPr>
      </w:pPr>
      <w:r w:rsidRPr="009072DA">
        <w:rPr>
          <w:lang w:val="bg-BG"/>
        </w:rPr>
        <w:t xml:space="preserve">Изпитването се провежда въз основа на информационния документ в съответствие с приложение 7, раздел II. </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rPr>
          <w:rFonts w:cs="Arial"/>
          <w:color w:val="000000"/>
          <w:lang w:val="bg-BG"/>
        </w:rPr>
      </w:pPr>
      <w:r w:rsidRPr="009072DA">
        <w:rPr>
          <w:color w:val="000000"/>
          <w:lang w:val="bg-BG"/>
        </w:rPr>
        <w:t>1.4</w:t>
      </w:r>
      <w:r w:rsidRPr="009072DA">
        <w:rPr>
          <w:lang w:val="bg-BG"/>
        </w:rPr>
        <w:tab/>
      </w:r>
      <w:r w:rsidRPr="009072DA">
        <w:rPr>
          <w:color w:val="000000"/>
          <w:lang w:val="bg-BG"/>
        </w:rPr>
        <w:t xml:space="preserve">Спецификации за оразмеряване на пречиствателна станция </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Бордовите станции за пречистване на отпадъчни води се оразмеряват и проектират така, че пределните стойности в техния изходящ поток, специфицирани в таблици 1 и 2 от член 18.01, точка 2, да не бъдат надвишавани в хода на експлоатацията.</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rPr>
          <w:rFonts w:cs="Arial"/>
          <w:b/>
          <w:color w:val="000000"/>
          <w:lang w:val="bg-BG"/>
        </w:rPr>
      </w:pPr>
      <w:r w:rsidRPr="009072DA">
        <w:rPr>
          <w:b/>
          <w:color w:val="000000"/>
          <w:lang w:val="bg-BG"/>
        </w:rPr>
        <w:t>2.</w:t>
      </w:r>
      <w:r w:rsidRPr="009072DA">
        <w:rPr>
          <w:lang w:val="bg-BG"/>
        </w:rPr>
        <w:tab/>
      </w:r>
      <w:r w:rsidRPr="009072DA">
        <w:rPr>
          <w:b/>
          <w:color w:val="000000"/>
          <w:lang w:val="bg-BG"/>
        </w:rPr>
        <w:t xml:space="preserve">Подготвителни мерки преди изпитване </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2.1</w:t>
      </w:r>
      <w:r w:rsidRPr="009072DA">
        <w:rPr>
          <w:lang w:val="bg-BG"/>
        </w:rPr>
        <w:tab/>
      </w:r>
      <w:r w:rsidRPr="009072DA">
        <w:rPr>
          <w:color w:val="000000"/>
          <w:lang w:val="bg-BG"/>
        </w:rPr>
        <w:t>Общи положения</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ind w:left="426"/>
        <w:rPr>
          <w:lang w:val="bg-BG"/>
        </w:rPr>
      </w:pPr>
      <w:r w:rsidRPr="009072DA">
        <w:rPr>
          <w:lang w:val="bg-BG"/>
        </w:rPr>
        <w:t>Преди началото на изпитването производителят предоставя на техническата служба конструктивни и технологични спецификации за изпитвателната пречиствателна станция, които включват пълен набор чертежи и съответни изчисления в съответствие с приложение 7, раздел II, и предоставя пълна информация относно изискванията, свързани с инсталирането, експлоатацията и поддръжката на бордовата станция за пречистване на отпадъчни води.  Производителят предоставя на техническата служба информация за механичната, електрическата и техническата безопасност на бордовата станция за пречистване на отпадъчни води, която ще се изпитва.</w:t>
      </w:r>
    </w:p>
    <w:p w:rsidR="009C13A9" w:rsidRPr="009072DA" w:rsidRDefault="009C13A9" w:rsidP="009C13A9">
      <w:pPr>
        <w:ind w:left="851"/>
        <w:rPr>
          <w:lang w:val="bg-BG"/>
        </w:rPr>
      </w:pPr>
    </w:p>
    <w:p w:rsidR="009C13A9" w:rsidRPr="009072DA" w:rsidRDefault="009C13A9" w:rsidP="009C13A9">
      <w:pPr>
        <w:spacing w:line="240" w:lineRule="atLeast"/>
        <w:rPr>
          <w:rFonts w:cs="Arial"/>
          <w:color w:val="000000"/>
          <w:lang w:val="bg-BG"/>
        </w:rPr>
      </w:pPr>
      <w:r w:rsidRPr="009072DA">
        <w:rPr>
          <w:color w:val="000000"/>
          <w:lang w:val="bg-BG"/>
        </w:rPr>
        <w:t>2.2</w:t>
      </w:r>
      <w:r w:rsidRPr="009072DA">
        <w:rPr>
          <w:lang w:val="bg-BG"/>
        </w:rPr>
        <w:tab/>
      </w:r>
      <w:r w:rsidRPr="009072DA">
        <w:rPr>
          <w:color w:val="000000"/>
          <w:lang w:val="bg-BG"/>
        </w:rPr>
        <w:t>Инсталиране и въвеждане в експлоатация</w:t>
      </w:r>
    </w:p>
    <w:p w:rsidR="009C13A9" w:rsidRPr="009072DA" w:rsidRDefault="009C13A9" w:rsidP="009C13A9">
      <w:pPr>
        <w:ind w:left="851"/>
        <w:rPr>
          <w:lang w:val="bg-BG"/>
        </w:rPr>
      </w:pPr>
    </w:p>
    <w:p w:rsidR="009C13A9" w:rsidRPr="009072DA" w:rsidRDefault="009C13A9" w:rsidP="009C13A9">
      <w:pPr>
        <w:spacing w:line="240" w:lineRule="atLeast"/>
        <w:ind w:left="426"/>
        <w:rPr>
          <w:lang w:val="bg-BG"/>
        </w:rPr>
      </w:pPr>
      <w:r w:rsidRPr="009072DA">
        <w:rPr>
          <w:lang w:val="bg-BG"/>
        </w:rPr>
        <w:t xml:space="preserve">За целта на изпитването производителят инсталира изпитвателната пречиствателна станция по такъв начин, че да отговаря на предвидените условия за инсталиране на борда на пътнически плавателни съдове. Преди изпитването производителят трябва да сглоби бордовата станция за пречистване на отпадъчни води и да я пусне в експлоатация. Началното пускане трябва да бъде в съответствие с ръководството за работа от производителя и се проверява от техническата служба. </w:t>
      </w:r>
    </w:p>
    <w:p w:rsidR="009C13A9" w:rsidRPr="009072DA" w:rsidRDefault="009C13A9" w:rsidP="009C13A9">
      <w:pPr>
        <w:ind w:left="850" w:hanging="850"/>
        <w:rPr>
          <w:lang w:val="bg-BG"/>
        </w:rPr>
      </w:pPr>
    </w:p>
    <w:p w:rsidR="009C13A9" w:rsidRPr="009072DA" w:rsidRDefault="009C13A9" w:rsidP="009C13A9">
      <w:pPr>
        <w:ind w:left="850" w:hanging="850"/>
        <w:rPr>
          <w:lang w:val="bg-BG"/>
        </w:rPr>
      </w:pPr>
      <w:r w:rsidRPr="009072DA">
        <w:rPr>
          <w:lang w:val="bg-BG"/>
        </w:rPr>
        <w:br w:type="page"/>
      </w:r>
    </w:p>
    <w:p w:rsidR="009C13A9" w:rsidRPr="009072DA" w:rsidRDefault="009C13A9" w:rsidP="009C13A9">
      <w:pPr>
        <w:spacing w:line="240" w:lineRule="atLeast"/>
        <w:rPr>
          <w:rFonts w:cs="Arial"/>
          <w:color w:val="000000"/>
          <w:lang w:val="bg-BG"/>
        </w:rPr>
      </w:pPr>
      <w:r w:rsidRPr="009072DA">
        <w:rPr>
          <w:color w:val="000000"/>
          <w:lang w:val="bg-BG"/>
        </w:rPr>
        <w:lastRenderedPageBreak/>
        <w:t>2.3</w:t>
      </w:r>
      <w:r w:rsidRPr="009072DA">
        <w:rPr>
          <w:lang w:val="bg-BG"/>
        </w:rPr>
        <w:tab/>
      </w:r>
      <w:r w:rsidRPr="009072DA">
        <w:rPr>
          <w:color w:val="000000"/>
          <w:lang w:val="bg-BG"/>
        </w:rPr>
        <w:t>Етап на разработване</w:t>
      </w:r>
    </w:p>
    <w:p w:rsidR="009C13A9" w:rsidRPr="009072DA" w:rsidRDefault="009C13A9" w:rsidP="009C13A9">
      <w:pPr>
        <w:ind w:left="851"/>
        <w:rPr>
          <w:lang w:val="bg-BG"/>
        </w:rPr>
      </w:pPr>
    </w:p>
    <w:p w:rsidR="009C13A9" w:rsidRPr="009072DA" w:rsidRDefault="009C13A9" w:rsidP="009C13A9">
      <w:pPr>
        <w:spacing w:line="240" w:lineRule="atLeast"/>
        <w:ind w:left="426"/>
        <w:rPr>
          <w:lang w:val="bg-BG"/>
        </w:rPr>
      </w:pPr>
      <w:r w:rsidRPr="009072DA">
        <w:rPr>
          <w:lang w:val="bg-BG"/>
        </w:rPr>
        <w:t>Производителят уведомява техническата служба за номиналната продължителност в седмици на етапа на разработване до достигане на нормална работа. Производителят указва точката, в която се счита, че етапът на разработване е завършен и може да започне изпитването.</w:t>
      </w:r>
    </w:p>
    <w:p w:rsidR="009C13A9" w:rsidRPr="009072DA" w:rsidRDefault="009C13A9" w:rsidP="009C13A9">
      <w:pPr>
        <w:ind w:left="850" w:hanging="850"/>
        <w:rPr>
          <w:lang w:val="bg-BG"/>
        </w:rPr>
      </w:pPr>
    </w:p>
    <w:p w:rsidR="009C13A9" w:rsidRPr="009072DA" w:rsidRDefault="009C13A9" w:rsidP="009C13A9">
      <w:pPr>
        <w:spacing w:line="240" w:lineRule="atLeast"/>
        <w:rPr>
          <w:rFonts w:cs="Arial"/>
          <w:color w:val="000000"/>
          <w:lang w:val="bg-BG"/>
        </w:rPr>
      </w:pPr>
      <w:r w:rsidRPr="009072DA">
        <w:rPr>
          <w:color w:val="000000"/>
          <w:lang w:val="bg-BG"/>
        </w:rPr>
        <w:t>2.4</w:t>
      </w:r>
      <w:r w:rsidRPr="009072DA">
        <w:rPr>
          <w:lang w:val="bg-BG"/>
        </w:rPr>
        <w:tab/>
      </w:r>
      <w:r w:rsidRPr="009072DA">
        <w:rPr>
          <w:color w:val="000000"/>
          <w:lang w:val="bg-BG"/>
        </w:rPr>
        <w:t>Характеристики на входящия поток</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 xml:space="preserve">За изпитването на изпитвателната пречиствателна станция се използват непречистени битови отпадъчни води. Характеристиките на входящия поток по отношение на концентрациите на замърсители се получават от предоставената от производителя документация за оразмеряване на бордова станция за пречистване на отпадъчни води в съответствие с приложение 7, раздел II, като се образува частното на дебита на органичните вещества във вид на замърсяване по </w:t>
      </w:r>
      <m:oMath>
        <m:sSub>
          <m:sSubPr>
            <m:ctrlPr>
              <w:rPr>
                <w:rFonts w:ascii="Cambria Math" w:hAnsi="Cambria Math"/>
                <w:i/>
                <w:lang w:val="bg-BG"/>
              </w:rPr>
            </m:ctrlPr>
          </m:sSubPr>
          <m:e>
            <m:r>
              <w:rPr>
                <w:rFonts w:ascii="Cambria Math" w:hAnsi="Cambria Math"/>
                <w:lang w:val="bg-BG"/>
              </w:rPr>
              <m:t>BOD</m:t>
            </m:r>
          </m:e>
          <m:sub>
            <m:r>
              <w:rPr>
                <w:rFonts w:ascii="Cambria Math" w:hAnsi="Cambria Math"/>
                <w:lang w:val="bg-BG"/>
              </w:rPr>
              <m:t>5</m:t>
            </m:r>
          </m:sub>
        </m:sSub>
      </m:oMath>
      <w:r w:rsidRPr="009072DA">
        <w:rPr>
          <w:lang w:val="bg-BG"/>
        </w:rPr>
        <w:t xml:space="preserve"> в kg/ден и проектния дебит на отпадъчните води </w:t>
      </w:r>
      <m:oMath>
        <m:sSub>
          <m:sSubPr>
            <m:ctrlPr>
              <w:rPr>
                <w:rFonts w:ascii="Cambria Math" w:hAnsi="Cambria Math"/>
                <w:i/>
                <w:sz w:val="18"/>
                <w:szCs w:val="18"/>
                <w:lang w:val="bg-BG"/>
              </w:rPr>
            </m:ctrlPr>
          </m:sSubPr>
          <m:e>
            <m:r>
              <w:rPr>
                <w:rFonts w:ascii="Cambria Math" w:hAnsi="Cambria Math"/>
                <w:sz w:val="18"/>
                <w:szCs w:val="18"/>
                <w:lang w:val="bg-BG"/>
              </w:rPr>
              <m:t>Q</m:t>
            </m:r>
          </m:e>
          <m:sub>
            <m:r>
              <w:rPr>
                <w:rFonts w:ascii="Cambria Math" w:hAnsi="Cambria Math"/>
                <w:sz w:val="18"/>
                <w:szCs w:val="18"/>
                <w:lang w:val="bg-BG"/>
              </w:rPr>
              <m:t>d</m:t>
            </m:r>
          </m:sub>
        </m:sSub>
      </m:oMath>
      <w:r w:rsidRPr="009072DA">
        <w:rPr>
          <w:lang w:val="bg-BG"/>
        </w:rPr>
        <w:t xml:space="preserve"> в m³/ден. Характеристиките на входящия поток трябва да бъдат съответно зададени от контролния орган.</w:t>
      </w:r>
    </w:p>
    <w:p w:rsidR="009C13A9" w:rsidRPr="009072DA" w:rsidRDefault="009C13A9" w:rsidP="009C13A9">
      <w:pPr>
        <w:ind w:left="851"/>
        <w:rPr>
          <w:lang w:val="bg-BG"/>
        </w:rPr>
      </w:pPr>
    </w:p>
    <w:p w:rsidR="009C13A9" w:rsidRPr="009072DA" w:rsidRDefault="009C13A9" w:rsidP="009C13A9">
      <w:pPr>
        <w:spacing w:line="240" w:lineRule="atLeast"/>
        <w:ind w:left="426"/>
        <w:rPr>
          <w:lang w:val="bg-BG"/>
        </w:rPr>
      </w:pPr>
      <w:r w:rsidRPr="009072DA">
        <w:rPr>
          <w:lang w:val="bg-BG"/>
        </w:rPr>
        <w:t>Формула 1 — Изчисляване на характеристиките на входящия поток</w:t>
      </w:r>
    </w:p>
    <w:p w:rsidR="00117BDC" w:rsidRPr="009072DA" w:rsidRDefault="00117BDC" w:rsidP="009C13A9">
      <w:pPr>
        <w:spacing w:line="240" w:lineRule="atLeast"/>
        <w:ind w:left="426"/>
        <w:rPr>
          <w:lang w:val="bg-BG"/>
        </w:rPr>
      </w:pPr>
    </w:p>
    <w:p w:rsidR="00117BDC" w:rsidRPr="009072DA" w:rsidRDefault="002B712C" w:rsidP="009C13A9">
      <w:pPr>
        <w:spacing w:line="240" w:lineRule="atLeast"/>
        <w:ind w:left="426"/>
        <w:rPr>
          <w:lang w:val="bg-BG"/>
        </w:rPr>
      </w:pPr>
      <m:oMathPara>
        <m:oMath>
          <m:sSub>
            <m:sSubPr>
              <m:ctrlPr>
                <w:rPr>
                  <w:rFonts w:ascii="Cambria Math" w:hAnsi="Cambria Math"/>
                  <w:i/>
                  <w:lang w:val="bg-BG"/>
                </w:rPr>
              </m:ctrlPr>
            </m:sSubPr>
            <m:e>
              <m:r>
                <w:rPr>
                  <w:rFonts w:ascii="Cambria Math" w:hAnsi="Cambria Math"/>
                  <w:lang w:val="bg-BG"/>
                </w:rPr>
                <m:t>C</m:t>
              </m:r>
            </m:e>
            <m:sub>
              <m:r>
                <w:rPr>
                  <w:rFonts w:ascii="Cambria Math" w:hAnsi="Cambria Math"/>
                  <w:lang w:val="bg-BG"/>
                </w:rPr>
                <m:t>BOD5,mean</m:t>
              </m:r>
            </m:sub>
          </m:sSub>
          <m:r>
            <w:rPr>
              <w:rFonts w:ascii="Cambria Math" w:hAnsi="Cambria Math"/>
              <w:lang w:val="bg-BG"/>
            </w:rPr>
            <m:t xml:space="preserve">= </m:t>
          </m:r>
          <m:f>
            <m:fPr>
              <m:ctrlPr>
                <w:rPr>
                  <w:rFonts w:ascii="Cambria Math" w:hAnsi="Cambria Math"/>
                  <w:i/>
                  <w:lang w:val="bg-BG"/>
                </w:rPr>
              </m:ctrlPr>
            </m:fPr>
            <m:num>
              <m:sSub>
                <m:sSubPr>
                  <m:ctrlPr>
                    <w:rPr>
                      <w:rFonts w:ascii="Cambria Math" w:hAnsi="Cambria Math"/>
                      <w:i/>
                      <w:lang w:val="bg-BG"/>
                    </w:rPr>
                  </m:ctrlPr>
                </m:sSubPr>
                <m:e>
                  <m:r>
                    <w:rPr>
                      <w:rFonts w:ascii="Cambria Math" w:hAnsi="Cambria Math"/>
                      <w:lang w:val="bg-BG"/>
                    </w:rPr>
                    <m:t>BOD</m:t>
                  </m:r>
                </m:e>
                <m:sub>
                  <m:r>
                    <w:rPr>
                      <w:rFonts w:ascii="Cambria Math" w:hAnsi="Cambria Math"/>
                      <w:lang w:val="bg-BG"/>
                    </w:rPr>
                    <m:t>5</m:t>
                  </m:r>
                </m:sub>
              </m:sSub>
            </m:num>
            <m:den>
              <m:sSub>
                <m:sSubPr>
                  <m:ctrlPr>
                    <w:rPr>
                      <w:rFonts w:ascii="Cambria Math" w:hAnsi="Cambria Math"/>
                      <w:i/>
                      <w:lang w:val="bg-BG"/>
                    </w:rPr>
                  </m:ctrlPr>
                </m:sSubPr>
                <m:e>
                  <m:r>
                    <w:rPr>
                      <w:rFonts w:ascii="Cambria Math" w:hAnsi="Cambria Math"/>
                      <w:lang w:val="bg-BG"/>
                    </w:rPr>
                    <m:t>Q</m:t>
                  </m:r>
                </m:e>
                <m:sub>
                  <m:r>
                    <w:rPr>
                      <w:rFonts w:ascii="Cambria Math" w:hAnsi="Cambria Math"/>
                      <w:lang w:val="bg-BG"/>
                    </w:rPr>
                    <m:t>d</m:t>
                  </m:r>
                </m:sub>
              </m:sSub>
            </m:den>
          </m:f>
          <m:r>
            <w:rPr>
              <w:rFonts w:ascii="Cambria Math" w:hAnsi="Cambria Math"/>
              <w:lang w:val="bg-BG"/>
            </w:rPr>
            <m:t xml:space="preserve"> </m:t>
          </m:r>
          <m:d>
            <m:dPr>
              <m:begChr m:val="["/>
              <m:endChr m:val="]"/>
              <m:ctrlPr>
                <w:rPr>
                  <w:rFonts w:ascii="Cambria Math" w:hAnsi="Cambria Math"/>
                  <w:i/>
                  <w:lang w:val="bg-BG"/>
                </w:rPr>
              </m:ctrlPr>
            </m:dPr>
            <m:e>
              <m:f>
                <m:fPr>
                  <m:ctrlPr>
                    <w:rPr>
                      <w:rFonts w:ascii="Cambria Math" w:hAnsi="Cambria Math"/>
                      <w:i/>
                      <w:lang w:val="bg-BG"/>
                    </w:rPr>
                  </m:ctrlPr>
                </m:fPr>
                <m:num>
                  <m:r>
                    <w:rPr>
                      <w:rFonts w:ascii="Cambria Math" w:hAnsi="Cambria Math"/>
                      <w:lang w:val="bg-BG"/>
                    </w:rPr>
                    <m:t>kg/d</m:t>
                  </m:r>
                </m:num>
                <m:den>
                  <m:sSup>
                    <m:sSupPr>
                      <m:ctrlPr>
                        <w:rPr>
                          <w:rFonts w:ascii="Cambria Math" w:hAnsi="Cambria Math"/>
                          <w:i/>
                          <w:lang w:val="bg-BG"/>
                        </w:rPr>
                      </m:ctrlPr>
                    </m:sSupPr>
                    <m:e>
                      <m:r>
                        <w:rPr>
                          <w:rFonts w:ascii="Cambria Math" w:hAnsi="Cambria Math"/>
                          <w:lang w:val="bg-BG"/>
                        </w:rPr>
                        <m:t>m</m:t>
                      </m:r>
                    </m:e>
                    <m:sup>
                      <m:r>
                        <w:rPr>
                          <w:rFonts w:ascii="Cambria Math" w:hAnsi="Cambria Math"/>
                          <w:lang w:val="bg-BG"/>
                        </w:rPr>
                        <m:t>3</m:t>
                      </m:r>
                    </m:sup>
                  </m:sSup>
                  <m:r>
                    <w:rPr>
                      <w:rFonts w:ascii="Cambria Math" w:hAnsi="Cambria Math"/>
                      <w:lang w:val="bg-BG"/>
                    </w:rPr>
                    <m:t>/d</m:t>
                  </m:r>
                </m:den>
              </m:f>
            </m:e>
          </m:d>
        </m:oMath>
      </m:oMathPara>
    </w:p>
    <w:p w:rsidR="009C13A9" w:rsidRPr="009072DA" w:rsidRDefault="009C13A9" w:rsidP="009C13A9">
      <w:pPr>
        <w:spacing w:line="240" w:lineRule="atLeast"/>
        <w:ind w:left="426"/>
        <w:rPr>
          <w:lang w:val="bg-BG"/>
        </w:rPr>
      </w:pPr>
    </w:p>
    <w:p w:rsidR="009C13A9" w:rsidRPr="009072DA" w:rsidRDefault="00A936D2" w:rsidP="00A76137">
      <w:pPr>
        <w:spacing w:line="240" w:lineRule="atLeast"/>
        <w:ind w:firstLine="1"/>
        <w:rPr>
          <w:lang w:val="bg-BG"/>
        </w:rPr>
      </w:pPr>
      <w:r w:rsidRPr="009072DA">
        <w:rPr>
          <w:lang w:val="bg-BG"/>
        </w:rPr>
        <w:t xml:space="preserve">Ако изчислението, извършено в съответствие с формула 1, води до средна </w:t>
      </w:r>
      <m:oMath>
        <m:sSub>
          <m:sSubPr>
            <m:ctrlPr>
              <w:rPr>
                <w:rFonts w:ascii="Cambria Math" w:hAnsi="Cambria Math"/>
                <w:i/>
                <w:lang w:val="bg-BG"/>
              </w:rPr>
            </m:ctrlPr>
          </m:sSubPr>
          <m:e>
            <m:r>
              <w:rPr>
                <w:rFonts w:ascii="Cambria Math" w:hAnsi="Cambria Math"/>
                <w:lang w:val="bg-BG"/>
              </w:rPr>
              <m:t>BOD</m:t>
            </m:r>
          </m:e>
          <m:sub>
            <m:r>
              <w:rPr>
                <w:rFonts w:ascii="Cambria Math" w:hAnsi="Cambria Math"/>
                <w:lang w:val="bg-BG"/>
              </w:rPr>
              <m:t>5</m:t>
            </m:r>
          </m:sub>
        </m:sSub>
      </m:oMath>
      <w:r w:rsidRPr="009072DA">
        <w:rPr>
          <w:lang w:val="bg-BG"/>
        </w:rPr>
        <w:t xml:space="preserve"> концентрация от по-малко от </w:t>
      </w:r>
      <m:oMath>
        <m:sSub>
          <m:sSubPr>
            <m:ctrlPr>
              <w:rPr>
                <w:rFonts w:ascii="Cambria Math" w:hAnsi="Cambria Math" w:cs="Arial"/>
                <w:i/>
                <w:color w:val="000000"/>
                <w:lang w:val="bg-BG"/>
              </w:rPr>
            </m:ctrlPr>
          </m:sSubPr>
          <m:e>
            <m:r>
              <w:rPr>
                <w:rFonts w:ascii="Cambria Math" w:hAnsi="Cambria Math" w:cs="Arial"/>
                <w:color w:val="000000"/>
                <w:lang w:val="bg-BG"/>
              </w:rPr>
              <m:t>C</m:t>
            </m:r>
          </m:e>
          <m:sub>
            <m:sSub>
              <m:sSubPr>
                <m:ctrlPr>
                  <w:rPr>
                    <w:rFonts w:ascii="Cambria Math" w:hAnsi="Cambria Math" w:cs="Arial"/>
                    <w:i/>
                    <w:color w:val="000000"/>
                    <w:lang w:val="bg-BG"/>
                  </w:rPr>
                </m:ctrlPr>
              </m:sSubPr>
              <m:e>
                <m:r>
                  <w:rPr>
                    <w:rFonts w:ascii="Cambria Math" w:hAnsi="Cambria Math" w:cs="Arial"/>
                    <w:color w:val="000000"/>
                    <w:lang w:val="bg-BG"/>
                  </w:rPr>
                  <m:t>BOD</m:t>
                </m:r>
              </m:e>
              <m:sub>
                <m:r>
                  <w:rPr>
                    <w:rFonts w:ascii="Cambria Math" w:hAnsi="Cambria Math" w:cs="Arial"/>
                    <w:color w:val="000000"/>
                    <w:lang w:val="bg-BG"/>
                  </w:rPr>
                  <m:t>5, mean</m:t>
                </m:r>
              </m:sub>
            </m:sSub>
          </m:sub>
        </m:sSub>
        <m:r>
          <w:rPr>
            <w:rFonts w:ascii="Cambria Math" w:hAnsi="Cambria Math" w:cs="Arial"/>
            <w:color w:val="000000"/>
            <w:lang w:val="bg-BG"/>
          </w:rPr>
          <m:t>=500 mg/l</m:t>
        </m:r>
      </m:oMath>
      <w:r w:rsidRPr="009072DA">
        <w:rPr>
          <w:lang w:val="bg-BG"/>
        </w:rPr>
        <w:t xml:space="preserve">, трябва да се спазва минимална средна </w:t>
      </w:r>
      <m:oMath>
        <m:sSub>
          <m:sSubPr>
            <m:ctrlPr>
              <w:rPr>
                <w:rFonts w:ascii="Cambria Math" w:hAnsi="Cambria Math"/>
                <w:i/>
                <w:lang w:val="bg-BG"/>
              </w:rPr>
            </m:ctrlPr>
          </m:sSubPr>
          <m:e>
            <m:r>
              <w:rPr>
                <w:rFonts w:ascii="Cambria Math" w:hAnsi="Cambria Math"/>
                <w:lang w:val="bg-BG"/>
              </w:rPr>
              <m:t>BOD</m:t>
            </m:r>
          </m:e>
          <m:sub>
            <m:r>
              <w:rPr>
                <w:rFonts w:ascii="Cambria Math" w:hAnsi="Cambria Math"/>
                <w:lang w:val="bg-BG"/>
              </w:rPr>
              <m:t>5</m:t>
            </m:r>
          </m:sub>
        </m:sSub>
      </m:oMath>
      <w:r w:rsidRPr="009072DA">
        <w:rPr>
          <w:lang w:val="bg-BG"/>
        </w:rPr>
        <w:t xml:space="preserve"> концентрация във входящия поток от отпадъчни води от 500 mg/l.</w:t>
      </w:r>
    </w:p>
    <w:p w:rsidR="009C13A9" w:rsidRPr="009072DA" w:rsidRDefault="009C13A9" w:rsidP="009C13A9">
      <w:pPr>
        <w:spacing w:line="240" w:lineRule="atLeast"/>
        <w:ind w:left="426"/>
        <w:rPr>
          <w:lang w:val="bg-BG"/>
        </w:rPr>
      </w:pPr>
      <w:r w:rsidRPr="009072DA">
        <w:rPr>
          <w:lang w:val="bg-BG"/>
        </w:rPr>
        <w:t xml:space="preserve">Техническата служба не трябва да прекъсва постъпващите непречистени отпадъчни води в дробилна машина.  Разрешава се отстраняване на пясъка (например чрез пресяване). </w:t>
      </w:r>
    </w:p>
    <w:p w:rsidR="001E2A58" w:rsidRPr="009072DA" w:rsidRDefault="001E2A58" w:rsidP="009C13A9">
      <w:pPr>
        <w:spacing w:line="240" w:lineRule="atLeast"/>
        <w:ind w:left="426"/>
        <w:rPr>
          <w:lang w:val="bg-BG"/>
        </w:rPr>
      </w:pPr>
    </w:p>
    <w:p w:rsidR="009C13A9" w:rsidRPr="009072DA" w:rsidRDefault="009C13A9" w:rsidP="009C13A9">
      <w:pPr>
        <w:spacing w:line="240" w:lineRule="atLeast"/>
        <w:rPr>
          <w:rFonts w:cs="Arial"/>
          <w:b/>
          <w:color w:val="000000"/>
          <w:lang w:val="bg-BG"/>
        </w:rPr>
      </w:pPr>
      <w:r w:rsidRPr="009072DA">
        <w:rPr>
          <w:b/>
          <w:color w:val="000000"/>
          <w:lang w:val="bg-BG"/>
        </w:rPr>
        <w:t>3.</w:t>
      </w:r>
      <w:r w:rsidRPr="009072DA">
        <w:rPr>
          <w:lang w:val="bg-BG"/>
        </w:rPr>
        <w:tab/>
      </w:r>
      <w:r w:rsidRPr="009072DA">
        <w:rPr>
          <w:b/>
          <w:color w:val="000000"/>
          <w:lang w:val="bg-BG"/>
        </w:rPr>
        <w:t>Процедура на изпитване</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3.1</w:t>
      </w:r>
      <w:r w:rsidRPr="009072DA">
        <w:rPr>
          <w:lang w:val="bg-BG"/>
        </w:rPr>
        <w:tab/>
      </w:r>
      <w:r w:rsidRPr="009072DA">
        <w:rPr>
          <w:color w:val="000000"/>
          <w:lang w:val="bg-BG"/>
        </w:rPr>
        <w:t>Етапи на натоварване и подаване на течност</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ind w:left="426"/>
        <w:rPr>
          <w:lang w:val="bg-BG"/>
        </w:rPr>
      </w:pPr>
      <w:r w:rsidRPr="009072DA">
        <w:rPr>
          <w:lang w:val="bg-BG"/>
        </w:rPr>
        <w:t xml:space="preserve">Периодът на изпитване включва 30 дни на изпитване. Изпитвателната пречиствателна станция се захранва на изпитвателната площадка с битови отпадъчни води в съответствие </w:t>
      </w:r>
      <w:r w:rsidRPr="009072DA">
        <w:rPr>
          <w:lang w:val="bg-BG"/>
        </w:rPr>
        <w:lastRenderedPageBreak/>
        <w:t>със замърсяванията, посочени в таблица 1. Включват се различни етапи на натоварване, като за последователността на изпитване се отчитат нормалните и специални етапи на натоварване, като претоварване, недонатоварване и работа в режим на готовност. Продължителността на всеки етап на натоварване (брой дни) е дадена в таблица 1. Средният дневен хидравличен товар за всеки етап на натоварване се определя в съответствие с таблица 1.  Средната концентрация на замърсители, която се определя в съответствие с точка 2.4, се поддържа постоянна.</w:t>
      </w:r>
    </w:p>
    <w:p w:rsidR="009C13A9" w:rsidRPr="009072DA" w:rsidRDefault="009C13A9" w:rsidP="009C13A9">
      <w:pPr>
        <w:spacing w:line="240" w:lineRule="atLeast"/>
        <w:rPr>
          <w:rFonts w:cs="Arial"/>
          <w:color w:val="000000"/>
          <w:lang w:val="bg-BG"/>
        </w:rPr>
      </w:pPr>
    </w:p>
    <w:p w:rsidR="009C13A9" w:rsidRPr="009072DA" w:rsidRDefault="009C13A9" w:rsidP="009C13A9">
      <w:pPr>
        <w:tabs>
          <w:tab w:val="left" w:pos="1276"/>
        </w:tabs>
        <w:spacing w:line="240" w:lineRule="atLeast"/>
        <w:ind w:left="426"/>
        <w:rPr>
          <w:lang w:val="bg-BG"/>
        </w:rPr>
      </w:pPr>
      <w:r w:rsidRPr="009072DA">
        <w:rPr>
          <w:lang w:val="bg-BG"/>
        </w:rPr>
        <w:t>Таблица 1:</w:t>
      </w:r>
      <w:r w:rsidRPr="009072DA">
        <w:rPr>
          <w:lang w:val="bg-BG"/>
        </w:rPr>
        <w:tab/>
        <w:t>Настройки на натоварването за всеки етап на натоварване</w:t>
      </w:r>
    </w:p>
    <w:p w:rsidR="009C13A9" w:rsidRPr="009072DA" w:rsidRDefault="009C13A9" w:rsidP="009C13A9">
      <w:pPr>
        <w:tabs>
          <w:tab w:val="left" w:pos="1418"/>
        </w:tabs>
        <w:suppressAutoHyphens/>
        <w:spacing w:line="240" w:lineRule="atLeast"/>
        <w:ind w:left="709" w:hanging="709"/>
        <w:rPr>
          <w:rFonts w:cs="Arial"/>
          <w:szCs w:val="20"/>
          <w:lang w:val="bg-BG"/>
        </w:rPr>
      </w:pPr>
    </w:p>
    <w:tbl>
      <w:tblPr>
        <w:tblW w:w="0" w:type="auto"/>
        <w:jc w:val="center"/>
        <w:tblLayout w:type="fixed"/>
        <w:tblLook w:val="0000" w:firstRow="0" w:lastRow="0" w:firstColumn="0" w:lastColumn="0" w:noHBand="0" w:noVBand="0"/>
      </w:tblPr>
      <w:tblGrid>
        <w:gridCol w:w="1418"/>
        <w:gridCol w:w="1134"/>
        <w:gridCol w:w="2268"/>
        <w:gridCol w:w="3345"/>
      </w:tblGrid>
      <w:tr w:rsidR="009C13A9" w:rsidRPr="009072DA" w:rsidTr="009C13A9">
        <w:trPr>
          <w:jc w:val="center"/>
        </w:trPr>
        <w:tc>
          <w:tcPr>
            <w:tcW w:w="1418" w:type="dxa"/>
            <w:tcBorders>
              <w:top w:val="single" w:sz="4" w:space="0" w:color="000000"/>
              <w:left w:val="single" w:sz="4" w:space="0" w:color="000000"/>
              <w:bottom w:val="single" w:sz="4" w:space="0" w:color="000000"/>
            </w:tcBorders>
            <w:shd w:val="clear" w:color="auto" w:fill="auto"/>
          </w:tcPr>
          <w:p w:rsidR="009C13A9" w:rsidRPr="009072DA" w:rsidRDefault="009C13A9" w:rsidP="009C13A9">
            <w:pPr>
              <w:spacing w:before="60" w:after="60" w:line="240" w:lineRule="atLeast"/>
              <w:jc w:val="center"/>
              <w:rPr>
                <w:sz w:val="18"/>
                <w:szCs w:val="18"/>
                <w:lang w:val="bg-BG"/>
              </w:rPr>
            </w:pPr>
            <w:r w:rsidRPr="009072DA">
              <w:rPr>
                <w:sz w:val="18"/>
                <w:lang w:val="bg-BG"/>
              </w:rPr>
              <w:t>Фаза</w:t>
            </w:r>
          </w:p>
        </w:tc>
        <w:tc>
          <w:tcPr>
            <w:tcW w:w="1134" w:type="dxa"/>
            <w:tcBorders>
              <w:top w:val="single" w:sz="4" w:space="0" w:color="000000"/>
              <w:left w:val="single" w:sz="4" w:space="0" w:color="000000"/>
              <w:bottom w:val="single" w:sz="4" w:space="0" w:color="000000"/>
            </w:tcBorders>
          </w:tcPr>
          <w:p w:rsidR="009C13A9" w:rsidRPr="009072DA" w:rsidRDefault="009C13A9" w:rsidP="009C13A9">
            <w:pPr>
              <w:spacing w:before="60" w:after="60" w:line="240" w:lineRule="atLeast"/>
              <w:jc w:val="center"/>
              <w:rPr>
                <w:sz w:val="18"/>
                <w:szCs w:val="18"/>
                <w:lang w:val="bg-BG"/>
              </w:rPr>
            </w:pPr>
            <w:r w:rsidRPr="009072DA">
              <w:rPr>
                <w:sz w:val="18"/>
                <w:lang w:val="bg-BG"/>
              </w:rPr>
              <w:t>Брой дни на изпитване</w:t>
            </w:r>
          </w:p>
        </w:tc>
        <w:tc>
          <w:tcPr>
            <w:tcW w:w="2268" w:type="dxa"/>
            <w:tcBorders>
              <w:top w:val="single" w:sz="4" w:space="0" w:color="000000"/>
              <w:left w:val="single" w:sz="4" w:space="0" w:color="000000"/>
              <w:bottom w:val="single" w:sz="4" w:space="0" w:color="000000"/>
            </w:tcBorders>
          </w:tcPr>
          <w:p w:rsidR="009C13A9" w:rsidRPr="009072DA" w:rsidRDefault="009C13A9" w:rsidP="009C13A9">
            <w:pPr>
              <w:spacing w:before="60" w:after="60" w:line="240" w:lineRule="atLeast"/>
              <w:jc w:val="center"/>
              <w:rPr>
                <w:sz w:val="18"/>
                <w:szCs w:val="18"/>
                <w:lang w:val="bg-BG"/>
              </w:rPr>
            </w:pPr>
            <w:r w:rsidRPr="009072DA">
              <w:rPr>
                <w:sz w:val="18"/>
                <w:lang w:val="bg-BG"/>
              </w:rPr>
              <w:t>Дневен хидравличен товар</w:t>
            </w:r>
          </w:p>
        </w:tc>
        <w:tc>
          <w:tcPr>
            <w:tcW w:w="3345" w:type="dxa"/>
            <w:tcBorders>
              <w:top w:val="single" w:sz="4" w:space="0" w:color="000000"/>
              <w:left w:val="single" w:sz="4" w:space="0" w:color="000000"/>
              <w:bottom w:val="single" w:sz="4" w:space="0" w:color="000000"/>
              <w:right w:val="single" w:sz="4" w:space="0" w:color="000000"/>
            </w:tcBorders>
          </w:tcPr>
          <w:p w:rsidR="009C13A9" w:rsidRPr="009072DA" w:rsidRDefault="009C13A9" w:rsidP="009C13A9">
            <w:pPr>
              <w:spacing w:before="60" w:after="60" w:line="240" w:lineRule="atLeast"/>
              <w:jc w:val="center"/>
              <w:rPr>
                <w:sz w:val="18"/>
                <w:szCs w:val="18"/>
                <w:lang w:val="bg-BG"/>
              </w:rPr>
            </w:pPr>
            <w:r w:rsidRPr="009072DA">
              <w:rPr>
                <w:sz w:val="18"/>
                <w:lang w:val="bg-BG"/>
              </w:rPr>
              <w:t>Концентрация на замърсителя</w:t>
            </w:r>
          </w:p>
        </w:tc>
      </w:tr>
      <w:tr w:rsidR="009C13A9" w:rsidRPr="008D2440" w:rsidTr="009C13A9">
        <w:trPr>
          <w:jc w:val="center"/>
        </w:trPr>
        <w:tc>
          <w:tcPr>
            <w:tcW w:w="1418" w:type="dxa"/>
            <w:tcBorders>
              <w:top w:val="single" w:sz="4" w:space="0" w:color="000000"/>
              <w:left w:val="single" w:sz="4" w:space="0" w:color="000000"/>
              <w:bottom w:val="single" w:sz="4" w:space="0" w:color="000000"/>
            </w:tcBorders>
          </w:tcPr>
          <w:p w:rsidR="009C13A9" w:rsidRPr="009072DA" w:rsidRDefault="009C13A9" w:rsidP="009C13A9">
            <w:pPr>
              <w:spacing w:before="60" w:after="60" w:line="240" w:lineRule="atLeast"/>
              <w:rPr>
                <w:sz w:val="18"/>
                <w:szCs w:val="18"/>
                <w:lang w:val="bg-BG"/>
              </w:rPr>
            </w:pPr>
            <w:r w:rsidRPr="009072DA">
              <w:rPr>
                <w:sz w:val="18"/>
                <w:lang w:val="bg-BG"/>
              </w:rPr>
              <w:t>Нормално натоварване</w:t>
            </w:r>
          </w:p>
        </w:tc>
        <w:tc>
          <w:tcPr>
            <w:tcW w:w="1134" w:type="dxa"/>
            <w:tcBorders>
              <w:top w:val="single" w:sz="4" w:space="0" w:color="000000"/>
              <w:left w:val="single" w:sz="4" w:space="0" w:color="000000"/>
              <w:bottom w:val="single" w:sz="4" w:space="0" w:color="000000"/>
            </w:tcBorders>
          </w:tcPr>
          <w:p w:rsidR="009C13A9" w:rsidRPr="009072DA" w:rsidRDefault="009C13A9" w:rsidP="009C13A9">
            <w:pPr>
              <w:spacing w:before="60" w:after="60" w:line="240" w:lineRule="atLeast"/>
              <w:rPr>
                <w:sz w:val="18"/>
                <w:szCs w:val="18"/>
                <w:lang w:val="bg-BG"/>
              </w:rPr>
            </w:pPr>
            <w:r w:rsidRPr="009072DA">
              <w:rPr>
                <w:sz w:val="18"/>
                <w:lang w:val="bg-BG"/>
              </w:rPr>
              <w:t>20 дни</w:t>
            </w:r>
          </w:p>
        </w:tc>
        <w:tc>
          <w:tcPr>
            <w:tcW w:w="2268" w:type="dxa"/>
            <w:tcBorders>
              <w:top w:val="single" w:sz="4" w:space="0" w:color="000000"/>
              <w:left w:val="single" w:sz="4" w:space="0" w:color="000000"/>
              <w:bottom w:val="single" w:sz="4" w:space="0" w:color="000000"/>
            </w:tcBorders>
          </w:tcPr>
          <w:p w:rsidR="009C13A9" w:rsidRPr="009072DA" w:rsidRDefault="002B712C" w:rsidP="009C13A9">
            <w:pPr>
              <w:spacing w:before="60" w:after="60" w:line="240" w:lineRule="atLeast"/>
              <w:rPr>
                <w:sz w:val="18"/>
                <w:szCs w:val="18"/>
                <w:lang w:val="bg-BG"/>
              </w:rPr>
            </w:pPr>
            <m:oMathPara>
              <m:oMath>
                <m:sSub>
                  <m:sSubPr>
                    <m:ctrlPr>
                      <w:rPr>
                        <w:rFonts w:ascii="Cambria Math" w:hAnsi="Cambria Math"/>
                        <w:i/>
                        <w:sz w:val="18"/>
                        <w:szCs w:val="18"/>
                        <w:lang w:val="bg-BG"/>
                      </w:rPr>
                    </m:ctrlPr>
                  </m:sSubPr>
                  <m:e>
                    <m:r>
                      <w:rPr>
                        <w:rFonts w:ascii="Cambria Math" w:hAnsi="Cambria Math"/>
                        <w:sz w:val="18"/>
                        <w:szCs w:val="18"/>
                        <w:lang w:val="bg-BG"/>
                      </w:rPr>
                      <m:t>Q</m:t>
                    </m:r>
                  </m:e>
                  <m:sub>
                    <m:r>
                      <w:rPr>
                        <w:rFonts w:ascii="Cambria Math" w:hAnsi="Cambria Math"/>
                        <w:sz w:val="18"/>
                        <w:szCs w:val="18"/>
                        <w:lang w:val="bg-BG"/>
                      </w:rPr>
                      <m:t>d</m:t>
                    </m:r>
                  </m:sub>
                </m:sSub>
              </m:oMath>
            </m:oMathPara>
          </w:p>
        </w:tc>
        <w:tc>
          <w:tcPr>
            <w:tcW w:w="3345" w:type="dxa"/>
            <w:tcBorders>
              <w:top w:val="single" w:sz="4" w:space="0" w:color="000000"/>
              <w:left w:val="single" w:sz="4" w:space="0" w:color="000000"/>
              <w:bottom w:val="single" w:sz="4" w:space="0" w:color="000000"/>
              <w:right w:val="single" w:sz="4" w:space="0" w:color="000000"/>
            </w:tcBorders>
            <w:shd w:val="clear" w:color="auto" w:fill="auto"/>
          </w:tcPr>
          <w:p w:rsidR="009C13A9" w:rsidRPr="009072DA" w:rsidRDefault="002B712C" w:rsidP="00A76137">
            <w:pPr>
              <w:spacing w:before="60" w:after="60" w:line="240" w:lineRule="atLeast"/>
              <w:rPr>
                <w:sz w:val="18"/>
                <w:szCs w:val="18"/>
                <w:lang w:val="bg-BG"/>
              </w:rPr>
            </w:pPr>
            <m:oMath>
              <m:sSub>
                <m:sSubPr>
                  <m:ctrlPr>
                    <w:rPr>
                      <w:rFonts w:ascii="Cambria Math" w:hAnsi="Cambria Math" w:cs="Arial"/>
                      <w:i/>
                      <w:sz w:val="18"/>
                      <w:szCs w:val="20"/>
                      <w:lang w:val="bg-BG"/>
                    </w:rPr>
                  </m:ctrlPr>
                </m:sSubPr>
                <m:e>
                  <m:r>
                    <w:rPr>
                      <w:rFonts w:ascii="Cambria Math" w:hAnsi="Cambria Math" w:cs="Arial"/>
                      <w:sz w:val="18"/>
                      <w:szCs w:val="20"/>
                      <w:lang w:val="bg-BG"/>
                    </w:rPr>
                    <m:t>C</m:t>
                  </m:r>
                </m:e>
                <m:sub>
                  <m:sSub>
                    <m:sSubPr>
                      <m:ctrlPr>
                        <w:rPr>
                          <w:rFonts w:ascii="Cambria Math" w:hAnsi="Cambria Math" w:cs="Arial"/>
                          <w:i/>
                          <w:sz w:val="18"/>
                          <w:szCs w:val="20"/>
                          <w:lang w:val="bg-BG"/>
                        </w:rPr>
                      </m:ctrlPr>
                    </m:sSubPr>
                    <m:e>
                      <m:r>
                        <w:rPr>
                          <w:rFonts w:ascii="Cambria Math" w:hAnsi="Cambria Math" w:cs="Arial"/>
                          <w:sz w:val="18"/>
                          <w:szCs w:val="20"/>
                          <w:lang w:val="bg-BG"/>
                        </w:rPr>
                        <m:t>BOD</m:t>
                      </m:r>
                    </m:e>
                    <m:sub>
                      <m:r>
                        <w:rPr>
                          <w:rFonts w:ascii="Cambria Math" w:hAnsi="Cambria Math" w:cs="Arial"/>
                          <w:sz w:val="18"/>
                          <w:szCs w:val="20"/>
                          <w:lang w:val="bg-BG"/>
                        </w:rPr>
                        <m:t>5</m:t>
                      </m:r>
                    </m:sub>
                  </m:sSub>
                </m:sub>
              </m:sSub>
            </m:oMath>
            <w:r w:rsidR="007B1046" w:rsidRPr="009072DA">
              <w:rPr>
                <w:sz w:val="18"/>
                <w:lang w:val="bg-BG"/>
              </w:rPr>
              <w:t xml:space="preserve"> в съответствие с 2.4</w:t>
            </w:r>
          </w:p>
        </w:tc>
      </w:tr>
      <w:tr w:rsidR="009C13A9" w:rsidRPr="008D2440" w:rsidTr="009C13A9">
        <w:trPr>
          <w:jc w:val="center"/>
        </w:trPr>
        <w:tc>
          <w:tcPr>
            <w:tcW w:w="1418" w:type="dxa"/>
            <w:tcBorders>
              <w:top w:val="single" w:sz="4" w:space="0" w:color="000000"/>
              <w:left w:val="single" w:sz="4" w:space="0" w:color="000000"/>
              <w:bottom w:val="single" w:sz="4" w:space="0" w:color="000000"/>
            </w:tcBorders>
          </w:tcPr>
          <w:p w:rsidR="009C13A9" w:rsidRPr="009072DA" w:rsidRDefault="009C13A9" w:rsidP="009C13A9">
            <w:pPr>
              <w:spacing w:before="60" w:after="60" w:line="240" w:lineRule="atLeast"/>
              <w:rPr>
                <w:sz w:val="18"/>
                <w:szCs w:val="18"/>
                <w:lang w:val="bg-BG"/>
              </w:rPr>
            </w:pPr>
            <w:r w:rsidRPr="009072DA">
              <w:rPr>
                <w:sz w:val="18"/>
                <w:lang w:val="bg-BG"/>
              </w:rPr>
              <w:t>Претоварване</w:t>
            </w:r>
          </w:p>
        </w:tc>
        <w:tc>
          <w:tcPr>
            <w:tcW w:w="1134" w:type="dxa"/>
            <w:tcBorders>
              <w:top w:val="single" w:sz="4" w:space="0" w:color="000000"/>
              <w:left w:val="single" w:sz="4" w:space="0" w:color="000000"/>
              <w:bottom w:val="single" w:sz="4" w:space="0" w:color="000000"/>
            </w:tcBorders>
          </w:tcPr>
          <w:p w:rsidR="009C13A9" w:rsidRPr="009072DA" w:rsidRDefault="009C13A9" w:rsidP="009C13A9">
            <w:pPr>
              <w:spacing w:before="60" w:after="60" w:line="240" w:lineRule="atLeast"/>
              <w:rPr>
                <w:sz w:val="18"/>
                <w:szCs w:val="18"/>
                <w:lang w:val="bg-BG"/>
              </w:rPr>
            </w:pPr>
            <w:r w:rsidRPr="009072DA">
              <w:rPr>
                <w:sz w:val="18"/>
                <w:lang w:val="bg-BG"/>
              </w:rPr>
              <w:t>3 дни</w:t>
            </w:r>
          </w:p>
        </w:tc>
        <w:tc>
          <w:tcPr>
            <w:tcW w:w="2268" w:type="dxa"/>
            <w:tcBorders>
              <w:top w:val="single" w:sz="4" w:space="0" w:color="000000"/>
              <w:left w:val="single" w:sz="4" w:space="0" w:color="000000"/>
              <w:bottom w:val="single" w:sz="4" w:space="0" w:color="000000"/>
            </w:tcBorders>
          </w:tcPr>
          <w:p w:rsidR="009C13A9" w:rsidRPr="009072DA" w:rsidRDefault="002B712C" w:rsidP="009C13A9">
            <w:pPr>
              <w:spacing w:before="60" w:after="60" w:line="240" w:lineRule="atLeast"/>
              <w:rPr>
                <w:sz w:val="18"/>
                <w:szCs w:val="18"/>
                <w:lang w:val="bg-BG"/>
              </w:rPr>
            </w:pPr>
            <m:oMathPara>
              <m:oMath>
                <m:sSub>
                  <m:sSubPr>
                    <m:ctrlPr>
                      <w:rPr>
                        <w:rFonts w:ascii="Cambria Math" w:hAnsi="Cambria Math"/>
                        <w:i/>
                        <w:sz w:val="18"/>
                        <w:szCs w:val="18"/>
                        <w:lang w:val="bg-BG"/>
                      </w:rPr>
                    </m:ctrlPr>
                  </m:sSubPr>
                  <m:e>
                    <m:r>
                      <w:rPr>
                        <w:rFonts w:ascii="Cambria Math" w:hAnsi="Cambria Math"/>
                        <w:sz w:val="18"/>
                        <w:szCs w:val="18"/>
                        <w:lang w:val="bg-BG"/>
                      </w:rPr>
                      <m:t>1,25 Q</m:t>
                    </m:r>
                  </m:e>
                  <m:sub>
                    <m:r>
                      <w:rPr>
                        <w:rFonts w:ascii="Cambria Math" w:hAnsi="Cambria Math"/>
                        <w:sz w:val="18"/>
                        <w:szCs w:val="18"/>
                        <w:lang w:val="bg-BG"/>
                      </w:rPr>
                      <m:t>d</m:t>
                    </m:r>
                  </m:sub>
                </m:sSub>
              </m:oMath>
            </m:oMathPara>
          </w:p>
        </w:tc>
        <w:tc>
          <w:tcPr>
            <w:tcW w:w="3345" w:type="dxa"/>
            <w:tcBorders>
              <w:top w:val="single" w:sz="4" w:space="0" w:color="000000"/>
              <w:left w:val="single" w:sz="4" w:space="0" w:color="000000"/>
              <w:bottom w:val="single" w:sz="4" w:space="0" w:color="000000"/>
              <w:right w:val="single" w:sz="4" w:space="0" w:color="000000"/>
            </w:tcBorders>
          </w:tcPr>
          <w:p w:rsidR="009C13A9" w:rsidRPr="009072DA" w:rsidRDefault="002B712C" w:rsidP="009C13A9">
            <w:pPr>
              <w:spacing w:before="60" w:after="60" w:line="240" w:lineRule="atLeast"/>
              <w:rPr>
                <w:sz w:val="18"/>
                <w:szCs w:val="18"/>
                <w:lang w:val="bg-BG"/>
              </w:rPr>
            </w:pPr>
            <m:oMath>
              <m:sSub>
                <m:sSubPr>
                  <m:ctrlPr>
                    <w:rPr>
                      <w:rFonts w:ascii="Cambria Math" w:hAnsi="Cambria Math" w:cs="Arial"/>
                      <w:i/>
                      <w:sz w:val="18"/>
                      <w:szCs w:val="20"/>
                      <w:lang w:val="bg-BG"/>
                    </w:rPr>
                  </m:ctrlPr>
                </m:sSubPr>
                <m:e>
                  <m:r>
                    <w:rPr>
                      <w:rFonts w:ascii="Cambria Math" w:hAnsi="Cambria Math" w:cs="Arial"/>
                      <w:sz w:val="18"/>
                      <w:szCs w:val="20"/>
                      <w:lang w:val="bg-BG"/>
                    </w:rPr>
                    <m:t>C</m:t>
                  </m:r>
                </m:e>
                <m:sub>
                  <m:sSub>
                    <m:sSubPr>
                      <m:ctrlPr>
                        <w:rPr>
                          <w:rFonts w:ascii="Cambria Math" w:hAnsi="Cambria Math" w:cs="Arial"/>
                          <w:i/>
                          <w:sz w:val="18"/>
                          <w:szCs w:val="20"/>
                          <w:lang w:val="bg-BG"/>
                        </w:rPr>
                      </m:ctrlPr>
                    </m:sSubPr>
                    <m:e>
                      <m:r>
                        <w:rPr>
                          <w:rFonts w:ascii="Cambria Math" w:hAnsi="Cambria Math" w:cs="Arial"/>
                          <w:sz w:val="18"/>
                          <w:szCs w:val="20"/>
                          <w:lang w:val="bg-BG"/>
                        </w:rPr>
                        <m:t>BOD</m:t>
                      </m:r>
                    </m:e>
                    <m:sub>
                      <m:r>
                        <w:rPr>
                          <w:rFonts w:ascii="Cambria Math" w:hAnsi="Cambria Math" w:cs="Arial"/>
                          <w:sz w:val="18"/>
                          <w:szCs w:val="20"/>
                          <w:lang w:val="bg-BG"/>
                        </w:rPr>
                        <m:t>5</m:t>
                      </m:r>
                    </m:sub>
                  </m:sSub>
                </m:sub>
              </m:sSub>
            </m:oMath>
            <w:r w:rsidR="007B1046" w:rsidRPr="009072DA">
              <w:rPr>
                <w:sz w:val="18"/>
                <w:lang w:val="bg-BG"/>
              </w:rPr>
              <w:t xml:space="preserve"> в съответствие с 2.4</w:t>
            </w:r>
          </w:p>
        </w:tc>
      </w:tr>
      <w:tr w:rsidR="009C13A9" w:rsidRPr="008D2440" w:rsidTr="009C13A9">
        <w:trPr>
          <w:jc w:val="center"/>
        </w:trPr>
        <w:tc>
          <w:tcPr>
            <w:tcW w:w="1418" w:type="dxa"/>
            <w:tcBorders>
              <w:top w:val="single" w:sz="4" w:space="0" w:color="000000"/>
              <w:left w:val="single" w:sz="4" w:space="0" w:color="000000"/>
              <w:bottom w:val="single" w:sz="4" w:space="0" w:color="000000"/>
            </w:tcBorders>
          </w:tcPr>
          <w:p w:rsidR="009C13A9" w:rsidRPr="009072DA" w:rsidRDefault="009C13A9" w:rsidP="009C13A9">
            <w:pPr>
              <w:spacing w:before="60" w:after="60" w:line="240" w:lineRule="atLeast"/>
              <w:rPr>
                <w:sz w:val="18"/>
                <w:szCs w:val="18"/>
                <w:lang w:val="bg-BG"/>
              </w:rPr>
            </w:pPr>
            <w:r w:rsidRPr="009072DA">
              <w:rPr>
                <w:sz w:val="18"/>
                <w:lang w:val="bg-BG"/>
              </w:rPr>
              <w:t>Недонатоварване</w:t>
            </w:r>
          </w:p>
        </w:tc>
        <w:tc>
          <w:tcPr>
            <w:tcW w:w="1134" w:type="dxa"/>
            <w:tcBorders>
              <w:top w:val="single" w:sz="4" w:space="0" w:color="000000"/>
              <w:left w:val="single" w:sz="4" w:space="0" w:color="000000"/>
              <w:bottom w:val="single" w:sz="4" w:space="0" w:color="000000"/>
            </w:tcBorders>
          </w:tcPr>
          <w:p w:rsidR="009C13A9" w:rsidRPr="009072DA" w:rsidRDefault="009C13A9" w:rsidP="009C13A9">
            <w:pPr>
              <w:spacing w:before="60" w:after="60" w:line="240" w:lineRule="atLeast"/>
              <w:rPr>
                <w:sz w:val="18"/>
                <w:szCs w:val="18"/>
                <w:lang w:val="bg-BG"/>
              </w:rPr>
            </w:pPr>
            <w:r w:rsidRPr="009072DA">
              <w:rPr>
                <w:sz w:val="18"/>
                <w:lang w:val="bg-BG"/>
              </w:rPr>
              <w:t>3 дни</w:t>
            </w:r>
          </w:p>
        </w:tc>
        <w:tc>
          <w:tcPr>
            <w:tcW w:w="2268" w:type="dxa"/>
            <w:tcBorders>
              <w:top w:val="single" w:sz="4" w:space="0" w:color="000000"/>
              <w:left w:val="single" w:sz="4" w:space="0" w:color="000000"/>
              <w:bottom w:val="single" w:sz="4" w:space="0" w:color="000000"/>
            </w:tcBorders>
          </w:tcPr>
          <w:p w:rsidR="009C13A9" w:rsidRPr="009072DA" w:rsidRDefault="002B712C" w:rsidP="00EB3292">
            <w:pPr>
              <w:spacing w:before="60" w:after="60" w:line="240" w:lineRule="atLeast"/>
              <w:rPr>
                <w:sz w:val="18"/>
                <w:szCs w:val="18"/>
                <w:lang w:val="bg-BG"/>
              </w:rPr>
            </w:pPr>
            <m:oMathPara>
              <m:oMath>
                <m:sSub>
                  <m:sSubPr>
                    <m:ctrlPr>
                      <w:rPr>
                        <w:rFonts w:ascii="Cambria Math" w:hAnsi="Cambria Math"/>
                        <w:i/>
                        <w:sz w:val="18"/>
                        <w:szCs w:val="18"/>
                        <w:lang w:val="bg-BG"/>
                      </w:rPr>
                    </m:ctrlPr>
                  </m:sSubPr>
                  <m:e>
                    <m:r>
                      <w:rPr>
                        <w:rFonts w:ascii="Cambria Math" w:hAnsi="Cambria Math"/>
                        <w:sz w:val="18"/>
                        <w:szCs w:val="18"/>
                        <w:lang w:val="bg-BG"/>
                      </w:rPr>
                      <m:t>0,5 Q</m:t>
                    </m:r>
                  </m:e>
                  <m:sub>
                    <m:r>
                      <w:rPr>
                        <w:rFonts w:ascii="Cambria Math" w:hAnsi="Cambria Math"/>
                        <w:sz w:val="18"/>
                        <w:szCs w:val="18"/>
                        <w:lang w:val="bg-BG"/>
                      </w:rPr>
                      <m:t>d</m:t>
                    </m:r>
                  </m:sub>
                </m:sSub>
              </m:oMath>
            </m:oMathPara>
          </w:p>
        </w:tc>
        <w:tc>
          <w:tcPr>
            <w:tcW w:w="3345" w:type="dxa"/>
            <w:tcBorders>
              <w:top w:val="single" w:sz="4" w:space="0" w:color="000000"/>
              <w:left w:val="single" w:sz="4" w:space="0" w:color="000000"/>
              <w:bottom w:val="single" w:sz="4" w:space="0" w:color="000000"/>
              <w:right w:val="single" w:sz="4" w:space="0" w:color="000000"/>
            </w:tcBorders>
          </w:tcPr>
          <w:p w:rsidR="009C13A9" w:rsidRPr="009072DA" w:rsidRDefault="002B712C" w:rsidP="009C13A9">
            <w:pPr>
              <w:spacing w:before="60" w:after="60" w:line="240" w:lineRule="atLeast"/>
              <w:rPr>
                <w:sz w:val="18"/>
                <w:szCs w:val="18"/>
                <w:lang w:val="bg-BG"/>
              </w:rPr>
            </w:pPr>
            <m:oMath>
              <m:sSub>
                <m:sSubPr>
                  <m:ctrlPr>
                    <w:rPr>
                      <w:rFonts w:ascii="Cambria Math" w:hAnsi="Cambria Math" w:cs="Arial"/>
                      <w:i/>
                      <w:sz w:val="18"/>
                      <w:szCs w:val="20"/>
                      <w:lang w:val="bg-BG"/>
                    </w:rPr>
                  </m:ctrlPr>
                </m:sSubPr>
                <m:e>
                  <m:r>
                    <w:rPr>
                      <w:rFonts w:ascii="Cambria Math" w:hAnsi="Cambria Math" w:cs="Arial"/>
                      <w:sz w:val="18"/>
                      <w:szCs w:val="20"/>
                      <w:lang w:val="bg-BG"/>
                    </w:rPr>
                    <m:t>C</m:t>
                  </m:r>
                </m:e>
                <m:sub>
                  <m:sSub>
                    <m:sSubPr>
                      <m:ctrlPr>
                        <w:rPr>
                          <w:rFonts w:ascii="Cambria Math" w:hAnsi="Cambria Math" w:cs="Arial"/>
                          <w:i/>
                          <w:sz w:val="18"/>
                          <w:szCs w:val="20"/>
                          <w:lang w:val="bg-BG"/>
                        </w:rPr>
                      </m:ctrlPr>
                    </m:sSubPr>
                    <m:e>
                      <m:r>
                        <w:rPr>
                          <w:rFonts w:ascii="Cambria Math" w:hAnsi="Cambria Math" w:cs="Arial"/>
                          <w:sz w:val="18"/>
                          <w:szCs w:val="20"/>
                          <w:lang w:val="bg-BG"/>
                        </w:rPr>
                        <m:t>BOD</m:t>
                      </m:r>
                    </m:e>
                    <m:sub>
                      <m:r>
                        <w:rPr>
                          <w:rFonts w:ascii="Cambria Math" w:hAnsi="Cambria Math" w:cs="Arial"/>
                          <w:sz w:val="18"/>
                          <w:szCs w:val="20"/>
                          <w:lang w:val="bg-BG"/>
                        </w:rPr>
                        <m:t>5</m:t>
                      </m:r>
                    </m:sub>
                  </m:sSub>
                </m:sub>
              </m:sSub>
            </m:oMath>
            <w:r w:rsidR="007B1046" w:rsidRPr="009072DA">
              <w:rPr>
                <w:sz w:val="18"/>
                <w:lang w:val="bg-BG"/>
              </w:rPr>
              <w:t xml:space="preserve"> в съответствие с 2.4</w:t>
            </w:r>
          </w:p>
        </w:tc>
      </w:tr>
      <w:tr w:rsidR="009C13A9" w:rsidRPr="008D2440" w:rsidTr="009C13A9">
        <w:trPr>
          <w:jc w:val="center"/>
        </w:trPr>
        <w:tc>
          <w:tcPr>
            <w:tcW w:w="1418" w:type="dxa"/>
            <w:tcBorders>
              <w:top w:val="single" w:sz="4" w:space="0" w:color="000000"/>
              <w:left w:val="single" w:sz="4" w:space="0" w:color="000000"/>
              <w:bottom w:val="single" w:sz="4" w:space="0" w:color="000000"/>
            </w:tcBorders>
          </w:tcPr>
          <w:p w:rsidR="009C13A9" w:rsidRPr="009072DA" w:rsidRDefault="009C13A9" w:rsidP="009C13A9">
            <w:pPr>
              <w:spacing w:before="60" w:after="60" w:line="240" w:lineRule="atLeast"/>
              <w:rPr>
                <w:sz w:val="18"/>
                <w:szCs w:val="18"/>
                <w:lang w:val="bg-BG"/>
              </w:rPr>
            </w:pPr>
            <w:r w:rsidRPr="009072DA">
              <w:rPr>
                <w:sz w:val="18"/>
                <w:lang w:val="bg-BG"/>
              </w:rPr>
              <w:t>В режим на готовност</w:t>
            </w:r>
          </w:p>
        </w:tc>
        <w:tc>
          <w:tcPr>
            <w:tcW w:w="1134" w:type="dxa"/>
            <w:tcBorders>
              <w:top w:val="single" w:sz="4" w:space="0" w:color="000000"/>
              <w:left w:val="single" w:sz="4" w:space="0" w:color="000000"/>
              <w:bottom w:val="single" w:sz="4" w:space="0" w:color="000000"/>
            </w:tcBorders>
          </w:tcPr>
          <w:p w:rsidR="009C13A9" w:rsidRPr="009072DA" w:rsidRDefault="009C13A9" w:rsidP="009C13A9">
            <w:pPr>
              <w:spacing w:before="60" w:after="60" w:line="240" w:lineRule="atLeast"/>
              <w:rPr>
                <w:sz w:val="18"/>
                <w:szCs w:val="18"/>
                <w:lang w:val="bg-BG"/>
              </w:rPr>
            </w:pPr>
            <w:r w:rsidRPr="009072DA">
              <w:rPr>
                <w:sz w:val="18"/>
                <w:lang w:val="bg-BG"/>
              </w:rPr>
              <w:t>4 дни</w:t>
            </w:r>
          </w:p>
        </w:tc>
        <w:tc>
          <w:tcPr>
            <w:tcW w:w="2268" w:type="dxa"/>
            <w:tcBorders>
              <w:top w:val="single" w:sz="4" w:space="0" w:color="000000"/>
              <w:left w:val="single" w:sz="4" w:space="0" w:color="000000"/>
              <w:bottom w:val="single" w:sz="4" w:space="0" w:color="000000"/>
            </w:tcBorders>
          </w:tcPr>
          <w:p w:rsidR="00220FB5" w:rsidRPr="009072DA" w:rsidRDefault="009C13A9" w:rsidP="00EB3292">
            <w:pPr>
              <w:spacing w:before="60" w:after="60" w:line="240" w:lineRule="atLeast"/>
              <w:rPr>
                <w:sz w:val="18"/>
                <w:szCs w:val="18"/>
                <w:lang w:val="bg-BG"/>
              </w:rPr>
            </w:pPr>
            <w:r w:rsidRPr="009072DA">
              <w:rPr>
                <w:sz w:val="18"/>
                <w:lang w:val="bg-BG"/>
              </w:rPr>
              <w:t xml:space="preserve">Ден 1 и ден 2: </w:t>
            </w:r>
            <m:oMath>
              <m:sSub>
                <m:sSubPr>
                  <m:ctrlPr>
                    <w:rPr>
                      <w:rFonts w:ascii="Cambria Math" w:hAnsi="Cambria Math"/>
                      <w:i/>
                      <w:sz w:val="18"/>
                      <w:szCs w:val="18"/>
                      <w:lang w:val="bg-BG"/>
                    </w:rPr>
                  </m:ctrlPr>
                </m:sSubPr>
                <m:e>
                  <m:r>
                    <w:rPr>
                      <w:rFonts w:ascii="Cambria Math" w:hAnsi="Cambria Math"/>
                      <w:sz w:val="18"/>
                      <w:szCs w:val="18"/>
                      <w:lang w:val="bg-BG"/>
                    </w:rPr>
                    <m:t>Q</m:t>
                  </m:r>
                </m:e>
                <m:sub>
                  <m:r>
                    <w:rPr>
                      <w:rFonts w:ascii="Cambria Math" w:hAnsi="Cambria Math"/>
                      <w:sz w:val="18"/>
                      <w:szCs w:val="18"/>
                      <w:lang w:val="bg-BG"/>
                    </w:rPr>
                    <m:t>d</m:t>
                  </m:r>
                </m:sub>
              </m:sSub>
              <m:r>
                <w:rPr>
                  <w:rFonts w:ascii="Cambria Math" w:hAnsi="Cambria Math"/>
                  <w:sz w:val="18"/>
                  <w:szCs w:val="18"/>
                  <w:lang w:val="bg-BG"/>
                </w:rPr>
                <m:t>=0</m:t>
              </m:r>
            </m:oMath>
            <w:r w:rsidRPr="009072DA">
              <w:rPr>
                <w:sz w:val="18"/>
                <w:szCs w:val="18"/>
                <w:lang w:val="bg-BG"/>
              </w:rPr>
              <w:br/>
            </w:r>
            <w:r w:rsidRPr="009072DA">
              <w:rPr>
                <w:sz w:val="18"/>
                <w:lang w:val="bg-BG"/>
              </w:rPr>
              <w:t xml:space="preserve">Ден 3 и 4: </w:t>
            </w:r>
            <m:oMath>
              <m:sSub>
                <m:sSubPr>
                  <m:ctrlPr>
                    <w:rPr>
                      <w:rFonts w:ascii="Cambria Math" w:hAnsi="Cambria Math"/>
                      <w:i/>
                      <w:sz w:val="18"/>
                      <w:szCs w:val="18"/>
                      <w:lang w:val="bg-BG"/>
                    </w:rPr>
                  </m:ctrlPr>
                </m:sSubPr>
                <m:e>
                  <m:r>
                    <w:rPr>
                      <w:rFonts w:ascii="Cambria Math" w:hAnsi="Cambria Math"/>
                      <w:sz w:val="18"/>
                      <w:szCs w:val="18"/>
                      <w:lang w:val="bg-BG"/>
                    </w:rPr>
                    <m:t>Q</m:t>
                  </m:r>
                </m:e>
                <m:sub>
                  <m:r>
                    <w:rPr>
                      <w:rFonts w:ascii="Cambria Math" w:hAnsi="Cambria Math"/>
                      <w:sz w:val="18"/>
                      <w:szCs w:val="18"/>
                      <w:lang w:val="bg-BG"/>
                    </w:rPr>
                    <m:t>d</m:t>
                  </m:r>
                </m:sub>
              </m:sSub>
            </m:oMath>
          </w:p>
        </w:tc>
        <w:tc>
          <w:tcPr>
            <w:tcW w:w="3345" w:type="dxa"/>
            <w:tcBorders>
              <w:top w:val="single" w:sz="4" w:space="0" w:color="000000"/>
              <w:left w:val="single" w:sz="4" w:space="0" w:color="000000"/>
              <w:bottom w:val="single" w:sz="4" w:space="0" w:color="000000"/>
              <w:right w:val="single" w:sz="4" w:space="0" w:color="000000"/>
            </w:tcBorders>
          </w:tcPr>
          <w:p w:rsidR="009C13A9" w:rsidRPr="009072DA" w:rsidRDefault="002B712C" w:rsidP="009C13A9">
            <w:pPr>
              <w:spacing w:before="60" w:after="60" w:line="240" w:lineRule="atLeast"/>
              <w:rPr>
                <w:sz w:val="18"/>
                <w:szCs w:val="18"/>
                <w:lang w:val="bg-BG"/>
              </w:rPr>
            </w:pPr>
            <m:oMath>
              <m:sSub>
                <m:sSubPr>
                  <m:ctrlPr>
                    <w:rPr>
                      <w:rFonts w:ascii="Cambria Math" w:hAnsi="Cambria Math" w:cs="Arial"/>
                      <w:i/>
                      <w:sz w:val="18"/>
                      <w:szCs w:val="20"/>
                      <w:lang w:val="bg-BG"/>
                    </w:rPr>
                  </m:ctrlPr>
                </m:sSubPr>
                <m:e>
                  <m:r>
                    <w:rPr>
                      <w:rFonts w:ascii="Cambria Math" w:hAnsi="Cambria Math" w:cs="Arial"/>
                      <w:sz w:val="18"/>
                      <w:szCs w:val="20"/>
                      <w:lang w:val="bg-BG"/>
                    </w:rPr>
                    <m:t>C</m:t>
                  </m:r>
                </m:e>
                <m:sub>
                  <m:sSub>
                    <m:sSubPr>
                      <m:ctrlPr>
                        <w:rPr>
                          <w:rFonts w:ascii="Cambria Math" w:hAnsi="Cambria Math" w:cs="Arial"/>
                          <w:i/>
                          <w:sz w:val="18"/>
                          <w:szCs w:val="20"/>
                          <w:lang w:val="bg-BG"/>
                        </w:rPr>
                      </m:ctrlPr>
                    </m:sSubPr>
                    <m:e>
                      <m:r>
                        <w:rPr>
                          <w:rFonts w:ascii="Cambria Math" w:hAnsi="Cambria Math" w:cs="Arial"/>
                          <w:sz w:val="18"/>
                          <w:szCs w:val="20"/>
                          <w:lang w:val="bg-BG"/>
                        </w:rPr>
                        <m:t>BOD</m:t>
                      </m:r>
                    </m:e>
                    <m:sub>
                      <m:r>
                        <w:rPr>
                          <w:rFonts w:ascii="Cambria Math" w:hAnsi="Cambria Math" w:cs="Arial"/>
                          <w:sz w:val="18"/>
                          <w:szCs w:val="20"/>
                          <w:lang w:val="bg-BG"/>
                        </w:rPr>
                        <m:t>5</m:t>
                      </m:r>
                    </m:sub>
                  </m:sSub>
                </m:sub>
              </m:sSub>
            </m:oMath>
            <w:r w:rsidR="007B1046" w:rsidRPr="009072DA">
              <w:rPr>
                <w:sz w:val="18"/>
                <w:lang w:val="bg-BG"/>
              </w:rPr>
              <w:t xml:space="preserve"> в съответствие с точка 2.4</w:t>
            </w:r>
          </w:p>
        </w:tc>
      </w:tr>
    </w:tbl>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br w:type="page"/>
      </w:r>
    </w:p>
    <w:p w:rsidR="009C13A9" w:rsidRPr="009072DA" w:rsidRDefault="009C13A9" w:rsidP="009C13A9">
      <w:pPr>
        <w:spacing w:line="240" w:lineRule="atLeast"/>
        <w:ind w:left="426"/>
        <w:rPr>
          <w:lang w:val="bg-BG"/>
        </w:rPr>
      </w:pPr>
      <w:r w:rsidRPr="009072DA">
        <w:rPr>
          <w:lang w:val="bg-BG"/>
        </w:rPr>
        <w:lastRenderedPageBreak/>
        <w:t xml:space="preserve">Конкретните етапи на натоварване — претоварване, недонатоварване и режим на готовност, се осъществяват последователно без прекъсване; етапът на нормално натоварване се разделя на няколко подетапа. Изпитването трябва да започва и да завършва с етап на нормално натоварване с продължителност от поне пет дни във всеки един случай. </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 xml:space="preserve">Определя се дневен график на подаваните водни количества в зависимост от указаната работа на бордовата станция за пречистване на отпадъчни води. Дневният график на подаваните водни количества се избира в съответствие с концепцията за експлоатацията на бордовата станция за пречистване на отпадъчни води. Следва да се прави разлика в зависимост от това, дали бордовата станция за пречистване на отпадъчни води ще се експлоатира със или без резервоар за отпадъчни води преди пречиствателната станция. Графиците за подаваните водни количества (дневни графици) са показани на фигура 1 и фигура 2. </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 xml:space="preserve">През целия период на изпитване почасовият входящ поток трябва да остава постоянен.  Средният часов обемен дебит на отпадъчните води </w:t>
      </w:r>
      <m:oMath>
        <m:sSub>
          <m:sSubPr>
            <m:ctrlPr>
              <w:rPr>
                <w:rFonts w:ascii="Cambria Math" w:hAnsi="Cambria Math"/>
                <w:i/>
                <w:lang w:val="bg-BG"/>
              </w:rPr>
            </m:ctrlPr>
          </m:sSubPr>
          <m:e>
            <m:r>
              <w:rPr>
                <w:rFonts w:ascii="Cambria Math" w:hAnsi="Cambria Math"/>
                <w:lang w:val="bg-BG"/>
              </w:rPr>
              <m:t>Q</m:t>
            </m:r>
          </m:e>
          <m:sub>
            <m:r>
              <w:rPr>
                <w:rFonts w:ascii="Cambria Math" w:hAnsi="Cambria Math"/>
                <w:lang w:val="bg-BG"/>
              </w:rPr>
              <m:t>h, mean</m:t>
            </m:r>
          </m:sub>
        </m:sSub>
      </m:oMath>
      <w:r w:rsidRPr="009072DA">
        <w:rPr>
          <w:lang w:val="bg-BG"/>
        </w:rPr>
        <w:t xml:space="preserve"> е еквивалентен на 1/24 от дневния хидравличен товар съгласно таблица 1. Входящият поток се измерва постоянно от техническата служба. Дневният график за водните количества трябва да остава в рамките на отклонение ± 5 %.</w:t>
      </w:r>
    </w:p>
    <w:p w:rsidR="009C13A9" w:rsidRPr="009072DA" w:rsidRDefault="009C13A9" w:rsidP="009C13A9">
      <w:pPr>
        <w:spacing w:line="240" w:lineRule="atLeast"/>
        <w:ind w:left="426"/>
        <w:rPr>
          <w:lang w:val="bg-BG"/>
        </w:rPr>
      </w:pPr>
    </w:p>
    <w:p w:rsidR="00AD0DF4" w:rsidRPr="009072DA" w:rsidRDefault="00AD0DF4" w:rsidP="009C13A9">
      <w:pPr>
        <w:spacing w:line="240" w:lineRule="atLeast"/>
        <w:ind w:left="426"/>
        <w:rPr>
          <w:lang w:val="bg-BG"/>
        </w:rPr>
      </w:pPr>
    </w:p>
    <w:p w:rsidR="00D74433" w:rsidRPr="009072DA" w:rsidRDefault="00AD0DF4" w:rsidP="00AD0DF4">
      <w:pPr>
        <w:spacing w:line="240" w:lineRule="atLeast"/>
        <w:ind w:left="426"/>
        <w:jc w:val="center"/>
        <w:rPr>
          <w:lang w:val="bg-BG"/>
        </w:rPr>
      </w:pPr>
      <w:r w:rsidRPr="009072DA">
        <w:rPr>
          <w:noProof/>
          <w:lang w:eastAsia="en-GB"/>
        </w:rPr>
        <w:drawing>
          <wp:inline distT="0" distB="0" distL="0" distR="0" wp14:anchorId="702F2D5E" wp14:editId="5CEC6635">
            <wp:extent cx="5358384" cy="3267456"/>
            <wp:effectExtent l="0" t="0" r="0" b="9525"/>
            <wp:docPr id="308" name="Imag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rin-Fig1en_p369..jpg"/>
                    <pic:cNvPicPr/>
                  </pic:nvPicPr>
                  <pic:blipFill>
                    <a:blip r:embed="rId99">
                      <a:extLst>
                        <a:ext uri="{28A0092B-C50C-407E-A947-70E740481C1C}">
                          <a14:useLocalDpi xmlns:a14="http://schemas.microsoft.com/office/drawing/2010/main" val="0"/>
                        </a:ext>
                      </a:extLst>
                    </a:blip>
                    <a:stretch>
                      <a:fillRect/>
                    </a:stretch>
                  </pic:blipFill>
                  <pic:spPr>
                    <a:xfrm>
                      <a:off x="0" y="0"/>
                      <a:ext cx="5358384" cy="3267456"/>
                    </a:xfrm>
                    <a:prstGeom prst="rect">
                      <a:avLst/>
                    </a:prstGeom>
                  </pic:spPr>
                </pic:pic>
              </a:graphicData>
            </a:graphic>
          </wp:inline>
        </w:drawing>
      </w:r>
    </w:p>
    <w:p w:rsidR="00D74433" w:rsidRPr="009072DA" w:rsidRDefault="00D74433" w:rsidP="009C13A9">
      <w:pPr>
        <w:spacing w:line="240" w:lineRule="atLeast"/>
        <w:ind w:left="426"/>
        <w:rPr>
          <w:lang w:val="bg-BG"/>
        </w:rPr>
      </w:pPr>
    </w:p>
    <w:p w:rsidR="009C13A9" w:rsidRPr="009072DA" w:rsidRDefault="009C13A9" w:rsidP="009C13A9">
      <w:pPr>
        <w:ind w:left="1985" w:hanging="1276"/>
        <w:rPr>
          <w:i/>
          <w:szCs w:val="20"/>
          <w:lang w:val="bg-BG"/>
        </w:rPr>
      </w:pPr>
      <w:r w:rsidRPr="009072DA">
        <w:rPr>
          <w:i/>
          <w:lang w:val="bg-BG"/>
        </w:rPr>
        <w:lastRenderedPageBreak/>
        <w:t xml:space="preserve">Фигура </w:t>
      </w:r>
      <w:r w:rsidRPr="009072DA">
        <w:rPr>
          <w:i/>
          <w:szCs w:val="20"/>
          <w:lang w:val="bg-BG"/>
        </w:rPr>
        <w:fldChar w:fldCharType="begin"/>
      </w:r>
      <w:r w:rsidRPr="009072DA">
        <w:rPr>
          <w:i/>
          <w:szCs w:val="20"/>
          <w:lang w:val="bg-BG"/>
        </w:rPr>
        <w:instrText xml:space="preserve"> SEQ Abbildung \* ARABIC </w:instrText>
      </w:r>
      <w:r w:rsidRPr="009072DA">
        <w:rPr>
          <w:i/>
          <w:szCs w:val="20"/>
          <w:lang w:val="bg-BG"/>
        </w:rPr>
        <w:fldChar w:fldCharType="separate"/>
      </w:r>
      <w:r w:rsidR="001C71EE">
        <w:rPr>
          <w:i/>
          <w:noProof/>
          <w:szCs w:val="20"/>
          <w:lang w:val="bg-BG"/>
        </w:rPr>
        <w:t>1</w:t>
      </w:r>
      <w:r w:rsidRPr="009072DA">
        <w:rPr>
          <w:i/>
          <w:szCs w:val="20"/>
          <w:lang w:val="bg-BG"/>
        </w:rPr>
        <w:fldChar w:fldCharType="end"/>
      </w:r>
      <w:r w:rsidRPr="009072DA">
        <w:rPr>
          <w:i/>
          <w:lang w:val="bg-BG"/>
        </w:rPr>
        <w:t>:</w:t>
      </w:r>
      <w:r w:rsidRPr="009072DA">
        <w:rPr>
          <w:lang w:val="bg-BG"/>
        </w:rPr>
        <w:tab/>
      </w:r>
      <w:r w:rsidRPr="009072DA">
        <w:rPr>
          <w:i/>
          <w:lang w:val="bg-BG"/>
        </w:rPr>
        <w:t>Дневен график за подаване на отпадъчни води към бордова станция за пречистване с резервоар за отпадъчни води преди нея</w:t>
      </w:r>
    </w:p>
    <w:p w:rsidR="009C13A9" w:rsidRPr="009072DA" w:rsidRDefault="009C13A9" w:rsidP="009C13A9">
      <w:pPr>
        <w:rPr>
          <w:lang w:val="bg-BG"/>
        </w:rPr>
      </w:pPr>
    </w:p>
    <w:p w:rsidR="00EB3292" w:rsidRPr="009072DA" w:rsidRDefault="00EB3292" w:rsidP="009C13A9">
      <w:pPr>
        <w:rPr>
          <w:lang w:val="bg-BG"/>
        </w:rPr>
      </w:pPr>
    </w:p>
    <w:p w:rsidR="009C13A9" w:rsidRPr="009072DA" w:rsidRDefault="009C13A9" w:rsidP="009C13A9">
      <w:pPr>
        <w:suppressAutoHyphens/>
        <w:spacing w:line="240" w:lineRule="atLeast"/>
        <w:rPr>
          <w:rFonts w:cs="Arial"/>
          <w:lang w:val="bg-BG"/>
        </w:rPr>
      </w:pPr>
      <w:r w:rsidRPr="009072DA">
        <w:rPr>
          <w:lang w:val="bg-BG"/>
        </w:rPr>
        <w:br w:type="page"/>
      </w:r>
    </w:p>
    <w:p w:rsidR="009C13A9" w:rsidRPr="009072DA" w:rsidRDefault="009C13A9" w:rsidP="009C13A9">
      <w:pPr>
        <w:suppressAutoHyphens/>
        <w:spacing w:line="240" w:lineRule="atLeast"/>
        <w:rPr>
          <w:rFonts w:cs="Arial"/>
          <w:lang w:val="bg-BG"/>
        </w:rPr>
      </w:pPr>
    </w:p>
    <w:p w:rsidR="009C13A9" w:rsidRPr="009072DA" w:rsidRDefault="00AD0DF4" w:rsidP="009C13A9">
      <w:pPr>
        <w:spacing w:line="240" w:lineRule="atLeast"/>
        <w:rPr>
          <w:rFonts w:cs="Arial"/>
          <w:color w:val="000000"/>
          <w:lang w:val="bg-BG"/>
        </w:rPr>
      </w:pPr>
      <w:r w:rsidRPr="009072DA">
        <w:rPr>
          <w:rFonts w:cs="Arial"/>
          <w:noProof/>
          <w:color w:val="000000"/>
          <w:lang w:eastAsia="en-GB"/>
        </w:rPr>
        <w:drawing>
          <wp:inline distT="0" distB="0" distL="0" distR="0" wp14:anchorId="7419F138" wp14:editId="2247D5C0">
            <wp:extent cx="5358384" cy="2950464"/>
            <wp:effectExtent l="0" t="0" r="0" b="2540"/>
            <wp:docPr id="309" name="Imag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rin-Fig2en_p369..jpg"/>
                    <pic:cNvPicPr/>
                  </pic:nvPicPr>
                  <pic:blipFill>
                    <a:blip r:embed="rId100">
                      <a:extLst>
                        <a:ext uri="{28A0092B-C50C-407E-A947-70E740481C1C}">
                          <a14:useLocalDpi xmlns:a14="http://schemas.microsoft.com/office/drawing/2010/main" val="0"/>
                        </a:ext>
                      </a:extLst>
                    </a:blip>
                    <a:stretch>
                      <a:fillRect/>
                    </a:stretch>
                  </pic:blipFill>
                  <pic:spPr>
                    <a:xfrm>
                      <a:off x="0" y="0"/>
                      <a:ext cx="5358384" cy="2950464"/>
                    </a:xfrm>
                    <a:prstGeom prst="rect">
                      <a:avLst/>
                    </a:prstGeom>
                  </pic:spPr>
                </pic:pic>
              </a:graphicData>
            </a:graphic>
          </wp:inline>
        </w:drawing>
      </w:r>
    </w:p>
    <w:p w:rsidR="00AD0DF4" w:rsidRPr="009072DA" w:rsidRDefault="00AD0DF4" w:rsidP="009C13A9">
      <w:pPr>
        <w:ind w:left="1985" w:hanging="1276"/>
        <w:rPr>
          <w:i/>
          <w:szCs w:val="20"/>
          <w:lang w:val="bg-BG"/>
        </w:rPr>
      </w:pPr>
    </w:p>
    <w:p w:rsidR="009C13A9" w:rsidRPr="009072DA" w:rsidRDefault="009C13A9" w:rsidP="009C13A9">
      <w:pPr>
        <w:ind w:left="1985" w:hanging="1276"/>
        <w:rPr>
          <w:i/>
          <w:szCs w:val="20"/>
          <w:lang w:val="bg-BG"/>
        </w:rPr>
      </w:pPr>
      <w:r w:rsidRPr="009072DA">
        <w:rPr>
          <w:i/>
          <w:lang w:val="bg-BG"/>
        </w:rPr>
        <w:t xml:space="preserve">Фигура </w:t>
      </w:r>
      <w:r w:rsidRPr="009072DA">
        <w:rPr>
          <w:i/>
          <w:szCs w:val="20"/>
          <w:lang w:val="bg-BG"/>
        </w:rPr>
        <w:fldChar w:fldCharType="begin"/>
      </w:r>
      <w:r w:rsidRPr="009072DA">
        <w:rPr>
          <w:i/>
          <w:szCs w:val="20"/>
          <w:lang w:val="bg-BG"/>
        </w:rPr>
        <w:instrText xml:space="preserve"> SEQ Abbildung \* ARABIC </w:instrText>
      </w:r>
      <w:r w:rsidRPr="009072DA">
        <w:rPr>
          <w:i/>
          <w:szCs w:val="20"/>
          <w:lang w:val="bg-BG"/>
        </w:rPr>
        <w:fldChar w:fldCharType="separate"/>
      </w:r>
      <w:r w:rsidR="001C71EE">
        <w:rPr>
          <w:i/>
          <w:noProof/>
          <w:szCs w:val="20"/>
          <w:lang w:val="bg-BG"/>
        </w:rPr>
        <w:t>2</w:t>
      </w:r>
      <w:r w:rsidRPr="009072DA">
        <w:rPr>
          <w:i/>
          <w:szCs w:val="20"/>
          <w:lang w:val="bg-BG"/>
        </w:rPr>
        <w:fldChar w:fldCharType="end"/>
      </w:r>
      <w:r w:rsidRPr="009072DA">
        <w:rPr>
          <w:i/>
          <w:lang w:val="bg-BG"/>
        </w:rPr>
        <w:t>:</w:t>
      </w:r>
      <w:r w:rsidRPr="009072DA">
        <w:rPr>
          <w:lang w:val="bg-BG"/>
        </w:rPr>
        <w:tab/>
      </w:r>
      <w:r w:rsidRPr="009072DA">
        <w:rPr>
          <w:i/>
          <w:lang w:val="bg-BG"/>
        </w:rPr>
        <w:t>Дневен график за подаване на отпадъчни води към бордова станция за пречистване без резервоар за отпадъчни води преди нея</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3.2</w:t>
      </w:r>
      <w:r w:rsidRPr="009072DA">
        <w:rPr>
          <w:lang w:val="bg-BG"/>
        </w:rPr>
        <w:tab/>
      </w:r>
      <w:r w:rsidRPr="009072DA">
        <w:rPr>
          <w:color w:val="000000"/>
          <w:lang w:val="bg-BG"/>
        </w:rPr>
        <w:t>Прекъсване или анулиране на изпитването</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Може да е необходимо изпитването да бъде прекъснато, ако изпитвателната пречиствателна станция не може да продължи да работи правилно поради повреда в електрозахранването или неизправност на неин възел.  Изпитването може да бъде прекъснато за продължителността на ремонта.  В такива случаи не е необходимо да се повтаря цялото изпитване, а само етапът на натоварване, през който е възникнала неизправността на възела.</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След повторно прекъсване на изпитването техническата служба решава дали то може да продължи, или трябва да бъде анулирано. Основанията за решението трябва да бъдат обявени и документирани в протокола от изпитването. Ако изпитването бъде анулирано, то трябва да бъде повторено изцяло.</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3.3</w:t>
      </w:r>
      <w:r w:rsidRPr="009072DA">
        <w:rPr>
          <w:lang w:val="bg-BG"/>
        </w:rPr>
        <w:tab/>
      </w:r>
      <w:r w:rsidRPr="009072DA">
        <w:rPr>
          <w:color w:val="000000"/>
          <w:lang w:val="bg-BG"/>
        </w:rPr>
        <w:t xml:space="preserve">Проверки на ефективността на пречистване и съответствие с пределните стойности за изходящия поток. </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lastRenderedPageBreak/>
        <w:t xml:space="preserve">Техническата служба взема проби от входящия поток на изпитвателната пречиствателна станция и ги анализира с цел да потвърди съответствието с характеристиките на входящия поток. Пробите от отпадъчните води се вземат от изходящия поток на изпитвателната пречиствателна станция и се анализират, за да се определи ефективността на пречистване и съответствието с изискваните пределни стойности за изходящия поток. Извършваното пробовземане включва както обикновени случайни проби, така и 24-часови комбинирани проби. В случай на 24-часови комбинирани проби може да бъде извършвано пробовземане пропорционално на времето или на потока. Видът на 24-часовата комбинирана проба се определя от контролния орган. Вземането на проби от входящия и изходящия поток се извършва едновременно и в една и съща степен. </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br w:type="page"/>
      </w:r>
    </w:p>
    <w:p w:rsidR="009C13A9" w:rsidRPr="009072DA" w:rsidRDefault="009C13A9" w:rsidP="009C13A9">
      <w:pPr>
        <w:spacing w:line="240" w:lineRule="atLeast"/>
        <w:ind w:left="426"/>
        <w:rPr>
          <w:lang w:val="bg-BG"/>
        </w:rPr>
      </w:pPr>
      <w:r w:rsidRPr="009072DA">
        <w:rPr>
          <w:lang w:val="bg-BG"/>
        </w:rPr>
        <w:lastRenderedPageBreak/>
        <w:t xml:space="preserve">Освен контролните параметри </w:t>
      </w:r>
      <m:oMath>
        <m:sSub>
          <m:sSubPr>
            <m:ctrlPr>
              <w:rPr>
                <w:rFonts w:ascii="Cambria Math" w:hAnsi="Cambria Math"/>
                <w:i/>
                <w:lang w:val="bg-BG"/>
              </w:rPr>
            </m:ctrlPr>
          </m:sSubPr>
          <m:e>
            <m:r>
              <w:rPr>
                <w:rFonts w:ascii="Cambria Math" w:hAnsi="Cambria Math"/>
                <w:lang w:val="bg-BG"/>
              </w:rPr>
              <m:t>BOD</m:t>
            </m:r>
          </m:e>
          <m:sub>
            <m:r>
              <w:rPr>
                <w:rFonts w:ascii="Cambria Math" w:hAnsi="Cambria Math"/>
                <w:lang w:val="bg-BG"/>
              </w:rPr>
              <m:t>5</m:t>
            </m:r>
          </m:sub>
        </m:sSub>
      </m:oMath>
      <w:r w:rsidRPr="009072DA">
        <w:rPr>
          <w:lang w:val="bg-BG"/>
        </w:rPr>
        <w:t>, ХПК и ОСОВ</w:t>
      </w:r>
      <w:r w:rsidRPr="009072DA">
        <w:rPr>
          <w:vertAlign w:val="superscript"/>
          <w:lang w:val="bg-BG"/>
        </w:rPr>
        <w:t>(</w:t>
      </w:r>
      <w:r w:rsidRPr="009072DA">
        <w:rPr>
          <w:vertAlign w:val="superscript"/>
          <w:lang w:val="bg-BG"/>
        </w:rPr>
        <w:footnoteReference w:id="76"/>
      </w:r>
      <w:r w:rsidRPr="009072DA">
        <w:rPr>
          <w:vertAlign w:val="superscript"/>
          <w:lang w:val="bg-BG"/>
        </w:rPr>
        <w:t>)</w:t>
      </w:r>
      <w:r w:rsidRPr="009072DA">
        <w:rPr>
          <w:lang w:val="bg-BG"/>
        </w:rPr>
        <w:t xml:space="preserve"> се измерват следните параметри на входящия и изходящия поток, за да бъдат описани и представени условията на околната среда и условията на изпитване:</w:t>
      </w:r>
    </w:p>
    <w:p w:rsidR="009C13A9" w:rsidRPr="009072DA" w:rsidRDefault="005C7859" w:rsidP="009C13A9">
      <w:pPr>
        <w:spacing w:before="60" w:line="240" w:lineRule="atLeast"/>
        <w:ind w:left="851"/>
        <w:rPr>
          <w:rFonts w:cs="Arial"/>
          <w:lang w:val="bg-BG"/>
        </w:rPr>
      </w:pPr>
      <w:r w:rsidRPr="009072DA">
        <w:rPr>
          <w:lang w:val="bg-BG"/>
        </w:rPr>
        <w:t>a)</w:t>
      </w:r>
      <w:r w:rsidRPr="009072DA">
        <w:rPr>
          <w:lang w:val="bg-BG"/>
        </w:rPr>
        <w:tab/>
        <w:t>твърди вещества, отстраними чрез филтрация (ТВОФ);</w:t>
      </w:r>
    </w:p>
    <w:p w:rsidR="009C13A9" w:rsidRPr="009072DA" w:rsidRDefault="005C7859" w:rsidP="009C13A9">
      <w:pPr>
        <w:spacing w:before="60" w:line="240" w:lineRule="atLeast"/>
        <w:ind w:left="851"/>
        <w:rPr>
          <w:rFonts w:cs="Arial"/>
          <w:lang w:val="bg-BG"/>
        </w:rPr>
      </w:pPr>
      <w:r w:rsidRPr="009072DA">
        <w:rPr>
          <w:lang w:val="bg-BG"/>
        </w:rPr>
        <w:t>б)</w:t>
      </w:r>
      <w:r w:rsidRPr="009072DA">
        <w:rPr>
          <w:lang w:val="bg-BG"/>
        </w:rPr>
        <w:tab/>
        <w:t>pH;</w:t>
      </w:r>
    </w:p>
    <w:p w:rsidR="009C13A9" w:rsidRPr="009072DA" w:rsidRDefault="005C7859" w:rsidP="009C13A9">
      <w:pPr>
        <w:spacing w:before="60" w:line="240" w:lineRule="atLeast"/>
        <w:ind w:left="851"/>
        <w:rPr>
          <w:rFonts w:cs="Arial"/>
          <w:lang w:val="bg-BG"/>
        </w:rPr>
      </w:pPr>
      <w:r w:rsidRPr="009072DA">
        <w:rPr>
          <w:lang w:val="bg-BG"/>
        </w:rPr>
        <w:t>в)</w:t>
      </w:r>
      <w:r w:rsidRPr="009072DA">
        <w:rPr>
          <w:lang w:val="bg-BG"/>
        </w:rPr>
        <w:tab/>
        <w:t>проводимост;</w:t>
      </w:r>
    </w:p>
    <w:p w:rsidR="009C13A9" w:rsidRPr="009072DA" w:rsidRDefault="0029453D" w:rsidP="009C13A9">
      <w:pPr>
        <w:spacing w:before="60" w:line="240" w:lineRule="atLeast"/>
        <w:ind w:left="851"/>
        <w:rPr>
          <w:rFonts w:cs="Arial"/>
          <w:lang w:val="bg-BG"/>
        </w:rPr>
      </w:pPr>
      <w:r w:rsidRPr="009072DA">
        <w:rPr>
          <w:lang w:val="bg-BG"/>
        </w:rPr>
        <w:t>г)</w:t>
      </w:r>
      <w:r w:rsidRPr="009072DA">
        <w:rPr>
          <w:lang w:val="bg-BG"/>
        </w:rPr>
        <w:tab/>
        <w:t xml:space="preserve">температура на течните фази. </w:t>
      </w:r>
    </w:p>
    <w:p w:rsidR="009C13A9" w:rsidRPr="009072DA" w:rsidRDefault="009C13A9" w:rsidP="009C13A9">
      <w:pPr>
        <w:spacing w:before="60" w:line="240" w:lineRule="atLeast"/>
        <w:ind w:left="851"/>
        <w:rPr>
          <w:rFonts w:cs="Arial"/>
          <w:lang w:val="bg-BG"/>
        </w:rPr>
      </w:pPr>
    </w:p>
    <w:p w:rsidR="009C13A9" w:rsidRPr="009072DA" w:rsidRDefault="009C13A9" w:rsidP="009C13A9">
      <w:pPr>
        <w:spacing w:line="240" w:lineRule="atLeast"/>
        <w:ind w:left="426"/>
        <w:rPr>
          <w:lang w:val="bg-BG"/>
        </w:rPr>
      </w:pPr>
      <w:r w:rsidRPr="009072DA">
        <w:rPr>
          <w:lang w:val="bg-BG"/>
        </w:rPr>
        <w:t xml:space="preserve">Броят на проверките се мени в зависимост от съответния етап на натоварване и е даден в таблица 2. Броят на пробовземанията е свързан с входящия и изходящия поток на изпитвателната пречиствателна станция. </w:t>
      </w:r>
    </w:p>
    <w:p w:rsidR="009C13A9" w:rsidRPr="009072DA" w:rsidRDefault="009C13A9" w:rsidP="009C13A9">
      <w:pPr>
        <w:spacing w:line="240" w:lineRule="atLeast"/>
        <w:ind w:left="426"/>
        <w:rPr>
          <w:lang w:val="bg-BG"/>
        </w:rPr>
      </w:pPr>
    </w:p>
    <w:p w:rsidR="009C13A9" w:rsidRPr="009072DA" w:rsidRDefault="009C13A9" w:rsidP="00FA5168">
      <w:pPr>
        <w:spacing w:line="240" w:lineRule="atLeast"/>
        <w:ind w:left="1560" w:hanging="851"/>
        <w:rPr>
          <w:rFonts w:cs="Arial"/>
          <w:color w:val="000000"/>
          <w:lang w:val="bg-BG"/>
        </w:rPr>
      </w:pPr>
      <w:r w:rsidRPr="009072DA">
        <w:rPr>
          <w:color w:val="000000"/>
          <w:lang w:val="bg-BG"/>
        </w:rPr>
        <w:t>Таблица 2:</w:t>
      </w:r>
      <w:r w:rsidRPr="009072DA">
        <w:rPr>
          <w:lang w:val="bg-BG"/>
        </w:rPr>
        <w:tab/>
      </w:r>
      <w:r w:rsidRPr="009072DA">
        <w:rPr>
          <w:color w:val="000000"/>
          <w:lang w:val="bg-BG"/>
        </w:rPr>
        <w:t xml:space="preserve">Спецификация за броя и графика на пробовземанията от входящия и изходящия поток на изпитвателната пречиствателна станция </w:t>
      </w:r>
    </w:p>
    <w:p w:rsidR="009C13A9" w:rsidRPr="009072DA" w:rsidRDefault="009C13A9" w:rsidP="009C13A9">
      <w:pPr>
        <w:spacing w:line="240" w:lineRule="atLeast"/>
        <w:ind w:left="2127" w:hanging="1418"/>
        <w:rPr>
          <w:rFonts w:cs="Arial"/>
          <w:color w:val="000000"/>
          <w:lang w:val="bg-BG"/>
        </w:rPr>
      </w:pPr>
    </w:p>
    <w:tbl>
      <w:tblPr>
        <w:tblW w:w="8363"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6"/>
        <w:gridCol w:w="1087"/>
        <w:gridCol w:w="2405"/>
        <w:gridCol w:w="3285"/>
      </w:tblGrid>
      <w:tr w:rsidR="009C13A9" w:rsidRPr="008D2440" w:rsidTr="009C13A9">
        <w:tc>
          <w:tcPr>
            <w:tcW w:w="1397" w:type="dxa"/>
          </w:tcPr>
          <w:p w:rsidR="009C13A9" w:rsidRPr="009072DA" w:rsidRDefault="009C13A9" w:rsidP="009C13A9">
            <w:pPr>
              <w:spacing w:before="60" w:after="60" w:line="240" w:lineRule="atLeast"/>
              <w:rPr>
                <w:sz w:val="18"/>
                <w:szCs w:val="20"/>
                <w:lang w:val="bg-BG"/>
              </w:rPr>
            </w:pPr>
            <w:r w:rsidRPr="009072DA">
              <w:rPr>
                <w:sz w:val="18"/>
                <w:lang w:val="bg-BG"/>
              </w:rPr>
              <w:t>Етап на натоварване</w:t>
            </w:r>
          </w:p>
        </w:tc>
        <w:tc>
          <w:tcPr>
            <w:tcW w:w="1092" w:type="dxa"/>
          </w:tcPr>
          <w:p w:rsidR="009C13A9" w:rsidRPr="009072DA" w:rsidRDefault="009C13A9" w:rsidP="009C13A9">
            <w:pPr>
              <w:spacing w:before="60" w:after="60" w:line="240" w:lineRule="atLeast"/>
              <w:rPr>
                <w:sz w:val="18"/>
                <w:szCs w:val="20"/>
                <w:lang w:val="bg-BG"/>
              </w:rPr>
            </w:pPr>
            <w:r w:rsidRPr="009072DA">
              <w:rPr>
                <w:sz w:val="18"/>
                <w:lang w:val="bg-BG"/>
              </w:rPr>
              <w:t>Брой дни на изпитване</w:t>
            </w:r>
          </w:p>
        </w:tc>
        <w:tc>
          <w:tcPr>
            <w:tcW w:w="2472" w:type="dxa"/>
          </w:tcPr>
          <w:p w:rsidR="009C13A9" w:rsidRPr="009072DA" w:rsidRDefault="009C13A9" w:rsidP="009C13A9">
            <w:pPr>
              <w:spacing w:before="60" w:after="60" w:line="240" w:lineRule="atLeast"/>
              <w:rPr>
                <w:sz w:val="18"/>
                <w:szCs w:val="20"/>
                <w:lang w:val="bg-BG"/>
              </w:rPr>
            </w:pPr>
            <w:r w:rsidRPr="009072DA">
              <w:rPr>
                <w:sz w:val="18"/>
                <w:lang w:val="bg-BG"/>
              </w:rPr>
              <w:t>Брой пробовземания</w:t>
            </w:r>
          </w:p>
        </w:tc>
        <w:tc>
          <w:tcPr>
            <w:tcW w:w="3402" w:type="dxa"/>
          </w:tcPr>
          <w:p w:rsidR="009C13A9" w:rsidRPr="009072DA" w:rsidRDefault="009C13A9" w:rsidP="009C13A9">
            <w:pPr>
              <w:spacing w:before="60" w:after="60" w:line="240" w:lineRule="atLeast"/>
              <w:rPr>
                <w:sz w:val="18"/>
                <w:szCs w:val="20"/>
                <w:lang w:val="bg-BG"/>
              </w:rPr>
            </w:pPr>
            <w:r w:rsidRPr="009072DA">
              <w:rPr>
                <w:sz w:val="18"/>
                <w:lang w:val="bg-BG"/>
              </w:rPr>
              <w:t>Спецификация за графика на пробовземанията</w:t>
            </w:r>
          </w:p>
        </w:tc>
      </w:tr>
      <w:tr w:rsidR="009C13A9" w:rsidRPr="008D2440" w:rsidTr="009C13A9">
        <w:tc>
          <w:tcPr>
            <w:tcW w:w="1397" w:type="dxa"/>
          </w:tcPr>
          <w:p w:rsidR="009C13A9" w:rsidRPr="009072DA" w:rsidRDefault="009C13A9" w:rsidP="009C13A9">
            <w:pPr>
              <w:spacing w:before="60" w:after="60" w:line="240" w:lineRule="atLeast"/>
              <w:rPr>
                <w:sz w:val="18"/>
                <w:szCs w:val="20"/>
                <w:lang w:val="bg-BG"/>
              </w:rPr>
            </w:pPr>
            <w:r w:rsidRPr="009072DA">
              <w:rPr>
                <w:sz w:val="18"/>
                <w:lang w:val="bg-BG"/>
              </w:rPr>
              <w:t>Нормално натоварване</w:t>
            </w:r>
          </w:p>
        </w:tc>
        <w:tc>
          <w:tcPr>
            <w:tcW w:w="1092" w:type="dxa"/>
          </w:tcPr>
          <w:p w:rsidR="009C13A9" w:rsidRPr="009072DA" w:rsidRDefault="009C13A9" w:rsidP="009C13A9">
            <w:pPr>
              <w:spacing w:before="60" w:after="60" w:line="240" w:lineRule="atLeast"/>
              <w:rPr>
                <w:sz w:val="18"/>
                <w:szCs w:val="20"/>
                <w:lang w:val="bg-BG"/>
              </w:rPr>
            </w:pPr>
            <w:r w:rsidRPr="009072DA">
              <w:rPr>
                <w:sz w:val="18"/>
                <w:lang w:val="bg-BG"/>
              </w:rPr>
              <w:t>20 дни</w:t>
            </w:r>
          </w:p>
        </w:tc>
        <w:tc>
          <w:tcPr>
            <w:tcW w:w="2472" w:type="dxa"/>
          </w:tcPr>
          <w:p w:rsidR="009C13A9" w:rsidRPr="009072DA" w:rsidRDefault="009C13A9" w:rsidP="009C13A9">
            <w:pPr>
              <w:tabs>
                <w:tab w:val="left" w:pos="2081"/>
              </w:tabs>
              <w:spacing w:before="60" w:after="60" w:line="240" w:lineRule="atLeast"/>
              <w:rPr>
                <w:sz w:val="18"/>
                <w:szCs w:val="20"/>
                <w:lang w:val="bg-BG"/>
              </w:rPr>
            </w:pPr>
            <w:r w:rsidRPr="009072DA">
              <w:rPr>
                <w:sz w:val="18"/>
                <w:lang w:val="bg-BG"/>
              </w:rPr>
              <w:t xml:space="preserve">24-часови комбинирани проби: </w:t>
            </w:r>
            <w:r w:rsidRPr="009072DA">
              <w:rPr>
                <w:lang w:val="bg-BG"/>
              </w:rPr>
              <w:tab/>
            </w:r>
            <w:r w:rsidRPr="009072DA">
              <w:rPr>
                <w:sz w:val="18"/>
                <w:lang w:val="bg-BG"/>
              </w:rPr>
              <w:t>8</w:t>
            </w:r>
            <w:r w:rsidRPr="009072DA">
              <w:rPr>
                <w:sz w:val="18"/>
                <w:szCs w:val="20"/>
                <w:lang w:val="bg-BG"/>
              </w:rPr>
              <w:br/>
            </w:r>
            <w:r w:rsidRPr="009072DA">
              <w:rPr>
                <w:sz w:val="18"/>
                <w:lang w:val="bg-BG"/>
              </w:rPr>
              <w:t xml:space="preserve">Случайни проби: </w:t>
            </w:r>
            <w:r w:rsidRPr="009072DA">
              <w:rPr>
                <w:lang w:val="bg-BG"/>
              </w:rPr>
              <w:tab/>
            </w:r>
            <w:r w:rsidRPr="009072DA">
              <w:rPr>
                <w:sz w:val="18"/>
                <w:lang w:val="bg-BG"/>
              </w:rPr>
              <w:t>8</w:t>
            </w:r>
          </w:p>
        </w:tc>
        <w:tc>
          <w:tcPr>
            <w:tcW w:w="3402" w:type="dxa"/>
          </w:tcPr>
          <w:p w:rsidR="009C13A9" w:rsidRPr="009072DA" w:rsidRDefault="009C13A9" w:rsidP="009C13A9">
            <w:pPr>
              <w:spacing w:before="60" w:after="60" w:line="240" w:lineRule="atLeast"/>
              <w:rPr>
                <w:sz w:val="18"/>
                <w:szCs w:val="20"/>
                <w:lang w:val="bg-BG"/>
              </w:rPr>
            </w:pPr>
            <w:r w:rsidRPr="009072DA">
              <w:rPr>
                <w:sz w:val="18"/>
                <w:lang w:val="bg-BG"/>
              </w:rPr>
              <w:t>Вземане на проби през равни интервали през целия период</w:t>
            </w:r>
          </w:p>
        </w:tc>
      </w:tr>
      <w:tr w:rsidR="009C13A9" w:rsidRPr="008D2440" w:rsidTr="009C13A9">
        <w:tc>
          <w:tcPr>
            <w:tcW w:w="1397" w:type="dxa"/>
          </w:tcPr>
          <w:p w:rsidR="009C13A9" w:rsidRPr="009072DA" w:rsidRDefault="009C13A9" w:rsidP="009C13A9">
            <w:pPr>
              <w:spacing w:before="60" w:after="60" w:line="240" w:lineRule="atLeast"/>
              <w:rPr>
                <w:sz w:val="18"/>
                <w:szCs w:val="20"/>
                <w:lang w:val="bg-BG"/>
              </w:rPr>
            </w:pPr>
            <w:r w:rsidRPr="009072DA">
              <w:rPr>
                <w:sz w:val="18"/>
                <w:lang w:val="bg-BG"/>
              </w:rPr>
              <w:t>Претоварване</w:t>
            </w:r>
          </w:p>
        </w:tc>
        <w:tc>
          <w:tcPr>
            <w:tcW w:w="1092" w:type="dxa"/>
          </w:tcPr>
          <w:p w:rsidR="009C13A9" w:rsidRPr="009072DA" w:rsidRDefault="009C13A9" w:rsidP="009C13A9">
            <w:pPr>
              <w:spacing w:before="60" w:after="60" w:line="240" w:lineRule="atLeast"/>
              <w:rPr>
                <w:sz w:val="18"/>
                <w:szCs w:val="20"/>
                <w:lang w:val="bg-BG"/>
              </w:rPr>
            </w:pPr>
            <w:r w:rsidRPr="009072DA">
              <w:rPr>
                <w:sz w:val="18"/>
                <w:lang w:val="bg-BG"/>
              </w:rPr>
              <w:t>3 дни</w:t>
            </w:r>
          </w:p>
        </w:tc>
        <w:tc>
          <w:tcPr>
            <w:tcW w:w="2472" w:type="dxa"/>
          </w:tcPr>
          <w:p w:rsidR="009C13A9" w:rsidRPr="009072DA" w:rsidRDefault="009C13A9" w:rsidP="009C13A9">
            <w:pPr>
              <w:tabs>
                <w:tab w:val="left" w:pos="2081"/>
              </w:tabs>
              <w:spacing w:before="60" w:after="60" w:line="240" w:lineRule="atLeast"/>
              <w:rPr>
                <w:sz w:val="18"/>
                <w:szCs w:val="20"/>
                <w:lang w:val="bg-BG"/>
              </w:rPr>
            </w:pPr>
            <w:r w:rsidRPr="009072DA">
              <w:rPr>
                <w:sz w:val="18"/>
                <w:lang w:val="bg-BG"/>
              </w:rPr>
              <w:t>24-часови комбинирани проби:</w:t>
            </w:r>
            <w:r w:rsidRPr="009072DA">
              <w:rPr>
                <w:lang w:val="bg-BG"/>
              </w:rPr>
              <w:tab/>
            </w:r>
            <w:r w:rsidRPr="009072DA">
              <w:rPr>
                <w:sz w:val="18"/>
                <w:lang w:val="bg-BG"/>
              </w:rPr>
              <w:t>2</w:t>
            </w:r>
            <w:r w:rsidRPr="009072DA">
              <w:rPr>
                <w:sz w:val="18"/>
                <w:szCs w:val="20"/>
                <w:lang w:val="bg-BG"/>
              </w:rPr>
              <w:br/>
            </w:r>
            <w:r w:rsidRPr="009072DA">
              <w:rPr>
                <w:sz w:val="18"/>
                <w:lang w:val="bg-BG"/>
              </w:rPr>
              <w:t xml:space="preserve">Случайни проби: </w:t>
            </w:r>
            <w:r w:rsidRPr="009072DA">
              <w:rPr>
                <w:lang w:val="bg-BG"/>
              </w:rPr>
              <w:tab/>
            </w:r>
            <w:r w:rsidRPr="009072DA">
              <w:rPr>
                <w:sz w:val="18"/>
                <w:lang w:val="bg-BG"/>
              </w:rPr>
              <w:t>2</w:t>
            </w:r>
          </w:p>
        </w:tc>
        <w:tc>
          <w:tcPr>
            <w:tcW w:w="3402" w:type="dxa"/>
          </w:tcPr>
          <w:p w:rsidR="009C13A9" w:rsidRPr="009072DA" w:rsidRDefault="009C13A9" w:rsidP="009C13A9">
            <w:pPr>
              <w:spacing w:before="60" w:after="60" w:line="240" w:lineRule="atLeast"/>
              <w:rPr>
                <w:sz w:val="18"/>
                <w:szCs w:val="20"/>
                <w:lang w:val="bg-BG"/>
              </w:rPr>
            </w:pPr>
            <w:r w:rsidRPr="009072DA">
              <w:rPr>
                <w:sz w:val="18"/>
                <w:lang w:val="bg-BG"/>
              </w:rPr>
              <w:t>Вземане на проби през равни интервали през целия период</w:t>
            </w:r>
          </w:p>
        </w:tc>
      </w:tr>
      <w:tr w:rsidR="009C13A9" w:rsidRPr="008D2440" w:rsidTr="009C13A9">
        <w:tc>
          <w:tcPr>
            <w:tcW w:w="1397" w:type="dxa"/>
          </w:tcPr>
          <w:p w:rsidR="009C13A9" w:rsidRPr="009072DA" w:rsidRDefault="009C13A9" w:rsidP="009C13A9">
            <w:pPr>
              <w:spacing w:before="60" w:after="60" w:line="240" w:lineRule="atLeast"/>
              <w:rPr>
                <w:sz w:val="18"/>
                <w:szCs w:val="20"/>
                <w:lang w:val="bg-BG"/>
              </w:rPr>
            </w:pPr>
            <w:r w:rsidRPr="009072DA">
              <w:rPr>
                <w:sz w:val="18"/>
                <w:lang w:val="bg-BG"/>
              </w:rPr>
              <w:t>Недонатоварване</w:t>
            </w:r>
          </w:p>
        </w:tc>
        <w:tc>
          <w:tcPr>
            <w:tcW w:w="1092" w:type="dxa"/>
          </w:tcPr>
          <w:p w:rsidR="009C13A9" w:rsidRPr="009072DA" w:rsidRDefault="009C13A9" w:rsidP="009C13A9">
            <w:pPr>
              <w:spacing w:before="60" w:after="60" w:line="240" w:lineRule="atLeast"/>
              <w:rPr>
                <w:sz w:val="18"/>
                <w:szCs w:val="20"/>
                <w:lang w:val="bg-BG"/>
              </w:rPr>
            </w:pPr>
            <w:r w:rsidRPr="009072DA">
              <w:rPr>
                <w:sz w:val="18"/>
                <w:lang w:val="bg-BG"/>
              </w:rPr>
              <w:t>3 дни</w:t>
            </w:r>
          </w:p>
        </w:tc>
        <w:tc>
          <w:tcPr>
            <w:tcW w:w="2472" w:type="dxa"/>
          </w:tcPr>
          <w:p w:rsidR="009C13A9" w:rsidRPr="009072DA" w:rsidRDefault="009C13A9" w:rsidP="009C13A9">
            <w:pPr>
              <w:tabs>
                <w:tab w:val="left" w:pos="2081"/>
              </w:tabs>
              <w:spacing w:before="60" w:after="60" w:line="240" w:lineRule="atLeast"/>
              <w:rPr>
                <w:sz w:val="18"/>
                <w:szCs w:val="20"/>
                <w:lang w:val="bg-BG"/>
              </w:rPr>
            </w:pPr>
            <w:r w:rsidRPr="009072DA">
              <w:rPr>
                <w:sz w:val="18"/>
                <w:lang w:val="bg-BG"/>
              </w:rPr>
              <w:t xml:space="preserve">24-часови комбинирани проби: </w:t>
            </w:r>
            <w:r w:rsidRPr="009072DA">
              <w:rPr>
                <w:lang w:val="bg-BG"/>
              </w:rPr>
              <w:tab/>
            </w:r>
            <w:r w:rsidRPr="009072DA">
              <w:rPr>
                <w:sz w:val="18"/>
                <w:lang w:val="bg-BG"/>
              </w:rPr>
              <w:t>2</w:t>
            </w:r>
            <w:r w:rsidRPr="009072DA">
              <w:rPr>
                <w:sz w:val="18"/>
                <w:szCs w:val="20"/>
                <w:lang w:val="bg-BG"/>
              </w:rPr>
              <w:br/>
            </w:r>
            <w:r w:rsidRPr="009072DA">
              <w:rPr>
                <w:sz w:val="18"/>
                <w:lang w:val="bg-BG"/>
              </w:rPr>
              <w:t xml:space="preserve">Случайни проби: </w:t>
            </w:r>
            <w:r w:rsidRPr="009072DA">
              <w:rPr>
                <w:lang w:val="bg-BG"/>
              </w:rPr>
              <w:tab/>
            </w:r>
            <w:r w:rsidRPr="009072DA">
              <w:rPr>
                <w:sz w:val="18"/>
                <w:lang w:val="bg-BG"/>
              </w:rPr>
              <w:t>2</w:t>
            </w:r>
          </w:p>
        </w:tc>
        <w:tc>
          <w:tcPr>
            <w:tcW w:w="3402" w:type="dxa"/>
          </w:tcPr>
          <w:p w:rsidR="009C13A9" w:rsidRPr="009072DA" w:rsidRDefault="009C13A9" w:rsidP="009C13A9">
            <w:pPr>
              <w:spacing w:before="60" w:after="60" w:line="240" w:lineRule="atLeast"/>
              <w:rPr>
                <w:sz w:val="18"/>
                <w:szCs w:val="20"/>
                <w:lang w:val="bg-BG"/>
              </w:rPr>
            </w:pPr>
            <w:r w:rsidRPr="009072DA">
              <w:rPr>
                <w:sz w:val="18"/>
                <w:lang w:val="bg-BG"/>
              </w:rPr>
              <w:t>Вземане на проби през равни интервали през целия период</w:t>
            </w:r>
          </w:p>
        </w:tc>
      </w:tr>
      <w:tr w:rsidR="009C13A9" w:rsidRPr="008D2440" w:rsidTr="009C13A9">
        <w:tc>
          <w:tcPr>
            <w:tcW w:w="1397" w:type="dxa"/>
          </w:tcPr>
          <w:p w:rsidR="009C13A9" w:rsidRPr="009072DA" w:rsidRDefault="009C13A9" w:rsidP="009C13A9">
            <w:pPr>
              <w:spacing w:before="60" w:after="60" w:line="240" w:lineRule="atLeast"/>
              <w:rPr>
                <w:sz w:val="18"/>
                <w:szCs w:val="20"/>
                <w:lang w:val="bg-BG"/>
              </w:rPr>
            </w:pPr>
            <w:r w:rsidRPr="009072DA">
              <w:rPr>
                <w:sz w:val="18"/>
                <w:lang w:val="bg-BG"/>
              </w:rPr>
              <w:t>В режим на готовност</w:t>
            </w:r>
          </w:p>
        </w:tc>
        <w:tc>
          <w:tcPr>
            <w:tcW w:w="1092" w:type="dxa"/>
          </w:tcPr>
          <w:p w:rsidR="009C13A9" w:rsidRPr="009072DA" w:rsidRDefault="009C13A9" w:rsidP="009C13A9">
            <w:pPr>
              <w:spacing w:before="60" w:after="60" w:line="240" w:lineRule="atLeast"/>
              <w:rPr>
                <w:sz w:val="18"/>
                <w:szCs w:val="20"/>
                <w:lang w:val="bg-BG"/>
              </w:rPr>
            </w:pPr>
            <w:r w:rsidRPr="009072DA">
              <w:rPr>
                <w:sz w:val="18"/>
                <w:lang w:val="bg-BG"/>
              </w:rPr>
              <w:t>4 дни</w:t>
            </w:r>
          </w:p>
        </w:tc>
        <w:tc>
          <w:tcPr>
            <w:tcW w:w="2472" w:type="dxa"/>
          </w:tcPr>
          <w:p w:rsidR="009C13A9" w:rsidRPr="009072DA" w:rsidRDefault="009C13A9" w:rsidP="009C13A9">
            <w:pPr>
              <w:tabs>
                <w:tab w:val="left" w:pos="2081"/>
              </w:tabs>
              <w:spacing w:before="60" w:after="60" w:line="240" w:lineRule="atLeast"/>
              <w:rPr>
                <w:sz w:val="18"/>
                <w:szCs w:val="20"/>
                <w:lang w:val="bg-BG"/>
              </w:rPr>
            </w:pPr>
            <w:r w:rsidRPr="009072DA">
              <w:rPr>
                <w:sz w:val="18"/>
                <w:lang w:val="bg-BG"/>
              </w:rPr>
              <w:t xml:space="preserve">24-часови комбинирани проби: </w:t>
            </w:r>
            <w:r w:rsidRPr="009072DA">
              <w:rPr>
                <w:lang w:val="bg-BG"/>
              </w:rPr>
              <w:tab/>
            </w:r>
            <w:r w:rsidRPr="009072DA">
              <w:rPr>
                <w:sz w:val="18"/>
                <w:lang w:val="bg-BG"/>
              </w:rPr>
              <w:t>2</w:t>
            </w:r>
            <w:r w:rsidRPr="009072DA">
              <w:rPr>
                <w:sz w:val="18"/>
                <w:szCs w:val="20"/>
                <w:lang w:val="bg-BG"/>
              </w:rPr>
              <w:br/>
            </w:r>
            <w:r w:rsidRPr="009072DA">
              <w:rPr>
                <w:sz w:val="18"/>
                <w:lang w:val="bg-BG"/>
              </w:rPr>
              <w:t xml:space="preserve">Случайни проби: </w:t>
            </w:r>
            <w:r w:rsidRPr="009072DA">
              <w:rPr>
                <w:lang w:val="bg-BG"/>
              </w:rPr>
              <w:tab/>
            </w:r>
            <w:r w:rsidRPr="009072DA">
              <w:rPr>
                <w:sz w:val="18"/>
                <w:lang w:val="bg-BG"/>
              </w:rPr>
              <w:t>2</w:t>
            </w:r>
          </w:p>
        </w:tc>
        <w:tc>
          <w:tcPr>
            <w:tcW w:w="3402" w:type="dxa"/>
          </w:tcPr>
          <w:p w:rsidR="009C13A9" w:rsidRPr="009072DA" w:rsidRDefault="009C13A9" w:rsidP="009C13A9">
            <w:pPr>
              <w:spacing w:before="60" w:after="60" w:line="240" w:lineRule="atLeast"/>
              <w:rPr>
                <w:sz w:val="18"/>
                <w:szCs w:val="20"/>
                <w:lang w:val="bg-BG"/>
              </w:rPr>
            </w:pPr>
            <w:r w:rsidRPr="009072DA">
              <w:rPr>
                <w:sz w:val="18"/>
                <w:lang w:val="bg-BG"/>
              </w:rPr>
              <w:t>24-часови комбинирани проби: Вземане на проба след пускането на входящия поток и 24 часа по-късно.</w:t>
            </w:r>
            <w:r w:rsidRPr="009072DA">
              <w:rPr>
                <w:sz w:val="18"/>
                <w:szCs w:val="20"/>
                <w:lang w:val="bg-BG"/>
              </w:rPr>
              <w:br/>
            </w:r>
            <w:r w:rsidRPr="009072DA">
              <w:rPr>
                <w:sz w:val="18"/>
                <w:lang w:val="bg-BG"/>
              </w:rPr>
              <w:t>Случайна проба: 1 час след пускането на входящия поток и 24 часа по-късно.</w:t>
            </w:r>
          </w:p>
        </w:tc>
      </w:tr>
      <w:tr w:rsidR="009C13A9" w:rsidRPr="008D2440" w:rsidTr="009C13A9">
        <w:tc>
          <w:tcPr>
            <w:tcW w:w="8363" w:type="dxa"/>
            <w:gridSpan w:val="4"/>
          </w:tcPr>
          <w:p w:rsidR="009C13A9" w:rsidRPr="009072DA" w:rsidRDefault="009C13A9" w:rsidP="009C13A9">
            <w:pPr>
              <w:spacing w:before="60" w:after="60" w:line="240" w:lineRule="atLeast"/>
              <w:rPr>
                <w:sz w:val="18"/>
                <w:szCs w:val="20"/>
                <w:lang w:val="bg-BG"/>
              </w:rPr>
            </w:pPr>
            <w:r w:rsidRPr="009072DA">
              <w:rPr>
                <w:sz w:val="18"/>
                <w:lang w:val="bg-BG"/>
              </w:rPr>
              <w:t>Общ брой на 24-часовите комбинирани проби: 14</w:t>
            </w:r>
            <w:r w:rsidRPr="009072DA">
              <w:rPr>
                <w:lang w:val="bg-BG"/>
              </w:rPr>
              <w:tab/>
            </w:r>
            <w:r w:rsidRPr="009072DA">
              <w:rPr>
                <w:sz w:val="18"/>
                <w:szCs w:val="20"/>
                <w:lang w:val="bg-BG"/>
              </w:rPr>
              <w:br/>
            </w:r>
            <w:r w:rsidRPr="009072DA">
              <w:rPr>
                <w:sz w:val="18"/>
                <w:lang w:val="bg-BG"/>
              </w:rPr>
              <w:t>Общ брой случайни проби: 14</w:t>
            </w:r>
          </w:p>
        </w:tc>
      </w:tr>
    </w:tbl>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Когато е приложимо, от взетите случайни проби се измерват и следните работни параметри:</w:t>
      </w:r>
    </w:p>
    <w:p w:rsidR="009C13A9" w:rsidRPr="009072DA" w:rsidRDefault="005C7859" w:rsidP="009C13A9">
      <w:pPr>
        <w:spacing w:before="60" w:line="240" w:lineRule="atLeast"/>
        <w:ind w:left="851"/>
        <w:rPr>
          <w:rFonts w:cs="Arial"/>
          <w:lang w:val="bg-BG"/>
        </w:rPr>
      </w:pPr>
      <w:r w:rsidRPr="009072DA">
        <w:rPr>
          <w:lang w:val="bg-BG"/>
        </w:rPr>
        <w:lastRenderedPageBreak/>
        <w:t>a)</w:t>
      </w:r>
      <w:r w:rsidRPr="009072DA">
        <w:rPr>
          <w:lang w:val="bg-BG"/>
        </w:rPr>
        <w:tab/>
        <w:t>концентрация на разтворен кислород в биобасейна;</w:t>
      </w:r>
    </w:p>
    <w:p w:rsidR="009C13A9" w:rsidRPr="009072DA" w:rsidRDefault="005C7859" w:rsidP="009C13A9">
      <w:pPr>
        <w:spacing w:before="60" w:line="240" w:lineRule="atLeast"/>
        <w:ind w:left="851"/>
        <w:rPr>
          <w:rFonts w:cs="Arial"/>
          <w:lang w:val="bg-BG"/>
        </w:rPr>
      </w:pPr>
      <w:r w:rsidRPr="009072DA">
        <w:rPr>
          <w:lang w:val="bg-BG"/>
        </w:rPr>
        <w:t>б)</w:t>
      </w:r>
      <w:r w:rsidRPr="009072DA">
        <w:rPr>
          <w:lang w:val="bg-BG"/>
        </w:rPr>
        <w:tab/>
        <w:t>съдържание на сухо вещество в биобасейна;</w:t>
      </w:r>
    </w:p>
    <w:p w:rsidR="009C13A9" w:rsidRPr="009072DA" w:rsidRDefault="005C7859" w:rsidP="009C13A9">
      <w:pPr>
        <w:spacing w:before="60" w:line="240" w:lineRule="atLeast"/>
        <w:ind w:left="851"/>
        <w:rPr>
          <w:rFonts w:cs="Arial"/>
          <w:lang w:val="bg-BG"/>
        </w:rPr>
      </w:pPr>
      <w:r w:rsidRPr="009072DA">
        <w:rPr>
          <w:lang w:val="bg-BG"/>
        </w:rPr>
        <w:t>в)</w:t>
      </w:r>
      <w:r w:rsidRPr="009072DA">
        <w:rPr>
          <w:lang w:val="bg-BG"/>
        </w:rPr>
        <w:tab/>
        <w:t>температура в биобасейна;</w:t>
      </w:r>
    </w:p>
    <w:p w:rsidR="009C13A9" w:rsidRPr="009072DA" w:rsidRDefault="0029453D" w:rsidP="009C13A9">
      <w:pPr>
        <w:spacing w:before="60" w:line="240" w:lineRule="atLeast"/>
        <w:ind w:left="851"/>
        <w:rPr>
          <w:rFonts w:cs="Arial"/>
          <w:lang w:val="bg-BG"/>
        </w:rPr>
      </w:pPr>
      <w:r w:rsidRPr="009072DA">
        <w:rPr>
          <w:lang w:val="bg-BG"/>
        </w:rPr>
        <w:t>г)</w:t>
      </w:r>
      <w:r w:rsidRPr="009072DA">
        <w:rPr>
          <w:lang w:val="bg-BG"/>
        </w:rPr>
        <w:tab/>
        <w:t>температура на околната среда;</w:t>
      </w:r>
    </w:p>
    <w:p w:rsidR="009C13A9" w:rsidRPr="009072DA" w:rsidRDefault="0029453D" w:rsidP="009C13A9">
      <w:pPr>
        <w:spacing w:before="60" w:line="240" w:lineRule="atLeast"/>
        <w:ind w:left="851"/>
        <w:rPr>
          <w:rFonts w:cs="Arial"/>
          <w:lang w:val="bg-BG"/>
        </w:rPr>
      </w:pPr>
      <w:r w:rsidRPr="009072DA">
        <w:rPr>
          <w:lang w:val="bg-BG"/>
        </w:rPr>
        <w:t>д)</w:t>
      </w:r>
      <w:r w:rsidRPr="009072DA">
        <w:rPr>
          <w:lang w:val="bg-BG"/>
        </w:rPr>
        <w:tab/>
        <w:t>други работни параметри в съответствие с ръководството за работа от производителя.</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lang w:val="bg-BG"/>
        </w:rPr>
        <w:br w:type="page"/>
      </w:r>
    </w:p>
    <w:p w:rsidR="009C13A9" w:rsidRPr="009072DA" w:rsidRDefault="009C13A9" w:rsidP="009C13A9">
      <w:pPr>
        <w:spacing w:line="240" w:lineRule="atLeast"/>
        <w:rPr>
          <w:rFonts w:cs="Arial"/>
          <w:color w:val="000000"/>
          <w:lang w:val="bg-BG"/>
        </w:rPr>
      </w:pPr>
      <w:r w:rsidRPr="009072DA">
        <w:rPr>
          <w:color w:val="000000"/>
          <w:lang w:val="bg-BG"/>
        </w:rPr>
        <w:lastRenderedPageBreak/>
        <w:t>3.4</w:t>
      </w:r>
      <w:r w:rsidRPr="009072DA">
        <w:rPr>
          <w:lang w:val="bg-BG"/>
        </w:rPr>
        <w:tab/>
      </w:r>
      <w:r w:rsidRPr="009072DA">
        <w:rPr>
          <w:color w:val="000000"/>
          <w:lang w:val="bg-BG"/>
        </w:rPr>
        <w:t>Оценка на проверките</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 xml:space="preserve">С цел да бъде документирана определената ефективност на пречистване и да се провери спазването на пределните стойности за процеса се посочват минималната стойност от пробите (Мин.), максималната стойност от пробите (Макс.) и средноаритметичната стойност (Средно), както и отделните резултати от измерванията за контролните параметри </w:t>
      </w:r>
      <m:oMath>
        <m:sSub>
          <m:sSubPr>
            <m:ctrlPr>
              <w:rPr>
                <w:rFonts w:ascii="Cambria Math" w:hAnsi="Cambria Math"/>
                <w:i/>
                <w:lang w:val="bg-BG"/>
              </w:rPr>
            </m:ctrlPr>
          </m:sSubPr>
          <m:e>
            <m:r>
              <w:rPr>
                <w:rFonts w:ascii="Cambria Math" w:hAnsi="Cambria Math"/>
                <w:lang w:val="bg-BG"/>
              </w:rPr>
              <m:t>BOD</m:t>
            </m:r>
          </m:e>
          <m:sub>
            <m:r>
              <w:rPr>
                <w:rFonts w:ascii="Cambria Math" w:hAnsi="Cambria Math"/>
                <w:lang w:val="bg-BG"/>
              </w:rPr>
              <m:t>5</m:t>
            </m:r>
          </m:sub>
        </m:sSub>
      </m:oMath>
      <w:r w:rsidRPr="009072DA">
        <w:rPr>
          <w:lang w:val="bg-BG"/>
        </w:rPr>
        <w:t>, ХПК и ОСОВ.</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За максималната стойност от пробите се дава и етапът на натоварване. Оценките се правят за всички етапи на натоварване, взети заедно. Резултатите се обработват както е показано в следната таблица:</w:t>
      </w:r>
    </w:p>
    <w:p w:rsidR="009C13A9" w:rsidRPr="009072DA" w:rsidRDefault="009C13A9" w:rsidP="009C13A9">
      <w:pPr>
        <w:spacing w:line="240" w:lineRule="atLeast"/>
        <w:ind w:left="426"/>
        <w:rPr>
          <w:lang w:val="bg-BG"/>
        </w:rPr>
      </w:pPr>
    </w:p>
    <w:p w:rsidR="009C13A9" w:rsidRPr="009072DA" w:rsidRDefault="009C13A9" w:rsidP="00FA5168">
      <w:pPr>
        <w:tabs>
          <w:tab w:val="left" w:pos="709"/>
        </w:tabs>
        <w:suppressAutoHyphens/>
        <w:spacing w:after="120" w:line="240" w:lineRule="atLeast"/>
        <w:ind w:left="1701" w:hanging="992"/>
        <w:rPr>
          <w:rFonts w:cs="Arial"/>
          <w:szCs w:val="20"/>
          <w:lang w:val="bg-BG"/>
        </w:rPr>
      </w:pPr>
      <w:r w:rsidRPr="009072DA">
        <w:rPr>
          <w:lang w:val="bg-BG"/>
        </w:rPr>
        <w:t>Таблица 3а:</w:t>
      </w:r>
      <w:r w:rsidRPr="009072DA">
        <w:rPr>
          <w:lang w:val="bg-BG"/>
        </w:rPr>
        <w:tab/>
        <w:t xml:space="preserve">Спецификация за статистическата обработка на събраните данни - оценяване с цел документиране на съответствието с пределните стойности за изходящия поток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1"/>
        <w:gridCol w:w="2325"/>
        <w:gridCol w:w="1303"/>
        <w:gridCol w:w="927"/>
        <w:gridCol w:w="848"/>
        <w:gridCol w:w="911"/>
        <w:gridCol w:w="903"/>
      </w:tblGrid>
      <w:tr w:rsidR="009C13A9" w:rsidRPr="009072DA" w:rsidTr="00FA5168">
        <w:trPr>
          <w:jc w:val="center"/>
        </w:trPr>
        <w:tc>
          <w:tcPr>
            <w:tcW w:w="1461" w:type="dxa"/>
            <w:vMerge w:val="restart"/>
            <w:vAlign w:val="center"/>
          </w:tcPr>
          <w:p w:rsidR="009C13A9" w:rsidRPr="009072DA" w:rsidRDefault="009C13A9" w:rsidP="009C13A9">
            <w:pPr>
              <w:spacing w:before="60" w:after="60" w:line="240" w:lineRule="atLeast"/>
              <w:rPr>
                <w:rFonts w:cs="Arial"/>
                <w:sz w:val="18"/>
                <w:szCs w:val="18"/>
                <w:lang w:val="bg-BG"/>
              </w:rPr>
            </w:pPr>
            <w:r w:rsidRPr="009072DA">
              <w:rPr>
                <w:sz w:val="18"/>
                <w:lang w:val="bg-BG"/>
              </w:rPr>
              <w:t>Параметър</w:t>
            </w:r>
          </w:p>
        </w:tc>
        <w:tc>
          <w:tcPr>
            <w:tcW w:w="2325" w:type="dxa"/>
            <w:vMerge w:val="restart"/>
            <w:vAlign w:val="center"/>
          </w:tcPr>
          <w:p w:rsidR="009C13A9" w:rsidRPr="009072DA" w:rsidRDefault="009C13A9" w:rsidP="009C13A9">
            <w:pPr>
              <w:spacing w:before="60" w:after="60" w:line="240" w:lineRule="atLeast"/>
              <w:jc w:val="center"/>
              <w:rPr>
                <w:rFonts w:cs="Arial"/>
                <w:sz w:val="18"/>
                <w:szCs w:val="18"/>
                <w:lang w:val="bg-BG"/>
              </w:rPr>
            </w:pPr>
            <w:r w:rsidRPr="009072DA">
              <w:rPr>
                <w:sz w:val="18"/>
                <w:lang w:val="bg-BG"/>
              </w:rPr>
              <w:t>Вид на пробата</w:t>
            </w:r>
          </w:p>
        </w:tc>
        <w:tc>
          <w:tcPr>
            <w:tcW w:w="1016" w:type="dxa"/>
            <w:vMerge w:val="restart"/>
            <w:vAlign w:val="center"/>
          </w:tcPr>
          <w:p w:rsidR="009C13A9" w:rsidRPr="009072DA" w:rsidRDefault="009C13A9" w:rsidP="009C13A9">
            <w:pPr>
              <w:spacing w:before="60" w:after="60" w:line="240" w:lineRule="atLeast"/>
              <w:jc w:val="center"/>
              <w:rPr>
                <w:rFonts w:cs="Arial"/>
                <w:sz w:val="18"/>
                <w:szCs w:val="18"/>
                <w:lang w:val="bg-BG"/>
              </w:rPr>
            </w:pPr>
            <w:r w:rsidRPr="009072DA">
              <w:rPr>
                <w:sz w:val="18"/>
                <w:lang w:val="bg-BG"/>
              </w:rPr>
              <w:t>Брой на изпитванията, при които са спазени пределните стойности</w:t>
            </w:r>
          </w:p>
        </w:tc>
        <w:tc>
          <w:tcPr>
            <w:tcW w:w="927" w:type="dxa"/>
            <w:vMerge w:val="restart"/>
            <w:vAlign w:val="center"/>
          </w:tcPr>
          <w:p w:rsidR="009C13A9" w:rsidRPr="009072DA" w:rsidRDefault="009C13A9" w:rsidP="009C13A9">
            <w:pPr>
              <w:spacing w:before="60" w:after="60" w:line="240" w:lineRule="atLeast"/>
              <w:jc w:val="center"/>
              <w:rPr>
                <w:rFonts w:cs="Arial"/>
                <w:sz w:val="18"/>
                <w:szCs w:val="18"/>
                <w:lang w:val="bg-BG"/>
              </w:rPr>
            </w:pPr>
            <w:r w:rsidRPr="009072DA">
              <w:rPr>
                <w:sz w:val="18"/>
                <w:lang w:val="bg-BG"/>
              </w:rPr>
              <w:t>Средно</w:t>
            </w:r>
          </w:p>
        </w:tc>
        <w:tc>
          <w:tcPr>
            <w:tcW w:w="848" w:type="dxa"/>
            <w:vMerge w:val="restart"/>
            <w:vAlign w:val="center"/>
          </w:tcPr>
          <w:p w:rsidR="009C13A9" w:rsidRPr="009072DA" w:rsidRDefault="009C13A9" w:rsidP="009C13A9">
            <w:pPr>
              <w:spacing w:before="60" w:after="60" w:line="240" w:lineRule="atLeast"/>
              <w:jc w:val="center"/>
              <w:rPr>
                <w:rFonts w:cs="Arial"/>
                <w:sz w:val="18"/>
                <w:szCs w:val="18"/>
                <w:lang w:val="bg-BG"/>
              </w:rPr>
            </w:pPr>
            <w:r w:rsidRPr="009072DA">
              <w:rPr>
                <w:sz w:val="18"/>
                <w:lang w:val="bg-BG"/>
              </w:rPr>
              <w:t>Мин.</w:t>
            </w:r>
          </w:p>
        </w:tc>
        <w:tc>
          <w:tcPr>
            <w:tcW w:w="1755" w:type="dxa"/>
            <w:gridSpan w:val="2"/>
            <w:vAlign w:val="center"/>
          </w:tcPr>
          <w:p w:rsidR="009C13A9" w:rsidRPr="009072DA" w:rsidRDefault="009C13A9" w:rsidP="009C13A9">
            <w:pPr>
              <w:spacing w:before="60" w:after="60" w:line="240" w:lineRule="atLeast"/>
              <w:jc w:val="center"/>
              <w:rPr>
                <w:rFonts w:cs="Arial"/>
                <w:sz w:val="18"/>
                <w:szCs w:val="18"/>
                <w:lang w:val="bg-BG"/>
              </w:rPr>
            </w:pPr>
            <w:r w:rsidRPr="009072DA">
              <w:rPr>
                <w:sz w:val="18"/>
                <w:lang w:val="bg-BG"/>
              </w:rPr>
              <w:t>Макс.</w:t>
            </w:r>
          </w:p>
        </w:tc>
      </w:tr>
      <w:tr w:rsidR="009C13A9" w:rsidRPr="009072DA" w:rsidTr="00FA5168">
        <w:trPr>
          <w:jc w:val="center"/>
        </w:trPr>
        <w:tc>
          <w:tcPr>
            <w:tcW w:w="1461" w:type="dxa"/>
            <w:vMerge/>
          </w:tcPr>
          <w:p w:rsidR="009C13A9" w:rsidRPr="009072DA" w:rsidRDefault="009C13A9" w:rsidP="009C13A9">
            <w:pPr>
              <w:spacing w:before="60" w:after="60" w:line="240" w:lineRule="atLeast"/>
              <w:rPr>
                <w:rFonts w:cs="Arial"/>
                <w:sz w:val="18"/>
                <w:szCs w:val="18"/>
                <w:lang w:val="bg-BG"/>
              </w:rPr>
            </w:pPr>
          </w:p>
        </w:tc>
        <w:tc>
          <w:tcPr>
            <w:tcW w:w="2325" w:type="dxa"/>
            <w:vMerge/>
          </w:tcPr>
          <w:p w:rsidR="009C13A9" w:rsidRPr="009072DA" w:rsidRDefault="009C13A9" w:rsidP="009C13A9">
            <w:pPr>
              <w:spacing w:before="60" w:after="60" w:line="240" w:lineRule="atLeast"/>
              <w:jc w:val="center"/>
              <w:rPr>
                <w:rFonts w:cs="Arial"/>
                <w:sz w:val="18"/>
                <w:szCs w:val="18"/>
                <w:lang w:val="bg-BG"/>
              </w:rPr>
            </w:pPr>
          </w:p>
        </w:tc>
        <w:tc>
          <w:tcPr>
            <w:tcW w:w="1016" w:type="dxa"/>
            <w:vMerge/>
          </w:tcPr>
          <w:p w:rsidR="009C13A9" w:rsidRPr="009072DA" w:rsidRDefault="009C13A9" w:rsidP="009C13A9">
            <w:pPr>
              <w:spacing w:before="60" w:after="60" w:line="240" w:lineRule="atLeast"/>
              <w:jc w:val="center"/>
              <w:rPr>
                <w:rFonts w:cs="Arial"/>
                <w:sz w:val="18"/>
                <w:szCs w:val="18"/>
                <w:lang w:val="bg-BG"/>
              </w:rPr>
            </w:pPr>
          </w:p>
        </w:tc>
        <w:tc>
          <w:tcPr>
            <w:tcW w:w="927" w:type="dxa"/>
            <w:vMerge/>
          </w:tcPr>
          <w:p w:rsidR="009C13A9" w:rsidRPr="009072DA" w:rsidRDefault="009C13A9" w:rsidP="009C13A9">
            <w:pPr>
              <w:spacing w:before="60" w:after="60" w:line="240" w:lineRule="atLeast"/>
              <w:jc w:val="center"/>
              <w:rPr>
                <w:rFonts w:cs="Arial"/>
                <w:sz w:val="18"/>
                <w:szCs w:val="18"/>
                <w:lang w:val="bg-BG"/>
              </w:rPr>
            </w:pPr>
          </w:p>
        </w:tc>
        <w:tc>
          <w:tcPr>
            <w:tcW w:w="848" w:type="dxa"/>
            <w:vMerge/>
          </w:tcPr>
          <w:p w:rsidR="009C13A9" w:rsidRPr="009072DA" w:rsidRDefault="009C13A9" w:rsidP="009C13A9">
            <w:pPr>
              <w:spacing w:before="60" w:after="60" w:line="240" w:lineRule="atLeast"/>
              <w:jc w:val="center"/>
              <w:rPr>
                <w:rFonts w:cs="Arial"/>
                <w:sz w:val="18"/>
                <w:szCs w:val="18"/>
                <w:lang w:val="bg-BG"/>
              </w:rPr>
            </w:pPr>
          </w:p>
        </w:tc>
        <w:tc>
          <w:tcPr>
            <w:tcW w:w="852" w:type="dxa"/>
          </w:tcPr>
          <w:p w:rsidR="009C13A9" w:rsidRPr="009072DA" w:rsidRDefault="009C13A9" w:rsidP="009C13A9">
            <w:pPr>
              <w:spacing w:before="60" w:after="60" w:line="240" w:lineRule="atLeast"/>
              <w:jc w:val="center"/>
              <w:rPr>
                <w:rFonts w:cs="Arial"/>
                <w:sz w:val="18"/>
                <w:szCs w:val="18"/>
                <w:lang w:val="bg-BG"/>
              </w:rPr>
            </w:pPr>
            <w:r w:rsidRPr="009072DA">
              <w:rPr>
                <w:sz w:val="18"/>
                <w:lang w:val="bg-BG"/>
              </w:rPr>
              <w:t>Стойност</w:t>
            </w:r>
          </w:p>
        </w:tc>
        <w:tc>
          <w:tcPr>
            <w:tcW w:w="903" w:type="dxa"/>
          </w:tcPr>
          <w:p w:rsidR="009C13A9" w:rsidRPr="009072DA" w:rsidRDefault="009C13A9" w:rsidP="009C13A9">
            <w:pPr>
              <w:spacing w:before="60" w:after="60" w:line="240" w:lineRule="atLeast"/>
              <w:jc w:val="center"/>
              <w:rPr>
                <w:rFonts w:cs="Arial"/>
                <w:sz w:val="18"/>
                <w:szCs w:val="18"/>
                <w:lang w:val="bg-BG"/>
              </w:rPr>
            </w:pPr>
            <w:r w:rsidRPr="009072DA">
              <w:rPr>
                <w:sz w:val="18"/>
                <w:lang w:val="bg-BG"/>
              </w:rPr>
              <w:t>Фаза</w:t>
            </w:r>
          </w:p>
        </w:tc>
      </w:tr>
      <w:tr w:rsidR="009C13A9" w:rsidRPr="009072DA" w:rsidTr="00FA5168">
        <w:trPr>
          <w:jc w:val="center"/>
        </w:trPr>
        <w:tc>
          <w:tcPr>
            <w:tcW w:w="1461" w:type="dxa"/>
            <w:vAlign w:val="center"/>
          </w:tcPr>
          <w:p w:rsidR="009C13A9" w:rsidRPr="009072DA" w:rsidRDefault="009C13A9" w:rsidP="009C13A9">
            <w:pPr>
              <w:spacing w:before="60" w:after="60" w:line="240" w:lineRule="atLeast"/>
              <w:rPr>
                <w:rFonts w:cs="Arial"/>
                <w:sz w:val="18"/>
                <w:szCs w:val="18"/>
                <w:lang w:val="bg-BG"/>
              </w:rPr>
            </w:pPr>
            <w:r w:rsidRPr="009072DA">
              <w:rPr>
                <w:sz w:val="18"/>
                <w:lang w:val="bg-BG"/>
              </w:rPr>
              <w:t xml:space="preserve">Входящ поток </w:t>
            </w:r>
            <m:oMath>
              <m:sSub>
                <m:sSubPr>
                  <m:ctrlPr>
                    <w:rPr>
                      <w:rFonts w:ascii="Cambria Math" w:hAnsi="Cambria Math"/>
                      <w:i/>
                      <w:sz w:val="18"/>
                      <w:lang w:val="bg-BG"/>
                    </w:rPr>
                  </m:ctrlPr>
                </m:sSubPr>
                <m:e>
                  <m:r>
                    <w:rPr>
                      <w:rFonts w:ascii="Cambria Math" w:hAnsi="Cambria Math"/>
                      <w:sz w:val="18"/>
                      <w:lang w:val="bg-BG"/>
                    </w:rPr>
                    <m:t>BOD</m:t>
                  </m:r>
                </m:e>
                <m:sub>
                  <m:r>
                    <w:rPr>
                      <w:rFonts w:ascii="Cambria Math" w:hAnsi="Cambria Math"/>
                      <w:sz w:val="18"/>
                      <w:lang w:val="bg-BG"/>
                    </w:rPr>
                    <m:t>5</m:t>
                  </m:r>
                </m:sub>
              </m:sSub>
            </m:oMath>
          </w:p>
        </w:tc>
        <w:tc>
          <w:tcPr>
            <w:tcW w:w="2325" w:type="dxa"/>
            <w:vAlign w:val="center"/>
          </w:tcPr>
          <w:p w:rsidR="009C13A9" w:rsidRPr="009072DA" w:rsidRDefault="009C13A9" w:rsidP="00FA5168">
            <w:pPr>
              <w:spacing w:before="60" w:after="60" w:line="240" w:lineRule="atLeast"/>
              <w:rPr>
                <w:rFonts w:cs="Arial"/>
                <w:sz w:val="18"/>
                <w:szCs w:val="18"/>
                <w:lang w:val="bg-BG"/>
              </w:rPr>
            </w:pPr>
            <w:r w:rsidRPr="009072DA">
              <w:rPr>
                <w:sz w:val="18"/>
                <w:lang w:val="bg-BG"/>
              </w:rPr>
              <w:t>24-часови комбинирани проби</w:t>
            </w:r>
          </w:p>
        </w:tc>
        <w:tc>
          <w:tcPr>
            <w:tcW w:w="1016" w:type="dxa"/>
            <w:vAlign w:val="center"/>
          </w:tcPr>
          <w:p w:rsidR="009C13A9" w:rsidRPr="009072DA" w:rsidRDefault="009C13A9" w:rsidP="00FA5168">
            <w:pPr>
              <w:spacing w:before="60" w:after="60" w:line="240" w:lineRule="atLeast"/>
              <w:jc w:val="center"/>
              <w:rPr>
                <w:rFonts w:cs="Arial"/>
                <w:sz w:val="18"/>
                <w:szCs w:val="18"/>
                <w:lang w:val="bg-BG"/>
              </w:rPr>
            </w:pPr>
            <w:r w:rsidRPr="009072DA">
              <w:rPr>
                <w:sz w:val="18"/>
                <w:lang w:val="bg-BG"/>
              </w:rPr>
              <w:t>--</w:t>
            </w:r>
          </w:p>
        </w:tc>
        <w:tc>
          <w:tcPr>
            <w:tcW w:w="927" w:type="dxa"/>
            <w:vAlign w:val="center"/>
          </w:tcPr>
          <w:p w:rsidR="009C13A9" w:rsidRPr="009072DA" w:rsidRDefault="009C13A9" w:rsidP="009C13A9">
            <w:pPr>
              <w:spacing w:before="60" w:after="60" w:line="240" w:lineRule="atLeast"/>
              <w:rPr>
                <w:rFonts w:cs="Arial"/>
                <w:sz w:val="18"/>
                <w:szCs w:val="18"/>
                <w:lang w:val="bg-BG"/>
              </w:rPr>
            </w:pPr>
          </w:p>
        </w:tc>
        <w:tc>
          <w:tcPr>
            <w:tcW w:w="848" w:type="dxa"/>
          </w:tcPr>
          <w:p w:rsidR="009C13A9" w:rsidRPr="009072DA" w:rsidRDefault="009C13A9" w:rsidP="009C13A9">
            <w:pPr>
              <w:spacing w:before="60" w:after="60" w:line="240" w:lineRule="atLeast"/>
              <w:rPr>
                <w:rFonts w:cs="Arial"/>
                <w:sz w:val="18"/>
                <w:szCs w:val="18"/>
                <w:lang w:val="bg-BG"/>
              </w:rPr>
            </w:pPr>
          </w:p>
        </w:tc>
        <w:tc>
          <w:tcPr>
            <w:tcW w:w="852" w:type="dxa"/>
            <w:vAlign w:val="center"/>
          </w:tcPr>
          <w:p w:rsidR="009C13A9" w:rsidRPr="009072DA" w:rsidRDefault="009C13A9" w:rsidP="009C13A9">
            <w:pPr>
              <w:spacing w:before="60" w:after="60" w:line="240" w:lineRule="atLeast"/>
              <w:rPr>
                <w:rFonts w:cs="Arial"/>
                <w:sz w:val="18"/>
                <w:szCs w:val="18"/>
                <w:lang w:val="bg-BG"/>
              </w:rPr>
            </w:pPr>
          </w:p>
        </w:tc>
        <w:tc>
          <w:tcPr>
            <w:tcW w:w="903" w:type="dxa"/>
            <w:vAlign w:val="center"/>
          </w:tcPr>
          <w:p w:rsidR="009C13A9" w:rsidRPr="009072DA" w:rsidRDefault="009C13A9" w:rsidP="009C13A9">
            <w:pPr>
              <w:spacing w:before="60" w:after="60" w:line="240" w:lineRule="atLeast"/>
              <w:rPr>
                <w:rFonts w:cs="Arial"/>
                <w:sz w:val="18"/>
                <w:szCs w:val="18"/>
                <w:lang w:val="bg-BG"/>
              </w:rPr>
            </w:pPr>
          </w:p>
        </w:tc>
      </w:tr>
      <w:tr w:rsidR="009C13A9" w:rsidRPr="009072DA" w:rsidTr="00FA5168">
        <w:trPr>
          <w:jc w:val="center"/>
        </w:trPr>
        <w:tc>
          <w:tcPr>
            <w:tcW w:w="1461" w:type="dxa"/>
          </w:tcPr>
          <w:p w:rsidR="009C13A9" w:rsidRPr="009072DA" w:rsidRDefault="009C13A9" w:rsidP="009C13A9">
            <w:pPr>
              <w:spacing w:before="60" w:after="60" w:line="240" w:lineRule="atLeast"/>
              <w:rPr>
                <w:rFonts w:cs="Arial"/>
                <w:sz w:val="18"/>
                <w:szCs w:val="18"/>
                <w:lang w:val="bg-BG"/>
              </w:rPr>
            </w:pPr>
            <w:r w:rsidRPr="009072DA">
              <w:rPr>
                <w:sz w:val="18"/>
                <w:lang w:val="bg-BG"/>
              </w:rPr>
              <w:t xml:space="preserve">Изходящ поток </w:t>
            </w:r>
            <m:oMath>
              <m:sSub>
                <m:sSubPr>
                  <m:ctrlPr>
                    <w:rPr>
                      <w:rFonts w:ascii="Cambria Math" w:hAnsi="Cambria Math"/>
                      <w:i/>
                      <w:sz w:val="18"/>
                      <w:lang w:val="bg-BG"/>
                    </w:rPr>
                  </m:ctrlPr>
                </m:sSubPr>
                <m:e>
                  <m:r>
                    <w:rPr>
                      <w:rFonts w:ascii="Cambria Math" w:hAnsi="Cambria Math"/>
                      <w:sz w:val="18"/>
                      <w:lang w:val="bg-BG"/>
                    </w:rPr>
                    <m:t>BOD</m:t>
                  </m:r>
                </m:e>
                <m:sub>
                  <m:r>
                    <w:rPr>
                      <w:rFonts w:ascii="Cambria Math" w:hAnsi="Cambria Math"/>
                      <w:sz w:val="18"/>
                      <w:lang w:val="bg-BG"/>
                    </w:rPr>
                    <m:t>5</m:t>
                  </m:r>
                </m:sub>
              </m:sSub>
            </m:oMath>
          </w:p>
        </w:tc>
        <w:tc>
          <w:tcPr>
            <w:tcW w:w="2325" w:type="dxa"/>
            <w:vAlign w:val="center"/>
          </w:tcPr>
          <w:p w:rsidR="009C13A9" w:rsidRPr="009072DA" w:rsidRDefault="009C13A9" w:rsidP="00FA5168">
            <w:pPr>
              <w:spacing w:before="60" w:after="60" w:line="240" w:lineRule="atLeast"/>
              <w:rPr>
                <w:rFonts w:cs="Arial"/>
                <w:sz w:val="18"/>
                <w:szCs w:val="18"/>
                <w:lang w:val="bg-BG"/>
              </w:rPr>
            </w:pPr>
            <w:r w:rsidRPr="009072DA">
              <w:rPr>
                <w:sz w:val="18"/>
                <w:lang w:val="bg-BG"/>
              </w:rPr>
              <w:t>24-часови комбинирани проби</w:t>
            </w:r>
          </w:p>
        </w:tc>
        <w:tc>
          <w:tcPr>
            <w:tcW w:w="1016" w:type="dxa"/>
            <w:vAlign w:val="center"/>
          </w:tcPr>
          <w:p w:rsidR="009C13A9" w:rsidRPr="009072DA" w:rsidRDefault="009C13A9" w:rsidP="009C13A9">
            <w:pPr>
              <w:spacing w:before="60" w:after="60" w:line="240" w:lineRule="atLeast"/>
              <w:rPr>
                <w:rFonts w:cs="Arial"/>
                <w:sz w:val="18"/>
                <w:szCs w:val="18"/>
                <w:lang w:val="bg-BG"/>
              </w:rPr>
            </w:pPr>
          </w:p>
        </w:tc>
        <w:tc>
          <w:tcPr>
            <w:tcW w:w="927" w:type="dxa"/>
            <w:vAlign w:val="center"/>
          </w:tcPr>
          <w:p w:rsidR="009C13A9" w:rsidRPr="009072DA" w:rsidRDefault="009C13A9" w:rsidP="009C13A9">
            <w:pPr>
              <w:spacing w:before="60" w:after="60" w:line="240" w:lineRule="atLeast"/>
              <w:rPr>
                <w:rFonts w:cs="Arial"/>
                <w:sz w:val="18"/>
                <w:szCs w:val="18"/>
                <w:lang w:val="bg-BG"/>
              </w:rPr>
            </w:pPr>
          </w:p>
        </w:tc>
        <w:tc>
          <w:tcPr>
            <w:tcW w:w="848" w:type="dxa"/>
          </w:tcPr>
          <w:p w:rsidR="009C13A9" w:rsidRPr="009072DA" w:rsidRDefault="009C13A9" w:rsidP="009C13A9">
            <w:pPr>
              <w:spacing w:before="60" w:after="60" w:line="240" w:lineRule="atLeast"/>
              <w:rPr>
                <w:rFonts w:cs="Arial"/>
                <w:sz w:val="18"/>
                <w:szCs w:val="18"/>
                <w:lang w:val="bg-BG"/>
              </w:rPr>
            </w:pPr>
          </w:p>
        </w:tc>
        <w:tc>
          <w:tcPr>
            <w:tcW w:w="852" w:type="dxa"/>
            <w:vAlign w:val="center"/>
          </w:tcPr>
          <w:p w:rsidR="009C13A9" w:rsidRPr="009072DA" w:rsidRDefault="009C13A9" w:rsidP="009C13A9">
            <w:pPr>
              <w:spacing w:before="60" w:after="60" w:line="240" w:lineRule="atLeast"/>
              <w:rPr>
                <w:rFonts w:cs="Arial"/>
                <w:sz w:val="18"/>
                <w:szCs w:val="18"/>
                <w:lang w:val="bg-BG"/>
              </w:rPr>
            </w:pPr>
          </w:p>
        </w:tc>
        <w:tc>
          <w:tcPr>
            <w:tcW w:w="903" w:type="dxa"/>
            <w:vAlign w:val="center"/>
          </w:tcPr>
          <w:p w:rsidR="009C13A9" w:rsidRPr="009072DA" w:rsidRDefault="009C13A9" w:rsidP="009C13A9">
            <w:pPr>
              <w:spacing w:before="60" w:after="60" w:line="240" w:lineRule="atLeast"/>
              <w:rPr>
                <w:rFonts w:cs="Arial"/>
                <w:sz w:val="18"/>
                <w:szCs w:val="18"/>
                <w:lang w:val="bg-BG"/>
              </w:rPr>
            </w:pPr>
          </w:p>
        </w:tc>
      </w:tr>
      <w:tr w:rsidR="009C13A9" w:rsidRPr="009072DA" w:rsidTr="00FA5168">
        <w:trPr>
          <w:jc w:val="center"/>
        </w:trPr>
        <w:tc>
          <w:tcPr>
            <w:tcW w:w="1461" w:type="dxa"/>
            <w:vAlign w:val="center"/>
          </w:tcPr>
          <w:p w:rsidR="009C13A9" w:rsidRPr="009072DA" w:rsidRDefault="009C13A9" w:rsidP="009C13A9">
            <w:pPr>
              <w:spacing w:before="60" w:after="60" w:line="240" w:lineRule="atLeast"/>
              <w:rPr>
                <w:rFonts w:cs="Arial"/>
                <w:sz w:val="18"/>
                <w:szCs w:val="18"/>
                <w:lang w:val="bg-BG"/>
              </w:rPr>
            </w:pPr>
            <w:r w:rsidRPr="009072DA">
              <w:rPr>
                <w:sz w:val="18"/>
                <w:lang w:val="bg-BG"/>
              </w:rPr>
              <w:t xml:space="preserve">Входящ поток </w:t>
            </w:r>
            <m:oMath>
              <m:sSub>
                <m:sSubPr>
                  <m:ctrlPr>
                    <w:rPr>
                      <w:rFonts w:ascii="Cambria Math" w:hAnsi="Cambria Math"/>
                      <w:i/>
                      <w:sz w:val="18"/>
                      <w:lang w:val="bg-BG"/>
                    </w:rPr>
                  </m:ctrlPr>
                </m:sSubPr>
                <m:e>
                  <m:r>
                    <w:rPr>
                      <w:rFonts w:ascii="Cambria Math" w:hAnsi="Cambria Math"/>
                      <w:sz w:val="18"/>
                      <w:lang w:val="bg-BG"/>
                    </w:rPr>
                    <m:t>BOD</m:t>
                  </m:r>
                </m:e>
                <m:sub>
                  <m:r>
                    <w:rPr>
                      <w:rFonts w:ascii="Cambria Math" w:hAnsi="Cambria Math"/>
                      <w:sz w:val="18"/>
                      <w:lang w:val="bg-BG"/>
                    </w:rPr>
                    <m:t>5</m:t>
                  </m:r>
                </m:sub>
              </m:sSub>
            </m:oMath>
          </w:p>
        </w:tc>
        <w:tc>
          <w:tcPr>
            <w:tcW w:w="2325" w:type="dxa"/>
            <w:vAlign w:val="center"/>
          </w:tcPr>
          <w:p w:rsidR="009C13A9" w:rsidRPr="009072DA" w:rsidRDefault="009C13A9" w:rsidP="00FA5168">
            <w:pPr>
              <w:spacing w:before="60" w:after="60" w:line="240" w:lineRule="atLeast"/>
              <w:rPr>
                <w:rFonts w:cs="Arial"/>
                <w:sz w:val="18"/>
                <w:szCs w:val="18"/>
                <w:lang w:val="bg-BG"/>
              </w:rPr>
            </w:pPr>
            <w:r w:rsidRPr="009072DA">
              <w:rPr>
                <w:sz w:val="18"/>
                <w:lang w:val="bg-BG"/>
              </w:rPr>
              <w:t>случайни проби</w:t>
            </w:r>
          </w:p>
        </w:tc>
        <w:tc>
          <w:tcPr>
            <w:tcW w:w="1016" w:type="dxa"/>
            <w:vAlign w:val="center"/>
          </w:tcPr>
          <w:p w:rsidR="009C13A9" w:rsidRPr="009072DA" w:rsidRDefault="009C13A9" w:rsidP="009C13A9">
            <w:pPr>
              <w:spacing w:before="60" w:after="60" w:line="240" w:lineRule="atLeast"/>
              <w:jc w:val="center"/>
              <w:rPr>
                <w:rFonts w:cs="Arial"/>
                <w:sz w:val="18"/>
                <w:szCs w:val="18"/>
                <w:lang w:val="bg-BG"/>
              </w:rPr>
            </w:pPr>
            <w:r w:rsidRPr="009072DA">
              <w:rPr>
                <w:sz w:val="18"/>
                <w:lang w:val="bg-BG"/>
              </w:rPr>
              <w:t>--</w:t>
            </w:r>
          </w:p>
        </w:tc>
        <w:tc>
          <w:tcPr>
            <w:tcW w:w="927" w:type="dxa"/>
            <w:vAlign w:val="center"/>
          </w:tcPr>
          <w:p w:rsidR="009C13A9" w:rsidRPr="009072DA" w:rsidRDefault="009C13A9" w:rsidP="009C13A9">
            <w:pPr>
              <w:spacing w:before="60" w:after="60" w:line="240" w:lineRule="atLeast"/>
              <w:rPr>
                <w:rFonts w:cs="Arial"/>
                <w:sz w:val="18"/>
                <w:szCs w:val="18"/>
                <w:lang w:val="bg-BG"/>
              </w:rPr>
            </w:pPr>
          </w:p>
        </w:tc>
        <w:tc>
          <w:tcPr>
            <w:tcW w:w="848" w:type="dxa"/>
          </w:tcPr>
          <w:p w:rsidR="009C13A9" w:rsidRPr="009072DA" w:rsidRDefault="009C13A9" w:rsidP="009C13A9">
            <w:pPr>
              <w:spacing w:before="60" w:after="60" w:line="240" w:lineRule="atLeast"/>
              <w:rPr>
                <w:rFonts w:cs="Arial"/>
                <w:sz w:val="18"/>
                <w:szCs w:val="18"/>
                <w:lang w:val="bg-BG"/>
              </w:rPr>
            </w:pPr>
          </w:p>
        </w:tc>
        <w:tc>
          <w:tcPr>
            <w:tcW w:w="852" w:type="dxa"/>
            <w:vAlign w:val="center"/>
          </w:tcPr>
          <w:p w:rsidR="009C13A9" w:rsidRPr="009072DA" w:rsidRDefault="009C13A9" w:rsidP="009C13A9">
            <w:pPr>
              <w:spacing w:before="60" w:after="60" w:line="240" w:lineRule="atLeast"/>
              <w:rPr>
                <w:rFonts w:cs="Arial"/>
                <w:sz w:val="18"/>
                <w:szCs w:val="18"/>
                <w:lang w:val="bg-BG"/>
              </w:rPr>
            </w:pPr>
          </w:p>
        </w:tc>
        <w:tc>
          <w:tcPr>
            <w:tcW w:w="903" w:type="dxa"/>
            <w:vAlign w:val="center"/>
          </w:tcPr>
          <w:p w:rsidR="009C13A9" w:rsidRPr="009072DA" w:rsidRDefault="009C13A9" w:rsidP="009C13A9">
            <w:pPr>
              <w:spacing w:before="60" w:after="60" w:line="240" w:lineRule="atLeast"/>
              <w:rPr>
                <w:rFonts w:cs="Arial"/>
                <w:sz w:val="18"/>
                <w:szCs w:val="18"/>
                <w:lang w:val="bg-BG"/>
              </w:rPr>
            </w:pPr>
          </w:p>
        </w:tc>
      </w:tr>
      <w:tr w:rsidR="009C13A9" w:rsidRPr="009072DA" w:rsidTr="00FA5168">
        <w:trPr>
          <w:jc w:val="center"/>
        </w:trPr>
        <w:tc>
          <w:tcPr>
            <w:tcW w:w="1461" w:type="dxa"/>
          </w:tcPr>
          <w:p w:rsidR="009C13A9" w:rsidRPr="009072DA" w:rsidRDefault="009C13A9" w:rsidP="009C13A9">
            <w:pPr>
              <w:spacing w:before="60" w:after="60" w:line="240" w:lineRule="atLeast"/>
              <w:rPr>
                <w:rFonts w:cs="Arial"/>
                <w:sz w:val="18"/>
                <w:szCs w:val="18"/>
                <w:lang w:val="bg-BG"/>
              </w:rPr>
            </w:pPr>
            <w:r w:rsidRPr="009072DA">
              <w:rPr>
                <w:sz w:val="18"/>
                <w:lang w:val="bg-BG"/>
              </w:rPr>
              <w:t xml:space="preserve">Изходящ поток </w:t>
            </w:r>
            <m:oMath>
              <m:sSub>
                <m:sSubPr>
                  <m:ctrlPr>
                    <w:rPr>
                      <w:rFonts w:ascii="Cambria Math" w:hAnsi="Cambria Math"/>
                      <w:i/>
                      <w:sz w:val="18"/>
                      <w:lang w:val="bg-BG"/>
                    </w:rPr>
                  </m:ctrlPr>
                </m:sSubPr>
                <m:e>
                  <m:r>
                    <w:rPr>
                      <w:rFonts w:ascii="Cambria Math" w:hAnsi="Cambria Math"/>
                      <w:sz w:val="18"/>
                      <w:lang w:val="bg-BG"/>
                    </w:rPr>
                    <m:t>BOD</m:t>
                  </m:r>
                </m:e>
                <m:sub>
                  <m:r>
                    <w:rPr>
                      <w:rFonts w:ascii="Cambria Math" w:hAnsi="Cambria Math"/>
                      <w:sz w:val="18"/>
                      <w:lang w:val="bg-BG"/>
                    </w:rPr>
                    <m:t>5</m:t>
                  </m:r>
                </m:sub>
              </m:sSub>
            </m:oMath>
          </w:p>
        </w:tc>
        <w:tc>
          <w:tcPr>
            <w:tcW w:w="2325" w:type="dxa"/>
            <w:vAlign w:val="center"/>
          </w:tcPr>
          <w:p w:rsidR="009C13A9" w:rsidRPr="009072DA" w:rsidRDefault="009C13A9" w:rsidP="00FA5168">
            <w:pPr>
              <w:spacing w:before="60" w:after="60" w:line="240" w:lineRule="atLeast"/>
              <w:rPr>
                <w:rFonts w:cs="Arial"/>
                <w:sz w:val="18"/>
                <w:szCs w:val="18"/>
                <w:lang w:val="bg-BG"/>
              </w:rPr>
            </w:pPr>
            <w:r w:rsidRPr="009072DA">
              <w:rPr>
                <w:sz w:val="18"/>
                <w:lang w:val="bg-BG"/>
              </w:rPr>
              <w:t>случайни проби</w:t>
            </w:r>
          </w:p>
        </w:tc>
        <w:tc>
          <w:tcPr>
            <w:tcW w:w="1016" w:type="dxa"/>
            <w:vAlign w:val="center"/>
          </w:tcPr>
          <w:p w:rsidR="009C13A9" w:rsidRPr="009072DA" w:rsidRDefault="009C13A9" w:rsidP="009C13A9">
            <w:pPr>
              <w:spacing w:before="60" w:after="60" w:line="240" w:lineRule="atLeast"/>
              <w:rPr>
                <w:rFonts w:cs="Arial"/>
                <w:sz w:val="18"/>
                <w:szCs w:val="18"/>
                <w:lang w:val="bg-BG"/>
              </w:rPr>
            </w:pPr>
          </w:p>
        </w:tc>
        <w:tc>
          <w:tcPr>
            <w:tcW w:w="927" w:type="dxa"/>
            <w:vAlign w:val="center"/>
          </w:tcPr>
          <w:p w:rsidR="009C13A9" w:rsidRPr="009072DA" w:rsidRDefault="009C13A9" w:rsidP="009C13A9">
            <w:pPr>
              <w:spacing w:before="60" w:after="60" w:line="240" w:lineRule="atLeast"/>
              <w:rPr>
                <w:rFonts w:cs="Arial"/>
                <w:sz w:val="18"/>
                <w:szCs w:val="18"/>
                <w:lang w:val="bg-BG"/>
              </w:rPr>
            </w:pPr>
          </w:p>
        </w:tc>
        <w:tc>
          <w:tcPr>
            <w:tcW w:w="848" w:type="dxa"/>
          </w:tcPr>
          <w:p w:rsidR="009C13A9" w:rsidRPr="009072DA" w:rsidRDefault="009C13A9" w:rsidP="009C13A9">
            <w:pPr>
              <w:spacing w:before="60" w:after="60" w:line="240" w:lineRule="atLeast"/>
              <w:rPr>
                <w:rFonts w:cs="Arial"/>
                <w:sz w:val="18"/>
                <w:szCs w:val="18"/>
                <w:lang w:val="bg-BG"/>
              </w:rPr>
            </w:pPr>
          </w:p>
        </w:tc>
        <w:tc>
          <w:tcPr>
            <w:tcW w:w="852" w:type="dxa"/>
            <w:vAlign w:val="center"/>
          </w:tcPr>
          <w:p w:rsidR="009C13A9" w:rsidRPr="009072DA" w:rsidRDefault="009C13A9" w:rsidP="009C13A9">
            <w:pPr>
              <w:spacing w:before="60" w:after="60" w:line="240" w:lineRule="atLeast"/>
              <w:rPr>
                <w:rFonts w:cs="Arial"/>
                <w:sz w:val="18"/>
                <w:szCs w:val="18"/>
                <w:lang w:val="bg-BG"/>
              </w:rPr>
            </w:pPr>
          </w:p>
        </w:tc>
        <w:tc>
          <w:tcPr>
            <w:tcW w:w="903" w:type="dxa"/>
            <w:vAlign w:val="center"/>
          </w:tcPr>
          <w:p w:rsidR="009C13A9" w:rsidRPr="009072DA" w:rsidRDefault="009C13A9" w:rsidP="009C13A9">
            <w:pPr>
              <w:spacing w:before="60" w:after="60" w:line="240" w:lineRule="atLeast"/>
              <w:rPr>
                <w:rFonts w:cs="Arial"/>
                <w:sz w:val="18"/>
                <w:szCs w:val="18"/>
                <w:lang w:val="bg-BG"/>
              </w:rPr>
            </w:pPr>
          </w:p>
        </w:tc>
      </w:tr>
      <w:tr w:rsidR="009C13A9" w:rsidRPr="009072DA" w:rsidTr="00FA5168">
        <w:trPr>
          <w:jc w:val="center"/>
        </w:trPr>
        <w:tc>
          <w:tcPr>
            <w:tcW w:w="1461" w:type="dxa"/>
            <w:vAlign w:val="center"/>
          </w:tcPr>
          <w:p w:rsidR="009C13A9" w:rsidRPr="009072DA" w:rsidRDefault="009C13A9" w:rsidP="009C13A9">
            <w:pPr>
              <w:spacing w:before="60" w:after="60" w:line="240" w:lineRule="atLeast"/>
              <w:rPr>
                <w:rFonts w:cs="Arial"/>
                <w:sz w:val="18"/>
                <w:szCs w:val="18"/>
                <w:lang w:val="bg-BG"/>
              </w:rPr>
            </w:pPr>
            <w:r w:rsidRPr="009072DA">
              <w:rPr>
                <w:sz w:val="18"/>
                <w:lang w:val="bg-BG"/>
              </w:rPr>
              <w:t>ХПК за входящия поток</w:t>
            </w:r>
          </w:p>
        </w:tc>
        <w:tc>
          <w:tcPr>
            <w:tcW w:w="2325" w:type="dxa"/>
            <w:vAlign w:val="center"/>
          </w:tcPr>
          <w:p w:rsidR="009C13A9" w:rsidRPr="009072DA" w:rsidRDefault="009C13A9" w:rsidP="00FA5168">
            <w:pPr>
              <w:spacing w:before="60" w:after="60" w:line="240" w:lineRule="atLeast"/>
              <w:rPr>
                <w:rFonts w:cs="Arial"/>
                <w:sz w:val="18"/>
                <w:szCs w:val="18"/>
                <w:lang w:val="bg-BG"/>
              </w:rPr>
            </w:pPr>
            <w:r w:rsidRPr="009072DA">
              <w:rPr>
                <w:sz w:val="18"/>
                <w:lang w:val="bg-BG"/>
              </w:rPr>
              <w:t>24-часови комбинирани проби</w:t>
            </w:r>
          </w:p>
        </w:tc>
        <w:tc>
          <w:tcPr>
            <w:tcW w:w="1016" w:type="dxa"/>
            <w:vAlign w:val="center"/>
          </w:tcPr>
          <w:p w:rsidR="009C13A9" w:rsidRPr="009072DA" w:rsidRDefault="009C13A9" w:rsidP="009C13A9">
            <w:pPr>
              <w:spacing w:before="60" w:after="60" w:line="240" w:lineRule="atLeast"/>
              <w:jc w:val="center"/>
              <w:rPr>
                <w:rFonts w:cs="Arial"/>
                <w:sz w:val="18"/>
                <w:szCs w:val="18"/>
                <w:lang w:val="bg-BG"/>
              </w:rPr>
            </w:pPr>
            <w:r w:rsidRPr="009072DA">
              <w:rPr>
                <w:sz w:val="18"/>
                <w:lang w:val="bg-BG"/>
              </w:rPr>
              <w:t>--</w:t>
            </w:r>
          </w:p>
        </w:tc>
        <w:tc>
          <w:tcPr>
            <w:tcW w:w="927" w:type="dxa"/>
            <w:vAlign w:val="center"/>
          </w:tcPr>
          <w:p w:rsidR="009C13A9" w:rsidRPr="009072DA" w:rsidRDefault="009C13A9" w:rsidP="009C13A9">
            <w:pPr>
              <w:spacing w:before="60" w:after="60" w:line="240" w:lineRule="atLeast"/>
              <w:rPr>
                <w:rFonts w:cs="Arial"/>
                <w:sz w:val="18"/>
                <w:szCs w:val="18"/>
                <w:lang w:val="bg-BG"/>
              </w:rPr>
            </w:pPr>
          </w:p>
        </w:tc>
        <w:tc>
          <w:tcPr>
            <w:tcW w:w="848" w:type="dxa"/>
          </w:tcPr>
          <w:p w:rsidR="009C13A9" w:rsidRPr="009072DA" w:rsidRDefault="009C13A9" w:rsidP="009C13A9">
            <w:pPr>
              <w:spacing w:before="60" w:after="60" w:line="240" w:lineRule="atLeast"/>
              <w:rPr>
                <w:rFonts w:cs="Arial"/>
                <w:sz w:val="18"/>
                <w:szCs w:val="18"/>
                <w:lang w:val="bg-BG"/>
              </w:rPr>
            </w:pPr>
          </w:p>
        </w:tc>
        <w:tc>
          <w:tcPr>
            <w:tcW w:w="852" w:type="dxa"/>
            <w:vAlign w:val="center"/>
          </w:tcPr>
          <w:p w:rsidR="009C13A9" w:rsidRPr="009072DA" w:rsidRDefault="009C13A9" w:rsidP="009C13A9">
            <w:pPr>
              <w:spacing w:before="60" w:after="60" w:line="240" w:lineRule="atLeast"/>
              <w:rPr>
                <w:rFonts w:cs="Arial"/>
                <w:sz w:val="18"/>
                <w:szCs w:val="18"/>
                <w:lang w:val="bg-BG"/>
              </w:rPr>
            </w:pPr>
          </w:p>
        </w:tc>
        <w:tc>
          <w:tcPr>
            <w:tcW w:w="903" w:type="dxa"/>
            <w:vAlign w:val="center"/>
          </w:tcPr>
          <w:p w:rsidR="009C13A9" w:rsidRPr="009072DA" w:rsidRDefault="009C13A9" w:rsidP="009C13A9">
            <w:pPr>
              <w:spacing w:before="60" w:after="60" w:line="240" w:lineRule="atLeast"/>
              <w:rPr>
                <w:rFonts w:cs="Arial"/>
                <w:sz w:val="18"/>
                <w:szCs w:val="18"/>
                <w:lang w:val="bg-BG"/>
              </w:rPr>
            </w:pPr>
          </w:p>
        </w:tc>
      </w:tr>
      <w:tr w:rsidR="009C13A9" w:rsidRPr="009072DA" w:rsidTr="00FA5168">
        <w:trPr>
          <w:jc w:val="center"/>
        </w:trPr>
        <w:tc>
          <w:tcPr>
            <w:tcW w:w="1461" w:type="dxa"/>
          </w:tcPr>
          <w:p w:rsidR="009C13A9" w:rsidRPr="009072DA" w:rsidRDefault="009C13A9" w:rsidP="009C13A9">
            <w:pPr>
              <w:spacing w:before="60" w:after="60" w:line="240" w:lineRule="atLeast"/>
              <w:rPr>
                <w:rFonts w:cs="Arial"/>
                <w:sz w:val="18"/>
                <w:szCs w:val="18"/>
                <w:lang w:val="bg-BG"/>
              </w:rPr>
            </w:pPr>
            <w:r w:rsidRPr="009072DA">
              <w:rPr>
                <w:sz w:val="18"/>
                <w:lang w:val="bg-BG"/>
              </w:rPr>
              <w:t>ХПК за изходящия поток</w:t>
            </w:r>
          </w:p>
        </w:tc>
        <w:tc>
          <w:tcPr>
            <w:tcW w:w="2325" w:type="dxa"/>
            <w:vAlign w:val="center"/>
          </w:tcPr>
          <w:p w:rsidR="009C13A9" w:rsidRPr="009072DA" w:rsidRDefault="009C13A9" w:rsidP="00FA5168">
            <w:pPr>
              <w:spacing w:before="60" w:after="60" w:line="240" w:lineRule="atLeast"/>
              <w:rPr>
                <w:rFonts w:cs="Arial"/>
                <w:sz w:val="18"/>
                <w:szCs w:val="18"/>
                <w:lang w:val="bg-BG"/>
              </w:rPr>
            </w:pPr>
            <w:r w:rsidRPr="009072DA">
              <w:rPr>
                <w:sz w:val="18"/>
                <w:lang w:val="bg-BG"/>
              </w:rPr>
              <w:t>24-часови комбинирани проби</w:t>
            </w:r>
          </w:p>
        </w:tc>
        <w:tc>
          <w:tcPr>
            <w:tcW w:w="1016" w:type="dxa"/>
            <w:vAlign w:val="center"/>
          </w:tcPr>
          <w:p w:rsidR="009C13A9" w:rsidRPr="009072DA" w:rsidRDefault="009C13A9" w:rsidP="009C13A9">
            <w:pPr>
              <w:spacing w:before="60" w:after="60" w:line="240" w:lineRule="atLeast"/>
              <w:rPr>
                <w:rFonts w:cs="Arial"/>
                <w:sz w:val="18"/>
                <w:szCs w:val="18"/>
                <w:lang w:val="bg-BG"/>
              </w:rPr>
            </w:pPr>
          </w:p>
        </w:tc>
        <w:tc>
          <w:tcPr>
            <w:tcW w:w="927" w:type="dxa"/>
            <w:vAlign w:val="center"/>
          </w:tcPr>
          <w:p w:rsidR="009C13A9" w:rsidRPr="009072DA" w:rsidRDefault="009C13A9" w:rsidP="009C13A9">
            <w:pPr>
              <w:spacing w:before="60" w:after="60" w:line="240" w:lineRule="atLeast"/>
              <w:rPr>
                <w:rFonts w:cs="Arial"/>
                <w:sz w:val="18"/>
                <w:szCs w:val="18"/>
                <w:lang w:val="bg-BG"/>
              </w:rPr>
            </w:pPr>
          </w:p>
        </w:tc>
        <w:tc>
          <w:tcPr>
            <w:tcW w:w="848" w:type="dxa"/>
          </w:tcPr>
          <w:p w:rsidR="009C13A9" w:rsidRPr="009072DA" w:rsidRDefault="009C13A9" w:rsidP="009C13A9">
            <w:pPr>
              <w:spacing w:before="60" w:after="60" w:line="240" w:lineRule="atLeast"/>
              <w:rPr>
                <w:rFonts w:cs="Arial"/>
                <w:sz w:val="18"/>
                <w:szCs w:val="18"/>
                <w:lang w:val="bg-BG"/>
              </w:rPr>
            </w:pPr>
          </w:p>
        </w:tc>
        <w:tc>
          <w:tcPr>
            <w:tcW w:w="852" w:type="dxa"/>
            <w:vAlign w:val="center"/>
          </w:tcPr>
          <w:p w:rsidR="009C13A9" w:rsidRPr="009072DA" w:rsidRDefault="009C13A9" w:rsidP="009C13A9">
            <w:pPr>
              <w:spacing w:before="60" w:after="60" w:line="240" w:lineRule="atLeast"/>
              <w:rPr>
                <w:rFonts w:cs="Arial"/>
                <w:sz w:val="18"/>
                <w:szCs w:val="18"/>
                <w:lang w:val="bg-BG"/>
              </w:rPr>
            </w:pPr>
          </w:p>
        </w:tc>
        <w:tc>
          <w:tcPr>
            <w:tcW w:w="903" w:type="dxa"/>
            <w:vAlign w:val="center"/>
          </w:tcPr>
          <w:p w:rsidR="009C13A9" w:rsidRPr="009072DA" w:rsidRDefault="009C13A9" w:rsidP="009C13A9">
            <w:pPr>
              <w:spacing w:before="60" w:after="60" w:line="240" w:lineRule="atLeast"/>
              <w:rPr>
                <w:rFonts w:cs="Arial"/>
                <w:sz w:val="18"/>
                <w:szCs w:val="18"/>
                <w:lang w:val="bg-BG"/>
              </w:rPr>
            </w:pPr>
          </w:p>
        </w:tc>
      </w:tr>
      <w:tr w:rsidR="009C13A9" w:rsidRPr="009072DA" w:rsidTr="00FA5168">
        <w:trPr>
          <w:jc w:val="center"/>
        </w:trPr>
        <w:tc>
          <w:tcPr>
            <w:tcW w:w="1461" w:type="dxa"/>
            <w:vAlign w:val="center"/>
          </w:tcPr>
          <w:p w:rsidR="009C13A9" w:rsidRPr="009072DA" w:rsidRDefault="009C13A9" w:rsidP="009C13A9">
            <w:pPr>
              <w:spacing w:before="60" w:after="60" w:line="240" w:lineRule="atLeast"/>
              <w:rPr>
                <w:rFonts w:cs="Arial"/>
                <w:sz w:val="18"/>
                <w:szCs w:val="18"/>
                <w:lang w:val="bg-BG"/>
              </w:rPr>
            </w:pPr>
            <w:r w:rsidRPr="009072DA">
              <w:rPr>
                <w:sz w:val="18"/>
                <w:lang w:val="bg-BG"/>
              </w:rPr>
              <w:t>ХПК за входящия поток</w:t>
            </w:r>
          </w:p>
        </w:tc>
        <w:tc>
          <w:tcPr>
            <w:tcW w:w="2325" w:type="dxa"/>
            <w:vAlign w:val="center"/>
          </w:tcPr>
          <w:p w:rsidR="009C13A9" w:rsidRPr="009072DA" w:rsidRDefault="009C13A9" w:rsidP="00FA5168">
            <w:pPr>
              <w:spacing w:before="60" w:after="60" w:line="240" w:lineRule="atLeast"/>
              <w:rPr>
                <w:rFonts w:cs="Arial"/>
                <w:sz w:val="18"/>
                <w:szCs w:val="18"/>
                <w:lang w:val="bg-BG"/>
              </w:rPr>
            </w:pPr>
            <w:r w:rsidRPr="009072DA">
              <w:rPr>
                <w:sz w:val="18"/>
                <w:lang w:val="bg-BG"/>
              </w:rPr>
              <w:t>случайни проби</w:t>
            </w:r>
          </w:p>
        </w:tc>
        <w:tc>
          <w:tcPr>
            <w:tcW w:w="1016" w:type="dxa"/>
            <w:vAlign w:val="center"/>
          </w:tcPr>
          <w:p w:rsidR="009C13A9" w:rsidRPr="009072DA" w:rsidRDefault="009C13A9" w:rsidP="009C13A9">
            <w:pPr>
              <w:spacing w:before="60" w:after="60" w:line="240" w:lineRule="atLeast"/>
              <w:jc w:val="center"/>
              <w:rPr>
                <w:rFonts w:cs="Arial"/>
                <w:sz w:val="18"/>
                <w:szCs w:val="18"/>
                <w:lang w:val="bg-BG"/>
              </w:rPr>
            </w:pPr>
            <w:r w:rsidRPr="009072DA">
              <w:rPr>
                <w:sz w:val="18"/>
                <w:lang w:val="bg-BG"/>
              </w:rPr>
              <w:t>--</w:t>
            </w:r>
          </w:p>
        </w:tc>
        <w:tc>
          <w:tcPr>
            <w:tcW w:w="927" w:type="dxa"/>
            <w:vAlign w:val="center"/>
          </w:tcPr>
          <w:p w:rsidR="009C13A9" w:rsidRPr="009072DA" w:rsidRDefault="009C13A9" w:rsidP="009C13A9">
            <w:pPr>
              <w:spacing w:before="60" w:after="60" w:line="240" w:lineRule="atLeast"/>
              <w:rPr>
                <w:rFonts w:cs="Arial"/>
                <w:sz w:val="18"/>
                <w:szCs w:val="18"/>
                <w:lang w:val="bg-BG"/>
              </w:rPr>
            </w:pPr>
          </w:p>
        </w:tc>
        <w:tc>
          <w:tcPr>
            <w:tcW w:w="848" w:type="dxa"/>
          </w:tcPr>
          <w:p w:rsidR="009C13A9" w:rsidRPr="009072DA" w:rsidRDefault="009C13A9" w:rsidP="009C13A9">
            <w:pPr>
              <w:spacing w:before="60" w:after="60" w:line="240" w:lineRule="atLeast"/>
              <w:rPr>
                <w:rFonts w:cs="Arial"/>
                <w:sz w:val="18"/>
                <w:szCs w:val="18"/>
                <w:lang w:val="bg-BG"/>
              </w:rPr>
            </w:pPr>
          </w:p>
        </w:tc>
        <w:tc>
          <w:tcPr>
            <w:tcW w:w="852" w:type="dxa"/>
            <w:vAlign w:val="center"/>
          </w:tcPr>
          <w:p w:rsidR="009C13A9" w:rsidRPr="009072DA" w:rsidRDefault="009C13A9" w:rsidP="009C13A9">
            <w:pPr>
              <w:spacing w:before="60" w:after="60" w:line="240" w:lineRule="atLeast"/>
              <w:rPr>
                <w:rFonts w:cs="Arial"/>
                <w:sz w:val="18"/>
                <w:szCs w:val="18"/>
                <w:lang w:val="bg-BG"/>
              </w:rPr>
            </w:pPr>
          </w:p>
        </w:tc>
        <w:tc>
          <w:tcPr>
            <w:tcW w:w="903" w:type="dxa"/>
            <w:vAlign w:val="center"/>
          </w:tcPr>
          <w:p w:rsidR="009C13A9" w:rsidRPr="009072DA" w:rsidRDefault="009C13A9" w:rsidP="009C13A9">
            <w:pPr>
              <w:spacing w:before="60" w:after="60" w:line="240" w:lineRule="atLeast"/>
              <w:rPr>
                <w:rFonts w:cs="Arial"/>
                <w:sz w:val="18"/>
                <w:szCs w:val="18"/>
                <w:lang w:val="bg-BG"/>
              </w:rPr>
            </w:pPr>
          </w:p>
        </w:tc>
      </w:tr>
      <w:tr w:rsidR="009C13A9" w:rsidRPr="009072DA" w:rsidTr="00FA5168">
        <w:trPr>
          <w:jc w:val="center"/>
        </w:trPr>
        <w:tc>
          <w:tcPr>
            <w:tcW w:w="1461" w:type="dxa"/>
          </w:tcPr>
          <w:p w:rsidR="009C13A9" w:rsidRPr="009072DA" w:rsidRDefault="009C13A9" w:rsidP="009C13A9">
            <w:pPr>
              <w:spacing w:before="60" w:after="60" w:line="240" w:lineRule="atLeast"/>
              <w:rPr>
                <w:rFonts w:cs="Arial"/>
                <w:sz w:val="18"/>
                <w:szCs w:val="18"/>
                <w:lang w:val="bg-BG"/>
              </w:rPr>
            </w:pPr>
            <w:r w:rsidRPr="009072DA">
              <w:rPr>
                <w:sz w:val="18"/>
                <w:lang w:val="bg-BG"/>
              </w:rPr>
              <w:t>ХПК за изходящия поток</w:t>
            </w:r>
          </w:p>
        </w:tc>
        <w:tc>
          <w:tcPr>
            <w:tcW w:w="2325" w:type="dxa"/>
            <w:vAlign w:val="center"/>
          </w:tcPr>
          <w:p w:rsidR="009C13A9" w:rsidRPr="009072DA" w:rsidRDefault="009C13A9" w:rsidP="00FA5168">
            <w:pPr>
              <w:spacing w:before="60" w:after="60" w:line="240" w:lineRule="atLeast"/>
              <w:rPr>
                <w:rFonts w:cs="Arial"/>
                <w:sz w:val="18"/>
                <w:szCs w:val="18"/>
                <w:lang w:val="bg-BG"/>
              </w:rPr>
            </w:pPr>
            <w:r w:rsidRPr="009072DA">
              <w:rPr>
                <w:sz w:val="18"/>
                <w:lang w:val="bg-BG"/>
              </w:rPr>
              <w:t>случайни проби</w:t>
            </w:r>
          </w:p>
        </w:tc>
        <w:tc>
          <w:tcPr>
            <w:tcW w:w="1016" w:type="dxa"/>
            <w:vAlign w:val="center"/>
          </w:tcPr>
          <w:p w:rsidR="009C13A9" w:rsidRPr="009072DA" w:rsidRDefault="009C13A9" w:rsidP="009C13A9">
            <w:pPr>
              <w:spacing w:before="60" w:after="60" w:line="240" w:lineRule="atLeast"/>
              <w:rPr>
                <w:rFonts w:cs="Arial"/>
                <w:sz w:val="18"/>
                <w:szCs w:val="18"/>
                <w:lang w:val="bg-BG"/>
              </w:rPr>
            </w:pPr>
          </w:p>
        </w:tc>
        <w:tc>
          <w:tcPr>
            <w:tcW w:w="927" w:type="dxa"/>
            <w:vAlign w:val="center"/>
          </w:tcPr>
          <w:p w:rsidR="009C13A9" w:rsidRPr="009072DA" w:rsidRDefault="009C13A9" w:rsidP="009C13A9">
            <w:pPr>
              <w:spacing w:before="60" w:after="60" w:line="240" w:lineRule="atLeast"/>
              <w:rPr>
                <w:rFonts w:cs="Arial"/>
                <w:sz w:val="18"/>
                <w:szCs w:val="18"/>
                <w:lang w:val="bg-BG"/>
              </w:rPr>
            </w:pPr>
          </w:p>
        </w:tc>
        <w:tc>
          <w:tcPr>
            <w:tcW w:w="848" w:type="dxa"/>
          </w:tcPr>
          <w:p w:rsidR="009C13A9" w:rsidRPr="009072DA" w:rsidRDefault="009C13A9" w:rsidP="009C13A9">
            <w:pPr>
              <w:spacing w:before="60" w:after="60" w:line="240" w:lineRule="atLeast"/>
              <w:rPr>
                <w:rFonts w:cs="Arial"/>
                <w:sz w:val="18"/>
                <w:szCs w:val="18"/>
                <w:lang w:val="bg-BG"/>
              </w:rPr>
            </w:pPr>
          </w:p>
        </w:tc>
        <w:tc>
          <w:tcPr>
            <w:tcW w:w="852" w:type="dxa"/>
            <w:vAlign w:val="center"/>
          </w:tcPr>
          <w:p w:rsidR="009C13A9" w:rsidRPr="009072DA" w:rsidRDefault="009C13A9" w:rsidP="009C13A9">
            <w:pPr>
              <w:spacing w:before="60" w:after="60" w:line="240" w:lineRule="atLeast"/>
              <w:rPr>
                <w:rFonts w:cs="Arial"/>
                <w:sz w:val="18"/>
                <w:szCs w:val="18"/>
                <w:lang w:val="bg-BG"/>
              </w:rPr>
            </w:pPr>
          </w:p>
        </w:tc>
        <w:tc>
          <w:tcPr>
            <w:tcW w:w="903" w:type="dxa"/>
            <w:vAlign w:val="center"/>
          </w:tcPr>
          <w:p w:rsidR="009C13A9" w:rsidRPr="009072DA" w:rsidRDefault="009C13A9" w:rsidP="009C13A9">
            <w:pPr>
              <w:spacing w:before="60" w:after="60" w:line="240" w:lineRule="atLeast"/>
              <w:rPr>
                <w:rFonts w:cs="Arial"/>
                <w:sz w:val="18"/>
                <w:szCs w:val="18"/>
                <w:lang w:val="bg-BG"/>
              </w:rPr>
            </w:pPr>
          </w:p>
        </w:tc>
      </w:tr>
      <w:tr w:rsidR="009C13A9" w:rsidRPr="009072DA" w:rsidTr="00FA5168">
        <w:trPr>
          <w:jc w:val="center"/>
        </w:trPr>
        <w:tc>
          <w:tcPr>
            <w:tcW w:w="1461" w:type="dxa"/>
            <w:vAlign w:val="center"/>
          </w:tcPr>
          <w:p w:rsidR="009C13A9" w:rsidRPr="009072DA" w:rsidRDefault="009C13A9" w:rsidP="009C13A9">
            <w:pPr>
              <w:spacing w:before="60" w:after="60" w:line="240" w:lineRule="atLeast"/>
              <w:rPr>
                <w:rFonts w:cs="Arial"/>
                <w:sz w:val="18"/>
                <w:szCs w:val="18"/>
                <w:lang w:val="bg-BG"/>
              </w:rPr>
            </w:pPr>
            <w:r w:rsidRPr="009072DA">
              <w:rPr>
                <w:sz w:val="18"/>
                <w:lang w:val="bg-BG"/>
              </w:rPr>
              <w:t>ОСОВ за входящия поток</w:t>
            </w:r>
          </w:p>
        </w:tc>
        <w:tc>
          <w:tcPr>
            <w:tcW w:w="2325" w:type="dxa"/>
            <w:vAlign w:val="center"/>
          </w:tcPr>
          <w:p w:rsidR="009C13A9" w:rsidRPr="009072DA" w:rsidRDefault="009C13A9" w:rsidP="00FA5168">
            <w:pPr>
              <w:spacing w:before="60" w:after="60" w:line="240" w:lineRule="atLeast"/>
              <w:rPr>
                <w:rFonts w:cs="Arial"/>
                <w:sz w:val="18"/>
                <w:szCs w:val="18"/>
                <w:lang w:val="bg-BG"/>
              </w:rPr>
            </w:pPr>
            <w:r w:rsidRPr="009072DA">
              <w:rPr>
                <w:sz w:val="18"/>
                <w:lang w:val="bg-BG"/>
              </w:rPr>
              <w:t>24-часови комбинирани проби</w:t>
            </w:r>
          </w:p>
        </w:tc>
        <w:tc>
          <w:tcPr>
            <w:tcW w:w="1016" w:type="dxa"/>
            <w:vAlign w:val="center"/>
          </w:tcPr>
          <w:p w:rsidR="009C13A9" w:rsidRPr="009072DA" w:rsidRDefault="009C13A9" w:rsidP="009C13A9">
            <w:pPr>
              <w:spacing w:before="60" w:after="60" w:line="240" w:lineRule="atLeast"/>
              <w:jc w:val="center"/>
              <w:rPr>
                <w:rFonts w:cs="Arial"/>
                <w:sz w:val="18"/>
                <w:szCs w:val="18"/>
                <w:lang w:val="bg-BG"/>
              </w:rPr>
            </w:pPr>
            <w:r w:rsidRPr="009072DA">
              <w:rPr>
                <w:sz w:val="18"/>
                <w:lang w:val="bg-BG"/>
              </w:rPr>
              <w:t>--</w:t>
            </w:r>
          </w:p>
        </w:tc>
        <w:tc>
          <w:tcPr>
            <w:tcW w:w="927" w:type="dxa"/>
            <w:vAlign w:val="center"/>
          </w:tcPr>
          <w:p w:rsidR="009C13A9" w:rsidRPr="009072DA" w:rsidRDefault="009C13A9" w:rsidP="009C13A9">
            <w:pPr>
              <w:spacing w:before="60" w:after="60" w:line="240" w:lineRule="atLeast"/>
              <w:rPr>
                <w:rFonts w:cs="Arial"/>
                <w:sz w:val="18"/>
                <w:szCs w:val="18"/>
                <w:lang w:val="bg-BG"/>
              </w:rPr>
            </w:pPr>
          </w:p>
        </w:tc>
        <w:tc>
          <w:tcPr>
            <w:tcW w:w="848" w:type="dxa"/>
          </w:tcPr>
          <w:p w:rsidR="009C13A9" w:rsidRPr="009072DA" w:rsidRDefault="009C13A9" w:rsidP="009C13A9">
            <w:pPr>
              <w:spacing w:before="60" w:after="60" w:line="240" w:lineRule="atLeast"/>
              <w:rPr>
                <w:rFonts w:cs="Arial"/>
                <w:sz w:val="18"/>
                <w:szCs w:val="18"/>
                <w:lang w:val="bg-BG"/>
              </w:rPr>
            </w:pPr>
          </w:p>
        </w:tc>
        <w:tc>
          <w:tcPr>
            <w:tcW w:w="852" w:type="dxa"/>
            <w:vAlign w:val="center"/>
          </w:tcPr>
          <w:p w:rsidR="009C13A9" w:rsidRPr="009072DA" w:rsidRDefault="009C13A9" w:rsidP="009C13A9">
            <w:pPr>
              <w:spacing w:before="60" w:after="60" w:line="240" w:lineRule="atLeast"/>
              <w:rPr>
                <w:rFonts w:cs="Arial"/>
                <w:sz w:val="18"/>
                <w:szCs w:val="18"/>
                <w:lang w:val="bg-BG"/>
              </w:rPr>
            </w:pPr>
          </w:p>
        </w:tc>
        <w:tc>
          <w:tcPr>
            <w:tcW w:w="903" w:type="dxa"/>
            <w:vAlign w:val="center"/>
          </w:tcPr>
          <w:p w:rsidR="009C13A9" w:rsidRPr="009072DA" w:rsidRDefault="009C13A9" w:rsidP="009C13A9">
            <w:pPr>
              <w:spacing w:before="60" w:after="60" w:line="240" w:lineRule="atLeast"/>
              <w:rPr>
                <w:rFonts w:cs="Arial"/>
                <w:sz w:val="18"/>
                <w:szCs w:val="18"/>
                <w:lang w:val="bg-BG"/>
              </w:rPr>
            </w:pPr>
          </w:p>
        </w:tc>
      </w:tr>
      <w:tr w:rsidR="009C13A9" w:rsidRPr="009072DA" w:rsidTr="00FA5168">
        <w:trPr>
          <w:jc w:val="center"/>
        </w:trPr>
        <w:tc>
          <w:tcPr>
            <w:tcW w:w="1461" w:type="dxa"/>
          </w:tcPr>
          <w:p w:rsidR="009C13A9" w:rsidRPr="009072DA" w:rsidRDefault="009C13A9" w:rsidP="009C13A9">
            <w:pPr>
              <w:spacing w:before="60" w:after="60" w:line="240" w:lineRule="atLeast"/>
              <w:rPr>
                <w:rFonts w:cs="Arial"/>
                <w:sz w:val="18"/>
                <w:szCs w:val="18"/>
                <w:lang w:val="bg-BG"/>
              </w:rPr>
            </w:pPr>
            <w:r w:rsidRPr="009072DA">
              <w:rPr>
                <w:sz w:val="18"/>
                <w:lang w:val="bg-BG"/>
              </w:rPr>
              <w:t xml:space="preserve">ОСОВ за изходящия </w:t>
            </w:r>
            <w:r w:rsidRPr="009072DA">
              <w:rPr>
                <w:sz w:val="18"/>
                <w:lang w:val="bg-BG"/>
              </w:rPr>
              <w:lastRenderedPageBreak/>
              <w:t>поток</w:t>
            </w:r>
          </w:p>
        </w:tc>
        <w:tc>
          <w:tcPr>
            <w:tcW w:w="2325" w:type="dxa"/>
            <w:vAlign w:val="center"/>
          </w:tcPr>
          <w:p w:rsidR="009C13A9" w:rsidRPr="009072DA" w:rsidRDefault="009C13A9" w:rsidP="00FA5168">
            <w:pPr>
              <w:spacing w:before="60" w:after="60" w:line="240" w:lineRule="atLeast"/>
              <w:rPr>
                <w:rFonts w:cs="Arial"/>
                <w:sz w:val="18"/>
                <w:szCs w:val="18"/>
                <w:lang w:val="bg-BG"/>
              </w:rPr>
            </w:pPr>
            <w:r w:rsidRPr="009072DA">
              <w:rPr>
                <w:sz w:val="18"/>
                <w:lang w:val="bg-BG"/>
              </w:rPr>
              <w:lastRenderedPageBreak/>
              <w:t>24-часови комбинирани проби</w:t>
            </w:r>
          </w:p>
        </w:tc>
        <w:tc>
          <w:tcPr>
            <w:tcW w:w="1016" w:type="dxa"/>
            <w:vAlign w:val="center"/>
          </w:tcPr>
          <w:p w:rsidR="009C13A9" w:rsidRPr="009072DA" w:rsidRDefault="009C13A9" w:rsidP="009C13A9">
            <w:pPr>
              <w:spacing w:before="60" w:after="60" w:line="240" w:lineRule="atLeast"/>
              <w:rPr>
                <w:rFonts w:cs="Arial"/>
                <w:sz w:val="18"/>
                <w:szCs w:val="18"/>
                <w:lang w:val="bg-BG"/>
              </w:rPr>
            </w:pPr>
          </w:p>
        </w:tc>
        <w:tc>
          <w:tcPr>
            <w:tcW w:w="927" w:type="dxa"/>
            <w:vAlign w:val="center"/>
          </w:tcPr>
          <w:p w:rsidR="009C13A9" w:rsidRPr="009072DA" w:rsidRDefault="009C13A9" w:rsidP="009C13A9">
            <w:pPr>
              <w:spacing w:before="60" w:after="60" w:line="240" w:lineRule="atLeast"/>
              <w:rPr>
                <w:rFonts w:cs="Arial"/>
                <w:sz w:val="18"/>
                <w:szCs w:val="18"/>
                <w:lang w:val="bg-BG"/>
              </w:rPr>
            </w:pPr>
          </w:p>
        </w:tc>
        <w:tc>
          <w:tcPr>
            <w:tcW w:w="848" w:type="dxa"/>
          </w:tcPr>
          <w:p w:rsidR="009C13A9" w:rsidRPr="009072DA" w:rsidRDefault="009C13A9" w:rsidP="009C13A9">
            <w:pPr>
              <w:spacing w:before="60" w:after="60" w:line="240" w:lineRule="atLeast"/>
              <w:rPr>
                <w:rFonts w:cs="Arial"/>
                <w:sz w:val="18"/>
                <w:szCs w:val="18"/>
                <w:lang w:val="bg-BG"/>
              </w:rPr>
            </w:pPr>
          </w:p>
        </w:tc>
        <w:tc>
          <w:tcPr>
            <w:tcW w:w="852" w:type="dxa"/>
            <w:vAlign w:val="center"/>
          </w:tcPr>
          <w:p w:rsidR="009C13A9" w:rsidRPr="009072DA" w:rsidRDefault="009C13A9" w:rsidP="009C13A9">
            <w:pPr>
              <w:spacing w:before="60" w:after="60" w:line="240" w:lineRule="atLeast"/>
              <w:rPr>
                <w:rFonts w:cs="Arial"/>
                <w:sz w:val="18"/>
                <w:szCs w:val="18"/>
                <w:lang w:val="bg-BG"/>
              </w:rPr>
            </w:pPr>
          </w:p>
        </w:tc>
        <w:tc>
          <w:tcPr>
            <w:tcW w:w="903" w:type="dxa"/>
            <w:vAlign w:val="center"/>
          </w:tcPr>
          <w:p w:rsidR="009C13A9" w:rsidRPr="009072DA" w:rsidRDefault="009C13A9" w:rsidP="009C13A9">
            <w:pPr>
              <w:spacing w:before="60" w:after="60" w:line="240" w:lineRule="atLeast"/>
              <w:rPr>
                <w:rFonts w:cs="Arial"/>
                <w:sz w:val="18"/>
                <w:szCs w:val="18"/>
                <w:lang w:val="bg-BG"/>
              </w:rPr>
            </w:pPr>
          </w:p>
        </w:tc>
      </w:tr>
      <w:tr w:rsidR="009C13A9" w:rsidRPr="009072DA" w:rsidTr="00FA5168">
        <w:trPr>
          <w:jc w:val="center"/>
        </w:trPr>
        <w:tc>
          <w:tcPr>
            <w:tcW w:w="1461" w:type="dxa"/>
            <w:vAlign w:val="center"/>
          </w:tcPr>
          <w:p w:rsidR="009C13A9" w:rsidRPr="009072DA" w:rsidRDefault="009C13A9" w:rsidP="009C13A9">
            <w:pPr>
              <w:spacing w:before="60" w:after="60" w:line="240" w:lineRule="atLeast"/>
              <w:rPr>
                <w:rFonts w:cs="Arial"/>
                <w:sz w:val="18"/>
                <w:szCs w:val="18"/>
                <w:lang w:val="bg-BG"/>
              </w:rPr>
            </w:pPr>
            <w:r w:rsidRPr="009072DA">
              <w:rPr>
                <w:sz w:val="18"/>
                <w:lang w:val="bg-BG"/>
              </w:rPr>
              <w:lastRenderedPageBreak/>
              <w:t>ОСОВ за входящия поток</w:t>
            </w:r>
          </w:p>
        </w:tc>
        <w:tc>
          <w:tcPr>
            <w:tcW w:w="2325" w:type="dxa"/>
            <w:vAlign w:val="center"/>
          </w:tcPr>
          <w:p w:rsidR="009C13A9" w:rsidRPr="009072DA" w:rsidRDefault="009C13A9" w:rsidP="00FA5168">
            <w:pPr>
              <w:spacing w:before="60" w:after="60" w:line="240" w:lineRule="atLeast"/>
              <w:rPr>
                <w:rFonts w:cs="Arial"/>
                <w:sz w:val="18"/>
                <w:szCs w:val="18"/>
                <w:lang w:val="bg-BG"/>
              </w:rPr>
            </w:pPr>
            <w:r w:rsidRPr="009072DA">
              <w:rPr>
                <w:sz w:val="18"/>
                <w:lang w:val="bg-BG"/>
              </w:rPr>
              <w:t>случайни проби</w:t>
            </w:r>
          </w:p>
        </w:tc>
        <w:tc>
          <w:tcPr>
            <w:tcW w:w="1016" w:type="dxa"/>
            <w:vAlign w:val="center"/>
          </w:tcPr>
          <w:p w:rsidR="009C13A9" w:rsidRPr="009072DA" w:rsidRDefault="009C13A9" w:rsidP="009C13A9">
            <w:pPr>
              <w:spacing w:before="60" w:after="60" w:line="240" w:lineRule="atLeast"/>
              <w:jc w:val="center"/>
              <w:rPr>
                <w:rFonts w:cs="Arial"/>
                <w:sz w:val="18"/>
                <w:szCs w:val="18"/>
                <w:lang w:val="bg-BG"/>
              </w:rPr>
            </w:pPr>
            <w:r w:rsidRPr="009072DA">
              <w:rPr>
                <w:sz w:val="18"/>
                <w:lang w:val="bg-BG"/>
              </w:rPr>
              <w:t>--</w:t>
            </w:r>
          </w:p>
        </w:tc>
        <w:tc>
          <w:tcPr>
            <w:tcW w:w="927" w:type="dxa"/>
            <w:vAlign w:val="center"/>
          </w:tcPr>
          <w:p w:rsidR="009C13A9" w:rsidRPr="009072DA" w:rsidRDefault="009C13A9" w:rsidP="009C13A9">
            <w:pPr>
              <w:spacing w:before="60" w:after="60" w:line="240" w:lineRule="atLeast"/>
              <w:rPr>
                <w:rFonts w:cs="Arial"/>
                <w:sz w:val="18"/>
                <w:szCs w:val="18"/>
                <w:lang w:val="bg-BG"/>
              </w:rPr>
            </w:pPr>
          </w:p>
        </w:tc>
        <w:tc>
          <w:tcPr>
            <w:tcW w:w="848" w:type="dxa"/>
          </w:tcPr>
          <w:p w:rsidR="009C13A9" w:rsidRPr="009072DA" w:rsidRDefault="009C13A9" w:rsidP="009C13A9">
            <w:pPr>
              <w:spacing w:before="60" w:after="60" w:line="240" w:lineRule="atLeast"/>
              <w:rPr>
                <w:rFonts w:cs="Arial"/>
                <w:sz w:val="18"/>
                <w:szCs w:val="18"/>
                <w:lang w:val="bg-BG"/>
              </w:rPr>
            </w:pPr>
          </w:p>
        </w:tc>
        <w:tc>
          <w:tcPr>
            <w:tcW w:w="852" w:type="dxa"/>
            <w:vAlign w:val="center"/>
          </w:tcPr>
          <w:p w:rsidR="009C13A9" w:rsidRPr="009072DA" w:rsidRDefault="009C13A9" w:rsidP="009C13A9">
            <w:pPr>
              <w:spacing w:before="60" w:after="60" w:line="240" w:lineRule="atLeast"/>
              <w:rPr>
                <w:rFonts w:cs="Arial"/>
                <w:sz w:val="18"/>
                <w:szCs w:val="18"/>
                <w:lang w:val="bg-BG"/>
              </w:rPr>
            </w:pPr>
          </w:p>
        </w:tc>
        <w:tc>
          <w:tcPr>
            <w:tcW w:w="903" w:type="dxa"/>
            <w:vAlign w:val="center"/>
          </w:tcPr>
          <w:p w:rsidR="009C13A9" w:rsidRPr="009072DA" w:rsidRDefault="009C13A9" w:rsidP="009C13A9">
            <w:pPr>
              <w:spacing w:before="60" w:after="60" w:line="240" w:lineRule="atLeast"/>
              <w:rPr>
                <w:rFonts w:cs="Arial"/>
                <w:sz w:val="18"/>
                <w:szCs w:val="18"/>
                <w:lang w:val="bg-BG"/>
              </w:rPr>
            </w:pPr>
          </w:p>
        </w:tc>
      </w:tr>
      <w:tr w:rsidR="009C13A9" w:rsidRPr="009072DA" w:rsidTr="00FA5168">
        <w:trPr>
          <w:jc w:val="center"/>
        </w:trPr>
        <w:tc>
          <w:tcPr>
            <w:tcW w:w="1461" w:type="dxa"/>
          </w:tcPr>
          <w:p w:rsidR="009C13A9" w:rsidRPr="009072DA" w:rsidRDefault="009C13A9" w:rsidP="009C13A9">
            <w:pPr>
              <w:spacing w:before="60" w:after="60" w:line="240" w:lineRule="atLeast"/>
              <w:rPr>
                <w:rFonts w:cs="Arial"/>
                <w:sz w:val="18"/>
                <w:szCs w:val="18"/>
                <w:lang w:val="bg-BG"/>
              </w:rPr>
            </w:pPr>
            <w:r w:rsidRPr="009072DA">
              <w:rPr>
                <w:sz w:val="18"/>
                <w:lang w:val="bg-BG"/>
              </w:rPr>
              <w:t>ОСОВ за изходящия поток</w:t>
            </w:r>
          </w:p>
        </w:tc>
        <w:tc>
          <w:tcPr>
            <w:tcW w:w="2325" w:type="dxa"/>
            <w:vAlign w:val="center"/>
          </w:tcPr>
          <w:p w:rsidR="009C13A9" w:rsidRPr="009072DA" w:rsidRDefault="009C13A9" w:rsidP="00FA5168">
            <w:pPr>
              <w:spacing w:before="60" w:after="60" w:line="240" w:lineRule="atLeast"/>
              <w:rPr>
                <w:rFonts w:cs="Arial"/>
                <w:sz w:val="18"/>
                <w:szCs w:val="18"/>
                <w:lang w:val="bg-BG"/>
              </w:rPr>
            </w:pPr>
            <w:r w:rsidRPr="009072DA">
              <w:rPr>
                <w:sz w:val="18"/>
                <w:lang w:val="bg-BG"/>
              </w:rPr>
              <w:t>случайни проби</w:t>
            </w:r>
          </w:p>
        </w:tc>
        <w:tc>
          <w:tcPr>
            <w:tcW w:w="1016" w:type="dxa"/>
            <w:vAlign w:val="center"/>
          </w:tcPr>
          <w:p w:rsidR="009C13A9" w:rsidRPr="009072DA" w:rsidRDefault="009C13A9" w:rsidP="009C13A9">
            <w:pPr>
              <w:spacing w:before="60" w:after="60" w:line="240" w:lineRule="atLeast"/>
              <w:rPr>
                <w:rFonts w:cs="Arial"/>
                <w:sz w:val="18"/>
                <w:szCs w:val="18"/>
                <w:lang w:val="bg-BG"/>
              </w:rPr>
            </w:pPr>
          </w:p>
        </w:tc>
        <w:tc>
          <w:tcPr>
            <w:tcW w:w="927" w:type="dxa"/>
            <w:vAlign w:val="center"/>
          </w:tcPr>
          <w:p w:rsidR="009C13A9" w:rsidRPr="009072DA" w:rsidRDefault="009C13A9" w:rsidP="009C13A9">
            <w:pPr>
              <w:spacing w:before="60" w:after="60" w:line="240" w:lineRule="atLeast"/>
              <w:rPr>
                <w:rFonts w:cs="Arial"/>
                <w:sz w:val="18"/>
                <w:szCs w:val="18"/>
                <w:lang w:val="bg-BG"/>
              </w:rPr>
            </w:pPr>
          </w:p>
        </w:tc>
        <w:tc>
          <w:tcPr>
            <w:tcW w:w="848" w:type="dxa"/>
          </w:tcPr>
          <w:p w:rsidR="009C13A9" w:rsidRPr="009072DA" w:rsidRDefault="009C13A9" w:rsidP="009C13A9">
            <w:pPr>
              <w:spacing w:before="60" w:after="60" w:line="240" w:lineRule="atLeast"/>
              <w:rPr>
                <w:rFonts w:cs="Arial"/>
                <w:sz w:val="18"/>
                <w:szCs w:val="18"/>
                <w:lang w:val="bg-BG"/>
              </w:rPr>
            </w:pPr>
          </w:p>
        </w:tc>
        <w:tc>
          <w:tcPr>
            <w:tcW w:w="852" w:type="dxa"/>
            <w:vAlign w:val="center"/>
          </w:tcPr>
          <w:p w:rsidR="009C13A9" w:rsidRPr="009072DA" w:rsidRDefault="009C13A9" w:rsidP="009C13A9">
            <w:pPr>
              <w:spacing w:before="60" w:after="60" w:line="240" w:lineRule="atLeast"/>
              <w:rPr>
                <w:rFonts w:cs="Arial"/>
                <w:sz w:val="18"/>
                <w:szCs w:val="18"/>
                <w:lang w:val="bg-BG"/>
              </w:rPr>
            </w:pPr>
          </w:p>
        </w:tc>
        <w:tc>
          <w:tcPr>
            <w:tcW w:w="903" w:type="dxa"/>
            <w:vAlign w:val="center"/>
          </w:tcPr>
          <w:p w:rsidR="009C13A9" w:rsidRPr="009072DA" w:rsidRDefault="009C13A9" w:rsidP="009C13A9">
            <w:pPr>
              <w:spacing w:before="60" w:after="60" w:line="240" w:lineRule="atLeast"/>
              <w:rPr>
                <w:rFonts w:cs="Arial"/>
                <w:sz w:val="18"/>
                <w:szCs w:val="18"/>
                <w:lang w:val="bg-BG"/>
              </w:rPr>
            </w:pPr>
          </w:p>
        </w:tc>
      </w:tr>
      <w:tr w:rsidR="009C13A9" w:rsidRPr="009072DA" w:rsidTr="00FA5168">
        <w:trPr>
          <w:jc w:val="center"/>
        </w:trPr>
        <w:tc>
          <w:tcPr>
            <w:tcW w:w="1461" w:type="dxa"/>
            <w:vAlign w:val="center"/>
          </w:tcPr>
          <w:p w:rsidR="009C13A9" w:rsidRPr="009072DA" w:rsidRDefault="009C13A9" w:rsidP="009C13A9">
            <w:pPr>
              <w:spacing w:before="60" w:after="60" w:line="240" w:lineRule="atLeast"/>
              <w:rPr>
                <w:rFonts w:cs="Arial"/>
                <w:sz w:val="18"/>
                <w:szCs w:val="18"/>
                <w:lang w:val="bg-BG"/>
              </w:rPr>
            </w:pPr>
            <w:r w:rsidRPr="009072DA">
              <w:rPr>
                <w:sz w:val="18"/>
                <w:lang w:val="bg-BG"/>
              </w:rPr>
              <w:t>ТВОФ за входящия поток</w:t>
            </w:r>
          </w:p>
        </w:tc>
        <w:tc>
          <w:tcPr>
            <w:tcW w:w="2325" w:type="dxa"/>
            <w:vAlign w:val="center"/>
          </w:tcPr>
          <w:p w:rsidR="009C13A9" w:rsidRPr="009072DA" w:rsidRDefault="009C13A9" w:rsidP="00FA5168">
            <w:pPr>
              <w:spacing w:before="60" w:after="60" w:line="240" w:lineRule="atLeast"/>
              <w:rPr>
                <w:rFonts w:cs="Arial"/>
                <w:sz w:val="18"/>
                <w:szCs w:val="18"/>
                <w:lang w:val="bg-BG"/>
              </w:rPr>
            </w:pPr>
            <w:r w:rsidRPr="009072DA">
              <w:rPr>
                <w:sz w:val="18"/>
                <w:lang w:val="bg-BG"/>
              </w:rPr>
              <w:t>24-часови комбинирани проби</w:t>
            </w:r>
          </w:p>
        </w:tc>
        <w:tc>
          <w:tcPr>
            <w:tcW w:w="1016" w:type="dxa"/>
            <w:vAlign w:val="center"/>
          </w:tcPr>
          <w:p w:rsidR="009C13A9" w:rsidRPr="009072DA" w:rsidRDefault="009C13A9" w:rsidP="009C13A9">
            <w:pPr>
              <w:spacing w:before="60" w:after="60" w:line="240" w:lineRule="atLeast"/>
              <w:jc w:val="center"/>
              <w:rPr>
                <w:rFonts w:cs="Arial"/>
                <w:sz w:val="18"/>
                <w:szCs w:val="18"/>
                <w:lang w:val="bg-BG"/>
              </w:rPr>
            </w:pPr>
            <w:r w:rsidRPr="009072DA">
              <w:rPr>
                <w:sz w:val="18"/>
                <w:lang w:val="bg-BG"/>
              </w:rPr>
              <w:t>--</w:t>
            </w:r>
          </w:p>
        </w:tc>
        <w:tc>
          <w:tcPr>
            <w:tcW w:w="927" w:type="dxa"/>
            <w:vAlign w:val="center"/>
          </w:tcPr>
          <w:p w:rsidR="009C13A9" w:rsidRPr="009072DA" w:rsidRDefault="009C13A9" w:rsidP="009C13A9">
            <w:pPr>
              <w:spacing w:before="60" w:after="60" w:line="240" w:lineRule="atLeast"/>
              <w:rPr>
                <w:rFonts w:cs="Arial"/>
                <w:sz w:val="18"/>
                <w:szCs w:val="18"/>
                <w:lang w:val="bg-BG"/>
              </w:rPr>
            </w:pPr>
          </w:p>
        </w:tc>
        <w:tc>
          <w:tcPr>
            <w:tcW w:w="848" w:type="dxa"/>
          </w:tcPr>
          <w:p w:rsidR="009C13A9" w:rsidRPr="009072DA" w:rsidRDefault="009C13A9" w:rsidP="009C13A9">
            <w:pPr>
              <w:spacing w:before="60" w:after="60" w:line="240" w:lineRule="atLeast"/>
              <w:rPr>
                <w:rFonts w:cs="Arial"/>
                <w:sz w:val="18"/>
                <w:szCs w:val="18"/>
                <w:lang w:val="bg-BG"/>
              </w:rPr>
            </w:pPr>
          </w:p>
        </w:tc>
        <w:tc>
          <w:tcPr>
            <w:tcW w:w="852" w:type="dxa"/>
            <w:vAlign w:val="center"/>
          </w:tcPr>
          <w:p w:rsidR="009C13A9" w:rsidRPr="009072DA" w:rsidRDefault="009C13A9" w:rsidP="009C13A9">
            <w:pPr>
              <w:spacing w:before="60" w:after="60" w:line="240" w:lineRule="atLeast"/>
              <w:rPr>
                <w:rFonts w:cs="Arial"/>
                <w:sz w:val="18"/>
                <w:szCs w:val="18"/>
                <w:lang w:val="bg-BG"/>
              </w:rPr>
            </w:pPr>
          </w:p>
        </w:tc>
        <w:tc>
          <w:tcPr>
            <w:tcW w:w="903" w:type="dxa"/>
            <w:vAlign w:val="center"/>
          </w:tcPr>
          <w:p w:rsidR="009C13A9" w:rsidRPr="009072DA" w:rsidRDefault="009C13A9" w:rsidP="009C13A9">
            <w:pPr>
              <w:spacing w:before="60" w:after="60" w:line="240" w:lineRule="atLeast"/>
              <w:rPr>
                <w:rFonts w:cs="Arial"/>
                <w:sz w:val="18"/>
                <w:szCs w:val="18"/>
                <w:lang w:val="bg-BG"/>
              </w:rPr>
            </w:pPr>
          </w:p>
        </w:tc>
      </w:tr>
      <w:tr w:rsidR="009C13A9" w:rsidRPr="009072DA" w:rsidTr="00FA5168">
        <w:trPr>
          <w:jc w:val="center"/>
        </w:trPr>
        <w:tc>
          <w:tcPr>
            <w:tcW w:w="1461" w:type="dxa"/>
          </w:tcPr>
          <w:p w:rsidR="009C13A9" w:rsidRPr="009072DA" w:rsidRDefault="009C13A9" w:rsidP="009C13A9">
            <w:pPr>
              <w:spacing w:before="60" w:after="60" w:line="240" w:lineRule="atLeast"/>
              <w:rPr>
                <w:rFonts w:cs="Arial"/>
                <w:sz w:val="18"/>
                <w:szCs w:val="18"/>
                <w:lang w:val="bg-BG"/>
              </w:rPr>
            </w:pPr>
            <w:r w:rsidRPr="009072DA">
              <w:rPr>
                <w:sz w:val="18"/>
                <w:lang w:val="bg-BG"/>
              </w:rPr>
              <w:t>ТВОФ за изходящия поток</w:t>
            </w:r>
          </w:p>
        </w:tc>
        <w:tc>
          <w:tcPr>
            <w:tcW w:w="2325" w:type="dxa"/>
            <w:vAlign w:val="center"/>
          </w:tcPr>
          <w:p w:rsidR="009C13A9" w:rsidRPr="009072DA" w:rsidRDefault="009C13A9" w:rsidP="00FA5168">
            <w:pPr>
              <w:spacing w:before="60" w:after="60" w:line="240" w:lineRule="atLeast"/>
              <w:rPr>
                <w:rFonts w:cs="Arial"/>
                <w:sz w:val="18"/>
                <w:szCs w:val="18"/>
                <w:lang w:val="bg-BG"/>
              </w:rPr>
            </w:pPr>
            <w:r w:rsidRPr="009072DA">
              <w:rPr>
                <w:sz w:val="18"/>
                <w:lang w:val="bg-BG"/>
              </w:rPr>
              <w:t>24-часови комбинирани проби</w:t>
            </w:r>
          </w:p>
        </w:tc>
        <w:tc>
          <w:tcPr>
            <w:tcW w:w="1016" w:type="dxa"/>
            <w:vAlign w:val="center"/>
          </w:tcPr>
          <w:p w:rsidR="009C13A9" w:rsidRPr="009072DA" w:rsidRDefault="009C13A9" w:rsidP="009C13A9">
            <w:pPr>
              <w:spacing w:before="60" w:after="60" w:line="240" w:lineRule="atLeast"/>
              <w:rPr>
                <w:rFonts w:cs="Arial"/>
                <w:sz w:val="18"/>
                <w:szCs w:val="18"/>
                <w:lang w:val="bg-BG"/>
              </w:rPr>
            </w:pPr>
          </w:p>
        </w:tc>
        <w:tc>
          <w:tcPr>
            <w:tcW w:w="927" w:type="dxa"/>
            <w:vAlign w:val="center"/>
          </w:tcPr>
          <w:p w:rsidR="009C13A9" w:rsidRPr="009072DA" w:rsidRDefault="009C13A9" w:rsidP="009C13A9">
            <w:pPr>
              <w:spacing w:before="60" w:after="60" w:line="240" w:lineRule="atLeast"/>
              <w:rPr>
                <w:rFonts w:cs="Arial"/>
                <w:sz w:val="18"/>
                <w:szCs w:val="18"/>
                <w:lang w:val="bg-BG"/>
              </w:rPr>
            </w:pPr>
          </w:p>
        </w:tc>
        <w:tc>
          <w:tcPr>
            <w:tcW w:w="848" w:type="dxa"/>
          </w:tcPr>
          <w:p w:rsidR="009C13A9" w:rsidRPr="009072DA" w:rsidRDefault="009C13A9" w:rsidP="009C13A9">
            <w:pPr>
              <w:spacing w:before="60" w:after="60" w:line="240" w:lineRule="atLeast"/>
              <w:rPr>
                <w:rFonts w:cs="Arial"/>
                <w:sz w:val="18"/>
                <w:szCs w:val="18"/>
                <w:lang w:val="bg-BG"/>
              </w:rPr>
            </w:pPr>
          </w:p>
        </w:tc>
        <w:tc>
          <w:tcPr>
            <w:tcW w:w="852" w:type="dxa"/>
            <w:vAlign w:val="center"/>
          </w:tcPr>
          <w:p w:rsidR="009C13A9" w:rsidRPr="009072DA" w:rsidRDefault="009C13A9" w:rsidP="009C13A9">
            <w:pPr>
              <w:spacing w:before="60" w:after="60" w:line="240" w:lineRule="atLeast"/>
              <w:rPr>
                <w:rFonts w:cs="Arial"/>
                <w:sz w:val="18"/>
                <w:szCs w:val="18"/>
                <w:lang w:val="bg-BG"/>
              </w:rPr>
            </w:pPr>
          </w:p>
        </w:tc>
        <w:tc>
          <w:tcPr>
            <w:tcW w:w="903" w:type="dxa"/>
            <w:vAlign w:val="center"/>
          </w:tcPr>
          <w:p w:rsidR="009C13A9" w:rsidRPr="009072DA" w:rsidRDefault="009C13A9" w:rsidP="009C13A9">
            <w:pPr>
              <w:spacing w:before="60" w:after="60" w:line="240" w:lineRule="atLeast"/>
              <w:rPr>
                <w:rFonts w:cs="Arial"/>
                <w:sz w:val="18"/>
                <w:szCs w:val="18"/>
                <w:lang w:val="bg-BG"/>
              </w:rPr>
            </w:pPr>
          </w:p>
        </w:tc>
      </w:tr>
      <w:tr w:rsidR="009C13A9" w:rsidRPr="009072DA" w:rsidTr="00FA5168">
        <w:trPr>
          <w:jc w:val="center"/>
        </w:trPr>
        <w:tc>
          <w:tcPr>
            <w:tcW w:w="1461" w:type="dxa"/>
            <w:vAlign w:val="center"/>
          </w:tcPr>
          <w:p w:rsidR="009C13A9" w:rsidRPr="009072DA" w:rsidRDefault="009C13A9" w:rsidP="009C13A9">
            <w:pPr>
              <w:spacing w:before="60" w:after="60" w:line="240" w:lineRule="atLeast"/>
              <w:rPr>
                <w:rFonts w:cs="Arial"/>
                <w:sz w:val="18"/>
                <w:szCs w:val="18"/>
                <w:lang w:val="bg-BG"/>
              </w:rPr>
            </w:pPr>
            <w:r w:rsidRPr="009072DA">
              <w:rPr>
                <w:sz w:val="18"/>
                <w:lang w:val="bg-BG"/>
              </w:rPr>
              <w:t>ТВОФ за входящия поток</w:t>
            </w:r>
          </w:p>
        </w:tc>
        <w:tc>
          <w:tcPr>
            <w:tcW w:w="2325" w:type="dxa"/>
            <w:vAlign w:val="center"/>
          </w:tcPr>
          <w:p w:rsidR="009C13A9" w:rsidRPr="009072DA" w:rsidRDefault="009C13A9" w:rsidP="00FA5168">
            <w:pPr>
              <w:spacing w:before="60" w:after="60" w:line="240" w:lineRule="atLeast"/>
              <w:rPr>
                <w:rFonts w:cs="Arial"/>
                <w:sz w:val="18"/>
                <w:szCs w:val="18"/>
                <w:lang w:val="bg-BG"/>
              </w:rPr>
            </w:pPr>
            <w:r w:rsidRPr="009072DA">
              <w:rPr>
                <w:sz w:val="18"/>
                <w:lang w:val="bg-BG"/>
              </w:rPr>
              <w:t>случайни проби</w:t>
            </w:r>
          </w:p>
        </w:tc>
        <w:tc>
          <w:tcPr>
            <w:tcW w:w="1016" w:type="dxa"/>
            <w:vAlign w:val="center"/>
          </w:tcPr>
          <w:p w:rsidR="009C13A9" w:rsidRPr="009072DA" w:rsidRDefault="009C13A9" w:rsidP="009C13A9">
            <w:pPr>
              <w:spacing w:before="60" w:after="60" w:line="240" w:lineRule="atLeast"/>
              <w:jc w:val="center"/>
              <w:rPr>
                <w:rFonts w:cs="Arial"/>
                <w:sz w:val="18"/>
                <w:szCs w:val="18"/>
                <w:lang w:val="bg-BG"/>
              </w:rPr>
            </w:pPr>
            <w:r w:rsidRPr="009072DA">
              <w:rPr>
                <w:sz w:val="18"/>
                <w:lang w:val="bg-BG"/>
              </w:rPr>
              <w:t>--</w:t>
            </w:r>
          </w:p>
        </w:tc>
        <w:tc>
          <w:tcPr>
            <w:tcW w:w="927" w:type="dxa"/>
            <w:vAlign w:val="center"/>
          </w:tcPr>
          <w:p w:rsidR="009C13A9" w:rsidRPr="009072DA" w:rsidRDefault="009C13A9" w:rsidP="009C13A9">
            <w:pPr>
              <w:spacing w:before="60" w:after="60" w:line="240" w:lineRule="atLeast"/>
              <w:rPr>
                <w:rFonts w:cs="Arial"/>
                <w:sz w:val="18"/>
                <w:szCs w:val="18"/>
                <w:lang w:val="bg-BG"/>
              </w:rPr>
            </w:pPr>
          </w:p>
        </w:tc>
        <w:tc>
          <w:tcPr>
            <w:tcW w:w="848" w:type="dxa"/>
          </w:tcPr>
          <w:p w:rsidR="009C13A9" w:rsidRPr="009072DA" w:rsidRDefault="009C13A9" w:rsidP="009C13A9">
            <w:pPr>
              <w:spacing w:before="60" w:after="60" w:line="240" w:lineRule="atLeast"/>
              <w:rPr>
                <w:rFonts w:cs="Arial"/>
                <w:sz w:val="18"/>
                <w:szCs w:val="18"/>
                <w:lang w:val="bg-BG"/>
              </w:rPr>
            </w:pPr>
          </w:p>
        </w:tc>
        <w:tc>
          <w:tcPr>
            <w:tcW w:w="852" w:type="dxa"/>
            <w:vAlign w:val="center"/>
          </w:tcPr>
          <w:p w:rsidR="009C13A9" w:rsidRPr="009072DA" w:rsidRDefault="009C13A9" w:rsidP="009C13A9">
            <w:pPr>
              <w:spacing w:before="60" w:after="60" w:line="240" w:lineRule="atLeast"/>
              <w:rPr>
                <w:rFonts w:cs="Arial"/>
                <w:sz w:val="18"/>
                <w:szCs w:val="18"/>
                <w:lang w:val="bg-BG"/>
              </w:rPr>
            </w:pPr>
          </w:p>
        </w:tc>
        <w:tc>
          <w:tcPr>
            <w:tcW w:w="903" w:type="dxa"/>
            <w:vAlign w:val="center"/>
          </w:tcPr>
          <w:p w:rsidR="009C13A9" w:rsidRPr="009072DA" w:rsidRDefault="009C13A9" w:rsidP="009C13A9">
            <w:pPr>
              <w:spacing w:before="60" w:after="60" w:line="240" w:lineRule="atLeast"/>
              <w:rPr>
                <w:rFonts w:cs="Arial"/>
                <w:sz w:val="18"/>
                <w:szCs w:val="18"/>
                <w:lang w:val="bg-BG"/>
              </w:rPr>
            </w:pPr>
          </w:p>
        </w:tc>
      </w:tr>
      <w:tr w:rsidR="009C13A9" w:rsidRPr="009072DA" w:rsidTr="00FA5168">
        <w:trPr>
          <w:jc w:val="center"/>
        </w:trPr>
        <w:tc>
          <w:tcPr>
            <w:tcW w:w="1461" w:type="dxa"/>
          </w:tcPr>
          <w:p w:rsidR="009C13A9" w:rsidRPr="009072DA" w:rsidRDefault="009C13A9" w:rsidP="009C13A9">
            <w:pPr>
              <w:spacing w:before="60" w:after="60" w:line="240" w:lineRule="atLeast"/>
              <w:rPr>
                <w:rFonts w:cs="Arial"/>
                <w:sz w:val="18"/>
                <w:szCs w:val="18"/>
                <w:lang w:val="bg-BG"/>
              </w:rPr>
            </w:pPr>
            <w:r w:rsidRPr="009072DA">
              <w:rPr>
                <w:sz w:val="18"/>
                <w:lang w:val="bg-BG"/>
              </w:rPr>
              <w:t>ТВОФ за изходящия поток</w:t>
            </w:r>
          </w:p>
        </w:tc>
        <w:tc>
          <w:tcPr>
            <w:tcW w:w="2325" w:type="dxa"/>
            <w:vAlign w:val="center"/>
          </w:tcPr>
          <w:p w:rsidR="009C13A9" w:rsidRPr="009072DA" w:rsidRDefault="009C13A9" w:rsidP="00FA5168">
            <w:pPr>
              <w:spacing w:before="60" w:after="60" w:line="240" w:lineRule="atLeast"/>
              <w:rPr>
                <w:rFonts w:cs="Arial"/>
                <w:sz w:val="18"/>
                <w:szCs w:val="18"/>
                <w:lang w:val="bg-BG"/>
              </w:rPr>
            </w:pPr>
            <w:r w:rsidRPr="009072DA">
              <w:rPr>
                <w:sz w:val="18"/>
                <w:lang w:val="bg-BG"/>
              </w:rPr>
              <w:t>случайни проби</w:t>
            </w:r>
          </w:p>
        </w:tc>
        <w:tc>
          <w:tcPr>
            <w:tcW w:w="1016" w:type="dxa"/>
            <w:vAlign w:val="center"/>
          </w:tcPr>
          <w:p w:rsidR="009C13A9" w:rsidRPr="009072DA" w:rsidRDefault="009C13A9" w:rsidP="009C13A9">
            <w:pPr>
              <w:spacing w:before="60" w:after="60" w:line="240" w:lineRule="atLeast"/>
              <w:rPr>
                <w:rFonts w:cs="Arial"/>
                <w:sz w:val="18"/>
                <w:szCs w:val="18"/>
                <w:lang w:val="bg-BG"/>
              </w:rPr>
            </w:pPr>
          </w:p>
        </w:tc>
        <w:tc>
          <w:tcPr>
            <w:tcW w:w="927" w:type="dxa"/>
            <w:vAlign w:val="center"/>
          </w:tcPr>
          <w:p w:rsidR="009C13A9" w:rsidRPr="009072DA" w:rsidRDefault="009C13A9" w:rsidP="009C13A9">
            <w:pPr>
              <w:spacing w:before="60" w:after="60" w:line="240" w:lineRule="atLeast"/>
              <w:rPr>
                <w:rFonts w:cs="Arial"/>
                <w:sz w:val="18"/>
                <w:szCs w:val="18"/>
                <w:lang w:val="bg-BG"/>
              </w:rPr>
            </w:pPr>
          </w:p>
        </w:tc>
        <w:tc>
          <w:tcPr>
            <w:tcW w:w="848" w:type="dxa"/>
          </w:tcPr>
          <w:p w:rsidR="009C13A9" w:rsidRPr="009072DA" w:rsidRDefault="009C13A9" w:rsidP="009C13A9">
            <w:pPr>
              <w:spacing w:before="60" w:after="60" w:line="240" w:lineRule="atLeast"/>
              <w:rPr>
                <w:rFonts w:cs="Arial"/>
                <w:sz w:val="18"/>
                <w:szCs w:val="18"/>
                <w:lang w:val="bg-BG"/>
              </w:rPr>
            </w:pPr>
          </w:p>
        </w:tc>
        <w:tc>
          <w:tcPr>
            <w:tcW w:w="852" w:type="dxa"/>
            <w:vAlign w:val="center"/>
          </w:tcPr>
          <w:p w:rsidR="009C13A9" w:rsidRPr="009072DA" w:rsidRDefault="009C13A9" w:rsidP="009C13A9">
            <w:pPr>
              <w:spacing w:before="60" w:after="60" w:line="240" w:lineRule="atLeast"/>
              <w:rPr>
                <w:rFonts w:cs="Arial"/>
                <w:sz w:val="18"/>
                <w:szCs w:val="18"/>
                <w:lang w:val="bg-BG"/>
              </w:rPr>
            </w:pPr>
          </w:p>
        </w:tc>
        <w:tc>
          <w:tcPr>
            <w:tcW w:w="903" w:type="dxa"/>
            <w:vAlign w:val="center"/>
          </w:tcPr>
          <w:p w:rsidR="009C13A9" w:rsidRPr="009072DA" w:rsidRDefault="009C13A9" w:rsidP="009C13A9">
            <w:pPr>
              <w:spacing w:before="60" w:after="60" w:line="240" w:lineRule="atLeast"/>
              <w:rPr>
                <w:rFonts w:cs="Arial"/>
                <w:sz w:val="18"/>
                <w:szCs w:val="18"/>
                <w:lang w:val="bg-BG"/>
              </w:rPr>
            </w:pPr>
          </w:p>
        </w:tc>
      </w:tr>
    </w:tbl>
    <w:p w:rsidR="009C13A9" w:rsidRPr="009072DA" w:rsidRDefault="009C13A9" w:rsidP="009C13A9">
      <w:pPr>
        <w:spacing w:line="240" w:lineRule="atLeast"/>
        <w:rPr>
          <w:rFonts w:cs="Arial"/>
          <w:color w:val="000000"/>
          <w:lang w:val="bg-BG"/>
        </w:rPr>
      </w:pPr>
      <w:r w:rsidRPr="009072DA">
        <w:rPr>
          <w:lang w:val="bg-BG"/>
        </w:rPr>
        <w:br w:type="page"/>
      </w:r>
    </w:p>
    <w:p w:rsidR="009C13A9" w:rsidRPr="009072DA" w:rsidRDefault="009C13A9" w:rsidP="00FA5168">
      <w:pPr>
        <w:tabs>
          <w:tab w:val="left" w:pos="709"/>
        </w:tabs>
        <w:suppressAutoHyphens/>
        <w:spacing w:after="120" w:line="240" w:lineRule="atLeast"/>
        <w:ind w:left="1701" w:hanging="992"/>
        <w:rPr>
          <w:rFonts w:cs="Arial"/>
          <w:szCs w:val="20"/>
          <w:lang w:val="bg-BG"/>
        </w:rPr>
      </w:pPr>
      <w:r w:rsidRPr="009072DA">
        <w:rPr>
          <w:lang w:val="bg-BG"/>
        </w:rPr>
        <w:lastRenderedPageBreak/>
        <w:t>Таблица 3б:</w:t>
      </w:r>
      <w:r w:rsidRPr="009072DA">
        <w:rPr>
          <w:lang w:val="bg-BG"/>
        </w:rPr>
        <w:tab/>
        <w:t xml:space="preserve">Спецификация за статистическата обработка на събраните данни - оценяване с цел документиране на ефективността на пречистване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88"/>
        <w:gridCol w:w="2325"/>
        <w:gridCol w:w="936"/>
        <w:gridCol w:w="858"/>
        <w:gridCol w:w="858"/>
      </w:tblGrid>
      <w:tr w:rsidR="009C13A9" w:rsidRPr="009072DA" w:rsidTr="00EB3292">
        <w:trPr>
          <w:trHeight w:val="760"/>
          <w:jc w:val="center"/>
        </w:trPr>
        <w:tc>
          <w:tcPr>
            <w:tcW w:w="1588" w:type="dxa"/>
            <w:vAlign w:val="center"/>
          </w:tcPr>
          <w:p w:rsidR="009C13A9" w:rsidRPr="009072DA" w:rsidRDefault="009C13A9" w:rsidP="009C13A9">
            <w:pPr>
              <w:spacing w:before="60" w:after="60" w:line="240" w:lineRule="atLeast"/>
              <w:jc w:val="center"/>
              <w:rPr>
                <w:sz w:val="18"/>
                <w:szCs w:val="18"/>
                <w:lang w:val="bg-BG"/>
              </w:rPr>
            </w:pPr>
            <w:r w:rsidRPr="009072DA">
              <w:rPr>
                <w:sz w:val="18"/>
                <w:lang w:val="bg-BG"/>
              </w:rPr>
              <w:t>Параметър</w:t>
            </w:r>
          </w:p>
        </w:tc>
        <w:tc>
          <w:tcPr>
            <w:tcW w:w="2325" w:type="dxa"/>
            <w:vAlign w:val="center"/>
          </w:tcPr>
          <w:p w:rsidR="009C13A9" w:rsidRPr="009072DA" w:rsidRDefault="009C13A9" w:rsidP="009C13A9">
            <w:pPr>
              <w:spacing w:before="60" w:after="60" w:line="240" w:lineRule="atLeast"/>
              <w:jc w:val="center"/>
              <w:rPr>
                <w:sz w:val="18"/>
                <w:szCs w:val="18"/>
                <w:lang w:val="bg-BG"/>
              </w:rPr>
            </w:pPr>
            <w:r w:rsidRPr="009072DA">
              <w:rPr>
                <w:sz w:val="18"/>
                <w:lang w:val="bg-BG"/>
              </w:rPr>
              <w:t>Вид на пробата</w:t>
            </w:r>
          </w:p>
        </w:tc>
        <w:tc>
          <w:tcPr>
            <w:tcW w:w="936" w:type="dxa"/>
            <w:vAlign w:val="center"/>
          </w:tcPr>
          <w:p w:rsidR="009C13A9" w:rsidRPr="009072DA" w:rsidRDefault="009C13A9" w:rsidP="009C13A9">
            <w:pPr>
              <w:spacing w:before="60" w:after="60" w:line="240" w:lineRule="atLeast"/>
              <w:jc w:val="center"/>
              <w:rPr>
                <w:sz w:val="18"/>
                <w:szCs w:val="18"/>
                <w:lang w:val="bg-BG"/>
              </w:rPr>
            </w:pPr>
            <w:r w:rsidRPr="009072DA">
              <w:rPr>
                <w:sz w:val="18"/>
                <w:lang w:val="bg-BG"/>
              </w:rPr>
              <w:t>Средно</w:t>
            </w:r>
          </w:p>
        </w:tc>
        <w:tc>
          <w:tcPr>
            <w:tcW w:w="858" w:type="dxa"/>
            <w:vAlign w:val="center"/>
          </w:tcPr>
          <w:p w:rsidR="009C13A9" w:rsidRPr="009072DA" w:rsidRDefault="009C13A9" w:rsidP="009C13A9">
            <w:pPr>
              <w:spacing w:before="60" w:after="60" w:line="240" w:lineRule="atLeast"/>
              <w:jc w:val="center"/>
              <w:rPr>
                <w:sz w:val="18"/>
                <w:szCs w:val="18"/>
                <w:lang w:val="bg-BG"/>
              </w:rPr>
            </w:pPr>
            <w:r w:rsidRPr="009072DA">
              <w:rPr>
                <w:sz w:val="18"/>
                <w:lang w:val="bg-BG"/>
              </w:rPr>
              <w:t>Мин.</w:t>
            </w:r>
          </w:p>
        </w:tc>
        <w:tc>
          <w:tcPr>
            <w:tcW w:w="858" w:type="dxa"/>
            <w:vAlign w:val="center"/>
          </w:tcPr>
          <w:p w:rsidR="009C13A9" w:rsidRPr="009072DA" w:rsidRDefault="009C13A9" w:rsidP="009C13A9">
            <w:pPr>
              <w:spacing w:before="60" w:after="60" w:line="240" w:lineRule="atLeast"/>
              <w:jc w:val="center"/>
              <w:rPr>
                <w:sz w:val="18"/>
                <w:szCs w:val="18"/>
                <w:lang w:val="bg-BG"/>
              </w:rPr>
            </w:pPr>
            <w:r w:rsidRPr="009072DA">
              <w:rPr>
                <w:sz w:val="18"/>
                <w:lang w:val="bg-BG"/>
              </w:rPr>
              <w:t>Макс.</w:t>
            </w:r>
          </w:p>
        </w:tc>
      </w:tr>
      <w:tr w:rsidR="009C13A9" w:rsidRPr="009072DA" w:rsidTr="00EB3292">
        <w:trPr>
          <w:jc w:val="center"/>
        </w:trPr>
        <w:tc>
          <w:tcPr>
            <w:tcW w:w="1588" w:type="dxa"/>
          </w:tcPr>
          <w:p w:rsidR="009C13A9" w:rsidRPr="009072DA" w:rsidRDefault="009C13A9" w:rsidP="009C13A9">
            <w:pPr>
              <w:spacing w:before="60" w:after="60" w:line="240" w:lineRule="atLeast"/>
              <w:rPr>
                <w:sz w:val="18"/>
                <w:szCs w:val="18"/>
                <w:lang w:val="bg-BG"/>
              </w:rPr>
            </w:pPr>
            <w:r w:rsidRPr="009072DA">
              <w:rPr>
                <w:sz w:val="18"/>
                <w:lang w:val="bg-BG"/>
              </w:rPr>
              <w:t xml:space="preserve">Ефективност на отстраняване </w:t>
            </w:r>
            <m:oMath>
              <m:sSub>
                <m:sSubPr>
                  <m:ctrlPr>
                    <w:rPr>
                      <w:rFonts w:ascii="Cambria Math" w:hAnsi="Cambria Math"/>
                      <w:i/>
                      <w:sz w:val="18"/>
                      <w:szCs w:val="18"/>
                      <w:lang w:val="bg-BG"/>
                    </w:rPr>
                  </m:ctrlPr>
                </m:sSubPr>
                <m:e>
                  <m:r>
                    <w:rPr>
                      <w:rFonts w:ascii="Cambria Math" w:hAnsi="Cambria Math"/>
                      <w:sz w:val="18"/>
                      <w:szCs w:val="18"/>
                      <w:lang w:val="bg-BG"/>
                    </w:rPr>
                    <m:t>BOD</m:t>
                  </m:r>
                </m:e>
                <m:sub>
                  <m:r>
                    <w:rPr>
                      <w:rFonts w:ascii="Cambria Math" w:hAnsi="Cambria Math"/>
                      <w:sz w:val="18"/>
                      <w:szCs w:val="18"/>
                      <w:lang w:val="bg-BG"/>
                    </w:rPr>
                    <m:t>5</m:t>
                  </m:r>
                </m:sub>
              </m:sSub>
            </m:oMath>
          </w:p>
        </w:tc>
        <w:tc>
          <w:tcPr>
            <w:tcW w:w="2325" w:type="dxa"/>
            <w:vAlign w:val="center"/>
          </w:tcPr>
          <w:p w:rsidR="009C13A9" w:rsidRPr="009072DA" w:rsidRDefault="009C13A9" w:rsidP="009C13A9">
            <w:pPr>
              <w:spacing w:before="60" w:after="60" w:line="240" w:lineRule="atLeast"/>
              <w:rPr>
                <w:sz w:val="18"/>
                <w:szCs w:val="18"/>
                <w:lang w:val="bg-BG"/>
              </w:rPr>
            </w:pPr>
            <w:r w:rsidRPr="009072DA">
              <w:rPr>
                <w:sz w:val="18"/>
                <w:lang w:val="bg-BG"/>
              </w:rPr>
              <w:t>24-часови комбинирани проби</w:t>
            </w:r>
          </w:p>
        </w:tc>
        <w:tc>
          <w:tcPr>
            <w:tcW w:w="936" w:type="dxa"/>
          </w:tcPr>
          <w:p w:rsidR="009C13A9" w:rsidRPr="009072DA" w:rsidRDefault="009C13A9" w:rsidP="009C13A9">
            <w:pPr>
              <w:spacing w:before="60" w:after="60" w:line="240" w:lineRule="atLeast"/>
              <w:rPr>
                <w:sz w:val="18"/>
                <w:szCs w:val="18"/>
                <w:lang w:val="bg-BG"/>
              </w:rPr>
            </w:pPr>
          </w:p>
        </w:tc>
        <w:tc>
          <w:tcPr>
            <w:tcW w:w="858" w:type="dxa"/>
          </w:tcPr>
          <w:p w:rsidR="009C13A9" w:rsidRPr="009072DA" w:rsidRDefault="009C13A9" w:rsidP="009C13A9">
            <w:pPr>
              <w:spacing w:before="60" w:after="60" w:line="240" w:lineRule="atLeast"/>
              <w:rPr>
                <w:sz w:val="18"/>
                <w:szCs w:val="18"/>
                <w:lang w:val="bg-BG"/>
              </w:rPr>
            </w:pPr>
          </w:p>
        </w:tc>
        <w:tc>
          <w:tcPr>
            <w:tcW w:w="858" w:type="dxa"/>
          </w:tcPr>
          <w:p w:rsidR="009C13A9" w:rsidRPr="009072DA" w:rsidRDefault="009C13A9" w:rsidP="009C13A9">
            <w:pPr>
              <w:spacing w:before="60" w:after="60" w:line="240" w:lineRule="atLeast"/>
              <w:rPr>
                <w:sz w:val="18"/>
                <w:szCs w:val="18"/>
                <w:lang w:val="bg-BG"/>
              </w:rPr>
            </w:pPr>
          </w:p>
        </w:tc>
      </w:tr>
      <w:tr w:rsidR="009C13A9" w:rsidRPr="009072DA" w:rsidTr="00EB3292">
        <w:trPr>
          <w:jc w:val="center"/>
        </w:trPr>
        <w:tc>
          <w:tcPr>
            <w:tcW w:w="1588" w:type="dxa"/>
          </w:tcPr>
          <w:p w:rsidR="009C13A9" w:rsidRPr="009072DA" w:rsidRDefault="009C13A9" w:rsidP="009C13A9">
            <w:pPr>
              <w:spacing w:before="60" w:after="60" w:line="240" w:lineRule="atLeast"/>
              <w:rPr>
                <w:sz w:val="18"/>
                <w:szCs w:val="18"/>
                <w:lang w:val="bg-BG"/>
              </w:rPr>
            </w:pPr>
            <w:r w:rsidRPr="009072DA">
              <w:rPr>
                <w:sz w:val="18"/>
                <w:lang w:val="bg-BG"/>
              </w:rPr>
              <w:t xml:space="preserve">Ефективност на отстраняване </w:t>
            </w:r>
            <m:oMath>
              <m:sSub>
                <m:sSubPr>
                  <m:ctrlPr>
                    <w:rPr>
                      <w:rFonts w:ascii="Cambria Math" w:hAnsi="Cambria Math"/>
                      <w:i/>
                      <w:sz w:val="18"/>
                      <w:szCs w:val="18"/>
                      <w:lang w:val="bg-BG"/>
                    </w:rPr>
                  </m:ctrlPr>
                </m:sSubPr>
                <m:e>
                  <m:r>
                    <w:rPr>
                      <w:rFonts w:ascii="Cambria Math" w:hAnsi="Cambria Math"/>
                      <w:sz w:val="18"/>
                      <w:szCs w:val="18"/>
                      <w:lang w:val="bg-BG"/>
                    </w:rPr>
                    <m:t>BOD</m:t>
                  </m:r>
                </m:e>
                <m:sub>
                  <m:r>
                    <w:rPr>
                      <w:rFonts w:ascii="Cambria Math" w:hAnsi="Cambria Math"/>
                      <w:sz w:val="18"/>
                      <w:szCs w:val="18"/>
                      <w:lang w:val="bg-BG"/>
                    </w:rPr>
                    <m:t>5</m:t>
                  </m:r>
                </m:sub>
              </m:sSub>
            </m:oMath>
          </w:p>
        </w:tc>
        <w:tc>
          <w:tcPr>
            <w:tcW w:w="2325" w:type="dxa"/>
            <w:vAlign w:val="center"/>
          </w:tcPr>
          <w:p w:rsidR="009C13A9" w:rsidRPr="009072DA" w:rsidRDefault="009C13A9" w:rsidP="009C13A9">
            <w:pPr>
              <w:spacing w:before="60" w:after="60" w:line="240" w:lineRule="atLeast"/>
              <w:rPr>
                <w:sz w:val="18"/>
                <w:szCs w:val="18"/>
                <w:lang w:val="bg-BG"/>
              </w:rPr>
            </w:pPr>
            <w:r w:rsidRPr="009072DA">
              <w:rPr>
                <w:sz w:val="18"/>
                <w:lang w:val="bg-BG"/>
              </w:rPr>
              <w:t>Случайни проби</w:t>
            </w:r>
          </w:p>
        </w:tc>
        <w:tc>
          <w:tcPr>
            <w:tcW w:w="936" w:type="dxa"/>
          </w:tcPr>
          <w:p w:rsidR="009C13A9" w:rsidRPr="009072DA" w:rsidRDefault="009C13A9" w:rsidP="009C13A9">
            <w:pPr>
              <w:spacing w:before="60" w:after="60" w:line="240" w:lineRule="atLeast"/>
              <w:rPr>
                <w:sz w:val="18"/>
                <w:szCs w:val="18"/>
                <w:lang w:val="bg-BG"/>
              </w:rPr>
            </w:pPr>
          </w:p>
        </w:tc>
        <w:tc>
          <w:tcPr>
            <w:tcW w:w="858" w:type="dxa"/>
          </w:tcPr>
          <w:p w:rsidR="009C13A9" w:rsidRPr="009072DA" w:rsidRDefault="009C13A9" w:rsidP="009C13A9">
            <w:pPr>
              <w:spacing w:before="60" w:after="60" w:line="240" w:lineRule="atLeast"/>
              <w:rPr>
                <w:sz w:val="18"/>
                <w:szCs w:val="18"/>
                <w:lang w:val="bg-BG"/>
              </w:rPr>
            </w:pPr>
          </w:p>
        </w:tc>
        <w:tc>
          <w:tcPr>
            <w:tcW w:w="858" w:type="dxa"/>
          </w:tcPr>
          <w:p w:rsidR="009C13A9" w:rsidRPr="009072DA" w:rsidRDefault="009C13A9" w:rsidP="009C13A9">
            <w:pPr>
              <w:spacing w:before="60" w:after="60" w:line="240" w:lineRule="atLeast"/>
              <w:rPr>
                <w:sz w:val="18"/>
                <w:szCs w:val="18"/>
                <w:lang w:val="bg-BG"/>
              </w:rPr>
            </w:pPr>
          </w:p>
        </w:tc>
      </w:tr>
      <w:tr w:rsidR="009C13A9" w:rsidRPr="009072DA" w:rsidTr="00EB3292">
        <w:trPr>
          <w:jc w:val="center"/>
        </w:trPr>
        <w:tc>
          <w:tcPr>
            <w:tcW w:w="1588" w:type="dxa"/>
          </w:tcPr>
          <w:p w:rsidR="009C13A9" w:rsidRPr="009072DA" w:rsidRDefault="009C13A9" w:rsidP="009C13A9">
            <w:pPr>
              <w:spacing w:before="60" w:after="60" w:line="240" w:lineRule="atLeast"/>
              <w:rPr>
                <w:sz w:val="18"/>
                <w:szCs w:val="18"/>
                <w:lang w:val="bg-BG"/>
              </w:rPr>
            </w:pPr>
            <w:r w:rsidRPr="009072DA">
              <w:rPr>
                <w:sz w:val="18"/>
                <w:lang w:val="bg-BG"/>
              </w:rPr>
              <w:t>Ефективност на отстраняване по ХПК</w:t>
            </w:r>
          </w:p>
        </w:tc>
        <w:tc>
          <w:tcPr>
            <w:tcW w:w="2325" w:type="dxa"/>
          </w:tcPr>
          <w:p w:rsidR="009C13A9" w:rsidRPr="009072DA" w:rsidRDefault="009C13A9" w:rsidP="009C13A9">
            <w:pPr>
              <w:spacing w:before="60" w:after="60" w:line="240" w:lineRule="atLeast"/>
              <w:rPr>
                <w:sz w:val="18"/>
                <w:szCs w:val="18"/>
                <w:lang w:val="bg-BG"/>
              </w:rPr>
            </w:pPr>
            <w:r w:rsidRPr="009072DA">
              <w:rPr>
                <w:sz w:val="18"/>
                <w:lang w:val="bg-BG"/>
              </w:rPr>
              <w:t>24-часови комбинирани проби</w:t>
            </w:r>
          </w:p>
        </w:tc>
        <w:tc>
          <w:tcPr>
            <w:tcW w:w="936" w:type="dxa"/>
          </w:tcPr>
          <w:p w:rsidR="009C13A9" w:rsidRPr="009072DA" w:rsidRDefault="009C13A9" w:rsidP="009C13A9">
            <w:pPr>
              <w:spacing w:before="60" w:after="60" w:line="240" w:lineRule="atLeast"/>
              <w:rPr>
                <w:sz w:val="18"/>
                <w:szCs w:val="18"/>
                <w:lang w:val="bg-BG"/>
              </w:rPr>
            </w:pPr>
          </w:p>
        </w:tc>
        <w:tc>
          <w:tcPr>
            <w:tcW w:w="858" w:type="dxa"/>
          </w:tcPr>
          <w:p w:rsidR="009C13A9" w:rsidRPr="009072DA" w:rsidRDefault="009C13A9" w:rsidP="009C13A9">
            <w:pPr>
              <w:spacing w:before="60" w:after="60" w:line="240" w:lineRule="atLeast"/>
              <w:rPr>
                <w:sz w:val="18"/>
                <w:szCs w:val="18"/>
                <w:lang w:val="bg-BG"/>
              </w:rPr>
            </w:pPr>
          </w:p>
        </w:tc>
        <w:tc>
          <w:tcPr>
            <w:tcW w:w="858" w:type="dxa"/>
          </w:tcPr>
          <w:p w:rsidR="009C13A9" w:rsidRPr="009072DA" w:rsidRDefault="009C13A9" w:rsidP="009C13A9">
            <w:pPr>
              <w:spacing w:before="60" w:after="60" w:line="240" w:lineRule="atLeast"/>
              <w:rPr>
                <w:sz w:val="18"/>
                <w:szCs w:val="18"/>
                <w:lang w:val="bg-BG"/>
              </w:rPr>
            </w:pPr>
          </w:p>
        </w:tc>
      </w:tr>
      <w:tr w:rsidR="009C13A9" w:rsidRPr="009072DA" w:rsidTr="00EB3292">
        <w:trPr>
          <w:jc w:val="center"/>
        </w:trPr>
        <w:tc>
          <w:tcPr>
            <w:tcW w:w="1588" w:type="dxa"/>
          </w:tcPr>
          <w:p w:rsidR="009C13A9" w:rsidRPr="009072DA" w:rsidRDefault="009C13A9" w:rsidP="009C13A9">
            <w:pPr>
              <w:spacing w:before="60" w:after="60" w:line="240" w:lineRule="atLeast"/>
              <w:rPr>
                <w:sz w:val="18"/>
                <w:szCs w:val="18"/>
                <w:lang w:val="bg-BG"/>
              </w:rPr>
            </w:pPr>
            <w:r w:rsidRPr="009072DA">
              <w:rPr>
                <w:sz w:val="18"/>
                <w:lang w:val="bg-BG"/>
              </w:rPr>
              <w:t>Ефективност на отстраняване по ХПК</w:t>
            </w:r>
          </w:p>
        </w:tc>
        <w:tc>
          <w:tcPr>
            <w:tcW w:w="2325" w:type="dxa"/>
          </w:tcPr>
          <w:p w:rsidR="009C13A9" w:rsidRPr="009072DA" w:rsidRDefault="009C13A9" w:rsidP="009C13A9">
            <w:pPr>
              <w:spacing w:before="60" w:after="60" w:line="240" w:lineRule="atLeast"/>
              <w:rPr>
                <w:sz w:val="18"/>
                <w:szCs w:val="18"/>
                <w:lang w:val="bg-BG"/>
              </w:rPr>
            </w:pPr>
            <w:r w:rsidRPr="009072DA">
              <w:rPr>
                <w:sz w:val="18"/>
                <w:lang w:val="bg-BG"/>
              </w:rPr>
              <w:t>Случайни проби</w:t>
            </w:r>
          </w:p>
        </w:tc>
        <w:tc>
          <w:tcPr>
            <w:tcW w:w="936" w:type="dxa"/>
          </w:tcPr>
          <w:p w:rsidR="009C13A9" w:rsidRPr="009072DA" w:rsidRDefault="009C13A9" w:rsidP="009C13A9">
            <w:pPr>
              <w:spacing w:before="60" w:after="60" w:line="240" w:lineRule="atLeast"/>
              <w:rPr>
                <w:sz w:val="18"/>
                <w:szCs w:val="18"/>
                <w:lang w:val="bg-BG"/>
              </w:rPr>
            </w:pPr>
          </w:p>
        </w:tc>
        <w:tc>
          <w:tcPr>
            <w:tcW w:w="858" w:type="dxa"/>
          </w:tcPr>
          <w:p w:rsidR="009C13A9" w:rsidRPr="009072DA" w:rsidRDefault="009C13A9" w:rsidP="009C13A9">
            <w:pPr>
              <w:spacing w:before="60" w:after="60" w:line="240" w:lineRule="atLeast"/>
              <w:rPr>
                <w:sz w:val="18"/>
                <w:szCs w:val="18"/>
                <w:lang w:val="bg-BG"/>
              </w:rPr>
            </w:pPr>
          </w:p>
        </w:tc>
        <w:tc>
          <w:tcPr>
            <w:tcW w:w="858" w:type="dxa"/>
          </w:tcPr>
          <w:p w:rsidR="009C13A9" w:rsidRPr="009072DA" w:rsidRDefault="009C13A9" w:rsidP="009C13A9">
            <w:pPr>
              <w:spacing w:before="60" w:after="60" w:line="240" w:lineRule="atLeast"/>
              <w:rPr>
                <w:sz w:val="18"/>
                <w:szCs w:val="18"/>
                <w:lang w:val="bg-BG"/>
              </w:rPr>
            </w:pPr>
          </w:p>
        </w:tc>
      </w:tr>
      <w:tr w:rsidR="009C13A9" w:rsidRPr="009072DA" w:rsidTr="00EB3292">
        <w:trPr>
          <w:jc w:val="center"/>
        </w:trPr>
        <w:tc>
          <w:tcPr>
            <w:tcW w:w="1588" w:type="dxa"/>
          </w:tcPr>
          <w:p w:rsidR="009C13A9" w:rsidRPr="009072DA" w:rsidRDefault="009C13A9" w:rsidP="009C13A9">
            <w:pPr>
              <w:spacing w:before="60" w:after="60" w:line="240" w:lineRule="atLeast"/>
              <w:rPr>
                <w:sz w:val="18"/>
                <w:szCs w:val="18"/>
                <w:lang w:val="bg-BG"/>
              </w:rPr>
            </w:pPr>
            <w:r w:rsidRPr="009072DA">
              <w:rPr>
                <w:sz w:val="18"/>
                <w:lang w:val="bg-BG"/>
              </w:rPr>
              <w:t>Ефективност на отстраняване по ОСОВ</w:t>
            </w:r>
          </w:p>
        </w:tc>
        <w:tc>
          <w:tcPr>
            <w:tcW w:w="2325" w:type="dxa"/>
          </w:tcPr>
          <w:p w:rsidR="009C13A9" w:rsidRPr="009072DA" w:rsidRDefault="009C13A9" w:rsidP="009C13A9">
            <w:pPr>
              <w:spacing w:before="60" w:after="60" w:line="240" w:lineRule="atLeast"/>
              <w:rPr>
                <w:sz w:val="18"/>
                <w:szCs w:val="18"/>
                <w:lang w:val="bg-BG"/>
              </w:rPr>
            </w:pPr>
            <w:r w:rsidRPr="009072DA">
              <w:rPr>
                <w:sz w:val="18"/>
                <w:lang w:val="bg-BG"/>
              </w:rPr>
              <w:t>24-часови комбинирани проби</w:t>
            </w:r>
          </w:p>
        </w:tc>
        <w:tc>
          <w:tcPr>
            <w:tcW w:w="936" w:type="dxa"/>
          </w:tcPr>
          <w:p w:rsidR="009C13A9" w:rsidRPr="009072DA" w:rsidRDefault="009C13A9" w:rsidP="009C13A9">
            <w:pPr>
              <w:spacing w:before="60" w:after="60" w:line="240" w:lineRule="atLeast"/>
              <w:rPr>
                <w:sz w:val="18"/>
                <w:szCs w:val="18"/>
                <w:lang w:val="bg-BG"/>
              </w:rPr>
            </w:pPr>
          </w:p>
        </w:tc>
        <w:tc>
          <w:tcPr>
            <w:tcW w:w="858" w:type="dxa"/>
          </w:tcPr>
          <w:p w:rsidR="009C13A9" w:rsidRPr="009072DA" w:rsidRDefault="009C13A9" w:rsidP="009C13A9">
            <w:pPr>
              <w:spacing w:before="60" w:after="60" w:line="240" w:lineRule="atLeast"/>
              <w:rPr>
                <w:sz w:val="18"/>
                <w:szCs w:val="18"/>
                <w:lang w:val="bg-BG"/>
              </w:rPr>
            </w:pPr>
          </w:p>
        </w:tc>
        <w:tc>
          <w:tcPr>
            <w:tcW w:w="858" w:type="dxa"/>
          </w:tcPr>
          <w:p w:rsidR="009C13A9" w:rsidRPr="009072DA" w:rsidRDefault="009C13A9" w:rsidP="009C13A9">
            <w:pPr>
              <w:spacing w:before="60" w:after="60" w:line="240" w:lineRule="atLeast"/>
              <w:rPr>
                <w:sz w:val="18"/>
                <w:szCs w:val="18"/>
                <w:lang w:val="bg-BG"/>
              </w:rPr>
            </w:pPr>
          </w:p>
        </w:tc>
      </w:tr>
      <w:tr w:rsidR="009C13A9" w:rsidRPr="009072DA" w:rsidTr="00EB3292">
        <w:trPr>
          <w:jc w:val="center"/>
        </w:trPr>
        <w:tc>
          <w:tcPr>
            <w:tcW w:w="1588" w:type="dxa"/>
          </w:tcPr>
          <w:p w:rsidR="009C13A9" w:rsidRPr="009072DA" w:rsidRDefault="009C13A9" w:rsidP="009C13A9">
            <w:pPr>
              <w:spacing w:before="60" w:after="60" w:line="240" w:lineRule="atLeast"/>
              <w:rPr>
                <w:sz w:val="18"/>
                <w:szCs w:val="18"/>
                <w:lang w:val="bg-BG"/>
              </w:rPr>
            </w:pPr>
            <w:r w:rsidRPr="009072DA">
              <w:rPr>
                <w:sz w:val="18"/>
                <w:lang w:val="bg-BG"/>
              </w:rPr>
              <w:t>Ефективност на отстраняване по ОСОВ</w:t>
            </w:r>
          </w:p>
        </w:tc>
        <w:tc>
          <w:tcPr>
            <w:tcW w:w="2325" w:type="dxa"/>
          </w:tcPr>
          <w:p w:rsidR="009C13A9" w:rsidRPr="009072DA" w:rsidRDefault="009C13A9" w:rsidP="009C13A9">
            <w:pPr>
              <w:spacing w:before="60" w:after="60" w:line="240" w:lineRule="atLeast"/>
              <w:rPr>
                <w:sz w:val="18"/>
                <w:szCs w:val="18"/>
                <w:lang w:val="bg-BG"/>
              </w:rPr>
            </w:pPr>
            <w:r w:rsidRPr="009072DA">
              <w:rPr>
                <w:sz w:val="18"/>
                <w:lang w:val="bg-BG"/>
              </w:rPr>
              <w:t>Случайни проби</w:t>
            </w:r>
          </w:p>
        </w:tc>
        <w:tc>
          <w:tcPr>
            <w:tcW w:w="936" w:type="dxa"/>
          </w:tcPr>
          <w:p w:rsidR="009C13A9" w:rsidRPr="009072DA" w:rsidRDefault="009C13A9" w:rsidP="009C13A9">
            <w:pPr>
              <w:spacing w:before="60" w:after="60" w:line="240" w:lineRule="atLeast"/>
              <w:rPr>
                <w:sz w:val="18"/>
                <w:szCs w:val="18"/>
                <w:lang w:val="bg-BG"/>
              </w:rPr>
            </w:pPr>
          </w:p>
        </w:tc>
        <w:tc>
          <w:tcPr>
            <w:tcW w:w="858" w:type="dxa"/>
          </w:tcPr>
          <w:p w:rsidR="009C13A9" w:rsidRPr="009072DA" w:rsidRDefault="009C13A9" w:rsidP="009C13A9">
            <w:pPr>
              <w:spacing w:before="60" w:after="60" w:line="240" w:lineRule="atLeast"/>
              <w:rPr>
                <w:sz w:val="18"/>
                <w:szCs w:val="18"/>
                <w:lang w:val="bg-BG"/>
              </w:rPr>
            </w:pPr>
          </w:p>
        </w:tc>
        <w:tc>
          <w:tcPr>
            <w:tcW w:w="858" w:type="dxa"/>
          </w:tcPr>
          <w:p w:rsidR="009C13A9" w:rsidRPr="009072DA" w:rsidRDefault="009C13A9" w:rsidP="009C13A9">
            <w:pPr>
              <w:spacing w:before="60" w:after="60" w:line="240" w:lineRule="atLeast"/>
              <w:rPr>
                <w:sz w:val="18"/>
                <w:szCs w:val="18"/>
                <w:lang w:val="bg-BG"/>
              </w:rPr>
            </w:pPr>
          </w:p>
        </w:tc>
      </w:tr>
      <w:tr w:rsidR="009C13A9" w:rsidRPr="009072DA" w:rsidTr="00EB3292">
        <w:trPr>
          <w:jc w:val="center"/>
        </w:trPr>
        <w:tc>
          <w:tcPr>
            <w:tcW w:w="1588" w:type="dxa"/>
          </w:tcPr>
          <w:p w:rsidR="009C13A9" w:rsidRPr="009072DA" w:rsidRDefault="009C13A9" w:rsidP="009C13A9">
            <w:pPr>
              <w:spacing w:before="60" w:after="60" w:line="240" w:lineRule="atLeast"/>
              <w:rPr>
                <w:sz w:val="18"/>
                <w:szCs w:val="18"/>
                <w:lang w:val="bg-BG"/>
              </w:rPr>
            </w:pPr>
            <w:r w:rsidRPr="009072DA">
              <w:rPr>
                <w:sz w:val="18"/>
                <w:lang w:val="bg-BG"/>
              </w:rPr>
              <w:t>Ефективност на отстраняване по ТВОФ</w:t>
            </w:r>
          </w:p>
        </w:tc>
        <w:tc>
          <w:tcPr>
            <w:tcW w:w="2325" w:type="dxa"/>
          </w:tcPr>
          <w:p w:rsidR="009C13A9" w:rsidRPr="009072DA" w:rsidRDefault="009C13A9" w:rsidP="009C13A9">
            <w:pPr>
              <w:spacing w:before="60" w:after="60" w:line="240" w:lineRule="atLeast"/>
              <w:rPr>
                <w:sz w:val="18"/>
                <w:szCs w:val="18"/>
                <w:lang w:val="bg-BG"/>
              </w:rPr>
            </w:pPr>
            <w:r w:rsidRPr="009072DA">
              <w:rPr>
                <w:sz w:val="18"/>
                <w:lang w:val="bg-BG"/>
              </w:rPr>
              <w:t>24-часови комбинирани проби</w:t>
            </w:r>
          </w:p>
        </w:tc>
        <w:tc>
          <w:tcPr>
            <w:tcW w:w="936" w:type="dxa"/>
          </w:tcPr>
          <w:p w:rsidR="009C13A9" w:rsidRPr="009072DA" w:rsidRDefault="009C13A9" w:rsidP="009C13A9">
            <w:pPr>
              <w:spacing w:before="60" w:after="60" w:line="240" w:lineRule="atLeast"/>
              <w:rPr>
                <w:sz w:val="18"/>
                <w:szCs w:val="18"/>
                <w:lang w:val="bg-BG"/>
              </w:rPr>
            </w:pPr>
          </w:p>
        </w:tc>
        <w:tc>
          <w:tcPr>
            <w:tcW w:w="858" w:type="dxa"/>
          </w:tcPr>
          <w:p w:rsidR="009C13A9" w:rsidRPr="009072DA" w:rsidRDefault="009C13A9" w:rsidP="009C13A9">
            <w:pPr>
              <w:spacing w:before="60" w:after="60" w:line="240" w:lineRule="atLeast"/>
              <w:rPr>
                <w:sz w:val="18"/>
                <w:szCs w:val="18"/>
                <w:lang w:val="bg-BG"/>
              </w:rPr>
            </w:pPr>
          </w:p>
        </w:tc>
        <w:tc>
          <w:tcPr>
            <w:tcW w:w="858" w:type="dxa"/>
          </w:tcPr>
          <w:p w:rsidR="009C13A9" w:rsidRPr="009072DA" w:rsidRDefault="009C13A9" w:rsidP="009C13A9">
            <w:pPr>
              <w:spacing w:before="60" w:after="60" w:line="240" w:lineRule="atLeast"/>
              <w:rPr>
                <w:sz w:val="18"/>
                <w:szCs w:val="18"/>
                <w:lang w:val="bg-BG"/>
              </w:rPr>
            </w:pPr>
          </w:p>
        </w:tc>
      </w:tr>
      <w:tr w:rsidR="009C13A9" w:rsidRPr="009072DA" w:rsidTr="00EB3292">
        <w:trPr>
          <w:jc w:val="center"/>
        </w:trPr>
        <w:tc>
          <w:tcPr>
            <w:tcW w:w="1588" w:type="dxa"/>
          </w:tcPr>
          <w:p w:rsidR="009C13A9" w:rsidRPr="009072DA" w:rsidRDefault="009C13A9" w:rsidP="009C13A9">
            <w:pPr>
              <w:spacing w:before="60" w:after="60" w:line="240" w:lineRule="atLeast"/>
              <w:rPr>
                <w:sz w:val="18"/>
                <w:szCs w:val="18"/>
                <w:lang w:val="bg-BG"/>
              </w:rPr>
            </w:pPr>
            <w:r w:rsidRPr="009072DA">
              <w:rPr>
                <w:sz w:val="18"/>
                <w:lang w:val="bg-BG"/>
              </w:rPr>
              <w:t>Ефективност на отстраняване по ТВОФ</w:t>
            </w:r>
          </w:p>
        </w:tc>
        <w:tc>
          <w:tcPr>
            <w:tcW w:w="2325" w:type="dxa"/>
          </w:tcPr>
          <w:p w:rsidR="009C13A9" w:rsidRPr="009072DA" w:rsidRDefault="009C13A9" w:rsidP="009C13A9">
            <w:pPr>
              <w:spacing w:before="60" w:after="60" w:line="240" w:lineRule="atLeast"/>
              <w:rPr>
                <w:sz w:val="18"/>
                <w:szCs w:val="18"/>
                <w:lang w:val="bg-BG"/>
              </w:rPr>
            </w:pPr>
            <w:r w:rsidRPr="009072DA">
              <w:rPr>
                <w:sz w:val="18"/>
                <w:lang w:val="bg-BG"/>
              </w:rPr>
              <w:t>Случайни проби</w:t>
            </w:r>
          </w:p>
        </w:tc>
        <w:tc>
          <w:tcPr>
            <w:tcW w:w="936" w:type="dxa"/>
          </w:tcPr>
          <w:p w:rsidR="009C13A9" w:rsidRPr="009072DA" w:rsidRDefault="009C13A9" w:rsidP="009C13A9">
            <w:pPr>
              <w:spacing w:before="60" w:after="60" w:line="240" w:lineRule="atLeast"/>
              <w:rPr>
                <w:sz w:val="18"/>
                <w:szCs w:val="18"/>
                <w:lang w:val="bg-BG"/>
              </w:rPr>
            </w:pPr>
          </w:p>
        </w:tc>
        <w:tc>
          <w:tcPr>
            <w:tcW w:w="858" w:type="dxa"/>
          </w:tcPr>
          <w:p w:rsidR="009C13A9" w:rsidRPr="009072DA" w:rsidRDefault="009C13A9" w:rsidP="009C13A9">
            <w:pPr>
              <w:spacing w:before="60" w:after="60" w:line="240" w:lineRule="atLeast"/>
              <w:rPr>
                <w:sz w:val="18"/>
                <w:szCs w:val="18"/>
                <w:lang w:val="bg-BG"/>
              </w:rPr>
            </w:pPr>
          </w:p>
        </w:tc>
        <w:tc>
          <w:tcPr>
            <w:tcW w:w="858" w:type="dxa"/>
          </w:tcPr>
          <w:p w:rsidR="009C13A9" w:rsidRPr="009072DA" w:rsidRDefault="009C13A9" w:rsidP="009C13A9">
            <w:pPr>
              <w:spacing w:before="60" w:after="60" w:line="240" w:lineRule="atLeast"/>
              <w:rPr>
                <w:sz w:val="18"/>
                <w:szCs w:val="18"/>
                <w:lang w:val="bg-BG"/>
              </w:rPr>
            </w:pPr>
          </w:p>
        </w:tc>
      </w:tr>
    </w:tbl>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 xml:space="preserve">Останалите параметри съгласно 3.3, буква б) — г) и работните параметри съгласно 3.3 се обобщават в таблица, в която се посочва минималният резултат от пробите (Мин.), максималният резултат от пробите (Макс.) и средноаритметичната стойност (Средно). </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rPr>
          <w:rFonts w:cs="Arial"/>
          <w:color w:val="000000"/>
          <w:lang w:val="bg-BG"/>
        </w:rPr>
      </w:pPr>
      <w:r w:rsidRPr="009072DA">
        <w:rPr>
          <w:color w:val="000000"/>
          <w:lang w:val="bg-BG"/>
        </w:rPr>
        <w:t>3.5</w:t>
      </w:r>
      <w:r w:rsidRPr="009072DA">
        <w:rPr>
          <w:lang w:val="bg-BG"/>
        </w:rPr>
        <w:tab/>
      </w:r>
      <w:r w:rsidRPr="009072DA">
        <w:rPr>
          <w:color w:val="000000"/>
          <w:lang w:val="bg-BG"/>
        </w:rPr>
        <w:t xml:space="preserve">Спазване на изискванията на глава 18 </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ind w:left="426"/>
        <w:rPr>
          <w:lang w:val="bg-BG"/>
        </w:rPr>
      </w:pPr>
      <w:r w:rsidRPr="009072DA">
        <w:rPr>
          <w:lang w:val="bg-BG"/>
        </w:rPr>
        <w:t xml:space="preserve">Пределните стойности съгласно член 18.01, точка 2, таблици 1 и 2 се считат за спазени, когато за всяка стойност на параметрите ХПК, </w:t>
      </w:r>
      <m:oMath>
        <m:sSub>
          <m:sSubPr>
            <m:ctrlPr>
              <w:rPr>
                <w:rFonts w:ascii="Cambria Math" w:hAnsi="Cambria Math"/>
                <w:i/>
                <w:lang w:val="bg-BG"/>
              </w:rPr>
            </m:ctrlPr>
          </m:sSubPr>
          <m:e>
            <m:r>
              <w:rPr>
                <w:rFonts w:ascii="Cambria Math" w:hAnsi="Cambria Math"/>
                <w:lang w:val="bg-BG"/>
              </w:rPr>
              <m:t>BOD</m:t>
            </m:r>
          </m:e>
          <m:sub>
            <m:r>
              <w:rPr>
                <w:rFonts w:ascii="Cambria Math" w:hAnsi="Cambria Math"/>
                <w:lang w:val="bg-BG"/>
              </w:rPr>
              <m:t>5</m:t>
            </m:r>
          </m:sub>
        </m:sSub>
      </m:oMath>
      <w:r w:rsidRPr="009072DA">
        <w:rPr>
          <w:lang w:val="bg-BG"/>
        </w:rPr>
        <w:t xml:space="preserve"> и ОСОВ:</w:t>
      </w:r>
    </w:p>
    <w:p w:rsidR="009C13A9" w:rsidRPr="009072DA" w:rsidRDefault="005C7859" w:rsidP="009C13A9">
      <w:pPr>
        <w:spacing w:before="60" w:line="240" w:lineRule="atLeast"/>
        <w:ind w:left="851"/>
        <w:rPr>
          <w:rFonts w:cs="Arial"/>
          <w:lang w:val="bg-BG"/>
        </w:rPr>
      </w:pPr>
      <w:r w:rsidRPr="009072DA">
        <w:rPr>
          <w:lang w:val="bg-BG"/>
        </w:rPr>
        <w:t>a)</w:t>
      </w:r>
      <w:r w:rsidRPr="009072DA">
        <w:rPr>
          <w:lang w:val="bg-BG"/>
        </w:rPr>
        <w:tab/>
        <w:t xml:space="preserve">средните стойности за всички 14 проби от изходящия поток и </w:t>
      </w:r>
    </w:p>
    <w:p w:rsidR="009C13A9" w:rsidRPr="009072DA" w:rsidRDefault="005C7859" w:rsidP="009C13A9">
      <w:pPr>
        <w:spacing w:before="60" w:line="240" w:lineRule="atLeast"/>
        <w:ind w:left="851"/>
        <w:rPr>
          <w:rFonts w:cs="Arial"/>
          <w:lang w:val="bg-BG"/>
        </w:rPr>
      </w:pPr>
      <w:r w:rsidRPr="009072DA">
        <w:rPr>
          <w:lang w:val="bg-BG"/>
        </w:rPr>
        <w:t>б)</w:t>
      </w:r>
      <w:r w:rsidRPr="009072DA">
        <w:rPr>
          <w:lang w:val="bg-BG"/>
        </w:rPr>
        <w:tab/>
        <w:t>поне 10 от всички 14 проби от изходящия поток не надвишават указаните пределни стойности за 24-часовите комбинирани проби и случайните проби.</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rPr>
          <w:rFonts w:cs="Arial"/>
          <w:color w:val="000000"/>
          <w:lang w:val="bg-BG"/>
        </w:rPr>
      </w:pPr>
      <w:r w:rsidRPr="009072DA">
        <w:rPr>
          <w:color w:val="000000"/>
          <w:lang w:val="bg-BG"/>
        </w:rPr>
        <w:lastRenderedPageBreak/>
        <w:t>3.6</w:t>
      </w:r>
      <w:r w:rsidRPr="009072DA">
        <w:rPr>
          <w:lang w:val="bg-BG"/>
        </w:rPr>
        <w:tab/>
      </w:r>
      <w:r w:rsidRPr="009072DA">
        <w:rPr>
          <w:color w:val="000000"/>
          <w:lang w:val="bg-BG"/>
        </w:rPr>
        <w:t xml:space="preserve">Работа и поддръжка по време на изпитването </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 xml:space="preserve">По време на изпитването изпитвателната пречиствателна станция се използва в съответствие със спецификациите на производителя. Текущ контрол и поддръжка трябва да се извършват в съответствие с ръководството за експлоатация и поддръжка на производителя. Излишните утайки, образувани при процеса на биологично пречистване, могат да бъдат отстранявани от бордовата станция за пречистване на отпадъчни води, ако това е указано от производителя в неговото ръководство за експлоатация и поддръжка. Всички извършени дейности по поддръжката се записват от техническата служба и се документират в протокола от изпитването. По време на изпитването неупълномощени лица не могат да имат достъп до изпитвателната пречиствателна станция. </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br w:type="page"/>
      </w:r>
    </w:p>
    <w:p w:rsidR="009C13A9" w:rsidRPr="009072DA" w:rsidRDefault="009C13A9" w:rsidP="009C13A9">
      <w:pPr>
        <w:spacing w:line="240" w:lineRule="atLeast"/>
        <w:rPr>
          <w:rFonts w:cs="Arial"/>
          <w:color w:val="000000"/>
          <w:lang w:val="bg-BG"/>
        </w:rPr>
      </w:pPr>
      <w:r w:rsidRPr="009072DA">
        <w:rPr>
          <w:color w:val="000000"/>
          <w:lang w:val="bg-BG"/>
        </w:rPr>
        <w:lastRenderedPageBreak/>
        <w:t>3.7</w:t>
      </w:r>
      <w:r w:rsidRPr="009072DA">
        <w:rPr>
          <w:lang w:val="bg-BG"/>
        </w:rPr>
        <w:tab/>
      </w:r>
      <w:r w:rsidRPr="009072DA">
        <w:rPr>
          <w:color w:val="000000"/>
          <w:lang w:val="bg-BG"/>
        </w:rPr>
        <w:t>Анализ на пробата/метод за анализ</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ind w:left="426"/>
        <w:rPr>
          <w:lang w:val="bg-BG"/>
        </w:rPr>
      </w:pPr>
      <w:r w:rsidRPr="009072DA">
        <w:rPr>
          <w:lang w:val="bg-BG"/>
        </w:rPr>
        <w:t>Параметрите, които трябва да бъдат изследвани, се анализират при използване на одобрени стандартни процедури. Прилаганата стандартна процедура трябва да бъде посочена.</w:t>
      </w:r>
    </w:p>
    <w:p w:rsidR="009C13A9" w:rsidRPr="009072DA" w:rsidRDefault="009C13A9" w:rsidP="009C13A9">
      <w:pPr>
        <w:spacing w:line="240" w:lineRule="atLeast"/>
        <w:ind w:left="426"/>
        <w:rPr>
          <w:lang w:val="bg-BG"/>
        </w:rPr>
      </w:pPr>
    </w:p>
    <w:p w:rsidR="009C13A9" w:rsidRPr="009072DA" w:rsidRDefault="009C13A9" w:rsidP="009C13A9">
      <w:pPr>
        <w:spacing w:line="240" w:lineRule="atLeast"/>
        <w:rPr>
          <w:rFonts w:cs="Arial"/>
          <w:b/>
          <w:color w:val="000000"/>
          <w:lang w:val="bg-BG"/>
        </w:rPr>
      </w:pPr>
      <w:r w:rsidRPr="009072DA">
        <w:rPr>
          <w:b/>
          <w:color w:val="000000"/>
          <w:lang w:val="bg-BG"/>
        </w:rPr>
        <w:t>4</w:t>
      </w:r>
      <w:r w:rsidRPr="009072DA">
        <w:rPr>
          <w:lang w:val="bg-BG"/>
        </w:rPr>
        <w:tab/>
      </w:r>
      <w:r w:rsidRPr="009072DA">
        <w:rPr>
          <w:b/>
          <w:color w:val="000000"/>
          <w:lang w:val="bg-BG"/>
        </w:rPr>
        <w:t>Протокол от изпитването</w:t>
      </w:r>
    </w:p>
    <w:p w:rsidR="009C13A9" w:rsidRPr="009072DA" w:rsidRDefault="009C13A9" w:rsidP="009C13A9">
      <w:pPr>
        <w:spacing w:line="240" w:lineRule="atLeast"/>
        <w:rPr>
          <w:rFonts w:cs="Arial"/>
          <w:color w:val="000000"/>
          <w:lang w:val="bg-BG"/>
        </w:rPr>
      </w:pPr>
    </w:p>
    <w:p w:rsidR="009C13A9" w:rsidRPr="009072DA" w:rsidRDefault="009C13A9" w:rsidP="009C13A9">
      <w:pPr>
        <w:spacing w:line="240" w:lineRule="atLeast"/>
        <w:rPr>
          <w:rFonts w:cs="Arial"/>
          <w:color w:val="000000"/>
          <w:lang w:val="bg-BG"/>
        </w:rPr>
      </w:pPr>
      <w:r w:rsidRPr="009072DA">
        <w:rPr>
          <w:color w:val="000000"/>
          <w:lang w:val="bg-BG"/>
        </w:rPr>
        <w:t>4.1</w:t>
      </w:r>
      <w:r w:rsidRPr="009072DA">
        <w:rPr>
          <w:lang w:val="bg-BG"/>
        </w:rPr>
        <w:tab/>
      </w:r>
      <w:r w:rsidRPr="009072DA">
        <w:rPr>
          <w:color w:val="000000"/>
          <w:lang w:val="bg-BG"/>
        </w:rPr>
        <w:t>От техническата служба се изисква да състави протокол относно проведеното изпитване на типа. Протоколът включва най-малко следната информация:</w:t>
      </w:r>
    </w:p>
    <w:p w:rsidR="009C13A9" w:rsidRPr="009072DA" w:rsidRDefault="005C7859" w:rsidP="009C13A9">
      <w:pPr>
        <w:spacing w:before="60" w:line="240" w:lineRule="atLeast"/>
        <w:ind w:left="851"/>
        <w:rPr>
          <w:rFonts w:cs="Arial"/>
          <w:lang w:val="bg-BG"/>
        </w:rPr>
      </w:pPr>
      <w:r w:rsidRPr="009072DA">
        <w:rPr>
          <w:lang w:val="bg-BG"/>
        </w:rPr>
        <w:t>a)</w:t>
      </w:r>
      <w:r w:rsidRPr="009072DA">
        <w:rPr>
          <w:lang w:val="bg-BG"/>
        </w:rPr>
        <w:tab/>
        <w:t>подробности за изпитваната пречиствателна станция, като например тип, информация за номиналното дневно замърсяване и за принципите на оразмеряване, приложени от производителя;</w:t>
      </w:r>
    </w:p>
    <w:p w:rsidR="009C13A9" w:rsidRPr="009072DA" w:rsidRDefault="005C7859" w:rsidP="009C13A9">
      <w:pPr>
        <w:spacing w:before="60" w:line="240" w:lineRule="atLeast"/>
        <w:ind w:left="851"/>
        <w:rPr>
          <w:rFonts w:cs="Arial"/>
          <w:lang w:val="bg-BG"/>
        </w:rPr>
      </w:pPr>
      <w:r w:rsidRPr="009072DA">
        <w:rPr>
          <w:lang w:val="bg-BG"/>
        </w:rPr>
        <w:t>б)</w:t>
      </w:r>
      <w:r w:rsidRPr="009072DA">
        <w:rPr>
          <w:lang w:val="bg-BG"/>
        </w:rPr>
        <w:tab/>
        <w:t>информация относно съответствието на изпитваната бордова станция за пречистване на отпадъчни води с представената преди изпитването документация;</w:t>
      </w:r>
    </w:p>
    <w:p w:rsidR="009C13A9" w:rsidRPr="009072DA" w:rsidRDefault="005C7859" w:rsidP="009C13A9">
      <w:pPr>
        <w:spacing w:before="60" w:line="240" w:lineRule="atLeast"/>
        <w:ind w:left="851"/>
        <w:rPr>
          <w:rFonts w:cs="Arial"/>
          <w:lang w:val="bg-BG"/>
        </w:rPr>
      </w:pPr>
      <w:r w:rsidRPr="009072DA">
        <w:rPr>
          <w:lang w:val="bg-BG"/>
        </w:rPr>
        <w:t>в)</w:t>
      </w:r>
      <w:r w:rsidRPr="009072DA">
        <w:rPr>
          <w:lang w:val="bg-BG"/>
        </w:rPr>
        <w:tab/>
        <w:t>информация за отделните резултати от измервания, както и за оценката на ефективността на пречистване на станцията и спазването на изискваните пределни стойности за изходящия поток;</w:t>
      </w:r>
    </w:p>
    <w:p w:rsidR="009C13A9" w:rsidRPr="009072DA" w:rsidRDefault="0029453D" w:rsidP="009C13A9">
      <w:pPr>
        <w:spacing w:before="60" w:line="240" w:lineRule="atLeast"/>
        <w:ind w:left="851"/>
        <w:rPr>
          <w:rFonts w:cs="Arial"/>
          <w:lang w:val="bg-BG"/>
        </w:rPr>
      </w:pPr>
      <w:r w:rsidRPr="009072DA">
        <w:rPr>
          <w:lang w:val="bg-BG"/>
        </w:rPr>
        <w:t>г)</w:t>
      </w:r>
      <w:r w:rsidRPr="009072DA">
        <w:rPr>
          <w:lang w:val="bg-BG"/>
        </w:rPr>
        <w:tab/>
        <w:t>подробности за отстраняването на излишните утайки, като например отстранените количества и честотата на отстраняване;</w:t>
      </w:r>
    </w:p>
    <w:p w:rsidR="009C13A9" w:rsidRPr="009072DA" w:rsidRDefault="0029453D" w:rsidP="009C13A9">
      <w:pPr>
        <w:spacing w:before="60" w:line="240" w:lineRule="atLeast"/>
        <w:ind w:left="851"/>
        <w:rPr>
          <w:rFonts w:cs="Arial"/>
          <w:lang w:val="bg-BG"/>
        </w:rPr>
      </w:pPr>
      <w:r w:rsidRPr="009072DA">
        <w:rPr>
          <w:lang w:val="bg-BG"/>
        </w:rPr>
        <w:t>д)</w:t>
      </w:r>
      <w:r w:rsidRPr="009072DA">
        <w:rPr>
          <w:lang w:val="bg-BG"/>
        </w:rPr>
        <w:tab/>
        <w:t>информация за всички работи по експлоатацията, поддръжката и ремонта, извършени по време на изпитването;</w:t>
      </w:r>
    </w:p>
    <w:p w:rsidR="009C13A9" w:rsidRPr="009072DA" w:rsidRDefault="0029453D" w:rsidP="009C13A9">
      <w:pPr>
        <w:spacing w:before="60" w:line="240" w:lineRule="atLeast"/>
        <w:ind w:left="851"/>
        <w:rPr>
          <w:rFonts w:cs="Arial"/>
          <w:lang w:val="bg-BG"/>
        </w:rPr>
      </w:pPr>
      <w:r w:rsidRPr="009072DA">
        <w:rPr>
          <w:lang w:val="bg-BG"/>
        </w:rPr>
        <w:t>е)</w:t>
      </w:r>
      <w:r w:rsidRPr="009072DA">
        <w:rPr>
          <w:lang w:val="bg-BG"/>
        </w:rPr>
        <w:tab/>
        <w:t>информация за всяко влошаване в качествата на бордова станция за пречистване на отпадъчни води, което възниква по време на изпитването, както и за всякакви прекъсвания на изпитването;</w:t>
      </w:r>
    </w:p>
    <w:p w:rsidR="009C13A9" w:rsidRPr="009072DA" w:rsidRDefault="0029453D" w:rsidP="009C13A9">
      <w:pPr>
        <w:spacing w:before="60" w:line="240" w:lineRule="atLeast"/>
        <w:ind w:left="851"/>
        <w:rPr>
          <w:rFonts w:cs="Arial"/>
          <w:lang w:val="bg-BG"/>
        </w:rPr>
      </w:pPr>
      <w:r w:rsidRPr="009072DA">
        <w:rPr>
          <w:lang w:val="bg-BG"/>
        </w:rPr>
        <w:t>ж)</w:t>
      </w:r>
      <w:r w:rsidRPr="009072DA">
        <w:rPr>
          <w:lang w:val="bg-BG"/>
        </w:rPr>
        <w:tab/>
        <w:t>информация за всякакви проблеми, възникващи по време на изпитването;</w:t>
      </w:r>
    </w:p>
    <w:p w:rsidR="009C13A9" w:rsidRPr="009072DA" w:rsidRDefault="0029453D" w:rsidP="009C13A9">
      <w:pPr>
        <w:spacing w:before="60" w:line="240" w:lineRule="atLeast"/>
        <w:ind w:left="851"/>
        <w:rPr>
          <w:rFonts w:cs="Arial"/>
          <w:lang w:val="bg-BG"/>
        </w:rPr>
      </w:pPr>
      <w:r w:rsidRPr="009072DA">
        <w:rPr>
          <w:lang w:val="bg-BG"/>
        </w:rPr>
        <w:t>з)</w:t>
      </w:r>
      <w:r w:rsidRPr="009072DA">
        <w:rPr>
          <w:lang w:val="bg-BG"/>
        </w:rPr>
        <w:tab/>
        <w:t>списък на отговорните лица, участващи в изпитването на типа на бордова станция за пречистване на отпадъчни води, с посочване на техните имена и длъжности;</w:t>
      </w:r>
    </w:p>
    <w:p w:rsidR="009C13A9" w:rsidRPr="009072DA" w:rsidRDefault="0029453D" w:rsidP="009C13A9">
      <w:pPr>
        <w:spacing w:before="60" w:line="240" w:lineRule="atLeast"/>
        <w:ind w:left="851"/>
        <w:rPr>
          <w:rFonts w:cs="Arial"/>
          <w:lang w:val="bg-BG"/>
        </w:rPr>
      </w:pPr>
      <w:r w:rsidRPr="009072DA">
        <w:rPr>
          <w:lang w:val="bg-BG"/>
        </w:rPr>
        <w:t>и)</w:t>
      </w:r>
      <w:r w:rsidRPr="009072DA">
        <w:rPr>
          <w:lang w:val="bg-BG"/>
        </w:rPr>
        <w:tab/>
        <w:t>име и адрес на лабораторията, която е извършила анализа на пробите от отпадъчни води;</w:t>
      </w:r>
    </w:p>
    <w:p w:rsidR="009C13A9" w:rsidRPr="009072DA" w:rsidRDefault="0029453D" w:rsidP="009C13A9">
      <w:pPr>
        <w:spacing w:before="60" w:line="240" w:lineRule="atLeast"/>
        <w:ind w:left="851"/>
        <w:rPr>
          <w:rFonts w:cs="Arial"/>
          <w:lang w:val="bg-BG"/>
        </w:rPr>
      </w:pPr>
      <w:r w:rsidRPr="009072DA">
        <w:rPr>
          <w:lang w:val="bg-BG"/>
        </w:rPr>
        <w:t>й)</w:t>
      </w:r>
      <w:r w:rsidRPr="009072DA">
        <w:rPr>
          <w:lang w:val="bg-BG"/>
        </w:rPr>
        <w:tab/>
        <w:t>прилагани методи за анализ.</w:t>
      </w:r>
    </w:p>
    <w:p w:rsidR="009C13A9" w:rsidRPr="009072DA" w:rsidRDefault="009C13A9" w:rsidP="009C13A9">
      <w:pPr>
        <w:spacing w:before="60" w:line="240" w:lineRule="atLeast"/>
        <w:ind w:left="851"/>
        <w:rPr>
          <w:rFonts w:cs="Arial"/>
          <w:szCs w:val="20"/>
          <w:lang w:val="bg-BG"/>
        </w:rPr>
      </w:pPr>
    </w:p>
    <w:p w:rsidR="009C13A9" w:rsidRPr="009072DA" w:rsidRDefault="009C13A9" w:rsidP="009C13A9">
      <w:pPr>
        <w:tabs>
          <w:tab w:val="left" w:pos="1021"/>
          <w:tab w:val="center" w:pos="8080"/>
        </w:tabs>
        <w:suppressAutoHyphens/>
        <w:spacing w:line="240" w:lineRule="atLeast"/>
        <w:rPr>
          <w:rFonts w:cs="Arial"/>
          <w:szCs w:val="20"/>
          <w:lang w:val="bg-BG"/>
        </w:rPr>
      </w:pPr>
      <w:r w:rsidRPr="009072DA">
        <w:rPr>
          <w:lang w:val="bg-BG"/>
        </w:rPr>
        <w:br w:type="page"/>
      </w:r>
    </w:p>
    <w:p w:rsidR="009C13A9" w:rsidRPr="009072DA" w:rsidRDefault="009C13A9" w:rsidP="009C13A9">
      <w:pPr>
        <w:suppressAutoHyphens/>
        <w:spacing w:line="240" w:lineRule="atLeast"/>
        <w:jc w:val="center"/>
        <w:rPr>
          <w:rFonts w:cs="Arial"/>
          <w:b/>
          <w:lang w:val="bg-BG"/>
        </w:rPr>
      </w:pPr>
      <w:r w:rsidRPr="009072DA">
        <w:rPr>
          <w:b/>
          <w:lang w:val="bg-BG"/>
        </w:rPr>
        <w:lastRenderedPageBreak/>
        <w:t>Допълнение 1</w:t>
      </w:r>
    </w:p>
    <w:p w:rsidR="009C13A9" w:rsidRPr="009072DA" w:rsidRDefault="009C13A9" w:rsidP="009C13A9">
      <w:pPr>
        <w:tabs>
          <w:tab w:val="left" w:pos="1021"/>
          <w:tab w:val="center" w:pos="8080"/>
        </w:tabs>
        <w:suppressAutoHyphens/>
        <w:spacing w:line="240" w:lineRule="atLeast"/>
        <w:jc w:val="center"/>
        <w:rPr>
          <w:rFonts w:cs="Arial"/>
          <w:b/>
          <w:lang w:val="bg-BG"/>
        </w:rPr>
      </w:pPr>
      <w:r w:rsidRPr="009072DA">
        <w:rPr>
          <w:b/>
          <w:lang w:val="bg-BG"/>
        </w:rPr>
        <w:t>Примери за последователности на изпитване</w:t>
      </w:r>
    </w:p>
    <w:p w:rsidR="009C13A9" w:rsidRPr="009072DA" w:rsidRDefault="009C13A9" w:rsidP="009C13A9">
      <w:pPr>
        <w:tabs>
          <w:tab w:val="left" w:pos="1021"/>
          <w:tab w:val="center" w:pos="8080"/>
        </w:tabs>
        <w:suppressAutoHyphens/>
        <w:spacing w:line="240" w:lineRule="atLeast"/>
        <w:rPr>
          <w:rFonts w:cs="Arial"/>
          <w:b/>
          <w:lang w:val="bg-BG"/>
        </w:rPr>
      </w:pPr>
    </w:p>
    <w:p w:rsidR="009C13A9" w:rsidRPr="009072DA" w:rsidRDefault="002C0BA5" w:rsidP="009C13A9">
      <w:pPr>
        <w:tabs>
          <w:tab w:val="left" w:leader="dot" w:pos="9072"/>
        </w:tabs>
        <w:spacing w:line="240" w:lineRule="atLeast"/>
        <w:rPr>
          <w:rFonts w:cs="Arial"/>
          <w:lang w:val="bg-BG"/>
        </w:rPr>
      </w:pPr>
      <w:r w:rsidRPr="009072DA">
        <w:rPr>
          <w:rFonts w:cs="Arial"/>
          <w:b/>
          <w:noProof/>
          <w:lang w:eastAsia="en-GB"/>
        </w:rPr>
        <mc:AlternateContent>
          <mc:Choice Requires="wps">
            <w:drawing>
              <wp:anchor distT="0" distB="0" distL="114300" distR="114300" simplePos="0" relativeHeight="251676672" behindDoc="0" locked="0" layoutInCell="1" allowOverlap="1" wp14:anchorId="38DFE983" wp14:editId="010E1A5D">
                <wp:simplePos x="0" y="0"/>
                <wp:positionH relativeFrom="column">
                  <wp:posOffset>1606550</wp:posOffset>
                </wp:positionH>
                <wp:positionV relativeFrom="paragraph">
                  <wp:posOffset>574675</wp:posOffset>
                </wp:positionV>
                <wp:extent cx="386715" cy="349250"/>
                <wp:effectExtent l="0" t="0" r="0" b="0"/>
                <wp:wrapNone/>
                <wp:docPr id="24"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FA5168" w:rsidRDefault="002B712C" w:rsidP="00716DF3">
                            <w:pPr>
                              <w:jc w:val="center"/>
                              <w:rPr>
                                <w:sz w:val="16"/>
                              </w:rPr>
                            </w:pPr>
                            <w:r>
                              <w:rPr>
                                <w:sz w:val="16"/>
                              </w:rPr>
                              <w:t>Пре-</w:t>
                            </w:r>
                            <w:r>
                              <w:rPr>
                                <w:sz w:val="16"/>
                              </w:rPr>
                              <w:br/>
                              <w:t>товарване</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3" o:spid="_x0000_s1027" type="#_x0000_t202" style="position:absolute;margin-left:126.5pt;margin-top:45.25pt;width:30.45pt;height:2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PGOhQIAAAw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" fillcolor="#37eb29" stroked="f">
                <v:textbox inset="0,1mm,0,0">
                  <w:txbxContent>
                    <w:p w:rsidR="002B712C" w:rsidRPr="00FA5168" w:rsidRDefault="002B712C" w:rsidP="00716DF3">
                      <w:pPr>
                        <w:jc w:val="center"/>
                        <w:rPr>
                          <w:sz w:val="16"/>
                        </w:rPr>
                      </w:pPr>
                      <w:r>
                        <w:rPr>
                          <w:sz w:val="16"/>
                        </w:rPr>
                        <w:t>Пре-</w:t>
                      </w:r>
                      <w:r>
                        <w:rPr>
                          <w:sz w:val="16"/>
                        </w:rPr>
                        <w:br/>
                        <w:t>товарване</w:t>
                      </w:r>
                    </w:p>
                  </w:txbxContent>
                </v:textbox>
              </v:shape>
            </w:pict>
          </mc:Fallback>
        </mc:AlternateContent>
      </w:r>
      <w:r w:rsidRPr="009072DA">
        <w:rPr>
          <w:rFonts w:cs="Arial"/>
          <w:b/>
          <w:noProof/>
          <w:lang w:eastAsia="en-GB"/>
        </w:rPr>
        <mc:AlternateContent>
          <mc:Choice Requires="wps">
            <w:drawing>
              <wp:anchor distT="0" distB="0" distL="114300" distR="114300" simplePos="0" relativeHeight="251677696" behindDoc="0" locked="0" layoutInCell="1" allowOverlap="1" wp14:anchorId="1516181C" wp14:editId="0BA7B81A">
                <wp:simplePos x="0" y="0"/>
                <wp:positionH relativeFrom="column">
                  <wp:posOffset>2813685</wp:posOffset>
                </wp:positionH>
                <wp:positionV relativeFrom="paragraph">
                  <wp:posOffset>573405</wp:posOffset>
                </wp:positionV>
                <wp:extent cx="386715" cy="349250"/>
                <wp:effectExtent l="0" t="0" r="0" b="0"/>
                <wp:wrapNone/>
                <wp:docPr id="27"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FA5168" w:rsidRDefault="002B712C" w:rsidP="00716DF3">
                            <w:pPr>
                              <w:jc w:val="center"/>
                              <w:rPr>
                                <w:sz w:val="16"/>
                              </w:rPr>
                            </w:pPr>
                            <w:r>
                              <w:rPr>
                                <w:sz w:val="16"/>
                              </w:rPr>
                              <w:t>Недо-</w:t>
                            </w:r>
                            <w:r>
                              <w:rPr>
                                <w:sz w:val="16"/>
                              </w:rPr>
                              <w:br/>
                              <w:t>натоварване</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4" o:spid="_x0000_s1028" type="#_x0000_t202" style="position:absolute;margin-left:221.55pt;margin-top:45.15pt;width:30.45pt;height:2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" fillcolor="#37eb29" stroked="f">
                <v:textbox inset="0,1mm,0,0">
                  <w:txbxContent>
                    <w:p w:rsidR="002B712C" w:rsidRPr="00FA5168" w:rsidRDefault="002B712C" w:rsidP="00716DF3">
                      <w:pPr>
                        <w:jc w:val="center"/>
                        <w:rPr>
                          <w:sz w:val="16"/>
                        </w:rPr>
                      </w:pPr>
                      <w:r>
                        <w:rPr>
                          <w:sz w:val="16"/>
                        </w:rPr>
                        <w:t>Недо-</w:t>
                      </w:r>
                      <w:r>
                        <w:rPr>
                          <w:sz w:val="16"/>
                        </w:rPr>
                        <w:br/>
                        <w:t>натоварване</w:t>
                      </w:r>
                    </w:p>
                  </w:txbxContent>
                </v:textbox>
              </v:shape>
            </w:pict>
          </mc:Fallback>
        </mc:AlternateContent>
      </w:r>
      <w:r w:rsidRPr="009072DA">
        <w:rPr>
          <w:rFonts w:cs="Arial"/>
          <w:b/>
          <w:noProof/>
          <w:lang w:eastAsia="en-GB"/>
        </w:rPr>
        <mc:AlternateContent>
          <mc:Choice Requires="wps">
            <w:drawing>
              <wp:anchor distT="0" distB="0" distL="114300" distR="114300" simplePos="0" relativeHeight="251675648" behindDoc="0" locked="0" layoutInCell="1" allowOverlap="1" wp14:anchorId="3C4E78D4" wp14:editId="297E21C4">
                <wp:simplePos x="0" y="0"/>
                <wp:positionH relativeFrom="column">
                  <wp:posOffset>213995</wp:posOffset>
                </wp:positionH>
                <wp:positionV relativeFrom="paragraph">
                  <wp:posOffset>813435</wp:posOffset>
                </wp:positionV>
                <wp:extent cx="300355" cy="2115820"/>
                <wp:effectExtent l="0" t="0" r="4445" b="0"/>
                <wp:wrapNone/>
                <wp:docPr id="30" name="Text Box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11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F9734D" w:rsidRDefault="002B712C" w:rsidP="00F9734D">
                            <w:pPr>
                              <w:jc w:val="center"/>
                              <w:rPr>
                                <w:b/>
                                <w:color w:val="0070C0"/>
                              </w:rPr>
                            </w:pPr>
                            <w:r>
                              <w:rPr>
                                <w:b/>
                                <w:color w:val="0070C0"/>
                              </w:rPr>
                              <w:t>Хидравличен товар Q</w:t>
                            </w:r>
                            <w:r>
                              <w:rPr>
                                <w:b/>
                                <w:color w:val="0070C0"/>
                                <w:vertAlign w:val="subscript"/>
                              </w:rPr>
                              <w:t>d</w:t>
                            </w:r>
                            <w:r>
                              <w:rPr>
                                <w:b/>
                                <w:color w:val="0070C0"/>
                              </w:rPr>
                              <w:t xml:space="preserve"> [%]</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6" o:spid="_x0000_s1029" type="#_x0000_t202" style="position:absolute;margin-left:16.85pt;margin-top:64.05pt;width:23.65pt;height:166.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" stroked="f">
                <v:textbox style="layout-flow:vertical;mso-layout-flow-alt:bottom-to-top" inset="0,0,0,0">
                  <w:txbxContent>
                    <w:p w:rsidR="002B712C" w:rsidRPr="00F9734D" w:rsidRDefault="002B712C" w:rsidP="00F9734D">
                      <w:pPr>
                        <w:jc w:val="center"/>
                        <w:rPr>
                          <w:b/>
                          <w:color w:val="0070C0"/>
                        </w:rPr>
                      </w:pPr>
                      <w:r>
                        <w:rPr>
                          <w:b/>
                          <w:color w:val="0070C0"/>
                        </w:rPr>
                        <w:t>Хидравличен товар Q</w:t>
                      </w:r>
                      <w:r>
                        <w:rPr>
                          <w:b/>
                          <w:color w:val="0070C0"/>
                          <w:vertAlign w:val="subscript"/>
                        </w:rPr>
                        <w:t>d</w:t>
                      </w:r>
                      <w:r>
                        <w:rPr>
                          <w:b/>
                          <w:color w:val="0070C0"/>
                        </w:rPr>
                        <w:t xml:space="preserve"> [%]</w:t>
                      </w:r>
                    </w:p>
                  </w:txbxContent>
                </v:textbox>
              </v:shape>
            </w:pict>
          </mc:Fallback>
        </mc:AlternateContent>
      </w:r>
      <w:r w:rsidRPr="009072DA">
        <w:rPr>
          <w:rFonts w:cs="Arial"/>
          <w:b/>
          <w:noProof/>
          <w:lang w:eastAsia="en-GB"/>
        </w:rPr>
        <mc:AlternateContent>
          <mc:Choice Requires="wps">
            <w:drawing>
              <wp:anchor distT="0" distB="0" distL="114300" distR="114300" simplePos="0" relativeHeight="251674624" behindDoc="0" locked="0" layoutInCell="1" allowOverlap="1" wp14:anchorId="66E215AC" wp14:editId="0A664D8A">
                <wp:simplePos x="0" y="0"/>
                <wp:positionH relativeFrom="column">
                  <wp:posOffset>4683760</wp:posOffset>
                </wp:positionH>
                <wp:positionV relativeFrom="paragraph">
                  <wp:posOffset>569595</wp:posOffset>
                </wp:positionV>
                <wp:extent cx="539115" cy="349250"/>
                <wp:effectExtent l="0" t="0" r="0" b="0"/>
                <wp:wrapNone/>
                <wp:docPr id="38" name="Text Box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FA5168" w:rsidRDefault="002B712C" w:rsidP="00F9734D">
                            <w:pPr>
                              <w:jc w:val="center"/>
                              <w:rPr>
                                <w:sz w:val="16"/>
                              </w:rPr>
                            </w:pPr>
                            <w:r>
                              <w:rPr>
                                <w:sz w:val="16"/>
                              </w:rPr>
                              <w:t xml:space="preserve">Нормално </w:t>
                            </w:r>
                            <w:r>
                              <w:rPr>
                                <w:sz w:val="16"/>
                              </w:rPr>
                              <w:br/>
                              <w:t>натоварване</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5" o:spid="_x0000_s1030" type="#_x0000_t202" style="position:absolute;margin-left:368.8pt;margin-top:44.85pt;width:42.45pt;height:2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" fillcolor="#59bb9a" stroked="f">
                <v:textbox inset="0,1mm,0,0">
                  <w:txbxContent>
                    <w:p w:rsidR="002B712C" w:rsidRPr="00FA5168" w:rsidRDefault="002B712C" w:rsidP="00F9734D">
                      <w:pPr>
                        <w:jc w:val="center"/>
                        <w:rPr>
                          <w:sz w:val="16"/>
                        </w:rPr>
                      </w:pPr>
                      <w:r>
                        <w:rPr>
                          <w:sz w:val="16"/>
                        </w:rPr>
                        <w:t xml:space="preserve">Нормално </w:t>
                      </w:r>
                      <w:r>
                        <w:rPr>
                          <w:sz w:val="16"/>
                        </w:rPr>
                        <w:br/>
                        <w:t>натоварване</w:t>
                      </w:r>
                    </w:p>
                  </w:txbxContent>
                </v:textbox>
              </v:shape>
            </w:pict>
          </mc:Fallback>
        </mc:AlternateContent>
      </w:r>
      <w:r w:rsidRPr="009072DA">
        <w:rPr>
          <w:rFonts w:cs="Arial"/>
          <w:b/>
          <w:noProof/>
          <w:lang w:eastAsia="en-GB"/>
        </w:rPr>
        <mc:AlternateContent>
          <mc:Choice Requires="wps">
            <w:drawing>
              <wp:anchor distT="0" distB="0" distL="114300" distR="114300" simplePos="0" relativeHeight="251673600" behindDoc="0" locked="0" layoutInCell="1" allowOverlap="1" wp14:anchorId="11B969BF" wp14:editId="111A8A39">
                <wp:simplePos x="0" y="0"/>
                <wp:positionH relativeFrom="column">
                  <wp:posOffset>3332480</wp:posOffset>
                </wp:positionH>
                <wp:positionV relativeFrom="paragraph">
                  <wp:posOffset>569595</wp:posOffset>
                </wp:positionV>
                <wp:extent cx="539115" cy="349250"/>
                <wp:effectExtent l="0" t="0" r="0" b="0"/>
                <wp:wrapNone/>
                <wp:docPr id="42" name="Text 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FA5168" w:rsidRDefault="002B712C" w:rsidP="00F9734D">
                            <w:pPr>
                              <w:jc w:val="center"/>
                              <w:rPr>
                                <w:sz w:val="16"/>
                              </w:rPr>
                            </w:pPr>
                            <w:r>
                              <w:rPr>
                                <w:sz w:val="16"/>
                              </w:rPr>
                              <w:t xml:space="preserve">Нормално </w:t>
                            </w:r>
                            <w:r>
                              <w:rPr>
                                <w:sz w:val="16"/>
                              </w:rPr>
                              <w:br/>
                              <w:t>натоварване</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4" o:spid="_x0000_s1031" type="#_x0000_t202" style="position:absolute;margin-left:262.4pt;margin-top:44.85pt;width:42.45pt;height:2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" fillcolor="#59bb9a" stroked="f">
                <v:textbox inset="0,1mm,0,0">
                  <w:txbxContent>
                    <w:p w:rsidR="002B712C" w:rsidRPr="00FA5168" w:rsidRDefault="002B712C" w:rsidP="00F9734D">
                      <w:pPr>
                        <w:jc w:val="center"/>
                        <w:rPr>
                          <w:sz w:val="16"/>
                        </w:rPr>
                      </w:pPr>
                      <w:r>
                        <w:rPr>
                          <w:sz w:val="16"/>
                        </w:rPr>
                        <w:t xml:space="preserve">Нормално </w:t>
                      </w:r>
                      <w:r>
                        <w:rPr>
                          <w:sz w:val="16"/>
                        </w:rPr>
                        <w:br/>
                        <w:t>натоварване</w:t>
                      </w:r>
                    </w:p>
                  </w:txbxContent>
                </v:textbox>
              </v:shape>
            </w:pict>
          </mc:Fallback>
        </mc:AlternateContent>
      </w:r>
      <w:r w:rsidRPr="009072DA">
        <w:rPr>
          <w:rFonts w:cs="Arial"/>
          <w:noProof/>
          <w:szCs w:val="20"/>
          <w:lang w:eastAsia="en-GB"/>
        </w:rPr>
        <mc:AlternateContent>
          <mc:Choice Requires="wps">
            <w:drawing>
              <wp:anchor distT="0" distB="0" distL="114300" distR="114300" simplePos="0" relativeHeight="251672576" behindDoc="0" locked="0" layoutInCell="1" allowOverlap="1" wp14:anchorId="42356B46" wp14:editId="1661299C">
                <wp:simplePos x="0" y="0"/>
                <wp:positionH relativeFrom="column">
                  <wp:posOffset>2131695</wp:posOffset>
                </wp:positionH>
                <wp:positionV relativeFrom="paragraph">
                  <wp:posOffset>569595</wp:posOffset>
                </wp:positionV>
                <wp:extent cx="539115" cy="349250"/>
                <wp:effectExtent l="0" t="0" r="0" b="0"/>
                <wp:wrapNone/>
                <wp:docPr id="45"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FA5168" w:rsidRDefault="002B712C" w:rsidP="00F9734D">
                            <w:pPr>
                              <w:jc w:val="center"/>
                              <w:rPr>
                                <w:sz w:val="16"/>
                              </w:rPr>
                            </w:pPr>
                            <w:r>
                              <w:rPr>
                                <w:sz w:val="16"/>
                              </w:rPr>
                              <w:t xml:space="preserve">Нормално </w:t>
                            </w:r>
                            <w:r>
                              <w:rPr>
                                <w:sz w:val="16"/>
                              </w:rPr>
                              <w:br/>
                              <w:t>натоварване</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3" o:spid="_x0000_s1032" type="#_x0000_t202" style="position:absolute;margin-left:167.85pt;margin-top:44.85pt;width:42.45pt;height:2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" fillcolor="#59bb9a" stroked="f">
                <v:textbox inset="0,1mm,0,0">
                  <w:txbxContent>
                    <w:p w:rsidR="002B712C" w:rsidRPr="00FA5168" w:rsidRDefault="002B712C" w:rsidP="00F9734D">
                      <w:pPr>
                        <w:jc w:val="center"/>
                        <w:rPr>
                          <w:sz w:val="16"/>
                        </w:rPr>
                      </w:pPr>
                      <w:r>
                        <w:rPr>
                          <w:sz w:val="16"/>
                        </w:rPr>
                        <w:t xml:space="preserve">Нормално </w:t>
                      </w:r>
                      <w:r>
                        <w:rPr>
                          <w:sz w:val="16"/>
                        </w:rPr>
                        <w:br/>
                        <w:t>натоварване</w:t>
                      </w:r>
                    </w:p>
                  </w:txbxContent>
                </v:textbox>
              </v:shape>
            </w:pict>
          </mc:Fallback>
        </mc:AlternateContent>
      </w:r>
      <w:r w:rsidRPr="009072DA">
        <w:rPr>
          <w:rFonts w:cs="Arial"/>
          <w:noProof/>
          <w:szCs w:val="20"/>
          <w:lang w:eastAsia="en-GB"/>
        </w:rPr>
        <mc:AlternateContent>
          <mc:Choice Requires="wps">
            <w:drawing>
              <wp:anchor distT="0" distB="0" distL="114300" distR="114300" simplePos="0" relativeHeight="251671552" behindDoc="0" locked="0" layoutInCell="1" allowOverlap="1" wp14:anchorId="2885FC99" wp14:editId="37383287">
                <wp:simplePos x="0" y="0"/>
                <wp:positionH relativeFrom="column">
                  <wp:posOffset>928370</wp:posOffset>
                </wp:positionH>
                <wp:positionV relativeFrom="paragraph">
                  <wp:posOffset>569595</wp:posOffset>
                </wp:positionV>
                <wp:extent cx="539115" cy="349250"/>
                <wp:effectExtent l="0" t="0" r="0" b="0"/>
                <wp:wrapNone/>
                <wp:docPr id="46"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FA5168" w:rsidRDefault="002B712C" w:rsidP="00FA5168">
                            <w:pPr>
                              <w:jc w:val="center"/>
                              <w:rPr>
                                <w:sz w:val="16"/>
                              </w:rPr>
                            </w:pPr>
                            <w:r>
                              <w:rPr>
                                <w:sz w:val="16"/>
                              </w:rPr>
                              <w:t xml:space="preserve">Нормално </w:t>
                            </w:r>
                            <w:r>
                              <w:rPr>
                                <w:sz w:val="16"/>
                              </w:rPr>
                              <w:br/>
                              <w:t>натоварване</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2" o:spid="_x0000_s1033" type="#_x0000_t202" style="position:absolute;margin-left:73.1pt;margin-top:44.85pt;width:42.45pt;height:2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" fillcolor="#59bb9a" stroked="f">
                <v:textbox inset="0,1mm,0,0">
                  <w:txbxContent>
                    <w:p w:rsidR="002B712C" w:rsidRPr="00FA5168" w:rsidRDefault="002B712C" w:rsidP="00FA5168">
                      <w:pPr>
                        <w:jc w:val="center"/>
                        <w:rPr>
                          <w:sz w:val="16"/>
                        </w:rPr>
                      </w:pPr>
                      <w:r>
                        <w:rPr>
                          <w:sz w:val="16"/>
                        </w:rPr>
                        <w:t xml:space="preserve">Нормално </w:t>
                      </w:r>
                      <w:r>
                        <w:rPr>
                          <w:sz w:val="16"/>
                        </w:rPr>
                        <w:br/>
                        <w:t>натоварване</w:t>
                      </w:r>
                    </w:p>
                  </w:txbxContent>
                </v:textbox>
              </v:shape>
            </w:pict>
          </mc:Fallback>
        </mc:AlternateContent>
      </w:r>
      <w:r w:rsidRPr="009072DA">
        <w:rPr>
          <w:rFonts w:cs="Arial"/>
          <w:noProof/>
          <w:lang w:eastAsia="en-GB"/>
        </w:rPr>
        <w:drawing>
          <wp:anchor distT="0" distB="0" distL="0" distR="0" simplePos="0" relativeHeight="251670528" behindDoc="0" locked="0" layoutInCell="1" allowOverlap="1" wp14:anchorId="01F740AF" wp14:editId="057932AC">
            <wp:simplePos x="0" y="0"/>
            <wp:positionH relativeFrom="column">
              <wp:posOffset>9525</wp:posOffset>
            </wp:positionH>
            <wp:positionV relativeFrom="paragraph">
              <wp:posOffset>177165</wp:posOffset>
            </wp:positionV>
            <wp:extent cx="5732780" cy="3655695"/>
            <wp:effectExtent l="0" t="0" r="1270" b="1905"/>
            <wp:wrapTopAndBottom/>
            <wp:docPr id="48"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32780" cy="3655695"/>
                    </a:xfrm>
                    <a:prstGeom prst="rect">
                      <a:avLst/>
                    </a:prstGeom>
                    <a:solidFill>
                      <a:srgbClr val="FFFFFF"/>
                    </a:solidFill>
                    <a:ln>
                      <a:noFill/>
                    </a:ln>
                  </pic:spPr>
                </pic:pic>
              </a:graphicData>
            </a:graphic>
          </wp:anchor>
        </w:drawing>
      </w:r>
      <w:r w:rsidRPr="009072DA">
        <w:rPr>
          <w:lang w:val="bg-BG"/>
        </w:rPr>
        <w:t>Пример 1</w:t>
      </w:r>
    </w:p>
    <w:p w:rsidR="009C13A9" w:rsidRPr="009072DA" w:rsidRDefault="002C0BA5" w:rsidP="009C13A9">
      <w:pPr>
        <w:tabs>
          <w:tab w:val="left" w:leader="dot" w:pos="9072"/>
        </w:tabs>
        <w:spacing w:line="240" w:lineRule="atLeast"/>
        <w:rPr>
          <w:rFonts w:cs="Arial"/>
          <w:lang w:val="bg-BG"/>
        </w:rPr>
      </w:pPr>
      <w:r w:rsidRPr="009072DA">
        <w:rPr>
          <w:rFonts w:cs="Arial"/>
          <w:b/>
          <w:noProof/>
          <w:lang w:eastAsia="en-GB"/>
        </w:rPr>
        <mc:AlternateContent>
          <mc:Choice Requires="wps">
            <w:drawing>
              <wp:anchor distT="0" distB="0" distL="114300" distR="114300" simplePos="0" relativeHeight="251667456" behindDoc="0" locked="0" layoutInCell="1" allowOverlap="1" wp14:anchorId="1599B3B3" wp14:editId="448FA1E1">
                <wp:simplePos x="0" y="0"/>
                <wp:positionH relativeFrom="column">
                  <wp:posOffset>2661285</wp:posOffset>
                </wp:positionH>
                <wp:positionV relativeFrom="paragraph">
                  <wp:posOffset>3399155</wp:posOffset>
                </wp:positionV>
                <wp:extent cx="539115" cy="211455"/>
                <wp:effectExtent l="0" t="0" r="0" b="0"/>
                <wp:wrapNone/>
                <wp:docPr id="20" name="Text 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FA5168" w:rsidRDefault="002B712C" w:rsidP="00067BB9">
                            <w:pPr>
                              <w:jc w:val="center"/>
                              <w:rPr>
                                <w:sz w:val="16"/>
                              </w:rPr>
                            </w:pPr>
                            <w:r>
                              <w:rPr>
                                <w:sz w:val="16"/>
                              </w:rPr>
                              <w:t>Ден</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7" o:spid="_x0000_s1034" type="#_x0000_t202" style="position:absolute;margin-left:209.55pt;margin-top:267.65pt;width:42.45pt;height:16.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" stroked="f">
                <v:textbox inset="0,1mm,0,0">
                  <w:txbxContent>
                    <w:p w:rsidR="002B712C" w:rsidRPr="00FA5168" w:rsidRDefault="002B712C" w:rsidP="00067BB9">
                      <w:pPr>
                        <w:jc w:val="center"/>
                        <w:rPr>
                          <w:sz w:val="16"/>
                        </w:rPr>
                      </w:pPr>
                      <w:r>
                        <w:rPr>
                          <w:sz w:val="16"/>
                        </w:rPr>
                        <w:t>Ден</w:t>
                      </w:r>
                    </w:p>
                  </w:txbxContent>
                </v:textbox>
              </v:shape>
            </w:pict>
          </mc:Fallback>
        </mc:AlternateContent>
      </w:r>
    </w:p>
    <w:p w:rsidR="009C13A9" w:rsidRPr="009072DA" w:rsidRDefault="00E43E4C" w:rsidP="009C13A9">
      <w:pPr>
        <w:tabs>
          <w:tab w:val="left" w:leader="dot" w:pos="9072"/>
        </w:tabs>
        <w:spacing w:line="240" w:lineRule="atLeast"/>
        <w:rPr>
          <w:rFonts w:cs="Arial"/>
          <w:lang w:val="bg-BG"/>
        </w:rPr>
      </w:pPr>
      <w:r w:rsidRPr="009072DA">
        <w:rPr>
          <w:rFonts w:cs="Arial"/>
          <w:noProof/>
          <w:lang w:eastAsia="en-GB"/>
        </w:rPr>
        <w:drawing>
          <wp:anchor distT="0" distB="0" distL="0" distR="0" simplePos="0" relativeHeight="251679744" behindDoc="0" locked="0" layoutInCell="1" allowOverlap="1" wp14:anchorId="55420E5F" wp14:editId="622E2DC6">
            <wp:simplePos x="0" y="0"/>
            <wp:positionH relativeFrom="column">
              <wp:posOffset>9525</wp:posOffset>
            </wp:positionH>
            <wp:positionV relativeFrom="paragraph">
              <wp:posOffset>307340</wp:posOffset>
            </wp:positionV>
            <wp:extent cx="5732780" cy="3558540"/>
            <wp:effectExtent l="0" t="0" r="1270" b="3810"/>
            <wp:wrapTopAndBottom/>
            <wp:docPr id="52"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732780" cy="3558540"/>
                    </a:xfrm>
                    <a:prstGeom prst="rect">
                      <a:avLst/>
                    </a:prstGeom>
                    <a:solidFill>
                      <a:srgbClr val="FFFFFF"/>
                    </a:solidFill>
                    <a:ln>
                      <a:noFill/>
                    </a:ln>
                  </pic:spPr>
                </pic:pic>
              </a:graphicData>
            </a:graphic>
          </wp:anchor>
        </w:drawing>
      </w:r>
      <w:r w:rsidRPr="009072DA">
        <w:rPr>
          <w:lang w:val="bg-BG"/>
        </w:rPr>
        <w:t>Пример 2</w:t>
      </w:r>
    </w:p>
    <w:p w:rsidR="009C13A9" w:rsidRPr="009072DA" w:rsidRDefault="002C0BA5" w:rsidP="009C13A9">
      <w:pPr>
        <w:spacing w:line="240" w:lineRule="atLeast"/>
        <w:rPr>
          <w:rFonts w:cs="Arial"/>
          <w:color w:val="000000"/>
          <w:lang w:val="bg-BG"/>
        </w:rPr>
      </w:pPr>
      <w:r w:rsidRPr="009072DA">
        <w:rPr>
          <w:rFonts w:cs="Arial"/>
          <w:noProof/>
          <w:lang w:eastAsia="en-GB"/>
        </w:rPr>
        <w:lastRenderedPageBreak/>
        <mc:AlternateContent>
          <mc:Choice Requires="wps">
            <w:drawing>
              <wp:anchor distT="0" distB="0" distL="114300" distR="114300" simplePos="0" relativeHeight="251668480" behindDoc="0" locked="0" layoutInCell="1" allowOverlap="1" wp14:anchorId="209EE7EA" wp14:editId="0B33AD77">
                <wp:simplePos x="0" y="0"/>
                <wp:positionH relativeFrom="column">
                  <wp:posOffset>2661285</wp:posOffset>
                </wp:positionH>
                <wp:positionV relativeFrom="paragraph">
                  <wp:posOffset>3549650</wp:posOffset>
                </wp:positionV>
                <wp:extent cx="539115" cy="211455"/>
                <wp:effectExtent l="0" t="0" r="0" b="0"/>
                <wp:wrapNone/>
                <wp:docPr id="19" name="Text 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FA5168" w:rsidRDefault="002B712C" w:rsidP="00067BB9">
                            <w:pPr>
                              <w:jc w:val="center"/>
                              <w:rPr>
                                <w:sz w:val="16"/>
                              </w:rPr>
                            </w:pPr>
                            <w:r>
                              <w:rPr>
                                <w:sz w:val="16"/>
                              </w:rPr>
                              <w:t>Ден</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8" o:spid="_x0000_s1035" type="#_x0000_t202" style="position:absolute;margin-left:209.55pt;margin-top:279.5pt;width:42.45pt;height:16.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" stroked="f">
                <v:textbox inset="0,1mm,0,0">
                  <w:txbxContent>
                    <w:p w:rsidR="002B712C" w:rsidRPr="00FA5168" w:rsidRDefault="002B712C" w:rsidP="00067BB9">
                      <w:pPr>
                        <w:jc w:val="center"/>
                        <w:rPr>
                          <w:sz w:val="16"/>
                        </w:rPr>
                      </w:pPr>
                      <w:r>
                        <w:rPr>
                          <w:sz w:val="16"/>
                        </w:rPr>
                        <w:t>Ден</w:t>
                      </w:r>
                    </w:p>
                  </w:txbxContent>
                </v:textbox>
              </v:shape>
            </w:pict>
          </mc:Fallback>
        </mc:AlternateContent>
      </w:r>
      <w:r w:rsidRPr="009072DA">
        <w:rPr>
          <w:rFonts w:cs="Arial"/>
          <w:b/>
          <w:noProof/>
          <w:lang w:eastAsia="en-GB"/>
        </w:rPr>
        <mc:AlternateContent>
          <mc:Choice Requires="wps">
            <w:drawing>
              <wp:anchor distT="0" distB="0" distL="114300" distR="114300" simplePos="0" relativeHeight="251666432" behindDoc="0" locked="0" layoutInCell="1" allowOverlap="1" wp14:anchorId="58925D36" wp14:editId="020EB630">
                <wp:simplePos x="0" y="0"/>
                <wp:positionH relativeFrom="column">
                  <wp:posOffset>2904490</wp:posOffset>
                </wp:positionH>
                <wp:positionV relativeFrom="paragraph">
                  <wp:posOffset>431165</wp:posOffset>
                </wp:positionV>
                <wp:extent cx="386715" cy="349250"/>
                <wp:effectExtent l="0" t="0" r="0" b="0"/>
                <wp:wrapNone/>
                <wp:docPr id="18" name="Text 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FA5168" w:rsidRDefault="002B712C" w:rsidP="00716DF3">
                            <w:pPr>
                              <w:jc w:val="center"/>
                              <w:rPr>
                                <w:sz w:val="16"/>
                              </w:rPr>
                            </w:pPr>
                            <w:r>
                              <w:rPr>
                                <w:sz w:val="16"/>
                              </w:rPr>
                              <w:t>Недо-</w:t>
                            </w:r>
                            <w:r>
                              <w:rPr>
                                <w:sz w:val="16"/>
                              </w:rPr>
                              <w:br/>
                              <w:t>натоварване</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6" o:spid="_x0000_s1036" type="#_x0000_t202" style="position:absolute;margin-left:228.7pt;margin-top:33.95pt;width:30.45pt;height:2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uathAIAAA0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" fillcolor="#37eb29" stroked="f">
                <v:textbox inset="0,1mm,0,0">
                  <w:txbxContent>
                    <w:p w:rsidR="002B712C" w:rsidRPr="00FA5168" w:rsidRDefault="002B712C" w:rsidP="00716DF3">
                      <w:pPr>
                        <w:jc w:val="center"/>
                        <w:rPr>
                          <w:sz w:val="16"/>
                        </w:rPr>
                      </w:pPr>
                      <w:r>
                        <w:rPr>
                          <w:sz w:val="16"/>
                        </w:rPr>
                        <w:t>Недо-</w:t>
                      </w:r>
                      <w:r>
                        <w:rPr>
                          <w:sz w:val="16"/>
                        </w:rPr>
                        <w:br/>
                        <w:t>натоварване</w:t>
                      </w:r>
                    </w:p>
                  </w:txbxContent>
                </v:textbox>
              </v:shape>
            </w:pict>
          </mc:Fallback>
        </mc:AlternateContent>
      </w:r>
      <w:r w:rsidRPr="009072DA">
        <w:rPr>
          <w:rFonts w:cs="Arial"/>
          <w:b/>
          <w:noProof/>
          <w:lang w:eastAsia="en-GB"/>
        </w:rPr>
        <mc:AlternateContent>
          <mc:Choice Requires="wps">
            <w:drawing>
              <wp:anchor distT="0" distB="0" distL="114300" distR="114300" simplePos="0" relativeHeight="251665408" behindDoc="0" locked="0" layoutInCell="1" allowOverlap="1" wp14:anchorId="0970138D" wp14:editId="2BAABFF9">
                <wp:simplePos x="0" y="0"/>
                <wp:positionH relativeFrom="column">
                  <wp:posOffset>2426970</wp:posOffset>
                </wp:positionH>
                <wp:positionV relativeFrom="paragraph">
                  <wp:posOffset>431165</wp:posOffset>
                </wp:positionV>
                <wp:extent cx="386715" cy="349250"/>
                <wp:effectExtent l="0" t="0" r="0" b="0"/>
                <wp:wrapNone/>
                <wp:docPr id="16"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FA5168" w:rsidRDefault="002B712C" w:rsidP="00716DF3">
                            <w:pPr>
                              <w:jc w:val="center"/>
                              <w:rPr>
                                <w:sz w:val="16"/>
                              </w:rPr>
                            </w:pPr>
                            <w:r>
                              <w:rPr>
                                <w:sz w:val="16"/>
                              </w:rPr>
                              <w:t>Пре-</w:t>
                            </w:r>
                            <w:r>
                              <w:rPr>
                                <w:sz w:val="16"/>
                              </w:rPr>
                              <w:br/>
                              <w:t>товарване</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5" o:spid="_x0000_s1037" type="#_x0000_t202" style="position:absolute;margin-left:191.1pt;margin-top:33.95pt;width:30.45pt;height:2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phShQIAAA0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" fillcolor="#37eb29" stroked="f">
                <v:textbox inset="0,1mm,0,0">
                  <w:txbxContent>
                    <w:p w:rsidR="002B712C" w:rsidRPr="00FA5168" w:rsidRDefault="002B712C" w:rsidP="00716DF3">
                      <w:pPr>
                        <w:jc w:val="center"/>
                        <w:rPr>
                          <w:sz w:val="16"/>
                        </w:rPr>
                      </w:pPr>
                      <w:r>
                        <w:rPr>
                          <w:sz w:val="16"/>
                        </w:rPr>
                        <w:t>Пре-</w:t>
                      </w:r>
                      <w:r>
                        <w:rPr>
                          <w:sz w:val="16"/>
                        </w:rPr>
                        <w:br/>
                        <w:t>товарване</w:t>
                      </w:r>
                    </w:p>
                  </w:txbxContent>
                </v:textbox>
              </v:shape>
            </w:pict>
          </mc:Fallback>
        </mc:AlternateContent>
      </w:r>
      <w:r w:rsidRPr="009072DA">
        <w:rPr>
          <w:rFonts w:cs="Arial"/>
          <w:noProof/>
          <w:lang w:eastAsia="en-GB"/>
        </w:rPr>
        <mc:AlternateContent>
          <mc:Choice Requires="wps">
            <w:drawing>
              <wp:anchor distT="0" distB="0" distL="114300" distR="114300" simplePos="0" relativeHeight="251662336" behindDoc="0" locked="0" layoutInCell="1" allowOverlap="1" wp14:anchorId="50938352" wp14:editId="4621C382">
                <wp:simplePos x="0" y="0"/>
                <wp:positionH relativeFrom="column">
                  <wp:posOffset>4888230</wp:posOffset>
                </wp:positionH>
                <wp:positionV relativeFrom="paragraph">
                  <wp:posOffset>431165</wp:posOffset>
                </wp:positionV>
                <wp:extent cx="539115" cy="349250"/>
                <wp:effectExtent l="0" t="0" r="0" b="0"/>
                <wp:wrapNone/>
                <wp:docPr id="15" name="Text 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FA5168" w:rsidRDefault="002B712C" w:rsidP="00716DF3">
                            <w:pPr>
                              <w:jc w:val="center"/>
                              <w:rPr>
                                <w:sz w:val="16"/>
                              </w:rPr>
                            </w:pPr>
                            <w:r>
                              <w:rPr>
                                <w:sz w:val="16"/>
                              </w:rPr>
                              <w:t xml:space="preserve">Нормално </w:t>
                            </w:r>
                            <w:r>
                              <w:rPr>
                                <w:sz w:val="16"/>
                              </w:rPr>
                              <w:br/>
                              <w:t>натоварване</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2" o:spid="_x0000_s1038" type="#_x0000_t202" style="position:absolute;margin-left:384.9pt;margin-top:33.95pt;width:42.45pt;height:2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" fillcolor="#59bb9a" stroked="f">
                <v:textbox inset="0,1mm,0,0">
                  <w:txbxContent>
                    <w:p w:rsidR="002B712C" w:rsidRPr="00FA5168" w:rsidRDefault="002B712C" w:rsidP="00716DF3">
                      <w:pPr>
                        <w:jc w:val="center"/>
                        <w:rPr>
                          <w:sz w:val="16"/>
                        </w:rPr>
                      </w:pPr>
                      <w:r>
                        <w:rPr>
                          <w:sz w:val="16"/>
                        </w:rPr>
                        <w:t xml:space="preserve">Нормално </w:t>
                      </w:r>
                      <w:r>
                        <w:rPr>
                          <w:sz w:val="16"/>
                        </w:rPr>
                        <w:br/>
                        <w:t>натоварване</w:t>
                      </w:r>
                    </w:p>
                  </w:txbxContent>
                </v:textbox>
              </v:shape>
            </w:pict>
          </mc:Fallback>
        </mc:AlternateContent>
      </w:r>
      <w:r w:rsidRPr="009072DA">
        <w:rPr>
          <w:rFonts w:cs="Arial"/>
          <w:noProof/>
          <w:lang w:eastAsia="en-GB"/>
        </w:rPr>
        <mc:AlternateContent>
          <mc:Choice Requires="wps">
            <w:drawing>
              <wp:anchor distT="0" distB="0" distL="114300" distR="114300" simplePos="0" relativeHeight="251661312" behindDoc="0" locked="0" layoutInCell="1" allowOverlap="1" wp14:anchorId="185624E0" wp14:editId="3BD16643">
                <wp:simplePos x="0" y="0"/>
                <wp:positionH relativeFrom="column">
                  <wp:posOffset>4097020</wp:posOffset>
                </wp:positionH>
                <wp:positionV relativeFrom="paragraph">
                  <wp:posOffset>431165</wp:posOffset>
                </wp:positionV>
                <wp:extent cx="539115" cy="349250"/>
                <wp:effectExtent l="0" t="0" r="0" b="0"/>
                <wp:wrapNone/>
                <wp:docPr id="14" name="Text 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FA5168" w:rsidRDefault="002B712C" w:rsidP="00716DF3">
                            <w:pPr>
                              <w:jc w:val="center"/>
                              <w:rPr>
                                <w:sz w:val="16"/>
                              </w:rPr>
                            </w:pPr>
                            <w:r>
                              <w:rPr>
                                <w:sz w:val="16"/>
                              </w:rPr>
                              <w:t xml:space="preserve">Нормално </w:t>
                            </w:r>
                            <w:r>
                              <w:rPr>
                                <w:sz w:val="16"/>
                              </w:rPr>
                              <w:br/>
                              <w:t>натоварване</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1" o:spid="_x0000_s1039" type="#_x0000_t202" style="position:absolute;margin-left:322.6pt;margin-top:33.95pt;width:42.45pt;height:2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" fillcolor="#59bb9a" stroked="f">
                <v:textbox inset="0,1mm,0,0">
                  <w:txbxContent>
                    <w:p w:rsidR="002B712C" w:rsidRPr="00FA5168" w:rsidRDefault="002B712C" w:rsidP="00716DF3">
                      <w:pPr>
                        <w:jc w:val="center"/>
                        <w:rPr>
                          <w:sz w:val="16"/>
                        </w:rPr>
                      </w:pPr>
                      <w:r>
                        <w:rPr>
                          <w:sz w:val="16"/>
                        </w:rPr>
                        <w:t xml:space="preserve">Нормално </w:t>
                      </w:r>
                      <w:r>
                        <w:rPr>
                          <w:sz w:val="16"/>
                        </w:rPr>
                        <w:br/>
                        <w:t>натоварване</w:t>
                      </w:r>
                    </w:p>
                  </w:txbxContent>
                </v:textbox>
              </v:shape>
            </w:pict>
          </mc:Fallback>
        </mc:AlternateContent>
      </w:r>
      <w:r w:rsidRPr="009072DA">
        <w:rPr>
          <w:rFonts w:cs="Arial"/>
          <w:noProof/>
          <w:lang w:eastAsia="en-GB"/>
        </w:rPr>
        <mc:AlternateContent>
          <mc:Choice Requires="wps">
            <w:drawing>
              <wp:anchor distT="0" distB="0" distL="114300" distR="114300" simplePos="0" relativeHeight="251660288" behindDoc="0" locked="0" layoutInCell="1" allowOverlap="1" wp14:anchorId="6B4CFDB7" wp14:editId="03AE4C78">
                <wp:simplePos x="0" y="0"/>
                <wp:positionH relativeFrom="column">
                  <wp:posOffset>1722120</wp:posOffset>
                </wp:positionH>
                <wp:positionV relativeFrom="paragraph">
                  <wp:posOffset>431165</wp:posOffset>
                </wp:positionV>
                <wp:extent cx="539115" cy="349250"/>
                <wp:effectExtent l="0" t="0" r="0" b="0"/>
                <wp:wrapNone/>
                <wp:docPr id="13" name="Text Box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FA5168" w:rsidRDefault="002B712C" w:rsidP="007F3C26">
                            <w:pPr>
                              <w:jc w:val="center"/>
                              <w:rPr>
                                <w:sz w:val="16"/>
                              </w:rPr>
                            </w:pPr>
                            <w:r>
                              <w:rPr>
                                <w:sz w:val="16"/>
                              </w:rPr>
                              <w:t xml:space="preserve">Нормално </w:t>
                            </w:r>
                            <w:r>
                              <w:rPr>
                                <w:sz w:val="16"/>
                              </w:rPr>
                              <w:br/>
                              <w:t>натоварване</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0" o:spid="_x0000_s1040" type="#_x0000_t202" style="position:absolute;margin-left:135.6pt;margin-top:33.95pt;width:42.45pt;height:2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" fillcolor="#59bb9a" stroked="f">
                <v:textbox inset="0,1mm,0,0">
                  <w:txbxContent>
                    <w:p w:rsidR="002B712C" w:rsidRPr="00FA5168" w:rsidRDefault="002B712C" w:rsidP="007F3C26">
                      <w:pPr>
                        <w:jc w:val="center"/>
                        <w:rPr>
                          <w:sz w:val="16"/>
                        </w:rPr>
                      </w:pPr>
                      <w:r>
                        <w:rPr>
                          <w:sz w:val="16"/>
                        </w:rPr>
                        <w:t xml:space="preserve">Нормално </w:t>
                      </w:r>
                      <w:r>
                        <w:rPr>
                          <w:sz w:val="16"/>
                        </w:rPr>
                        <w:br/>
                        <w:t>натоварване</w:t>
                      </w:r>
                    </w:p>
                  </w:txbxContent>
                </v:textbox>
              </v:shape>
            </w:pict>
          </mc:Fallback>
        </mc:AlternateContent>
      </w:r>
      <w:r w:rsidRPr="009072DA">
        <w:rPr>
          <w:rFonts w:cs="Arial"/>
          <w:b/>
          <w:noProof/>
          <w:lang w:eastAsia="en-GB"/>
        </w:rPr>
        <mc:AlternateContent>
          <mc:Choice Requires="wps">
            <w:drawing>
              <wp:anchor distT="0" distB="0" distL="114300" distR="114300" simplePos="0" relativeHeight="251659264" behindDoc="0" locked="0" layoutInCell="1" allowOverlap="1" wp14:anchorId="50B85C27" wp14:editId="4BB425B9">
                <wp:simplePos x="0" y="0"/>
                <wp:positionH relativeFrom="column">
                  <wp:posOffset>928370</wp:posOffset>
                </wp:positionH>
                <wp:positionV relativeFrom="paragraph">
                  <wp:posOffset>431165</wp:posOffset>
                </wp:positionV>
                <wp:extent cx="539115" cy="349250"/>
                <wp:effectExtent l="0" t="0" r="0" b="0"/>
                <wp:wrapNone/>
                <wp:docPr id="12"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FA5168" w:rsidRDefault="002B712C" w:rsidP="007F3C26">
                            <w:pPr>
                              <w:jc w:val="center"/>
                              <w:rPr>
                                <w:sz w:val="16"/>
                              </w:rPr>
                            </w:pPr>
                            <w:r>
                              <w:rPr>
                                <w:sz w:val="16"/>
                              </w:rPr>
                              <w:t xml:space="preserve">Нормално </w:t>
                            </w:r>
                            <w:r>
                              <w:rPr>
                                <w:sz w:val="16"/>
                              </w:rPr>
                              <w:br/>
                              <w:t>натоварване</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9" o:spid="_x0000_s1041" type="#_x0000_t202" style="position:absolute;margin-left:73.1pt;margin-top:33.95pt;width:42.45pt;height: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" fillcolor="#59bb9a" stroked="f">
                <v:textbox inset="0,1mm,0,0">
                  <w:txbxContent>
                    <w:p w:rsidR="002B712C" w:rsidRPr="00FA5168" w:rsidRDefault="002B712C" w:rsidP="007F3C26">
                      <w:pPr>
                        <w:jc w:val="center"/>
                        <w:rPr>
                          <w:sz w:val="16"/>
                        </w:rPr>
                      </w:pPr>
                      <w:r>
                        <w:rPr>
                          <w:sz w:val="16"/>
                        </w:rPr>
                        <w:t xml:space="preserve">Нормално </w:t>
                      </w:r>
                      <w:r>
                        <w:rPr>
                          <w:sz w:val="16"/>
                        </w:rPr>
                        <w:br/>
                        <w:t>натоварване</w:t>
                      </w:r>
                    </w:p>
                  </w:txbxContent>
                </v:textbox>
              </v:shape>
            </w:pict>
          </mc:Fallback>
        </mc:AlternateContent>
      </w:r>
      <w:r w:rsidRPr="009072DA">
        <w:rPr>
          <w:rFonts w:cs="Arial"/>
          <w:b/>
          <w:noProof/>
          <w:lang w:eastAsia="en-GB"/>
        </w:rPr>
        <mc:AlternateContent>
          <mc:Choice Requires="wps">
            <w:drawing>
              <wp:anchor distT="0" distB="0" distL="114300" distR="114300" simplePos="0" relativeHeight="251658240" behindDoc="0" locked="0" layoutInCell="1" allowOverlap="1" wp14:anchorId="59181714" wp14:editId="0C3A3130">
                <wp:simplePos x="0" y="0"/>
                <wp:positionH relativeFrom="column">
                  <wp:posOffset>168910</wp:posOffset>
                </wp:positionH>
                <wp:positionV relativeFrom="paragraph">
                  <wp:posOffset>745490</wp:posOffset>
                </wp:positionV>
                <wp:extent cx="300355" cy="2115820"/>
                <wp:effectExtent l="0" t="0" r="4445" b="0"/>
                <wp:wrapNone/>
                <wp:docPr id="21"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11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F9734D" w:rsidRDefault="002B712C" w:rsidP="007F3C26">
                            <w:pPr>
                              <w:jc w:val="center"/>
                              <w:rPr>
                                <w:b/>
                                <w:color w:val="0070C0"/>
                              </w:rPr>
                            </w:pPr>
                            <w:r>
                              <w:rPr>
                                <w:b/>
                                <w:color w:val="0070C0"/>
                              </w:rPr>
                              <w:t>Хидравличен товар Q</w:t>
                            </w:r>
                            <w:r>
                              <w:rPr>
                                <w:b/>
                                <w:color w:val="0070C0"/>
                                <w:vertAlign w:val="subscript"/>
                              </w:rPr>
                              <w:t>d</w:t>
                            </w:r>
                            <w:r>
                              <w:rPr>
                                <w:b/>
                                <w:color w:val="0070C0"/>
                              </w:rPr>
                              <w:t xml:space="preserve"> [%]</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8" o:spid="_x0000_s1042" type="#_x0000_t202" style="position:absolute;margin-left:13.3pt;margin-top:58.7pt;width:23.65pt;height:16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" stroked="f">
                <v:textbox style="layout-flow:vertical;mso-layout-flow-alt:bottom-to-top" inset="0,0,0,0">
                  <w:txbxContent>
                    <w:p w:rsidR="002B712C" w:rsidRPr="00F9734D" w:rsidRDefault="002B712C" w:rsidP="007F3C26">
                      <w:pPr>
                        <w:jc w:val="center"/>
                        <w:rPr>
                          <w:b/>
                          <w:color w:val="0070C0"/>
                        </w:rPr>
                      </w:pPr>
                      <w:r>
                        <w:rPr>
                          <w:b/>
                          <w:color w:val="0070C0"/>
                        </w:rPr>
                        <w:t>Хидравличен товар Q</w:t>
                      </w:r>
                      <w:r>
                        <w:rPr>
                          <w:b/>
                          <w:color w:val="0070C0"/>
                          <w:vertAlign w:val="subscript"/>
                        </w:rPr>
                        <w:t>d</w:t>
                      </w:r>
                      <w:r>
                        <w:rPr>
                          <w:b/>
                          <w:color w:val="0070C0"/>
                        </w:rPr>
                        <w:t xml:space="preserve"> [%]</w:t>
                      </w:r>
                    </w:p>
                  </w:txbxContent>
                </v:textbox>
              </v:shape>
            </w:pict>
          </mc:Fallback>
        </mc:AlternateContent>
      </w:r>
      <w:r w:rsidRPr="009072DA">
        <w:rPr>
          <w:lang w:val="bg-BG"/>
        </w:rPr>
        <w:br w:type="page"/>
      </w:r>
    </w:p>
    <w:p w:rsidR="000323F4" w:rsidRPr="009072DA" w:rsidRDefault="000323F4" w:rsidP="009C13A9">
      <w:pPr>
        <w:tabs>
          <w:tab w:val="left" w:pos="709"/>
        </w:tabs>
        <w:suppressAutoHyphens/>
        <w:spacing w:line="240" w:lineRule="atLeast"/>
        <w:ind w:left="709" w:hanging="709"/>
        <w:jc w:val="center"/>
        <w:rPr>
          <w:rFonts w:cs="Arial"/>
          <w:b/>
          <w:szCs w:val="20"/>
          <w:lang w:val="bg-BG"/>
        </w:rPr>
        <w:sectPr w:rsidR="000323F4" w:rsidRPr="009072DA" w:rsidSect="00AC5CC1">
          <w:headerReference w:type="default" r:id="rId103"/>
          <w:footerReference w:type="default" r:id="rId104"/>
          <w:headerReference w:type="first" r:id="rId105"/>
          <w:footerReference w:type="first" r:id="rId106"/>
          <w:footnotePr>
            <w:numRestart w:val="eachPage"/>
          </w:footnotePr>
          <w:pgSz w:w="11906" w:h="16838" w:code="9"/>
          <w:pgMar w:top="1418" w:right="1418" w:bottom="1418" w:left="1418" w:header="709" w:footer="709" w:gutter="0"/>
          <w:cols w:space="709"/>
          <w:titlePg/>
          <w:docGrid w:linePitch="272"/>
        </w:sectPr>
      </w:pPr>
    </w:p>
    <w:p w:rsidR="000323F4" w:rsidRPr="009072DA" w:rsidRDefault="000323F4" w:rsidP="009C13A9">
      <w:pPr>
        <w:tabs>
          <w:tab w:val="left" w:pos="709"/>
        </w:tabs>
        <w:suppressAutoHyphens/>
        <w:spacing w:line="240" w:lineRule="atLeast"/>
        <w:ind w:left="709" w:hanging="709"/>
        <w:jc w:val="center"/>
        <w:rPr>
          <w:rFonts w:cs="Arial"/>
          <w:b/>
          <w:szCs w:val="20"/>
          <w:lang w:val="bg-BG"/>
        </w:rPr>
        <w:sectPr w:rsidR="000323F4" w:rsidRPr="009072DA" w:rsidSect="00AC5CC1">
          <w:footnotePr>
            <w:numRestart w:val="eachPage"/>
          </w:footnotePr>
          <w:pgSz w:w="11906" w:h="16838" w:code="9"/>
          <w:pgMar w:top="1418" w:right="1418" w:bottom="1418" w:left="1418" w:header="709" w:footer="709" w:gutter="0"/>
          <w:cols w:space="709"/>
          <w:titlePg/>
          <w:docGrid w:linePitch="272"/>
        </w:sectPr>
      </w:pPr>
    </w:p>
    <w:p w:rsidR="009C13A9" w:rsidRPr="009072DA" w:rsidRDefault="009C13A9" w:rsidP="009C13A9">
      <w:pPr>
        <w:tabs>
          <w:tab w:val="left" w:pos="709"/>
        </w:tabs>
        <w:suppressAutoHyphens/>
        <w:spacing w:line="240" w:lineRule="atLeast"/>
        <w:ind w:left="709" w:hanging="709"/>
        <w:jc w:val="center"/>
        <w:rPr>
          <w:rFonts w:cs="Arial"/>
          <w:b/>
          <w:szCs w:val="20"/>
          <w:lang w:val="bg-BG"/>
        </w:rPr>
      </w:pPr>
      <w:r w:rsidRPr="009072DA">
        <w:rPr>
          <w:b/>
          <w:lang w:val="bg-BG"/>
        </w:rPr>
        <w:lastRenderedPageBreak/>
        <w:t>Допълнение 2</w:t>
      </w:r>
    </w:p>
    <w:p w:rsidR="009C13A9" w:rsidRPr="009072DA" w:rsidRDefault="009C13A9" w:rsidP="009C13A9">
      <w:pPr>
        <w:tabs>
          <w:tab w:val="left" w:pos="1021"/>
          <w:tab w:val="center" w:pos="8080"/>
        </w:tabs>
        <w:suppressAutoHyphens/>
        <w:spacing w:line="240" w:lineRule="atLeast"/>
        <w:jc w:val="center"/>
        <w:rPr>
          <w:rFonts w:cs="Arial"/>
          <w:szCs w:val="20"/>
          <w:lang w:val="bg-BG"/>
        </w:rPr>
      </w:pPr>
      <w:r w:rsidRPr="009072DA">
        <w:rPr>
          <w:b/>
          <w:lang w:val="bg-BG"/>
        </w:rPr>
        <w:t>Бележки относно определянето на биохимичната потребност от кислород след пет дни (</w:t>
      </w:r>
      <m:oMath>
        <m:sSub>
          <m:sSubPr>
            <m:ctrlPr>
              <w:rPr>
                <w:rFonts w:ascii="Cambria Math" w:hAnsi="Cambria Math"/>
                <w:b/>
                <w:i/>
                <w:lang w:val="bg-BG"/>
              </w:rPr>
            </m:ctrlPr>
          </m:sSubPr>
          <m:e>
            <m:r>
              <m:rPr>
                <m:sty m:val="bi"/>
              </m:rPr>
              <w:rPr>
                <w:rFonts w:ascii="Cambria Math" w:hAnsi="Cambria Math"/>
                <w:lang w:val="bg-BG"/>
              </w:rPr>
              <m:t>BOD</m:t>
            </m:r>
          </m:e>
          <m:sub>
            <m:r>
              <m:rPr>
                <m:sty m:val="bi"/>
              </m:rPr>
              <w:rPr>
                <w:rFonts w:ascii="Cambria Math" w:hAnsi="Cambria Math"/>
                <w:lang w:val="bg-BG"/>
              </w:rPr>
              <m:t>5</m:t>
            </m:r>
          </m:sub>
        </m:sSub>
      </m:oMath>
      <w:r w:rsidRPr="009072DA">
        <w:rPr>
          <w:b/>
          <w:lang w:val="bg-BG"/>
        </w:rPr>
        <w:t>) в 24-часови комбинирани проби</w:t>
      </w:r>
    </w:p>
    <w:p w:rsidR="009C13A9" w:rsidRPr="009072DA" w:rsidRDefault="009C13A9" w:rsidP="009C13A9">
      <w:pPr>
        <w:tabs>
          <w:tab w:val="left" w:pos="709"/>
        </w:tabs>
        <w:suppressAutoHyphens/>
        <w:spacing w:line="240" w:lineRule="atLeast"/>
        <w:rPr>
          <w:rFonts w:cs="Arial"/>
          <w:szCs w:val="20"/>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 xml:space="preserve">В международните стандарти ISO 5815 и 5815-2 : 2003 се предвижда, че за провеждането на анализа за определяне на биохимичната потребност от кислород след пет дни, водните проби трябва да се съхраняват веднага след вземането им и до момента на анализ в пълна догоре, плътно затворена бутилка при температура 0 — 4 °C. Процесът на определяне на </w:t>
      </w:r>
      <m:oMath>
        <m:sSub>
          <m:sSubPr>
            <m:ctrlPr>
              <w:rPr>
                <w:rFonts w:ascii="Cambria Math" w:hAnsi="Cambria Math"/>
                <w:i/>
                <w:lang w:val="bg-BG"/>
              </w:rPr>
            </m:ctrlPr>
          </m:sSubPr>
          <m:e>
            <m:r>
              <w:rPr>
                <w:rFonts w:ascii="Cambria Math" w:hAnsi="Cambria Math"/>
                <w:lang w:val="bg-BG"/>
              </w:rPr>
              <m:t>BOD</m:t>
            </m:r>
          </m:e>
          <m:sub>
            <m:r>
              <w:rPr>
                <w:rFonts w:ascii="Cambria Math" w:hAnsi="Cambria Math"/>
                <w:lang w:val="bg-BG"/>
              </w:rPr>
              <m:t>5</m:t>
            </m:r>
          </m:sub>
        </m:sSub>
      </m:oMath>
      <w:r w:rsidRPr="009072DA">
        <w:rPr>
          <w:vertAlign w:val="subscript"/>
          <w:lang w:val="bg-BG"/>
        </w:rPr>
        <w:t xml:space="preserve"> </w:t>
      </w:r>
      <w:r w:rsidRPr="009072DA">
        <w:rPr>
          <w:lang w:val="bg-BG"/>
        </w:rPr>
        <w:t>следва да започне възможно най-скоро или най-малкото в рамките на двадесет и четири часа от вземането на пробите.</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С цел предотвратяване започването на процеси на биохимично разлагане в 24-часовата комбинирана проба, на практика докато продължава вземането на проби, водната проба се охлажда до температура не по-висока от 4 °C и се съхранява при тази температура до приключване на процеса на вземане на проби.</w:t>
      </w:r>
    </w:p>
    <w:p w:rsidR="009C13A9" w:rsidRPr="009072DA" w:rsidRDefault="009C13A9"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r w:rsidRPr="009072DA">
        <w:rPr>
          <w:lang w:val="bg-BG"/>
        </w:rPr>
        <w:t>В търговската мрежа се предлага подходящо оборудване за вземане на проби.</w:t>
      </w:r>
    </w:p>
    <w:p w:rsidR="000323F4" w:rsidRPr="009072DA" w:rsidRDefault="000323F4" w:rsidP="009C13A9">
      <w:pPr>
        <w:tabs>
          <w:tab w:val="left" w:leader="dot" w:pos="9072"/>
        </w:tabs>
        <w:spacing w:line="240" w:lineRule="atLeast"/>
        <w:rPr>
          <w:rFonts w:cs="Arial"/>
          <w:lang w:val="bg-BG"/>
        </w:rPr>
      </w:pPr>
    </w:p>
    <w:p w:rsidR="009C13A9" w:rsidRPr="009072DA" w:rsidRDefault="009C13A9" w:rsidP="009C13A9">
      <w:pPr>
        <w:tabs>
          <w:tab w:val="left" w:leader="dot" w:pos="9072"/>
        </w:tabs>
        <w:spacing w:line="240" w:lineRule="atLeast"/>
        <w:rPr>
          <w:rFonts w:cs="Arial"/>
          <w:lang w:val="bg-BG"/>
        </w:rPr>
      </w:pPr>
    </w:p>
    <w:p w:rsidR="0072529F" w:rsidRPr="009072DA" w:rsidRDefault="0072529F" w:rsidP="009C13A9">
      <w:pPr>
        <w:tabs>
          <w:tab w:val="left" w:leader="dot" w:pos="9072"/>
        </w:tabs>
        <w:spacing w:line="240" w:lineRule="atLeast"/>
        <w:rPr>
          <w:rFonts w:cs="Arial"/>
          <w:lang w:val="bg-BG"/>
        </w:rPr>
        <w:sectPr w:rsidR="0072529F" w:rsidRPr="009072DA" w:rsidSect="00AC5CC1">
          <w:footnotePr>
            <w:numRestart w:val="eachPage"/>
          </w:footnotePr>
          <w:pgSz w:w="11906" w:h="16838" w:code="9"/>
          <w:pgMar w:top="1418" w:right="1418" w:bottom="1418" w:left="1418" w:header="709" w:footer="709" w:gutter="0"/>
          <w:cols w:space="709"/>
          <w:titlePg/>
          <w:docGrid w:linePitch="272"/>
        </w:sectPr>
      </w:pPr>
    </w:p>
    <w:p w:rsidR="009C13A9" w:rsidRPr="009072DA" w:rsidRDefault="009C13A9" w:rsidP="009C13A9">
      <w:pPr>
        <w:tabs>
          <w:tab w:val="left" w:pos="709"/>
        </w:tabs>
        <w:suppressAutoHyphens/>
        <w:spacing w:line="240" w:lineRule="atLeast"/>
        <w:rPr>
          <w:rFonts w:cs="Arial"/>
          <w:szCs w:val="20"/>
          <w:lang w:val="bg-BG"/>
        </w:rPr>
      </w:pPr>
    </w:p>
    <w:p w:rsidR="00886F89" w:rsidRPr="009072DA" w:rsidRDefault="00886F89" w:rsidP="009C13A9">
      <w:pPr>
        <w:tabs>
          <w:tab w:val="left" w:pos="709"/>
        </w:tabs>
        <w:suppressAutoHyphens/>
        <w:spacing w:line="240" w:lineRule="atLeast"/>
        <w:rPr>
          <w:rFonts w:cs="Arial"/>
          <w:szCs w:val="20"/>
          <w:lang w:val="bg-BG"/>
        </w:rPr>
      </w:pPr>
    </w:p>
    <w:p w:rsidR="00886F89" w:rsidRPr="009072DA" w:rsidRDefault="00886F89" w:rsidP="009C13A9">
      <w:pPr>
        <w:tabs>
          <w:tab w:val="left" w:pos="709"/>
        </w:tabs>
        <w:suppressAutoHyphens/>
        <w:spacing w:line="240" w:lineRule="atLeast"/>
        <w:rPr>
          <w:rFonts w:cs="Arial"/>
          <w:szCs w:val="20"/>
          <w:lang w:val="bg-BG"/>
        </w:rPr>
      </w:pPr>
    </w:p>
    <w:p w:rsidR="00886F89" w:rsidRPr="009072DA" w:rsidRDefault="00886F89" w:rsidP="009C13A9">
      <w:pPr>
        <w:tabs>
          <w:tab w:val="left" w:pos="709"/>
        </w:tabs>
        <w:suppressAutoHyphens/>
        <w:spacing w:line="240" w:lineRule="atLeast"/>
        <w:rPr>
          <w:rFonts w:cs="Arial"/>
          <w:szCs w:val="20"/>
          <w:lang w:val="bg-BG"/>
        </w:rPr>
      </w:pPr>
    </w:p>
    <w:p w:rsidR="000323F4" w:rsidRPr="009072DA" w:rsidRDefault="000323F4" w:rsidP="00067BB9">
      <w:pPr>
        <w:pStyle w:val="ES-Titre2"/>
        <w:pageBreakBefore w:val="0"/>
        <w:sectPr w:rsidR="000323F4" w:rsidRPr="009072DA" w:rsidSect="00AC5CC1">
          <w:footnotePr>
            <w:numRestart w:val="eachPage"/>
          </w:footnotePr>
          <w:pgSz w:w="11906" w:h="16838" w:code="9"/>
          <w:pgMar w:top="1418" w:right="1418" w:bottom="1418" w:left="1418" w:header="709" w:footer="709" w:gutter="0"/>
          <w:cols w:space="709"/>
          <w:titlePg/>
          <w:docGrid w:linePitch="272"/>
        </w:sectPr>
      </w:pPr>
    </w:p>
    <w:p w:rsidR="009C13A9" w:rsidRPr="009072DA" w:rsidRDefault="00F25585" w:rsidP="00067BB9">
      <w:pPr>
        <w:pStyle w:val="ES-Titre2"/>
        <w:pageBreakBefore w:val="0"/>
      </w:pPr>
      <w:bookmarkStart w:id="717" w:name="_Toc491854342"/>
      <w:bookmarkStart w:id="718" w:name="_Toc535827783"/>
      <w:r w:rsidRPr="009072DA">
        <w:lastRenderedPageBreak/>
        <w:t>Приложение 8</w:t>
      </w:r>
      <w:r w:rsidRPr="009072DA">
        <w:br/>
        <w:t>Допълнителни разпоредби, приложими за експлоатацията на плавателни средства</w:t>
      </w:r>
      <w:r w:rsidRPr="009072DA">
        <w:br/>
        <w:t>с горива с температура на възпламеняване по-ниска или равна на 55 °C</w:t>
      </w:r>
      <w:bookmarkEnd w:id="717"/>
      <w:bookmarkEnd w:id="718"/>
    </w:p>
    <w:p w:rsidR="009C13A9" w:rsidRPr="009072DA" w:rsidRDefault="009C13A9" w:rsidP="00A94102">
      <w:pPr>
        <w:pStyle w:val="ESch"/>
        <w:rPr>
          <w:lang w:val="bg-BG"/>
        </w:rPr>
      </w:pPr>
    </w:p>
    <w:p w:rsidR="005C7DB3" w:rsidRPr="009072DA" w:rsidRDefault="005C7DB3" w:rsidP="00A94102">
      <w:pPr>
        <w:pStyle w:val="ES-Titre3"/>
        <w:rPr>
          <w:lang w:val="bg-BG"/>
        </w:rPr>
      </w:pPr>
      <w:bookmarkStart w:id="719" w:name="_Toc491854343"/>
      <w:bookmarkStart w:id="720" w:name="_Toc535827784"/>
      <w:r w:rsidRPr="009072DA">
        <w:rPr>
          <w:lang w:val="bg-BG"/>
        </w:rPr>
        <w:t>Раздел I</w:t>
      </w:r>
      <w:bookmarkEnd w:id="719"/>
      <w:bookmarkEnd w:id="720"/>
    </w:p>
    <w:p w:rsidR="005C7DB3" w:rsidRPr="009072DA" w:rsidRDefault="005C7DB3" w:rsidP="00A94102">
      <w:pPr>
        <w:pStyle w:val="ES-Titre3a"/>
        <w:rPr>
          <w:lang w:val="bg-BG"/>
        </w:rPr>
      </w:pPr>
      <w:bookmarkStart w:id="721" w:name="_Toc491854344"/>
      <w:bookmarkStart w:id="722" w:name="_Toc535827785"/>
      <w:r w:rsidRPr="009072DA">
        <w:rPr>
          <w:lang w:val="bg-BG"/>
        </w:rPr>
        <w:t>Втечнен природен газ (ВПГ)</w:t>
      </w:r>
      <w:bookmarkEnd w:id="721"/>
      <w:bookmarkEnd w:id="722"/>
    </w:p>
    <w:p w:rsidR="005C7DB3" w:rsidRPr="009072DA" w:rsidRDefault="005C7DB3" w:rsidP="005C7DB3">
      <w:pPr>
        <w:adjustRightInd w:val="0"/>
        <w:spacing w:line="240" w:lineRule="atLeast"/>
        <w:rPr>
          <w:rFonts w:cs="Arial"/>
          <w:szCs w:val="20"/>
          <w:lang w:val="bg-BG"/>
        </w:rPr>
      </w:pPr>
    </w:p>
    <w:p w:rsidR="005C7DB3" w:rsidRPr="009072DA" w:rsidRDefault="00A94102" w:rsidP="00A94102">
      <w:pPr>
        <w:pStyle w:val="Esann8titrechap"/>
        <w:rPr>
          <w:lang w:val="bg-BG"/>
        </w:rPr>
      </w:pPr>
      <w:r w:rsidRPr="009072DA">
        <w:rPr>
          <w:lang w:val="bg-BG"/>
        </w:rPr>
        <w:t xml:space="preserve">Глава 1 </w:t>
      </w:r>
    </w:p>
    <w:p w:rsidR="005C7DB3" w:rsidRPr="009072DA" w:rsidRDefault="005C7DB3" w:rsidP="00A94102">
      <w:pPr>
        <w:pStyle w:val="Esann8titrechap"/>
        <w:rPr>
          <w:lang w:val="bg-BG"/>
        </w:rPr>
      </w:pPr>
      <w:r w:rsidRPr="009072DA">
        <w:rPr>
          <w:lang w:val="bg-BG"/>
        </w:rPr>
        <w:t>Общи положения</w:t>
      </w:r>
    </w:p>
    <w:p w:rsidR="005C7DB3" w:rsidRPr="009072DA" w:rsidRDefault="005C7DB3" w:rsidP="00A94102">
      <w:pPr>
        <w:pStyle w:val="Esann8ch"/>
        <w:rPr>
          <w:lang w:val="bg-BG"/>
        </w:rPr>
      </w:pPr>
    </w:p>
    <w:p w:rsidR="005C7DB3" w:rsidRPr="009072DA" w:rsidRDefault="005C7DB3" w:rsidP="00A94102">
      <w:pPr>
        <w:pStyle w:val="Esann8chgras"/>
        <w:rPr>
          <w:lang w:val="bg-BG"/>
        </w:rPr>
      </w:pPr>
      <w:r w:rsidRPr="009072DA">
        <w:rPr>
          <w:lang w:val="bg-BG"/>
        </w:rPr>
        <w:t>1.1</w:t>
      </w:r>
      <w:r w:rsidRPr="009072DA">
        <w:rPr>
          <w:lang w:val="bg-BG"/>
        </w:rPr>
        <w:tab/>
        <w:t>Приложение</w:t>
      </w:r>
    </w:p>
    <w:p w:rsidR="005C7DB3" w:rsidRPr="009072DA" w:rsidRDefault="005C7DB3" w:rsidP="005C7DB3">
      <w:pPr>
        <w:tabs>
          <w:tab w:val="left" w:pos="720"/>
          <w:tab w:val="left" w:pos="1440"/>
        </w:tabs>
        <w:adjustRightInd w:val="0"/>
        <w:spacing w:line="240" w:lineRule="atLeast"/>
        <w:rPr>
          <w:rFonts w:cs="Arial"/>
          <w:b/>
          <w:bCs/>
          <w:szCs w:val="20"/>
          <w:u w:val="single"/>
          <w:lang w:val="bg-BG"/>
        </w:rPr>
      </w:pPr>
    </w:p>
    <w:p w:rsidR="005C7DB3" w:rsidRPr="009072DA" w:rsidRDefault="005C7DB3" w:rsidP="00A94102">
      <w:pPr>
        <w:pStyle w:val="Esann8ch"/>
        <w:rPr>
          <w:b/>
          <w:bCs/>
          <w:lang w:val="bg-BG"/>
        </w:rPr>
      </w:pPr>
      <w:r w:rsidRPr="009072DA">
        <w:rPr>
          <w:lang w:val="bg-BG"/>
        </w:rPr>
        <w:t>1.1.1</w:t>
      </w:r>
      <w:r w:rsidRPr="009072DA">
        <w:rPr>
          <w:lang w:val="bg-BG"/>
        </w:rPr>
        <w:tab/>
        <w:t xml:space="preserve">Разпоредбите на раздел I се прилагат за плавателни средства, оборудвани със задвижващи или спомагателни системи, работещи с втечнен природен газ (ВПГ) в съответствие с точка 1.2.1 и обхващат всички области, които се нуждаят от специално разглеждане за използването на втечнен природен газ (ВПГ) като гориво. </w:t>
      </w:r>
    </w:p>
    <w:p w:rsidR="005C7DB3" w:rsidRPr="009072DA" w:rsidRDefault="005C7DB3" w:rsidP="005C7DB3">
      <w:pPr>
        <w:tabs>
          <w:tab w:val="left" w:pos="720"/>
          <w:tab w:val="left" w:pos="1440"/>
        </w:tabs>
        <w:adjustRightInd w:val="0"/>
        <w:spacing w:line="240" w:lineRule="atLeast"/>
        <w:rPr>
          <w:rFonts w:cs="Arial"/>
          <w:b/>
          <w:bCs/>
          <w:szCs w:val="20"/>
          <w:lang w:val="bg-BG"/>
        </w:rPr>
      </w:pPr>
    </w:p>
    <w:p w:rsidR="005C7DB3" w:rsidRPr="009072DA" w:rsidRDefault="005C7DB3" w:rsidP="00544563">
      <w:pPr>
        <w:pStyle w:val="Esann8chgras"/>
        <w:rPr>
          <w:rFonts w:eastAsia="Calibri"/>
          <w:lang w:val="bg-BG"/>
        </w:rPr>
      </w:pPr>
      <w:r w:rsidRPr="009072DA">
        <w:rPr>
          <w:lang w:val="bg-BG"/>
        </w:rPr>
        <w:t>1.2</w:t>
      </w:r>
      <w:r w:rsidRPr="009072DA">
        <w:rPr>
          <w:lang w:val="bg-BG"/>
        </w:rPr>
        <w:tab/>
        <w:t>Определения</w:t>
      </w:r>
    </w:p>
    <w:p w:rsidR="005C7DB3" w:rsidRPr="009072DA" w:rsidRDefault="005C7DB3" w:rsidP="005C7DB3">
      <w:pPr>
        <w:adjustRightInd w:val="0"/>
        <w:spacing w:line="240" w:lineRule="atLeast"/>
        <w:rPr>
          <w:rFonts w:cs="Arial"/>
          <w:iCs/>
          <w:szCs w:val="20"/>
          <w:lang w:val="bg-BG"/>
        </w:rPr>
      </w:pPr>
    </w:p>
    <w:p w:rsidR="00E36B0E" w:rsidRPr="009072DA" w:rsidRDefault="00E36B0E" w:rsidP="00E36B0E">
      <w:pPr>
        <w:pStyle w:val="Esann8chpar"/>
        <w:rPr>
          <w:lang w:val="bg-BG"/>
        </w:rPr>
      </w:pPr>
      <w:r w:rsidRPr="009072DA">
        <w:rPr>
          <w:lang w:val="bg-BG"/>
        </w:rPr>
        <w:t>За целите на настоящия раздел се прилагат следните определения:</w:t>
      </w:r>
    </w:p>
    <w:p w:rsidR="00E36B0E" w:rsidRPr="009072DA" w:rsidRDefault="00E36B0E" w:rsidP="00E36B0E">
      <w:pPr>
        <w:pStyle w:val="Esann8chpar"/>
        <w:rPr>
          <w:lang w:val="bg-BG"/>
        </w:rPr>
      </w:pPr>
    </w:p>
    <w:p w:rsidR="00A26ED8" w:rsidRPr="009072DA" w:rsidRDefault="00A26ED8" w:rsidP="00A26ED8">
      <w:pPr>
        <w:pStyle w:val="Esann8ch"/>
        <w:rPr>
          <w:lang w:val="bg-BG"/>
        </w:rPr>
      </w:pPr>
      <w:r w:rsidRPr="009072DA">
        <w:rPr>
          <w:lang w:val="bg-BG"/>
        </w:rPr>
        <w:t>1.2.1</w:t>
      </w:r>
      <w:r w:rsidRPr="009072DA">
        <w:rPr>
          <w:lang w:val="bg-BG"/>
        </w:rPr>
        <w:tab/>
      </w:r>
      <w:r w:rsidRPr="009072DA">
        <w:rPr>
          <w:i/>
          <w:lang w:val="bg-BG"/>
        </w:rPr>
        <w:t>Втечнен природен газ (ВПГ)</w:t>
      </w:r>
      <w:r w:rsidRPr="009072DA">
        <w:rPr>
          <w:lang w:val="bg-BG"/>
        </w:rPr>
        <w:t>: природен газ, втечнен чрез охлаждане до температура от - 161 °C.</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1.2.2</w:t>
      </w:r>
      <w:r w:rsidRPr="009072DA">
        <w:rPr>
          <w:i/>
          <w:lang w:val="bg-BG"/>
        </w:rPr>
        <w:t xml:space="preserve"> </w:t>
      </w:r>
      <w:r w:rsidRPr="009072DA">
        <w:rPr>
          <w:lang w:val="bg-BG"/>
        </w:rPr>
        <w:tab/>
      </w:r>
      <w:r w:rsidRPr="009072DA">
        <w:rPr>
          <w:i/>
          <w:lang w:val="bg-BG"/>
        </w:rPr>
        <w:t>Система за ВПГ:</w:t>
      </w:r>
      <w:r w:rsidRPr="009072DA">
        <w:rPr>
          <w:lang w:val="bg-BG"/>
        </w:rPr>
        <w:t xml:space="preserve"> всички части на плавателното средство, които могат да съдържат втечнен природен газ (ВПГ) или природен газ, като двигатели, резервоари за гориво и тръбопроводи за зареждане с гориво.</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1.2.3</w:t>
      </w:r>
      <w:r w:rsidRPr="009072DA">
        <w:rPr>
          <w:lang w:val="bg-BG"/>
        </w:rPr>
        <w:tab/>
      </w:r>
      <w:r w:rsidRPr="009072DA">
        <w:rPr>
          <w:i/>
          <w:lang w:val="bg-BG"/>
        </w:rPr>
        <w:t>Система за зареждане с ВПГ:</w:t>
      </w:r>
      <w:r w:rsidRPr="009072DA">
        <w:rPr>
          <w:lang w:val="bg-BG"/>
        </w:rPr>
        <w:t xml:space="preserve"> съоръжение за зареждането на кораби с втечнен природен газ (ВПГ) на борда (станция и тръбопроводи за зареждане с гориво).</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1.2.4</w:t>
      </w:r>
      <w:r w:rsidRPr="009072DA">
        <w:rPr>
          <w:lang w:val="bg-BG"/>
        </w:rPr>
        <w:tab/>
      </w:r>
      <w:r w:rsidRPr="009072DA">
        <w:rPr>
          <w:i/>
          <w:lang w:val="bg-BG"/>
        </w:rPr>
        <w:t>Станция за зареждане с гориво:</w:t>
      </w:r>
      <w:r w:rsidRPr="009072DA">
        <w:rPr>
          <w:lang w:val="bg-BG"/>
        </w:rPr>
        <w:t xml:space="preserve"> областта на борда, където се намира цялото оборудване, използвано за зареждане с гориво, като колектори, клапани, </w:t>
      </w:r>
      <w:r w:rsidRPr="009072DA">
        <w:rPr>
          <w:lang w:val="bg-BG"/>
        </w:rPr>
        <w:lastRenderedPageBreak/>
        <w:t>инструменти за проучване, оборудване за безопасност, наблюдателен пункт, инструменти и др.</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1.2.5</w:t>
      </w:r>
      <w:r w:rsidRPr="009072DA">
        <w:rPr>
          <w:lang w:val="bg-BG"/>
        </w:rPr>
        <w:tab/>
      </w:r>
      <w:r w:rsidRPr="009072DA">
        <w:rPr>
          <w:i/>
          <w:lang w:val="bg-BG"/>
        </w:rPr>
        <w:t>Ограничителна система за ВПГ:</w:t>
      </w:r>
      <w:r w:rsidRPr="009072DA">
        <w:rPr>
          <w:lang w:val="bg-BG"/>
        </w:rPr>
        <w:t xml:space="preserve"> съоръжение за съхранение на втечнен природен газ (ВПГ), включително връзки към резервоари.</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1.2.6</w:t>
      </w:r>
      <w:r w:rsidRPr="009072DA">
        <w:rPr>
          <w:lang w:val="bg-BG"/>
        </w:rPr>
        <w:tab/>
      </w:r>
      <w:r w:rsidRPr="009072DA">
        <w:rPr>
          <w:i/>
          <w:lang w:val="bg-BG"/>
        </w:rPr>
        <w:t>Система за подаване на газ:</w:t>
      </w:r>
      <w:r w:rsidRPr="009072DA">
        <w:rPr>
          <w:lang w:val="bg-BG"/>
        </w:rPr>
        <w:t xml:space="preserve"> съоръжението, включително система за подготовка на газ, линии за доставка на газ и вентили за подаване на газ на борда за всяко оборудване, използващо газ.</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1.2.7</w:t>
      </w:r>
      <w:r w:rsidRPr="009072DA">
        <w:rPr>
          <w:lang w:val="bg-BG"/>
        </w:rPr>
        <w:tab/>
      </w:r>
      <w:r w:rsidRPr="009072DA">
        <w:rPr>
          <w:i/>
          <w:lang w:val="bg-BG"/>
        </w:rPr>
        <w:t>Система за подготовка на газ:</w:t>
      </w:r>
      <w:r w:rsidRPr="009072DA">
        <w:rPr>
          <w:lang w:val="bg-BG"/>
        </w:rPr>
        <w:t xml:space="preserve"> съоръжението, използвано за преобразуване на втечнен природен газ (ВПГ) в природния газ, неговите принадлежности и тръбопровод.</w:t>
      </w:r>
    </w:p>
    <w:p w:rsidR="005C7DB3" w:rsidRPr="009072DA" w:rsidRDefault="005C7DB3" w:rsidP="00544563">
      <w:pPr>
        <w:pStyle w:val="Esann8ch"/>
        <w:rPr>
          <w:lang w:val="bg-BG"/>
        </w:rPr>
      </w:pPr>
    </w:p>
    <w:p w:rsidR="00A26ED8" w:rsidRPr="009072DA" w:rsidRDefault="00A26ED8" w:rsidP="00A26ED8">
      <w:pPr>
        <w:pStyle w:val="Esann8ch"/>
        <w:rPr>
          <w:lang w:val="bg-BG"/>
        </w:rPr>
      </w:pPr>
      <w:r w:rsidRPr="009072DA">
        <w:rPr>
          <w:lang w:val="bg-BG"/>
        </w:rPr>
        <w:t>1.2.8</w:t>
      </w:r>
      <w:r w:rsidRPr="009072DA">
        <w:rPr>
          <w:lang w:val="bg-BG"/>
        </w:rPr>
        <w:tab/>
      </w:r>
      <w:r w:rsidRPr="009072DA">
        <w:rPr>
          <w:i/>
          <w:lang w:val="bg-BG"/>
        </w:rPr>
        <w:t>Опасни зони</w:t>
      </w:r>
      <w:r w:rsidRPr="009072DA">
        <w:rPr>
          <w:lang w:val="bg-BG"/>
        </w:rPr>
        <w:t>: зони 0, 1 и 2 според класификацията по-долу:</w:t>
      </w:r>
    </w:p>
    <w:p w:rsidR="00A26ED8" w:rsidRPr="009072DA" w:rsidRDefault="00A26ED8" w:rsidP="00A26ED8">
      <w:pPr>
        <w:adjustRightInd w:val="0"/>
        <w:spacing w:line="240" w:lineRule="atLeast"/>
        <w:ind w:left="709" w:hanging="709"/>
        <w:rPr>
          <w:rFonts w:cs="Arial"/>
          <w:color w:val="000000"/>
          <w:szCs w:val="20"/>
          <w:lang w:val="bg-BG"/>
        </w:rPr>
      </w:pPr>
    </w:p>
    <w:p w:rsidR="00A26ED8" w:rsidRPr="009072DA" w:rsidRDefault="00A26ED8" w:rsidP="00A26ED8">
      <w:pPr>
        <w:pStyle w:val="Esann8ch"/>
        <w:rPr>
          <w:lang w:val="bg-BG"/>
        </w:rPr>
      </w:pPr>
      <w:r w:rsidRPr="009072DA">
        <w:rPr>
          <w:lang w:val="bg-BG"/>
        </w:rPr>
        <w:t>1.2.8.1</w:t>
      </w:r>
      <w:r w:rsidRPr="009072DA">
        <w:rPr>
          <w:lang w:val="bg-BG"/>
        </w:rPr>
        <w:tab/>
        <w:t>Зона 0: зоната, в която е налице непрекъснато, или за дълги периоди, или често експлозивна атмосфера, състояща се от смес от запалими вещества под формата на газ, изпарения или мъгла,</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1.2.8.2</w:t>
      </w:r>
      <w:r w:rsidRPr="009072DA">
        <w:rPr>
          <w:lang w:val="bg-BG"/>
        </w:rPr>
        <w:tab/>
        <w:t>Зона 1: зоната, в която е вероятно при нормални условия на работа да възникне понякога експлозивна атмосфера, състояща се от смес от запалими вещества под формата на газ, изпарения или мъгла,</w:t>
      </w:r>
    </w:p>
    <w:p w:rsidR="005C7DB3" w:rsidRPr="009072DA" w:rsidRDefault="005C7DB3" w:rsidP="00A26ED8">
      <w:pPr>
        <w:pStyle w:val="Esann8ch"/>
        <w:rPr>
          <w:lang w:val="bg-BG"/>
        </w:rPr>
      </w:pPr>
    </w:p>
    <w:p w:rsidR="00544563" w:rsidRPr="009072DA" w:rsidRDefault="00544563">
      <w:pPr>
        <w:rPr>
          <w:rFonts w:eastAsia="Calibri" w:cs="Arial"/>
          <w:color w:val="000000"/>
          <w:szCs w:val="20"/>
          <w:lang w:val="bg-BG"/>
        </w:rPr>
      </w:pPr>
      <w:r w:rsidRPr="009072DA">
        <w:rPr>
          <w:lang w:val="bg-BG"/>
        </w:rPr>
        <w:br w:type="page"/>
      </w:r>
    </w:p>
    <w:p w:rsidR="00544563" w:rsidRPr="009072DA" w:rsidRDefault="00544563" w:rsidP="00544563">
      <w:pPr>
        <w:pStyle w:val="Esann8ch"/>
        <w:rPr>
          <w:lang w:val="bg-BG"/>
        </w:rPr>
      </w:pPr>
    </w:p>
    <w:p w:rsidR="00A26ED8" w:rsidRPr="009072DA" w:rsidRDefault="00A26ED8" w:rsidP="00A26ED8">
      <w:pPr>
        <w:pStyle w:val="Esann8ch"/>
        <w:rPr>
          <w:iCs/>
          <w:lang w:val="bg-BG"/>
        </w:rPr>
      </w:pPr>
      <w:r w:rsidRPr="009072DA">
        <w:rPr>
          <w:lang w:val="bg-BG"/>
        </w:rPr>
        <w:t>1.2.8.3</w:t>
      </w:r>
      <w:r w:rsidRPr="009072DA">
        <w:rPr>
          <w:lang w:val="bg-BG"/>
        </w:rPr>
        <w:tab/>
        <w:t>Зона 2: зоната, в която при нормални условия на работа не е вероятно да възникне експлозивна атмосфера, състояща се от смес от запалими вещества под формата на газ, изпарения или мъгла, а ако все пак възникне, ще се задържи само за кратък период.</w:t>
      </w:r>
    </w:p>
    <w:p w:rsidR="00A26ED8" w:rsidRPr="009072DA" w:rsidRDefault="00A26ED8" w:rsidP="00A26ED8">
      <w:pPr>
        <w:adjustRightInd w:val="0"/>
        <w:spacing w:line="240" w:lineRule="atLeast"/>
        <w:ind w:left="709" w:hanging="709"/>
        <w:rPr>
          <w:rFonts w:cs="Arial"/>
          <w:i/>
          <w:iCs/>
          <w:szCs w:val="20"/>
          <w:lang w:val="bg-BG"/>
        </w:rPr>
      </w:pPr>
    </w:p>
    <w:p w:rsidR="00A26ED8" w:rsidRPr="009072DA" w:rsidRDefault="00A26ED8" w:rsidP="00A26ED8">
      <w:pPr>
        <w:pStyle w:val="Esann8ch"/>
        <w:rPr>
          <w:lang w:val="bg-BG"/>
        </w:rPr>
      </w:pPr>
      <w:r w:rsidRPr="009072DA">
        <w:rPr>
          <w:lang w:val="bg-BG"/>
        </w:rPr>
        <w:t>1.2.9</w:t>
      </w:r>
      <w:r w:rsidRPr="009072DA">
        <w:rPr>
          <w:lang w:val="bg-BG"/>
        </w:rPr>
        <w:tab/>
      </w:r>
      <w:r w:rsidRPr="009072DA">
        <w:rPr>
          <w:i/>
          <w:lang w:val="bg-BG"/>
        </w:rPr>
        <w:t>Затворено помещение</w:t>
      </w:r>
      <w:r w:rsidRPr="009072DA">
        <w:rPr>
          <w:lang w:val="bg-BG"/>
        </w:rPr>
        <w:t>: всяко помещение, в което, при липса на принудителна вентилация, вентилацията ще е ограничена и евентуална експлозивна атмосфера няма да се разпръсне по естествен път.</w:t>
      </w:r>
    </w:p>
    <w:p w:rsidR="00A26ED8" w:rsidRPr="009072DA" w:rsidRDefault="00A26ED8" w:rsidP="00A26ED8">
      <w:pPr>
        <w:pStyle w:val="Esann8ch"/>
        <w:rPr>
          <w:i/>
          <w:lang w:val="bg-BG"/>
        </w:rPr>
      </w:pPr>
    </w:p>
    <w:p w:rsidR="00A26ED8" w:rsidRPr="009072DA" w:rsidRDefault="00A26ED8" w:rsidP="00A26ED8">
      <w:pPr>
        <w:pStyle w:val="Esann8ch"/>
        <w:rPr>
          <w:lang w:val="bg-BG"/>
        </w:rPr>
      </w:pPr>
      <w:r w:rsidRPr="009072DA">
        <w:rPr>
          <w:lang w:val="bg-BG"/>
        </w:rPr>
        <w:t>1.2.10</w:t>
      </w:r>
      <w:r w:rsidRPr="009072DA">
        <w:rPr>
          <w:lang w:val="bg-BG"/>
        </w:rPr>
        <w:tab/>
      </w:r>
      <w:r w:rsidRPr="009072DA">
        <w:rPr>
          <w:i/>
          <w:lang w:val="bg-BG"/>
        </w:rPr>
        <w:t>Полузатворено помещение:</w:t>
      </w:r>
      <w:r w:rsidRPr="009072DA">
        <w:rPr>
          <w:lang w:val="bg-BG"/>
        </w:rPr>
        <w:t xml:space="preserve"> помещение, ограничено от палуби или прегради по такъв начин, че естествените условия на вентилация се различават съществено от тези на откритата палуба.</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1.2.11</w:t>
      </w:r>
      <w:r w:rsidRPr="009072DA">
        <w:rPr>
          <w:lang w:val="bg-BG"/>
        </w:rPr>
        <w:tab/>
      </w:r>
      <w:r w:rsidRPr="009072DA">
        <w:rPr>
          <w:i/>
          <w:lang w:val="bg-BG"/>
        </w:rPr>
        <w:t>Предпазен изпускателен клапан</w:t>
      </w:r>
      <w:r w:rsidRPr="009072DA">
        <w:rPr>
          <w:lang w:val="bg-BG"/>
        </w:rPr>
        <w:t>: задвижвано от пружина устройство, което автоматично се задейства чрез налягане, чиято цел е да предпази резервоара или тръбопровода от неприемливо прекомерно вътрешно налягане.</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1.2.12</w:t>
      </w:r>
      <w:r w:rsidRPr="009072DA">
        <w:rPr>
          <w:lang w:val="bg-BG"/>
        </w:rPr>
        <w:tab/>
      </w:r>
      <w:r w:rsidRPr="009072DA">
        <w:rPr>
          <w:i/>
          <w:lang w:val="bg-BG"/>
        </w:rPr>
        <w:t>Двигатели, работещи с два вида гориво</w:t>
      </w:r>
      <w:r w:rsidRPr="009072DA">
        <w:rPr>
          <w:lang w:val="bg-BG"/>
        </w:rPr>
        <w:t>: двигатели, използващи втечнен природен газ (ВПГ) в съчетание с гориво с температура на възпламеняване над 55 °C.</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1.2.13</w:t>
      </w:r>
      <w:r w:rsidRPr="009072DA">
        <w:rPr>
          <w:i/>
          <w:lang w:val="bg-BG"/>
        </w:rPr>
        <w:t xml:space="preserve"> </w:t>
      </w:r>
      <w:r w:rsidRPr="009072DA">
        <w:rPr>
          <w:lang w:val="bg-BG"/>
        </w:rPr>
        <w:tab/>
      </w:r>
      <w:r w:rsidRPr="009072DA">
        <w:rPr>
          <w:i/>
          <w:lang w:val="bg-BG"/>
        </w:rPr>
        <w:t>ESD</w:t>
      </w:r>
      <w:r w:rsidRPr="009072DA">
        <w:rPr>
          <w:lang w:val="bg-BG"/>
        </w:rPr>
        <w:t>: аварийно изключване.</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1.2.14</w:t>
      </w:r>
      <w:r w:rsidRPr="009072DA">
        <w:rPr>
          <w:lang w:val="bg-BG"/>
        </w:rPr>
        <w:tab/>
      </w:r>
      <w:r w:rsidRPr="009072DA">
        <w:rPr>
          <w:i/>
          <w:lang w:val="bg-BG"/>
        </w:rPr>
        <w:t>Основен газов клапан</w:t>
      </w:r>
      <w:r w:rsidRPr="009072DA">
        <w:rPr>
          <w:lang w:val="bg-BG"/>
        </w:rPr>
        <w:t>: автоматичен спирателен клапан в линиите за подаване на газ за двигатели.</w:t>
      </w:r>
    </w:p>
    <w:p w:rsidR="00A26ED8" w:rsidRPr="009072DA" w:rsidRDefault="00A26ED8" w:rsidP="00A26ED8">
      <w:pPr>
        <w:pStyle w:val="Esann8ch"/>
        <w:rPr>
          <w:lang w:val="bg-BG"/>
        </w:rPr>
      </w:pPr>
    </w:p>
    <w:p w:rsidR="00A26ED8" w:rsidRPr="009072DA" w:rsidRDefault="00A26ED8" w:rsidP="00A26ED8">
      <w:pPr>
        <w:pStyle w:val="Esann8ch"/>
        <w:rPr>
          <w:i/>
          <w:lang w:val="bg-BG"/>
        </w:rPr>
      </w:pPr>
      <w:r w:rsidRPr="009072DA">
        <w:rPr>
          <w:lang w:val="bg-BG"/>
        </w:rPr>
        <w:t>1.2.15</w:t>
      </w:r>
      <w:r w:rsidRPr="009072DA">
        <w:rPr>
          <w:lang w:val="bg-BG"/>
        </w:rPr>
        <w:tab/>
      </w:r>
      <w:r w:rsidRPr="009072DA">
        <w:rPr>
          <w:i/>
          <w:lang w:val="bg-BG"/>
        </w:rPr>
        <w:t>Вторична преграда:</w:t>
      </w:r>
      <w:r w:rsidRPr="009072DA">
        <w:rPr>
          <w:lang w:val="bg-BG"/>
        </w:rPr>
        <w:t xml:space="preserve"> външният елемент на ограничителна система или тръбопроводи за ВПГ, предназначен да осигурява временно ограничаване на всяко предвидено изпускане през първостепенната преграда.</w:t>
      </w:r>
    </w:p>
    <w:p w:rsidR="00A26ED8" w:rsidRPr="009072DA" w:rsidRDefault="00A26ED8" w:rsidP="00A26ED8">
      <w:pPr>
        <w:pStyle w:val="Esann8ch"/>
        <w:rPr>
          <w:i/>
          <w:lang w:val="bg-BG"/>
        </w:rPr>
      </w:pPr>
    </w:p>
    <w:p w:rsidR="00A26ED8" w:rsidRPr="009072DA" w:rsidRDefault="00A26ED8" w:rsidP="00A26ED8">
      <w:pPr>
        <w:pStyle w:val="Esann8ch"/>
        <w:rPr>
          <w:i/>
          <w:lang w:val="bg-BG"/>
        </w:rPr>
      </w:pPr>
      <w:r w:rsidRPr="009072DA">
        <w:rPr>
          <w:lang w:val="bg-BG"/>
        </w:rPr>
        <w:t xml:space="preserve">1.2.16 </w:t>
      </w:r>
      <w:r w:rsidRPr="009072DA">
        <w:rPr>
          <w:lang w:val="bg-BG"/>
        </w:rPr>
        <w:tab/>
      </w:r>
      <w:r w:rsidRPr="009072DA">
        <w:rPr>
          <w:i/>
          <w:lang w:val="bg-BG"/>
        </w:rPr>
        <w:t>Максимално работно налягане</w:t>
      </w:r>
      <w:r w:rsidRPr="009072DA">
        <w:rPr>
          <w:lang w:val="bg-BG"/>
        </w:rPr>
        <w:t xml:space="preserve">: максималното налягане, което е приемливо в резервоара за ВПГ или тръбопроводи по време на експлоатация. Това налягане е равно на налягането на отваряне на предпазни изпускателни клапани или устройства. </w:t>
      </w:r>
    </w:p>
    <w:p w:rsidR="00A26ED8" w:rsidRPr="009072DA" w:rsidRDefault="00A26ED8" w:rsidP="00A26ED8">
      <w:pPr>
        <w:pStyle w:val="Esann8ch"/>
        <w:rPr>
          <w:i/>
          <w:lang w:val="bg-BG"/>
        </w:rPr>
      </w:pPr>
    </w:p>
    <w:p w:rsidR="00A26ED8" w:rsidRPr="009072DA" w:rsidRDefault="00A26ED8" w:rsidP="00A26ED8">
      <w:pPr>
        <w:pStyle w:val="Esann8ch"/>
        <w:rPr>
          <w:lang w:val="bg-BG"/>
        </w:rPr>
      </w:pPr>
      <w:r w:rsidRPr="009072DA">
        <w:rPr>
          <w:lang w:val="bg-BG"/>
        </w:rPr>
        <w:lastRenderedPageBreak/>
        <w:t xml:space="preserve">1.2.17 </w:t>
      </w:r>
      <w:r w:rsidRPr="009072DA">
        <w:rPr>
          <w:lang w:val="bg-BG"/>
        </w:rPr>
        <w:tab/>
      </w:r>
      <w:r w:rsidRPr="009072DA">
        <w:rPr>
          <w:i/>
          <w:lang w:val="bg-BG"/>
        </w:rPr>
        <w:t>Проектно налягане</w:t>
      </w:r>
      <w:r w:rsidRPr="009072DA">
        <w:rPr>
          <w:lang w:val="bg-BG"/>
        </w:rPr>
        <w:t>: налягането, въз основа на което е проектиран и конструиран резервоар за ВПГ или тръбопровод.</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1.2.18</w:t>
      </w:r>
      <w:r w:rsidRPr="009072DA">
        <w:rPr>
          <w:lang w:val="bg-BG"/>
        </w:rPr>
        <w:tab/>
      </w:r>
      <w:r w:rsidRPr="009072DA">
        <w:rPr>
          <w:i/>
          <w:lang w:val="bg-BG"/>
        </w:rPr>
        <w:t>Двоен спирателен и обезвъздушаващ клапан</w:t>
      </w:r>
      <w:r w:rsidRPr="009072DA">
        <w:rPr>
          <w:lang w:val="bg-BG"/>
        </w:rPr>
        <w:t xml:space="preserve">: комплект от два клапана последователно в тръба и трети клапан, който позволява освобождаване на налягане от тръбата между тези два клапана. Инсталацията може също така да се състои от двупосочен кран и затварящ клапан, вместо от три отделни клапани. </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1.2.19</w:t>
      </w:r>
      <w:r w:rsidRPr="009072DA">
        <w:rPr>
          <w:lang w:val="bg-BG"/>
        </w:rPr>
        <w:tab/>
      </w:r>
      <w:r w:rsidRPr="009072DA">
        <w:rPr>
          <w:i/>
          <w:lang w:val="bg-BG"/>
        </w:rPr>
        <w:t>Въздушен шлюз</w:t>
      </w:r>
      <w:r w:rsidRPr="009072DA">
        <w:rPr>
          <w:lang w:val="bg-BG"/>
        </w:rPr>
        <w:t>: пространство, оградено от газонепроницаеми стоманени прегради с две газонепроницаеми врати, предназначено за отделяне на неопасна зона от опасна зона.</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1.2.20</w:t>
      </w:r>
      <w:r w:rsidRPr="009072DA">
        <w:rPr>
          <w:lang w:val="bg-BG"/>
        </w:rPr>
        <w:tab/>
      </w:r>
      <w:r w:rsidRPr="009072DA">
        <w:rPr>
          <w:i/>
          <w:lang w:val="bg-BG"/>
        </w:rPr>
        <w:t>Двустенни тръби</w:t>
      </w:r>
      <w:r w:rsidRPr="009072DA">
        <w:rPr>
          <w:lang w:val="bg-BG"/>
        </w:rPr>
        <w:t>: тръби с двустенна конструкция, за който пространството между стените е пълно с инертен газ и които са оборудвани за откриване на евентуални течове от една от двете стени.</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1.2.21</w:t>
      </w:r>
      <w:r w:rsidRPr="009072DA">
        <w:rPr>
          <w:lang w:val="bg-BG"/>
        </w:rPr>
        <w:tab/>
      </w:r>
      <w:r w:rsidRPr="009072DA">
        <w:rPr>
          <w:i/>
          <w:lang w:val="bg-BG"/>
        </w:rPr>
        <w:t>Компоненти на системата</w:t>
      </w:r>
      <w:r w:rsidRPr="009072DA">
        <w:rPr>
          <w:lang w:val="bg-BG"/>
        </w:rPr>
        <w:t>: всички части на инсталацията, които могат да съдържат втечнен природен газ (ВПГ) или природен газ (ПГ) (резервоари за гориво, тръбопроводи, вентили, гъвкави маркучи, бутала, помпи, филтри, оборудване и др.).</w:t>
      </w:r>
    </w:p>
    <w:p w:rsidR="005C7DB3" w:rsidRPr="009072DA" w:rsidRDefault="005C7DB3" w:rsidP="00544563">
      <w:pPr>
        <w:pStyle w:val="Esann8ch"/>
        <w:rPr>
          <w:lang w:val="bg-BG"/>
        </w:rPr>
      </w:pPr>
    </w:p>
    <w:p w:rsidR="005E7B71" w:rsidRPr="009072DA" w:rsidRDefault="005E7B71">
      <w:pPr>
        <w:rPr>
          <w:rFonts w:eastAsia="Calibri" w:cs="Arial"/>
          <w:color w:val="000000"/>
          <w:szCs w:val="20"/>
          <w:lang w:val="bg-BG"/>
        </w:rPr>
      </w:pPr>
      <w:r w:rsidRPr="009072DA">
        <w:rPr>
          <w:lang w:val="bg-BG"/>
        </w:rPr>
        <w:br w:type="page"/>
      </w:r>
    </w:p>
    <w:p w:rsidR="005E7B71" w:rsidRPr="009072DA" w:rsidRDefault="005E7B71" w:rsidP="00544563">
      <w:pPr>
        <w:pStyle w:val="Esann8ch"/>
        <w:rPr>
          <w:lang w:val="bg-BG"/>
        </w:rPr>
      </w:pPr>
    </w:p>
    <w:p w:rsidR="00A26ED8" w:rsidRPr="009072DA" w:rsidRDefault="00A26ED8" w:rsidP="00A26ED8">
      <w:pPr>
        <w:pStyle w:val="Esann8ch"/>
        <w:rPr>
          <w:lang w:val="bg-BG"/>
        </w:rPr>
      </w:pPr>
      <w:r w:rsidRPr="009072DA">
        <w:rPr>
          <w:lang w:val="bg-BG"/>
        </w:rPr>
        <w:t>1.2.22</w:t>
      </w:r>
      <w:r w:rsidRPr="009072DA">
        <w:rPr>
          <w:lang w:val="bg-BG"/>
        </w:rPr>
        <w:tab/>
      </w:r>
      <w:r w:rsidRPr="009072DA">
        <w:rPr>
          <w:i/>
          <w:lang w:val="bg-BG"/>
        </w:rPr>
        <w:t>Вентилирани канали</w:t>
      </w:r>
      <w:r w:rsidRPr="009072DA">
        <w:rPr>
          <w:lang w:val="bg-BG"/>
        </w:rPr>
        <w:t>: газови тръби, монтирани в тръба или горивопровод, оборудвани с механична смукателна вентилация.</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1.2.23</w:t>
      </w:r>
      <w:r w:rsidRPr="009072DA">
        <w:rPr>
          <w:lang w:val="bg-BG"/>
        </w:rPr>
        <w:tab/>
      </w:r>
      <w:r w:rsidRPr="009072DA">
        <w:rPr>
          <w:i/>
          <w:lang w:val="bg-BG"/>
        </w:rPr>
        <w:t>Оборудване за сигнализиране на наличието на газ</w:t>
      </w:r>
      <w:r w:rsidRPr="009072DA">
        <w:rPr>
          <w:lang w:val="bg-BG"/>
        </w:rPr>
        <w:t xml:space="preserve">: предупредително оборудване </w:t>
      </w:r>
      <w:r w:rsidRPr="009072DA">
        <w:rPr>
          <w:rStyle w:val="hps"/>
          <w:lang w:val="bg-BG"/>
        </w:rPr>
        <w:t>за защита</w:t>
      </w:r>
      <w:r w:rsidRPr="009072DA">
        <w:rPr>
          <w:lang w:val="bg-BG"/>
        </w:rPr>
        <w:t xml:space="preserve"> </w:t>
      </w:r>
      <w:r w:rsidRPr="009072DA">
        <w:rPr>
          <w:rStyle w:val="hps"/>
          <w:lang w:val="bg-BG"/>
        </w:rPr>
        <w:t>на лица</w:t>
      </w:r>
      <w:r w:rsidRPr="009072DA">
        <w:rPr>
          <w:lang w:val="bg-BG"/>
        </w:rPr>
        <w:t xml:space="preserve"> </w:t>
      </w:r>
      <w:r w:rsidRPr="009072DA">
        <w:rPr>
          <w:rStyle w:val="hps"/>
          <w:lang w:val="bg-BG"/>
        </w:rPr>
        <w:t>и имущество от</w:t>
      </w:r>
      <w:r w:rsidRPr="009072DA">
        <w:rPr>
          <w:lang w:val="bg-BG"/>
        </w:rPr>
        <w:t xml:space="preserve"> </w:t>
      </w:r>
      <w:r w:rsidRPr="009072DA">
        <w:rPr>
          <w:rStyle w:val="hps"/>
          <w:lang w:val="bg-BG"/>
        </w:rPr>
        <w:t>опасни газове</w:t>
      </w:r>
      <w:r w:rsidRPr="009072DA">
        <w:rPr>
          <w:lang w:val="bg-BG"/>
        </w:rPr>
        <w:t xml:space="preserve"> </w:t>
      </w:r>
      <w:r w:rsidRPr="009072DA">
        <w:rPr>
          <w:rStyle w:val="hps"/>
          <w:lang w:val="bg-BG"/>
        </w:rPr>
        <w:t xml:space="preserve">и съдържащи смес от газ </w:t>
      </w:r>
      <w:r w:rsidRPr="009072DA">
        <w:rPr>
          <w:lang w:val="bg-BG"/>
        </w:rPr>
        <w:t xml:space="preserve">въздух. То се състои от детектори за идентифицирането на газове, </w:t>
      </w:r>
      <w:r w:rsidRPr="009072DA">
        <w:rPr>
          <w:rStyle w:val="hps"/>
          <w:lang w:val="bg-BG"/>
        </w:rPr>
        <w:t>контролен модул</w:t>
      </w:r>
      <w:r w:rsidRPr="009072DA">
        <w:rPr>
          <w:lang w:val="bg-BG"/>
        </w:rPr>
        <w:t xml:space="preserve"> </w:t>
      </w:r>
      <w:r w:rsidRPr="009072DA">
        <w:rPr>
          <w:rStyle w:val="hps"/>
          <w:lang w:val="bg-BG"/>
        </w:rPr>
        <w:t>за обработка на сигналите</w:t>
      </w:r>
      <w:r w:rsidRPr="009072DA">
        <w:rPr>
          <w:lang w:val="bg-BG"/>
        </w:rPr>
        <w:t xml:space="preserve"> </w:t>
      </w:r>
      <w:r w:rsidRPr="009072DA">
        <w:rPr>
          <w:rStyle w:val="hps"/>
          <w:lang w:val="bg-BG"/>
        </w:rPr>
        <w:t>и</w:t>
      </w:r>
      <w:r w:rsidRPr="009072DA">
        <w:rPr>
          <w:lang w:val="bg-BG"/>
        </w:rPr>
        <w:t xml:space="preserve"> </w:t>
      </w:r>
      <w:r w:rsidRPr="009072DA">
        <w:rPr>
          <w:rStyle w:val="hps"/>
          <w:lang w:val="bg-BG"/>
        </w:rPr>
        <w:t xml:space="preserve"> </w:t>
      </w:r>
      <w:r w:rsidRPr="009072DA">
        <w:rPr>
          <w:lang w:val="bg-BG"/>
        </w:rPr>
        <w:t xml:space="preserve"> </w:t>
      </w:r>
      <w:r w:rsidRPr="009072DA">
        <w:rPr>
          <w:rStyle w:val="hps"/>
          <w:lang w:val="bg-BG"/>
        </w:rPr>
        <w:t>монитор/алармено устройство</w:t>
      </w:r>
      <w:r w:rsidRPr="009072DA">
        <w:rPr>
          <w:lang w:val="bg-BG"/>
        </w:rPr>
        <w:t xml:space="preserve"> </w:t>
      </w:r>
      <w:r w:rsidRPr="009072DA">
        <w:rPr>
          <w:rStyle w:val="hps"/>
          <w:lang w:val="bg-BG"/>
        </w:rPr>
        <w:t>за показване на статуса</w:t>
      </w:r>
      <w:r w:rsidRPr="009072DA">
        <w:rPr>
          <w:lang w:val="bg-BG"/>
        </w:rPr>
        <w:t xml:space="preserve"> </w:t>
      </w:r>
      <w:r w:rsidRPr="009072DA">
        <w:rPr>
          <w:rStyle w:val="hps"/>
          <w:lang w:val="bg-BG"/>
        </w:rPr>
        <w:t>и</w:t>
      </w:r>
      <w:r w:rsidRPr="009072DA">
        <w:rPr>
          <w:lang w:val="bg-BG"/>
        </w:rPr>
        <w:t xml:space="preserve"> </w:t>
      </w:r>
      <w:r w:rsidRPr="009072DA">
        <w:rPr>
          <w:rStyle w:val="hps"/>
          <w:lang w:val="bg-BG"/>
        </w:rPr>
        <w:t>предупрежденията.</w:t>
      </w:r>
    </w:p>
    <w:p w:rsidR="005C7DB3" w:rsidRPr="009072DA" w:rsidRDefault="005C7DB3" w:rsidP="00A26ED8">
      <w:pPr>
        <w:pStyle w:val="Esann8ch"/>
        <w:rPr>
          <w:lang w:val="bg-BG"/>
        </w:rPr>
      </w:pPr>
    </w:p>
    <w:p w:rsidR="00A26ED8" w:rsidRPr="009072DA" w:rsidRDefault="00A26ED8" w:rsidP="00A26ED8">
      <w:pPr>
        <w:pStyle w:val="Esann8chgras"/>
        <w:rPr>
          <w:lang w:val="bg-BG"/>
        </w:rPr>
      </w:pPr>
      <w:r w:rsidRPr="009072DA">
        <w:rPr>
          <w:lang w:val="bg-BG"/>
        </w:rPr>
        <w:t>1.3</w:t>
      </w:r>
      <w:r w:rsidRPr="009072DA">
        <w:rPr>
          <w:lang w:val="bg-BG"/>
        </w:rPr>
        <w:tab/>
        <w:t>Оценка на риска</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1.3.1</w:t>
      </w:r>
      <w:r w:rsidRPr="009072DA">
        <w:rPr>
          <w:lang w:val="bg-BG"/>
        </w:rPr>
        <w:tab/>
        <w:t>Оценка на риска се извършва при всички концепции и конфигурации, които са нови или са изменени значително. Трябва да се вземат мерки срещу рисковете, произтичащи от използването на втечнен природен газ (ВПГ) и засягащи хора на борда, включително пътници, околната среда, структурната здравина и целостта на плавателното средство. Трябва да се отдели дължимото внимание на опасностите, свързани с физическата конструкция, експлоатацията и поддръжката след отказ.</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1.3.2</w:t>
      </w:r>
      <w:r w:rsidRPr="009072DA">
        <w:rPr>
          <w:lang w:val="bg-BG"/>
        </w:rPr>
        <w:tab/>
        <w:t xml:space="preserve">Рисковете следва да се определят и оценяват посредством метод за анализ на риска, одобрен от контролния орган, като например международните стандарти ISO 31000: 2009 и ISO 31010 : 2010. Загуба на функция, увреждане на компонент, пожар, експлозия, наводняване на резервоарно помещение, потъване на плавателния съд и електрическо свръхнапрежение трябва да бъдат разглеждани като минимум. Анализът трябва да помогне за гарантиране, че рисковете са премахнати, когато това е възможно. Рисковете, които не могат да бъдат отстранени изцяло, трябва да бъдат намалени до приемливо равнище. Основните сценарии и мерките за премахване или намаляване на рисковете трябва да бъдат описани. </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1.3.3</w:t>
      </w:r>
      <w:r w:rsidRPr="009072DA">
        <w:rPr>
          <w:lang w:val="bg-BG"/>
        </w:rPr>
        <w:tab/>
        <w:t>Класификацията на опасните зони на борда, разделени на зони 0, 1 и 2 в съответствие с точка 1.2.8, трябва да бъде документирана в оценката на риска.</w:t>
      </w:r>
    </w:p>
    <w:p w:rsidR="00A26ED8" w:rsidRPr="009072DA" w:rsidRDefault="00A26ED8" w:rsidP="00A26ED8">
      <w:pPr>
        <w:pStyle w:val="Esann8ch"/>
        <w:rPr>
          <w:b/>
          <w:lang w:val="bg-BG"/>
        </w:rPr>
      </w:pPr>
    </w:p>
    <w:p w:rsidR="00A26ED8" w:rsidRPr="009072DA" w:rsidRDefault="00A26ED8" w:rsidP="00A26ED8">
      <w:pPr>
        <w:pStyle w:val="Esann8chgras"/>
        <w:rPr>
          <w:rFonts w:eastAsia="Calibri"/>
          <w:lang w:val="bg-BG"/>
        </w:rPr>
      </w:pPr>
      <w:r w:rsidRPr="009072DA">
        <w:rPr>
          <w:lang w:val="bg-BG"/>
        </w:rPr>
        <w:t>1.4</w:t>
      </w:r>
      <w:r w:rsidRPr="009072DA">
        <w:rPr>
          <w:lang w:val="bg-BG"/>
        </w:rPr>
        <w:tab/>
        <w:t>Общи изисквания</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1.4.1</w:t>
      </w:r>
      <w:r w:rsidRPr="009072DA">
        <w:rPr>
          <w:lang w:val="bg-BG"/>
        </w:rPr>
        <w:tab/>
        <w:t>Единична неизправност в системата за втечнен природен газ не трябва да създава опасна ситуация.</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lastRenderedPageBreak/>
        <w:t>1.4.2</w:t>
      </w:r>
      <w:r w:rsidRPr="009072DA">
        <w:rPr>
          <w:lang w:val="bg-BG"/>
        </w:rPr>
        <w:tab/>
        <w:t xml:space="preserve">Системата за втечнен природен газ трябва да бъде проектирана, построена, инсталирана, поддържана и защитена за осигуряване на безопасна и надеждна експлоатация. </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1.4.3</w:t>
      </w:r>
      <w:r w:rsidRPr="009072DA">
        <w:rPr>
          <w:lang w:val="bg-BG"/>
        </w:rPr>
        <w:tab/>
        <w:t>Компонентите на системата за втечнен природен газ трябва да бъдат защитени срещу външни повреди.</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1.4.4</w:t>
      </w:r>
      <w:r w:rsidRPr="009072DA">
        <w:rPr>
          <w:lang w:val="bg-BG"/>
        </w:rPr>
        <w:tab/>
        <w:t>Достъпът до опасните зони трябва да е ограничен, доколкото е възможно, с цел да се сведат до минимум потенциалните рискове, които могат да засегнат безопасността на плавателните средства, лицата на борда, околната среда и оборудването. По-специално, опасните зони са части от плавателния съд, които не са предназначени за пътници, както е посочено в член 19.06, точка 11.</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 xml:space="preserve">1.4.5 </w:t>
      </w:r>
      <w:r w:rsidRPr="009072DA">
        <w:rPr>
          <w:lang w:val="bg-BG"/>
        </w:rPr>
        <w:tab/>
        <w:t>Предприемат се подходящи мерки за задържане на пътниците извън опасните зони.</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1.4.6</w:t>
      </w:r>
      <w:r w:rsidRPr="009072DA">
        <w:rPr>
          <w:lang w:val="bg-BG"/>
        </w:rPr>
        <w:tab/>
        <w:t>Оборудването, инсталирано в опасни зони, трябва да бъде сведено до минимума, необходим за оперативни цели, и трябва да е подходящо и надлежно сертифицирано.</w:t>
      </w:r>
    </w:p>
    <w:p w:rsidR="00A26ED8" w:rsidRPr="009072DA" w:rsidRDefault="00A26ED8" w:rsidP="00A26ED8">
      <w:pPr>
        <w:pStyle w:val="Esann8ch"/>
        <w:rPr>
          <w:lang w:val="bg-BG"/>
        </w:rPr>
      </w:pPr>
    </w:p>
    <w:p w:rsidR="00A26ED8" w:rsidRPr="009072DA" w:rsidRDefault="00A26ED8" w:rsidP="00A26ED8">
      <w:pPr>
        <w:pStyle w:val="Esann8ch"/>
        <w:rPr>
          <w:lang w:val="bg-BG"/>
        </w:rPr>
      </w:pPr>
      <w:r w:rsidRPr="009072DA">
        <w:rPr>
          <w:lang w:val="bg-BG"/>
        </w:rPr>
        <w:t>1.4.7</w:t>
      </w:r>
      <w:r w:rsidRPr="009072DA">
        <w:rPr>
          <w:lang w:val="bg-BG"/>
        </w:rPr>
        <w:tab/>
        <w:t>Непреднамереното натрупване на концентрации на избухлив или запалим газ трябва да бъде предотвратено.</w:t>
      </w:r>
    </w:p>
    <w:p w:rsidR="00A26ED8" w:rsidRPr="009072DA" w:rsidRDefault="00A26ED8" w:rsidP="00544563">
      <w:pPr>
        <w:pStyle w:val="Esann8ch"/>
        <w:rPr>
          <w:lang w:val="bg-BG"/>
        </w:rPr>
      </w:pPr>
    </w:p>
    <w:p w:rsidR="00A26ED8" w:rsidRPr="009072DA" w:rsidRDefault="00A26ED8" w:rsidP="00544563">
      <w:pPr>
        <w:pStyle w:val="Esann8ch"/>
        <w:rPr>
          <w:lang w:val="bg-BG"/>
        </w:rPr>
      </w:pPr>
    </w:p>
    <w:p w:rsidR="00ED22AF" w:rsidRPr="009072DA" w:rsidRDefault="00ED22AF">
      <w:pPr>
        <w:rPr>
          <w:rFonts w:eastAsia="Calibri" w:cs="Arial"/>
          <w:color w:val="000000"/>
          <w:szCs w:val="20"/>
          <w:lang w:val="bg-BG"/>
        </w:rPr>
      </w:pPr>
      <w:r w:rsidRPr="009072DA">
        <w:rPr>
          <w:lang w:val="bg-BG"/>
        </w:rPr>
        <w:br w:type="page"/>
      </w:r>
    </w:p>
    <w:p w:rsidR="00ED22AF" w:rsidRPr="009072DA" w:rsidRDefault="00ED22AF" w:rsidP="00544563">
      <w:pPr>
        <w:pStyle w:val="Esann8ch"/>
        <w:rPr>
          <w:lang w:val="bg-BG"/>
        </w:rPr>
      </w:pPr>
    </w:p>
    <w:p w:rsidR="001D0FFC" w:rsidRPr="009072DA" w:rsidRDefault="001D0FFC" w:rsidP="001D0FFC">
      <w:pPr>
        <w:pStyle w:val="Esann8ch"/>
        <w:rPr>
          <w:lang w:val="bg-BG"/>
        </w:rPr>
      </w:pPr>
      <w:r w:rsidRPr="009072DA">
        <w:rPr>
          <w:lang w:val="bg-BG"/>
        </w:rPr>
        <w:t>1.4.8</w:t>
      </w:r>
      <w:r w:rsidRPr="009072DA">
        <w:rPr>
          <w:lang w:val="bg-BG"/>
        </w:rPr>
        <w:tab/>
        <w:t>Не се допускат източници на огън в опасните зони с цел намаляване на вероятността от експлозии.</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1.4.9</w:t>
      </w:r>
      <w:r w:rsidRPr="009072DA">
        <w:rPr>
          <w:lang w:val="bg-BG"/>
        </w:rPr>
        <w:tab/>
        <w:t>На борда на плавателното средство, използващо втечнен природен газ като гориво, трябва да има подробно ръководство за експлоатация на системата за втечнен природен газ, което като минимум:</w:t>
      </w:r>
    </w:p>
    <w:p w:rsidR="001D0FFC" w:rsidRPr="009072DA" w:rsidRDefault="001D0FFC" w:rsidP="001D0FFC">
      <w:pPr>
        <w:pStyle w:val="Esann8let"/>
        <w:rPr>
          <w:lang w:val="bg-BG"/>
        </w:rPr>
      </w:pPr>
      <w:r w:rsidRPr="009072DA">
        <w:rPr>
          <w:lang w:val="bg-BG"/>
        </w:rPr>
        <w:t>a)</w:t>
      </w:r>
      <w:r w:rsidRPr="009072DA">
        <w:rPr>
          <w:lang w:val="bg-BG"/>
        </w:rPr>
        <w:tab/>
        <w:t>съдържа практически обяснения за системата за зареждане с втечнен природен газ (ВПГ), ограничителната система за ВПГ, тръбопроводната система за ВПГ, системата за подаване на газ, машинното отделение, вентилационната система, системата за предотвратяване на течове и системата за контрол, следене и безопасност,</w:t>
      </w:r>
    </w:p>
    <w:p w:rsidR="001D0FFC" w:rsidRPr="009072DA" w:rsidRDefault="001D0FFC" w:rsidP="001D0FFC">
      <w:pPr>
        <w:pStyle w:val="Esann8let"/>
        <w:rPr>
          <w:lang w:val="bg-BG"/>
        </w:rPr>
      </w:pPr>
      <w:r w:rsidRPr="009072DA">
        <w:rPr>
          <w:lang w:val="bg-BG"/>
        </w:rPr>
        <w:t>б)</w:t>
      </w:r>
      <w:r w:rsidRPr="009072DA">
        <w:rPr>
          <w:lang w:val="bg-BG"/>
        </w:rPr>
        <w:tab/>
        <w:t>описва дейностите по зареждане с гориво, по-специално работата с вентилите, пречистването, инертирането и освобождаването на газове,</w:t>
      </w:r>
    </w:p>
    <w:p w:rsidR="001D0FFC" w:rsidRPr="009072DA" w:rsidRDefault="001D0FFC" w:rsidP="001D0FFC">
      <w:pPr>
        <w:pStyle w:val="Esann8let"/>
        <w:rPr>
          <w:lang w:val="bg-BG"/>
        </w:rPr>
      </w:pPr>
      <w:r w:rsidRPr="009072DA">
        <w:rPr>
          <w:lang w:val="bg-BG"/>
        </w:rPr>
        <w:t>в)</w:t>
      </w:r>
      <w:r w:rsidRPr="009072DA">
        <w:rPr>
          <w:lang w:val="bg-BG"/>
        </w:rPr>
        <w:tab/>
        <w:t>описва съответните методи на електрическа изолация по време на дейностите по зареждане с гориво,</w:t>
      </w:r>
    </w:p>
    <w:p w:rsidR="001D0FFC" w:rsidRPr="009072DA" w:rsidRDefault="001D0FFC" w:rsidP="001D0FFC">
      <w:pPr>
        <w:pStyle w:val="Esann8let"/>
        <w:rPr>
          <w:lang w:val="bg-BG"/>
        </w:rPr>
      </w:pPr>
      <w:r w:rsidRPr="009072DA">
        <w:rPr>
          <w:lang w:val="bg-BG"/>
        </w:rPr>
        <w:t xml:space="preserve">г) </w:t>
      </w:r>
      <w:r w:rsidRPr="009072DA">
        <w:rPr>
          <w:lang w:val="bg-BG"/>
        </w:rPr>
        <w:tab/>
        <w:t>описва подробно рисковете, установени в оценката на риска, посочена в точка 1.3, и начините, по които те се намаляват.</w:t>
      </w:r>
    </w:p>
    <w:p w:rsidR="001D0FFC" w:rsidRPr="009072DA" w:rsidRDefault="001D0FFC" w:rsidP="001D0FFC">
      <w:pPr>
        <w:adjustRightInd w:val="0"/>
        <w:spacing w:line="240" w:lineRule="atLeast"/>
        <w:ind w:left="709" w:hanging="709"/>
        <w:rPr>
          <w:rFonts w:eastAsia="Calibri" w:cs="Arial"/>
          <w:szCs w:val="20"/>
          <w:lang w:val="bg-BG"/>
        </w:rPr>
      </w:pPr>
    </w:p>
    <w:p w:rsidR="001D0FFC" w:rsidRPr="009072DA" w:rsidRDefault="001D0FFC" w:rsidP="001D0FFC">
      <w:pPr>
        <w:pStyle w:val="Esann8ch"/>
        <w:rPr>
          <w:lang w:val="bg-BG"/>
        </w:rPr>
      </w:pPr>
      <w:r w:rsidRPr="009072DA">
        <w:rPr>
          <w:lang w:val="bg-BG"/>
        </w:rPr>
        <w:t>1.4.10</w:t>
      </w:r>
      <w:r w:rsidRPr="009072DA">
        <w:rPr>
          <w:lang w:val="bg-BG"/>
        </w:rPr>
        <w:tab/>
        <w:t>Пожар или експлозия, причинени от изпуснат газ в ограничителни системи за ВПГ и машинни отделения, не трябва да водят до спиране на работата на основни машини или оборудване в други отсеци.</w:t>
      </w:r>
    </w:p>
    <w:p w:rsidR="001D0FFC" w:rsidRPr="009072DA" w:rsidRDefault="001D0FFC" w:rsidP="001D0FFC">
      <w:pPr>
        <w:adjustRightInd w:val="0"/>
        <w:spacing w:line="240" w:lineRule="atLeast"/>
        <w:ind w:left="709" w:hanging="709"/>
        <w:rPr>
          <w:rFonts w:eastAsia="Calibri" w:cs="Arial"/>
          <w:szCs w:val="20"/>
          <w:lang w:val="bg-BG"/>
        </w:rPr>
      </w:pPr>
    </w:p>
    <w:p w:rsidR="001D0FFC" w:rsidRPr="009072DA" w:rsidRDefault="001D0FFC" w:rsidP="001D0FFC">
      <w:pPr>
        <w:pStyle w:val="Esann8chgras"/>
        <w:rPr>
          <w:rFonts w:eastAsia="Calibri"/>
          <w:lang w:val="bg-BG"/>
        </w:rPr>
      </w:pPr>
      <w:r w:rsidRPr="009072DA">
        <w:rPr>
          <w:lang w:val="bg-BG"/>
        </w:rPr>
        <w:t>1.5</w:t>
      </w:r>
      <w:r w:rsidRPr="009072DA">
        <w:rPr>
          <w:lang w:val="bg-BG"/>
        </w:rPr>
        <w:tab/>
        <w:t>Знания на техническата служба</w:t>
      </w:r>
    </w:p>
    <w:p w:rsidR="001D0FFC" w:rsidRPr="009072DA" w:rsidRDefault="001D0FFC" w:rsidP="001D0FFC">
      <w:pPr>
        <w:spacing w:line="240" w:lineRule="atLeast"/>
        <w:rPr>
          <w:rFonts w:cs="Arial"/>
          <w:b/>
          <w:szCs w:val="20"/>
          <w:lang w:val="bg-BG"/>
        </w:rPr>
      </w:pPr>
    </w:p>
    <w:p w:rsidR="001D0FFC" w:rsidRPr="009072DA" w:rsidRDefault="001D0FFC" w:rsidP="001D0FFC">
      <w:pPr>
        <w:pStyle w:val="Esann8chpar"/>
        <w:rPr>
          <w:lang w:val="bg-BG"/>
        </w:rPr>
      </w:pPr>
      <w:r w:rsidRPr="009072DA">
        <w:rPr>
          <w:lang w:val="bg-BG"/>
        </w:rPr>
        <w:t>Знанията на техническата служба, посочена в член 30.01, точка 4, обхващат най-малко следните области:</w:t>
      </w:r>
    </w:p>
    <w:p w:rsidR="001D0FFC" w:rsidRPr="009072DA" w:rsidRDefault="001D0FFC" w:rsidP="001D0FFC">
      <w:pPr>
        <w:pStyle w:val="Esann8let"/>
        <w:rPr>
          <w:lang w:val="bg-BG"/>
        </w:rPr>
      </w:pPr>
      <w:r w:rsidRPr="009072DA">
        <w:rPr>
          <w:lang w:val="bg-BG"/>
        </w:rPr>
        <w:t>a)</w:t>
      </w:r>
      <w:r w:rsidRPr="009072DA">
        <w:rPr>
          <w:lang w:val="bg-BG"/>
        </w:rPr>
        <w:tab/>
        <w:t xml:space="preserve">горивна система, включително резервоари, топлообменници, тръбопроводи, </w:t>
      </w:r>
    </w:p>
    <w:p w:rsidR="001D0FFC" w:rsidRPr="009072DA" w:rsidRDefault="001D0FFC" w:rsidP="001D0FFC">
      <w:pPr>
        <w:pStyle w:val="Esann8let"/>
        <w:rPr>
          <w:lang w:val="bg-BG"/>
        </w:rPr>
      </w:pPr>
      <w:r w:rsidRPr="009072DA">
        <w:rPr>
          <w:lang w:val="bg-BG"/>
        </w:rPr>
        <w:t>б)</w:t>
      </w:r>
      <w:r w:rsidRPr="009072DA">
        <w:rPr>
          <w:lang w:val="bg-BG"/>
        </w:rPr>
        <w:tab/>
        <w:t>якост (надлъжна и местна) и устойчивост на плавателното средство,</w:t>
      </w:r>
    </w:p>
    <w:p w:rsidR="001D0FFC" w:rsidRPr="009072DA" w:rsidRDefault="001D0FFC" w:rsidP="001D0FFC">
      <w:pPr>
        <w:pStyle w:val="Esann8let"/>
        <w:rPr>
          <w:lang w:val="bg-BG"/>
        </w:rPr>
      </w:pPr>
      <w:r w:rsidRPr="009072DA">
        <w:rPr>
          <w:lang w:val="bg-BG"/>
        </w:rPr>
        <w:t>в)</w:t>
      </w:r>
      <w:r w:rsidRPr="009072DA">
        <w:rPr>
          <w:lang w:val="bg-BG"/>
        </w:rPr>
        <w:tab/>
        <w:t>електрически системи и системи за контрол,</w:t>
      </w:r>
    </w:p>
    <w:p w:rsidR="001D0FFC" w:rsidRPr="009072DA" w:rsidRDefault="001D0FFC" w:rsidP="001D0FFC">
      <w:pPr>
        <w:pStyle w:val="Esann8let"/>
        <w:rPr>
          <w:lang w:val="bg-BG"/>
        </w:rPr>
      </w:pPr>
      <w:r w:rsidRPr="009072DA">
        <w:rPr>
          <w:lang w:val="bg-BG"/>
        </w:rPr>
        <w:t>г)</w:t>
      </w:r>
      <w:r w:rsidRPr="009072DA">
        <w:rPr>
          <w:lang w:val="bg-BG"/>
        </w:rPr>
        <w:tab/>
        <w:t>вентилационна система,</w:t>
      </w:r>
    </w:p>
    <w:p w:rsidR="001D0FFC" w:rsidRPr="009072DA" w:rsidRDefault="001D0FFC" w:rsidP="001D0FFC">
      <w:pPr>
        <w:pStyle w:val="Esann8let"/>
        <w:rPr>
          <w:lang w:val="bg-BG"/>
        </w:rPr>
      </w:pPr>
      <w:r w:rsidRPr="009072DA">
        <w:rPr>
          <w:lang w:val="bg-BG"/>
        </w:rPr>
        <w:t>д)</w:t>
      </w:r>
      <w:r w:rsidRPr="009072DA">
        <w:rPr>
          <w:lang w:val="bg-BG"/>
        </w:rPr>
        <w:tab/>
        <w:t>пожарна безопасност,</w:t>
      </w:r>
    </w:p>
    <w:p w:rsidR="001D0FFC" w:rsidRPr="009072DA" w:rsidRDefault="001D0FFC" w:rsidP="001D0FFC">
      <w:pPr>
        <w:pStyle w:val="Esann8let"/>
        <w:rPr>
          <w:lang w:val="bg-BG"/>
        </w:rPr>
      </w:pPr>
      <w:r w:rsidRPr="009072DA">
        <w:rPr>
          <w:lang w:val="bg-BG"/>
        </w:rPr>
        <w:t>е)</w:t>
      </w:r>
      <w:r w:rsidRPr="009072DA">
        <w:rPr>
          <w:lang w:val="bg-BG"/>
        </w:rPr>
        <w:tab/>
        <w:t>оборудване за сигнализиране на наличието на газ.</w:t>
      </w:r>
    </w:p>
    <w:p w:rsidR="001D0FFC" w:rsidRPr="009072DA" w:rsidRDefault="001D0FFC" w:rsidP="001D0FFC">
      <w:pPr>
        <w:adjustRightInd w:val="0"/>
        <w:spacing w:line="240" w:lineRule="atLeast"/>
        <w:ind w:left="709" w:hanging="709"/>
        <w:rPr>
          <w:rFonts w:eastAsia="Calibri" w:cs="Arial"/>
          <w:szCs w:val="20"/>
          <w:lang w:val="bg-BG"/>
        </w:rPr>
      </w:pPr>
    </w:p>
    <w:p w:rsidR="001D0FFC" w:rsidRPr="009072DA" w:rsidRDefault="001D0FFC" w:rsidP="001D0FFC">
      <w:pPr>
        <w:pStyle w:val="Esann8chgras"/>
        <w:rPr>
          <w:rFonts w:eastAsia="Calibri"/>
          <w:lang w:val="bg-BG"/>
        </w:rPr>
      </w:pPr>
      <w:r w:rsidRPr="009072DA">
        <w:rPr>
          <w:lang w:val="bg-BG"/>
        </w:rPr>
        <w:lastRenderedPageBreak/>
        <w:t>1.6</w:t>
      </w:r>
      <w:r w:rsidRPr="009072DA">
        <w:rPr>
          <w:lang w:val="bg-BG"/>
        </w:rPr>
        <w:tab/>
        <w:t>Обозначаване</w:t>
      </w:r>
    </w:p>
    <w:p w:rsidR="001D0FFC" w:rsidRPr="009072DA" w:rsidRDefault="001D0FFC" w:rsidP="001D0FFC">
      <w:pPr>
        <w:adjustRightInd w:val="0"/>
        <w:spacing w:line="240" w:lineRule="atLeast"/>
        <w:ind w:left="709" w:hanging="709"/>
        <w:rPr>
          <w:rFonts w:eastAsia="Calibri" w:cs="Arial"/>
          <w:b/>
          <w:szCs w:val="20"/>
          <w:lang w:val="bg-BG"/>
        </w:rPr>
      </w:pPr>
    </w:p>
    <w:p w:rsidR="001D0FFC" w:rsidRPr="009072DA" w:rsidRDefault="001D0FFC" w:rsidP="001D0FFC">
      <w:pPr>
        <w:pStyle w:val="Esann8chpar"/>
        <w:rPr>
          <w:lang w:val="bg-BG"/>
        </w:rPr>
      </w:pPr>
      <w:r w:rsidRPr="009072DA">
        <w:rPr>
          <w:lang w:val="bg-BG"/>
        </w:rPr>
        <w:t>От външната страна на врати към помещения, където се използва втечнения природен газ (ВПГ), се поставя знакът „Внимание ВПГ“ съгласно фигура 11 от приложение 4, с височина най-малко 10 см.</w:t>
      </w:r>
    </w:p>
    <w:p w:rsidR="001D0FFC" w:rsidRPr="009072DA" w:rsidRDefault="001D0FFC" w:rsidP="001D0FFC">
      <w:pPr>
        <w:adjustRightInd w:val="0"/>
        <w:spacing w:line="240" w:lineRule="atLeast"/>
        <w:ind w:left="709" w:hanging="709"/>
        <w:rPr>
          <w:rFonts w:eastAsia="Calibri" w:cs="Arial"/>
          <w:szCs w:val="20"/>
          <w:lang w:val="bg-BG"/>
        </w:rPr>
      </w:pPr>
    </w:p>
    <w:p w:rsidR="001D0FFC" w:rsidRPr="009072DA" w:rsidRDefault="001D0FFC" w:rsidP="001D0FFC">
      <w:pPr>
        <w:rPr>
          <w:rFonts w:cs="Arial"/>
          <w:b/>
          <w:szCs w:val="20"/>
          <w:lang w:val="bg-BG"/>
        </w:rPr>
      </w:pPr>
    </w:p>
    <w:p w:rsidR="001D0FFC" w:rsidRPr="009072DA" w:rsidRDefault="001D0FFC" w:rsidP="001D0FFC">
      <w:pPr>
        <w:pStyle w:val="Esann8titrechap"/>
        <w:rPr>
          <w:lang w:val="bg-BG"/>
        </w:rPr>
      </w:pPr>
      <w:r w:rsidRPr="009072DA">
        <w:rPr>
          <w:lang w:val="bg-BG"/>
        </w:rPr>
        <w:t xml:space="preserve">Глава 2 </w:t>
      </w:r>
    </w:p>
    <w:p w:rsidR="001D0FFC" w:rsidRPr="009072DA" w:rsidRDefault="001D0FFC" w:rsidP="001D0FFC">
      <w:pPr>
        <w:pStyle w:val="Esann8titrechap"/>
        <w:rPr>
          <w:lang w:val="bg-BG"/>
        </w:rPr>
      </w:pPr>
      <w:r w:rsidRPr="009072DA">
        <w:rPr>
          <w:lang w:val="bg-BG"/>
        </w:rPr>
        <w:t>Съоръжения на плавателните съдове и проектиране на системата</w:t>
      </w:r>
    </w:p>
    <w:p w:rsidR="001D0FFC" w:rsidRPr="009072DA" w:rsidRDefault="001D0FFC" w:rsidP="001D0FFC">
      <w:pPr>
        <w:pStyle w:val="Esannch"/>
      </w:pPr>
    </w:p>
    <w:p w:rsidR="001D0FFC" w:rsidRPr="009072DA" w:rsidRDefault="001D0FFC" w:rsidP="001D0FFC">
      <w:pPr>
        <w:pStyle w:val="Esann8chgras"/>
        <w:rPr>
          <w:lang w:val="bg-BG"/>
        </w:rPr>
      </w:pPr>
      <w:r w:rsidRPr="009072DA">
        <w:rPr>
          <w:lang w:val="bg-BG"/>
        </w:rPr>
        <w:t>2.1</w:t>
      </w:r>
      <w:r w:rsidRPr="009072DA">
        <w:rPr>
          <w:lang w:val="bg-BG"/>
        </w:rPr>
        <w:tab/>
        <w:t xml:space="preserve">Ограничителна система за ВПГ </w:t>
      </w:r>
    </w:p>
    <w:p w:rsidR="001D0FFC" w:rsidRPr="009072DA" w:rsidRDefault="001D0FFC" w:rsidP="001D0FFC">
      <w:pPr>
        <w:adjustRightInd w:val="0"/>
        <w:spacing w:line="240" w:lineRule="atLeast"/>
        <w:ind w:left="709" w:hanging="709"/>
        <w:rPr>
          <w:rFonts w:eastAsia="Calibri" w:cs="Arial"/>
          <w:szCs w:val="20"/>
          <w:lang w:val="bg-BG"/>
        </w:rPr>
      </w:pPr>
    </w:p>
    <w:p w:rsidR="001D0FFC" w:rsidRPr="009072DA" w:rsidRDefault="001D0FFC" w:rsidP="001D0FFC">
      <w:pPr>
        <w:pStyle w:val="Esann8ch"/>
        <w:rPr>
          <w:lang w:val="bg-BG"/>
        </w:rPr>
      </w:pPr>
      <w:r w:rsidRPr="009072DA">
        <w:rPr>
          <w:lang w:val="bg-BG"/>
        </w:rPr>
        <w:t>2.1.1</w:t>
      </w:r>
      <w:r w:rsidRPr="009072DA">
        <w:rPr>
          <w:lang w:val="bg-BG"/>
        </w:rPr>
        <w:tab/>
        <w:t>Ограничителната система за ВПГ трябва да бъде отделена от машинните отделения или други места с голям риск от пожар.</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2.1.2</w:t>
      </w:r>
      <w:r w:rsidRPr="009072DA">
        <w:rPr>
          <w:lang w:val="bg-BG"/>
        </w:rPr>
        <w:tab/>
        <w:t>Резервоарите за ВПГ трябва да са разположени колкото е възможно по-близо до средната надлъжна линия на плавателния съд.</w:t>
      </w:r>
    </w:p>
    <w:p w:rsidR="005C7DB3" w:rsidRPr="009072DA" w:rsidRDefault="005C7DB3" w:rsidP="00ED22AF">
      <w:pPr>
        <w:pStyle w:val="Esann8ch"/>
        <w:rPr>
          <w:lang w:val="bg-BG"/>
        </w:rPr>
      </w:pPr>
    </w:p>
    <w:p w:rsidR="00ED22AF" w:rsidRPr="009072DA" w:rsidRDefault="00ED22AF">
      <w:pPr>
        <w:rPr>
          <w:rFonts w:eastAsia="Calibri" w:cs="Arial"/>
          <w:color w:val="000000"/>
          <w:szCs w:val="20"/>
          <w:lang w:val="bg-BG"/>
        </w:rPr>
      </w:pPr>
      <w:r w:rsidRPr="009072DA">
        <w:rPr>
          <w:lang w:val="bg-BG"/>
        </w:rPr>
        <w:br w:type="page"/>
      </w:r>
    </w:p>
    <w:p w:rsidR="00ED22AF" w:rsidRPr="009072DA" w:rsidRDefault="00ED22AF" w:rsidP="00ED22AF">
      <w:pPr>
        <w:pStyle w:val="Esann8ch"/>
        <w:rPr>
          <w:lang w:val="bg-BG"/>
        </w:rPr>
      </w:pPr>
    </w:p>
    <w:p w:rsidR="001D0FFC" w:rsidRPr="009072DA" w:rsidRDefault="001D0FFC" w:rsidP="001D0FFC">
      <w:pPr>
        <w:pStyle w:val="Esann8ch"/>
        <w:rPr>
          <w:lang w:val="bg-BG"/>
        </w:rPr>
      </w:pPr>
      <w:r w:rsidRPr="009072DA">
        <w:rPr>
          <w:lang w:val="bg-BG"/>
        </w:rPr>
        <w:t xml:space="preserve">2.1.3 </w:t>
      </w:r>
      <w:r w:rsidRPr="009072DA">
        <w:rPr>
          <w:lang w:val="bg-BG"/>
        </w:rPr>
        <w:tab/>
        <w:t>Разстоянието между корабната стена на плавателното средство и горивния резервоар за ВПГ трябва да е не по-малко от 1,00 m. Ако горивните резервоари за ВПГ се намират:</w:t>
      </w:r>
    </w:p>
    <w:p w:rsidR="001D0FFC" w:rsidRPr="009072DA" w:rsidRDefault="001D0FFC" w:rsidP="001D0FFC">
      <w:pPr>
        <w:pStyle w:val="Esann8let"/>
        <w:rPr>
          <w:lang w:val="bg-BG"/>
        </w:rPr>
      </w:pPr>
      <w:r w:rsidRPr="009072DA">
        <w:rPr>
          <w:lang w:val="bg-BG"/>
        </w:rPr>
        <w:t>a)</w:t>
      </w:r>
      <w:r w:rsidRPr="009072DA">
        <w:rPr>
          <w:lang w:val="bg-BG"/>
        </w:rPr>
        <w:tab/>
        <w:t xml:space="preserve">под палубата, плавателното средство трябва да бъде изградено с двойна стена и двойно дъно в местоположението на горивните резервоари за ВПГ. Разстоянието между корабната стена на плавателното средство и вътрешната стена на плавателното средство трябва да е не по-малко от 0,60 m. Дебелината на двойни дъна не трябва да е по-малко от 0,60 m. </w:t>
      </w:r>
    </w:p>
    <w:p w:rsidR="001D0FFC" w:rsidRPr="009072DA" w:rsidRDefault="0084166A" w:rsidP="001D0FFC">
      <w:pPr>
        <w:pStyle w:val="Esann8let"/>
        <w:rPr>
          <w:lang w:val="bg-BG"/>
        </w:rPr>
      </w:pPr>
      <w:r w:rsidRPr="009072DA">
        <w:rPr>
          <w:lang w:val="bg-BG"/>
        </w:rPr>
        <w:t>б)</w:t>
      </w:r>
      <w:r w:rsidRPr="009072DA">
        <w:rPr>
          <w:lang w:val="bg-BG"/>
        </w:rPr>
        <w:tab/>
        <w:t xml:space="preserve">на откритата палуба, разстоянието трябва да бъде най-малко B/5 от вертикални равнини, определени от корабните страни на плавателното средство.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2.1.4</w:t>
      </w:r>
      <w:r w:rsidRPr="009072DA">
        <w:rPr>
          <w:lang w:val="bg-BG"/>
        </w:rPr>
        <w:tab/>
        <w:t>Резервоарът за ВПГ трябва да бъде независим резервоар, проектиран в съответствие с европейски стандарти EN 13530: 2002, EN 13458-2 : 2002 в комбинация с динамични натоварвания или Кодекс IGC (резервоар тип C). Контролният орган може да приеме други равностойни стандарти на една от държавите, през чиято територия преминава река Рейн и Белгия.</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2.1.5</w:t>
      </w:r>
      <w:r w:rsidRPr="009072DA">
        <w:rPr>
          <w:lang w:val="bg-BG"/>
        </w:rPr>
        <w:tab/>
        <w:t xml:space="preserve">Връзките към резервоара трябва да са монтирани над най-високото ниво на течността в резервоарите. Контролният орган може да приеме връзки под най-високото ниво на течността. </w:t>
      </w:r>
    </w:p>
    <w:p w:rsidR="001D0FFC" w:rsidRPr="009072DA" w:rsidRDefault="001D0FFC" w:rsidP="001D0FFC">
      <w:pPr>
        <w:pStyle w:val="Esann8ch"/>
        <w:rPr>
          <w:lang w:val="bg-BG"/>
        </w:rPr>
      </w:pPr>
    </w:p>
    <w:p w:rsidR="0084166A" w:rsidRPr="009072DA" w:rsidRDefault="0084166A" w:rsidP="0084166A">
      <w:pPr>
        <w:pStyle w:val="Esann8ch"/>
        <w:rPr>
          <w:lang w:val="bg-BG"/>
        </w:rPr>
      </w:pPr>
      <w:r w:rsidRPr="009072DA">
        <w:rPr>
          <w:lang w:val="bg-BG"/>
        </w:rPr>
        <w:t>2.1.6</w:t>
      </w:r>
      <w:r w:rsidRPr="009072DA">
        <w:rPr>
          <w:lang w:val="bg-BG"/>
        </w:rPr>
        <w:tab/>
        <w:t>Ако връзките към резервоара са под най-високото ниво на течност в резервоара за ВПГ, под резервоарите трябва да са поставени събирателни вани, отговарящи на следните изисквания:</w:t>
      </w:r>
    </w:p>
    <w:p w:rsidR="0084166A" w:rsidRPr="009072DA" w:rsidRDefault="0084166A" w:rsidP="0084166A">
      <w:pPr>
        <w:pStyle w:val="Esann8let"/>
        <w:rPr>
          <w:lang w:val="bg-BG"/>
        </w:rPr>
      </w:pPr>
      <w:r w:rsidRPr="009072DA">
        <w:rPr>
          <w:lang w:val="bg-BG"/>
        </w:rPr>
        <w:t>a)</w:t>
      </w:r>
      <w:r w:rsidRPr="009072DA">
        <w:rPr>
          <w:lang w:val="bg-BG"/>
        </w:rPr>
        <w:tab/>
        <w:t>капацитетът на събирателната вана трябва да бъде достатъчен за поместване на обема, който може да се отделя в случай на отказ на тръбна връзка.</w:t>
      </w:r>
    </w:p>
    <w:p w:rsidR="0084166A" w:rsidRPr="009072DA" w:rsidRDefault="0084166A" w:rsidP="0084166A">
      <w:pPr>
        <w:pStyle w:val="Esann8let"/>
        <w:rPr>
          <w:lang w:val="bg-BG"/>
        </w:rPr>
      </w:pPr>
      <w:r w:rsidRPr="009072DA">
        <w:rPr>
          <w:lang w:val="bg-BG"/>
        </w:rPr>
        <w:t>б)</w:t>
      </w:r>
      <w:r w:rsidRPr="009072DA">
        <w:rPr>
          <w:lang w:val="bg-BG"/>
        </w:rPr>
        <w:tab/>
        <w:t xml:space="preserve">материалът на събирателната вана трябва да бъде подходяща неръждаема стомана. </w:t>
      </w:r>
    </w:p>
    <w:p w:rsidR="0084166A" w:rsidRPr="009072DA" w:rsidRDefault="0084166A" w:rsidP="0084166A">
      <w:pPr>
        <w:pStyle w:val="Esann8let"/>
        <w:rPr>
          <w:lang w:val="bg-BG"/>
        </w:rPr>
      </w:pPr>
      <w:r w:rsidRPr="009072DA">
        <w:rPr>
          <w:lang w:val="bg-BG"/>
        </w:rPr>
        <w:t>в)</w:t>
      </w:r>
      <w:r w:rsidRPr="009072DA">
        <w:rPr>
          <w:lang w:val="bg-BG"/>
        </w:rPr>
        <w:tab/>
        <w:t>събирателната вана трябва да бъде достатъчно отделена или изолирана от корпуса или палубата, така че корпусът или палубата не са изложени на недопустимо охлаждане в случай на изтичане на втечнен природен газ (ВПГ).</w:t>
      </w:r>
    </w:p>
    <w:p w:rsidR="0084166A" w:rsidRPr="009072DA" w:rsidRDefault="0084166A" w:rsidP="001D0FFC">
      <w:pPr>
        <w:pStyle w:val="Esann8ch"/>
        <w:rPr>
          <w:lang w:val="bg-BG"/>
        </w:rPr>
      </w:pPr>
    </w:p>
    <w:p w:rsidR="0084166A" w:rsidRPr="009072DA" w:rsidRDefault="0084166A" w:rsidP="001D0FFC">
      <w:pPr>
        <w:pStyle w:val="Esann8ch"/>
        <w:rPr>
          <w:lang w:val="bg-BG"/>
        </w:rPr>
      </w:pPr>
    </w:p>
    <w:p w:rsidR="001D0FFC" w:rsidRPr="009072DA" w:rsidRDefault="0084166A" w:rsidP="001D0FFC">
      <w:pPr>
        <w:pStyle w:val="Esann8ch"/>
        <w:rPr>
          <w:lang w:val="bg-BG"/>
        </w:rPr>
      </w:pPr>
      <w:r w:rsidRPr="009072DA">
        <w:rPr>
          <w:lang w:val="bg-BG"/>
        </w:rPr>
        <w:t>2.1.7</w:t>
      </w:r>
      <w:r w:rsidRPr="009072DA">
        <w:rPr>
          <w:lang w:val="bg-BG"/>
        </w:rPr>
        <w:tab/>
        <w:t>Ограничителната система за ВПГ трябва да бъде снабдена с вторична преграда. Вторична преграда не се изисква за ограничителни системи за ВПГ, когато вероятността за структурни неизправности и изтичания чрез основната преграда е изключително ниска и може да бъде пренебрегната.</w:t>
      </w:r>
    </w:p>
    <w:p w:rsidR="001D0FFC" w:rsidRPr="009072DA" w:rsidRDefault="001D0FFC" w:rsidP="001D0FFC">
      <w:pPr>
        <w:pStyle w:val="Esann8ch"/>
        <w:rPr>
          <w:lang w:val="bg-BG"/>
        </w:rPr>
      </w:pPr>
    </w:p>
    <w:p w:rsidR="001D0FFC" w:rsidRPr="009072DA" w:rsidRDefault="0084166A" w:rsidP="001D0FFC">
      <w:pPr>
        <w:pStyle w:val="Esann8ch"/>
        <w:rPr>
          <w:lang w:val="bg-BG"/>
        </w:rPr>
      </w:pPr>
      <w:r w:rsidRPr="009072DA">
        <w:rPr>
          <w:lang w:val="bg-BG"/>
        </w:rPr>
        <w:t>2.1.8</w:t>
      </w:r>
      <w:r w:rsidRPr="009072DA">
        <w:rPr>
          <w:lang w:val="bg-BG"/>
        </w:rPr>
        <w:tab/>
        <w:t>Ако вторичната преграда на ограничителната система за ВПГ е част от корпуса, тя може да бъде граница на помещението на резервоара при спазване на необходимите предпазни мерки срещу изтичането на криогенна течност.</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2.1.9</w:t>
      </w:r>
      <w:r w:rsidRPr="009072DA">
        <w:rPr>
          <w:lang w:val="bg-BG"/>
        </w:rPr>
        <w:tab/>
        <w:t>Местоположението и конструкцията на ограничителна система за ВПГ и друго оборудване на откритата палуба трябва да осигурява достатъчна вентилация. Натрупването на изпуснат природен газ трябва да бъде предотвратено.</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2.1.10</w:t>
      </w:r>
      <w:r w:rsidRPr="009072DA">
        <w:rPr>
          <w:lang w:val="bg-BG"/>
        </w:rPr>
        <w:tab/>
        <w:t xml:space="preserve">Ако кондензация и обледеняване поради студени повърхности на резервоарите за ВПГ могат да доведат до проблеми за безопасността или функционални проблеми, трябва да бъдат предприети подходящи превантивни или коригиращи мерки.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2.1.11</w:t>
      </w:r>
      <w:r w:rsidRPr="009072DA">
        <w:rPr>
          <w:lang w:val="bg-BG"/>
        </w:rPr>
        <w:tab/>
        <w:t xml:space="preserve">Всеки резервоар за ВПГ трябва да бъде оборудван с най-малко два предпазни изпускателни клапана, с което може да се предотврати свръхналягане, ако единият от клапаните е затворен поради повреда, теч или за техническа поддръжка.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br w:type="page"/>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2.1.12</w:t>
      </w:r>
      <w:r w:rsidRPr="009072DA">
        <w:rPr>
          <w:lang w:val="bg-BG"/>
        </w:rPr>
        <w:tab/>
        <w:t xml:space="preserve">Ако изпускането на гориво във вакуумното пространство на изолиран с вакуум резервоар за ВПГ не може да бъде изключено, вакуумното пространство трябва да бъде защитено посредством подходящ предпазен изпускателен клапан. Ако резервоарите за ВПГ са разположени в затворени или полузатворени помещения, предпазното изпускателно устройство трябва да бъде свързано към вентилационна система.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2.1.13</w:t>
      </w:r>
      <w:r w:rsidRPr="009072DA">
        <w:rPr>
          <w:lang w:val="bg-BG"/>
        </w:rPr>
        <w:tab/>
        <w:t>Изходите за отработилите газове на предпазните изпускателни клапани трябва да са разположени на не по-малко от 2,00 m над палубата на разстояние не по-малко от 6,00 m от жилищните помещения, пространствата за пътници и работните места, които са разположени извън трюма или товарното пространство. Тази височина може да бъде намалена, ако в радиус от 1,00 m около изхода на предпазните изпускателни клапани няма оборудване, не се извършва работата, зоната е обозначена със знаци и са предприети подходящи мерки за защита на палубата.</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2.1.14</w:t>
      </w:r>
      <w:r w:rsidRPr="009072DA">
        <w:rPr>
          <w:lang w:val="bg-BG"/>
        </w:rPr>
        <w:tab/>
        <w:t>Трябва да е възможно безопасно да се изпразват резервоарите за ВПГ, дори ако системата за ВПГ е спряна.</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2.1.15</w:t>
      </w:r>
      <w:r w:rsidRPr="009072DA">
        <w:rPr>
          <w:lang w:val="bg-BG"/>
        </w:rPr>
        <w:tab/>
        <w:t>Трябва да е възможно да се освобождават от газ и проветрят резервоарите за ВПГ, включително газовите тръбопроводни системи. Трябва да е възможно да се извършва инертиране с инертен газ (напр. азот или аргон) преди продухване със сух въздух, с цел изключване наличието на взривоопасна атмосфера в горивните резервоари за ВПГ и газовите тръбопроводи.</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2.1.16</w:t>
      </w:r>
      <w:r w:rsidRPr="009072DA">
        <w:rPr>
          <w:lang w:val="bg-BG"/>
        </w:rPr>
        <w:tab/>
        <w:t xml:space="preserve">Налягането и температурата на горивните резервоари за ВПГ трябва да се поддържат през цялото време в техния проектиран обхват.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2.1.17</w:t>
      </w:r>
      <w:r w:rsidRPr="009072DA">
        <w:rPr>
          <w:lang w:val="bg-BG"/>
        </w:rPr>
        <w:tab/>
        <w:t xml:space="preserve">Ако системата за ВПГ е изключена, налягането в резервоара за ВПГ се поддържа под максималното работно налягане на резервоара за ВПГ за период от 15 дни. Приема се, че резервоарът за ВПГ е запълнен до границите на пълнене съгласно точка 2.9 и че плавателното средство остава в състояние на празен ход.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2.1.18</w:t>
      </w:r>
      <w:r w:rsidRPr="009072DA">
        <w:rPr>
          <w:lang w:val="bg-BG"/>
        </w:rPr>
        <w:tab/>
        <w:t>Резервоарите за ВПГ трябва да бъдат електрически свързани с конструкцията на плавателното средство.</w:t>
      </w:r>
    </w:p>
    <w:p w:rsidR="001D0FFC" w:rsidRPr="009072DA" w:rsidRDefault="001D0FFC" w:rsidP="001D0FFC">
      <w:pPr>
        <w:pStyle w:val="Esann8ch"/>
        <w:rPr>
          <w:b/>
          <w:bCs/>
          <w:lang w:val="bg-BG"/>
        </w:rPr>
      </w:pPr>
    </w:p>
    <w:p w:rsidR="001D0FFC" w:rsidRPr="009072DA" w:rsidRDefault="001D0FFC" w:rsidP="00623DA7">
      <w:pPr>
        <w:pStyle w:val="Esann8chgras"/>
        <w:rPr>
          <w:i/>
          <w:lang w:val="bg-BG"/>
        </w:rPr>
      </w:pPr>
      <w:r w:rsidRPr="009072DA">
        <w:rPr>
          <w:lang w:val="bg-BG"/>
        </w:rPr>
        <w:t>2.2</w:t>
      </w:r>
      <w:r w:rsidRPr="009072DA">
        <w:rPr>
          <w:lang w:val="bg-BG"/>
        </w:rPr>
        <w:tab/>
        <w:t>Машинни отделения</w:t>
      </w:r>
    </w:p>
    <w:p w:rsidR="001D0FFC" w:rsidRPr="009072DA" w:rsidRDefault="001D0FFC" w:rsidP="001D0FFC">
      <w:pPr>
        <w:pStyle w:val="Esann8ch"/>
        <w:rPr>
          <w:b/>
          <w:bCs/>
          <w:lang w:val="bg-BG"/>
        </w:rPr>
      </w:pPr>
    </w:p>
    <w:p w:rsidR="001D0FFC" w:rsidRPr="009072DA" w:rsidRDefault="001D0FFC" w:rsidP="001D0FFC">
      <w:pPr>
        <w:pStyle w:val="Esann8ch"/>
        <w:rPr>
          <w:lang w:val="bg-BG"/>
        </w:rPr>
      </w:pPr>
      <w:r w:rsidRPr="009072DA">
        <w:rPr>
          <w:lang w:val="bg-BG"/>
        </w:rPr>
        <w:t>2.2.1</w:t>
      </w:r>
      <w:r w:rsidRPr="009072DA">
        <w:rPr>
          <w:lang w:val="bg-BG"/>
        </w:rPr>
        <w:tab/>
        <w:t xml:space="preserve">За машинните отделения се прилага една от следните концепции: </w:t>
      </w:r>
    </w:p>
    <w:p w:rsidR="001D0FFC" w:rsidRPr="009072DA" w:rsidRDefault="001D0FFC" w:rsidP="00623DA7">
      <w:pPr>
        <w:pStyle w:val="Esann8let"/>
        <w:rPr>
          <w:lang w:val="bg-BG"/>
        </w:rPr>
      </w:pPr>
      <w:r w:rsidRPr="009072DA">
        <w:rPr>
          <w:lang w:val="bg-BG"/>
        </w:rPr>
        <w:t xml:space="preserve">a) </w:t>
      </w:r>
      <w:r w:rsidRPr="009072DA">
        <w:rPr>
          <w:lang w:val="bg-BG"/>
        </w:rPr>
        <w:tab/>
        <w:t xml:space="preserve">машинно отделение, обезопасено срещу газ, </w:t>
      </w:r>
    </w:p>
    <w:p w:rsidR="001D0FFC" w:rsidRPr="009072DA" w:rsidRDefault="001D0FFC" w:rsidP="00623DA7">
      <w:pPr>
        <w:pStyle w:val="Esann8let"/>
        <w:rPr>
          <w:lang w:val="bg-BG"/>
        </w:rPr>
      </w:pPr>
      <w:r w:rsidRPr="009072DA">
        <w:rPr>
          <w:lang w:val="bg-BG"/>
        </w:rPr>
        <w:t xml:space="preserve">б) </w:t>
      </w:r>
      <w:r w:rsidRPr="009072DA">
        <w:rPr>
          <w:lang w:val="bg-BG"/>
        </w:rPr>
        <w:tab/>
        <w:t xml:space="preserve">машинно отделение, обезопасено срещу експлозия или  </w:t>
      </w:r>
    </w:p>
    <w:p w:rsidR="001D0FFC" w:rsidRPr="009072DA" w:rsidRDefault="001D0FFC" w:rsidP="00623DA7">
      <w:pPr>
        <w:pStyle w:val="Esann8let"/>
        <w:rPr>
          <w:lang w:val="bg-BG"/>
        </w:rPr>
      </w:pPr>
      <w:r w:rsidRPr="009072DA">
        <w:rPr>
          <w:lang w:val="bg-BG"/>
        </w:rPr>
        <w:t xml:space="preserve">в) </w:t>
      </w:r>
      <w:r w:rsidRPr="009072DA">
        <w:rPr>
          <w:lang w:val="bg-BG"/>
        </w:rPr>
        <w:tab/>
        <w:t>машинно отделение, защитено чрез аварийно изключване.</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2.2.2</w:t>
      </w:r>
      <w:r w:rsidRPr="009072DA">
        <w:rPr>
          <w:lang w:val="bg-BG"/>
        </w:rPr>
        <w:tab/>
        <w:t>Изисквания за машинни отделения, обезопасени срещу газ</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2.2.2.1</w:t>
      </w:r>
      <w:r w:rsidRPr="009072DA">
        <w:rPr>
          <w:lang w:val="bg-BG"/>
        </w:rPr>
        <w:tab/>
        <w:t xml:space="preserve">Обезопасените срещу газ машинни отделения следва да бъдат защитени от газ при всички условия („присъщо обезопасени срещу газ“). Евентуален единичен отказ в рамките на системата за ВПГ не трябва да води до изтичане на газ в машинното отделение. Всички газови тръбопроводи в границите на машинното отделение трябва да бъдат затворени в газонепропусклива обвивка, напр. двустенни тръби или вентилирани канали.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2.2.2.2</w:t>
      </w:r>
      <w:r w:rsidRPr="009072DA">
        <w:rPr>
          <w:lang w:val="bg-BG"/>
        </w:rPr>
        <w:tab/>
        <w:t xml:space="preserve">В случай че една от преградите откаже, подаването на газ към съответната част на системата за ВПГ трябва да може да се изключва автоматично. </w:t>
      </w:r>
    </w:p>
    <w:p w:rsidR="001D0FFC" w:rsidRPr="009072DA" w:rsidRDefault="001D0FFC" w:rsidP="001D0FFC">
      <w:pPr>
        <w:pStyle w:val="Esann8ch"/>
        <w:rPr>
          <w:lang w:val="bg-BG"/>
        </w:rPr>
      </w:pPr>
    </w:p>
    <w:p w:rsidR="005E7B71" w:rsidRPr="009072DA" w:rsidRDefault="005E7B71">
      <w:pPr>
        <w:rPr>
          <w:rFonts w:eastAsia="Calibri" w:cs="Arial"/>
          <w:color w:val="000000"/>
          <w:szCs w:val="20"/>
          <w:lang w:val="bg-BG"/>
        </w:rPr>
      </w:pPr>
      <w:r w:rsidRPr="009072DA">
        <w:rPr>
          <w:lang w:val="bg-BG"/>
        </w:rPr>
        <w:br w:type="page"/>
      </w:r>
    </w:p>
    <w:p w:rsidR="005E7B71" w:rsidRPr="009072DA" w:rsidRDefault="005E7B71" w:rsidP="001D0FFC">
      <w:pPr>
        <w:pStyle w:val="Esann8ch"/>
        <w:rPr>
          <w:lang w:val="bg-BG"/>
        </w:rPr>
      </w:pPr>
    </w:p>
    <w:p w:rsidR="001D0FFC" w:rsidRPr="009072DA" w:rsidRDefault="001D0FFC" w:rsidP="001D0FFC">
      <w:pPr>
        <w:pStyle w:val="Esann8ch"/>
        <w:rPr>
          <w:bCs/>
          <w:lang w:val="bg-BG"/>
        </w:rPr>
      </w:pPr>
      <w:r w:rsidRPr="009072DA">
        <w:rPr>
          <w:lang w:val="bg-BG"/>
        </w:rPr>
        <w:t>2.2.2.3</w:t>
      </w:r>
      <w:r w:rsidRPr="009072DA">
        <w:rPr>
          <w:lang w:val="bg-BG"/>
        </w:rPr>
        <w:tab/>
        <w:t>Вентилационната система на вентилирани канали трябва:</w:t>
      </w:r>
    </w:p>
    <w:p w:rsidR="001D0FFC" w:rsidRPr="009072DA" w:rsidRDefault="001D0FFC" w:rsidP="00623DA7">
      <w:pPr>
        <w:pStyle w:val="Esann8let"/>
        <w:rPr>
          <w:lang w:val="bg-BG"/>
        </w:rPr>
      </w:pPr>
      <w:r w:rsidRPr="009072DA">
        <w:rPr>
          <w:lang w:val="bg-BG"/>
        </w:rPr>
        <w:t>a)</w:t>
      </w:r>
      <w:r w:rsidRPr="009072DA">
        <w:rPr>
          <w:lang w:val="bg-BG"/>
        </w:rPr>
        <w:tab/>
        <w:t>да има достатъчен капацитет, за да е гарантирано, че брутният обем на въздуха вътре във вентилирания канал може да се променя поне 30 пъти на час;</w:t>
      </w:r>
    </w:p>
    <w:p w:rsidR="001D0FFC" w:rsidRPr="009072DA" w:rsidRDefault="001D0FFC" w:rsidP="00623DA7">
      <w:pPr>
        <w:pStyle w:val="Esann8let"/>
        <w:rPr>
          <w:lang w:val="bg-BG"/>
        </w:rPr>
      </w:pPr>
      <w:r w:rsidRPr="009072DA">
        <w:rPr>
          <w:lang w:val="bg-BG"/>
        </w:rPr>
        <w:t>б)</w:t>
      </w:r>
      <w:r w:rsidRPr="009072DA">
        <w:rPr>
          <w:lang w:val="bg-BG"/>
        </w:rPr>
        <w:tab/>
        <w:t>да разполага с оборудване за непрекъснато откриване на газ в пространството между вътрешните и външните тръби;</w:t>
      </w:r>
    </w:p>
    <w:p w:rsidR="001D0FFC" w:rsidRPr="009072DA" w:rsidRDefault="001D0FFC" w:rsidP="00623DA7">
      <w:pPr>
        <w:pStyle w:val="Esann8let"/>
        <w:rPr>
          <w:lang w:val="bg-BG"/>
        </w:rPr>
      </w:pPr>
      <w:r w:rsidRPr="009072DA">
        <w:rPr>
          <w:lang w:val="bg-BG"/>
        </w:rPr>
        <w:t>в)</w:t>
      </w:r>
      <w:r w:rsidRPr="009072DA">
        <w:rPr>
          <w:lang w:val="bg-BG"/>
        </w:rPr>
        <w:tab/>
        <w:t>да бъде независима от всички други вентилационни системи, по-специално вентилационната система на машинното отделение.</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2.2.2.4</w:t>
      </w:r>
      <w:r w:rsidRPr="009072DA">
        <w:rPr>
          <w:lang w:val="bg-BG"/>
        </w:rPr>
        <w:tab/>
        <w:t>Обезопасено срещу газ машинно отделение се счита за неопасна зона, освен ако оценката на риска съгласно точка 1.3 посочва обратното.</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2.2.3</w:t>
      </w:r>
      <w:r w:rsidRPr="009072DA">
        <w:rPr>
          <w:lang w:val="bg-BG"/>
        </w:rPr>
        <w:tab/>
        <w:t>Изисквания към машинните отделения, обезопасени срещу експлозия</w:t>
      </w:r>
    </w:p>
    <w:p w:rsidR="001D0FFC" w:rsidRPr="009072DA" w:rsidRDefault="001D0FFC" w:rsidP="001D0FFC">
      <w:pPr>
        <w:pStyle w:val="Esann8ch"/>
        <w:rPr>
          <w:i/>
          <w:lang w:val="bg-BG"/>
        </w:rPr>
      </w:pPr>
    </w:p>
    <w:p w:rsidR="001D0FFC" w:rsidRPr="009072DA" w:rsidRDefault="001D0FFC" w:rsidP="001D0FFC">
      <w:pPr>
        <w:pStyle w:val="Esann8ch"/>
        <w:rPr>
          <w:lang w:val="bg-BG"/>
        </w:rPr>
      </w:pPr>
      <w:r w:rsidRPr="009072DA">
        <w:rPr>
          <w:lang w:val="bg-BG"/>
        </w:rPr>
        <w:t>2.2.3.1</w:t>
      </w:r>
      <w:r w:rsidRPr="009072DA">
        <w:rPr>
          <w:lang w:val="bg-BG"/>
        </w:rPr>
        <w:tab/>
        <w:t xml:space="preserve">Мерките в обезопасените срещу експлозия машинни отделения трябва да са такива, че помещенията да се считат за обезопасени срещу газ при нормални условия. Евентуален единичен отказ в рамките на системата за ВПГ не трябва да води до концентрация на газа над 20 % от долната граница на взривяемост (ДГВ) в машинното отделение.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2.2.3.2</w:t>
      </w:r>
      <w:r w:rsidRPr="009072DA">
        <w:rPr>
          <w:lang w:val="bg-BG"/>
        </w:rPr>
        <w:tab/>
        <w:t>В случай че бъде открит газ или вентилационната система се повреди, подаването на газ към съответната част от системата за ВПГ се изключва автоматично.</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2.2.3.3</w:t>
      </w:r>
      <w:r w:rsidRPr="009072DA">
        <w:rPr>
          <w:lang w:val="bg-BG"/>
        </w:rPr>
        <w:tab/>
        <w:t>Вентилационната система трябва:</w:t>
      </w:r>
    </w:p>
    <w:p w:rsidR="001D0FFC" w:rsidRPr="009072DA" w:rsidRDefault="001D0FFC" w:rsidP="00623DA7">
      <w:pPr>
        <w:pStyle w:val="Esann8let"/>
        <w:rPr>
          <w:lang w:val="bg-BG"/>
        </w:rPr>
      </w:pPr>
      <w:r w:rsidRPr="009072DA">
        <w:rPr>
          <w:lang w:val="bg-BG"/>
        </w:rPr>
        <w:t>a)</w:t>
      </w:r>
      <w:r w:rsidRPr="009072DA">
        <w:rPr>
          <w:lang w:val="bg-BG"/>
        </w:rPr>
        <w:tab/>
        <w:t>да има достатъчен капацитет, за да поддържа газовата концентрация под 20 % от ДГВ в машинното отделение и да гарантира, че брутният обем на въздуха вътре в машинното отделение може да се подменя поне 30 пъти на час,</w:t>
      </w:r>
    </w:p>
    <w:p w:rsidR="001D0FFC" w:rsidRPr="009072DA" w:rsidRDefault="001D0FFC" w:rsidP="00623DA7">
      <w:pPr>
        <w:pStyle w:val="Esann8let"/>
        <w:rPr>
          <w:lang w:val="bg-BG"/>
        </w:rPr>
      </w:pPr>
      <w:r w:rsidRPr="009072DA">
        <w:rPr>
          <w:lang w:val="bg-BG"/>
        </w:rPr>
        <w:t>б)</w:t>
      </w:r>
      <w:r w:rsidRPr="009072DA">
        <w:rPr>
          <w:lang w:val="bg-BG"/>
        </w:rPr>
        <w:tab/>
        <w:t>да бъде независима от всички други вентилационни системи.</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2.2.3.4</w:t>
      </w:r>
      <w:r w:rsidRPr="009072DA">
        <w:rPr>
          <w:lang w:val="bg-BG"/>
        </w:rPr>
        <w:tab/>
        <w:t xml:space="preserve">При нормална експлоатация машинното отделение трябва да се вентилира непрекъснато, като брутният обем въздух в машинното отделение се подменя най-малко 15 пъти на час. </w:t>
      </w:r>
    </w:p>
    <w:p w:rsidR="001D0FFC" w:rsidRPr="009072DA" w:rsidRDefault="001D0FFC" w:rsidP="001D0FFC">
      <w:pPr>
        <w:pStyle w:val="Esann8ch"/>
        <w:rPr>
          <w:lang w:val="bg-BG"/>
        </w:rPr>
      </w:pPr>
    </w:p>
    <w:p w:rsidR="001D0FFC" w:rsidRPr="009072DA" w:rsidRDefault="00623DA7" w:rsidP="001D0FFC">
      <w:pPr>
        <w:pStyle w:val="Esann8ch"/>
        <w:rPr>
          <w:lang w:val="bg-BG"/>
        </w:rPr>
      </w:pPr>
      <w:r w:rsidRPr="009072DA">
        <w:rPr>
          <w:lang w:val="bg-BG"/>
        </w:rPr>
        <w:lastRenderedPageBreak/>
        <w:t>2.2.3.5</w:t>
      </w:r>
      <w:r w:rsidRPr="009072DA">
        <w:rPr>
          <w:lang w:val="bg-BG"/>
        </w:rPr>
        <w:tab/>
        <w:t>Обезопасените срещу експлозия машинни отделения трябва да бъдат проектирани така, че да осигуряват геометрична форма, която свежда до минимум натрупването на газове или образуването на газови възглавници. Трябва да бъде осигурена добра циркулация на въздуха.</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2.2.3.6</w:t>
      </w:r>
      <w:r w:rsidRPr="009072DA">
        <w:rPr>
          <w:lang w:val="bg-BG"/>
        </w:rPr>
        <w:tab/>
        <w:t xml:space="preserve">Обезопасеното срещу експлозия машинно отделение се счита за зона 2, освен ако оценката на риска съгласно точка 1.3 показва друго.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2.2.4</w:t>
      </w:r>
      <w:r w:rsidRPr="009072DA">
        <w:rPr>
          <w:lang w:val="bg-BG"/>
        </w:rPr>
        <w:tab/>
        <w:t>Изисквания към машинните отделения, защитени чрез аварийно изключване</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2.2.4.1</w:t>
      </w:r>
      <w:r w:rsidRPr="009072DA">
        <w:rPr>
          <w:lang w:val="bg-BG"/>
        </w:rPr>
        <w:tab/>
        <w:t xml:space="preserve">Мерките в защитени чрез аварийно изключване машинни отделения трябва да са такива, че помещенията да се считат за обезопасени срещу газ при нормални условия, макар да е възможно при някои необичайни условия те да станат опасни с оглед на свързаните с газа опасности.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2.2.4.2</w:t>
      </w:r>
      <w:r w:rsidRPr="009072DA">
        <w:rPr>
          <w:lang w:val="bg-BG"/>
        </w:rPr>
        <w:tab/>
        <w:t xml:space="preserve">В случай на необичайни условия, включващи свързани с газ опасности, трябва автоматично да бъде извършено аварийно изключване на небезопасното оборудване (източници на запалване) и газовите машини, като оборудването или машините, които се използват или работят активно при такива условия, трябва да са от сертифициран обезопасен вид. </w:t>
      </w:r>
    </w:p>
    <w:p w:rsidR="001D0FFC" w:rsidRPr="009072DA" w:rsidRDefault="001D0FFC" w:rsidP="001D0FFC">
      <w:pPr>
        <w:pStyle w:val="Esann8ch"/>
        <w:rPr>
          <w:lang w:val="bg-BG"/>
        </w:rPr>
      </w:pPr>
    </w:p>
    <w:p w:rsidR="005E7B71" w:rsidRPr="009072DA" w:rsidRDefault="005E7B71">
      <w:pPr>
        <w:rPr>
          <w:rFonts w:eastAsia="Calibri" w:cs="Arial"/>
          <w:color w:val="000000"/>
          <w:szCs w:val="20"/>
          <w:lang w:val="bg-BG"/>
        </w:rPr>
      </w:pPr>
      <w:r w:rsidRPr="009072DA">
        <w:rPr>
          <w:lang w:val="bg-BG"/>
        </w:rPr>
        <w:br w:type="page"/>
      </w:r>
    </w:p>
    <w:p w:rsidR="005E7B71" w:rsidRPr="009072DA" w:rsidRDefault="005E7B71" w:rsidP="001D0FFC">
      <w:pPr>
        <w:pStyle w:val="Esann8ch"/>
        <w:rPr>
          <w:lang w:val="bg-BG"/>
        </w:rPr>
      </w:pPr>
    </w:p>
    <w:p w:rsidR="001D0FFC" w:rsidRPr="009072DA" w:rsidRDefault="001D0FFC" w:rsidP="001D0FFC">
      <w:pPr>
        <w:pStyle w:val="Esann8ch"/>
        <w:rPr>
          <w:lang w:val="bg-BG"/>
        </w:rPr>
      </w:pPr>
      <w:r w:rsidRPr="009072DA">
        <w:rPr>
          <w:lang w:val="bg-BG"/>
        </w:rPr>
        <w:t>2.2.4.3</w:t>
      </w:r>
      <w:r w:rsidRPr="009072DA">
        <w:rPr>
          <w:lang w:val="bg-BG"/>
        </w:rPr>
        <w:tab/>
        <w:t>Вентилационната система трябва:</w:t>
      </w:r>
    </w:p>
    <w:p w:rsidR="001D0FFC" w:rsidRPr="009072DA" w:rsidRDefault="001D0FFC" w:rsidP="00623DA7">
      <w:pPr>
        <w:pStyle w:val="Esann8let"/>
        <w:rPr>
          <w:lang w:val="bg-BG"/>
        </w:rPr>
      </w:pPr>
      <w:r w:rsidRPr="009072DA">
        <w:rPr>
          <w:lang w:val="bg-BG"/>
        </w:rPr>
        <w:t>a)</w:t>
      </w:r>
      <w:r w:rsidRPr="009072DA">
        <w:rPr>
          <w:lang w:val="bg-BG"/>
        </w:rPr>
        <w:tab/>
        <w:t xml:space="preserve">да има достатъчен капацитет, за да гарантира, че брутният обем на въздуха вътре в машинното отделение може да се подменя поне 30 пъти на час, </w:t>
      </w:r>
    </w:p>
    <w:p w:rsidR="001D0FFC" w:rsidRPr="009072DA" w:rsidRDefault="001D0FFC" w:rsidP="00623DA7">
      <w:pPr>
        <w:pStyle w:val="Esann8let"/>
        <w:rPr>
          <w:lang w:val="bg-BG"/>
        </w:rPr>
      </w:pPr>
      <w:r w:rsidRPr="009072DA">
        <w:rPr>
          <w:lang w:val="bg-BG"/>
        </w:rPr>
        <w:t>б)</w:t>
      </w:r>
      <w:r w:rsidRPr="009072DA">
        <w:rPr>
          <w:lang w:val="bg-BG"/>
        </w:rPr>
        <w:tab/>
        <w:t>да бъде проектирана за справяне с вероятен сценарий на максимално пропускане, дължащо се на технически проблеми, и</w:t>
      </w:r>
    </w:p>
    <w:p w:rsidR="001D0FFC" w:rsidRPr="009072DA" w:rsidRDefault="001D0FFC" w:rsidP="00623DA7">
      <w:pPr>
        <w:pStyle w:val="Esann8let"/>
        <w:rPr>
          <w:lang w:val="bg-BG"/>
        </w:rPr>
      </w:pPr>
      <w:r w:rsidRPr="009072DA">
        <w:rPr>
          <w:lang w:val="bg-BG"/>
        </w:rPr>
        <w:t>в)</w:t>
      </w:r>
      <w:r w:rsidRPr="009072DA">
        <w:rPr>
          <w:lang w:val="bg-BG"/>
        </w:rPr>
        <w:tab/>
        <w:t>да бъде независима от всички други вентилационни системи.</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2.2.4.4</w:t>
      </w:r>
      <w:r w:rsidRPr="009072DA">
        <w:rPr>
          <w:lang w:val="bg-BG"/>
        </w:rPr>
        <w:tab/>
        <w:t>При нормална експлоатация машинното отделение трябва да се вентилира непрекъснато, като брутният обем въздух в машинното отделение се подменя най-малко 15 пъти на час.</w:t>
      </w:r>
    </w:p>
    <w:p w:rsidR="001D0FFC" w:rsidRPr="009072DA" w:rsidRDefault="001D0FFC" w:rsidP="00623DA7">
      <w:pPr>
        <w:pStyle w:val="Esann8chpar"/>
        <w:rPr>
          <w:lang w:val="bg-BG"/>
        </w:rPr>
      </w:pPr>
      <w:r w:rsidRPr="009072DA">
        <w:rPr>
          <w:lang w:val="bg-BG"/>
        </w:rPr>
        <w:t xml:space="preserve">Ако газ бъде открит в машинното отделение, броят на смените на въздуха се увеличава автоматично до 30 смени на час. </w:t>
      </w:r>
    </w:p>
    <w:p w:rsidR="001D0FFC" w:rsidRPr="009072DA" w:rsidRDefault="001D0FFC" w:rsidP="001D0FFC">
      <w:pPr>
        <w:pStyle w:val="Esann8ch"/>
        <w:rPr>
          <w:lang w:val="bg-BG"/>
        </w:rPr>
      </w:pPr>
    </w:p>
    <w:p w:rsidR="001D0FFC" w:rsidRPr="009072DA" w:rsidRDefault="000A13AD" w:rsidP="001D0FFC">
      <w:pPr>
        <w:pStyle w:val="Esann8ch"/>
        <w:rPr>
          <w:lang w:val="bg-BG"/>
        </w:rPr>
      </w:pPr>
      <w:r w:rsidRPr="009072DA">
        <w:rPr>
          <w:lang w:val="bg-BG"/>
        </w:rPr>
        <w:t>2.2.4.5</w:t>
      </w:r>
      <w:r w:rsidRPr="009072DA">
        <w:rPr>
          <w:lang w:val="bg-BG"/>
        </w:rPr>
        <w:tab/>
        <w:t>Ако плавателното средство е оборудвано с повече от един двигател за задвижване, тези двигатели трябва да бъдат разположени в най-малко две отделни машинни отделения. Тези машинни отделения не трябва да имат общи стени. Въпреки това общи стени могат да бъдат приети, ако може да бъде доказано, че последиците от един отказ няма да засегнат двете отделения.</w:t>
      </w:r>
      <w:r w:rsidRPr="009072DA">
        <w:rPr>
          <w:vertAlign w:val="superscript"/>
          <w:lang w:val="bg-BG"/>
        </w:rPr>
        <w:t xml:space="preserve">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2.2.4.6</w:t>
      </w:r>
      <w:r w:rsidRPr="009072DA">
        <w:rPr>
          <w:lang w:val="bg-BG"/>
        </w:rPr>
        <w:tab/>
        <w:t>Трябва да е монтирано оборудване за сигнализиране на наличието на газ, настроено за автоматично спиране на подаването на газ към съответното машинно отделение и за изключване на цялото оборудване или всички инсталации, които не са защитени срещу експлозия.</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2.2.4.7</w:t>
      </w:r>
      <w:r w:rsidRPr="009072DA">
        <w:rPr>
          <w:lang w:val="bg-BG"/>
        </w:rPr>
        <w:tab/>
        <w:t>Защитените чрез аварийно изключване машинни отделения трябва да бъдат проектирани така, че да осигуряват геометрична форма, която свежда до минимум натрупването на газове или образуването на газови възглавници. Трябва да бъде осигурена добра циркулация на въздуха.</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2.2.4.8</w:t>
      </w:r>
      <w:r w:rsidRPr="009072DA">
        <w:rPr>
          <w:lang w:val="bg-BG"/>
        </w:rPr>
        <w:tab/>
        <w:t>Защитеното чрез аварийно спиране машинно отделение се счита за зона 1, освен ако оценката на риска съгласно точка 1.3 показва друго.</w:t>
      </w:r>
    </w:p>
    <w:p w:rsidR="001D0FFC" w:rsidRPr="009072DA" w:rsidRDefault="001D0FFC" w:rsidP="001D0FFC">
      <w:pPr>
        <w:pStyle w:val="Esann8ch"/>
        <w:rPr>
          <w:b/>
          <w:bCs/>
          <w:lang w:val="bg-BG"/>
        </w:rPr>
      </w:pPr>
    </w:p>
    <w:p w:rsidR="001D0FFC" w:rsidRPr="009072DA" w:rsidRDefault="001D0FFC" w:rsidP="00623DA7">
      <w:pPr>
        <w:pStyle w:val="Esann8chgras"/>
        <w:rPr>
          <w:lang w:val="bg-BG"/>
        </w:rPr>
      </w:pPr>
      <w:r w:rsidRPr="009072DA">
        <w:rPr>
          <w:lang w:val="bg-BG"/>
        </w:rPr>
        <w:t>2.3</w:t>
      </w:r>
      <w:r w:rsidRPr="009072DA">
        <w:rPr>
          <w:lang w:val="bg-BG"/>
        </w:rPr>
        <w:tab/>
        <w:t xml:space="preserve">Тръбопроводни системи за втечнен природен газ (ВПГ) и природен газ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lastRenderedPageBreak/>
        <w:t>2.3.1</w:t>
      </w:r>
      <w:r w:rsidRPr="009072DA">
        <w:rPr>
          <w:lang w:val="bg-BG"/>
        </w:rPr>
        <w:tab/>
        <w:t xml:space="preserve">Тръбопроводите за втечнен природен газ (ВПГ) и природен газ през други машинни отделения или неопасни затворени зони на плавателното средство трябва да бъдат обхванати от двустенни тръби или вентилирани канали.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2.3.2</w:t>
      </w:r>
      <w:r w:rsidRPr="009072DA">
        <w:rPr>
          <w:lang w:val="bg-BG"/>
        </w:rPr>
        <w:tab/>
        <w:t xml:space="preserve">Тръбопроводите за втечнен природен газ (ВПГ) и природен газ не трябва да се намират на по-малко от 1,00 m от страната на плавателния съд и на 0,60 m от дъното.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2.3.3</w:t>
      </w:r>
      <w:r w:rsidRPr="009072DA">
        <w:rPr>
          <w:lang w:val="bg-BG"/>
        </w:rPr>
        <w:tab/>
        <w:t>Всички тръбопроводи и компоненти, които могат да бъдат изолирани с клапани от системата за ВПГ в изцяло втечнено състояние, трябва да бъдат снабдени с предпазни изпускателни клапани.</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2.3.4</w:t>
      </w:r>
      <w:r w:rsidRPr="009072DA">
        <w:rPr>
          <w:lang w:val="bg-BG"/>
        </w:rPr>
        <w:tab/>
        <w:t>Тръбопроводите трябва да бъдат електрически свързани с конструкцията на плавателния съд.</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2.3.5</w:t>
      </w:r>
      <w:r w:rsidRPr="009072DA">
        <w:rPr>
          <w:lang w:val="bg-BG"/>
        </w:rPr>
        <w:tab/>
        <w:t>Тръбопроводите с ниска температура трябва да са термично изолирани от прилежащия корпус, когато това е необходимо. Трябва да е осигурена защита срещу случаен допир.</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2.3.6</w:t>
      </w:r>
      <w:r w:rsidRPr="009072DA">
        <w:rPr>
          <w:lang w:val="bg-BG"/>
        </w:rPr>
        <w:tab/>
        <w:t xml:space="preserve">Проектното налягане на тръбопроводите не трябва да е по-малко от 150 % от максималното работно налягане. Максималното работно налягане на тръбопроводите вътре в помещенията не трябва да надвишава 1000 kPa. Проектното налягане на външната тръба или канала на газовите тръбопроводни системи не трябва да бъде по-малко от проектното налягане на вътрешния газов тръбопровод. </w:t>
      </w:r>
    </w:p>
    <w:p w:rsidR="001D0FFC" w:rsidRPr="009072DA" w:rsidRDefault="001D0FFC" w:rsidP="001D0FFC">
      <w:pPr>
        <w:pStyle w:val="Esann8ch"/>
        <w:rPr>
          <w:lang w:val="bg-BG"/>
        </w:rPr>
      </w:pPr>
    </w:p>
    <w:p w:rsidR="00D24BFE" w:rsidRPr="009072DA" w:rsidRDefault="00D24BFE">
      <w:pPr>
        <w:rPr>
          <w:rFonts w:eastAsia="Calibri" w:cs="Arial"/>
          <w:color w:val="000000"/>
          <w:szCs w:val="20"/>
          <w:lang w:val="bg-BG"/>
        </w:rPr>
      </w:pPr>
      <w:r w:rsidRPr="009072DA">
        <w:rPr>
          <w:lang w:val="bg-BG"/>
        </w:rPr>
        <w:br w:type="page"/>
      </w:r>
    </w:p>
    <w:p w:rsidR="00D24BFE" w:rsidRPr="009072DA" w:rsidRDefault="00D24BFE" w:rsidP="001D0FFC">
      <w:pPr>
        <w:pStyle w:val="Esann8ch"/>
        <w:rPr>
          <w:lang w:val="bg-BG"/>
        </w:rPr>
      </w:pPr>
    </w:p>
    <w:p w:rsidR="001D0FFC" w:rsidRPr="009072DA" w:rsidRDefault="001D0FFC" w:rsidP="001D0FFC">
      <w:pPr>
        <w:pStyle w:val="Esann8ch"/>
        <w:rPr>
          <w:lang w:val="bg-BG"/>
        </w:rPr>
      </w:pPr>
      <w:r w:rsidRPr="009072DA">
        <w:rPr>
          <w:lang w:val="bg-BG"/>
        </w:rPr>
        <w:t>2.3.7</w:t>
      </w:r>
      <w:r w:rsidRPr="009072DA">
        <w:rPr>
          <w:lang w:val="bg-BG"/>
        </w:rPr>
        <w:tab/>
        <w:t>Газовите тръбопроводи в защитени чрез аварийно спиране машинни отделения трябва да са разположени колкото е възможно по-далеч от електрически инсталации и резервоари, съдържащи запалими течности.</w:t>
      </w:r>
    </w:p>
    <w:p w:rsidR="001D0FFC" w:rsidRPr="009072DA" w:rsidRDefault="001D0FFC" w:rsidP="001D0FFC">
      <w:pPr>
        <w:pStyle w:val="Esann8ch"/>
        <w:rPr>
          <w:lang w:val="bg-BG"/>
        </w:rPr>
      </w:pPr>
    </w:p>
    <w:p w:rsidR="001D0FFC" w:rsidRPr="009072DA" w:rsidRDefault="001D0FFC" w:rsidP="00623DA7">
      <w:pPr>
        <w:pStyle w:val="Esann8chgras"/>
        <w:rPr>
          <w:lang w:val="bg-BG"/>
        </w:rPr>
      </w:pPr>
      <w:r w:rsidRPr="009072DA">
        <w:rPr>
          <w:lang w:val="bg-BG"/>
        </w:rPr>
        <w:t>2.4</w:t>
      </w:r>
      <w:r w:rsidRPr="009072DA">
        <w:rPr>
          <w:lang w:val="bg-BG"/>
        </w:rPr>
        <w:tab/>
        <w:t>Системи за осушаване</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2.4.1</w:t>
      </w:r>
      <w:r w:rsidRPr="009072DA">
        <w:rPr>
          <w:lang w:val="bg-BG"/>
        </w:rPr>
        <w:tab/>
        <w:t>Системите за осушаване за области, където може да има втечнен природен газ (ВПГ) или природен газ, трябва:</w:t>
      </w:r>
    </w:p>
    <w:p w:rsidR="001D0FFC" w:rsidRPr="009072DA" w:rsidRDefault="001D0FFC" w:rsidP="00623DA7">
      <w:pPr>
        <w:pStyle w:val="Esann8let"/>
        <w:rPr>
          <w:lang w:val="bg-BG"/>
        </w:rPr>
      </w:pPr>
      <w:r w:rsidRPr="009072DA">
        <w:rPr>
          <w:lang w:val="bg-BG"/>
        </w:rPr>
        <w:t>a)</w:t>
      </w:r>
      <w:r w:rsidRPr="009072DA">
        <w:rPr>
          <w:lang w:val="bg-BG"/>
        </w:rPr>
        <w:tab/>
        <w:t xml:space="preserve">да бъдат независими и отделени от системата за осушаване на области, където втечненият природен газ (ВПГ) и природният газ не са налични, </w:t>
      </w:r>
    </w:p>
    <w:p w:rsidR="001D0FFC" w:rsidRPr="009072DA" w:rsidRDefault="001D0FFC" w:rsidP="00623DA7">
      <w:pPr>
        <w:pStyle w:val="Esann8let"/>
        <w:rPr>
          <w:b/>
          <w:lang w:val="bg-BG"/>
        </w:rPr>
      </w:pPr>
      <w:r w:rsidRPr="009072DA">
        <w:rPr>
          <w:lang w:val="bg-BG"/>
        </w:rPr>
        <w:t>б)</w:t>
      </w:r>
      <w:r w:rsidRPr="009072DA">
        <w:rPr>
          <w:lang w:val="bg-BG"/>
        </w:rPr>
        <w:tab/>
        <w:t>да не водят до помпи в неопасни зони.</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2.4.2</w:t>
      </w:r>
      <w:r w:rsidRPr="009072DA">
        <w:rPr>
          <w:lang w:val="bg-BG"/>
        </w:rPr>
        <w:tab/>
        <w:t>Когато ограничителната система за ВПГ не изисква вторична преграда, трябва да са налице подходящи мерки за отводняване за помещенията на резервоарите, които не са свързани с машинните отделения. Трябва да бъдат предоставени средства за откриване на изтичане на втечнен природен газ (ВПГ).</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2.4.3</w:t>
      </w:r>
      <w:r w:rsidRPr="009072DA">
        <w:rPr>
          <w:lang w:val="bg-BG"/>
        </w:rPr>
        <w:tab/>
        <w:t>Когато ограничителната система за ВПГ изисква вторична преграда, трябва да са налице подходящи мерки за отводняване за справяне с евентуално изтичане на ВПГ в пространствата между преградите. Трябва да бъдат предоставени средства за откриване на такова изтичане.</w:t>
      </w:r>
    </w:p>
    <w:p w:rsidR="001D0FFC" w:rsidRPr="009072DA" w:rsidRDefault="001D0FFC" w:rsidP="00623DA7">
      <w:pPr>
        <w:pStyle w:val="Esannch"/>
      </w:pPr>
    </w:p>
    <w:p w:rsidR="001D0FFC" w:rsidRPr="009072DA" w:rsidRDefault="001D0FFC" w:rsidP="00623DA7">
      <w:pPr>
        <w:pStyle w:val="Esann8chgras"/>
        <w:rPr>
          <w:lang w:val="bg-BG"/>
        </w:rPr>
      </w:pPr>
      <w:r w:rsidRPr="009072DA">
        <w:rPr>
          <w:lang w:val="bg-BG"/>
        </w:rPr>
        <w:t>2.5</w:t>
      </w:r>
      <w:r w:rsidRPr="009072DA">
        <w:rPr>
          <w:lang w:val="bg-BG"/>
        </w:rPr>
        <w:tab/>
        <w:t>Събирателни вани</w:t>
      </w:r>
    </w:p>
    <w:p w:rsidR="001D0FFC" w:rsidRPr="009072DA" w:rsidRDefault="001D0FFC" w:rsidP="001D0FFC">
      <w:pPr>
        <w:pStyle w:val="Esann8ch"/>
        <w:rPr>
          <w:lang w:val="bg-BG"/>
        </w:rPr>
      </w:pPr>
    </w:p>
    <w:p w:rsidR="001D0FFC" w:rsidRPr="009072DA" w:rsidRDefault="001D0FFC" w:rsidP="001D0FFC">
      <w:pPr>
        <w:pStyle w:val="Esann8ch"/>
        <w:rPr>
          <w:b/>
          <w:lang w:val="bg-BG"/>
        </w:rPr>
      </w:pPr>
      <w:r w:rsidRPr="009072DA">
        <w:rPr>
          <w:lang w:val="bg-BG"/>
        </w:rPr>
        <w:t>2.5.1</w:t>
      </w:r>
      <w:r w:rsidRPr="009072DA">
        <w:rPr>
          <w:lang w:val="bg-BG"/>
        </w:rPr>
        <w:tab/>
        <w:t xml:space="preserve">Подходящи събирателни вани трябва да бъдат монтирани, в случай че изтичането може да причини увреждане на структурата на плавателното средство или когато е необходимо да се ограничи зоната, която е засегната от разлива. </w:t>
      </w:r>
    </w:p>
    <w:p w:rsidR="001D0FFC" w:rsidRPr="009072DA" w:rsidRDefault="001D0FFC" w:rsidP="001D0FFC">
      <w:pPr>
        <w:pStyle w:val="Esann8ch"/>
        <w:rPr>
          <w:b/>
          <w:lang w:val="bg-BG"/>
        </w:rPr>
      </w:pPr>
    </w:p>
    <w:p w:rsidR="001D0FFC" w:rsidRPr="009072DA" w:rsidRDefault="001D0FFC" w:rsidP="00623DA7">
      <w:pPr>
        <w:pStyle w:val="Esann8chgras"/>
        <w:rPr>
          <w:lang w:val="bg-BG"/>
        </w:rPr>
      </w:pPr>
      <w:r w:rsidRPr="009072DA">
        <w:rPr>
          <w:lang w:val="bg-BG"/>
        </w:rPr>
        <w:t>2.6</w:t>
      </w:r>
      <w:r w:rsidRPr="009072DA">
        <w:rPr>
          <w:lang w:val="bg-BG"/>
        </w:rPr>
        <w:tab/>
        <w:t>Уредба на входовете и останалите отвори</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2.6.1</w:t>
      </w:r>
      <w:r w:rsidRPr="009072DA">
        <w:rPr>
          <w:lang w:val="bg-BG"/>
        </w:rPr>
        <w:tab/>
        <w:t>Входовете и останалите отвори от неопасна зона към опасна зона трябва да бъдат разрешени само дотолкова, доколкото това е необходимо поради експлоатационни причини.</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2.6.2</w:t>
      </w:r>
      <w:r w:rsidRPr="009072DA">
        <w:rPr>
          <w:lang w:val="bg-BG"/>
        </w:rPr>
        <w:tab/>
        <w:t xml:space="preserve">За входове и отвори към неопасна зоната в рамките на 6,00 m от ограничителна система за ВПГ, системата за подготовка на газ или изхода на предпазен изпускателен клапан трябва да бъде осигурен подходящ въздушен шлюз.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2.6.3</w:t>
      </w:r>
      <w:r w:rsidRPr="009072DA">
        <w:rPr>
          <w:lang w:val="bg-BG"/>
        </w:rPr>
        <w:tab/>
        <w:t>Въздушните шлюзове трябва да се проветряват механично при свръхналягане спрямо прилежащата опасна зона. Вратите трябва да са самозатварящи се.</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2.6.4</w:t>
      </w:r>
      <w:r w:rsidRPr="009072DA">
        <w:rPr>
          <w:lang w:val="bg-BG"/>
        </w:rPr>
        <w:tab/>
        <w:t>Въздушните шлюзове се проектират по такъв начин, че не може да се изпуска газ към неопасни зони в случай на най-критичните събития в опасните зони, отделени чрез въздушния шлюз. Събитията се оценяват в оценката на риска в съответствие с точка 1.3.</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2.6.5</w:t>
      </w:r>
      <w:r w:rsidRPr="009072DA">
        <w:rPr>
          <w:lang w:val="bg-BG"/>
        </w:rPr>
        <w:tab/>
        <w:t>Въздушните шлюзове трябва да са свободни от препятствия, да осигуряват лесно преминаване и да не се използват за други цели.</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2.6.6</w:t>
      </w:r>
      <w:r w:rsidRPr="009072DA">
        <w:rPr>
          <w:lang w:val="bg-BG"/>
        </w:rPr>
        <w:tab/>
        <w:t>Звуков и оптичен сигнал трябва да се задейства от двете страни на въздушния шлюз, ако повече от една врата не е в затворено положение или ако газ бъде открит във въздушния шлюз.</w:t>
      </w:r>
    </w:p>
    <w:p w:rsidR="001D0FFC" w:rsidRPr="009072DA" w:rsidRDefault="001D0FFC" w:rsidP="001D0FFC">
      <w:pPr>
        <w:pStyle w:val="Esann8ch"/>
        <w:rPr>
          <w:lang w:val="bg-BG"/>
        </w:rPr>
      </w:pPr>
    </w:p>
    <w:p w:rsidR="001D0FFC" w:rsidRPr="009072DA" w:rsidRDefault="001D0FFC" w:rsidP="00623DA7">
      <w:pPr>
        <w:pStyle w:val="Esann8chgras"/>
        <w:rPr>
          <w:lang w:val="bg-BG"/>
        </w:rPr>
      </w:pPr>
      <w:r w:rsidRPr="009072DA">
        <w:rPr>
          <w:lang w:val="bg-BG"/>
        </w:rPr>
        <w:t>2.7</w:t>
      </w:r>
      <w:r w:rsidRPr="009072DA">
        <w:rPr>
          <w:lang w:val="bg-BG"/>
        </w:rPr>
        <w:tab/>
        <w:t>Вентилационни системи</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2.7.1</w:t>
      </w:r>
      <w:r w:rsidRPr="009072DA">
        <w:rPr>
          <w:lang w:val="bg-BG"/>
        </w:rPr>
        <w:tab/>
        <w:t xml:space="preserve">Вентилаторите в опасните зони трябва да са от сертифициран обезопасен вид. </w:t>
      </w:r>
    </w:p>
    <w:p w:rsidR="001D0FFC" w:rsidRPr="009072DA" w:rsidRDefault="001D0FFC" w:rsidP="001D0FFC">
      <w:pPr>
        <w:pStyle w:val="Esann8ch"/>
        <w:rPr>
          <w:lang w:val="bg-BG"/>
        </w:rPr>
      </w:pPr>
    </w:p>
    <w:p w:rsidR="00D24BFE" w:rsidRPr="009072DA" w:rsidRDefault="00D24BFE">
      <w:pPr>
        <w:rPr>
          <w:rFonts w:eastAsia="Calibri" w:cs="Arial"/>
          <w:color w:val="000000"/>
          <w:szCs w:val="20"/>
          <w:lang w:val="bg-BG"/>
        </w:rPr>
      </w:pPr>
      <w:r w:rsidRPr="009072DA">
        <w:rPr>
          <w:lang w:val="bg-BG"/>
        </w:rPr>
        <w:br w:type="page"/>
      </w:r>
    </w:p>
    <w:p w:rsidR="00D24BFE" w:rsidRPr="009072DA" w:rsidRDefault="00D24BFE" w:rsidP="001D0FFC">
      <w:pPr>
        <w:pStyle w:val="Esann8ch"/>
        <w:rPr>
          <w:lang w:val="bg-BG"/>
        </w:rPr>
      </w:pPr>
    </w:p>
    <w:p w:rsidR="001D0FFC" w:rsidRPr="009072DA" w:rsidRDefault="001D0FFC" w:rsidP="001D0FFC">
      <w:pPr>
        <w:pStyle w:val="Esann8ch"/>
        <w:rPr>
          <w:lang w:val="bg-BG"/>
        </w:rPr>
      </w:pPr>
      <w:r w:rsidRPr="009072DA">
        <w:rPr>
          <w:lang w:val="bg-BG"/>
        </w:rPr>
        <w:t xml:space="preserve">2.7.2 </w:t>
      </w:r>
      <w:r w:rsidRPr="009072DA">
        <w:rPr>
          <w:lang w:val="bg-BG"/>
        </w:rPr>
        <w:tab/>
        <w:t>Вентилаторите с електродвигатели трябва да отговарят на изискванията за предпазване от експлозии в района на инсталацията.</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2.7.3</w:t>
      </w:r>
      <w:r w:rsidRPr="009072DA">
        <w:rPr>
          <w:lang w:val="bg-BG"/>
        </w:rPr>
        <w:tab/>
        <w:t>Звуков и оптичен сигнал трябва да се задейства на място с постоянно присъствие на екипаж (напр. рулевата рубка) в случай на загуба на необходимия капацитет за вентилация.</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2.7.4</w:t>
      </w:r>
      <w:r w:rsidRPr="009072DA">
        <w:rPr>
          <w:lang w:val="bg-BG"/>
        </w:rPr>
        <w:tab/>
        <w:t xml:space="preserve">Всеки въздухопровод, служещ за вентилация на опасните зони, трябва да бъде отделно от използваните за вентилация на неопасните зони.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2.7.5</w:t>
      </w:r>
      <w:r w:rsidRPr="009072DA">
        <w:rPr>
          <w:lang w:val="bg-BG"/>
        </w:rPr>
        <w:tab/>
        <w:t>Изискваните вентилационни системи трябва да имат най-малко два вентилатора с независимо електрозахранване, всеки с достатъчен капацитет за избягване на натрупването на газ.</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2.7.6</w:t>
      </w:r>
      <w:r w:rsidRPr="009072DA">
        <w:rPr>
          <w:lang w:val="bg-BG"/>
        </w:rPr>
        <w:tab/>
        <w:t xml:space="preserve">Въздухът за опасни помещения се взема от неопасни зони.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 xml:space="preserve">2.7.7 </w:t>
      </w:r>
      <w:r w:rsidRPr="009072DA">
        <w:rPr>
          <w:lang w:val="bg-BG"/>
        </w:rPr>
        <w:tab/>
        <w:t xml:space="preserve">Въздухът за неопасни помещения се взема от неопасни зони на най-малко 1,50 метра от границите на която и да е опасната зона.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2.7.8</w:t>
      </w:r>
      <w:r w:rsidRPr="009072DA">
        <w:rPr>
          <w:lang w:val="bg-BG"/>
        </w:rPr>
        <w:tab/>
        <w:t xml:space="preserve">Когато тръбопроводът за подаване на въздух преминава през опасно помещение, тръбата трябва да има свръхналягане спрямо това помещение. Свръхналягане не се изисква, когато структурните мерки за тръбата гарантират, че газове няма да изтекат в нея.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 xml:space="preserve">2.7.9 </w:t>
      </w:r>
      <w:r w:rsidRPr="009072DA">
        <w:rPr>
          <w:lang w:val="bg-BG"/>
        </w:rPr>
        <w:tab/>
        <w:t>Изходните отвори за въздуха от опасни помещения трябва да бъдат разположени в открита зона, която се характеризира със същата или по-малка степен на опасност в сравнение с добре проветреното помещение.</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2.7.10</w:t>
      </w:r>
      <w:r w:rsidRPr="009072DA">
        <w:rPr>
          <w:lang w:val="bg-BG"/>
        </w:rPr>
        <w:tab/>
        <w:t>Изходните отвори за въздуха от неопасни помещения трябва да бъдат разположени извън опасните зони.</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2.7.11</w:t>
      </w:r>
      <w:r w:rsidRPr="009072DA">
        <w:rPr>
          <w:lang w:val="bg-BG"/>
        </w:rPr>
        <w:tab/>
        <w:t>В затворени помещения вентилационните изпускателни тръби трябва да се намират в горната част на тези помещения. Отворите за вкарване на въздух се намират в долната част.</w:t>
      </w:r>
    </w:p>
    <w:p w:rsidR="001D0FFC" w:rsidRPr="009072DA" w:rsidRDefault="001D0FFC" w:rsidP="001D0FFC">
      <w:pPr>
        <w:pStyle w:val="Esann8ch"/>
        <w:rPr>
          <w:bCs/>
          <w:lang w:val="bg-BG"/>
        </w:rPr>
      </w:pPr>
    </w:p>
    <w:p w:rsidR="001D0FFC" w:rsidRPr="009072DA" w:rsidRDefault="001D0FFC" w:rsidP="00623DA7">
      <w:pPr>
        <w:pStyle w:val="Esann8chgras"/>
        <w:rPr>
          <w:lang w:val="bg-BG"/>
        </w:rPr>
      </w:pPr>
      <w:r w:rsidRPr="009072DA">
        <w:rPr>
          <w:lang w:val="bg-BG"/>
        </w:rPr>
        <w:t>2.8</w:t>
      </w:r>
      <w:r w:rsidRPr="009072DA">
        <w:rPr>
          <w:lang w:val="bg-BG"/>
        </w:rPr>
        <w:tab/>
        <w:t>Система за зареждане с ВПГ</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2.8.1</w:t>
      </w:r>
      <w:r w:rsidRPr="009072DA">
        <w:rPr>
          <w:lang w:val="bg-BG"/>
        </w:rPr>
        <w:tab/>
        <w:t>Система за зареждане на кораби с ВПГ трябва да е така осъществена, че да не се освобождава газ в атмосферата по време на пълнене на резервоарите за ВПГ.</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2.8.2</w:t>
      </w:r>
      <w:r w:rsidRPr="009072DA">
        <w:rPr>
          <w:lang w:val="bg-BG"/>
        </w:rPr>
        <w:tab/>
        <w:t>Станцията за зареждане с гориво и всички клапани, използвани за зареждане с гориво, трябва да бъдат разположени върху открита палуба, така че да е осигурена достатъчна естествена вентилация.</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2.8.3</w:t>
      </w:r>
      <w:r w:rsidRPr="009072DA">
        <w:rPr>
          <w:lang w:val="bg-BG"/>
        </w:rPr>
        <w:tab/>
        <w:t>Станцията за зареждане с гориво трябва да бъде така разположена и осъществена, че повреда на газовия тръбопровод да не нанася щети на ограничителната система за ВПГ на плавателното средство.</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2.8.4</w:t>
      </w:r>
      <w:r w:rsidRPr="009072DA">
        <w:rPr>
          <w:lang w:val="bg-BG"/>
        </w:rPr>
        <w:tab/>
        <w:t>Трябва да са осигурени подходящи средства за облекчаване на налягането и отстраняване на течността от всмукването на помпата и тръбопровода на станции за зареждане с гориво.</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2.8.5</w:t>
      </w:r>
      <w:r w:rsidRPr="009072DA">
        <w:rPr>
          <w:lang w:val="bg-BG"/>
        </w:rPr>
        <w:tab/>
        <w:t>Маркучите, използвани за зареждането на кораби с втечнен природен газ (ВПГ), трябва да бъдат:</w:t>
      </w:r>
    </w:p>
    <w:p w:rsidR="001D0FFC" w:rsidRPr="009072DA" w:rsidRDefault="001D0FFC" w:rsidP="00623DA7">
      <w:pPr>
        <w:pStyle w:val="Esann8let"/>
        <w:rPr>
          <w:lang w:val="bg-BG"/>
        </w:rPr>
      </w:pPr>
      <w:r w:rsidRPr="009072DA">
        <w:rPr>
          <w:lang w:val="bg-BG"/>
        </w:rPr>
        <w:t>a)</w:t>
      </w:r>
      <w:r w:rsidRPr="009072DA">
        <w:rPr>
          <w:lang w:val="bg-BG"/>
        </w:rPr>
        <w:tab/>
        <w:t>съвместими с втечнения природен газ (ВПГ), по-специално, подходящи за температурата на втечнен природен газ (ВПГ),</w:t>
      </w:r>
    </w:p>
    <w:p w:rsidR="001D0FFC" w:rsidRPr="009072DA" w:rsidRDefault="001D0FFC" w:rsidP="00623DA7">
      <w:pPr>
        <w:pStyle w:val="Esann8let"/>
        <w:rPr>
          <w:lang w:val="bg-BG"/>
        </w:rPr>
      </w:pPr>
      <w:r w:rsidRPr="009072DA">
        <w:rPr>
          <w:lang w:val="bg-BG"/>
        </w:rPr>
        <w:t>б)</w:t>
      </w:r>
      <w:r w:rsidRPr="009072DA">
        <w:rPr>
          <w:lang w:val="bg-BG"/>
        </w:rPr>
        <w:tab/>
        <w:t>предназначени за налягане на разкъсване, не по-ниско от петкратното максимално налягане, на което могат да бъдат подложени по време на зареждане с гориво.</w:t>
      </w:r>
    </w:p>
    <w:p w:rsidR="00D24BFE" w:rsidRPr="009072DA" w:rsidRDefault="00D24BFE">
      <w:pPr>
        <w:rPr>
          <w:rFonts w:eastAsia="Calibri" w:cs="Arial"/>
          <w:color w:val="000000"/>
          <w:szCs w:val="20"/>
          <w:lang w:val="bg-BG"/>
        </w:rPr>
      </w:pPr>
      <w:r w:rsidRPr="009072DA">
        <w:rPr>
          <w:lang w:val="bg-BG"/>
        </w:rPr>
        <w:br w:type="page"/>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2.8.6</w:t>
      </w:r>
      <w:r w:rsidRPr="009072DA">
        <w:rPr>
          <w:lang w:val="bg-BG"/>
        </w:rPr>
        <w:tab/>
        <w:t xml:space="preserve">Тръбопроводът за зареждане трябва да бъде проектиран така, че да издържа на нормалните механични натоварвания, възникващи по време на зареждане. Връзките трябва да са от типа за сухо освобождаване в съответствие с европейски стандарт EN 1474, оборудвани с подходящи съединения за сухо освобождаване за допълнителна безопасност.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2.8.7</w:t>
      </w:r>
      <w:r w:rsidRPr="009072DA">
        <w:rPr>
          <w:lang w:val="bg-BG"/>
        </w:rPr>
        <w:tab/>
        <w:t xml:space="preserve">Трябва да е възможно  главният клапан за зареждане на плавателни средства с ВПГ да се задейства по време на дейностите по зареждане с гориво от обезопасен контролен пункт на плавателното средство.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 xml:space="preserve">2.8.8 </w:t>
      </w:r>
      <w:r w:rsidRPr="009072DA">
        <w:rPr>
          <w:lang w:val="bg-BG"/>
        </w:rPr>
        <w:tab/>
        <w:t>Тръбите за зареждане трябва да са подходящи за инертиране и освобождаване на газ.</w:t>
      </w:r>
    </w:p>
    <w:p w:rsidR="001D0FFC" w:rsidRPr="009072DA" w:rsidRDefault="001D0FFC" w:rsidP="001D0FFC">
      <w:pPr>
        <w:pStyle w:val="Esann8ch"/>
        <w:rPr>
          <w:b/>
          <w:bCs/>
          <w:lang w:val="bg-BG"/>
        </w:rPr>
      </w:pPr>
    </w:p>
    <w:p w:rsidR="001D0FFC" w:rsidRPr="009072DA" w:rsidRDefault="001D0FFC" w:rsidP="00623DA7">
      <w:pPr>
        <w:pStyle w:val="Esann8chgras"/>
        <w:rPr>
          <w:lang w:val="bg-BG"/>
        </w:rPr>
      </w:pPr>
      <w:r w:rsidRPr="009072DA">
        <w:rPr>
          <w:lang w:val="bg-BG"/>
        </w:rPr>
        <w:t>2.9</w:t>
      </w:r>
      <w:r w:rsidRPr="009072DA">
        <w:rPr>
          <w:lang w:val="bg-BG"/>
        </w:rPr>
        <w:tab/>
        <w:t>Граници на пълнене на резервоари за гориво за ВПГ</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2.9.1</w:t>
      </w:r>
      <w:r w:rsidRPr="009072DA">
        <w:rPr>
          <w:lang w:val="bg-BG"/>
        </w:rPr>
        <w:tab/>
        <w:t xml:space="preserve">Нивото на втечнен природен газ (ВПГ) в резервоара за ВПГ не трябва да превишава граница на пълнене от 95 % от вместимостта при референтната температура. Референтната температура означава температурата, съответстваща на парното налягане на горивото при налягане на отваряне на предпазните изпускателни клапани.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2.9.2</w:t>
      </w:r>
      <w:r w:rsidRPr="009072DA">
        <w:rPr>
          <w:lang w:val="bg-BG"/>
        </w:rPr>
        <w:tab/>
        <w:t>Кривата на границата на пълнене за температурите на пълнене на втечнен природен газ (ВПГ) трябва да бъде изготвена въз основа на следната формула:</w:t>
      </w:r>
    </w:p>
    <w:p w:rsidR="00623DA7" w:rsidRPr="009072DA" w:rsidRDefault="00623DA7" w:rsidP="00623DA7">
      <w:pPr>
        <w:spacing w:line="240" w:lineRule="atLeast"/>
        <w:ind w:left="851" w:hanging="851"/>
        <w:jc w:val="center"/>
        <w:rPr>
          <w:rFonts w:eastAsia="Calibri" w:cs="Arial"/>
          <w:color w:val="000000"/>
          <w:szCs w:val="20"/>
          <w:lang w:val="bg-BG"/>
        </w:rPr>
      </w:pPr>
      <m:oMathPara>
        <m:oMath>
          <m:r>
            <w:rPr>
              <w:rFonts w:ascii="Cambria Math" w:eastAsia="Calibri" w:hAnsi="Cambria Math" w:cs="Arial"/>
              <w:color w:val="000000"/>
              <w:szCs w:val="20"/>
              <w:lang w:val="bg-BG"/>
            </w:rPr>
            <m:t xml:space="preserve">LL=FL ∙ </m:t>
          </m:r>
          <m:sSub>
            <m:sSubPr>
              <m:ctrlPr>
                <w:rPr>
                  <w:rFonts w:ascii="Cambria Math" w:eastAsia="Calibri" w:hAnsi="Cambria Math" w:cs="Arial"/>
                  <w:i/>
                  <w:color w:val="000000"/>
                  <w:szCs w:val="20"/>
                  <w:lang w:val="bg-BG"/>
                </w:rPr>
              </m:ctrlPr>
            </m:sSubPr>
            <m:e>
              <m:r>
                <w:rPr>
                  <w:rFonts w:ascii="Cambria Math" w:eastAsia="Calibri" w:hAnsi="Cambria Math" w:cs="Arial"/>
                  <w:color w:val="000000"/>
                  <w:szCs w:val="20"/>
                  <w:lang w:val="bg-BG"/>
                </w:rPr>
                <m:t>ρ</m:t>
              </m:r>
            </m:e>
            <m:sub>
              <m:r>
                <w:rPr>
                  <w:rFonts w:ascii="Cambria Math" w:eastAsia="Calibri" w:hAnsi="Cambria Math" w:cs="Arial"/>
                  <w:color w:val="000000"/>
                  <w:szCs w:val="20"/>
                  <w:lang w:val="bg-BG"/>
                </w:rPr>
                <m:t>R</m:t>
              </m:r>
            </m:sub>
          </m:sSub>
          <m:r>
            <w:rPr>
              <w:rFonts w:ascii="Cambria Math" w:eastAsia="Calibri" w:hAnsi="Cambria Math" w:cs="Arial"/>
              <w:color w:val="000000"/>
              <w:szCs w:val="20"/>
              <w:lang w:val="bg-BG"/>
            </w:rPr>
            <m:t>/</m:t>
          </m:r>
          <m:sSub>
            <m:sSubPr>
              <m:ctrlPr>
                <w:rPr>
                  <w:rFonts w:ascii="Cambria Math" w:eastAsia="Calibri" w:hAnsi="Cambria Math" w:cs="Arial"/>
                  <w:i/>
                  <w:color w:val="000000"/>
                  <w:szCs w:val="20"/>
                  <w:lang w:val="bg-BG"/>
                </w:rPr>
              </m:ctrlPr>
            </m:sSubPr>
            <m:e>
              <m:r>
                <w:rPr>
                  <w:rFonts w:ascii="Cambria Math" w:eastAsia="Calibri" w:hAnsi="Cambria Math" w:cs="Arial"/>
                  <w:color w:val="000000"/>
                  <w:szCs w:val="20"/>
                  <w:lang w:val="bg-BG"/>
                </w:rPr>
                <m:t>ρ</m:t>
              </m:r>
            </m:e>
            <m:sub>
              <m:r>
                <w:rPr>
                  <w:rFonts w:ascii="Cambria Math" w:eastAsia="Calibri" w:hAnsi="Cambria Math" w:cs="Arial"/>
                  <w:color w:val="000000"/>
                  <w:szCs w:val="20"/>
                  <w:lang w:val="bg-BG"/>
                </w:rPr>
                <m:t>L</m:t>
              </m:r>
            </m:sub>
          </m:sSub>
        </m:oMath>
      </m:oMathPara>
    </w:p>
    <w:p w:rsidR="001D0FFC" w:rsidRPr="009072DA" w:rsidRDefault="001D0FFC" w:rsidP="00623DA7">
      <w:pPr>
        <w:pStyle w:val="Esann8chpar"/>
        <w:rPr>
          <w:lang w:val="bg-BG"/>
        </w:rPr>
      </w:pPr>
      <w:r w:rsidRPr="009072DA">
        <w:rPr>
          <w:lang w:val="bg-BG"/>
        </w:rPr>
        <w:t>където:</w:t>
      </w:r>
    </w:p>
    <w:p w:rsidR="001D0FFC" w:rsidRPr="009072DA" w:rsidRDefault="00623DA7" w:rsidP="00623DA7">
      <w:pPr>
        <w:pStyle w:val="Esann8chpar"/>
        <w:tabs>
          <w:tab w:val="left" w:pos="1418"/>
        </w:tabs>
        <w:spacing w:before="60"/>
        <w:ind w:left="1843" w:hanging="992"/>
        <w:rPr>
          <w:lang w:val="bg-BG"/>
        </w:rPr>
      </w:pPr>
      <m:oMath>
        <m:r>
          <w:rPr>
            <w:rFonts w:ascii="Cambria Math" w:hAnsi="Cambria Math"/>
            <w:lang w:val="bg-BG"/>
          </w:rPr>
          <m:t>LL</m:t>
        </m:r>
      </m:oMath>
      <w:r w:rsidRPr="009072DA">
        <w:rPr>
          <w:lang w:val="bg-BG"/>
        </w:rPr>
        <w:tab/>
        <w:t>=</w:t>
      </w:r>
      <w:r w:rsidRPr="009072DA">
        <w:rPr>
          <w:lang w:val="bg-BG"/>
        </w:rPr>
        <w:tab/>
        <w:t>граница на зареждане, максималният допустим обем на течността по отношение на обема до който може да се зарежда резервоарът за ВПГ, изразен в %,</w:t>
      </w:r>
    </w:p>
    <w:p w:rsidR="001D0FFC" w:rsidRPr="009072DA" w:rsidRDefault="00623DA7" w:rsidP="00623DA7">
      <w:pPr>
        <w:pStyle w:val="Esann8chpar"/>
        <w:tabs>
          <w:tab w:val="left" w:pos="1418"/>
        </w:tabs>
        <w:spacing w:before="60"/>
        <w:ind w:left="1843" w:hanging="992"/>
        <w:rPr>
          <w:lang w:val="bg-BG"/>
        </w:rPr>
      </w:pPr>
      <m:oMath>
        <m:r>
          <w:rPr>
            <w:rFonts w:ascii="Cambria Math" w:hAnsi="Cambria Math"/>
            <w:lang w:val="bg-BG"/>
          </w:rPr>
          <m:t>FL</m:t>
        </m:r>
      </m:oMath>
      <w:r w:rsidRPr="009072DA">
        <w:rPr>
          <w:lang w:val="bg-BG"/>
        </w:rPr>
        <w:tab/>
        <w:t>=</w:t>
      </w:r>
      <w:r w:rsidRPr="009072DA">
        <w:rPr>
          <w:lang w:val="bg-BG"/>
        </w:rPr>
        <w:tab/>
        <w:t>граница на пълнене, изразена в проценти, в случая 95 %,</w:t>
      </w:r>
    </w:p>
    <w:p w:rsidR="001D0FFC" w:rsidRPr="009072DA" w:rsidRDefault="002B712C" w:rsidP="00623DA7">
      <w:pPr>
        <w:pStyle w:val="Esann8chpar"/>
        <w:tabs>
          <w:tab w:val="left" w:pos="1418"/>
        </w:tabs>
        <w:spacing w:before="60"/>
        <w:ind w:left="1843" w:hanging="992"/>
        <w:rPr>
          <w:lang w:val="bg-BG"/>
        </w:rPr>
      </w:pPr>
      <m:oMath>
        <m:sSub>
          <m:sSubPr>
            <m:ctrlPr>
              <w:rPr>
                <w:rFonts w:ascii="Cambria Math" w:hAnsi="Cambria Math"/>
                <w:i/>
                <w:lang w:val="bg-BG"/>
              </w:rPr>
            </m:ctrlPr>
          </m:sSubPr>
          <m:e>
            <m:r>
              <w:rPr>
                <w:rFonts w:ascii="Cambria Math" w:hAnsi="Cambria Math"/>
                <w:lang w:val="bg-BG"/>
              </w:rPr>
              <m:t>ρ</m:t>
            </m:r>
          </m:e>
          <m:sub>
            <m:r>
              <w:rPr>
                <w:rFonts w:ascii="Cambria Math" w:hAnsi="Cambria Math"/>
                <w:lang w:val="bg-BG"/>
              </w:rPr>
              <m:t>R</m:t>
            </m:r>
          </m:sub>
        </m:sSub>
      </m:oMath>
      <w:r w:rsidR="007B1046" w:rsidRPr="009072DA">
        <w:rPr>
          <w:lang w:val="bg-BG"/>
        </w:rPr>
        <w:tab/>
        <w:t>=</w:t>
      </w:r>
      <w:r w:rsidR="007B1046" w:rsidRPr="009072DA">
        <w:rPr>
          <w:lang w:val="bg-BG"/>
        </w:rPr>
        <w:tab/>
        <w:t xml:space="preserve">относителната плътност на горивото при референтната температура, </w:t>
      </w:r>
    </w:p>
    <w:p w:rsidR="001D0FFC" w:rsidRPr="009072DA" w:rsidRDefault="002B712C" w:rsidP="00623DA7">
      <w:pPr>
        <w:pStyle w:val="Esann8chpar"/>
        <w:tabs>
          <w:tab w:val="left" w:pos="1418"/>
        </w:tabs>
        <w:spacing w:before="60"/>
        <w:ind w:left="1843" w:hanging="992"/>
        <w:rPr>
          <w:lang w:val="bg-BG"/>
        </w:rPr>
      </w:pPr>
      <m:oMath>
        <m:sSub>
          <m:sSubPr>
            <m:ctrlPr>
              <w:rPr>
                <w:rFonts w:ascii="Cambria Math" w:hAnsi="Cambria Math"/>
                <w:i/>
                <w:lang w:val="bg-BG"/>
              </w:rPr>
            </m:ctrlPr>
          </m:sSubPr>
          <m:e>
            <m:r>
              <w:rPr>
                <w:rFonts w:ascii="Cambria Math" w:hAnsi="Cambria Math"/>
                <w:lang w:val="bg-BG"/>
              </w:rPr>
              <m:t>ρ</m:t>
            </m:r>
          </m:e>
          <m:sub>
            <m:r>
              <w:rPr>
                <w:rFonts w:ascii="Cambria Math" w:hAnsi="Cambria Math"/>
                <w:lang w:val="bg-BG"/>
              </w:rPr>
              <m:t>L</m:t>
            </m:r>
          </m:sub>
        </m:sSub>
      </m:oMath>
      <w:r w:rsidR="007B1046" w:rsidRPr="009072DA">
        <w:rPr>
          <w:lang w:val="bg-BG"/>
        </w:rPr>
        <w:tab/>
        <w:t>=</w:t>
      </w:r>
      <w:r w:rsidR="007B1046" w:rsidRPr="009072DA">
        <w:rPr>
          <w:lang w:val="bg-BG"/>
        </w:rPr>
        <w:tab/>
        <w:t>относителна плътност на горивото при температурата на зареждане.</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2.9.3</w:t>
      </w:r>
      <w:r w:rsidRPr="009072DA">
        <w:rPr>
          <w:lang w:val="bg-BG"/>
        </w:rPr>
        <w:tab/>
        <w:t>За плавателни средства, които са изложени на значителни височини на вълната или значително движение поради операции, кривата на границата на пълнене трябва да бъде адаптирана съответно, въз основа на оценка на риска в съответствие с точка 1.3.</w:t>
      </w:r>
    </w:p>
    <w:p w:rsidR="001D0FFC" w:rsidRPr="009072DA" w:rsidRDefault="001D0FFC" w:rsidP="001D0FFC">
      <w:pPr>
        <w:pStyle w:val="Esann8ch"/>
        <w:rPr>
          <w:lang w:val="bg-BG"/>
        </w:rPr>
      </w:pPr>
    </w:p>
    <w:p w:rsidR="001D0FFC" w:rsidRPr="009072DA" w:rsidRDefault="001D0FFC" w:rsidP="00623DA7">
      <w:pPr>
        <w:pStyle w:val="Esann8chgras"/>
        <w:rPr>
          <w:lang w:val="bg-BG"/>
        </w:rPr>
      </w:pPr>
      <w:r w:rsidRPr="009072DA">
        <w:rPr>
          <w:lang w:val="bg-BG"/>
        </w:rPr>
        <w:t>2.10</w:t>
      </w:r>
      <w:r w:rsidRPr="009072DA">
        <w:rPr>
          <w:lang w:val="bg-BG"/>
        </w:rPr>
        <w:tab/>
        <w:t>Система за подаване на газ</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2.10.1</w:t>
      </w:r>
      <w:r w:rsidRPr="009072DA">
        <w:rPr>
          <w:lang w:val="bg-BG"/>
        </w:rPr>
        <w:tab/>
        <w:t>Системата за подаване на газ трябва да бъде така разположена, че последиците от всяко изпускане на газ ще бъдат сведени до минимум, при предоставяне на безопасен достъп за работа и проверка.</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2.10.2</w:t>
      </w:r>
      <w:r w:rsidRPr="009072DA">
        <w:rPr>
          <w:lang w:val="bg-BG"/>
        </w:rPr>
        <w:tab/>
        <w:t>Частите на системата за подаване на газ, които са разположени извън машинното отделение, трябва да бъде проектирани по такъв начин, че пробив на една преграда да не може да доведе до изпускане от системата в обкръжаващото пространство, което да причини непосредствена опасност за лицата на борда, за околната среда или за плавателните средства.</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2.10.3</w:t>
      </w:r>
      <w:r w:rsidRPr="009072DA">
        <w:rPr>
          <w:lang w:val="bg-BG"/>
        </w:rPr>
        <w:tab/>
        <w:t xml:space="preserve">Смукателните и изпускателните отвори на горивния резервоар за ВПГ трябва да бъдат снабдени с клапани, които се намират възможно най-близо до резервоара.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2.10.4</w:t>
      </w:r>
      <w:r w:rsidRPr="009072DA">
        <w:rPr>
          <w:lang w:val="bg-BG"/>
        </w:rPr>
        <w:tab/>
        <w:t>Системата за подаване на газ на всеки двигател или двигатели трябва да бъде оборудвана с основен газов клапан. Клапаните трябва да са разположени колкото е възможно по-близо до системата за подготовка на газ, но във всички случаи извън машинното отделение.</w:t>
      </w:r>
    </w:p>
    <w:p w:rsidR="001D0FFC" w:rsidRPr="009072DA" w:rsidRDefault="001D0FFC" w:rsidP="001D0FFC">
      <w:pPr>
        <w:pStyle w:val="Esann8ch"/>
        <w:rPr>
          <w:lang w:val="bg-BG"/>
        </w:rPr>
      </w:pPr>
    </w:p>
    <w:p w:rsidR="00D24BFE" w:rsidRPr="009072DA" w:rsidRDefault="00D24BFE">
      <w:pPr>
        <w:rPr>
          <w:rFonts w:eastAsia="Calibri" w:cs="Arial"/>
          <w:color w:val="000000"/>
          <w:szCs w:val="20"/>
          <w:lang w:val="bg-BG"/>
        </w:rPr>
      </w:pPr>
      <w:r w:rsidRPr="009072DA">
        <w:rPr>
          <w:lang w:val="bg-BG"/>
        </w:rPr>
        <w:br w:type="page"/>
      </w:r>
    </w:p>
    <w:p w:rsidR="00D24BFE" w:rsidRPr="009072DA" w:rsidRDefault="00D24BFE" w:rsidP="001D0FFC">
      <w:pPr>
        <w:pStyle w:val="Esann8ch"/>
        <w:rPr>
          <w:lang w:val="bg-BG"/>
        </w:rPr>
      </w:pPr>
    </w:p>
    <w:p w:rsidR="001D0FFC" w:rsidRPr="009072DA" w:rsidRDefault="001D0FFC" w:rsidP="001D0FFC">
      <w:pPr>
        <w:pStyle w:val="Esann8ch"/>
        <w:rPr>
          <w:lang w:val="bg-BG"/>
        </w:rPr>
      </w:pPr>
      <w:r w:rsidRPr="009072DA">
        <w:rPr>
          <w:lang w:val="bg-BG"/>
        </w:rPr>
        <w:t>2.10.5</w:t>
      </w:r>
      <w:r w:rsidRPr="009072DA">
        <w:rPr>
          <w:lang w:val="bg-BG"/>
        </w:rPr>
        <w:tab/>
        <w:t xml:space="preserve">Основният газов клапан трябва да функционира </w:t>
      </w:r>
    </w:p>
    <w:p w:rsidR="001D0FFC" w:rsidRPr="009072DA" w:rsidRDefault="001D0FFC" w:rsidP="00623DA7">
      <w:pPr>
        <w:pStyle w:val="Esann8let"/>
        <w:rPr>
          <w:lang w:val="bg-BG"/>
        </w:rPr>
      </w:pPr>
      <w:r w:rsidRPr="009072DA">
        <w:rPr>
          <w:lang w:val="bg-BG"/>
        </w:rPr>
        <w:t>a)</w:t>
      </w:r>
      <w:r w:rsidRPr="009072DA">
        <w:rPr>
          <w:lang w:val="bg-BG"/>
        </w:rPr>
        <w:tab/>
        <w:t xml:space="preserve">в рамките на и извън машинното отделение, </w:t>
      </w:r>
    </w:p>
    <w:p w:rsidR="001D0FFC" w:rsidRPr="009072DA" w:rsidRDefault="001D0FFC" w:rsidP="00623DA7">
      <w:pPr>
        <w:pStyle w:val="Esann8let"/>
        <w:rPr>
          <w:lang w:val="bg-BG"/>
        </w:rPr>
      </w:pPr>
      <w:r w:rsidRPr="009072DA">
        <w:rPr>
          <w:lang w:val="bg-BG"/>
        </w:rPr>
        <w:t>б)</w:t>
      </w:r>
      <w:r w:rsidRPr="009072DA">
        <w:rPr>
          <w:lang w:val="bg-BG"/>
        </w:rPr>
        <w:tab/>
        <w:t>от рулевата рубка.</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2.10.6</w:t>
      </w:r>
      <w:r w:rsidRPr="009072DA">
        <w:rPr>
          <w:lang w:val="bg-BG"/>
        </w:rPr>
        <w:tab/>
        <w:t>Оборудването, работещо на газ, трябва да е оборудвано с набор от двойни спирателни и обезвъздушаващи вентили за осигуряване на безопасното изолиране на системата за подаване на гориво. Двата спирателни вентила трябва да бъдат от вида „отказ при затваряне“, докато вентилационният клапан трябва да бъде от вида „отказ при отваряне“.</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2.10.7</w:t>
      </w:r>
      <w:r w:rsidRPr="009072DA">
        <w:rPr>
          <w:lang w:val="bg-BG"/>
        </w:rPr>
        <w:tab/>
        <w:t>За инсталации с няколко двигатели, при които за всеки двигател има отделен основен газов клапан, и за инсталация с един двигател, основният газов клапан и функциите на двойния спирателен и обезвъздушаващ вентил могат да бъдат съчетани. Спирателният клапан на двойните спирателни и обезвъздушаващи вентили трябва също така да бъде задействан ръчно.</w:t>
      </w:r>
    </w:p>
    <w:p w:rsidR="001D0FFC" w:rsidRPr="009072DA" w:rsidRDefault="001D0FFC" w:rsidP="00623DA7">
      <w:pPr>
        <w:pStyle w:val="Esann8ch"/>
        <w:rPr>
          <w:lang w:val="bg-BG"/>
        </w:rPr>
      </w:pPr>
    </w:p>
    <w:p w:rsidR="001D0FFC" w:rsidRPr="009072DA" w:rsidRDefault="001D0FFC" w:rsidP="00623DA7">
      <w:pPr>
        <w:pStyle w:val="Esann8chgras"/>
        <w:rPr>
          <w:lang w:val="bg-BG"/>
        </w:rPr>
      </w:pPr>
      <w:r w:rsidRPr="009072DA">
        <w:rPr>
          <w:lang w:val="bg-BG"/>
        </w:rPr>
        <w:t>2.11</w:t>
      </w:r>
      <w:r w:rsidRPr="009072DA">
        <w:rPr>
          <w:lang w:val="bg-BG"/>
        </w:rPr>
        <w:tab/>
        <w:t>Изпускателна система и спиране на подаването на газ</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2.11.1</w:t>
      </w:r>
      <w:r w:rsidRPr="009072DA">
        <w:rPr>
          <w:lang w:val="bg-BG"/>
        </w:rPr>
        <w:tab/>
        <w:t>Изпускателната система трябва да бъде конфигурирана така, че натрупването на неизгоряло газообразно гориво да се поддържа на възможно най-ниско ниво.</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2.11.2</w:t>
      </w:r>
      <w:r w:rsidRPr="009072DA">
        <w:rPr>
          <w:lang w:val="bg-BG"/>
        </w:rPr>
        <w:tab/>
        <w:t>Освен ако не са проектирани да издържат най-лошия случай по отношение на свръхналягането, дължащо се на изтичания на запален газ, компонентите или системите на двигателя, които могат да съдържат запалима смес от газ и въздух, се оборудват с подходящи предпазни изпускателни устройства.</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2.11.3</w:t>
      </w:r>
      <w:r w:rsidRPr="009072DA">
        <w:rPr>
          <w:lang w:val="bg-BG"/>
        </w:rPr>
        <w:tab/>
        <w:t>Ако подаването на газ не бъде заменено с подаване на газьол преди спиране, системата за подаване на газ от основния газов клапан до двигателя и изпускателната система трябва да бъде прочистена с цел освобождаване от евентуално наличните остатъчни газове.</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2.11.4</w:t>
      </w:r>
      <w:r w:rsidRPr="009072DA">
        <w:rPr>
          <w:lang w:val="bg-BG"/>
        </w:rPr>
        <w:tab/>
        <w:t xml:space="preserve">Трябва да се осигурят средства за проследяване и откриване на неправилно функциониране на системата за запалване, лошо горене или прекъсване на запалването, които могат да доведат до неизгорели газове в изпускателната система по време на експлоатация.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2.11.5</w:t>
      </w:r>
      <w:r w:rsidRPr="009072DA">
        <w:rPr>
          <w:lang w:val="bg-BG"/>
        </w:rPr>
        <w:tab/>
        <w:t>Ако бъде установено неправилно функциониране на системата за запалване, лошо горене или прекъсване на запалването, системата за подаване на газ трябва да се изключва автоматично.</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2.11.6</w:t>
      </w:r>
      <w:r w:rsidRPr="009072DA">
        <w:rPr>
          <w:lang w:val="bg-BG"/>
        </w:rPr>
        <w:tab/>
        <w:t>Изпускателните тръби на двигатели, работещи с газ или два вида гориво, не трябва да бъдат свързани към изпускателните тръби на други двигатели или системи.</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2.11.7</w:t>
      </w:r>
      <w:r w:rsidRPr="009072DA">
        <w:rPr>
          <w:lang w:val="bg-BG"/>
        </w:rPr>
        <w:tab/>
        <w:t>В случай на нормално спиране или аварийно изключване, системата за подаване на газ се спира не по-късно от източника на запалването. Не трябва да е възможно да се изключи източникът на запалване без преди това или едновременно с това да се спре подаването на газ за всеки цилиндър или за двигателя.</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2.11.8</w:t>
      </w:r>
      <w:r w:rsidRPr="009072DA">
        <w:rPr>
          <w:lang w:val="bg-BG"/>
        </w:rPr>
        <w:tab/>
        <w:t>В случай на изключване на системата за подаване на газ при двигател, работещ с два вида гориво, двигателят трябва да може да работи само с газьол без прекъсване.</w:t>
      </w:r>
    </w:p>
    <w:p w:rsidR="001D0FFC" w:rsidRPr="009072DA" w:rsidRDefault="001D0FFC" w:rsidP="001D0FFC">
      <w:pPr>
        <w:pStyle w:val="Esann8ch"/>
        <w:rPr>
          <w:lang w:val="bg-BG"/>
        </w:rPr>
      </w:pPr>
    </w:p>
    <w:p w:rsidR="00623DA7" w:rsidRPr="009072DA" w:rsidRDefault="00623DA7" w:rsidP="001D0FFC">
      <w:pPr>
        <w:pStyle w:val="Esann8ch"/>
        <w:rPr>
          <w:lang w:val="bg-BG"/>
        </w:rPr>
      </w:pPr>
    </w:p>
    <w:p w:rsidR="00D24BFE" w:rsidRPr="009072DA" w:rsidRDefault="00D24BFE">
      <w:pPr>
        <w:rPr>
          <w:rFonts w:eastAsia="Calibri" w:cs="Arial"/>
          <w:color w:val="000000"/>
          <w:szCs w:val="20"/>
          <w:lang w:val="bg-BG"/>
        </w:rPr>
      </w:pPr>
      <w:r w:rsidRPr="009072DA">
        <w:rPr>
          <w:lang w:val="bg-BG"/>
        </w:rPr>
        <w:br w:type="page"/>
      </w:r>
    </w:p>
    <w:p w:rsidR="00D24BFE" w:rsidRPr="009072DA" w:rsidRDefault="00D24BFE" w:rsidP="001D0FFC">
      <w:pPr>
        <w:pStyle w:val="Esann8ch"/>
        <w:rPr>
          <w:lang w:val="bg-BG"/>
        </w:rPr>
      </w:pPr>
    </w:p>
    <w:p w:rsidR="001D0FFC" w:rsidRPr="009072DA" w:rsidRDefault="001D0FFC" w:rsidP="001D0FFC">
      <w:pPr>
        <w:pStyle w:val="Esann8titrechap"/>
        <w:rPr>
          <w:lang w:val="bg-BG"/>
        </w:rPr>
      </w:pPr>
      <w:r w:rsidRPr="009072DA">
        <w:rPr>
          <w:lang w:val="bg-BG"/>
        </w:rPr>
        <w:t>Глава 3</w:t>
      </w:r>
    </w:p>
    <w:p w:rsidR="001D0FFC" w:rsidRPr="009072DA" w:rsidRDefault="001D0FFC" w:rsidP="001D0FFC">
      <w:pPr>
        <w:pStyle w:val="Esann8titrechap"/>
        <w:rPr>
          <w:lang w:val="bg-BG"/>
        </w:rPr>
      </w:pPr>
      <w:r w:rsidRPr="009072DA">
        <w:rPr>
          <w:lang w:val="bg-BG"/>
        </w:rPr>
        <w:t>Пожарна безопасност</w:t>
      </w:r>
    </w:p>
    <w:p w:rsidR="001D0FFC" w:rsidRPr="009072DA" w:rsidRDefault="001D0FFC" w:rsidP="001D0FFC">
      <w:pPr>
        <w:pStyle w:val="Esannch"/>
      </w:pPr>
    </w:p>
    <w:p w:rsidR="001D0FFC" w:rsidRPr="009072DA" w:rsidRDefault="001D0FFC" w:rsidP="001D0FFC">
      <w:pPr>
        <w:pStyle w:val="Esann8chgras"/>
        <w:rPr>
          <w:rFonts w:eastAsia="Calibri"/>
          <w:lang w:val="bg-BG"/>
        </w:rPr>
      </w:pPr>
      <w:r w:rsidRPr="009072DA">
        <w:rPr>
          <w:lang w:val="bg-BG"/>
        </w:rPr>
        <w:t>3.1</w:t>
      </w:r>
      <w:r w:rsidRPr="009072DA">
        <w:rPr>
          <w:lang w:val="bg-BG"/>
        </w:rPr>
        <w:tab/>
        <w:t>Общи положения</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3.1.1</w:t>
      </w:r>
      <w:r w:rsidRPr="009072DA">
        <w:rPr>
          <w:lang w:val="bg-BG"/>
        </w:rPr>
        <w:tab/>
        <w:t>Трябва да бъдат налице мерки за разкриване, защита и потушаване на пожари, подходящи за съответните опасности.</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3.1.2</w:t>
      </w:r>
      <w:r w:rsidRPr="009072DA">
        <w:rPr>
          <w:lang w:val="bg-BG"/>
        </w:rPr>
        <w:tab/>
        <w:t>За целите на противопожарната защита системата за подготовка на газ се разглежда като машинно отделение.</w:t>
      </w:r>
    </w:p>
    <w:p w:rsidR="001D0FFC" w:rsidRPr="009072DA" w:rsidRDefault="001D0FFC" w:rsidP="001D0FFC">
      <w:pPr>
        <w:pStyle w:val="Esann8ch"/>
        <w:rPr>
          <w:lang w:val="bg-BG"/>
        </w:rPr>
      </w:pPr>
    </w:p>
    <w:p w:rsidR="001D0FFC" w:rsidRPr="009072DA" w:rsidRDefault="001D0FFC" w:rsidP="00935328">
      <w:pPr>
        <w:pStyle w:val="Esann8chgras"/>
        <w:rPr>
          <w:lang w:val="bg-BG"/>
        </w:rPr>
      </w:pPr>
      <w:r w:rsidRPr="009072DA">
        <w:rPr>
          <w:lang w:val="bg-BG"/>
        </w:rPr>
        <w:t>3.2</w:t>
      </w:r>
      <w:r w:rsidRPr="009072DA">
        <w:rPr>
          <w:lang w:val="bg-BG"/>
        </w:rPr>
        <w:tab/>
        <w:t>Пожароизвестителна система</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3.2.1</w:t>
      </w:r>
      <w:r w:rsidRPr="009072DA">
        <w:rPr>
          <w:lang w:val="bg-BG"/>
        </w:rPr>
        <w:tab/>
        <w:t xml:space="preserve">Подходяща неподвижно монтирана пожароизвестителна система се предоставя за всички помещения на системата за втечнен природен газ, когато не може да бъде изключена възможността от възникване на пожар.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3.2.2</w:t>
      </w:r>
      <w:r w:rsidRPr="009072DA">
        <w:rPr>
          <w:lang w:val="bg-BG"/>
        </w:rPr>
        <w:tab/>
        <w:t>Датчиците за дим сами по себе си не са достатъчни за бързо откриване на пожар.</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3.2.3</w:t>
      </w:r>
      <w:r w:rsidRPr="009072DA">
        <w:rPr>
          <w:lang w:val="bg-BG"/>
        </w:rPr>
        <w:tab/>
        <w:t>Системата за откриване на пожар трябва да разполага със средствата за идентифициране на всеки отделен датчик.</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3.2.4</w:t>
      </w:r>
      <w:r w:rsidRPr="009072DA">
        <w:rPr>
          <w:lang w:val="bg-BG"/>
        </w:rPr>
        <w:tab/>
        <w:t>Системата за безопасност при използване на газ трябва да затваря съответните части на системата за подаване на газ автоматично при откриване на пожар в помещения, съдържащи газови инсталации.</w:t>
      </w:r>
    </w:p>
    <w:p w:rsidR="001D0FFC" w:rsidRPr="009072DA" w:rsidRDefault="001D0FFC" w:rsidP="001D0FFC">
      <w:pPr>
        <w:pStyle w:val="Esann8ch"/>
        <w:rPr>
          <w:lang w:val="bg-BG"/>
        </w:rPr>
      </w:pPr>
    </w:p>
    <w:p w:rsidR="001D0FFC" w:rsidRPr="009072DA" w:rsidRDefault="001D0FFC" w:rsidP="00935328">
      <w:pPr>
        <w:pStyle w:val="Esann8chgras"/>
        <w:rPr>
          <w:lang w:val="bg-BG"/>
        </w:rPr>
      </w:pPr>
      <w:r w:rsidRPr="009072DA">
        <w:rPr>
          <w:lang w:val="bg-BG"/>
        </w:rPr>
        <w:t>3.3</w:t>
      </w:r>
      <w:r w:rsidRPr="009072DA">
        <w:rPr>
          <w:lang w:val="bg-BG"/>
        </w:rPr>
        <w:tab/>
        <w:t xml:space="preserve">Противопожарна защита </w:t>
      </w:r>
    </w:p>
    <w:p w:rsidR="001D0FFC" w:rsidRPr="009072DA" w:rsidRDefault="001D0FFC" w:rsidP="001D0FFC">
      <w:pPr>
        <w:pStyle w:val="Esann8ch"/>
        <w:rPr>
          <w:lang w:val="bg-BG"/>
        </w:rPr>
      </w:pPr>
    </w:p>
    <w:p w:rsidR="001D0FFC" w:rsidRPr="009072DA" w:rsidRDefault="00935328" w:rsidP="001D0FFC">
      <w:pPr>
        <w:pStyle w:val="Esann8ch"/>
        <w:rPr>
          <w:lang w:val="bg-BG"/>
        </w:rPr>
      </w:pPr>
      <w:r w:rsidRPr="009072DA">
        <w:rPr>
          <w:lang w:val="bg-BG"/>
        </w:rPr>
        <w:t>3.3.1</w:t>
      </w:r>
      <w:r w:rsidRPr="009072DA">
        <w:rPr>
          <w:lang w:val="bg-BG"/>
        </w:rPr>
        <w:tab/>
        <w:t>Жилищните помещения, пространствата за пътниците, машинните отделения и маршрутите за евакуация трябва да бъдат защитени с преградни стени от тип А60, когато разстоянието до резервоарите за гориво за ВПГ и станциите за зареждане, разположени на палубата, е по-малко от 3,00 m.</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3.3.2</w:t>
      </w:r>
      <w:r w:rsidRPr="009072DA">
        <w:rPr>
          <w:lang w:val="bg-BG"/>
        </w:rPr>
        <w:tab/>
        <w:t>Границите на помещенията за резервоари за ВПГ и вентилационните тръби към тези помещения под палубата на преградите трябва да съответстват на тип А60. Все пак, когато помещението се намира в съседство на резервоари, празни пространства, спомагателни машинни отделения с малка или никаква опасност от пожар, санитарни и други подобни помещения, изолацията може да съответства на тип А0.</w:t>
      </w:r>
    </w:p>
    <w:p w:rsidR="001D0FFC" w:rsidRPr="009072DA" w:rsidRDefault="001D0FFC" w:rsidP="001D0FFC">
      <w:pPr>
        <w:pStyle w:val="Esann8ch"/>
        <w:rPr>
          <w:lang w:val="bg-BG"/>
        </w:rPr>
      </w:pPr>
    </w:p>
    <w:p w:rsidR="001D0FFC" w:rsidRPr="009072DA" w:rsidRDefault="001D0FFC" w:rsidP="00935328">
      <w:pPr>
        <w:pStyle w:val="Esann8chgras"/>
        <w:rPr>
          <w:lang w:val="bg-BG"/>
        </w:rPr>
      </w:pPr>
      <w:r w:rsidRPr="009072DA">
        <w:rPr>
          <w:lang w:val="bg-BG"/>
        </w:rPr>
        <w:t>3.4</w:t>
      </w:r>
      <w:r w:rsidRPr="009072DA">
        <w:rPr>
          <w:lang w:val="bg-BG"/>
        </w:rPr>
        <w:tab/>
        <w:t>Предотвратяване на пожари и охлаждане</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3.4.1</w:t>
      </w:r>
      <w:r w:rsidRPr="009072DA">
        <w:rPr>
          <w:lang w:val="bg-BG"/>
        </w:rPr>
        <w:tab/>
        <w:t xml:space="preserve">Система за пръскане с вода трябва да бъде монтирана с цел  охлаждане и предотвратяване на пожари така, че да бъдат обхванати откритите части на резервоара(ите) за ВПГ, разположени върху открита палуба.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3.4.2</w:t>
      </w:r>
      <w:r w:rsidRPr="009072DA">
        <w:rPr>
          <w:lang w:val="bg-BG"/>
        </w:rPr>
        <w:tab/>
        <w:t>Ако системата за пръскане с вода е част от противопожарните системи, посочени в членове 13.04 или 13.05, изискваният капацитет на противопожарна помпа и работно налягане трябва да са достатъчни за гарантиране на функционирането на необходимия брой хидранти и маркучи и системата за пръскане с вода едновременно. Връзката между системата за пръскане с вода и противопожарните системи, посочени в членове 13.04 или 13.05, се осигурява посредством управляем невъзвратен клапан.</w:t>
      </w:r>
    </w:p>
    <w:p w:rsidR="001D0FFC" w:rsidRPr="009072DA" w:rsidRDefault="001D0FFC" w:rsidP="001D0FFC">
      <w:pPr>
        <w:pStyle w:val="Esann8ch"/>
        <w:rPr>
          <w:lang w:val="bg-BG"/>
        </w:rPr>
      </w:pPr>
    </w:p>
    <w:p w:rsidR="00D24BFE" w:rsidRPr="009072DA" w:rsidRDefault="00D24BFE">
      <w:pPr>
        <w:rPr>
          <w:rFonts w:eastAsia="Calibri" w:cs="Arial"/>
          <w:color w:val="000000"/>
          <w:szCs w:val="20"/>
          <w:lang w:val="bg-BG"/>
        </w:rPr>
      </w:pPr>
      <w:r w:rsidRPr="009072DA">
        <w:rPr>
          <w:lang w:val="bg-BG"/>
        </w:rPr>
        <w:br w:type="page"/>
      </w:r>
    </w:p>
    <w:p w:rsidR="00D24BFE" w:rsidRPr="009072DA" w:rsidRDefault="00D24BFE" w:rsidP="001D0FFC">
      <w:pPr>
        <w:pStyle w:val="Esann8ch"/>
        <w:rPr>
          <w:lang w:val="bg-BG"/>
        </w:rPr>
      </w:pPr>
    </w:p>
    <w:p w:rsidR="001D0FFC" w:rsidRPr="009072DA" w:rsidRDefault="001D0FFC" w:rsidP="001D0FFC">
      <w:pPr>
        <w:pStyle w:val="Esann8ch"/>
        <w:rPr>
          <w:lang w:val="bg-BG"/>
        </w:rPr>
      </w:pPr>
      <w:r w:rsidRPr="009072DA">
        <w:rPr>
          <w:lang w:val="bg-BG"/>
        </w:rPr>
        <w:t>3.4.3</w:t>
      </w:r>
      <w:r w:rsidRPr="009072DA">
        <w:rPr>
          <w:lang w:val="bg-BG"/>
        </w:rPr>
        <w:tab/>
        <w:t>Ако противопожарните системи, посочени в членове 13.04 и 13.05, са инсталирани на борда на плавателно средство, където резервоарът за ВПГ се намира на откритата палуба, в противопожарните системи се монтират изолиращи клапани за изолиране на увредените участъци от противопожарните системи. Изолирането на част от противопожарните системи не трябва да лишава от вода линията на пожара пред изолирана част.</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3.4.4</w:t>
      </w:r>
      <w:r w:rsidRPr="009072DA">
        <w:rPr>
          <w:lang w:val="bg-BG"/>
        </w:rPr>
        <w:tab/>
        <w:t xml:space="preserve">Системата за пръскане с вода трябва също да обхваща границите на надстройките, освен ако резервоарът се намира на 3,00 m или повече от границите.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3.4.5</w:t>
      </w:r>
      <w:r w:rsidRPr="009072DA">
        <w:rPr>
          <w:lang w:val="bg-BG"/>
        </w:rPr>
        <w:tab/>
        <w:t>Системата за пръскане с вода се проектира така, че да обхваща всички зони, както са определени по-горе с норма от 10 l/min/m</w:t>
      </w:r>
      <w:r w:rsidRPr="009072DA">
        <w:rPr>
          <w:vertAlign w:val="superscript"/>
          <w:lang w:val="bg-BG"/>
        </w:rPr>
        <w:t>2</w:t>
      </w:r>
      <w:r w:rsidRPr="009072DA">
        <w:rPr>
          <w:lang w:val="bg-BG"/>
        </w:rPr>
        <w:t xml:space="preserve"> за повърхности с хоризонтална проекция и 4 l/min/m</w:t>
      </w:r>
      <w:r w:rsidRPr="009072DA">
        <w:rPr>
          <w:vertAlign w:val="superscript"/>
          <w:lang w:val="bg-BG"/>
        </w:rPr>
        <w:t>2</w:t>
      </w:r>
      <w:r w:rsidRPr="009072DA">
        <w:rPr>
          <w:lang w:val="bg-BG"/>
        </w:rPr>
        <w:t xml:space="preserve"> за вертикални повърхности.</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3.4.6</w:t>
      </w:r>
      <w:r w:rsidRPr="009072DA">
        <w:rPr>
          <w:lang w:val="bg-BG"/>
        </w:rPr>
        <w:tab/>
        <w:t xml:space="preserve">Система за пръскане с вода трябва да може да бъде задействана от рулевата рубка и от палубата.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3.4.7</w:t>
      </w:r>
      <w:r w:rsidRPr="009072DA">
        <w:rPr>
          <w:lang w:val="bg-BG"/>
        </w:rPr>
        <w:tab/>
        <w:t>Дюзите се разполагат така, че да се гарантира ефективно разпределение на водата в цялата защитена зона.</w:t>
      </w:r>
    </w:p>
    <w:p w:rsidR="001D0FFC" w:rsidRPr="009072DA" w:rsidRDefault="001D0FFC" w:rsidP="001D0FFC">
      <w:pPr>
        <w:pStyle w:val="Esann8ch"/>
        <w:rPr>
          <w:lang w:val="bg-BG"/>
        </w:rPr>
      </w:pPr>
    </w:p>
    <w:p w:rsidR="001D0FFC" w:rsidRPr="009072DA" w:rsidRDefault="001D0FFC" w:rsidP="00935328">
      <w:pPr>
        <w:pStyle w:val="Esann8chgras"/>
        <w:rPr>
          <w:lang w:val="bg-BG"/>
        </w:rPr>
      </w:pPr>
      <w:r w:rsidRPr="009072DA">
        <w:rPr>
          <w:lang w:val="bg-BG"/>
        </w:rPr>
        <w:t>3.5</w:t>
      </w:r>
      <w:r w:rsidRPr="009072DA">
        <w:rPr>
          <w:lang w:val="bg-BG"/>
        </w:rPr>
        <w:tab/>
        <w:t>Гасене на пожари</w:t>
      </w:r>
    </w:p>
    <w:p w:rsidR="001D0FFC" w:rsidRPr="009072DA" w:rsidRDefault="001D0FFC" w:rsidP="001D0FFC">
      <w:pPr>
        <w:pStyle w:val="Esann8ch"/>
        <w:rPr>
          <w:lang w:val="bg-BG"/>
        </w:rPr>
      </w:pPr>
    </w:p>
    <w:p w:rsidR="001D0FFC" w:rsidRPr="009072DA" w:rsidRDefault="001D0FFC" w:rsidP="001D0FFC">
      <w:pPr>
        <w:pStyle w:val="Esann8chpar"/>
        <w:rPr>
          <w:lang w:val="bg-BG"/>
        </w:rPr>
      </w:pPr>
      <w:r w:rsidRPr="009072DA">
        <w:rPr>
          <w:lang w:val="bg-BG"/>
        </w:rPr>
        <w:t>В допълнение към изискванията на член 13.03, два допълнителни преносими пожарогасителя със сух прах с капацитет най-малко 12 kg трябва да се намират в близост до станцията за зареждане. Те трябва да са подходящи за гасене на пожари от клас В.</w:t>
      </w:r>
    </w:p>
    <w:p w:rsidR="001D0FFC" w:rsidRPr="009072DA" w:rsidRDefault="001D0FFC" w:rsidP="001D0FFC">
      <w:pPr>
        <w:pStyle w:val="Esann8ch"/>
        <w:rPr>
          <w:lang w:val="bg-BG"/>
        </w:rPr>
      </w:pPr>
    </w:p>
    <w:p w:rsidR="001D0FFC" w:rsidRPr="009072DA" w:rsidRDefault="001D0FFC" w:rsidP="001D0FFC">
      <w:pPr>
        <w:pStyle w:val="Esann8ch"/>
        <w:rPr>
          <w:lang w:val="bg-BG"/>
        </w:rPr>
      </w:pPr>
    </w:p>
    <w:p w:rsidR="001D0FFC" w:rsidRPr="009072DA" w:rsidRDefault="001D0FFC" w:rsidP="001D0FFC">
      <w:pPr>
        <w:pStyle w:val="Esann8titrechap"/>
        <w:rPr>
          <w:rFonts w:eastAsia="Calibri"/>
          <w:lang w:val="bg-BG"/>
        </w:rPr>
      </w:pPr>
      <w:r w:rsidRPr="009072DA">
        <w:rPr>
          <w:lang w:val="bg-BG"/>
        </w:rPr>
        <w:t>Глава 4</w:t>
      </w:r>
    </w:p>
    <w:p w:rsidR="001D0FFC" w:rsidRPr="009072DA" w:rsidRDefault="001D0FFC" w:rsidP="001D0FFC">
      <w:pPr>
        <w:pStyle w:val="Esann8titrechap"/>
        <w:rPr>
          <w:lang w:val="bg-BG"/>
        </w:rPr>
      </w:pPr>
      <w:r w:rsidRPr="009072DA">
        <w:rPr>
          <w:lang w:val="bg-BG"/>
        </w:rPr>
        <w:t>Електрически системи</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4.1</w:t>
      </w:r>
      <w:r w:rsidRPr="009072DA">
        <w:rPr>
          <w:lang w:val="bg-BG"/>
        </w:rPr>
        <w:tab/>
        <w:t>Оборудването за опасните зони трябва да бъде от подходящ тип в съответствие с класификацията на зоната, където то е инсталирано.</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4.2</w:t>
      </w:r>
      <w:r w:rsidRPr="009072DA">
        <w:rPr>
          <w:lang w:val="bg-BG"/>
        </w:rPr>
        <w:tab/>
        <w:t xml:space="preserve">Електрическите системи за генериране и разпределяне и свързаните с тях системи за управление трябва да бъдат проектирани по такъв начин, че евентуален отказ да не води до освобождаване на газ.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4.3</w:t>
      </w:r>
      <w:r w:rsidRPr="009072DA">
        <w:rPr>
          <w:lang w:val="bg-BG"/>
        </w:rPr>
        <w:tab/>
        <w:t>Осветителната система в опасните зони се разпределя между поне две вериги за разклонения. Всички превключватели и устройства за защита трябва да прекъсват всички полюси и фази и да се намират в неопасна зона.</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4.4</w:t>
      </w:r>
      <w:r w:rsidRPr="009072DA">
        <w:rPr>
          <w:lang w:val="bg-BG"/>
        </w:rPr>
        <w:tab/>
        <w:t>Потопени двигатели на газова помпа и техните захранващи кабели могат да бъдат монтирани в ограничителни системи за ВПГ. Следва да бъдат предприети мерки за сигнализиране на ниско ниво на течността и автоматично изключване на двигателите в случай на ниско ниво на течността. Автоматичното изключване може да се задейства чрез откриване на ниско налягане на помпата при изпускане, слаб ток на мотора или ниско ниво на течността. Това изключване трябва да произвежда светлинен и звуков алармен сигнал в рулевата рубка. Двигателите на газовата помпа трябва да могат да бъдат изолирани от своето електрическо захранване по време на операции по освобождаване на газ.</w:t>
      </w:r>
    </w:p>
    <w:p w:rsidR="001D0FFC" w:rsidRPr="009072DA" w:rsidRDefault="001D0FFC" w:rsidP="001D0FFC">
      <w:pPr>
        <w:pStyle w:val="Esann8ch"/>
        <w:rPr>
          <w:bCs/>
          <w:lang w:val="bg-BG"/>
        </w:rPr>
      </w:pPr>
    </w:p>
    <w:p w:rsidR="001D0FFC" w:rsidRPr="009072DA" w:rsidRDefault="001D0FFC" w:rsidP="001D0FFC">
      <w:pPr>
        <w:pStyle w:val="Esann8ch"/>
        <w:rPr>
          <w:bCs/>
          <w:lang w:val="bg-BG"/>
        </w:rPr>
      </w:pPr>
    </w:p>
    <w:p w:rsidR="00D24BFE" w:rsidRPr="009072DA" w:rsidRDefault="00D24BFE">
      <w:pPr>
        <w:rPr>
          <w:rFonts w:eastAsia="Calibri" w:cs="Arial"/>
          <w:bCs/>
          <w:color w:val="000000"/>
          <w:szCs w:val="20"/>
          <w:lang w:val="bg-BG"/>
        </w:rPr>
      </w:pPr>
      <w:r w:rsidRPr="009072DA">
        <w:rPr>
          <w:lang w:val="bg-BG"/>
        </w:rPr>
        <w:br w:type="page"/>
      </w:r>
    </w:p>
    <w:p w:rsidR="00D24BFE" w:rsidRPr="009072DA" w:rsidRDefault="00D24BFE" w:rsidP="001D0FFC">
      <w:pPr>
        <w:pStyle w:val="Esann8ch"/>
        <w:rPr>
          <w:bCs/>
          <w:lang w:val="bg-BG"/>
        </w:rPr>
      </w:pPr>
    </w:p>
    <w:p w:rsidR="001D0FFC" w:rsidRPr="009072DA" w:rsidRDefault="001D0FFC" w:rsidP="001D0FFC">
      <w:pPr>
        <w:pStyle w:val="Esann8titrechap"/>
        <w:rPr>
          <w:lang w:val="bg-BG"/>
        </w:rPr>
      </w:pPr>
      <w:r w:rsidRPr="009072DA">
        <w:rPr>
          <w:lang w:val="bg-BG"/>
        </w:rPr>
        <w:t>Глава 5</w:t>
      </w:r>
    </w:p>
    <w:p w:rsidR="001D0FFC" w:rsidRPr="009072DA" w:rsidRDefault="001D0FFC" w:rsidP="001D0FFC">
      <w:pPr>
        <w:pStyle w:val="Esann8titrechap"/>
        <w:rPr>
          <w:lang w:val="bg-BG"/>
        </w:rPr>
      </w:pPr>
      <w:r w:rsidRPr="009072DA">
        <w:rPr>
          <w:lang w:val="bg-BG"/>
        </w:rPr>
        <w:t>Системи за контрол, следене и безопасност</w:t>
      </w:r>
    </w:p>
    <w:p w:rsidR="001D0FFC" w:rsidRPr="009072DA" w:rsidRDefault="001D0FFC" w:rsidP="001D0FFC">
      <w:pPr>
        <w:pStyle w:val="Esann8ch"/>
        <w:rPr>
          <w:lang w:val="bg-BG"/>
        </w:rPr>
      </w:pPr>
    </w:p>
    <w:p w:rsidR="001D0FFC" w:rsidRPr="009072DA" w:rsidRDefault="001D0FFC" w:rsidP="00935328">
      <w:pPr>
        <w:pStyle w:val="Esann8chgras"/>
        <w:rPr>
          <w:lang w:val="bg-BG"/>
        </w:rPr>
      </w:pPr>
      <w:r w:rsidRPr="009072DA">
        <w:rPr>
          <w:lang w:val="bg-BG"/>
        </w:rPr>
        <w:t>5.1</w:t>
      </w:r>
      <w:r w:rsidRPr="009072DA">
        <w:rPr>
          <w:lang w:val="bg-BG"/>
        </w:rPr>
        <w:tab/>
        <w:t>Общи положения</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5.1.1</w:t>
      </w:r>
      <w:r w:rsidRPr="009072DA">
        <w:rPr>
          <w:lang w:val="bg-BG"/>
        </w:rPr>
        <w:tab/>
        <w:t>Подходящи системи за контрол, алармени системи, системи за следене и спиране трябва да бъдат осигурени за гарантиране на безопасна и надеждна експлоатация.</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5.1.2</w:t>
      </w:r>
      <w:r w:rsidRPr="009072DA">
        <w:rPr>
          <w:lang w:val="bg-BG"/>
        </w:rPr>
        <w:tab/>
        <w:t>Системата за подаване на газ трябва да бъде снабдена със свой собствен набор от независими системи за контрол на газа, следене на газа и безопасност при използването на газ. Всички елементи на тези системи трябва да могат да бъдат функционално изпитани.</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5.1.3</w:t>
      </w:r>
      <w:r w:rsidRPr="009072DA">
        <w:rPr>
          <w:lang w:val="bg-BG"/>
        </w:rPr>
        <w:tab/>
        <w:t>Системата за безопасност при използване на газ трябва да затваря системата за подаване на газ автоматично при повреда в системи, които са съществени за безопасността, и при неизправност, която може да се развие прекалено бързо за ръчна намеса.</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5.1.4</w:t>
      </w:r>
      <w:r w:rsidRPr="009072DA">
        <w:rPr>
          <w:lang w:val="bg-BG"/>
        </w:rPr>
        <w:tab/>
        <w:t xml:space="preserve">Функциите за безопасност трябва да бъдат организирани в специална система за безопасност при използване на газа, която е независима от системата за контрол на газа.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5.1.5</w:t>
      </w:r>
      <w:r w:rsidRPr="009072DA">
        <w:rPr>
          <w:lang w:val="bg-BG"/>
        </w:rPr>
        <w:tab/>
        <w:t xml:space="preserve">Трябва да бъдат монтирани контролно-измервателни уреди, позволяващи местно и дистанционно отчитане на основните параметри, които са необходими за гарантиране на безопасното функциониране на цялата система за ВПГ, включително зареждането с гориво. </w:t>
      </w:r>
    </w:p>
    <w:p w:rsidR="001D0FFC" w:rsidRPr="009072DA" w:rsidRDefault="001D0FFC" w:rsidP="001D0FFC">
      <w:pPr>
        <w:pStyle w:val="Esann8ch"/>
        <w:rPr>
          <w:b/>
          <w:bCs/>
          <w:lang w:val="bg-BG"/>
        </w:rPr>
      </w:pPr>
    </w:p>
    <w:p w:rsidR="001D0FFC" w:rsidRPr="009072DA" w:rsidRDefault="001D0FFC" w:rsidP="00935328">
      <w:pPr>
        <w:pStyle w:val="Esann8chgras"/>
        <w:rPr>
          <w:lang w:val="bg-BG"/>
        </w:rPr>
      </w:pPr>
      <w:r w:rsidRPr="009072DA">
        <w:rPr>
          <w:lang w:val="bg-BG"/>
        </w:rPr>
        <w:t>5.2</w:t>
      </w:r>
      <w:r w:rsidRPr="009072DA">
        <w:rPr>
          <w:lang w:val="bg-BG"/>
        </w:rPr>
        <w:tab/>
        <w:t>Следене на системата за зареждане с ВПГ и ограничителната система за ВПГ</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5.2.1</w:t>
      </w:r>
      <w:r w:rsidRPr="009072DA">
        <w:rPr>
          <w:lang w:val="bg-BG"/>
        </w:rPr>
        <w:tab/>
        <w:t>Всеки резервоар за гориво за ВПГ трябва да бъде оборудван с:</w:t>
      </w:r>
    </w:p>
    <w:p w:rsidR="001D0FFC" w:rsidRPr="009072DA" w:rsidRDefault="001D0FFC" w:rsidP="00935328">
      <w:pPr>
        <w:pStyle w:val="Esann8let"/>
        <w:rPr>
          <w:lang w:val="bg-BG"/>
        </w:rPr>
      </w:pPr>
      <w:r w:rsidRPr="009072DA">
        <w:rPr>
          <w:lang w:val="bg-BG"/>
        </w:rPr>
        <w:t>a)</w:t>
      </w:r>
      <w:r w:rsidRPr="009072DA">
        <w:rPr>
          <w:lang w:val="bg-BG"/>
        </w:rPr>
        <w:tab/>
        <w:t>поне два индикатора за нивото на течности, които трябва да бъдат разположени така, че да могат да се поддържат в оперативно състояние,</w:t>
      </w:r>
    </w:p>
    <w:p w:rsidR="001D0FFC" w:rsidRPr="009072DA" w:rsidRDefault="001D0FFC" w:rsidP="00935328">
      <w:pPr>
        <w:pStyle w:val="Esann8let"/>
        <w:rPr>
          <w:lang w:val="bg-BG"/>
        </w:rPr>
      </w:pPr>
      <w:r w:rsidRPr="009072DA">
        <w:rPr>
          <w:lang w:val="bg-BG"/>
        </w:rPr>
        <w:lastRenderedPageBreak/>
        <w:t>б)</w:t>
      </w:r>
      <w:r w:rsidRPr="009072DA">
        <w:rPr>
          <w:lang w:val="bg-BG"/>
        </w:rPr>
        <w:tab/>
        <w:t>индикатор за налягането, който може да показва налягането в целия обхват на работно налягане и е ясно обозначен с максимално работно налягане на резервоара за ВПГ,</w:t>
      </w:r>
    </w:p>
    <w:p w:rsidR="001D0FFC" w:rsidRPr="009072DA" w:rsidRDefault="001D0FFC" w:rsidP="00935328">
      <w:pPr>
        <w:pStyle w:val="Esann8let"/>
        <w:rPr>
          <w:lang w:val="bg-BG"/>
        </w:rPr>
      </w:pPr>
      <w:r w:rsidRPr="009072DA">
        <w:rPr>
          <w:lang w:val="bg-BG"/>
        </w:rPr>
        <w:t>в)</w:t>
      </w:r>
      <w:r w:rsidRPr="009072DA">
        <w:rPr>
          <w:lang w:val="bg-BG"/>
        </w:rPr>
        <w:tab/>
        <w:t>алармен сигнал за високо ниво на течността независимо от други индикатори за нивото на течността, който да излъчва светлинен и звуков алармен сигнал при задействане,</w:t>
      </w:r>
    </w:p>
    <w:p w:rsidR="001D0FFC" w:rsidRPr="009072DA" w:rsidRDefault="001D0FFC" w:rsidP="00935328">
      <w:pPr>
        <w:pStyle w:val="Esann8let"/>
        <w:rPr>
          <w:lang w:val="bg-BG"/>
        </w:rPr>
      </w:pPr>
      <w:r w:rsidRPr="009072DA">
        <w:rPr>
          <w:lang w:val="bg-BG"/>
        </w:rPr>
        <w:t>г)</w:t>
      </w:r>
      <w:r w:rsidRPr="009072DA">
        <w:rPr>
          <w:lang w:val="bg-BG"/>
        </w:rPr>
        <w:tab/>
        <w:t>допълнителен датчик, който функционира независимо от алармения сигнал за високо ниво на течността, автоматично задействащ главния вентил за зареждане с ВПГ, така че да се избегне прекомерното налягане на течността в тръбопроводите за зареждане и да се предотврати напълването с течност на резервоара.</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5.2.2</w:t>
      </w:r>
      <w:r w:rsidRPr="009072DA">
        <w:rPr>
          <w:lang w:val="bg-BG"/>
        </w:rPr>
        <w:tab/>
        <w:t>Всяка дренажна линия на помпата и всеки свързващ с брега тръбопровод за течност и газ трябва да бъдат оборудвани с поне един местен индикатор за измерване на налягането. В дренажната линия на помпата, индикаторът се поставя между помпата и първата клапа. Допустимата максимална стойност на налягането или вакуума се посочва за всеки индикатор.</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5.2.3</w:t>
      </w:r>
      <w:r w:rsidRPr="009072DA">
        <w:rPr>
          <w:lang w:val="bg-BG"/>
        </w:rPr>
        <w:tab/>
        <w:t>Трябва да има система за алармена сигнализация при високо налягане в ограничителната система за ВПГ и при помпата. В случаите, когато се изисква защита във вакуум, трябва да бъде осигурена сигнализация за ниско налягане.</w:t>
      </w:r>
    </w:p>
    <w:p w:rsidR="001D0FFC" w:rsidRPr="009072DA" w:rsidRDefault="001D0FFC" w:rsidP="001D0FFC">
      <w:pPr>
        <w:pStyle w:val="Esann8ch"/>
        <w:rPr>
          <w:lang w:val="bg-BG"/>
        </w:rPr>
      </w:pPr>
    </w:p>
    <w:p w:rsidR="00D24BFE" w:rsidRPr="009072DA" w:rsidRDefault="00D24BFE">
      <w:pPr>
        <w:rPr>
          <w:rFonts w:eastAsia="Calibri" w:cs="Arial"/>
          <w:color w:val="000000"/>
          <w:szCs w:val="20"/>
          <w:lang w:val="bg-BG"/>
        </w:rPr>
      </w:pPr>
      <w:r w:rsidRPr="009072DA">
        <w:rPr>
          <w:lang w:val="bg-BG"/>
        </w:rPr>
        <w:br w:type="page"/>
      </w:r>
    </w:p>
    <w:p w:rsidR="00D24BFE" w:rsidRPr="009072DA" w:rsidRDefault="00D24BFE" w:rsidP="001D0FFC">
      <w:pPr>
        <w:pStyle w:val="Esann8ch"/>
        <w:rPr>
          <w:lang w:val="bg-BG"/>
        </w:rPr>
      </w:pPr>
    </w:p>
    <w:p w:rsidR="001D0FFC" w:rsidRPr="009072DA" w:rsidRDefault="001D0FFC" w:rsidP="001D0FFC">
      <w:pPr>
        <w:pStyle w:val="Esann8ch"/>
        <w:rPr>
          <w:lang w:val="bg-BG"/>
        </w:rPr>
      </w:pPr>
      <w:r w:rsidRPr="009072DA">
        <w:rPr>
          <w:lang w:val="bg-BG"/>
        </w:rPr>
        <w:t>5.2.4</w:t>
      </w:r>
      <w:r w:rsidRPr="009072DA">
        <w:rPr>
          <w:lang w:val="bg-BG"/>
        </w:rPr>
        <w:tab/>
        <w:t>Контролът на зареждането трябва да бъде възможен от контролен пункт на безопасно разстояние от станцията за зареждане. В този контролен пункт трябва да се наблюдават налягането и нивото на резервоара за ВПГ. Алармените сигнали за препълване, за високо и ниско налягане и за автоматично изключване се показват в този контролен пункт.</w:t>
      </w:r>
    </w:p>
    <w:p w:rsidR="00D24BFE" w:rsidRPr="009072DA" w:rsidRDefault="00D24BFE" w:rsidP="001D0FFC">
      <w:pPr>
        <w:pStyle w:val="Esann8ch"/>
        <w:rPr>
          <w:lang w:val="bg-BG"/>
        </w:rPr>
      </w:pPr>
    </w:p>
    <w:p w:rsidR="001D0FFC" w:rsidRPr="009072DA" w:rsidRDefault="001D0FFC" w:rsidP="001D0FFC">
      <w:pPr>
        <w:pStyle w:val="Esann8ch"/>
        <w:rPr>
          <w:lang w:val="bg-BG"/>
        </w:rPr>
      </w:pPr>
      <w:r w:rsidRPr="009072DA">
        <w:rPr>
          <w:lang w:val="bg-BG"/>
        </w:rPr>
        <w:t>5.2.5</w:t>
      </w:r>
      <w:r w:rsidRPr="009072DA">
        <w:rPr>
          <w:lang w:val="bg-BG"/>
        </w:rPr>
        <w:tab/>
        <w:t>Ако вентилацията в канала, поместващ линиите за зареждане, се преустанови, в контролния пункт се задействат звуков и светлинен алармен сигнал.</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5.2.6</w:t>
      </w:r>
      <w:r w:rsidRPr="009072DA">
        <w:rPr>
          <w:lang w:val="bg-BG"/>
        </w:rPr>
        <w:tab/>
        <w:t>Ако в канала, поместващ тръбопровода за зареждане, бъде открит газ, в контролния пункт се задействат звуков и светлинен алармен сигнал, както и аварийно спиране.</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 xml:space="preserve">5.2.7 </w:t>
      </w:r>
      <w:r w:rsidRPr="009072DA">
        <w:rPr>
          <w:lang w:val="bg-BG"/>
        </w:rPr>
        <w:tab/>
        <w:t>Подходящо и достатъчно пригодно защитно облекло и оборудване за операциите по зареждане с гориво трябва да бъде на разположение на борда в съответствие с ръководството за експлоатация.</w:t>
      </w:r>
    </w:p>
    <w:p w:rsidR="001D0FFC" w:rsidRPr="009072DA" w:rsidRDefault="001D0FFC" w:rsidP="001D0FFC">
      <w:pPr>
        <w:pStyle w:val="Esann8ch"/>
        <w:rPr>
          <w:lang w:val="bg-BG"/>
        </w:rPr>
      </w:pPr>
    </w:p>
    <w:p w:rsidR="001D0FFC" w:rsidRPr="009072DA" w:rsidRDefault="001D0FFC" w:rsidP="001D0FFC">
      <w:pPr>
        <w:pStyle w:val="Esann8ch"/>
        <w:rPr>
          <w:b/>
          <w:bCs/>
          <w:lang w:val="bg-BG"/>
        </w:rPr>
      </w:pPr>
      <w:r w:rsidRPr="009072DA">
        <w:rPr>
          <w:b/>
          <w:lang w:val="bg-BG"/>
        </w:rPr>
        <w:t>5.3</w:t>
      </w:r>
      <w:r w:rsidRPr="009072DA">
        <w:rPr>
          <w:lang w:val="bg-BG"/>
        </w:rPr>
        <w:tab/>
      </w:r>
      <w:r w:rsidRPr="009072DA">
        <w:rPr>
          <w:b/>
          <w:lang w:val="bg-BG"/>
        </w:rPr>
        <w:t>Следене на работата на двигателя</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5.3.1</w:t>
      </w:r>
      <w:r w:rsidRPr="009072DA">
        <w:rPr>
          <w:lang w:val="bg-BG"/>
        </w:rPr>
        <w:tab/>
        <w:t>В рулевата рубка и машинното отделение трябва да бъдат монтирани индикатори за:</w:t>
      </w:r>
    </w:p>
    <w:p w:rsidR="001D0FFC" w:rsidRPr="009072DA" w:rsidRDefault="001D0FFC" w:rsidP="00935328">
      <w:pPr>
        <w:pStyle w:val="Esann8let"/>
        <w:rPr>
          <w:lang w:val="bg-BG"/>
        </w:rPr>
      </w:pPr>
      <w:r w:rsidRPr="009072DA">
        <w:rPr>
          <w:lang w:val="bg-BG"/>
        </w:rPr>
        <w:t>a)</w:t>
      </w:r>
      <w:r w:rsidRPr="009072DA">
        <w:rPr>
          <w:lang w:val="bg-BG"/>
        </w:rPr>
        <w:tab/>
        <w:t>работа на двигателя, в случай на газов двигател или</w:t>
      </w:r>
    </w:p>
    <w:p w:rsidR="001D0FFC" w:rsidRPr="009072DA" w:rsidRDefault="001D0FFC" w:rsidP="00935328">
      <w:pPr>
        <w:pStyle w:val="Esann8let"/>
        <w:rPr>
          <w:lang w:val="bg-BG"/>
        </w:rPr>
      </w:pPr>
      <w:r w:rsidRPr="009072DA">
        <w:rPr>
          <w:lang w:val="bg-BG"/>
        </w:rPr>
        <w:t>б)</w:t>
      </w:r>
      <w:r w:rsidRPr="009072DA">
        <w:rPr>
          <w:lang w:val="bg-BG"/>
        </w:rPr>
        <w:tab/>
        <w:t>работа и начина на работа на двигателя, в случай на двигател, работещ с два вида гориво.</w:t>
      </w:r>
    </w:p>
    <w:p w:rsidR="001D0FFC" w:rsidRPr="009072DA" w:rsidRDefault="001D0FFC" w:rsidP="001D0FFC">
      <w:pPr>
        <w:pStyle w:val="Esann8ch"/>
        <w:rPr>
          <w:lang w:val="bg-BG"/>
        </w:rPr>
      </w:pPr>
    </w:p>
    <w:p w:rsidR="001D0FFC" w:rsidRPr="009072DA" w:rsidRDefault="001D0FFC" w:rsidP="00935328">
      <w:pPr>
        <w:pStyle w:val="Esann8chgras"/>
        <w:rPr>
          <w:lang w:val="bg-BG"/>
        </w:rPr>
      </w:pPr>
      <w:r w:rsidRPr="009072DA">
        <w:rPr>
          <w:lang w:val="bg-BG"/>
        </w:rPr>
        <w:t>5.4</w:t>
      </w:r>
      <w:r w:rsidRPr="009072DA">
        <w:rPr>
          <w:lang w:val="bg-BG"/>
        </w:rPr>
        <w:tab/>
        <w:t>Оборудване за сигнализиране на наличието на газ</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5.4.1</w:t>
      </w:r>
      <w:r w:rsidRPr="009072DA">
        <w:rPr>
          <w:lang w:val="bg-BG"/>
        </w:rPr>
        <w:tab/>
        <w:t>Оборудването за сигнализиране на наличието на газ трябва да бъде проектирано, монтирано и изпитвано в съответствие с признат стандарт, като например европейски стандарт EN 60079—29—1: 2007.</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5.4.2</w:t>
      </w:r>
      <w:r w:rsidRPr="009072DA">
        <w:rPr>
          <w:lang w:val="bg-BG"/>
        </w:rPr>
        <w:tab/>
        <w:t>Постоянно монтирани детектори на газ трябва да бъдат осигурени в:</w:t>
      </w:r>
    </w:p>
    <w:p w:rsidR="001D0FFC" w:rsidRPr="009072DA" w:rsidRDefault="001D0FFC" w:rsidP="00935328">
      <w:pPr>
        <w:pStyle w:val="Esann8let"/>
        <w:rPr>
          <w:lang w:val="bg-BG"/>
        </w:rPr>
      </w:pPr>
      <w:r w:rsidRPr="009072DA">
        <w:rPr>
          <w:lang w:val="bg-BG"/>
        </w:rPr>
        <w:t>a)</w:t>
      </w:r>
      <w:r w:rsidRPr="009072DA">
        <w:rPr>
          <w:lang w:val="bg-BG"/>
        </w:rPr>
        <w:tab/>
        <w:t>зони за свързване с резервоара, включително горивни резервоари, тръбни връзки и първи вентили,</w:t>
      </w:r>
    </w:p>
    <w:p w:rsidR="001D0FFC" w:rsidRPr="009072DA" w:rsidRDefault="001D0FFC" w:rsidP="00935328">
      <w:pPr>
        <w:pStyle w:val="Esann8let"/>
        <w:rPr>
          <w:lang w:val="bg-BG"/>
        </w:rPr>
      </w:pPr>
      <w:r w:rsidRPr="009072DA">
        <w:rPr>
          <w:lang w:val="bg-BG"/>
        </w:rPr>
        <w:t>б)</w:t>
      </w:r>
      <w:r w:rsidRPr="009072DA">
        <w:rPr>
          <w:lang w:val="bg-BG"/>
        </w:rPr>
        <w:tab/>
        <w:t>канали около газови тръбопроводи,</w:t>
      </w:r>
    </w:p>
    <w:p w:rsidR="001D0FFC" w:rsidRPr="009072DA" w:rsidRDefault="001D0FFC" w:rsidP="00935328">
      <w:pPr>
        <w:pStyle w:val="Esann8let"/>
        <w:rPr>
          <w:lang w:val="bg-BG"/>
        </w:rPr>
      </w:pPr>
      <w:r w:rsidRPr="009072DA">
        <w:rPr>
          <w:lang w:val="bg-BG"/>
        </w:rPr>
        <w:lastRenderedPageBreak/>
        <w:t>в)</w:t>
      </w:r>
      <w:r w:rsidRPr="009072DA">
        <w:rPr>
          <w:lang w:val="bg-BG"/>
        </w:rPr>
        <w:tab/>
        <w:t>машинните отделения, съдържащи газови тръбопроводи, газово оборудване или оборудване, консумиращо газ,</w:t>
      </w:r>
    </w:p>
    <w:p w:rsidR="001D0FFC" w:rsidRPr="009072DA" w:rsidRDefault="001D0FFC" w:rsidP="00935328">
      <w:pPr>
        <w:pStyle w:val="Esann8let"/>
        <w:rPr>
          <w:lang w:val="bg-BG"/>
        </w:rPr>
      </w:pPr>
      <w:r w:rsidRPr="009072DA">
        <w:rPr>
          <w:lang w:val="bg-BG"/>
        </w:rPr>
        <w:t>г)</w:t>
      </w:r>
      <w:r w:rsidRPr="009072DA">
        <w:rPr>
          <w:lang w:val="bg-BG"/>
        </w:rPr>
        <w:tab/>
        <w:t>помещението на системата за подготовка на газ,</w:t>
      </w:r>
    </w:p>
    <w:p w:rsidR="001D0FFC" w:rsidRPr="009072DA" w:rsidRDefault="001D0FFC" w:rsidP="00935328">
      <w:pPr>
        <w:pStyle w:val="Esann8let"/>
        <w:rPr>
          <w:lang w:val="bg-BG"/>
        </w:rPr>
      </w:pPr>
      <w:r w:rsidRPr="009072DA">
        <w:rPr>
          <w:lang w:val="bg-BG"/>
        </w:rPr>
        <w:t>д)</w:t>
      </w:r>
      <w:r w:rsidRPr="009072DA">
        <w:rPr>
          <w:lang w:val="bg-BG"/>
        </w:rPr>
        <w:tab/>
        <w:t>други затворени помещения, съдържащи газови тръбопроводи или други газови съоръжения без канали,</w:t>
      </w:r>
    </w:p>
    <w:p w:rsidR="001D0FFC" w:rsidRPr="009072DA" w:rsidRDefault="001D0FFC" w:rsidP="00935328">
      <w:pPr>
        <w:pStyle w:val="Esann8let"/>
        <w:rPr>
          <w:lang w:val="bg-BG"/>
        </w:rPr>
      </w:pPr>
      <w:r w:rsidRPr="009072DA">
        <w:rPr>
          <w:lang w:val="bg-BG"/>
        </w:rPr>
        <w:t>е)</w:t>
      </w:r>
      <w:r w:rsidRPr="009072DA">
        <w:rPr>
          <w:lang w:val="bg-BG"/>
        </w:rPr>
        <w:tab/>
        <w:t>други затворени или полузатворени помещения, където могат да се натрупат газови изпарения, включително пространствата между преградите и помещения на резервоарите на независими резервоари за ВПГ, различни от тип C,</w:t>
      </w:r>
    </w:p>
    <w:p w:rsidR="001D0FFC" w:rsidRPr="009072DA" w:rsidRDefault="001D0FFC" w:rsidP="00935328">
      <w:pPr>
        <w:pStyle w:val="Esann8let"/>
        <w:rPr>
          <w:lang w:val="bg-BG"/>
        </w:rPr>
      </w:pPr>
      <w:r w:rsidRPr="009072DA">
        <w:rPr>
          <w:lang w:val="bg-BG"/>
        </w:rPr>
        <w:t>ж)</w:t>
      </w:r>
      <w:r w:rsidRPr="009072DA">
        <w:rPr>
          <w:lang w:val="bg-BG"/>
        </w:rPr>
        <w:tab/>
        <w:t>въздушни шлюзове, и</w:t>
      </w:r>
    </w:p>
    <w:p w:rsidR="001D0FFC" w:rsidRPr="009072DA" w:rsidRDefault="001D0FFC" w:rsidP="00935328">
      <w:pPr>
        <w:pStyle w:val="Esann8let"/>
        <w:rPr>
          <w:lang w:val="bg-BG"/>
        </w:rPr>
      </w:pPr>
      <w:r w:rsidRPr="009072DA">
        <w:rPr>
          <w:lang w:val="bg-BG"/>
        </w:rPr>
        <w:t>з)</w:t>
      </w:r>
      <w:r w:rsidRPr="009072DA">
        <w:rPr>
          <w:lang w:val="bg-BG"/>
        </w:rPr>
        <w:tab/>
        <w:t>вентилационни отвори към помещения, в които газови изпаренията могат да се натрупват.</w:t>
      </w:r>
    </w:p>
    <w:p w:rsidR="001D0FFC" w:rsidRPr="009072DA" w:rsidRDefault="001D0FFC" w:rsidP="001D0FFC">
      <w:pPr>
        <w:pStyle w:val="Esann8ch"/>
        <w:rPr>
          <w:lang w:val="bg-BG"/>
        </w:rPr>
      </w:pPr>
    </w:p>
    <w:p w:rsidR="00D24BFE" w:rsidRPr="009072DA" w:rsidRDefault="00D24BFE">
      <w:pPr>
        <w:rPr>
          <w:rFonts w:eastAsia="Calibri" w:cs="Arial"/>
          <w:color w:val="000000"/>
          <w:szCs w:val="20"/>
          <w:lang w:val="bg-BG"/>
        </w:rPr>
      </w:pPr>
      <w:r w:rsidRPr="009072DA">
        <w:rPr>
          <w:lang w:val="bg-BG"/>
        </w:rPr>
        <w:br w:type="page"/>
      </w:r>
    </w:p>
    <w:p w:rsidR="00D24BFE" w:rsidRPr="009072DA" w:rsidRDefault="00D24BFE" w:rsidP="001D0FFC">
      <w:pPr>
        <w:pStyle w:val="Esann8ch"/>
        <w:rPr>
          <w:lang w:val="bg-BG"/>
        </w:rPr>
      </w:pPr>
    </w:p>
    <w:p w:rsidR="001D0FFC" w:rsidRPr="009072DA" w:rsidRDefault="001D0FFC" w:rsidP="001D0FFC">
      <w:pPr>
        <w:pStyle w:val="Esann8ch"/>
        <w:rPr>
          <w:lang w:val="bg-BG"/>
        </w:rPr>
      </w:pPr>
      <w:r w:rsidRPr="009072DA">
        <w:rPr>
          <w:lang w:val="bg-BG"/>
        </w:rPr>
        <w:t xml:space="preserve">5.4.3 </w:t>
      </w:r>
      <w:r w:rsidRPr="009072DA">
        <w:rPr>
          <w:lang w:val="bg-BG"/>
        </w:rPr>
        <w:tab/>
        <w:t>Чрез дерогация от (5.4.2), постоянно монтирани датчици, които откриват газ от разлика в налягането, могат да се използват за пространства между преградите в двустенни тръби.</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5.4.4</w:t>
      </w:r>
      <w:r w:rsidRPr="009072DA">
        <w:rPr>
          <w:lang w:val="bg-BG"/>
        </w:rPr>
        <w:tab/>
        <w:t>Броят и подсигуряващият резерв на детектори на газ във всяко помещение следва да бъдат разгледани като се отчитат размерът, разположението и вентилацията на помещението.</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5.4.5</w:t>
      </w:r>
      <w:r w:rsidRPr="009072DA">
        <w:rPr>
          <w:lang w:val="bg-BG"/>
        </w:rPr>
        <w:tab/>
        <w:t xml:space="preserve">Постоянно монтирани детектори на газ се разполагат на места, където може да се натрупа газ и във вентилационните отвори на тези помещения. </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 xml:space="preserve">5.4.6 </w:t>
      </w:r>
      <w:r w:rsidRPr="009072DA">
        <w:rPr>
          <w:lang w:val="bg-BG"/>
        </w:rPr>
        <w:tab/>
        <w:t>Звуков и оптичен сигнал се задейства преди концентрацията на газа да достигне 20 % от долната граница на взривяемост. Системата за безопасност при използване на газ се задейства при 40 % от долната граница на взривяемост.</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5.4.7</w:t>
      </w:r>
      <w:r w:rsidRPr="009072DA">
        <w:rPr>
          <w:lang w:val="bg-BG"/>
        </w:rPr>
        <w:tab/>
        <w:t>Звукови и оптични сигнали от оборудването за сигнализиране на наличието на газ се задействат в рулевата рубка.</w:t>
      </w:r>
    </w:p>
    <w:p w:rsidR="001D0FFC" w:rsidRPr="009072DA" w:rsidRDefault="001D0FFC" w:rsidP="001D0FFC">
      <w:pPr>
        <w:pStyle w:val="Esann8ch"/>
        <w:rPr>
          <w:lang w:val="bg-BG"/>
        </w:rPr>
      </w:pPr>
    </w:p>
    <w:p w:rsidR="001D0FFC" w:rsidRPr="009072DA" w:rsidRDefault="001D0FFC" w:rsidP="00935328">
      <w:pPr>
        <w:pStyle w:val="Esann8chgras"/>
        <w:rPr>
          <w:lang w:val="bg-BG"/>
        </w:rPr>
      </w:pPr>
      <w:r w:rsidRPr="009072DA">
        <w:rPr>
          <w:lang w:val="bg-BG"/>
        </w:rPr>
        <w:t>5.5</w:t>
      </w:r>
      <w:r w:rsidRPr="009072DA">
        <w:rPr>
          <w:lang w:val="bg-BG"/>
        </w:rPr>
        <w:tab/>
        <w:t>Функции за безопасност на системите за подаване на газ</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5.5.1</w:t>
      </w:r>
      <w:r w:rsidRPr="009072DA">
        <w:rPr>
          <w:lang w:val="bg-BG"/>
        </w:rPr>
        <w:tab/>
        <w:t>Ако системата за подаване на газ е спряна поради задействане на автоматичния клапан, тя не се пуска докато причината за спиране не бъде установена и не бъдат предприети съответните действия. Указания за тази цел трябва да бъдат поставени на видно място в контролния пункт за спирателните вентили в линиите за доставка на газ.</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5.5.2</w:t>
      </w:r>
      <w:r w:rsidRPr="009072DA">
        <w:rPr>
          <w:lang w:val="bg-BG"/>
        </w:rPr>
        <w:tab/>
        <w:t>Ако системата за подаване на газ е спряна поради изтичане на газ, тя не се пуска докато изтичането не бъде открито и необходимите стъпки не бъдат предприети. Указанията за тази цел трябва да бъдат поставени на видно място в машинното отделение.</w:t>
      </w:r>
    </w:p>
    <w:p w:rsidR="001D0FFC" w:rsidRPr="009072DA" w:rsidRDefault="001D0FFC" w:rsidP="001D0FFC">
      <w:pPr>
        <w:pStyle w:val="Esann8ch"/>
        <w:rPr>
          <w:lang w:val="bg-BG"/>
        </w:rPr>
      </w:pPr>
    </w:p>
    <w:p w:rsidR="001D0FFC" w:rsidRPr="009072DA" w:rsidRDefault="001D0FFC" w:rsidP="001D0FFC">
      <w:pPr>
        <w:pStyle w:val="Esann8ch"/>
        <w:rPr>
          <w:lang w:val="bg-BG"/>
        </w:rPr>
      </w:pPr>
      <w:r w:rsidRPr="009072DA">
        <w:rPr>
          <w:lang w:val="bg-BG"/>
        </w:rPr>
        <w:t>5.5.3</w:t>
      </w:r>
      <w:r w:rsidRPr="009072DA">
        <w:rPr>
          <w:lang w:val="bg-BG"/>
        </w:rPr>
        <w:tab/>
        <w:t>Системата за подаване на газ трябва да бъде настроена за ръчно дистанционно аварийно спиране от следните места, според случая:</w:t>
      </w:r>
    </w:p>
    <w:p w:rsidR="001D0FFC" w:rsidRPr="009072DA" w:rsidRDefault="001D0FFC" w:rsidP="001D0FFC">
      <w:pPr>
        <w:pStyle w:val="Esann8let"/>
        <w:rPr>
          <w:lang w:val="bg-BG"/>
        </w:rPr>
      </w:pPr>
      <w:r w:rsidRPr="009072DA">
        <w:rPr>
          <w:lang w:val="bg-BG"/>
        </w:rPr>
        <w:t>a)</w:t>
      </w:r>
      <w:r w:rsidRPr="009072DA">
        <w:rPr>
          <w:lang w:val="bg-BG"/>
        </w:rPr>
        <w:tab/>
        <w:t>рулева рубка,</w:t>
      </w:r>
    </w:p>
    <w:p w:rsidR="001D0FFC" w:rsidRPr="009072DA" w:rsidRDefault="001D0FFC" w:rsidP="001D0FFC">
      <w:pPr>
        <w:pStyle w:val="Esann8let"/>
        <w:rPr>
          <w:lang w:val="bg-BG"/>
        </w:rPr>
      </w:pPr>
      <w:r w:rsidRPr="009072DA">
        <w:rPr>
          <w:lang w:val="bg-BG"/>
        </w:rPr>
        <w:lastRenderedPageBreak/>
        <w:t>б)</w:t>
      </w:r>
      <w:r w:rsidRPr="009072DA">
        <w:rPr>
          <w:lang w:val="bg-BG"/>
        </w:rPr>
        <w:tab/>
        <w:t>контролен пункт на станция за зареждане с гориво,</w:t>
      </w:r>
    </w:p>
    <w:p w:rsidR="001D0FFC" w:rsidRPr="009072DA" w:rsidRDefault="001D0FFC" w:rsidP="001D0FFC">
      <w:pPr>
        <w:pStyle w:val="Esann8let"/>
        <w:rPr>
          <w:lang w:val="bg-BG"/>
        </w:rPr>
      </w:pPr>
      <w:r w:rsidRPr="009072DA">
        <w:rPr>
          <w:lang w:val="bg-BG"/>
        </w:rPr>
        <w:t>в)</w:t>
      </w:r>
      <w:r w:rsidRPr="009072DA">
        <w:rPr>
          <w:lang w:val="bg-BG"/>
        </w:rPr>
        <w:tab/>
        <w:t>всяко място с постоянен персонал.</w:t>
      </w:r>
    </w:p>
    <w:p w:rsidR="001D0FFC" w:rsidRPr="009072DA" w:rsidRDefault="001D0FFC" w:rsidP="00ED22AF">
      <w:pPr>
        <w:pStyle w:val="Esann8ch"/>
        <w:rPr>
          <w:lang w:val="bg-BG"/>
        </w:rPr>
      </w:pPr>
    </w:p>
    <w:p w:rsidR="006B78FD" w:rsidRPr="009072DA" w:rsidRDefault="006B78FD" w:rsidP="009C13A9">
      <w:pPr>
        <w:spacing w:line="240" w:lineRule="atLeast"/>
        <w:rPr>
          <w:rFonts w:cs="Arial"/>
          <w:szCs w:val="20"/>
          <w:lang w:val="bg-BG"/>
        </w:rPr>
      </w:pPr>
    </w:p>
    <w:p w:rsidR="006B78FD" w:rsidRPr="009072DA" w:rsidRDefault="006B78FD" w:rsidP="009C13A9">
      <w:pPr>
        <w:spacing w:line="240" w:lineRule="atLeast"/>
        <w:rPr>
          <w:rFonts w:cs="Arial"/>
          <w:szCs w:val="20"/>
          <w:lang w:val="bg-BG"/>
        </w:rPr>
      </w:pPr>
    </w:p>
    <w:p w:rsidR="006B78FD" w:rsidRPr="009072DA" w:rsidRDefault="006B78FD" w:rsidP="009C13A9">
      <w:pPr>
        <w:spacing w:line="240" w:lineRule="atLeast"/>
        <w:rPr>
          <w:rFonts w:cs="Arial"/>
          <w:szCs w:val="20"/>
          <w:lang w:val="bg-BG"/>
        </w:rPr>
        <w:sectPr w:rsidR="006B78FD" w:rsidRPr="009072DA" w:rsidSect="00AC5CC1">
          <w:headerReference w:type="first" r:id="rId107"/>
          <w:footnotePr>
            <w:numRestart w:val="eachPage"/>
          </w:footnotePr>
          <w:pgSz w:w="11906" w:h="16838" w:code="9"/>
          <w:pgMar w:top="1418" w:right="1418" w:bottom="1418" w:left="1418" w:header="709" w:footer="709" w:gutter="0"/>
          <w:cols w:space="709"/>
          <w:titlePg/>
          <w:docGrid w:linePitch="272"/>
        </w:sectPr>
      </w:pPr>
    </w:p>
    <w:p w:rsidR="009C13A9" w:rsidRPr="009072DA" w:rsidRDefault="009C13A9" w:rsidP="009C13A9">
      <w:pPr>
        <w:spacing w:line="240" w:lineRule="atLeast"/>
        <w:rPr>
          <w:rFonts w:cs="Arial"/>
          <w:szCs w:val="20"/>
          <w:lang w:val="bg-BG"/>
        </w:rPr>
      </w:pPr>
    </w:p>
    <w:p w:rsidR="004F47BB" w:rsidRPr="009072DA" w:rsidRDefault="004F47BB" w:rsidP="009C13A9">
      <w:pPr>
        <w:spacing w:line="240" w:lineRule="atLeast"/>
        <w:rPr>
          <w:rFonts w:cs="Arial"/>
          <w:szCs w:val="20"/>
          <w:lang w:val="bg-BG"/>
        </w:rPr>
      </w:pPr>
    </w:p>
    <w:p w:rsidR="001E2331" w:rsidRPr="009072DA" w:rsidRDefault="001E2331" w:rsidP="00125490">
      <w:pPr>
        <w:pStyle w:val="ESch"/>
        <w:rPr>
          <w:lang w:val="bg-BG"/>
        </w:rPr>
      </w:pPr>
    </w:p>
    <w:p w:rsidR="001B6FDF" w:rsidRPr="009072DA" w:rsidRDefault="001B6FDF" w:rsidP="00125490">
      <w:pPr>
        <w:pStyle w:val="ESch"/>
        <w:rPr>
          <w:lang w:val="bg-BG"/>
        </w:rPr>
      </w:pPr>
    </w:p>
    <w:p w:rsidR="004F47BB" w:rsidRPr="009072DA" w:rsidRDefault="004F47BB" w:rsidP="002908AA">
      <w:pPr>
        <w:pStyle w:val="ESgauche"/>
        <w:rPr>
          <w:noProof w:val="0"/>
          <w:lang w:val="bg-BG"/>
        </w:rPr>
        <w:sectPr w:rsidR="004F47BB" w:rsidRPr="009072DA" w:rsidSect="00AC5CC1">
          <w:footnotePr>
            <w:numRestart w:val="eachPage"/>
          </w:footnotePr>
          <w:pgSz w:w="11906" w:h="16838" w:code="9"/>
          <w:pgMar w:top="1418" w:right="1418" w:bottom="1418" w:left="1418" w:header="709" w:footer="709" w:gutter="0"/>
          <w:cols w:space="709"/>
          <w:titlePg/>
          <w:docGrid w:linePitch="272"/>
        </w:sect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C859BD">
      <w:pPr>
        <w:pStyle w:val="Es-Titreannexes"/>
        <w:rPr>
          <w:lang w:val="bg-BG"/>
        </w:rPr>
      </w:pPr>
      <w:bookmarkStart w:id="723" w:name="_Toc491854345"/>
      <w:bookmarkStart w:id="724" w:name="_Toc535827786"/>
      <w:r w:rsidRPr="009072DA">
        <w:rPr>
          <w:lang w:val="bg-BG"/>
        </w:rPr>
        <w:t>Инструкции за прилагането на техническия стандарт</w:t>
      </w:r>
      <w:bookmarkEnd w:id="723"/>
      <w:bookmarkEnd w:id="724"/>
      <w:r w:rsidRPr="009072DA">
        <w:rPr>
          <w:lang w:val="bg-BG"/>
        </w:rPr>
        <w:t xml:space="preserve"> </w:t>
      </w: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overflowPunct w:val="0"/>
        <w:adjustRightInd w:val="0"/>
        <w:spacing w:line="240" w:lineRule="exact"/>
        <w:jc w:val="center"/>
        <w:textAlignment w:val="baseline"/>
        <w:rPr>
          <w:rFonts w:eastAsia="Calibri"/>
          <w:b/>
          <w:i/>
          <w:lang w:val="bg-BG"/>
        </w:rPr>
      </w:pP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rPr>
          <w:lang w:val="bg-BG"/>
        </w:rPr>
      </w:pPr>
      <w:r w:rsidRPr="009072DA">
        <w:rPr>
          <w:lang w:val="bg-BG"/>
        </w:rPr>
        <w:br w:type="page"/>
      </w:r>
    </w:p>
    <w:p w:rsidR="004F47BB" w:rsidRPr="009072DA" w:rsidRDefault="004F47BB" w:rsidP="004F47BB">
      <w:pPr>
        <w:spacing w:line="240" w:lineRule="atLeast"/>
        <w:rPr>
          <w:lang w:val="bg-BG"/>
        </w:rPr>
      </w:pPr>
    </w:p>
    <w:p w:rsidR="004F47BB" w:rsidRPr="009072DA" w:rsidRDefault="004F47BB" w:rsidP="004F47BB">
      <w:pPr>
        <w:spacing w:line="240" w:lineRule="atLeast"/>
        <w:rPr>
          <w:lang w:val="bg-BG"/>
        </w:rPr>
      </w:pPr>
    </w:p>
    <w:p w:rsidR="004F47BB" w:rsidRPr="009072DA" w:rsidRDefault="004F47BB" w:rsidP="004F47BB">
      <w:pPr>
        <w:spacing w:line="240" w:lineRule="atLeast"/>
        <w:rPr>
          <w:lang w:val="bg-BG"/>
        </w:rPr>
        <w:sectPr w:rsidR="004F47BB" w:rsidRPr="009072DA" w:rsidSect="00D45887">
          <w:headerReference w:type="default" r:id="rId108"/>
          <w:footerReference w:type="default" r:id="rId109"/>
          <w:headerReference w:type="first" r:id="rId110"/>
          <w:footerReference w:type="first" r:id="rId111"/>
          <w:pgSz w:w="11907" w:h="16840" w:code="9"/>
          <w:pgMar w:top="1418" w:right="1418" w:bottom="1418" w:left="1418" w:header="680" w:footer="680" w:gutter="0"/>
          <w:pgNumType w:start="397"/>
          <w:cols w:space="720"/>
          <w:noEndnote/>
          <w:titlePg/>
        </w:sectPr>
      </w:pPr>
    </w:p>
    <w:p w:rsidR="004F47BB" w:rsidRPr="009072DA" w:rsidRDefault="004F47BB" w:rsidP="00A84512">
      <w:pPr>
        <w:pStyle w:val="ES-Titre1"/>
      </w:pPr>
      <w:bookmarkStart w:id="725" w:name="_Toc405451503"/>
      <w:bookmarkStart w:id="726" w:name="_Toc491854346"/>
      <w:bookmarkStart w:id="727" w:name="_Toc535827787"/>
      <w:r w:rsidRPr="009072DA">
        <w:lastRenderedPageBreak/>
        <w:t>ЧАСТ I</w:t>
      </w:r>
      <w:r w:rsidRPr="009072DA">
        <w:br/>
      </w:r>
      <w:bookmarkEnd w:id="725"/>
      <w:r w:rsidRPr="009072DA">
        <w:t>ОБЩИ ПОЛОЖЕНИЯ</w:t>
      </w:r>
      <w:bookmarkEnd w:id="726"/>
      <w:bookmarkEnd w:id="727"/>
    </w:p>
    <w:p w:rsidR="004F47BB" w:rsidRPr="009072DA" w:rsidRDefault="004F47BB" w:rsidP="004F47BB">
      <w:pPr>
        <w:tabs>
          <w:tab w:val="left" w:pos="425"/>
        </w:tabs>
        <w:rPr>
          <w:lang w:val="bg-BG"/>
        </w:rPr>
      </w:pPr>
    </w:p>
    <w:p w:rsidR="004F47BB" w:rsidRPr="009072DA" w:rsidRDefault="004F47BB" w:rsidP="00A84512">
      <w:pPr>
        <w:pStyle w:val="ES-Titre2ESI"/>
      </w:pPr>
      <w:bookmarkStart w:id="728" w:name="_Toc491854347"/>
      <w:bookmarkStart w:id="729" w:name="_Toc535827788"/>
      <w:r w:rsidRPr="009072DA">
        <w:t>ESI-I-1</w:t>
      </w:r>
      <w:r w:rsidRPr="009072DA">
        <w:br/>
        <w:t>Попълване на удостоверенията на плавателни съдове за плаване по вътрешни водни пътища</w:t>
      </w:r>
      <w:bookmarkEnd w:id="728"/>
      <w:bookmarkEnd w:id="729"/>
    </w:p>
    <w:p w:rsidR="004F47BB" w:rsidRPr="009072DA" w:rsidRDefault="004F47BB" w:rsidP="004F47BB">
      <w:pPr>
        <w:tabs>
          <w:tab w:val="left" w:pos="284"/>
          <w:tab w:val="left" w:pos="567"/>
        </w:tabs>
        <w:ind w:left="284" w:hanging="284"/>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1.</w:t>
      </w:r>
      <w:r w:rsidRPr="009072DA">
        <w:rPr>
          <w:lang w:val="bg-BG"/>
        </w:rPr>
        <w:tab/>
      </w:r>
      <w:r w:rsidRPr="009072DA">
        <w:rPr>
          <w:b/>
          <w:color w:val="000000"/>
          <w:lang w:val="bg-BG"/>
        </w:rPr>
        <w:t>Общи положения</w:t>
      </w:r>
    </w:p>
    <w:p w:rsidR="004F47BB" w:rsidRPr="009072DA" w:rsidRDefault="004F47BB" w:rsidP="004F47BB">
      <w:pPr>
        <w:spacing w:line="240" w:lineRule="atLeast"/>
        <w:ind w:left="567" w:hanging="567"/>
        <w:rPr>
          <w:rFonts w:cs="Arial"/>
          <w:b/>
          <w:color w:val="000000"/>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1.1</w:t>
      </w:r>
      <w:r w:rsidRPr="009072DA">
        <w:rPr>
          <w:lang w:val="bg-BG"/>
        </w:rPr>
        <w:tab/>
      </w:r>
      <w:r w:rsidRPr="009072DA">
        <w:rPr>
          <w:b/>
          <w:color w:val="000000"/>
          <w:lang w:val="bg-BG"/>
        </w:rPr>
        <w:t>Формуляри</w:t>
      </w:r>
    </w:p>
    <w:p w:rsidR="004F47BB" w:rsidRPr="009072DA" w:rsidRDefault="004F47BB" w:rsidP="004F47BB">
      <w:pPr>
        <w:spacing w:line="240" w:lineRule="atLeast"/>
        <w:ind w:left="567" w:hanging="567"/>
        <w:rPr>
          <w:rFonts w:cs="Arial"/>
          <w:b/>
          <w:color w:val="000000"/>
          <w:szCs w:val="20"/>
          <w:lang w:val="bg-BG"/>
        </w:rPr>
      </w:pPr>
    </w:p>
    <w:p w:rsidR="004F47BB" w:rsidRPr="009072DA" w:rsidRDefault="004F47BB" w:rsidP="004F47BB">
      <w:pPr>
        <w:spacing w:line="240" w:lineRule="atLeast"/>
        <w:ind w:left="567"/>
        <w:rPr>
          <w:lang w:val="bg-BG"/>
        </w:rPr>
      </w:pPr>
      <w:r w:rsidRPr="009072DA">
        <w:rPr>
          <w:lang w:val="bg-BG"/>
        </w:rPr>
        <w:t>Само одобрени от компетентния орган формуляри следва да се използват за попълване на удостоверението на плавателния съд за плаване по вътрешни водни пътища. Формулярите се попълват само от едната страна.</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При издаване на ново удостоверение на плавателен съд за плаване по вътрешни водни пътища се включват всички страници от 1 до 13, дори ако на някои страници не е записано нищо.</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1.2</w:t>
      </w:r>
      <w:r w:rsidRPr="009072DA">
        <w:rPr>
          <w:lang w:val="bg-BG"/>
        </w:rPr>
        <w:tab/>
      </w:r>
      <w:r w:rsidRPr="009072DA">
        <w:rPr>
          <w:b/>
          <w:color w:val="000000"/>
          <w:lang w:val="bg-BG"/>
        </w:rPr>
        <w:t>Метод на вписване</w:t>
      </w:r>
    </w:p>
    <w:p w:rsidR="004F47BB" w:rsidRPr="009072DA" w:rsidRDefault="004F47BB" w:rsidP="004F47BB">
      <w:pPr>
        <w:spacing w:line="240" w:lineRule="atLeast"/>
        <w:ind w:left="567" w:hanging="567"/>
        <w:rPr>
          <w:rFonts w:cs="Arial"/>
          <w:b/>
          <w:color w:val="000000"/>
          <w:szCs w:val="20"/>
          <w:lang w:val="bg-BG"/>
        </w:rPr>
      </w:pPr>
    </w:p>
    <w:p w:rsidR="004F47BB" w:rsidRPr="009072DA" w:rsidRDefault="004F47BB" w:rsidP="004F47BB">
      <w:pPr>
        <w:spacing w:line="240" w:lineRule="atLeast"/>
        <w:ind w:left="567"/>
        <w:rPr>
          <w:lang w:val="bg-BG"/>
        </w:rPr>
      </w:pPr>
      <w:r w:rsidRPr="009072DA">
        <w:rPr>
          <w:lang w:val="bg-BG"/>
        </w:rPr>
        <w:t>Вписванията в удостоверението на плавателен съд за плаване по вътрешни водни пътища се извършват на пишеща машина или принтер. Вписвания на ръка са допустими само в изключителни случаи. Вписванията трябва да са незаличими. Цветът на вписването може да е само черен или само син. Заличаванията се правят с червено.</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w:t>
      </w:r>
      <w:r w:rsidRPr="009072DA">
        <w:rPr>
          <w:lang w:val="bg-BG"/>
        </w:rPr>
        <w:tab/>
      </w:r>
      <w:r w:rsidRPr="009072DA">
        <w:rPr>
          <w:b/>
          <w:color w:val="000000"/>
          <w:lang w:val="bg-BG"/>
        </w:rPr>
        <w:t>Вписвания</w:t>
      </w:r>
    </w:p>
    <w:p w:rsidR="004F47BB" w:rsidRPr="009072DA" w:rsidRDefault="004F47BB" w:rsidP="004F47BB">
      <w:pPr>
        <w:spacing w:line="240" w:lineRule="atLeast"/>
        <w:ind w:left="567" w:hanging="567"/>
        <w:rPr>
          <w:rFonts w:cs="Arial"/>
          <w:b/>
          <w:color w:val="000000"/>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2.1</w:t>
      </w:r>
      <w:r w:rsidRPr="009072DA">
        <w:rPr>
          <w:lang w:val="bg-BG"/>
        </w:rPr>
        <w:tab/>
      </w:r>
      <w:r w:rsidRPr="009072DA">
        <w:rPr>
          <w:b/>
          <w:color w:val="000000"/>
          <w:lang w:val="bg-BG"/>
        </w:rPr>
        <w:t>Заличаване на алтернативи</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 xml:space="preserve">Когато има вписвания, отбелязани със </w:t>
      </w:r>
      <w:r w:rsidRPr="009072DA">
        <w:rPr>
          <w:vertAlign w:val="superscript"/>
          <w:lang w:val="bg-BG"/>
        </w:rPr>
        <w:t>(*)</w:t>
      </w:r>
      <w:r w:rsidRPr="009072DA">
        <w:rPr>
          <w:lang w:val="bg-BG"/>
        </w:rPr>
        <w:t>, неподходящите се заличават.</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2.2</w:t>
      </w:r>
      <w:r w:rsidRPr="009072DA">
        <w:rPr>
          <w:lang w:val="bg-BG"/>
        </w:rPr>
        <w:tab/>
      </w:r>
      <w:r w:rsidRPr="009072DA">
        <w:rPr>
          <w:b/>
          <w:color w:val="000000"/>
          <w:lang w:val="bg-BG"/>
        </w:rPr>
        <w:t>Позиции без вписване</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Ако за някоя от точките от 1 до 48 не е необходимо или не е възможно вписване, през цялото поле се изчертава хоризонтална линия.</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2.3</w:t>
      </w:r>
      <w:r w:rsidRPr="009072DA">
        <w:rPr>
          <w:lang w:val="bg-BG"/>
        </w:rPr>
        <w:tab/>
      </w:r>
      <w:r w:rsidRPr="009072DA">
        <w:rPr>
          <w:b/>
          <w:color w:val="000000"/>
          <w:lang w:val="bg-BG"/>
        </w:rPr>
        <w:t>Последна страница на удостоверението на плавателния съд за плаване по вътрешни водни пътища</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Ако след страница 13 не са необходими допълнителни страници (вж. точка 3.2.3), думите „продължава на страница“</w:t>
      </w:r>
      <w:r w:rsidRPr="009072DA">
        <w:rPr>
          <w:vertAlign w:val="superscript"/>
          <w:lang w:val="bg-BG"/>
        </w:rPr>
        <w:footnoteReference w:customMarkFollows="1" w:id="77"/>
        <w:t>(*)</w:t>
      </w:r>
      <w:r w:rsidRPr="009072DA">
        <w:rPr>
          <w:lang w:val="bg-BG"/>
        </w:rPr>
        <w:t xml:space="preserve"> в края на страница 13 се заличават.</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2.4</w:t>
      </w:r>
      <w:r w:rsidRPr="009072DA">
        <w:rPr>
          <w:lang w:val="bg-BG"/>
        </w:rPr>
        <w:tab/>
      </w:r>
      <w:r w:rsidRPr="009072DA">
        <w:rPr>
          <w:b/>
          <w:color w:val="000000"/>
          <w:lang w:val="bg-BG"/>
        </w:rPr>
        <w:t>Промени</w:t>
      </w:r>
    </w:p>
    <w:p w:rsidR="004F47BB" w:rsidRPr="009072DA" w:rsidRDefault="004F47BB" w:rsidP="004F47BB">
      <w:pPr>
        <w:spacing w:line="240" w:lineRule="atLeast"/>
        <w:ind w:left="567" w:hanging="567"/>
        <w:rPr>
          <w:rFonts w:cs="Arial"/>
          <w:b/>
          <w:color w:val="000000"/>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2.4.1</w:t>
      </w:r>
      <w:r w:rsidRPr="009072DA">
        <w:rPr>
          <w:lang w:val="bg-BG"/>
        </w:rPr>
        <w:tab/>
      </w:r>
      <w:r w:rsidRPr="009072DA">
        <w:rPr>
          <w:b/>
          <w:color w:val="000000"/>
          <w:lang w:val="bg-BG"/>
        </w:rPr>
        <w:t>Първи ръкописни изменения на страница</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Дадена страница може да се измени само един път, но с няколко изменения наведнъж.  С червена линия се зачертава всичко, което ще се изменя. Алтернатива, заличена преди това (вж. точка 2.1), или точка, по която преди това не е имало вписване (вж. точка 2.3), се подчертават с червено. Новите елементи не се вписват в измененото поле, а на същата страница под заглавието „Изменения“, като редът „Тази страница е заменена“, се заличава.</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br w:type="page"/>
      </w: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lastRenderedPageBreak/>
        <w:t>2.4.2</w:t>
      </w:r>
      <w:r w:rsidRPr="009072DA">
        <w:rPr>
          <w:lang w:val="bg-BG"/>
        </w:rPr>
        <w:tab/>
      </w:r>
      <w:r w:rsidRPr="009072DA">
        <w:rPr>
          <w:b/>
          <w:color w:val="000000"/>
          <w:lang w:val="bg-BG"/>
        </w:rPr>
        <w:t>Допълнителни ръкописни изменения на страница</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При по-нататъшни изменения страницата се заменя и необходимите изменения, както и предходни изменения се вписват направо в съответните точки.  Редът „допълнения към точка(и)“ под заглавието „Изменения“ се заличава.</w:t>
      </w:r>
    </w:p>
    <w:p w:rsidR="004F47BB" w:rsidRPr="009072DA" w:rsidRDefault="004F47BB" w:rsidP="004F47BB">
      <w:pPr>
        <w:spacing w:line="240" w:lineRule="atLeast"/>
        <w:ind w:left="567"/>
        <w:rPr>
          <w:lang w:val="bg-BG"/>
        </w:rPr>
      </w:pPr>
      <w:r w:rsidRPr="009072DA">
        <w:rPr>
          <w:lang w:val="bg-BG"/>
        </w:rPr>
        <w:t>Старата страница се запазва от контролния орган, който първоначално е издал удостоверението на плавателния съд за плаване по вътрешни водни пътища.</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2.4.3</w:t>
      </w:r>
      <w:r w:rsidRPr="009072DA">
        <w:rPr>
          <w:lang w:val="bg-BG"/>
        </w:rPr>
        <w:tab/>
      </w:r>
      <w:r w:rsidRPr="009072DA">
        <w:rPr>
          <w:b/>
          <w:color w:val="000000"/>
          <w:lang w:val="bg-BG"/>
        </w:rPr>
        <w:t>Изменения чрез електронна обработка на данни</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В случай на изменения чрез електронна обработка на данни страницата се заменя и необходимите изменения, както и предходни изменения се вписват направо в съответните точки. Редът „допълнения към точка(и)“ под заглавието „Изменения“ се заличава.</w:t>
      </w:r>
    </w:p>
    <w:p w:rsidR="004F47BB" w:rsidRPr="009072DA" w:rsidRDefault="004F47BB" w:rsidP="004F47BB">
      <w:pPr>
        <w:spacing w:line="240" w:lineRule="atLeast"/>
        <w:ind w:left="567"/>
        <w:rPr>
          <w:lang w:val="bg-BG"/>
        </w:rPr>
      </w:pPr>
      <w:r w:rsidRPr="009072DA">
        <w:rPr>
          <w:lang w:val="bg-BG"/>
        </w:rPr>
        <w:t>Старата страница се запазва от контролния орган, който първоначално е издал удостоверението на плавателния съд за плаване по вътрешни водни пътища.</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2.5</w:t>
      </w:r>
      <w:r w:rsidRPr="009072DA">
        <w:rPr>
          <w:lang w:val="bg-BG"/>
        </w:rPr>
        <w:tab/>
      </w:r>
      <w:r w:rsidRPr="009072DA">
        <w:rPr>
          <w:b/>
          <w:color w:val="000000"/>
          <w:lang w:val="bg-BG"/>
        </w:rPr>
        <w:t>Корекции с лепене върху предходното</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Лепенето върху вписвания и лепенето на нови добавки към дадена точка не са разрешени.</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3.</w:t>
      </w:r>
      <w:r w:rsidRPr="009072DA">
        <w:rPr>
          <w:lang w:val="bg-BG"/>
        </w:rPr>
        <w:tab/>
      </w:r>
      <w:r w:rsidRPr="009072DA">
        <w:rPr>
          <w:b/>
          <w:color w:val="000000"/>
          <w:lang w:val="bg-BG"/>
        </w:rPr>
        <w:t>Замяна и добавяне на страници</w:t>
      </w:r>
    </w:p>
    <w:p w:rsidR="004F47BB" w:rsidRPr="009072DA" w:rsidRDefault="004F47BB" w:rsidP="004F47BB">
      <w:pPr>
        <w:spacing w:line="240" w:lineRule="atLeast"/>
        <w:ind w:left="567" w:hanging="567"/>
        <w:rPr>
          <w:rFonts w:cs="Arial"/>
          <w:b/>
          <w:color w:val="000000"/>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3.1</w:t>
      </w:r>
      <w:r w:rsidRPr="009072DA">
        <w:rPr>
          <w:lang w:val="bg-BG"/>
        </w:rPr>
        <w:tab/>
      </w:r>
      <w:r w:rsidRPr="009072DA">
        <w:rPr>
          <w:b/>
          <w:color w:val="000000"/>
          <w:lang w:val="bg-BG"/>
        </w:rPr>
        <w:t>Замяна на страници</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Страница 1 от удостоверението на плавателния съд за плаване по вътрешни водни пътища не се подменя никога. За подмяна на други страници се прилагат процедурите, описани в точка 2.4.2 или точка 2.4.3.</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3.2</w:t>
      </w:r>
      <w:r w:rsidRPr="009072DA">
        <w:rPr>
          <w:lang w:val="bg-BG"/>
        </w:rPr>
        <w:tab/>
      </w:r>
      <w:r w:rsidRPr="009072DA">
        <w:rPr>
          <w:b/>
          <w:color w:val="000000"/>
          <w:lang w:val="bg-BG"/>
        </w:rPr>
        <w:t>Добавяне на страници</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Ако няма достатъчно място за повече вписвания на страници 10, 12 или 13 от удостоверението на плавателния съд за плаване по вътрешни водни пътища, могат да се добавят допълнителни страници.</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3.2.1</w:t>
      </w:r>
      <w:r w:rsidRPr="009072DA">
        <w:rPr>
          <w:lang w:val="bg-BG"/>
        </w:rPr>
        <w:tab/>
      </w:r>
      <w:r w:rsidRPr="009072DA">
        <w:rPr>
          <w:b/>
          <w:color w:val="000000"/>
          <w:lang w:val="bg-BG"/>
        </w:rPr>
        <w:t>Удължаване/потвърждаване на валидността</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Ако е необходимо ново удължаване, когато удостоверението вече е било удължено шест пъти, в края на страница 10 се добавят думите „Продължава на страница 10а“ и след страница 10 се добавя още една страница 10, отбелязана като 10а. Тогава в началото на страница 10а се прави съответното вписване в точка 49.  В края на страница 10а се прави вписването „Продължава на страница 11“.</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3.2.2</w:t>
      </w:r>
      <w:r w:rsidRPr="009072DA">
        <w:rPr>
          <w:lang w:val="bg-BG"/>
        </w:rPr>
        <w:tab/>
      </w:r>
      <w:r w:rsidRPr="009072DA">
        <w:rPr>
          <w:b/>
          <w:color w:val="000000"/>
          <w:lang w:val="bg-BG"/>
        </w:rPr>
        <w:t>Удължаване на удостоверението за уредба за втечнен газ</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Прилага се процедура, сходна с тази в точка 3.2.1, като след страница 12 се създава страница 12а.</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3.2.3</w:t>
      </w:r>
      <w:r w:rsidRPr="009072DA">
        <w:rPr>
          <w:lang w:val="bg-BG"/>
        </w:rPr>
        <w:tab/>
      </w:r>
      <w:r w:rsidRPr="009072DA">
        <w:rPr>
          <w:b/>
          <w:color w:val="000000"/>
          <w:lang w:val="bg-BG"/>
        </w:rPr>
        <w:t>Приложение към удостоверението на плавателния съд за плаване по вътрешни водни пътища</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В края на страница 13 думите „Край на удостоверението на плавателния съд за плаване по вътрешни водни пътища“ се заличават с червено, заличените думи „Продължава на страница</w:t>
      </w:r>
      <w:r w:rsidRPr="009072DA">
        <w:rPr>
          <w:vertAlign w:val="superscript"/>
          <w:lang w:val="bg-BG"/>
        </w:rPr>
        <w:footnoteReference w:id="78"/>
      </w:r>
      <w:r w:rsidRPr="009072DA">
        <w:rPr>
          <w:lang w:val="bg-BG"/>
        </w:rPr>
        <w:t xml:space="preserve">“ се подчертават с червено и след тях се вписва страница 13а. Тази промяна трябва да е подпечатана с официален печат. Допълнителна страница 13 се маркира като страница 13а и се вмъква след страница 13. Разпоредбите на точки 2.2 и 2.3 се прилагат за страница 13a </w:t>
      </w:r>
      <w:r w:rsidRPr="009072DA">
        <w:rPr>
          <w:i/>
          <w:lang w:val="bg-BG"/>
        </w:rPr>
        <w:t>mutatis mutandis</w:t>
      </w:r>
      <w:r w:rsidRPr="009072DA">
        <w:rPr>
          <w:lang w:val="bg-BG"/>
        </w:rPr>
        <w:t>.</w:t>
      </w:r>
    </w:p>
    <w:p w:rsidR="004F47BB" w:rsidRPr="009072DA" w:rsidRDefault="004F47BB" w:rsidP="004F47BB">
      <w:pPr>
        <w:spacing w:line="240" w:lineRule="atLeast"/>
        <w:ind w:left="567"/>
        <w:rPr>
          <w:lang w:val="bg-BG"/>
        </w:rPr>
      </w:pPr>
      <w:r w:rsidRPr="009072DA">
        <w:rPr>
          <w:lang w:val="bg-BG"/>
        </w:rPr>
        <w:t>Същата процедура се прилага за всички други приложения (страници 13б, 13в и т.н.).</w:t>
      </w:r>
    </w:p>
    <w:p w:rsidR="004F47BB" w:rsidRPr="009072DA" w:rsidRDefault="004F47BB" w:rsidP="004F47BB">
      <w:pPr>
        <w:spacing w:line="240" w:lineRule="atLeast"/>
        <w:ind w:left="567"/>
        <w:rPr>
          <w:lang w:val="bg-BG"/>
        </w:rPr>
      </w:pPr>
      <w:r w:rsidRPr="009072DA">
        <w:rPr>
          <w:lang w:val="bg-BG"/>
        </w:rPr>
        <w:br w:type="page"/>
      </w: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lastRenderedPageBreak/>
        <w:t>4.</w:t>
      </w:r>
      <w:r w:rsidRPr="009072DA">
        <w:rPr>
          <w:lang w:val="bg-BG"/>
        </w:rPr>
        <w:tab/>
      </w:r>
      <w:r w:rsidRPr="009072DA">
        <w:rPr>
          <w:b/>
          <w:color w:val="000000"/>
          <w:lang w:val="bg-BG"/>
        </w:rPr>
        <w:t>Обяснения на отделните позиции</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Позициите, за които не е необходимо обяснение, не са посочени по-долу.</w:t>
      </w:r>
    </w:p>
    <w:p w:rsidR="004F47BB" w:rsidRPr="009072DA" w:rsidRDefault="004F47BB" w:rsidP="004F47BB">
      <w:pPr>
        <w:spacing w:line="240" w:lineRule="atLeast"/>
        <w:ind w:left="567"/>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2.</w:t>
      </w:r>
      <w:r w:rsidRPr="009072DA">
        <w:rPr>
          <w:lang w:val="bg-BG"/>
        </w:rPr>
        <w:tab/>
        <w:t>Ако е уместно, включете понятия, както е посочено в член 1.01. Други типове плавателни съдове се вписват с общоприетото им означение.</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3.</w:t>
      </w:r>
      <w:r w:rsidRPr="009072DA">
        <w:rPr>
          <w:lang w:val="bg-BG"/>
        </w:rPr>
        <w:tab/>
        <w:t>Когато удостоверение на плавателен съд за плаване по вътрешни водни пътища се удължава, текстът „официален номер“, както и този номер се заличават, а в случай на изменение се въвеждат текстът „3. уникален европейски идентификационен номер на плавателния съд“, както и съответният номер.</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10.</w:t>
      </w:r>
      <w:r w:rsidRPr="009072DA">
        <w:rPr>
          <w:lang w:val="bg-BG"/>
        </w:rPr>
        <w:tab/>
        <w:t>По отношение на плавателните съдове с удостоверение на плавателен съд за плаване по вътрешни водни пътища на Съюза, на които е разрешено корабоплаване по река Рейн, т.е.</w:t>
      </w:r>
    </w:p>
    <w:p w:rsidR="004F47BB" w:rsidRPr="009072DA" w:rsidRDefault="004F47BB" w:rsidP="004F47BB">
      <w:pPr>
        <w:tabs>
          <w:tab w:val="left" w:pos="1843"/>
        </w:tabs>
        <w:spacing w:before="60" w:line="240" w:lineRule="atLeast"/>
        <w:ind w:left="1843"/>
        <w:rPr>
          <w:lang w:val="bg-BG"/>
        </w:rPr>
      </w:pPr>
      <w:r w:rsidRPr="009072DA">
        <w:rPr>
          <w:lang w:val="bg-BG"/>
        </w:rPr>
        <w:t>a)</w:t>
      </w:r>
      <w:r w:rsidRPr="009072DA">
        <w:rPr>
          <w:lang w:val="bg-BG"/>
        </w:rPr>
        <w:tab/>
        <w:t>тези, които отговарят напълно на изискванията в настоящия стандарт, включително преходните разпоредби на глава 32, и</w:t>
      </w:r>
    </w:p>
    <w:p w:rsidR="004F47BB" w:rsidRPr="009072DA" w:rsidRDefault="004F47BB" w:rsidP="004F47BB">
      <w:pPr>
        <w:tabs>
          <w:tab w:val="left" w:pos="1843"/>
        </w:tabs>
        <w:spacing w:before="60" w:line="240" w:lineRule="atLeast"/>
        <w:ind w:left="1843"/>
        <w:rPr>
          <w:lang w:val="bg-BG"/>
        </w:rPr>
      </w:pPr>
      <w:r w:rsidRPr="009072DA">
        <w:rPr>
          <w:lang w:val="bg-BG"/>
        </w:rPr>
        <w:t>б)</w:t>
      </w:r>
      <w:r w:rsidRPr="009072DA">
        <w:rPr>
          <w:lang w:val="bg-BG"/>
        </w:rPr>
        <w:tab/>
        <w:t>тези, които не се ползват от преходните разпоредби на глава 33 или намаленията, предвидени за зона 4,</w:t>
      </w:r>
    </w:p>
    <w:p w:rsidR="004F47BB" w:rsidRPr="009072DA" w:rsidRDefault="004F47BB" w:rsidP="004F47BB">
      <w:pPr>
        <w:tabs>
          <w:tab w:val="left" w:pos="1843"/>
        </w:tabs>
        <w:spacing w:before="60" w:line="240" w:lineRule="atLeast"/>
        <w:ind w:left="1843"/>
        <w:rPr>
          <w:lang w:val="bg-BG"/>
        </w:rPr>
      </w:pPr>
      <w:r w:rsidRPr="009072DA">
        <w:rPr>
          <w:lang w:val="bg-BG"/>
        </w:rPr>
        <w:t>към тирето „— по водни пътища на ЕС в зона(и)“ се добавя следното:</w:t>
      </w:r>
    </w:p>
    <w:p w:rsidR="004F47BB" w:rsidRPr="009072DA" w:rsidRDefault="004F47BB" w:rsidP="004F47BB">
      <w:pPr>
        <w:tabs>
          <w:tab w:val="left" w:pos="1843"/>
        </w:tabs>
        <w:spacing w:before="60" w:line="240" w:lineRule="atLeast"/>
        <w:ind w:left="1843"/>
        <w:rPr>
          <w:lang w:val="bg-BG"/>
        </w:rPr>
      </w:pPr>
      <w:r w:rsidRPr="009072DA">
        <w:rPr>
          <w:lang w:val="bg-BG"/>
        </w:rPr>
        <w:t>a)</w:t>
      </w:r>
      <w:r w:rsidRPr="009072DA">
        <w:rPr>
          <w:lang w:val="bg-BG"/>
        </w:rPr>
        <w:tab/>
        <w:t xml:space="preserve">Рейн или  </w:t>
      </w:r>
    </w:p>
    <w:p w:rsidR="004F47BB" w:rsidRPr="009072DA" w:rsidRDefault="004F47BB" w:rsidP="004F47BB">
      <w:pPr>
        <w:tabs>
          <w:tab w:val="left" w:pos="1843"/>
        </w:tabs>
        <w:spacing w:before="60" w:line="240" w:lineRule="atLeast"/>
        <w:ind w:left="1843"/>
        <w:rPr>
          <w:lang w:val="bg-BG"/>
        </w:rPr>
      </w:pPr>
      <w:r w:rsidRPr="009072DA">
        <w:rPr>
          <w:lang w:val="bg-BG"/>
        </w:rPr>
        <w:t>б)</w:t>
      </w:r>
      <w:r w:rsidRPr="009072DA">
        <w:rPr>
          <w:lang w:val="bg-BG"/>
        </w:rPr>
        <w:tab/>
        <w:t>зона R.</w:t>
      </w:r>
    </w:p>
    <w:p w:rsidR="004F47BB" w:rsidRPr="009072DA" w:rsidRDefault="004F47BB" w:rsidP="004F47BB">
      <w:pPr>
        <w:tabs>
          <w:tab w:val="left" w:pos="1843"/>
        </w:tabs>
        <w:spacing w:line="240" w:lineRule="atLeast"/>
        <w:ind w:left="1843"/>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12.</w:t>
      </w:r>
      <w:r w:rsidRPr="009072DA">
        <w:rPr>
          <w:lang w:val="bg-BG"/>
        </w:rPr>
        <w:tab/>
        <w:t>Когато удостоверение на плавателен съд за плаване по вътрешни водни пътища се удължава, текстът „официален номер“ се заличава, а в случай на изменение се вписват текстът „12. Уникален европейски идентификационен номер на плавателния съд“, както и съответният номер.</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15.</w:t>
      </w:r>
      <w:r w:rsidRPr="009072DA">
        <w:rPr>
          <w:lang w:val="bg-BG"/>
        </w:rPr>
        <w:tab/>
        <w:t>Този раздел се попълва само за плавателни средства, за които поне едно от свойствата 1.1 или 1.2, или 3 в точка 14 не е заличено, а в противен случай се заличава цялата таблица.</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15.1</w:t>
      </w:r>
      <w:r w:rsidRPr="009072DA">
        <w:rPr>
          <w:lang w:val="bg-BG"/>
        </w:rPr>
        <w:tab/>
        <w:t>В колоната „схема на формированието“ от таблицата се отбелязва(т) номерът(ата) на описаните формирования. Редовете без вписване се зачертават.</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1418"/>
        </w:tabs>
        <w:spacing w:line="240" w:lineRule="atLeast"/>
        <w:ind w:left="1418"/>
        <w:rPr>
          <w:lang w:val="bg-BG"/>
        </w:rPr>
      </w:pPr>
      <w:r w:rsidRPr="009072DA">
        <w:rPr>
          <w:lang w:val="bg-BG"/>
        </w:rPr>
        <w:lastRenderedPageBreak/>
        <w:t>В „Други формирования“ могат да се посочат допълнителни формирования, които се означават с 18, 19, 20 и т.н.</w:t>
      </w:r>
    </w:p>
    <w:p w:rsidR="004F47BB" w:rsidRPr="009072DA" w:rsidRDefault="004F47BB" w:rsidP="004F47BB">
      <w:pPr>
        <w:tabs>
          <w:tab w:val="left" w:pos="1418"/>
        </w:tabs>
        <w:spacing w:line="240" w:lineRule="atLeast"/>
        <w:ind w:left="1418"/>
        <w:rPr>
          <w:lang w:val="bg-BG"/>
        </w:rPr>
      </w:pPr>
    </w:p>
    <w:p w:rsidR="004F47BB" w:rsidRPr="009072DA" w:rsidRDefault="004F47BB" w:rsidP="004F47BB">
      <w:pPr>
        <w:tabs>
          <w:tab w:val="left" w:pos="1418"/>
        </w:tabs>
        <w:spacing w:line="240" w:lineRule="atLeast"/>
        <w:ind w:left="1418"/>
        <w:rPr>
          <w:lang w:val="bg-BG"/>
        </w:rPr>
      </w:pPr>
      <w:r w:rsidRPr="009072DA">
        <w:rPr>
          <w:lang w:val="bg-BG"/>
        </w:rPr>
        <w:t>Ако от свойството „годен да тласка“ от предишното корабно удостоверение не е ясно кои са разрешените формирования, отбелязаното в предишното удостоверение на плавателния съд за плаване по вътрешни водни пътища може да се пренесе в точка 52. В ред 1 от таблица „Разрешени формирования“ се отбелязва „Вж. точка 52“.</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15.2</w:t>
      </w:r>
      <w:r w:rsidRPr="009072DA">
        <w:rPr>
          <w:lang w:val="bg-BG"/>
        </w:rPr>
        <w:tab/>
        <w:t>Съединения</w:t>
      </w:r>
    </w:p>
    <w:p w:rsidR="004F47BB" w:rsidRPr="009072DA" w:rsidRDefault="004F47BB" w:rsidP="004F47BB">
      <w:pPr>
        <w:tabs>
          <w:tab w:val="left" w:pos="1418"/>
        </w:tabs>
        <w:spacing w:line="240" w:lineRule="atLeast"/>
        <w:ind w:left="1418"/>
        <w:rPr>
          <w:lang w:val="bg-BG"/>
        </w:rPr>
      </w:pPr>
    </w:p>
    <w:p w:rsidR="004F47BB" w:rsidRPr="009072DA" w:rsidRDefault="004F47BB" w:rsidP="004F47BB">
      <w:pPr>
        <w:tabs>
          <w:tab w:val="left" w:pos="1418"/>
        </w:tabs>
        <w:spacing w:line="240" w:lineRule="atLeast"/>
        <w:ind w:left="1418"/>
        <w:rPr>
          <w:lang w:val="bg-BG"/>
        </w:rPr>
      </w:pPr>
      <w:r w:rsidRPr="009072DA">
        <w:rPr>
          <w:lang w:val="bg-BG"/>
        </w:rPr>
        <w:t>Вписват се само детайлите за съединението между тласкащото плавателно средство и тласканата секция на състава.</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17-20</w:t>
      </w:r>
      <w:r w:rsidRPr="009072DA">
        <w:rPr>
          <w:lang w:val="bg-BG"/>
        </w:rPr>
        <w:tab/>
        <w:t xml:space="preserve">Данните от точки 17—19 от свидетелството за тонаж са с точност до втория знак след десетичната запетая, а тези от точка 20 се вписват като цели числа. Общата дължина и общата ширина представляват максималните размери на плавателното средство, включително всички издадени фиксирани части. Дължината </w:t>
      </w:r>
      <m:oMath>
        <m:r>
          <w:rPr>
            <w:rFonts w:ascii="Cambria Math" w:hAnsi="Cambria Math"/>
            <w:lang w:val="bg-BG"/>
          </w:rPr>
          <m:t>L</m:t>
        </m:r>
      </m:oMath>
      <w:r w:rsidRPr="009072DA">
        <w:rPr>
          <w:lang w:val="bg-BG"/>
        </w:rPr>
        <w:t xml:space="preserve"> и ширината </w:t>
      </w:r>
      <m:oMath>
        <m:r>
          <w:rPr>
            <w:rFonts w:ascii="Cambria Math" w:hAnsi="Cambria Math"/>
            <w:lang w:val="bg-BG"/>
          </w:rPr>
          <m:t>B</m:t>
        </m:r>
      </m:oMath>
      <w:r w:rsidRPr="009072DA">
        <w:rPr>
          <w:lang w:val="bg-BG"/>
        </w:rPr>
        <w:t xml:space="preserve"> дават максималните размери на корпуса (вж. също член 1.01 „Определения“).</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br w:type="page"/>
      </w:r>
    </w:p>
    <w:p w:rsidR="004F47BB" w:rsidRPr="009072DA" w:rsidRDefault="004F47BB" w:rsidP="004F47BB">
      <w:pPr>
        <w:tabs>
          <w:tab w:val="left" w:pos="567"/>
          <w:tab w:val="left" w:pos="1418"/>
        </w:tabs>
        <w:spacing w:line="240" w:lineRule="atLeast"/>
        <w:ind w:left="1418" w:hanging="851"/>
        <w:rPr>
          <w:lang w:val="bg-BG"/>
        </w:rPr>
      </w:pPr>
      <w:r w:rsidRPr="009072DA">
        <w:rPr>
          <w:lang w:val="bg-BG"/>
        </w:rPr>
        <w:lastRenderedPageBreak/>
        <w:t>21.</w:t>
      </w:r>
      <w:r w:rsidRPr="009072DA">
        <w:rPr>
          <w:lang w:val="bg-BG"/>
        </w:rPr>
        <w:tab/>
        <w:t>Пълната товароподемност в t за товарните съдове според удостоверението за измерване за максималното газене съгласно точка 19.</w:t>
      </w:r>
    </w:p>
    <w:p w:rsidR="004F47BB" w:rsidRPr="009072DA" w:rsidRDefault="004F47BB" w:rsidP="004F47BB">
      <w:pPr>
        <w:tabs>
          <w:tab w:val="left" w:pos="1418"/>
        </w:tabs>
        <w:spacing w:line="240" w:lineRule="atLeast"/>
        <w:ind w:left="1418"/>
        <w:rPr>
          <w:lang w:val="bg-BG"/>
        </w:rPr>
      </w:pPr>
    </w:p>
    <w:p w:rsidR="004F47BB" w:rsidRPr="009072DA" w:rsidRDefault="004F47BB" w:rsidP="004F47BB">
      <w:pPr>
        <w:tabs>
          <w:tab w:val="left" w:pos="1418"/>
        </w:tabs>
        <w:spacing w:line="240" w:lineRule="atLeast"/>
        <w:ind w:left="1418"/>
        <w:rPr>
          <w:lang w:val="bg-BG"/>
        </w:rPr>
      </w:pPr>
      <w:r w:rsidRPr="009072DA">
        <w:rPr>
          <w:lang w:val="bg-BG"/>
        </w:rPr>
        <w:t>Водоизместване за всички други плавателни средства в m</w:t>
      </w:r>
      <w:r w:rsidRPr="009072DA">
        <w:rPr>
          <w:vertAlign w:val="superscript"/>
          <w:lang w:val="bg-BG"/>
        </w:rPr>
        <w:t>3</w:t>
      </w:r>
      <w:r w:rsidRPr="009072DA">
        <w:rPr>
          <w:lang w:val="bg-BG"/>
        </w:rPr>
        <w:t xml:space="preserve">. Ако няма удостоверение за измерване, водоизместването се изчислява като произведението от коефициента на общата пълнота и дължината </w:t>
      </w:r>
      <m:oMath>
        <m:sSub>
          <m:sSubPr>
            <m:ctrlPr>
              <w:rPr>
                <w:rFonts w:ascii="Cambria Math" w:hAnsi="Cambria Math" w:cs="Arial"/>
                <w:i/>
                <w:sz w:val="18"/>
                <w:szCs w:val="18"/>
                <w:lang w:val="bg-BG"/>
              </w:rPr>
            </m:ctrlPr>
          </m:sSubPr>
          <m:e>
            <m:r>
              <w:rPr>
                <w:rFonts w:ascii="Cambria Math" w:hAnsi="Cambria Math" w:cs="Arial"/>
                <w:sz w:val="18"/>
                <w:szCs w:val="18"/>
                <w:lang w:val="bg-BG"/>
              </w:rPr>
              <m:t>L</m:t>
            </m:r>
          </m:e>
          <m:sub>
            <m:r>
              <w:rPr>
                <w:rFonts w:ascii="Cambria Math" w:hAnsi="Cambria Math" w:cs="Arial"/>
                <w:sz w:val="18"/>
                <w:szCs w:val="18"/>
                <w:lang w:val="bg-BG"/>
              </w:rPr>
              <m:t>WL</m:t>
            </m:r>
          </m:sub>
        </m:sSub>
      </m:oMath>
      <w:r w:rsidRPr="009072DA">
        <w:rPr>
          <w:lang w:val="bg-BG"/>
        </w:rPr>
        <w:t xml:space="preserve">, широчината </w:t>
      </w:r>
      <m:oMath>
        <m:sSub>
          <m:sSubPr>
            <m:ctrlPr>
              <w:rPr>
                <w:rFonts w:ascii="Cambria Math" w:hAnsi="Cambria Math" w:cs="Arial"/>
                <w:i/>
                <w:sz w:val="18"/>
                <w:szCs w:val="18"/>
                <w:lang w:val="bg-BG"/>
              </w:rPr>
            </m:ctrlPr>
          </m:sSubPr>
          <m:e>
            <m:r>
              <w:rPr>
                <w:rFonts w:ascii="Cambria Math" w:hAnsi="Cambria Math" w:cs="Arial"/>
                <w:sz w:val="18"/>
                <w:szCs w:val="18"/>
                <w:lang w:val="bg-BG"/>
              </w:rPr>
              <m:t>B</m:t>
            </m:r>
          </m:e>
          <m:sub>
            <m:r>
              <w:rPr>
                <w:rFonts w:ascii="Cambria Math" w:hAnsi="Cambria Math" w:cs="Arial"/>
                <w:sz w:val="18"/>
                <w:szCs w:val="18"/>
                <w:lang w:val="bg-BG"/>
              </w:rPr>
              <m:t>WL</m:t>
            </m:r>
          </m:sub>
        </m:sSub>
      </m:oMath>
      <w:r w:rsidRPr="009072DA">
        <w:rPr>
          <w:lang w:val="bg-BG"/>
        </w:rPr>
        <w:t xml:space="preserve"> и средното газене при максималната потопеност.</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23.</w:t>
      </w:r>
      <w:r w:rsidRPr="009072DA">
        <w:rPr>
          <w:lang w:val="bg-BG"/>
        </w:rPr>
        <w:tab/>
        <w:t>Брой на наличните койки за пътници (включително сгъваеми легла и подобни).</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24.</w:t>
      </w:r>
      <w:r w:rsidRPr="009072DA">
        <w:rPr>
          <w:lang w:val="bg-BG"/>
        </w:rPr>
        <w:tab/>
        <w:t>Вземат се предвид само напречните водонепроницаеми прегради, разположени от единия борд на съда до другия.</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26.</w:t>
      </w:r>
      <w:r w:rsidRPr="009072DA">
        <w:rPr>
          <w:lang w:val="bg-BG"/>
        </w:rPr>
        <w:tab/>
        <w:t>Ако е приложимо, се използват следните термини:</w:t>
      </w:r>
    </w:p>
    <w:p w:rsidR="004F47BB" w:rsidRPr="009072DA" w:rsidRDefault="004F47BB" w:rsidP="004F47BB">
      <w:pPr>
        <w:tabs>
          <w:tab w:val="left" w:pos="1843"/>
        </w:tabs>
        <w:spacing w:before="60" w:line="240" w:lineRule="atLeast"/>
        <w:ind w:left="1843"/>
        <w:rPr>
          <w:lang w:val="bg-BG"/>
        </w:rPr>
      </w:pPr>
      <w:r w:rsidRPr="009072DA">
        <w:rPr>
          <w:lang w:val="bg-BG"/>
        </w:rPr>
        <w:t>-</w:t>
      </w:r>
      <w:r w:rsidRPr="009072DA">
        <w:rPr>
          <w:lang w:val="bg-BG"/>
        </w:rPr>
        <w:tab/>
        <w:t>ръчно задвижвани капаци на люкове,</w:t>
      </w:r>
    </w:p>
    <w:p w:rsidR="004F47BB" w:rsidRPr="009072DA" w:rsidRDefault="004F47BB" w:rsidP="004F47BB">
      <w:pPr>
        <w:tabs>
          <w:tab w:val="left" w:pos="1843"/>
        </w:tabs>
        <w:spacing w:before="60" w:line="240" w:lineRule="atLeast"/>
        <w:ind w:left="1843"/>
        <w:rPr>
          <w:lang w:val="bg-BG"/>
        </w:rPr>
      </w:pPr>
      <w:r w:rsidRPr="009072DA">
        <w:rPr>
          <w:lang w:val="bg-BG"/>
        </w:rPr>
        <w:t>-</w:t>
      </w:r>
      <w:r w:rsidRPr="009072DA">
        <w:rPr>
          <w:lang w:val="bg-BG"/>
        </w:rPr>
        <w:tab/>
        <w:t>ръчно задвижвани търкалящи се капаци на люкове,</w:t>
      </w:r>
    </w:p>
    <w:p w:rsidR="004F47BB" w:rsidRPr="009072DA" w:rsidRDefault="004F47BB" w:rsidP="004F47BB">
      <w:pPr>
        <w:tabs>
          <w:tab w:val="left" w:pos="1843"/>
        </w:tabs>
        <w:spacing w:before="60" w:line="240" w:lineRule="atLeast"/>
        <w:ind w:left="1843"/>
        <w:rPr>
          <w:lang w:val="bg-BG"/>
        </w:rPr>
      </w:pPr>
      <w:r w:rsidRPr="009072DA">
        <w:rPr>
          <w:lang w:val="bg-BG"/>
        </w:rPr>
        <w:t>-</w:t>
      </w:r>
      <w:r w:rsidRPr="009072DA">
        <w:rPr>
          <w:lang w:val="bg-BG"/>
        </w:rPr>
        <w:tab/>
        <w:t>ръчно задвижвани плъзгащи се капаци на люкове,</w:t>
      </w:r>
    </w:p>
    <w:p w:rsidR="004F47BB" w:rsidRPr="009072DA" w:rsidRDefault="004F47BB" w:rsidP="004F47BB">
      <w:pPr>
        <w:tabs>
          <w:tab w:val="left" w:pos="1843"/>
        </w:tabs>
        <w:spacing w:before="60" w:line="240" w:lineRule="atLeast"/>
        <w:ind w:left="1843"/>
        <w:rPr>
          <w:lang w:val="bg-BG"/>
        </w:rPr>
      </w:pPr>
      <w:r w:rsidRPr="009072DA">
        <w:rPr>
          <w:lang w:val="bg-BG"/>
        </w:rPr>
        <w:t>-</w:t>
      </w:r>
      <w:r w:rsidRPr="009072DA">
        <w:rPr>
          <w:lang w:val="bg-BG"/>
        </w:rPr>
        <w:tab/>
        <w:t>механично задвижвани плъзгащи се капаци на люкове,</w:t>
      </w:r>
    </w:p>
    <w:p w:rsidR="004F47BB" w:rsidRPr="009072DA" w:rsidRDefault="004F47BB" w:rsidP="004F47BB">
      <w:pPr>
        <w:tabs>
          <w:tab w:val="left" w:pos="1843"/>
        </w:tabs>
        <w:spacing w:before="60" w:line="240" w:lineRule="atLeast"/>
        <w:ind w:left="1843"/>
        <w:rPr>
          <w:lang w:val="bg-BG"/>
        </w:rPr>
      </w:pPr>
      <w:r w:rsidRPr="009072DA">
        <w:rPr>
          <w:lang w:val="bg-BG"/>
        </w:rPr>
        <w:t>-</w:t>
      </w:r>
      <w:r w:rsidRPr="009072DA">
        <w:rPr>
          <w:lang w:val="bg-BG"/>
        </w:rPr>
        <w:tab/>
        <w:t>механично задвижвани капаци на люкове.</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1418"/>
        </w:tabs>
        <w:spacing w:line="240" w:lineRule="atLeast"/>
        <w:ind w:left="1418"/>
        <w:rPr>
          <w:lang w:val="bg-BG"/>
        </w:rPr>
      </w:pPr>
      <w:r w:rsidRPr="009072DA">
        <w:rPr>
          <w:lang w:val="bg-BG"/>
        </w:rPr>
        <w:t>Други типове капаци на люкове се вписват с общоприетото им означение.</w:t>
      </w:r>
    </w:p>
    <w:p w:rsidR="004F47BB" w:rsidRPr="009072DA" w:rsidRDefault="004F47BB" w:rsidP="004F47BB">
      <w:pPr>
        <w:tabs>
          <w:tab w:val="left" w:pos="1418"/>
        </w:tabs>
        <w:spacing w:line="240" w:lineRule="atLeast"/>
        <w:ind w:left="1418"/>
        <w:rPr>
          <w:lang w:val="bg-BG"/>
        </w:rPr>
      </w:pPr>
    </w:p>
    <w:p w:rsidR="004F47BB" w:rsidRPr="009072DA" w:rsidRDefault="004F47BB" w:rsidP="004F47BB">
      <w:pPr>
        <w:tabs>
          <w:tab w:val="left" w:pos="1418"/>
        </w:tabs>
        <w:spacing w:line="240" w:lineRule="atLeast"/>
        <w:ind w:left="1418"/>
        <w:rPr>
          <w:lang w:val="bg-BG"/>
        </w:rPr>
      </w:pPr>
      <w:r w:rsidRPr="009072DA">
        <w:rPr>
          <w:lang w:val="bg-BG"/>
        </w:rPr>
        <w:t>Всички трюмове, които нямат капак, се изброяват, напр. в точка 52.</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28.</w:t>
      </w:r>
      <w:r w:rsidRPr="009072DA">
        <w:rPr>
          <w:lang w:val="bg-BG"/>
        </w:rPr>
        <w:tab/>
        <w:t>Цифри без десетична запетая.</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 xml:space="preserve">30, 31 </w:t>
      </w:r>
    </w:p>
    <w:p w:rsidR="004F47BB" w:rsidRPr="009072DA" w:rsidRDefault="004F47BB" w:rsidP="004F47BB">
      <w:pPr>
        <w:tabs>
          <w:tab w:val="left" w:pos="567"/>
          <w:tab w:val="left" w:pos="1418"/>
        </w:tabs>
        <w:spacing w:line="240" w:lineRule="atLeast"/>
        <w:ind w:left="1418" w:hanging="851"/>
        <w:rPr>
          <w:lang w:val="bg-BG"/>
        </w:rPr>
      </w:pPr>
      <w:r w:rsidRPr="009072DA">
        <w:rPr>
          <w:lang w:val="bg-BG"/>
        </w:rPr>
        <w:t>и 33.</w:t>
      </w:r>
      <w:r w:rsidRPr="009072DA">
        <w:rPr>
          <w:lang w:val="bg-BG"/>
        </w:rPr>
        <w:tab/>
        <w:t>Всеки кожух на лебедка се брои като една лебедка независимо от броя котвени или буксирни въжета, свързани към нея.</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34.</w:t>
      </w:r>
      <w:r w:rsidRPr="009072DA">
        <w:rPr>
          <w:lang w:val="bg-BG"/>
        </w:rPr>
        <w:tab/>
        <w:t>В „Други инсталации“ се вписват системи, които не използват пера на руля (напр. винто-рулева колона, крилчат движител, носови подрулващи устройства).</w:t>
      </w:r>
    </w:p>
    <w:p w:rsidR="004F47BB" w:rsidRPr="009072DA" w:rsidRDefault="004F47BB" w:rsidP="004F47BB">
      <w:pPr>
        <w:tabs>
          <w:tab w:val="left" w:pos="1418"/>
        </w:tabs>
        <w:spacing w:line="240" w:lineRule="atLeast"/>
        <w:ind w:left="1418"/>
        <w:rPr>
          <w:lang w:val="bg-BG"/>
        </w:rPr>
      </w:pPr>
      <w:r w:rsidRPr="009072DA">
        <w:rPr>
          <w:lang w:val="bg-BG"/>
        </w:rPr>
        <w:lastRenderedPageBreak/>
        <w:t>Вписват се също всички електрически спомагателни машини за ръчно задействане.</w:t>
      </w:r>
    </w:p>
    <w:p w:rsidR="004F47BB" w:rsidRPr="009072DA" w:rsidRDefault="004F47BB" w:rsidP="004F47BB">
      <w:pPr>
        <w:tabs>
          <w:tab w:val="left" w:pos="1418"/>
        </w:tabs>
        <w:spacing w:line="240" w:lineRule="atLeast"/>
        <w:ind w:left="1418"/>
        <w:rPr>
          <w:lang w:val="bg-BG"/>
        </w:rPr>
      </w:pPr>
      <w:r w:rsidRPr="009072DA">
        <w:rPr>
          <w:lang w:val="bg-BG"/>
        </w:rPr>
        <w:t>При носовите подрулващи системи „дистанционно управлявани“ се отнася само за устройствата, които се управляват дистанционно от поста за управление в рулевата рубка.</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35.</w:t>
      </w:r>
      <w:r w:rsidRPr="009072DA">
        <w:rPr>
          <w:lang w:val="bg-BG"/>
        </w:rPr>
        <w:tab/>
        <w:t>Вписват се само теоретичните стойности съгласно член 8.08, точки 2 и 3, член 19.01, точка 1, буква в) и член 19.08, точка 5. За плавателни средства, чието строителство е започнало най-късно на 1.4.1976 г., първият раздел се попълва единствено в случай на осушителни помпи, които се заменят, и в случай на удостоверение на плавателния съд за плаване по вътрешни водни пътища, удължено след 1.1.2015 г. За плавателни средства, чието строителство е започнало най-късно на 31.12.1984 г. и които се използват само извън териториите на зона R, разделът може да бъде оставен непопълнен.</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36.</w:t>
      </w:r>
      <w:r w:rsidRPr="009072DA">
        <w:rPr>
          <w:lang w:val="bg-BG"/>
        </w:rPr>
        <w:tab/>
        <w:t>За пояснение може да е необходима скица.</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37.</w:t>
      </w:r>
      <w:r w:rsidRPr="009072DA">
        <w:rPr>
          <w:lang w:val="bg-BG"/>
        </w:rPr>
        <w:tab/>
        <w:t>Въвеждат се само теоретичните стойности без намаление съгласно член 13.01, точки 1 — 4.</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br w:type="page"/>
      </w:r>
    </w:p>
    <w:p w:rsidR="004F47BB" w:rsidRPr="009072DA" w:rsidRDefault="004F47BB" w:rsidP="004F47BB">
      <w:pPr>
        <w:tabs>
          <w:tab w:val="left" w:pos="567"/>
          <w:tab w:val="left" w:pos="1418"/>
        </w:tabs>
        <w:spacing w:line="240" w:lineRule="atLeast"/>
        <w:ind w:left="1418" w:hanging="851"/>
        <w:rPr>
          <w:lang w:val="bg-BG"/>
        </w:rPr>
      </w:pPr>
      <w:r w:rsidRPr="009072DA">
        <w:rPr>
          <w:lang w:val="bg-BG"/>
        </w:rPr>
        <w:lastRenderedPageBreak/>
        <w:t>38.</w:t>
      </w:r>
      <w:r w:rsidRPr="009072DA">
        <w:rPr>
          <w:lang w:val="bg-BG"/>
        </w:rPr>
        <w:tab/>
        <w:t>Вписват се само минималните дължини съгласно член 13.01, точка 10 и минималното натоварване на скъсване съгласно член 13.01, точка 11.</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 xml:space="preserve">39. </w:t>
      </w:r>
    </w:p>
    <w:p w:rsidR="004F47BB" w:rsidRPr="009072DA" w:rsidRDefault="004F47BB" w:rsidP="004F47BB">
      <w:pPr>
        <w:tabs>
          <w:tab w:val="left" w:pos="567"/>
          <w:tab w:val="left" w:pos="1418"/>
        </w:tabs>
        <w:spacing w:line="240" w:lineRule="atLeast"/>
        <w:ind w:left="1418" w:hanging="851"/>
        <w:rPr>
          <w:lang w:val="bg-BG"/>
        </w:rPr>
      </w:pPr>
      <w:r w:rsidRPr="009072DA">
        <w:rPr>
          <w:lang w:val="bg-BG"/>
        </w:rPr>
        <w:t>и 40.</w:t>
      </w:r>
      <w:r w:rsidRPr="009072DA">
        <w:rPr>
          <w:lang w:val="bg-BG"/>
        </w:rPr>
        <w:tab/>
        <w:t>Вписват се само минималните дължини и минималните стойности на натоварването на скъсване, преизчислени съгласно член 13.02, точка 3.</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42.</w:t>
      </w:r>
      <w:r w:rsidRPr="009072DA">
        <w:rPr>
          <w:lang w:val="bg-BG"/>
        </w:rPr>
        <w:tab/>
        <w:t>Контролният орган може да добави позиции в списъка с необходимо оборудване. Те трябва да бъдат обосновани като съществени за безопасността на плавателния съд за съответния вид съд или за неговата оперативна зона. Добавките се вписват в точка 52.</w:t>
      </w:r>
    </w:p>
    <w:p w:rsidR="004F47BB" w:rsidRPr="009072DA" w:rsidRDefault="004F47BB" w:rsidP="004F47BB">
      <w:pPr>
        <w:tabs>
          <w:tab w:val="left" w:pos="1418"/>
        </w:tabs>
        <w:spacing w:line="240" w:lineRule="atLeast"/>
        <w:ind w:left="1418"/>
        <w:rPr>
          <w:lang w:val="bg-BG"/>
        </w:rPr>
      </w:pPr>
    </w:p>
    <w:p w:rsidR="004F47BB" w:rsidRPr="009072DA" w:rsidRDefault="004F47BB" w:rsidP="004F47BB">
      <w:pPr>
        <w:tabs>
          <w:tab w:val="left" w:pos="1418"/>
        </w:tabs>
        <w:spacing w:line="240" w:lineRule="atLeast"/>
        <w:ind w:left="1418"/>
        <w:rPr>
          <w:lang w:val="bg-BG"/>
        </w:rPr>
      </w:pPr>
      <w:r w:rsidRPr="009072DA">
        <w:rPr>
          <w:lang w:val="bg-BG"/>
        </w:rPr>
        <w:t>Лява колона, редове 3 — 5: за пътнически плавателни съдове първата спомената позиция се зачерква, а за всички други съдове втората спомената позиция се зачерква. Дължината на трапа се вписва, ако контролният орган е разрешил по-малка дължина от предвидената в член 13.02, точка 3, буква г) или член 19.06, точка 12.</w:t>
      </w:r>
    </w:p>
    <w:p w:rsidR="004F47BB" w:rsidRPr="009072DA" w:rsidRDefault="004F47BB" w:rsidP="004F47BB">
      <w:pPr>
        <w:tabs>
          <w:tab w:val="left" w:pos="1418"/>
        </w:tabs>
        <w:spacing w:line="240" w:lineRule="atLeast"/>
        <w:ind w:left="1418"/>
        <w:rPr>
          <w:lang w:val="bg-BG"/>
        </w:rPr>
      </w:pPr>
    </w:p>
    <w:p w:rsidR="004F47BB" w:rsidRPr="009072DA" w:rsidRDefault="004F47BB" w:rsidP="004F47BB">
      <w:pPr>
        <w:tabs>
          <w:tab w:val="left" w:pos="1418"/>
        </w:tabs>
        <w:spacing w:line="240" w:lineRule="atLeast"/>
        <w:ind w:left="1418"/>
        <w:rPr>
          <w:lang w:val="bg-BG"/>
        </w:rPr>
      </w:pPr>
      <w:r w:rsidRPr="009072DA">
        <w:rPr>
          <w:lang w:val="bg-BG"/>
        </w:rPr>
        <w:t>Лява колона, ред 7: тук се вписва броят на предписаните комплекти за първа помощ съгласно член 13.02, точка 3, буква е) и член 19.08, точка 9.</w:t>
      </w:r>
    </w:p>
    <w:p w:rsidR="004F47BB" w:rsidRPr="009072DA" w:rsidRDefault="004F47BB" w:rsidP="004F47BB">
      <w:pPr>
        <w:tabs>
          <w:tab w:val="left" w:pos="1418"/>
        </w:tabs>
        <w:spacing w:line="240" w:lineRule="atLeast"/>
        <w:ind w:left="1418"/>
        <w:rPr>
          <w:lang w:val="bg-BG"/>
        </w:rPr>
      </w:pPr>
    </w:p>
    <w:p w:rsidR="004F47BB" w:rsidRPr="009072DA" w:rsidRDefault="004F47BB" w:rsidP="004F47BB">
      <w:pPr>
        <w:tabs>
          <w:tab w:val="left" w:pos="1418"/>
        </w:tabs>
        <w:spacing w:line="240" w:lineRule="atLeast"/>
        <w:ind w:left="1418"/>
        <w:rPr>
          <w:lang w:val="bg-BG"/>
        </w:rPr>
      </w:pPr>
      <w:r w:rsidRPr="009072DA">
        <w:rPr>
          <w:lang w:val="bg-BG"/>
        </w:rPr>
        <w:t>Лява колона, ред 11: тук се вписва броят на предписаните огнеустойчиви съдове съгласно член 13.02, точка 2.</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43.</w:t>
      </w:r>
      <w:r w:rsidRPr="009072DA">
        <w:rPr>
          <w:lang w:val="bg-BG"/>
        </w:rPr>
        <w:tab/>
        <w:t>Преносими пожарогасители, изисквани от други наредби за безопасност, напр. и регламент, не са включени тук.</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adjustRightInd w:val="0"/>
        <w:ind w:left="1418" w:hanging="851"/>
        <w:rPr>
          <w:rFonts w:cs="Arial"/>
          <w:szCs w:val="20"/>
          <w:lang w:val="bg-BG"/>
        </w:rPr>
      </w:pPr>
      <w:r w:rsidRPr="009072DA">
        <w:rPr>
          <w:lang w:val="bg-BG"/>
        </w:rPr>
        <w:t>44.</w:t>
      </w:r>
      <w:r w:rsidRPr="009072DA">
        <w:rPr>
          <w:lang w:val="bg-BG"/>
        </w:rPr>
        <w:tab/>
        <w:t>Ред 3: в удостоверения на плавателни съдове за плаване по вътрешни водни пътища, които трябва да бъдат подновени преди 1.1.2025 г. (глава 33), изразът „съгласно член 13.08, точка 2“ се зачерква, ако на борда няма спасителни жилетки съгласно настоящия стандарт.</w:t>
      </w:r>
    </w:p>
    <w:p w:rsidR="004F47BB" w:rsidRPr="009072DA" w:rsidRDefault="004F47BB" w:rsidP="004F47BB">
      <w:pPr>
        <w:adjustRightInd w:val="0"/>
        <w:ind w:left="1134" w:hanging="283"/>
        <w:rPr>
          <w:rFonts w:cs="Arial"/>
          <w:szCs w:val="20"/>
          <w:lang w:val="bg-BG"/>
        </w:rPr>
      </w:pPr>
    </w:p>
    <w:p w:rsidR="004F47BB" w:rsidRPr="009072DA" w:rsidRDefault="004F47BB" w:rsidP="004F47BB">
      <w:pPr>
        <w:adjustRightInd w:val="0"/>
        <w:ind w:left="1418"/>
        <w:rPr>
          <w:rFonts w:cs="Arial"/>
          <w:szCs w:val="20"/>
          <w:lang w:val="bg-BG"/>
        </w:rPr>
      </w:pPr>
      <w:r w:rsidRPr="009072DA">
        <w:rPr>
          <w:lang w:val="bg-BG"/>
        </w:rPr>
        <w:t xml:space="preserve">Ред 4: в удостоверения на плавателни съдове за плаване по вътрешни водни пътища, които трябва да бъдат подновени след 1.1.2015 г., или ако на борда се взема нова лодка, или за новопостроени плавателни средства, изразът „с комплект гребла, швартово въже и помпа за изхвърляне на вода“ се зачерква. В удостоверения на плавателни съдове за плаване по вътрешни водни пътища, </w:t>
      </w:r>
      <w:r w:rsidRPr="009072DA">
        <w:rPr>
          <w:lang w:val="bg-BG"/>
        </w:rPr>
        <w:lastRenderedPageBreak/>
        <w:t>които трябва да бъдат подновени след 1.1.2030 г. (глава 33), ако на борда няма лодка съгласно настоящия стандарт, изразът „съгласно стандарт EN 1914: 2016“ се зачерква. В удостоверението на плавателен съд за плаване по вътрешни водни пътища, което следва да бъде подновено преди 1.9.2036 г., ако съответствието със стандарт EN 1994: 1997 бъде доказано, текстът „2016“ може да бъде зачеркнат.</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46.</w:t>
      </w:r>
      <w:r w:rsidRPr="009072DA">
        <w:rPr>
          <w:lang w:val="bg-BG"/>
        </w:rPr>
        <w:tab/>
        <w:t xml:space="preserve">Като общо правило не се записва непрекъсната експлоатация, ако няма достатъчно койки или ако са налице прекомерни нива на шума. </w:t>
      </w:r>
      <w:r w:rsidRPr="009072DA">
        <w:rPr>
          <w:lang w:val="bg-BG"/>
        </w:rPr>
        <w:br/>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50.</w:t>
      </w:r>
      <w:r w:rsidRPr="009072DA">
        <w:rPr>
          <w:lang w:val="bg-BG"/>
        </w:rPr>
        <w:tab/>
        <w:t>Експертът се подписва само ако лично е попълнил страница 11.</w:t>
      </w:r>
    </w:p>
    <w:p w:rsidR="004F47BB" w:rsidRPr="009072DA" w:rsidRDefault="004F47BB" w:rsidP="004F47BB">
      <w:pPr>
        <w:tabs>
          <w:tab w:val="left" w:pos="567"/>
          <w:tab w:val="left" w:pos="1418"/>
        </w:tabs>
        <w:spacing w:line="240" w:lineRule="atLeast"/>
        <w:ind w:left="1418" w:hanging="851"/>
        <w:rPr>
          <w:lang w:val="bg-BG"/>
        </w:rPr>
      </w:pPr>
    </w:p>
    <w:p w:rsidR="004F47BB" w:rsidRPr="009072DA" w:rsidRDefault="004F47BB" w:rsidP="004F47BB">
      <w:pPr>
        <w:tabs>
          <w:tab w:val="left" w:pos="567"/>
          <w:tab w:val="left" w:pos="1418"/>
        </w:tabs>
        <w:spacing w:line="240" w:lineRule="atLeast"/>
        <w:ind w:left="1418" w:hanging="851"/>
        <w:rPr>
          <w:lang w:val="bg-BG"/>
        </w:rPr>
      </w:pPr>
      <w:r w:rsidRPr="009072DA">
        <w:rPr>
          <w:lang w:val="bg-BG"/>
        </w:rPr>
        <w:t>52.</w:t>
      </w:r>
      <w:r w:rsidRPr="009072DA">
        <w:rPr>
          <w:lang w:val="bg-BG"/>
        </w:rPr>
        <w:tab/>
        <w:t>Тук се посочват всички допълнителни ограничения, изключения и обяснения или подобни, отнасящи се до вписванията в отделните точки.</w:t>
      </w:r>
    </w:p>
    <w:p w:rsidR="004F47BB" w:rsidRPr="009072DA" w:rsidRDefault="004F47BB" w:rsidP="004F47BB">
      <w:pPr>
        <w:spacing w:line="240" w:lineRule="atLeast"/>
        <w:ind w:left="567" w:hanging="567"/>
        <w:rPr>
          <w:rFonts w:cs="Arial"/>
          <w:b/>
          <w:color w:val="000000"/>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lang w:val="bg-BG"/>
        </w:rPr>
        <w:br w:type="page"/>
      </w: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lastRenderedPageBreak/>
        <w:t>5.</w:t>
      </w:r>
      <w:r w:rsidRPr="009072DA">
        <w:rPr>
          <w:lang w:val="bg-BG"/>
        </w:rPr>
        <w:tab/>
      </w:r>
      <w:r w:rsidRPr="009072DA">
        <w:rPr>
          <w:b/>
          <w:color w:val="000000"/>
          <w:lang w:val="bg-BG"/>
        </w:rPr>
        <w:t>Преходни разпоредби на удостоверенията на плавателни съдове за плаване по вътрешни водни пътища на Съюза</w:t>
      </w:r>
    </w:p>
    <w:p w:rsidR="004F47BB" w:rsidRPr="009072DA" w:rsidRDefault="004F47BB" w:rsidP="004F47BB">
      <w:pPr>
        <w:spacing w:line="240" w:lineRule="atLeast"/>
        <w:ind w:left="567" w:hanging="567"/>
        <w:rPr>
          <w:rFonts w:cs="Arial"/>
          <w:b/>
          <w:color w:val="000000"/>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5.1</w:t>
      </w:r>
      <w:r w:rsidRPr="009072DA">
        <w:rPr>
          <w:lang w:val="bg-BG"/>
        </w:rPr>
        <w:tab/>
      </w:r>
      <w:r w:rsidRPr="009072DA">
        <w:rPr>
          <w:b/>
          <w:color w:val="000000"/>
          <w:lang w:val="bg-BG"/>
        </w:rPr>
        <w:t>Съществуващи удостоверения на Общността</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С изключение на извънредното 6-месечно удължаване, не се предоставят други удължавания на съществуващи удостоверения на Общността.</w:t>
      </w:r>
    </w:p>
    <w:p w:rsidR="004F47BB" w:rsidRPr="009072DA" w:rsidRDefault="004F47BB" w:rsidP="004F47BB">
      <w:pPr>
        <w:spacing w:line="240" w:lineRule="atLeast"/>
        <w:ind w:left="567" w:hanging="567"/>
        <w:rPr>
          <w:rFonts w:cs="Arial"/>
          <w:b/>
          <w:color w:val="000000"/>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5.2</w:t>
      </w:r>
      <w:r w:rsidRPr="009072DA">
        <w:rPr>
          <w:lang w:val="bg-BG"/>
        </w:rPr>
        <w:tab/>
      </w:r>
      <w:r w:rsidRPr="009072DA">
        <w:rPr>
          <w:b/>
          <w:color w:val="000000"/>
          <w:lang w:val="bg-BG"/>
        </w:rPr>
        <w:t>Подмяна след периодична проверка</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След периодична проверка на съд, който все още няма удостоверение на плавателен съд за плаване по вътрешни водни пътища на Съюза в съответствие с образеца в приложение 4, се издава удостоверение на плавателен съд за плаване по вътрешни водни пътища на Съюза.</w:t>
      </w:r>
    </w:p>
    <w:p w:rsidR="004F47BB" w:rsidRPr="009072DA" w:rsidRDefault="004F47BB" w:rsidP="004F47BB">
      <w:pPr>
        <w:spacing w:line="240" w:lineRule="atLeast"/>
        <w:rPr>
          <w:rFonts w:ascii="Times New Roman" w:hAnsi="Times New Roman"/>
          <w:sz w:val="24"/>
          <w:lang w:val="bg-BG"/>
        </w:rPr>
      </w:pPr>
    </w:p>
    <w:p w:rsidR="004F47BB" w:rsidRPr="009072DA" w:rsidRDefault="004F47BB" w:rsidP="004F47BB">
      <w:pPr>
        <w:jc w:val="center"/>
        <w:rPr>
          <w:rFonts w:cs="Arial"/>
          <w:szCs w:val="20"/>
          <w:lang w:val="bg-BG"/>
        </w:rPr>
      </w:pPr>
    </w:p>
    <w:p w:rsidR="004F47BB" w:rsidRPr="009072DA" w:rsidRDefault="004F47BB" w:rsidP="004F47BB">
      <w:pPr>
        <w:jc w:val="center"/>
        <w:rPr>
          <w:rFonts w:cs="Arial"/>
          <w:szCs w:val="20"/>
          <w:lang w:val="bg-BG"/>
        </w:rPr>
      </w:pPr>
    </w:p>
    <w:p w:rsidR="004F47BB" w:rsidRPr="009072DA" w:rsidRDefault="004F47BB" w:rsidP="004F47BB">
      <w:pPr>
        <w:jc w:val="center"/>
        <w:rPr>
          <w:rFonts w:cs="Arial"/>
          <w:szCs w:val="20"/>
          <w:lang w:val="bg-BG"/>
        </w:rPr>
      </w:pPr>
    </w:p>
    <w:p w:rsidR="004F47BB" w:rsidRPr="009072DA" w:rsidRDefault="004F47BB" w:rsidP="004F47BB">
      <w:pPr>
        <w:jc w:val="center"/>
        <w:rPr>
          <w:rFonts w:cs="Arial"/>
          <w:szCs w:val="20"/>
          <w:lang w:val="bg-BG"/>
        </w:rPr>
      </w:pPr>
    </w:p>
    <w:p w:rsidR="004F47BB" w:rsidRPr="009072DA" w:rsidRDefault="004F47BB" w:rsidP="004F47BB">
      <w:pPr>
        <w:overflowPunct w:val="0"/>
        <w:adjustRightInd w:val="0"/>
        <w:spacing w:line="240" w:lineRule="exact"/>
        <w:textAlignment w:val="baseline"/>
        <w:rPr>
          <w:rFonts w:eastAsia="Calibri"/>
          <w:i/>
          <w:szCs w:val="20"/>
          <w:lang w:val="bg-BG"/>
        </w:rPr>
        <w:sectPr w:rsidR="004F47BB" w:rsidRPr="009072DA" w:rsidSect="00D45887">
          <w:headerReference w:type="default" r:id="rId112"/>
          <w:headerReference w:type="first" r:id="rId113"/>
          <w:footerReference w:type="first" r:id="rId114"/>
          <w:pgSz w:w="11907" w:h="16840" w:code="9"/>
          <w:pgMar w:top="1418" w:right="1418" w:bottom="1418" w:left="1418" w:header="680" w:footer="680" w:gutter="0"/>
          <w:cols w:space="720"/>
          <w:noEndnote/>
          <w:titlePg/>
        </w:sectPr>
      </w:pPr>
    </w:p>
    <w:p w:rsidR="004F47BB" w:rsidRPr="009072DA" w:rsidRDefault="004F47BB" w:rsidP="00A84512">
      <w:pPr>
        <w:pStyle w:val="ES-Titre2ESI"/>
        <w:rPr>
          <w:snapToGrid w:val="0"/>
        </w:rPr>
      </w:pPr>
      <w:bookmarkStart w:id="730" w:name="_Toc491854348"/>
      <w:bookmarkStart w:id="731" w:name="_Toc535827789"/>
      <w:r w:rsidRPr="009072DA">
        <w:lastRenderedPageBreak/>
        <w:t>ESI-I-2</w:t>
      </w:r>
      <w:r w:rsidRPr="009072DA">
        <w:br/>
        <w:t>Експерти и компетентни лица</w:t>
      </w:r>
      <w:bookmarkEnd w:id="730"/>
      <w:bookmarkEnd w:id="731"/>
    </w:p>
    <w:p w:rsidR="004F47BB" w:rsidRPr="009072DA" w:rsidRDefault="004F47BB" w:rsidP="00A84512">
      <w:pPr>
        <w:pStyle w:val="ESch"/>
        <w:rPr>
          <w:snapToGrid w:val="0"/>
          <w:lang w:val="bg-BG"/>
        </w:rPr>
      </w:pPr>
    </w:p>
    <w:p w:rsidR="004F47BB" w:rsidRPr="009072DA" w:rsidRDefault="004F47BB" w:rsidP="004F47BB">
      <w:pPr>
        <w:suppressAutoHyphens/>
        <w:jc w:val="center"/>
        <w:rPr>
          <w:rFonts w:cs="Arial"/>
          <w:b/>
          <w:snapToGrid w:val="0"/>
          <w:lang w:val="bg-BG"/>
        </w:rPr>
      </w:pPr>
      <w:r w:rsidRPr="009072DA">
        <w:rPr>
          <w:b/>
          <w:snapToGrid w:val="0"/>
          <w:lang w:val="bg-BG"/>
        </w:rPr>
        <w:t>(Член 1.01, 10.3 и 10.4)</w:t>
      </w:r>
    </w:p>
    <w:p w:rsidR="004F47BB" w:rsidRPr="009072DA" w:rsidRDefault="004F47BB" w:rsidP="004F47BB">
      <w:pPr>
        <w:tabs>
          <w:tab w:val="left" w:pos="425"/>
        </w:tabs>
        <w:suppressAutoHyphens/>
        <w:spacing w:line="240" w:lineRule="atLeast"/>
        <w:rPr>
          <w:rFonts w:cs="Arial"/>
          <w:snapToGrid w:val="0"/>
          <w:lang w:val="bg-BG"/>
        </w:rPr>
      </w:pPr>
    </w:p>
    <w:p w:rsidR="004F47BB" w:rsidRPr="009072DA" w:rsidRDefault="004F47BB" w:rsidP="004F47BB">
      <w:pPr>
        <w:spacing w:line="240" w:lineRule="atLeast"/>
        <w:ind w:left="567" w:hanging="567"/>
        <w:rPr>
          <w:b/>
          <w:lang w:val="bg-BG"/>
        </w:rPr>
      </w:pPr>
      <w:r w:rsidRPr="009072DA">
        <w:rPr>
          <w:b/>
          <w:lang w:val="bg-BG"/>
        </w:rPr>
        <w:t>Експерти</w:t>
      </w:r>
    </w:p>
    <w:p w:rsidR="004F47BB" w:rsidRPr="009072DA" w:rsidRDefault="004F47BB" w:rsidP="004F47BB">
      <w:pPr>
        <w:spacing w:line="240" w:lineRule="atLeast"/>
        <w:rPr>
          <w:lang w:val="bg-BG"/>
        </w:rPr>
      </w:pPr>
    </w:p>
    <w:p w:rsidR="004F47BB" w:rsidRPr="009072DA" w:rsidRDefault="004F47BB" w:rsidP="004F47BB">
      <w:pPr>
        <w:spacing w:line="240" w:lineRule="atLeast"/>
        <w:rPr>
          <w:lang w:val="bg-BG"/>
        </w:rPr>
      </w:pPr>
      <w:r w:rsidRPr="009072DA">
        <w:rPr>
          <w:lang w:val="bg-BG"/>
        </w:rPr>
        <w:t xml:space="preserve">Приемните изпитвания, изискващи специализирани познания поради сложността на системите или поради изискваното равнище на безопасност, се извършват от експерти. Следните лица или институции имат право да провеждат приемни изпитвания: </w:t>
      </w:r>
    </w:p>
    <w:p w:rsidR="004F47BB" w:rsidRPr="009072DA" w:rsidRDefault="004F47BB" w:rsidP="004F47BB">
      <w:pPr>
        <w:spacing w:before="60" w:line="240" w:lineRule="atLeast"/>
        <w:ind w:left="426" w:hanging="426"/>
        <w:rPr>
          <w:lang w:val="bg-BG"/>
        </w:rPr>
      </w:pPr>
      <w:r w:rsidRPr="009072DA">
        <w:rPr>
          <w:lang w:val="bg-BG"/>
        </w:rPr>
        <w:t>-</w:t>
      </w:r>
      <w:r w:rsidRPr="009072DA">
        <w:rPr>
          <w:lang w:val="bg-BG"/>
        </w:rPr>
        <w:tab/>
        <w:t>класификационни организации, които имат необходимия собствен опит или въз основа на правомощията си носят отговорност за призоваването на външни лица или институции и които разполагат с необходимите системи за контрол на качеството по отношение на подбора на тези лица или институции;</w:t>
      </w:r>
    </w:p>
    <w:p w:rsidR="004F47BB" w:rsidRPr="009072DA" w:rsidRDefault="004F47BB" w:rsidP="004F47BB">
      <w:pPr>
        <w:spacing w:before="60" w:line="240" w:lineRule="atLeast"/>
        <w:ind w:left="426" w:hanging="426"/>
        <w:rPr>
          <w:lang w:val="bg-BG"/>
        </w:rPr>
      </w:pPr>
      <w:r w:rsidRPr="009072DA">
        <w:rPr>
          <w:lang w:val="bg-BG"/>
        </w:rPr>
        <w:t>-</w:t>
      </w:r>
      <w:r w:rsidRPr="009072DA">
        <w:rPr>
          <w:lang w:val="bg-BG"/>
        </w:rPr>
        <w:tab/>
        <w:t>членове на контролните органи или персоналът на съответните органи;</w:t>
      </w:r>
    </w:p>
    <w:p w:rsidR="004F47BB" w:rsidRPr="009072DA" w:rsidRDefault="004F47BB" w:rsidP="004F47BB">
      <w:pPr>
        <w:spacing w:before="60" w:line="240" w:lineRule="atLeast"/>
        <w:ind w:left="426" w:hanging="426"/>
        <w:rPr>
          <w:lang w:val="bg-BG"/>
        </w:rPr>
      </w:pPr>
      <w:r w:rsidRPr="009072DA">
        <w:rPr>
          <w:lang w:val="bg-BG"/>
        </w:rPr>
        <w:t>-</w:t>
      </w:r>
      <w:r w:rsidRPr="009072DA">
        <w:rPr>
          <w:lang w:val="bg-BG"/>
        </w:rPr>
        <w:tab/>
        <w:t>официално одобрени лица или институции с признат експертен опит за обхвата на проверката в съответната област, като контролните органи за плавателни съдове могат също да издадат одобрение в качеството си на държавни агенции, което в идеалния случай става въз основа на система за осигуряване на качеството. Лице или институция се счита за одобрено(а), ако е преминало(а) през официална процедура на подбор, чрез която изрично се оценява наличието на изискваните експертни познания и опит.</w:t>
      </w:r>
    </w:p>
    <w:p w:rsidR="004F47BB" w:rsidRPr="009072DA" w:rsidRDefault="004F47BB" w:rsidP="004F47BB">
      <w:pPr>
        <w:spacing w:line="240" w:lineRule="atLeast"/>
        <w:ind w:left="567" w:hanging="567"/>
        <w:rPr>
          <w:lang w:val="bg-BG"/>
        </w:rPr>
      </w:pPr>
    </w:p>
    <w:p w:rsidR="004F47BB" w:rsidRPr="009072DA" w:rsidRDefault="004F47BB" w:rsidP="004F47BB">
      <w:pPr>
        <w:tabs>
          <w:tab w:val="left" w:pos="1418"/>
        </w:tabs>
        <w:spacing w:line="240" w:lineRule="atLeast"/>
        <w:rPr>
          <w:rFonts w:cs="Arial"/>
          <w:b/>
          <w:color w:val="000000"/>
          <w:lang w:val="bg-BG"/>
        </w:rPr>
      </w:pPr>
      <w:r w:rsidRPr="009072DA">
        <w:rPr>
          <w:b/>
          <w:color w:val="000000"/>
          <w:lang w:val="bg-BG"/>
        </w:rPr>
        <w:t>Експерт за традиционни плавателни средства</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rPr>
          <w:lang w:val="bg-BG"/>
        </w:rPr>
      </w:pPr>
      <w:r w:rsidRPr="009072DA">
        <w:rPr>
          <w:lang w:val="bg-BG"/>
        </w:rPr>
        <w:t>Лице, назначено от компетентния орган или от упълномощена институция на държава членка, което притежава специални познания в областта на традиционните плавателни съдове поради своето обучение и опит в тази област и което е запознато със съответните технически изисквания и правила, също от периода от време на традиционния плавателен съд.</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b/>
          <w:lang w:val="bg-BG"/>
        </w:rPr>
      </w:pPr>
      <w:r w:rsidRPr="009072DA">
        <w:rPr>
          <w:b/>
          <w:lang w:val="bg-BG"/>
        </w:rPr>
        <w:t>Компетентни лица</w:t>
      </w:r>
    </w:p>
    <w:p w:rsidR="004F47BB" w:rsidRPr="009072DA" w:rsidRDefault="004F47BB" w:rsidP="004F47BB">
      <w:pPr>
        <w:spacing w:line="240" w:lineRule="atLeast"/>
        <w:rPr>
          <w:lang w:val="bg-BG"/>
        </w:rPr>
      </w:pPr>
    </w:p>
    <w:p w:rsidR="004F47BB" w:rsidRPr="009072DA" w:rsidRDefault="004F47BB" w:rsidP="004F47BB">
      <w:pPr>
        <w:spacing w:line="240" w:lineRule="atLeast"/>
        <w:rPr>
          <w:lang w:val="bg-BG"/>
        </w:rPr>
      </w:pPr>
      <w:r w:rsidRPr="009072DA">
        <w:rPr>
          <w:lang w:val="bg-BG"/>
        </w:rPr>
        <w:t>Компетентни лица се изискват например за извършването на редовни визуални проверки и оперативни проверки на оборудването за безопасност. Следните лица могат да бъдат класифицирани като компетентни:</w:t>
      </w:r>
    </w:p>
    <w:p w:rsidR="004F47BB" w:rsidRPr="009072DA" w:rsidRDefault="004F47BB" w:rsidP="004F47BB">
      <w:pPr>
        <w:spacing w:before="60" w:line="240" w:lineRule="atLeast"/>
        <w:ind w:left="426" w:hanging="426"/>
        <w:rPr>
          <w:lang w:val="bg-BG"/>
        </w:rPr>
      </w:pPr>
      <w:r w:rsidRPr="009072DA">
        <w:rPr>
          <w:lang w:val="bg-BG"/>
        </w:rPr>
        <w:t>-</w:t>
      </w:r>
      <w:r w:rsidRPr="009072DA">
        <w:rPr>
          <w:lang w:val="bg-BG"/>
        </w:rPr>
        <w:tab/>
        <w:t>лица, които въз основа на професионалната си подготовка и опит, имат достатъчни познания, за да са в състояние да направят експертна оценка на специфични ситуации и обстоятелства, напр. капитани на кораби, служители по безопасността в корабоплавателни компании, членове на екипажа, които имат съответния опит;</w:t>
      </w:r>
    </w:p>
    <w:p w:rsidR="004F47BB" w:rsidRPr="009072DA" w:rsidRDefault="004F47BB" w:rsidP="004F47BB">
      <w:pPr>
        <w:spacing w:before="60" w:line="240" w:lineRule="atLeast"/>
        <w:ind w:left="426" w:hanging="426"/>
        <w:rPr>
          <w:lang w:val="bg-BG"/>
        </w:rPr>
      </w:pPr>
      <w:r w:rsidRPr="009072DA">
        <w:rPr>
          <w:lang w:val="bg-BG"/>
        </w:rPr>
        <w:lastRenderedPageBreak/>
        <w:t>-</w:t>
      </w:r>
      <w:r w:rsidRPr="009072DA">
        <w:rPr>
          <w:lang w:val="bg-BG"/>
        </w:rPr>
        <w:tab/>
        <w:t>дружества, които са придобили достатъчно специализирани познания в процеса на работата си, напр. корабостроителници или монтажни фирми;</w:t>
      </w:r>
    </w:p>
    <w:p w:rsidR="004F47BB" w:rsidRPr="009072DA" w:rsidRDefault="004F47BB" w:rsidP="004F47BB">
      <w:pPr>
        <w:spacing w:before="60" w:line="240" w:lineRule="atLeast"/>
        <w:ind w:left="426" w:hanging="426"/>
        <w:rPr>
          <w:lang w:val="bg-BG"/>
        </w:rPr>
      </w:pPr>
      <w:r w:rsidRPr="009072DA">
        <w:rPr>
          <w:lang w:val="bg-BG"/>
        </w:rPr>
        <w:t>-</w:t>
      </w:r>
      <w:r w:rsidRPr="009072DA">
        <w:rPr>
          <w:lang w:val="bg-BG"/>
        </w:rPr>
        <w:tab/>
        <w:t>производители на системи със специално предназначение (напр. пожарогасителни системи, контролно оборудване).</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b/>
          <w:lang w:val="bg-BG"/>
        </w:rPr>
      </w:pPr>
      <w:r w:rsidRPr="009072DA">
        <w:rPr>
          <w:b/>
          <w:lang w:val="bg-BG"/>
        </w:rPr>
        <w:t>Терминология</w:t>
      </w:r>
    </w:p>
    <w:p w:rsidR="004F47BB" w:rsidRPr="009072DA" w:rsidRDefault="004F47BB" w:rsidP="004F47BB">
      <w:pPr>
        <w:spacing w:line="240" w:lineRule="atLeast"/>
        <w:ind w:left="567" w:hanging="567"/>
        <w:rPr>
          <w:lang w:val="bg-BG"/>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9"/>
        <w:gridCol w:w="1800"/>
        <w:gridCol w:w="1921"/>
        <w:gridCol w:w="1807"/>
      </w:tblGrid>
      <w:tr w:rsidR="004F47BB" w:rsidRPr="009072DA" w:rsidTr="00D45887">
        <w:trPr>
          <w:jc w:val="center"/>
        </w:trPr>
        <w:tc>
          <w:tcPr>
            <w:tcW w:w="1859" w:type="dxa"/>
          </w:tcPr>
          <w:p w:rsidR="004F47BB" w:rsidRPr="009072DA" w:rsidRDefault="004F47BB" w:rsidP="004F47BB">
            <w:pPr>
              <w:spacing w:before="120" w:after="120"/>
              <w:rPr>
                <w:rFonts w:cs="Arial"/>
                <w:sz w:val="18"/>
                <w:szCs w:val="20"/>
                <w:lang w:val="bg-BG"/>
              </w:rPr>
            </w:pPr>
            <w:r w:rsidRPr="009072DA">
              <w:rPr>
                <w:sz w:val="18"/>
                <w:lang w:val="bg-BG"/>
              </w:rPr>
              <w:t>немски</w:t>
            </w:r>
          </w:p>
        </w:tc>
        <w:tc>
          <w:tcPr>
            <w:tcW w:w="1800" w:type="dxa"/>
          </w:tcPr>
          <w:p w:rsidR="004F47BB" w:rsidRPr="009072DA" w:rsidRDefault="004F47BB" w:rsidP="004F47BB">
            <w:pPr>
              <w:spacing w:before="120" w:after="120"/>
              <w:rPr>
                <w:rFonts w:cs="Arial"/>
                <w:sz w:val="18"/>
                <w:szCs w:val="20"/>
                <w:lang w:val="bg-BG"/>
              </w:rPr>
            </w:pPr>
            <w:r w:rsidRPr="009072DA">
              <w:rPr>
                <w:sz w:val="18"/>
                <w:lang w:val="bg-BG"/>
              </w:rPr>
              <w:t>английски</w:t>
            </w:r>
          </w:p>
        </w:tc>
        <w:tc>
          <w:tcPr>
            <w:tcW w:w="1921" w:type="dxa"/>
          </w:tcPr>
          <w:p w:rsidR="004F47BB" w:rsidRPr="009072DA" w:rsidRDefault="004F47BB" w:rsidP="004F47BB">
            <w:pPr>
              <w:spacing w:before="120" w:after="120"/>
              <w:rPr>
                <w:rFonts w:cs="Arial"/>
                <w:sz w:val="18"/>
                <w:szCs w:val="20"/>
                <w:lang w:val="bg-BG"/>
              </w:rPr>
            </w:pPr>
            <w:r w:rsidRPr="009072DA">
              <w:rPr>
                <w:sz w:val="18"/>
                <w:lang w:val="bg-BG"/>
              </w:rPr>
              <w:t>френски</w:t>
            </w:r>
          </w:p>
        </w:tc>
        <w:tc>
          <w:tcPr>
            <w:tcW w:w="1807" w:type="dxa"/>
          </w:tcPr>
          <w:p w:rsidR="004F47BB" w:rsidRPr="009072DA" w:rsidRDefault="004F47BB" w:rsidP="004F47BB">
            <w:pPr>
              <w:spacing w:before="120" w:after="120"/>
              <w:rPr>
                <w:rFonts w:cs="Arial"/>
                <w:sz w:val="18"/>
                <w:szCs w:val="20"/>
                <w:lang w:val="bg-BG"/>
              </w:rPr>
            </w:pPr>
            <w:r w:rsidRPr="009072DA">
              <w:rPr>
                <w:sz w:val="18"/>
                <w:lang w:val="bg-BG"/>
              </w:rPr>
              <w:t>нидерландски</w:t>
            </w:r>
          </w:p>
        </w:tc>
      </w:tr>
      <w:tr w:rsidR="004F47BB" w:rsidRPr="009072DA" w:rsidTr="00D45887">
        <w:trPr>
          <w:jc w:val="center"/>
        </w:trPr>
        <w:tc>
          <w:tcPr>
            <w:tcW w:w="1859" w:type="dxa"/>
          </w:tcPr>
          <w:p w:rsidR="004F47BB" w:rsidRPr="009072DA" w:rsidRDefault="004F47BB" w:rsidP="004F47BB">
            <w:pPr>
              <w:spacing w:before="120" w:after="120"/>
              <w:rPr>
                <w:rFonts w:cs="Arial"/>
                <w:sz w:val="18"/>
                <w:szCs w:val="20"/>
                <w:lang w:val="bg-BG"/>
              </w:rPr>
            </w:pPr>
            <w:r w:rsidRPr="009072DA">
              <w:rPr>
                <w:sz w:val="18"/>
                <w:lang w:val="bg-BG"/>
              </w:rPr>
              <w:t>Sachverständiger</w:t>
            </w:r>
          </w:p>
        </w:tc>
        <w:tc>
          <w:tcPr>
            <w:tcW w:w="1800" w:type="dxa"/>
          </w:tcPr>
          <w:p w:rsidR="004F47BB" w:rsidRPr="009072DA" w:rsidRDefault="004F47BB" w:rsidP="004F47BB">
            <w:pPr>
              <w:spacing w:before="120" w:after="120"/>
              <w:rPr>
                <w:rFonts w:cs="Arial"/>
                <w:sz w:val="18"/>
                <w:szCs w:val="20"/>
                <w:lang w:val="bg-BG"/>
              </w:rPr>
            </w:pPr>
            <w:r w:rsidRPr="009072DA">
              <w:rPr>
                <w:sz w:val="18"/>
                <w:lang w:val="bg-BG"/>
              </w:rPr>
              <w:t>expert</w:t>
            </w:r>
          </w:p>
        </w:tc>
        <w:tc>
          <w:tcPr>
            <w:tcW w:w="1921" w:type="dxa"/>
          </w:tcPr>
          <w:p w:rsidR="004F47BB" w:rsidRPr="009072DA" w:rsidRDefault="004F47BB" w:rsidP="004F47BB">
            <w:pPr>
              <w:spacing w:before="120" w:after="120"/>
              <w:rPr>
                <w:rFonts w:cs="Arial"/>
                <w:sz w:val="18"/>
                <w:szCs w:val="20"/>
                <w:lang w:val="bg-BG"/>
              </w:rPr>
            </w:pPr>
            <w:r w:rsidRPr="009072DA">
              <w:rPr>
                <w:sz w:val="18"/>
                <w:lang w:val="bg-BG"/>
              </w:rPr>
              <w:t>expert</w:t>
            </w:r>
          </w:p>
        </w:tc>
        <w:tc>
          <w:tcPr>
            <w:tcW w:w="1807" w:type="dxa"/>
          </w:tcPr>
          <w:p w:rsidR="004F47BB" w:rsidRPr="009072DA" w:rsidRDefault="004F47BB" w:rsidP="004F47BB">
            <w:pPr>
              <w:spacing w:before="120" w:after="120"/>
              <w:rPr>
                <w:rFonts w:cs="Arial"/>
                <w:sz w:val="18"/>
                <w:szCs w:val="20"/>
                <w:lang w:val="bg-BG"/>
              </w:rPr>
            </w:pPr>
            <w:r w:rsidRPr="009072DA">
              <w:rPr>
                <w:sz w:val="18"/>
                <w:lang w:val="bg-BG"/>
              </w:rPr>
              <w:t>erkend deskundige</w:t>
            </w:r>
          </w:p>
        </w:tc>
      </w:tr>
      <w:tr w:rsidR="004F47BB" w:rsidRPr="009072DA" w:rsidTr="00D45887">
        <w:trPr>
          <w:jc w:val="center"/>
        </w:trPr>
        <w:tc>
          <w:tcPr>
            <w:tcW w:w="1859" w:type="dxa"/>
          </w:tcPr>
          <w:p w:rsidR="004F47BB" w:rsidRPr="009072DA" w:rsidRDefault="004F47BB" w:rsidP="004F47BB">
            <w:pPr>
              <w:spacing w:before="120" w:after="120"/>
              <w:rPr>
                <w:rFonts w:cs="Arial"/>
                <w:sz w:val="18"/>
                <w:szCs w:val="20"/>
                <w:lang w:val="bg-BG"/>
              </w:rPr>
            </w:pPr>
            <w:r w:rsidRPr="009072DA">
              <w:rPr>
                <w:sz w:val="18"/>
                <w:lang w:val="bg-BG"/>
              </w:rPr>
              <w:t>Sachkundiger</w:t>
            </w:r>
          </w:p>
        </w:tc>
        <w:tc>
          <w:tcPr>
            <w:tcW w:w="1800" w:type="dxa"/>
          </w:tcPr>
          <w:p w:rsidR="004F47BB" w:rsidRPr="009072DA" w:rsidRDefault="004F47BB" w:rsidP="004F47BB">
            <w:pPr>
              <w:spacing w:before="120" w:after="120"/>
              <w:rPr>
                <w:rFonts w:cs="Arial"/>
                <w:sz w:val="18"/>
                <w:szCs w:val="20"/>
                <w:lang w:val="bg-BG"/>
              </w:rPr>
            </w:pPr>
            <w:r w:rsidRPr="009072DA">
              <w:rPr>
                <w:sz w:val="18"/>
                <w:lang w:val="bg-BG"/>
              </w:rPr>
              <w:t>competent person</w:t>
            </w:r>
          </w:p>
        </w:tc>
        <w:tc>
          <w:tcPr>
            <w:tcW w:w="1921" w:type="dxa"/>
          </w:tcPr>
          <w:p w:rsidR="004F47BB" w:rsidRPr="009072DA" w:rsidRDefault="004F47BB" w:rsidP="004F47BB">
            <w:pPr>
              <w:spacing w:before="120" w:after="120"/>
              <w:rPr>
                <w:rFonts w:cs="Arial"/>
                <w:sz w:val="18"/>
                <w:szCs w:val="20"/>
                <w:lang w:val="bg-BG"/>
              </w:rPr>
            </w:pPr>
            <w:r w:rsidRPr="009072DA">
              <w:rPr>
                <w:sz w:val="18"/>
                <w:lang w:val="bg-BG"/>
              </w:rPr>
              <w:t>spécialiste</w:t>
            </w:r>
          </w:p>
        </w:tc>
        <w:tc>
          <w:tcPr>
            <w:tcW w:w="1807" w:type="dxa"/>
          </w:tcPr>
          <w:p w:rsidR="004F47BB" w:rsidRPr="009072DA" w:rsidRDefault="004F47BB" w:rsidP="004F47BB">
            <w:pPr>
              <w:spacing w:before="120" w:after="120"/>
              <w:rPr>
                <w:rFonts w:cs="Arial"/>
                <w:sz w:val="18"/>
                <w:szCs w:val="20"/>
                <w:lang w:val="bg-BG"/>
              </w:rPr>
            </w:pPr>
            <w:r w:rsidRPr="009072DA">
              <w:rPr>
                <w:sz w:val="18"/>
                <w:lang w:val="bg-BG"/>
              </w:rPr>
              <w:t>deskundige</w:t>
            </w:r>
          </w:p>
        </w:tc>
      </w:tr>
      <w:tr w:rsidR="004F47BB" w:rsidRPr="009072DA" w:rsidTr="00D45887">
        <w:trPr>
          <w:jc w:val="center"/>
        </w:trPr>
        <w:tc>
          <w:tcPr>
            <w:tcW w:w="1859" w:type="dxa"/>
          </w:tcPr>
          <w:p w:rsidR="004F47BB" w:rsidRPr="009072DA" w:rsidRDefault="004F47BB" w:rsidP="004F47BB">
            <w:pPr>
              <w:spacing w:before="120" w:after="120"/>
              <w:rPr>
                <w:rFonts w:cs="Arial"/>
                <w:sz w:val="18"/>
                <w:szCs w:val="20"/>
                <w:lang w:val="bg-BG"/>
              </w:rPr>
            </w:pPr>
            <w:r w:rsidRPr="009072DA">
              <w:rPr>
                <w:sz w:val="18"/>
                <w:lang w:val="bg-BG"/>
              </w:rPr>
              <w:t>Fachfirma</w:t>
            </w:r>
          </w:p>
        </w:tc>
        <w:tc>
          <w:tcPr>
            <w:tcW w:w="1800" w:type="dxa"/>
          </w:tcPr>
          <w:p w:rsidR="004F47BB" w:rsidRPr="009072DA" w:rsidRDefault="004F47BB" w:rsidP="004F47BB">
            <w:pPr>
              <w:spacing w:before="120" w:after="120"/>
              <w:rPr>
                <w:rFonts w:cs="Arial"/>
                <w:sz w:val="18"/>
                <w:szCs w:val="20"/>
                <w:lang w:val="bg-BG"/>
              </w:rPr>
            </w:pPr>
            <w:r w:rsidRPr="009072DA">
              <w:rPr>
                <w:sz w:val="18"/>
                <w:lang w:val="bg-BG"/>
              </w:rPr>
              <w:t>competent firm</w:t>
            </w:r>
          </w:p>
        </w:tc>
        <w:tc>
          <w:tcPr>
            <w:tcW w:w="1921" w:type="dxa"/>
          </w:tcPr>
          <w:p w:rsidR="004F47BB" w:rsidRPr="009072DA" w:rsidRDefault="004F47BB" w:rsidP="004F47BB">
            <w:pPr>
              <w:spacing w:before="120" w:after="120"/>
              <w:rPr>
                <w:rFonts w:cs="Arial"/>
                <w:sz w:val="18"/>
                <w:szCs w:val="20"/>
                <w:lang w:val="bg-BG"/>
              </w:rPr>
            </w:pPr>
            <w:r w:rsidRPr="009072DA">
              <w:rPr>
                <w:sz w:val="18"/>
                <w:lang w:val="bg-BG"/>
              </w:rPr>
              <w:t>société spécialisée</w:t>
            </w:r>
          </w:p>
        </w:tc>
        <w:tc>
          <w:tcPr>
            <w:tcW w:w="1807" w:type="dxa"/>
          </w:tcPr>
          <w:p w:rsidR="004F47BB" w:rsidRPr="009072DA" w:rsidRDefault="004F47BB" w:rsidP="004F47BB">
            <w:pPr>
              <w:spacing w:before="120" w:after="120"/>
              <w:rPr>
                <w:rFonts w:cs="Arial"/>
                <w:sz w:val="18"/>
                <w:szCs w:val="20"/>
                <w:lang w:val="bg-BG"/>
              </w:rPr>
            </w:pPr>
            <w:r w:rsidRPr="009072DA">
              <w:rPr>
                <w:sz w:val="18"/>
                <w:lang w:val="bg-BG"/>
              </w:rPr>
              <w:t>deskundig bedrijf</w:t>
            </w:r>
          </w:p>
        </w:tc>
      </w:tr>
    </w:tbl>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b/>
          <w:lang w:val="bg-BG"/>
        </w:rPr>
      </w:pPr>
      <w:r w:rsidRPr="009072DA">
        <w:rPr>
          <w:lang w:val="bg-BG"/>
        </w:rPr>
        <w:br w:type="page"/>
      </w:r>
      <w:r w:rsidRPr="009072DA">
        <w:rPr>
          <w:b/>
          <w:lang w:val="bg-BG"/>
        </w:rPr>
        <w:lastRenderedPageBreak/>
        <w:t>Приемни изпитвания</w:t>
      </w:r>
    </w:p>
    <w:p w:rsidR="004F47BB" w:rsidRPr="009072DA" w:rsidRDefault="004F47BB" w:rsidP="004F47BB">
      <w:pPr>
        <w:rPr>
          <w:sz w:val="12"/>
          <w:lang w:val="bg-BG"/>
        </w:rPr>
      </w:pPr>
    </w:p>
    <w:p w:rsidR="004F47BB" w:rsidRPr="009072DA" w:rsidRDefault="004F47BB" w:rsidP="004F47BB">
      <w:pPr>
        <w:spacing w:line="240" w:lineRule="atLeast"/>
        <w:rPr>
          <w:lang w:val="bg-BG"/>
        </w:rPr>
      </w:pPr>
      <w:r w:rsidRPr="009072DA">
        <w:rPr>
          <w:lang w:val="bg-BG"/>
        </w:rPr>
        <w:t>В таблицата по-долу е обобщен графикът на приемните изпитвания, включително тяхната честота и вида инспектор, необходим за извършването им. Таблицата служи само за информация.</w:t>
      </w:r>
    </w:p>
    <w:p w:rsidR="004F47BB" w:rsidRPr="009072DA" w:rsidRDefault="004F47BB" w:rsidP="004F47BB">
      <w:pPr>
        <w:rPr>
          <w:sz w:val="12"/>
          <w:lang w:val="bg-BG"/>
        </w:rPr>
      </w:pPr>
    </w:p>
    <w:tbl>
      <w:tblPr>
        <w:tblW w:w="9118" w:type="dxa"/>
        <w:tblInd w:w="-10" w:type="dxa"/>
        <w:tblLayout w:type="fixed"/>
        <w:tblLook w:val="0000" w:firstRow="0" w:lastRow="0" w:firstColumn="0" w:lastColumn="0" w:noHBand="0" w:noVBand="0"/>
      </w:tblPr>
      <w:tblGrid>
        <w:gridCol w:w="1738"/>
        <w:gridCol w:w="3060"/>
        <w:gridCol w:w="2700"/>
        <w:gridCol w:w="1620"/>
      </w:tblGrid>
      <w:tr w:rsidR="004F47BB" w:rsidRPr="009072DA" w:rsidTr="00D45887">
        <w:tc>
          <w:tcPr>
            <w:tcW w:w="1738" w:type="dxa"/>
            <w:tcBorders>
              <w:top w:val="single" w:sz="4" w:space="0" w:color="000000"/>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b/>
                <w:bCs/>
                <w:sz w:val="18"/>
                <w:szCs w:val="18"/>
                <w:lang w:val="bg-BG"/>
              </w:rPr>
            </w:pPr>
            <w:r w:rsidRPr="009072DA">
              <w:rPr>
                <w:b/>
                <w:sz w:val="18"/>
                <w:lang w:val="bg-BG"/>
              </w:rPr>
              <w:t>Изискване</w:t>
            </w:r>
          </w:p>
        </w:tc>
        <w:tc>
          <w:tcPr>
            <w:tcW w:w="3060" w:type="dxa"/>
            <w:tcBorders>
              <w:top w:val="single" w:sz="4" w:space="0" w:color="000000"/>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b/>
                <w:bCs/>
                <w:sz w:val="18"/>
                <w:szCs w:val="18"/>
                <w:lang w:val="bg-BG"/>
              </w:rPr>
            </w:pPr>
            <w:r w:rsidRPr="009072DA">
              <w:rPr>
                <w:b/>
                <w:sz w:val="18"/>
                <w:lang w:val="bg-BG"/>
              </w:rPr>
              <w:t>Предмет</w:t>
            </w:r>
          </w:p>
        </w:tc>
        <w:tc>
          <w:tcPr>
            <w:tcW w:w="2700" w:type="dxa"/>
            <w:tcBorders>
              <w:top w:val="single" w:sz="4" w:space="0" w:color="000000"/>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b/>
                <w:bCs/>
                <w:sz w:val="18"/>
                <w:szCs w:val="18"/>
                <w:lang w:val="bg-BG"/>
              </w:rPr>
            </w:pPr>
            <w:r w:rsidRPr="009072DA">
              <w:rPr>
                <w:b/>
                <w:sz w:val="18"/>
                <w:lang w:val="bg-BG"/>
              </w:rPr>
              <w:t>Максимален интервал на изпитване</w:t>
            </w: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b/>
                <w:bCs/>
                <w:sz w:val="18"/>
                <w:szCs w:val="18"/>
                <w:lang w:val="bg-BG"/>
              </w:rPr>
            </w:pPr>
            <w:r w:rsidRPr="009072DA">
              <w:rPr>
                <w:b/>
                <w:sz w:val="18"/>
                <w:lang w:val="bg-BG"/>
              </w:rPr>
              <w:t>Инспектор</w:t>
            </w:r>
          </w:p>
        </w:tc>
      </w:tr>
      <w:tr w:rsidR="004F47BB" w:rsidRPr="009072DA" w:rsidTr="00D45887">
        <w:tc>
          <w:tcPr>
            <w:tcW w:w="1738"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Член 6.03, точка 5</w:t>
            </w:r>
          </w:p>
        </w:tc>
        <w:tc>
          <w:tcPr>
            <w:tcW w:w="3060"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Хидравлични цилиндри, помпи и двигатели</w:t>
            </w:r>
          </w:p>
        </w:tc>
        <w:tc>
          <w:tcPr>
            <w:tcW w:w="2700" w:type="dxa"/>
            <w:tcBorders>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8 години</w:t>
            </w: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Компетентна фирма</w:t>
            </w:r>
          </w:p>
        </w:tc>
      </w:tr>
      <w:tr w:rsidR="004F47BB" w:rsidRPr="009072DA" w:rsidTr="00D45887">
        <w:tc>
          <w:tcPr>
            <w:tcW w:w="1738"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Член 6.09, точка 3</w:t>
            </w:r>
          </w:p>
        </w:tc>
        <w:tc>
          <w:tcPr>
            <w:tcW w:w="3060"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Оборудване за управление с мотор</w:t>
            </w:r>
          </w:p>
        </w:tc>
        <w:tc>
          <w:tcPr>
            <w:tcW w:w="2700" w:type="dxa"/>
            <w:tcBorders>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3 години</w:t>
            </w: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Компетентно лице</w:t>
            </w:r>
          </w:p>
        </w:tc>
      </w:tr>
      <w:tr w:rsidR="004F47BB" w:rsidRPr="009072DA" w:rsidTr="00D45887">
        <w:tc>
          <w:tcPr>
            <w:tcW w:w="1738" w:type="dxa"/>
            <w:tcBorders>
              <w:left w:val="single" w:sz="4" w:space="0" w:color="000000"/>
              <w:bottom w:val="single" w:sz="4" w:space="0" w:color="000000"/>
            </w:tcBorders>
            <w:vAlign w:val="center"/>
          </w:tcPr>
          <w:p w:rsidR="004F47BB" w:rsidRPr="009072DA" w:rsidRDefault="004F47BB" w:rsidP="004F47BB">
            <w:pPr>
              <w:spacing w:before="60" w:after="60" w:line="240" w:lineRule="atLeast"/>
              <w:jc w:val="center"/>
              <w:rPr>
                <w:rFonts w:cs="Arial"/>
                <w:sz w:val="18"/>
                <w:szCs w:val="18"/>
                <w:lang w:val="bg-BG"/>
              </w:rPr>
            </w:pPr>
            <w:r w:rsidRPr="009072DA">
              <w:rPr>
                <w:sz w:val="18"/>
                <w:lang w:val="bg-BG"/>
              </w:rPr>
              <w:t>Член 7.12, точка 11</w:t>
            </w:r>
          </w:p>
        </w:tc>
        <w:tc>
          <w:tcPr>
            <w:tcW w:w="3060" w:type="dxa"/>
            <w:tcBorders>
              <w:left w:val="single" w:sz="4" w:space="0" w:color="000000"/>
              <w:bottom w:val="single" w:sz="4" w:space="0" w:color="000000"/>
            </w:tcBorders>
            <w:vAlign w:val="center"/>
          </w:tcPr>
          <w:p w:rsidR="004F47BB" w:rsidRPr="009072DA" w:rsidRDefault="004F47BB" w:rsidP="004F47BB">
            <w:pPr>
              <w:spacing w:before="60" w:after="60" w:line="240" w:lineRule="atLeast"/>
              <w:rPr>
                <w:rFonts w:cs="Arial"/>
                <w:sz w:val="18"/>
                <w:szCs w:val="18"/>
                <w:lang w:val="bg-BG"/>
              </w:rPr>
            </w:pPr>
            <w:r w:rsidRPr="009072DA">
              <w:rPr>
                <w:sz w:val="18"/>
                <w:lang w:val="bg-BG"/>
              </w:rPr>
              <w:t>Издигащи се рулеви рубки и техните уреди</w:t>
            </w:r>
          </w:p>
        </w:tc>
        <w:tc>
          <w:tcPr>
            <w:tcW w:w="2700" w:type="dxa"/>
            <w:tcBorders>
              <w:left w:val="single" w:sz="4" w:space="0" w:color="000000"/>
              <w:bottom w:val="single" w:sz="4" w:space="0" w:color="000000"/>
            </w:tcBorders>
            <w:vAlign w:val="center"/>
          </w:tcPr>
          <w:p w:rsidR="004F47BB" w:rsidRPr="009072DA" w:rsidRDefault="004F47BB" w:rsidP="004F47BB">
            <w:pPr>
              <w:spacing w:before="60" w:after="60" w:line="240" w:lineRule="atLeast"/>
              <w:jc w:val="center"/>
              <w:rPr>
                <w:rFonts w:cs="Arial"/>
                <w:sz w:val="18"/>
                <w:szCs w:val="18"/>
                <w:lang w:val="bg-BG"/>
              </w:rPr>
            </w:pPr>
            <w:r w:rsidRPr="009072DA">
              <w:rPr>
                <w:sz w:val="18"/>
                <w:lang w:val="bg-BG"/>
              </w:rPr>
              <w:t>1 година</w:t>
            </w: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pacing w:before="60" w:after="60" w:line="240" w:lineRule="atLeast"/>
              <w:ind w:left="25" w:hanging="25"/>
              <w:jc w:val="center"/>
              <w:rPr>
                <w:rFonts w:cs="Arial"/>
                <w:sz w:val="18"/>
                <w:szCs w:val="18"/>
                <w:lang w:val="bg-BG"/>
              </w:rPr>
            </w:pPr>
            <w:r w:rsidRPr="009072DA">
              <w:rPr>
                <w:sz w:val="18"/>
                <w:lang w:val="bg-BG"/>
              </w:rPr>
              <w:t>Компетентно лице</w:t>
            </w:r>
          </w:p>
        </w:tc>
      </w:tr>
      <w:tr w:rsidR="004F47BB" w:rsidRPr="009072DA" w:rsidTr="00D45887">
        <w:tc>
          <w:tcPr>
            <w:tcW w:w="1738" w:type="dxa"/>
            <w:tcBorders>
              <w:left w:val="single" w:sz="4" w:space="0" w:color="000000"/>
              <w:bottom w:val="single" w:sz="4" w:space="0" w:color="000000"/>
            </w:tcBorders>
            <w:vAlign w:val="center"/>
          </w:tcPr>
          <w:p w:rsidR="004F47BB" w:rsidRPr="009072DA" w:rsidRDefault="004F47BB" w:rsidP="004F47BB">
            <w:pPr>
              <w:spacing w:before="60" w:after="60" w:line="240" w:lineRule="atLeast"/>
              <w:jc w:val="center"/>
              <w:rPr>
                <w:rFonts w:cs="Arial"/>
                <w:sz w:val="18"/>
                <w:szCs w:val="18"/>
                <w:lang w:val="bg-BG"/>
              </w:rPr>
            </w:pPr>
            <w:r w:rsidRPr="009072DA">
              <w:rPr>
                <w:sz w:val="18"/>
                <w:lang w:val="bg-BG"/>
              </w:rPr>
              <w:t>Член 7.12, точка 12</w:t>
            </w:r>
          </w:p>
        </w:tc>
        <w:tc>
          <w:tcPr>
            <w:tcW w:w="3060" w:type="dxa"/>
            <w:tcBorders>
              <w:left w:val="single" w:sz="4" w:space="0" w:color="000000"/>
              <w:bottom w:val="single" w:sz="4" w:space="0" w:color="000000"/>
            </w:tcBorders>
            <w:vAlign w:val="center"/>
          </w:tcPr>
          <w:p w:rsidR="004F47BB" w:rsidRPr="009072DA" w:rsidRDefault="004F47BB" w:rsidP="004F47BB">
            <w:pPr>
              <w:spacing w:before="60" w:after="60" w:line="240" w:lineRule="atLeast"/>
              <w:rPr>
                <w:rFonts w:cs="Arial"/>
                <w:sz w:val="18"/>
                <w:szCs w:val="18"/>
                <w:lang w:val="bg-BG"/>
              </w:rPr>
            </w:pPr>
            <w:r w:rsidRPr="009072DA">
              <w:rPr>
                <w:sz w:val="18"/>
                <w:lang w:val="bg-BG"/>
              </w:rPr>
              <w:t>Издигащи се рулеви рубки и техните уреди</w:t>
            </w:r>
          </w:p>
        </w:tc>
        <w:tc>
          <w:tcPr>
            <w:tcW w:w="2700" w:type="dxa"/>
            <w:tcBorders>
              <w:left w:val="single" w:sz="4" w:space="0" w:color="000000"/>
              <w:bottom w:val="single" w:sz="4" w:space="0" w:color="000000"/>
            </w:tcBorders>
            <w:vAlign w:val="center"/>
          </w:tcPr>
          <w:p w:rsidR="004F47BB" w:rsidRPr="009072DA" w:rsidRDefault="004F47BB" w:rsidP="004F47BB">
            <w:pPr>
              <w:spacing w:before="60" w:after="60" w:line="240" w:lineRule="atLeast"/>
              <w:jc w:val="center"/>
              <w:rPr>
                <w:rFonts w:cs="Arial"/>
                <w:sz w:val="18"/>
                <w:szCs w:val="18"/>
                <w:lang w:val="bg-BG"/>
              </w:rPr>
            </w:pPr>
            <w:r w:rsidRPr="009072DA">
              <w:rPr>
                <w:sz w:val="18"/>
                <w:lang w:val="bg-BG"/>
              </w:rPr>
              <w:t>5 години</w:t>
            </w: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pacing w:before="60" w:after="60" w:line="240" w:lineRule="atLeast"/>
              <w:jc w:val="center"/>
              <w:rPr>
                <w:rFonts w:cs="Arial"/>
                <w:sz w:val="18"/>
                <w:szCs w:val="18"/>
                <w:lang w:val="bg-BG"/>
              </w:rPr>
            </w:pPr>
            <w:r w:rsidRPr="009072DA">
              <w:rPr>
                <w:sz w:val="18"/>
                <w:lang w:val="bg-BG"/>
              </w:rPr>
              <w:t>Експерт</w:t>
            </w:r>
          </w:p>
        </w:tc>
      </w:tr>
      <w:tr w:rsidR="004F47BB" w:rsidRPr="009072DA" w:rsidTr="00D45887">
        <w:trPr>
          <w:trHeight w:val="515"/>
        </w:trPr>
        <w:tc>
          <w:tcPr>
            <w:tcW w:w="1738"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Член 8.01, точка 2</w:t>
            </w:r>
          </w:p>
        </w:tc>
        <w:tc>
          <w:tcPr>
            <w:tcW w:w="3060"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Съдове под налягане</w:t>
            </w:r>
          </w:p>
        </w:tc>
        <w:tc>
          <w:tcPr>
            <w:tcW w:w="2700" w:type="dxa"/>
            <w:tcBorders>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5 години</w:t>
            </w: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Експерт</w:t>
            </w:r>
          </w:p>
        </w:tc>
      </w:tr>
      <w:tr w:rsidR="004F47BB" w:rsidRPr="009072DA" w:rsidTr="00D45887">
        <w:tc>
          <w:tcPr>
            <w:tcW w:w="1738"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Член 13.03, точка 5</w:t>
            </w:r>
          </w:p>
        </w:tc>
        <w:tc>
          <w:tcPr>
            <w:tcW w:w="3060"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Преносими пожарогасители</w:t>
            </w:r>
          </w:p>
        </w:tc>
        <w:tc>
          <w:tcPr>
            <w:tcW w:w="2700" w:type="dxa"/>
            <w:tcBorders>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2 години</w:t>
            </w: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Компетентно лице</w:t>
            </w:r>
          </w:p>
        </w:tc>
      </w:tr>
      <w:tr w:rsidR="004F47BB" w:rsidRPr="009072DA" w:rsidTr="00D45887">
        <w:tc>
          <w:tcPr>
            <w:tcW w:w="1738"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Член 13.04, точка 6, букви a) — в)</w:t>
            </w:r>
          </w:p>
        </w:tc>
        <w:tc>
          <w:tcPr>
            <w:tcW w:w="3060"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Неподвижно монтирани противопожарни системи</w:t>
            </w:r>
          </w:p>
        </w:tc>
        <w:tc>
          <w:tcPr>
            <w:tcW w:w="2700" w:type="dxa"/>
            <w:tcBorders>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Експерт</w:t>
            </w:r>
          </w:p>
        </w:tc>
      </w:tr>
      <w:tr w:rsidR="004F47BB" w:rsidRPr="008D2440" w:rsidTr="00D45887">
        <w:tc>
          <w:tcPr>
            <w:tcW w:w="1738"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Член 13.04, точка 6, буква г)</w:t>
            </w:r>
          </w:p>
        </w:tc>
        <w:tc>
          <w:tcPr>
            <w:tcW w:w="3060"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Неподвижно монтирани противопожарни системи</w:t>
            </w:r>
          </w:p>
        </w:tc>
        <w:tc>
          <w:tcPr>
            <w:tcW w:w="2700" w:type="dxa"/>
            <w:tcBorders>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2 години</w:t>
            </w: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Компетентно лице или компетентна фирма</w:t>
            </w:r>
          </w:p>
        </w:tc>
      </w:tr>
      <w:tr w:rsidR="004F47BB" w:rsidRPr="009072DA" w:rsidTr="00D45887">
        <w:tc>
          <w:tcPr>
            <w:tcW w:w="1738"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Член 13.05, точка 9, буква б), подточки aa) — вв)</w:t>
            </w:r>
          </w:p>
        </w:tc>
        <w:tc>
          <w:tcPr>
            <w:tcW w:w="3060"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Неподвижно монтирани противопожарни системи</w:t>
            </w:r>
          </w:p>
        </w:tc>
        <w:tc>
          <w:tcPr>
            <w:tcW w:w="2700" w:type="dxa"/>
            <w:tcBorders>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Експерт</w:t>
            </w:r>
          </w:p>
        </w:tc>
      </w:tr>
      <w:tr w:rsidR="004F47BB" w:rsidRPr="008D2440" w:rsidTr="00D45887">
        <w:tc>
          <w:tcPr>
            <w:tcW w:w="1738"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Член 13.05, точка 9, буква б), подточка гг)</w:t>
            </w:r>
          </w:p>
        </w:tc>
        <w:tc>
          <w:tcPr>
            <w:tcW w:w="3060"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Неподвижно монтирани противопожарни системи</w:t>
            </w:r>
          </w:p>
        </w:tc>
        <w:tc>
          <w:tcPr>
            <w:tcW w:w="2700" w:type="dxa"/>
            <w:tcBorders>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2 години</w:t>
            </w: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Компетентно лице или компетентна фирма</w:t>
            </w:r>
          </w:p>
        </w:tc>
      </w:tr>
      <w:tr w:rsidR="004F47BB" w:rsidRPr="009072DA" w:rsidTr="00D45887">
        <w:tc>
          <w:tcPr>
            <w:tcW w:w="1738"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Член 13.07, точка 3</w:t>
            </w:r>
          </w:p>
        </w:tc>
        <w:tc>
          <w:tcPr>
            <w:tcW w:w="3060"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Надуваеми корабни лодки</w:t>
            </w:r>
          </w:p>
        </w:tc>
        <w:tc>
          <w:tcPr>
            <w:tcW w:w="2700" w:type="dxa"/>
            <w:tcBorders>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Според указанията на производителя</w:t>
            </w: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p>
        </w:tc>
      </w:tr>
      <w:tr w:rsidR="004F47BB" w:rsidRPr="009072DA" w:rsidTr="00D45887">
        <w:tc>
          <w:tcPr>
            <w:tcW w:w="1738"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Член 13.08, точка 3</w:t>
            </w:r>
          </w:p>
        </w:tc>
        <w:tc>
          <w:tcPr>
            <w:tcW w:w="3060"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Спасителни жилетки</w:t>
            </w:r>
          </w:p>
        </w:tc>
        <w:tc>
          <w:tcPr>
            <w:tcW w:w="2700" w:type="dxa"/>
            <w:tcBorders>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Според указанията на производителя</w:t>
            </w: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p>
        </w:tc>
      </w:tr>
      <w:tr w:rsidR="004F47BB" w:rsidRPr="009072DA" w:rsidTr="00D45887">
        <w:tc>
          <w:tcPr>
            <w:tcW w:w="1738"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Член 14.12, точка 6</w:t>
            </w:r>
          </w:p>
        </w:tc>
        <w:tc>
          <w:tcPr>
            <w:tcW w:w="3060"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Кранове</w:t>
            </w:r>
          </w:p>
        </w:tc>
        <w:tc>
          <w:tcPr>
            <w:tcW w:w="2700" w:type="dxa"/>
            <w:tcBorders>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10 години</w:t>
            </w: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Експерт</w:t>
            </w:r>
          </w:p>
        </w:tc>
      </w:tr>
      <w:tr w:rsidR="004F47BB" w:rsidRPr="009072DA" w:rsidTr="00D45887">
        <w:tc>
          <w:tcPr>
            <w:tcW w:w="1738"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Член 14.12, точка 7</w:t>
            </w:r>
          </w:p>
        </w:tc>
        <w:tc>
          <w:tcPr>
            <w:tcW w:w="3060"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Кранове</w:t>
            </w:r>
          </w:p>
        </w:tc>
        <w:tc>
          <w:tcPr>
            <w:tcW w:w="2700" w:type="dxa"/>
            <w:tcBorders>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1 година</w:t>
            </w: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Компетентно лице</w:t>
            </w:r>
          </w:p>
        </w:tc>
      </w:tr>
      <w:tr w:rsidR="004F47BB" w:rsidRPr="009072DA" w:rsidTr="00D45887">
        <w:tc>
          <w:tcPr>
            <w:tcW w:w="1738"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Член 17.13</w:t>
            </w:r>
          </w:p>
        </w:tc>
        <w:tc>
          <w:tcPr>
            <w:tcW w:w="3060"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Уредби за втечнен газ</w:t>
            </w:r>
          </w:p>
        </w:tc>
        <w:tc>
          <w:tcPr>
            <w:tcW w:w="2700" w:type="dxa"/>
            <w:tcBorders>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3 години</w:t>
            </w: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Експерт</w:t>
            </w:r>
          </w:p>
        </w:tc>
      </w:tr>
      <w:tr w:rsidR="004F47BB" w:rsidRPr="009072DA" w:rsidTr="00D45887">
        <w:tc>
          <w:tcPr>
            <w:tcW w:w="1738"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lastRenderedPageBreak/>
              <w:t>Член 19.09, точка 9</w:t>
            </w:r>
          </w:p>
        </w:tc>
        <w:tc>
          <w:tcPr>
            <w:tcW w:w="3060"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Спасително оборудване</w:t>
            </w:r>
          </w:p>
        </w:tc>
        <w:tc>
          <w:tcPr>
            <w:tcW w:w="2700" w:type="dxa"/>
            <w:tcBorders>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Според указанията на производителя</w:t>
            </w: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p>
        </w:tc>
      </w:tr>
      <w:tr w:rsidR="004F47BB" w:rsidRPr="008D2440" w:rsidTr="00D45887">
        <w:tc>
          <w:tcPr>
            <w:tcW w:w="1738"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Член 19.10, точка 9</w:t>
            </w:r>
          </w:p>
        </w:tc>
        <w:tc>
          <w:tcPr>
            <w:tcW w:w="3060"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Съпротивление на изолацията, заземяване</w:t>
            </w:r>
          </w:p>
        </w:tc>
        <w:tc>
          <w:tcPr>
            <w:tcW w:w="2700" w:type="dxa"/>
            <w:tcBorders>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преди изтичане на валидността на удостоверението на плавателния съд за плаване по вътрешни водни пътища</w:t>
            </w: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p>
        </w:tc>
      </w:tr>
      <w:tr w:rsidR="004F47BB" w:rsidRPr="009072DA" w:rsidTr="00D45887">
        <w:tc>
          <w:tcPr>
            <w:tcW w:w="1738" w:type="dxa"/>
            <w:tcBorders>
              <w:left w:val="single" w:sz="4" w:space="0" w:color="000000"/>
              <w:bottom w:val="single" w:sz="4" w:space="0" w:color="000000"/>
            </w:tcBorders>
            <w:vAlign w:val="center"/>
          </w:tcPr>
          <w:p w:rsidR="004F47BB" w:rsidRPr="009072DA" w:rsidDel="008047E6" w:rsidRDefault="004F47BB" w:rsidP="004F47BB">
            <w:pPr>
              <w:snapToGrid w:val="0"/>
              <w:spacing w:line="240" w:lineRule="atLeast"/>
              <w:rPr>
                <w:rFonts w:cs="Arial"/>
                <w:sz w:val="18"/>
                <w:szCs w:val="18"/>
                <w:lang w:val="bg-BG"/>
              </w:rPr>
            </w:pPr>
            <w:r w:rsidRPr="009072DA">
              <w:rPr>
                <w:sz w:val="18"/>
                <w:lang w:val="bg-BG"/>
              </w:rPr>
              <w:t>Инструкция ESI</w:t>
            </w:r>
            <w:r w:rsidRPr="009072DA">
              <w:rPr>
                <w:lang w:val="bg-BG"/>
              </w:rPr>
              <w:softHyphen/>
            </w:r>
            <w:r w:rsidRPr="009072DA">
              <w:rPr>
                <w:sz w:val="18"/>
                <w:lang w:val="bg-BG"/>
              </w:rPr>
              <w:t>II</w:t>
            </w:r>
            <w:r w:rsidRPr="009072DA">
              <w:rPr>
                <w:lang w:val="bg-BG"/>
              </w:rPr>
              <w:softHyphen/>
            </w:r>
            <w:r w:rsidRPr="009072DA">
              <w:rPr>
                <w:sz w:val="18"/>
                <w:lang w:val="bg-BG"/>
              </w:rPr>
              <w:t>13, раздел 3.1, букви а) и б)</w:t>
            </w:r>
          </w:p>
        </w:tc>
        <w:tc>
          <w:tcPr>
            <w:tcW w:w="3060"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Пожароизвестителни системи</w:t>
            </w:r>
          </w:p>
        </w:tc>
        <w:tc>
          <w:tcPr>
            <w:tcW w:w="2700" w:type="dxa"/>
            <w:tcBorders>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Експерт</w:t>
            </w:r>
          </w:p>
        </w:tc>
      </w:tr>
      <w:tr w:rsidR="004F47BB" w:rsidRPr="009072DA" w:rsidTr="00D45887">
        <w:tc>
          <w:tcPr>
            <w:tcW w:w="1738"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Инструкция ESI</w:t>
            </w:r>
            <w:r w:rsidRPr="009072DA">
              <w:rPr>
                <w:lang w:val="bg-BG"/>
              </w:rPr>
              <w:softHyphen/>
            </w:r>
            <w:r w:rsidRPr="009072DA">
              <w:rPr>
                <w:sz w:val="18"/>
                <w:lang w:val="bg-BG"/>
              </w:rPr>
              <w:t>II</w:t>
            </w:r>
            <w:r w:rsidRPr="009072DA">
              <w:rPr>
                <w:lang w:val="bg-BG"/>
              </w:rPr>
              <w:softHyphen/>
            </w:r>
            <w:r w:rsidRPr="009072DA">
              <w:rPr>
                <w:sz w:val="18"/>
                <w:lang w:val="bg-BG"/>
              </w:rPr>
              <w:t>13, раздел 3.1, буква в)</w:t>
            </w:r>
          </w:p>
        </w:tc>
        <w:tc>
          <w:tcPr>
            <w:tcW w:w="3060" w:type="dxa"/>
            <w:tcBorders>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Пожароизвестителни системи</w:t>
            </w:r>
          </w:p>
        </w:tc>
        <w:tc>
          <w:tcPr>
            <w:tcW w:w="2700" w:type="dxa"/>
            <w:tcBorders>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2 години</w:t>
            </w:r>
          </w:p>
        </w:tc>
        <w:tc>
          <w:tcPr>
            <w:tcW w:w="1620" w:type="dxa"/>
            <w:tcBorders>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Експерт или компетентно лице</w:t>
            </w:r>
          </w:p>
        </w:tc>
      </w:tr>
      <w:tr w:rsidR="004F47BB" w:rsidRPr="009072DA" w:rsidTr="00D45887">
        <w:tc>
          <w:tcPr>
            <w:tcW w:w="1738" w:type="dxa"/>
            <w:tcBorders>
              <w:top w:val="single" w:sz="4" w:space="0" w:color="000000"/>
              <w:left w:val="single" w:sz="4" w:space="0" w:color="000000"/>
              <w:bottom w:val="single" w:sz="4" w:space="0" w:color="000000"/>
            </w:tcBorders>
            <w:vAlign w:val="center"/>
          </w:tcPr>
          <w:p w:rsidR="004F47BB" w:rsidRPr="009072DA" w:rsidDel="008047E6" w:rsidRDefault="004F47BB" w:rsidP="004F47BB">
            <w:pPr>
              <w:snapToGrid w:val="0"/>
              <w:spacing w:line="240" w:lineRule="atLeast"/>
              <w:rPr>
                <w:rFonts w:cs="Arial"/>
                <w:sz w:val="18"/>
                <w:szCs w:val="18"/>
                <w:lang w:val="bg-BG"/>
              </w:rPr>
            </w:pPr>
            <w:r w:rsidRPr="009072DA">
              <w:rPr>
                <w:sz w:val="18"/>
                <w:lang w:val="bg-BG"/>
              </w:rPr>
              <w:t>Инструкция ESI</w:t>
            </w:r>
            <w:r w:rsidRPr="009072DA">
              <w:rPr>
                <w:lang w:val="bg-BG"/>
              </w:rPr>
              <w:softHyphen/>
            </w:r>
            <w:r w:rsidRPr="009072DA">
              <w:rPr>
                <w:sz w:val="18"/>
                <w:lang w:val="bg-BG"/>
              </w:rPr>
              <w:t>III</w:t>
            </w:r>
            <w:r w:rsidRPr="009072DA">
              <w:rPr>
                <w:lang w:val="bg-BG"/>
              </w:rPr>
              <w:softHyphen/>
            </w:r>
            <w:r w:rsidRPr="009072DA">
              <w:rPr>
                <w:sz w:val="18"/>
                <w:lang w:val="bg-BG"/>
              </w:rPr>
              <w:t>4, раздел 8.1, букви a) и б)</w:t>
            </w:r>
          </w:p>
        </w:tc>
        <w:tc>
          <w:tcPr>
            <w:tcW w:w="3060" w:type="dxa"/>
            <w:tcBorders>
              <w:top w:val="single" w:sz="4" w:space="0" w:color="000000"/>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Системи от указатели за безопасност</w:t>
            </w:r>
          </w:p>
        </w:tc>
        <w:tc>
          <w:tcPr>
            <w:tcW w:w="2700" w:type="dxa"/>
            <w:tcBorders>
              <w:top w:val="single" w:sz="4" w:space="0" w:color="000000"/>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Експерт</w:t>
            </w:r>
          </w:p>
        </w:tc>
      </w:tr>
      <w:tr w:rsidR="004F47BB" w:rsidRPr="009072DA" w:rsidTr="00D45887">
        <w:tc>
          <w:tcPr>
            <w:tcW w:w="1738" w:type="dxa"/>
            <w:tcBorders>
              <w:top w:val="single" w:sz="4" w:space="0" w:color="000000"/>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Инструкция ESI</w:t>
            </w:r>
            <w:r w:rsidRPr="009072DA">
              <w:rPr>
                <w:lang w:val="bg-BG"/>
              </w:rPr>
              <w:softHyphen/>
            </w:r>
            <w:r w:rsidRPr="009072DA">
              <w:rPr>
                <w:sz w:val="18"/>
                <w:lang w:val="bg-BG"/>
              </w:rPr>
              <w:t>III</w:t>
            </w:r>
            <w:r w:rsidRPr="009072DA">
              <w:rPr>
                <w:lang w:val="bg-BG"/>
              </w:rPr>
              <w:softHyphen/>
            </w:r>
            <w:r w:rsidRPr="009072DA">
              <w:rPr>
                <w:sz w:val="18"/>
                <w:lang w:val="bg-BG"/>
              </w:rPr>
              <w:t xml:space="preserve">4, раздел 8.1, буква в) </w:t>
            </w:r>
          </w:p>
        </w:tc>
        <w:tc>
          <w:tcPr>
            <w:tcW w:w="3060" w:type="dxa"/>
            <w:tcBorders>
              <w:top w:val="single" w:sz="4" w:space="0" w:color="000000"/>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Системи от указатели за безопасност</w:t>
            </w:r>
          </w:p>
        </w:tc>
        <w:tc>
          <w:tcPr>
            <w:tcW w:w="2700" w:type="dxa"/>
            <w:tcBorders>
              <w:top w:val="single" w:sz="4" w:space="0" w:color="000000"/>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5 години</w:t>
            </w: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Експерт или компетентно лице</w:t>
            </w:r>
          </w:p>
        </w:tc>
      </w:tr>
      <w:tr w:rsidR="004F47BB" w:rsidRPr="009072DA" w:rsidTr="00D45887">
        <w:tc>
          <w:tcPr>
            <w:tcW w:w="1738" w:type="dxa"/>
            <w:tcBorders>
              <w:top w:val="single" w:sz="4" w:space="0" w:color="000000"/>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Инструкция ESI</w:t>
            </w:r>
            <w:r w:rsidRPr="009072DA">
              <w:rPr>
                <w:lang w:val="bg-BG"/>
              </w:rPr>
              <w:softHyphen/>
            </w:r>
            <w:r w:rsidRPr="009072DA">
              <w:rPr>
                <w:sz w:val="18"/>
                <w:lang w:val="bg-BG"/>
              </w:rPr>
              <w:t>III</w:t>
            </w:r>
            <w:r w:rsidRPr="009072DA">
              <w:rPr>
                <w:lang w:val="bg-BG"/>
              </w:rPr>
              <w:softHyphen/>
            </w:r>
            <w:r w:rsidRPr="009072DA">
              <w:rPr>
                <w:sz w:val="18"/>
                <w:lang w:val="bg-BG"/>
              </w:rPr>
              <w:t>5</w:t>
            </w:r>
          </w:p>
        </w:tc>
        <w:tc>
          <w:tcPr>
            <w:tcW w:w="3060" w:type="dxa"/>
            <w:tcBorders>
              <w:top w:val="single" w:sz="4" w:space="0" w:color="000000"/>
              <w:left w:val="single" w:sz="4" w:space="0" w:color="000000"/>
              <w:bottom w:val="single" w:sz="4" w:space="0" w:color="000000"/>
            </w:tcBorders>
            <w:vAlign w:val="center"/>
          </w:tcPr>
          <w:p w:rsidR="004F47BB" w:rsidRPr="009072DA" w:rsidRDefault="004F47BB" w:rsidP="004F47BB">
            <w:pPr>
              <w:snapToGrid w:val="0"/>
              <w:spacing w:line="240" w:lineRule="atLeast"/>
              <w:rPr>
                <w:rFonts w:cs="Arial"/>
                <w:sz w:val="18"/>
                <w:szCs w:val="18"/>
                <w:lang w:val="bg-BG"/>
              </w:rPr>
            </w:pPr>
            <w:r w:rsidRPr="009072DA">
              <w:rPr>
                <w:sz w:val="18"/>
                <w:lang w:val="bg-BG"/>
              </w:rPr>
              <w:t xml:space="preserve">Оборудване за сигнализиране на наличието на газ </w:t>
            </w:r>
          </w:p>
        </w:tc>
        <w:tc>
          <w:tcPr>
            <w:tcW w:w="2700" w:type="dxa"/>
            <w:tcBorders>
              <w:top w:val="single" w:sz="4" w:space="0" w:color="000000"/>
              <w:left w:val="single" w:sz="4" w:space="0" w:color="000000"/>
              <w:bottom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Според указанията на производителя</w:t>
            </w: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9072DA" w:rsidRDefault="004F47BB" w:rsidP="004F47BB">
            <w:pPr>
              <w:snapToGrid w:val="0"/>
              <w:spacing w:line="240" w:lineRule="atLeast"/>
              <w:jc w:val="center"/>
              <w:rPr>
                <w:rFonts w:cs="Arial"/>
                <w:sz w:val="18"/>
                <w:szCs w:val="18"/>
                <w:lang w:val="bg-BG"/>
              </w:rPr>
            </w:pPr>
            <w:r w:rsidRPr="009072DA">
              <w:rPr>
                <w:sz w:val="18"/>
                <w:lang w:val="bg-BG"/>
              </w:rPr>
              <w:t>Експерт или компетентно лице</w:t>
            </w:r>
          </w:p>
        </w:tc>
      </w:tr>
    </w:tbl>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sectPr w:rsidR="004F47BB" w:rsidRPr="009072DA" w:rsidSect="00D45887">
          <w:footerReference w:type="first" r:id="rId115"/>
          <w:pgSz w:w="11907" w:h="16840" w:code="9"/>
          <w:pgMar w:top="1418" w:right="1418" w:bottom="1418" w:left="1418" w:header="680" w:footer="680" w:gutter="0"/>
          <w:cols w:space="720"/>
          <w:noEndnote/>
          <w:titlePg/>
        </w:sectPr>
      </w:pPr>
    </w:p>
    <w:p w:rsidR="004F47BB" w:rsidRPr="009072DA" w:rsidRDefault="004F47BB" w:rsidP="00A84512">
      <w:pPr>
        <w:pStyle w:val="ES-Titre1"/>
      </w:pPr>
      <w:bookmarkStart w:id="732" w:name="_Toc491854349"/>
      <w:bookmarkStart w:id="733" w:name="_Toc535827790"/>
      <w:r w:rsidRPr="009072DA">
        <w:lastRenderedPageBreak/>
        <w:t>ЧАСТ II</w:t>
      </w:r>
      <w:r w:rsidRPr="009072DA">
        <w:br/>
        <w:t>РАЗПОРЕДБИ ОТНОСНО КОРАБНАТА КОНСТРУКЦИЯ, СЪОРЪЖЕНИЯТА И ОБОРУДВАНЕТО</w:t>
      </w:r>
      <w:bookmarkEnd w:id="732"/>
      <w:bookmarkEnd w:id="733"/>
    </w:p>
    <w:p w:rsidR="004F47BB" w:rsidRPr="009072DA" w:rsidRDefault="004F47BB" w:rsidP="004F47BB">
      <w:pPr>
        <w:spacing w:line="240" w:lineRule="atLeast"/>
        <w:ind w:left="567" w:hanging="567"/>
        <w:rPr>
          <w:lang w:val="bg-BG"/>
        </w:rPr>
      </w:pPr>
    </w:p>
    <w:p w:rsidR="004F47BB" w:rsidRPr="009072DA" w:rsidRDefault="004F47BB" w:rsidP="00A84512">
      <w:pPr>
        <w:pStyle w:val="ES-Titre2ESI"/>
      </w:pPr>
      <w:bookmarkStart w:id="734" w:name="_Toc491854350"/>
      <w:bookmarkStart w:id="735" w:name="_Toc535827791"/>
      <w:r w:rsidRPr="009072DA">
        <w:t>ESI-II-1</w:t>
      </w:r>
      <w:r w:rsidRPr="009072DA">
        <w:br/>
        <w:t>Минимална дебелина на корпуса на баржите</w:t>
      </w:r>
      <w:bookmarkEnd w:id="734"/>
      <w:bookmarkEnd w:id="735"/>
    </w:p>
    <w:p w:rsidR="004F47BB" w:rsidRPr="009072DA" w:rsidRDefault="004F47BB" w:rsidP="004F47BB">
      <w:pPr>
        <w:spacing w:line="240" w:lineRule="atLeast"/>
        <w:ind w:left="567" w:hanging="567"/>
        <w:rPr>
          <w:lang w:val="bg-BG"/>
        </w:rPr>
      </w:pPr>
    </w:p>
    <w:p w:rsidR="004F47BB" w:rsidRPr="009072DA" w:rsidRDefault="004F47BB" w:rsidP="004F47BB">
      <w:pPr>
        <w:tabs>
          <w:tab w:val="left" w:pos="284"/>
          <w:tab w:val="left" w:pos="567"/>
        </w:tabs>
        <w:overflowPunct w:val="0"/>
        <w:adjustRightInd w:val="0"/>
        <w:ind w:left="284" w:hanging="284"/>
        <w:jc w:val="center"/>
        <w:textAlignment w:val="baseline"/>
        <w:rPr>
          <w:b/>
          <w:szCs w:val="20"/>
          <w:lang w:val="bg-BG"/>
        </w:rPr>
      </w:pPr>
      <w:r w:rsidRPr="009072DA">
        <w:rPr>
          <w:b/>
          <w:lang w:val="bg-BG"/>
        </w:rPr>
        <w:t>(Член 3.02, точка 1)</w:t>
      </w:r>
    </w:p>
    <w:p w:rsidR="004F47BB" w:rsidRPr="009072DA" w:rsidRDefault="004F47BB" w:rsidP="004F47BB">
      <w:pPr>
        <w:tabs>
          <w:tab w:val="left" w:pos="284"/>
          <w:tab w:val="left" w:pos="567"/>
        </w:tabs>
        <w:overflowPunct w:val="0"/>
        <w:adjustRightInd w:val="0"/>
        <w:ind w:left="284" w:hanging="284"/>
        <w:textAlignment w:val="baseline"/>
        <w:rPr>
          <w:szCs w:val="20"/>
          <w:lang w:val="bg-BG"/>
        </w:rPr>
      </w:pPr>
    </w:p>
    <w:p w:rsidR="004F47BB" w:rsidRPr="009072DA" w:rsidRDefault="004F47BB" w:rsidP="004F47BB">
      <w:pPr>
        <w:spacing w:line="240" w:lineRule="atLeast"/>
        <w:rPr>
          <w:lang w:val="bg-BG"/>
        </w:rPr>
      </w:pPr>
      <w:r w:rsidRPr="009072DA">
        <w:rPr>
          <w:lang w:val="bg-BG"/>
        </w:rPr>
        <w:t>По време на периодичната проверка на баржи, които са пригодни изключително за влачене, контролният орган може да разреши малки отклонения от член  3.02, точка 1, буква б) по отношение на минималната дебелина на обшивката на корпуса. Отклонението не трябва да е повече от 10 %, а минималната дебелина на обшивката на корпуса не трябва да е по-малка от 3 mm.</w:t>
      </w:r>
    </w:p>
    <w:p w:rsidR="004F47BB" w:rsidRPr="009072DA" w:rsidRDefault="004F47BB" w:rsidP="004F47BB">
      <w:pPr>
        <w:spacing w:line="240" w:lineRule="atLeast"/>
        <w:rPr>
          <w:lang w:val="bg-BG"/>
        </w:rPr>
      </w:pPr>
    </w:p>
    <w:p w:rsidR="004F47BB" w:rsidRPr="009072DA" w:rsidRDefault="004F47BB" w:rsidP="004F47BB">
      <w:pPr>
        <w:spacing w:line="240" w:lineRule="atLeast"/>
        <w:rPr>
          <w:lang w:val="bg-BG"/>
        </w:rPr>
      </w:pPr>
      <w:r w:rsidRPr="009072DA">
        <w:rPr>
          <w:lang w:val="bg-BG"/>
        </w:rPr>
        <w:t>Отклоненията се вписват в удостоверението на плавателния съд за плаване по вътрешни водни пътища.</w:t>
      </w:r>
    </w:p>
    <w:p w:rsidR="004F47BB" w:rsidRPr="009072DA" w:rsidRDefault="004F47BB" w:rsidP="004F47BB">
      <w:pPr>
        <w:spacing w:line="240" w:lineRule="atLeast"/>
        <w:rPr>
          <w:lang w:val="bg-BG"/>
        </w:rPr>
      </w:pPr>
    </w:p>
    <w:p w:rsidR="004F47BB" w:rsidRPr="009072DA" w:rsidRDefault="004F47BB" w:rsidP="004F47BB">
      <w:pPr>
        <w:spacing w:line="240" w:lineRule="atLeast"/>
        <w:rPr>
          <w:lang w:val="bg-BG"/>
        </w:rPr>
      </w:pPr>
      <w:r w:rsidRPr="009072DA">
        <w:rPr>
          <w:lang w:val="bg-BG"/>
        </w:rPr>
        <w:t>Съгласно точка 14 от удостоверението на плавателния съд за плаване по вътрешни водни пътища, се прилага само свойство по точка 6.2 „Влачен като плавателно средство без собствено задвижване“</w:t>
      </w:r>
    </w:p>
    <w:p w:rsidR="004F47BB" w:rsidRPr="009072DA" w:rsidRDefault="004F47BB" w:rsidP="004F47BB">
      <w:pPr>
        <w:spacing w:line="240" w:lineRule="atLeast"/>
        <w:rPr>
          <w:lang w:val="bg-BG"/>
        </w:rPr>
      </w:pPr>
    </w:p>
    <w:p w:rsidR="004F47BB" w:rsidRPr="009072DA" w:rsidRDefault="004F47BB" w:rsidP="004F47BB">
      <w:pPr>
        <w:spacing w:line="240" w:lineRule="atLeast"/>
        <w:rPr>
          <w:lang w:val="bg-BG"/>
        </w:rPr>
      </w:pPr>
      <w:r w:rsidRPr="009072DA">
        <w:rPr>
          <w:lang w:val="bg-BG"/>
        </w:rPr>
        <w:t>Свойствата по точки 1—5.3 и 6.1 се заличават.</w:t>
      </w:r>
    </w:p>
    <w:p w:rsidR="004F47BB" w:rsidRPr="009072DA" w:rsidRDefault="004F47BB" w:rsidP="004F47BB">
      <w:pPr>
        <w:spacing w:line="240" w:lineRule="atLeast"/>
        <w:rPr>
          <w:lang w:val="bg-BG"/>
        </w:rPr>
      </w:pPr>
    </w:p>
    <w:p w:rsidR="004F47BB" w:rsidRPr="009072DA" w:rsidRDefault="004F47BB" w:rsidP="004F47BB">
      <w:pPr>
        <w:spacing w:line="240" w:lineRule="atLeast"/>
        <w:rPr>
          <w:lang w:val="bg-BG"/>
        </w:rPr>
      </w:pPr>
    </w:p>
    <w:p w:rsidR="004F47BB" w:rsidRPr="009072DA" w:rsidRDefault="004F47BB" w:rsidP="004F47BB">
      <w:pPr>
        <w:spacing w:line="240" w:lineRule="atLeast"/>
        <w:ind w:left="567" w:hanging="567"/>
        <w:rPr>
          <w:lang w:val="bg-BG"/>
        </w:rPr>
      </w:pPr>
      <w:r w:rsidRPr="009072DA">
        <w:rPr>
          <w:lang w:val="bg-BG"/>
        </w:rPr>
        <w:br w:type="page"/>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p>
    <w:p w:rsidR="005B46C9" w:rsidRPr="009072DA" w:rsidRDefault="005B46C9" w:rsidP="004F47BB">
      <w:pPr>
        <w:spacing w:line="240" w:lineRule="atLeast"/>
        <w:ind w:left="567" w:hanging="567"/>
        <w:rPr>
          <w:lang w:val="bg-BG"/>
        </w:rPr>
      </w:pPr>
    </w:p>
    <w:p w:rsidR="005B46C9" w:rsidRPr="009072DA" w:rsidRDefault="005B46C9" w:rsidP="004F47BB">
      <w:pPr>
        <w:spacing w:line="240" w:lineRule="atLeast"/>
        <w:ind w:left="567" w:hanging="567"/>
        <w:rPr>
          <w:lang w:val="bg-BG"/>
        </w:rPr>
        <w:sectPr w:rsidR="005B46C9" w:rsidRPr="009072DA" w:rsidSect="00D45887">
          <w:footerReference w:type="first" r:id="rId116"/>
          <w:pgSz w:w="11907" w:h="16840" w:code="9"/>
          <w:pgMar w:top="1418" w:right="1418" w:bottom="1418" w:left="1418" w:header="680" w:footer="680" w:gutter="0"/>
          <w:cols w:space="720"/>
          <w:noEndnote/>
          <w:titlePg/>
        </w:sectPr>
      </w:pPr>
    </w:p>
    <w:p w:rsidR="004F47BB" w:rsidRPr="009072DA" w:rsidRDefault="004F47BB" w:rsidP="005B46C9">
      <w:pPr>
        <w:pStyle w:val="ES-Titre2ESI"/>
      </w:pPr>
      <w:bookmarkStart w:id="736" w:name="_Toc491854351"/>
      <w:bookmarkStart w:id="737" w:name="_Toc535827792"/>
      <w:r w:rsidRPr="009072DA">
        <w:lastRenderedPageBreak/>
        <w:t>ESI-II-2</w:t>
      </w:r>
      <w:r w:rsidRPr="009072DA">
        <w:br/>
        <w:t>Монтиране на листове от допълнителна корабна обшивка на корпуса</w:t>
      </w:r>
      <w:bookmarkEnd w:id="736"/>
      <w:bookmarkEnd w:id="737"/>
    </w:p>
    <w:p w:rsidR="004F47BB" w:rsidRPr="009072DA" w:rsidRDefault="004F47BB" w:rsidP="004F47BB">
      <w:pPr>
        <w:spacing w:line="240" w:lineRule="atLeast"/>
        <w:ind w:left="567" w:hanging="567"/>
        <w:rPr>
          <w:lang w:val="bg-BG"/>
        </w:rPr>
      </w:pPr>
    </w:p>
    <w:p w:rsidR="004F47BB" w:rsidRPr="009072DA" w:rsidRDefault="004F47BB" w:rsidP="004F47BB">
      <w:pPr>
        <w:tabs>
          <w:tab w:val="left" w:pos="284"/>
          <w:tab w:val="left" w:pos="567"/>
        </w:tabs>
        <w:overflowPunct w:val="0"/>
        <w:adjustRightInd w:val="0"/>
        <w:spacing w:line="240" w:lineRule="atLeast"/>
        <w:jc w:val="center"/>
        <w:textAlignment w:val="baseline"/>
        <w:rPr>
          <w:rFonts w:eastAsia="Batang"/>
          <w:lang w:val="bg-BG"/>
        </w:rPr>
      </w:pPr>
      <w:r w:rsidRPr="009072DA">
        <w:rPr>
          <w:b/>
          <w:lang w:val="bg-BG"/>
        </w:rPr>
        <w:t>(член 3.02, точка 1 и член 19.02, точка 1, буква г))</w:t>
      </w:r>
    </w:p>
    <w:p w:rsidR="004F47BB" w:rsidRPr="009072DA" w:rsidRDefault="004F47BB" w:rsidP="004F47BB">
      <w:pPr>
        <w:spacing w:line="240" w:lineRule="atLeast"/>
        <w:rPr>
          <w:rFonts w:eastAsia="Batang"/>
          <w:lang w:val="bg-BG"/>
        </w:rPr>
      </w:pPr>
    </w:p>
    <w:p w:rsidR="004F47BB" w:rsidRPr="009072DA" w:rsidRDefault="004F47BB" w:rsidP="004F47BB">
      <w:pPr>
        <w:spacing w:line="240" w:lineRule="atLeast"/>
        <w:ind w:left="567" w:hanging="567"/>
        <w:rPr>
          <w:rFonts w:eastAsia="Batang"/>
          <w:b/>
          <w:bCs/>
          <w:lang w:val="bg-BG"/>
        </w:rPr>
      </w:pPr>
      <w:r w:rsidRPr="009072DA">
        <w:rPr>
          <w:b/>
          <w:lang w:val="bg-BG"/>
        </w:rPr>
        <w:t>1.</w:t>
      </w:r>
      <w:r w:rsidRPr="009072DA">
        <w:rPr>
          <w:lang w:val="bg-BG"/>
        </w:rPr>
        <w:tab/>
      </w:r>
      <w:r w:rsidRPr="009072DA">
        <w:rPr>
          <w:b/>
          <w:lang w:val="bg-BG"/>
        </w:rPr>
        <w:t>Цел на инструкцията</w:t>
      </w:r>
    </w:p>
    <w:p w:rsidR="004F47BB" w:rsidRPr="009072DA" w:rsidRDefault="004F47BB" w:rsidP="004F47BB">
      <w:pPr>
        <w:spacing w:line="240" w:lineRule="atLeast"/>
        <w:ind w:left="567" w:hanging="567"/>
        <w:rPr>
          <w:rFonts w:eastAsia="Batang"/>
          <w:b/>
          <w:bCs/>
          <w:lang w:val="bg-BG"/>
        </w:rPr>
      </w:pPr>
    </w:p>
    <w:p w:rsidR="004F47BB" w:rsidRPr="009072DA" w:rsidRDefault="004F47BB" w:rsidP="004F47BB">
      <w:pPr>
        <w:spacing w:line="240" w:lineRule="atLeast"/>
        <w:ind w:left="567"/>
        <w:rPr>
          <w:rFonts w:eastAsia="Batang"/>
          <w:lang w:val="bg-BG"/>
        </w:rPr>
      </w:pPr>
      <w:r w:rsidRPr="009072DA">
        <w:rPr>
          <w:lang w:val="bg-BG"/>
        </w:rPr>
        <w:t xml:space="preserve">Тези инструкции са изготвени с цел по-голяма яснота на правилата за поддържане на здравината на корабния корпус (член 3.02, точка 1) и за подмяна и ремонт на обшивката на корпуса (член 3.02, точка 1, буква в), последното изречение и член 19.02, точка 1, буква г)). Тази инструкция се прилага за монтирането на нови листове от допълнителна корабна обшивка. </w:t>
      </w:r>
    </w:p>
    <w:p w:rsidR="004F47BB" w:rsidRPr="009072DA" w:rsidRDefault="004F47BB" w:rsidP="004F47BB">
      <w:pPr>
        <w:spacing w:line="240" w:lineRule="atLeast"/>
        <w:rPr>
          <w:rFonts w:eastAsia="Batang"/>
          <w:lang w:val="bg-BG"/>
        </w:rPr>
      </w:pPr>
    </w:p>
    <w:p w:rsidR="004F47BB" w:rsidRPr="009072DA" w:rsidRDefault="004F47BB" w:rsidP="004F47BB">
      <w:pPr>
        <w:spacing w:line="240" w:lineRule="atLeast"/>
        <w:ind w:left="567" w:hanging="567"/>
        <w:rPr>
          <w:rFonts w:eastAsia="Batang"/>
          <w:b/>
          <w:bCs/>
          <w:lang w:val="bg-BG"/>
        </w:rPr>
      </w:pPr>
      <w:r w:rsidRPr="009072DA">
        <w:rPr>
          <w:b/>
          <w:lang w:val="bg-BG"/>
        </w:rPr>
        <w:t>2.</w:t>
      </w:r>
      <w:r w:rsidRPr="009072DA">
        <w:rPr>
          <w:lang w:val="bg-BG"/>
        </w:rPr>
        <w:tab/>
      </w:r>
      <w:r w:rsidRPr="009072DA">
        <w:rPr>
          <w:b/>
          <w:lang w:val="bg-BG"/>
        </w:rPr>
        <w:t>Основни положения</w:t>
      </w:r>
    </w:p>
    <w:p w:rsidR="004F47BB" w:rsidRPr="009072DA" w:rsidRDefault="004F47BB" w:rsidP="004F47BB">
      <w:pPr>
        <w:spacing w:line="240" w:lineRule="atLeast"/>
        <w:rPr>
          <w:rFonts w:eastAsia="Batang"/>
          <w:lang w:val="bg-BG"/>
        </w:rPr>
      </w:pPr>
    </w:p>
    <w:p w:rsidR="004F47BB" w:rsidRPr="009072DA" w:rsidRDefault="004F47BB" w:rsidP="004F47BB">
      <w:pPr>
        <w:spacing w:line="240" w:lineRule="atLeast"/>
        <w:ind w:left="567"/>
        <w:rPr>
          <w:rFonts w:eastAsia="Batang"/>
          <w:lang w:val="bg-BG"/>
        </w:rPr>
      </w:pPr>
      <w:r w:rsidRPr="009072DA">
        <w:rPr>
          <w:lang w:val="bg-BG"/>
        </w:rPr>
        <w:t>Съществуват два различни вида листове от допълнителната корабна обшивка:</w:t>
      </w:r>
    </w:p>
    <w:p w:rsidR="004F47BB" w:rsidRPr="009072DA" w:rsidRDefault="004F47BB" w:rsidP="004F47BB">
      <w:pPr>
        <w:spacing w:before="60" w:line="240" w:lineRule="atLeast"/>
        <w:ind w:left="993" w:hanging="426"/>
        <w:rPr>
          <w:rFonts w:eastAsia="Batang"/>
          <w:lang w:val="bg-BG"/>
        </w:rPr>
      </w:pPr>
      <w:r w:rsidRPr="009072DA">
        <w:rPr>
          <w:lang w:val="bg-BG"/>
        </w:rPr>
        <w:t>1.</w:t>
      </w:r>
      <w:r w:rsidRPr="009072DA">
        <w:rPr>
          <w:lang w:val="bg-BG"/>
        </w:rPr>
        <w:tab/>
        <w:t>Листове от допълнителна корабна обшивка, монтирани при изграждане на нови плавателни съдове или преустройство на плавателни съдове в съответствие с добрата корабостроителна практика,</w:t>
      </w:r>
    </w:p>
    <w:p w:rsidR="004F47BB" w:rsidRPr="009072DA" w:rsidRDefault="004F47BB" w:rsidP="004F47BB">
      <w:pPr>
        <w:spacing w:before="60" w:line="240" w:lineRule="atLeast"/>
        <w:ind w:left="993" w:hanging="426"/>
        <w:rPr>
          <w:rFonts w:eastAsia="Batang"/>
          <w:lang w:val="bg-BG"/>
        </w:rPr>
      </w:pPr>
      <w:r w:rsidRPr="009072DA">
        <w:rPr>
          <w:lang w:val="bg-BG"/>
        </w:rPr>
        <w:t>2.</w:t>
      </w:r>
      <w:r w:rsidRPr="009072DA">
        <w:rPr>
          <w:lang w:val="bg-BG"/>
        </w:rPr>
        <w:tab/>
        <w:t>Листове от допълнителна корабна обшивка, предназначени да забавят износването или за подновяване на обшивката на корпуса. Като цяло тези листове трябва да бъдат избягвани или следва да бъдат монтирани само в определени случаи.</w:t>
      </w:r>
    </w:p>
    <w:p w:rsidR="004F47BB" w:rsidRPr="009072DA" w:rsidRDefault="004F47BB" w:rsidP="004F47BB">
      <w:pPr>
        <w:spacing w:line="240" w:lineRule="atLeast"/>
        <w:ind w:left="992"/>
        <w:rPr>
          <w:rFonts w:eastAsia="Batang"/>
          <w:lang w:val="bg-BG"/>
        </w:rPr>
      </w:pPr>
    </w:p>
    <w:p w:rsidR="004F47BB" w:rsidRPr="009072DA" w:rsidRDefault="004F47BB" w:rsidP="004F47BB">
      <w:pPr>
        <w:spacing w:line="240" w:lineRule="atLeast"/>
        <w:ind w:left="567" w:hanging="567"/>
        <w:rPr>
          <w:rFonts w:eastAsia="Batang"/>
          <w:b/>
          <w:bCs/>
          <w:lang w:val="bg-BG"/>
        </w:rPr>
      </w:pPr>
      <w:r w:rsidRPr="009072DA">
        <w:rPr>
          <w:b/>
          <w:lang w:val="bg-BG"/>
        </w:rPr>
        <w:t>3.</w:t>
      </w:r>
      <w:r w:rsidRPr="009072DA">
        <w:rPr>
          <w:lang w:val="bg-BG"/>
        </w:rPr>
        <w:tab/>
      </w:r>
      <w:r w:rsidRPr="009072DA">
        <w:rPr>
          <w:b/>
          <w:lang w:val="bg-BG"/>
        </w:rPr>
        <w:t>Листове от допълнителна корабна обшивка, монтирани при изграждане на нови плавателни съдове или преустройство на плавателни съдове</w:t>
      </w:r>
    </w:p>
    <w:p w:rsidR="004F47BB" w:rsidRPr="009072DA" w:rsidRDefault="004F47BB" w:rsidP="004F47BB">
      <w:pPr>
        <w:spacing w:line="240" w:lineRule="atLeast"/>
        <w:rPr>
          <w:rFonts w:eastAsia="Batang"/>
          <w:lang w:val="bg-BG"/>
        </w:rPr>
      </w:pPr>
    </w:p>
    <w:p w:rsidR="004F47BB" w:rsidRPr="009072DA" w:rsidRDefault="004F47BB" w:rsidP="004F47BB">
      <w:pPr>
        <w:spacing w:line="240" w:lineRule="atLeast"/>
        <w:ind w:left="567" w:hanging="567"/>
        <w:rPr>
          <w:rFonts w:eastAsia="Batang"/>
          <w:b/>
          <w:bCs/>
          <w:lang w:val="bg-BG"/>
        </w:rPr>
      </w:pPr>
      <w:r w:rsidRPr="009072DA">
        <w:rPr>
          <w:b/>
          <w:lang w:val="bg-BG"/>
        </w:rPr>
        <w:t>3.1</w:t>
      </w:r>
      <w:r w:rsidRPr="009072DA">
        <w:rPr>
          <w:lang w:val="bg-BG"/>
        </w:rPr>
        <w:tab/>
      </w:r>
      <w:r w:rsidRPr="009072DA">
        <w:rPr>
          <w:b/>
          <w:lang w:val="bg-BG"/>
        </w:rPr>
        <w:t>Листове от допълнителна корабна обшивка, монтирани при изграждане на нови плавателни съдове</w:t>
      </w:r>
    </w:p>
    <w:p w:rsidR="004F47BB" w:rsidRPr="009072DA" w:rsidRDefault="004F47BB" w:rsidP="004F47BB">
      <w:pPr>
        <w:spacing w:line="240" w:lineRule="atLeast"/>
        <w:rPr>
          <w:rFonts w:eastAsia="Batang"/>
          <w:b/>
          <w:lang w:val="bg-BG"/>
        </w:rPr>
      </w:pPr>
    </w:p>
    <w:p w:rsidR="004F47BB" w:rsidRPr="009072DA" w:rsidRDefault="004F47BB" w:rsidP="004F47BB">
      <w:pPr>
        <w:spacing w:line="240" w:lineRule="atLeast"/>
        <w:ind w:left="567"/>
        <w:rPr>
          <w:rFonts w:eastAsia="Batang"/>
          <w:lang w:val="bg-BG"/>
        </w:rPr>
      </w:pPr>
      <w:r w:rsidRPr="009072DA">
        <w:rPr>
          <w:lang w:val="bg-BG"/>
        </w:rPr>
        <w:t>Монтираните при изграждането на нови плавателни съдове листове от допълнителна корабна обшивка са главно на следните места:</w:t>
      </w:r>
    </w:p>
    <w:p w:rsidR="004F47BB" w:rsidRPr="009072DA" w:rsidRDefault="004F47BB" w:rsidP="004F47BB">
      <w:pPr>
        <w:spacing w:before="60" w:line="240" w:lineRule="atLeast"/>
        <w:ind w:left="993" w:hanging="426"/>
        <w:rPr>
          <w:rFonts w:eastAsia="Batang" w:cs="Arial"/>
          <w:lang w:val="bg-BG"/>
        </w:rPr>
      </w:pPr>
      <w:r w:rsidRPr="009072DA">
        <w:rPr>
          <w:lang w:val="bg-BG"/>
        </w:rPr>
        <w:t>a)</w:t>
      </w:r>
      <w:r w:rsidRPr="009072DA">
        <w:rPr>
          <w:lang w:val="bg-BG"/>
        </w:rPr>
        <w:tab/>
        <w:t>укрепване на листове около входовете и отворите на корпуса и обшивката на палубата (люкове, канали за тръбите, шпигати, и др.),</w:t>
      </w:r>
    </w:p>
    <w:p w:rsidR="004F47BB" w:rsidRPr="009072DA" w:rsidRDefault="004F47BB" w:rsidP="004F47BB">
      <w:pPr>
        <w:spacing w:before="60" w:line="240" w:lineRule="atLeast"/>
        <w:ind w:left="993" w:hanging="426"/>
        <w:rPr>
          <w:rFonts w:eastAsia="Batang" w:cs="Arial"/>
          <w:lang w:val="bg-BG"/>
        </w:rPr>
      </w:pPr>
      <w:r w:rsidRPr="009072DA">
        <w:rPr>
          <w:lang w:val="bg-BG"/>
        </w:rPr>
        <w:t>б)</w:t>
      </w:r>
      <w:r w:rsidRPr="009072DA">
        <w:rPr>
          <w:lang w:val="bg-BG"/>
        </w:rPr>
        <w:tab/>
        <w:t>листове на ъглите на големи люкове,</w:t>
      </w:r>
    </w:p>
    <w:p w:rsidR="004F47BB" w:rsidRPr="009072DA" w:rsidRDefault="004F47BB" w:rsidP="004F47BB">
      <w:pPr>
        <w:spacing w:before="60" w:line="240" w:lineRule="atLeast"/>
        <w:ind w:left="993" w:hanging="426"/>
        <w:rPr>
          <w:rFonts w:eastAsia="Batang" w:cs="Arial"/>
          <w:lang w:val="bg-BG"/>
        </w:rPr>
      </w:pPr>
      <w:r w:rsidRPr="009072DA">
        <w:rPr>
          <w:lang w:val="bg-BG"/>
        </w:rPr>
        <w:t>в)</w:t>
      </w:r>
      <w:r w:rsidRPr="009072DA">
        <w:rPr>
          <w:lang w:val="bg-BG"/>
        </w:rPr>
        <w:tab/>
        <w:t>надлъжни ивици от листове на равнището на ивицата на седловата извивка,</w:t>
      </w:r>
    </w:p>
    <w:p w:rsidR="004F47BB" w:rsidRPr="009072DA" w:rsidRDefault="004F47BB" w:rsidP="004F47BB">
      <w:pPr>
        <w:spacing w:before="60" w:line="240" w:lineRule="atLeast"/>
        <w:ind w:left="993" w:hanging="426"/>
        <w:rPr>
          <w:rFonts w:eastAsia="Batang" w:cs="Arial"/>
          <w:lang w:val="bg-BG"/>
        </w:rPr>
      </w:pPr>
      <w:r w:rsidRPr="009072DA">
        <w:rPr>
          <w:lang w:val="bg-BG"/>
        </w:rPr>
        <w:lastRenderedPageBreak/>
        <w:t>г)</w:t>
      </w:r>
      <w:r w:rsidRPr="009072DA">
        <w:rPr>
          <w:lang w:val="bg-BG"/>
        </w:rPr>
        <w:tab/>
        <w:t>ивици от листове за защита от абразивно износване на обшивката на корпуса (на носа и на кърмата и евентуално на скуловите листове и бордовата обшивка на известна височина над дъното),</w:t>
      </w:r>
    </w:p>
    <w:p w:rsidR="004F47BB" w:rsidRPr="009072DA" w:rsidRDefault="004F47BB" w:rsidP="004F47BB">
      <w:pPr>
        <w:spacing w:before="60" w:line="240" w:lineRule="atLeast"/>
        <w:ind w:left="993" w:hanging="426"/>
        <w:rPr>
          <w:rFonts w:eastAsia="Batang" w:cs="Arial"/>
          <w:lang w:val="bg-BG"/>
        </w:rPr>
      </w:pPr>
      <w:r w:rsidRPr="009072DA">
        <w:rPr>
          <w:lang w:val="bg-BG"/>
        </w:rPr>
        <w:t>д)</w:t>
      </w:r>
      <w:r w:rsidRPr="009072DA">
        <w:rPr>
          <w:lang w:val="bg-BG"/>
        </w:rPr>
        <w:tab/>
        <w:t>укрепване на листове при определени точки от конструкцията съгласно специално оборудване (например: котвени брашпили, помпи, мачти, кранове, лебедки, котви и др.).</w:t>
      </w:r>
    </w:p>
    <w:p w:rsidR="004F47BB" w:rsidRPr="009072DA" w:rsidRDefault="004F47BB" w:rsidP="004F47BB">
      <w:pPr>
        <w:tabs>
          <w:tab w:val="left" w:pos="360"/>
        </w:tabs>
        <w:spacing w:line="240" w:lineRule="atLeast"/>
        <w:rPr>
          <w:rFonts w:eastAsia="Batang"/>
          <w:lang w:val="bg-BG"/>
        </w:rPr>
      </w:pPr>
    </w:p>
    <w:p w:rsidR="004F47BB" w:rsidRPr="009072DA" w:rsidRDefault="004F47BB" w:rsidP="004F47BB">
      <w:pPr>
        <w:spacing w:line="240" w:lineRule="atLeast"/>
        <w:ind w:left="567" w:hanging="567"/>
        <w:rPr>
          <w:rFonts w:eastAsia="Batang"/>
          <w:b/>
          <w:lang w:val="bg-BG"/>
        </w:rPr>
      </w:pPr>
      <w:r w:rsidRPr="009072DA">
        <w:rPr>
          <w:b/>
          <w:lang w:val="bg-BG"/>
        </w:rPr>
        <w:t>3.2</w:t>
      </w:r>
      <w:r w:rsidRPr="009072DA">
        <w:rPr>
          <w:lang w:val="bg-BG"/>
        </w:rPr>
        <w:tab/>
      </w:r>
      <w:r w:rsidRPr="009072DA">
        <w:rPr>
          <w:b/>
          <w:lang w:val="bg-BG"/>
        </w:rPr>
        <w:t>Листове от допълнителна корабна обшивка, монтирани като част от преустройството</w:t>
      </w:r>
    </w:p>
    <w:p w:rsidR="004F47BB" w:rsidRPr="009072DA" w:rsidRDefault="004F47BB" w:rsidP="004F47BB">
      <w:pPr>
        <w:tabs>
          <w:tab w:val="left" w:pos="360"/>
        </w:tabs>
        <w:spacing w:line="240" w:lineRule="atLeast"/>
        <w:rPr>
          <w:rFonts w:eastAsia="Batang"/>
          <w:lang w:val="bg-BG"/>
        </w:rPr>
      </w:pPr>
    </w:p>
    <w:p w:rsidR="004F47BB" w:rsidRPr="009072DA" w:rsidRDefault="004F47BB" w:rsidP="004F47BB">
      <w:pPr>
        <w:spacing w:line="240" w:lineRule="atLeast"/>
        <w:ind w:left="567"/>
        <w:rPr>
          <w:rFonts w:eastAsia="Batang"/>
          <w:lang w:val="bg-BG"/>
        </w:rPr>
      </w:pPr>
      <w:r w:rsidRPr="009072DA">
        <w:rPr>
          <w:lang w:val="bg-BG"/>
        </w:rPr>
        <w:t>Ако тези листове от допълнителна корабна обшивка се монтират като част от преустройството, те могат да бъдат монтирани само върху листове, които все още не са достигнали минималната дебелина след преобразуването и имат оставащ корозионен толеранс от най-малко 0,7 mm. В противен случай листовете, които трябва да носят листове от допълнителна корабна обшивка, трябва да бъдат подновени предварително.</w:t>
      </w:r>
    </w:p>
    <w:p w:rsidR="004F47BB" w:rsidRPr="009072DA" w:rsidRDefault="004F47BB" w:rsidP="004F47BB">
      <w:pPr>
        <w:spacing w:line="240" w:lineRule="atLeast"/>
        <w:ind w:left="567"/>
        <w:rPr>
          <w:rFonts w:eastAsia="Batang"/>
          <w:lang w:val="bg-BG"/>
        </w:rPr>
      </w:pPr>
    </w:p>
    <w:p w:rsidR="004F47BB" w:rsidRPr="009072DA" w:rsidRDefault="004F47BB" w:rsidP="004F47BB">
      <w:pPr>
        <w:spacing w:line="240" w:lineRule="atLeast"/>
        <w:ind w:left="567"/>
        <w:rPr>
          <w:rFonts w:eastAsia="Batang"/>
          <w:lang w:val="bg-BG"/>
        </w:rPr>
      </w:pPr>
      <w:r w:rsidRPr="009072DA">
        <w:rPr>
          <w:lang w:val="bg-BG"/>
        </w:rPr>
        <w:t>По-специално, ивиците от листове за подсилване на надлъжната греда на корпуса на плавателния съд в случай на удължаване трябва да се простират най-малко по дължината на товарното отделение, освен ако е налице обосновка, подкрепена от изчисление.</w:t>
      </w:r>
    </w:p>
    <w:p w:rsidR="004F47BB" w:rsidRPr="009072DA" w:rsidRDefault="004F47BB" w:rsidP="004F47BB">
      <w:pPr>
        <w:spacing w:line="240" w:lineRule="atLeast"/>
        <w:rPr>
          <w:rFonts w:eastAsia="Batang"/>
          <w:lang w:val="bg-BG"/>
        </w:rPr>
      </w:pPr>
      <w:r w:rsidRPr="009072DA">
        <w:rPr>
          <w:lang w:val="bg-BG"/>
        </w:rPr>
        <w:br w:type="page"/>
      </w:r>
    </w:p>
    <w:p w:rsidR="004F47BB" w:rsidRPr="009072DA" w:rsidRDefault="004F47BB" w:rsidP="004F47BB">
      <w:pPr>
        <w:spacing w:line="240" w:lineRule="atLeast"/>
        <w:ind w:left="567" w:hanging="567"/>
        <w:rPr>
          <w:rFonts w:eastAsia="Batang"/>
          <w:b/>
          <w:lang w:val="bg-BG"/>
        </w:rPr>
      </w:pPr>
      <w:r w:rsidRPr="009072DA">
        <w:rPr>
          <w:b/>
          <w:lang w:val="bg-BG"/>
        </w:rPr>
        <w:lastRenderedPageBreak/>
        <w:t>4.</w:t>
      </w:r>
      <w:r w:rsidRPr="009072DA">
        <w:rPr>
          <w:lang w:val="bg-BG"/>
        </w:rPr>
        <w:tab/>
      </w:r>
      <w:r w:rsidRPr="009072DA">
        <w:rPr>
          <w:b/>
          <w:lang w:val="bg-BG"/>
        </w:rPr>
        <w:t>Листове от допълнителна корабна обшивка, предназначени да забавят износването или за подновяване на обшивката на корпуса</w:t>
      </w:r>
    </w:p>
    <w:p w:rsidR="004F47BB" w:rsidRPr="009072DA" w:rsidRDefault="004F47BB" w:rsidP="004F47BB">
      <w:pPr>
        <w:spacing w:line="240" w:lineRule="atLeast"/>
        <w:rPr>
          <w:rFonts w:eastAsia="Batang"/>
          <w:lang w:val="bg-BG"/>
        </w:rPr>
      </w:pPr>
    </w:p>
    <w:p w:rsidR="004F47BB" w:rsidRPr="009072DA" w:rsidRDefault="004F47BB" w:rsidP="004F47BB">
      <w:pPr>
        <w:spacing w:line="240" w:lineRule="atLeast"/>
        <w:ind w:left="567" w:hanging="567"/>
        <w:rPr>
          <w:rFonts w:eastAsia="Batang"/>
          <w:b/>
          <w:bCs/>
          <w:lang w:val="bg-BG"/>
        </w:rPr>
      </w:pPr>
      <w:r w:rsidRPr="009072DA">
        <w:rPr>
          <w:b/>
          <w:lang w:val="bg-BG"/>
        </w:rPr>
        <w:t>4.1</w:t>
      </w:r>
      <w:r w:rsidRPr="009072DA">
        <w:rPr>
          <w:lang w:val="bg-BG"/>
        </w:rPr>
        <w:tab/>
      </w:r>
      <w:r w:rsidRPr="009072DA">
        <w:rPr>
          <w:b/>
          <w:lang w:val="bg-BG"/>
        </w:rPr>
        <w:t>Места, където монтирането на листове от допълнителна корабна обшивка е разрешено</w:t>
      </w:r>
    </w:p>
    <w:p w:rsidR="004F47BB" w:rsidRPr="009072DA" w:rsidRDefault="004F47BB" w:rsidP="004F47BB">
      <w:pPr>
        <w:spacing w:line="240" w:lineRule="atLeast"/>
        <w:ind w:left="426" w:hanging="426"/>
        <w:rPr>
          <w:rFonts w:eastAsia="Batang"/>
          <w:b/>
          <w:lang w:val="bg-BG"/>
        </w:rPr>
      </w:pPr>
    </w:p>
    <w:p w:rsidR="004F47BB" w:rsidRPr="009072DA" w:rsidRDefault="004F47BB" w:rsidP="004F47BB">
      <w:pPr>
        <w:spacing w:line="240" w:lineRule="atLeast"/>
        <w:ind w:left="567"/>
        <w:rPr>
          <w:rFonts w:eastAsia="Batang"/>
          <w:lang w:val="bg-BG"/>
        </w:rPr>
      </w:pPr>
      <w:r w:rsidRPr="009072DA">
        <w:rPr>
          <w:lang w:val="bg-BG"/>
        </w:rPr>
        <w:t xml:space="preserve">Тези листове </w:t>
      </w:r>
      <w:r w:rsidRPr="009072DA">
        <w:rPr>
          <w:b/>
          <w:lang w:val="bg-BG"/>
        </w:rPr>
        <w:t>могат да бъдат монтирани</w:t>
      </w:r>
      <w:r w:rsidRPr="009072DA">
        <w:rPr>
          <w:lang w:val="bg-BG"/>
        </w:rPr>
        <w:t xml:space="preserve"> на следните места:</w:t>
      </w:r>
    </w:p>
    <w:p w:rsidR="004F47BB" w:rsidRPr="009072DA" w:rsidRDefault="004F47BB" w:rsidP="004F47BB">
      <w:pPr>
        <w:spacing w:before="60" w:line="240" w:lineRule="atLeast"/>
        <w:ind w:left="993" w:hanging="426"/>
        <w:rPr>
          <w:rFonts w:eastAsia="Batang" w:cs="Arial"/>
          <w:lang w:val="bg-BG"/>
        </w:rPr>
      </w:pPr>
      <w:r w:rsidRPr="009072DA">
        <w:rPr>
          <w:lang w:val="bg-BG"/>
        </w:rPr>
        <w:t>a)</w:t>
      </w:r>
      <w:r w:rsidRPr="009072DA">
        <w:rPr>
          <w:lang w:val="bg-BG"/>
        </w:rPr>
        <w:tab/>
        <w:t>в случай на щети (временен ремонт — валидност съгласно удостоверението),</w:t>
      </w:r>
    </w:p>
    <w:p w:rsidR="004F47BB" w:rsidRPr="009072DA" w:rsidRDefault="004F47BB" w:rsidP="004F47BB">
      <w:pPr>
        <w:spacing w:before="60" w:line="240" w:lineRule="atLeast"/>
        <w:ind w:left="993" w:hanging="426"/>
        <w:rPr>
          <w:rFonts w:eastAsia="Batang" w:cs="Arial"/>
          <w:lang w:val="bg-BG"/>
        </w:rPr>
      </w:pPr>
      <w:r w:rsidRPr="009072DA">
        <w:rPr>
          <w:lang w:val="bg-BG"/>
        </w:rPr>
        <w:t>б)</w:t>
      </w:r>
      <w:r w:rsidRPr="009072DA">
        <w:rPr>
          <w:lang w:val="bg-BG"/>
        </w:rPr>
        <w:tab/>
        <w:t>в случай на корозионно загниване, евентуално с перфорации, като не засягат структурната якост (т.е.: под машинното отделение, по пътя на ивицата на вятъра/водата), с изключение на дънните и скуловите листове в товарните зони,</w:t>
      </w:r>
    </w:p>
    <w:p w:rsidR="004F47BB" w:rsidRPr="009072DA" w:rsidRDefault="004F47BB" w:rsidP="004F47BB">
      <w:pPr>
        <w:spacing w:before="60" w:line="240" w:lineRule="atLeast"/>
        <w:ind w:left="993" w:hanging="426"/>
        <w:rPr>
          <w:rFonts w:eastAsia="Batang" w:cs="Arial"/>
          <w:lang w:val="bg-BG"/>
        </w:rPr>
      </w:pPr>
      <w:r w:rsidRPr="009072DA">
        <w:rPr>
          <w:lang w:val="bg-BG"/>
        </w:rPr>
        <w:t>в)</w:t>
      </w:r>
      <w:r w:rsidRPr="009072DA">
        <w:rPr>
          <w:lang w:val="bg-BG"/>
        </w:rPr>
        <w:tab/>
        <w:t>в случай на повърхности, изложени на абразивно износване, за спирането на износването на листовете на корпуса (могат да бъдат монтирани само върху листове, които все още не са достигнали минималната дебелина),</w:t>
      </w:r>
    </w:p>
    <w:p w:rsidR="004F47BB" w:rsidRPr="009072DA" w:rsidRDefault="004F47BB" w:rsidP="004F47BB">
      <w:pPr>
        <w:spacing w:before="60" w:line="240" w:lineRule="atLeast"/>
        <w:ind w:left="993" w:hanging="426"/>
        <w:rPr>
          <w:rFonts w:eastAsia="Batang" w:cs="Arial"/>
          <w:lang w:val="bg-BG"/>
        </w:rPr>
      </w:pPr>
      <w:r w:rsidRPr="009072DA">
        <w:rPr>
          <w:lang w:val="bg-BG"/>
        </w:rPr>
        <w:t>г)</w:t>
      </w:r>
      <w:r w:rsidRPr="009072DA">
        <w:rPr>
          <w:lang w:val="bg-BG"/>
        </w:rPr>
        <w:tab/>
        <w:t>върху скуловата обшивка, листовете от допълнителна корабна обшивка трябва да бъдат за предпочитане с дължина поне 70 % от дължината на плавателния съд. В противен случай листовете от допълнителната корабна обшивка трябва да имат минимална дължина и минимално разстояние помежду им не по-малко от (2,5 + L/40) m или да имат дължина поне три пъти разстоянието между дънните ребра за плавателни съдове, като L е не повече от 45 m. Те следва да се простират най-малко по дължина два пъти разстоянието между дънните ребра пред и зад засегнатата зона,</w:t>
      </w:r>
    </w:p>
    <w:p w:rsidR="004F47BB" w:rsidRPr="009072DA" w:rsidRDefault="004F47BB" w:rsidP="004F47BB">
      <w:pPr>
        <w:spacing w:before="60" w:line="240" w:lineRule="atLeast"/>
        <w:ind w:left="993" w:hanging="426"/>
        <w:rPr>
          <w:rFonts w:eastAsia="Batang" w:cs="Arial"/>
          <w:lang w:val="bg-BG"/>
        </w:rPr>
      </w:pPr>
      <w:r w:rsidRPr="009072DA">
        <w:rPr>
          <w:lang w:val="bg-BG"/>
        </w:rPr>
        <w:t>д)</w:t>
      </w:r>
      <w:r w:rsidRPr="009072DA">
        <w:rPr>
          <w:lang w:val="bg-BG"/>
        </w:rPr>
        <w:tab/>
        <w:t>върху нитовани шевове за осигуряване на водонепроницаемост,</w:t>
      </w:r>
    </w:p>
    <w:p w:rsidR="004F47BB" w:rsidRPr="009072DA" w:rsidRDefault="004F47BB" w:rsidP="004F47BB">
      <w:pPr>
        <w:spacing w:before="60" w:line="240" w:lineRule="atLeast"/>
        <w:ind w:left="993" w:hanging="426"/>
        <w:rPr>
          <w:rFonts w:eastAsia="Batang" w:cs="Arial"/>
          <w:lang w:val="bg-BG"/>
        </w:rPr>
      </w:pPr>
      <w:r w:rsidRPr="009072DA">
        <w:rPr>
          <w:lang w:val="bg-BG"/>
        </w:rPr>
        <w:t>е)</w:t>
      </w:r>
      <w:r w:rsidRPr="009072DA">
        <w:rPr>
          <w:lang w:val="bg-BG"/>
        </w:rPr>
        <w:tab/>
        <w:t>пред и зад външната товарна зона на плавателния съд.</w:t>
      </w:r>
    </w:p>
    <w:p w:rsidR="004F47BB" w:rsidRPr="009072DA" w:rsidRDefault="004F47BB" w:rsidP="004F47BB">
      <w:pPr>
        <w:spacing w:line="240" w:lineRule="atLeast"/>
        <w:ind w:left="850"/>
        <w:rPr>
          <w:rFonts w:eastAsia="Batang"/>
          <w:lang w:val="bg-BG"/>
        </w:rPr>
      </w:pPr>
    </w:p>
    <w:p w:rsidR="004F47BB" w:rsidRPr="009072DA" w:rsidRDefault="004F47BB" w:rsidP="004F47BB">
      <w:pPr>
        <w:spacing w:line="240" w:lineRule="atLeast"/>
        <w:ind w:left="567" w:hanging="567"/>
        <w:rPr>
          <w:rFonts w:eastAsia="Batang"/>
          <w:b/>
          <w:bCs/>
          <w:lang w:val="bg-BG"/>
        </w:rPr>
      </w:pPr>
      <w:r w:rsidRPr="009072DA">
        <w:rPr>
          <w:b/>
          <w:lang w:val="bg-BG"/>
        </w:rPr>
        <w:t>4.2</w:t>
      </w:r>
      <w:r w:rsidRPr="009072DA">
        <w:rPr>
          <w:lang w:val="bg-BG"/>
        </w:rPr>
        <w:tab/>
      </w:r>
      <w:r w:rsidRPr="009072DA">
        <w:rPr>
          <w:b/>
          <w:lang w:val="bg-BG"/>
        </w:rPr>
        <w:t>Места, където монтирането на листове от допълнителна корабна обшивка не е разрешено</w:t>
      </w:r>
    </w:p>
    <w:p w:rsidR="004F47BB" w:rsidRPr="009072DA" w:rsidRDefault="004F47BB" w:rsidP="004F47BB">
      <w:pPr>
        <w:spacing w:line="240" w:lineRule="atLeast"/>
        <w:rPr>
          <w:rFonts w:eastAsia="Batang"/>
          <w:lang w:val="bg-BG"/>
        </w:rPr>
      </w:pPr>
    </w:p>
    <w:p w:rsidR="004F47BB" w:rsidRPr="009072DA" w:rsidRDefault="004F47BB" w:rsidP="004F47BB">
      <w:pPr>
        <w:spacing w:line="240" w:lineRule="atLeast"/>
        <w:ind w:left="567"/>
        <w:rPr>
          <w:rFonts w:eastAsia="Batang"/>
          <w:lang w:val="bg-BG"/>
        </w:rPr>
      </w:pPr>
      <w:r w:rsidRPr="009072DA">
        <w:rPr>
          <w:lang w:val="bg-BG"/>
        </w:rPr>
        <w:t xml:space="preserve">Тези листове </w:t>
      </w:r>
      <w:r w:rsidRPr="009072DA">
        <w:rPr>
          <w:b/>
          <w:lang w:val="bg-BG"/>
        </w:rPr>
        <w:t>не могат</w:t>
      </w:r>
      <w:r w:rsidRPr="009072DA">
        <w:rPr>
          <w:lang w:val="bg-BG"/>
        </w:rPr>
        <w:t xml:space="preserve"> да бъдат монтирани на следните места:</w:t>
      </w:r>
    </w:p>
    <w:p w:rsidR="004F47BB" w:rsidRPr="009072DA" w:rsidRDefault="004F47BB" w:rsidP="004F47BB">
      <w:pPr>
        <w:spacing w:before="60" w:line="240" w:lineRule="atLeast"/>
        <w:ind w:left="993" w:hanging="426"/>
        <w:rPr>
          <w:rFonts w:eastAsia="Batang" w:cs="Arial"/>
          <w:lang w:val="bg-BG"/>
        </w:rPr>
      </w:pPr>
      <w:r w:rsidRPr="009072DA">
        <w:rPr>
          <w:lang w:val="bg-BG"/>
        </w:rPr>
        <w:t>a)</w:t>
      </w:r>
      <w:r w:rsidRPr="009072DA">
        <w:rPr>
          <w:lang w:val="bg-BG"/>
        </w:rPr>
        <w:tab/>
        <w:t>върху листове, чиято дебелина е под минималната допустима дебелина,</w:t>
      </w:r>
    </w:p>
    <w:p w:rsidR="004F47BB" w:rsidRPr="009072DA" w:rsidRDefault="004F47BB" w:rsidP="004F47BB">
      <w:pPr>
        <w:spacing w:before="60" w:line="240" w:lineRule="atLeast"/>
        <w:ind w:left="993" w:hanging="426"/>
        <w:rPr>
          <w:rFonts w:eastAsia="Batang" w:cs="Arial"/>
          <w:lang w:val="bg-BG"/>
        </w:rPr>
      </w:pPr>
      <w:r w:rsidRPr="009072DA">
        <w:rPr>
          <w:lang w:val="bg-BG"/>
        </w:rPr>
        <w:t>б)</w:t>
      </w:r>
      <w:r w:rsidRPr="009072DA">
        <w:rPr>
          <w:lang w:val="bg-BG"/>
        </w:rPr>
        <w:tab/>
        <w:t>върху отвори на листове, дължащи се на корозия на елементите, които осигуряват водонепроницаемост на плавателния съд,</w:t>
      </w:r>
    </w:p>
    <w:p w:rsidR="004F47BB" w:rsidRPr="009072DA" w:rsidRDefault="004F47BB" w:rsidP="004F47BB">
      <w:pPr>
        <w:spacing w:before="60" w:line="240" w:lineRule="atLeast"/>
        <w:ind w:left="993" w:hanging="426"/>
        <w:rPr>
          <w:rFonts w:eastAsia="Batang" w:cs="Arial"/>
          <w:lang w:val="bg-BG"/>
        </w:rPr>
      </w:pPr>
      <w:r w:rsidRPr="009072DA">
        <w:rPr>
          <w:lang w:val="bg-BG"/>
        </w:rPr>
        <w:t>в)</w:t>
      </w:r>
      <w:r w:rsidRPr="009072DA">
        <w:rPr>
          <w:lang w:val="bg-BG"/>
        </w:rPr>
        <w:tab/>
        <w:t>в обширни области в товарната зона,</w:t>
      </w:r>
    </w:p>
    <w:p w:rsidR="004F47BB" w:rsidRPr="009072DA" w:rsidRDefault="004F47BB" w:rsidP="004F47BB">
      <w:pPr>
        <w:spacing w:before="60" w:line="240" w:lineRule="atLeast"/>
        <w:ind w:left="993" w:hanging="426"/>
        <w:rPr>
          <w:rFonts w:eastAsia="Batang" w:cs="Arial"/>
          <w:lang w:val="bg-BG"/>
        </w:rPr>
      </w:pPr>
      <w:r w:rsidRPr="009072DA">
        <w:rPr>
          <w:lang w:val="bg-BG"/>
        </w:rPr>
        <w:t>г)</w:t>
      </w:r>
      <w:r w:rsidRPr="009072DA">
        <w:rPr>
          <w:lang w:val="bg-BG"/>
        </w:rPr>
        <w:tab/>
        <w:t>за обхващане на напречните заваръчни шевове,</w:t>
      </w:r>
    </w:p>
    <w:p w:rsidR="004F47BB" w:rsidRPr="009072DA" w:rsidRDefault="004F47BB" w:rsidP="004F47BB">
      <w:pPr>
        <w:spacing w:before="60" w:line="240" w:lineRule="atLeast"/>
        <w:ind w:left="993" w:hanging="426"/>
        <w:rPr>
          <w:rFonts w:eastAsia="Batang" w:cs="Arial"/>
          <w:lang w:val="bg-BG"/>
        </w:rPr>
      </w:pPr>
      <w:r w:rsidRPr="009072DA">
        <w:rPr>
          <w:lang w:val="bg-BG"/>
        </w:rPr>
        <w:t>д)</w:t>
      </w:r>
      <w:r w:rsidRPr="009072DA">
        <w:rPr>
          <w:lang w:val="bg-BG"/>
        </w:rPr>
        <w:tab/>
        <w:t>на дъното между предната преграда на носовия трюм и след преградата на кърмовия трюм,</w:t>
      </w:r>
    </w:p>
    <w:p w:rsidR="004F47BB" w:rsidRPr="009072DA" w:rsidRDefault="004F47BB" w:rsidP="004F47BB">
      <w:pPr>
        <w:spacing w:before="60" w:line="240" w:lineRule="atLeast"/>
        <w:ind w:left="993" w:hanging="426"/>
        <w:rPr>
          <w:rFonts w:eastAsia="Batang" w:cs="Arial"/>
          <w:lang w:val="bg-BG"/>
        </w:rPr>
      </w:pPr>
      <w:r w:rsidRPr="009072DA">
        <w:rPr>
          <w:lang w:val="bg-BG"/>
        </w:rPr>
        <w:lastRenderedPageBreak/>
        <w:t>е)</w:t>
      </w:r>
      <w:r w:rsidRPr="009072DA">
        <w:rPr>
          <w:lang w:val="bg-BG"/>
        </w:rPr>
        <w:tab/>
        <w:t>в товарната област на моторни танкери, наливни лихтери и наливни баржи за превоз на опасни товари в съответствие с Европейското споразумение за международен превоз на опасни товари по вътрешни водни пътища,</w:t>
      </w:r>
    </w:p>
    <w:p w:rsidR="004F47BB" w:rsidRPr="009072DA" w:rsidRDefault="004F47BB" w:rsidP="004F47BB">
      <w:pPr>
        <w:spacing w:before="60" w:line="240" w:lineRule="atLeast"/>
        <w:ind w:left="993" w:hanging="426"/>
        <w:rPr>
          <w:rFonts w:eastAsia="Batang" w:cs="Arial"/>
          <w:lang w:val="bg-BG"/>
        </w:rPr>
      </w:pPr>
      <w:r w:rsidRPr="009072DA">
        <w:rPr>
          <w:lang w:val="bg-BG"/>
        </w:rPr>
        <w:t>ж)</w:t>
      </w:r>
      <w:r w:rsidRPr="009072DA">
        <w:rPr>
          <w:lang w:val="bg-BG"/>
        </w:rPr>
        <w:tab/>
        <w:t>над бункери, съдържащи запалими продукти с изключение на зони с абразивно износване,</w:t>
      </w:r>
    </w:p>
    <w:p w:rsidR="004F47BB" w:rsidRPr="009072DA" w:rsidRDefault="004F47BB" w:rsidP="004F47BB">
      <w:pPr>
        <w:spacing w:before="60" w:line="240" w:lineRule="atLeast"/>
        <w:ind w:left="993" w:hanging="426"/>
        <w:rPr>
          <w:rFonts w:eastAsia="Batang" w:cs="Arial"/>
          <w:lang w:val="bg-BG"/>
        </w:rPr>
      </w:pPr>
      <w:r w:rsidRPr="009072DA">
        <w:rPr>
          <w:lang w:val="bg-BG"/>
        </w:rPr>
        <w:t>з)</w:t>
      </w:r>
      <w:r w:rsidRPr="009072DA">
        <w:rPr>
          <w:lang w:val="bg-BG"/>
        </w:rPr>
        <w:tab/>
        <w:t>върху листове или шевове, които показват деформация или умора,</w:t>
      </w:r>
    </w:p>
    <w:p w:rsidR="004F47BB" w:rsidRPr="009072DA" w:rsidRDefault="004F47BB" w:rsidP="004F47BB">
      <w:pPr>
        <w:spacing w:before="60" w:line="240" w:lineRule="atLeast"/>
        <w:ind w:left="993" w:hanging="426"/>
        <w:rPr>
          <w:rFonts w:eastAsia="Batang" w:cs="Arial"/>
          <w:lang w:val="bg-BG"/>
        </w:rPr>
      </w:pPr>
      <w:r w:rsidRPr="009072DA">
        <w:rPr>
          <w:lang w:val="bg-BG"/>
        </w:rPr>
        <w:t>и)</w:t>
      </w:r>
      <w:r w:rsidRPr="009072DA">
        <w:rPr>
          <w:lang w:val="bg-BG"/>
        </w:rPr>
        <w:tab/>
        <w:t>върху съществуващи листове от допълнителна корабна обшивка.</w:t>
      </w:r>
    </w:p>
    <w:p w:rsidR="004F47BB" w:rsidRPr="009072DA" w:rsidRDefault="004F47BB" w:rsidP="004F47BB">
      <w:pPr>
        <w:spacing w:line="240" w:lineRule="atLeast"/>
        <w:rPr>
          <w:rFonts w:eastAsia="Batang"/>
          <w:lang w:val="bg-BG"/>
        </w:rPr>
      </w:pPr>
    </w:p>
    <w:p w:rsidR="004F47BB" w:rsidRPr="009072DA" w:rsidRDefault="004F47BB" w:rsidP="004F47BB">
      <w:pPr>
        <w:spacing w:line="240" w:lineRule="atLeast"/>
        <w:ind w:left="567" w:hanging="567"/>
        <w:rPr>
          <w:rFonts w:eastAsia="Batang"/>
          <w:b/>
          <w:lang w:val="bg-BG"/>
        </w:rPr>
      </w:pPr>
      <w:r w:rsidRPr="009072DA">
        <w:rPr>
          <w:b/>
          <w:lang w:val="bg-BG"/>
        </w:rPr>
        <w:t>5.</w:t>
      </w:r>
      <w:r w:rsidRPr="009072DA">
        <w:rPr>
          <w:lang w:val="bg-BG"/>
        </w:rPr>
        <w:tab/>
      </w:r>
      <w:r w:rsidRPr="009072DA">
        <w:rPr>
          <w:b/>
          <w:lang w:val="bg-BG"/>
        </w:rPr>
        <w:t>Монтаж на листове от допълнителна корабна обшивка</w:t>
      </w:r>
    </w:p>
    <w:p w:rsidR="004F47BB" w:rsidRPr="009072DA" w:rsidRDefault="004F47BB" w:rsidP="004F47BB">
      <w:pPr>
        <w:spacing w:before="60" w:line="240" w:lineRule="atLeast"/>
        <w:ind w:left="993" w:hanging="426"/>
        <w:rPr>
          <w:rFonts w:eastAsia="Batang" w:cs="Arial"/>
          <w:lang w:val="bg-BG"/>
        </w:rPr>
      </w:pPr>
      <w:r w:rsidRPr="009072DA">
        <w:rPr>
          <w:lang w:val="bg-BG"/>
        </w:rPr>
        <w:t>a)</w:t>
      </w:r>
      <w:r w:rsidRPr="009072DA">
        <w:rPr>
          <w:lang w:val="bg-BG"/>
        </w:rPr>
        <w:tab/>
        <w:t>Листовете от допълнителна корабна обшивка трябва да бъдат монтирани и заварени в съответствие с добрата корабостроителна практика.</w:t>
      </w:r>
    </w:p>
    <w:p w:rsidR="004F47BB" w:rsidRPr="009072DA" w:rsidRDefault="004F47BB" w:rsidP="004F47BB">
      <w:pPr>
        <w:spacing w:before="60" w:line="240" w:lineRule="atLeast"/>
        <w:ind w:left="993" w:hanging="426"/>
        <w:rPr>
          <w:rFonts w:eastAsia="Batang" w:cs="Arial"/>
          <w:lang w:val="bg-BG"/>
        </w:rPr>
      </w:pPr>
      <w:r w:rsidRPr="009072DA">
        <w:rPr>
          <w:lang w:val="bg-BG"/>
        </w:rPr>
        <w:t>б)</w:t>
      </w:r>
      <w:r w:rsidRPr="009072DA">
        <w:rPr>
          <w:lang w:val="bg-BG"/>
        </w:rPr>
        <w:tab/>
        <w:t>Носещите листове трябва да имат ширина между 200 и 300 mm.</w:t>
      </w:r>
    </w:p>
    <w:p w:rsidR="004F47BB" w:rsidRPr="009072DA" w:rsidRDefault="004F47BB" w:rsidP="004F47BB">
      <w:pPr>
        <w:spacing w:before="60" w:line="240" w:lineRule="atLeast"/>
        <w:ind w:left="993" w:hanging="426"/>
        <w:rPr>
          <w:rFonts w:eastAsia="Batang" w:cs="Arial"/>
          <w:lang w:val="bg-BG"/>
        </w:rPr>
      </w:pPr>
      <w:r w:rsidRPr="009072DA">
        <w:rPr>
          <w:lang w:val="bg-BG"/>
        </w:rPr>
        <w:t>в)</w:t>
      </w:r>
      <w:r w:rsidRPr="009072DA">
        <w:rPr>
          <w:lang w:val="bg-BG"/>
        </w:rPr>
        <w:tab/>
        <w:t>Укрепването на листове на надлъжната греда на корпуса не трябва да бъде по-широко от 600 mm.</w:t>
      </w:r>
    </w:p>
    <w:p w:rsidR="004F47BB" w:rsidRPr="009072DA" w:rsidRDefault="004F47BB" w:rsidP="004F47BB">
      <w:pPr>
        <w:spacing w:before="60" w:line="240" w:lineRule="atLeast"/>
        <w:ind w:left="993" w:hanging="426"/>
        <w:rPr>
          <w:rFonts w:eastAsia="Batang" w:cs="Arial"/>
          <w:lang w:val="bg-BG"/>
        </w:rPr>
      </w:pPr>
      <w:r w:rsidRPr="009072DA">
        <w:rPr>
          <w:lang w:val="bg-BG"/>
        </w:rPr>
        <w:t>г)</w:t>
      </w:r>
      <w:r w:rsidRPr="009072DA">
        <w:rPr>
          <w:lang w:val="bg-BG"/>
        </w:rPr>
        <w:tab/>
        <w:t>Дебелината на листовете от допълнителна корабна обшивка трябва да бъде между 1 и 1,5 пъти дебелината на листа, върху който са монтирани.</w:t>
      </w:r>
    </w:p>
    <w:p w:rsidR="004F47BB" w:rsidRPr="009072DA" w:rsidRDefault="004F47BB" w:rsidP="004F47BB">
      <w:pPr>
        <w:spacing w:before="60" w:line="240" w:lineRule="atLeast"/>
        <w:ind w:left="993" w:hanging="426"/>
        <w:rPr>
          <w:rFonts w:eastAsia="Batang" w:cs="Arial"/>
          <w:lang w:val="bg-BG"/>
        </w:rPr>
      </w:pPr>
      <w:r w:rsidRPr="009072DA">
        <w:rPr>
          <w:lang w:val="bg-BG"/>
        </w:rPr>
        <w:t>д)</w:t>
      </w:r>
      <w:r w:rsidRPr="009072DA">
        <w:rPr>
          <w:lang w:val="bg-BG"/>
        </w:rPr>
        <w:tab/>
        <w:t>Листове от допълнителна корабна обшивка, монтирани за забавяне на износването или за подмяната на листовете на корпуса, трябва да бъдат заменени, когато дебелината им е по-малка от 3 mm.</w:t>
      </w:r>
    </w:p>
    <w:p w:rsidR="004F47BB" w:rsidRPr="009072DA" w:rsidRDefault="004F47BB" w:rsidP="004F47BB">
      <w:pPr>
        <w:spacing w:line="240" w:lineRule="atLeast"/>
        <w:ind w:left="567"/>
        <w:rPr>
          <w:rFonts w:eastAsia="Batang"/>
          <w:lang w:val="bg-BG"/>
        </w:rPr>
      </w:pPr>
    </w:p>
    <w:p w:rsidR="004F47BB" w:rsidRPr="009072DA" w:rsidRDefault="004F47BB" w:rsidP="004F47BB">
      <w:pPr>
        <w:spacing w:line="240" w:lineRule="atLeast"/>
        <w:ind w:left="567"/>
        <w:rPr>
          <w:rFonts w:eastAsia="Batang"/>
          <w:lang w:val="bg-BG"/>
        </w:rPr>
      </w:pPr>
      <w:r w:rsidRPr="009072DA">
        <w:rPr>
          <w:lang w:val="bg-BG"/>
        </w:rPr>
        <w:t>Наличието на листове от допълнителна корабна обшивка трябва да бъде посочено в протокола за измерванията на дебелината. При подновяване на удостоверението, зоните на плавателния съд, където са монтирани листовете от допълнителна корабна обшивка, трябва да бъдат внимателно проучени, за да се определи дали те могат да се поддържат в това състояние.</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sectPr w:rsidR="004F47BB" w:rsidRPr="009072DA" w:rsidSect="00D45887">
          <w:pgSz w:w="11907" w:h="16840" w:code="9"/>
          <w:pgMar w:top="1418" w:right="1418" w:bottom="1418" w:left="1418" w:header="680" w:footer="680" w:gutter="0"/>
          <w:cols w:space="720"/>
          <w:noEndnote/>
          <w:titlePg/>
        </w:sectPr>
      </w:pPr>
    </w:p>
    <w:p w:rsidR="004F47BB" w:rsidRPr="009072DA" w:rsidRDefault="004F47BB" w:rsidP="005B46C9">
      <w:pPr>
        <w:pStyle w:val="ES-Titre2ESI"/>
      </w:pPr>
      <w:bookmarkStart w:id="738" w:name="_Toc491854352"/>
      <w:bookmarkStart w:id="739" w:name="_Toc535827793"/>
      <w:r w:rsidRPr="009072DA">
        <w:lastRenderedPageBreak/>
        <w:t>ESI-II-3</w:t>
      </w:r>
      <w:r w:rsidRPr="009072DA">
        <w:br/>
        <w:t>Минимална предписана скорост на движение напред, способност за спиране и способност за движение на заден ход</w:t>
      </w:r>
      <w:bookmarkEnd w:id="738"/>
      <w:bookmarkEnd w:id="739"/>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jc w:val="center"/>
        <w:rPr>
          <w:b/>
          <w:lang w:val="bg-BG"/>
        </w:rPr>
      </w:pPr>
      <w:r w:rsidRPr="009072DA">
        <w:rPr>
          <w:b/>
          <w:lang w:val="bg-BG"/>
        </w:rPr>
        <w:t>(Членове 5.06, 5.07 и 5.08</w:t>
      </w:r>
    </w:p>
    <w:p w:rsidR="004F47BB" w:rsidRPr="009072DA" w:rsidRDefault="004F47BB" w:rsidP="004F47BB">
      <w:pPr>
        <w:spacing w:line="240" w:lineRule="atLeast"/>
        <w:ind w:left="567" w:hanging="567"/>
        <w:jc w:val="center"/>
        <w:rPr>
          <w:b/>
          <w:lang w:val="bg-BG"/>
        </w:rPr>
      </w:pPr>
      <w:r w:rsidRPr="009072DA">
        <w:rPr>
          <w:b/>
          <w:lang w:val="bg-BG"/>
        </w:rPr>
        <w:t>във връзка с член 5.02, точка 1, член 5.03, точка 1, член 5.04 и член 21.06)</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1.</w:t>
      </w:r>
      <w:r w:rsidRPr="009072DA">
        <w:rPr>
          <w:lang w:val="bg-BG"/>
        </w:rPr>
        <w:tab/>
      </w:r>
      <w:r w:rsidRPr="009072DA">
        <w:rPr>
          <w:b/>
          <w:color w:val="000000"/>
          <w:lang w:val="bg-BG"/>
        </w:rPr>
        <w:t>Минимална предписана скорост (напред) в съответствие с член 5.06</w:t>
      </w:r>
    </w:p>
    <w:p w:rsidR="004F47BB" w:rsidRPr="009072DA" w:rsidRDefault="004F47BB" w:rsidP="004F47BB">
      <w:pPr>
        <w:tabs>
          <w:tab w:val="left" w:pos="567"/>
        </w:tabs>
        <w:overflowPunct w:val="0"/>
        <w:adjustRightInd w:val="0"/>
        <w:spacing w:line="240" w:lineRule="atLeast"/>
        <w:ind w:left="567" w:hanging="567"/>
        <w:textAlignment w:val="baseline"/>
        <w:rPr>
          <w:szCs w:val="20"/>
          <w:lang w:val="bg-BG"/>
        </w:rPr>
      </w:pPr>
    </w:p>
    <w:p w:rsidR="004F47BB" w:rsidRPr="009072DA" w:rsidRDefault="004F47BB" w:rsidP="004F47BB">
      <w:pPr>
        <w:spacing w:line="240" w:lineRule="atLeast"/>
        <w:ind w:left="567"/>
        <w:rPr>
          <w:lang w:val="bg-BG"/>
        </w:rPr>
      </w:pPr>
      <w:r w:rsidRPr="009072DA">
        <w:rPr>
          <w:lang w:val="bg-BG"/>
        </w:rPr>
        <w:t>Скоростта спрямо водата е задоволителна в съответствие с член 5.06, точка 1, когато достигне най-малко 13 km/h. По време на изпитванията трябва да са изпълнени по същия начин, както при изпитването за спиране, следните условия:</w:t>
      </w:r>
    </w:p>
    <w:p w:rsidR="004F47BB" w:rsidRPr="009072DA" w:rsidRDefault="004F47BB" w:rsidP="004F47BB">
      <w:pPr>
        <w:spacing w:before="60" w:line="240" w:lineRule="atLeast"/>
        <w:ind w:left="992"/>
        <w:rPr>
          <w:lang w:val="bg-BG"/>
        </w:rPr>
      </w:pPr>
      <w:r w:rsidRPr="009072DA">
        <w:rPr>
          <w:lang w:val="bg-BG"/>
        </w:rPr>
        <w:t>a)</w:t>
      </w:r>
      <w:r w:rsidRPr="009072DA">
        <w:rPr>
          <w:lang w:val="bg-BG"/>
        </w:rPr>
        <w:tab/>
        <w:t>дълбочината под кила, определена в точка 2.1, трябва да бъде спазена;</w:t>
      </w:r>
    </w:p>
    <w:p w:rsidR="004F47BB" w:rsidRPr="009072DA" w:rsidRDefault="004F47BB" w:rsidP="004F47BB">
      <w:pPr>
        <w:spacing w:before="60" w:line="240" w:lineRule="atLeast"/>
        <w:ind w:left="992"/>
        <w:rPr>
          <w:lang w:val="bg-BG"/>
        </w:rPr>
      </w:pPr>
      <w:r w:rsidRPr="009072DA">
        <w:rPr>
          <w:lang w:val="bg-BG"/>
        </w:rPr>
        <w:t>б)</w:t>
      </w:r>
      <w:r w:rsidRPr="009072DA">
        <w:rPr>
          <w:lang w:val="bg-BG"/>
        </w:rPr>
        <w:tab/>
        <w:t>измерването, записването, регистрирането и оценката на данните от изпитването се извършват в съответствие с процедурата, описана в приложение 1.</w:t>
      </w:r>
    </w:p>
    <w:p w:rsidR="004F47BB" w:rsidRPr="009072DA" w:rsidRDefault="004F47BB" w:rsidP="004F47BB">
      <w:pPr>
        <w:tabs>
          <w:tab w:val="left" w:pos="567"/>
        </w:tabs>
        <w:overflowPunct w:val="0"/>
        <w:adjustRightInd w:val="0"/>
        <w:spacing w:line="240" w:lineRule="atLeast"/>
        <w:ind w:left="567" w:hanging="567"/>
        <w:textAlignment w:val="baseline"/>
        <w:rPr>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w:t>
      </w:r>
      <w:r w:rsidRPr="009072DA">
        <w:rPr>
          <w:lang w:val="bg-BG"/>
        </w:rPr>
        <w:tab/>
      </w:r>
      <w:r w:rsidRPr="009072DA">
        <w:rPr>
          <w:b/>
          <w:color w:val="000000"/>
          <w:lang w:val="bg-BG"/>
        </w:rPr>
        <w:t>Способност за спиране и способност за движение на заден ход, предписани в съответствие с членове 5.07 и 5.08</w:t>
      </w:r>
    </w:p>
    <w:p w:rsidR="004F47BB" w:rsidRPr="009072DA" w:rsidRDefault="004F47BB" w:rsidP="004F47BB">
      <w:pPr>
        <w:tabs>
          <w:tab w:val="left" w:pos="567"/>
        </w:tabs>
        <w:overflowPunct w:val="0"/>
        <w:adjustRightInd w:val="0"/>
        <w:spacing w:line="240" w:lineRule="atLeast"/>
        <w:ind w:left="567" w:hanging="567"/>
        <w:textAlignment w:val="baseline"/>
        <w:rPr>
          <w:szCs w:val="20"/>
          <w:lang w:val="bg-BG"/>
        </w:rPr>
      </w:pPr>
    </w:p>
    <w:p w:rsidR="004F47BB" w:rsidRPr="009072DA" w:rsidRDefault="004F47BB" w:rsidP="004F47BB">
      <w:pPr>
        <w:spacing w:line="240" w:lineRule="atLeast"/>
        <w:ind w:left="567" w:hanging="567"/>
        <w:rPr>
          <w:lang w:val="bg-BG"/>
        </w:rPr>
      </w:pPr>
      <w:r w:rsidRPr="009072DA">
        <w:rPr>
          <w:lang w:val="bg-BG"/>
        </w:rPr>
        <w:t>2.1</w:t>
      </w:r>
      <w:r w:rsidRPr="009072DA">
        <w:rPr>
          <w:lang w:val="bg-BG"/>
        </w:rPr>
        <w:tab/>
        <w:t>Съдове и състави се считат за способни да спират своевременно с нос по течението в съответствие с член 5.07, точка 1, ако това се докаже с изпитване за спиране спрямо брега, с нос по течението при начална скорост спрямо водата 13 km/h, с дълбочина под кила, равна на най-малко 20 % от газенето, но не по-малка от 0,50 m.</w:t>
      </w:r>
    </w:p>
    <w:p w:rsidR="004F47BB" w:rsidRPr="009072DA" w:rsidRDefault="004F47BB" w:rsidP="004F47BB">
      <w:pPr>
        <w:spacing w:before="60" w:line="240" w:lineRule="atLeast"/>
        <w:ind w:left="992"/>
        <w:rPr>
          <w:lang w:val="bg-BG"/>
        </w:rPr>
      </w:pPr>
      <w:r w:rsidRPr="009072DA">
        <w:rPr>
          <w:lang w:val="bg-BG"/>
        </w:rPr>
        <w:t>a)</w:t>
      </w:r>
      <w:r w:rsidRPr="009072DA">
        <w:rPr>
          <w:lang w:val="bg-BG"/>
        </w:rPr>
        <w:tab/>
        <w:t>В течаща вода (скорост на течението 1,5 m/s) спирането спрямо водата трябва да се осъществи на не повече от следното разстояние, измерено по брега:</w:t>
      </w:r>
    </w:p>
    <w:p w:rsidR="004F47BB" w:rsidRPr="009072DA" w:rsidRDefault="004F47BB" w:rsidP="004F47BB">
      <w:pPr>
        <w:spacing w:before="60" w:line="240" w:lineRule="atLeast"/>
        <w:ind w:left="992"/>
        <w:rPr>
          <w:lang w:val="bg-BG"/>
        </w:rPr>
      </w:pPr>
      <w:r w:rsidRPr="009072DA">
        <w:rPr>
          <w:lang w:val="bg-BG"/>
        </w:rPr>
        <w:t>550 m за плавателни съдове и състави с:</w:t>
      </w:r>
    </w:p>
    <w:p w:rsidR="004F47BB" w:rsidRPr="009072DA" w:rsidRDefault="004F47BB" w:rsidP="004F47BB">
      <w:pPr>
        <w:spacing w:before="60" w:line="240" w:lineRule="atLeast"/>
        <w:ind w:left="1418" w:hanging="426"/>
        <w:rPr>
          <w:lang w:val="bg-BG"/>
        </w:rPr>
      </w:pPr>
      <w:r w:rsidRPr="009072DA">
        <w:rPr>
          <w:lang w:val="bg-BG"/>
        </w:rPr>
        <w:t>-</w:t>
      </w:r>
      <w:r w:rsidRPr="009072DA">
        <w:rPr>
          <w:lang w:val="bg-BG"/>
        </w:rPr>
        <w:tab/>
        <w:t xml:space="preserve">дължина </w:t>
      </w:r>
      <m:oMath>
        <m:r>
          <w:rPr>
            <w:rFonts w:ascii="Cambria Math" w:hAnsi="Cambria Math"/>
            <w:lang w:val="bg-BG"/>
          </w:rPr>
          <m:t>L &gt; 110 m</m:t>
        </m:r>
      </m:oMath>
      <w:r w:rsidRPr="009072DA">
        <w:rPr>
          <w:lang w:val="bg-BG"/>
        </w:rPr>
        <w:t xml:space="preserve"> или</w:t>
      </w:r>
    </w:p>
    <w:p w:rsidR="004F47BB" w:rsidRPr="009072DA" w:rsidRDefault="004F47BB" w:rsidP="004F47BB">
      <w:pPr>
        <w:spacing w:before="60" w:line="240" w:lineRule="atLeast"/>
        <w:ind w:left="1418" w:hanging="426"/>
        <w:rPr>
          <w:lang w:val="bg-BG"/>
        </w:rPr>
      </w:pPr>
      <w:r w:rsidRPr="009072DA">
        <w:rPr>
          <w:lang w:val="bg-BG"/>
        </w:rPr>
        <w:t>-</w:t>
      </w:r>
      <w:r w:rsidRPr="009072DA">
        <w:rPr>
          <w:lang w:val="bg-BG"/>
        </w:rPr>
        <w:tab/>
        <w:t xml:space="preserve">ширина </w:t>
      </w:r>
      <m:oMath>
        <m:r>
          <w:rPr>
            <w:rFonts w:ascii="Cambria Math" w:hAnsi="Cambria Math"/>
            <w:lang w:val="bg-BG"/>
          </w:rPr>
          <m:t>B &gt; 11,45 m</m:t>
        </m:r>
      </m:oMath>
      <w:r w:rsidRPr="009072DA">
        <w:rPr>
          <w:lang w:val="bg-BG"/>
        </w:rPr>
        <w:t>,</w:t>
      </w:r>
    </w:p>
    <w:p w:rsidR="004F47BB" w:rsidRPr="009072DA" w:rsidRDefault="004F47BB" w:rsidP="004F47BB">
      <w:pPr>
        <w:spacing w:before="60" w:line="240" w:lineRule="atLeast"/>
        <w:ind w:left="992"/>
        <w:rPr>
          <w:lang w:val="bg-BG"/>
        </w:rPr>
      </w:pPr>
      <w:r w:rsidRPr="009072DA">
        <w:rPr>
          <w:lang w:val="bg-BG"/>
        </w:rPr>
        <w:t>или</w:t>
      </w:r>
    </w:p>
    <w:p w:rsidR="004F47BB" w:rsidRPr="009072DA" w:rsidRDefault="004F47BB" w:rsidP="004F47BB">
      <w:pPr>
        <w:spacing w:before="60" w:line="240" w:lineRule="atLeast"/>
        <w:ind w:left="992"/>
        <w:rPr>
          <w:lang w:val="bg-BG"/>
        </w:rPr>
      </w:pPr>
      <w:r w:rsidRPr="009072DA">
        <w:rPr>
          <w:lang w:val="bg-BG"/>
        </w:rPr>
        <w:t>480 m за плавателни съдове и състави с:</w:t>
      </w:r>
    </w:p>
    <w:p w:rsidR="004F47BB" w:rsidRPr="009072DA" w:rsidRDefault="004F47BB" w:rsidP="004F47BB">
      <w:pPr>
        <w:spacing w:before="60" w:line="240" w:lineRule="atLeast"/>
        <w:ind w:left="1418" w:hanging="426"/>
        <w:rPr>
          <w:lang w:val="bg-BG"/>
        </w:rPr>
      </w:pPr>
      <w:r w:rsidRPr="009072DA">
        <w:rPr>
          <w:lang w:val="bg-BG"/>
        </w:rPr>
        <w:t>-</w:t>
      </w:r>
      <w:r w:rsidRPr="009072DA">
        <w:rPr>
          <w:lang w:val="bg-BG"/>
        </w:rPr>
        <w:tab/>
        <w:t xml:space="preserve">дължина </w:t>
      </w:r>
      <m:oMath>
        <m:r>
          <w:rPr>
            <w:rFonts w:ascii="Cambria Math" w:hAnsi="Cambria Math"/>
            <w:lang w:val="bg-BG"/>
          </w:rPr>
          <m:t>L ≤ 110 m</m:t>
        </m:r>
      </m:oMath>
      <w:r w:rsidRPr="009072DA">
        <w:rPr>
          <w:lang w:val="bg-BG"/>
        </w:rPr>
        <w:t xml:space="preserve"> и</w:t>
      </w:r>
    </w:p>
    <w:p w:rsidR="004F47BB" w:rsidRPr="009072DA" w:rsidRDefault="004F47BB" w:rsidP="004F47BB">
      <w:pPr>
        <w:spacing w:before="60" w:line="240" w:lineRule="atLeast"/>
        <w:ind w:left="1418" w:hanging="426"/>
        <w:rPr>
          <w:lang w:val="bg-BG"/>
        </w:rPr>
      </w:pPr>
      <w:r w:rsidRPr="009072DA">
        <w:rPr>
          <w:lang w:val="bg-BG"/>
        </w:rPr>
        <w:t>-</w:t>
      </w:r>
      <w:r w:rsidRPr="009072DA">
        <w:rPr>
          <w:lang w:val="bg-BG"/>
        </w:rPr>
        <w:tab/>
        <w:t xml:space="preserve">ширина </w:t>
      </w:r>
      <m:oMath>
        <m:r>
          <w:rPr>
            <w:rFonts w:ascii="Cambria Math" w:hAnsi="Cambria Math"/>
            <w:lang w:val="bg-BG"/>
          </w:rPr>
          <m:t>B ≤ 11,45 m</m:t>
        </m:r>
      </m:oMath>
      <w:r w:rsidRPr="009072DA">
        <w:rPr>
          <w:lang w:val="bg-BG"/>
        </w:rPr>
        <w:t>.</w:t>
      </w:r>
    </w:p>
    <w:p w:rsidR="004F47BB" w:rsidRPr="009072DA" w:rsidRDefault="004F47BB" w:rsidP="004F47BB">
      <w:pPr>
        <w:spacing w:before="60" w:line="240" w:lineRule="atLeast"/>
        <w:ind w:left="992"/>
        <w:rPr>
          <w:lang w:val="bg-BG"/>
        </w:rPr>
      </w:pPr>
      <w:r w:rsidRPr="009072DA">
        <w:rPr>
          <w:lang w:val="bg-BG"/>
        </w:rPr>
        <w:t>Маневрата за спиране се завършва при спиране спрямо брега.</w:t>
      </w:r>
    </w:p>
    <w:p w:rsidR="004F47BB" w:rsidRPr="009072DA" w:rsidRDefault="004F47BB" w:rsidP="004F47BB">
      <w:pPr>
        <w:spacing w:before="60" w:line="240" w:lineRule="atLeast"/>
        <w:ind w:left="992"/>
        <w:rPr>
          <w:lang w:val="bg-BG"/>
        </w:rPr>
      </w:pPr>
      <w:r w:rsidRPr="009072DA">
        <w:rPr>
          <w:lang w:val="bg-BG"/>
        </w:rPr>
        <w:lastRenderedPageBreak/>
        <w:t>б)</w:t>
      </w:r>
      <w:r w:rsidRPr="009072DA">
        <w:rPr>
          <w:lang w:val="bg-BG"/>
        </w:rPr>
        <w:tab/>
        <w:t>При тиха вода (скорост на течението, по-малка от 0,2 m/s) спирането спрямо водата трябва да се осъществи на не повече от следното разстояние, измерено по брега:</w:t>
      </w:r>
    </w:p>
    <w:p w:rsidR="004F47BB" w:rsidRPr="009072DA" w:rsidRDefault="004F47BB" w:rsidP="004F47BB">
      <w:pPr>
        <w:spacing w:before="60" w:line="240" w:lineRule="atLeast"/>
        <w:ind w:left="992"/>
        <w:rPr>
          <w:lang w:val="bg-BG"/>
        </w:rPr>
      </w:pPr>
      <w:r w:rsidRPr="009072DA">
        <w:rPr>
          <w:lang w:val="bg-BG"/>
        </w:rPr>
        <w:t>350 m за плавателни съдове и състави с:</w:t>
      </w:r>
    </w:p>
    <w:p w:rsidR="004F47BB" w:rsidRPr="009072DA" w:rsidRDefault="004F47BB" w:rsidP="004F47BB">
      <w:pPr>
        <w:spacing w:before="60" w:line="240" w:lineRule="atLeast"/>
        <w:ind w:left="1418" w:hanging="426"/>
        <w:rPr>
          <w:lang w:val="bg-BG"/>
        </w:rPr>
      </w:pPr>
      <w:r w:rsidRPr="009072DA">
        <w:rPr>
          <w:lang w:val="bg-BG"/>
        </w:rPr>
        <w:t>-</w:t>
      </w:r>
      <w:r w:rsidRPr="009072DA">
        <w:rPr>
          <w:lang w:val="bg-BG"/>
        </w:rPr>
        <w:tab/>
        <w:t xml:space="preserve">дължина </w:t>
      </w:r>
      <m:oMath>
        <m:r>
          <w:rPr>
            <w:rFonts w:ascii="Cambria Math" w:hAnsi="Cambria Math"/>
            <w:lang w:val="bg-BG"/>
          </w:rPr>
          <m:t>L &gt; 110 m</m:t>
        </m:r>
      </m:oMath>
      <w:r w:rsidRPr="009072DA">
        <w:rPr>
          <w:lang w:val="bg-BG"/>
        </w:rPr>
        <w:t xml:space="preserve"> или</w:t>
      </w:r>
    </w:p>
    <w:p w:rsidR="004F47BB" w:rsidRPr="009072DA" w:rsidRDefault="004F47BB" w:rsidP="004F47BB">
      <w:pPr>
        <w:spacing w:before="60" w:line="240" w:lineRule="atLeast"/>
        <w:ind w:left="1418" w:hanging="426"/>
        <w:rPr>
          <w:lang w:val="bg-BG"/>
        </w:rPr>
      </w:pPr>
      <w:r w:rsidRPr="009072DA">
        <w:rPr>
          <w:lang w:val="bg-BG"/>
        </w:rPr>
        <w:t>-</w:t>
      </w:r>
      <w:r w:rsidRPr="009072DA">
        <w:rPr>
          <w:lang w:val="bg-BG"/>
        </w:rPr>
        <w:tab/>
        <w:t xml:space="preserve">ширина </w:t>
      </w:r>
      <m:oMath>
        <m:r>
          <w:rPr>
            <w:rFonts w:ascii="Cambria Math" w:hAnsi="Cambria Math"/>
            <w:lang w:val="bg-BG"/>
          </w:rPr>
          <m:t>B &gt; 11,45 m</m:t>
        </m:r>
      </m:oMath>
      <w:r w:rsidRPr="009072DA">
        <w:rPr>
          <w:lang w:val="bg-BG"/>
        </w:rPr>
        <w:t>,</w:t>
      </w:r>
    </w:p>
    <w:p w:rsidR="004F47BB" w:rsidRPr="009072DA" w:rsidRDefault="004F47BB" w:rsidP="004F47BB">
      <w:pPr>
        <w:spacing w:before="60" w:line="240" w:lineRule="atLeast"/>
        <w:ind w:left="992"/>
        <w:rPr>
          <w:lang w:val="bg-BG"/>
        </w:rPr>
      </w:pPr>
      <w:r w:rsidRPr="009072DA">
        <w:rPr>
          <w:lang w:val="bg-BG"/>
        </w:rPr>
        <w:t>или</w:t>
      </w:r>
    </w:p>
    <w:p w:rsidR="004F47BB" w:rsidRPr="009072DA" w:rsidRDefault="004F47BB" w:rsidP="004F47BB">
      <w:pPr>
        <w:spacing w:before="60" w:line="240" w:lineRule="atLeast"/>
        <w:ind w:left="992"/>
        <w:rPr>
          <w:lang w:val="bg-BG"/>
        </w:rPr>
      </w:pPr>
      <w:r w:rsidRPr="009072DA">
        <w:rPr>
          <w:lang w:val="bg-BG"/>
        </w:rPr>
        <w:t>305 m за плавателни съдове и състави с:</w:t>
      </w:r>
    </w:p>
    <w:p w:rsidR="004F47BB" w:rsidRPr="009072DA" w:rsidRDefault="004F47BB" w:rsidP="004F47BB">
      <w:pPr>
        <w:spacing w:before="60" w:line="240" w:lineRule="atLeast"/>
        <w:ind w:left="1418" w:hanging="426"/>
        <w:rPr>
          <w:lang w:val="bg-BG"/>
        </w:rPr>
      </w:pPr>
      <w:r w:rsidRPr="009072DA">
        <w:rPr>
          <w:lang w:val="bg-BG"/>
        </w:rPr>
        <w:t>-</w:t>
      </w:r>
      <w:r w:rsidRPr="009072DA">
        <w:rPr>
          <w:lang w:val="bg-BG"/>
        </w:rPr>
        <w:tab/>
        <w:t xml:space="preserve">дължина </w:t>
      </w:r>
      <m:oMath>
        <m:r>
          <w:rPr>
            <w:rFonts w:ascii="Cambria Math" w:hAnsi="Cambria Math"/>
            <w:lang w:val="bg-BG"/>
          </w:rPr>
          <m:t xml:space="preserve">L ≤ 110 m </m:t>
        </m:r>
      </m:oMath>
      <w:r w:rsidRPr="009072DA">
        <w:rPr>
          <w:lang w:val="bg-BG"/>
        </w:rPr>
        <w:t>и</w:t>
      </w:r>
    </w:p>
    <w:p w:rsidR="004F47BB" w:rsidRPr="009072DA" w:rsidRDefault="004F47BB" w:rsidP="004F47BB">
      <w:pPr>
        <w:spacing w:before="60" w:line="240" w:lineRule="atLeast"/>
        <w:ind w:left="1418" w:hanging="426"/>
        <w:rPr>
          <w:lang w:val="bg-BG"/>
        </w:rPr>
      </w:pPr>
      <w:r w:rsidRPr="009072DA">
        <w:rPr>
          <w:lang w:val="bg-BG"/>
        </w:rPr>
        <w:t>-</w:t>
      </w:r>
      <w:r w:rsidRPr="009072DA">
        <w:rPr>
          <w:lang w:val="bg-BG"/>
        </w:rPr>
        <w:tab/>
        <w:t xml:space="preserve">ширина </w:t>
      </w:r>
      <m:oMath>
        <m:r>
          <w:rPr>
            <w:rFonts w:ascii="Cambria Math" w:hAnsi="Cambria Math"/>
            <w:lang w:val="bg-BG"/>
          </w:rPr>
          <m:t>B ≤ 11,45 m</m:t>
        </m:r>
      </m:oMath>
      <w:r w:rsidRPr="009072DA">
        <w:rPr>
          <w:lang w:val="bg-BG"/>
        </w:rPr>
        <w:t>.</w:t>
      </w:r>
    </w:p>
    <w:p w:rsidR="004F47BB" w:rsidRPr="009072DA" w:rsidRDefault="004F47BB" w:rsidP="004F47BB">
      <w:pPr>
        <w:spacing w:before="60" w:line="240" w:lineRule="atLeast"/>
        <w:ind w:left="992"/>
        <w:rPr>
          <w:lang w:val="bg-BG"/>
        </w:rPr>
      </w:pPr>
      <w:r w:rsidRPr="009072DA">
        <w:rPr>
          <w:lang w:val="bg-BG"/>
        </w:rPr>
        <w:t>При тиха вода се провежда изпитване, за да се покаже, че при движение на заден ход може да се постигне скорост, не по-малка от 6,5 km/h.</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br w:type="page"/>
      </w:r>
    </w:p>
    <w:p w:rsidR="004F47BB" w:rsidRPr="009072DA" w:rsidRDefault="004F47BB" w:rsidP="004F47BB">
      <w:pPr>
        <w:spacing w:line="240" w:lineRule="atLeast"/>
        <w:ind w:left="567"/>
        <w:rPr>
          <w:lang w:val="bg-BG"/>
        </w:rPr>
      </w:pPr>
      <w:r w:rsidRPr="009072DA">
        <w:rPr>
          <w:lang w:val="bg-BG"/>
        </w:rPr>
        <w:lastRenderedPageBreak/>
        <w:t>Измерването, записването и регистрирането на данните от изпитването, посочени в буква а) или б), се извършват съгласно процедурата, определена в приложение 1.</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По време на цялото изпитване плавателният съд или съставът трябва да имат достатъчна маневреност.</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2.2</w:t>
      </w:r>
      <w:r w:rsidRPr="009072DA">
        <w:rPr>
          <w:lang w:val="bg-BG"/>
        </w:rPr>
        <w:tab/>
        <w:t>В съответствие с член 5.04, по време на изпитването плавателните съдове трябва да са натоварени, доколкото е възможно, до 70—100 % от товароподемността им. Това състояние на натоварване се оценява в съответствие с приложение 2. Когато съдът или съставът е натоварен на по-малко от 70 % по време на изпитването, допустимото максимално водоизместване при плаване по течението се определя в съответствие с действителното натоварване, ако пределните стойности от точка 2.1 са спазени.</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2.3</w:t>
      </w:r>
      <w:r w:rsidRPr="009072DA">
        <w:rPr>
          <w:lang w:val="bg-BG"/>
        </w:rPr>
        <w:tab/>
        <w:t>Ако действителните стойности на началната скорост и скоростта на течението по време на изпитването не отговарят на условията, определени в точка 2.1, получените резултати се оценяват съгласно процедурата, описана в приложение 2.</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rPr>
          <w:lang w:val="bg-BG"/>
        </w:rPr>
      </w:pPr>
      <w:r w:rsidRPr="009072DA">
        <w:rPr>
          <w:lang w:val="bg-BG"/>
        </w:rPr>
        <w:t xml:space="preserve">Допустимото отклонение спрямо началната скорост от 13 km/h не трябва да бъде повече от </w:t>
      </w:r>
      <w:r w:rsidRPr="009072DA">
        <w:rPr>
          <w:lang w:val="bg-BG"/>
        </w:rPr>
        <w:sym w:font="Symbol" w:char="F0B1"/>
      </w:r>
      <w:r w:rsidRPr="009072DA">
        <w:rPr>
          <w:lang w:val="bg-BG"/>
        </w:rPr>
        <w:t xml:space="preserve"> 1 km/h, а скоростта на течението при течаща вода трябва да бъде между 1,3 и 2,2 m/s, като в противен случай изпитванията се повтарят.</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2.4</w:t>
      </w:r>
      <w:r w:rsidRPr="009072DA">
        <w:rPr>
          <w:lang w:val="bg-BG"/>
        </w:rPr>
        <w:tab/>
        <w:t>Допустимото максимално водоизместване или съответното максимално натоварване, или максималното потопено сечение за съдове и състави при плаване по течението се определя въз основа на изпитванията и се вписва в удостоверението на плавателен съд за плаване по вътрешни водни пътища.</w:t>
      </w:r>
    </w:p>
    <w:p w:rsidR="004F47BB" w:rsidRPr="009072DA" w:rsidRDefault="004F47BB" w:rsidP="004F47BB">
      <w:pPr>
        <w:spacing w:line="240" w:lineRule="atLeast"/>
        <w:ind w:left="567" w:hanging="567"/>
        <w:jc w:val="center"/>
        <w:rPr>
          <w:lang w:val="bg-BG"/>
        </w:rPr>
      </w:pPr>
    </w:p>
    <w:p w:rsidR="004F47BB" w:rsidRPr="009072DA" w:rsidRDefault="004F47BB" w:rsidP="004F47BB">
      <w:pPr>
        <w:tabs>
          <w:tab w:val="left" w:pos="567"/>
        </w:tabs>
        <w:spacing w:line="240" w:lineRule="atLeast"/>
        <w:ind w:left="567" w:hanging="567"/>
        <w:rPr>
          <w:lang w:val="bg-BG"/>
        </w:rPr>
      </w:pPr>
    </w:p>
    <w:p w:rsidR="004F47BB" w:rsidRPr="009072DA" w:rsidRDefault="004F47BB" w:rsidP="004F47BB">
      <w:pPr>
        <w:spacing w:line="240" w:lineRule="atLeast"/>
        <w:ind w:left="567" w:hanging="567"/>
        <w:rPr>
          <w:lang w:val="bg-BG"/>
        </w:rPr>
        <w:sectPr w:rsidR="004F47BB" w:rsidRPr="009072DA" w:rsidSect="00D45887">
          <w:pgSz w:w="11907" w:h="16840" w:code="9"/>
          <w:pgMar w:top="1418" w:right="1418" w:bottom="1418" w:left="1418" w:header="680" w:footer="680" w:gutter="0"/>
          <w:cols w:space="720"/>
          <w:noEndnote/>
          <w:titlePg/>
        </w:sectPr>
      </w:pPr>
    </w:p>
    <w:p w:rsidR="004F47BB" w:rsidRPr="009072DA" w:rsidRDefault="004F47BB" w:rsidP="004F47BB">
      <w:pPr>
        <w:spacing w:line="240" w:lineRule="atLeast"/>
        <w:ind w:left="567" w:hanging="567"/>
        <w:rPr>
          <w:lang w:val="bg-BG"/>
        </w:rPr>
      </w:pPr>
    </w:p>
    <w:p w:rsidR="004F47BB" w:rsidRPr="009072DA" w:rsidRDefault="004F47BB" w:rsidP="00C859BD">
      <w:pPr>
        <w:pStyle w:val="ES-Titre4"/>
      </w:pPr>
      <w:r w:rsidRPr="009072DA">
        <w:t>Приложение 1 към указание ESI-II-3</w:t>
      </w:r>
    </w:p>
    <w:p w:rsidR="004F47BB" w:rsidRPr="009072DA" w:rsidRDefault="004F47BB" w:rsidP="00C859BD">
      <w:pPr>
        <w:pStyle w:val="ES-Titre4a"/>
      </w:pPr>
      <w:r w:rsidRPr="009072DA">
        <w:t>Измерване, записване и регистриране на данните, събрани по време на изпитванията на маневрата за спиране</w:t>
      </w: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1.</w:t>
      </w:r>
      <w:r w:rsidRPr="009072DA">
        <w:rPr>
          <w:lang w:val="bg-BG"/>
        </w:rPr>
        <w:tab/>
      </w:r>
      <w:r w:rsidRPr="009072DA">
        <w:rPr>
          <w:b/>
          <w:color w:val="000000"/>
          <w:lang w:val="bg-BG"/>
        </w:rPr>
        <w:t>Маневра за спиране</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 xml:space="preserve">На съдовете и съставите, посочени в глава 5, се провежда изпитване в течаща вода или в тиха вода на изпитвателен полигон, за да се докаже способността им за спиране с нос по течението само с използване на задвижващата им система и без използването на котви. По принцип маневрата за спиране се провежда в съответствие с фигура 1. Тя започва при движение на съда с постоянна скорост, възможно най-близка до 13 km/h спрямо водата, като се реверсират машините от „напред“ в „назад“ (точка </w:t>
      </w:r>
      <m:oMath>
        <m:r>
          <w:rPr>
            <w:rFonts w:ascii="Cambria Math" w:hAnsi="Cambria Math"/>
            <w:lang w:val="bg-BG"/>
          </w:rPr>
          <m:t>A</m:t>
        </m:r>
      </m:oMath>
      <w:r w:rsidRPr="009072DA">
        <w:rPr>
          <w:lang w:val="bg-BG"/>
        </w:rPr>
        <w:t xml:space="preserve"> от командата „стоп“), и завършва, когато съдът е неподвижен спрямо брега (точка </w:t>
      </w:r>
      <m:oMath>
        <m:r>
          <w:rPr>
            <w:rFonts w:ascii="Cambria Math" w:hAnsi="Cambria Math"/>
            <w:lang w:val="bg-BG"/>
          </w:rPr>
          <m:t>E: v=0</m:t>
        </m:r>
      </m:oMath>
      <w:r w:rsidRPr="009072DA">
        <w:rPr>
          <w:lang w:val="bg-BG"/>
        </w:rPr>
        <w:t xml:space="preserve"> спрямо брега или точка </w:t>
      </w:r>
      <m:oMath>
        <m:r>
          <w:rPr>
            <w:rFonts w:ascii="Cambria Math" w:hAnsi="Cambria Math"/>
            <w:lang w:val="bg-BG"/>
          </w:rPr>
          <m:t>D:=</m:t>
        </m:r>
      </m:oMath>
      <w:r w:rsidRPr="009072DA">
        <w:rPr>
          <w:lang w:val="bg-BG"/>
        </w:rPr>
        <w:t xml:space="preserve"> точка </w:t>
      </w:r>
      <m:oMath>
        <m:r>
          <w:rPr>
            <w:rFonts w:ascii="Cambria Math" w:hAnsi="Cambria Math"/>
            <w:lang w:val="bg-BG"/>
          </w:rPr>
          <m:t>E: v=0</m:t>
        </m:r>
      </m:oMath>
      <w:r w:rsidRPr="009072DA">
        <w:rPr>
          <w:lang w:val="bg-BG"/>
        </w:rPr>
        <w:t xml:space="preserve"> спрямо водата и спрямо брега, ако маневрата за спиране е проведена в тиха вода).</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 xml:space="preserve">Когато маневрите за спиране се провеждат в течаща вода, местоположението и моментът на спиране спрямо водата също се записват (плавателният съд се движи със скоростта на течението; точка </w:t>
      </w:r>
      <m:oMath>
        <m:r>
          <w:rPr>
            <w:rFonts w:ascii="Cambria Math" w:hAnsi="Cambria Math"/>
            <w:lang w:val="bg-BG"/>
          </w:rPr>
          <m:t>D: v=0</m:t>
        </m:r>
      </m:oMath>
      <w:r w:rsidRPr="009072DA">
        <w:rPr>
          <w:lang w:val="bg-BG"/>
        </w:rPr>
        <w:t xml:space="preserve"> спрямо водата).</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Измерените данни се вписват в протокол, както е показано на диаграмата от таблица 1. Преди провеждането на маневрата за спиране, непроменящите се данни се въвеждат в горната част на формуляра.</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Средната скорост на течението (</w:t>
      </w:r>
      <m:oMath>
        <m:sSub>
          <m:sSubPr>
            <m:ctrlPr>
              <w:rPr>
                <w:rFonts w:ascii="Cambria Math" w:hAnsi="Cambria Math" w:cs="Arial"/>
                <w:i/>
                <w:szCs w:val="20"/>
                <w:lang w:val="bg-BG"/>
              </w:rPr>
            </m:ctrlPr>
          </m:sSubPr>
          <m:e>
            <m:r>
              <w:rPr>
                <w:rFonts w:ascii="Cambria Math" w:hAnsi="Cambria Math" w:cs="Arial"/>
                <w:szCs w:val="20"/>
                <w:lang w:val="bg-BG"/>
              </w:rPr>
              <m:t>v</m:t>
            </m:r>
          </m:e>
          <m:sub>
            <m:r>
              <w:rPr>
                <w:rFonts w:ascii="Cambria Math" w:hAnsi="Cambria Math" w:cs="Arial"/>
                <w:szCs w:val="20"/>
                <w:lang w:val="bg-BG"/>
              </w:rPr>
              <m:t>STR</m:t>
            </m:r>
          </m:sub>
        </m:sSub>
      </m:oMath>
      <w:r w:rsidRPr="009072DA">
        <w:rPr>
          <w:lang w:val="bg-BG"/>
        </w:rPr>
        <w:t>) във фарватера се определя, ако е възможно, въз основа на отчета по установена водомерна рейка или като се измерва движението на плаващо тяло, и се вписва в протокола.</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По принцип използването на устройства за измерване на скоростта на течението за определяне на скоростта на съда спрямо водата по време на маневрата за спиране е разрешено, ако е възможно да се регистрират движението и необходимите данни в съответствие с процедурата по-горе.</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w:t>
      </w:r>
      <w:r w:rsidRPr="009072DA">
        <w:rPr>
          <w:lang w:val="bg-BG"/>
        </w:rPr>
        <w:tab/>
      </w:r>
      <w:r w:rsidRPr="009072DA">
        <w:rPr>
          <w:b/>
          <w:color w:val="000000"/>
          <w:lang w:val="bg-BG"/>
        </w:rPr>
        <w:t>Регистриране на измерените данни и записването им в протокола (таблица 1)</w:t>
      </w:r>
    </w:p>
    <w:p w:rsidR="004F47BB" w:rsidRPr="009072DA" w:rsidRDefault="004F47BB" w:rsidP="004F47BB">
      <w:pPr>
        <w:tabs>
          <w:tab w:val="left" w:pos="567"/>
        </w:tabs>
        <w:overflowPunct w:val="0"/>
        <w:adjustRightInd w:val="0"/>
        <w:spacing w:line="240" w:lineRule="exact"/>
        <w:ind w:left="567" w:hanging="567"/>
        <w:textAlignment w:val="baseline"/>
        <w:rPr>
          <w:szCs w:val="20"/>
          <w:lang w:val="bg-BG"/>
        </w:rPr>
      </w:pPr>
    </w:p>
    <w:p w:rsidR="004F47BB" w:rsidRPr="009072DA" w:rsidRDefault="004F47BB" w:rsidP="004F47BB">
      <w:pPr>
        <w:spacing w:line="240" w:lineRule="atLeast"/>
        <w:ind w:left="567"/>
        <w:rPr>
          <w:lang w:val="bg-BG"/>
        </w:rPr>
      </w:pPr>
      <w:r w:rsidRPr="009072DA">
        <w:rPr>
          <w:lang w:val="bg-BG"/>
        </w:rPr>
        <w:lastRenderedPageBreak/>
        <w:t>За маневрата за спиране трябва най-напред да бъде определена началната скорост спрямо водата. Това може да се направи, като се измери времето за преминаване между два знака на брега. В течаща вода средната скорост на течението трябва да бъде взета под внимание.</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 xml:space="preserve">Маневрата за спиране започва с командата „стоп“ </w:t>
      </w:r>
      <m:oMath>
        <m:r>
          <w:rPr>
            <w:rFonts w:ascii="Cambria Math" w:hAnsi="Cambria Math"/>
            <w:lang w:val="bg-BG"/>
          </w:rPr>
          <m:t>A</m:t>
        </m:r>
      </m:oMath>
      <w:r w:rsidRPr="009072DA">
        <w:rPr>
          <w:lang w:val="bg-BG"/>
        </w:rPr>
        <w:t>, подадена при преминаване покрай знак на брега. Преминаването покрай знака на брега се регистрира перпендикулярно на оста на плавателния съда и се вписва в протокола. По същия начин се регистрира преминаването покрай всички други знаци на брега по време на маневрата за спиране и всеки знак (напр. километричен знак), както и времето на преминаване се отбелязват в протокола.</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 xml:space="preserve">Измерените стойности, ако е възможно, се записват през интервал от 50 m. Във всички случаи се отбелязва времето, когато се достигат точки </w:t>
      </w:r>
      <m:oMath>
        <m:r>
          <w:rPr>
            <w:rFonts w:ascii="Cambria Math" w:hAnsi="Cambria Math"/>
            <w:lang w:val="bg-BG"/>
          </w:rPr>
          <m:t>B</m:t>
        </m:r>
      </m:oMath>
      <w:r w:rsidRPr="009072DA">
        <w:rPr>
          <w:lang w:val="bg-BG"/>
        </w:rPr>
        <w:t xml:space="preserve"> и </w:t>
      </w:r>
      <m:oMath>
        <m:r>
          <w:rPr>
            <w:rFonts w:ascii="Cambria Math" w:hAnsi="Cambria Math"/>
            <w:lang w:val="bg-BG"/>
          </w:rPr>
          <m:t>C</m:t>
        </m:r>
      </m:oMath>
      <w:r w:rsidRPr="009072DA">
        <w:rPr>
          <w:lang w:val="bg-BG"/>
        </w:rPr>
        <w:t xml:space="preserve">, ако е възможно, както и когато се достигат точки </w:t>
      </w:r>
      <m:oMath>
        <m:r>
          <w:rPr>
            <w:rFonts w:ascii="Cambria Math" w:hAnsi="Cambria Math"/>
            <w:lang w:val="bg-BG"/>
          </w:rPr>
          <m:t>D</m:t>
        </m:r>
      </m:oMath>
      <w:r w:rsidRPr="009072DA">
        <w:rPr>
          <w:lang w:val="bg-BG"/>
        </w:rPr>
        <w:t xml:space="preserve"> и </w:t>
      </w:r>
      <m:oMath>
        <m:r>
          <w:rPr>
            <w:rFonts w:ascii="Cambria Math" w:hAnsi="Cambria Math"/>
            <w:lang w:val="bg-BG"/>
          </w:rPr>
          <m:t>E</m:t>
        </m:r>
      </m:oMath>
      <w:r w:rsidRPr="009072DA">
        <w:rPr>
          <w:lang w:val="bg-BG"/>
        </w:rPr>
        <w:t>, и се прави оценка за съответното местоположение. Не е необходимо да се записват в протокола данните, отнасящи се до оборотите на машината, но би следвало те да се отбелязват за по-точен контрол върху началната скорост.</w:t>
      </w:r>
    </w:p>
    <w:p w:rsidR="004F47BB" w:rsidRPr="009072DA" w:rsidRDefault="004F47BB" w:rsidP="004F47BB">
      <w:pPr>
        <w:spacing w:line="240" w:lineRule="atLeast"/>
        <w:ind w:left="567"/>
        <w:rPr>
          <w:szCs w:val="20"/>
          <w:lang w:val="bg-BG"/>
        </w:rPr>
      </w:pPr>
      <w:r w:rsidRPr="009072DA">
        <w:rPr>
          <w:lang w:val="bg-BG"/>
        </w:rPr>
        <w:br w:type="page"/>
      </w: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lastRenderedPageBreak/>
        <w:t>3.</w:t>
      </w:r>
      <w:r w:rsidRPr="009072DA">
        <w:rPr>
          <w:lang w:val="bg-BG"/>
        </w:rPr>
        <w:tab/>
      </w:r>
      <w:r w:rsidRPr="009072DA">
        <w:rPr>
          <w:b/>
          <w:color w:val="000000"/>
          <w:lang w:val="bg-BG"/>
        </w:rPr>
        <w:t>Описание на маневрата за спиране</w:t>
      </w:r>
    </w:p>
    <w:p w:rsidR="004F47BB" w:rsidRPr="009072DA" w:rsidRDefault="004F47BB" w:rsidP="004F47BB">
      <w:pPr>
        <w:tabs>
          <w:tab w:val="left" w:pos="567"/>
        </w:tabs>
        <w:overflowPunct w:val="0"/>
        <w:adjustRightInd w:val="0"/>
        <w:spacing w:line="240" w:lineRule="exact"/>
        <w:ind w:left="567" w:hanging="567"/>
        <w:textAlignment w:val="baseline"/>
        <w:rPr>
          <w:szCs w:val="20"/>
          <w:lang w:val="bg-BG"/>
        </w:rPr>
      </w:pPr>
    </w:p>
    <w:p w:rsidR="004F47BB" w:rsidRPr="009072DA" w:rsidRDefault="004F47BB" w:rsidP="004F47BB">
      <w:pPr>
        <w:spacing w:line="240" w:lineRule="atLeast"/>
        <w:ind w:left="567"/>
        <w:rPr>
          <w:lang w:val="bg-BG"/>
        </w:rPr>
      </w:pPr>
      <w:r w:rsidRPr="009072DA">
        <w:rPr>
          <w:lang w:val="bg-BG"/>
        </w:rPr>
        <w:t xml:space="preserve">Маневрата за спиране съгласно фигура 1 трябва да се представи във формата на диаграма.  Най-напред се изготвя диаграма на преминаването край регистрираните точки, като се използват измерванията, вписани в протокола от изпитването, и се отбелязват точки от </w:t>
      </w:r>
      <m:oMath>
        <m:r>
          <w:rPr>
            <w:rFonts w:ascii="Cambria Math" w:hAnsi="Cambria Math"/>
            <w:lang w:val="bg-BG"/>
          </w:rPr>
          <m:t>A</m:t>
        </m:r>
      </m:oMath>
      <w:r w:rsidRPr="009072DA">
        <w:rPr>
          <w:lang w:val="bg-BG"/>
        </w:rPr>
        <w:t xml:space="preserve"> до </w:t>
      </w:r>
      <m:oMath>
        <m:r>
          <w:rPr>
            <w:rFonts w:ascii="Cambria Math" w:hAnsi="Cambria Math"/>
            <w:lang w:val="bg-BG"/>
          </w:rPr>
          <m:t>E</m:t>
        </m:r>
      </m:oMath>
      <w:r w:rsidRPr="009072DA">
        <w:rPr>
          <w:lang w:val="bg-BG"/>
        </w:rPr>
        <w:t xml:space="preserve">  След това ще е възможно да се определи средната скорост между две точки на измерване и да се начертае диаграмата скорост/време.</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Това се прави по следния начин (вж. фигура 1):</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 xml:space="preserve">Като се определи частното от разликата в местоположението и разликата във времето </w:t>
      </w:r>
      <m:oMath>
        <m:r>
          <w:rPr>
            <w:rFonts w:ascii="Cambria Math" w:hAnsi="Cambria Math"/>
            <w:lang w:val="bg-BG"/>
          </w:rPr>
          <m:t>Δs/Δt</m:t>
        </m:r>
      </m:oMath>
      <w:r w:rsidRPr="009072DA">
        <w:rPr>
          <w:lang w:val="bg-BG"/>
        </w:rPr>
        <w:t>, може да се изчисли средната скорост на съда през този период.</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В интервала между 0 сек. и 10 сек. е изминато разстоянието от 0 m до 50 m.</w:t>
      </w:r>
    </w:p>
    <w:p w:rsidR="004F47BB" w:rsidRPr="009072DA" w:rsidRDefault="004F47BB" w:rsidP="004F47BB">
      <w:pPr>
        <w:tabs>
          <w:tab w:val="left" w:pos="567"/>
        </w:tabs>
        <w:overflowPunct w:val="0"/>
        <w:adjustRightInd w:val="0"/>
        <w:spacing w:line="240" w:lineRule="exact"/>
        <w:ind w:left="567" w:hanging="567"/>
        <w:textAlignment w:val="baseline"/>
        <w:rPr>
          <w:szCs w:val="20"/>
          <w:lang w:val="bg-BG"/>
        </w:rPr>
      </w:pPr>
    </w:p>
    <w:p w:rsidR="004F47BB" w:rsidRPr="009072DA" w:rsidRDefault="004F47BB" w:rsidP="004F47BB">
      <w:pPr>
        <w:spacing w:line="240" w:lineRule="atLeast"/>
        <w:ind w:left="567"/>
        <w:jc w:val="center"/>
        <w:rPr>
          <w:lang w:val="bg-BG"/>
        </w:rPr>
      </w:pPr>
      <m:oMath>
        <m:r>
          <w:rPr>
            <w:rFonts w:ascii="Cambria Math" w:hAnsi="Cambria Math"/>
            <w:i/>
            <w:lang w:val="bg-BG"/>
          </w:rPr>
          <w:sym w:font="Symbol" w:char="F044"/>
        </m:r>
        <m:r>
          <w:rPr>
            <w:rFonts w:ascii="Cambria Math" w:hAnsi="Cambria Math"/>
            <w:lang w:val="bg-BG"/>
          </w:rPr>
          <m:t>s/</m:t>
        </m:r>
        <m:r>
          <w:rPr>
            <w:rFonts w:ascii="Cambria Math" w:hAnsi="Cambria Math"/>
            <w:i/>
            <w:lang w:val="bg-BG"/>
          </w:rPr>
          <w:sym w:font="Symbol" w:char="F044"/>
        </m:r>
        <m:r>
          <w:rPr>
            <w:rFonts w:ascii="Cambria Math" w:hAnsi="Cambria Math"/>
            <w:lang w:val="bg-BG"/>
          </w:rPr>
          <m:t>t</m:t>
        </m:r>
      </m:oMath>
      <w:r w:rsidRPr="009072DA">
        <w:rPr>
          <w:lang w:val="bg-BG"/>
        </w:rPr>
        <w:t xml:space="preserve"> = 50 m/10 s = 5,0 m/s = 18,0 km/h</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 xml:space="preserve">Тази стойност се нанася като средната скорост в позиция 5 сек. по абсцисата. </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През втория интервал, от 10 сек. до 20 сек., е изминато разстояние от 45 m</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jc w:val="center"/>
        <w:rPr>
          <w:lang w:val="bg-BG"/>
        </w:rPr>
      </w:pPr>
      <m:oMath>
        <m:r>
          <w:rPr>
            <w:rFonts w:ascii="Cambria Math" w:hAnsi="Cambria Math"/>
            <w:i/>
            <w:lang w:val="bg-BG"/>
          </w:rPr>
          <w:sym w:font="Symbol" w:char="F044"/>
        </m:r>
        <m:r>
          <w:rPr>
            <w:rFonts w:ascii="Cambria Math" w:hAnsi="Cambria Math"/>
            <w:lang w:val="bg-BG"/>
          </w:rPr>
          <m:t>s/</m:t>
        </m:r>
        <m:r>
          <w:rPr>
            <w:rFonts w:ascii="Cambria Math" w:hAnsi="Cambria Math"/>
            <w:i/>
            <w:lang w:val="bg-BG"/>
          </w:rPr>
          <w:sym w:font="Symbol" w:char="F044"/>
        </m:r>
        <m:r>
          <w:rPr>
            <w:rFonts w:ascii="Cambria Math" w:hAnsi="Cambria Math"/>
            <w:lang w:val="bg-BG"/>
          </w:rPr>
          <m:t>t</m:t>
        </m:r>
      </m:oMath>
      <w:r w:rsidRPr="009072DA">
        <w:rPr>
          <w:lang w:val="bg-BG"/>
        </w:rPr>
        <w:t xml:space="preserve"> = 45 m/10 s = 4,5 m/s = 16,2 km/h</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 xml:space="preserve">В точка </w:t>
      </w:r>
      <m:oMath>
        <m:r>
          <w:rPr>
            <w:rFonts w:ascii="Cambria Math" w:hAnsi="Cambria Math"/>
            <w:lang w:val="bg-BG"/>
          </w:rPr>
          <m:t>D</m:t>
        </m:r>
      </m:oMath>
      <w:r w:rsidRPr="009072DA">
        <w:rPr>
          <w:lang w:val="bg-BG"/>
        </w:rPr>
        <w:t>съдът е спрял спрямо водата, т.е. скоростта на течението е приблизително 5 km/h.</w:t>
      </w:r>
    </w:p>
    <w:p w:rsidR="004F47BB" w:rsidRPr="009072DA" w:rsidRDefault="004F47BB" w:rsidP="004F47BB">
      <w:pPr>
        <w:tabs>
          <w:tab w:val="left" w:pos="567"/>
        </w:tabs>
        <w:overflowPunct w:val="0"/>
        <w:adjustRightInd w:val="0"/>
        <w:spacing w:line="240" w:lineRule="exact"/>
        <w:ind w:left="567" w:hanging="567"/>
        <w:textAlignment w:val="baseline"/>
        <w:rPr>
          <w:szCs w:val="20"/>
          <w:lang w:val="bg-BG"/>
        </w:rPr>
      </w:pPr>
    </w:p>
    <w:p w:rsidR="004F47BB" w:rsidRPr="009072DA" w:rsidRDefault="004F47BB" w:rsidP="004F47BB">
      <w:pPr>
        <w:overflowPunct w:val="0"/>
        <w:adjustRightInd w:val="0"/>
        <w:jc w:val="center"/>
        <w:textAlignment w:val="baseline"/>
        <w:rPr>
          <w:b/>
          <w:szCs w:val="20"/>
          <w:lang w:val="bg-BG"/>
        </w:rPr>
      </w:pPr>
      <w:r w:rsidRPr="009072DA">
        <w:rPr>
          <w:lang w:val="bg-BG"/>
        </w:rPr>
        <w:br w:type="page"/>
      </w:r>
      <w:r w:rsidRPr="009072DA">
        <w:rPr>
          <w:b/>
          <w:lang w:val="bg-BG"/>
        </w:rPr>
        <w:lastRenderedPageBreak/>
        <w:t>Фигура 1: Маневра за спиране</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jc w:val="center"/>
        <w:textAlignment w:val="baseline"/>
        <w:rPr>
          <w:rFonts w:ascii="Times New Roman" w:hAnsi="Times New Roman"/>
          <w:szCs w:val="20"/>
          <w:lang w:val="bg-BG"/>
        </w:rPr>
      </w:pPr>
      <w:r w:rsidRPr="009072DA">
        <w:rPr>
          <w:rFonts w:ascii="Times New Roman" w:hAnsi="Times New Roman"/>
          <w:noProof/>
          <w:szCs w:val="20"/>
          <w:lang w:eastAsia="en-GB"/>
        </w:rPr>
        <w:drawing>
          <wp:inline distT="0" distB="0" distL="0" distR="0" wp14:anchorId="2F7DA687" wp14:editId="026A4357">
            <wp:extent cx="5372100" cy="3533775"/>
            <wp:effectExtent l="0" t="0" r="0" b="9525"/>
            <wp:docPr id="298" name="Imag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372100" cy="3533775"/>
                    </a:xfrm>
                    <a:prstGeom prst="rect">
                      <a:avLst/>
                    </a:prstGeom>
                    <a:noFill/>
                    <a:ln>
                      <a:noFill/>
                    </a:ln>
                  </pic:spPr>
                </pic:pic>
              </a:graphicData>
            </a:graphic>
          </wp:inline>
        </w:drawing>
      </w:r>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Легенда на означенията от фигура 1</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tabs>
          <w:tab w:val="left" w:pos="851"/>
          <w:tab w:val="left" w:pos="4820"/>
          <w:tab w:val="left" w:pos="5245"/>
        </w:tabs>
        <w:overflowPunct w:val="0"/>
        <w:adjustRightInd w:val="0"/>
        <w:spacing w:after="120" w:line="240" w:lineRule="exact"/>
        <w:textAlignment w:val="baseline"/>
        <w:rPr>
          <w:szCs w:val="20"/>
          <w:lang w:val="bg-BG"/>
        </w:rPr>
      </w:pPr>
      <m:oMath>
        <m:r>
          <w:rPr>
            <w:rFonts w:ascii="Cambria Math" w:hAnsi="Cambria Math"/>
            <w:szCs w:val="20"/>
            <w:lang w:val="bg-BG"/>
          </w:rPr>
          <m:t>A</m:t>
        </m:r>
      </m:oMath>
      <w:r w:rsidRPr="009072DA">
        <w:rPr>
          <w:lang w:val="bg-BG"/>
        </w:rPr>
        <w:tab/>
        <w:t>команда „стоп“</w:t>
      </w:r>
      <w:r w:rsidRPr="009072DA">
        <w:rPr>
          <w:lang w:val="bg-BG"/>
        </w:rPr>
        <w:tab/>
      </w:r>
      <m:oMath>
        <m:r>
          <w:rPr>
            <w:rFonts w:ascii="Cambria Math" w:hAnsi="Cambria Math"/>
            <w:szCs w:val="20"/>
            <w:lang w:val="bg-BG"/>
          </w:rPr>
          <m:t>v</m:t>
        </m:r>
      </m:oMath>
      <w:r w:rsidRPr="009072DA">
        <w:rPr>
          <w:lang w:val="bg-BG"/>
        </w:rPr>
        <w:tab/>
        <w:t>скорост на съда</w:t>
      </w:r>
    </w:p>
    <w:p w:rsidR="004F47BB" w:rsidRPr="009072DA" w:rsidRDefault="004F47BB" w:rsidP="004F47BB">
      <w:pPr>
        <w:tabs>
          <w:tab w:val="left" w:pos="851"/>
          <w:tab w:val="left" w:pos="4820"/>
          <w:tab w:val="left" w:pos="5245"/>
        </w:tabs>
        <w:overflowPunct w:val="0"/>
        <w:adjustRightInd w:val="0"/>
        <w:spacing w:after="120" w:line="240" w:lineRule="exact"/>
        <w:textAlignment w:val="baseline"/>
        <w:rPr>
          <w:szCs w:val="20"/>
          <w:lang w:val="bg-BG"/>
        </w:rPr>
      </w:pPr>
      <m:oMath>
        <m:r>
          <w:rPr>
            <w:rFonts w:ascii="Cambria Math" w:hAnsi="Cambria Math"/>
            <w:szCs w:val="20"/>
            <w:lang w:val="bg-BG"/>
          </w:rPr>
          <m:t>B</m:t>
        </m:r>
      </m:oMath>
      <w:r w:rsidRPr="009072DA">
        <w:rPr>
          <w:lang w:val="bg-BG"/>
        </w:rPr>
        <w:tab/>
        <w:t>винтът спрял</w:t>
      </w:r>
      <w:r w:rsidRPr="009072DA">
        <w:rPr>
          <w:lang w:val="bg-BG"/>
        </w:rPr>
        <w:tab/>
      </w:r>
      <m:oMath>
        <m:r>
          <w:rPr>
            <w:rFonts w:ascii="Cambria Math" w:hAnsi="Cambria Math"/>
            <w:szCs w:val="20"/>
            <w:lang w:val="bg-BG"/>
          </w:rPr>
          <m:t>v</m:t>
        </m:r>
        <m:r>
          <w:rPr>
            <w:rFonts w:ascii="Cambria Math" w:hAnsi="Cambria Math"/>
            <w:position w:val="-6"/>
            <w:sz w:val="16"/>
            <w:szCs w:val="20"/>
            <w:lang w:val="bg-BG"/>
          </w:rPr>
          <m:t>L</m:t>
        </m:r>
      </m:oMath>
      <w:r w:rsidRPr="009072DA">
        <w:rPr>
          <w:lang w:val="bg-BG"/>
        </w:rPr>
        <w:tab/>
      </w:r>
      <m:oMath>
        <m:r>
          <w:rPr>
            <w:rFonts w:ascii="Cambria Math" w:hAnsi="Cambria Math"/>
            <w:szCs w:val="20"/>
            <w:lang w:val="bg-BG"/>
          </w:rPr>
          <m:t>v</m:t>
        </m:r>
      </m:oMath>
      <w:r w:rsidRPr="009072DA">
        <w:rPr>
          <w:lang w:val="bg-BG"/>
        </w:rPr>
        <w:t xml:space="preserve"> спрямо брега</w:t>
      </w:r>
    </w:p>
    <w:p w:rsidR="004F47BB" w:rsidRPr="009072DA" w:rsidRDefault="004F47BB" w:rsidP="004F47BB">
      <w:pPr>
        <w:tabs>
          <w:tab w:val="left" w:pos="851"/>
          <w:tab w:val="left" w:pos="4820"/>
          <w:tab w:val="left" w:pos="5245"/>
        </w:tabs>
        <w:overflowPunct w:val="0"/>
        <w:adjustRightInd w:val="0"/>
        <w:spacing w:after="120" w:line="240" w:lineRule="exact"/>
        <w:textAlignment w:val="baseline"/>
        <w:rPr>
          <w:szCs w:val="20"/>
          <w:lang w:val="bg-BG"/>
        </w:rPr>
      </w:pPr>
      <m:oMath>
        <m:r>
          <w:rPr>
            <w:rFonts w:ascii="Cambria Math" w:hAnsi="Cambria Math"/>
            <w:szCs w:val="20"/>
            <w:lang w:val="bg-BG"/>
          </w:rPr>
          <m:t>C</m:t>
        </m:r>
      </m:oMath>
      <w:r w:rsidRPr="009072DA">
        <w:rPr>
          <w:lang w:val="bg-BG"/>
        </w:rPr>
        <w:tab/>
        <w:t>винтът на заден ход</w:t>
      </w:r>
      <w:r w:rsidRPr="009072DA">
        <w:rPr>
          <w:lang w:val="bg-BG"/>
        </w:rPr>
        <w:tab/>
      </w:r>
      <m:oMath>
        <m:r>
          <w:rPr>
            <w:rFonts w:ascii="Cambria Math" w:hAnsi="Cambria Math"/>
            <w:szCs w:val="20"/>
            <w:lang w:val="bg-BG"/>
          </w:rPr>
          <m:t>s</m:t>
        </m:r>
      </m:oMath>
      <w:r w:rsidRPr="009072DA">
        <w:rPr>
          <w:lang w:val="bg-BG"/>
        </w:rPr>
        <w:t xml:space="preserve"> </w:t>
      </w:r>
      <w:r w:rsidRPr="009072DA">
        <w:rPr>
          <w:lang w:val="bg-BG"/>
        </w:rPr>
        <w:tab/>
        <w:t>изминато разстояние спрямо брега</w:t>
      </w:r>
    </w:p>
    <w:p w:rsidR="004F47BB" w:rsidRPr="009072DA" w:rsidRDefault="004F47BB" w:rsidP="004F47BB">
      <w:pPr>
        <w:tabs>
          <w:tab w:val="left" w:pos="851"/>
          <w:tab w:val="left" w:pos="4820"/>
          <w:tab w:val="left" w:pos="5245"/>
        </w:tabs>
        <w:overflowPunct w:val="0"/>
        <w:adjustRightInd w:val="0"/>
        <w:spacing w:after="120" w:line="240" w:lineRule="exact"/>
        <w:textAlignment w:val="baseline"/>
        <w:rPr>
          <w:szCs w:val="20"/>
          <w:lang w:val="bg-BG"/>
        </w:rPr>
      </w:pPr>
      <m:oMath>
        <m:r>
          <w:rPr>
            <w:rFonts w:ascii="Cambria Math" w:hAnsi="Cambria Math"/>
            <w:szCs w:val="20"/>
            <w:lang w:val="bg-BG"/>
          </w:rPr>
          <m:t>D</m:t>
        </m:r>
      </m:oMath>
      <w:r w:rsidRPr="009072DA">
        <w:rPr>
          <w:lang w:val="bg-BG"/>
        </w:rPr>
        <w:tab/>
      </w:r>
      <m:oMath>
        <m:r>
          <w:rPr>
            <w:rFonts w:ascii="Cambria Math" w:hAnsi="Cambria Math"/>
            <w:szCs w:val="20"/>
            <w:lang w:val="bg-BG"/>
          </w:rPr>
          <m:t>v=0</m:t>
        </m:r>
      </m:oMath>
      <w:r w:rsidRPr="009072DA">
        <w:rPr>
          <w:lang w:val="bg-BG"/>
        </w:rPr>
        <w:t xml:space="preserve"> спрямо водата</w:t>
      </w:r>
      <w:r w:rsidRPr="009072DA">
        <w:rPr>
          <w:lang w:val="bg-BG"/>
        </w:rPr>
        <w:tab/>
      </w:r>
      <m:oMath>
        <m:r>
          <w:rPr>
            <w:rFonts w:ascii="Cambria Math" w:hAnsi="Cambria Math"/>
            <w:szCs w:val="20"/>
            <w:lang w:val="bg-BG"/>
          </w:rPr>
          <m:t>t</m:t>
        </m:r>
      </m:oMath>
      <w:r w:rsidRPr="009072DA">
        <w:rPr>
          <w:lang w:val="bg-BG"/>
        </w:rPr>
        <w:tab/>
        <w:t>измерено време</w:t>
      </w:r>
    </w:p>
    <w:p w:rsidR="004F47BB" w:rsidRPr="009072DA" w:rsidRDefault="004F47BB" w:rsidP="004F47BB">
      <w:pPr>
        <w:tabs>
          <w:tab w:val="left" w:pos="851"/>
          <w:tab w:val="left" w:pos="5103"/>
          <w:tab w:val="left" w:pos="5670"/>
        </w:tabs>
        <w:overflowPunct w:val="0"/>
        <w:adjustRightInd w:val="0"/>
        <w:spacing w:after="120" w:line="240" w:lineRule="exact"/>
        <w:textAlignment w:val="baseline"/>
        <w:rPr>
          <w:szCs w:val="20"/>
          <w:lang w:val="bg-BG"/>
        </w:rPr>
      </w:pPr>
      <m:oMath>
        <m:r>
          <w:rPr>
            <w:rFonts w:ascii="Cambria Math" w:hAnsi="Cambria Math"/>
            <w:szCs w:val="20"/>
            <w:lang w:val="bg-BG"/>
          </w:rPr>
          <m:t>E</m:t>
        </m:r>
      </m:oMath>
      <w:r w:rsidRPr="009072DA">
        <w:rPr>
          <w:lang w:val="bg-BG"/>
        </w:rPr>
        <w:tab/>
      </w:r>
      <m:oMath>
        <m:r>
          <w:rPr>
            <w:rFonts w:ascii="Cambria Math" w:hAnsi="Cambria Math"/>
            <w:szCs w:val="20"/>
            <w:lang w:val="bg-BG"/>
          </w:rPr>
          <m:t>v=0</m:t>
        </m:r>
      </m:oMath>
      <w:r w:rsidRPr="009072DA">
        <w:rPr>
          <w:lang w:val="bg-BG"/>
        </w:rPr>
        <w:t xml:space="preserve"> спрямо брега</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sectPr w:rsidR="004F47BB" w:rsidRPr="009072DA" w:rsidSect="00D45887">
          <w:headerReference w:type="default" r:id="rId118"/>
          <w:headerReference w:type="first" r:id="rId119"/>
          <w:pgSz w:w="11907" w:h="16840" w:code="9"/>
          <w:pgMar w:top="1418" w:right="1418" w:bottom="1418" w:left="1418" w:header="680" w:footer="680" w:gutter="0"/>
          <w:cols w:space="720"/>
          <w:noEndnote/>
          <w:titlePg/>
        </w:sectPr>
      </w:pPr>
    </w:p>
    <w:p w:rsidR="004F47BB" w:rsidRPr="009072DA" w:rsidRDefault="004F47BB" w:rsidP="004F47BB">
      <w:pPr>
        <w:tabs>
          <w:tab w:val="left" w:pos="4536"/>
          <w:tab w:val="left" w:pos="4896"/>
          <w:tab w:val="right" w:pos="5670"/>
          <w:tab w:val="left" w:pos="10632"/>
          <w:tab w:val="right" w:pos="11482"/>
          <w:tab w:val="left" w:leader="dot" w:pos="14459"/>
        </w:tabs>
        <w:overflowPunct w:val="0"/>
        <w:adjustRightInd w:val="0"/>
        <w:spacing w:line="240" w:lineRule="exact"/>
        <w:textAlignment w:val="baseline"/>
        <w:rPr>
          <w:szCs w:val="20"/>
          <w:lang w:val="bg-BG"/>
        </w:rPr>
      </w:pPr>
      <w:r w:rsidRPr="009072DA">
        <w:rPr>
          <w:lang w:val="bg-BG"/>
        </w:rPr>
        <w:lastRenderedPageBreak/>
        <w:t xml:space="preserve">Проверка </w:t>
      </w:r>
      <w:r w:rsidRPr="009072DA">
        <w:rPr>
          <w:lang w:val="bg-BG"/>
        </w:rPr>
        <w:tab/>
        <w:t>Вид на плавателния съд</w:t>
      </w:r>
      <w:r w:rsidRPr="009072DA">
        <w:rPr>
          <w:lang w:val="bg-BG"/>
        </w:rPr>
        <w:tab/>
        <w:t>Изпитвателен полигон:</w:t>
      </w:r>
      <w:r w:rsidRPr="009072DA">
        <w:rPr>
          <w:lang w:val="bg-BG"/>
        </w:rPr>
        <w:tab/>
      </w:r>
    </w:p>
    <w:p w:rsidR="004F47BB" w:rsidRPr="009072DA" w:rsidRDefault="004F47BB" w:rsidP="004F47BB">
      <w:pPr>
        <w:tabs>
          <w:tab w:val="left" w:leader="dot" w:pos="3544"/>
          <w:tab w:val="left" w:pos="4536"/>
          <w:tab w:val="left" w:pos="4896"/>
          <w:tab w:val="right" w:pos="6237"/>
          <w:tab w:val="left" w:leader="dot" w:pos="9639"/>
          <w:tab w:val="left" w:pos="10632"/>
          <w:tab w:val="left" w:leader="dot" w:pos="14459"/>
        </w:tabs>
        <w:overflowPunct w:val="0"/>
        <w:adjustRightInd w:val="0"/>
        <w:spacing w:after="80" w:line="240" w:lineRule="exact"/>
        <w:textAlignment w:val="baseline"/>
        <w:rPr>
          <w:szCs w:val="20"/>
          <w:lang w:val="bg-BG"/>
        </w:rPr>
      </w:pPr>
      <w:r w:rsidRPr="009072DA">
        <w:rPr>
          <w:lang w:val="bg-BG"/>
        </w:rPr>
        <w:t xml:space="preserve">орган: </w:t>
      </w:r>
      <w:r w:rsidRPr="009072DA">
        <w:rPr>
          <w:lang w:val="bg-BG"/>
        </w:rPr>
        <w:tab/>
      </w:r>
      <w:r w:rsidRPr="009072DA">
        <w:rPr>
          <w:lang w:val="bg-BG"/>
        </w:rPr>
        <w:tab/>
        <w:t xml:space="preserve">или състава: </w:t>
      </w:r>
      <w:r w:rsidRPr="009072DA">
        <w:rPr>
          <w:lang w:val="bg-BG"/>
        </w:rPr>
        <w:tab/>
      </w:r>
      <w:r w:rsidRPr="009072DA">
        <w:rPr>
          <w:lang w:val="bg-BG"/>
        </w:rPr>
        <w:tab/>
      </w:r>
      <w:r w:rsidRPr="009072DA">
        <w:rPr>
          <w:lang w:val="bg-BG"/>
        </w:rPr>
        <w:tab/>
        <w:t xml:space="preserve">Отчет по водомерната рейка [m]: </w:t>
      </w:r>
      <w:r w:rsidRPr="009072DA">
        <w:rPr>
          <w:lang w:val="bg-BG"/>
        </w:rPr>
        <w:tab/>
      </w:r>
    </w:p>
    <w:p w:rsidR="004F47BB" w:rsidRPr="009072DA" w:rsidRDefault="004F47BB" w:rsidP="004F47BB">
      <w:pPr>
        <w:tabs>
          <w:tab w:val="left" w:leader="dot" w:pos="3544"/>
          <w:tab w:val="left" w:pos="4536"/>
          <w:tab w:val="left" w:pos="4896"/>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lang w:val="bg-BG"/>
        </w:rPr>
      </w:pPr>
      <w:r w:rsidRPr="009072DA">
        <w:rPr>
          <w:lang w:val="bg-BG"/>
        </w:rPr>
        <w:t xml:space="preserve">Дата: </w:t>
      </w:r>
      <w:r w:rsidRPr="009072DA">
        <w:rPr>
          <w:lang w:val="bg-BG"/>
        </w:rPr>
        <w:tab/>
      </w:r>
      <w:r w:rsidRPr="009072DA">
        <w:rPr>
          <w:lang w:val="bg-BG"/>
        </w:rPr>
        <w:tab/>
      </w:r>
      <m:oMath>
        <m:r>
          <w:rPr>
            <w:rFonts w:ascii="Cambria Math" w:hAnsi="Cambria Math"/>
            <w:szCs w:val="20"/>
            <w:lang w:val="bg-BG"/>
          </w:rPr>
          <m:t>L × B</m:t>
        </m:r>
      </m:oMath>
      <w:r w:rsidRPr="009072DA">
        <w:rPr>
          <w:lang w:val="bg-BG"/>
        </w:rPr>
        <w:t xml:space="preserve"> [m]:</w:t>
      </w:r>
      <w:r w:rsidRPr="009072DA">
        <w:rPr>
          <w:lang w:val="bg-BG"/>
        </w:rPr>
        <w:tab/>
        <w:t xml:space="preserve">: </w:t>
      </w:r>
      <w:r w:rsidRPr="009072DA">
        <w:rPr>
          <w:lang w:val="bg-BG"/>
        </w:rPr>
        <w:tab/>
      </w:r>
      <w:r w:rsidRPr="009072DA">
        <w:rPr>
          <w:lang w:val="bg-BG"/>
        </w:rPr>
        <w:tab/>
        <w:t>Дълбочина на водата</w:t>
      </w:r>
      <w:r w:rsidRPr="009072DA">
        <w:rPr>
          <w:lang w:val="bg-BG"/>
        </w:rPr>
        <w:tab/>
        <w:t xml:space="preserve">[m]: </w:t>
      </w:r>
      <w:r w:rsidRPr="009072DA">
        <w:rPr>
          <w:lang w:val="bg-BG"/>
        </w:rPr>
        <w:tab/>
      </w:r>
    </w:p>
    <w:p w:rsidR="004F47BB" w:rsidRPr="009072DA" w:rsidRDefault="004F47BB" w:rsidP="004F47BB">
      <w:pPr>
        <w:tabs>
          <w:tab w:val="left" w:leader="dot" w:pos="3544"/>
          <w:tab w:val="left" w:pos="4536"/>
          <w:tab w:val="left" w:pos="4896"/>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lang w:val="bg-BG"/>
        </w:rPr>
      </w:pPr>
      <w:r w:rsidRPr="009072DA">
        <w:rPr>
          <w:lang w:val="bg-BG"/>
        </w:rPr>
        <w:t xml:space="preserve">Име: </w:t>
      </w:r>
      <w:r w:rsidRPr="009072DA">
        <w:rPr>
          <w:lang w:val="bg-BG"/>
        </w:rPr>
        <w:tab/>
      </w:r>
      <w:r w:rsidRPr="009072DA">
        <w:rPr>
          <w:lang w:val="bg-BG"/>
        </w:rPr>
        <w:tab/>
      </w:r>
      <m:oMath>
        <m:r>
          <w:rPr>
            <w:rFonts w:ascii="Cambria Math" w:hAnsi="Cambria Math"/>
            <w:szCs w:val="20"/>
            <w:lang w:val="bg-BG"/>
          </w:rPr>
          <m:t>T</m:t>
        </m:r>
      </m:oMath>
      <w:r w:rsidRPr="009072DA">
        <w:rPr>
          <w:lang w:val="bg-BG"/>
        </w:rPr>
        <w:t xml:space="preserve"> по време на изпитването [m]:</w:t>
      </w:r>
      <w:r w:rsidRPr="009072DA">
        <w:rPr>
          <w:lang w:val="bg-BG"/>
        </w:rPr>
        <w:tab/>
        <w:t xml:space="preserve">: </w:t>
      </w:r>
      <w:r w:rsidRPr="009072DA">
        <w:rPr>
          <w:lang w:val="bg-BG"/>
        </w:rPr>
        <w:tab/>
      </w:r>
      <w:r w:rsidRPr="009072DA">
        <w:rPr>
          <w:lang w:val="bg-BG"/>
        </w:rPr>
        <w:tab/>
        <w:t>Градиент</w:t>
      </w:r>
      <w:r w:rsidRPr="009072DA">
        <w:rPr>
          <w:lang w:val="bg-BG"/>
        </w:rPr>
        <w:tab/>
        <w:t xml:space="preserve">[m/km]: </w:t>
      </w:r>
      <w:r w:rsidRPr="009072DA">
        <w:rPr>
          <w:lang w:val="bg-BG"/>
        </w:rPr>
        <w:tab/>
      </w:r>
    </w:p>
    <w:p w:rsidR="004F47BB" w:rsidRPr="009072DA" w:rsidRDefault="004F47BB" w:rsidP="004F47BB">
      <w:pPr>
        <w:tabs>
          <w:tab w:val="left" w:pos="0"/>
          <w:tab w:val="left" w:leader="dot" w:pos="3544"/>
          <w:tab w:val="left" w:pos="4536"/>
          <w:tab w:val="right" w:pos="5670"/>
          <w:tab w:val="left" w:pos="10632"/>
          <w:tab w:val="right" w:pos="12333"/>
          <w:tab w:val="left" w:leader="dot" w:pos="14459"/>
        </w:tabs>
        <w:overflowPunct w:val="0"/>
        <w:adjustRightInd w:val="0"/>
        <w:spacing w:after="80" w:line="240" w:lineRule="exact"/>
        <w:textAlignment w:val="baseline"/>
        <w:rPr>
          <w:szCs w:val="20"/>
          <w:lang w:val="bg-BG"/>
        </w:rPr>
      </w:pPr>
      <w:r w:rsidRPr="009072DA">
        <w:rPr>
          <w:lang w:val="bg-BG"/>
        </w:rPr>
        <w:t xml:space="preserve">Поредно изпитване №: </w:t>
      </w:r>
      <w:r w:rsidRPr="009072DA">
        <w:rPr>
          <w:lang w:val="bg-BG"/>
        </w:rPr>
        <w:tab/>
      </w:r>
      <w:r w:rsidRPr="009072DA">
        <w:rPr>
          <w:lang w:val="bg-BG"/>
        </w:rPr>
        <w:tab/>
      </w:r>
      <w:r w:rsidRPr="009072DA">
        <w:rPr>
          <w:lang w:val="bg-BG"/>
        </w:rPr>
        <w:tab/>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STR</m:t>
            </m:r>
          </m:sub>
        </m:sSub>
      </m:oMath>
      <w:r w:rsidRPr="009072DA">
        <w:rPr>
          <w:lang w:val="bg-BG"/>
        </w:rPr>
        <w:tab/>
        <w:t xml:space="preserve">[km/h]: </w:t>
      </w:r>
      <w:r w:rsidRPr="009072DA">
        <w:rPr>
          <w:lang w:val="bg-BG"/>
        </w:rPr>
        <w:tab/>
      </w:r>
    </w:p>
    <w:p w:rsidR="004F47BB" w:rsidRPr="009072DA" w:rsidRDefault="004F47BB" w:rsidP="004F47BB">
      <w:pPr>
        <w:tabs>
          <w:tab w:val="left" w:pos="3264"/>
          <w:tab w:val="left" w:pos="4536"/>
          <w:tab w:val="left" w:pos="4800"/>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lang w:val="bg-BG"/>
        </w:rPr>
      </w:pPr>
      <w:r w:rsidRPr="009072DA">
        <w:rPr>
          <w:lang w:val="bg-BG"/>
        </w:rPr>
        <w:tab/>
      </w:r>
      <w:r w:rsidRPr="009072DA">
        <w:rPr>
          <w:lang w:val="bg-BG"/>
        </w:rPr>
        <w:tab/>
        <w:t xml:space="preserve">Натоварване при изпитването [t]: </w:t>
      </w:r>
      <w:r w:rsidRPr="009072DA">
        <w:rPr>
          <w:lang w:val="bg-BG"/>
        </w:rPr>
        <w:tab/>
        <w:t xml:space="preserve">: </w:t>
      </w:r>
      <w:r w:rsidRPr="009072DA">
        <w:rPr>
          <w:lang w:val="bg-BG"/>
        </w:rPr>
        <w:tab/>
      </w:r>
      <w:r w:rsidRPr="009072DA">
        <w:rPr>
          <w:lang w:val="bg-BG"/>
        </w:rPr>
        <w:tab/>
        <w:t xml:space="preserve">[m/s]: </w:t>
      </w:r>
      <w:r w:rsidRPr="009072DA">
        <w:rPr>
          <w:lang w:val="bg-BG"/>
        </w:rPr>
        <w:tab/>
      </w:r>
    </w:p>
    <w:p w:rsidR="004F47BB" w:rsidRPr="009072DA" w:rsidRDefault="004F47BB" w:rsidP="004F47BB">
      <w:pPr>
        <w:tabs>
          <w:tab w:val="left" w:pos="0"/>
          <w:tab w:val="left" w:pos="4536"/>
          <w:tab w:val="left" w:pos="4800"/>
          <w:tab w:val="right" w:pos="5670"/>
          <w:tab w:val="left" w:leader="dot" w:pos="9639"/>
          <w:tab w:val="left" w:pos="10632"/>
          <w:tab w:val="right" w:pos="12333"/>
          <w:tab w:val="left" w:leader="dot" w:pos="14459"/>
        </w:tabs>
        <w:overflowPunct w:val="0"/>
        <w:adjustRightInd w:val="0"/>
        <w:spacing w:after="80" w:line="240" w:lineRule="exact"/>
        <w:textAlignment w:val="baseline"/>
        <w:rPr>
          <w:szCs w:val="20"/>
          <w:lang w:val="bg-BG"/>
        </w:rPr>
      </w:pPr>
      <w:r w:rsidRPr="009072DA">
        <w:rPr>
          <w:lang w:val="bg-BG"/>
        </w:rPr>
        <w:tab/>
        <w:t xml:space="preserve">% от максималната товароподемност: </w:t>
      </w:r>
      <w:r w:rsidRPr="009072DA">
        <w:rPr>
          <w:lang w:val="bg-BG"/>
        </w:rPr>
        <w:tab/>
      </w:r>
      <w:r w:rsidRPr="009072DA">
        <w:rPr>
          <w:lang w:val="bg-BG"/>
        </w:rPr>
        <w:tab/>
        <w:t>Max</w:t>
      </w:r>
    </w:p>
    <w:p w:rsidR="004F47BB" w:rsidRPr="009072DA" w:rsidRDefault="004F47BB" w:rsidP="004F47BB">
      <w:pPr>
        <w:tabs>
          <w:tab w:val="left" w:pos="0"/>
          <w:tab w:val="left" w:pos="4536"/>
          <w:tab w:val="left" w:pos="4800"/>
          <w:tab w:val="right" w:pos="5670"/>
          <w:tab w:val="left" w:leader="dot" w:pos="9639"/>
          <w:tab w:val="left" w:pos="10632"/>
          <w:tab w:val="right" w:pos="12333"/>
          <w:tab w:val="left" w:leader="dot" w:pos="14459"/>
        </w:tabs>
        <w:overflowPunct w:val="0"/>
        <w:adjustRightInd w:val="0"/>
        <w:spacing w:after="80" w:line="240" w:lineRule="exact"/>
        <w:textAlignment w:val="baseline"/>
        <w:rPr>
          <w:szCs w:val="20"/>
          <w:lang w:val="bg-BG"/>
        </w:rPr>
      </w:pPr>
      <w:r w:rsidRPr="009072DA">
        <w:rPr>
          <w:lang w:val="bg-BG"/>
        </w:rPr>
        <w:tab/>
        <w:t xml:space="preserve">Мощност на задвижващите двигатели </w:t>
      </w:r>
      <m:oMath>
        <m:sSub>
          <m:sSubPr>
            <m:ctrlPr>
              <w:rPr>
                <w:rFonts w:ascii="Cambria Math" w:hAnsi="Cambria Math"/>
                <w:i/>
                <w:szCs w:val="20"/>
                <w:lang w:val="bg-BG"/>
              </w:rPr>
            </m:ctrlPr>
          </m:sSubPr>
          <m:e>
            <m:r>
              <w:rPr>
                <w:rFonts w:ascii="Cambria Math" w:hAnsi="Cambria Math"/>
                <w:szCs w:val="20"/>
                <w:lang w:val="bg-BG"/>
              </w:rPr>
              <m:t>P</m:t>
            </m:r>
          </m:e>
          <m:sub>
            <m:r>
              <w:rPr>
                <w:rFonts w:ascii="Cambria Math" w:hAnsi="Cambria Math"/>
                <w:szCs w:val="20"/>
                <w:lang w:val="bg-BG"/>
              </w:rPr>
              <m:t>B</m:t>
            </m:r>
          </m:sub>
        </m:sSub>
      </m:oMath>
      <w:r w:rsidRPr="009072DA">
        <w:rPr>
          <w:lang w:val="bg-BG"/>
        </w:rPr>
        <w:t xml:space="preserve"> [kW] </w:t>
      </w:r>
      <w:r w:rsidRPr="009072DA">
        <w:rPr>
          <w:lang w:val="bg-BG"/>
        </w:rPr>
        <w:tab/>
      </w:r>
      <w:r w:rsidRPr="009072DA">
        <w:rPr>
          <w:lang w:val="bg-BG"/>
        </w:rPr>
        <w:tab/>
        <w:t>водоизместване</w:t>
      </w:r>
      <w:r w:rsidRPr="009072DA">
        <w:rPr>
          <w:lang w:val="bg-BG"/>
        </w:rPr>
        <w:tab/>
        <w:t>[m</w:t>
      </w:r>
      <w:r w:rsidRPr="009072DA">
        <w:rPr>
          <w:sz w:val="16"/>
          <w:vertAlign w:val="superscript"/>
          <w:lang w:val="bg-BG"/>
        </w:rPr>
        <w:t>3</w:t>
      </w:r>
      <w:r w:rsidRPr="009072DA">
        <w:rPr>
          <w:lang w:val="bg-BG"/>
        </w:rPr>
        <w:t xml:space="preserve">]: </w:t>
      </w:r>
      <w:r w:rsidRPr="009072DA">
        <w:rPr>
          <w:lang w:val="bg-BG"/>
        </w:rPr>
        <w:tab/>
      </w:r>
    </w:p>
    <w:p w:rsidR="004F47BB" w:rsidRPr="009072DA" w:rsidRDefault="004F47BB" w:rsidP="004F47BB">
      <w:pPr>
        <w:tabs>
          <w:tab w:val="left" w:pos="0"/>
          <w:tab w:val="left" w:pos="4536"/>
          <w:tab w:val="left" w:pos="4800"/>
          <w:tab w:val="right" w:pos="5670"/>
          <w:tab w:val="left" w:leader="dot" w:pos="9639"/>
          <w:tab w:val="left" w:pos="10348"/>
          <w:tab w:val="right" w:pos="12049"/>
        </w:tabs>
        <w:overflowPunct w:val="0"/>
        <w:adjustRightInd w:val="0"/>
        <w:spacing w:line="240" w:lineRule="exact"/>
        <w:textAlignment w:val="baseline"/>
        <w:rPr>
          <w:szCs w:val="20"/>
          <w:lang w:val="bg-BG"/>
        </w:rPr>
      </w:pPr>
      <w:r w:rsidRPr="009072DA">
        <w:rPr>
          <w:lang w:val="bg-BG"/>
        </w:rPr>
        <w:tab/>
        <w:t xml:space="preserve">Задвижваща система съгласно приложение 2, таблица 2: </w:t>
      </w:r>
      <w:r w:rsidRPr="009072DA">
        <w:rPr>
          <w:lang w:val="bg-BG"/>
        </w:rPr>
        <w:tab/>
      </w:r>
    </w:p>
    <w:p w:rsidR="004F47BB" w:rsidRPr="009072DA" w:rsidRDefault="004F47BB" w:rsidP="004F47BB">
      <w:pPr>
        <w:tabs>
          <w:tab w:val="left" w:pos="284"/>
        </w:tabs>
        <w:overflowPunct w:val="0"/>
        <w:adjustRightInd w:val="0"/>
        <w:spacing w:before="100" w:after="60"/>
        <w:ind w:left="284" w:hanging="284"/>
        <w:jc w:val="center"/>
        <w:textAlignment w:val="baseline"/>
        <w:rPr>
          <w:szCs w:val="20"/>
          <w:lang w:val="bg-BG"/>
        </w:rPr>
      </w:pPr>
      <w:r w:rsidRPr="009072DA">
        <w:rPr>
          <w:b/>
          <w:lang w:val="bg-BG"/>
        </w:rPr>
        <w:t>Таблица 1: Протокол от маневрата за спиране</w:t>
      </w:r>
    </w:p>
    <w:tbl>
      <w:tblPr>
        <w:tblW w:w="0" w:type="auto"/>
        <w:jc w:val="center"/>
        <w:tblLayout w:type="fixed"/>
        <w:tblCellMar>
          <w:left w:w="0" w:type="dxa"/>
          <w:right w:w="0" w:type="dxa"/>
        </w:tblCellMar>
        <w:tblLook w:val="0000" w:firstRow="0" w:lastRow="0" w:firstColumn="0" w:lastColumn="0" w:noHBand="0" w:noVBand="0"/>
      </w:tblPr>
      <w:tblGrid>
        <w:gridCol w:w="1758"/>
        <w:gridCol w:w="1758"/>
        <w:gridCol w:w="1758"/>
        <w:gridCol w:w="1758"/>
        <w:gridCol w:w="1758"/>
        <w:gridCol w:w="1758"/>
        <w:gridCol w:w="2948"/>
      </w:tblGrid>
      <w:tr w:rsidR="004F47BB" w:rsidRPr="009072DA" w:rsidTr="00D45887">
        <w:trPr>
          <w:jc w:val="center"/>
        </w:trPr>
        <w:tc>
          <w:tcPr>
            <w:tcW w:w="1758" w:type="dxa"/>
            <w:tcBorders>
              <w:top w:val="single" w:sz="6" w:space="0" w:color="auto"/>
              <w:left w:val="single" w:sz="6" w:space="0" w:color="auto"/>
              <w:bottom w:val="single" w:sz="6" w:space="0" w:color="auto"/>
              <w:right w:val="single" w:sz="6" w:space="0" w:color="auto"/>
            </w:tcBorders>
            <w:vAlign w:val="center"/>
          </w:tcPr>
          <w:p w:rsidR="004F47BB" w:rsidRPr="009072DA" w:rsidRDefault="004F47BB" w:rsidP="004F47BB">
            <w:pPr>
              <w:tabs>
                <w:tab w:val="left" w:pos="284"/>
              </w:tabs>
              <w:overflowPunct w:val="0"/>
              <w:adjustRightInd w:val="0"/>
              <w:spacing w:before="40" w:after="40"/>
              <w:jc w:val="center"/>
              <w:textAlignment w:val="baseline"/>
              <w:rPr>
                <w:sz w:val="18"/>
                <w:szCs w:val="20"/>
                <w:lang w:val="bg-BG"/>
              </w:rPr>
            </w:pPr>
            <w:r w:rsidRPr="009072DA">
              <w:rPr>
                <w:sz w:val="18"/>
                <w:lang w:val="bg-BG"/>
              </w:rPr>
              <w:t>ПОЗИЦИЯ</w:t>
            </w:r>
            <w:r w:rsidRPr="009072DA">
              <w:rPr>
                <w:sz w:val="18"/>
                <w:szCs w:val="20"/>
                <w:lang w:val="bg-BG"/>
              </w:rPr>
              <w:br/>
            </w:r>
            <w:r w:rsidRPr="009072DA">
              <w:rPr>
                <w:sz w:val="18"/>
                <w:lang w:val="bg-BG"/>
              </w:rPr>
              <w:t>[река-km]</w:t>
            </w:r>
          </w:p>
        </w:tc>
        <w:tc>
          <w:tcPr>
            <w:tcW w:w="1758" w:type="dxa"/>
            <w:tcBorders>
              <w:top w:val="single" w:sz="6" w:space="0" w:color="auto"/>
              <w:left w:val="single" w:sz="6" w:space="0" w:color="auto"/>
              <w:bottom w:val="single" w:sz="6" w:space="0" w:color="auto"/>
              <w:right w:val="double" w:sz="12" w:space="0" w:color="auto"/>
            </w:tcBorders>
            <w:vAlign w:val="center"/>
          </w:tcPr>
          <w:p w:rsidR="004F47BB" w:rsidRPr="009072DA" w:rsidRDefault="004F47BB" w:rsidP="004F47BB">
            <w:pPr>
              <w:tabs>
                <w:tab w:val="left" w:pos="284"/>
              </w:tabs>
              <w:overflowPunct w:val="0"/>
              <w:adjustRightInd w:val="0"/>
              <w:spacing w:before="40" w:after="40"/>
              <w:jc w:val="center"/>
              <w:textAlignment w:val="baseline"/>
              <w:rPr>
                <w:sz w:val="18"/>
                <w:szCs w:val="20"/>
                <w:lang w:val="bg-BG"/>
              </w:rPr>
            </w:pPr>
            <w:r w:rsidRPr="009072DA">
              <w:rPr>
                <w:sz w:val="18"/>
                <w:lang w:val="bg-BG"/>
              </w:rPr>
              <w:t>ВРЕМЕ</w:t>
            </w:r>
            <w:r w:rsidRPr="009072DA">
              <w:rPr>
                <w:sz w:val="18"/>
                <w:szCs w:val="20"/>
                <w:lang w:val="bg-BG"/>
              </w:rPr>
              <w:br/>
            </w:r>
            <w:r w:rsidRPr="009072DA">
              <w:rPr>
                <w:sz w:val="18"/>
                <w:lang w:val="bg-BG"/>
              </w:rPr>
              <w:t>[sec.]</w:t>
            </w:r>
          </w:p>
        </w:tc>
        <w:tc>
          <w:tcPr>
            <w:tcW w:w="1758" w:type="dxa"/>
            <w:tcBorders>
              <w:top w:val="single" w:sz="6" w:space="0" w:color="auto"/>
              <w:left w:val="nil"/>
              <w:bottom w:val="single" w:sz="6" w:space="0" w:color="auto"/>
              <w:right w:val="single" w:sz="6" w:space="0" w:color="auto"/>
            </w:tcBorders>
            <w:vAlign w:val="center"/>
          </w:tcPr>
          <w:p w:rsidR="004F47BB" w:rsidRPr="009072DA" w:rsidRDefault="004F47BB" w:rsidP="004F47BB">
            <w:pPr>
              <w:tabs>
                <w:tab w:val="left" w:pos="284"/>
              </w:tabs>
              <w:overflowPunct w:val="0"/>
              <w:adjustRightInd w:val="0"/>
              <w:spacing w:before="40" w:after="40"/>
              <w:jc w:val="center"/>
              <w:textAlignment w:val="baseline"/>
              <w:rPr>
                <w:sz w:val="18"/>
                <w:szCs w:val="20"/>
                <w:lang w:val="bg-BG"/>
              </w:rPr>
            </w:pPr>
            <m:oMathPara>
              <m:oMath>
                <m:r>
                  <w:rPr>
                    <w:rFonts w:ascii="Cambria Math" w:hAnsi="Cambria Math"/>
                    <w:sz w:val="18"/>
                    <w:szCs w:val="20"/>
                    <w:lang w:val="bg-BG"/>
                  </w:rPr>
                  <m:t>∆s</m:t>
                </m:r>
                <m:r>
                  <m:rPr>
                    <m:sty m:val="p"/>
                  </m:rPr>
                  <w:rPr>
                    <w:rFonts w:ascii="Cambria Math" w:hAnsi="Cambria Math"/>
                    <w:sz w:val="18"/>
                    <w:szCs w:val="20"/>
                    <w:lang w:val="bg-BG"/>
                  </w:rPr>
                  <w:br/>
                </m:r>
              </m:oMath>
            </m:oMathPara>
            <w:r w:rsidRPr="009072DA">
              <w:rPr>
                <w:sz w:val="18"/>
                <w:lang w:val="bg-BG"/>
              </w:rPr>
              <w:t>[m]</w:t>
            </w:r>
          </w:p>
        </w:tc>
        <w:tc>
          <w:tcPr>
            <w:tcW w:w="1758" w:type="dxa"/>
            <w:tcBorders>
              <w:top w:val="single" w:sz="6" w:space="0" w:color="auto"/>
              <w:left w:val="single" w:sz="6" w:space="0" w:color="auto"/>
              <w:bottom w:val="single" w:sz="6" w:space="0" w:color="auto"/>
              <w:right w:val="single" w:sz="6" w:space="0" w:color="auto"/>
            </w:tcBorders>
            <w:vAlign w:val="center"/>
          </w:tcPr>
          <w:p w:rsidR="004F47BB" w:rsidRPr="009072DA" w:rsidRDefault="004F47BB" w:rsidP="004F47BB">
            <w:pPr>
              <w:tabs>
                <w:tab w:val="left" w:pos="284"/>
              </w:tabs>
              <w:overflowPunct w:val="0"/>
              <w:adjustRightInd w:val="0"/>
              <w:spacing w:before="40" w:after="40"/>
              <w:jc w:val="center"/>
              <w:textAlignment w:val="baseline"/>
              <w:rPr>
                <w:sz w:val="18"/>
                <w:szCs w:val="20"/>
                <w:lang w:val="bg-BG"/>
              </w:rPr>
            </w:pPr>
            <m:oMathPara>
              <m:oMath>
                <m:r>
                  <w:rPr>
                    <w:rFonts w:ascii="Cambria Math" w:hAnsi="Cambria Math"/>
                    <w:sz w:val="18"/>
                    <w:szCs w:val="20"/>
                    <w:lang w:val="bg-BG"/>
                  </w:rPr>
                  <m:t>∆t</m:t>
                </m:r>
                <m:r>
                  <m:rPr>
                    <m:sty m:val="p"/>
                  </m:rPr>
                  <w:rPr>
                    <w:rFonts w:ascii="Cambria Math" w:hAnsi="Cambria Math"/>
                    <w:sz w:val="18"/>
                    <w:szCs w:val="20"/>
                    <w:lang w:val="bg-BG"/>
                  </w:rPr>
                  <w:br/>
                </m:r>
              </m:oMath>
            </m:oMathPara>
            <w:r w:rsidRPr="009072DA">
              <w:rPr>
                <w:sz w:val="18"/>
                <w:lang w:val="bg-BG"/>
              </w:rPr>
              <w:t>[sec]</w:t>
            </w:r>
          </w:p>
        </w:tc>
        <w:tc>
          <w:tcPr>
            <w:tcW w:w="1758" w:type="dxa"/>
            <w:tcBorders>
              <w:top w:val="single" w:sz="6" w:space="0" w:color="auto"/>
              <w:left w:val="single" w:sz="6" w:space="0" w:color="auto"/>
              <w:bottom w:val="single" w:sz="6" w:space="0" w:color="auto"/>
              <w:right w:val="single" w:sz="6" w:space="0" w:color="auto"/>
            </w:tcBorders>
            <w:vAlign w:val="center"/>
          </w:tcPr>
          <w:p w:rsidR="004F47BB" w:rsidRPr="009072DA" w:rsidRDefault="002B712C" w:rsidP="004F47BB">
            <w:pPr>
              <w:tabs>
                <w:tab w:val="left" w:pos="284"/>
              </w:tabs>
              <w:overflowPunct w:val="0"/>
              <w:adjustRightInd w:val="0"/>
              <w:spacing w:before="40" w:after="40"/>
              <w:jc w:val="center"/>
              <w:textAlignment w:val="baseline"/>
              <w:rPr>
                <w:sz w:val="18"/>
                <w:szCs w:val="20"/>
                <w:lang w:val="bg-BG"/>
              </w:rPr>
            </w:pPr>
            <m:oMathPara>
              <m:oMath>
                <m:sSub>
                  <m:sSubPr>
                    <m:ctrlPr>
                      <w:rPr>
                        <w:rFonts w:ascii="Cambria Math" w:hAnsi="Cambria Math"/>
                        <w:i/>
                        <w:sz w:val="18"/>
                        <w:szCs w:val="20"/>
                        <w:lang w:val="bg-BG"/>
                      </w:rPr>
                    </m:ctrlPr>
                  </m:sSubPr>
                  <m:e>
                    <m:r>
                      <w:rPr>
                        <w:rFonts w:ascii="Cambria Math" w:hAnsi="Cambria Math"/>
                        <w:sz w:val="18"/>
                        <w:szCs w:val="20"/>
                        <w:lang w:val="bg-BG"/>
                      </w:rPr>
                      <m:t>v</m:t>
                    </m:r>
                  </m:e>
                  <m:sub>
                    <m:r>
                      <w:rPr>
                        <w:rFonts w:ascii="Cambria Math" w:hAnsi="Cambria Math"/>
                        <w:sz w:val="18"/>
                        <w:szCs w:val="20"/>
                        <w:lang w:val="bg-BG"/>
                      </w:rPr>
                      <m:t>L</m:t>
                    </m:r>
                  </m:sub>
                </m:sSub>
                <m:r>
                  <m:rPr>
                    <m:sty m:val="p"/>
                  </m:rPr>
                  <w:rPr>
                    <w:rFonts w:ascii="Cambria Math" w:hAnsi="Cambria Math"/>
                    <w:sz w:val="18"/>
                    <w:szCs w:val="20"/>
                    <w:lang w:val="bg-BG"/>
                  </w:rPr>
                  <w:br/>
                </m:r>
              </m:oMath>
            </m:oMathPara>
            <w:r w:rsidR="007B1046" w:rsidRPr="009072DA">
              <w:rPr>
                <w:sz w:val="18"/>
                <w:lang w:val="bg-BG"/>
              </w:rPr>
              <w:t>[km/h]</w:t>
            </w:r>
          </w:p>
        </w:tc>
        <w:tc>
          <w:tcPr>
            <w:tcW w:w="1758" w:type="dxa"/>
            <w:tcBorders>
              <w:top w:val="single" w:sz="6" w:space="0" w:color="auto"/>
              <w:left w:val="single" w:sz="6" w:space="0" w:color="auto"/>
              <w:bottom w:val="single" w:sz="6" w:space="0" w:color="auto"/>
              <w:right w:val="single" w:sz="6" w:space="0" w:color="auto"/>
            </w:tcBorders>
            <w:vAlign w:val="center"/>
          </w:tcPr>
          <w:p w:rsidR="004F47BB" w:rsidRPr="009072DA" w:rsidRDefault="004F47BB" w:rsidP="004F47BB">
            <w:pPr>
              <w:overflowPunct w:val="0"/>
              <w:adjustRightInd w:val="0"/>
              <w:spacing w:before="40" w:after="40"/>
              <w:jc w:val="center"/>
              <w:textAlignment w:val="baseline"/>
              <w:rPr>
                <w:sz w:val="18"/>
                <w:szCs w:val="20"/>
                <w:lang w:val="bg-BG"/>
              </w:rPr>
            </w:pPr>
            <w:r w:rsidRPr="009072DA">
              <w:rPr>
                <w:sz w:val="18"/>
                <w:lang w:val="bg-BG"/>
              </w:rPr>
              <w:t>СКОРОСТ НА ДВИГАТЕЛЯ</w:t>
            </w:r>
            <w:r w:rsidRPr="009072DA">
              <w:rPr>
                <w:sz w:val="18"/>
                <w:szCs w:val="20"/>
                <w:lang w:val="bg-BG"/>
              </w:rPr>
              <w:br/>
            </w:r>
            <m:oMathPara>
              <m:oMath>
                <m:r>
                  <w:rPr>
                    <w:rFonts w:ascii="Cambria Math" w:hAnsi="Cambria Math"/>
                    <w:sz w:val="18"/>
                    <w:szCs w:val="20"/>
                    <w:lang w:val="bg-BG"/>
                  </w:rPr>
                  <m:t>n</m:t>
                </m:r>
                <m:r>
                  <m:rPr>
                    <m:sty m:val="p"/>
                  </m:rPr>
                  <w:rPr>
                    <w:rFonts w:ascii="Cambria Math" w:hAnsi="Cambria Math"/>
                    <w:sz w:val="18"/>
                    <w:szCs w:val="20"/>
                    <w:lang w:val="bg-BG"/>
                  </w:rPr>
                  <w:br/>
                </m:r>
              </m:oMath>
            </m:oMathPara>
            <w:r w:rsidRPr="009072DA">
              <w:rPr>
                <w:sz w:val="18"/>
                <w:lang w:val="bg-BG"/>
              </w:rPr>
              <w:t>[min</w:t>
            </w:r>
            <w:r w:rsidRPr="009072DA">
              <w:rPr>
                <w:sz w:val="18"/>
                <w:vertAlign w:val="superscript"/>
                <w:lang w:val="bg-BG"/>
              </w:rPr>
              <w:t>-1</w:t>
            </w:r>
            <w:r w:rsidRPr="009072DA">
              <w:rPr>
                <w:sz w:val="18"/>
                <w:lang w:val="bg-BG"/>
              </w:rPr>
              <w:t>]</w:t>
            </w:r>
          </w:p>
        </w:tc>
        <w:tc>
          <w:tcPr>
            <w:tcW w:w="2948" w:type="dxa"/>
            <w:tcBorders>
              <w:top w:val="single" w:sz="6" w:space="0" w:color="auto"/>
              <w:left w:val="single" w:sz="6" w:space="0" w:color="auto"/>
              <w:bottom w:val="single" w:sz="6" w:space="0" w:color="auto"/>
              <w:right w:val="single" w:sz="6" w:space="0" w:color="auto"/>
            </w:tcBorders>
            <w:vAlign w:val="center"/>
          </w:tcPr>
          <w:p w:rsidR="004F47BB" w:rsidRPr="009072DA" w:rsidRDefault="004F47BB" w:rsidP="004F47BB">
            <w:pPr>
              <w:tabs>
                <w:tab w:val="left" w:pos="284"/>
              </w:tabs>
              <w:overflowPunct w:val="0"/>
              <w:adjustRightInd w:val="0"/>
              <w:spacing w:before="40" w:after="40"/>
              <w:jc w:val="center"/>
              <w:textAlignment w:val="baseline"/>
              <w:rPr>
                <w:sz w:val="18"/>
                <w:szCs w:val="20"/>
                <w:lang w:val="bg-BG"/>
              </w:rPr>
            </w:pPr>
            <w:r w:rsidRPr="009072DA">
              <w:rPr>
                <w:sz w:val="18"/>
                <w:lang w:val="bg-BG"/>
              </w:rPr>
              <w:t>ЗАБЕЛЕЖКИ</w:t>
            </w:r>
          </w:p>
        </w:tc>
      </w:tr>
      <w:tr w:rsidR="004F47BB" w:rsidRPr="009072DA"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double" w:sz="12"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nil"/>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294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r>
      <w:tr w:rsidR="004F47BB" w:rsidRPr="009072DA"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double" w:sz="12"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nil"/>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294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r>
      <w:tr w:rsidR="004F47BB" w:rsidRPr="009072DA"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double" w:sz="12"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nil"/>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294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r>
      <w:tr w:rsidR="004F47BB" w:rsidRPr="009072DA"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double" w:sz="12"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nil"/>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294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r>
      <w:tr w:rsidR="004F47BB" w:rsidRPr="009072DA"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double" w:sz="12"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nil"/>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294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r>
      <w:tr w:rsidR="004F47BB" w:rsidRPr="009072DA"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double" w:sz="12"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nil"/>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294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r>
      <w:tr w:rsidR="004F47BB" w:rsidRPr="009072DA"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double" w:sz="12"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nil"/>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294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r>
      <w:tr w:rsidR="004F47BB" w:rsidRPr="009072DA"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double" w:sz="12"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nil"/>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175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c>
          <w:tcPr>
            <w:tcW w:w="2948" w:type="dxa"/>
            <w:tcBorders>
              <w:top w:val="single" w:sz="6" w:space="0" w:color="auto"/>
              <w:left w:val="single" w:sz="6" w:space="0" w:color="auto"/>
              <w:bottom w:val="single" w:sz="6" w:space="0" w:color="auto"/>
              <w:right w:val="single" w:sz="6" w:space="0" w:color="auto"/>
            </w:tcBorders>
          </w:tcPr>
          <w:p w:rsidR="004F47BB" w:rsidRPr="009072DA" w:rsidRDefault="004F47BB" w:rsidP="004F47BB">
            <w:pPr>
              <w:tabs>
                <w:tab w:val="left" w:pos="284"/>
              </w:tabs>
              <w:overflowPunct w:val="0"/>
              <w:adjustRightInd w:val="0"/>
              <w:spacing w:before="120" w:after="120" w:line="240" w:lineRule="exact"/>
              <w:jc w:val="center"/>
              <w:textAlignment w:val="baseline"/>
              <w:rPr>
                <w:sz w:val="18"/>
                <w:szCs w:val="20"/>
                <w:lang w:val="bg-BG"/>
              </w:rPr>
            </w:pPr>
          </w:p>
        </w:tc>
      </w:tr>
    </w:tbl>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sectPr w:rsidR="004F47BB" w:rsidRPr="009072DA" w:rsidSect="00D45887">
          <w:headerReference w:type="first" r:id="rId120"/>
          <w:footerReference w:type="first" r:id="rId121"/>
          <w:pgSz w:w="16840" w:h="11907" w:orient="landscape" w:code="9"/>
          <w:pgMar w:top="1418" w:right="1418" w:bottom="1418" w:left="1418" w:header="680" w:footer="680" w:gutter="0"/>
          <w:cols w:space="720"/>
          <w:noEndnote/>
          <w:titlePg/>
          <w:docGrid w:linePitch="272"/>
        </w:sectPr>
      </w:pPr>
    </w:p>
    <w:p w:rsidR="004F47BB" w:rsidRPr="009072DA" w:rsidRDefault="004F47BB" w:rsidP="00C859BD">
      <w:pPr>
        <w:pStyle w:val="ES-Titre4"/>
      </w:pPr>
      <w:r w:rsidRPr="009072DA">
        <w:lastRenderedPageBreak/>
        <w:t>Приложение 2 към указание ESI-II-3</w:t>
      </w:r>
    </w:p>
    <w:p w:rsidR="004F47BB" w:rsidRPr="009072DA" w:rsidRDefault="004F47BB" w:rsidP="00C859BD">
      <w:pPr>
        <w:pStyle w:val="ES-Titre4a"/>
      </w:pPr>
      <w:r w:rsidRPr="009072DA">
        <w:t>Оценка на резултатите от маневрата за спиране</w:t>
      </w: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spacing w:line="240" w:lineRule="atLeast"/>
        <w:ind w:left="567" w:hanging="567"/>
        <w:rPr>
          <w:lang w:val="bg-BG"/>
        </w:rPr>
      </w:pPr>
      <w:r w:rsidRPr="009072DA">
        <w:rPr>
          <w:lang w:val="bg-BG"/>
        </w:rPr>
        <w:t>1.</w:t>
      </w:r>
      <w:r w:rsidRPr="009072DA">
        <w:rPr>
          <w:lang w:val="bg-BG"/>
        </w:rPr>
        <w:tab/>
        <w:t>На базата на отчетените стойности трябва да се провери спазването на пределно допустимите стойности в съответствие с приложение 1. Ако условията за маневрата за спиране значително се отклоняват от стандартните условия или съществува съмнение за спазването на пределно допустимите стойности, се прави оценка на резултатите. За тази цел може да се приложи изложената по-долу процедура за изчисляване на маневрите за спиране.</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2.</w:t>
      </w:r>
      <w:r w:rsidRPr="009072DA">
        <w:rPr>
          <w:lang w:val="bg-BG"/>
        </w:rPr>
        <w:tab/>
        <w:t>Теоретичните разстояния на спиране се определят при стандартните условия (</w:t>
      </w:r>
      <m:oMath>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SOLL</m:t>
            </m:r>
          </m:sub>
        </m:sSub>
      </m:oMath>
      <w:r w:rsidRPr="009072DA">
        <w:rPr>
          <w:lang w:val="bg-BG"/>
        </w:rPr>
        <w:t>) по точка 2.1 от настоящата инструкция и при условия на маневра за спиране (</w:t>
      </w:r>
      <m:oMath>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IST</m:t>
            </m:r>
          </m:sub>
        </m:sSub>
      </m:oMath>
      <w:r w:rsidRPr="009072DA">
        <w:rPr>
          <w:lang w:val="bg-BG"/>
        </w:rPr>
        <w:t>) и се сравняват с измереното разстояние на спиране (</w:t>
      </w:r>
      <m:oMath>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MESSUNG</m:t>
            </m:r>
          </m:sub>
        </m:sSub>
      </m:oMath>
      <w:r w:rsidRPr="009072DA">
        <w:rPr>
          <w:lang w:val="bg-BG"/>
        </w:rPr>
        <w:t>). Коригираното разстояние на спиране на маневрата за спиране при стандартни условия (</w:t>
      </w:r>
      <m:oMath>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NORM</m:t>
            </m:r>
          </m:sub>
        </m:sSub>
      </m:oMath>
      <w:r w:rsidRPr="009072DA">
        <w:rPr>
          <w:lang w:val="bg-BG"/>
        </w:rPr>
        <w:t>) се изчислява, както следва:</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1843" w:hanging="1276"/>
        <w:rPr>
          <w:lang w:val="bg-BG"/>
        </w:rPr>
      </w:pPr>
      <w:r w:rsidRPr="009072DA">
        <w:rPr>
          <w:lang w:val="bg-BG"/>
        </w:rPr>
        <w:t>Формула (2.1)</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NORM</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MESSUNG</m:t>
            </m:r>
          </m:sub>
        </m:sSub>
        <m:r>
          <w:rPr>
            <w:rFonts w:ascii="Cambria Math" w:hAnsi="Cambria Math"/>
            <w:szCs w:val="20"/>
            <w:lang w:val="bg-BG"/>
          </w:rPr>
          <m:t xml:space="preserve"> ∙ </m:t>
        </m:r>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SOLL</m:t>
                </m:r>
              </m:sub>
            </m:sSub>
          </m:num>
          <m:den>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IST</m:t>
                </m:r>
              </m:sub>
            </m:sSub>
          </m:den>
        </m:f>
        <m:r>
          <w:rPr>
            <w:rFonts w:ascii="Cambria Math" w:hAnsi="Cambria Math"/>
            <w:szCs w:val="20"/>
            <w:lang w:val="bg-BG"/>
          </w:rPr>
          <m:t xml:space="preserve"> ≤limit value</m:t>
        </m:r>
      </m:oMath>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rPr>
          <w:szCs w:val="20"/>
          <w:lang w:val="bg-BG"/>
        </w:rPr>
      </w:pPr>
      <w:r w:rsidRPr="009072DA">
        <w:rPr>
          <w:lang w:val="bg-BG"/>
        </w:rPr>
        <w:t>в съответствие с точка 2.1, буква a) или б) от настоящата инструкция.</w:t>
      </w:r>
    </w:p>
    <w:p w:rsidR="004F47BB" w:rsidRPr="009072DA" w:rsidRDefault="004F47BB" w:rsidP="004F47BB">
      <w:pPr>
        <w:tabs>
          <w:tab w:val="left" w:pos="567"/>
          <w:tab w:val="center" w:pos="4678"/>
        </w:tabs>
        <w:overflowPunct w:val="0"/>
        <w:adjustRightInd w:val="0"/>
        <w:spacing w:line="240" w:lineRule="atLeast"/>
        <w:ind w:left="567" w:hanging="567"/>
        <w:textAlignment w:val="baseline"/>
        <w:rPr>
          <w:szCs w:val="20"/>
          <w:lang w:val="bg-BG"/>
        </w:rPr>
      </w:pPr>
    </w:p>
    <w:p w:rsidR="004F47BB" w:rsidRPr="009072DA" w:rsidRDefault="004F47BB" w:rsidP="004F47BB">
      <w:pPr>
        <w:spacing w:line="240" w:lineRule="atLeast"/>
        <w:ind w:left="567"/>
        <w:rPr>
          <w:lang w:val="bg-BG"/>
        </w:rPr>
      </w:pPr>
      <w:r w:rsidRPr="009072DA">
        <w:rPr>
          <w:lang w:val="bg-BG"/>
        </w:rPr>
        <w:t xml:space="preserve">Когато маневрата за спиране е проведена с натоварване 70—100 % от максималната товароподемност в съответствие с точка 2.2 от настоящата инструкция, за да се изчисли </w:t>
      </w:r>
      <m:oMath>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NORM</m:t>
            </m:r>
          </m:sub>
        </m:sSub>
      </m:oMath>
      <w:r w:rsidRPr="009072DA">
        <w:rPr>
          <w:lang w:val="bg-BG"/>
        </w:rPr>
        <w:t xml:space="preserve">, за определянето на </w:t>
      </w:r>
      <m:oMath>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SOLL</m:t>
            </m:r>
          </m:sub>
        </m:sSub>
      </m:oMath>
      <w:r w:rsidRPr="009072DA">
        <w:rPr>
          <w:lang w:val="bg-BG"/>
        </w:rPr>
        <w:t xml:space="preserve"> и на </w:t>
      </w:r>
      <m:oMath>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IST</m:t>
            </m:r>
          </m:sub>
        </m:sSub>
      </m:oMath>
      <w:r w:rsidRPr="009072DA">
        <w:rPr>
          <w:lang w:val="bg-BG"/>
        </w:rPr>
        <w:t xml:space="preserve"> се използва водоизместването (</w:t>
      </w:r>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SOLL</m:t>
            </m:r>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IST</m:t>
            </m:r>
          </m:sub>
        </m:sSub>
      </m:oMath>
      <w:r w:rsidRPr="009072DA">
        <w:rPr>
          <w:lang w:val="bg-BG"/>
        </w:rPr>
        <w:t>), отговарящо на натоварването по време на изпитването.</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 xml:space="preserve">Когато при определянето на </w:t>
      </w:r>
      <m:oMath>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NORM</m:t>
            </m:r>
          </m:sub>
        </m:sSub>
      </m:oMath>
      <w:r w:rsidRPr="009072DA">
        <w:rPr>
          <w:i/>
          <w:vertAlign w:val="subscript"/>
          <w:lang w:val="bg-BG"/>
        </w:rPr>
        <w:t xml:space="preserve"> </w:t>
      </w:r>
      <w:r w:rsidRPr="009072DA">
        <w:rPr>
          <w:lang w:val="bg-BG"/>
        </w:rPr>
        <w:t xml:space="preserve">по формула (2.1) съответната пределна стойност е надхвърлена или не е достигната, стойността на </w:t>
      </w:r>
      <m:oMath>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SOLL</m:t>
            </m:r>
          </m:sub>
        </m:sSub>
      </m:oMath>
      <w:r w:rsidRPr="009072DA">
        <w:rPr>
          <w:lang w:val="bg-BG"/>
        </w:rPr>
        <w:t xml:space="preserve"> се намалява или увеличава, като се променя </w:t>
      </w:r>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SOLL</m:t>
            </m:r>
          </m:sub>
        </m:sSub>
      </m:oMath>
      <w:r w:rsidRPr="009072DA">
        <w:rPr>
          <w:lang w:val="bg-BG"/>
        </w:rPr>
        <w:t>, така че да се постигне съответствие с пределната стойност (</w:t>
      </w:r>
      <m:oMath>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NORM</m:t>
            </m:r>
          </m:sub>
        </m:sSub>
      </m:oMath>
      <w:r w:rsidRPr="009072DA">
        <w:rPr>
          <w:lang w:val="bg-BG"/>
        </w:rPr>
        <w:t xml:space="preserve"> = съответната пределна стойност). Съответно се определя допустимото максимално водоизместване при плаване по течението.</w:t>
      </w:r>
    </w:p>
    <w:p w:rsidR="004F47BB" w:rsidRPr="009072DA" w:rsidRDefault="004F47BB" w:rsidP="004F47BB">
      <w:pPr>
        <w:overflowPunct w:val="0"/>
        <w:adjustRightInd w:val="0"/>
        <w:spacing w:line="240" w:lineRule="exact"/>
        <w:ind w:left="567" w:hanging="567"/>
        <w:textAlignment w:val="baseline"/>
        <w:rPr>
          <w:szCs w:val="20"/>
          <w:lang w:val="bg-BG"/>
        </w:rPr>
      </w:pPr>
    </w:p>
    <w:p w:rsidR="004F47BB" w:rsidRPr="009072DA" w:rsidRDefault="004F47BB" w:rsidP="004F47BB">
      <w:pPr>
        <w:spacing w:line="240" w:lineRule="atLeast"/>
        <w:ind w:left="567" w:hanging="567"/>
        <w:rPr>
          <w:lang w:val="bg-BG"/>
        </w:rPr>
      </w:pPr>
      <w:r w:rsidRPr="009072DA">
        <w:rPr>
          <w:lang w:val="bg-BG"/>
        </w:rPr>
        <w:t>3.</w:t>
      </w:r>
      <w:r w:rsidRPr="009072DA">
        <w:rPr>
          <w:lang w:val="bg-BG"/>
        </w:rPr>
        <w:tab/>
        <w:t>В съответствие с пределно допустимите стойности, посочени в точка 2.1, букви a) и б) от настоящата инструкция, само разстоянията на спиране, измерени във</w:t>
      </w:r>
    </w:p>
    <w:p w:rsidR="004F47BB" w:rsidRPr="009072DA" w:rsidRDefault="004F47BB" w:rsidP="004F47BB">
      <w:pPr>
        <w:spacing w:before="60" w:line="240" w:lineRule="atLeast"/>
        <w:ind w:left="992"/>
        <w:rPr>
          <w:lang w:val="bg-BG"/>
        </w:rPr>
      </w:pPr>
      <w:r w:rsidRPr="009072DA">
        <w:rPr>
          <w:lang w:val="bg-BG"/>
        </w:rPr>
        <w:t>-</w:t>
      </w:r>
      <w:r w:rsidRPr="009072DA">
        <w:rPr>
          <w:lang w:val="bg-BG"/>
        </w:rPr>
        <w:tab/>
        <w:t xml:space="preserve">фаза I („пълен напред“ с реверс до „пълен назад“):  </w:t>
      </w:r>
      <m:oMath>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m:t>
            </m:r>
          </m:sub>
        </m:sSub>
      </m:oMath>
    </w:p>
    <w:p w:rsidR="004F47BB" w:rsidRPr="009072DA" w:rsidRDefault="004F47BB" w:rsidP="004F47BB">
      <w:pPr>
        <w:spacing w:before="60" w:line="240" w:lineRule="atLeast"/>
        <w:ind w:left="567"/>
        <w:rPr>
          <w:lang w:val="bg-BG"/>
        </w:rPr>
      </w:pPr>
      <w:r w:rsidRPr="009072DA">
        <w:rPr>
          <w:lang w:val="bg-BG"/>
        </w:rPr>
        <w:t>и</w:t>
      </w:r>
    </w:p>
    <w:p w:rsidR="004F47BB" w:rsidRPr="009072DA" w:rsidRDefault="004F47BB" w:rsidP="004F47BB">
      <w:pPr>
        <w:spacing w:before="60" w:line="240" w:lineRule="atLeast"/>
        <w:ind w:left="992"/>
        <w:rPr>
          <w:rFonts w:cs="Arial"/>
          <w:lang w:val="bg-BG"/>
        </w:rPr>
      </w:pPr>
      <w:r w:rsidRPr="009072DA">
        <w:rPr>
          <w:lang w:val="bg-BG"/>
        </w:rPr>
        <w:t>-</w:t>
      </w:r>
      <w:r w:rsidRPr="009072DA">
        <w:rPr>
          <w:lang w:val="bg-BG"/>
        </w:rPr>
        <w:tab/>
        <w:t xml:space="preserve">фаза II (край на задния ход при спирането на съда спрямо водата) </w:t>
      </w:r>
      <m:oMath>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II</m:t>
            </m:r>
          </m:sub>
        </m:sSub>
      </m:oMath>
    </w:p>
    <w:p w:rsidR="004F47BB" w:rsidRPr="009072DA" w:rsidRDefault="004F47BB" w:rsidP="004F47BB">
      <w:pPr>
        <w:tabs>
          <w:tab w:val="left" w:pos="567"/>
          <w:tab w:val="left" w:pos="4962"/>
        </w:tabs>
        <w:overflowPunct w:val="0"/>
        <w:adjustRightInd w:val="0"/>
        <w:spacing w:line="240" w:lineRule="exact"/>
        <w:ind w:left="567" w:hanging="567"/>
        <w:textAlignment w:val="baseline"/>
        <w:rPr>
          <w:szCs w:val="20"/>
          <w:lang w:val="bg-BG"/>
        </w:rPr>
      </w:pPr>
    </w:p>
    <w:p w:rsidR="004F47BB" w:rsidRPr="009072DA" w:rsidRDefault="004F47BB" w:rsidP="004F47BB">
      <w:pPr>
        <w:spacing w:line="240" w:lineRule="atLeast"/>
        <w:ind w:left="567"/>
        <w:rPr>
          <w:lang w:val="bg-BG"/>
        </w:rPr>
      </w:pPr>
      <w:r w:rsidRPr="009072DA">
        <w:rPr>
          <w:lang w:val="bg-BG"/>
        </w:rPr>
        <w:t>се изчисляват (вж. фигура 1). Общото разстояние на спиране тогава е:</w:t>
      </w:r>
    </w:p>
    <w:p w:rsidR="004F47BB" w:rsidRPr="009072DA" w:rsidRDefault="004F47BB" w:rsidP="004F47BB">
      <w:pPr>
        <w:overflowPunct w:val="0"/>
        <w:adjustRightInd w:val="0"/>
        <w:ind w:left="567" w:hanging="567"/>
        <w:textAlignment w:val="baseline"/>
        <w:rPr>
          <w:szCs w:val="20"/>
          <w:lang w:val="bg-BG"/>
        </w:rPr>
      </w:pPr>
    </w:p>
    <w:p w:rsidR="004F47BB" w:rsidRPr="009072DA" w:rsidRDefault="004F47BB" w:rsidP="004F47BB">
      <w:pPr>
        <w:spacing w:line="240" w:lineRule="atLeast"/>
        <w:ind w:left="567"/>
        <w:rPr>
          <w:lang w:val="bg-BG"/>
        </w:rPr>
      </w:pPr>
      <w:r w:rsidRPr="009072DA">
        <w:rPr>
          <w:lang w:val="bg-BG"/>
        </w:rPr>
        <w:t>Формула (3.1)</w:t>
      </w:r>
      <w:r w:rsidRPr="009072DA">
        <w:rPr>
          <w:lang w:val="bg-BG"/>
        </w:rPr>
        <w:tab/>
      </w:r>
      <m:oMath>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GES</m:t>
            </m:r>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m:t>
            </m:r>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II</m:t>
            </m:r>
          </m:sub>
        </m:sSub>
      </m:oMath>
    </w:p>
    <w:p w:rsidR="004F47BB" w:rsidRPr="009072DA" w:rsidRDefault="004F47BB" w:rsidP="004F47BB">
      <w:pPr>
        <w:overflowPunct w:val="0"/>
        <w:adjustRightInd w:val="0"/>
        <w:ind w:left="567" w:hanging="567"/>
        <w:textAlignment w:val="baseline"/>
        <w:rPr>
          <w:szCs w:val="20"/>
          <w:lang w:val="bg-BG"/>
        </w:rPr>
      </w:pPr>
    </w:p>
    <w:p w:rsidR="004F47BB" w:rsidRPr="009072DA" w:rsidRDefault="004F47BB" w:rsidP="004F47BB">
      <w:pPr>
        <w:spacing w:line="240" w:lineRule="atLeast"/>
        <w:ind w:left="567" w:hanging="567"/>
        <w:rPr>
          <w:lang w:val="bg-BG"/>
        </w:rPr>
      </w:pPr>
      <w:r w:rsidRPr="009072DA">
        <w:rPr>
          <w:lang w:val="bg-BG"/>
        </w:rPr>
        <w:t>4.</w:t>
      </w:r>
      <w:r w:rsidRPr="009072DA">
        <w:rPr>
          <w:lang w:val="bg-BG"/>
        </w:rPr>
        <w:tab/>
        <w:t>Конкретните разстояния на спиране се изчисляват, както следва:</w:t>
      </w:r>
    </w:p>
    <w:p w:rsidR="004F47BB" w:rsidRPr="009072DA" w:rsidRDefault="004F47BB" w:rsidP="004F47BB">
      <w:pPr>
        <w:overflowPunct w:val="0"/>
        <w:adjustRightInd w:val="0"/>
        <w:spacing w:line="240" w:lineRule="exact"/>
        <w:ind w:left="567" w:hanging="567"/>
        <w:textAlignment w:val="baseline"/>
        <w:rPr>
          <w:szCs w:val="20"/>
          <w:lang w:val="bg-BG"/>
        </w:rPr>
      </w:pPr>
    </w:p>
    <w:p w:rsidR="004F47BB" w:rsidRPr="009072DA" w:rsidRDefault="004F47BB" w:rsidP="004F47BB">
      <w:pPr>
        <w:spacing w:line="240" w:lineRule="exact"/>
        <w:jc w:val="center"/>
        <w:rPr>
          <w:b/>
          <w:lang w:val="bg-BG"/>
        </w:rPr>
      </w:pPr>
      <w:r w:rsidRPr="009072DA">
        <w:rPr>
          <w:lang w:val="bg-BG"/>
        </w:rPr>
        <w:br w:type="page"/>
      </w:r>
    </w:p>
    <w:p w:rsidR="004F47BB" w:rsidRPr="009072DA" w:rsidRDefault="004F47BB" w:rsidP="004F47BB">
      <w:pPr>
        <w:overflowPunct w:val="0"/>
        <w:adjustRightInd w:val="0"/>
        <w:spacing w:line="240" w:lineRule="exact"/>
        <w:jc w:val="center"/>
        <w:textAlignment w:val="baseline"/>
        <w:rPr>
          <w:b/>
          <w:lang w:val="bg-BG"/>
        </w:rPr>
      </w:pPr>
      <w:r w:rsidRPr="009072DA">
        <w:rPr>
          <w:b/>
          <w:lang w:val="bg-BG"/>
        </w:rPr>
        <w:lastRenderedPageBreak/>
        <w:t>Изчисляване на маневрата за спиране</w:t>
      </w:r>
    </w:p>
    <w:p w:rsidR="004F47BB" w:rsidRPr="009072DA" w:rsidRDefault="004F47BB" w:rsidP="004F47BB">
      <w:pPr>
        <w:overflowPunct w:val="0"/>
        <w:adjustRightInd w:val="0"/>
        <w:spacing w:line="240" w:lineRule="exact"/>
        <w:jc w:val="center"/>
        <w:textAlignment w:val="baseline"/>
        <w:rPr>
          <w:b/>
          <w:szCs w:val="20"/>
          <w:lang w:val="bg-BG"/>
        </w:rPr>
      </w:pPr>
    </w:p>
    <w:p w:rsidR="004F47BB" w:rsidRPr="009072DA" w:rsidRDefault="004F47BB" w:rsidP="004F47BB">
      <w:pPr>
        <w:overflowPunct w:val="0"/>
        <w:adjustRightInd w:val="0"/>
        <w:spacing w:line="240" w:lineRule="exact"/>
        <w:jc w:val="center"/>
        <w:textAlignment w:val="baseline"/>
        <w:rPr>
          <w:szCs w:val="20"/>
          <w:lang w:val="bg-BG"/>
        </w:rPr>
      </w:pPr>
      <w:r w:rsidRPr="009072DA">
        <w:rPr>
          <w:b/>
          <w:lang w:val="bg-BG"/>
        </w:rPr>
        <w:t>Фигура 2: Диаграма</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jc w:val="center"/>
        <w:textAlignment w:val="baseline"/>
        <w:rPr>
          <w:szCs w:val="20"/>
          <w:lang w:val="bg-BG"/>
        </w:rPr>
      </w:pPr>
      <w:r w:rsidRPr="009072DA">
        <w:rPr>
          <w:rFonts w:ascii="Times New Roman" w:hAnsi="Times New Roman"/>
          <w:noProof/>
          <w:szCs w:val="20"/>
          <w:lang w:eastAsia="en-GB"/>
        </w:rPr>
        <w:drawing>
          <wp:inline distT="0" distB="0" distL="0" distR="0" wp14:anchorId="41A62038" wp14:editId="1D2EE65B">
            <wp:extent cx="4552950" cy="3124200"/>
            <wp:effectExtent l="0" t="0" r="0" b="0"/>
            <wp:docPr id="299" name="Imag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552950" cy="3124200"/>
                    </a:xfrm>
                    <a:prstGeom prst="rect">
                      <a:avLst/>
                    </a:prstGeom>
                    <a:solidFill>
                      <a:srgbClr val="FFFFFF"/>
                    </a:solidFill>
                    <a:ln>
                      <a:noFill/>
                    </a:ln>
                  </pic:spPr>
                </pic:pic>
              </a:graphicData>
            </a:graphic>
          </wp:inline>
        </w:drawing>
      </w:r>
    </w:p>
    <w:p w:rsidR="004F47BB" w:rsidRPr="009072DA" w:rsidRDefault="004F47BB" w:rsidP="004F47BB">
      <w:pPr>
        <w:overflowPunct w:val="0"/>
        <w:adjustRightInd w:val="0"/>
        <w:spacing w:line="240" w:lineRule="exact"/>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spacing w:line="240" w:lineRule="exact"/>
        <w:textAlignment w:val="baseline"/>
        <w:rPr>
          <w:szCs w:val="20"/>
          <w:lang w:val="bg-BG"/>
        </w:rPr>
      </w:pPr>
      <w:r w:rsidRPr="009072DA">
        <w:rPr>
          <w:b/>
          <w:lang w:val="bg-BG"/>
        </w:rPr>
        <w:t>Формули за изчисляване:</w:t>
      </w:r>
    </w:p>
    <w:p w:rsidR="004F47BB" w:rsidRPr="009072DA" w:rsidRDefault="004F47BB" w:rsidP="004F47BB">
      <w:pPr>
        <w:tabs>
          <w:tab w:val="left" w:pos="5954"/>
        </w:tabs>
        <w:overflowPunct w:val="0"/>
        <w:adjustRightInd w:val="0"/>
        <w:textAlignment w:val="baseline"/>
        <w:rPr>
          <w:szCs w:val="20"/>
          <w:lang w:val="bg-BG"/>
        </w:rPr>
      </w:pPr>
      <w:r w:rsidRPr="009072DA">
        <w:rPr>
          <w:lang w:val="bg-BG"/>
        </w:rPr>
        <w:tab/>
        <w:t>със следните коефициенти</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tabs>
          <w:tab w:val="left" w:pos="1134"/>
          <w:tab w:val="left" w:pos="1418"/>
          <w:tab w:val="left" w:pos="3119"/>
          <w:tab w:val="left" w:pos="5954"/>
          <w:tab w:val="left" w:pos="6379"/>
        </w:tabs>
        <w:overflowPunct w:val="0"/>
        <w:adjustRightInd w:val="0"/>
        <w:spacing w:line="240" w:lineRule="exact"/>
        <w:ind w:left="567" w:hanging="567"/>
        <w:textAlignment w:val="baseline"/>
        <w:rPr>
          <w:szCs w:val="20"/>
          <w:lang w:val="bg-BG"/>
        </w:rPr>
      </w:pPr>
      <w:r w:rsidRPr="009072DA">
        <w:rPr>
          <w:lang w:val="bg-BG"/>
        </w:rPr>
        <w:t>4.1</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I</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1</m:t>
            </m:r>
          </m:sub>
        </m:sSub>
        <m:r>
          <w:rPr>
            <w:rFonts w:ascii="Cambria Math" w:hAnsi="Cambria Math"/>
            <w:szCs w:val="20"/>
            <w:lang w:val="bg-BG"/>
          </w:rPr>
          <m:t xml:space="preserve"> ∙ </m:t>
        </m:r>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L</m:t>
            </m:r>
          </m:sub>
        </m:sSub>
        <m:r>
          <w:rPr>
            <w:rFonts w:ascii="Cambria Math" w:hAnsi="Cambria Math"/>
            <w:szCs w:val="20"/>
            <w:lang w:val="bg-BG"/>
          </w:rPr>
          <m:t xml:space="preserve"> ∙ </m:t>
        </m:r>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I</m:t>
            </m:r>
          </m:sub>
        </m:sSub>
      </m:oMath>
      <w:r w:rsidRPr="009072DA">
        <w:rPr>
          <w:lang w:val="bg-BG"/>
        </w:rPr>
        <w:tab/>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I</m:t>
            </m:r>
          </m:sub>
        </m:sSub>
        <m:r>
          <w:rPr>
            <w:rFonts w:ascii="Cambria Math" w:hAnsi="Cambria Math"/>
            <w:szCs w:val="20"/>
            <w:lang w:val="bg-BG"/>
          </w:rPr>
          <m:t>≤20 s</m:t>
        </m:r>
      </m:oMath>
      <w:r w:rsidRPr="009072DA">
        <w:rPr>
          <w:lang w:val="bg-BG"/>
        </w:rPr>
        <w:tab/>
        <w:t>-</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1</m:t>
            </m:r>
          </m:sub>
        </m:sSub>
      </m:oMath>
      <w:r w:rsidRPr="009072DA">
        <w:rPr>
          <w:lang w:val="bg-BG"/>
        </w:rPr>
        <w:t xml:space="preserve"> съгласно таблица 1</w:t>
      </w:r>
    </w:p>
    <w:p w:rsidR="004F47BB" w:rsidRPr="009072DA" w:rsidRDefault="004F47BB" w:rsidP="004F47BB">
      <w:pPr>
        <w:tabs>
          <w:tab w:val="left" w:pos="5954"/>
          <w:tab w:val="left" w:pos="6379"/>
          <w:tab w:val="left" w:pos="6663"/>
          <w:tab w:val="left" w:pos="6946"/>
        </w:tabs>
        <w:overflowPunct w:val="0"/>
        <w:adjustRightInd w:val="0"/>
        <w:textAlignment w:val="baseline"/>
        <w:rPr>
          <w:szCs w:val="20"/>
          <w:lang w:val="bg-BG"/>
        </w:rPr>
      </w:pPr>
    </w:p>
    <w:p w:rsidR="004F47BB" w:rsidRPr="009072DA" w:rsidRDefault="004F47BB" w:rsidP="004F47BB">
      <w:pPr>
        <w:tabs>
          <w:tab w:val="left" w:pos="567"/>
          <w:tab w:val="left" w:pos="5954"/>
          <w:tab w:val="left" w:pos="6379"/>
        </w:tabs>
        <w:overflowPunct w:val="0"/>
        <w:adjustRightInd w:val="0"/>
        <w:spacing w:line="240" w:lineRule="atLeast"/>
        <w:ind w:left="567" w:hanging="567"/>
        <w:textAlignment w:val="baseline"/>
        <w:rPr>
          <w:szCs w:val="20"/>
          <w:lang w:val="bg-BG"/>
        </w:rPr>
      </w:pPr>
      <w:r w:rsidRPr="009072DA">
        <w:rPr>
          <w:lang w:val="bg-BG"/>
        </w:rPr>
        <w:t>4.2</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II</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2</m:t>
            </m:r>
          </m:sub>
        </m:sSub>
        <m:r>
          <w:rPr>
            <w:rFonts w:ascii="Cambria Math" w:hAnsi="Cambria Math"/>
            <w:szCs w:val="20"/>
            <w:lang w:val="bg-BG"/>
          </w:rPr>
          <m:t xml:space="preserve"> ∙ </m:t>
        </m:r>
        <m:sSub>
          <m:sSubPr>
            <m:ctrlPr>
              <w:rPr>
                <w:rFonts w:ascii="Cambria Math" w:hAnsi="Cambria Math"/>
                <w:i/>
                <w:szCs w:val="20"/>
                <w:lang w:val="bg-BG"/>
              </w:rPr>
            </m:ctrlPr>
          </m:sSubPr>
          <m:e>
            <m:sSup>
              <m:sSupPr>
                <m:ctrlPr>
                  <w:rPr>
                    <w:rFonts w:ascii="Cambria Math" w:hAnsi="Cambria Math"/>
                    <w:i/>
                    <w:szCs w:val="20"/>
                    <w:lang w:val="bg-BG"/>
                  </w:rPr>
                </m:ctrlPr>
              </m:sSupPr>
              <m:e>
                <m:r>
                  <w:rPr>
                    <w:rFonts w:ascii="Cambria Math" w:hAnsi="Cambria Math"/>
                    <w:szCs w:val="20"/>
                    <w:lang w:val="bg-BG"/>
                  </w:rPr>
                  <m:t>v</m:t>
                </m:r>
              </m:e>
              <m:sup>
                <m:r>
                  <w:rPr>
                    <w:rFonts w:ascii="Cambria Math" w:hAnsi="Cambria Math"/>
                    <w:szCs w:val="20"/>
                    <w:lang w:val="bg-BG"/>
                  </w:rPr>
                  <m:t>2</m:t>
                </m:r>
              </m:sup>
            </m:sSup>
          </m:e>
          <m:sub>
            <m:r>
              <w:rPr>
                <w:rFonts w:ascii="Cambria Math" w:hAnsi="Cambria Math"/>
                <w:szCs w:val="20"/>
                <w:lang w:val="bg-BG"/>
              </w:rPr>
              <m:t>II</m:t>
            </m:r>
          </m:sub>
        </m:sSub>
        <m:r>
          <w:rPr>
            <w:rFonts w:ascii="Cambria Math" w:hAnsi="Cambria Math"/>
            <w:szCs w:val="20"/>
            <w:lang w:val="bg-BG"/>
          </w:rPr>
          <m:t xml:space="preserve"> ∙ </m:t>
        </m:r>
        <m:f>
          <m:fPr>
            <m:ctrlPr>
              <w:rPr>
                <w:rFonts w:ascii="Cambria Math" w:hAnsi="Cambria Math"/>
                <w:i/>
                <w:szCs w:val="20"/>
                <w:lang w:val="bg-BG"/>
              </w:rPr>
            </m:ctrlPr>
          </m:fPr>
          <m:num>
            <m:r>
              <w:rPr>
                <w:rFonts w:ascii="Cambria Math" w:hAnsi="Cambria Math"/>
                <w:szCs w:val="20"/>
                <w:lang w:val="bg-BG"/>
              </w:rPr>
              <m:t>D ∙g</m:t>
            </m:r>
          </m:num>
          <m:den>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3</m:t>
                </m:r>
              </m:sub>
            </m:sSub>
            <m:r>
              <w:rPr>
                <w:rFonts w:ascii="Cambria Math" w:hAnsi="Cambria Math"/>
                <w:szCs w:val="20"/>
                <w:lang w:val="bg-BG"/>
              </w:rPr>
              <m:t xml:space="preserve"> ∙ </m:t>
            </m:r>
            <m:sSub>
              <m:sSubPr>
                <m:ctrlPr>
                  <w:rPr>
                    <w:rFonts w:ascii="Cambria Math" w:hAnsi="Cambria Math"/>
                    <w:i/>
                    <w:szCs w:val="20"/>
                    <w:lang w:val="bg-BG"/>
                  </w:rPr>
                </m:ctrlPr>
              </m:sSubPr>
              <m:e>
                <m:r>
                  <w:rPr>
                    <w:rFonts w:ascii="Cambria Math" w:hAnsi="Cambria Math"/>
                    <w:szCs w:val="20"/>
                    <w:lang w:val="bg-BG"/>
                  </w:rPr>
                  <m:t>F</m:t>
                </m:r>
              </m:e>
              <m:sub>
                <m:r>
                  <w:rPr>
                    <w:rFonts w:ascii="Cambria Math" w:hAnsi="Cambria Math"/>
                    <w:szCs w:val="20"/>
                    <w:lang w:val="bg-BG"/>
                  </w:rPr>
                  <m:t>POR</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TmII</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G</m:t>
                </m:r>
              </m:sub>
            </m:sSub>
          </m:den>
        </m:f>
        <m:r>
          <w:rPr>
            <w:rFonts w:ascii="Cambria Math" w:hAnsi="Cambria Math"/>
            <w:szCs w:val="20"/>
            <w:lang w:val="bg-BG"/>
          </w:rPr>
          <m:t xml:space="preserve">∙ </m:t>
        </m:r>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4</m:t>
                </m:r>
              </m:sub>
            </m:sSub>
            <m:r>
              <w:rPr>
                <w:rFonts w:ascii="Cambria Math" w:hAnsi="Cambria Math"/>
                <w:szCs w:val="20"/>
                <w:lang w:val="bg-BG"/>
              </w:rPr>
              <m:t xml:space="preserve">+ </m:t>
            </m:r>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STR</m:t>
                    </m:r>
                  </m:sub>
                </m:sSub>
              </m:num>
              <m:den>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II</m:t>
                    </m:r>
                  </m:sub>
                </m:sSub>
              </m:den>
            </m:f>
          </m:e>
        </m:d>
      </m:oMath>
      <w:r w:rsidRPr="009072DA">
        <w:rPr>
          <w:lang w:val="bg-BG"/>
        </w:rPr>
        <w:tab/>
        <w:t>-</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2</m:t>
            </m:r>
          </m:sub>
        </m:sSub>
      </m:oMath>
      <w:r w:rsidRPr="009072DA">
        <w:rPr>
          <w:lang w:val="bg-BG"/>
        </w:rPr>
        <w:t xml:space="preserve">, </w:t>
      </w: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3</m:t>
            </m:r>
          </m:sub>
        </m:sSub>
      </m:oMath>
      <w:r w:rsidRPr="009072DA">
        <w:rPr>
          <w:lang w:val="bg-BG"/>
        </w:rPr>
        <w:t xml:space="preserve">, </w:t>
      </w: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4</m:t>
            </m:r>
          </m:sub>
        </m:sSub>
      </m:oMath>
      <w:r w:rsidRPr="009072DA">
        <w:rPr>
          <w:lang w:val="bg-BG"/>
        </w:rPr>
        <w:t xml:space="preserve"> съгласно таблица 1</w:t>
      </w:r>
    </w:p>
    <w:p w:rsidR="004F47BB" w:rsidRPr="009072DA" w:rsidRDefault="004F47BB" w:rsidP="004F47BB">
      <w:pPr>
        <w:tabs>
          <w:tab w:val="left" w:pos="5954"/>
          <w:tab w:val="left" w:pos="6379"/>
        </w:tabs>
        <w:overflowPunct w:val="0"/>
        <w:adjustRightInd w:val="0"/>
        <w:textAlignment w:val="baseline"/>
        <w:rPr>
          <w:szCs w:val="20"/>
          <w:lang w:val="bg-BG"/>
        </w:rPr>
      </w:pPr>
    </w:p>
    <w:p w:rsidR="004F47BB" w:rsidRPr="009072DA" w:rsidRDefault="004F47BB" w:rsidP="004F47BB">
      <w:pPr>
        <w:tabs>
          <w:tab w:val="left" w:pos="5954"/>
          <w:tab w:val="left" w:pos="6379"/>
        </w:tabs>
        <w:overflowPunct w:val="0"/>
        <w:adjustRightInd w:val="0"/>
        <w:textAlignment w:val="baseline"/>
        <w:rPr>
          <w:szCs w:val="20"/>
          <w:lang w:val="bg-BG"/>
        </w:rPr>
      </w:pPr>
    </w:p>
    <w:p w:rsidR="004F47BB" w:rsidRPr="009072DA" w:rsidRDefault="004F47BB" w:rsidP="004F47BB">
      <w:pPr>
        <w:tabs>
          <w:tab w:val="left" w:pos="1134"/>
          <w:tab w:val="left" w:pos="1418"/>
          <w:tab w:val="left" w:pos="5954"/>
          <w:tab w:val="left" w:pos="6379"/>
        </w:tabs>
        <w:overflowPunct w:val="0"/>
        <w:adjustRightInd w:val="0"/>
        <w:spacing w:line="240" w:lineRule="atLeast"/>
        <w:ind w:left="567" w:hanging="567"/>
        <w:textAlignment w:val="baseline"/>
        <w:rPr>
          <w:szCs w:val="20"/>
          <w:lang w:val="bg-BG"/>
        </w:rPr>
      </w:pPr>
      <w:r w:rsidRPr="009072DA">
        <w:rPr>
          <w:lang w:val="bg-BG"/>
        </w:rPr>
        <w:t>4.3</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TmII</m:t>
            </m:r>
          </m:sub>
        </m:sSub>
        <m:r>
          <w:rPr>
            <w:rFonts w:ascii="Cambria Math" w:hAnsi="Cambria Math"/>
            <w:szCs w:val="20"/>
            <w:lang w:val="bg-BG"/>
          </w:rPr>
          <m:t xml:space="preserve">= </m:t>
        </m:r>
        <m:d>
          <m:dPr>
            <m:ctrlPr>
              <w:rPr>
                <w:rFonts w:ascii="Cambria Math" w:hAnsi="Cambria Math"/>
                <w:i/>
                <w:szCs w:val="20"/>
                <w:lang w:val="bg-BG"/>
              </w:rPr>
            </m:ctrlPr>
          </m:dPr>
          <m:e>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T</m:t>
                    </m:r>
                  </m:sub>
                </m:sSub>
              </m:num>
              <m:den>
                <m:sSup>
                  <m:sSupPr>
                    <m:ctrlPr>
                      <w:rPr>
                        <w:rFonts w:ascii="Cambria Math" w:hAnsi="Cambria Math"/>
                        <w:i/>
                        <w:szCs w:val="20"/>
                        <w:lang w:val="bg-BG"/>
                      </w:rPr>
                    </m:ctrlPr>
                  </m:sSupPr>
                  <m:e>
                    <m:r>
                      <w:rPr>
                        <w:rFonts w:ascii="Cambria Math" w:hAnsi="Cambria Math"/>
                        <w:szCs w:val="20"/>
                        <w:lang w:val="bg-BG"/>
                      </w:rPr>
                      <m:t>v</m:t>
                    </m:r>
                  </m:e>
                  <m:sup>
                    <m:r>
                      <w:rPr>
                        <w:rFonts w:ascii="Cambria Math" w:hAnsi="Cambria Math"/>
                        <w:szCs w:val="20"/>
                        <w:lang w:val="bg-BG"/>
                      </w:rPr>
                      <m:t>2</m:t>
                    </m:r>
                  </m:sup>
                </m:sSup>
              </m:den>
            </m:f>
          </m:e>
        </m:d>
        <m:r>
          <w:rPr>
            <w:rFonts w:ascii="Cambria Math" w:hAnsi="Cambria Math"/>
            <w:szCs w:val="20"/>
            <w:lang w:val="bg-BG"/>
          </w:rPr>
          <m:t xml:space="preserve"> ∙ </m:t>
        </m:r>
        <m:sSup>
          <m:sSupPr>
            <m:ctrlPr>
              <w:rPr>
                <w:rFonts w:ascii="Cambria Math" w:hAnsi="Cambria Math"/>
                <w:i/>
                <w:szCs w:val="20"/>
                <w:lang w:val="bg-BG"/>
              </w:rPr>
            </m:ctrlPr>
          </m:sSupPr>
          <m:e>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7</m:t>
                    </m:r>
                  </m:sub>
                </m:sSub>
                <m:r>
                  <w:rPr>
                    <w:rFonts w:ascii="Cambria Math" w:hAnsi="Cambria Math"/>
                    <w:szCs w:val="20"/>
                    <w:lang w:val="bg-BG"/>
                  </w:rPr>
                  <m:t xml:space="preserve"> ∙ </m:t>
                </m:r>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6</m:t>
                    </m:r>
                  </m:sub>
                </m:sSub>
                <m:r>
                  <w:rPr>
                    <w:rFonts w:ascii="Cambria Math" w:hAnsi="Cambria Math"/>
                    <w:szCs w:val="20"/>
                    <w:lang w:val="bg-BG"/>
                  </w:rPr>
                  <m:t xml:space="preserve"> ∙ </m:t>
                </m:r>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L</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STR</m:t>
                        </m:r>
                      </m:sub>
                    </m:sSub>
                  </m:e>
                </m:d>
              </m:e>
            </m:d>
          </m:e>
          <m:sup>
            <m:r>
              <w:rPr>
                <w:rFonts w:ascii="Cambria Math" w:hAnsi="Cambria Math"/>
                <w:szCs w:val="20"/>
                <w:lang w:val="bg-BG"/>
              </w:rPr>
              <m:t>2</m:t>
            </m:r>
          </m:sup>
        </m:sSup>
      </m:oMath>
      <w:r w:rsidRPr="009072DA">
        <w:rPr>
          <w:lang w:val="bg-BG"/>
        </w:rPr>
        <w:tab/>
        <w:t>-</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6</m:t>
            </m:r>
          </m:sub>
        </m:sSub>
      </m:oMath>
      <w:r w:rsidRPr="009072DA">
        <w:rPr>
          <w:lang w:val="bg-BG"/>
        </w:rPr>
        <w:t xml:space="preserve">, </w:t>
      </w: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7</m:t>
            </m:r>
          </m:sub>
        </m:sSub>
      </m:oMath>
      <w:r w:rsidRPr="009072DA">
        <w:rPr>
          <w:lang w:val="bg-BG"/>
        </w:rPr>
        <w:t xml:space="preserve"> </w:t>
      </w:r>
      <w:r w:rsidRPr="009072DA">
        <w:rPr>
          <w:sz w:val="18"/>
          <w:lang w:val="bg-BG"/>
        </w:rPr>
        <w:t>съгласно таблица 1</w:t>
      </w:r>
    </w:p>
    <w:p w:rsidR="004F47BB" w:rsidRPr="009072DA" w:rsidRDefault="004F47BB" w:rsidP="004F47BB">
      <w:pPr>
        <w:tabs>
          <w:tab w:val="left" w:pos="5954"/>
          <w:tab w:val="left" w:pos="6379"/>
        </w:tabs>
        <w:overflowPunct w:val="0"/>
        <w:adjustRightInd w:val="0"/>
        <w:spacing w:line="240" w:lineRule="atLeast"/>
        <w:textAlignment w:val="baseline"/>
        <w:rPr>
          <w:szCs w:val="20"/>
          <w:lang w:val="bg-BG"/>
        </w:rPr>
      </w:pPr>
      <w:r w:rsidRPr="009072DA">
        <w:rPr>
          <w:lang w:val="bg-BG"/>
        </w:rPr>
        <w:tab/>
        <w:t>-</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T</m:t>
            </m:r>
          </m:sub>
        </m:sSub>
        <m:r>
          <w:rPr>
            <w:rFonts w:ascii="Cambria Math" w:hAnsi="Cambria Math"/>
            <w:szCs w:val="20"/>
            <w:lang w:val="bg-BG"/>
          </w:rPr>
          <m:t>/</m:t>
        </m:r>
        <m:sSup>
          <m:sSupPr>
            <m:ctrlPr>
              <w:rPr>
                <w:rFonts w:ascii="Cambria Math" w:hAnsi="Cambria Math"/>
                <w:i/>
                <w:szCs w:val="20"/>
                <w:lang w:val="bg-BG"/>
              </w:rPr>
            </m:ctrlPr>
          </m:sSupPr>
          <m:e>
            <m:r>
              <w:rPr>
                <w:rFonts w:ascii="Cambria Math" w:hAnsi="Cambria Math"/>
                <w:szCs w:val="20"/>
                <w:lang w:val="bg-BG"/>
              </w:rPr>
              <m:t>v</m:t>
            </m:r>
          </m:e>
          <m:sup>
            <m:r>
              <w:rPr>
                <w:rFonts w:ascii="Cambria Math" w:hAnsi="Cambria Math"/>
                <w:szCs w:val="20"/>
                <w:lang w:val="bg-BG"/>
              </w:rPr>
              <m:t>2</m:t>
            </m:r>
          </m:sup>
        </m:sSup>
      </m:oMath>
      <w:r w:rsidRPr="009072DA">
        <w:rPr>
          <w:lang w:val="bg-BG"/>
        </w:rPr>
        <w:t xml:space="preserve"> </w:t>
      </w:r>
      <w:r w:rsidRPr="009072DA">
        <w:rPr>
          <w:sz w:val="18"/>
          <w:lang w:val="bg-BG"/>
        </w:rPr>
        <w:t>съгласно таблица 3</w:t>
      </w:r>
    </w:p>
    <w:p w:rsidR="004F47BB" w:rsidRPr="009072DA" w:rsidRDefault="004F47BB" w:rsidP="004F47BB">
      <w:pPr>
        <w:tabs>
          <w:tab w:val="left" w:pos="5954"/>
          <w:tab w:val="left" w:pos="6379"/>
          <w:tab w:val="left" w:pos="6663"/>
        </w:tabs>
        <w:overflowPunct w:val="0"/>
        <w:adjustRightInd w:val="0"/>
        <w:textAlignment w:val="baseline"/>
        <w:rPr>
          <w:szCs w:val="20"/>
          <w:lang w:val="bg-BG"/>
        </w:rPr>
      </w:pPr>
    </w:p>
    <w:p w:rsidR="004F47BB" w:rsidRPr="009072DA" w:rsidRDefault="004F47BB" w:rsidP="004F47BB">
      <w:pPr>
        <w:tabs>
          <w:tab w:val="left" w:pos="1134"/>
          <w:tab w:val="left" w:pos="1418"/>
          <w:tab w:val="left" w:pos="5954"/>
          <w:tab w:val="left" w:pos="6379"/>
          <w:tab w:val="left" w:pos="6663"/>
        </w:tabs>
        <w:overflowPunct w:val="0"/>
        <w:adjustRightInd w:val="0"/>
        <w:spacing w:line="240" w:lineRule="atLeast"/>
        <w:ind w:left="567" w:hanging="567"/>
        <w:textAlignment w:val="baseline"/>
        <w:rPr>
          <w:szCs w:val="20"/>
          <w:lang w:val="bg-BG"/>
        </w:rPr>
      </w:pPr>
      <w:r w:rsidRPr="009072DA">
        <w:rPr>
          <w:lang w:val="bg-BG"/>
        </w:rPr>
        <w:t>4.4</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G</m:t>
            </m:r>
          </m:sub>
        </m:sSub>
        <m:r>
          <w:rPr>
            <w:rFonts w:ascii="Cambria Math" w:hAnsi="Cambria Math"/>
            <w:szCs w:val="20"/>
            <w:lang w:val="bg-BG"/>
          </w:rPr>
          <m:t xml:space="preserve">=i ∙D ∙ ρ ∙g ∙ </m:t>
        </m:r>
        <m:sSup>
          <m:sSupPr>
            <m:ctrlPr>
              <w:rPr>
                <w:rFonts w:ascii="Cambria Math" w:hAnsi="Cambria Math"/>
                <w:i/>
                <w:szCs w:val="20"/>
                <w:lang w:val="bg-BG"/>
              </w:rPr>
            </m:ctrlPr>
          </m:sSupPr>
          <m:e>
            <m:r>
              <w:rPr>
                <w:rFonts w:ascii="Cambria Math" w:hAnsi="Cambria Math"/>
                <w:szCs w:val="20"/>
                <w:lang w:val="bg-BG"/>
              </w:rPr>
              <m:t>10</m:t>
            </m:r>
          </m:e>
          <m:sup>
            <m:r>
              <w:rPr>
                <w:rFonts w:ascii="Cambria Math" w:hAnsi="Cambria Math"/>
                <w:szCs w:val="20"/>
                <w:lang w:val="bg-BG"/>
              </w:rPr>
              <m:t>-6</m:t>
            </m:r>
          </m:sup>
        </m:sSup>
      </m:oMath>
    </w:p>
    <w:p w:rsidR="004F47BB" w:rsidRPr="009072DA" w:rsidRDefault="004F47BB" w:rsidP="004F47BB">
      <w:pPr>
        <w:tabs>
          <w:tab w:val="left" w:pos="5954"/>
          <w:tab w:val="left" w:pos="6379"/>
          <w:tab w:val="left" w:pos="6663"/>
        </w:tabs>
        <w:overflowPunct w:val="0"/>
        <w:adjustRightInd w:val="0"/>
        <w:spacing w:line="240" w:lineRule="atLeast"/>
        <w:textAlignment w:val="baseline"/>
        <w:rPr>
          <w:szCs w:val="20"/>
          <w:lang w:val="bg-BG"/>
        </w:rPr>
      </w:pPr>
    </w:p>
    <w:p w:rsidR="004F47BB" w:rsidRPr="009072DA" w:rsidRDefault="004F47BB" w:rsidP="004F47BB">
      <w:pPr>
        <w:tabs>
          <w:tab w:val="left" w:pos="1134"/>
          <w:tab w:val="left" w:pos="1418"/>
          <w:tab w:val="left" w:pos="5954"/>
          <w:tab w:val="left" w:pos="6379"/>
        </w:tabs>
        <w:overflowPunct w:val="0"/>
        <w:adjustRightInd w:val="0"/>
        <w:spacing w:line="240" w:lineRule="atLeast"/>
        <w:ind w:left="567" w:hanging="567"/>
        <w:textAlignment w:val="baseline"/>
        <w:rPr>
          <w:szCs w:val="20"/>
          <w:lang w:val="bg-BG"/>
        </w:rPr>
      </w:pPr>
      <w:r w:rsidRPr="009072DA">
        <w:rPr>
          <w:lang w:val="bg-BG"/>
        </w:rPr>
        <w:t>4.5</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II</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6</m:t>
            </m:r>
          </m:sub>
        </m:sSub>
        <m:r>
          <w:rPr>
            <w:rFonts w:ascii="Cambria Math" w:hAnsi="Cambria Math"/>
            <w:szCs w:val="20"/>
            <w:lang w:val="bg-BG"/>
          </w:rPr>
          <m:t xml:space="preserve"> ∙ </m:t>
        </m:r>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L</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STR</m:t>
                </m:r>
              </m:sub>
            </m:sSub>
          </m:e>
        </m:d>
      </m:oMath>
      <w:r w:rsidRPr="009072DA">
        <w:rPr>
          <w:lang w:val="bg-BG"/>
        </w:rPr>
        <w:tab/>
        <w:t>-</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6</m:t>
            </m:r>
          </m:sub>
        </m:sSub>
      </m:oMath>
      <w:r w:rsidRPr="009072DA">
        <w:rPr>
          <w:lang w:val="bg-BG"/>
        </w:rPr>
        <w:t xml:space="preserve"> съгласно таблица 1</w:t>
      </w:r>
    </w:p>
    <w:p w:rsidR="004F47BB" w:rsidRPr="009072DA" w:rsidRDefault="004F47BB" w:rsidP="004F47BB">
      <w:pPr>
        <w:tabs>
          <w:tab w:val="left" w:pos="426"/>
          <w:tab w:val="left" w:pos="5954"/>
          <w:tab w:val="left" w:pos="6379"/>
          <w:tab w:val="left" w:pos="6663"/>
        </w:tabs>
        <w:overflowPunct w:val="0"/>
        <w:adjustRightInd w:val="0"/>
        <w:spacing w:line="240" w:lineRule="atLeast"/>
        <w:ind w:left="426" w:hanging="426"/>
        <w:textAlignment w:val="baseline"/>
        <w:rPr>
          <w:szCs w:val="20"/>
          <w:lang w:val="bg-BG"/>
        </w:rPr>
      </w:pPr>
    </w:p>
    <w:p w:rsidR="004F47BB" w:rsidRPr="009072DA" w:rsidRDefault="004F47BB" w:rsidP="004F47BB">
      <w:pPr>
        <w:tabs>
          <w:tab w:val="left" w:pos="1134"/>
          <w:tab w:val="left" w:pos="1418"/>
          <w:tab w:val="left" w:pos="5954"/>
          <w:tab w:val="left" w:pos="6379"/>
        </w:tabs>
        <w:overflowPunct w:val="0"/>
        <w:adjustRightInd w:val="0"/>
        <w:spacing w:line="240" w:lineRule="atLeast"/>
        <w:ind w:left="567" w:hanging="567"/>
        <w:textAlignment w:val="baseline"/>
        <w:rPr>
          <w:szCs w:val="20"/>
          <w:lang w:val="bg-BG"/>
        </w:rPr>
      </w:pPr>
      <w:r w:rsidRPr="009072DA">
        <w:rPr>
          <w:lang w:val="bg-BG"/>
        </w:rPr>
        <w:t>4.6</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F</m:t>
            </m:r>
          </m:e>
          <m:sub>
            <m:r>
              <w:rPr>
                <w:rFonts w:ascii="Cambria Math" w:hAnsi="Cambria Math"/>
                <w:szCs w:val="20"/>
                <w:lang w:val="bg-BG"/>
              </w:rPr>
              <m:t>POR</m:t>
            </m:r>
          </m:sub>
        </m:sSub>
        <m:r>
          <w:rPr>
            <w:rFonts w:ascii="Cambria Math" w:hAnsi="Cambria Math"/>
            <w:szCs w:val="20"/>
            <w:lang w:val="bg-BG"/>
          </w:rPr>
          <m:t xml:space="preserve">=f ∙ </m:t>
        </m:r>
        <m:sSub>
          <m:sSubPr>
            <m:ctrlPr>
              <w:rPr>
                <w:rFonts w:ascii="Cambria Math" w:hAnsi="Cambria Math"/>
                <w:i/>
                <w:szCs w:val="20"/>
                <w:lang w:val="bg-BG"/>
              </w:rPr>
            </m:ctrlPr>
          </m:sSubPr>
          <m:e>
            <m:r>
              <w:rPr>
                <w:rFonts w:ascii="Cambria Math" w:hAnsi="Cambria Math"/>
                <w:szCs w:val="20"/>
                <w:lang w:val="bg-BG"/>
              </w:rPr>
              <m:t>P</m:t>
            </m:r>
          </m:e>
          <m:sub>
            <m:r>
              <w:rPr>
                <w:rFonts w:ascii="Cambria Math" w:hAnsi="Cambria Math"/>
                <w:szCs w:val="20"/>
                <w:lang w:val="bg-BG"/>
              </w:rPr>
              <m:t>B</m:t>
            </m:r>
          </m:sub>
        </m:sSub>
      </m:oMath>
      <w:r w:rsidRPr="009072DA">
        <w:rPr>
          <w:lang w:val="bg-BG"/>
        </w:rPr>
        <w:tab/>
        <w:t>-</w:t>
      </w:r>
      <w:r w:rsidRPr="009072DA">
        <w:rPr>
          <w:lang w:val="bg-BG"/>
        </w:rPr>
        <w:tab/>
      </w:r>
      <m:oMath>
        <m:r>
          <w:rPr>
            <w:rFonts w:ascii="Cambria Math" w:hAnsi="Cambria Math"/>
            <w:szCs w:val="20"/>
            <w:lang w:val="bg-BG"/>
          </w:rPr>
          <m:t>f</m:t>
        </m:r>
      </m:oMath>
      <w:r w:rsidRPr="009072DA">
        <w:rPr>
          <w:lang w:val="bg-BG"/>
        </w:rPr>
        <w:t xml:space="preserve"> съгласно таблица 2</w:t>
      </w:r>
    </w:p>
    <w:p w:rsidR="004F47BB" w:rsidRPr="009072DA" w:rsidRDefault="004F47BB" w:rsidP="004F47BB">
      <w:pPr>
        <w:tabs>
          <w:tab w:val="left" w:pos="5954"/>
          <w:tab w:val="left" w:pos="6379"/>
          <w:tab w:val="left" w:pos="6663"/>
        </w:tabs>
        <w:overflowPunct w:val="0"/>
        <w:adjustRightInd w:val="0"/>
        <w:spacing w:line="240" w:lineRule="atLeast"/>
        <w:textAlignment w:val="baseline"/>
        <w:rPr>
          <w:szCs w:val="20"/>
          <w:lang w:val="bg-BG"/>
        </w:rPr>
      </w:pPr>
    </w:p>
    <w:p w:rsidR="004F47BB" w:rsidRPr="009072DA" w:rsidRDefault="004F47BB" w:rsidP="004F47BB">
      <w:pPr>
        <w:tabs>
          <w:tab w:val="left" w:pos="5954"/>
          <w:tab w:val="left" w:pos="6379"/>
        </w:tabs>
        <w:overflowPunct w:val="0"/>
        <w:adjustRightInd w:val="0"/>
        <w:spacing w:line="240" w:lineRule="atLeast"/>
        <w:ind w:left="567" w:hanging="567"/>
        <w:textAlignment w:val="baseline"/>
        <w:rPr>
          <w:szCs w:val="20"/>
          <w:lang w:val="bg-BG"/>
        </w:rPr>
      </w:pPr>
      <w:r w:rsidRPr="009072DA">
        <w:rPr>
          <w:lang w:val="bg-BG"/>
        </w:rPr>
        <w:t>4.7</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II</m:t>
            </m:r>
          </m:sub>
        </m:sSub>
        <m:r>
          <w:rPr>
            <w:rFonts w:ascii="Cambria Math" w:hAnsi="Cambria Math"/>
            <w:szCs w:val="20"/>
            <w:lang w:val="bg-BG"/>
          </w:rPr>
          <m:t xml:space="preserve">= </m:t>
        </m:r>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II</m:t>
                </m:r>
              </m:sub>
            </m:sSub>
          </m:num>
          <m:den>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II</m:t>
                </m:r>
              </m:sub>
            </m:sSub>
            <m:r>
              <w:rPr>
                <w:rFonts w:ascii="Cambria Math" w:hAnsi="Cambria Math"/>
                <w:szCs w:val="20"/>
                <w:lang w:val="bg-BG"/>
              </w:rPr>
              <m:t xml:space="preserve"> ∙ </m:t>
            </m:r>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4</m:t>
                    </m:r>
                  </m:sub>
                </m:sSub>
                <m:r>
                  <w:rPr>
                    <w:rFonts w:ascii="Cambria Math" w:hAnsi="Cambria Math"/>
                    <w:szCs w:val="20"/>
                    <w:lang w:val="bg-BG"/>
                  </w:rPr>
                  <m:t xml:space="preserve">+ </m:t>
                </m:r>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STR</m:t>
                        </m:r>
                      </m:sub>
                    </m:sSub>
                  </m:num>
                  <m:den>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II</m:t>
                        </m:r>
                      </m:sub>
                    </m:sSub>
                  </m:den>
                </m:f>
              </m:e>
            </m:d>
          </m:den>
        </m:f>
      </m:oMath>
      <w:r w:rsidRPr="009072DA">
        <w:rPr>
          <w:lang w:val="bg-BG"/>
        </w:rPr>
        <w:tab/>
        <w:t>-</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4</m:t>
            </m:r>
          </m:sub>
        </m:sSub>
      </m:oMath>
      <w:r w:rsidRPr="009072DA">
        <w:rPr>
          <w:lang w:val="bg-BG"/>
        </w:rPr>
        <w:t xml:space="preserve"> съгласно таблица 1</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r w:rsidRPr="009072DA">
        <w:rPr>
          <w:lang w:val="bg-BG"/>
        </w:rPr>
        <w:br w:type="page"/>
      </w:r>
    </w:p>
    <w:p w:rsidR="004F47BB" w:rsidRPr="009072DA" w:rsidRDefault="004F47BB" w:rsidP="004F47BB">
      <w:pPr>
        <w:overflowPunct w:val="0"/>
        <w:adjustRightInd w:val="0"/>
        <w:textAlignment w:val="baseline"/>
        <w:rPr>
          <w:szCs w:val="20"/>
          <w:lang w:val="bg-BG"/>
        </w:rPr>
      </w:pPr>
      <w:r w:rsidRPr="009072DA">
        <w:rPr>
          <w:lang w:val="bg-BG"/>
        </w:rPr>
        <w:lastRenderedPageBreak/>
        <w:t>Във формули от 4.1 до 4.7:</w:t>
      </w:r>
    </w:p>
    <w:p w:rsidR="004F47BB" w:rsidRPr="009072DA" w:rsidRDefault="004F47BB" w:rsidP="004F47BB">
      <w:pPr>
        <w:overflowPunct w:val="0"/>
        <w:adjustRightInd w:val="0"/>
        <w:textAlignment w:val="baseline"/>
        <w:rPr>
          <w:szCs w:val="20"/>
          <w:lang w:val="bg-BG"/>
        </w:rPr>
      </w:pPr>
    </w:p>
    <w:tbl>
      <w:tblPr>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021"/>
        <w:gridCol w:w="6521"/>
        <w:gridCol w:w="1021"/>
      </w:tblGrid>
      <w:tr w:rsidR="004F47BB" w:rsidRPr="009072DA" w:rsidTr="00D45887">
        <w:trPr>
          <w:jc w:val="center"/>
        </w:trPr>
        <w:tc>
          <w:tcPr>
            <w:tcW w:w="1021" w:type="dxa"/>
            <w:tcBorders>
              <w:top w:val="nil"/>
              <w:left w:val="nil"/>
              <w:bottom w:val="nil"/>
              <w:right w:val="nil"/>
            </w:tcBorders>
          </w:tcPr>
          <w:p w:rsidR="004F47BB" w:rsidRPr="009072DA" w:rsidRDefault="002B712C" w:rsidP="004F47BB">
            <w:pPr>
              <w:overflowPunct w:val="0"/>
              <w:adjustRightInd w:val="0"/>
              <w:spacing w:before="120" w:after="120"/>
              <w:ind w:left="113" w:right="113"/>
              <w:textAlignment w:val="baseline"/>
              <w:rPr>
                <w:szCs w:val="20"/>
                <w:lang w:val="bg-BG"/>
              </w:rPr>
            </w:pPr>
            <m:oMathPara>
              <m:oMath>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L</m:t>
                    </m:r>
                  </m:sub>
                </m:sSub>
              </m:oMath>
            </m:oMathPara>
          </w:p>
        </w:tc>
        <w:tc>
          <w:tcPr>
            <w:tcW w:w="65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Скорост спрямо брега в началото на задния ход</w:t>
            </w:r>
          </w:p>
        </w:tc>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(m/s)</w:t>
            </w:r>
          </w:p>
        </w:tc>
      </w:tr>
      <w:tr w:rsidR="004F47BB" w:rsidRPr="009072DA" w:rsidTr="00D45887">
        <w:trPr>
          <w:jc w:val="center"/>
        </w:trPr>
        <w:tc>
          <w:tcPr>
            <w:tcW w:w="1021" w:type="dxa"/>
            <w:tcBorders>
              <w:top w:val="nil"/>
              <w:left w:val="nil"/>
              <w:bottom w:val="nil"/>
              <w:right w:val="nil"/>
            </w:tcBorders>
          </w:tcPr>
          <w:p w:rsidR="004F47BB" w:rsidRPr="009072DA" w:rsidRDefault="002B712C" w:rsidP="004F47BB">
            <w:pPr>
              <w:overflowPunct w:val="0"/>
              <w:adjustRightInd w:val="0"/>
              <w:spacing w:before="120" w:after="120"/>
              <w:ind w:left="113" w:right="113"/>
              <w:textAlignment w:val="baseline"/>
              <w:rPr>
                <w:szCs w:val="20"/>
                <w:lang w:val="bg-BG"/>
              </w:rPr>
            </w:pPr>
            <m:oMathPara>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I</m:t>
                    </m:r>
                  </m:sub>
                </m:sSub>
              </m:oMath>
            </m:oMathPara>
          </w:p>
        </w:tc>
        <w:tc>
          <w:tcPr>
            <w:tcW w:w="65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Време на заден ход</w:t>
            </w:r>
          </w:p>
        </w:tc>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(s)</w:t>
            </w:r>
          </w:p>
        </w:tc>
      </w:tr>
      <w:tr w:rsidR="004F47BB" w:rsidRPr="009072DA" w:rsidTr="00D45887">
        <w:trPr>
          <w:jc w:val="center"/>
        </w:trPr>
        <w:tc>
          <w:tcPr>
            <w:tcW w:w="1021" w:type="dxa"/>
            <w:tcBorders>
              <w:top w:val="nil"/>
              <w:left w:val="nil"/>
              <w:bottom w:val="nil"/>
              <w:right w:val="nil"/>
            </w:tcBorders>
          </w:tcPr>
          <w:p w:rsidR="004F47BB" w:rsidRPr="009072DA" w:rsidRDefault="002B712C" w:rsidP="004F47BB">
            <w:pPr>
              <w:overflowPunct w:val="0"/>
              <w:adjustRightInd w:val="0"/>
              <w:spacing w:before="120" w:after="120"/>
              <w:ind w:left="113" w:right="113"/>
              <w:textAlignment w:val="baseline"/>
              <w:rPr>
                <w:szCs w:val="20"/>
                <w:lang w:val="bg-BG"/>
              </w:rPr>
            </w:pPr>
            <m:oMathPara>
              <m:oMath>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II</m:t>
                    </m:r>
                  </m:sub>
                </m:sSub>
              </m:oMath>
            </m:oMathPara>
          </w:p>
        </w:tc>
        <w:tc>
          <w:tcPr>
            <w:tcW w:w="65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Скорост спрямо водата в края на задния ход</w:t>
            </w:r>
          </w:p>
        </w:tc>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(m/s)</w:t>
            </w:r>
          </w:p>
        </w:tc>
      </w:tr>
      <w:tr w:rsidR="004F47BB" w:rsidRPr="009072DA" w:rsidTr="00D45887">
        <w:trPr>
          <w:jc w:val="center"/>
        </w:trPr>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m:oMathPara>
              <m:oMath>
                <m:r>
                  <w:rPr>
                    <w:rFonts w:ascii="Cambria Math" w:hAnsi="Cambria Math"/>
                    <w:szCs w:val="20"/>
                    <w:lang w:val="bg-BG"/>
                  </w:rPr>
                  <m:t>D</m:t>
                </m:r>
              </m:oMath>
            </m:oMathPara>
          </w:p>
        </w:tc>
        <w:tc>
          <w:tcPr>
            <w:tcW w:w="65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Водоизместване</w:t>
            </w:r>
          </w:p>
        </w:tc>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(m</w:t>
            </w:r>
            <w:r w:rsidRPr="009072DA">
              <w:rPr>
                <w:position w:val="6"/>
                <w:sz w:val="16"/>
                <w:lang w:val="bg-BG"/>
              </w:rPr>
              <w:t>3</w:t>
            </w:r>
            <w:r w:rsidRPr="009072DA">
              <w:rPr>
                <w:lang w:val="bg-BG"/>
              </w:rPr>
              <w:t>)</w:t>
            </w:r>
          </w:p>
        </w:tc>
      </w:tr>
      <w:tr w:rsidR="004F47BB" w:rsidRPr="009072DA" w:rsidTr="00D45887">
        <w:trPr>
          <w:jc w:val="center"/>
        </w:trPr>
        <w:tc>
          <w:tcPr>
            <w:tcW w:w="1021" w:type="dxa"/>
            <w:tcBorders>
              <w:top w:val="nil"/>
              <w:left w:val="nil"/>
              <w:bottom w:val="nil"/>
              <w:right w:val="nil"/>
            </w:tcBorders>
          </w:tcPr>
          <w:p w:rsidR="004F47BB" w:rsidRPr="009072DA" w:rsidRDefault="002B712C" w:rsidP="004F47BB">
            <w:pPr>
              <w:overflowPunct w:val="0"/>
              <w:adjustRightInd w:val="0"/>
              <w:spacing w:before="120" w:after="120"/>
              <w:ind w:left="113" w:right="113"/>
              <w:textAlignment w:val="baseline"/>
              <w:rPr>
                <w:szCs w:val="20"/>
                <w:lang w:val="bg-BG"/>
              </w:rPr>
            </w:pPr>
            <m:oMathPara>
              <m:oMath>
                <m:sSub>
                  <m:sSubPr>
                    <m:ctrlPr>
                      <w:rPr>
                        <w:rFonts w:ascii="Cambria Math" w:hAnsi="Cambria Math"/>
                        <w:i/>
                        <w:szCs w:val="20"/>
                        <w:lang w:val="bg-BG"/>
                      </w:rPr>
                    </m:ctrlPr>
                  </m:sSubPr>
                  <m:e>
                    <m:r>
                      <w:rPr>
                        <w:rFonts w:ascii="Cambria Math" w:hAnsi="Cambria Math"/>
                        <w:szCs w:val="20"/>
                        <w:lang w:val="bg-BG"/>
                      </w:rPr>
                      <m:t>F</m:t>
                    </m:r>
                  </m:e>
                  <m:sub>
                    <m:r>
                      <w:rPr>
                        <w:rFonts w:ascii="Cambria Math" w:hAnsi="Cambria Math"/>
                        <w:szCs w:val="20"/>
                        <w:lang w:val="bg-BG"/>
                      </w:rPr>
                      <m:t>POR</m:t>
                    </m:r>
                  </m:sub>
                </m:sSub>
              </m:oMath>
            </m:oMathPara>
          </w:p>
        </w:tc>
        <w:tc>
          <w:tcPr>
            <w:tcW w:w="65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Теглително усилие върху кнехта на заден ход</w:t>
            </w:r>
          </w:p>
        </w:tc>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(kN)</w:t>
            </w:r>
          </w:p>
        </w:tc>
      </w:tr>
      <w:tr w:rsidR="004F47BB" w:rsidRPr="009072DA" w:rsidTr="00D45887">
        <w:trPr>
          <w:jc w:val="center"/>
        </w:trPr>
        <w:tc>
          <w:tcPr>
            <w:tcW w:w="1021" w:type="dxa"/>
            <w:tcBorders>
              <w:top w:val="nil"/>
              <w:left w:val="nil"/>
              <w:bottom w:val="nil"/>
              <w:right w:val="nil"/>
            </w:tcBorders>
          </w:tcPr>
          <w:p w:rsidR="004F47BB" w:rsidRPr="009072DA" w:rsidRDefault="002B712C" w:rsidP="004F47BB">
            <w:pPr>
              <w:overflowPunct w:val="0"/>
              <w:adjustRightInd w:val="0"/>
              <w:spacing w:before="120" w:after="120"/>
              <w:ind w:left="113" w:right="113"/>
              <w:textAlignment w:val="baseline"/>
              <w:rPr>
                <w:szCs w:val="20"/>
                <w:lang w:val="bg-BG"/>
              </w:rPr>
            </w:pPr>
            <m:oMathPara>
              <m:oMath>
                <m:sSub>
                  <m:sSubPr>
                    <m:ctrlPr>
                      <w:rPr>
                        <w:rFonts w:ascii="Cambria Math" w:hAnsi="Cambria Math"/>
                        <w:i/>
                        <w:szCs w:val="20"/>
                        <w:lang w:val="bg-BG"/>
                      </w:rPr>
                    </m:ctrlPr>
                  </m:sSubPr>
                  <m:e>
                    <m:r>
                      <w:rPr>
                        <w:rFonts w:ascii="Cambria Math" w:hAnsi="Cambria Math"/>
                        <w:szCs w:val="20"/>
                        <w:lang w:val="bg-BG"/>
                      </w:rPr>
                      <m:t>P</m:t>
                    </m:r>
                  </m:e>
                  <m:sub>
                    <m:r>
                      <w:rPr>
                        <w:rFonts w:ascii="Cambria Math" w:hAnsi="Cambria Math"/>
                        <w:szCs w:val="20"/>
                        <w:lang w:val="bg-BG"/>
                      </w:rPr>
                      <m:t>B</m:t>
                    </m:r>
                  </m:sub>
                </m:sSub>
              </m:oMath>
            </m:oMathPara>
          </w:p>
        </w:tc>
        <w:tc>
          <w:tcPr>
            <w:tcW w:w="65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Мощност на задвижващия двигател</w:t>
            </w:r>
          </w:p>
        </w:tc>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(kW)</w:t>
            </w:r>
          </w:p>
        </w:tc>
      </w:tr>
      <w:tr w:rsidR="004F47BB" w:rsidRPr="009072DA" w:rsidTr="00D45887">
        <w:trPr>
          <w:jc w:val="center"/>
        </w:trPr>
        <w:tc>
          <w:tcPr>
            <w:tcW w:w="1021" w:type="dxa"/>
            <w:tcBorders>
              <w:top w:val="nil"/>
              <w:left w:val="nil"/>
              <w:bottom w:val="nil"/>
              <w:right w:val="nil"/>
            </w:tcBorders>
          </w:tcPr>
          <w:p w:rsidR="004F47BB" w:rsidRPr="009072DA" w:rsidRDefault="002B712C" w:rsidP="004F47BB">
            <w:pPr>
              <w:overflowPunct w:val="0"/>
              <w:adjustRightInd w:val="0"/>
              <w:spacing w:before="120" w:after="120"/>
              <w:ind w:left="113" w:right="113"/>
              <w:textAlignment w:val="baseline"/>
              <w:rPr>
                <w:szCs w:val="20"/>
                <w:lang w:val="bg-BG"/>
              </w:rPr>
            </w:pPr>
            <m:oMathPara>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TmII</m:t>
                    </m:r>
                  </m:sub>
                </m:sSub>
              </m:oMath>
            </m:oMathPara>
          </w:p>
        </w:tc>
        <w:tc>
          <w:tcPr>
            <w:tcW w:w="65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Средно съпротивление през фаза II</w:t>
            </w:r>
          </w:p>
        </w:tc>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(kN)</w:t>
            </w:r>
          </w:p>
        </w:tc>
      </w:tr>
      <w:tr w:rsidR="004F47BB" w:rsidRPr="009072DA" w:rsidTr="00D45887">
        <w:trPr>
          <w:jc w:val="center"/>
        </w:trPr>
        <w:tc>
          <w:tcPr>
            <w:tcW w:w="1021" w:type="dxa"/>
            <w:tcBorders>
              <w:top w:val="nil"/>
              <w:left w:val="nil"/>
              <w:bottom w:val="nil"/>
              <w:right w:val="nil"/>
            </w:tcBorders>
          </w:tcPr>
          <w:p w:rsidR="004F47BB" w:rsidRPr="009072DA" w:rsidRDefault="002B712C" w:rsidP="004F47BB">
            <w:pPr>
              <w:overflowPunct w:val="0"/>
              <w:adjustRightInd w:val="0"/>
              <w:spacing w:before="120" w:after="120"/>
              <w:ind w:left="113" w:right="113"/>
              <w:textAlignment w:val="baseline"/>
              <w:rPr>
                <w:szCs w:val="20"/>
                <w:lang w:val="bg-BG"/>
              </w:rPr>
            </w:pPr>
            <m:oMathPara>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G</m:t>
                    </m:r>
                  </m:sub>
                </m:sSub>
              </m:oMath>
            </m:oMathPara>
          </w:p>
        </w:tc>
        <w:tc>
          <w:tcPr>
            <w:tcW w:w="65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Съпротивление от наклона</w:t>
            </w:r>
          </w:p>
        </w:tc>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(kN)</w:t>
            </w:r>
          </w:p>
        </w:tc>
      </w:tr>
      <w:tr w:rsidR="004F47BB" w:rsidRPr="009072DA" w:rsidTr="00D45887">
        <w:trPr>
          <w:jc w:val="center"/>
        </w:trPr>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m:oMathPara>
              <m:oMath>
                <m:r>
                  <w:rPr>
                    <w:rFonts w:ascii="Cambria Math" w:hAnsi="Cambria Math"/>
                    <w:szCs w:val="20"/>
                    <w:lang w:val="bg-BG"/>
                  </w:rPr>
                  <m:t>i</m:t>
                </m:r>
              </m:oMath>
            </m:oMathPara>
          </w:p>
        </w:tc>
        <w:tc>
          <w:tcPr>
            <w:tcW w:w="65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Наклон в m/km (ако липсва, да се приеме за 0,16)</w:t>
            </w:r>
          </w:p>
        </w:tc>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(m/km)</w:t>
            </w:r>
          </w:p>
        </w:tc>
      </w:tr>
      <w:tr w:rsidR="004F47BB" w:rsidRPr="009072DA" w:rsidTr="00D45887">
        <w:trPr>
          <w:jc w:val="center"/>
        </w:trPr>
        <w:tc>
          <w:tcPr>
            <w:tcW w:w="1021" w:type="dxa"/>
            <w:tcBorders>
              <w:top w:val="nil"/>
              <w:left w:val="nil"/>
              <w:bottom w:val="nil"/>
              <w:right w:val="nil"/>
            </w:tcBorders>
          </w:tcPr>
          <w:p w:rsidR="004F47BB" w:rsidRPr="009072DA" w:rsidRDefault="002B712C" w:rsidP="004F47BB">
            <w:pPr>
              <w:overflowPunct w:val="0"/>
              <w:adjustRightInd w:val="0"/>
              <w:spacing w:before="120" w:after="120"/>
              <w:ind w:left="113" w:right="113"/>
              <w:textAlignment w:val="baseline"/>
              <w:rPr>
                <w:szCs w:val="20"/>
                <w:lang w:val="bg-BG"/>
              </w:rPr>
            </w:pPr>
            <m:oMathPara>
              <m:oMath>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STR</m:t>
                    </m:r>
                  </m:sub>
                </m:sSub>
              </m:oMath>
            </m:oMathPara>
          </w:p>
        </w:tc>
        <w:tc>
          <w:tcPr>
            <w:tcW w:w="65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Средна скорост на течението</w:t>
            </w:r>
          </w:p>
        </w:tc>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(m/s)</w:t>
            </w:r>
          </w:p>
        </w:tc>
      </w:tr>
      <w:tr w:rsidR="004F47BB" w:rsidRPr="009072DA" w:rsidTr="00D45887">
        <w:trPr>
          <w:jc w:val="center"/>
        </w:trPr>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m:oMathPara>
              <m:oMath>
                <m:r>
                  <w:rPr>
                    <w:rFonts w:ascii="Cambria Math" w:hAnsi="Cambria Math"/>
                    <w:szCs w:val="20"/>
                    <w:lang w:val="bg-BG"/>
                  </w:rPr>
                  <m:t>g</m:t>
                </m:r>
              </m:oMath>
            </m:oMathPara>
          </w:p>
        </w:tc>
        <w:tc>
          <w:tcPr>
            <w:tcW w:w="65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Ускорение, дължащо се на гравитацията (9,81)</w:t>
            </w:r>
          </w:p>
        </w:tc>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(m/s</w:t>
            </w:r>
            <w:r w:rsidRPr="009072DA">
              <w:rPr>
                <w:vertAlign w:val="superscript"/>
                <w:lang w:val="bg-BG"/>
              </w:rPr>
              <w:t>2</w:t>
            </w:r>
            <w:r w:rsidRPr="009072DA">
              <w:rPr>
                <w:lang w:val="bg-BG"/>
              </w:rPr>
              <w:t>)</w:t>
            </w:r>
          </w:p>
        </w:tc>
      </w:tr>
      <w:tr w:rsidR="004F47BB" w:rsidRPr="009072DA" w:rsidTr="00D45887">
        <w:trPr>
          <w:jc w:val="center"/>
        </w:trPr>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m:oMathPara>
              <m:oMath>
                <m:r>
                  <w:rPr>
                    <w:rFonts w:ascii="Cambria Math" w:hAnsi="Cambria Math"/>
                    <w:szCs w:val="20"/>
                    <w:lang w:val="bg-BG"/>
                  </w:rPr>
                  <m:t>ρ</m:t>
                </m:r>
              </m:oMath>
            </m:oMathPara>
          </w:p>
        </w:tc>
        <w:tc>
          <w:tcPr>
            <w:tcW w:w="65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 xml:space="preserve">Плътност на водата, </w:t>
            </w:r>
            <m:oMath>
              <m:r>
                <w:rPr>
                  <w:rFonts w:ascii="Cambria Math" w:hAnsi="Cambria Math"/>
                  <w:szCs w:val="20"/>
                  <w:lang w:val="bg-BG"/>
                </w:rPr>
                <m:t>ρ</m:t>
              </m:r>
            </m:oMath>
            <w:r w:rsidRPr="009072DA">
              <w:rPr>
                <w:lang w:val="bg-BG"/>
              </w:rPr>
              <w:t xml:space="preserve"> прясна вода = 1000</w:t>
            </w:r>
          </w:p>
        </w:tc>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(kg/m</w:t>
            </w:r>
            <w:r w:rsidRPr="009072DA">
              <w:rPr>
                <w:position w:val="6"/>
                <w:sz w:val="16"/>
                <w:lang w:val="bg-BG"/>
              </w:rPr>
              <w:t>3</w:t>
            </w:r>
            <w:r w:rsidRPr="009072DA">
              <w:rPr>
                <w:lang w:val="bg-BG"/>
              </w:rPr>
              <w:t>)</w:t>
            </w:r>
          </w:p>
        </w:tc>
      </w:tr>
      <w:tr w:rsidR="004F47BB" w:rsidRPr="009072DA" w:rsidTr="00D45887">
        <w:trPr>
          <w:jc w:val="center"/>
        </w:trPr>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m:oMathPara>
              <m:oMath>
                <m:r>
                  <w:rPr>
                    <w:rFonts w:ascii="Cambria Math" w:hAnsi="Cambria Math"/>
                    <w:szCs w:val="20"/>
                    <w:lang w:val="bg-BG"/>
                  </w:rPr>
                  <m:t>T</m:t>
                </m:r>
              </m:oMath>
            </m:oMathPara>
          </w:p>
        </w:tc>
        <w:tc>
          <w:tcPr>
            <w:tcW w:w="65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Максимално газене (на плавателен съд или състав)</w:t>
            </w:r>
          </w:p>
        </w:tc>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(m)</w:t>
            </w:r>
          </w:p>
        </w:tc>
      </w:tr>
      <w:tr w:rsidR="004F47BB" w:rsidRPr="009072DA" w:rsidTr="00D45887">
        <w:trPr>
          <w:jc w:val="center"/>
        </w:trPr>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m:oMathPara>
              <m:oMath>
                <m:r>
                  <w:rPr>
                    <w:rFonts w:ascii="Cambria Math" w:hAnsi="Cambria Math"/>
                    <w:szCs w:val="20"/>
                    <w:lang w:val="bg-BG"/>
                  </w:rPr>
                  <m:t>h</m:t>
                </m:r>
              </m:oMath>
            </m:oMathPara>
          </w:p>
        </w:tc>
        <w:tc>
          <w:tcPr>
            <w:tcW w:w="65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Дълбочина на водата</w:t>
            </w:r>
          </w:p>
        </w:tc>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(m)</w:t>
            </w:r>
          </w:p>
        </w:tc>
      </w:tr>
      <w:tr w:rsidR="004F47BB" w:rsidRPr="009072DA" w:rsidTr="00D45887">
        <w:trPr>
          <w:jc w:val="center"/>
        </w:trPr>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m:oMathPara>
              <m:oMath>
                <m:r>
                  <w:rPr>
                    <w:rFonts w:ascii="Cambria Math" w:hAnsi="Cambria Math"/>
                    <w:szCs w:val="20"/>
                    <w:lang w:val="bg-BG"/>
                  </w:rPr>
                  <m:t>B</m:t>
                </m:r>
              </m:oMath>
            </m:oMathPara>
          </w:p>
        </w:tc>
        <w:tc>
          <w:tcPr>
            <w:tcW w:w="65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Ширина</w:t>
            </w:r>
          </w:p>
        </w:tc>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(m)</w:t>
            </w:r>
          </w:p>
        </w:tc>
      </w:tr>
      <w:tr w:rsidR="004F47BB" w:rsidRPr="009072DA" w:rsidTr="00D45887">
        <w:trPr>
          <w:jc w:val="center"/>
        </w:trPr>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m:oMathPara>
              <m:oMath>
                <m:r>
                  <w:rPr>
                    <w:rFonts w:ascii="Cambria Math" w:hAnsi="Cambria Math"/>
                    <w:szCs w:val="20"/>
                    <w:lang w:val="bg-BG"/>
                  </w:rPr>
                  <m:t>L</m:t>
                </m:r>
              </m:oMath>
            </m:oMathPara>
          </w:p>
        </w:tc>
        <w:tc>
          <w:tcPr>
            <w:tcW w:w="65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Дължина</w:t>
            </w:r>
          </w:p>
        </w:tc>
        <w:tc>
          <w:tcPr>
            <w:tcW w:w="1021" w:type="dxa"/>
            <w:tcBorders>
              <w:top w:val="nil"/>
              <w:left w:val="nil"/>
              <w:bottom w:val="nil"/>
              <w:right w:val="nil"/>
            </w:tcBorders>
          </w:tcPr>
          <w:p w:rsidR="004F47BB" w:rsidRPr="009072DA" w:rsidRDefault="004F47BB" w:rsidP="004F47BB">
            <w:pPr>
              <w:overflowPunct w:val="0"/>
              <w:adjustRightInd w:val="0"/>
              <w:spacing w:before="120" w:after="120"/>
              <w:ind w:left="113" w:right="113"/>
              <w:textAlignment w:val="baseline"/>
              <w:rPr>
                <w:szCs w:val="20"/>
                <w:lang w:val="bg-BG"/>
              </w:rPr>
            </w:pPr>
            <w:r w:rsidRPr="009072DA">
              <w:rPr>
                <w:lang w:val="bg-BG"/>
              </w:rPr>
              <w:t>(m)</w:t>
            </w:r>
          </w:p>
        </w:tc>
      </w:tr>
    </w:tbl>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tabs>
          <w:tab w:val="left" w:pos="960"/>
          <w:tab w:val="left" w:pos="1344"/>
          <w:tab w:val="left" w:pos="7680"/>
        </w:tabs>
        <w:overflowPunct w:val="0"/>
        <w:adjustRightInd w:val="0"/>
        <w:spacing w:line="240" w:lineRule="exact"/>
        <w:textAlignment w:val="baseline"/>
        <w:rPr>
          <w:szCs w:val="20"/>
          <w:lang w:val="bg-BG"/>
        </w:rPr>
      </w:pPr>
    </w:p>
    <w:p w:rsidR="004F47BB" w:rsidRPr="009072DA" w:rsidRDefault="004F47BB" w:rsidP="004F47BB">
      <w:pPr>
        <w:tabs>
          <w:tab w:val="left" w:pos="960"/>
          <w:tab w:val="left" w:pos="1344"/>
          <w:tab w:val="left" w:pos="7680"/>
        </w:tabs>
        <w:overflowPunct w:val="0"/>
        <w:adjustRightInd w:val="0"/>
        <w:spacing w:line="240" w:lineRule="exact"/>
        <w:textAlignment w:val="baseline"/>
        <w:rPr>
          <w:szCs w:val="20"/>
          <w:lang w:val="bg-BG"/>
        </w:rPr>
      </w:pPr>
      <w:r w:rsidRPr="009072DA">
        <w:rPr>
          <w:lang w:val="bg-BG"/>
        </w:rPr>
        <w:br w:type="page"/>
      </w:r>
    </w:p>
    <w:p w:rsidR="004F47BB" w:rsidRPr="009072DA" w:rsidRDefault="004F47BB" w:rsidP="004F47BB">
      <w:pPr>
        <w:spacing w:line="240" w:lineRule="atLeast"/>
        <w:ind w:left="567"/>
        <w:rPr>
          <w:lang w:val="bg-BG"/>
        </w:rPr>
      </w:pPr>
      <w:r w:rsidRPr="009072DA">
        <w:rPr>
          <w:lang w:val="bg-BG"/>
        </w:rPr>
        <w:lastRenderedPageBreak/>
        <w:t>Коефициентите за формули (4.1), (4.2), (4.3), (4.4), (4.5), (4.6) и (4.7) могат да бъдат взети от таблиците по-долу.</w:t>
      </w:r>
    </w:p>
    <w:p w:rsidR="004F47BB" w:rsidRPr="009072DA" w:rsidRDefault="004F47BB" w:rsidP="004F47BB">
      <w:pPr>
        <w:tabs>
          <w:tab w:val="left" w:pos="960"/>
          <w:tab w:val="left" w:pos="1344"/>
          <w:tab w:val="left" w:pos="7680"/>
        </w:tabs>
        <w:overflowPunct w:val="0"/>
        <w:adjustRightInd w:val="0"/>
        <w:spacing w:line="240" w:lineRule="exact"/>
        <w:textAlignment w:val="baseline"/>
        <w:rPr>
          <w:szCs w:val="20"/>
          <w:lang w:val="bg-BG"/>
        </w:rPr>
      </w:pPr>
    </w:p>
    <w:p w:rsidR="004F47BB" w:rsidRPr="009072DA" w:rsidRDefault="004F47BB" w:rsidP="004F47BB">
      <w:pPr>
        <w:tabs>
          <w:tab w:val="left" w:pos="567"/>
        </w:tabs>
        <w:overflowPunct w:val="0"/>
        <w:adjustRightInd w:val="0"/>
        <w:spacing w:line="240" w:lineRule="atLeast"/>
        <w:ind w:left="567"/>
        <w:textAlignment w:val="baseline"/>
        <w:rPr>
          <w:b/>
          <w:szCs w:val="20"/>
          <w:lang w:val="bg-BG"/>
        </w:rPr>
      </w:pPr>
      <w:r w:rsidRPr="009072DA">
        <w:rPr>
          <w:b/>
          <w:lang w:val="bg-BG"/>
        </w:rPr>
        <w:t xml:space="preserve">Таблица 1: </w:t>
      </w:r>
      <m:oMath>
        <m:r>
          <w:rPr>
            <w:rFonts w:ascii="Cambria Math" w:hAnsi="Cambria Math"/>
            <w:szCs w:val="20"/>
            <w:lang w:val="bg-BG"/>
          </w:rPr>
          <m:t>k</m:t>
        </m:r>
      </m:oMath>
      <w:r w:rsidRPr="009072DA">
        <w:rPr>
          <w:b/>
          <w:lang w:val="bg-BG"/>
        </w:rPr>
        <w:t xml:space="preserve"> коефициенти за:</w:t>
      </w:r>
    </w:p>
    <w:p w:rsidR="004F47BB" w:rsidRPr="009072DA" w:rsidRDefault="004F47BB" w:rsidP="004F47BB">
      <w:pPr>
        <w:spacing w:before="60" w:line="240" w:lineRule="atLeast"/>
        <w:ind w:left="992"/>
        <w:rPr>
          <w:lang w:val="bg-BG"/>
        </w:rPr>
      </w:pPr>
      <w:r w:rsidRPr="009072DA">
        <w:rPr>
          <w:lang w:val="bg-BG"/>
        </w:rPr>
        <w:t>a)</w:t>
      </w:r>
      <w:r w:rsidRPr="009072DA">
        <w:rPr>
          <w:lang w:val="bg-BG"/>
        </w:rPr>
        <w:tab/>
        <w:t>МОТОРНИ ПЛАВАТЕЛНИ СЪДОВЕ и СЪСТАВИ от една линия;</w:t>
      </w:r>
    </w:p>
    <w:p w:rsidR="004F47BB" w:rsidRPr="009072DA" w:rsidRDefault="004F47BB" w:rsidP="004F47BB">
      <w:pPr>
        <w:spacing w:before="60" w:line="240" w:lineRule="atLeast"/>
        <w:ind w:left="992"/>
        <w:rPr>
          <w:lang w:val="bg-BG"/>
        </w:rPr>
      </w:pPr>
      <w:r w:rsidRPr="009072DA">
        <w:rPr>
          <w:lang w:val="bg-BG"/>
        </w:rPr>
        <w:t>б)</w:t>
      </w:r>
      <w:r w:rsidRPr="009072DA">
        <w:rPr>
          <w:lang w:val="bg-BG"/>
        </w:rPr>
        <w:tab/>
        <w:t>СЪСТАВИ от две успоредни линии;</w:t>
      </w:r>
    </w:p>
    <w:p w:rsidR="004F47BB" w:rsidRPr="009072DA" w:rsidRDefault="004F47BB" w:rsidP="004F47BB">
      <w:pPr>
        <w:spacing w:before="60" w:line="240" w:lineRule="atLeast"/>
        <w:ind w:left="992"/>
        <w:rPr>
          <w:lang w:val="bg-BG"/>
        </w:rPr>
      </w:pPr>
      <w:r w:rsidRPr="009072DA">
        <w:rPr>
          <w:lang w:val="bg-BG"/>
        </w:rPr>
        <w:t>в)</w:t>
      </w:r>
      <w:r w:rsidRPr="009072DA">
        <w:rPr>
          <w:lang w:val="bg-BG"/>
        </w:rPr>
        <w:tab/>
        <w:t>СЪСТАВИ от три успоредни линии;</w:t>
      </w:r>
    </w:p>
    <w:p w:rsidR="004F47BB" w:rsidRPr="009072DA" w:rsidRDefault="004F47BB" w:rsidP="004F47BB">
      <w:pPr>
        <w:overflowPunct w:val="0"/>
        <w:adjustRightInd w:val="0"/>
        <w:textAlignment w:val="baseline"/>
        <w:rPr>
          <w:szCs w:val="20"/>
          <w:lang w:val="bg-BG"/>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134"/>
        <w:gridCol w:w="1134"/>
        <w:gridCol w:w="1134"/>
        <w:gridCol w:w="1134"/>
        <w:gridCol w:w="1701"/>
      </w:tblGrid>
      <w:tr w:rsidR="004F47BB" w:rsidRPr="009072DA" w:rsidTr="00D45887">
        <w:trPr>
          <w:jc w:val="center"/>
        </w:trPr>
        <w:tc>
          <w:tcPr>
            <w:tcW w:w="1134" w:type="dxa"/>
            <w:vAlign w:val="center"/>
          </w:tcPr>
          <w:p w:rsidR="004F47BB" w:rsidRPr="009072DA"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textAlignment w:val="baseline"/>
              <w:rPr>
                <w:sz w:val="18"/>
                <w:szCs w:val="18"/>
                <w:lang w:val="bg-BG"/>
              </w:rPr>
            </w:pPr>
          </w:p>
        </w:tc>
        <w:tc>
          <w:tcPr>
            <w:tcW w:w="1134" w:type="dxa"/>
          </w:tcPr>
          <w:p w:rsidR="004F47BB" w:rsidRPr="009072DA"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bg-BG"/>
              </w:rPr>
            </w:pPr>
            <w:r w:rsidRPr="009072DA">
              <w:rPr>
                <w:sz w:val="18"/>
                <w:lang w:val="bg-BG"/>
              </w:rPr>
              <w:t>a)</w:t>
            </w:r>
          </w:p>
        </w:tc>
        <w:tc>
          <w:tcPr>
            <w:tcW w:w="1134" w:type="dxa"/>
          </w:tcPr>
          <w:p w:rsidR="004F47BB" w:rsidRPr="009072DA"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bg-BG"/>
              </w:rPr>
            </w:pPr>
            <w:r w:rsidRPr="009072DA">
              <w:rPr>
                <w:sz w:val="18"/>
                <w:lang w:val="bg-BG"/>
              </w:rPr>
              <w:t>б)</w:t>
            </w:r>
          </w:p>
        </w:tc>
        <w:tc>
          <w:tcPr>
            <w:tcW w:w="1134" w:type="dxa"/>
          </w:tcPr>
          <w:p w:rsidR="004F47BB" w:rsidRPr="009072DA"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bg-BG"/>
              </w:rPr>
            </w:pPr>
            <w:r w:rsidRPr="009072DA">
              <w:rPr>
                <w:sz w:val="18"/>
                <w:lang w:val="bg-BG"/>
              </w:rPr>
              <w:t>в)</w:t>
            </w:r>
          </w:p>
        </w:tc>
        <w:tc>
          <w:tcPr>
            <w:tcW w:w="1701" w:type="dxa"/>
          </w:tcPr>
          <w:p w:rsidR="004F47BB" w:rsidRPr="009072DA"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bg-BG"/>
              </w:rPr>
            </w:pPr>
            <w:r w:rsidRPr="009072DA">
              <w:rPr>
                <w:sz w:val="18"/>
                <w:lang w:val="bg-BG"/>
              </w:rPr>
              <w:t>Единици</w:t>
            </w:r>
          </w:p>
        </w:tc>
      </w:tr>
      <w:tr w:rsidR="004F47BB" w:rsidRPr="009072DA" w:rsidTr="00D45887">
        <w:trPr>
          <w:jc w:val="center"/>
        </w:trPr>
        <w:tc>
          <w:tcPr>
            <w:tcW w:w="1134" w:type="dxa"/>
          </w:tcPr>
          <w:p w:rsidR="004F47BB" w:rsidRPr="009072DA"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bg-BG"/>
              </w:rPr>
            </w:pPr>
          </w:p>
        </w:tc>
        <w:tc>
          <w:tcPr>
            <w:tcW w:w="1134" w:type="dxa"/>
          </w:tcPr>
          <w:p w:rsidR="004F47BB" w:rsidRPr="009072DA"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bg-BG"/>
              </w:rPr>
            </w:pPr>
          </w:p>
        </w:tc>
        <w:tc>
          <w:tcPr>
            <w:tcW w:w="1134" w:type="dxa"/>
          </w:tcPr>
          <w:p w:rsidR="004F47BB" w:rsidRPr="009072DA"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bg-BG"/>
              </w:rPr>
            </w:pPr>
          </w:p>
        </w:tc>
        <w:tc>
          <w:tcPr>
            <w:tcW w:w="1134" w:type="dxa"/>
          </w:tcPr>
          <w:p w:rsidR="004F47BB" w:rsidRPr="009072DA"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bg-BG"/>
              </w:rPr>
            </w:pPr>
          </w:p>
        </w:tc>
        <w:tc>
          <w:tcPr>
            <w:tcW w:w="1701" w:type="dxa"/>
          </w:tcPr>
          <w:p w:rsidR="004F47BB" w:rsidRPr="009072DA"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bg-BG"/>
              </w:rPr>
            </w:pPr>
          </w:p>
        </w:tc>
      </w:tr>
      <w:tr w:rsidR="004F47BB" w:rsidRPr="009072DA" w:rsidTr="00D45887">
        <w:trPr>
          <w:jc w:val="center"/>
        </w:trPr>
        <w:tc>
          <w:tcPr>
            <w:tcW w:w="1134" w:type="dxa"/>
          </w:tcPr>
          <w:p w:rsidR="004F47BB" w:rsidRPr="009072DA" w:rsidRDefault="002B712C"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bg-BG"/>
              </w:rPr>
            </w:pPr>
            <m:oMathPara>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1</m:t>
                    </m:r>
                  </m:sub>
                </m:sSub>
              </m:oMath>
            </m:oMathPara>
          </w:p>
        </w:tc>
        <w:tc>
          <w:tcPr>
            <w:tcW w:w="1134" w:type="dxa"/>
          </w:tcPr>
          <w:p w:rsidR="004F47BB" w:rsidRPr="009072DA" w:rsidRDefault="004F47BB" w:rsidP="004F47BB">
            <w:pPr>
              <w:tabs>
                <w:tab w:val="decimal" w:pos="454"/>
              </w:tabs>
              <w:overflowPunct w:val="0"/>
              <w:adjustRightInd w:val="0"/>
              <w:spacing w:before="60" w:after="60" w:line="240" w:lineRule="atLeast"/>
              <w:ind w:left="113" w:right="113"/>
              <w:textAlignment w:val="baseline"/>
              <w:rPr>
                <w:sz w:val="18"/>
                <w:szCs w:val="18"/>
                <w:lang w:val="bg-BG"/>
              </w:rPr>
            </w:pPr>
            <w:r w:rsidRPr="009072DA">
              <w:rPr>
                <w:sz w:val="18"/>
                <w:lang w:val="bg-BG"/>
              </w:rPr>
              <w:t>0,95</w:t>
            </w:r>
          </w:p>
        </w:tc>
        <w:tc>
          <w:tcPr>
            <w:tcW w:w="1134" w:type="dxa"/>
          </w:tcPr>
          <w:p w:rsidR="004F47BB" w:rsidRPr="009072DA" w:rsidRDefault="004F47BB" w:rsidP="004F47BB">
            <w:pPr>
              <w:tabs>
                <w:tab w:val="decimal" w:pos="454"/>
              </w:tabs>
              <w:overflowPunct w:val="0"/>
              <w:adjustRightInd w:val="0"/>
              <w:spacing w:before="60" w:after="60" w:line="240" w:lineRule="atLeast"/>
              <w:ind w:left="113" w:right="113"/>
              <w:textAlignment w:val="baseline"/>
              <w:rPr>
                <w:sz w:val="18"/>
                <w:szCs w:val="18"/>
                <w:lang w:val="bg-BG"/>
              </w:rPr>
            </w:pPr>
            <w:r w:rsidRPr="009072DA">
              <w:rPr>
                <w:sz w:val="18"/>
                <w:lang w:val="bg-BG"/>
              </w:rPr>
              <w:t>0,95</w:t>
            </w:r>
          </w:p>
        </w:tc>
        <w:tc>
          <w:tcPr>
            <w:tcW w:w="1134" w:type="dxa"/>
          </w:tcPr>
          <w:p w:rsidR="004F47BB" w:rsidRPr="009072DA" w:rsidRDefault="004F47BB" w:rsidP="004F47BB">
            <w:pPr>
              <w:tabs>
                <w:tab w:val="decimal" w:pos="454"/>
              </w:tabs>
              <w:overflowPunct w:val="0"/>
              <w:adjustRightInd w:val="0"/>
              <w:spacing w:before="60" w:after="60" w:line="240" w:lineRule="atLeast"/>
              <w:ind w:left="113" w:right="113"/>
              <w:textAlignment w:val="baseline"/>
              <w:rPr>
                <w:sz w:val="18"/>
                <w:szCs w:val="18"/>
                <w:lang w:val="bg-BG"/>
              </w:rPr>
            </w:pPr>
            <w:r w:rsidRPr="009072DA">
              <w:rPr>
                <w:sz w:val="18"/>
                <w:lang w:val="bg-BG"/>
              </w:rPr>
              <w:t>0,95</w:t>
            </w:r>
          </w:p>
        </w:tc>
        <w:tc>
          <w:tcPr>
            <w:tcW w:w="1701" w:type="dxa"/>
          </w:tcPr>
          <w:p w:rsidR="004F47BB" w:rsidRPr="009072DA"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bg-BG"/>
              </w:rPr>
            </w:pPr>
            <w:r w:rsidRPr="009072DA">
              <w:rPr>
                <w:sz w:val="18"/>
                <w:lang w:val="bg-BG"/>
              </w:rPr>
              <w:t>-</w:t>
            </w:r>
          </w:p>
        </w:tc>
      </w:tr>
      <w:tr w:rsidR="004F47BB" w:rsidRPr="009072DA" w:rsidTr="00D45887">
        <w:trPr>
          <w:jc w:val="center"/>
        </w:trPr>
        <w:tc>
          <w:tcPr>
            <w:tcW w:w="1134" w:type="dxa"/>
          </w:tcPr>
          <w:p w:rsidR="004F47BB" w:rsidRPr="009072DA" w:rsidRDefault="002B712C"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bg-BG"/>
              </w:rPr>
            </w:pPr>
            <m:oMathPara>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2</m:t>
                    </m:r>
                  </m:sub>
                </m:sSub>
              </m:oMath>
            </m:oMathPara>
          </w:p>
        </w:tc>
        <w:tc>
          <w:tcPr>
            <w:tcW w:w="1134" w:type="dxa"/>
          </w:tcPr>
          <w:p w:rsidR="004F47BB" w:rsidRPr="009072DA" w:rsidRDefault="004F47BB" w:rsidP="004F47BB">
            <w:pPr>
              <w:tabs>
                <w:tab w:val="decimal" w:pos="454"/>
              </w:tabs>
              <w:overflowPunct w:val="0"/>
              <w:adjustRightInd w:val="0"/>
              <w:spacing w:before="60" w:after="60" w:line="240" w:lineRule="atLeast"/>
              <w:ind w:left="113" w:right="113"/>
              <w:textAlignment w:val="baseline"/>
              <w:rPr>
                <w:sz w:val="18"/>
                <w:szCs w:val="18"/>
                <w:lang w:val="bg-BG"/>
              </w:rPr>
            </w:pPr>
            <w:r w:rsidRPr="009072DA">
              <w:rPr>
                <w:sz w:val="18"/>
                <w:lang w:val="bg-BG"/>
              </w:rPr>
              <w:t>0,115</w:t>
            </w:r>
          </w:p>
        </w:tc>
        <w:tc>
          <w:tcPr>
            <w:tcW w:w="1134" w:type="dxa"/>
          </w:tcPr>
          <w:p w:rsidR="004F47BB" w:rsidRPr="009072DA" w:rsidRDefault="004F47BB" w:rsidP="004F47BB">
            <w:pPr>
              <w:tabs>
                <w:tab w:val="decimal" w:pos="454"/>
              </w:tabs>
              <w:overflowPunct w:val="0"/>
              <w:adjustRightInd w:val="0"/>
              <w:spacing w:before="60" w:after="60" w:line="240" w:lineRule="atLeast"/>
              <w:ind w:left="113" w:right="113"/>
              <w:textAlignment w:val="baseline"/>
              <w:rPr>
                <w:sz w:val="18"/>
                <w:szCs w:val="18"/>
                <w:lang w:val="bg-BG"/>
              </w:rPr>
            </w:pPr>
            <w:r w:rsidRPr="009072DA">
              <w:rPr>
                <w:sz w:val="18"/>
                <w:lang w:val="bg-BG"/>
              </w:rPr>
              <w:t>0,120</w:t>
            </w:r>
          </w:p>
        </w:tc>
        <w:tc>
          <w:tcPr>
            <w:tcW w:w="1134" w:type="dxa"/>
          </w:tcPr>
          <w:p w:rsidR="004F47BB" w:rsidRPr="009072DA" w:rsidRDefault="004F47BB" w:rsidP="004F47BB">
            <w:pPr>
              <w:tabs>
                <w:tab w:val="decimal" w:pos="454"/>
              </w:tabs>
              <w:overflowPunct w:val="0"/>
              <w:adjustRightInd w:val="0"/>
              <w:spacing w:before="60" w:after="60" w:line="240" w:lineRule="atLeast"/>
              <w:ind w:left="113" w:right="113"/>
              <w:textAlignment w:val="baseline"/>
              <w:rPr>
                <w:sz w:val="18"/>
                <w:szCs w:val="18"/>
                <w:lang w:val="bg-BG"/>
              </w:rPr>
            </w:pPr>
            <w:r w:rsidRPr="009072DA">
              <w:rPr>
                <w:sz w:val="18"/>
                <w:lang w:val="bg-BG"/>
              </w:rPr>
              <w:t>0,125</w:t>
            </w:r>
          </w:p>
        </w:tc>
        <w:tc>
          <w:tcPr>
            <w:tcW w:w="1701" w:type="dxa"/>
          </w:tcPr>
          <w:p w:rsidR="004F47BB" w:rsidRPr="009072DA" w:rsidRDefault="002B712C" w:rsidP="004F47BB">
            <w:pPr>
              <w:tabs>
                <w:tab w:val="left" w:pos="567"/>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bg-BG"/>
              </w:rPr>
            </w:pPr>
            <m:oMathPara>
              <m:oMath>
                <m:f>
                  <m:fPr>
                    <m:ctrlPr>
                      <w:rPr>
                        <w:rFonts w:ascii="Cambria Math" w:hAnsi="Cambria Math"/>
                        <w:i/>
                        <w:sz w:val="18"/>
                        <w:szCs w:val="18"/>
                        <w:lang w:val="bg-BG"/>
                      </w:rPr>
                    </m:ctrlPr>
                  </m:fPr>
                  <m:num>
                    <m:sSub>
                      <m:sSubPr>
                        <m:ctrlPr>
                          <w:rPr>
                            <w:rFonts w:ascii="Cambria Math" w:hAnsi="Cambria Math"/>
                            <w:i/>
                            <w:sz w:val="18"/>
                            <w:szCs w:val="18"/>
                            <w:lang w:val="bg-BG"/>
                          </w:rPr>
                        </m:ctrlPr>
                      </m:sSubPr>
                      <m:e>
                        <m:r>
                          <w:rPr>
                            <w:rFonts w:ascii="Cambria Math" w:hAnsi="Cambria Math"/>
                            <w:sz w:val="18"/>
                            <w:szCs w:val="18"/>
                            <w:lang w:val="bg-BG"/>
                          </w:rPr>
                          <m:t>k</m:t>
                        </m:r>
                      </m:e>
                      <m:sub>
                        <m:r>
                          <w:rPr>
                            <w:rFonts w:ascii="Cambria Math" w:hAnsi="Cambria Math"/>
                            <w:sz w:val="18"/>
                            <w:szCs w:val="18"/>
                            <w:lang w:val="bg-BG"/>
                          </w:rPr>
                          <m:t>g</m:t>
                        </m:r>
                      </m:sub>
                    </m:sSub>
                    <m:r>
                      <w:rPr>
                        <w:rFonts w:ascii="Cambria Math" w:hAnsi="Cambria Math"/>
                        <w:sz w:val="18"/>
                        <w:szCs w:val="18"/>
                        <w:lang w:val="bg-BG"/>
                      </w:rPr>
                      <m:t xml:space="preserve"> ∙ </m:t>
                    </m:r>
                    <m:sSup>
                      <m:sSupPr>
                        <m:ctrlPr>
                          <w:rPr>
                            <w:rFonts w:ascii="Cambria Math" w:hAnsi="Cambria Math"/>
                            <w:i/>
                            <w:sz w:val="18"/>
                            <w:szCs w:val="18"/>
                            <w:lang w:val="bg-BG"/>
                          </w:rPr>
                        </m:ctrlPr>
                      </m:sSupPr>
                      <m:e>
                        <m:r>
                          <w:rPr>
                            <w:rFonts w:ascii="Cambria Math" w:hAnsi="Cambria Math"/>
                            <w:sz w:val="18"/>
                            <w:szCs w:val="18"/>
                            <w:lang w:val="bg-BG"/>
                          </w:rPr>
                          <m:t>s</m:t>
                        </m:r>
                      </m:e>
                      <m:sup>
                        <m:r>
                          <w:rPr>
                            <w:rFonts w:ascii="Cambria Math" w:hAnsi="Cambria Math"/>
                            <w:sz w:val="18"/>
                            <w:szCs w:val="18"/>
                            <w:lang w:val="bg-BG"/>
                          </w:rPr>
                          <m:t>2</m:t>
                        </m:r>
                      </m:sup>
                    </m:sSup>
                  </m:num>
                  <m:den>
                    <m:sSup>
                      <m:sSupPr>
                        <m:ctrlPr>
                          <w:rPr>
                            <w:rFonts w:ascii="Cambria Math" w:hAnsi="Cambria Math"/>
                            <w:i/>
                            <w:sz w:val="18"/>
                            <w:szCs w:val="18"/>
                            <w:lang w:val="bg-BG"/>
                          </w:rPr>
                        </m:ctrlPr>
                      </m:sSupPr>
                      <m:e>
                        <m:r>
                          <w:rPr>
                            <w:rFonts w:ascii="Cambria Math" w:hAnsi="Cambria Math"/>
                            <w:sz w:val="18"/>
                            <w:szCs w:val="18"/>
                            <w:lang w:val="bg-BG"/>
                          </w:rPr>
                          <m:t>m</m:t>
                        </m:r>
                      </m:e>
                      <m:sup>
                        <m:r>
                          <w:rPr>
                            <w:rFonts w:ascii="Cambria Math" w:hAnsi="Cambria Math"/>
                            <w:sz w:val="18"/>
                            <w:szCs w:val="18"/>
                            <w:lang w:val="bg-BG"/>
                          </w:rPr>
                          <m:t>4</m:t>
                        </m:r>
                      </m:sup>
                    </m:sSup>
                  </m:den>
                </m:f>
              </m:oMath>
            </m:oMathPara>
          </w:p>
        </w:tc>
      </w:tr>
      <w:tr w:rsidR="004F47BB" w:rsidRPr="009072DA" w:rsidTr="00D45887">
        <w:trPr>
          <w:jc w:val="center"/>
        </w:trPr>
        <w:tc>
          <w:tcPr>
            <w:tcW w:w="1134" w:type="dxa"/>
          </w:tcPr>
          <w:p w:rsidR="004F47BB" w:rsidRPr="009072DA" w:rsidRDefault="002B712C"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bg-BG"/>
              </w:rPr>
            </w:pPr>
            <m:oMathPara>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3</m:t>
                    </m:r>
                  </m:sub>
                </m:sSub>
              </m:oMath>
            </m:oMathPara>
          </w:p>
        </w:tc>
        <w:tc>
          <w:tcPr>
            <w:tcW w:w="1134" w:type="dxa"/>
          </w:tcPr>
          <w:p w:rsidR="004F47BB" w:rsidRPr="009072DA" w:rsidRDefault="004F47BB" w:rsidP="004F47BB">
            <w:pPr>
              <w:tabs>
                <w:tab w:val="decimal" w:pos="454"/>
              </w:tabs>
              <w:overflowPunct w:val="0"/>
              <w:adjustRightInd w:val="0"/>
              <w:spacing w:before="60" w:after="60" w:line="240" w:lineRule="atLeast"/>
              <w:ind w:left="113" w:right="113"/>
              <w:textAlignment w:val="baseline"/>
              <w:rPr>
                <w:sz w:val="18"/>
                <w:szCs w:val="18"/>
                <w:lang w:val="bg-BG"/>
              </w:rPr>
            </w:pPr>
            <w:r w:rsidRPr="009072DA">
              <w:rPr>
                <w:sz w:val="18"/>
                <w:lang w:val="bg-BG"/>
              </w:rPr>
              <w:t>1,20</w:t>
            </w:r>
          </w:p>
        </w:tc>
        <w:tc>
          <w:tcPr>
            <w:tcW w:w="1134" w:type="dxa"/>
          </w:tcPr>
          <w:p w:rsidR="004F47BB" w:rsidRPr="009072DA" w:rsidRDefault="004F47BB" w:rsidP="004F47BB">
            <w:pPr>
              <w:tabs>
                <w:tab w:val="decimal" w:pos="454"/>
              </w:tabs>
              <w:overflowPunct w:val="0"/>
              <w:adjustRightInd w:val="0"/>
              <w:spacing w:before="60" w:after="60" w:line="240" w:lineRule="atLeast"/>
              <w:ind w:left="113" w:right="113"/>
              <w:textAlignment w:val="baseline"/>
              <w:rPr>
                <w:sz w:val="18"/>
                <w:szCs w:val="18"/>
                <w:lang w:val="bg-BG"/>
              </w:rPr>
            </w:pPr>
            <w:r w:rsidRPr="009072DA">
              <w:rPr>
                <w:sz w:val="18"/>
                <w:lang w:val="bg-BG"/>
              </w:rPr>
              <w:t>1,15</w:t>
            </w:r>
          </w:p>
        </w:tc>
        <w:tc>
          <w:tcPr>
            <w:tcW w:w="1134" w:type="dxa"/>
          </w:tcPr>
          <w:p w:rsidR="004F47BB" w:rsidRPr="009072DA" w:rsidRDefault="004F47BB" w:rsidP="004F47BB">
            <w:pPr>
              <w:tabs>
                <w:tab w:val="decimal" w:pos="454"/>
              </w:tabs>
              <w:overflowPunct w:val="0"/>
              <w:adjustRightInd w:val="0"/>
              <w:spacing w:before="60" w:after="60" w:line="240" w:lineRule="atLeast"/>
              <w:ind w:left="113" w:right="113"/>
              <w:textAlignment w:val="baseline"/>
              <w:rPr>
                <w:sz w:val="18"/>
                <w:szCs w:val="18"/>
                <w:lang w:val="bg-BG"/>
              </w:rPr>
            </w:pPr>
            <w:r w:rsidRPr="009072DA">
              <w:rPr>
                <w:sz w:val="18"/>
                <w:lang w:val="bg-BG"/>
              </w:rPr>
              <w:t>1,10</w:t>
            </w:r>
          </w:p>
        </w:tc>
        <w:tc>
          <w:tcPr>
            <w:tcW w:w="1701" w:type="dxa"/>
          </w:tcPr>
          <w:p w:rsidR="004F47BB" w:rsidRPr="009072DA"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bg-BG"/>
              </w:rPr>
            </w:pPr>
            <w:r w:rsidRPr="009072DA">
              <w:rPr>
                <w:sz w:val="18"/>
                <w:lang w:val="bg-BG"/>
              </w:rPr>
              <w:t>-</w:t>
            </w:r>
          </w:p>
        </w:tc>
      </w:tr>
      <w:tr w:rsidR="004F47BB" w:rsidRPr="009072DA" w:rsidTr="00D45887">
        <w:trPr>
          <w:jc w:val="center"/>
        </w:trPr>
        <w:tc>
          <w:tcPr>
            <w:tcW w:w="1134" w:type="dxa"/>
          </w:tcPr>
          <w:p w:rsidR="004F47BB" w:rsidRPr="009072DA" w:rsidRDefault="002B712C"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bg-BG"/>
              </w:rPr>
            </w:pPr>
            <m:oMathPara>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4</m:t>
                    </m:r>
                  </m:sub>
                </m:sSub>
              </m:oMath>
            </m:oMathPara>
          </w:p>
        </w:tc>
        <w:tc>
          <w:tcPr>
            <w:tcW w:w="1134" w:type="dxa"/>
          </w:tcPr>
          <w:p w:rsidR="004F47BB" w:rsidRPr="009072DA" w:rsidRDefault="004F47BB" w:rsidP="004F47BB">
            <w:pPr>
              <w:tabs>
                <w:tab w:val="decimal" w:pos="454"/>
              </w:tabs>
              <w:overflowPunct w:val="0"/>
              <w:adjustRightInd w:val="0"/>
              <w:spacing w:before="60" w:after="60" w:line="240" w:lineRule="atLeast"/>
              <w:ind w:left="113" w:right="113"/>
              <w:textAlignment w:val="baseline"/>
              <w:rPr>
                <w:sz w:val="18"/>
                <w:szCs w:val="18"/>
                <w:lang w:val="bg-BG"/>
              </w:rPr>
            </w:pPr>
            <w:r w:rsidRPr="009072DA">
              <w:rPr>
                <w:sz w:val="18"/>
                <w:lang w:val="bg-BG"/>
              </w:rPr>
              <w:t>0,48</w:t>
            </w:r>
          </w:p>
        </w:tc>
        <w:tc>
          <w:tcPr>
            <w:tcW w:w="1134" w:type="dxa"/>
          </w:tcPr>
          <w:p w:rsidR="004F47BB" w:rsidRPr="009072DA" w:rsidRDefault="004F47BB" w:rsidP="004F47BB">
            <w:pPr>
              <w:tabs>
                <w:tab w:val="decimal" w:pos="454"/>
              </w:tabs>
              <w:overflowPunct w:val="0"/>
              <w:adjustRightInd w:val="0"/>
              <w:spacing w:before="60" w:after="60" w:line="240" w:lineRule="atLeast"/>
              <w:ind w:left="113" w:right="113"/>
              <w:textAlignment w:val="baseline"/>
              <w:rPr>
                <w:sz w:val="18"/>
                <w:szCs w:val="18"/>
                <w:lang w:val="bg-BG"/>
              </w:rPr>
            </w:pPr>
            <w:r w:rsidRPr="009072DA">
              <w:rPr>
                <w:sz w:val="18"/>
                <w:lang w:val="bg-BG"/>
              </w:rPr>
              <w:t>0,48</w:t>
            </w:r>
          </w:p>
        </w:tc>
        <w:tc>
          <w:tcPr>
            <w:tcW w:w="1134" w:type="dxa"/>
          </w:tcPr>
          <w:p w:rsidR="004F47BB" w:rsidRPr="009072DA" w:rsidRDefault="004F47BB" w:rsidP="004F47BB">
            <w:pPr>
              <w:tabs>
                <w:tab w:val="decimal" w:pos="454"/>
              </w:tabs>
              <w:overflowPunct w:val="0"/>
              <w:adjustRightInd w:val="0"/>
              <w:spacing w:before="60" w:after="60" w:line="240" w:lineRule="atLeast"/>
              <w:ind w:left="113" w:right="113"/>
              <w:textAlignment w:val="baseline"/>
              <w:rPr>
                <w:sz w:val="18"/>
                <w:szCs w:val="18"/>
                <w:lang w:val="bg-BG"/>
              </w:rPr>
            </w:pPr>
            <w:r w:rsidRPr="009072DA">
              <w:rPr>
                <w:sz w:val="18"/>
                <w:lang w:val="bg-BG"/>
              </w:rPr>
              <w:t>0,48</w:t>
            </w:r>
          </w:p>
        </w:tc>
        <w:tc>
          <w:tcPr>
            <w:tcW w:w="1701" w:type="dxa"/>
          </w:tcPr>
          <w:p w:rsidR="004F47BB" w:rsidRPr="009072DA"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bg-BG"/>
              </w:rPr>
            </w:pPr>
            <w:r w:rsidRPr="009072DA">
              <w:rPr>
                <w:sz w:val="18"/>
                <w:lang w:val="bg-BG"/>
              </w:rPr>
              <w:t>-</w:t>
            </w:r>
          </w:p>
        </w:tc>
      </w:tr>
      <w:tr w:rsidR="004F47BB" w:rsidRPr="009072DA" w:rsidTr="00D45887">
        <w:trPr>
          <w:jc w:val="center"/>
        </w:trPr>
        <w:tc>
          <w:tcPr>
            <w:tcW w:w="1134" w:type="dxa"/>
          </w:tcPr>
          <w:p w:rsidR="004F47BB" w:rsidRPr="009072DA" w:rsidRDefault="002B712C"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bg-BG"/>
              </w:rPr>
            </w:pPr>
            <m:oMathPara>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6</m:t>
                    </m:r>
                  </m:sub>
                </m:sSub>
              </m:oMath>
            </m:oMathPara>
          </w:p>
        </w:tc>
        <w:tc>
          <w:tcPr>
            <w:tcW w:w="1134" w:type="dxa"/>
          </w:tcPr>
          <w:p w:rsidR="004F47BB" w:rsidRPr="009072DA" w:rsidRDefault="004F47BB" w:rsidP="004F47BB">
            <w:pPr>
              <w:tabs>
                <w:tab w:val="decimal" w:pos="454"/>
              </w:tabs>
              <w:overflowPunct w:val="0"/>
              <w:adjustRightInd w:val="0"/>
              <w:spacing w:before="60" w:after="60" w:line="240" w:lineRule="atLeast"/>
              <w:ind w:left="113" w:right="113"/>
              <w:textAlignment w:val="baseline"/>
              <w:rPr>
                <w:sz w:val="18"/>
                <w:szCs w:val="18"/>
                <w:lang w:val="bg-BG"/>
              </w:rPr>
            </w:pPr>
            <w:r w:rsidRPr="009072DA">
              <w:rPr>
                <w:sz w:val="18"/>
                <w:lang w:val="bg-BG"/>
              </w:rPr>
              <w:t>0,90</w:t>
            </w:r>
          </w:p>
        </w:tc>
        <w:tc>
          <w:tcPr>
            <w:tcW w:w="1134" w:type="dxa"/>
          </w:tcPr>
          <w:p w:rsidR="004F47BB" w:rsidRPr="009072DA" w:rsidRDefault="004F47BB" w:rsidP="004F47BB">
            <w:pPr>
              <w:tabs>
                <w:tab w:val="decimal" w:pos="454"/>
              </w:tabs>
              <w:overflowPunct w:val="0"/>
              <w:adjustRightInd w:val="0"/>
              <w:spacing w:before="60" w:after="60" w:line="240" w:lineRule="atLeast"/>
              <w:ind w:left="113" w:right="113"/>
              <w:textAlignment w:val="baseline"/>
              <w:rPr>
                <w:sz w:val="18"/>
                <w:szCs w:val="18"/>
                <w:lang w:val="bg-BG"/>
              </w:rPr>
            </w:pPr>
            <w:r w:rsidRPr="009072DA">
              <w:rPr>
                <w:sz w:val="18"/>
                <w:lang w:val="bg-BG"/>
              </w:rPr>
              <w:t>0,85</w:t>
            </w:r>
          </w:p>
        </w:tc>
        <w:tc>
          <w:tcPr>
            <w:tcW w:w="1134" w:type="dxa"/>
          </w:tcPr>
          <w:p w:rsidR="004F47BB" w:rsidRPr="009072DA" w:rsidRDefault="004F47BB" w:rsidP="004F47BB">
            <w:pPr>
              <w:tabs>
                <w:tab w:val="decimal" w:pos="454"/>
              </w:tabs>
              <w:overflowPunct w:val="0"/>
              <w:adjustRightInd w:val="0"/>
              <w:spacing w:before="60" w:after="60" w:line="240" w:lineRule="atLeast"/>
              <w:ind w:left="113" w:right="113"/>
              <w:textAlignment w:val="baseline"/>
              <w:rPr>
                <w:sz w:val="18"/>
                <w:szCs w:val="18"/>
                <w:lang w:val="bg-BG"/>
              </w:rPr>
            </w:pPr>
            <w:r w:rsidRPr="009072DA">
              <w:rPr>
                <w:sz w:val="18"/>
                <w:lang w:val="bg-BG"/>
              </w:rPr>
              <w:t>0,80</w:t>
            </w:r>
          </w:p>
        </w:tc>
        <w:tc>
          <w:tcPr>
            <w:tcW w:w="1701" w:type="dxa"/>
          </w:tcPr>
          <w:p w:rsidR="004F47BB" w:rsidRPr="009072DA"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bg-BG"/>
              </w:rPr>
            </w:pPr>
            <w:r w:rsidRPr="009072DA">
              <w:rPr>
                <w:sz w:val="18"/>
                <w:lang w:val="bg-BG"/>
              </w:rPr>
              <w:t>-</w:t>
            </w:r>
          </w:p>
        </w:tc>
      </w:tr>
      <w:tr w:rsidR="004F47BB" w:rsidRPr="009072DA" w:rsidTr="00D45887">
        <w:trPr>
          <w:jc w:val="center"/>
        </w:trPr>
        <w:tc>
          <w:tcPr>
            <w:tcW w:w="1134" w:type="dxa"/>
          </w:tcPr>
          <w:p w:rsidR="004F47BB" w:rsidRPr="009072DA" w:rsidRDefault="002B712C"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bg-BG"/>
              </w:rPr>
            </w:pPr>
            <m:oMathPara>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7</m:t>
                    </m:r>
                  </m:sub>
                </m:sSub>
              </m:oMath>
            </m:oMathPara>
          </w:p>
        </w:tc>
        <w:tc>
          <w:tcPr>
            <w:tcW w:w="1134" w:type="dxa"/>
          </w:tcPr>
          <w:p w:rsidR="004F47BB" w:rsidRPr="009072DA" w:rsidRDefault="004F47BB" w:rsidP="004F47BB">
            <w:pPr>
              <w:tabs>
                <w:tab w:val="decimal" w:pos="454"/>
              </w:tabs>
              <w:overflowPunct w:val="0"/>
              <w:adjustRightInd w:val="0"/>
              <w:spacing w:before="60" w:after="60" w:line="240" w:lineRule="atLeast"/>
              <w:ind w:left="113" w:right="113"/>
              <w:textAlignment w:val="baseline"/>
              <w:rPr>
                <w:sz w:val="18"/>
                <w:szCs w:val="18"/>
                <w:lang w:val="bg-BG"/>
              </w:rPr>
            </w:pPr>
            <w:r w:rsidRPr="009072DA">
              <w:rPr>
                <w:sz w:val="18"/>
                <w:lang w:val="bg-BG"/>
              </w:rPr>
              <w:t>0,58</w:t>
            </w:r>
          </w:p>
        </w:tc>
        <w:tc>
          <w:tcPr>
            <w:tcW w:w="1134" w:type="dxa"/>
          </w:tcPr>
          <w:p w:rsidR="004F47BB" w:rsidRPr="009072DA" w:rsidRDefault="004F47BB" w:rsidP="004F47BB">
            <w:pPr>
              <w:tabs>
                <w:tab w:val="decimal" w:pos="454"/>
              </w:tabs>
              <w:overflowPunct w:val="0"/>
              <w:adjustRightInd w:val="0"/>
              <w:spacing w:before="60" w:after="60" w:line="240" w:lineRule="atLeast"/>
              <w:ind w:left="113" w:right="113"/>
              <w:textAlignment w:val="baseline"/>
              <w:rPr>
                <w:sz w:val="18"/>
                <w:szCs w:val="18"/>
                <w:lang w:val="bg-BG"/>
              </w:rPr>
            </w:pPr>
            <w:r w:rsidRPr="009072DA">
              <w:rPr>
                <w:sz w:val="18"/>
                <w:lang w:val="bg-BG"/>
              </w:rPr>
              <w:t>0,55</w:t>
            </w:r>
          </w:p>
        </w:tc>
        <w:tc>
          <w:tcPr>
            <w:tcW w:w="1134" w:type="dxa"/>
          </w:tcPr>
          <w:p w:rsidR="004F47BB" w:rsidRPr="009072DA" w:rsidRDefault="004F47BB" w:rsidP="004F47BB">
            <w:pPr>
              <w:tabs>
                <w:tab w:val="decimal" w:pos="454"/>
              </w:tabs>
              <w:overflowPunct w:val="0"/>
              <w:adjustRightInd w:val="0"/>
              <w:spacing w:before="60" w:after="60" w:line="240" w:lineRule="atLeast"/>
              <w:ind w:left="113" w:right="113"/>
              <w:textAlignment w:val="baseline"/>
              <w:rPr>
                <w:sz w:val="18"/>
                <w:szCs w:val="18"/>
                <w:lang w:val="bg-BG"/>
              </w:rPr>
            </w:pPr>
            <w:r w:rsidRPr="009072DA">
              <w:rPr>
                <w:sz w:val="18"/>
                <w:lang w:val="bg-BG"/>
              </w:rPr>
              <w:t>0,52</w:t>
            </w:r>
          </w:p>
        </w:tc>
        <w:tc>
          <w:tcPr>
            <w:tcW w:w="1701" w:type="dxa"/>
          </w:tcPr>
          <w:p w:rsidR="004F47BB" w:rsidRPr="009072DA"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bg-BG"/>
              </w:rPr>
            </w:pPr>
            <w:r w:rsidRPr="009072DA">
              <w:rPr>
                <w:sz w:val="18"/>
                <w:lang w:val="bg-BG"/>
              </w:rPr>
              <w:t>-</w:t>
            </w:r>
          </w:p>
        </w:tc>
      </w:tr>
    </w:tbl>
    <w:p w:rsidR="004F47BB" w:rsidRPr="009072DA" w:rsidRDefault="004F47BB" w:rsidP="004F47BB">
      <w:pPr>
        <w:tabs>
          <w:tab w:val="left" w:pos="960"/>
          <w:tab w:val="left" w:pos="1344"/>
          <w:tab w:val="left" w:pos="7680"/>
        </w:tabs>
        <w:overflowPunct w:val="0"/>
        <w:adjustRightInd w:val="0"/>
        <w:spacing w:line="240" w:lineRule="exact"/>
        <w:textAlignment w:val="baseline"/>
        <w:rPr>
          <w:szCs w:val="20"/>
          <w:lang w:val="bg-BG"/>
        </w:rPr>
      </w:pPr>
    </w:p>
    <w:p w:rsidR="004F47BB" w:rsidRPr="009072DA" w:rsidRDefault="004F47BB" w:rsidP="004F47BB">
      <w:pPr>
        <w:tabs>
          <w:tab w:val="left" w:pos="960"/>
          <w:tab w:val="left" w:pos="1344"/>
          <w:tab w:val="left" w:pos="7680"/>
        </w:tabs>
        <w:overflowPunct w:val="0"/>
        <w:adjustRightInd w:val="0"/>
        <w:spacing w:line="240" w:lineRule="exact"/>
        <w:textAlignment w:val="baseline"/>
        <w:rPr>
          <w:szCs w:val="20"/>
          <w:lang w:val="bg-BG"/>
        </w:rPr>
      </w:pPr>
    </w:p>
    <w:p w:rsidR="004F47BB" w:rsidRPr="009072DA" w:rsidRDefault="004F47BB" w:rsidP="004F47BB">
      <w:pPr>
        <w:tabs>
          <w:tab w:val="left" w:pos="567"/>
        </w:tabs>
        <w:overflowPunct w:val="0"/>
        <w:adjustRightInd w:val="0"/>
        <w:spacing w:line="240" w:lineRule="atLeast"/>
        <w:ind w:left="567"/>
        <w:textAlignment w:val="baseline"/>
        <w:rPr>
          <w:b/>
          <w:bCs/>
          <w:szCs w:val="20"/>
          <w:lang w:val="bg-BG"/>
        </w:rPr>
      </w:pPr>
      <w:r w:rsidRPr="009072DA">
        <w:rPr>
          <w:b/>
          <w:lang w:val="bg-BG"/>
        </w:rPr>
        <w:t xml:space="preserve">Таблица 2: Коефициент </w:t>
      </w:r>
      <m:oMath>
        <m:r>
          <m:rPr>
            <m:sty m:val="bi"/>
          </m:rPr>
          <w:rPr>
            <w:rFonts w:ascii="Cambria Math" w:hAnsi="Cambria Math"/>
            <w:szCs w:val="20"/>
            <w:lang w:val="bg-BG"/>
          </w:rPr>
          <m:t>f</m:t>
        </m:r>
      </m:oMath>
      <w:r w:rsidRPr="009072DA">
        <w:rPr>
          <w:b/>
          <w:lang w:val="bg-BG"/>
        </w:rPr>
        <w:t xml:space="preserve"> за съотношението между теглителното усилие върху кнехта на заден ход и мощността на задвижващите двигатели</w:t>
      </w:r>
    </w:p>
    <w:p w:rsidR="004F47BB" w:rsidRPr="009072DA" w:rsidRDefault="004F47BB" w:rsidP="004F47BB">
      <w:pPr>
        <w:tabs>
          <w:tab w:val="left" w:pos="960"/>
          <w:tab w:val="left" w:pos="1344"/>
          <w:tab w:val="left" w:pos="7680"/>
        </w:tabs>
        <w:overflowPunct w:val="0"/>
        <w:adjustRightInd w:val="0"/>
        <w:spacing w:line="240" w:lineRule="exact"/>
        <w:textAlignment w:val="baseline"/>
        <w:rPr>
          <w:szCs w:val="20"/>
          <w:lang w:val="bg-BG"/>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649"/>
        <w:gridCol w:w="1247"/>
        <w:gridCol w:w="1247"/>
      </w:tblGrid>
      <w:tr w:rsidR="004F47BB" w:rsidRPr="009072DA" w:rsidTr="00D45887">
        <w:trPr>
          <w:jc w:val="center"/>
        </w:trPr>
        <w:tc>
          <w:tcPr>
            <w:tcW w:w="4649" w:type="dxa"/>
          </w:tcPr>
          <w:p w:rsidR="004F47BB" w:rsidRPr="009072DA" w:rsidRDefault="004F47BB" w:rsidP="004F47BB">
            <w:pPr>
              <w:overflowPunct w:val="0"/>
              <w:adjustRightInd w:val="0"/>
              <w:spacing w:before="60" w:after="60" w:line="240" w:lineRule="exact"/>
              <w:ind w:left="113" w:right="113"/>
              <w:jc w:val="center"/>
              <w:textAlignment w:val="baseline"/>
              <w:rPr>
                <w:sz w:val="18"/>
                <w:szCs w:val="18"/>
                <w:lang w:val="bg-BG"/>
              </w:rPr>
            </w:pPr>
            <w:r w:rsidRPr="009072DA">
              <w:rPr>
                <w:sz w:val="18"/>
                <w:lang w:val="bg-BG"/>
              </w:rPr>
              <w:t>Задвижваща система</w:t>
            </w:r>
          </w:p>
        </w:tc>
        <w:tc>
          <w:tcPr>
            <w:tcW w:w="1247" w:type="dxa"/>
          </w:tcPr>
          <w:p w:rsidR="004F47BB" w:rsidRPr="009072DA" w:rsidRDefault="004F47BB" w:rsidP="004F47BB">
            <w:pPr>
              <w:tabs>
                <w:tab w:val="left" w:pos="567"/>
              </w:tabs>
              <w:overflowPunct w:val="0"/>
              <w:adjustRightInd w:val="0"/>
              <w:spacing w:before="60" w:after="60" w:line="240" w:lineRule="exact"/>
              <w:ind w:left="113" w:right="113"/>
              <w:jc w:val="center"/>
              <w:textAlignment w:val="baseline"/>
              <w:rPr>
                <w:sz w:val="18"/>
                <w:szCs w:val="18"/>
                <w:lang w:val="bg-BG"/>
              </w:rPr>
            </w:pPr>
            <m:oMathPara>
              <m:oMath>
                <m:r>
                  <w:rPr>
                    <w:rFonts w:ascii="Cambria Math" w:hAnsi="Cambria Math"/>
                    <w:sz w:val="18"/>
                    <w:szCs w:val="18"/>
                    <w:lang w:val="bg-BG"/>
                  </w:rPr>
                  <m:t>f</m:t>
                </m:r>
              </m:oMath>
            </m:oMathPara>
          </w:p>
        </w:tc>
        <w:tc>
          <w:tcPr>
            <w:tcW w:w="1247" w:type="dxa"/>
          </w:tcPr>
          <w:p w:rsidR="004F47BB" w:rsidRPr="009072DA" w:rsidRDefault="004F47BB" w:rsidP="004F47BB">
            <w:pPr>
              <w:overflowPunct w:val="0"/>
              <w:adjustRightInd w:val="0"/>
              <w:spacing w:before="60" w:after="60" w:line="240" w:lineRule="exact"/>
              <w:ind w:left="113" w:right="113"/>
              <w:jc w:val="center"/>
              <w:textAlignment w:val="baseline"/>
              <w:rPr>
                <w:sz w:val="18"/>
                <w:szCs w:val="18"/>
                <w:lang w:val="bg-BG"/>
              </w:rPr>
            </w:pPr>
            <w:r w:rsidRPr="009072DA">
              <w:rPr>
                <w:sz w:val="18"/>
                <w:lang w:val="bg-BG"/>
              </w:rPr>
              <w:t>Единици</w:t>
            </w:r>
          </w:p>
        </w:tc>
      </w:tr>
      <w:tr w:rsidR="004F47BB" w:rsidRPr="009072DA" w:rsidTr="00D45887">
        <w:trPr>
          <w:jc w:val="center"/>
        </w:trPr>
        <w:tc>
          <w:tcPr>
            <w:tcW w:w="4649" w:type="dxa"/>
          </w:tcPr>
          <w:p w:rsidR="004F47BB" w:rsidRPr="009072DA" w:rsidRDefault="004F47BB" w:rsidP="004F47BB">
            <w:pPr>
              <w:overflowPunct w:val="0"/>
              <w:adjustRightInd w:val="0"/>
              <w:spacing w:before="60" w:after="60" w:line="240" w:lineRule="exact"/>
              <w:ind w:left="113" w:right="113"/>
              <w:textAlignment w:val="baseline"/>
              <w:rPr>
                <w:sz w:val="18"/>
                <w:szCs w:val="18"/>
                <w:lang w:val="bg-BG"/>
              </w:rPr>
            </w:pPr>
            <w:r w:rsidRPr="009072DA">
              <w:rPr>
                <w:sz w:val="18"/>
                <w:lang w:val="bg-BG"/>
              </w:rPr>
              <w:t>Съвременни дюзи със заоблен заден ръб</w:t>
            </w:r>
          </w:p>
        </w:tc>
        <w:tc>
          <w:tcPr>
            <w:tcW w:w="1247" w:type="dxa"/>
          </w:tcPr>
          <w:p w:rsidR="004F47BB" w:rsidRPr="009072DA" w:rsidRDefault="004F47BB" w:rsidP="004F47BB">
            <w:pPr>
              <w:tabs>
                <w:tab w:val="decimal" w:pos="454"/>
              </w:tabs>
              <w:overflowPunct w:val="0"/>
              <w:adjustRightInd w:val="0"/>
              <w:spacing w:before="60" w:after="60" w:line="240" w:lineRule="exact"/>
              <w:ind w:left="113" w:right="113"/>
              <w:textAlignment w:val="baseline"/>
              <w:rPr>
                <w:sz w:val="18"/>
                <w:szCs w:val="18"/>
                <w:lang w:val="bg-BG"/>
              </w:rPr>
            </w:pPr>
            <w:r w:rsidRPr="009072DA">
              <w:rPr>
                <w:sz w:val="18"/>
                <w:lang w:val="bg-BG"/>
              </w:rPr>
              <w:t>0,118</w:t>
            </w:r>
          </w:p>
        </w:tc>
        <w:tc>
          <w:tcPr>
            <w:tcW w:w="1247" w:type="dxa"/>
          </w:tcPr>
          <w:p w:rsidR="004F47BB" w:rsidRPr="009072DA" w:rsidRDefault="004F47BB" w:rsidP="004F47BB">
            <w:pPr>
              <w:overflowPunct w:val="0"/>
              <w:adjustRightInd w:val="0"/>
              <w:spacing w:before="60" w:after="60" w:line="240" w:lineRule="exact"/>
              <w:ind w:left="113" w:right="113"/>
              <w:jc w:val="center"/>
              <w:textAlignment w:val="baseline"/>
              <w:rPr>
                <w:sz w:val="18"/>
                <w:szCs w:val="18"/>
                <w:lang w:val="bg-BG"/>
              </w:rPr>
            </w:pPr>
            <w:r w:rsidRPr="009072DA">
              <w:rPr>
                <w:sz w:val="18"/>
                <w:lang w:val="bg-BG"/>
              </w:rPr>
              <w:t>kN/kW</w:t>
            </w:r>
          </w:p>
        </w:tc>
      </w:tr>
      <w:tr w:rsidR="004F47BB" w:rsidRPr="009072DA" w:rsidTr="00D45887">
        <w:trPr>
          <w:jc w:val="center"/>
        </w:trPr>
        <w:tc>
          <w:tcPr>
            <w:tcW w:w="4649" w:type="dxa"/>
          </w:tcPr>
          <w:p w:rsidR="004F47BB" w:rsidRPr="009072DA" w:rsidRDefault="004F47BB" w:rsidP="004F47BB">
            <w:pPr>
              <w:overflowPunct w:val="0"/>
              <w:adjustRightInd w:val="0"/>
              <w:spacing w:before="60" w:after="60" w:line="240" w:lineRule="exact"/>
              <w:ind w:left="113" w:right="113"/>
              <w:textAlignment w:val="baseline"/>
              <w:rPr>
                <w:sz w:val="18"/>
                <w:szCs w:val="18"/>
                <w:lang w:val="bg-BG"/>
              </w:rPr>
            </w:pPr>
            <w:r w:rsidRPr="009072DA">
              <w:rPr>
                <w:sz w:val="18"/>
                <w:lang w:val="bg-BG"/>
              </w:rPr>
              <w:t>Стари дюзи с остър заден ръб</w:t>
            </w:r>
          </w:p>
        </w:tc>
        <w:tc>
          <w:tcPr>
            <w:tcW w:w="1247" w:type="dxa"/>
          </w:tcPr>
          <w:p w:rsidR="004F47BB" w:rsidRPr="009072DA" w:rsidRDefault="004F47BB" w:rsidP="004F47BB">
            <w:pPr>
              <w:tabs>
                <w:tab w:val="decimal" w:pos="454"/>
              </w:tabs>
              <w:overflowPunct w:val="0"/>
              <w:adjustRightInd w:val="0"/>
              <w:spacing w:before="60" w:after="60" w:line="240" w:lineRule="exact"/>
              <w:ind w:left="113" w:right="113"/>
              <w:textAlignment w:val="baseline"/>
              <w:rPr>
                <w:sz w:val="18"/>
                <w:szCs w:val="18"/>
                <w:lang w:val="bg-BG"/>
              </w:rPr>
            </w:pPr>
            <w:r w:rsidRPr="009072DA">
              <w:rPr>
                <w:sz w:val="18"/>
                <w:lang w:val="bg-BG"/>
              </w:rPr>
              <w:t>0,112</w:t>
            </w:r>
          </w:p>
        </w:tc>
        <w:tc>
          <w:tcPr>
            <w:tcW w:w="1247" w:type="dxa"/>
          </w:tcPr>
          <w:p w:rsidR="004F47BB" w:rsidRPr="009072DA" w:rsidRDefault="004F47BB" w:rsidP="004F47BB">
            <w:pPr>
              <w:overflowPunct w:val="0"/>
              <w:adjustRightInd w:val="0"/>
              <w:spacing w:before="60" w:after="60" w:line="240" w:lineRule="exact"/>
              <w:ind w:left="113" w:right="113"/>
              <w:jc w:val="center"/>
              <w:textAlignment w:val="baseline"/>
              <w:rPr>
                <w:sz w:val="18"/>
                <w:szCs w:val="18"/>
                <w:lang w:val="bg-BG"/>
              </w:rPr>
            </w:pPr>
            <w:r w:rsidRPr="009072DA">
              <w:rPr>
                <w:sz w:val="18"/>
                <w:lang w:val="bg-BG"/>
              </w:rPr>
              <w:t>kN/kW</w:t>
            </w:r>
          </w:p>
        </w:tc>
      </w:tr>
      <w:tr w:rsidR="004F47BB" w:rsidRPr="009072DA" w:rsidTr="00D45887">
        <w:trPr>
          <w:jc w:val="center"/>
        </w:trPr>
        <w:tc>
          <w:tcPr>
            <w:tcW w:w="4649" w:type="dxa"/>
          </w:tcPr>
          <w:p w:rsidR="004F47BB" w:rsidRPr="009072DA" w:rsidRDefault="004F47BB" w:rsidP="004F47BB">
            <w:pPr>
              <w:overflowPunct w:val="0"/>
              <w:adjustRightInd w:val="0"/>
              <w:spacing w:before="60" w:after="60" w:line="240" w:lineRule="exact"/>
              <w:ind w:left="113" w:right="113"/>
              <w:textAlignment w:val="baseline"/>
              <w:rPr>
                <w:sz w:val="18"/>
                <w:szCs w:val="18"/>
                <w:lang w:val="bg-BG"/>
              </w:rPr>
            </w:pPr>
            <w:r w:rsidRPr="009072DA">
              <w:rPr>
                <w:sz w:val="18"/>
                <w:lang w:val="bg-BG"/>
              </w:rPr>
              <w:t>Винтове без дюзи</w:t>
            </w:r>
          </w:p>
        </w:tc>
        <w:tc>
          <w:tcPr>
            <w:tcW w:w="1247" w:type="dxa"/>
          </w:tcPr>
          <w:p w:rsidR="004F47BB" w:rsidRPr="009072DA" w:rsidRDefault="004F47BB" w:rsidP="004F47BB">
            <w:pPr>
              <w:tabs>
                <w:tab w:val="decimal" w:pos="454"/>
              </w:tabs>
              <w:overflowPunct w:val="0"/>
              <w:adjustRightInd w:val="0"/>
              <w:spacing w:before="60" w:after="60" w:line="240" w:lineRule="exact"/>
              <w:ind w:left="113" w:right="113"/>
              <w:textAlignment w:val="baseline"/>
              <w:rPr>
                <w:sz w:val="18"/>
                <w:szCs w:val="18"/>
                <w:lang w:val="bg-BG"/>
              </w:rPr>
            </w:pPr>
            <w:r w:rsidRPr="009072DA">
              <w:rPr>
                <w:sz w:val="18"/>
                <w:lang w:val="bg-BG"/>
              </w:rPr>
              <w:t>0,096</w:t>
            </w:r>
          </w:p>
        </w:tc>
        <w:tc>
          <w:tcPr>
            <w:tcW w:w="1247" w:type="dxa"/>
          </w:tcPr>
          <w:p w:rsidR="004F47BB" w:rsidRPr="009072DA" w:rsidRDefault="004F47BB" w:rsidP="004F47BB">
            <w:pPr>
              <w:overflowPunct w:val="0"/>
              <w:adjustRightInd w:val="0"/>
              <w:spacing w:before="60" w:after="60" w:line="240" w:lineRule="exact"/>
              <w:ind w:left="113" w:right="113"/>
              <w:jc w:val="center"/>
              <w:textAlignment w:val="baseline"/>
              <w:rPr>
                <w:sz w:val="18"/>
                <w:szCs w:val="18"/>
                <w:lang w:val="bg-BG"/>
              </w:rPr>
            </w:pPr>
            <w:r w:rsidRPr="009072DA">
              <w:rPr>
                <w:sz w:val="18"/>
                <w:lang w:val="bg-BG"/>
              </w:rPr>
              <w:t>kN/kW</w:t>
            </w:r>
          </w:p>
        </w:tc>
      </w:tr>
      <w:tr w:rsidR="004F47BB" w:rsidRPr="009072DA" w:rsidTr="00D45887">
        <w:trPr>
          <w:jc w:val="center"/>
        </w:trPr>
        <w:tc>
          <w:tcPr>
            <w:tcW w:w="4649" w:type="dxa"/>
          </w:tcPr>
          <w:p w:rsidR="004F47BB" w:rsidRPr="009072DA" w:rsidRDefault="004F47BB" w:rsidP="004F47BB">
            <w:pPr>
              <w:overflowPunct w:val="0"/>
              <w:adjustRightInd w:val="0"/>
              <w:spacing w:before="60" w:after="60" w:line="240" w:lineRule="exact"/>
              <w:ind w:left="113" w:right="113"/>
              <w:textAlignment w:val="baseline"/>
              <w:rPr>
                <w:sz w:val="18"/>
                <w:szCs w:val="18"/>
                <w:lang w:val="bg-BG"/>
              </w:rPr>
            </w:pPr>
            <w:r w:rsidRPr="009072DA">
              <w:rPr>
                <w:sz w:val="18"/>
                <w:lang w:val="bg-BG"/>
              </w:rPr>
              <w:t>Винто-рулеви колони с дюзи (обикновено остър заден ръб)</w:t>
            </w:r>
          </w:p>
        </w:tc>
        <w:tc>
          <w:tcPr>
            <w:tcW w:w="1247" w:type="dxa"/>
          </w:tcPr>
          <w:p w:rsidR="004F47BB" w:rsidRPr="009072DA" w:rsidRDefault="004F47BB" w:rsidP="004F47BB">
            <w:pPr>
              <w:tabs>
                <w:tab w:val="decimal" w:pos="454"/>
              </w:tabs>
              <w:overflowPunct w:val="0"/>
              <w:adjustRightInd w:val="0"/>
              <w:spacing w:before="180" w:after="60" w:line="240" w:lineRule="exact"/>
              <w:ind w:left="113" w:right="113"/>
              <w:textAlignment w:val="baseline"/>
              <w:rPr>
                <w:sz w:val="18"/>
                <w:szCs w:val="18"/>
                <w:lang w:val="bg-BG"/>
              </w:rPr>
            </w:pPr>
            <w:r w:rsidRPr="009072DA">
              <w:rPr>
                <w:sz w:val="18"/>
                <w:lang w:val="bg-BG"/>
              </w:rPr>
              <w:t>0,157</w:t>
            </w:r>
          </w:p>
        </w:tc>
        <w:tc>
          <w:tcPr>
            <w:tcW w:w="1247" w:type="dxa"/>
          </w:tcPr>
          <w:p w:rsidR="004F47BB" w:rsidRPr="009072DA" w:rsidRDefault="004F47BB" w:rsidP="004F47BB">
            <w:pPr>
              <w:overflowPunct w:val="0"/>
              <w:adjustRightInd w:val="0"/>
              <w:spacing w:before="180" w:after="60" w:line="240" w:lineRule="exact"/>
              <w:ind w:left="113" w:right="113"/>
              <w:jc w:val="center"/>
              <w:textAlignment w:val="baseline"/>
              <w:rPr>
                <w:sz w:val="18"/>
                <w:szCs w:val="18"/>
                <w:lang w:val="bg-BG"/>
              </w:rPr>
            </w:pPr>
            <w:r w:rsidRPr="009072DA">
              <w:rPr>
                <w:sz w:val="18"/>
                <w:lang w:val="bg-BG"/>
              </w:rPr>
              <w:t>kN/kW</w:t>
            </w:r>
          </w:p>
        </w:tc>
      </w:tr>
      <w:tr w:rsidR="004F47BB" w:rsidRPr="009072DA" w:rsidTr="00D45887">
        <w:trPr>
          <w:jc w:val="center"/>
        </w:trPr>
        <w:tc>
          <w:tcPr>
            <w:tcW w:w="4649" w:type="dxa"/>
          </w:tcPr>
          <w:p w:rsidR="004F47BB" w:rsidRPr="009072DA" w:rsidRDefault="004F47BB" w:rsidP="004F47BB">
            <w:pPr>
              <w:overflowPunct w:val="0"/>
              <w:adjustRightInd w:val="0"/>
              <w:spacing w:before="60" w:after="60" w:line="240" w:lineRule="exact"/>
              <w:ind w:left="113" w:right="113"/>
              <w:textAlignment w:val="baseline"/>
              <w:rPr>
                <w:sz w:val="18"/>
                <w:szCs w:val="18"/>
                <w:lang w:val="bg-BG"/>
              </w:rPr>
            </w:pPr>
            <w:r w:rsidRPr="009072DA">
              <w:rPr>
                <w:sz w:val="18"/>
                <w:lang w:val="bg-BG"/>
              </w:rPr>
              <w:t>Винто-рулеви колони без дюзи</w:t>
            </w:r>
          </w:p>
        </w:tc>
        <w:tc>
          <w:tcPr>
            <w:tcW w:w="1247" w:type="dxa"/>
          </w:tcPr>
          <w:p w:rsidR="004F47BB" w:rsidRPr="009072DA" w:rsidRDefault="004F47BB" w:rsidP="004F47BB">
            <w:pPr>
              <w:tabs>
                <w:tab w:val="decimal" w:pos="454"/>
              </w:tabs>
              <w:overflowPunct w:val="0"/>
              <w:adjustRightInd w:val="0"/>
              <w:spacing w:before="60" w:after="60" w:line="240" w:lineRule="exact"/>
              <w:ind w:left="113" w:right="113"/>
              <w:textAlignment w:val="baseline"/>
              <w:rPr>
                <w:sz w:val="18"/>
                <w:szCs w:val="18"/>
                <w:lang w:val="bg-BG"/>
              </w:rPr>
            </w:pPr>
            <w:r w:rsidRPr="009072DA">
              <w:rPr>
                <w:sz w:val="18"/>
                <w:lang w:val="bg-BG"/>
              </w:rPr>
              <w:t>0,113</w:t>
            </w:r>
          </w:p>
        </w:tc>
        <w:tc>
          <w:tcPr>
            <w:tcW w:w="1247" w:type="dxa"/>
          </w:tcPr>
          <w:p w:rsidR="004F47BB" w:rsidRPr="009072DA" w:rsidRDefault="004F47BB" w:rsidP="004F47BB">
            <w:pPr>
              <w:overflowPunct w:val="0"/>
              <w:adjustRightInd w:val="0"/>
              <w:spacing w:before="60" w:after="60" w:line="240" w:lineRule="exact"/>
              <w:ind w:left="113" w:right="113"/>
              <w:jc w:val="center"/>
              <w:textAlignment w:val="baseline"/>
              <w:rPr>
                <w:sz w:val="18"/>
                <w:szCs w:val="18"/>
                <w:lang w:val="bg-BG"/>
              </w:rPr>
            </w:pPr>
            <w:r w:rsidRPr="009072DA">
              <w:rPr>
                <w:sz w:val="18"/>
                <w:lang w:val="bg-BG"/>
              </w:rPr>
              <w:t>kN/kW</w:t>
            </w:r>
          </w:p>
        </w:tc>
      </w:tr>
    </w:tbl>
    <w:p w:rsidR="004F47BB" w:rsidRPr="009072DA" w:rsidRDefault="004F47BB" w:rsidP="004F47BB">
      <w:pPr>
        <w:tabs>
          <w:tab w:val="left" w:pos="504"/>
          <w:tab w:val="left" w:pos="1344"/>
          <w:tab w:val="left" w:pos="3384"/>
          <w:tab w:val="left" w:pos="6264"/>
          <w:tab w:val="left" w:pos="7416"/>
        </w:tabs>
        <w:overflowPunct w:val="0"/>
        <w:adjustRightInd w:val="0"/>
        <w:spacing w:line="240" w:lineRule="exact"/>
        <w:textAlignment w:val="baseline"/>
        <w:rPr>
          <w:szCs w:val="20"/>
          <w:lang w:val="bg-BG"/>
        </w:rPr>
      </w:pPr>
    </w:p>
    <w:p w:rsidR="004F47BB" w:rsidRPr="009072DA" w:rsidRDefault="004F47BB" w:rsidP="004F47BB">
      <w:pPr>
        <w:tabs>
          <w:tab w:val="left" w:pos="960"/>
          <w:tab w:val="left" w:pos="1344"/>
          <w:tab w:val="left" w:pos="7680"/>
        </w:tabs>
        <w:overflowPunct w:val="0"/>
        <w:adjustRightInd w:val="0"/>
        <w:spacing w:line="240" w:lineRule="exact"/>
        <w:textAlignment w:val="baseline"/>
        <w:rPr>
          <w:szCs w:val="20"/>
          <w:lang w:val="bg-BG"/>
        </w:rPr>
      </w:pPr>
    </w:p>
    <w:p w:rsidR="004F47BB" w:rsidRPr="009072DA" w:rsidRDefault="004F47BB" w:rsidP="004F47BB">
      <w:pPr>
        <w:tabs>
          <w:tab w:val="left" w:pos="960"/>
          <w:tab w:val="left" w:pos="1344"/>
          <w:tab w:val="left" w:pos="7680"/>
        </w:tabs>
        <w:overflowPunct w:val="0"/>
        <w:adjustRightInd w:val="0"/>
        <w:spacing w:line="240" w:lineRule="exact"/>
        <w:textAlignment w:val="baseline"/>
        <w:rPr>
          <w:szCs w:val="20"/>
          <w:lang w:val="bg-BG"/>
        </w:rPr>
      </w:pPr>
    </w:p>
    <w:p w:rsidR="004F47BB" w:rsidRPr="009072DA" w:rsidRDefault="004F47BB" w:rsidP="004F47BB">
      <w:pPr>
        <w:tabs>
          <w:tab w:val="left" w:pos="960"/>
          <w:tab w:val="left" w:pos="1344"/>
          <w:tab w:val="left" w:pos="7680"/>
        </w:tabs>
        <w:overflowPunct w:val="0"/>
        <w:adjustRightInd w:val="0"/>
        <w:spacing w:line="240" w:lineRule="exact"/>
        <w:jc w:val="center"/>
        <w:textAlignment w:val="baseline"/>
        <w:rPr>
          <w:szCs w:val="20"/>
          <w:lang w:val="bg-BG"/>
        </w:rPr>
      </w:pPr>
      <w:r w:rsidRPr="009072DA">
        <w:rPr>
          <w:lang w:val="bg-BG"/>
        </w:rPr>
        <w:br w:type="page"/>
      </w:r>
    </w:p>
    <w:p w:rsidR="004F47BB" w:rsidRPr="009072DA" w:rsidRDefault="004F47BB" w:rsidP="004F47BB">
      <w:pPr>
        <w:tabs>
          <w:tab w:val="left" w:pos="284"/>
        </w:tabs>
        <w:overflowPunct w:val="0"/>
        <w:adjustRightInd w:val="0"/>
        <w:spacing w:line="240" w:lineRule="atLeast"/>
        <w:ind w:left="567"/>
        <w:textAlignment w:val="baseline"/>
        <w:rPr>
          <w:szCs w:val="20"/>
          <w:lang w:val="bg-BG"/>
        </w:rPr>
      </w:pPr>
      <w:r w:rsidRPr="009072DA">
        <w:rPr>
          <w:b/>
          <w:lang w:val="bg-BG"/>
        </w:rPr>
        <w:lastRenderedPageBreak/>
        <w:t xml:space="preserve">Таблица 3: Диаграма относно изчисляването на съпротивлението за определяне на стойността на </w:t>
      </w:r>
      <m:oMath>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T</m:t>
            </m:r>
          </m:sub>
        </m:sSub>
        <m:r>
          <w:rPr>
            <w:rFonts w:ascii="Cambria Math" w:hAnsi="Cambria Math"/>
            <w:lang w:val="bg-BG"/>
          </w:rPr>
          <m:t>/</m:t>
        </m:r>
        <m:sSup>
          <m:sSupPr>
            <m:ctrlPr>
              <w:rPr>
                <w:rFonts w:ascii="Cambria Math" w:hAnsi="Cambria Math"/>
                <w:i/>
                <w:lang w:val="bg-BG"/>
              </w:rPr>
            </m:ctrlPr>
          </m:sSupPr>
          <m:e>
            <m:r>
              <w:rPr>
                <w:rFonts w:ascii="Cambria Math" w:hAnsi="Cambria Math"/>
                <w:lang w:val="bg-BG"/>
              </w:rPr>
              <m:t>v</m:t>
            </m:r>
          </m:e>
          <m:sup>
            <m:r>
              <w:rPr>
                <w:rFonts w:ascii="Cambria Math" w:hAnsi="Cambria Math"/>
                <w:lang w:val="bg-BG"/>
              </w:rPr>
              <m:t>2</m:t>
            </m:r>
          </m:sup>
        </m:sSup>
      </m:oMath>
      <w:r w:rsidRPr="009072DA">
        <w:rPr>
          <w:b/>
          <w:lang w:val="bg-BG"/>
        </w:rPr>
        <w:t xml:space="preserve"> по отношение на </w:t>
      </w:r>
      <m:oMath>
        <m:sSup>
          <m:sSupPr>
            <m:ctrlPr>
              <w:rPr>
                <w:rFonts w:ascii="Cambria Math" w:hAnsi="Cambria Math"/>
                <w:i/>
                <w:lang w:val="bg-BG"/>
              </w:rPr>
            </m:ctrlPr>
          </m:sSupPr>
          <m:e>
            <m:r>
              <w:rPr>
                <w:rFonts w:ascii="Cambria Math" w:hAnsi="Cambria Math"/>
                <w:lang w:val="bg-BG"/>
              </w:rPr>
              <m:t>D</m:t>
            </m:r>
          </m:e>
          <m:sup>
            <m:r>
              <w:rPr>
                <w:rFonts w:ascii="Cambria Math" w:hAnsi="Cambria Math"/>
                <w:lang w:val="bg-BG"/>
              </w:rPr>
              <m:t>1/3</m:t>
            </m:r>
          </m:sup>
        </m:sSup>
        <m:r>
          <w:rPr>
            <w:rFonts w:ascii="Cambria Math" w:hAnsi="Cambria Math"/>
            <w:lang w:val="bg-BG"/>
          </w:rPr>
          <m:t xml:space="preserve"> </m:t>
        </m:r>
        <m:d>
          <m:dPr>
            <m:begChr m:val="["/>
            <m:endChr m:val="]"/>
            <m:ctrlPr>
              <w:rPr>
                <w:rFonts w:ascii="Cambria Math" w:hAnsi="Cambria Math"/>
                <w:i/>
                <w:lang w:val="bg-BG"/>
              </w:rPr>
            </m:ctrlPr>
          </m:dPr>
          <m:e>
            <m:r>
              <w:rPr>
                <w:rFonts w:ascii="Cambria Math" w:hAnsi="Cambria Math"/>
                <w:lang w:val="bg-BG"/>
              </w:rPr>
              <m:t>B+2T</m:t>
            </m:r>
          </m:e>
        </m:d>
      </m:oMath>
      <w:r w:rsidRPr="009072DA">
        <w:rPr>
          <w:b/>
          <w:lang w:val="bg-BG"/>
        </w:rPr>
        <w:t>:</w:t>
      </w:r>
    </w:p>
    <w:p w:rsidR="004F47BB" w:rsidRPr="009072DA" w:rsidRDefault="004F47BB" w:rsidP="004F47BB">
      <w:pPr>
        <w:framePr w:hSpace="141" w:wrap="around" w:vAnchor="text" w:hAnchor="page" w:x="2380" w:y="426"/>
        <w:overflowPunct w:val="0"/>
        <w:adjustRightInd w:val="0"/>
        <w:textAlignment w:val="baseline"/>
        <w:rPr>
          <w:rFonts w:ascii="Times New Roman" w:hAnsi="Times New Roman"/>
          <w:szCs w:val="20"/>
          <w:lang w:val="bg-BG"/>
        </w:rPr>
      </w:pPr>
      <w:r w:rsidRPr="009072DA">
        <w:rPr>
          <w:rFonts w:ascii="Times New Roman" w:hAnsi="Times New Roman"/>
          <w:noProof/>
          <w:szCs w:val="20"/>
          <w:lang w:eastAsia="en-GB"/>
        </w:rPr>
        <w:drawing>
          <wp:inline distT="0" distB="0" distL="0" distR="0" wp14:anchorId="2B47EBA7" wp14:editId="01284129">
            <wp:extent cx="4686300" cy="6819900"/>
            <wp:effectExtent l="0" t="0" r="0" b="0"/>
            <wp:docPr id="300" name="Imag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686300" cy="6819900"/>
                    </a:xfrm>
                    <a:prstGeom prst="rect">
                      <a:avLst/>
                    </a:prstGeom>
                    <a:noFill/>
                    <a:ln>
                      <a:noFill/>
                    </a:ln>
                  </pic:spPr>
                </pic:pic>
              </a:graphicData>
            </a:graphic>
          </wp:inline>
        </w:drawing>
      </w:r>
    </w:p>
    <w:p w:rsidR="004F47BB" w:rsidRPr="009072DA" w:rsidRDefault="002B712C" w:rsidP="004F47BB">
      <w:pPr>
        <w:framePr w:w="628" w:h="391" w:hSpace="141" w:wrap="around" w:vAnchor="text" w:hAnchor="page" w:x="1780" w:y="471"/>
        <w:overflowPunct w:val="0"/>
        <w:adjustRightInd w:val="0"/>
        <w:textAlignment w:val="baseline"/>
        <w:rPr>
          <w:rFonts w:ascii="Times New Roman" w:hAnsi="Times New Roman"/>
          <w:szCs w:val="20"/>
          <w:lang w:val="bg-BG"/>
        </w:rPr>
      </w:pPr>
      <m:oMathPara>
        <m:oMath>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T</m:t>
              </m:r>
            </m:sub>
          </m:sSub>
          <m:r>
            <w:rPr>
              <w:rFonts w:ascii="Cambria Math" w:hAnsi="Cambria Math"/>
              <w:lang w:val="bg-BG"/>
            </w:rPr>
            <m:t>/</m:t>
          </m:r>
          <m:sSup>
            <m:sSupPr>
              <m:ctrlPr>
                <w:rPr>
                  <w:rFonts w:ascii="Cambria Math" w:hAnsi="Cambria Math"/>
                  <w:i/>
                  <w:lang w:val="bg-BG"/>
                </w:rPr>
              </m:ctrlPr>
            </m:sSupPr>
            <m:e>
              <m:r>
                <w:rPr>
                  <w:rFonts w:ascii="Cambria Math" w:hAnsi="Cambria Math"/>
                  <w:lang w:val="bg-BG"/>
                </w:rPr>
                <m:t>v</m:t>
              </m:r>
            </m:e>
            <m:sup>
              <m:r>
                <w:rPr>
                  <w:rFonts w:ascii="Cambria Math" w:hAnsi="Cambria Math"/>
                  <w:lang w:val="bg-BG"/>
                </w:rPr>
                <m:t>2</m:t>
              </m:r>
            </m:sup>
          </m:sSup>
        </m:oMath>
      </m:oMathPara>
    </w:p>
    <w:p w:rsidR="004F47BB" w:rsidRPr="009072DA" w:rsidRDefault="004F47BB" w:rsidP="004F47BB">
      <w:pPr>
        <w:tabs>
          <w:tab w:val="left" w:pos="960"/>
          <w:tab w:val="left" w:pos="1344"/>
          <w:tab w:val="left" w:pos="7680"/>
        </w:tabs>
        <w:overflowPunct w:val="0"/>
        <w:adjustRightInd w:val="0"/>
        <w:spacing w:line="240" w:lineRule="atLeast"/>
        <w:textAlignment w:val="baseline"/>
        <w:rPr>
          <w:szCs w:val="20"/>
          <w:lang w:val="bg-BG"/>
        </w:rPr>
      </w:pPr>
      <w:r w:rsidRPr="009072DA">
        <w:rPr>
          <w:rFonts w:ascii="Times New Roman" w:hAnsi="Times New Roman"/>
          <w:noProof/>
          <w:szCs w:val="20"/>
          <w:lang w:eastAsia="en-GB"/>
        </w:rPr>
        <mc:AlternateContent>
          <mc:Choice Requires="wps">
            <w:drawing>
              <wp:anchor distT="0" distB="0" distL="114300" distR="114300" simplePos="0" relativeHeight="251685888" behindDoc="1" locked="0" layoutInCell="1" allowOverlap="1" wp14:anchorId="00586D0F" wp14:editId="5B5C7D8A">
                <wp:simplePos x="0" y="0"/>
                <wp:positionH relativeFrom="column">
                  <wp:posOffset>-304165</wp:posOffset>
                </wp:positionH>
                <wp:positionV relativeFrom="paragraph">
                  <wp:posOffset>851535</wp:posOffset>
                </wp:positionV>
                <wp:extent cx="1009015" cy="517525"/>
                <wp:effectExtent l="0" t="0" r="0" b="0"/>
                <wp:wrapNone/>
                <wp:docPr id="76"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015" cy="517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D30EF5" w:rsidRDefault="002B712C" w:rsidP="004F47BB">
                            <w:pPr>
                              <w:tabs>
                                <w:tab w:val="left" w:pos="960"/>
                                <w:tab w:val="left" w:pos="1344"/>
                                <w:tab w:val="left" w:pos="7680"/>
                              </w:tabs>
                              <w:overflowPunct w:val="0"/>
                              <w:adjustRightInd w:val="0"/>
                              <w:spacing w:line="240" w:lineRule="atLeast"/>
                              <w:textAlignment w:val="baseline"/>
                            </w:pPr>
                            <m:oMathPara>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r>
                                          <w:rPr>
                                            <w:rFonts w:ascii="Cambria Math" w:hAnsi="Cambria Math"/>
                                            <w:szCs w:val="20"/>
                                          </w:rPr>
                                          <m:t xml:space="preserve"> </m:t>
                                        </m:r>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2" o:spid="_x0000_s1043" type="#_x0000_t202" style="position:absolute;margin-left:-23.95pt;margin-top:67.05pt;width:79.45pt;height:40.7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" stroked="f">
                <v:textbox>
                  <w:txbxContent>
                    <w:p w:rsidR="002B712C" w:rsidRPr="00D30EF5" w:rsidRDefault="002B712C" w:rsidP="004F47BB">
                      <w:pPr>
                        <w:tabs>
                          <w:tab w:val="left" w:pos="960"/>
                          <w:tab w:val="left" w:pos="1344"/>
                          <w:tab w:val="left" w:pos="7680"/>
                        </w:tabs>
                        <w:overflowPunct w:val="0"/>
                        <w:adjustRightInd w:val="0"/>
                        <w:spacing w:line="240" w:lineRule="atLeast"/>
                        <w:textAlignment w:val="baseline"/>
                      </w:pPr>
                      <m:oMathPara>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r>
                                    <w:rPr>
                                      <w:rFonts w:ascii="Cambria Math" w:hAnsi="Cambria Math"/>
                                      <w:szCs w:val="20"/>
                                    </w:rPr>
                                    <m:t xml:space="preserve"> </m:t>
                                  </m:r>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m:oMathPara>
                    </w:p>
                  </w:txbxContent>
                </v:textbox>
              </v:shape>
            </w:pict>
          </mc:Fallback>
        </mc:AlternateContent>
      </w:r>
    </w:p>
    <w:p w:rsidR="004F47BB" w:rsidRPr="009072DA" w:rsidRDefault="004F47BB" w:rsidP="004F47BB">
      <w:pPr>
        <w:tabs>
          <w:tab w:val="left" w:pos="0"/>
          <w:tab w:val="left" w:pos="8080"/>
        </w:tabs>
        <w:overflowPunct w:val="0"/>
        <w:adjustRightInd w:val="0"/>
        <w:spacing w:line="240" w:lineRule="exact"/>
        <w:textAlignment w:val="baseline"/>
        <w:rPr>
          <w:szCs w:val="20"/>
          <w:lang w:val="bg-BG"/>
        </w:rPr>
      </w:pPr>
      <w:r w:rsidRPr="009072DA">
        <w:rPr>
          <w:lang w:val="bg-BG"/>
        </w:rPr>
        <w:tab/>
      </w:r>
    </w:p>
    <w:p w:rsidR="004F47BB" w:rsidRPr="009072DA" w:rsidRDefault="004F47BB" w:rsidP="004F47BB">
      <w:pPr>
        <w:tabs>
          <w:tab w:val="left" w:pos="0"/>
          <w:tab w:val="left" w:pos="6946"/>
        </w:tabs>
        <w:overflowPunct w:val="0"/>
        <w:adjustRightInd w:val="0"/>
        <w:spacing w:line="240" w:lineRule="exact"/>
        <w:textAlignment w:val="baseline"/>
        <w:rPr>
          <w:szCs w:val="20"/>
          <w:lang w:val="bg-BG"/>
        </w:rPr>
      </w:pPr>
    </w:p>
    <w:p w:rsidR="004F47BB" w:rsidRPr="009072DA" w:rsidRDefault="004F47BB" w:rsidP="004F47BB">
      <w:pPr>
        <w:tabs>
          <w:tab w:val="left" w:pos="0"/>
          <w:tab w:val="left" w:pos="6946"/>
        </w:tabs>
        <w:overflowPunct w:val="0"/>
        <w:adjustRightInd w:val="0"/>
        <w:spacing w:line="240" w:lineRule="exact"/>
        <w:textAlignment w:val="baseline"/>
        <w:rPr>
          <w:szCs w:val="20"/>
          <w:lang w:val="bg-BG"/>
        </w:rPr>
      </w:pPr>
      <w:r w:rsidRPr="009072DA">
        <w:rPr>
          <w:lang w:val="bg-BG"/>
        </w:rPr>
        <w:lastRenderedPageBreak/>
        <w:tab/>
      </w:r>
      <m:oMath>
        <m:sSup>
          <m:sSupPr>
            <m:ctrlPr>
              <w:rPr>
                <w:rFonts w:ascii="Cambria Math" w:hAnsi="Cambria Math"/>
                <w:i/>
                <w:lang w:val="bg-BG"/>
              </w:rPr>
            </m:ctrlPr>
          </m:sSupPr>
          <m:e>
            <m:r>
              <w:rPr>
                <w:rFonts w:ascii="Cambria Math" w:hAnsi="Cambria Math"/>
                <w:lang w:val="bg-BG"/>
              </w:rPr>
              <m:t>D</m:t>
            </m:r>
          </m:e>
          <m:sup>
            <m:r>
              <w:rPr>
                <w:rFonts w:ascii="Cambria Math" w:hAnsi="Cambria Math"/>
                <w:lang w:val="bg-BG"/>
              </w:rPr>
              <m:t>1/3</m:t>
            </m:r>
          </m:sup>
        </m:sSup>
        <m:r>
          <w:rPr>
            <w:rFonts w:ascii="Cambria Math" w:hAnsi="Cambria Math"/>
            <w:lang w:val="bg-BG"/>
          </w:rPr>
          <m:t xml:space="preserve"> </m:t>
        </m:r>
        <m:d>
          <m:dPr>
            <m:begChr m:val="["/>
            <m:endChr m:val="]"/>
            <m:ctrlPr>
              <w:rPr>
                <w:rFonts w:ascii="Cambria Math" w:hAnsi="Cambria Math"/>
                <w:i/>
                <w:lang w:val="bg-BG"/>
              </w:rPr>
            </m:ctrlPr>
          </m:dPr>
          <m:e>
            <m:r>
              <w:rPr>
                <w:rFonts w:ascii="Cambria Math" w:hAnsi="Cambria Math"/>
                <w:lang w:val="bg-BG"/>
              </w:rPr>
              <m:t>B+2T</m:t>
            </m:r>
          </m:e>
        </m:d>
      </m:oMath>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sectPr w:rsidR="004F47BB" w:rsidRPr="009072DA" w:rsidSect="00D45887">
          <w:headerReference w:type="default" r:id="rId124"/>
          <w:headerReference w:type="first" r:id="rId125"/>
          <w:footerReference w:type="first" r:id="rId126"/>
          <w:pgSz w:w="11907" w:h="16840" w:code="9"/>
          <w:pgMar w:top="1418" w:right="1418" w:bottom="1418" w:left="1418" w:header="680" w:footer="680" w:gutter="0"/>
          <w:cols w:space="720"/>
          <w:noEndnote/>
          <w:titlePg/>
        </w:sectPr>
      </w:pPr>
    </w:p>
    <w:p w:rsidR="004F47BB" w:rsidRPr="009072DA" w:rsidRDefault="004F47BB" w:rsidP="004F47BB">
      <w:pPr>
        <w:spacing w:line="240" w:lineRule="atLeast"/>
        <w:ind w:left="567" w:hanging="567"/>
        <w:rPr>
          <w:lang w:val="bg-BG"/>
        </w:rPr>
      </w:pPr>
    </w:p>
    <w:p w:rsidR="004F47BB" w:rsidRPr="009072DA" w:rsidRDefault="004F47BB" w:rsidP="00C859BD">
      <w:pPr>
        <w:pStyle w:val="ES-Titre4"/>
      </w:pPr>
      <w:r w:rsidRPr="009072DA">
        <w:t>Допълнение към приложение 2 към указание ESI-II-3</w:t>
      </w:r>
    </w:p>
    <w:p w:rsidR="004F47BB" w:rsidRPr="009072DA" w:rsidRDefault="004F47BB" w:rsidP="00C859BD">
      <w:pPr>
        <w:pStyle w:val="ES-Titre4a"/>
      </w:pPr>
      <w:r w:rsidRPr="009072DA">
        <w:t xml:space="preserve">Примери за употребата на приложение 2 </w:t>
      </w:r>
      <w:r w:rsidRPr="009072DA">
        <w:br/>
        <w:t>(Оценка на резултатите от маневрата за спиране)</w:t>
      </w:r>
    </w:p>
    <w:p w:rsidR="004F47BB" w:rsidRPr="009072DA" w:rsidRDefault="004F47BB" w:rsidP="004F47BB">
      <w:pPr>
        <w:tabs>
          <w:tab w:val="left" w:pos="960"/>
          <w:tab w:val="left" w:pos="1344"/>
          <w:tab w:val="left" w:pos="7680"/>
        </w:tabs>
        <w:overflowPunct w:val="0"/>
        <w:adjustRightInd w:val="0"/>
        <w:spacing w:line="240" w:lineRule="exact"/>
        <w:jc w:val="center"/>
        <w:textAlignment w:val="baseline"/>
        <w:rPr>
          <w:b/>
          <w:szCs w:val="20"/>
          <w:lang w:val="bg-BG"/>
        </w:rPr>
      </w:pPr>
    </w:p>
    <w:p w:rsidR="004F47BB" w:rsidRPr="009072DA" w:rsidRDefault="004F47BB" w:rsidP="005B46C9">
      <w:pPr>
        <w:pStyle w:val="ES-Titre4prESIexple"/>
      </w:pPr>
      <w:r w:rsidRPr="009072DA">
        <w:t>Пример I</w:t>
      </w:r>
    </w:p>
    <w:p w:rsidR="004F47BB" w:rsidRPr="009072DA" w:rsidRDefault="004F47BB" w:rsidP="004F47BB">
      <w:pPr>
        <w:tabs>
          <w:tab w:val="left" w:pos="960"/>
          <w:tab w:val="left" w:pos="1344"/>
          <w:tab w:val="left" w:pos="7680"/>
        </w:tabs>
        <w:overflowPunct w:val="0"/>
        <w:adjustRightInd w:val="0"/>
        <w:spacing w:line="240" w:lineRule="exact"/>
        <w:textAlignment w:val="baseline"/>
        <w:rPr>
          <w:szCs w:val="20"/>
          <w:lang w:val="bg-BG"/>
        </w:rPr>
      </w:pPr>
    </w:p>
    <w:p w:rsidR="004F47BB" w:rsidRPr="009072DA" w:rsidRDefault="004F47BB" w:rsidP="004F47BB">
      <w:pPr>
        <w:tabs>
          <w:tab w:val="left" w:pos="960"/>
          <w:tab w:val="left" w:pos="1344"/>
          <w:tab w:val="left" w:pos="7680"/>
        </w:tabs>
        <w:overflowPunct w:val="0"/>
        <w:adjustRightInd w:val="0"/>
        <w:spacing w:line="240" w:lineRule="exact"/>
        <w:textAlignment w:val="baseline"/>
        <w:rPr>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1.</w:t>
      </w:r>
      <w:r w:rsidRPr="009072DA">
        <w:rPr>
          <w:lang w:val="bg-BG"/>
        </w:rPr>
        <w:tab/>
      </w:r>
      <w:r w:rsidRPr="009072DA">
        <w:rPr>
          <w:b/>
          <w:color w:val="000000"/>
          <w:lang w:val="bg-BG"/>
        </w:rPr>
        <w:t>Данни за плавателните съдове и състава</w:t>
      </w:r>
    </w:p>
    <w:p w:rsidR="004F47BB" w:rsidRPr="009072DA" w:rsidRDefault="004F47BB" w:rsidP="004F47BB">
      <w:pPr>
        <w:tabs>
          <w:tab w:val="left" w:pos="284"/>
        </w:tabs>
        <w:overflowPunct w:val="0"/>
        <w:adjustRightInd w:val="0"/>
        <w:ind w:left="284" w:hanging="284"/>
        <w:textAlignment w:val="baseline"/>
        <w:rPr>
          <w:szCs w:val="20"/>
          <w:lang w:val="bg-BG"/>
        </w:rPr>
      </w:pPr>
    </w:p>
    <w:p w:rsidR="004F47BB" w:rsidRPr="009072DA" w:rsidRDefault="004F47BB" w:rsidP="004F47BB">
      <w:pPr>
        <w:spacing w:line="240" w:lineRule="atLeast"/>
        <w:ind w:left="567"/>
        <w:rPr>
          <w:lang w:val="bg-BG"/>
        </w:rPr>
      </w:pPr>
      <w:r w:rsidRPr="009072DA">
        <w:rPr>
          <w:lang w:val="bg-BG"/>
        </w:rPr>
        <w:t>Формирование: обикновен моторен плавателен съд с лихтер (Europa IIa), свързани успоредно</w:t>
      </w:r>
    </w:p>
    <w:p w:rsidR="004F47BB" w:rsidRPr="009072DA" w:rsidRDefault="004F47BB" w:rsidP="004F47BB">
      <w:pPr>
        <w:tabs>
          <w:tab w:val="left" w:pos="960"/>
          <w:tab w:val="left" w:pos="1344"/>
          <w:tab w:val="left" w:pos="7680"/>
        </w:tabs>
        <w:overflowPunct w:val="0"/>
        <w:adjustRightInd w:val="0"/>
        <w:spacing w:line="240" w:lineRule="exact"/>
        <w:textAlignment w:val="baseline"/>
        <w:rPr>
          <w:szCs w:val="20"/>
          <w:lang w:val="bg-BG"/>
        </w:rPr>
      </w:pPr>
    </w:p>
    <w:p w:rsidR="004F47BB" w:rsidRPr="009072DA" w:rsidRDefault="004F47BB" w:rsidP="004F47BB">
      <w:pPr>
        <w:overflowPunct w:val="0"/>
        <w:adjustRightInd w:val="0"/>
        <w:textAlignment w:val="baseline"/>
        <w:rPr>
          <w:szCs w:val="20"/>
          <w:lang w:val="bg-BG"/>
        </w:rPr>
      </w:pPr>
    </w:p>
    <w:tbl>
      <w:tblPr>
        <w:tblW w:w="0" w:type="auto"/>
        <w:tblInd w:w="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61"/>
        <w:gridCol w:w="1361"/>
        <w:gridCol w:w="1361"/>
        <w:gridCol w:w="1361"/>
        <w:gridCol w:w="1361"/>
        <w:gridCol w:w="1361"/>
        <w:gridCol w:w="1361"/>
      </w:tblGrid>
      <w:tr w:rsidR="004F47BB" w:rsidRPr="009072DA" w:rsidTr="00D45887">
        <w:tc>
          <w:tcPr>
            <w:tcW w:w="1361" w:type="dxa"/>
          </w:tcPr>
          <w:p w:rsidR="004F47BB" w:rsidRPr="009072DA" w:rsidRDefault="004F47BB" w:rsidP="004F47BB">
            <w:pPr>
              <w:overflowPunct w:val="0"/>
              <w:adjustRightInd w:val="0"/>
              <w:spacing w:before="80" w:after="80"/>
              <w:jc w:val="center"/>
              <w:textAlignment w:val="baseline"/>
              <w:rPr>
                <w:sz w:val="18"/>
                <w:szCs w:val="18"/>
                <w:lang w:val="bg-BG"/>
              </w:rPr>
            </w:pPr>
          </w:p>
        </w:tc>
        <w:tc>
          <w:tcPr>
            <w:tcW w:w="1361" w:type="dxa"/>
          </w:tcPr>
          <w:p w:rsidR="004F47BB" w:rsidRPr="009072DA" w:rsidRDefault="004F47BB" w:rsidP="004F47BB">
            <w:pPr>
              <w:overflowPunct w:val="0"/>
              <w:adjustRightInd w:val="0"/>
              <w:spacing w:before="80" w:after="80"/>
              <w:jc w:val="center"/>
              <w:textAlignment w:val="baseline"/>
              <w:rPr>
                <w:sz w:val="18"/>
                <w:szCs w:val="18"/>
                <w:lang w:val="bg-BG"/>
              </w:rPr>
            </w:pPr>
            <m:oMath>
              <m:r>
                <w:rPr>
                  <w:rFonts w:ascii="Cambria Math" w:hAnsi="Cambria Math"/>
                  <w:sz w:val="18"/>
                  <w:szCs w:val="18"/>
                  <w:lang w:val="bg-BG"/>
                </w:rPr>
                <m:t>L</m:t>
              </m:r>
            </m:oMath>
            <w:r w:rsidRPr="009072DA">
              <w:rPr>
                <w:sz w:val="18"/>
                <w:lang w:val="bg-BG"/>
              </w:rPr>
              <w:t xml:space="preserve"> [m]</w:t>
            </w:r>
          </w:p>
        </w:tc>
        <w:tc>
          <w:tcPr>
            <w:tcW w:w="1361" w:type="dxa"/>
          </w:tcPr>
          <w:p w:rsidR="004F47BB" w:rsidRPr="009072DA" w:rsidRDefault="004F47BB" w:rsidP="004F47BB">
            <w:pPr>
              <w:overflowPunct w:val="0"/>
              <w:adjustRightInd w:val="0"/>
              <w:spacing w:before="80" w:after="80"/>
              <w:jc w:val="center"/>
              <w:textAlignment w:val="baseline"/>
              <w:rPr>
                <w:sz w:val="18"/>
                <w:szCs w:val="18"/>
                <w:lang w:val="bg-BG"/>
              </w:rPr>
            </w:pPr>
            <m:oMath>
              <m:r>
                <w:rPr>
                  <w:rFonts w:ascii="Cambria Math" w:hAnsi="Cambria Math"/>
                  <w:sz w:val="18"/>
                  <w:szCs w:val="18"/>
                  <w:lang w:val="bg-BG"/>
                </w:rPr>
                <m:t>B</m:t>
              </m:r>
            </m:oMath>
            <w:r w:rsidRPr="009072DA">
              <w:rPr>
                <w:sz w:val="18"/>
                <w:lang w:val="bg-BG"/>
              </w:rPr>
              <w:t xml:space="preserve"> [m]</w:t>
            </w:r>
          </w:p>
        </w:tc>
        <w:tc>
          <w:tcPr>
            <w:tcW w:w="1361" w:type="dxa"/>
          </w:tcPr>
          <w:p w:rsidR="004F47BB" w:rsidRPr="009072DA" w:rsidRDefault="004F47BB" w:rsidP="004F47BB">
            <w:pPr>
              <w:overflowPunct w:val="0"/>
              <w:adjustRightInd w:val="0"/>
              <w:spacing w:before="80" w:after="80"/>
              <w:jc w:val="center"/>
              <w:textAlignment w:val="baseline"/>
              <w:rPr>
                <w:sz w:val="18"/>
                <w:szCs w:val="18"/>
                <w:lang w:val="bg-BG"/>
              </w:rPr>
            </w:pPr>
            <m:oMath>
              <m:r>
                <w:rPr>
                  <w:rFonts w:ascii="Cambria Math" w:hAnsi="Cambria Math"/>
                  <w:sz w:val="18"/>
                  <w:szCs w:val="18"/>
                  <w:lang w:val="bg-BG"/>
                </w:rPr>
                <m:t>T</m:t>
              </m:r>
              <m:r>
                <w:rPr>
                  <w:rFonts w:ascii="Cambria Math" w:hAnsi="Cambria Math"/>
                  <w:position w:val="-6"/>
                  <w:sz w:val="16"/>
                  <w:szCs w:val="18"/>
                  <w:lang w:val="bg-BG"/>
                </w:rPr>
                <m:t>max</m:t>
              </m:r>
            </m:oMath>
            <w:r w:rsidRPr="009072DA">
              <w:rPr>
                <w:sz w:val="18"/>
                <w:lang w:val="bg-BG"/>
              </w:rPr>
              <w:t xml:space="preserve"> [m]</w:t>
            </w:r>
          </w:p>
        </w:tc>
        <w:tc>
          <w:tcPr>
            <w:tcW w:w="1361" w:type="dxa"/>
          </w:tcPr>
          <w:p w:rsidR="004F47BB" w:rsidRPr="009072DA" w:rsidRDefault="004F47BB" w:rsidP="004F47BB">
            <w:pPr>
              <w:overflowPunct w:val="0"/>
              <w:adjustRightInd w:val="0"/>
              <w:spacing w:before="80" w:after="80"/>
              <w:jc w:val="center"/>
              <w:textAlignment w:val="baseline"/>
              <w:rPr>
                <w:sz w:val="18"/>
                <w:szCs w:val="18"/>
                <w:lang w:val="bg-BG"/>
              </w:rPr>
            </w:pPr>
            <m:oMath>
              <m:r>
                <w:rPr>
                  <w:rFonts w:ascii="Cambria Math" w:hAnsi="Cambria Math"/>
                  <w:szCs w:val="20"/>
                  <w:lang w:val="bg-BG"/>
                </w:rPr>
                <m:t>Tgf</m:t>
              </m:r>
              <m:r>
                <w:rPr>
                  <w:rFonts w:ascii="Cambria Math" w:hAnsi="Cambria Math"/>
                  <w:position w:val="6"/>
                  <w:sz w:val="18"/>
                  <w:szCs w:val="18"/>
                  <w:lang w:val="bg-BG"/>
                </w:rPr>
                <m:t>*</m:t>
              </m:r>
              <m:r>
                <w:rPr>
                  <w:rFonts w:ascii="Cambria Math" w:hAnsi="Cambria Math"/>
                  <w:position w:val="-6"/>
                  <w:sz w:val="16"/>
                  <w:szCs w:val="18"/>
                  <w:lang w:val="bg-BG"/>
                </w:rPr>
                <m:t>max</m:t>
              </m:r>
            </m:oMath>
            <w:r w:rsidRPr="009072DA">
              <w:rPr>
                <w:sz w:val="18"/>
                <w:lang w:val="bg-BG"/>
              </w:rPr>
              <w:t xml:space="preserve"> [t]</w:t>
            </w:r>
          </w:p>
        </w:tc>
        <w:tc>
          <w:tcPr>
            <w:tcW w:w="1361" w:type="dxa"/>
          </w:tcPr>
          <w:p w:rsidR="004F47BB" w:rsidRPr="009072DA" w:rsidRDefault="004F47BB" w:rsidP="004F47BB">
            <w:pPr>
              <w:overflowPunct w:val="0"/>
              <w:adjustRightInd w:val="0"/>
              <w:spacing w:before="80" w:after="80"/>
              <w:jc w:val="center"/>
              <w:textAlignment w:val="baseline"/>
              <w:rPr>
                <w:sz w:val="18"/>
                <w:szCs w:val="18"/>
                <w:lang w:val="bg-BG"/>
              </w:rPr>
            </w:pPr>
            <m:oMath>
              <m:r>
                <w:rPr>
                  <w:rFonts w:ascii="Cambria Math" w:hAnsi="Cambria Math"/>
                  <w:sz w:val="18"/>
                  <w:szCs w:val="18"/>
                  <w:lang w:val="bg-BG"/>
                </w:rPr>
                <m:t>D</m:t>
              </m:r>
              <m:r>
                <w:rPr>
                  <w:rFonts w:ascii="Cambria Math" w:hAnsi="Cambria Math"/>
                  <w:position w:val="-6"/>
                  <w:sz w:val="16"/>
                  <w:szCs w:val="18"/>
                  <w:lang w:val="bg-BG"/>
                </w:rPr>
                <m:t>max</m:t>
              </m:r>
            </m:oMath>
            <w:r w:rsidRPr="009072DA">
              <w:rPr>
                <w:sz w:val="18"/>
                <w:lang w:val="bg-BG"/>
              </w:rPr>
              <w:t xml:space="preserve"> [m</w:t>
            </w:r>
            <w:r w:rsidRPr="009072DA">
              <w:rPr>
                <w:position w:val="6"/>
                <w:sz w:val="16"/>
                <w:lang w:val="bg-BG"/>
              </w:rPr>
              <w:t>3</w:t>
            </w:r>
            <w:r w:rsidRPr="009072DA">
              <w:rPr>
                <w:sz w:val="18"/>
                <w:lang w:val="bg-BG"/>
              </w:rPr>
              <w:t>]</w:t>
            </w:r>
          </w:p>
        </w:tc>
        <w:tc>
          <w:tcPr>
            <w:tcW w:w="1361" w:type="dxa"/>
          </w:tcPr>
          <w:p w:rsidR="004F47BB" w:rsidRPr="009072DA" w:rsidRDefault="004F47BB" w:rsidP="004F47BB">
            <w:pPr>
              <w:overflowPunct w:val="0"/>
              <w:adjustRightInd w:val="0"/>
              <w:spacing w:before="80" w:after="80"/>
              <w:jc w:val="center"/>
              <w:textAlignment w:val="baseline"/>
              <w:rPr>
                <w:sz w:val="18"/>
                <w:szCs w:val="18"/>
                <w:lang w:val="bg-BG"/>
              </w:rPr>
            </w:pPr>
            <m:oMath>
              <m:r>
                <w:rPr>
                  <w:rFonts w:ascii="Cambria Math" w:hAnsi="Cambria Math"/>
                  <w:sz w:val="18"/>
                  <w:szCs w:val="18"/>
                  <w:lang w:val="bg-BG"/>
                </w:rPr>
                <m:t>P</m:t>
              </m:r>
              <m:r>
                <w:rPr>
                  <w:rFonts w:ascii="Cambria Math" w:hAnsi="Cambria Math"/>
                  <w:position w:val="-6"/>
                  <w:sz w:val="16"/>
                  <w:szCs w:val="18"/>
                  <w:lang w:val="bg-BG"/>
                </w:rPr>
                <m:t>B</m:t>
              </m:r>
            </m:oMath>
            <w:r w:rsidRPr="009072DA">
              <w:rPr>
                <w:sz w:val="18"/>
                <w:lang w:val="bg-BG"/>
              </w:rPr>
              <w:t xml:space="preserve"> [kW]</w:t>
            </w:r>
          </w:p>
        </w:tc>
      </w:tr>
      <w:tr w:rsidR="004F47BB" w:rsidRPr="009072DA" w:rsidTr="00D45887">
        <w:tc>
          <w:tcPr>
            <w:tcW w:w="1361" w:type="dxa"/>
          </w:tcPr>
          <w:p w:rsidR="004F47BB" w:rsidRPr="009072DA" w:rsidRDefault="004F47BB" w:rsidP="004F47BB">
            <w:pPr>
              <w:overflowPunct w:val="0"/>
              <w:adjustRightInd w:val="0"/>
              <w:spacing w:before="80" w:after="80"/>
              <w:jc w:val="center"/>
              <w:textAlignment w:val="baseline"/>
              <w:rPr>
                <w:sz w:val="18"/>
                <w:szCs w:val="18"/>
                <w:lang w:val="bg-BG"/>
              </w:rPr>
            </w:pPr>
            <w:r w:rsidRPr="009072DA">
              <w:rPr>
                <w:sz w:val="18"/>
                <w:lang w:val="bg-BG"/>
              </w:rPr>
              <w:t>Моторен плавателен съд</w:t>
            </w:r>
          </w:p>
        </w:tc>
        <w:tc>
          <w:tcPr>
            <w:tcW w:w="1361" w:type="dxa"/>
          </w:tcPr>
          <w:p w:rsidR="004F47BB" w:rsidRPr="009072DA" w:rsidRDefault="004F47BB" w:rsidP="004F47BB">
            <w:pPr>
              <w:tabs>
                <w:tab w:val="decimal" w:pos="709"/>
              </w:tabs>
              <w:overflowPunct w:val="0"/>
              <w:adjustRightInd w:val="0"/>
              <w:spacing w:before="80" w:after="80"/>
              <w:ind w:left="113" w:right="113"/>
              <w:textAlignment w:val="baseline"/>
              <w:rPr>
                <w:sz w:val="18"/>
                <w:szCs w:val="18"/>
                <w:lang w:val="bg-BG"/>
              </w:rPr>
            </w:pPr>
            <w:r w:rsidRPr="009072DA">
              <w:rPr>
                <w:sz w:val="18"/>
                <w:lang w:val="bg-BG"/>
              </w:rPr>
              <w:t>110</w:t>
            </w:r>
          </w:p>
        </w:tc>
        <w:tc>
          <w:tcPr>
            <w:tcW w:w="1361" w:type="dxa"/>
          </w:tcPr>
          <w:p w:rsidR="004F47BB" w:rsidRPr="009072DA" w:rsidRDefault="004F47BB" w:rsidP="004F47BB">
            <w:pPr>
              <w:tabs>
                <w:tab w:val="decimal" w:pos="708"/>
              </w:tabs>
              <w:overflowPunct w:val="0"/>
              <w:adjustRightInd w:val="0"/>
              <w:spacing w:before="80" w:after="80"/>
              <w:ind w:left="113" w:right="113"/>
              <w:textAlignment w:val="baseline"/>
              <w:rPr>
                <w:sz w:val="18"/>
                <w:szCs w:val="18"/>
                <w:lang w:val="bg-BG"/>
              </w:rPr>
            </w:pPr>
            <w:r w:rsidRPr="009072DA">
              <w:rPr>
                <w:sz w:val="18"/>
                <w:lang w:val="bg-BG"/>
              </w:rPr>
              <w:t>11,4</w:t>
            </w:r>
          </w:p>
        </w:tc>
        <w:tc>
          <w:tcPr>
            <w:tcW w:w="1361" w:type="dxa"/>
          </w:tcPr>
          <w:p w:rsidR="004F47BB" w:rsidRPr="009072DA" w:rsidRDefault="004F47BB" w:rsidP="004F47BB">
            <w:pPr>
              <w:tabs>
                <w:tab w:val="decimal" w:pos="737"/>
              </w:tabs>
              <w:overflowPunct w:val="0"/>
              <w:adjustRightInd w:val="0"/>
              <w:spacing w:before="80" w:after="80"/>
              <w:ind w:left="113" w:right="113"/>
              <w:textAlignment w:val="baseline"/>
              <w:rPr>
                <w:sz w:val="18"/>
                <w:szCs w:val="18"/>
                <w:lang w:val="bg-BG"/>
              </w:rPr>
            </w:pPr>
            <w:r w:rsidRPr="009072DA">
              <w:rPr>
                <w:sz w:val="18"/>
                <w:lang w:val="bg-BG"/>
              </w:rPr>
              <w:t>3,5</w:t>
            </w:r>
          </w:p>
        </w:tc>
        <w:tc>
          <w:tcPr>
            <w:tcW w:w="1361" w:type="dxa"/>
          </w:tcPr>
          <w:p w:rsidR="004F47BB" w:rsidRPr="009072DA" w:rsidRDefault="004F47BB" w:rsidP="004F47BB">
            <w:pPr>
              <w:tabs>
                <w:tab w:val="decimal" w:pos="849"/>
              </w:tabs>
              <w:overflowPunct w:val="0"/>
              <w:adjustRightInd w:val="0"/>
              <w:spacing w:before="80" w:after="80"/>
              <w:ind w:left="113" w:right="113"/>
              <w:textAlignment w:val="baseline"/>
              <w:rPr>
                <w:sz w:val="18"/>
                <w:szCs w:val="18"/>
                <w:lang w:val="bg-BG"/>
              </w:rPr>
            </w:pPr>
            <w:r w:rsidRPr="009072DA">
              <w:rPr>
                <w:sz w:val="18"/>
                <w:lang w:val="bg-BG"/>
              </w:rPr>
              <w:t>2900</w:t>
            </w:r>
          </w:p>
        </w:tc>
        <w:tc>
          <w:tcPr>
            <w:tcW w:w="1361" w:type="dxa"/>
          </w:tcPr>
          <w:p w:rsidR="004F47BB" w:rsidRPr="009072DA" w:rsidRDefault="004F47BB" w:rsidP="004F47BB">
            <w:pPr>
              <w:tabs>
                <w:tab w:val="decimal" w:pos="990"/>
              </w:tabs>
              <w:overflowPunct w:val="0"/>
              <w:adjustRightInd w:val="0"/>
              <w:spacing w:before="80" w:after="80"/>
              <w:ind w:left="113" w:right="113"/>
              <w:textAlignment w:val="baseline"/>
              <w:rPr>
                <w:sz w:val="18"/>
                <w:szCs w:val="18"/>
                <w:lang w:val="bg-BG"/>
              </w:rPr>
            </w:pPr>
            <w:r w:rsidRPr="009072DA">
              <w:rPr>
                <w:sz w:val="18"/>
                <w:lang w:val="bg-BG"/>
              </w:rPr>
              <w:t>3731</w:t>
            </w:r>
          </w:p>
        </w:tc>
        <w:tc>
          <w:tcPr>
            <w:tcW w:w="1361" w:type="dxa"/>
          </w:tcPr>
          <w:p w:rsidR="004F47BB" w:rsidRPr="009072DA" w:rsidRDefault="004F47BB" w:rsidP="004F47BB">
            <w:pPr>
              <w:tabs>
                <w:tab w:val="decimal" w:pos="848"/>
              </w:tabs>
              <w:overflowPunct w:val="0"/>
              <w:adjustRightInd w:val="0"/>
              <w:spacing w:before="80" w:after="80"/>
              <w:ind w:left="113" w:right="113"/>
              <w:textAlignment w:val="baseline"/>
              <w:rPr>
                <w:sz w:val="18"/>
                <w:szCs w:val="18"/>
                <w:lang w:val="bg-BG"/>
              </w:rPr>
            </w:pPr>
            <w:r w:rsidRPr="009072DA">
              <w:rPr>
                <w:sz w:val="18"/>
                <w:lang w:val="bg-BG"/>
              </w:rPr>
              <w:t>1500</w:t>
            </w:r>
          </w:p>
        </w:tc>
      </w:tr>
      <w:tr w:rsidR="004F47BB" w:rsidRPr="009072DA" w:rsidTr="00D45887">
        <w:tc>
          <w:tcPr>
            <w:tcW w:w="1361" w:type="dxa"/>
          </w:tcPr>
          <w:p w:rsidR="004F47BB" w:rsidRPr="009072DA" w:rsidRDefault="004F47BB" w:rsidP="004F47BB">
            <w:pPr>
              <w:overflowPunct w:val="0"/>
              <w:adjustRightInd w:val="0"/>
              <w:spacing w:before="80" w:after="80"/>
              <w:jc w:val="center"/>
              <w:textAlignment w:val="baseline"/>
              <w:rPr>
                <w:sz w:val="18"/>
                <w:szCs w:val="18"/>
                <w:lang w:val="bg-BG"/>
              </w:rPr>
            </w:pPr>
            <w:r w:rsidRPr="009072DA">
              <w:rPr>
                <w:sz w:val="18"/>
                <w:lang w:val="bg-BG"/>
              </w:rPr>
              <w:t>Лихтер</w:t>
            </w:r>
          </w:p>
        </w:tc>
        <w:tc>
          <w:tcPr>
            <w:tcW w:w="1361" w:type="dxa"/>
          </w:tcPr>
          <w:p w:rsidR="004F47BB" w:rsidRPr="009072DA" w:rsidRDefault="004F47BB" w:rsidP="004F47BB">
            <w:pPr>
              <w:tabs>
                <w:tab w:val="decimal" w:pos="709"/>
              </w:tabs>
              <w:overflowPunct w:val="0"/>
              <w:adjustRightInd w:val="0"/>
              <w:spacing w:before="80" w:after="80"/>
              <w:ind w:left="113" w:right="113"/>
              <w:textAlignment w:val="baseline"/>
              <w:rPr>
                <w:sz w:val="18"/>
                <w:szCs w:val="18"/>
                <w:lang w:val="bg-BG"/>
              </w:rPr>
            </w:pPr>
            <w:r w:rsidRPr="009072DA">
              <w:rPr>
                <w:sz w:val="18"/>
                <w:lang w:val="bg-BG"/>
              </w:rPr>
              <w:t>76,5</w:t>
            </w:r>
          </w:p>
        </w:tc>
        <w:tc>
          <w:tcPr>
            <w:tcW w:w="1361" w:type="dxa"/>
          </w:tcPr>
          <w:p w:rsidR="004F47BB" w:rsidRPr="009072DA" w:rsidRDefault="004F47BB" w:rsidP="004F47BB">
            <w:pPr>
              <w:tabs>
                <w:tab w:val="decimal" w:pos="708"/>
              </w:tabs>
              <w:overflowPunct w:val="0"/>
              <w:adjustRightInd w:val="0"/>
              <w:spacing w:before="80" w:after="80"/>
              <w:ind w:left="113" w:right="113"/>
              <w:textAlignment w:val="baseline"/>
              <w:rPr>
                <w:sz w:val="18"/>
                <w:szCs w:val="18"/>
                <w:lang w:val="bg-BG"/>
              </w:rPr>
            </w:pPr>
            <w:r w:rsidRPr="009072DA">
              <w:rPr>
                <w:sz w:val="18"/>
                <w:lang w:val="bg-BG"/>
              </w:rPr>
              <w:t>11,4</w:t>
            </w:r>
          </w:p>
        </w:tc>
        <w:tc>
          <w:tcPr>
            <w:tcW w:w="1361" w:type="dxa"/>
          </w:tcPr>
          <w:p w:rsidR="004F47BB" w:rsidRPr="009072DA" w:rsidRDefault="004F47BB" w:rsidP="004F47BB">
            <w:pPr>
              <w:tabs>
                <w:tab w:val="decimal" w:pos="737"/>
              </w:tabs>
              <w:overflowPunct w:val="0"/>
              <w:adjustRightInd w:val="0"/>
              <w:spacing w:before="80" w:after="80"/>
              <w:ind w:left="113" w:right="113"/>
              <w:textAlignment w:val="baseline"/>
              <w:rPr>
                <w:sz w:val="18"/>
                <w:szCs w:val="18"/>
                <w:lang w:val="bg-BG"/>
              </w:rPr>
            </w:pPr>
            <w:r w:rsidRPr="009072DA">
              <w:rPr>
                <w:sz w:val="18"/>
                <w:lang w:val="bg-BG"/>
              </w:rPr>
              <w:t>3,7</w:t>
            </w:r>
          </w:p>
        </w:tc>
        <w:tc>
          <w:tcPr>
            <w:tcW w:w="1361" w:type="dxa"/>
          </w:tcPr>
          <w:p w:rsidR="004F47BB" w:rsidRPr="009072DA" w:rsidRDefault="004F47BB" w:rsidP="004F47BB">
            <w:pPr>
              <w:tabs>
                <w:tab w:val="decimal" w:pos="849"/>
              </w:tabs>
              <w:overflowPunct w:val="0"/>
              <w:adjustRightInd w:val="0"/>
              <w:spacing w:before="80" w:after="80"/>
              <w:ind w:left="113" w:right="113"/>
              <w:textAlignment w:val="baseline"/>
              <w:rPr>
                <w:sz w:val="18"/>
                <w:szCs w:val="18"/>
                <w:lang w:val="bg-BG"/>
              </w:rPr>
            </w:pPr>
            <w:r w:rsidRPr="009072DA">
              <w:rPr>
                <w:sz w:val="18"/>
                <w:lang w:val="bg-BG"/>
              </w:rPr>
              <w:t>2600</w:t>
            </w:r>
          </w:p>
        </w:tc>
        <w:tc>
          <w:tcPr>
            <w:tcW w:w="1361" w:type="dxa"/>
          </w:tcPr>
          <w:p w:rsidR="004F47BB" w:rsidRPr="009072DA" w:rsidRDefault="004F47BB" w:rsidP="004F47BB">
            <w:pPr>
              <w:tabs>
                <w:tab w:val="decimal" w:pos="990"/>
              </w:tabs>
              <w:overflowPunct w:val="0"/>
              <w:adjustRightInd w:val="0"/>
              <w:spacing w:before="80" w:after="80"/>
              <w:ind w:left="113" w:right="113"/>
              <w:textAlignment w:val="baseline"/>
              <w:rPr>
                <w:sz w:val="18"/>
                <w:szCs w:val="18"/>
                <w:lang w:val="bg-BG"/>
              </w:rPr>
            </w:pPr>
            <w:r w:rsidRPr="009072DA">
              <w:rPr>
                <w:sz w:val="18"/>
                <w:lang w:val="bg-BG"/>
              </w:rPr>
              <w:t>2743</w:t>
            </w:r>
          </w:p>
        </w:tc>
        <w:tc>
          <w:tcPr>
            <w:tcW w:w="1361" w:type="dxa"/>
          </w:tcPr>
          <w:p w:rsidR="004F47BB" w:rsidRPr="009072DA" w:rsidRDefault="004F47BB" w:rsidP="004F47BB">
            <w:pPr>
              <w:tabs>
                <w:tab w:val="decimal" w:pos="198"/>
              </w:tabs>
              <w:overflowPunct w:val="0"/>
              <w:adjustRightInd w:val="0"/>
              <w:spacing w:before="80" w:after="80"/>
              <w:ind w:left="113" w:right="113"/>
              <w:jc w:val="center"/>
              <w:textAlignment w:val="baseline"/>
              <w:rPr>
                <w:sz w:val="18"/>
                <w:szCs w:val="18"/>
                <w:lang w:val="bg-BG"/>
              </w:rPr>
            </w:pPr>
            <w:r w:rsidRPr="009072DA">
              <w:rPr>
                <w:sz w:val="18"/>
                <w:lang w:val="bg-BG"/>
              </w:rPr>
              <w:t>-</w:t>
            </w:r>
          </w:p>
        </w:tc>
      </w:tr>
      <w:tr w:rsidR="004F47BB" w:rsidRPr="009072DA" w:rsidTr="00D45887">
        <w:tc>
          <w:tcPr>
            <w:tcW w:w="1361" w:type="dxa"/>
          </w:tcPr>
          <w:p w:rsidR="004F47BB" w:rsidRPr="009072DA" w:rsidRDefault="004F47BB" w:rsidP="004F47BB">
            <w:pPr>
              <w:overflowPunct w:val="0"/>
              <w:adjustRightInd w:val="0"/>
              <w:spacing w:before="80" w:after="80"/>
              <w:jc w:val="center"/>
              <w:textAlignment w:val="baseline"/>
              <w:rPr>
                <w:sz w:val="18"/>
                <w:szCs w:val="18"/>
                <w:lang w:val="bg-BG"/>
              </w:rPr>
            </w:pPr>
            <w:r w:rsidRPr="009072DA">
              <w:rPr>
                <w:sz w:val="18"/>
                <w:lang w:val="bg-BG"/>
              </w:rPr>
              <w:t>Състав</w:t>
            </w:r>
          </w:p>
        </w:tc>
        <w:tc>
          <w:tcPr>
            <w:tcW w:w="1361" w:type="dxa"/>
          </w:tcPr>
          <w:p w:rsidR="004F47BB" w:rsidRPr="009072DA" w:rsidRDefault="004F47BB" w:rsidP="004F47BB">
            <w:pPr>
              <w:tabs>
                <w:tab w:val="decimal" w:pos="709"/>
              </w:tabs>
              <w:overflowPunct w:val="0"/>
              <w:adjustRightInd w:val="0"/>
              <w:spacing w:before="80" w:after="80"/>
              <w:ind w:left="113" w:right="113"/>
              <w:textAlignment w:val="baseline"/>
              <w:rPr>
                <w:sz w:val="18"/>
                <w:szCs w:val="18"/>
                <w:lang w:val="bg-BG"/>
              </w:rPr>
            </w:pPr>
            <w:r w:rsidRPr="009072DA">
              <w:rPr>
                <w:sz w:val="18"/>
                <w:lang w:val="bg-BG"/>
              </w:rPr>
              <w:t>110</w:t>
            </w:r>
          </w:p>
        </w:tc>
        <w:tc>
          <w:tcPr>
            <w:tcW w:w="1361" w:type="dxa"/>
          </w:tcPr>
          <w:p w:rsidR="004F47BB" w:rsidRPr="009072DA" w:rsidRDefault="004F47BB" w:rsidP="004F47BB">
            <w:pPr>
              <w:tabs>
                <w:tab w:val="decimal" w:pos="708"/>
              </w:tabs>
              <w:overflowPunct w:val="0"/>
              <w:adjustRightInd w:val="0"/>
              <w:spacing w:before="80" w:after="80"/>
              <w:ind w:left="113" w:right="113"/>
              <w:textAlignment w:val="baseline"/>
              <w:rPr>
                <w:sz w:val="18"/>
                <w:szCs w:val="18"/>
                <w:lang w:val="bg-BG"/>
              </w:rPr>
            </w:pPr>
            <w:r w:rsidRPr="009072DA">
              <w:rPr>
                <w:sz w:val="18"/>
                <w:lang w:val="bg-BG"/>
              </w:rPr>
              <w:t>22,8</w:t>
            </w:r>
          </w:p>
        </w:tc>
        <w:tc>
          <w:tcPr>
            <w:tcW w:w="1361" w:type="dxa"/>
          </w:tcPr>
          <w:p w:rsidR="004F47BB" w:rsidRPr="009072DA" w:rsidRDefault="004F47BB" w:rsidP="004F47BB">
            <w:pPr>
              <w:tabs>
                <w:tab w:val="decimal" w:pos="737"/>
              </w:tabs>
              <w:overflowPunct w:val="0"/>
              <w:adjustRightInd w:val="0"/>
              <w:spacing w:before="80" w:after="80"/>
              <w:ind w:left="113" w:right="113"/>
              <w:textAlignment w:val="baseline"/>
              <w:rPr>
                <w:sz w:val="18"/>
                <w:szCs w:val="18"/>
                <w:lang w:val="bg-BG"/>
              </w:rPr>
            </w:pPr>
            <w:r w:rsidRPr="009072DA">
              <w:rPr>
                <w:sz w:val="18"/>
                <w:lang w:val="bg-BG"/>
              </w:rPr>
              <w:t>3,7</w:t>
            </w:r>
          </w:p>
        </w:tc>
        <w:tc>
          <w:tcPr>
            <w:tcW w:w="1361" w:type="dxa"/>
          </w:tcPr>
          <w:p w:rsidR="004F47BB" w:rsidRPr="009072DA" w:rsidRDefault="004F47BB" w:rsidP="004F47BB">
            <w:pPr>
              <w:tabs>
                <w:tab w:val="decimal" w:pos="849"/>
              </w:tabs>
              <w:overflowPunct w:val="0"/>
              <w:adjustRightInd w:val="0"/>
              <w:spacing w:before="80" w:after="80"/>
              <w:ind w:left="113" w:right="113"/>
              <w:textAlignment w:val="baseline"/>
              <w:rPr>
                <w:sz w:val="18"/>
                <w:szCs w:val="18"/>
                <w:lang w:val="bg-BG"/>
              </w:rPr>
            </w:pPr>
            <w:r w:rsidRPr="009072DA">
              <w:rPr>
                <w:sz w:val="18"/>
                <w:lang w:val="bg-BG"/>
              </w:rPr>
              <w:t>5500</w:t>
            </w:r>
          </w:p>
        </w:tc>
        <w:tc>
          <w:tcPr>
            <w:tcW w:w="1361" w:type="dxa"/>
          </w:tcPr>
          <w:p w:rsidR="004F47BB" w:rsidRPr="009072DA" w:rsidRDefault="004F47BB" w:rsidP="004F47BB">
            <w:pPr>
              <w:tabs>
                <w:tab w:val="decimal" w:pos="990"/>
              </w:tabs>
              <w:overflowPunct w:val="0"/>
              <w:adjustRightInd w:val="0"/>
              <w:spacing w:before="80" w:after="80"/>
              <w:ind w:left="113" w:right="113"/>
              <w:textAlignment w:val="baseline"/>
              <w:rPr>
                <w:sz w:val="18"/>
                <w:szCs w:val="18"/>
                <w:lang w:val="bg-BG"/>
              </w:rPr>
            </w:pPr>
            <w:r w:rsidRPr="009072DA">
              <w:rPr>
                <w:sz w:val="18"/>
                <w:lang w:val="bg-BG"/>
              </w:rPr>
              <w:t>6474</w:t>
            </w:r>
          </w:p>
        </w:tc>
        <w:tc>
          <w:tcPr>
            <w:tcW w:w="1361" w:type="dxa"/>
          </w:tcPr>
          <w:p w:rsidR="004F47BB" w:rsidRPr="009072DA" w:rsidRDefault="004F47BB" w:rsidP="004F47BB">
            <w:pPr>
              <w:tabs>
                <w:tab w:val="decimal" w:pos="848"/>
              </w:tabs>
              <w:overflowPunct w:val="0"/>
              <w:adjustRightInd w:val="0"/>
              <w:spacing w:before="80" w:after="80"/>
              <w:ind w:left="113" w:right="113"/>
              <w:textAlignment w:val="baseline"/>
              <w:rPr>
                <w:sz w:val="18"/>
                <w:szCs w:val="18"/>
                <w:lang w:val="bg-BG"/>
              </w:rPr>
            </w:pPr>
            <w:r w:rsidRPr="009072DA">
              <w:rPr>
                <w:sz w:val="18"/>
                <w:lang w:val="bg-BG"/>
              </w:rPr>
              <w:t>1500</w:t>
            </w:r>
          </w:p>
        </w:tc>
      </w:tr>
    </w:tbl>
    <w:p w:rsidR="004F47BB" w:rsidRPr="009072DA" w:rsidRDefault="004F47BB" w:rsidP="004F47BB">
      <w:pPr>
        <w:overflowPunct w:val="0"/>
        <w:adjustRightInd w:val="0"/>
        <w:textAlignment w:val="baseline"/>
        <w:rPr>
          <w:szCs w:val="20"/>
          <w:lang w:val="bg-BG"/>
        </w:rPr>
      </w:pPr>
    </w:p>
    <w:p w:rsidR="004F47BB" w:rsidRPr="009072DA" w:rsidRDefault="004F47BB" w:rsidP="004F47BB">
      <w:pPr>
        <w:tabs>
          <w:tab w:val="left" w:pos="960"/>
          <w:tab w:val="left" w:pos="1344"/>
          <w:tab w:val="left" w:pos="7680"/>
        </w:tabs>
        <w:overflowPunct w:val="0"/>
        <w:adjustRightInd w:val="0"/>
        <w:spacing w:line="240" w:lineRule="exact"/>
        <w:textAlignment w:val="baseline"/>
        <w:rPr>
          <w:szCs w:val="20"/>
          <w:lang w:val="bg-BG"/>
        </w:rPr>
      </w:pPr>
    </w:p>
    <w:p w:rsidR="004F47BB" w:rsidRPr="009072DA" w:rsidRDefault="004F47BB" w:rsidP="004F47BB">
      <w:pPr>
        <w:tabs>
          <w:tab w:val="left" w:pos="960"/>
          <w:tab w:val="left" w:pos="1344"/>
          <w:tab w:val="left" w:pos="7680"/>
        </w:tabs>
        <w:overflowPunct w:val="0"/>
        <w:adjustRightInd w:val="0"/>
        <w:spacing w:line="240" w:lineRule="exact"/>
        <w:ind w:left="567" w:hanging="567"/>
        <w:textAlignment w:val="baseline"/>
        <w:rPr>
          <w:szCs w:val="20"/>
          <w:lang w:val="bg-BG"/>
        </w:rPr>
      </w:pPr>
      <w:r w:rsidRPr="009072DA">
        <w:rPr>
          <w:lang w:val="bg-BG"/>
        </w:rPr>
        <w:tab/>
        <w:t>Задвижваща система на моторния плавателен съд: Съвременни дюзи със заоблен заден ръб</w:t>
      </w:r>
    </w:p>
    <w:p w:rsidR="004F47BB" w:rsidRPr="009072DA" w:rsidRDefault="004F47BB" w:rsidP="004F47BB">
      <w:pPr>
        <w:tabs>
          <w:tab w:val="left" w:pos="960"/>
          <w:tab w:val="left" w:pos="1344"/>
          <w:tab w:val="left" w:pos="7680"/>
        </w:tabs>
        <w:overflowPunct w:val="0"/>
        <w:adjustRightInd w:val="0"/>
        <w:spacing w:line="240" w:lineRule="exact"/>
        <w:ind w:left="567" w:hanging="567"/>
        <w:textAlignment w:val="baseline"/>
        <w:rPr>
          <w:szCs w:val="20"/>
          <w:lang w:val="bg-BG"/>
        </w:rPr>
      </w:pPr>
    </w:p>
    <w:p w:rsidR="004F47BB" w:rsidRPr="009072DA" w:rsidRDefault="004F47BB" w:rsidP="004F47BB">
      <w:pPr>
        <w:tabs>
          <w:tab w:val="left" w:pos="960"/>
          <w:tab w:val="left" w:pos="1344"/>
          <w:tab w:val="left" w:pos="7680"/>
        </w:tabs>
        <w:overflowPunct w:val="0"/>
        <w:adjustRightInd w:val="0"/>
        <w:spacing w:line="240" w:lineRule="exact"/>
        <w:ind w:left="567" w:hanging="567"/>
        <w:textAlignment w:val="baseline"/>
        <w:rPr>
          <w:szCs w:val="20"/>
          <w:lang w:val="bg-BG"/>
        </w:rPr>
      </w:pPr>
      <w:r w:rsidRPr="009072DA">
        <w:rPr>
          <w:lang w:val="bg-BG"/>
        </w:rPr>
        <w:tab/>
        <w:t xml:space="preserve">* </w:t>
      </w:r>
      <m:oMath>
        <m:r>
          <w:rPr>
            <w:rFonts w:ascii="Cambria Math" w:hAnsi="Cambria Math"/>
            <w:szCs w:val="20"/>
            <w:lang w:val="bg-BG"/>
          </w:rPr>
          <m:t>Tgf</m:t>
        </m:r>
      </m:oMath>
      <w:r w:rsidRPr="009072DA">
        <w:rPr>
          <w:lang w:val="bg-BG"/>
        </w:rPr>
        <w:t xml:space="preserve"> = товароподемност.</w:t>
      </w:r>
    </w:p>
    <w:p w:rsidR="004F47BB" w:rsidRPr="009072DA" w:rsidRDefault="004F47BB" w:rsidP="004F47BB">
      <w:pPr>
        <w:tabs>
          <w:tab w:val="left" w:pos="960"/>
          <w:tab w:val="left" w:pos="1344"/>
          <w:tab w:val="left" w:pos="7680"/>
        </w:tabs>
        <w:overflowPunct w:val="0"/>
        <w:adjustRightInd w:val="0"/>
        <w:spacing w:line="240" w:lineRule="exact"/>
        <w:textAlignment w:val="baseline"/>
        <w:rPr>
          <w:szCs w:val="20"/>
          <w:lang w:val="bg-BG"/>
        </w:rPr>
      </w:pPr>
    </w:p>
    <w:p w:rsidR="004F47BB" w:rsidRPr="009072DA" w:rsidRDefault="004F47BB" w:rsidP="004F47BB">
      <w:pPr>
        <w:tabs>
          <w:tab w:val="left" w:pos="960"/>
          <w:tab w:val="left" w:pos="1344"/>
          <w:tab w:val="left" w:pos="7680"/>
        </w:tabs>
        <w:overflowPunct w:val="0"/>
        <w:adjustRightInd w:val="0"/>
        <w:spacing w:line="240" w:lineRule="exact"/>
        <w:textAlignment w:val="baseline"/>
        <w:rPr>
          <w:szCs w:val="20"/>
          <w:lang w:val="bg-BG"/>
        </w:rPr>
      </w:pPr>
    </w:p>
    <w:p w:rsidR="004F47BB" w:rsidRPr="009072DA" w:rsidRDefault="004F47BB" w:rsidP="004F47BB">
      <w:pPr>
        <w:tabs>
          <w:tab w:val="left" w:pos="960"/>
          <w:tab w:val="left" w:pos="1344"/>
          <w:tab w:val="left" w:pos="7680"/>
        </w:tabs>
        <w:overflowPunct w:val="0"/>
        <w:adjustRightInd w:val="0"/>
        <w:spacing w:line="240" w:lineRule="exact"/>
        <w:textAlignment w:val="baseline"/>
        <w:rPr>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w:t>
      </w:r>
      <w:r w:rsidRPr="009072DA">
        <w:rPr>
          <w:lang w:val="bg-BG"/>
        </w:rPr>
        <w:tab/>
      </w:r>
      <w:r w:rsidRPr="009072DA">
        <w:rPr>
          <w:b/>
          <w:color w:val="000000"/>
          <w:lang w:val="bg-BG"/>
        </w:rPr>
        <w:t>Измерени стойности по време на маневрата за спиране</w:t>
      </w:r>
    </w:p>
    <w:p w:rsidR="004F47BB" w:rsidRPr="009072DA" w:rsidRDefault="004F47BB" w:rsidP="004F47BB">
      <w:pPr>
        <w:overflowPunct w:val="0"/>
        <w:adjustRightInd w:val="0"/>
        <w:ind w:left="567" w:hanging="567"/>
        <w:textAlignment w:val="baseline"/>
        <w:rPr>
          <w:szCs w:val="20"/>
          <w:lang w:val="bg-BG"/>
        </w:rPr>
      </w:pPr>
    </w:p>
    <w:p w:rsidR="004F47BB" w:rsidRPr="009072DA" w:rsidRDefault="004F47BB" w:rsidP="004F47BB">
      <w:pPr>
        <w:overflowPunct w:val="0"/>
        <w:adjustRightInd w:val="0"/>
        <w:ind w:left="567" w:hanging="567"/>
        <w:textAlignment w:val="baseline"/>
        <w:rPr>
          <w:szCs w:val="20"/>
          <w:lang w:val="bg-BG"/>
        </w:rPr>
      </w:pPr>
    </w:p>
    <w:p w:rsidR="004F47BB" w:rsidRPr="009072DA"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bg-BG"/>
        </w:rPr>
      </w:pPr>
      <w:r w:rsidRPr="009072DA">
        <w:rPr>
          <w:lang w:val="bg-BG"/>
        </w:rPr>
        <w:lastRenderedPageBreak/>
        <w:tab/>
        <w:t>Скорост на течението:</w:t>
      </w:r>
      <w:r w:rsidRPr="009072DA">
        <w:rPr>
          <w:lang w:val="bg-BG"/>
        </w:rPr>
        <w:tab/>
      </w:r>
      <m:oMath>
        <m:sSub>
          <m:sSubPr>
            <m:ctrlPr>
              <w:rPr>
                <w:rFonts w:ascii="Cambria Math" w:hAnsi="Cambria Math"/>
                <w:i/>
                <w:szCs w:val="20"/>
                <w:lang w:val="bg-BG"/>
              </w:rPr>
            </m:ctrlPr>
          </m:sSubPr>
          <m:e>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STR</m:t>
                </m:r>
              </m:sub>
            </m:sSub>
          </m:e>
          <m:sub>
            <m:r>
              <w:rPr>
                <w:rFonts w:ascii="Cambria Math" w:hAnsi="Cambria Math"/>
                <w:szCs w:val="20"/>
                <w:lang w:val="bg-BG"/>
              </w:rPr>
              <m:t>IST</m:t>
            </m:r>
          </m:sub>
        </m:sSub>
      </m:oMath>
      <w:r w:rsidRPr="009072DA">
        <w:rPr>
          <w:lang w:val="bg-BG"/>
        </w:rPr>
        <w:tab/>
        <w:t>=</w:t>
      </w:r>
      <w:r w:rsidRPr="009072DA">
        <w:rPr>
          <w:lang w:val="bg-BG"/>
        </w:rPr>
        <w:tab/>
        <w:t>1,4 m/s</w:t>
      </w:r>
      <w:r w:rsidRPr="009072DA">
        <w:rPr>
          <w:lang w:val="bg-BG"/>
        </w:rPr>
        <w:tab/>
      </w:r>
      <w:r w:rsidRPr="009072DA">
        <w:rPr>
          <w:szCs w:val="20"/>
          <w:lang w:val="bg-BG"/>
        </w:rPr>
        <w:sym w:font="Symbol" w:char="F0BB"/>
      </w:r>
      <w:r w:rsidRPr="009072DA">
        <w:rPr>
          <w:lang w:val="bg-BG"/>
        </w:rPr>
        <w:t xml:space="preserve"> 5,1 km/h</w:t>
      </w:r>
    </w:p>
    <w:p w:rsidR="004F47BB" w:rsidRPr="009072DA" w:rsidRDefault="004F47BB" w:rsidP="004F47BB">
      <w:pPr>
        <w:tabs>
          <w:tab w:val="left" w:pos="5387"/>
          <w:tab w:val="left" w:pos="6379"/>
          <w:tab w:val="left" w:pos="6663"/>
          <w:tab w:val="left" w:pos="7513"/>
        </w:tabs>
        <w:overflowPunct w:val="0"/>
        <w:adjustRightInd w:val="0"/>
        <w:spacing w:line="240" w:lineRule="exact"/>
        <w:ind w:left="567" w:hanging="567"/>
        <w:textAlignment w:val="baseline"/>
        <w:rPr>
          <w:szCs w:val="20"/>
          <w:lang w:val="bg-BG"/>
        </w:rPr>
      </w:pPr>
    </w:p>
    <w:p w:rsidR="004F47BB" w:rsidRPr="009072DA"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bg-BG"/>
        </w:rPr>
      </w:pPr>
      <w:r w:rsidRPr="009072DA">
        <w:rPr>
          <w:lang w:val="bg-BG"/>
        </w:rPr>
        <w:tab/>
        <w:t xml:space="preserve">Скорост на плавателния съд (спрямо водата): </w:t>
      </w:r>
      <w:r w:rsidRPr="009072DA">
        <w:rPr>
          <w:lang w:val="bg-BG"/>
        </w:rPr>
        <w:tab/>
      </w:r>
      <m:oMath>
        <m:sSub>
          <m:sSubPr>
            <m:ctrlPr>
              <w:rPr>
                <w:rFonts w:ascii="Cambria Math" w:hAnsi="Cambria Math"/>
                <w:i/>
                <w:szCs w:val="20"/>
                <w:lang w:val="bg-BG"/>
              </w:rPr>
            </m:ctrlPr>
          </m:sSubPr>
          <m:e>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S</m:t>
                </m:r>
              </m:sub>
            </m:sSub>
          </m:e>
          <m:sub>
            <m:r>
              <w:rPr>
                <w:rFonts w:ascii="Cambria Math" w:hAnsi="Cambria Math"/>
                <w:szCs w:val="20"/>
                <w:lang w:val="bg-BG"/>
              </w:rPr>
              <m:t>IST</m:t>
            </m:r>
          </m:sub>
        </m:sSub>
      </m:oMath>
      <w:r w:rsidRPr="009072DA">
        <w:rPr>
          <w:lang w:val="bg-BG"/>
        </w:rPr>
        <w:tab/>
        <w:t>=</w:t>
      </w:r>
      <w:r w:rsidRPr="009072DA">
        <w:rPr>
          <w:lang w:val="bg-BG"/>
        </w:rPr>
        <w:tab/>
        <w:t>3,5 m/s</w:t>
      </w:r>
      <w:r w:rsidRPr="009072DA">
        <w:rPr>
          <w:lang w:val="bg-BG"/>
        </w:rPr>
        <w:tab/>
      </w:r>
      <w:r w:rsidRPr="009072DA">
        <w:rPr>
          <w:szCs w:val="20"/>
          <w:lang w:val="bg-BG"/>
        </w:rPr>
        <w:sym w:font="Symbol" w:char="F0BB"/>
      </w:r>
      <w:r w:rsidRPr="009072DA">
        <w:rPr>
          <w:lang w:val="bg-BG"/>
        </w:rPr>
        <w:t xml:space="preserve"> 12,5 km/h</w:t>
      </w:r>
    </w:p>
    <w:p w:rsidR="004F47BB" w:rsidRPr="009072DA"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bg-BG"/>
        </w:rPr>
      </w:pPr>
    </w:p>
    <w:p w:rsidR="004F47BB" w:rsidRPr="009072DA"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bg-BG"/>
        </w:rPr>
      </w:pPr>
      <w:r w:rsidRPr="009072DA">
        <w:rPr>
          <w:lang w:val="bg-BG"/>
        </w:rPr>
        <w:tab/>
        <w:t>Скорост на съда (спрямо брега):</w:t>
      </w:r>
      <w:r w:rsidRPr="009072DA">
        <w:rPr>
          <w:lang w:val="bg-BG"/>
        </w:rPr>
        <w:tab/>
      </w:r>
      <m:oMath>
        <m:sSub>
          <m:sSubPr>
            <m:ctrlPr>
              <w:rPr>
                <w:rFonts w:ascii="Cambria Math" w:hAnsi="Cambria Math"/>
                <w:i/>
                <w:szCs w:val="20"/>
                <w:lang w:val="bg-BG"/>
              </w:rPr>
            </m:ctrlPr>
          </m:sSubPr>
          <m:e>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L</m:t>
                </m:r>
              </m:sub>
            </m:sSub>
          </m:e>
          <m:sub>
            <m:r>
              <w:rPr>
                <w:rFonts w:ascii="Cambria Math" w:hAnsi="Cambria Math"/>
                <w:szCs w:val="20"/>
                <w:lang w:val="bg-BG"/>
              </w:rPr>
              <m:t>IST</m:t>
            </m:r>
          </m:sub>
        </m:sSub>
      </m:oMath>
      <w:r w:rsidRPr="009072DA">
        <w:rPr>
          <w:lang w:val="bg-BG"/>
        </w:rPr>
        <w:t xml:space="preserve"> </w:t>
      </w:r>
      <w:r w:rsidRPr="009072DA">
        <w:rPr>
          <w:lang w:val="bg-BG"/>
        </w:rPr>
        <w:tab/>
        <w:t>=</w:t>
      </w:r>
      <w:r w:rsidRPr="009072DA">
        <w:rPr>
          <w:lang w:val="bg-BG"/>
        </w:rPr>
        <w:tab/>
        <w:t>4,9 m/s</w:t>
      </w:r>
      <w:r w:rsidRPr="009072DA">
        <w:rPr>
          <w:lang w:val="bg-BG"/>
        </w:rPr>
        <w:tab/>
      </w:r>
      <w:r w:rsidRPr="009072DA">
        <w:rPr>
          <w:szCs w:val="20"/>
          <w:lang w:val="bg-BG"/>
        </w:rPr>
        <w:sym w:font="Symbol" w:char="F0BB"/>
      </w:r>
      <w:r w:rsidRPr="009072DA">
        <w:rPr>
          <w:lang w:val="bg-BG"/>
        </w:rPr>
        <w:t xml:space="preserve"> 17,6 km/h</w:t>
      </w:r>
    </w:p>
    <w:p w:rsidR="004F47BB" w:rsidRPr="009072DA"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bg-BG"/>
        </w:rPr>
      </w:pPr>
    </w:p>
    <w:p w:rsidR="004F47BB" w:rsidRPr="009072DA"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bg-BG"/>
        </w:rPr>
      </w:pPr>
      <w:r w:rsidRPr="009072DA">
        <w:rPr>
          <w:lang w:val="bg-BG"/>
        </w:rPr>
        <w:tab/>
        <w:t xml:space="preserve">Време на заден ход (измерено) (точка </w:t>
      </w:r>
      <m:oMath>
        <m:r>
          <w:rPr>
            <w:rFonts w:ascii="Cambria Math" w:hAnsi="Cambria Math"/>
            <w:szCs w:val="20"/>
            <w:lang w:val="bg-BG"/>
          </w:rPr>
          <m:t>A</m:t>
        </m:r>
      </m:oMath>
      <w:r w:rsidRPr="009072DA">
        <w:rPr>
          <w:lang w:val="bg-BG"/>
        </w:rPr>
        <w:t xml:space="preserve"> до </w:t>
      </w:r>
      <m:oMath>
        <m:r>
          <w:rPr>
            <w:rFonts w:ascii="Cambria Math" w:hAnsi="Cambria Math"/>
            <w:szCs w:val="20"/>
            <w:lang w:val="bg-BG"/>
          </w:rPr>
          <m:t>C</m:t>
        </m:r>
      </m:oMath>
      <w:r w:rsidRPr="009072DA">
        <w:rPr>
          <w:lang w:val="bg-BG"/>
        </w:rPr>
        <w:t>):</w:t>
      </w:r>
      <w:r w:rsidRPr="009072DA">
        <w:rPr>
          <w:lang w:val="bg-BG"/>
        </w:rPr>
        <w:tab/>
      </w:r>
      <m:oMath>
        <m:r>
          <w:rPr>
            <w:rFonts w:ascii="Cambria Math" w:hAnsi="Cambria Math"/>
            <w:szCs w:val="20"/>
            <w:lang w:val="bg-BG"/>
          </w:rPr>
          <m:t>t</m:t>
        </m:r>
        <m:r>
          <w:rPr>
            <w:rFonts w:ascii="Cambria Math" w:hAnsi="Cambria Math"/>
            <w:position w:val="-6"/>
            <w:sz w:val="16"/>
            <w:szCs w:val="20"/>
            <w:lang w:val="bg-BG"/>
          </w:rPr>
          <m:t>I</m:t>
        </m:r>
      </m:oMath>
      <w:r w:rsidRPr="009072DA">
        <w:rPr>
          <w:lang w:val="bg-BG"/>
        </w:rPr>
        <w:t xml:space="preserve"> </w:t>
      </w:r>
      <w:r w:rsidRPr="009072DA">
        <w:rPr>
          <w:lang w:val="bg-BG"/>
        </w:rPr>
        <w:tab/>
        <w:t>=</w:t>
      </w:r>
      <w:r w:rsidRPr="009072DA">
        <w:rPr>
          <w:lang w:val="bg-BG"/>
        </w:rPr>
        <w:tab/>
        <w:t>16 s</w:t>
      </w:r>
    </w:p>
    <w:p w:rsidR="004F47BB" w:rsidRPr="009072DA" w:rsidRDefault="004F47BB" w:rsidP="004F47BB">
      <w:pPr>
        <w:tabs>
          <w:tab w:val="left" w:pos="5387"/>
          <w:tab w:val="left" w:pos="6379"/>
          <w:tab w:val="left" w:pos="6663"/>
          <w:tab w:val="left" w:pos="7513"/>
        </w:tabs>
        <w:overflowPunct w:val="0"/>
        <w:adjustRightInd w:val="0"/>
        <w:ind w:left="567" w:hanging="567"/>
        <w:textAlignment w:val="baseline"/>
        <w:rPr>
          <w:szCs w:val="20"/>
          <w:lang w:val="bg-BG"/>
        </w:rPr>
      </w:pPr>
    </w:p>
    <w:p w:rsidR="004F47BB" w:rsidRPr="009072DA" w:rsidRDefault="004F47BB" w:rsidP="004F47BB">
      <w:pPr>
        <w:tabs>
          <w:tab w:val="left" w:pos="5529"/>
          <w:tab w:val="left" w:pos="6521"/>
          <w:tab w:val="left" w:pos="6804"/>
          <w:tab w:val="left" w:pos="8364"/>
        </w:tabs>
        <w:overflowPunct w:val="0"/>
        <w:adjustRightInd w:val="0"/>
        <w:spacing w:line="240" w:lineRule="atLeast"/>
        <w:ind w:left="567" w:hanging="567"/>
        <w:textAlignment w:val="baseline"/>
        <w:rPr>
          <w:szCs w:val="20"/>
          <w:lang w:val="bg-BG"/>
        </w:rPr>
      </w:pPr>
      <w:r w:rsidRPr="009072DA">
        <w:rPr>
          <w:lang w:val="bg-BG"/>
        </w:rPr>
        <w:tab/>
        <w:t xml:space="preserve">Разстояние на спиране спрямо водата (точка </w:t>
      </w:r>
      <m:oMath>
        <m:r>
          <w:rPr>
            <w:rFonts w:ascii="Cambria Math" w:hAnsi="Cambria Math"/>
            <w:szCs w:val="20"/>
            <w:lang w:val="bg-BG"/>
          </w:rPr>
          <m:t>A</m:t>
        </m:r>
      </m:oMath>
      <w:r w:rsidRPr="009072DA">
        <w:rPr>
          <w:lang w:val="bg-BG"/>
        </w:rPr>
        <w:t xml:space="preserve"> до </w:t>
      </w:r>
      <m:oMath>
        <m:r>
          <w:rPr>
            <w:rFonts w:ascii="Cambria Math" w:hAnsi="Cambria Math"/>
            <w:szCs w:val="20"/>
            <w:lang w:val="bg-BG"/>
          </w:rPr>
          <m:t>D</m:t>
        </m:r>
      </m:oMath>
      <w:r w:rsidRPr="009072DA">
        <w:rPr>
          <w:lang w:val="bg-BG"/>
        </w:rPr>
        <w:t>):</w:t>
      </w:r>
      <w:r w:rsidRPr="009072DA">
        <w:rPr>
          <w:lang w:val="bg-BG"/>
        </w:rPr>
        <w:tab/>
      </w:r>
      <m:oMath>
        <m:r>
          <w:rPr>
            <w:rFonts w:ascii="Cambria Math" w:hAnsi="Cambria Math"/>
            <w:szCs w:val="20"/>
            <w:lang w:val="bg-BG"/>
          </w:rPr>
          <m:t>s</m:t>
        </m:r>
        <m:r>
          <w:rPr>
            <w:rFonts w:ascii="Cambria Math" w:hAnsi="Cambria Math"/>
            <w:position w:val="-6"/>
            <w:sz w:val="16"/>
            <w:szCs w:val="20"/>
            <w:lang w:val="bg-BG"/>
          </w:rPr>
          <m:t>MESSUNG</m:t>
        </m:r>
      </m:oMath>
      <w:r w:rsidRPr="009072DA">
        <w:rPr>
          <w:lang w:val="bg-BG"/>
        </w:rPr>
        <w:t xml:space="preserve"> </w:t>
      </w:r>
      <w:r w:rsidRPr="009072DA">
        <w:rPr>
          <w:lang w:val="bg-BG"/>
        </w:rPr>
        <w:tab/>
        <w:t>=</w:t>
      </w:r>
      <w:r w:rsidRPr="009072DA">
        <w:rPr>
          <w:lang w:val="bg-BG"/>
        </w:rPr>
        <w:tab/>
        <w:t>340 m</w:t>
      </w:r>
    </w:p>
    <w:p w:rsidR="004F47BB" w:rsidRPr="009072DA"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bg-BG"/>
        </w:rPr>
      </w:pPr>
    </w:p>
    <w:p w:rsidR="004F47BB" w:rsidRPr="009072DA"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bg-BG"/>
        </w:rPr>
      </w:pPr>
      <w:r w:rsidRPr="009072DA">
        <w:rPr>
          <w:lang w:val="bg-BG"/>
        </w:rPr>
        <w:tab/>
        <w:t>Състояние на натоварване (възможна оценка):</w:t>
      </w:r>
      <w:r w:rsidRPr="009072DA">
        <w:rPr>
          <w:lang w:val="bg-BG"/>
        </w:rPr>
        <w:tab/>
      </w:r>
      <m:oMath>
        <m:r>
          <w:rPr>
            <w:rFonts w:ascii="Cambria Math" w:hAnsi="Cambria Math"/>
            <w:szCs w:val="20"/>
            <w:lang w:val="bg-BG"/>
          </w:rPr>
          <m:t>D</m:t>
        </m:r>
        <m:r>
          <w:rPr>
            <w:rFonts w:ascii="Cambria Math" w:hAnsi="Cambria Math"/>
            <w:position w:val="-6"/>
            <w:sz w:val="16"/>
            <w:szCs w:val="20"/>
            <w:lang w:val="bg-BG"/>
          </w:rPr>
          <m:t>IST</m:t>
        </m:r>
      </m:oMath>
      <w:r w:rsidRPr="009072DA">
        <w:rPr>
          <w:lang w:val="bg-BG"/>
        </w:rPr>
        <w:t xml:space="preserve"> </w:t>
      </w:r>
      <w:r w:rsidRPr="009072DA">
        <w:rPr>
          <w:lang w:val="bg-BG"/>
        </w:rPr>
        <w:tab/>
        <w:t>=</w:t>
      </w:r>
      <w:r w:rsidRPr="009072DA">
        <w:rPr>
          <w:lang w:val="bg-BG"/>
        </w:rPr>
        <w:tab/>
        <w:t>5179 m</w:t>
      </w:r>
      <w:r w:rsidRPr="009072DA">
        <w:rPr>
          <w:position w:val="6"/>
          <w:sz w:val="16"/>
          <w:lang w:val="bg-BG"/>
        </w:rPr>
        <w:t>3</w:t>
      </w:r>
      <w:r w:rsidRPr="009072DA">
        <w:rPr>
          <w:lang w:val="bg-BG"/>
        </w:rPr>
        <w:tab/>
      </w:r>
      <w:r w:rsidRPr="009072DA">
        <w:rPr>
          <w:szCs w:val="20"/>
          <w:lang w:val="bg-BG"/>
        </w:rPr>
        <w:sym w:font="Symbol" w:char="F0BB"/>
      </w:r>
      <w:r w:rsidRPr="009072DA">
        <w:rPr>
          <w:lang w:val="bg-BG"/>
        </w:rPr>
        <w:t xml:space="preserve"> 0,8 </w:t>
      </w:r>
      <m:oMath>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max</m:t>
            </m:r>
          </m:sub>
        </m:sSub>
      </m:oMath>
    </w:p>
    <w:p w:rsidR="004F47BB" w:rsidRPr="009072DA" w:rsidRDefault="004F47BB" w:rsidP="004F47BB">
      <w:pPr>
        <w:tabs>
          <w:tab w:val="left" w:pos="5387"/>
          <w:tab w:val="left" w:pos="6379"/>
          <w:tab w:val="left" w:pos="6663"/>
          <w:tab w:val="left" w:pos="7230"/>
          <w:tab w:val="left" w:pos="7513"/>
        </w:tabs>
        <w:overflowPunct w:val="0"/>
        <w:adjustRightInd w:val="0"/>
        <w:spacing w:line="240" w:lineRule="atLeast"/>
        <w:ind w:left="567" w:hanging="567"/>
        <w:textAlignment w:val="baseline"/>
        <w:rPr>
          <w:szCs w:val="20"/>
          <w:lang w:val="bg-BG"/>
        </w:rPr>
      </w:pPr>
    </w:p>
    <w:p w:rsidR="004F47BB" w:rsidRPr="009072DA"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bg-BG"/>
        </w:rPr>
      </w:pPr>
      <w:r w:rsidRPr="009072DA">
        <w:rPr>
          <w:lang w:val="bg-BG"/>
        </w:rPr>
        <w:tab/>
        <w:t>Действително газене на състава:</w:t>
      </w:r>
      <w:r w:rsidRPr="009072DA">
        <w:rPr>
          <w:lang w:val="bg-BG"/>
        </w:rPr>
        <w:tab/>
      </w:r>
      <m:oMath>
        <m:r>
          <w:rPr>
            <w:rFonts w:ascii="Cambria Math" w:hAnsi="Cambria Math"/>
            <w:szCs w:val="20"/>
            <w:lang w:val="bg-BG"/>
          </w:rPr>
          <m:t>T</m:t>
        </m:r>
        <m:r>
          <w:rPr>
            <w:rFonts w:ascii="Cambria Math" w:hAnsi="Cambria Math"/>
            <w:position w:val="-6"/>
            <w:sz w:val="16"/>
            <w:szCs w:val="20"/>
            <w:lang w:val="bg-BG"/>
          </w:rPr>
          <m:t>IST</m:t>
        </m:r>
      </m:oMath>
      <w:r w:rsidRPr="009072DA">
        <w:rPr>
          <w:lang w:val="bg-BG"/>
        </w:rPr>
        <w:tab/>
        <w:t>=</w:t>
      </w:r>
      <w:r w:rsidRPr="009072DA">
        <w:rPr>
          <w:lang w:val="bg-BG"/>
        </w:rPr>
        <w:tab/>
        <w:t>2,96 m</w:t>
      </w:r>
      <w:r w:rsidRPr="009072DA">
        <w:rPr>
          <w:lang w:val="bg-BG"/>
        </w:rPr>
        <w:tab/>
      </w:r>
      <w:r w:rsidRPr="009072DA">
        <w:rPr>
          <w:szCs w:val="20"/>
          <w:lang w:val="bg-BG"/>
        </w:rPr>
        <w:sym w:font="Symbol" w:char="F0BB"/>
      </w:r>
      <w:r w:rsidRPr="009072DA">
        <w:rPr>
          <w:lang w:val="bg-BG"/>
        </w:rPr>
        <w:t xml:space="preserve"> 0,8 </w:t>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max</m:t>
            </m:r>
          </m:sub>
        </m:sSub>
      </m:oMath>
    </w:p>
    <w:p w:rsidR="004F47BB" w:rsidRPr="009072DA" w:rsidRDefault="004F47BB" w:rsidP="004F47BB">
      <w:pPr>
        <w:overflowPunct w:val="0"/>
        <w:adjustRightInd w:val="0"/>
        <w:spacing w:line="240" w:lineRule="exact"/>
        <w:ind w:left="567" w:hanging="567"/>
        <w:textAlignment w:val="baseline"/>
        <w:rPr>
          <w:szCs w:val="20"/>
          <w:lang w:val="bg-BG"/>
        </w:rPr>
      </w:pPr>
    </w:p>
    <w:p w:rsidR="004F47BB" w:rsidRPr="009072DA" w:rsidRDefault="004F47BB" w:rsidP="004F47BB">
      <w:pPr>
        <w:overflowPunct w:val="0"/>
        <w:adjustRightInd w:val="0"/>
        <w:ind w:left="567" w:hanging="567"/>
        <w:textAlignment w:val="baseline"/>
        <w:rPr>
          <w:szCs w:val="20"/>
          <w:lang w:val="bg-BG"/>
        </w:rPr>
      </w:pPr>
    </w:p>
    <w:p w:rsidR="004F47BB" w:rsidRPr="009072DA" w:rsidRDefault="004F47BB" w:rsidP="004F47BB">
      <w:pPr>
        <w:overflowPunct w:val="0"/>
        <w:adjustRightInd w:val="0"/>
        <w:textAlignment w:val="baseline"/>
        <w:rPr>
          <w:szCs w:val="20"/>
          <w:lang w:val="bg-BG"/>
        </w:rPr>
      </w:pPr>
      <w:r w:rsidRPr="009072DA">
        <w:rPr>
          <w:lang w:val="bg-BG"/>
        </w:rPr>
        <w:br w:type="page"/>
      </w:r>
    </w:p>
    <w:p w:rsidR="004F47BB" w:rsidRPr="009072DA" w:rsidRDefault="004F47BB" w:rsidP="004F47BB">
      <w:pPr>
        <w:spacing w:line="240" w:lineRule="atLeast"/>
        <w:ind w:left="567" w:hanging="567"/>
        <w:rPr>
          <w:rFonts w:cs="Arial"/>
          <w:color w:val="000000"/>
          <w:szCs w:val="20"/>
          <w:lang w:val="bg-BG"/>
        </w:rPr>
      </w:pPr>
      <w:r w:rsidRPr="009072DA">
        <w:rPr>
          <w:b/>
          <w:color w:val="000000"/>
          <w:lang w:val="bg-BG"/>
        </w:rPr>
        <w:lastRenderedPageBreak/>
        <w:t>3.</w:t>
      </w:r>
      <w:r w:rsidRPr="009072DA">
        <w:rPr>
          <w:lang w:val="bg-BG"/>
        </w:rPr>
        <w:tab/>
      </w:r>
      <w:r w:rsidRPr="009072DA">
        <w:rPr>
          <w:b/>
          <w:color w:val="000000"/>
          <w:lang w:val="bg-BG"/>
        </w:rPr>
        <w:t xml:space="preserve">Пределно допустима стойност съгласно точка 2.1, буква a) или б), която да бъде сравнена с </w:t>
      </w:r>
      <m:oMath>
        <m:sSub>
          <m:sSubPr>
            <m:ctrlPr>
              <w:rPr>
                <w:rFonts w:ascii="Cambria Math" w:hAnsi="Cambria Math"/>
                <w:i/>
                <w:lang w:val="bg-BG"/>
              </w:rPr>
            </m:ctrlPr>
          </m:sSubPr>
          <m:e>
            <m:r>
              <m:rPr>
                <m:sty m:val="bi"/>
              </m:rPr>
              <w:rPr>
                <w:rFonts w:ascii="Cambria Math" w:hAnsi="Cambria Math" w:cs="Arial"/>
                <w:color w:val="000000"/>
                <w:szCs w:val="20"/>
                <w:lang w:val="bg-BG"/>
              </w:rPr>
              <m:t>s</m:t>
            </m:r>
          </m:e>
          <m:sub>
            <m:r>
              <m:rPr>
                <m:sty m:val="bi"/>
              </m:rPr>
              <w:rPr>
                <w:rFonts w:ascii="Cambria Math" w:hAnsi="Cambria Math" w:cs="Arial"/>
                <w:color w:val="000000"/>
                <w:szCs w:val="20"/>
                <w:lang w:val="bg-BG"/>
              </w:rPr>
              <m:t>NORM</m:t>
            </m:r>
          </m:sub>
        </m:sSub>
      </m:oMath>
    </w:p>
    <w:p w:rsidR="004F47BB" w:rsidRPr="009072DA" w:rsidRDefault="004F47BB" w:rsidP="004F47BB">
      <w:pPr>
        <w:tabs>
          <w:tab w:val="left" w:pos="567"/>
        </w:tabs>
        <w:overflowPunct w:val="0"/>
        <w:adjustRightInd w:val="0"/>
        <w:ind w:left="284" w:hanging="284"/>
        <w:textAlignment w:val="baseline"/>
        <w:rPr>
          <w:szCs w:val="20"/>
          <w:lang w:val="bg-BG"/>
        </w:rPr>
      </w:pPr>
    </w:p>
    <w:p w:rsidR="004F47BB" w:rsidRPr="009072DA" w:rsidRDefault="004F47BB" w:rsidP="004F47BB">
      <w:pPr>
        <w:overflowPunct w:val="0"/>
        <w:adjustRightInd w:val="0"/>
        <w:spacing w:line="240" w:lineRule="exact"/>
        <w:ind w:left="567"/>
        <w:textAlignment w:val="baseline"/>
        <w:rPr>
          <w:szCs w:val="20"/>
          <w:lang w:val="bg-BG"/>
        </w:rPr>
      </w:pPr>
      <w:r w:rsidRPr="009072DA">
        <w:rPr>
          <w:lang w:val="bg-BG"/>
        </w:rPr>
        <w:t xml:space="preserve">Тъй като </w:t>
      </w:r>
      <m:oMath>
        <m:r>
          <w:rPr>
            <w:rFonts w:ascii="Cambria Math" w:hAnsi="Cambria Math"/>
            <w:szCs w:val="20"/>
            <w:lang w:val="bg-BG"/>
          </w:rPr>
          <m:t>B &gt; 11,45 m</m:t>
        </m:r>
      </m:oMath>
      <w:r w:rsidRPr="009072DA">
        <w:rPr>
          <w:lang w:val="bg-BG"/>
        </w:rPr>
        <w:t xml:space="preserve"> и тъй като съставът е в течаща вода, за този състав е приложимо следното по точка 2.1, буква a):</w:t>
      </w:r>
    </w:p>
    <w:p w:rsidR="004F47BB" w:rsidRPr="009072DA" w:rsidRDefault="004F47BB" w:rsidP="004F47BB">
      <w:pPr>
        <w:tabs>
          <w:tab w:val="left" w:pos="567"/>
        </w:tabs>
        <w:overflowPunct w:val="0"/>
        <w:adjustRightInd w:val="0"/>
        <w:ind w:left="284" w:hanging="284"/>
        <w:textAlignment w:val="baseline"/>
        <w:rPr>
          <w:szCs w:val="20"/>
          <w:lang w:val="bg-BG"/>
        </w:rPr>
      </w:pPr>
    </w:p>
    <w:p w:rsidR="004F47BB" w:rsidRPr="009072DA" w:rsidRDefault="004F47BB" w:rsidP="004F47BB">
      <w:pPr>
        <w:tabs>
          <w:tab w:val="left" w:pos="567"/>
          <w:tab w:val="left" w:pos="3402"/>
        </w:tabs>
        <w:overflowPunct w:val="0"/>
        <w:adjustRightInd w:val="0"/>
        <w:spacing w:line="240" w:lineRule="atLeast"/>
        <w:ind w:left="567"/>
        <w:textAlignment w:val="baseline"/>
        <w:rPr>
          <w:szCs w:val="20"/>
          <w:lang w:val="bg-BG"/>
        </w:rPr>
      </w:pPr>
      <m:oMathPara>
        <m:oMath>
          <m:r>
            <w:rPr>
              <w:rFonts w:ascii="Cambria Math" w:hAnsi="Cambria Math"/>
              <w:szCs w:val="20"/>
              <w:lang w:val="bg-BG"/>
            </w:rPr>
            <m:t>s</m:t>
          </m:r>
          <m:r>
            <w:rPr>
              <w:rFonts w:ascii="Cambria Math" w:hAnsi="Cambria Math"/>
              <w:position w:val="-6"/>
              <w:sz w:val="16"/>
              <w:szCs w:val="20"/>
              <w:lang w:val="bg-BG"/>
            </w:rPr>
            <m:t>NORM</m:t>
          </m:r>
          <m:r>
            <w:rPr>
              <w:rFonts w:ascii="Cambria Math" w:hAnsi="Cambria Math"/>
              <w:szCs w:val="20"/>
              <w:lang w:val="bg-BG"/>
            </w:rPr>
            <m:t xml:space="preserve">  </m:t>
          </m:r>
          <m:r>
            <w:rPr>
              <w:rFonts w:ascii="Cambria Math" w:hAnsi="Cambria Math"/>
              <w:i/>
              <w:szCs w:val="20"/>
              <w:lang w:val="bg-BG"/>
            </w:rPr>
            <w:sym w:font="Symbol" w:char="F0A3"/>
          </m:r>
          <m:r>
            <w:rPr>
              <w:rFonts w:ascii="Cambria Math" w:hAnsi="Cambria Math"/>
              <w:szCs w:val="20"/>
              <w:lang w:val="bg-BG"/>
            </w:rPr>
            <m:t xml:space="preserve">  550 m</m:t>
          </m:r>
        </m:oMath>
      </m:oMathPara>
    </w:p>
    <w:p w:rsidR="004F47BB" w:rsidRPr="009072DA" w:rsidRDefault="004F47BB" w:rsidP="004F47BB">
      <w:pPr>
        <w:tabs>
          <w:tab w:val="left" w:pos="454"/>
          <w:tab w:val="left" w:pos="567"/>
        </w:tabs>
        <w:overflowPunct w:val="0"/>
        <w:adjustRightInd w:val="0"/>
        <w:spacing w:line="240" w:lineRule="exact"/>
        <w:ind w:left="284" w:hanging="284"/>
        <w:textAlignment w:val="baseline"/>
        <w:rPr>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4.</w:t>
      </w:r>
      <w:r w:rsidRPr="009072DA">
        <w:rPr>
          <w:lang w:val="bg-BG"/>
        </w:rPr>
        <w:tab/>
      </w:r>
      <w:r w:rsidRPr="009072DA">
        <w:rPr>
          <w:b/>
          <w:color w:val="000000"/>
          <w:lang w:val="bg-BG"/>
        </w:rPr>
        <w:t>Определяне на коригираното разстояние на спиране в сравнение със стандартни условия</w:t>
      </w:r>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567"/>
        </w:tabs>
        <w:overflowPunct w:val="0"/>
        <w:adjustRightInd w:val="0"/>
        <w:spacing w:line="240" w:lineRule="exact"/>
        <w:ind w:left="992"/>
        <w:textAlignment w:val="baseline"/>
        <w:rPr>
          <w:szCs w:val="20"/>
          <w:lang w:val="bg-BG"/>
        </w:rPr>
      </w:pPr>
      <w:r w:rsidRPr="009072DA">
        <w:rPr>
          <w:lang w:val="bg-BG"/>
        </w:rPr>
        <w:t>-</w:t>
      </w:r>
      <w:r w:rsidRPr="009072DA">
        <w:rPr>
          <w:lang w:val="bg-BG"/>
        </w:rPr>
        <w:tab/>
      </w:r>
      <w:r w:rsidRPr="009072DA">
        <w:rPr>
          <w:b/>
          <w:lang w:val="bg-BG"/>
        </w:rPr>
        <w:t>Измерена</w:t>
      </w:r>
      <w:r w:rsidRPr="009072DA">
        <w:rPr>
          <w:lang w:val="bg-BG"/>
        </w:rPr>
        <w:t xml:space="preserve"> стойност съгласно приложение 1 (вж. точка 2):</w:t>
      </w:r>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454"/>
          <w:tab w:val="left" w:pos="3402"/>
        </w:tabs>
        <w:overflowPunct w:val="0"/>
        <w:adjustRightInd w:val="0"/>
        <w:spacing w:line="240" w:lineRule="atLeast"/>
        <w:ind w:left="454" w:hanging="454"/>
        <w:textAlignment w:val="baseline"/>
        <w:rPr>
          <w:szCs w:val="20"/>
          <w:lang w:val="bg-BG"/>
        </w:rPr>
      </w:pPr>
      <w:r w:rsidRPr="009072DA">
        <w:rPr>
          <w:lang w:val="bg-BG"/>
        </w:rPr>
        <w:tab/>
      </w:r>
      <w:r w:rsidRPr="009072DA">
        <w:rPr>
          <w:lang w:val="bg-BG"/>
        </w:rPr>
        <w:tab/>
      </w:r>
      <m:oMath>
        <m:r>
          <w:rPr>
            <w:rFonts w:ascii="Cambria Math" w:hAnsi="Cambria Math"/>
            <w:szCs w:val="20"/>
            <w:lang w:val="bg-BG"/>
          </w:rPr>
          <m:t>s</m:t>
        </m:r>
        <m:r>
          <w:rPr>
            <w:rFonts w:ascii="Cambria Math" w:hAnsi="Cambria Math"/>
            <w:position w:val="-6"/>
            <w:sz w:val="16"/>
            <w:szCs w:val="20"/>
            <w:lang w:val="bg-BG"/>
          </w:rPr>
          <m:t>MESSUNG</m:t>
        </m:r>
        <m:r>
          <w:rPr>
            <w:rFonts w:ascii="Cambria Math" w:hAnsi="Cambria Math"/>
            <w:szCs w:val="20"/>
            <w:lang w:val="bg-BG"/>
          </w:rPr>
          <m:t xml:space="preserve"> = 340 m</m:t>
        </m:r>
      </m:oMath>
    </w:p>
    <w:p w:rsidR="004F47BB" w:rsidRPr="009072DA" w:rsidRDefault="004F47BB" w:rsidP="004F47BB">
      <w:pPr>
        <w:tabs>
          <w:tab w:val="left" w:pos="284"/>
          <w:tab w:val="left" w:pos="567"/>
        </w:tabs>
        <w:overflowPunct w:val="0"/>
        <w:adjustRightInd w:val="0"/>
        <w:spacing w:line="240" w:lineRule="atLeast"/>
        <w:ind w:left="992"/>
        <w:textAlignment w:val="baseline"/>
        <w:rPr>
          <w:b/>
          <w:szCs w:val="20"/>
          <w:lang w:val="bg-BG"/>
        </w:rPr>
      </w:pPr>
      <w:r w:rsidRPr="009072DA">
        <w:rPr>
          <w:b/>
          <w:lang w:val="bg-BG"/>
        </w:rPr>
        <w:t>-</w:t>
      </w:r>
      <w:r w:rsidRPr="009072DA">
        <w:rPr>
          <w:lang w:val="bg-BG"/>
        </w:rPr>
        <w:tab/>
      </w:r>
      <w:r w:rsidRPr="009072DA">
        <w:rPr>
          <w:b/>
          <w:lang w:val="bg-BG"/>
        </w:rPr>
        <w:t>да се изчисли:</w:t>
      </w: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2B712C" w:rsidP="004F47BB">
      <w:pPr>
        <w:tabs>
          <w:tab w:val="left" w:pos="3402"/>
        </w:tabs>
        <w:overflowPunct w:val="0"/>
        <w:adjustRightInd w:val="0"/>
        <w:spacing w:line="240" w:lineRule="exact"/>
        <w:ind w:left="1417"/>
        <w:textAlignment w:val="baseline"/>
        <w:rPr>
          <w:szCs w:val="20"/>
          <w:lang w:val="bg-BG"/>
        </w:rPr>
      </w:pPr>
      <m:oMath>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IST</m:t>
            </m:r>
          </m:sub>
        </m:sSub>
      </m:oMath>
      <w:r w:rsidR="007B1046" w:rsidRPr="009072DA">
        <w:rPr>
          <w:lang w:val="bg-BG"/>
        </w:rPr>
        <w:t xml:space="preserve"> като сбор от</w:t>
      </w:r>
    </w:p>
    <w:p w:rsidR="004F47BB" w:rsidRPr="009072DA" w:rsidRDefault="004F47BB" w:rsidP="004F47BB">
      <w:pPr>
        <w:tabs>
          <w:tab w:val="left" w:pos="567"/>
          <w:tab w:val="left" w:pos="3402"/>
        </w:tabs>
        <w:overflowPunct w:val="0"/>
        <w:adjustRightInd w:val="0"/>
        <w:spacing w:line="240" w:lineRule="exact"/>
        <w:ind w:left="1417"/>
        <w:textAlignment w:val="baseline"/>
        <w:rPr>
          <w:szCs w:val="20"/>
          <w:lang w:val="bg-BG"/>
        </w:rPr>
      </w:pPr>
    </w:p>
    <w:p w:rsidR="004F47BB" w:rsidRPr="009072DA" w:rsidRDefault="002B712C" w:rsidP="004F47BB">
      <w:pPr>
        <w:tabs>
          <w:tab w:val="left" w:pos="3402"/>
        </w:tabs>
        <w:overflowPunct w:val="0"/>
        <w:adjustRightInd w:val="0"/>
        <w:spacing w:line="240" w:lineRule="atLeast"/>
        <w:ind w:left="3402" w:hanging="2410"/>
        <w:textAlignment w:val="baseline"/>
        <w:rPr>
          <w:szCs w:val="20"/>
          <w:lang w:val="bg-BG"/>
        </w:rPr>
      </w:pP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m:t>
                </m:r>
              </m:sub>
            </m:sSub>
          </m:e>
          <m:sub>
            <m:r>
              <w:rPr>
                <w:rFonts w:ascii="Cambria Math" w:hAnsi="Cambria Math"/>
                <w:lang w:val="bg-BG"/>
              </w:rPr>
              <m:t>IST</m:t>
            </m:r>
          </m:sub>
        </m:sSub>
      </m:oMath>
      <w:r w:rsidR="007B1046" w:rsidRPr="009072DA">
        <w:rPr>
          <w:lang w:val="bg-BG"/>
        </w:rPr>
        <w:tab/>
        <w:t xml:space="preserve">(съгласно формула (4.1) от приложение 2 с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v</m:t>
                </m:r>
              </m:e>
              <m:sub>
                <m:r>
                  <w:rPr>
                    <w:rFonts w:ascii="Cambria Math" w:hAnsi="Cambria Math"/>
                    <w:lang w:val="bg-BG"/>
                  </w:rPr>
                  <m:t>L</m:t>
                </m:r>
              </m:sub>
            </m:sSub>
          </m:e>
          <m:sub>
            <m:r>
              <w:rPr>
                <w:rFonts w:ascii="Cambria Math" w:hAnsi="Cambria Math"/>
                <w:lang w:val="bg-BG"/>
              </w:rPr>
              <m:t>IST</m:t>
            </m:r>
          </m:sub>
        </m:sSub>
      </m:oMath>
      <w:r w:rsidR="007B1046" w:rsidRPr="009072DA">
        <w:rPr>
          <w:lang w:val="bg-BG"/>
        </w:rPr>
        <w:t>)</w:t>
      </w:r>
    </w:p>
    <w:p w:rsidR="004F47BB" w:rsidRPr="009072DA" w:rsidRDefault="004F47BB" w:rsidP="004F47BB">
      <w:pPr>
        <w:tabs>
          <w:tab w:val="left" w:pos="567"/>
          <w:tab w:val="left" w:pos="3402"/>
          <w:tab w:val="left" w:pos="3544"/>
        </w:tabs>
        <w:overflowPunct w:val="0"/>
        <w:adjustRightInd w:val="0"/>
        <w:spacing w:line="240" w:lineRule="atLeast"/>
        <w:ind w:left="1417"/>
        <w:textAlignment w:val="baseline"/>
        <w:rPr>
          <w:szCs w:val="20"/>
          <w:lang w:val="bg-BG"/>
        </w:rPr>
      </w:pPr>
    </w:p>
    <w:p w:rsidR="004F47BB" w:rsidRPr="009072DA" w:rsidRDefault="004F47BB" w:rsidP="004F47BB">
      <w:pPr>
        <w:tabs>
          <w:tab w:val="left" w:pos="3402"/>
        </w:tabs>
        <w:overflowPunct w:val="0"/>
        <w:adjustRightInd w:val="0"/>
        <w:spacing w:line="240" w:lineRule="atLeast"/>
        <w:ind w:left="3402" w:hanging="2410"/>
        <w:textAlignment w:val="baseline"/>
        <w:rPr>
          <w:szCs w:val="20"/>
          <w:lang w:val="bg-BG"/>
        </w:rPr>
      </w:pPr>
      <w:r w:rsidRPr="009072DA">
        <w:rPr>
          <w:lang w:val="bg-BG"/>
        </w:rPr>
        <w:t xml:space="preserve">и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II</m:t>
                </m:r>
              </m:sub>
            </m:sSub>
          </m:e>
          <m:sub>
            <m:r>
              <w:rPr>
                <w:rFonts w:ascii="Cambria Math" w:hAnsi="Cambria Math"/>
                <w:lang w:val="bg-BG"/>
              </w:rPr>
              <m:t>IST</m:t>
            </m:r>
          </m:sub>
        </m:sSub>
      </m:oMath>
      <w:r w:rsidRPr="009072DA">
        <w:rPr>
          <w:lang w:val="bg-BG"/>
        </w:rPr>
        <w:tab/>
        <w:t xml:space="preserve">(съгласно формули (4.2), (4.3), (4.4), (4.5) и (4.6) от приложение 2 с действителни скорости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v</m:t>
                </m:r>
              </m:e>
              <m:sub>
                <m:r>
                  <w:rPr>
                    <w:rFonts w:ascii="Cambria Math" w:hAnsi="Cambria Math"/>
                    <w:lang w:val="bg-BG"/>
                  </w:rPr>
                  <m:t>II</m:t>
                </m:r>
              </m:sub>
            </m:sSub>
          </m:e>
          <m:sub>
            <m:r>
              <w:rPr>
                <w:rFonts w:ascii="Cambria Math" w:hAnsi="Cambria Math"/>
                <w:lang w:val="bg-BG"/>
              </w:rPr>
              <m:t>IST</m:t>
            </m:r>
          </m:sub>
        </m:sSub>
      </m:oMath>
      <w:r w:rsidRPr="009072DA">
        <w:rPr>
          <w:lang w:val="bg-BG"/>
        </w:rPr>
        <w:t xml:space="preserve">,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v</m:t>
                </m:r>
              </m:e>
              <m:sub>
                <m:r>
                  <w:rPr>
                    <w:rFonts w:ascii="Cambria Math" w:hAnsi="Cambria Math"/>
                    <w:lang w:val="bg-BG"/>
                  </w:rPr>
                  <m:t>STR</m:t>
                </m:r>
              </m:sub>
            </m:sSub>
          </m:e>
          <m:sub>
            <m:r>
              <w:rPr>
                <w:rFonts w:ascii="Cambria Math" w:hAnsi="Cambria Math"/>
                <w:lang w:val="bg-BG"/>
              </w:rPr>
              <m:t>IST</m:t>
            </m:r>
          </m:sub>
        </m:sSub>
      </m:oMath>
      <w:r w:rsidRPr="009072DA">
        <w:rPr>
          <w:lang w:val="bg-BG"/>
        </w:rPr>
        <w:t xml:space="preserve">, </w:t>
      </w:r>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IST</m:t>
            </m:r>
          </m:sub>
        </m:sSub>
      </m:oMath>
      <w:r w:rsidRPr="009072DA">
        <w:rPr>
          <w:lang w:val="bg-BG"/>
        </w:rPr>
        <w:t>)</w:t>
      </w:r>
    </w:p>
    <w:p w:rsidR="004F47BB" w:rsidRPr="009072DA" w:rsidRDefault="004F47BB" w:rsidP="004F47BB">
      <w:pPr>
        <w:tabs>
          <w:tab w:val="left" w:pos="454"/>
          <w:tab w:val="left" w:pos="3402"/>
        </w:tabs>
        <w:overflowPunct w:val="0"/>
        <w:adjustRightInd w:val="0"/>
        <w:spacing w:line="240" w:lineRule="atLeast"/>
        <w:ind w:left="1417"/>
        <w:textAlignment w:val="baseline"/>
        <w:rPr>
          <w:szCs w:val="20"/>
          <w:lang w:val="bg-BG"/>
        </w:rPr>
      </w:pPr>
    </w:p>
    <w:p w:rsidR="004F47BB" w:rsidRPr="009072DA" w:rsidRDefault="002B712C" w:rsidP="004F47BB">
      <w:pPr>
        <w:tabs>
          <w:tab w:val="left" w:pos="567"/>
          <w:tab w:val="left" w:pos="3402"/>
        </w:tabs>
        <w:overflowPunct w:val="0"/>
        <w:adjustRightInd w:val="0"/>
        <w:spacing w:line="240" w:lineRule="atLeast"/>
        <w:ind w:left="1417"/>
        <w:textAlignment w:val="baseline"/>
        <w:rPr>
          <w:szCs w:val="20"/>
          <w:lang w:val="bg-BG"/>
        </w:rPr>
      </w:pPr>
      <m:oMath>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SOLL</m:t>
            </m:r>
          </m:sub>
        </m:sSub>
      </m:oMath>
      <w:r w:rsidR="007B1046" w:rsidRPr="009072DA">
        <w:rPr>
          <w:lang w:val="bg-BG"/>
        </w:rPr>
        <w:t xml:space="preserve"> като сбор от</w:t>
      </w:r>
    </w:p>
    <w:p w:rsidR="004F47BB" w:rsidRPr="009072DA" w:rsidRDefault="004F47BB" w:rsidP="004F47BB">
      <w:pPr>
        <w:tabs>
          <w:tab w:val="left" w:pos="567"/>
          <w:tab w:val="left" w:pos="3402"/>
        </w:tabs>
        <w:overflowPunct w:val="0"/>
        <w:adjustRightInd w:val="0"/>
        <w:spacing w:line="240" w:lineRule="atLeast"/>
        <w:ind w:left="1417"/>
        <w:textAlignment w:val="baseline"/>
        <w:rPr>
          <w:szCs w:val="20"/>
          <w:lang w:val="bg-BG"/>
        </w:rPr>
      </w:pPr>
    </w:p>
    <w:p w:rsidR="004F47BB" w:rsidRPr="009072DA" w:rsidRDefault="002B712C" w:rsidP="004F47BB">
      <w:pPr>
        <w:tabs>
          <w:tab w:val="left" w:pos="567"/>
          <w:tab w:val="left" w:pos="3402"/>
          <w:tab w:val="left" w:pos="3544"/>
        </w:tabs>
        <w:overflowPunct w:val="0"/>
        <w:adjustRightInd w:val="0"/>
        <w:spacing w:line="240" w:lineRule="atLeast"/>
        <w:ind w:left="1417"/>
        <w:textAlignment w:val="baseline"/>
        <w:rPr>
          <w:szCs w:val="20"/>
          <w:lang w:val="bg-BG"/>
        </w:rPr>
      </w:pP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m:t>
                </m:r>
              </m:sub>
            </m:sSub>
          </m:e>
          <m:sub>
            <m:r>
              <w:rPr>
                <w:rFonts w:ascii="Cambria Math" w:hAnsi="Cambria Math"/>
                <w:lang w:val="bg-BG"/>
              </w:rPr>
              <m:t>SOLL</m:t>
            </m:r>
          </m:sub>
        </m:sSub>
      </m:oMath>
      <w:r w:rsidR="007B1046" w:rsidRPr="009072DA">
        <w:rPr>
          <w:lang w:val="bg-BG"/>
        </w:rPr>
        <w:t xml:space="preserve"> </w:t>
      </w:r>
      <w:r w:rsidR="007B1046" w:rsidRPr="009072DA">
        <w:rPr>
          <w:lang w:val="bg-BG"/>
        </w:rPr>
        <w:tab/>
        <w:t xml:space="preserve">(съгласно формула (4.1) от приложение 2 с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v</m:t>
                </m:r>
              </m:e>
              <m:sub>
                <m:r>
                  <w:rPr>
                    <w:rFonts w:ascii="Cambria Math" w:hAnsi="Cambria Math"/>
                    <w:lang w:val="bg-BG"/>
                  </w:rPr>
                  <m:t>L</m:t>
                </m:r>
              </m:sub>
            </m:sSub>
          </m:e>
          <m:sub>
            <m:r>
              <w:rPr>
                <w:rFonts w:ascii="Cambria Math" w:hAnsi="Cambria Math"/>
                <w:lang w:val="bg-BG"/>
              </w:rPr>
              <m:t>SOLL</m:t>
            </m:r>
          </m:sub>
        </m:sSub>
      </m:oMath>
      <w:r w:rsidR="007B1046" w:rsidRPr="009072DA">
        <w:rPr>
          <w:lang w:val="bg-BG"/>
        </w:rPr>
        <w:t>)</w:t>
      </w:r>
    </w:p>
    <w:p w:rsidR="004F47BB" w:rsidRPr="009072DA" w:rsidRDefault="004F47BB" w:rsidP="004F47BB">
      <w:pPr>
        <w:tabs>
          <w:tab w:val="left" w:pos="567"/>
          <w:tab w:val="left" w:pos="3402"/>
        </w:tabs>
        <w:overflowPunct w:val="0"/>
        <w:adjustRightInd w:val="0"/>
        <w:spacing w:line="240" w:lineRule="atLeast"/>
        <w:ind w:left="1417"/>
        <w:textAlignment w:val="baseline"/>
        <w:rPr>
          <w:szCs w:val="20"/>
          <w:lang w:val="bg-BG"/>
        </w:rPr>
      </w:pPr>
    </w:p>
    <w:p w:rsidR="004F47BB" w:rsidRPr="009072DA" w:rsidRDefault="002B712C" w:rsidP="004F47BB">
      <w:pPr>
        <w:tabs>
          <w:tab w:val="left" w:pos="567"/>
          <w:tab w:val="left" w:pos="3402"/>
          <w:tab w:val="left" w:pos="3544"/>
        </w:tabs>
        <w:overflowPunct w:val="0"/>
        <w:adjustRightInd w:val="0"/>
        <w:spacing w:line="240" w:lineRule="atLeast"/>
        <w:ind w:left="3402" w:hanging="2410"/>
        <w:textAlignment w:val="baseline"/>
        <w:rPr>
          <w:szCs w:val="20"/>
          <w:lang w:val="bg-BG"/>
        </w:rPr>
      </w:pP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II</m:t>
                </m:r>
              </m:sub>
            </m:sSub>
          </m:e>
          <m:sub>
            <m:r>
              <w:rPr>
                <w:rFonts w:ascii="Cambria Math" w:hAnsi="Cambria Math"/>
                <w:lang w:val="bg-BG"/>
              </w:rPr>
              <m:t>SOLL</m:t>
            </m:r>
          </m:sub>
        </m:sSub>
      </m:oMath>
      <w:r w:rsidR="007B1046" w:rsidRPr="009072DA">
        <w:rPr>
          <w:lang w:val="bg-BG"/>
        </w:rPr>
        <w:tab/>
        <w:t xml:space="preserve">(съгласно формули от (4.2) до (4.6) от приложение 2 с еталонните скорости съгласно (2.1) от инструкцията и при условие че състоянието на натоварване е над 70 % от максималното натоварване (≈ 80 %): </w:t>
      </w:r>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SOLL</m:t>
            </m:r>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IST</m:t>
            </m:r>
          </m:sub>
        </m:sSub>
      </m:oMath>
      <w:r w:rsidR="007B1046" w:rsidRPr="009072DA">
        <w:rPr>
          <w:lang w:val="bg-BG"/>
        </w:rPr>
        <w:t xml:space="preserve"> и </w:t>
      </w:r>
      <m:oMath>
        <m:sSub>
          <m:sSubPr>
            <m:ctrlPr>
              <w:rPr>
                <w:rFonts w:ascii="Cambria Math" w:hAnsi="Cambria Math"/>
                <w:i/>
                <w:lang w:val="bg-BG"/>
              </w:rPr>
            </m:ctrlPr>
          </m:sSubPr>
          <m:e>
            <m:r>
              <w:rPr>
                <w:rFonts w:ascii="Cambria Math" w:hAnsi="Cambria Math"/>
                <w:lang w:val="bg-BG"/>
              </w:rPr>
              <m:t>T</m:t>
            </m:r>
          </m:e>
          <m:sub>
            <m:r>
              <w:rPr>
                <w:rFonts w:ascii="Cambria Math" w:hAnsi="Cambria Math"/>
                <w:lang w:val="bg-BG"/>
              </w:rPr>
              <m:t>SOLL</m:t>
            </m:r>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T</m:t>
            </m:r>
          </m:e>
          <m:sub>
            <m:r>
              <w:rPr>
                <w:rFonts w:ascii="Cambria Math" w:hAnsi="Cambria Math"/>
                <w:lang w:val="bg-BG"/>
              </w:rPr>
              <m:t>IST</m:t>
            </m:r>
          </m:sub>
        </m:sSub>
      </m:oMath>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284"/>
        </w:tabs>
        <w:overflowPunct w:val="0"/>
        <w:adjustRightInd w:val="0"/>
        <w:spacing w:line="240" w:lineRule="exact"/>
        <w:ind w:left="992"/>
        <w:textAlignment w:val="baseline"/>
        <w:rPr>
          <w:szCs w:val="20"/>
          <w:lang w:val="bg-BG"/>
        </w:rPr>
      </w:pPr>
      <w:r w:rsidRPr="009072DA">
        <w:rPr>
          <w:lang w:val="bg-BG"/>
        </w:rPr>
        <w:lastRenderedPageBreak/>
        <w:t>-</w:t>
      </w:r>
      <w:r w:rsidRPr="009072DA">
        <w:rPr>
          <w:lang w:val="bg-BG"/>
        </w:rPr>
        <w:tab/>
      </w:r>
      <w:r w:rsidRPr="009072DA">
        <w:rPr>
          <w:b/>
          <w:lang w:val="bg-BG"/>
        </w:rPr>
        <w:t>да се провери:</w:t>
      </w: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2B712C" w:rsidP="004F47BB">
      <w:pPr>
        <w:tabs>
          <w:tab w:val="left" w:pos="454"/>
        </w:tabs>
        <w:overflowPunct w:val="0"/>
        <w:adjustRightInd w:val="0"/>
        <w:spacing w:line="240" w:lineRule="atLeast"/>
        <w:ind w:left="454" w:hanging="454"/>
        <w:textAlignment w:val="baseline"/>
        <w:rPr>
          <w:szCs w:val="20"/>
          <w:lang w:val="bg-BG"/>
        </w:rPr>
      </w:pPr>
      <m:oMathPara>
        <m:oMath>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NORM</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MESSUNG</m:t>
              </m:r>
            </m:sub>
          </m:sSub>
          <m:r>
            <w:rPr>
              <w:rFonts w:ascii="Cambria Math" w:hAnsi="Cambria Math"/>
              <w:szCs w:val="20"/>
              <w:lang w:val="bg-BG"/>
            </w:rPr>
            <m:t xml:space="preserve"> ∙ </m:t>
          </m:r>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SOLL</m:t>
                  </m:r>
                </m:sub>
              </m:sSub>
            </m:num>
            <m:den>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IST</m:t>
                  </m:r>
                </m:sub>
              </m:sSub>
            </m:den>
          </m:f>
          <m:r>
            <w:rPr>
              <w:rFonts w:ascii="Cambria Math" w:hAnsi="Cambria Math"/>
              <w:szCs w:val="20"/>
              <w:lang w:val="bg-BG"/>
            </w:rPr>
            <m:t xml:space="preserve"> ≤550 m</m:t>
          </m:r>
        </m:oMath>
      </m:oMathPara>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lang w:val="bg-BG"/>
        </w:rPr>
        <w:br w:type="page"/>
      </w:r>
      <w:r w:rsidRPr="009072DA">
        <w:rPr>
          <w:b/>
          <w:color w:val="000000"/>
          <w:lang w:val="bg-BG"/>
        </w:rPr>
        <w:lastRenderedPageBreak/>
        <w:t>4.1</w:t>
      </w:r>
      <w:r w:rsidRPr="009072DA">
        <w:rPr>
          <w:lang w:val="bg-BG"/>
        </w:rPr>
        <w:tab/>
      </w:r>
      <w:r w:rsidRPr="009072DA">
        <w:rPr>
          <w:b/>
          <w:color w:val="000000"/>
          <w:lang w:val="bg-BG"/>
        </w:rPr>
        <w:t>Коефициенти за изчислението, взети от приложение 2</w:t>
      </w:r>
    </w:p>
    <w:p w:rsidR="004F47BB" w:rsidRPr="009072DA" w:rsidRDefault="004F47BB" w:rsidP="004F47BB">
      <w:pPr>
        <w:tabs>
          <w:tab w:val="left" w:pos="0"/>
        </w:tabs>
        <w:overflowPunct w:val="0"/>
        <w:adjustRightInd w:val="0"/>
        <w:spacing w:line="240" w:lineRule="exact"/>
        <w:ind w:left="567"/>
        <w:textAlignment w:val="baseline"/>
        <w:rPr>
          <w:szCs w:val="20"/>
          <w:lang w:val="bg-BG"/>
        </w:rPr>
      </w:pPr>
    </w:p>
    <w:p w:rsidR="004F47BB" w:rsidRPr="009072DA" w:rsidRDefault="004F47BB" w:rsidP="004F47BB">
      <w:pPr>
        <w:overflowPunct w:val="0"/>
        <w:adjustRightInd w:val="0"/>
        <w:spacing w:line="240" w:lineRule="exact"/>
        <w:ind w:left="567"/>
        <w:textAlignment w:val="baseline"/>
        <w:rPr>
          <w:szCs w:val="20"/>
          <w:lang w:val="bg-BG"/>
        </w:rPr>
      </w:pPr>
      <w:r w:rsidRPr="009072DA">
        <w:rPr>
          <w:lang w:val="bg-BG"/>
        </w:rPr>
        <w:t>Таблица 1</w:t>
      </w:r>
    </w:p>
    <w:p w:rsidR="004F47BB" w:rsidRPr="009072DA" w:rsidRDefault="004F47BB" w:rsidP="004F47BB">
      <w:pPr>
        <w:tabs>
          <w:tab w:val="left" w:pos="0"/>
        </w:tabs>
        <w:overflowPunct w:val="0"/>
        <w:adjustRightInd w:val="0"/>
        <w:spacing w:line="240" w:lineRule="exact"/>
        <w:ind w:left="567"/>
        <w:textAlignment w:val="baseline"/>
        <w:rPr>
          <w:szCs w:val="20"/>
          <w:lang w:val="bg-BG"/>
        </w:rPr>
      </w:pPr>
    </w:p>
    <w:p w:rsidR="004F47BB" w:rsidRPr="009072DA" w:rsidRDefault="004F47BB" w:rsidP="004F47BB">
      <w:pPr>
        <w:tabs>
          <w:tab w:val="left" w:pos="2694"/>
          <w:tab w:val="left" w:pos="3119"/>
          <w:tab w:val="left" w:pos="3544"/>
        </w:tabs>
        <w:overflowPunct w:val="0"/>
        <w:adjustRightInd w:val="0"/>
        <w:spacing w:line="240" w:lineRule="atLeast"/>
        <w:ind w:left="567"/>
        <w:textAlignment w:val="baseline"/>
        <w:rPr>
          <w:szCs w:val="20"/>
          <w:lang w:val="bg-BG"/>
        </w:rPr>
      </w:pPr>
      <w:r w:rsidRPr="009072DA">
        <w:rPr>
          <w:lang w:val="bg-BG"/>
        </w:rPr>
        <w:t xml:space="preserve">за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m:t>
                </m:r>
              </m:sub>
            </m:sSub>
          </m:e>
          <m:sub>
            <m:r>
              <w:rPr>
                <w:rFonts w:ascii="Cambria Math" w:hAnsi="Cambria Math"/>
                <w:lang w:val="bg-BG"/>
              </w:rPr>
              <m:t>IST</m:t>
            </m:r>
          </m:sub>
        </m:sSub>
      </m:oMath>
      <w:r w:rsidRPr="009072DA">
        <w:rPr>
          <w:lang w:val="bg-BG"/>
        </w:rPr>
        <w:t xml:space="preserve"> и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m:t>
                </m:r>
              </m:sub>
            </m:sSub>
          </m:e>
          <m:sub>
            <m:r>
              <w:rPr>
                <w:rFonts w:ascii="Cambria Math" w:hAnsi="Cambria Math"/>
                <w:lang w:val="bg-BG"/>
              </w:rPr>
              <m:t>SOLL</m:t>
            </m:r>
          </m:sub>
        </m:sSub>
      </m:oMath>
      <w:r w:rsidRPr="009072DA">
        <w:rPr>
          <w:lang w:val="bg-BG"/>
        </w:rPr>
        <w:t xml:space="preserve"> </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1</m:t>
            </m:r>
          </m:sub>
        </m:sSub>
        <m:r>
          <w:rPr>
            <w:rFonts w:ascii="Cambria Math" w:hAnsi="Cambria Math"/>
            <w:szCs w:val="20"/>
            <w:lang w:val="bg-BG"/>
          </w:rPr>
          <m:t xml:space="preserve"> </m:t>
        </m:r>
      </m:oMath>
      <w:r w:rsidRPr="009072DA">
        <w:rPr>
          <w:lang w:val="bg-BG"/>
        </w:rPr>
        <w:tab/>
        <w:t>=</w:t>
      </w:r>
      <w:r w:rsidRPr="009072DA">
        <w:rPr>
          <w:lang w:val="bg-BG"/>
        </w:rPr>
        <w:tab/>
        <w:t>0,95</w:t>
      </w:r>
    </w:p>
    <w:p w:rsidR="004F47BB" w:rsidRPr="009072DA" w:rsidRDefault="004F47BB" w:rsidP="004F47BB">
      <w:pPr>
        <w:overflowPunct w:val="0"/>
        <w:adjustRightInd w:val="0"/>
        <w:spacing w:line="240" w:lineRule="atLeast"/>
        <w:ind w:left="567"/>
        <w:textAlignment w:val="baseline"/>
        <w:rPr>
          <w:szCs w:val="20"/>
          <w:lang w:val="bg-BG"/>
        </w:rPr>
      </w:pPr>
    </w:p>
    <w:p w:rsidR="004F47BB" w:rsidRPr="009072DA" w:rsidRDefault="004F47BB" w:rsidP="004F47BB">
      <w:pPr>
        <w:tabs>
          <w:tab w:val="left" w:pos="851"/>
          <w:tab w:val="left" w:pos="2127"/>
          <w:tab w:val="left" w:pos="4111"/>
        </w:tabs>
        <w:overflowPunct w:val="0"/>
        <w:adjustRightInd w:val="0"/>
        <w:spacing w:line="240" w:lineRule="atLeast"/>
        <w:ind w:left="567"/>
        <w:textAlignment w:val="baseline"/>
        <w:rPr>
          <w:szCs w:val="20"/>
          <w:lang w:val="bg-BG"/>
        </w:rPr>
      </w:pPr>
      <w:r w:rsidRPr="009072DA">
        <w:rPr>
          <w:lang w:val="bg-BG"/>
        </w:rPr>
        <w:t xml:space="preserve">за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II</m:t>
                </m:r>
              </m:sub>
            </m:sSub>
          </m:e>
          <m:sub>
            <m:r>
              <w:rPr>
                <w:rFonts w:ascii="Cambria Math" w:hAnsi="Cambria Math"/>
                <w:lang w:val="bg-BG"/>
              </w:rPr>
              <m:t>IST</m:t>
            </m:r>
          </m:sub>
        </m:sSub>
      </m:oMath>
      <w:r w:rsidRPr="009072DA">
        <w:rPr>
          <w:lang w:val="bg-BG"/>
        </w:rPr>
        <w:t xml:space="preserve"> и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II</m:t>
                </m:r>
              </m:sub>
            </m:sSub>
          </m:e>
          <m:sub>
            <m:r>
              <w:rPr>
                <w:rFonts w:ascii="Cambria Math" w:hAnsi="Cambria Math"/>
                <w:lang w:val="bg-BG"/>
              </w:rPr>
              <m:t>SOLL</m:t>
            </m:r>
          </m:sub>
        </m:sSub>
      </m:oMath>
    </w:p>
    <w:p w:rsidR="004F47BB" w:rsidRPr="009072DA" w:rsidRDefault="002B712C"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2</m:t>
            </m:r>
          </m:sub>
        </m:sSub>
      </m:oMath>
      <w:r w:rsidR="007B1046" w:rsidRPr="009072DA">
        <w:rPr>
          <w:lang w:val="bg-BG"/>
        </w:rPr>
        <w:tab/>
        <w:t>=</w:t>
      </w:r>
      <w:r w:rsidR="007B1046" w:rsidRPr="009072DA">
        <w:rPr>
          <w:lang w:val="bg-BG"/>
        </w:rPr>
        <w:tab/>
        <w:t>0,12</w:t>
      </w:r>
    </w:p>
    <w:p w:rsidR="004F47BB" w:rsidRPr="009072DA" w:rsidRDefault="002B712C"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3</m:t>
            </m:r>
          </m:sub>
        </m:sSub>
      </m:oMath>
      <w:r w:rsidR="007B1046" w:rsidRPr="009072DA">
        <w:rPr>
          <w:lang w:val="bg-BG"/>
        </w:rPr>
        <w:tab/>
        <w:t>=</w:t>
      </w:r>
      <w:r w:rsidR="007B1046" w:rsidRPr="009072DA">
        <w:rPr>
          <w:lang w:val="bg-BG"/>
        </w:rPr>
        <w:tab/>
        <w:t>1,15</w:t>
      </w:r>
    </w:p>
    <w:p w:rsidR="004F47BB" w:rsidRPr="009072DA" w:rsidRDefault="002B712C"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4</m:t>
            </m:r>
          </m:sub>
        </m:sSub>
      </m:oMath>
      <w:r w:rsidR="007B1046" w:rsidRPr="009072DA">
        <w:rPr>
          <w:lang w:val="bg-BG"/>
        </w:rPr>
        <w:tab/>
        <w:t>=</w:t>
      </w:r>
      <w:r w:rsidR="007B1046" w:rsidRPr="009072DA">
        <w:rPr>
          <w:lang w:val="bg-BG"/>
        </w:rPr>
        <w:tab/>
        <w:t>0,48</w:t>
      </w:r>
    </w:p>
    <w:p w:rsidR="004F47BB" w:rsidRPr="009072DA" w:rsidRDefault="002B712C"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6</m:t>
            </m:r>
          </m:sub>
        </m:sSub>
      </m:oMath>
      <w:r w:rsidR="007B1046" w:rsidRPr="009072DA">
        <w:rPr>
          <w:lang w:val="bg-BG"/>
        </w:rPr>
        <w:tab/>
        <w:t>=</w:t>
      </w:r>
      <w:r w:rsidR="007B1046" w:rsidRPr="009072DA">
        <w:rPr>
          <w:lang w:val="bg-BG"/>
        </w:rPr>
        <w:tab/>
        <w:t>0,85</w:t>
      </w:r>
    </w:p>
    <w:p w:rsidR="004F47BB" w:rsidRPr="009072DA" w:rsidRDefault="002B712C"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7</m:t>
            </m:r>
          </m:sub>
        </m:sSub>
      </m:oMath>
      <w:r w:rsidR="007B1046" w:rsidRPr="009072DA">
        <w:rPr>
          <w:lang w:val="bg-BG"/>
        </w:rPr>
        <w:tab/>
        <w:t>=</w:t>
      </w:r>
      <w:r w:rsidR="007B1046" w:rsidRPr="009072DA">
        <w:rPr>
          <w:lang w:val="bg-BG"/>
        </w:rPr>
        <w:tab/>
        <w:t>0,55</w:t>
      </w:r>
    </w:p>
    <w:p w:rsidR="004F47BB" w:rsidRPr="009072DA" w:rsidRDefault="004F47BB" w:rsidP="004F47BB">
      <w:pPr>
        <w:tabs>
          <w:tab w:val="left" w:pos="0"/>
        </w:tabs>
        <w:overflowPunct w:val="0"/>
        <w:adjustRightInd w:val="0"/>
        <w:spacing w:line="240" w:lineRule="exact"/>
        <w:ind w:left="567"/>
        <w:textAlignment w:val="baseline"/>
        <w:rPr>
          <w:szCs w:val="20"/>
          <w:lang w:val="bg-BG"/>
        </w:rPr>
      </w:pPr>
    </w:p>
    <w:p w:rsidR="004F47BB" w:rsidRPr="009072DA" w:rsidRDefault="004F47BB" w:rsidP="004F47BB">
      <w:pPr>
        <w:overflowPunct w:val="0"/>
        <w:adjustRightInd w:val="0"/>
        <w:spacing w:line="240" w:lineRule="exact"/>
        <w:ind w:left="567"/>
        <w:textAlignment w:val="baseline"/>
        <w:rPr>
          <w:szCs w:val="20"/>
          <w:lang w:val="bg-BG"/>
        </w:rPr>
      </w:pPr>
      <w:r w:rsidRPr="009072DA">
        <w:rPr>
          <w:lang w:val="bg-BG"/>
        </w:rPr>
        <w:t>Таблица 2 (за съвременни дюзи със заоблен заден ръб)</w:t>
      </w:r>
    </w:p>
    <w:p w:rsidR="004F47BB" w:rsidRPr="009072DA" w:rsidRDefault="004F47BB" w:rsidP="004F47BB">
      <w:pPr>
        <w:tabs>
          <w:tab w:val="left" w:pos="0"/>
        </w:tabs>
        <w:overflowPunct w:val="0"/>
        <w:adjustRightInd w:val="0"/>
        <w:spacing w:line="240" w:lineRule="exact"/>
        <w:ind w:left="567"/>
        <w:textAlignment w:val="baseline"/>
        <w:rPr>
          <w:szCs w:val="20"/>
          <w:lang w:val="bg-BG"/>
        </w:rPr>
      </w:pPr>
    </w:p>
    <w:p w:rsidR="004F47BB" w:rsidRPr="009072DA" w:rsidRDefault="004F47BB" w:rsidP="004F47BB">
      <w:pPr>
        <w:overflowPunct w:val="0"/>
        <w:adjustRightInd w:val="0"/>
        <w:spacing w:line="240" w:lineRule="exact"/>
        <w:ind w:left="567"/>
        <w:textAlignment w:val="baseline"/>
        <w:rPr>
          <w:szCs w:val="20"/>
          <w:lang w:val="bg-BG"/>
        </w:rPr>
      </w:pPr>
      <m:oMath>
        <m:r>
          <w:rPr>
            <w:rFonts w:ascii="Cambria Math" w:hAnsi="Cambria Math"/>
            <w:szCs w:val="20"/>
            <w:lang w:val="bg-BG"/>
          </w:rPr>
          <m:t>f</m:t>
        </m:r>
      </m:oMath>
      <w:r w:rsidRPr="009072DA">
        <w:rPr>
          <w:lang w:val="bg-BG"/>
        </w:rPr>
        <w:t xml:space="preserve"> = 0,118</w:t>
      </w:r>
    </w:p>
    <w:p w:rsidR="004F47BB" w:rsidRPr="009072DA" w:rsidRDefault="004F47BB" w:rsidP="004F47BB">
      <w:pPr>
        <w:tabs>
          <w:tab w:val="left" w:pos="0"/>
        </w:tabs>
        <w:overflowPunct w:val="0"/>
        <w:adjustRightInd w:val="0"/>
        <w:spacing w:line="240" w:lineRule="exact"/>
        <w:ind w:left="567"/>
        <w:textAlignment w:val="baseline"/>
        <w:rPr>
          <w:szCs w:val="20"/>
          <w:lang w:val="bg-BG"/>
        </w:rPr>
      </w:pPr>
    </w:p>
    <w:p w:rsidR="004F47BB" w:rsidRPr="009072DA" w:rsidRDefault="004F47BB" w:rsidP="004F47BB">
      <w:pPr>
        <w:tabs>
          <w:tab w:val="left" w:pos="0"/>
        </w:tabs>
        <w:overflowPunct w:val="0"/>
        <w:adjustRightInd w:val="0"/>
        <w:spacing w:line="240" w:lineRule="exact"/>
        <w:ind w:left="567"/>
        <w:textAlignment w:val="baseline"/>
        <w:rPr>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4.2</w:t>
      </w:r>
      <w:r w:rsidRPr="009072DA">
        <w:rPr>
          <w:lang w:val="bg-BG"/>
        </w:rPr>
        <w:tab/>
      </w:r>
      <w:r w:rsidRPr="009072DA">
        <w:rPr>
          <w:b/>
          <w:color w:val="000000"/>
          <w:lang w:val="bg-BG"/>
        </w:rPr>
        <w:t xml:space="preserve">Изчисляване на </w:t>
      </w:r>
      <m:oMath>
        <m:sSub>
          <m:sSubPr>
            <m:ctrlPr>
              <w:rPr>
                <w:rFonts w:ascii="Cambria Math" w:hAnsi="Cambria Math"/>
                <w:i/>
                <w:lang w:val="bg-BG"/>
              </w:rPr>
            </m:ctrlPr>
          </m:sSubPr>
          <m:e>
            <m:r>
              <m:rPr>
                <m:sty m:val="bi"/>
              </m:rPr>
              <w:rPr>
                <w:rFonts w:ascii="Cambria Math" w:hAnsi="Cambria Math" w:cs="Arial"/>
                <w:color w:val="000000"/>
                <w:szCs w:val="20"/>
                <w:lang w:val="bg-BG"/>
              </w:rPr>
              <m:t>s</m:t>
            </m:r>
          </m:e>
          <m:sub>
            <m:r>
              <m:rPr>
                <m:sty m:val="bi"/>
              </m:rPr>
              <w:rPr>
                <w:rFonts w:ascii="Cambria Math" w:hAnsi="Cambria Math" w:cs="Arial"/>
                <w:color w:val="000000"/>
                <w:szCs w:val="20"/>
                <w:lang w:val="bg-BG"/>
              </w:rPr>
              <m:t>IST</m:t>
            </m:r>
          </m:sub>
        </m:sSub>
      </m:oMath>
    </w:p>
    <w:p w:rsidR="004F47BB" w:rsidRPr="009072DA" w:rsidRDefault="004F47BB" w:rsidP="004F47BB">
      <w:pPr>
        <w:tabs>
          <w:tab w:val="left" w:pos="992"/>
        </w:tabs>
        <w:overflowPunct w:val="0"/>
        <w:adjustRightInd w:val="0"/>
        <w:spacing w:line="240" w:lineRule="atLeast"/>
        <w:ind w:left="992"/>
        <w:textAlignment w:val="baseline"/>
        <w:rPr>
          <w:szCs w:val="20"/>
          <w:lang w:val="bg-BG"/>
        </w:rPr>
      </w:pP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r w:rsidRPr="009072DA">
        <w:rPr>
          <w:lang w:val="bg-BG"/>
        </w:rPr>
        <w:t>a)</w:t>
      </w:r>
      <w:r w:rsidRPr="009072DA">
        <w:rPr>
          <w:lang w:val="bg-BG"/>
        </w:rPr>
        <w:tab/>
      </w:r>
      <m:oMath>
        <m:sSub>
          <m:sSubPr>
            <m:ctrlPr>
              <w:rPr>
                <w:rFonts w:ascii="Cambria Math" w:hAnsi="Cambria Math" w:cs="Arial"/>
                <w:szCs w:val="20"/>
                <w:lang w:val="bg-BG"/>
              </w:rPr>
            </m:ctrlPr>
          </m:sSubPr>
          <m:e>
            <m:sSub>
              <m:sSubPr>
                <m:ctrlPr>
                  <w:rPr>
                    <w:rFonts w:ascii="Cambria Math" w:hAnsi="Cambria Math" w:cs="Arial"/>
                    <w:szCs w:val="20"/>
                    <w:lang w:val="bg-BG"/>
                  </w:rPr>
                </m:ctrlPr>
              </m:sSubPr>
              <m:e>
                <m:r>
                  <m:rPr>
                    <m:sty m:val="p"/>
                  </m:rPr>
                  <w:rPr>
                    <w:rFonts w:ascii="Cambria Math" w:hAnsi="Cambria Math" w:cs="Arial"/>
                    <w:szCs w:val="20"/>
                    <w:lang w:val="bg-BG"/>
                  </w:rPr>
                  <m:t>s</m:t>
                </m:r>
              </m:e>
              <m:sub>
                <m:r>
                  <m:rPr>
                    <m:sty m:val="p"/>
                  </m:rPr>
                  <w:rPr>
                    <w:rFonts w:ascii="Cambria Math" w:hAnsi="Cambria Math" w:cs="Arial"/>
                    <w:szCs w:val="20"/>
                    <w:lang w:val="bg-BG"/>
                  </w:rPr>
                  <m:t>I</m:t>
                </m:r>
              </m:sub>
            </m:sSub>
          </m:e>
          <m:sub>
            <m:r>
              <m:rPr>
                <m:sty m:val="p"/>
              </m:rPr>
              <w:rPr>
                <w:rFonts w:ascii="Cambria Math" w:hAnsi="Cambria Math" w:cs="Arial"/>
                <w:szCs w:val="20"/>
                <w:lang w:val="bg-BG"/>
              </w:rPr>
              <m:t>IST</m:t>
            </m:r>
          </m:sub>
        </m:sSub>
      </m:oMath>
      <w:r w:rsidRPr="009072DA">
        <w:rPr>
          <w:lang w:val="bg-BG"/>
        </w:rPr>
        <w:t xml:space="preserve"> със стойностите, измерени по време на маневрата за спиране (формула 4.1)</w:t>
      </w:r>
    </w:p>
    <w:p w:rsidR="004F47BB" w:rsidRPr="009072DA" w:rsidRDefault="002B712C" w:rsidP="004F47BB">
      <w:pPr>
        <w:tabs>
          <w:tab w:val="left" w:pos="992"/>
          <w:tab w:val="left" w:pos="1560"/>
          <w:tab w:val="left" w:pos="1985"/>
        </w:tabs>
        <w:overflowPunct w:val="0"/>
        <w:adjustRightInd w:val="0"/>
        <w:spacing w:before="60" w:line="240" w:lineRule="atLeast"/>
        <w:ind w:left="992" w:firstLine="1"/>
        <w:textAlignment w:val="baseline"/>
        <w:rPr>
          <w:szCs w:val="20"/>
          <w:lang w:val="bg-BG"/>
        </w:rPr>
      </w:pP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m:t>
                </m:r>
              </m:sub>
            </m:sSub>
          </m:e>
          <m:sub>
            <m:r>
              <w:rPr>
                <w:rFonts w:ascii="Cambria Math" w:hAnsi="Cambria Math"/>
                <w:lang w:val="bg-BG"/>
              </w:rPr>
              <m:t>IST</m:t>
            </m:r>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k</m:t>
            </m:r>
          </m:e>
          <m:sub>
            <m:r>
              <w:rPr>
                <w:rFonts w:ascii="Cambria Math" w:hAnsi="Cambria Math"/>
                <w:lang w:val="bg-BG"/>
              </w:rPr>
              <m:t>1</m:t>
            </m:r>
          </m:sub>
        </m:sSub>
        <m:r>
          <w:rPr>
            <w:rFonts w:ascii="Cambria Math" w:hAnsi="Cambria Math"/>
            <w:lang w:val="bg-BG"/>
          </w:rPr>
          <m:t xml:space="preserve"> ∙ </m:t>
        </m:r>
        <m:sSub>
          <m:sSubPr>
            <m:ctrlPr>
              <w:rPr>
                <w:rFonts w:ascii="Cambria Math" w:hAnsi="Cambria Math"/>
                <w:i/>
                <w:lang w:val="bg-BG"/>
              </w:rPr>
            </m:ctrlPr>
          </m:sSubPr>
          <m:e>
            <m:r>
              <w:rPr>
                <w:rFonts w:ascii="Cambria Math" w:hAnsi="Cambria Math"/>
                <w:lang w:val="bg-BG"/>
              </w:rPr>
              <m:t>v</m:t>
            </m:r>
          </m:e>
          <m:sub>
            <m:sSub>
              <m:sSubPr>
                <m:ctrlPr>
                  <w:rPr>
                    <w:rFonts w:ascii="Cambria Math" w:hAnsi="Cambria Math"/>
                    <w:i/>
                    <w:lang w:val="bg-BG"/>
                  </w:rPr>
                </m:ctrlPr>
              </m:sSubPr>
              <m:e>
                <m:r>
                  <w:rPr>
                    <w:rFonts w:ascii="Cambria Math" w:hAnsi="Cambria Math"/>
                    <w:lang w:val="bg-BG"/>
                  </w:rPr>
                  <m:t>L</m:t>
                </m:r>
              </m:e>
              <m:sub>
                <m:r>
                  <w:rPr>
                    <w:rFonts w:ascii="Cambria Math" w:hAnsi="Cambria Math"/>
                    <w:lang w:val="bg-BG"/>
                  </w:rPr>
                  <m:t>IST</m:t>
                </m:r>
              </m:sub>
            </m:sSub>
            <m:r>
              <w:rPr>
                <w:rFonts w:ascii="Cambria Math" w:hAnsi="Cambria Math"/>
                <w:lang w:val="bg-BG"/>
              </w:rPr>
              <m:t xml:space="preserve"> </m:t>
            </m:r>
          </m:sub>
        </m:sSub>
        <m:r>
          <w:rPr>
            <w:rFonts w:ascii="Cambria Math" w:hAnsi="Cambria Math"/>
            <w:lang w:val="bg-BG"/>
          </w:rPr>
          <m:t xml:space="preserve"> ∙ </m:t>
        </m:r>
        <m:sSub>
          <m:sSubPr>
            <m:ctrlPr>
              <w:rPr>
                <w:rFonts w:ascii="Cambria Math" w:hAnsi="Cambria Math"/>
                <w:i/>
                <w:lang w:val="bg-BG"/>
              </w:rPr>
            </m:ctrlPr>
          </m:sSubPr>
          <m:e>
            <m:r>
              <w:rPr>
                <w:rFonts w:ascii="Cambria Math" w:hAnsi="Cambria Math"/>
                <w:lang w:val="bg-BG"/>
              </w:rPr>
              <m:t>t</m:t>
            </m:r>
          </m:e>
          <m:sub>
            <m:sSub>
              <m:sSubPr>
                <m:ctrlPr>
                  <w:rPr>
                    <w:rFonts w:ascii="Cambria Math" w:hAnsi="Cambria Math"/>
                    <w:i/>
                    <w:lang w:val="bg-BG"/>
                  </w:rPr>
                </m:ctrlPr>
              </m:sSubPr>
              <m:e>
                <m:r>
                  <w:rPr>
                    <w:rFonts w:ascii="Cambria Math" w:hAnsi="Cambria Math"/>
                    <w:lang w:val="bg-BG"/>
                  </w:rPr>
                  <m:t>I</m:t>
                </m:r>
              </m:e>
              <m:sub>
                <m:r>
                  <w:rPr>
                    <w:rFonts w:ascii="Cambria Math" w:hAnsi="Cambria Math"/>
                    <w:lang w:val="bg-BG"/>
                  </w:rPr>
                  <m:t>IST</m:t>
                </m:r>
              </m:sub>
            </m:sSub>
          </m:sub>
        </m:sSub>
      </m:oMath>
      <w:r w:rsidR="007B1046" w:rsidRPr="009072DA">
        <w:rPr>
          <w:lang w:val="bg-BG"/>
        </w:rPr>
        <w:t xml:space="preserve"> </w:t>
      </w:r>
    </w:p>
    <w:p w:rsidR="004F47BB" w:rsidRPr="009072DA" w:rsidRDefault="002B712C" w:rsidP="004F47BB">
      <w:pPr>
        <w:tabs>
          <w:tab w:val="left" w:pos="992"/>
          <w:tab w:val="left" w:pos="1560"/>
          <w:tab w:val="left" w:pos="1985"/>
        </w:tabs>
        <w:overflowPunct w:val="0"/>
        <w:adjustRightInd w:val="0"/>
        <w:spacing w:before="60" w:line="240" w:lineRule="atLeast"/>
        <w:ind w:left="992" w:firstLine="1"/>
        <w:textAlignment w:val="baseline"/>
        <w:rPr>
          <w:szCs w:val="20"/>
          <w:lang w:val="bg-BG"/>
        </w:rPr>
      </w:pPr>
      <m:oMathPara>
        <m:oMathParaPr>
          <m:jc m:val="left"/>
        </m:oMathParaP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m:t>
                  </m:r>
                </m:sub>
              </m:sSub>
            </m:e>
            <m:sub>
              <m:r>
                <w:rPr>
                  <w:rFonts w:ascii="Cambria Math" w:hAnsi="Cambria Math"/>
                  <w:lang w:val="bg-BG"/>
                </w:rPr>
                <m:t>IST</m:t>
              </m:r>
            </m:sub>
          </m:sSub>
          <m:r>
            <w:rPr>
              <w:rFonts w:ascii="Cambria Math" w:hAnsi="Cambria Math"/>
              <w:lang w:val="bg-BG"/>
            </w:rPr>
            <m:t>=0,95 ∙4,9 ∙16=74,5 m</m:t>
          </m:r>
        </m:oMath>
      </m:oMathPara>
    </w:p>
    <w:p w:rsidR="004F47BB" w:rsidRPr="009072DA" w:rsidRDefault="004F47BB" w:rsidP="004F47BB">
      <w:pPr>
        <w:tabs>
          <w:tab w:val="left" w:pos="992"/>
        </w:tabs>
        <w:overflowPunct w:val="0"/>
        <w:adjustRightInd w:val="0"/>
        <w:spacing w:line="240" w:lineRule="atLeast"/>
        <w:ind w:left="992"/>
        <w:textAlignment w:val="baseline"/>
        <w:rPr>
          <w:szCs w:val="20"/>
          <w:lang w:val="bg-BG"/>
        </w:rPr>
      </w:pP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r w:rsidRPr="009072DA">
        <w:rPr>
          <w:lang w:val="bg-BG"/>
        </w:rPr>
        <w:t>б)</w:t>
      </w:r>
      <w:r w:rsidRPr="009072DA">
        <w:rPr>
          <w:lang w:val="bg-BG"/>
        </w:rPr>
        <w:tab/>
        <w:t xml:space="preserve">формула за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II</m:t>
                </m:r>
              </m:sub>
            </m:sSub>
          </m:e>
          <m:sub>
            <m:r>
              <w:rPr>
                <w:rFonts w:ascii="Cambria Math" w:hAnsi="Cambria Math"/>
                <w:lang w:val="bg-BG"/>
              </w:rPr>
              <m:t>IST</m:t>
            </m:r>
          </m:sub>
        </m:sSub>
      </m:oMath>
    </w:p>
    <w:p w:rsidR="004F47BB" w:rsidRPr="009072DA" w:rsidRDefault="002B712C" w:rsidP="004F47BB">
      <w:pPr>
        <w:tabs>
          <w:tab w:val="left" w:pos="992"/>
          <w:tab w:val="left" w:pos="1560"/>
          <w:tab w:val="left" w:pos="1985"/>
        </w:tabs>
        <w:overflowPunct w:val="0"/>
        <w:adjustRightInd w:val="0"/>
        <w:spacing w:before="60" w:line="240" w:lineRule="atLeast"/>
        <w:ind w:left="992" w:firstLine="1"/>
        <w:textAlignment w:val="baseline"/>
        <w:rPr>
          <w:szCs w:val="20"/>
          <w:lang w:val="bg-BG"/>
        </w:rPr>
      </w:pPr>
      <m:oMathPara>
        <m:oMathParaPr>
          <m:jc m:val="left"/>
        </m:oMathParaP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II</m:t>
                  </m:r>
                </m:sub>
              </m:sSub>
            </m:e>
            <m:sub>
              <m:r>
                <w:rPr>
                  <w:rFonts w:ascii="Cambria Math" w:hAnsi="Cambria Math"/>
                  <w:lang w:val="bg-BG"/>
                </w:rPr>
                <m:t>IST</m:t>
              </m:r>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k</m:t>
              </m:r>
            </m:e>
            <m:sub>
              <m:r>
                <w:rPr>
                  <w:rFonts w:ascii="Cambria Math" w:hAnsi="Cambria Math"/>
                  <w:lang w:val="bg-BG"/>
                </w:rPr>
                <m:t>2</m:t>
              </m:r>
            </m:sub>
          </m:sSub>
          <m:r>
            <w:rPr>
              <w:rFonts w:ascii="Cambria Math" w:hAnsi="Cambria Math"/>
              <w:lang w:val="bg-BG"/>
            </w:rPr>
            <m:t xml:space="preserve"> ∙ </m:t>
          </m:r>
          <m:sSub>
            <m:sSubPr>
              <m:ctrlPr>
                <w:rPr>
                  <w:rFonts w:ascii="Cambria Math" w:hAnsi="Cambria Math"/>
                  <w:i/>
                  <w:lang w:val="bg-BG"/>
                </w:rPr>
              </m:ctrlPr>
            </m:sSubPr>
            <m:e>
              <m:sSup>
                <m:sSupPr>
                  <m:ctrlPr>
                    <w:rPr>
                      <w:rFonts w:ascii="Cambria Math" w:hAnsi="Cambria Math"/>
                      <w:i/>
                      <w:lang w:val="bg-BG"/>
                    </w:rPr>
                  </m:ctrlPr>
                </m:sSupPr>
                <m:e>
                  <m:r>
                    <w:rPr>
                      <w:rFonts w:ascii="Cambria Math" w:hAnsi="Cambria Math"/>
                      <w:lang w:val="bg-BG"/>
                    </w:rPr>
                    <m:t>v</m:t>
                  </m:r>
                </m:e>
                <m:sup>
                  <m:r>
                    <w:rPr>
                      <w:rFonts w:ascii="Cambria Math" w:hAnsi="Cambria Math"/>
                      <w:lang w:val="bg-BG"/>
                    </w:rPr>
                    <m:t>2</m:t>
                  </m:r>
                </m:sup>
              </m:sSup>
            </m:e>
            <m:sub>
              <m:sSub>
                <m:sSubPr>
                  <m:ctrlPr>
                    <w:rPr>
                      <w:rFonts w:ascii="Cambria Math" w:hAnsi="Cambria Math"/>
                      <w:i/>
                      <w:lang w:val="bg-BG"/>
                    </w:rPr>
                  </m:ctrlPr>
                </m:sSubPr>
                <m:e>
                  <m:r>
                    <w:rPr>
                      <w:rFonts w:ascii="Cambria Math" w:hAnsi="Cambria Math"/>
                      <w:lang w:val="bg-BG"/>
                    </w:rPr>
                    <m:t>II</m:t>
                  </m:r>
                </m:e>
                <m:sub>
                  <m:r>
                    <w:rPr>
                      <w:rFonts w:ascii="Cambria Math" w:hAnsi="Cambria Math"/>
                      <w:lang w:val="bg-BG"/>
                    </w:rPr>
                    <m:t>IST</m:t>
                  </m:r>
                </m:sub>
              </m:sSub>
              <m:r>
                <w:rPr>
                  <w:rFonts w:ascii="Cambria Math" w:hAnsi="Cambria Math"/>
                  <w:lang w:val="bg-BG"/>
                </w:rPr>
                <m:t xml:space="preserve"> </m:t>
              </m:r>
            </m:sub>
          </m:sSub>
          <m:r>
            <w:rPr>
              <w:rFonts w:ascii="Cambria Math" w:hAnsi="Cambria Math"/>
              <w:lang w:val="bg-BG"/>
            </w:rPr>
            <m:t xml:space="preserve"> ∙  </m:t>
          </m:r>
          <m:f>
            <m:fPr>
              <m:ctrlPr>
                <w:rPr>
                  <w:rFonts w:ascii="Cambria Math" w:hAnsi="Cambria Math"/>
                  <w:i/>
                  <w:lang w:val="bg-BG"/>
                </w:rPr>
              </m:ctrlPr>
            </m:fPr>
            <m:num>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IST</m:t>
                  </m:r>
                </m:sub>
              </m:sSub>
              <m:r>
                <w:rPr>
                  <w:rFonts w:ascii="Cambria Math" w:hAnsi="Cambria Math"/>
                  <w:lang w:val="bg-BG"/>
                </w:rPr>
                <m:t xml:space="preserve"> ∙g</m:t>
              </m:r>
            </m:num>
            <m:den>
              <m:sSub>
                <m:sSubPr>
                  <m:ctrlPr>
                    <w:rPr>
                      <w:rFonts w:ascii="Cambria Math" w:hAnsi="Cambria Math"/>
                      <w:i/>
                      <w:lang w:val="bg-BG"/>
                    </w:rPr>
                  </m:ctrlPr>
                </m:sSubPr>
                <m:e>
                  <m:r>
                    <w:rPr>
                      <w:rFonts w:ascii="Cambria Math" w:hAnsi="Cambria Math"/>
                      <w:lang w:val="bg-BG"/>
                    </w:rPr>
                    <m:t>k</m:t>
                  </m:r>
                </m:e>
                <m:sub>
                  <m:r>
                    <w:rPr>
                      <w:rFonts w:ascii="Cambria Math" w:hAnsi="Cambria Math"/>
                      <w:lang w:val="bg-BG"/>
                    </w:rPr>
                    <m:t>3</m:t>
                  </m:r>
                </m:sub>
              </m:sSub>
              <m:r>
                <w:rPr>
                  <w:rFonts w:ascii="Cambria Math" w:hAnsi="Cambria Math"/>
                  <w:lang w:val="bg-BG"/>
                </w:rPr>
                <m:t xml:space="preserve"> ∙ </m:t>
              </m:r>
              <m:sSub>
                <m:sSubPr>
                  <m:ctrlPr>
                    <w:rPr>
                      <w:rFonts w:ascii="Cambria Math" w:hAnsi="Cambria Math"/>
                      <w:i/>
                      <w:lang w:val="bg-BG"/>
                    </w:rPr>
                  </m:ctrlPr>
                </m:sSubPr>
                <m:e>
                  <m:r>
                    <w:rPr>
                      <w:rFonts w:ascii="Cambria Math" w:hAnsi="Cambria Math"/>
                      <w:lang w:val="bg-BG"/>
                    </w:rPr>
                    <m:t>F</m:t>
                  </m:r>
                </m:e>
                <m:sub>
                  <m:r>
                    <w:rPr>
                      <w:rFonts w:ascii="Cambria Math" w:hAnsi="Cambria Math"/>
                      <w:lang w:val="bg-BG"/>
                    </w:rPr>
                    <m:t>POR</m:t>
                  </m:r>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R</m:t>
                  </m:r>
                </m:e>
                <m:sub>
                  <m:sSub>
                    <m:sSubPr>
                      <m:ctrlPr>
                        <w:rPr>
                          <w:rFonts w:ascii="Cambria Math" w:hAnsi="Cambria Math"/>
                          <w:i/>
                          <w:lang w:val="bg-BG"/>
                        </w:rPr>
                      </m:ctrlPr>
                    </m:sSubPr>
                    <m:e>
                      <m:r>
                        <w:rPr>
                          <w:rFonts w:ascii="Cambria Math" w:hAnsi="Cambria Math"/>
                          <w:lang w:val="bg-BG"/>
                        </w:rPr>
                        <m:t>TmII</m:t>
                      </m:r>
                    </m:e>
                    <m:sub>
                      <m:r>
                        <w:rPr>
                          <w:rFonts w:ascii="Cambria Math" w:hAnsi="Cambria Math"/>
                          <w:lang w:val="bg-BG"/>
                        </w:rPr>
                        <m:t>IST</m:t>
                      </m:r>
                    </m:sub>
                  </m:sSub>
                </m:sub>
              </m:sSub>
              <m:r>
                <w:rPr>
                  <w:rFonts w:ascii="Cambria Math" w:hAnsi="Cambria Math"/>
                  <w:lang w:val="bg-BG"/>
                </w:rPr>
                <m:t xml:space="preserve"> - </m:t>
              </m:r>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G</m:t>
                  </m:r>
                </m:sub>
              </m:sSub>
            </m:den>
          </m:f>
          <m:r>
            <w:rPr>
              <w:rFonts w:ascii="Cambria Math" w:hAnsi="Cambria Math"/>
              <w:lang w:val="bg-BG"/>
            </w:rPr>
            <m:t xml:space="preserve"> ∙  </m:t>
          </m:r>
          <m:d>
            <m:dPr>
              <m:ctrlPr>
                <w:rPr>
                  <w:rFonts w:ascii="Cambria Math" w:hAnsi="Cambria Math"/>
                  <w:i/>
                  <w:lang w:val="bg-BG"/>
                </w:rPr>
              </m:ctrlPr>
            </m:dPr>
            <m:e>
              <m:sSub>
                <m:sSubPr>
                  <m:ctrlPr>
                    <w:rPr>
                      <w:rFonts w:ascii="Cambria Math" w:hAnsi="Cambria Math"/>
                      <w:i/>
                      <w:lang w:val="bg-BG"/>
                    </w:rPr>
                  </m:ctrlPr>
                </m:sSubPr>
                <m:e>
                  <m:r>
                    <w:rPr>
                      <w:rFonts w:ascii="Cambria Math" w:hAnsi="Cambria Math"/>
                      <w:lang w:val="bg-BG"/>
                    </w:rPr>
                    <m:t>k</m:t>
                  </m:r>
                </m:e>
                <m:sub>
                  <m:r>
                    <w:rPr>
                      <w:rFonts w:ascii="Cambria Math" w:hAnsi="Cambria Math"/>
                      <w:lang w:val="bg-BG"/>
                    </w:rPr>
                    <m:t>4</m:t>
                  </m:r>
                </m:sub>
              </m:sSub>
              <m:r>
                <w:rPr>
                  <w:rFonts w:ascii="Cambria Math" w:hAnsi="Cambria Math"/>
                  <w:lang w:val="bg-BG"/>
                </w:rPr>
                <m:t xml:space="preserve"> + </m:t>
              </m:r>
              <m:f>
                <m:fPr>
                  <m:ctrlPr>
                    <w:rPr>
                      <w:rFonts w:ascii="Cambria Math" w:hAnsi="Cambria Math"/>
                      <w:i/>
                      <w:lang w:val="bg-BG"/>
                    </w:rPr>
                  </m:ctrlPr>
                </m:fPr>
                <m:num>
                  <m:sSub>
                    <m:sSubPr>
                      <m:ctrlPr>
                        <w:rPr>
                          <w:rFonts w:ascii="Cambria Math" w:hAnsi="Cambria Math"/>
                          <w:i/>
                          <w:lang w:val="bg-BG"/>
                        </w:rPr>
                      </m:ctrlPr>
                    </m:sSubPr>
                    <m:e>
                      <m:r>
                        <w:rPr>
                          <w:rFonts w:ascii="Cambria Math" w:hAnsi="Cambria Math"/>
                          <w:lang w:val="bg-BG"/>
                        </w:rPr>
                        <m:t>v</m:t>
                      </m:r>
                    </m:e>
                    <m:sub>
                      <m:sSub>
                        <m:sSubPr>
                          <m:ctrlPr>
                            <w:rPr>
                              <w:rFonts w:ascii="Cambria Math" w:hAnsi="Cambria Math"/>
                              <w:i/>
                              <w:lang w:val="bg-BG"/>
                            </w:rPr>
                          </m:ctrlPr>
                        </m:sSubPr>
                        <m:e>
                          <m:r>
                            <w:rPr>
                              <w:rFonts w:ascii="Cambria Math" w:hAnsi="Cambria Math"/>
                              <w:lang w:val="bg-BG"/>
                            </w:rPr>
                            <m:t>STR</m:t>
                          </m:r>
                        </m:e>
                        <m:sub>
                          <m:r>
                            <w:rPr>
                              <w:rFonts w:ascii="Cambria Math" w:hAnsi="Cambria Math"/>
                              <w:lang w:val="bg-BG"/>
                            </w:rPr>
                            <m:t>IST</m:t>
                          </m:r>
                        </m:sub>
                      </m:sSub>
                    </m:sub>
                  </m:sSub>
                </m:num>
                <m:den>
                  <m:sSub>
                    <m:sSubPr>
                      <m:ctrlPr>
                        <w:rPr>
                          <w:rFonts w:ascii="Cambria Math" w:hAnsi="Cambria Math"/>
                          <w:i/>
                          <w:lang w:val="bg-BG"/>
                        </w:rPr>
                      </m:ctrlPr>
                    </m:sSubPr>
                    <m:e>
                      <m:r>
                        <w:rPr>
                          <w:rFonts w:ascii="Cambria Math" w:hAnsi="Cambria Math"/>
                          <w:lang w:val="bg-BG"/>
                        </w:rPr>
                        <m:t>v</m:t>
                      </m:r>
                    </m:e>
                    <m:sub>
                      <m:sSub>
                        <m:sSubPr>
                          <m:ctrlPr>
                            <w:rPr>
                              <w:rFonts w:ascii="Cambria Math" w:hAnsi="Cambria Math"/>
                              <w:i/>
                              <w:lang w:val="bg-BG"/>
                            </w:rPr>
                          </m:ctrlPr>
                        </m:sSubPr>
                        <m:e>
                          <m:r>
                            <w:rPr>
                              <w:rFonts w:ascii="Cambria Math" w:hAnsi="Cambria Math"/>
                              <w:lang w:val="bg-BG"/>
                            </w:rPr>
                            <m:t>II</m:t>
                          </m:r>
                        </m:e>
                        <m:sub>
                          <m:r>
                            <w:rPr>
                              <w:rFonts w:ascii="Cambria Math" w:hAnsi="Cambria Math"/>
                              <w:lang w:val="bg-BG"/>
                            </w:rPr>
                            <m:t>IST</m:t>
                          </m:r>
                        </m:sub>
                      </m:sSub>
                    </m:sub>
                  </m:sSub>
                </m:den>
              </m:f>
            </m:e>
          </m:d>
        </m:oMath>
      </m:oMathPara>
    </w:p>
    <w:p w:rsidR="004F47BB" w:rsidRPr="009072DA" w:rsidRDefault="004F47BB" w:rsidP="004F47BB">
      <w:pPr>
        <w:tabs>
          <w:tab w:val="left" w:pos="284"/>
        </w:tabs>
        <w:overflowPunct w:val="0"/>
        <w:adjustRightInd w:val="0"/>
        <w:spacing w:line="240" w:lineRule="atLeast"/>
        <w:ind w:left="284" w:hanging="284"/>
        <w:textAlignment w:val="baseline"/>
        <w:rPr>
          <w:szCs w:val="20"/>
          <w:lang w:val="bg-BG"/>
        </w:rPr>
      </w:pP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r w:rsidRPr="009072DA">
        <w:rPr>
          <w:lang w:val="bg-BG"/>
        </w:rPr>
        <w:t>в)</w:t>
      </w:r>
      <w:r w:rsidRPr="009072DA">
        <w:rPr>
          <w:lang w:val="bg-BG"/>
        </w:rPr>
        <w:tab/>
        <w:t xml:space="preserve">изчисляване на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TmII</m:t>
                </m:r>
              </m:sub>
            </m:sSub>
          </m:e>
          <m:sub>
            <m:r>
              <w:rPr>
                <w:rFonts w:ascii="Cambria Math" w:hAnsi="Cambria Math"/>
                <w:lang w:val="bg-BG"/>
              </w:rPr>
              <m:t>IST</m:t>
            </m:r>
          </m:sub>
        </m:sSub>
      </m:oMath>
      <w:r w:rsidRPr="009072DA">
        <w:rPr>
          <w:lang w:val="bg-BG"/>
        </w:rPr>
        <w:t xml:space="preserve"> съгласно таблица 3 и формула (4.3) от приложение 2</w:t>
      </w:r>
    </w:p>
    <w:p w:rsidR="004F47BB" w:rsidRPr="009072DA" w:rsidRDefault="002B712C" w:rsidP="004F47BB">
      <w:pPr>
        <w:tabs>
          <w:tab w:val="left" w:pos="992"/>
        </w:tabs>
        <w:overflowPunct w:val="0"/>
        <w:adjustRightInd w:val="0"/>
        <w:spacing w:before="120" w:line="240" w:lineRule="atLeast"/>
        <w:ind w:left="992" w:firstLine="1"/>
        <w:textAlignment w:val="baseline"/>
        <w:rPr>
          <w:szCs w:val="20"/>
          <w:lang w:val="bg-BG"/>
        </w:rPr>
      </w:pPr>
      <m:oMathPara>
        <m:oMathParaPr>
          <m:jc m:val="left"/>
        </m:oMathParaPr>
        <m:oMath>
          <m:sSup>
            <m:sSupPr>
              <m:ctrlPr>
                <w:rPr>
                  <w:rFonts w:ascii="Cambria Math" w:hAnsi="Cambria Math"/>
                  <w:i/>
                  <w:szCs w:val="20"/>
                  <w:lang w:val="bg-BG"/>
                </w:rPr>
              </m:ctrlPr>
            </m:sSupPr>
            <m:e>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IST</m:t>
                  </m:r>
                </m:sub>
              </m:sSub>
            </m:e>
            <m:sup>
              <m:r>
                <w:rPr>
                  <w:rFonts w:ascii="Cambria Math" w:hAnsi="Cambria Math"/>
                  <w:szCs w:val="20"/>
                  <w:lang w:val="bg-BG"/>
                </w:rPr>
                <m:t>1/3</m:t>
              </m:r>
            </m:sup>
          </m:sSup>
          <m:r>
            <w:rPr>
              <w:rFonts w:ascii="Cambria Math" w:hAnsi="Cambria Math"/>
              <w:szCs w:val="20"/>
              <w:lang w:val="bg-BG"/>
            </w:rPr>
            <m:t xml:space="preserve">= </m:t>
          </m:r>
          <m:sSup>
            <m:sSupPr>
              <m:ctrlPr>
                <w:rPr>
                  <w:rFonts w:ascii="Cambria Math" w:hAnsi="Cambria Math"/>
                  <w:i/>
                  <w:szCs w:val="20"/>
                  <w:lang w:val="bg-BG"/>
                </w:rPr>
              </m:ctrlPr>
            </m:sSupPr>
            <m:e>
              <m:r>
                <w:rPr>
                  <w:rFonts w:ascii="Cambria Math" w:hAnsi="Cambria Math"/>
                  <w:szCs w:val="20"/>
                  <w:lang w:val="bg-BG"/>
                </w:rPr>
                <m:t>5179</m:t>
              </m:r>
            </m:e>
            <m:sup>
              <m:r>
                <w:rPr>
                  <w:rFonts w:ascii="Cambria Math" w:hAnsi="Cambria Math"/>
                  <w:szCs w:val="20"/>
                  <w:lang w:val="bg-BG"/>
                </w:rPr>
                <m:t>1/3</m:t>
              </m:r>
            </m:sup>
          </m:sSup>
          <m:r>
            <w:rPr>
              <w:rFonts w:ascii="Cambria Math" w:hAnsi="Cambria Math"/>
              <w:szCs w:val="20"/>
              <w:lang w:val="bg-BG"/>
            </w:rPr>
            <m:t xml:space="preserve">=17,3 </m:t>
          </m:r>
          <m:d>
            <m:dPr>
              <m:begChr m:val="["/>
              <m:endChr m:val="]"/>
              <m:ctrlPr>
                <w:rPr>
                  <w:rFonts w:ascii="Cambria Math" w:hAnsi="Cambria Math"/>
                  <w:i/>
                  <w:szCs w:val="20"/>
                  <w:lang w:val="bg-BG"/>
                </w:rPr>
              </m:ctrlPr>
            </m:dPr>
            <m:e>
              <m:r>
                <w:rPr>
                  <w:rFonts w:ascii="Cambria Math" w:hAnsi="Cambria Math"/>
                  <w:szCs w:val="20"/>
                  <w:lang w:val="bg-BG"/>
                </w:rPr>
                <m:t>m</m:t>
              </m:r>
            </m:e>
          </m:d>
        </m:oMath>
      </m:oMathPara>
    </w:p>
    <w:p w:rsidR="004F47BB" w:rsidRPr="009072DA" w:rsidRDefault="002B712C" w:rsidP="004F47BB">
      <w:pPr>
        <w:tabs>
          <w:tab w:val="left" w:pos="992"/>
        </w:tabs>
        <w:overflowPunct w:val="0"/>
        <w:adjustRightInd w:val="0"/>
        <w:spacing w:before="120" w:line="240" w:lineRule="atLeast"/>
        <w:ind w:left="992" w:firstLine="1"/>
        <w:textAlignment w:val="baseline"/>
        <w:rPr>
          <w:szCs w:val="20"/>
          <w:lang w:val="bg-BG"/>
        </w:rPr>
      </w:pPr>
      <m:oMathPara>
        <m:oMathParaPr>
          <m:jc m:val="left"/>
        </m:oMathParaPr>
        <m:oMath>
          <m:sSup>
            <m:sSupPr>
              <m:ctrlPr>
                <w:rPr>
                  <w:rFonts w:ascii="Cambria Math" w:hAnsi="Cambria Math"/>
                  <w:i/>
                  <w:szCs w:val="20"/>
                  <w:lang w:val="bg-BG"/>
                </w:rPr>
              </m:ctrlPr>
            </m:sSupPr>
            <m:e>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IST</m:t>
                  </m:r>
                </m:sub>
              </m:sSub>
            </m:e>
            <m:sup>
              <m:r>
                <w:rPr>
                  <w:rFonts w:ascii="Cambria Math" w:hAnsi="Cambria Math"/>
                  <w:szCs w:val="20"/>
                  <w:lang w:val="bg-BG"/>
                </w:rPr>
                <m:t>1/3</m:t>
              </m:r>
            </m:sup>
          </m:sSup>
          <m:r>
            <w:rPr>
              <w:rFonts w:ascii="Cambria Math" w:hAnsi="Cambria Math"/>
              <w:szCs w:val="20"/>
              <w:lang w:val="bg-BG"/>
            </w:rPr>
            <m:t xml:space="preserve">∙ </m:t>
          </m:r>
          <m:d>
            <m:dPr>
              <m:ctrlPr>
                <w:rPr>
                  <w:rFonts w:ascii="Cambria Math" w:hAnsi="Cambria Math"/>
                  <w:i/>
                  <w:szCs w:val="20"/>
                  <w:lang w:val="bg-BG"/>
                </w:rPr>
              </m:ctrlPr>
            </m:dPr>
            <m:e>
              <m:r>
                <w:rPr>
                  <w:rFonts w:ascii="Cambria Math" w:hAnsi="Cambria Math"/>
                  <w:szCs w:val="20"/>
                  <w:lang w:val="bg-BG"/>
                </w:rPr>
                <m:t xml:space="preserve">B+2 ∙ </m:t>
              </m:r>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IST</m:t>
                  </m:r>
                </m:sub>
              </m:sSub>
            </m:e>
          </m:d>
          <m:r>
            <w:rPr>
              <w:rFonts w:ascii="Cambria Math" w:hAnsi="Cambria Math"/>
              <w:szCs w:val="20"/>
              <w:lang w:val="bg-BG"/>
            </w:rPr>
            <m:t xml:space="preserve">=17,3 ∙ </m:t>
          </m:r>
          <m:d>
            <m:dPr>
              <m:ctrlPr>
                <w:rPr>
                  <w:rFonts w:ascii="Cambria Math" w:hAnsi="Cambria Math"/>
                  <w:i/>
                  <w:szCs w:val="20"/>
                  <w:lang w:val="bg-BG"/>
                </w:rPr>
              </m:ctrlPr>
            </m:dPr>
            <m:e>
              <m:r>
                <w:rPr>
                  <w:rFonts w:ascii="Cambria Math" w:hAnsi="Cambria Math"/>
                  <w:szCs w:val="20"/>
                  <w:lang w:val="bg-BG"/>
                </w:rPr>
                <m:t>22,8+5,92</m:t>
              </m:r>
            </m:e>
          </m:d>
          <m:r>
            <w:rPr>
              <w:rFonts w:ascii="Cambria Math" w:hAnsi="Cambria Math"/>
              <w:szCs w:val="20"/>
              <w:lang w:val="bg-BG"/>
            </w:rPr>
            <m:t xml:space="preserve">=496,8 </m:t>
          </m:r>
          <m:d>
            <m:dPr>
              <m:begChr m:val="["/>
              <m:endChr m:val="]"/>
              <m:ctrlPr>
                <w:rPr>
                  <w:rFonts w:ascii="Cambria Math" w:hAnsi="Cambria Math"/>
                  <w:i/>
                  <w:szCs w:val="20"/>
                  <w:lang w:val="bg-BG"/>
                </w:rPr>
              </m:ctrlPr>
            </m:dPr>
            <m:e>
              <m:sSup>
                <m:sSupPr>
                  <m:ctrlPr>
                    <w:rPr>
                      <w:rFonts w:ascii="Cambria Math" w:hAnsi="Cambria Math"/>
                      <w:i/>
                      <w:szCs w:val="20"/>
                      <w:lang w:val="bg-BG"/>
                    </w:rPr>
                  </m:ctrlPr>
                </m:sSupPr>
                <m:e>
                  <m:r>
                    <w:rPr>
                      <w:rFonts w:ascii="Cambria Math" w:hAnsi="Cambria Math"/>
                      <w:szCs w:val="20"/>
                      <w:lang w:val="bg-BG"/>
                    </w:rPr>
                    <m:t>m</m:t>
                  </m:r>
                </m:e>
                <m:sup>
                  <m:r>
                    <w:rPr>
                      <w:rFonts w:ascii="Cambria Math" w:hAnsi="Cambria Math"/>
                      <w:szCs w:val="20"/>
                      <w:lang w:val="bg-BG"/>
                    </w:rPr>
                    <m:t>2</m:t>
                  </m:r>
                </m:sup>
              </m:sSup>
            </m:e>
          </m:d>
        </m:oMath>
      </m:oMathPara>
    </w:p>
    <w:p w:rsidR="004F47BB" w:rsidRPr="009072DA" w:rsidRDefault="004F47BB" w:rsidP="004F47BB">
      <w:pPr>
        <w:tabs>
          <w:tab w:val="left" w:pos="284"/>
        </w:tabs>
        <w:overflowPunct w:val="0"/>
        <w:adjustRightInd w:val="0"/>
        <w:spacing w:line="240" w:lineRule="exact"/>
        <w:ind w:left="1276" w:hanging="284"/>
        <w:textAlignment w:val="baseline"/>
        <w:rPr>
          <w:szCs w:val="20"/>
          <w:lang w:val="bg-BG"/>
        </w:rPr>
      </w:pPr>
    </w:p>
    <w:p w:rsidR="004F47BB" w:rsidRPr="009072DA" w:rsidRDefault="004F47BB" w:rsidP="004F47BB">
      <w:pPr>
        <w:tabs>
          <w:tab w:val="left" w:pos="284"/>
          <w:tab w:val="left" w:pos="3119"/>
          <w:tab w:val="left" w:pos="4678"/>
        </w:tabs>
        <w:overflowPunct w:val="0"/>
        <w:adjustRightInd w:val="0"/>
        <w:spacing w:line="240" w:lineRule="atLeast"/>
        <w:ind w:left="1276" w:hanging="284"/>
        <w:textAlignment w:val="baseline"/>
        <w:rPr>
          <w:szCs w:val="20"/>
          <w:lang w:val="bg-BG"/>
        </w:rPr>
      </w:pPr>
      <w:r w:rsidRPr="009072DA">
        <w:rPr>
          <w:lang w:val="bg-BG"/>
        </w:rPr>
        <w:t>съгласно таблица 3</w:t>
      </w:r>
      <w:r w:rsidRPr="009072DA">
        <w:rPr>
          <w:lang w:val="bg-BG"/>
        </w:rPr>
        <w:tab/>
      </w:r>
      <m:oMath>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T</m:t>
                </m:r>
              </m:sub>
            </m:sSub>
          </m:num>
          <m:den>
            <m:sSup>
              <m:sSupPr>
                <m:ctrlPr>
                  <w:rPr>
                    <w:rFonts w:ascii="Cambria Math" w:hAnsi="Cambria Math"/>
                    <w:i/>
                    <w:szCs w:val="20"/>
                    <w:lang w:val="bg-BG"/>
                  </w:rPr>
                </m:ctrlPr>
              </m:sSupPr>
              <m:e>
                <m:r>
                  <w:rPr>
                    <w:rFonts w:ascii="Cambria Math" w:hAnsi="Cambria Math"/>
                    <w:szCs w:val="20"/>
                    <w:lang w:val="bg-BG"/>
                  </w:rPr>
                  <m:t>v</m:t>
                </m:r>
              </m:e>
              <m:sup>
                <m:r>
                  <w:rPr>
                    <w:rFonts w:ascii="Cambria Math" w:hAnsi="Cambria Math"/>
                    <w:szCs w:val="20"/>
                    <w:lang w:val="bg-BG"/>
                  </w:rPr>
                  <m:t>2</m:t>
                </m:r>
              </m:sup>
            </m:sSup>
          </m:den>
        </m:f>
        <m:r>
          <w:rPr>
            <w:rFonts w:ascii="Cambria Math" w:hAnsi="Cambria Math"/>
            <w:szCs w:val="20"/>
            <w:lang w:val="bg-BG"/>
          </w:rPr>
          <m:t xml:space="preserve">=10,8 </m:t>
        </m:r>
        <m:d>
          <m:dPr>
            <m:ctrlPr>
              <w:rPr>
                <w:rFonts w:ascii="Cambria Math" w:hAnsi="Cambria Math"/>
                <w:i/>
                <w:szCs w:val="20"/>
                <w:lang w:val="bg-BG"/>
              </w:rPr>
            </m:ctrlPr>
          </m:dPr>
          <m:e>
            <m:f>
              <m:fPr>
                <m:ctrlPr>
                  <w:rPr>
                    <w:rFonts w:ascii="Cambria Math" w:hAnsi="Cambria Math"/>
                    <w:i/>
                    <w:szCs w:val="20"/>
                    <w:lang w:val="bg-BG"/>
                  </w:rPr>
                </m:ctrlPr>
              </m:fPr>
              <m:num>
                <m:r>
                  <w:rPr>
                    <w:rFonts w:ascii="Cambria Math" w:hAnsi="Cambria Math"/>
                    <w:szCs w:val="20"/>
                    <w:lang w:val="bg-BG"/>
                  </w:rPr>
                  <m:t xml:space="preserve">kN ∙ </m:t>
                </m:r>
                <m:sSup>
                  <m:sSupPr>
                    <m:ctrlPr>
                      <w:rPr>
                        <w:rFonts w:ascii="Cambria Math" w:hAnsi="Cambria Math"/>
                        <w:i/>
                        <w:szCs w:val="20"/>
                        <w:lang w:val="bg-BG"/>
                      </w:rPr>
                    </m:ctrlPr>
                  </m:sSupPr>
                  <m:e>
                    <m:r>
                      <w:rPr>
                        <w:rFonts w:ascii="Cambria Math" w:hAnsi="Cambria Math"/>
                        <w:szCs w:val="20"/>
                        <w:lang w:val="bg-BG"/>
                      </w:rPr>
                      <m:t>s</m:t>
                    </m:r>
                  </m:e>
                  <m:sup>
                    <m:r>
                      <w:rPr>
                        <w:rFonts w:ascii="Cambria Math" w:hAnsi="Cambria Math"/>
                        <w:szCs w:val="20"/>
                        <w:lang w:val="bg-BG"/>
                      </w:rPr>
                      <m:t>2</m:t>
                    </m:r>
                  </m:sup>
                </m:sSup>
              </m:num>
              <m:den>
                <m:sSup>
                  <m:sSupPr>
                    <m:ctrlPr>
                      <w:rPr>
                        <w:rFonts w:ascii="Cambria Math" w:hAnsi="Cambria Math"/>
                        <w:i/>
                        <w:szCs w:val="20"/>
                        <w:lang w:val="bg-BG"/>
                      </w:rPr>
                    </m:ctrlPr>
                  </m:sSupPr>
                  <m:e>
                    <m:r>
                      <w:rPr>
                        <w:rFonts w:ascii="Cambria Math" w:hAnsi="Cambria Math"/>
                        <w:szCs w:val="20"/>
                        <w:lang w:val="bg-BG"/>
                      </w:rPr>
                      <m:t>m</m:t>
                    </m:r>
                  </m:e>
                  <m:sup>
                    <m:r>
                      <w:rPr>
                        <w:rFonts w:ascii="Cambria Math" w:hAnsi="Cambria Math"/>
                        <w:szCs w:val="20"/>
                        <w:lang w:val="bg-BG"/>
                      </w:rPr>
                      <m:t>2</m:t>
                    </m:r>
                  </m:sup>
                </m:sSup>
              </m:den>
            </m:f>
          </m:e>
        </m:d>
      </m:oMath>
    </w:p>
    <w:p w:rsidR="004F47BB" w:rsidRPr="009072DA" w:rsidRDefault="004F47BB" w:rsidP="004F47BB">
      <w:pPr>
        <w:tabs>
          <w:tab w:val="left" w:pos="992"/>
        </w:tabs>
        <w:overflowPunct w:val="0"/>
        <w:adjustRightInd w:val="0"/>
        <w:spacing w:line="240" w:lineRule="atLeast"/>
        <w:ind w:left="992" w:firstLine="1"/>
        <w:textAlignment w:val="baseline"/>
        <w:rPr>
          <w:lang w:val="bg-BG"/>
        </w:rPr>
      </w:pPr>
    </w:p>
    <w:p w:rsidR="004F47BB" w:rsidRPr="009072DA" w:rsidRDefault="002B712C" w:rsidP="004F47BB">
      <w:pPr>
        <w:tabs>
          <w:tab w:val="left" w:pos="992"/>
        </w:tabs>
        <w:overflowPunct w:val="0"/>
        <w:adjustRightInd w:val="0"/>
        <w:spacing w:line="240" w:lineRule="atLeast"/>
        <w:ind w:left="992" w:firstLine="1"/>
        <w:textAlignment w:val="baseline"/>
        <w:rPr>
          <w:lang w:val="bg-BG"/>
        </w:rPr>
      </w:pPr>
      <m:oMathPara>
        <m:oMathParaPr>
          <m:jc m:val="left"/>
        </m:oMathParaP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v</m:t>
                  </m:r>
                </m:e>
                <m:sub>
                  <m:r>
                    <w:rPr>
                      <w:rFonts w:ascii="Cambria Math" w:hAnsi="Cambria Math"/>
                      <w:lang w:val="bg-BG"/>
                    </w:rPr>
                    <m:t>L</m:t>
                  </m:r>
                </m:sub>
              </m:sSub>
            </m:e>
            <m:sub>
              <m:r>
                <w:rPr>
                  <w:rFonts w:ascii="Cambria Math" w:hAnsi="Cambria Math"/>
                  <w:lang w:val="bg-BG"/>
                </w:rPr>
                <m:t>IST</m:t>
              </m:r>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v</m:t>
              </m:r>
            </m:e>
            <m:sub>
              <m:sSub>
                <m:sSubPr>
                  <m:ctrlPr>
                    <w:rPr>
                      <w:rFonts w:ascii="Cambria Math" w:hAnsi="Cambria Math"/>
                      <w:i/>
                      <w:lang w:val="bg-BG"/>
                    </w:rPr>
                  </m:ctrlPr>
                </m:sSubPr>
                <m:e>
                  <m:r>
                    <w:rPr>
                      <w:rFonts w:ascii="Cambria Math" w:hAnsi="Cambria Math"/>
                      <w:lang w:val="bg-BG"/>
                    </w:rPr>
                    <m:t>STR</m:t>
                  </m:r>
                </m:e>
                <m:sub>
                  <m:r>
                    <w:rPr>
                      <w:rFonts w:ascii="Cambria Math" w:hAnsi="Cambria Math"/>
                      <w:lang w:val="bg-BG"/>
                    </w:rPr>
                    <m:t>IST</m:t>
                  </m:r>
                </m:sub>
              </m:sSub>
            </m:sub>
          </m:sSub>
          <m:r>
            <w:rPr>
              <w:rFonts w:ascii="Cambria Math" w:hAnsi="Cambria Math"/>
              <w:lang w:val="bg-BG"/>
            </w:rPr>
            <m:t>=4,9-1,4=3,5 m/s</m:t>
          </m:r>
        </m:oMath>
      </m:oMathPara>
    </w:p>
    <w:p w:rsidR="004F47BB" w:rsidRPr="009072DA" w:rsidRDefault="004F47BB" w:rsidP="004F47BB">
      <w:pPr>
        <w:tabs>
          <w:tab w:val="left" w:pos="992"/>
        </w:tabs>
        <w:overflowPunct w:val="0"/>
        <w:adjustRightInd w:val="0"/>
        <w:spacing w:line="240" w:lineRule="atLeast"/>
        <w:ind w:left="992" w:firstLine="1"/>
        <w:textAlignment w:val="baseline"/>
        <w:rPr>
          <w:lang w:val="bg-BG"/>
        </w:rPr>
      </w:pPr>
    </w:p>
    <w:p w:rsidR="004F47BB" w:rsidRPr="009072DA" w:rsidRDefault="002B712C" w:rsidP="004F47BB">
      <w:pPr>
        <w:tabs>
          <w:tab w:val="left" w:pos="992"/>
        </w:tabs>
        <w:overflowPunct w:val="0"/>
        <w:adjustRightInd w:val="0"/>
        <w:spacing w:line="240" w:lineRule="atLeast"/>
        <w:ind w:left="992" w:firstLine="1"/>
        <w:textAlignment w:val="baseline"/>
        <w:rPr>
          <w:szCs w:val="20"/>
          <w:lang w:val="bg-BG"/>
        </w:rPr>
      </w:pPr>
      <m:oMathPara>
        <m:oMathParaPr>
          <m:jc m:val="left"/>
        </m:oMathParaP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TmII</m:t>
                  </m:r>
                </m:sub>
              </m:sSub>
            </m:e>
            <m:sub>
              <m:r>
                <w:rPr>
                  <w:rFonts w:ascii="Cambria Math" w:hAnsi="Cambria Math"/>
                  <w:lang w:val="bg-BG"/>
                </w:rPr>
                <m:t>IST</m:t>
              </m:r>
            </m:sub>
          </m:sSub>
          <m:r>
            <w:rPr>
              <w:rFonts w:ascii="Cambria Math" w:hAnsi="Cambria Math"/>
              <w:lang w:val="bg-BG"/>
            </w:rPr>
            <m:t xml:space="preserve">= </m:t>
          </m:r>
          <m:f>
            <m:fPr>
              <m:ctrlPr>
                <w:rPr>
                  <w:rFonts w:ascii="Cambria Math" w:hAnsi="Cambria Math"/>
                  <w:i/>
                  <w:lang w:val="bg-BG"/>
                </w:rPr>
              </m:ctrlPr>
            </m:fPr>
            <m:num>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T</m:t>
                  </m:r>
                </m:sub>
              </m:sSub>
            </m:num>
            <m:den>
              <m:sSup>
                <m:sSupPr>
                  <m:ctrlPr>
                    <w:rPr>
                      <w:rFonts w:ascii="Cambria Math" w:hAnsi="Cambria Math"/>
                      <w:i/>
                      <w:lang w:val="bg-BG"/>
                    </w:rPr>
                  </m:ctrlPr>
                </m:sSupPr>
                <m:e>
                  <m:r>
                    <w:rPr>
                      <w:rFonts w:ascii="Cambria Math" w:hAnsi="Cambria Math"/>
                      <w:lang w:val="bg-BG"/>
                    </w:rPr>
                    <m:t>v</m:t>
                  </m:r>
                </m:e>
                <m:sup>
                  <m:r>
                    <w:rPr>
                      <w:rFonts w:ascii="Cambria Math" w:hAnsi="Cambria Math"/>
                      <w:lang w:val="bg-BG"/>
                    </w:rPr>
                    <m:t>2</m:t>
                  </m:r>
                </m:sup>
              </m:sSup>
            </m:den>
          </m:f>
          <m:r>
            <w:rPr>
              <w:rFonts w:ascii="Cambria Math" w:hAnsi="Cambria Math"/>
              <w:lang w:val="bg-BG"/>
            </w:rPr>
            <m:t xml:space="preserve"> ∙ </m:t>
          </m:r>
          <m:sSup>
            <m:sSupPr>
              <m:ctrlPr>
                <w:rPr>
                  <w:rFonts w:ascii="Cambria Math" w:hAnsi="Cambria Math"/>
                  <w:i/>
                  <w:lang w:val="bg-BG"/>
                </w:rPr>
              </m:ctrlPr>
            </m:sSupPr>
            <m:e>
              <m:d>
                <m:dPr>
                  <m:ctrlPr>
                    <w:rPr>
                      <w:rFonts w:ascii="Cambria Math" w:hAnsi="Cambria Math"/>
                      <w:i/>
                      <w:lang w:val="bg-BG"/>
                    </w:rPr>
                  </m:ctrlPr>
                </m:dPr>
                <m:e>
                  <m:sSub>
                    <m:sSubPr>
                      <m:ctrlPr>
                        <w:rPr>
                          <w:rFonts w:ascii="Cambria Math" w:hAnsi="Cambria Math"/>
                          <w:i/>
                          <w:lang w:val="bg-BG"/>
                        </w:rPr>
                      </m:ctrlPr>
                    </m:sSubPr>
                    <m:e>
                      <m:r>
                        <w:rPr>
                          <w:rFonts w:ascii="Cambria Math" w:hAnsi="Cambria Math"/>
                          <w:lang w:val="bg-BG"/>
                        </w:rPr>
                        <m:t>k</m:t>
                      </m:r>
                    </m:e>
                    <m:sub>
                      <m:r>
                        <w:rPr>
                          <w:rFonts w:ascii="Cambria Math" w:hAnsi="Cambria Math"/>
                          <w:lang w:val="bg-BG"/>
                        </w:rPr>
                        <m:t>7</m:t>
                      </m:r>
                    </m:sub>
                  </m:sSub>
                  <m:r>
                    <w:rPr>
                      <w:rFonts w:ascii="Cambria Math" w:hAnsi="Cambria Math"/>
                      <w:lang w:val="bg-BG"/>
                    </w:rPr>
                    <m:t xml:space="preserve"> ∙ </m:t>
                  </m:r>
                  <m:sSub>
                    <m:sSubPr>
                      <m:ctrlPr>
                        <w:rPr>
                          <w:rFonts w:ascii="Cambria Math" w:hAnsi="Cambria Math"/>
                          <w:i/>
                          <w:lang w:val="bg-BG"/>
                        </w:rPr>
                      </m:ctrlPr>
                    </m:sSubPr>
                    <m:e>
                      <m:r>
                        <w:rPr>
                          <w:rFonts w:ascii="Cambria Math" w:hAnsi="Cambria Math"/>
                          <w:lang w:val="bg-BG"/>
                        </w:rPr>
                        <m:t>k</m:t>
                      </m:r>
                    </m:e>
                    <m:sub>
                      <m:r>
                        <w:rPr>
                          <w:rFonts w:ascii="Cambria Math" w:hAnsi="Cambria Math"/>
                          <w:lang w:val="bg-BG"/>
                        </w:rPr>
                        <m:t>6</m:t>
                      </m:r>
                    </m:sub>
                  </m:sSub>
                  <m:r>
                    <w:rPr>
                      <w:rFonts w:ascii="Cambria Math" w:hAnsi="Cambria Math"/>
                      <w:lang w:val="bg-BG"/>
                    </w:rPr>
                    <m:t xml:space="preserve"> ∙ </m:t>
                  </m:r>
                  <m:d>
                    <m:dPr>
                      <m:ctrlPr>
                        <w:rPr>
                          <w:rFonts w:ascii="Cambria Math" w:hAnsi="Cambria Math"/>
                          <w:i/>
                          <w:lang w:val="bg-BG"/>
                        </w:rPr>
                      </m:ctrlPr>
                    </m:dPr>
                    <m:e>
                      <m:sSub>
                        <m:sSubPr>
                          <m:ctrlPr>
                            <w:rPr>
                              <w:rFonts w:ascii="Cambria Math" w:hAnsi="Cambria Math"/>
                              <w:i/>
                              <w:lang w:val="bg-BG"/>
                            </w:rPr>
                          </m:ctrlPr>
                        </m:sSubPr>
                        <m:e>
                          <m:r>
                            <w:rPr>
                              <w:rFonts w:ascii="Cambria Math" w:hAnsi="Cambria Math"/>
                              <w:lang w:val="bg-BG"/>
                            </w:rPr>
                            <m:t>v</m:t>
                          </m:r>
                        </m:e>
                        <m:sub>
                          <m:sSub>
                            <m:sSubPr>
                              <m:ctrlPr>
                                <w:rPr>
                                  <w:rFonts w:ascii="Cambria Math" w:hAnsi="Cambria Math"/>
                                  <w:i/>
                                  <w:lang w:val="bg-BG"/>
                                </w:rPr>
                              </m:ctrlPr>
                            </m:sSubPr>
                            <m:e>
                              <m:r>
                                <w:rPr>
                                  <w:rFonts w:ascii="Cambria Math" w:hAnsi="Cambria Math"/>
                                  <w:lang w:val="bg-BG"/>
                                </w:rPr>
                                <m:t>L</m:t>
                              </m:r>
                            </m:e>
                            <m:sub>
                              <m:r>
                                <w:rPr>
                                  <w:rFonts w:ascii="Cambria Math" w:hAnsi="Cambria Math"/>
                                  <w:lang w:val="bg-BG"/>
                                </w:rPr>
                                <m:t>IST</m:t>
                              </m:r>
                            </m:sub>
                          </m:sSub>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v</m:t>
                          </m:r>
                        </m:e>
                        <m:sub>
                          <m:sSub>
                            <m:sSubPr>
                              <m:ctrlPr>
                                <w:rPr>
                                  <w:rFonts w:ascii="Cambria Math" w:hAnsi="Cambria Math"/>
                                  <w:i/>
                                  <w:lang w:val="bg-BG"/>
                                </w:rPr>
                              </m:ctrlPr>
                            </m:sSubPr>
                            <m:e>
                              <m:r>
                                <w:rPr>
                                  <w:rFonts w:ascii="Cambria Math" w:hAnsi="Cambria Math"/>
                                  <w:lang w:val="bg-BG"/>
                                </w:rPr>
                                <m:t>STR</m:t>
                              </m:r>
                            </m:e>
                            <m:sub>
                              <m:r>
                                <w:rPr>
                                  <w:rFonts w:ascii="Cambria Math" w:hAnsi="Cambria Math"/>
                                  <w:lang w:val="bg-BG"/>
                                </w:rPr>
                                <m:t>IST</m:t>
                              </m:r>
                            </m:sub>
                          </m:sSub>
                        </m:sub>
                      </m:sSub>
                    </m:e>
                  </m:d>
                </m:e>
              </m:d>
            </m:e>
            <m:sup>
              <m:r>
                <w:rPr>
                  <w:rFonts w:ascii="Cambria Math" w:hAnsi="Cambria Math"/>
                  <w:lang w:val="bg-BG"/>
                </w:rPr>
                <m:t>2</m:t>
              </m:r>
            </m:sup>
          </m:sSup>
          <m:r>
            <w:rPr>
              <w:rFonts w:ascii="Cambria Math" w:hAnsi="Cambria Math"/>
              <w:lang w:val="bg-BG"/>
            </w:rPr>
            <m:t xml:space="preserve">= 10,8 ∙ </m:t>
          </m:r>
          <m:sSup>
            <m:sSupPr>
              <m:ctrlPr>
                <w:rPr>
                  <w:rFonts w:ascii="Cambria Math" w:hAnsi="Cambria Math"/>
                  <w:i/>
                  <w:lang w:val="bg-BG"/>
                </w:rPr>
              </m:ctrlPr>
            </m:sSupPr>
            <m:e>
              <m:d>
                <m:dPr>
                  <m:ctrlPr>
                    <w:rPr>
                      <w:rFonts w:ascii="Cambria Math" w:hAnsi="Cambria Math"/>
                      <w:i/>
                      <w:lang w:val="bg-BG"/>
                    </w:rPr>
                  </m:ctrlPr>
                </m:dPr>
                <m:e>
                  <m:r>
                    <w:rPr>
                      <w:rFonts w:ascii="Cambria Math" w:hAnsi="Cambria Math"/>
                      <w:lang w:val="bg-BG"/>
                    </w:rPr>
                    <m:t>0,55 ∙0,85 ∙3,5</m:t>
                  </m:r>
                </m:e>
              </m:d>
            </m:e>
            <m:sup>
              <m:r>
                <w:rPr>
                  <w:rFonts w:ascii="Cambria Math" w:hAnsi="Cambria Math"/>
                  <w:lang w:val="bg-BG"/>
                </w:rPr>
                <m:t>2</m:t>
              </m:r>
            </m:sup>
          </m:sSup>
          <m:r>
            <w:rPr>
              <w:rFonts w:ascii="Cambria Math" w:hAnsi="Cambria Math"/>
              <w:lang w:val="bg-BG"/>
            </w:rPr>
            <m:t>=</m:t>
          </m:r>
          <m:r>
            <m:rPr>
              <m:sty m:val="bi"/>
            </m:rPr>
            <w:rPr>
              <w:rFonts w:ascii="Cambria Math" w:hAnsi="Cambria Math"/>
              <w:lang w:val="bg-BG"/>
            </w:rPr>
            <m:t xml:space="preserve">28,8 </m:t>
          </m:r>
          <m:d>
            <m:dPr>
              <m:begChr m:val="["/>
              <m:endChr m:val="]"/>
              <m:ctrlPr>
                <w:rPr>
                  <w:rFonts w:ascii="Cambria Math" w:hAnsi="Cambria Math"/>
                  <w:b/>
                  <w:i/>
                  <w:lang w:val="bg-BG"/>
                </w:rPr>
              </m:ctrlPr>
            </m:dPr>
            <m:e>
              <m:r>
                <m:rPr>
                  <m:sty m:val="bi"/>
                </m:rPr>
                <w:rPr>
                  <w:rFonts w:ascii="Cambria Math" w:hAnsi="Cambria Math"/>
                  <w:lang w:val="bg-BG"/>
                </w:rPr>
                <m:t>kN</m:t>
              </m:r>
            </m:e>
          </m:d>
        </m:oMath>
      </m:oMathPara>
    </w:p>
    <w:p w:rsidR="004F47BB" w:rsidRPr="009072DA" w:rsidRDefault="004F47BB" w:rsidP="004F47BB">
      <w:pPr>
        <w:tabs>
          <w:tab w:val="left" w:pos="284"/>
          <w:tab w:val="left" w:pos="45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284"/>
          <w:tab w:val="left" w:pos="45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284"/>
          <w:tab w:val="left" w:pos="45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284"/>
          <w:tab w:val="left" w:pos="454"/>
        </w:tabs>
        <w:overflowPunct w:val="0"/>
        <w:adjustRightInd w:val="0"/>
        <w:spacing w:line="240" w:lineRule="exact"/>
        <w:ind w:left="284" w:hanging="284"/>
        <w:textAlignment w:val="baseline"/>
        <w:rPr>
          <w:szCs w:val="20"/>
          <w:lang w:val="bg-BG"/>
        </w:rPr>
      </w:pPr>
      <w:r w:rsidRPr="009072DA">
        <w:rPr>
          <w:lang w:val="bg-BG"/>
        </w:rPr>
        <w:br w:type="page"/>
      </w: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r w:rsidRPr="009072DA">
        <w:rPr>
          <w:lang w:val="bg-BG"/>
        </w:rPr>
        <w:lastRenderedPageBreak/>
        <w:t>г)</w:t>
      </w:r>
      <w:r w:rsidRPr="009072DA">
        <w:rPr>
          <w:lang w:val="bg-BG"/>
        </w:rPr>
        <w:tab/>
        <w:t xml:space="preserve">изчисляване на съпротивлението на наклона </w:t>
      </w:r>
      <m:oMath>
        <m:sSub>
          <m:sSubPr>
            <m:ctrlPr>
              <w:rPr>
                <w:rFonts w:ascii="Cambria Math" w:hAnsi="Cambria Math"/>
                <w:i/>
                <w:sz w:val="16"/>
                <w:szCs w:val="20"/>
                <w:lang w:val="bg-BG"/>
              </w:rPr>
            </m:ctrlPr>
          </m:sSubPr>
          <m:e>
            <m:r>
              <w:rPr>
                <w:rFonts w:ascii="Cambria Math" w:hAnsi="Cambria Math"/>
                <w:sz w:val="16"/>
                <w:szCs w:val="20"/>
                <w:lang w:val="bg-BG"/>
              </w:rPr>
              <m:t>R</m:t>
            </m:r>
          </m:e>
          <m:sub>
            <m:r>
              <w:rPr>
                <w:rFonts w:ascii="Cambria Math" w:hAnsi="Cambria Math"/>
                <w:sz w:val="16"/>
                <w:szCs w:val="20"/>
                <w:lang w:val="bg-BG"/>
              </w:rPr>
              <m:t>G</m:t>
            </m:r>
          </m:sub>
        </m:sSub>
      </m:oMath>
      <w:r w:rsidRPr="009072DA">
        <w:rPr>
          <w:lang w:val="bg-BG"/>
        </w:rPr>
        <w:t xml:space="preserve"> съгласно формула (4.4)</w:t>
      </w: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p>
    <w:p w:rsidR="004F47BB" w:rsidRPr="009072DA" w:rsidRDefault="002B712C" w:rsidP="004F47BB">
      <w:pPr>
        <w:overflowPunct w:val="0"/>
        <w:adjustRightInd w:val="0"/>
        <w:spacing w:line="240" w:lineRule="atLeast"/>
        <w:ind w:left="993" w:hanging="1"/>
        <w:textAlignment w:val="baseline"/>
        <w:rPr>
          <w:szCs w:val="20"/>
          <w:lang w:val="bg-BG"/>
        </w:rPr>
      </w:pPr>
      <m:oMathPara>
        <m:oMathParaPr>
          <m:jc m:val="left"/>
        </m:oMathParaPr>
        <m:oMath>
          <m:sSub>
            <m:sSubPr>
              <m:ctrlPr>
                <w:rPr>
                  <w:rFonts w:ascii="Cambria Math" w:hAnsi="Cambria Math"/>
                  <w:i/>
                  <w:sz w:val="16"/>
                  <w:szCs w:val="20"/>
                  <w:lang w:val="bg-BG"/>
                </w:rPr>
              </m:ctrlPr>
            </m:sSubPr>
            <m:e>
              <m:r>
                <w:rPr>
                  <w:rFonts w:ascii="Cambria Math" w:hAnsi="Cambria Math"/>
                  <w:sz w:val="16"/>
                  <w:szCs w:val="20"/>
                  <w:lang w:val="bg-BG"/>
                </w:rPr>
                <m:t>R</m:t>
              </m:r>
            </m:e>
            <m:sub>
              <m:r>
                <w:rPr>
                  <w:rFonts w:ascii="Cambria Math" w:hAnsi="Cambria Math"/>
                  <w:sz w:val="16"/>
                  <w:szCs w:val="20"/>
                  <w:lang w:val="bg-BG"/>
                </w:rPr>
                <m:t>G</m:t>
              </m:r>
            </m:sub>
          </m:sSub>
          <m:r>
            <w:rPr>
              <w:rFonts w:ascii="Cambria Math" w:hAnsi="Cambria Math"/>
              <w:sz w:val="16"/>
              <w:szCs w:val="20"/>
              <w:lang w:val="bg-BG"/>
            </w:rPr>
            <m:t xml:space="preserve"> </m:t>
          </m:r>
          <m:r>
            <w:rPr>
              <w:rFonts w:ascii="Cambria Math" w:hAnsi="Cambria Math"/>
              <w:szCs w:val="20"/>
              <w:lang w:val="bg-BG"/>
            </w:rPr>
            <m:t xml:space="preserve">= </m:t>
          </m:r>
          <m:sSup>
            <m:sSupPr>
              <m:ctrlPr>
                <w:rPr>
                  <w:rFonts w:ascii="Cambria Math" w:hAnsi="Cambria Math"/>
                  <w:i/>
                  <w:szCs w:val="20"/>
                  <w:lang w:val="bg-BG"/>
                </w:rPr>
              </m:ctrlPr>
            </m:sSupPr>
            <m:e>
              <m:r>
                <w:rPr>
                  <w:rFonts w:ascii="Cambria Math" w:hAnsi="Cambria Math"/>
                  <w:szCs w:val="20"/>
                  <w:lang w:val="bg-BG"/>
                </w:rPr>
                <m:t>10</m:t>
              </m:r>
            </m:e>
            <m:sup>
              <m:r>
                <w:rPr>
                  <w:rFonts w:ascii="Cambria Math" w:hAnsi="Cambria Math"/>
                  <w:szCs w:val="20"/>
                  <w:lang w:val="bg-BG"/>
                </w:rPr>
                <m:t>-6</m:t>
              </m:r>
            </m:sup>
          </m:sSup>
          <m:r>
            <w:rPr>
              <w:rFonts w:ascii="Cambria Math" w:hAnsi="Cambria Math"/>
              <w:szCs w:val="20"/>
              <w:lang w:val="bg-BG"/>
            </w:rPr>
            <m:t xml:space="preserve"> ∙ </m:t>
          </m:r>
          <m:d>
            <m:dPr>
              <m:ctrlPr>
                <w:rPr>
                  <w:rFonts w:ascii="Cambria Math" w:hAnsi="Cambria Math"/>
                  <w:i/>
                  <w:szCs w:val="20"/>
                  <w:lang w:val="bg-BG"/>
                </w:rPr>
              </m:ctrlPr>
            </m:dPr>
            <m:e>
              <m:r>
                <w:rPr>
                  <w:rFonts w:ascii="Cambria Math" w:hAnsi="Cambria Math"/>
                  <w:szCs w:val="20"/>
                  <w:lang w:val="bg-BG"/>
                </w:rPr>
                <m:t xml:space="preserve">0,16 ∙ </m:t>
              </m:r>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IST</m:t>
                  </m:r>
                </m:sub>
              </m:sSub>
              <m:r>
                <w:rPr>
                  <w:rFonts w:ascii="Cambria Math" w:hAnsi="Cambria Math"/>
                  <w:szCs w:val="20"/>
                  <w:lang w:val="bg-BG"/>
                </w:rPr>
                <m:t xml:space="preserve"> ∙ ρ ∙g</m:t>
              </m:r>
            </m:e>
          </m:d>
          <m:r>
            <w:rPr>
              <w:rFonts w:ascii="Cambria Math" w:hAnsi="Cambria Math"/>
              <w:szCs w:val="20"/>
              <w:lang w:val="bg-BG"/>
            </w:rPr>
            <m:t>=</m:t>
          </m:r>
          <m:sSup>
            <m:sSupPr>
              <m:ctrlPr>
                <w:rPr>
                  <w:rFonts w:ascii="Cambria Math" w:hAnsi="Cambria Math"/>
                  <w:i/>
                  <w:szCs w:val="20"/>
                  <w:lang w:val="bg-BG"/>
                </w:rPr>
              </m:ctrlPr>
            </m:sSupPr>
            <m:e>
              <m:r>
                <w:rPr>
                  <w:rFonts w:ascii="Cambria Math" w:hAnsi="Cambria Math"/>
                  <w:szCs w:val="20"/>
                  <w:lang w:val="bg-BG"/>
                </w:rPr>
                <m:t>10</m:t>
              </m:r>
            </m:e>
            <m:sup>
              <m:r>
                <w:rPr>
                  <w:rFonts w:ascii="Cambria Math" w:hAnsi="Cambria Math"/>
                  <w:szCs w:val="20"/>
                  <w:lang w:val="bg-BG"/>
                </w:rPr>
                <m:t>-6</m:t>
              </m:r>
            </m:sup>
          </m:sSup>
          <m:r>
            <w:rPr>
              <w:rFonts w:ascii="Cambria Math" w:hAnsi="Cambria Math"/>
              <w:szCs w:val="20"/>
              <w:lang w:val="bg-BG"/>
            </w:rPr>
            <m:t xml:space="preserve"> ∙(0,16 ∙</m:t>
          </m:r>
          <m:r>
            <m:rPr>
              <m:sty m:val="bi"/>
            </m:rPr>
            <w:rPr>
              <w:rFonts w:ascii="Cambria Math" w:hAnsi="Cambria Math"/>
              <w:position w:val="6"/>
              <w:szCs w:val="20"/>
              <w:lang w:val="bg-BG"/>
            </w:rPr>
            <m:t xml:space="preserve"> </m:t>
          </m:r>
          <m:r>
            <w:rPr>
              <w:rFonts w:ascii="Cambria Math" w:hAnsi="Cambria Math"/>
              <w:szCs w:val="20"/>
              <w:lang w:val="bg-BG"/>
            </w:rPr>
            <m:t xml:space="preserve">5179 ∙ 1000 ∙ 9,81)= </m:t>
          </m:r>
          <m:r>
            <m:rPr>
              <m:sty m:val="bi"/>
            </m:rPr>
            <w:rPr>
              <w:rFonts w:ascii="Cambria Math" w:hAnsi="Cambria Math"/>
              <w:szCs w:val="20"/>
              <w:u w:val="single"/>
              <w:lang w:val="bg-BG"/>
            </w:rPr>
            <m:t>8,13</m:t>
          </m:r>
          <m:r>
            <m:rPr>
              <m:sty m:val="bi"/>
            </m:rPr>
            <w:rPr>
              <w:rFonts w:ascii="Cambria Math" w:hAnsi="Cambria Math"/>
              <w:szCs w:val="20"/>
              <w:lang w:val="bg-BG"/>
            </w:rPr>
            <m:t xml:space="preserve">  [kN]</m:t>
          </m:r>
        </m:oMath>
      </m:oMathPara>
    </w:p>
    <w:p w:rsidR="004F47BB" w:rsidRPr="009072DA" w:rsidRDefault="004F47BB" w:rsidP="004F47BB">
      <w:pPr>
        <w:tabs>
          <w:tab w:val="left" w:pos="284"/>
          <w:tab w:val="left" w:pos="45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r w:rsidRPr="009072DA">
        <w:rPr>
          <w:lang w:val="bg-BG"/>
        </w:rPr>
        <w:t>д)</w:t>
      </w:r>
      <w:r w:rsidRPr="009072DA">
        <w:rPr>
          <w:lang w:val="bg-BG"/>
        </w:rPr>
        <w:tab/>
        <w:t xml:space="preserve">изчисляване на </w:t>
      </w:r>
      <m:oMath>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IST</m:t>
                </m:r>
              </m:sub>
            </m:sSub>
          </m:sub>
        </m:sSub>
      </m:oMath>
      <w:r w:rsidRPr="009072DA">
        <w:rPr>
          <w:lang w:val="bg-BG"/>
        </w:rPr>
        <w:t xml:space="preserve"> съгласно формула (4.5)</w:t>
      </w:r>
    </w:p>
    <w:p w:rsidR="004F47BB" w:rsidRPr="009072DA" w:rsidRDefault="004F47BB" w:rsidP="004F47BB">
      <w:pPr>
        <w:overflowPunct w:val="0"/>
        <w:adjustRightInd w:val="0"/>
        <w:spacing w:line="240" w:lineRule="atLeast"/>
        <w:ind w:left="992"/>
        <w:textAlignment w:val="baseline"/>
        <w:rPr>
          <w:szCs w:val="20"/>
          <w:lang w:val="bg-BG"/>
        </w:rPr>
      </w:pPr>
    </w:p>
    <w:p w:rsidR="004F47BB" w:rsidRPr="009072DA" w:rsidRDefault="002B712C" w:rsidP="004F47BB">
      <w:pPr>
        <w:overflowPunct w:val="0"/>
        <w:adjustRightInd w:val="0"/>
        <w:spacing w:line="240" w:lineRule="atLeast"/>
        <w:ind w:left="992"/>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IST</m:t>
                  </m:r>
                </m:sub>
              </m:sSub>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6</m:t>
              </m:r>
            </m:sub>
          </m:sSub>
          <m:r>
            <w:rPr>
              <w:rFonts w:ascii="Cambria Math" w:hAnsi="Cambria Math"/>
              <w:szCs w:val="20"/>
              <w:lang w:val="bg-BG"/>
            </w:rPr>
            <m:t xml:space="preserve"> ∙  </m:t>
          </m:r>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L</m:t>
                      </m:r>
                    </m:e>
                    <m:sub>
                      <m:r>
                        <w:rPr>
                          <w:rFonts w:ascii="Cambria Math" w:hAnsi="Cambria Math"/>
                          <w:szCs w:val="20"/>
                          <w:lang w:val="bg-BG"/>
                        </w:rPr>
                        <m:t>IST</m:t>
                      </m:r>
                    </m:sub>
                  </m:sSub>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STR</m:t>
                      </m:r>
                    </m:e>
                    <m:sub>
                      <m:r>
                        <w:rPr>
                          <w:rFonts w:ascii="Cambria Math" w:hAnsi="Cambria Math"/>
                          <w:szCs w:val="20"/>
                          <w:lang w:val="bg-BG"/>
                        </w:rPr>
                        <m:t>IST</m:t>
                      </m:r>
                    </m:sub>
                  </m:sSub>
                </m:sub>
              </m:sSub>
            </m:e>
          </m:d>
          <m:r>
            <w:rPr>
              <w:rFonts w:ascii="Cambria Math" w:hAnsi="Cambria Math"/>
              <w:szCs w:val="20"/>
              <w:lang w:val="bg-BG"/>
            </w:rPr>
            <m:t xml:space="preserve">= </m:t>
          </m:r>
          <m:d>
            <m:dPr>
              <m:ctrlPr>
                <w:rPr>
                  <w:rFonts w:ascii="Cambria Math" w:hAnsi="Cambria Math"/>
                  <w:i/>
                  <w:szCs w:val="20"/>
                  <w:lang w:val="bg-BG"/>
                </w:rPr>
              </m:ctrlPr>
            </m:dPr>
            <m:e>
              <m:r>
                <w:rPr>
                  <w:rFonts w:ascii="Cambria Math" w:hAnsi="Cambria Math"/>
                  <w:szCs w:val="20"/>
                  <w:lang w:val="bg-BG"/>
                </w:rPr>
                <m:t>0,85 ∙3,5</m:t>
              </m:r>
            </m:e>
          </m:d>
          <m:r>
            <w:rPr>
              <w:rFonts w:ascii="Cambria Math" w:hAnsi="Cambria Math"/>
              <w:szCs w:val="20"/>
              <w:lang w:val="bg-BG"/>
            </w:rPr>
            <m:t xml:space="preserve">=2,97 </m:t>
          </m:r>
          <m:d>
            <m:dPr>
              <m:begChr m:val="["/>
              <m:endChr m:val="]"/>
              <m:ctrlPr>
                <w:rPr>
                  <w:rFonts w:ascii="Cambria Math" w:hAnsi="Cambria Math"/>
                  <w:i/>
                  <w:szCs w:val="20"/>
                  <w:lang w:val="bg-BG"/>
                </w:rPr>
              </m:ctrlPr>
            </m:dPr>
            <m:e>
              <m:r>
                <w:rPr>
                  <w:rFonts w:ascii="Cambria Math" w:hAnsi="Cambria Math"/>
                  <w:szCs w:val="20"/>
                  <w:lang w:val="bg-BG"/>
                </w:rPr>
                <m:t>m/s</m:t>
              </m:r>
            </m:e>
          </m:d>
        </m:oMath>
      </m:oMathPara>
    </w:p>
    <w:p w:rsidR="004F47BB" w:rsidRPr="009072DA" w:rsidRDefault="004F47BB" w:rsidP="004F47BB">
      <w:pPr>
        <w:overflowPunct w:val="0"/>
        <w:adjustRightInd w:val="0"/>
        <w:spacing w:line="240" w:lineRule="exact"/>
        <w:ind w:left="993"/>
        <w:textAlignment w:val="baseline"/>
        <w:rPr>
          <w:szCs w:val="20"/>
          <w:lang w:val="bg-BG"/>
        </w:rPr>
      </w:pPr>
    </w:p>
    <w:p w:rsidR="004F47BB" w:rsidRPr="009072DA" w:rsidRDefault="002B712C" w:rsidP="004F47BB">
      <w:pPr>
        <w:overflowPunct w:val="0"/>
        <w:adjustRightInd w:val="0"/>
        <w:spacing w:line="240" w:lineRule="atLeast"/>
        <w:ind w:left="993" w:hanging="1"/>
        <w:textAlignment w:val="baseline"/>
        <w:rPr>
          <w:szCs w:val="20"/>
          <w:lang w:val="bg-BG"/>
        </w:rPr>
      </w:pPr>
      <m:oMathPara>
        <m:oMathParaPr>
          <m:jc m:val="left"/>
        </m:oMathParaPr>
        <m:oMath>
          <m:sSub>
            <m:sSubPr>
              <m:ctrlPr>
                <w:rPr>
                  <w:rFonts w:ascii="Cambria Math" w:hAnsi="Cambria Math"/>
                  <w:i/>
                  <w:szCs w:val="20"/>
                  <w:lang w:val="bg-BG"/>
                </w:rPr>
              </m:ctrlPr>
            </m:sSubPr>
            <m:e>
              <m:sSup>
                <m:sSupPr>
                  <m:ctrlPr>
                    <w:rPr>
                      <w:rFonts w:ascii="Cambria Math" w:hAnsi="Cambria Math"/>
                      <w:i/>
                      <w:szCs w:val="20"/>
                      <w:lang w:val="bg-BG"/>
                    </w:rPr>
                  </m:ctrlPr>
                </m:sSupPr>
                <m:e>
                  <m:r>
                    <w:rPr>
                      <w:rFonts w:ascii="Cambria Math" w:hAnsi="Cambria Math"/>
                      <w:szCs w:val="20"/>
                      <w:lang w:val="bg-BG"/>
                    </w:rPr>
                    <m:t>v</m:t>
                  </m:r>
                </m:e>
                <m:sup>
                  <m:r>
                    <w:rPr>
                      <w:rFonts w:ascii="Cambria Math" w:hAnsi="Cambria Math"/>
                      <w:szCs w:val="20"/>
                      <w:lang w:val="bg-BG"/>
                    </w:rPr>
                    <m:t>2</m:t>
                  </m:r>
                </m:sup>
              </m:sSup>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IST</m:t>
                  </m:r>
                </m:sub>
              </m:sSub>
            </m:sub>
          </m:sSub>
          <m:r>
            <w:rPr>
              <w:rFonts w:ascii="Cambria Math" w:hAnsi="Cambria Math"/>
              <w:szCs w:val="20"/>
              <w:lang w:val="bg-BG"/>
            </w:rPr>
            <m:t xml:space="preserve">=8,85 </m:t>
          </m:r>
          <m:sSup>
            <m:sSupPr>
              <m:ctrlPr>
                <w:rPr>
                  <w:rFonts w:ascii="Cambria Math" w:hAnsi="Cambria Math"/>
                  <w:i/>
                  <w:szCs w:val="20"/>
                  <w:lang w:val="bg-BG"/>
                </w:rPr>
              </m:ctrlPr>
            </m:sSupPr>
            <m:e>
              <m:d>
                <m:dPr>
                  <m:begChr m:val="["/>
                  <m:endChr m:val="]"/>
                  <m:ctrlPr>
                    <w:rPr>
                      <w:rFonts w:ascii="Cambria Math" w:hAnsi="Cambria Math"/>
                      <w:i/>
                      <w:szCs w:val="20"/>
                      <w:lang w:val="bg-BG"/>
                    </w:rPr>
                  </m:ctrlPr>
                </m:dPr>
                <m:e>
                  <m:r>
                    <w:rPr>
                      <w:rFonts w:ascii="Cambria Math" w:hAnsi="Cambria Math"/>
                      <w:szCs w:val="20"/>
                      <w:lang w:val="bg-BG"/>
                    </w:rPr>
                    <m:t>m/s</m:t>
                  </m:r>
                </m:e>
              </m:d>
            </m:e>
            <m:sup>
              <m:r>
                <w:rPr>
                  <w:rFonts w:ascii="Cambria Math" w:hAnsi="Cambria Math"/>
                  <w:szCs w:val="20"/>
                  <w:lang w:val="bg-BG"/>
                </w:rPr>
                <m:t>2</m:t>
              </m:r>
            </m:sup>
          </m:sSup>
        </m:oMath>
      </m:oMathPara>
    </w:p>
    <w:p w:rsidR="004F47BB" w:rsidRPr="009072DA" w:rsidRDefault="004F47BB" w:rsidP="004F47BB">
      <w:pPr>
        <w:tabs>
          <w:tab w:val="left" w:pos="1418"/>
        </w:tabs>
        <w:overflowPunct w:val="0"/>
        <w:adjustRightInd w:val="0"/>
        <w:spacing w:line="240" w:lineRule="atLeast"/>
        <w:ind w:left="1417"/>
        <w:textAlignment w:val="baseline"/>
        <w:rPr>
          <w:szCs w:val="20"/>
          <w:lang w:val="bg-BG"/>
        </w:rPr>
      </w:pP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r w:rsidRPr="009072DA">
        <w:rPr>
          <w:lang w:val="bg-BG"/>
        </w:rPr>
        <w:t>е)</w:t>
      </w:r>
      <w:r w:rsidRPr="009072DA">
        <w:rPr>
          <w:lang w:val="bg-BG"/>
        </w:rPr>
        <w:tab/>
        <w:t xml:space="preserve">изчисляване на </w:t>
      </w:r>
      <m:oMath>
        <m:sSub>
          <m:sSubPr>
            <m:ctrlPr>
              <w:rPr>
                <w:rFonts w:ascii="Cambria Math" w:hAnsi="Cambria Math"/>
                <w:i/>
                <w:szCs w:val="20"/>
                <w:lang w:val="bg-BG"/>
              </w:rPr>
            </m:ctrlPr>
          </m:sSubPr>
          <m:e>
            <m:r>
              <w:rPr>
                <w:rFonts w:ascii="Cambria Math" w:hAnsi="Cambria Math"/>
                <w:szCs w:val="20"/>
                <w:lang w:val="bg-BG"/>
              </w:rPr>
              <m:t>F</m:t>
            </m:r>
          </m:e>
          <m:sub>
            <m:r>
              <w:rPr>
                <w:rFonts w:ascii="Cambria Math" w:hAnsi="Cambria Math"/>
                <w:szCs w:val="20"/>
                <w:lang w:val="bg-BG"/>
              </w:rPr>
              <m:t>POR</m:t>
            </m:r>
          </m:sub>
        </m:sSub>
      </m:oMath>
      <w:r w:rsidRPr="009072DA">
        <w:rPr>
          <w:lang w:val="bg-BG"/>
        </w:rPr>
        <w:t xml:space="preserve"> съгласно формула (4.6) и таблица 2</w:t>
      </w:r>
    </w:p>
    <w:p w:rsidR="004F47BB" w:rsidRPr="009072DA" w:rsidRDefault="004F47BB" w:rsidP="004F47BB">
      <w:pPr>
        <w:tabs>
          <w:tab w:val="left" w:pos="284"/>
          <w:tab w:val="left" w:pos="454"/>
        </w:tabs>
        <w:overflowPunct w:val="0"/>
        <w:adjustRightInd w:val="0"/>
        <w:spacing w:line="240" w:lineRule="exact"/>
        <w:ind w:left="284" w:hanging="284"/>
        <w:textAlignment w:val="baseline"/>
        <w:rPr>
          <w:szCs w:val="20"/>
          <w:lang w:val="bg-BG"/>
        </w:rPr>
      </w:pPr>
    </w:p>
    <w:p w:rsidR="004F47BB" w:rsidRPr="009072DA" w:rsidRDefault="002B712C" w:rsidP="004F47BB">
      <w:pPr>
        <w:overflowPunct w:val="0"/>
        <w:adjustRightInd w:val="0"/>
        <w:spacing w:line="240" w:lineRule="atLeast"/>
        <w:ind w:left="992"/>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F</m:t>
              </m:r>
            </m:e>
            <m:sub>
              <m:r>
                <w:rPr>
                  <w:rFonts w:ascii="Cambria Math" w:hAnsi="Cambria Math"/>
                  <w:szCs w:val="20"/>
                  <w:lang w:val="bg-BG"/>
                </w:rPr>
                <m:t>POR</m:t>
              </m:r>
            </m:sub>
          </m:sSub>
          <m:r>
            <w:rPr>
              <w:rFonts w:ascii="Cambria Math" w:hAnsi="Cambria Math"/>
              <w:szCs w:val="20"/>
              <w:lang w:val="bg-BG"/>
            </w:rPr>
            <m:t>=0,118 ∙1500=</m:t>
          </m:r>
          <m:r>
            <m:rPr>
              <m:sty m:val="bi"/>
            </m:rPr>
            <w:rPr>
              <w:rFonts w:ascii="Cambria Math" w:hAnsi="Cambria Math"/>
              <w:szCs w:val="20"/>
              <w:lang w:val="bg-BG"/>
            </w:rPr>
            <m:t xml:space="preserve">177 </m:t>
          </m:r>
          <m:d>
            <m:dPr>
              <m:begChr m:val="["/>
              <m:endChr m:val="]"/>
              <m:ctrlPr>
                <w:rPr>
                  <w:rFonts w:ascii="Cambria Math" w:hAnsi="Cambria Math"/>
                  <w:b/>
                  <w:i/>
                  <w:szCs w:val="20"/>
                  <w:lang w:val="bg-BG"/>
                </w:rPr>
              </m:ctrlPr>
            </m:dPr>
            <m:e>
              <m:r>
                <m:rPr>
                  <m:sty m:val="bi"/>
                </m:rPr>
                <w:rPr>
                  <w:rFonts w:ascii="Cambria Math" w:hAnsi="Cambria Math"/>
                  <w:szCs w:val="20"/>
                  <w:lang w:val="bg-BG"/>
                </w:rPr>
                <m:t>kN</m:t>
              </m:r>
            </m:e>
          </m:d>
        </m:oMath>
      </m:oMathPara>
    </w:p>
    <w:p w:rsidR="004F47BB" w:rsidRPr="009072DA" w:rsidRDefault="004F47BB" w:rsidP="004F47BB">
      <w:pPr>
        <w:tabs>
          <w:tab w:val="left" w:pos="284"/>
          <w:tab w:val="left" w:pos="45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r w:rsidRPr="009072DA">
        <w:rPr>
          <w:lang w:val="bg-BG"/>
        </w:rPr>
        <w:t>ж)</w:t>
      </w:r>
      <w:r w:rsidRPr="009072DA">
        <w:rPr>
          <w:lang w:val="bg-BG"/>
        </w:rPr>
        <w:tab/>
        <w:t xml:space="preserve">изчисляване на </w:t>
      </w: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IST</m:t>
                </m:r>
              </m:sub>
            </m:sSub>
          </m:sub>
        </m:sSub>
      </m:oMath>
      <w:r w:rsidRPr="009072DA">
        <w:rPr>
          <w:lang w:val="bg-BG"/>
        </w:rPr>
        <w:t>, като се използва формула б) и резултатите от в), г), д) и е)</w:t>
      </w: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p>
    <w:p w:rsidR="004F47BB" w:rsidRPr="009072DA" w:rsidRDefault="002B712C" w:rsidP="004F47BB">
      <w:pPr>
        <w:tabs>
          <w:tab w:val="left" w:pos="992"/>
        </w:tabs>
        <w:overflowPunct w:val="0"/>
        <w:adjustRightInd w:val="0"/>
        <w:spacing w:line="240" w:lineRule="atLeast"/>
        <w:ind w:left="992" w:firstLine="1"/>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IST</m:t>
                  </m:r>
                </m:sub>
              </m:sSub>
            </m:sub>
          </m:sSub>
          <m:r>
            <w:rPr>
              <w:rFonts w:ascii="Cambria Math" w:hAnsi="Cambria Math"/>
              <w:szCs w:val="20"/>
              <w:lang w:val="bg-BG"/>
            </w:rPr>
            <m:t xml:space="preserve">= </m:t>
          </m:r>
          <m:f>
            <m:fPr>
              <m:ctrlPr>
                <w:rPr>
                  <w:rFonts w:ascii="Cambria Math" w:hAnsi="Cambria Math"/>
                  <w:i/>
                  <w:szCs w:val="20"/>
                  <w:lang w:val="bg-BG"/>
                </w:rPr>
              </m:ctrlPr>
            </m:fPr>
            <m:num>
              <m:r>
                <w:rPr>
                  <w:rFonts w:ascii="Cambria Math" w:hAnsi="Cambria Math"/>
                  <w:szCs w:val="20"/>
                  <w:lang w:val="bg-BG"/>
                </w:rPr>
                <m:t xml:space="preserve">0,12 ∙8,85 ∙9,81 ∙  </m:t>
              </m:r>
              <m:d>
                <m:dPr>
                  <m:ctrlPr>
                    <w:rPr>
                      <w:rFonts w:ascii="Cambria Math" w:hAnsi="Cambria Math"/>
                      <w:i/>
                      <w:szCs w:val="20"/>
                      <w:lang w:val="bg-BG"/>
                    </w:rPr>
                  </m:ctrlPr>
                </m:dPr>
                <m:e>
                  <m:r>
                    <w:rPr>
                      <w:rFonts w:ascii="Cambria Math" w:hAnsi="Cambria Math"/>
                      <w:szCs w:val="20"/>
                      <w:lang w:val="bg-BG"/>
                    </w:rPr>
                    <m:t xml:space="preserve">0,48+ </m:t>
                  </m:r>
                  <m:f>
                    <m:fPr>
                      <m:ctrlPr>
                        <w:rPr>
                          <w:rFonts w:ascii="Cambria Math" w:hAnsi="Cambria Math"/>
                          <w:i/>
                          <w:szCs w:val="20"/>
                          <w:lang w:val="bg-BG"/>
                        </w:rPr>
                      </m:ctrlPr>
                    </m:fPr>
                    <m:num>
                      <m:r>
                        <w:rPr>
                          <w:rFonts w:ascii="Cambria Math" w:hAnsi="Cambria Math"/>
                          <w:szCs w:val="20"/>
                          <w:lang w:val="bg-BG"/>
                        </w:rPr>
                        <m:t>1,4</m:t>
                      </m:r>
                    </m:num>
                    <m:den>
                      <m:r>
                        <w:rPr>
                          <w:rFonts w:ascii="Cambria Math" w:hAnsi="Cambria Math"/>
                          <w:szCs w:val="20"/>
                          <w:lang w:val="bg-BG"/>
                        </w:rPr>
                        <m:t>2,97</m:t>
                      </m:r>
                    </m:den>
                  </m:f>
                </m:e>
              </m:d>
            </m:num>
            <m:den>
              <m:r>
                <w:rPr>
                  <w:rFonts w:ascii="Cambria Math" w:hAnsi="Cambria Math"/>
                  <w:szCs w:val="20"/>
                  <w:lang w:val="bg-BG"/>
                </w:rPr>
                <m:t>1,15 ∙177+28,8-8,13</m:t>
              </m:r>
            </m:den>
          </m:f>
          <m:r>
            <w:rPr>
              <w:rFonts w:ascii="Cambria Math" w:hAnsi="Cambria Math"/>
              <w:szCs w:val="20"/>
              <w:lang w:val="bg-BG"/>
            </w:rPr>
            <m:t xml:space="preserve"> ∙ 5179</m:t>
          </m:r>
        </m:oMath>
      </m:oMathPara>
    </w:p>
    <w:p w:rsidR="004F47BB" w:rsidRPr="009072DA" w:rsidRDefault="004F47BB" w:rsidP="004F47BB">
      <w:pPr>
        <w:tabs>
          <w:tab w:val="left" w:pos="992"/>
        </w:tabs>
        <w:overflowPunct w:val="0"/>
        <w:adjustRightInd w:val="0"/>
        <w:spacing w:line="240" w:lineRule="atLeast"/>
        <w:ind w:left="992"/>
        <w:textAlignment w:val="baseline"/>
        <w:rPr>
          <w:szCs w:val="20"/>
          <w:lang w:val="bg-BG"/>
        </w:rPr>
      </w:pPr>
    </w:p>
    <w:p w:rsidR="004F47BB" w:rsidRPr="009072DA" w:rsidRDefault="002B712C" w:rsidP="004F47BB">
      <w:pPr>
        <w:tabs>
          <w:tab w:val="left" w:pos="992"/>
        </w:tabs>
        <w:overflowPunct w:val="0"/>
        <w:adjustRightInd w:val="0"/>
        <w:spacing w:line="240" w:lineRule="atLeast"/>
        <w:ind w:left="992"/>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IST</m:t>
                  </m:r>
                </m:sub>
              </m:sSub>
            </m:sub>
          </m:sSub>
          <m:r>
            <w:rPr>
              <w:rFonts w:ascii="Cambria Math" w:hAnsi="Cambria Math"/>
              <w:szCs w:val="20"/>
              <w:lang w:val="bg-BG"/>
            </w:rPr>
            <m:t>=</m:t>
          </m:r>
          <m:r>
            <m:rPr>
              <m:sty m:val="bi"/>
            </m:rPr>
            <w:rPr>
              <w:rFonts w:ascii="Cambria Math" w:hAnsi="Cambria Math"/>
              <w:szCs w:val="20"/>
              <w:lang w:val="bg-BG"/>
            </w:rPr>
            <m:t>228,9 m</m:t>
          </m:r>
        </m:oMath>
      </m:oMathPara>
    </w:p>
    <w:p w:rsidR="004F47BB" w:rsidRPr="009072DA" w:rsidRDefault="004F47BB" w:rsidP="004F47BB">
      <w:pPr>
        <w:tabs>
          <w:tab w:val="left" w:pos="992"/>
        </w:tabs>
        <w:overflowPunct w:val="0"/>
        <w:adjustRightInd w:val="0"/>
        <w:spacing w:line="240" w:lineRule="atLeast"/>
        <w:ind w:left="992"/>
        <w:textAlignment w:val="baseline"/>
        <w:rPr>
          <w:szCs w:val="20"/>
          <w:lang w:val="bg-BG"/>
        </w:rPr>
      </w:pP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r w:rsidRPr="009072DA">
        <w:rPr>
          <w:lang w:val="bg-BG"/>
        </w:rPr>
        <w:t>з)</w:t>
      </w:r>
      <w:r w:rsidRPr="009072DA">
        <w:rPr>
          <w:lang w:val="bg-BG"/>
        </w:rPr>
        <w:tab/>
        <w:t>изчисляване на общото разстояние съгласно формула (3.1)</w:t>
      </w: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p>
    <w:p w:rsidR="004F47BB" w:rsidRPr="009072DA" w:rsidRDefault="002B712C" w:rsidP="004F47BB">
      <w:pPr>
        <w:tabs>
          <w:tab w:val="left" w:pos="992"/>
        </w:tabs>
        <w:overflowPunct w:val="0"/>
        <w:adjustRightInd w:val="0"/>
        <w:spacing w:line="240" w:lineRule="atLeast"/>
        <w:ind w:left="992"/>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m:t>
                  </m:r>
                </m:e>
                <m:sub>
                  <m:r>
                    <w:rPr>
                      <w:rFonts w:ascii="Cambria Math" w:hAnsi="Cambria Math"/>
                      <w:szCs w:val="20"/>
                      <w:lang w:val="bg-BG"/>
                    </w:rPr>
                    <m:t>IST</m:t>
                  </m:r>
                </m:sub>
              </m:sSub>
            </m:sub>
          </m:sSub>
          <m:r>
            <w:rPr>
              <w:rFonts w:ascii="Cambria Math" w:hAnsi="Cambria Math"/>
              <w:szCs w:val="20"/>
              <w:lang w:val="bg-BG"/>
            </w:rPr>
            <m:t>=74,51+228,9=</m:t>
          </m:r>
          <m:r>
            <m:rPr>
              <m:sty m:val="bi"/>
            </m:rPr>
            <w:rPr>
              <w:rFonts w:ascii="Cambria Math" w:hAnsi="Cambria Math"/>
              <w:szCs w:val="20"/>
              <w:lang w:val="bg-BG"/>
            </w:rPr>
            <m:t>303,4 m</m:t>
          </m:r>
        </m:oMath>
      </m:oMathPara>
    </w:p>
    <w:p w:rsidR="004F47BB" w:rsidRPr="009072DA" w:rsidRDefault="004F47BB" w:rsidP="00642E70">
      <w:pPr>
        <w:overflowPunct w:val="0"/>
        <w:adjustRightInd w:val="0"/>
        <w:spacing w:line="240" w:lineRule="exact"/>
        <w:ind w:leftChars="283" w:left="624" w:hanging="1"/>
        <w:textAlignment w:val="baseline"/>
        <w:rPr>
          <w:szCs w:val="20"/>
          <w:lang w:val="bg-BG"/>
        </w:rPr>
      </w:pPr>
    </w:p>
    <w:p w:rsidR="004F47BB" w:rsidRPr="009072DA" w:rsidRDefault="004F47BB" w:rsidP="004F47BB">
      <w:pPr>
        <w:tabs>
          <w:tab w:val="left" w:pos="454"/>
        </w:tabs>
        <w:overflowPunct w:val="0"/>
        <w:adjustRightInd w:val="0"/>
        <w:spacing w:line="240" w:lineRule="exact"/>
        <w:ind w:left="567"/>
        <w:textAlignment w:val="baseline"/>
        <w:rPr>
          <w:szCs w:val="20"/>
          <w:lang w:val="bg-BG"/>
        </w:rPr>
      </w:pPr>
      <w:r w:rsidRPr="009072DA">
        <w:rPr>
          <w:b/>
          <w:lang w:val="bg-BG"/>
        </w:rPr>
        <w:t>Анотация:</w:t>
      </w:r>
    </w:p>
    <w:p w:rsidR="004F47BB" w:rsidRPr="009072DA" w:rsidRDefault="004F47BB" w:rsidP="004F47BB">
      <w:pPr>
        <w:tabs>
          <w:tab w:val="left" w:pos="454"/>
        </w:tabs>
        <w:overflowPunct w:val="0"/>
        <w:adjustRightInd w:val="0"/>
        <w:spacing w:line="240" w:lineRule="exact"/>
        <w:ind w:left="567"/>
        <w:textAlignment w:val="baseline"/>
        <w:rPr>
          <w:szCs w:val="20"/>
          <w:lang w:val="bg-BG"/>
        </w:rPr>
      </w:pPr>
    </w:p>
    <w:p w:rsidR="004F47BB" w:rsidRPr="009072DA" w:rsidRDefault="004F47BB" w:rsidP="004F47BB">
      <w:pPr>
        <w:tabs>
          <w:tab w:val="left" w:pos="567"/>
        </w:tabs>
        <w:overflowPunct w:val="0"/>
        <w:adjustRightInd w:val="0"/>
        <w:spacing w:line="240" w:lineRule="atLeast"/>
        <w:ind w:left="567"/>
        <w:textAlignment w:val="baseline"/>
        <w:rPr>
          <w:szCs w:val="20"/>
          <w:lang w:val="bg-BG"/>
        </w:rPr>
      </w:pPr>
      <w:r w:rsidRPr="009072DA">
        <w:rPr>
          <w:i/>
          <w:lang w:val="bg-BG"/>
        </w:rPr>
        <w:t>Забележка:</w:t>
      </w:r>
      <w:r w:rsidRPr="009072DA">
        <w:rPr>
          <w:lang w:val="bg-BG"/>
        </w:rPr>
        <w:t xml:space="preserve"> Изразът (</w:t>
      </w:r>
      <m:oMath>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TmII</m:t>
            </m:r>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G</m:t>
            </m:r>
          </m:sub>
        </m:sSub>
      </m:oMath>
      <w:r w:rsidRPr="009072DA">
        <w:rPr>
          <w:lang w:val="bg-BG"/>
        </w:rPr>
        <w:t xml:space="preserve">), който е функция на </w:t>
      </w:r>
      <m:oMath>
        <m:r>
          <w:rPr>
            <w:rFonts w:ascii="Cambria Math" w:hAnsi="Cambria Math"/>
            <w:lang w:val="bg-BG"/>
          </w:rPr>
          <m:t>D</m:t>
        </m:r>
      </m:oMath>
      <w:r w:rsidRPr="009072DA">
        <w:rPr>
          <w:lang w:val="bg-BG"/>
        </w:rPr>
        <w:t xml:space="preserve">, при действителна стойност от 20,67 kN очевидно е относително малък в сравнение с </w:t>
      </w: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3</m:t>
            </m:r>
          </m:sub>
        </m:sSub>
        <m:r>
          <w:rPr>
            <w:rFonts w:ascii="Cambria Math" w:hAnsi="Cambria Math"/>
            <w:szCs w:val="20"/>
            <w:lang w:val="bg-BG"/>
          </w:rPr>
          <m:t xml:space="preserve"> ∙ </m:t>
        </m:r>
        <m:sSub>
          <m:sSubPr>
            <m:ctrlPr>
              <w:rPr>
                <w:rFonts w:ascii="Cambria Math" w:hAnsi="Cambria Math"/>
                <w:i/>
                <w:szCs w:val="20"/>
                <w:lang w:val="bg-BG"/>
              </w:rPr>
            </m:ctrlPr>
          </m:sSubPr>
          <m:e>
            <m:r>
              <w:rPr>
                <w:rFonts w:ascii="Cambria Math" w:hAnsi="Cambria Math"/>
                <w:szCs w:val="20"/>
                <w:lang w:val="bg-BG"/>
              </w:rPr>
              <m:t>F</m:t>
            </m:r>
          </m:e>
          <m:sub>
            <m:r>
              <w:rPr>
                <w:rFonts w:ascii="Cambria Math" w:hAnsi="Cambria Math"/>
                <w:szCs w:val="20"/>
                <w:lang w:val="bg-BG"/>
              </w:rPr>
              <m:t>POR</m:t>
            </m:r>
          </m:sub>
        </m:sSub>
      </m:oMath>
      <w:r w:rsidRPr="009072DA">
        <w:rPr>
          <w:lang w:val="bg-BG"/>
        </w:rPr>
        <w:t xml:space="preserve"> с действителна стойност </w:t>
      </w:r>
      <w:r w:rsidRPr="009072DA">
        <w:rPr>
          <w:lang w:val="bg-BG"/>
        </w:rPr>
        <w:lastRenderedPageBreak/>
        <w:t xml:space="preserve">от 203,55 kN, така че с цел опростяване </w:t>
      </w:r>
      <m:oMath>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II</m:t>
            </m:r>
          </m:sub>
        </m:sSub>
      </m:oMath>
      <w:r w:rsidRPr="009072DA">
        <w:rPr>
          <w:lang w:val="bg-BG"/>
        </w:rPr>
        <w:t xml:space="preserve"> може да се приеме за пропорционално на </w:t>
      </w:r>
      <m:oMath>
        <m:r>
          <w:rPr>
            <w:rFonts w:ascii="Cambria Math" w:hAnsi="Cambria Math"/>
            <w:lang w:val="bg-BG"/>
          </w:rPr>
          <m:t>D</m:t>
        </m:r>
      </m:oMath>
      <w:r w:rsidRPr="009072DA">
        <w:rPr>
          <w:lang w:val="bg-BG"/>
        </w:rPr>
        <w:t xml:space="preserve">, т.е. </w:t>
      </w:r>
      <m:oMath>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II</m:t>
            </m:r>
          </m:sub>
        </m:sSub>
        <m:r>
          <w:rPr>
            <w:rFonts w:ascii="Cambria Math" w:hAnsi="Cambria Math"/>
            <w:szCs w:val="20"/>
            <w:lang w:val="bg-BG"/>
          </w:rPr>
          <m:t>=Const ∙ D</m:t>
        </m:r>
      </m:oMath>
      <w:r w:rsidRPr="009072DA">
        <w:rPr>
          <w:lang w:val="bg-BG"/>
        </w:rPr>
        <w:t>.</w:t>
      </w:r>
    </w:p>
    <w:p w:rsidR="004F47BB" w:rsidRPr="009072DA" w:rsidRDefault="004F47BB" w:rsidP="00642E70">
      <w:pPr>
        <w:tabs>
          <w:tab w:val="left" w:pos="454"/>
        </w:tabs>
        <w:overflowPunct w:val="0"/>
        <w:adjustRightInd w:val="0"/>
        <w:spacing w:line="240" w:lineRule="exact"/>
        <w:ind w:leftChars="567" w:left="1701" w:hanging="454"/>
        <w:textAlignment w:val="baseline"/>
        <w:rPr>
          <w:szCs w:val="20"/>
          <w:lang w:val="bg-BG"/>
        </w:rPr>
      </w:pPr>
      <w:r w:rsidRPr="009072DA">
        <w:rPr>
          <w:lang w:val="bg-BG"/>
        </w:rPr>
        <w:br w:type="page"/>
      </w: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4.3</w:t>
      </w:r>
      <w:r w:rsidRPr="009072DA">
        <w:rPr>
          <w:lang w:val="bg-BG"/>
        </w:rPr>
        <w:tab/>
      </w:r>
      <w:r w:rsidRPr="009072DA">
        <w:rPr>
          <w:b/>
          <w:color w:val="000000"/>
          <w:lang w:val="bg-BG"/>
        </w:rPr>
        <w:t xml:space="preserve">Изчисляване на </w:t>
      </w:r>
      <m:oMath>
        <m:sSub>
          <m:sSubPr>
            <m:ctrlPr>
              <w:rPr>
                <w:rFonts w:ascii="Cambria Math" w:hAnsi="Cambria Math"/>
                <w:i/>
                <w:lang w:val="bg-BG"/>
              </w:rPr>
            </m:ctrlPr>
          </m:sSubPr>
          <m:e>
            <m:r>
              <m:rPr>
                <m:sty m:val="bi"/>
              </m:rPr>
              <w:rPr>
                <w:rFonts w:ascii="Cambria Math" w:hAnsi="Cambria Math" w:cs="Arial"/>
                <w:color w:val="000000"/>
                <w:szCs w:val="20"/>
                <w:lang w:val="bg-BG"/>
              </w:rPr>
              <m:t>s</m:t>
            </m:r>
          </m:e>
          <m:sub>
            <m:r>
              <m:rPr>
                <m:sty m:val="bi"/>
              </m:rPr>
              <w:rPr>
                <w:rFonts w:ascii="Cambria Math" w:hAnsi="Cambria Math" w:cs="Arial"/>
                <w:color w:val="000000"/>
                <w:szCs w:val="20"/>
                <w:lang w:val="bg-BG"/>
              </w:rPr>
              <m:t>SOLL</m:t>
            </m:r>
          </m:sub>
        </m:sSub>
      </m:oMath>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567"/>
        </w:tabs>
        <w:overflowPunct w:val="0"/>
        <w:adjustRightInd w:val="0"/>
        <w:spacing w:line="240" w:lineRule="atLeast"/>
        <w:ind w:left="567"/>
        <w:textAlignment w:val="baseline"/>
        <w:rPr>
          <w:szCs w:val="20"/>
          <w:lang w:val="bg-BG"/>
        </w:rPr>
      </w:pPr>
      <w:r w:rsidRPr="009072DA">
        <w:rPr>
          <w:lang w:val="bg-BG"/>
        </w:rPr>
        <w:t>Начални стойности:</w:t>
      </w:r>
    </w:p>
    <w:p w:rsidR="004F47BB" w:rsidRPr="009072DA" w:rsidRDefault="004F47BB" w:rsidP="004F47BB">
      <w:pPr>
        <w:tabs>
          <w:tab w:val="left" w:pos="567"/>
        </w:tabs>
        <w:overflowPunct w:val="0"/>
        <w:adjustRightInd w:val="0"/>
        <w:spacing w:line="240" w:lineRule="atLeast"/>
        <w:ind w:left="567"/>
        <w:textAlignment w:val="baseline"/>
        <w:rPr>
          <w:szCs w:val="20"/>
          <w:lang w:val="bg-BG"/>
        </w:rPr>
      </w:pPr>
    </w:p>
    <w:p w:rsidR="004F47BB" w:rsidRPr="009072DA" w:rsidRDefault="002B712C" w:rsidP="004F47BB">
      <w:pPr>
        <w:tabs>
          <w:tab w:val="left" w:pos="567"/>
          <w:tab w:val="left" w:pos="4962"/>
        </w:tabs>
        <w:overflowPunct w:val="0"/>
        <w:adjustRightInd w:val="0"/>
        <w:spacing w:line="240" w:lineRule="atLeast"/>
        <w:ind w:left="567"/>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STR</m:t>
                </m:r>
              </m:e>
              <m:sub>
                <m:r>
                  <w:rPr>
                    <w:rFonts w:ascii="Cambria Math" w:hAnsi="Cambria Math"/>
                    <w:szCs w:val="20"/>
                    <w:lang w:val="bg-BG"/>
                  </w:rPr>
                  <m:t>SOLL</m:t>
                </m:r>
              </m:sub>
            </m:sSub>
          </m:sub>
        </m:sSub>
        <m:r>
          <w:rPr>
            <w:rFonts w:ascii="Cambria Math" w:hAnsi="Cambria Math"/>
            <w:szCs w:val="20"/>
            <w:lang w:val="bg-BG"/>
          </w:rPr>
          <m:t>=1,5 m/s  ≈  5,4  km/h</m:t>
        </m:r>
      </m:oMath>
      <w:r w:rsidR="007B1046" w:rsidRPr="009072DA">
        <w:rPr>
          <w:lang w:val="bg-BG"/>
        </w:rPr>
        <w:tab/>
      </w:r>
      <m:oMath>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SOLL</m:t>
            </m:r>
          </m:sub>
        </m:sSub>
      </m:oMath>
      <w:r w:rsidR="007B1046" w:rsidRPr="009072DA">
        <w:rPr>
          <w:lang w:val="bg-BG"/>
        </w:rPr>
        <w:t xml:space="preserve"> = </w:t>
      </w:r>
      <m:oMath>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IST</m:t>
            </m:r>
          </m:sub>
        </m:sSub>
        <m:r>
          <w:rPr>
            <w:rFonts w:ascii="Cambria Math" w:hAnsi="Cambria Math"/>
            <w:szCs w:val="20"/>
            <w:lang w:val="bg-BG"/>
          </w:rPr>
          <m:t xml:space="preserve">=5179 </m:t>
        </m:r>
        <m:sSup>
          <m:sSupPr>
            <m:ctrlPr>
              <w:rPr>
                <w:rFonts w:ascii="Cambria Math" w:hAnsi="Cambria Math"/>
                <w:i/>
                <w:szCs w:val="20"/>
                <w:lang w:val="bg-BG"/>
              </w:rPr>
            </m:ctrlPr>
          </m:sSupPr>
          <m:e>
            <m:r>
              <w:rPr>
                <w:rFonts w:ascii="Cambria Math" w:hAnsi="Cambria Math"/>
                <w:szCs w:val="20"/>
                <w:lang w:val="bg-BG"/>
              </w:rPr>
              <m:t>m</m:t>
            </m:r>
          </m:e>
          <m:sup>
            <m:r>
              <w:rPr>
                <w:rFonts w:ascii="Cambria Math" w:hAnsi="Cambria Math"/>
                <w:szCs w:val="20"/>
                <w:lang w:val="bg-BG"/>
              </w:rPr>
              <m:t>3</m:t>
            </m:r>
          </m:sup>
        </m:sSup>
      </m:oMath>
    </w:p>
    <w:p w:rsidR="004F47BB" w:rsidRPr="009072DA" w:rsidRDefault="004F47BB" w:rsidP="004F47BB">
      <w:pPr>
        <w:tabs>
          <w:tab w:val="left" w:pos="567"/>
        </w:tabs>
        <w:overflowPunct w:val="0"/>
        <w:adjustRightInd w:val="0"/>
        <w:spacing w:line="240" w:lineRule="atLeast"/>
        <w:ind w:left="567"/>
        <w:textAlignment w:val="baseline"/>
        <w:rPr>
          <w:szCs w:val="20"/>
          <w:lang w:val="bg-BG"/>
        </w:rPr>
      </w:pPr>
    </w:p>
    <w:p w:rsidR="004F47BB" w:rsidRPr="009072DA" w:rsidRDefault="002B712C" w:rsidP="004F47BB">
      <w:pPr>
        <w:tabs>
          <w:tab w:val="left" w:pos="567"/>
          <w:tab w:val="left" w:pos="4962"/>
        </w:tabs>
        <w:overflowPunct w:val="0"/>
        <w:adjustRightInd w:val="0"/>
        <w:spacing w:line="240" w:lineRule="atLeast"/>
        <w:ind w:left="567"/>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SOLL</m:t>
                </m:r>
              </m:sub>
            </m:sSub>
          </m:sub>
        </m:sSub>
        <m:r>
          <w:rPr>
            <w:rFonts w:ascii="Cambria Math" w:hAnsi="Cambria Math"/>
            <w:szCs w:val="20"/>
            <w:lang w:val="bg-BG"/>
          </w:rPr>
          <m:t>=3,6 m/s  ≈  13  km/h</m:t>
        </m:r>
      </m:oMath>
      <w:r w:rsidR="007B1046" w:rsidRPr="009072DA">
        <w:rPr>
          <w:lang w:val="bg-BG"/>
        </w:rPr>
        <w:tab/>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SOLL</m:t>
            </m:r>
          </m:sub>
        </m:sSub>
      </m:oMath>
      <w:r w:rsidR="007B1046" w:rsidRPr="009072DA">
        <w:rPr>
          <w:lang w:val="bg-BG"/>
        </w:rPr>
        <w:t xml:space="preserve"> = </w:t>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IST</m:t>
            </m:r>
          </m:sub>
        </m:sSub>
        <m:r>
          <w:rPr>
            <w:rFonts w:ascii="Cambria Math" w:hAnsi="Cambria Math"/>
            <w:szCs w:val="20"/>
            <w:lang w:val="bg-BG"/>
          </w:rPr>
          <m:t>=2,96 m</m:t>
        </m:r>
      </m:oMath>
    </w:p>
    <w:p w:rsidR="004F47BB" w:rsidRPr="009072DA" w:rsidRDefault="004F47BB" w:rsidP="004F47BB">
      <w:pPr>
        <w:tabs>
          <w:tab w:val="left" w:pos="567"/>
        </w:tabs>
        <w:overflowPunct w:val="0"/>
        <w:adjustRightInd w:val="0"/>
        <w:spacing w:line="240" w:lineRule="atLeast"/>
        <w:ind w:left="567"/>
        <w:textAlignment w:val="baseline"/>
        <w:rPr>
          <w:szCs w:val="20"/>
          <w:lang w:val="bg-BG"/>
        </w:rPr>
      </w:pPr>
    </w:p>
    <w:p w:rsidR="004F47BB" w:rsidRPr="009072DA" w:rsidRDefault="002B712C" w:rsidP="004F47BB">
      <w:pPr>
        <w:tabs>
          <w:tab w:val="left" w:pos="567"/>
        </w:tabs>
        <w:overflowPunct w:val="0"/>
        <w:adjustRightInd w:val="0"/>
        <w:spacing w:line="240" w:lineRule="atLeast"/>
        <w:ind w:left="567"/>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L</m:t>
                  </m:r>
                </m:e>
                <m:sub>
                  <m:r>
                    <w:rPr>
                      <w:rFonts w:ascii="Cambria Math" w:hAnsi="Cambria Math"/>
                      <w:szCs w:val="20"/>
                      <w:lang w:val="bg-BG"/>
                    </w:rPr>
                    <m:t>SOLL</m:t>
                  </m:r>
                </m:sub>
              </m:sSub>
            </m:sub>
          </m:sSub>
          <m:r>
            <w:rPr>
              <w:rFonts w:ascii="Cambria Math" w:hAnsi="Cambria Math"/>
              <w:szCs w:val="20"/>
              <w:lang w:val="bg-BG"/>
            </w:rPr>
            <m:t>=5,1 m/s  ≈  18,4  km/h</m:t>
          </m:r>
        </m:oMath>
      </m:oMathPara>
    </w:p>
    <w:p w:rsidR="004F47BB" w:rsidRPr="009072DA" w:rsidRDefault="004F47BB"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bg-BG"/>
        </w:rPr>
      </w:pPr>
    </w:p>
    <w:p w:rsidR="004F47BB" w:rsidRPr="009072DA" w:rsidRDefault="004F47BB" w:rsidP="004F47BB">
      <w:pPr>
        <w:tabs>
          <w:tab w:val="left" w:pos="992"/>
          <w:tab w:val="left" w:pos="1843"/>
          <w:tab w:val="left" w:pos="2127"/>
        </w:tabs>
        <w:overflowPunct w:val="0"/>
        <w:adjustRightInd w:val="0"/>
        <w:spacing w:line="240" w:lineRule="atLeast"/>
        <w:ind w:left="992"/>
        <w:textAlignment w:val="baseline"/>
        <w:rPr>
          <w:szCs w:val="20"/>
          <w:lang w:val="bg-BG"/>
        </w:rPr>
      </w:pPr>
      <w:r w:rsidRPr="009072DA">
        <w:rPr>
          <w:lang w:val="bg-BG"/>
        </w:rPr>
        <w:t>a)</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m:t>
                </m:r>
              </m:e>
              <m:sub>
                <m:r>
                  <w:rPr>
                    <w:rFonts w:ascii="Cambria Math" w:hAnsi="Cambria Math"/>
                    <w:szCs w:val="20"/>
                    <w:lang w:val="bg-BG"/>
                  </w:rPr>
                  <m:t>SOLL</m:t>
                </m:r>
              </m:sub>
            </m:sSub>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1</m:t>
            </m:r>
          </m:sub>
        </m:sSub>
        <m:r>
          <w:rPr>
            <w:rFonts w:ascii="Cambria Math" w:hAnsi="Cambria Math"/>
            <w:szCs w:val="20"/>
            <w:lang w:val="bg-BG"/>
          </w:rPr>
          <m:t xml:space="preserve"> ∙ </m:t>
        </m:r>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L</m:t>
                </m:r>
              </m:e>
              <m:sub>
                <m:r>
                  <w:rPr>
                    <w:rFonts w:ascii="Cambria Math" w:hAnsi="Cambria Math"/>
                    <w:szCs w:val="20"/>
                    <w:lang w:val="bg-BG"/>
                  </w:rPr>
                  <m:t>SOLL</m:t>
                </m:r>
              </m:sub>
            </m:sSub>
          </m:sub>
        </m:sSub>
        <m:r>
          <w:rPr>
            <w:rFonts w:ascii="Cambria Math" w:hAnsi="Cambria Math"/>
            <w:szCs w:val="20"/>
            <w:lang w:val="bg-BG"/>
          </w:rPr>
          <m:t xml:space="preserve"> ∙ </m:t>
        </m:r>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I</m:t>
            </m:r>
          </m:sub>
        </m:sSub>
      </m:oMath>
    </w:p>
    <w:p w:rsidR="004F47BB" w:rsidRPr="009072DA" w:rsidRDefault="004F47BB" w:rsidP="004F47BB">
      <w:pPr>
        <w:tabs>
          <w:tab w:val="left" w:pos="992"/>
          <w:tab w:val="left" w:pos="1843"/>
          <w:tab w:val="left" w:pos="2127"/>
        </w:tabs>
        <w:overflowPunct w:val="0"/>
        <w:adjustRightInd w:val="0"/>
        <w:spacing w:line="240" w:lineRule="atLeast"/>
        <w:ind w:left="992"/>
        <w:textAlignment w:val="baseline"/>
        <w:rPr>
          <w:szCs w:val="20"/>
          <w:lang w:val="bg-BG"/>
        </w:rPr>
      </w:pPr>
    </w:p>
    <w:p w:rsidR="004F47BB" w:rsidRPr="009072DA" w:rsidRDefault="002B712C" w:rsidP="004F47BB">
      <w:pPr>
        <w:tabs>
          <w:tab w:val="left" w:pos="992"/>
          <w:tab w:val="left" w:pos="1843"/>
          <w:tab w:val="left" w:pos="2127"/>
        </w:tabs>
        <w:overflowPunct w:val="0"/>
        <w:adjustRightInd w:val="0"/>
        <w:spacing w:line="240" w:lineRule="atLeast"/>
        <w:ind w:left="992" w:firstLine="1"/>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m:t>
                  </m:r>
                </m:e>
                <m:sub>
                  <m:r>
                    <w:rPr>
                      <w:rFonts w:ascii="Cambria Math" w:hAnsi="Cambria Math"/>
                      <w:szCs w:val="20"/>
                      <w:lang w:val="bg-BG"/>
                    </w:rPr>
                    <m:t>SOLL</m:t>
                  </m:r>
                </m:sub>
              </m:sSub>
            </m:sub>
          </m:sSub>
          <m:r>
            <w:rPr>
              <w:rFonts w:ascii="Cambria Math" w:hAnsi="Cambria Math"/>
              <w:szCs w:val="20"/>
              <w:lang w:val="bg-BG"/>
            </w:rPr>
            <m:t>=0,95 ∙5,1 ∙16=</m:t>
          </m:r>
          <m:r>
            <m:rPr>
              <m:sty m:val="bi"/>
            </m:rPr>
            <w:rPr>
              <w:rFonts w:ascii="Cambria Math" w:hAnsi="Cambria Math"/>
              <w:szCs w:val="20"/>
              <w:lang w:val="bg-BG"/>
            </w:rPr>
            <m:t>77,50 m</m:t>
          </m:r>
        </m:oMath>
      </m:oMathPara>
    </w:p>
    <w:p w:rsidR="004F47BB" w:rsidRPr="009072DA" w:rsidRDefault="004F47BB" w:rsidP="004F47BB">
      <w:pPr>
        <w:tabs>
          <w:tab w:val="left" w:pos="284"/>
          <w:tab w:val="left" w:pos="851"/>
          <w:tab w:val="left" w:pos="1134"/>
          <w:tab w:val="left" w:pos="1843"/>
          <w:tab w:val="left" w:pos="2268"/>
          <w:tab w:val="left" w:pos="3261"/>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bg-BG"/>
        </w:rPr>
      </w:pPr>
      <w:r w:rsidRPr="009072DA">
        <w:rPr>
          <w:lang w:val="bg-BG"/>
        </w:rPr>
        <w:t>б)</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2</m:t>
            </m:r>
          </m:sub>
        </m:sSub>
        <m:r>
          <w:rPr>
            <w:rFonts w:ascii="Cambria Math" w:hAnsi="Cambria Math"/>
            <w:szCs w:val="20"/>
            <w:lang w:val="bg-BG"/>
          </w:rPr>
          <m:t xml:space="preserve"> ∙ </m:t>
        </m:r>
        <m:sSub>
          <m:sSubPr>
            <m:ctrlPr>
              <w:rPr>
                <w:rFonts w:ascii="Cambria Math" w:hAnsi="Cambria Math"/>
                <w:i/>
                <w:szCs w:val="20"/>
                <w:lang w:val="bg-BG"/>
              </w:rPr>
            </m:ctrlPr>
          </m:sSubPr>
          <m:e>
            <m:sSup>
              <m:sSupPr>
                <m:ctrlPr>
                  <w:rPr>
                    <w:rFonts w:ascii="Cambria Math" w:hAnsi="Cambria Math"/>
                    <w:i/>
                    <w:szCs w:val="20"/>
                    <w:lang w:val="bg-BG"/>
                  </w:rPr>
                </m:ctrlPr>
              </m:sSupPr>
              <m:e>
                <m:r>
                  <w:rPr>
                    <w:rFonts w:ascii="Cambria Math" w:hAnsi="Cambria Math"/>
                    <w:szCs w:val="20"/>
                    <w:lang w:val="bg-BG"/>
                  </w:rPr>
                  <m:t>v</m:t>
                </m:r>
              </m:e>
              <m:sup>
                <m:r>
                  <w:rPr>
                    <w:rFonts w:ascii="Cambria Math" w:hAnsi="Cambria Math"/>
                    <w:szCs w:val="20"/>
                    <w:lang w:val="bg-BG"/>
                  </w:rPr>
                  <m:t>2</m:t>
                </m:r>
              </m:sup>
            </m:sSup>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r>
          <w:rPr>
            <w:rFonts w:ascii="Cambria Math" w:hAnsi="Cambria Math"/>
            <w:szCs w:val="20"/>
            <w:lang w:val="bg-BG"/>
          </w:rPr>
          <m:t xml:space="preserve"> ∙ </m:t>
        </m:r>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SOLL</m:t>
                </m:r>
              </m:sub>
            </m:sSub>
            <m:r>
              <w:rPr>
                <w:rFonts w:ascii="Cambria Math" w:hAnsi="Cambria Math"/>
                <w:szCs w:val="20"/>
                <w:lang w:val="bg-BG"/>
              </w:rPr>
              <m:t xml:space="preserve"> ∙  g</m:t>
            </m:r>
          </m:num>
          <m:den>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3</m:t>
                </m:r>
              </m:sub>
            </m:sSub>
            <m:r>
              <w:rPr>
                <w:rFonts w:ascii="Cambria Math" w:hAnsi="Cambria Math"/>
                <w:szCs w:val="20"/>
                <w:lang w:val="bg-BG"/>
              </w:rPr>
              <m:t xml:space="preserve"> ∙ </m:t>
            </m:r>
            <m:sSub>
              <m:sSubPr>
                <m:ctrlPr>
                  <w:rPr>
                    <w:rFonts w:ascii="Cambria Math" w:hAnsi="Cambria Math"/>
                    <w:i/>
                    <w:szCs w:val="20"/>
                    <w:lang w:val="bg-BG"/>
                  </w:rPr>
                </m:ctrlPr>
              </m:sSubPr>
              <m:e>
                <m:r>
                  <w:rPr>
                    <w:rFonts w:ascii="Cambria Math" w:hAnsi="Cambria Math"/>
                    <w:szCs w:val="20"/>
                    <w:lang w:val="bg-BG"/>
                  </w:rPr>
                  <m:t>F</m:t>
                </m:r>
              </m:e>
              <m:sub>
                <m:r>
                  <w:rPr>
                    <w:rFonts w:ascii="Cambria Math" w:hAnsi="Cambria Math"/>
                    <w:szCs w:val="20"/>
                    <w:lang w:val="bg-BG"/>
                  </w:rPr>
                  <m:t>POR</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R</m:t>
                </m:r>
              </m:e>
              <m:sub>
                <m:sSub>
                  <m:sSubPr>
                    <m:ctrlPr>
                      <w:rPr>
                        <w:rFonts w:ascii="Cambria Math" w:hAnsi="Cambria Math"/>
                        <w:i/>
                        <w:szCs w:val="20"/>
                        <w:lang w:val="bg-BG"/>
                      </w:rPr>
                    </m:ctrlPr>
                  </m:sSubPr>
                  <m:e>
                    <m:r>
                      <w:rPr>
                        <w:rFonts w:ascii="Cambria Math" w:hAnsi="Cambria Math"/>
                        <w:szCs w:val="20"/>
                        <w:lang w:val="bg-BG"/>
                      </w:rPr>
                      <m:t>TmII</m:t>
                    </m:r>
                  </m:e>
                  <m:sub>
                    <m:r>
                      <w:rPr>
                        <w:rFonts w:ascii="Cambria Math" w:hAnsi="Cambria Math"/>
                        <w:szCs w:val="20"/>
                        <w:lang w:val="bg-BG"/>
                      </w:rPr>
                      <m:t>SOLL</m:t>
                    </m:r>
                  </m:sub>
                </m:sSub>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G</m:t>
                </m:r>
              </m:sub>
            </m:sSub>
          </m:den>
        </m:f>
        <m:r>
          <w:rPr>
            <w:rFonts w:ascii="Cambria Math" w:hAnsi="Cambria Math"/>
            <w:szCs w:val="20"/>
            <w:lang w:val="bg-BG"/>
          </w:rPr>
          <m:t xml:space="preserve"> ∙ </m:t>
        </m:r>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4</m:t>
                </m:r>
              </m:sub>
            </m:sSub>
            <m:r>
              <w:rPr>
                <w:rFonts w:ascii="Cambria Math" w:hAnsi="Cambria Math"/>
                <w:szCs w:val="20"/>
                <w:lang w:val="bg-BG"/>
              </w:rPr>
              <m:t xml:space="preserve">+ </m:t>
            </m:r>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STR</m:t>
                        </m:r>
                      </m:e>
                      <m:sub>
                        <m:r>
                          <w:rPr>
                            <w:rFonts w:ascii="Cambria Math" w:hAnsi="Cambria Math"/>
                            <w:szCs w:val="20"/>
                            <w:lang w:val="bg-BG"/>
                          </w:rPr>
                          <m:t>SOLL</m:t>
                        </m:r>
                      </m:sub>
                    </m:sSub>
                  </m:sub>
                </m:sSub>
              </m:num>
              <m:den>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den>
            </m:f>
          </m:e>
        </m:d>
      </m:oMath>
    </w:p>
    <w:p w:rsidR="004F47BB" w:rsidRPr="009072DA" w:rsidRDefault="004F47BB" w:rsidP="004F47BB">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bg-BG"/>
        </w:rPr>
      </w:pPr>
    </w:p>
    <w:p w:rsidR="004F47BB" w:rsidRPr="009072DA" w:rsidRDefault="004F47BB" w:rsidP="004F47BB">
      <w:pPr>
        <w:tabs>
          <w:tab w:val="left" w:pos="992"/>
        </w:tabs>
        <w:overflowPunct w:val="0"/>
        <w:adjustRightInd w:val="0"/>
        <w:spacing w:before="60" w:line="240" w:lineRule="atLeast"/>
        <w:ind w:left="992"/>
        <w:textAlignment w:val="baseline"/>
        <w:rPr>
          <w:szCs w:val="20"/>
          <w:lang w:val="bg-BG"/>
        </w:rPr>
      </w:pPr>
      <w:r w:rsidRPr="009072DA">
        <w:rPr>
          <w:lang w:val="bg-BG"/>
        </w:rPr>
        <w:t>в)</w:t>
      </w:r>
      <w:r w:rsidRPr="009072DA">
        <w:rPr>
          <w:lang w:val="bg-BG"/>
        </w:rPr>
        <w:tab/>
        <w:t xml:space="preserve">Изчисляване на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TmII</m:t>
                </m:r>
              </m:sub>
            </m:sSub>
          </m:e>
          <m:sub>
            <m:r>
              <w:rPr>
                <w:rFonts w:ascii="Cambria Math" w:hAnsi="Cambria Math"/>
                <w:lang w:val="bg-BG"/>
              </w:rPr>
              <m:t>SOLL</m:t>
            </m:r>
          </m:sub>
        </m:sSub>
      </m:oMath>
    </w:p>
    <w:p w:rsidR="004F47BB" w:rsidRPr="009072DA" w:rsidRDefault="004F47BB" w:rsidP="004F47BB">
      <w:pPr>
        <w:overflowPunct w:val="0"/>
        <w:adjustRightInd w:val="0"/>
        <w:spacing w:line="240" w:lineRule="atLeast"/>
        <w:ind w:left="993"/>
        <w:textAlignment w:val="baseline"/>
        <w:rPr>
          <w:szCs w:val="20"/>
          <w:lang w:val="bg-BG"/>
        </w:rPr>
      </w:pPr>
    </w:p>
    <w:p w:rsidR="004F47BB" w:rsidRPr="009072DA" w:rsidRDefault="002B712C" w:rsidP="004F47BB">
      <w:pPr>
        <w:overflowPunct w:val="0"/>
        <w:adjustRightInd w:val="0"/>
        <w:spacing w:line="240" w:lineRule="atLeast"/>
        <w:ind w:left="993"/>
        <w:textAlignment w:val="baseline"/>
        <w:rPr>
          <w:szCs w:val="20"/>
          <w:lang w:val="bg-BG"/>
        </w:rPr>
      </w:pPr>
      <m:oMath>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T</m:t>
                </m:r>
              </m:sub>
            </m:sSub>
          </m:num>
          <m:den>
            <m:sSup>
              <m:sSupPr>
                <m:ctrlPr>
                  <w:rPr>
                    <w:rFonts w:ascii="Cambria Math" w:hAnsi="Cambria Math"/>
                    <w:i/>
                    <w:szCs w:val="20"/>
                    <w:lang w:val="bg-BG"/>
                  </w:rPr>
                </m:ctrlPr>
              </m:sSupPr>
              <m:e>
                <m:r>
                  <w:rPr>
                    <w:rFonts w:ascii="Cambria Math" w:hAnsi="Cambria Math"/>
                    <w:szCs w:val="20"/>
                    <w:lang w:val="bg-BG"/>
                  </w:rPr>
                  <m:t>v</m:t>
                </m:r>
              </m:e>
              <m:sup>
                <m:r>
                  <w:rPr>
                    <w:rFonts w:ascii="Cambria Math" w:hAnsi="Cambria Math"/>
                    <w:szCs w:val="20"/>
                    <w:lang w:val="bg-BG"/>
                  </w:rPr>
                  <m:t>2</m:t>
                </m:r>
              </m:sup>
            </m:sSup>
          </m:den>
        </m:f>
        <m:r>
          <w:rPr>
            <w:rFonts w:ascii="Cambria Math" w:hAnsi="Cambria Math"/>
            <w:szCs w:val="20"/>
            <w:lang w:val="bg-BG"/>
          </w:rPr>
          <m:t xml:space="preserve">=10,8 </m:t>
        </m:r>
        <m:d>
          <m:dPr>
            <m:ctrlPr>
              <w:rPr>
                <w:rFonts w:ascii="Cambria Math" w:hAnsi="Cambria Math"/>
                <w:i/>
                <w:szCs w:val="20"/>
                <w:lang w:val="bg-BG"/>
              </w:rPr>
            </m:ctrlPr>
          </m:dPr>
          <m:e>
            <m:f>
              <m:fPr>
                <m:ctrlPr>
                  <w:rPr>
                    <w:rFonts w:ascii="Cambria Math" w:hAnsi="Cambria Math"/>
                    <w:i/>
                    <w:szCs w:val="20"/>
                    <w:lang w:val="bg-BG"/>
                  </w:rPr>
                </m:ctrlPr>
              </m:fPr>
              <m:num>
                <m:r>
                  <w:rPr>
                    <w:rFonts w:ascii="Cambria Math" w:hAnsi="Cambria Math"/>
                    <w:szCs w:val="20"/>
                    <w:lang w:val="bg-BG"/>
                  </w:rPr>
                  <m:t xml:space="preserve">kN ∙ </m:t>
                </m:r>
                <m:sSup>
                  <m:sSupPr>
                    <m:ctrlPr>
                      <w:rPr>
                        <w:rFonts w:ascii="Cambria Math" w:hAnsi="Cambria Math"/>
                        <w:i/>
                        <w:szCs w:val="20"/>
                        <w:lang w:val="bg-BG"/>
                      </w:rPr>
                    </m:ctrlPr>
                  </m:sSupPr>
                  <m:e>
                    <m:r>
                      <w:rPr>
                        <w:rFonts w:ascii="Cambria Math" w:hAnsi="Cambria Math"/>
                        <w:szCs w:val="20"/>
                        <w:lang w:val="bg-BG"/>
                      </w:rPr>
                      <m:t>s</m:t>
                    </m:r>
                  </m:e>
                  <m:sup>
                    <m:r>
                      <w:rPr>
                        <w:rFonts w:ascii="Cambria Math" w:hAnsi="Cambria Math"/>
                        <w:szCs w:val="20"/>
                        <w:lang w:val="bg-BG"/>
                      </w:rPr>
                      <m:t>2</m:t>
                    </m:r>
                  </m:sup>
                </m:sSup>
              </m:num>
              <m:den>
                <m:sSup>
                  <m:sSupPr>
                    <m:ctrlPr>
                      <w:rPr>
                        <w:rFonts w:ascii="Cambria Math" w:hAnsi="Cambria Math"/>
                        <w:i/>
                        <w:szCs w:val="20"/>
                        <w:lang w:val="bg-BG"/>
                      </w:rPr>
                    </m:ctrlPr>
                  </m:sSupPr>
                  <m:e>
                    <m:r>
                      <w:rPr>
                        <w:rFonts w:ascii="Cambria Math" w:hAnsi="Cambria Math"/>
                        <w:szCs w:val="20"/>
                        <w:lang w:val="bg-BG"/>
                      </w:rPr>
                      <m:t>m</m:t>
                    </m:r>
                  </m:e>
                  <m:sup>
                    <m:r>
                      <w:rPr>
                        <w:rFonts w:ascii="Cambria Math" w:hAnsi="Cambria Math"/>
                        <w:szCs w:val="20"/>
                        <w:lang w:val="bg-BG"/>
                      </w:rPr>
                      <m:t>2</m:t>
                    </m:r>
                  </m:sup>
                </m:sSup>
              </m:den>
            </m:f>
          </m:e>
        </m:d>
      </m:oMath>
      <w:r w:rsidR="007B1046" w:rsidRPr="009072DA">
        <w:rPr>
          <w:lang w:val="bg-BG"/>
        </w:rPr>
        <w:tab/>
        <w:t xml:space="preserve">както в точка 4.2, тъй като </w:t>
      </w:r>
      <m:oMath>
        <m:r>
          <w:rPr>
            <w:rFonts w:ascii="Cambria Math" w:hAnsi="Cambria Math"/>
            <w:szCs w:val="20"/>
            <w:lang w:val="bg-BG"/>
          </w:rPr>
          <m:t>B</m:t>
        </m:r>
      </m:oMath>
      <w:r w:rsidR="007B1046" w:rsidRPr="009072DA">
        <w:rPr>
          <w:lang w:val="bg-BG"/>
        </w:rPr>
        <w:t xml:space="preserve">, </w:t>
      </w:r>
      <m:oMath>
        <m:r>
          <w:rPr>
            <w:rFonts w:ascii="Cambria Math" w:hAnsi="Cambria Math"/>
            <w:szCs w:val="20"/>
            <w:lang w:val="bg-BG"/>
          </w:rPr>
          <m:t>D</m:t>
        </m:r>
      </m:oMath>
      <w:r w:rsidR="007B1046" w:rsidRPr="009072DA">
        <w:rPr>
          <w:lang w:val="bg-BG"/>
        </w:rPr>
        <w:t xml:space="preserve"> и </w:t>
      </w:r>
      <m:oMath>
        <m:r>
          <w:rPr>
            <w:rFonts w:ascii="Cambria Math" w:hAnsi="Cambria Math"/>
            <w:szCs w:val="20"/>
            <w:lang w:val="bg-BG"/>
          </w:rPr>
          <m:t>T</m:t>
        </m:r>
      </m:oMath>
      <w:r w:rsidR="007B1046" w:rsidRPr="009072DA">
        <w:rPr>
          <w:lang w:val="bg-BG"/>
        </w:rPr>
        <w:t xml:space="preserve"> са непроменени</w:t>
      </w:r>
    </w:p>
    <w:p w:rsidR="004F47BB" w:rsidRPr="009072DA" w:rsidRDefault="004F47BB" w:rsidP="004F47BB">
      <w:pPr>
        <w:overflowPunct w:val="0"/>
        <w:adjustRightInd w:val="0"/>
        <w:spacing w:line="240" w:lineRule="exact"/>
        <w:textAlignment w:val="baseline"/>
        <w:rPr>
          <w:szCs w:val="20"/>
          <w:lang w:val="bg-BG"/>
        </w:rPr>
      </w:pPr>
    </w:p>
    <w:p w:rsidR="004F47BB" w:rsidRPr="009072DA" w:rsidRDefault="002B712C" w:rsidP="004F47BB">
      <w:pPr>
        <w:overflowPunct w:val="0"/>
        <w:adjustRightInd w:val="0"/>
        <w:spacing w:line="240" w:lineRule="atLeast"/>
        <w:ind w:left="992"/>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L</m:t>
                  </m:r>
                </m:e>
                <m:sub>
                  <m:r>
                    <w:rPr>
                      <w:rFonts w:ascii="Cambria Math" w:hAnsi="Cambria Math"/>
                      <w:szCs w:val="20"/>
                      <w:lang w:val="bg-BG"/>
                    </w:rPr>
                    <m:t>SOLL</m:t>
                  </m:r>
                </m:sub>
              </m:sSub>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ST</m:t>
                  </m:r>
                  <m:r>
                    <w:rPr>
                      <w:rFonts w:ascii="Cambria Math" w:hAnsi="Cambria Math"/>
                      <w:szCs w:val="20"/>
                      <w:lang w:val="bg-BG"/>
                    </w:rPr>
                    <m:t>R</m:t>
                  </m:r>
                </m:e>
                <m:sub>
                  <m:r>
                    <w:rPr>
                      <w:rFonts w:ascii="Cambria Math" w:hAnsi="Cambria Math"/>
                      <w:szCs w:val="20"/>
                      <w:lang w:val="bg-BG"/>
                    </w:rPr>
                    <m:t>SOLL</m:t>
                  </m:r>
                </m:sub>
              </m:sSub>
            </m:sub>
          </m:sSub>
          <m:r>
            <w:rPr>
              <w:rFonts w:ascii="Cambria Math" w:hAnsi="Cambria Math"/>
              <w:szCs w:val="20"/>
              <w:lang w:val="bg-BG"/>
            </w:rPr>
            <m:t xml:space="preserve">=3,6 </m:t>
          </m:r>
          <m:d>
            <m:dPr>
              <m:begChr m:val="["/>
              <m:endChr m:val="]"/>
              <m:ctrlPr>
                <w:rPr>
                  <w:rFonts w:ascii="Cambria Math" w:hAnsi="Cambria Math"/>
                  <w:i/>
                  <w:szCs w:val="20"/>
                  <w:lang w:val="bg-BG"/>
                </w:rPr>
              </m:ctrlPr>
            </m:dPr>
            <m:e>
              <m:r>
                <w:rPr>
                  <w:rFonts w:ascii="Cambria Math" w:hAnsi="Cambria Math"/>
                  <w:szCs w:val="20"/>
                  <w:lang w:val="bg-BG"/>
                </w:rPr>
                <m:t>m/s</m:t>
              </m:r>
            </m:e>
          </m:d>
        </m:oMath>
      </m:oMathPara>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2B712C" w:rsidP="004F47BB">
      <w:pPr>
        <w:overflowPunct w:val="0"/>
        <w:adjustRightInd w:val="0"/>
        <w:spacing w:line="240" w:lineRule="atLeast"/>
        <w:ind w:left="851"/>
        <w:textAlignment w:val="baseline"/>
        <w:rPr>
          <w:szCs w:val="20"/>
          <w:lang w:val="bg-BG"/>
        </w:rPr>
      </w:pPr>
      <m:oMathPara>
        <m:oMathParaPr>
          <m:jc m:val="left"/>
        </m:oMathParaP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TmII</m:t>
                  </m:r>
                </m:sub>
              </m:sSub>
            </m:e>
            <m:sub>
              <m:r>
                <w:rPr>
                  <w:rFonts w:ascii="Cambria Math" w:hAnsi="Cambria Math"/>
                  <w:lang w:val="bg-BG"/>
                </w:rPr>
                <m:t>SOLL</m:t>
              </m:r>
            </m:sub>
          </m:sSub>
          <m:r>
            <w:rPr>
              <w:rFonts w:ascii="Cambria Math" w:hAnsi="Cambria Math"/>
              <w:lang w:val="bg-BG"/>
            </w:rPr>
            <m:t xml:space="preserve">= </m:t>
          </m:r>
          <m:f>
            <m:fPr>
              <m:ctrlPr>
                <w:rPr>
                  <w:rFonts w:ascii="Cambria Math" w:hAnsi="Cambria Math"/>
                  <w:i/>
                  <w:lang w:val="bg-BG"/>
                </w:rPr>
              </m:ctrlPr>
            </m:fPr>
            <m:num>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T</m:t>
                  </m:r>
                </m:sub>
              </m:sSub>
            </m:num>
            <m:den>
              <m:sSup>
                <m:sSupPr>
                  <m:ctrlPr>
                    <w:rPr>
                      <w:rFonts w:ascii="Cambria Math" w:hAnsi="Cambria Math"/>
                      <w:i/>
                      <w:lang w:val="bg-BG"/>
                    </w:rPr>
                  </m:ctrlPr>
                </m:sSupPr>
                <m:e>
                  <m:r>
                    <w:rPr>
                      <w:rFonts w:ascii="Cambria Math" w:hAnsi="Cambria Math"/>
                      <w:lang w:val="bg-BG"/>
                    </w:rPr>
                    <m:t>v</m:t>
                  </m:r>
                </m:e>
                <m:sup>
                  <m:r>
                    <w:rPr>
                      <w:rFonts w:ascii="Cambria Math" w:hAnsi="Cambria Math"/>
                      <w:lang w:val="bg-BG"/>
                    </w:rPr>
                    <m:t>2</m:t>
                  </m:r>
                </m:sup>
              </m:sSup>
            </m:den>
          </m:f>
          <m:r>
            <w:rPr>
              <w:rFonts w:ascii="Cambria Math" w:hAnsi="Cambria Math"/>
              <w:lang w:val="bg-BG"/>
            </w:rPr>
            <m:t xml:space="preserve"> ∙ </m:t>
          </m:r>
          <m:sSup>
            <m:sSupPr>
              <m:ctrlPr>
                <w:rPr>
                  <w:rFonts w:ascii="Cambria Math" w:hAnsi="Cambria Math"/>
                  <w:i/>
                  <w:lang w:val="bg-BG"/>
                </w:rPr>
              </m:ctrlPr>
            </m:sSupPr>
            <m:e>
              <m:d>
                <m:dPr>
                  <m:ctrlPr>
                    <w:rPr>
                      <w:rFonts w:ascii="Cambria Math" w:hAnsi="Cambria Math"/>
                      <w:i/>
                      <w:lang w:val="bg-BG"/>
                    </w:rPr>
                  </m:ctrlPr>
                </m:dPr>
                <m:e>
                  <m:sSub>
                    <m:sSubPr>
                      <m:ctrlPr>
                        <w:rPr>
                          <w:rFonts w:ascii="Cambria Math" w:hAnsi="Cambria Math"/>
                          <w:i/>
                          <w:lang w:val="bg-BG"/>
                        </w:rPr>
                      </m:ctrlPr>
                    </m:sSubPr>
                    <m:e>
                      <m:r>
                        <w:rPr>
                          <w:rFonts w:ascii="Cambria Math" w:hAnsi="Cambria Math"/>
                          <w:lang w:val="bg-BG"/>
                        </w:rPr>
                        <m:t>k</m:t>
                      </m:r>
                    </m:e>
                    <m:sub>
                      <m:r>
                        <w:rPr>
                          <w:rFonts w:ascii="Cambria Math" w:hAnsi="Cambria Math"/>
                          <w:lang w:val="bg-BG"/>
                        </w:rPr>
                        <m:t>7</m:t>
                      </m:r>
                    </m:sub>
                  </m:sSub>
                  <m:r>
                    <w:rPr>
                      <w:rFonts w:ascii="Cambria Math" w:hAnsi="Cambria Math"/>
                      <w:lang w:val="bg-BG"/>
                    </w:rPr>
                    <m:t xml:space="preserve"> ∙ </m:t>
                  </m:r>
                  <m:sSub>
                    <m:sSubPr>
                      <m:ctrlPr>
                        <w:rPr>
                          <w:rFonts w:ascii="Cambria Math" w:hAnsi="Cambria Math"/>
                          <w:i/>
                          <w:lang w:val="bg-BG"/>
                        </w:rPr>
                      </m:ctrlPr>
                    </m:sSubPr>
                    <m:e>
                      <m:r>
                        <w:rPr>
                          <w:rFonts w:ascii="Cambria Math" w:hAnsi="Cambria Math"/>
                          <w:lang w:val="bg-BG"/>
                        </w:rPr>
                        <m:t>k</m:t>
                      </m:r>
                    </m:e>
                    <m:sub>
                      <m:r>
                        <w:rPr>
                          <w:rFonts w:ascii="Cambria Math" w:hAnsi="Cambria Math"/>
                          <w:lang w:val="bg-BG"/>
                        </w:rPr>
                        <m:t>6</m:t>
                      </m:r>
                    </m:sub>
                  </m:sSub>
                  <m:r>
                    <w:rPr>
                      <w:rFonts w:ascii="Cambria Math" w:hAnsi="Cambria Math"/>
                      <w:lang w:val="bg-BG"/>
                    </w:rPr>
                    <m:t xml:space="preserve"> ∙ </m:t>
                  </m:r>
                  <m:d>
                    <m:dPr>
                      <m:ctrlPr>
                        <w:rPr>
                          <w:rFonts w:ascii="Cambria Math" w:hAnsi="Cambria Math"/>
                          <w:i/>
                          <w:lang w:val="bg-BG"/>
                        </w:rPr>
                      </m:ctrlPr>
                    </m:dPr>
                    <m:e>
                      <m:sSub>
                        <m:sSubPr>
                          <m:ctrlPr>
                            <w:rPr>
                              <w:rFonts w:ascii="Cambria Math" w:hAnsi="Cambria Math"/>
                              <w:i/>
                              <w:lang w:val="bg-BG"/>
                            </w:rPr>
                          </m:ctrlPr>
                        </m:sSubPr>
                        <m:e>
                          <m:r>
                            <w:rPr>
                              <w:rFonts w:ascii="Cambria Math" w:hAnsi="Cambria Math"/>
                              <w:lang w:val="bg-BG"/>
                            </w:rPr>
                            <m:t>v</m:t>
                          </m:r>
                        </m:e>
                        <m:sub>
                          <m:sSub>
                            <m:sSubPr>
                              <m:ctrlPr>
                                <w:rPr>
                                  <w:rFonts w:ascii="Cambria Math" w:hAnsi="Cambria Math"/>
                                  <w:i/>
                                  <w:lang w:val="bg-BG"/>
                                </w:rPr>
                              </m:ctrlPr>
                            </m:sSubPr>
                            <m:e>
                              <m:r>
                                <w:rPr>
                                  <w:rFonts w:ascii="Cambria Math" w:hAnsi="Cambria Math"/>
                                  <w:lang w:val="bg-BG"/>
                                </w:rPr>
                                <m:t>L</m:t>
                              </m:r>
                            </m:e>
                            <m:sub>
                              <m:r>
                                <w:rPr>
                                  <w:rFonts w:ascii="Cambria Math" w:hAnsi="Cambria Math"/>
                                  <w:lang w:val="bg-BG"/>
                                </w:rPr>
                                <m:t>SOLL</m:t>
                              </m:r>
                            </m:sub>
                          </m:sSub>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v</m:t>
                          </m:r>
                        </m:e>
                        <m:sub>
                          <m:sSub>
                            <m:sSubPr>
                              <m:ctrlPr>
                                <w:rPr>
                                  <w:rFonts w:ascii="Cambria Math" w:hAnsi="Cambria Math"/>
                                  <w:i/>
                                  <w:lang w:val="bg-BG"/>
                                </w:rPr>
                              </m:ctrlPr>
                            </m:sSubPr>
                            <m:e>
                              <m:r>
                                <w:rPr>
                                  <w:rFonts w:ascii="Cambria Math" w:hAnsi="Cambria Math"/>
                                  <w:lang w:val="bg-BG"/>
                                </w:rPr>
                                <m:t>STR</m:t>
                              </m:r>
                            </m:e>
                            <m:sub>
                              <m:r>
                                <w:rPr>
                                  <w:rFonts w:ascii="Cambria Math" w:hAnsi="Cambria Math"/>
                                  <w:lang w:val="bg-BG"/>
                                </w:rPr>
                                <m:t>SOLL</m:t>
                              </m:r>
                            </m:sub>
                          </m:sSub>
                        </m:sub>
                      </m:sSub>
                    </m:e>
                  </m:d>
                </m:e>
              </m:d>
            </m:e>
            <m:sup>
              <m:r>
                <w:rPr>
                  <w:rFonts w:ascii="Cambria Math" w:hAnsi="Cambria Math"/>
                  <w:lang w:val="bg-BG"/>
                </w:rPr>
                <m:t>2</m:t>
              </m:r>
            </m:sup>
          </m:sSup>
          <m:r>
            <w:rPr>
              <w:rFonts w:ascii="Cambria Math" w:hAnsi="Cambria Math"/>
              <w:lang w:val="bg-BG"/>
            </w:rPr>
            <m:t xml:space="preserve">=10,8 ∙ </m:t>
          </m:r>
          <m:sSup>
            <m:sSupPr>
              <m:ctrlPr>
                <w:rPr>
                  <w:rFonts w:ascii="Cambria Math" w:hAnsi="Cambria Math"/>
                  <w:i/>
                  <w:lang w:val="bg-BG"/>
                </w:rPr>
              </m:ctrlPr>
            </m:sSupPr>
            <m:e>
              <m:d>
                <m:dPr>
                  <m:ctrlPr>
                    <w:rPr>
                      <w:rFonts w:ascii="Cambria Math" w:hAnsi="Cambria Math"/>
                      <w:i/>
                      <w:lang w:val="bg-BG"/>
                    </w:rPr>
                  </m:ctrlPr>
                </m:dPr>
                <m:e>
                  <m:r>
                    <w:rPr>
                      <w:rFonts w:ascii="Cambria Math" w:hAnsi="Cambria Math"/>
                      <w:lang w:val="bg-BG"/>
                    </w:rPr>
                    <m:t>0,55 ∙0,85 ∙3,6</m:t>
                  </m:r>
                </m:e>
              </m:d>
            </m:e>
            <m:sup>
              <m:r>
                <w:rPr>
                  <w:rFonts w:ascii="Cambria Math" w:hAnsi="Cambria Math"/>
                  <w:lang w:val="bg-BG"/>
                </w:rPr>
                <m:t>2</m:t>
              </m:r>
            </m:sup>
          </m:sSup>
          <m:r>
            <w:rPr>
              <w:rFonts w:ascii="Cambria Math" w:hAnsi="Cambria Math"/>
              <w:lang w:val="bg-BG"/>
            </w:rPr>
            <m:t>=</m:t>
          </m:r>
          <m:r>
            <m:rPr>
              <m:sty m:val="bi"/>
            </m:rPr>
            <w:rPr>
              <w:rFonts w:ascii="Cambria Math" w:hAnsi="Cambria Math"/>
              <w:lang w:val="bg-BG"/>
            </w:rPr>
            <m:t xml:space="preserve">30,99 </m:t>
          </m:r>
          <m:d>
            <m:dPr>
              <m:begChr m:val="["/>
              <m:endChr m:val="]"/>
              <m:ctrlPr>
                <w:rPr>
                  <w:rFonts w:ascii="Cambria Math" w:hAnsi="Cambria Math"/>
                  <w:b/>
                  <w:i/>
                  <w:lang w:val="bg-BG"/>
                </w:rPr>
              </m:ctrlPr>
            </m:dPr>
            <m:e>
              <m:r>
                <m:rPr>
                  <m:sty m:val="bi"/>
                </m:rPr>
                <w:rPr>
                  <w:rFonts w:ascii="Cambria Math" w:hAnsi="Cambria Math"/>
                  <w:lang w:val="bg-BG"/>
                </w:rPr>
                <m:t>kN</m:t>
              </m:r>
            </m:e>
          </m:d>
        </m:oMath>
      </m:oMathPara>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992"/>
        </w:tabs>
        <w:overflowPunct w:val="0"/>
        <w:adjustRightInd w:val="0"/>
        <w:spacing w:before="60" w:line="240" w:lineRule="atLeast"/>
        <w:ind w:left="992"/>
        <w:textAlignment w:val="baseline"/>
        <w:rPr>
          <w:szCs w:val="20"/>
          <w:lang w:val="bg-BG"/>
        </w:rPr>
      </w:pPr>
      <w:r w:rsidRPr="009072DA">
        <w:rPr>
          <w:lang w:val="bg-BG"/>
        </w:rPr>
        <w:t>г)</w:t>
      </w:r>
      <w:r w:rsidRPr="009072DA">
        <w:rPr>
          <w:lang w:val="bg-BG"/>
        </w:rPr>
        <w:tab/>
        <w:t xml:space="preserve">Съпротивление, дължащо се на наклона </w:t>
      </w:r>
      <m:oMath>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G</m:t>
            </m:r>
          </m:sub>
        </m:sSub>
      </m:oMath>
      <w:r w:rsidRPr="009072DA">
        <w:rPr>
          <w:lang w:val="bg-BG"/>
        </w:rPr>
        <w:t xml:space="preserve"> както в точка 4.2</w:t>
      </w: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p>
    <w:p w:rsidR="004F47BB" w:rsidRPr="009072DA" w:rsidRDefault="004F47BB" w:rsidP="004F47BB">
      <w:pPr>
        <w:tabs>
          <w:tab w:val="left" w:pos="992"/>
        </w:tabs>
        <w:overflowPunct w:val="0"/>
        <w:adjustRightInd w:val="0"/>
        <w:spacing w:before="60" w:line="240" w:lineRule="atLeast"/>
        <w:ind w:left="992"/>
        <w:textAlignment w:val="baseline"/>
        <w:rPr>
          <w:szCs w:val="20"/>
          <w:lang w:val="bg-BG"/>
        </w:rPr>
      </w:pPr>
      <w:r w:rsidRPr="009072DA">
        <w:rPr>
          <w:lang w:val="bg-BG"/>
        </w:rPr>
        <w:lastRenderedPageBreak/>
        <w:t>д)</w:t>
      </w:r>
      <w:r w:rsidRPr="009072DA">
        <w:rPr>
          <w:lang w:val="bg-BG"/>
        </w:rPr>
        <w:tab/>
        <w:t xml:space="preserve">Изчисляване на </w:t>
      </w:r>
      <m:oMath>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oMath>
    </w:p>
    <w:p w:rsidR="004F47BB" w:rsidRPr="009072DA" w:rsidRDefault="004F47BB" w:rsidP="004F47BB">
      <w:pPr>
        <w:tabs>
          <w:tab w:val="left" w:pos="454"/>
        </w:tabs>
        <w:overflowPunct w:val="0"/>
        <w:adjustRightInd w:val="0"/>
        <w:spacing w:line="240" w:lineRule="atLeast"/>
        <w:ind w:left="454" w:firstLine="539"/>
        <w:textAlignment w:val="baseline"/>
        <w:rPr>
          <w:szCs w:val="20"/>
          <w:lang w:val="bg-BG"/>
        </w:rPr>
      </w:pPr>
    </w:p>
    <w:p w:rsidR="004F47BB" w:rsidRPr="009072DA" w:rsidRDefault="002B712C" w:rsidP="004F47BB">
      <w:pPr>
        <w:overflowPunct w:val="0"/>
        <w:adjustRightInd w:val="0"/>
        <w:spacing w:line="240" w:lineRule="atLeast"/>
        <w:ind w:left="993"/>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6</m:t>
            </m:r>
          </m:sub>
        </m:sSub>
        <m:r>
          <w:rPr>
            <w:rFonts w:ascii="Cambria Math" w:hAnsi="Cambria Math"/>
            <w:szCs w:val="20"/>
            <w:lang w:val="bg-BG"/>
          </w:rPr>
          <m:t xml:space="preserve"> ∙ </m:t>
        </m:r>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L</m:t>
                    </m:r>
                  </m:e>
                  <m:sub>
                    <m:r>
                      <w:rPr>
                        <w:rFonts w:ascii="Cambria Math" w:hAnsi="Cambria Math"/>
                        <w:szCs w:val="20"/>
                        <w:lang w:val="bg-BG"/>
                      </w:rPr>
                      <m:t>SOLL</m:t>
                    </m:r>
                  </m:sub>
                </m:sSub>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STR</m:t>
                    </m:r>
                  </m:e>
                  <m:sub>
                    <m:r>
                      <w:rPr>
                        <w:rFonts w:ascii="Cambria Math" w:hAnsi="Cambria Math"/>
                        <w:szCs w:val="20"/>
                        <w:lang w:val="bg-BG"/>
                      </w:rPr>
                      <m:t>SOLL</m:t>
                    </m:r>
                  </m:sub>
                </m:sSub>
              </m:sub>
            </m:sSub>
          </m:e>
        </m:d>
        <m:r>
          <w:rPr>
            <w:rFonts w:ascii="Cambria Math" w:hAnsi="Cambria Math"/>
            <w:szCs w:val="20"/>
            <w:lang w:val="bg-BG"/>
          </w:rPr>
          <m:t>=0,85 ∙3,6=</m:t>
        </m:r>
        <m:r>
          <m:rPr>
            <m:sty m:val="bi"/>
          </m:rPr>
          <w:rPr>
            <w:rFonts w:ascii="Cambria Math" w:hAnsi="Cambria Math"/>
            <w:szCs w:val="20"/>
            <w:lang w:val="bg-BG"/>
          </w:rPr>
          <m:t>3,06</m:t>
        </m:r>
        <m:r>
          <w:rPr>
            <w:rFonts w:ascii="Cambria Math" w:hAnsi="Cambria Math"/>
            <w:szCs w:val="20"/>
            <w:lang w:val="bg-BG"/>
          </w:rPr>
          <m:t xml:space="preserve"> </m:t>
        </m:r>
        <m:d>
          <m:dPr>
            <m:begChr m:val="["/>
            <m:endChr m:val="]"/>
            <m:ctrlPr>
              <w:rPr>
                <w:rFonts w:ascii="Cambria Math" w:hAnsi="Cambria Math"/>
                <w:i/>
                <w:szCs w:val="20"/>
                <w:lang w:val="bg-BG"/>
              </w:rPr>
            </m:ctrlPr>
          </m:dPr>
          <m:e>
            <m:r>
              <w:rPr>
                <w:rFonts w:ascii="Cambria Math" w:hAnsi="Cambria Math"/>
                <w:szCs w:val="20"/>
                <w:lang w:val="bg-BG"/>
              </w:rPr>
              <m:t>m/s</m:t>
            </m:r>
          </m:e>
        </m:d>
        <m:r>
          <w:rPr>
            <w:rFonts w:ascii="Cambria Math" w:hAnsi="Cambria Math"/>
            <w:szCs w:val="20"/>
            <w:lang w:val="bg-BG"/>
          </w:rPr>
          <m:t>,</m:t>
        </m:r>
      </m:oMath>
      <w:r w:rsidR="007B1046" w:rsidRPr="009072DA">
        <w:rPr>
          <w:lang w:val="bg-BG"/>
        </w:rPr>
        <w:t xml:space="preserve">  </w:t>
      </w:r>
      <m:oMath>
        <m:sSub>
          <m:sSubPr>
            <m:ctrlPr>
              <w:rPr>
                <w:rFonts w:ascii="Cambria Math" w:hAnsi="Cambria Math"/>
                <w:i/>
                <w:szCs w:val="20"/>
                <w:lang w:val="bg-BG"/>
              </w:rPr>
            </m:ctrlPr>
          </m:sSubPr>
          <m:e>
            <m:sSup>
              <m:sSupPr>
                <m:ctrlPr>
                  <w:rPr>
                    <w:rFonts w:ascii="Cambria Math" w:hAnsi="Cambria Math"/>
                    <w:i/>
                    <w:szCs w:val="20"/>
                    <w:lang w:val="bg-BG"/>
                  </w:rPr>
                </m:ctrlPr>
              </m:sSupPr>
              <m:e>
                <m:r>
                  <w:rPr>
                    <w:rFonts w:ascii="Cambria Math" w:hAnsi="Cambria Math"/>
                    <w:szCs w:val="20"/>
                    <w:lang w:val="bg-BG"/>
                  </w:rPr>
                  <m:t>v</m:t>
                </m:r>
              </m:e>
              <m:sup>
                <m:r>
                  <w:rPr>
                    <w:rFonts w:ascii="Cambria Math" w:hAnsi="Cambria Math"/>
                    <w:szCs w:val="20"/>
                    <w:lang w:val="bg-BG"/>
                  </w:rPr>
                  <m:t>2</m:t>
                </m:r>
              </m:sup>
            </m:sSup>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r>
          <w:rPr>
            <w:rFonts w:ascii="Cambria Math" w:hAnsi="Cambria Math"/>
            <w:szCs w:val="20"/>
            <w:lang w:val="bg-BG"/>
          </w:rPr>
          <m:t xml:space="preserve">=9,36 </m:t>
        </m:r>
        <m:sSup>
          <m:sSupPr>
            <m:ctrlPr>
              <w:rPr>
                <w:rFonts w:ascii="Cambria Math" w:hAnsi="Cambria Math"/>
                <w:i/>
                <w:szCs w:val="20"/>
                <w:lang w:val="bg-BG"/>
              </w:rPr>
            </m:ctrlPr>
          </m:sSupPr>
          <m:e>
            <m:d>
              <m:dPr>
                <m:begChr m:val="["/>
                <m:endChr m:val="]"/>
                <m:ctrlPr>
                  <w:rPr>
                    <w:rFonts w:ascii="Cambria Math" w:hAnsi="Cambria Math"/>
                    <w:i/>
                    <w:szCs w:val="20"/>
                    <w:lang w:val="bg-BG"/>
                  </w:rPr>
                </m:ctrlPr>
              </m:dPr>
              <m:e>
                <m:r>
                  <w:rPr>
                    <w:rFonts w:ascii="Cambria Math" w:hAnsi="Cambria Math"/>
                    <w:szCs w:val="20"/>
                    <w:lang w:val="bg-BG"/>
                  </w:rPr>
                  <m:t>m/s</m:t>
                </m:r>
              </m:e>
            </m:d>
          </m:e>
          <m:sup>
            <m:r>
              <w:rPr>
                <w:rFonts w:ascii="Cambria Math" w:hAnsi="Cambria Math"/>
                <w:szCs w:val="20"/>
                <w:lang w:val="bg-BG"/>
              </w:rPr>
              <m:t>2</m:t>
            </m:r>
          </m:sup>
        </m:sSup>
      </m:oMath>
    </w:p>
    <w:p w:rsidR="004F47BB" w:rsidRPr="009072DA" w:rsidRDefault="004F47BB" w:rsidP="004F47BB">
      <w:pPr>
        <w:tabs>
          <w:tab w:val="left" w:pos="0"/>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992"/>
        </w:tabs>
        <w:overflowPunct w:val="0"/>
        <w:adjustRightInd w:val="0"/>
        <w:spacing w:before="60" w:line="240" w:lineRule="atLeast"/>
        <w:ind w:left="992"/>
        <w:textAlignment w:val="baseline"/>
        <w:rPr>
          <w:szCs w:val="20"/>
          <w:lang w:val="bg-BG"/>
        </w:rPr>
      </w:pPr>
      <w:r w:rsidRPr="009072DA">
        <w:rPr>
          <w:lang w:val="bg-BG"/>
        </w:rPr>
        <w:t>е)</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F</m:t>
            </m:r>
          </m:e>
          <m:sub>
            <m:r>
              <w:rPr>
                <w:rFonts w:ascii="Cambria Math" w:hAnsi="Cambria Math"/>
                <w:szCs w:val="20"/>
                <w:lang w:val="bg-BG"/>
              </w:rPr>
              <m:t>POR</m:t>
            </m:r>
          </m:sub>
        </m:sSub>
      </m:oMath>
      <w:r w:rsidRPr="009072DA">
        <w:rPr>
          <w:lang w:val="bg-BG"/>
        </w:rPr>
        <w:t xml:space="preserve">  както в точка 4.2.</w:t>
      </w: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r w:rsidRPr="009072DA">
        <w:rPr>
          <w:lang w:val="bg-BG"/>
        </w:rPr>
        <w:br w:type="page"/>
      </w:r>
    </w:p>
    <w:p w:rsidR="004F47BB" w:rsidRPr="009072DA" w:rsidRDefault="004F47BB" w:rsidP="004F47BB">
      <w:pPr>
        <w:tabs>
          <w:tab w:val="left" w:pos="992"/>
        </w:tabs>
        <w:overflowPunct w:val="0"/>
        <w:adjustRightInd w:val="0"/>
        <w:spacing w:before="60" w:line="240" w:lineRule="atLeast"/>
        <w:ind w:left="992"/>
        <w:textAlignment w:val="baseline"/>
        <w:rPr>
          <w:szCs w:val="20"/>
          <w:lang w:val="bg-BG"/>
        </w:rPr>
      </w:pPr>
      <w:r w:rsidRPr="009072DA">
        <w:rPr>
          <w:lang w:val="bg-BG"/>
        </w:rPr>
        <w:lastRenderedPageBreak/>
        <w:t>ж)</w:t>
      </w:r>
      <w:r w:rsidRPr="009072DA">
        <w:rPr>
          <w:lang w:val="bg-BG"/>
        </w:rPr>
        <w:tab/>
        <w:t xml:space="preserve">Изчисляване на </w:t>
      </w: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oMath>
      <w:r w:rsidRPr="009072DA">
        <w:rPr>
          <w:lang w:val="bg-BG"/>
        </w:rPr>
        <w:t xml:space="preserve"> като се използва формула б) и резултатите от формули в) — е)</w:t>
      </w:r>
    </w:p>
    <w:p w:rsidR="004F47BB" w:rsidRPr="009072DA" w:rsidRDefault="004F47BB" w:rsidP="004F47BB">
      <w:pPr>
        <w:overflowPunct w:val="0"/>
        <w:adjustRightInd w:val="0"/>
        <w:spacing w:line="240" w:lineRule="exact"/>
        <w:ind w:left="993"/>
        <w:textAlignment w:val="baseline"/>
        <w:rPr>
          <w:szCs w:val="20"/>
          <w:lang w:val="bg-BG"/>
        </w:rPr>
      </w:pPr>
    </w:p>
    <w:p w:rsidR="004F47BB" w:rsidRPr="009072DA" w:rsidRDefault="002B712C" w:rsidP="004F47BB">
      <w:pPr>
        <w:overflowPunct w:val="0"/>
        <w:adjustRightInd w:val="0"/>
        <w:spacing w:line="240" w:lineRule="atLeast"/>
        <w:ind w:left="992"/>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r>
            <w:rPr>
              <w:rFonts w:ascii="Cambria Math" w:hAnsi="Cambria Math"/>
              <w:szCs w:val="20"/>
              <w:lang w:val="bg-BG"/>
            </w:rPr>
            <m:t xml:space="preserve">=  </m:t>
          </m:r>
          <m:f>
            <m:fPr>
              <m:ctrlPr>
                <w:rPr>
                  <w:rFonts w:ascii="Cambria Math" w:hAnsi="Cambria Math"/>
                  <w:i/>
                  <w:szCs w:val="20"/>
                  <w:lang w:val="bg-BG"/>
                </w:rPr>
              </m:ctrlPr>
            </m:fPr>
            <m:num>
              <m:r>
                <w:rPr>
                  <w:rFonts w:ascii="Cambria Math" w:hAnsi="Cambria Math"/>
                  <w:szCs w:val="20"/>
                  <w:lang w:val="bg-BG"/>
                </w:rPr>
                <m:t xml:space="preserve">0,12 ∙9,36 ∙9,81 ∙ </m:t>
              </m:r>
              <m:d>
                <m:dPr>
                  <m:ctrlPr>
                    <w:rPr>
                      <w:rFonts w:ascii="Cambria Math" w:hAnsi="Cambria Math"/>
                      <w:i/>
                      <w:szCs w:val="20"/>
                      <w:lang w:val="bg-BG"/>
                    </w:rPr>
                  </m:ctrlPr>
                </m:dPr>
                <m:e>
                  <m:r>
                    <w:rPr>
                      <w:rFonts w:ascii="Cambria Math" w:hAnsi="Cambria Math"/>
                      <w:szCs w:val="20"/>
                      <w:lang w:val="bg-BG"/>
                    </w:rPr>
                    <m:t xml:space="preserve">0,48+ </m:t>
                  </m:r>
                  <m:f>
                    <m:fPr>
                      <m:ctrlPr>
                        <w:rPr>
                          <w:rFonts w:ascii="Cambria Math" w:hAnsi="Cambria Math"/>
                          <w:i/>
                          <w:szCs w:val="20"/>
                          <w:lang w:val="bg-BG"/>
                        </w:rPr>
                      </m:ctrlPr>
                    </m:fPr>
                    <m:num>
                      <m:r>
                        <w:rPr>
                          <w:rFonts w:ascii="Cambria Math" w:hAnsi="Cambria Math"/>
                          <w:szCs w:val="20"/>
                          <w:lang w:val="bg-BG"/>
                        </w:rPr>
                        <m:t>1,5</m:t>
                      </m:r>
                    </m:num>
                    <m:den>
                      <m:r>
                        <w:rPr>
                          <w:rFonts w:ascii="Cambria Math" w:hAnsi="Cambria Math"/>
                          <w:szCs w:val="20"/>
                          <w:lang w:val="bg-BG"/>
                        </w:rPr>
                        <m:t>3,06</m:t>
                      </m:r>
                    </m:den>
                  </m:f>
                </m:e>
              </m:d>
            </m:num>
            <m:den>
              <m:r>
                <w:rPr>
                  <w:rFonts w:ascii="Cambria Math" w:hAnsi="Cambria Math"/>
                  <w:szCs w:val="20"/>
                  <w:lang w:val="bg-BG"/>
                </w:rPr>
                <m:t>1,15 ∙177+30,99-8,13</m:t>
              </m:r>
            </m:den>
          </m:f>
          <m:r>
            <w:rPr>
              <w:rFonts w:ascii="Cambria Math" w:hAnsi="Cambria Math"/>
              <w:szCs w:val="20"/>
              <w:lang w:val="bg-BG"/>
            </w:rPr>
            <m:t xml:space="preserve"> ∙5179</m:t>
          </m:r>
        </m:oMath>
      </m:oMathPara>
    </w:p>
    <w:p w:rsidR="004F47BB" w:rsidRPr="009072DA" w:rsidRDefault="004F47BB" w:rsidP="004F47BB">
      <w:pPr>
        <w:tabs>
          <w:tab w:val="left" w:pos="454"/>
        </w:tabs>
        <w:overflowPunct w:val="0"/>
        <w:adjustRightInd w:val="0"/>
        <w:spacing w:line="240" w:lineRule="atLeast"/>
        <w:ind w:left="454" w:hanging="454"/>
        <w:textAlignment w:val="baseline"/>
        <w:rPr>
          <w:szCs w:val="20"/>
          <w:lang w:val="bg-BG"/>
        </w:rPr>
      </w:pPr>
      <w:r w:rsidRPr="009072DA">
        <w:rPr>
          <w:noProof/>
          <w:szCs w:val="20"/>
          <w:lang w:eastAsia="en-GB"/>
        </w:rPr>
        <mc:AlternateContent>
          <mc:Choice Requires="wps">
            <w:drawing>
              <wp:anchor distT="0" distB="0" distL="114300" distR="114300" simplePos="0" relativeHeight="251686912" behindDoc="0" locked="0" layoutInCell="1" allowOverlap="1" wp14:anchorId="0648F91A" wp14:editId="38891FFB">
                <wp:simplePos x="0" y="0"/>
                <wp:positionH relativeFrom="column">
                  <wp:posOffset>898221</wp:posOffset>
                </wp:positionH>
                <wp:positionV relativeFrom="paragraph">
                  <wp:posOffset>138430</wp:posOffset>
                </wp:positionV>
                <wp:extent cx="90807" cy="413785"/>
                <wp:effectExtent l="0" t="8890" r="14605" b="14605"/>
                <wp:wrapNone/>
                <wp:docPr id="155" name="AutoShape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90807" cy="413785"/>
                        </a:xfrm>
                        <a:prstGeom prst="rightBrace">
                          <a:avLst>
                            <a:gd name="adj1" fmla="val 4195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w:pict>
              <v:shapetype xmlns:o="urn:schemas-microsoft-com:office:office" xmlns:v="urn:schemas-microsoft-com:vml" id="_x0000_t88" coordsize="21600,21600" filled="f" o:spt="88" adj="1800,10800" path="m,qx10800@0l10800@2qy21600@11,10800@3l10800@1qy,21600e">
                <v:formulas>
                  <v:f eqn="val #0"/>
                  <v:f eqn="sum 21600 0 #0"/>
                  <v:f eqn="sum #1 0 #0"/>
                  <v:f eqn="sum #1 #0 0"/>
                  <v:f eqn="prod #0 9598 32768"/>
                  <v:f eqn="sum 21600 0 @4"/>
                  <v:f eqn="sum 21600 0 #1"/>
                  <v:f eqn="min #1 @6"/>
                  <v:f eqn="prod @7 1 2"/>
                  <v:f eqn="prod #0 2 1"/>
                  <v:f eqn="sum 21600 0 @9"/>
                  <v:f eqn="val #1"/>
                </v:formulas>
                <v:path textboxrect="0,@4,7637,@5" arrowok="t" o:connecttype="custom" o:connectlocs="0,0;21600,@11;0,21600"/>
                <v:handles>
                  <v:h position="center,#0" yrange="0,@8"/>
                  <v:h position="bottomRight,#1" yrange="@9,@10"/>
                </v:handles>
              </v:shapetype>
              <v:shape xmlns:o="urn:schemas-microsoft-com:office:office" xmlns:v="urn:schemas-microsoft-com:vml" id="AutoShape 127" style="position:absolute;margin-left:70.75pt;margin-top:10.9pt;width:7.15pt;height:32.6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88" adj="19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"/>
            </w:pict>
          </mc:Fallback>
        </mc:AlternateContent>
      </w:r>
    </w:p>
    <w:p w:rsidR="004F47BB" w:rsidRPr="009072DA" w:rsidRDefault="004F47BB" w:rsidP="004F47BB">
      <w:pPr>
        <w:overflowPunct w:val="0"/>
        <w:adjustRightInd w:val="0"/>
        <w:spacing w:line="240" w:lineRule="exact"/>
        <w:ind w:left="993"/>
        <w:textAlignment w:val="baseline"/>
        <w:rPr>
          <w:szCs w:val="20"/>
          <w:lang w:val="bg-BG"/>
        </w:rPr>
      </w:pPr>
      <m:oMathPara>
        <m:oMathParaPr>
          <m:jc m:val="left"/>
        </m:oMathParaPr>
        <m:oMath>
          <m:r>
            <w:rPr>
              <w:rFonts w:ascii="Cambria Math" w:hAnsi="Cambria Math"/>
              <w:szCs w:val="20"/>
              <w:lang w:val="bg-BG"/>
            </w:rPr>
            <m:t>=0,0472 ∙5179=</m:t>
          </m:r>
          <m:r>
            <m:rPr>
              <m:sty m:val="bi"/>
            </m:rPr>
            <w:rPr>
              <w:rFonts w:ascii="Cambria Math" w:hAnsi="Cambria Math"/>
              <w:szCs w:val="20"/>
              <w:lang w:val="bg-BG"/>
            </w:rPr>
            <m:t>244,5 m</m:t>
          </m:r>
        </m:oMath>
      </m:oMathPara>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2B712C" w:rsidP="004F47BB">
      <w:pPr>
        <w:overflowPunct w:val="0"/>
        <w:adjustRightInd w:val="0"/>
        <w:spacing w:line="240" w:lineRule="atLeast"/>
        <w:ind w:left="993" w:hanging="1"/>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Const</m:t>
              </m:r>
            </m:e>
            <m:sub>
              <m:r>
                <w:rPr>
                  <w:rFonts w:ascii="Cambria Math" w:hAnsi="Cambria Math"/>
                  <w:szCs w:val="20"/>
                  <w:lang w:val="bg-BG"/>
                </w:rPr>
                <m:t>SOLL</m:t>
              </m:r>
            </m:sub>
          </m:sSub>
        </m:oMath>
      </m:oMathPara>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992"/>
        </w:tabs>
        <w:overflowPunct w:val="0"/>
        <w:adjustRightInd w:val="0"/>
        <w:spacing w:before="60" w:line="240" w:lineRule="atLeast"/>
        <w:ind w:left="992"/>
        <w:textAlignment w:val="baseline"/>
        <w:rPr>
          <w:szCs w:val="20"/>
          <w:lang w:val="bg-BG"/>
        </w:rPr>
      </w:pPr>
      <w:r w:rsidRPr="009072DA">
        <w:rPr>
          <w:lang w:val="bg-BG"/>
        </w:rPr>
        <w:t>з)</w:t>
      </w:r>
      <w:r w:rsidRPr="009072DA">
        <w:rPr>
          <w:lang w:val="bg-BG"/>
        </w:rPr>
        <w:tab/>
        <w:t>Изчисляване на общото разстояние</w:t>
      </w: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p>
    <w:p w:rsidR="004F47BB" w:rsidRPr="009072DA" w:rsidRDefault="002B712C" w:rsidP="004F47BB">
      <w:pPr>
        <w:tabs>
          <w:tab w:val="left" w:pos="992"/>
        </w:tabs>
        <w:overflowPunct w:val="0"/>
        <w:adjustRightInd w:val="0"/>
        <w:spacing w:line="240" w:lineRule="atLeast"/>
        <w:ind w:left="992"/>
        <w:textAlignment w:val="baseline"/>
        <w:rPr>
          <w:szCs w:val="20"/>
          <w:lang w:val="bg-BG"/>
        </w:rPr>
      </w:pPr>
      <m:oMathPara>
        <m:oMathParaPr>
          <m:jc m:val="left"/>
        </m:oMathParaPr>
        <m:oMath>
          <m:sSub>
            <m:sSubPr>
              <m:ctrlPr>
                <w:rPr>
                  <w:rFonts w:ascii="Cambria Math" w:hAnsi="Cambria Math"/>
                  <w:b/>
                  <w:i/>
                  <w:szCs w:val="20"/>
                  <w:lang w:val="bg-BG"/>
                </w:rPr>
              </m:ctrlPr>
            </m:sSubPr>
            <m:e>
              <m:r>
                <m:rPr>
                  <m:sty m:val="bi"/>
                </m:rPr>
                <w:rPr>
                  <w:rFonts w:ascii="Cambria Math" w:hAnsi="Cambria Math"/>
                  <w:szCs w:val="20"/>
                  <w:lang w:val="bg-BG"/>
                </w:rPr>
                <m:t>s</m:t>
              </m:r>
            </m:e>
            <m:sub>
              <m:r>
                <m:rPr>
                  <m:sty m:val="bi"/>
                </m:rPr>
                <w:rPr>
                  <w:rFonts w:ascii="Cambria Math" w:hAnsi="Cambria Math"/>
                  <w:szCs w:val="20"/>
                  <w:lang w:val="bg-BG"/>
                </w:rPr>
                <m:t>S</m:t>
              </m:r>
              <m:r>
                <m:rPr>
                  <m:sty m:val="bi"/>
                </m:rPr>
                <w:rPr>
                  <w:rFonts w:ascii="Cambria Math" w:hAnsi="Cambria Math"/>
                  <w:szCs w:val="20"/>
                  <w:lang w:val="bg-BG"/>
                </w:rPr>
                <m:t>OLL</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m:t>
                  </m:r>
                </m:e>
                <m:sub>
                  <m:r>
                    <w:rPr>
                      <w:rFonts w:ascii="Cambria Math" w:hAnsi="Cambria Math"/>
                      <w:szCs w:val="20"/>
                      <w:lang w:val="bg-BG"/>
                    </w:rPr>
                    <m:t>SOLL</m:t>
                  </m:r>
                </m:sub>
              </m:sSub>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r>
            <w:rPr>
              <w:rFonts w:ascii="Cambria Math" w:hAnsi="Cambria Math"/>
              <w:szCs w:val="20"/>
              <w:lang w:val="bg-BG"/>
            </w:rPr>
            <m:t>=77,5+244,5=</m:t>
          </m:r>
          <m:r>
            <m:rPr>
              <m:sty m:val="bi"/>
            </m:rPr>
            <w:rPr>
              <w:rFonts w:ascii="Cambria Math" w:hAnsi="Cambria Math"/>
              <w:szCs w:val="20"/>
              <w:lang w:val="bg-BG"/>
            </w:rPr>
            <m:t>322 m</m:t>
          </m:r>
        </m:oMath>
      </m:oMathPara>
    </w:p>
    <w:p w:rsidR="004F47BB" w:rsidRPr="009072DA" w:rsidRDefault="004F47BB" w:rsidP="004F47BB">
      <w:pPr>
        <w:overflowPunct w:val="0"/>
        <w:adjustRightInd w:val="0"/>
        <w:spacing w:line="240" w:lineRule="exact"/>
        <w:ind w:left="567" w:hanging="567"/>
        <w:textAlignment w:val="baseline"/>
        <w:rPr>
          <w:position w:val="6"/>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4.4</w:t>
      </w:r>
      <w:r w:rsidRPr="009072DA">
        <w:rPr>
          <w:lang w:val="bg-BG"/>
        </w:rPr>
        <w:tab/>
      </w:r>
      <w:r w:rsidRPr="009072DA">
        <w:rPr>
          <w:b/>
          <w:color w:val="000000"/>
          <w:lang w:val="bg-BG"/>
        </w:rPr>
        <w:t xml:space="preserve">Проверка за спазване на допустимото разстояние за спиране при стандартни условия </w:t>
      </w:r>
      <m:oMath>
        <m:sSub>
          <m:sSubPr>
            <m:ctrlPr>
              <w:rPr>
                <w:rFonts w:ascii="Cambria Math" w:hAnsi="Cambria Math" w:cs="Arial"/>
                <w:b/>
                <w:i/>
                <w:color w:val="000000"/>
                <w:szCs w:val="20"/>
                <w:lang w:val="bg-BG"/>
              </w:rPr>
            </m:ctrlPr>
          </m:sSubPr>
          <m:e>
            <m:r>
              <m:rPr>
                <m:sty m:val="bi"/>
              </m:rPr>
              <w:rPr>
                <w:rFonts w:ascii="Cambria Math" w:hAnsi="Cambria Math" w:cs="Arial"/>
                <w:color w:val="000000"/>
                <w:szCs w:val="20"/>
                <w:lang w:val="bg-BG"/>
              </w:rPr>
              <m:t>s</m:t>
            </m:r>
          </m:e>
          <m:sub>
            <m:r>
              <m:rPr>
                <m:sty m:val="bi"/>
              </m:rPr>
              <w:rPr>
                <w:rFonts w:ascii="Cambria Math" w:hAnsi="Cambria Math" w:cs="Arial"/>
                <w:color w:val="000000"/>
                <w:szCs w:val="20"/>
                <w:lang w:val="bg-BG"/>
              </w:rPr>
              <m:t>NORM</m:t>
            </m:r>
          </m:sub>
        </m:sSub>
      </m:oMath>
      <w:r w:rsidRPr="009072DA">
        <w:rPr>
          <w:b/>
          <w:color w:val="000000"/>
          <w:lang w:val="bg-BG"/>
        </w:rPr>
        <w:t xml:space="preserve"> </w:t>
      </w: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567"/>
        </w:tabs>
        <w:overflowPunct w:val="0"/>
        <w:adjustRightInd w:val="0"/>
        <w:spacing w:line="240" w:lineRule="atLeast"/>
        <w:ind w:left="567"/>
        <w:textAlignment w:val="baseline"/>
        <w:rPr>
          <w:szCs w:val="20"/>
          <w:lang w:val="bg-BG"/>
        </w:rPr>
      </w:pPr>
      <w:r w:rsidRPr="009072DA">
        <w:rPr>
          <w:lang w:val="bg-BG"/>
        </w:rPr>
        <w:t>съгласно формула (2.1) от приложение 2</w:t>
      </w: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2B712C" w:rsidP="004F47BB">
      <w:pPr>
        <w:overflowPunct w:val="0"/>
        <w:adjustRightInd w:val="0"/>
        <w:spacing w:line="240" w:lineRule="atLeast"/>
        <w:ind w:left="567"/>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NORM</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MESSUNG</m:t>
              </m:r>
            </m:sub>
          </m:sSub>
          <m:r>
            <w:rPr>
              <w:rFonts w:ascii="Cambria Math" w:hAnsi="Cambria Math"/>
              <w:szCs w:val="20"/>
              <w:lang w:val="bg-BG"/>
            </w:rPr>
            <m:t xml:space="preserve"> ∙ </m:t>
          </m:r>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SOLL</m:t>
                  </m:r>
                </m:sub>
              </m:sSub>
            </m:num>
            <m:den>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IST</m:t>
                  </m:r>
                </m:sub>
              </m:sSub>
            </m:den>
          </m:f>
          <m:r>
            <w:rPr>
              <w:rFonts w:ascii="Cambria Math" w:hAnsi="Cambria Math"/>
              <w:szCs w:val="20"/>
              <w:lang w:val="bg-BG"/>
            </w:rPr>
            <m:t xml:space="preserve">=340 ∙ </m:t>
          </m:r>
          <m:f>
            <m:fPr>
              <m:ctrlPr>
                <w:rPr>
                  <w:rFonts w:ascii="Cambria Math" w:hAnsi="Cambria Math"/>
                  <w:i/>
                  <w:szCs w:val="20"/>
                  <w:lang w:val="bg-BG"/>
                </w:rPr>
              </m:ctrlPr>
            </m:fPr>
            <m:num>
              <m:r>
                <w:rPr>
                  <w:rFonts w:ascii="Cambria Math" w:hAnsi="Cambria Math"/>
                  <w:szCs w:val="20"/>
                  <w:lang w:val="bg-BG"/>
                </w:rPr>
                <m:t>322</m:t>
              </m:r>
            </m:num>
            <m:den>
              <m:r>
                <w:rPr>
                  <w:rFonts w:ascii="Cambria Math" w:hAnsi="Cambria Math"/>
                  <w:szCs w:val="20"/>
                  <w:lang w:val="bg-BG"/>
                </w:rPr>
                <m:t>303,4</m:t>
              </m:r>
            </m:den>
          </m:f>
          <m:r>
            <w:rPr>
              <w:rFonts w:ascii="Cambria Math" w:hAnsi="Cambria Math"/>
              <w:szCs w:val="20"/>
              <w:lang w:val="bg-BG"/>
            </w:rPr>
            <m:t>=</m:t>
          </m:r>
          <m:r>
            <m:rPr>
              <m:sty m:val="bi"/>
            </m:rPr>
            <w:rPr>
              <w:rFonts w:ascii="Cambria Math" w:hAnsi="Cambria Math"/>
              <w:szCs w:val="20"/>
              <w:lang w:val="bg-BG"/>
            </w:rPr>
            <m:t>360,8 m &lt;550 m</m:t>
          </m:r>
        </m:oMath>
      </m:oMathPara>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567"/>
        </w:tabs>
        <w:overflowPunct w:val="0"/>
        <w:adjustRightInd w:val="0"/>
        <w:spacing w:line="240" w:lineRule="atLeast"/>
        <w:ind w:left="1134" w:hanging="567"/>
        <w:textAlignment w:val="baseline"/>
        <w:rPr>
          <w:b/>
          <w:bCs/>
          <w:szCs w:val="20"/>
          <w:lang w:val="bg-BG"/>
        </w:rPr>
      </w:pPr>
      <w:r w:rsidRPr="009072DA">
        <w:rPr>
          <w:b/>
          <w:lang w:val="bg-BG"/>
        </w:rPr>
        <w:t>Заключение:</w:t>
      </w: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567"/>
        </w:tabs>
        <w:overflowPunct w:val="0"/>
        <w:adjustRightInd w:val="0"/>
        <w:spacing w:line="240" w:lineRule="atLeast"/>
        <w:ind w:left="567"/>
        <w:textAlignment w:val="baseline"/>
        <w:rPr>
          <w:szCs w:val="20"/>
          <w:lang w:val="bg-BG"/>
        </w:rPr>
      </w:pPr>
      <w:r w:rsidRPr="009072DA">
        <w:rPr>
          <w:lang w:val="bg-BG"/>
        </w:rPr>
        <w:t>Пределно допустимата стойност далеч не е постигната, т.е.:</w:t>
      </w:r>
    </w:p>
    <w:p w:rsidR="004F47BB" w:rsidRPr="009072DA" w:rsidRDefault="004F47BB" w:rsidP="004F47BB">
      <w:pPr>
        <w:tabs>
          <w:tab w:val="left" w:pos="992"/>
        </w:tabs>
        <w:overflowPunct w:val="0"/>
        <w:adjustRightInd w:val="0"/>
        <w:spacing w:before="60" w:line="240" w:lineRule="atLeast"/>
        <w:ind w:left="992"/>
        <w:textAlignment w:val="baseline"/>
        <w:rPr>
          <w:szCs w:val="20"/>
          <w:lang w:val="bg-BG"/>
        </w:rPr>
      </w:pPr>
      <w:r w:rsidRPr="009072DA">
        <w:rPr>
          <w:lang w:val="bg-BG"/>
        </w:rPr>
        <w:t>-</w:t>
      </w:r>
      <w:r w:rsidRPr="009072DA">
        <w:rPr>
          <w:lang w:val="bg-BG"/>
        </w:rPr>
        <w:tab/>
        <w:t>без проблеми е възможно допускане за плаване по течението при настоящото състояние на натоварване (</w:t>
      </w:r>
      <m:oMath>
        <m:r>
          <w:rPr>
            <w:rFonts w:ascii="Cambria Math" w:hAnsi="Cambria Math"/>
            <w:szCs w:val="20"/>
            <w:lang w:val="bg-BG"/>
          </w:rPr>
          <m:t xml:space="preserve">0,8 ∙ </m:t>
        </m:r>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max</m:t>
            </m:r>
          </m:sub>
        </m:sSub>
      </m:oMath>
      <w:r w:rsidRPr="009072DA">
        <w:rPr>
          <w:lang w:val="bg-BG"/>
        </w:rPr>
        <w:t>),</w:t>
      </w:r>
    </w:p>
    <w:p w:rsidR="004F47BB" w:rsidRPr="009072DA" w:rsidRDefault="004F47BB" w:rsidP="004F47BB">
      <w:pPr>
        <w:tabs>
          <w:tab w:val="left" w:pos="992"/>
        </w:tabs>
        <w:overflowPunct w:val="0"/>
        <w:adjustRightInd w:val="0"/>
        <w:spacing w:before="60" w:line="240" w:lineRule="atLeast"/>
        <w:ind w:left="992"/>
        <w:textAlignment w:val="baseline"/>
        <w:rPr>
          <w:szCs w:val="20"/>
          <w:lang w:val="bg-BG"/>
        </w:rPr>
      </w:pPr>
      <w:r w:rsidRPr="009072DA">
        <w:rPr>
          <w:lang w:val="bg-BG"/>
        </w:rPr>
        <w:t>-</w:t>
      </w:r>
      <w:r w:rsidRPr="009072DA">
        <w:rPr>
          <w:lang w:val="bg-BG"/>
        </w:rPr>
        <w:tab/>
        <w:t>възможно е състояние на по-високо натоварване и то може да бъде изчислено съгласно точка 5 по-долу.</w:t>
      </w: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r w:rsidRPr="009072DA">
        <w:rPr>
          <w:lang w:val="bg-BG"/>
        </w:rPr>
        <w:br w:type="page"/>
      </w: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lastRenderedPageBreak/>
        <w:t>5.</w:t>
      </w:r>
      <w:r w:rsidRPr="009072DA">
        <w:rPr>
          <w:lang w:val="bg-BG"/>
        </w:rPr>
        <w:tab/>
      </w:r>
      <w:r w:rsidRPr="009072DA">
        <w:rPr>
          <w:b/>
          <w:color w:val="000000"/>
          <w:lang w:val="bg-BG"/>
        </w:rPr>
        <w:t xml:space="preserve">Възможно увеличение на </w:t>
      </w:r>
      <m:oMath>
        <m:sSub>
          <m:sSubPr>
            <m:ctrlPr>
              <w:rPr>
                <w:rFonts w:ascii="Cambria Math" w:hAnsi="Cambria Math" w:cs="Arial"/>
                <w:b/>
                <w:i/>
                <w:color w:val="000000"/>
                <w:szCs w:val="20"/>
                <w:lang w:val="bg-BG"/>
              </w:rPr>
            </m:ctrlPr>
          </m:sSubPr>
          <m:e>
            <m:r>
              <m:rPr>
                <m:sty m:val="bi"/>
              </m:rPr>
              <w:rPr>
                <w:rFonts w:ascii="Cambria Math" w:hAnsi="Cambria Math" w:cs="Arial"/>
                <w:color w:val="000000"/>
                <w:szCs w:val="20"/>
                <w:lang w:val="bg-BG"/>
              </w:rPr>
              <m:t>D</m:t>
            </m:r>
          </m:e>
          <m:sub>
            <m:r>
              <m:rPr>
                <m:sty m:val="bi"/>
              </m:rPr>
              <w:rPr>
                <w:rFonts w:ascii="Cambria Math" w:hAnsi="Cambria Math" w:cs="Arial"/>
                <w:color w:val="000000"/>
                <w:szCs w:val="20"/>
                <w:lang w:val="bg-BG"/>
              </w:rPr>
              <m:t>IST</m:t>
            </m:r>
          </m:sub>
        </m:sSub>
      </m:oMath>
      <w:r w:rsidRPr="009072DA">
        <w:rPr>
          <w:b/>
          <w:color w:val="000000"/>
          <w:lang w:val="bg-BG"/>
        </w:rPr>
        <w:t xml:space="preserve"> при плаване по течението</w:t>
      </w: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2B712C" w:rsidP="004F47BB">
      <w:pPr>
        <w:overflowPunct w:val="0"/>
        <w:adjustRightInd w:val="0"/>
        <w:spacing w:line="240" w:lineRule="atLeast"/>
        <w:ind w:left="567"/>
        <w:textAlignment w:val="baseline"/>
        <w:rPr>
          <w:szCs w:val="20"/>
          <w:lang w:val="bg-BG"/>
        </w:rPr>
      </w:pPr>
      <m:oMathPara>
        <m:oMathParaPr>
          <m:jc m:val="left"/>
        </m:oMathParaPr>
        <m:oMath>
          <m:sSub>
            <m:sSubPr>
              <m:ctrlPr>
                <w:rPr>
                  <w:rFonts w:ascii="Cambria Math" w:hAnsi="Cambria Math"/>
                  <w:i/>
                  <w:szCs w:val="20"/>
                  <w:lang w:val="bg-BG"/>
                </w:rPr>
              </m:ctrlPr>
            </m:sSubPr>
            <m:e>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NORM</m:t>
                      </m:r>
                    </m:sub>
                  </m:sSub>
                </m:e>
              </m:d>
            </m:e>
            <m:sub>
              <m:r>
                <w:rPr>
                  <w:rFonts w:ascii="Cambria Math" w:hAnsi="Cambria Math"/>
                  <w:szCs w:val="20"/>
                  <w:lang w:val="bg-BG"/>
                </w:rPr>
                <m:t>Limite</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MESSUNG</m:t>
              </m:r>
            </m:sub>
          </m:sSub>
          <m:r>
            <w:rPr>
              <w:rFonts w:ascii="Cambria Math" w:hAnsi="Cambria Math"/>
              <w:szCs w:val="20"/>
              <w:lang w:val="bg-BG"/>
            </w:rPr>
            <m:t xml:space="preserve"> ∙ </m:t>
          </m:r>
          <m:f>
            <m:fPr>
              <m:ctrlPr>
                <w:rPr>
                  <w:rFonts w:ascii="Cambria Math" w:hAnsi="Cambria Math"/>
                  <w:i/>
                  <w:szCs w:val="20"/>
                  <w:lang w:val="bg-BG"/>
                </w:rPr>
              </m:ctrlPr>
            </m:fPr>
            <m:num>
              <m:sSub>
                <m:sSubPr>
                  <m:ctrlPr>
                    <w:rPr>
                      <w:rFonts w:ascii="Cambria Math" w:hAnsi="Cambria Math"/>
                      <w:i/>
                      <w:szCs w:val="20"/>
                      <w:lang w:val="bg-BG"/>
                    </w:rPr>
                  </m:ctrlPr>
                </m:sSubPr>
                <m:e>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SOLL</m:t>
                          </m:r>
                        </m:sub>
                      </m:sSub>
                    </m:e>
                  </m:d>
                </m:e>
                <m:sub>
                  <m:r>
                    <w:rPr>
                      <w:rFonts w:ascii="Cambria Math" w:hAnsi="Cambria Math"/>
                      <w:szCs w:val="20"/>
                      <w:lang w:val="bg-BG"/>
                    </w:rPr>
                    <m:t>Limite</m:t>
                  </m:r>
                </m:sub>
              </m:sSub>
            </m:num>
            <m:den>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IST</m:t>
                  </m:r>
                </m:sub>
              </m:sSub>
            </m:den>
          </m:f>
          <m:r>
            <w:rPr>
              <w:rFonts w:ascii="Cambria Math" w:hAnsi="Cambria Math"/>
              <w:szCs w:val="20"/>
              <w:lang w:val="bg-BG"/>
            </w:rPr>
            <m:t>=550 m</m:t>
          </m:r>
        </m:oMath>
      </m:oMathPara>
    </w:p>
    <w:p w:rsidR="004F47BB" w:rsidRPr="009072DA" w:rsidRDefault="004F47BB" w:rsidP="004F47BB">
      <w:pPr>
        <w:tabs>
          <w:tab w:val="left" w:pos="454"/>
        </w:tabs>
        <w:overflowPunct w:val="0"/>
        <w:adjustRightInd w:val="0"/>
        <w:spacing w:line="240" w:lineRule="atLeast"/>
        <w:ind w:left="454" w:hanging="454"/>
        <w:textAlignment w:val="baseline"/>
        <w:rPr>
          <w:szCs w:val="20"/>
          <w:lang w:val="bg-BG"/>
        </w:rPr>
      </w:pPr>
    </w:p>
    <w:p w:rsidR="004F47BB" w:rsidRPr="009072DA" w:rsidRDefault="002B712C" w:rsidP="004F47BB">
      <w:pPr>
        <w:overflowPunct w:val="0"/>
        <w:adjustRightInd w:val="0"/>
        <w:spacing w:line="240" w:lineRule="atLeast"/>
        <w:ind w:left="567"/>
        <w:textAlignment w:val="baseline"/>
        <w:rPr>
          <w:szCs w:val="20"/>
          <w:lang w:val="bg-BG"/>
        </w:rPr>
      </w:pPr>
      <m:oMathPara>
        <m:oMathParaPr>
          <m:jc m:val="left"/>
        </m:oMathParaPr>
        <m:oMath>
          <m:sSub>
            <m:sSubPr>
              <m:ctrlPr>
                <w:rPr>
                  <w:rFonts w:ascii="Cambria Math" w:hAnsi="Cambria Math"/>
                  <w:i/>
                  <w:szCs w:val="20"/>
                  <w:lang w:val="bg-BG"/>
                </w:rPr>
              </m:ctrlPr>
            </m:sSubPr>
            <m:e>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SOLL</m:t>
                      </m:r>
                    </m:sub>
                  </m:sSub>
                </m:e>
              </m:d>
            </m:e>
            <m:sub>
              <m:r>
                <w:rPr>
                  <w:rFonts w:ascii="Cambria Math" w:hAnsi="Cambria Math"/>
                  <w:szCs w:val="20"/>
                  <w:lang w:val="bg-BG"/>
                </w:rPr>
                <m:t>Limite</m:t>
              </m:r>
            </m:sub>
          </m:sSub>
          <m:r>
            <w:rPr>
              <w:rFonts w:ascii="Cambria Math" w:hAnsi="Cambria Math"/>
              <w:szCs w:val="20"/>
              <w:lang w:val="bg-BG"/>
            </w:rPr>
            <m:t xml:space="preserve">=550  ∙ </m:t>
          </m:r>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IST</m:t>
                  </m:r>
                </m:sub>
              </m:sSub>
            </m:num>
            <m:den>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MESSUNG</m:t>
                  </m:r>
                </m:sub>
              </m:sSub>
            </m:den>
          </m:f>
          <m:r>
            <w:rPr>
              <w:rFonts w:ascii="Cambria Math" w:hAnsi="Cambria Math"/>
              <w:szCs w:val="20"/>
              <w:lang w:val="bg-BG"/>
            </w:rPr>
            <m:t xml:space="preserve">=550 ∙ </m:t>
          </m:r>
          <m:f>
            <m:fPr>
              <m:ctrlPr>
                <w:rPr>
                  <w:rFonts w:ascii="Cambria Math" w:hAnsi="Cambria Math"/>
                  <w:i/>
                  <w:szCs w:val="20"/>
                  <w:lang w:val="bg-BG"/>
                </w:rPr>
              </m:ctrlPr>
            </m:fPr>
            <m:num>
              <m:r>
                <w:rPr>
                  <w:rFonts w:ascii="Cambria Math" w:hAnsi="Cambria Math"/>
                  <w:szCs w:val="20"/>
                  <w:lang w:val="bg-BG"/>
                </w:rPr>
                <m:t>303,4</m:t>
              </m:r>
            </m:num>
            <m:den>
              <m:r>
                <w:rPr>
                  <w:rFonts w:ascii="Cambria Math" w:hAnsi="Cambria Math"/>
                  <w:szCs w:val="20"/>
                  <w:lang w:val="bg-BG"/>
                </w:rPr>
                <m:t>340</m:t>
              </m:r>
            </m:den>
          </m:f>
          <m:r>
            <w:rPr>
              <w:rFonts w:ascii="Cambria Math" w:hAnsi="Cambria Math"/>
              <w:szCs w:val="20"/>
              <w:lang w:val="bg-BG"/>
            </w:rPr>
            <m:t>=490,8 m</m:t>
          </m:r>
        </m:oMath>
      </m:oMathPara>
    </w:p>
    <w:p w:rsidR="004F47BB" w:rsidRPr="009072DA" w:rsidRDefault="004F47BB" w:rsidP="004F47BB">
      <w:pPr>
        <w:tabs>
          <w:tab w:val="left" w:pos="454"/>
        </w:tabs>
        <w:overflowPunct w:val="0"/>
        <w:adjustRightInd w:val="0"/>
        <w:spacing w:line="240" w:lineRule="atLeast"/>
        <w:ind w:left="454" w:hanging="454"/>
        <w:textAlignment w:val="baseline"/>
        <w:rPr>
          <w:szCs w:val="20"/>
          <w:lang w:val="bg-BG"/>
        </w:rPr>
      </w:pPr>
    </w:p>
    <w:p w:rsidR="004F47BB" w:rsidRPr="009072DA" w:rsidRDefault="004F47BB" w:rsidP="004F47BB">
      <w:pPr>
        <w:tabs>
          <w:tab w:val="left" w:pos="567"/>
          <w:tab w:val="left" w:pos="2127"/>
          <w:tab w:val="left" w:pos="2410"/>
        </w:tabs>
        <w:overflowPunct w:val="0"/>
        <w:adjustRightInd w:val="0"/>
        <w:spacing w:line="240" w:lineRule="atLeast"/>
        <w:ind w:left="567" w:hanging="567"/>
        <w:textAlignment w:val="baseline"/>
        <w:rPr>
          <w:szCs w:val="20"/>
          <w:lang w:val="bg-BG"/>
        </w:rPr>
      </w:pPr>
      <w:r w:rsidRPr="009072DA">
        <w:rPr>
          <w:lang w:val="bg-BG"/>
        </w:rPr>
        <w:tab/>
      </w: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r>
          <w:rPr>
            <w:rFonts w:ascii="Cambria Math" w:hAnsi="Cambria Math"/>
            <w:szCs w:val="20"/>
            <w:lang w:val="bg-BG"/>
          </w:rPr>
          <m:t>=</m:t>
        </m:r>
        <m:sSub>
          <m:sSubPr>
            <m:ctrlPr>
              <w:rPr>
                <w:rFonts w:ascii="Cambria Math" w:hAnsi="Cambria Math"/>
                <w:i/>
                <w:szCs w:val="20"/>
                <w:lang w:val="bg-BG"/>
              </w:rPr>
            </m:ctrlPr>
          </m:sSubPr>
          <m:e>
            <m:r>
              <w:rPr>
                <w:rFonts w:ascii="Cambria Math" w:hAnsi="Cambria Math"/>
                <w:szCs w:val="20"/>
                <w:lang w:val="bg-BG"/>
              </w:rPr>
              <m:t>Const</m:t>
            </m:r>
          </m:e>
          <m:sub>
            <m:r>
              <w:rPr>
                <w:rFonts w:ascii="Cambria Math" w:hAnsi="Cambria Math"/>
                <w:szCs w:val="20"/>
                <w:lang w:val="bg-BG"/>
              </w:rPr>
              <m:t>SOLL</m:t>
            </m:r>
          </m:sub>
        </m:sSub>
        <m:r>
          <w:rPr>
            <w:rFonts w:ascii="Cambria Math" w:hAnsi="Cambria Math"/>
            <w:szCs w:val="20"/>
            <w:lang w:val="bg-BG"/>
          </w:rPr>
          <m:t xml:space="preserve"> ∙D</m:t>
        </m:r>
      </m:oMath>
      <w:r w:rsidRPr="009072DA">
        <w:rPr>
          <w:lang w:val="bg-BG"/>
        </w:rPr>
        <w:t xml:space="preserve"> съгласно забележката в точка 4.2:</w:t>
      </w:r>
    </w:p>
    <w:p w:rsidR="004F47BB" w:rsidRPr="009072DA" w:rsidRDefault="004F47BB" w:rsidP="004F47BB">
      <w:pPr>
        <w:tabs>
          <w:tab w:val="left" w:pos="454"/>
        </w:tabs>
        <w:overflowPunct w:val="0"/>
        <w:adjustRightInd w:val="0"/>
        <w:spacing w:line="240" w:lineRule="atLeast"/>
        <w:ind w:left="454" w:hanging="454"/>
        <w:textAlignment w:val="baseline"/>
        <w:rPr>
          <w:szCs w:val="20"/>
          <w:lang w:val="bg-BG"/>
        </w:rPr>
      </w:pPr>
    </w:p>
    <w:p w:rsidR="004F47BB" w:rsidRPr="009072DA" w:rsidRDefault="002B712C" w:rsidP="004F47BB">
      <w:pPr>
        <w:overflowPunct w:val="0"/>
        <w:adjustRightInd w:val="0"/>
        <w:spacing w:line="240" w:lineRule="atLeast"/>
        <w:ind w:left="567"/>
        <w:textAlignment w:val="baseline"/>
        <w:rPr>
          <w:szCs w:val="20"/>
          <w:lang w:val="bg-BG"/>
        </w:rPr>
      </w:pPr>
      <m:oMathPara>
        <m:oMathParaPr>
          <m:jc m:val="left"/>
        </m:oMathParaPr>
        <m:oMath>
          <m:sSub>
            <m:sSubPr>
              <m:ctrlPr>
                <w:rPr>
                  <w:rFonts w:ascii="Cambria Math" w:hAnsi="Cambria Math"/>
                  <w:i/>
                  <w:szCs w:val="20"/>
                  <w:lang w:val="bg-BG"/>
                </w:rPr>
              </m:ctrlPr>
            </m:sSubPr>
            <m:e>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SOLL</m:t>
                      </m:r>
                    </m:sub>
                  </m:sSub>
                </m:e>
              </m:d>
            </m:e>
            <m:sub>
              <m:r>
                <w:rPr>
                  <w:rFonts w:ascii="Cambria Math" w:hAnsi="Cambria Math"/>
                  <w:szCs w:val="20"/>
                  <w:lang w:val="bg-BG"/>
                </w:rPr>
                <m:t>Limite</m:t>
              </m:r>
            </m:sub>
          </m:sSub>
          <m:r>
            <w:rPr>
              <w:rFonts w:ascii="Cambria Math" w:hAnsi="Cambria Math"/>
              <w:szCs w:val="20"/>
              <w:lang w:val="bg-BG"/>
            </w:rPr>
            <m:t xml:space="preserve">= </m:t>
          </m:r>
          <m:sSub>
            <m:sSubPr>
              <m:ctrlPr>
                <w:rPr>
                  <w:rFonts w:ascii="Cambria Math" w:hAnsi="Cambria Math"/>
                  <w:i/>
                  <w:szCs w:val="20"/>
                  <w:lang w:val="bg-BG"/>
                </w:rPr>
              </m:ctrlPr>
            </m:sSubPr>
            <m:e>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m:t>
                          </m:r>
                        </m:e>
                        <m:sub>
                          <m:r>
                            <w:rPr>
                              <w:rFonts w:ascii="Cambria Math" w:hAnsi="Cambria Math"/>
                              <w:szCs w:val="20"/>
                              <w:lang w:val="bg-BG"/>
                            </w:rPr>
                            <m:t>SOLL</m:t>
                          </m:r>
                        </m:sub>
                      </m:sSub>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e>
              </m:d>
            </m:e>
            <m:sub>
              <m:r>
                <w:rPr>
                  <w:rFonts w:ascii="Cambria Math" w:hAnsi="Cambria Math"/>
                  <w:szCs w:val="20"/>
                  <w:lang w:val="bg-BG"/>
                </w:rPr>
                <m:t>Limite</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m:t>
                  </m:r>
                </m:e>
                <m:sub>
                  <m:r>
                    <w:rPr>
                      <w:rFonts w:ascii="Cambria Math" w:hAnsi="Cambria Math"/>
                      <w:szCs w:val="20"/>
                      <w:lang w:val="bg-BG"/>
                    </w:rPr>
                    <m:t>SOLL</m:t>
                  </m:r>
                </m:sub>
              </m:sSub>
            </m:sub>
          </m:sSub>
          <m:r>
            <w:rPr>
              <w:rFonts w:ascii="Cambria Math" w:hAnsi="Cambria Math"/>
              <w:szCs w:val="20"/>
              <w:lang w:val="bg-BG"/>
            </w:rPr>
            <m:t xml:space="preserve">+0,0472 ∙ </m:t>
          </m:r>
          <m:sSub>
            <m:sSubPr>
              <m:ctrlPr>
                <w:rPr>
                  <w:rFonts w:ascii="Cambria Math" w:hAnsi="Cambria Math"/>
                  <w:i/>
                  <w:szCs w:val="20"/>
                  <w:lang w:val="bg-BG"/>
                </w:rPr>
              </m:ctrlPr>
            </m:sSubPr>
            <m:e>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SOLL</m:t>
                      </m:r>
                    </m:sub>
                  </m:sSub>
                </m:e>
              </m:d>
            </m:e>
            <m:sub>
              <m:r>
                <w:rPr>
                  <w:rFonts w:ascii="Cambria Math" w:hAnsi="Cambria Math"/>
                  <w:szCs w:val="20"/>
                  <w:lang w:val="bg-BG"/>
                </w:rPr>
                <m:t>Limite</m:t>
              </m:r>
            </m:sub>
          </m:sSub>
        </m:oMath>
      </m:oMathPara>
    </w:p>
    <w:p w:rsidR="004F47BB" w:rsidRPr="009072DA" w:rsidRDefault="004F47BB" w:rsidP="004F47BB">
      <w:pPr>
        <w:tabs>
          <w:tab w:val="left" w:pos="454"/>
        </w:tabs>
        <w:overflowPunct w:val="0"/>
        <w:adjustRightInd w:val="0"/>
        <w:spacing w:line="240" w:lineRule="atLeast"/>
        <w:ind w:left="454" w:hanging="454"/>
        <w:textAlignment w:val="baseline"/>
        <w:rPr>
          <w:position w:val="6"/>
          <w:szCs w:val="20"/>
          <w:lang w:val="bg-BG"/>
        </w:rPr>
      </w:pPr>
    </w:p>
    <w:p w:rsidR="004F47BB" w:rsidRPr="009072DA" w:rsidRDefault="004F47BB" w:rsidP="004F47BB">
      <w:pPr>
        <w:tabs>
          <w:tab w:val="left" w:pos="567"/>
        </w:tabs>
        <w:overflowPunct w:val="0"/>
        <w:adjustRightInd w:val="0"/>
        <w:spacing w:line="240" w:lineRule="atLeast"/>
        <w:ind w:left="567" w:hanging="567"/>
        <w:textAlignment w:val="baseline"/>
        <w:rPr>
          <w:szCs w:val="20"/>
          <w:lang w:val="bg-BG"/>
        </w:rPr>
      </w:pPr>
      <w:r w:rsidRPr="009072DA">
        <w:rPr>
          <w:lang w:val="bg-BG"/>
        </w:rPr>
        <w:tab/>
        <w:t>Следователно</w:t>
      </w:r>
    </w:p>
    <w:p w:rsidR="004F47BB" w:rsidRPr="009072DA" w:rsidRDefault="004F47BB" w:rsidP="004F47BB">
      <w:pPr>
        <w:overflowPunct w:val="0"/>
        <w:adjustRightInd w:val="0"/>
        <w:spacing w:line="240" w:lineRule="atLeast"/>
        <w:ind w:left="567"/>
        <w:textAlignment w:val="baseline"/>
        <w:rPr>
          <w:szCs w:val="20"/>
          <w:lang w:val="bg-BG"/>
        </w:rPr>
      </w:pPr>
    </w:p>
    <w:p w:rsidR="004F47BB" w:rsidRPr="009072DA" w:rsidRDefault="002B712C" w:rsidP="004F47BB">
      <w:pPr>
        <w:overflowPunct w:val="0"/>
        <w:adjustRightInd w:val="0"/>
        <w:spacing w:line="240" w:lineRule="atLeast"/>
        <w:ind w:left="567"/>
        <w:textAlignment w:val="baseline"/>
        <w:rPr>
          <w:szCs w:val="20"/>
          <w:lang w:val="bg-BG"/>
        </w:rPr>
      </w:pPr>
      <m:oMathPara>
        <m:oMathParaPr>
          <m:jc m:val="left"/>
        </m:oMathParaPr>
        <m:oMath>
          <m:sSub>
            <m:sSubPr>
              <m:ctrlPr>
                <w:rPr>
                  <w:rFonts w:ascii="Cambria Math" w:hAnsi="Cambria Math"/>
                  <w:i/>
                  <w:szCs w:val="20"/>
                  <w:lang w:val="bg-BG"/>
                </w:rPr>
              </m:ctrlPr>
            </m:sSubPr>
            <m:e>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SOLL</m:t>
                      </m:r>
                    </m:sub>
                  </m:sSub>
                </m:e>
              </m:d>
            </m:e>
            <m:sub>
              <m:r>
                <w:rPr>
                  <w:rFonts w:ascii="Cambria Math" w:hAnsi="Cambria Math"/>
                  <w:szCs w:val="20"/>
                  <w:lang w:val="bg-BG"/>
                </w:rPr>
                <m:t>Limite</m:t>
              </m:r>
            </m:sub>
          </m:sSub>
          <m:r>
            <w:rPr>
              <w:rFonts w:ascii="Cambria Math" w:hAnsi="Cambria Math"/>
              <w:szCs w:val="20"/>
              <w:lang w:val="bg-BG"/>
            </w:rPr>
            <m:t xml:space="preserve">= </m:t>
          </m:r>
          <m:f>
            <m:fPr>
              <m:ctrlPr>
                <w:rPr>
                  <w:rFonts w:ascii="Cambria Math" w:hAnsi="Cambria Math"/>
                  <w:i/>
                  <w:szCs w:val="20"/>
                  <w:lang w:val="bg-BG"/>
                </w:rPr>
              </m:ctrlPr>
            </m:fPr>
            <m:num>
              <m:sSub>
                <m:sSubPr>
                  <m:ctrlPr>
                    <w:rPr>
                      <w:rFonts w:ascii="Cambria Math" w:hAnsi="Cambria Math"/>
                      <w:i/>
                      <w:szCs w:val="20"/>
                      <w:lang w:val="bg-BG"/>
                    </w:rPr>
                  </m:ctrlPr>
                </m:sSubPr>
                <m:e>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SOLL</m:t>
                          </m:r>
                        </m:sub>
                      </m:sSub>
                    </m:e>
                  </m:d>
                </m:e>
                <m:sub>
                  <m:r>
                    <w:rPr>
                      <w:rFonts w:ascii="Cambria Math" w:hAnsi="Cambria Math"/>
                      <w:szCs w:val="20"/>
                      <w:lang w:val="bg-BG"/>
                    </w:rPr>
                    <m:t>Limite</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m:t>
                      </m:r>
                    </m:e>
                    <m:sub>
                      <m:r>
                        <w:rPr>
                          <w:rFonts w:ascii="Cambria Math" w:hAnsi="Cambria Math"/>
                          <w:szCs w:val="20"/>
                          <w:lang w:val="bg-BG"/>
                        </w:rPr>
                        <m:t>SOLL</m:t>
                      </m:r>
                    </m:sub>
                  </m:sSub>
                </m:sub>
              </m:sSub>
            </m:num>
            <m:den>
              <m:r>
                <w:rPr>
                  <w:rFonts w:ascii="Cambria Math" w:hAnsi="Cambria Math"/>
                  <w:szCs w:val="20"/>
                  <w:lang w:val="bg-BG"/>
                </w:rPr>
                <m:t>0,0472</m:t>
              </m:r>
            </m:den>
          </m:f>
          <m:r>
            <w:rPr>
              <w:rFonts w:ascii="Cambria Math" w:hAnsi="Cambria Math"/>
              <w:szCs w:val="20"/>
              <w:lang w:val="bg-BG"/>
            </w:rPr>
            <m:t xml:space="preserve">= </m:t>
          </m:r>
          <m:f>
            <m:fPr>
              <m:ctrlPr>
                <w:rPr>
                  <w:rFonts w:ascii="Cambria Math" w:hAnsi="Cambria Math"/>
                  <w:i/>
                  <w:szCs w:val="20"/>
                  <w:lang w:val="bg-BG"/>
                </w:rPr>
              </m:ctrlPr>
            </m:fPr>
            <m:num>
              <m:r>
                <w:rPr>
                  <w:rFonts w:ascii="Cambria Math" w:hAnsi="Cambria Math"/>
                  <w:szCs w:val="20"/>
                  <w:lang w:val="bg-BG"/>
                </w:rPr>
                <m:t>490,8-77,5</m:t>
              </m:r>
            </m:num>
            <m:den>
              <m:r>
                <w:rPr>
                  <w:rFonts w:ascii="Cambria Math" w:hAnsi="Cambria Math"/>
                  <w:szCs w:val="20"/>
                  <w:lang w:val="bg-BG"/>
                </w:rPr>
                <m:t>0,0472</m:t>
              </m:r>
            </m:den>
          </m:f>
          <m:r>
            <w:rPr>
              <w:rFonts w:ascii="Cambria Math" w:hAnsi="Cambria Math"/>
              <w:szCs w:val="20"/>
              <w:lang w:val="bg-BG"/>
            </w:rPr>
            <m:t>=</m:t>
          </m:r>
          <m:r>
            <m:rPr>
              <m:sty m:val="bi"/>
            </m:rPr>
            <w:rPr>
              <w:rFonts w:ascii="Cambria Math" w:hAnsi="Cambria Math"/>
              <w:szCs w:val="20"/>
              <w:lang w:val="bg-BG"/>
            </w:rPr>
            <m:t xml:space="preserve">8756 </m:t>
          </m:r>
          <m:sSup>
            <m:sSupPr>
              <m:ctrlPr>
                <w:rPr>
                  <w:rFonts w:ascii="Cambria Math" w:hAnsi="Cambria Math"/>
                  <w:b/>
                  <w:i/>
                  <w:szCs w:val="20"/>
                  <w:lang w:val="bg-BG"/>
                </w:rPr>
              </m:ctrlPr>
            </m:sSupPr>
            <m:e>
              <m:r>
                <m:rPr>
                  <m:sty m:val="bi"/>
                </m:rPr>
                <w:rPr>
                  <w:rFonts w:ascii="Cambria Math" w:hAnsi="Cambria Math"/>
                  <w:szCs w:val="20"/>
                  <w:lang w:val="bg-BG"/>
                </w:rPr>
                <m:t>m</m:t>
              </m:r>
            </m:e>
            <m:sup>
              <m:r>
                <m:rPr>
                  <m:sty m:val="bi"/>
                </m:rPr>
                <w:rPr>
                  <w:rFonts w:ascii="Cambria Math" w:hAnsi="Cambria Math"/>
                  <w:szCs w:val="20"/>
                  <w:lang w:val="bg-BG"/>
                </w:rPr>
                <m:t>3</m:t>
              </m:r>
            </m:sup>
          </m:sSup>
        </m:oMath>
      </m:oMathPara>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567"/>
        </w:tabs>
        <w:overflowPunct w:val="0"/>
        <w:adjustRightInd w:val="0"/>
        <w:spacing w:line="240" w:lineRule="exact"/>
        <w:ind w:left="567" w:hanging="567"/>
        <w:textAlignment w:val="baseline"/>
        <w:rPr>
          <w:szCs w:val="20"/>
          <w:lang w:val="bg-BG"/>
        </w:rPr>
      </w:pPr>
      <w:r w:rsidRPr="009072DA">
        <w:rPr>
          <w:lang w:val="bg-BG"/>
        </w:rPr>
        <w:tab/>
      </w:r>
      <w:r w:rsidRPr="009072DA">
        <w:rPr>
          <w:b/>
          <w:lang w:val="bg-BG"/>
        </w:rPr>
        <w:t>От това следва, че</w:t>
      </w:r>
      <w:r w:rsidRPr="009072DA">
        <w:rPr>
          <w:lang w:val="bg-BG"/>
        </w:rPr>
        <w:t>:</w:t>
      </w:r>
    </w:p>
    <w:p w:rsidR="004F47BB" w:rsidRPr="009072DA" w:rsidRDefault="004F47BB" w:rsidP="004F47BB">
      <w:pPr>
        <w:tabs>
          <w:tab w:val="left" w:pos="567"/>
        </w:tabs>
        <w:overflowPunct w:val="0"/>
        <w:adjustRightInd w:val="0"/>
        <w:spacing w:line="240" w:lineRule="exact"/>
        <w:ind w:left="567" w:hanging="567"/>
        <w:textAlignment w:val="baseline"/>
        <w:rPr>
          <w:szCs w:val="20"/>
          <w:lang w:val="bg-BG"/>
        </w:rPr>
      </w:pPr>
    </w:p>
    <w:p w:rsidR="004F47BB" w:rsidRPr="009072DA" w:rsidRDefault="004F47BB" w:rsidP="004F47BB">
      <w:pPr>
        <w:spacing w:line="240" w:lineRule="atLeast"/>
        <w:ind w:left="567"/>
        <w:rPr>
          <w:lang w:val="bg-BG"/>
        </w:rPr>
      </w:pPr>
      <w:r w:rsidRPr="009072DA">
        <w:rPr>
          <w:lang w:val="bg-BG"/>
        </w:rPr>
        <w:t xml:space="preserve">Тъй като </w:t>
      </w:r>
      <m:oMath>
        <m:sSub>
          <m:sSubPr>
            <m:ctrlPr>
              <w:rPr>
                <w:rFonts w:ascii="Cambria Math" w:hAnsi="Cambria Math"/>
                <w:i/>
                <w:szCs w:val="20"/>
                <w:lang w:val="bg-BG"/>
              </w:rPr>
            </m:ctrlPr>
          </m:sSubPr>
          <m:e>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SOLL</m:t>
                    </m:r>
                  </m:sub>
                </m:sSub>
              </m:e>
            </m:d>
          </m:e>
          <m:sub>
            <m:r>
              <w:rPr>
                <w:rFonts w:ascii="Cambria Math" w:hAnsi="Cambria Math"/>
                <w:szCs w:val="20"/>
                <w:lang w:val="bg-BG"/>
              </w:rPr>
              <m:t>Limite</m:t>
            </m:r>
          </m:sub>
        </m:sSub>
        <m:r>
          <w:rPr>
            <w:rFonts w:ascii="Cambria Math" w:hAnsi="Cambria Math"/>
            <w:szCs w:val="20"/>
            <w:lang w:val="bg-BG"/>
          </w:rPr>
          <m:t xml:space="preserve">&gt;  </m:t>
        </m:r>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max</m:t>
            </m:r>
          </m:sub>
        </m:sSub>
        <m:r>
          <w:rPr>
            <w:rFonts w:ascii="Cambria Math" w:hAnsi="Cambria Math"/>
            <w:szCs w:val="20"/>
            <w:lang w:val="bg-BG"/>
          </w:rPr>
          <m:t xml:space="preserve"> </m:t>
        </m:r>
        <m:d>
          <m:dPr>
            <m:ctrlPr>
              <w:rPr>
                <w:rFonts w:ascii="Cambria Math" w:hAnsi="Cambria Math"/>
                <w:i/>
                <w:szCs w:val="20"/>
                <w:lang w:val="bg-BG"/>
              </w:rPr>
            </m:ctrlPr>
          </m:dPr>
          <m:e>
            <m:r>
              <w:rPr>
                <w:rFonts w:ascii="Cambria Math" w:hAnsi="Cambria Math"/>
                <w:szCs w:val="20"/>
                <w:lang w:val="bg-BG"/>
              </w:rPr>
              <m:t>8756 &gt;6474</m:t>
            </m:r>
          </m:e>
        </m:d>
      </m:oMath>
      <w:r w:rsidRPr="009072DA">
        <w:rPr>
          <w:lang w:val="bg-BG"/>
        </w:rPr>
        <w:t xml:space="preserve">, това формирование (вж. точка 1) може да бъде </w:t>
      </w:r>
      <w:r w:rsidRPr="009072DA">
        <w:rPr>
          <w:u w:val="single"/>
          <w:lang w:val="bg-BG"/>
        </w:rPr>
        <w:t>допуснато за плаване по течението с пълно натоварване.</w:t>
      </w:r>
    </w:p>
    <w:p w:rsidR="004F47BB" w:rsidRPr="009072DA" w:rsidRDefault="004F47BB" w:rsidP="004F47BB">
      <w:pPr>
        <w:tabs>
          <w:tab w:val="left" w:pos="454"/>
        </w:tabs>
        <w:overflowPunct w:val="0"/>
        <w:adjustRightInd w:val="0"/>
        <w:spacing w:line="240" w:lineRule="atLeast"/>
        <w:ind w:left="454" w:hanging="454"/>
        <w:textAlignment w:val="baseline"/>
        <w:rPr>
          <w:szCs w:val="20"/>
          <w:lang w:val="bg-BG"/>
        </w:rPr>
      </w:pPr>
    </w:p>
    <w:p w:rsidR="004F47BB" w:rsidRPr="009072DA" w:rsidRDefault="004F47BB" w:rsidP="004F47BB">
      <w:pPr>
        <w:tabs>
          <w:tab w:val="left" w:pos="454"/>
        </w:tabs>
        <w:overflowPunct w:val="0"/>
        <w:adjustRightInd w:val="0"/>
        <w:spacing w:line="240" w:lineRule="atLeast"/>
        <w:ind w:left="454" w:hanging="454"/>
        <w:textAlignment w:val="baseline"/>
        <w:rPr>
          <w:szCs w:val="20"/>
          <w:lang w:val="bg-BG"/>
        </w:rPr>
      </w:pPr>
    </w:p>
    <w:p w:rsidR="004F47BB" w:rsidRPr="009072DA" w:rsidRDefault="004F47BB" w:rsidP="004F47BB">
      <w:pPr>
        <w:spacing w:line="240" w:lineRule="atLeast"/>
        <w:ind w:left="567" w:hanging="567"/>
        <w:rPr>
          <w:lang w:val="bg-BG"/>
        </w:rPr>
        <w:sectPr w:rsidR="004F47BB" w:rsidRPr="009072DA" w:rsidSect="00D45887">
          <w:headerReference w:type="default" r:id="rId127"/>
          <w:headerReference w:type="first" r:id="rId128"/>
          <w:pgSz w:w="11907" w:h="16840" w:code="9"/>
          <w:pgMar w:top="1418" w:right="1418" w:bottom="1418" w:left="1418" w:header="680" w:footer="680" w:gutter="0"/>
          <w:cols w:space="720"/>
          <w:noEndnote/>
          <w:titlePg/>
        </w:sectPr>
      </w:pPr>
    </w:p>
    <w:p w:rsidR="004F47BB" w:rsidRPr="009072DA" w:rsidRDefault="004F47BB" w:rsidP="005B46C9">
      <w:pPr>
        <w:pStyle w:val="ES-Titre4prESIexple"/>
      </w:pPr>
      <w:r w:rsidRPr="009072DA">
        <w:lastRenderedPageBreak/>
        <w:t>Пример II</w:t>
      </w:r>
    </w:p>
    <w:p w:rsidR="004F47BB" w:rsidRPr="009072DA" w:rsidRDefault="004F47BB" w:rsidP="004F47BB">
      <w:pPr>
        <w:spacing w:line="240" w:lineRule="atLeast"/>
        <w:ind w:left="567" w:hanging="567"/>
        <w:rPr>
          <w:lang w:val="bg-BG"/>
        </w:rPr>
      </w:pPr>
    </w:p>
    <w:p w:rsidR="004F47BB" w:rsidRPr="009072DA" w:rsidRDefault="004F47BB" w:rsidP="004F47BB">
      <w:pPr>
        <w:tabs>
          <w:tab w:val="left" w:pos="567"/>
        </w:tabs>
        <w:overflowPunct w:val="0"/>
        <w:adjustRightInd w:val="0"/>
        <w:spacing w:line="240" w:lineRule="exact"/>
        <w:ind w:left="567" w:hanging="567"/>
        <w:textAlignment w:val="baseline"/>
        <w:rPr>
          <w:b/>
          <w:szCs w:val="20"/>
          <w:lang w:val="bg-BG"/>
        </w:rPr>
      </w:pPr>
      <w:r w:rsidRPr="009072DA">
        <w:rPr>
          <w:b/>
          <w:lang w:val="bg-BG"/>
        </w:rPr>
        <w:t>1.</w:t>
      </w:r>
      <w:r w:rsidRPr="009072DA">
        <w:rPr>
          <w:lang w:val="bg-BG"/>
        </w:rPr>
        <w:tab/>
      </w:r>
      <w:r w:rsidRPr="009072DA">
        <w:rPr>
          <w:b/>
          <w:lang w:val="bg-BG"/>
        </w:rPr>
        <w:t>Данни за плавателните съдове и състава</w:t>
      </w: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567"/>
          <w:tab w:val="left" w:pos="1843"/>
        </w:tabs>
        <w:overflowPunct w:val="0"/>
        <w:adjustRightInd w:val="0"/>
        <w:spacing w:line="240" w:lineRule="atLeast"/>
        <w:ind w:left="567"/>
        <w:textAlignment w:val="baseline"/>
        <w:rPr>
          <w:szCs w:val="20"/>
          <w:lang w:val="bg-BG"/>
        </w:rPr>
      </w:pPr>
      <w:r w:rsidRPr="009072DA">
        <w:rPr>
          <w:lang w:val="bg-BG"/>
        </w:rPr>
        <w:t>Формирование: голям моторен плавателен съд, задвижващ</w:t>
      </w:r>
    </w:p>
    <w:p w:rsidR="004F47BB" w:rsidRPr="009072DA" w:rsidRDefault="004F47BB" w:rsidP="004F47BB">
      <w:pPr>
        <w:tabs>
          <w:tab w:val="left" w:pos="567"/>
          <w:tab w:val="left" w:pos="1843"/>
        </w:tabs>
        <w:overflowPunct w:val="0"/>
        <w:adjustRightInd w:val="0"/>
        <w:spacing w:line="240" w:lineRule="atLeast"/>
        <w:ind w:left="567"/>
        <w:textAlignment w:val="baseline"/>
        <w:rPr>
          <w:szCs w:val="20"/>
          <w:lang w:val="bg-BG"/>
        </w:rPr>
      </w:pPr>
      <w:r w:rsidRPr="009072DA">
        <w:rPr>
          <w:lang w:val="bg-BG"/>
        </w:rPr>
        <w:t>2 лихтера, свързани борд към борд, отпред и</w:t>
      </w:r>
    </w:p>
    <w:p w:rsidR="004F47BB" w:rsidRPr="009072DA" w:rsidRDefault="004F47BB" w:rsidP="004F47BB">
      <w:pPr>
        <w:tabs>
          <w:tab w:val="left" w:pos="567"/>
          <w:tab w:val="left" w:pos="1843"/>
        </w:tabs>
        <w:overflowPunct w:val="0"/>
        <w:adjustRightInd w:val="0"/>
        <w:spacing w:line="240" w:lineRule="atLeast"/>
        <w:ind w:left="567"/>
        <w:textAlignment w:val="baseline"/>
        <w:rPr>
          <w:szCs w:val="20"/>
          <w:lang w:val="bg-BG"/>
        </w:rPr>
      </w:pPr>
      <w:r w:rsidRPr="009072DA">
        <w:rPr>
          <w:lang w:val="bg-BG"/>
        </w:rPr>
        <w:t>1 лихтер, свързан борд към борд.</w:t>
      </w:r>
    </w:p>
    <w:p w:rsidR="004F47BB" w:rsidRPr="009072DA" w:rsidRDefault="004F47BB" w:rsidP="004F47BB">
      <w:pPr>
        <w:overflowPunct w:val="0"/>
        <w:adjustRightInd w:val="0"/>
        <w:textAlignment w:val="baseline"/>
        <w:rPr>
          <w:szCs w:val="20"/>
          <w:lang w:val="bg-BG"/>
        </w:rPr>
      </w:pPr>
    </w:p>
    <w:tbl>
      <w:tblPr>
        <w:tblW w:w="9527" w:type="dxa"/>
        <w:tblInd w:w="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61"/>
        <w:gridCol w:w="1361"/>
        <w:gridCol w:w="1361"/>
        <w:gridCol w:w="1361"/>
        <w:gridCol w:w="1361"/>
        <w:gridCol w:w="1361"/>
        <w:gridCol w:w="1361"/>
      </w:tblGrid>
      <w:tr w:rsidR="004F47BB" w:rsidRPr="009072DA" w:rsidTr="00D45887">
        <w:tc>
          <w:tcPr>
            <w:tcW w:w="1361" w:type="dxa"/>
          </w:tcPr>
          <w:p w:rsidR="004F47BB" w:rsidRPr="009072DA" w:rsidRDefault="004F47BB" w:rsidP="004F47BB">
            <w:pPr>
              <w:overflowPunct w:val="0"/>
              <w:adjustRightInd w:val="0"/>
              <w:spacing w:before="80" w:after="80"/>
              <w:jc w:val="center"/>
              <w:textAlignment w:val="baseline"/>
              <w:rPr>
                <w:sz w:val="18"/>
                <w:szCs w:val="18"/>
                <w:lang w:val="bg-BG"/>
              </w:rPr>
            </w:pPr>
          </w:p>
        </w:tc>
        <w:tc>
          <w:tcPr>
            <w:tcW w:w="1361" w:type="dxa"/>
          </w:tcPr>
          <w:p w:rsidR="004F47BB" w:rsidRPr="009072DA" w:rsidRDefault="004F47BB" w:rsidP="004F47BB">
            <w:pPr>
              <w:overflowPunct w:val="0"/>
              <w:adjustRightInd w:val="0"/>
              <w:spacing w:before="80" w:after="80"/>
              <w:jc w:val="center"/>
              <w:textAlignment w:val="baseline"/>
              <w:rPr>
                <w:sz w:val="18"/>
                <w:szCs w:val="18"/>
                <w:lang w:val="bg-BG"/>
              </w:rPr>
            </w:pPr>
            <m:oMath>
              <m:r>
                <w:rPr>
                  <w:rFonts w:ascii="Cambria Math" w:hAnsi="Cambria Math"/>
                  <w:sz w:val="18"/>
                  <w:szCs w:val="18"/>
                  <w:lang w:val="bg-BG"/>
                </w:rPr>
                <m:t>L</m:t>
              </m:r>
            </m:oMath>
            <w:r w:rsidRPr="009072DA">
              <w:rPr>
                <w:sz w:val="18"/>
                <w:lang w:val="bg-BG"/>
              </w:rPr>
              <w:t xml:space="preserve"> [m]</w:t>
            </w:r>
          </w:p>
        </w:tc>
        <w:tc>
          <w:tcPr>
            <w:tcW w:w="1361" w:type="dxa"/>
          </w:tcPr>
          <w:p w:rsidR="004F47BB" w:rsidRPr="009072DA" w:rsidRDefault="004F47BB" w:rsidP="004F47BB">
            <w:pPr>
              <w:overflowPunct w:val="0"/>
              <w:adjustRightInd w:val="0"/>
              <w:spacing w:before="80" w:after="80"/>
              <w:jc w:val="center"/>
              <w:textAlignment w:val="baseline"/>
              <w:rPr>
                <w:sz w:val="18"/>
                <w:szCs w:val="18"/>
                <w:lang w:val="bg-BG"/>
              </w:rPr>
            </w:pPr>
            <m:oMath>
              <m:r>
                <w:rPr>
                  <w:rFonts w:ascii="Cambria Math" w:hAnsi="Cambria Math"/>
                  <w:sz w:val="18"/>
                  <w:szCs w:val="18"/>
                  <w:lang w:val="bg-BG"/>
                </w:rPr>
                <m:t>B</m:t>
              </m:r>
            </m:oMath>
            <w:r w:rsidRPr="009072DA">
              <w:rPr>
                <w:sz w:val="18"/>
                <w:lang w:val="bg-BG"/>
              </w:rPr>
              <w:t xml:space="preserve"> [m]</w:t>
            </w:r>
          </w:p>
        </w:tc>
        <w:tc>
          <w:tcPr>
            <w:tcW w:w="1361" w:type="dxa"/>
          </w:tcPr>
          <w:p w:rsidR="004F47BB" w:rsidRPr="009072DA" w:rsidRDefault="004F47BB" w:rsidP="004F47BB">
            <w:pPr>
              <w:overflowPunct w:val="0"/>
              <w:adjustRightInd w:val="0"/>
              <w:spacing w:before="80" w:after="80"/>
              <w:jc w:val="center"/>
              <w:textAlignment w:val="baseline"/>
              <w:rPr>
                <w:sz w:val="18"/>
                <w:szCs w:val="18"/>
                <w:lang w:val="bg-BG"/>
              </w:rPr>
            </w:pPr>
            <m:oMath>
              <m:r>
                <w:rPr>
                  <w:rFonts w:ascii="Cambria Math" w:hAnsi="Cambria Math"/>
                  <w:sz w:val="18"/>
                  <w:szCs w:val="18"/>
                  <w:lang w:val="bg-BG"/>
                </w:rPr>
                <m:t>T</m:t>
              </m:r>
              <m:r>
                <w:rPr>
                  <w:rFonts w:ascii="Cambria Math" w:hAnsi="Cambria Math"/>
                  <w:position w:val="-6"/>
                  <w:sz w:val="16"/>
                  <w:szCs w:val="18"/>
                  <w:lang w:val="bg-BG"/>
                </w:rPr>
                <m:t>max</m:t>
              </m:r>
            </m:oMath>
            <w:r w:rsidRPr="009072DA">
              <w:rPr>
                <w:sz w:val="18"/>
                <w:lang w:val="bg-BG"/>
              </w:rPr>
              <w:t xml:space="preserve"> [m]</w:t>
            </w:r>
          </w:p>
        </w:tc>
        <w:tc>
          <w:tcPr>
            <w:tcW w:w="1361" w:type="dxa"/>
          </w:tcPr>
          <w:p w:rsidR="004F47BB" w:rsidRPr="009072DA" w:rsidRDefault="004F47BB" w:rsidP="004F47BB">
            <w:pPr>
              <w:overflowPunct w:val="0"/>
              <w:adjustRightInd w:val="0"/>
              <w:spacing w:before="80" w:after="80"/>
              <w:jc w:val="center"/>
              <w:textAlignment w:val="baseline"/>
              <w:rPr>
                <w:sz w:val="18"/>
                <w:szCs w:val="18"/>
                <w:lang w:val="bg-BG"/>
              </w:rPr>
            </w:pPr>
            <m:oMath>
              <m:r>
                <w:rPr>
                  <w:rFonts w:ascii="Cambria Math" w:hAnsi="Cambria Math"/>
                  <w:szCs w:val="20"/>
                  <w:lang w:val="bg-BG"/>
                </w:rPr>
                <m:t>Tgf</m:t>
              </m:r>
              <m:r>
                <w:rPr>
                  <w:rFonts w:ascii="Cambria Math" w:hAnsi="Cambria Math"/>
                  <w:position w:val="6"/>
                  <w:sz w:val="18"/>
                  <w:szCs w:val="18"/>
                  <w:lang w:val="bg-BG"/>
                </w:rPr>
                <m:t>*</m:t>
              </m:r>
              <m:r>
                <w:rPr>
                  <w:rFonts w:ascii="Cambria Math" w:hAnsi="Cambria Math"/>
                  <w:position w:val="-6"/>
                  <w:sz w:val="16"/>
                  <w:szCs w:val="18"/>
                  <w:lang w:val="bg-BG"/>
                </w:rPr>
                <m:t>max</m:t>
              </m:r>
            </m:oMath>
            <w:r w:rsidRPr="009072DA">
              <w:rPr>
                <w:sz w:val="18"/>
                <w:lang w:val="bg-BG"/>
              </w:rPr>
              <w:t xml:space="preserve"> [t]</w:t>
            </w:r>
          </w:p>
        </w:tc>
        <w:tc>
          <w:tcPr>
            <w:tcW w:w="1361" w:type="dxa"/>
          </w:tcPr>
          <w:p w:rsidR="004F47BB" w:rsidRPr="009072DA" w:rsidRDefault="004F47BB" w:rsidP="004F47BB">
            <w:pPr>
              <w:overflowPunct w:val="0"/>
              <w:adjustRightInd w:val="0"/>
              <w:spacing w:before="80" w:after="80"/>
              <w:jc w:val="center"/>
              <w:textAlignment w:val="baseline"/>
              <w:rPr>
                <w:sz w:val="18"/>
                <w:szCs w:val="18"/>
                <w:lang w:val="bg-BG"/>
              </w:rPr>
            </w:pPr>
            <m:oMath>
              <m:r>
                <w:rPr>
                  <w:rFonts w:ascii="Cambria Math" w:hAnsi="Cambria Math"/>
                  <w:sz w:val="18"/>
                  <w:szCs w:val="18"/>
                  <w:lang w:val="bg-BG"/>
                </w:rPr>
                <m:t>D</m:t>
              </m:r>
              <m:r>
                <w:rPr>
                  <w:rFonts w:ascii="Cambria Math" w:hAnsi="Cambria Math"/>
                  <w:position w:val="-6"/>
                  <w:sz w:val="16"/>
                  <w:szCs w:val="18"/>
                  <w:lang w:val="bg-BG"/>
                </w:rPr>
                <m:t>max</m:t>
              </m:r>
            </m:oMath>
            <w:r w:rsidRPr="009072DA">
              <w:rPr>
                <w:sz w:val="18"/>
                <w:lang w:val="bg-BG"/>
              </w:rPr>
              <w:t xml:space="preserve"> [m</w:t>
            </w:r>
            <w:r w:rsidRPr="009072DA">
              <w:rPr>
                <w:position w:val="6"/>
                <w:sz w:val="16"/>
                <w:lang w:val="bg-BG"/>
              </w:rPr>
              <w:t>3</w:t>
            </w:r>
            <w:r w:rsidRPr="009072DA">
              <w:rPr>
                <w:sz w:val="18"/>
                <w:lang w:val="bg-BG"/>
              </w:rPr>
              <w:t>]</w:t>
            </w:r>
          </w:p>
        </w:tc>
        <w:tc>
          <w:tcPr>
            <w:tcW w:w="1361" w:type="dxa"/>
          </w:tcPr>
          <w:p w:rsidR="004F47BB" w:rsidRPr="009072DA" w:rsidRDefault="004F47BB" w:rsidP="004F47BB">
            <w:pPr>
              <w:overflowPunct w:val="0"/>
              <w:adjustRightInd w:val="0"/>
              <w:spacing w:before="80" w:after="80"/>
              <w:jc w:val="center"/>
              <w:textAlignment w:val="baseline"/>
              <w:rPr>
                <w:sz w:val="18"/>
                <w:szCs w:val="18"/>
                <w:lang w:val="bg-BG"/>
              </w:rPr>
            </w:pPr>
            <w:r w:rsidRPr="009072DA">
              <w:rPr>
                <w:sz w:val="18"/>
                <w:lang w:val="bg-BG"/>
              </w:rPr>
              <w:t>P</w:t>
            </w:r>
            <w:r w:rsidRPr="009072DA">
              <w:rPr>
                <w:position w:val="-6"/>
                <w:sz w:val="16"/>
                <w:lang w:val="bg-BG"/>
              </w:rPr>
              <w:t>B</w:t>
            </w:r>
            <w:r w:rsidRPr="009072DA">
              <w:rPr>
                <w:sz w:val="18"/>
                <w:lang w:val="bg-BG"/>
              </w:rPr>
              <w:t xml:space="preserve"> [kW]</w:t>
            </w:r>
          </w:p>
        </w:tc>
      </w:tr>
      <w:tr w:rsidR="004F47BB" w:rsidRPr="009072DA" w:rsidTr="00D45887">
        <w:tc>
          <w:tcPr>
            <w:tcW w:w="1361" w:type="dxa"/>
          </w:tcPr>
          <w:p w:rsidR="004F47BB" w:rsidRPr="009072DA" w:rsidRDefault="004F47BB" w:rsidP="004F47BB">
            <w:pPr>
              <w:overflowPunct w:val="0"/>
              <w:adjustRightInd w:val="0"/>
              <w:spacing w:before="80" w:after="80"/>
              <w:ind w:left="57"/>
              <w:textAlignment w:val="baseline"/>
              <w:rPr>
                <w:sz w:val="18"/>
                <w:szCs w:val="18"/>
                <w:lang w:val="bg-BG"/>
              </w:rPr>
            </w:pPr>
            <w:r w:rsidRPr="009072DA">
              <w:rPr>
                <w:sz w:val="18"/>
                <w:lang w:val="bg-BG"/>
              </w:rPr>
              <w:t>Моторен плавателен съд</w:t>
            </w:r>
          </w:p>
        </w:tc>
        <w:tc>
          <w:tcPr>
            <w:tcW w:w="1361" w:type="dxa"/>
          </w:tcPr>
          <w:p w:rsidR="004F47BB" w:rsidRPr="009072DA" w:rsidRDefault="004F47BB" w:rsidP="004F47BB">
            <w:pPr>
              <w:tabs>
                <w:tab w:val="decimal" w:pos="709"/>
              </w:tabs>
              <w:overflowPunct w:val="0"/>
              <w:adjustRightInd w:val="0"/>
              <w:spacing w:before="80" w:after="80"/>
              <w:ind w:left="113" w:right="113"/>
              <w:textAlignment w:val="baseline"/>
              <w:rPr>
                <w:sz w:val="18"/>
                <w:szCs w:val="18"/>
                <w:lang w:val="bg-BG"/>
              </w:rPr>
            </w:pPr>
            <w:r w:rsidRPr="009072DA">
              <w:rPr>
                <w:sz w:val="18"/>
                <w:lang w:val="bg-BG"/>
              </w:rPr>
              <w:t>110</w:t>
            </w:r>
          </w:p>
        </w:tc>
        <w:tc>
          <w:tcPr>
            <w:tcW w:w="1361" w:type="dxa"/>
          </w:tcPr>
          <w:p w:rsidR="004F47BB" w:rsidRPr="009072DA" w:rsidRDefault="004F47BB" w:rsidP="004F47BB">
            <w:pPr>
              <w:tabs>
                <w:tab w:val="decimal" w:pos="708"/>
              </w:tabs>
              <w:overflowPunct w:val="0"/>
              <w:adjustRightInd w:val="0"/>
              <w:spacing w:before="80" w:after="80"/>
              <w:ind w:left="113" w:right="113"/>
              <w:textAlignment w:val="baseline"/>
              <w:rPr>
                <w:sz w:val="18"/>
                <w:szCs w:val="18"/>
                <w:lang w:val="bg-BG"/>
              </w:rPr>
            </w:pPr>
            <w:r w:rsidRPr="009072DA">
              <w:rPr>
                <w:sz w:val="18"/>
                <w:lang w:val="bg-BG"/>
              </w:rPr>
              <w:t>11,4</w:t>
            </w:r>
          </w:p>
        </w:tc>
        <w:tc>
          <w:tcPr>
            <w:tcW w:w="1361" w:type="dxa"/>
          </w:tcPr>
          <w:p w:rsidR="004F47BB" w:rsidRPr="009072DA" w:rsidRDefault="004F47BB" w:rsidP="004F47BB">
            <w:pPr>
              <w:tabs>
                <w:tab w:val="decimal" w:pos="737"/>
              </w:tabs>
              <w:overflowPunct w:val="0"/>
              <w:adjustRightInd w:val="0"/>
              <w:spacing w:before="80" w:after="80"/>
              <w:ind w:left="113" w:right="113"/>
              <w:textAlignment w:val="baseline"/>
              <w:rPr>
                <w:sz w:val="18"/>
                <w:szCs w:val="18"/>
                <w:lang w:val="bg-BG"/>
              </w:rPr>
            </w:pPr>
            <w:r w:rsidRPr="009072DA">
              <w:rPr>
                <w:sz w:val="18"/>
                <w:lang w:val="bg-BG"/>
              </w:rPr>
              <w:t>3,5</w:t>
            </w:r>
          </w:p>
        </w:tc>
        <w:tc>
          <w:tcPr>
            <w:tcW w:w="1361" w:type="dxa"/>
          </w:tcPr>
          <w:p w:rsidR="004F47BB" w:rsidRPr="009072DA" w:rsidRDefault="004F47BB" w:rsidP="004F47BB">
            <w:pPr>
              <w:tabs>
                <w:tab w:val="decimal" w:pos="849"/>
              </w:tabs>
              <w:overflowPunct w:val="0"/>
              <w:adjustRightInd w:val="0"/>
              <w:spacing w:before="80" w:after="80"/>
              <w:ind w:left="113" w:right="113"/>
              <w:textAlignment w:val="baseline"/>
              <w:rPr>
                <w:sz w:val="18"/>
                <w:szCs w:val="18"/>
                <w:lang w:val="bg-BG"/>
              </w:rPr>
            </w:pPr>
            <w:r w:rsidRPr="009072DA">
              <w:rPr>
                <w:sz w:val="18"/>
                <w:lang w:val="bg-BG"/>
              </w:rPr>
              <w:t>2900</w:t>
            </w:r>
          </w:p>
        </w:tc>
        <w:tc>
          <w:tcPr>
            <w:tcW w:w="1361" w:type="dxa"/>
          </w:tcPr>
          <w:p w:rsidR="004F47BB" w:rsidRPr="009072DA" w:rsidRDefault="004F47BB" w:rsidP="004F47BB">
            <w:pPr>
              <w:tabs>
                <w:tab w:val="decimal" w:pos="990"/>
              </w:tabs>
              <w:overflowPunct w:val="0"/>
              <w:adjustRightInd w:val="0"/>
              <w:spacing w:before="80" w:after="80"/>
              <w:ind w:left="113" w:right="113"/>
              <w:textAlignment w:val="baseline"/>
              <w:rPr>
                <w:sz w:val="18"/>
                <w:szCs w:val="18"/>
                <w:lang w:val="bg-BG"/>
              </w:rPr>
            </w:pPr>
            <w:r w:rsidRPr="009072DA">
              <w:rPr>
                <w:sz w:val="18"/>
                <w:lang w:val="bg-BG"/>
              </w:rPr>
              <w:t>3731</w:t>
            </w:r>
          </w:p>
        </w:tc>
        <w:tc>
          <w:tcPr>
            <w:tcW w:w="1361" w:type="dxa"/>
          </w:tcPr>
          <w:p w:rsidR="004F47BB" w:rsidRPr="009072DA" w:rsidRDefault="004F47BB" w:rsidP="004F47BB">
            <w:pPr>
              <w:tabs>
                <w:tab w:val="decimal" w:pos="848"/>
              </w:tabs>
              <w:overflowPunct w:val="0"/>
              <w:adjustRightInd w:val="0"/>
              <w:spacing w:before="80" w:after="80"/>
              <w:ind w:left="113" w:right="113"/>
              <w:textAlignment w:val="baseline"/>
              <w:rPr>
                <w:sz w:val="18"/>
                <w:szCs w:val="18"/>
                <w:lang w:val="bg-BG"/>
              </w:rPr>
            </w:pPr>
            <w:r w:rsidRPr="009072DA">
              <w:rPr>
                <w:sz w:val="18"/>
                <w:lang w:val="bg-BG"/>
              </w:rPr>
              <w:t>1500</w:t>
            </w:r>
          </w:p>
        </w:tc>
      </w:tr>
      <w:tr w:rsidR="004F47BB" w:rsidRPr="009072DA" w:rsidTr="00D45887">
        <w:tc>
          <w:tcPr>
            <w:tcW w:w="1361" w:type="dxa"/>
          </w:tcPr>
          <w:p w:rsidR="004F47BB" w:rsidRPr="009072DA" w:rsidRDefault="004F47BB" w:rsidP="004F47BB">
            <w:pPr>
              <w:overflowPunct w:val="0"/>
              <w:adjustRightInd w:val="0"/>
              <w:spacing w:before="80" w:after="80"/>
              <w:ind w:left="57"/>
              <w:textAlignment w:val="baseline"/>
              <w:rPr>
                <w:sz w:val="18"/>
                <w:szCs w:val="18"/>
                <w:lang w:val="bg-BG"/>
              </w:rPr>
            </w:pPr>
            <w:r w:rsidRPr="009072DA">
              <w:rPr>
                <w:sz w:val="18"/>
                <w:lang w:val="bg-BG"/>
              </w:rPr>
              <w:t>Всеки лихтер</w:t>
            </w:r>
          </w:p>
        </w:tc>
        <w:tc>
          <w:tcPr>
            <w:tcW w:w="1361" w:type="dxa"/>
          </w:tcPr>
          <w:p w:rsidR="004F47BB" w:rsidRPr="009072DA" w:rsidRDefault="004F47BB" w:rsidP="004F47BB">
            <w:pPr>
              <w:tabs>
                <w:tab w:val="decimal" w:pos="709"/>
              </w:tabs>
              <w:overflowPunct w:val="0"/>
              <w:adjustRightInd w:val="0"/>
              <w:spacing w:before="80" w:after="80"/>
              <w:ind w:left="113" w:right="113"/>
              <w:textAlignment w:val="baseline"/>
              <w:rPr>
                <w:sz w:val="18"/>
                <w:szCs w:val="18"/>
                <w:lang w:val="bg-BG"/>
              </w:rPr>
            </w:pPr>
            <w:r w:rsidRPr="009072DA">
              <w:rPr>
                <w:sz w:val="18"/>
                <w:lang w:val="bg-BG"/>
              </w:rPr>
              <w:t>76,5</w:t>
            </w:r>
          </w:p>
        </w:tc>
        <w:tc>
          <w:tcPr>
            <w:tcW w:w="1361" w:type="dxa"/>
          </w:tcPr>
          <w:p w:rsidR="004F47BB" w:rsidRPr="009072DA" w:rsidRDefault="004F47BB" w:rsidP="004F47BB">
            <w:pPr>
              <w:tabs>
                <w:tab w:val="decimal" w:pos="708"/>
              </w:tabs>
              <w:overflowPunct w:val="0"/>
              <w:adjustRightInd w:val="0"/>
              <w:spacing w:before="80" w:after="80"/>
              <w:ind w:left="113" w:right="113"/>
              <w:textAlignment w:val="baseline"/>
              <w:rPr>
                <w:sz w:val="18"/>
                <w:szCs w:val="18"/>
                <w:lang w:val="bg-BG"/>
              </w:rPr>
            </w:pPr>
            <w:r w:rsidRPr="009072DA">
              <w:rPr>
                <w:sz w:val="18"/>
                <w:lang w:val="bg-BG"/>
              </w:rPr>
              <w:t>11,4</w:t>
            </w:r>
          </w:p>
        </w:tc>
        <w:tc>
          <w:tcPr>
            <w:tcW w:w="1361" w:type="dxa"/>
          </w:tcPr>
          <w:p w:rsidR="004F47BB" w:rsidRPr="009072DA" w:rsidRDefault="004F47BB" w:rsidP="004F47BB">
            <w:pPr>
              <w:tabs>
                <w:tab w:val="decimal" w:pos="737"/>
              </w:tabs>
              <w:overflowPunct w:val="0"/>
              <w:adjustRightInd w:val="0"/>
              <w:spacing w:before="80" w:after="80"/>
              <w:ind w:left="113" w:right="113"/>
              <w:textAlignment w:val="baseline"/>
              <w:rPr>
                <w:sz w:val="18"/>
                <w:szCs w:val="18"/>
                <w:lang w:val="bg-BG"/>
              </w:rPr>
            </w:pPr>
            <w:r w:rsidRPr="009072DA">
              <w:rPr>
                <w:sz w:val="18"/>
                <w:lang w:val="bg-BG"/>
              </w:rPr>
              <w:t>3,7</w:t>
            </w:r>
          </w:p>
        </w:tc>
        <w:tc>
          <w:tcPr>
            <w:tcW w:w="1361" w:type="dxa"/>
          </w:tcPr>
          <w:p w:rsidR="004F47BB" w:rsidRPr="009072DA" w:rsidRDefault="004F47BB" w:rsidP="004F47BB">
            <w:pPr>
              <w:tabs>
                <w:tab w:val="decimal" w:pos="849"/>
              </w:tabs>
              <w:overflowPunct w:val="0"/>
              <w:adjustRightInd w:val="0"/>
              <w:spacing w:before="80" w:after="80"/>
              <w:ind w:left="113" w:right="113"/>
              <w:textAlignment w:val="baseline"/>
              <w:rPr>
                <w:sz w:val="18"/>
                <w:szCs w:val="18"/>
                <w:lang w:val="bg-BG"/>
              </w:rPr>
            </w:pPr>
            <w:r w:rsidRPr="009072DA">
              <w:rPr>
                <w:sz w:val="18"/>
                <w:lang w:val="bg-BG"/>
              </w:rPr>
              <w:t>2600</w:t>
            </w:r>
          </w:p>
        </w:tc>
        <w:tc>
          <w:tcPr>
            <w:tcW w:w="1361" w:type="dxa"/>
          </w:tcPr>
          <w:p w:rsidR="004F47BB" w:rsidRPr="009072DA" w:rsidRDefault="004F47BB" w:rsidP="004F47BB">
            <w:pPr>
              <w:tabs>
                <w:tab w:val="decimal" w:pos="990"/>
              </w:tabs>
              <w:overflowPunct w:val="0"/>
              <w:adjustRightInd w:val="0"/>
              <w:spacing w:before="80" w:after="80"/>
              <w:ind w:left="113" w:right="113"/>
              <w:textAlignment w:val="baseline"/>
              <w:rPr>
                <w:sz w:val="18"/>
                <w:szCs w:val="18"/>
                <w:lang w:val="bg-BG"/>
              </w:rPr>
            </w:pPr>
            <w:r w:rsidRPr="009072DA">
              <w:rPr>
                <w:sz w:val="18"/>
                <w:lang w:val="bg-BG"/>
              </w:rPr>
              <w:t>2743</w:t>
            </w:r>
          </w:p>
        </w:tc>
        <w:tc>
          <w:tcPr>
            <w:tcW w:w="1361" w:type="dxa"/>
          </w:tcPr>
          <w:p w:rsidR="004F47BB" w:rsidRPr="009072DA" w:rsidRDefault="004F47BB" w:rsidP="004F47BB">
            <w:pPr>
              <w:tabs>
                <w:tab w:val="decimal" w:pos="198"/>
              </w:tabs>
              <w:overflowPunct w:val="0"/>
              <w:adjustRightInd w:val="0"/>
              <w:spacing w:before="80" w:after="80"/>
              <w:ind w:left="113" w:right="113"/>
              <w:jc w:val="center"/>
              <w:textAlignment w:val="baseline"/>
              <w:rPr>
                <w:sz w:val="18"/>
                <w:szCs w:val="18"/>
                <w:lang w:val="bg-BG"/>
              </w:rPr>
            </w:pPr>
            <w:r w:rsidRPr="009072DA">
              <w:rPr>
                <w:sz w:val="18"/>
                <w:lang w:val="bg-BG"/>
              </w:rPr>
              <w:t>-</w:t>
            </w:r>
          </w:p>
        </w:tc>
      </w:tr>
      <w:tr w:rsidR="004F47BB" w:rsidRPr="009072DA" w:rsidTr="00D45887">
        <w:tc>
          <w:tcPr>
            <w:tcW w:w="1361" w:type="dxa"/>
          </w:tcPr>
          <w:p w:rsidR="004F47BB" w:rsidRPr="009072DA" w:rsidRDefault="004F47BB" w:rsidP="004F47BB">
            <w:pPr>
              <w:overflowPunct w:val="0"/>
              <w:adjustRightInd w:val="0"/>
              <w:spacing w:before="80" w:after="80"/>
              <w:ind w:left="57"/>
              <w:textAlignment w:val="baseline"/>
              <w:rPr>
                <w:sz w:val="18"/>
                <w:szCs w:val="18"/>
                <w:lang w:val="bg-BG"/>
              </w:rPr>
            </w:pPr>
            <w:r w:rsidRPr="009072DA">
              <w:rPr>
                <w:sz w:val="18"/>
                <w:lang w:val="bg-BG"/>
              </w:rPr>
              <w:t>Състав</w:t>
            </w:r>
          </w:p>
        </w:tc>
        <w:tc>
          <w:tcPr>
            <w:tcW w:w="1361" w:type="dxa"/>
          </w:tcPr>
          <w:p w:rsidR="004F47BB" w:rsidRPr="009072DA" w:rsidRDefault="004F47BB" w:rsidP="004F47BB">
            <w:pPr>
              <w:tabs>
                <w:tab w:val="decimal" w:pos="709"/>
              </w:tabs>
              <w:overflowPunct w:val="0"/>
              <w:adjustRightInd w:val="0"/>
              <w:spacing w:before="80" w:after="80"/>
              <w:ind w:left="113" w:right="113"/>
              <w:textAlignment w:val="baseline"/>
              <w:rPr>
                <w:sz w:val="18"/>
                <w:szCs w:val="18"/>
                <w:lang w:val="bg-BG"/>
              </w:rPr>
            </w:pPr>
            <w:r w:rsidRPr="009072DA">
              <w:rPr>
                <w:sz w:val="18"/>
                <w:lang w:val="bg-BG"/>
              </w:rPr>
              <w:t>186,5</w:t>
            </w:r>
          </w:p>
        </w:tc>
        <w:tc>
          <w:tcPr>
            <w:tcW w:w="1361" w:type="dxa"/>
          </w:tcPr>
          <w:p w:rsidR="004F47BB" w:rsidRPr="009072DA" w:rsidRDefault="004F47BB" w:rsidP="004F47BB">
            <w:pPr>
              <w:tabs>
                <w:tab w:val="decimal" w:pos="708"/>
              </w:tabs>
              <w:overflowPunct w:val="0"/>
              <w:adjustRightInd w:val="0"/>
              <w:spacing w:before="80" w:after="80"/>
              <w:ind w:left="113" w:right="113"/>
              <w:textAlignment w:val="baseline"/>
              <w:rPr>
                <w:sz w:val="18"/>
                <w:szCs w:val="18"/>
                <w:lang w:val="bg-BG"/>
              </w:rPr>
            </w:pPr>
            <w:r w:rsidRPr="009072DA">
              <w:rPr>
                <w:sz w:val="18"/>
                <w:lang w:val="bg-BG"/>
              </w:rPr>
              <w:t>22,8</w:t>
            </w:r>
          </w:p>
        </w:tc>
        <w:tc>
          <w:tcPr>
            <w:tcW w:w="1361" w:type="dxa"/>
          </w:tcPr>
          <w:p w:rsidR="004F47BB" w:rsidRPr="009072DA" w:rsidRDefault="004F47BB" w:rsidP="004F47BB">
            <w:pPr>
              <w:tabs>
                <w:tab w:val="decimal" w:pos="737"/>
              </w:tabs>
              <w:overflowPunct w:val="0"/>
              <w:adjustRightInd w:val="0"/>
              <w:spacing w:before="80" w:after="80"/>
              <w:ind w:left="113" w:right="113"/>
              <w:textAlignment w:val="baseline"/>
              <w:rPr>
                <w:sz w:val="18"/>
                <w:szCs w:val="18"/>
                <w:lang w:val="bg-BG"/>
              </w:rPr>
            </w:pPr>
            <w:r w:rsidRPr="009072DA">
              <w:rPr>
                <w:sz w:val="18"/>
                <w:lang w:val="bg-BG"/>
              </w:rPr>
              <w:t>3,7</w:t>
            </w:r>
          </w:p>
        </w:tc>
        <w:tc>
          <w:tcPr>
            <w:tcW w:w="1361" w:type="dxa"/>
          </w:tcPr>
          <w:p w:rsidR="004F47BB" w:rsidRPr="009072DA" w:rsidRDefault="004F47BB" w:rsidP="004F47BB">
            <w:pPr>
              <w:tabs>
                <w:tab w:val="decimal" w:pos="849"/>
              </w:tabs>
              <w:overflowPunct w:val="0"/>
              <w:adjustRightInd w:val="0"/>
              <w:spacing w:before="80" w:after="80"/>
              <w:ind w:left="113" w:right="113"/>
              <w:textAlignment w:val="baseline"/>
              <w:rPr>
                <w:sz w:val="18"/>
                <w:szCs w:val="18"/>
                <w:lang w:val="bg-BG"/>
              </w:rPr>
            </w:pPr>
            <w:r w:rsidRPr="009072DA">
              <w:rPr>
                <w:sz w:val="18"/>
                <w:lang w:val="bg-BG"/>
              </w:rPr>
              <w:t>10 700</w:t>
            </w:r>
          </w:p>
        </w:tc>
        <w:tc>
          <w:tcPr>
            <w:tcW w:w="1361" w:type="dxa"/>
          </w:tcPr>
          <w:p w:rsidR="004F47BB" w:rsidRPr="009072DA" w:rsidRDefault="004F47BB" w:rsidP="004F47BB">
            <w:pPr>
              <w:tabs>
                <w:tab w:val="decimal" w:pos="990"/>
              </w:tabs>
              <w:overflowPunct w:val="0"/>
              <w:adjustRightInd w:val="0"/>
              <w:spacing w:before="80" w:after="80"/>
              <w:ind w:left="113" w:right="113"/>
              <w:textAlignment w:val="baseline"/>
              <w:rPr>
                <w:sz w:val="18"/>
                <w:szCs w:val="18"/>
                <w:lang w:val="bg-BG"/>
              </w:rPr>
            </w:pPr>
            <w:r w:rsidRPr="009072DA">
              <w:rPr>
                <w:sz w:val="18"/>
                <w:lang w:val="bg-BG"/>
              </w:rPr>
              <w:t>11 960</w:t>
            </w:r>
          </w:p>
        </w:tc>
        <w:tc>
          <w:tcPr>
            <w:tcW w:w="1361" w:type="dxa"/>
          </w:tcPr>
          <w:p w:rsidR="004F47BB" w:rsidRPr="009072DA" w:rsidRDefault="004F47BB" w:rsidP="004F47BB">
            <w:pPr>
              <w:tabs>
                <w:tab w:val="decimal" w:pos="848"/>
              </w:tabs>
              <w:overflowPunct w:val="0"/>
              <w:adjustRightInd w:val="0"/>
              <w:spacing w:before="80" w:after="80"/>
              <w:ind w:left="113" w:right="113"/>
              <w:textAlignment w:val="baseline"/>
              <w:rPr>
                <w:sz w:val="18"/>
                <w:szCs w:val="18"/>
                <w:lang w:val="bg-BG"/>
              </w:rPr>
            </w:pPr>
            <w:r w:rsidRPr="009072DA">
              <w:rPr>
                <w:sz w:val="18"/>
                <w:lang w:val="bg-BG"/>
              </w:rPr>
              <w:t>1500</w:t>
            </w:r>
          </w:p>
        </w:tc>
      </w:tr>
    </w:tbl>
    <w:p w:rsidR="004F47BB" w:rsidRPr="009072DA" w:rsidRDefault="004F47BB" w:rsidP="004F47BB">
      <w:pPr>
        <w:overflowPunct w:val="0"/>
        <w:adjustRightInd w:val="0"/>
        <w:textAlignment w:val="baseline"/>
        <w:rPr>
          <w:szCs w:val="20"/>
          <w:lang w:val="bg-BG"/>
        </w:rPr>
      </w:pPr>
    </w:p>
    <w:p w:rsidR="004F47BB" w:rsidRPr="009072DA" w:rsidRDefault="004F47BB" w:rsidP="004F47BB">
      <w:pPr>
        <w:tabs>
          <w:tab w:val="left" w:pos="960"/>
          <w:tab w:val="left" w:pos="1344"/>
          <w:tab w:val="left" w:pos="7680"/>
        </w:tabs>
        <w:overflowPunct w:val="0"/>
        <w:adjustRightInd w:val="0"/>
        <w:spacing w:line="240" w:lineRule="exact"/>
        <w:ind w:left="567"/>
        <w:textAlignment w:val="baseline"/>
        <w:rPr>
          <w:szCs w:val="20"/>
          <w:lang w:val="bg-BG"/>
        </w:rPr>
      </w:pPr>
      <w:r w:rsidRPr="009072DA">
        <w:rPr>
          <w:lang w:val="bg-BG"/>
        </w:rPr>
        <w:t>Задвижваща система на самоходен плавателен съд: съвременни дюзи със заоблен заден ръб.</w:t>
      </w:r>
    </w:p>
    <w:p w:rsidR="004F47BB" w:rsidRPr="009072DA" w:rsidRDefault="004F47BB" w:rsidP="004F47BB">
      <w:pPr>
        <w:tabs>
          <w:tab w:val="left" w:pos="960"/>
          <w:tab w:val="left" w:pos="1344"/>
          <w:tab w:val="left" w:pos="7680"/>
        </w:tabs>
        <w:overflowPunct w:val="0"/>
        <w:adjustRightInd w:val="0"/>
        <w:spacing w:line="240" w:lineRule="exact"/>
        <w:ind w:left="567"/>
        <w:textAlignment w:val="baseline"/>
        <w:rPr>
          <w:position w:val="6"/>
          <w:szCs w:val="20"/>
          <w:lang w:val="bg-BG"/>
        </w:rPr>
      </w:pPr>
    </w:p>
    <w:p w:rsidR="004F47BB" w:rsidRPr="009072DA" w:rsidRDefault="004F47BB" w:rsidP="004F47BB">
      <w:pPr>
        <w:tabs>
          <w:tab w:val="left" w:pos="960"/>
          <w:tab w:val="left" w:pos="1344"/>
          <w:tab w:val="left" w:pos="7680"/>
        </w:tabs>
        <w:overflowPunct w:val="0"/>
        <w:adjustRightInd w:val="0"/>
        <w:spacing w:line="240" w:lineRule="exact"/>
        <w:ind w:left="567"/>
        <w:textAlignment w:val="baseline"/>
        <w:rPr>
          <w:szCs w:val="20"/>
          <w:lang w:val="bg-BG"/>
        </w:rPr>
      </w:pPr>
      <w:r w:rsidRPr="009072DA">
        <w:rPr>
          <w:lang w:val="bg-BG"/>
        </w:rPr>
        <w:t xml:space="preserve">* </w:t>
      </w:r>
      <m:oMath>
        <m:r>
          <w:rPr>
            <w:rFonts w:ascii="Cambria Math" w:hAnsi="Cambria Math"/>
            <w:szCs w:val="20"/>
            <w:lang w:val="bg-BG"/>
          </w:rPr>
          <m:t xml:space="preserve"> Tgf</m:t>
        </m:r>
      </m:oMath>
      <w:r w:rsidRPr="009072DA">
        <w:rPr>
          <w:lang w:val="bg-BG"/>
        </w:rPr>
        <w:t xml:space="preserve"> = товароподемност</w:t>
      </w:r>
    </w:p>
    <w:p w:rsidR="004F47BB" w:rsidRPr="009072DA" w:rsidRDefault="004F47BB" w:rsidP="004F47BB">
      <w:pPr>
        <w:tabs>
          <w:tab w:val="left" w:pos="960"/>
          <w:tab w:val="left" w:pos="1344"/>
          <w:tab w:val="left" w:pos="7680"/>
        </w:tabs>
        <w:overflowPunct w:val="0"/>
        <w:adjustRightInd w:val="0"/>
        <w:spacing w:line="240" w:lineRule="exact"/>
        <w:textAlignment w:val="baseline"/>
        <w:rPr>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w:t>
      </w:r>
      <w:r w:rsidRPr="009072DA">
        <w:rPr>
          <w:lang w:val="bg-BG"/>
        </w:rPr>
        <w:tab/>
      </w:r>
      <w:r w:rsidRPr="009072DA">
        <w:rPr>
          <w:b/>
          <w:color w:val="000000"/>
          <w:lang w:val="bg-BG"/>
        </w:rPr>
        <w:t>Измерени стойности по време на маневрата за спиране</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bg-BG"/>
        </w:rPr>
      </w:pPr>
      <w:r w:rsidRPr="009072DA">
        <w:rPr>
          <w:lang w:val="bg-BG"/>
        </w:rPr>
        <w:t>Скорост на течението:</w:t>
      </w:r>
      <w:r w:rsidRPr="009072DA">
        <w:rPr>
          <w:lang w:val="bg-BG"/>
        </w:rPr>
        <w:tab/>
      </w:r>
      <m:oMath>
        <m:sSub>
          <m:sSubPr>
            <m:ctrlPr>
              <w:rPr>
                <w:rFonts w:ascii="Cambria Math" w:hAnsi="Cambria Math"/>
                <w:i/>
                <w:szCs w:val="20"/>
                <w:lang w:val="bg-BG"/>
              </w:rPr>
            </m:ctrlPr>
          </m:sSubPr>
          <m:e>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STR</m:t>
                </m:r>
              </m:sub>
            </m:sSub>
          </m:e>
          <m:sub>
            <m:r>
              <w:rPr>
                <w:rFonts w:ascii="Cambria Math" w:hAnsi="Cambria Math"/>
                <w:szCs w:val="20"/>
                <w:lang w:val="bg-BG"/>
              </w:rPr>
              <m:t>IST</m:t>
            </m:r>
          </m:sub>
        </m:sSub>
      </m:oMath>
      <w:r w:rsidRPr="009072DA">
        <w:rPr>
          <w:lang w:val="bg-BG"/>
        </w:rPr>
        <w:tab/>
        <w:t>=</w:t>
      </w:r>
      <w:r w:rsidRPr="009072DA">
        <w:rPr>
          <w:lang w:val="bg-BG"/>
        </w:rPr>
        <w:tab/>
        <w:t>1,4 m/s</w:t>
      </w:r>
      <w:r w:rsidRPr="009072DA">
        <w:rPr>
          <w:lang w:val="bg-BG"/>
        </w:rPr>
        <w:tab/>
      </w:r>
      <w:r w:rsidRPr="009072DA">
        <w:rPr>
          <w:szCs w:val="20"/>
          <w:lang w:val="bg-BG"/>
        </w:rPr>
        <w:sym w:font="Symbol" w:char="F0BB"/>
      </w:r>
      <w:r w:rsidRPr="009072DA">
        <w:rPr>
          <w:lang w:val="bg-BG"/>
        </w:rPr>
        <w:t xml:space="preserve"> 5,1 km/h</w:t>
      </w:r>
    </w:p>
    <w:p w:rsidR="004F47BB" w:rsidRPr="009072D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bg-BG"/>
        </w:rPr>
      </w:pPr>
    </w:p>
    <w:p w:rsidR="004F47BB" w:rsidRPr="009072D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bg-BG"/>
        </w:rPr>
      </w:pPr>
      <w:r w:rsidRPr="009072DA">
        <w:rPr>
          <w:lang w:val="bg-BG"/>
        </w:rPr>
        <w:t xml:space="preserve">Скорост на плавателния съд (спрямо водата): </w:t>
      </w:r>
      <w:r w:rsidRPr="009072DA">
        <w:rPr>
          <w:lang w:val="bg-BG"/>
        </w:rPr>
        <w:tab/>
      </w:r>
      <m:oMath>
        <m:sSub>
          <m:sSubPr>
            <m:ctrlPr>
              <w:rPr>
                <w:rFonts w:ascii="Cambria Math" w:hAnsi="Cambria Math"/>
                <w:i/>
                <w:szCs w:val="20"/>
                <w:lang w:val="bg-BG"/>
              </w:rPr>
            </m:ctrlPr>
          </m:sSubPr>
          <m:e>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S</m:t>
                </m:r>
              </m:sub>
            </m:sSub>
          </m:e>
          <m:sub>
            <m:r>
              <w:rPr>
                <w:rFonts w:ascii="Cambria Math" w:hAnsi="Cambria Math"/>
                <w:szCs w:val="20"/>
                <w:lang w:val="bg-BG"/>
              </w:rPr>
              <m:t>IST</m:t>
            </m:r>
          </m:sub>
        </m:sSub>
      </m:oMath>
      <w:r w:rsidRPr="009072DA">
        <w:rPr>
          <w:lang w:val="bg-BG"/>
        </w:rPr>
        <w:tab/>
        <w:t>=</w:t>
      </w:r>
      <w:r w:rsidRPr="009072DA">
        <w:rPr>
          <w:lang w:val="bg-BG"/>
        </w:rPr>
        <w:tab/>
        <w:t>3,5 m/s</w:t>
      </w:r>
      <w:r w:rsidRPr="009072DA">
        <w:rPr>
          <w:lang w:val="bg-BG"/>
        </w:rPr>
        <w:tab/>
      </w:r>
      <w:r w:rsidRPr="009072DA">
        <w:rPr>
          <w:szCs w:val="20"/>
          <w:lang w:val="bg-BG"/>
        </w:rPr>
        <w:sym w:font="Symbol" w:char="F0BB"/>
      </w:r>
      <w:r w:rsidRPr="009072DA">
        <w:rPr>
          <w:lang w:val="bg-BG"/>
        </w:rPr>
        <w:t xml:space="preserve"> 12,5 km/h</w:t>
      </w:r>
    </w:p>
    <w:p w:rsidR="004F47BB" w:rsidRPr="009072D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bg-BG"/>
        </w:rPr>
      </w:pPr>
    </w:p>
    <w:p w:rsidR="004F47BB" w:rsidRPr="009072D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bg-BG"/>
        </w:rPr>
      </w:pPr>
      <w:r w:rsidRPr="009072DA">
        <w:rPr>
          <w:lang w:val="bg-BG"/>
        </w:rPr>
        <w:t>Скорост на плавателния съд (спрямо брега):</w:t>
      </w:r>
      <w:r w:rsidRPr="009072DA">
        <w:rPr>
          <w:lang w:val="bg-BG"/>
        </w:rPr>
        <w:tab/>
      </w:r>
      <m:oMath>
        <m:sSub>
          <m:sSubPr>
            <m:ctrlPr>
              <w:rPr>
                <w:rFonts w:ascii="Cambria Math" w:hAnsi="Cambria Math"/>
                <w:i/>
                <w:szCs w:val="20"/>
                <w:lang w:val="bg-BG"/>
              </w:rPr>
            </m:ctrlPr>
          </m:sSubPr>
          <m:e>
            <m:sSub>
              <m:sSubPr>
                <m:ctrlPr>
                  <w:rPr>
                    <w:rFonts w:ascii="Cambria Math" w:hAnsi="Cambria Math"/>
                    <w:i/>
                    <w:szCs w:val="20"/>
                    <w:lang w:val="bg-BG"/>
                  </w:rPr>
                </m:ctrlPr>
              </m:sSubPr>
              <m:e>
                <m:r>
                  <w:rPr>
                    <w:rFonts w:ascii="Cambria Math" w:hAnsi="Cambria Math"/>
                    <w:szCs w:val="20"/>
                    <w:lang w:val="bg-BG"/>
                  </w:rPr>
                  <m:t>v</m:t>
                </m:r>
              </m:e>
              <m:sub>
                <m:r>
                  <w:rPr>
                    <w:rFonts w:ascii="Cambria Math" w:hAnsi="Cambria Math"/>
                    <w:szCs w:val="20"/>
                    <w:lang w:val="bg-BG"/>
                  </w:rPr>
                  <m:t>L</m:t>
                </m:r>
              </m:sub>
            </m:sSub>
          </m:e>
          <m:sub>
            <m:r>
              <w:rPr>
                <w:rFonts w:ascii="Cambria Math" w:hAnsi="Cambria Math"/>
                <w:szCs w:val="20"/>
                <w:lang w:val="bg-BG"/>
              </w:rPr>
              <m:t>IST</m:t>
            </m:r>
          </m:sub>
        </m:sSub>
      </m:oMath>
      <w:r w:rsidRPr="009072DA">
        <w:rPr>
          <w:lang w:val="bg-BG"/>
        </w:rPr>
        <w:tab/>
        <w:t>=</w:t>
      </w:r>
      <w:r w:rsidRPr="009072DA">
        <w:rPr>
          <w:lang w:val="bg-BG"/>
        </w:rPr>
        <w:tab/>
        <w:t>4,9 m/s</w:t>
      </w:r>
      <w:r w:rsidRPr="009072DA">
        <w:rPr>
          <w:lang w:val="bg-BG"/>
        </w:rPr>
        <w:tab/>
      </w:r>
      <w:r w:rsidRPr="009072DA">
        <w:rPr>
          <w:szCs w:val="20"/>
          <w:lang w:val="bg-BG"/>
        </w:rPr>
        <w:sym w:font="Symbol" w:char="F0BB"/>
      </w:r>
      <w:r w:rsidRPr="009072DA">
        <w:rPr>
          <w:lang w:val="bg-BG"/>
        </w:rPr>
        <w:t xml:space="preserve"> 17,6 km/h</w:t>
      </w:r>
    </w:p>
    <w:p w:rsidR="004F47BB" w:rsidRPr="009072D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bg-BG"/>
        </w:rPr>
      </w:pPr>
    </w:p>
    <w:p w:rsidR="004F47BB" w:rsidRPr="009072D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bg-BG"/>
        </w:rPr>
      </w:pPr>
      <w:r w:rsidRPr="009072DA">
        <w:rPr>
          <w:lang w:val="bg-BG"/>
        </w:rPr>
        <w:t xml:space="preserve">Време на заден ход (измерено) (точка </w:t>
      </w:r>
      <m:oMath>
        <m:r>
          <w:rPr>
            <w:rFonts w:ascii="Cambria Math" w:hAnsi="Cambria Math"/>
            <w:szCs w:val="20"/>
            <w:lang w:val="bg-BG"/>
          </w:rPr>
          <m:t>A</m:t>
        </m:r>
      </m:oMath>
      <w:r w:rsidRPr="009072DA">
        <w:rPr>
          <w:lang w:val="bg-BG"/>
        </w:rPr>
        <w:t xml:space="preserve"> до </w:t>
      </w:r>
      <m:oMath>
        <m:r>
          <w:rPr>
            <w:rFonts w:ascii="Cambria Math" w:hAnsi="Cambria Math"/>
            <w:szCs w:val="20"/>
            <w:lang w:val="bg-BG"/>
          </w:rPr>
          <m:t>C</m:t>
        </m:r>
      </m:oMath>
      <w:r w:rsidRPr="009072DA">
        <w:rPr>
          <w:lang w:val="bg-BG"/>
        </w:rPr>
        <w:t>):</w:t>
      </w:r>
      <w:r w:rsidRPr="009072DA">
        <w:rPr>
          <w:lang w:val="bg-BG"/>
        </w:rPr>
        <w:tab/>
      </w:r>
      <m:oMath>
        <m:r>
          <w:rPr>
            <w:rFonts w:ascii="Cambria Math" w:hAnsi="Cambria Math"/>
            <w:szCs w:val="20"/>
            <w:lang w:val="bg-BG"/>
          </w:rPr>
          <m:t>t</m:t>
        </m:r>
        <m:r>
          <w:rPr>
            <w:rFonts w:ascii="Cambria Math" w:hAnsi="Cambria Math"/>
            <w:position w:val="-6"/>
            <w:sz w:val="16"/>
            <w:szCs w:val="20"/>
            <w:lang w:val="bg-BG"/>
          </w:rPr>
          <m:t>I</m:t>
        </m:r>
      </m:oMath>
      <w:r w:rsidRPr="009072DA">
        <w:rPr>
          <w:lang w:val="bg-BG"/>
        </w:rPr>
        <w:tab/>
        <w:t>=</w:t>
      </w:r>
      <w:r w:rsidRPr="009072DA">
        <w:rPr>
          <w:lang w:val="bg-BG"/>
        </w:rPr>
        <w:tab/>
        <w:t>16 s</w:t>
      </w:r>
    </w:p>
    <w:p w:rsidR="004F47BB" w:rsidRPr="009072D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bg-BG"/>
        </w:rPr>
      </w:pPr>
    </w:p>
    <w:p w:rsidR="004F47BB" w:rsidRPr="009072D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bg-BG"/>
        </w:rPr>
      </w:pPr>
      <w:r w:rsidRPr="009072DA">
        <w:rPr>
          <w:lang w:val="bg-BG"/>
        </w:rPr>
        <w:t xml:space="preserve">Разстояние на спиране спрямо водата (точка </w:t>
      </w:r>
      <m:oMath>
        <m:r>
          <w:rPr>
            <w:rFonts w:ascii="Cambria Math" w:hAnsi="Cambria Math"/>
            <w:szCs w:val="20"/>
            <w:lang w:val="bg-BG"/>
          </w:rPr>
          <m:t>A</m:t>
        </m:r>
      </m:oMath>
      <w:r w:rsidRPr="009072DA">
        <w:rPr>
          <w:lang w:val="bg-BG"/>
        </w:rPr>
        <w:t xml:space="preserve"> до </w:t>
      </w:r>
      <m:oMath>
        <m:r>
          <w:rPr>
            <w:rFonts w:ascii="Cambria Math" w:hAnsi="Cambria Math"/>
            <w:szCs w:val="20"/>
            <w:lang w:val="bg-BG"/>
          </w:rPr>
          <m:t>D</m:t>
        </m:r>
      </m:oMath>
      <w:r w:rsidRPr="009072DA">
        <w:rPr>
          <w:lang w:val="bg-BG"/>
        </w:rPr>
        <w:t>):</w:t>
      </w:r>
      <w:r w:rsidRPr="009072DA">
        <w:rPr>
          <w:lang w:val="bg-BG"/>
        </w:rPr>
        <w:tab/>
      </w:r>
      <m:oMath>
        <m:r>
          <w:rPr>
            <w:rFonts w:ascii="Cambria Math" w:hAnsi="Cambria Math"/>
            <w:szCs w:val="20"/>
            <w:lang w:val="bg-BG"/>
          </w:rPr>
          <m:t>s</m:t>
        </m:r>
        <m:r>
          <w:rPr>
            <w:rFonts w:ascii="Cambria Math" w:hAnsi="Cambria Math"/>
            <w:position w:val="-6"/>
            <w:sz w:val="16"/>
            <w:szCs w:val="20"/>
            <w:lang w:val="bg-BG"/>
          </w:rPr>
          <m:t>MESSUNG</m:t>
        </m:r>
      </m:oMath>
      <w:r w:rsidRPr="009072DA">
        <w:rPr>
          <w:lang w:val="bg-BG"/>
        </w:rPr>
        <w:tab/>
        <w:t>=</w:t>
      </w:r>
      <w:r w:rsidRPr="009072DA">
        <w:rPr>
          <w:lang w:val="bg-BG"/>
        </w:rPr>
        <w:tab/>
        <w:t>580 m</w:t>
      </w:r>
    </w:p>
    <w:p w:rsidR="004F47BB" w:rsidRPr="009072D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bg-BG"/>
        </w:rPr>
      </w:pPr>
    </w:p>
    <w:p w:rsidR="004F47BB" w:rsidRPr="009072D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bg-BG"/>
        </w:rPr>
      </w:pPr>
      <w:r w:rsidRPr="009072DA">
        <w:rPr>
          <w:lang w:val="bg-BG"/>
        </w:rPr>
        <w:t xml:space="preserve">Състояние на натоварване (възможна оценка): </w:t>
      </w:r>
      <w:r w:rsidRPr="009072DA">
        <w:rPr>
          <w:lang w:val="bg-BG"/>
        </w:rPr>
        <w:tab/>
      </w:r>
      <m:oMath>
        <m:r>
          <w:rPr>
            <w:rFonts w:ascii="Cambria Math" w:hAnsi="Cambria Math"/>
            <w:szCs w:val="20"/>
            <w:lang w:val="bg-BG"/>
          </w:rPr>
          <m:t>D</m:t>
        </m:r>
        <m:r>
          <w:rPr>
            <w:rFonts w:ascii="Cambria Math" w:hAnsi="Cambria Math"/>
            <w:position w:val="-6"/>
            <w:sz w:val="16"/>
            <w:szCs w:val="20"/>
            <w:lang w:val="bg-BG"/>
          </w:rPr>
          <m:t>IST</m:t>
        </m:r>
      </m:oMath>
      <w:r w:rsidRPr="009072DA">
        <w:rPr>
          <w:lang w:val="bg-BG"/>
        </w:rPr>
        <w:tab/>
        <w:t>=</w:t>
      </w:r>
      <w:r w:rsidRPr="009072DA">
        <w:rPr>
          <w:lang w:val="bg-BG"/>
        </w:rPr>
        <w:tab/>
        <w:t>9568 m</w:t>
      </w:r>
      <w:r w:rsidRPr="009072DA">
        <w:rPr>
          <w:position w:val="6"/>
          <w:sz w:val="16"/>
          <w:lang w:val="bg-BG"/>
        </w:rPr>
        <w:t>3</w:t>
      </w:r>
      <w:r w:rsidRPr="009072DA">
        <w:rPr>
          <w:lang w:val="bg-BG"/>
        </w:rPr>
        <w:tab/>
      </w:r>
      <w:r w:rsidRPr="009072DA">
        <w:rPr>
          <w:szCs w:val="20"/>
          <w:lang w:val="bg-BG"/>
        </w:rPr>
        <w:sym w:font="Symbol" w:char="F0BB"/>
      </w:r>
      <w:r w:rsidRPr="009072DA">
        <w:rPr>
          <w:lang w:val="bg-BG"/>
        </w:rPr>
        <w:t xml:space="preserve"> 0,8 </w:t>
      </w:r>
      <m:oMath>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max</m:t>
            </m:r>
          </m:sub>
        </m:sSub>
      </m:oMath>
    </w:p>
    <w:p w:rsidR="004F47BB" w:rsidRPr="009072DA" w:rsidRDefault="004F47BB" w:rsidP="004F47BB">
      <w:pPr>
        <w:tabs>
          <w:tab w:val="left" w:pos="5387"/>
          <w:tab w:val="left" w:pos="6379"/>
          <w:tab w:val="left" w:pos="6663"/>
          <w:tab w:val="left" w:pos="7230"/>
          <w:tab w:val="left" w:pos="7513"/>
        </w:tabs>
        <w:overflowPunct w:val="0"/>
        <w:adjustRightInd w:val="0"/>
        <w:spacing w:line="240" w:lineRule="atLeast"/>
        <w:ind w:left="567"/>
        <w:textAlignment w:val="baseline"/>
        <w:rPr>
          <w:szCs w:val="20"/>
          <w:lang w:val="bg-BG"/>
        </w:rPr>
      </w:pPr>
    </w:p>
    <w:p w:rsidR="004F47BB" w:rsidRPr="009072D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bg-BG"/>
        </w:rPr>
      </w:pPr>
      <w:r w:rsidRPr="009072DA">
        <w:rPr>
          <w:lang w:val="bg-BG"/>
        </w:rPr>
        <w:t>Действително газене на състава:</w:t>
      </w:r>
      <w:r w:rsidRPr="009072DA">
        <w:rPr>
          <w:lang w:val="bg-BG"/>
        </w:rPr>
        <w:tab/>
      </w:r>
      <m:oMath>
        <m:r>
          <w:rPr>
            <w:rFonts w:ascii="Cambria Math" w:hAnsi="Cambria Math"/>
            <w:szCs w:val="20"/>
            <w:lang w:val="bg-BG"/>
          </w:rPr>
          <m:t>T</m:t>
        </m:r>
        <m:r>
          <w:rPr>
            <w:rFonts w:ascii="Cambria Math" w:hAnsi="Cambria Math"/>
            <w:position w:val="-6"/>
            <w:sz w:val="16"/>
            <w:szCs w:val="20"/>
            <w:lang w:val="bg-BG"/>
          </w:rPr>
          <m:t>IST</m:t>
        </m:r>
      </m:oMath>
      <w:r w:rsidRPr="009072DA">
        <w:rPr>
          <w:lang w:val="bg-BG"/>
        </w:rPr>
        <w:tab/>
        <w:t>=</w:t>
      </w:r>
      <w:r w:rsidRPr="009072DA">
        <w:rPr>
          <w:lang w:val="bg-BG"/>
        </w:rPr>
        <w:tab/>
        <w:t>2,96 m</w:t>
      </w:r>
      <w:r w:rsidRPr="009072DA">
        <w:rPr>
          <w:lang w:val="bg-BG"/>
        </w:rPr>
        <w:tab/>
      </w:r>
      <w:r w:rsidRPr="009072DA">
        <w:rPr>
          <w:szCs w:val="20"/>
          <w:lang w:val="bg-BG"/>
        </w:rPr>
        <w:sym w:font="Symbol" w:char="F0BB"/>
      </w:r>
      <w:r w:rsidRPr="009072DA">
        <w:rPr>
          <w:lang w:val="bg-BG"/>
        </w:rPr>
        <w:t xml:space="preserve"> 0,8 </w:t>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max</m:t>
            </m:r>
          </m:sub>
        </m:sSub>
      </m:oMath>
    </w:p>
    <w:p w:rsidR="004F47BB" w:rsidRPr="009072DA" w:rsidRDefault="004F47BB" w:rsidP="004F47BB">
      <w:pPr>
        <w:overflowPunct w:val="0"/>
        <w:adjustRightInd w:val="0"/>
        <w:textAlignment w:val="baseline"/>
        <w:rPr>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3.</w:t>
      </w:r>
      <w:r w:rsidRPr="009072DA">
        <w:rPr>
          <w:lang w:val="bg-BG"/>
        </w:rPr>
        <w:tab/>
      </w:r>
      <w:r w:rsidRPr="009072DA">
        <w:rPr>
          <w:b/>
          <w:color w:val="000000"/>
          <w:lang w:val="bg-BG"/>
        </w:rPr>
        <w:t xml:space="preserve">Пределно допустима стойност съгласно точка 2.1, буква a) или б) от инструкцията, която да бъде сравнена с </w:t>
      </w:r>
      <m:oMath>
        <m:sSub>
          <m:sSubPr>
            <m:ctrlPr>
              <w:rPr>
                <w:rFonts w:ascii="Cambria Math" w:hAnsi="Cambria Math"/>
                <w:i/>
                <w:lang w:val="bg-BG"/>
              </w:rPr>
            </m:ctrlPr>
          </m:sSubPr>
          <m:e>
            <m:r>
              <m:rPr>
                <m:sty m:val="bi"/>
              </m:rPr>
              <w:rPr>
                <w:rFonts w:ascii="Cambria Math" w:hAnsi="Cambria Math" w:cs="Arial"/>
                <w:color w:val="000000"/>
                <w:szCs w:val="20"/>
                <w:lang w:val="bg-BG"/>
              </w:rPr>
              <m:t>s</m:t>
            </m:r>
          </m:e>
          <m:sub>
            <m:r>
              <m:rPr>
                <m:sty m:val="bi"/>
              </m:rPr>
              <w:rPr>
                <w:rFonts w:ascii="Cambria Math" w:hAnsi="Cambria Math" w:cs="Arial"/>
                <w:color w:val="000000"/>
                <w:szCs w:val="20"/>
                <w:lang w:val="bg-BG"/>
              </w:rPr>
              <m:t>NORM</m:t>
            </m:r>
          </m:sub>
        </m:sSub>
      </m:oMath>
    </w:p>
    <w:p w:rsidR="004F47BB" w:rsidRPr="009072DA" w:rsidRDefault="004F47BB" w:rsidP="004F47BB">
      <w:pPr>
        <w:tabs>
          <w:tab w:val="left" w:pos="567"/>
        </w:tabs>
        <w:overflowPunct w:val="0"/>
        <w:adjustRightInd w:val="0"/>
        <w:ind w:left="567" w:hanging="567"/>
        <w:textAlignment w:val="baseline"/>
        <w:rPr>
          <w:szCs w:val="20"/>
          <w:lang w:val="bg-BG"/>
        </w:rPr>
      </w:pPr>
    </w:p>
    <w:p w:rsidR="004F47BB" w:rsidRPr="009072DA" w:rsidRDefault="004F47BB" w:rsidP="004F47BB">
      <w:pPr>
        <w:overflowPunct w:val="0"/>
        <w:adjustRightInd w:val="0"/>
        <w:spacing w:line="240" w:lineRule="exact"/>
        <w:ind w:left="567"/>
        <w:textAlignment w:val="baseline"/>
        <w:rPr>
          <w:szCs w:val="20"/>
          <w:lang w:val="bg-BG"/>
        </w:rPr>
      </w:pPr>
      <w:r w:rsidRPr="009072DA">
        <w:rPr>
          <w:lang w:val="bg-BG"/>
        </w:rPr>
        <w:t xml:space="preserve">Тъй като </w:t>
      </w:r>
      <m:oMath>
        <m:r>
          <w:rPr>
            <w:rFonts w:ascii="Cambria Math" w:hAnsi="Cambria Math"/>
            <w:szCs w:val="20"/>
            <w:lang w:val="bg-BG"/>
          </w:rPr>
          <m:t>B &gt; 11,45 m</m:t>
        </m:r>
      </m:oMath>
      <w:r w:rsidRPr="009072DA">
        <w:rPr>
          <w:lang w:val="bg-BG"/>
        </w:rPr>
        <w:t xml:space="preserve"> и съставът е в течаща вода, за този състав е приложимо следното съгласно точка 2.1, буква a):</w:t>
      </w:r>
    </w:p>
    <w:p w:rsidR="004F47BB" w:rsidRPr="009072DA" w:rsidRDefault="004F47BB" w:rsidP="004F47BB">
      <w:pPr>
        <w:tabs>
          <w:tab w:val="left" w:pos="567"/>
        </w:tabs>
        <w:overflowPunct w:val="0"/>
        <w:adjustRightInd w:val="0"/>
        <w:ind w:left="567" w:hanging="567"/>
        <w:textAlignment w:val="baseline"/>
        <w:rPr>
          <w:szCs w:val="20"/>
          <w:lang w:val="bg-BG"/>
        </w:rPr>
      </w:pPr>
    </w:p>
    <w:p w:rsidR="004F47BB" w:rsidRPr="009072DA" w:rsidRDefault="004F47BB" w:rsidP="004F47BB">
      <w:pPr>
        <w:tabs>
          <w:tab w:val="left" w:pos="567"/>
          <w:tab w:val="left" w:pos="3402"/>
        </w:tabs>
        <w:overflowPunct w:val="0"/>
        <w:adjustRightInd w:val="0"/>
        <w:spacing w:line="240" w:lineRule="atLeast"/>
        <w:ind w:left="567"/>
        <w:textAlignment w:val="baseline"/>
        <w:rPr>
          <w:szCs w:val="20"/>
          <w:lang w:val="bg-BG"/>
        </w:rPr>
      </w:pPr>
      <m:oMathPara>
        <m:oMath>
          <m:r>
            <w:rPr>
              <w:rFonts w:ascii="Cambria Math" w:hAnsi="Cambria Math"/>
              <w:szCs w:val="20"/>
              <w:lang w:val="bg-BG"/>
            </w:rPr>
            <m:t>s</m:t>
          </m:r>
          <m:r>
            <w:rPr>
              <w:rFonts w:ascii="Cambria Math" w:hAnsi="Cambria Math"/>
              <w:position w:val="-6"/>
              <w:sz w:val="16"/>
              <w:szCs w:val="20"/>
              <w:lang w:val="bg-BG"/>
            </w:rPr>
            <m:t>NORM</m:t>
          </m:r>
          <m:r>
            <w:rPr>
              <w:rFonts w:ascii="Cambria Math" w:hAnsi="Cambria Math"/>
              <w:szCs w:val="20"/>
              <w:lang w:val="bg-BG"/>
            </w:rPr>
            <m:t xml:space="preserve">  </m:t>
          </m:r>
          <m:r>
            <w:rPr>
              <w:rFonts w:ascii="Cambria Math" w:hAnsi="Cambria Math"/>
              <w:i/>
              <w:szCs w:val="20"/>
              <w:lang w:val="bg-BG"/>
            </w:rPr>
            <w:sym w:font="Symbol" w:char="F0A3"/>
          </m:r>
          <m:r>
            <w:rPr>
              <w:rFonts w:ascii="Cambria Math" w:hAnsi="Cambria Math"/>
              <w:szCs w:val="20"/>
              <w:lang w:val="bg-BG"/>
            </w:rPr>
            <m:t xml:space="preserve">  550 m</m:t>
          </m:r>
        </m:oMath>
      </m:oMathPara>
    </w:p>
    <w:p w:rsidR="004F47BB" w:rsidRPr="009072DA" w:rsidRDefault="004F47BB" w:rsidP="004F47BB">
      <w:pPr>
        <w:tabs>
          <w:tab w:val="left" w:pos="454"/>
          <w:tab w:val="left" w:pos="567"/>
        </w:tabs>
        <w:overflowPunct w:val="0"/>
        <w:adjustRightInd w:val="0"/>
        <w:spacing w:line="240" w:lineRule="exact"/>
        <w:ind w:left="567" w:hanging="567"/>
        <w:textAlignment w:val="baseline"/>
        <w:rPr>
          <w:szCs w:val="20"/>
          <w:lang w:val="bg-BG"/>
        </w:rPr>
      </w:pPr>
    </w:p>
    <w:p w:rsidR="004F47BB" w:rsidRPr="009072DA" w:rsidRDefault="004F47BB" w:rsidP="004F47BB">
      <w:pPr>
        <w:tabs>
          <w:tab w:val="left" w:pos="454"/>
          <w:tab w:val="left" w:pos="567"/>
        </w:tabs>
        <w:overflowPunct w:val="0"/>
        <w:adjustRightInd w:val="0"/>
        <w:spacing w:line="240" w:lineRule="exact"/>
        <w:ind w:left="567" w:hanging="567"/>
        <w:textAlignment w:val="baseline"/>
        <w:rPr>
          <w:szCs w:val="20"/>
          <w:lang w:val="bg-BG"/>
        </w:rPr>
      </w:pPr>
      <w:r w:rsidRPr="009072DA">
        <w:rPr>
          <w:lang w:val="bg-BG"/>
        </w:rPr>
        <w:br w:type="page"/>
      </w: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lastRenderedPageBreak/>
        <w:t>4.</w:t>
      </w:r>
      <w:r w:rsidRPr="009072DA">
        <w:rPr>
          <w:lang w:val="bg-BG"/>
        </w:rPr>
        <w:tab/>
      </w:r>
      <w:r w:rsidRPr="009072DA">
        <w:rPr>
          <w:b/>
          <w:color w:val="000000"/>
          <w:lang w:val="bg-BG"/>
        </w:rPr>
        <w:t>Определяне на коригираното разстояние на спиране в сравнение със стандартни условия</w:t>
      </w:r>
    </w:p>
    <w:p w:rsidR="004F47BB" w:rsidRPr="009072DA" w:rsidRDefault="004F47BB" w:rsidP="004F47BB">
      <w:pPr>
        <w:overflowPunct w:val="0"/>
        <w:adjustRightInd w:val="0"/>
        <w:spacing w:line="240" w:lineRule="exact"/>
        <w:ind w:left="567" w:hanging="567"/>
        <w:textAlignment w:val="baseline"/>
        <w:rPr>
          <w:szCs w:val="20"/>
          <w:lang w:val="bg-BG"/>
        </w:rPr>
      </w:pPr>
    </w:p>
    <w:p w:rsidR="004F47BB" w:rsidRPr="009072DA" w:rsidRDefault="004F47BB" w:rsidP="004F47BB">
      <w:pPr>
        <w:tabs>
          <w:tab w:val="left" w:pos="567"/>
        </w:tabs>
        <w:overflowPunct w:val="0"/>
        <w:adjustRightInd w:val="0"/>
        <w:spacing w:line="240" w:lineRule="exact"/>
        <w:ind w:left="992"/>
        <w:textAlignment w:val="baseline"/>
        <w:rPr>
          <w:szCs w:val="20"/>
          <w:lang w:val="bg-BG"/>
        </w:rPr>
      </w:pPr>
      <w:r w:rsidRPr="009072DA">
        <w:rPr>
          <w:lang w:val="bg-BG"/>
        </w:rPr>
        <w:t>-</w:t>
      </w:r>
      <w:r w:rsidRPr="009072DA">
        <w:rPr>
          <w:lang w:val="bg-BG"/>
        </w:rPr>
        <w:tab/>
      </w:r>
      <w:r w:rsidRPr="009072DA">
        <w:rPr>
          <w:b/>
          <w:lang w:val="bg-BG"/>
        </w:rPr>
        <w:t>Измерена стойност</w:t>
      </w:r>
      <w:r w:rsidRPr="009072DA">
        <w:rPr>
          <w:lang w:val="bg-BG"/>
        </w:rPr>
        <w:t>:</w:t>
      </w:r>
    </w:p>
    <w:p w:rsidR="004F47BB" w:rsidRPr="009072DA" w:rsidRDefault="004F47BB" w:rsidP="004F47BB">
      <w:pPr>
        <w:tabs>
          <w:tab w:val="left" w:pos="284"/>
        </w:tabs>
        <w:overflowPunct w:val="0"/>
        <w:adjustRightInd w:val="0"/>
        <w:spacing w:line="240" w:lineRule="exact"/>
        <w:ind w:left="992"/>
        <w:textAlignment w:val="baseline"/>
        <w:rPr>
          <w:szCs w:val="20"/>
          <w:lang w:val="bg-BG"/>
        </w:rPr>
      </w:pPr>
    </w:p>
    <w:p w:rsidR="004F47BB" w:rsidRPr="009072DA" w:rsidRDefault="004F47BB" w:rsidP="004F47BB">
      <w:pPr>
        <w:tabs>
          <w:tab w:val="left" w:pos="454"/>
          <w:tab w:val="left" w:pos="3402"/>
        </w:tabs>
        <w:overflowPunct w:val="0"/>
        <w:adjustRightInd w:val="0"/>
        <w:spacing w:line="240" w:lineRule="exact"/>
        <w:ind w:left="992"/>
        <w:textAlignment w:val="baseline"/>
        <w:rPr>
          <w:szCs w:val="20"/>
          <w:lang w:val="bg-BG"/>
        </w:rPr>
      </w:pPr>
      <m:oMathPara>
        <m:oMath>
          <m:r>
            <w:rPr>
              <w:rFonts w:ascii="Cambria Math" w:hAnsi="Cambria Math"/>
              <w:szCs w:val="20"/>
              <w:lang w:val="bg-BG"/>
            </w:rPr>
            <m:t>s</m:t>
          </m:r>
          <m:r>
            <w:rPr>
              <w:rFonts w:ascii="Cambria Math" w:hAnsi="Cambria Math"/>
              <w:position w:val="-6"/>
              <w:sz w:val="16"/>
              <w:szCs w:val="20"/>
              <w:lang w:val="bg-BG"/>
            </w:rPr>
            <m:t>MESSUNG</m:t>
          </m:r>
          <m:r>
            <w:rPr>
              <w:rFonts w:ascii="Cambria Math" w:hAnsi="Cambria Math"/>
              <w:szCs w:val="20"/>
              <w:lang w:val="bg-BG"/>
            </w:rPr>
            <m:t xml:space="preserve"> = 580 m</m:t>
          </m:r>
        </m:oMath>
      </m:oMathPara>
    </w:p>
    <w:p w:rsidR="004F47BB" w:rsidRPr="009072DA" w:rsidRDefault="004F47BB" w:rsidP="004F47BB">
      <w:pPr>
        <w:tabs>
          <w:tab w:val="left" w:pos="454"/>
        </w:tabs>
        <w:overflowPunct w:val="0"/>
        <w:adjustRightInd w:val="0"/>
        <w:spacing w:line="240" w:lineRule="exact"/>
        <w:ind w:left="992"/>
        <w:textAlignment w:val="baseline"/>
        <w:rPr>
          <w:szCs w:val="20"/>
          <w:lang w:val="bg-BG"/>
        </w:rPr>
      </w:pPr>
    </w:p>
    <w:p w:rsidR="004F47BB" w:rsidRPr="009072DA" w:rsidRDefault="004F47BB" w:rsidP="004F47BB">
      <w:pPr>
        <w:tabs>
          <w:tab w:val="left" w:pos="284"/>
          <w:tab w:val="left" w:pos="567"/>
        </w:tabs>
        <w:overflowPunct w:val="0"/>
        <w:adjustRightInd w:val="0"/>
        <w:spacing w:line="240" w:lineRule="exact"/>
        <w:ind w:left="992"/>
        <w:textAlignment w:val="baseline"/>
        <w:rPr>
          <w:b/>
          <w:szCs w:val="20"/>
          <w:lang w:val="bg-BG"/>
        </w:rPr>
      </w:pPr>
      <w:r w:rsidRPr="009072DA">
        <w:rPr>
          <w:b/>
          <w:lang w:val="bg-BG"/>
        </w:rPr>
        <w:t>-</w:t>
      </w:r>
      <w:r w:rsidRPr="009072DA">
        <w:rPr>
          <w:lang w:val="bg-BG"/>
        </w:rPr>
        <w:tab/>
      </w:r>
      <w:r w:rsidRPr="009072DA">
        <w:rPr>
          <w:b/>
          <w:lang w:val="bg-BG"/>
        </w:rPr>
        <w:t>изчисления, които трябва да бъдат направени:</w:t>
      </w:r>
    </w:p>
    <w:p w:rsidR="004F47BB" w:rsidRPr="009072DA" w:rsidRDefault="004F47BB" w:rsidP="004F47BB">
      <w:pPr>
        <w:tabs>
          <w:tab w:val="left" w:pos="567"/>
        </w:tabs>
        <w:overflowPunct w:val="0"/>
        <w:adjustRightInd w:val="0"/>
        <w:spacing w:line="240" w:lineRule="exact"/>
        <w:ind w:left="992"/>
        <w:textAlignment w:val="baseline"/>
        <w:rPr>
          <w:szCs w:val="20"/>
          <w:lang w:val="bg-BG"/>
        </w:rPr>
      </w:pPr>
    </w:p>
    <w:p w:rsidR="004F47BB" w:rsidRPr="009072DA" w:rsidRDefault="002B712C" w:rsidP="004F47BB">
      <w:pPr>
        <w:tabs>
          <w:tab w:val="left" w:pos="567"/>
          <w:tab w:val="left" w:pos="1276"/>
          <w:tab w:val="left" w:pos="4111"/>
        </w:tabs>
        <w:overflowPunct w:val="0"/>
        <w:adjustRightInd w:val="0"/>
        <w:spacing w:line="240" w:lineRule="atLeast"/>
        <w:ind w:left="3402" w:hanging="2410"/>
        <w:textAlignment w:val="baseline"/>
        <w:rPr>
          <w:szCs w:val="20"/>
          <w:lang w:val="bg-BG"/>
        </w:rPr>
      </w:pPr>
      <m:oMath>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IST</m:t>
            </m:r>
          </m:sub>
        </m:sSub>
      </m:oMath>
      <w:r w:rsidR="007B1046" w:rsidRPr="009072DA">
        <w:rPr>
          <w:lang w:val="bg-BG"/>
        </w:rPr>
        <w:t xml:space="preserve"> като сбор от</w:t>
      </w:r>
    </w:p>
    <w:p w:rsidR="004F47BB" w:rsidRPr="009072DA" w:rsidRDefault="004F47BB" w:rsidP="004F47BB">
      <w:pPr>
        <w:tabs>
          <w:tab w:val="left" w:pos="567"/>
          <w:tab w:val="left" w:pos="1276"/>
          <w:tab w:val="left" w:pos="4111"/>
        </w:tabs>
        <w:overflowPunct w:val="0"/>
        <w:adjustRightInd w:val="0"/>
        <w:spacing w:line="240" w:lineRule="atLeast"/>
        <w:ind w:left="3402" w:hanging="2410"/>
        <w:textAlignment w:val="baseline"/>
        <w:rPr>
          <w:szCs w:val="20"/>
          <w:lang w:val="bg-BG"/>
        </w:rPr>
      </w:pPr>
    </w:p>
    <w:p w:rsidR="004F47BB" w:rsidRPr="009072DA" w:rsidRDefault="002B712C" w:rsidP="004F47BB">
      <w:pPr>
        <w:tabs>
          <w:tab w:val="left" w:pos="567"/>
          <w:tab w:val="left" w:pos="4111"/>
        </w:tabs>
        <w:overflowPunct w:val="0"/>
        <w:adjustRightInd w:val="0"/>
        <w:spacing w:line="240" w:lineRule="atLeast"/>
        <w:ind w:left="3402" w:hanging="2410"/>
        <w:textAlignment w:val="baseline"/>
        <w:rPr>
          <w:szCs w:val="20"/>
          <w:lang w:val="bg-BG"/>
        </w:rPr>
      </w:pP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m:t>
                </m:r>
              </m:sub>
            </m:sSub>
          </m:e>
          <m:sub>
            <m:r>
              <w:rPr>
                <w:rFonts w:ascii="Cambria Math" w:hAnsi="Cambria Math"/>
                <w:lang w:val="bg-BG"/>
              </w:rPr>
              <m:t>IST</m:t>
            </m:r>
          </m:sub>
        </m:sSub>
      </m:oMath>
      <w:r w:rsidR="007B1046" w:rsidRPr="009072DA">
        <w:rPr>
          <w:lang w:val="bg-BG"/>
        </w:rPr>
        <w:t xml:space="preserve"> </w:t>
      </w:r>
      <w:r w:rsidR="007B1046" w:rsidRPr="009072DA">
        <w:rPr>
          <w:lang w:val="bg-BG"/>
        </w:rPr>
        <w:tab/>
        <w:t xml:space="preserve">(съгласно формула (4.1) от приложение 2 с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v</m:t>
                </m:r>
              </m:e>
              <m:sub>
                <m:r>
                  <w:rPr>
                    <w:rFonts w:ascii="Cambria Math" w:hAnsi="Cambria Math"/>
                    <w:lang w:val="bg-BG"/>
                  </w:rPr>
                  <m:t>L</m:t>
                </m:r>
              </m:sub>
            </m:sSub>
          </m:e>
          <m:sub>
            <m:r>
              <w:rPr>
                <w:rFonts w:ascii="Cambria Math" w:hAnsi="Cambria Math"/>
                <w:lang w:val="bg-BG"/>
              </w:rPr>
              <m:t>IST</m:t>
            </m:r>
          </m:sub>
        </m:sSub>
      </m:oMath>
      <w:r w:rsidR="007B1046" w:rsidRPr="009072DA">
        <w:rPr>
          <w:lang w:val="bg-BG"/>
        </w:rPr>
        <w:t>)</w:t>
      </w:r>
    </w:p>
    <w:p w:rsidR="004F47BB" w:rsidRPr="009072DA" w:rsidRDefault="004F47BB" w:rsidP="004F47BB">
      <w:pPr>
        <w:tabs>
          <w:tab w:val="left" w:pos="567"/>
          <w:tab w:val="left" w:pos="1276"/>
          <w:tab w:val="left" w:pos="4111"/>
        </w:tabs>
        <w:overflowPunct w:val="0"/>
        <w:adjustRightInd w:val="0"/>
        <w:spacing w:line="240" w:lineRule="atLeast"/>
        <w:ind w:left="3402" w:hanging="2410"/>
        <w:textAlignment w:val="baseline"/>
        <w:rPr>
          <w:szCs w:val="20"/>
          <w:lang w:val="bg-BG"/>
        </w:rPr>
      </w:pPr>
    </w:p>
    <w:p w:rsidR="004F47BB" w:rsidRPr="009072DA" w:rsidRDefault="004F47BB" w:rsidP="004F47BB">
      <w:pPr>
        <w:tabs>
          <w:tab w:val="left" w:pos="567"/>
          <w:tab w:val="left" w:pos="1276"/>
          <w:tab w:val="left" w:pos="4111"/>
        </w:tabs>
        <w:overflowPunct w:val="0"/>
        <w:adjustRightInd w:val="0"/>
        <w:spacing w:line="240" w:lineRule="atLeast"/>
        <w:ind w:left="3402" w:hanging="2410"/>
        <w:textAlignment w:val="baseline"/>
        <w:rPr>
          <w:szCs w:val="20"/>
          <w:lang w:val="bg-BG"/>
        </w:rPr>
      </w:pPr>
      <w:r w:rsidRPr="009072DA">
        <w:rPr>
          <w:lang w:val="bg-BG"/>
        </w:rPr>
        <w:t xml:space="preserve">и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II</m:t>
                </m:r>
              </m:sub>
            </m:sSub>
          </m:e>
          <m:sub>
            <m:r>
              <w:rPr>
                <w:rFonts w:ascii="Cambria Math" w:hAnsi="Cambria Math"/>
                <w:lang w:val="bg-BG"/>
              </w:rPr>
              <m:t>IST</m:t>
            </m:r>
          </m:sub>
        </m:sSub>
      </m:oMath>
      <w:r w:rsidRPr="009072DA">
        <w:rPr>
          <w:lang w:val="bg-BG"/>
        </w:rPr>
        <w:tab/>
        <w:t xml:space="preserve">(съгласно формули (4.2), (4.3), (4.4), (4.5) и (4.6) от приложение 2 с действителните скорости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v</m:t>
                </m:r>
              </m:e>
              <m:sub>
                <m:r>
                  <w:rPr>
                    <w:rFonts w:ascii="Cambria Math" w:hAnsi="Cambria Math"/>
                    <w:lang w:val="bg-BG"/>
                  </w:rPr>
                  <m:t>L</m:t>
                </m:r>
              </m:sub>
            </m:sSub>
          </m:e>
          <m:sub>
            <m:r>
              <w:rPr>
                <w:rFonts w:ascii="Cambria Math" w:hAnsi="Cambria Math"/>
                <w:lang w:val="bg-BG"/>
              </w:rPr>
              <m:t>IST</m:t>
            </m:r>
          </m:sub>
        </m:sSub>
      </m:oMath>
      <w:r w:rsidRPr="009072DA">
        <w:rPr>
          <w:lang w:val="bg-BG"/>
        </w:rPr>
        <w:t>), (вж. точка 2 по-горе)</w:t>
      </w:r>
      <w:r w:rsidRPr="009072DA">
        <w:rPr>
          <w:i/>
          <w:lang w:val="bg-BG"/>
        </w:rPr>
        <w:t xml:space="preserve"> </w:t>
      </w:r>
      <w:r w:rsidRPr="009072DA">
        <w:rPr>
          <w:lang w:val="bg-BG"/>
        </w:rPr>
        <w:t xml:space="preserve">и </w:t>
      </w:r>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IST</m:t>
            </m:r>
          </m:sub>
        </m:sSub>
      </m:oMath>
      <w:r w:rsidRPr="009072DA">
        <w:rPr>
          <w:lang w:val="bg-BG"/>
        </w:rPr>
        <w:t>).</w:t>
      </w:r>
    </w:p>
    <w:p w:rsidR="004F47BB" w:rsidRPr="009072DA" w:rsidRDefault="004F47BB" w:rsidP="004F47BB">
      <w:pPr>
        <w:tabs>
          <w:tab w:val="left" w:pos="454"/>
        </w:tabs>
        <w:overflowPunct w:val="0"/>
        <w:adjustRightInd w:val="0"/>
        <w:spacing w:line="240" w:lineRule="atLeast"/>
        <w:ind w:left="3402" w:hanging="2410"/>
        <w:textAlignment w:val="baseline"/>
        <w:rPr>
          <w:szCs w:val="20"/>
          <w:lang w:val="bg-BG"/>
        </w:rPr>
      </w:pPr>
    </w:p>
    <w:p w:rsidR="004F47BB" w:rsidRPr="009072DA" w:rsidRDefault="002B712C" w:rsidP="004F47BB">
      <w:pPr>
        <w:tabs>
          <w:tab w:val="left" w:pos="567"/>
          <w:tab w:val="left" w:pos="1560"/>
          <w:tab w:val="left" w:pos="4111"/>
        </w:tabs>
        <w:overflowPunct w:val="0"/>
        <w:adjustRightInd w:val="0"/>
        <w:spacing w:line="240" w:lineRule="atLeast"/>
        <w:ind w:left="3402" w:hanging="2410"/>
        <w:textAlignment w:val="baseline"/>
        <w:rPr>
          <w:szCs w:val="20"/>
          <w:lang w:val="bg-BG"/>
        </w:rPr>
      </w:pPr>
      <m:oMath>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SOLL</m:t>
            </m:r>
          </m:sub>
        </m:sSub>
      </m:oMath>
      <w:r w:rsidR="007B1046" w:rsidRPr="009072DA">
        <w:rPr>
          <w:lang w:val="bg-BG"/>
        </w:rPr>
        <w:t>:</w:t>
      </w:r>
      <w:r w:rsidR="007B1046" w:rsidRPr="009072DA">
        <w:rPr>
          <w:lang w:val="bg-BG"/>
        </w:rPr>
        <w:tab/>
        <w:t xml:space="preserve">сума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m:t>
                </m:r>
              </m:sub>
            </m:sSub>
          </m:e>
          <m:sub>
            <m:r>
              <w:rPr>
                <w:rFonts w:ascii="Cambria Math" w:hAnsi="Cambria Math"/>
                <w:lang w:val="bg-BG"/>
              </w:rPr>
              <m:t>SOLL</m:t>
            </m:r>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s</m:t>
            </m:r>
          </m:e>
          <m:sub>
            <m:sSub>
              <m:sSubPr>
                <m:ctrlPr>
                  <w:rPr>
                    <w:rFonts w:ascii="Cambria Math" w:hAnsi="Cambria Math"/>
                    <w:i/>
                    <w:lang w:val="bg-BG"/>
                  </w:rPr>
                </m:ctrlPr>
              </m:sSubPr>
              <m:e>
                <m:r>
                  <w:rPr>
                    <w:rFonts w:ascii="Cambria Math" w:hAnsi="Cambria Math"/>
                    <w:lang w:val="bg-BG"/>
                  </w:rPr>
                  <m:t>II</m:t>
                </m:r>
              </m:e>
              <m:sub>
                <m:r>
                  <w:rPr>
                    <w:rFonts w:ascii="Cambria Math" w:hAnsi="Cambria Math"/>
                    <w:lang w:val="bg-BG"/>
                  </w:rPr>
                  <m:t>SOLL</m:t>
                </m:r>
              </m:sub>
            </m:sSub>
          </m:sub>
        </m:sSub>
      </m:oMath>
      <w:r w:rsidR="007B1046" w:rsidRPr="009072DA">
        <w:rPr>
          <w:lang w:val="bg-BG"/>
        </w:rPr>
        <w:tab/>
        <w:t>(съгласно формули от (4.1) до (4.6) от приложение 2 с еталонни скорости и в съответствие с приложение 2, защото състоянието на натоварване е &gt; 70 % от максималното,</w:t>
      </w:r>
    </w:p>
    <w:p w:rsidR="004F47BB" w:rsidRPr="009072DA" w:rsidRDefault="004F47BB" w:rsidP="004F47BB">
      <w:pPr>
        <w:tabs>
          <w:tab w:val="left" w:pos="567"/>
          <w:tab w:val="left" w:pos="4111"/>
        </w:tabs>
        <w:overflowPunct w:val="0"/>
        <w:adjustRightInd w:val="0"/>
        <w:spacing w:line="240" w:lineRule="atLeast"/>
        <w:ind w:left="3402" w:hanging="2410"/>
        <w:textAlignment w:val="baseline"/>
        <w:rPr>
          <w:szCs w:val="20"/>
          <w:lang w:val="bg-BG"/>
        </w:rPr>
      </w:pPr>
      <w:r w:rsidRPr="009072DA">
        <w:rPr>
          <w:lang w:val="bg-BG"/>
        </w:rPr>
        <w:tab/>
        <w:t xml:space="preserve">където </w:t>
      </w:r>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SOLL</m:t>
            </m:r>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IST</m:t>
            </m:r>
          </m:sub>
        </m:sSub>
      </m:oMath>
      <w:r w:rsidRPr="009072DA">
        <w:rPr>
          <w:lang w:val="bg-BG"/>
        </w:rPr>
        <w:t xml:space="preserve"> и </w:t>
      </w:r>
      <m:oMath>
        <m:sSub>
          <m:sSubPr>
            <m:ctrlPr>
              <w:rPr>
                <w:rFonts w:ascii="Cambria Math" w:hAnsi="Cambria Math"/>
                <w:i/>
                <w:lang w:val="bg-BG"/>
              </w:rPr>
            </m:ctrlPr>
          </m:sSubPr>
          <m:e>
            <m:r>
              <w:rPr>
                <w:rFonts w:ascii="Cambria Math" w:hAnsi="Cambria Math"/>
                <w:lang w:val="bg-BG"/>
              </w:rPr>
              <m:t>T</m:t>
            </m:r>
          </m:e>
          <m:sub>
            <m:r>
              <w:rPr>
                <w:rFonts w:ascii="Cambria Math" w:hAnsi="Cambria Math"/>
                <w:lang w:val="bg-BG"/>
              </w:rPr>
              <m:t>SOLL</m:t>
            </m:r>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T</m:t>
            </m:r>
          </m:e>
          <m:sub>
            <m:r>
              <w:rPr>
                <w:rFonts w:ascii="Cambria Math" w:hAnsi="Cambria Math"/>
                <w:lang w:val="bg-BG"/>
              </w:rPr>
              <m:t>IST</m:t>
            </m:r>
          </m:sub>
        </m:sSub>
      </m:oMath>
      <w:r w:rsidRPr="009072DA">
        <w:rPr>
          <w:lang w:val="bg-BG"/>
        </w:rPr>
        <w:t>)</w:t>
      </w:r>
    </w:p>
    <w:p w:rsidR="004F47BB" w:rsidRPr="009072DA" w:rsidRDefault="004F47BB" w:rsidP="004F47BB">
      <w:pPr>
        <w:tabs>
          <w:tab w:val="left" w:pos="454"/>
        </w:tabs>
        <w:overflowPunct w:val="0"/>
        <w:adjustRightInd w:val="0"/>
        <w:spacing w:line="240" w:lineRule="atLeast"/>
        <w:ind w:left="454" w:hanging="454"/>
        <w:textAlignment w:val="baseline"/>
        <w:rPr>
          <w:szCs w:val="20"/>
          <w:lang w:val="bg-BG"/>
        </w:rPr>
      </w:pPr>
    </w:p>
    <w:p w:rsidR="004F47BB" w:rsidRPr="009072DA" w:rsidRDefault="004F47BB" w:rsidP="004F47BB">
      <w:pPr>
        <w:tabs>
          <w:tab w:val="left" w:pos="284"/>
        </w:tabs>
        <w:overflowPunct w:val="0"/>
        <w:adjustRightInd w:val="0"/>
        <w:spacing w:line="240" w:lineRule="atLeast"/>
        <w:ind w:left="992"/>
        <w:textAlignment w:val="baseline"/>
        <w:rPr>
          <w:szCs w:val="20"/>
          <w:lang w:val="bg-BG"/>
        </w:rPr>
      </w:pPr>
      <w:r w:rsidRPr="009072DA">
        <w:rPr>
          <w:lang w:val="bg-BG"/>
        </w:rPr>
        <w:t>-</w:t>
      </w:r>
      <w:r w:rsidRPr="009072DA">
        <w:rPr>
          <w:lang w:val="bg-BG"/>
        </w:rPr>
        <w:tab/>
      </w:r>
      <w:r w:rsidRPr="009072DA">
        <w:rPr>
          <w:b/>
          <w:lang w:val="bg-BG"/>
        </w:rPr>
        <w:t>да се провери:</w:t>
      </w:r>
    </w:p>
    <w:p w:rsidR="004F47BB" w:rsidRPr="009072DA" w:rsidRDefault="004F47BB" w:rsidP="004F47BB">
      <w:pPr>
        <w:tabs>
          <w:tab w:val="left" w:pos="454"/>
        </w:tabs>
        <w:overflowPunct w:val="0"/>
        <w:adjustRightInd w:val="0"/>
        <w:spacing w:line="240" w:lineRule="atLeast"/>
        <w:ind w:left="454" w:hanging="454"/>
        <w:textAlignment w:val="baseline"/>
        <w:rPr>
          <w:szCs w:val="20"/>
          <w:lang w:val="bg-BG"/>
        </w:rPr>
      </w:pPr>
    </w:p>
    <w:p w:rsidR="004F47BB" w:rsidRPr="009072DA" w:rsidRDefault="002B712C" w:rsidP="004F47BB">
      <w:pPr>
        <w:tabs>
          <w:tab w:val="left" w:pos="454"/>
        </w:tabs>
        <w:overflowPunct w:val="0"/>
        <w:adjustRightInd w:val="0"/>
        <w:spacing w:line="240" w:lineRule="atLeast"/>
        <w:ind w:left="454" w:hanging="454"/>
        <w:jc w:val="center"/>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NORM</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MESSUNG</m:t>
            </m:r>
          </m:sub>
        </m:sSub>
        <m:r>
          <w:rPr>
            <w:rFonts w:ascii="Cambria Math" w:hAnsi="Cambria Math"/>
            <w:szCs w:val="20"/>
            <w:lang w:val="bg-BG"/>
          </w:rPr>
          <m:t xml:space="preserve"> ∙ </m:t>
        </m:r>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SOLL</m:t>
                </m:r>
              </m:sub>
            </m:sSub>
          </m:num>
          <m:den>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IST</m:t>
                </m:r>
              </m:sub>
            </m:sSub>
          </m:den>
        </m:f>
        <m:r>
          <w:rPr>
            <w:rFonts w:ascii="Cambria Math" w:hAnsi="Cambria Math"/>
            <w:szCs w:val="20"/>
            <w:lang w:val="bg-BG"/>
          </w:rPr>
          <m:t xml:space="preserve"> ≤550 m</m:t>
        </m:r>
      </m:oMath>
      <w:r w:rsidR="007B1046" w:rsidRPr="009072DA">
        <w:rPr>
          <w:lang w:val="bg-BG"/>
        </w:rPr>
        <w:t xml:space="preserve"> в противен случай</w:t>
      </w:r>
    </w:p>
    <w:p w:rsidR="004F47BB" w:rsidRPr="009072DA" w:rsidRDefault="004F47BB" w:rsidP="004F47BB">
      <w:pPr>
        <w:tabs>
          <w:tab w:val="left" w:pos="454"/>
          <w:tab w:val="center" w:pos="3828"/>
        </w:tabs>
        <w:overflowPunct w:val="0"/>
        <w:adjustRightInd w:val="0"/>
        <w:spacing w:line="240" w:lineRule="atLeast"/>
        <w:ind w:left="454" w:hanging="454"/>
        <w:textAlignment w:val="baseline"/>
        <w:rPr>
          <w:szCs w:val="20"/>
          <w:lang w:val="bg-BG"/>
        </w:rPr>
      </w:pPr>
    </w:p>
    <w:p w:rsidR="004F47BB" w:rsidRPr="009072DA" w:rsidRDefault="004F47BB" w:rsidP="004F47BB">
      <w:pPr>
        <w:tabs>
          <w:tab w:val="left" w:pos="284"/>
        </w:tabs>
        <w:overflowPunct w:val="0"/>
        <w:adjustRightInd w:val="0"/>
        <w:spacing w:line="240" w:lineRule="atLeast"/>
        <w:ind w:left="992"/>
        <w:textAlignment w:val="baseline"/>
        <w:rPr>
          <w:b/>
          <w:szCs w:val="20"/>
          <w:lang w:val="bg-BG"/>
        </w:rPr>
      </w:pPr>
      <w:r w:rsidRPr="009072DA">
        <w:rPr>
          <w:b/>
          <w:lang w:val="bg-BG"/>
        </w:rPr>
        <w:t>-</w:t>
      </w:r>
      <w:r w:rsidRPr="009072DA">
        <w:rPr>
          <w:lang w:val="bg-BG"/>
        </w:rPr>
        <w:tab/>
      </w:r>
      <w:r w:rsidRPr="009072DA">
        <w:rPr>
          <w:b/>
          <w:lang w:val="bg-BG"/>
        </w:rPr>
        <w:t>да се изчисли:</w:t>
      </w:r>
    </w:p>
    <w:p w:rsidR="004F47BB" w:rsidRPr="009072DA" w:rsidRDefault="004F47BB" w:rsidP="004F47BB">
      <w:pPr>
        <w:tabs>
          <w:tab w:val="left" w:pos="454"/>
        </w:tabs>
        <w:overflowPunct w:val="0"/>
        <w:adjustRightInd w:val="0"/>
        <w:spacing w:line="240" w:lineRule="atLeast"/>
        <w:ind w:left="454" w:hanging="454"/>
        <w:textAlignment w:val="baseline"/>
        <w:rPr>
          <w:szCs w:val="20"/>
          <w:lang w:val="bg-BG"/>
        </w:rPr>
      </w:pPr>
    </w:p>
    <w:p w:rsidR="004F47BB" w:rsidRPr="009072DA" w:rsidRDefault="002B712C" w:rsidP="004F47BB">
      <w:pPr>
        <w:tabs>
          <w:tab w:val="left" w:pos="454"/>
          <w:tab w:val="left" w:pos="1418"/>
          <w:tab w:val="left" w:pos="1843"/>
        </w:tabs>
        <w:overflowPunct w:val="0"/>
        <w:adjustRightInd w:val="0"/>
        <w:spacing w:line="240" w:lineRule="atLeast"/>
        <w:ind w:left="992"/>
        <w:textAlignment w:val="baseline"/>
        <w:rPr>
          <w:szCs w:val="20"/>
          <w:lang w:val="bg-BG"/>
        </w:rPr>
      </w:pPr>
      <m:oMath>
        <m:sSub>
          <m:sSubPr>
            <m:ctrlPr>
              <w:rPr>
                <w:rFonts w:ascii="Cambria Math" w:hAnsi="Cambria Math"/>
                <w:i/>
                <w:szCs w:val="20"/>
                <w:lang w:val="bg-BG"/>
              </w:rPr>
            </m:ctrlPr>
          </m:sSubPr>
          <m:e>
            <m:sSup>
              <m:sSupPr>
                <m:ctrlPr>
                  <w:rPr>
                    <w:rFonts w:ascii="Cambria Math" w:hAnsi="Cambria Math"/>
                    <w:i/>
                    <w:szCs w:val="20"/>
                    <w:lang w:val="bg-BG"/>
                  </w:rPr>
                </m:ctrlPr>
              </m:sSupPr>
              <m:e>
                <m:r>
                  <w:rPr>
                    <w:rFonts w:ascii="Cambria Math" w:hAnsi="Cambria Math"/>
                    <w:szCs w:val="20"/>
                    <w:lang w:val="bg-BG"/>
                  </w:rPr>
                  <m:t>s</m:t>
                </m:r>
              </m:e>
              <m:sup>
                <m:r>
                  <w:rPr>
                    <w:rFonts w:ascii="Cambria Math" w:hAnsi="Cambria Math"/>
                    <w:szCs w:val="20"/>
                    <w:lang w:val="bg-BG"/>
                  </w:rPr>
                  <m:t>*</m:t>
                </m:r>
              </m:sup>
            </m:sSup>
          </m:e>
          <m:sub>
            <m:r>
              <w:rPr>
                <w:rFonts w:ascii="Cambria Math" w:hAnsi="Cambria Math"/>
                <w:szCs w:val="20"/>
                <w:lang w:val="bg-BG"/>
              </w:rPr>
              <m:t>NORM</m:t>
            </m:r>
          </m:sub>
        </m:sSub>
      </m:oMath>
      <w:r w:rsidR="007B1046" w:rsidRPr="009072DA">
        <w:rPr>
          <w:lang w:val="bg-BG"/>
        </w:rPr>
        <w:tab/>
        <w:t>=</w:t>
      </w:r>
      <w:r w:rsidR="007B1046" w:rsidRPr="009072DA">
        <w:rPr>
          <w:lang w:val="bg-BG"/>
        </w:rPr>
        <w:tab/>
        <w:t xml:space="preserve">550 m, като се намали </w:t>
      </w:r>
      <m:oMath>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IST</m:t>
            </m:r>
          </m:sub>
        </m:sSub>
      </m:oMath>
      <w:r w:rsidR="007B1046" w:rsidRPr="009072DA">
        <w:rPr>
          <w:lang w:val="bg-BG"/>
        </w:rPr>
        <w:t xml:space="preserve"> до </w:t>
      </w:r>
      <m:oMath>
        <m:sSup>
          <m:sSupPr>
            <m:ctrlPr>
              <w:rPr>
                <w:rFonts w:ascii="Cambria Math" w:hAnsi="Cambria Math"/>
                <w:i/>
                <w:szCs w:val="20"/>
                <w:lang w:val="bg-BG"/>
              </w:rPr>
            </m:ctrlPr>
          </m:sSupPr>
          <m:e>
            <m:r>
              <w:rPr>
                <w:rFonts w:ascii="Cambria Math" w:hAnsi="Cambria Math"/>
                <w:szCs w:val="20"/>
                <w:lang w:val="bg-BG"/>
              </w:rPr>
              <m:t>D</m:t>
            </m:r>
          </m:e>
          <m:sup>
            <m:r>
              <w:rPr>
                <w:rFonts w:ascii="Cambria Math" w:hAnsi="Cambria Math"/>
                <w:szCs w:val="20"/>
                <w:lang w:val="bg-BG"/>
              </w:rPr>
              <m:t>*</m:t>
            </m:r>
          </m:sup>
        </m:sSup>
      </m:oMath>
      <w:r w:rsidR="007B1046" w:rsidRPr="009072DA">
        <w:rPr>
          <w:lang w:val="bg-BG"/>
        </w:rPr>
        <w:t>.</w:t>
      </w:r>
    </w:p>
    <w:p w:rsidR="004F47BB" w:rsidRPr="009072DA" w:rsidRDefault="004F47BB" w:rsidP="004F47BB">
      <w:pPr>
        <w:tabs>
          <w:tab w:val="left" w:pos="454"/>
        </w:tabs>
        <w:overflowPunct w:val="0"/>
        <w:adjustRightInd w:val="0"/>
        <w:spacing w:line="240" w:lineRule="atLeast"/>
        <w:ind w:left="454" w:hanging="454"/>
        <w:textAlignment w:val="baseline"/>
        <w:rPr>
          <w:szCs w:val="20"/>
          <w:lang w:val="bg-BG"/>
        </w:rPr>
      </w:pPr>
    </w:p>
    <w:p w:rsidR="004F47BB" w:rsidRPr="009072DA" w:rsidRDefault="004F47BB" w:rsidP="004F47BB">
      <w:pPr>
        <w:tabs>
          <w:tab w:val="left" w:pos="454"/>
        </w:tabs>
        <w:overflowPunct w:val="0"/>
        <w:adjustRightInd w:val="0"/>
        <w:spacing w:line="240" w:lineRule="atLeast"/>
        <w:ind w:left="454" w:hanging="454"/>
        <w:textAlignment w:val="baseline"/>
        <w:rPr>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lastRenderedPageBreak/>
        <w:t>4.1</w:t>
      </w:r>
      <w:r w:rsidRPr="009072DA">
        <w:rPr>
          <w:lang w:val="bg-BG"/>
        </w:rPr>
        <w:tab/>
      </w:r>
      <w:r w:rsidRPr="009072DA">
        <w:rPr>
          <w:b/>
          <w:color w:val="000000"/>
          <w:lang w:val="bg-BG"/>
        </w:rPr>
        <w:t>Коефициенти за изчислението съгласно приложение 2</w:t>
      </w:r>
    </w:p>
    <w:p w:rsidR="004F47BB" w:rsidRPr="009072DA" w:rsidRDefault="004F47BB" w:rsidP="004F47BB">
      <w:pPr>
        <w:tabs>
          <w:tab w:val="left" w:pos="284"/>
          <w:tab w:val="left" w:pos="567"/>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567"/>
        </w:tabs>
        <w:overflowPunct w:val="0"/>
        <w:adjustRightInd w:val="0"/>
        <w:spacing w:line="240" w:lineRule="atLeast"/>
        <w:ind w:left="567"/>
        <w:textAlignment w:val="baseline"/>
        <w:rPr>
          <w:szCs w:val="20"/>
          <w:lang w:val="bg-BG"/>
        </w:rPr>
      </w:pPr>
      <w:r w:rsidRPr="009072DA">
        <w:rPr>
          <w:lang w:val="bg-BG"/>
        </w:rPr>
        <w:t>Таблица 1</w:t>
      </w:r>
    </w:p>
    <w:p w:rsidR="004F47BB" w:rsidRPr="009072DA" w:rsidRDefault="004F47BB" w:rsidP="004F47BB">
      <w:pPr>
        <w:tabs>
          <w:tab w:val="left" w:pos="0"/>
          <w:tab w:val="left" w:pos="28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567"/>
          <w:tab w:val="left" w:pos="2694"/>
          <w:tab w:val="left" w:pos="3119"/>
          <w:tab w:val="left" w:pos="3544"/>
        </w:tabs>
        <w:overflowPunct w:val="0"/>
        <w:adjustRightInd w:val="0"/>
        <w:spacing w:line="240" w:lineRule="atLeast"/>
        <w:ind w:left="567"/>
        <w:textAlignment w:val="baseline"/>
        <w:rPr>
          <w:szCs w:val="20"/>
          <w:lang w:val="bg-BG"/>
        </w:rPr>
      </w:pPr>
      <w:r w:rsidRPr="009072DA">
        <w:rPr>
          <w:lang w:val="bg-BG"/>
        </w:rPr>
        <w:t xml:space="preserve">за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m:t>
                </m:r>
              </m:sub>
            </m:sSub>
          </m:e>
          <m:sub>
            <m:r>
              <w:rPr>
                <w:rFonts w:ascii="Cambria Math" w:hAnsi="Cambria Math"/>
                <w:lang w:val="bg-BG"/>
              </w:rPr>
              <m:t>IST</m:t>
            </m:r>
          </m:sub>
        </m:sSub>
      </m:oMath>
      <w:r w:rsidRPr="009072DA">
        <w:rPr>
          <w:lang w:val="bg-BG"/>
        </w:rPr>
        <w:t xml:space="preserve"> и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m:t>
                </m:r>
              </m:sub>
            </m:sSub>
          </m:e>
          <m:sub>
            <m:r>
              <w:rPr>
                <w:rFonts w:ascii="Cambria Math" w:hAnsi="Cambria Math"/>
                <w:lang w:val="bg-BG"/>
              </w:rPr>
              <m:t>SOLL</m:t>
            </m:r>
          </m:sub>
        </m:sSub>
      </m:oMath>
      <w:r w:rsidRPr="009072DA">
        <w:rPr>
          <w:lang w:val="bg-BG"/>
        </w:rPr>
        <w:t xml:space="preserve"> </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1</m:t>
            </m:r>
          </m:sub>
        </m:sSub>
      </m:oMath>
      <w:r w:rsidRPr="009072DA">
        <w:rPr>
          <w:lang w:val="bg-BG"/>
        </w:rPr>
        <w:tab/>
        <w:t>=</w:t>
      </w:r>
      <w:r w:rsidRPr="009072DA">
        <w:rPr>
          <w:lang w:val="bg-BG"/>
        </w:rPr>
        <w:tab/>
        <w:t>0,95</w:t>
      </w:r>
    </w:p>
    <w:p w:rsidR="004F47BB" w:rsidRPr="009072DA" w:rsidRDefault="004F47BB" w:rsidP="004F47BB">
      <w:pPr>
        <w:tabs>
          <w:tab w:val="left" w:pos="567"/>
        </w:tabs>
        <w:overflowPunct w:val="0"/>
        <w:adjustRightInd w:val="0"/>
        <w:spacing w:line="240" w:lineRule="atLeast"/>
        <w:ind w:left="567"/>
        <w:textAlignment w:val="baseline"/>
        <w:rPr>
          <w:szCs w:val="20"/>
          <w:lang w:val="bg-BG"/>
        </w:rPr>
      </w:pPr>
    </w:p>
    <w:p w:rsidR="004F47BB" w:rsidRPr="009072DA" w:rsidRDefault="004F47BB" w:rsidP="004F47BB">
      <w:pPr>
        <w:tabs>
          <w:tab w:val="left" w:pos="567"/>
        </w:tabs>
        <w:overflowPunct w:val="0"/>
        <w:adjustRightInd w:val="0"/>
        <w:spacing w:line="240" w:lineRule="atLeast"/>
        <w:ind w:left="567"/>
        <w:textAlignment w:val="baseline"/>
        <w:rPr>
          <w:szCs w:val="20"/>
          <w:lang w:val="bg-BG"/>
        </w:rPr>
      </w:pPr>
      <w:r w:rsidRPr="009072DA">
        <w:rPr>
          <w:lang w:val="bg-BG"/>
        </w:rPr>
        <w:t xml:space="preserve">за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II</m:t>
                </m:r>
              </m:sub>
            </m:sSub>
          </m:e>
          <m:sub>
            <m:r>
              <w:rPr>
                <w:rFonts w:ascii="Cambria Math" w:hAnsi="Cambria Math"/>
                <w:lang w:val="bg-BG"/>
              </w:rPr>
              <m:t>IST</m:t>
            </m:r>
          </m:sub>
        </m:sSub>
      </m:oMath>
      <w:r w:rsidRPr="009072DA">
        <w:rPr>
          <w:lang w:val="bg-BG"/>
        </w:rPr>
        <w:t xml:space="preserve"> и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II</m:t>
                </m:r>
              </m:sub>
            </m:sSub>
          </m:e>
          <m:sub>
            <m:r>
              <w:rPr>
                <w:rFonts w:ascii="Cambria Math" w:hAnsi="Cambria Math"/>
                <w:lang w:val="bg-BG"/>
              </w:rPr>
              <m:t>SOLL</m:t>
            </m:r>
          </m:sub>
        </m:sSub>
      </m:oMath>
    </w:p>
    <w:p w:rsidR="004F47BB" w:rsidRPr="009072DA" w:rsidRDefault="002B712C" w:rsidP="004F47BB">
      <w:pPr>
        <w:tabs>
          <w:tab w:val="left" w:pos="2694"/>
          <w:tab w:val="left" w:pos="3119"/>
          <w:tab w:val="left" w:pos="3544"/>
        </w:tabs>
        <w:overflowPunct w:val="0"/>
        <w:adjustRightInd w:val="0"/>
        <w:spacing w:line="240" w:lineRule="atLeast"/>
        <w:ind w:left="2694"/>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2</m:t>
            </m:r>
          </m:sub>
        </m:sSub>
      </m:oMath>
      <w:r w:rsidR="007B1046" w:rsidRPr="009072DA">
        <w:rPr>
          <w:lang w:val="bg-BG"/>
        </w:rPr>
        <w:tab/>
        <w:t>=</w:t>
      </w:r>
      <w:r w:rsidR="007B1046" w:rsidRPr="009072DA">
        <w:rPr>
          <w:lang w:val="bg-BG"/>
        </w:rPr>
        <w:tab/>
        <w:t>0,12</w:t>
      </w:r>
    </w:p>
    <w:p w:rsidR="004F47BB" w:rsidRPr="009072DA" w:rsidRDefault="002B712C" w:rsidP="004F47BB">
      <w:pPr>
        <w:tabs>
          <w:tab w:val="left" w:pos="2694"/>
          <w:tab w:val="left" w:pos="3119"/>
          <w:tab w:val="left" w:pos="3544"/>
        </w:tabs>
        <w:overflowPunct w:val="0"/>
        <w:adjustRightInd w:val="0"/>
        <w:spacing w:line="240" w:lineRule="atLeast"/>
        <w:ind w:left="2694"/>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3</m:t>
            </m:r>
          </m:sub>
        </m:sSub>
      </m:oMath>
      <w:r w:rsidR="007B1046" w:rsidRPr="009072DA">
        <w:rPr>
          <w:lang w:val="bg-BG"/>
        </w:rPr>
        <w:tab/>
        <w:t>=</w:t>
      </w:r>
      <w:r w:rsidR="007B1046" w:rsidRPr="009072DA">
        <w:rPr>
          <w:lang w:val="bg-BG"/>
        </w:rPr>
        <w:tab/>
        <w:t>1,15</w:t>
      </w:r>
    </w:p>
    <w:p w:rsidR="004F47BB" w:rsidRPr="009072DA" w:rsidRDefault="002B712C" w:rsidP="004F47BB">
      <w:pPr>
        <w:tabs>
          <w:tab w:val="left" w:pos="2694"/>
          <w:tab w:val="left" w:pos="3119"/>
          <w:tab w:val="left" w:pos="3544"/>
        </w:tabs>
        <w:overflowPunct w:val="0"/>
        <w:adjustRightInd w:val="0"/>
        <w:spacing w:line="240" w:lineRule="atLeast"/>
        <w:ind w:left="2694"/>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4</m:t>
            </m:r>
          </m:sub>
        </m:sSub>
      </m:oMath>
      <w:r w:rsidR="007B1046" w:rsidRPr="009072DA">
        <w:rPr>
          <w:lang w:val="bg-BG"/>
        </w:rPr>
        <w:tab/>
        <w:t>=</w:t>
      </w:r>
      <w:r w:rsidR="007B1046" w:rsidRPr="009072DA">
        <w:rPr>
          <w:lang w:val="bg-BG"/>
        </w:rPr>
        <w:tab/>
        <w:t>0,48</w:t>
      </w:r>
    </w:p>
    <w:p w:rsidR="004F47BB" w:rsidRPr="009072DA" w:rsidRDefault="002B712C" w:rsidP="004F47BB">
      <w:pPr>
        <w:tabs>
          <w:tab w:val="left" w:pos="2694"/>
          <w:tab w:val="left" w:pos="3119"/>
          <w:tab w:val="left" w:pos="3544"/>
        </w:tabs>
        <w:overflowPunct w:val="0"/>
        <w:adjustRightInd w:val="0"/>
        <w:spacing w:line="240" w:lineRule="atLeast"/>
        <w:ind w:left="2694"/>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6</m:t>
            </m:r>
          </m:sub>
        </m:sSub>
      </m:oMath>
      <w:r w:rsidR="007B1046" w:rsidRPr="009072DA">
        <w:rPr>
          <w:lang w:val="bg-BG"/>
        </w:rPr>
        <w:tab/>
        <w:t>=</w:t>
      </w:r>
      <w:r w:rsidR="007B1046" w:rsidRPr="009072DA">
        <w:rPr>
          <w:lang w:val="bg-BG"/>
        </w:rPr>
        <w:tab/>
        <w:t>0,85</w:t>
      </w:r>
    </w:p>
    <w:p w:rsidR="004F47BB" w:rsidRPr="009072DA" w:rsidRDefault="002B712C" w:rsidP="004F47BB">
      <w:pPr>
        <w:tabs>
          <w:tab w:val="left" w:pos="2694"/>
          <w:tab w:val="left" w:pos="3119"/>
          <w:tab w:val="left" w:pos="3544"/>
        </w:tabs>
        <w:overflowPunct w:val="0"/>
        <w:adjustRightInd w:val="0"/>
        <w:spacing w:line="240" w:lineRule="atLeast"/>
        <w:ind w:left="2694"/>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7</m:t>
            </m:r>
          </m:sub>
        </m:sSub>
      </m:oMath>
      <w:r w:rsidR="007B1046" w:rsidRPr="009072DA">
        <w:rPr>
          <w:lang w:val="bg-BG"/>
        </w:rPr>
        <w:tab/>
        <w:t>=</w:t>
      </w:r>
      <w:r w:rsidR="007B1046" w:rsidRPr="009072DA">
        <w:rPr>
          <w:lang w:val="bg-BG"/>
        </w:rPr>
        <w:tab/>
        <w:t>0,55</w:t>
      </w: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567"/>
        </w:tabs>
        <w:overflowPunct w:val="0"/>
        <w:adjustRightInd w:val="0"/>
        <w:spacing w:line="240" w:lineRule="atLeast"/>
        <w:ind w:left="567"/>
        <w:textAlignment w:val="baseline"/>
        <w:rPr>
          <w:szCs w:val="20"/>
          <w:lang w:val="bg-BG"/>
        </w:rPr>
      </w:pPr>
      <w:r w:rsidRPr="009072DA">
        <w:rPr>
          <w:lang w:val="bg-BG"/>
        </w:rPr>
        <w:t>Таблица 2 (за съвременни дюзи със заоблен заден ръб)</w:t>
      </w:r>
    </w:p>
    <w:p w:rsidR="004F47BB" w:rsidRPr="009072DA" w:rsidRDefault="004F47BB" w:rsidP="004F47BB">
      <w:pPr>
        <w:tabs>
          <w:tab w:val="left" w:pos="567"/>
        </w:tabs>
        <w:overflowPunct w:val="0"/>
        <w:adjustRightInd w:val="0"/>
        <w:spacing w:line="240" w:lineRule="atLeast"/>
        <w:ind w:left="567"/>
        <w:textAlignment w:val="baseline"/>
        <w:rPr>
          <w:szCs w:val="20"/>
          <w:lang w:val="bg-BG"/>
        </w:rPr>
      </w:pPr>
    </w:p>
    <w:p w:rsidR="004F47BB" w:rsidRPr="009072DA" w:rsidRDefault="004F47BB" w:rsidP="004F47BB">
      <w:pPr>
        <w:tabs>
          <w:tab w:val="left" w:pos="567"/>
        </w:tabs>
        <w:overflowPunct w:val="0"/>
        <w:adjustRightInd w:val="0"/>
        <w:spacing w:line="240" w:lineRule="atLeast"/>
        <w:ind w:left="567"/>
        <w:textAlignment w:val="baseline"/>
        <w:rPr>
          <w:szCs w:val="20"/>
          <w:lang w:val="bg-BG"/>
        </w:rPr>
      </w:pPr>
      <m:oMath>
        <m:r>
          <w:rPr>
            <w:rFonts w:ascii="Cambria Math" w:hAnsi="Cambria Math"/>
            <w:szCs w:val="20"/>
            <w:lang w:val="bg-BG"/>
          </w:rPr>
          <m:t>f</m:t>
        </m:r>
      </m:oMath>
      <w:r w:rsidRPr="009072DA">
        <w:rPr>
          <w:lang w:val="bg-BG"/>
        </w:rPr>
        <w:t xml:space="preserve"> = 0,118</w:t>
      </w: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r w:rsidRPr="009072DA">
        <w:rPr>
          <w:lang w:val="bg-BG"/>
        </w:rPr>
        <w:br w:type="page"/>
      </w: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lastRenderedPageBreak/>
        <w:t>4.2</w:t>
      </w:r>
      <w:r w:rsidRPr="009072DA">
        <w:rPr>
          <w:lang w:val="bg-BG"/>
        </w:rPr>
        <w:tab/>
      </w:r>
      <w:r w:rsidRPr="009072DA">
        <w:rPr>
          <w:b/>
          <w:color w:val="000000"/>
          <w:lang w:val="bg-BG"/>
        </w:rPr>
        <w:t xml:space="preserve">Изчисляване на </w:t>
      </w:r>
      <m:oMath>
        <m:sSub>
          <m:sSubPr>
            <m:ctrlPr>
              <w:rPr>
                <w:rFonts w:ascii="Cambria Math" w:hAnsi="Cambria Math" w:cs="Arial"/>
                <w:b/>
                <w:i/>
                <w:color w:val="000000"/>
                <w:szCs w:val="20"/>
                <w:lang w:val="bg-BG"/>
              </w:rPr>
            </m:ctrlPr>
          </m:sSubPr>
          <m:e>
            <m:r>
              <m:rPr>
                <m:sty m:val="bi"/>
              </m:rPr>
              <w:rPr>
                <w:rFonts w:ascii="Cambria Math" w:hAnsi="Cambria Math" w:cs="Arial"/>
                <w:color w:val="000000"/>
                <w:szCs w:val="20"/>
                <w:lang w:val="bg-BG"/>
              </w:rPr>
              <m:t>s</m:t>
            </m:r>
          </m:e>
          <m:sub>
            <m:r>
              <m:rPr>
                <m:sty m:val="bi"/>
              </m:rPr>
              <w:rPr>
                <w:rFonts w:ascii="Cambria Math" w:hAnsi="Cambria Math" w:cs="Arial"/>
                <w:color w:val="000000"/>
                <w:szCs w:val="20"/>
                <w:lang w:val="bg-BG"/>
              </w:rPr>
              <m:t>IST</m:t>
            </m:r>
          </m:sub>
        </m:sSub>
      </m:oMath>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r w:rsidRPr="009072DA">
        <w:rPr>
          <w:lang w:val="bg-BG"/>
        </w:rPr>
        <w:t>a)</w:t>
      </w:r>
      <w:r w:rsidRPr="009072DA">
        <w:rPr>
          <w:lang w:val="bg-BG"/>
        </w:rPr>
        <w:tab/>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II</m:t>
                </m:r>
              </m:sub>
            </m:sSub>
          </m:e>
          <m:sub>
            <m:r>
              <w:rPr>
                <w:rFonts w:ascii="Cambria Math" w:hAnsi="Cambria Math"/>
                <w:lang w:val="bg-BG"/>
              </w:rPr>
              <m:t>IST</m:t>
            </m:r>
          </m:sub>
        </m:sSub>
      </m:oMath>
      <w:r w:rsidRPr="009072DA">
        <w:rPr>
          <w:lang w:val="bg-BG"/>
        </w:rPr>
        <w:t xml:space="preserve"> Като се използват стойностите, измерени по време на маневрите за спиране</w:t>
      </w:r>
    </w:p>
    <w:p w:rsidR="004F47BB" w:rsidRPr="009072DA" w:rsidRDefault="004F47BB" w:rsidP="004F47BB">
      <w:pPr>
        <w:tabs>
          <w:tab w:val="left" w:pos="284"/>
          <w:tab w:val="left" w:pos="851"/>
          <w:tab w:val="left" w:pos="1134"/>
          <w:tab w:val="left" w:pos="3261"/>
        </w:tabs>
        <w:overflowPunct w:val="0"/>
        <w:adjustRightInd w:val="0"/>
        <w:spacing w:line="240" w:lineRule="exact"/>
        <w:ind w:left="284" w:hanging="284"/>
        <w:textAlignment w:val="baseline"/>
        <w:rPr>
          <w:szCs w:val="20"/>
          <w:lang w:val="bg-BG"/>
        </w:rPr>
      </w:pPr>
    </w:p>
    <w:p w:rsidR="004F47BB" w:rsidRPr="009072DA" w:rsidRDefault="002B712C" w:rsidP="004F47BB">
      <w:pPr>
        <w:overflowPunct w:val="0"/>
        <w:adjustRightInd w:val="0"/>
        <w:spacing w:line="240" w:lineRule="atLeast"/>
        <w:ind w:left="993"/>
        <w:textAlignment w:val="baseline"/>
        <w:rPr>
          <w:lang w:val="bg-BG"/>
        </w:rPr>
      </w:pPr>
      <m:oMathPara>
        <m:oMathParaPr>
          <m:jc m:val="left"/>
        </m:oMathParaP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m:t>
                  </m:r>
                </m:sub>
              </m:sSub>
            </m:e>
            <m:sub>
              <m:r>
                <w:rPr>
                  <w:rFonts w:ascii="Cambria Math" w:hAnsi="Cambria Math"/>
                  <w:lang w:val="bg-BG"/>
                </w:rPr>
                <m:t>IST</m:t>
              </m:r>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k</m:t>
              </m:r>
            </m:e>
            <m:sub>
              <m:r>
                <w:rPr>
                  <w:rFonts w:ascii="Cambria Math" w:hAnsi="Cambria Math"/>
                  <w:lang w:val="bg-BG"/>
                </w:rPr>
                <m:t>1</m:t>
              </m:r>
            </m:sub>
          </m:sSub>
          <m:r>
            <w:rPr>
              <w:rFonts w:ascii="Cambria Math" w:hAnsi="Cambria Math"/>
              <w:lang w:val="bg-BG"/>
            </w:rPr>
            <m:t xml:space="preserve"> ∙ </m:t>
          </m:r>
          <m:sSub>
            <m:sSubPr>
              <m:ctrlPr>
                <w:rPr>
                  <w:rFonts w:ascii="Cambria Math" w:hAnsi="Cambria Math"/>
                  <w:i/>
                  <w:lang w:val="bg-BG"/>
                </w:rPr>
              </m:ctrlPr>
            </m:sSubPr>
            <m:e>
              <m:r>
                <w:rPr>
                  <w:rFonts w:ascii="Cambria Math" w:hAnsi="Cambria Math"/>
                  <w:lang w:val="bg-BG"/>
                </w:rPr>
                <m:t>v</m:t>
              </m:r>
            </m:e>
            <m:sub>
              <m:sSub>
                <m:sSubPr>
                  <m:ctrlPr>
                    <w:rPr>
                      <w:rFonts w:ascii="Cambria Math" w:hAnsi="Cambria Math"/>
                      <w:i/>
                      <w:lang w:val="bg-BG"/>
                    </w:rPr>
                  </m:ctrlPr>
                </m:sSubPr>
                <m:e>
                  <m:r>
                    <w:rPr>
                      <w:rFonts w:ascii="Cambria Math" w:hAnsi="Cambria Math"/>
                      <w:lang w:val="bg-BG"/>
                    </w:rPr>
                    <m:t>L</m:t>
                  </m:r>
                </m:e>
                <m:sub>
                  <m:r>
                    <w:rPr>
                      <w:rFonts w:ascii="Cambria Math" w:hAnsi="Cambria Math"/>
                      <w:lang w:val="bg-BG"/>
                    </w:rPr>
                    <m:t>IST</m:t>
                  </m:r>
                </m:sub>
              </m:sSub>
              <m:r>
                <w:rPr>
                  <w:rFonts w:ascii="Cambria Math" w:hAnsi="Cambria Math"/>
                  <w:lang w:val="bg-BG"/>
                </w:rPr>
                <m:t xml:space="preserve"> </m:t>
              </m:r>
            </m:sub>
          </m:sSub>
          <m:r>
            <w:rPr>
              <w:rFonts w:ascii="Cambria Math" w:hAnsi="Cambria Math"/>
              <w:lang w:val="bg-BG"/>
            </w:rPr>
            <m:t xml:space="preserve"> ∙ </m:t>
          </m:r>
          <m:sSub>
            <m:sSubPr>
              <m:ctrlPr>
                <w:rPr>
                  <w:rFonts w:ascii="Cambria Math" w:hAnsi="Cambria Math"/>
                  <w:i/>
                  <w:lang w:val="bg-BG"/>
                </w:rPr>
              </m:ctrlPr>
            </m:sSubPr>
            <m:e>
              <m:r>
                <w:rPr>
                  <w:rFonts w:ascii="Cambria Math" w:hAnsi="Cambria Math"/>
                  <w:lang w:val="bg-BG"/>
                </w:rPr>
                <m:t>t</m:t>
              </m:r>
            </m:e>
            <m:sub>
              <m:sSub>
                <m:sSubPr>
                  <m:ctrlPr>
                    <w:rPr>
                      <w:rFonts w:ascii="Cambria Math" w:hAnsi="Cambria Math"/>
                      <w:i/>
                      <w:lang w:val="bg-BG"/>
                    </w:rPr>
                  </m:ctrlPr>
                </m:sSubPr>
                <m:e>
                  <m:r>
                    <w:rPr>
                      <w:rFonts w:ascii="Cambria Math" w:hAnsi="Cambria Math"/>
                      <w:lang w:val="bg-BG"/>
                    </w:rPr>
                    <m:t>I</m:t>
                  </m:r>
                </m:e>
                <m:sub>
                  <m:r>
                    <w:rPr>
                      <w:rFonts w:ascii="Cambria Math" w:hAnsi="Cambria Math"/>
                      <w:lang w:val="bg-BG"/>
                    </w:rPr>
                    <m:t>IST</m:t>
                  </m:r>
                </m:sub>
              </m:sSub>
            </m:sub>
          </m:sSub>
        </m:oMath>
      </m:oMathPara>
    </w:p>
    <w:p w:rsidR="004F47BB" w:rsidRPr="009072DA" w:rsidRDefault="002B712C" w:rsidP="004F47BB">
      <w:pPr>
        <w:tabs>
          <w:tab w:val="left" w:pos="992"/>
          <w:tab w:val="left" w:pos="1560"/>
          <w:tab w:val="left" w:pos="1985"/>
        </w:tabs>
        <w:overflowPunct w:val="0"/>
        <w:adjustRightInd w:val="0"/>
        <w:spacing w:before="60" w:line="240" w:lineRule="atLeast"/>
        <w:ind w:left="992" w:firstLine="1"/>
        <w:textAlignment w:val="baseline"/>
        <w:rPr>
          <w:szCs w:val="20"/>
          <w:lang w:val="bg-BG"/>
        </w:rPr>
      </w:pPr>
      <m:oMathPara>
        <m:oMathParaPr>
          <m:jc m:val="left"/>
        </m:oMathParaP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m:t>
                  </m:r>
                </m:sub>
              </m:sSub>
            </m:e>
            <m:sub>
              <m:r>
                <w:rPr>
                  <w:rFonts w:ascii="Cambria Math" w:hAnsi="Cambria Math"/>
                  <w:lang w:val="bg-BG"/>
                </w:rPr>
                <m:t>IST</m:t>
              </m:r>
            </m:sub>
          </m:sSub>
          <m:r>
            <w:rPr>
              <w:rFonts w:ascii="Cambria Math" w:hAnsi="Cambria Math"/>
              <w:lang w:val="bg-BG"/>
            </w:rPr>
            <m:t>=0,95 ∙4,8 ∙16=73 m</m:t>
          </m:r>
        </m:oMath>
      </m:oMathPara>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r w:rsidRPr="009072DA">
        <w:rPr>
          <w:lang w:val="bg-BG"/>
        </w:rPr>
        <w:t>б)</w:t>
      </w:r>
      <w:r w:rsidRPr="009072DA">
        <w:rPr>
          <w:lang w:val="bg-BG"/>
        </w:rPr>
        <w:tab/>
        <w:t xml:space="preserve">формула за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II</m:t>
                </m:r>
              </m:sub>
            </m:sSub>
          </m:e>
          <m:sub>
            <m:r>
              <w:rPr>
                <w:rFonts w:ascii="Cambria Math" w:hAnsi="Cambria Math"/>
                <w:lang w:val="bg-BG"/>
              </w:rPr>
              <m:t>IST</m:t>
            </m:r>
          </m:sub>
        </m:sSub>
      </m:oMath>
    </w:p>
    <w:p w:rsidR="004F47BB" w:rsidRPr="009072DA" w:rsidRDefault="002B712C" w:rsidP="004F47BB">
      <w:pPr>
        <w:tabs>
          <w:tab w:val="left" w:pos="992"/>
          <w:tab w:val="left" w:pos="1560"/>
          <w:tab w:val="left" w:pos="1985"/>
        </w:tabs>
        <w:overflowPunct w:val="0"/>
        <w:adjustRightInd w:val="0"/>
        <w:spacing w:before="60" w:line="240" w:lineRule="atLeast"/>
        <w:ind w:left="992" w:firstLine="1"/>
        <w:textAlignment w:val="baseline"/>
        <w:rPr>
          <w:szCs w:val="20"/>
          <w:lang w:val="bg-BG"/>
        </w:rPr>
      </w:pPr>
      <m:oMathPara>
        <m:oMathParaPr>
          <m:jc m:val="left"/>
        </m:oMathParaP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II</m:t>
                  </m:r>
                </m:sub>
              </m:sSub>
            </m:e>
            <m:sub>
              <m:r>
                <w:rPr>
                  <w:rFonts w:ascii="Cambria Math" w:hAnsi="Cambria Math"/>
                  <w:lang w:val="bg-BG"/>
                </w:rPr>
                <m:t>IST</m:t>
              </m:r>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k</m:t>
              </m:r>
            </m:e>
            <m:sub>
              <m:r>
                <w:rPr>
                  <w:rFonts w:ascii="Cambria Math" w:hAnsi="Cambria Math"/>
                  <w:lang w:val="bg-BG"/>
                </w:rPr>
                <m:t>2</m:t>
              </m:r>
            </m:sub>
          </m:sSub>
          <m:r>
            <w:rPr>
              <w:rFonts w:ascii="Cambria Math" w:hAnsi="Cambria Math"/>
              <w:lang w:val="bg-BG"/>
            </w:rPr>
            <m:t xml:space="preserve"> ∙ </m:t>
          </m:r>
          <m:sSub>
            <m:sSubPr>
              <m:ctrlPr>
                <w:rPr>
                  <w:rFonts w:ascii="Cambria Math" w:hAnsi="Cambria Math"/>
                  <w:i/>
                  <w:lang w:val="bg-BG"/>
                </w:rPr>
              </m:ctrlPr>
            </m:sSubPr>
            <m:e>
              <m:sSup>
                <m:sSupPr>
                  <m:ctrlPr>
                    <w:rPr>
                      <w:rFonts w:ascii="Cambria Math" w:hAnsi="Cambria Math"/>
                      <w:i/>
                      <w:lang w:val="bg-BG"/>
                    </w:rPr>
                  </m:ctrlPr>
                </m:sSupPr>
                <m:e>
                  <m:r>
                    <w:rPr>
                      <w:rFonts w:ascii="Cambria Math" w:hAnsi="Cambria Math"/>
                      <w:lang w:val="bg-BG"/>
                    </w:rPr>
                    <m:t>v</m:t>
                  </m:r>
                </m:e>
                <m:sup>
                  <m:r>
                    <w:rPr>
                      <w:rFonts w:ascii="Cambria Math" w:hAnsi="Cambria Math"/>
                      <w:lang w:val="bg-BG"/>
                    </w:rPr>
                    <m:t>2</m:t>
                  </m:r>
                </m:sup>
              </m:sSup>
            </m:e>
            <m:sub>
              <m:sSub>
                <m:sSubPr>
                  <m:ctrlPr>
                    <w:rPr>
                      <w:rFonts w:ascii="Cambria Math" w:hAnsi="Cambria Math"/>
                      <w:i/>
                      <w:lang w:val="bg-BG"/>
                    </w:rPr>
                  </m:ctrlPr>
                </m:sSubPr>
                <m:e>
                  <m:r>
                    <w:rPr>
                      <w:rFonts w:ascii="Cambria Math" w:hAnsi="Cambria Math"/>
                      <w:lang w:val="bg-BG"/>
                    </w:rPr>
                    <m:t>II</m:t>
                  </m:r>
                </m:e>
                <m:sub>
                  <m:r>
                    <w:rPr>
                      <w:rFonts w:ascii="Cambria Math" w:hAnsi="Cambria Math"/>
                      <w:lang w:val="bg-BG"/>
                    </w:rPr>
                    <m:t>IST</m:t>
                  </m:r>
                </m:sub>
              </m:sSub>
              <m:r>
                <w:rPr>
                  <w:rFonts w:ascii="Cambria Math" w:hAnsi="Cambria Math"/>
                  <w:lang w:val="bg-BG"/>
                </w:rPr>
                <m:t xml:space="preserve"> </m:t>
              </m:r>
            </m:sub>
          </m:sSub>
          <m:r>
            <w:rPr>
              <w:rFonts w:ascii="Cambria Math" w:hAnsi="Cambria Math"/>
              <w:lang w:val="bg-BG"/>
            </w:rPr>
            <m:t xml:space="preserve"> ∙  </m:t>
          </m:r>
          <m:f>
            <m:fPr>
              <m:ctrlPr>
                <w:rPr>
                  <w:rFonts w:ascii="Cambria Math" w:hAnsi="Cambria Math"/>
                  <w:i/>
                  <w:lang w:val="bg-BG"/>
                </w:rPr>
              </m:ctrlPr>
            </m:fPr>
            <m:num>
              <m:sSub>
                <m:sSubPr>
                  <m:ctrlPr>
                    <w:rPr>
                      <w:rFonts w:ascii="Cambria Math" w:hAnsi="Cambria Math"/>
                      <w:i/>
                      <w:lang w:val="bg-BG"/>
                    </w:rPr>
                  </m:ctrlPr>
                </m:sSubPr>
                <m:e>
                  <m:r>
                    <w:rPr>
                      <w:rFonts w:ascii="Cambria Math" w:hAnsi="Cambria Math"/>
                      <w:lang w:val="bg-BG"/>
                    </w:rPr>
                    <m:t>D</m:t>
                  </m:r>
                </m:e>
                <m:sub>
                  <m:r>
                    <w:rPr>
                      <w:rFonts w:ascii="Cambria Math" w:hAnsi="Cambria Math"/>
                      <w:lang w:val="bg-BG"/>
                    </w:rPr>
                    <m:t>IST</m:t>
                  </m:r>
                </m:sub>
              </m:sSub>
              <m:r>
                <w:rPr>
                  <w:rFonts w:ascii="Cambria Math" w:hAnsi="Cambria Math"/>
                  <w:lang w:val="bg-BG"/>
                </w:rPr>
                <m:t xml:space="preserve"> ∙g</m:t>
              </m:r>
            </m:num>
            <m:den>
              <m:sSub>
                <m:sSubPr>
                  <m:ctrlPr>
                    <w:rPr>
                      <w:rFonts w:ascii="Cambria Math" w:hAnsi="Cambria Math"/>
                      <w:i/>
                      <w:lang w:val="bg-BG"/>
                    </w:rPr>
                  </m:ctrlPr>
                </m:sSubPr>
                <m:e>
                  <m:r>
                    <w:rPr>
                      <w:rFonts w:ascii="Cambria Math" w:hAnsi="Cambria Math"/>
                      <w:lang w:val="bg-BG"/>
                    </w:rPr>
                    <m:t>k</m:t>
                  </m:r>
                </m:e>
                <m:sub>
                  <m:r>
                    <w:rPr>
                      <w:rFonts w:ascii="Cambria Math" w:hAnsi="Cambria Math"/>
                      <w:lang w:val="bg-BG"/>
                    </w:rPr>
                    <m:t>3</m:t>
                  </m:r>
                </m:sub>
              </m:sSub>
              <m:r>
                <w:rPr>
                  <w:rFonts w:ascii="Cambria Math" w:hAnsi="Cambria Math"/>
                  <w:lang w:val="bg-BG"/>
                </w:rPr>
                <m:t xml:space="preserve"> ∙ </m:t>
              </m:r>
              <m:sSub>
                <m:sSubPr>
                  <m:ctrlPr>
                    <w:rPr>
                      <w:rFonts w:ascii="Cambria Math" w:hAnsi="Cambria Math"/>
                      <w:i/>
                      <w:lang w:val="bg-BG"/>
                    </w:rPr>
                  </m:ctrlPr>
                </m:sSubPr>
                <m:e>
                  <m:r>
                    <w:rPr>
                      <w:rFonts w:ascii="Cambria Math" w:hAnsi="Cambria Math"/>
                      <w:lang w:val="bg-BG"/>
                    </w:rPr>
                    <m:t>F</m:t>
                  </m:r>
                </m:e>
                <m:sub>
                  <m:r>
                    <w:rPr>
                      <w:rFonts w:ascii="Cambria Math" w:hAnsi="Cambria Math"/>
                      <w:lang w:val="bg-BG"/>
                    </w:rPr>
                    <m:t>POR</m:t>
                  </m:r>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R</m:t>
                  </m:r>
                </m:e>
                <m:sub>
                  <m:sSub>
                    <m:sSubPr>
                      <m:ctrlPr>
                        <w:rPr>
                          <w:rFonts w:ascii="Cambria Math" w:hAnsi="Cambria Math"/>
                          <w:i/>
                          <w:lang w:val="bg-BG"/>
                        </w:rPr>
                      </m:ctrlPr>
                    </m:sSubPr>
                    <m:e>
                      <m:r>
                        <w:rPr>
                          <w:rFonts w:ascii="Cambria Math" w:hAnsi="Cambria Math"/>
                          <w:lang w:val="bg-BG"/>
                        </w:rPr>
                        <m:t>TmII</m:t>
                      </m:r>
                    </m:e>
                    <m:sub>
                      <m:r>
                        <w:rPr>
                          <w:rFonts w:ascii="Cambria Math" w:hAnsi="Cambria Math"/>
                          <w:lang w:val="bg-BG"/>
                        </w:rPr>
                        <m:t>IST</m:t>
                      </m:r>
                    </m:sub>
                  </m:sSub>
                </m:sub>
              </m:sSub>
              <m:r>
                <w:rPr>
                  <w:rFonts w:ascii="Cambria Math" w:hAnsi="Cambria Math"/>
                  <w:lang w:val="bg-BG"/>
                </w:rPr>
                <m:t xml:space="preserve"> - </m:t>
              </m:r>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G</m:t>
                  </m:r>
                </m:sub>
              </m:sSub>
            </m:den>
          </m:f>
          <m:r>
            <w:rPr>
              <w:rFonts w:ascii="Cambria Math" w:hAnsi="Cambria Math"/>
              <w:lang w:val="bg-BG"/>
            </w:rPr>
            <m:t xml:space="preserve"> ∙  </m:t>
          </m:r>
          <m:d>
            <m:dPr>
              <m:ctrlPr>
                <w:rPr>
                  <w:rFonts w:ascii="Cambria Math" w:hAnsi="Cambria Math"/>
                  <w:i/>
                  <w:lang w:val="bg-BG"/>
                </w:rPr>
              </m:ctrlPr>
            </m:dPr>
            <m:e>
              <m:sSub>
                <m:sSubPr>
                  <m:ctrlPr>
                    <w:rPr>
                      <w:rFonts w:ascii="Cambria Math" w:hAnsi="Cambria Math"/>
                      <w:i/>
                      <w:lang w:val="bg-BG"/>
                    </w:rPr>
                  </m:ctrlPr>
                </m:sSubPr>
                <m:e>
                  <m:r>
                    <w:rPr>
                      <w:rFonts w:ascii="Cambria Math" w:hAnsi="Cambria Math"/>
                      <w:lang w:val="bg-BG"/>
                    </w:rPr>
                    <m:t>k</m:t>
                  </m:r>
                </m:e>
                <m:sub>
                  <m:r>
                    <w:rPr>
                      <w:rFonts w:ascii="Cambria Math" w:hAnsi="Cambria Math"/>
                      <w:lang w:val="bg-BG"/>
                    </w:rPr>
                    <m:t>4</m:t>
                  </m:r>
                </m:sub>
              </m:sSub>
              <m:r>
                <w:rPr>
                  <w:rFonts w:ascii="Cambria Math" w:hAnsi="Cambria Math"/>
                  <w:lang w:val="bg-BG"/>
                </w:rPr>
                <m:t xml:space="preserve"> + </m:t>
              </m:r>
              <m:f>
                <m:fPr>
                  <m:ctrlPr>
                    <w:rPr>
                      <w:rFonts w:ascii="Cambria Math" w:hAnsi="Cambria Math"/>
                      <w:i/>
                      <w:lang w:val="bg-BG"/>
                    </w:rPr>
                  </m:ctrlPr>
                </m:fPr>
                <m:num>
                  <m:sSub>
                    <m:sSubPr>
                      <m:ctrlPr>
                        <w:rPr>
                          <w:rFonts w:ascii="Cambria Math" w:hAnsi="Cambria Math"/>
                          <w:i/>
                          <w:lang w:val="bg-BG"/>
                        </w:rPr>
                      </m:ctrlPr>
                    </m:sSubPr>
                    <m:e>
                      <m:r>
                        <w:rPr>
                          <w:rFonts w:ascii="Cambria Math" w:hAnsi="Cambria Math"/>
                          <w:lang w:val="bg-BG"/>
                        </w:rPr>
                        <m:t>v</m:t>
                      </m:r>
                    </m:e>
                    <m:sub>
                      <m:sSub>
                        <m:sSubPr>
                          <m:ctrlPr>
                            <w:rPr>
                              <w:rFonts w:ascii="Cambria Math" w:hAnsi="Cambria Math"/>
                              <w:i/>
                              <w:lang w:val="bg-BG"/>
                            </w:rPr>
                          </m:ctrlPr>
                        </m:sSubPr>
                        <m:e>
                          <m:r>
                            <w:rPr>
                              <w:rFonts w:ascii="Cambria Math" w:hAnsi="Cambria Math"/>
                              <w:lang w:val="bg-BG"/>
                            </w:rPr>
                            <m:t>STR</m:t>
                          </m:r>
                        </m:e>
                        <m:sub>
                          <m:r>
                            <w:rPr>
                              <w:rFonts w:ascii="Cambria Math" w:hAnsi="Cambria Math"/>
                              <w:lang w:val="bg-BG"/>
                            </w:rPr>
                            <m:t>IST</m:t>
                          </m:r>
                        </m:sub>
                      </m:sSub>
                    </m:sub>
                  </m:sSub>
                </m:num>
                <m:den>
                  <m:sSub>
                    <m:sSubPr>
                      <m:ctrlPr>
                        <w:rPr>
                          <w:rFonts w:ascii="Cambria Math" w:hAnsi="Cambria Math"/>
                          <w:i/>
                          <w:lang w:val="bg-BG"/>
                        </w:rPr>
                      </m:ctrlPr>
                    </m:sSubPr>
                    <m:e>
                      <m:r>
                        <w:rPr>
                          <w:rFonts w:ascii="Cambria Math" w:hAnsi="Cambria Math"/>
                          <w:lang w:val="bg-BG"/>
                        </w:rPr>
                        <m:t>v</m:t>
                      </m:r>
                    </m:e>
                    <m:sub>
                      <m:sSub>
                        <m:sSubPr>
                          <m:ctrlPr>
                            <w:rPr>
                              <w:rFonts w:ascii="Cambria Math" w:hAnsi="Cambria Math"/>
                              <w:i/>
                              <w:lang w:val="bg-BG"/>
                            </w:rPr>
                          </m:ctrlPr>
                        </m:sSubPr>
                        <m:e>
                          <m:r>
                            <w:rPr>
                              <w:rFonts w:ascii="Cambria Math" w:hAnsi="Cambria Math"/>
                              <w:lang w:val="bg-BG"/>
                            </w:rPr>
                            <m:t>II</m:t>
                          </m:r>
                        </m:e>
                        <m:sub>
                          <m:r>
                            <w:rPr>
                              <w:rFonts w:ascii="Cambria Math" w:hAnsi="Cambria Math"/>
                              <w:lang w:val="bg-BG"/>
                            </w:rPr>
                            <m:t>IST</m:t>
                          </m:r>
                        </m:sub>
                      </m:sSub>
                    </m:sub>
                  </m:sSub>
                </m:den>
              </m:f>
            </m:e>
          </m:d>
        </m:oMath>
      </m:oMathPara>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r w:rsidRPr="009072DA">
        <w:rPr>
          <w:lang w:val="bg-BG"/>
        </w:rPr>
        <w:t>в)</w:t>
      </w:r>
      <w:r w:rsidRPr="009072DA">
        <w:rPr>
          <w:lang w:val="bg-BG"/>
        </w:rPr>
        <w:tab/>
        <w:t xml:space="preserve">Изчисляване на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TmII</m:t>
                </m:r>
              </m:sub>
            </m:sSub>
          </m:e>
          <m:sub>
            <m:r>
              <w:rPr>
                <w:rFonts w:ascii="Cambria Math" w:hAnsi="Cambria Math"/>
                <w:lang w:val="bg-BG"/>
              </w:rPr>
              <m:t>IST</m:t>
            </m:r>
          </m:sub>
        </m:sSub>
      </m:oMath>
      <w:r w:rsidRPr="009072DA">
        <w:rPr>
          <w:lang w:val="bg-BG"/>
        </w:rPr>
        <w:t xml:space="preserve"> съгласно таблица 3 и формула (4.3) от приложение 2</w:t>
      </w:r>
    </w:p>
    <w:p w:rsidR="004F47BB" w:rsidRPr="009072DA" w:rsidRDefault="002B712C" w:rsidP="004F47BB">
      <w:pPr>
        <w:tabs>
          <w:tab w:val="left" w:pos="992"/>
        </w:tabs>
        <w:overflowPunct w:val="0"/>
        <w:adjustRightInd w:val="0"/>
        <w:spacing w:before="120" w:line="240" w:lineRule="atLeast"/>
        <w:ind w:left="992" w:firstLine="1"/>
        <w:textAlignment w:val="baseline"/>
        <w:rPr>
          <w:szCs w:val="20"/>
          <w:lang w:val="bg-BG"/>
        </w:rPr>
      </w:pPr>
      <m:oMathPara>
        <m:oMathParaPr>
          <m:jc m:val="left"/>
        </m:oMathParaPr>
        <m:oMath>
          <m:sSup>
            <m:sSupPr>
              <m:ctrlPr>
                <w:rPr>
                  <w:rFonts w:ascii="Cambria Math" w:hAnsi="Cambria Math"/>
                  <w:i/>
                  <w:szCs w:val="20"/>
                  <w:lang w:val="bg-BG"/>
                </w:rPr>
              </m:ctrlPr>
            </m:sSupPr>
            <m:e>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IST</m:t>
                  </m:r>
                </m:sub>
              </m:sSub>
            </m:e>
            <m:sup>
              <m:r>
                <w:rPr>
                  <w:rFonts w:ascii="Cambria Math" w:hAnsi="Cambria Math"/>
                  <w:szCs w:val="20"/>
                  <w:lang w:val="bg-BG"/>
                </w:rPr>
                <m:t>1/3</m:t>
              </m:r>
            </m:sup>
          </m:sSup>
          <m:r>
            <w:rPr>
              <w:rFonts w:ascii="Cambria Math" w:hAnsi="Cambria Math"/>
              <w:szCs w:val="20"/>
              <w:lang w:val="bg-BG"/>
            </w:rPr>
            <m:t xml:space="preserve">= </m:t>
          </m:r>
          <m:sSup>
            <m:sSupPr>
              <m:ctrlPr>
                <w:rPr>
                  <w:rFonts w:ascii="Cambria Math" w:hAnsi="Cambria Math"/>
                  <w:i/>
                  <w:szCs w:val="20"/>
                  <w:lang w:val="bg-BG"/>
                </w:rPr>
              </m:ctrlPr>
            </m:sSupPr>
            <m:e>
              <m:r>
                <w:rPr>
                  <w:rFonts w:ascii="Cambria Math" w:hAnsi="Cambria Math"/>
                  <w:szCs w:val="20"/>
                  <w:lang w:val="bg-BG"/>
                </w:rPr>
                <m:t>9568</m:t>
              </m:r>
            </m:e>
            <m:sup>
              <m:r>
                <w:rPr>
                  <w:rFonts w:ascii="Cambria Math" w:hAnsi="Cambria Math"/>
                  <w:szCs w:val="20"/>
                  <w:lang w:val="bg-BG"/>
                </w:rPr>
                <m:t>1/3</m:t>
              </m:r>
            </m:sup>
          </m:sSup>
          <m:r>
            <w:rPr>
              <w:rFonts w:ascii="Cambria Math" w:hAnsi="Cambria Math"/>
              <w:szCs w:val="20"/>
              <w:lang w:val="bg-BG"/>
            </w:rPr>
            <m:t xml:space="preserve">=21,2 </m:t>
          </m:r>
          <m:d>
            <m:dPr>
              <m:begChr m:val="["/>
              <m:endChr m:val="]"/>
              <m:ctrlPr>
                <w:rPr>
                  <w:rFonts w:ascii="Cambria Math" w:hAnsi="Cambria Math"/>
                  <w:i/>
                  <w:szCs w:val="20"/>
                  <w:lang w:val="bg-BG"/>
                </w:rPr>
              </m:ctrlPr>
            </m:dPr>
            <m:e>
              <m:r>
                <w:rPr>
                  <w:rFonts w:ascii="Cambria Math" w:hAnsi="Cambria Math"/>
                  <w:szCs w:val="20"/>
                  <w:lang w:val="bg-BG"/>
                </w:rPr>
                <m:t>m</m:t>
              </m:r>
            </m:e>
          </m:d>
        </m:oMath>
      </m:oMathPara>
    </w:p>
    <w:p w:rsidR="004F47BB" w:rsidRPr="009072DA" w:rsidRDefault="002B712C" w:rsidP="004F47BB">
      <w:pPr>
        <w:tabs>
          <w:tab w:val="left" w:pos="992"/>
        </w:tabs>
        <w:overflowPunct w:val="0"/>
        <w:adjustRightInd w:val="0"/>
        <w:spacing w:before="120" w:line="240" w:lineRule="atLeast"/>
        <w:ind w:left="992" w:firstLine="1"/>
        <w:textAlignment w:val="baseline"/>
        <w:rPr>
          <w:szCs w:val="20"/>
          <w:lang w:val="bg-BG"/>
        </w:rPr>
      </w:pPr>
      <m:oMathPara>
        <m:oMathParaPr>
          <m:jc m:val="left"/>
        </m:oMathParaPr>
        <m:oMath>
          <m:sSup>
            <m:sSupPr>
              <m:ctrlPr>
                <w:rPr>
                  <w:rFonts w:ascii="Cambria Math" w:hAnsi="Cambria Math"/>
                  <w:i/>
                  <w:szCs w:val="20"/>
                  <w:lang w:val="bg-BG"/>
                </w:rPr>
              </m:ctrlPr>
            </m:sSupPr>
            <m:e>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IST</m:t>
                  </m:r>
                </m:sub>
              </m:sSub>
            </m:e>
            <m:sup>
              <m:r>
                <w:rPr>
                  <w:rFonts w:ascii="Cambria Math" w:hAnsi="Cambria Math"/>
                  <w:szCs w:val="20"/>
                  <w:lang w:val="bg-BG"/>
                </w:rPr>
                <m:t>1/3</m:t>
              </m:r>
            </m:sup>
          </m:sSup>
          <m:r>
            <w:rPr>
              <w:rFonts w:ascii="Cambria Math" w:hAnsi="Cambria Math"/>
              <w:szCs w:val="20"/>
              <w:lang w:val="bg-BG"/>
            </w:rPr>
            <m:t xml:space="preserve">∙ </m:t>
          </m:r>
          <m:d>
            <m:dPr>
              <m:ctrlPr>
                <w:rPr>
                  <w:rFonts w:ascii="Cambria Math" w:hAnsi="Cambria Math"/>
                  <w:i/>
                  <w:szCs w:val="20"/>
                  <w:lang w:val="bg-BG"/>
                </w:rPr>
              </m:ctrlPr>
            </m:dPr>
            <m:e>
              <m:r>
                <w:rPr>
                  <w:rFonts w:ascii="Cambria Math" w:hAnsi="Cambria Math"/>
                  <w:szCs w:val="20"/>
                  <w:lang w:val="bg-BG"/>
                </w:rPr>
                <m:t xml:space="preserve">B+2 ∙ </m:t>
              </m:r>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IST</m:t>
                  </m:r>
                </m:sub>
              </m:sSub>
            </m:e>
          </m:d>
          <m:r>
            <w:rPr>
              <w:rFonts w:ascii="Cambria Math" w:hAnsi="Cambria Math"/>
              <w:szCs w:val="20"/>
              <w:lang w:val="bg-BG"/>
            </w:rPr>
            <m:t xml:space="preserve">=21,2 ∙ </m:t>
          </m:r>
          <m:d>
            <m:dPr>
              <m:ctrlPr>
                <w:rPr>
                  <w:rFonts w:ascii="Cambria Math" w:hAnsi="Cambria Math"/>
                  <w:i/>
                  <w:szCs w:val="20"/>
                  <w:lang w:val="bg-BG"/>
                </w:rPr>
              </m:ctrlPr>
            </m:dPr>
            <m:e>
              <m:r>
                <w:rPr>
                  <w:rFonts w:ascii="Cambria Math" w:hAnsi="Cambria Math"/>
                  <w:szCs w:val="20"/>
                  <w:lang w:val="bg-BG"/>
                </w:rPr>
                <m:t>22,8+5,92</m:t>
              </m:r>
            </m:e>
          </m:d>
          <m:r>
            <w:rPr>
              <w:rFonts w:ascii="Cambria Math" w:hAnsi="Cambria Math"/>
              <w:szCs w:val="20"/>
              <w:lang w:val="bg-BG"/>
            </w:rPr>
            <m:t xml:space="preserve">=609 </m:t>
          </m:r>
          <m:d>
            <m:dPr>
              <m:begChr m:val="["/>
              <m:endChr m:val="]"/>
              <m:ctrlPr>
                <w:rPr>
                  <w:rFonts w:ascii="Cambria Math" w:hAnsi="Cambria Math"/>
                  <w:i/>
                  <w:szCs w:val="20"/>
                  <w:lang w:val="bg-BG"/>
                </w:rPr>
              </m:ctrlPr>
            </m:dPr>
            <m:e>
              <m:sSup>
                <m:sSupPr>
                  <m:ctrlPr>
                    <w:rPr>
                      <w:rFonts w:ascii="Cambria Math" w:hAnsi="Cambria Math"/>
                      <w:i/>
                      <w:szCs w:val="20"/>
                      <w:lang w:val="bg-BG"/>
                    </w:rPr>
                  </m:ctrlPr>
                </m:sSupPr>
                <m:e>
                  <m:r>
                    <w:rPr>
                      <w:rFonts w:ascii="Cambria Math" w:hAnsi="Cambria Math"/>
                      <w:szCs w:val="20"/>
                      <w:lang w:val="bg-BG"/>
                    </w:rPr>
                    <m:t>m</m:t>
                  </m:r>
                </m:e>
                <m:sup>
                  <m:r>
                    <w:rPr>
                      <w:rFonts w:ascii="Cambria Math" w:hAnsi="Cambria Math"/>
                      <w:szCs w:val="20"/>
                      <w:lang w:val="bg-BG"/>
                    </w:rPr>
                    <m:t>2</m:t>
                  </m:r>
                </m:sup>
              </m:sSup>
            </m:e>
          </m:d>
        </m:oMath>
      </m:oMathPara>
    </w:p>
    <w:p w:rsidR="004F47BB" w:rsidRPr="009072DA" w:rsidRDefault="004F47BB" w:rsidP="004F47BB">
      <w:pPr>
        <w:tabs>
          <w:tab w:val="left" w:pos="992"/>
          <w:tab w:val="center" w:pos="2552"/>
          <w:tab w:val="left" w:pos="3119"/>
          <w:tab w:val="left" w:pos="3544"/>
          <w:tab w:val="center" w:pos="4536"/>
        </w:tabs>
        <w:overflowPunct w:val="0"/>
        <w:adjustRightInd w:val="0"/>
        <w:spacing w:line="240" w:lineRule="atLeast"/>
        <w:ind w:left="992" w:firstLine="1"/>
        <w:textAlignment w:val="baseline"/>
        <w:rPr>
          <w:szCs w:val="20"/>
          <w:lang w:val="bg-BG"/>
        </w:rPr>
      </w:pPr>
    </w:p>
    <w:p w:rsidR="004F47BB" w:rsidRPr="009072DA" w:rsidRDefault="004F47BB" w:rsidP="004F47BB">
      <w:pPr>
        <w:tabs>
          <w:tab w:val="left" w:pos="992"/>
          <w:tab w:val="left" w:pos="2410"/>
        </w:tabs>
        <w:overflowPunct w:val="0"/>
        <w:adjustRightInd w:val="0"/>
        <w:spacing w:line="240" w:lineRule="atLeast"/>
        <w:ind w:left="992"/>
        <w:textAlignment w:val="baseline"/>
        <w:rPr>
          <w:szCs w:val="20"/>
          <w:lang w:val="bg-BG"/>
        </w:rPr>
      </w:pPr>
      <w:r w:rsidRPr="009072DA">
        <w:rPr>
          <w:lang w:val="bg-BG"/>
        </w:rPr>
        <w:t>от таблица 3</w:t>
      </w:r>
      <w:r w:rsidRPr="009072DA">
        <w:rPr>
          <w:lang w:val="bg-BG"/>
        </w:rPr>
        <w:tab/>
      </w:r>
      <m:oMath>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T</m:t>
                </m:r>
              </m:sub>
            </m:sSub>
          </m:num>
          <m:den>
            <m:sSup>
              <m:sSupPr>
                <m:ctrlPr>
                  <w:rPr>
                    <w:rFonts w:ascii="Cambria Math" w:hAnsi="Cambria Math"/>
                    <w:i/>
                    <w:szCs w:val="20"/>
                    <w:lang w:val="bg-BG"/>
                  </w:rPr>
                </m:ctrlPr>
              </m:sSupPr>
              <m:e>
                <m:r>
                  <w:rPr>
                    <w:rFonts w:ascii="Cambria Math" w:hAnsi="Cambria Math"/>
                    <w:szCs w:val="20"/>
                    <w:lang w:val="bg-BG"/>
                  </w:rPr>
                  <m:t>v</m:t>
                </m:r>
              </m:e>
              <m:sup>
                <m:r>
                  <w:rPr>
                    <w:rFonts w:ascii="Cambria Math" w:hAnsi="Cambria Math"/>
                    <w:szCs w:val="20"/>
                    <w:lang w:val="bg-BG"/>
                  </w:rPr>
                  <m:t>2</m:t>
                </m:r>
              </m:sup>
            </m:sSup>
          </m:den>
        </m:f>
        <m:r>
          <w:rPr>
            <w:rFonts w:ascii="Cambria Math" w:hAnsi="Cambria Math"/>
            <w:szCs w:val="20"/>
            <w:lang w:val="bg-BG"/>
          </w:rPr>
          <m:t xml:space="preserve">=14 </m:t>
        </m:r>
        <m:d>
          <m:dPr>
            <m:ctrlPr>
              <w:rPr>
                <w:rFonts w:ascii="Cambria Math" w:hAnsi="Cambria Math"/>
                <w:i/>
                <w:szCs w:val="20"/>
                <w:lang w:val="bg-BG"/>
              </w:rPr>
            </m:ctrlPr>
          </m:dPr>
          <m:e>
            <m:f>
              <m:fPr>
                <m:ctrlPr>
                  <w:rPr>
                    <w:rFonts w:ascii="Cambria Math" w:hAnsi="Cambria Math"/>
                    <w:i/>
                    <w:szCs w:val="20"/>
                    <w:lang w:val="bg-BG"/>
                  </w:rPr>
                </m:ctrlPr>
              </m:fPr>
              <m:num>
                <m:r>
                  <w:rPr>
                    <w:rFonts w:ascii="Cambria Math" w:hAnsi="Cambria Math"/>
                    <w:szCs w:val="20"/>
                    <w:lang w:val="bg-BG"/>
                  </w:rPr>
                  <m:t xml:space="preserve">kN ∙ </m:t>
                </m:r>
                <m:sSup>
                  <m:sSupPr>
                    <m:ctrlPr>
                      <w:rPr>
                        <w:rFonts w:ascii="Cambria Math" w:hAnsi="Cambria Math"/>
                        <w:i/>
                        <w:szCs w:val="20"/>
                        <w:lang w:val="bg-BG"/>
                      </w:rPr>
                    </m:ctrlPr>
                  </m:sSupPr>
                  <m:e>
                    <m:r>
                      <w:rPr>
                        <w:rFonts w:ascii="Cambria Math" w:hAnsi="Cambria Math"/>
                        <w:szCs w:val="20"/>
                        <w:lang w:val="bg-BG"/>
                      </w:rPr>
                      <m:t>s</m:t>
                    </m:r>
                  </m:e>
                  <m:sup>
                    <m:r>
                      <w:rPr>
                        <w:rFonts w:ascii="Cambria Math" w:hAnsi="Cambria Math"/>
                        <w:szCs w:val="20"/>
                        <w:lang w:val="bg-BG"/>
                      </w:rPr>
                      <m:t>2</m:t>
                    </m:r>
                  </m:sup>
                </m:sSup>
              </m:num>
              <m:den>
                <m:sSup>
                  <m:sSupPr>
                    <m:ctrlPr>
                      <w:rPr>
                        <w:rFonts w:ascii="Cambria Math" w:hAnsi="Cambria Math"/>
                        <w:i/>
                        <w:szCs w:val="20"/>
                        <w:lang w:val="bg-BG"/>
                      </w:rPr>
                    </m:ctrlPr>
                  </m:sSupPr>
                  <m:e>
                    <m:r>
                      <w:rPr>
                        <w:rFonts w:ascii="Cambria Math" w:hAnsi="Cambria Math"/>
                        <w:szCs w:val="20"/>
                        <w:lang w:val="bg-BG"/>
                      </w:rPr>
                      <m:t>m</m:t>
                    </m:r>
                  </m:e>
                  <m:sup>
                    <m:r>
                      <w:rPr>
                        <w:rFonts w:ascii="Cambria Math" w:hAnsi="Cambria Math"/>
                        <w:szCs w:val="20"/>
                        <w:lang w:val="bg-BG"/>
                      </w:rPr>
                      <m:t>2</m:t>
                    </m:r>
                  </m:sup>
                </m:sSup>
              </m:den>
            </m:f>
          </m:e>
        </m:d>
      </m:oMath>
    </w:p>
    <w:p w:rsidR="004F47BB" w:rsidRPr="009072DA" w:rsidRDefault="004F47BB" w:rsidP="004F47BB">
      <w:pPr>
        <w:tabs>
          <w:tab w:val="left" w:pos="992"/>
          <w:tab w:val="center" w:pos="2552"/>
          <w:tab w:val="left" w:pos="3119"/>
          <w:tab w:val="left" w:pos="3544"/>
          <w:tab w:val="center" w:pos="4536"/>
        </w:tabs>
        <w:overflowPunct w:val="0"/>
        <w:adjustRightInd w:val="0"/>
        <w:spacing w:line="240" w:lineRule="atLeast"/>
        <w:ind w:left="992"/>
        <w:textAlignment w:val="baseline"/>
        <w:rPr>
          <w:szCs w:val="20"/>
          <w:lang w:val="bg-BG"/>
        </w:rPr>
      </w:pPr>
    </w:p>
    <w:p w:rsidR="004F47BB" w:rsidRPr="009072DA" w:rsidRDefault="002B712C" w:rsidP="004F47BB">
      <w:pPr>
        <w:tabs>
          <w:tab w:val="left" w:pos="992"/>
        </w:tabs>
        <w:overflowPunct w:val="0"/>
        <w:adjustRightInd w:val="0"/>
        <w:spacing w:line="240" w:lineRule="atLeast"/>
        <w:ind w:left="992" w:firstLine="1"/>
        <w:textAlignment w:val="baseline"/>
        <w:rPr>
          <w:lang w:val="bg-BG"/>
        </w:rPr>
      </w:pPr>
      <m:oMathPara>
        <m:oMathParaPr>
          <m:jc m:val="left"/>
        </m:oMathParaP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v</m:t>
                  </m:r>
                </m:e>
                <m:sub>
                  <m:r>
                    <w:rPr>
                      <w:rFonts w:ascii="Cambria Math" w:hAnsi="Cambria Math"/>
                      <w:lang w:val="bg-BG"/>
                    </w:rPr>
                    <m:t>L</m:t>
                  </m:r>
                </m:sub>
              </m:sSub>
            </m:e>
            <m:sub>
              <m:r>
                <w:rPr>
                  <w:rFonts w:ascii="Cambria Math" w:hAnsi="Cambria Math"/>
                  <w:lang w:val="bg-BG"/>
                </w:rPr>
                <m:t>IST</m:t>
              </m:r>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v</m:t>
              </m:r>
            </m:e>
            <m:sub>
              <m:sSub>
                <m:sSubPr>
                  <m:ctrlPr>
                    <w:rPr>
                      <w:rFonts w:ascii="Cambria Math" w:hAnsi="Cambria Math"/>
                      <w:i/>
                      <w:lang w:val="bg-BG"/>
                    </w:rPr>
                  </m:ctrlPr>
                </m:sSubPr>
                <m:e>
                  <m:r>
                    <w:rPr>
                      <w:rFonts w:ascii="Cambria Math" w:hAnsi="Cambria Math"/>
                      <w:lang w:val="bg-BG"/>
                    </w:rPr>
                    <m:t>STR</m:t>
                  </m:r>
                </m:e>
                <m:sub>
                  <m:r>
                    <w:rPr>
                      <w:rFonts w:ascii="Cambria Math" w:hAnsi="Cambria Math"/>
                      <w:lang w:val="bg-BG"/>
                    </w:rPr>
                    <m:t>IST</m:t>
                  </m:r>
                </m:sub>
              </m:sSub>
            </m:sub>
          </m:sSub>
          <m:r>
            <w:rPr>
              <w:rFonts w:ascii="Cambria Math" w:hAnsi="Cambria Math"/>
              <w:lang w:val="bg-BG"/>
            </w:rPr>
            <m:t>=4,8-1,4=3,4 m/s</m:t>
          </m:r>
        </m:oMath>
      </m:oMathPara>
    </w:p>
    <w:p w:rsidR="004F47BB" w:rsidRPr="009072DA" w:rsidRDefault="004F47BB" w:rsidP="004F47BB">
      <w:pPr>
        <w:tabs>
          <w:tab w:val="left" w:pos="992"/>
          <w:tab w:val="center" w:pos="2552"/>
          <w:tab w:val="left" w:pos="3119"/>
          <w:tab w:val="left" w:pos="3544"/>
          <w:tab w:val="center" w:pos="4536"/>
        </w:tabs>
        <w:overflowPunct w:val="0"/>
        <w:adjustRightInd w:val="0"/>
        <w:spacing w:line="240" w:lineRule="atLeast"/>
        <w:ind w:left="992"/>
        <w:textAlignment w:val="baseline"/>
        <w:rPr>
          <w:szCs w:val="20"/>
          <w:lang w:val="bg-BG"/>
        </w:rPr>
      </w:pPr>
    </w:p>
    <w:p w:rsidR="004F47BB" w:rsidRPr="009072DA" w:rsidRDefault="002B712C" w:rsidP="004F47BB">
      <w:pPr>
        <w:tabs>
          <w:tab w:val="left" w:pos="992"/>
        </w:tabs>
        <w:overflowPunct w:val="0"/>
        <w:adjustRightInd w:val="0"/>
        <w:spacing w:line="240" w:lineRule="atLeast"/>
        <w:ind w:left="992" w:firstLine="1"/>
        <w:textAlignment w:val="baseline"/>
        <w:rPr>
          <w:szCs w:val="20"/>
          <w:lang w:val="bg-BG"/>
        </w:rPr>
      </w:pPr>
      <m:oMathPara>
        <m:oMathParaPr>
          <m:jc m:val="left"/>
        </m:oMathParaP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TmII</m:t>
                  </m:r>
                </m:sub>
              </m:sSub>
            </m:e>
            <m:sub>
              <m:r>
                <w:rPr>
                  <w:rFonts w:ascii="Cambria Math" w:hAnsi="Cambria Math"/>
                  <w:lang w:val="bg-BG"/>
                </w:rPr>
                <m:t>IST</m:t>
              </m:r>
            </m:sub>
          </m:sSub>
          <m:r>
            <w:rPr>
              <w:rFonts w:ascii="Cambria Math" w:hAnsi="Cambria Math"/>
              <w:lang w:val="bg-BG"/>
            </w:rPr>
            <m:t xml:space="preserve">= </m:t>
          </m:r>
          <m:f>
            <m:fPr>
              <m:ctrlPr>
                <w:rPr>
                  <w:rFonts w:ascii="Cambria Math" w:hAnsi="Cambria Math"/>
                  <w:i/>
                  <w:lang w:val="bg-BG"/>
                </w:rPr>
              </m:ctrlPr>
            </m:fPr>
            <m:num>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T</m:t>
                  </m:r>
                </m:sub>
              </m:sSub>
            </m:num>
            <m:den>
              <m:sSup>
                <m:sSupPr>
                  <m:ctrlPr>
                    <w:rPr>
                      <w:rFonts w:ascii="Cambria Math" w:hAnsi="Cambria Math"/>
                      <w:i/>
                      <w:lang w:val="bg-BG"/>
                    </w:rPr>
                  </m:ctrlPr>
                </m:sSupPr>
                <m:e>
                  <m:r>
                    <w:rPr>
                      <w:rFonts w:ascii="Cambria Math" w:hAnsi="Cambria Math"/>
                      <w:lang w:val="bg-BG"/>
                    </w:rPr>
                    <m:t>v</m:t>
                  </m:r>
                </m:e>
                <m:sup>
                  <m:r>
                    <w:rPr>
                      <w:rFonts w:ascii="Cambria Math" w:hAnsi="Cambria Math"/>
                      <w:lang w:val="bg-BG"/>
                    </w:rPr>
                    <m:t>2</m:t>
                  </m:r>
                </m:sup>
              </m:sSup>
            </m:den>
          </m:f>
          <m:r>
            <w:rPr>
              <w:rFonts w:ascii="Cambria Math" w:hAnsi="Cambria Math"/>
              <w:lang w:val="bg-BG"/>
            </w:rPr>
            <m:t xml:space="preserve"> ∙ </m:t>
          </m:r>
          <m:sSup>
            <m:sSupPr>
              <m:ctrlPr>
                <w:rPr>
                  <w:rFonts w:ascii="Cambria Math" w:hAnsi="Cambria Math"/>
                  <w:i/>
                  <w:lang w:val="bg-BG"/>
                </w:rPr>
              </m:ctrlPr>
            </m:sSupPr>
            <m:e>
              <m:d>
                <m:dPr>
                  <m:ctrlPr>
                    <w:rPr>
                      <w:rFonts w:ascii="Cambria Math" w:hAnsi="Cambria Math"/>
                      <w:i/>
                      <w:lang w:val="bg-BG"/>
                    </w:rPr>
                  </m:ctrlPr>
                </m:dPr>
                <m:e>
                  <m:sSub>
                    <m:sSubPr>
                      <m:ctrlPr>
                        <w:rPr>
                          <w:rFonts w:ascii="Cambria Math" w:hAnsi="Cambria Math"/>
                          <w:i/>
                          <w:lang w:val="bg-BG"/>
                        </w:rPr>
                      </m:ctrlPr>
                    </m:sSubPr>
                    <m:e>
                      <m:r>
                        <w:rPr>
                          <w:rFonts w:ascii="Cambria Math" w:hAnsi="Cambria Math"/>
                          <w:lang w:val="bg-BG"/>
                        </w:rPr>
                        <m:t>k</m:t>
                      </m:r>
                    </m:e>
                    <m:sub>
                      <m:r>
                        <w:rPr>
                          <w:rFonts w:ascii="Cambria Math" w:hAnsi="Cambria Math"/>
                          <w:lang w:val="bg-BG"/>
                        </w:rPr>
                        <m:t>7</m:t>
                      </m:r>
                    </m:sub>
                  </m:sSub>
                  <m:r>
                    <w:rPr>
                      <w:rFonts w:ascii="Cambria Math" w:hAnsi="Cambria Math"/>
                      <w:lang w:val="bg-BG"/>
                    </w:rPr>
                    <m:t xml:space="preserve"> ∙ </m:t>
                  </m:r>
                  <m:sSub>
                    <m:sSubPr>
                      <m:ctrlPr>
                        <w:rPr>
                          <w:rFonts w:ascii="Cambria Math" w:hAnsi="Cambria Math"/>
                          <w:i/>
                          <w:lang w:val="bg-BG"/>
                        </w:rPr>
                      </m:ctrlPr>
                    </m:sSubPr>
                    <m:e>
                      <m:r>
                        <w:rPr>
                          <w:rFonts w:ascii="Cambria Math" w:hAnsi="Cambria Math"/>
                          <w:lang w:val="bg-BG"/>
                        </w:rPr>
                        <m:t>k</m:t>
                      </m:r>
                    </m:e>
                    <m:sub>
                      <m:r>
                        <w:rPr>
                          <w:rFonts w:ascii="Cambria Math" w:hAnsi="Cambria Math"/>
                          <w:lang w:val="bg-BG"/>
                        </w:rPr>
                        <m:t>6</m:t>
                      </m:r>
                    </m:sub>
                  </m:sSub>
                  <m:r>
                    <w:rPr>
                      <w:rFonts w:ascii="Cambria Math" w:hAnsi="Cambria Math"/>
                      <w:lang w:val="bg-BG"/>
                    </w:rPr>
                    <m:t xml:space="preserve"> ∙ </m:t>
                  </m:r>
                  <m:d>
                    <m:dPr>
                      <m:ctrlPr>
                        <w:rPr>
                          <w:rFonts w:ascii="Cambria Math" w:hAnsi="Cambria Math"/>
                          <w:i/>
                          <w:lang w:val="bg-BG"/>
                        </w:rPr>
                      </m:ctrlPr>
                    </m:dPr>
                    <m:e>
                      <m:sSub>
                        <m:sSubPr>
                          <m:ctrlPr>
                            <w:rPr>
                              <w:rFonts w:ascii="Cambria Math" w:hAnsi="Cambria Math"/>
                              <w:i/>
                              <w:lang w:val="bg-BG"/>
                            </w:rPr>
                          </m:ctrlPr>
                        </m:sSubPr>
                        <m:e>
                          <m:r>
                            <w:rPr>
                              <w:rFonts w:ascii="Cambria Math" w:hAnsi="Cambria Math"/>
                              <w:lang w:val="bg-BG"/>
                            </w:rPr>
                            <m:t>v</m:t>
                          </m:r>
                        </m:e>
                        <m:sub>
                          <m:sSub>
                            <m:sSubPr>
                              <m:ctrlPr>
                                <w:rPr>
                                  <w:rFonts w:ascii="Cambria Math" w:hAnsi="Cambria Math"/>
                                  <w:i/>
                                  <w:lang w:val="bg-BG"/>
                                </w:rPr>
                              </m:ctrlPr>
                            </m:sSubPr>
                            <m:e>
                              <m:r>
                                <w:rPr>
                                  <w:rFonts w:ascii="Cambria Math" w:hAnsi="Cambria Math"/>
                                  <w:lang w:val="bg-BG"/>
                                </w:rPr>
                                <m:t>L</m:t>
                              </m:r>
                            </m:e>
                            <m:sub>
                              <m:r>
                                <w:rPr>
                                  <w:rFonts w:ascii="Cambria Math" w:hAnsi="Cambria Math"/>
                                  <w:lang w:val="bg-BG"/>
                                </w:rPr>
                                <m:t>IST</m:t>
                              </m:r>
                            </m:sub>
                          </m:sSub>
                        </m:sub>
                      </m:sSub>
                      <m:r>
                        <w:rPr>
                          <w:rFonts w:ascii="Cambria Math" w:hAnsi="Cambria Math"/>
                          <w:lang w:val="bg-BG"/>
                        </w:rPr>
                        <m:t xml:space="preserve">- </m:t>
                      </m:r>
                      <m:sSub>
                        <m:sSubPr>
                          <m:ctrlPr>
                            <w:rPr>
                              <w:rFonts w:ascii="Cambria Math" w:hAnsi="Cambria Math"/>
                              <w:i/>
                              <w:lang w:val="bg-BG"/>
                            </w:rPr>
                          </m:ctrlPr>
                        </m:sSubPr>
                        <m:e>
                          <m:r>
                            <w:rPr>
                              <w:rFonts w:ascii="Cambria Math" w:hAnsi="Cambria Math"/>
                              <w:lang w:val="bg-BG"/>
                            </w:rPr>
                            <m:t>v</m:t>
                          </m:r>
                        </m:e>
                        <m:sub>
                          <m:sSub>
                            <m:sSubPr>
                              <m:ctrlPr>
                                <w:rPr>
                                  <w:rFonts w:ascii="Cambria Math" w:hAnsi="Cambria Math"/>
                                  <w:i/>
                                  <w:lang w:val="bg-BG"/>
                                </w:rPr>
                              </m:ctrlPr>
                            </m:sSubPr>
                            <m:e>
                              <m:r>
                                <w:rPr>
                                  <w:rFonts w:ascii="Cambria Math" w:hAnsi="Cambria Math"/>
                                  <w:lang w:val="bg-BG"/>
                                </w:rPr>
                                <m:t>STR</m:t>
                              </m:r>
                            </m:e>
                            <m:sub>
                              <m:r>
                                <w:rPr>
                                  <w:rFonts w:ascii="Cambria Math" w:hAnsi="Cambria Math"/>
                                  <w:lang w:val="bg-BG"/>
                                </w:rPr>
                                <m:t>IST</m:t>
                              </m:r>
                            </m:sub>
                          </m:sSub>
                        </m:sub>
                      </m:sSub>
                    </m:e>
                  </m:d>
                </m:e>
              </m:d>
            </m:e>
            <m:sup>
              <m:r>
                <w:rPr>
                  <w:rFonts w:ascii="Cambria Math" w:hAnsi="Cambria Math"/>
                  <w:lang w:val="bg-BG"/>
                </w:rPr>
                <m:t>2</m:t>
              </m:r>
            </m:sup>
          </m:sSup>
          <m:r>
            <w:rPr>
              <w:rFonts w:ascii="Cambria Math" w:hAnsi="Cambria Math"/>
              <w:lang w:val="bg-BG"/>
            </w:rPr>
            <m:t xml:space="preserve">= 14 ∙ </m:t>
          </m:r>
          <m:sSup>
            <m:sSupPr>
              <m:ctrlPr>
                <w:rPr>
                  <w:rFonts w:ascii="Cambria Math" w:hAnsi="Cambria Math"/>
                  <w:i/>
                  <w:lang w:val="bg-BG"/>
                </w:rPr>
              </m:ctrlPr>
            </m:sSupPr>
            <m:e>
              <m:d>
                <m:dPr>
                  <m:ctrlPr>
                    <w:rPr>
                      <w:rFonts w:ascii="Cambria Math" w:hAnsi="Cambria Math"/>
                      <w:i/>
                      <w:lang w:val="bg-BG"/>
                    </w:rPr>
                  </m:ctrlPr>
                </m:dPr>
                <m:e>
                  <m:r>
                    <w:rPr>
                      <w:rFonts w:ascii="Cambria Math" w:hAnsi="Cambria Math"/>
                      <w:lang w:val="bg-BG"/>
                    </w:rPr>
                    <m:t>0,55 ∙0,85 ∙3,4</m:t>
                  </m:r>
                </m:e>
              </m:d>
            </m:e>
            <m:sup>
              <m:r>
                <w:rPr>
                  <w:rFonts w:ascii="Cambria Math" w:hAnsi="Cambria Math"/>
                  <w:lang w:val="bg-BG"/>
                </w:rPr>
                <m:t>2</m:t>
              </m:r>
            </m:sup>
          </m:sSup>
          <m:r>
            <w:rPr>
              <w:rFonts w:ascii="Cambria Math" w:hAnsi="Cambria Math"/>
              <w:lang w:val="bg-BG"/>
            </w:rPr>
            <m:t>=</m:t>
          </m:r>
          <m:r>
            <m:rPr>
              <m:sty m:val="bi"/>
            </m:rPr>
            <w:rPr>
              <w:rFonts w:ascii="Cambria Math" w:hAnsi="Cambria Math"/>
              <w:lang w:val="bg-BG"/>
            </w:rPr>
            <m:t xml:space="preserve">35,4 </m:t>
          </m:r>
          <m:d>
            <m:dPr>
              <m:begChr m:val="["/>
              <m:endChr m:val="]"/>
              <m:ctrlPr>
                <w:rPr>
                  <w:rFonts w:ascii="Cambria Math" w:hAnsi="Cambria Math"/>
                  <w:b/>
                  <w:i/>
                  <w:lang w:val="bg-BG"/>
                </w:rPr>
              </m:ctrlPr>
            </m:dPr>
            <m:e>
              <m:r>
                <m:rPr>
                  <m:sty m:val="bi"/>
                </m:rPr>
                <w:rPr>
                  <w:rFonts w:ascii="Cambria Math" w:hAnsi="Cambria Math"/>
                  <w:lang w:val="bg-BG"/>
                </w:rPr>
                <m:t>kN</m:t>
              </m:r>
            </m:e>
          </m:d>
        </m:oMath>
      </m:oMathPara>
    </w:p>
    <w:p w:rsidR="004F47BB" w:rsidRPr="009072DA" w:rsidRDefault="004F47BB" w:rsidP="004F47BB">
      <w:pPr>
        <w:tabs>
          <w:tab w:val="left" w:pos="284"/>
          <w:tab w:val="left" w:pos="454"/>
        </w:tabs>
        <w:overflowPunct w:val="0"/>
        <w:adjustRightInd w:val="0"/>
        <w:spacing w:line="240" w:lineRule="atLeast"/>
        <w:ind w:left="284" w:hanging="284"/>
        <w:textAlignment w:val="baseline"/>
        <w:rPr>
          <w:szCs w:val="20"/>
          <w:lang w:val="bg-BG"/>
        </w:rPr>
      </w:pPr>
    </w:p>
    <w:p w:rsidR="004F47BB" w:rsidRPr="009072DA" w:rsidRDefault="004F47BB" w:rsidP="004F47BB">
      <w:pPr>
        <w:tabs>
          <w:tab w:val="left" w:pos="284"/>
          <w:tab w:val="left" w:pos="45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r w:rsidRPr="009072DA">
        <w:rPr>
          <w:lang w:val="bg-BG"/>
        </w:rPr>
        <w:t>г)</w:t>
      </w:r>
      <w:r w:rsidRPr="009072DA">
        <w:rPr>
          <w:lang w:val="bg-BG"/>
        </w:rPr>
        <w:tab/>
        <w:t xml:space="preserve">Изчисляване на съпротивлението, дължащо се на наклона </w:t>
      </w:r>
      <m:oMath>
        <m:sSub>
          <m:sSubPr>
            <m:ctrlPr>
              <w:rPr>
                <w:rFonts w:ascii="Cambria Math" w:hAnsi="Cambria Math"/>
                <w:i/>
                <w:sz w:val="16"/>
                <w:szCs w:val="20"/>
                <w:lang w:val="bg-BG"/>
              </w:rPr>
            </m:ctrlPr>
          </m:sSubPr>
          <m:e>
            <m:r>
              <w:rPr>
                <w:rFonts w:ascii="Cambria Math" w:hAnsi="Cambria Math"/>
                <w:sz w:val="16"/>
                <w:szCs w:val="20"/>
                <w:lang w:val="bg-BG"/>
              </w:rPr>
              <m:t>R</m:t>
            </m:r>
          </m:e>
          <m:sub>
            <m:r>
              <w:rPr>
                <w:rFonts w:ascii="Cambria Math" w:hAnsi="Cambria Math"/>
                <w:sz w:val="16"/>
                <w:szCs w:val="20"/>
                <w:lang w:val="bg-BG"/>
              </w:rPr>
              <m:t>G</m:t>
            </m:r>
          </m:sub>
        </m:sSub>
      </m:oMath>
      <w:r w:rsidRPr="009072DA">
        <w:rPr>
          <w:lang w:val="bg-BG"/>
        </w:rPr>
        <w:t xml:space="preserve"> съгласно формула (4.4) от приложение 2</w:t>
      </w:r>
    </w:p>
    <w:p w:rsidR="004F47BB" w:rsidRPr="009072DA" w:rsidRDefault="004F47BB" w:rsidP="004F47BB">
      <w:pPr>
        <w:tabs>
          <w:tab w:val="left" w:pos="284"/>
          <w:tab w:val="left" w:pos="454"/>
        </w:tabs>
        <w:overflowPunct w:val="0"/>
        <w:adjustRightInd w:val="0"/>
        <w:spacing w:line="240" w:lineRule="exact"/>
        <w:ind w:left="284" w:hanging="284"/>
        <w:textAlignment w:val="baseline"/>
        <w:rPr>
          <w:szCs w:val="20"/>
          <w:lang w:val="bg-BG"/>
        </w:rPr>
      </w:pPr>
    </w:p>
    <w:p w:rsidR="004F47BB" w:rsidRPr="009072DA" w:rsidRDefault="002B712C" w:rsidP="004F47BB">
      <w:pPr>
        <w:overflowPunct w:val="0"/>
        <w:adjustRightInd w:val="0"/>
        <w:spacing w:line="240" w:lineRule="atLeast"/>
        <w:ind w:left="993" w:hanging="1"/>
        <w:textAlignment w:val="baseline"/>
        <w:rPr>
          <w:szCs w:val="20"/>
          <w:lang w:val="bg-BG"/>
        </w:rPr>
      </w:pPr>
      <m:oMathPara>
        <m:oMathParaPr>
          <m:jc m:val="left"/>
        </m:oMathParaPr>
        <m:oMath>
          <m:sSub>
            <m:sSubPr>
              <m:ctrlPr>
                <w:rPr>
                  <w:rFonts w:ascii="Cambria Math" w:hAnsi="Cambria Math"/>
                  <w:i/>
                  <w:sz w:val="16"/>
                  <w:szCs w:val="20"/>
                  <w:lang w:val="bg-BG"/>
                </w:rPr>
              </m:ctrlPr>
            </m:sSubPr>
            <m:e>
              <m:r>
                <w:rPr>
                  <w:rFonts w:ascii="Cambria Math" w:hAnsi="Cambria Math"/>
                  <w:sz w:val="16"/>
                  <w:szCs w:val="20"/>
                  <w:lang w:val="bg-BG"/>
                </w:rPr>
                <m:t>R</m:t>
              </m:r>
            </m:e>
            <m:sub>
              <m:r>
                <w:rPr>
                  <w:rFonts w:ascii="Cambria Math" w:hAnsi="Cambria Math"/>
                  <w:sz w:val="16"/>
                  <w:szCs w:val="20"/>
                  <w:lang w:val="bg-BG"/>
                </w:rPr>
                <m:t>G</m:t>
              </m:r>
            </m:sub>
          </m:sSub>
          <m:r>
            <w:rPr>
              <w:rFonts w:ascii="Cambria Math" w:hAnsi="Cambria Math"/>
              <w:sz w:val="16"/>
              <w:szCs w:val="20"/>
              <w:lang w:val="bg-BG"/>
            </w:rPr>
            <m:t xml:space="preserve"> </m:t>
          </m:r>
          <m:r>
            <w:rPr>
              <w:rFonts w:ascii="Cambria Math" w:hAnsi="Cambria Math"/>
              <w:szCs w:val="20"/>
              <w:lang w:val="bg-BG"/>
            </w:rPr>
            <m:t xml:space="preserve">= </m:t>
          </m:r>
          <m:sSup>
            <m:sSupPr>
              <m:ctrlPr>
                <w:rPr>
                  <w:rFonts w:ascii="Cambria Math" w:hAnsi="Cambria Math"/>
                  <w:i/>
                  <w:szCs w:val="20"/>
                  <w:lang w:val="bg-BG"/>
                </w:rPr>
              </m:ctrlPr>
            </m:sSupPr>
            <m:e>
              <m:r>
                <w:rPr>
                  <w:rFonts w:ascii="Cambria Math" w:hAnsi="Cambria Math"/>
                  <w:szCs w:val="20"/>
                  <w:lang w:val="bg-BG"/>
                </w:rPr>
                <m:t>10</m:t>
              </m:r>
            </m:e>
            <m:sup>
              <m:r>
                <w:rPr>
                  <w:rFonts w:ascii="Cambria Math" w:hAnsi="Cambria Math"/>
                  <w:szCs w:val="20"/>
                  <w:lang w:val="bg-BG"/>
                </w:rPr>
                <m:t>-6</m:t>
              </m:r>
            </m:sup>
          </m:sSup>
          <m:r>
            <w:rPr>
              <w:rFonts w:ascii="Cambria Math" w:hAnsi="Cambria Math"/>
              <w:szCs w:val="20"/>
              <w:lang w:val="bg-BG"/>
            </w:rPr>
            <m:t xml:space="preserve"> ∙ </m:t>
          </m:r>
          <m:d>
            <m:dPr>
              <m:ctrlPr>
                <w:rPr>
                  <w:rFonts w:ascii="Cambria Math" w:hAnsi="Cambria Math"/>
                  <w:i/>
                  <w:szCs w:val="20"/>
                  <w:lang w:val="bg-BG"/>
                </w:rPr>
              </m:ctrlPr>
            </m:dPr>
            <m:e>
              <m:r>
                <w:rPr>
                  <w:rFonts w:ascii="Cambria Math" w:hAnsi="Cambria Math"/>
                  <w:szCs w:val="20"/>
                  <w:lang w:val="bg-BG"/>
                </w:rPr>
                <m:t xml:space="preserve">0,16 ∙ </m:t>
              </m:r>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IST</m:t>
                  </m:r>
                </m:sub>
              </m:sSub>
              <m:r>
                <w:rPr>
                  <w:rFonts w:ascii="Cambria Math" w:hAnsi="Cambria Math"/>
                  <w:szCs w:val="20"/>
                  <w:lang w:val="bg-BG"/>
                </w:rPr>
                <m:t xml:space="preserve"> ∙ ρ ∙g</m:t>
              </m:r>
            </m:e>
          </m:d>
          <m:r>
            <w:rPr>
              <w:rFonts w:ascii="Cambria Math" w:hAnsi="Cambria Math"/>
              <w:szCs w:val="20"/>
              <w:lang w:val="bg-BG"/>
            </w:rPr>
            <m:t>=</m:t>
          </m:r>
          <m:sSup>
            <m:sSupPr>
              <m:ctrlPr>
                <w:rPr>
                  <w:rFonts w:ascii="Cambria Math" w:hAnsi="Cambria Math"/>
                  <w:i/>
                  <w:szCs w:val="20"/>
                  <w:lang w:val="bg-BG"/>
                </w:rPr>
              </m:ctrlPr>
            </m:sSupPr>
            <m:e>
              <m:r>
                <w:rPr>
                  <w:rFonts w:ascii="Cambria Math" w:hAnsi="Cambria Math"/>
                  <w:szCs w:val="20"/>
                  <w:lang w:val="bg-BG"/>
                </w:rPr>
                <m:t>10</m:t>
              </m:r>
            </m:e>
            <m:sup>
              <m:r>
                <w:rPr>
                  <w:rFonts w:ascii="Cambria Math" w:hAnsi="Cambria Math"/>
                  <w:szCs w:val="20"/>
                  <w:lang w:val="bg-BG"/>
                </w:rPr>
                <m:t>-6</m:t>
              </m:r>
            </m:sup>
          </m:sSup>
          <m:r>
            <w:rPr>
              <w:rFonts w:ascii="Cambria Math" w:hAnsi="Cambria Math"/>
              <w:szCs w:val="20"/>
              <w:lang w:val="bg-BG"/>
            </w:rPr>
            <m:t xml:space="preserve"> ∙</m:t>
          </m:r>
          <m:d>
            <m:dPr>
              <m:ctrlPr>
                <w:rPr>
                  <w:rFonts w:ascii="Cambria Math" w:hAnsi="Cambria Math"/>
                  <w:i/>
                  <w:szCs w:val="20"/>
                  <w:lang w:val="bg-BG"/>
                </w:rPr>
              </m:ctrlPr>
            </m:dPr>
            <m:e>
              <m:r>
                <w:rPr>
                  <w:rFonts w:ascii="Cambria Math" w:hAnsi="Cambria Math"/>
                  <w:szCs w:val="20"/>
                  <w:lang w:val="bg-BG"/>
                </w:rPr>
                <m:t>0,16 ∙</m:t>
              </m:r>
              <m:r>
                <m:rPr>
                  <m:sty m:val="bi"/>
                </m:rPr>
                <w:rPr>
                  <w:rFonts w:ascii="Cambria Math" w:hAnsi="Cambria Math"/>
                  <w:position w:val="6"/>
                  <w:szCs w:val="20"/>
                  <w:lang w:val="bg-BG"/>
                </w:rPr>
                <m:t xml:space="preserve"> </m:t>
              </m:r>
              <m:r>
                <w:rPr>
                  <w:rFonts w:ascii="Cambria Math" w:hAnsi="Cambria Math"/>
                  <w:szCs w:val="20"/>
                  <w:lang w:val="bg-BG"/>
                </w:rPr>
                <m:t>9568 ∙ 1000 ∙ 9,81</m:t>
              </m:r>
            </m:e>
          </m:d>
          <m:r>
            <w:rPr>
              <w:rFonts w:ascii="Cambria Math" w:hAnsi="Cambria Math"/>
              <w:szCs w:val="20"/>
              <w:lang w:val="bg-BG"/>
            </w:rPr>
            <m:t xml:space="preserve">= </m:t>
          </m:r>
          <m:r>
            <m:rPr>
              <m:sty m:val="bi"/>
            </m:rPr>
            <w:rPr>
              <w:rFonts w:ascii="Cambria Math" w:hAnsi="Cambria Math"/>
              <w:szCs w:val="20"/>
              <w:u w:val="single"/>
              <w:lang w:val="bg-BG"/>
            </w:rPr>
            <m:t>15,02</m:t>
          </m:r>
          <m:r>
            <m:rPr>
              <m:sty m:val="bi"/>
            </m:rPr>
            <w:rPr>
              <w:rFonts w:ascii="Cambria Math" w:hAnsi="Cambria Math"/>
              <w:szCs w:val="20"/>
              <w:lang w:val="bg-BG"/>
            </w:rPr>
            <m:t xml:space="preserve">  [kN]</m:t>
          </m:r>
        </m:oMath>
      </m:oMathPara>
    </w:p>
    <w:p w:rsidR="004F47BB" w:rsidRPr="009072DA" w:rsidRDefault="004F47BB" w:rsidP="004F47BB">
      <w:pPr>
        <w:tabs>
          <w:tab w:val="left" w:pos="284"/>
          <w:tab w:val="left" w:pos="45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284"/>
          <w:tab w:val="left" w:pos="45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r w:rsidRPr="009072DA">
        <w:rPr>
          <w:lang w:val="bg-BG"/>
        </w:rPr>
        <w:lastRenderedPageBreak/>
        <w:t>д)</w:t>
      </w:r>
      <w:r w:rsidRPr="009072DA">
        <w:rPr>
          <w:lang w:val="bg-BG"/>
        </w:rPr>
        <w:tab/>
        <w:t xml:space="preserve">Изчисляване на </w:t>
      </w:r>
      <m:oMath>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IST</m:t>
                </m:r>
              </m:sub>
            </m:sSub>
          </m:sub>
        </m:sSub>
      </m:oMath>
      <w:r w:rsidRPr="009072DA">
        <w:rPr>
          <w:lang w:val="bg-BG"/>
        </w:rPr>
        <w:t xml:space="preserve"> съгласно формула (4.5) от приложение 2</w:t>
      </w:r>
    </w:p>
    <w:p w:rsidR="004F47BB" w:rsidRPr="009072DA" w:rsidRDefault="004F47BB" w:rsidP="004F47BB">
      <w:pPr>
        <w:tabs>
          <w:tab w:val="left" w:pos="284"/>
          <w:tab w:val="left" w:pos="454"/>
        </w:tabs>
        <w:overflowPunct w:val="0"/>
        <w:adjustRightInd w:val="0"/>
        <w:spacing w:line="240" w:lineRule="exact"/>
        <w:ind w:left="284" w:hanging="284"/>
        <w:textAlignment w:val="baseline"/>
        <w:rPr>
          <w:szCs w:val="20"/>
          <w:lang w:val="bg-BG"/>
        </w:rPr>
      </w:pPr>
    </w:p>
    <w:p w:rsidR="004F47BB" w:rsidRPr="009072DA" w:rsidRDefault="002B712C" w:rsidP="004F47BB">
      <w:pPr>
        <w:overflowPunct w:val="0"/>
        <w:adjustRightInd w:val="0"/>
        <w:spacing w:line="240" w:lineRule="atLeast"/>
        <w:ind w:left="992"/>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IST</m:t>
                  </m:r>
                </m:sub>
              </m:sSub>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6</m:t>
              </m:r>
            </m:sub>
          </m:sSub>
          <m:r>
            <w:rPr>
              <w:rFonts w:ascii="Cambria Math" w:hAnsi="Cambria Math"/>
              <w:szCs w:val="20"/>
              <w:lang w:val="bg-BG"/>
            </w:rPr>
            <m:t xml:space="preserve"> ∙  </m:t>
          </m:r>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L</m:t>
                      </m:r>
                    </m:e>
                    <m:sub>
                      <m:r>
                        <w:rPr>
                          <w:rFonts w:ascii="Cambria Math" w:hAnsi="Cambria Math"/>
                          <w:szCs w:val="20"/>
                          <w:lang w:val="bg-BG"/>
                        </w:rPr>
                        <m:t>IST</m:t>
                      </m:r>
                    </m:sub>
                  </m:sSub>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STR</m:t>
                      </m:r>
                    </m:e>
                    <m:sub>
                      <m:r>
                        <w:rPr>
                          <w:rFonts w:ascii="Cambria Math" w:hAnsi="Cambria Math"/>
                          <w:szCs w:val="20"/>
                          <w:lang w:val="bg-BG"/>
                        </w:rPr>
                        <m:t>IST</m:t>
                      </m:r>
                    </m:sub>
                  </m:sSub>
                </m:sub>
              </m:sSub>
            </m:e>
          </m:d>
          <m:r>
            <w:rPr>
              <w:rFonts w:ascii="Cambria Math" w:hAnsi="Cambria Math"/>
              <w:szCs w:val="20"/>
              <w:lang w:val="bg-BG"/>
            </w:rPr>
            <m:t xml:space="preserve">= 2,89 </m:t>
          </m:r>
          <m:d>
            <m:dPr>
              <m:begChr m:val="["/>
              <m:endChr m:val="]"/>
              <m:ctrlPr>
                <w:rPr>
                  <w:rFonts w:ascii="Cambria Math" w:hAnsi="Cambria Math"/>
                  <w:i/>
                  <w:szCs w:val="20"/>
                  <w:lang w:val="bg-BG"/>
                </w:rPr>
              </m:ctrlPr>
            </m:dPr>
            <m:e>
              <m:r>
                <w:rPr>
                  <w:rFonts w:ascii="Cambria Math" w:hAnsi="Cambria Math"/>
                  <w:szCs w:val="20"/>
                  <w:lang w:val="bg-BG"/>
                </w:rPr>
                <m:t>m/s</m:t>
              </m:r>
            </m:e>
          </m:d>
        </m:oMath>
      </m:oMathPara>
    </w:p>
    <w:p w:rsidR="004F47BB" w:rsidRPr="009072DA" w:rsidRDefault="004F47BB" w:rsidP="004F47BB">
      <w:pPr>
        <w:tabs>
          <w:tab w:val="left" w:pos="284"/>
          <w:tab w:val="left" w:pos="454"/>
        </w:tabs>
        <w:overflowPunct w:val="0"/>
        <w:adjustRightInd w:val="0"/>
        <w:spacing w:line="240" w:lineRule="exact"/>
        <w:ind w:left="284" w:hanging="284"/>
        <w:textAlignment w:val="baseline"/>
        <w:rPr>
          <w:szCs w:val="20"/>
          <w:lang w:val="bg-BG"/>
        </w:rPr>
      </w:pPr>
    </w:p>
    <w:p w:rsidR="004F47BB" w:rsidRPr="009072DA" w:rsidRDefault="002B712C" w:rsidP="004F47BB">
      <w:pPr>
        <w:overflowPunct w:val="0"/>
        <w:adjustRightInd w:val="0"/>
        <w:spacing w:line="240" w:lineRule="atLeast"/>
        <w:ind w:left="993" w:hanging="1"/>
        <w:textAlignment w:val="baseline"/>
        <w:rPr>
          <w:szCs w:val="20"/>
          <w:lang w:val="bg-BG"/>
        </w:rPr>
      </w:pPr>
      <m:oMathPara>
        <m:oMathParaPr>
          <m:jc m:val="left"/>
        </m:oMathParaPr>
        <m:oMath>
          <m:sSub>
            <m:sSubPr>
              <m:ctrlPr>
                <w:rPr>
                  <w:rFonts w:ascii="Cambria Math" w:hAnsi="Cambria Math"/>
                  <w:i/>
                  <w:szCs w:val="20"/>
                  <w:lang w:val="bg-BG"/>
                </w:rPr>
              </m:ctrlPr>
            </m:sSubPr>
            <m:e>
              <m:sSup>
                <m:sSupPr>
                  <m:ctrlPr>
                    <w:rPr>
                      <w:rFonts w:ascii="Cambria Math" w:hAnsi="Cambria Math"/>
                      <w:i/>
                      <w:szCs w:val="20"/>
                      <w:lang w:val="bg-BG"/>
                    </w:rPr>
                  </m:ctrlPr>
                </m:sSupPr>
                <m:e>
                  <m:r>
                    <w:rPr>
                      <w:rFonts w:ascii="Cambria Math" w:hAnsi="Cambria Math"/>
                      <w:szCs w:val="20"/>
                      <w:lang w:val="bg-BG"/>
                    </w:rPr>
                    <m:t>v</m:t>
                  </m:r>
                </m:e>
                <m:sup>
                  <m:r>
                    <w:rPr>
                      <w:rFonts w:ascii="Cambria Math" w:hAnsi="Cambria Math"/>
                      <w:szCs w:val="20"/>
                      <w:lang w:val="bg-BG"/>
                    </w:rPr>
                    <m:t>2</m:t>
                  </m:r>
                </m:sup>
              </m:sSup>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IST</m:t>
                  </m:r>
                </m:sub>
              </m:sSub>
            </m:sub>
          </m:sSub>
          <m:r>
            <w:rPr>
              <w:rFonts w:ascii="Cambria Math" w:hAnsi="Cambria Math"/>
              <w:szCs w:val="20"/>
              <w:lang w:val="bg-BG"/>
            </w:rPr>
            <m:t xml:space="preserve">=8,35 </m:t>
          </m:r>
          <m:sSup>
            <m:sSupPr>
              <m:ctrlPr>
                <w:rPr>
                  <w:rFonts w:ascii="Cambria Math" w:hAnsi="Cambria Math"/>
                  <w:i/>
                  <w:szCs w:val="20"/>
                  <w:lang w:val="bg-BG"/>
                </w:rPr>
              </m:ctrlPr>
            </m:sSupPr>
            <m:e>
              <m:d>
                <m:dPr>
                  <m:begChr m:val="["/>
                  <m:endChr m:val="]"/>
                  <m:ctrlPr>
                    <w:rPr>
                      <w:rFonts w:ascii="Cambria Math" w:hAnsi="Cambria Math"/>
                      <w:i/>
                      <w:szCs w:val="20"/>
                      <w:lang w:val="bg-BG"/>
                    </w:rPr>
                  </m:ctrlPr>
                </m:dPr>
                <m:e>
                  <m:r>
                    <w:rPr>
                      <w:rFonts w:ascii="Cambria Math" w:hAnsi="Cambria Math"/>
                      <w:szCs w:val="20"/>
                      <w:lang w:val="bg-BG"/>
                    </w:rPr>
                    <m:t>m/s</m:t>
                  </m:r>
                </m:e>
              </m:d>
            </m:e>
            <m:sup>
              <m:r>
                <w:rPr>
                  <w:rFonts w:ascii="Cambria Math" w:hAnsi="Cambria Math"/>
                  <w:szCs w:val="20"/>
                  <w:lang w:val="bg-BG"/>
                </w:rPr>
                <m:t>2</m:t>
              </m:r>
            </m:sup>
          </m:sSup>
        </m:oMath>
      </m:oMathPara>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284"/>
          <w:tab w:val="left" w:pos="45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284"/>
          <w:tab w:val="left" w:pos="454"/>
        </w:tabs>
        <w:overflowPunct w:val="0"/>
        <w:adjustRightInd w:val="0"/>
        <w:spacing w:line="240" w:lineRule="exact"/>
        <w:ind w:left="284" w:hanging="284"/>
        <w:textAlignment w:val="baseline"/>
        <w:rPr>
          <w:szCs w:val="20"/>
          <w:lang w:val="bg-BG"/>
        </w:rPr>
      </w:pPr>
      <w:r w:rsidRPr="009072DA">
        <w:rPr>
          <w:lang w:val="bg-BG"/>
        </w:rPr>
        <w:br w:type="page"/>
      </w: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r w:rsidRPr="009072DA">
        <w:rPr>
          <w:lang w:val="bg-BG"/>
        </w:rPr>
        <w:lastRenderedPageBreak/>
        <w:t>е)</w:t>
      </w:r>
      <w:r w:rsidRPr="009072DA">
        <w:rPr>
          <w:lang w:val="bg-BG"/>
        </w:rPr>
        <w:tab/>
        <w:t xml:space="preserve">Изчисляване на </w:t>
      </w:r>
      <m:oMath>
        <m:sSub>
          <m:sSubPr>
            <m:ctrlPr>
              <w:rPr>
                <w:rFonts w:ascii="Cambria Math" w:hAnsi="Cambria Math"/>
                <w:i/>
                <w:szCs w:val="20"/>
                <w:lang w:val="bg-BG"/>
              </w:rPr>
            </m:ctrlPr>
          </m:sSubPr>
          <m:e>
            <m:r>
              <w:rPr>
                <w:rFonts w:ascii="Cambria Math" w:hAnsi="Cambria Math"/>
                <w:szCs w:val="20"/>
                <w:lang w:val="bg-BG"/>
              </w:rPr>
              <m:t>F</m:t>
            </m:r>
          </m:e>
          <m:sub>
            <m:r>
              <w:rPr>
                <w:rFonts w:ascii="Cambria Math" w:hAnsi="Cambria Math"/>
                <w:szCs w:val="20"/>
                <w:lang w:val="bg-BG"/>
              </w:rPr>
              <m:t>POR</m:t>
            </m:r>
          </m:sub>
        </m:sSub>
      </m:oMath>
      <w:r w:rsidRPr="009072DA">
        <w:rPr>
          <w:lang w:val="bg-BG"/>
        </w:rPr>
        <w:t xml:space="preserve"> съгласно формула (4.6) и таблица 2</w:t>
      </w:r>
    </w:p>
    <w:p w:rsidR="004F47BB" w:rsidRPr="009072DA" w:rsidRDefault="004F47BB" w:rsidP="004F47BB">
      <w:pPr>
        <w:tabs>
          <w:tab w:val="left" w:pos="284"/>
          <w:tab w:val="left" w:pos="454"/>
        </w:tabs>
        <w:overflowPunct w:val="0"/>
        <w:adjustRightInd w:val="0"/>
        <w:spacing w:line="240" w:lineRule="exact"/>
        <w:ind w:left="284" w:hanging="284"/>
        <w:textAlignment w:val="baseline"/>
        <w:rPr>
          <w:szCs w:val="20"/>
          <w:lang w:val="bg-BG"/>
        </w:rPr>
      </w:pPr>
    </w:p>
    <w:p w:rsidR="004F47BB" w:rsidRPr="009072DA" w:rsidRDefault="002B712C" w:rsidP="004F47BB">
      <w:pPr>
        <w:overflowPunct w:val="0"/>
        <w:adjustRightInd w:val="0"/>
        <w:spacing w:line="240" w:lineRule="atLeast"/>
        <w:ind w:left="992"/>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F</m:t>
              </m:r>
            </m:e>
            <m:sub>
              <m:r>
                <w:rPr>
                  <w:rFonts w:ascii="Cambria Math" w:hAnsi="Cambria Math"/>
                  <w:szCs w:val="20"/>
                  <w:lang w:val="bg-BG"/>
                </w:rPr>
                <m:t>POR</m:t>
              </m:r>
            </m:sub>
          </m:sSub>
          <m:r>
            <w:rPr>
              <w:rFonts w:ascii="Cambria Math" w:hAnsi="Cambria Math"/>
              <w:szCs w:val="20"/>
              <w:lang w:val="bg-BG"/>
            </w:rPr>
            <m:t>=0,118 ∙1500=</m:t>
          </m:r>
          <m:r>
            <m:rPr>
              <m:sty m:val="bi"/>
            </m:rPr>
            <w:rPr>
              <w:rFonts w:ascii="Cambria Math" w:hAnsi="Cambria Math"/>
              <w:szCs w:val="20"/>
              <w:lang w:val="bg-BG"/>
            </w:rPr>
            <m:t xml:space="preserve">177 </m:t>
          </m:r>
          <m:d>
            <m:dPr>
              <m:begChr m:val="["/>
              <m:endChr m:val="]"/>
              <m:ctrlPr>
                <w:rPr>
                  <w:rFonts w:ascii="Cambria Math" w:hAnsi="Cambria Math"/>
                  <w:b/>
                  <w:i/>
                  <w:szCs w:val="20"/>
                  <w:lang w:val="bg-BG"/>
                </w:rPr>
              </m:ctrlPr>
            </m:dPr>
            <m:e>
              <m:r>
                <m:rPr>
                  <m:sty m:val="bi"/>
                </m:rPr>
                <w:rPr>
                  <w:rFonts w:ascii="Cambria Math" w:hAnsi="Cambria Math"/>
                  <w:szCs w:val="20"/>
                  <w:lang w:val="bg-BG"/>
                </w:rPr>
                <m:t>kN</m:t>
              </m:r>
            </m:e>
          </m:d>
        </m:oMath>
      </m:oMathPara>
    </w:p>
    <w:p w:rsidR="004F47BB" w:rsidRPr="009072DA" w:rsidRDefault="004F47BB" w:rsidP="004F47BB">
      <w:pPr>
        <w:tabs>
          <w:tab w:val="left" w:pos="284"/>
          <w:tab w:val="left" w:pos="45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r w:rsidRPr="009072DA">
        <w:rPr>
          <w:lang w:val="bg-BG"/>
        </w:rPr>
        <w:t>ж)</w:t>
      </w:r>
      <w:r w:rsidRPr="009072DA">
        <w:rPr>
          <w:lang w:val="bg-BG"/>
        </w:rPr>
        <w:tab/>
        <w:t xml:space="preserve">Изчисляване на </w:t>
      </w: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IST</m:t>
                </m:r>
              </m:sub>
            </m:sSub>
          </m:sub>
        </m:sSub>
      </m:oMath>
      <w:r w:rsidRPr="009072DA">
        <w:rPr>
          <w:lang w:val="bg-BG"/>
        </w:rPr>
        <w:t xml:space="preserve"> като се използва формула б) и резултатите от в), г), д) и е) </w:t>
      </w:r>
    </w:p>
    <w:p w:rsidR="004F47BB" w:rsidRPr="009072DA" w:rsidRDefault="004F47BB" w:rsidP="004F47BB">
      <w:pPr>
        <w:tabs>
          <w:tab w:val="left" w:pos="284"/>
          <w:tab w:val="left" w:pos="454"/>
        </w:tabs>
        <w:overflowPunct w:val="0"/>
        <w:adjustRightInd w:val="0"/>
        <w:spacing w:line="240" w:lineRule="exact"/>
        <w:ind w:left="284" w:hanging="284"/>
        <w:textAlignment w:val="baseline"/>
        <w:rPr>
          <w:szCs w:val="20"/>
          <w:lang w:val="bg-BG"/>
        </w:rPr>
      </w:pPr>
    </w:p>
    <w:p w:rsidR="004F47BB" w:rsidRPr="009072DA" w:rsidRDefault="002B712C" w:rsidP="004F47BB">
      <w:pPr>
        <w:tabs>
          <w:tab w:val="left" w:pos="992"/>
        </w:tabs>
        <w:overflowPunct w:val="0"/>
        <w:adjustRightInd w:val="0"/>
        <w:spacing w:line="240" w:lineRule="atLeast"/>
        <w:ind w:left="992" w:firstLine="1"/>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IST</m:t>
                  </m:r>
                </m:sub>
              </m:sSub>
            </m:sub>
          </m:sSub>
          <m:r>
            <w:rPr>
              <w:rFonts w:ascii="Cambria Math" w:hAnsi="Cambria Math"/>
              <w:szCs w:val="20"/>
              <w:lang w:val="bg-BG"/>
            </w:rPr>
            <m:t xml:space="preserve">= </m:t>
          </m:r>
          <m:f>
            <m:fPr>
              <m:ctrlPr>
                <w:rPr>
                  <w:rFonts w:ascii="Cambria Math" w:hAnsi="Cambria Math"/>
                  <w:i/>
                  <w:szCs w:val="20"/>
                  <w:lang w:val="bg-BG"/>
                </w:rPr>
              </m:ctrlPr>
            </m:fPr>
            <m:num>
              <m:r>
                <w:rPr>
                  <w:rFonts w:ascii="Cambria Math" w:hAnsi="Cambria Math"/>
                  <w:szCs w:val="20"/>
                  <w:lang w:val="bg-BG"/>
                </w:rPr>
                <m:t xml:space="preserve">0,12 ∙8,35 ∙9,81 ∙  </m:t>
              </m:r>
              <m:d>
                <m:dPr>
                  <m:ctrlPr>
                    <w:rPr>
                      <w:rFonts w:ascii="Cambria Math" w:hAnsi="Cambria Math"/>
                      <w:i/>
                      <w:szCs w:val="20"/>
                      <w:lang w:val="bg-BG"/>
                    </w:rPr>
                  </m:ctrlPr>
                </m:dPr>
                <m:e>
                  <m:r>
                    <w:rPr>
                      <w:rFonts w:ascii="Cambria Math" w:hAnsi="Cambria Math"/>
                      <w:szCs w:val="20"/>
                      <w:lang w:val="bg-BG"/>
                    </w:rPr>
                    <m:t xml:space="preserve">0,48+ </m:t>
                  </m:r>
                  <m:f>
                    <m:fPr>
                      <m:ctrlPr>
                        <w:rPr>
                          <w:rFonts w:ascii="Cambria Math" w:hAnsi="Cambria Math"/>
                          <w:i/>
                          <w:szCs w:val="20"/>
                          <w:lang w:val="bg-BG"/>
                        </w:rPr>
                      </m:ctrlPr>
                    </m:fPr>
                    <m:num>
                      <m:r>
                        <w:rPr>
                          <w:rFonts w:ascii="Cambria Math" w:hAnsi="Cambria Math"/>
                          <w:szCs w:val="20"/>
                          <w:lang w:val="bg-BG"/>
                        </w:rPr>
                        <m:t>1,4</m:t>
                      </m:r>
                    </m:num>
                    <m:den>
                      <m:r>
                        <w:rPr>
                          <w:rFonts w:ascii="Cambria Math" w:hAnsi="Cambria Math"/>
                          <w:szCs w:val="20"/>
                          <w:lang w:val="bg-BG"/>
                        </w:rPr>
                        <m:t>2,89</m:t>
                      </m:r>
                    </m:den>
                  </m:f>
                </m:e>
              </m:d>
            </m:num>
            <m:den>
              <m:r>
                <w:rPr>
                  <w:rFonts w:ascii="Cambria Math" w:hAnsi="Cambria Math"/>
                  <w:szCs w:val="20"/>
                  <w:lang w:val="bg-BG"/>
                </w:rPr>
                <m:t>1,15 ∙177+35,4-15,02</m:t>
              </m:r>
            </m:den>
          </m:f>
          <m:r>
            <w:rPr>
              <w:rFonts w:ascii="Cambria Math" w:hAnsi="Cambria Math"/>
              <w:szCs w:val="20"/>
              <w:lang w:val="bg-BG"/>
            </w:rPr>
            <m:t xml:space="preserve"> ∙ 9568</m:t>
          </m:r>
        </m:oMath>
      </m:oMathPara>
    </w:p>
    <w:p w:rsidR="004F47BB" w:rsidRPr="009072DA" w:rsidRDefault="004F47BB" w:rsidP="004F47BB">
      <w:pPr>
        <w:tabs>
          <w:tab w:val="left" w:pos="1418"/>
        </w:tabs>
        <w:overflowPunct w:val="0"/>
        <w:adjustRightInd w:val="0"/>
        <w:spacing w:line="240" w:lineRule="atLeast"/>
        <w:ind w:left="1417"/>
        <w:textAlignment w:val="baseline"/>
        <w:rPr>
          <w:szCs w:val="20"/>
          <w:lang w:val="bg-BG"/>
        </w:rPr>
      </w:pPr>
    </w:p>
    <w:p w:rsidR="004F47BB" w:rsidRPr="009072DA" w:rsidRDefault="002B712C" w:rsidP="004F47BB">
      <w:pPr>
        <w:tabs>
          <w:tab w:val="left" w:pos="992"/>
        </w:tabs>
        <w:overflowPunct w:val="0"/>
        <w:adjustRightInd w:val="0"/>
        <w:spacing w:line="240" w:lineRule="atLeast"/>
        <w:ind w:left="992"/>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IST</m:t>
                  </m:r>
                </m:sub>
              </m:sSub>
            </m:sub>
          </m:sSub>
          <m:r>
            <w:rPr>
              <w:rFonts w:ascii="Cambria Math" w:hAnsi="Cambria Math"/>
              <w:szCs w:val="20"/>
              <w:lang w:val="bg-BG"/>
            </w:rPr>
            <m:t>=</m:t>
          </m:r>
          <m:r>
            <m:rPr>
              <m:sty m:val="bi"/>
            </m:rPr>
            <w:rPr>
              <w:rFonts w:ascii="Cambria Math" w:hAnsi="Cambria Math"/>
              <w:szCs w:val="20"/>
              <w:lang w:val="bg-BG"/>
            </w:rPr>
            <m:t>402 m</m:t>
          </m:r>
        </m:oMath>
      </m:oMathPara>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r w:rsidRPr="009072DA">
        <w:rPr>
          <w:lang w:val="bg-BG"/>
        </w:rPr>
        <w:t>з)</w:t>
      </w:r>
      <w:r w:rsidRPr="009072DA">
        <w:rPr>
          <w:lang w:val="bg-BG"/>
        </w:rPr>
        <w:tab/>
        <w:t>Изчисляване на общото разстояние съгласно формула (3.1)</w:t>
      </w:r>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p>
    <w:p w:rsidR="004F47BB" w:rsidRPr="009072DA" w:rsidRDefault="002B712C" w:rsidP="004F47BB">
      <w:pPr>
        <w:tabs>
          <w:tab w:val="left" w:pos="992"/>
        </w:tabs>
        <w:overflowPunct w:val="0"/>
        <w:adjustRightInd w:val="0"/>
        <w:spacing w:line="240" w:lineRule="atLeast"/>
        <w:ind w:left="992"/>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m:t>
                  </m:r>
                </m:e>
                <m:sub>
                  <m:r>
                    <w:rPr>
                      <w:rFonts w:ascii="Cambria Math" w:hAnsi="Cambria Math"/>
                      <w:szCs w:val="20"/>
                      <w:lang w:val="bg-BG"/>
                    </w:rPr>
                    <m:t>IST</m:t>
                  </m:r>
                </m:sub>
              </m:sSub>
            </m:sub>
          </m:sSub>
          <m:r>
            <w:rPr>
              <w:rFonts w:ascii="Cambria Math" w:hAnsi="Cambria Math"/>
              <w:szCs w:val="20"/>
              <w:lang w:val="bg-BG"/>
            </w:rPr>
            <m:t>=73+402=</m:t>
          </m:r>
          <m:r>
            <m:rPr>
              <m:sty m:val="bi"/>
            </m:rPr>
            <w:rPr>
              <w:rFonts w:ascii="Cambria Math" w:hAnsi="Cambria Math"/>
              <w:szCs w:val="20"/>
              <w:lang w:val="bg-BG"/>
            </w:rPr>
            <m:t>475 m</m:t>
          </m:r>
        </m:oMath>
      </m:oMathPara>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567"/>
        </w:tabs>
        <w:overflowPunct w:val="0"/>
        <w:adjustRightInd w:val="0"/>
        <w:spacing w:line="240" w:lineRule="atLeast"/>
        <w:ind w:left="567" w:hanging="567"/>
        <w:textAlignment w:val="baseline"/>
        <w:rPr>
          <w:b/>
          <w:bCs/>
          <w:position w:val="6"/>
          <w:szCs w:val="20"/>
          <w:lang w:val="bg-BG"/>
        </w:rPr>
      </w:pPr>
      <w:r w:rsidRPr="009072DA">
        <w:rPr>
          <w:b/>
          <w:lang w:val="bg-BG"/>
        </w:rPr>
        <w:t>4.3</w:t>
      </w:r>
      <w:r w:rsidRPr="009072DA">
        <w:rPr>
          <w:lang w:val="bg-BG"/>
        </w:rPr>
        <w:tab/>
      </w:r>
      <w:r w:rsidRPr="009072DA">
        <w:rPr>
          <w:b/>
          <w:lang w:val="bg-BG"/>
        </w:rPr>
        <w:t xml:space="preserve">Изчисляване на </w:t>
      </w:r>
      <m:oMath>
        <m:sSub>
          <m:sSubPr>
            <m:ctrlPr>
              <w:rPr>
                <w:rFonts w:ascii="Cambria Math" w:hAnsi="Cambria Math"/>
                <w:i/>
                <w:lang w:val="bg-BG"/>
              </w:rPr>
            </m:ctrlPr>
          </m:sSubPr>
          <m:e>
            <m:r>
              <w:rPr>
                <w:rFonts w:ascii="Cambria Math" w:hAnsi="Cambria Math"/>
                <w:lang w:val="bg-BG"/>
              </w:rPr>
              <m:t>s</m:t>
            </m:r>
          </m:e>
          <m:sub>
            <m:r>
              <w:rPr>
                <w:rFonts w:ascii="Cambria Math" w:hAnsi="Cambria Math"/>
                <w:lang w:val="bg-BG"/>
              </w:rPr>
              <m:t>SOLL</m:t>
            </m:r>
          </m:sub>
        </m:sSub>
      </m:oMath>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567"/>
        </w:tabs>
        <w:overflowPunct w:val="0"/>
        <w:adjustRightInd w:val="0"/>
        <w:spacing w:line="240" w:lineRule="atLeast"/>
        <w:ind w:left="567"/>
        <w:textAlignment w:val="baseline"/>
        <w:rPr>
          <w:szCs w:val="20"/>
          <w:lang w:val="bg-BG"/>
        </w:rPr>
      </w:pPr>
      <w:r w:rsidRPr="009072DA">
        <w:rPr>
          <w:lang w:val="bg-BG"/>
        </w:rPr>
        <w:t xml:space="preserve">Начални стойности: </w:t>
      </w:r>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p>
    <w:p w:rsidR="004F47BB" w:rsidRPr="009072DA" w:rsidRDefault="002B712C"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STR</m:t>
                </m:r>
              </m:e>
              <m:sub>
                <m:r>
                  <w:rPr>
                    <w:rFonts w:ascii="Cambria Math" w:hAnsi="Cambria Math"/>
                    <w:szCs w:val="20"/>
                    <w:lang w:val="bg-BG"/>
                  </w:rPr>
                  <m:t>SOLL</m:t>
                </m:r>
              </m:sub>
            </m:sSub>
          </m:sub>
        </m:sSub>
        <m:r>
          <w:rPr>
            <w:rFonts w:ascii="Cambria Math" w:hAnsi="Cambria Math"/>
            <w:szCs w:val="20"/>
            <w:lang w:val="bg-BG"/>
          </w:rPr>
          <m:t>=1,5 m/s  ≈  5,4  km/h</m:t>
        </m:r>
      </m:oMath>
      <w:r w:rsidR="007B1046" w:rsidRPr="009072DA">
        <w:rPr>
          <w:lang w:val="bg-BG"/>
        </w:rPr>
        <w:tab/>
      </w:r>
      <m:oMath>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SOLL</m:t>
            </m:r>
          </m:sub>
        </m:sSub>
      </m:oMath>
      <w:r w:rsidR="007B1046" w:rsidRPr="009072DA">
        <w:rPr>
          <w:lang w:val="bg-BG"/>
        </w:rPr>
        <w:t xml:space="preserve"> = </w:t>
      </w:r>
      <m:oMath>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IST</m:t>
            </m:r>
          </m:sub>
        </m:sSub>
        <m:r>
          <w:rPr>
            <w:rFonts w:ascii="Cambria Math" w:hAnsi="Cambria Math"/>
            <w:szCs w:val="20"/>
            <w:lang w:val="bg-BG"/>
          </w:rPr>
          <m:t xml:space="preserve">=9568 </m:t>
        </m:r>
        <m:sSup>
          <m:sSupPr>
            <m:ctrlPr>
              <w:rPr>
                <w:rFonts w:ascii="Cambria Math" w:hAnsi="Cambria Math"/>
                <w:i/>
                <w:szCs w:val="20"/>
                <w:lang w:val="bg-BG"/>
              </w:rPr>
            </m:ctrlPr>
          </m:sSupPr>
          <m:e>
            <m:r>
              <w:rPr>
                <w:rFonts w:ascii="Cambria Math" w:hAnsi="Cambria Math"/>
                <w:szCs w:val="20"/>
                <w:lang w:val="bg-BG"/>
              </w:rPr>
              <m:t>m</m:t>
            </m:r>
          </m:e>
          <m:sup>
            <m:r>
              <w:rPr>
                <w:rFonts w:ascii="Cambria Math" w:hAnsi="Cambria Math"/>
                <w:szCs w:val="20"/>
                <w:lang w:val="bg-BG"/>
              </w:rPr>
              <m:t>3</m:t>
            </m:r>
          </m:sup>
        </m:sSup>
      </m:oMath>
    </w:p>
    <w:p w:rsidR="004F47BB" w:rsidRPr="009072DA" w:rsidRDefault="004F47BB" w:rsidP="004F47BB">
      <w:pPr>
        <w:tabs>
          <w:tab w:val="left" w:pos="284"/>
          <w:tab w:val="left" w:pos="1418"/>
          <w:tab w:val="left" w:pos="2552"/>
        </w:tabs>
        <w:overflowPunct w:val="0"/>
        <w:adjustRightInd w:val="0"/>
        <w:spacing w:line="240" w:lineRule="exact"/>
        <w:textAlignment w:val="baseline"/>
        <w:rPr>
          <w:szCs w:val="20"/>
          <w:lang w:val="bg-BG"/>
        </w:rPr>
      </w:pPr>
    </w:p>
    <w:p w:rsidR="004F47BB" w:rsidRPr="009072DA" w:rsidRDefault="002B712C"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SOLL</m:t>
                </m:r>
              </m:sub>
            </m:sSub>
          </m:sub>
        </m:sSub>
        <m:r>
          <w:rPr>
            <w:rFonts w:ascii="Cambria Math" w:hAnsi="Cambria Math"/>
            <w:szCs w:val="20"/>
            <w:lang w:val="bg-BG"/>
          </w:rPr>
          <m:t>=3,6 m/s  ≈  13  km/h</m:t>
        </m:r>
      </m:oMath>
      <w:r w:rsidR="007B1046" w:rsidRPr="009072DA">
        <w:rPr>
          <w:lang w:val="bg-BG"/>
        </w:rPr>
        <w:tab/>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SOLL</m:t>
            </m:r>
          </m:sub>
        </m:sSub>
      </m:oMath>
      <w:r w:rsidR="007B1046" w:rsidRPr="009072DA">
        <w:rPr>
          <w:lang w:val="bg-BG"/>
        </w:rPr>
        <w:t xml:space="preserve"> = </w:t>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IST</m:t>
            </m:r>
          </m:sub>
        </m:sSub>
        <m:r>
          <w:rPr>
            <w:rFonts w:ascii="Cambria Math" w:hAnsi="Cambria Math"/>
            <w:szCs w:val="20"/>
            <w:lang w:val="bg-BG"/>
          </w:rPr>
          <m:t>=2,96 m</m:t>
        </m:r>
      </m:oMath>
    </w:p>
    <w:p w:rsidR="004F47BB" w:rsidRPr="009072DA" w:rsidRDefault="004F47BB"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bg-BG"/>
        </w:rPr>
      </w:pPr>
    </w:p>
    <w:p w:rsidR="004F47BB" w:rsidRPr="009072DA" w:rsidRDefault="002B712C" w:rsidP="004F47BB">
      <w:pPr>
        <w:tabs>
          <w:tab w:val="left" w:pos="567"/>
        </w:tabs>
        <w:overflowPunct w:val="0"/>
        <w:adjustRightInd w:val="0"/>
        <w:spacing w:line="240" w:lineRule="atLeast"/>
        <w:ind w:left="567"/>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L</m:t>
                  </m:r>
                </m:e>
                <m:sub>
                  <m:r>
                    <w:rPr>
                      <w:rFonts w:ascii="Cambria Math" w:hAnsi="Cambria Math"/>
                      <w:szCs w:val="20"/>
                      <w:lang w:val="bg-BG"/>
                    </w:rPr>
                    <m:t>SOLL</m:t>
                  </m:r>
                </m:sub>
              </m:sSub>
            </m:sub>
          </m:sSub>
          <m:r>
            <w:rPr>
              <w:rFonts w:ascii="Cambria Math" w:hAnsi="Cambria Math"/>
              <w:szCs w:val="20"/>
              <w:lang w:val="bg-BG"/>
            </w:rPr>
            <m:t>=5,1 m/s  ≈  18,4  km/h</m:t>
          </m:r>
        </m:oMath>
      </m:oMathPara>
    </w:p>
    <w:p w:rsidR="004F47BB" w:rsidRPr="009072DA" w:rsidRDefault="004F47BB"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bg-BG"/>
        </w:rPr>
      </w:pPr>
    </w:p>
    <w:p w:rsidR="004F47BB" w:rsidRPr="009072DA" w:rsidRDefault="004F47BB" w:rsidP="004F47BB">
      <w:pPr>
        <w:tabs>
          <w:tab w:val="left" w:pos="992"/>
          <w:tab w:val="left" w:pos="1843"/>
          <w:tab w:val="left" w:pos="2127"/>
        </w:tabs>
        <w:overflowPunct w:val="0"/>
        <w:adjustRightInd w:val="0"/>
        <w:spacing w:line="240" w:lineRule="atLeast"/>
        <w:ind w:left="992"/>
        <w:textAlignment w:val="baseline"/>
        <w:rPr>
          <w:szCs w:val="20"/>
          <w:lang w:val="bg-BG"/>
        </w:rPr>
      </w:pPr>
      <w:r w:rsidRPr="009072DA">
        <w:rPr>
          <w:lang w:val="bg-BG"/>
        </w:rPr>
        <w:t>a)</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m:t>
                </m:r>
              </m:e>
              <m:sub>
                <m:r>
                  <w:rPr>
                    <w:rFonts w:ascii="Cambria Math" w:hAnsi="Cambria Math"/>
                    <w:szCs w:val="20"/>
                    <w:lang w:val="bg-BG"/>
                  </w:rPr>
                  <m:t>SOLL</m:t>
                </m:r>
              </m:sub>
            </m:sSub>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1</m:t>
            </m:r>
          </m:sub>
        </m:sSub>
        <m:r>
          <w:rPr>
            <w:rFonts w:ascii="Cambria Math" w:hAnsi="Cambria Math"/>
            <w:szCs w:val="20"/>
            <w:lang w:val="bg-BG"/>
          </w:rPr>
          <m:t xml:space="preserve"> ∙ </m:t>
        </m:r>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L</m:t>
                </m:r>
              </m:e>
              <m:sub>
                <m:r>
                  <w:rPr>
                    <w:rFonts w:ascii="Cambria Math" w:hAnsi="Cambria Math"/>
                    <w:szCs w:val="20"/>
                    <w:lang w:val="bg-BG"/>
                  </w:rPr>
                  <m:t>SOLL</m:t>
                </m:r>
              </m:sub>
            </m:sSub>
          </m:sub>
        </m:sSub>
        <m:r>
          <w:rPr>
            <w:rFonts w:ascii="Cambria Math" w:hAnsi="Cambria Math"/>
            <w:szCs w:val="20"/>
            <w:lang w:val="bg-BG"/>
          </w:rPr>
          <m:t xml:space="preserve"> ∙ </m:t>
        </m:r>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I</m:t>
            </m:r>
          </m:sub>
        </m:sSub>
      </m:oMath>
    </w:p>
    <w:p w:rsidR="004F47BB" w:rsidRPr="009072DA" w:rsidRDefault="004F47BB" w:rsidP="004F47BB">
      <w:pPr>
        <w:tabs>
          <w:tab w:val="left" w:pos="284"/>
          <w:tab w:val="left" w:pos="851"/>
          <w:tab w:val="left" w:pos="1134"/>
          <w:tab w:val="left" w:pos="3261"/>
        </w:tabs>
        <w:overflowPunct w:val="0"/>
        <w:adjustRightInd w:val="0"/>
        <w:spacing w:line="240" w:lineRule="exact"/>
        <w:ind w:left="284" w:hanging="284"/>
        <w:textAlignment w:val="baseline"/>
        <w:rPr>
          <w:szCs w:val="20"/>
          <w:lang w:val="bg-BG"/>
        </w:rPr>
      </w:pPr>
    </w:p>
    <w:p w:rsidR="004F47BB" w:rsidRPr="009072DA" w:rsidRDefault="002B712C" w:rsidP="004F47BB">
      <w:pPr>
        <w:tabs>
          <w:tab w:val="left" w:pos="992"/>
          <w:tab w:val="left" w:pos="1843"/>
          <w:tab w:val="left" w:pos="2127"/>
        </w:tabs>
        <w:overflowPunct w:val="0"/>
        <w:adjustRightInd w:val="0"/>
        <w:spacing w:line="240" w:lineRule="atLeast"/>
        <w:ind w:left="992" w:firstLine="1"/>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m:t>
                  </m:r>
                </m:e>
                <m:sub>
                  <m:r>
                    <w:rPr>
                      <w:rFonts w:ascii="Cambria Math" w:hAnsi="Cambria Math"/>
                      <w:szCs w:val="20"/>
                      <w:lang w:val="bg-BG"/>
                    </w:rPr>
                    <m:t>SOLL</m:t>
                  </m:r>
                </m:sub>
              </m:sSub>
            </m:sub>
          </m:sSub>
          <m:r>
            <w:rPr>
              <w:rFonts w:ascii="Cambria Math" w:hAnsi="Cambria Math"/>
              <w:szCs w:val="20"/>
              <w:lang w:val="bg-BG"/>
            </w:rPr>
            <m:t>=0,95 ∙5,1 ∙16=</m:t>
          </m:r>
          <m:r>
            <m:rPr>
              <m:sty m:val="bi"/>
            </m:rPr>
            <w:rPr>
              <w:rFonts w:ascii="Cambria Math" w:hAnsi="Cambria Math"/>
              <w:szCs w:val="20"/>
              <w:lang w:val="bg-BG"/>
            </w:rPr>
            <m:t>77,50 m</m:t>
          </m:r>
        </m:oMath>
      </m:oMathPara>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bg-BG"/>
        </w:rPr>
      </w:pPr>
      <w:r w:rsidRPr="009072DA">
        <w:rPr>
          <w:lang w:val="bg-BG"/>
        </w:rPr>
        <w:lastRenderedPageBreak/>
        <w:t>б)</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2</m:t>
            </m:r>
          </m:sub>
        </m:sSub>
        <m:r>
          <w:rPr>
            <w:rFonts w:ascii="Cambria Math" w:hAnsi="Cambria Math"/>
            <w:szCs w:val="20"/>
            <w:lang w:val="bg-BG"/>
          </w:rPr>
          <m:t xml:space="preserve"> ∙ </m:t>
        </m:r>
        <m:sSub>
          <m:sSubPr>
            <m:ctrlPr>
              <w:rPr>
                <w:rFonts w:ascii="Cambria Math" w:hAnsi="Cambria Math"/>
                <w:i/>
                <w:szCs w:val="20"/>
                <w:lang w:val="bg-BG"/>
              </w:rPr>
            </m:ctrlPr>
          </m:sSubPr>
          <m:e>
            <m:sSup>
              <m:sSupPr>
                <m:ctrlPr>
                  <w:rPr>
                    <w:rFonts w:ascii="Cambria Math" w:hAnsi="Cambria Math"/>
                    <w:i/>
                    <w:szCs w:val="20"/>
                    <w:lang w:val="bg-BG"/>
                  </w:rPr>
                </m:ctrlPr>
              </m:sSupPr>
              <m:e>
                <m:r>
                  <w:rPr>
                    <w:rFonts w:ascii="Cambria Math" w:hAnsi="Cambria Math"/>
                    <w:szCs w:val="20"/>
                    <w:lang w:val="bg-BG"/>
                  </w:rPr>
                  <m:t>v</m:t>
                </m:r>
              </m:e>
              <m:sup>
                <m:r>
                  <w:rPr>
                    <w:rFonts w:ascii="Cambria Math" w:hAnsi="Cambria Math"/>
                    <w:szCs w:val="20"/>
                    <w:lang w:val="bg-BG"/>
                  </w:rPr>
                  <m:t>2</m:t>
                </m:r>
              </m:sup>
            </m:sSup>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r>
          <w:rPr>
            <w:rFonts w:ascii="Cambria Math" w:hAnsi="Cambria Math"/>
            <w:szCs w:val="20"/>
            <w:lang w:val="bg-BG"/>
          </w:rPr>
          <m:t xml:space="preserve"> ∙ </m:t>
        </m:r>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SOLL</m:t>
                </m:r>
              </m:sub>
            </m:sSub>
            <m:r>
              <w:rPr>
                <w:rFonts w:ascii="Cambria Math" w:hAnsi="Cambria Math"/>
                <w:szCs w:val="20"/>
                <w:lang w:val="bg-BG"/>
              </w:rPr>
              <m:t xml:space="preserve"> ∙  g</m:t>
            </m:r>
          </m:num>
          <m:den>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3</m:t>
                </m:r>
              </m:sub>
            </m:sSub>
            <m:r>
              <w:rPr>
                <w:rFonts w:ascii="Cambria Math" w:hAnsi="Cambria Math"/>
                <w:szCs w:val="20"/>
                <w:lang w:val="bg-BG"/>
              </w:rPr>
              <m:t xml:space="preserve"> ∙ </m:t>
            </m:r>
            <m:sSub>
              <m:sSubPr>
                <m:ctrlPr>
                  <w:rPr>
                    <w:rFonts w:ascii="Cambria Math" w:hAnsi="Cambria Math"/>
                    <w:i/>
                    <w:szCs w:val="20"/>
                    <w:lang w:val="bg-BG"/>
                  </w:rPr>
                </m:ctrlPr>
              </m:sSubPr>
              <m:e>
                <m:r>
                  <w:rPr>
                    <w:rFonts w:ascii="Cambria Math" w:hAnsi="Cambria Math"/>
                    <w:szCs w:val="20"/>
                    <w:lang w:val="bg-BG"/>
                  </w:rPr>
                  <m:t>F</m:t>
                </m:r>
              </m:e>
              <m:sub>
                <m:r>
                  <w:rPr>
                    <w:rFonts w:ascii="Cambria Math" w:hAnsi="Cambria Math"/>
                    <w:szCs w:val="20"/>
                    <w:lang w:val="bg-BG"/>
                  </w:rPr>
                  <m:t>POR</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R</m:t>
                </m:r>
              </m:e>
              <m:sub>
                <m:sSub>
                  <m:sSubPr>
                    <m:ctrlPr>
                      <w:rPr>
                        <w:rFonts w:ascii="Cambria Math" w:hAnsi="Cambria Math"/>
                        <w:i/>
                        <w:szCs w:val="20"/>
                        <w:lang w:val="bg-BG"/>
                      </w:rPr>
                    </m:ctrlPr>
                  </m:sSubPr>
                  <m:e>
                    <m:r>
                      <w:rPr>
                        <w:rFonts w:ascii="Cambria Math" w:hAnsi="Cambria Math"/>
                        <w:szCs w:val="20"/>
                        <w:lang w:val="bg-BG"/>
                      </w:rPr>
                      <m:t>TmII</m:t>
                    </m:r>
                  </m:e>
                  <m:sub>
                    <m:r>
                      <w:rPr>
                        <w:rFonts w:ascii="Cambria Math" w:hAnsi="Cambria Math"/>
                        <w:szCs w:val="20"/>
                        <w:lang w:val="bg-BG"/>
                      </w:rPr>
                      <m:t>SOLL</m:t>
                    </m:r>
                  </m:sub>
                </m:sSub>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G</m:t>
                </m:r>
              </m:sub>
            </m:sSub>
          </m:den>
        </m:f>
        <m:r>
          <w:rPr>
            <w:rFonts w:ascii="Cambria Math" w:hAnsi="Cambria Math"/>
            <w:szCs w:val="20"/>
            <w:lang w:val="bg-BG"/>
          </w:rPr>
          <m:t xml:space="preserve"> ∙ </m:t>
        </m:r>
        <m:d>
          <m:dPr>
            <m:ctrlPr>
              <w:rPr>
                <w:rFonts w:ascii="Cambria Math" w:hAnsi="Cambria Math"/>
                <w:i/>
                <w:szCs w:val="20"/>
                <w:lang w:val="bg-BG"/>
              </w:rPr>
            </m:ctrlPr>
          </m:dPr>
          <m:e>
            <m:sSub>
              <m:sSubPr>
                <m:ctrlPr>
                  <w:rPr>
                    <w:rFonts w:ascii="Cambria Math" w:hAnsi="Cambria Math"/>
                    <w:i/>
                    <w:szCs w:val="20"/>
                    <w:lang w:val="bg-BG"/>
                  </w:rPr>
                </m:ctrlPr>
              </m:sSubPr>
              <m:e>
                <m:r>
                  <w:rPr>
                    <w:rFonts w:ascii="Cambria Math" w:hAnsi="Cambria Math"/>
                    <w:szCs w:val="20"/>
                    <w:lang w:val="bg-BG"/>
                  </w:rPr>
                  <m:t>k</m:t>
                </m:r>
              </m:e>
              <m:sub>
                <m:r>
                  <w:rPr>
                    <w:rFonts w:ascii="Cambria Math" w:hAnsi="Cambria Math"/>
                    <w:szCs w:val="20"/>
                    <w:lang w:val="bg-BG"/>
                  </w:rPr>
                  <m:t>4</m:t>
                </m:r>
              </m:sub>
            </m:sSub>
            <m:r>
              <w:rPr>
                <w:rFonts w:ascii="Cambria Math" w:hAnsi="Cambria Math"/>
                <w:szCs w:val="20"/>
                <w:lang w:val="bg-BG"/>
              </w:rPr>
              <m:t xml:space="preserve">+ </m:t>
            </m:r>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STR</m:t>
                        </m:r>
                      </m:e>
                      <m:sub>
                        <m:r>
                          <w:rPr>
                            <w:rFonts w:ascii="Cambria Math" w:hAnsi="Cambria Math"/>
                            <w:szCs w:val="20"/>
                            <w:lang w:val="bg-BG"/>
                          </w:rPr>
                          <m:t>SOLL</m:t>
                        </m:r>
                      </m:sub>
                    </m:sSub>
                  </m:sub>
                </m:sSub>
              </m:num>
              <m:den>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den>
            </m:f>
          </m:e>
        </m:d>
      </m:oMath>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r w:rsidRPr="009072DA">
        <w:rPr>
          <w:lang w:val="bg-BG"/>
        </w:rPr>
        <w:br w:type="page"/>
      </w:r>
    </w:p>
    <w:p w:rsidR="004F47BB" w:rsidRPr="009072DA" w:rsidRDefault="004F47BB" w:rsidP="004F47BB">
      <w:pPr>
        <w:tabs>
          <w:tab w:val="left" w:pos="992"/>
        </w:tabs>
        <w:overflowPunct w:val="0"/>
        <w:adjustRightInd w:val="0"/>
        <w:spacing w:before="60" w:line="240" w:lineRule="atLeast"/>
        <w:ind w:left="992"/>
        <w:textAlignment w:val="baseline"/>
        <w:rPr>
          <w:szCs w:val="20"/>
          <w:lang w:val="bg-BG"/>
        </w:rPr>
      </w:pPr>
      <w:r w:rsidRPr="009072DA">
        <w:rPr>
          <w:lang w:val="bg-BG"/>
        </w:rPr>
        <w:lastRenderedPageBreak/>
        <w:t>в)</w:t>
      </w:r>
      <w:r w:rsidRPr="009072DA">
        <w:rPr>
          <w:lang w:val="bg-BG"/>
        </w:rPr>
        <w:tab/>
        <w:t xml:space="preserve">Изчисляване на </w:t>
      </w: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TmII</m:t>
                </m:r>
              </m:sub>
            </m:sSub>
          </m:e>
          <m:sub>
            <m:r>
              <w:rPr>
                <w:rFonts w:ascii="Cambria Math" w:hAnsi="Cambria Math"/>
                <w:lang w:val="bg-BG"/>
              </w:rPr>
              <m:t>SOLL</m:t>
            </m:r>
          </m:sub>
        </m:sSub>
      </m:oMath>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3686"/>
        </w:tabs>
        <w:overflowPunct w:val="0"/>
        <w:adjustRightInd w:val="0"/>
        <w:spacing w:line="240" w:lineRule="atLeast"/>
        <w:ind w:left="993" w:hanging="1"/>
        <w:textAlignment w:val="baseline"/>
        <w:rPr>
          <w:szCs w:val="20"/>
          <w:lang w:val="bg-BG"/>
        </w:rPr>
      </w:pPr>
      <w:r w:rsidRPr="009072DA">
        <w:rPr>
          <w:lang w:val="bg-BG"/>
        </w:rPr>
        <w:tab/>
      </w:r>
      <m:oMath>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T</m:t>
                </m:r>
              </m:sub>
            </m:sSub>
          </m:num>
          <m:den>
            <m:sSup>
              <m:sSupPr>
                <m:ctrlPr>
                  <w:rPr>
                    <w:rFonts w:ascii="Cambria Math" w:hAnsi="Cambria Math"/>
                    <w:i/>
                    <w:szCs w:val="20"/>
                    <w:lang w:val="bg-BG"/>
                  </w:rPr>
                </m:ctrlPr>
              </m:sSupPr>
              <m:e>
                <m:r>
                  <w:rPr>
                    <w:rFonts w:ascii="Cambria Math" w:hAnsi="Cambria Math"/>
                    <w:szCs w:val="20"/>
                    <w:lang w:val="bg-BG"/>
                  </w:rPr>
                  <m:t>v</m:t>
                </m:r>
              </m:e>
              <m:sup>
                <m:r>
                  <w:rPr>
                    <w:rFonts w:ascii="Cambria Math" w:hAnsi="Cambria Math"/>
                    <w:szCs w:val="20"/>
                    <w:lang w:val="bg-BG"/>
                  </w:rPr>
                  <m:t>2</m:t>
                </m:r>
              </m:sup>
            </m:sSup>
          </m:den>
        </m:f>
        <m:r>
          <w:rPr>
            <w:rFonts w:ascii="Cambria Math" w:hAnsi="Cambria Math"/>
            <w:szCs w:val="20"/>
            <w:lang w:val="bg-BG"/>
          </w:rPr>
          <m:t xml:space="preserve">=14,0 </m:t>
        </m:r>
        <m:d>
          <m:dPr>
            <m:ctrlPr>
              <w:rPr>
                <w:rFonts w:ascii="Cambria Math" w:hAnsi="Cambria Math"/>
                <w:i/>
                <w:szCs w:val="20"/>
                <w:lang w:val="bg-BG"/>
              </w:rPr>
            </m:ctrlPr>
          </m:dPr>
          <m:e>
            <m:f>
              <m:fPr>
                <m:ctrlPr>
                  <w:rPr>
                    <w:rFonts w:ascii="Cambria Math" w:hAnsi="Cambria Math"/>
                    <w:i/>
                    <w:szCs w:val="20"/>
                    <w:lang w:val="bg-BG"/>
                  </w:rPr>
                </m:ctrlPr>
              </m:fPr>
              <m:num>
                <m:r>
                  <w:rPr>
                    <w:rFonts w:ascii="Cambria Math" w:hAnsi="Cambria Math"/>
                    <w:szCs w:val="20"/>
                    <w:lang w:val="bg-BG"/>
                  </w:rPr>
                  <m:t xml:space="preserve">kN ∙ </m:t>
                </m:r>
                <m:sSup>
                  <m:sSupPr>
                    <m:ctrlPr>
                      <w:rPr>
                        <w:rFonts w:ascii="Cambria Math" w:hAnsi="Cambria Math"/>
                        <w:i/>
                        <w:szCs w:val="20"/>
                        <w:lang w:val="bg-BG"/>
                      </w:rPr>
                    </m:ctrlPr>
                  </m:sSupPr>
                  <m:e>
                    <m:r>
                      <w:rPr>
                        <w:rFonts w:ascii="Cambria Math" w:hAnsi="Cambria Math"/>
                        <w:szCs w:val="20"/>
                        <w:lang w:val="bg-BG"/>
                      </w:rPr>
                      <m:t>s</m:t>
                    </m:r>
                  </m:e>
                  <m:sup>
                    <m:r>
                      <w:rPr>
                        <w:rFonts w:ascii="Cambria Math" w:hAnsi="Cambria Math"/>
                        <w:szCs w:val="20"/>
                        <w:lang w:val="bg-BG"/>
                      </w:rPr>
                      <m:t>2</m:t>
                    </m:r>
                  </m:sup>
                </m:sSup>
              </m:num>
              <m:den>
                <m:sSup>
                  <m:sSupPr>
                    <m:ctrlPr>
                      <w:rPr>
                        <w:rFonts w:ascii="Cambria Math" w:hAnsi="Cambria Math"/>
                        <w:i/>
                        <w:szCs w:val="20"/>
                        <w:lang w:val="bg-BG"/>
                      </w:rPr>
                    </m:ctrlPr>
                  </m:sSupPr>
                  <m:e>
                    <m:r>
                      <w:rPr>
                        <w:rFonts w:ascii="Cambria Math" w:hAnsi="Cambria Math"/>
                        <w:szCs w:val="20"/>
                        <w:lang w:val="bg-BG"/>
                      </w:rPr>
                      <m:t>m</m:t>
                    </m:r>
                  </m:e>
                  <m:sup>
                    <m:r>
                      <w:rPr>
                        <w:rFonts w:ascii="Cambria Math" w:hAnsi="Cambria Math"/>
                        <w:szCs w:val="20"/>
                        <w:lang w:val="bg-BG"/>
                      </w:rPr>
                      <m:t>2</m:t>
                    </m:r>
                  </m:sup>
                </m:sSup>
              </m:den>
            </m:f>
          </m:e>
        </m:d>
      </m:oMath>
      <w:r w:rsidRPr="009072DA">
        <w:rPr>
          <w:lang w:val="bg-BG"/>
        </w:rPr>
        <w:tab/>
        <w:t xml:space="preserve">както в (4.2), тъй като </w:t>
      </w:r>
      <m:oMath>
        <m:r>
          <w:rPr>
            <w:rFonts w:ascii="Cambria Math" w:hAnsi="Cambria Math"/>
            <w:szCs w:val="20"/>
            <w:lang w:val="bg-BG"/>
          </w:rPr>
          <m:t>B</m:t>
        </m:r>
      </m:oMath>
      <w:r w:rsidRPr="009072DA">
        <w:rPr>
          <w:lang w:val="bg-BG"/>
        </w:rPr>
        <w:t xml:space="preserve">, </w:t>
      </w:r>
      <m:oMath>
        <m:r>
          <w:rPr>
            <w:rFonts w:ascii="Cambria Math" w:hAnsi="Cambria Math"/>
            <w:szCs w:val="20"/>
            <w:lang w:val="bg-BG"/>
          </w:rPr>
          <m:t>D</m:t>
        </m:r>
      </m:oMath>
      <w:r w:rsidRPr="009072DA">
        <w:rPr>
          <w:lang w:val="bg-BG"/>
        </w:rPr>
        <w:t xml:space="preserve"> и </w:t>
      </w:r>
      <m:oMath>
        <m:r>
          <w:rPr>
            <w:rFonts w:ascii="Cambria Math" w:hAnsi="Cambria Math"/>
            <w:szCs w:val="20"/>
            <w:lang w:val="bg-BG"/>
          </w:rPr>
          <m:t>T</m:t>
        </m:r>
      </m:oMath>
      <w:r w:rsidRPr="009072DA">
        <w:rPr>
          <w:lang w:val="bg-BG"/>
        </w:rPr>
        <w:t xml:space="preserve"> са непроменени</w:t>
      </w:r>
    </w:p>
    <w:p w:rsidR="004F47BB" w:rsidRPr="009072DA" w:rsidRDefault="004F47BB" w:rsidP="004F47BB">
      <w:pPr>
        <w:tabs>
          <w:tab w:val="center" w:pos="3119"/>
        </w:tabs>
        <w:overflowPunct w:val="0"/>
        <w:adjustRightInd w:val="0"/>
        <w:spacing w:line="240" w:lineRule="exact"/>
        <w:textAlignment w:val="baseline"/>
        <w:rPr>
          <w:szCs w:val="20"/>
          <w:lang w:val="bg-BG"/>
        </w:rPr>
      </w:pPr>
    </w:p>
    <w:p w:rsidR="004F47BB" w:rsidRPr="009072DA" w:rsidRDefault="002B712C" w:rsidP="004F47BB">
      <w:pPr>
        <w:overflowPunct w:val="0"/>
        <w:adjustRightInd w:val="0"/>
        <w:spacing w:line="240" w:lineRule="atLeast"/>
        <w:ind w:left="992"/>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L</m:t>
                  </m:r>
                </m:e>
                <m:sub>
                  <m:r>
                    <w:rPr>
                      <w:rFonts w:ascii="Cambria Math" w:hAnsi="Cambria Math"/>
                      <w:szCs w:val="20"/>
                      <w:lang w:val="bg-BG"/>
                    </w:rPr>
                    <m:t>SOLL</m:t>
                  </m:r>
                </m:sub>
              </m:sSub>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STR</m:t>
                  </m:r>
                </m:e>
                <m:sub>
                  <m:r>
                    <w:rPr>
                      <w:rFonts w:ascii="Cambria Math" w:hAnsi="Cambria Math"/>
                      <w:szCs w:val="20"/>
                      <w:lang w:val="bg-BG"/>
                    </w:rPr>
                    <m:t>SOLL</m:t>
                  </m:r>
                </m:sub>
              </m:sSub>
            </m:sub>
          </m:sSub>
          <m:r>
            <w:rPr>
              <w:rFonts w:ascii="Cambria Math" w:hAnsi="Cambria Math"/>
              <w:szCs w:val="20"/>
              <w:lang w:val="bg-BG"/>
            </w:rPr>
            <m:t xml:space="preserve">=3,6 </m:t>
          </m:r>
          <m:d>
            <m:dPr>
              <m:begChr m:val="["/>
              <m:endChr m:val="]"/>
              <m:ctrlPr>
                <w:rPr>
                  <w:rFonts w:ascii="Cambria Math" w:hAnsi="Cambria Math"/>
                  <w:i/>
                  <w:szCs w:val="20"/>
                  <w:lang w:val="bg-BG"/>
                </w:rPr>
              </m:ctrlPr>
            </m:dPr>
            <m:e>
              <m:r>
                <w:rPr>
                  <w:rFonts w:ascii="Cambria Math" w:hAnsi="Cambria Math"/>
                  <w:szCs w:val="20"/>
                  <w:lang w:val="bg-BG"/>
                </w:rPr>
                <m:t>m/s</m:t>
              </m:r>
            </m:e>
          </m:d>
        </m:oMath>
      </m:oMathPara>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2B712C" w:rsidP="004F47BB">
      <w:pPr>
        <w:overflowPunct w:val="0"/>
        <w:adjustRightInd w:val="0"/>
        <w:spacing w:line="240" w:lineRule="atLeast"/>
        <w:ind w:left="993"/>
        <w:textAlignment w:val="baseline"/>
        <w:rPr>
          <w:szCs w:val="20"/>
          <w:lang w:val="bg-BG"/>
        </w:rPr>
      </w:pPr>
      <m:oMathPara>
        <m:oMathParaPr>
          <m:jc m:val="left"/>
        </m:oMathParaPr>
        <m:oMath>
          <m:sSub>
            <m:sSubPr>
              <m:ctrlPr>
                <w:rPr>
                  <w:rFonts w:ascii="Cambria Math" w:hAnsi="Cambria Math"/>
                  <w:i/>
                  <w:lang w:val="bg-BG"/>
                </w:rPr>
              </m:ctrlPr>
            </m:sSubPr>
            <m:e>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TmII</m:t>
                  </m:r>
                </m:sub>
              </m:sSub>
            </m:e>
            <m:sub>
              <m:r>
                <w:rPr>
                  <w:rFonts w:ascii="Cambria Math" w:hAnsi="Cambria Math"/>
                  <w:lang w:val="bg-BG"/>
                </w:rPr>
                <m:t>SOLL</m:t>
              </m:r>
            </m:sub>
          </m:sSub>
          <m:r>
            <w:rPr>
              <w:rFonts w:ascii="Cambria Math" w:hAnsi="Cambria Math"/>
              <w:lang w:val="bg-BG"/>
            </w:rPr>
            <m:t xml:space="preserve">= 14,0 ∙ </m:t>
          </m:r>
          <m:sSup>
            <m:sSupPr>
              <m:ctrlPr>
                <w:rPr>
                  <w:rFonts w:ascii="Cambria Math" w:hAnsi="Cambria Math"/>
                  <w:i/>
                  <w:lang w:val="bg-BG"/>
                </w:rPr>
              </m:ctrlPr>
            </m:sSupPr>
            <m:e>
              <m:d>
                <m:dPr>
                  <m:ctrlPr>
                    <w:rPr>
                      <w:rFonts w:ascii="Cambria Math" w:hAnsi="Cambria Math"/>
                      <w:i/>
                      <w:lang w:val="bg-BG"/>
                    </w:rPr>
                  </m:ctrlPr>
                </m:dPr>
                <m:e>
                  <m:r>
                    <w:rPr>
                      <w:rFonts w:ascii="Cambria Math" w:hAnsi="Cambria Math"/>
                      <w:lang w:val="bg-BG"/>
                    </w:rPr>
                    <m:t>0,55 ∙0,85 ∙3,6</m:t>
                  </m:r>
                </m:e>
              </m:d>
            </m:e>
            <m:sup>
              <m:r>
                <w:rPr>
                  <w:rFonts w:ascii="Cambria Math" w:hAnsi="Cambria Math"/>
                  <w:lang w:val="bg-BG"/>
                </w:rPr>
                <m:t>2</m:t>
              </m:r>
            </m:sup>
          </m:sSup>
          <m:r>
            <w:rPr>
              <w:rFonts w:ascii="Cambria Math" w:hAnsi="Cambria Math"/>
              <w:lang w:val="bg-BG"/>
            </w:rPr>
            <m:t>=</m:t>
          </m:r>
          <m:r>
            <m:rPr>
              <m:sty m:val="bi"/>
            </m:rPr>
            <w:rPr>
              <w:rFonts w:ascii="Cambria Math" w:hAnsi="Cambria Math"/>
              <w:lang w:val="bg-BG"/>
            </w:rPr>
            <m:t xml:space="preserve">39,6 </m:t>
          </m:r>
          <m:d>
            <m:dPr>
              <m:begChr m:val="["/>
              <m:endChr m:val="]"/>
              <m:ctrlPr>
                <w:rPr>
                  <w:rFonts w:ascii="Cambria Math" w:hAnsi="Cambria Math"/>
                  <w:b/>
                  <w:i/>
                  <w:lang w:val="bg-BG"/>
                </w:rPr>
              </m:ctrlPr>
            </m:dPr>
            <m:e>
              <m:r>
                <m:rPr>
                  <m:sty m:val="bi"/>
                </m:rPr>
                <w:rPr>
                  <w:rFonts w:ascii="Cambria Math" w:hAnsi="Cambria Math"/>
                  <w:lang w:val="bg-BG"/>
                </w:rPr>
                <m:t>kN</m:t>
              </m:r>
            </m:e>
          </m:d>
        </m:oMath>
      </m:oMathPara>
    </w:p>
    <w:p w:rsidR="004F47BB" w:rsidRPr="009072DA" w:rsidRDefault="004F47BB" w:rsidP="004F47BB">
      <w:pPr>
        <w:tabs>
          <w:tab w:val="left" w:pos="454"/>
          <w:tab w:val="left" w:pos="1418"/>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992"/>
        </w:tabs>
        <w:overflowPunct w:val="0"/>
        <w:adjustRightInd w:val="0"/>
        <w:spacing w:before="60" w:line="240" w:lineRule="atLeast"/>
        <w:ind w:left="992"/>
        <w:textAlignment w:val="baseline"/>
        <w:rPr>
          <w:szCs w:val="20"/>
          <w:lang w:val="bg-BG"/>
        </w:rPr>
      </w:pPr>
      <w:r w:rsidRPr="009072DA">
        <w:rPr>
          <w:lang w:val="bg-BG"/>
        </w:rPr>
        <w:t>г)</w:t>
      </w:r>
      <w:r w:rsidRPr="009072DA">
        <w:rPr>
          <w:lang w:val="bg-BG"/>
        </w:rPr>
        <w:tab/>
        <w:t xml:space="preserve">Съпротивление, дължащо се на наклона </w:t>
      </w:r>
      <m:oMath>
        <m:sSub>
          <m:sSubPr>
            <m:ctrlPr>
              <w:rPr>
                <w:rFonts w:ascii="Cambria Math" w:hAnsi="Cambria Math"/>
                <w:i/>
                <w:lang w:val="bg-BG"/>
              </w:rPr>
            </m:ctrlPr>
          </m:sSubPr>
          <m:e>
            <m:r>
              <w:rPr>
                <w:rFonts w:ascii="Cambria Math" w:hAnsi="Cambria Math"/>
                <w:lang w:val="bg-BG"/>
              </w:rPr>
              <m:t>R</m:t>
            </m:r>
          </m:e>
          <m:sub>
            <m:r>
              <w:rPr>
                <w:rFonts w:ascii="Cambria Math" w:hAnsi="Cambria Math"/>
                <w:lang w:val="bg-BG"/>
              </w:rPr>
              <m:t>G</m:t>
            </m:r>
          </m:sub>
        </m:sSub>
      </m:oMath>
      <w:r w:rsidRPr="009072DA">
        <w:rPr>
          <w:lang w:val="bg-BG"/>
        </w:rPr>
        <w:t xml:space="preserve"> както в точка 4.2</w:t>
      </w:r>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992"/>
        </w:tabs>
        <w:overflowPunct w:val="0"/>
        <w:adjustRightInd w:val="0"/>
        <w:spacing w:before="60" w:line="240" w:lineRule="atLeast"/>
        <w:ind w:left="992"/>
        <w:textAlignment w:val="baseline"/>
        <w:rPr>
          <w:szCs w:val="20"/>
          <w:lang w:val="bg-BG"/>
        </w:rPr>
      </w:pPr>
      <w:r w:rsidRPr="009072DA">
        <w:rPr>
          <w:lang w:val="bg-BG"/>
        </w:rPr>
        <w:t>д)</w:t>
      </w:r>
      <w:r w:rsidRPr="009072DA">
        <w:rPr>
          <w:lang w:val="bg-BG"/>
        </w:rPr>
        <w:tab/>
        <w:t xml:space="preserve">Изчисляване на </w:t>
      </w:r>
      <m:oMath>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oMath>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p>
    <w:p w:rsidR="004F47BB" w:rsidRPr="009072DA" w:rsidRDefault="002B712C" w:rsidP="004F47BB">
      <w:pPr>
        <w:tabs>
          <w:tab w:val="left" w:pos="993"/>
        </w:tabs>
        <w:overflowPunct w:val="0"/>
        <w:adjustRightInd w:val="0"/>
        <w:spacing w:line="240" w:lineRule="atLeast"/>
        <w:ind w:left="993"/>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v</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r>
          <w:rPr>
            <w:rFonts w:ascii="Cambria Math" w:hAnsi="Cambria Math"/>
            <w:szCs w:val="20"/>
            <w:lang w:val="bg-BG"/>
          </w:rPr>
          <m:t>= 0,85 ∙3,6=</m:t>
        </m:r>
        <m:r>
          <m:rPr>
            <m:sty m:val="bi"/>
          </m:rPr>
          <w:rPr>
            <w:rFonts w:ascii="Cambria Math" w:hAnsi="Cambria Math"/>
            <w:szCs w:val="20"/>
            <w:lang w:val="bg-BG"/>
          </w:rPr>
          <m:t>3,06</m:t>
        </m:r>
        <m:r>
          <w:rPr>
            <w:rFonts w:ascii="Cambria Math" w:hAnsi="Cambria Math"/>
            <w:szCs w:val="20"/>
            <w:lang w:val="bg-BG"/>
          </w:rPr>
          <m:t xml:space="preserve"> </m:t>
        </m:r>
        <m:d>
          <m:dPr>
            <m:begChr m:val="["/>
            <m:endChr m:val="]"/>
            <m:ctrlPr>
              <w:rPr>
                <w:rFonts w:ascii="Cambria Math" w:hAnsi="Cambria Math"/>
                <w:i/>
                <w:szCs w:val="20"/>
                <w:lang w:val="bg-BG"/>
              </w:rPr>
            </m:ctrlPr>
          </m:dPr>
          <m:e>
            <m:r>
              <w:rPr>
                <w:rFonts w:ascii="Cambria Math" w:hAnsi="Cambria Math"/>
                <w:szCs w:val="20"/>
                <w:lang w:val="bg-BG"/>
              </w:rPr>
              <m:t>m/s</m:t>
            </m:r>
          </m:e>
        </m:d>
      </m:oMath>
      <w:r w:rsidR="007B1046" w:rsidRPr="009072DA">
        <w:rPr>
          <w:lang w:val="bg-BG"/>
        </w:rPr>
        <w:t xml:space="preserve">, </w:t>
      </w:r>
      <m:oMath>
        <m:sSub>
          <m:sSubPr>
            <m:ctrlPr>
              <w:rPr>
                <w:rFonts w:ascii="Cambria Math" w:hAnsi="Cambria Math"/>
                <w:i/>
                <w:szCs w:val="20"/>
                <w:lang w:val="bg-BG"/>
              </w:rPr>
            </m:ctrlPr>
          </m:sSubPr>
          <m:e>
            <m:sSup>
              <m:sSupPr>
                <m:ctrlPr>
                  <w:rPr>
                    <w:rFonts w:ascii="Cambria Math" w:hAnsi="Cambria Math"/>
                    <w:i/>
                    <w:szCs w:val="20"/>
                    <w:lang w:val="bg-BG"/>
                  </w:rPr>
                </m:ctrlPr>
              </m:sSupPr>
              <m:e>
                <m:r>
                  <w:rPr>
                    <w:rFonts w:ascii="Cambria Math" w:hAnsi="Cambria Math"/>
                    <w:szCs w:val="20"/>
                    <w:lang w:val="bg-BG"/>
                  </w:rPr>
                  <m:t>v</m:t>
                </m:r>
              </m:e>
              <m:sup>
                <m:r>
                  <w:rPr>
                    <w:rFonts w:ascii="Cambria Math" w:hAnsi="Cambria Math"/>
                    <w:szCs w:val="20"/>
                    <w:lang w:val="bg-BG"/>
                  </w:rPr>
                  <m:t>2</m:t>
                </m:r>
              </m:sup>
            </m:sSup>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r>
          <w:rPr>
            <w:rFonts w:ascii="Cambria Math" w:hAnsi="Cambria Math"/>
            <w:szCs w:val="20"/>
            <w:lang w:val="bg-BG"/>
          </w:rPr>
          <m:t xml:space="preserve">=9,36 </m:t>
        </m:r>
        <m:sSup>
          <m:sSupPr>
            <m:ctrlPr>
              <w:rPr>
                <w:rFonts w:ascii="Cambria Math" w:hAnsi="Cambria Math"/>
                <w:i/>
                <w:szCs w:val="20"/>
                <w:lang w:val="bg-BG"/>
              </w:rPr>
            </m:ctrlPr>
          </m:sSupPr>
          <m:e>
            <m:d>
              <m:dPr>
                <m:begChr m:val="["/>
                <m:endChr m:val="]"/>
                <m:ctrlPr>
                  <w:rPr>
                    <w:rFonts w:ascii="Cambria Math" w:hAnsi="Cambria Math"/>
                    <w:i/>
                    <w:szCs w:val="20"/>
                    <w:lang w:val="bg-BG"/>
                  </w:rPr>
                </m:ctrlPr>
              </m:dPr>
              <m:e>
                <m:r>
                  <w:rPr>
                    <w:rFonts w:ascii="Cambria Math" w:hAnsi="Cambria Math"/>
                    <w:szCs w:val="20"/>
                    <w:lang w:val="bg-BG"/>
                  </w:rPr>
                  <m:t>m/s</m:t>
                </m:r>
              </m:e>
            </m:d>
          </m:e>
          <m:sup>
            <m:r>
              <w:rPr>
                <w:rFonts w:ascii="Cambria Math" w:hAnsi="Cambria Math"/>
                <w:szCs w:val="20"/>
                <w:lang w:val="bg-BG"/>
              </w:rPr>
              <m:t>2</m:t>
            </m:r>
          </m:sup>
        </m:sSup>
      </m:oMath>
    </w:p>
    <w:p w:rsidR="004F47BB" w:rsidRPr="009072DA" w:rsidRDefault="004F47BB" w:rsidP="004F47BB">
      <w:pPr>
        <w:tabs>
          <w:tab w:val="left" w:pos="0"/>
        </w:tabs>
        <w:overflowPunct w:val="0"/>
        <w:adjustRightInd w:val="0"/>
        <w:spacing w:line="240" w:lineRule="atLeast"/>
        <w:ind w:left="454" w:hanging="454"/>
        <w:textAlignment w:val="baseline"/>
        <w:rPr>
          <w:szCs w:val="20"/>
          <w:lang w:val="bg-BG"/>
        </w:rPr>
      </w:pPr>
    </w:p>
    <w:p w:rsidR="004F47BB" w:rsidRPr="009072DA" w:rsidRDefault="004F47BB" w:rsidP="004F47BB">
      <w:pPr>
        <w:tabs>
          <w:tab w:val="left" w:pos="992"/>
        </w:tabs>
        <w:overflowPunct w:val="0"/>
        <w:adjustRightInd w:val="0"/>
        <w:spacing w:before="60" w:line="240" w:lineRule="atLeast"/>
        <w:ind w:left="992"/>
        <w:textAlignment w:val="baseline"/>
        <w:rPr>
          <w:szCs w:val="20"/>
          <w:lang w:val="bg-BG"/>
        </w:rPr>
      </w:pPr>
      <w:r w:rsidRPr="009072DA">
        <w:rPr>
          <w:lang w:val="bg-BG"/>
        </w:rPr>
        <w:t>е)</w:t>
      </w:r>
      <w:r w:rsidRPr="009072DA">
        <w:rPr>
          <w:lang w:val="bg-BG"/>
        </w:rPr>
        <w:tab/>
      </w:r>
      <m:oMath>
        <m:sSub>
          <m:sSubPr>
            <m:ctrlPr>
              <w:rPr>
                <w:rFonts w:ascii="Cambria Math" w:hAnsi="Cambria Math"/>
                <w:i/>
                <w:szCs w:val="20"/>
                <w:lang w:val="bg-BG"/>
              </w:rPr>
            </m:ctrlPr>
          </m:sSubPr>
          <m:e>
            <m:r>
              <w:rPr>
                <w:rFonts w:ascii="Cambria Math" w:hAnsi="Cambria Math"/>
                <w:szCs w:val="20"/>
                <w:lang w:val="bg-BG"/>
              </w:rPr>
              <m:t>F</m:t>
            </m:r>
          </m:e>
          <m:sub>
            <m:r>
              <w:rPr>
                <w:rFonts w:ascii="Cambria Math" w:hAnsi="Cambria Math"/>
                <w:szCs w:val="20"/>
                <w:lang w:val="bg-BG"/>
              </w:rPr>
              <m:t>POR</m:t>
            </m:r>
          </m:sub>
        </m:sSub>
      </m:oMath>
      <w:r w:rsidRPr="009072DA">
        <w:rPr>
          <w:position w:val="-6"/>
          <w:sz w:val="16"/>
          <w:lang w:val="bg-BG"/>
        </w:rPr>
        <w:t xml:space="preserve"> </w:t>
      </w:r>
      <w:r w:rsidRPr="009072DA">
        <w:rPr>
          <w:lang w:val="bg-BG"/>
        </w:rPr>
        <w:t xml:space="preserve"> както в точка 4.2</w:t>
      </w:r>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p>
    <w:p w:rsidR="004F47BB" w:rsidRPr="009072DA" w:rsidRDefault="004F47BB" w:rsidP="004F47BB">
      <w:pPr>
        <w:tabs>
          <w:tab w:val="left" w:pos="992"/>
        </w:tabs>
        <w:overflowPunct w:val="0"/>
        <w:adjustRightInd w:val="0"/>
        <w:spacing w:before="60" w:line="240" w:lineRule="atLeast"/>
        <w:ind w:left="992"/>
        <w:textAlignment w:val="baseline"/>
        <w:rPr>
          <w:szCs w:val="20"/>
          <w:lang w:val="bg-BG"/>
        </w:rPr>
      </w:pPr>
      <w:r w:rsidRPr="009072DA">
        <w:rPr>
          <w:lang w:val="bg-BG"/>
        </w:rPr>
        <w:t>ж)</w:t>
      </w:r>
      <w:r w:rsidRPr="009072DA">
        <w:rPr>
          <w:lang w:val="bg-BG"/>
        </w:rPr>
        <w:tab/>
        <w:t xml:space="preserve">Изчисляване на </w:t>
      </w: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oMath>
      <w:r w:rsidRPr="009072DA">
        <w:rPr>
          <w:lang w:val="bg-BG"/>
        </w:rPr>
        <w:t>, като се използва формулата от буква б) и резултатите от формулите от букви в) — е)</w:t>
      </w:r>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p>
    <w:p w:rsidR="004F47BB" w:rsidRPr="009072DA" w:rsidRDefault="002B712C" w:rsidP="004F47BB">
      <w:pPr>
        <w:overflowPunct w:val="0"/>
        <w:adjustRightInd w:val="0"/>
        <w:spacing w:line="240" w:lineRule="atLeast"/>
        <w:ind w:left="992"/>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r>
            <w:rPr>
              <w:rFonts w:ascii="Cambria Math" w:hAnsi="Cambria Math"/>
              <w:szCs w:val="20"/>
              <w:lang w:val="bg-BG"/>
            </w:rPr>
            <m:t xml:space="preserve">=  </m:t>
          </m:r>
          <m:f>
            <m:fPr>
              <m:ctrlPr>
                <w:rPr>
                  <w:rFonts w:ascii="Cambria Math" w:hAnsi="Cambria Math"/>
                  <w:i/>
                  <w:szCs w:val="20"/>
                  <w:lang w:val="bg-BG"/>
                </w:rPr>
              </m:ctrlPr>
            </m:fPr>
            <m:num>
              <m:r>
                <w:rPr>
                  <w:rFonts w:ascii="Cambria Math" w:hAnsi="Cambria Math"/>
                  <w:szCs w:val="20"/>
                  <w:lang w:val="bg-BG"/>
                </w:rPr>
                <m:t xml:space="preserve">0,12 ∙9,36 ∙9,81 ∙ </m:t>
              </m:r>
              <m:d>
                <m:dPr>
                  <m:ctrlPr>
                    <w:rPr>
                      <w:rFonts w:ascii="Cambria Math" w:hAnsi="Cambria Math"/>
                      <w:i/>
                      <w:szCs w:val="20"/>
                      <w:lang w:val="bg-BG"/>
                    </w:rPr>
                  </m:ctrlPr>
                </m:dPr>
                <m:e>
                  <m:r>
                    <w:rPr>
                      <w:rFonts w:ascii="Cambria Math" w:hAnsi="Cambria Math"/>
                      <w:szCs w:val="20"/>
                      <w:lang w:val="bg-BG"/>
                    </w:rPr>
                    <m:t xml:space="preserve">0,48+ </m:t>
                  </m:r>
                  <m:f>
                    <m:fPr>
                      <m:ctrlPr>
                        <w:rPr>
                          <w:rFonts w:ascii="Cambria Math" w:hAnsi="Cambria Math"/>
                          <w:i/>
                          <w:szCs w:val="20"/>
                          <w:lang w:val="bg-BG"/>
                        </w:rPr>
                      </m:ctrlPr>
                    </m:fPr>
                    <m:num>
                      <m:r>
                        <w:rPr>
                          <w:rFonts w:ascii="Cambria Math" w:hAnsi="Cambria Math"/>
                          <w:szCs w:val="20"/>
                          <w:lang w:val="bg-BG"/>
                        </w:rPr>
                        <m:t>1,5</m:t>
                      </m:r>
                    </m:num>
                    <m:den>
                      <m:r>
                        <w:rPr>
                          <w:rFonts w:ascii="Cambria Math" w:hAnsi="Cambria Math"/>
                          <w:szCs w:val="20"/>
                          <w:lang w:val="bg-BG"/>
                        </w:rPr>
                        <m:t>3,06</m:t>
                      </m:r>
                    </m:den>
                  </m:f>
                </m:e>
              </m:d>
            </m:num>
            <m:den>
              <m:r>
                <w:rPr>
                  <w:rFonts w:ascii="Cambria Math" w:hAnsi="Cambria Math"/>
                  <w:szCs w:val="20"/>
                  <w:lang w:val="bg-BG"/>
                </w:rPr>
                <m:t>1,15 ∙177+39,6-15,02</m:t>
              </m:r>
            </m:den>
          </m:f>
          <m:r>
            <w:rPr>
              <w:rFonts w:ascii="Cambria Math" w:hAnsi="Cambria Math"/>
              <w:szCs w:val="20"/>
              <w:lang w:val="bg-BG"/>
            </w:rPr>
            <m:t xml:space="preserve"> ∙9568</m:t>
          </m:r>
        </m:oMath>
      </m:oMathPara>
    </w:p>
    <w:p w:rsidR="004F47BB" w:rsidRPr="009072DA" w:rsidRDefault="004F47BB" w:rsidP="004F47BB">
      <w:pPr>
        <w:tabs>
          <w:tab w:val="left" w:pos="993"/>
          <w:tab w:val="left" w:pos="1701"/>
          <w:tab w:val="left" w:pos="2127"/>
        </w:tabs>
        <w:overflowPunct w:val="0"/>
        <w:adjustRightInd w:val="0"/>
        <w:spacing w:line="240" w:lineRule="exact"/>
        <w:ind w:left="993"/>
        <w:textAlignment w:val="baseline"/>
        <w:rPr>
          <w:szCs w:val="20"/>
          <w:lang w:val="bg-BG"/>
        </w:rPr>
      </w:pPr>
      <w:r w:rsidRPr="009072DA">
        <w:rPr>
          <w:noProof/>
          <w:szCs w:val="20"/>
          <w:lang w:eastAsia="en-GB"/>
        </w:rPr>
        <mc:AlternateContent>
          <mc:Choice Requires="wps">
            <w:drawing>
              <wp:anchor distT="0" distB="0" distL="114300" distR="114300" simplePos="0" relativeHeight="251687936" behindDoc="0" locked="0" layoutInCell="1" allowOverlap="1" wp14:anchorId="7F9CA93C" wp14:editId="381566D2">
                <wp:simplePos x="0" y="0"/>
                <wp:positionH relativeFrom="column">
                  <wp:posOffset>958850</wp:posOffset>
                </wp:positionH>
                <wp:positionV relativeFrom="paragraph">
                  <wp:posOffset>124460</wp:posOffset>
                </wp:positionV>
                <wp:extent cx="90805" cy="457200"/>
                <wp:effectExtent l="7303" t="0" r="11747" b="11748"/>
                <wp:wrapNone/>
                <wp:docPr id="293" name="Auto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90805" cy="457200"/>
                        </a:xfrm>
                        <a:prstGeom prst="rightBrace">
                          <a:avLst>
                            <a:gd name="adj1" fmla="val 4195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w:pict>
              <v:shape xmlns:o="urn:schemas-microsoft-com:office:office" xmlns:v="urn:schemas-microsoft-com:vml" id="AutoShape 140" style="position:absolute;margin-left:75.5pt;margin-top:9.8pt;width:7.15pt;height:36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"/>
            </w:pict>
          </mc:Fallback>
        </mc:AlternateContent>
      </w:r>
    </w:p>
    <w:p w:rsidR="004F47BB" w:rsidRPr="009072DA" w:rsidRDefault="004F47BB" w:rsidP="004F47BB">
      <w:pPr>
        <w:overflowPunct w:val="0"/>
        <w:adjustRightInd w:val="0"/>
        <w:spacing w:line="240" w:lineRule="exact"/>
        <w:ind w:left="993"/>
        <w:textAlignment w:val="baseline"/>
        <w:rPr>
          <w:szCs w:val="20"/>
          <w:lang w:val="bg-BG"/>
        </w:rPr>
      </w:pPr>
      <m:oMathPara>
        <m:oMathParaPr>
          <m:jc m:val="left"/>
        </m:oMathParaPr>
        <m:oMath>
          <m:r>
            <w:rPr>
              <w:rFonts w:ascii="Cambria Math" w:hAnsi="Cambria Math"/>
              <w:szCs w:val="20"/>
              <w:lang w:val="bg-BG"/>
            </w:rPr>
            <m:t>=0,04684 ∙9568=</m:t>
          </m:r>
          <m:r>
            <m:rPr>
              <m:sty m:val="bi"/>
            </m:rPr>
            <w:rPr>
              <w:rFonts w:ascii="Cambria Math" w:hAnsi="Cambria Math"/>
              <w:szCs w:val="20"/>
              <w:lang w:val="bg-BG"/>
            </w:rPr>
            <m:t>448 m</m:t>
          </m:r>
        </m:oMath>
      </m:oMathPara>
    </w:p>
    <w:p w:rsidR="004F47BB" w:rsidRPr="009072DA" w:rsidRDefault="004F47BB" w:rsidP="004F47BB">
      <w:pPr>
        <w:tabs>
          <w:tab w:val="left" w:pos="993"/>
          <w:tab w:val="left" w:pos="1701"/>
          <w:tab w:val="left" w:pos="2127"/>
        </w:tabs>
        <w:overflowPunct w:val="0"/>
        <w:adjustRightInd w:val="0"/>
        <w:spacing w:line="240" w:lineRule="exact"/>
        <w:ind w:left="993"/>
        <w:textAlignment w:val="baseline"/>
        <w:rPr>
          <w:szCs w:val="20"/>
          <w:lang w:val="bg-BG"/>
        </w:rPr>
      </w:pPr>
    </w:p>
    <w:p w:rsidR="004F47BB" w:rsidRPr="009072DA" w:rsidRDefault="002B712C" w:rsidP="004F47BB">
      <w:pPr>
        <w:overflowPunct w:val="0"/>
        <w:adjustRightInd w:val="0"/>
        <w:spacing w:line="240" w:lineRule="atLeast"/>
        <w:ind w:left="993" w:hanging="1"/>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Const</m:t>
              </m:r>
            </m:e>
            <m:sub>
              <m:r>
                <w:rPr>
                  <w:rFonts w:ascii="Cambria Math" w:hAnsi="Cambria Math"/>
                  <w:szCs w:val="20"/>
                  <w:lang w:val="bg-BG"/>
                </w:rPr>
                <m:t>SOLL</m:t>
              </m:r>
            </m:sub>
          </m:sSub>
        </m:oMath>
      </m:oMathPara>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992"/>
        </w:tabs>
        <w:overflowPunct w:val="0"/>
        <w:adjustRightInd w:val="0"/>
        <w:spacing w:line="240" w:lineRule="atLeast"/>
        <w:ind w:left="992"/>
        <w:textAlignment w:val="baseline"/>
        <w:rPr>
          <w:szCs w:val="20"/>
          <w:lang w:val="bg-BG"/>
        </w:rPr>
      </w:pPr>
      <w:r w:rsidRPr="009072DA">
        <w:rPr>
          <w:lang w:val="bg-BG"/>
        </w:rPr>
        <w:t>з)</w:t>
      </w:r>
      <w:r w:rsidRPr="009072DA">
        <w:rPr>
          <w:lang w:val="bg-BG"/>
        </w:rPr>
        <w:tab/>
        <w:t>Изчисляване на общото разстояние</w:t>
      </w:r>
    </w:p>
    <w:p w:rsidR="004F47BB" w:rsidRPr="009072DA" w:rsidRDefault="004F47BB" w:rsidP="004F47BB">
      <w:pPr>
        <w:tabs>
          <w:tab w:val="left" w:pos="284"/>
        </w:tabs>
        <w:overflowPunct w:val="0"/>
        <w:adjustRightInd w:val="0"/>
        <w:spacing w:line="240" w:lineRule="exact"/>
        <w:ind w:left="284" w:hanging="284"/>
        <w:textAlignment w:val="baseline"/>
        <w:rPr>
          <w:szCs w:val="20"/>
          <w:lang w:val="bg-BG"/>
        </w:rPr>
      </w:pPr>
    </w:p>
    <w:p w:rsidR="004F47BB" w:rsidRPr="009072DA" w:rsidRDefault="002B712C" w:rsidP="004F47BB">
      <w:pPr>
        <w:tabs>
          <w:tab w:val="left" w:pos="992"/>
        </w:tabs>
        <w:overflowPunct w:val="0"/>
        <w:adjustRightInd w:val="0"/>
        <w:spacing w:line="240" w:lineRule="atLeast"/>
        <w:ind w:left="992"/>
        <w:textAlignment w:val="baseline"/>
        <w:rPr>
          <w:szCs w:val="20"/>
          <w:lang w:val="bg-BG"/>
        </w:rPr>
      </w:pPr>
      <m:oMathPara>
        <m:oMathParaPr>
          <m:jc m:val="left"/>
        </m:oMathParaPr>
        <m:oMath>
          <m:sSub>
            <m:sSubPr>
              <m:ctrlPr>
                <w:rPr>
                  <w:rFonts w:ascii="Cambria Math" w:hAnsi="Cambria Math"/>
                  <w:b/>
                  <w:i/>
                  <w:szCs w:val="20"/>
                  <w:lang w:val="bg-BG"/>
                </w:rPr>
              </m:ctrlPr>
            </m:sSubPr>
            <m:e>
              <m:r>
                <m:rPr>
                  <m:sty m:val="bi"/>
                </m:rPr>
                <w:rPr>
                  <w:rFonts w:ascii="Cambria Math" w:hAnsi="Cambria Math"/>
                  <w:szCs w:val="20"/>
                  <w:lang w:val="bg-BG"/>
                </w:rPr>
                <m:t>s</m:t>
              </m:r>
            </m:e>
            <m:sub>
              <m:r>
                <m:rPr>
                  <m:sty m:val="bi"/>
                </m:rPr>
                <w:rPr>
                  <w:rFonts w:ascii="Cambria Math" w:hAnsi="Cambria Math"/>
                  <w:szCs w:val="20"/>
                  <w:lang w:val="bg-BG"/>
                </w:rPr>
                <m:t>SOLL</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m:t>
                  </m:r>
                </m:e>
                <m:sub>
                  <m:r>
                    <w:rPr>
                      <w:rFonts w:ascii="Cambria Math" w:hAnsi="Cambria Math"/>
                      <w:szCs w:val="20"/>
                      <w:lang w:val="bg-BG"/>
                    </w:rPr>
                    <m:t>SOLL</m:t>
                  </m:r>
                </m:sub>
              </m:sSub>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r>
            <w:rPr>
              <w:rFonts w:ascii="Cambria Math" w:hAnsi="Cambria Math"/>
              <w:szCs w:val="20"/>
              <w:lang w:val="bg-BG"/>
            </w:rPr>
            <m:t>=77,5+448=</m:t>
          </m:r>
          <m:r>
            <m:rPr>
              <m:sty m:val="bi"/>
            </m:rPr>
            <w:rPr>
              <w:rFonts w:ascii="Cambria Math" w:hAnsi="Cambria Math"/>
              <w:szCs w:val="20"/>
              <w:lang w:val="bg-BG"/>
            </w:rPr>
            <m:t>525,5 m</m:t>
          </m:r>
        </m:oMath>
      </m:oMathPara>
    </w:p>
    <w:p w:rsidR="004F47BB" w:rsidRPr="009072DA" w:rsidRDefault="004F47BB" w:rsidP="004F47BB">
      <w:pPr>
        <w:tabs>
          <w:tab w:val="left" w:pos="454"/>
        </w:tabs>
        <w:overflowPunct w:val="0"/>
        <w:adjustRightInd w:val="0"/>
        <w:spacing w:line="240" w:lineRule="atLeast"/>
        <w:ind w:left="454" w:hanging="454"/>
        <w:textAlignment w:val="baseline"/>
        <w:rPr>
          <w:position w:val="6"/>
          <w:szCs w:val="20"/>
          <w:lang w:val="bg-BG"/>
        </w:rPr>
      </w:pPr>
    </w:p>
    <w:p w:rsidR="004F47BB" w:rsidRPr="009072DA" w:rsidRDefault="004F47BB" w:rsidP="004F47BB">
      <w:pPr>
        <w:tabs>
          <w:tab w:val="left" w:pos="567"/>
        </w:tabs>
        <w:overflowPunct w:val="0"/>
        <w:adjustRightInd w:val="0"/>
        <w:spacing w:line="240" w:lineRule="atLeast"/>
        <w:ind w:left="567" w:hanging="567"/>
        <w:textAlignment w:val="baseline"/>
        <w:rPr>
          <w:b/>
          <w:bCs/>
          <w:position w:val="6"/>
          <w:szCs w:val="20"/>
          <w:lang w:val="bg-BG"/>
        </w:rPr>
      </w:pPr>
      <w:r w:rsidRPr="009072DA">
        <w:rPr>
          <w:b/>
          <w:lang w:val="bg-BG"/>
        </w:rPr>
        <w:lastRenderedPageBreak/>
        <w:t>4.4</w:t>
      </w:r>
      <w:r w:rsidRPr="009072DA">
        <w:rPr>
          <w:lang w:val="bg-BG"/>
        </w:rPr>
        <w:tab/>
      </w:r>
      <w:r w:rsidRPr="009072DA">
        <w:rPr>
          <w:b/>
          <w:lang w:val="bg-BG"/>
        </w:rPr>
        <w:t>Проверка за спазването на допустимото разстояние за спиране при стандартни условия</w:t>
      </w:r>
      <w:r w:rsidRPr="009072DA">
        <w:rPr>
          <w:b/>
          <w:u w:val="single"/>
          <w:lang w:val="bg-BG"/>
        </w:rPr>
        <w:t xml:space="preserve"> </w:t>
      </w:r>
      <m:oMath>
        <m:sSub>
          <m:sSubPr>
            <m:ctrlPr>
              <w:rPr>
                <w:rFonts w:ascii="Cambria Math" w:hAnsi="Cambria Math" w:cs="Arial"/>
                <w:b/>
                <w:i/>
                <w:color w:val="000000"/>
                <w:szCs w:val="20"/>
                <w:lang w:val="bg-BG"/>
              </w:rPr>
            </m:ctrlPr>
          </m:sSubPr>
          <m:e>
            <m:r>
              <m:rPr>
                <m:sty m:val="bi"/>
              </m:rPr>
              <w:rPr>
                <w:rFonts w:ascii="Cambria Math" w:hAnsi="Cambria Math" w:cs="Arial"/>
                <w:color w:val="000000"/>
                <w:szCs w:val="20"/>
                <w:lang w:val="bg-BG"/>
              </w:rPr>
              <m:t>s</m:t>
            </m:r>
          </m:e>
          <m:sub>
            <m:r>
              <m:rPr>
                <m:sty m:val="bi"/>
              </m:rPr>
              <w:rPr>
                <w:rFonts w:ascii="Cambria Math" w:hAnsi="Cambria Math" w:cs="Arial"/>
                <w:color w:val="000000"/>
                <w:szCs w:val="20"/>
                <w:lang w:val="bg-BG"/>
              </w:rPr>
              <m:t>NORM</m:t>
            </m:r>
          </m:sub>
        </m:sSub>
      </m:oMath>
    </w:p>
    <w:p w:rsidR="004F47BB" w:rsidRPr="009072DA" w:rsidRDefault="004F47BB" w:rsidP="004F47BB">
      <w:pPr>
        <w:tabs>
          <w:tab w:val="left" w:pos="454"/>
        </w:tabs>
        <w:overflowPunct w:val="0"/>
        <w:adjustRightInd w:val="0"/>
        <w:spacing w:line="240" w:lineRule="exact"/>
        <w:ind w:left="454" w:hanging="454"/>
        <w:textAlignment w:val="baseline"/>
        <w:rPr>
          <w:b/>
          <w:szCs w:val="20"/>
          <w:lang w:val="bg-BG"/>
        </w:rPr>
      </w:pPr>
    </w:p>
    <w:p w:rsidR="004F47BB" w:rsidRPr="009072DA" w:rsidRDefault="004F47BB" w:rsidP="004F47BB">
      <w:pPr>
        <w:overflowPunct w:val="0"/>
        <w:adjustRightInd w:val="0"/>
        <w:spacing w:line="240" w:lineRule="exact"/>
        <w:ind w:left="567"/>
        <w:textAlignment w:val="baseline"/>
        <w:rPr>
          <w:szCs w:val="20"/>
          <w:lang w:val="bg-BG"/>
        </w:rPr>
      </w:pPr>
      <w:r w:rsidRPr="009072DA">
        <w:rPr>
          <w:lang w:val="bg-BG"/>
        </w:rPr>
        <w:t>съгласно формула (2.1) от приложение 2</w:t>
      </w: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2B712C" w:rsidP="004F47BB">
      <w:pPr>
        <w:overflowPunct w:val="0"/>
        <w:adjustRightInd w:val="0"/>
        <w:spacing w:line="240" w:lineRule="atLeast"/>
        <w:ind w:left="567"/>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NORM</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MESSUNG</m:t>
              </m:r>
            </m:sub>
          </m:sSub>
          <m:r>
            <w:rPr>
              <w:rFonts w:ascii="Cambria Math" w:hAnsi="Cambria Math"/>
              <w:szCs w:val="20"/>
              <w:lang w:val="bg-BG"/>
            </w:rPr>
            <m:t xml:space="preserve"> ∙ </m:t>
          </m:r>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SOLL</m:t>
                  </m:r>
                </m:sub>
              </m:sSub>
            </m:num>
            <m:den>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IST</m:t>
                  </m:r>
                </m:sub>
              </m:sSub>
            </m:den>
          </m:f>
          <m:r>
            <w:rPr>
              <w:rFonts w:ascii="Cambria Math" w:hAnsi="Cambria Math"/>
              <w:szCs w:val="20"/>
              <w:lang w:val="bg-BG"/>
            </w:rPr>
            <m:t xml:space="preserve">=580 ∙ </m:t>
          </m:r>
          <m:f>
            <m:fPr>
              <m:ctrlPr>
                <w:rPr>
                  <w:rFonts w:ascii="Cambria Math" w:hAnsi="Cambria Math"/>
                  <w:i/>
                  <w:szCs w:val="20"/>
                  <w:lang w:val="bg-BG"/>
                </w:rPr>
              </m:ctrlPr>
            </m:fPr>
            <m:num>
              <m:r>
                <w:rPr>
                  <w:rFonts w:ascii="Cambria Math" w:hAnsi="Cambria Math"/>
                  <w:szCs w:val="20"/>
                  <w:lang w:val="bg-BG"/>
                </w:rPr>
                <m:t>525,5</m:t>
              </m:r>
            </m:num>
            <m:den>
              <m:r>
                <w:rPr>
                  <w:rFonts w:ascii="Cambria Math" w:hAnsi="Cambria Math"/>
                  <w:szCs w:val="20"/>
                  <w:lang w:val="bg-BG"/>
                </w:rPr>
                <m:t>475</m:t>
              </m:r>
            </m:den>
          </m:f>
          <m:r>
            <w:rPr>
              <w:rFonts w:ascii="Cambria Math" w:hAnsi="Cambria Math"/>
              <w:szCs w:val="20"/>
              <w:lang w:val="bg-BG"/>
            </w:rPr>
            <m:t>=</m:t>
          </m:r>
          <m:r>
            <m:rPr>
              <m:sty m:val="bi"/>
            </m:rPr>
            <w:rPr>
              <w:rFonts w:ascii="Cambria Math" w:hAnsi="Cambria Math"/>
              <w:szCs w:val="20"/>
              <w:lang w:val="bg-BG"/>
            </w:rPr>
            <m:t>641 m &gt;550 m</m:t>
          </m:r>
        </m:oMath>
      </m:oMathPara>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r w:rsidRPr="009072DA">
        <w:rPr>
          <w:lang w:val="bg-BG"/>
        </w:rPr>
        <w:br w:type="page"/>
      </w:r>
    </w:p>
    <w:p w:rsidR="004F47BB" w:rsidRPr="009072DA" w:rsidRDefault="004F47BB" w:rsidP="004F47BB">
      <w:pPr>
        <w:overflowPunct w:val="0"/>
        <w:adjustRightInd w:val="0"/>
        <w:spacing w:line="240" w:lineRule="exact"/>
        <w:ind w:left="567"/>
        <w:textAlignment w:val="baseline"/>
        <w:rPr>
          <w:szCs w:val="20"/>
          <w:lang w:val="bg-BG"/>
        </w:rPr>
      </w:pPr>
      <w:r w:rsidRPr="009072DA">
        <w:rPr>
          <w:b/>
          <w:lang w:val="bg-BG"/>
        </w:rPr>
        <w:lastRenderedPageBreak/>
        <w:t>Заключение</w:t>
      </w:r>
      <w:r w:rsidRPr="009072DA">
        <w:rPr>
          <w:lang w:val="bg-BG"/>
        </w:rPr>
        <w:t>:</w:t>
      </w: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overflowPunct w:val="0"/>
        <w:adjustRightInd w:val="0"/>
        <w:spacing w:line="240" w:lineRule="exact"/>
        <w:ind w:left="567"/>
        <w:textAlignment w:val="baseline"/>
        <w:rPr>
          <w:szCs w:val="20"/>
          <w:lang w:val="bg-BG"/>
        </w:rPr>
      </w:pPr>
      <w:r w:rsidRPr="009072DA">
        <w:rPr>
          <w:lang w:val="bg-BG"/>
        </w:rPr>
        <w:t>Пределно допустимата стойност категорично е надхвърлена; допускане за плаване по течението е възможно само с ограничение на натоварването. Това ограничено натоварване може да бъде определено в съответствие с точка 5 по-долу.</w:t>
      </w:r>
    </w:p>
    <w:p w:rsidR="004F47BB" w:rsidRPr="009072DA" w:rsidRDefault="004F47BB" w:rsidP="004F47BB">
      <w:pPr>
        <w:tabs>
          <w:tab w:val="left" w:pos="454"/>
        </w:tabs>
        <w:overflowPunct w:val="0"/>
        <w:adjustRightInd w:val="0"/>
        <w:spacing w:line="240" w:lineRule="exact"/>
        <w:ind w:left="454" w:hanging="454"/>
        <w:textAlignment w:val="baseline"/>
        <w:rPr>
          <w:szCs w:val="20"/>
          <w:lang w:val="bg-BG"/>
        </w:rPr>
      </w:pPr>
    </w:p>
    <w:p w:rsidR="004F47BB" w:rsidRPr="009072DA" w:rsidRDefault="004F47BB" w:rsidP="004F47BB">
      <w:pPr>
        <w:tabs>
          <w:tab w:val="left" w:pos="567"/>
        </w:tabs>
        <w:overflowPunct w:val="0"/>
        <w:adjustRightInd w:val="0"/>
        <w:spacing w:line="240" w:lineRule="exact"/>
        <w:ind w:left="567" w:hanging="567"/>
        <w:textAlignment w:val="baseline"/>
        <w:rPr>
          <w:b/>
          <w:szCs w:val="20"/>
          <w:lang w:val="bg-BG"/>
        </w:rPr>
      </w:pPr>
      <w:r w:rsidRPr="009072DA">
        <w:rPr>
          <w:b/>
          <w:lang w:val="bg-BG"/>
        </w:rPr>
        <w:t>5.</w:t>
      </w:r>
      <w:r w:rsidRPr="009072DA">
        <w:rPr>
          <w:lang w:val="bg-BG"/>
        </w:rPr>
        <w:tab/>
      </w:r>
      <m:oMath>
        <m:sSup>
          <m:sSupPr>
            <m:ctrlPr>
              <w:rPr>
                <w:rFonts w:ascii="Cambria Math" w:hAnsi="Cambria Math"/>
                <w:b/>
                <w:i/>
                <w:szCs w:val="20"/>
                <w:lang w:val="bg-BG"/>
              </w:rPr>
            </m:ctrlPr>
          </m:sSupPr>
          <m:e>
            <m:r>
              <m:rPr>
                <m:sty m:val="bi"/>
              </m:rPr>
              <w:rPr>
                <w:rFonts w:ascii="Cambria Math" w:hAnsi="Cambria Math"/>
                <w:szCs w:val="20"/>
                <w:lang w:val="bg-BG"/>
              </w:rPr>
              <m:t>D</m:t>
            </m:r>
          </m:e>
          <m:sup>
            <m:r>
              <m:rPr>
                <m:sty m:val="bi"/>
              </m:rPr>
              <w:rPr>
                <w:rFonts w:ascii="Cambria Math" w:hAnsi="Cambria Math"/>
                <w:szCs w:val="20"/>
                <w:lang w:val="bg-BG"/>
              </w:rPr>
              <m:t>*</m:t>
            </m:r>
          </m:sup>
        </m:sSup>
      </m:oMath>
      <w:r w:rsidRPr="009072DA">
        <w:rPr>
          <w:b/>
          <w:lang w:val="bg-BG"/>
        </w:rPr>
        <w:t xml:space="preserve"> , допустимо при плаване по течението </w:t>
      </w:r>
    </w:p>
    <w:p w:rsidR="004F47BB" w:rsidRPr="009072DA" w:rsidRDefault="004F47BB" w:rsidP="004F47BB">
      <w:pPr>
        <w:tabs>
          <w:tab w:val="left" w:pos="284"/>
        </w:tabs>
        <w:overflowPunct w:val="0"/>
        <w:adjustRightInd w:val="0"/>
        <w:spacing w:line="240" w:lineRule="exact"/>
        <w:ind w:left="454" w:hanging="454"/>
        <w:textAlignment w:val="baseline"/>
        <w:rPr>
          <w:szCs w:val="20"/>
          <w:lang w:val="bg-BG"/>
        </w:rPr>
      </w:pPr>
    </w:p>
    <w:p w:rsidR="004F47BB" w:rsidRPr="009072DA" w:rsidRDefault="004F47BB" w:rsidP="004F47BB">
      <w:pPr>
        <w:overflowPunct w:val="0"/>
        <w:adjustRightInd w:val="0"/>
        <w:spacing w:line="240" w:lineRule="exact"/>
        <w:ind w:left="567"/>
        <w:textAlignment w:val="baseline"/>
        <w:rPr>
          <w:szCs w:val="20"/>
          <w:lang w:val="bg-BG"/>
        </w:rPr>
      </w:pPr>
      <w:r w:rsidRPr="009072DA">
        <w:rPr>
          <w:lang w:val="bg-BG"/>
        </w:rPr>
        <w:t>съгласно формула (2.1) от приложение 2</w:t>
      </w:r>
    </w:p>
    <w:p w:rsidR="004F47BB" w:rsidRPr="009072DA" w:rsidRDefault="004F47BB" w:rsidP="004F47BB">
      <w:pPr>
        <w:tabs>
          <w:tab w:val="left" w:pos="284"/>
        </w:tabs>
        <w:overflowPunct w:val="0"/>
        <w:adjustRightInd w:val="0"/>
        <w:spacing w:line="240" w:lineRule="exact"/>
        <w:ind w:left="454" w:hanging="454"/>
        <w:textAlignment w:val="baseline"/>
        <w:rPr>
          <w:szCs w:val="20"/>
          <w:lang w:val="bg-BG"/>
        </w:rPr>
      </w:pPr>
    </w:p>
    <w:p w:rsidR="004F47BB" w:rsidRPr="009072DA" w:rsidRDefault="002B712C" w:rsidP="004F47BB">
      <w:pPr>
        <w:overflowPunct w:val="0"/>
        <w:adjustRightInd w:val="0"/>
        <w:spacing w:line="240" w:lineRule="atLeast"/>
        <w:ind w:left="567"/>
        <w:textAlignment w:val="baseline"/>
        <w:rPr>
          <w:szCs w:val="20"/>
          <w:lang w:val="bg-BG"/>
        </w:rPr>
      </w:pPr>
      <m:oMathPara>
        <m:oMathParaPr>
          <m:jc m:val="left"/>
        </m:oMathParaPr>
        <m:oMath>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NORM</m:t>
              </m:r>
            </m:sub>
          </m:sSub>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MESSUNG</m:t>
              </m:r>
            </m:sub>
          </m:sSub>
          <m:r>
            <w:rPr>
              <w:rFonts w:ascii="Cambria Math" w:hAnsi="Cambria Math"/>
              <w:szCs w:val="20"/>
              <w:lang w:val="bg-BG"/>
            </w:rPr>
            <m:t xml:space="preserve"> ∙ </m:t>
          </m:r>
          <m:f>
            <m:fPr>
              <m:ctrlPr>
                <w:rPr>
                  <w:rFonts w:ascii="Cambria Math" w:hAnsi="Cambria Math"/>
                  <w:i/>
                  <w:szCs w:val="20"/>
                  <w:lang w:val="bg-BG"/>
                </w:rPr>
              </m:ctrlPr>
            </m:fPr>
            <m:num>
              <m:sSub>
                <m:sSubPr>
                  <m:ctrlPr>
                    <w:rPr>
                      <w:rFonts w:ascii="Cambria Math" w:hAnsi="Cambria Math"/>
                      <w:i/>
                      <w:szCs w:val="20"/>
                      <w:lang w:val="bg-BG"/>
                    </w:rPr>
                  </m:ctrlPr>
                </m:sSubPr>
                <m:e>
                  <m:sSup>
                    <m:sSupPr>
                      <m:ctrlPr>
                        <w:rPr>
                          <w:rFonts w:ascii="Cambria Math" w:hAnsi="Cambria Math"/>
                          <w:i/>
                          <w:szCs w:val="20"/>
                          <w:lang w:val="bg-BG"/>
                        </w:rPr>
                      </m:ctrlPr>
                    </m:sSupPr>
                    <m:e>
                      <m:r>
                        <w:rPr>
                          <w:rFonts w:ascii="Cambria Math" w:hAnsi="Cambria Math"/>
                          <w:szCs w:val="20"/>
                          <w:lang w:val="bg-BG"/>
                        </w:rPr>
                        <m:t>s</m:t>
                      </m:r>
                    </m:e>
                    <m:sup>
                      <m:r>
                        <w:rPr>
                          <w:rFonts w:ascii="Cambria Math" w:hAnsi="Cambria Math"/>
                          <w:szCs w:val="20"/>
                          <w:lang w:val="bg-BG"/>
                        </w:rPr>
                        <m:t>*</m:t>
                      </m:r>
                    </m:sup>
                  </m:sSup>
                </m:e>
                <m:sub>
                  <m:r>
                    <w:rPr>
                      <w:rFonts w:ascii="Cambria Math" w:hAnsi="Cambria Math"/>
                      <w:szCs w:val="20"/>
                      <w:lang w:val="bg-BG"/>
                    </w:rPr>
                    <m:t>SOLL</m:t>
                  </m:r>
                </m:sub>
              </m:sSub>
            </m:num>
            <m:den>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IST</m:t>
                  </m:r>
                </m:sub>
              </m:sSub>
            </m:den>
          </m:f>
          <m:r>
            <w:rPr>
              <w:rFonts w:ascii="Cambria Math" w:hAnsi="Cambria Math"/>
              <w:szCs w:val="20"/>
              <w:lang w:val="bg-BG"/>
            </w:rPr>
            <m:t>=550 m</m:t>
          </m:r>
        </m:oMath>
      </m:oMathPara>
    </w:p>
    <w:p w:rsidR="004F47BB" w:rsidRPr="009072DA" w:rsidRDefault="004F47BB" w:rsidP="004F47BB">
      <w:pPr>
        <w:tabs>
          <w:tab w:val="left" w:pos="284"/>
        </w:tabs>
        <w:overflowPunct w:val="0"/>
        <w:adjustRightInd w:val="0"/>
        <w:spacing w:line="240" w:lineRule="exact"/>
        <w:ind w:left="454" w:hanging="454"/>
        <w:textAlignment w:val="baseline"/>
        <w:rPr>
          <w:szCs w:val="20"/>
          <w:lang w:val="bg-BG"/>
        </w:rPr>
      </w:pPr>
    </w:p>
    <w:p w:rsidR="004F47BB" w:rsidRPr="009072DA" w:rsidRDefault="004F47BB" w:rsidP="004F47BB">
      <w:pPr>
        <w:overflowPunct w:val="0"/>
        <w:adjustRightInd w:val="0"/>
        <w:spacing w:line="240" w:lineRule="exact"/>
        <w:ind w:left="567"/>
        <w:textAlignment w:val="baseline"/>
        <w:rPr>
          <w:szCs w:val="20"/>
          <w:lang w:val="bg-BG"/>
        </w:rPr>
      </w:pPr>
      <w:r w:rsidRPr="009072DA">
        <w:rPr>
          <w:lang w:val="bg-BG"/>
        </w:rPr>
        <w:t>Поради това:</w:t>
      </w:r>
    </w:p>
    <w:p w:rsidR="004F47BB" w:rsidRPr="009072DA" w:rsidRDefault="004F47BB" w:rsidP="004F47BB">
      <w:pPr>
        <w:tabs>
          <w:tab w:val="left" w:pos="284"/>
        </w:tabs>
        <w:overflowPunct w:val="0"/>
        <w:adjustRightInd w:val="0"/>
        <w:spacing w:line="240" w:lineRule="exact"/>
        <w:ind w:left="454" w:hanging="454"/>
        <w:textAlignment w:val="baseline"/>
        <w:rPr>
          <w:szCs w:val="20"/>
          <w:lang w:val="bg-BG"/>
        </w:rPr>
      </w:pPr>
    </w:p>
    <w:p w:rsidR="004F47BB" w:rsidRPr="009072DA" w:rsidRDefault="002B712C" w:rsidP="004F47BB">
      <w:pPr>
        <w:overflowPunct w:val="0"/>
        <w:adjustRightInd w:val="0"/>
        <w:spacing w:line="240" w:lineRule="atLeast"/>
        <w:ind w:left="567"/>
        <w:textAlignment w:val="baseline"/>
        <w:rPr>
          <w:szCs w:val="20"/>
          <w:lang w:val="bg-BG"/>
        </w:rPr>
      </w:pPr>
      <m:oMathPara>
        <m:oMathParaPr>
          <m:jc m:val="left"/>
        </m:oMathParaPr>
        <m:oMath>
          <m:sSub>
            <m:sSubPr>
              <m:ctrlPr>
                <w:rPr>
                  <w:rFonts w:ascii="Cambria Math" w:hAnsi="Cambria Math"/>
                  <w:i/>
                  <w:szCs w:val="20"/>
                  <w:lang w:val="bg-BG"/>
                </w:rPr>
              </m:ctrlPr>
            </m:sSubPr>
            <m:e>
              <m:sSup>
                <m:sSupPr>
                  <m:ctrlPr>
                    <w:rPr>
                      <w:rFonts w:ascii="Cambria Math" w:hAnsi="Cambria Math"/>
                      <w:i/>
                      <w:szCs w:val="20"/>
                      <w:lang w:val="bg-BG"/>
                    </w:rPr>
                  </m:ctrlPr>
                </m:sSupPr>
                <m:e>
                  <m:r>
                    <w:rPr>
                      <w:rFonts w:ascii="Cambria Math" w:hAnsi="Cambria Math"/>
                      <w:szCs w:val="20"/>
                      <w:lang w:val="bg-BG"/>
                    </w:rPr>
                    <m:t>s</m:t>
                  </m:r>
                </m:e>
                <m:sup>
                  <m:r>
                    <w:rPr>
                      <w:rFonts w:ascii="Cambria Math" w:hAnsi="Cambria Math"/>
                      <w:szCs w:val="20"/>
                      <w:lang w:val="bg-BG"/>
                    </w:rPr>
                    <m:t>*</m:t>
                  </m:r>
                </m:sup>
              </m:sSup>
            </m:e>
            <m:sub>
              <m:r>
                <w:rPr>
                  <w:rFonts w:ascii="Cambria Math" w:hAnsi="Cambria Math"/>
                  <w:szCs w:val="20"/>
                  <w:lang w:val="bg-BG"/>
                </w:rPr>
                <m:t>SOLL</m:t>
              </m:r>
            </m:sub>
          </m:sSub>
          <m:r>
            <w:rPr>
              <w:rFonts w:ascii="Cambria Math" w:hAnsi="Cambria Math"/>
              <w:szCs w:val="20"/>
              <w:lang w:val="bg-BG"/>
            </w:rPr>
            <m:t xml:space="preserve">=550  ∙ </m:t>
          </m:r>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IST</m:t>
                  </m:r>
                </m:sub>
              </m:sSub>
            </m:num>
            <m:den>
              <m:sSub>
                <m:sSubPr>
                  <m:ctrlPr>
                    <w:rPr>
                      <w:rFonts w:ascii="Cambria Math" w:hAnsi="Cambria Math"/>
                      <w:i/>
                      <w:szCs w:val="20"/>
                      <w:lang w:val="bg-BG"/>
                    </w:rPr>
                  </m:ctrlPr>
                </m:sSubPr>
                <m:e>
                  <m:r>
                    <w:rPr>
                      <w:rFonts w:ascii="Cambria Math" w:hAnsi="Cambria Math"/>
                      <w:szCs w:val="20"/>
                      <w:lang w:val="bg-BG"/>
                    </w:rPr>
                    <m:t>s</m:t>
                  </m:r>
                </m:e>
                <m:sub>
                  <m:r>
                    <w:rPr>
                      <w:rFonts w:ascii="Cambria Math" w:hAnsi="Cambria Math"/>
                      <w:szCs w:val="20"/>
                      <w:lang w:val="bg-BG"/>
                    </w:rPr>
                    <m:t>MESSUNG</m:t>
                  </m:r>
                </m:sub>
              </m:sSub>
            </m:den>
          </m:f>
          <m:r>
            <w:rPr>
              <w:rFonts w:ascii="Cambria Math" w:hAnsi="Cambria Math"/>
              <w:szCs w:val="20"/>
              <w:lang w:val="bg-BG"/>
            </w:rPr>
            <m:t xml:space="preserve">= </m:t>
          </m:r>
          <m:sSub>
            <m:sSubPr>
              <m:ctrlPr>
                <w:rPr>
                  <w:rFonts w:ascii="Cambria Math" w:hAnsi="Cambria Math"/>
                  <w:i/>
                  <w:szCs w:val="20"/>
                  <w:lang w:val="bg-BG"/>
                </w:rPr>
              </m:ctrlPr>
            </m:sSubPr>
            <m:e>
              <m:r>
                <w:rPr>
                  <w:rFonts w:ascii="Cambria Math" w:hAnsi="Cambria Math"/>
                  <w:szCs w:val="20"/>
                  <w:lang w:val="bg-BG"/>
                </w:rPr>
                <m:t>s</m:t>
              </m:r>
            </m:e>
            <m:sub>
              <m:sSub>
                <m:sSubPr>
                  <m:ctrlPr>
                    <w:rPr>
                      <w:rFonts w:ascii="Cambria Math" w:hAnsi="Cambria Math"/>
                      <w:i/>
                      <w:szCs w:val="20"/>
                      <w:lang w:val="bg-BG"/>
                    </w:rPr>
                  </m:ctrlPr>
                </m:sSubPr>
                <m:e>
                  <m:r>
                    <w:rPr>
                      <w:rFonts w:ascii="Cambria Math" w:hAnsi="Cambria Math"/>
                      <w:szCs w:val="20"/>
                      <w:lang w:val="bg-BG"/>
                    </w:rPr>
                    <m:t>I</m:t>
                  </m:r>
                </m:e>
                <m:sub>
                  <m:r>
                    <w:rPr>
                      <w:rFonts w:ascii="Cambria Math" w:hAnsi="Cambria Math"/>
                      <w:szCs w:val="20"/>
                      <w:lang w:val="bg-BG"/>
                    </w:rPr>
                    <m:t>SOLL</m:t>
                  </m:r>
                </m:sub>
              </m:sSub>
            </m:sub>
          </m:sSub>
          <m:r>
            <w:rPr>
              <w:rFonts w:ascii="Cambria Math" w:hAnsi="Cambria Math"/>
              <w:szCs w:val="20"/>
              <w:lang w:val="bg-BG"/>
            </w:rPr>
            <m:t xml:space="preserve">+ </m:t>
          </m:r>
          <m:sSub>
            <m:sSubPr>
              <m:ctrlPr>
                <w:rPr>
                  <w:rFonts w:ascii="Cambria Math" w:hAnsi="Cambria Math"/>
                  <w:i/>
                  <w:szCs w:val="20"/>
                  <w:lang w:val="bg-BG"/>
                </w:rPr>
              </m:ctrlPr>
            </m:sSubPr>
            <m:e>
              <m:sSup>
                <m:sSupPr>
                  <m:ctrlPr>
                    <w:rPr>
                      <w:rFonts w:ascii="Cambria Math" w:hAnsi="Cambria Math"/>
                      <w:i/>
                      <w:szCs w:val="20"/>
                      <w:lang w:val="bg-BG"/>
                    </w:rPr>
                  </m:ctrlPr>
                </m:sSupPr>
                <m:e>
                  <m:r>
                    <w:rPr>
                      <w:rFonts w:ascii="Cambria Math" w:hAnsi="Cambria Math"/>
                      <w:szCs w:val="20"/>
                      <w:lang w:val="bg-BG"/>
                    </w:rPr>
                    <m:t>s</m:t>
                  </m:r>
                </m:e>
                <m:sup>
                  <m:r>
                    <w:rPr>
                      <w:rFonts w:ascii="Cambria Math" w:hAnsi="Cambria Math"/>
                      <w:szCs w:val="20"/>
                      <w:lang w:val="bg-BG"/>
                    </w:rPr>
                    <m:t>*</m:t>
                  </m:r>
                </m:sup>
              </m:sSup>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oMath>
      </m:oMathPara>
    </w:p>
    <w:p w:rsidR="004F47BB" w:rsidRPr="009072DA" w:rsidRDefault="004F47BB" w:rsidP="004F47BB">
      <w:pPr>
        <w:tabs>
          <w:tab w:val="left" w:pos="284"/>
          <w:tab w:val="left" w:pos="8647"/>
        </w:tabs>
        <w:overflowPunct w:val="0"/>
        <w:adjustRightInd w:val="0"/>
        <w:spacing w:line="240" w:lineRule="exact"/>
        <w:ind w:left="454" w:hanging="454"/>
        <w:textAlignment w:val="baseline"/>
        <w:rPr>
          <w:szCs w:val="20"/>
          <w:lang w:val="bg-BG"/>
        </w:rPr>
      </w:pPr>
    </w:p>
    <w:p w:rsidR="004F47BB" w:rsidRPr="009072DA" w:rsidRDefault="002B712C" w:rsidP="004F47BB">
      <w:pPr>
        <w:tabs>
          <w:tab w:val="left" w:pos="567"/>
        </w:tabs>
        <w:overflowPunct w:val="0"/>
        <w:adjustRightInd w:val="0"/>
        <w:spacing w:line="240" w:lineRule="atLeast"/>
        <w:ind w:left="567"/>
        <w:textAlignment w:val="baseline"/>
        <w:rPr>
          <w:szCs w:val="20"/>
          <w:lang w:val="bg-BG"/>
        </w:rPr>
      </w:pPr>
      <m:oMathPara>
        <m:oMathParaPr>
          <m:jc m:val="left"/>
        </m:oMathParaPr>
        <m:oMath>
          <m:sSub>
            <m:sSubPr>
              <m:ctrlPr>
                <w:rPr>
                  <w:rFonts w:ascii="Cambria Math" w:hAnsi="Cambria Math"/>
                  <w:i/>
                  <w:szCs w:val="20"/>
                  <w:lang w:val="bg-BG"/>
                </w:rPr>
              </m:ctrlPr>
            </m:sSubPr>
            <m:e>
              <m:sSup>
                <m:sSupPr>
                  <m:ctrlPr>
                    <w:rPr>
                      <w:rFonts w:ascii="Cambria Math" w:hAnsi="Cambria Math"/>
                      <w:i/>
                      <w:szCs w:val="20"/>
                      <w:lang w:val="bg-BG"/>
                    </w:rPr>
                  </m:ctrlPr>
                </m:sSupPr>
                <m:e>
                  <m:r>
                    <w:rPr>
                      <w:rFonts w:ascii="Cambria Math" w:hAnsi="Cambria Math"/>
                      <w:szCs w:val="20"/>
                      <w:lang w:val="bg-BG"/>
                    </w:rPr>
                    <m:t>s</m:t>
                  </m:r>
                </m:e>
                <m:sup>
                  <m:r>
                    <w:rPr>
                      <w:rFonts w:ascii="Cambria Math" w:hAnsi="Cambria Math"/>
                      <w:szCs w:val="20"/>
                      <w:lang w:val="bg-BG"/>
                    </w:rPr>
                    <m:t>*</m:t>
                  </m:r>
                </m:sup>
              </m:sSup>
            </m:e>
            <m:sub>
              <m:sSub>
                <m:sSubPr>
                  <m:ctrlPr>
                    <w:rPr>
                      <w:rFonts w:ascii="Cambria Math" w:hAnsi="Cambria Math"/>
                      <w:i/>
                      <w:szCs w:val="20"/>
                      <w:lang w:val="bg-BG"/>
                    </w:rPr>
                  </m:ctrlPr>
                </m:sSubPr>
                <m:e>
                  <m:r>
                    <w:rPr>
                      <w:rFonts w:ascii="Cambria Math" w:hAnsi="Cambria Math"/>
                      <w:szCs w:val="20"/>
                      <w:lang w:val="bg-BG"/>
                    </w:rPr>
                    <m:t>II</m:t>
                  </m:r>
                </m:e>
                <m:sub>
                  <m:r>
                    <w:rPr>
                      <w:rFonts w:ascii="Cambria Math" w:hAnsi="Cambria Math"/>
                      <w:szCs w:val="20"/>
                      <w:lang w:val="bg-BG"/>
                    </w:rPr>
                    <m:t>SOLL</m:t>
                  </m:r>
                </m:sub>
              </m:sSub>
            </m:sub>
          </m:sSub>
          <m:r>
            <w:rPr>
              <w:rFonts w:ascii="Cambria Math" w:hAnsi="Cambria Math"/>
              <w:szCs w:val="20"/>
              <w:lang w:val="bg-BG"/>
            </w:rPr>
            <m:t>=</m:t>
          </m:r>
          <m:sSub>
            <m:sSubPr>
              <m:ctrlPr>
                <w:rPr>
                  <w:rFonts w:ascii="Cambria Math" w:hAnsi="Cambria Math"/>
                  <w:i/>
                  <w:szCs w:val="20"/>
                  <w:lang w:val="bg-BG"/>
                </w:rPr>
              </m:ctrlPr>
            </m:sSubPr>
            <m:e>
              <m:r>
                <w:rPr>
                  <w:rFonts w:ascii="Cambria Math" w:hAnsi="Cambria Math"/>
                  <w:szCs w:val="20"/>
                  <w:lang w:val="bg-BG"/>
                </w:rPr>
                <m:t>Const</m:t>
              </m:r>
            </m:e>
            <m:sub>
              <m:r>
                <w:rPr>
                  <w:rFonts w:ascii="Cambria Math" w:hAnsi="Cambria Math"/>
                  <w:szCs w:val="20"/>
                  <w:lang w:val="bg-BG"/>
                </w:rPr>
                <m:t>SOLL</m:t>
              </m:r>
            </m:sub>
          </m:sSub>
          <m:r>
            <w:rPr>
              <w:rFonts w:ascii="Cambria Math" w:hAnsi="Cambria Math"/>
              <w:szCs w:val="20"/>
              <w:lang w:val="bg-BG"/>
            </w:rPr>
            <m:t xml:space="preserve"> ∙ </m:t>
          </m:r>
          <m:sSup>
            <m:sSupPr>
              <m:ctrlPr>
                <w:rPr>
                  <w:rFonts w:ascii="Cambria Math" w:hAnsi="Cambria Math"/>
                  <w:i/>
                  <w:szCs w:val="20"/>
                  <w:lang w:val="bg-BG"/>
                </w:rPr>
              </m:ctrlPr>
            </m:sSupPr>
            <m:e>
              <m:r>
                <w:rPr>
                  <w:rFonts w:ascii="Cambria Math" w:hAnsi="Cambria Math"/>
                  <w:szCs w:val="20"/>
                  <w:lang w:val="bg-BG"/>
                </w:rPr>
                <m:t>D</m:t>
              </m:r>
            </m:e>
            <m:sup>
              <m:r>
                <w:rPr>
                  <w:rFonts w:ascii="Cambria Math" w:hAnsi="Cambria Math"/>
                  <w:szCs w:val="20"/>
                  <w:lang w:val="bg-BG"/>
                </w:rPr>
                <m:t>*</m:t>
              </m:r>
            </m:sup>
          </m:sSup>
          <m:r>
            <w:rPr>
              <w:rFonts w:ascii="Cambria Math" w:hAnsi="Cambria Math"/>
              <w:szCs w:val="20"/>
              <w:lang w:val="bg-BG"/>
            </w:rPr>
            <m:t xml:space="preserve">=0,04684 ∙ </m:t>
          </m:r>
          <m:sSup>
            <m:sSupPr>
              <m:ctrlPr>
                <w:rPr>
                  <w:rFonts w:ascii="Cambria Math" w:hAnsi="Cambria Math"/>
                  <w:i/>
                  <w:szCs w:val="20"/>
                  <w:lang w:val="bg-BG"/>
                </w:rPr>
              </m:ctrlPr>
            </m:sSupPr>
            <m:e>
              <m:r>
                <w:rPr>
                  <w:rFonts w:ascii="Cambria Math" w:hAnsi="Cambria Math"/>
                  <w:szCs w:val="20"/>
                  <w:lang w:val="bg-BG"/>
                </w:rPr>
                <m:t>D</m:t>
              </m:r>
            </m:e>
            <m:sup>
              <m:r>
                <w:rPr>
                  <w:rFonts w:ascii="Cambria Math" w:hAnsi="Cambria Math"/>
                  <w:szCs w:val="20"/>
                  <w:lang w:val="bg-BG"/>
                </w:rPr>
                <m:t>*</m:t>
              </m:r>
            </m:sup>
          </m:sSup>
        </m:oMath>
      </m:oMathPara>
    </w:p>
    <w:p w:rsidR="004F47BB" w:rsidRPr="009072DA" w:rsidRDefault="004F47BB" w:rsidP="004F47BB">
      <w:pPr>
        <w:tabs>
          <w:tab w:val="left" w:pos="1843"/>
        </w:tabs>
        <w:overflowPunct w:val="0"/>
        <w:adjustRightInd w:val="0"/>
        <w:spacing w:line="240" w:lineRule="atLeast"/>
        <w:ind w:left="454" w:hanging="454"/>
        <w:textAlignment w:val="baseline"/>
        <w:rPr>
          <w:szCs w:val="20"/>
          <w:lang w:val="bg-BG"/>
        </w:rPr>
      </w:pPr>
    </w:p>
    <w:p w:rsidR="004F47BB" w:rsidRPr="009072DA" w:rsidRDefault="002B712C" w:rsidP="004F47BB">
      <w:pPr>
        <w:tabs>
          <w:tab w:val="left" w:pos="567"/>
        </w:tabs>
        <w:overflowPunct w:val="0"/>
        <w:adjustRightInd w:val="0"/>
        <w:spacing w:line="240" w:lineRule="atLeast"/>
        <w:ind w:left="567"/>
        <w:textAlignment w:val="baseline"/>
        <w:rPr>
          <w:szCs w:val="20"/>
          <w:lang w:val="bg-BG"/>
        </w:rPr>
      </w:pPr>
      <m:oMathPara>
        <m:oMathParaPr>
          <m:jc m:val="left"/>
        </m:oMathParaPr>
        <m:oMath>
          <m:sSup>
            <m:sSupPr>
              <m:ctrlPr>
                <w:rPr>
                  <w:rFonts w:ascii="Cambria Math" w:hAnsi="Cambria Math"/>
                  <w:i/>
                  <w:szCs w:val="20"/>
                  <w:lang w:val="bg-BG"/>
                </w:rPr>
              </m:ctrlPr>
            </m:sSupPr>
            <m:e>
              <m:r>
                <w:rPr>
                  <w:rFonts w:ascii="Cambria Math" w:hAnsi="Cambria Math"/>
                  <w:szCs w:val="20"/>
                  <w:lang w:val="bg-BG"/>
                </w:rPr>
                <m:t>D</m:t>
              </m:r>
            </m:e>
            <m:sup>
              <m:r>
                <w:rPr>
                  <w:rFonts w:ascii="Cambria Math" w:hAnsi="Cambria Math"/>
                  <w:szCs w:val="20"/>
                  <w:lang w:val="bg-BG"/>
                </w:rPr>
                <m:t>*</m:t>
              </m:r>
            </m:sup>
          </m:sSup>
          <m:r>
            <w:rPr>
              <w:rFonts w:ascii="Cambria Math" w:hAnsi="Cambria Math"/>
              <w:szCs w:val="20"/>
              <w:lang w:val="bg-BG"/>
            </w:rPr>
            <m:t xml:space="preserve">= </m:t>
          </m:r>
          <m:f>
            <m:fPr>
              <m:ctrlPr>
                <w:rPr>
                  <w:rFonts w:ascii="Cambria Math" w:hAnsi="Cambria Math"/>
                  <w:i/>
                  <w:szCs w:val="20"/>
                  <w:lang w:val="bg-BG"/>
                </w:rPr>
              </m:ctrlPr>
            </m:fPr>
            <m:num>
              <m:r>
                <w:rPr>
                  <w:rFonts w:ascii="Cambria Math" w:hAnsi="Cambria Math"/>
                  <w:szCs w:val="20"/>
                  <w:lang w:val="bg-BG"/>
                </w:rPr>
                <m:t xml:space="preserve">550 ∙ </m:t>
              </m:r>
              <m:f>
                <m:fPr>
                  <m:ctrlPr>
                    <w:rPr>
                      <w:rFonts w:ascii="Cambria Math" w:hAnsi="Cambria Math"/>
                      <w:i/>
                      <w:szCs w:val="20"/>
                      <w:lang w:val="bg-BG"/>
                    </w:rPr>
                  </m:ctrlPr>
                </m:fPr>
                <m:num>
                  <m:r>
                    <w:rPr>
                      <w:rFonts w:ascii="Cambria Math" w:hAnsi="Cambria Math"/>
                      <w:szCs w:val="20"/>
                      <w:lang w:val="bg-BG"/>
                    </w:rPr>
                    <m:t>475</m:t>
                  </m:r>
                </m:num>
                <m:den>
                  <m:r>
                    <w:rPr>
                      <w:rFonts w:ascii="Cambria Math" w:hAnsi="Cambria Math"/>
                      <w:szCs w:val="20"/>
                      <w:lang w:val="bg-BG"/>
                    </w:rPr>
                    <m:t>580</m:t>
                  </m:r>
                </m:den>
              </m:f>
              <m:r>
                <w:rPr>
                  <w:rFonts w:ascii="Cambria Math" w:hAnsi="Cambria Math"/>
                  <w:szCs w:val="20"/>
                  <w:lang w:val="bg-BG"/>
                </w:rPr>
                <m:t>-77,5</m:t>
              </m:r>
            </m:num>
            <m:den>
              <m:r>
                <w:rPr>
                  <w:rFonts w:ascii="Cambria Math" w:hAnsi="Cambria Math"/>
                  <w:szCs w:val="20"/>
                  <w:lang w:val="bg-BG"/>
                </w:rPr>
                <m:t>0,04684</m:t>
              </m:r>
            </m:den>
          </m:f>
          <m:r>
            <w:rPr>
              <w:rFonts w:ascii="Cambria Math" w:hAnsi="Cambria Math"/>
              <w:szCs w:val="20"/>
              <w:lang w:val="bg-BG"/>
            </w:rPr>
            <m:t xml:space="preserve">=7950 </m:t>
          </m:r>
          <m:d>
            <m:dPr>
              <m:begChr m:val="["/>
              <m:endChr m:val="]"/>
              <m:ctrlPr>
                <w:rPr>
                  <w:rFonts w:ascii="Cambria Math" w:hAnsi="Cambria Math"/>
                  <w:i/>
                  <w:szCs w:val="20"/>
                  <w:lang w:val="bg-BG"/>
                </w:rPr>
              </m:ctrlPr>
            </m:dPr>
            <m:e>
              <m:sSup>
                <m:sSupPr>
                  <m:ctrlPr>
                    <w:rPr>
                      <w:rFonts w:ascii="Cambria Math" w:hAnsi="Cambria Math"/>
                      <w:i/>
                      <w:szCs w:val="20"/>
                      <w:lang w:val="bg-BG"/>
                    </w:rPr>
                  </m:ctrlPr>
                </m:sSupPr>
                <m:e>
                  <m:r>
                    <w:rPr>
                      <w:rFonts w:ascii="Cambria Math" w:hAnsi="Cambria Math"/>
                      <w:szCs w:val="20"/>
                      <w:lang w:val="bg-BG"/>
                    </w:rPr>
                    <m:t>m</m:t>
                  </m:r>
                </m:e>
                <m:sup>
                  <m:r>
                    <w:rPr>
                      <w:rFonts w:ascii="Cambria Math" w:hAnsi="Cambria Math"/>
                      <w:szCs w:val="20"/>
                      <w:lang w:val="bg-BG"/>
                    </w:rPr>
                    <m:t>3</m:t>
                  </m:r>
                </m:sup>
              </m:sSup>
            </m:e>
          </m:d>
        </m:oMath>
      </m:oMathPara>
    </w:p>
    <w:p w:rsidR="004F47BB" w:rsidRPr="009072DA" w:rsidRDefault="004F47BB" w:rsidP="004F47BB">
      <w:pPr>
        <w:tabs>
          <w:tab w:val="left" w:pos="284"/>
        </w:tabs>
        <w:overflowPunct w:val="0"/>
        <w:adjustRightInd w:val="0"/>
        <w:spacing w:line="240" w:lineRule="exact"/>
        <w:textAlignment w:val="baseline"/>
        <w:rPr>
          <w:szCs w:val="20"/>
          <w:lang w:val="bg-BG"/>
        </w:rPr>
      </w:pPr>
    </w:p>
    <w:p w:rsidR="004F47BB" w:rsidRPr="009072DA" w:rsidRDefault="004F47BB" w:rsidP="004F47BB">
      <w:pPr>
        <w:tabs>
          <w:tab w:val="left" w:pos="284"/>
        </w:tabs>
        <w:overflowPunct w:val="0"/>
        <w:adjustRightInd w:val="0"/>
        <w:spacing w:line="240" w:lineRule="exact"/>
        <w:ind w:left="567"/>
        <w:textAlignment w:val="baseline"/>
        <w:rPr>
          <w:b/>
          <w:szCs w:val="20"/>
          <w:lang w:val="bg-BG"/>
        </w:rPr>
      </w:pPr>
      <w:r w:rsidRPr="009072DA">
        <w:rPr>
          <w:b/>
          <w:lang w:val="bg-BG"/>
        </w:rPr>
        <w:t>Следствие:</w:t>
      </w:r>
    </w:p>
    <w:p w:rsidR="004F47BB" w:rsidRPr="009072DA" w:rsidRDefault="004F47BB" w:rsidP="004F47BB">
      <w:pPr>
        <w:tabs>
          <w:tab w:val="left" w:pos="284"/>
        </w:tabs>
        <w:overflowPunct w:val="0"/>
        <w:adjustRightInd w:val="0"/>
        <w:spacing w:line="240" w:lineRule="exact"/>
        <w:ind w:left="454" w:hanging="454"/>
        <w:textAlignment w:val="baseline"/>
        <w:rPr>
          <w:szCs w:val="20"/>
          <w:lang w:val="bg-BG"/>
        </w:rPr>
      </w:pPr>
    </w:p>
    <w:p w:rsidR="004F47BB" w:rsidRPr="009072DA" w:rsidRDefault="004F47BB" w:rsidP="004F47BB">
      <w:pPr>
        <w:overflowPunct w:val="0"/>
        <w:adjustRightInd w:val="0"/>
        <w:spacing w:line="240" w:lineRule="exact"/>
        <w:ind w:left="567"/>
        <w:textAlignment w:val="baseline"/>
        <w:rPr>
          <w:szCs w:val="20"/>
          <w:lang w:val="bg-BG"/>
        </w:rPr>
      </w:pPr>
      <w:r w:rsidRPr="009072DA">
        <w:rPr>
          <w:lang w:val="bg-BG"/>
        </w:rPr>
        <w:t xml:space="preserve">Тъй като при плаване по течението допустимото водоизместване </w:t>
      </w:r>
      <m:oMath>
        <m:sSup>
          <m:sSupPr>
            <m:ctrlPr>
              <w:rPr>
                <w:rFonts w:ascii="Cambria Math" w:hAnsi="Cambria Math"/>
                <w:i/>
                <w:szCs w:val="20"/>
                <w:lang w:val="bg-BG"/>
              </w:rPr>
            </m:ctrlPr>
          </m:sSupPr>
          <m:e>
            <m:r>
              <w:rPr>
                <w:rFonts w:ascii="Cambria Math" w:hAnsi="Cambria Math"/>
                <w:szCs w:val="20"/>
                <w:lang w:val="bg-BG"/>
              </w:rPr>
              <m:t>D</m:t>
            </m:r>
          </m:e>
          <m:sup>
            <m:r>
              <w:rPr>
                <w:rFonts w:ascii="Cambria Math" w:hAnsi="Cambria Math"/>
                <w:szCs w:val="20"/>
                <w:lang w:val="bg-BG"/>
              </w:rPr>
              <m:t>*</m:t>
            </m:r>
          </m:sup>
        </m:sSup>
      </m:oMath>
      <w:r w:rsidRPr="009072DA">
        <w:rPr>
          <w:lang w:val="bg-BG"/>
        </w:rPr>
        <w:t xml:space="preserve"> е само 7950 m</w:t>
      </w:r>
      <w:r w:rsidRPr="009072DA">
        <w:rPr>
          <w:vertAlign w:val="superscript"/>
          <w:lang w:val="bg-BG"/>
        </w:rPr>
        <w:t>3</w:t>
      </w:r>
      <w:r w:rsidRPr="009072DA">
        <w:rPr>
          <w:lang w:val="bg-BG"/>
        </w:rPr>
        <w:t xml:space="preserve"> (приблизително):  </w:t>
      </w:r>
      <w:r w:rsidRPr="009072DA">
        <w:rPr>
          <w:lang w:val="bg-BG"/>
        </w:rPr>
        <w:br/>
      </w:r>
    </w:p>
    <w:p w:rsidR="004F47BB" w:rsidRPr="009072DA" w:rsidRDefault="004F47BB" w:rsidP="004F47BB">
      <w:pPr>
        <w:overflowPunct w:val="0"/>
        <w:adjustRightInd w:val="0"/>
        <w:spacing w:line="240" w:lineRule="atLeast"/>
        <w:ind w:left="567"/>
        <w:textAlignment w:val="baseline"/>
        <w:rPr>
          <w:szCs w:val="20"/>
          <w:lang w:val="bg-BG"/>
        </w:rPr>
      </w:pPr>
    </w:p>
    <w:p w:rsidR="004F47BB" w:rsidRPr="009072DA" w:rsidRDefault="002B712C" w:rsidP="004F47BB">
      <w:pPr>
        <w:overflowPunct w:val="0"/>
        <w:adjustRightInd w:val="0"/>
        <w:spacing w:line="240" w:lineRule="atLeast"/>
        <w:ind w:left="567"/>
        <w:textAlignment w:val="baseline"/>
        <w:rPr>
          <w:szCs w:val="20"/>
          <w:lang w:val="bg-BG"/>
        </w:rPr>
      </w:pPr>
      <m:oMathPara>
        <m:oMathParaPr>
          <m:jc m:val="left"/>
        </m:oMathParaPr>
        <m:oMath>
          <m:f>
            <m:fPr>
              <m:ctrlPr>
                <w:rPr>
                  <w:rFonts w:ascii="Cambria Math" w:hAnsi="Cambria Math"/>
                  <w:i/>
                  <w:szCs w:val="20"/>
                  <w:lang w:val="bg-BG"/>
                </w:rPr>
              </m:ctrlPr>
            </m:fPr>
            <m:num>
              <m:r>
                <w:rPr>
                  <w:rFonts w:ascii="Cambria Math" w:hAnsi="Cambria Math"/>
                  <w:szCs w:val="20"/>
                  <w:lang w:val="bg-BG"/>
                </w:rPr>
                <m:t>zul.  Tgf</m:t>
              </m:r>
            </m:num>
            <m:den>
              <m:func>
                <m:funcPr>
                  <m:ctrlPr>
                    <w:rPr>
                      <w:rFonts w:ascii="Cambria Math" w:hAnsi="Cambria Math"/>
                      <w:i/>
                      <w:szCs w:val="20"/>
                      <w:lang w:val="bg-BG"/>
                    </w:rPr>
                  </m:ctrlPr>
                </m:funcPr>
                <m:fName>
                  <m:r>
                    <m:rPr>
                      <m:sty m:val="p"/>
                    </m:rPr>
                    <w:rPr>
                      <w:rFonts w:ascii="Cambria Math" w:hAnsi="Cambria Math"/>
                      <w:szCs w:val="20"/>
                      <w:lang w:val="bg-BG"/>
                    </w:rPr>
                    <m:t>max</m:t>
                  </m:r>
                </m:fName>
                <m:e>
                  <m:r>
                    <w:rPr>
                      <w:rFonts w:ascii="Cambria Math" w:hAnsi="Cambria Math"/>
                      <w:szCs w:val="20"/>
                      <w:lang w:val="bg-BG"/>
                    </w:rPr>
                    <m:t>.  Tgf</m:t>
                  </m:r>
                </m:e>
              </m:func>
            </m:den>
          </m:f>
          <m:r>
            <w:rPr>
              <w:rFonts w:ascii="Cambria Math" w:hAnsi="Cambria Math"/>
              <w:szCs w:val="20"/>
              <w:lang w:val="bg-BG"/>
            </w:rPr>
            <m:t xml:space="preserve">= </m:t>
          </m:r>
          <m:f>
            <m:fPr>
              <m:ctrlPr>
                <w:rPr>
                  <w:rFonts w:ascii="Cambria Math" w:hAnsi="Cambria Math"/>
                  <w:i/>
                  <w:szCs w:val="20"/>
                  <w:lang w:val="bg-BG"/>
                </w:rPr>
              </m:ctrlPr>
            </m:fPr>
            <m:num>
              <m:sSup>
                <m:sSupPr>
                  <m:ctrlPr>
                    <w:rPr>
                      <w:rFonts w:ascii="Cambria Math" w:hAnsi="Cambria Math"/>
                      <w:i/>
                      <w:szCs w:val="20"/>
                      <w:lang w:val="bg-BG"/>
                    </w:rPr>
                  </m:ctrlPr>
                </m:sSupPr>
                <m:e>
                  <m:r>
                    <w:rPr>
                      <w:rFonts w:ascii="Cambria Math" w:hAnsi="Cambria Math"/>
                      <w:szCs w:val="20"/>
                      <w:lang w:val="bg-BG"/>
                    </w:rPr>
                    <m:t>D</m:t>
                  </m:r>
                </m:e>
                <m:sup>
                  <m:r>
                    <w:rPr>
                      <w:rFonts w:ascii="Cambria Math" w:hAnsi="Cambria Math"/>
                      <w:szCs w:val="20"/>
                      <w:lang w:val="bg-BG"/>
                    </w:rPr>
                    <m:t>*</m:t>
                  </m:r>
                </m:sup>
              </m:sSup>
            </m:num>
            <m:den>
              <m:sSub>
                <m:sSubPr>
                  <m:ctrlPr>
                    <w:rPr>
                      <w:rFonts w:ascii="Cambria Math" w:hAnsi="Cambria Math"/>
                      <w:i/>
                      <w:szCs w:val="20"/>
                      <w:lang w:val="bg-BG"/>
                    </w:rPr>
                  </m:ctrlPr>
                </m:sSubPr>
                <m:e>
                  <m:r>
                    <w:rPr>
                      <w:rFonts w:ascii="Cambria Math" w:hAnsi="Cambria Math"/>
                      <w:szCs w:val="20"/>
                      <w:lang w:val="bg-BG"/>
                    </w:rPr>
                    <m:t>D</m:t>
                  </m:r>
                </m:e>
                <m:sub>
                  <m:r>
                    <w:rPr>
                      <w:rFonts w:ascii="Cambria Math" w:hAnsi="Cambria Math"/>
                      <w:szCs w:val="20"/>
                      <w:lang w:val="bg-BG"/>
                    </w:rPr>
                    <m:t>max</m:t>
                  </m:r>
                </m:sub>
              </m:sSub>
            </m:den>
          </m:f>
          <m:r>
            <w:rPr>
              <w:rFonts w:ascii="Cambria Math" w:hAnsi="Cambria Math"/>
              <w:szCs w:val="20"/>
              <w:lang w:val="bg-BG"/>
            </w:rPr>
            <m:t xml:space="preserve">= </m:t>
          </m:r>
          <m:f>
            <m:fPr>
              <m:ctrlPr>
                <w:rPr>
                  <w:rFonts w:ascii="Cambria Math" w:hAnsi="Cambria Math"/>
                  <w:i/>
                  <w:szCs w:val="20"/>
                  <w:lang w:val="bg-BG"/>
                </w:rPr>
              </m:ctrlPr>
            </m:fPr>
            <m:num>
              <m:r>
                <w:rPr>
                  <w:rFonts w:ascii="Cambria Math" w:hAnsi="Cambria Math"/>
                  <w:szCs w:val="20"/>
                  <w:lang w:val="bg-BG"/>
                </w:rPr>
                <m:t>7950</m:t>
              </m:r>
            </m:num>
            <m:den>
              <m:r>
                <w:rPr>
                  <w:rFonts w:ascii="Cambria Math" w:hAnsi="Cambria Math"/>
                  <w:szCs w:val="20"/>
                  <w:lang w:val="bg-BG"/>
                </w:rPr>
                <m:t>11960</m:t>
              </m:r>
            </m:den>
          </m:f>
          <m:r>
            <w:rPr>
              <w:rFonts w:ascii="Cambria Math" w:hAnsi="Cambria Math"/>
              <w:szCs w:val="20"/>
              <w:lang w:val="bg-BG"/>
            </w:rPr>
            <m:t>=0,66</m:t>
          </m:r>
        </m:oMath>
      </m:oMathPara>
    </w:p>
    <w:p w:rsidR="004F47BB" w:rsidRPr="009072DA" w:rsidRDefault="004F47BB" w:rsidP="004F47BB">
      <w:pPr>
        <w:overflowPunct w:val="0"/>
        <w:adjustRightInd w:val="0"/>
        <w:spacing w:line="240" w:lineRule="atLeast"/>
        <w:ind w:left="567"/>
        <w:textAlignment w:val="baseline"/>
        <w:rPr>
          <w:szCs w:val="20"/>
          <w:lang w:val="bg-BG"/>
        </w:rPr>
      </w:pPr>
    </w:p>
    <w:p w:rsidR="004F47BB" w:rsidRPr="009072DA" w:rsidRDefault="004F47BB" w:rsidP="004F47BB">
      <w:pPr>
        <w:tabs>
          <w:tab w:val="left" w:pos="284"/>
        </w:tabs>
        <w:overflowPunct w:val="0"/>
        <w:adjustRightInd w:val="0"/>
        <w:spacing w:line="240" w:lineRule="exact"/>
        <w:textAlignment w:val="baseline"/>
        <w:rPr>
          <w:szCs w:val="20"/>
          <w:lang w:val="bg-BG"/>
        </w:rPr>
      </w:pPr>
    </w:p>
    <w:p w:rsidR="004F47BB" w:rsidRPr="009072DA" w:rsidRDefault="004F47BB" w:rsidP="004F47BB">
      <w:pPr>
        <w:tabs>
          <w:tab w:val="left" w:pos="284"/>
        </w:tabs>
        <w:overflowPunct w:val="0"/>
        <w:adjustRightInd w:val="0"/>
        <w:spacing w:line="240" w:lineRule="atLeast"/>
        <w:ind w:left="567"/>
        <w:textAlignment w:val="baseline"/>
        <w:rPr>
          <w:szCs w:val="20"/>
          <w:lang w:val="bg-BG"/>
        </w:rPr>
      </w:pPr>
      <w:r w:rsidRPr="009072DA">
        <w:rPr>
          <w:lang w:val="bg-BG"/>
        </w:rPr>
        <w:lastRenderedPageBreak/>
        <w:t>Допустима товароподемност за това формирование е (вж. точка 1):</w:t>
      </w:r>
    </w:p>
    <w:p w:rsidR="004F47BB" w:rsidRPr="009072DA" w:rsidRDefault="004F47BB" w:rsidP="004F47BB">
      <w:pPr>
        <w:tabs>
          <w:tab w:val="left" w:pos="284"/>
        </w:tabs>
        <w:overflowPunct w:val="0"/>
        <w:adjustRightInd w:val="0"/>
        <w:spacing w:line="240" w:lineRule="atLeast"/>
        <w:ind w:left="567"/>
        <w:textAlignment w:val="baseline"/>
        <w:rPr>
          <w:szCs w:val="20"/>
          <w:lang w:val="bg-BG"/>
        </w:rPr>
      </w:pPr>
    </w:p>
    <w:p w:rsidR="004F47BB" w:rsidRPr="009072DA" w:rsidRDefault="004F47BB" w:rsidP="004F47BB">
      <w:pPr>
        <w:tabs>
          <w:tab w:val="left" w:pos="284"/>
        </w:tabs>
        <w:overflowPunct w:val="0"/>
        <w:adjustRightInd w:val="0"/>
        <w:spacing w:line="240" w:lineRule="atLeast"/>
        <w:ind w:left="567"/>
        <w:textAlignment w:val="baseline"/>
        <w:rPr>
          <w:szCs w:val="20"/>
          <w:lang w:val="bg-BG"/>
        </w:rPr>
      </w:pPr>
      <m:oMathPara>
        <m:oMathParaPr>
          <m:jc m:val="left"/>
        </m:oMathParaPr>
        <m:oMath>
          <m:r>
            <w:rPr>
              <w:rFonts w:ascii="Cambria Math" w:hAnsi="Cambria Math"/>
              <w:szCs w:val="20"/>
              <w:lang w:val="bg-BG"/>
            </w:rPr>
            <m:t>0,66 ∙10700=</m:t>
          </m:r>
          <m:r>
            <m:rPr>
              <m:sty m:val="bi"/>
            </m:rPr>
            <w:rPr>
              <w:rFonts w:ascii="Cambria Math" w:hAnsi="Cambria Math"/>
              <w:szCs w:val="20"/>
              <w:lang w:val="bg-BG"/>
            </w:rPr>
            <m:t>7112 t</m:t>
          </m:r>
        </m:oMath>
      </m:oMathPara>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sectPr w:rsidR="004F47BB" w:rsidRPr="009072DA" w:rsidSect="00D45887">
          <w:headerReference w:type="first" r:id="rId129"/>
          <w:pgSz w:w="11907" w:h="16840" w:code="9"/>
          <w:pgMar w:top="1418" w:right="1418" w:bottom="1418" w:left="1418" w:header="680" w:footer="680" w:gutter="0"/>
          <w:cols w:space="720"/>
          <w:noEndnote/>
          <w:titlePg/>
        </w:sectPr>
      </w:pPr>
    </w:p>
    <w:p w:rsidR="004F47BB" w:rsidRPr="009072DA" w:rsidRDefault="004F47BB" w:rsidP="005B46C9">
      <w:pPr>
        <w:pStyle w:val="ESch"/>
        <w:rPr>
          <w:lang w:val="bg-BG"/>
        </w:rPr>
      </w:pPr>
    </w:p>
    <w:p w:rsidR="004F47BB" w:rsidRPr="009072DA" w:rsidRDefault="004F47BB" w:rsidP="005B46C9">
      <w:pPr>
        <w:pStyle w:val="ES-Titre2ESI"/>
      </w:pPr>
      <w:bookmarkStart w:id="740" w:name="_Toc491854353"/>
      <w:bookmarkStart w:id="741" w:name="_Toc535827794"/>
      <w:r w:rsidRPr="009072DA">
        <w:t>ESI-II-4</w:t>
      </w:r>
      <w:r w:rsidRPr="009072DA">
        <w:br/>
        <w:t>Способност за отклоняване и извършване на поворот</w:t>
      </w:r>
      <w:bookmarkEnd w:id="740"/>
      <w:bookmarkEnd w:id="741"/>
    </w:p>
    <w:p w:rsidR="004F47BB" w:rsidRPr="009072DA" w:rsidRDefault="004F47BB" w:rsidP="004F47BB">
      <w:pPr>
        <w:overflowPunct w:val="0"/>
        <w:adjustRightInd w:val="0"/>
        <w:jc w:val="center"/>
        <w:textAlignment w:val="baseline"/>
        <w:rPr>
          <w:szCs w:val="20"/>
          <w:lang w:val="bg-BG"/>
        </w:rPr>
      </w:pPr>
    </w:p>
    <w:p w:rsidR="004F47BB" w:rsidRPr="009072DA" w:rsidRDefault="004F47BB" w:rsidP="004F47BB">
      <w:pPr>
        <w:tabs>
          <w:tab w:val="center" w:pos="4666"/>
        </w:tabs>
        <w:overflowPunct w:val="0"/>
        <w:adjustRightInd w:val="0"/>
        <w:jc w:val="center"/>
        <w:textAlignment w:val="baseline"/>
        <w:rPr>
          <w:b/>
          <w:szCs w:val="20"/>
          <w:lang w:val="bg-BG"/>
        </w:rPr>
      </w:pPr>
      <w:r w:rsidRPr="009072DA">
        <w:rPr>
          <w:b/>
          <w:lang w:val="bg-BG"/>
        </w:rPr>
        <w:t>(членове 5.09 и 5.10 във връзка с членове 5.02, точка 1, 5.03, точка 1, 5.04 и 21.06)</w:t>
      </w:r>
    </w:p>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b/>
          <w:szCs w:val="20"/>
          <w:lang w:val="bg-BG"/>
        </w:rPr>
      </w:pPr>
    </w:p>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b/>
          <w:szCs w:val="20"/>
          <w:lang w:val="bg-BG"/>
        </w:rPr>
      </w:pPr>
    </w:p>
    <w:p w:rsidR="004F47BB" w:rsidRPr="009072DA" w:rsidRDefault="004F47BB" w:rsidP="004F47BB">
      <w:pPr>
        <w:tabs>
          <w:tab w:val="left" w:pos="567"/>
        </w:tabs>
        <w:overflowPunct w:val="0"/>
        <w:adjustRightInd w:val="0"/>
        <w:ind w:left="567" w:hanging="567"/>
        <w:textAlignment w:val="baseline"/>
        <w:rPr>
          <w:b/>
          <w:szCs w:val="20"/>
          <w:lang w:val="bg-BG"/>
        </w:rPr>
      </w:pPr>
      <w:r w:rsidRPr="009072DA">
        <w:rPr>
          <w:b/>
          <w:lang w:val="bg-BG"/>
        </w:rPr>
        <w:t>1.</w:t>
      </w:r>
      <w:r w:rsidRPr="009072DA">
        <w:rPr>
          <w:lang w:val="bg-BG"/>
        </w:rPr>
        <w:tab/>
      </w:r>
      <w:r w:rsidRPr="009072DA">
        <w:rPr>
          <w:b/>
          <w:lang w:val="bg-BG"/>
        </w:rPr>
        <w:t>Общи условия и гранични условия, свързани с изпитването на способността за отклоняване</w:t>
      </w:r>
    </w:p>
    <w:p w:rsidR="004F47BB" w:rsidRPr="009072DA" w:rsidRDefault="004F47BB" w:rsidP="004F47BB">
      <w:pPr>
        <w:tabs>
          <w:tab w:val="left" w:pos="426"/>
        </w:tabs>
        <w:overflowPunct w:val="0"/>
        <w:adjustRightInd w:val="0"/>
        <w:ind w:left="426" w:hanging="426"/>
        <w:textAlignment w:val="baseline"/>
        <w:rPr>
          <w:szCs w:val="20"/>
          <w:lang w:val="bg-BG"/>
        </w:rPr>
      </w:pPr>
    </w:p>
    <w:p w:rsidR="004F47BB" w:rsidRPr="009072DA" w:rsidRDefault="004F47BB" w:rsidP="004F47BB">
      <w:pPr>
        <w:spacing w:line="240" w:lineRule="atLeast"/>
        <w:ind w:left="567" w:hanging="567"/>
        <w:rPr>
          <w:lang w:val="bg-BG"/>
        </w:rPr>
      </w:pPr>
      <w:r w:rsidRPr="009072DA">
        <w:rPr>
          <w:lang w:val="bg-BG"/>
        </w:rPr>
        <w:t>1.1</w:t>
      </w:r>
      <w:r w:rsidRPr="009072DA">
        <w:rPr>
          <w:lang w:val="bg-BG"/>
        </w:rPr>
        <w:tab/>
        <w:t>Съгласно член 5.09 плавателните съдове и съставите трябва да могат своевременно да предприемат отклоняване и съответната способност се доказва с маневри за отклоняване на изпитвателен полигон в съответствие с член 5.03. Това се доказва чрез симулирани маневри за отклоняване ляво и дясно на борд с предписани стойности, при които за определени скорости на поворот на съда в отговор на завъртане на щурвала до крайно положение и след това изправянето му да се спази определен интервал от време.</w:t>
      </w:r>
    </w:p>
    <w:p w:rsidR="004F47BB" w:rsidRPr="009072DA" w:rsidRDefault="004F47BB" w:rsidP="004F47BB">
      <w:pPr>
        <w:tabs>
          <w:tab w:val="left" w:pos="426"/>
        </w:tabs>
        <w:overflowPunct w:val="0"/>
        <w:adjustRightInd w:val="0"/>
        <w:ind w:left="426" w:hanging="426"/>
        <w:textAlignment w:val="baseline"/>
        <w:rPr>
          <w:szCs w:val="20"/>
          <w:lang w:val="bg-BG"/>
        </w:rPr>
      </w:pPr>
    </w:p>
    <w:p w:rsidR="004F47BB" w:rsidRPr="009072DA" w:rsidRDefault="004F47BB" w:rsidP="004F47BB">
      <w:pPr>
        <w:spacing w:line="240" w:lineRule="atLeast"/>
        <w:ind w:left="567"/>
        <w:rPr>
          <w:lang w:val="bg-BG"/>
        </w:rPr>
      </w:pPr>
      <w:r w:rsidRPr="009072DA">
        <w:rPr>
          <w:lang w:val="bg-BG"/>
        </w:rPr>
        <w:t>По време на изпитванията изискванията от раздел 2 трябва да се спазват, като се поддържа дълбочина под кила най-малко 20 % от газенето, но не по-малка от 0,50 m.</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tabs>
          <w:tab w:val="left" w:pos="567"/>
        </w:tabs>
        <w:overflowPunct w:val="0"/>
        <w:adjustRightInd w:val="0"/>
        <w:ind w:left="567" w:hanging="567"/>
        <w:textAlignment w:val="baseline"/>
        <w:rPr>
          <w:b/>
          <w:szCs w:val="20"/>
          <w:lang w:val="bg-BG"/>
        </w:rPr>
      </w:pPr>
      <w:r w:rsidRPr="009072DA">
        <w:rPr>
          <w:b/>
          <w:lang w:val="bg-BG"/>
        </w:rPr>
        <w:t>2.</w:t>
      </w:r>
      <w:r w:rsidRPr="009072DA">
        <w:rPr>
          <w:lang w:val="bg-BG"/>
        </w:rPr>
        <w:tab/>
      </w:r>
      <w:r w:rsidRPr="009072DA">
        <w:rPr>
          <w:b/>
          <w:lang w:val="bg-BG"/>
        </w:rPr>
        <w:t>Процедура за изпитването на способността за отклоняване и записване на данните</w:t>
      </w:r>
    </w:p>
    <w:p w:rsidR="004F47BB" w:rsidRPr="009072DA" w:rsidRDefault="004F47BB" w:rsidP="004F47BB">
      <w:pPr>
        <w:spacing w:line="240" w:lineRule="atLeast"/>
        <w:ind w:left="567"/>
        <w:rPr>
          <w:lang w:val="bg-BG"/>
        </w:rPr>
      </w:pPr>
      <w:r w:rsidRPr="009072DA">
        <w:rPr>
          <w:lang w:val="bg-BG"/>
        </w:rPr>
        <w:t>(Диаграма в приложение 1)</w:t>
      </w:r>
    </w:p>
    <w:p w:rsidR="004F47BB" w:rsidRPr="009072DA" w:rsidRDefault="004F47BB" w:rsidP="004F47BB">
      <w:pPr>
        <w:tabs>
          <w:tab w:val="left" w:pos="426"/>
        </w:tabs>
        <w:overflowPunct w:val="0"/>
        <w:adjustRightInd w:val="0"/>
        <w:ind w:left="426" w:hanging="426"/>
        <w:textAlignment w:val="baseline"/>
        <w:rPr>
          <w:szCs w:val="20"/>
          <w:lang w:val="bg-BG"/>
        </w:rPr>
      </w:pPr>
    </w:p>
    <w:p w:rsidR="004F47BB" w:rsidRPr="009072DA" w:rsidRDefault="004F47BB" w:rsidP="004F47BB">
      <w:pPr>
        <w:tabs>
          <w:tab w:val="left" w:pos="567"/>
        </w:tabs>
        <w:overflowPunct w:val="0"/>
        <w:adjustRightInd w:val="0"/>
        <w:ind w:left="567" w:hanging="567"/>
        <w:textAlignment w:val="baseline"/>
        <w:rPr>
          <w:szCs w:val="20"/>
          <w:lang w:val="bg-BG"/>
        </w:rPr>
      </w:pPr>
      <w:r w:rsidRPr="009072DA">
        <w:rPr>
          <w:lang w:val="bg-BG"/>
        </w:rPr>
        <w:t>2.1</w:t>
      </w:r>
      <w:r w:rsidRPr="009072DA">
        <w:rPr>
          <w:lang w:val="bg-BG"/>
        </w:rPr>
        <w:tab/>
        <w:t>Маневрите за отклоняване се извършват както следва:</w:t>
      </w:r>
    </w:p>
    <w:p w:rsidR="004F47BB" w:rsidRPr="009072DA" w:rsidRDefault="004F47BB" w:rsidP="004F47BB">
      <w:pPr>
        <w:tabs>
          <w:tab w:val="left" w:pos="426"/>
        </w:tabs>
        <w:overflowPunct w:val="0"/>
        <w:adjustRightInd w:val="0"/>
        <w:ind w:left="426" w:hanging="426"/>
        <w:textAlignment w:val="baseline"/>
        <w:rPr>
          <w:szCs w:val="20"/>
          <w:lang w:val="bg-BG"/>
        </w:rPr>
      </w:pPr>
    </w:p>
    <w:p w:rsidR="004F47BB" w:rsidRPr="009072DA" w:rsidRDefault="004F47BB" w:rsidP="004F47BB">
      <w:pPr>
        <w:tabs>
          <w:tab w:val="left" w:pos="567"/>
        </w:tabs>
        <w:overflowPunct w:val="0"/>
        <w:adjustRightInd w:val="0"/>
        <w:ind w:left="567" w:hanging="567"/>
        <w:textAlignment w:val="baseline"/>
        <w:rPr>
          <w:szCs w:val="20"/>
          <w:lang w:val="bg-BG"/>
        </w:rPr>
      </w:pPr>
      <w:r w:rsidRPr="009072DA">
        <w:rPr>
          <w:lang w:val="bg-BG"/>
        </w:rPr>
        <w:tab/>
        <w:t xml:space="preserve">В началото на маневрата (време </w:t>
      </w:r>
      <m:oMath>
        <m:sSub>
          <m:sSubPr>
            <m:ctrlPr>
              <w:rPr>
                <w:rFonts w:ascii="Cambria Math" w:hAnsi="Cambria Math" w:cs="Arial"/>
                <w:i/>
                <w:szCs w:val="20"/>
                <w:lang w:val="bg-BG"/>
              </w:rPr>
            </m:ctrlPr>
          </m:sSubPr>
          <m:e>
            <m:r>
              <w:rPr>
                <w:rFonts w:ascii="Cambria Math" w:hAnsi="Cambria Math" w:cs="Arial"/>
                <w:szCs w:val="20"/>
                <w:lang w:val="bg-BG"/>
              </w:rPr>
              <m:t>t</m:t>
            </m:r>
          </m:e>
          <m:sub>
            <m:r>
              <w:rPr>
                <w:rFonts w:ascii="Cambria Math" w:hAnsi="Cambria Math" w:cs="Arial"/>
                <w:szCs w:val="20"/>
                <w:lang w:val="bg-BG"/>
              </w:rPr>
              <m:t>0</m:t>
            </m:r>
          </m:sub>
        </m:sSub>
      </m:oMath>
      <w:r w:rsidRPr="009072DA">
        <w:rPr>
          <w:lang w:val="bg-BG"/>
        </w:rPr>
        <w:t xml:space="preserve"> = 0s, ъглова скорост на поворот </w:t>
      </w:r>
      <m:oMath>
        <m:r>
          <w:rPr>
            <w:rFonts w:ascii="Cambria Math" w:hAnsi="Cambria Math"/>
            <w:szCs w:val="20"/>
            <w:lang w:val="bg-BG"/>
          </w:rPr>
          <m:t>r</m:t>
        </m:r>
      </m:oMath>
      <w:r w:rsidRPr="009072DA">
        <w:rPr>
          <w:lang w:val="bg-BG"/>
        </w:rPr>
        <w:t xml:space="preserve"> = 0°/min, ъгъл на руля </w:t>
      </w:r>
      <m:oMath>
        <m:sSub>
          <m:sSubPr>
            <m:ctrlPr>
              <w:rPr>
                <w:rFonts w:ascii="Cambria Math" w:hAnsi="Cambria Math"/>
                <w:i/>
                <w:szCs w:val="20"/>
                <w:lang w:val="bg-BG"/>
              </w:rPr>
            </m:ctrlPr>
          </m:sSubPr>
          <m:e>
            <m:r>
              <w:rPr>
                <w:rFonts w:ascii="Cambria Math" w:hAnsi="Cambria Math"/>
                <w:szCs w:val="20"/>
                <w:lang w:val="bg-BG"/>
              </w:rPr>
              <m:t>δ</m:t>
            </m:r>
          </m:e>
          <m:sub>
            <m:r>
              <w:rPr>
                <w:rFonts w:ascii="Cambria Math" w:hAnsi="Cambria Math"/>
                <w:szCs w:val="20"/>
                <w:lang w:val="bg-BG"/>
              </w:rPr>
              <m:t>0</m:t>
            </m:r>
          </m:sub>
        </m:sSub>
      </m:oMath>
      <w:r w:rsidRPr="009072DA">
        <w:rPr>
          <w:lang w:val="bg-BG"/>
        </w:rPr>
        <w:t xml:space="preserve"> = 0°, обороти на двигателя, поддържани постоянни) плавателният съд или съставът се движи с постоянна скорост от </w:t>
      </w:r>
      <m:oMath>
        <m:r>
          <w:rPr>
            <w:rFonts w:ascii="Cambria Math" w:hAnsi="Cambria Math" w:cs="Arial"/>
            <w:szCs w:val="20"/>
            <w:lang w:val="bg-BG"/>
          </w:rPr>
          <m:t>V</m:t>
        </m:r>
        <m:r>
          <w:rPr>
            <w:rFonts w:ascii="Cambria Math" w:hAnsi="Cambria Math" w:cs="Arial"/>
            <w:szCs w:val="20"/>
            <w:vertAlign w:val="subscript"/>
            <w:lang w:val="bg-BG"/>
          </w:rPr>
          <m:t>o</m:t>
        </m:r>
      </m:oMath>
      <w:r w:rsidRPr="009072DA">
        <w:rPr>
          <w:lang w:val="bg-BG"/>
        </w:rPr>
        <w:t xml:space="preserve"> = 13 km/h спрямо водата, като трябва да започне действие за отклоняване ляво или дясно на борд чрез завъртане на щурвала до крайно положение. В началото на маневрата рулят трябва да се завърти на ъгъл </w:t>
      </w:r>
      <m:oMath>
        <m:r>
          <w:rPr>
            <w:rFonts w:ascii="Cambria Math" w:hAnsi="Cambria Math"/>
            <w:szCs w:val="20"/>
            <w:lang w:val="bg-BG"/>
          </w:rPr>
          <m:t>δ</m:t>
        </m:r>
      </m:oMath>
      <w:r w:rsidRPr="009072DA">
        <w:rPr>
          <w:lang w:val="bg-BG"/>
        </w:rPr>
        <w:t xml:space="preserve"> или рулевото устройство — на ъгъл </w:t>
      </w:r>
      <m:oMath>
        <m:sSub>
          <m:sSubPr>
            <m:ctrlPr>
              <w:rPr>
                <w:rFonts w:ascii="Cambria Math" w:hAnsi="Cambria Math"/>
                <w:i/>
                <w:szCs w:val="20"/>
                <w:lang w:val="bg-BG"/>
              </w:rPr>
            </m:ctrlPr>
          </m:sSubPr>
          <m:e>
            <m:r>
              <w:rPr>
                <w:rFonts w:ascii="Cambria Math" w:hAnsi="Cambria Math"/>
                <w:szCs w:val="20"/>
                <w:lang w:val="bg-BG"/>
              </w:rPr>
              <m:t>δ</m:t>
            </m:r>
          </m:e>
          <m:sub>
            <m:r>
              <w:rPr>
                <w:rFonts w:ascii="Cambria Math" w:hAnsi="Cambria Math"/>
                <w:szCs w:val="20"/>
                <w:lang w:val="bg-BG"/>
              </w:rPr>
              <m:t>a</m:t>
            </m:r>
          </m:sub>
        </m:sSub>
      </m:oMath>
      <w:r w:rsidRPr="009072DA">
        <w:rPr>
          <w:lang w:val="bg-BG"/>
        </w:rPr>
        <w:t xml:space="preserve"> в случай на активно рулево устройство, в съответствие с указанията, дадени в точка 2.3. Ъгълът </w:t>
      </w:r>
      <m:oMath>
        <m:r>
          <w:rPr>
            <w:rFonts w:ascii="Cambria Math" w:hAnsi="Cambria Math"/>
            <w:szCs w:val="20"/>
            <w:lang w:val="bg-BG"/>
          </w:rPr>
          <m:t>δ</m:t>
        </m:r>
      </m:oMath>
      <w:r w:rsidRPr="009072DA">
        <w:rPr>
          <w:lang w:val="bg-BG"/>
        </w:rPr>
        <w:t xml:space="preserve"> на руля (примерно 20° към десния борд) се поддържа, докато се достигне стойността </w:t>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1</m:t>
            </m:r>
          </m:sub>
        </m:sSub>
      </m:oMath>
      <w:r w:rsidRPr="009072DA">
        <w:rPr>
          <w:lang w:val="bg-BG"/>
        </w:rPr>
        <w:t xml:space="preserve"> на скоростта на поворот, посочена в точка 2.2, съответстваща на размерите на плавателния съд или състава. Когато се достигне скорост на поворот </w:t>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1</m:t>
            </m:r>
          </m:sub>
        </m:sSub>
      </m:oMath>
      <w:r w:rsidRPr="009072DA">
        <w:rPr>
          <w:lang w:val="bg-BG"/>
        </w:rPr>
        <w:t xml:space="preserve">, времето </w:t>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1</m:t>
            </m:r>
          </m:sub>
        </m:sSub>
      </m:oMath>
      <w:r w:rsidRPr="009072DA">
        <w:rPr>
          <w:lang w:val="bg-BG"/>
        </w:rPr>
        <w:t xml:space="preserve"> се записва и рулят се завърта на същия ъгъл на </w:t>
      </w:r>
      <w:r w:rsidRPr="009072DA">
        <w:rPr>
          <w:lang w:val="bg-BG"/>
        </w:rPr>
        <w:lastRenderedPageBreak/>
        <w:t xml:space="preserve">противоположната страна (напр. 20° към левия борд), така че да се спре поворотът и да се започне поворот в обратната посока, т.е. да се намали скоростта на поворот до </w:t>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2</m:t>
            </m:r>
          </m:sub>
        </m:sSub>
      </m:oMath>
      <w:r w:rsidRPr="009072DA">
        <w:rPr>
          <w:lang w:val="bg-BG"/>
        </w:rPr>
        <w:t xml:space="preserve"> = 0 и отново да се повиши до стойността, посочена в точка 2.2. Когато се достигне скорост на поворот </w:t>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2</m:t>
            </m:r>
          </m:sub>
        </m:sSub>
      </m:oMath>
      <w:r w:rsidRPr="009072DA">
        <w:rPr>
          <w:lang w:val="bg-BG"/>
        </w:rPr>
        <w:t xml:space="preserve"> = 0, се записва времето </w:t>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2</m:t>
            </m:r>
          </m:sub>
        </m:sSub>
      </m:oMath>
      <w:r w:rsidRPr="009072DA">
        <w:rPr>
          <w:lang w:val="bg-BG"/>
        </w:rPr>
        <w:t xml:space="preserve"> . Когато се достигне скоростта на поворот </w:t>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3</m:t>
            </m:r>
          </m:sub>
        </m:sSub>
      </m:oMath>
      <w:r w:rsidRPr="009072DA">
        <w:rPr>
          <w:lang w:val="bg-BG"/>
        </w:rPr>
        <w:t xml:space="preserve">, посочена в точка 2.2, рулят се завърта в обратна посока на същия ъгъл </w:t>
      </w:r>
      <m:oMath>
        <m:r>
          <w:rPr>
            <w:rFonts w:ascii="Cambria Math" w:hAnsi="Cambria Math"/>
            <w:szCs w:val="20"/>
            <w:lang w:val="bg-BG"/>
          </w:rPr>
          <m:t>δ</m:t>
        </m:r>
      </m:oMath>
      <w:r w:rsidRPr="009072DA">
        <w:rPr>
          <w:lang w:val="bg-BG"/>
        </w:rPr>
        <w:t xml:space="preserve"> с цел поворотът да спре.  Записва се времето </w:t>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3</m:t>
            </m:r>
          </m:sub>
        </m:sSub>
      </m:oMath>
      <w:r w:rsidRPr="009072DA">
        <w:rPr>
          <w:lang w:val="bg-BG"/>
        </w:rPr>
        <w:t xml:space="preserve"> . Когато се достигне скорост на поворот </w:t>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4</m:t>
            </m:r>
          </m:sub>
        </m:sSub>
      </m:oMath>
      <w:r w:rsidRPr="009072DA">
        <w:rPr>
          <w:lang w:val="bg-BG"/>
        </w:rPr>
        <w:t xml:space="preserve"> = 0, се записва времето </w:t>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4</m:t>
            </m:r>
          </m:sub>
        </m:sSub>
      </m:oMath>
      <w:r w:rsidRPr="009072DA">
        <w:rPr>
          <w:lang w:val="bg-BG"/>
        </w:rPr>
        <w:t xml:space="preserve"> и съдът или съставът се връща към първоначалния си курс.</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r w:rsidRPr="009072DA">
        <w:rPr>
          <w:lang w:val="bg-BG"/>
        </w:rPr>
        <w:br w:type="page"/>
      </w:r>
    </w:p>
    <w:p w:rsidR="004F47BB" w:rsidRPr="009072DA" w:rsidRDefault="004F47BB" w:rsidP="004F47BB">
      <w:pPr>
        <w:tabs>
          <w:tab w:val="left" w:pos="567"/>
        </w:tabs>
        <w:overflowPunct w:val="0"/>
        <w:adjustRightInd w:val="0"/>
        <w:ind w:left="567" w:hanging="567"/>
        <w:textAlignment w:val="baseline"/>
        <w:rPr>
          <w:szCs w:val="20"/>
          <w:lang w:val="bg-BG"/>
        </w:rPr>
      </w:pPr>
      <w:r w:rsidRPr="009072DA">
        <w:rPr>
          <w:lang w:val="bg-BG"/>
        </w:rPr>
        <w:lastRenderedPageBreak/>
        <w:t>2.2</w:t>
      </w:r>
      <w:r w:rsidRPr="009072DA">
        <w:rPr>
          <w:lang w:val="bg-BG"/>
        </w:rPr>
        <w:tab/>
        <w:t xml:space="preserve">В зависимост от размерите на плавателните съдове или съставите и от дълбочината </w:t>
      </w:r>
      <m:oMath>
        <m:r>
          <w:rPr>
            <w:rFonts w:ascii="Cambria Math" w:hAnsi="Cambria Math"/>
            <w:szCs w:val="20"/>
            <w:lang w:val="bg-BG"/>
          </w:rPr>
          <m:t>h</m:t>
        </m:r>
      </m:oMath>
      <w:r w:rsidRPr="009072DA">
        <w:rPr>
          <w:lang w:val="bg-BG"/>
        </w:rPr>
        <w:t xml:space="preserve"> на водата трябва да се спазват следните пределни стойности за достигане на скорост на поворот </w:t>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4</m:t>
            </m:r>
          </m:sub>
        </m:sSub>
      </m:oMath>
      <w:r w:rsidRPr="009072DA">
        <w:rPr>
          <w:lang w:val="bg-BG"/>
        </w:rPr>
        <w:t>:</w:t>
      </w:r>
    </w:p>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bg-BG"/>
        </w:rPr>
      </w:pPr>
    </w:p>
    <w:tbl>
      <w:tblPr>
        <w:tblW w:w="998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40"/>
        <w:gridCol w:w="4139"/>
        <w:gridCol w:w="964"/>
        <w:gridCol w:w="964"/>
        <w:gridCol w:w="1191"/>
        <w:gridCol w:w="1191"/>
        <w:gridCol w:w="1191"/>
      </w:tblGrid>
      <w:tr w:rsidR="004F47BB" w:rsidRPr="008D2440" w:rsidTr="00D45887">
        <w:trPr>
          <w:jc w:val="center"/>
        </w:trPr>
        <w:tc>
          <w:tcPr>
            <w:tcW w:w="340" w:type="dxa"/>
            <w:tcBorders>
              <w:top w:val="single" w:sz="6" w:space="0" w:color="auto"/>
              <w:left w:val="single" w:sz="6" w:space="0" w:color="auto"/>
              <w:bottom w:val="nil"/>
            </w:tcBorders>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bg-BG"/>
              </w:rPr>
            </w:pPr>
          </w:p>
        </w:tc>
        <w:tc>
          <w:tcPr>
            <w:tcW w:w="4139" w:type="dxa"/>
            <w:tcBorders>
              <w:top w:val="single" w:sz="6" w:space="0" w:color="auto"/>
              <w:bottom w:val="nil"/>
            </w:tcBorders>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bg-BG"/>
              </w:rPr>
            </w:pPr>
            <w:r w:rsidRPr="009072DA">
              <w:rPr>
                <w:sz w:val="18"/>
                <w:lang w:val="bg-BG"/>
              </w:rPr>
              <w:t>Размери на плавателните съдове или състави</w:t>
            </w:r>
            <w:r w:rsidRPr="009072DA">
              <w:rPr>
                <w:sz w:val="18"/>
                <w:szCs w:val="20"/>
                <w:lang w:val="bg-BG"/>
              </w:rPr>
              <w:br/>
            </w:r>
            <m:oMath>
              <m:r>
                <w:rPr>
                  <w:rFonts w:ascii="Cambria Math" w:hAnsi="Cambria Math"/>
                  <w:sz w:val="18"/>
                  <w:szCs w:val="20"/>
                  <w:lang w:val="bg-BG"/>
                </w:rPr>
                <m:t>L</m:t>
              </m:r>
            </m:oMath>
            <w:r w:rsidRPr="009072DA">
              <w:rPr>
                <w:sz w:val="18"/>
                <w:lang w:val="bg-BG"/>
              </w:rPr>
              <w:t xml:space="preserve"> x </w:t>
            </w:r>
            <m:oMath>
              <m:r>
                <w:rPr>
                  <w:rFonts w:ascii="Cambria Math" w:hAnsi="Cambria Math"/>
                  <w:sz w:val="18"/>
                  <w:szCs w:val="20"/>
                  <w:lang w:val="bg-BG"/>
                </w:rPr>
                <m:t>B</m:t>
              </m:r>
            </m:oMath>
          </w:p>
        </w:tc>
        <w:tc>
          <w:tcPr>
            <w:tcW w:w="1928" w:type="dxa"/>
            <w:gridSpan w:val="2"/>
            <w:tcBorders>
              <w:top w:val="single" w:sz="6" w:space="0" w:color="auto"/>
            </w:tcBorders>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bg-BG"/>
              </w:rPr>
            </w:pPr>
            <w:r w:rsidRPr="009072DA">
              <w:rPr>
                <w:sz w:val="18"/>
                <w:lang w:val="bg-BG"/>
              </w:rPr>
              <w:t>Изисквана скорост на поворот</w:t>
            </w:r>
            <w:r w:rsidRPr="009072DA">
              <w:rPr>
                <w:sz w:val="18"/>
                <w:szCs w:val="20"/>
                <w:lang w:val="bg-BG"/>
              </w:rPr>
              <w:br/>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1</m:t>
                  </m:r>
                </m:sub>
              </m:sSub>
            </m:oMath>
            <w:r w:rsidRPr="009072DA">
              <w:rPr>
                <w:lang w:val="bg-BG"/>
              </w:rPr>
              <w:t xml:space="preserve"> </w:t>
            </w:r>
            <w:r w:rsidRPr="009072DA">
              <w:rPr>
                <w:sz w:val="18"/>
                <w:lang w:val="bg-BG"/>
              </w:rPr>
              <w:t xml:space="preserve">= </w:t>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3</m:t>
                  </m:r>
                </m:sub>
              </m:sSub>
            </m:oMath>
            <w:r w:rsidRPr="009072DA">
              <w:rPr>
                <w:lang w:val="bg-BG"/>
              </w:rPr>
              <w:t xml:space="preserve"> </w:t>
            </w:r>
            <w:r w:rsidRPr="009072DA">
              <w:rPr>
                <w:sz w:val="18"/>
                <w:lang w:val="bg-BG"/>
              </w:rPr>
              <w:t>[°/min]</w:t>
            </w:r>
          </w:p>
        </w:tc>
        <w:tc>
          <w:tcPr>
            <w:tcW w:w="3573" w:type="dxa"/>
            <w:gridSpan w:val="3"/>
            <w:tcBorders>
              <w:top w:val="single" w:sz="6" w:space="0" w:color="auto"/>
              <w:right w:val="single" w:sz="6" w:space="0" w:color="auto"/>
            </w:tcBorders>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bg-BG"/>
              </w:rPr>
            </w:pPr>
            <w:r w:rsidRPr="009072DA">
              <w:rPr>
                <w:sz w:val="18"/>
                <w:lang w:val="bg-BG"/>
              </w:rPr>
              <w:t xml:space="preserve">Пределни стойности за времето </w:t>
            </w:r>
            <m:oMath>
              <m:sSub>
                <m:sSubPr>
                  <m:ctrlPr>
                    <w:rPr>
                      <w:rFonts w:ascii="Cambria Math" w:hAnsi="Cambria Math"/>
                      <w:i/>
                      <w:sz w:val="18"/>
                      <w:szCs w:val="20"/>
                      <w:lang w:val="bg-BG"/>
                    </w:rPr>
                  </m:ctrlPr>
                </m:sSubPr>
                <m:e>
                  <m:r>
                    <w:rPr>
                      <w:rFonts w:ascii="Cambria Math" w:hAnsi="Cambria Math"/>
                      <w:sz w:val="18"/>
                      <w:szCs w:val="20"/>
                      <w:lang w:val="bg-BG"/>
                    </w:rPr>
                    <m:t>t</m:t>
                  </m:r>
                </m:e>
                <m:sub>
                  <m:r>
                    <w:rPr>
                      <w:rFonts w:ascii="Cambria Math" w:hAnsi="Cambria Math"/>
                      <w:sz w:val="18"/>
                      <w:szCs w:val="20"/>
                      <w:lang w:val="bg-BG"/>
                    </w:rPr>
                    <m:t>4</m:t>
                  </m:r>
                </m:sub>
              </m:sSub>
            </m:oMath>
            <w:r w:rsidRPr="009072DA">
              <w:rPr>
                <w:sz w:val="18"/>
                <w:lang w:val="bg-BG"/>
              </w:rPr>
              <w:t xml:space="preserve"> (s) в плитки </w:t>
            </w:r>
            <w:r w:rsidRPr="009072DA">
              <w:rPr>
                <w:sz w:val="18"/>
                <w:szCs w:val="20"/>
                <w:lang w:val="bg-BG"/>
              </w:rPr>
              <w:br/>
            </w:r>
            <w:r w:rsidRPr="009072DA">
              <w:rPr>
                <w:sz w:val="18"/>
                <w:lang w:val="bg-BG"/>
              </w:rPr>
              <w:t>и дълбоки води</w:t>
            </w:r>
          </w:p>
        </w:tc>
      </w:tr>
      <w:tr w:rsidR="004F47BB" w:rsidRPr="009072DA" w:rsidTr="00D45887">
        <w:trPr>
          <w:jc w:val="center"/>
        </w:trPr>
        <w:tc>
          <w:tcPr>
            <w:tcW w:w="340" w:type="dxa"/>
            <w:tcBorders>
              <w:top w:val="nil"/>
              <w:left w:val="single" w:sz="6" w:space="0" w:color="auto"/>
              <w:bottom w:val="single" w:sz="6" w:space="0" w:color="auto"/>
            </w:tcBorders>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Cs w:val="20"/>
                <w:lang w:val="bg-BG"/>
              </w:rPr>
            </w:pPr>
          </w:p>
        </w:tc>
        <w:tc>
          <w:tcPr>
            <w:tcW w:w="4139" w:type="dxa"/>
            <w:tcBorders>
              <w:top w:val="nil"/>
              <w:bottom w:val="single" w:sz="6" w:space="0" w:color="auto"/>
            </w:tcBorders>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Cs w:val="20"/>
                <w:lang w:val="bg-BG"/>
              </w:rPr>
            </w:pPr>
          </w:p>
        </w:tc>
        <w:tc>
          <w:tcPr>
            <w:tcW w:w="964"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bg-BG"/>
              </w:rPr>
            </w:pPr>
            <m:oMath>
              <m:r>
                <w:rPr>
                  <w:rFonts w:ascii="Cambria Math" w:hAnsi="Cambria Math"/>
                  <w:i/>
                  <w:sz w:val="18"/>
                  <w:szCs w:val="20"/>
                  <w:lang w:val="bg-BG"/>
                </w:rPr>
                <w:sym w:font="Symbol" w:char="F064"/>
              </m:r>
            </m:oMath>
            <w:r w:rsidRPr="009072DA">
              <w:rPr>
                <w:sz w:val="18"/>
                <w:lang w:val="bg-BG"/>
              </w:rPr>
              <w:t xml:space="preserve"> = 20°</w:t>
            </w:r>
          </w:p>
        </w:tc>
        <w:tc>
          <w:tcPr>
            <w:tcW w:w="964"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bg-BG"/>
              </w:rPr>
            </w:pPr>
            <m:oMath>
              <m:r>
                <w:rPr>
                  <w:rFonts w:ascii="Cambria Math" w:hAnsi="Cambria Math"/>
                  <w:i/>
                  <w:sz w:val="18"/>
                  <w:szCs w:val="20"/>
                  <w:lang w:val="bg-BG"/>
                </w:rPr>
                <w:sym w:font="Symbol" w:char="F064"/>
              </m:r>
            </m:oMath>
            <w:r w:rsidRPr="009072DA">
              <w:rPr>
                <w:sz w:val="18"/>
                <w:lang w:val="bg-BG"/>
              </w:rPr>
              <w:t xml:space="preserve"> = 45°</w:t>
            </w:r>
          </w:p>
        </w:tc>
        <w:tc>
          <w:tcPr>
            <w:tcW w:w="1191"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bg-BG"/>
              </w:rPr>
            </w:pPr>
            <w:r w:rsidRPr="009072DA">
              <w:rPr>
                <w:sz w:val="18"/>
                <w:lang w:val="bg-BG"/>
              </w:rPr>
              <w:t xml:space="preserve">1,2 </w:t>
            </w:r>
            <w:r w:rsidRPr="009072DA">
              <w:rPr>
                <w:sz w:val="18"/>
                <w:szCs w:val="20"/>
                <w:lang w:val="bg-BG"/>
              </w:rPr>
              <w:sym w:font="Symbol" w:char="F0A3"/>
            </w:r>
            <w:r w:rsidRPr="009072DA">
              <w:rPr>
                <w:sz w:val="18"/>
                <w:lang w:val="bg-BG"/>
              </w:rPr>
              <w:t xml:space="preserve"> h/T </w:t>
            </w:r>
            <w:r w:rsidRPr="009072DA">
              <w:rPr>
                <w:sz w:val="18"/>
                <w:szCs w:val="20"/>
                <w:lang w:val="bg-BG"/>
              </w:rPr>
              <w:sym w:font="Symbol" w:char="F0A3"/>
            </w:r>
            <w:r w:rsidRPr="009072DA">
              <w:rPr>
                <w:sz w:val="18"/>
                <w:lang w:val="bg-BG"/>
              </w:rPr>
              <w:t xml:space="preserve"> 1,4</w:t>
            </w:r>
          </w:p>
        </w:tc>
        <w:tc>
          <w:tcPr>
            <w:tcW w:w="1191"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bg-BG"/>
              </w:rPr>
            </w:pPr>
            <w:r w:rsidRPr="009072DA">
              <w:rPr>
                <w:sz w:val="18"/>
                <w:lang w:val="bg-BG"/>
              </w:rPr>
              <w:t xml:space="preserve">1,4 &lt; h/T </w:t>
            </w:r>
            <w:r w:rsidRPr="009072DA">
              <w:rPr>
                <w:sz w:val="18"/>
                <w:szCs w:val="20"/>
                <w:lang w:val="bg-BG"/>
              </w:rPr>
              <w:sym w:font="Symbol" w:char="F0A3"/>
            </w:r>
            <w:r w:rsidRPr="009072DA">
              <w:rPr>
                <w:sz w:val="18"/>
                <w:lang w:val="bg-BG"/>
              </w:rPr>
              <w:t xml:space="preserve"> 2</w:t>
            </w:r>
          </w:p>
        </w:tc>
        <w:tc>
          <w:tcPr>
            <w:tcW w:w="1191" w:type="dxa"/>
            <w:tcBorders>
              <w:bottom w:val="nil"/>
              <w:right w:val="single" w:sz="6" w:space="0" w:color="auto"/>
            </w:tcBorders>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bg-BG"/>
              </w:rPr>
            </w:pPr>
            <w:r w:rsidRPr="009072DA">
              <w:rPr>
                <w:sz w:val="18"/>
                <w:lang w:val="bg-BG"/>
              </w:rPr>
              <w:t>h/T &gt; 2</w:t>
            </w:r>
          </w:p>
        </w:tc>
      </w:tr>
      <w:tr w:rsidR="004F47BB" w:rsidRPr="009072DA" w:rsidTr="00D45887">
        <w:trPr>
          <w:jc w:val="center"/>
        </w:trPr>
        <w:tc>
          <w:tcPr>
            <w:tcW w:w="340" w:type="dxa"/>
            <w:tcBorders>
              <w:top w:val="nil"/>
              <w:left w:val="single" w:sz="6" w:space="0" w:color="auto"/>
            </w:tcBorders>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1</w:t>
            </w:r>
          </w:p>
        </w:tc>
        <w:tc>
          <w:tcPr>
            <w:tcW w:w="4139" w:type="dxa"/>
            <w:tcBorders>
              <w:top w:val="nil"/>
            </w:tcBorders>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bg-BG"/>
              </w:rPr>
            </w:pPr>
            <w:r w:rsidRPr="009072DA">
              <w:rPr>
                <w:sz w:val="18"/>
                <w:lang w:val="bg-BG"/>
              </w:rPr>
              <w:t>Всички моторни плавателни съдове; състави от една линия ≤ 110 × 11,45</w:t>
            </w:r>
          </w:p>
        </w:tc>
        <w:tc>
          <w:tcPr>
            <w:tcW w:w="964"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20°/min</w:t>
            </w:r>
          </w:p>
        </w:tc>
        <w:tc>
          <w:tcPr>
            <w:tcW w:w="964"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28°/min</w:t>
            </w:r>
          </w:p>
        </w:tc>
        <w:tc>
          <w:tcPr>
            <w:tcW w:w="1191"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150 s</w:t>
            </w:r>
          </w:p>
        </w:tc>
        <w:tc>
          <w:tcPr>
            <w:tcW w:w="1191"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110 s</w:t>
            </w:r>
          </w:p>
        </w:tc>
        <w:tc>
          <w:tcPr>
            <w:tcW w:w="1191" w:type="dxa"/>
            <w:tcBorders>
              <w:top w:val="single" w:sz="6" w:space="0" w:color="auto"/>
              <w:bottom w:val="nil"/>
              <w:right w:val="single" w:sz="6" w:space="0" w:color="auto"/>
            </w:tcBorders>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110 s</w:t>
            </w:r>
          </w:p>
        </w:tc>
      </w:tr>
      <w:tr w:rsidR="004F47BB" w:rsidRPr="009072DA" w:rsidTr="00D45887">
        <w:trPr>
          <w:jc w:val="center"/>
        </w:trPr>
        <w:tc>
          <w:tcPr>
            <w:tcW w:w="340" w:type="dxa"/>
            <w:tcBorders>
              <w:left w:val="single" w:sz="6" w:space="0" w:color="auto"/>
            </w:tcBorders>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2</w:t>
            </w:r>
          </w:p>
        </w:tc>
        <w:tc>
          <w:tcPr>
            <w:tcW w:w="4139" w:type="dxa"/>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bg-BG"/>
              </w:rPr>
            </w:pPr>
            <w:r w:rsidRPr="009072DA">
              <w:rPr>
                <w:sz w:val="18"/>
                <w:lang w:val="bg-BG"/>
              </w:rPr>
              <w:t>Състави от една линия до 193 × 11,45 или състави от две успоредни линии до 110 × 22,90</w:t>
            </w:r>
          </w:p>
        </w:tc>
        <w:tc>
          <w:tcPr>
            <w:tcW w:w="964"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12°/min</w:t>
            </w:r>
          </w:p>
        </w:tc>
        <w:tc>
          <w:tcPr>
            <w:tcW w:w="964"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18°/min</w:t>
            </w:r>
          </w:p>
        </w:tc>
        <w:tc>
          <w:tcPr>
            <w:tcW w:w="1191"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180 s</w:t>
            </w:r>
          </w:p>
        </w:tc>
        <w:tc>
          <w:tcPr>
            <w:tcW w:w="1191"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130 s</w:t>
            </w:r>
          </w:p>
        </w:tc>
        <w:tc>
          <w:tcPr>
            <w:tcW w:w="1191" w:type="dxa"/>
            <w:tcBorders>
              <w:top w:val="single" w:sz="6" w:space="0" w:color="auto"/>
              <w:bottom w:val="single" w:sz="6" w:space="0" w:color="auto"/>
              <w:right w:val="single" w:sz="6" w:space="0" w:color="auto"/>
            </w:tcBorders>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110 s</w:t>
            </w:r>
          </w:p>
        </w:tc>
      </w:tr>
      <w:tr w:rsidR="004F47BB" w:rsidRPr="009072DA" w:rsidTr="00D45887">
        <w:trPr>
          <w:jc w:val="center"/>
        </w:trPr>
        <w:tc>
          <w:tcPr>
            <w:tcW w:w="340" w:type="dxa"/>
            <w:tcBorders>
              <w:left w:val="single" w:sz="6" w:space="0" w:color="auto"/>
            </w:tcBorders>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3</w:t>
            </w:r>
          </w:p>
        </w:tc>
        <w:tc>
          <w:tcPr>
            <w:tcW w:w="4139" w:type="dxa"/>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bg-BG"/>
              </w:rPr>
            </w:pPr>
            <w:r w:rsidRPr="009072DA">
              <w:rPr>
                <w:sz w:val="18"/>
                <w:lang w:val="bg-BG"/>
              </w:rPr>
              <w:t>Състави от две успоредни линии ≤ 193 × 22,90</w:t>
            </w:r>
          </w:p>
        </w:tc>
        <w:tc>
          <w:tcPr>
            <w:tcW w:w="964"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8°/min</w:t>
            </w:r>
          </w:p>
        </w:tc>
        <w:tc>
          <w:tcPr>
            <w:tcW w:w="964"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12°/min</w:t>
            </w:r>
          </w:p>
        </w:tc>
        <w:tc>
          <w:tcPr>
            <w:tcW w:w="1191"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180 s</w:t>
            </w:r>
          </w:p>
        </w:tc>
        <w:tc>
          <w:tcPr>
            <w:tcW w:w="1191"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130 s</w:t>
            </w:r>
          </w:p>
        </w:tc>
        <w:tc>
          <w:tcPr>
            <w:tcW w:w="1191" w:type="dxa"/>
            <w:tcBorders>
              <w:top w:val="single" w:sz="6" w:space="0" w:color="auto"/>
              <w:bottom w:val="single" w:sz="6" w:space="0" w:color="auto"/>
              <w:right w:val="single" w:sz="6" w:space="0" w:color="auto"/>
            </w:tcBorders>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110 s</w:t>
            </w:r>
          </w:p>
        </w:tc>
      </w:tr>
      <w:tr w:rsidR="004F47BB" w:rsidRPr="009072DA" w:rsidTr="00D45887">
        <w:trPr>
          <w:jc w:val="center"/>
        </w:trPr>
        <w:tc>
          <w:tcPr>
            <w:tcW w:w="340" w:type="dxa"/>
            <w:tcBorders>
              <w:left w:val="single" w:sz="6" w:space="0" w:color="auto"/>
            </w:tcBorders>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4</w:t>
            </w:r>
          </w:p>
        </w:tc>
        <w:tc>
          <w:tcPr>
            <w:tcW w:w="4139" w:type="dxa"/>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bg-BG"/>
              </w:rPr>
            </w:pPr>
            <w:r w:rsidRPr="009072DA">
              <w:rPr>
                <w:sz w:val="18"/>
                <w:lang w:val="bg-BG"/>
              </w:rPr>
              <w:t>Състави от две успоредни линии до 270 × 22,90 или състави от три успоредни линии до 193 × 34,35</w:t>
            </w:r>
          </w:p>
        </w:tc>
        <w:tc>
          <w:tcPr>
            <w:tcW w:w="964"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6°/min</w:t>
            </w:r>
          </w:p>
        </w:tc>
        <w:tc>
          <w:tcPr>
            <w:tcW w:w="964"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8°/min</w:t>
            </w:r>
          </w:p>
        </w:tc>
        <w:tc>
          <w:tcPr>
            <w:tcW w:w="1191"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w:t>
            </w:r>
          </w:p>
        </w:tc>
        <w:tc>
          <w:tcPr>
            <w:tcW w:w="1191" w:type="dxa"/>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w:t>
            </w:r>
          </w:p>
        </w:tc>
        <w:tc>
          <w:tcPr>
            <w:tcW w:w="1191" w:type="dxa"/>
            <w:tcBorders>
              <w:top w:val="nil"/>
              <w:bottom w:val="nil"/>
              <w:right w:val="single" w:sz="6" w:space="0" w:color="auto"/>
            </w:tcBorders>
            <w:vAlign w:val="center"/>
          </w:tcPr>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bg-BG"/>
              </w:rPr>
            </w:pPr>
            <w:r w:rsidRPr="009072DA">
              <w:rPr>
                <w:sz w:val="18"/>
                <w:lang w:val="bg-BG"/>
              </w:rPr>
              <w:t>*)</w:t>
            </w:r>
          </w:p>
        </w:tc>
      </w:tr>
      <w:tr w:rsidR="004F47BB" w:rsidRPr="009072DA" w:rsidTr="00D45887">
        <w:trPr>
          <w:jc w:val="center"/>
        </w:trPr>
        <w:tc>
          <w:tcPr>
            <w:tcW w:w="9980" w:type="dxa"/>
            <w:gridSpan w:val="7"/>
            <w:tcBorders>
              <w:left w:val="single" w:sz="6" w:space="0" w:color="auto"/>
              <w:bottom w:val="single" w:sz="6" w:space="0" w:color="auto"/>
              <w:right w:val="single" w:sz="6" w:space="0" w:color="auto"/>
            </w:tcBorders>
            <w:vAlign w:val="center"/>
          </w:tcPr>
          <w:p w:rsidR="004F47BB" w:rsidRPr="009072DA" w:rsidRDefault="004F47BB" w:rsidP="004F47BB">
            <w:pPr>
              <w:tabs>
                <w:tab w:val="left" w:pos="-1440"/>
                <w:tab w:val="left" w:pos="-576"/>
                <w:tab w:val="left" w:pos="-432"/>
                <w:tab w:val="left" w:pos="426"/>
              </w:tabs>
              <w:overflowPunct w:val="0"/>
              <w:adjustRightInd w:val="0"/>
              <w:spacing w:before="40" w:after="40" w:line="240" w:lineRule="atLeast"/>
              <w:textAlignment w:val="baseline"/>
              <w:rPr>
                <w:szCs w:val="20"/>
                <w:lang w:val="bg-BG"/>
              </w:rPr>
            </w:pPr>
            <w:r w:rsidRPr="009072DA">
              <w:rPr>
                <w:lang w:val="bg-BG"/>
              </w:rPr>
              <w:tab/>
            </w:r>
            <w:r w:rsidRPr="009072DA">
              <w:rPr>
                <w:sz w:val="16"/>
                <w:lang w:val="bg-BG"/>
              </w:rPr>
              <w:t>*)</w:t>
            </w:r>
            <w:r w:rsidRPr="009072DA">
              <w:rPr>
                <w:lang w:val="bg-BG"/>
              </w:rPr>
              <w:tab/>
            </w:r>
            <w:r w:rsidRPr="009072DA">
              <w:rPr>
                <w:sz w:val="16"/>
                <w:lang w:val="bg-BG"/>
              </w:rPr>
              <w:t>Съгласно решението на експерта по корабоплаване.</w:t>
            </w:r>
          </w:p>
        </w:tc>
      </w:tr>
    </w:tbl>
    <w:p w:rsidR="004F47BB" w:rsidRPr="009072D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bg-BG"/>
        </w:rPr>
      </w:pPr>
    </w:p>
    <w:p w:rsidR="004F47BB" w:rsidRPr="009072DA" w:rsidRDefault="004F47BB" w:rsidP="004F47BB">
      <w:pPr>
        <w:spacing w:line="240" w:lineRule="atLeast"/>
        <w:ind w:left="567"/>
        <w:rPr>
          <w:szCs w:val="20"/>
          <w:lang w:val="bg-BG"/>
        </w:rPr>
      </w:pPr>
      <w:r w:rsidRPr="009072DA">
        <w:rPr>
          <w:lang w:val="bg-BG"/>
        </w:rPr>
        <w:t xml:space="preserve">Времената </w:t>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1</m:t>
            </m:r>
          </m:sub>
        </m:sSub>
      </m:oMath>
      <w:r w:rsidRPr="009072DA">
        <w:rPr>
          <w:lang w:val="bg-BG"/>
        </w:rPr>
        <w:t xml:space="preserve">, </w:t>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2</m:t>
            </m:r>
          </m:sub>
        </m:sSub>
      </m:oMath>
      <w:r w:rsidRPr="009072DA">
        <w:rPr>
          <w:lang w:val="bg-BG"/>
        </w:rPr>
        <w:t xml:space="preserve">, </w:t>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3</m:t>
            </m:r>
          </m:sub>
        </m:sSub>
      </m:oMath>
      <w:r w:rsidRPr="009072DA">
        <w:rPr>
          <w:lang w:val="bg-BG"/>
        </w:rPr>
        <w:t xml:space="preserve"> и </w:t>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4</m:t>
            </m:r>
          </m:sub>
        </m:sSub>
      </m:oMath>
      <w:r w:rsidRPr="009072DA">
        <w:rPr>
          <w:lang w:val="bg-BG"/>
        </w:rPr>
        <w:t xml:space="preserve">, необходими за достигане на скоростите на поворот </w:t>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1</m:t>
            </m:r>
          </m:sub>
        </m:sSub>
      </m:oMath>
      <w:r w:rsidRPr="009072DA">
        <w:rPr>
          <w:lang w:val="bg-BG"/>
        </w:rPr>
        <w:t xml:space="preserve">, </w:t>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2</m:t>
            </m:r>
          </m:sub>
        </m:sSub>
      </m:oMath>
      <w:r w:rsidRPr="009072DA">
        <w:rPr>
          <w:lang w:val="bg-BG"/>
        </w:rPr>
        <w:t xml:space="preserve">, </w:t>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3</m:t>
            </m:r>
          </m:sub>
        </m:sSub>
      </m:oMath>
      <w:r w:rsidRPr="009072DA">
        <w:rPr>
          <w:lang w:val="bg-BG"/>
        </w:rPr>
        <w:t xml:space="preserve"> и </w:t>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4</m:t>
            </m:r>
          </m:sub>
        </m:sSub>
      </m:oMath>
      <w:r w:rsidRPr="009072DA">
        <w:rPr>
          <w:lang w:val="bg-BG"/>
        </w:rPr>
        <w:t xml:space="preserve">, се записват в протоколите от измерванията в приложение 2.  </w:t>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4</m:t>
            </m:r>
          </m:sub>
        </m:sSub>
      </m:oMath>
      <w:r w:rsidRPr="009072DA">
        <w:rPr>
          <w:lang w:val="bg-BG"/>
        </w:rPr>
        <w:t xml:space="preserve"> стойностите трябва да не надвишават границите, посочени в таблицата.</w:t>
      </w:r>
    </w:p>
    <w:p w:rsidR="004F47BB" w:rsidRPr="009072DA" w:rsidRDefault="004F47BB" w:rsidP="004F47BB">
      <w:pPr>
        <w:overflowPunct w:val="0"/>
        <w:adjustRightInd w:val="0"/>
        <w:ind w:left="567" w:hanging="567"/>
        <w:textAlignment w:val="baseline"/>
        <w:rPr>
          <w:szCs w:val="20"/>
          <w:lang w:val="bg-BG"/>
        </w:rPr>
      </w:pPr>
    </w:p>
    <w:p w:rsidR="004F47BB" w:rsidRPr="009072DA" w:rsidRDefault="004F47BB" w:rsidP="004F47BB">
      <w:pPr>
        <w:spacing w:line="240" w:lineRule="atLeast"/>
        <w:ind w:left="567" w:hanging="567"/>
        <w:rPr>
          <w:lang w:val="bg-BG"/>
        </w:rPr>
      </w:pPr>
      <w:r w:rsidRPr="009072DA">
        <w:rPr>
          <w:lang w:val="bg-BG"/>
        </w:rPr>
        <w:t>2.3</w:t>
      </w:r>
      <w:r w:rsidRPr="009072DA">
        <w:rPr>
          <w:lang w:val="bg-BG"/>
        </w:rPr>
        <w:tab/>
        <w:t>Трябва да бъдат извършени най-малко четири маневри за отклоняване, а именно:</w:t>
      </w:r>
    </w:p>
    <w:p w:rsidR="004F47BB" w:rsidRPr="009072DA"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bg-BG"/>
        </w:rPr>
      </w:pPr>
      <w:r w:rsidRPr="009072DA">
        <w:rPr>
          <w:lang w:val="bg-BG"/>
        </w:rPr>
        <w:t>-</w:t>
      </w:r>
      <w:r w:rsidRPr="009072DA">
        <w:rPr>
          <w:lang w:val="bg-BG"/>
        </w:rPr>
        <w:tab/>
      </w:r>
      <w:r w:rsidRPr="009072DA">
        <w:rPr>
          <w:lang w:val="bg-BG"/>
        </w:rPr>
        <w:tab/>
        <w:t>една надясно с ъгъл на руля</w:t>
      </w:r>
      <w:r w:rsidRPr="009072DA">
        <w:rPr>
          <w:lang w:val="bg-BG"/>
        </w:rPr>
        <w:tab/>
      </w:r>
      <m:oMath>
        <m:r>
          <w:rPr>
            <w:rFonts w:ascii="Cambria Math" w:hAnsi="Cambria Math"/>
            <w:i/>
            <w:szCs w:val="20"/>
            <w:lang w:val="bg-BG"/>
          </w:rPr>
          <w:sym w:font="Symbol" w:char="F064"/>
        </m:r>
      </m:oMath>
      <w:r w:rsidRPr="009072DA">
        <w:rPr>
          <w:lang w:val="bg-BG"/>
        </w:rPr>
        <w:tab/>
        <w:t>=</w:t>
      </w:r>
      <w:r w:rsidRPr="009072DA">
        <w:rPr>
          <w:lang w:val="bg-BG"/>
        </w:rPr>
        <w:tab/>
        <w:t xml:space="preserve">20° </w:t>
      </w:r>
    </w:p>
    <w:p w:rsidR="004F47BB" w:rsidRPr="009072DA"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bg-BG"/>
        </w:rPr>
      </w:pPr>
      <w:r w:rsidRPr="009072DA">
        <w:rPr>
          <w:lang w:val="bg-BG"/>
        </w:rPr>
        <w:t>-</w:t>
      </w:r>
      <w:r w:rsidRPr="009072DA">
        <w:rPr>
          <w:lang w:val="bg-BG"/>
        </w:rPr>
        <w:tab/>
        <w:t>една наляво с ъгъл на руля</w:t>
      </w:r>
      <w:r w:rsidRPr="009072DA">
        <w:rPr>
          <w:lang w:val="bg-BG"/>
        </w:rPr>
        <w:tab/>
      </w:r>
      <m:oMath>
        <m:r>
          <w:rPr>
            <w:rFonts w:ascii="Cambria Math" w:hAnsi="Cambria Math"/>
            <w:i/>
            <w:szCs w:val="20"/>
            <w:lang w:val="bg-BG"/>
          </w:rPr>
          <w:sym w:font="Symbol" w:char="F064"/>
        </m:r>
      </m:oMath>
      <w:r w:rsidRPr="009072DA">
        <w:rPr>
          <w:lang w:val="bg-BG"/>
        </w:rPr>
        <w:tab/>
        <w:t>=</w:t>
      </w:r>
      <w:r w:rsidRPr="009072DA">
        <w:rPr>
          <w:lang w:val="bg-BG"/>
        </w:rPr>
        <w:tab/>
        <w:t>20°</w:t>
      </w:r>
    </w:p>
    <w:p w:rsidR="004F47BB" w:rsidRPr="009072DA"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bg-BG"/>
        </w:rPr>
      </w:pPr>
      <w:r w:rsidRPr="009072DA">
        <w:rPr>
          <w:lang w:val="bg-BG"/>
        </w:rPr>
        <w:t>-</w:t>
      </w:r>
      <w:r w:rsidRPr="009072DA">
        <w:rPr>
          <w:lang w:val="bg-BG"/>
        </w:rPr>
        <w:tab/>
        <w:t>една надясно с ъгъл на руля</w:t>
      </w:r>
      <w:r w:rsidRPr="009072DA">
        <w:rPr>
          <w:lang w:val="bg-BG"/>
        </w:rPr>
        <w:tab/>
      </w:r>
      <m:oMath>
        <m:r>
          <w:rPr>
            <w:rFonts w:ascii="Cambria Math" w:hAnsi="Cambria Math"/>
            <w:i/>
            <w:szCs w:val="20"/>
            <w:lang w:val="bg-BG"/>
          </w:rPr>
          <w:sym w:font="Symbol" w:char="F064"/>
        </m:r>
      </m:oMath>
      <w:r w:rsidRPr="009072DA">
        <w:rPr>
          <w:lang w:val="bg-BG"/>
        </w:rPr>
        <w:tab/>
        <w:t>=</w:t>
      </w:r>
      <w:r w:rsidRPr="009072DA">
        <w:rPr>
          <w:lang w:val="bg-BG"/>
        </w:rPr>
        <w:tab/>
        <w:t>45°</w:t>
      </w:r>
    </w:p>
    <w:p w:rsidR="004F47BB" w:rsidRPr="009072DA"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bg-BG"/>
        </w:rPr>
      </w:pPr>
      <w:r w:rsidRPr="009072DA">
        <w:rPr>
          <w:lang w:val="bg-BG"/>
        </w:rPr>
        <w:t>-</w:t>
      </w:r>
      <w:r w:rsidRPr="009072DA">
        <w:rPr>
          <w:lang w:val="bg-BG"/>
        </w:rPr>
        <w:tab/>
        <w:t>една наляво с ъгъл на руля</w:t>
      </w:r>
      <w:r w:rsidRPr="009072DA">
        <w:rPr>
          <w:lang w:val="bg-BG"/>
        </w:rPr>
        <w:tab/>
      </w:r>
      <m:oMath>
        <m:r>
          <w:rPr>
            <w:rFonts w:ascii="Cambria Math" w:hAnsi="Cambria Math"/>
            <w:i/>
            <w:szCs w:val="20"/>
            <w:lang w:val="bg-BG"/>
          </w:rPr>
          <w:sym w:font="Symbol" w:char="F064"/>
        </m:r>
      </m:oMath>
      <w:r w:rsidRPr="009072DA">
        <w:rPr>
          <w:lang w:val="bg-BG"/>
        </w:rPr>
        <w:tab/>
        <w:t>=</w:t>
      </w:r>
      <w:r w:rsidRPr="009072DA">
        <w:rPr>
          <w:lang w:val="bg-BG"/>
        </w:rPr>
        <w:tab/>
        <w:t>45°.</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spacing w:line="240" w:lineRule="atLeast"/>
        <w:ind w:left="567"/>
        <w:rPr>
          <w:lang w:val="bg-BG"/>
        </w:rPr>
      </w:pPr>
      <w:r w:rsidRPr="009072DA">
        <w:rPr>
          <w:lang w:val="bg-BG"/>
        </w:rPr>
        <w:t xml:space="preserve">Ако е необходимо (напр. в случай на неточност на измерените стойности или недобре извършени маневри), маневрите за отклоняване се повтарят. Скоростите на поворот, посочени в точка 2.2 и граничните времена трябва да бъдат спазени. При активни рулеви устройства или специални типове рул, по преценката на експерт в зависимост от типа рулева система може да се избере положение </w:t>
      </w:r>
      <m:oMath>
        <m:sSub>
          <m:sSubPr>
            <m:ctrlPr>
              <w:rPr>
                <w:rFonts w:ascii="Cambria Math" w:hAnsi="Cambria Math"/>
                <w:i/>
                <w:szCs w:val="20"/>
                <w:lang w:val="bg-BG"/>
              </w:rPr>
            </m:ctrlPr>
          </m:sSubPr>
          <m:e>
            <m:r>
              <w:rPr>
                <w:rFonts w:ascii="Cambria Math" w:hAnsi="Cambria Math"/>
                <w:szCs w:val="20"/>
                <w:lang w:val="bg-BG"/>
              </w:rPr>
              <m:t>δ</m:t>
            </m:r>
          </m:e>
          <m:sub>
            <m:r>
              <w:rPr>
                <w:rFonts w:ascii="Cambria Math" w:hAnsi="Cambria Math"/>
                <w:szCs w:val="20"/>
                <w:lang w:val="bg-BG"/>
              </w:rPr>
              <m:t>a</m:t>
            </m:r>
          </m:sub>
        </m:sSub>
      </m:oMath>
      <w:r w:rsidRPr="009072DA">
        <w:rPr>
          <w:lang w:val="bg-BG"/>
        </w:rPr>
        <w:t xml:space="preserve"> на рулевото устройство или ъгъл </w:t>
      </w:r>
      <m:oMath>
        <m:sSub>
          <m:sSubPr>
            <m:ctrlPr>
              <w:rPr>
                <w:rFonts w:ascii="Cambria Math" w:hAnsi="Cambria Math"/>
                <w:i/>
                <w:szCs w:val="20"/>
                <w:lang w:val="bg-BG"/>
              </w:rPr>
            </m:ctrlPr>
          </m:sSubPr>
          <m:e>
            <m:r>
              <w:rPr>
                <w:rFonts w:ascii="Cambria Math" w:hAnsi="Cambria Math"/>
                <w:szCs w:val="20"/>
                <w:lang w:val="bg-BG"/>
              </w:rPr>
              <m:t>δ</m:t>
            </m:r>
          </m:e>
          <m:sub>
            <m:r>
              <w:rPr>
                <w:rFonts w:ascii="Cambria Math" w:hAnsi="Cambria Math"/>
                <w:szCs w:val="20"/>
                <w:lang w:val="bg-BG"/>
              </w:rPr>
              <m:t>a</m:t>
            </m:r>
          </m:sub>
        </m:sSub>
      </m:oMath>
      <w:r w:rsidRPr="009072DA">
        <w:rPr>
          <w:lang w:val="bg-BG"/>
        </w:rPr>
        <w:t xml:space="preserve"> на руля, различен от </w:t>
      </w:r>
      <m:oMath>
        <m:r>
          <w:rPr>
            <w:rFonts w:ascii="Cambria Math" w:hAnsi="Cambria Math"/>
            <w:lang w:val="bg-BG"/>
          </w:rPr>
          <m:t>δ</m:t>
        </m:r>
      </m:oMath>
      <w:r w:rsidRPr="009072DA">
        <w:rPr>
          <w:lang w:val="bg-BG"/>
        </w:rPr>
        <w:t xml:space="preserve"> = 20° и </w:t>
      </w:r>
      <m:oMath>
        <m:r>
          <w:rPr>
            <w:rFonts w:ascii="Cambria Math" w:hAnsi="Cambria Math"/>
            <w:lang w:val="bg-BG"/>
          </w:rPr>
          <m:t>δ</m:t>
        </m:r>
      </m:oMath>
      <w:r w:rsidRPr="009072DA">
        <w:rPr>
          <w:lang w:val="bg-BG"/>
        </w:rPr>
        <w:t xml:space="preserve"> = 45°.</w:t>
      </w:r>
    </w:p>
    <w:p w:rsidR="004F47BB" w:rsidRPr="009072DA" w:rsidRDefault="004F47BB" w:rsidP="004F47BB">
      <w:pPr>
        <w:tabs>
          <w:tab w:val="left" w:pos="567"/>
        </w:tabs>
        <w:overflowPunct w:val="0"/>
        <w:adjustRightInd w:val="0"/>
        <w:ind w:left="567" w:hanging="567"/>
        <w:textAlignment w:val="baseline"/>
        <w:rPr>
          <w:szCs w:val="20"/>
          <w:lang w:val="bg-BG"/>
        </w:rPr>
      </w:pPr>
    </w:p>
    <w:p w:rsidR="004F47BB" w:rsidRPr="009072DA" w:rsidRDefault="004F47BB" w:rsidP="004F47BB">
      <w:pPr>
        <w:spacing w:line="240" w:lineRule="atLeast"/>
        <w:ind w:left="567" w:hanging="567"/>
        <w:rPr>
          <w:szCs w:val="20"/>
          <w:lang w:val="bg-BG"/>
        </w:rPr>
      </w:pPr>
      <w:r w:rsidRPr="009072DA">
        <w:rPr>
          <w:lang w:val="bg-BG"/>
        </w:rPr>
        <w:t>2.4</w:t>
      </w:r>
      <w:r w:rsidRPr="009072DA">
        <w:rPr>
          <w:lang w:val="bg-BG"/>
        </w:rPr>
        <w:tab/>
        <w:t>С цел да се определи скоростта на поворот, в съответствие с член 7.06, точка 1 на борда трябва да има индикатор на ъгловата скорост на поворот.</w:t>
      </w:r>
    </w:p>
    <w:p w:rsidR="004F47BB" w:rsidRPr="009072DA" w:rsidRDefault="004F47BB" w:rsidP="004F47BB">
      <w:pPr>
        <w:tabs>
          <w:tab w:val="left" w:pos="567"/>
        </w:tabs>
        <w:overflowPunct w:val="0"/>
        <w:adjustRightInd w:val="0"/>
        <w:ind w:left="567" w:hanging="567"/>
        <w:textAlignment w:val="baseline"/>
        <w:rPr>
          <w:szCs w:val="20"/>
          <w:lang w:val="bg-BG"/>
        </w:rPr>
      </w:pPr>
    </w:p>
    <w:p w:rsidR="004F47BB" w:rsidRPr="009072DA" w:rsidRDefault="004F47BB" w:rsidP="004F47BB">
      <w:pPr>
        <w:spacing w:line="240" w:lineRule="atLeast"/>
        <w:ind w:left="567" w:hanging="567"/>
        <w:rPr>
          <w:lang w:val="bg-BG"/>
        </w:rPr>
      </w:pPr>
      <w:r w:rsidRPr="009072DA">
        <w:rPr>
          <w:lang w:val="bg-BG"/>
        </w:rPr>
        <w:lastRenderedPageBreak/>
        <w:t>2.5</w:t>
      </w:r>
      <w:r w:rsidRPr="009072DA">
        <w:rPr>
          <w:lang w:val="bg-BG"/>
        </w:rPr>
        <w:tab/>
        <w:t>В съответствие с член 5.04 състоянието на натоварване по време на маневрата за отклоняване трябва да е между 70 и 100 % от максималната товароподемност. Ако изпитването е проведено с по-малко натоварване, разрешението за плаване по и срещу течението се ограничава до това натоварване.</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rPr>
          <w:lang w:val="bg-BG"/>
        </w:rPr>
      </w:pPr>
      <w:r w:rsidRPr="009072DA">
        <w:rPr>
          <w:lang w:val="bg-BG"/>
        </w:rPr>
        <w:t>Процедурата за маневри за отклоняване и използваните термини са показани на диаграмата в приложение 1.</w:t>
      </w:r>
    </w:p>
    <w:p w:rsidR="004F47BB" w:rsidRPr="009072DA" w:rsidRDefault="004F47BB" w:rsidP="004F47BB">
      <w:pPr>
        <w:tabs>
          <w:tab w:val="left" w:pos="567"/>
        </w:tabs>
        <w:overflowPunct w:val="0"/>
        <w:adjustRightInd w:val="0"/>
        <w:ind w:left="567" w:hanging="567"/>
        <w:textAlignment w:val="baseline"/>
        <w:rPr>
          <w:szCs w:val="20"/>
          <w:lang w:val="bg-BG"/>
        </w:rPr>
      </w:pPr>
    </w:p>
    <w:p w:rsidR="004F47BB" w:rsidRPr="009072DA" w:rsidRDefault="004F47BB" w:rsidP="004F47BB">
      <w:pPr>
        <w:tabs>
          <w:tab w:val="left" w:pos="567"/>
        </w:tabs>
        <w:overflowPunct w:val="0"/>
        <w:adjustRightInd w:val="0"/>
        <w:ind w:left="567" w:hanging="567"/>
        <w:textAlignment w:val="baseline"/>
        <w:rPr>
          <w:b/>
          <w:szCs w:val="20"/>
          <w:lang w:val="bg-BG"/>
        </w:rPr>
      </w:pPr>
      <w:r w:rsidRPr="009072DA">
        <w:rPr>
          <w:b/>
          <w:lang w:val="bg-BG"/>
        </w:rPr>
        <w:t>3.</w:t>
      </w:r>
      <w:r w:rsidRPr="009072DA">
        <w:rPr>
          <w:lang w:val="bg-BG"/>
        </w:rPr>
        <w:tab/>
      </w:r>
      <w:r w:rsidRPr="009072DA">
        <w:rPr>
          <w:b/>
          <w:lang w:val="bg-BG"/>
        </w:rPr>
        <w:t>Способност за извършване на поворот</w:t>
      </w:r>
    </w:p>
    <w:p w:rsidR="004F47BB" w:rsidRPr="009072DA" w:rsidRDefault="004F47BB" w:rsidP="004F47BB">
      <w:pPr>
        <w:tabs>
          <w:tab w:val="left" w:pos="567"/>
        </w:tabs>
        <w:overflowPunct w:val="0"/>
        <w:adjustRightInd w:val="0"/>
        <w:ind w:left="567" w:hanging="567"/>
        <w:textAlignment w:val="baseline"/>
        <w:rPr>
          <w:szCs w:val="20"/>
          <w:lang w:val="bg-BG"/>
        </w:rPr>
      </w:pPr>
    </w:p>
    <w:p w:rsidR="004F47BB" w:rsidRPr="009072DA" w:rsidRDefault="004F47BB" w:rsidP="004F47BB">
      <w:pPr>
        <w:spacing w:line="240" w:lineRule="atLeast"/>
        <w:ind w:left="567"/>
        <w:rPr>
          <w:lang w:val="bg-BG"/>
        </w:rPr>
      </w:pPr>
      <w:r w:rsidRPr="009072DA">
        <w:rPr>
          <w:lang w:val="bg-BG"/>
        </w:rPr>
        <w:t>Способността за извършване на поворот на плавателни съдове и състави, чиято дължина (</w:t>
      </w:r>
      <m:oMath>
        <m:r>
          <w:rPr>
            <w:rFonts w:ascii="Cambria Math" w:hAnsi="Cambria Math"/>
            <w:lang w:val="bg-BG"/>
          </w:rPr>
          <m:t>L</m:t>
        </m:r>
      </m:oMath>
      <w:r w:rsidRPr="009072DA">
        <w:rPr>
          <w:lang w:val="bg-BG"/>
        </w:rPr>
        <w:t>) не надвишава 86 m и чиято широчина (</w:t>
      </w:r>
      <m:oMath>
        <m:r>
          <w:rPr>
            <w:rFonts w:ascii="Cambria Math" w:hAnsi="Cambria Math"/>
            <w:lang w:val="bg-BG"/>
          </w:rPr>
          <m:t>B</m:t>
        </m:r>
      </m:oMath>
      <w:r w:rsidRPr="009072DA">
        <w:rPr>
          <w:lang w:val="bg-BG"/>
        </w:rPr>
        <w:t>) не надвишава 22,90 m, се счита за достатъчна съгласно член 5.10 във връзка с член 5.02, точка 1, когато по време на маневра поворот при движение с начална скорост 13 km/h спрямо водата срещу течението, са спазени пределните стойности за спиране с нос по течението, определени в инструкция ESI-II-3.  Условията от раздел 1.1 за дълбочина под кила трябва да са спазени.</w:t>
      </w:r>
    </w:p>
    <w:p w:rsidR="004F47BB" w:rsidRPr="009072DA" w:rsidRDefault="004F47BB" w:rsidP="004F47BB">
      <w:pPr>
        <w:tabs>
          <w:tab w:val="left" w:pos="426"/>
        </w:tabs>
        <w:overflowPunct w:val="0"/>
        <w:adjustRightInd w:val="0"/>
        <w:ind w:left="426" w:hanging="426"/>
        <w:textAlignment w:val="baseline"/>
        <w:rPr>
          <w:szCs w:val="20"/>
          <w:lang w:val="bg-BG"/>
        </w:rPr>
      </w:pPr>
      <w:r w:rsidRPr="009072DA">
        <w:rPr>
          <w:lang w:val="bg-BG"/>
        </w:rPr>
        <w:br w:type="page"/>
      </w: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lastRenderedPageBreak/>
        <w:t>4.</w:t>
      </w:r>
      <w:r w:rsidRPr="009072DA">
        <w:rPr>
          <w:lang w:val="bg-BG"/>
        </w:rPr>
        <w:tab/>
      </w:r>
      <w:r w:rsidRPr="009072DA">
        <w:rPr>
          <w:b/>
          <w:color w:val="000000"/>
          <w:lang w:val="bg-BG"/>
        </w:rPr>
        <w:t>Други изисквания</w:t>
      </w:r>
    </w:p>
    <w:p w:rsidR="004F47BB" w:rsidRPr="009072DA" w:rsidRDefault="004F47BB" w:rsidP="004F47BB">
      <w:pPr>
        <w:tabs>
          <w:tab w:val="left" w:pos="426"/>
        </w:tabs>
        <w:overflowPunct w:val="0"/>
        <w:adjustRightInd w:val="0"/>
        <w:ind w:left="426" w:hanging="426"/>
        <w:textAlignment w:val="baseline"/>
        <w:rPr>
          <w:szCs w:val="20"/>
          <w:lang w:val="bg-BG"/>
        </w:rPr>
      </w:pPr>
    </w:p>
    <w:p w:rsidR="004F47BB" w:rsidRPr="009072DA" w:rsidRDefault="004F47BB" w:rsidP="004F47BB">
      <w:pPr>
        <w:spacing w:line="240" w:lineRule="atLeast"/>
        <w:ind w:left="567" w:hanging="567"/>
        <w:rPr>
          <w:lang w:val="bg-BG"/>
        </w:rPr>
      </w:pPr>
      <w:r w:rsidRPr="009072DA">
        <w:rPr>
          <w:lang w:val="bg-BG"/>
        </w:rPr>
        <w:t>4.1</w:t>
      </w:r>
      <w:r w:rsidRPr="009072DA">
        <w:rPr>
          <w:lang w:val="bg-BG"/>
        </w:rPr>
        <w:tab/>
        <w:t>Независимо от точки 1 — 3, трябва да бъдат спазени следните изисквания:</w:t>
      </w:r>
    </w:p>
    <w:p w:rsidR="004F47BB" w:rsidRPr="009072DA" w:rsidRDefault="004F47BB" w:rsidP="004F47BB">
      <w:pPr>
        <w:spacing w:before="60" w:line="240" w:lineRule="atLeast"/>
        <w:ind w:left="992"/>
        <w:rPr>
          <w:lang w:val="bg-BG"/>
        </w:rPr>
      </w:pPr>
      <w:r w:rsidRPr="009072DA">
        <w:rPr>
          <w:lang w:val="bg-BG"/>
        </w:rPr>
        <w:t>a)</w:t>
      </w:r>
      <w:r w:rsidRPr="009072DA">
        <w:rPr>
          <w:lang w:val="bg-BG"/>
        </w:rPr>
        <w:tab/>
        <w:t>за рулеви системи с ръчен привод един оборот на щурвала трябва да съответства на ъгъл на руля най-малко от 3°;</w:t>
      </w:r>
    </w:p>
    <w:p w:rsidR="004F47BB" w:rsidRPr="009072DA" w:rsidRDefault="004F47BB" w:rsidP="004F47BB">
      <w:pPr>
        <w:spacing w:before="60" w:line="240" w:lineRule="atLeast"/>
        <w:ind w:left="992"/>
        <w:rPr>
          <w:lang w:val="bg-BG"/>
        </w:rPr>
      </w:pPr>
      <w:r w:rsidRPr="009072DA">
        <w:rPr>
          <w:lang w:val="bg-BG"/>
        </w:rPr>
        <w:t>б)</w:t>
      </w:r>
      <w:r w:rsidRPr="009072DA">
        <w:rPr>
          <w:lang w:val="bg-BG"/>
        </w:rPr>
        <w:tab/>
        <w:t>за рулеви системи с усилвател, когато рулят е максимално потопен, трябва да е възможно да се постигне средна ъглова скорост от 4°/s за целия диапазон на въртене на руля.</w:t>
      </w:r>
    </w:p>
    <w:p w:rsidR="004F47BB" w:rsidRPr="009072DA" w:rsidRDefault="004F47BB" w:rsidP="004F47BB">
      <w:pPr>
        <w:spacing w:before="60" w:line="240" w:lineRule="atLeast"/>
        <w:ind w:left="992"/>
        <w:rPr>
          <w:lang w:val="bg-BG"/>
        </w:rPr>
      </w:pPr>
      <w:r w:rsidRPr="009072DA">
        <w:rPr>
          <w:lang w:val="bg-BG"/>
        </w:rPr>
        <w:t>Това изискване също трябва да се провери при движение на плавателния съд с пълна скорост за завъртане на руля в интервала от 35° към левия борд до 35° към десния борд. В допълнение трябва да се провери дали рулят запазва положението си при максималния ъгъл при максимална задвижваща мощност. За активна рулева система или специални типове рул тези разпоредби се прилагат mutatis mutandis.</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spacing w:line="240" w:lineRule="atLeast"/>
        <w:ind w:left="567" w:hanging="567"/>
        <w:rPr>
          <w:lang w:val="bg-BG"/>
        </w:rPr>
      </w:pPr>
      <w:r w:rsidRPr="009072DA">
        <w:rPr>
          <w:lang w:val="bg-BG"/>
        </w:rPr>
        <w:t>4.2</w:t>
      </w:r>
      <w:r w:rsidRPr="009072DA">
        <w:rPr>
          <w:lang w:val="bg-BG"/>
        </w:rPr>
        <w:tab/>
        <w:t>Ако някой от елементите на допълнителното оборудване, споменато в член 5.05, е необходим за постигане на изискваните маневрени способности, той трябва да отговаря на изискванията от глава 6, а в точка 52 от удостоверението на плавателен съд за плаване по вътрешни водни пътища се вписва следната информация:</w:t>
      </w:r>
    </w:p>
    <w:p w:rsidR="004F47BB" w:rsidRPr="009072DA" w:rsidRDefault="004F47BB" w:rsidP="004F47BB">
      <w:pPr>
        <w:tabs>
          <w:tab w:val="left" w:pos="567"/>
        </w:tabs>
        <w:overflowPunct w:val="0"/>
        <w:adjustRightInd w:val="0"/>
        <w:ind w:left="567" w:hanging="567"/>
        <w:textAlignment w:val="baseline"/>
        <w:rPr>
          <w:szCs w:val="20"/>
          <w:lang w:val="bg-BG"/>
        </w:rPr>
      </w:pPr>
    </w:p>
    <w:p w:rsidR="004F47BB" w:rsidRPr="009072DA" w:rsidRDefault="004F47BB" w:rsidP="004F47BB">
      <w:pPr>
        <w:spacing w:line="240" w:lineRule="atLeast"/>
        <w:ind w:left="567"/>
        <w:rPr>
          <w:lang w:val="bg-BG"/>
        </w:rPr>
      </w:pPr>
      <w:r w:rsidRPr="009072DA">
        <w:rPr>
          <w:lang w:val="bg-BG"/>
        </w:rPr>
        <w:t>„Рулове за заден ход</w:t>
      </w:r>
      <w:r w:rsidRPr="009072DA">
        <w:rPr>
          <w:vertAlign w:val="superscript"/>
          <w:lang w:val="bg-BG"/>
        </w:rPr>
        <w:footnoteReference w:customMarkFollows="1" w:id="79"/>
        <w:t>*)</w:t>
      </w:r>
      <w:r w:rsidRPr="009072DA">
        <w:rPr>
          <w:lang w:val="bg-BG"/>
        </w:rPr>
        <w:t>/ носови подрулващи системи*/ друго оборудване*, посочено в точка 34, е*/са* необходимо(и) за спазване на изискванията за маневреност от глава 5.</w:t>
      </w:r>
    </w:p>
    <w:p w:rsidR="004F47BB" w:rsidRPr="009072DA" w:rsidRDefault="004F47BB" w:rsidP="004F47BB">
      <w:pPr>
        <w:spacing w:line="240" w:lineRule="atLeast"/>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5.</w:t>
      </w:r>
      <w:r w:rsidRPr="009072DA">
        <w:rPr>
          <w:lang w:val="bg-BG"/>
        </w:rPr>
        <w:tab/>
      </w:r>
      <w:r w:rsidRPr="009072DA">
        <w:rPr>
          <w:b/>
          <w:color w:val="000000"/>
          <w:lang w:val="bg-BG"/>
        </w:rPr>
        <w:t>Записване на данни и протоколи</w:t>
      </w:r>
    </w:p>
    <w:p w:rsidR="004F47BB" w:rsidRPr="009072DA" w:rsidRDefault="004F47BB" w:rsidP="004F47BB">
      <w:pPr>
        <w:tabs>
          <w:tab w:val="left" w:pos="567"/>
        </w:tabs>
        <w:overflowPunct w:val="0"/>
        <w:adjustRightInd w:val="0"/>
        <w:ind w:left="567" w:hanging="567"/>
        <w:textAlignment w:val="baseline"/>
        <w:rPr>
          <w:szCs w:val="20"/>
          <w:lang w:val="bg-BG"/>
        </w:rPr>
      </w:pPr>
    </w:p>
    <w:p w:rsidR="004F47BB" w:rsidRPr="009072DA" w:rsidRDefault="004F47BB" w:rsidP="004F47BB">
      <w:pPr>
        <w:spacing w:line="240" w:lineRule="atLeast"/>
        <w:ind w:left="567"/>
        <w:rPr>
          <w:lang w:val="bg-BG"/>
        </w:rPr>
      </w:pPr>
      <w:r w:rsidRPr="009072DA">
        <w:rPr>
          <w:lang w:val="bg-BG"/>
        </w:rPr>
        <w:t>Измерванията, съставянето на протоколите и записването на данните се извършват съгласно процедурата, определена в приложение 2.</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sectPr w:rsidR="004F47BB" w:rsidRPr="009072DA" w:rsidSect="00D45887">
          <w:headerReference w:type="default" r:id="rId130"/>
          <w:headerReference w:type="first" r:id="rId131"/>
          <w:pgSz w:w="11907" w:h="16840" w:code="9"/>
          <w:pgMar w:top="1418" w:right="1418" w:bottom="1418" w:left="1418" w:header="680" w:footer="680" w:gutter="0"/>
          <w:cols w:space="720"/>
          <w:noEndnote/>
          <w:titlePg/>
        </w:sectPr>
      </w:pPr>
    </w:p>
    <w:p w:rsidR="004F47BB" w:rsidRPr="009072DA" w:rsidRDefault="004F47BB" w:rsidP="004F47BB">
      <w:pPr>
        <w:overflowPunct w:val="0"/>
        <w:adjustRightInd w:val="0"/>
        <w:textAlignment w:val="baseline"/>
        <w:rPr>
          <w:szCs w:val="20"/>
          <w:lang w:val="bg-BG"/>
        </w:rPr>
      </w:pPr>
    </w:p>
    <w:p w:rsidR="004F47BB" w:rsidRPr="009072DA" w:rsidRDefault="004F47BB" w:rsidP="005716BB">
      <w:pPr>
        <w:pStyle w:val="ES-Titre4"/>
      </w:pPr>
      <w:r w:rsidRPr="009072DA">
        <w:t>Приложение 1 към указание ESI-II-4</w:t>
      </w:r>
    </w:p>
    <w:p w:rsidR="004F47BB" w:rsidRPr="009072DA" w:rsidRDefault="004F47BB" w:rsidP="005716BB">
      <w:pPr>
        <w:pStyle w:val="ES-Titre4a"/>
      </w:pPr>
      <w:r w:rsidRPr="009072DA">
        <w:t>Диаграма на маневрата за отклоняване</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jc w:val="center"/>
        <w:textAlignment w:val="baseline"/>
        <w:rPr>
          <w:szCs w:val="20"/>
          <w:lang w:val="bg-BG"/>
        </w:rPr>
      </w:pPr>
      <w:r w:rsidRPr="009072DA">
        <w:rPr>
          <w:noProof/>
          <w:szCs w:val="20"/>
          <w:lang w:eastAsia="en-GB"/>
        </w:rPr>
        <w:drawing>
          <wp:inline distT="0" distB="0" distL="0" distR="0" wp14:anchorId="28166214" wp14:editId="7DBD604B">
            <wp:extent cx="5286375" cy="2943225"/>
            <wp:effectExtent l="0" t="0" r="9525" b="9525"/>
            <wp:docPr id="301" name="Imag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286375" cy="2943225"/>
                    </a:xfrm>
                    <a:prstGeom prst="rect">
                      <a:avLst/>
                    </a:prstGeom>
                    <a:noFill/>
                    <a:ln>
                      <a:noFill/>
                    </a:ln>
                  </pic:spPr>
                </pic:pic>
              </a:graphicData>
            </a:graphic>
          </wp:inline>
        </w:drawing>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2B712C" w:rsidP="004F47BB">
      <w:pPr>
        <w:tabs>
          <w:tab w:val="left" w:pos="993"/>
          <w:tab w:val="left" w:pos="1418"/>
        </w:tabs>
        <w:overflowPunct w:val="0"/>
        <w:adjustRightInd w:val="0"/>
        <w:ind w:left="567"/>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0</m:t>
            </m:r>
          </m:sub>
        </m:sSub>
      </m:oMath>
      <w:r w:rsidR="007B1046" w:rsidRPr="009072DA">
        <w:rPr>
          <w:lang w:val="bg-BG"/>
        </w:rPr>
        <w:tab/>
        <w:t>=</w:t>
      </w:r>
      <w:r w:rsidR="007B1046" w:rsidRPr="009072DA">
        <w:rPr>
          <w:lang w:val="bg-BG"/>
        </w:rPr>
        <w:tab/>
        <w:t>Начало на маневрата за отклоняване</w:t>
      </w:r>
    </w:p>
    <w:p w:rsidR="004F47BB" w:rsidRPr="009072DA" w:rsidRDefault="002B712C" w:rsidP="004F47BB">
      <w:pPr>
        <w:tabs>
          <w:tab w:val="left" w:pos="993"/>
          <w:tab w:val="left" w:pos="1418"/>
        </w:tabs>
        <w:overflowPunct w:val="0"/>
        <w:adjustRightInd w:val="0"/>
        <w:spacing w:before="60"/>
        <w:ind w:left="567"/>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1</m:t>
            </m:r>
          </m:sub>
        </m:sSub>
      </m:oMath>
      <w:r w:rsidR="007B1046" w:rsidRPr="009072DA">
        <w:rPr>
          <w:lang w:val="bg-BG"/>
        </w:rPr>
        <w:tab/>
        <w:t>=</w:t>
      </w:r>
      <w:r w:rsidR="007B1046" w:rsidRPr="009072DA">
        <w:rPr>
          <w:lang w:val="bg-BG"/>
        </w:rPr>
        <w:tab/>
        <w:t xml:space="preserve">Време за достигане на скорост на поворот </w:t>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1</m:t>
            </m:r>
          </m:sub>
        </m:sSub>
      </m:oMath>
    </w:p>
    <w:p w:rsidR="004F47BB" w:rsidRPr="009072DA" w:rsidRDefault="002B712C" w:rsidP="004F47BB">
      <w:pPr>
        <w:tabs>
          <w:tab w:val="left" w:pos="993"/>
          <w:tab w:val="left" w:pos="1418"/>
        </w:tabs>
        <w:overflowPunct w:val="0"/>
        <w:adjustRightInd w:val="0"/>
        <w:spacing w:before="60"/>
        <w:ind w:left="567"/>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2</m:t>
            </m:r>
          </m:sub>
        </m:sSub>
      </m:oMath>
      <w:r w:rsidR="007B1046" w:rsidRPr="009072DA">
        <w:rPr>
          <w:lang w:val="bg-BG"/>
        </w:rPr>
        <w:tab/>
        <w:t>=</w:t>
      </w:r>
      <w:r w:rsidR="007B1046" w:rsidRPr="009072DA">
        <w:rPr>
          <w:lang w:val="bg-BG"/>
        </w:rPr>
        <w:tab/>
        <w:t xml:space="preserve">Време за достигане на скорост на поворот </w:t>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2</m:t>
            </m:r>
          </m:sub>
        </m:sSub>
      </m:oMath>
      <w:r w:rsidR="007B1046" w:rsidRPr="009072DA">
        <w:rPr>
          <w:lang w:val="bg-BG"/>
        </w:rPr>
        <w:t xml:space="preserve"> = 0</w:t>
      </w:r>
    </w:p>
    <w:p w:rsidR="004F47BB" w:rsidRPr="009072DA" w:rsidRDefault="002B712C" w:rsidP="004F47BB">
      <w:pPr>
        <w:tabs>
          <w:tab w:val="left" w:pos="993"/>
          <w:tab w:val="left" w:pos="1418"/>
        </w:tabs>
        <w:overflowPunct w:val="0"/>
        <w:adjustRightInd w:val="0"/>
        <w:spacing w:before="60"/>
        <w:ind w:left="567"/>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3</m:t>
            </m:r>
          </m:sub>
        </m:sSub>
      </m:oMath>
      <w:r w:rsidR="007B1046" w:rsidRPr="009072DA">
        <w:rPr>
          <w:lang w:val="bg-BG"/>
        </w:rPr>
        <w:tab/>
        <w:t>=</w:t>
      </w:r>
      <w:r w:rsidR="007B1046" w:rsidRPr="009072DA">
        <w:rPr>
          <w:lang w:val="bg-BG"/>
        </w:rPr>
        <w:tab/>
        <w:t xml:space="preserve">Време за достигане на скорост на поворот </w:t>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3</m:t>
            </m:r>
          </m:sub>
        </m:sSub>
      </m:oMath>
    </w:p>
    <w:p w:rsidR="004F47BB" w:rsidRPr="009072DA" w:rsidRDefault="002B712C" w:rsidP="004F47BB">
      <w:pPr>
        <w:tabs>
          <w:tab w:val="left" w:pos="993"/>
          <w:tab w:val="left" w:pos="1418"/>
        </w:tabs>
        <w:overflowPunct w:val="0"/>
        <w:adjustRightInd w:val="0"/>
        <w:spacing w:before="60"/>
        <w:ind w:left="567"/>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4</m:t>
            </m:r>
          </m:sub>
        </m:sSub>
      </m:oMath>
      <w:r w:rsidR="007B1046" w:rsidRPr="009072DA">
        <w:rPr>
          <w:lang w:val="bg-BG"/>
        </w:rPr>
        <w:tab/>
        <w:t>=</w:t>
      </w:r>
      <w:r w:rsidR="007B1046" w:rsidRPr="009072DA">
        <w:rPr>
          <w:lang w:val="bg-BG"/>
        </w:rPr>
        <w:tab/>
        <w:t xml:space="preserve">Време за достигане на скорост на поворот </w:t>
      </w:r>
      <m:oMath>
        <m:sSub>
          <m:sSubPr>
            <m:ctrlPr>
              <w:rPr>
                <w:rFonts w:ascii="Cambria Math" w:hAnsi="Cambria Math"/>
                <w:i/>
                <w:szCs w:val="20"/>
                <w:lang w:val="bg-BG"/>
              </w:rPr>
            </m:ctrlPr>
          </m:sSubPr>
          <m:e>
            <m:r>
              <w:rPr>
                <w:rFonts w:ascii="Cambria Math" w:hAnsi="Cambria Math"/>
                <w:szCs w:val="20"/>
                <w:lang w:val="bg-BG"/>
              </w:rPr>
              <m:t>r</m:t>
            </m:r>
          </m:e>
          <m:sub>
            <m:r>
              <w:rPr>
                <w:rFonts w:ascii="Cambria Math" w:hAnsi="Cambria Math"/>
                <w:szCs w:val="20"/>
                <w:lang w:val="bg-BG"/>
              </w:rPr>
              <m:t>4</m:t>
            </m:r>
          </m:sub>
        </m:sSub>
      </m:oMath>
      <w:r w:rsidR="007B1046" w:rsidRPr="009072DA">
        <w:rPr>
          <w:vertAlign w:val="subscript"/>
          <w:lang w:val="bg-BG"/>
        </w:rPr>
        <w:t xml:space="preserve"> </w:t>
      </w:r>
      <w:r w:rsidR="007B1046" w:rsidRPr="009072DA">
        <w:rPr>
          <w:lang w:val="bg-BG"/>
        </w:rPr>
        <w:t>= 0 (край на маневрата за отклоняване).</w:t>
      </w:r>
    </w:p>
    <w:p w:rsidR="004F47BB" w:rsidRPr="009072DA" w:rsidRDefault="004F47BB" w:rsidP="004F47BB">
      <w:pPr>
        <w:tabs>
          <w:tab w:val="left" w:pos="993"/>
          <w:tab w:val="left" w:pos="1418"/>
        </w:tabs>
        <w:overflowPunct w:val="0"/>
        <w:adjustRightInd w:val="0"/>
        <w:spacing w:before="60"/>
        <w:ind w:left="567"/>
        <w:textAlignment w:val="baseline"/>
        <w:rPr>
          <w:szCs w:val="20"/>
          <w:lang w:val="bg-BG"/>
        </w:rPr>
      </w:pPr>
      <m:oMath>
        <m:r>
          <w:rPr>
            <w:rFonts w:ascii="Cambria Math" w:hAnsi="Cambria Math"/>
            <w:i/>
            <w:szCs w:val="20"/>
            <w:lang w:val="bg-BG"/>
          </w:rPr>
          <w:sym w:font="Symbol" w:char="F064"/>
        </m:r>
      </m:oMath>
      <w:r w:rsidRPr="009072DA">
        <w:rPr>
          <w:lang w:val="bg-BG"/>
        </w:rPr>
        <w:tab/>
        <w:t>=</w:t>
      </w:r>
      <w:r w:rsidRPr="009072DA">
        <w:rPr>
          <w:lang w:val="bg-BG"/>
        </w:rPr>
        <w:tab/>
        <w:t>Ъгъл на руля [°]</w:t>
      </w:r>
    </w:p>
    <w:p w:rsidR="004F47BB" w:rsidRPr="009072DA" w:rsidRDefault="004F47BB" w:rsidP="004F47BB">
      <w:pPr>
        <w:tabs>
          <w:tab w:val="left" w:pos="993"/>
          <w:tab w:val="left" w:pos="1418"/>
        </w:tabs>
        <w:overflowPunct w:val="0"/>
        <w:adjustRightInd w:val="0"/>
        <w:spacing w:before="60"/>
        <w:ind w:left="567"/>
        <w:textAlignment w:val="baseline"/>
        <w:rPr>
          <w:szCs w:val="20"/>
          <w:lang w:val="bg-BG"/>
        </w:rPr>
      </w:pPr>
      <m:oMath>
        <m:r>
          <w:rPr>
            <w:rFonts w:ascii="Cambria Math" w:hAnsi="Cambria Math"/>
            <w:szCs w:val="20"/>
            <w:lang w:val="bg-BG"/>
          </w:rPr>
          <m:t>r</m:t>
        </m:r>
      </m:oMath>
      <w:r w:rsidRPr="009072DA">
        <w:rPr>
          <w:lang w:val="bg-BG"/>
        </w:rPr>
        <w:tab/>
        <w:t>=</w:t>
      </w:r>
      <w:r w:rsidRPr="009072DA">
        <w:rPr>
          <w:lang w:val="bg-BG"/>
        </w:rPr>
        <w:tab/>
        <w:t>Скорост на поворот [°/min]</w:t>
      </w:r>
    </w:p>
    <w:p w:rsidR="004F47BB" w:rsidRPr="009072DA" w:rsidRDefault="004F47BB" w:rsidP="004F47BB">
      <w:pPr>
        <w:tabs>
          <w:tab w:val="left" w:pos="284"/>
          <w:tab w:val="left" w:pos="709"/>
          <w:tab w:val="left" w:pos="993"/>
        </w:tabs>
        <w:overflowPunct w:val="0"/>
        <w:adjustRightInd w:val="0"/>
        <w:textAlignment w:val="baseline"/>
        <w:rPr>
          <w:szCs w:val="20"/>
          <w:lang w:val="bg-BG"/>
        </w:rPr>
      </w:pPr>
    </w:p>
    <w:p w:rsidR="004F47BB" w:rsidRPr="009072DA" w:rsidRDefault="004F47BB" w:rsidP="004F47BB">
      <w:pPr>
        <w:tabs>
          <w:tab w:val="left" w:pos="284"/>
          <w:tab w:val="left" w:pos="709"/>
          <w:tab w:val="left" w:pos="993"/>
        </w:tabs>
        <w:overflowPunct w:val="0"/>
        <w:adjustRightInd w:val="0"/>
        <w:textAlignment w:val="baseline"/>
        <w:rPr>
          <w:szCs w:val="20"/>
          <w:lang w:val="bg-BG"/>
        </w:rPr>
      </w:pPr>
    </w:p>
    <w:p w:rsidR="004F47BB" w:rsidRPr="009072DA" w:rsidRDefault="004F47BB" w:rsidP="004F47BB">
      <w:pPr>
        <w:tabs>
          <w:tab w:val="left" w:pos="284"/>
          <w:tab w:val="left" w:pos="709"/>
          <w:tab w:val="left" w:pos="993"/>
        </w:tabs>
        <w:overflowPunct w:val="0"/>
        <w:adjustRightInd w:val="0"/>
        <w:textAlignment w:val="baseline"/>
        <w:rPr>
          <w:szCs w:val="20"/>
          <w:lang w:val="bg-BG"/>
        </w:rPr>
      </w:pPr>
    </w:p>
    <w:p w:rsidR="004F47BB" w:rsidRPr="009072DA" w:rsidRDefault="004F47BB" w:rsidP="004F47BB">
      <w:pPr>
        <w:tabs>
          <w:tab w:val="left" w:pos="284"/>
          <w:tab w:val="left" w:pos="709"/>
          <w:tab w:val="left" w:pos="993"/>
        </w:tabs>
        <w:overflowPunct w:val="0"/>
        <w:adjustRightInd w:val="0"/>
        <w:textAlignment w:val="baseline"/>
        <w:rPr>
          <w:szCs w:val="20"/>
          <w:lang w:val="bg-BG"/>
        </w:rPr>
        <w:sectPr w:rsidR="004F47BB" w:rsidRPr="009072DA" w:rsidSect="00D45887">
          <w:headerReference w:type="default" r:id="rId133"/>
          <w:footerReference w:type="default" r:id="rId134"/>
          <w:headerReference w:type="first" r:id="rId135"/>
          <w:footerReference w:type="first" r:id="rId136"/>
          <w:pgSz w:w="11907" w:h="16840" w:code="9"/>
          <w:pgMar w:top="1418" w:right="1418" w:bottom="1418" w:left="1418" w:header="680" w:footer="680" w:gutter="0"/>
          <w:cols w:space="720"/>
          <w:noEndnote/>
          <w:titlePg/>
        </w:sectPr>
      </w:pPr>
    </w:p>
    <w:p w:rsidR="004F47BB" w:rsidRPr="009072DA" w:rsidRDefault="004F47BB" w:rsidP="005716BB">
      <w:pPr>
        <w:pStyle w:val="ES-Titre4"/>
      </w:pPr>
      <w:r w:rsidRPr="009072DA">
        <w:lastRenderedPageBreak/>
        <w:t>Приложение 2 към указание ESI-II-4</w:t>
      </w:r>
    </w:p>
    <w:p w:rsidR="004F47BB" w:rsidRPr="009072DA" w:rsidRDefault="004F47BB" w:rsidP="005716BB">
      <w:pPr>
        <w:pStyle w:val="ES-Titre4a"/>
      </w:pPr>
      <w:r w:rsidRPr="009072DA">
        <w:t>Протокол за маневрата за отклоняване и способността за извършване на поворот</w:t>
      </w:r>
    </w:p>
    <w:p w:rsidR="004F47BB" w:rsidRPr="009072DA" w:rsidRDefault="004F47BB" w:rsidP="004F47BB">
      <w:pPr>
        <w:tabs>
          <w:tab w:val="left" w:pos="284"/>
          <w:tab w:val="left" w:pos="709"/>
          <w:tab w:val="left" w:pos="993"/>
        </w:tabs>
        <w:overflowPunct w:val="0"/>
        <w:adjustRightInd w:val="0"/>
        <w:textAlignment w:val="baseline"/>
        <w:rPr>
          <w:szCs w:val="20"/>
          <w:lang w:val="bg-BG"/>
        </w:rPr>
      </w:pPr>
    </w:p>
    <w:p w:rsidR="004F47BB" w:rsidRPr="009072DA" w:rsidRDefault="004F47BB" w:rsidP="004F47BB">
      <w:pPr>
        <w:tabs>
          <w:tab w:val="left" w:pos="284"/>
          <w:tab w:val="left" w:leader="dot" w:pos="9072"/>
        </w:tabs>
        <w:overflowPunct w:val="0"/>
        <w:adjustRightInd w:val="0"/>
        <w:spacing w:after="120"/>
        <w:textAlignment w:val="baseline"/>
        <w:rPr>
          <w:szCs w:val="20"/>
          <w:lang w:val="bg-BG"/>
        </w:rPr>
      </w:pPr>
      <w:r w:rsidRPr="009072DA">
        <w:rPr>
          <w:lang w:val="bg-BG"/>
        </w:rPr>
        <w:t xml:space="preserve">Контролен орган: </w:t>
      </w:r>
      <w:r w:rsidRPr="009072DA">
        <w:rPr>
          <w:lang w:val="bg-BG"/>
        </w:rPr>
        <w:tab/>
      </w:r>
    </w:p>
    <w:p w:rsidR="004F47BB" w:rsidRPr="009072DA" w:rsidRDefault="004F47BB" w:rsidP="004F47BB">
      <w:pPr>
        <w:tabs>
          <w:tab w:val="left" w:pos="284"/>
          <w:tab w:val="left" w:leader="dot" w:pos="9072"/>
        </w:tabs>
        <w:overflowPunct w:val="0"/>
        <w:adjustRightInd w:val="0"/>
        <w:spacing w:after="120"/>
        <w:textAlignment w:val="baseline"/>
        <w:rPr>
          <w:szCs w:val="20"/>
          <w:lang w:val="bg-BG"/>
        </w:rPr>
      </w:pPr>
      <w:r w:rsidRPr="009072DA">
        <w:rPr>
          <w:lang w:val="bg-BG"/>
        </w:rPr>
        <w:t xml:space="preserve">Дата: </w:t>
      </w:r>
      <w:r w:rsidRPr="009072DA">
        <w:rPr>
          <w:lang w:val="bg-BG"/>
        </w:rPr>
        <w:tab/>
      </w:r>
    </w:p>
    <w:p w:rsidR="004F47BB" w:rsidRPr="009072DA" w:rsidRDefault="004F47BB" w:rsidP="004F47BB">
      <w:pPr>
        <w:tabs>
          <w:tab w:val="left" w:pos="284"/>
          <w:tab w:val="left" w:leader="dot" w:pos="9072"/>
        </w:tabs>
        <w:overflowPunct w:val="0"/>
        <w:adjustRightInd w:val="0"/>
        <w:textAlignment w:val="baseline"/>
        <w:rPr>
          <w:szCs w:val="20"/>
          <w:lang w:val="bg-BG"/>
        </w:rPr>
      </w:pPr>
      <w:r w:rsidRPr="009072DA">
        <w:rPr>
          <w:lang w:val="bg-BG"/>
        </w:rPr>
        <w:t xml:space="preserve">Име: </w:t>
      </w:r>
      <w:r w:rsidRPr="009072DA">
        <w:rPr>
          <w:lang w:val="bg-BG"/>
        </w:rPr>
        <w:tab/>
      </w:r>
    </w:p>
    <w:p w:rsidR="004F47BB" w:rsidRPr="009072DA" w:rsidRDefault="004F47BB" w:rsidP="004F47BB">
      <w:pPr>
        <w:tabs>
          <w:tab w:val="left" w:pos="284"/>
          <w:tab w:val="left" w:leader="dot" w:pos="9072"/>
        </w:tabs>
        <w:overflowPunct w:val="0"/>
        <w:adjustRightInd w:val="0"/>
        <w:textAlignment w:val="baseline"/>
        <w:rPr>
          <w:szCs w:val="20"/>
          <w:lang w:val="bg-BG"/>
        </w:rPr>
      </w:pPr>
    </w:p>
    <w:p w:rsidR="004F47BB" w:rsidRPr="009072DA" w:rsidRDefault="004F47BB" w:rsidP="004F47BB">
      <w:pPr>
        <w:tabs>
          <w:tab w:val="left" w:pos="284"/>
          <w:tab w:val="left" w:leader="dot" w:pos="9072"/>
        </w:tabs>
        <w:overflowPunct w:val="0"/>
        <w:adjustRightInd w:val="0"/>
        <w:spacing w:after="120"/>
        <w:textAlignment w:val="baseline"/>
        <w:rPr>
          <w:szCs w:val="20"/>
          <w:lang w:val="bg-BG"/>
        </w:rPr>
      </w:pPr>
      <w:r w:rsidRPr="009072DA">
        <w:rPr>
          <w:lang w:val="bg-BG"/>
        </w:rPr>
        <w:t xml:space="preserve">Име на плавателния съд: </w:t>
      </w:r>
      <w:r w:rsidRPr="009072DA">
        <w:rPr>
          <w:lang w:val="bg-BG"/>
        </w:rPr>
        <w:tab/>
      </w:r>
    </w:p>
    <w:p w:rsidR="004F47BB" w:rsidRPr="009072DA" w:rsidRDefault="004F47BB" w:rsidP="004F47BB">
      <w:pPr>
        <w:tabs>
          <w:tab w:val="left" w:pos="284"/>
          <w:tab w:val="left" w:leader="dot" w:pos="9072"/>
        </w:tabs>
        <w:overflowPunct w:val="0"/>
        <w:adjustRightInd w:val="0"/>
        <w:textAlignment w:val="baseline"/>
        <w:rPr>
          <w:szCs w:val="20"/>
          <w:lang w:val="bg-BG"/>
        </w:rPr>
      </w:pPr>
      <w:r w:rsidRPr="009072DA">
        <w:rPr>
          <w:lang w:val="bg-BG"/>
        </w:rPr>
        <w:t xml:space="preserve">Собственик: </w:t>
      </w:r>
      <w:r w:rsidRPr="009072DA">
        <w:rPr>
          <w:lang w:val="bg-BG"/>
        </w:rPr>
        <w:tab/>
      </w:r>
    </w:p>
    <w:p w:rsidR="004F47BB" w:rsidRPr="009072DA" w:rsidRDefault="004F47BB" w:rsidP="004F47BB">
      <w:pPr>
        <w:tabs>
          <w:tab w:val="left" w:pos="284"/>
          <w:tab w:val="left" w:leader="dot" w:pos="9072"/>
        </w:tabs>
        <w:overflowPunct w:val="0"/>
        <w:adjustRightInd w:val="0"/>
        <w:textAlignment w:val="baseline"/>
        <w:rPr>
          <w:szCs w:val="20"/>
          <w:lang w:val="bg-BG"/>
        </w:rPr>
      </w:pPr>
    </w:p>
    <w:p w:rsidR="004F47BB" w:rsidRPr="009072DA" w:rsidRDefault="004F47BB" w:rsidP="004F47BB">
      <w:pPr>
        <w:tabs>
          <w:tab w:val="left" w:pos="284"/>
          <w:tab w:val="left" w:pos="5103"/>
          <w:tab w:val="left" w:leader="dot" w:pos="9072"/>
        </w:tabs>
        <w:overflowPunct w:val="0"/>
        <w:adjustRightInd w:val="0"/>
        <w:spacing w:after="120"/>
        <w:textAlignment w:val="baseline"/>
        <w:rPr>
          <w:szCs w:val="20"/>
          <w:lang w:val="bg-BG"/>
        </w:rPr>
      </w:pPr>
      <w:r w:rsidRPr="009072DA">
        <w:rPr>
          <w:lang w:val="bg-BG"/>
        </w:rPr>
        <w:t>Вид на плавателния съд</w:t>
      </w:r>
      <w:r w:rsidRPr="009072DA">
        <w:rPr>
          <w:lang w:val="bg-BG"/>
        </w:rPr>
        <w:tab/>
        <w:t xml:space="preserve">Изпитвателен полигон: </w:t>
      </w:r>
      <w:r w:rsidRPr="009072DA">
        <w:rPr>
          <w:lang w:val="bg-BG"/>
        </w:rPr>
        <w:tab/>
      </w:r>
    </w:p>
    <w:p w:rsidR="004F47BB" w:rsidRPr="009072DA" w:rsidRDefault="004F47BB" w:rsidP="004F47BB">
      <w:pPr>
        <w:tabs>
          <w:tab w:val="left" w:pos="284"/>
          <w:tab w:val="left" w:leader="dot" w:pos="4536"/>
          <w:tab w:val="left" w:pos="5103"/>
          <w:tab w:val="left" w:leader="dot" w:pos="9072"/>
        </w:tabs>
        <w:overflowPunct w:val="0"/>
        <w:adjustRightInd w:val="0"/>
        <w:spacing w:after="120"/>
        <w:textAlignment w:val="baseline"/>
        <w:rPr>
          <w:szCs w:val="20"/>
          <w:lang w:val="bg-BG"/>
        </w:rPr>
      </w:pPr>
      <w:r w:rsidRPr="009072DA">
        <w:rPr>
          <w:lang w:val="bg-BG"/>
        </w:rPr>
        <w:t xml:space="preserve">или състав: </w:t>
      </w:r>
      <w:r w:rsidRPr="009072DA">
        <w:rPr>
          <w:lang w:val="bg-BG"/>
        </w:rPr>
        <w:tab/>
      </w:r>
      <w:r w:rsidRPr="009072DA">
        <w:rPr>
          <w:lang w:val="bg-BG"/>
        </w:rPr>
        <w:tab/>
        <w:t xml:space="preserve">Съответно ниво на водата [m] : </w:t>
      </w:r>
      <w:r w:rsidRPr="009072DA">
        <w:rPr>
          <w:lang w:val="bg-BG"/>
        </w:rPr>
        <w:tab/>
      </w:r>
    </w:p>
    <w:p w:rsidR="004F47BB" w:rsidRPr="009072DA" w:rsidRDefault="004F47BB" w:rsidP="004F47BB">
      <w:pPr>
        <w:tabs>
          <w:tab w:val="left" w:pos="284"/>
          <w:tab w:val="left" w:leader="dot" w:pos="4536"/>
          <w:tab w:val="left" w:pos="5103"/>
          <w:tab w:val="left" w:leader="dot" w:pos="9072"/>
        </w:tabs>
        <w:overflowPunct w:val="0"/>
        <w:adjustRightInd w:val="0"/>
        <w:spacing w:after="120"/>
        <w:textAlignment w:val="baseline"/>
        <w:rPr>
          <w:szCs w:val="20"/>
          <w:lang w:val="bg-BG"/>
        </w:rPr>
      </w:pPr>
      <m:oMath>
        <m:r>
          <w:rPr>
            <w:rFonts w:ascii="Cambria Math" w:hAnsi="Cambria Math"/>
            <w:szCs w:val="20"/>
            <w:lang w:val="bg-BG"/>
          </w:rPr>
          <m:t>L</m:t>
        </m:r>
      </m:oMath>
      <w:r w:rsidRPr="009072DA">
        <w:rPr>
          <w:lang w:val="bg-BG"/>
        </w:rPr>
        <w:t xml:space="preserve"> x </w:t>
      </w:r>
      <m:oMath>
        <m:r>
          <w:rPr>
            <w:rFonts w:ascii="Cambria Math" w:hAnsi="Cambria Math"/>
            <w:szCs w:val="20"/>
            <w:lang w:val="bg-BG"/>
          </w:rPr>
          <m:t>B</m:t>
        </m:r>
      </m:oMath>
      <w:r w:rsidRPr="009072DA">
        <w:rPr>
          <w:lang w:val="bg-BG"/>
        </w:rPr>
        <w:t xml:space="preserve"> [m x m] : </w:t>
      </w:r>
      <w:r w:rsidRPr="009072DA">
        <w:rPr>
          <w:lang w:val="bg-BG"/>
        </w:rPr>
        <w:tab/>
      </w:r>
      <w:r w:rsidRPr="009072DA">
        <w:rPr>
          <w:lang w:val="bg-BG"/>
        </w:rPr>
        <w:tab/>
        <w:t xml:space="preserve">Дълбочина на водата </w:t>
      </w:r>
      <m:oMath>
        <m:r>
          <w:rPr>
            <w:rFonts w:ascii="Cambria Math" w:hAnsi="Cambria Math"/>
            <w:szCs w:val="20"/>
            <w:lang w:val="bg-BG"/>
          </w:rPr>
          <m:t>h</m:t>
        </m:r>
      </m:oMath>
      <w:r w:rsidRPr="009072DA">
        <w:rPr>
          <w:lang w:val="bg-BG"/>
        </w:rPr>
        <w:t xml:space="preserve"> [m]: </w:t>
      </w:r>
      <w:r w:rsidRPr="009072DA">
        <w:rPr>
          <w:lang w:val="bg-BG"/>
        </w:rPr>
        <w:tab/>
      </w:r>
    </w:p>
    <w:p w:rsidR="004F47BB" w:rsidRPr="009072DA" w:rsidRDefault="004F47BB" w:rsidP="004F47BB">
      <w:pPr>
        <w:tabs>
          <w:tab w:val="left" w:pos="284"/>
          <w:tab w:val="left" w:leader="dot" w:pos="4536"/>
          <w:tab w:val="left" w:pos="5103"/>
          <w:tab w:val="left" w:leader="dot" w:pos="9072"/>
        </w:tabs>
        <w:overflowPunct w:val="0"/>
        <w:adjustRightInd w:val="0"/>
        <w:textAlignment w:val="baseline"/>
        <w:rPr>
          <w:szCs w:val="20"/>
          <w:lang w:val="bg-BG"/>
        </w:rPr>
      </w:pPr>
      <m:oMath>
        <m:r>
          <w:rPr>
            <w:rFonts w:ascii="Cambria Math" w:hAnsi="Cambria Math"/>
            <w:szCs w:val="20"/>
            <w:lang w:val="bg-BG"/>
          </w:rPr>
          <m:t>T</m:t>
        </m:r>
      </m:oMath>
      <w:r w:rsidRPr="009072DA">
        <w:rPr>
          <w:lang w:val="bg-BG"/>
        </w:rPr>
        <w:t xml:space="preserve"> по време на изпитването [m]: </w:t>
      </w:r>
      <w:r w:rsidRPr="009072DA">
        <w:rPr>
          <w:lang w:val="bg-BG"/>
        </w:rPr>
        <w:tab/>
      </w:r>
      <w:r w:rsidRPr="009072DA">
        <w:rPr>
          <w:lang w:val="bg-BG"/>
        </w:rPr>
        <w:tab/>
      </w:r>
      <m:oMath>
        <m:r>
          <w:rPr>
            <w:rFonts w:ascii="Cambria Math" w:hAnsi="Cambria Math"/>
            <w:szCs w:val="20"/>
            <w:lang w:val="bg-BG"/>
          </w:rPr>
          <m:t>h/T</m:t>
        </m:r>
      </m:oMath>
      <w:r w:rsidRPr="009072DA">
        <w:rPr>
          <w:lang w:val="bg-BG"/>
        </w:rPr>
        <w:t xml:space="preserve"> : </w:t>
      </w:r>
      <w:r w:rsidRPr="009072DA">
        <w:rPr>
          <w:lang w:val="bg-BG"/>
        </w:rPr>
        <w:tab/>
      </w:r>
    </w:p>
    <w:p w:rsidR="004F47BB" w:rsidRPr="009072DA" w:rsidRDefault="004F47BB" w:rsidP="004F47BB">
      <w:pPr>
        <w:tabs>
          <w:tab w:val="left" w:pos="5103"/>
          <w:tab w:val="left" w:leader="dot" w:pos="9072"/>
        </w:tabs>
        <w:overflowPunct w:val="0"/>
        <w:adjustRightInd w:val="0"/>
        <w:spacing w:before="120"/>
        <w:textAlignment w:val="baseline"/>
        <w:rPr>
          <w:szCs w:val="20"/>
          <w:lang w:val="bg-BG"/>
        </w:rPr>
      </w:pPr>
      <w:r w:rsidRPr="009072DA">
        <w:rPr>
          <w:lang w:val="bg-BG"/>
        </w:rPr>
        <w:tab/>
        <w:t xml:space="preserve">Скорост на течението [m/s] </w:t>
      </w:r>
      <w:r w:rsidRPr="009072DA">
        <w:rPr>
          <w:lang w:val="bg-BG"/>
        </w:rPr>
        <w:tab/>
      </w:r>
    </w:p>
    <w:p w:rsidR="004F47BB" w:rsidRPr="009072DA" w:rsidRDefault="004F47BB" w:rsidP="004F47BB">
      <w:pPr>
        <w:tabs>
          <w:tab w:val="left" w:pos="284"/>
          <w:tab w:val="left" w:leader="dot" w:pos="4536"/>
          <w:tab w:val="left" w:pos="5103"/>
          <w:tab w:val="left" w:leader="dot" w:pos="9072"/>
        </w:tabs>
        <w:overflowPunct w:val="0"/>
        <w:adjustRightInd w:val="0"/>
        <w:textAlignment w:val="baseline"/>
        <w:rPr>
          <w:szCs w:val="20"/>
          <w:lang w:val="bg-BG"/>
        </w:rPr>
      </w:pPr>
    </w:p>
    <w:p w:rsidR="004F47BB" w:rsidRPr="009072DA" w:rsidRDefault="004F47BB" w:rsidP="004F47BB">
      <w:pPr>
        <w:tabs>
          <w:tab w:val="left" w:pos="284"/>
          <w:tab w:val="left" w:pos="5103"/>
          <w:tab w:val="left" w:leader="dot" w:pos="9072"/>
        </w:tabs>
        <w:overflowPunct w:val="0"/>
        <w:adjustRightInd w:val="0"/>
        <w:textAlignment w:val="baseline"/>
        <w:rPr>
          <w:szCs w:val="20"/>
          <w:lang w:val="bg-BG"/>
        </w:rPr>
      </w:pPr>
      <w:r w:rsidRPr="009072DA">
        <w:rPr>
          <w:lang w:val="bg-BG"/>
        </w:rPr>
        <w:t>Товар</w:t>
      </w:r>
      <w:r w:rsidRPr="009072DA">
        <w:rPr>
          <w:lang w:val="bg-BG"/>
        </w:rPr>
        <w:tab/>
        <w:t>% от максималната</w:t>
      </w:r>
    </w:p>
    <w:p w:rsidR="004F47BB" w:rsidRPr="009072DA" w:rsidRDefault="004F47BB" w:rsidP="004F47BB">
      <w:pPr>
        <w:tabs>
          <w:tab w:val="left" w:pos="284"/>
          <w:tab w:val="left" w:leader="dot" w:pos="4536"/>
          <w:tab w:val="left" w:pos="5103"/>
          <w:tab w:val="left" w:leader="dot" w:pos="9072"/>
        </w:tabs>
        <w:overflowPunct w:val="0"/>
        <w:adjustRightInd w:val="0"/>
        <w:textAlignment w:val="baseline"/>
        <w:rPr>
          <w:szCs w:val="20"/>
          <w:lang w:val="bg-BG"/>
        </w:rPr>
      </w:pPr>
      <w:r w:rsidRPr="009072DA">
        <w:rPr>
          <w:lang w:val="bg-BG"/>
        </w:rPr>
        <w:t xml:space="preserve">(по време на изпитването) [t]: </w:t>
      </w:r>
      <w:r w:rsidRPr="009072DA">
        <w:rPr>
          <w:lang w:val="bg-BG"/>
        </w:rPr>
        <w:tab/>
      </w:r>
      <w:r w:rsidRPr="009072DA">
        <w:rPr>
          <w:lang w:val="bg-BG"/>
        </w:rPr>
        <w:tab/>
        <w:t xml:space="preserve">товароподемност: </w:t>
      </w:r>
      <w:r w:rsidRPr="009072DA">
        <w:rPr>
          <w:lang w:val="bg-BG"/>
        </w:rPr>
        <w:tab/>
      </w:r>
    </w:p>
    <w:p w:rsidR="004F47BB" w:rsidRPr="009072DA" w:rsidRDefault="004F47BB" w:rsidP="004F47BB">
      <w:pPr>
        <w:tabs>
          <w:tab w:val="left" w:pos="284"/>
          <w:tab w:val="left" w:leader="dot" w:pos="4536"/>
          <w:tab w:val="left" w:pos="5103"/>
          <w:tab w:val="left" w:leader="dot" w:pos="9072"/>
        </w:tabs>
        <w:overflowPunct w:val="0"/>
        <w:adjustRightInd w:val="0"/>
        <w:textAlignment w:val="baseline"/>
        <w:rPr>
          <w:szCs w:val="20"/>
          <w:lang w:val="bg-BG"/>
        </w:rPr>
      </w:pPr>
    </w:p>
    <w:p w:rsidR="004F47BB" w:rsidRPr="009072DA" w:rsidRDefault="004F47BB" w:rsidP="004F47BB">
      <w:pPr>
        <w:tabs>
          <w:tab w:val="left" w:pos="284"/>
          <w:tab w:val="left" w:leader="dot" w:pos="4536"/>
          <w:tab w:val="left" w:pos="5103"/>
          <w:tab w:val="left" w:leader="dot" w:pos="9072"/>
        </w:tabs>
        <w:overflowPunct w:val="0"/>
        <w:adjustRightInd w:val="0"/>
        <w:spacing w:after="80"/>
        <w:textAlignment w:val="baseline"/>
        <w:rPr>
          <w:szCs w:val="20"/>
          <w:lang w:val="bg-BG"/>
        </w:rPr>
      </w:pPr>
      <w:r w:rsidRPr="009072DA">
        <w:rPr>
          <w:lang w:val="bg-BG"/>
        </w:rPr>
        <w:t>Индикатор на скоростта на извършване на поворот</w:t>
      </w:r>
    </w:p>
    <w:p w:rsidR="004F47BB" w:rsidRPr="009072DA" w:rsidRDefault="004F47BB" w:rsidP="004F47BB">
      <w:pPr>
        <w:tabs>
          <w:tab w:val="left" w:pos="284"/>
          <w:tab w:val="left" w:leader="dot" w:pos="9072"/>
        </w:tabs>
        <w:overflowPunct w:val="0"/>
        <w:adjustRightInd w:val="0"/>
        <w:textAlignment w:val="baseline"/>
        <w:rPr>
          <w:szCs w:val="20"/>
          <w:lang w:val="bg-BG"/>
        </w:rPr>
      </w:pPr>
      <w:r w:rsidRPr="009072DA">
        <w:rPr>
          <w:lang w:val="bg-BG"/>
        </w:rPr>
        <w:t xml:space="preserve">Тип : </w:t>
      </w:r>
      <w:r w:rsidRPr="009072DA">
        <w:rPr>
          <w:lang w:val="bg-BG"/>
        </w:rPr>
        <w:tab/>
      </w:r>
    </w:p>
    <w:p w:rsidR="004F47BB" w:rsidRPr="009072DA" w:rsidRDefault="004F47BB" w:rsidP="004F47BB">
      <w:pPr>
        <w:tabs>
          <w:tab w:val="left" w:pos="284"/>
          <w:tab w:val="left" w:leader="dot" w:pos="9072"/>
        </w:tabs>
        <w:overflowPunct w:val="0"/>
        <w:adjustRightInd w:val="0"/>
        <w:textAlignment w:val="baseline"/>
        <w:rPr>
          <w:szCs w:val="20"/>
          <w:lang w:val="bg-BG"/>
        </w:rPr>
      </w:pPr>
    </w:p>
    <w:p w:rsidR="004F47BB" w:rsidRPr="009072DA" w:rsidRDefault="004F47BB" w:rsidP="004F47BB">
      <w:pPr>
        <w:tabs>
          <w:tab w:val="left" w:pos="284"/>
          <w:tab w:val="left" w:leader="dot" w:pos="9072"/>
        </w:tabs>
        <w:overflowPunct w:val="0"/>
        <w:adjustRightInd w:val="0"/>
        <w:textAlignment w:val="baseline"/>
        <w:rPr>
          <w:szCs w:val="20"/>
          <w:lang w:val="bg-BG"/>
        </w:rPr>
      </w:pPr>
      <w:r w:rsidRPr="009072DA">
        <w:rPr>
          <w:lang w:val="bg-BG"/>
        </w:rPr>
        <w:t xml:space="preserve">Тип конструкция на руля: нормална конструкция/специална конструкция </w:t>
      </w:r>
      <w:r w:rsidRPr="009072DA">
        <w:rPr>
          <w:vertAlign w:val="superscript"/>
          <w:lang w:val="bg-BG"/>
        </w:rPr>
        <w:footnoteReference w:customMarkFollows="1" w:id="80"/>
        <w:t>*)</w:t>
      </w:r>
    </w:p>
    <w:p w:rsidR="004F47BB" w:rsidRPr="009072DA" w:rsidRDefault="004F47BB" w:rsidP="004F47BB">
      <w:pPr>
        <w:tabs>
          <w:tab w:val="left" w:pos="284"/>
          <w:tab w:val="left" w:leader="dot" w:pos="9072"/>
        </w:tabs>
        <w:overflowPunct w:val="0"/>
        <w:adjustRightInd w:val="0"/>
        <w:textAlignment w:val="baseline"/>
        <w:rPr>
          <w:szCs w:val="20"/>
          <w:lang w:val="bg-BG"/>
        </w:rPr>
      </w:pPr>
      <w:r w:rsidRPr="009072DA">
        <w:rPr>
          <w:lang w:val="bg-BG"/>
        </w:rPr>
        <w:t>Активна рулева система: да/не *)</w:t>
      </w:r>
    </w:p>
    <w:p w:rsidR="004F47BB" w:rsidRPr="009072DA" w:rsidRDefault="004F47BB" w:rsidP="004F47BB">
      <w:pPr>
        <w:tabs>
          <w:tab w:val="left" w:pos="284"/>
          <w:tab w:val="left" w:leader="dot" w:pos="9072"/>
        </w:tabs>
        <w:overflowPunct w:val="0"/>
        <w:adjustRightInd w:val="0"/>
        <w:textAlignment w:val="baseline"/>
        <w:rPr>
          <w:szCs w:val="20"/>
          <w:lang w:val="bg-BG"/>
        </w:rPr>
      </w:pPr>
    </w:p>
    <w:p w:rsidR="004F47BB" w:rsidRPr="009072DA" w:rsidRDefault="004F47BB" w:rsidP="004F47BB">
      <w:pPr>
        <w:tabs>
          <w:tab w:val="left" w:pos="284"/>
          <w:tab w:val="left" w:leader="dot" w:pos="9072"/>
        </w:tabs>
        <w:overflowPunct w:val="0"/>
        <w:adjustRightInd w:val="0"/>
        <w:textAlignment w:val="baseline"/>
        <w:rPr>
          <w:szCs w:val="20"/>
          <w:lang w:val="bg-BG"/>
        </w:rPr>
      </w:pPr>
      <w:r w:rsidRPr="009072DA">
        <w:rPr>
          <w:lang w:val="bg-BG"/>
        </w:rPr>
        <w:t>Резултати от маневрите за отклоняване:</w:t>
      </w:r>
    </w:p>
    <w:p w:rsidR="004F47BB" w:rsidRPr="009072DA" w:rsidRDefault="004F47BB" w:rsidP="004F47BB">
      <w:pPr>
        <w:tabs>
          <w:tab w:val="left" w:pos="284"/>
          <w:tab w:val="left" w:leader="dot" w:pos="4536"/>
          <w:tab w:val="left" w:pos="5103"/>
          <w:tab w:val="left" w:leader="dot" w:pos="9072"/>
        </w:tabs>
        <w:overflowPunct w:val="0"/>
        <w:adjustRightInd w:val="0"/>
        <w:textAlignment w:val="baseline"/>
        <w:rPr>
          <w:szCs w:val="20"/>
          <w:lang w:val="bg-BG"/>
        </w:rPr>
      </w:pPr>
    </w:p>
    <w:tbl>
      <w:tblPr>
        <w:tblW w:w="0" w:type="auto"/>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1417"/>
        <w:gridCol w:w="1417"/>
        <w:gridCol w:w="1417"/>
        <w:gridCol w:w="1419"/>
        <w:gridCol w:w="2268"/>
      </w:tblGrid>
      <w:tr w:rsidR="004F47BB" w:rsidRPr="009072DA" w:rsidTr="00D45887">
        <w:tc>
          <w:tcPr>
            <w:tcW w:w="1418" w:type="dxa"/>
            <w:tcBorders>
              <w:top w:val="single" w:sz="6" w:space="0" w:color="auto"/>
              <w:left w:val="single" w:sz="6" w:space="0" w:color="auto"/>
              <w:bottom w:val="nil"/>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r w:rsidRPr="009072DA">
              <w:rPr>
                <w:sz w:val="18"/>
                <w:lang w:val="bg-BG"/>
              </w:rPr>
              <w:lastRenderedPageBreak/>
              <w:t xml:space="preserve">Време </w:t>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1</m:t>
                  </m:r>
                </m:sub>
              </m:sSub>
            </m:oMath>
            <w:r w:rsidRPr="009072DA">
              <w:rPr>
                <w:sz w:val="18"/>
                <w:lang w:val="bg-BG"/>
              </w:rPr>
              <w:t xml:space="preserve"> до t</w:t>
            </w:r>
            <w:r w:rsidRPr="009072DA">
              <w:rPr>
                <w:sz w:val="18"/>
                <w:vertAlign w:val="subscript"/>
                <w:lang w:val="bg-BG"/>
              </w:rPr>
              <w:t>4</w:t>
            </w:r>
            <w:r w:rsidRPr="009072DA">
              <w:rPr>
                <w:sz w:val="18"/>
                <w:lang w:val="bg-BG"/>
              </w:rPr>
              <w:t xml:space="preserve">, необходимо  </w:t>
            </w:r>
          </w:p>
        </w:tc>
        <w:tc>
          <w:tcPr>
            <w:tcW w:w="5670" w:type="dxa"/>
            <w:gridSpan w:val="4"/>
            <w:tcBorders>
              <w:top w:val="single" w:sz="6" w:space="0" w:color="auto"/>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r w:rsidRPr="009072DA">
              <w:rPr>
                <w:sz w:val="18"/>
                <w:lang w:val="bg-BG"/>
              </w:rPr>
              <w:t xml:space="preserve">Ъгъл </w:t>
            </w:r>
            <w:r w:rsidRPr="009072DA">
              <w:rPr>
                <w:sz w:val="18"/>
                <w:szCs w:val="20"/>
                <w:lang w:val="bg-BG"/>
              </w:rPr>
              <w:sym w:font="Symbol" w:char="F064"/>
            </w:r>
            <w:r w:rsidRPr="009072DA">
              <w:rPr>
                <w:sz w:val="18"/>
                <w:lang w:val="bg-BG"/>
              </w:rPr>
              <w:t xml:space="preserve"> или </w:t>
            </w:r>
            <m:oMath>
              <m:sSub>
                <m:sSubPr>
                  <m:ctrlPr>
                    <w:rPr>
                      <w:rFonts w:ascii="Cambria Math" w:hAnsi="Cambria Math"/>
                      <w:i/>
                      <w:sz w:val="18"/>
                      <w:szCs w:val="20"/>
                      <w:lang w:val="bg-BG"/>
                    </w:rPr>
                  </m:ctrlPr>
                </m:sSubPr>
                <m:e>
                  <m:r>
                    <w:rPr>
                      <w:rFonts w:ascii="Cambria Math" w:hAnsi="Cambria Math"/>
                      <w:sz w:val="18"/>
                      <w:szCs w:val="20"/>
                      <w:lang w:val="bg-BG"/>
                    </w:rPr>
                    <m:t>δ</m:t>
                  </m:r>
                </m:e>
                <m:sub>
                  <m:r>
                    <w:rPr>
                      <w:rFonts w:ascii="Cambria Math" w:hAnsi="Cambria Math"/>
                      <w:sz w:val="18"/>
                      <w:szCs w:val="20"/>
                      <w:lang w:val="bg-BG"/>
                    </w:rPr>
                    <m:t>a</m:t>
                  </m:r>
                </m:sub>
              </m:sSub>
            </m:oMath>
            <w:r w:rsidRPr="009072DA">
              <w:rPr>
                <w:sz w:val="18"/>
                <w:lang w:val="bg-BG"/>
              </w:rPr>
              <w:t xml:space="preserve"> *) на руля, при който започва действието за отклоняване </w:t>
            </w:r>
            <m:oMath>
              <m:sSub>
                <m:sSubPr>
                  <m:ctrlPr>
                    <w:rPr>
                      <w:rFonts w:ascii="Cambria Math" w:hAnsi="Cambria Math"/>
                      <w:i/>
                      <w:sz w:val="18"/>
                      <w:szCs w:val="20"/>
                      <w:lang w:val="bg-BG"/>
                    </w:rPr>
                  </m:ctrlPr>
                </m:sSubPr>
                <m:e>
                  <m:r>
                    <w:rPr>
                      <w:rFonts w:ascii="Cambria Math" w:hAnsi="Cambria Math"/>
                      <w:sz w:val="18"/>
                      <w:szCs w:val="20"/>
                      <w:lang w:val="bg-BG"/>
                    </w:rPr>
                    <m:t>r</m:t>
                  </m:r>
                </m:e>
                <m:sub>
                  <m:r>
                    <w:rPr>
                      <w:rFonts w:ascii="Cambria Math" w:hAnsi="Cambria Math"/>
                      <w:sz w:val="18"/>
                      <w:szCs w:val="20"/>
                      <w:lang w:val="bg-BG"/>
                    </w:rPr>
                    <m:t>1</m:t>
                  </m:r>
                </m:sub>
              </m:sSub>
            </m:oMath>
            <w:r w:rsidRPr="009072DA">
              <w:rPr>
                <w:sz w:val="18"/>
                <w:lang w:val="bg-BG"/>
              </w:rPr>
              <w:t xml:space="preserve"> = </w:t>
            </w:r>
            <m:oMath>
              <m:sSub>
                <m:sSubPr>
                  <m:ctrlPr>
                    <w:rPr>
                      <w:rFonts w:ascii="Cambria Math" w:hAnsi="Cambria Math"/>
                      <w:i/>
                      <w:sz w:val="18"/>
                      <w:szCs w:val="20"/>
                      <w:lang w:val="bg-BG"/>
                    </w:rPr>
                  </m:ctrlPr>
                </m:sSubPr>
                <m:e>
                  <m:r>
                    <w:rPr>
                      <w:rFonts w:ascii="Cambria Math" w:hAnsi="Cambria Math"/>
                      <w:sz w:val="18"/>
                      <w:szCs w:val="20"/>
                      <w:lang w:val="bg-BG"/>
                    </w:rPr>
                    <m:t>r</m:t>
                  </m:r>
                </m:e>
                <m:sub>
                  <m:r>
                    <w:rPr>
                      <w:rFonts w:ascii="Cambria Math" w:hAnsi="Cambria Math"/>
                      <w:sz w:val="18"/>
                      <w:szCs w:val="20"/>
                      <w:lang w:val="bg-BG"/>
                    </w:rPr>
                    <m:t>3</m:t>
                  </m:r>
                </m:sub>
              </m:sSub>
            </m:oMath>
          </w:p>
        </w:tc>
        <w:tc>
          <w:tcPr>
            <w:tcW w:w="2268" w:type="dxa"/>
            <w:tcBorders>
              <w:top w:val="single" w:sz="6" w:space="0" w:color="auto"/>
              <w:bottom w:val="nil"/>
              <w:right w:val="single" w:sz="6" w:space="0" w:color="auto"/>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r w:rsidRPr="009072DA">
              <w:rPr>
                <w:sz w:val="18"/>
                <w:lang w:val="bg-BG"/>
              </w:rPr>
              <w:t>Забележки</w:t>
            </w:r>
          </w:p>
        </w:tc>
      </w:tr>
      <w:tr w:rsidR="004F47BB" w:rsidRPr="009072DA" w:rsidTr="00D45887">
        <w:tc>
          <w:tcPr>
            <w:tcW w:w="1418" w:type="dxa"/>
            <w:tcBorders>
              <w:top w:val="nil"/>
              <w:left w:val="single" w:sz="6" w:space="0" w:color="auto"/>
              <w:bottom w:val="nil"/>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r w:rsidRPr="009072DA">
              <w:rPr>
                <w:sz w:val="18"/>
                <w:lang w:val="bg-BG"/>
              </w:rPr>
              <w:t>за действието за отклоняване</w:t>
            </w:r>
          </w:p>
        </w:tc>
        <w:tc>
          <w:tcPr>
            <w:tcW w:w="1417" w:type="dxa"/>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m:oMath>
              <m:r>
                <w:rPr>
                  <w:rFonts w:ascii="Cambria Math" w:hAnsi="Cambria Math"/>
                  <w:i/>
                  <w:sz w:val="18"/>
                  <w:szCs w:val="20"/>
                  <w:lang w:val="bg-BG"/>
                </w:rPr>
                <w:sym w:font="Symbol" w:char="F064"/>
              </m:r>
            </m:oMath>
            <w:r w:rsidRPr="009072DA">
              <w:rPr>
                <w:sz w:val="18"/>
                <w:lang w:val="bg-BG"/>
              </w:rPr>
              <w:t xml:space="preserve"> = 20° TB*)</w:t>
            </w:r>
            <w:r w:rsidRPr="009072DA">
              <w:rPr>
                <w:sz w:val="18"/>
                <w:szCs w:val="20"/>
                <w:lang w:val="bg-BG"/>
              </w:rPr>
              <w:br/>
            </w:r>
            <m:oMath>
              <m:sSub>
                <m:sSubPr>
                  <m:ctrlPr>
                    <w:rPr>
                      <w:rFonts w:ascii="Cambria Math" w:hAnsi="Cambria Math"/>
                      <w:i/>
                      <w:sz w:val="18"/>
                      <w:szCs w:val="20"/>
                      <w:lang w:val="bg-BG"/>
                    </w:rPr>
                  </m:ctrlPr>
                </m:sSubPr>
                <m:e>
                  <m:r>
                    <w:rPr>
                      <w:rFonts w:ascii="Cambria Math" w:hAnsi="Cambria Math"/>
                      <w:sz w:val="18"/>
                      <w:szCs w:val="20"/>
                      <w:lang w:val="bg-BG"/>
                    </w:rPr>
                    <m:t>δ</m:t>
                  </m:r>
                </m:e>
                <m:sub>
                  <m:r>
                    <w:rPr>
                      <w:rFonts w:ascii="Cambria Math" w:hAnsi="Cambria Math"/>
                      <w:sz w:val="18"/>
                      <w:szCs w:val="20"/>
                      <w:lang w:val="bg-BG"/>
                    </w:rPr>
                    <m:t>a</m:t>
                  </m:r>
                </m:sub>
              </m:sSub>
            </m:oMath>
            <w:r w:rsidRPr="009072DA">
              <w:rPr>
                <w:sz w:val="18"/>
                <w:lang w:val="bg-BG"/>
              </w:rPr>
              <w:t xml:space="preserve"> = .... TB*)</w:t>
            </w:r>
          </w:p>
        </w:tc>
        <w:tc>
          <w:tcPr>
            <w:tcW w:w="1417" w:type="dxa"/>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m:oMath>
              <m:r>
                <w:rPr>
                  <w:rFonts w:ascii="Cambria Math" w:hAnsi="Cambria Math"/>
                  <w:i/>
                  <w:sz w:val="18"/>
                  <w:szCs w:val="20"/>
                  <w:lang w:val="bg-BG"/>
                </w:rPr>
                <w:sym w:font="Symbol" w:char="F064"/>
              </m:r>
            </m:oMath>
            <w:r w:rsidRPr="009072DA">
              <w:rPr>
                <w:sz w:val="18"/>
                <w:lang w:val="bg-BG"/>
              </w:rPr>
              <w:t xml:space="preserve"> = 20° BB*)</w:t>
            </w:r>
            <w:r w:rsidRPr="009072DA">
              <w:rPr>
                <w:sz w:val="18"/>
                <w:szCs w:val="20"/>
                <w:lang w:val="bg-BG"/>
              </w:rPr>
              <w:br/>
            </w:r>
            <m:oMath>
              <m:sSub>
                <m:sSubPr>
                  <m:ctrlPr>
                    <w:rPr>
                      <w:rFonts w:ascii="Cambria Math" w:hAnsi="Cambria Math"/>
                      <w:i/>
                      <w:sz w:val="18"/>
                      <w:szCs w:val="20"/>
                      <w:lang w:val="bg-BG"/>
                    </w:rPr>
                  </m:ctrlPr>
                </m:sSubPr>
                <m:e>
                  <m:r>
                    <w:rPr>
                      <w:rFonts w:ascii="Cambria Math" w:hAnsi="Cambria Math"/>
                      <w:sz w:val="18"/>
                      <w:szCs w:val="20"/>
                      <w:lang w:val="bg-BG"/>
                    </w:rPr>
                    <m:t>δ</m:t>
                  </m:r>
                </m:e>
                <m:sub>
                  <m:r>
                    <w:rPr>
                      <w:rFonts w:ascii="Cambria Math" w:hAnsi="Cambria Math"/>
                      <w:sz w:val="18"/>
                      <w:szCs w:val="20"/>
                      <w:lang w:val="bg-BG"/>
                    </w:rPr>
                    <m:t>a</m:t>
                  </m:r>
                </m:sub>
              </m:sSub>
            </m:oMath>
            <w:r w:rsidRPr="009072DA">
              <w:rPr>
                <w:sz w:val="18"/>
                <w:lang w:val="bg-BG"/>
              </w:rPr>
              <w:t xml:space="preserve"> = .... BB*)</w:t>
            </w:r>
          </w:p>
        </w:tc>
        <w:tc>
          <w:tcPr>
            <w:tcW w:w="1417" w:type="dxa"/>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m:oMath>
              <m:r>
                <w:rPr>
                  <w:rFonts w:ascii="Cambria Math" w:hAnsi="Cambria Math"/>
                  <w:i/>
                  <w:sz w:val="18"/>
                  <w:szCs w:val="20"/>
                  <w:lang w:val="bg-BG"/>
                </w:rPr>
                <w:sym w:font="Symbol" w:char="F064"/>
              </m:r>
            </m:oMath>
            <w:r w:rsidRPr="009072DA">
              <w:rPr>
                <w:sz w:val="18"/>
                <w:lang w:val="bg-BG"/>
              </w:rPr>
              <w:t xml:space="preserve"> = 45° TB*)</w:t>
            </w:r>
            <w:r w:rsidRPr="009072DA">
              <w:rPr>
                <w:sz w:val="18"/>
                <w:szCs w:val="20"/>
                <w:lang w:val="bg-BG"/>
              </w:rPr>
              <w:br/>
            </w:r>
            <m:oMath>
              <m:sSub>
                <m:sSubPr>
                  <m:ctrlPr>
                    <w:rPr>
                      <w:rFonts w:ascii="Cambria Math" w:hAnsi="Cambria Math"/>
                      <w:i/>
                      <w:sz w:val="18"/>
                      <w:szCs w:val="20"/>
                      <w:lang w:val="bg-BG"/>
                    </w:rPr>
                  </m:ctrlPr>
                </m:sSubPr>
                <m:e>
                  <m:r>
                    <w:rPr>
                      <w:rFonts w:ascii="Cambria Math" w:hAnsi="Cambria Math"/>
                      <w:sz w:val="18"/>
                      <w:szCs w:val="20"/>
                      <w:lang w:val="bg-BG"/>
                    </w:rPr>
                    <m:t>δ</m:t>
                  </m:r>
                </m:e>
                <m:sub>
                  <m:r>
                    <w:rPr>
                      <w:rFonts w:ascii="Cambria Math" w:hAnsi="Cambria Math"/>
                      <w:sz w:val="18"/>
                      <w:szCs w:val="20"/>
                      <w:lang w:val="bg-BG"/>
                    </w:rPr>
                    <m:t>a</m:t>
                  </m:r>
                </m:sub>
              </m:sSub>
            </m:oMath>
            <w:r w:rsidRPr="009072DA">
              <w:rPr>
                <w:sz w:val="18"/>
                <w:lang w:val="bg-BG"/>
              </w:rPr>
              <w:t xml:space="preserve"> = ..... TB*)</w:t>
            </w:r>
          </w:p>
        </w:tc>
        <w:tc>
          <w:tcPr>
            <w:tcW w:w="1417" w:type="dxa"/>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m:oMath>
              <m:r>
                <w:rPr>
                  <w:rFonts w:ascii="Cambria Math" w:hAnsi="Cambria Math"/>
                  <w:i/>
                  <w:sz w:val="18"/>
                  <w:szCs w:val="20"/>
                  <w:lang w:val="bg-BG"/>
                </w:rPr>
                <w:sym w:font="Symbol" w:char="F064"/>
              </m:r>
            </m:oMath>
            <w:r w:rsidRPr="009072DA">
              <w:rPr>
                <w:sz w:val="18"/>
                <w:lang w:val="bg-BG"/>
              </w:rPr>
              <w:t xml:space="preserve"> = 45° BB*)</w:t>
            </w:r>
            <w:r w:rsidRPr="009072DA">
              <w:rPr>
                <w:sz w:val="18"/>
                <w:szCs w:val="20"/>
                <w:lang w:val="bg-BG"/>
              </w:rPr>
              <w:br/>
            </w:r>
            <m:oMath>
              <m:sSub>
                <m:sSubPr>
                  <m:ctrlPr>
                    <w:rPr>
                      <w:rFonts w:ascii="Cambria Math" w:hAnsi="Cambria Math"/>
                      <w:i/>
                      <w:sz w:val="18"/>
                      <w:szCs w:val="20"/>
                      <w:lang w:val="bg-BG"/>
                    </w:rPr>
                  </m:ctrlPr>
                </m:sSubPr>
                <m:e>
                  <m:r>
                    <w:rPr>
                      <w:rFonts w:ascii="Cambria Math" w:hAnsi="Cambria Math"/>
                      <w:sz w:val="18"/>
                      <w:szCs w:val="20"/>
                      <w:lang w:val="bg-BG"/>
                    </w:rPr>
                    <m:t>δ</m:t>
                  </m:r>
                </m:e>
                <m:sub>
                  <m:r>
                    <w:rPr>
                      <w:rFonts w:ascii="Cambria Math" w:hAnsi="Cambria Math"/>
                      <w:sz w:val="18"/>
                      <w:szCs w:val="20"/>
                      <w:lang w:val="bg-BG"/>
                    </w:rPr>
                    <m:t>a</m:t>
                  </m:r>
                </m:sub>
              </m:sSub>
            </m:oMath>
            <w:r w:rsidRPr="009072DA">
              <w:rPr>
                <w:sz w:val="18"/>
                <w:lang w:val="bg-BG"/>
              </w:rPr>
              <w:t xml:space="preserve"> = .... BB*)</w:t>
            </w:r>
          </w:p>
        </w:tc>
        <w:tc>
          <w:tcPr>
            <w:tcW w:w="2268" w:type="dxa"/>
            <w:tcBorders>
              <w:top w:val="nil"/>
              <w:bottom w:val="single" w:sz="6" w:space="0" w:color="auto"/>
              <w:right w:val="single" w:sz="6" w:space="0" w:color="auto"/>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r>
      <w:tr w:rsidR="004F47BB" w:rsidRPr="009072DA" w:rsidTr="00D45887">
        <w:tc>
          <w:tcPr>
            <w:tcW w:w="1418" w:type="dxa"/>
            <w:tcBorders>
              <w:top w:val="nil"/>
              <w:left w:val="single" w:sz="6" w:space="0" w:color="auto"/>
              <w:bottom w:val="single" w:sz="6" w:space="0" w:color="auto"/>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c>
          <w:tcPr>
            <w:tcW w:w="2834" w:type="dxa"/>
            <w:gridSpan w:val="2"/>
            <w:vAlign w:val="center"/>
          </w:tcPr>
          <w:p w:rsidR="004F47BB" w:rsidRPr="009072DA" w:rsidRDefault="002B712C" w:rsidP="004F47BB">
            <w:pPr>
              <w:tabs>
                <w:tab w:val="left" w:pos="284"/>
                <w:tab w:val="left" w:pos="709"/>
                <w:tab w:val="left" w:pos="993"/>
              </w:tabs>
              <w:overflowPunct w:val="0"/>
              <w:adjustRightInd w:val="0"/>
              <w:spacing w:before="40" w:after="40"/>
              <w:jc w:val="center"/>
              <w:textAlignment w:val="baseline"/>
              <w:rPr>
                <w:sz w:val="18"/>
                <w:szCs w:val="20"/>
                <w:lang w:val="bg-BG"/>
              </w:rPr>
            </w:pPr>
            <m:oMath>
              <m:sSub>
                <m:sSubPr>
                  <m:ctrlPr>
                    <w:rPr>
                      <w:rFonts w:ascii="Cambria Math" w:hAnsi="Cambria Math"/>
                      <w:i/>
                      <w:sz w:val="18"/>
                      <w:szCs w:val="20"/>
                      <w:lang w:val="bg-BG"/>
                    </w:rPr>
                  </m:ctrlPr>
                </m:sSubPr>
                <m:e>
                  <m:r>
                    <w:rPr>
                      <w:rFonts w:ascii="Cambria Math" w:hAnsi="Cambria Math"/>
                      <w:sz w:val="18"/>
                      <w:szCs w:val="20"/>
                      <w:lang w:val="bg-BG"/>
                    </w:rPr>
                    <m:t>r</m:t>
                  </m:r>
                </m:e>
                <m:sub>
                  <m:r>
                    <w:rPr>
                      <w:rFonts w:ascii="Cambria Math" w:hAnsi="Cambria Math"/>
                      <w:sz w:val="18"/>
                      <w:szCs w:val="20"/>
                      <w:lang w:val="bg-BG"/>
                    </w:rPr>
                    <m:t>1</m:t>
                  </m:r>
                </m:sub>
              </m:sSub>
            </m:oMath>
            <w:r w:rsidR="007B1046" w:rsidRPr="009072DA">
              <w:rPr>
                <w:sz w:val="18"/>
                <w:lang w:val="bg-BG"/>
              </w:rPr>
              <w:t xml:space="preserve"> = </w:t>
            </w:r>
            <m:oMath>
              <m:sSub>
                <m:sSubPr>
                  <m:ctrlPr>
                    <w:rPr>
                      <w:rFonts w:ascii="Cambria Math" w:hAnsi="Cambria Math"/>
                      <w:i/>
                      <w:sz w:val="18"/>
                      <w:szCs w:val="20"/>
                      <w:lang w:val="bg-BG"/>
                    </w:rPr>
                  </m:ctrlPr>
                </m:sSubPr>
                <m:e>
                  <m:r>
                    <w:rPr>
                      <w:rFonts w:ascii="Cambria Math" w:hAnsi="Cambria Math"/>
                      <w:sz w:val="18"/>
                      <w:szCs w:val="20"/>
                      <w:lang w:val="bg-BG"/>
                    </w:rPr>
                    <m:t>r</m:t>
                  </m:r>
                </m:e>
                <m:sub>
                  <m:r>
                    <w:rPr>
                      <w:rFonts w:ascii="Cambria Math" w:hAnsi="Cambria Math"/>
                      <w:sz w:val="18"/>
                      <w:szCs w:val="20"/>
                      <w:lang w:val="bg-BG"/>
                    </w:rPr>
                    <m:t>3</m:t>
                  </m:r>
                </m:sub>
              </m:sSub>
            </m:oMath>
            <w:r w:rsidR="007B1046" w:rsidRPr="009072DA">
              <w:rPr>
                <w:sz w:val="18"/>
                <w:lang w:val="bg-BG"/>
              </w:rPr>
              <w:t xml:space="preserve"> = ........ °/min</w:t>
            </w:r>
          </w:p>
        </w:tc>
        <w:tc>
          <w:tcPr>
            <w:tcW w:w="2834" w:type="dxa"/>
            <w:gridSpan w:val="2"/>
            <w:vAlign w:val="center"/>
          </w:tcPr>
          <w:p w:rsidR="004F47BB" w:rsidRPr="009072DA" w:rsidRDefault="002B712C" w:rsidP="004F47BB">
            <w:pPr>
              <w:tabs>
                <w:tab w:val="left" w:pos="284"/>
                <w:tab w:val="left" w:pos="709"/>
                <w:tab w:val="left" w:pos="993"/>
              </w:tabs>
              <w:overflowPunct w:val="0"/>
              <w:adjustRightInd w:val="0"/>
              <w:spacing w:before="40" w:after="40"/>
              <w:jc w:val="center"/>
              <w:textAlignment w:val="baseline"/>
              <w:rPr>
                <w:sz w:val="18"/>
                <w:szCs w:val="20"/>
                <w:lang w:val="bg-BG"/>
              </w:rPr>
            </w:pPr>
            <m:oMath>
              <m:sSub>
                <m:sSubPr>
                  <m:ctrlPr>
                    <w:rPr>
                      <w:rFonts w:ascii="Cambria Math" w:hAnsi="Cambria Math"/>
                      <w:i/>
                      <w:sz w:val="18"/>
                      <w:szCs w:val="20"/>
                      <w:lang w:val="bg-BG"/>
                    </w:rPr>
                  </m:ctrlPr>
                </m:sSubPr>
                <m:e>
                  <m:r>
                    <w:rPr>
                      <w:rFonts w:ascii="Cambria Math" w:hAnsi="Cambria Math"/>
                      <w:sz w:val="18"/>
                      <w:szCs w:val="20"/>
                      <w:lang w:val="bg-BG"/>
                    </w:rPr>
                    <m:t>r</m:t>
                  </m:r>
                </m:e>
                <m:sub>
                  <m:r>
                    <w:rPr>
                      <w:rFonts w:ascii="Cambria Math" w:hAnsi="Cambria Math"/>
                      <w:sz w:val="18"/>
                      <w:szCs w:val="20"/>
                      <w:lang w:val="bg-BG"/>
                    </w:rPr>
                    <m:t>1</m:t>
                  </m:r>
                </m:sub>
              </m:sSub>
            </m:oMath>
            <w:r w:rsidR="007B1046" w:rsidRPr="009072DA">
              <w:rPr>
                <w:sz w:val="16"/>
                <w:lang w:val="bg-BG"/>
              </w:rPr>
              <w:t xml:space="preserve"> </w:t>
            </w:r>
            <w:r w:rsidR="007B1046" w:rsidRPr="009072DA">
              <w:rPr>
                <w:sz w:val="18"/>
                <w:lang w:val="bg-BG"/>
              </w:rPr>
              <w:t xml:space="preserve">= </w:t>
            </w:r>
            <m:oMath>
              <m:sSub>
                <m:sSubPr>
                  <m:ctrlPr>
                    <w:rPr>
                      <w:rFonts w:ascii="Cambria Math" w:hAnsi="Cambria Math"/>
                      <w:i/>
                      <w:sz w:val="18"/>
                      <w:szCs w:val="20"/>
                      <w:lang w:val="bg-BG"/>
                    </w:rPr>
                  </m:ctrlPr>
                </m:sSubPr>
                <m:e>
                  <m:r>
                    <w:rPr>
                      <w:rFonts w:ascii="Cambria Math" w:hAnsi="Cambria Math"/>
                      <w:sz w:val="18"/>
                      <w:szCs w:val="20"/>
                      <w:lang w:val="bg-BG"/>
                    </w:rPr>
                    <m:t>r</m:t>
                  </m:r>
                </m:e>
                <m:sub>
                  <m:r>
                    <w:rPr>
                      <w:rFonts w:ascii="Cambria Math" w:hAnsi="Cambria Math"/>
                      <w:sz w:val="18"/>
                      <w:szCs w:val="20"/>
                      <w:lang w:val="bg-BG"/>
                    </w:rPr>
                    <m:t>3</m:t>
                  </m:r>
                </m:sub>
              </m:sSub>
            </m:oMath>
            <w:r w:rsidR="007B1046" w:rsidRPr="009072DA">
              <w:rPr>
                <w:sz w:val="18"/>
                <w:lang w:val="bg-BG"/>
              </w:rPr>
              <w:t xml:space="preserve"> = ........ °/min</w:t>
            </w:r>
          </w:p>
        </w:tc>
        <w:tc>
          <w:tcPr>
            <w:tcW w:w="2268" w:type="dxa"/>
            <w:tcBorders>
              <w:top w:val="nil"/>
              <w:bottom w:val="single" w:sz="6" w:space="0" w:color="auto"/>
              <w:right w:val="single" w:sz="6" w:space="0" w:color="auto"/>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r>
      <w:tr w:rsidR="004F47BB" w:rsidRPr="009072DA" w:rsidTr="00D45887">
        <w:tc>
          <w:tcPr>
            <w:tcW w:w="1418" w:type="dxa"/>
            <w:tcBorders>
              <w:top w:val="nil"/>
              <w:left w:val="single" w:sz="6" w:space="0" w:color="auto"/>
            </w:tcBorders>
            <w:vAlign w:val="center"/>
          </w:tcPr>
          <w:p w:rsidR="004F47BB" w:rsidRPr="009072DA" w:rsidRDefault="002B712C" w:rsidP="004F47BB">
            <w:pPr>
              <w:tabs>
                <w:tab w:val="left" w:pos="284"/>
                <w:tab w:val="left" w:pos="709"/>
                <w:tab w:val="left" w:pos="993"/>
              </w:tabs>
              <w:overflowPunct w:val="0"/>
              <w:adjustRightInd w:val="0"/>
              <w:spacing w:before="40" w:after="40"/>
              <w:jc w:val="center"/>
              <w:textAlignment w:val="baseline"/>
              <w:rPr>
                <w:sz w:val="18"/>
                <w:szCs w:val="20"/>
                <w:lang w:val="bg-BG"/>
              </w:rPr>
            </w:pP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1</m:t>
                  </m:r>
                </m:sub>
              </m:sSub>
            </m:oMath>
            <w:r w:rsidR="007B1046" w:rsidRPr="009072DA">
              <w:rPr>
                <w:sz w:val="18"/>
                <w:lang w:val="bg-BG"/>
              </w:rPr>
              <w:t xml:space="preserve"> [s]</w:t>
            </w:r>
          </w:p>
        </w:tc>
        <w:tc>
          <w:tcPr>
            <w:tcW w:w="1417" w:type="dxa"/>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c>
          <w:tcPr>
            <w:tcW w:w="1417" w:type="dxa"/>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c>
          <w:tcPr>
            <w:tcW w:w="1417" w:type="dxa"/>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c>
          <w:tcPr>
            <w:tcW w:w="1417" w:type="dxa"/>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c>
          <w:tcPr>
            <w:tcW w:w="2268" w:type="dxa"/>
            <w:tcBorders>
              <w:top w:val="nil"/>
              <w:right w:val="single" w:sz="6" w:space="0" w:color="auto"/>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r>
      <w:tr w:rsidR="004F47BB" w:rsidRPr="009072DA" w:rsidTr="00D45887">
        <w:tc>
          <w:tcPr>
            <w:tcW w:w="1418" w:type="dxa"/>
            <w:tcBorders>
              <w:left w:val="single" w:sz="6" w:space="0" w:color="auto"/>
            </w:tcBorders>
            <w:vAlign w:val="center"/>
          </w:tcPr>
          <w:p w:rsidR="004F47BB" w:rsidRPr="009072DA" w:rsidRDefault="002B712C" w:rsidP="004F47BB">
            <w:pPr>
              <w:tabs>
                <w:tab w:val="left" w:pos="284"/>
                <w:tab w:val="left" w:pos="709"/>
                <w:tab w:val="left" w:pos="993"/>
              </w:tabs>
              <w:overflowPunct w:val="0"/>
              <w:adjustRightInd w:val="0"/>
              <w:spacing w:before="40" w:after="40"/>
              <w:jc w:val="center"/>
              <w:textAlignment w:val="baseline"/>
              <w:rPr>
                <w:sz w:val="18"/>
                <w:szCs w:val="20"/>
                <w:lang w:val="bg-BG"/>
              </w:rPr>
            </w:pP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2</m:t>
                  </m:r>
                </m:sub>
              </m:sSub>
            </m:oMath>
            <w:r w:rsidR="007B1046" w:rsidRPr="009072DA">
              <w:rPr>
                <w:sz w:val="18"/>
                <w:lang w:val="bg-BG"/>
              </w:rPr>
              <w:t xml:space="preserve"> [s]</w:t>
            </w:r>
          </w:p>
        </w:tc>
        <w:tc>
          <w:tcPr>
            <w:tcW w:w="1417" w:type="dxa"/>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c>
          <w:tcPr>
            <w:tcW w:w="1417" w:type="dxa"/>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c>
          <w:tcPr>
            <w:tcW w:w="1417" w:type="dxa"/>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c>
          <w:tcPr>
            <w:tcW w:w="1417" w:type="dxa"/>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c>
          <w:tcPr>
            <w:tcW w:w="2268" w:type="dxa"/>
            <w:tcBorders>
              <w:right w:val="single" w:sz="6" w:space="0" w:color="auto"/>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r>
      <w:tr w:rsidR="004F47BB" w:rsidRPr="009072DA" w:rsidTr="00D45887">
        <w:tc>
          <w:tcPr>
            <w:tcW w:w="1418" w:type="dxa"/>
            <w:tcBorders>
              <w:left w:val="single" w:sz="6" w:space="0" w:color="auto"/>
              <w:bottom w:val="nil"/>
            </w:tcBorders>
            <w:vAlign w:val="center"/>
          </w:tcPr>
          <w:p w:rsidR="004F47BB" w:rsidRPr="009072DA" w:rsidRDefault="002B712C" w:rsidP="004F47BB">
            <w:pPr>
              <w:tabs>
                <w:tab w:val="left" w:pos="284"/>
                <w:tab w:val="left" w:pos="709"/>
                <w:tab w:val="left" w:pos="993"/>
              </w:tabs>
              <w:overflowPunct w:val="0"/>
              <w:adjustRightInd w:val="0"/>
              <w:spacing w:before="40" w:after="40"/>
              <w:jc w:val="center"/>
              <w:textAlignment w:val="baseline"/>
              <w:rPr>
                <w:sz w:val="18"/>
                <w:szCs w:val="20"/>
                <w:lang w:val="bg-BG"/>
              </w:rPr>
            </w:pP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3</m:t>
                  </m:r>
                </m:sub>
              </m:sSub>
            </m:oMath>
            <w:r w:rsidR="007B1046" w:rsidRPr="009072DA">
              <w:rPr>
                <w:sz w:val="18"/>
                <w:lang w:val="bg-BG"/>
              </w:rPr>
              <w:t xml:space="preserve"> [s]</w:t>
            </w:r>
          </w:p>
        </w:tc>
        <w:tc>
          <w:tcPr>
            <w:tcW w:w="1417" w:type="dxa"/>
            <w:tcBorders>
              <w:bottom w:val="nil"/>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c>
          <w:tcPr>
            <w:tcW w:w="1417" w:type="dxa"/>
            <w:tcBorders>
              <w:bottom w:val="nil"/>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c>
          <w:tcPr>
            <w:tcW w:w="1417" w:type="dxa"/>
            <w:tcBorders>
              <w:bottom w:val="nil"/>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c>
          <w:tcPr>
            <w:tcW w:w="1417" w:type="dxa"/>
            <w:tcBorders>
              <w:bottom w:val="nil"/>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c>
          <w:tcPr>
            <w:tcW w:w="2268" w:type="dxa"/>
            <w:tcBorders>
              <w:bottom w:val="nil"/>
              <w:right w:val="single" w:sz="6" w:space="0" w:color="auto"/>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r>
      <w:tr w:rsidR="004F47BB" w:rsidRPr="009072DA" w:rsidTr="00D45887">
        <w:tc>
          <w:tcPr>
            <w:tcW w:w="1418" w:type="dxa"/>
            <w:tcBorders>
              <w:top w:val="double" w:sz="6" w:space="0" w:color="auto"/>
              <w:left w:val="single" w:sz="6" w:space="0" w:color="auto"/>
              <w:bottom w:val="single" w:sz="6" w:space="0" w:color="auto"/>
            </w:tcBorders>
            <w:vAlign w:val="center"/>
          </w:tcPr>
          <w:p w:rsidR="004F47BB" w:rsidRPr="009072DA" w:rsidRDefault="002B712C" w:rsidP="004F47BB">
            <w:pPr>
              <w:tabs>
                <w:tab w:val="left" w:pos="284"/>
                <w:tab w:val="left" w:pos="709"/>
                <w:tab w:val="left" w:pos="993"/>
              </w:tabs>
              <w:overflowPunct w:val="0"/>
              <w:adjustRightInd w:val="0"/>
              <w:spacing w:before="40" w:after="40"/>
              <w:jc w:val="center"/>
              <w:textAlignment w:val="baseline"/>
              <w:rPr>
                <w:sz w:val="18"/>
                <w:szCs w:val="20"/>
                <w:lang w:val="bg-BG"/>
              </w:rPr>
            </w:pP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4</m:t>
                  </m:r>
                </m:sub>
              </m:sSub>
            </m:oMath>
            <w:r w:rsidR="007B1046" w:rsidRPr="009072DA">
              <w:rPr>
                <w:sz w:val="18"/>
                <w:lang w:val="bg-BG"/>
              </w:rPr>
              <w:t xml:space="preserve"> [s]</w:t>
            </w:r>
          </w:p>
        </w:tc>
        <w:tc>
          <w:tcPr>
            <w:tcW w:w="1417" w:type="dxa"/>
            <w:tcBorders>
              <w:top w:val="double" w:sz="6" w:space="0" w:color="auto"/>
              <w:bottom w:val="single" w:sz="6" w:space="0" w:color="auto"/>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c>
          <w:tcPr>
            <w:tcW w:w="1417" w:type="dxa"/>
            <w:tcBorders>
              <w:top w:val="double" w:sz="6" w:space="0" w:color="auto"/>
              <w:bottom w:val="single" w:sz="6" w:space="0" w:color="auto"/>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c>
          <w:tcPr>
            <w:tcW w:w="1417" w:type="dxa"/>
            <w:tcBorders>
              <w:top w:val="double" w:sz="6" w:space="0" w:color="auto"/>
              <w:bottom w:val="single" w:sz="6" w:space="0" w:color="auto"/>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c>
          <w:tcPr>
            <w:tcW w:w="1417" w:type="dxa"/>
            <w:tcBorders>
              <w:top w:val="double" w:sz="6" w:space="0" w:color="auto"/>
              <w:bottom w:val="single" w:sz="6" w:space="0" w:color="auto"/>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c>
          <w:tcPr>
            <w:tcW w:w="2268" w:type="dxa"/>
            <w:tcBorders>
              <w:top w:val="double" w:sz="6" w:space="0" w:color="auto"/>
              <w:bottom w:val="single" w:sz="6" w:space="0" w:color="auto"/>
              <w:right w:val="single" w:sz="6" w:space="0" w:color="auto"/>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p>
        </w:tc>
      </w:tr>
      <w:tr w:rsidR="004F47BB" w:rsidRPr="009072DA" w:rsidTr="00D45887">
        <w:tc>
          <w:tcPr>
            <w:tcW w:w="1418" w:type="dxa"/>
            <w:tcBorders>
              <w:top w:val="double" w:sz="6" w:space="0" w:color="auto"/>
              <w:left w:val="single" w:sz="6" w:space="0" w:color="auto"/>
              <w:bottom w:val="single" w:sz="6" w:space="0" w:color="auto"/>
              <w:right w:val="single" w:sz="6" w:space="0" w:color="auto"/>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r w:rsidRPr="009072DA">
              <w:rPr>
                <w:sz w:val="18"/>
                <w:lang w:val="bg-BG"/>
              </w:rPr>
              <w:t xml:space="preserve">Пределна стойност </w:t>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4</m:t>
                  </m:r>
                </m:sub>
              </m:sSub>
            </m:oMath>
            <w:r w:rsidRPr="009072DA">
              <w:rPr>
                <w:sz w:val="18"/>
                <w:lang w:val="bg-BG"/>
              </w:rPr>
              <w:t xml:space="preserve"> в съответствие с точка 2.2</w:t>
            </w:r>
          </w:p>
        </w:tc>
        <w:tc>
          <w:tcPr>
            <w:tcW w:w="7936" w:type="dxa"/>
            <w:gridSpan w:val="5"/>
            <w:tcBorders>
              <w:top w:val="double" w:sz="6" w:space="0" w:color="auto"/>
              <w:left w:val="single" w:sz="6" w:space="0" w:color="auto"/>
              <w:bottom w:val="single" w:sz="6" w:space="0" w:color="auto"/>
              <w:right w:val="single" w:sz="6" w:space="0" w:color="auto"/>
            </w:tcBorders>
            <w:vAlign w:val="center"/>
          </w:tcPr>
          <w:p w:rsidR="004F47BB" w:rsidRPr="009072DA" w:rsidRDefault="004F47BB" w:rsidP="004F47BB">
            <w:pPr>
              <w:tabs>
                <w:tab w:val="left" w:pos="284"/>
                <w:tab w:val="left" w:pos="709"/>
                <w:tab w:val="left" w:pos="993"/>
              </w:tabs>
              <w:overflowPunct w:val="0"/>
              <w:adjustRightInd w:val="0"/>
              <w:spacing w:before="40" w:after="40"/>
              <w:jc w:val="center"/>
              <w:textAlignment w:val="baseline"/>
              <w:rPr>
                <w:sz w:val="18"/>
                <w:szCs w:val="20"/>
                <w:lang w:val="bg-BG"/>
              </w:rPr>
            </w:pPr>
            <w:r w:rsidRPr="009072DA">
              <w:rPr>
                <w:sz w:val="18"/>
                <w:lang w:val="bg-BG"/>
              </w:rPr>
              <w:t xml:space="preserve">Пределна стойност </w:t>
            </w:r>
            <m:oMath>
              <m:sSub>
                <m:sSubPr>
                  <m:ctrlPr>
                    <w:rPr>
                      <w:rFonts w:ascii="Cambria Math" w:hAnsi="Cambria Math"/>
                      <w:i/>
                      <w:szCs w:val="20"/>
                      <w:lang w:val="bg-BG"/>
                    </w:rPr>
                  </m:ctrlPr>
                </m:sSubPr>
                <m:e>
                  <m:r>
                    <w:rPr>
                      <w:rFonts w:ascii="Cambria Math" w:hAnsi="Cambria Math"/>
                      <w:szCs w:val="20"/>
                      <w:lang w:val="bg-BG"/>
                    </w:rPr>
                    <m:t>t</m:t>
                  </m:r>
                </m:e>
                <m:sub>
                  <m:r>
                    <w:rPr>
                      <w:rFonts w:ascii="Cambria Math" w:hAnsi="Cambria Math"/>
                      <w:szCs w:val="20"/>
                      <w:lang w:val="bg-BG"/>
                    </w:rPr>
                    <m:t>4</m:t>
                  </m:r>
                </m:sub>
              </m:sSub>
            </m:oMath>
            <w:r w:rsidRPr="009072DA">
              <w:rPr>
                <w:sz w:val="18"/>
                <w:lang w:val="bg-BG"/>
              </w:rPr>
              <w:t xml:space="preserve"> = ....................... [s]</w:t>
            </w:r>
          </w:p>
        </w:tc>
      </w:tr>
    </w:tbl>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spacing w:after="120"/>
        <w:textAlignment w:val="baseline"/>
        <w:rPr>
          <w:szCs w:val="20"/>
          <w:lang w:val="bg-BG"/>
        </w:rPr>
      </w:pPr>
      <w:r w:rsidRPr="009072DA">
        <w:rPr>
          <w:b/>
          <w:lang w:val="bg-BG"/>
        </w:rPr>
        <w:t>Способност за извършване на поворот *)</w:t>
      </w:r>
    </w:p>
    <w:p w:rsidR="004F47BB" w:rsidRPr="009072DA" w:rsidRDefault="004F47BB" w:rsidP="004F47BB">
      <w:pPr>
        <w:tabs>
          <w:tab w:val="left" w:pos="4678"/>
          <w:tab w:val="left" w:leader="dot" w:pos="6804"/>
        </w:tabs>
        <w:overflowPunct w:val="0"/>
        <w:adjustRightInd w:val="0"/>
        <w:spacing w:after="120"/>
        <w:textAlignment w:val="baseline"/>
        <w:rPr>
          <w:szCs w:val="20"/>
          <w:lang w:val="bg-BG"/>
        </w:rPr>
      </w:pPr>
      <w:r w:rsidRPr="009072DA">
        <w:rPr>
          <w:lang w:val="bg-BG"/>
        </w:rPr>
        <w:t>Географско местоположение в началото на маневрата за поворот:</w:t>
      </w:r>
      <w:r w:rsidRPr="009072DA">
        <w:rPr>
          <w:lang w:val="bg-BG"/>
        </w:rPr>
        <w:tab/>
        <w:t xml:space="preserve">p.k. </w:t>
      </w:r>
      <w:r w:rsidRPr="009072DA">
        <w:rPr>
          <w:lang w:val="bg-BG"/>
        </w:rPr>
        <w:tab/>
        <w:t xml:space="preserve"> </w:t>
      </w:r>
    </w:p>
    <w:p w:rsidR="004F47BB" w:rsidRPr="009072DA" w:rsidRDefault="004F47BB" w:rsidP="004F47BB">
      <w:pPr>
        <w:tabs>
          <w:tab w:val="left" w:pos="4678"/>
          <w:tab w:val="left" w:leader="dot" w:pos="6804"/>
        </w:tabs>
        <w:overflowPunct w:val="0"/>
        <w:adjustRightInd w:val="0"/>
        <w:textAlignment w:val="baseline"/>
        <w:rPr>
          <w:szCs w:val="20"/>
          <w:lang w:val="bg-BG"/>
        </w:rPr>
      </w:pPr>
      <w:r w:rsidRPr="009072DA">
        <w:rPr>
          <w:lang w:val="bg-BG"/>
        </w:rPr>
        <w:t>Географско местоположение в края на маневрата за поворот:</w:t>
      </w:r>
      <w:r w:rsidRPr="009072DA">
        <w:rPr>
          <w:lang w:val="bg-BG"/>
        </w:rPr>
        <w:tab/>
        <w:t xml:space="preserve">p.k. </w:t>
      </w:r>
      <w:r w:rsidRPr="009072DA">
        <w:rPr>
          <w:lang w:val="bg-BG"/>
        </w:rPr>
        <w:tab/>
        <w:t xml:space="preserve"> </w:t>
      </w:r>
    </w:p>
    <w:p w:rsidR="004F47BB" w:rsidRPr="009072DA" w:rsidRDefault="004F47BB" w:rsidP="004F47BB">
      <w:pPr>
        <w:tabs>
          <w:tab w:val="left" w:leader="dot" w:pos="6804"/>
        </w:tabs>
        <w:overflowPunct w:val="0"/>
        <w:adjustRightInd w:val="0"/>
        <w:textAlignment w:val="baseline"/>
        <w:rPr>
          <w:szCs w:val="20"/>
          <w:lang w:val="bg-BG"/>
        </w:rPr>
      </w:pPr>
    </w:p>
    <w:p w:rsidR="004F47BB" w:rsidRPr="009072DA" w:rsidRDefault="004F47BB" w:rsidP="004F47BB">
      <w:pPr>
        <w:tabs>
          <w:tab w:val="left" w:leader="dot" w:pos="6804"/>
        </w:tabs>
        <w:overflowPunct w:val="0"/>
        <w:adjustRightInd w:val="0"/>
        <w:spacing w:after="80"/>
        <w:textAlignment w:val="baseline"/>
        <w:rPr>
          <w:szCs w:val="20"/>
          <w:lang w:val="bg-BG"/>
        </w:rPr>
      </w:pPr>
      <w:r w:rsidRPr="009072DA">
        <w:rPr>
          <w:b/>
          <w:lang w:val="bg-BG"/>
        </w:rPr>
        <w:t>Рулеви апарат</w:t>
      </w:r>
    </w:p>
    <w:p w:rsidR="004F47BB" w:rsidRPr="009072DA" w:rsidRDefault="004F47BB" w:rsidP="004F47BB">
      <w:pPr>
        <w:tabs>
          <w:tab w:val="left" w:pos="6804"/>
          <w:tab w:val="left" w:leader="dot" w:pos="8647"/>
        </w:tabs>
        <w:overflowPunct w:val="0"/>
        <w:adjustRightInd w:val="0"/>
        <w:spacing w:after="120"/>
        <w:textAlignment w:val="baseline"/>
        <w:rPr>
          <w:szCs w:val="20"/>
          <w:lang w:val="bg-BG"/>
        </w:rPr>
      </w:pPr>
      <w:r w:rsidRPr="009072DA">
        <w:rPr>
          <w:lang w:val="bg-BG"/>
        </w:rPr>
        <w:t>Вид на операцията: ръчна/задвижвана*):</w:t>
      </w:r>
    </w:p>
    <w:p w:rsidR="004F47BB" w:rsidRPr="009072DA" w:rsidRDefault="004F47BB" w:rsidP="004F47BB">
      <w:pPr>
        <w:tabs>
          <w:tab w:val="left" w:pos="6804"/>
          <w:tab w:val="left" w:leader="dot" w:pos="8647"/>
        </w:tabs>
        <w:overflowPunct w:val="0"/>
        <w:adjustRightInd w:val="0"/>
        <w:spacing w:after="120"/>
        <w:textAlignment w:val="baseline"/>
        <w:rPr>
          <w:szCs w:val="20"/>
          <w:lang w:val="bg-BG"/>
        </w:rPr>
      </w:pPr>
      <w:r w:rsidRPr="009072DA">
        <w:rPr>
          <w:lang w:val="bg-BG"/>
        </w:rPr>
        <w:t xml:space="preserve">Ъгъл на руля за един оборот на щурвала*): </w:t>
      </w:r>
      <w:r w:rsidRPr="009072DA">
        <w:rPr>
          <w:lang w:val="bg-BG"/>
        </w:rPr>
        <w:br/>
      </w:r>
      <w:r w:rsidRPr="009072DA">
        <w:rPr>
          <w:lang w:val="bg-BG"/>
        </w:rPr>
        <w:tab/>
      </w:r>
      <w:r w:rsidRPr="009072DA">
        <w:rPr>
          <w:lang w:val="bg-BG"/>
        </w:rPr>
        <w:tab/>
        <w:t xml:space="preserve"> °</w:t>
      </w:r>
    </w:p>
    <w:p w:rsidR="004F47BB" w:rsidRPr="009072DA" w:rsidRDefault="004F47BB" w:rsidP="004F47BB">
      <w:pPr>
        <w:tabs>
          <w:tab w:val="left" w:pos="6804"/>
          <w:tab w:val="left" w:leader="dot" w:pos="8647"/>
        </w:tabs>
        <w:overflowPunct w:val="0"/>
        <w:adjustRightInd w:val="0"/>
        <w:spacing w:after="120"/>
        <w:textAlignment w:val="baseline"/>
        <w:rPr>
          <w:szCs w:val="20"/>
          <w:lang w:val="bg-BG"/>
        </w:rPr>
      </w:pPr>
      <w:r w:rsidRPr="009072DA">
        <w:rPr>
          <w:lang w:val="bg-BG"/>
        </w:rPr>
        <w:t>Ъглова скорост на руля в целия му диапазон*):</w:t>
      </w:r>
      <w:r w:rsidRPr="009072DA">
        <w:rPr>
          <w:lang w:val="bg-BG"/>
        </w:rPr>
        <w:tab/>
      </w:r>
      <w:r w:rsidRPr="009072DA">
        <w:rPr>
          <w:lang w:val="bg-BG"/>
        </w:rPr>
        <w:tab/>
        <w:t xml:space="preserve"> °/s</w:t>
      </w:r>
    </w:p>
    <w:p w:rsidR="004F47BB" w:rsidRPr="009072DA" w:rsidRDefault="004F47BB" w:rsidP="004F47BB">
      <w:pPr>
        <w:tabs>
          <w:tab w:val="left" w:pos="6804"/>
          <w:tab w:val="left" w:leader="dot" w:pos="8647"/>
        </w:tabs>
        <w:overflowPunct w:val="0"/>
        <w:adjustRightInd w:val="0"/>
        <w:textAlignment w:val="baseline"/>
        <w:rPr>
          <w:szCs w:val="20"/>
          <w:lang w:val="bg-BG"/>
        </w:rPr>
      </w:pPr>
      <w:r w:rsidRPr="009072DA">
        <w:rPr>
          <w:lang w:val="bg-BG"/>
        </w:rPr>
        <w:t>Ъглова скорост на руля в диапазона от 35° към левия борд до 35° към десния борд *):</w:t>
      </w:r>
      <w:r w:rsidRPr="009072DA">
        <w:rPr>
          <w:lang w:val="bg-BG"/>
        </w:rPr>
        <w:tab/>
      </w:r>
      <w:r w:rsidRPr="009072DA">
        <w:rPr>
          <w:lang w:val="bg-BG"/>
        </w:rPr>
        <w:tab/>
        <w:t xml:space="preserve"> °/s</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sectPr w:rsidR="004F47BB" w:rsidRPr="009072DA" w:rsidSect="00D45887">
          <w:headerReference w:type="default" r:id="rId137"/>
          <w:footerReference w:type="default" r:id="rId138"/>
          <w:headerReference w:type="first" r:id="rId139"/>
          <w:footerReference w:type="first" r:id="rId140"/>
          <w:footnotePr>
            <w:numRestart w:val="eachPage"/>
          </w:footnotePr>
          <w:pgSz w:w="11907" w:h="16840" w:code="9"/>
          <w:pgMar w:top="1418" w:right="1418" w:bottom="1418" w:left="1418" w:header="680" w:footer="680" w:gutter="0"/>
          <w:cols w:space="720"/>
          <w:docGrid w:linePitch="326"/>
        </w:sectPr>
      </w:pPr>
    </w:p>
    <w:p w:rsidR="004F47BB" w:rsidRPr="009072DA" w:rsidRDefault="004F47BB" w:rsidP="005B46C9">
      <w:pPr>
        <w:pStyle w:val="ES-Titre2ESI"/>
      </w:pPr>
      <w:bookmarkStart w:id="742" w:name="_Toc491854354"/>
      <w:bookmarkStart w:id="743" w:name="_Toc535827795"/>
      <w:r w:rsidRPr="009072DA">
        <w:lastRenderedPageBreak/>
        <w:t>ESI-II-5</w:t>
      </w:r>
      <w:r w:rsidRPr="009072DA">
        <w:br/>
        <w:t>Измервания на шума</w:t>
      </w:r>
      <w:bookmarkEnd w:id="742"/>
      <w:bookmarkEnd w:id="743"/>
    </w:p>
    <w:p w:rsidR="004F47BB" w:rsidRPr="009072DA" w:rsidRDefault="004F47BB" w:rsidP="004F47BB">
      <w:pPr>
        <w:jc w:val="center"/>
        <w:rPr>
          <w:rFonts w:cs="Arial"/>
          <w:b/>
          <w:bCs/>
          <w:szCs w:val="20"/>
          <w:lang w:val="bg-BG"/>
        </w:rPr>
      </w:pPr>
    </w:p>
    <w:p w:rsidR="004F47BB" w:rsidRPr="009072DA" w:rsidRDefault="004F47BB" w:rsidP="004F47BB">
      <w:pPr>
        <w:ind w:left="426"/>
        <w:jc w:val="center"/>
        <w:rPr>
          <w:rFonts w:cs="Arial"/>
          <w:b/>
          <w:bCs/>
          <w:szCs w:val="20"/>
          <w:lang w:val="bg-BG"/>
        </w:rPr>
      </w:pPr>
      <w:r w:rsidRPr="009072DA">
        <w:rPr>
          <w:b/>
          <w:lang w:val="bg-BG"/>
        </w:rPr>
        <w:t>(член 3.04, точка 7, член 7.01, точка 2, член 7.03, точка 6, член 7.09, точка 3, член 8.08, член 14.09, точка 3, член 15.02, точка 5, член 22.02, точка 3, буква б), и член 22.03, точка 1)</w:t>
      </w:r>
    </w:p>
    <w:p w:rsidR="004F47BB" w:rsidRPr="009072DA" w:rsidRDefault="004F47BB" w:rsidP="004F47BB">
      <w:pPr>
        <w:rPr>
          <w:rFonts w:cs="Arial"/>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1.</w:t>
      </w:r>
      <w:r w:rsidRPr="009072DA">
        <w:rPr>
          <w:lang w:val="bg-BG"/>
        </w:rPr>
        <w:tab/>
      </w:r>
      <w:r w:rsidRPr="009072DA">
        <w:rPr>
          <w:b/>
          <w:color w:val="000000"/>
          <w:lang w:val="bg-BG"/>
        </w:rPr>
        <w:t>Общи положения</w:t>
      </w:r>
    </w:p>
    <w:p w:rsidR="004F47BB" w:rsidRPr="009072DA" w:rsidRDefault="004F47BB" w:rsidP="004F47BB">
      <w:pPr>
        <w:tabs>
          <w:tab w:val="left" w:pos="426"/>
          <w:tab w:val="left" w:pos="1021"/>
        </w:tabs>
        <w:ind w:left="426" w:hanging="426"/>
        <w:rPr>
          <w:rFonts w:cs="Arial"/>
          <w:snapToGrid w:val="0"/>
          <w:szCs w:val="20"/>
          <w:lang w:val="bg-BG"/>
        </w:rPr>
      </w:pPr>
    </w:p>
    <w:p w:rsidR="004F47BB" w:rsidRPr="009072DA" w:rsidRDefault="004F47BB" w:rsidP="004F47BB">
      <w:pPr>
        <w:spacing w:line="240" w:lineRule="atLeast"/>
        <w:ind w:left="567"/>
        <w:rPr>
          <w:snapToGrid w:val="0"/>
          <w:lang w:val="bg-BG"/>
        </w:rPr>
      </w:pPr>
      <w:r w:rsidRPr="009072DA">
        <w:rPr>
          <w:lang w:val="bg-BG"/>
        </w:rPr>
        <w:t>С цел да се проверят нивата на максималното звуково налягане, посочени в стандарта, трябва да се определят измерваните величини, процедурите на измерване и условията за количественото възпроизводимо записване на нивата на звуковото налягане в съответствие с точки 2 и 3.</w:t>
      </w:r>
    </w:p>
    <w:p w:rsidR="004F47BB" w:rsidRPr="009072DA" w:rsidRDefault="004F47BB" w:rsidP="004F47BB">
      <w:pPr>
        <w:tabs>
          <w:tab w:val="left" w:pos="426"/>
        </w:tabs>
        <w:ind w:left="426" w:hanging="426"/>
        <w:rPr>
          <w:rFonts w:cs="Arial"/>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w:t>
      </w:r>
      <w:r w:rsidRPr="009072DA">
        <w:rPr>
          <w:lang w:val="bg-BG"/>
        </w:rPr>
        <w:tab/>
      </w:r>
      <w:r w:rsidRPr="009072DA">
        <w:rPr>
          <w:b/>
          <w:color w:val="000000"/>
          <w:lang w:val="bg-BG"/>
        </w:rPr>
        <w:t>Инструменти за измерване</w:t>
      </w:r>
    </w:p>
    <w:p w:rsidR="004F47BB" w:rsidRPr="009072DA" w:rsidRDefault="004F47BB" w:rsidP="004F47BB">
      <w:pPr>
        <w:spacing w:line="240" w:lineRule="atLeast"/>
        <w:ind w:left="567"/>
        <w:rPr>
          <w:snapToGrid w:val="0"/>
          <w:lang w:val="bg-BG"/>
        </w:rPr>
      </w:pPr>
    </w:p>
    <w:p w:rsidR="004F47BB" w:rsidRPr="009072DA" w:rsidRDefault="004F47BB" w:rsidP="004F47BB">
      <w:pPr>
        <w:spacing w:line="240" w:lineRule="atLeast"/>
        <w:ind w:left="567"/>
        <w:rPr>
          <w:lang w:val="bg-BG"/>
        </w:rPr>
      </w:pPr>
      <w:r w:rsidRPr="009072DA">
        <w:rPr>
          <w:lang w:val="bg-BG"/>
        </w:rPr>
        <w:t>Инструментът за измерване трябва да отговаря на изискванията за клас 1 съгласно европейски стандарт EN 61672</w:t>
      </w:r>
      <w:r w:rsidRPr="009072DA">
        <w:rPr>
          <w:lang w:val="bg-BG"/>
        </w:rPr>
        <w:softHyphen/>
        <w:t>1 : 2003.</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szCs w:val="20"/>
          <w:lang w:val="bg-BG"/>
        </w:rPr>
      </w:pPr>
      <w:r w:rsidRPr="009072DA">
        <w:rPr>
          <w:lang w:val="bg-BG"/>
        </w:rPr>
        <w:t>Преди и след всеки набор от измервания на микрофона се поставя калибратор клас 1 съгласно европейски стандарт 60942: 2003 с цел да се калибрира измервателната система. Съответствието на калибратора с изискванията на европейски стандарт EN 60942: 2003 се проверява веднъж годишно. Съответствието на измервателното оборудване с изискванията на EN 61672—1: 2003 се проверява на всеки две години.</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3.</w:t>
      </w:r>
      <w:r w:rsidRPr="009072DA">
        <w:rPr>
          <w:lang w:val="bg-BG"/>
        </w:rPr>
        <w:tab/>
      </w:r>
      <w:r w:rsidRPr="009072DA">
        <w:rPr>
          <w:b/>
          <w:color w:val="000000"/>
          <w:lang w:val="bg-BG"/>
        </w:rPr>
        <w:t>Измервания на шума</w:t>
      </w:r>
    </w:p>
    <w:p w:rsidR="004F47BB" w:rsidRPr="009072DA" w:rsidRDefault="004F47BB" w:rsidP="004F47BB">
      <w:pPr>
        <w:tabs>
          <w:tab w:val="left" w:pos="426"/>
        </w:tabs>
        <w:rPr>
          <w:rFonts w:cs="Arial"/>
          <w:szCs w:val="20"/>
          <w:lang w:val="bg-BG"/>
        </w:rPr>
      </w:pPr>
    </w:p>
    <w:p w:rsidR="004F47BB" w:rsidRPr="009072DA" w:rsidRDefault="004F47BB" w:rsidP="004F47BB">
      <w:pPr>
        <w:spacing w:line="240" w:lineRule="atLeast"/>
        <w:ind w:left="567" w:hanging="567"/>
        <w:rPr>
          <w:lang w:val="bg-BG"/>
        </w:rPr>
      </w:pPr>
      <w:r w:rsidRPr="009072DA">
        <w:rPr>
          <w:lang w:val="bg-BG"/>
        </w:rPr>
        <w:t>3.1</w:t>
      </w:r>
      <w:r w:rsidRPr="009072DA">
        <w:rPr>
          <w:lang w:val="bg-BG"/>
        </w:rPr>
        <w:tab/>
        <w:t>На борда на плавателното средство</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Измерванията се извършват в съответствие с международен стандарт ISO 2923: 2003, раздели от 5 до 8, като се измерват само нива на звуковото налягане, претеглени по крива А.</w:t>
      </w:r>
    </w:p>
    <w:p w:rsidR="004F47BB" w:rsidRPr="009072DA" w:rsidRDefault="004F47BB" w:rsidP="004F47BB">
      <w:pPr>
        <w:spacing w:line="240" w:lineRule="atLeast"/>
        <w:ind w:left="567"/>
        <w:rPr>
          <w:snapToGrid w:val="0"/>
          <w:lang w:val="bg-BG"/>
        </w:rPr>
      </w:pPr>
    </w:p>
    <w:p w:rsidR="004F47BB" w:rsidRPr="009072DA" w:rsidRDefault="004F47BB" w:rsidP="004F47BB">
      <w:pPr>
        <w:spacing w:line="240" w:lineRule="atLeast"/>
        <w:ind w:left="567" w:hanging="567"/>
        <w:rPr>
          <w:lang w:val="bg-BG"/>
        </w:rPr>
      </w:pPr>
      <w:r w:rsidRPr="009072DA">
        <w:rPr>
          <w:lang w:val="bg-BG"/>
        </w:rPr>
        <w:t>3.2</w:t>
      </w:r>
      <w:r w:rsidRPr="009072DA">
        <w:rPr>
          <w:lang w:val="bg-BG"/>
        </w:rPr>
        <w:tab/>
        <w:t>Шум, излъчван във въздуха от плавателното средство</w:t>
      </w:r>
    </w:p>
    <w:p w:rsidR="004F47BB" w:rsidRPr="009072DA" w:rsidRDefault="004F47BB" w:rsidP="004F47BB">
      <w:pPr>
        <w:spacing w:line="240" w:lineRule="atLeast"/>
        <w:ind w:left="567"/>
        <w:rPr>
          <w:snapToGrid w:val="0"/>
          <w:lang w:val="bg-BG"/>
        </w:rPr>
      </w:pPr>
    </w:p>
    <w:p w:rsidR="004F47BB" w:rsidRPr="009072DA" w:rsidRDefault="004F47BB" w:rsidP="004F47BB">
      <w:pPr>
        <w:spacing w:line="240" w:lineRule="atLeast"/>
        <w:ind w:left="567"/>
        <w:rPr>
          <w:snapToGrid w:val="0"/>
          <w:lang w:val="bg-BG"/>
        </w:rPr>
      </w:pPr>
      <w:r w:rsidRPr="009072DA">
        <w:rPr>
          <w:lang w:val="bg-BG"/>
        </w:rPr>
        <w:lastRenderedPageBreak/>
        <w:t>Емисиите на шум от плавателни средства по вътрешни водни пътища и в пристанища се определят посредством измервания в съответствие с международен стандарт ISO 22922: 2013, раздели от 7 до 11. Вратите и прозорците на машинните отделения трябва да бъдат затворени по време на измерванията.</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4.</w:t>
      </w:r>
      <w:r w:rsidRPr="009072DA">
        <w:rPr>
          <w:lang w:val="bg-BG"/>
        </w:rPr>
        <w:tab/>
      </w:r>
      <w:r w:rsidRPr="009072DA">
        <w:rPr>
          <w:b/>
          <w:color w:val="000000"/>
          <w:lang w:val="bg-BG"/>
        </w:rPr>
        <w:t>Документация</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Измерванията се записват съгласно „Протокол от измерванията на шума“ (приложение).</w:t>
      </w:r>
    </w:p>
    <w:p w:rsidR="004F47BB" w:rsidRPr="009072DA" w:rsidRDefault="004F47BB" w:rsidP="004F47BB">
      <w:pPr>
        <w:spacing w:line="240" w:lineRule="atLeast"/>
        <w:ind w:left="567"/>
        <w:rPr>
          <w:lang w:val="bg-BG"/>
        </w:rPr>
      </w:pPr>
    </w:p>
    <w:p w:rsidR="004F47BB" w:rsidRPr="009072DA" w:rsidRDefault="004F47BB" w:rsidP="004F47BB">
      <w:pPr>
        <w:spacing w:before="120" w:after="120"/>
        <w:ind w:left="709"/>
        <w:jc w:val="center"/>
        <w:rPr>
          <w:rFonts w:cs="Arial"/>
          <w:b/>
          <w:bCs/>
          <w:lang w:val="bg-BG"/>
        </w:rPr>
      </w:pPr>
      <w:r w:rsidRPr="009072DA">
        <w:rPr>
          <w:lang w:val="bg-BG"/>
        </w:rPr>
        <w:br w:type="page"/>
      </w:r>
      <w:r w:rsidRPr="009072DA">
        <w:rPr>
          <w:b/>
          <w:lang w:val="bg-BG"/>
        </w:rPr>
        <w:lastRenderedPageBreak/>
        <w:t>Протокол от измерванията на шума</w:t>
      </w:r>
    </w:p>
    <w:p w:rsidR="004F47BB" w:rsidRPr="009072DA" w:rsidRDefault="004F47BB" w:rsidP="004F47BB">
      <w:pPr>
        <w:tabs>
          <w:tab w:val="left" w:pos="2127"/>
        </w:tabs>
        <w:spacing w:after="40"/>
        <w:ind w:left="2127" w:hanging="284"/>
        <w:rPr>
          <w:rFonts w:cs="Arial"/>
          <w:szCs w:val="20"/>
          <w:lang w:val="bg-BG"/>
        </w:rPr>
      </w:pPr>
      <w:r w:rsidRPr="009072DA">
        <w:rPr>
          <w:b/>
          <w:lang w:val="bg-BG"/>
        </w:rPr>
        <w:t>-</w:t>
      </w:r>
      <w:r w:rsidRPr="009072DA">
        <w:rPr>
          <w:lang w:val="bg-BG"/>
        </w:rPr>
        <w:tab/>
      </w:r>
      <w:r w:rsidRPr="009072DA">
        <w:rPr>
          <w:b/>
          <w:lang w:val="bg-BG"/>
        </w:rPr>
        <w:t>на борда на плавателно средство в съответствие с международен стандарт ISO 2923: 2003</w:t>
      </w:r>
    </w:p>
    <w:p w:rsidR="004F47BB" w:rsidRPr="009072DA" w:rsidRDefault="004F47BB" w:rsidP="004F47BB">
      <w:pPr>
        <w:tabs>
          <w:tab w:val="left" w:pos="851"/>
          <w:tab w:val="left" w:pos="2127"/>
        </w:tabs>
        <w:ind w:left="2127" w:hanging="284"/>
        <w:rPr>
          <w:rFonts w:cs="Arial"/>
          <w:szCs w:val="20"/>
          <w:lang w:val="bg-BG"/>
        </w:rPr>
      </w:pPr>
      <w:r w:rsidRPr="009072DA">
        <w:rPr>
          <w:b/>
          <w:lang w:val="bg-BG"/>
        </w:rPr>
        <w:t>-</w:t>
      </w:r>
      <w:r w:rsidRPr="009072DA">
        <w:rPr>
          <w:lang w:val="bg-BG"/>
        </w:rPr>
        <w:tab/>
      </w:r>
      <w:r w:rsidRPr="009072DA">
        <w:rPr>
          <w:b/>
          <w:lang w:val="bg-BG"/>
        </w:rPr>
        <w:t>въздушен шум, издаван от плавателно средство в съответствие с европейски стандарт EN ISO 2922: 2013</w:t>
      </w:r>
      <w:r w:rsidRPr="009072DA">
        <w:rPr>
          <w:vertAlign w:val="superscript"/>
          <w:lang w:val="bg-BG"/>
        </w:rPr>
        <w:t>*)</w:t>
      </w:r>
    </w:p>
    <w:p w:rsidR="004F47BB" w:rsidRPr="009072DA" w:rsidRDefault="004F47BB" w:rsidP="004F47BB">
      <w:pPr>
        <w:spacing w:before="60"/>
        <w:ind w:left="709"/>
        <w:rPr>
          <w:rFonts w:cs="Arial"/>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A</w:t>
      </w:r>
      <w:r w:rsidRPr="009072DA">
        <w:rPr>
          <w:lang w:val="bg-BG"/>
        </w:rPr>
        <w:tab/>
      </w:r>
      <w:r w:rsidRPr="009072DA">
        <w:rPr>
          <w:b/>
          <w:color w:val="000000"/>
          <w:lang w:val="bg-BG"/>
        </w:rPr>
        <w:t>Данни за плавателното средство</w:t>
      </w:r>
    </w:p>
    <w:p w:rsidR="004F47BB" w:rsidRPr="009072DA" w:rsidRDefault="004F47BB" w:rsidP="004F47BB">
      <w:pPr>
        <w:tabs>
          <w:tab w:val="left" w:pos="567"/>
          <w:tab w:val="left" w:pos="709"/>
          <w:tab w:val="left" w:leader="dot" w:pos="9072"/>
        </w:tabs>
        <w:spacing w:before="120"/>
        <w:ind w:left="567" w:hanging="567"/>
        <w:rPr>
          <w:rFonts w:cs="Arial"/>
          <w:snapToGrid w:val="0"/>
          <w:szCs w:val="20"/>
          <w:lang w:val="bg-BG"/>
        </w:rPr>
      </w:pPr>
      <w:r w:rsidRPr="009072DA">
        <w:rPr>
          <w:lang w:val="bg-BG"/>
        </w:rPr>
        <w:t>1.</w:t>
      </w:r>
      <w:r w:rsidRPr="009072DA">
        <w:rPr>
          <w:lang w:val="bg-BG"/>
        </w:rPr>
        <w:tab/>
        <w:t xml:space="preserve">Вид и име на плавателното средство: </w:t>
      </w:r>
      <w:r w:rsidRPr="009072DA">
        <w:rPr>
          <w:lang w:val="bg-BG"/>
        </w:rPr>
        <w:tab/>
      </w:r>
    </w:p>
    <w:p w:rsidR="004F47BB" w:rsidRPr="009072DA" w:rsidRDefault="004F47BB" w:rsidP="004F47BB">
      <w:pPr>
        <w:tabs>
          <w:tab w:val="left" w:pos="567"/>
          <w:tab w:val="left" w:pos="709"/>
          <w:tab w:val="left" w:leader="dot" w:pos="9072"/>
        </w:tabs>
        <w:spacing w:before="120"/>
        <w:ind w:left="567" w:hanging="567"/>
        <w:rPr>
          <w:rFonts w:cs="Arial"/>
          <w:snapToGrid w:val="0"/>
          <w:szCs w:val="20"/>
          <w:lang w:val="bg-BG"/>
        </w:rPr>
      </w:pPr>
      <w:r w:rsidRPr="009072DA">
        <w:rPr>
          <w:lang w:val="bg-BG"/>
        </w:rPr>
        <w:tab/>
        <w:t xml:space="preserve">Уникален европейски идентификационен номер на плавателния съд: </w:t>
      </w:r>
      <w:r w:rsidRPr="009072DA">
        <w:rPr>
          <w:lang w:val="bg-BG"/>
        </w:rPr>
        <w:tab/>
      </w:r>
    </w:p>
    <w:p w:rsidR="004F47BB" w:rsidRPr="009072DA" w:rsidRDefault="004F47BB" w:rsidP="004F47BB">
      <w:pPr>
        <w:tabs>
          <w:tab w:val="left" w:pos="567"/>
          <w:tab w:val="left" w:pos="709"/>
          <w:tab w:val="left" w:leader="dot" w:pos="9072"/>
        </w:tabs>
        <w:spacing w:before="120"/>
        <w:ind w:left="567" w:hanging="567"/>
        <w:rPr>
          <w:rFonts w:cs="Arial"/>
          <w:szCs w:val="20"/>
          <w:lang w:val="bg-BG"/>
        </w:rPr>
      </w:pPr>
      <w:r w:rsidRPr="009072DA">
        <w:rPr>
          <w:lang w:val="bg-BG"/>
        </w:rPr>
        <w:t>2.</w:t>
      </w:r>
      <w:r w:rsidRPr="009072DA">
        <w:rPr>
          <w:lang w:val="bg-BG"/>
        </w:rPr>
        <w:tab/>
        <w:t xml:space="preserve">Собственик: </w:t>
      </w:r>
      <w:r w:rsidRPr="009072DA">
        <w:rPr>
          <w:lang w:val="bg-BG"/>
        </w:rPr>
        <w:tab/>
      </w:r>
    </w:p>
    <w:p w:rsidR="004F47BB" w:rsidRPr="009072DA" w:rsidRDefault="004F47BB" w:rsidP="004F47BB">
      <w:pPr>
        <w:widowControl w:val="0"/>
        <w:tabs>
          <w:tab w:val="left" w:pos="567"/>
          <w:tab w:val="left" w:leader="dot" w:pos="9072"/>
        </w:tabs>
        <w:spacing w:before="120"/>
        <w:ind w:left="567" w:hanging="567"/>
        <w:rPr>
          <w:rFonts w:cs="Arial"/>
          <w:snapToGrid w:val="0"/>
          <w:szCs w:val="20"/>
          <w:lang w:val="bg-BG"/>
        </w:rPr>
      </w:pPr>
      <w:r w:rsidRPr="009072DA">
        <w:rPr>
          <w:lang w:val="bg-BG"/>
        </w:rPr>
        <w:tab/>
      </w:r>
      <w:r w:rsidRPr="009072DA">
        <w:rPr>
          <w:lang w:val="bg-BG"/>
        </w:rPr>
        <w:tab/>
      </w:r>
    </w:p>
    <w:p w:rsidR="004F47BB" w:rsidRPr="009072DA" w:rsidRDefault="004F47BB" w:rsidP="004F47BB">
      <w:pPr>
        <w:widowControl w:val="0"/>
        <w:tabs>
          <w:tab w:val="left" w:pos="567"/>
        </w:tabs>
        <w:spacing w:before="120"/>
        <w:ind w:left="567" w:hanging="567"/>
        <w:rPr>
          <w:rFonts w:cs="Arial"/>
          <w:snapToGrid w:val="0"/>
          <w:szCs w:val="20"/>
          <w:lang w:val="bg-BG"/>
        </w:rPr>
      </w:pPr>
      <w:r w:rsidRPr="009072DA">
        <w:rPr>
          <w:lang w:val="bg-BG"/>
        </w:rPr>
        <w:t>3.</w:t>
      </w:r>
      <w:r w:rsidRPr="009072DA">
        <w:rPr>
          <w:lang w:val="bg-BG"/>
        </w:rPr>
        <w:tab/>
        <w:t>Главна задвижваща система</w:t>
      </w:r>
    </w:p>
    <w:p w:rsidR="004F47BB" w:rsidRPr="009072DA" w:rsidRDefault="004F47BB" w:rsidP="004F47BB">
      <w:pPr>
        <w:tabs>
          <w:tab w:val="left" w:pos="567"/>
        </w:tabs>
        <w:spacing w:before="120"/>
        <w:ind w:left="567" w:hanging="567"/>
        <w:rPr>
          <w:rFonts w:cs="Arial"/>
          <w:szCs w:val="20"/>
          <w:lang w:val="bg-BG"/>
        </w:rPr>
      </w:pPr>
      <w:r w:rsidRPr="009072DA">
        <w:rPr>
          <w:lang w:val="bg-BG"/>
        </w:rPr>
        <w:t>3.1</w:t>
      </w:r>
      <w:r w:rsidRPr="009072DA">
        <w:rPr>
          <w:lang w:val="bg-BG"/>
        </w:rPr>
        <w:tab/>
        <w:t>Главни двигатели</w:t>
      </w:r>
    </w:p>
    <w:p w:rsidR="004F47BB" w:rsidRPr="009072DA" w:rsidRDefault="004F47BB" w:rsidP="004F47BB">
      <w:pPr>
        <w:spacing w:before="120"/>
        <w:rPr>
          <w:rFonts w:cs="Arial"/>
          <w:szCs w:val="20"/>
          <w:lang w:val="bg-BG"/>
        </w:rPr>
      </w:pPr>
    </w:p>
    <w:tbl>
      <w:tblPr>
        <w:tblW w:w="9198"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1"/>
        <w:gridCol w:w="2555"/>
        <w:gridCol w:w="1022"/>
        <w:gridCol w:w="1022"/>
        <w:gridCol w:w="1022"/>
        <w:gridCol w:w="1022"/>
        <w:gridCol w:w="1022"/>
        <w:gridCol w:w="1022"/>
      </w:tblGrid>
      <w:tr w:rsidR="004F47BB" w:rsidRPr="009072DA" w:rsidTr="00D45887">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Брой</w:t>
            </w:r>
          </w:p>
        </w:tc>
        <w:tc>
          <w:tcPr>
            <w:tcW w:w="2555"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widowControl w:val="0"/>
              <w:spacing w:before="60"/>
              <w:jc w:val="center"/>
              <w:rPr>
                <w:rFonts w:cs="Arial"/>
                <w:snapToGrid w:val="0"/>
                <w:sz w:val="16"/>
                <w:szCs w:val="16"/>
                <w:lang w:val="bg-BG"/>
              </w:rPr>
            </w:pPr>
            <w:r w:rsidRPr="009072DA">
              <w:rPr>
                <w:snapToGrid w:val="0"/>
                <w:sz w:val="16"/>
                <w:lang w:val="bg-BG"/>
              </w:rPr>
              <w:t>Производител</w:t>
            </w:r>
          </w:p>
        </w:tc>
        <w:tc>
          <w:tcPr>
            <w:tcW w:w="102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Тип</w:t>
            </w:r>
          </w:p>
        </w:tc>
        <w:tc>
          <w:tcPr>
            <w:tcW w:w="102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Година на построяване</w:t>
            </w:r>
          </w:p>
        </w:tc>
        <w:tc>
          <w:tcPr>
            <w:tcW w:w="102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 xml:space="preserve">Мощност (kW) </w:t>
            </w:r>
          </w:p>
        </w:tc>
        <w:tc>
          <w:tcPr>
            <w:tcW w:w="102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 xml:space="preserve">Скорост на двигателя </w:t>
            </w:r>
            <w:r w:rsidRPr="009072DA">
              <w:rPr>
                <w:rFonts w:cs="Arial"/>
                <w:sz w:val="16"/>
                <w:szCs w:val="16"/>
                <w:lang w:val="bg-BG"/>
              </w:rPr>
              <w:br/>
            </w:r>
            <w:r w:rsidRPr="009072DA">
              <w:rPr>
                <w:sz w:val="16"/>
                <w:lang w:val="bg-BG"/>
              </w:rPr>
              <w:t>(min</w:t>
            </w:r>
            <w:r w:rsidRPr="009072DA">
              <w:rPr>
                <w:sz w:val="16"/>
                <w:vertAlign w:val="superscript"/>
                <w:lang w:val="bg-BG"/>
              </w:rPr>
              <w:t>-1</w:t>
            </w:r>
            <w:r w:rsidRPr="009072DA">
              <w:rPr>
                <w:sz w:val="16"/>
                <w:lang w:val="bg-BG"/>
              </w:rPr>
              <w:t>)</w:t>
            </w:r>
          </w:p>
        </w:tc>
        <w:tc>
          <w:tcPr>
            <w:tcW w:w="102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Двутактов/четиритактов</w:t>
            </w:r>
          </w:p>
        </w:tc>
        <w:tc>
          <w:tcPr>
            <w:tcW w:w="102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Турбокомпресор</w:t>
            </w:r>
            <w:r w:rsidRPr="009072DA">
              <w:rPr>
                <w:rFonts w:cs="Arial"/>
                <w:sz w:val="16"/>
                <w:szCs w:val="16"/>
                <w:lang w:val="bg-BG"/>
              </w:rPr>
              <w:br/>
            </w:r>
            <w:r w:rsidRPr="009072DA">
              <w:rPr>
                <w:sz w:val="16"/>
                <w:lang w:val="bg-BG"/>
              </w:rPr>
              <w:t>Да/Не</w:t>
            </w:r>
          </w:p>
        </w:tc>
      </w:tr>
      <w:tr w:rsidR="004F47BB" w:rsidRPr="009072DA" w:rsidTr="00D45887">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widowControl w:val="0"/>
              <w:spacing w:before="60"/>
              <w:jc w:val="center"/>
              <w:rPr>
                <w:rFonts w:cs="Arial"/>
                <w:snapToGrid w:val="0"/>
                <w:sz w:val="16"/>
                <w:szCs w:val="20"/>
                <w:lang w:val="bg-BG"/>
              </w:rPr>
            </w:pPr>
            <w:r w:rsidRPr="009072DA">
              <w:rPr>
                <w:snapToGrid w:val="0"/>
                <w:sz w:val="16"/>
                <w:lang w:val="bg-BG"/>
              </w:rPr>
              <w:t>1</w:t>
            </w:r>
          </w:p>
        </w:tc>
        <w:tc>
          <w:tcPr>
            <w:tcW w:w="2555"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2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2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2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2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2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2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r>
      <w:tr w:rsidR="004F47BB" w:rsidRPr="009072DA" w:rsidTr="00D45887">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2</w:t>
            </w:r>
          </w:p>
        </w:tc>
        <w:tc>
          <w:tcPr>
            <w:tcW w:w="2555"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2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2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2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2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2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2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r>
    </w:tbl>
    <w:p w:rsidR="004F47BB" w:rsidRPr="009072DA" w:rsidRDefault="004F47BB" w:rsidP="004F47BB">
      <w:pPr>
        <w:widowControl w:val="0"/>
        <w:tabs>
          <w:tab w:val="left" w:pos="567"/>
        </w:tabs>
        <w:spacing w:before="120"/>
        <w:ind w:left="567" w:hanging="567"/>
        <w:rPr>
          <w:rFonts w:cs="Arial"/>
          <w:snapToGrid w:val="0"/>
          <w:szCs w:val="20"/>
          <w:lang w:val="bg-BG"/>
        </w:rPr>
      </w:pPr>
      <w:r w:rsidRPr="009072DA">
        <w:rPr>
          <w:lang w:val="bg-BG"/>
        </w:rPr>
        <w:t>3.2</w:t>
      </w:r>
      <w:r w:rsidRPr="009072DA">
        <w:rPr>
          <w:lang w:val="bg-BG"/>
        </w:rPr>
        <w:tab/>
        <w:t>Трансмисия</w:t>
      </w:r>
    </w:p>
    <w:p w:rsidR="004F47BB" w:rsidRPr="009072DA" w:rsidRDefault="004F47BB" w:rsidP="004F47BB">
      <w:pPr>
        <w:tabs>
          <w:tab w:val="left" w:pos="567"/>
          <w:tab w:val="left" w:leader="dot" w:pos="3686"/>
          <w:tab w:val="left" w:pos="3828"/>
          <w:tab w:val="left" w:leader="dot" w:pos="6379"/>
          <w:tab w:val="left" w:pos="6521"/>
          <w:tab w:val="left" w:leader="dot" w:pos="9072"/>
        </w:tabs>
        <w:spacing w:before="120"/>
        <w:ind w:left="567"/>
        <w:rPr>
          <w:rFonts w:cs="Arial"/>
          <w:szCs w:val="20"/>
          <w:lang w:val="bg-BG"/>
        </w:rPr>
      </w:pPr>
      <w:r w:rsidRPr="009072DA">
        <w:rPr>
          <w:lang w:val="bg-BG"/>
        </w:rPr>
        <w:t xml:space="preserve">Производител: </w:t>
      </w:r>
      <w:r w:rsidRPr="009072DA">
        <w:rPr>
          <w:lang w:val="bg-BG"/>
        </w:rPr>
        <w:tab/>
      </w:r>
      <w:r w:rsidRPr="009072DA">
        <w:rPr>
          <w:lang w:val="bg-BG"/>
        </w:rPr>
        <w:tab/>
        <w:t xml:space="preserve">Тип: </w:t>
      </w:r>
      <w:r w:rsidRPr="009072DA">
        <w:rPr>
          <w:lang w:val="bg-BG"/>
        </w:rPr>
        <w:tab/>
      </w:r>
      <w:r w:rsidRPr="009072DA">
        <w:rPr>
          <w:lang w:val="bg-BG"/>
        </w:rPr>
        <w:tab/>
        <w:t>Предавателно число на редуктора: 1</w:t>
      </w:r>
      <w:r w:rsidRPr="009072DA">
        <w:rPr>
          <w:lang w:val="bg-BG"/>
        </w:rPr>
        <w:tab/>
      </w:r>
    </w:p>
    <w:p w:rsidR="004F47BB" w:rsidRPr="009072DA" w:rsidRDefault="004F47BB" w:rsidP="004F47BB">
      <w:pPr>
        <w:widowControl w:val="0"/>
        <w:tabs>
          <w:tab w:val="left" w:pos="567"/>
        </w:tabs>
        <w:spacing w:before="120"/>
        <w:ind w:left="567" w:hanging="567"/>
        <w:rPr>
          <w:rFonts w:cs="Arial"/>
          <w:snapToGrid w:val="0"/>
          <w:szCs w:val="20"/>
          <w:lang w:val="bg-BG"/>
        </w:rPr>
      </w:pPr>
      <w:r w:rsidRPr="009072DA">
        <w:rPr>
          <w:lang w:val="bg-BG"/>
        </w:rPr>
        <w:t>3.3</w:t>
      </w:r>
      <w:r w:rsidRPr="009072DA">
        <w:rPr>
          <w:lang w:val="bg-BG"/>
        </w:rPr>
        <w:tab/>
        <w:t>Гребни винтове</w:t>
      </w:r>
    </w:p>
    <w:p w:rsidR="004F47BB" w:rsidRPr="009072DA" w:rsidRDefault="004F47BB" w:rsidP="004F47BB">
      <w:pPr>
        <w:tabs>
          <w:tab w:val="left" w:pos="567"/>
          <w:tab w:val="left" w:leader="dot" w:pos="1985"/>
          <w:tab w:val="left" w:pos="2127"/>
          <w:tab w:val="left" w:leader="dot" w:pos="4395"/>
          <w:tab w:val="left" w:pos="4536"/>
          <w:tab w:val="left" w:leader="dot" w:pos="6379"/>
          <w:tab w:val="left" w:pos="6521"/>
          <w:tab w:val="left" w:pos="7230"/>
        </w:tabs>
        <w:spacing w:before="120"/>
        <w:ind w:left="567"/>
        <w:rPr>
          <w:rFonts w:cs="Arial"/>
          <w:szCs w:val="20"/>
          <w:lang w:val="bg-BG"/>
        </w:rPr>
      </w:pPr>
      <w:r w:rsidRPr="009072DA">
        <w:rPr>
          <w:lang w:val="bg-BG"/>
        </w:rPr>
        <w:t xml:space="preserve">Брой: </w:t>
      </w:r>
      <w:r w:rsidRPr="009072DA">
        <w:rPr>
          <w:lang w:val="bg-BG"/>
        </w:rPr>
        <w:tab/>
      </w:r>
      <w:r w:rsidRPr="009072DA">
        <w:rPr>
          <w:lang w:val="bg-BG"/>
        </w:rPr>
        <w:tab/>
        <w:t xml:space="preserve">Брой лопатки: </w:t>
      </w:r>
      <w:r w:rsidRPr="009072DA">
        <w:rPr>
          <w:lang w:val="bg-BG"/>
        </w:rPr>
        <w:tab/>
      </w:r>
      <w:r w:rsidRPr="009072DA">
        <w:rPr>
          <w:lang w:val="bg-BG"/>
        </w:rPr>
        <w:tab/>
        <w:t xml:space="preserve">Диаметър: </w:t>
      </w:r>
      <w:r w:rsidRPr="009072DA">
        <w:rPr>
          <w:lang w:val="bg-BG"/>
        </w:rPr>
        <w:tab/>
      </w:r>
      <w:r w:rsidRPr="009072DA">
        <w:rPr>
          <w:lang w:val="bg-BG"/>
        </w:rPr>
        <w:tab/>
        <w:t xml:space="preserve">mm </w:t>
      </w:r>
      <w:r w:rsidRPr="009072DA">
        <w:rPr>
          <w:lang w:val="bg-BG"/>
        </w:rPr>
        <w:tab/>
        <w:t>Дюза: Да/Не</w:t>
      </w:r>
      <w:r w:rsidRPr="009072DA">
        <w:rPr>
          <w:vertAlign w:val="superscript"/>
          <w:lang w:val="bg-BG"/>
        </w:rPr>
        <w:footnoteReference w:customMarkFollows="1" w:id="81"/>
        <w:t>*)</w:t>
      </w:r>
    </w:p>
    <w:p w:rsidR="004F47BB" w:rsidRPr="009072DA" w:rsidRDefault="004F47BB" w:rsidP="004F47BB">
      <w:pPr>
        <w:widowControl w:val="0"/>
        <w:tabs>
          <w:tab w:val="left" w:pos="567"/>
        </w:tabs>
        <w:spacing w:before="120"/>
        <w:ind w:left="567" w:hanging="567"/>
        <w:rPr>
          <w:rFonts w:cs="Arial"/>
          <w:snapToGrid w:val="0"/>
          <w:szCs w:val="20"/>
          <w:lang w:val="bg-BG"/>
        </w:rPr>
      </w:pPr>
      <w:r w:rsidRPr="009072DA">
        <w:rPr>
          <w:lang w:val="bg-BG"/>
        </w:rPr>
        <w:t>3.4</w:t>
      </w:r>
      <w:r w:rsidRPr="009072DA">
        <w:rPr>
          <w:lang w:val="bg-BG"/>
        </w:rPr>
        <w:tab/>
        <w:t>Рулева система</w:t>
      </w:r>
    </w:p>
    <w:p w:rsidR="004F47BB" w:rsidRPr="009072DA" w:rsidRDefault="004F47BB" w:rsidP="004F47BB">
      <w:pPr>
        <w:tabs>
          <w:tab w:val="left" w:pos="567"/>
          <w:tab w:val="left" w:leader="dot" w:pos="9072"/>
        </w:tabs>
        <w:spacing w:before="120"/>
        <w:ind w:left="567"/>
        <w:rPr>
          <w:rFonts w:cs="Arial"/>
          <w:szCs w:val="20"/>
          <w:lang w:val="bg-BG"/>
        </w:rPr>
      </w:pPr>
      <w:r w:rsidRPr="009072DA">
        <w:rPr>
          <w:lang w:val="bg-BG"/>
        </w:rPr>
        <w:t xml:space="preserve">Тип : </w:t>
      </w:r>
      <w:r w:rsidRPr="009072DA">
        <w:rPr>
          <w:lang w:val="bg-BG"/>
        </w:rPr>
        <w:tab/>
      </w:r>
    </w:p>
    <w:p w:rsidR="004F47BB" w:rsidRPr="009072DA" w:rsidRDefault="004F47BB" w:rsidP="004F47BB">
      <w:pPr>
        <w:tabs>
          <w:tab w:val="left" w:pos="567"/>
        </w:tabs>
        <w:spacing w:before="120"/>
        <w:ind w:left="567" w:hanging="567"/>
        <w:rPr>
          <w:rFonts w:cs="Arial"/>
          <w:szCs w:val="20"/>
          <w:lang w:val="bg-BG"/>
        </w:rPr>
      </w:pPr>
      <w:r w:rsidRPr="009072DA">
        <w:rPr>
          <w:lang w:val="bg-BG"/>
        </w:rPr>
        <w:t>4.</w:t>
      </w:r>
      <w:r w:rsidRPr="009072DA">
        <w:rPr>
          <w:lang w:val="bg-BG"/>
        </w:rPr>
        <w:tab/>
        <w:t>Помощни средства:</w:t>
      </w:r>
    </w:p>
    <w:p w:rsidR="004F47BB" w:rsidRPr="009072DA" w:rsidRDefault="004F47BB" w:rsidP="004F47BB">
      <w:pPr>
        <w:rPr>
          <w:rFonts w:cs="Arial"/>
          <w:szCs w:val="20"/>
          <w:lang w:val="bg-BG"/>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4"/>
        <w:gridCol w:w="1599"/>
        <w:gridCol w:w="1277"/>
        <w:gridCol w:w="998"/>
        <w:gridCol w:w="1006"/>
        <w:gridCol w:w="1199"/>
        <w:gridCol w:w="1079"/>
      </w:tblGrid>
      <w:tr w:rsidR="004F47BB" w:rsidRPr="009072DA"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lastRenderedPageBreak/>
              <w:t>Брой</w:t>
            </w:r>
          </w:p>
        </w:tc>
        <w:tc>
          <w:tcPr>
            <w:tcW w:w="159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Задвижване на</w:t>
            </w:r>
          </w:p>
        </w:tc>
        <w:tc>
          <w:tcPr>
            <w:tcW w:w="1277"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Производител</w:t>
            </w:r>
          </w:p>
        </w:tc>
        <w:tc>
          <w:tcPr>
            <w:tcW w:w="998"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Тип</w:t>
            </w:r>
          </w:p>
        </w:tc>
        <w:tc>
          <w:tcPr>
            <w:tcW w:w="1006"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Година на построяване</w:t>
            </w:r>
          </w:p>
        </w:tc>
        <w:tc>
          <w:tcPr>
            <w:tcW w:w="119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Мощност (kW)</w:t>
            </w:r>
          </w:p>
        </w:tc>
        <w:tc>
          <w:tcPr>
            <w:tcW w:w="107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Скорост на двигателя (min</w:t>
            </w:r>
            <w:r w:rsidRPr="009072DA">
              <w:rPr>
                <w:sz w:val="16"/>
                <w:vertAlign w:val="superscript"/>
                <w:lang w:val="bg-BG"/>
              </w:rPr>
              <w:t>-1</w:t>
            </w:r>
            <w:r w:rsidRPr="009072DA">
              <w:rPr>
                <w:sz w:val="16"/>
                <w:lang w:val="bg-BG"/>
              </w:rPr>
              <w:t>)</w:t>
            </w:r>
          </w:p>
        </w:tc>
      </w:tr>
      <w:tr w:rsidR="004F47BB" w:rsidRPr="009072DA"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vAlign w:val="center"/>
          </w:tcPr>
          <w:p w:rsidR="004F47BB" w:rsidRPr="009072DA" w:rsidRDefault="004F47BB" w:rsidP="004F47BB">
            <w:pPr>
              <w:widowControl w:val="0"/>
              <w:spacing w:before="60"/>
              <w:jc w:val="center"/>
              <w:rPr>
                <w:rFonts w:cs="Arial"/>
                <w:snapToGrid w:val="0"/>
                <w:sz w:val="16"/>
                <w:szCs w:val="16"/>
                <w:lang w:val="bg-BG"/>
              </w:rPr>
            </w:pPr>
            <w:r w:rsidRPr="009072DA">
              <w:rPr>
                <w:snapToGrid w:val="0"/>
                <w:sz w:val="16"/>
                <w:lang w:val="bg-BG"/>
              </w:rPr>
              <w:t>1</w:t>
            </w:r>
          </w:p>
        </w:tc>
        <w:tc>
          <w:tcPr>
            <w:tcW w:w="159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277"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998"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06"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19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7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r>
      <w:tr w:rsidR="004F47BB" w:rsidRPr="009072DA"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2</w:t>
            </w:r>
          </w:p>
        </w:tc>
        <w:tc>
          <w:tcPr>
            <w:tcW w:w="159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277"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998"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06"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19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7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r>
      <w:tr w:rsidR="004F47BB" w:rsidRPr="009072DA"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3</w:t>
            </w:r>
          </w:p>
        </w:tc>
        <w:tc>
          <w:tcPr>
            <w:tcW w:w="159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277"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998"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06"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19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7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r>
      <w:tr w:rsidR="004F47BB" w:rsidRPr="009072DA"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4</w:t>
            </w:r>
          </w:p>
        </w:tc>
        <w:tc>
          <w:tcPr>
            <w:tcW w:w="159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277"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998"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06"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19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7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r>
      <w:tr w:rsidR="004F47BB" w:rsidRPr="009072DA"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5</w:t>
            </w:r>
          </w:p>
        </w:tc>
        <w:tc>
          <w:tcPr>
            <w:tcW w:w="159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277"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998"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06"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19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c>
          <w:tcPr>
            <w:tcW w:w="107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lang w:val="bg-BG"/>
              </w:rPr>
            </w:pPr>
          </w:p>
        </w:tc>
      </w:tr>
    </w:tbl>
    <w:p w:rsidR="004F47BB" w:rsidRPr="009072DA" w:rsidRDefault="004F47BB" w:rsidP="004F47BB">
      <w:pPr>
        <w:ind w:left="1418"/>
        <w:rPr>
          <w:rFonts w:cs="Arial"/>
          <w:sz w:val="16"/>
          <w:szCs w:val="16"/>
          <w:lang w:val="bg-BG"/>
        </w:rPr>
      </w:pPr>
    </w:p>
    <w:p w:rsidR="004F47BB" w:rsidRPr="009072DA" w:rsidRDefault="004F47BB" w:rsidP="004F47BB">
      <w:pPr>
        <w:tabs>
          <w:tab w:val="left" w:pos="567"/>
          <w:tab w:val="left" w:leader="dot" w:pos="9072"/>
        </w:tabs>
        <w:ind w:left="567" w:hanging="567"/>
        <w:rPr>
          <w:rFonts w:cs="Arial"/>
          <w:szCs w:val="20"/>
          <w:lang w:val="bg-BG"/>
        </w:rPr>
      </w:pPr>
      <w:r w:rsidRPr="009072DA">
        <w:rPr>
          <w:lang w:val="bg-BG"/>
        </w:rPr>
        <w:t>5.</w:t>
      </w:r>
      <w:r w:rsidRPr="009072DA">
        <w:rPr>
          <w:lang w:val="bg-BG"/>
        </w:rPr>
        <w:tab/>
        <w:t xml:space="preserve">Приложени мерки за намаляване на шума: </w:t>
      </w:r>
      <w:r w:rsidRPr="009072DA">
        <w:rPr>
          <w:lang w:val="bg-BG"/>
        </w:rPr>
        <w:tab/>
      </w:r>
    </w:p>
    <w:p w:rsidR="004F47BB" w:rsidRPr="009072DA" w:rsidRDefault="004F47BB" w:rsidP="004F47BB">
      <w:pPr>
        <w:tabs>
          <w:tab w:val="left" w:leader="dot" w:pos="9072"/>
        </w:tabs>
        <w:spacing w:before="120"/>
        <w:ind w:left="567"/>
        <w:rPr>
          <w:rFonts w:cs="Arial"/>
          <w:szCs w:val="20"/>
          <w:lang w:val="bg-BG"/>
        </w:rPr>
      </w:pPr>
      <w:r w:rsidRPr="009072DA">
        <w:rPr>
          <w:lang w:val="bg-BG"/>
        </w:rPr>
        <w:tab/>
      </w:r>
    </w:p>
    <w:p w:rsidR="004F47BB" w:rsidRPr="009072DA" w:rsidRDefault="004F47BB" w:rsidP="004F47BB">
      <w:pPr>
        <w:tabs>
          <w:tab w:val="left" w:leader="dot" w:pos="9072"/>
        </w:tabs>
        <w:spacing w:before="120"/>
        <w:ind w:left="567"/>
        <w:rPr>
          <w:rFonts w:cs="Arial"/>
          <w:szCs w:val="20"/>
          <w:lang w:val="bg-BG"/>
        </w:rPr>
      </w:pPr>
      <w:r w:rsidRPr="009072DA">
        <w:rPr>
          <w:lang w:val="bg-BG"/>
        </w:rPr>
        <w:tab/>
      </w:r>
    </w:p>
    <w:p w:rsidR="004F47BB" w:rsidRPr="009072DA" w:rsidRDefault="004F47BB" w:rsidP="004F47BB">
      <w:pPr>
        <w:tabs>
          <w:tab w:val="left" w:pos="567"/>
          <w:tab w:val="left" w:leader="dot" w:pos="9072"/>
        </w:tabs>
        <w:spacing w:before="120"/>
        <w:ind w:left="567" w:hanging="567"/>
        <w:rPr>
          <w:rFonts w:cs="Arial"/>
          <w:szCs w:val="20"/>
          <w:lang w:val="bg-BG"/>
        </w:rPr>
      </w:pPr>
      <w:r w:rsidRPr="009072DA">
        <w:rPr>
          <w:lang w:val="bg-BG"/>
        </w:rPr>
        <w:t>6.</w:t>
      </w:r>
      <w:r w:rsidRPr="009072DA">
        <w:rPr>
          <w:lang w:val="bg-BG"/>
        </w:rPr>
        <w:tab/>
        <w:t xml:space="preserve">Забележки: </w:t>
      </w:r>
      <w:r w:rsidRPr="009072DA">
        <w:rPr>
          <w:lang w:val="bg-BG"/>
        </w:rPr>
        <w:tab/>
      </w:r>
    </w:p>
    <w:p w:rsidR="004F47BB" w:rsidRPr="009072DA" w:rsidRDefault="004F47BB" w:rsidP="004F47BB">
      <w:pPr>
        <w:tabs>
          <w:tab w:val="left" w:leader="dot" w:pos="9072"/>
        </w:tabs>
        <w:spacing w:before="120"/>
        <w:ind w:left="567"/>
        <w:rPr>
          <w:rFonts w:cs="Arial"/>
          <w:szCs w:val="20"/>
          <w:lang w:val="bg-BG"/>
        </w:rPr>
      </w:pPr>
      <w:r w:rsidRPr="009072DA">
        <w:rPr>
          <w:lang w:val="bg-BG"/>
        </w:rPr>
        <w:tab/>
      </w:r>
    </w:p>
    <w:p w:rsidR="004F47BB" w:rsidRPr="009072DA" w:rsidRDefault="004F47BB" w:rsidP="004F47BB">
      <w:pPr>
        <w:tabs>
          <w:tab w:val="left" w:leader="dot" w:pos="9072"/>
        </w:tabs>
        <w:spacing w:before="120"/>
        <w:ind w:left="567"/>
        <w:rPr>
          <w:rFonts w:cs="Arial"/>
          <w:szCs w:val="20"/>
          <w:lang w:val="bg-BG"/>
        </w:rPr>
      </w:pPr>
      <w:r w:rsidRPr="009072DA">
        <w:rPr>
          <w:lang w:val="bg-BG"/>
        </w:rPr>
        <w:tab/>
      </w:r>
    </w:p>
    <w:p w:rsidR="004F47BB" w:rsidRPr="009072DA" w:rsidRDefault="004F47BB" w:rsidP="004F47BB">
      <w:pPr>
        <w:tabs>
          <w:tab w:val="left" w:leader="dot" w:pos="9072"/>
        </w:tabs>
        <w:ind w:left="720"/>
        <w:rPr>
          <w:rFonts w:cs="Arial"/>
          <w:szCs w:val="20"/>
          <w:lang w:val="bg-BG"/>
        </w:rPr>
      </w:pPr>
    </w:p>
    <w:p w:rsidR="004F47BB" w:rsidRPr="009072DA" w:rsidRDefault="004F47BB" w:rsidP="004F47BB">
      <w:pPr>
        <w:spacing w:before="60"/>
        <w:rPr>
          <w:rFonts w:cs="Arial"/>
          <w:szCs w:val="20"/>
          <w:lang w:val="bg-BG"/>
        </w:rPr>
      </w:pPr>
      <w:r w:rsidRPr="009072DA">
        <w:rPr>
          <w:lang w:val="bg-BG"/>
        </w:rPr>
        <w:br w:type="page"/>
      </w:r>
    </w:p>
    <w:p w:rsidR="004F47BB" w:rsidRPr="009072DA" w:rsidRDefault="004F47BB" w:rsidP="004F47BB">
      <w:pPr>
        <w:tabs>
          <w:tab w:val="left" w:pos="567"/>
        </w:tabs>
        <w:ind w:left="567" w:hanging="567"/>
        <w:rPr>
          <w:b/>
          <w:lang w:val="bg-BG"/>
        </w:rPr>
      </w:pPr>
      <w:r w:rsidRPr="009072DA">
        <w:rPr>
          <w:b/>
          <w:lang w:val="bg-BG"/>
        </w:rPr>
        <w:lastRenderedPageBreak/>
        <w:t>Б</w:t>
      </w:r>
      <w:r w:rsidRPr="009072DA">
        <w:rPr>
          <w:lang w:val="bg-BG"/>
        </w:rPr>
        <w:tab/>
      </w:r>
      <w:r w:rsidRPr="009072DA">
        <w:rPr>
          <w:b/>
          <w:lang w:val="bg-BG"/>
        </w:rPr>
        <w:t>Използвани инструменти за измерване</w:t>
      </w:r>
    </w:p>
    <w:p w:rsidR="004F47BB" w:rsidRPr="009072DA" w:rsidRDefault="004F47BB" w:rsidP="004F47BB">
      <w:pPr>
        <w:widowControl w:val="0"/>
        <w:tabs>
          <w:tab w:val="left" w:pos="567"/>
          <w:tab w:val="left" w:pos="709"/>
        </w:tabs>
        <w:spacing w:before="120"/>
        <w:ind w:left="567" w:hanging="567"/>
        <w:rPr>
          <w:rFonts w:cs="Arial"/>
          <w:snapToGrid w:val="0"/>
          <w:szCs w:val="20"/>
          <w:lang w:val="bg-BG"/>
        </w:rPr>
      </w:pPr>
      <w:r w:rsidRPr="009072DA">
        <w:rPr>
          <w:lang w:val="bg-BG"/>
        </w:rPr>
        <w:t>1.</w:t>
      </w:r>
      <w:r w:rsidRPr="009072DA">
        <w:rPr>
          <w:lang w:val="bg-BG"/>
        </w:rPr>
        <w:tab/>
        <w:t>Измервателен уред за звуковото налягане</w:t>
      </w:r>
    </w:p>
    <w:p w:rsidR="004F47BB" w:rsidRPr="009072DA" w:rsidRDefault="004F47BB" w:rsidP="004F47BB">
      <w:pPr>
        <w:tabs>
          <w:tab w:val="left" w:pos="567"/>
          <w:tab w:val="left" w:leader="dot" w:pos="4678"/>
          <w:tab w:val="left" w:pos="4962"/>
          <w:tab w:val="left" w:leader="dot" w:pos="6663"/>
          <w:tab w:val="left" w:pos="6804"/>
          <w:tab w:val="left" w:leader="dot" w:pos="9072"/>
        </w:tabs>
        <w:spacing w:before="120"/>
        <w:ind w:left="567"/>
        <w:rPr>
          <w:rFonts w:cs="Arial"/>
          <w:szCs w:val="20"/>
          <w:lang w:val="bg-BG"/>
        </w:rPr>
      </w:pPr>
      <w:r w:rsidRPr="009072DA">
        <w:rPr>
          <w:lang w:val="bg-BG"/>
        </w:rPr>
        <w:t>Производител:</w:t>
      </w:r>
      <w:r w:rsidRPr="009072DA">
        <w:rPr>
          <w:lang w:val="bg-BG"/>
        </w:rPr>
        <w:tab/>
      </w:r>
      <w:r w:rsidRPr="009072DA">
        <w:rPr>
          <w:lang w:val="bg-BG"/>
        </w:rPr>
        <w:tab/>
        <w:t xml:space="preserve">Тип: </w:t>
      </w:r>
      <w:r w:rsidRPr="009072DA">
        <w:rPr>
          <w:lang w:val="bg-BG"/>
        </w:rPr>
        <w:tab/>
      </w:r>
      <w:r w:rsidRPr="009072DA">
        <w:rPr>
          <w:lang w:val="bg-BG"/>
        </w:rPr>
        <w:tab/>
        <w:t xml:space="preserve">Последна проверка: </w:t>
      </w:r>
      <w:r w:rsidRPr="009072DA">
        <w:rPr>
          <w:lang w:val="bg-BG"/>
        </w:rPr>
        <w:tab/>
      </w:r>
    </w:p>
    <w:p w:rsidR="004F47BB" w:rsidRPr="009072DA" w:rsidRDefault="004F47BB" w:rsidP="004F47BB">
      <w:pPr>
        <w:widowControl w:val="0"/>
        <w:tabs>
          <w:tab w:val="left" w:pos="567"/>
          <w:tab w:val="left" w:pos="709"/>
        </w:tabs>
        <w:spacing w:before="120"/>
        <w:ind w:left="567" w:hanging="567"/>
        <w:rPr>
          <w:rFonts w:cs="Arial"/>
          <w:snapToGrid w:val="0"/>
          <w:szCs w:val="20"/>
          <w:lang w:val="bg-BG"/>
        </w:rPr>
      </w:pPr>
      <w:r w:rsidRPr="009072DA">
        <w:rPr>
          <w:lang w:val="bg-BG"/>
        </w:rPr>
        <w:t>2.</w:t>
      </w:r>
      <w:r w:rsidRPr="009072DA">
        <w:rPr>
          <w:lang w:val="bg-BG"/>
        </w:rPr>
        <w:tab/>
        <w:t>Октавен/терцоктавен анализатор</w:t>
      </w:r>
    </w:p>
    <w:p w:rsidR="004F47BB" w:rsidRPr="009072DA" w:rsidRDefault="004F47BB" w:rsidP="004F47BB">
      <w:pPr>
        <w:tabs>
          <w:tab w:val="left" w:pos="567"/>
          <w:tab w:val="left" w:leader="dot" w:pos="4678"/>
          <w:tab w:val="left" w:pos="4962"/>
          <w:tab w:val="left" w:leader="dot" w:pos="6663"/>
          <w:tab w:val="left" w:pos="6804"/>
          <w:tab w:val="left" w:leader="dot" w:pos="9072"/>
        </w:tabs>
        <w:spacing w:before="120"/>
        <w:ind w:left="567"/>
        <w:rPr>
          <w:rFonts w:cs="Arial"/>
          <w:szCs w:val="20"/>
          <w:lang w:val="bg-BG"/>
        </w:rPr>
      </w:pPr>
      <w:r w:rsidRPr="009072DA">
        <w:rPr>
          <w:lang w:val="bg-BG"/>
        </w:rPr>
        <w:t xml:space="preserve">Производител: </w:t>
      </w:r>
      <w:r w:rsidRPr="009072DA">
        <w:rPr>
          <w:lang w:val="bg-BG"/>
        </w:rPr>
        <w:tab/>
      </w:r>
      <w:r w:rsidRPr="009072DA">
        <w:rPr>
          <w:lang w:val="bg-BG"/>
        </w:rPr>
        <w:tab/>
        <w:t xml:space="preserve">Тип: </w:t>
      </w:r>
      <w:r w:rsidRPr="009072DA">
        <w:rPr>
          <w:lang w:val="bg-BG"/>
        </w:rPr>
        <w:tab/>
      </w:r>
      <w:r w:rsidRPr="009072DA">
        <w:rPr>
          <w:lang w:val="bg-BG"/>
        </w:rPr>
        <w:tab/>
        <w:t xml:space="preserve">Последна проверка: </w:t>
      </w:r>
      <w:r w:rsidRPr="009072DA">
        <w:rPr>
          <w:lang w:val="bg-BG"/>
        </w:rPr>
        <w:tab/>
      </w:r>
    </w:p>
    <w:p w:rsidR="004F47BB" w:rsidRPr="009072DA" w:rsidRDefault="004F47BB" w:rsidP="004F47BB">
      <w:pPr>
        <w:tabs>
          <w:tab w:val="left" w:pos="567"/>
          <w:tab w:val="left" w:pos="709"/>
          <w:tab w:val="left" w:leader="dot" w:pos="5245"/>
          <w:tab w:val="left" w:pos="5529"/>
          <w:tab w:val="left" w:leader="dot" w:pos="7230"/>
          <w:tab w:val="left" w:pos="7371"/>
          <w:tab w:val="left" w:leader="dot" w:pos="9356"/>
        </w:tabs>
        <w:spacing w:before="120"/>
        <w:ind w:left="567" w:hanging="567"/>
        <w:rPr>
          <w:rFonts w:cs="Arial"/>
          <w:snapToGrid w:val="0"/>
          <w:szCs w:val="20"/>
          <w:lang w:val="bg-BG"/>
        </w:rPr>
      </w:pPr>
      <w:r w:rsidRPr="009072DA">
        <w:rPr>
          <w:lang w:val="bg-BG"/>
        </w:rPr>
        <w:t>3.</w:t>
      </w:r>
      <w:r w:rsidRPr="009072DA">
        <w:rPr>
          <w:lang w:val="bg-BG"/>
        </w:rPr>
        <w:tab/>
        <w:t>Калибратор</w:t>
      </w:r>
    </w:p>
    <w:p w:rsidR="004F47BB" w:rsidRPr="009072DA" w:rsidRDefault="004F47BB" w:rsidP="004F47BB">
      <w:pPr>
        <w:tabs>
          <w:tab w:val="left" w:pos="567"/>
          <w:tab w:val="left" w:leader="dot" w:pos="4678"/>
          <w:tab w:val="left" w:pos="4962"/>
          <w:tab w:val="left" w:leader="dot" w:pos="6663"/>
          <w:tab w:val="left" w:pos="6804"/>
          <w:tab w:val="left" w:leader="dot" w:pos="9072"/>
        </w:tabs>
        <w:spacing w:before="120"/>
        <w:ind w:left="567"/>
        <w:rPr>
          <w:rFonts w:cs="Arial"/>
          <w:szCs w:val="20"/>
          <w:lang w:val="bg-BG"/>
        </w:rPr>
      </w:pPr>
      <w:r w:rsidRPr="009072DA">
        <w:rPr>
          <w:lang w:val="bg-BG"/>
        </w:rPr>
        <w:t xml:space="preserve">Производител: </w:t>
      </w:r>
      <w:r w:rsidRPr="009072DA">
        <w:rPr>
          <w:lang w:val="bg-BG"/>
        </w:rPr>
        <w:tab/>
      </w:r>
      <w:r w:rsidRPr="009072DA">
        <w:rPr>
          <w:lang w:val="bg-BG"/>
        </w:rPr>
        <w:tab/>
        <w:t xml:space="preserve">Тип: </w:t>
      </w:r>
      <w:r w:rsidRPr="009072DA">
        <w:rPr>
          <w:lang w:val="bg-BG"/>
        </w:rPr>
        <w:tab/>
      </w:r>
      <w:r w:rsidRPr="009072DA">
        <w:rPr>
          <w:lang w:val="bg-BG"/>
        </w:rPr>
        <w:tab/>
        <w:t xml:space="preserve">Последна проверка: </w:t>
      </w:r>
      <w:r w:rsidRPr="009072DA">
        <w:rPr>
          <w:lang w:val="bg-BG"/>
        </w:rPr>
        <w:tab/>
      </w:r>
    </w:p>
    <w:p w:rsidR="004F47BB" w:rsidRPr="009072DA" w:rsidRDefault="004F47BB" w:rsidP="004F47BB">
      <w:pPr>
        <w:tabs>
          <w:tab w:val="left" w:pos="567"/>
        </w:tabs>
        <w:spacing w:before="120"/>
        <w:ind w:left="567" w:hanging="567"/>
        <w:rPr>
          <w:rFonts w:cs="Arial"/>
          <w:szCs w:val="20"/>
          <w:lang w:val="bg-BG"/>
        </w:rPr>
      </w:pPr>
      <w:r w:rsidRPr="009072DA">
        <w:rPr>
          <w:lang w:val="bg-BG"/>
        </w:rPr>
        <w:t>4.</w:t>
      </w:r>
      <w:r w:rsidRPr="009072DA">
        <w:rPr>
          <w:lang w:val="bg-BG"/>
        </w:rPr>
        <w:tab/>
        <w:t>Принадлежности</w:t>
      </w:r>
    </w:p>
    <w:p w:rsidR="004F47BB" w:rsidRPr="009072DA" w:rsidRDefault="004F47BB" w:rsidP="004F47BB">
      <w:pPr>
        <w:tabs>
          <w:tab w:val="left" w:pos="567"/>
          <w:tab w:val="left" w:leader="dot" w:pos="9072"/>
        </w:tabs>
        <w:spacing w:before="120"/>
        <w:ind w:left="567"/>
        <w:rPr>
          <w:rFonts w:cs="Arial"/>
          <w:szCs w:val="20"/>
          <w:lang w:val="bg-BG"/>
        </w:rPr>
      </w:pPr>
      <w:r w:rsidRPr="009072DA">
        <w:rPr>
          <w:lang w:val="bg-BG"/>
        </w:rPr>
        <w:tab/>
      </w:r>
    </w:p>
    <w:p w:rsidR="004F47BB" w:rsidRPr="009072DA" w:rsidRDefault="004F47BB" w:rsidP="004F47BB">
      <w:pPr>
        <w:tabs>
          <w:tab w:val="left" w:pos="567"/>
          <w:tab w:val="left" w:pos="709"/>
          <w:tab w:val="left" w:leader="dot" w:pos="9072"/>
        </w:tabs>
        <w:spacing w:before="120"/>
        <w:ind w:left="567" w:hanging="567"/>
        <w:rPr>
          <w:rFonts w:cs="Arial"/>
          <w:szCs w:val="20"/>
          <w:lang w:val="bg-BG"/>
        </w:rPr>
      </w:pPr>
      <w:r w:rsidRPr="009072DA">
        <w:rPr>
          <w:lang w:val="bg-BG"/>
        </w:rPr>
        <w:t>5.</w:t>
      </w:r>
      <w:r w:rsidRPr="009072DA">
        <w:rPr>
          <w:lang w:val="bg-BG"/>
        </w:rPr>
        <w:tab/>
        <w:t xml:space="preserve">Забележки: </w:t>
      </w:r>
      <w:r w:rsidRPr="009072DA">
        <w:rPr>
          <w:lang w:val="bg-BG"/>
        </w:rPr>
        <w:tab/>
      </w:r>
    </w:p>
    <w:p w:rsidR="004F47BB" w:rsidRPr="009072DA" w:rsidRDefault="004F47BB" w:rsidP="004F47BB">
      <w:pPr>
        <w:tabs>
          <w:tab w:val="left" w:pos="567"/>
          <w:tab w:val="left" w:leader="dot" w:pos="9072"/>
        </w:tabs>
        <w:spacing w:before="120"/>
        <w:ind w:left="567"/>
        <w:rPr>
          <w:rFonts w:cs="Arial"/>
          <w:szCs w:val="20"/>
          <w:lang w:val="bg-BG"/>
        </w:rPr>
      </w:pPr>
      <w:r w:rsidRPr="009072DA">
        <w:rPr>
          <w:lang w:val="bg-BG"/>
        </w:rPr>
        <w:tab/>
      </w:r>
    </w:p>
    <w:p w:rsidR="004F47BB" w:rsidRPr="009072DA" w:rsidRDefault="004F47BB" w:rsidP="004F47BB">
      <w:pPr>
        <w:tabs>
          <w:tab w:val="left" w:pos="567"/>
          <w:tab w:val="left" w:leader="dot" w:pos="9072"/>
        </w:tabs>
        <w:spacing w:before="120"/>
        <w:ind w:left="567"/>
        <w:rPr>
          <w:rFonts w:cs="Arial"/>
          <w:szCs w:val="20"/>
          <w:lang w:val="bg-BG"/>
        </w:rPr>
      </w:pPr>
      <w:r w:rsidRPr="009072DA">
        <w:rPr>
          <w:lang w:val="bg-BG"/>
        </w:rPr>
        <w:tab/>
      </w:r>
    </w:p>
    <w:p w:rsidR="004F47BB" w:rsidRPr="009072DA" w:rsidRDefault="004F47BB" w:rsidP="004F47BB">
      <w:pPr>
        <w:tabs>
          <w:tab w:val="left" w:pos="567"/>
        </w:tabs>
        <w:spacing w:before="60"/>
        <w:ind w:left="567" w:hanging="567"/>
        <w:rPr>
          <w:rFonts w:cs="Arial"/>
          <w:szCs w:val="20"/>
          <w:lang w:val="bg-BG"/>
        </w:rPr>
      </w:pPr>
    </w:p>
    <w:p w:rsidR="004F47BB" w:rsidRPr="009072DA" w:rsidRDefault="004F47BB" w:rsidP="004F47BB">
      <w:pPr>
        <w:tabs>
          <w:tab w:val="left" w:pos="567"/>
        </w:tabs>
        <w:ind w:left="567" w:hanging="567"/>
        <w:rPr>
          <w:b/>
          <w:lang w:val="bg-BG"/>
        </w:rPr>
      </w:pPr>
      <w:r w:rsidRPr="009072DA">
        <w:rPr>
          <w:b/>
          <w:lang w:val="bg-BG"/>
        </w:rPr>
        <w:t>В</w:t>
      </w:r>
      <w:r w:rsidRPr="009072DA">
        <w:rPr>
          <w:lang w:val="bg-BG"/>
        </w:rPr>
        <w:tab/>
      </w:r>
      <w:r w:rsidRPr="009072DA">
        <w:rPr>
          <w:b/>
          <w:lang w:val="bg-BG"/>
        </w:rPr>
        <w:t>Условия на измерване — плавателно средство</w:t>
      </w:r>
    </w:p>
    <w:p w:rsidR="004F47BB" w:rsidRPr="009072DA" w:rsidRDefault="004F47BB" w:rsidP="004F47BB">
      <w:pPr>
        <w:tabs>
          <w:tab w:val="left" w:pos="567"/>
          <w:tab w:val="left" w:pos="709"/>
          <w:tab w:val="left" w:leader="dot" w:pos="9072"/>
        </w:tabs>
        <w:spacing w:before="120"/>
        <w:ind w:left="567" w:hanging="567"/>
        <w:rPr>
          <w:rFonts w:cs="Arial"/>
          <w:szCs w:val="20"/>
          <w:lang w:val="bg-BG"/>
        </w:rPr>
      </w:pPr>
      <w:r w:rsidRPr="009072DA">
        <w:rPr>
          <w:lang w:val="bg-BG"/>
        </w:rPr>
        <w:t>1.</w:t>
      </w:r>
      <w:r w:rsidRPr="009072DA">
        <w:rPr>
          <w:lang w:val="bg-BG"/>
        </w:rPr>
        <w:tab/>
        <w:t xml:space="preserve">Формирование по време на измерванията: </w:t>
      </w:r>
      <w:r w:rsidRPr="009072DA">
        <w:rPr>
          <w:lang w:val="bg-BG"/>
        </w:rPr>
        <w:tab/>
      </w:r>
    </w:p>
    <w:p w:rsidR="004F47BB" w:rsidRPr="009072DA" w:rsidRDefault="004F47BB" w:rsidP="004F47BB">
      <w:pPr>
        <w:tabs>
          <w:tab w:val="left" w:pos="567"/>
          <w:tab w:val="left" w:pos="709"/>
          <w:tab w:val="left" w:leader="dot" w:pos="4820"/>
          <w:tab w:val="left" w:pos="4962"/>
        </w:tabs>
        <w:spacing w:before="120"/>
        <w:ind w:left="567" w:hanging="567"/>
        <w:rPr>
          <w:rFonts w:cs="Arial"/>
          <w:szCs w:val="20"/>
          <w:lang w:val="bg-BG"/>
        </w:rPr>
      </w:pPr>
      <w:r w:rsidRPr="009072DA">
        <w:rPr>
          <w:lang w:val="bg-BG"/>
        </w:rPr>
        <w:t>2.</w:t>
      </w:r>
      <w:r w:rsidRPr="009072DA">
        <w:rPr>
          <w:lang w:val="bg-BG"/>
        </w:rPr>
        <w:tab/>
        <w:t xml:space="preserve">Товар/водоизместване: </w:t>
      </w:r>
      <w:r w:rsidRPr="009072DA">
        <w:rPr>
          <w:lang w:val="bg-BG"/>
        </w:rPr>
        <w:tab/>
      </w:r>
      <w:r w:rsidRPr="009072DA">
        <w:rPr>
          <w:lang w:val="bg-BG"/>
        </w:rPr>
        <w:tab/>
        <w:t xml:space="preserve">t/m³ </w:t>
      </w:r>
      <w:r w:rsidRPr="009072DA">
        <w:rPr>
          <w:vertAlign w:val="superscript"/>
          <w:lang w:val="bg-BG"/>
        </w:rPr>
        <w:t>*)</w:t>
      </w:r>
      <w:r w:rsidRPr="009072DA">
        <w:rPr>
          <w:lang w:val="bg-BG"/>
        </w:rPr>
        <w:t xml:space="preserve"> (приблизително … % от максималната стойност)</w:t>
      </w:r>
    </w:p>
    <w:p w:rsidR="004F47BB" w:rsidRPr="009072DA" w:rsidRDefault="004F47BB" w:rsidP="004F47BB">
      <w:pPr>
        <w:tabs>
          <w:tab w:val="left" w:pos="567"/>
          <w:tab w:val="left" w:pos="709"/>
          <w:tab w:val="left" w:leader="dot" w:pos="4820"/>
          <w:tab w:val="left" w:pos="4962"/>
        </w:tabs>
        <w:spacing w:before="120"/>
        <w:ind w:left="567" w:hanging="567"/>
        <w:rPr>
          <w:rFonts w:cs="Arial"/>
          <w:szCs w:val="20"/>
          <w:lang w:val="bg-BG"/>
        </w:rPr>
      </w:pPr>
      <w:r w:rsidRPr="009072DA">
        <w:rPr>
          <w:lang w:val="bg-BG"/>
        </w:rPr>
        <w:t>3.</w:t>
      </w:r>
      <w:r w:rsidRPr="009072DA">
        <w:rPr>
          <w:lang w:val="bg-BG"/>
        </w:rPr>
        <w:tab/>
        <w:t>Честота на въртене на главния двигател:</w:t>
      </w:r>
      <w:r w:rsidRPr="009072DA">
        <w:rPr>
          <w:lang w:val="bg-BG"/>
        </w:rPr>
        <w:tab/>
      </w:r>
      <w:r w:rsidRPr="009072DA">
        <w:rPr>
          <w:lang w:val="bg-BG"/>
        </w:rPr>
        <w:tab/>
        <w:t>min</w:t>
      </w:r>
      <w:r w:rsidRPr="009072DA">
        <w:rPr>
          <w:vertAlign w:val="superscript"/>
          <w:lang w:val="bg-BG"/>
        </w:rPr>
        <w:t>-1</w:t>
      </w:r>
      <w:r w:rsidRPr="009072DA">
        <w:rPr>
          <w:lang w:val="bg-BG"/>
        </w:rPr>
        <w:t xml:space="preserve"> (приблизително … % от максималната стойност)</w:t>
      </w:r>
    </w:p>
    <w:p w:rsidR="004F47BB" w:rsidRPr="009072DA" w:rsidRDefault="004F47BB" w:rsidP="004F47BB">
      <w:pPr>
        <w:widowControl w:val="0"/>
        <w:tabs>
          <w:tab w:val="left" w:pos="567"/>
          <w:tab w:val="left" w:pos="709"/>
          <w:tab w:val="left" w:leader="dot" w:pos="5103"/>
          <w:tab w:val="left" w:pos="5670"/>
        </w:tabs>
        <w:spacing w:before="120"/>
        <w:ind w:left="567" w:hanging="567"/>
        <w:rPr>
          <w:rFonts w:cs="Arial"/>
          <w:snapToGrid w:val="0"/>
          <w:szCs w:val="20"/>
          <w:lang w:val="bg-BG"/>
        </w:rPr>
      </w:pPr>
      <w:r w:rsidRPr="009072DA">
        <w:rPr>
          <w:lang w:val="bg-BG"/>
        </w:rPr>
        <w:t>4.</w:t>
      </w:r>
      <w:r w:rsidRPr="009072DA">
        <w:rPr>
          <w:lang w:val="bg-BG"/>
        </w:rPr>
        <w:tab/>
        <w:t xml:space="preserve">Работещи спомагателни двигатели № </w:t>
      </w:r>
      <w:r w:rsidRPr="009072DA">
        <w:rPr>
          <w:lang w:val="bg-BG"/>
        </w:rPr>
        <w:tab/>
      </w:r>
    </w:p>
    <w:p w:rsidR="004F47BB" w:rsidRPr="009072DA" w:rsidRDefault="004F47BB" w:rsidP="004F47BB">
      <w:pPr>
        <w:tabs>
          <w:tab w:val="left" w:pos="567"/>
          <w:tab w:val="left" w:pos="709"/>
          <w:tab w:val="left" w:leader="dot" w:pos="9072"/>
        </w:tabs>
        <w:spacing w:before="120"/>
        <w:ind w:left="567" w:hanging="567"/>
        <w:rPr>
          <w:rFonts w:cs="Arial"/>
          <w:szCs w:val="20"/>
          <w:lang w:val="bg-BG"/>
        </w:rPr>
      </w:pPr>
      <w:r w:rsidRPr="009072DA">
        <w:rPr>
          <w:lang w:val="bg-BG"/>
        </w:rPr>
        <w:t>5.</w:t>
      </w:r>
      <w:r w:rsidRPr="009072DA">
        <w:rPr>
          <w:lang w:val="bg-BG"/>
        </w:rPr>
        <w:tab/>
        <w:t xml:space="preserve">Забележки: </w:t>
      </w:r>
      <w:r w:rsidRPr="009072DA">
        <w:rPr>
          <w:lang w:val="bg-BG"/>
        </w:rPr>
        <w:tab/>
      </w:r>
    </w:p>
    <w:p w:rsidR="004F47BB" w:rsidRPr="009072DA" w:rsidRDefault="004F47BB" w:rsidP="004F47BB">
      <w:pPr>
        <w:tabs>
          <w:tab w:val="left" w:pos="567"/>
          <w:tab w:val="left" w:leader="dot" w:pos="9072"/>
        </w:tabs>
        <w:spacing w:before="60"/>
        <w:ind w:left="567"/>
        <w:rPr>
          <w:rFonts w:cs="Arial"/>
          <w:szCs w:val="20"/>
          <w:lang w:val="bg-BG"/>
        </w:rPr>
      </w:pPr>
      <w:r w:rsidRPr="009072DA">
        <w:rPr>
          <w:lang w:val="bg-BG"/>
        </w:rPr>
        <w:tab/>
      </w:r>
    </w:p>
    <w:p w:rsidR="004F47BB" w:rsidRPr="009072DA" w:rsidRDefault="004F47BB" w:rsidP="004F47BB">
      <w:pPr>
        <w:tabs>
          <w:tab w:val="left" w:pos="567"/>
          <w:tab w:val="left" w:leader="dot" w:pos="9072"/>
        </w:tabs>
        <w:spacing w:before="60"/>
        <w:ind w:left="567"/>
        <w:rPr>
          <w:rFonts w:cs="Arial"/>
          <w:szCs w:val="20"/>
          <w:lang w:val="bg-BG"/>
        </w:rPr>
      </w:pPr>
      <w:r w:rsidRPr="009072DA">
        <w:rPr>
          <w:lang w:val="bg-BG"/>
        </w:rPr>
        <w:tab/>
      </w:r>
    </w:p>
    <w:p w:rsidR="004F47BB" w:rsidRPr="009072DA" w:rsidRDefault="004F47BB" w:rsidP="004F47BB">
      <w:pPr>
        <w:tabs>
          <w:tab w:val="left" w:pos="567"/>
        </w:tabs>
        <w:ind w:left="567" w:hanging="567"/>
        <w:rPr>
          <w:b/>
          <w:lang w:val="bg-BG"/>
        </w:rPr>
      </w:pPr>
    </w:p>
    <w:p w:rsidR="004F47BB" w:rsidRPr="009072DA" w:rsidRDefault="004F47BB" w:rsidP="004F47BB">
      <w:pPr>
        <w:tabs>
          <w:tab w:val="left" w:pos="567"/>
        </w:tabs>
        <w:ind w:left="567" w:hanging="567"/>
        <w:rPr>
          <w:b/>
          <w:lang w:val="bg-BG"/>
        </w:rPr>
      </w:pPr>
      <w:r w:rsidRPr="009072DA">
        <w:rPr>
          <w:b/>
          <w:lang w:val="bg-BG"/>
        </w:rPr>
        <w:t>Г</w:t>
      </w:r>
      <w:r w:rsidRPr="009072DA">
        <w:rPr>
          <w:lang w:val="bg-BG"/>
        </w:rPr>
        <w:tab/>
      </w:r>
      <w:r w:rsidRPr="009072DA">
        <w:rPr>
          <w:b/>
          <w:lang w:val="bg-BG"/>
        </w:rPr>
        <w:t>Условия на измерване — околна среда</w:t>
      </w:r>
    </w:p>
    <w:p w:rsidR="004F47BB" w:rsidRPr="009072DA" w:rsidRDefault="004F47BB" w:rsidP="004F47BB">
      <w:pPr>
        <w:tabs>
          <w:tab w:val="left" w:pos="567"/>
          <w:tab w:val="left" w:pos="709"/>
          <w:tab w:val="left" w:leader="dot" w:pos="6663"/>
        </w:tabs>
        <w:spacing w:before="120"/>
        <w:ind w:left="567" w:hanging="567"/>
        <w:rPr>
          <w:rFonts w:cs="Arial"/>
          <w:szCs w:val="20"/>
          <w:lang w:val="bg-BG"/>
        </w:rPr>
      </w:pPr>
      <w:r w:rsidRPr="009072DA">
        <w:rPr>
          <w:lang w:val="bg-BG"/>
        </w:rPr>
        <w:t>1.</w:t>
      </w:r>
      <w:r w:rsidRPr="009072DA">
        <w:rPr>
          <w:lang w:val="bg-BG"/>
        </w:rPr>
        <w:tab/>
        <w:t xml:space="preserve">Област на измерване: </w:t>
      </w:r>
      <w:r w:rsidRPr="009072DA">
        <w:rPr>
          <w:lang w:val="bg-BG"/>
        </w:rPr>
        <w:tab/>
        <w:t xml:space="preserve"> Срещу течението/по течението </w:t>
      </w:r>
      <w:r w:rsidRPr="009072DA">
        <w:rPr>
          <w:vertAlign w:val="superscript"/>
          <w:lang w:val="bg-BG"/>
        </w:rPr>
        <w:footnoteReference w:id="82"/>
      </w:r>
    </w:p>
    <w:p w:rsidR="004F47BB" w:rsidRPr="009072DA" w:rsidRDefault="004F47BB" w:rsidP="004F47BB">
      <w:pPr>
        <w:tabs>
          <w:tab w:val="left" w:pos="567"/>
          <w:tab w:val="left" w:pos="709"/>
          <w:tab w:val="left" w:leader="dot" w:pos="3686"/>
          <w:tab w:val="left" w:pos="4111"/>
          <w:tab w:val="left" w:leader="dot" w:pos="7088"/>
          <w:tab w:val="left" w:pos="7230"/>
          <w:tab w:val="left" w:leader="dot" w:pos="8505"/>
        </w:tabs>
        <w:spacing w:before="120"/>
        <w:ind w:left="567" w:hanging="567"/>
        <w:rPr>
          <w:rFonts w:cs="Arial"/>
          <w:szCs w:val="20"/>
          <w:lang w:val="bg-BG"/>
        </w:rPr>
      </w:pPr>
      <w:r w:rsidRPr="009072DA">
        <w:rPr>
          <w:lang w:val="bg-BG"/>
        </w:rPr>
        <w:lastRenderedPageBreak/>
        <w:t>2.</w:t>
      </w:r>
      <w:r w:rsidRPr="009072DA">
        <w:rPr>
          <w:lang w:val="bg-BG"/>
        </w:rPr>
        <w:tab/>
        <w:t xml:space="preserve">Дълбочина на водата: </w:t>
      </w:r>
      <w:r w:rsidRPr="009072DA">
        <w:rPr>
          <w:lang w:val="bg-BG"/>
        </w:rPr>
        <w:tab/>
        <w:t xml:space="preserve"> m </w:t>
      </w:r>
      <w:r w:rsidRPr="009072DA">
        <w:rPr>
          <w:lang w:val="bg-BG"/>
        </w:rPr>
        <w:tab/>
        <w:t xml:space="preserve">(Съответно ниво на водата </w:t>
      </w:r>
      <w:r w:rsidRPr="009072DA">
        <w:rPr>
          <w:lang w:val="bg-BG"/>
        </w:rPr>
        <w:tab/>
      </w:r>
      <w:r w:rsidRPr="009072DA">
        <w:rPr>
          <w:lang w:val="bg-BG"/>
        </w:rPr>
        <w:tab/>
        <w:t xml:space="preserve">= </w:t>
      </w:r>
      <w:r w:rsidRPr="009072DA">
        <w:rPr>
          <w:lang w:val="bg-BG"/>
        </w:rPr>
        <w:tab/>
        <w:t xml:space="preserve"> m)</w:t>
      </w:r>
    </w:p>
    <w:p w:rsidR="004F47BB" w:rsidRPr="009072DA" w:rsidRDefault="004F47BB" w:rsidP="004F47BB">
      <w:pPr>
        <w:widowControl w:val="0"/>
        <w:tabs>
          <w:tab w:val="left" w:pos="567"/>
          <w:tab w:val="left" w:pos="709"/>
          <w:tab w:val="left" w:leader="dot" w:pos="4678"/>
          <w:tab w:val="left" w:pos="4820"/>
          <w:tab w:val="left" w:leader="dot" w:pos="6521"/>
          <w:tab w:val="left" w:pos="6663"/>
          <w:tab w:val="left" w:pos="6946"/>
          <w:tab w:val="left" w:leader="dot" w:pos="8647"/>
        </w:tabs>
        <w:spacing w:before="120"/>
        <w:ind w:left="567" w:hanging="567"/>
        <w:rPr>
          <w:rFonts w:cs="Arial"/>
          <w:snapToGrid w:val="0"/>
          <w:szCs w:val="20"/>
          <w:lang w:val="bg-BG"/>
        </w:rPr>
      </w:pPr>
      <w:r w:rsidRPr="009072DA">
        <w:rPr>
          <w:lang w:val="bg-BG"/>
        </w:rPr>
        <w:t>3.</w:t>
      </w:r>
      <w:r w:rsidRPr="009072DA">
        <w:rPr>
          <w:lang w:val="bg-BG"/>
        </w:rPr>
        <w:tab/>
        <w:t>Време:</w:t>
      </w:r>
      <w:r w:rsidRPr="009072DA">
        <w:rPr>
          <w:lang w:val="bg-BG"/>
        </w:rPr>
        <w:tab/>
      </w:r>
      <w:r w:rsidRPr="009072DA">
        <w:rPr>
          <w:lang w:val="bg-BG"/>
        </w:rPr>
        <w:tab/>
        <w:t>Температура:</w:t>
      </w:r>
      <w:r w:rsidRPr="009072DA">
        <w:rPr>
          <w:lang w:val="bg-BG"/>
        </w:rPr>
        <w:tab/>
        <w:t>°C</w:t>
      </w:r>
      <w:r w:rsidRPr="009072DA">
        <w:rPr>
          <w:lang w:val="bg-BG"/>
        </w:rPr>
        <w:tab/>
        <w:t>Сила на вятъра:</w:t>
      </w:r>
      <w:r w:rsidRPr="009072DA">
        <w:rPr>
          <w:lang w:val="bg-BG"/>
        </w:rPr>
        <w:tab/>
        <w:t xml:space="preserve"> BF</w:t>
      </w:r>
    </w:p>
    <w:p w:rsidR="004F47BB" w:rsidRPr="009072DA" w:rsidRDefault="004F47BB" w:rsidP="004F47BB">
      <w:pPr>
        <w:tabs>
          <w:tab w:val="left" w:pos="567"/>
          <w:tab w:val="left" w:pos="709"/>
          <w:tab w:val="left" w:leader="dot" w:pos="9072"/>
        </w:tabs>
        <w:spacing w:before="120"/>
        <w:ind w:left="567" w:hanging="567"/>
        <w:rPr>
          <w:rFonts w:cs="Arial"/>
          <w:szCs w:val="20"/>
          <w:lang w:val="bg-BG"/>
        </w:rPr>
      </w:pPr>
      <w:r w:rsidRPr="009072DA">
        <w:rPr>
          <w:lang w:val="bg-BG"/>
        </w:rPr>
        <w:t>4.</w:t>
      </w:r>
      <w:r w:rsidRPr="009072DA">
        <w:rPr>
          <w:lang w:val="bg-BG"/>
        </w:rPr>
        <w:tab/>
        <w:t>Намеса на външни шумове: Да/Не</w:t>
      </w:r>
      <w:r w:rsidRPr="009072DA">
        <w:rPr>
          <w:vertAlign w:val="superscript"/>
          <w:lang w:val="bg-BG"/>
        </w:rPr>
        <w:t>*)</w:t>
      </w:r>
      <w:r w:rsidRPr="009072DA">
        <w:rPr>
          <w:lang w:val="bg-BG"/>
        </w:rPr>
        <w:t xml:space="preserve">, Ако отговорът е „Да“, моля уточнете: </w:t>
      </w:r>
      <w:r w:rsidRPr="009072DA">
        <w:rPr>
          <w:lang w:val="bg-BG"/>
        </w:rPr>
        <w:tab/>
      </w:r>
    </w:p>
    <w:p w:rsidR="004F47BB" w:rsidRPr="009072DA" w:rsidRDefault="004F47BB" w:rsidP="004F47BB">
      <w:pPr>
        <w:tabs>
          <w:tab w:val="left" w:pos="567"/>
          <w:tab w:val="left" w:pos="709"/>
          <w:tab w:val="left" w:pos="1418"/>
          <w:tab w:val="left" w:leader="dot" w:pos="9072"/>
        </w:tabs>
        <w:spacing w:before="120"/>
        <w:ind w:left="567" w:hanging="567"/>
        <w:rPr>
          <w:rFonts w:cs="Arial"/>
          <w:szCs w:val="20"/>
          <w:lang w:val="bg-BG"/>
        </w:rPr>
      </w:pPr>
      <w:r w:rsidRPr="009072DA">
        <w:rPr>
          <w:lang w:val="bg-BG"/>
        </w:rPr>
        <w:t>5.</w:t>
      </w:r>
      <w:r w:rsidRPr="009072DA">
        <w:rPr>
          <w:lang w:val="bg-BG"/>
        </w:rPr>
        <w:tab/>
        <w:t xml:space="preserve">Забележки: </w:t>
      </w:r>
      <w:r w:rsidRPr="009072DA">
        <w:rPr>
          <w:lang w:val="bg-BG"/>
        </w:rPr>
        <w:tab/>
      </w:r>
    </w:p>
    <w:p w:rsidR="004F47BB" w:rsidRPr="009072DA" w:rsidRDefault="004F47BB" w:rsidP="004F47BB">
      <w:pPr>
        <w:tabs>
          <w:tab w:val="left" w:pos="567"/>
          <w:tab w:val="left" w:leader="dot" w:pos="9072"/>
        </w:tabs>
        <w:spacing w:before="120"/>
        <w:ind w:left="567"/>
        <w:rPr>
          <w:rFonts w:cs="Arial"/>
          <w:szCs w:val="20"/>
          <w:lang w:val="bg-BG"/>
        </w:rPr>
      </w:pPr>
      <w:r w:rsidRPr="009072DA">
        <w:rPr>
          <w:lang w:val="bg-BG"/>
        </w:rPr>
        <w:tab/>
      </w:r>
    </w:p>
    <w:p w:rsidR="004F47BB" w:rsidRPr="009072DA" w:rsidRDefault="004F47BB" w:rsidP="004F47BB">
      <w:pPr>
        <w:tabs>
          <w:tab w:val="left" w:pos="567"/>
          <w:tab w:val="left" w:leader="dot" w:pos="9072"/>
        </w:tabs>
        <w:spacing w:before="120"/>
        <w:ind w:left="567"/>
        <w:rPr>
          <w:rFonts w:cs="Arial"/>
          <w:szCs w:val="20"/>
          <w:lang w:val="bg-BG"/>
        </w:rPr>
      </w:pPr>
      <w:r w:rsidRPr="009072DA">
        <w:rPr>
          <w:lang w:val="bg-BG"/>
        </w:rPr>
        <w:tab/>
      </w:r>
    </w:p>
    <w:p w:rsidR="004F47BB" w:rsidRPr="009072DA" w:rsidRDefault="004F47BB" w:rsidP="004F47BB">
      <w:pPr>
        <w:tabs>
          <w:tab w:val="left" w:pos="567"/>
        </w:tabs>
        <w:ind w:left="567" w:hanging="567"/>
        <w:rPr>
          <w:b/>
          <w:lang w:val="bg-BG"/>
        </w:rPr>
      </w:pPr>
    </w:p>
    <w:p w:rsidR="004F47BB" w:rsidRPr="009072DA" w:rsidRDefault="004F47BB" w:rsidP="004F47BB">
      <w:pPr>
        <w:tabs>
          <w:tab w:val="left" w:pos="567"/>
        </w:tabs>
        <w:ind w:left="567" w:hanging="567"/>
        <w:rPr>
          <w:b/>
          <w:lang w:val="bg-BG"/>
        </w:rPr>
      </w:pPr>
      <w:r w:rsidRPr="009072DA">
        <w:rPr>
          <w:b/>
          <w:lang w:val="bg-BG"/>
        </w:rPr>
        <w:t>Д</w:t>
      </w:r>
      <w:r w:rsidRPr="009072DA">
        <w:rPr>
          <w:lang w:val="bg-BG"/>
        </w:rPr>
        <w:tab/>
      </w:r>
      <w:r w:rsidRPr="009072DA">
        <w:rPr>
          <w:b/>
          <w:lang w:val="bg-BG"/>
        </w:rPr>
        <w:t>Записване на измерването</w:t>
      </w:r>
    </w:p>
    <w:p w:rsidR="004F47BB" w:rsidRPr="009072DA" w:rsidRDefault="004F47BB" w:rsidP="004F47BB">
      <w:pPr>
        <w:tabs>
          <w:tab w:val="left" w:pos="567"/>
          <w:tab w:val="left" w:pos="709"/>
          <w:tab w:val="left" w:pos="1418"/>
          <w:tab w:val="left" w:leader="dot" w:pos="9072"/>
        </w:tabs>
        <w:overflowPunct w:val="0"/>
        <w:adjustRightInd w:val="0"/>
        <w:spacing w:before="120"/>
        <w:ind w:left="567" w:hanging="567"/>
        <w:textAlignment w:val="baseline"/>
        <w:rPr>
          <w:rFonts w:cs="Arial"/>
          <w:snapToGrid w:val="0"/>
          <w:szCs w:val="20"/>
          <w:lang w:val="bg-BG"/>
        </w:rPr>
      </w:pPr>
      <w:r w:rsidRPr="009072DA">
        <w:rPr>
          <w:lang w:val="bg-BG"/>
        </w:rPr>
        <w:t>1.</w:t>
      </w:r>
      <w:r w:rsidRPr="009072DA">
        <w:rPr>
          <w:lang w:val="bg-BG"/>
        </w:rPr>
        <w:tab/>
        <w:t xml:space="preserve">Извършил измерването: </w:t>
      </w:r>
      <w:r w:rsidRPr="009072DA">
        <w:rPr>
          <w:lang w:val="bg-BG"/>
        </w:rPr>
        <w:tab/>
      </w:r>
    </w:p>
    <w:p w:rsidR="004F47BB" w:rsidRPr="009072DA" w:rsidRDefault="004F47BB" w:rsidP="004F47BB">
      <w:pPr>
        <w:tabs>
          <w:tab w:val="left" w:pos="567"/>
          <w:tab w:val="left" w:pos="709"/>
          <w:tab w:val="left" w:leader="dot" w:pos="2268"/>
        </w:tabs>
        <w:spacing w:before="120"/>
        <w:ind w:left="567" w:hanging="567"/>
        <w:rPr>
          <w:rFonts w:cs="Arial"/>
          <w:szCs w:val="20"/>
          <w:lang w:val="bg-BG"/>
        </w:rPr>
      </w:pPr>
      <w:r w:rsidRPr="009072DA">
        <w:rPr>
          <w:lang w:val="bg-BG"/>
        </w:rPr>
        <w:t>2.</w:t>
      </w:r>
      <w:r w:rsidRPr="009072DA">
        <w:rPr>
          <w:lang w:val="bg-BG"/>
        </w:rPr>
        <w:tab/>
        <w:t xml:space="preserve">Дата: </w:t>
      </w:r>
      <w:r w:rsidRPr="009072DA">
        <w:rPr>
          <w:lang w:val="bg-BG"/>
        </w:rPr>
        <w:tab/>
      </w:r>
    </w:p>
    <w:p w:rsidR="004F47BB" w:rsidRPr="009072DA" w:rsidRDefault="004F47BB" w:rsidP="004F47BB">
      <w:pPr>
        <w:tabs>
          <w:tab w:val="left" w:pos="567"/>
          <w:tab w:val="left" w:pos="709"/>
          <w:tab w:val="left" w:pos="1418"/>
          <w:tab w:val="left" w:leader="dot" w:pos="9072"/>
        </w:tabs>
        <w:overflowPunct w:val="0"/>
        <w:adjustRightInd w:val="0"/>
        <w:spacing w:before="120"/>
        <w:ind w:left="567" w:hanging="567"/>
        <w:textAlignment w:val="baseline"/>
        <w:rPr>
          <w:rFonts w:cs="Arial"/>
          <w:snapToGrid w:val="0"/>
          <w:szCs w:val="20"/>
          <w:lang w:val="bg-BG"/>
        </w:rPr>
      </w:pPr>
      <w:r w:rsidRPr="009072DA">
        <w:rPr>
          <w:lang w:val="bg-BG"/>
        </w:rPr>
        <w:t>3.</w:t>
      </w:r>
      <w:r w:rsidRPr="009072DA">
        <w:rPr>
          <w:lang w:val="bg-BG"/>
        </w:rPr>
        <w:tab/>
        <w:t xml:space="preserve">Забележки: </w:t>
      </w:r>
      <w:r w:rsidRPr="009072DA">
        <w:rPr>
          <w:lang w:val="bg-BG"/>
        </w:rPr>
        <w:tab/>
      </w:r>
    </w:p>
    <w:p w:rsidR="004F47BB" w:rsidRPr="009072DA" w:rsidRDefault="004F47BB" w:rsidP="004F47BB">
      <w:pPr>
        <w:tabs>
          <w:tab w:val="left" w:pos="567"/>
          <w:tab w:val="left" w:leader="dot" w:pos="9072"/>
        </w:tabs>
        <w:spacing w:before="120"/>
        <w:ind w:left="567"/>
        <w:rPr>
          <w:rFonts w:cs="Arial"/>
          <w:szCs w:val="20"/>
          <w:lang w:val="bg-BG"/>
        </w:rPr>
      </w:pPr>
      <w:r w:rsidRPr="009072DA">
        <w:rPr>
          <w:lang w:val="bg-BG"/>
        </w:rPr>
        <w:tab/>
      </w:r>
    </w:p>
    <w:p w:rsidR="004F47BB" w:rsidRPr="009072DA" w:rsidRDefault="004F47BB" w:rsidP="004F47BB">
      <w:pPr>
        <w:tabs>
          <w:tab w:val="left" w:pos="567"/>
          <w:tab w:val="left" w:leader="dot" w:pos="9072"/>
        </w:tabs>
        <w:spacing w:before="120"/>
        <w:ind w:left="567"/>
        <w:rPr>
          <w:rFonts w:cs="Arial"/>
          <w:szCs w:val="20"/>
          <w:lang w:val="bg-BG"/>
        </w:rPr>
      </w:pPr>
      <w:r w:rsidRPr="009072DA">
        <w:rPr>
          <w:lang w:val="bg-BG"/>
        </w:rPr>
        <w:tab/>
      </w:r>
    </w:p>
    <w:p w:rsidR="004F47BB" w:rsidRPr="009072DA" w:rsidRDefault="004F47BB" w:rsidP="004F47BB">
      <w:pPr>
        <w:tabs>
          <w:tab w:val="left" w:pos="567"/>
          <w:tab w:val="left" w:pos="709"/>
          <w:tab w:val="left" w:pos="1418"/>
          <w:tab w:val="left" w:leader="dot" w:pos="4111"/>
        </w:tabs>
        <w:overflowPunct w:val="0"/>
        <w:adjustRightInd w:val="0"/>
        <w:spacing w:before="120"/>
        <w:ind w:left="567" w:hanging="567"/>
        <w:textAlignment w:val="baseline"/>
        <w:rPr>
          <w:rFonts w:cs="Arial"/>
          <w:snapToGrid w:val="0"/>
          <w:szCs w:val="20"/>
          <w:lang w:val="bg-BG"/>
        </w:rPr>
      </w:pPr>
      <w:r w:rsidRPr="009072DA">
        <w:rPr>
          <w:lang w:val="bg-BG"/>
        </w:rPr>
        <w:t>4.</w:t>
      </w:r>
      <w:r w:rsidRPr="009072DA">
        <w:rPr>
          <w:lang w:val="bg-BG"/>
        </w:rPr>
        <w:tab/>
        <w:t xml:space="preserve">Подпис: </w:t>
      </w:r>
      <w:r w:rsidRPr="009072DA">
        <w:rPr>
          <w:lang w:val="bg-BG"/>
        </w:rPr>
        <w:tab/>
      </w:r>
    </w:p>
    <w:p w:rsidR="004F47BB" w:rsidRPr="009072DA" w:rsidRDefault="004F47BB" w:rsidP="004F47BB">
      <w:pPr>
        <w:tabs>
          <w:tab w:val="left" w:pos="567"/>
        </w:tabs>
        <w:spacing w:before="120"/>
        <w:ind w:left="567" w:hanging="567"/>
        <w:rPr>
          <w:rFonts w:cs="Arial"/>
          <w:szCs w:val="20"/>
          <w:lang w:val="bg-BG"/>
        </w:rPr>
      </w:pPr>
    </w:p>
    <w:p w:rsidR="004F47BB" w:rsidRPr="009072DA" w:rsidRDefault="004F47BB" w:rsidP="004F47BB">
      <w:pPr>
        <w:tabs>
          <w:tab w:val="left" w:pos="567"/>
        </w:tabs>
        <w:spacing w:before="60"/>
        <w:ind w:left="567" w:hanging="567"/>
        <w:rPr>
          <w:rFonts w:cs="Arial"/>
          <w:szCs w:val="20"/>
          <w:lang w:val="bg-BG"/>
        </w:rPr>
      </w:pPr>
      <w:r w:rsidRPr="009072DA">
        <w:rPr>
          <w:lang w:val="bg-BG"/>
        </w:rPr>
        <w:br w:type="page"/>
      </w:r>
      <w:r w:rsidRPr="009072DA">
        <w:rPr>
          <w:b/>
          <w:lang w:val="bg-BG"/>
        </w:rPr>
        <w:lastRenderedPageBreak/>
        <w:t>E.1</w:t>
      </w:r>
      <w:r w:rsidRPr="009072DA">
        <w:rPr>
          <w:lang w:val="bg-BG"/>
        </w:rPr>
        <w:tab/>
      </w:r>
      <w:r w:rsidRPr="009072DA">
        <w:rPr>
          <w:b/>
          <w:lang w:val="bg-BG"/>
        </w:rPr>
        <w:t>Резултати от измерването</w:t>
      </w:r>
    </w:p>
    <w:p w:rsidR="004F47BB" w:rsidRPr="009072DA" w:rsidRDefault="004F47BB" w:rsidP="004F47BB">
      <w:pPr>
        <w:tabs>
          <w:tab w:val="left" w:pos="567"/>
          <w:tab w:val="left" w:pos="1418"/>
        </w:tabs>
        <w:spacing w:before="60"/>
        <w:ind w:left="567"/>
        <w:rPr>
          <w:rFonts w:cs="Arial"/>
          <w:b/>
          <w:bCs/>
          <w:szCs w:val="20"/>
          <w:lang w:val="bg-BG"/>
        </w:rPr>
      </w:pPr>
      <w:r w:rsidRPr="009072DA">
        <w:rPr>
          <w:b/>
          <w:lang w:val="bg-BG"/>
        </w:rPr>
        <w:t>Измерване на нивото на шума на борда на плавателното средство</w:t>
      </w:r>
    </w:p>
    <w:p w:rsidR="004F47BB" w:rsidRPr="009072DA" w:rsidRDefault="004F47BB" w:rsidP="004F47BB">
      <w:pPr>
        <w:tabs>
          <w:tab w:val="left" w:pos="567"/>
          <w:tab w:val="left" w:pos="1418"/>
        </w:tabs>
        <w:spacing w:before="60"/>
        <w:ind w:left="567"/>
        <w:rPr>
          <w:rFonts w:cs="Arial"/>
          <w:b/>
          <w:bCs/>
          <w:szCs w:val="20"/>
          <w:lang w:val="bg-BG"/>
        </w:rPr>
      </w:pP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7"/>
        <w:gridCol w:w="2438"/>
        <w:gridCol w:w="706"/>
        <w:gridCol w:w="630"/>
        <w:gridCol w:w="708"/>
        <w:gridCol w:w="709"/>
        <w:gridCol w:w="680"/>
        <w:gridCol w:w="2211"/>
      </w:tblGrid>
      <w:tr w:rsidR="004F47BB" w:rsidRPr="009072DA" w:rsidTr="00D45887">
        <w:tc>
          <w:tcPr>
            <w:tcW w:w="397" w:type="dxa"/>
            <w:vMerge w:val="restart"/>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0"/>
                <w:lang w:val="bg-BG"/>
              </w:rPr>
              <w:t>Номер</w:t>
            </w:r>
          </w:p>
        </w:tc>
        <w:tc>
          <w:tcPr>
            <w:tcW w:w="2438" w:type="dxa"/>
            <w:vMerge w:val="restart"/>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Точка на измерване</w:t>
            </w:r>
          </w:p>
        </w:tc>
        <w:tc>
          <w:tcPr>
            <w:tcW w:w="1336" w:type="dxa"/>
            <w:gridSpan w:val="2"/>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Врати</w:t>
            </w:r>
          </w:p>
        </w:tc>
        <w:tc>
          <w:tcPr>
            <w:tcW w:w="1417" w:type="dxa"/>
            <w:gridSpan w:val="2"/>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Прозорци</w:t>
            </w:r>
          </w:p>
        </w:tc>
        <w:tc>
          <w:tcPr>
            <w:tcW w:w="680" w:type="dxa"/>
            <w:vMerge w:val="restart"/>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Измерена стойност в dB(A)</w:t>
            </w:r>
          </w:p>
        </w:tc>
        <w:tc>
          <w:tcPr>
            <w:tcW w:w="2211" w:type="dxa"/>
            <w:vMerge w:val="restart"/>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Забележки</w:t>
            </w:r>
          </w:p>
        </w:tc>
      </w:tr>
      <w:tr w:rsidR="004F47BB" w:rsidRPr="009072DA" w:rsidTr="00D45887">
        <w:trPr>
          <w:trHeight w:val="573"/>
        </w:trPr>
        <w:tc>
          <w:tcPr>
            <w:tcW w:w="397" w:type="dxa"/>
            <w:vMerge/>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2438" w:type="dxa"/>
            <w:vMerge/>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706"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отворени</w:t>
            </w:r>
          </w:p>
        </w:tc>
        <w:tc>
          <w:tcPr>
            <w:tcW w:w="630"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затворени</w:t>
            </w:r>
          </w:p>
        </w:tc>
        <w:tc>
          <w:tcPr>
            <w:tcW w:w="708"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отворени</w:t>
            </w:r>
          </w:p>
        </w:tc>
        <w:tc>
          <w:tcPr>
            <w:tcW w:w="70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затворени</w:t>
            </w:r>
          </w:p>
        </w:tc>
        <w:tc>
          <w:tcPr>
            <w:tcW w:w="680" w:type="dxa"/>
            <w:vMerge/>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2211" w:type="dxa"/>
            <w:vMerge/>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r>
      <w:tr w:rsidR="004F47BB" w:rsidRPr="009072DA" w:rsidTr="00D45887">
        <w:trPr>
          <w:trHeight w:val="397"/>
        </w:trPr>
        <w:tc>
          <w:tcPr>
            <w:tcW w:w="397"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2438"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706"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630"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708"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70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680"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2211"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r>
      <w:tr w:rsidR="004F47BB" w:rsidRPr="009072DA" w:rsidTr="00D45887">
        <w:trPr>
          <w:trHeight w:val="397"/>
        </w:trPr>
        <w:tc>
          <w:tcPr>
            <w:tcW w:w="397"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2438"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706"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630"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708"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70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680"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2211"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r>
      <w:tr w:rsidR="004F47BB" w:rsidRPr="009072DA" w:rsidTr="00D45887">
        <w:trPr>
          <w:trHeight w:val="397"/>
        </w:trPr>
        <w:tc>
          <w:tcPr>
            <w:tcW w:w="397"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2438"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706"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630"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708"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709"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680"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c>
          <w:tcPr>
            <w:tcW w:w="2211"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rPr>
                <w:rFonts w:cs="Arial"/>
                <w:sz w:val="16"/>
                <w:szCs w:val="16"/>
                <w:lang w:val="bg-BG"/>
              </w:rPr>
            </w:pPr>
          </w:p>
        </w:tc>
      </w:tr>
    </w:tbl>
    <w:p w:rsidR="004F47BB" w:rsidRPr="009072DA" w:rsidRDefault="004F47BB" w:rsidP="004F47BB">
      <w:pPr>
        <w:spacing w:before="60"/>
        <w:ind w:left="709"/>
        <w:rPr>
          <w:rFonts w:cs="Arial"/>
          <w:b/>
          <w:bCs/>
          <w:lang w:val="bg-BG"/>
        </w:rPr>
      </w:pPr>
    </w:p>
    <w:p w:rsidR="004F47BB" w:rsidRPr="009072DA" w:rsidRDefault="004F47BB" w:rsidP="004F47BB">
      <w:pPr>
        <w:spacing w:before="60"/>
        <w:ind w:left="709"/>
        <w:rPr>
          <w:rFonts w:cs="Arial"/>
          <w:b/>
          <w:bCs/>
          <w:szCs w:val="20"/>
          <w:lang w:val="bg-BG"/>
        </w:rPr>
      </w:pPr>
    </w:p>
    <w:p w:rsidR="004F47BB" w:rsidRPr="009072DA" w:rsidRDefault="004F47BB" w:rsidP="004F47BB">
      <w:pPr>
        <w:tabs>
          <w:tab w:val="left" w:pos="567"/>
        </w:tabs>
        <w:spacing w:before="60"/>
        <w:ind w:left="567" w:hanging="567"/>
        <w:rPr>
          <w:rFonts w:cs="Arial"/>
          <w:b/>
          <w:bCs/>
          <w:szCs w:val="20"/>
          <w:lang w:val="bg-BG"/>
        </w:rPr>
      </w:pPr>
      <w:r w:rsidRPr="009072DA">
        <w:rPr>
          <w:b/>
          <w:lang w:val="bg-BG"/>
        </w:rPr>
        <w:t>E.2</w:t>
      </w:r>
      <w:r w:rsidRPr="009072DA">
        <w:rPr>
          <w:lang w:val="bg-BG"/>
        </w:rPr>
        <w:tab/>
      </w:r>
      <w:r w:rsidRPr="009072DA">
        <w:rPr>
          <w:b/>
          <w:lang w:val="bg-BG"/>
        </w:rPr>
        <w:t>Резултати от измерването</w:t>
      </w:r>
    </w:p>
    <w:p w:rsidR="004F47BB" w:rsidRPr="009072DA" w:rsidRDefault="004F47BB" w:rsidP="004F47BB">
      <w:pPr>
        <w:tabs>
          <w:tab w:val="left" w:pos="567"/>
          <w:tab w:val="left" w:pos="1418"/>
        </w:tabs>
        <w:spacing w:before="60"/>
        <w:ind w:left="567"/>
        <w:rPr>
          <w:rFonts w:cs="Arial"/>
          <w:b/>
          <w:bCs/>
          <w:szCs w:val="20"/>
          <w:lang w:val="bg-BG"/>
        </w:rPr>
      </w:pPr>
      <w:r w:rsidRPr="009072DA">
        <w:rPr>
          <w:b/>
          <w:lang w:val="bg-BG"/>
        </w:rPr>
        <w:t>Измерване на въздушния шум, издаван от плавателното средство:</w:t>
      </w:r>
    </w:p>
    <w:p w:rsidR="004F47BB" w:rsidRPr="009072DA" w:rsidRDefault="004F47BB" w:rsidP="004F47BB">
      <w:pPr>
        <w:tabs>
          <w:tab w:val="left" w:pos="567"/>
          <w:tab w:val="left" w:pos="1418"/>
        </w:tabs>
        <w:spacing w:before="60"/>
        <w:ind w:left="567"/>
        <w:rPr>
          <w:rFonts w:cs="Arial"/>
          <w:b/>
          <w:bCs/>
          <w:szCs w:val="20"/>
          <w:lang w:val="bg-BG"/>
        </w:rPr>
      </w:pPr>
    </w:p>
    <w:tbl>
      <w:tblPr>
        <w:tblW w:w="0" w:type="auto"/>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3"/>
        <w:gridCol w:w="3123"/>
        <w:gridCol w:w="1134"/>
        <w:gridCol w:w="3742"/>
      </w:tblGrid>
      <w:tr w:rsidR="004F47BB" w:rsidRPr="009072DA" w:rsidTr="00D45887">
        <w:trPr>
          <w:trHeight w:val="425"/>
        </w:trPr>
        <w:tc>
          <w:tcPr>
            <w:tcW w:w="563" w:type="dxa"/>
            <w:vMerge w:val="restart"/>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Номер</w:t>
            </w:r>
          </w:p>
        </w:tc>
        <w:tc>
          <w:tcPr>
            <w:tcW w:w="3123" w:type="dxa"/>
            <w:vMerge w:val="restart"/>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Точка на измерване</w:t>
            </w:r>
          </w:p>
        </w:tc>
        <w:tc>
          <w:tcPr>
            <w:tcW w:w="1134" w:type="dxa"/>
            <w:vMerge w:val="restart"/>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Измерени стойности в dB(A)</w:t>
            </w:r>
          </w:p>
        </w:tc>
        <w:tc>
          <w:tcPr>
            <w:tcW w:w="3742" w:type="dxa"/>
            <w:vMerge w:val="restart"/>
            <w:tcBorders>
              <w:top w:val="single" w:sz="4" w:space="0" w:color="auto"/>
              <w:left w:val="single" w:sz="4" w:space="0" w:color="auto"/>
              <w:bottom w:val="single" w:sz="4" w:space="0" w:color="auto"/>
              <w:right w:val="single" w:sz="4" w:space="0" w:color="auto"/>
            </w:tcBorders>
          </w:tcPr>
          <w:p w:rsidR="004F47BB" w:rsidRPr="009072DA" w:rsidRDefault="004F47BB" w:rsidP="004F47BB">
            <w:pPr>
              <w:spacing w:before="60"/>
              <w:jc w:val="center"/>
              <w:rPr>
                <w:rFonts w:cs="Arial"/>
                <w:sz w:val="16"/>
                <w:szCs w:val="16"/>
                <w:lang w:val="bg-BG"/>
              </w:rPr>
            </w:pPr>
            <w:r w:rsidRPr="009072DA">
              <w:rPr>
                <w:sz w:val="16"/>
                <w:lang w:val="bg-BG"/>
              </w:rPr>
              <w:t>Забележки</w:t>
            </w:r>
          </w:p>
        </w:tc>
      </w:tr>
      <w:tr w:rsidR="004F47BB" w:rsidRPr="009072DA" w:rsidTr="00D45887">
        <w:trPr>
          <w:trHeight w:val="485"/>
        </w:trPr>
        <w:tc>
          <w:tcPr>
            <w:tcW w:w="563" w:type="dxa"/>
            <w:vMerge/>
            <w:tcBorders>
              <w:top w:val="single" w:sz="4" w:space="0" w:color="auto"/>
              <w:left w:val="single" w:sz="4" w:space="0" w:color="auto"/>
              <w:bottom w:val="single" w:sz="4" w:space="0" w:color="auto"/>
              <w:right w:val="single" w:sz="4" w:space="0" w:color="auto"/>
            </w:tcBorders>
          </w:tcPr>
          <w:p w:rsidR="004F47BB" w:rsidRPr="009072DA" w:rsidRDefault="004F47BB" w:rsidP="004F47BB">
            <w:pPr>
              <w:tabs>
                <w:tab w:val="left" w:pos="1418"/>
              </w:tabs>
              <w:spacing w:before="60"/>
              <w:rPr>
                <w:rFonts w:cs="Arial"/>
                <w:sz w:val="16"/>
                <w:szCs w:val="16"/>
                <w:lang w:val="bg-BG"/>
              </w:rPr>
            </w:pPr>
          </w:p>
        </w:tc>
        <w:tc>
          <w:tcPr>
            <w:tcW w:w="3123" w:type="dxa"/>
            <w:vMerge/>
            <w:tcBorders>
              <w:top w:val="single" w:sz="4" w:space="0" w:color="auto"/>
              <w:left w:val="single" w:sz="4" w:space="0" w:color="auto"/>
              <w:bottom w:val="single" w:sz="4" w:space="0" w:color="auto"/>
              <w:right w:val="single" w:sz="4" w:space="0" w:color="auto"/>
            </w:tcBorders>
          </w:tcPr>
          <w:p w:rsidR="004F47BB" w:rsidRPr="009072DA" w:rsidRDefault="004F47BB" w:rsidP="004F47BB">
            <w:pPr>
              <w:tabs>
                <w:tab w:val="left" w:pos="1418"/>
              </w:tabs>
              <w:spacing w:before="60"/>
              <w:rPr>
                <w:rFonts w:cs="Arial"/>
                <w:sz w:val="16"/>
                <w:szCs w:val="16"/>
                <w:lang w:val="bg-BG"/>
              </w:rPr>
            </w:pPr>
          </w:p>
        </w:tc>
        <w:tc>
          <w:tcPr>
            <w:tcW w:w="1134" w:type="dxa"/>
            <w:vMerge/>
            <w:tcBorders>
              <w:top w:val="single" w:sz="4" w:space="0" w:color="auto"/>
              <w:left w:val="single" w:sz="4" w:space="0" w:color="auto"/>
              <w:bottom w:val="single" w:sz="4" w:space="0" w:color="auto"/>
              <w:right w:val="single" w:sz="4" w:space="0" w:color="auto"/>
            </w:tcBorders>
          </w:tcPr>
          <w:p w:rsidR="004F47BB" w:rsidRPr="009072DA" w:rsidRDefault="004F47BB" w:rsidP="004F47BB">
            <w:pPr>
              <w:tabs>
                <w:tab w:val="left" w:pos="1418"/>
              </w:tabs>
              <w:spacing w:before="60"/>
              <w:jc w:val="center"/>
              <w:rPr>
                <w:rFonts w:cs="Arial"/>
                <w:sz w:val="16"/>
                <w:szCs w:val="16"/>
                <w:lang w:val="bg-BG"/>
              </w:rPr>
            </w:pPr>
          </w:p>
        </w:tc>
        <w:tc>
          <w:tcPr>
            <w:tcW w:w="3742" w:type="dxa"/>
            <w:vMerge/>
            <w:tcBorders>
              <w:top w:val="single" w:sz="4" w:space="0" w:color="auto"/>
              <w:left w:val="single" w:sz="4" w:space="0" w:color="auto"/>
              <w:bottom w:val="single" w:sz="4" w:space="0" w:color="auto"/>
              <w:right w:val="single" w:sz="4" w:space="0" w:color="auto"/>
            </w:tcBorders>
          </w:tcPr>
          <w:p w:rsidR="004F47BB" w:rsidRPr="009072DA" w:rsidRDefault="004F47BB" w:rsidP="004F47BB">
            <w:pPr>
              <w:tabs>
                <w:tab w:val="left" w:pos="1418"/>
              </w:tabs>
              <w:spacing w:before="60"/>
              <w:rPr>
                <w:rFonts w:cs="Arial"/>
                <w:sz w:val="16"/>
                <w:szCs w:val="16"/>
                <w:lang w:val="bg-BG"/>
              </w:rPr>
            </w:pPr>
          </w:p>
        </w:tc>
      </w:tr>
      <w:tr w:rsidR="004F47BB" w:rsidRPr="009072DA" w:rsidTr="00D45887">
        <w:trPr>
          <w:trHeight w:val="397"/>
        </w:trPr>
        <w:tc>
          <w:tcPr>
            <w:tcW w:w="563"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tabs>
                <w:tab w:val="left" w:pos="1418"/>
              </w:tabs>
              <w:spacing w:before="60"/>
              <w:rPr>
                <w:rFonts w:cs="Arial"/>
                <w:sz w:val="16"/>
                <w:szCs w:val="16"/>
                <w:lang w:val="bg-BG"/>
              </w:rPr>
            </w:pPr>
          </w:p>
        </w:tc>
        <w:tc>
          <w:tcPr>
            <w:tcW w:w="3123"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tabs>
                <w:tab w:val="left" w:pos="1418"/>
              </w:tabs>
              <w:spacing w:before="60"/>
              <w:rPr>
                <w:rFonts w:cs="Arial"/>
                <w:sz w:val="16"/>
                <w:szCs w:val="16"/>
                <w:lang w:val="bg-BG"/>
              </w:rPr>
            </w:pPr>
          </w:p>
        </w:tc>
        <w:tc>
          <w:tcPr>
            <w:tcW w:w="1134"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tabs>
                <w:tab w:val="left" w:pos="1418"/>
              </w:tabs>
              <w:spacing w:before="60"/>
              <w:jc w:val="center"/>
              <w:rPr>
                <w:rFonts w:cs="Arial"/>
                <w:sz w:val="16"/>
                <w:szCs w:val="16"/>
                <w:lang w:val="bg-BG"/>
              </w:rPr>
            </w:pPr>
          </w:p>
        </w:tc>
        <w:tc>
          <w:tcPr>
            <w:tcW w:w="374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tabs>
                <w:tab w:val="left" w:pos="1418"/>
              </w:tabs>
              <w:spacing w:before="60"/>
              <w:rPr>
                <w:rFonts w:cs="Arial"/>
                <w:sz w:val="16"/>
                <w:szCs w:val="16"/>
                <w:lang w:val="bg-BG"/>
              </w:rPr>
            </w:pPr>
          </w:p>
        </w:tc>
      </w:tr>
      <w:tr w:rsidR="004F47BB" w:rsidRPr="009072DA" w:rsidTr="00D45887">
        <w:trPr>
          <w:trHeight w:val="397"/>
        </w:trPr>
        <w:tc>
          <w:tcPr>
            <w:tcW w:w="563"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tabs>
                <w:tab w:val="left" w:pos="1418"/>
              </w:tabs>
              <w:spacing w:before="60"/>
              <w:rPr>
                <w:rFonts w:cs="Arial"/>
                <w:sz w:val="16"/>
                <w:szCs w:val="16"/>
                <w:lang w:val="bg-BG"/>
              </w:rPr>
            </w:pPr>
          </w:p>
        </w:tc>
        <w:tc>
          <w:tcPr>
            <w:tcW w:w="3123"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tabs>
                <w:tab w:val="left" w:pos="1418"/>
              </w:tabs>
              <w:spacing w:before="60"/>
              <w:rPr>
                <w:rFonts w:cs="Arial"/>
                <w:sz w:val="16"/>
                <w:szCs w:val="16"/>
                <w:lang w:val="bg-BG"/>
              </w:rPr>
            </w:pPr>
          </w:p>
        </w:tc>
        <w:tc>
          <w:tcPr>
            <w:tcW w:w="1134"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tabs>
                <w:tab w:val="left" w:pos="1418"/>
              </w:tabs>
              <w:spacing w:before="60"/>
              <w:jc w:val="center"/>
              <w:rPr>
                <w:rFonts w:cs="Arial"/>
                <w:sz w:val="16"/>
                <w:szCs w:val="16"/>
                <w:lang w:val="bg-BG"/>
              </w:rPr>
            </w:pPr>
          </w:p>
        </w:tc>
        <w:tc>
          <w:tcPr>
            <w:tcW w:w="374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tabs>
                <w:tab w:val="left" w:pos="1418"/>
              </w:tabs>
              <w:spacing w:before="60"/>
              <w:rPr>
                <w:rFonts w:cs="Arial"/>
                <w:sz w:val="16"/>
                <w:szCs w:val="16"/>
                <w:lang w:val="bg-BG"/>
              </w:rPr>
            </w:pPr>
          </w:p>
        </w:tc>
      </w:tr>
      <w:tr w:rsidR="004F47BB" w:rsidRPr="009072DA" w:rsidTr="00D45887">
        <w:trPr>
          <w:trHeight w:val="397"/>
        </w:trPr>
        <w:tc>
          <w:tcPr>
            <w:tcW w:w="563"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tabs>
                <w:tab w:val="left" w:pos="1418"/>
              </w:tabs>
              <w:spacing w:before="60"/>
              <w:rPr>
                <w:rFonts w:cs="Arial"/>
                <w:sz w:val="16"/>
                <w:szCs w:val="16"/>
                <w:lang w:val="bg-BG"/>
              </w:rPr>
            </w:pPr>
          </w:p>
        </w:tc>
        <w:tc>
          <w:tcPr>
            <w:tcW w:w="3123"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tabs>
                <w:tab w:val="left" w:pos="1418"/>
              </w:tabs>
              <w:spacing w:before="60"/>
              <w:rPr>
                <w:rFonts w:cs="Arial"/>
                <w:sz w:val="16"/>
                <w:szCs w:val="16"/>
                <w:lang w:val="bg-BG"/>
              </w:rPr>
            </w:pPr>
          </w:p>
        </w:tc>
        <w:tc>
          <w:tcPr>
            <w:tcW w:w="1134"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tabs>
                <w:tab w:val="left" w:pos="1418"/>
              </w:tabs>
              <w:spacing w:before="60"/>
              <w:jc w:val="center"/>
              <w:rPr>
                <w:rFonts w:cs="Arial"/>
                <w:sz w:val="16"/>
                <w:szCs w:val="16"/>
                <w:lang w:val="bg-BG"/>
              </w:rPr>
            </w:pPr>
          </w:p>
        </w:tc>
        <w:tc>
          <w:tcPr>
            <w:tcW w:w="3742" w:type="dxa"/>
            <w:tcBorders>
              <w:top w:val="single" w:sz="4" w:space="0" w:color="auto"/>
              <w:left w:val="single" w:sz="4" w:space="0" w:color="auto"/>
              <w:bottom w:val="single" w:sz="4" w:space="0" w:color="auto"/>
              <w:right w:val="single" w:sz="4" w:space="0" w:color="auto"/>
            </w:tcBorders>
          </w:tcPr>
          <w:p w:rsidR="004F47BB" w:rsidRPr="009072DA" w:rsidRDefault="004F47BB" w:rsidP="004F47BB">
            <w:pPr>
              <w:tabs>
                <w:tab w:val="left" w:pos="1418"/>
              </w:tabs>
              <w:spacing w:before="60"/>
              <w:rPr>
                <w:rFonts w:cs="Arial"/>
                <w:sz w:val="16"/>
                <w:szCs w:val="16"/>
                <w:lang w:val="bg-BG"/>
              </w:rPr>
            </w:pPr>
          </w:p>
        </w:tc>
      </w:tr>
    </w:tbl>
    <w:p w:rsidR="004F47BB" w:rsidRPr="009072DA" w:rsidRDefault="004F47BB" w:rsidP="004F47BB">
      <w:pPr>
        <w:tabs>
          <w:tab w:val="left" w:pos="1418"/>
        </w:tabs>
        <w:spacing w:before="60"/>
        <w:rPr>
          <w:rFonts w:cs="Arial"/>
          <w:lang w:val="bg-BG"/>
        </w:rPr>
      </w:pPr>
    </w:p>
    <w:p w:rsidR="004F47BB" w:rsidRPr="009072DA" w:rsidRDefault="004F47BB" w:rsidP="004F47BB">
      <w:pPr>
        <w:tabs>
          <w:tab w:val="left" w:pos="284"/>
        </w:tabs>
        <w:rPr>
          <w:rFonts w:cs="Arial"/>
          <w:lang w:val="bg-BG"/>
        </w:rPr>
      </w:pPr>
    </w:p>
    <w:p w:rsidR="005B46C9" w:rsidRPr="009072DA" w:rsidRDefault="005B46C9" w:rsidP="004F47BB">
      <w:pPr>
        <w:tabs>
          <w:tab w:val="left" w:pos="284"/>
        </w:tabs>
        <w:rPr>
          <w:rFonts w:cs="Arial"/>
          <w:lang w:val="bg-BG"/>
        </w:rPr>
        <w:sectPr w:rsidR="005B46C9" w:rsidRPr="009072DA" w:rsidSect="00D45887">
          <w:headerReference w:type="default" r:id="rId141"/>
          <w:footnotePr>
            <w:numRestart w:val="eachPage"/>
          </w:footnotePr>
          <w:pgSz w:w="11907" w:h="16840" w:code="9"/>
          <w:pgMar w:top="1418" w:right="1418" w:bottom="1418" w:left="1418" w:header="680" w:footer="680" w:gutter="0"/>
          <w:cols w:space="720"/>
          <w:docGrid w:linePitch="326"/>
        </w:sectPr>
      </w:pPr>
    </w:p>
    <w:p w:rsidR="004F47BB" w:rsidRPr="009072DA" w:rsidRDefault="004F47BB" w:rsidP="005B46C9">
      <w:pPr>
        <w:pStyle w:val="ES-Titre2ESI"/>
      </w:pPr>
      <w:bookmarkStart w:id="744" w:name="_Toc491854355"/>
      <w:bookmarkStart w:id="745" w:name="_Toc535827796"/>
      <w:r w:rsidRPr="009072DA">
        <w:lastRenderedPageBreak/>
        <w:t>ESI-II-6</w:t>
      </w:r>
      <w:r w:rsidRPr="009072DA">
        <w:br/>
        <w:t>Подходящи спомагателни средства за наблюдаване на мъртвата зона</w:t>
      </w:r>
      <w:bookmarkEnd w:id="744"/>
      <w:bookmarkEnd w:id="745"/>
    </w:p>
    <w:p w:rsidR="004F47BB" w:rsidRPr="009072DA" w:rsidRDefault="004F47BB" w:rsidP="005B46C9">
      <w:pPr>
        <w:pStyle w:val="ESch"/>
        <w:rPr>
          <w:lang w:val="bg-BG"/>
        </w:rPr>
      </w:pPr>
    </w:p>
    <w:p w:rsidR="004F47BB" w:rsidRPr="009072DA" w:rsidRDefault="004F47BB" w:rsidP="004F47BB">
      <w:pPr>
        <w:tabs>
          <w:tab w:val="center" w:pos="4513"/>
        </w:tabs>
        <w:overflowPunct w:val="0"/>
        <w:adjustRightInd w:val="0"/>
        <w:jc w:val="center"/>
        <w:textAlignment w:val="baseline"/>
        <w:rPr>
          <w:b/>
          <w:szCs w:val="20"/>
          <w:lang w:val="bg-BG"/>
        </w:rPr>
      </w:pPr>
      <w:r w:rsidRPr="009072DA">
        <w:rPr>
          <w:b/>
          <w:lang w:val="bg-BG"/>
        </w:rPr>
        <w:t>(Член 7.02)</w:t>
      </w:r>
    </w:p>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bg-BG"/>
        </w:rPr>
      </w:pPr>
    </w:p>
    <w:p w:rsidR="004F47BB" w:rsidRPr="009072DA" w:rsidRDefault="004F47BB" w:rsidP="004F47BB">
      <w:pPr>
        <w:widowControl w:val="0"/>
        <w:spacing w:line="240" w:lineRule="atLeast"/>
        <w:ind w:left="567" w:hanging="567"/>
        <w:rPr>
          <w:rFonts w:cs="Arial"/>
          <w:b/>
          <w:szCs w:val="20"/>
          <w:lang w:val="bg-BG"/>
        </w:rPr>
      </w:pPr>
      <w:r w:rsidRPr="009072DA">
        <w:rPr>
          <w:b/>
          <w:lang w:val="bg-BG"/>
        </w:rPr>
        <w:t>1.</w:t>
      </w:r>
      <w:r w:rsidRPr="009072DA">
        <w:rPr>
          <w:lang w:val="bg-BG"/>
        </w:rPr>
        <w:tab/>
      </w:r>
      <w:r w:rsidRPr="009072DA">
        <w:rPr>
          <w:b/>
          <w:lang w:val="bg-BG"/>
        </w:rPr>
        <w:t>Въведение</w:t>
      </w:r>
    </w:p>
    <w:p w:rsidR="004F47BB" w:rsidRPr="009072DA" w:rsidRDefault="004F47BB" w:rsidP="004F47BB">
      <w:pPr>
        <w:widowControl w:val="0"/>
        <w:spacing w:line="240" w:lineRule="atLeast"/>
        <w:rPr>
          <w:rFonts w:cs="Arial"/>
          <w:szCs w:val="20"/>
          <w:lang w:val="bg-BG"/>
        </w:rPr>
      </w:pPr>
    </w:p>
    <w:p w:rsidR="004F47BB" w:rsidRPr="009072DA" w:rsidRDefault="004F47BB" w:rsidP="004F47BB">
      <w:pPr>
        <w:widowControl w:val="0"/>
        <w:spacing w:line="240" w:lineRule="atLeast"/>
        <w:ind w:left="567"/>
        <w:rPr>
          <w:rFonts w:cs="Arial"/>
          <w:szCs w:val="20"/>
          <w:lang w:val="bg-BG"/>
        </w:rPr>
      </w:pPr>
      <w:r w:rsidRPr="009072DA">
        <w:rPr>
          <w:lang w:val="bg-BG"/>
        </w:rPr>
        <w:t>По редица причини, поради конструкцията на плавателния съд или товара, безпрепятствената видимост във всички посоки от рулевата рубка е неизбежно ограниченa в по-голяма или по-малка степен. Ограниченията се отнасят до сектори в хоризонталната равнина (ъгъл на азимут между 0 и 360° спрямо предната ос на плавателния съд и във вертикалната равнина (ъгъл на наклон между -90 и + 90° спрямо хоризонталната равнина на нивото на очите на рулевия).</w:t>
      </w:r>
    </w:p>
    <w:p w:rsidR="004F47BB" w:rsidRPr="009072DA" w:rsidRDefault="004F47BB" w:rsidP="004F47BB">
      <w:pPr>
        <w:widowControl w:val="0"/>
        <w:spacing w:line="240" w:lineRule="atLeast"/>
        <w:ind w:left="567"/>
        <w:rPr>
          <w:rFonts w:cs="Arial"/>
          <w:szCs w:val="20"/>
          <w:lang w:val="bg-BG"/>
        </w:rPr>
      </w:pPr>
      <w:r w:rsidRPr="009072DA">
        <w:rPr>
          <w:lang w:val="bg-BG"/>
        </w:rPr>
        <w:t>В зависимост от това дали лицата се качват на или слизат от плавателния съд, дали той акостира или отпътува, дали маневрира или е в движение, рулевият трябва да може да вижда различни сектори от своето зрително поле. Например, преди отпътуване е важно да може да се провери дали някой е останал на палубния проход или пък дали зоната непосредствено зад кърмата е ясна. Докато плавателният съд е в движение по-голям приоритет се отдава на възможността да се наблюдава зоната пред него поради неговата бързо променяща се позиция при движението напред.</w:t>
      </w:r>
    </w:p>
    <w:p w:rsidR="004F47BB" w:rsidRPr="009072DA" w:rsidRDefault="004F47BB" w:rsidP="004F47BB">
      <w:pPr>
        <w:widowControl w:val="0"/>
        <w:spacing w:line="240" w:lineRule="atLeast"/>
        <w:rPr>
          <w:rFonts w:cs="Arial"/>
          <w:szCs w:val="20"/>
          <w:lang w:val="bg-BG"/>
        </w:rPr>
      </w:pPr>
    </w:p>
    <w:p w:rsidR="004F47BB" w:rsidRPr="009072DA" w:rsidRDefault="004F47BB" w:rsidP="004F47BB">
      <w:pPr>
        <w:widowControl w:val="0"/>
        <w:spacing w:line="240" w:lineRule="atLeast"/>
        <w:ind w:left="567"/>
        <w:rPr>
          <w:rFonts w:cs="Arial"/>
          <w:szCs w:val="20"/>
          <w:lang w:val="bg-BG"/>
        </w:rPr>
      </w:pPr>
      <w:r w:rsidRPr="009072DA">
        <w:rPr>
          <w:lang w:val="bg-BG"/>
        </w:rPr>
        <w:t>Техническите спомагателни средства позволяват непряка видимост в сектори, които не могат да бъдат наблюдавани непосредствено. Въпреки че много от техните възможности надхвърлят тези на човешкото око, те не са пълен заместител на пряката видимост. Независимо от това, те понякога се използват като допълнение в сектори, които могат да бъдат наблюдавани пряко.</w:t>
      </w:r>
    </w:p>
    <w:p w:rsidR="004F47BB" w:rsidRPr="009072DA" w:rsidRDefault="004F47BB" w:rsidP="004F47BB">
      <w:pPr>
        <w:widowControl w:val="0"/>
        <w:spacing w:line="240" w:lineRule="atLeast"/>
        <w:ind w:left="567"/>
        <w:rPr>
          <w:rFonts w:cs="Arial"/>
          <w:szCs w:val="20"/>
          <w:lang w:val="bg-BG"/>
        </w:rPr>
      </w:pPr>
    </w:p>
    <w:p w:rsidR="004F47BB" w:rsidRPr="009072DA" w:rsidRDefault="004F47BB" w:rsidP="004F47BB">
      <w:pPr>
        <w:widowControl w:val="0"/>
        <w:spacing w:line="240" w:lineRule="atLeast"/>
        <w:ind w:left="567"/>
        <w:rPr>
          <w:rFonts w:cs="Arial"/>
          <w:szCs w:val="20"/>
          <w:lang w:val="bg-BG"/>
        </w:rPr>
      </w:pPr>
      <w:r w:rsidRPr="009072DA">
        <w:rPr>
          <w:lang w:val="bg-BG"/>
        </w:rPr>
        <w:t>Във връзка с необходимата информация относно мъртви зони, е необходимо да се прави разграничение дали значимата информация е само наличието на обект, неговите визуални характеристики (силует, цвят) или неговата идентичност, или дали тя е важна от навигационна гледна точка за определяне на размерите, курса и скоростта на даден обект. Този въпрос оказва влияние върху избора на вида на технически помощни средства.</w:t>
      </w:r>
    </w:p>
    <w:p w:rsidR="004F47BB" w:rsidRPr="009072DA" w:rsidRDefault="004F47BB" w:rsidP="004F47BB">
      <w:pPr>
        <w:widowControl w:val="0"/>
        <w:spacing w:line="240" w:lineRule="atLeast"/>
        <w:rPr>
          <w:rFonts w:cs="Arial"/>
          <w:szCs w:val="20"/>
          <w:lang w:val="bg-BG"/>
        </w:rPr>
      </w:pPr>
    </w:p>
    <w:p w:rsidR="004F47BB" w:rsidRPr="009072DA" w:rsidRDefault="004F47BB" w:rsidP="004F47BB">
      <w:pPr>
        <w:widowControl w:val="0"/>
        <w:spacing w:line="240" w:lineRule="atLeast"/>
        <w:ind w:left="567"/>
        <w:rPr>
          <w:rFonts w:cs="Arial"/>
          <w:szCs w:val="20"/>
          <w:lang w:val="bg-BG"/>
        </w:rPr>
      </w:pPr>
      <w:r w:rsidRPr="009072DA">
        <w:rPr>
          <w:lang w:val="bg-BG"/>
        </w:rPr>
        <w:t>Като се имат предвид по-ниските разходи за закупуване и монтаж, по-голямата ефективност, многостранност и възможности за настройване на системите за видеонаблюдение в сравнение с перископите, перископите отпадат като технически спомагателни средства.</w:t>
      </w:r>
    </w:p>
    <w:p w:rsidR="004F47BB" w:rsidRPr="009072DA" w:rsidRDefault="004F47BB" w:rsidP="004F47BB">
      <w:pPr>
        <w:widowControl w:val="0"/>
        <w:spacing w:line="240" w:lineRule="atLeast"/>
        <w:rPr>
          <w:rFonts w:cs="Arial"/>
          <w:szCs w:val="20"/>
          <w:lang w:val="bg-BG"/>
        </w:rPr>
      </w:pPr>
    </w:p>
    <w:p w:rsidR="004F47BB" w:rsidRPr="009072DA" w:rsidRDefault="004F47BB" w:rsidP="004F47BB">
      <w:pPr>
        <w:widowControl w:val="0"/>
        <w:spacing w:line="240" w:lineRule="atLeast"/>
        <w:ind w:left="567" w:hanging="567"/>
        <w:rPr>
          <w:rFonts w:cs="Arial"/>
          <w:b/>
          <w:szCs w:val="20"/>
          <w:lang w:val="bg-BG"/>
        </w:rPr>
      </w:pPr>
      <w:r w:rsidRPr="009072DA">
        <w:rPr>
          <w:b/>
          <w:lang w:val="bg-BG"/>
        </w:rPr>
        <w:t>2.</w:t>
      </w:r>
      <w:r w:rsidRPr="009072DA">
        <w:rPr>
          <w:lang w:val="bg-BG"/>
        </w:rPr>
        <w:tab/>
      </w:r>
      <w:r w:rsidRPr="009072DA">
        <w:rPr>
          <w:b/>
          <w:lang w:val="bg-BG"/>
        </w:rPr>
        <w:t>Преглед на подходящи помощни средства</w:t>
      </w:r>
    </w:p>
    <w:p w:rsidR="004F47BB" w:rsidRPr="009072DA" w:rsidRDefault="004F47BB" w:rsidP="004F47BB">
      <w:pPr>
        <w:widowControl w:val="0"/>
        <w:spacing w:line="240" w:lineRule="atLeast"/>
        <w:rPr>
          <w:rFonts w:cs="Arial"/>
          <w:szCs w:val="20"/>
          <w:lang w:val="bg-BG"/>
        </w:rPr>
      </w:pPr>
    </w:p>
    <w:p w:rsidR="004F47BB" w:rsidRPr="009072DA" w:rsidRDefault="004F47BB" w:rsidP="004F47BB">
      <w:pPr>
        <w:widowControl w:val="0"/>
        <w:spacing w:line="240" w:lineRule="atLeast"/>
        <w:ind w:left="567"/>
        <w:rPr>
          <w:rFonts w:cs="Arial"/>
          <w:szCs w:val="20"/>
          <w:lang w:val="bg-BG"/>
        </w:rPr>
      </w:pPr>
      <w:r w:rsidRPr="009072DA">
        <w:rPr>
          <w:lang w:val="bg-BG"/>
        </w:rPr>
        <w:t xml:space="preserve">Следните помощни средства по принцип са подходящи за наблюдение на участъци на мъртва зона: </w:t>
      </w:r>
    </w:p>
    <w:p w:rsidR="004F47BB" w:rsidRPr="009072DA" w:rsidRDefault="004F47BB" w:rsidP="004F47BB">
      <w:pPr>
        <w:widowControl w:val="0"/>
        <w:spacing w:before="60" w:line="240" w:lineRule="atLeast"/>
        <w:ind w:left="992"/>
        <w:rPr>
          <w:rFonts w:cs="Arial"/>
          <w:szCs w:val="20"/>
          <w:lang w:val="bg-BG"/>
        </w:rPr>
      </w:pPr>
      <w:r w:rsidRPr="009072DA">
        <w:rPr>
          <w:lang w:val="bg-BG"/>
        </w:rPr>
        <w:t>-</w:t>
      </w:r>
      <w:r w:rsidRPr="009072DA">
        <w:rPr>
          <w:lang w:val="bg-BG"/>
        </w:rPr>
        <w:tab/>
        <w:t>огледала,</w:t>
      </w:r>
    </w:p>
    <w:p w:rsidR="004F47BB" w:rsidRPr="009072DA" w:rsidRDefault="004F47BB" w:rsidP="004F47BB">
      <w:pPr>
        <w:widowControl w:val="0"/>
        <w:spacing w:before="60" w:line="240" w:lineRule="atLeast"/>
        <w:ind w:left="992"/>
        <w:rPr>
          <w:rFonts w:cs="Arial"/>
          <w:szCs w:val="20"/>
          <w:lang w:val="bg-BG"/>
        </w:rPr>
      </w:pPr>
      <w:r w:rsidRPr="009072DA">
        <w:rPr>
          <w:lang w:val="bg-BG"/>
        </w:rPr>
        <w:t>-</w:t>
      </w:r>
      <w:r w:rsidRPr="009072DA">
        <w:rPr>
          <w:lang w:val="bg-BG"/>
        </w:rPr>
        <w:tab/>
        <w:t>видеосистеми и</w:t>
      </w:r>
    </w:p>
    <w:p w:rsidR="004F47BB" w:rsidRPr="009072DA" w:rsidRDefault="004F47BB" w:rsidP="004F47BB">
      <w:pPr>
        <w:widowControl w:val="0"/>
        <w:spacing w:before="60" w:line="240" w:lineRule="atLeast"/>
        <w:ind w:left="992"/>
        <w:rPr>
          <w:rFonts w:cs="Arial"/>
          <w:szCs w:val="20"/>
          <w:lang w:val="bg-BG"/>
        </w:rPr>
      </w:pPr>
      <w:r w:rsidRPr="009072DA">
        <w:rPr>
          <w:lang w:val="bg-BG"/>
        </w:rPr>
        <w:t>-</w:t>
      </w:r>
      <w:r w:rsidRPr="009072DA">
        <w:rPr>
          <w:lang w:val="bg-BG"/>
        </w:rPr>
        <w:tab/>
        <w:t>радиолокационни системи.</w:t>
      </w:r>
    </w:p>
    <w:p w:rsidR="004F47BB" w:rsidRPr="009072DA" w:rsidRDefault="004F47BB" w:rsidP="004F47BB">
      <w:pPr>
        <w:widowControl w:val="0"/>
        <w:spacing w:line="240" w:lineRule="atLeast"/>
        <w:ind w:left="567" w:hanging="27"/>
        <w:rPr>
          <w:rFonts w:cs="Arial"/>
          <w:b/>
          <w:bCs/>
          <w:szCs w:val="20"/>
          <w:lang w:val="bg-BG"/>
        </w:rPr>
      </w:pPr>
    </w:p>
    <w:p w:rsidR="004F47BB" w:rsidRPr="009072DA" w:rsidRDefault="004F47BB" w:rsidP="004F47BB">
      <w:pPr>
        <w:widowControl w:val="0"/>
        <w:spacing w:line="240" w:lineRule="atLeast"/>
        <w:ind w:left="567"/>
        <w:rPr>
          <w:rFonts w:cs="Arial"/>
          <w:szCs w:val="20"/>
          <w:lang w:val="bg-BG"/>
        </w:rPr>
      </w:pPr>
      <w:r w:rsidRPr="009072DA">
        <w:rPr>
          <w:lang w:val="bg-BG"/>
        </w:rPr>
        <w:t>Спомагателните средства, които отговарят на част 4 от настоящата административна инструкция, са подходящи за наблюдение на мъртви зони, при условие че съответстват на специфичните условия за употреба. Контролната комисия ще разреши други спомагателни средства само ако е на мнение, че те осигуряват сравнима степен на безопасност.</w:t>
      </w:r>
    </w:p>
    <w:p w:rsidR="004F47BB" w:rsidRPr="009072DA" w:rsidRDefault="004F47BB" w:rsidP="004F47BB">
      <w:pPr>
        <w:widowControl w:val="0"/>
        <w:spacing w:line="240" w:lineRule="atLeast"/>
        <w:ind w:left="567"/>
        <w:rPr>
          <w:rFonts w:cs="Arial"/>
          <w:szCs w:val="20"/>
          <w:lang w:val="bg-BG"/>
        </w:rPr>
      </w:pPr>
    </w:p>
    <w:p w:rsidR="004F47BB" w:rsidRPr="009072DA" w:rsidRDefault="004F47BB" w:rsidP="004F47BB">
      <w:pPr>
        <w:widowControl w:val="0"/>
        <w:spacing w:line="240" w:lineRule="atLeast"/>
        <w:rPr>
          <w:rFonts w:cs="Arial"/>
          <w:b/>
          <w:bCs/>
          <w:szCs w:val="20"/>
          <w:lang w:val="bg-BG"/>
        </w:rPr>
      </w:pPr>
    </w:p>
    <w:p w:rsidR="004F47BB" w:rsidRPr="009072DA" w:rsidRDefault="004F47BB" w:rsidP="004F47BB">
      <w:pPr>
        <w:rPr>
          <w:b/>
          <w:szCs w:val="20"/>
          <w:lang w:val="bg-BG"/>
        </w:rPr>
      </w:pPr>
      <w:r w:rsidRPr="009072DA">
        <w:rPr>
          <w:lang w:val="bg-BG"/>
        </w:rPr>
        <w:br w:type="page"/>
      </w:r>
    </w:p>
    <w:p w:rsidR="004F47BB" w:rsidRPr="009072DA" w:rsidRDefault="004F47BB" w:rsidP="004F47BB">
      <w:pPr>
        <w:widowControl w:val="0"/>
        <w:spacing w:line="250" w:lineRule="atLeast"/>
        <w:ind w:left="567" w:hanging="567"/>
        <w:rPr>
          <w:b/>
          <w:szCs w:val="20"/>
          <w:lang w:val="bg-BG"/>
        </w:rPr>
      </w:pPr>
    </w:p>
    <w:p w:rsidR="004F47BB" w:rsidRPr="009072DA" w:rsidRDefault="004F47BB" w:rsidP="004F47BB">
      <w:pPr>
        <w:widowControl w:val="0"/>
        <w:spacing w:line="250" w:lineRule="atLeast"/>
        <w:ind w:left="567" w:hanging="567"/>
        <w:rPr>
          <w:rFonts w:cs="Arial"/>
          <w:b/>
          <w:bCs/>
          <w:szCs w:val="20"/>
          <w:lang w:val="bg-BG"/>
        </w:rPr>
      </w:pPr>
      <w:r w:rsidRPr="009072DA">
        <w:rPr>
          <w:b/>
          <w:lang w:val="bg-BG"/>
        </w:rPr>
        <w:t>3.</w:t>
      </w:r>
      <w:r w:rsidRPr="009072DA">
        <w:rPr>
          <w:lang w:val="bg-BG"/>
        </w:rPr>
        <w:tab/>
      </w:r>
      <w:r w:rsidRPr="009072DA">
        <w:rPr>
          <w:b/>
          <w:lang w:val="bg-BG"/>
        </w:rPr>
        <w:t>Характеристики на технически помощни средства</w:t>
      </w:r>
    </w:p>
    <w:p w:rsidR="004F47BB" w:rsidRPr="009072DA" w:rsidRDefault="004F47BB" w:rsidP="004F47BB">
      <w:pPr>
        <w:widowControl w:val="0"/>
        <w:spacing w:line="250" w:lineRule="atLeast"/>
        <w:ind w:left="567" w:hanging="567"/>
        <w:rPr>
          <w:rFonts w:cs="Arial"/>
          <w:b/>
          <w:bCs/>
          <w:szCs w:val="20"/>
          <w:lang w:val="bg-BG"/>
        </w:rPr>
      </w:pPr>
    </w:p>
    <w:p w:rsidR="004F47BB" w:rsidRPr="009072DA" w:rsidRDefault="004F47BB" w:rsidP="004F47BB">
      <w:pPr>
        <w:widowControl w:val="0"/>
        <w:spacing w:line="250" w:lineRule="atLeast"/>
        <w:ind w:left="567" w:hanging="567"/>
        <w:rPr>
          <w:rFonts w:cs="Arial"/>
          <w:b/>
          <w:bCs/>
          <w:szCs w:val="20"/>
          <w:lang w:val="bg-BG"/>
        </w:rPr>
      </w:pPr>
      <w:r w:rsidRPr="009072DA">
        <w:rPr>
          <w:b/>
          <w:lang w:val="bg-BG"/>
        </w:rPr>
        <w:t>3.1</w:t>
      </w:r>
      <w:r w:rsidRPr="009072DA">
        <w:rPr>
          <w:lang w:val="bg-BG"/>
        </w:rPr>
        <w:tab/>
      </w:r>
      <w:r w:rsidRPr="009072DA">
        <w:rPr>
          <w:b/>
          <w:lang w:val="bg-BG"/>
        </w:rPr>
        <w:t>Характеристики на огледалата</w:t>
      </w:r>
    </w:p>
    <w:p w:rsidR="004F47BB" w:rsidRPr="009072DA" w:rsidRDefault="004F47BB" w:rsidP="004F47BB">
      <w:pPr>
        <w:widowControl w:val="0"/>
        <w:spacing w:line="250" w:lineRule="atLeast"/>
        <w:rPr>
          <w:rFonts w:cs="Arial"/>
          <w:b/>
          <w:szCs w:val="20"/>
          <w:lang w:val="bg-BG"/>
        </w:rPr>
      </w:pPr>
    </w:p>
    <w:p w:rsidR="004F47BB" w:rsidRPr="009072DA" w:rsidRDefault="004F47BB" w:rsidP="004F47BB">
      <w:pPr>
        <w:widowControl w:val="0"/>
        <w:spacing w:line="250" w:lineRule="atLeast"/>
        <w:ind w:left="567"/>
        <w:rPr>
          <w:rFonts w:cs="Arial"/>
          <w:szCs w:val="20"/>
          <w:lang w:val="bg-BG"/>
        </w:rPr>
      </w:pPr>
      <w:r w:rsidRPr="009072DA">
        <w:rPr>
          <w:lang w:val="bg-BG"/>
        </w:rPr>
        <w:t xml:space="preserve">По принцип, огледалата представляват система от датчици и визуализиране в едно. Те отразяват падащата светлина съгласно закона: „ъгъл на падане = ъгъл на отразяване“ и позволяват косвено наблюдение на желания сектор чрез отклоняване на полезрението на рулевия. Те се използват главно за наблюдаване на зоните на палубния проход. </w:t>
      </w:r>
    </w:p>
    <w:p w:rsidR="004F47BB" w:rsidRPr="009072DA" w:rsidRDefault="004F47BB" w:rsidP="004F47BB">
      <w:pPr>
        <w:widowControl w:val="0"/>
        <w:spacing w:line="250" w:lineRule="atLeast"/>
        <w:ind w:left="567"/>
        <w:rPr>
          <w:rFonts w:cs="Arial"/>
          <w:szCs w:val="20"/>
          <w:lang w:val="bg-BG"/>
        </w:rPr>
      </w:pPr>
    </w:p>
    <w:p w:rsidR="004F47BB" w:rsidRPr="009072DA" w:rsidRDefault="004F47BB" w:rsidP="004F47BB">
      <w:pPr>
        <w:widowControl w:val="0"/>
        <w:spacing w:line="250" w:lineRule="atLeast"/>
        <w:ind w:left="567"/>
        <w:rPr>
          <w:rFonts w:cs="Arial"/>
          <w:szCs w:val="20"/>
          <w:lang w:val="bg-BG"/>
        </w:rPr>
      </w:pPr>
      <w:r w:rsidRPr="009072DA">
        <w:rPr>
          <w:lang w:val="bg-BG"/>
        </w:rPr>
        <w:t>С равните огледала ъгълът в центъра на полезрението остава непроменен, а изпъкналите огледала го увеличават. Огледалата не работят на тъмно и могат да причинят заслепяване при пряка слънчева светлина.</w:t>
      </w:r>
    </w:p>
    <w:p w:rsidR="004F47BB" w:rsidRPr="009072DA" w:rsidRDefault="004F47BB" w:rsidP="004F47BB">
      <w:pPr>
        <w:widowControl w:val="0"/>
        <w:spacing w:line="250" w:lineRule="atLeast"/>
        <w:ind w:left="567"/>
        <w:rPr>
          <w:rFonts w:cs="Arial"/>
          <w:szCs w:val="20"/>
          <w:lang w:val="bg-BG"/>
        </w:rPr>
      </w:pPr>
    </w:p>
    <w:p w:rsidR="004F47BB" w:rsidRPr="009072DA" w:rsidRDefault="004F47BB" w:rsidP="004F47BB">
      <w:pPr>
        <w:widowControl w:val="0"/>
        <w:spacing w:line="250" w:lineRule="atLeast"/>
        <w:ind w:left="567"/>
        <w:rPr>
          <w:rFonts w:cs="Arial"/>
          <w:szCs w:val="20"/>
          <w:lang w:val="bg-BG"/>
        </w:rPr>
      </w:pPr>
      <w:r w:rsidRPr="009072DA">
        <w:rPr>
          <w:lang w:val="bg-BG"/>
        </w:rPr>
        <w:t>Като цяло огледалата, използвани за корабоплаване по вътрешните водни пътища, са масово произвеждани продукти, предназначени за автобуси и тежкотоварни автомобили, чиито характеристики са подходящи за целите на корабоплаването.</w:t>
      </w:r>
    </w:p>
    <w:p w:rsidR="004F47BB" w:rsidRPr="009072DA" w:rsidRDefault="004F47BB" w:rsidP="004F47BB">
      <w:pPr>
        <w:widowControl w:val="0"/>
        <w:spacing w:line="250" w:lineRule="atLeast"/>
        <w:ind w:left="567"/>
        <w:rPr>
          <w:rFonts w:cs="Arial"/>
          <w:szCs w:val="20"/>
          <w:lang w:val="bg-BG"/>
        </w:rPr>
      </w:pPr>
      <w:r w:rsidRPr="009072DA">
        <w:rPr>
          <w:lang w:val="bg-BG"/>
        </w:rPr>
        <w:t>При идеални условия (високо качество, без замърсяване) разделителната способност на изображение, предоставено от огледало, е ограничена от разделителната способност на очите на наблюдателя.</w:t>
      </w:r>
    </w:p>
    <w:p w:rsidR="004F47BB" w:rsidRPr="009072DA" w:rsidRDefault="004F47BB" w:rsidP="004F47BB">
      <w:pPr>
        <w:widowControl w:val="0"/>
        <w:spacing w:line="250" w:lineRule="atLeast"/>
        <w:rPr>
          <w:rFonts w:cs="Arial"/>
          <w:szCs w:val="20"/>
          <w:lang w:val="bg-BG"/>
        </w:rPr>
      </w:pPr>
    </w:p>
    <w:p w:rsidR="004F47BB" w:rsidRPr="009072DA" w:rsidRDefault="004F47BB" w:rsidP="004F47BB">
      <w:pPr>
        <w:widowControl w:val="0"/>
        <w:tabs>
          <w:tab w:val="left" w:pos="540"/>
        </w:tabs>
        <w:spacing w:line="250" w:lineRule="atLeast"/>
        <w:rPr>
          <w:rFonts w:cs="Arial"/>
          <w:b/>
          <w:szCs w:val="20"/>
          <w:lang w:val="bg-BG"/>
        </w:rPr>
      </w:pPr>
      <w:r w:rsidRPr="009072DA">
        <w:rPr>
          <w:b/>
          <w:lang w:val="bg-BG"/>
        </w:rPr>
        <w:t>3.2</w:t>
      </w:r>
      <w:r w:rsidRPr="009072DA">
        <w:rPr>
          <w:lang w:val="bg-BG"/>
        </w:rPr>
        <w:tab/>
      </w:r>
      <w:r w:rsidRPr="009072DA">
        <w:rPr>
          <w:b/>
          <w:lang w:val="bg-BG"/>
        </w:rPr>
        <w:t>Характеристики на видео системите</w:t>
      </w:r>
    </w:p>
    <w:p w:rsidR="004F47BB" w:rsidRPr="009072DA" w:rsidRDefault="004F47BB" w:rsidP="004F47BB">
      <w:pPr>
        <w:widowControl w:val="0"/>
        <w:spacing w:line="250" w:lineRule="atLeast"/>
        <w:rPr>
          <w:rFonts w:cs="Arial"/>
          <w:b/>
          <w:szCs w:val="20"/>
          <w:lang w:val="bg-BG"/>
        </w:rPr>
      </w:pPr>
    </w:p>
    <w:p w:rsidR="004F47BB" w:rsidRPr="009072DA" w:rsidRDefault="004F47BB" w:rsidP="004F47BB">
      <w:pPr>
        <w:widowControl w:val="0"/>
        <w:spacing w:line="250" w:lineRule="atLeast"/>
        <w:ind w:left="567"/>
        <w:rPr>
          <w:rFonts w:cs="Arial"/>
          <w:szCs w:val="20"/>
          <w:lang w:val="bg-BG"/>
        </w:rPr>
      </w:pPr>
      <w:r w:rsidRPr="009072DA">
        <w:rPr>
          <w:lang w:val="bg-BG"/>
        </w:rPr>
        <w:t>С висока честота на повторение, видео системите предоставят актуален образ на околната среда както наблюдател би наблюдавал, ако беше на мястото на камерата. Те включват видеокамера като датчик за изображение и растерен екран за изобразяване на записаното изображение (видео монитор).</w:t>
      </w:r>
    </w:p>
    <w:p w:rsidR="004F47BB" w:rsidRPr="009072DA" w:rsidRDefault="004F47BB" w:rsidP="004F47BB">
      <w:pPr>
        <w:widowControl w:val="0"/>
        <w:spacing w:line="250" w:lineRule="atLeast"/>
        <w:ind w:left="567"/>
        <w:rPr>
          <w:rFonts w:cs="Arial"/>
          <w:szCs w:val="20"/>
          <w:lang w:val="bg-BG"/>
        </w:rPr>
      </w:pPr>
    </w:p>
    <w:p w:rsidR="004F47BB" w:rsidRPr="009072DA" w:rsidRDefault="004F47BB" w:rsidP="004F47BB">
      <w:pPr>
        <w:widowControl w:val="0"/>
        <w:spacing w:line="250" w:lineRule="atLeast"/>
        <w:ind w:left="567"/>
        <w:rPr>
          <w:rFonts w:cs="Arial"/>
          <w:szCs w:val="20"/>
          <w:lang w:val="bg-BG"/>
        </w:rPr>
      </w:pPr>
      <w:r w:rsidRPr="009072DA">
        <w:rPr>
          <w:lang w:val="bg-BG"/>
        </w:rPr>
        <w:t>Обикновена електрическа връзка е достатъчна за предаване на сигнала между камерата и монитора. Електрическото захранване може да се предоставя посредством сигналния кабел.</w:t>
      </w:r>
    </w:p>
    <w:p w:rsidR="004F47BB" w:rsidRPr="009072DA" w:rsidRDefault="004F47BB" w:rsidP="004F47BB">
      <w:pPr>
        <w:widowControl w:val="0"/>
        <w:spacing w:line="250" w:lineRule="atLeast"/>
        <w:ind w:left="567"/>
        <w:rPr>
          <w:rFonts w:cs="Arial"/>
          <w:szCs w:val="20"/>
          <w:lang w:val="bg-BG"/>
        </w:rPr>
      </w:pPr>
    </w:p>
    <w:p w:rsidR="004F47BB" w:rsidRPr="009072DA" w:rsidRDefault="004F47BB" w:rsidP="004F47BB">
      <w:pPr>
        <w:widowControl w:val="0"/>
        <w:spacing w:line="250" w:lineRule="atLeast"/>
        <w:ind w:left="567"/>
        <w:rPr>
          <w:rFonts w:cs="Arial"/>
          <w:szCs w:val="20"/>
          <w:lang w:val="bg-BG"/>
        </w:rPr>
      </w:pPr>
      <w:r w:rsidRPr="009072DA">
        <w:rPr>
          <w:lang w:val="bg-BG"/>
        </w:rPr>
        <w:t>Камерите могат да работят с фиксирано или променливо фокусно разстояние (увеличение) и да бъдат инсталирани в неподвижно положение или върху завъртаща и накланяща стойка.</w:t>
      </w:r>
    </w:p>
    <w:p w:rsidR="004F47BB" w:rsidRPr="009072DA" w:rsidRDefault="004F47BB" w:rsidP="004F47BB">
      <w:pPr>
        <w:widowControl w:val="0"/>
        <w:spacing w:line="250" w:lineRule="atLeast"/>
        <w:ind w:left="567"/>
        <w:rPr>
          <w:rFonts w:cs="Arial"/>
          <w:szCs w:val="20"/>
          <w:lang w:val="bg-BG"/>
        </w:rPr>
      </w:pPr>
    </w:p>
    <w:p w:rsidR="004F47BB" w:rsidRPr="009072DA" w:rsidRDefault="004F47BB" w:rsidP="004F47BB">
      <w:pPr>
        <w:widowControl w:val="0"/>
        <w:spacing w:line="250" w:lineRule="atLeast"/>
        <w:ind w:left="567"/>
        <w:rPr>
          <w:rFonts w:cs="Arial"/>
          <w:szCs w:val="20"/>
          <w:lang w:val="bg-BG"/>
        </w:rPr>
      </w:pPr>
      <w:r w:rsidRPr="009072DA">
        <w:rPr>
          <w:lang w:val="bg-BG"/>
        </w:rPr>
        <w:t xml:space="preserve">Изображенията, получени от камерите (с единична леща), се улавят и показват върху </w:t>
      </w:r>
      <w:r w:rsidRPr="009072DA">
        <w:rPr>
          <w:lang w:val="bg-BG"/>
        </w:rPr>
        <w:lastRenderedPageBreak/>
        <w:t>екраните на централно ниво по същия начин, по който се възприемат от човешкото око. Основен недостатък на централната перспектива е, че тя не дава възможност да бъде определен обхватът на показваните образи. Този ефект се забелязва лесно при изображения, заснети с използване на телефото лещи (голямо фокусно разстояние).</w:t>
      </w:r>
    </w:p>
    <w:p w:rsidR="004F47BB" w:rsidRPr="009072DA" w:rsidRDefault="004F47BB" w:rsidP="004F47BB">
      <w:pPr>
        <w:widowControl w:val="0"/>
        <w:spacing w:line="250" w:lineRule="atLeast"/>
        <w:ind w:left="567"/>
        <w:rPr>
          <w:rFonts w:cs="Arial"/>
          <w:szCs w:val="20"/>
          <w:lang w:val="bg-BG"/>
        </w:rPr>
      </w:pPr>
    </w:p>
    <w:p w:rsidR="004F47BB" w:rsidRPr="009072DA" w:rsidRDefault="004F47BB" w:rsidP="004F47BB">
      <w:pPr>
        <w:widowControl w:val="0"/>
        <w:spacing w:line="250" w:lineRule="atLeast"/>
        <w:ind w:left="567"/>
        <w:rPr>
          <w:rFonts w:cs="Arial"/>
          <w:szCs w:val="20"/>
          <w:lang w:val="bg-BG"/>
        </w:rPr>
      </w:pPr>
      <w:r w:rsidRPr="009072DA">
        <w:rPr>
          <w:lang w:val="bg-BG"/>
        </w:rPr>
        <w:t>Ето защо направлението и полето на наблюдение трябва да бъде съобразени с изискваната употреба.</w:t>
      </w:r>
    </w:p>
    <w:p w:rsidR="004F47BB" w:rsidRPr="009072DA" w:rsidRDefault="004F47BB" w:rsidP="004F47BB">
      <w:pPr>
        <w:widowControl w:val="0"/>
        <w:spacing w:line="250" w:lineRule="atLeast"/>
        <w:ind w:left="567"/>
        <w:rPr>
          <w:rFonts w:cs="Arial"/>
          <w:szCs w:val="20"/>
          <w:lang w:val="bg-BG"/>
        </w:rPr>
      </w:pPr>
    </w:p>
    <w:p w:rsidR="004F47BB" w:rsidRPr="009072DA" w:rsidRDefault="004F47BB" w:rsidP="004F47BB">
      <w:pPr>
        <w:widowControl w:val="0"/>
        <w:spacing w:line="250" w:lineRule="atLeast"/>
        <w:ind w:left="567"/>
        <w:rPr>
          <w:rFonts w:cs="Arial"/>
          <w:szCs w:val="20"/>
          <w:lang w:val="bg-BG"/>
        </w:rPr>
      </w:pPr>
      <w:r w:rsidRPr="009072DA">
        <w:rPr>
          <w:lang w:val="bg-BG"/>
        </w:rPr>
        <w:t>Видео системите зависят от наличието на ниска околна осветеност. Силните отражения върху водната повърхност и пряката слънчева светлина могат да направят образа неизползваем.</w:t>
      </w:r>
    </w:p>
    <w:p w:rsidR="004F47BB" w:rsidRPr="009072DA" w:rsidRDefault="004F47BB" w:rsidP="004F47BB">
      <w:pPr>
        <w:widowControl w:val="0"/>
        <w:spacing w:line="250" w:lineRule="atLeast"/>
        <w:ind w:left="567"/>
        <w:rPr>
          <w:rFonts w:cs="Arial"/>
          <w:szCs w:val="20"/>
          <w:lang w:val="bg-BG"/>
        </w:rPr>
      </w:pPr>
    </w:p>
    <w:p w:rsidR="004F47BB" w:rsidRPr="009072DA" w:rsidRDefault="004F47BB" w:rsidP="004F47BB">
      <w:pPr>
        <w:widowControl w:val="0"/>
        <w:spacing w:line="250" w:lineRule="atLeast"/>
        <w:ind w:left="567"/>
        <w:rPr>
          <w:rFonts w:cs="Arial"/>
          <w:szCs w:val="20"/>
          <w:lang w:val="bg-BG"/>
        </w:rPr>
      </w:pPr>
      <w:r w:rsidRPr="009072DA">
        <w:rPr>
          <w:lang w:val="bg-BG"/>
        </w:rPr>
        <w:t>Техническите характеристики на монитора (размер на изображението, разделителна способност, яркост) зависят от изискваното използване.</w:t>
      </w:r>
    </w:p>
    <w:p w:rsidR="004F47BB" w:rsidRPr="009072DA" w:rsidRDefault="004F47BB" w:rsidP="004F47BB">
      <w:pPr>
        <w:widowControl w:val="0"/>
        <w:spacing w:line="250" w:lineRule="atLeast"/>
        <w:ind w:left="567"/>
        <w:rPr>
          <w:rFonts w:cs="Arial"/>
          <w:szCs w:val="20"/>
          <w:lang w:val="bg-BG"/>
        </w:rPr>
      </w:pPr>
    </w:p>
    <w:p w:rsidR="004F47BB" w:rsidRPr="009072DA" w:rsidRDefault="004F47BB" w:rsidP="004F47BB">
      <w:pPr>
        <w:widowControl w:val="0"/>
        <w:spacing w:line="250" w:lineRule="atLeast"/>
        <w:ind w:left="567"/>
        <w:rPr>
          <w:rFonts w:cs="Arial"/>
          <w:szCs w:val="20"/>
          <w:lang w:val="bg-BG"/>
        </w:rPr>
      </w:pPr>
      <w:r w:rsidRPr="009072DA">
        <w:rPr>
          <w:lang w:val="bg-BG"/>
        </w:rPr>
        <w:t>Разделителната способност на изображението се определя от броя на пикселите на датчика за изображение в камерата и броя на пикселите (и широчината на честотната лента на видеосигнала) на монитора. Дори една добра търговска видео система не може да постигне напълно максималната разделителна способност на човешкото око.</w:t>
      </w:r>
    </w:p>
    <w:p w:rsidR="004F47BB" w:rsidRPr="009072DA" w:rsidRDefault="004F47BB" w:rsidP="004F47BB">
      <w:pPr>
        <w:widowControl w:val="0"/>
        <w:spacing w:line="250" w:lineRule="atLeast"/>
        <w:rPr>
          <w:rFonts w:cs="Arial"/>
          <w:szCs w:val="20"/>
          <w:lang w:val="bg-BG"/>
        </w:rPr>
      </w:pPr>
    </w:p>
    <w:p w:rsidR="004F47BB" w:rsidRPr="009072DA" w:rsidRDefault="004F47BB" w:rsidP="004F47BB">
      <w:pPr>
        <w:widowControl w:val="0"/>
        <w:tabs>
          <w:tab w:val="left" w:pos="540"/>
        </w:tabs>
        <w:spacing w:line="250" w:lineRule="atLeast"/>
        <w:rPr>
          <w:rFonts w:cs="Arial"/>
          <w:b/>
          <w:szCs w:val="20"/>
          <w:lang w:val="bg-BG"/>
        </w:rPr>
      </w:pPr>
    </w:p>
    <w:p w:rsidR="004F47BB" w:rsidRPr="009072DA" w:rsidRDefault="004F47BB" w:rsidP="004F47BB">
      <w:pPr>
        <w:rPr>
          <w:b/>
          <w:szCs w:val="20"/>
          <w:lang w:val="bg-BG"/>
        </w:rPr>
      </w:pPr>
      <w:r w:rsidRPr="009072DA">
        <w:rPr>
          <w:lang w:val="bg-BG"/>
        </w:rPr>
        <w:br w:type="page"/>
      </w:r>
    </w:p>
    <w:p w:rsidR="004F47BB" w:rsidRPr="009072DA" w:rsidRDefault="004F47BB" w:rsidP="004F47BB">
      <w:pPr>
        <w:widowControl w:val="0"/>
        <w:tabs>
          <w:tab w:val="left" w:pos="540"/>
        </w:tabs>
        <w:spacing w:line="240" w:lineRule="atLeast"/>
        <w:rPr>
          <w:rFonts w:cs="Arial"/>
          <w:b/>
          <w:szCs w:val="20"/>
          <w:lang w:val="bg-BG"/>
        </w:rPr>
      </w:pPr>
      <w:r w:rsidRPr="009072DA">
        <w:rPr>
          <w:b/>
          <w:lang w:val="bg-BG"/>
        </w:rPr>
        <w:lastRenderedPageBreak/>
        <w:t>3.3</w:t>
      </w:r>
      <w:r w:rsidRPr="009072DA">
        <w:rPr>
          <w:lang w:val="bg-BG"/>
        </w:rPr>
        <w:tab/>
      </w:r>
      <w:r w:rsidRPr="009072DA">
        <w:rPr>
          <w:b/>
          <w:lang w:val="bg-BG"/>
        </w:rPr>
        <w:t>Характеристики на радиолокационните системи</w:t>
      </w:r>
    </w:p>
    <w:p w:rsidR="004F47BB" w:rsidRPr="009072DA" w:rsidRDefault="004F47BB" w:rsidP="004F47BB">
      <w:pPr>
        <w:widowControl w:val="0"/>
        <w:spacing w:line="240" w:lineRule="atLeast"/>
        <w:ind w:firstLine="567"/>
        <w:rPr>
          <w:rFonts w:cs="Arial"/>
          <w:b/>
          <w:szCs w:val="20"/>
          <w:lang w:val="bg-BG"/>
        </w:rPr>
      </w:pPr>
    </w:p>
    <w:p w:rsidR="004F47BB" w:rsidRPr="009072DA" w:rsidRDefault="004F47BB" w:rsidP="004F47BB">
      <w:pPr>
        <w:widowControl w:val="0"/>
        <w:spacing w:line="240" w:lineRule="atLeast"/>
        <w:ind w:left="567"/>
        <w:rPr>
          <w:rFonts w:cs="Arial"/>
          <w:szCs w:val="20"/>
          <w:lang w:val="bg-BG"/>
        </w:rPr>
      </w:pPr>
      <w:r w:rsidRPr="009072DA">
        <w:rPr>
          <w:lang w:val="bg-BG"/>
        </w:rPr>
        <w:t>Радиолокационните системи се характеризират с датчик (въртяща се антена с предавател и приемник) и устройство за визуализация. Датчикът използва хоризонтално въртяща се антената за „осветяване“ на тесни радиални сектори с импулсни микровълни, улавя ехото, върнато от отразяващи обекти, след което показва тези обекти на екрана, като посочва разстоянието и пеленга. Това води до мащабирано изображение на околната среда спрямо направлението на плавателния съд. Това изображение позволява предмети на разстояние от 15 m и повече да бъдат определени с разделителна способност от около 5 m и техният пеленг в рамките на около 0,5 °.</w:t>
      </w:r>
    </w:p>
    <w:p w:rsidR="004F47BB" w:rsidRPr="009072DA" w:rsidRDefault="004F47BB" w:rsidP="004F47BB">
      <w:pPr>
        <w:widowControl w:val="0"/>
        <w:spacing w:line="240" w:lineRule="atLeast"/>
        <w:ind w:left="567"/>
        <w:rPr>
          <w:rFonts w:cs="Arial"/>
          <w:szCs w:val="20"/>
          <w:lang w:val="bg-BG"/>
        </w:rPr>
      </w:pPr>
    </w:p>
    <w:p w:rsidR="004F47BB" w:rsidRPr="009072DA" w:rsidRDefault="004F47BB" w:rsidP="004F47BB">
      <w:pPr>
        <w:widowControl w:val="0"/>
        <w:spacing w:line="240" w:lineRule="atLeast"/>
        <w:ind w:left="567"/>
        <w:rPr>
          <w:rFonts w:cs="Arial"/>
          <w:szCs w:val="20"/>
          <w:lang w:val="bg-BG"/>
        </w:rPr>
      </w:pPr>
      <w:r w:rsidRPr="009072DA">
        <w:rPr>
          <w:lang w:val="bg-BG"/>
        </w:rPr>
        <w:t>Тъй като радиолокацинните импулси работят със свои собствени предавателни импулси, за разлика от други технически помощни средства, споменати по-горе, те не зависят от наличието на околна осветеност.</w:t>
      </w:r>
    </w:p>
    <w:p w:rsidR="004F47BB" w:rsidRPr="009072DA" w:rsidRDefault="004F47BB" w:rsidP="004F47BB">
      <w:pPr>
        <w:widowControl w:val="0"/>
        <w:spacing w:line="240" w:lineRule="atLeast"/>
        <w:ind w:left="567"/>
        <w:rPr>
          <w:rFonts w:cs="Arial"/>
          <w:szCs w:val="20"/>
          <w:lang w:val="bg-BG"/>
        </w:rPr>
      </w:pPr>
    </w:p>
    <w:p w:rsidR="004F47BB" w:rsidRPr="009072DA" w:rsidRDefault="004F47BB" w:rsidP="004F47BB">
      <w:pPr>
        <w:widowControl w:val="0"/>
        <w:spacing w:line="240" w:lineRule="atLeast"/>
        <w:ind w:left="567"/>
        <w:rPr>
          <w:rFonts w:cs="Arial"/>
          <w:szCs w:val="20"/>
          <w:lang w:val="bg-BG"/>
        </w:rPr>
      </w:pPr>
      <w:r w:rsidRPr="009072DA">
        <w:rPr>
          <w:lang w:val="bg-BG"/>
        </w:rPr>
        <w:t xml:space="preserve">Те обаче могат да откриват и определят местоположението единствено на отразяващи обекти и генерират изображение на околната среда, наподобяващо карта, което надеждно изобразява пеленга и разстоянието. Радиолокационните системи също така не могат да идентифицират и изобразяват подробности на обектите, които биха позволили тяхното идентифициране. </w:t>
      </w:r>
    </w:p>
    <w:p w:rsidR="004F47BB" w:rsidRPr="009072DA" w:rsidRDefault="004F47BB" w:rsidP="004F47BB">
      <w:pPr>
        <w:widowControl w:val="0"/>
        <w:spacing w:line="240" w:lineRule="atLeast"/>
        <w:ind w:left="567" w:hanging="567"/>
        <w:rPr>
          <w:rFonts w:cs="Arial"/>
          <w:b/>
          <w:szCs w:val="20"/>
          <w:lang w:val="bg-BG"/>
        </w:rPr>
      </w:pPr>
    </w:p>
    <w:p w:rsidR="004F47BB" w:rsidRPr="009072DA" w:rsidRDefault="004F47BB" w:rsidP="004F47BB">
      <w:pPr>
        <w:widowControl w:val="0"/>
        <w:spacing w:line="240" w:lineRule="atLeast"/>
        <w:ind w:left="567" w:hanging="567"/>
        <w:rPr>
          <w:rFonts w:cs="Arial"/>
          <w:b/>
          <w:szCs w:val="20"/>
          <w:lang w:val="bg-BG"/>
        </w:rPr>
      </w:pPr>
      <w:r w:rsidRPr="009072DA">
        <w:rPr>
          <w:b/>
          <w:lang w:val="bg-BG"/>
        </w:rPr>
        <w:t>4.</w:t>
      </w:r>
      <w:r w:rsidRPr="009072DA">
        <w:rPr>
          <w:lang w:val="bg-BG"/>
        </w:rPr>
        <w:tab/>
      </w:r>
      <w:r w:rsidRPr="009072DA">
        <w:rPr>
          <w:b/>
          <w:lang w:val="bg-BG"/>
        </w:rPr>
        <w:t>Подходящи спомагателни средства за наблюдаване на мъртвата зона</w:t>
      </w:r>
    </w:p>
    <w:p w:rsidR="004F47BB" w:rsidRPr="009072DA" w:rsidRDefault="004F47BB" w:rsidP="004F47BB">
      <w:pPr>
        <w:widowControl w:val="0"/>
        <w:spacing w:line="240" w:lineRule="atLeast"/>
        <w:rPr>
          <w:rFonts w:cs="Arial"/>
          <w:szCs w:val="20"/>
          <w:lang w:val="bg-BG"/>
        </w:rPr>
      </w:pPr>
    </w:p>
    <w:p w:rsidR="004F47BB" w:rsidRPr="009072DA" w:rsidRDefault="004F47BB" w:rsidP="004F47BB">
      <w:pPr>
        <w:widowControl w:val="0"/>
        <w:spacing w:line="240" w:lineRule="atLeast"/>
        <w:ind w:left="567" w:hanging="567"/>
        <w:rPr>
          <w:rFonts w:cs="Arial"/>
          <w:b/>
          <w:szCs w:val="20"/>
          <w:lang w:val="bg-BG"/>
        </w:rPr>
      </w:pPr>
      <w:r w:rsidRPr="009072DA">
        <w:rPr>
          <w:b/>
          <w:lang w:val="bg-BG"/>
        </w:rPr>
        <w:t>4.1</w:t>
      </w:r>
      <w:r w:rsidRPr="009072DA">
        <w:rPr>
          <w:lang w:val="bg-BG"/>
        </w:rPr>
        <w:tab/>
      </w:r>
      <w:r w:rsidRPr="009072DA">
        <w:rPr>
          <w:b/>
          <w:lang w:val="bg-BG"/>
        </w:rPr>
        <w:t>Огледала</w:t>
      </w:r>
    </w:p>
    <w:p w:rsidR="004F47BB" w:rsidRPr="009072DA" w:rsidRDefault="004F47BB" w:rsidP="004F47BB">
      <w:pPr>
        <w:widowControl w:val="0"/>
        <w:spacing w:before="60" w:line="240" w:lineRule="atLeast"/>
        <w:ind w:left="992"/>
        <w:rPr>
          <w:rFonts w:cs="Arial"/>
          <w:szCs w:val="20"/>
          <w:lang w:val="bg-BG"/>
        </w:rPr>
      </w:pPr>
      <w:r w:rsidRPr="009072DA">
        <w:rPr>
          <w:lang w:val="bg-BG"/>
        </w:rPr>
        <w:t>1.</w:t>
      </w:r>
      <w:r w:rsidRPr="009072DA">
        <w:rPr>
          <w:lang w:val="bg-BG"/>
        </w:rPr>
        <w:tab/>
        <w:t>Форма</w:t>
      </w:r>
    </w:p>
    <w:p w:rsidR="004F47BB" w:rsidRPr="009072DA" w:rsidRDefault="004F47BB" w:rsidP="004F47BB">
      <w:pPr>
        <w:widowControl w:val="0"/>
        <w:spacing w:line="240" w:lineRule="atLeast"/>
        <w:ind w:left="992"/>
        <w:rPr>
          <w:rFonts w:cs="Arial"/>
          <w:szCs w:val="20"/>
          <w:lang w:val="bg-BG"/>
        </w:rPr>
      </w:pPr>
      <w:r w:rsidRPr="009072DA">
        <w:rPr>
          <w:lang w:val="bg-BG"/>
        </w:rPr>
        <w:t xml:space="preserve">Формата на огледалото зависи от формата на областта, които трябва да бъде наблюдавана. С правоъгълните огледала могат да бъдат наблюдавани палубните проходи. </w:t>
      </w:r>
    </w:p>
    <w:p w:rsidR="004F47BB" w:rsidRPr="009072DA" w:rsidRDefault="004F47BB" w:rsidP="004F47BB">
      <w:pPr>
        <w:widowControl w:val="0"/>
        <w:spacing w:before="60" w:line="240" w:lineRule="atLeast"/>
        <w:ind w:left="992"/>
        <w:rPr>
          <w:rFonts w:cs="Arial"/>
          <w:szCs w:val="20"/>
          <w:lang w:val="bg-BG"/>
        </w:rPr>
      </w:pPr>
      <w:r w:rsidRPr="009072DA">
        <w:rPr>
          <w:lang w:val="bg-BG"/>
        </w:rPr>
        <w:t>2.</w:t>
      </w:r>
      <w:r w:rsidRPr="009072DA">
        <w:rPr>
          <w:lang w:val="bg-BG"/>
        </w:rPr>
        <w:tab/>
        <w:t>Размер</w:t>
      </w:r>
    </w:p>
    <w:p w:rsidR="004F47BB" w:rsidRPr="009072DA" w:rsidRDefault="004F47BB" w:rsidP="004F47BB">
      <w:pPr>
        <w:widowControl w:val="0"/>
        <w:spacing w:line="240" w:lineRule="atLeast"/>
        <w:ind w:left="992"/>
        <w:rPr>
          <w:rFonts w:cs="Arial"/>
          <w:szCs w:val="20"/>
          <w:lang w:val="bg-BG"/>
        </w:rPr>
      </w:pPr>
      <w:r w:rsidRPr="009072DA">
        <w:rPr>
          <w:lang w:val="bg-BG"/>
        </w:rPr>
        <w:t>Площта на огледалото зависи от ширината на сектора, който желаете да наблюдавате и разстоянието между рулевия и огледалото.</w:t>
      </w:r>
    </w:p>
    <w:p w:rsidR="004F47BB" w:rsidRPr="009072DA" w:rsidRDefault="004F47BB" w:rsidP="004F47BB">
      <w:pPr>
        <w:widowControl w:val="0"/>
        <w:spacing w:before="60" w:line="240" w:lineRule="atLeast"/>
        <w:ind w:left="992"/>
        <w:rPr>
          <w:rFonts w:cs="Arial"/>
          <w:szCs w:val="20"/>
          <w:lang w:val="bg-BG"/>
        </w:rPr>
      </w:pPr>
      <w:r w:rsidRPr="009072DA">
        <w:rPr>
          <w:lang w:val="bg-BG"/>
        </w:rPr>
        <w:t>3.</w:t>
      </w:r>
      <w:r w:rsidRPr="009072DA">
        <w:rPr>
          <w:lang w:val="bg-BG"/>
        </w:rPr>
        <w:tab/>
        <w:t>Качество</w:t>
      </w:r>
    </w:p>
    <w:p w:rsidR="004F47BB" w:rsidRPr="009072DA" w:rsidRDefault="004F47BB" w:rsidP="004F47BB">
      <w:pPr>
        <w:widowControl w:val="0"/>
        <w:spacing w:line="240" w:lineRule="atLeast"/>
        <w:ind w:left="992"/>
        <w:rPr>
          <w:rFonts w:cs="Arial"/>
          <w:szCs w:val="20"/>
          <w:lang w:val="bg-BG"/>
        </w:rPr>
      </w:pPr>
      <w:r w:rsidRPr="009072DA">
        <w:rPr>
          <w:lang w:val="bg-BG"/>
        </w:rPr>
        <w:t>Следва да се използват изпитани и проверени масово произвеждани продукти, като тези за пътни превозни средства (тежкотоварни автомобили и автобуси).</w:t>
      </w:r>
    </w:p>
    <w:p w:rsidR="004F47BB" w:rsidRPr="009072DA" w:rsidRDefault="004F47BB" w:rsidP="004F47BB">
      <w:pPr>
        <w:widowControl w:val="0"/>
        <w:spacing w:before="60" w:line="240" w:lineRule="atLeast"/>
        <w:ind w:left="992"/>
        <w:rPr>
          <w:rFonts w:cs="Arial"/>
          <w:szCs w:val="20"/>
          <w:lang w:val="bg-BG"/>
        </w:rPr>
      </w:pPr>
      <w:r w:rsidRPr="009072DA">
        <w:rPr>
          <w:lang w:val="bg-BG"/>
        </w:rPr>
        <w:t>4.</w:t>
      </w:r>
      <w:r w:rsidRPr="009072DA">
        <w:rPr>
          <w:lang w:val="bg-BG"/>
        </w:rPr>
        <w:tab/>
        <w:t>Огледала с извивка</w:t>
      </w:r>
    </w:p>
    <w:p w:rsidR="004F47BB" w:rsidRPr="009072DA" w:rsidRDefault="004F47BB" w:rsidP="004F47BB">
      <w:pPr>
        <w:widowControl w:val="0"/>
        <w:spacing w:line="240" w:lineRule="atLeast"/>
        <w:ind w:left="992"/>
        <w:rPr>
          <w:rFonts w:cs="Arial"/>
          <w:szCs w:val="20"/>
          <w:lang w:val="bg-BG"/>
        </w:rPr>
      </w:pPr>
      <w:r w:rsidRPr="009072DA">
        <w:rPr>
          <w:lang w:val="bg-BG"/>
        </w:rPr>
        <w:t>Следва да се използват плоски огледала, а не такива с извивка. Когато бъде счетено за уместно, могат да се използват също огледала с лека извивка.</w:t>
      </w:r>
    </w:p>
    <w:p w:rsidR="004F47BB" w:rsidRPr="009072DA" w:rsidRDefault="004F47BB" w:rsidP="004F47BB">
      <w:pPr>
        <w:widowControl w:val="0"/>
        <w:spacing w:before="60" w:line="240" w:lineRule="atLeast"/>
        <w:ind w:left="992"/>
        <w:rPr>
          <w:rFonts w:cs="Arial"/>
          <w:szCs w:val="20"/>
          <w:lang w:val="bg-BG"/>
        </w:rPr>
      </w:pPr>
      <w:r w:rsidRPr="009072DA">
        <w:rPr>
          <w:lang w:val="bg-BG"/>
        </w:rPr>
        <w:lastRenderedPageBreak/>
        <w:t>5.</w:t>
      </w:r>
      <w:r w:rsidRPr="009072DA">
        <w:rPr>
          <w:lang w:val="bg-BG"/>
        </w:rPr>
        <w:tab/>
        <w:t>Скоба за монтиране</w:t>
      </w:r>
    </w:p>
    <w:p w:rsidR="004F47BB" w:rsidRPr="009072DA" w:rsidRDefault="004F47BB" w:rsidP="004F47BB">
      <w:pPr>
        <w:widowControl w:val="0"/>
        <w:spacing w:line="240" w:lineRule="atLeast"/>
        <w:ind w:left="992"/>
        <w:rPr>
          <w:rFonts w:cs="Arial"/>
          <w:szCs w:val="20"/>
          <w:lang w:val="bg-BG"/>
        </w:rPr>
      </w:pPr>
      <w:r w:rsidRPr="009072DA">
        <w:rPr>
          <w:lang w:val="bg-BG"/>
        </w:rPr>
        <w:t>Скобата за монтиране трябва да гарантира, че огледалото остава в трайно и стабилно положение (без вибрации).</w:t>
      </w:r>
    </w:p>
    <w:p w:rsidR="004F47BB" w:rsidRPr="009072DA" w:rsidRDefault="004F47BB" w:rsidP="004F47BB">
      <w:pPr>
        <w:widowControl w:val="0"/>
        <w:spacing w:before="60" w:line="240" w:lineRule="atLeast"/>
        <w:ind w:left="992"/>
        <w:rPr>
          <w:rFonts w:cs="Arial"/>
          <w:szCs w:val="20"/>
          <w:lang w:val="bg-BG"/>
        </w:rPr>
      </w:pPr>
      <w:r w:rsidRPr="009072DA">
        <w:rPr>
          <w:lang w:val="bg-BG"/>
        </w:rPr>
        <w:t>6.</w:t>
      </w:r>
      <w:r w:rsidRPr="009072DA">
        <w:rPr>
          <w:lang w:val="bg-BG"/>
        </w:rPr>
        <w:tab/>
        <w:t>Защита срещу дъжд</w:t>
      </w:r>
    </w:p>
    <w:p w:rsidR="004F47BB" w:rsidRPr="009072DA" w:rsidRDefault="004F47BB" w:rsidP="004F47BB">
      <w:pPr>
        <w:widowControl w:val="0"/>
        <w:spacing w:line="240" w:lineRule="atLeast"/>
        <w:ind w:left="992"/>
        <w:rPr>
          <w:rFonts w:cs="Arial"/>
          <w:szCs w:val="20"/>
          <w:lang w:val="bg-BG"/>
        </w:rPr>
      </w:pPr>
      <w:r w:rsidRPr="009072DA">
        <w:rPr>
          <w:lang w:val="bg-BG"/>
        </w:rPr>
        <w:t>Огледалото трябва да е монтирано по такъв начин, че да е защитено от дъжд.</w:t>
      </w:r>
    </w:p>
    <w:p w:rsidR="004F47BB" w:rsidRPr="009072DA" w:rsidRDefault="004F47BB" w:rsidP="004F47BB">
      <w:pPr>
        <w:widowControl w:val="0"/>
        <w:spacing w:before="60" w:line="240" w:lineRule="atLeast"/>
        <w:ind w:left="992"/>
        <w:rPr>
          <w:rFonts w:cs="Arial"/>
          <w:szCs w:val="20"/>
          <w:lang w:val="bg-BG"/>
        </w:rPr>
      </w:pPr>
      <w:r w:rsidRPr="009072DA">
        <w:rPr>
          <w:lang w:val="bg-BG"/>
        </w:rPr>
        <w:t>7.</w:t>
      </w:r>
      <w:r w:rsidRPr="009072DA">
        <w:rPr>
          <w:lang w:val="bg-BG"/>
        </w:rPr>
        <w:tab/>
        <w:t>Защита срещу заскрежаване</w:t>
      </w:r>
    </w:p>
    <w:p w:rsidR="004F47BB" w:rsidRPr="009072DA" w:rsidRDefault="004F47BB" w:rsidP="004F47BB">
      <w:pPr>
        <w:widowControl w:val="0"/>
        <w:spacing w:line="240" w:lineRule="atLeast"/>
        <w:ind w:left="992"/>
        <w:rPr>
          <w:rFonts w:cs="Arial"/>
          <w:szCs w:val="20"/>
          <w:lang w:val="bg-BG"/>
        </w:rPr>
      </w:pPr>
      <w:r w:rsidRPr="009072DA">
        <w:rPr>
          <w:lang w:val="bg-BG"/>
        </w:rPr>
        <w:t>Образуването на скреж върху огледалото трябва да се предотвратява.</w:t>
      </w:r>
    </w:p>
    <w:p w:rsidR="004F47BB" w:rsidRPr="009072DA" w:rsidRDefault="004F47BB" w:rsidP="004F47BB">
      <w:pPr>
        <w:widowControl w:val="0"/>
        <w:spacing w:before="60" w:line="240" w:lineRule="atLeast"/>
        <w:ind w:left="992"/>
        <w:rPr>
          <w:rFonts w:cs="Arial"/>
          <w:szCs w:val="20"/>
          <w:lang w:val="bg-BG"/>
        </w:rPr>
      </w:pPr>
      <w:r w:rsidRPr="009072DA">
        <w:rPr>
          <w:lang w:val="bg-BG"/>
        </w:rPr>
        <w:t>8.</w:t>
      </w:r>
      <w:r w:rsidRPr="009072DA">
        <w:rPr>
          <w:lang w:val="bg-BG"/>
        </w:rPr>
        <w:tab/>
        <w:t>Положение на монтиране</w:t>
      </w:r>
    </w:p>
    <w:p w:rsidR="004F47BB" w:rsidRPr="009072DA" w:rsidRDefault="004F47BB" w:rsidP="004F47BB">
      <w:pPr>
        <w:widowControl w:val="0"/>
        <w:spacing w:line="240" w:lineRule="atLeast"/>
        <w:ind w:left="992"/>
        <w:rPr>
          <w:rFonts w:cs="Arial"/>
          <w:szCs w:val="20"/>
          <w:lang w:val="bg-BG"/>
        </w:rPr>
      </w:pPr>
      <w:r w:rsidRPr="009072DA">
        <w:rPr>
          <w:lang w:val="bg-BG"/>
        </w:rPr>
        <w:t xml:space="preserve">Трябва да е възможно рулевият да използва огледалото без да напуска своя пост; той трябва да може да ползва огледалото с насочване на погледа или извръщане на глава към него. Ето защо горните краища на външните прегради (както и външните врати) на рулевата рубка са подходящи като точки на закрепване. Рулевият трябва да има безпрепятствена видимост към огледало. </w:t>
      </w:r>
    </w:p>
    <w:p w:rsidR="004F47BB" w:rsidRPr="009072DA" w:rsidRDefault="004F47BB" w:rsidP="004F47BB">
      <w:pPr>
        <w:widowControl w:val="0"/>
        <w:spacing w:before="60" w:line="240" w:lineRule="atLeast"/>
        <w:ind w:left="992"/>
        <w:rPr>
          <w:rFonts w:cs="Arial"/>
          <w:szCs w:val="20"/>
          <w:lang w:val="bg-BG"/>
        </w:rPr>
      </w:pPr>
      <w:r w:rsidRPr="009072DA">
        <w:rPr>
          <w:lang w:val="bg-BG"/>
        </w:rPr>
        <w:t>9.</w:t>
      </w:r>
      <w:r w:rsidRPr="009072DA">
        <w:rPr>
          <w:lang w:val="bg-BG"/>
        </w:rPr>
        <w:tab/>
        <w:t>Насочване</w:t>
      </w:r>
    </w:p>
    <w:p w:rsidR="004F47BB" w:rsidRPr="009072DA" w:rsidRDefault="004F47BB" w:rsidP="004F47BB">
      <w:pPr>
        <w:widowControl w:val="0"/>
        <w:spacing w:line="240" w:lineRule="atLeast"/>
        <w:ind w:left="992"/>
        <w:rPr>
          <w:rFonts w:cs="Arial"/>
          <w:szCs w:val="20"/>
          <w:lang w:val="bg-BG"/>
        </w:rPr>
      </w:pPr>
      <w:r w:rsidRPr="009072DA">
        <w:rPr>
          <w:lang w:val="bg-BG"/>
        </w:rPr>
        <w:t>Посоката на описаните части на плавателния съд (краища, пешеходни пътеки) трябва да отговаря на действителността във възможно най-голяма степен.</w:t>
      </w:r>
    </w:p>
    <w:p w:rsidR="004F47BB" w:rsidRPr="009072DA" w:rsidRDefault="004F47BB" w:rsidP="004F47BB">
      <w:pPr>
        <w:widowControl w:val="0"/>
        <w:spacing w:line="240" w:lineRule="atLeast"/>
        <w:rPr>
          <w:rFonts w:cs="Arial"/>
          <w:szCs w:val="20"/>
          <w:lang w:val="bg-BG"/>
        </w:rPr>
      </w:pPr>
    </w:p>
    <w:p w:rsidR="004F47BB" w:rsidRPr="009072DA" w:rsidRDefault="004F47BB" w:rsidP="004F47BB">
      <w:pPr>
        <w:widowControl w:val="0"/>
        <w:spacing w:line="240" w:lineRule="atLeast"/>
        <w:ind w:left="567" w:hanging="567"/>
        <w:rPr>
          <w:rFonts w:cs="Arial"/>
          <w:b/>
          <w:szCs w:val="20"/>
          <w:lang w:val="bg-BG"/>
        </w:rPr>
      </w:pPr>
      <w:r w:rsidRPr="009072DA">
        <w:rPr>
          <w:lang w:val="bg-BG"/>
        </w:rPr>
        <w:br w:type="page"/>
      </w:r>
      <w:r w:rsidRPr="009072DA">
        <w:rPr>
          <w:b/>
          <w:lang w:val="bg-BG"/>
        </w:rPr>
        <w:lastRenderedPageBreak/>
        <w:t>4.2</w:t>
      </w:r>
      <w:r w:rsidRPr="009072DA">
        <w:rPr>
          <w:lang w:val="bg-BG"/>
        </w:rPr>
        <w:tab/>
      </w:r>
      <w:r w:rsidRPr="009072DA">
        <w:rPr>
          <w:b/>
          <w:lang w:val="bg-BG"/>
        </w:rPr>
        <w:t>Видео системи</w:t>
      </w:r>
    </w:p>
    <w:p w:rsidR="004F47BB" w:rsidRPr="009072DA" w:rsidRDefault="004F47BB" w:rsidP="004F47BB">
      <w:pPr>
        <w:widowControl w:val="0"/>
        <w:spacing w:line="240" w:lineRule="atLeast"/>
        <w:ind w:left="567" w:hanging="567"/>
        <w:rPr>
          <w:rFonts w:cs="Arial"/>
          <w:b/>
          <w:szCs w:val="20"/>
          <w:lang w:val="bg-BG"/>
        </w:rPr>
      </w:pPr>
    </w:p>
    <w:p w:rsidR="004F47BB" w:rsidRPr="009072DA" w:rsidRDefault="004F47BB" w:rsidP="004F47BB">
      <w:pPr>
        <w:widowControl w:val="0"/>
        <w:spacing w:line="240" w:lineRule="atLeast"/>
        <w:ind w:left="567" w:hanging="567"/>
        <w:rPr>
          <w:rFonts w:cs="Arial"/>
          <w:b/>
          <w:szCs w:val="20"/>
          <w:lang w:val="bg-BG"/>
        </w:rPr>
      </w:pPr>
      <w:r w:rsidRPr="009072DA">
        <w:rPr>
          <w:b/>
          <w:lang w:val="bg-BG"/>
        </w:rPr>
        <w:t>4.2.1</w:t>
      </w:r>
      <w:r w:rsidRPr="009072DA">
        <w:rPr>
          <w:lang w:val="bg-BG"/>
        </w:rPr>
        <w:tab/>
      </w:r>
      <w:r w:rsidRPr="009072DA">
        <w:rPr>
          <w:b/>
          <w:lang w:val="bg-BG"/>
        </w:rPr>
        <w:t>Камери</w:t>
      </w:r>
    </w:p>
    <w:p w:rsidR="004F47BB" w:rsidRPr="009072DA" w:rsidRDefault="004F47BB" w:rsidP="004F47BB">
      <w:pPr>
        <w:widowControl w:val="0"/>
        <w:spacing w:before="60" w:line="240" w:lineRule="atLeast"/>
        <w:ind w:left="992"/>
        <w:rPr>
          <w:rFonts w:cs="Arial"/>
          <w:szCs w:val="20"/>
          <w:lang w:val="bg-BG"/>
        </w:rPr>
      </w:pPr>
      <w:r w:rsidRPr="009072DA">
        <w:rPr>
          <w:lang w:val="bg-BG"/>
        </w:rPr>
        <w:t>1.</w:t>
      </w:r>
      <w:r w:rsidRPr="009072DA">
        <w:rPr>
          <w:lang w:val="bg-BG"/>
        </w:rPr>
        <w:tab/>
        <w:t>Вид камера</w:t>
      </w:r>
    </w:p>
    <w:p w:rsidR="004F47BB" w:rsidRPr="009072DA" w:rsidRDefault="004F47BB" w:rsidP="004F47BB">
      <w:pPr>
        <w:widowControl w:val="0"/>
        <w:spacing w:line="240" w:lineRule="atLeast"/>
        <w:ind w:left="992"/>
        <w:rPr>
          <w:rFonts w:cs="Arial"/>
          <w:szCs w:val="20"/>
          <w:lang w:val="bg-BG"/>
        </w:rPr>
      </w:pPr>
      <w:r w:rsidRPr="009072DA">
        <w:rPr>
          <w:lang w:val="bg-BG"/>
        </w:rPr>
        <w:t>Цветна видеокамера с растерно сканиране, с автоматично превключване в черно-бял режим и формат на изображението, напр. 4:3 (ориентация „пейзаж“), подходящ за използвания монитор.</w:t>
      </w:r>
    </w:p>
    <w:p w:rsidR="004F47BB" w:rsidRPr="009072DA" w:rsidRDefault="004F47BB" w:rsidP="004F47BB">
      <w:pPr>
        <w:widowControl w:val="0"/>
        <w:spacing w:before="60" w:line="240" w:lineRule="atLeast"/>
        <w:ind w:left="992"/>
        <w:rPr>
          <w:rFonts w:cs="Arial"/>
          <w:szCs w:val="20"/>
          <w:lang w:val="bg-BG"/>
        </w:rPr>
      </w:pPr>
      <w:r w:rsidRPr="009072DA">
        <w:rPr>
          <w:lang w:val="bg-BG"/>
        </w:rPr>
        <w:t>2.</w:t>
      </w:r>
      <w:r w:rsidRPr="009072DA">
        <w:rPr>
          <w:lang w:val="bg-BG"/>
        </w:rPr>
        <w:tab/>
        <w:t>Разделителна способност</w:t>
      </w:r>
    </w:p>
    <w:p w:rsidR="004F47BB" w:rsidRPr="009072DA" w:rsidRDefault="004F47BB" w:rsidP="004F47BB">
      <w:pPr>
        <w:widowControl w:val="0"/>
        <w:spacing w:line="240" w:lineRule="atLeast"/>
        <w:ind w:left="992"/>
        <w:rPr>
          <w:rFonts w:cs="Arial"/>
          <w:szCs w:val="20"/>
          <w:lang w:val="bg-BG"/>
        </w:rPr>
      </w:pPr>
      <w:r w:rsidRPr="009072DA">
        <w:rPr>
          <w:lang w:val="bg-BG"/>
        </w:rPr>
        <w:t>Еднакво добра разделителна способност по хоризонталната и по вертикалната ос, за предпочитане най-малко 576 пиксела на тесния край на изображението, квадратни пиксели.</w:t>
      </w:r>
    </w:p>
    <w:p w:rsidR="004F47BB" w:rsidRPr="009072DA" w:rsidRDefault="004F47BB" w:rsidP="004F47BB">
      <w:pPr>
        <w:widowControl w:val="0"/>
        <w:spacing w:before="60" w:line="240" w:lineRule="atLeast"/>
        <w:ind w:left="992"/>
        <w:rPr>
          <w:rFonts w:cs="Arial"/>
          <w:szCs w:val="20"/>
          <w:lang w:val="bg-BG"/>
        </w:rPr>
      </w:pPr>
      <w:r w:rsidRPr="009072DA">
        <w:rPr>
          <w:lang w:val="bg-BG"/>
        </w:rPr>
        <w:t>3.</w:t>
      </w:r>
      <w:r w:rsidRPr="009072DA">
        <w:rPr>
          <w:lang w:val="bg-BG"/>
        </w:rPr>
        <w:tab/>
        <w:t>Чувствителност на светлина</w:t>
      </w:r>
    </w:p>
    <w:p w:rsidR="004F47BB" w:rsidRPr="009072DA" w:rsidRDefault="004F47BB" w:rsidP="004F47BB">
      <w:pPr>
        <w:widowControl w:val="0"/>
        <w:spacing w:line="240" w:lineRule="atLeast"/>
        <w:ind w:left="992"/>
        <w:rPr>
          <w:rFonts w:cs="Arial"/>
          <w:szCs w:val="20"/>
          <w:lang w:val="bg-BG"/>
        </w:rPr>
      </w:pPr>
      <w:r w:rsidRPr="009072DA">
        <w:rPr>
          <w:lang w:val="bg-BG"/>
        </w:rPr>
        <w:t>0</w:t>
      </w:r>
      <w:r w:rsidR="00925FA7">
        <w:rPr>
          <w:lang w:val="bg-BG"/>
        </w:rPr>
        <w:t>,6 lux в цветен режим, 0,</w:t>
      </w:r>
      <w:r w:rsidRPr="009072DA">
        <w:rPr>
          <w:lang w:val="bg-BG"/>
        </w:rPr>
        <w:t>1 lux в черно-бял режим (в съответствие със стандарт EN 61146—1 със съответната лещата без интегриране на изображението).</w:t>
      </w:r>
    </w:p>
    <w:p w:rsidR="004F47BB" w:rsidRPr="009072DA" w:rsidRDefault="004F47BB" w:rsidP="004F47BB">
      <w:pPr>
        <w:widowControl w:val="0"/>
        <w:spacing w:before="60" w:line="240" w:lineRule="atLeast"/>
        <w:ind w:left="992"/>
        <w:rPr>
          <w:rFonts w:cs="Arial"/>
          <w:szCs w:val="20"/>
          <w:lang w:val="bg-BG"/>
        </w:rPr>
      </w:pPr>
      <w:r w:rsidRPr="009072DA">
        <w:rPr>
          <w:lang w:val="bg-BG"/>
        </w:rPr>
        <w:t>4.</w:t>
      </w:r>
      <w:r w:rsidRPr="009072DA">
        <w:rPr>
          <w:lang w:val="bg-BG"/>
        </w:rPr>
        <w:tab/>
        <w:t>Кадрова честота</w:t>
      </w:r>
    </w:p>
    <w:p w:rsidR="004F47BB" w:rsidRPr="009072DA" w:rsidRDefault="004F47BB" w:rsidP="004F47BB">
      <w:pPr>
        <w:widowControl w:val="0"/>
        <w:spacing w:line="240" w:lineRule="atLeast"/>
        <w:ind w:left="992"/>
        <w:rPr>
          <w:rFonts w:cs="Arial"/>
          <w:szCs w:val="20"/>
          <w:lang w:val="bg-BG"/>
        </w:rPr>
      </w:pPr>
      <w:r w:rsidRPr="009072DA">
        <w:rPr>
          <w:lang w:val="bg-BG"/>
        </w:rPr>
        <w:t>Кадрова честота от 25 или повече кадъра в секунда.</w:t>
      </w:r>
    </w:p>
    <w:p w:rsidR="004F47BB" w:rsidRPr="009072DA" w:rsidRDefault="004F47BB" w:rsidP="004F47BB">
      <w:pPr>
        <w:widowControl w:val="0"/>
        <w:spacing w:before="60" w:line="240" w:lineRule="atLeast"/>
        <w:ind w:left="992"/>
        <w:rPr>
          <w:rFonts w:cs="Arial"/>
          <w:szCs w:val="20"/>
          <w:lang w:val="bg-BG"/>
        </w:rPr>
      </w:pPr>
      <w:r w:rsidRPr="009072DA">
        <w:rPr>
          <w:lang w:val="bg-BG"/>
        </w:rPr>
        <w:t>5.</w:t>
      </w:r>
      <w:r w:rsidRPr="009072DA">
        <w:rPr>
          <w:lang w:val="bg-BG"/>
        </w:rPr>
        <w:tab/>
        <w:t>Ъгъл на наблюдение</w:t>
      </w:r>
    </w:p>
    <w:p w:rsidR="004F47BB" w:rsidRPr="009072DA" w:rsidRDefault="004F47BB" w:rsidP="004F47BB">
      <w:pPr>
        <w:widowControl w:val="0"/>
        <w:spacing w:line="240" w:lineRule="atLeast"/>
        <w:ind w:left="992"/>
        <w:rPr>
          <w:rFonts w:cs="Arial"/>
          <w:szCs w:val="20"/>
          <w:lang w:val="bg-BG"/>
        </w:rPr>
      </w:pPr>
      <w:r w:rsidRPr="009072DA">
        <w:rPr>
          <w:lang w:val="bg-BG"/>
        </w:rPr>
        <w:t>Ъгълът на наблюдение на камерата се определя, като се избере подходяща честота на фокусното разстояние. За да се избегне допълнително объркване на потребителя от неестествената перспектива, се препоръчва ъгълът на наблюдение да е сходен на този на човешкото око (приблизително 30° - 45°). Хоризонталният ъгъл на наблюдение не следва да бъде по-малко от 30°.</w:t>
      </w:r>
    </w:p>
    <w:p w:rsidR="004F47BB" w:rsidRPr="009072DA" w:rsidRDefault="004F47BB" w:rsidP="004F47BB">
      <w:pPr>
        <w:widowControl w:val="0"/>
        <w:spacing w:before="60" w:line="240" w:lineRule="atLeast"/>
        <w:ind w:left="992"/>
        <w:rPr>
          <w:rFonts w:cs="Arial"/>
          <w:szCs w:val="20"/>
          <w:lang w:val="bg-BG"/>
        </w:rPr>
      </w:pPr>
      <w:r w:rsidRPr="009072DA">
        <w:rPr>
          <w:lang w:val="bg-BG"/>
        </w:rPr>
        <w:t>6.</w:t>
      </w:r>
      <w:r w:rsidRPr="009072DA">
        <w:rPr>
          <w:lang w:val="bg-BG"/>
        </w:rPr>
        <w:tab/>
        <w:t>Увеличителни лещи и механизми за завъртане</w:t>
      </w:r>
    </w:p>
    <w:p w:rsidR="004F47BB" w:rsidRPr="009072DA" w:rsidRDefault="004F47BB" w:rsidP="004F47BB">
      <w:pPr>
        <w:widowControl w:val="0"/>
        <w:spacing w:line="240" w:lineRule="atLeast"/>
        <w:ind w:left="992"/>
        <w:rPr>
          <w:rFonts w:cs="Arial"/>
          <w:szCs w:val="20"/>
          <w:lang w:val="bg-BG"/>
        </w:rPr>
      </w:pPr>
      <w:r w:rsidRPr="009072DA">
        <w:rPr>
          <w:lang w:val="bg-BG"/>
        </w:rPr>
        <w:t>Когато се използват завъртащи се и увеличаващи камери за подобряване на видимостта напред, следва да съществува основна настройка с оптимално фокусно разстояние и ориентация напред, която може да се избере с едно натискане на бутон.</w:t>
      </w:r>
    </w:p>
    <w:p w:rsidR="004F47BB" w:rsidRPr="009072DA" w:rsidRDefault="004F47BB" w:rsidP="004F47BB">
      <w:pPr>
        <w:widowControl w:val="0"/>
        <w:spacing w:before="60" w:line="240" w:lineRule="atLeast"/>
        <w:ind w:left="992"/>
        <w:rPr>
          <w:rFonts w:cs="Arial"/>
          <w:szCs w:val="20"/>
          <w:lang w:val="bg-BG"/>
        </w:rPr>
      </w:pPr>
      <w:r w:rsidRPr="009072DA">
        <w:rPr>
          <w:lang w:val="bg-BG"/>
        </w:rPr>
        <w:t>7.</w:t>
      </w:r>
      <w:r w:rsidRPr="009072DA">
        <w:rPr>
          <w:lang w:val="bg-BG"/>
        </w:rPr>
        <w:tab/>
        <w:t>Позиция на камерата</w:t>
      </w:r>
    </w:p>
    <w:p w:rsidR="004F47BB" w:rsidRPr="009072DA" w:rsidRDefault="004F47BB" w:rsidP="004F47BB">
      <w:pPr>
        <w:widowControl w:val="0"/>
        <w:spacing w:line="240" w:lineRule="atLeast"/>
        <w:ind w:left="992"/>
        <w:rPr>
          <w:rFonts w:cs="Arial"/>
          <w:szCs w:val="20"/>
          <w:lang w:val="bg-BG"/>
        </w:rPr>
      </w:pPr>
      <w:r w:rsidRPr="009072DA">
        <w:rPr>
          <w:lang w:val="bg-BG"/>
        </w:rPr>
        <w:t>Позицията на камерата зависи от зоната, която трябва да бъде наблюдавана.</w:t>
      </w:r>
    </w:p>
    <w:p w:rsidR="004F47BB" w:rsidRPr="009072DA" w:rsidRDefault="004F47BB" w:rsidP="004F47BB">
      <w:pPr>
        <w:widowControl w:val="0"/>
        <w:spacing w:before="60" w:line="240" w:lineRule="atLeast"/>
        <w:ind w:left="992"/>
        <w:rPr>
          <w:rFonts w:cs="Arial"/>
          <w:szCs w:val="20"/>
          <w:lang w:val="bg-BG"/>
        </w:rPr>
      </w:pPr>
      <w:r w:rsidRPr="009072DA">
        <w:rPr>
          <w:lang w:val="bg-BG"/>
        </w:rPr>
        <w:t>8.</w:t>
      </w:r>
      <w:r w:rsidRPr="009072DA">
        <w:rPr>
          <w:lang w:val="bg-BG"/>
        </w:rPr>
        <w:tab/>
        <w:t>Монтиране на камерата</w:t>
      </w:r>
    </w:p>
    <w:p w:rsidR="004F47BB" w:rsidRPr="009072DA" w:rsidRDefault="004F47BB" w:rsidP="004F47BB">
      <w:pPr>
        <w:widowControl w:val="0"/>
        <w:spacing w:line="240" w:lineRule="atLeast"/>
        <w:ind w:left="992"/>
        <w:rPr>
          <w:rFonts w:cs="Arial"/>
          <w:szCs w:val="20"/>
          <w:lang w:val="bg-BG"/>
        </w:rPr>
      </w:pPr>
      <w:r w:rsidRPr="009072DA">
        <w:rPr>
          <w:lang w:val="bg-BG"/>
        </w:rPr>
        <w:t>Скобата за монтиране трябва да гарантира, че камерата остава в трайно и стабилно положение (без вибрации). Скобата за монтиране може да включва също предпазна затопляна обвивка.</w:t>
      </w:r>
    </w:p>
    <w:p w:rsidR="004F47BB" w:rsidRPr="009072DA" w:rsidRDefault="004F47BB" w:rsidP="004F47BB">
      <w:pPr>
        <w:widowControl w:val="0"/>
        <w:spacing w:line="240" w:lineRule="atLeast"/>
        <w:rPr>
          <w:rFonts w:cs="Arial"/>
          <w:szCs w:val="20"/>
          <w:lang w:val="bg-BG"/>
        </w:rPr>
      </w:pPr>
    </w:p>
    <w:p w:rsidR="004F47BB" w:rsidRPr="009072DA" w:rsidRDefault="004F47BB" w:rsidP="004F47BB">
      <w:pPr>
        <w:widowControl w:val="0"/>
        <w:spacing w:line="240" w:lineRule="atLeast"/>
        <w:ind w:left="567" w:hanging="567"/>
        <w:rPr>
          <w:rFonts w:cs="Arial"/>
          <w:b/>
          <w:szCs w:val="20"/>
          <w:lang w:val="bg-BG"/>
        </w:rPr>
      </w:pPr>
      <w:r w:rsidRPr="009072DA">
        <w:rPr>
          <w:b/>
          <w:lang w:val="bg-BG"/>
        </w:rPr>
        <w:t>4.2.2</w:t>
      </w:r>
      <w:r w:rsidRPr="009072DA">
        <w:rPr>
          <w:lang w:val="bg-BG"/>
        </w:rPr>
        <w:tab/>
      </w:r>
      <w:r w:rsidRPr="009072DA">
        <w:rPr>
          <w:b/>
          <w:lang w:val="bg-BG"/>
        </w:rPr>
        <w:t>Монитори</w:t>
      </w:r>
    </w:p>
    <w:p w:rsidR="004F47BB" w:rsidRPr="009072DA" w:rsidRDefault="004F47BB" w:rsidP="004F47BB">
      <w:pPr>
        <w:widowControl w:val="0"/>
        <w:spacing w:before="60" w:line="240" w:lineRule="atLeast"/>
        <w:ind w:left="992"/>
        <w:rPr>
          <w:rFonts w:cs="Arial"/>
          <w:szCs w:val="20"/>
          <w:lang w:val="bg-BG"/>
        </w:rPr>
      </w:pPr>
      <w:r w:rsidRPr="009072DA">
        <w:rPr>
          <w:lang w:val="bg-BG"/>
        </w:rPr>
        <w:t>1.</w:t>
      </w:r>
      <w:r w:rsidRPr="009072DA">
        <w:rPr>
          <w:lang w:val="bg-BG"/>
        </w:rPr>
        <w:tab/>
        <w:t>Вид монитор</w:t>
      </w:r>
    </w:p>
    <w:p w:rsidR="004F47BB" w:rsidRPr="009072DA" w:rsidRDefault="004F47BB" w:rsidP="004F47BB">
      <w:pPr>
        <w:widowControl w:val="0"/>
        <w:spacing w:line="240" w:lineRule="atLeast"/>
        <w:ind w:left="992"/>
        <w:rPr>
          <w:rFonts w:cs="Arial"/>
          <w:szCs w:val="20"/>
          <w:lang w:val="bg-BG"/>
        </w:rPr>
      </w:pPr>
      <w:r w:rsidRPr="009072DA">
        <w:rPr>
          <w:lang w:val="bg-BG"/>
        </w:rPr>
        <w:lastRenderedPageBreak/>
        <w:t>Растерен екран (за предпочитане плосък екран TFT) с минимум 30 cm диагонал.</w:t>
      </w:r>
    </w:p>
    <w:p w:rsidR="004F47BB" w:rsidRPr="009072DA" w:rsidRDefault="004F47BB" w:rsidP="004F47BB">
      <w:pPr>
        <w:widowControl w:val="0"/>
        <w:spacing w:before="60" w:line="240" w:lineRule="atLeast"/>
        <w:ind w:left="992"/>
        <w:rPr>
          <w:rFonts w:cs="Arial"/>
          <w:szCs w:val="20"/>
          <w:lang w:val="bg-BG"/>
        </w:rPr>
      </w:pPr>
      <w:r w:rsidRPr="009072DA">
        <w:rPr>
          <w:lang w:val="bg-BG"/>
        </w:rPr>
        <w:t>2.</w:t>
      </w:r>
      <w:r w:rsidRPr="009072DA">
        <w:rPr>
          <w:lang w:val="bg-BG"/>
        </w:rPr>
        <w:tab/>
        <w:t>Местоположение на монитора</w:t>
      </w:r>
    </w:p>
    <w:p w:rsidR="004F47BB" w:rsidRPr="009072DA" w:rsidRDefault="004F47BB" w:rsidP="004F47BB">
      <w:pPr>
        <w:widowControl w:val="0"/>
        <w:spacing w:before="60" w:line="240" w:lineRule="atLeast"/>
        <w:ind w:left="1417"/>
        <w:rPr>
          <w:rFonts w:cs="Arial"/>
          <w:szCs w:val="20"/>
          <w:lang w:val="bg-BG"/>
        </w:rPr>
      </w:pPr>
      <w:r w:rsidRPr="009072DA">
        <w:rPr>
          <w:lang w:val="bg-BG"/>
        </w:rPr>
        <w:t>a)</w:t>
      </w:r>
      <w:r w:rsidRPr="009072DA">
        <w:rPr>
          <w:lang w:val="bg-BG"/>
        </w:rPr>
        <w:tab/>
        <w:t xml:space="preserve">Всички монитори, които показват изображения от камери, предимно сочещи напред, трябва да бъдат в полезрението на рулевия, така че той да може да ги вижда без прекомерно движение на главата. Те трябва да бъдат разположени странично така, че да съвпадат с камерите (ляв борд, среда на плавателния съд, десен борд). </w:t>
      </w:r>
    </w:p>
    <w:p w:rsidR="004F47BB" w:rsidRPr="009072DA" w:rsidRDefault="004F47BB" w:rsidP="004F47BB">
      <w:pPr>
        <w:widowControl w:val="0"/>
        <w:spacing w:before="60" w:line="240" w:lineRule="atLeast"/>
        <w:ind w:left="1417"/>
        <w:rPr>
          <w:rFonts w:cs="Arial"/>
          <w:szCs w:val="20"/>
          <w:lang w:val="bg-BG"/>
        </w:rPr>
      </w:pPr>
      <w:r w:rsidRPr="009072DA">
        <w:rPr>
          <w:lang w:val="bg-BG"/>
        </w:rPr>
        <w:t>б)</w:t>
      </w:r>
      <w:r w:rsidRPr="009072DA">
        <w:rPr>
          <w:lang w:val="bg-BG"/>
        </w:rPr>
        <w:tab/>
        <w:t xml:space="preserve">Монитори, които съответстват на камери, насочени назад, могат например да са разположени също и на втора поставка, централно и от правилната страна, под или над горепосочените монитори. Тогава тяхното изображение е съгласувано с това на огледалата. Ако тези изображения се изискват само при акостиране или отпътуване, ще е полезно тези монитори да са разположени след преградата на рулевата рубка, тъй като рулевият във всички случаи гледа назад или се обръща назад при извършване на тези маневри. Изображенията не съответстват повече на огледалния образ. </w:t>
      </w:r>
    </w:p>
    <w:p w:rsidR="004F47BB" w:rsidRPr="009072DA" w:rsidRDefault="004F47BB" w:rsidP="004F47BB">
      <w:pPr>
        <w:widowControl w:val="0"/>
        <w:spacing w:before="60" w:line="240" w:lineRule="atLeast"/>
        <w:ind w:left="992"/>
        <w:rPr>
          <w:rFonts w:cs="Arial"/>
          <w:szCs w:val="20"/>
          <w:lang w:val="bg-BG"/>
        </w:rPr>
      </w:pPr>
      <w:r w:rsidRPr="009072DA">
        <w:rPr>
          <w:lang w:val="bg-BG"/>
        </w:rPr>
        <w:t>3.</w:t>
      </w:r>
      <w:r w:rsidRPr="009072DA">
        <w:rPr>
          <w:lang w:val="bg-BG"/>
        </w:rPr>
        <w:tab/>
        <w:t>Използване на няколко монитора</w:t>
      </w:r>
    </w:p>
    <w:p w:rsidR="004F47BB" w:rsidRPr="009072DA" w:rsidRDefault="004F47BB" w:rsidP="004F47BB">
      <w:pPr>
        <w:widowControl w:val="0"/>
        <w:spacing w:line="240" w:lineRule="atLeast"/>
        <w:ind w:left="992"/>
        <w:rPr>
          <w:rFonts w:cs="Arial"/>
          <w:szCs w:val="20"/>
          <w:lang w:val="bg-BG"/>
        </w:rPr>
      </w:pPr>
      <w:r w:rsidRPr="009072DA">
        <w:rPr>
          <w:lang w:val="bg-BG"/>
        </w:rPr>
        <w:t>Използването на един монитор за визуализиране на няколко изображения от камери (или едновременно, чрез разделяне на екрана на две или повече зони, или чрез последователно превключване към следващата камера) не е подходящо при гледане напред.</w:t>
      </w:r>
    </w:p>
    <w:p w:rsidR="004F47BB" w:rsidRPr="009072DA" w:rsidRDefault="004F47BB" w:rsidP="004F47BB">
      <w:pPr>
        <w:widowControl w:val="0"/>
        <w:spacing w:before="60" w:line="240" w:lineRule="atLeast"/>
        <w:ind w:left="992"/>
        <w:rPr>
          <w:rFonts w:cs="Arial"/>
          <w:szCs w:val="20"/>
          <w:lang w:val="bg-BG"/>
        </w:rPr>
      </w:pPr>
      <w:r w:rsidRPr="009072DA">
        <w:rPr>
          <w:lang w:val="bg-BG"/>
        </w:rPr>
        <w:t>4.</w:t>
      </w:r>
      <w:r w:rsidRPr="009072DA">
        <w:rPr>
          <w:lang w:val="bg-BG"/>
        </w:rPr>
        <w:tab/>
        <w:t>Разделителна способност</w:t>
      </w:r>
    </w:p>
    <w:p w:rsidR="004F47BB" w:rsidRPr="009072DA" w:rsidRDefault="004F47BB" w:rsidP="004F47BB">
      <w:pPr>
        <w:widowControl w:val="0"/>
        <w:spacing w:line="240" w:lineRule="atLeast"/>
        <w:ind w:left="992"/>
        <w:rPr>
          <w:rFonts w:cs="Arial"/>
          <w:szCs w:val="20"/>
          <w:lang w:val="bg-BG"/>
        </w:rPr>
      </w:pPr>
      <w:r w:rsidRPr="009072DA">
        <w:rPr>
          <w:lang w:val="bg-BG"/>
        </w:rPr>
        <w:t>Минимум 800 х 600 пиксела.</w:t>
      </w:r>
    </w:p>
    <w:p w:rsidR="004F47BB" w:rsidRPr="009072DA" w:rsidRDefault="004F47BB" w:rsidP="004F47BB">
      <w:pPr>
        <w:rPr>
          <w:szCs w:val="20"/>
          <w:lang w:val="bg-BG"/>
        </w:rPr>
      </w:pPr>
      <w:r w:rsidRPr="009072DA">
        <w:rPr>
          <w:lang w:val="bg-BG"/>
        </w:rPr>
        <w:br w:type="page"/>
      </w:r>
    </w:p>
    <w:p w:rsidR="004F47BB" w:rsidRPr="009072DA" w:rsidRDefault="004F47BB" w:rsidP="004F47BB">
      <w:pPr>
        <w:widowControl w:val="0"/>
        <w:spacing w:before="60" w:line="240" w:lineRule="atLeast"/>
        <w:ind w:left="992"/>
        <w:rPr>
          <w:rFonts w:cs="Arial"/>
          <w:szCs w:val="20"/>
          <w:lang w:val="bg-BG"/>
        </w:rPr>
      </w:pPr>
      <w:r w:rsidRPr="009072DA">
        <w:rPr>
          <w:lang w:val="bg-BG"/>
        </w:rPr>
        <w:lastRenderedPageBreak/>
        <w:t>5.</w:t>
      </w:r>
      <w:r w:rsidRPr="009072DA">
        <w:rPr>
          <w:lang w:val="bg-BG"/>
        </w:rPr>
        <w:tab/>
        <w:t>Яркост</w:t>
      </w:r>
    </w:p>
    <w:p w:rsidR="004F47BB" w:rsidRPr="009072DA" w:rsidRDefault="004F47BB" w:rsidP="004F47BB">
      <w:pPr>
        <w:widowControl w:val="0"/>
        <w:spacing w:line="240" w:lineRule="atLeast"/>
        <w:ind w:left="992"/>
        <w:rPr>
          <w:rFonts w:cs="Arial"/>
          <w:szCs w:val="20"/>
          <w:lang w:val="bg-BG"/>
        </w:rPr>
      </w:pPr>
      <w:r w:rsidRPr="009072DA">
        <w:rPr>
          <w:lang w:val="bg-BG"/>
        </w:rPr>
        <w:t xml:space="preserve">Минималната яркост: FG ≤ 15 cd/m²; BG ≤ 5 cd/m². Максимална яркост VG ≥ 5000 cd/m² </w:t>
      </w:r>
      <w:r w:rsidRPr="009072DA">
        <w:rPr>
          <w:rFonts w:ascii="Times New Roman" w:hAnsi="Times New Roman"/>
          <w:szCs w:val="20"/>
          <w:lang w:val="bg-BG"/>
        </w:rPr>
        <w:br/>
      </w:r>
      <w:r w:rsidRPr="009072DA">
        <w:rPr>
          <w:lang w:val="bg-BG"/>
        </w:rPr>
        <w:t>(FG = преден план; BG = заден план).</w:t>
      </w:r>
    </w:p>
    <w:p w:rsidR="004F47BB" w:rsidRPr="009072DA" w:rsidRDefault="004F47BB" w:rsidP="004F47BB">
      <w:pPr>
        <w:widowControl w:val="0"/>
        <w:spacing w:line="240" w:lineRule="atLeast"/>
        <w:rPr>
          <w:rFonts w:cs="Arial"/>
          <w:szCs w:val="20"/>
          <w:lang w:val="bg-BG"/>
        </w:rPr>
      </w:pPr>
    </w:p>
    <w:p w:rsidR="004F47BB" w:rsidRPr="009072DA" w:rsidRDefault="004F47BB" w:rsidP="004F47BB">
      <w:pPr>
        <w:widowControl w:val="0"/>
        <w:spacing w:line="240" w:lineRule="atLeast"/>
        <w:ind w:left="567" w:hanging="567"/>
        <w:rPr>
          <w:rFonts w:cs="Arial"/>
          <w:b/>
          <w:szCs w:val="20"/>
          <w:lang w:val="bg-BG"/>
        </w:rPr>
      </w:pPr>
      <w:r w:rsidRPr="009072DA">
        <w:rPr>
          <w:b/>
          <w:lang w:val="bg-BG"/>
        </w:rPr>
        <w:t>4.3</w:t>
      </w:r>
      <w:r w:rsidRPr="009072DA">
        <w:rPr>
          <w:lang w:val="bg-BG"/>
        </w:rPr>
        <w:tab/>
      </w:r>
      <w:r w:rsidRPr="009072DA">
        <w:rPr>
          <w:b/>
          <w:lang w:val="bg-BG"/>
        </w:rPr>
        <w:t>Радиолокационни системи</w:t>
      </w:r>
    </w:p>
    <w:p w:rsidR="004F47BB" w:rsidRPr="009072DA" w:rsidRDefault="004F47BB" w:rsidP="004F47BB">
      <w:pPr>
        <w:widowControl w:val="0"/>
        <w:spacing w:before="60" w:line="240" w:lineRule="atLeast"/>
        <w:ind w:left="992"/>
        <w:rPr>
          <w:rFonts w:cs="Arial"/>
          <w:szCs w:val="20"/>
          <w:lang w:val="bg-BG"/>
        </w:rPr>
      </w:pPr>
      <w:r w:rsidRPr="009072DA">
        <w:rPr>
          <w:lang w:val="bg-BG"/>
        </w:rPr>
        <w:t>1.</w:t>
      </w:r>
      <w:r w:rsidRPr="009072DA">
        <w:rPr>
          <w:lang w:val="bg-BG"/>
        </w:rPr>
        <w:tab/>
        <w:t>Радиолокационни системи</w:t>
      </w:r>
    </w:p>
    <w:p w:rsidR="004F47BB" w:rsidRPr="009072DA" w:rsidRDefault="004F47BB" w:rsidP="004F47BB">
      <w:pPr>
        <w:widowControl w:val="0"/>
        <w:spacing w:line="240" w:lineRule="atLeast"/>
        <w:ind w:left="992"/>
        <w:rPr>
          <w:rFonts w:cs="Arial"/>
          <w:szCs w:val="20"/>
          <w:lang w:val="bg-BG"/>
        </w:rPr>
      </w:pPr>
      <w:r w:rsidRPr="009072DA">
        <w:rPr>
          <w:lang w:val="bg-BG"/>
        </w:rPr>
        <w:t>В допълнение към минималните изисквания и условия на изпитване на навигационното радиолокационно оборудване за корабоплаване по вътрешните водни пътища (ES-TRIN, приложение 5, раздел I) радиолокационната система трябва да отговаря на следните изисквания.</w:t>
      </w:r>
    </w:p>
    <w:p w:rsidR="004F47BB" w:rsidRPr="009072DA" w:rsidRDefault="004F47BB" w:rsidP="004F47BB">
      <w:pPr>
        <w:widowControl w:val="0"/>
        <w:spacing w:before="60" w:line="240" w:lineRule="atLeast"/>
        <w:ind w:left="992"/>
        <w:rPr>
          <w:rFonts w:cs="Arial"/>
          <w:szCs w:val="20"/>
          <w:lang w:val="bg-BG"/>
        </w:rPr>
      </w:pPr>
      <w:r w:rsidRPr="009072DA">
        <w:rPr>
          <w:lang w:val="bg-BG"/>
        </w:rPr>
        <w:t>2.</w:t>
      </w:r>
      <w:r w:rsidRPr="009072DA">
        <w:rPr>
          <w:lang w:val="bg-BG"/>
        </w:rPr>
        <w:tab/>
        <w:t>Дължина на антена</w:t>
      </w:r>
    </w:p>
    <w:p w:rsidR="004F47BB" w:rsidRPr="009072DA" w:rsidRDefault="004F47BB" w:rsidP="004F47BB">
      <w:pPr>
        <w:widowControl w:val="0"/>
        <w:spacing w:line="240" w:lineRule="atLeast"/>
        <w:ind w:left="992"/>
        <w:rPr>
          <w:rFonts w:cs="Arial"/>
          <w:szCs w:val="20"/>
          <w:lang w:val="bg-BG"/>
        </w:rPr>
      </w:pPr>
      <w:r w:rsidRPr="009072DA">
        <w:rPr>
          <w:lang w:val="bg-BG"/>
        </w:rPr>
        <w:t>Минимум 1,80 m.</w:t>
      </w:r>
    </w:p>
    <w:p w:rsidR="004F47BB" w:rsidRPr="009072DA" w:rsidRDefault="004F47BB" w:rsidP="004F47BB">
      <w:pPr>
        <w:widowControl w:val="0"/>
        <w:spacing w:before="60" w:line="240" w:lineRule="atLeast"/>
        <w:ind w:left="992"/>
        <w:rPr>
          <w:rFonts w:cs="Arial"/>
          <w:szCs w:val="20"/>
          <w:lang w:val="bg-BG"/>
        </w:rPr>
      </w:pPr>
      <w:r w:rsidRPr="009072DA">
        <w:rPr>
          <w:lang w:val="bg-BG"/>
        </w:rPr>
        <w:t>3.</w:t>
      </w:r>
      <w:r w:rsidRPr="009072DA">
        <w:rPr>
          <w:lang w:val="bg-BG"/>
        </w:rPr>
        <w:tab/>
        <w:t>Разделителна способност в близката зона</w:t>
      </w:r>
    </w:p>
    <w:p w:rsidR="004F47BB" w:rsidRPr="009072DA" w:rsidRDefault="004F47BB" w:rsidP="004F47BB">
      <w:pPr>
        <w:widowControl w:val="0"/>
        <w:spacing w:line="240" w:lineRule="atLeast"/>
        <w:ind w:left="992"/>
        <w:rPr>
          <w:rFonts w:cs="Arial"/>
          <w:szCs w:val="20"/>
          <w:lang w:val="bg-BG"/>
        </w:rPr>
      </w:pPr>
      <w:r w:rsidRPr="009072DA">
        <w:rPr>
          <w:lang w:val="bg-BG"/>
        </w:rPr>
        <w:t>≤ 15 m.</w:t>
      </w:r>
    </w:p>
    <w:p w:rsidR="004F47BB" w:rsidRPr="009072DA" w:rsidRDefault="004F47BB" w:rsidP="004F47BB">
      <w:pPr>
        <w:widowControl w:val="0"/>
        <w:spacing w:before="60" w:line="240" w:lineRule="atLeast"/>
        <w:ind w:left="992"/>
        <w:rPr>
          <w:rFonts w:cs="Arial"/>
          <w:szCs w:val="20"/>
          <w:lang w:val="bg-BG"/>
        </w:rPr>
      </w:pPr>
      <w:r w:rsidRPr="009072DA">
        <w:rPr>
          <w:lang w:val="bg-BG"/>
        </w:rPr>
        <w:t>4.</w:t>
      </w:r>
      <w:r w:rsidRPr="009072DA">
        <w:rPr>
          <w:lang w:val="bg-BG"/>
        </w:rPr>
        <w:tab/>
        <w:t>Радиална разделителна способност</w:t>
      </w:r>
    </w:p>
    <w:p w:rsidR="004F47BB" w:rsidRPr="009072DA" w:rsidRDefault="004F47BB" w:rsidP="004F47BB">
      <w:pPr>
        <w:widowControl w:val="0"/>
        <w:spacing w:line="240" w:lineRule="atLeast"/>
        <w:ind w:left="992"/>
        <w:rPr>
          <w:rFonts w:cs="Arial"/>
          <w:szCs w:val="20"/>
          <w:lang w:val="bg-BG"/>
        </w:rPr>
      </w:pPr>
      <w:r w:rsidRPr="009072DA">
        <w:rPr>
          <w:lang w:val="bg-BG"/>
        </w:rPr>
        <w:t>Продължителност на импулса ≤ 5 m; разделяне на импулса ≤ 15 m.</w:t>
      </w:r>
    </w:p>
    <w:p w:rsidR="004F47BB" w:rsidRPr="009072DA" w:rsidRDefault="004F47BB" w:rsidP="004F47BB">
      <w:pPr>
        <w:widowControl w:val="0"/>
        <w:spacing w:before="60" w:line="240" w:lineRule="atLeast"/>
        <w:ind w:left="992"/>
        <w:rPr>
          <w:rFonts w:cs="Arial"/>
          <w:szCs w:val="20"/>
          <w:lang w:val="bg-BG"/>
        </w:rPr>
      </w:pPr>
      <w:r w:rsidRPr="009072DA">
        <w:rPr>
          <w:lang w:val="bg-BG"/>
        </w:rPr>
        <w:t>5.</w:t>
      </w:r>
      <w:r w:rsidRPr="009072DA">
        <w:rPr>
          <w:lang w:val="bg-BG"/>
        </w:rPr>
        <w:tab/>
        <w:t>Азимутна разделителна способност</w:t>
      </w:r>
    </w:p>
    <w:p w:rsidR="004F47BB" w:rsidRPr="009072DA" w:rsidRDefault="004F47BB" w:rsidP="004F47BB">
      <w:pPr>
        <w:widowControl w:val="0"/>
        <w:spacing w:line="240" w:lineRule="atLeast"/>
        <w:ind w:left="992"/>
        <w:rPr>
          <w:rFonts w:cs="Arial"/>
          <w:szCs w:val="20"/>
          <w:lang w:val="bg-BG"/>
        </w:rPr>
      </w:pPr>
      <w:r w:rsidRPr="009072DA">
        <w:rPr>
          <w:lang w:val="bg-BG"/>
        </w:rPr>
        <w:t>≤ 1.2 °.</w:t>
      </w:r>
    </w:p>
    <w:p w:rsidR="004F47BB" w:rsidRPr="009072DA" w:rsidRDefault="004F47BB" w:rsidP="004F47BB">
      <w:pPr>
        <w:widowControl w:val="0"/>
        <w:spacing w:before="60" w:line="240" w:lineRule="atLeast"/>
        <w:ind w:left="992"/>
        <w:rPr>
          <w:rFonts w:cs="Arial"/>
          <w:szCs w:val="20"/>
          <w:lang w:val="bg-BG"/>
        </w:rPr>
      </w:pPr>
      <w:r w:rsidRPr="009072DA">
        <w:rPr>
          <w:lang w:val="bg-BG"/>
        </w:rPr>
        <w:t>6.</w:t>
      </w:r>
      <w:r w:rsidRPr="009072DA">
        <w:rPr>
          <w:lang w:val="bg-BG"/>
        </w:rPr>
        <w:tab/>
        <w:t>Височина на антената</w:t>
      </w:r>
    </w:p>
    <w:p w:rsidR="004F47BB" w:rsidRPr="009072DA" w:rsidRDefault="004F47BB" w:rsidP="004F47BB">
      <w:pPr>
        <w:widowControl w:val="0"/>
        <w:spacing w:line="240" w:lineRule="atLeast"/>
        <w:ind w:left="992"/>
        <w:rPr>
          <w:rFonts w:cs="Arial"/>
          <w:szCs w:val="20"/>
          <w:lang w:val="bg-BG"/>
        </w:rPr>
      </w:pPr>
      <w:r w:rsidRPr="009072DA">
        <w:rPr>
          <w:lang w:val="bg-BG"/>
        </w:rPr>
        <w:t>Височината на антената зависи от височината и товара на плавателния съд. Антената трябва да се намира на най-малко 3 m над височината на палубата за предотвратяване на злополуки, причинени от завъртане на антената.</w:t>
      </w:r>
    </w:p>
    <w:p w:rsidR="004F47BB" w:rsidRPr="009072DA" w:rsidRDefault="004F47BB" w:rsidP="004F47BB">
      <w:pPr>
        <w:widowControl w:val="0"/>
        <w:spacing w:before="60" w:line="240" w:lineRule="atLeast"/>
        <w:ind w:left="992"/>
        <w:rPr>
          <w:rFonts w:cs="Arial"/>
          <w:szCs w:val="20"/>
          <w:lang w:val="bg-BG"/>
        </w:rPr>
      </w:pPr>
      <w:r w:rsidRPr="009072DA">
        <w:rPr>
          <w:lang w:val="bg-BG"/>
        </w:rPr>
        <w:t>7.</w:t>
      </w:r>
      <w:r w:rsidRPr="009072DA">
        <w:rPr>
          <w:lang w:val="bg-BG"/>
        </w:rPr>
        <w:tab/>
        <w:t>Вид монитор</w:t>
      </w:r>
    </w:p>
    <w:p w:rsidR="004F47BB" w:rsidRPr="009072DA" w:rsidRDefault="004F47BB" w:rsidP="004F47BB">
      <w:pPr>
        <w:widowControl w:val="0"/>
        <w:spacing w:line="240" w:lineRule="atLeast"/>
        <w:ind w:left="992"/>
        <w:rPr>
          <w:rFonts w:cs="Arial"/>
          <w:szCs w:val="20"/>
          <w:lang w:val="bg-BG"/>
        </w:rPr>
      </w:pPr>
      <w:r w:rsidRPr="009072DA">
        <w:rPr>
          <w:lang w:val="bg-BG"/>
        </w:rPr>
        <w:t xml:space="preserve">Трябва да се използва плосък монитор TFT в портретен формат. </w:t>
      </w:r>
    </w:p>
    <w:p w:rsidR="004F47BB" w:rsidRPr="009072DA" w:rsidRDefault="004F47BB" w:rsidP="004F47BB">
      <w:pPr>
        <w:widowControl w:val="0"/>
        <w:spacing w:before="60" w:line="240" w:lineRule="atLeast"/>
        <w:ind w:left="992"/>
        <w:rPr>
          <w:rFonts w:cs="Arial"/>
          <w:szCs w:val="20"/>
          <w:lang w:val="bg-BG"/>
        </w:rPr>
      </w:pPr>
      <w:r w:rsidRPr="009072DA">
        <w:rPr>
          <w:lang w:val="bg-BG"/>
        </w:rPr>
        <w:t>8.</w:t>
      </w:r>
      <w:r w:rsidRPr="009072DA">
        <w:rPr>
          <w:lang w:val="bg-BG"/>
        </w:rPr>
        <w:tab/>
        <w:t>Размери на образа</w:t>
      </w:r>
    </w:p>
    <w:p w:rsidR="004F47BB" w:rsidRPr="009072DA" w:rsidRDefault="004F47BB" w:rsidP="004F47BB">
      <w:pPr>
        <w:widowControl w:val="0"/>
        <w:spacing w:line="240" w:lineRule="atLeast"/>
        <w:ind w:left="992"/>
        <w:rPr>
          <w:rFonts w:cs="Arial"/>
          <w:szCs w:val="20"/>
          <w:lang w:val="bg-BG"/>
        </w:rPr>
      </w:pPr>
      <w:r w:rsidRPr="009072DA">
        <w:rPr>
          <w:lang w:val="bg-BG"/>
        </w:rPr>
        <w:t>Дължината на най-късата страна на екрана трябва да е най-малко 270 mm.</w:t>
      </w:r>
    </w:p>
    <w:p w:rsidR="004F47BB" w:rsidRPr="009072DA" w:rsidRDefault="004F47BB" w:rsidP="004F47BB">
      <w:pPr>
        <w:widowControl w:val="0"/>
        <w:spacing w:before="60" w:line="240" w:lineRule="atLeast"/>
        <w:ind w:left="992"/>
        <w:rPr>
          <w:rFonts w:cs="Arial"/>
          <w:szCs w:val="20"/>
          <w:lang w:val="bg-BG"/>
        </w:rPr>
      </w:pPr>
      <w:r w:rsidRPr="009072DA">
        <w:rPr>
          <w:lang w:val="bg-BG"/>
        </w:rPr>
        <w:t>9.</w:t>
      </w:r>
      <w:r w:rsidRPr="009072DA">
        <w:rPr>
          <w:lang w:val="bg-BG"/>
        </w:rPr>
        <w:tab/>
        <w:t>Разделителна способност</w:t>
      </w:r>
    </w:p>
    <w:p w:rsidR="004F47BB" w:rsidRPr="009072DA" w:rsidRDefault="004F47BB" w:rsidP="004F47BB">
      <w:pPr>
        <w:widowControl w:val="0"/>
        <w:spacing w:line="240" w:lineRule="atLeast"/>
        <w:ind w:left="992"/>
        <w:rPr>
          <w:rFonts w:cs="Arial"/>
          <w:szCs w:val="20"/>
          <w:lang w:val="bg-BG"/>
        </w:rPr>
      </w:pPr>
      <w:r w:rsidRPr="009072DA">
        <w:rPr>
          <w:lang w:val="bg-BG"/>
        </w:rPr>
        <w:t>Разделителната способност на монитора трябва да бъде идентична в двете посоки и пикселите трябва да бъдат квадратни. Тясната страна трябва да бъде поне 1024 пиксела (обикновено 1024 x 1280 пиксела).</w:t>
      </w:r>
    </w:p>
    <w:p w:rsidR="004F47BB" w:rsidRPr="009072DA" w:rsidRDefault="004F47BB" w:rsidP="004F47BB">
      <w:pPr>
        <w:widowControl w:val="0"/>
        <w:spacing w:before="60" w:line="240" w:lineRule="atLeast"/>
        <w:ind w:left="992"/>
        <w:rPr>
          <w:rFonts w:cs="Arial"/>
          <w:szCs w:val="20"/>
          <w:lang w:val="bg-BG"/>
        </w:rPr>
      </w:pPr>
      <w:r w:rsidRPr="009072DA">
        <w:rPr>
          <w:lang w:val="bg-BG"/>
        </w:rPr>
        <w:t>10.</w:t>
      </w:r>
      <w:r w:rsidRPr="009072DA">
        <w:rPr>
          <w:lang w:val="bg-BG"/>
        </w:rPr>
        <w:tab/>
        <w:t>Яркост</w:t>
      </w:r>
    </w:p>
    <w:p w:rsidR="004F47BB" w:rsidRPr="009072DA" w:rsidRDefault="004F47BB" w:rsidP="004F47BB">
      <w:pPr>
        <w:widowControl w:val="0"/>
        <w:spacing w:line="240" w:lineRule="atLeast"/>
        <w:ind w:left="992"/>
        <w:rPr>
          <w:rFonts w:cs="Arial"/>
          <w:szCs w:val="20"/>
          <w:lang w:val="bg-BG"/>
        </w:rPr>
      </w:pPr>
      <w:r w:rsidRPr="009072DA">
        <w:rPr>
          <w:lang w:val="bg-BG"/>
        </w:rPr>
        <w:t>Минималната яркост: FG ≤ 15 cd/m²; BG ≤ 5 cd/m².</w:t>
      </w:r>
    </w:p>
    <w:p w:rsidR="004F47BB" w:rsidRPr="009072DA" w:rsidRDefault="004F47BB" w:rsidP="004F47BB">
      <w:pPr>
        <w:widowControl w:val="0"/>
        <w:spacing w:before="60" w:line="240" w:lineRule="atLeast"/>
        <w:ind w:left="992"/>
        <w:rPr>
          <w:rFonts w:cs="Arial"/>
          <w:szCs w:val="20"/>
          <w:lang w:val="bg-BG"/>
        </w:rPr>
      </w:pPr>
      <w:r w:rsidRPr="009072DA">
        <w:rPr>
          <w:lang w:val="bg-BG"/>
        </w:rPr>
        <w:t>11.</w:t>
      </w:r>
      <w:r w:rsidRPr="009072DA">
        <w:rPr>
          <w:lang w:val="bg-BG"/>
        </w:rPr>
        <w:tab/>
        <w:t>Местоположение/работа на монитора</w:t>
      </w:r>
    </w:p>
    <w:p w:rsidR="004F47BB" w:rsidRPr="009072DA" w:rsidRDefault="004F47BB" w:rsidP="004F47BB">
      <w:pPr>
        <w:spacing w:line="240" w:lineRule="atLeast"/>
        <w:ind w:left="993"/>
        <w:rPr>
          <w:lang w:val="bg-BG"/>
        </w:rPr>
      </w:pPr>
      <w:r w:rsidRPr="009072DA">
        <w:rPr>
          <w:lang w:val="bg-BG"/>
        </w:rPr>
        <w:lastRenderedPageBreak/>
        <w:t>Екранът на радиолокатора и командните устройства трябва да бъдат монтирани в съответствие с изискванията по отношение на монтажа и изпитванията на показателите на навигационно радиолокационно оборудване и на индикаторите на ъгловата скорост на поворот за корабоплаване по вътрешните водни пътища (ES-TRIN, приложение 5, раздел III, член 5).</w:t>
      </w:r>
    </w:p>
    <w:p w:rsidR="004F47BB" w:rsidRPr="009072DA" w:rsidRDefault="004F47BB" w:rsidP="004F47BB">
      <w:pPr>
        <w:spacing w:line="240" w:lineRule="atLeast"/>
        <w:jc w:val="center"/>
        <w:rPr>
          <w:lang w:val="bg-BG"/>
        </w:rPr>
      </w:pPr>
    </w:p>
    <w:p w:rsidR="004F47BB" w:rsidRPr="009072DA" w:rsidRDefault="004F47BB" w:rsidP="004F47BB">
      <w:pPr>
        <w:spacing w:line="240" w:lineRule="atLeast"/>
        <w:jc w:val="center"/>
        <w:rPr>
          <w:lang w:val="bg-BG"/>
        </w:rPr>
      </w:pPr>
      <w:r w:rsidRPr="009072DA">
        <w:rPr>
          <w:lang w:val="bg-BG"/>
        </w:rPr>
        <w:br w:type="page"/>
      </w:r>
    </w:p>
    <w:p w:rsidR="004F47BB" w:rsidRPr="009072DA" w:rsidRDefault="004F47BB" w:rsidP="004F47BB">
      <w:pPr>
        <w:spacing w:line="240" w:lineRule="atLeast"/>
        <w:jc w:val="center"/>
        <w:rPr>
          <w:lang w:val="bg-BG"/>
        </w:rPr>
      </w:pPr>
    </w:p>
    <w:p w:rsidR="004F47BB" w:rsidRPr="009072DA" w:rsidRDefault="004F47BB" w:rsidP="004F47BB">
      <w:pPr>
        <w:spacing w:line="240" w:lineRule="atLeast"/>
        <w:jc w:val="center"/>
        <w:rPr>
          <w:lang w:val="bg-BG"/>
        </w:rPr>
      </w:pPr>
    </w:p>
    <w:p w:rsidR="004F47BB" w:rsidRPr="009072DA" w:rsidRDefault="004F47BB" w:rsidP="004F47BB">
      <w:pPr>
        <w:spacing w:line="240" w:lineRule="atLeast"/>
        <w:jc w:val="center"/>
        <w:rPr>
          <w:lang w:val="bg-BG"/>
        </w:rPr>
      </w:pPr>
    </w:p>
    <w:p w:rsidR="004F47BB" w:rsidRPr="009072DA" w:rsidRDefault="004F47BB" w:rsidP="004F47BB">
      <w:pPr>
        <w:spacing w:line="240" w:lineRule="atLeast"/>
        <w:jc w:val="center"/>
        <w:rPr>
          <w:lang w:val="bg-BG"/>
        </w:rPr>
      </w:pPr>
    </w:p>
    <w:p w:rsidR="004F47BB" w:rsidRPr="009072DA" w:rsidRDefault="004F47BB" w:rsidP="004F47BB">
      <w:pPr>
        <w:overflowPunct w:val="0"/>
        <w:adjustRightInd w:val="0"/>
        <w:textAlignment w:val="baseline"/>
        <w:rPr>
          <w:szCs w:val="20"/>
          <w:lang w:val="bg-BG"/>
        </w:rPr>
        <w:sectPr w:rsidR="004F47BB" w:rsidRPr="009072DA" w:rsidSect="00D45887">
          <w:footnotePr>
            <w:numRestart w:val="eachPage"/>
          </w:footnotePr>
          <w:pgSz w:w="11907" w:h="16840" w:code="9"/>
          <w:pgMar w:top="1418" w:right="1418" w:bottom="1418" w:left="1418" w:header="680" w:footer="680" w:gutter="0"/>
          <w:cols w:space="720"/>
          <w:docGrid w:linePitch="326"/>
        </w:sectPr>
      </w:pPr>
    </w:p>
    <w:p w:rsidR="004F47BB" w:rsidRPr="009072DA" w:rsidRDefault="004F47BB" w:rsidP="005B46C9">
      <w:pPr>
        <w:pStyle w:val="ES-Titre2ESI"/>
      </w:pPr>
      <w:bookmarkStart w:id="746" w:name="_Toc491854356"/>
      <w:bookmarkStart w:id="747" w:name="_Toc535827797"/>
      <w:r w:rsidRPr="009072DA">
        <w:lastRenderedPageBreak/>
        <w:t>ESI-II-7</w:t>
      </w:r>
      <w:r w:rsidRPr="009072DA">
        <w:br/>
        <w:t>Съоръжения за събиране на използвани масла</w:t>
      </w:r>
      <w:bookmarkEnd w:id="746"/>
      <w:bookmarkEnd w:id="747"/>
    </w:p>
    <w:p w:rsidR="004F47BB" w:rsidRPr="009072DA" w:rsidRDefault="004F47BB" w:rsidP="004F47BB">
      <w:pPr>
        <w:tabs>
          <w:tab w:val="center" w:pos="4513"/>
        </w:tabs>
        <w:overflowPunct w:val="0"/>
        <w:adjustRightInd w:val="0"/>
        <w:jc w:val="center"/>
        <w:textAlignment w:val="baseline"/>
        <w:rPr>
          <w:b/>
          <w:szCs w:val="20"/>
          <w:lang w:val="bg-BG"/>
        </w:rPr>
      </w:pPr>
    </w:p>
    <w:p w:rsidR="004F47BB" w:rsidRPr="009072DA" w:rsidRDefault="004F47BB" w:rsidP="004F47BB">
      <w:pPr>
        <w:tabs>
          <w:tab w:val="center" w:pos="4513"/>
        </w:tabs>
        <w:overflowPunct w:val="0"/>
        <w:adjustRightInd w:val="0"/>
        <w:jc w:val="center"/>
        <w:textAlignment w:val="baseline"/>
        <w:rPr>
          <w:b/>
          <w:szCs w:val="20"/>
          <w:lang w:val="bg-BG"/>
        </w:rPr>
      </w:pPr>
      <w:r w:rsidRPr="009072DA">
        <w:rPr>
          <w:b/>
          <w:lang w:val="bg-BG"/>
        </w:rPr>
        <w:t>(Член 8.09)</w:t>
      </w:r>
    </w:p>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bg-BG"/>
        </w:rPr>
      </w:pPr>
    </w:p>
    <w:p w:rsidR="004F47BB" w:rsidRPr="009072DA" w:rsidRDefault="004F47BB" w:rsidP="004F47BB">
      <w:pPr>
        <w:spacing w:line="240" w:lineRule="atLeast"/>
        <w:rPr>
          <w:lang w:val="bg-BG"/>
        </w:rPr>
      </w:pPr>
      <w:r w:rsidRPr="009072DA">
        <w:rPr>
          <w:lang w:val="bg-BG"/>
        </w:rPr>
        <w:t>Съществуващите плавателни съдове, посочени в член 32.02, точка 1, чиито постоянно инсталирани системи за изпомпване и осушаване на трюма и статични маслоотделители са били отстранени от техните машинни отделения, вече не съответстват на член 5.07 на разпоредбите за проверка на плавателните съдове по река Рейн (RVIR), в сила към 31.12.1994 г.</w:t>
      </w:r>
    </w:p>
    <w:p w:rsidR="004F47BB" w:rsidRPr="009072DA" w:rsidRDefault="004F47BB" w:rsidP="004F47BB">
      <w:pPr>
        <w:spacing w:line="240" w:lineRule="atLeast"/>
        <w:rPr>
          <w:lang w:val="bg-BG"/>
        </w:rPr>
      </w:pPr>
    </w:p>
    <w:p w:rsidR="004F47BB" w:rsidRPr="009072DA" w:rsidRDefault="004F47BB" w:rsidP="004F47BB">
      <w:pPr>
        <w:spacing w:line="240" w:lineRule="atLeast"/>
        <w:rPr>
          <w:lang w:val="bg-BG"/>
        </w:rPr>
      </w:pPr>
      <w:r w:rsidRPr="009072DA">
        <w:rPr>
          <w:lang w:val="bg-BG"/>
        </w:rPr>
        <w:t>В съответствие с преходните разпоредби, тези плавателни съдове трябва да бъдат оборудвани със съоръжения за събиране на използвани масла, както е посочено в член 8.09, точка 2, освен в случаите, посочени в член 8.09, точка 3.</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r w:rsidRPr="009072DA">
        <w:rPr>
          <w:lang w:val="bg-BG"/>
        </w:rPr>
        <w:br w:type="page"/>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sectPr w:rsidR="004F47BB" w:rsidRPr="009072DA" w:rsidSect="00D45887">
          <w:footnotePr>
            <w:numRestart w:val="eachPage"/>
          </w:footnotePr>
          <w:pgSz w:w="11907" w:h="16840" w:code="9"/>
          <w:pgMar w:top="1418" w:right="1418" w:bottom="1418" w:left="1418" w:header="680" w:footer="680" w:gutter="0"/>
          <w:cols w:space="720"/>
          <w:docGrid w:linePitch="326"/>
        </w:sectPr>
      </w:pPr>
    </w:p>
    <w:p w:rsidR="004F47BB" w:rsidRPr="009072DA" w:rsidRDefault="004F47BB" w:rsidP="005B46C9">
      <w:pPr>
        <w:pStyle w:val="ES-Titre2ESI"/>
        <w:rPr>
          <w:snapToGrid w:val="0"/>
        </w:rPr>
      </w:pPr>
      <w:bookmarkStart w:id="748" w:name="_Toc491854357"/>
      <w:bookmarkStart w:id="749" w:name="_Toc535827798"/>
      <w:r w:rsidRPr="009072DA">
        <w:lastRenderedPageBreak/>
        <w:t>ESI-II-8</w:t>
      </w:r>
      <w:r w:rsidRPr="009072DA">
        <w:br/>
        <w:t>(оставено непопълнено)</w:t>
      </w:r>
      <w:bookmarkEnd w:id="748"/>
      <w:bookmarkEnd w:id="749"/>
    </w:p>
    <w:p w:rsidR="004F47BB" w:rsidRPr="009072DA" w:rsidRDefault="004F47BB" w:rsidP="004F47BB">
      <w:pPr>
        <w:overflowPunct w:val="0"/>
        <w:adjustRightInd w:val="0"/>
        <w:textAlignment w:val="baseline"/>
        <w:rPr>
          <w:szCs w:val="20"/>
          <w:lang w:val="bg-BG"/>
        </w:rPr>
      </w:pPr>
    </w:p>
    <w:p w:rsidR="004F47BB" w:rsidRPr="009072DA" w:rsidRDefault="004F47BB" w:rsidP="004F47BB">
      <w:pPr>
        <w:spacing w:line="240" w:lineRule="atLeast"/>
        <w:rPr>
          <w:rFonts w:cs="Arial"/>
          <w:color w:val="000000"/>
          <w:lang w:val="bg-BG"/>
        </w:rPr>
      </w:pPr>
    </w:p>
    <w:p w:rsidR="004F47BB" w:rsidRPr="009072DA" w:rsidRDefault="004F47BB" w:rsidP="004F47BB">
      <w:pPr>
        <w:rPr>
          <w:rFonts w:cs="Arial"/>
          <w:color w:val="000000"/>
          <w:lang w:val="bg-BG"/>
        </w:rPr>
      </w:pPr>
      <w:r w:rsidRPr="009072DA">
        <w:rPr>
          <w:lang w:val="bg-BG"/>
        </w:rPr>
        <w:br w:type="page"/>
      </w:r>
    </w:p>
    <w:p w:rsidR="004F47BB" w:rsidRPr="009072DA" w:rsidRDefault="004F47BB" w:rsidP="004F47BB">
      <w:pPr>
        <w:spacing w:line="240" w:lineRule="atLeast"/>
        <w:rPr>
          <w:rFonts w:cs="Arial"/>
          <w:color w:val="000000"/>
          <w:lang w:val="bg-BG"/>
        </w:rPr>
      </w:pPr>
    </w:p>
    <w:p w:rsidR="004F47BB" w:rsidRPr="009072DA" w:rsidRDefault="004F47BB" w:rsidP="004F47BB">
      <w:pPr>
        <w:spacing w:line="240" w:lineRule="atLeast"/>
        <w:rPr>
          <w:rFonts w:cs="Arial"/>
          <w:color w:val="000000"/>
          <w:lang w:val="bg-BG"/>
        </w:rPr>
      </w:pPr>
    </w:p>
    <w:p w:rsidR="004F47BB" w:rsidRPr="009072DA" w:rsidRDefault="004F47BB" w:rsidP="004F47BB">
      <w:pPr>
        <w:spacing w:line="240" w:lineRule="atLeast"/>
        <w:rPr>
          <w:rFonts w:cs="Arial"/>
          <w:color w:val="000000"/>
          <w:lang w:val="bg-BG"/>
        </w:rPr>
      </w:pPr>
    </w:p>
    <w:p w:rsidR="004F47BB" w:rsidRPr="009072DA" w:rsidRDefault="004F47BB" w:rsidP="004F47BB">
      <w:pPr>
        <w:spacing w:line="240" w:lineRule="atLeast"/>
        <w:rPr>
          <w:rFonts w:cs="Arial"/>
          <w:color w:val="000000"/>
          <w:lang w:val="bg-BG"/>
        </w:rPr>
      </w:pPr>
    </w:p>
    <w:p w:rsidR="004F47BB" w:rsidRPr="009072DA" w:rsidRDefault="004F47BB" w:rsidP="004F47BB">
      <w:pPr>
        <w:spacing w:line="240" w:lineRule="atLeast"/>
        <w:rPr>
          <w:rFonts w:cs="Arial"/>
          <w:color w:val="000000"/>
          <w:szCs w:val="20"/>
          <w:lang w:val="bg-BG"/>
        </w:rPr>
        <w:sectPr w:rsidR="004F47BB" w:rsidRPr="009072DA" w:rsidSect="00D45887">
          <w:footnotePr>
            <w:numRestart w:val="eachPage"/>
          </w:footnotePr>
          <w:pgSz w:w="11907" w:h="16840" w:code="9"/>
          <w:pgMar w:top="1418" w:right="1418" w:bottom="1418" w:left="1418" w:header="680" w:footer="680" w:gutter="0"/>
          <w:cols w:space="720"/>
          <w:docGrid w:linePitch="326"/>
        </w:sectPr>
      </w:pPr>
    </w:p>
    <w:p w:rsidR="004F47BB" w:rsidRPr="009072DA" w:rsidRDefault="004F47BB" w:rsidP="003F3DE1">
      <w:pPr>
        <w:pStyle w:val="ES-Titre2ESI"/>
      </w:pPr>
      <w:bookmarkStart w:id="750" w:name="_Toc491854358"/>
      <w:bookmarkStart w:id="751" w:name="_Toc535827799"/>
      <w:r w:rsidRPr="009072DA">
        <w:lastRenderedPageBreak/>
        <w:t>ESI-II-9</w:t>
      </w:r>
      <w:r w:rsidRPr="009072DA">
        <w:br/>
        <w:t>Специални котви с намалена маса</w:t>
      </w:r>
      <w:bookmarkEnd w:id="750"/>
      <w:bookmarkEnd w:id="751"/>
    </w:p>
    <w:p w:rsidR="004F47BB" w:rsidRPr="009072DA" w:rsidRDefault="004F47BB" w:rsidP="004F47BB">
      <w:pPr>
        <w:overflowPunct w:val="0"/>
        <w:adjustRightInd w:val="0"/>
        <w:textAlignment w:val="baseline"/>
        <w:rPr>
          <w:szCs w:val="20"/>
          <w:lang w:val="bg-BG"/>
        </w:rPr>
      </w:pPr>
    </w:p>
    <w:p w:rsidR="004F47BB" w:rsidRPr="009072DA" w:rsidRDefault="004F47BB" w:rsidP="004F47BB">
      <w:pPr>
        <w:tabs>
          <w:tab w:val="left" w:pos="284"/>
          <w:tab w:val="left" w:pos="567"/>
        </w:tabs>
        <w:overflowPunct w:val="0"/>
        <w:adjustRightInd w:val="0"/>
        <w:jc w:val="center"/>
        <w:textAlignment w:val="baseline"/>
        <w:rPr>
          <w:szCs w:val="20"/>
          <w:lang w:val="bg-BG"/>
        </w:rPr>
      </w:pPr>
      <w:r w:rsidRPr="009072DA">
        <w:rPr>
          <w:b/>
          <w:lang w:val="bg-BG"/>
        </w:rPr>
        <w:t>(Член 13.01, точка 5)</w:t>
      </w:r>
    </w:p>
    <w:p w:rsidR="004F47BB" w:rsidRPr="009072DA" w:rsidRDefault="004F47BB" w:rsidP="004F47BB">
      <w:pPr>
        <w:tabs>
          <w:tab w:val="left" w:pos="284"/>
          <w:tab w:val="left" w:pos="567"/>
        </w:tabs>
        <w:overflowPunct w:val="0"/>
        <w:adjustRightInd w:val="0"/>
        <w:textAlignment w:val="baseline"/>
        <w:rPr>
          <w:szCs w:val="20"/>
          <w:lang w:val="bg-BG"/>
        </w:rPr>
      </w:pPr>
    </w:p>
    <w:p w:rsidR="004F47BB" w:rsidRPr="009072DA" w:rsidRDefault="004F47BB" w:rsidP="004F47BB">
      <w:pPr>
        <w:tabs>
          <w:tab w:val="left" w:pos="284"/>
          <w:tab w:val="left" w:pos="567"/>
        </w:tabs>
        <w:overflowPunct w:val="0"/>
        <w:adjustRightInd w:val="0"/>
        <w:ind w:left="284" w:hanging="284"/>
        <w:textAlignment w:val="baseline"/>
        <w:rPr>
          <w:b/>
          <w:szCs w:val="20"/>
          <w:lang w:val="bg-BG"/>
        </w:rPr>
      </w:pPr>
      <w:r w:rsidRPr="009072DA">
        <w:rPr>
          <w:b/>
          <w:lang w:val="bg-BG"/>
        </w:rPr>
        <w:t>Раздел 1</w:t>
      </w:r>
    </w:p>
    <w:p w:rsidR="004F47BB" w:rsidRPr="009072DA" w:rsidRDefault="004F47BB" w:rsidP="004F47BB">
      <w:pPr>
        <w:tabs>
          <w:tab w:val="left" w:pos="284"/>
          <w:tab w:val="left" w:pos="567"/>
        </w:tabs>
        <w:overflowPunct w:val="0"/>
        <w:adjustRightInd w:val="0"/>
        <w:ind w:left="284" w:hanging="284"/>
        <w:textAlignment w:val="baseline"/>
        <w:rPr>
          <w:b/>
          <w:szCs w:val="20"/>
          <w:lang w:val="bg-BG"/>
        </w:rPr>
      </w:pPr>
    </w:p>
    <w:p w:rsidR="004F47BB" w:rsidRPr="009072DA" w:rsidRDefault="004F47BB" w:rsidP="004F47BB">
      <w:pPr>
        <w:tabs>
          <w:tab w:val="left" w:pos="284"/>
          <w:tab w:val="left" w:pos="567"/>
        </w:tabs>
        <w:overflowPunct w:val="0"/>
        <w:adjustRightInd w:val="0"/>
        <w:ind w:left="284" w:hanging="284"/>
        <w:textAlignment w:val="baseline"/>
        <w:rPr>
          <w:szCs w:val="20"/>
          <w:lang w:val="bg-BG"/>
        </w:rPr>
      </w:pPr>
      <w:r w:rsidRPr="009072DA">
        <w:rPr>
          <w:b/>
          <w:lang w:val="bg-BG"/>
        </w:rPr>
        <w:t>Разрешени специални котви</w:t>
      </w:r>
    </w:p>
    <w:p w:rsidR="004F47BB" w:rsidRPr="009072DA" w:rsidRDefault="004F47BB" w:rsidP="004F47BB">
      <w:pPr>
        <w:tabs>
          <w:tab w:val="left" w:pos="284"/>
          <w:tab w:val="left" w:pos="567"/>
        </w:tabs>
        <w:overflowPunct w:val="0"/>
        <w:adjustRightInd w:val="0"/>
        <w:ind w:left="284" w:hanging="284"/>
        <w:textAlignment w:val="baseline"/>
        <w:rPr>
          <w:szCs w:val="20"/>
          <w:lang w:val="bg-BG"/>
        </w:rPr>
      </w:pPr>
    </w:p>
    <w:p w:rsidR="004F47BB" w:rsidRPr="009072DA" w:rsidRDefault="004F47BB" w:rsidP="004F47BB">
      <w:pPr>
        <w:tabs>
          <w:tab w:val="left" w:pos="0"/>
          <w:tab w:val="left" w:pos="567"/>
        </w:tabs>
        <w:overflowPunct w:val="0"/>
        <w:adjustRightInd w:val="0"/>
        <w:textAlignment w:val="baseline"/>
        <w:rPr>
          <w:szCs w:val="20"/>
          <w:lang w:val="bg-BG"/>
        </w:rPr>
      </w:pPr>
      <w:r w:rsidRPr="009072DA">
        <w:rPr>
          <w:lang w:val="bg-BG"/>
        </w:rPr>
        <w:t>Специалните котви с намалена маса, разрешени от компетентните органи в съответствие с член 13.01, точка 5, са изброени в следната таблица.</w:t>
      </w:r>
    </w:p>
    <w:p w:rsidR="004F47BB" w:rsidRPr="009072DA" w:rsidRDefault="004F47BB" w:rsidP="004F47BB">
      <w:pPr>
        <w:tabs>
          <w:tab w:val="left" w:pos="284"/>
          <w:tab w:val="left" w:pos="567"/>
        </w:tabs>
        <w:overflowPunct w:val="0"/>
        <w:adjustRightInd w:val="0"/>
        <w:ind w:left="284" w:hanging="284"/>
        <w:textAlignment w:val="baseline"/>
        <w:rPr>
          <w:szCs w:val="20"/>
          <w:lang w:val="bg-BG"/>
        </w:rPr>
      </w:pPr>
    </w:p>
    <w:tbl>
      <w:tblPr>
        <w:tblW w:w="0" w:type="auto"/>
        <w:jc w:val="center"/>
        <w:tblLayout w:type="fixed"/>
        <w:tblCellMar>
          <w:left w:w="0" w:type="dxa"/>
          <w:right w:w="0" w:type="dxa"/>
        </w:tblCellMar>
        <w:tblLook w:val="0000" w:firstRow="0" w:lastRow="0" w:firstColumn="0" w:lastColumn="0" w:noHBand="0" w:noVBand="0"/>
      </w:tblPr>
      <w:tblGrid>
        <w:gridCol w:w="2948"/>
        <w:gridCol w:w="2778"/>
        <w:gridCol w:w="2552"/>
      </w:tblGrid>
      <w:tr w:rsidR="004F47BB" w:rsidRPr="009072DA" w:rsidTr="00D45887">
        <w:trPr>
          <w:jc w:val="center"/>
        </w:trPr>
        <w:tc>
          <w:tcPr>
            <w:tcW w:w="2948" w:type="dxa"/>
            <w:tcBorders>
              <w:top w:val="single" w:sz="6" w:space="0" w:color="auto"/>
              <w:left w:val="single" w:sz="6" w:space="0" w:color="auto"/>
              <w:bottom w:val="nil"/>
              <w:right w:val="nil"/>
            </w:tcBorders>
            <w:vAlign w:val="center"/>
          </w:tcPr>
          <w:p w:rsidR="004F47BB" w:rsidRPr="009072DA" w:rsidRDefault="004F47BB" w:rsidP="004F47BB">
            <w:pPr>
              <w:tabs>
                <w:tab w:val="center" w:pos="1464"/>
              </w:tabs>
              <w:overflowPunct w:val="0"/>
              <w:adjustRightInd w:val="0"/>
              <w:spacing w:before="100" w:after="100" w:line="240" w:lineRule="atLeast"/>
              <w:jc w:val="center"/>
              <w:textAlignment w:val="baseline"/>
              <w:rPr>
                <w:sz w:val="18"/>
                <w:szCs w:val="20"/>
                <w:lang w:val="bg-BG"/>
              </w:rPr>
            </w:pPr>
            <w:r w:rsidRPr="009072DA">
              <w:rPr>
                <w:sz w:val="18"/>
                <w:lang w:val="bg-BG"/>
              </w:rPr>
              <w:t>Котва номер</w:t>
            </w:r>
          </w:p>
        </w:tc>
        <w:tc>
          <w:tcPr>
            <w:tcW w:w="2778" w:type="dxa"/>
            <w:tcBorders>
              <w:top w:val="single" w:sz="6" w:space="0" w:color="auto"/>
              <w:left w:val="single" w:sz="6" w:space="0" w:color="auto"/>
              <w:bottom w:val="nil"/>
              <w:right w:val="nil"/>
            </w:tcBorders>
            <w:vAlign w:val="center"/>
          </w:tcPr>
          <w:p w:rsidR="004F47BB" w:rsidRPr="009072DA" w:rsidRDefault="004F47BB" w:rsidP="004F47BB">
            <w:pPr>
              <w:tabs>
                <w:tab w:val="center" w:pos="1445"/>
              </w:tabs>
              <w:overflowPunct w:val="0"/>
              <w:adjustRightInd w:val="0"/>
              <w:spacing w:before="100" w:after="100" w:line="240" w:lineRule="atLeast"/>
              <w:jc w:val="center"/>
              <w:textAlignment w:val="baseline"/>
              <w:rPr>
                <w:sz w:val="18"/>
                <w:szCs w:val="20"/>
                <w:lang w:val="bg-BG"/>
              </w:rPr>
            </w:pPr>
            <w:r w:rsidRPr="009072DA">
              <w:rPr>
                <w:sz w:val="18"/>
                <w:lang w:val="bg-BG"/>
              </w:rPr>
              <w:t>Прието намаление на масата на котвата (%)</w:t>
            </w:r>
          </w:p>
        </w:tc>
        <w:tc>
          <w:tcPr>
            <w:tcW w:w="2552" w:type="dxa"/>
            <w:tcBorders>
              <w:top w:val="single" w:sz="6" w:space="0" w:color="auto"/>
              <w:left w:val="single" w:sz="6" w:space="0" w:color="auto"/>
              <w:bottom w:val="nil"/>
              <w:right w:val="single" w:sz="6" w:space="0" w:color="auto"/>
            </w:tcBorders>
            <w:vAlign w:val="center"/>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bg-BG"/>
              </w:rPr>
            </w:pPr>
            <w:r w:rsidRPr="009072DA">
              <w:rPr>
                <w:sz w:val="18"/>
                <w:lang w:val="bg-BG"/>
              </w:rPr>
              <w:t>Компетентен орган</w:t>
            </w:r>
          </w:p>
        </w:tc>
      </w:tr>
      <w:tr w:rsidR="004F47BB" w:rsidRPr="009072DA" w:rsidTr="00D45887">
        <w:trPr>
          <w:jc w:val="center"/>
        </w:trPr>
        <w:tc>
          <w:tcPr>
            <w:tcW w:w="2948" w:type="dxa"/>
            <w:tcBorders>
              <w:top w:val="single" w:sz="6" w:space="0" w:color="auto"/>
              <w:left w:val="single" w:sz="6" w:space="0" w:color="auto"/>
              <w:bottom w:val="nil"/>
              <w:right w:val="nil"/>
            </w:tcBorders>
            <w:vAlign w:val="center"/>
          </w:tcPr>
          <w:p w:rsidR="004F47BB" w:rsidRPr="009072DA" w:rsidRDefault="004F47BB" w:rsidP="004F47BB">
            <w:pPr>
              <w:overflowPunct w:val="0"/>
              <w:adjustRightInd w:val="0"/>
              <w:spacing w:before="100" w:after="100" w:line="240" w:lineRule="atLeast"/>
              <w:ind w:left="538" w:right="113"/>
              <w:textAlignment w:val="baseline"/>
              <w:rPr>
                <w:sz w:val="18"/>
                <w:szCs w:val="20"/>
                <w:lang w:val="bg-BG"/>
              </w:rPr>
            </w:pPr>
            <w:r w:rsidRPr="009072DA">
              <w:rPr>
                <w:sz w:val="18"/>
                <w:lang w:val="bg-BG"/>
              </w:rPr>
              <w:t>1.</w:t>
            </w:r>
            <w:r w:rsidRPr="009072DA">
              <w:rPr>
                <w:lang w:val="bg-BG"/>
              </w:rPr>
              <w:tab/>
            </w:r>
            <w:r w:rsidRPr="009072DA">
              <w:rPr>
                <w:sz w:val="18"/>
                <w:lang w:val="bg-BG"/>
              </w:rPr>
              <w:t>HA-DU</w:t>
            </w:r>
          </w:p>
        </w:tc>
        <w:tc>
          <w:tcPr>
            <w:tcW w:w="2778" w:type="dxa"/>
            <w:tcBorders>
              <w:top w:val="single" w:sz="6" w:space="0" w:color="auto"/>
              <w:left w:val="single" w:sz="6" w:space="0" w:color="auto"/>
              <w:bottom w:val="nil"/>
              <w:right w:val="nil"/>
            </w:tcBorders>
            <w:vAlign w:val="center"/>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bg-BG"/>
              </w:rPr>
            </w:pPr>
            <w:r w:rsidRPr="009072DA">
              <w:rPr>
                <w:sz w:val="18"/>
                <w:lang w:val="bg-BG"/>
              </w:rPr>
              <w:t>30 %</w:t>
            </w:r>
          </w:p>
        </w:tc>
        <w:tc>
          <w:tcPr>
            <w:tcW w:w="2552" w:type="dxa"/>
            <w:tcBorders>
              <w:top w:val="single" w:sz="6" w:space="0" w:color="auto"/>
              <w:left w:val="single" w:sz="6" w:space="0" w:color="auto"/>
              <w:bottom w:val="nil"/>
              <w:right w:val="single" w:sz="6" w:space="0" w:color="auto"/>
            </w:tcBorders>
            <w:vAlign w:val="center"/>
          </w:tcPr>
          <w:p w:rsidR="004F47BB" w:rsidRPr="009072DA" w:rsidRDefault="004F47BB" w:rsidP="004F47BB">
            <w:pPr>
              <w:spacing w:before="100" w:after="100" w:line="240" w:lineRule="atLeast"/>
              <w:ind w:left="516" w:right="113" w:hanging="403"/>
              <w:jc w:val="center"/>
              <w:rPr>
                <w:sz w:val="18"/>
                <w:lang w:val="bg-BG"/>
              </w:rPr>
            </w:pPr>
            <w:r w:rsidRPr="009072DA">
              <w:rPr>
                <w:sz w:val="18"/>
                <w:lang w:val="bg-BG"/>
              </w:rPr>
              <w:t xml:space="preserve">Германия </w:t>
            </w:r>
          </w:p>
        </w:tc>
      </w:tr>
      <w:tr w:rsidR="004F47BB" w:rsidRPr="009072DA" w:rsidTr="00D45887">
        <w:trPr>
          <w:jc w:val="center"/>
        </w:trPr>
        <w:tc>
          <w:tcPr>
            <w:tcW w:w="2948" w:type="dxa"/>
            <w:tcBorders>
              <w:top w:val="single" w:sz="6" w:space="0" w:color="auto"/>
              <w:left w:val="single" w:sz="6" w:space="0" w:color="auto"/>
              <w:bottom w:val="nil"/>
              <w:right w:val="nil"/>
            </w:tcBorders>
            <w:vAlign w:val="center"/>
          </w:tcPr>
          <w:p w:rsidR="004F47BB" w:rsidRPr="009072DA" w:rsidRDefault="004F47BB" w:rsidP="004F47BB">
            <w:pPr>
              <w:overflowPunct w:val="0"/>
              <w:adjustRightInd w:val="0"/>
              <w:spacing w:before="100" w:after="100" w:line="240" w:lineRule="atLeast"/>
              <w:ind w:left="538" w:right="113"/>
              <w:textAlignment w:val="baseline"/>
              <w:rPr>
                <w:sz w:val="18"/>
                <w:szCs w:val="20"/>
                <w:lang w:val="bg-BG"/>
              </w:rPr>
            </w:pPr>
            <w:r w:rsidRPr="009072DA">
              <w:rPr>
                <w:sz w:val="18"/>
                <w:lang w:val="bg-BG"/>
              </w:rPr>
              <w:t>2.</w:t>
            </w:r>
            <w:r w:rsidRPr="009072DA">
              <w:rPr>
                <w:lang w:val="bg-BG"/>
              </w:rPr>
              <w:tab/>
            </w:r>
            <w:r w:rsidRPr="009072DA">
              <w:rPr>
                <w:sz w:val="18"/>
                <w:lang w:val="bg-BG"/>
              </w:rPr>
              <w:t>D'Hone Spezial</w:t>
            </w:r>
          </w:p>
        </w:tc>
        <w:tc>
          <w:tcPr>
            <w:tcW w:w="2778" w:type="dxa"/>
            <w:tcBorders>
              <w:top w:val="single" w:sz="6" w:space="0" w:color="auto"/>
              <w:left w:val="single" w:sz="6" w:space="0" w:color="auto"/>
              <w:bottom w:val="nil"/>
              <w:right w:val="nil"/>
            </w:tcBorders>
            <w:vAlign w:val="center"/>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bg-BG"/>
              </w:rPr>
            </w:pPr>
            <w:r w:rsidRPr="009072DA">
              <w:rPr>
                <w:sz w:val="18"/>
                <w:lang w:val="bg-BG"/>
              </w:rPr>
              <w:t>30 %</w:t>
            </w:r>
          </w:p>
        </w:tc>
        <w:tc>
          <w:tcPr>
            <w:tcW w:w="2552" w:type="dxa"/>
            <w:tcBorders>
              <w:top w:val="single" w:sz="6" w:space="0" w:color="auto"/>
              <w:left w:val="single" w:sz="6" w:space="0" w:color="auto"/>
              <w:bottom w:val="nil"/>
              <w:right w:val="single" w:sz="6" w:space="0" w:color="auto"/>
            </w:tcBorders>
            <w:vAlign w:val="center"/>
          </w:tcPr>
          <w:p w:rsidR="004F47BB" w:rsidRPr="009072DA" w:rsidRDefault="004F47BB" w:rsidP="004F47BB">
            <w:pPr>
              <w:spacing w:before="100" w:after="100" w:line="240" w:lineRule="atLeast"/>
              <w:ind w:left="516" w:right="113" w:hanging="403"/>
              <w:jc w:val="center"/>
              <w:rPr>
                <w:sz w:val="18"/>
                <w:lang w:val="bg-BG"/>
              </w:rPr>
            </w:pPr>
            <w:r w:rsidRPr="009072DA">
              <w:rPr>
                <w:sz w:val="18"/>
                <w:lang w:val="bg-BG"/>
              </w:rPr>
              <w:t xml:space="preserve">Германия </w:t>
            </w:r>
          </w:p>
        </w:tc>
      </w:tr>
      <w:tr w:rsidR="004F47BB" w:rsidRPr="009072DA" w:rsidTr="00D45887">
        <w:trPr>
          <w:jc w:val="center"/>
        </w:trPr>
        <w:tc>
          <w:tcPr>
            <w:tcW w:w="2948" w:type="dxa"/>
            <w:tcBorders>
              <w:top w:val="single" w:sz="6" w:space="0" w:color="auto"/>
              <w:left w:val="single" w:sz="6" w:space="0" w:color="auto"/>
              <w:bottom w:val="nil"/>
              <w:right w:val="nil"/>
            </w:tcBorders>
            <w:vAlign w:val="center"/>
          </w:tcPr>
          <w:p w:rsidR="004F47BB" w:rsidRPr="009072DA" w:rsidRDefault="004F47BB" w:rsidP="004F47BB">
            <w:pPr>
              <w:overflowPunct w:val="0"/>
              <w:adjustRightInd w:val="0"/>
              <w:spacing w:before="100" w:after="100" w:line="240" w:lineRule="atLeast"/>
              <w:ind w:left="538" w:right="113"/>
              <w:textAlignment w:val="baseline"/>
              <w:rPr>
                <w:sz w:val="18"/>
                <w:szCs w:val="20"/>
                <w:lang w:val="bg-BG"/>
              </w:rPr>
            </w:pPr>
            <w:r w:rsidRPr="009072DA">
              <w:rPr>
                <w:sz w:val="18"/>
                <w:lang w:val="bg-BG"/>
              </w:rPr>
              <w:t>3.</w:t>
            </w:r>
            <w:r w:rsidRPr="009072DA">
              <w:rPr>
                <w:lang w:val="bg-BG"/>
              </w:rPr>
              <w:tab/>
            </w:r>
            <w:r w:rsidRPr="009072DA">
              <w:rPr>
                <w:sz w:val="18"/>
                <w:lang w:val="bg-BG"/>
              </w:rPr>
              <w:t>Pool 1 (hol)</w:t>
            </w:r>
          </w:p>
        </w:tc>
        <w:tc>
          <w:tcPr>
            <w:tcW w:w="2778" w:type="dxa"/>
            <w:tcBorders>
              <w:top w:val="single" w:sz="6" w:space="0" w:color="auto"/>
              <w:left w:val="single" w:sz="6" w:space="0" w:color="auto"/>
              <w:bottom w:val="nil"/>
              <w:right w:val="nil"/>
            </w:tcBorders>
            <w:vAlign w:val="center"/>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bg-BG"/>
              </w:rPr>
            </w:pPr>
            <w:r w:rsidRPr="009072DA">
              <w:rPr>
                <w:sz w:val="18"/>
                <w:lang w:val="bg-BG"/>
              </w:rPr>
              <w:t>35 %</w:t>
            </w:r>
          </w:p>
        </w:tc>
        <w:tc>
          <w:tcPr>
            <w:tcW w:w="2552" w:type="dxa"/>
            <w:tcBorders>
              <w:top w:val="single" w:sz="6" w:space="0" w:color="auto"/>
              <w:left w:val="single" w:sz="6" w:space="0" w:color="auto"/>
              <w:bottom w:val="nil"/>
              <w:right w:val="single" w:sz="6" w:space="0" w:color="auto"/>
            </w:tcBorders>
            <w:vAlign w:val="center"/>
          </w:tcPr>
          <w:p w:rsidR="004F47BB" w:rsidRPr="009072DA" w:rsidRDefault="004F47BB" w:rsidP="004F47BB">
            <w:pPr>
              <w:spacing w:before="100" w:after="100" w:line="240" w:lineRule="atLeast"/>
              <w:ind w:left="516" w:right="113" w:hanging="403"/>
              <w:jc w:val="center"/>
              <w:rPr>
                <w:sz w:val="18"/>
                <w:lang w:val="bg-BG"/>
              </w:rPr>
            </w:pPr>
            <w:r w:rsidRPr="009072DA">
              <w:rPr>
                <w:sz w:val="18"/>
                <w:lang w:val="bg-BG"/>
              </w:rPr>
              <w:t xml:space="preserve">Германия </w:t>
            </w:r>
          </w:p>
        </w:tc>
      </w:tr>
      <w:tr w:rsidR="004F47BB" w:rsidRPr="009072DA" w:rsidTr="00D45887">
        <w:trPr>
          <w:jc w:val="center"/>
        </w:trPr>
        <w:tc>
          <w:tcPr>
            <w:tcW w:w="2948" w:type="dxa"/>
            <w:tcBorders>
              <w:top w:val="single" w:sz="6" w:space="0" w:color="auto"/>
              <w:left w:val="single" w:sz="6" w:space="0" w:color="auto"/>
              <w:bottom w:val="nil"/>
              <w:right w:val="nil"/>
            </w:tcBorders>
            <w:vAlign w:val="center"/>
          </w:tcPr>
          <w:p w:rsidR="004F47BB" w:rsidRPr="009072DA" w:rsidRDefault="004F47BB" w:rsidP="004F47BB">
            <w:pPr>
              <w:overflowPunct w:val="0"/>
              <w:adjustRightInd w:val="0"/>
              <w:spacing w:before="100" w:after="100" w:line="240" w:lineRule="atLeast"/>
              <w:ind w:left="538" w:right="113"/>
              <w:textAlignment w:val="baseline"/>
              <w:rPr>
                <w:sz w:val="18"/>
                <w:szCs w:val="20"/>
                <w:lang w:val="bg-BG"/>
              </w:rPr>
            </w:pPr>
            <w:r w:rsidRPr="009072DA">
              <w:rPr>
                <w:sz w:val="18"/>
                <w:lang w:val="bg-BG"/>
              </w:rPr>
              <w:t>4.</w:t>
            </w:r>
            <w:r w:rsidRPr="009072DA">
              <w:rPr>
                <w:lang w:val="bg-BG"/>
              </w:rPr>
              <w:tab/>
            </w:r>
            <w:r w:rsidRPr="009072DA">
              <w:rPr>
                <w:sz w:val="18"/>
                <w:lang w:val="bg-BG"/>
              </w:rPr>
              <w:t>Pool 2 (massief)</w:t>
            </w:r>
          </w:p>
        </w:tc>
        <w:tc>
          <w:tcPr>
            <w:tcW w:w="2778" w:type="dxa"/>
            <w:tcBorders>
              <w:top w:val="single" w:sz="6" w:space="0" w:color="auto"/>
              <w:left w:val="single" w:sz="6" w:space="0" w:color="auto"/>
              <w:bottom w:val="nil"/>
              <w:right w:val="nil"/>
            </w:tcBorders>
            <w:vAlign w:val="center"/>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bg-BG"/>
              </w:rPr>
            </w:pPr>
            <w:r w:rsidRPr="009072DA">
              <w:rPr>
                <w:sz w:val="18"/>
                <w:lang w:val="bg-BG"/>
              </w:rPr>
              <w:t>40 %</w:t>
            </w:r>
          </w:p>
        </w:tc>
        <w:tc>
          <w:tcPr>
            <w:tcW w:w="2552" w:type="dxa"/>
            <w:tcBorders>
              <w:top w:val="single" w:sz="6" w:space="0" w:color="auto"/>
              <w:left w:val="single" w:sz="6" w:space="0" w:color="auto"/>
              <w:bottom w:val="nil"/>
              <w:right w:val="single" w:sz="6" w:space="0" w:color="auto"/>
            </w:tcBorders>
            <w:vAlign w:val="center"/>
          </w:tcPr>
          <w:p w:rsidR="004F47BB" w:rsidRPr="009072DA" w:rsidRDefault="004F47BB" w:rsidP="004F47BB">
            <w:pPr>
              <w:spacing w:before="100" w:after="100" w:line="240" w:lineRule="atLeast"/>
              <w:ind w:left="516" w:right="113" w:hanging="403"/>
              <w:jc w:val="center"/>
              <w:rPr>
                <w:sz w:val="18"/>
                <w:lang w:val="bg-BG"/>
              </w:rPr>
            </w:pPr>
            <w:r w:rsidRPr="009072DA">
              <w:rPr>
                <w:sz w:val="18"/>
                <w:lang w:val="bg-BG"/>
              </w:rPr>
              <w:t xml:space="preserve">Германия </w:t>
            </w:r>
          </w:p>
        </w:tc>
      </w:tr>
      <w:tr w:rsidR="004F47BB" w:rsidRPr="009072DA" w:rsidTr="00D45887">
        <w:trPr>
          <w:jc w:val="center"/>
        </w:trPr>
        <w:tc>
          <w:tcPr>
            <w:tcW w:w="2948" w:type="dxa"/>
            <w:tcBorders>
              <w:top w:val="single" w:sz="6" w:space="0" w:color="auto"/>
              <w:left w:val="single" w:sz="6" w:space="0" w:color="auto"/>
              <w:bottom w:val="nil"/>
              <w:right w:val="nil"/>
            </w:tcBorders>
            <w:vAlign w:val="center"/>
          </w:tcPr>
          <w:p w:rsidR="004F47BB" w:rsidRPr="009072DA" w:rsidRDefault="004F47BB" w:rsidP="004F47BB">
            <w:pPr>
              <w:overflowPunct w:val="0"/>
              <w:adjustRightInd w:val="0"/>
              <w:spacing w:before="100" w:after="100" w:line="240" w:lineRule="atLeast"/>
              <w:ind w:left="538" w:right="113"/>
              <w:textAlignment w:val="baseline"/>
              <w:rPr>
                <w:sz w:val="18"/>
                <w:szCs w:val="20"/>
                <w:lang w:val="bg-BG"/>
              </w:rPr>
            </w:pPr>
            <w:r w:rsidRPr="009072DA">
              <w:rPr>
                <w:sz w:val="18"/>
                <w:lang w:val="bg-BG"/>
              </w:rPr>
              <w:t>5.</w:t>
            </w:r>
            <w:r w:rsidRPr="009072DA">
              <w:rPr>
                <w:lang w:val="bg-BG"/>
              </w:rPr>
              <w:tab/>
            </w:r>
            <w:r w:rsidRPr="009072DA">
              <w:rPr>
                <w:sz w:val="18"/>
                <w:lang w:val="bg-BG"/>
              </w:rPr>
              <w:t>De Biesbosch-Danforth</w:t>
            </w:r>
          </w:p>
        </w:tc>
        <w:tc>
          <w:tcPr>
            <w:tcW w:w="2778" w:type="dxa"/>
            <w:tcBorders>
              <w:top w:val="single" w:sz="6" w:space="0" w:color="auto"/>
              <w:left w:val="single" w:sz="6" w:space="0" w:color="auto"/>
              <w:bottom w:val="nil"/>
              <w:right w:val="nil"/>
            </w:tcBorders>
            <w:vAlign w:val="center"/>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bg-BG"/>
              </w:rPr>
            </w:pPr>
            <w:r w:rsidRPr="009072DA">
              <w:rPr>
                <w:sz w:val="18"/>
                <w:lang w:val="bg-BG"/>
              </w:rPr>
              <w:t>50 %</w:t>
            </w:r>
          </w:p>
        </w:tc>
        <w:tc>
          <w:tcPr>
            <w:tcW w:w="2552" w:type="dxa"/>
            <w:tcBorders>
              <w:top w:val="single" w:sz="6" w:space="0" w:color="auto"/>
              <w:left w:val="single" w:sz="6" w:space="0" w:color="auto"/>
              <w:bottom w:val="nil"/>
              <w:right w:val="single" w:sz="6" w:space="0" w:color="auto"/>
            </w:tcBorders>
            <w:vAlign w:val="center"/>
          </w:tcPr>
          <w:p w:rsidR="004F47BB" w:rsidRPr="009072DA" w:rsidRDefault="004F47BB" w:rsidP="004F47BB">
            <w:pPr>
              <w:spacing w:before="100" w:after="100" w:line="240" w:lineRule="atLeast"/>
              <w:ind w:left="516" w:right="113" w:hanging="403"/>
              <w:jc w:val="center"/>
              <w:rPr>
                <w:sz w:val="18"/>
                <w:lang w:val="bg-BG"/>
              </w:rPr>
            </w:pPr>
            <w:r w:rsidRPr="009072DA">
              <w:rPr>
                <w:sz w:val="18"/>
                <w:lang w:val="bg-BG"/>
              </w:rPr>
              <w:t xml:space="preserve">Германия </w:t>
            </w:r>
          </w:p>
        </w:tc>
      </w:tr>
      <w:tr w:rsidR="004F47BB" w:rsidRPr="009072DA" w:rsidTr="00D45887">
        <w:trPr>
          <w:jc w:val="center"/>
        </w:trPr>
        <w:tc>
          <w:tcPr>
            <w:tcW w:w="2948" w:type="dxa"/>
            <w:tcBorders>
              <w:top w:val="single" w:sz="6" w:space="0" w:color="auto"/>
              <w:left w:val="single" w:sz="6" w:space="0" w:color="auto"/>
              <w:bottom w:val="nil"/>
              <w:right w:val="nil"/>
            </w:tcBorders>
            <w:vAlign w:val="center"/>
          </w:tcPr>
          <w:p w:rsidR="004F47BB" w:rsidRPr="009072DA" w:rsidRDefault="004F47BB" w:rsidP="004F47BB">
            <w:pPr>
              <w:overflowPunct w:val="0"/>
              <w:adjustRightInd w:val="0"/>
              <w:spacing w:before="100" w:after="100" w:line="240" w:lineRule="atLeast"/>
              <w:ind w:left="538" w:right="113"/>
              <w:textAlignment w:val="baseline"/>
              <w:rPr>
                <w:sz w:val="18"/>
                <w:szCs w:val="20"/>
                <w:lang w:val="bg-BG"/>
              </w:rPr>
            </w:pPr>
            <w:r w:rsidRPr="009072DA">
              <w:rPr>
                <w:sz w:val="18"/>
                <w:lang w:val="bg-BG"/>
              </w:rPr>
              <w:t>6.</w:t>
            </w:r>
            <w:r w:rsidRPr="009072DA">
              <w:rPr>
                <w:lang w:val="bg-BG"/>
              </w:rPr>
              <w:tab/>
            </w:r>
            <w:r w:rsidRPr="009072DA">
              <w:rPr>
                <w:sz w:val="18"/>
                <w:lang w:val="bg-BG"/>
              </w:rPr>
              <w:t>Vicinay-Danforth</w:t>
            </w:r>
          </w:p>
        </w:tc>
        <w:tc>
          <w:tcPr>
            <w:tcW w:w="2778" w:type="dxa"/>
            <w:tcBorders>
              <w:top w:val="single" w:sz="6" w:space="0" w:color="auto"/>
              <w:left w:val="single" w:sz="6" w:space="0" w:color="auto"/>
              <w:bottom w:val="nil"/>
              <w:right w:val="nil"/>
            </w:tcBorders>
            <w:vAlign w:val="center"/>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bg-BG"/>
              </w:rPr>
            </w:pPr>
            <w:r w:rsidRPr="009072DA">
              <w:rPr>
                <w:sz w:val="18"/>
                <w:lang w:val="bg-BG"/>
              </w:rPr>
              <w:t>50 %</w:t>
            </w:r>
          </w:p>
        </w:tc>
        <w:tc>
          <w:tcPr>
            <w:tcW w:w="2552" w:type="dxa"/>
            <w:tcBorders>
              <w:top w:val="single" w:sz="6" w:space="0" w:color="auto"/>
              <w:left w:val="single" w:sz="6" w:space="0" w:color="auto"/>
              <w:bottom w:val="nil"/>
              <w:right w:val="single" w:sz="6" w:space="0" w:color="auto"/>
            </w:tcBorders>
            <w:vAlign w:val="center"/>
          </w:tcPr>
          <w:p w:rsidR="004F47BB" w:rsidRPr="009072DA" w:rsidRDefault="004F47BB" w:rsidP="004F47BB">
            <w:pPr>
              <w:spacing w:before="100" w:after="100" w:line="240" w:lineRule="atLeast"/>
              <w:ind w:left="516" w:right="113" w:hanging="403"/>
              <w:jc w:val="center"/>
              <w:rPr>
                <w:sz w:val="18"/>
                <w:lang w:val="bg-BG"/>
              </w:rPr>
            </w:pPr>
            <w:r w:rsidRPr="009072DA">
              <w:rPr>
                <w:sz w:val="18"/>
                <w:lang w:val="bg-BG"/>
              </w:rPr>
              <w:t xml:space="preserve">Франция </w:t>
            </w:r>
          </w:p>
        </w:tc>
      </w:tr>
      <w:tr w:rsidR="004F47BB" w:rsidRPr="009072DA" w:rsidTr="00D45887">
        <w:trPr>
          <w:jc w:val="center"/>
        </w:trPr>
        <w:tc>
          <w:tcPr>
            <w:tcW w:w="2948" w:type="dxa"/>
            <w:tcBorders>
              <w:top w:val="single" w:sz="6" w:space="0" w:color="auto"/>
              <w:left w:val="single" w:sz="6" w:space="0" w:color="auto"/>
              <w:bottom w:val="nil"/>
              <w:right w:val="nil"/>
            </w:tcBorders>
            <w:vAlign w:val="center"/>
          </w:tcPr>
          <w:p w:rsidR="004F47BB" w:rsidRPr="009072DA" w:rsidRDefault="004F47BB" w:rsidP="004F47BB">
            <w:pPr>
              <w:overflowPunct w:val="0"/>
              <w:adjustRightInd w:val="0"/>
              <w:spacing w:before="100" w:after="100" w:line="240" w:lineRule="atLeast"/>
              <w:ind w:left="538" w:right="113"/>
              <w:textAlignment w:val="baseline"/>
              <w:rPr>
                <w:sz w:val="18"/>
                <w:szCs w:val="20"/>
                <w:lang w:val="bg-BG"/>
              </w:rPr>
            </w:pPr>
            <w:r w:rsidRPr="009072DA">
              <w:rPr>
                <w:sz w:val="18"/>
                <w:lang w:val="bg-BG"/>
              </w:rPr>
              <w:t>7.</w:t>
            </w:r>
            <w:r w:rsidRPr="009072DA">
              <w:rPr>
                <w:lang w:val="bg-BG"/>
              </w:rPr>
              <w:tab/>
            </w:r>
            <w:r w:rsidRPr="009072DA">
              <w:rPr>
                <w:sz w:val="18"/>
                <w:lang w:val="bg-BG"/>
              </w:rPr>
              <w:t>Vicinay AC 14</w:t>
            </w:r>
          </w:p>
        </w:tc>
        <w:tc>
          <w:tcPr>
            <w:tcW w:w="2778" w:type="dxa"/>
            <w:tcBorders>
              <w:top w:val="single" w:sz="6" w:space="0" w:color="auto"/>
              <w:left w:val="single" w:sz="6" w:space="0" w:color="auto"/>
              <w:bottom w:val="nil"/>
              <w:right w:val="nil"/>
            </w:tcBorders>
            <w:vAlign w:val="center"/>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bg-BG"/>
              </w:rPr>
            </w:pPr>
            <w:r w:rsidRPr="009072DA">
              <w:rPr>
                <w:sz w:val="18"/>
                <w:lang w:val="bg-BG"/>
              </w:rPr>
              <w:t>25 %</w:t>
            </w:r>
          </w:p>
        </w:tc>
        <w:tc>
          <w:tcPr>
            <w:tcW w:w="2552" w:type="dxa"/>
            <w:tcBorders>
              <w:top w:val="single" w:sz="6" w:space="0" w:color="auto"/>
              <w:left w:val="single" w:sz="6" w:space="0" w:color="auto"/>
              <w:bottom w:val="nil"/>
              <w:right w:val="single" w:sz="6" w:space="0" w:color="auto"/>
            </w:tcBorders>
            <w:vAlign w:val="center"/>
          </w:tcPr>
          <w:p w:rsidR="004F47BB" w:rsidRPr="009072DA" w:rsidRDefault="004F47BB" w:rsidP="004F47BB">
            <w:pPr>
              <w:spacing w:before="100" w:after="100" w:line="240" w:lineRule="atLeast"/>
              <w:ind w:left="516" w:right="113" w:hanging="403"/>
              <w:jc w:val="center"/>
              <w:rPr>
                <w:sz w:val="18"/>
                <w:lang w:val="bg-BG"/>
              </w:rPr>
            </w:pPr>
            <w:r w:rsidRPr="009072DA">
              <w:rPr>
                <w:sz w:val="18"/>
                <w:lang w:val="bg-BG"/>
              </w:rPr>
              <w:t>Франция</w:t>
            </w:r>
          </w:p>
        </w:tc>
      </w:tr>
      <w:tr w:rsidR="004F47BB" w:rsidRPr="009072DA" w:rsidTr="00D45887">
        <w:trPr>
          <w:jc w:val="center"/>
        </w:trPr>
        <w:tc>
          <w:tcPr>
            <w:tcW w:w="2948" w:type="dxa"/>
            <w:tcBorders>
              <w:top w:val="single" w:sz="6" w:space="0" w:color="auto"/>
              <w:left w:val="single" w:sz="6" w:space="0" w:color="auto"/>
              <w:bottom w:val="nil"/>
              <w:right w:val="nil"/>
            </w:tcBorders>
            <w:vAlign w:val="center"/>
          </w:tcPr>
          <w:p w:rsidR="004F47BB" w:rsidRPr="009072DA" w:rsidRDefault="004F47BB" w:rsidP="004F47BB">
            <w:pPr>
              <w:overflowPunct w:val="0"/>
              <w:adjustRightInd w:val="0"/>
              <w:spacing w:before="100" w:after="100" w:line="240" w:lineRule="atLeast"/>
              <w:ind w:left="538" w:right="113"/>
              <w:textAlignment w:val="baseline"/>
              <w:rPr>
                <w:sz w:val="18"/>
                <w:szCs w:val="20"/>
                <w:lang w:val="bg-BG"/>
              </w:rPr>
            </w:pPr>
            <w:r w:rsidRPr="009072DA">
              <w:rPr>
                <w:sz w:val="18"/>
                <w:lang w:val="bg-BG"/>
              </w:rPr>
              <w:t>8.</w:t>
            </w:r>
            <w:r w:rsidRPr="009072DA">
              <w:rPr>
                <w:lang w:val="bg-BG"/>
              </w:rPr>
              <w:tab/>
            </w:r>
            <w:r w:rsidRPr="009072DA">
              <w:rPr>
                <w:sz w:val="18"/>
                <w:lang w:val="bg-BG"/>
              </w:rPr>
              <w:t>Vicinay тип 1</w:t>
            </w:r>
          </w:p>
        </w:tc>
        <w:tc>
          <w:tcPr>
            <w:tcW w:w="2778" w:type="dxa"/>
            <w:tcBorders>
              <w:top w:val="single" w:sz="6" w:space="0" w:color="auto"/>
              <w:left w:val="single" w:sz="6" w:space="0" w:color="auto"/>
              <w:bottom w:val="nil"/>
              <w:right w:val="nil"/>
            </w:tcBorders>
            <w:vAlign w:val="center"/>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bg-BG"/>
              </w:rPr>
            </w:pPr>
            <w:r w:rsidRPr="009072DA">
              <w:rPr>
                <w:sz w:val="18"/>
                <w:lang w:val="bg-BG"/>
              </w:rPr>
              <w:t>45 %</w:t>
            </w:r>
          </w:p>
        </w:tc>
        <w:tc>
          <w:tcPr>
            <w:tcW w:w="2552" w:type="dxa"/>
            <w:tcBorders>
              <w:top w:val="single" w:sz="6" w:space="0" w:color="auto"/>
              <w:left w:val="single" w:sz="6" w:space="0" w:color="auto"/>
              <w:bottom w:val="nil"/>
              <w:right w:val="single" w:sz="6" w:space="0" w:color="auto"/>
            </w:tcBorders>
            <w:vAlign w:val="center"/>
          </w:tcPr>
          <w:p w:rsidR="004F47BB" w:rsidRPr="009072DA" w:rsidRDefault="004F47BB" w:rsidP="004F47BB">
            <w:pPr>
              <w:spacing w:before="100" w:after="100" w:line="240" w:lineRule="atLeast"/>
              <w:ind w:left="516" w:right="113" w:hanging="403"/>
              <w:jc w:val="center"/>
              <w:rPr>
                <w:sz w:val="18"/>
                <w:lang w:val="bg-BG"/>
              </w:rPr>
            </w:pPr>
            <w:r w:rsidRPr="009072DA">
              <w:rPr>
                <w:sz w:val="18"/>
                <w:lang w:val="bg-BG"/>
              </w:rPr>
              <w:t>Франция</w:t>
            </w:r>
          </w:p>
        </w:tc>
      </w:tr>
      <w:tr w:rsidR="004F47BB" w:rsidRPr="009072DA" w:rsidTr="00D45887">
        <w:trPr>
          <w:jc w:val="center"/>
        </w:trPr>
        <w:tc>
          <w:tcPr>
            <w:tcW w:w="2948" w:type="dxa"/>
            <w:tcBorders>
              <w:top w:val="single" w:sz="6" w:space="0" w:color="auto"/>
              <w:left w:val="single" w:sz="6" w:space="0" w:color="auto"/>
              <w:bottom w:val="nil"/>
              <w:right w:val="nil"/>
            </w:tcBorders>
            <w:vAlign w:val="center"/>
          </w:tcPr>
          <w:p w:rsidR="004F47BB" w:rsidRPr="009072DA" w:rsidRDefault="004F47BB" w:rsidP="004F47BB">
            <w:pPr>
              <w:overflowPunct w:val="0"/>
              <w:adjustRightInd w:val="0"/>
              <w:spacing w:before="100" w:after="100" w:line="240" w:lineRule="atLeast"/>
              <w:ind w:left="538" w:right="113"/>
              <w:textAlignment w:val="baseline"/>
              <w:rPr>
                <w:sz w:val="18"/>
                <w:szCs w:val="20"/>
                <w:lang w:val="bg-BG"/>
              </w:rPr>
            </w:pPr>
            <w:r w:rsidRPr="009072DA">
              <w:rPr>
                <w:sz w:val="18"/>
                <w:lang w:val="bg-BG"/>
              </w:rPr>
              <w:t>9.</w:t>
            </w:r>
            <w:r w:rsidRPr="009072DA">
              <w:rPr>
                <w:lang w:val="bg-BG"/>
              </w:rPr>
              <w:tab/>
            </w:r>
            <w:r w:rsidRPr="009072DA">
              <w:rPr>
                <w:sz w:val="18"/>
                <w:lang w:val="bg-BG"/>
              </w:rPr>
              <w:t>Vicinay тип 2</w:t>
            </w:r>
          </w:p>
        </w:tc>
        <w:tc>
          <w:tcPr>
            <w:tcW w:w="2778" w:type="dxa"/>
            <w:tcBorders>
              <w:top w:val="single" w:sz="6" w:space="0" w:color="auto"/>
              <w:left w:val="single" w:sz="6" w:space="0" w:color="auto"/>
              <w:bottom w:val="nil"/>
              <w:right w:val="nil"/>
            </w:tcBorders>
            <w:vAlign w:val="center"/>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bg-BG"/>
              </w:rPr>
            </w:pPr>
            <w:r w:rsidRPr="009072DA">
              <w:rPr>
                <w:sz w:val="18"/>
                <w:lang w:val="bg-BG"/>
              </w:rPr>
              <w:t>45 %</w:t>
            </w:r>
          </w:p>
        </w:tc>
        <w:tc>
          <w:tcPr>
            <w:tcW w:w="2552" w:type="dxa"/>
            <w:tcBorders>
              <w:top w:val="single" w:sz="6" w:space="0" w:color="auto"/>
              <w:left w:val="single" w:sz="6" w:space="0" w:color="auto"/>
              <w:bottom w:val="nil"/>
              <w:right w:val="single" w:sz="6" w:space="0" w:color="auto"/>
            </w:tcBorders>
            <w:vAlign w:val="center"/>
          </w:tcPr>
          <w:p w:rsidR="004F47BB" w:rsidRPr="009072DA" w:rsidRDefault="004F47BB" w:rsidP="004F47BB">
            <w:pPr>
              <w:spacing w:before="100" w:after="100" w:line="240" w:lineRule="atLeast"/>
              <w:ind w:left="516" w:right="113" w:hanging="403"/>
              <w:jc w:val="center"/>
              <w:rPr>
                <w:sz w:val="18"/>
                <w:lang w:val="bg-BG"/>
              </w:rPr>
            </w:pPr>
            <w:r w:rsidRPr="009072DA">
              <w:rPr>
                <w:sz w:val="18"/>
                <w:lang w:val="bg-BG"/>
              </w:rPr>
              <w:t>Франция</w:t>
            </w:r>
          </w:p>
        </w:tc>
      </w:tr>
      <w:tr w:rsidR="004F47BB" w:rsidRPr="009072DA" w:rsidTr="00D45887">
        <w:trPr>
          <w:jc w:val="center"/>
        </w:trPr>
        <w:tc>
          <w:tcPr>
            <w:tcW w:w="2948" w:type="dxa"/>
            <w:tcBorders>
              <w:top w:val="single" w:sz="6" w:space="0" w:color="auto"/>
              <w:left w:val="single" w:sz="6" w:space="0" w:color="auto"/>
              <w:bottom w:val="nil"/>
              <w:right w:val="nil"/>
            </w:tcBorders>
            <w:vAlign w:val="center"/>
          </w:tcPr>
          <w:p w:rsidR="004F47BB" w:rsidRPr="009072DA" w:rsidRDefault="004F47BB" w:rsidP="004F47BB">
            <w:pPr>
              <w:overflowPunct w:val="0"/>
              <w:adjustRightInd w:val="0"/>
              <w:spacing w:before="100" w:after="100" w:line="240" w:lineRule="atLeast"/>
              <w:ind w:left="539" w:right="113" w:hanging="482"/>
              <w:textAlignment w:val="baseline"/>
              <w:rPr>
                <w:sz w:val="18"/>
                <w:szCs w:val="20"/>
                <w:lang w:val="bg-BG"/>
              </w:rPr>
            </w:pPr>
            <w:r w:rsidRPr="009072DA">
              <w:rPr>
                <w:sz w:val="18"/>
                <w:lang w:val="bg-BG"/>
              </w:rPr>
              <w:t>10.</w:t>
            </w:r>
            <w:r w:rsidRPr="009072DA">
              <w:rPr>
                <w:lang w:val="bg-BG"/>
              </w:rPr>
              <w:tab/>
            </w:r>
            <w:r w:rsidRPr="009072DA">
              <w:rPr>
                <w:sz w:val="18"/>
                <w:lang w:val="bg-BG"/>
              </w:rPr>
              <w:t>Vicinay тип 3</w:t>
            </w:r>
          </w:p>
        </w:tc>
        <w:tc>
          <w:tcPr>
            <w:tcW w:w="2778" w:type="dxa"/>
            <w:tcBorders>
              <w:top w:val="single" w:sz="6" w:space="0" w:color="auto"/>
              <w:left w:val="single" w:sz="6" w:space="0" w:color="auto"/>
              <w:bottom w:val="nil"/>
              <w:right w:val="nil"/>
            </w:tcBorders>
            <w:vAlign w:val="center"/>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bg-BG"/>
              </w:rPr>
            </w:pPr>
            <w:r w:rsidRPr="009072DA">
              <w:rPr>
                <w:sz w:val="18"/>
                <w:lang w:val="bg-BG"/>
              </w:rPr>
              <w:t>40 %</w:t>
            </w:r>
          </w:p>
        </w:tc>
        <w:tc>
          <w:tcPr>
            <w:tcW w:w="2552" w:type="dxa"/>
            <w:tcBorders>
              <w:top w:val="single" w:sz="6" w:space="0" w:color="auto"/>
              <w:left w:val="single" w:sz="6" w:space="0" w:color="auto"/>
              <w:bottom w:val="nil"/>
              <w:right w:val="single" w:sz="6" w:space="0" w:color="auto"/>
            </w:tcBorders>
            <w:vAlign w:val="center"/>
          </w:tcPr>
          <w:p w:rsidR="004F47BB" w:rsidRPr="009072DA" w:rsidRDefault="004F47BB" w:rsidP="004F47BB">
            <w:pPr>
              <w:spacing w:before="100" w:after="100" w:line="240" w:lineRule="atLeast"/>
              <w:ind w:left="516" w:right="113" w:hanging="403"/>
              <w:jc w:val="center"/>
              <w:rPr>
                <w:sz w:val="18"/>
                <w:lang w:val="bg-BG"/>
              </w:rPr>
            </w:pPr>
            <w:r w:rsidRPr="009072DA">
              <w:rPr>
                <w:sz w:val="18"/>
                <w:lang w:val="bg-BG"/>
              </w:rPr>
              <w:t>Франция</w:t>
            </w:r>
          </w:p>
        </w:tc>
      </w:tr>
      <w:tr w:rsidR="004F47BB" w:rsidRPr="009072DA" w:rsidTr="00D45887">
        <w:trPr>
          <w:jc w:val="center"/>
        </w:trPr>
        <w:tc>
          <w:tcPr>
            <w:tcW w:w="2948" w:type="dxa"/>
            <w:tcBorders>
              <w:top w:val="single" w:sz="6" w:space="0" w:color="auto"/>
              <w:left w:val="single" w:sz="6" w:space="0" w:color="auto"/>
              <w:bottom w:val="nil"/>
              <w:right w:val="nil"/>
            </w:tcBorders>
            <w:vAlign w:val="center"/>
          </w:tcPr>
          <w:p w:rsidR="004F47BB" w:rsidRPr="009072DA" w:rsidRDefault="004F47BB" w:rsidP="004F47BB">
            <w:pPr>
              <w:overflowPunct w:val="0"/>
              <w:adjustRightInd w:val="0"/>
              <w:spacing w:before="100" w:after="100" w:line="240" w:lineRule="atLeast"/>
              <w:ind w:left="539" w:right="113" w:hanging="482"/>
              <w:textAlignment w:val="baseline"/>
              <w:rPr>
                <w:sz w:val="18"/>
                <w:szCs w:val="20"/>
                <w:lang w:val="bg-BG"/>
              </w:rPr>
            </w:pPr>
            <w:r w:rsidRPr="009072DA">
              <w:rPr>
                <w:sz w:val="18"/>
                <w:lang w:val="bg-BG"/>
              </w:rPr>
              <w:t>11.</w:t>
            </w:r>
            <w:r w:rsidRPr="009072DA">
              <w:rPr>
                <w:lang w:val="bg-BG"/>
              </w:rPr>
              <w:tab/>
            </w:r>
            <w:r w:rsidRPr="009072DA">
              <w:rPr>
                <w:sz w:val="18"/>
                <w:lang w:val="bg-BG"/>
              </w:rPr>
              <w:t>Stockes</w:t>
            </w:r>
          </w:p>
        </w:tc>
        <w:tc>
          <w:tcPr>
            <w:tcW w:w="2778" w:type="dxa"/>
            <w:tcBorders>
              <w:top w:val="single" w:sz="6" w:space="0" w:color="auto"/>
              <w:left w:val="single" w:sz="6" w:space="0" w:color="auto"/>
              <w:bottom w:val="nil"/>
              <w:right w:val="nil"/>
            </w:tcBorders>
            <w:vAlign w:val="center"/>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bg-BG"/>
              </w:rPr>
            </w:pPr>
            <w:r w:rsidRPr="009072DA">
              <w:rPr>
                <w:sz w:val="18"/>
                <w:lang w:val="bg-BG"/>
              </w:rPr>
              <w:t>35 %</w:t>
            </w:r>
          </w:p>
        </w:tc>
        <w:tc>
          <w:tcPr>
            <w:tcW w:w="2552" w:type="dxa"/>
            <w:tcBorders>
              <w:top w:val="single" w:sz="6" w:space="0" w:color="auto"/>
              <w:left w:val="single" w:sz="6" w:space="0" w:color="auto"/>
              <w:bottom w:val="nil"/>
              <w:right w:val="single" w:sz="6" w:space="0" w:color="auto"/>
            </w:tcBorders>
            <w:vAlign w:val="center"/>
          </w:tcPr>
          <w:p w:rsidR="004F47BB" w:rsidRPr="009072DA" w:rsidRDefault="004F47BB" w:rsidP="004F47BB">
            <w:pPr>
              <w:spacing w:before="100" w:after="100" w:line="240" w:lineRule="atLeast"/>
              <w:ind w:left="516" w:right="113" w:hanging="403"/>
              <w:jc w:val="center"/>
              <w:rPr>
                <w:sz w:val="18"/>
                <w:lang w:val="bg-BG"/>
              </w:rPr>
            </w:pPr>
            <w:r w:rsidRPr="009072DA">
              <w:rPr>
                <w:sz w:val="18"/>
                <w:lang w:val="bg-BG"/>
              </w:rPr>
              <w:t>Франция</w:t>
            </w:r>
          </w:p>
        </w:tc>
      </w:tr>
      <w:tr w:rsidR="004F47BB" w:rsidRPr="009072DA" w:rsidTr="00D45887">
        <w:trPr>
          <w:jc w:val="center"/>
        </w:trPr>
        <w:tc>
          <w:tcPr>
            <w:tcW w:w="2948" w:type="dxa"/>
            <w:tcBorders>
              <w:top w:val="single" w:sz="6" w:space="0" w:color="auto"/>
              <w:left w:val="single" w:sz="6" w:space="0" w:color="auto"/>
              <w:bottom w:val="single" w:sz="4" w:space="0" w:color="auto"/>
              <w:right w:val="nil"/>
            </w:tcBorders>
            <w:vAlign w:val="center"/>
          </w:tcPr>
          <w:p w:rsidR="004F47BB" w:rsidRPr="009072DA" w:rsidRDefault="004F47BB" w:rsidP="004F47BB">
            <w:pPr>
              <w:overflowPunct w:val="0"/>
              <w:adjustRightInd w:val="0"/>
              <w:spacing w:before="100" w:after="100" w:line="240" w:lineRule="atLeast"/>
              <w:ind w:left="539" w:right="113" w:hanging="482"/>
              <w:textAlignment w:val="baseline"/>
              <w:rPr>
                <w:sz w:val="18"/>
                <w:szCs w:val="20"/>
                <w:lang w:val="bg-BG"/>
              </w:rPr>
            </w:pPr>
            <w:r w:rsidRPr="009072DA">
              <w:rPr>
                <w:sz w:val="18"/>
                <w:lang w:val="bg-BG"/>
              </w:rPr>
              <w:t>12.</w:t>
            </w:r>
            <w:r w:rsidRPr="009072DA">
              <w:rPr>
                <w:lang w:val="bg-BG"/>
              </w:rPr>
              <w:tab/>
            </w:r>
            <w:r w:rsidRPr="009072DA">
              <w:rPr>
                <w:sz w:val="18"/>
                <w:lang w:val="bg-BG"/>
              </w:rPr>
              <w:t>D'Hone-Danforth</w:t>
            </w:r>
          </w:p>
        </w:tc>
        <w:tc>
          <w:tcPr>
            <w:tcW w:w="2778" w:type="dxa"/>
            <w:tcBorders>
              <w:top w:val="single" w:sz="6" w:space="0" w:color="auto"/>
              <w:left w:val="single" w:sz="6" w:space="0" w:color="auto"/>
              <w:bottom w:val="single" w:sz="4" w:space="0" w:color="auto"/>
              <w:right w:val="nil"/>
            </w:tcBorders>
            <w:vAlign w:val="center"/>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bg-BG"/>
              </w:rPr>
            </w:pPr>
            <w:r w:rsidRPr="009072DA">
              <w:rPr>
                <w:sz w:val="18"/>
                <w:lang w:val="bg-BG"/>
              </w:rPr>
              <w:t>50 %</w:t>
            </w:r>
          </w:p>
        </w:tc>
        <w:tc>
          <w:tcPr>
            <w:tcW w:w="2552" w:type="dxa"/>
            <w:tcBorders>
              <w:top w:val="single" w:sz="6" w:space="0" w:color="auto"/>
              <w:left w:val="single" w:sz="6" w:space="0" w:color="auto"/>
              <w:bottom w:val="single" w:sz="4" w:space="0" w:color="auto"/>
              <w:right w:val="single" w:sz="6" w:space="0" w:color="auto"/>
            </w:tcBorders>
            <w:vAlign w:val="center"/>
          </w:tcPr>
          <w:p w:rsidR="004F47BB" w:rsidRPr="009072DA" w:rsidRDefault="004F47BB" w:rsidP="004F47BB">
            <w:pPr>
              <w:spacing w:before="100" w:after="100" w:line="240" w:lineRule="atLeast"/>
              <w:ind w:left="516" w:right="113" w:hanging="403"/>
              <w:jc w:val="center"/>
              <w:rPr>
                <w:sz w:val="18"/>
                <w:lang w:val="bg-BG"/>
              </w:rPr>
            </w:pPr>
            <w:r w:rsidRPr="009072DA">
              <w:rPr>
                <w:sz w:val="18"/>
                <w:lang w:val="bg-BG"/>
              </w:rPr>
              <w:t xml:space="preserve">Германия </w:t>
            </w:r>
          </w:p>
        </w:tc>
      </w:tr>
      <w:tr w:rsidR="004F47BB" w:rsidRPr="009072DA"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9072DA" w:rsidRDefault="004F47BB" w:rsidP="004F47BB">
            <w:pPr>
              <w:overflowPunct w:val="0"/>
              <w:adjustRightInd w:val="0"/>
              <w:spacing w:before="100" w:after="100" w:line="240" w:lineRule="atLeast"/>
              <w:ind w:left="539" w:right="113" w:hanging="482"/>
              <w:textAlignment w:val="baseline"/>
              <w:rPr>
                <w:sz w:val="18"/>
                <w:szCs w:val="20"/>
                <w:lang w:val="bg-BG"/>
              </w:rPr>
            </w:pPr>
            <w:r w:rsidRPr="009072DA">
              <w:rPr>
                <w:sz w:val="18"/>
                <w:lang w:val="bg-BG"/>
              </w:rPr>
              <w:t>13.</w:t>
            </w:r>
            <w:r w:rsidRPr="009072DA">
              <w:rPr>
                <w:lang w:val="bg-BG"/>
              </w:rPr>
              <w:tab/>
            </w:r>
            <w:r w:rsidRPr="009072DA">
              <w:rPr>
                <w:sz w:val="18"/>
                <w:lang w:val="bg-BG"/>
              </w:rPr>
              <w:t>Котва „Schmitt“ с повишена държаща сила</w:t>
            </w:r>
          </w:p>
        </w:tc>
        <w:tc>
          <w:tcPr>
            <w:tcW w:w="2778" w:type="dxa"/>
            <w:tcBorders>
              <w:top w:val="single" w:sz="4" w:space="0" w:color="auto"/>
              <w:left w:val="single" w:sz="6" w:space="0" w:color="auto"/>
              <w:bottom w:val="single" w:sz="6" w:space="0" w:color="auto"/>
              <w:right w:val="nil"/>
            </w:tcBorders>
            <w:vAlign w:val="center"/>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bg-BG"/>
              </w:rPr>
            </w:pPr>
            <w:r w:rsidRPr="009072DA">
              <w:rPr>
                <w:sz w:val="18"/>
                <w:lang w:val="bg-BG"/>
              </w:rPr>
              <w:t>40 %</w:t>
            </w:r>
          </w:p>
        </w:tc>
        <w:tc>
          <w:tcPr>
            <w:tcW w:w="2552" w:type="dxa"/>
            <w:tcBorders>
              <w:top w:val="single" w:sz="4" w:space="0" w:color="auto"/>
              <w:left w:val="single" w:sz="6" w:space="0" w:color="auto"/>
              <w:bottom w:val="single" w:sz="6" w:space="0" w:color="auto"/>
              <w:right w:val="single" w:sz="6" w:space="0" w:color="auto"/>
            </w:tcBorders>
            <w:vAlign w:val="center"/>
          </w:tcPr>
          <w:p w:rsidR="004F47BB" w:rsidRPr="009072DA" w:rsidRDefault="004F47BB" w:rsidP="004F47BB">
            <w:pPr>
              <w:spacing w:before="100" w:after="100" w:line="240" w:lineRule="atLeast"/>
              <w:ind w:left="516" w:right="113" w:hanging="403"/>
              <w:jc w:val="center"/>
              <w:rPr>
                <w:sz w:val="18"/>
                <w:lang w:val="bg-BG"/>
              </w:rPr>
            </w:pPr>
            <w:r w:rsidRPr="009072DA">
              <w:rPr>
                <w:sz w:val="18"/>
                <w:lang w:val="bg-BG"/>
              </w:rPr>
              <w:t>Нидерландия</w:t>
            </w:r>
          </w:p>
        </w:tc>
      </w:tr>
      <w:tr w:rsidR="004F47BB" w:rsidRPr="009072DA"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9072DA" w:rsidRDefault="004F47BB" w:rsidP="004F47BB">
            <w:pPr>
              <w:overflowPunct w:val="0"/>
              <w:adjustRightInd w:val="0"/>
              <w:spacing w:before="100" w:after="100" w:line="240" w:lineRule="atLeast"/>
              <w:ind w:left="539" w:right="113" w:hanging="482"/>
              <w:textAlignment w:val="baseline"/>
              <w:rPr>
                <w:sz w:val="18"/>
                <w:szCs w:val="20"/>
                <w:lang w:val="bg-BG"/>
              </w:rPr>
            </w:pPr>
            <w:r w:rsidRPr="009072DA">
              <w:rPr>
                <w:sz w:val="18"/>
                <w:lang w:val="bg-BG"/>
              </w:rPr>
              <w:t>14.</w:t>
            </w:r>
            <w:r w:rsidRPr="009072DA">
              <w:rPr>
                <w:lang w:val="bg-BG"/>
              </w:rPr>
              <w:tab/>
            </w:r>
            <w:r w:rsidRPr="009072DA">
              <w:rPr>
                <w:sz w:val="18"/>
                <w:lang w:val="bg-BG"/>
              </w:rPr>
              <w:t>Котва „SHI с повишена държаща сила“, тип ST (стандартен)</w:t>
            </w:r>
          </w:p>
        </w:tc>
        <w:tc>
          <w:tcPr>
            <w:tcW w:w="2778" w:type="dxa"/>
            <w:tcBorders>
              <w:top w:val="single" w:sz="4" w:space="0" w:color="auto"/>
              <w:left w:val="single" w:sz="6" w:space="0" w:color="auto"/>
              <w:bottom w:val="single" w:sz="6" w:space="0" w:color="auto"/>
              <w:right w:val="nil"/>
            </w:tcBorders>
            <w:vAlign w:val="center"/>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lang w:val="bg-BG"/>
              </w:rPr>
            </w:pPr>
            <w:r w:rsidRPr="009072DA">
              <w:rPr>
                <w:sz w:val="18"/>
                <w:lang w:val="bg-BG"/>
              </w:rPr>
              <w:t>30 %</w:t>
            </w:r>
          </w:p>
        </w:tc>
        <w:tc>
          <w:tcPr>
            <w:tcW w:w="2552" w:type="dxa"/>
            <w:tcBorders>
              <w:top w:val="single" w:sz="4" w:space="0" w:color="auto"/>
              <w:left w:val="single" w:sz="6" w:space="0" w:color="auto"/>
              <w:bottom w:val="single" w:sz="6" w:space="0" w:color="auto"/>
              <w:right w:val="single" w:sz="6" w:space="0" w:color="auto"/>
            </w:tcBorders>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sz w:val="18"/>
                <w:lang w:val="bg-BG"/>
              </w:rPr>
            </w:pPr>
            <w:r w:rsidRPr="009072DA">
              <w:rPr>
                <w:sz w:val="18"/>
                <w:lang w:val="bg-BG"/>
              </w:rPr>
              <w:t xml:space="preserve">Нидерландия </w:t>
            </w:r>
          </w:p>
        </w:tc>
      </w:tr>
      <w:tr w:rsidR="004F47BB" w:rsidRPr="009072DA"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9072DA" w:rsidRDefault="004F47BB" w:rsidP="004F47BB">
            <w:pPr>
              <w:overflowPunct w:val="0"/>
              <w:adjustRightInd w:val="0"/>
              <w:spacing w:before="100" w:after="100"/>
              <w:ind w:left="539" w:right="113" w:hanging="482"/>
              <w:textAlignment w:val="baseline"/>
              <w:rPr>
                <w:sz w:val="18"/>
                <w:szCs w:val="20"/>
                <w:lang w:val="bg-BG"/>
              </w:rPr>
            </w:pPr>
            <w:r w:rsidRPr="009072DA">
              <w:rPr>
                <w:sz w:val="18"/>
                <w:lang w:val="bg-BG"/>
              </w:rPr>
              <w:t>15.</w:t>
            </w:r>
            <w:r w:rsidRPr="009072DA">
              <w:rPr>
                <w:lang w:val="bg-BG"/>
              </w:rPr>
              <w:tab/>
            </w:r>
            <w:r w:rsidRPr="009072DA">
              <w:rPr>
                <w:sz w:val="18"/>
                <w:lang w:val="bg-BG"/>
              </w:rPr>
              <w:t xml:space="preserve">Котва „SHI с повишена </w:t>
            </w:r>
            <w:r w:rsidRPr="009072DA">
              <w:rPr>
                <w:sz w:val="18"/>
                <w:lang w:val="bg-BG"/>
              </w:rPr>
              <w:lastRenderedPageBreak/>
              <w:t>държаща сила“, тип FB (пълно балансиран)</w:t>
            </w:r>
          </w:p>
        </w:tc>
        <w:tc>
          <w:tcPr>
            <w:tcW w:w="2778" w:type="dxa"/>
            <w:tcBorders>
              <w:top w:val="single" w:sz="4" w:space="0" w:color="auto"/>
              <w:left w:val="single" w:sz="6" w:space="0" w:color="auto"/>
              <w:bottom w:val="single" w:sz="6" w:space="0" w:color="auto"/>
              <w:right w:val="nil"/>
            </w:tcBorders>
            <w:vAlign w:val="center"/>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lang w:val="bg-BG"/>
              </w:rPr>
            </w:pPr>
            <w:r w:rsidRPr="009072DA">
              <w:rPr>
                <w:sz w:val="18"/>
                <w:lang w:val="bg-BG"/>
              </w:rPr>
              <w:lastRenderedPageBreak/>
              <w:t>30 %</w:t>
            </w:r>
          </w:p>
        </w:tc>
        <w:tc>
          <w:tcPr>
            <w:tcW w:w="2552" w:type="dxa"/>
            <w:tcBorders>
              <w:top w:val="single" w:sz="4" w:space="0" w:color="auto"/>
              <w:left w:val="single" w:sz="6" w:space="0" w:color="auto"/>
              <w:bottom w:val="single" w:sz="6" w:space="0" w:color="auto"/>
              <w:right w:val="single" w:sz="6" w:space="0" w:color="auto"/>
            </w:tcBorders>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sz w:val="18"/>
                <w:lang w:val="bg-BG"/>
              </w:rPr>
            </w:pPr>
            <w:r w:rsidRPr="009072DA">
              <w:rPr>
                <w:sz w:val="18"/>
                <w:lang w:val="bg-BG"/>
              </w:rPr>
              <w:t xml:space="preserve">Нидерландия </w:t>
            </w:r>
          </w:p>
        </w:tc>
      </w:tr>
      <w:tr w:rsidR="004F47BB" w:rsidRPr="009072DA" w:rsidTr="00D45887">
        <w:trPr>
          <w:jc w:val="center"/>
        </w:trPr>
        <w:tc>
          <w:tcPr>
            <w:tcW w:w="2948" w:type="dxa"/>
            <w:tcBorders>
              <w:top w:val="single" w:sz="4" w:space="0" w:color="auto"/>
              <w:left w:val="single" w:sz="6" w:space="0" w:color="auto"/>
              <w:bottom w:val="single" w:sz="4" w:space="0" w:color="auto"/>
              <w:right w:val="nil"/>
            </w:tcBorders>
            <w:vAlign w:val="center"/>
          </w:tcPr>
          <w:p w:rsidR="004F47BB" w:rsidRPr="009072DA" w:rsidRDefault="004F47BB" w:rsidP="004F47BB">
            <w:pPr>
              <w:overflowPunct w:val="0"/>
              <w:adjustRightInd w:val="0"/>
              <w:spacing w:before="100" w:after="100"/>
              <w:ind w:left="539" w:right="113" w:hanging="482"/>
              <w:textAlignment w:val="baseline"/>
              <w:rPr>
                <w:sz w:val="18"/>
                <w:szCs w:val="20"/>
                <w:lang w:val="bg-BG"/>
              </w:rPr>
            </w:pPr>
            <w:r w:rsidRPr="009072DA">
              <w:rPr>
                <w:sz w:val="18"/>
                <w:lang w:val="bg-BG"/>
              </w:rPr>
              <w:lastRenderedPageBreak/>
              <w:t>16.</w:t>
            </w:r>
            <w:r w:rsidRPr="009072DA">
              <w:rPr>
                <w:lang w:val="bg-BG"/>
              </w:rPr>
              <w:tab/>
            </w:r>
            <w:r w:rsidRPr="009072DA">
              <w:rPr>
                <w:sz w:val="18"/>
                <w:lang w:val="bg-BG"/>
              </w:rPr>
              <w:t xml:space="preserve">Котва „Klinsmann“ </w:t>
            </w:r>
          </w:p>
        </w:tc>
        <w:tc>
          <w:tcPr>
            <w:tcW w:w="2778" w:type="dxa"/>
            <w:tcBorders>
              <w:top w:val="single" w:sz="4" w:space="0" w:color="auto"/>
              <w:left w:val="single" w:sz="6" w:space="0" w:color="auto"/>
              <w:bottom w:val="single" w:sz="4" w:space="0" w:color="auto"/>
              <w:right w:val="nil"/>
            </w:tcBorders>
            <w:vAlign w:val="center"/>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lang w:val="bg-BG"/>
              </w:rPr>
            </w:pPr>
            <w:r w:rsidRPr="009072DA">
              <w:rPr>
                <w:sz w:val="18"/>
                <w:lang w:val="bg-BG"/>
              </w:rPr>
              <w:t>30 %</w:t>
            </w:r>
          </w:p>
        </w:tc>
        <w:tc>
          <w:tcPr>
            <w:tcW w:w="2552" w:type="dxa"/>
            <w:tcBorders>
              <w:top w:val="single" w:sz="4" w:space="0" w:color="auto"/>
              <w:left w:val="single" w:sz="6" w:space="0" w:color="auto"/>
              <w:bottom w:val="single" w:sz="4" w:space="0" w:color="auto"/>
              <w:right w:val="single" w:sz="6" w:space="0" w:color="auto"/>
            </w:tcBorders>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sz w:val="18"/>
                <w:lang w:val="bg-BG"/>
              </w:rPr>
            </w:pPr>
            <w:r w:rsidRPr="009072DA">
              <w:rPr>
                <w:sz w:val="18"/>
                <w:lang w:val="bg-BG"/>
              </w:rPr>
              <w:t xml:space="preserve">Нидерландия </w:t>
            </w:r>
          </w:p>
        </w:tc>
      </w:tr>
      <w:tr w:rsidR="004F47BB" w:rsidRPr="009072DA"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9072DA" w:rsidRDefault="004F47BB" w:rsidP="004F47BB">
            <w:pPr>
              <w:overflowPunct w:val="0"/>
              <w:adjustRightInd w:val="0"/>
              <w:spacing w:before="100" w:after="100"/>
              <w:ind w:left="539" w:right="113" w:hanging="482"/>
              <w:textAlignment w:val="baseline"/>
              <w:rPr>
                <w:sz w:val="18"/>
                <w:szCs w:val="20"/>
                <w:lang w:val="bg-BG"/>
              </w:rPr>
            </w:pPr>
            <w:r w:rsidRPr="009072DA">
              <w:rPr>
                <w:sz w:val="18"/>
                <w:lang w:val="bg-BG"/>
              </w:rPr>
              <w:t>17.</w:t>
            </w:r>
            <w:r w:rsidRPr="009072DA">
              <w:rPr>
                <w:lang w:val="bg-BG"/>
              </w:rPr>
              <w:tab/>
            </w:r>
            <w:r w:rsidRPr="009072DA">
              <w:rPr>
                <w:sz w:val="18"/>
                <w:lang w:val="bg-BG"/>
              </w:rPr>
              <w:t>Котва HA-DU-POWER</w:t>
            </w:r>
          </w:p>
        </w:tc>
        <w:tc>
          <w:tcPr>
            <w:tcW w:w="2778" w:type="dxa"/>
            <w:tcBorders>
              <w:top w:val="single" w:sz="4" w:space="0" w:color="auto"/>
              <w:left w:val="single" w:sz="6" w:space="0" w:color="auto"/>
              <w:bottom w:val="single" w:sz="6" w:space="0" w:color="auto"/>
              <w:right w:val="nil"/>
            </w:tcBorders>
            <w:vAlign w:val="center"/>
          </w:tcPr>
          <w:p w:rsidR="004F47BB" w:rsidRPr="009072D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bg-BG"/>
              </w:rPr>
            </w:pPr>
            <w:r w:rsidRPr="009072DA">
              <w:rPr>
                <w:sz w:val="18"/>
                <w:lang w:val="bg-BG"/>
              </w:rPr>
              <w:t>50 %</w:t>
            </w:r>
          </w:p>
        </w:tc>
        <w:tc>
          <w:tcPr>
            <w:tcW w:w="2552" w:type="dxa"/>
            <w:tcBorders>
              <w:top w:val="single" w:sz="4" w:space="0" w:color="auto"/>
              <w:left w:val="single" w:sz="6" w:space="0" w:color="auto"/>
              <w:bottom w:val="single" w:sz="6" w:space="0" w:color="auto"/>
              <w:right w:val="single" w:sz="6" w:space="0" w:color="auto"/>
            </w:tcBorders>
            <w:vAlign w:val="center"/>
          </w:tcPr>
          <w:p w:rsidR="004F47BB" w:rsidRPr="009072DA" w:rsidRDefault="004F47BB" w:rsidP="004F47BB">
            <w:pPr>
              <w:spacing w:before="100" w:after="100" w:line="240" w:lineRule="atLeast"/>
              <w:ind w:left="516" w:right="113" w:hanging="403"/>
              <w:jc w:val="center"/>
              <w:rPr>
                <w:sz w:val="18"/>
                <w:lang w:val="bg-BG"/>
              </w:rPr>
            </w:pPr>
            <w:r w:rsidRPr="009072DA">
              <w:rPr>
                <w:sz w:val="18"/>
                <w:lang w:val="bg-BG"/>
              </w:rPr>
              <w:t xml:space="preserve">Германия </w:t>
            </w:r>
          </w:p>
        </w:tc>
      </w:tr>
    </w:tbl>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rPr>
          <w:b/>
          <w:szCs w:val="20"/>
          <w:lang w:val="bg-BG"/>
        </w:rPr>
      </w:pPr>
      <w:r w:rsidRPr="009072DA">
        <w:rPr>
          <w:lang w:val="bg-BG"/>
        </w:rPr>
        <w:br w:type="page"/>
      </w:r>
      <w:r w:rsidRPr="009072DA">
        <w:rPr>
          <w:b/>
          <w:lang w:val="bg-BG"/>
        </w:rPr>
        <w:lastRenderedPageBreak/>
        <w:t>Раздел 2</w:t>
      </w:r>
    </w:p>
    <w:p w:rsidR="004F47BB" w:rsidRPr="009072DA" w:rsidRDefault="004F47BB" w:rsidP="004F47BB">
      <w:pPr>
        <w:overflowPunct w:val="0"/>
        <w:adjustRightInd w:val="0"/>
        <w:textAlignment w:val="baseline"/>
        <w:rPr>
          <w:b/>
          <w:szCs w:val="20"/>
          <w:lang w:val="bg-BG"/>
        </w:rPr>
      </w:pPr>
    </w:p>
    <w:p w:rsidR="004F47BB" w:rsidRPr="009072DA" w:rsidRDefault="004F47BB" w:rsidP="004F47BB">
      <w:pPr>
        <w:overflowPunct w:val="0"/>
        <w:adjustRightInd w:val="0"/>
        <w:textAlignment w:val="baseline"/>
        <w:rPr>
          <w:b/>
          <w:szCs w:val="20"/>
          <w:lang w:val="bg-BG"/>
        </w:rPr>
      </w:pPr>
    </w:p>
    <w:p w:rsidR="004F47BB" w:rsidRPr="009072DA" w:rsidRDefault="004F47BB" w:rsidP="004F47BB">
      <w:pPr>
        <w:overflowPunct w:val="0"/>
        <w:adjustRightInd w:val="0"/>
        <w:jc w:val="center"/>
        <w:textAlignment w:val="baseline"/>
        <w:rPr>
          <w:b/>
          <w:szCs w:val="20"/>
          <w:lang w:val="bg-BG"/>
        </w:rPr>
      </w:pPr>
      <w:r w:rsidRPr="009072DA">
        <w:rPr>
          <w:b/>
          <w:lang w:val="bg-BG"/>
        </w:rPr>
        <w:t>Процедура за разрешаване и изпитване на специални котви с намалена маса</w:t>
      </w:r>
    </w:p>
    <w:p w:rsidR="004F47BB" w:rsidRPr="009072DA" w:rsidRDefault="004F47BB" w:rsidP="004F47BB">
      <w:pPr>
        <w:overflowPunct w:val="0"/>
        <w:adjustRightInd w:val="0"/>
        <w:jc w:val="center"/>
        <w:textAlignment w:val="baseline"/>
        <w:rPr>
          <w:b/>
          <w:szCs w:val="20"/>
          <w:lang w:val="bg-BG"/>
        </w:rPr>
      </w:pPr>
    </w:p>
    <w:p w:rsidR="004F47BB" w:rsidRPr="009072DA" w:rsidRDefault="004F47BB" w:rsidP="004F47BB">
      <w:pPr>
        <w:overflowPunct w:val="0"/>
        <w:adjustRightInd w:val="0"/>
        <w:jc w:val="center"/>
        <w:textAlignment w:val="baseline"/>
        <w:rPr>
          <w:b/>
          <w:szCs w:val="20"/>
          <w:lang w:val="bg-BG"/>
        </w:rPr>
      </w:pPr>
      <w:r w:rsidRPr="009072DA">
        <w:rPr>
          <w:b/>
          <w:lang w:val="bg-BG"/>
        </w:rPr>
        <w:t xml:space="preserve">Намаляване на стойностите на масата на котвата, определено </w:t>
      </w:r>
    </w:p>
    <w:p w:rsidR="004F47BB" w:rsidRPr="009072DA" w:rsidRDefault="004F47BB" w:rsidP="004F47BB">
      <w:pPr>
        <w:overflowPunct w:val="0"/>
        <w:adjustRightInd w:val="0"/>
        <w:jc w:val="center"/>
        <w:textAlignment w:val="baseline"/>
        <w:rPr>
          <w:szCs w:val="20"/>
          <w:lang w:val="bg-BG"/>
        </w:rPr>
      </w:pPr>
      <w:r w:rsidRPr="009072DA">
        <w:rPr>
          <w:b/>
          <w:lang w:val="bg-BG"/>
        </w:rPr>
        <w:t xml:space="preserve">в съответствие с член 13.01,  точки 1 — 4 </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spacing w:line="240" w:lineRule="atLeast"/>
        <w:ind w:left="567" w:hanging="567"/>
        <w:textAlignment w:val="baseline"/>
        <w:rPr>
          <w:szCs w:val="20"/>
          <w:lang w:val="bg-BG"/>
        </w:rPr>
      </w:pPr>
      <w:r w:rsidRPr="009072DA">
        <w:rPr>
          <w:b/>
          <w:lang w:val="bg-BG"/>
        </w:rPr>
        <w:t>1.</w:t>
      </w:r>
      <w:r w:rsidRPr="009072DA">
        <w:rPr>
          <w:lang w:val="bg-BG"/>
        </w:rPr>
        <w:tab/>
      </w:r>
      <w:r w:rsidRPr="009072DA">
        <w:rPr>
          <w:b/>
          <w:lang w:val="bg-BG"/>
        </w:rPr>
        <w:t>Глава 1 — Процедура за разрешаване</w:t>
      </w:r>
    </w:p>
    <w:p w:rsidR="004F47BB" w:rsidRPr="009072DA" w:rsidRDefault="004F47BB" w:rsidP="004F47BB">
      <w:pPr>
        <w:overflowPunct w:val="0"/>
        <w:adjustRightInd w:val="0"/>
        <w:spacing w:line="240" w:lineRule="atLeast"/>
        <w:ind w:left="567" w:hanging="567"/>
        <w:textAlignment w:val="baseline"/>
        <w:rPr>
          <w:szCs w:val="20"/>
          <w:lang w:val="bg-BG"/>
        </w:rPr>
      </w:pPr>
    </w:p>
    <w:p w:rsidR="004F47BB" w:rsidRPr="009072DA" w:rsidRDefault="004F47BB" w:rsidP="004F47BB">
      <w:pPr>
        <w:overflowPunct w:val="0"/>
        <w:adjustRightInd w:val="0"/>
        <w:spacing w:line="240" w:lineRule="atLeast"/>
        <w:ind w:left="567" w:hanging="567"/>
        <w:textAlignment w:val="baseline"/>
        <w:rPr>
          <w:szCs w:val="20"/>
          <w:lang w:val="bg-BG"/>
        </w:rPr>
      </w:pPr>
      <w:r w:rsidRPr="009072DA">
        <w:rPr>
          <w:b/>
          <w:lang w:val="bg-BG"/>
        </w:rPr>
        <w:t>1.1</w:t>
      </w:r>
      <w:r w:rsidRPr="009072DA">
        <w:rPr>
          <w:lang w:val="bg-BG"/>
        </w:rPr>
        <w:tab/>
        <w:t>Специални котви с намалена маса в съответствие с член 13.01, точка 5 се разрешават от компетентните органи. Компетентният орган определя разрешеното намаляване на масата на котвата за специални котви в съответствие с процедурата, описана по-долу.</w:t>
      </w:r>
    </w:p>
    <w:p w:rsidR="004F47BB" w:rsidRPr="009072DA" w:rsidRDefault="004F47BB" w:rsidP="004F47BB">
      <w:pPr>
        <w:overflowPunct w:val="0"/>
        <w:adjustRightInd w:val="0"/>
        <w:spacing w:line="240" w:lineRule="atLeast"/>
        <w:ind w:left="567" w:hanging="567"/>
        <w:textAlignment w:val="baseline"/>
        <w:rPr>
          <w:szCs w:val="20"/>
          <w:lang w:val="bg-BG"/>
        </w:rPr>
      </w:pPr>
    </w:p>
    <w:p w:rsidR="004F47BB" w:rsidRPr="009072DA" w:rsidRDefault="004F47BB" w:rsidP="004F47BB">
      <w:pPr>
        <w:overflowPunct w:val="0"/>
        <w:adjustRightInd w:val="0"/>
        <w:spacing w:line="240" w:lineRule="atLeast"/>
        <w:ind w:left="567" w:hanging="567"/>
        <w:textAlignment w:val="baseline"/>
        <w:rPr>
          <w:szCs w:val="20"/>
          <w:lang w:val="bg-BG"/>
        </w:rPr>
      </w:pPr>
      <w:r w:rsidRPr="009072DA">
        <w:rPr>
          <w:b/>
          <w:lang w:val="bg-BG"/>
        </w:rPr>
        <w:t>1.2</w:t>
      </w:r>
      <w:r w:rsidRPr="009072DA">
        <w:rPr>
          <w:lang w:val="bg-BG"/>
        </w:rPr>
        <w:tab/>
        <w:t>Разрешаване за специална котва е възможно само ако установеното намаление на масата на котвата е най-малко 15 %.</w:t>
      </w:r>
    </w:p>
    <w:p w:rsidR="004F47BB" w:rsidRPr="009072DA" w:rsidRDefault="004F47BB" w:rsidP="004F47BB">
      <w:pPr>
        <w:overflowPunct w:val="0"/>
        <w:adjustRightInd w:val="0"/>
        <w:spacing w:line="240" w:lineRule="atLeast"/>
        <w:ind w:left="567" w:hanging="567"/>
        <w:textAlignment w:val="baseline"/>
        <w:rPr>
          <w:szCs w:val="20"/>
          <w:lang w:val="bg-BG"/>
        </w:rPr>
      </w:pPr>
    </w:p>
    <w:p w:rsidR="004F47BB" w:rsidRPr="009072DA" w:rsidRDefault="004F47BB" w:rsidP="004F47BB">
      <w:pPr>
        <w:overflowPunct w:val="0"/>
        <w:adjustRightInd w:val="0"/>
        <w:spacing w:line="240" w:lineRule="atLeast"/>
        <w:ind w:left="567" w:hanging="567"/>
        <w:textAlignment w:val="baseline"/>
        <w:rPr>
          <w:szCs w:val="20"/>
          <w:lang w:val="bg-BG"/>
        </w:rPr>
      </w:pPr>
      <w:r w:rsidRPr="009072DA">
        <w:rPr>
          <w:b/>
          <w:lang w:val="bg-BG"/>
        </w:rPr>
        <w:t>1.3</w:t>
      </w:r>
      <w:r w:rsidRPr="009072DA">
        <w:rPr>
          <w:lang w:val="bg-BG"/>
        </w:rPr>
        <w:tab/>
        <w:t>Заявления за разрешение за специална котва в съответствие с точка 1.1 се подава до компетентния орган на държава членка. Десет екземпляра от следните документи се изпращат заедно с всяко заявление:</w:t>
      </w:r>
    </w:p>
    <w:p w:rsidR="004F47BB" w:rsidRPr="009072DA" w:rsidRDefault="004F47BB" w:rsidP="004F47BB">
      <w:pPr>
        <w:tabs>
          <w:tab w:val="left" w:pos="992"/>
        </w:tabs>
        <w:overflowPunct w:val="0"/>
        <w:adjustRightInd w:val="0"/>
        <w:spacing w:before="60" w:line="240" w:lineRule="atLeast"/>
        <w:ind w:left="992"/>
        <w:textAlignment w:val="baseline"/>
        <w:rPr>
          <w:szCs w:val="20"/>
          <w:lang w:val="bg-BG"/>
        </w:rPr>
      </w:pPr>
      <w:r w:rsidRPr="009072DA">
        <w:rPr>
          <w:lang w:val="bg-BG"/>
        </w:rPr>
        <w:t>a)</w:t>
      </w:r>
      <w:r w:rsidRPr="009072DA">
        <w:rPr>
          <w:lang w:val="bg-BG"/>
        </w:rPr>
        <w:tab/>
        <w:t>записка, съдържаща размерите и масата на специалната котва, като се посочат основните размери и типовото означение на всеки съществуващ размер котва;</w:t>
      </w:r>
    </w:p>
    <w:p w:rsidR="004F47BB" w:rsidRPr="009072DA" w:rsidRDefault="004F47BB" w:rsidP="004F47BB">
      <w:pPr>
        <w:tabs>
          <w:tab w:val="left" w:pos="992"/>
        </w:tabs>
        <w:overflowPunct w:val="0"/>
        <w:adjustRightInd w:val="0"/>
        <w:spacing w:before="60" w:line="240" w:lineRule="atLeast"/>
        <w:ind w:left="992"/>
        <w:textAlignment w:val="baseline"/>
        <w:rPr>
          <w:szCs w:val="20"/>
          <w:lang w:val="bg-BG"/>
        </w:rPr>
      </w:pPr>
      <w:r w:rsidRPr="009072DA">
        <w:rPr>
          <w:lang w:val="bg-BG"/>
        </w:rPr>
        <w:t>б)</w:t>
      </w:r>
      <w:r w:rsidRPr="009072DA">
        <w:rPr>
          <w:lang w:val="bg-BG"/>
        </w:rPr>
        <w:tab/>
        <w:t xml:space="preserve">диаграма на спирачната сила за еталонната котва </w:t>
      </w:r>
      <m:oMath>
        <m:r>
          <w:rPr>
            <w:rFonts w:ascii="Cambria Math" w:hAnsi="Cambria Math"/>
            <w:szCs w:val="20"/>
            <w:lang w:val="bg-BG"/>
          </w:rPr>
          <m:t>A</m:t>
        </m:r>
      </m:oMath>
      <w:r w:rsidRPr="009072DA">
        <w:rPr>
          <w:lang w:val="bg-BG"/>
        </w:rPr>
        <w:t xml:space="preserve"> (в съответствие с точка 2.2) и специалната котва </w:t>
      </w:r>
      <m:oMath>
        <m:r>
          <w:rPr>
            <w:rFonts w:ascii="Cambria Math" w:hAnsi="Cambria Math"/>
            <w:szCs w:val="20"/>
            <w:lang w:val="bg-BG"/>
          </w:rPr>
          <m:t>B</m:t>
        </m:r>
      </m:oMath>
      <w:r w:rsidRPr="009072DA">
        <w:rPr>
          <w:lang w:val="bg-BG"/>
        </w:rPr>
        <w:t>, която трябва да получи разрешение, изготвена и оценена от организация, определена от компетентния орган.</w:t>
      </w:r>
    </w:p>
    <w:p w:rsidR="004F47BB" w:rsidRPr="009072DA" w:rsidRDefault="004F47BB" w:rsidP="004F47BB">
      <w:pPr>
        <w:overflowPunct w:val="0"/>
        <w:adjustRightInd w:val="0"/>
        <w:spacing w:line="240" w:lineRule="atLeast"/>
        <w:ind w:left="567" w:hanging="567"/>
        <w:textAlignment w:val="baseline"/>
        <w:rPr>
          <w:szCs w:val="20"/>
          <w:lang w:val="bg-BG"/>
        </w:rPr>
      </w:pPr>
    </w:p>
    <w:p w:rsidR="004F47BB" w:rsidRPr="009072DA" w:rsidRDefault="004F47BB" w:rsidP="004F47BB">
      <w:pPr>
        <w:overflowPunct w:val="0"/>
        <w:adjustRightInd w:val="0"/>
        <w:spacing w:line="240" w:lineRule="atLeast"/>
        <w:ind w:left="567" w:hanging="567"/>
        <w:textAlignment w:val="baseline"/>
        <w:rPr>
          <w:szCs w:val="20"/>
          <w:lang w:val="bg-BG"/>
        </w:rPr>
      </w:pPr>
      <w:r w:rsidRPr="009072DA">
        <w:rPr>
          <w:b/>
          <w:lang w:val="bg-BG"/>
        </w:rPr>
        <w:t>1.4</w:t>
      </w:r>
      <w:r w:rsidRPr="009072DA">
        <w:rPr>
          <w:lang w:val="bg-BG"/>
        </w:rPr>
        <w:tab/>
        <w:t xml:space="preserve">Компетентният орган уведомява Европейския комитет за изготвяне на стандарти за вътрешното корабоплаване (CESNI) за всички заявления за намаляване на масата на котва, които възнамерява да разреши, след като проведе изпитване. </w:t>
      </w:r>
    </w:p>
    <w:p w:rsidR="004F47BB" w:rsidRPr="009072DA" w:rsidRDefault="004F47BB" w:rsidP="004F47BB">
      <w:pPr>
        <w:overflowPunct w:val="0"/>
        <w:adjustRightInd w:val="0"/>
        <w:spacing w:line="240" w:lineRule="atLeast"/>
        <w:ind w:left="567" w:hanging="567"/>
        <w:textAlignment w:val="baseline"/>
        <w:rPr>
          <w:szCs w:val="20"/>
          <w:lang w:val="bg-BG"/>
        </w:rPr>
      </w:pPr>
    </w:p>
    <w:p w:rsidR="004F47BB" w:rsidRPr="009072DA" w:rsidRDefault="004F47BB" w:rsidP="004F47BB">
      <w:pPr>
        <w:overflowPunct w:val="0"/>
        <w:adjustRightInd w:val="0"/>
        <w:spacing w:line="240" w:lineRule="atLeast"/>
        <w:ind w:left="567" w:hanging="567"/>
        <w:textAlignment w:val="baseline"/>
        <w:rPr>
          <w:szCs w:val="20"/>
          <w:lang w:val="bg-BG"/>
        </w:rPr>
      </w:pPr>
    </w:p>
    <w:p w:rsidR="004F47BB" w:rsidRPr="009072DA" w:rsidRDefault="004F47BB" w:rsidP="004F47BB">
      <w:pPr>
        <w:overflowPunct w:val="0"/>
        <w:adjustRightInd w:val="0"/>
        <w:spacing w:line="240" w:lineRule="atLeast"/>
        <w:ind w:left="567" w:hanging="567"/>
        <w:textAlignment w:val="baseline"/>
        <w:rPr>
          <w:b/>
          <w:szCs w:val="20"/>
          <w:lang w:val="bg-BG"/>
        </w:rPr>
      </w:pPr>
      <w:r w:rsidRPr="009072DA">
        <w:rPr>
          <w:b/>
          <w:lang w:val="bg-BG"/>
        </w:rPr>
        <w:t>2.</w:t>
      </w:r>
      <w:r w:rsidRPr="009072DA">
        <w:rPr>
          <w:lang w:val="bg-BG"/>
        </w:rPr>
        <w:tab/>
      </w:r>
      <w:r w:rsidRPr="009072DA">
        <w:rPr>
          <w:b/>
          <w:lang w:val="bg-BG"/>
        </w:rPr>
        <w:t>Глава 2 — Процедура на изпитване</w:t>
      </w:r>
    </w:p>
    <w:p w:rsidR="004F47BB" w:rsidRPr="009072DA" w:rsidRDefault="004F47BB" w:rsidP="004F47BB">
      <w:pPr>
        <w:overflowPunct w:val="0"/>
        <w:adjustRightInd w:val="0"/>
        <w:spacing w:line="240" w:lineRule="atLeast"/>
        <w:ind w:left="567" w:hanging="567"/>
        <w:textAlignment w:val="baseline"/>
        <w:rPr>
          <w:b/>
          <w:szCs w:val="20"/>
          <w:lang w:val="bg-BG"/>
        </w:rPr>
      </w:pPr>
    </w:p>
    <w:p w:rsidR="004F47BB" w:rsidRPr="009072DA" w:rsidRDefault="004F47BB" w:rsidP="004F47BB">
      <w:pPr>
        <w:overflowPunct w:val="0"/>
        <w:adjustRightInd w:val="0"/>
        <w:spacing w:line="240" w:lineRule="atLeast"/>
        <w:ind w:left="567" w:hanging="567"/>
        <w:textAlignment w:val="baseline"/>
        <w:rPr>
          <w:szCs w:val="20"/>
          <w:lang w:val="bg-BG"/>
        </w:rPr>
      </w:pPr>
      <w:r w:rsidRPr="009072DA">
        <w:rPr>
          <w:b/>
          <w:lang w:val="bg-BG"/>
        </w:rPr>
        <w:t>2.1</w:t>
      </w:r>
      <w:r w:rsidRPr="009072DA">
        <w:rPr>
          <w:lang w:val="bg-BG"/>
        </w:rPr>
        <w:tab/>
        <w:t xml:space="preserve">Диаграмите на спирачната сила в съответствие с точка 1.3 трябва да показват спирачните усилия като функция на скоростта за еталонната котва </w:t>
      </w:r>
      <m:oMath>
        <m:r>
          <w:rPr>
            <w:rFonts w:ascii="Cambria Math" w:hAnsi="Cambria Math"/>
            <w:szCs w:val="20"/>
            <w:lang w:val="bg-BG"/>
          </w:rPr>
          <m:t>A</m:t>
        </m:r>
      </m:oMath>
      <w:r w:rsidRPr="009072DA">
        <w:rPr>
          <w:lang w:val="bg-BG"/>
        </w:rPr>
        <w:t xml:space="preserve"> и специалната котва </w:t>
      </w:r>
      <m:oMath>
        <m:r>
          <w:rPr>
            <w:rFonts w:ascii="Cambria Math" w:hAnsi="Cambria Math"/>
            <w:szCs w:val="20"/>
            <w:lang w:val="bg-BG"/>
          </w:rPr>
          <m:t>B</m:t>
        </m:r>
      </m:oMath>
      <w:r w:rsidRPr="009072DA">
        <w:rPr>
          <w:lang w:val="bg-BG"/>
        </w:rPr>
        <w:t>, която трябва да получи разрешение, въз основа на изпитванията в съответствие с точки от 2.2 до 2.5 по-долу. Приложение 1 показва едно възможно изпитване на спирачната сила.</w:t>
      </w:r>
    </w:p>
    <w:p w:rsidR="004F47BB" w:rsidRPr="009072DA" w:rsidRDefault="004F47BB" w:rsidP="004F47BB">
      <w:pPr>
        <w:overflowPunct w:val="0"/>
        <w:adjustRightInd w:val="0"/>
        <w:spacing w:line="240" w:lineRule="atLeast"/>
        <w:ind w:left="567" w:hanging="567"/>
        <w:textAlignment w:val="baseline"/>
        <w:rPr>
          <w:szCs w:val="20"/>
          <w:lang w:val="bg-BG"/>
        </w:rPr>
      </w:pPr>
    </w:p>
    <w:p w:rsidR="004F47BB" w:rsidRPr="009072DA" w:rsidRDefault="004F47BB" w:rsidP="004F47BB">
      <w:pPr>
        <w:overflowPunct w:val="0"/>
        <w:adjustRightInd w:val="0"/>
        <w:spacing w:line="240" w:lineRule="atLeast"/>
        <w:ind w:left="567" w:hanging="567"/>
        <w:textAlignment w:val="baseline"/>
        <w:rPr>
          <w:szCs w:val="20"/>
          <w:lang w:val="bg-BG"/>
        </w:rPr>
      </w:pPr>
    </w:p>
    <w:p w:rsidR="004F47BB" w:rsidRPr="009072DA" w:rsidRDefault="004F47BB" w:rsidP="004F47BB">
      <w:pPr>
        <w:overflowPunct w:val="0"/>
        <w:adjustRightInd w:val="0"/>
        <w:spacing w:line="240" w:lineRule="atLeast"/>
        <w:ind w:left="567" w:hanging="567"/>
        <w:textAlignment w:val="baseline"/>
        <w:rPr>
          <w:szCs w:val="20"/>
          <w:lang w:val="bg-BG"/>
        </w:rPr>
      </w:pPr>
      <w:r w:rsidRPr="009072DA">
        <w:rPr>
          <w:lang w:val="bg-BG"/>
        </w:rPr>
        <w:br w:type="page"/>
      </w:r>
    </w:p>
    <w:p w:rsidR="004F47BB" w:rsidRPr="009072DA" w:rsidRDefault="004F47BB" w:rsidP="004F47BB">
      <w:pPr>
        <w:overflowPunct w:val="0"/>
        <w:adjustRightInd w:val="0"/>
        <w:spacing w:line="240" w:lineRule="atLeast"/>
        <w:ind w:left="567" w:hanging="567"/>
        <w:textAlignment w:val="baseline"/>
        <w:rPr>
          <w:szCs w:val="20"/>
          <w:lang w:val="bg-BG"/>
        </w:rPr>
      </w:pPr>
      <w:r w:rsidRPr="009072DA">
        <w:rPr>
          <w:b/>
          <w:lang w:val="bg-BG"/>
        </w:rPr>
        <w:lastRenderedPageBreak/>
        <w:t>2.2</w:t>
      </w:r>
      <w:r w:rsidRPr="009072DA">
        <w:rPr>
          <w:lang w:val="bg-BG"/>
        </w:rPr>
        <w:tab/>
        <w:t xml:space="preserve">Използваната при изпитванията еталонна котва </w:t>
      </w:r>
      <m:oMath>
        <m:r>
          <w:rPr>
            <w:rFonts w:ascii="Cambria Math" w:hAnsi="Cambria Math"/>
            <w:szCs w:val="20"/>
            <w:lang w:val="bg-BG"/>
          </w:rPr>
          <m:t>A</m:t>
        </m:r>
      </m:oMath>
      <w:r w:rsidRPr="009072DA">
        <w:rPr>
          <w:lang w:val="bg-BG"/>
        </w:rPr>
        <w:t xml:space="preserve"> трябва да бъде обикновена сгъваема котва без щок, съответстваща на фигурата и подробностите, дадени по-долу, и с маса най-малко 400 kg.</w:t>
      </w:r>
    </w:p>
    <w:p w:rsidR="004F47BB" w:rsidRPr="009072DA" w:rsidRDefault="004F47BB" w:rsidP="004F47BB">
      <w:pPr>
        <w:overflowPunct w:val="0"/>
        <w:adjustRightInd w:val="0"/>
        <w:ind w:left="426" w:hanging="426"/>
        <w:textAlignment w:val="baseline"/>
        <w:rPr>
          <w:szCs w:val="20"/>
          <w:lang w:val="bg-BG"/>
        </w:rPr>
      </w:pPr>
    </w:p>
    <w:p w:rsidR="004F47BB" w:rsidRPr="009072DA" w:rsidRDefault="004F47BB" w:rsidP="004F47BB">
      <w:pPr>
        <w:overflowPunct w:val="0"/>
        <w:adjustRightInd w:val="0"/>
        <w:ind w:left="426" w:hanging="426"/>
        <w:textAlignment w:val="baseline"/>
        <w:rPr>
          <w:szCs w:val="20"/>
          <w:lang w:val="bg-BG"/>
        </w:rPr>
      </w:pPr>
      <w:r w:rsidRPr="009072DA">
        <w:rPr>
          <w:noProof/>
          <w:sz w:val="16"/>
          <w:szCs w:val="16"/>
          <w:lang w:eastAsia="en-GB"/>
        </w:rPr>
        <w:drawing>
          <wp:inline distT="0" distB="0" distL="0" distR="0" wp14:anchorId="652424F0" wp14:editId="36AA0998">
            <wp:extent cx="5962650" cy="2971800"/>
            <wp:effectExtent l="0" t="0" r="0" b="0"/>
            <wp:docPr id="302" name="Imag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962650" cy="2971800"/>
                    </a:xfrm>
                    <a:prstGeom prst="rect">
                      <a:avLst/>
                    </a:prstGeom>
                    <a:solidFill>
                      <a:srgbClr val="FFFFFF"/>
                    </a:solidFill>
                    <a:ln>
                      <a:noFill/>
                    </a:ln>
                  </pic:spPr>
                </pic:pic>
              </a:graphicData>
            </a:graphic>
          </wp:inline>
        </w:drawing>
      </w:r>
    </w:p>
    <w:p w:rsidR="004F47BB" w:rsidRPr="009072DA" w:rsidRDefault="004F47BB" w:rsidP="004F47BB">
      <w:pPr>
        <w:overflowPunct w:val="0"/>
        <w:adjustRightInd w:val="0"/>
        <w:ind w:left="426" w:hanging="426"/>
        <w:textAlignment w:val="baseline"/>
        <w:rPr>
          <w:szCs w:val="20"/>
          <w:lang w:val="bg-BG"/>
        </w:rPr>
      </w:pPr>
    </w:p>
    <w:p w:rsidR="004F47BB" w:rsidRPr="009072DA" w:rsidRDefault="004F47BB" w:rsidP="004F47BB">
      <w:pPr>
        <w:overflowPunct w:val="0"/>
        <w:adjustRightInd w:val="0"/>
        <w:ind w:left="567" w:hanging="567"/>
        <w:textAlignment w:val="baseline"/>
        <w:rPr>
          <w:szCs w:val="20"/>
          <w:lang w:val="bg-BG"/>
        </w:rPr>
      </w:pPr>
      <w:r w:rsidRPr="009072DA">
        <w:rPr>
          <w:lang w:val="bg-BG"/>
        </w:rPr>
        <w:tab/>
        <w:t>За дадените размери и маса важи допуск от ± 5 %. Площта на всяка лапа трябва обаче да е най-малко 0,15 m</w:t>
      </w:r>
      <w:r w:rsidRPr="009072DA">
        <w:rPr>
          <w:vertAlign w:val="superscript"/>
          <w:lang w:val="bg-BG"/>
        </w:rPr>
        <w:t>2</w:t>
      </w:r>
      <w:r w:rsidRPr="009072DA">
        <w:rPr>
          <w:lang w:val="bg-BG"/>
        </w:rPr>
        <w:t>.</w:t>
      </w:r>
    </w:p>
    <w:p w:rsidR="004F47BB" w:rsidRPr="009072DA" w:rsidRDefault="004F47BB" w:rsidP="004F47BB">
      <w:pPr>
        <w:overflowPunct w:val="0"/>
        <w:adjustRightInd w:val="0"/>
        <w:ind w:left="567" w:hanging="567"/>
        <w:textAlignment w:val="baseline"/>
        <w:rPr>
          <w:szCs w:val="20"/>
          <w:lang w:val="bg-BG"/>
        </w:rPr>
      </w:pPr>
    </w:p>
    <w:p w:rsidR="004F47BB" w:rsidRPr="009072DA" w:rsidRDefault="004F47BB" w:rsidP="004F47BB">
      <w:pPr>
        <w:overflowPunct w:val="0"/>
        <w:adjustRightInd w:val="0"/>
        <w:ind w:left="567" w:hanging="567"/>
        <w:textAlignment w:val="baseline"/>
        <w:rPr>
          <w:szCs w:val="20"/>
          <w:lang w:val="bg-BG"/>
        </w:rPr>
      </w:pPr>
      <w:r w:rsidRPr="009072DA">
        <w:rPr>
          <w:b/>
          <w:lang w:val="bg-BG"/>
        </w:rPr>
        <w:t>2.3</w:t>
      </w:r>
      <w:r w:rsidRPr="009072DA">
        <w:rPr>
          <w:lang w:val="bg-BG"/>
        </w:rPr>
        <w:tab/>
        <w:t xml:space="preserve">Масата на специалната котва B, използвана при изпитванията, не трябва да се отклонява с повече от 10 % от масата на еталонната котва </w:t>
      </w:r>
      <m:oMath>
        <m:r>
          <w:rPr>
            <w:rFonts w:ascii="Cambria Math" w:hAnsi="Cambria Math"/>
            <w:szCs w:val="20"/>
            <w:lang w:val="bg-BG"/>
          </w:rPr>
          <m:t>A</m:t>
        </m:r>
      </m:oMath>
      <w:r w:rsidRPr="009072DA">
        <w:rPr>
          <w:lang w:val="bg-BG"/>
        </w:rPr>
        <w:t>.  Ако отклоненията са по-големи, силите се преизчисляват пропорционално на масата.</w:t>
      </w:r>
    </w:p>
    <w:p w:rsidR="004F47BB" w:rsidRPr="009072DA" w:rsidRDefault="004F47BB" w:rsidP="004F47BB">
      <w:pPr>
        <w:overflowPunct w:val="0"/>
        <w:adjustRightInd w:val="0"/>
        <w:ind w:left="567" w:hanging="567"/>
        <w:textAlignment w:val="baseline"/>
        <w:rPr>
          <w:szCs w:val="20"/>
          <w:lang w:val="bg-BG"/>
        </w:rPr>
      </w:pPr>
    </w:p>
    <w:p w:rsidR="004F47BB" w:rsidRPr="009072DA" w:rsidRDefault="004F47BB" w:rsidP="004F47BB">
      <w:pPr>
        <w:overflowPunct w:val="0"/>
        <w:adjustRightInd w:val="0"/>
        <w:ind w:left="567" w:hanging="567"/>
        <w:textAlignment w:val="baseline"/>
        <w:rPr>
          <w:szCs w:val="20"/>
          <w:lang w:val="bg-BG"/>
        </w:rPr>
      </w:pPr>
      <w:r w:rsidRPr="009072DA">
        <w:rPr>
          <w:b/>
          <w:lang w:val="bg-BG"/>
        </w:rPr>
        <w:t>2.4</w:t>
      </w:r>
      <w:r w:rsidRPr="009072DA">
        <w:rPr>
          <w:lang w:val="bg-BG"/>
        </w:rPr>
        <w:tab/>
        <w:t>Диаграмите на спирачната сила трябва да представят скоростта (</w:t>
      </w:r>
      <m:oMath>
        <m:r>
          <w:rPr>
            <w:rFonts w:ascii="Cambria Math" w:hAnsi="Cambria Math"/>
            <w:szCs w:val="20"/>
            <w:lang w:val="bg-BG"/>
          </w:rPr>
          <m:t>v</m:t>
        </m:r>
      </m:oMath>
      <w:r w:rsidRPr="009072DA">
        <w:rPr>
          <w:lang w:val="bg-BG"/>
        </w:rPr>
        <w:t xml:space="preserve">) линейно в интервала от 0 до 5 km/h (скорост спрямо брега). За тази цел се провеждат три изпитвания в посока срещу течението за еталонната котва </w:t>
      </w:r>
      <m:oMath>
        <m:r>
          <w:rPr>
            <w:rFonts w:ascii="Cambria Math" w:hAnsi="Cambria Math"/>
            <w:szCs w:val="20"/>
            <w:lang w:val="bg-BG"/>
          </w:rPr>
          <m:t>A</m:t>
        </m:r>
      </m:oMath>
      <w:r w:rsidRPr="009072DA">
        <w:rPr>
          <w:lang w:val="bg-BG"/>
        </w:rPr>
        <w:t xml:space="preserve"> и специалната котва </w:t>
      </w:r>
      <m:oMath>
        <m:r>
          <w:rPr>
            <w:rFonts w:ascii="Cambria Math" w:hAnsi="Cambria Math"/>
            <w:szCs w:val="20"/>
            <w:lang w:val="bg-BG"/>
          </w:rPr>
          <m:t>B</m:t>
        </m:r>
      </m:oMath>
      <w:r w:rsidRPr="009072DA">
        <w:rPr>
          <w:lang w:val="bg-BG"/>
        </w:rPr>
        <w:t>, като се редуват на всяка от двете отсечки от реката, определени от компетентния орган, едната с чакъл, другата с фин пясък. По река Рейн отсечката между километър 401 и километър 402 може да служи като еталонна отсечка за изпитванията с чакъл, а отсечката между километър 480 и километър 481 — за изпитванията с фин пясък.</w:t>
      </w:r>
    </w:p>
    <w:p w:rsidR="004F47BB" w:rsidRPr="009072DA" w:rsidRDefault="004F47BB" w:rsidP="004F47BB">
      <w:pPr>
        <w:overflowPunct w:val="0"/>
        <w:adjustRightInd w:val="0"/>
        <w:ind w:left="567" w:hanging="567"/>
        <w:textAlignment w:val="baseline"/>
        <w:rPr>
          <w:szCs w:val="20"/>
          <w:lang w:val="bg-BG"/>
        </w:rPr>
      </w:pPr>
    </w:p>
    <w:p w:rsidR="004F47BB" w:rsidRPr="009072DA" w:rsidRDefault="004F47BB" w:rsidP="004F47BB">
      <w:pPr>
        <w:overflowPunct w:val="0"/>
        <w:adjustRightInd w:val="0"/>
        <w:ind w:left="567" w:hanging="567"/>
        <w:textAlignment w:val="baseline"/>
        <w:rPr>
          <w:szCs w:val="20"/>
          <w:lang w:val="bg-BG"/>
        </w:rPr>
      </w:pPr>
      <w:r w:rsidRPr="009072DA">
        <w:rPr>
          <w:b/>
          <w:lang w:val="bg-BG"/>
        </w:rPr>
        <w:t>2.5</w:t>
      </w:r>
      <w:r w:rsidRPr="009072DA">
        <w:rPr>
          <w:lang w:val="bg-BG"/>
        </w:rPr>
        <w:tab/>
        <w:t>За всяко изпитване изпитваната котва се влачи с плетено стоманено въже с дължина между точките на свързване към котвата и към влачещото плавателно средство или устройство 10 пъти по-голяма от височината на точката на свързване към плавателното средство над дъното на закотвяне.</w:t>
      </w:r>
    </w:p>
    <w:p w:rsidR="004F47BB" w:rsidRPr="009072DA" w:rsidRDefault="004F47BB" w:rsidP="004F47BB">
      <w:pPr>
        <w:overflowPunct w:val="0"/>
        <w:adjustRightInd w:val="0"/>
        <w:ind w:left="567" w:hanging="567"/>
        <w:textAlignment w:val="baseline"/>
        <w:rPr>
          <w:szCs w:val="20"/>
          <w:lang w:val="bg-BG"/>
        </w:rPr>
      </w:pPr>
    </w:p>
    <w:p w:rsidR="004F47BB" w:rsidRPr="009072DA" w:rsidRDefault="004F47BB" w:rsidP="004F47BB">
      <w:pPr>
        <w:overflowPunct w:val="0"/>
        <w:adjustRightInd w:val="0"/>
        <w:ind w:left="567" w:hanging="567"/>
        <w:textAlignment w:val="baseline"/>
        <w:rPr>
          <w:szCs w:val="20"/>
          <w:lang w:val="bg-BG"/>
        </w:rPr>
      </w:pPr>
      <w:r w:rsidRPr="009072DA">
        <w:rPr>
          <w:lang w:val="bg-BG"/>
        </w:rPr>
        <w:br w:type="page"/>
      </w:r>
    </w:p>
    <w:p w:rsidR="004F47BB" w:rsidRPr="009072DA" w:rsidRDefault="004F47BB" w:rsidP="004F47BB">
      <w:pPr>
        <w:overflowPunct w:val="0"/>
        <w:adjustRightInd w:val="0"/>
        <w:ind w:left="567" w:hanging="567"/>
        <w:textAlignment w:val="baseline"/>
        <w:rPr>
          <w:szCs w:val="20"/>
          <w:lang w:val="bg-BG"/>
        </w:rPr>
      </w:pPr>
      <w:r w:rsidRPr="009072DA">
        <w:rPr>
          <w:b/>
          <w:lang w:val="bg-BG"/>
        </w:rPr>
        <w:lastRenderedPageBreak/>
        <w:t>2.6</w:t>
      </w:r>
      <w:r w:rsidRPr="009072DA">
        <w:rPr>
          <w:lang w:val="bg-BG"/>
        </w:rPr>
        <w:tab/>
        <w:t>Процентът на намаляване на масата на котвата се изчислява по следната формула:</w:t>
      </w:r>
    </w:p>
    <w:p w:rsidR="004F47BB" w:rsidRPr="009072DA" w:rsidRDefault="004F47BB" w:rsidP="004F47BB">
      <w:pPr>
        <w:tabs>
          <w:tab w:val="left" w:pos="567"/>
        </w:tabs>
        <w:overflowPunct w:val="0"/>
        <w:adjustRightInd w:val="0"/>
        <w:ind w:left="567" w:hanging="567"/>
        <w:textAlignment w:val="baseline"/>
        <w:rPr>
          <w:szCs w:val="20"/>
          <w:lang w:val="bg-BG"/>
        </w:rPr>
      </w:pPr>
    </w:p>
    <w:p w:rsidR="004F47BB" w:rsidRPr="009072DA" w:rsidRDefault="004F47BB" w:rsidP="004F47BB">
      <w:pPr>
        <w:tabs>
          <w:tab w:val="left" w:pos="567"/>
        </w:tabs>
        <w:overflowPunct w:val="0"/>
        <w:adjustRightInd w:val="0"/>
        <w:ind w:left="284" w:hanging="426"/>
        <w:textAlignment w:val="baseline"/>
        <w:rPr>
          <w:szCs w:val="20"/>
          <w:lang w:val="bg-BG"/>
        </w:rPr>
      </w:pPr>
      <m:oMathPara>
        <m:oMath>
          <m:r>
            <w:rPr>
              <w:rFonts w:ascii="Cambria Math" w:hAnsi="Cambria Math"/>
              <w:szCs w:val="20"/>
              <w:lang w:val="bg-BG"/>
            </w:rPr>
            <m:t xml:space="preserve">r=75 ∙ </m:t>
          </m:r>
          <m:d>
            <m:dPr>
              <m:ctrlPr>
                <w:rPr>
                  <w:rFonts w:ascii="Cambria Math" w:hAnsi="Cambria Math"/>
                  <w:i/>
                  <w:szCs w:val="20"/>
                  <w:lang w:val="bg-BG"/>
                </w:rPr>
              </m:ctrlPr>
            </m:dPr>
            <m:e>
              <m:r>
                <w:rPr>
                  <w:rFonts w:ascii="Cambria Math" w:hAnsi="Cambria Math"/>
                  <w:szCs w:val="20"/>
                  <w:lang w:val="bg-BG"/>
                </w:rPr>
                <m:t xml:space="preserve">1-0,5  </m:t>
              </m:r>
              <m:f>
                <m:fPr>
                  <m:ctrlPr>
                    <w:rPr>
                      <w:rFonts w:ascii="Cambria Math" w:hAnsi="Cambria Math"/>
                      <w:i/>
                      <w:szCs w:val="20"/>
                      <w:lang w:val="bg-BG"/>
                    </w:rPr>
                  </m:ctrlPr>
                </m:fPr>
                <m:num>
                  <m:r>
                    <w:rPr>
                      <w:rFonts w:ascii="Cambria Math" w:hAnsi="Cambria Math"/>
                      <w:szCs w:val="20"/>
                      <w:lang w:val="bg-BG"/>
                    </w:rPr>
                    <m:t>PB</m:t>
                  </m:r>
                </m:num>
                <m:den>
                  <m:r>
                    <w:rPr>
                      <w:rFonts w:ascii="Cambria Math" w:hAnsi="Cambria Math"/>
                      <w:szCs w:val="20"/>
                      <w:lang w:val="bg-BG"/>
                    </w:rPr>
                    <m:t>PA</m:t>
                  </m:r>
                </m:den>
              </m:f>
              <m:r>
                <w:rPr>
                  <w:rFonts w:ascii="Cambria Math" w:hAnsi="Cambria Math"/>
                  <w:szCs w:val="20"/>
                  <w:lang w:val="bg-BG"/>
                </w:rPr>
                <m:t xml:space="preserve"> </m:t>
              </m:r>
              <m:d>
                <m:dPr>
                  <m:ctrlPr>
                    <w:rPr>
                      <w:rFonts w:ascii="Cambria Math" w:hAnsi="Cambria Math"/>
                      <w:i/>
                      <w:szCs w:val="20"/>
                      <w:lang w:val="bg-BG"/>
                    </w:rPr>
                  </m:ctrlPr>
                </m:dPr>
                <m:e>
                  <m:f>
                    <m:fPr>
                      <m:ctrlPr>
                        <w:rPr>
                          <w:rFonts w:ascii="Cambria Math" w:hAnsi="Cambria Math"/>
                          <w:i/>
                          <w:szCs w:val="20"/>
                          <w:lang w:val="bg-BG"/>
                        </w:rPr>
                      </m:ctrlPr>
                    </m:fPr>
                    <m:num>
                      <m:r>
                        <w:rPr>
                          <w:rFonts w:ascii="Cambria Math" w:hAnsi="Cambria Math"/>
                          <w:szCs w:val="20"/>
                          <w:lang w:val="bg-BG"/>
                        </w:rPr>
                        <m:t>FA</m:t>
                      </m:r>
                    </m:num>
                    <m:den>
                      <m:r>
                        <w:rPr>
                          <w:rFonts w:ascii="Cambria Math" w:hAnsi="Cambria Math"/>
                          <w:szCs w:val="20"/>
                          <w:lang w:val="bg-BG"/>
                        </w:rPr>
                        <m:t>FB</m:t>
                      </m:r>
                    </m:den>
                  </m:f>
                  <m:r>
                    <w:rPr>
                      <w:rFonts w:ascii="Cambria Math" w:hAnsi="Cambria Math"/>
                      <w:szCs w:val="20"/>
                      <w:lang w:val="bg-BG"/>
                    </w:rPr>
                    <m:t xml:space="preserve">+ </m:t>
                  </m:r>
                  <m:f>
                    <m:fPr>
                      <m:ctrlPr>
                        <w:rPr>
                          <w:rFonts w:ascii="Cambria Math" w:hAnsi="Cambria Math"/>
                          <w:i/>
                          <w:szCs w:val="20"/>
                          <w:lang w:val="bg-BG"/>
                        </w:rPr>
                      </m:ctrlPr>
                    </m:fPr>
                    <m:num>
                      <m:r>
                        <w:rPr>
                          <w:rFonts w:ascii="Cambria Math" w:hAnsi="Cambria Math"/>
                          <w:szCs w:val="20"/>
                          <w:lang w:val="bg-BG"/>
                        </w:rPr>
                        <m:t>AA</m:t>
                      </m:r>
                    </m:num>
                    <m:den>
                      <m:r>
                        <w:rPr>
                          <w:rFonts w:ascii="Cambria Math" w:hAnsi="Cambria Math"/>
                          <w:szCs w:val="20"/>
                          <w:lang w:val="bg-BG"/>
                        </w:rPr>
                        <m:t>AB</m:t>
                      </m:r>
                    </m:den>
                  </m:f>
                </m:e>
              </m:d>
            </m:e>
          </m:d>
          <m:r>
            <w:rPr>
              <w:rFonts w:ascii="Cambria Math" w:hAnsi="Cambria Math"/>
              <w:szCs w:val="20"/>
              <w:lang w:val="bg-BG"/>
            </w:rPr>
            <m:t xml:space="preserve"> </m:t>
          </m:r>
          <m:d>
            <m:dPr>
              <m:begChr m:val="["/>
              <m:endChr m:val="]"/>
              <m:ctrlPr>
                <w:rPr>
                  <w:rFonts w:ascii="Cambria Math" w:hAnsi="Cambria Math"/>
                  <w:i/>
                  <w:szCs w:val="20"/>
                  <w:lang w:val="bg-BG"/>
                </w:rPr>
              </m:ctrlPr>
            </m:dPr>
            <m:e>
              <m:r>
                <w:rPr>
                  <w:rFonts w:ascii="Cambria Math" w:hAnsi="Cambria Math"/>
                  <w:szCs w:val="20"/>
                  <w:lang w:val="bg-BG"/>
                </w:rPr>
                <m:t>%</m:t>
              </m:r>
            </m:e>
          </m:d>
        </m:oMath>
      </m:oMathPara>
    </w:p>
    <w:p w:rsidR="004F47BB" w:rsidRPr="009072DA" w:rsidRDefault="004F47BB" w:rsidP="004F47BB">
      <w:pPr>
        <w:tabs>
          <w:tab w:val="left" w:pos="567"/>
        </w:tabs>
        <w:overflowPunct w:val="0"/>
        <w:adjustRightInd w:val="0"/>
        <w:ind w:left="284" w:hanging="426"/>
        <w:textAlignment w:val="baseline"/>
        <w:rPr>
          <w:szCs w:val="20"/>
          <w:lang w:val="bg-BG"/>
        </w:rPr>
      </w:pPr>
    </w:p>
    <w:p w:rsidR="004F47BB" w:rsidRPr="009072DA" w:rsidRDefault="004F47BB" w:rsidP="004F47BB">
      <w:pPr>
        <w:tabs>
          <w:tab w:val="left" w:pos="567"/>
        </w:tabs>
        <w:overflowPunct w:val="0"/>
        <w:adjustRightInd w:val="0"/>
        <w:ind w:left="567"/>
        <w:textAlignment w:val="baseline"/>
        <w:rPr>
          <w:szCs w:val="20"/>
          <w:lang w:val="bg-BG"/>
        </w:rPr>
      </w:pPr>
      <w:r w:rsidRPr="009072DA">
        <w:rPr>
          <w:lang w:val="bg-BG"/>
        </w:rPr>
        <w:t>където</w:t>
      </w:r>
    </w:p>
    <w:p w:rsidR="004F47BB" w:rsidRPr="009072DA" w:rsidRDefault="004F47BB" w:rsidP="004F47BB">
      <w:pPr>
        <w:tabs>
          <w:tab w:val="left" w:pos="567"/>
        </w:tabs>
        <w:overflowPunct w:val="0"/>
        <w:adjustRightInd w:val="0"/>
        <w:ind w:left="567"/>
        <w:textAlignment w:val="baseline"/>
        <w:rPr>
          <w:szCs w:val="20"/>
          <w:lang w:val="bg-BG"/>
        </w:rPr>
      </w:pPr>
    </w:p>
    <w:p w:rsidR="004F47BB" w:rsidRPr="009072DA" w:rsidRDefault="004F47BB" w:rsidP="004F47BB">
      <w:pPr>
        <w:tabs>
          <w:tab w:val="left" w:pos="1134"/>
          <w:tab w:val="left" w:pos="1559"/>
        </w:tabs>
        <w:overflowPunct w:val="0"/>
        <w:adjustRightInd w:val="0"/>
        <w:spacing w:before="60"/>
        <w:ind w:left="1559" w:hanging="992"/>
        <w:textAlignment w:val="baseline"/>
        <w:rPr>
          <w:szCs w:val="20"/>
          <w:lang w:val="bg-BG"/>
        </w:rPr>
      </w:pPr>
      <m:oMath>
        <m:r>
          <w:rPr>
            <w:rFonts w:ascii="Cambria Math" w:hAnsi="Cambria Math"/>
            <w:szCs w:val="20"/>
            <w:lang w:val="bg-BG"/>
          </w:rPr>
          <m:t>r</m:t>
        </m:r>
      </m:oMath>
      <w:r w:rsidRPr="009072DA">
        <w:rPr>
          <w:lang w:val="bg-BG"/>
        </w:rPr>
        <w:tab/>
        <w:t>=</w:t>
      </w:r>
      <w:r w:rsidRPr="009072DA">
        <w:rPr>
          <w:lang w:val="bg-BG"/>
        </w:rPr>
        <w:tab/>
        <w:t xml:space="preserve">процент на намаляване на масата на специалната котва </w:t>
      </w:r>
      <m:oMath>
        <m:r>
          <w:rPr>
            <w:rFonts w:ascii="Cambria Math" w:hAnsi="Cambria Math"/>
            <w:szCs w:val="20"/>
            <w:lang w:val="bg-BG"/>
          </w:rPr>
          <m:t>B</m:t>
        </m:r>
      </m:oMath>
      <w:r w:rsidRPr="009072DA">
        <w:rPr>
          <w:lang w:val="bg-BG"/>
        </w:rPr>
        <w:t xml:space="preserve"> спрямо еталонната котва </w:t>
      </w:r>
      <m:oMath>
        <m:r>
          <w:rPr>
            <w:rFonts w:ascii="Cambria Math" w:hAnsi="Cambria Math"/>
            <w:szCs w:val="20"/>
            <w:lang w:val="bg-BG"/>
          </w:rPr>
          <m:t>A</m:t>
        </m:r>
      </m:oMath>
      <w:r w:rsidRPr="009072DA">
        <w:rPr>
          <w:lang w:val="bg-BG"/>
        </w:rPr>
        <w:t>;</w:t>
      </w:r>
    </w:p>
    <w:p w:rsidR="004F47BB" w:rsidRPr="009072DA" w:rsidRDefault="004F47BB" w:rsidP="004F47BB">
      <w:pPr>
        <w:tabs>
          <w:tab w:val="left" w:pos="1134"/>
          <w:tab w:val="left" w:pos="1559"/>
        </w:tabs>
        <w:overflowPunct w:val="0"/>
        <w:adjustRightInd w:val="0"/>
        <w:spacing w:before="60"/>
        <w:ind w:left="1559" w:hanging="992"/>
        <w:textAlignment w:val="baseline"/>
        <w:rPr>
          <w:szCs w:val="20"/>
          <w:lang w:val="bg-BG"/>
        </w:rPr>
      </w:pPr>
      <m:oMath>
        <m:r>
          <w:rPr>
            <w:rFonts w:ascii="Cambria Math" w:hAnsi="Cambria Math"/>
            <w:szCs w:val="20"/>
            <w:lang w:val="bg-BG"/>
          </w:rPr>
          <m:t>PA</m:t>
        </m:r>
      </m:oMath>
      <w:r w:rsidRPr="009072DA">
        <w:rPr>
          <w:lang w:val="bg-BG"/>
        </w:rPr>
        <w:tab/>
        <w:t>=</w:t>
      </w:r>
      <w:r w:rsidRPr="009072DA">
        <w:rPr>
          <w:lang w:val="bg-BG"/>
        </w:rPr>
        <w:tab/>
        <w:t xml:space="preserve">масата на еталонната котва </w:t>
      </w:r>
      <m:oMath>
        <m:r>
          <w:rPr>
            <w:rFonts w:ascii="Cambria Math" w:hAnsi="Cambria Math"/>
            <w:szCs w:val="20"/>
            <w:lang w:val="bg-BG"/>
          </w:rPr>
          <m:t>A</m:t>
        </m:r>
      </m:oMath>
      <w:r w:rsidRPr="009072DA">
        <w:rPr>
          <w:lang w:val="bg-BG"/>
        </w:rPr>
        <w:t>;</w:t>
      </w:r>
    </w:p>
    <w:p w:rsidR="004F47BB" w:rsidRPr="009072DA" w:rsidRDefault="004F47BB" w:rsidP="004F47BB">
      <w:pPr>
        <w:tabs>
          <w:tab w:val="left" w:pos="1134"/>
          <w:tab w:val="left" w:pos="1559"/>
        </w:tabs>
        <w:overflowPunct w:val="0"/>
        <w:adjustRightInd w:val="0"/>
        <w:spacing w:before="60"/>
        <w:ind w:left="1559" w:hanging="992"/>
        <w:textAlignment w:val="baseline"/>
        <w:rPr>
          <w:szCs w:val="20"/>
          <w:lang w:val="bg-BG"/>
        </w:rPr>
      </w:pPr>
      <m:oMath>
        <m:r>
          <w:rPr>
            <w:rFonts w:ascii="Cambria Math" w:hAnsi="Cambria Math"/>
            <w:szCs w:val="20"/>
            <w:lang w:val="bg-BG"/>
          </w:rPr>
          <m:t>PB</m:t>
        </m:r>
      </m:oMath>
      <w:r w:rsidRPr="009072DA">
        <w:rPr>
          <w:lang w:val="bg-BG"/>
        </w:rPr>
        <w:tab/>
        <w:t>=</w:t>
      </w:r>
      <w:r w:rsidRPr="009072DA">
        <w:rPr>
          <w:lang w:val="bg-BG"/>
        </w:rPr>
        <w:tab/>
        <w:t xml:space="preserve">масата на специалната котва </w:t>
      </w:r>
      <m:oMath>
        <m:r>
          <w:rPr>
            <w:rFonts w:ascii="Cambria Math" w:hAnsi="Cambria Math"/>
            <w:szCs w:val="20"/>
            <w:lang w:val="bg-BG"/>
          </w:rPr>
          <m:t>B</m:t>
        </m:r>
      </m:oMath>
      <w:r w:rsidRPr="009072DA">
        <w:rPr>
          <w:lang w:val="bg-BG"/>
        </w:rPr>
        <w:t>;</w:t>
      </w:r>
    </w:p>
    <w:p w:rsidR="004F47BB" w:rsidRPr="009072DA" w:rsidRDefault="004F47BB" w:rsidP="004F47BB">
      <w:pPr>
        <w:tabs>
          <w:tab w:val="left" w:pos="1134"/>
          <w:tab w:val="left" w:pos="1559"/>
        </w:tabs>
        <w:overflowPunct w:val="0"/>
        <w:adjustRightInd w:val="0"/>
        <w:spacing w:before="60"/>
        <w:ind w:left="1559" w:hanging="992"/>
        <w:textAlignment w:val="baseline"/>
        <w:rPr>
          <w:szCs w:val="20"/>
          <w:lang w:val="bg-BG"/>
        </w:rPr>
      </w:pPr>
      <m:oMath>
        <m:r>
          <w:rPr>
            <w:rFonts w:ascii="Cambria Math" w:hAnsi="Cambria Math"/>
            <w:szCs w:val="20"/>
            <w:lang w:val="bg-BG"/>
          </w:rPr>
          <m:t>FA</m:t>
        </m:r>
      </m:oMath>
      <w:r w:rsidRPr="009072DA">
        <w:rPr>
          <w:lang w:val="bg-BG"/>
        </w:rPr>
        <w:tab/>
        <w:t>=</w:t>
      </w:r>
      <w:r w:rsidRPr="009072DA">
        <w:rPr>
          <w:lang w:val="bg-BG"/>
        </w:rPr>
        <w:tab/>
        <w:t xml:space="preserve">задържаща сила на еталонната котва </w:t>
      </w:r>
      <m:oMath>
        <m:r>
          <w:rPr>
            <w:rFonts w:ascii="Cambria Math" w:hAnsi="Cambria Math"/>
            <w:szCs w:val="20"/>
            <w:lang w:val="bg-BG"/>
          </w:rPr>
          <m:t>A</m:t>
        </m:r>
      </m:oMath>
      <w:r w:rsidRPr="009072DA">
        <w:rPr>
          <w:lang w:val="bg-BG"/>
        </w:rPr>
        <w:t xml:space="preserve"> при </w:t>
      </w:r>
      <m:oMath>
        <m:r>
          <w:rPr>
            <w:rFonts w:ascii="Cambria Math" w:hAnsi="Cambria Math"/>
            <w:szCs w:val="20"/>
            <w:lang w:val="bg-BG"/>
          </w:rPr>
          <m:t>v</m:t>
        </m:r>
      </m:oMath>
      <w:r w:rsidRPr="009072DA">
        <w:rPr>
          <w:lang w:val="bg-BG"/>
        </w:rPr>
        <w:t xml:space="preserve"> = 0,5 km/h;</w:t>
      </w:r>
    </w:p>
    <w:p w:rsidR="004F47BB" w:rsidRPr="009072DA" w:rsidRDefault="004F47BB" w:rsidP="004F47BB">
      <w:pPr>
        <w:tabs>
          <w:tab w:val="left" w:pos="1134"/>
          <w:tab w:val="left" w:pos="1559"/>
        </w:tabs>
        <w:overflowPunct w:val="0"/>
        <w:adjustRightInd w:val="0"/>
        <w:spacing w:before="60"/>
        <w:ind w:left="1559" w:hanging="992"/>
        <w:textAlignment w:val="baseline"/>
        <w:rPr>
          <w:szCs w:val="20"/>
          <w:lang w:val="bg-BG"/>
        </w:rPr>
      </w:pPr>
      <m:oMath>
        <m:r>
          <w:rPr>
            <w:rFonts w:ascii="Cambria Math" w:hAnsi="Cambria Math"/>
            <w:szCs w:val="20"/>
            <w:lang w:val="bg-BG"/>
          </w:rPr>
          <m:t>FB</m:t>
        </m:r>
      </m:oMath>
      <w:r w:rsidRPr="009072DA">
        <w:rPr>
          <w:lang w:val="bg-BG"/>
        </w:rPr>
        <w:tab/>
        <w:t>=</w:t>
      </w:r>
      <w:r w:rsidRPr="009072DA">
        <w:rPr>
          <w:lang w:val="bg-BG"/>
        </w:rPr>
        <w:tab/>
        <w:t xml:space="preserve">задържаща сила на специалната котва </w:t>
      </w:r>
      <m:oMath>
        <m:r>
          <w:rPr>
            <w:rFonts w:ascii="Cambria Math" w:hAnsi="Cambria Math"/>
            <w:szCs w:val="20"/>
            <w:lang w:val="bg-BG"/>
          </w:rPr>
          <m:t>B</m:t>
        </m:r>
      </m:oMath>
      <w:r w:rsidRPr="009072DA">
        <w:rPr>
          <w:lang w:val="bg-BG"/>
        </w:rPr>
        <w:t xml:space="preserve"> при </w:t>
      </w:r>
      <m:oMath>
        <m:r>
          <w:rPr>
            <w:rFonts w:ascii="Cambria Math" w:hAnsi="Cambria Math"/>
            <w:szCs w:val="20"/>
            <w:lang w:val="bg-BG"/>
          </w:rPr>
          <m:t>v</m:t>
        </m:r>
      </m:oMath>
      <w:r w:rsidRPr="009072DA">
        <w:rPr>
          <w:lang w:val="bg-BG"/>
        </w:rPr>
        <w:t xml:space="preserve"> = 0,5 km/h;</w:t>
      </w:r>
    </w:p>
    <w:p w:rsidR="004F47BB" w:rsidRPr="009072DA" w:rsidRDefault="004F47BB" w:rsidP="004F47BB">
      <w:pPr>
        <w:tabs>
          <w:tab w:val="left" w:pos="1134"/>
          <w:tab w:val="left" w:pos="1559"/>
        </w:tabs>
        <w:overflowPunct w:val="0"/>
        <w:adjustRightInd w:val="0"/>
        <w:spacing w:before="60"/>
        <w:ind w:left="1559" w:hanging="992"/>
        <w:textAlignment w:val="baseline"/>
        <w:rPr>
          <w:szCs w:val="20"/>
          <w:lang w:val="bg-BG"/>
        </w:rPr>
      </w:pPr>
      <m:oMath>
        <m:r>
          <w:rPr>
            <w:rFonts w:ascii="Cambria Math" w:hAnsi="Cambria Math"/>
            <w:szCs w:val="20"/>
            <w:lang w:val="bg-BG"/>
          </w:rPr>
          <m:t>AA</m:t>
        </m:r>
      </m:oMath>
      <w:r w:rsidRPr="009072DA">
        <w:rPr>
          <w:lang w:val="bg-BG"/>
        </w:rPr>
        <w:tab/>
        <w:t>=</w:t>
      </w:r>
      <w:r w:rsidRPr="009072DA">
        <w:rPr>
          <w:lang w:val="bg-BG"/>
        </w:rPr>
        <w:tab/>
        <w:t>площта върху диаграмата на спирачната сила, ограничена от</w:t>
      </w:r>
    </w:p>
    <w:p w:rsidR="004F47BB" w:rsidRPr="009072DA" w:rsidRDefault="004F47BB" w:rsidP="004F47BB">
      <w:pPr>
        <w:tabs>
          <w:tab w:val="left" w:pos="1985"/>
        </w:tabs>
        <w:overflowPunct w:val="0"/>
        <w:adjustRightInd w:val="0"/>
        <w:spacing w:before="60"/>
        <w:ind w:left="1984"/>
        <w:textAlignment w:val="baseline"/>
        <w:rPr>
          <w:szCs w:val="20"/>
          <w:lang w:val="bg-BG"/>
        </w:rPr>
      </w:pPr>
      <w:r w:rsidRPr="009072DA">
        <w:rPr>
          <w:lang w:val="bg-BG"/>
        </w:rPr>
        <w:t>-</w:t>
      </w:r>
      <w:r w:rsidRPr="009072DA">
        <w:rPr>
          <w:lang w:val="bg-BG"/>
        </w:rPr>
        <w:tab/>
        <w:t xml:space="preserve">линията, успоредна на оста y при </w:t>
      </w:r>
      <m:oMath>
        <m:r>
          <w:rPr>
            <w:rFonts w:ascii="Cambria Math" w:hAnsi="Cambria Math"/>
            <w:szCs w:val="20"/>
            <w:lang w:val="bg-BG"/>
          </w:rPr>
          <m:t>v</m:t>
        </m:r>
      </m:oMath>
      <w:r w:rsidRPr="009072DA">
        <w:rPr>
          <w:lang w:val="bg-BG"/>
        </w:rPr>
        <w:t xml:space="preserve"> = 0</w:t>
      </w:r>
    </w:p>
    <w:p w:rsidR="004F47BB" w:rsidRPr="009072DA" w:rsidRDefault="004F47BB" w:rsidP="004F47BB">
      <w:pPr>
        <w:tabs>
          <w:tab w:val="left" w:pos="1985"/>
        </w:tabs>
        <w:overflowPunct w:val="0"/>
        <w:adjustRightInd w:val="0"/>
        <w:spacing w:before="60"/>
        <w:ind w:left="1984"/>
        <w:textAlignment w:val="baseline"/>
        <w:rPr>
          <w:szCs w:val="20"/>
          <w:lang w:val="bg-BG"/>
        </w:rPr>
      </w:pPr>
      <w:r w:rsidRPr="009072DA">
        <w:rPr>
          <w:lang w:val="bg-BG"/>
        </w:rPr>
        <w:t>-</w:t>
      </w:r>
      <w:r w:rsidRPr="009072DA">
        <w:rPr>
          <w:lang w:val="bg-BG"/>
        </w:rPr>
        <w:tab/>
        <w:t xml:space="preserve">линията, успоредна на оста y при </w:t>
      </w:r>
      <m:oMath>
        <m:r>
          <w:rPr>
            <w:rFonts w:ascii="Cambria Math" w:hAnsi="Cambria Math"/>
            <w:szCs w:val="20"/>
            <w:lang w:val="bg-BG"/>
          </w:rPr>
          <m:t>v</m:t>
        </m:r>
      </m:oMath>
      <w:r w:rsidRPr="009072DA">
        <w:rPr>
          <w:lang w:val="bg-BG"/>
        </w:rPr>
        <w:t xml:space="preserve"> = 5 km/h</w:t>
      </w:r>
    </w:p>
    <w:p w:rsidR="004F47BB" w:rsidRPr="009072DA" w:rsidRDefault="004F47BB" w:rsidP="004F47BB">
      <w:pPr>
        <w:tabs>
          <w:tab w:val="left" w:pos="1985"/>
        </w:tabs>
        <w:overflowPunct w:val="0"/>
        <w:adjustRightInd w:val="0"/>
        <w:spacing w:before="60"/>
        <w:ind w:left="1984"/>
        <w:textAlignment w:val="baseline"/>
        <w:rPr>
          <w:szCs w:val="20"/>
          <w:lang w:val="bg-BG"/>
        </w:rPr>
      </w:pPr>
      <w:r w:rsidRPr="009072DA">
        <w:rPr>
          <w:lang w:val="bg-BG"/>
        </w:rPr>
        <w:t>-</w:t>
      </w:r>
      <w:r w:rsidRPr="009072DA">
        <w:rPr>
          <w:lang w:val="bg-BG"/>
        </w:rPr>
        <w:tab/>
        <w:t xml:space="preserve">линията, успоредна на оста x при задържаща сила </w:t>
      </w:r>
      <m:oMath>
        <m:r>
          <w:rPr>
            <w:rFonts w:ascii="Cambria Math" w:hAnsi="Cambria Math"/>
            <w:szCs w:val="20"/>
            <w:lang w:val="bg-BG"/>
          </w:rPr>
          <m:t>F</m:t>
        </m:r>
      </m:oMath>
      <w:r w:rsidRPr="009072DA">
        <w:rPr>
          <w:lang w:val="bg-BG"/>
        </w:rPr>
        <w:t xml:space="preserve"> = 0</w:t>
      </w:r>
    </w:p>
    <w:p w:rsidR="004F47BB" w:rsidRPr="009072DA" w:rsidRDefault="004F47BB" w:rsidP="004F47BB">
      <w:pPr>
        <w:tabs>
          <w:tab w:val="left" w:pos="1985"/>
        </w:tabs>
        <w:overflowPunct w:val="0"/>
        <w:adjustRightInd w:val="0"/>
        <w:spacing w:before="60"/>
        <w:ind w:left="1984"/>
        <w:textAlignment w:val="baseline"/>
        <w:rPr>
          <w:szCs w:val="20"/>
          <w:lang w:val="bg-BG"/>
        </w:rPr>
      </w:pPr>
      <w:r w:rsidRPr="009072DA">
        <w:rPr>
          <w:lang w:val="bg-BG"/>
        </w:rPr>
        <w:t>-</w:t>
      </w:r>
      <w:r w:rsidRPr="009072DA">
        <w:rPr>
          <w:lang w:val="bg-BG"/>
        </w:rPr>
        <w:tab/>
        <w:t xml:space="preserve">кривата на спирачната сила за еталонната котва </w:t>
      </w:r>
      <m:oMath>
        <m:r>
          <w:rPr>
            <w:rFonts w:ascii="Cambria Math" w:hAnsi="Cambria Math"/>
            <w:szCs w:val="20"/>
            <w:lang w:val="bg-BG"/>
          </w:rPr>
          <m:t>A</m:t>
        </m:r>
      </m:oMath>
      <w:r w:rsidRPr="009072DA">
        <w:rPr>
          <w:lang w:val="bg-BG"/>
        </w:rPr>
        <w:t>;</w:t>
      </w:r>
    </w:p>
    <w:p w:rsidR="004F47BB" w:rsidRPr="009072DA" w:rsidRDefault="004F47BB" w:rsidP="004F47BB">
      <w:pPr>
        <w:tabs>
          <w:tab w:val="left" w:pos="1134"/>
          <w:tab w:val="left" w:pos="1559"/>
        </w:tabs>
        <w:overflowPunct w:val="0"/>
        <w:adjustRightInd w:val="0"/>
        <w:spacing w:before="60"/>
        <w:ind w:left="1559" w:hanging="992"/>
        <w:textAlignment w:val="baseline"/>
        <w:rPr>
          <w:szCs w:val="20"/>
          <w:lang w:val="bg-BG"/>
        </w:rPr>
      </w:pPr>
      <m:oMath>
        <m:r>
          <w:rPr>
            <w:rFonts w:ascii="Cambria Math" w:hAnsi="Cambria Math"/>
            <w:szCs w:val="20"/>
            <w:lang w:val="bg-BG"/>
          </w:rPr>
          <m:t>AB</m:t>
        </m:r>
      </m:oMath>
      <w:r w:rsidRPr="009072DA">
        <w:rPr>
          <w:lang w:val="bg-BG"/>
        </w:rPr>
        <w:tab/>
        <w:t>=</w:t>
      </w:r>
      <w:r w:rsidRPr="009072DA">
        <w:rPr>
          <w:lang w:val="bg-BG"/>
        </w:rPr>
        <w:tab/>
        <w:t xml:space="preserve">същото определение както за </w:t>
      </w:r>
      <m:oMath>
        <m:r>
          <w:rPr>
            <w:rFonts w:ascii="Cambria Math" w:hAnsi="Cambria Math"/>
            <w:szCs w:val="20"/>
            <w:lang w:val="bg-BG"/>
          </w:rPr>
          <m:t>AA</m:t>
        </m:r>
      </m:oMath>
      <w:r w:rsidRPr="009072DA">
        <w:rPr>
          <w:lang w:val="bg-BG"/>
        </w:rPr>
        <w:t xml:space="preserve">, с изключение на това, че се използва кривата на спирачната сила за специалната котва </w:t>
      </w:r>
      <m:oMath>
        <m:r>
          <w:rPr>
            <w:rFonts w:ascii="Cambria Math" w:hAnsi="Cambria Math"/>
            <w:szCs w:val="20"/>
            <w:lang w:val="bg-BG"/>
          </w:rPr>
          <m:t>B</m:t>
        </m:r>
      </m:oMath>
      <w:r w:rsidRPr="009072DA">
        <w:rPr>
          <w:lang w:val="bg-BG"/>
        </w:rPr>
        <w:t>.</w:t>
      </w:r>
    </w:p>
    <w:p w:rsidR="004F47BB" w:rsidRPr="009072DA" w:rsidRDefault="004F47BB" w:rsidP="004F47BB">
      <w:pPr>
        <w:tabs>
          <w:tab w:val="left" w:pos="284"/>
        </w:tabs>
        <w:overflowPunct w:val="0"/>
        <w:adjustRightInd w:val="0"/>
        <w:textAlignment w:val="baseline"/>
        <w:rPr>
          <w:szCs w:val="20"/>
          <w:lang w:val="bg-BG"/>
        </w:rPr>
      </w:pPr>
    </w:p>
    <w:p w:rsidR="004F47BB" w:rsidRPr="009072DA" w:rsidRDefault="004F47BB" w:rsidP="004F47BB">
      <w:pPr>
        <w:tabs>
          <w:tab w:val="left" w:pos="284"/>
        </w:tabs>
        <w:overflowPunct w:val="0"/>
        <w:adjustRightInd w:val="0"/>
        <w:textAlignment w:val="baseline"/>
        <w:rPr>
          <w:szCs w:val="20"/>
          <w:lang w:val="bg-BG"/>
        </w:rPr>
      </w:pPr>
    </w:p>
    <w:p w:rsidR="004F47BB" w:rsidRPr="009072DA" w:rsidRDefault="004F47BB" w:rsidP="004F47BB">
      <w:pPr>
        <w:tabs>
          <w:tab w:val="left" w:pos="284"/>
        </w:tabs>
        <w:overflowPunct w:val="0"/>
        <w:adjustRightInd w:val="0"/>
        <w:jc w:val="center"/>
        <w:textAlignment w:val="baseline"/>
        <w:rPr>
          <w:b/>
          <w:szCs w:val="20"/>
          <w:lang w:val="bg-BG"/>
        </w:rPr>
      </w:pPr>
      <w:r w:rsidRPr="009072DA">
        <w:rPr>
          <w:b/>
          <w:lang w:val="bg-BG"/>
        </w:rPr>
        <w:t>Образец диаграма на спирачната сила</w:t>
      </w:r>
    </w:p>
    <w:p w:rsidR="004F47BB" w:rsidRPr="009072DA" w:rsidRDefault="004F47BB" w:rsidP="004F47BB">
      <w:pPr>
        <w:tabs>
          <w:tab w:val="left" w:pos="284"/>
        </w:tabs>
        <w:overflowPunct w:val="0"/>
        <w:adjustRightInd w:val="0"/>
        <w:jc w:val="center"/>
        <w:textAlignment w:val="baseline"/>
        <w:rPr>
          <w:b/>
          <w:szCs w:val="20"/>
          <w:lang w:val="bg-BG"/>
        </w:rPr>
      </w:pPr>
      <w:r w:rsidRPr="009072DA">
        <w:rPr>
          <w:b/>
          <w:lang w:val="bg-BG"/>
        </w:rPr>
        <w:t xml:space="preserve">(Определяне на площите </w:t>
      </w:r>
      <m:oMath>
        <m:r>
          <m:rPr>
            <m:sty m:val="bi"/>
          </m:rPr>
          <w:rPr>
            <w:rFonts w:ascii="Cambria Math" w:hAnsi="Cambria Math"/>
            <w:szCs w:val="20"/>
            <w:lang w:val="bg-BG"/>
          </w:rPr>
          <m:t>AA</m:t>
        </m:r>
      </m:oMath>
      <w:r w:rsidRPr="009072DA">
        <w:rPr>
          <w:b/>
          <w:lang w:val="bg-BG"/>
        </w:rPr>
        <w:t xml:space="preserve"> и</w:t>
      </w:r>
      <m:oMath>
        <m:r>
          <m:rPr>
            <m:sty m:val="bi"/>
          </m:rPr>
          <w:rPr>
            <w:rFonts w:ascii="Cambria Math" w:hAnsi="Cambria Math"/>
            <w:szCs w:val="20"/>
            <w:lang w:val="bg-BG"/>
          </w:rPr>
          <m:t xml:space="preserve"> AB</m:t>
        </m:r>
      </m:oMath>
      <w:r w:rsidRPr="009072DA">
        <w:rPr>
          <w:b/>
          <w:lang w:val="bg-BG"/>
        </w:rPr>
        <w:t>)</w:t>
      </w:r>
    </w:p>
    <w:p w:rsidR="004F47BB" w:rsidRPr="009072DA" w:rsidRDefault="004F47BB" w:rsidP="004F47BB">
      <w:pPr>
        <w:tabs>
          <w:tab w:val="left" w:pos="284"/>
        </w:tabs>
        <w:overflowPunct w:val="0"/>
        <w:adjustRightInd w:val="0"/>
        <w:ind w:left="1134" w:hanging="1276"/>
        <w:jc w:val="center"/>
        <w:textAlignment w:val="baseline"/>
        <w:rPr>
          <w:szCs w:val="20"/>
          <w:lang w:val="bg-BG"/>
        </w:rPr>
      </w:pPr>
      <w:r w:rsidRPr="009072DA">
        <w:rPr>
          <w:rFonts w:cs="Arial"/>
          <w:noProof/>
          <w:szCs w:val="20"/>
          <w:lang w:eastAsia="en-GB"/>
        </w:rPr>
        <w:lastRenderedPageBreak/>
        <w:drawing>
          <wp:anchor distT="0" distB="0" distL="114300" distR="114300" simplePos="0" relativeHeight="251694080" behindDoc="0" locked="0" layoutInCell="1" allowOverlap="1" wp14:anchorId="343ED01B" wp14:editId="68C26503">
            <wp:simplePos x="0" y="0"/>
            <wp:positionH relativeFrom="column">
              <wp:posOffset>533400</wp:posOffset>
            </wp:positionH>
            <wp:positionV relativeFrom="paragraph">
              <wp:posOffset>213360</wp:posOffset>
            </wp:positionV>
            <wp:extent cx="5114290" cy="2333625"/>
            <wp:effectExtent l="0" t="0" r="0" b="9525"/>
            <wp:wrapTopAndBottom/>
            <wp:docPr id="303" name="Imag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114290" cy="2333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F47BB" w:rsidRPr="009072DA" w:rsidRDefault="004F47BB" w:rsidP="004F47BB">
      <w:pPr>
        <w:tabs>
          <w:tab w:val="left" w:pos="284"/>
        </w:tabs>
        <w:overflowPunct w:val="0"/>
        <w:adjustRightInd w:val="0"/>
        <w:ind w:left="1134" w:hanging="1276"/>
        <w:jc w:val="center"/>
        <w:textAlignment w:val="baseline"/>
        <w:rPr>
          <w:szCs w:val="20"/>
          <w:lang w:val="bg-BG"/>
        </w:rPr>
      </w:pPr>
    </w:p>
    <w:p w:rsidR="004F47BB" w:rsidRPr="009072DA" w:rsidRDefault="004F47BB" w:rsidP="004F47BB">
      <w:pPr>
        <w:tabs>
          <w:tab w:val="left" w:pos="284"/>
        </w:tabs>
        <w:overflowPunct w:val="0"/>
        <w:adjustRightInd w:val="0"/>
        <w:ind w:left="1134" w:hanging="1276"/>
        <w:textAlignment w:val="baseline"/>
        <w:rPr>
          <w:szCs w:val="20"/>
          <w:lang w:val="bg-BG"/>
        </w:rPr>
      </w:pPr>
    </w:p>
    <w:p w:rsidR="004F47BB" w:rsidRPr="009072DA" w:rsidRDefault="004F47BB" w:rsidP="004F47BB">
      <w:pPr>
        <w:tabs>
          <w:tab w:val="left" w:pos="567"/>
        </w:tabs>
        <w:overflowPunct w:val="0"/>
        <w:adjustRightInd w:val="0"/>
        <w:ind w:left="567" w:hanging="567"/>
        <w:textAlignment w:val="baseline"/>
        <w:rPr>
          <w:szCs w:val="20"/>
          <w:lang w:val="bg-BG"/>
        </w:rPr>
      </w:pPr>
      <w:r w:rsidRPr="009072DA">
        <w:rPr>
          <w:b/>
          <w:lang w:val="bg-BG"/>
        </w:rPr>
        <w:t>2.7</w:t>
      </w:r>
      <w:r w:rsidRPr="009072DA">
        <w:rPr>
          <w:lang w:val="bg-BG"/>
        </w:rPr>
        <w:tab/>
        <w:t xml:space="preserve">Приемливият процент е средното аритметично на шестте стойности на </w:t>
      </w:r>
      <m:oMath>
        <m:r>
          <w:rPr>
            <w:rFonts w:ascii="Cambria Math" w:hAnsi="Cambria Math"/>
            <w:szCs w:val="20"/>
            <w:lang w:val="bg-BG"/>
          </w:rPr>
          <m:t>r</m:t>
        </m:r>
      </m:oMath>
      <w:r w:rsidRPr="009072DA">
        <w:rPr>
          <w:lang w:val="bg-BG"/>
        </w:rPr>
        <w:t>, изчислени в съответствие с точка 2.6.</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sectPr w:rsidR="004F47BB" w:rsidRPr="009072DA" w:rsidSect="00D45887">
          <w:footnotePr>
            <w:numRestart w:val="eachPage"/>
          </w:footnotePr>
          <w:pgSz w:w="11907" w:h="16840" w:code="9"/>
          <w:pgMar w:top="1418" w:right="1418" w:bottom="1418" w:left="1418" w:header="680" w:footer="680" w:gutter="0"/>
          <w:cols w:space="720"/>
          <w:docGrid w:linePitch="326"/>
        </w:sectPr>
      </w:pPr>
    </w:p>
    <w:p w:rsidR="004F47BB" w:rsidRPr="009072DA" w:rsidRDefault="004F47BB" w:rsidP="005716BB">
      <w:pPr>
        <w:pStyle w:val="ES-Titre4"/>
      </w:pPr>
      <w:r w:rsidRPr="009072DA">
        <w:lastRenderedPageBreak/>
        <w:t>Приложение 1 към указание ESI-II-9</w:t>
      </w:r>
    </w:p>
    <w:p w:rsidR="004F47BB" w:rsidRPr="009072DA" w:rsidRDefault="004F47BB" w:rsidP="005716BB">
      <w:pPr>
        <w:pStyle w:val="ES-Titre4a"/>
      </w:pPr>
      <w:r w:rsidRPr="009072DA">
        <w:t>Пример за метод за изпитване на котва с тласкан състав от две части в една линия</w:t>
      </w:r>
    </w:p>
    <w:p w:rsidR="004F47BB" w:rsidRPr="009072DA" w:rsidRDefault="004F47BB" w:rsidP="004F47BB">
      <w:pPr>
        <w:tabs>
          <w:tab w:val="left" w:pos="284"/>
          <w:tab w:val="left" w:pos="567"/>
        </w:tabs>
        <w:overflowPunct w:val="0"/>
        <w:adjustRightInd w:val="0"/>
        <w:ind w:left="284" w:hanging="426"/>
        <w:textAlignment w:val="baseline"/>
        <w:rPr>
          <w:szCs w:val="20"/>
          <w:lang w:val="bg-BG"/>
        </w:rPr>
      </w:pPr>
    </w:p>
    <w:p w:rsidR="004F47BB" w:rsidRPr="009072DA" w:rsidRDefault="004F47BB" w:rsidP="004F47BB">
      <w:pPr>
        <w:tabs>
          <w:tab w:val="left" w:pos="284"/>
          <w:tab w:val="left" w:pos="567"/>
        </w:tabs>
        <w:overflowPunct w:val="0"/>
        <w:adjustRightInd w:val="0"/>
        <w:ind w:left="284" w:hanging="426"/>
        <w:textAlignment w:val="baseline"/>
        <w:rPr>
          <w:szCs w:val="20"/>
          <w:lang w:val="bg-BG"/>
        </w:rPr>
      </w:pPr>
    </w:p>
    <w:p w:rsidR="004F47BB" w:rsidRPr="009072DA" w:rsidRDefault="004F47BB" w:rsidP="004F47BB">
      <w:pPr>
        <w:tabs>
          <w:tab w:val="left" w:pos="567"/>
        </w:tabs>
        <w:overflowPunct w:val="0"/>
        <w:adjustRightInd w:val="0"/>
        <w:ind w:left="284" w:hanging="426"/>
        <w:textAlignment w:val="baseline"/>
        <w:rPr>
          <w:szCs w:val="20"/>
          <w:lang w:val="bg-BG"/>
        </w:rPr>
      </w:pPr>
    </w:p>
    <w:p w:rsidR="004F47BB" w:rsidRPr="009072DA" w:rsidRDefault="004F47BB" w:rsidP="004F47BB">
      <w:pPr>
        <w:tabs>
          <w:tab w:val="left" w:pos="567"/>
        </w:tabs>
        <w:overflowPunct w:val="0"/>
        <w:adjustRightInd w:val="0"/>
        <w:ind w:left="284" w:hanging="426"/>
        <w:textAlignment w:val="baseline"/>
        <w:rPr>
          <w:szCs w:val="20"/>
          <w:lang w:val="bg-BG"/>
        </w:rPr>
      </w:pPr>
    </w:p>
    <w:tbl>
      <w:tblPr>
        <w:tblW w:w="0" w:type="auto"/>
        <w:jc w:val="center"/>
        <w:tblLayout w:type="fixed"/>
        <w:tblLook w:val="0000" w:firstRow="0" w:lastRow="0" w:firstColumn="0" w:lastColumn="0" w:noHBand="0" w:noVBand="0"/>
      </w:tblPr>
      <w:tblGrid>
        <w:gridCol w:w="1240"/>
        <w:gridCol w:w="1268"/>
        <w:gridCol w:w="293"/>
        <w:gridCol w:w="945"/>
        <w:gridCol w:w="529"/>
        <w:gridCol w:w="765"/>
        <w:gridCol w:w="69"/>
        <w:gridCol w:w="752"/>
        <w:gridCol w:w="1476"/>
        <w:gridCol w:w="483"/>
        <w:gridCol w:w="998"/>
        <w:gridCol w:w="1082"/>
      </w:tblGrid>
      <w:tr w:rsidR="004F47BB" w:rsidRPr="009072DA" w:rsidTr="00D45887">
        <w:trPr>
          <w:jc w:val="center"/>
        </w:trPr>
        <w:tc>
          <w:tcPr>
            <w:tcW w:w="2801" w:type="dxa"/>
            <w:gridSpan w:val="3"/>
          </w:tcPr>
          <w:p w:rsidR="004F47BB" w:rsidRPr="009072DA" w:rsidRDefault="004F47BB" w:rsidP="004F47BB">
            <w:pPr>
              <w:suppressAutoHyphens/>
              <w:snapToGrid w:val="0"/>
              <w:spacing w:before="120" w:after="120"/>
              <w:rPr>
                <w:rFonts w:cs="Arial"/>
                <w:sz w:val="18"/>
                <w:szCs w:val="18"/>
                <w:lang w:val="bg-BG"/>
              </w:rPr>
            </w:pPr>
            <w:r w:rsidRPr="009072DA">
              <w:rPr>
                <w:sz w:val="18"/>
                <w:lang w:val="bg-BG"/>
              </w:rPr>
              <w:t>Тласкач</w:t>
            </w:r>
          </w:p>
        </w:tc>
        <w:tc>
          <w:tcPr>
            <w:tcW w:w="1474" w:type="dxa"/>
            <w:gridSpan w:val="2"/>
          </w:tcPr>
          <w:p w:rsidR="004F47BB" w:rsidRPr="009072DA" w:rsidRDefault="004F47BB" w:rsidP="004F47BB">
            <w:pPr>
              <w:suppressAutoHyphens/>
              <w:snapToGrid w:val="0"/>
              <w:spacing w:before="120" w:after="120"/>
              <w:rPr>
                <w:rFonts w:cs="Arial"/>
                <w:sz w:val="18"/>
                <w:szCs w:val="18"/>
                <w:lang w:val="bg-BG"/>
              </w:rPr>
            </w:pPr>
            <w:r w:rsidRPr="009072DA">
              <w:rPr>
                <w:sz w:val="18"/>
                <w:lang w:val="bg-BG"/>
              </w:rPr>
              <w:t>2-ри лихтер</w:t>
            </w:r>
          </w:p>
        </w:tc>
        <w:tc>
          <w:tcPr>
            <w:tcW w:w="1586" w:type="dxa"/>
            <w:gridSpan w:val="3"/>
          </w:tcPr>
          <w:p w:rsidR="004F47BB" w:rsidRPr="009072DA" w:rsidRDefault="004F47BB" w:rsidP="004F47BB">
            <w:pPr>
              <w:suppressAutoHyphens/>
              <w:snapToGrid w:val="0"/>
              <w:spacing w:before="120" w:after="120"/>
              <w:rPr>
                <w:rFonts w:cs="Arial"/>
                <w:sz w:val="18"/>
                <w:szCs w:val="18"/>
                <w:lang w:val="bg-BG"/>
              </w:rPr>
            </w:pPr>
          </w:p>
        </w:tc>
        <w:tc>
          <w:tcPr>
            <w:tcW w:w="1476" w:type="dxa"/>
          </w:tcPr>
          <w:p w:rsidR="004F47BB" w:rsidRPr="009072DA" w:rsidRDefault="004F47BB" w:rsidP="004F47BB">
            <w:pPr>
              <w:suppressAutoHyphens/>
              <w:snapToGrid w:val="0"/>
              <w:spacing w:before="120" w:after="120"/>
              <w:rPr>
                <w:rFonts w:cs="Arial"/>
                <w:sz w:val="18"/>
                <w:szCs w:val="18"/>
                <w:lang w:val="bg-BG"/>
              </w:rPr>
            </w:pPr>
          </w:p>
        </w:tc>
        <w:tc>
          <w:tcPr>
            <w:tcW w:w="1481" w:type="dxa"/>
            <w:gridSpan w:val="2"/>
          </w:tcPr>
          <w:p w:rsidR="004F47BB" w:rsidRPr="009072DA" w:rsidRDefault="004F47BB" w:rsidP="004F47BB">
            <w:pPr>
              <w:suppressAutoHyphens/>
              <w:snapToGrid w:val="0"/>
              <w:spacing w:before="120" w:after="120"/>
              <w:rPr>
                <w:rFonts w:cs="Arial"/>
                <w:sz w:val="18"/>
                <w:szCs w:val="18"/>
                <w:lang w:val="bg-BG"/>
              </w:rPr>
            </w:pPr>
            <w:r w:rsidRPr="009072DA">
              <w:rPr>
                <w:sz w:val="18"/>
                <w:lang w:val="bg-BG"/>
              </w:rPr>
              <w:t>1-ви лихтер</w:t>
            </w:r>
          </w:p>
        </w:tc>
        <w:tc>
          <w:tcPr>
            <w:tcW w:w="1082" w:type="dxa"/>
          </w:tcPr>
          <w:p w:rsidR="004F47BB" w:rsidRPr="009072DA" w:rsidRDefault="004F47BB" w:rsidP="004F47BB">
            <w:pPr>
              <w:suppressAutoHyphens/>
              <w:snapToGrid w:val="0"/>
              <w:spacing w:before="120" w:after="120"/>
              <w:rPr>
                <w:rFonts w:cs="Arial"/>
                <w:sz w:val="18"/>
                <w:szCs w:val="18"/>
                <w:lang w:val="bg-BG"/>
              </w:rPr>
            </w:pPr>
          </w:p>
        </w:tc>
      </w:tr>
      <w:tr w:rsidR="004F47BB" w:rsidRPr="009072DA" w:rsidTr="00D45887">
        <w:trPr>
          <w:jc w:val="center"/>
        </w:trPr>
        <w:tc>
          <w:tcPr>
            <w:tcW w:w="9900" w:type="dxa"/>
            <w:gridSpan w:val="12"/>
          </w:tcPr>
          <w:p w:rsidR="004F47BB" w:rsidRPr="009072DA" w:rsidRDefault="004F47BB" w:rsidP="004F47BB">
            <w:pPr>
              <w:suppressAutoHyphens/>
              <w:snapToGrid w:val="0"/>
              <w:rPr>
                <w:rFonts w:ascii="Times New Roman" w:hAnsi="Times New Roman"/>
                <w:sz w:val="2"/>
                <w:szCs w:val="2"/>
                <w:lang w:val="bg-BG"/>
              </w:rPr>
            </w:pPr>
            <w:r w:rsidRPr="009072DA">
              <w:rPr>
                <w:rFonts w:ascii="Times New Roman" w:hAnsi="Times New Roman"/>
                <w:noProof/>
                <w:sz w:val="24"/>
                <w:lang w:eastAsia="en-GB"/>
              </w:rPr>
              <w:drawing>
                <wp:anchor distT="0" distB="0" distL="114935" distR="114935" simplePos="0" relativeHeight="251688960" behindDoc="0" locked="0" layoutInCell="1" allowOverlap="1" wp14:anchorId="04AA0FB1" wp14:editId="0B28A67C">
                  <wp:simplePos x="0" y="0"/>
                  <wp:positionH relativeFrom="column">
                    <wp:posOffset>-70485</wp:posOffset>
                  </wp:positionH>
                  <wp:positionV relativeFrom="paragraph">
                    <wp:posOffset>-1298575</wp:posOffset>
                  </wp:positionV>
                  <wp:extent cx="6282690" cy="1290320"/>
                  <wp:effectExtent l="0" t="0" r="3810" b="5080"/>
                  <wp:wrapTopAndBottom/>
                  <wp:docPr id="304" name="Imag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6282690" cy="12903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tc>
      </w:tr>
      <w:tr w:rsidR="004F47BB" w:rsidRPr="009072DA" w:rsidTr="00D45887">
        <w:trPr>
          <w:jc w:val="center"/>
        </w:trPr>
        <w:tc>
          <w:tcPr>
            <w:tcW w:w="1240" w:type="dxa"/>
          </w:tcPr>
          <w:p w:rsidR="004F47BB" w:rsidRPr="009072DA" w:rsidRDefault="004F47BB" w:rsidP="004F47BB">
            <w:pPr>
              <w:suppressAutoHyphens/>
              <w:snapToGrid w:val="0"/>
              <w:spacing w:before="120" w:after="120"/>
              <w:jc w:val="center"/>
              <w:rPr>
                <w:rFonts w:cs="Arial"/>
                <w:sz w:val="18"/>
                <w:szCs w:val="18"/>
                <w:lang w:val="bg-BG"/>
              </w:rPr>
            </w:pPr>
            <w:r w:rsidRPr="009072DA">
              <w:rPr>
                <w:sz w:val="18"/>
                <w:lang w:val="bg-BG"/>
              </w:rPr>
              <w:t>Котва</w:t>
            </w:r>
          </w:p>
        </w:tc>
        <w:tc>
          <w:tcPr>
            <w:tcW w:w="1268" w:type="dxa"/>
          </w:tcPr>
          <w:p w:rsidR="004F47BB" w:rsidRPr="009072DA" w:rsidRDefault="004F47BB" w:rsidP="004F47BB">
            <w:pPr>
              <w:suppressAutoHyphens/>
              <w:snapToGrid w:val="0"/>
              <w:spacing w:before="120" w:after="120"/>
              <w:jc w:val="center"/>
              <w:rPr>
                <w:rFonts w:cs="Arial"/>
                <w:sz w:val="18"/>
                <w:szCs w:val="18"/>
                <w:lang w:val="bg-BG"/>
              </w:rPr>
            </w:pPr>
            <w:r w:rsidRPr="009072DA">
              <w:rPr>
                <w:sz w:val="18"/>
                <w:lang w:val="bg-BG"/>
              </w:rPr>
              <w:t>Кран</w:t>
            </w:r>
          </w:p>
        </w:tc>
        <w:tc>
          <w:tcPr>
            <w:tcW w:w="1238" w:type="dxa"/>
            <w:gridSpan w:val="2"/>
          </w:tcPr>
          <w:p w:rsidR="004F47BB" w:rsidRPr="009072DA" w:rsidRDefault="004F47BB" w:rsidP="004F47BB">
            <w:pPr>
              <w:suppressAutoHyphens/>
              <w:snapToGrid w:val="0"/>
              <w:spacing w:before="120" w:after="120"/>
              <w:jc w:val="center"/>
              <w:rPr>
                <w:rFonts w:cs="Arial"/>
                <w:sz w:val="18"/>
                <w:szCs w:val="18"/>
                <w:lang w:val="bg-BG"/>
              </w:rPr>
            </w:pPr>
            <w:r w:rsidRPr="009072DA">
              <w:rPr>
                <w:sz w:val="18"/>
                <w:lang w:val="bg-BG"/>
              </w:rPr>
              <w:t>Корабно въже</w:t>
            </w:r>
          </w:p>
        </w:tc>
        <w:tc>
          <w:tcPr>
            <w:tcW w:w="1363" w:type="dxa"/>
            <w:gridSpan w:val="3"/>
          </w:tcPr>
          <w:p w:rsidR="004F47BB" w:rsidRPr="009072DA" w:rsidRDefault="004F47BB" w:rsidP="004F47BB">
            <w:pPr>
              <w:suppressAutoHyphens/>
              <w:snapToGrid w:val="0"/>
              <w:spacing w:before="120" w:after="120"/>
              <w:jc w:val="center"/>
              <w:rPr>
                <w:rFonts w:cs="Arial"/>
                <w:sz w:val="18"/>
                <w:szCs w:val="18"/>
                <w:lang w:val="bg-BG"/>
              </w:rPr>
            </w:pPr>
            <w:r w:rsidRPr="009072DA">
              <w:rPr>
                <w:sz w:val="18"/>
                <w:lang w:val="bg-BG"/>
              </w:rPr>
              <w:t>Теглещо въже</w:t>
            </w:r>
          </w:p>
        </w:tc>
        <w:tc>
          <w:tcPr>
            <w:tcW w:w="2711" w:type="dxa"/>
            <w:gridSpan w:val="3"/>
          </w:tcPr>
          <w:p w:rsidR="004F47BB" w:rsidRPr="009072DA" w:rsidRDefault="004F47BB" w:rsidP="004F47BB">
            <w:pPr>
              <w:suppressAutoHyphens/>
              <w:snapToGrid w:val="0"/>
              <w:spacing w:before="120" w:after="120"/>
              <w:jc w:val="center"/>
              <w:rPr>
                <w:rFonts w:cs="Arial"/>
                <w:sz w:val="18"/>
                <w:szCs w:val="18"/>
                <w:lang w:val="bg-BG"/>
              </w:rPr>
            </w:pPr>
            <w:r w:rsidRPr="009072DA">
              <w:rPr>
                <w:sz w:val="18"/>
                <w:lang w:val="bg-BG"/>
              </w:rPr>
              <w:t>Динамометър за измерване силата на опън</w:t>
            </w:r>
          </w:p>
        </w:tc>
        <w:tc>
          <w:tcPr>
            <w:tcW w:w="2080" w:type="dxa"/>
            <w:gridSpan w:val="2"/>
          </w:tcPr>
          <w:p w:rsidR="004F47BB" w:rsidRPr="009072DA" w:rsidRDefault="004F47BB" w:rsidP="004F47BB">
            <w:pPr>
              <w:suppressAutoHyphens/>
              <w:snapToGrid w:val="0"/>
              <w:spacing w:before="120" w:after="120"/>
              <w:jc w:val="center"/>
              <w:rPr>
                <w:rFonts w:cs="Arial"/>
                <w:sz w:val="18"/>
                <w:szCs w:val="18"/>
                <w:lang w:val="bg-BG"/>
              </w:rPr>
            </w:pPr>
            <w:r w:rsidRPr="009072DA">
              <w:rPr>
                <w:sz w:val="18"/>
                <w:lang w:val="bg-BG"/>
              </w:rPr>
              <w:t>закрепване</w:t>
            </w:r>
          </w:p>
        </w:tc>
      </w:tr>
      <w:tr w:rsidR="004F47BB" w:rsidRPr="009072DA" w:rsidTr="00D45887">
        <w:trPr>
          <w:jc w:val="center"/>
        </w:trPr>
        <w:tc>
          <w:tcPr>
            <w:tcW w:w="1240" w:type="dxa"/>
          </w:tcPr>
          <w:p w:rsidR="004F47BB" w:rsidRPr="009072DA" w:rsidRDefault="004F47BB" w:rsidP="004F47BB">
            <w:pPr>
              <w:suppressAutoHyphens/>
              <w:snapToGrid w:val="0"/>
              <w:spacing w:before="120" w:after="120"/>
              <w:jc w:val="center"/>
              <w:rPr>
                <w:rFonts w:cs="Arial"/>
                <w:sz w:val="18"/>
                <w:szCs w:val="18"/>
                <w:lang w:val="bg-BG"/>
              </w:rPr>
            </w:pPr>
            <w:r w:rsidRPr="009072DA">
              <w:rPr>
                <w:sz w:val="18"/>
                <w:lang w:val="bg-BG"/>
              </w:rPr>
              <w:t>500 kg</w:t>
            </w:r>
          </w:p>
        </w:tc>
        <w:tc>
          <w:tcPr>
            <w:tcW w:w="1268" w:type="dxa"/>
          </w:tcPr>
          <w:p w:rsidR="004F47BB" w:rsidRPr="009072DA" w:rsidRDefault="004F47BB" w:rsidP="004F47BB">
            <w:pPr>
              <w:suppressAutoHyphens/>
              <w:snapToGrid w:val="0"/>
              <w:spacing w:before="120" w:after="120"/>
              <w:jc w:val="center"/>
              <w:rPr>
                <w:rFonts w:cs="Arial"/>
                <w:sz w:val="18"/>
                <w:szCs w:val="18"/>
                <w:lang w:val="bg-BG"/>
              </w:rPr>
            </w:pPr>
            <w:r w:rsidRPr="009072DA">
              <w:rPr>
                <w:sz w:val="18"/>
                <w:lang w:val="bg-BG"/>
              </w:rPr>
              <w:t>750 kg</w:t>
            </w:r>
          </w:p>
        </w:tc>
        <w:tc>
          <w:tcPr>
            <w:tcW w:w="1238" w:type="dxa"/>
            <w:gridSpan w:val="2"/>
          </w:tcPr>
          <w:p w:rsidR="004F47BB" w:rsidRPr="009072DA" w:rsidRDefault="004F47BB" w:rsidP="004F47BB">
            <w:pPr>
              <w:suppressAutoHyphens/>
              <w:snapToGrid w:val="0"/>
              <w:spacing w:before="120" w:after="120"/>
              <w:jc w:val="center"/>
              <w:rPr>
                <w:rFonts w:ascii="Symbol" w:hAnsi="Symbol"/>
                <w:sz w:val="18"/>
                <w:szCs w:val="18"/>
                <w:lang w:val="bg-BG"/>
              </w:rPr>
            </w:pPr>
            <w:r w:rsidRPr="009072DA">
              <w:rPr>
                <w:sz w:val="18"/>
                <w:lang w:val="bg-BG"/>
              </w:rPr>
              <w:t>12 mm</w:t>
            </w:r>
            <w:r w:rsidRPr="009072DA">
              <w:rPr>
                <w:rFonts w:ascii="Times New Roman" w:hAnsi="Times New Roman"/>
                <w:sz w:val="18"/>
                <w:lang w:val="bg-BG"/>
              </w:rPr>
              <w:t xml:space="preserve"> </w:t>
            </w:r>
          </w:p>
        </w:tc>
        <w:tc>
          <w:tcPr>
            <w:tcW w:w="1363" w:type="dxa"/>
            <w:gridSpan w:val="3"/>
          </w:tcPr>
          <w:p w:rsidR="004F47BB" w:rsidRPr="009072DA" w:rsidRDefault="004F47BB" w:rsidP="004F47BB">
            <w:pPr>
              <w:suppressAutoHyphens/>
              <w:snapToGrid w:val="0"/>
              <w:spacing w:before="120" w:after="120"/>
              <w:jc w:val="center"/>
              <w:rPr>
                <w:rFonts w:ascii="Symbol" w:hAnsi="Symbol"/>
                <w:sz w:val="18"/>
                <w:szCs w:val="18"/>
                <w:lang w:val="bg-BG"/>
              </w:rPr>
            </w:pPr>
            <w:r w:rsidRPr="009072DA">
              <w:rPr>
                <w:sz w:val="18"/>
                <w:lang w:val="bg-BG"/>
              </w:rPr>
              <w:t>24 mm</w:t>
            </w:r>
            <w:r w:rsidRPr="009072DA">
              <w:rPr>
                <w:rFonts w:ascii="Times New Roman" w:hAnsi="Times New Roman"/>
                <w:sz w:val="18"/>
                <w:lang w:val="bg-BG"/>
              </w:rPr>
              <w:t xml:space="preserve"> </w:t>
            </w:r>
          </w:p>
        </w:tc>
        <w:tc>
          <w:tcPr>
            <w:tcW w:w="2711" w:type="dxa"/>
            <w:gridSpan w:val="3"/>
          </w:tcPr>
          <w:p w:rsidR="004F47BB" w:rsidRPr="009072DA" w:rsidRDefault="004F47BB" w:rsidP="004F47BB">
            <w:pPr>
              <w:suppressAutoHyphens/>
              <w:snapToGrid w:val="0"/>
              <w:spacing w:before="120" w:after="120"/>
              <w:jc w:val="center"/>
              <w:rPr>
                <w:rFonts w:ascii="Symbol" w:hAnsi="Symbol" w:cs="Arial"/>
                <w:sz w:val="18"/>
                <w:szCs w:val="18"/>
                <w:lang w:val="bg-BG"/>
              </w:rPr>
            </w:pPr>
            <w:r w:rsidRPr="009072DA">
              <w:rPr>
                <w:sz w:val="18"/>
                <w:lang w:val="bg-BG"/>
              </w:rPr>
              <w:t>20 t</w:t>
            </w:r>
          </w:p>
        </w:tc>
        <w:tc>
          <w:tcPr>
            <w:tcW w:w="2080" w:type="dxa"/>
            <w:gridSpan w:val="2"/>
          </w:tcPr>
          <w:p w:rsidR="004F47BB" w:rsidRPr="009072DA" w:rsidRDefault="004F47BB" w:rsidP="004F47BB">
            <w:pPr>
              <w:suppressAutoHyphens/>
              <w:snapToGrid w:val="0"/>
              <w:spacing w:before="120" w:after="120"/>
              <w:jc w:val="center"/>
              <w:rPr>
                <w:rFonts w:cs="Arial"/>
                <w:sz w:val="18"/>
                <w:szCs w:val="18"/>
                <w:lang w:val="bg-BG"/>
              </w:rPr>
            </w:pPr>
            <w:r w:rsidRPr="009072DA">
              <w:rPr>
                <w:sz w:val="18"/>
                <w:lang w:val="bg-BG"/>
              </w:rPr>
              <w:t>пясък/чакъл</w:t>
            </w:r>
          </w:p>
        </w:tc>
      </w:tr>
      <w:tr w:rsidR="004F47BB" w:rsidRPr="008D2440" w:rsidTr="00D45887">
        <w:trPr>
          <w:jc w:val="center"/>
        </w:trPr>
        <w:tc>
          <w:tcPr>
            <w:tcW w:w="5040" w:type="dxa"/>
            <w:gridSpan w:val="6"/>
          </w:tcPr>
          <w:p w:rsidR="004F47BB" w:rsidRPr="009072DA" w:rsidRDefault="004F47BB" w:rsidP="004F47BB">
            <w:pPr>
              <w:suppressAutoHyphens/>
              <w:snapToGrid w:val="0"/>
              <w:spacing w:before="120" w:after="120"/>
              <w:jc w:val="center"/>
              <w:rPr>
                <w:rFonts w:ascii="Times New Roman" w:hAnsi="Times New Roman" w:cs="Arial"/>
                <w:sz w:val="18"/>
                <w:szCs w:val="18"/>
                <w:lang w:val="bg-BG"/>
              </w:rPr>
            </w:pPr>
            <w:r w:rsidRPr="009072DA">
              <w:rPr>
                <w:sz w:val="18"/>
                <w:lang w:val="bg-BG"/>
              </w:rPr>
              <w:t>Скорост на влачене: 0</w:t>
            </w:r>
            <w:r w:rsidRPr="009072DA">
              <w:rPr>
                <w:rFonts w:ascii="Times New Roman" w:hAnsi="Times New Roman"/>
                <w:sz w:val="18"/>
                <w:lang w:val="bg-BG"/>
              </w:rPr>
              <w:t xml:space="preserve"> </w:t>
            </w:r>
            <w:r w:rsidRPr="009072DA">
              <w:rPr>
                <w:rFonts w:ascii="Times New Roman" w:hAnsi="Times New Roman"/>
                <w:sz w:val="18"/>
                <w:szCs w:val="18"/>
                <w:lang w:val="bg-BG"/>
              </w:rPr>
              <w:t xml:space="preserve"> </w:t>
            </w:r>
            <w:r w:rsidRPr="009072DA">
              <w:rPr>
                <w:sz w:val="18"/>
                <w:lang w:val="bg-BG"/>
              </w:rPr>
              <w:t>5 km/h</w:t>
            </w:r>
          </w:p>
        </w:tc>
        <w:tc>
          <w:tcPr>
            <w:tcW w:w="4860" w:type="dxa"/>
            <w:gridSpan w:val="6"/>
          </w:tcPr>
          <w:p w:rsidR="004F47BB" w:rsidRPr="009072DA" w:rsidRDefault="004F47BB" w:rsidP="004F47BB">
            <w:pPr>
              <w:suppressAutoHyphens/>
              <w:snapToGrid w:val="0"/>
              <w:spacing w:before="120" w:after="120"/>
              <w:jc w:val="center"/>
              <w:rPr>
                <w:rFonts w:ascii="Times New Roman" w:hAnsi="Times New Roman" w:cs="Arial"/>
                <w:sz w:val="18"/>
                <w:szCs w:val="18"/>
                <w:lang w:val="bg-BG"/>
              </w:rPr>
            </w:pPr>
            <w:r w:rsidRPr="009072DA">
              <w:rPr>
                <w:sz w:val="18"/>
                <w:lang w:val="bg-BG"/>
              </w:rPr>
              <w:t xml:space="preserve">Ъгъл на наклона на теглещото въже </w:t>
            </w:r>
            <w:r w:rsidRPr="009072DA">
              <w:rPr>
                <w:rFonts w:ascii="Times New Roman" w:hAnsi="Times New Roman"/>
                <w:sz w:val="18"/>
                <w:szCs w:val="18"/>
                <w:lang w:val="bg-BG"/>
              </w:rPr>
              <w:t xml:space="preserve"> </w:t>
            </w:r>
            <w:r w:rsidRPr="009072DA">
              <w:rPr>
                <w:sz w:val="18"/>
                <w:lang w:val="bg-BG"/>
              </w:rPr>
              <w:t>1:10</w:t>
            </w:r>
          </w:p>
        </w:tc>
      </w:tr>
    </w:tbl>
    <w:p w:rsidR="004F47BB" w:rsidRPr="009072DA" w:rsidRDefault="004F47BB" w:rsidP="004F47BB">
      <w:pPr>
        <w:tabs>
          <w:tab w:val="left" w:pos="567"/>
        </w:tabs>
        <w:overflowPunct w:val="0"/>
        <w:adjustRightInd w:val="0"/>
        <w:ind w:left="284" w:hanging="426"/>
        <w:textAlignment w:val="baseline"/>
        <w:rPr>
          <w:szCs w:val="20"/>
          <w:lang w:val="bg-BG"/>
        </w:rPr>
      </w:pPr>
    </w:p>
    <w:p w:rsidR="004F47BB" w:rsidRPr="009072DA" w:rsidRDefault="004F47BB" w:rsidP="004F47BB">
      <w:pPr>
        <w:tabs>
          <w:tab w:val="left" w:pos="567"/>
        </w:tabs>
        <w:overflowPunct w:val="0"/>
        <w:adjustRightInd w:val="0"/>
        <w:ind w:left="284" w:hanging="426"/>
        <w:jc w:val="center"/>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r w:rsidRPr="009072DA">
        <w:rPr>
          <w:lang w:val="bg-BG"/>
        </w:rPr>
        <w:br w:type="page"/>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sectPr w:rsidR="004F47BB" w:rsidRPr="009072DA" w:rsidSect="00D45887">
          <w:headerReference w:type="default" r:id="rId145"/>
          <w:footerReference w:type="default" r:id="rId146"/>
          <w:footnotePr>
            <w:numRestart w:val="eachPage"/>
          </w:footnotePr>
          <w:pgSz w:w="16840" w:h="11907" w:orient="landscape" w:code="9"/>
          <w:pgMar w:top="1418" w:right="1418" w:bottom="1418" w:left="1418" w:header="680" w:footer="680" w:gutter="0"/>
          <w:cols w:space="720"/>
          <w:docGrid w:linePitch="326"/>
        </w:sectPr>
      </w:pPr>
    </w:p>
    <w:p w:rsidR="004F47BB" w:rsidRPr="009072DA" w:rsidRDefault="004F47BB" w:rsidP="003F3DE1">
      <w:pPr>
        <w:pStyle w:val="ES-Titre2ESI"/>
      </w:pPr>
      <w:bookmarkStart w:id="752" w:name="_Toc491854359"/>
      <w:bookmarkStart w:id="753" w:name="_Toc535827800"/>
      <w:r w:rsidRPr="009072DA">
        <w:lastRenderedPageBreak/>
        <w:t>ESI-II-10</w:t>
      </w:r>
      <w:r w:rsidRPr="009072DA">
        <w:br/>
        <w:t>Автоматични спринклерни системи за вода под налягане</w:t>
      </w:r>
      <w:bookmarkEnd w:id="752"/>
      <w:bookmarkEnd w:id="753"/>
    </w:p>
    <w:p w:rsidR="004F47BB" w:rsidRPr="009072DA" w:rsidRDefault="004F47BB" w:rsidP="004F47BB">
      <w:pPr>
        <w:jc w:val="center"/>
        <w:rPr>
          <w:rFonts w:cs="Arial"/>
          <w:b/>
          <w:bCs/>
          <w:lang w:val="bg-BG"/>
        </w:rPr>
      </w:pPr>
    </w:p>
    <w:p w:rsidR="004F47BB" w:rsidRPr="009072DA" w:rsidRDefault="004F47BB" w:rsidP="004F47BB">
      <w:pPr>
        <w:jc w:val="center"/>
        <w:rPr>
          <w:rFonts w:cs="Arial"/>
          <w:b/>
          <w:bCs/>
          <w:lang w:val="bg-BG"/>
        </w:rPr>
      </w:pPr>
      <w:r w:rsidRPr="009072DA">
        <w:rPr>
          <w:b/>
          <w:lang w:val="bg-BG"/>
        </w:rPr>
        <w:t>(член 13.04, точки 1 и 4)</w:t>
      </w:r>
    </w:p>
    <w:p w:rsidR="004F47BB" w:rsidRPr="009072DA" w:rsidRDefault="004F47BB" w:rsidP="004F47BB">
      <w:pPr>
        <w:rPr>
          <w:rFonts w:cs="Arial"/>
          <w:lang w:val="bg-BG"/>
        </w:rPr>
      </w:pPr>
    </w:p>
    <w:p w:rsidR="004F47BB" w:rsidRPr="009072DA" w:rsidRDefault="004F47BB" w:rsidP="004F47BB">
      <w:pPr>
        <w:spacing w:line="240" w:lineRule="atLeast"/>
        <w:rPr>
          <w:lang w:val="bg-BG"/>
        </w:rPr>
      </w:pPr>
      <w:r w:rsidRPr="009072DA">
        <w:rPr>
          <w:lang w:val="bg-BG"/>
        </w:rPr>
        <w:t>Подходящите автоматични спринклерни системи за вода под налягане съгласно член 13.04, точки 1 и 4 трябва да изпълняват следните изисквания:</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1.</w:t>
      </w:r>
      <w:r w:rsidRPr="009072DA">
        <w:rPr>
          <w:lang w:val="bg-BG"/>
        </w:rPr>
        <w:tab/>
        <w:t>Когато на борда има хора, автоматичната спринклерна система за вода под налягане трябва във всеки момент да е готова за работа. За да започне да действа, не трябва да се изискват допълнителни действия от членовете на екипажа.</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2.</w:t>
      </w:r>
      <w:r w:rsidRPr="009072DA">
        <w:rPr>
          <w:lang w:val="bg-BG"/>
        </w:rPr>
        <w:tab/>
        <w:t>Системата непрекъснато трябва да се поддържа под необходимото налягане. По всяко време тръбите трябва да бъдат пълни с вода до разпръскващите дюзи. Системата трябва да е с непрекъснато подаване на вода. Трябва да не е възможно навлизането в системата на замърсители, вредни за работата ѝ. За следене и проверка на системата трябва да са монтирани подходящи указващи прибори и системи за изпитване (напр. манометри, индикатори за нивото на водата в хидрофора, тръбни връзки за изпитване на помпата). Спринклерните системи за вода под налягане в хладилните складове и хладилните помещения не следва постоянно да бъдат пълни с вода. Тези помещения могат да бъдат защитени със сухи пръскачки.</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3.</w:t>
      </w:r>
      <w:r w:rsidRPr="009072DA">
        <w:rPr>
          <w:lang w:val="bg-BG"/>
        </w:rPr>
        <w:tab/>
        <w:t>Помпата за подаване на вода към разпръскващите дюзи трябва да се задейства автоматично при спад на налягането в системата. Помпата се оразмерява така, че да може без прекъсване да подава достатъчно вода с необходимото налягане, ако всички разпръскващи дюзи, необходими за покриване на площта на най-голямото защитено помещение, са задействани едновременно. Помпата трябва да подава вода изключително за автоматичната спринклерна система за вода под налягане. В случай на отказ на помпата трябва да е възможно подаването на достатъчно вода към разпръскващите дюзи от друга помпа на борда.</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4.</w:t>
      </w:r>
      <w:r w:rsidRPr="009072DA">
        <w:rPr>
          <w:lang w:val="bg-BG"/>
        </w:rPr>
        <w:tab/>
        <w:t>Системата трябва да е разделена на части, всяка една от които трябва да е с не повече от 50 разпръскващи дюзи. По-голям брой разпръскващи дюзи могат да бъдат разрешени от контролния орган при наличието на подходящо потвърждение, по-специално на хидравлично изчисление.</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5.</w:t>
      </w:r>
      <w:r w:rsidRPr="009072DA">
        <w:rPr>
          <w:lang w:val="bg-BG"/>
        </w:rPr>
        <w:tab/>
        <w:t>Броят и разположението на разпръскващите дюзи трябва да осигуряват ефективно разпределение на водата в помещенията, които трябва да бъдат защитени.</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lastRenderedPageBreak/>
        <w:t>6.</w:t>
      </w:r>
      <w:r w:rsidRPr="009072DA">
        <w:rPr>
          <w:lang w:val="bg-BG"/>
        </w:rPr>
        <w:tab/>
        <w:t>Разпръскващите дюзи трябва да се задействат при температура между 68 °C и 79 °C, в камбузи при максимум 93 °C и в сауни при максимум 141 °С.</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7.</w:t>
      </w:r>
      <w:r w:rsidRPr="009072DA">
        <w:rPr>
          <w:lang w:val="bg-BG"/>
        </w:rPr>
        <w:tab/>
        <w:t>Монтирането на компоненти на автоматични спринклерни системи за вода под налягане в помещенията, които трябва да бъдат защитени, се ограничава до необходимия минимум. Такива компоненти на системата не се монтират в главните машинни отделения.</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8.</w:t>
      </w:r>
      <w:r w:rsidRPr="009072DA">
        <w:rPr>
          <w:lang w:val="bg-BG"/>
        </w:rPr>
        <w:tab/>
        <w:t>Осигуряват се светлинни и звукови индикатори на едно или повече подходящи места, най-малко в едно от които непрекъснато има член на екипажа, показващи за всяка секция активирането на автоматичната спринклерна система за вода под налягане.</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9.</w:t>
      </w:r>
      <w:r w:rsidRPr="009072DA">
        <w:rPr>
          <w:lang w:val="bg-BG"/>
        </w:rPr>
        <w:tab/>
        <w:t>Електрозахранването на автоматичната спринклерна система за вода под налягане се осигурява от два независими източника на енергия, които не са разположени на едно и също място. Всеки източник на енергия трябва да може самостоятелно да захранва цялата система.</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br w:type="page"/>
      </w:r>
    </w:p>
    <w:p w:rsidR="004F47BB" w:rsidRPr="009072DA" w:rsidRDefault="004F47BB" w:rsidP="004F47BB">
      <w:pPr>
        <w:spacing w:line="240" w:lineRule="atLeast"/>
        <w:ind w:left="567" w:hanging="567"/>
        <w:rPr>
          <w:lang w:val="bg-BG"/>
        </w:rPr>
      </w:pPr>
      <w:r w:rsidRPr="009072DA">
        <w:rPr>
          <w:lang w:val="bg-BG"/>
        </w:rPr>
        <w:lastRenderedPageBreak/>
        <w:t>10.</w:t>
      </w:r>
      <w:r w:rsidRPr="009072DA">
        <w:rPr>
          <w:lang w:val="bg-BG"/>
        </w:rPr>
        <w:tab/>
        <w:t>Преди монтиране на системата на контролния орган се представя за проверка монтажен план на автоматичната спринклерна система за вода под налягане. Планът трябва да показва типовете и експлоатационните показатели на използваните машини и оборудване. Инсталация, която е изпитана и сертифицирана от призната класификационна организация и която отговаря най-малко на горните предписания, може да бъде разрешена без допълнително изпитване.</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11.</w:t>
      </w:r>
      <w:r w:rsidRPr="009072DA">
        <w:rPr>
          <w:lang w:val="bg-BG"/>
        </w:rPr>
        <w:tab/>
        <w:t>Наличието на автоматична спринклерна система за вода под налягане се записва в удостоверението на плавателния съд за плаване по вътрешни водни пътища в точка 43.</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sectPr w:rsidR="004F47BB" w:rsidRPr="009072DA" w:rsidSect="00D45887">
          <w:headerReference w:type="default" r:id="rId147"/>
          <w:footerReference w:type="default" r:id="rId148"/>
          <w:footnotePr>
            <w:numRestart w:val="eachPage"/>
          </w:footnotePr>
          <w:pgSz w:w="11907" w:h="16840" w:code="9"/>
          <w:pgMar w:top="1418" w:right="1418" w:bottom="1418" w:left="1418" w:header="680" w:footer="680" w:gutter="0"/>
          <w:cols w:space="720"/>
          <w:docGrid w:linePitch="326"/>
        </w:sectPr>
      </w:pPr>
    </w:p>
    <w:p w:rsidR="004F47BB" w:rsidRPr="009072DA" w:rsidRDefault="004F47BB" w:rsidP="003F3DE1">
      <w:pPr>
        <w:pStyle w:val="ES-Titre2ESI"/>
      </w:pPr>
      <w:bookmarkStart w:id="754" w:name="_Toc491854360"/>
      <w:bookmarkStart w:id="755" w:name="_Toc535827801"/>
      <w:r w:rsidRPr="009072DA">
        <w:lastRenderedPageBreak/>
        <w:t>ESI-II-11</w:t>
      </w:r>
      <w:r w:rsidRPr="009072DA">
        <w:br/>
        <w:t>Управляемост на плавателния съд на собствен ход</w:t>
      </w:r>
      <w:bookmarkEnd w:id="754"/>
      <w:bookmarkEnd w:id="755"/>
    </w:p>
    <w:p w:rsidR="004F47BB" w:rsidRPr="009072DA" w:rsidRDefault="004F47BB" w:rsidP="004F47BB">
      <w:pPr>
        <w:tabs>
          <w:tab w:val="center" w:pos="4513"/>
        </w:tabs>
        <w:overflowPunct w:val="0"/>
        <w:adjustRightInd w:val="0"/>
        <w:jc w:val="center"/>
        <w:textAlignment w:val="baseline"/>
        <w:rPr>
          <w:rFonts w:cs="Arial"/>
          <w:b/>
          <w:szCs w:val="20"/>
          <w:lang w:val="bg-BG"/>
        </w:rPr>
      </w:pPr>
    </w:p>
    <w:p w:rsidR="004F47BB" w:rsidRPr="009072DA" w:rsidRDefault="004F47BB" w:rsidP="004F47BB">
      <w:pPr>
        <w:tabs>
          <w:tab w:val="center" w:pos="4513"/>
        </w:tabs>
        <w:overflowPunct w:val="0"/>
        <w:adjustRightInd w:val="0"/>
        <w:jc w:val="center"/>
        <w:textAlignment w:val="baseline"/>
        <w:rPr>
          <w:rFonts w:cs="Arial"/>
          <w:b/>
          <w:szCs w:val="20"/>
          <w:lang w:val="bg-BG"/>
        </w:rPr>
      </w:pPr>
      <w:r w:rsidRPr="009072DA">
        <w:rPr>
          <w:b/>
          <w:lang w:val="bg-BG"/>
        </w:rPr>
        <w:t>(член 13.05, точка 2, буква a), член 19.07, точка 1, член 28.04, точка 1, буква a))</w:t>
      </w:r>
    </w:p>
    <w:p w:rsidR="004F47BB" w:rsidRPr="009072DA" w:rsidRDefault="004F47BB" w:rsidP="004F47BB">
      <w:pPr>
        <w:tabs>
          <w:tab w:val="left" w:pos="567"/>
        </w:tabs>
        <w:overflowPunct w:val="0"/>
        <w:adjustRightInd w:val="0"/>
        <w:spacing w:line="240" w:lineRule="atLeast"/>
        <w:ind w:left="567" w:hanging="567"/>
        <w:textAlignment w:val="baseline"/>
        <w:rPr>
          <w:rFonts w:cs="Arial"/>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1.</w:t>
      </w:r>
      <w:r w:rsidRPr="009072DA">
        <w:rPr>
          <w:lang w:val="bg-BG"/>
        </w:rPr>
        <w:tab/>
      </w:r>
      <w:r w:rsidRPr="009072DA">
        <w:rPr>
          <w:b/>
          <w:color w:val="000000"/>
          <w:lang w:val="bg-BG"/>
        </w:rPr>
        <w:t>Минимални изисквания към управляемостта на плавателния съд</w:t>
      </w:r>
    </w:p>
    <w:p w:rsidR="004F47BB" w:rsidRPr="009072DA" w:rsidRDefault="004F47BB" w:rsidP="004F47BB">
      <w:pPr>
        <w:tabs>
          <w:tab w:val="left" w:pos="567"/>
        </w:tabs>
        <w:overflowPunct w:val="0"/>
        <w:adjustRightInd w:val="0"/>
        <w:spacing w:line="240" w:lineRule="atLeast"/>
        <w:ind w:left="567" w:hanging="567"/>
        <w:textAlignment w:val="baseline"/>
        <w:rPr>
          <w:rFonts w:cs="Arial"/>
          <w:szCs w:val="20"/>
          <w:lang w:val="bg-BG"/>
        </w:rPr>
      </w:pPr>
    </w:p>
    <w:p w:rsidR="004F47BB" w:rsidRPr="009072DA" w:rsidRDefault="004F47BB" w:rsidP="004F47BB">
      <w:pPr>
        <w:spacing w:line="240" w:lineRule="atLeast"/>
        <w:ind w:left="567"/>
        <w:rPr>
          <w:lang w:val="bg-BG"/>
        </w:rPr>
      </w:pPr>
      <w:r w:rsidRPr="009072DA">
        <w:rPr>
          <w:lang w:val="bg-BG"/>
        </w:rPr>
        <w:t>Управляемостта на плавателния съд на собствен ход в съответствие с член 13.05, точка 2, буква a), член 19.07, точка 1 и член 28.04, точка 1, буква a) се счита за достатъчна, ако — като използва носово подрулващо устройство — плавателният съд или формированието, задвижвано от плавателния съд, достига скорост от 6,5 km/h спрямо водата и може да започне поворот със скорост от 20°/min и да поддържа тази ъглова скорост на поворот при скорост спрямо водата от 6,5 km/h.</w:t>
      </w:r>
    </w:p>
    <w:p w:rsidR="004F47BB" w:rsidRPr="009072DA" w:rsidRDefault="004F47BB" w:rsidP="004F47BB">
      <w:pPr>
        <w:tabs>
          <w:tab w:val="left" w:pos="567"/>
        </w:tabs>
        <w:overflowPunct w:val="0"/>
        <w:adjustRightInd w:val="0"/>
        <w:spacing w:line="240" w:lineRule="atLeast"/>
        <w:ind w:left="567" w:hanging="567"/>
        <w:textAlignment w:val="baseline"/>
        <w:rPr>
          <w:rFonts w:cs="Arial"/>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w:t>
      </w:r>
      <w:r w:rsidRPr="009072DA">
        <w:rPr>
          <w:lang w:val="bg-BG"/>
        </w:rPr>
        <w:tab/>
      </w:r>
      <w:r w:rsidRPr="009072DA">
        <w:rPr>
          <w:b/>
          <w:color w:val="000000"/>
          <w:lang w:val="bg-BG"/>
        </w:rPr>
        <w:t>Ходови изпитвания</w:t>
      </w:r>
    </w:p>
    <w:p w:rsidR="004F47BB" w:rsidRPr="009072DA" w:rsidRDefault="004F47BB" w:rsidP="004F47BB">
      <w:pPr>
        <w:tabs>
          <w:tab w:val="left" w:pos="567"/>
        </w:tabs>
        <w:overflowPunct w:val="0"/>
        <w:adjustRightInd w:val="0"/>
        <w:spacing w:line="240" w:lineRule="atLeast"/>
        <w:ind w:left="567" w:hanging="567"/>
        <w:textAlignment w:val="baseline"/>
        <w:rPr>
          <w:rFonts w:cs="Arial"/>
          <w:szCs w:val="20"/>
          <w:lang w:val="bg-BG"/>
        </w:rPr>
      </w:pPr>
    </w:p>
    <w:p w:rsidR="004F47BB" w:rsidRPr="009072DA" w:rsidRDefault="004F47BB" w:rsidP="004F47BB">
      <w:pPr>
        <w:spacing w:line="240" w:lineRule="atLeast"/>
        <w:ind w:left="567"/>
        <w:rPr>
          <w:lang w:val="bg-BG"/>
        </w:rPr>
      </w:pPr>
      <w:r w:rsidRPr="009072DA">
        <w:rPr>
          <w:lang w:val="bg-BG"/>
        </w:rPr>
        <w:t>При проверката за минималните изисквания се спазват членове 5.03 и 5.04.</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r w:rsidRPr="009072DA">
        <w:rPr>
          <w:lang w:val="bg-BG"/>
        </w:rPr>
        <w:br w:type="page"/>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sectPr w:rsidR="004F47BB" w:rsidRPr="009072DA" w:rsidSect="00D45887">
          <w:headerReference w:type="default" r:id="rId149"/>
          <w:footnotePr>
            <w:numRestart w:val="eachPage"/>
          </w:footnotePr>
          <w:pgSz w:w="11907" w:h="16840" w:code="9"/>
          <w:pgMar w:top="1418" w:right="1418" w:bottom="1418" w:left="1418" w:header="680" w:footer="680" w:gutter="0"/>
          <w:cols w:space="720"/>
          <w:docGrid w:linePitch="326"/>
        </w:sectPr>
      </w:pPr>
    </w:p>
    <w:p w:rsidR="004F47BB" w:rsidRPr="009072DA" w:rsidRDefault="004F47BB" w:rsidP="003F3DE1">
      <w:pPr>
        <w:pStyle w:val="ES-Titre2ESI"/>
      </w:pPr>
      <w:bookmarkStart w:id="756" w:name="_Toc491854361"/>
      <w:bookmarkStart w:id="757" w:name="_Toc535827802"/>
      <w:r w:rsidRPr="009072DA">
        <w:lastRenderedPageBreak/>
        <w:t>ESI-II-12</w:t>
      </w:r>
      <w:r w:rsidRPr="009072DA">
        <w:br/>
        <w:t>Подходяща пожароизвестителна система</w:t>
      </w:r>
      <w:bookmarkEnd w:id="756"/>
      <w:bookmarkEnd w:id="757"/>
    </w:p>
    <w:p w:rsidR="004F47BB" w:rsidRPr="009072DA" w:rsidRDefault="004F47BB" w:rsidP="004F47BB">
      <w:pPr>
        <w:jc w:val="center"/>
        <w:rPr>
          <w:rFonts w:cs="Arial"/>
          <w:b/>
          <w:bCs/>
          <w:lang w:val="bg-BG"/>
        </w:rPr>
      </w:pPr>
    </w:p>
    <w:p w:rsidR="004F47BB" w:rsidRPr="009072DA" w:rsidRDefault="004F47BB" w:rsidP="004F47BB">
      <w:pPr>
        <w:tabs>
          <w:tab w:val="left" w:pos="426"/>
          <w:tab w:val="left" w:pos="709"/>
        </w:tabs>
        <w:spacing w:line="240" w:lineRule="atLeast"/>
        <w:ind w:left="709" w:hanging="709"/>
        <w:jc w:val="center"/>
        <w:rPr>
          <w:b/>
          <w:bCs/>
          <w:szCs w:val="20"/>
          <w:lang w:val="bg-BG"/>
        </w:rPr>
      </w:pPr>
      <w:r w:rsidRPr="009072DA">
        <w:rPr>
          <w:b/>
          <w:lang w:val="bg-BG"/>
        </w:rPr>
        <w:t>(член 13.05, точка 3, член 19.11, точка 18, член 29.10, точка 1)</w:t>
      </w:r>
    </w:p>
    <w:p w:rsidR="004F47BB" w:rsidRPr="009072DA" w:rsidRDefault="004F47BB" w:rsidP="004F47BB">
      <w:pPr>
        <w:tabs>
          <w:tab w:val="left" w:pos="426"/>
          <w:tab w:val="left" w:pos="709"/>
        </w:tabs>
        <w:spacing w:line="240" w:lineRule="atLeast"/>
        <w:ind w:left="709" w:hanging="709"/>
        <w:rPr>
          <w:szCs w:val="20"/>
          <w:lang w:val="bg-BG"/>
        </w:rPr>
      </w:pPr>
    </w:p>
    <w:p w:rsidR="004F47BB" w:rsidRPr="009072DA" w:rsidRDefault="004F47BB" w:rsidP="004F47BB">
      <w:pPr>
        <w:tabs>
          <w:tab w:val="left" w:pos="426"/>
          <w:tab w:val="left" w:pos="709"/>
        </w:tabs>
        <w:spacing w:line="240" w:lineRule="atLeast"/>
        <w:rPr>
          <w:szCs w:val="20"/>
          <w:lang w:val="bg-BG"/>
        </w:rPr>
      </w:pPr>
      <w:r w:rsidRPr="009072DA">
        <w:rPr>
          <w:lang w:val="bg-BG"/>
        </w:rPr>
        <w:t>Пожароизвестителните системи се считат подходящи, ако отговарят на следните условия.</w:t>
      </w:r>
    </w:p>
    <w:p w:rsidR="004F47BB" w:rsidRPr="009072DA" w:rsidRDefault="004F47BB" w:rsidP="004F47BB">
      <w:pPr>
        <w:tabs>
          <w:tab w:val="left" w:pos="426"/>
          <w:tab w:val="left" w:pos="709"/>
        </w:tabs>
        <w:spacing w:line="240" w:lineRule="atLeast"/>
        <w:ind w:left="709" w:hanging="709"/>
        <w:rPr>
          <w:szCs w:val="20"/>
          <w:lang w:val="bg-BG"/>
        </w:rPr>
      </w:pPr>
    </w:p>
    <w:p w:rsidR="004F47BB" w:rsidRPr="009072DA" w:rsidRDefault="004F47BB" w:rsidP="004F47BB">
      <w:pPr>
        <w:tabs>
          <w:tab w:val="num" w:pos="709"/>
        </w:tabs>
        <w:spacing w:line="240" w:lineRule="atLeast"/>
        <w:ind w:left="709" w:hanging="709"/>
        <w:rPr>
          <w:b/>
          <w:bCs/>
          <w:szCs w:val="20"/>
          <w:lang w:val="bg-BG"/>
        </w:rPr>
      </w:pPr>
      <w:r w:rsidRPr="009072DA">
        <w:rPr>
          <w:b/>
          <w:lang w:val="bg-BG"/>
        </w:rPr>
        <w:t>0.</w:t>
      </w:r>
      <w:r w:rsidRPr="009072DA">
        <w:rPr>
          <w:lang w:val="bg-BG"/>
        </w:rPr>
        <w:tab/>
      </w:r>
      <w:r w:rsidRPr="009072DA">
        <w:rPr>
          <w:b/>
          <w:lang w:val="bg-BG"/>
        </w:rPr>
        <w:t>Компоненти</w:t>
      </w:r>
    </w:p>
    <w:p w:rsidR="004F47BB" w:rsidRPr="009072DA" w:rsidRDefault="004F47BB" w:rsidP="004F47BB">
      <w:pPr>
        <w:tabs>
          <w:tab w:val="num" w:pos="709"/>
        </w:tabs>
        <w:spacing w:line="240" w:lineRule="atLeast"/>
        <w:ind w:left="709" w:hanging="709"/>
        <w:rPr>
          <w:szCs w:val="20"/>
          <w:lang w:val="bg-BG"/>
        </w:rPr>
      </w:pPr>
    </w:p>
    <w:p w:rsidR="004F47BB" w:rsidRPr="009072DA" w:rsidRDefault="004F47BB" w:rsidP="004F47BB">
      <w:pPr>
        <w:tabs>
          <w:tab w:val="num" w:pos="709"/>
        </w:tabs>
        <w:spacing w:line="240" w:lineRule="atLeast"/>
        <w:ind w:left="709" w:hanging="709"/>
        <w:rPr>
          <w:szCs w:val="20"/>
          <w:lang w:val="bg-BG"/>
        </w:rPr>
      </w:pPr>
      <w:r w:rsidRPr="009072DA">
        <w:rPr>
          <w:lang w:val="bg-BG"/>
        </w:rPr>
        <w:t>0.1</w:t>
      </w:r>
      <w:r w:rsidRPr="009072DA">
        <w:rPr>
          <w:lang w:val="bg-BG"/>
        </w:rPr>
        <w:tab/>
        <w:t>Пожароизвестителните системи се състоят от:</w:t>
      </w:r>
    </w:p>
    <w:p w:rsidR="004F47BB" w:rsidRPr="009072DA" w:rsidRDefault="004F47BB" w:rsidP="004F47BB">
      <w:pPr>
        <w:tabs>
          <w:tab w:val="num" w:pos="1134"/>
        </w:tabs>
        <w:spacing w:before="60" w:line="240" w:lineRule="atLeast"/>
        <w:ind w:left="1134"/>
        <w:rPr>
          <w:szCs w:val="20"/>
          <w:lang w:val="bg-BG"/>
        </w:rPr>
      </w:pPr>
      <w:r w:rsidRPr="009072DA">
        <w:rPr>
          <w:lang w:val="bg-BG"/>
        </w:rPr>
        <w:t>a)</w:t>
      </w:r>
      <w:r w:rsidRPr="009072DA">
        <w:rPr>
          <w:lang w:val="bg-BG"/>
        </w:rPr>
        <w:tab/>
        <w:t>система за откриване на пожар,</w:t>
      </w:r>
    </w:p>
    <w:p w:rsidR="004F47BB" w:rsidRPr="009072DA" w:rsidRDefault="004F47BB" w:rsidP="004F47BB">
      <w:pPr>
        <w:tabs>
          <w:tab w:val="num" w:pos="1134"/>
        </w:tabs>
        <w:spacing w:before="60" w:line="240" w:lineRule="atLeast"/>
        <w:ind w:left="1134"/>
        <w:rPr>
          <w:szCs w:val="20"/>
          <w:lang w:val="bg-BG"/>
        </w:rPr>
      </w:pPr>
      <w:r w:rsidRPr="009072DA">
        <w:rPr>
          <w:lang w:val="bg-BG"/>
        </w:rPr>
        <w:t>б)</w:t>
      </w:r>
      <w:r w:rsidRPr="009072DA">
        <w:rPr>
          <w:lang w:val="bg-BG"/>
        </w:rPr>
        <w:tab/>
        <w:t>система за указване на пожар,</w:t>
      </w:r>
    </w:p>
    <w:p w:rsidR="004F47BB" w:rsidRPr="009072DA" w:rsidRDefault="004F47BB" w:rsidP="004F47BB">
      <w:pPr>
        <w:tabs>
          <w:tab w:val="num" w:pos="1134"/>
        </w:tabs>
        <w:spacing w:before="60" w:line="240" w:lineRule="atLeast"/>
        <w:ind w:left="1134"/>
        <w:rPr>
          <w:szCs w:val="20"/>
          <w:lang w:val="bg-BG"/>
        </w:rPr>
      </w:pPr>
      <w:r w:rsidRPr="009072DA">
        <w:rPr>
          <w:lang w:val="bg-BG"/>
        </w:rPr>
        <w:t>в)</w:t>
      </w:r>
      <w:r w:rsidRPr="009072DA">
        <w:rPr>
          <w:lang w:val="bg-BG"/>
        </w:rPr>
        <w:tab/>
        <w:t>контролен панел</w:t>
      </w:r>
    </w:p>
    <w:p w:rsidR="004F47BB" w:rsidRPr="009072DA" w:rsidRDefault="004F47BB" w:rsidP="004F47BB">
      <w:pPr>
        <w:tabs>
          <w:tab w:val="num" w:pos="709"/>
        </w:tabs>
        <w:spacing w:before="60" w:line="240" w:lineRule="atLeast"/>
        <w:ind w:left="709"/>
        <w:rPr>
          <w:szCs w:val="20"/>
          <w:lang w:val="bg-BG"/>
        </w:rPr>
      </w:pPr>
      <w:r w:rsidRPr="009072DA">
        <w:rPr>
          <w:lang w:val="bg-BG"/>
        </w:rPr>
        <w:t>както и външно електрозахранване.</w:t>
      </w:r>
    </w:p>
    <w:p w:rsidR="004F47BB" w:rsidRPr="009072DA" w:rsidRDefault="004F47BB" w:rsidP="004F47BB">
      <w:pPr>
        <w:tabs>
          <w:tab w:val="num" w:pos="709"/>
        </w:tabs>
        <w:spacing w:line="240" w:lineRule="atLeast"/>
        <w:ind w:left="709" w:hanging="709"/>
        <w:rPr>
          <w:szCs w:val="20"/>
          <w:lang w:val="bg-BG"/>
        </w:rPr>
      </w:pPr>
    </w:p>
    <w:p w:rsidR="004F47BB" w:rsidRPr="009072DA" w:rsidRDefault="004F47BB" w:rsidP="004F47BB">
      <w:pPr>
        <w:tabs>
          <w:tab w:val="num" w:pos="709"/>
        </w:tabs>
        <w:spacing w:line="240" w:lineRule="atLeast"/>
        <w:ind w:left="709" w:hanging="709"/>
        <w:rPr>
          <w:szCs w:val="20"/>
          <w:lang w:val="bg-BG"/>
        </w:rPr>
      </w:pPr>
      <w:r w:rsidRPr="009072DA">
        <w:rPr>
          <w:lang w:val="bg-BG"/>
        </w:rPr>
        <w:t>0.2</w:t>
      </w:r>
      <w:r w:rsidRPr="009072DA">
        <w:rPr>
          <w:lang w:val="bg-BG"/>
        </w:rPr>
        <w:tab/>
        <w:t>Системата за откриване на пожар може да бъде разделена на една или няколко пожарни зони</w:t>
      </w:r>
    </w:p>
    <w:p w:rsidR="004F47BB" w:rsidRPr="009072DA" w:rsidRDefault="004F47BB" w:rsidP="004F47BB">
      <w:pPr>
        <w:tabs>
          <w:tab w:val="num" w:pos="709"/>
        </w:tabs>
        <w:spacing w:line="240" w:lineRule="atLeast"/>
        <w:ind w:left="709" w:hanging="709"/>
        <w:rPr>
          <w:szCs w:val="20"/>
          <w:lang w:val="bg-BG"/>
        </w:rPr>
      </w:pPr>
    </w:p>
    <w:p w:rsidR="004F47BB" w:rsidRPr="009072DA" w:rsidRDefault="004F47BB" w:rsidP="004F47BB">
      <w:pPr>
        <w:tabs>
          <w:tab w:val="num" w:pos="709"/>
        </w:tabs>
        <w:spacing w:line="240" w:lineRule="atLeast"/>
        <w:ind w:left="709" w:hanging="709"/>
        <w:rPr>
          <w:szCs w:val="20"/>
          <w:lang w:val="bg-BG"/>
        </w:rPr>
      </w:pPr>
      <w:r w:rsidRPr="009072DA">
        <w:rPr>
          <w:lang w:val="bg-BG"/>
        </w:rPr>
        <w:t>0.3</w:t>
      </w:r>
      <w:r w:rsidRPr="009072DA">
        <w:rPr>
          <w:lang w:val="bg-BG"/>
        </w:rPr>
        <w:tab/>
        <w:t>Системата за указване на пожар може да има едно или няколко индикаторни устройства.</w:t>
      </w:r>
    </w:p>
    <w:p w:rsidR="004F47BB" w:rsidRPr="009072DA" w:rsidRDefault="004F47BB" w:rsidP="004F47BB">
      <w:pPr>
        <w:tabs>
          <w:tab w:val="num" w:pos="709"/>
        </w:tabs>
        <w:spacing w:line="240" w:lineRule="atLeast"/>
        <w:ind w:left="709" w:hanging="709"/>
        <w:rPr>
          <w:szCs w:val="20"/>
          <w:lang w:val="bg-BG"/>
        </w:rPr>
      </w:pPr>
    </w:p>
    <w:p w:rsidR="004F47BB" w:rsidRPr="009072DA" w:rsidRDefault="004F47BB" w:rsidP="004F47BB">
      <w:pPr>
        <w:tabs>
          <w:tab w:val="num" w:pos="709"/>
        </w:tabs>
        <w:spacing w:line="240" w:lineRule="atLeast"/>
        <w:ind w:left="709" w:hanging="709"/>
        <w:rPr>
          <w:szCs w:val="20"/>
          <w:lang w:val="bg-BG"/>
        </w:rPr>
      </w:pPr>
      <w:r w:rsidRPr="009072DA">
        <w:rPr>
          <w:lang w:val="bg-BG"/>
        </w:rPr>
        <w:t>0.4</w:t>
      </w:r>
      <w:r w:rsidRPr="009072DA">
        <w:rPr>
          <w:lang w:val="bg-BG"/>
        </w:rPr>
        <w:tab/>
        <w:t>Таблото за управление е главният блок за управление на пожароизвестителната система. То включва и части от системата за указване на пожар (т.е. индикаторно устройство).</w:t>
      </w:r>
    </w:p>
    <w:p w:rsidR="004F47BB" w:rsidRPr="009072DA" w:rsidRDefault="004F47BB" w:rsidP="004F47BB">
      <w:pPr>
        <w:tabs>
          <w:tab w:val="num" w:pos="709"/>
        </w:tabs>
        <w:spacing w:line="240" w:lineRule="atLeast"/>
        <w:ind w:left="709" w:hanging="709"/>
        <w:rPr>
          <w:szCs w:val="20"/>
          <w:lang w:val="bg-BG"/>
        </w:rPr>
      </w:pPr>
    </w:p>
    <w:p w:rsidR="004F47BB" w:rsidRPr="009072DA" w:rsidRDefault="004F47BB" w:rsidP="004F47BB">
      <w:pPr>
        <w:tabs>
          <w:tab w:val="num" w:pos="709"/>
        </w:tabs>
        <w:spacing w:line="240" w:lineRule="atLeast"/>
        <w:ind w:left="709" w:hanging="709"/>
        <w:rPr>
          <w:szCs w:val="20"/>
          <w:lang w:val="bg-BG"/>
        </w:rPr>
      </w:pPr>
      <w:r w:rsidRPr="009072DA">
        <w:rPr>
          <w:lang w:val="bg-BG"/>
        </w:rPr>
        <w:t>0.5</w:t>
      </w:r>
      <w:r w:rsidRPr="009072DA">
        <w:rPr>
          <w:lang w:val="bg-BG"/>
        </w:rPr>
        <w:tab/>
        <w:t>В една зона за откриване на пожар може да има един или няколко пожарни датчика.</w:t>
      </w:r>
    </w:p>
    <w:p w:rsidR="004F47BB" w:rsidRPr="009072DA" w:rsidRDefault="004F47BB" w:rsidP="004F47BB">
      <w:pPr>
        <w:tabs>
          <w:tab w:val="num" w:pos="709"/>
        </w:tabs>
        <w:spacing w:line="240" w:lineRule="atLeast"/>
        <w:ind w:left="709" w:hanging="709"/>
        <w:rPr>
          <w:szCs w:val="20"/>
          <w:lang w:val="bg-BG"/>
        </w:rPr>
      </w:pPr>
    </w:p>
    <w:p w:rsidR="004F47BB" w:rsidRPr="009072DA" w:rsidRDefault="004F47BB" w:rsidP="004F47BB">
      <w:pPr>
        <w:tabs>
          <w:tab w:val="num" w:pos="709"/>
        </w:tabs>
        <w:spacing w:line="240" w:lineRule="atLeast"/>
        <w:ind w:left="709" w:hanging="709"/>
        <w:rPr>
          <w:szCs w:val="20"/>
          <w:lang w:val="bg-BG"/>
        </w:rPr>
      </w:pPr>
      <w:r w:rsidRPr="009072DA">
        <w:rPr>
          <w:lang w:val="bg-BG"/>
        </w:rPr>
        <w:t>0.6</w:t>
      </w:r>
      <w:r w:rsidRPr="009072DA">
        <w:rPr>
          <w:lang w:val="bg-BG"/>
        </w:rPr>
        <w:tab/>
        <w:t>Пожарните датчици могат да бъдат</w:t>
      </w:r>
    </w:p>
    <w:p w:rsidR="004F47BB" w:rsidRPr="009072DA" w:rsidRDefault="004F47BB" w:rsidP="004F47BB">
      <w:pPr>
        <w:tabs>
          <w:tab w:val="num" w:pos="1134"/>
        </w:tabs>
        <w:spacing w:before="60" w:line="240" w:lineRule="atLeast"/>
        <w:ind w:left="1134"/>
        <w:rPr>
          <w:szCs w:val="20"/>
          <w:lang w:val="bg-BG"/>
        </w:rPr>
      </w:pPr>
      <w:r w:rsidRPr="009072DA">
        <w:rPr>
          <w:lang w:val="bg-BG"/>
        </w:rPr>
        <w:t>a)</w:t>
      </w:r>
      <w:r w:rsidRPr="009072DA">
        <w:rPr>
          <w:lang w:val="bg-BG"/>
        </w:rPr>
        <w:tab/>
        <w:t>топлинни датчици,</w:t>
      </w:r>
    </w:p>
    <w:p w:rsidR="004F47BB" w:rsidRPr="009072DA" w:rsidRDefault="004F47BB" w:rsidP="004F47BB">
      <w:pPr>
        <w:tabs>
          <w:tab w:val="num" w:pos="1134"/>
        </w:tabs>
        <w:spacing w:before="60" w:line="240" w:lineRule="atLeast"/>
        <w:ind w:left="1134"/>
        <w:rPr>
          <w:szCs w:val="20"/>
          <w:lang w:val="bg-BG"/>
        </w:rPr>
      </w:pPr>
      <w:r w:rsidRPr="009072DA">
        <w:rPr>
          <w:lang w:val="bg-BG"/>
        </w:rPr>
        <w:t>б)</w:t>
      </w:r>
      <w:r w:rsidRPr="009072DA">
        <w:rPr>
          <w:lang w:val="bg-BG"/>
        </w:rPr>
        <w:tab/>
        <w:t>димни датчици,</w:t>
      </w:r>
    </w:p>
    <w:p w:rsidR="004F47BB" w:rsidRPr="009072DA" w:rsidRDefault="004F47BB" w:rsidP="004F47BB">
      <w:pPr>
        <w:tabs>
          <w:tab w:val="num" w:pos="1134"/>
        </w:tabs>
        <w:spacing w:before="60" w:line="240" w:lineRule="atLeast"/>
        <w:ind w:left="1134"/>
        <w:rPr>
          <w:szCs w:val="20"/>
          <w:lang w:val="bg-BG"/>
        </w:rPr>
      </w:pPr>
      <w:r w:rsidRPr="009072DA">
        <w:rPr>
          <w:lang w:val="bg-BG"/>
        </w:rPr>
        <w:t>в)</w:t>
      </w:r>
      <w:r w:rsidRPr="009072DA">
        <w:rPr>
          <w:lang w:val="bg-BG"/>
        </w:rPr>
        <w:tab/>
        <w:t>детектори на йони,</w:t>
      </w:r>
    </w:p>
    <w:p w:rsidR="004F47BB" w:rsidRPr="009072DA" w:rsidRDefault="004F47BB" w:rsidP="004F47BB">
      <w:pPr>
        <w:tabs>
          <w:tab w:val="num" w:pos="1134"/>
        </w:tabs>
        <w:spacing w:before="60" w:line="240" w:lineRule="atLeast"/>
        <w:ind w:left="1134"/>
        <w:rPr>
          <w:szCs w:val="20"/>
          <w:lang w:val="bg-BG"/>
        </w:rPr>
      </w:pPr>
      <w:r w:rsidRPr="009072DA">
        <w:rPr>
          <w:lang w:val="bg-BG"/>
        </w:rPr>
        <w:t>г)</w:t>
      </w:r>
      <w:r w:rsidRPr="009072DA">
        <w:rPr>
          <w:lang w:val="bg-BG"/>
        </w:rPr>
        <w:tab/>
        <w:t>датчици на пламък,</w:t>
      </w:r>
    </w:p>
    <w:p w:rsidR="004F47BB" w:rsidRPr="009072DA" w:rsidRDefault="004F47BB" w:rsidP="004F47BB">
      <w:pPr>
        <w:tabs>
          <w:tab w:val="num" w:pos="1134"/>
        </w:tabs>
        <w:spacing w:before="60" w:line="240" w:lineRule="atLeast"/>
        <w:ind w:left="1134"/>
        <w:rPr>
          <w:szCs w:val="20"/>
          <w:lang w:val="bg-BG"/>
        </w:rPr>
      </w:pPr>
      <w:r w:rsidRPr="009072DA">
        <w:rPr>
          <w:lang w:val="bg-BG"/>
        </w:rPr>
        <w:lastRenderedPageBreak/>
        <w:t>д)</w:t>
      </w:r>
      <w:r w:rsidRPr="009072DA">
        <w:rPr>
          <w:lang w:val="bg-BG"/>
        </w:rPr>
        <w:tab/>
        <w:t>комбинирани датчици (пожарни датчици, които съвместяват два или повече от датчиците, изброени в букви от а) до г)).</w:t>
      </w:r>
    </w:p>
    <w:p w:rsidR="004F47BB" w:rsidRPr="009072DA" w:rsidRDefault="004F47BB" w:rsidP="004F47BB">
      <w:pPr>
        <w:tabs>
          <w:tab w:val="num" w:pos="709"/>
        </w:tabs>
        <w:spacing w:line="240" w:lineRule="atLeast"/>
        <w:ind w:left="709" w:hanging="709"/>
        <w:rPr>
          <w:szCs w:val="20"/>
          <w:lang w:val="bg-BG"/>
        </w:rPr>
      </w:pPr>
    </w:p>
    <w:p w:rsidR="004F47BB" w:rsidRPr="009072DA" w:rsidRDefault="004F47BB" w:rsidP="004F47BB">
      <w:pPr>
        <w:tabs>
          <w:tab w:val="num" w:pos="709"/>
        </w:tabs>
        <w:spacing w:line="240" w:lineRule="atLeast"/>
        <w:ind w:left="709"/>
        <w:rPr>
          <w:szCs w:val="20"/>
          <w:lang w:val="bg-BG"/>
        </w:rPr>
      </w:pPr>
      <w:r w:rsidRPr="009072DA">
        <w:rPr>
          <w:lang w:val="bg-BG"/>
        </w:rPr>
        <w:t>Пожарните датчици, които реагират на други фактори, показващи началото на пожар, могат да се одобрят от контролния орган, ако са не по-малко чувствителни от датчиците, посочени в букви а) — д).</w:t>
      </w:r>
    </w:p>
    <w:p w:rsidR="004F47BB" w:rsidRPr="009072DA" w:rsidRDefault="004F47BB" w:rsidP="004F47BB">
      <w:pPr>
        <w:tabs>
          <w:tab w:val="num" w:pos="709"/>
        </w:tabs>
        <w:spacing w:line="240" w:lineRule="atLeast"/>
        <w:ind w:left="709" w:hanging="709"/>
        <w:rPr>
          <w:szCs w:val="20"/>
          <w:lang w:val="bg-BG"/>
        </w:rPr>
      </w:pPr>
    </w:p>
    <w:p w:rsidR="004F47BB" w:rsidRPr="009072DA" w:rsidRDefault="004F47BB" w:rsidP="004F47BB">
      <w:pPr>
        <w:tabs>
          <w:tab w:val="num" w:pos="709"/>
        </w:tabs>
        <w:spacing w:line="240" w:lineRule="atLeast"/>
        <w:rPr>
          <w:szCs w:val="20"/>
          <w:lang w:val="bg-BG"/>
        </w:rPr>
      </w:pPr>
      <w:r w:rsidRPr="009072DA">
        <w:rPr>
          <w:lang w:val="bg-BG"/>
        </w:rPr>
        <w:t>0.7</w:t>
      </w:r>
      <w:r w:rsidRPr="009072DA">
        <w:rPr>
          <w:lang w:val="bg-BG"/>
        </w:rPr>
        <w:tab/>
        <w:t>Пожарните датчици могат да бъдат инсталирани</w:t>
      </w:r>
    </w:p>
    <w:p w:rsidR="004F47BB" w:rsidRPr="009072DA" w:rsidRDefault="004F47BB" w:rsidP="004F47BB">
      <w:pPr>
        <w:tabs>
          <w:tab w:val="num" w:pos="1134"/>
        </w:tabs>
        <w:spacing w:before="60" w:line="240" w:lineRule="atLeast"/>
        <w:ind w:left="1134"/>
        <w:rPr>
          <w:szCs w:val="20"/>
          <w:lang w:val="bg-BG"/>
        </w:rPr>
      </w:pPr>
      <w:r w:rsidRPr="009072DA">
        <w:rPr>
          <w:lang w:val="bg-BG"/>
        </w:rPr>
        <w:t>a)</w:t>
      </w:r>
      <w:r w:rsidRPr="009072DA">
        <w:rPr>
          <w:lang w:val="bg-BG"/>
        </w:rPr>
        <w:tab/>
        <w:t>със или</w:t>
      </w:r>
    </w:p>
    <w:p w:rsidR="004F47BB" w:rsidRPr="009072DA" w:rsidRDefault="004F47BB" w:rsidP="004F47BB">
      <w:pPr>
        <w:tabs>
          <w:tab w:val="num" w:pos="1134"/>
        </w:tabs>
        <w:spacing w:before="60" w:line="240" w:lineRule="atLeast"/>
        <w:ind w:left="1134"/>
        <w:rPr>
          <w:szCs w:val="20"/>
          <w:lang w:val="bg-BG"/>
        </w:rPr>
      </w:pPr>
      <w:r w:rsidRPr="009072DA">
        <w:rPr>
          <w:lang w:val="bg-BG"/>
        </w:rPr>
        <w:t>б)</w:t>
      </w:r>
      <w:r w:rsidRPr="009072DA">
        <w:rPr>
          <w:lang w:val="bg-BG"/>
        </w:rPr>
        <w:tab/>
        <w:t>без</w:t>
      </w:r>
    </w:p>
    <w:p w:rsidR="004F47BB" w:rsidRPr="009072DA" w:rsidRDefault="004F47BB" w:rsidP="004F47BB">
      <w:pPr>
        <w:tabs>
          <w:tab w:val="num" w:pos="709"/>
        </w:tabs>
        <w:spacing w:before="60" w:line="240" w:lineRule="atLeast"/>
        <w:ind w:left="709"/>
        <w:rPr>
          <w:szCs w:val="20"/>
          <w:lang w:val="bg-BG"/>
        </w:rPr>
      </w:pPr>
      <w:r w:rsidRPr="009072DA">
        <w:rPr>
          <w:lang w:val="bg-BG"/>
        </w:rPr>
        <w:t>индивидуална идентификация.</w:t>
      </w:r>
    </w:p>
    <w:p w:rsidR="004F47BB" w:rsidRPr="009072DA" w:rsidRDefault="004F47BB" w:rsidP="004F47BB">
      <w:pPr>
        <w:tabs>
          <w:tab w:val="left" w:pos="426"/>
          <w:tab w:val="left" w:pos="709"/>
        </w:tabs>
        <w:spacing w:line="240" w:lineRule="atLeast"/>
        <w:ind w:left="709" w:hanging="709"/>
        <w:rPr>
          <w:szCs w:val="20"/>
          <w:lang w:val="bg-BG"/>
        </w:rPr>
      </w:pPr>
    </w:p>
    <w:p w:rsidR="004F47BB" w:rsidRPr="009072DA" w:rsidRDefault="004F47BB" w:rsidP="004F47BB">
      <w:pPr>
        <w:tabs>
          <w:tab w:val="left" w:pos="426"/>
          <w:tab w:val="left" w:pos="709"/>
        </w:tabs>
        <w:spacing w:line="240" w:lineRule="atLeast"/>
        <w:ind w:left="709" w:hanging="709"/>
        <w:rPr>
          <w:szCs w:val="20"/>
          <w:lang w:val="bg-BG"/>
        </w:rPr>
      </w:pPr>
      <w:r w:rsidRPr="009072DA">
        <w:rPr>
          <w:lang w:val="bg-BG"/>
        </w:rPr>
        <w:br w:type="page"/>
      </w:r>
    </w:p>
    <w:p w:rsidR="004F47BB" w:rsidRPr="009072DA" w:rsidRDefault="004F47BB" w:rsidP="004F47BB">
      <w:pPr>
        <w:tabs>
          <w:tab w:val="left" w:pos="709"/>
        </w:tabs>
        <w:spacing w:line="240" w:lineRule="atLeast"/>
        <w:ind w:left="709" w:hanging="709"/>
        <w:rPr>
          <w:szCs w:val="20"/>
          <w:lang w:val="bg-BG"/>
        </w:rPr>
      </w:pPr>
      <w:r w:rsidRPr="009072DA">
        <w:rPr>
          <w:b/>
          <w:lang w:val="bg-BG"/>
        </w:rPr>
        <w:lastRenderedPageBreak/>
        <w:t>1.</w:t>
      </w:r>
      <w:r w:rsidRPr="009072DA">
        <w:rPr>
          <w:lang w:val="bg-BG"/>
        </w:rPr>
        <w:tab/>
      </w:r>
      <w:r w:rsidRPr="009072DA">
        <w:rPr>
          <w:b/>
          <w:lang w:val="bg-BG"/>
        </w:rPr>
        <w:t>Изисквания към изграждането</w:t>
      </w:r>
    </w:p>
    <w:p w:rsidR="004F47BB" w:rsidRPr="009072DA" w:rsidRDefault="004F47BB" w:rsidP="004F47BB">
      <w:pPr>
        <w:tabs>
          <w:tab w:val="left" w:pos="709"/>
        </w:tabs>
        <w:spacing w:line="240" w:lineRule="atLeast"/>
        <w:ind w:left="709" w:hanging="709"/>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t>1.1</w:t>
      </w:r>
      <w:r w:rsidRPr="009072DA">
        <w:rPr>
          <w:lang w:val="bg-BG"/>
        </w:rPr>
        <w:tab/>
        <w:t>Общи положения</w:t>
      </w:r>
    </w:p>
    <w:p w:rsidR="004F47BB" w:rsidRPr="009072DA" w:rsidRDefault="004F47BB" w:rsidP="004F47BB">
      <w:pPr>
        <w:tabs>
          <w:tab w:val="left" w:pos="426"/>
          <w:tab w:val="left" w:pos="709"/>
        </w:tabs>
        <w:spacing w:line="240" w:lineRule="atLeast"/>
        <w:rPr>
          <w:szCs w:val="20"/>
          <w:lang w:val="bg-BG"/>
        </w:rPr>
      </w:pPr>
    </w:p>
    <w:p w:rsidR="004F47BB" w:rsidRPr="009072DA" w:rsidRDefault="004F47BB" w:rsidP="004F47BB">
      <w:pPr>
        <w:tabs>
          <w:tab w:val="left" w:pos="426"/>
          <w:tab w:val="left" w:pos="709"/>
        </w:tabs>
        <w:spacing w:line="240" w:lineRule="atLeast"/>
        <w:ind w:left="709" w:hanging="709"/>
        <w:rPr>
          <w:szCs w:val="20"/>
          <w:lang w:val="bg-BG"/>
        </w:rPr>
      </w:pPr>
      <w:r w:rsidRPr="009072DA">
        <w:rPr>
          <w:lang w:val="bg-BG"/>
        </w:rPr>
        <w:t>1.1.1</w:t>
      </w:r>
      <w:r w:rsidRPr="009072DA">
        <w:rPr>
          <w:lang w:val="bg-BG"/>
        </w:rPr>
        <w:tab/>
        <w:t>Задължителните пожароизвестителни системи трябва да са непрекъснато в готовност.</w:t>
      </w:r>
    </w:p>
    <w:p w:rsidR="004F47BB" w:rsidRPr="009072DA" w:rsidRDefault="004F47BB" w:rsidP="004F47BB">
      <w:pPr>
        <w:tabs>
          <w:tab w:val="left" w:pos="426"/>
          <w:tab w:val="left" w:pos="709"/>
        </w:tabs>
        <w:spacing w:line="240" w:lineRule="atLeast"/>
        <w:ind w:left="709" w:hanging="709"/>
        <w:rPr>
          <w:szCs w:val="20"/>
          <w:lang w:val="bg-BG"/>
        </w:rPr>
      </w:pPr>
    </w:p>
    <w:p w:rsidR="004F47BB" w:rsidRPr="009072DA" w:rsidRDefault="004F47BB" w:rsidP="004F47BB">
      <w:pPr>
        <w:tabs>
          <w:tab w:val="left" w:pos="426"/>
          <w:tab w:val="left" w:pos="709"/>
        </w:tabs>
        <w:spacing w:after="80" w:line="240" w:lineRule="atLeast"/>
        <w:ind w:left="709" w:hanging="709"/>
        <w:rPr>
          <w:szCs w:val="20"/>
          <w:lang w:val="bg-BG"/>
        </w:rPr>
      </w:pPr>
      <w:r w:rsidRPr="009072DA">
        <w:rPr>
          <w:lang w:val="bg-BG"/>
        </w:rPr>
        <w:t>1.1.2</w:t>
      </w:r>
      <w:r w:rsidRPr="009072DA">
        <w:rPr>
          <w:lang w:val="bg-BG"/>
        </w:rPr>
        <w:tab/>
        <w:t>Пожарните датчици, изисквани съгласно точка 2.2, са автоматични. Могат да бъдат монтирани допълнителни ръчно задействани датчици за пожар.</w:t>
      </w:r>
    </w:p>
    <w:p w:rsidR="004F47BB" w:rsidRPr="009072DA" w:rsidRDefault="004F47BB" w:rsidP="004F47BB">
      <w:pPr>
        <w:tabs>
          <w:tab w:val="left" w:pos="709"/>
        </w:tabs>
        <w:spacing w:line="240" w:lineRule="atLeast"/>
        <w:ind w:left="709" w:hanging="709"/>
        <w:rPr>
          <w:szCs w:val="20"/>
          <w:lang w:val="bg-BG"/>
        </w:rPr>
      </w:pPr>
      <w:r w:rsidRPr="009072DA">
        <w:rPr>
          <w:lang w:val="bg-BG"/>
        </w:rPr>
        <w:t>1.1.3</w:t>
      </w:r>
      <w:r w:rsidRPr="009072DA">
        <w:rPr>
          <w:lang w:val="bg-BG"/>
        </w:rPr>
        <w:tab/>
        <w:t>Системата и елементите ѝ трябва да могат да издържат на колебания и резки промени на напрежението, промени в околната температура, вибрации, влажност, сътресения, удари и корозия, каквито са обичайни за плавателните съдове.</w:t>
      </w:r>
    </w:p>
    <w:p w:rsidR="004F47BB" w:rsidRPr="009072DA" w:rsidRDefault="004F47BB" w:rsidP="004F47BB">
      <w:pPr>
        <w:tabs>
          <w:tab w:val="left" w:pos="426"/>
          <w:tab w:val="left" w:pos="709"/>
        </w:tabs>
        <w:spacing w:line="240" w:lineRule="atLeast"/>
        <w:rPr>
          <w:szCs w:val="20"/>
          <w:lang w:val="bg-BG"/>
        </w:rPr>
      </w:pPr>
    </w:p>
    <w:p w:rsidR="004F47BB" w:rsidRPr="009072DA" w:rsidRDefault="004F47BB" w:rsidP="004F47BB">
      <w:pPr>
        <w:tabs>
          <w:tab w:val="num" w:pos="709"/>
        </w:tabs>
        <w:spacing w:after="80" w:line="240" w:lineRule="atLeast"/>
        <w:ind w:left="709" w:hanging="709"/>
        <w:rPr>
          <w:b/>
          <w:bCs/>
          <w:szCs w:val="20"/>
          <w:lang w:val="bg-BG"/>
        </w:rPr>
      </w:pPr>
      <w:r w:rsidRPr="009072DA">
        <w:rPr>
          <w:b/>
          <w:lang w:val="bg-BG"/>
        </w:rPr>
        <w:t>1.2</w:t>
      </w:r>
      <w:r w:rsidRPr="009072DA">
        <w:rPr>
          <w:lang w:val="bg-BG"/>
        </w:rPr>
        <w:tab/>
      </w:r>
      <w:r w:rsidRPr="009072DA">
        <w:rPr>
          <w:b/>
          <w:lang w:val="bg-BG"/>
        </w:rPr>
        <w:t>Електрозахранване</w:t>
      </w:r>
    </w:p>
    <w:p w:rsidR="004F47BB" w:rsidRPr="009072DA" w:rsidRDefault="004F47BB" w:rsidP="004F47BB">
      <w:pPr>
        <w:tabs>
          <w:tab w:val="left" w:pos="709"/>
        </w:tabs>
        <w:spacing w:after="80" w:line="240" w:lineRule="atLeast"/>
        <w:ind w:left="709" w:hanging="709"/>
        <w:rPr>
          <w:szCs w:val="20"/>
          <w:lang w:val="bg-BG"/>
        </w:rPr>
      </w:pPr>
      <w:r w:rsidRPr="009072DA">
        <w:rPr>
          <w:lang w:val="bg-BG"/>
        </w:rPr>
        <w:t>1.2.1</w:t>
      </w:r>
      <w:r w:rsidRPr="009072DA">
        <w:rPr>
          <w:lang w:val="bg-BG"/>
        </w:rPr>
        <w:tab/>
        <w:t>Необходимите източници на енергия и електрически вериги за работата на пожароизвестителните системи трябва да следят сами своето състояние. Всяка неизправност трябва да задейства светлинен и звуков алармен сигнал на таблото за управление, който да може да се различи от алармения сигнал за пожар.</w:t>
      </w:r>
    </w:p>
    <w:p w:rsidR="004F47BB" w:rsidRPr="009072DA" w:rsidRDefault="004F47BB" w:rsidP="004F47BB">
      <w:pPr>
        <w:tabs>
          <w:tab w:val="left" w:pos="709"/>
        </w:tabs>
        <w:spacing w:line="240" w:lineRule="atLeast"/>
        <w:ind w:left="709" w:hanging="709"/>
        <w:rPr>
          <w:szCs w:val="20"/>
          <w:lang w:val="bg-BG"/>
        </w:rPr>
      </w:pPr>
      <w:r w:rsidRPr="009072DA">
        <w:rPr>
          <w:lang w:val="bg-BG"/>
        </w:rPr>
        <w:t>1.2.2</w:t>
      </w:r>
      <w:r w:rsidRPr="009072DA">
        <w:rPr>
          <w:lang w:val="bg-BG"/>
        </w:rPr>
        <w:tab/>
        <w:t xml:space="preserve">Трябва да има най-малко два източника на енергия за електрическата част на пожароизвестителната система, единият от които трябва да бъде аварийна електрозахранваща система (т.е. авариен източник на енергия и аварийно разпределително табло). Трябва да има две отделни захранвания, които са единствено за тази цел. Те трябва да са свързани с автоматичен превключвател, разположен на таблото за управление на пожароизвестителната система или близо до него. На плавателните съдове за дневни пътувания до 25 m </w:t>
      </w:r>
      <m:oMath>
        <m:sSub>
          <m:sSubPr>
            <m:ctrlPr>
              <w:rPr>
                <w:rFonts w:ascii="Cambria Math" w:hAnsi="Cambria Math"/>
                <w:i/>
                <w:szCs w:val="20"/>
                <w:lang w:val="bg-BG"/>
              </w:rPr>
            </m:ctrlPr>
          </m:sSubPr>
          <m:e>
            <m:r>
              <w:rPr>
                <w:rFonts w:ascii="Cambria Math" w:hAnsi="Cambria Math"/>
                <w:szCs w:val="20"/>
                <w:lang w:val="bg-BG"/>
              </w:rPr>
              <m:t>L</m:t>
            </m:r>
          </m:e>
          <m:sub>
            <m:r>
              <w:rPr>
                <w:rFonts w:ascii="Cambria Math" w:hAnsi="Cambria Math"/>
                <w:szCs w:val="20"/>
                <w:lang w:val="bg-BG"/>
              </w:rPr>
              <m:t>WL</m:t>
            </m:r>
          </m:sub>
        </m:sSub>
      </m:oMath>
      <w:r w:rsidRPr="009072DA">
        <w:rPr>
          <w:lang w:val="bg-BG"/>
        </w:rPr>
        <w:t xml:space="preserve"> и на моторните плавателни съдове отделното аварийно електрозахранване е достатъчно.</w:t>
      </w:r>
    </w:p>
    <w:p w:rsidR="004F47BB" w:rsidRPr="009072DA" w:rsidRDefault="004F47BB" w:rsidP="004F47BB">
      <w:pPr>
        <w:tabs>
          <w:tab w:val="left" w:pos="709"/>
        </w:tabs>
        <w:spacing w:line="240" w:lineRule="atLeast"/>
        <w:ind w:left="426" w:hanging="426"/>
        <w:rPr>
          <w:szCs w:val="20"/>
          <w:lang w:val="bg-BG"/>
        </w:rPr>
      </w:pPr>
    </w:p>
    <w:p w:rsidR="004F47BB" w:rsidRPr="009072DA" w:rsidRDefault="004F47BB" w:rsidP="004F47BB">
      <w:pPr>
        <w:tabs>
          <w:tab w:val="num" w:pos="709"/>
        </w:tabs>
        <w:spacing w:line="240" w:lineRule="atLeast"/>
        <w:ind w:left="709" w:hanging="709"/>
        <w:rPr>
          <w:b/>
          <w:bCs/>
          <w:szCs w:val="20"/>
          <w:lang w:val="bg-BG"/>
        </w:rPr>
      </w:pPr>
      <w:r w:rsidRPr="009072DA">
        <w:rPr>
          <w:b/>
          <w:lang w:val="bg-BG"/>
        </w:rPr>
        <w:t>1.3</w:t>
      </w:r>
      <w:r w:rsidRPr="009072DA">
        <w:rPr>
          <w:lang w:val="bg-BG"/>
        </w:rPr>
        <w:tab/>
      </w:r>
      <w:r w:rsidRPr="009072DA">
        <w:rPr>
          <w:b/>
          <w:lang w:val="bg-BG"/>
        </w:rPr>
        <w:t>Система за откриване на пожар</w:t>
      </w:r>
    </w:p>
    <w:p w:rsidR="004F47BB" w:rsidRPr="009072DA" w:rsidRDefault="004F47BB" w:rsidP="004F47BB">
      <w:pPr>
        <w:tabs>
          <w:tab w:val="left" w:pos="709"/>
        </w:tabs>
        <w:spacing w:before="140" w:line="240" w:lineRule="atLeast"/>
        <w:ind w:left="709" w:hanging="709"/>
        <w:rPr>
          <w:szCs w:val="20"/>
          <w:lang w:val="bg-BG"/>
        </w:rPr>
      </w:pPr>
      <w:r w:rsidRPr="009072DA">
        <w:rPr>
          <w:lang w:val="bg-BG"/>
        </w:rPr>
        <w:t>1.3.1</w:t>
      </w:r>
      <w:r w:rsidRPr="009072DA">
        <w:rPr>
          <w:lang w:val="bg-BG"/>
        </w:rPr>
        <w:tab/>
        <w:t>Пожарните датчици се групират в зони за откриване на пожар.</w:t>
      </w:r>
    </w:p>
    <w:p w:rsidR="004F47BB" w:rsidRPr="009072DA" w:rsidRDefault="004F47BB" w:rsidP="004F47BB">
      <w:pPr>
        <w:tabs>
          <w:tab w:val="left" w:pos="709"/>
        </w:tabs>
        <w:spacing w:before="140" w:line="240" w:lineRule="atLeast"/>
        <w:ind w:left="709" w:hanging="709"/>
        <w:rPr>
          <w:szCs w:val="20"/>
          <w:lang w:val="bg-BG"/>
        </w:rPr>
      </w:pPr>
      <w:r w:rsidRPr="009072DA">
        <w:rPr>
          <w:lang w:val="bg-BG"/>
        </w:rPr>
        <w:t>1.3.2</w:t>
      </w:r>
      <w:r w:rsidRPr="009072DA">
        <w:rPr>
          <w:lang w:val="bg-BG"/>
        </w:rPr>
        <w:tab/>
        <w:t>Системите за откриване на пожар не трябва да се използват за никакви други цели. По изключение затварянето на вратите в съответствие с член 19.11, точка 9 и сходни функции могат да бъдат задействани и показани на таблото за управление.</w:t>
      </w:r>
    </w:p>
    <w:p w:rsidR="004F47BB" w:rsidRPr="009072DA" w:rsidRDefault="004F47BB" w:rsidP="004F47BB">
      <w:pPr>
        <w:tabs>
          <w:tab w:val="left" w:pos="426"/>
          <w:tab w:val="left" w:pos="709"/>
        </w:tabs>
        <w:spacing w:line="240" w:lineRule="atLeast"/>
        <w:ind w:left="709" w:hanging="568"/>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t>1.3.3</w:t>
      </w:r>
      <w:r w:rsidRPr="009072DA">
        <w:rPr>
          <w:lang w:val="bg-BG"/>
        </w:rPr>
        <w:tab/>
        <w:t>Системите за откриване на пожар се проектират по такъв начин, че показването на първия сигнал за пожар да не предотвратява постъпването на сигнали за пожар от другите датчици.</w:t>
      </w:r>
    </w:p>
    <w:p w:rsidR="004F47BB" w:rsidRPr="009072DA" w:rsidRDefault="004F47BB" w:rsidP="004F47BB">
      <w:pPr>
        <w:tabs>
          <w:tab w:val="left" w:pos="709"/>
        </w:tabs>
        <w:spacing w:line="240" w:lineRule="atLeast"/>
        <w:rPr>
          <w:szCs w:val="20"/>
          <w:lang w:val="bg-BG"/>
        </w:rPr>
      </w:pPr>
    </w:p>
    <w:p w:rsidR="004F47BB" w:rsidRPr="009072DA" w:rsidRDefault="004F47BB" w:rsidP="004F47BB">
      <w:pPr>
        <w:tabs>
          <w:tab w:val="num" w:pos="709"/>
        </w:tabs>
        <w:spacing w:line="240" w:lineRule="atLeast"/>
        <w:rPr>
          <w:b/>
          <w:bCs/>
          <w:szCs w:val="20"/>
          <w:lang w:val="bg-BG"/>
        </w:rPr>
      </w:pPr>
      <w:r w:rsidRPr="009072DA">
        <w:rPr>
          <w:b/>
          <w:lang w:val="bg-BG"/>
        </w:rPr>
        <w:t>1.4</w:t>
      </w:r>
      <w:r w:rsidRPr="009072DA">
        <w:rPr>
          <w:lang w:val="bg-BG"/>
        </w:rPr>
        <w:tab/>
      </w:r>
      <w:r w:rsidRPr="009072DA">
        <w:rPr>
          <w:b/>
          <w:lang w:val="bg-BG"/>
        </w:rPr>
        <w:t>Зони за откриване на пожар</w:t>
      </w:r>
    </w:p>
    <w:p w:rsidR="004F47BB" w:rsidRPr="009072DA" w:rsidRDefault="004F47BB" w:rsidP="004F47BB">
      <w:pPr>
        <w:tabs>
          <w:tab w:val="left" w:pos="709"/>
        </w:tabs>
        <w:spacing w:line="240" w:lineRule="atLeast"/>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lastRenderedPageBreak/>
        <w:t>1.4.1</w:t>
      </w:r>
      <w:r w:rsidRPr="009072DA">
        <w:rPr>
          <w:lang w:val="bg-BG"/>
        </w:rPr>
        <w:tab/>
        <w:t>Когато отделните пожарни датчици не могат да бъдат идентифицирани от разстояние, една зона за откриване на пожар не трябва да обхваща повече от една палуба под наблюдение. Това не важи за зона за откриване на пожар, която охранява затворена стълбищна шахта.</w:t>
      </w:r>
    </w:p>
    <w:p w:rsidR="004F47BB" w:rsidRPr="009072DA" w:rsidRDefault="004F47BB" w:rsidP="004F47BB">
      <w:pPr>
        <w:tabs>
          <w:tab w:val="left" w:pos="709"/>
        </w:tabs>
        <w:spacing w:line="240" w:lineRule="atLeast"/>
        <w:ind w:left="709" w:hanging="709"/>
        <w:rPr>
          <w:szCs w:val="20"/>
          <w:lang w:val="bg-BG"/>
        </w:rPr>
      </w:pPr>
    </w:p>
    <w:p w:rsidR="004F47BB" w:rsidRPr="009072DA" w:rsidRDefault="004F47BB" w:rsidP="004F47BB">
      <w:pPr>
        <w:tabs>
          <w:tab w:val="left" w:pos="709"/>
        </w:tabs>
        <w:spacing w:line="240" w:lineRule="atLeast"/>
        <w:ind w:left="709"/>
        <w:rPr>
          <w:szCs w:val="20"/>
          <w:lang w:val="bg-BG"/>
        </w:rPr>
      </w:pPr>
      <w:r w:rsidRPr="009072DA">
        <w:rPr>
          <w:lang w:val="bg-BG"/>
        </w:rPr>
        <w:t>С цел да се избегнат забавяния при откриване на произхода на пожара, броят на затворените пространства, включени във всяка зона за откриване на пожар, е ограничен. Не трябва да има повече от петдесет затворени пространства в една зона за откриване на пожар.</w:t>
      </w:r>
    </w:p>
    <w:p w:rsidR="004F47BB" w:rsidRPr="009072DA" w:rsidRDefault="004F47BB" w:rsidP="004F47BB">
      <w:pPr>
        <w:tabs>
          <w:tab w:val="left" w:pos="709"/>
        </w:tabs>
        <w:spacing w:line="240" w:lineRule="atLeast"/>
        <w:ind w:left="709"/>
        <w:rPr>
          <w:szCs w:val="20"/>
          <w:lang w:val="bg-BG"/>
        </w:rPr>
      </w:pPr>
    </w:p>
    <w:p w:rsidR="004F47BB" w:rsidRPr="009072DA" w:rsidRDefault="004F47BB" w:rsidP="004F47BB">
      <w:pPr>
        <w:tabs>
          <w:tab w:val="left" w:pos="709"/>
        </w:tabs>
        <w:spacing w:line="240" w:lineRule="atLeast"/>
        <w:ind w:left="709"/>
        <w:rPr>
          <w:szCs w:val="20"/>
          <w:lang w:val="bg-BG"/>
        </w:rPr>
      </w:pPr>
      <w:r w:rsidRPr="009072DA">
        <w:rPr>
          <w:lang w:val="bg-BG"/>
        </w:rPr>
        <w:br w:type="page"/>
      </w:r>
    </w:p>
    <w:p w:rsidR="004F47BB" w:rsidRPr="009072DA" w:rsidRDefault="004F47BB" w:rsidP="004F47BB">
      <w:pPr>
        <w:tabs>
          <w:tab w:val="left" w:pos="709"/>
        </w:tabs>
        <w:spacing w:line="240" w:lineRule="atLeast"/>
        <w:ind w:left="709"/>
        <w:rPr>
          <w:szCs w:val="20"/>
          <w:lang w:val="bg-BG"/>
        </w:rPr>
      </w:pPr>
      <w:r w:rsidRPr="009072DA">
        <w:rPr>
          <w:lang w:val="bg-BG"/>
        </w:rPr>
        <w:lastRenderedPageBreak/>
        <w:t>Когато системата за откриване на пожар има дистанционно идентифициране на отделните пожарни датчици, зоните за откриване на пожар могат да наблюдават няколко палуби и произволен брой затворени пространства.</w:t>
      </w:r>
    </w:p>
    <w:p w:rsidR="004F47BB" w:rsidRPr="009072DA" w:rsidRDefault="004F47BB" w:rsidP="004F47BB">
      <w:pPr>
        <w:tabs>
          <w:tab w:val="left" w:pos="709"/>
        </w:tabs>
        <w:spacing w:line="240" w:lineRule="atLeast"/>
        <w:ind w:left="709"/>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t>1.4.2</w:t>
      </w:r>
      <w:r w:rsidRPr="009072DA">
        <w:rPr>
          <w:lang w:val="bg-BG"/>
        </w:rPr>
        <w:tab/>
        <w:t>На пътническите плавателни съдове, които нямат система за откриване на пожар с дистанционно идентифициране на отделните пожарни датчици, дадена зона за откриване на пожар не трябва да обхваща повече от площта, определена в съответствие с член 19.11, точка 11. Задействането на пожарен датчик в отделна каюта от тази зона за откриване на пожар включва светлинен и звуков сигнал в прохода извън каютата.</w:t>
      </w:r>
    </w:p>
    <w:p w:rsidR="004F47BB" w:rsidRPr="009072DA" w:rsidRDefault="004F47BB" w:rsidP="004F47BB">
      <w:pPr>
        <w:tabs>
          <w:tab w:val="left" w:pos="426"/>
          <w:tab w:val="left" w:pos="709"/>
        </w:tabs>
        <w:spacing w:line="240" w:lineRule="atLeast"/>
        <w:ind w:left="709" w:hanging="568"/>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t>1.4.3</w:t>
      </w:r>
      <w:r w:rsidRPr="009072DA">
        <w:rPr>
          <w:lang w:val="bg-BG"/>
        </w:rPr>
        <w:tab/>
        <w:t>Камбузите, машинните и котелните отделения образуват самостоятелни зони за откриване на пожар.</w:t>
      </w:r>
    </w:p>
    <w:p w:rsidR="004F47BB" w:rsidRPr="009072DA" w:rsidRDefault="004F47BB" w:rsidP="004F47BB">
      <w:pPr>
        <w:tabs>
          <w:tab w:val="left" w:pos="426"/>
          <w:tab w:val="left" w:pos="709"/>
        </w:tabs>
        <w:spacing w:line="240" w:lineRule="atLeast"/>
        <w:ind w:left="-142"/>
        <w:rPr>
          <w:szCs w:val="20"/>
          <w:lang w:val="bg-BG"/>
        </w:rPr>
      </w:pPr>
    </w:p>
    <w:p w:rsidR="004F47BB" w:rsidRPr="009072DA" w:rsidRDefault="004F47BB" w:rsidP="004F47BB">
      <w:pPr>
        <w:tabs>
          <w:tab w:val="left" w:pos="709"/>
        </w:tabs>
        <w:spacing w:line="240" w:lineRule="atLeast"/>
        <w:rPr>
          <w:b/>
          <w:bCs/>
          <w:szCs w:val="20"/>
          <w:lang w:val="bg-BG"/>
        </w:rPr>
      </w:pPr>
      <w:r w:rsidRPr="009072DA">
        <w:rPr>
          <w:b/>
          <w:lang w:val="bg-BG"/>
        </w:rPr>
        <w:t>1.5</w:t>
      </w:r>
      <w:r w:rsidRPr="009072DA">
        <w:rPr>
          <w:lang w:val="bg-BG"/>
        </w:rPr>
        <w:tab/>
      </w:r>
      <w:r w:rsidRPr="009072DA">
        <w:rPr>
          <w:b/>
          <w:lang w:val="bg-BG"/>
        </w:rPr>
        <w:t>Пожарни датчици</w:t>
      </w:r>
    </w:p>
    <w:p w:rsidR="004F47BB" w:rsidRPr="009072DA" w:rsidRDefault="004F47BB" w:rsidP="004F47BB">
      <w:pPr>
        <w:tabs>
          <w:tab w:val="left" w:pos="426"/>
          <w:tab w:val="left" w:pos="709"/>
        </w:tabs>
        <w:spacing w:line="240" w:lineRule="atLeast"/>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t>1.5.1</w:t>
      </w:r>
      <w:r w:rsidRPr="009072DA">
        <w:rPr>
          <w:lang w:val="bg-BG"/>
        </w:rPr>
        <w:tab/>
        <w:t>Като пожарни датчици трябва да се използват само датчици за топлина, дим или детектори на йони. Други видове могат да се използват само като допълнителни датчици.</w:t>
      </w:r>
    </w:p>
    <w:p w:rsidR="004F47BB" w:rsidRPr="009072DA" w:rsidRDefault="004F47BB" w:rsidP="004F47BB">
      <w:pPr>
        <w:tabs>
          <w:tab w:val="left" w:pos="709"/>
        </w:tabs>
        <w:spacing w:line="240" w:lineRule="atLeast"/>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t>1.5.2</w:t>
      </w:r>
      <w:r w:rsidRPr="009072DA">
        <w:rPr>
          <w:lang w:val="bg-BG"/>
        </w:rPr>
        <w:tab/>
        <w:t>Пожарните датчици трябва да са от одобрен тип.</w:t>
      </w:r>
    </w:p>
    <w:p w:rsidR="004F47BB" w:rsidRPr="009072DA" w:rsidRDefault="004F47BB" w:rsidP="004F47BB">
      <w:pPr>
        <w:tabs>
          <w:tab w:val="left" w:pos="426"/>
          <w:tab w:val="left" w:pos="709"/>
        </w:tabs>
        <w:spacing w:line="240" w:lineRule="atLeast"/>
        <w:ind w:left="426" w:hanging="568"/>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t>1.5.3</w:t>
      </w:r>
      <w:r w:rsidRPr="009072DA">
        <w:rPr>
          <w:lang w:val="bg-BG"/>
        </w:rPr>
        <w:tab/>
        <w:t>Автоматичните пожарни датчици трябва да бъдат проектирани по такъв начин, че да могат да бъдат изпитвани, за да се гарантира, че работят правилно и могат да започнат да работят отново без да се сменят каквито и да е елементи.</w:t>
      </w:r>
    </w:p>
    <w:p w:rsidR="004F47BB" w:rsidRPr="009072DA" w:rsidRDefault="004F47BB" w:rsidP="004F47BB">
      <w:pPr>
        <w:tabs>
          <w:tab w:val="left" w:pos="426"/>
          <w:tab w:val="left" w:pos="709"/>
        </w:tabs>
        <w:spacing w:line="240" w:lineRule="atLeast"/>
        <w:ind w:left="-142" w:firstLine="709"/>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t>1.5.4</w:t>
      </w:r>
      <w:r w:rsidRPr="009072DA">
        <w:rPr>
          <w:lang w:val="bg-BG"/>
        </w:rPr>
        <w:tab/>
        <w:t>Димните датчици трябва да бъдат настроени така, че да реагират на намаление на видимостта на метър, породено от дим по-голям от 2 % до 12,5 %. Димните датчици, монтирани в камбузи, машинни и котелни отделения, трябва да реагират в границите на чувствителност, като отговарят на изискванията на контролния орган, с които трябва да се избягва недостатъчна или прекомерна чувствителност на датчиците.</w:t>
      </w:r>
    </w:p>
    <w:p w:rsidR="004F47BB" w:rsidRPr="009072DA" w:rsidRDefault="004F47BB" w:rsidP="004F47BB">
      <w:pPr>
        <w:tabs>
          <w:tab w:val="left" w:pos="426"/>
          <w:tab w:val="left" w:pos="709"/>
        </w:tabs>
        <w:spacing w:line="240" w:lineRule="atLeast"/>
        <w:ind w:left="426" w:hanging="426"/>
        <w:rPr>
          <w:szCs w:val="20"/>
          <w:lang w:val="bg-BG"/>
        </w:rPr>
      </w:pPr>
    </w:p>
    <w:p w:rsidR="004F47BB" w:rsidRPr="009072DA" w:rsidRDefault="004F47BB" w:rsidP="004F47BB">
      <w:pPr>
        <w:tabs>
          <w:tab w:val="left" w:pos="709"/>
        </w:tabs>
        <w:spacing w:after="120" w:line="240" w:lineRule="atLeast"/>
        <w:ind w:left="709" w:hanging="719"/>
        <w:rPr>
          <w:szCs w:val="20"/>
          <w:lang w:val="bg-BG"/>
        </w:rPr>
      </w:pPr>
      <w:r w:rsidRPr="009072DA">
        <w:rPr>
          <w:lang w:val="bg-BG"/>
        </w:rPr>
        <w:t>1.5.5</w:t>
      </w:r>
      <w:r w:rsidRPr="009072DA">
        <w:rPr>
          <w:lang w:val="bg-BG"/>
        </w:rPr>
        <w:tab/>
        <w:t>Топлинните датчици трябва да са направени така, че при покачвания на температурата със скорост, по-малка от 1 °C/min, да реагират на температура между 54 и 78 °C.</w:t>
      </w:r>
    </w:p>
    <w:p w:rsidR="004F47BB" w:rsidRPr="009072DA" w:rsidRDefault="004F47BB" w:rsidP="004F47BB">
      <w:pPr>
        <w:tabs>
          <w:tab w:val="left" w:pos="709"/>
        </w:tabs>
        <w:spacing w:line="240" w:lineRule="atLeast"/>
        <w:ind w:left="709"/>
        <w:rPr>
          <w:szCs w:val="20"/>
          <w:lang w:val="bg-BG"/>
        </w:rPr>
      </w:pPr>
      <w:r w:rsidRPr="009072DA">
        <w:rPr>
          <w:lang w:val="bg-BG"/>
        </w:rPr>
        <w:t>При по-високи скорости на покачване на температурата топлинният датчик трябва да се задейства в температурните граници, при които се избягва недостатъчна или прекомерна чувствителност на топлинния датчик.</w:t>
      </w:r>
    </w:p>
    <w:p w:rsidR="004F47BB" w:rsidRPr="009072DA" w:rsidRDefault="004F47BB" w:rsidP="004F47BB">
      <w:pPr>
        <w:tabs>
          <w:tab w:val="left" w:pos="426"/>
          <w:tab w:val="left" w:pos="709"/>
        </w:tabs>
        <w:spacing w:line="240" w:lineRule="atLeast"/>
        <w:ind w:left="426" w:hanging="426"/>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lastRenderedPageBreak/>
        <w:t>1.5.6</w:t>
      </w:r>
      <w:r w:rsidRPr="009072DA">
        <w:rPr>
          <w:lang w:val="bg-BG"/>
        </w:rPr>
        <w:tab/>
        <w:t>Със съгласието на контролния орган допустимата работна температура на топлинните датчици може да се повиши до 30 °C над максималната температура в горната част на машинните и котелните отделения.</w:t>
      </w:r>
    </w:p>
    <w:p w:rsidR="004F47BB" w:rsidRPr="009072DA" w:rsidRDefault="004F47BB" w:rsidP="004F47BB">
      <w:pPr>
        <w:tabs>
          <w:tab w:val="left" w:pos="426"/>
          <w:tab w:val="left" w:pos="709"/>
        </w:tabs>
        <w:spacing w:line="240" w:lineRule="atLeast"/>
        <w:ind w:left="709" w:hanging="709"/>
        <w:rPr>
          <w:szCs w:val="20"/>
          <w:lang w:val="bg-BG"/>
        </w:rPr>
      </w:pPr>
    </w:p>
    <w:p w:rsidR="004F47BB" w:rsidRPr="009072DA" w:rsidRDefault="004F47BB" w:rsidP="004F47BB">
      <w:pPr>
        <w:tabs>
          <w:tab w:val="left" w:pos="709"/>
        </w:tabs>
        <w:spacing w:line="240" w:lineRule="atLeast"/>
        <w:ind w:left="709" w:hanging="719"/>
        <w:rPr>
          <w:szCs w:val="20"/>
          <w:lang w:val="bg-BG"/>
        </w:rPr>
      </w:pPr>
      <w:r w:rsidRPr="009072DA">
        <w:rPr>
          <w:lang w:val="bg-BG"/>
        </w:rPr>
        <w:t>1.5.7</w:t>
      </w:r>
      <w:r w:rsidRPr="009072DA">
        <w:rPr>
          <w:lang w:val="bg-BG"/>
        </w:rPr>
        <w:tab/>
        <w:t>Чувствителността на датчиците за пламък трябва да е достатъчна за откриване на пламък на осветен фон. Датчиците за пламък трябва да са оборудвани и със система за откриване на фалшив алармен сигнал.</w:t>
      </w:r>
    </w:p>
    <w:p w:rsidR="004F47BB" w:rsidRPr="009072DA" w:rsidRDefault="004F47BB" w:rsidP="004F47BB">
      <w:pPr>
        <w:tabs>
          <w:tab w:val="left" w:pos="709"/>
        </w:tabs>
        <w:spacing w:line="240" w:lineRule="atLeast"/>
        <w:ind w:left="-10"/>
        <w:rPr>
          <w:szCs w:val="20"/>
          <w:lang w:val="bg-BG"/>
        </w:rPr>
      </w:pPr>
    </w:p>
    <w:p w:rsidR="004F47BB" w:rsidRPr="009072DA" w:rsidRDefault="004F47BB" w:rsidP="004F47BB">
      <w:pPr>
        <w:tabs>
          <w:tab w:val="left" w:pos="709"/>
        </w:tabs>
        <w:spacing w:line="240" w:lineRule="atLeast"/>
        <w:ind w:left="-10"/>
        <w:rPr>
          <w:szCs w:val="20"/>
          <w:lang w:val="bg-BG"/>
        </w:rPr>
      </w:pPr>
      <w:r w:rsidRPr="009072DA">
        <w:rPr>
          <w:lang w:val="bg-BG"/>
        </w:rPr>
        <w:br w:type="page"/>
      </w:r>
    </w:p>
    <w:p w:rsidR="004F47BB" w:rsidRPr="009072DA" w:rsidRDefault="004F47BB" w:rsidP="004F47BB">
      <w:pPr>
        <w:tabs>
          <w:tab w:val="left" w:pos="709"/>
        </w:tabs>
        <w:spacing w:line="240" w:lineRule="atLeast"/>
        <w:ind w:left="709" w:hanging="709"/>
        <w:rPr>
          <w:b/>
          <w:bCs/>
          <w:szCs w:val="20"/>
          <w:lang w:val="bg-BG"/>
        </w:rPr>
      </w:pPr>
      <w:r w:rsidRPr="009072DA">
        <w:rPr>
          <w:b/>
          <w:lang w:val="bg-BG"/>
        </w:rPr>
        <w:lastRenderedPageBreak/>
        <w:t>1.6</w:t>
      </w:r>
      <w:r w:rsidRPr="009072DA">
        <w:rPr>
          <w:lang w:val="bg-BG"/>
        </w:rPr>
        <w:tab/>
      </w:r>
      <w:r w:rsidRPr="009072DA">
        <w:rPr>
          <w:b/>
          <w:lang w:val="bg-BG"/>
        </w:rPr>
        <w:t>Система за откриване на пожар и табло за управление</w:t>
      </w:r>
    </w:p>
    <w:p w:rsidR="004F47BB" w:rsidRPr="009072DA" w:rsidRDefault="004F47BB" w:rsidP="004F47BB">
      <w:pPr>
        <w:tabs>
          <w:tab w:val="left" w:pos="709"/>
        </w:tabs>
        <w:spacing w:line="240" w:lineRule="atLeast"/>
        <w:ind w:left="709" w:hanging="709"/>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t>1.6.1</w:t>
      </w:r>
      <w:r w:rsidRPr="009072DA">
        <w:rPr>
          <w:lang w:val="bg-BG"/>
        </w:rPr>
        <w:tab/>
        <w:t>Активирането на пожарен датчик трябва да включва светлинен и звуков алармен сигнал на таблото за управление и индикаторните устройства.</w:t>
      </w:r>
    </w:p>
    <w:p w:rsidR="004F47BB" w:rsidRPr="009072DA" w:rsidRDefault="004F47BB" w:rsidP="004F47BB">
      <w:pPr>
        <w:tabs>
          <w:tab w:val="left" w:pos="709"/>
        </w:tabs>
        <w:spacing w:line="240" w:lineRule="atLeast"/>
        <w:ind w:left="709" w:hanging="709"/>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t>1.6.2</w:t>
      </w:r>
      <w:r w:rsidRPr="009072DA">
        <w:rPr>
          <w:lang w:val="bg-BG"/>
        </w:rPr>
        <w:tab/>
        <w:t>Таблото за управление и индикаторните устройства трябва да бъдат на място, на което непрекъснато има хора от екипажа или обслужващия персонал. Един индикатор трябва да се намира на поста за управление.</w:t>
      </w:r>
    </w:p>
    <w:p w:rsidR="004F47BB" w:rsidRPr="009072DA" w:rsidRDefault="004F47BB" w:rsidP="004F47BB">
      <w:pPr>
        <w:tabs>
          <w:tab w:val="left" w:pos="709"/>
        </w:tabs>
        <w:spacing w:line="240" w:lineRule="atLeast"/>
        <w:ind w:left="709" w:hanging="709"/>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t>1.6.3</w:t>
      </w:r>
      <w:r w:rsidRPr="009072DA">
        <w:rPr>
          <w:lang w:val="bg-BG"/>
        </w:rPr>
        <w:tab/>
        <w:t>Индикаторните устройства трябва поне да указват зоната за откриване на пожар, в която се е активирал пожарният датчик.</w:t>
      </w:r>
    </w:p>
    <w:p w:rsidR="004F47BB" w:rsidRPr="009072DA" w:rsidRDefault="004F47BB" w:rsidP="004F47BB">
      <w:pPr>
        <w:tabs>
          <w:tab w:val="left" w:pos="709"/>
        </w:tabs>
        <w:spacing w:line="240" w:lineRule="atLeast"/>
        <w:ind w:left="709" w:hanging="709"/>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t>1.6.4</w:t>
      </w:r>
      <w:r w:rsidRPr="009072DA">
        <w:rPr>
          <w:lang w:val="bg-BG"/>
        </w:rPr>
        <w:tab/>
        <w:t>На всяко индикаторно устройство или близо до него трябва да има ясна информация за наблюдаваните пространства и за местоположението на зоните за откриване на пожар.</w:t>
      </w:r>
    </w:p>
    <w:p w:rsidR="004F47BB" w:rsidRPr="009072DA" w:rsidRDefault="004F47BB" w:rsidP="004F47BB">
      <w:pPr>
        <w:tabs>
          <w:tab w:val="left" w:pos="426"/>
          <w:tab w:val="left" w:pos="709"/>
        </w:tabs>
        <w:spacing w:line="240" w:lineRule="atLeast"/>
        <w:ind w:left="426" w:hanging="568"/>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b/>
          <w:lang w:val="bg-BG"/>
        </w:rPr>
        <w:t>2.</w:t>
      </w:r>
      <w:r w:rsidRPr="009072DA">
        <w:rPr>
          <w:lang w:val="bg-BG"/>
        </w:rPr>
        <w:tab/>
      </w:r>
      <w:r w:rsidRPr="009072DA">
        <w:rPr>
          <w:b/>
          <w:lang w:val="bg-BG"/>
        </w:rPr>
        <w:t>Изисквания за инсталиране</w:t>
      </w:r>
    </w:p>
    <w:p w:rsidR="004F47BB" w:rsidRPr="009072DA" w:rsidRDefault="004F47BB" w:rsidP="004F47BB">
      <w:pPr>
        <w:tabs>
          <w:tab w:val="left" w:pos="426"/>
          <w:tab w:val="left" w:pos="709"/>
        </w:tabs>
        <w:spacing w:line="240" w:lineRule="atLeast"/>
        <w:ind w:left="426" w:hanging="568"/>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t>2.1</w:t>
      </w:r>
      <w:r w:rsidRPr="009072DA">
        <w:rPr>
          <w:lang w:val="bg-BG"/>
        </w:rPr>
        <w:tab/>
        <w:t>Пожарните датчици се монтират по такъв начин, че да се осигури възможно най-добра работа на системата. Избягват се места на разполагане около палубни главни носещи греди, вентилационни шахти или други места, на които въздушни течения могат да повлияят отрицателно на работата на системата, както и места, на които има вероятност от удари или механична повреда.</w:t>
      </w:r>
    </w:p>
    <w:p w:rsidR="004F47BB" w:rsidRPr="009072DA" w:rsidRDefault="004F47BB" w:rsidP="004F47BB">
      <w:pPr>
        <w:tabs>
          <w:tab w:val="left" w:pos="426"/>
          <w:tab w:val="left" w:pos="709"/>
        </w:tabs>
        <w:spacing w:line="240" w:lineRule="atLeast"/>
        <w:ind w:left="426" w:hanging="710"/>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t>2.2</w:t>
      </w:r>
      <w:r w:rsidRPr="009072DA">
        <w:rPr>
          <w:lang w:val="bg-BG"/>
        </w:rPr>
        <w:tab/>
        <w:t>По принцип, пожарните датчици, разположени на тавана, трябва да са най-малко на 0,5 метра от преградите. Максималното разстояние между пожарните датчици и преградите е съгласно следната таблица:</w:t>
      </w:r>
    </w:p>
    <w:p w:rsidR="004F47BB" w:rsidRPr="009072DA" w:rsidRDefault="004F47BB" w:rsidP="004F47BB">
      <w:pPr>
        <w:tabs>
          <w:tab w:val="left" w:pos="426"/>
          <w:tab w:val="left" w:pos="709"/>
        </w:tabs>
        <w:spacing w:line="240" w:lineRule="atLeast"/>
        <w:ind w:left="709" w:hanging="709"/>
        <w:rPr>
          <w:szCs w:val="20"/>
          <w:lang w:val="bg-BG"/>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2041"/>
        <w:gridCol w:w="2041"/>
        <w:gridCol w:w="2041"/>
      </w:tblGrid>
      <w:tr w:rsidR="004F47BB" w:rsidRPr="008D2440" w:rsidTr="00D45887">
        <w:trPr>
          <w:jc w:val="center"/>
        </w:trPr>
        <w:tc>
          <w:tcPr>
            <w:tcW w:w="1418" w:type="dxa"/>
          </w:tcPr>
          <w:p w:rsidR="004F47BB" w:rsidRPr="009072DA" w:rsidRDefault="004F47BB" w:rsidP="004F47BB">
            <w:pPr>
              <w:tabs>
                <w:tab w:val="left" w:pos="426"/>
                <w:tab w:val="left" w:pos="709"/>
              </w:tabs>
              <w:spacing w:before="60" w:after="60" w:line="240" w:lineRule="atLeast"/>
              <w:jc w:val="center"/>
              <w:rPr>
                <w:sz w:val="18"/>
                <w:szCs w:val="18"/>
                <w:lang w:val="bg-BG"/>
              </w:rPr>
            </w:pPr>
            <w:r w:rsidRPr="009072DA">
              <w:rPr>
                <w:sz w:val="18"/>
                <w:lang w:val="bg-BG"/>
              </w:rPr>
              <w:t>Тип на пожарния датчик</w:t>
            </w:r>
          </w:p>
        </w:tc>
        <w:tc>
          <w:tcPr>
            <w:tcW w:w="2041" w:type="dxa"/>
          </w:tcPr>
          <w:p w:rsidR="004F47BB" w:rsidRPr="009072DA" w:rsidRDefault="004F47BB" w:rsidP="004F47BB">
            <w:pPr>
              <w:tabs>
                <w:tab w:val="left" w:pos="426"/>
                <w:tab w:val="left" w:pos="709"/>
              </w:tabs>
              <w:spacing w:before="60" w:after="60" w:line="240" w:lineRule="atLeast"/>
              <w:jc w:val="center"/>
              <w:rPr>
                <w:sz w:val="18"/>
                <w:szCs w:val="18"/>
                <w:lang w:val="bg-BG"/>
              </w:rPr>
            </w:pPr>
            <w:r w:rsidRPr="009072DA">
              <w:rPr>
                <w:sz w:val="18"/>
                <w:lang w:val="bg-BG"/>
              </w:rPr>
              <w:t>Максимална подова площ за един пожарен датчик</w:t>
            </w:r>
          </w:p>
        </w:tc>
        <w:tc>
          <w:tcPr>
            <w:tcW w:w="2041" w:type="dxa"/>
          </w:tcPr>
          <w:p w:rsidR="004F47BB" w:rsidRPr="009072DA" w:rsidRDefault="004F47BB" w:rsidP="004F47BB">
            <w:pPr>
              <w:tabs>
                <w:tab w:val="left" w:pos="426"/>
                <w:tab w:val="left" w:pos="709"/>
              </w:tabs>
              <w:spacing w:before="60" w:after="60" w:line="240" w:lineRule="atLeast"/>
              <w:jc w:val="center"/>
              <w:rPr>
                <w:sz w:val="18"/>
                <w:szCs w:val="18"/>
                <w:lang w:val="bg-BG"/>
              </w:rPr>
            </w:pPr>
            <w:r w:rsidRPr="009072DA">
              <w:rPr>
                <w:sz w:val="18"/>
                <w:lang w:val="bg-BG"/>
              </w:rPr>
              <w:t>Максимално разстояние между пожарните датчици</w:t>
            </w:r>
          </w:p>
        </w:tc>
        <w:tc>
          <w:tcPr>
            <w:tcW w:w="2041" w:type="dxa"/>
          </w:tcPr>
          <w:p w:rsidR="004F47BB" w:rsidRPr="009072DA" w:rsidRDefault="004F47BB" w:rsidP="004F47BB">
            <w:pPr>
              <w:tabs>
                <w:tab w:val="left" w:pos="426"/>
                <w:tab w:val="left" w:pos="709"/>
              </w:tabs>
              <w:spacing w:before="60" w:after="60" w:line="240" w:lineRule="atLeast"/>
              <w:jc w:val="center"/>
              <w:rPr>
                <w:sz w:val="18"/>
                <w:szCs w:val="18"/>
                <w:lang w:val="bg-BG"/>
              </w:rPr>
            </w:pPr>
            <w:r w:rsidRPr="009072DA">
              <w:rPr>
                <w:sz w:val="18"/>
                <w:lang w:val="bg-BG"/>
              </w:rPr>
              <w:t>Максимално отстояние на пожарните датчици от преградите</w:t>
            </w:r>
          </w:p>
        </w:tc>
      </w:tr>
      <w:tr w:rsidR="004F47BB" w:rsidRPr="009072DA" w:rsidTr="00D45887">
        <w:trPr>
          <w:jc w:val="center"/>
        </w:trPr>
        <w:tc>
          <w:tcPr>
            <w:tcW w:w="1418" w:type="dxa"/>
            <w:vAlign w:val="center"/>
          </w:tcPr>
          <w:p w:rsidR="004F47BB" w:rsidRPr="009072DA" w:rsidRDefault="004F47BB" w:rsidP="004F47BB">
            <w:pPr>
              <w:tabs>
                <w:tab w:val="left" w:pos="426"/>
                <w:tab w:val="left" w:pos="709"/>
              </w:tabs>
              <w:spacing w:before="60" w:after="60" w:line="240" w:lineRule="atLeast"/>
              <w:ind w:left="709" w:hanging="709"/>
              <w:jc w:val="center"/>
              <w:rPr>
                <w:sz w:val="18"/>
                <w:szCs w:val="18"/>
                <w:lang w:val="bg-BG"/>
              </w:rPr>
            </w:pPr>
            <w:r w:rsidRPr="009072DA">
              <w:rPr>
                <w:sz w:val="18"/>
                <w:lang w:val="bg-BG"/>
              </w:rPr>
              <w:t>Топлина</w:t>
            </w:r>
          </w:p>
        </w:tc>
        <w:tc>
          <w:tcPr>
            <w:tcW w:w="2041" w:type="dxa"/>
            <w:vAlign w:val="center"/>
          </w:tcPr>
          <w:p w:rsidR="004F47BB" w:rsidRPr="009072DA" w:rsidRDefault="004F47BB" w:rsidP="004F47BB">
            <w:pPr>
              <w:tabs>
                <w:tab w:val="left" w:pos="426"/>
                <w:tab w:val="left" w:pos="709"/>
              </w:tabs>
              <w:spacing w:before="60" w:after="60" w:line="240" w:lineRule="atLeast"/>
              <w:ind w:left="709" w:hanging="709"/>
              <w:jc w:val="center"/>
              <w:rPr>
                <w:sz w:val="18"/>
                <w:szCs w:val="18"/>
                <w:lang w:val="bg-BG"/>
              </w:rPr>
            </w:pPr>
            <w:r w:rsidRPr="009072DA">
              <w:rPr>
                <w:sz w:val="18"/>
                <w:lang w:val="bg-BG"/>
              </w:rPr>
              <w:t>37 m</w:t>
            </w:r>
            <w:r w:rsidRPr="009072DA">
              <w:rPr>
                <w:position w:val="6"/>
                <w:sz w:val="14"/>
                <w:lang w:val="bg-BG"/>
              </w:rPr>
              <w:t>2</w:t>
            </w:r>
          </w:p>
        </w:tc>
        <w:tc>
          <w:tcPr>
            <w:tcW w:w="2041" w:type="dxa"/>
            <w:vAlign w:val="center"/>
          </w:tcPr>
          <w:p w:rsidR="004F47BB" w:rsidRPr="009072DA" w:rsidRDefault="004F47BB" w:rsidP="004F47BB">
            <w:pPr>
              <w:tabs>
                <w:tab w:val="left" w:pos="426"/>
                <w:tab w:val="left" w:pos="709"/>
              </w:tabs>
              <w:spacing w:before="60" w:after="60" w:line="240" w:lineRule="atLeast"/>
              <w:ind w:left="709" w:hanging="709"/>
              <w:jc w:val="center"/>
              <w:rPr>
                <w:sz w:val="18"/>
                <w:szCs w:val="18"/>
                <w:lang w:val="bg-BG"/>
              </w:rPr>
            </w:pPr>
            <w:r w:rsidRPr="009072DA">
              <w:rPr>
                <w:sz w:val="18"/>
                <w:lang w:val="bg-BG"/>
              </w:rPr>
              <w:t>9 m</w:t>
            </w:r>
          </w:p>
        </w:tc>
        <w:tc>
          <w:tcPr>
            <w:tcW w:w="2041" w:type="dxa"/>
            <w:vAlign w:val="center"/>
          </w:tcPr>
          <w:p w:rsidR="004F47BB" w:rsidRPr="009072DA" w:rsidRDefault="004F47BB" w:rsidP="004F47BB">
            <w:pPr>
              <w:tabs>
                <w:tab w:val="left" w:pos="426"/>
                <w:tab w:val="left" w:pos="709"/>
              </w:tabs>
              <w:spacing w:before="60" w:after="60" w:line="240" w:lineRule="atLeast"/>
              <w:ind w:left="709" w:hanging="709"/>
              <w:jc w:val="center"/>
              <w:rPr>
                <w:sz w:val="18"/>
                <w:szCs w:val="18"/>
                <w:lang w:val="bg-BG"/>
              </w:rPr>
            </w:pPr>
            <w:r w:rsidRPr="009072DA">
              <w:rPr>
                <w:sz w:val="18"/>
                <w:lang w:val="bg-BG"/>
              </w:rPr>
              <w:t>4,5 m</w:t>
            </w:r>
          </w:p>
        </w:tc>
      </w:tr>
      <w:tr w:rsidR="004F47BB" w:rsidRPr="009072DA" w:rsidTr="00D45887">
        <w:trPr>
          <w:jc w:val="center"/>
        </w:trPr>
        <w:tc>
          <w:tcPr>
            <w:tcW w:w="1418" w:type="dxa"/>
            <w:vAlign w:val="center"/>
          </w:tcPr>
          <w:p w:rsidR="004F47BB" w:rsidRPr="009072DA" w:rsidRDefault="004F47BB" w:rsidP="004F47BB">
            <w:pPr>
              <w:tabs>
                <w:tab w:val="left" w:pos="426"/>
                <w:tab w:val="left" w:pos="709"/>
              </w:tabs>
              <w:spacing w:before="60" w:after="60" w:line="240" w:lineRule="atLeast"/>
              <w:ind w:left="709" w:hanging="709"/>
              <w:jc w:val="center"/>
              <w:rPr>
                <w:sz w:val="18"/>
                <w:szCs w:val="18"/>
                <w:lang w:val="bg-BG"/>
              </w:rPr>
            </w:pPr>
            <w:r w:rsidRPr="009072DA">
              <w:rPr>
                <w:sz w:val="18"/>
                <w:lang w:val="bg-BG"/>
              </w:rPr>
              <w:t>Дим</w:t>
            </w:r>
          </w:p>
        </w:tc>
        <w:tc>
          <w:tcPr>
            <w:tcW w:w="2041" w:type="dxa"/>
            <w:vAlign w:val="center"/>
          </w:tcPr>
          <w:p w:rsidR="004F47BB" w:rsidRPr="009072DA" w:rsidRDefault="004F47BB" w:rsidP="004F47BB">
            <w:pPr>
              <w:tabs>
                <w:tab w:val="left" w:pos="426"/>
                <w:tab w:val="left" w:pos="709"/>
              </w:tabs>
              <w:spacing w:before="60" w:after="60" w:line="240" w:lineRule="atLeast"/>
              <w:ind w:left="709" w:hanging="709"/>
              <w:jc w:val="center"/>
              <w:rPr>
                <w:sz w:val="18"/>
                <w:szCs w:val="18"/>
                <w:lang w:val="bg-BG"/>
              </w:rPr>
            </w:pPr>
            <w:r w:rsidRPr="009072DA">
              <w:rPr>
                <w:sz w:val="18"/>
                <w:lang w:val="bg-BG"/>
              </w:rPr>
              <w:t>74 m</w:t>
            </w:r>
            <w:r w:rsidRPr="009072DA">
              <w:rPr>
                <w:position w:val="6"/>
                <w:sz w:val="14"/>
                <w:lang w:val="bg-BG"/>
              </w:rPr>
              <w:t>2</w:t>
            </w:r>
          </w:p>
        </w:tc>
        <w:tc>
          <w:tcPr>
            <w:tcW w:w="2041" w:type="dxa"/>
            <w:vAlign w:val="center"/>
          </w:tcPr>
          <w:p w:rsidR="004F47BB" w:rsidRPr="009072DA" w:rsidRDefault="004F47BB" w:rsidP="004F47BB">
            <w:pPr>
              <w:tabs>
                <w:tab w:val="left" w:pos="426"/>
                <w:tab w:val="left" w:pos="709"/>
              </w:tabs>
              <w:spacing w:before="60" w:after="60" w:line="240" w:lineRule="atLeast"/>
              <w:ind w:left="709" w:hanging="709"/>
              <w:jc w:val="center"/>
              <w:rPr>
                <w:sz w:val="18"/>
                <w:szCs w:val="18"/>
                <w:lang w:val="bg-BG"/>
              </w:rPr>
            </w:pPr>
            <w:r w:rsidRPr="009072DA">
              <w:rPr>
                <w:sz w:val="18"/>
                <w:lang w:val="bg-BG"/>
              </w:rPr>
              <w:t>11 m</w:t>
            </w:r>
          </w:p>
        </w:tc>
        <w:tc>
          <w:tcPr>
            <w:tcW w:w="2041" w:type="dxa"/>
            <w:vAlign w:val="center"/>
          </w:tcPr>
          <w:p w:rsidR="004F47BB" w:rsidRPr="009072DA" w:rsidRDefault="004F47BB" w:rsidP="004F47BB">
            <w:pPr>
              <w:tabs>
                <w:tab w:val="left" w:pos="426"/>
                <w:tab w:val="left" w:pos="709"/>
              </w:tabs>
              <w:spacing w:before="60" w:after="60" w:line="240" w:lineRule="atLeast"/>
              <w:ind w:left="709" w:hanging="709"/>
              <w:jc w:val="center"/>
              <w:rPr>
                <w:sz w:val="18"/>
                <w:szCs w:val="18"/>
                <w:lang w:val="bg-BG"/>
              </w:rPr>
            </w:pPr>
            <w:r w:rsidRPr="009072DA">
              <w:rPr>
                <w:sz w:val="18"/>
                <w:lang w:val="bg-BG"/>
              </w:rPr>
              <w:t>5,5 m</w:t>
            </w:r>
          </w:p>
        </w:tc>
      </w:tr>
    </w:tbl>
    <w:p w:rsidR="004F47BB" w:rsidRPr="009072DA" w:rsidRDefault="004F47BB" w:rsidP="004F47BB">
      <w:pPr>
        <w:tabs>
          <w:tab w:val="left" w:pos="426"/>
          <w:tab w:val="left" w:pos="709"/>
        </w:tabs>
        <w:spacing w:line="240" w:lineRule="atLeast"/>
        <w:ind w:left="709" w:hanging="709"/>
        <w:rPr>
          <w:szCs w:val="20"/>
          <w:lang w:val="bg-BG"/>
        </w:rPr>
      </w:pPr>
    </w:p>
    <w:p w:rsidR="004F47BB" w:rsidRPr="009072DA" w:rsidRDefault="004F47BB" w:rsidP="004F47BB">
      <w:pPr>
        <w:tabs>
          <w:tab w:val="left" w:pos="709"/>
        </w:tabs>
        <w:spacing w:line="240" w:lineRule="atLeast"/>
        <w:ind w:left="709"/>
        <w:rPr>
          <w:szCs w:val="20"/>
          <w:lang w:val="bg-BG"/>
        </w:rPr>
      </w:pPr>
      <w:r w:rsidRPr="009072DA">
        <w:rPr>
          <w:lang w:val="bg-BG"/>
        </w:rPr>
        <w:t>Контролният орган може да посочи или одобри други разстояния въз основа на изпитвания, които доказват характеристиките на датчиците.</w:t>
      </w:r>
    </w:p>
    <w:p w:rsidR="004F47BB" w:rsidRPr="009072DA" w:rsidRDefault="004F47BB" w:rsidP="004F47BB">
      <w:pPr>
        <w:tabs>
          <w:tab w:val="left" w:pos="426"/>
          <w:tab w:val="left" w:pos="709"/>
        </w:tabs>
        <w:spacing w:line="240" w:lineRule="atLeast"/>
        <w:ind w:left="709" w:hanging="709"/>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lastRenderedPageBreak/>
        <w:t>2.3</w:t>
      </w:r>
      <w:r w:rsidRPr="009072DA">
        <w:rPr>
          <w:lang w:val="bg-BG"/>
        </w:rPr>
        <w:tab/>
        <w:t>Преминаването на електрически кабели на пожароизвестителната система през машинни и котелни отделения или други места с голям риск от пожар не е разрешено, освен ако не е необходимо за откриването на пожар на тези места или за свързване към съответното захранване.</w:t>
      </w:r>
    </w:p>
    <w:p w:rsidR="004F47BB" w:rsidRPr="009072DA" w:rsidRDefault="004F47BB" w:rsidP="004F47BB">
      <w:pPr>
        <w:tabs>
          <w:tab w:val="left" w:pos="426"/>
          <w:tab w:val="left" w:pos="709"/>
        </w:tabs>
        <w:spacing w:line="240" w:lineRule="atLeast"/>
        <w:ind w:left="709" w:hanging="709"/>
        <w:rPr>
          <w:b/>
          <w:bCs/>
          <w:szCs w:val="20"/>
          <w:lang w:val="bg-BG"/>
        </w:rPr>
      </w:pPr>
    </w:p>
    <w:p w:rsidR="004F47BB" w:rsidRPr="009072DA" w:rsidRDefault="004F47BB" w:rsidP="004F47BB">
      <w:pPr>
        <w:tabs>
          <w:tab w:val="left" w:pos="426"/>
          <w:tab w:val="left" w:pos="709"/>
        </w:tabs>
        <w:spacing w:line="240" w:lineRule="atLeast"/>
        <w:ind w:left="709" w:hanging="709"/>
        <w:rPr>
          <w:b/>
          <w:bCs/>
          <w:szCs w:val="20"/>
          <w:lang w:val="bg-BG"/>
        </w:rPr>
      </w:pPr>
      <w:r w:rsidRPr="009072DA">
        <w:rPr>
          <w:lang w:val="bg-BG"/>
        </w:rPr>
        <w:br w:type="page"/>
      </w:r>
    </w:p>
    <w:p w:rsidR="004F47BB" w:rsidRPr="009072DA" w:rsidRDefault="004F47BB" w:rsidP="004F47BB">
      <w:pPr>
        <w:tabs>
          <w:tab w:val="left" w:pos="709"/>
        </w:tabs>
        <w:spacing w:line="240" w:lineRule="atLeast"/>
        <w:ind w:left="709" w:hanging="709"/>
        <w:rPr>
          <w:b/>
          <w:bCs/>
          <w:szCs w:val="20"/>
          <w:lang w:val="bg-BG"/>
        </w:rPr>
      </w:pPr>
      <w:r w:rsidRPr="009072DA">
        <w:rPr>
          <w:b/>
          <w:lang w:val="bg-BG"/>
        </w:rPr>
        <w:lastRenderedPageBreak/>
        <w:t>3.</w:t>
      </w:r>
      <w:r w:rsidRPr="009072DA">
        <w:rPr>
          <w:lang w:val="bg-BG"/>
        </w:rPr>
        <w:tab/>
      </w:r>
      <w:r w:rsidRPr="009072DA">
        <w:rPr>
          <w:b/>
          <w:lang w:val="bg-BG"/>
        </w:rPr>
        <w:t>Приемно изпитване</w:t>
      </w:r>
    </w:p>
    <w:p w:rsidR="004F47BB" w:rsidRPr="009072DA" w:rsidRDefault="004F47BB" w:rsidP="004F47BB">
      <w:pPr>
        <w:tabs>
          <w:tab w:val="left" w:pos="1559"/>
        </w:tabs>
        <w:spacing w:line="240" w:lineRule="atLeast"/>
        <w:ind w:left="1560" w:hanging="709"/>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t>3.1</w:t>
      </w:r>
      <w:r w:rsidRPr="009072DA">
        <w:rPr>
          <w:lang w:val="bg-BG"/>
        </w:rPr>
        <w:tab/>
        <w:t>Пожароизвестителните системи трябва да се проверяват от експерт:</w:t>
      </w:r>
    </w:p>
    <w:p w:rsidR="004F47BB" w:rsidRPr="009072DA" w:rsidRDefault="004F47BB" w:rsidP="004F47BB">
      <w:pPr>
        <w:spacing w:before="60" w:line="240" w:lineRule="atLeast"/>
        <w:ind w:left="1134"/>
        <w:rPr>
          <w:szCs w:val="20"/>
          <w:lang w:val="bg-BG"/>
        </w:rPr>
      </w:pPr>
      <w:r w:rsidRPr="009072DA">
        <w:rPr>
          <w:lang w:val="bg-BG"/>
        </w:rPr>
        <w:t>a)</w:t>
      </w:r>
      <w:r w:rsidRPr="009072DA">
        <w:rPr>
          <w:lang w:val="bg-BG"/>
        </w:rPr>
        <w:tab/>
        <w:t>преди първоначално пускане в експлоатация;</w:t>
      </w:r>
    </w:p>
    <w:p w:rsidR="004F47BB" w:rsidRPr="009072DA" w:rsidRDefault="004F47BB" w:rsidP="004F47BB">
      <w:pPr>
        <w:spacing w:before="60" w:line="240" w:lineRule="atLeast"/>
        <w:ind w:left="1134"/>
        <w:rPr>
          <w:szCs w:val="20"/>
          <w:lang w:val="bg-BG"/>
        </w:rPr>
      </w:pPr>
      <w:r w:rsidRPr="009072DA">
        <w:rPr>
          <w:lang w:val="bg-BG"/>
        </w:rPr>
        <w:t>б)</w:t>
      </w:r>
      <w:r w:rsidRPr="009072DA">
        <w:rPr>
          <w:lang w:val="bg-BG"/>
        </w:rPr>
        <w:tab/>
        <w:t>преди повторно пускане в експлоатация след всяко по-съществено изменение или ремонт;</w:t>
      </w:r>
    </w:p>
    <w:p w:rsidR="004F47BB" w:rsidRPr="009072DA" w:rsidRDefault="004F47BB" w:rsidP="004F47BB">
      <w:pPr>
        <w:spacing w:before="60" w:line="240" w:lineRule="atLeast"/>
        <w:ind w:left="1134"/>
        <w:rPr>
          <w:szCs w:val="20"/>
          <w:lang w:val="bg-BG"/>
        </w:rPr>
      </w:pPr>
      <w:r w:rsidRPr="009072DA">
        <w:rPr>
          <w:lang w:val="bg-BG"/>
        </w:rPr>
        <w:t>в)</w:t>
      </w:r>
      <w:r w:rsidRPr="009072DA">
        <w:rPr>
          <w:lang w:val="bg-BG"/>
        </w:rPr>
        <w:tab/>
        <w:t>редовно, най-малко на всеки две години.</w:t>
      </w:r>
    </w:p>
    <w:p w:rsidR="004F47BB" w:rsidRPr="009072DA" w:rsidRDefault="004F47BB" w:rsidP="004F47BB">
      <w:pPr>
        <w:tabs>
          <w:tab w:val="left" w:pos="709"/>
        </w:tabs>
        <w:spacing w:before="60" w:line="240" w:lineRule="atLeast"/>
        <w:ind w:left="709"/>
        <w:rPr>
          <w:szCs w:val="20"/>
          <w:lang w:val="bg-BG"/>
        </w:rPr>
      </w:pPr>
      <w:r w:rsidRPr="009072DA">
        <w:rPr>
          <w:lang w:val="bg-BG"/>
        </w:rPr>
        <w:t>В случая на машинни отделения и котелни отделения тези проверки се извършват при различни експлоатационни условия на машините и при променящи се вентилационни условия. Проверките, посочени в буква в) по-горе, могат да бъдат извършвани също от компетентно лице от компетентна фирма, специализирана в пожарогасителни системи.</w:t>
      </w:r>
    </w:p>
    <w:p w:rsidR="004F47BB" w:rsidRPr="009072DA" w:rsidRDefault="004F47BB" w:rsidP="004F47BB">
      <w:pPr>
        <w:tabs>
          <w:tab w:val="left" w:pos="709"/>
        </w:tabs>
        <w:spacing w:line="240" w:lineRule="atLeast"/>
        <w:ind w:left="709" w:hanging="709"/>
        <w:rPr>
          <w:szCs w:val="20"/>
          <w:lang w:val="bg-BG"/>
        </w:rPr>
      </w:pPr>
    </w:p>
    <w:p w:rsidR="004F47BB" w:rsidRPr="009072DA" w:rsidRDefault="004F47BB" w:rsidP="004F47BB">
      <w:pPr>
        <w:tabs>
          <w:tab w:val="left" w:pos="709"/>
        </w:tabs>
        <w:spacing w:line="240" w:lineRule="atLeast"/>
        <w:ind w:left="709" w:hanging="709"/>
        <w:rPr>
          <w:szCs w:val="20"/>
          <w:lang w:val="bg-BG"/>
        </w:rPr>
      </w:pPr>
      <w:r w:rsidRPr="009072DA">
        <w:rPr>
          <w:lang w:val="bg-BG"/>
        </w:rPr>
        <w:t>3.2</w:t>
      </w:r>
      <w:r w:rsidRPr="009072DA">
        <w:rPr>
          <w:lang w:val="bg-BG"/>
        </w:rPr>
        <w:tab/>
        <w:t>За проверката се издава сертификат, подписан от експерта или компетентното лице, като се посочва датата на проверката.</w:t>
      </w:r>
    </w:p>
    <w:p w:rsidR="004F47BB" w:rsidRPr="009072DA" w:rsidRDefault="004F47BB" w:rsidP="004F47BB">
      <w:pPr>
        <w:tabs>
          <w:tab w:val="left" w:pos="709"/>
        </w:tabs>
        <w:ind w:left="709" w:hanging="709"/>
        <w:rPr>
          <w:rFonts w:cs="Arial"/>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r w:rsidRPr="009072DA">
        <w:rPr>
          <w:lang w:val="bg-BG"/>
        </w:rPr>
        <w:br w:type="page"/>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sectPr w:rsidR="004F47BB" w:rsidRPr="009072DA" w:rsidSect="00D45887">
          <w:footnotePr>
            <w:numRestart w:val="eachPage"/>
          </w:footnotePr>
          <w:pgSz w:w="11907" w:h="16840" w:code="9"/>
          <w:pgMar w:top="1418" w:right="1418" w:bottom="1418" w:left="1418" w:header="680" w:footer="680" w:gutter="0"/>
          <w:cols w:space="720"/>
          <w:docGrid w:linePitch="326"/>
        </w:sectPr>
      </w:pPr>
    </w:p>
    <w:p w:rsidR="004F47BB" w:rsidRPr="009072DA" w:rsidRDefault="004F47BB" w:rsidP="003F3DE1">
      <w:pPr>
        <w:pStyle w:val="ES-Titre2ESI"/>
      </w:pPr>
      <w:bookmarkStart w:id="758" w:name="_Toc491854362"/>
      <w:bookmarkStart w:id="759" w:name="_Toc535827803"/>
      <w:r w:rsidRPr="009072DA">
        <w:lastRenderedPageBreak/>
        <w:t>ESI-II-13</w:t>
      </w:r>
      <w:r w:rsidRPr="009072DA">
        <w:br/>
        <w:t>(оставено непопълнено)</w:t>
      </w:r>
      <w:bookmarkEnd w:id="758"/>
      <w:bookmarkEnd w:id="759"/>
    </w:p>
    <w:p w:rsidR="004F47BB" w:rsidRPr="009072DA" w:rsidRDefault="004F47BB" w:rsidP="004F47BB">
      <w:pPr>
        <w:overflowPunct w:val="0"/>
        <w:adjustRightInd w:val="0"/>
        <w:textAlignment w:val="baseline"/>
        <w:rPr>
          <w:szCs w:val="20"/>
          <w:lang w:val="bg-BG"/>
        </w:rPr>
      </w:pPr>
    </w:p>
    <w:p w:rsidR="00562D2E" w:rsidRPr="009072DA" w:rsidRDefault="00562D2E"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r w:rsidRPr="009072DA">
        <w:rPr>
          <w:lang w:val="bg-BG"/>
        </w:rPr>
        <w:br w:type="page"/>
      </w:r>
    </w:p>
    <w:p w:rsidR="004F47BB" w:rsidRPr="009072DA" w:rsidRDefault="004F47BB" w:rsidP="004F47BB">
      <w:pPr>
        <w:overflowPunct w:val="0"/>
        <w:adjustRightInd w:val="0"/>
        <w:textAlignment w:val="baseline"/>
        <w:rPr>
          <w:szCs w:val="20"/>
          <w:lang w:val="bg-BG"/>
        </w:rPr>
      </w:pPr>
    </w:p>
    <w:p w:rsidR="004C02DF" w:rsidRPr="009072DA" w:rsidRDefault="004C02DF"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sectPr w:rsidR="004F47BB" w:rsidRPr="009072DA" w:rsidSect="00D45887">
          <w:footnotePr>
            <w:numRestart w:val="eachPage"/>
          </w:footnotePr>
          <w:pgSz w:w="11907" w:h="16840" w:code="9"/>
          <w:pgMar w:top="1418" w:right="1418" w:bottom="1418" w:left="1418" w:header="680" w:footer="680" w:gutter="0"/>
          <w:cols w:space="720"/>
          <w:docGrid w:linePitch="326"/>
        </w:sectPr>
      </w:pPr>
    </w:p>
    <w:p w:rsidR="004F47BB" w:rsidRPr="009072DA" w:rsidRDefault="004F47BB" w:rsidP="00A84512">
      <w:pPr>
        <w:pStyle w:val="ES-Titre1"/>
      </w:pPr>
      <w:bookmarkStart w:id="760" w:name="_Toc491854363"/>
      <w:bookmarkStart w:id="761" w:name="_Toc535827804"/>
      <w:r w:rsidRPr="009072DA">
        <w:lastRenderedPageBreak/>
        <w:t>ЧАСТ III</w:t>
      </w:r>
      <w:r w:rsidRPr="009072DA">
        <w:br/>
        <w:t>СПЕЦИАЛНИ РАЗПОРЕДБИ</w:t>
      </w:r>
      <w:bookmarkEnd w:id="760"/>
      <w:bookmarkEnd w:id="761"/>
    </w:p>
    <w:p w:rsidR="004F47BB" w:rsidRPr="009072DA" w:rsidRDefault="004F47BB" w:rsidP="004F47BB">
      <w:pPr>
        <w:overflowPunct w:val="0"/>
        <w:adjustRightInd w:val="0"/>
        <w:textAlignment w:val="baseline"/>
        <w:rPr>
          <w:szCs w:val="20"/>
          <w:lang w:val="bg-BG"/>
        </w:rPr>
      </w:pPr>
    </w:p>
    <w:p w:rsidR="004F47BB" w:rsidRPr="009072DA" w:rsidRDefault="004F47BB" w:rsidP="00A84512">
      <w:pPr>
        <w:pStyle w:val="ES-Titre2ESI"/>
        <w:rPr>
          <w:szCs w:val="20"/>
        </w:rPr>
      </w:pPr>
      <w:bookmarkStart w:id="762" w:name="_Toc491854364"/>
      <w:bookmarkStart w:id="763" w:name="_Toc535827805"/>
      <w:r w:rsidRPr="009072DA">
        <w:t>ESI-III-1</w:t>
      </w:r>
      <w:r w:rsidRPr="009072DA">
        <w:br/>
        <w:t>Прилагане на изискванията на глава 19</w:t>
      </w:r>
      <w:bookmarkEnd w:id="762"/>
      <w:bookmarkEnd w:id="763"/>
    </w:p>
    <w:p w:rsidR="004F47BB" w:rsidRPr="009072DA" w:rsidRDefault="004F47BB" w:rsidP="004F47BB">
      <w:pPr>
        <w:overflowPunct w:val="0"/>
        <w:adjustRightInd w:val="0"/>
        <w:ind w:left="1843"/>
        <w:textAlignment w:val="baseline"/>
        <w:rPr>
          <w:b/>
          <w:bCs/>
          <w:i/>
          <w:sz w:val="24"/>
          <w:lang w:val="bg-BG"/>
        </w:rPr>
      </w:pPr>
      <w:r w:rsidRPr="009072DA">
        <w:rPr>
          <w:b/>
          <w:i/>
          <w:sz w:val="24"/>
          <w:lang w:val="bg-BG"/>
        </w:rPr>
        <w:t>-</w:t>
      </w:r>
      <w:r w:rsidRPr="009072DA">
        <w:rPr>
          <w:lang w:val="bg-BG"/>
        </w:rPr>
        <w:tab/>
      </w:r>
      <w:r w:rsidRPr="009072DA">
        <w:rPr>
          <w:b/>
          <w:i/>
          <w:sz w:val="24"/>
          <w:lang w:val="bg-BG"/>
        </w:rPr>
        <w:t>Разделяне на плавателния съд на отсеци</w:t>
      </w:r>
    </w:p>
    <w:p w:rsidR="004F47BB" w:rsidRPr="009072DA" w:rsidRDefault="004F47BB" w:rsidP="004F47BB">
      <w:pPr>
        <w:overflowPunct w:val="0"/>
        <w:adjustRightInd w:val="0"/>
        <w:ind w:left="1843"/>
        <w:textAlignment w:val="baseline"/>
        <w:rPr>
          <w:b/>
          <w:i/>
          <w:sz w:val="24"/>
          <w:szCs w:val="20"/>
          <w:lang w:val="bg-BG"/>
        </w:rPr>
      </w:pPr>
      <w:r w:rsidRPr="009072DA">
        <w:rPr>
          <w:b/>
          <w:i/>
          <w:sz w:val="24"/>
          <w:lang w:val="bg-BG"/>
        </w:rPr>
        <w:t>-</w:t>
      </w:r>
      <w:r w:rsidRPr="009072DA">
        <w:rPr>
          <w:lang w:val="bg-BG"/>
        </w:rPr>
        <w:tab/>
      </w:r>
      <w:r w:rsidRPr="009072DA">
        <w:rPr>
          <w:b/>
          <w:i/>
          <w:sz w:val="24"/>
          <w:lang w:val="bg-BG"/>
        </w:rPr>
        <w:t>Преходни разпоредби за заграждения, направени с</w:t>
      </w:r>
      <w:r w:rsidRPr="009072DA">
        <w:rPr>
          <w:lang w:val="bg-BG"/>
        </w:rPr>
        <w:t xml:space="preserve"> </w:t>
      </w:r>
      <w:r w:rsidRPr="009072DA">
        <w:rPr>
          <w:b/>
          <w:i/>
          <w:sz w:val="24"/>
          <w:lang w:val="bg-BG"/>
        </w:rPr>
        <w:t>навеси или подобни подвижни съоръжения</w:t>
      </w:r>
    </w:p>
    <w:p w:rsidR="004F47BB" w:rsidRPr="009072DA" w:rsidRDefault="004F47BB" w:rsidP="004F47BB">
      <w:pPr>
        <w:spacing w:line="240" w:lineRule="atLeast"/>
        <w:ind w:left="567" w:hanging="567"/>
        <w:rPr>
          <w:lang w:val="bg-BG"/>
        </w:rPr>
      </w:pPr>
    </w:p>
    <w:p w:rsidR="004F47BB" w:rsidRPr="009072DA" w:rsidRDefault="004F47BB" w:rsidP="004F47BB">
      <w:pPr>
        <w:suppressAutoHyphens/>
        <w:spacing w:line="240" w:lineRule="atLeast"/>
        <w:jc w:val="center"/>
        <w:rPr>
          <w:rFonts w:cs="Arial"/>
          <w:b/>
          <w:lang w:val="bg-BG"/>
        </w:rPr>
      </w:pPr>
      <w:r w:rsidRPr="009072DA">
        <w:rPr>
          <w:b/>
          <w:lang w:val="bg-BG"/>
        </w:rPr>
        <w:t xml:space="preserve">(член 19.02, точка 5, 19.03, точка 5) </w:t>
      </w:r>
    </w:p>
    <w:p w:rsidR="004F47BB" w:rsidRPr="009072DA" w:rsidRDefault="004F47BB" w:rsidP="004F47BB">
      <w:pPr>
        <w:suppressAutoHyphens/>
        <w:rPr>
          <w:rFonts w:cs="Arial"/>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1.</w:t>
      </w:r>
      <w:r w:rsidRPr="009072DA">
        <w:rPr>
          <w:lang w:val="bg-BG"/>
        </w:rPr>
        <w:tab/>
      </w:r>
      <w:r w:rsidRPr="009072DA">
        <w:rPr>
          <w:b/>
          <w:color w:val="000000"/>
          <w:lang w:val="bg-BG"/>
        </w:rPr>
        <w:t xml:space="preserve">Разделяне на плавателния съд на отсеци (член 19.02, точка 5) </w:t>
      </w:r>
    </w:p>
    <w:p w:rsidR="004F47BB" w:rsidRPr="009072DA" w:rsidRDefault="004F47BB" w:rsidP="004F47BB">
      <w:pPr>
        <w:suppressAutoHyphens/>
        <w:spacing w:line="240" w:lineRule="atLeast"/>
        <w:rPr>
          <w:rFonts w:cs="Arial"/>
          <w:szCs w:val="20"/>
          <w:lang w:val="bg-BG"/>
        </w:rPr>
      </w:pPr>
    </w:p>
    <w:p w:rsidR="004F47BB" w:rsidRPr="009072DA" w:rsidRDefault="004F47BB" w:rsidP="004F47BB">
      <w:pPr>
        <w:spacing w:line="240" w:lineRule="atLeast"/>
        <w:ind w:left="567"/>
        <w:rPr>
          <w:lang w:val="bg-BG"/>
        </w:rPr>
      </w:pPr>
      <w:r w:rsidRPr="009072DA">
        <w:rPr>
          <w:lang w:val="bg-BG"/>
        </w:rPr>
        <w:t>Според член 19.02, точка 5 е възможно водонепроницаемите отсеци, като например напречно разделените резервоари с двойно дъно, чиято дължина е по-голяма от дължината на повредата, да не бъдат включени в оценяването. В този случай може да не е възможно да се отчете напречното подразделяне на отсеци, ако то не достига до палубата на преградите. Това може да доведе до неподходящо подразделяне на преградите.</w:t>
      </w:r>
    </w:p>
    <w:p w:rsidR="004F47BB" w:rsidRPr="009072DA" w:rsidRDefault="004F47BB" w:rsidP="004F47BB">
      <w:pPr>
        <w:suppressAutoHyphens/>
        <w:spacing w:line="240" w:lineRule="atLeast"/>
        <w:ind w:left="357"/>
        <w:rPr>
          <w:rFonts w:cs="Arial"/>
          <w:b/>
          <w:lang w:val="bg-BG"/>
        </w:rPr>
      </w:pPr>
    </w:p>
    <w:p w:rsidR="004F47BB" w:rsidRPr="009072DA" w:rsidRDefault="002B712C" w:rsidP="004F47BB">
      <w:pPr>
        <w:suppressAutoHyphens/>
        <w:spacing w:line="240" w:lineRule="atLeast"/>
        <w:ind w:left="357"/>
        <w:rPr>
          <w:rFonts w:cs="Arial"/>
          <w:b/>
          <w:lang w:val="bg-BG"/>
        </w:rPr>
      </w:pPr>
      <w:r>
        <w:rPr>
          <w:rFonts w:cs="Arial"/>
          <w:b/>
          <w:lang w:val="bg-BG"/>
        </w:rPr>
      </w:r>
      <w:r>
        <w:rPr>
          <w:rFonts w:cs="Arial"/>
          <w:b/>
          <w:lang w:val="bg-BG"/>
        </w:rPr>
        <w:pict>
          <v:group id="_x0000_s1026" editas="canvas" style="width:387pt;height:162pt;mso-position-horizontal-relative:char;mso-position-vertical-relative:line" coordorigin="2198,3570" coordsize="6192,2592">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2198;top:3570;width:6192;height:2592" o:preferrelative="f">
              <v:fill o:detectmouseclick="t"/>
              <v:path o:extrusionok="t" o:connecttype="none"/>
              <o:lock v:ext="edit" text="t"/>
            </v:shape>
            <v:line id="_x0000_s1028" style="position:absolute" from="3062,5442" to="8102,5442" strokeweight="1.5pt"/>
            <v:line id="_x0000_s1029" style="position:absolute" from="3062,5154" to="8102,5154" strokeweight="1.5pt"/>
            <v:line id="_x0000_s1030" style="position:absolute;flip:y" from="3494,4002" to="3494,5442" strokeweight="1.5pt"/>
            <v:line id="_x0000_s1031" style="position:absolute;flip:y" from="7238,4002" to="7238,5442" strokeweight="1.5pt"/>
            <v:line id="_x0000_s1032" style="position:absolute" from="3062,4002" to="8102,4003" strokeweight="1.5pt"/>
            <v:line id="_x0000_s1033" style="position:absolute;flip:y" from="4790,5154" to="4790,5442" strokeweight="1.5pt"/>
            <v:line id="_x0000_s1034" style="position:absolute;flip:y" from="3494,5154" to="4790,5442">
              <v:stroke dashstyle="dash"/>
            </v:line>
            <v:line id="_x0000_s1035" style="position:absolute" from="3494,5154" to="4790,5442">
              <v:stroke dashstyle="dash"/>
            </v:line>
            <v:line id="_x0000_s1036" style="position:absolute;flip:x y" from="4790,5154" to="7238,5442">
              <v:stroke dashstyle="dash"/>
            </v:line>
            <v:line id="_x0000_s1037" style="position:absolute;flip:y" from="4790,5154" to="7238,5442">
              <v:stroke dashstyle="dash"/>
            </v:line>
            <v:line id="_x0000_s1038" style="position:absolute" from="3494,5586" to="4790,5586">
              <v:stroke startarrow="block" endarrow="block"/>
            </v:lin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9" type="#_x0000_t136" style="position:absolute;left:3782;top:5730;width:1116;height:180" fillcolor="black">
              <v:shadow color="#868686"/>
              <v:textpath style="font-family:&quot;Arial&quot;;font-size:9pt;v-text-kern:t" trim="t" fitpath="t" string="&amp;gt; дължина на щетата"/>
            </v:shape>
            <v:line id="_x0000_s1040" style="position:absolute;flip:y" from="4790,4002" to="4790,5154" strokecolor="#969696" strokeweight="1.5pt"/>
            <v:shape id="_x0000_s1041" type="#_x0000_t136" style="position:absolute;left:4934;top:4578;width:1752;height:180" fillcolor="#969696" stroked="f" strokecolor="#969696">
              <v:shadow color="#868686"/>
              <v:textpath style="font-family:&quot;Arial&quot;;font-size:9pt;font-weight:bold;v-text-kern:t" trim="t" fitpath="t" string="съгласно изискването на член 19.02, точка 5"/>
            </v:shape>
            <v:shape id="_x0000_s1042" type="#_x0000_t136" style="position:absolute;left:5222;top:3714;width:972;height:180" fillcolor="black">
              <v:shadow color="#868686"/>
              <v:textpath style="font-family:&quot;Arial&quot;;font-size:9pt;v-text-kern:t" trim="t" fitpath="t" string="Палуба на преградите"/>
            </v:shape>
            <w10:wrap type="none"/>
            <w10:anchorlock/>
          </v:group>
        </w:pict>
      </w:r>
    </w:p>
    <w:p w:rsidR="004F47BB" w:rsidRPr="009072DA" w:rsidRDefault="004F47BB" w:rsidP="004F47BB">
      <w:pPr>
        <w:spacing w:line="240" w:lineRule="atLeast"/>
        <w:ind w:left="567"/>
        <w:rPr>
          <w:rFonts w:cs="Arial"/>
          <w:b/>
          <w:color w:val="000000"/>
          <w:szCs w:val="20"/>
          <w:lang w:val="bg-BG"/>
        </w:rPr>
      </w:pPr>
      <w:r w:rsidRPr="009072DA">
        <w:rPr>
          <w:b/>
          <w:color w:val="000000"/>
          <w:lang w:val="bg-BG"/>
        </w:rPr>
        <w:t>Тълкуване на изискването:</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Ако водонепроницаем отсек е по-дълъг от изискваното по член 19.03, точка 9 и съдържа подразделения, които образуват водонепроницаеми подотсеци, между които може да се вмести минималната дължина на повредата, това може да се отчете при изчисляването на устойчивостта в повредено състояние.</w:t>
      </w:r>
    </w:p>
    <w:p w:rsidR="004F47BB" w:rsidRPr="009072DA" w:rsidRDefault="004F47BB" w:rsidP="004F47BB">
      <w:pPr>
        <w:tabs>
          <w:tab w:val="left" w:pos="425"/>
        </w:tabs>
        <w:suppressAutoHyphens/>
        <w:spacing w:line="240" w:lineRule="atLeast"/>
        <w:rPr>
          <w:rFonts w:cs="Arial"/>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w:t>
      </w:r>
      <w:r w:rsidRPr="009072DA">
        <w:rPr>
          <w:lang w:val="bg-BG"/>
        </w:rPr>
        <w:tab/>
      </w:r>
      <w:r w:rsidRPr="009072DA">
        <w:rPr>
          <w:b/>
          <w:color w:val="000000"/>
          <w:lang w:val="bg-BG"/>
        </w:rPr>
        <w:t>Преходна разпоредба за заграждения, направени от навеси или подобни подвижни съоръжения по отношение на устойчивостта (член 19.03, точка 5)</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Заграждения, направени от навеси или подобни подвижни съоръжения, могат да причинят проблеми по отношение устойчивостта на плавателния съд, тъй като ако са достатъчно големи, те влияят на кренящия момент, дължащ се на натиска на вятъра.</w:t>
      </w:r>
    </w:p>
    <w:p w:rsidR="004F47BB" w:rsidRPr="009072DA" w:rsidRDefault="004F47BB" w:rsidP="004F47BB">
      <w:pPr>
        <w:tabs>
          <w:tab w:val="left" w:pos="425"/>
        </w:tabs>
        <w:suppressAutoHyphens/>
        <w:spacing w:line="240" w:lineRule="atLeast"/>
        <w:rPr>
          <w:rFonts w:cs="Arial"/>
          <w:lang w:val="bg-BG"/>
        </w:rPr>
      </w:pPr>
    </w:p>
    <w:p w:rsidR="004F47BB" w:rsidRPr="009072DA" w:rsidRDefault="004F47BB" w:rsidP="004F47BB">
      <w:pPr>
        <w:tabs>
          <w:tab w:val="left" w:pos="425"/>
        </w:tabs>
        <w:suppressAutoHyphens/>
        <w:spacing w:line="240" w:lineRule="atLeast"/>
        <w:rPr>
          <w:rFonts w:cs="Arial"/>
          <w:lang w:val="bg-BG"/>
        </w:rPr>
      </w:pPr>
      <w:r w:rsidRPr="009072DA">
        <w:rPr>
          <w:lang w:val="bg-BG"/>
        </w:rPr>
        <w:br w:type="page"/>
      </w:r>
    </w:p>
    <w:p w:rsidR="004F47BB" w:rsidRPr="009072DA" w:rsidRDefault="004F47BB" w:rsidP="004F47BB">
      <w:pPr>
        <w:spacing w:line="240" w:lineRule="atLeast"/>
        <w:ind w:left="567"/>
        <w:rPr>
          <w:rFonts w:cs="Arial"/>
          <w:b/>
          <w:color w:val="000000"/>
          <w:szCs w:val="20"/>
          <w:lang w:val="bg-BG"/>
        </w:rPr>
      </w:pPr>
      <w:r w:rsidRPr="009072DA">
        <w:rPr>
          <w:b/>
          <w:color w:val="000000"/>
          <w:lang w:val="bg-BG"/>
        </w:rPr>
        <w:lastRenderedPageBreak/>
        <w:t>Тълкуване на изискването:</w:t>
      </w:r>
    </w:p>
    <w:p w:rsidR="004F47BB" w:rsidRPr="009072DA" w:rsidRDefault="004F47BB" w:rsidP="004F47BB">
      <w:pPr>
        <w:suppressAutoHyphens/>
        <w:spacing w:line="240" w:lineRule="atLeast"/>
        <w:rPr>
          <w:rFonts w:cs="Arial"/>
          <w:lang w:val="bg-BG"/>
        </w:rPr>
      </w:pPr>
    </w:p>
    <w:p w:rsidR="004F47BB" w:rsidRPr="009072DA" w:rsidRDefault="004F47BB" w:rsidP="004F47BB">
      <w:pPr>
        <w:spacing w:line="240" w:lineRule="atLeast"/>
        <w:ind w:left="567"/>
        <w:rPr>
          <w:lang w:val="bg-BG"/>
        </w:rPr>
      </w:pPr>
      <w:r w:rsidRPr="009072DA">
        <w:rPr>
          <w:lang w:val="bg-BG"/>
        </w:rPr>
        <w:t xml:space="preserve">При пътнически плавателни съдове, за които удостоверението за плавателен съд е било издадено за първи път преди 1 януари 2006 г. съгласно разпоредбите за проверка на плавателните съдове по река Рейн (RVIR), или за които се отнася член 32.05, точка 2, второ изречение, след създаването на заграждение, направено от навеси или подобни подвижни съоръжения, съгласно член 19.04 от настоящия стандарт трябва да се направи ново изчисление на устойчивостта, за да се отчете фактът, че неговата странична равнина </w:t>
      </w:r>
      <m:oMath>
        <m:sSub>
          <m:sSubPr>
            <m:ctrlPr>
              <w:rPr>
                <w:rFonts w:ascii="Cambria Math" w:hAnsi="Cambria Math"/>
                <w:i/>
                <w:lang w:val="bg-BG"/>
              </w:rPr>
            </m:ctrlPr>
          </m:sSubPr>
          <m:e>
            <m:r>
              <w:rPr>
                <w:rFonts w:ascii="Cambria Math" w:hAnsi="Cambria Math"/>
                <w:lang w:val="bg-BG"/>
              </w:rPr>
              <m:t>A</m:t>
            </m:r>
          </m:e>
          <m:sub>
            <m:r>
              <w:rPr>
                <w:rFonts w:ascii="Cambria Math" w:hAnsi="Cambria Math"/>
                <w:lang w:val="bg-BG"/>
              </w:rPr>
              <m:t>wz</m:t>
            </m:r>
          </m:sub>
        </m:sSub>
      </m:oMath>
      <w:r w:rsidRPr="009072DA">
        <w:rPr>
          <w:lang w:val="bg-BG"/>
        </w:rPr>
        <w:t xml:space="preserve"> надхвърля 5 % от общата странична равнина </w:t>
      </w:r>
      <m:oMath>
        <m:sSub>
          <m:sSubPr>
            <m:ctrlPr>
              <w:rPr>
                <w:rFonts w:ascii="Cambria Math" w:hAnsi="Cambria Math"/>
                <w:i/>
                <w:lang w:val="bg-BG"/>
              </w:rPr>
            </m:ctrlPr>
          </m:sSubPr>
          <m:e>
            <m:r>
              <w:rPr>
                <w:rFonts w:ascii="Cambria Math" w:hAnsi="Cambria Math"/>
                <w:lang w:val="bg-BG"/>
              </w:rPr>
              <m:t>A</m:t>
            </m:r>
          </m:e>
          <m:sub>
            <m:r>
              <w:rPr>
                <w:rFonts w:ascii="Cambria Math" w:hAnsi="Cambria Math"/>
                <w:lang w:val="bg-BG"/>
              </w:rPr>
              <m:t>w</m:t>
            </m:r>
          </m:sub>
        </m:sSub>
      </m:oMath>
      <w:r w:rsidRPr="009072DA">
        <w:rPr>
          <w:lang w:val="bg-BG"/>
        </w:rPr>
        <w:t>.</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sectPr w:rsidR="004F47BB" w:rsidRPr="009072DA" w:rsidSect="00D45887">
          <w:footnotePr>
            <w:numRestart w:val="eachPage"/>
          </w:footnotePr>
          <w:pgSz w:w="11907" w:h="16840" w:code="9"/>
          <w:pgMar w:top="1418" w:right="1418" w:bottom="1418" w:left="1418" w:header="680" w:footer="680" w:gutter="0"/>
          <w:cols w:space="720"/>
          <w:docGrid w:linePitch="326"/>
        </w:sectPr>
      </w:pPr>
    </w:p>
    <w:p w:rsidR="004F47BB" w:rsidRPr="009072DA" w:rsidRDefault="004F47BB" w:rsidP="003F3DE1">
      <w:pPr>
        <w:pStyle w:val="ES-Titre2ESI"/>
      </w:pPr>
      <w:bookmarkStart w:id="764" w:name="_Toc491854365"/>
      <w:bookmarkStart w:id="765" w:name="_Toc535827806"/>
      <w:r w:rsidRPr="009072DA">
        <w:lastRenderedPageBreak/>
        <w:t>ESI-III-2</w:t>
      </w:r>
      <w:r w:rsidRPr="009072DA">
        <w:br/>
        <w:t>Специфични нужди на лица с намалена подвижност по отношение на безопасността</w:t>
      </w:r>
      <w:bookmarkEnd w:id="764"/>
      <w:bookmarkEnd w:id="765"/>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jc w:val="center"/>
        <w:textAlignment w:val="baseline"/>
        <w:rPr>
          <w:rFonts w:cs="Arial"/>
          <w:b/>
          <w:bCs/>
          <w:snapToGrid w:val="0"/>
          <w:szCs w:val="20"/>
          <w:lang w:val="bg-BG"/>
        </w:rPr>
      </w:pPr>
      <w:r w:rsidRPr="009072DA">
        <w:rPr>
          <w:b/>
          <w:snapToGrid w:val="0"/>
          <w:lang w:val="bg-BG"/>
        </w:rPr>
        <w:t>(член 1.01</w:t>
      </w:r>
      <w:r w:rsidR="008A16EB">
        <w:rPr>
          <w:b/>
          <w:snapToGrid w:val="0"/>
          <w:lang w:val="bg-BG"/>
        </w:rPr>
        <w:t xml:space="preserve">, точка </w:t>
      </w:r>
      <w:r w:rsidRPr="009072DA">
        <w:rPr>
          <w:b/>
          <w:snapToGrid w:val="0"/>
          <w:lang w:val="bg-BG"/>
        </w:rPr>
        <w:t>12.2, член 19.01, точка 4, член 19.06, точки 3 — 5, 9, 10, 13 и 17, член 19.08, точка 3, член 19.10, точка 3, член 19.13, точки 1 — 4)</w:t>
      </w:r>
    </w:p>
    <w:p w:rsidR="004F47BB" w:rsidRPr="009072DA" w:rsidRDefault="004F47BB" w:rsidP="004F47BB">
      <w:pPr>
        <w:ind w:left="567" w:hanging="567"/>
        <w:rPr>
          <w:rFonts w:cs="Arial"/>
          <w:snapToGrid w:val="0"/>
          <w:szCs w:val="20"/>
          <w:lang w:val="bg-BG"/>
        </w:rPr>
      </w:pPr>
    </w:p>
    <w:p w:rsidR="004F47BB" w:rsidRPr="009072DA" w:rsidRDefault="004F47BB" w:rsidP="004F47BB">
      <w:pPr>
        <w:spacing w:line="240" w:lineRule="atLeast"/>
        <w:ind w:left="567" w:hanging="567"/>
        <w:rPr>
          <w:rFonts w:cs="Arial"/>
          <w:b/>
          <w:snapToGrid w:val="0"/>
          <w:color w:val="000000"/>
          <w:szCs w:val="20"/>
          <w:lang w:val="bg-BG"/>
        </w:rPr>
      </w:pPr>
      <w:r w:rsidRPr="009072DA">
        <w:rPr>
          <w:b/>
          <w:snapToGrid w:val="0"/>
          <w:color w:val="000000"/>
          <w:lang w:val="bg-BG"/>
        </w:rPr>
        <w:t>1.</w:t>
      </w:r>
      <w:r w:rsidRPr="009072DA">
        <w:rPr>
          <w:lang w:val="bg-BG"/>
        </w:rPr>
        <w:tab/>
      </w:r>
      <w:r w:rsidRPr="009072DA">
        <w:rPr>
          <w:b/>
          <w:snapToGrid w:val="0"/>
          <w:color w:val="000000"/>
          <w:lang w:val="bg-BG"/>
        </w:rPr>
        <w:t>Въведение</w:t>
      </w:r>
    </w:p>
    <w:p w:rsidR="004F47BB" w:rsidRPr="009072DA" w:rsidRDefault="004F47BB" w:rsidP="004F47BB">
      <w:pPr>
        <w:spacing w:line="240" w:lineRule="atLeast"/>
        <w:ind w:left="567" w:hanging="567"/>
        <w:rPr>
          <w:snapToGrid w:val="0"/>
          <w:lang w:val="bg-BG"/>
        </w:rPr>
      </w:pPr>
    </w:p>
    <w:p w:rsidR="004F47BB" w:rsidRPr="009072DA" w:rsidRDefault="004F47BB" w:rsidP="004F47BB">
      <w:pPr>
        <w:spacing w:line="240" w:lineRule="atLeast"/>
        <w:ind w:left="567"/>
        <w:rPr>
          <w:snapToGrid w:val="0"/>
          <w:lang w:val="bg-BG"/>
        </w:rPr>
      </w:pPr>
      <w:r w:rsidRPr="009072DA">
        <w:rPr>
          <w:lang w:val="bg-BG"/>
        </w:rPr>
        <w:t>Лицата с намалена подвижност имат по-големи нужди, свързани с безопасността, от останалите пътници. Тези нужди са взети предвид в изискванията на глава 19, които са обяснени, както следва.</w:t>
      </w:r>
    </w:p>
    <w:p w:rsidR="004F47BB" w:rsidRPr="009072DA" w:rsidRDefault="004F47BB" w:rsidP="004F47BB">
      <w:pPr>
        <w:spacing w:line="240" w:lineRule="atLeast"/>
        <w:ind w:left="567"/>
        <w:rPr>
          <w:snapToGrid w:val="0"/>
          <w:lang w:val="bg-BG"/>
        </w:rPr>
      </w:pPr>
    </w:p>
    <w:p w:rsidR="004F47BB" w:rsidRPr="009072DA" w:rsidRDefault="004F47BB" w:rsidP="004F47BB">
      <w:pPr>
        <w:spacing w:line="240" w:lineRule="atLeast"/>
        <w:ind w:left="567"/>
        <w:rPr>
          <w:snapToGrid w:val="0"/>
          <w:lang w:val="bg-BG"/>
        </w:rPr>
      </w:pPr>
      <w:r w:rsidRPr="009072DA">
        <w:rPr>
          <w:lang w:val="bg-BG"/>
        </w:rPr>
        <w:t>Тези изисквания са предназначени да гарантират, че лицата с намалена подвижност могат да пребивават и да се движат безопасно на борда на плавателни съдове. В допълнение, при извънредна ситуация тези лица следва да имат същото равнище на безопасност както другите пътници.</w:t>
      </w:r>
    </w:p>
    <w:p w:rsidR="004F47BB" w:rsidRPr="009072DA" w:rsidRDefault="004F47BB" w:rsidP="004F47BB">
      <w:pPr>
        <w:spacing w:line="240" w:lineRule="atLeast"/>
        <w:ind w:left="567"/>
        <w:rPr>
          <w:snapToGrid w:val="0"/>
          <w:lang w:val="bg-BG"/>
        </w:rPr>
      </w:pPr>
    </w:p>
    <w:p w:rsidR="004F47BB" w:rsidRPr="009072DA" w:rsidRDefault="004F47BB" w:rsidP="004F47BB">
      <w:pPr>
        <w:spacing w:line="240" w:lineRule="atLeast"/>
        <w:ind w:left="567"/>
        <w:rPr>
          <w:snapToGrid w:val="0"/>
          <w:lang w:val="bg-BG"/>
        </w:rPr>
      </w:pPr>
      <w:r w:rsidRPr="009072DA">
        <w:rPr>
          <w:lang w:val="bg-BG"/>
        </w:rPr>
        <w:t xml:space="preserve">Не е необходимо всички пространства за пътници да изпълняват специфичните изисквания за безопасност на лица с намалена подвижност. Поради това тези изисквания се прилагат само за някои зони. На тези лица обаче трябва да е предоставена възможността да бъдат информирани за зоните, специално пригодени за тях с оглед на безопасността, така че да могат да организират престоя си на борда по съответния начин. Отговорност на корабособственика e да предостави съответните зони, да ги оповести и съобщи на лицата с намалена подвижност. </w:t>
      </w:r>
    </w:p>
    <w:p w:rsidR="004F47BB" w:rsidRPr="009072DA" w:rsidRDefault="004F47BB" w:rsidP="004F47BB">
      <w:pPr>
        <w:spacing w:line="240" w:lineRule="atLeast"/>
        <w:ind w:left="567"/>
        <w:rPr>
          <w:snapToGrid w:val="0"/>
          <w:lang w:val="bg-BG"/>
        </w:rPr>
      </w:pPr>
    </w:p>
    <w:p w:rsidR="004F47BB" w:rsidRPr="009072DA" w:rsidRDefault="005A25B4" w:rsidP="004F47BB">
      <w:pPr>
        <w:spacing w:line="240" w:lineRule="atLeast"/>
        <w:ind w:left="567"/>
        <w:rPr>
          <w:snapToGrid w:val="0"/>
          <w:lang w:val="bg-BG"/>
        </w:rPr>
      </w:pPr>
      <w:r w:rsidRPr="009072DA">
        <w:rPr>
          <w:lang w:val="bg-BG"/>
        </w:rPr>
        <w:t>Разпоредбите, засягащи лица с намалена подвижност, се позовават на:</w:t>
      </w:r>
    </w:p>
    <w:p w:rsidR="004F47BB" w:rsidRPr="009072DA" w:rsidRDefault="004F47BB" w:rsidP="004F47BB">
      <w:pPr>
        <w:tabs>
          <w:tab w:val="left" w:pos="992"/>
        </w:tabs>
        <w:spacing w:before="60" w:line="240" w:lineRule="atLeast"/>
        <w:ind w:left="992"/>
        <w:rPr>
          <w:rFonts w:cs="Arial"/>
          <w:snapToGrid w:val="0"/>
          <w:szCs w:val="20"/>
          <w:lang w:val="bg-BG"/>
        </w:rPr>
      </w:pPr>
      <w:r w:rsidRPr="009072DA">
        <w:rPr>
          <w:rFonts w:cs="Arial"/>
          <w:snapToGrid w:val="0"/>
          <w:szCs w:val="20"/>
          <w:shd w:val="clear" w:color="auto" w:fill="FFFFFF"/>
          <w:lang w:val="bg-BG"/>
        </w:rPr>
        <w:sym w:font="Symbol" w:char="F0B7"/>
      </w:r>
      <w:r w:rsidRPr="009072DA">
        <w:rPr>
          <w:lang w:val="bg-BG"/>
        </w:rPr>
        <w:tab/>
        <w:t>Директива 2009/45/ЕО</w:t>
      </w:r>
      <w:r w:rsidRPr="009072DA">
        <w:rPr>
          <w:vertAlign w:val="superscript"/>
          <w:lang w:val="bg-BG"/>
        </w:rPr>
        <w:footnoteReference w:id="83"/>
      </w:r>
      <w:r w:rsidRPr="009072DA">
        <w:rPr>
          <w:lang w:val="bg-BG"/>
        </w:rPr>
        <w:t xml:space="preserve"> и</w:t>
      </w:r>
    </w:p>
    <w:p w:rsidR="004F47BB" w:rsidRPr="009072DA" w:rsidRDefault="004F47BB" w:rsidP="004F47BB">
      <w:pPr>
        <w:tabs>
          <w:tab w:val="left" w:pos="992"/>
        </w:tabs>
        <w:spacing w:before="60" w:line="240" w:lineRule="atLeast"/>
        <w:ind w:left="992"/>
        <w:rPr>
          <w:rFonts w:cs="Arial"/>
          <w:snapToGrid w:val="0"/>
          <w:szCs w:val="20"/>
          <w:lang w:val="bg-BG"/>
        </w:rPr>
      </w:pPr>
      <w:r w:rsidRPr="009072DA">
        <w:rPr>
          <w:rFonts w:cs="Arial"/>
          <w:snapToGrid w:val="0"/>
          <w:szCs w:val="20"/>
          <w:shd w:val="clear" w:color="auto" w:fill="FFFFFF"/>
          <w:lang w:val="bg-BG"/>
        </w:rPr>
        <w:sym w:font="Symbol" w:char="F0B7"/>
      </w:r>
      <w:r w:rsidRPr="009072DA">
        <w:rPr>
          <w:lang w:val="bg-BG"/>
        </w:rPr>
        <w:tab/>
        <w:t>Насоки за приспособяване на пътнически съдове за вътрешни водни пътища към нуждите на хора с увреждания в съответствие с Резолюция № 69 на Икономическата комисия за Европа на ООН.</w:t>
      </w:r>
      <w:r w:rsidRPr="009072DA">
        <w:rPr>
          <w:vertAlign w:val="superscript"/>
          <w:lang w:val="bg-BG"/>
        </w:rPr>
        <w:footnoteReference w:id="84"/>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spacing w:line="240" w:lineRule="atLeast"/>
        <w:ind w:left="567"/>
        <w:rPr>
          <w:bCs/>
          <w:snapToGrid w:val="0"/>
          <w:lang w:val="bg-BG"/>
        </w:rPr>
      </w:pPr>
      <w:r w:rsidRPr="009072DA">
        <w:rPr>
          <w:lang w:val="bg-BG"/>
        </w:rPr>
        <w:lastRenderedPageBreak/>
        <w:t>Определението на термина „лица с намалена подвижност“, използвано в стандарта, до голяма степен е идентично с това в директивата и повечето от техническите изисквания са въз основат на горепосочените насоки. Поради това, при случаи на съмнение е възможно позоваване и на двете, когато се взимат решения. Като цяло изискванията на директивата и насоките са по-строги от тези в настоящия стандарт.</w:t>
      </w:r>
    </w:p>
    <w:p w:rsidR="004F47BB" w:rsidRPr="009072DA" w:rsidRDefault="004F47BB" w:rsidP="004F47BB">
      <w:pPr>
        <w:spacing w:line="240" w:lineRule="atLeast"/>
        <w:ind w:left="567"/>
        <w:rPr>
          <w:bCs/>
          <w:snapToGrid w:val="0"/>
          <w:lang w:val="bg-BG"/>
        </w:rPr>
      </w:pPr>
    </w:p>
    <w:p w:rsidR="004F47BB" w:rsidRPr="009072DA" w:rsidRDefault="004F47BB" w:rsidP="004F47BB">
      <w:pPr>
        <w:spacing w:line="240" w:lineRule="atLeast"/>
        <w:ind w:left="567"/>
        <w:rPr>
          <w:snapToGrid w:val="0"/>
          <w:lang w:val="bg-BG"/>
        </w:rPr>
      </w:pPr>
      <w:r w:rsidRPr="009072DA">
        <w:rPr>
          <w:lang w:val="bg-BG"/>
        </w:rPr>
        <w:t>Изискванията на стандарта не засягат койки и подобни съоръжения. Те са предмет на национални разпоредби.</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spacing w:line="240" w:lineRule="atLeast"/>
        <w:ind w:left="567" w:hanging="567"/>
        <w:rPr>
          <w:rFonts w:cs="Arial"/>
          <w:b/>
          <w:snapToGrid w:val="0"/>
          <w:color w:val="000000"/>
          <w:szCs w:val="20"/>
          <w:lang w:val="bg-BG"/>
        </w:rPr>
      </w:pPr>
      <w:r w:rsidRPr="009072DA">
        <w:rPr>
          <w:b/>
          <w:snapToGrid w:val="0"/>
          <w:color w:val="000000"/>
          <w:lang w:val="bg-BG"/>
        </w:rPr>
        <w:t>2.</w:t>
      </w:r>
      <w:r w:rsidRPr="009072DA">
        <w:rPr>
          <w:lang w:val="bg-BG"/>
        </w:rPr>
        <w:tab/>
      </w:r>
      <w:r w:rsidRPr="009072DA">
        <w:rPr>
          <w:b/>
          <w:snapToGrid w:val="0"/>
          <w:color w:val="000000"/>
          <w:lang w:val="bg-BG"/>
        </w:rPr>
        <w:t>Член 1.01</w:t>
      </w:r>
      <w:r w:rsidR="00524B9F">
        <w:rPr>
          <w:b/>
          <w:snapToGrid w:val="0"/>
          <w:color w:val="000000"/>
          <w:lang w:val="bg-BG"/>
        </w:rPr>
        <w:t xml:space="preserve">, точка </w:t>
      </w:r>
      <w:r w:rsidRPr="009072DA">
        <w:rPr>
          <w:b/>
          <w:snapToGrid w:val="0"/>
          <w:color w:val="000000"/>
          <w:lang w:val="bg-BG"/>
        </w:rPr>
        <w:t>12.2 – понятието „лица с намалена подвижност“</w:t>
      </w:r>
    </w:p>
    <w:p w:rsidR="004F47BB" w:rsidRPr="009072DA" w:rsidRDefault="004F47BB" w:rsidP="004F47BB">
      <w:pPr>
        <w:tabs>
          <w:tab w:val="left" w:pos="567"/>
        </w:tabs>
        <w:spacing w:line="240" w:lineRule="atLeast"/>
        <w:ind w:left="567" w:hanging="567"/>
        <w:rPr>
          <w:rFonts w:cs="Arial"/>
          <w:b/>
          <w:bCs/>
          <w:snapToGrid w:val="0"/>
          <w:szCs w:val="20"/>
          <w:lang w:val="bg-BG"/>
        </w:rPr>
      </w:pPr>
    </w:p>
    <w:p w:rsidR="004F47BB" w:rsidRPr="009072DA" w:rsidRDefault="004F47BB" w:rsidP="004F47BB">
      <w:pPr>
        <w:tabs>
          <w:tab w:val="left" w:pos="567"/>
        </w:tabs>
        <w:spacing w:line="240" w:lineRule="atLeast"/>
        <w:ind w:left="567" w:hanging="567"/>
        <w:rPr>
          <w:rFonts w:cs="Arial"/>
          <w:snapToGrid w:val="0"/>
          <w:szCs w:val="20"/>
          <w:lang w:val="bg-BG"/>
        </w:rPr>
      </w:pPr>
      <w:r w:rsidRPr="009072DA">
        <w:rPr>
          <w:lang w:val="bg-BG"/>
        </w:rPr>
        <w:tab/>
        <w:t>„Лица с намалена подвижност“ означава всяко лице, което в резултат на физически увреждания не може да се движи или различава окръжаващата го среда по същия начин както другите пътници. Това определение включва лица с нарушено зрение или слух или лица, придружаващи деца в бебешки колички или носени деца. За целите на настоящите разпоредби обаче, понятието „лица с намалена подвижност“ не включва лица с психически увреждания.</w:t>
      </w:r>
    </w:p>
    <w:p w:rsidR="004F47BB" w:rsidRPr="009072DA" w:rsidRDefault="004F47BB" w:rsidP="004F47BB">
      <w:pPr>
        <w:tabs>
          <w:tab w:val="left" w:pos="567"/>
        </w:tabs>
        <w:spacing w:line="240" w:lineRule="atLeast"/>
        <w:ind w:left="567" w:hanging="567"/>
        <w:rPr>
          <w:rFonts w:cs="Arial"/>
          <w:b/>
          <w:bCs/>
          <w:snapToGrid w:val="0"/>
          <w:szCs w:val="20"/>
          <w:lang w:val="bg-BG"/>
        </w:rPr>
      </w:pPr>
      <w:r w:rsidRPr="009072DA">
        <w:rPr>
          <w:lang w:val="bg-BG"/>
        </w:rPr>
        <w:br w:type="page"/>
      </w:r>
    </w:p>
    <w:p w:rsidR="004F47BB" w:rsidRPr="009072DA" w:rsidRDefault="004F47BB" w:rsidP="004F47BB">
      <w:pPr>
        <w:spacing w:line="240" w:lineRule="atLeast"/>
        <w:ind w:left="567" w:hanging="567"/>
        <w:rPr>
          <w:rFonts w:cs="Arial"/>
          <w:b/>
          <w:snapToGrid w:val="0"/>
          <w:color w:val="000000"/>
          <w:szCs w:val="20"/>
          <w:lang w:val="bg-BG"/>
        </w:rPr>
      </w:pPr>
      <w:r w:rsidRPr="009072DA">
        <w:rPr>
          <w:b/>
          <w:snapToGrid w:val="0"/>
          <w:color w:val="000000"/>
          <w:lang w:val="bg-BG"/>
        </w:rPr>
        <w:lastRenderedPageBreak/>
        <w:t>3.</w:t>
      </w:r>
      <w:r w:rsidRPr="009072DA">
        <w:rPr>
          <w:lang w:val="bg-BG"/>
        </w:rPr>
        <w:tab/>
      </w:r>
      <w:r w:rsidRPr="009072DA">
        <w:rPr>
          <w:b/>
          <w:snapToGrid w:val="0"/>
          <w:color w:val="000000"/>
          <w:lang w:val="bg-BG"/>
        </w:rPr>
        <w:t xml:space="preserve">Член 19.15, точка 4 — Зони, предназначени за използване от лица с намалена подвижност </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spacing w:line="240" w:lineRule="atLeast"/>
        <w:ind w:left="567"/>
        <w:rPr>
          <w:snapToGrid w:val="0"/>
          <w:lang w:val="bg-BG"/>
        </w:rPr>
      </w:pPr>
      <w:r w:rsidRPr="009072DA">
        <w:rPr>
          <w:lang w:val="bg-BG"/>
        </w:rPr>
        <w:t>Зоните, предназначени за използване от лица с намалена подвижност, варират от входната зона (в най-простия случай) до местата, от които ще се извърши евакуация при извънредна ситуация. Те включват:</w:t>
      </w:r>
    </w:p>
    <w:p w:rsidR="004F47BB" w:rsidRPr="009072DA" w:rsidRDefault="004F47BB" w:rsidP="004F47BB">
      <w:pPr>
        <w:tabs>
          <w:tab w:val="left" w:pos="992"/>
        </w:tabs>
        <w:spacing w:before="60" w:line="240" w:lineRule="atLeast"/>
        <w:ind w:left="992"/>
        <w:rPr>
          <w:rFonts w:cs="Arial"/>
          <w:snapToGrid w:val="0"/>
          <w:szCs w:val="20"/>
          <w:lang w:val="bg-BG"/>
        </w:rPr>
      </w:pPr>
      <w:r w:rsidRPr="009072DA">
        <w:rPr>
          <w:rFonts w:cs="Arial"/>
          <w:snapToGrid w:val="0"/>
          <w:szCs w:val="20"/>
          <w:shd w:val="clear" w:color="auto" w:fill="FFFFFF"/>
          <w:lang w:val="bg-BG"/>
        </w:rPr>
        <w:sym w:font="Symbol" w:char="F0B7"/>
      </w:r>
      <w:r w:rsidRPr="009072DA">
        <w:rPr>
          <w:lang w:val="bg-BG"/>
        </w:rPr>
        <w:tab/>
        <w:t>място, където се съхранява или раздава спасително оборудване при аварийна ситуация,</w:t>
      </w:r>
    </w:p>
    <w:p w:rsidR="004F47BB" w:rsidRPr="009072DA" w:rsidRDefault="004F47BB" w:rsidP="004F47BB">
      <w:pPr>
        <w:tabs>
          <w:tab w:val="left" w:pos="992"/>
        </w:tabs>
        <w:spacing w:before="60" w:line="240" w:lineRule="atLeast"/>
        <w:ind w:left="992"/>
        <w:rPr>
          <w:rFonts w:cs="Arial"/>
          <w:snapToGrid w:val="0"/>
          <w:szCs w:val="20"/>
          <w:lang w:val="bg-BG"/>
        </w:rPr>
      </w:pPr>
      <w:r w:rsidRPr="009072DA">
        <w:rPr>
          <w:rFonts w:cs="Arial"/>
          <w:snapToGrid w:val="0"/>
          <w:szCs w:val="20"/>
          <w:shd w:val="clear" w:color="auto" w:fill="FFFFFF"/>
          <w:lang w:val="bg-BG"/>
        </w:rPr>
        <w:sym w:font="Symbol" w:char="F0B7"/>
      </w:r>
      <w:r w:rsidRPr="009072DA">
        <w:rPr>
          <w:lang w:val="bg-BG"/>
        </w:rPr>
        <w:tab/>
        <w:t>места за сядане,</w:t>
      </w:r>
    </w:p>
    <w:p w:rsidR="004F47BB" w:rsidRPr="009072DA" w:rsidRDefault="004F47BB" w:rsidP="004F47BB">
      <w:pPr>
        <w:tabs>
          <w:tab w:val="left" w:pos="992"/>
        </w:tabs>
        <w:spacing w:before="60" w:line="240" w:lineRule="atLeast"/>
        <w:ind w:left="992"/>
        <w:rPr>
          <w:rFonts w:cs="Arial"/>
          <w:snapToGrid w:val="0"/>
          <w:szCs w:val="20"/>
          <w:lang w:val="bg-BG"/>
        </w:rPr>
      </w:pPr>
      <w:r w:rsidRPr="009072DA">
        <w:rPr>
          <w:rFonts w:cs="Arial"/>
          <w:snapToGrid w:val="0"/>
          <w:szCs w:val="20"/>
          <w:shd w:val="clear" w:color="auto" w:fill="FFFFFF"/>
          <w:lang w:val="bg-BG"/>
        </w:rPr>
        <w:sym w:font="Symbol" w:char="F0B7"/>
      </w:r>
      <w:r w:rsidRPr="009072DA">
        <w:rPr>
          <w:lang w:val="bg-BG"/>
        </w:rPr>
        <w:tab/>
        <w:t>подходящо пригодена тоалетна (вж. точка 10 от настоящата инструкция), и</w:t>
      </w:r>
    </w:p>
    <w:p w:rsidR="004F47BB" w:rsidRPr="009072DA" w:rsidRDefault="004F47BB" w:rsidP="004F47BB">
      <w:pPr>
        <w:tabs>
          <w:tab w:val="left" w:pos="992"/>
        </w:tabs>
        <w:spacing w:before="60" w:line="240" w:lineRule="atLeast"/>
        <w:ind w:left="992"/>
        <w:rPr>
          <w:rFonts w:cs="Arial"/>
          <w:snapToGrid w:val="0"/>
          <w:szCs w:val="20"/>
          <w:lang w:val="bg-BG"/>
        </w:rPr>
      </w:pPr>
      <w:r w:rsidRPr="009072DA">
        <w:rPr>
          <w:rFonts w:cs="Arial"/>
          <w:snapToGrid w:val="0"/>
          <w:szCs w:val="20"/>
          <w:shd w:val="clear" w:color="auto" w:fill="FFFFFF"/>
          <w:lang w:val="bg-BG"/>
        </w:rPr>
        <w:sym w:font="Symbol" w:char="F0B7"/>
      </w:r>
      <w:r w:rsidRPr="009072DA">
        <w:rPr>
          <w:lang w:val="bg-BG"/>
        </w:rPr>
        <w:tab/>
        <w:t>свързващи коридори.</w:t>
      </w:r>
    </w:p>
    <w:p w:rsidR="004F47BB" w:rsidRPr="009072DA" w:rsidRDefault="004F47BB" w:rsidP="004F47BB">
      <w:pPr>
        <w:tabs>
          <w:tab w:val="left" w:pos="425"/>
        </w:tabs>
        <w:spacing w:line="240" w:lineRule="atLeast"/>
        <w:rPr>
          <w:rFonts w:cs="Arial"/>
          <w:snapToGrid w:val="0"/>
          <w:szCs w:val="20"/>
          <w:lang w:val="bg-BG"/>
        </w:rPr>
      </w:pPr>
    </w:p>
    <w:p w:rsidR="004F47BB" w:rsidRPr="009072DA" w:rsidRDefault="004F47BB" w:rsidP="004F47BB">
      <w:pPr>
        <w:spacing w:line="240" w:lineRule="atLeast"/>
        <w:ind w:left="567"/>
        <w:rPr>
          <w:snapToGrid w:val="0"/>
          <w:lang w:val="bg-BG"/>
        </w:rPr>
      </w:pPr>
      <w:r w:rsidRPr="009072DA">
        <w:rPr>
          <w:lang w:val="bg-BG"/>
        </w:rPr>
        <w:t>Броят на местата за сядане трябва да съответства най-малко приблизително на броя на лицата с намалена подвижност, които за продължителен период, най-често са на борда едновременно. Броят следва да бъде определен от корабособственика въз основа на опита, тъй като това е извън осведомеността на компетентния орган.</w:t>
      </w:r>
    </w:p>
    <w:p w:rsidR="004F47BB" w:rsidRPr="009072DA" w:rsidRDefault="004F47BB" w:rsidP="004F47BB">
      <w:pPr>
        <w:spacing w:line="240" w:lineRule="atLeast"/>
        <w:ind w:left="567"/>
        <w:rPr>
          <w:snapToGrid w:val="0"/>
          <w:lang w:val="bg-BG"/>
        </w:rPr>
      </w:pPr>
    </w:p>
    <w:p w:rsidR="004F47BB" w:rsidRPr="009072DA" w:rsidRDefault="004F47BB" w:rsidP="004F47BB">
      <w:pPr>
        <w:spacing w:line="240" w:lineRule="atLeast"/>
        <w:ind w:left="567"/>
        <w:rPr>
          <w:snapToGrid w:val="0"/>
          <w:lang w:val="bg-BG"/>
        </w:rPr>
      </w:pPr>
      <w:r w:rsidRPr="009072DA">
        <w:rPr>
          <w:lang w:val="bg-BG"/>
        </w:rPr>
        <w:t>При плавателните съдове с каюти трябва да се отдели внимание на свързващите коридори към пътнически каюти, използвани от лица с намалена подвижност. Броят на тези каюти се определя от корабособственика по същия начин като броя на местата за сядане. С изключение на широчината на вратите, не са наложени изисквания за специалната подредба на каютите. Задължение на собственика е да направи всички необходими допълнителни промени.</w:t>
      </w:r>
    </w:p>
    <w:p w:rsidR="004F47BB" w:rsidRPr="009072DA" w:rsidRDefault="004F47BB" w:rsidP="004F47BB">
      <w:pPr>
        <w:spacing w:line="240" w:lineRule="atLeast"/>
        <w:ind w:left="567"/>
        <w:rPr>
          <w:snapToGrid w:val="0"/>
          <w:lang w:val="bg-BG"/>
        </w:rPr>
      </w:pPr>
    </w:p>
    <w:p w:rsidR="004F47BB" w:rsidRPr="009072DA" w:rsidRDefault="004F47BB" w:rsidP="004F47BB">
      <w:pPr>
        <w:tabs>
          <w:tab w:val="left" w:pos="567"/>
        </w:tabs>
        <w:spacing w:line="240" w:lineRule="atLeast"/>
        <w:ind w:left="567" w:hanging="567"/>
        <w:rPr>
          <w:rFonts w:cs="Arial"/>
          <w:b/>
          <w:bCs/>
          <w:snapToGrid w:val="0"/>
          <w:szCs w:val="20"/>
          <w:lang w:val="bg-BG"/>
        </w:rPr>
      </w:pPr>
    </w:p>
    <w:p w:rsidR="004F47BB" w:rsidRPr="009072DA" w:rsidRDefault="004F47BB" w:rsidP="004F47BB">
      <w:pPr>
        <w:spacing w:line="240" w:lineRule="atLeast"/>
        <w:ind w:left="567" w:hanging="567"/>
        <w:rPr>
          <w:rFonts w:cs="Arial"/>
          <w:b/>
          <w:snapToGrid w:val="0"/>
          <w:color w:val="000000"/>
          <w:szCs w:val="20"/>
          <w:lang w:val="bg-BG"/>
        </w:rPr>
      </w:pPr>
      <w:r w:rsidRPr="009072DA">
        <w:rPr>
          <w:b/>
          <w:snapToGrid w:val="0"/>
          <w:color w:val="000000"/>
          <w:lang w:val="bg-BG"/>
        </w:rPr>
        <w:t>4.</w:t>
      </w:r>
      <w:r w:rsidRPr="009072DA">
        <w:rPr>
          <w:lang w:val="bg-BG"/>
        </w:rPr>
        <w:tab/>
      </w:r>
      <w:r w:rsidRPr="009072DA">
        <w:rPr>
          <w:b/>
          <w:snapToGrid w:val="0"/>
          <w:color w:val="000000"/>
          <w:lang w:val="bg-BG"/>
        </w:rPr>
        <w:t>Член 19.06, точка 3, буква ж) — Изходи на помещения</w:t>
      </w:r>
    </w:p>
    <w:p w:rsidR="004F47BB" w:rsidRPr="009072DA" w:rsidRDefault="004F47BB" w:rsidP="004F47BB">
      <w:pPr>
        <w:tabs>
          <w:tab w:val="left" w:pos="567"/>
        </w:tabs>
        <w:spacing w:line="240" w:lineRule="atLeast"/>
        <w:ind w:left="567" w:hanging="567"/>
        <w:rPr>
          <w:rFonts w:cs="Arial"/>
          <w:b/>
          <w:bCs/>
          <w:snapToGrid w:val="0"/>
          <w:szCs w:val="20"/>
          <w:lang w:val="bg-BG"/>
        </w:rPr>
      </w:pPr>
    </w:p>
    <w:p w:rsidR="004F47BB" w:rsidRPr="009072DA" w:rsidRDefault="004F47BB" w:rsidP="004F47BB">
      <w:pPr>
        <w:spacing w:line="240" w:lineRule="atLeast"/>
        <w:ind w:left="567"/>
        <w:rPr>
          <w:snapToGrid w:val="0"/>
          <w:lang w:val="bg-BG"/>
        </w:rPr>
      </w:pPr>
      <w:r w:rsidRPr="009072DA">
        <w:rPr>
          <w:lang w:val="bg-BG"/>
        </w:rPr>
        <w:t>С оглед на изискванията по отношение на широчината на свързващите коридори, изходите и отворите във фалшборда или леерите, предназначени за използване от лица с намалена подвижност или използвани обикновено за качване или слизане на лица с намалена подвижност, трябва да се вземат предвид бебешките колички и фактът, че хората могат да зависят от различни видове помощни средства за ходене или инвалидни колички. В случая на изходи или отвори за качване или слизане трябва също да се отчете допълнителното пространство, необходимо за помощния персонал.</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spacing w:line="240" w:lineRule="atLeast"/>
        <w:ind w:left="567" w:hanging="567"/>
        <w:rPr>
          <w:rFonts w:cs="Arial"/>
          <w:b/>
          <w:snapToGrid w:val="0"/>
          <w:color w:val="000000"/>
          <w:szCs w:val="20"/>
          <w:lang w:val="bg-BG"/>
        </w:rPr>
      </w:pPr>
      <w:r w:rsidRPr="009072DA">
        <w:rPr>
          <w:b/>
          <w:snapToGrid w:val="0"/>
          <w:color w:val="000000"/>
          <w:lang w:val="bg-BG"/>
        </w:rPr>
        <w:t>5.</w:t>
      </w:r>
      <w:r w:rsidRPr="009072DA">
        <w:rPr>
          <w:lang w:val="bg-BG"/>
        </w:rPr>
        <w:tab/>
      </w:r>
      <w:r w:rsidRPr="009072DA">
        <w:rPr>
          <w:b/>
          <w:snapToGrid w:val="0"/>
          <w:color w:val="000000"/>
          <w:lang w:val="bg-BG"/>
        </w:rPr>
        <w:t>Член 19.06, точка 4, буква г) — Врати</w:t>
      </w:r>
    </w:p>
    <w:p w:rsidR="004F47BB" w:rsidRPr="009072DA" w:rsidRDefault="004F47BB" w:rsidP="004F47BB">
      <w:pPr>
        <w:tabs>
          <w:tab w:val="left" w:pos="567"/>
        </w:tabs>
        <w:spacing w:line="240" w:lineRule="atLeast"/>
        <w:ind w:left="567" w:hanging="567"/>
        <w:rPr>
          <w:rFonts w:cs="Arial"/>
          <w:b/>
          <w:bCs/>
          <w:snapToGrid w:val="0"/>
          <w:szCs w:val="20"/>
          <w:lang w:val="bg-BG"/>
        </w:rPr>
      </w:pPr>
    </w:p>
    <w:p w:rsidR="004F47BB" w:rsidRPr="009072DA" w:rsidRDefault="004F47BB" w:rsidP="004F47BB">
      <w:pPr>
        <w:spacing w:line="240" w:lineRule="atLeast"/>
        <w:ind w:left="567"/>
        <w:rPr>
          <w:snapToGrid w:val="0"/>
          <w:lang w:val="bg-BG"/>
        </w:rPr>
      </w:pPr>
      <w:r w:rsidRPr="009072DA">
        <w:rPr>
          <w:lang w:val="bg-BG"/>
        </w:rPr>
        <w:lastRenderedPageBreak/>
        <w:t>Изискванията по отношение на организирането на зоната около вратите, предназначени за използване от лица с намалена подвижност, трябва да гарантират, че лицата, зависещи например от помощни средства за ходене, могат безопасно да отварят такива врати.</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spacing w:line="240" w:lineRule="atLeast"/>
        <w:ind w:left="567" w:hanging="567"/>
        <w:rPr>
          <w:rFonts w:cs="Arial"/>
          <w:b/>
          <w:snapToGrid w:val="0"/>
          <w:color w:val="000000"/>
          <w:szCs w:val="20"/>
          <w:lang w:val="bg-BG"/>
        </w:rPr>
      </w:pPr>
      <w:r w:rsidRPr="009072DA">
        <w:rPr>
          <w:b/>
          <w:snapToGrid w:val="0"/>
          <w:color w:val="000000"/>
          <w:lang w:val="bg-BG"/>
        </w:rPr>
        <w:t>6.</w:t>
      </w:r>
      <w:r w:rsidRPr="009072DA">
        <w:rPr>
          <w:lang w:val="bg-BG"/>
        </w:rPr>
        <w:tab/>
      </w:r>
      <w:r w:rsidRPr="009072DA">
        <w:rPr>
          <w:b/>
          <w:snapToGrid w:val="0"/>
          <w:color w:val="000000"/>
          <w:lang w:val="bg-BG"/>
        </w:rPr>
        <w:t>Член 19.06, точка 5, буква в) — Свързващи коридори</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spacing w:line="240" w:lineRule="atLeast"/>
        <w:ind w:left="567"/>
        <w:rPr>
          <w:snapToGrid w:val="0"/>
          <w:lang w:val="bg-BG"/>
        </w:rPr>
      </w:pPr>
      <w:r w:rsidRPr="009072DA">
        <w:rPr>
          <w:lang w:val="bg-BG"/>
        </w:rPr>
        <w:t>Вж. точка 4 от настоящата инструкция.</w:t>
      </w:r>
    </w:p>
    <w:p w:rsidR="004F47BB" w:rsidRPr="009072DA" w:rsidRDefault="004F47BB" w:rsidP="004F47BB">
      <w:pPr>
        <w:tabs>
          <w:tab w:val="left" w:pos="567"/>
        </w:tabs>
        <w:spacing w:line="240" w:lineRule="atLeast"/>
        <w:ind w:left="567" w:hanging="567"/>
        <w:rPr>
          <w:rFonts w:cs="Arial"/>
          <w:b/>
          <w:bCs/>
          <w:snapToGrid w:val="0"/>
          <w:szCs w:val="20"/>
          <w:lang w:val="bg-BG"/>
        </w:rPr>
      </w:pPr>
    </w:p>
    <w:p w:rsidR="004F47BB" w:rsidRPr="009072DA" w:rsidRDefault="004F47BB" w:rsidP="004F47BB">
      <w:pPr>
        <w:spacing w:line="240" w:lineRule="atLeast"/>
        <w:ind w:left="567" w:hanging="567"/>
        <w:rPr>
          <w:rFonts w:cs="Arial"/>
          <w:b/>
          <w:snapToGrid w:val="0"/>
          <w:color w:val="000000"/>
          <w:szCs w:val="20"/>
          <w:lang w:val="bg-BG"/>
        </w:rPr>
      </w:pPr>
      <w:r w:rsidRPr="009072DA">
        <w:rPr>
          <w:b/>
          <w:snapToGrid w:val="0"/>
          <w:color w:val="000000"/>
          <w:lang w:val="bg-BG"/>
        </w:rPr>
        <w:t>7.</w:t>
      </w:r>
      <w:r w:rsidRPr="009072DA">
        <w:rPr>
          <w:lang w:val="bg-BG"/>
        </w:rPr>
        <w:tab/>
      </w:r>
      <w:r w:rsidRPr="009072DA">
        <w:rPr>
          <w:b/>
          <w:snapToGrid w:val="0"/>
          <w:color w:val="000000"/>
          <w:lang w:val="bg-BG"/>
        </w:rPr>
        <w:t>Член 19.06, точка 9 — Стълбища и асансьори</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spacing w:line="240" w:lineRule="atLeast"/>
        <w:ind w:left="567"/>
        <w:rPr>
          <w:snapToGrid w:val="0"/>
          <w:lang w:val="bg-BG"/>
        </w:rPr>
      </w:pPr>
      <w:r w:rsidRPr="009072DA">
        <w:rPr>
          <w:lang w:val="bg-BG"/>
        </w:rPr>
        <w:t>Изискванията за уредбата на стълбищата трябва, освен възможна намалена подвижност, да вземат предвид и зрителни недостатъци.</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tabs>
          <w:tab w:val="left" w:pos="567"/>
        </w:tabs>
        <w:spacing w:line="240" w:lineRule="atLeast"/>
        <w:ind w:left="567" w:hanging="567"/>
        <w:rPr>
          <w:rFonts w:cs="Arial"/>
          <w:snapToGrid w:val="0"/>
          <w:szCs w:val="20"/>
          <w:lang w:val="bg-BG"/>
        </w:rPr>
      </w:pPr>
      <w:r w:rsidRPr="009072DA">
        <w:rPr>
          <w:lang w:val="bg-BG"/>
        </w:rPr>
        <w:br w:type="page"/>
      </w:r>
    </w:p>
    <w:p w:rsidR="004F47BB" w:rsidRPr="009072DA" w:rsidRDefault="004F47BB" w:rsidP="004F47BB">
      <w:pPr>
        <w:tabs>
          <w:tab w:val="left" w:pos="567"/>
        </w:tabs>
        <w:spacing w:line="240" w:lineRule="atLeast"/>
        <w:ind w:left="567" w:hanging="567"/>
        <w:rPr>
          <w:rFonts w:cs="Arial"/>
          <w:b/>
          <w:bCs/>
          <w:snapToGrid w:val="0"/>
          <w:szCs w:val="20"/>
          <w:lang w:val="bg-BG"/>
        </w:rPr>
      </w:pPr>
      <w:r w:rsidRPr="009072DA">
        <w:rPr>
          <w:b/>
          <w:snapToGrid w:val="0"/>
          <w:lang w:val="bg-BG"/>
        </w:rPr>
        <w:lastRenderedPageBreak/>
        <w:t>8.</w:t>
      </w:r>
      <w:r w:rsidRPr="009072DA">
        <w:rPr>
          <w:lang w:val="bg-BG"/>
        </w:rPr>
        <w:tab/>
      </w:r>
      <w:r w:rsidRPr="009072DA">
        <w:rPr>
          <w:b/>
          <w:snapToGrid w:val="0"/>
          <w:lang w:val="bg-BG"/>
        </w:rPr>
        <w:t>Член 19.06, точка 10, букви а) и б) — Фалшбордове и леери</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spacing w:line="240" w:lineRule="atLeast"/>
        <w:ind w:left="567"/>
        <w:rPr>
          <w:snapToGrid w:val="0"/>
          <w:lang w:val="bg-BG"/>
        </w:rPr>
      </w:pPr>
      <w:r w:rsidRPr="009072DA">
        <w:rPr>
          <w:lang w:val="bg-BG"/>
        </w:rPr>
        <w:t>Изискванията към фалшбордове и леери на палуби, предназначени за използване от лица с намалена подвижност, трябва да осигуряват по-голяма височина, тъй като има по-голяма вероятност такива лица да загубят равновесие или да не успеят да се задържат самостоятелно.</w:t>
      </w:r>
    </w:p>
    <w:p w:rsidR="004F47BB" w:rsidRPr="009072DA" w:rsidRDefault="004F47BB" w:rsidP="004F47BB">
      <w:pPr>
        <w:spacing w:line="240" w:lineRule="atLeast"/>
        <w:ind w:left="567"/>
        <w:rPr>
          <w:snapToGrid w:val="0"/>
          <w:lang w:val="bg-BG"/>
        </w:rPr>
      </w:pPr>
    </w:p>
    <w:p w:rsidR="004F47BB" w:rsidRPr="009072DA" w:rsidRDefault="004F47BB" w:rsidP="004F47BB">
      <w:pPr>
        <w:spacing w:line="240" w:lineRule="atLeast"/>
        <w:ind w:left="567"/>
        <w:rPr>
          <w:snapToGrid w:val="0"/>
          <w:lang w:val="bg-BG"/>
        </w:rPr>
      </w:pPr>
      <w:r w:rsidRPr="009072DA">
        <w:rPr>
          <w:lang w:val="bg-BG"/>
        </w:rPr>
        <w:t>Вж. също точка 4 от настоящата инструкция.</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tabs>
          <w:tab w:val="left" w:pos="567"/>
        </w:tabs>
        <w:spacing w:line="240" w:lineRule="atLeast"/>
        <w:ind w:left="567" w:hanging="567"/>
        <w:rPr>
          <w:rFonts w:cs="Arial"/>
          <w:b/>
          <w:bCs/>
          <w:snapToGrid w:val="0"/>
          <w:szCs w:val="20"/>
          <w:lang w:val="bg-BG"/>
        </w:rPr>
      </w:pPr>
      <w:r w:rsidRPr="009072DA">
        <w:rPr>
          <w:b/>
          <w:snapToGrid w:val="0"/>
          <w:lang w:val="bg-BG"/>
        </w:rPr>
        <w:t>9.</w:t>
      </w:r>
      <w:r w:rsidRPr="009072DA">
        <w:rPr>
          <w:lang w:val="bg-BG"/>
        </w:rPr>
        <w:tab/>
      </w:r>
      <w:r w:rsidRPr="009072DA">
        <w:rPr>
          <w:b/>
          <w:snapToGrid w:val="0"/>
          <w:lang w:val="bg-BG"/>
        </w:rPr>
        <w:t>Член 19.06, точка 13 — Проходи</w:t>
      </w:r>
    </w:p>
    <w:p w:rsidR="004F47BB" w:rsidRPr="009072DA" w:rsidRDefault="004F47BB" w:rsidP="004F47BB">
      <w:pPr>
        <w:tabs>
          <w:tab w:val="left" w:pos="567"/>
        </w:tabs>
        <w:spacing w:line="240" w:lineRule="atLeast"/>
        <w:ind w:left="567" w:hanging="567"/>
        <w:rPr>
          <w:rFonts w:cs="Arial"/>
          <w:b/>
          <w:bCs/>
          <w:snapToGrid w:val="0"/>
          <w:szCs w:val="20"/>
          <w:lang w:val="bg-BG"/>
        </w:rPr>
      </w:pPr>
    </w:p>
    <w:p w:rsidR="004F47BB" w:rsidRPr="009072DA" w:rsidRDefault="004F47BB" w:rsidP="004F47BB">
      <w:pPr>
        <w:spacing w:line="240" w:lineRule="atLeast"/>
        <w:ind w:left="567"/>
        <w:rPr>
          <w:snapToGrid w:val="0"/>
          <w:lang w:val="bg-BG"/>
        </w:rPr>
      </w:pPr>
      <w:r w:rsidRPr="009072DA">
        <w:rPr>
          <w:lang w:val="bg-BG"/>
        </w:rPr>
        <w:t>По различни причини лица с намалена подвижност изпитват необходимост да се подпират или държат по-често, затова стените в проходите, предназначени за ползване от лица с намалена подвижност, трябва да са оборудвани с леери на подходяща височина.</w:t>
      </w:r>
    </w:p>
    <w:p w:rsidR="004F47BB" w:rsidRPr="009072DA" w:rsidRDefault="004F47BB" w:rsidP="004F47BB">
      <w:pPr>
        <w:spacing w:line="240" w:lineRule="atLeast"/>
        <w:ind w:left="567"/>
        <w:rPr>
          <w:snapToGrid w:val="0"/>
          <w:lang w:val="bg-BG"/>
        </w:rPr>
      </w:pPr>
    </w:p>
    <w:p w:rsidR="004F47BB" w:rsidRPr="009072DA" w:rsidRDefault="004F47BB" w:rsidP="004F47BB">
      <w:pPr>
        <w:spacing w:line="240" w:lineRule="atLeast"/>
        <w:ind w:left="567"/>
        <w:rPr>
          <w:snapToGrid w:val="0"/>
          <w:lang w:val="bg-BG"/>
        </w:rPr>
      </w:pPr>
      <w:r w:rsidRPr="009072DA">
        <w:rPr>
          <w:lang w:val="bg-BG"/>
        </w:rPr>
        <w:t>Вж. също точка 4 от настоящата инструкция.</w:t>
      </w:r>
    </w:p>
    <w:p w:rsidR="004F47BB" w:rsidRPr="009072DA" w:rsidRDefault="004F47BB" w:rsidP="004F47BB">
      <w:pPr>
        <w:spacing w:line="240" w:lineRule="atLeast"/>
        <w:ind w:left="567"/>
        <w:rPr>
          <w:snapToGrid w:val="0"/>
          <w:lang w:val="bg-BG"/>
        </w:rPr>
      </w:pPr>
    </w:p>
    <w:p w:rsidR="004F47BB" w:rsidRPr="009072DA" w:rsidRDefault="004F47BB" w:rsidP="004F47BB">
      <w:pPr>
        <w:tabs>
          <w:tab w:val="left" w:pos="567"/>
        </w:tabs>
        <w:spacing w:line="240" w:lineRule="atLeast"/>
        <w:ind w:left="567" w:hanging="567"/>
        <w:rPr>
          <w:rFonts w:cs="Arial"/>
          <w:b/>
          <w:bCs/>
          <w:snapToGrid w:val="0"/>
          <w:szCs w:val="20"/>
          <w:lang w:val="bg-BG"/>
        </w:rPr>
      </w:pPr>
      <w:r w:rsidRPr="009072DA">
        <w:rPr>
          <w:b/>
          <w:snapToGrid w:val="0"/>
          <w:lang w:val="bg-BG"/>
        </w:rPr>
        <w:t>10.</w:t>
      </w:r>
      <w:r w:rsidRPr="009072DA">
        <w:rPr>
          <w:lang w:val="bg-BG"/>
        </w:rPr>
        <w:tab/>
      </w:r>
      <w:r w:rsidRPr="009072DA">
        <w:rPr>
          <w:b/>
          <w:snapToGrid w:val="0"/>
          <w:lang w:val="bg-BG"/>
        </w:rPr>
        <w:t>Член 19.06, точка 17 — Тоалетни</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spacing w:line="240" w:lineRule="atLeast"/>
        <w:ind w:left="567"/>
        <w:rPr>
          <w:snapToGrid w:val="0"/>
          <w:lang w:val="bg-BG"/>
        </w:rPr>
      </w:pPr>
      <w:r w:rsidRPr="009072DA">
        <w:rPr>
          <w:lang w:val="bg-BG"/>
        </w:rPr>
        <w:t>Лицата с намалена подвижност трябва също да могат безопасно да стоят и да се движат в тоалетни, затова най-малко една тоалетна трябва да е приспособена съответно.</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tabs>
          <w:tab w:val="left" w:pos="567"/>
        </w:tabs>
        <w:spacing w:line="240" w:lineRule="atLeast"/>
        <w:ind w:left="567" w:hanging="567"/>
        <w:rPr>
          <w:rFonts w:cs="Arial"/>
          <w:b/>
          <w:bCs/>
          <w:snapToGrid w:val="0"/>
          <w:szCs w:val="20"/>
          <w:lang w:val="bg-BG"/>
        </w:rPr>
      </w:pPr>
      <w:r w:rsidRPr="009072DA">
        <w:rPr>
          <w:b/>
          <w:snapToGrid w:val="0"/>
          <w:lang w:val="bg-BG"/>
        </w:rPr>
        <w:t>11.</w:t>
      </w:r>
      <w:r w:rsidRPr="009072DA">
        <w:rPr>
          <w:lang w:val="bg-BG"/>
        </w:rPr>
        <w:tab/>
      </w:r>
      <w:r w:rsidRPr="009072DA">
        <w:rPr>
          <w:b/>
          <w:snapToGrid w:val="0"/>
          <w:lang w:val="bg-BG"/>
        </w:rPr>
        <w:t>Член 19.08, точка 3, букви а) и б) — Алармена система</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spacing w:line="240" w:lineRule="atLeast"/>
        <w:ind w:left="567"/>
        <w:rPr>
          <w:snapToGrid w:val="0"/>
          <w:lang w:val="bg-BG"/>
        </w:rPr>
      </w:pPr>
      <w:r w:rsidRPr="009072DA">
        <w:rPr>
          <w:lang w:val="bg-BG"/>
        </w:rPr>
        <w:t>Лицата с намалена подвижност е по-вероятно да попаднат в ситуация, в която зависят от помощта на другите. Поради това в помещения, в които по правило те не могат да бъдат видени от членове на екипажа, обслужващия персонал или пътниците, трябва да е предвидена възможност за задействане на алармен сигнал. Това важи за тоалетни, предназначени за използване от лица с намалена подвижност.</w:t>
      </w:r>
    </w:p>
    <w:p w:rsidR="004F47BB" w:rsidRPr="009072DA" w:rsidRDefault="004F47BB" w:rsidP="004F47BB">
      <w:pPr>
        <w:spacing w:line="240" w:lineRule="atLeast"/>
        <w:ind w:left="567"/>
        <w:rPr>
          <w:snapToGrid w:val="0"/>
          <w:lang w:val="bg-BG"/>
        </w:rPr>
      </w:pPr>
    </w:p>
    <w:p w:rsidR="004F47BB" w:rsidRPr="009072DA" w:rsidRDefault="004F47BB" w:rsidP="004F47BB">
      <w:pPr>
        <w:spacing w:line="240" w:lineRule="atLeast"/>
        <w:ind w:left="567"/>
        <w:rPr>
          <w:snapToGrid w:val="0"/>
          <w:lang w:val="bg-BG"/>
        </w:rPr>
      </w:pPr>
      <w:r w:rsidRPr="009072DA">
        <w:rPr>
          <w:lang w:val="bg-BG"/>
        </w:rPr>
        <w:t xml:space="preserve">Понятието „лица с намалена подвижност“ включва лица с нарушено зрение или слух. Следователно поне на местата, предназначени за използване от лица с намалена подвижност, алармената система за пътници трябва да осигурява подходящи визуални и звукови алармени сигнали. </w:t>
      </w:r>
    </w:p>
    <w:p w:rsidR="004F47BB" w:rsidRPr="009072DA" w:rsidRDefault="004F47BB" w:rsidP="004F47BB">
      <w:pPr>
        <w:tabs>
          <w:tab w:val="left" w:pos="567"/>
        </w:tabs>
        <w:spacing w:line="240" w:lineRule="atLeast"/>
        <w:ind w:left="567" w:hanging="567"/>
        <w:rPr>
          <w:rFonts w:cs="Arial"/>
          <w:b/>
          <w:bCs/>
          <w:snapToGrid w:val="0"/>
          <w:szCs w:val="20"/>
          <w:lang w:val="bg-BG"/>
        </w:rPr>
      </w:pPr>
    </w:p>
    <w:p w:rsidR="004F47BB" w:rsidRPr="009072DA" w:rsidRDefault="004F47BB" w:rsidP="004F47BB">
      <w:pPr>
        <w:tabs>
          <w:tab w:val="left" w:pos="567"/>
        </w:tabs>
        <w:spacing w:line="240" w:lineRule="atLeast"/>
        <w:ind w:left="567" w:hanging="567"/>
        <w:rPr>
          <w:rFonts w:cs="Arial"/>
          <w:snapToGrid w:val="0"/>
          <w:szCs w:val="20"/>
          <w:lang w:val="bg-BG"/>
        </w:rPr>
      </w:pPr>
      <w:r w:rsidRPr="009072DA">
        <w:rPr>
          <w:b/>
          <w:snapToGrid w:val="0"/>
          <w:lang w:val="bg-BG"/>
        </w:rPr>
        <w:lastRenderedPageBreak/>
        <w:t>12.</w:t>
      </w:r>
      <w:r w:rsidRPr="009072DA">
        <w:rPr>
          <w:lang w:val="bg-BG"/>
        </w:rPr>
        <w:tab/>
      </w:r>
      <w:r w:rsidRPr="009072DA">
        <w:rPr>
          <w:b/>
          <w:snapToGrid w:val="0"/>
          <w:lang w:val="bg-BG"/>
        </w:rPr>
        <w:t>Член 19.10, точка 3, буква г) — Достатъчна осветеност</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spacing w:line="240" w:lineRule="atLeast"/>
        <w:ind w:left="567"/>
        <w:rPr>
          <w:snapToGrid w:val="0"/>
          <w:lang w:val="bg-BG"/>
        </w:rPr>
      </w:pPr>
      <w:r w:rsidRPr="009072DA">
        <w:rPr>
          <w:lang w:val="bg-BG"/>
        </w:rPr>
        <w:t>Понятието „лица с намалена подвижност“ включва лица с нарушено зрение. Поради това  достатъчната осветеност на пространства, предназначени за използване от лица с намалена подвижност, е съществен фактор и трябва да отговаря на по-високи изисквания от осветяването на други пространства за пътниците.</w:t>
      </w:r>
    </w:p>
    <w:p w:rsidR="004F47BB" w:rsidRPr="009072DA" w:rsidRDefault="004F47BB" w:rsidP="004F47BB">
      <w:pPr>
        <w:tabs>
          <w:tab w:val="left" w:pos="567"/>
        </w:tabs>
        <w:spacing w:line="240" w:lineRule="atLeast"/>
        <w:ind w:left="567" w:hanging="567"/>
        <w:rPr>
          <w:rFonts w:cs="Arial"/>
          <w:b/>
          <w:bCs/>
          <w:snapToGrid w:val="0"/>
          <w:szCs w:val="20"/>
          <w:lang w:val="bg-BG"/>
        </w:rPr>
      </w:pPr>
    </w:p>
    <w:p w:rsidR="004F47BB" w:rsidRPr="009072DA" w:rsidRDefault="004F47BB" w:rsidP="004F47BB">
      <w:pPr>
        <w:tabs>
          <w:tab w:val="left" w:pos="567"/>
        </w:tabs>
        <w:spacing w:line="240" w:lineRule="atLeast"/>
        <w:ind w:left="567" w:hanging="567"/>
        <w:rPr>
          <w:rFonts w:cs="Arial"/>
          <w:b/>
          <w:bCs/>
          <w:snapToGrid w:val="0"/>
          <w:szCs w:val="20"/>
          <w:lang w:val="bg-BG"/>
        </w:rPr>
      </w:pPr>
      <w:r w:rsidRPr="009072DA">
        <w:rPr>
          <w:b/>
          <w:snapToGrid w:val="0"/>
          <w:lang w:val="bg-BG"/>
        </w:rPr>
        <w:t>13.</w:t>
      </w:r>
      <w:r w:rsidRPr="009072DA">
        <w:rPr>
          <w:lang w:val="bg-BG"/>
        </w:rPr>
        <w:tab/>
      </w:r>
      <w:r w:rsidRPr="009072DA">
        <w:rPr>
          <w:b/>
          <w:snapToGrid w:val="0"/>
          <w:lang w:val="bg-BG"/>
        </w:rPr>
        <w:t>Член 19.13, точка 1 —Разписание по безопасност</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spacing w:line="240" w:lineRule="atLeast"/>
        <w:ind w:left="567"/>
        <w:rPr>
          <w:snapToGrid w:val="0"/>
          <w:lang w:val="bg-BG"/>
        </w:rPr>
      </w:pPr>
      <w:r w:rsidRPr="009072DA">
        <w:rPr>
          <w:lang w:val="bg-BG"/>
        </w:rPr>
        <w:t>Специалните мерки за безопасност, необходими за лица с намалена подвижност, които трябва да бъдат взети предвид в разписанието по безопасност, трябва да отчитат както намалената подвижност, така и нарушените слух и зрение. За тези лица трябва да бъдат взети предвид мерки при нормални условия, наред с мерките в случай на извънредни ситуации.</w:t>
      </w:r>
    </w:p>
    <w:p w:rsidR="004F47BB" w:rsidRPr="009072DA" w:rsidRDefault="004F47BB" w:rsidP="004F47BB">
      <w:pPr>
        <w:tabs>
          <w:tab w:val="left" w:pos="567"/>
        </w:tabs>
        <w:spacing w:line="240" w:lineRule="atLeast"/>
        <w:ind w:left="567" w:hanging="567"/>
        <w:rPr>
          <w:rFonts w:cs="Arial"/>
          <w:b/>
          <w:bCs/>
          <w:snapToGrid w:val="0"/>
          <w:szCs w:val="20"/>
          <w:lang w:val="bg-BG"/>
        </w:rPr>
      </w:pPr>
    </w:p>
    <w:p w:rsidR="004F47BB" w:rsidRPr="009072DA" w:rsidRDefault="004F47BB" w:rsidP="004F47BB">
      <w:pPr>
        <w:tabs>
          <w:tab w:val="left" w:pos="567"/>
        </w:tabs>
        <w:spacing w:line="240" w:lineRule="atLeast"/>
        <w:ind w:left="567" w:hanging="567"/>
        <w:rPr>
          <w:rFonts w:cs="Arial"/>
          <w:b/>
          <w:bCs/>
          <w:snapToGrid w:val="0"/>
          <w:szCs w:val="20"/>
          <w:lang w:val="bg-BG"/>
        </w:rPr>
      </w:pPr>
      <w:r w:rsidRPr="009072DA">
        <w:rPr>
          <w:lang w:val="bg-BG"/>
        </w:rPr>
        <w:br w:type="page"/>
      </w:r>
    </w:p>
    <w:p w:rsidR="004F47BB" w:rsidRPr="009072DA" w:rsidRDefault="004F47BB" w:rsidP="004F47BB">
      <w:pPr>
        <w:tabs>
          <w:tab w:val="left" w:pos="567"/>
        </w:tabs>
        <w:spacing w:line="240" w:lineRule="atLeast"/>
        <w:ind w:left="567" w:hanging="567"/>
        <w:rPr>
          <w:rFonts w:cs="Arial"/>
          <w:b/>
          <w:bCs/>
          <w:snapToGrid w:val="0"/>
          <w:szCs w:val="20"/>
          <w:lang w:val="bg-BG"/>
        </w:rPr>
      </w:pPr>
      <w:r w:rsidRPr="009072DA">
        <w:rPr>
          <w:b/>
          <w:snapToGrid w:val="0"/>
          <w:lang w:val="bg-BG"/>
        </w:rPr>
        <w:lastRenderedPageBreak/>
        <w:t>14.</w:t>
      </w:r>
      <w:r w:rsidRPr="009072DA">
        <w:rPr>
          <w:lang w:val="bg-BG"/>
        </w:rPr>
        <w:tab/>
      </w:r>
      <w:r w:rsidRPr="009072DA">
        <w:rPr>
          <w:b/>
          <w:snapToGrid w:val="0"/>
          <w:lang w:val="bg-BG"/>
        </w:rPr>
        <w:t>Член 19.13, точка 2 — План за безопасност</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spacing w:line="240" w:lineRule="atLeast"/>
        <w:ind w:left="567"/>
        <w:rPr>
          <w:snapToGrid w:val="0"/>
          <w:lang w:val="bg-BG"/>
        </w:rPr>
      </w:pPr>
      <w:r w:rsidRPr="009072DA">
        <w:rPr>
          <w:lang w:val="bg-BG"/>
        </w:rPr>
        <w:t>Областите, обхванати от точка 3 от настоящата инструкция, трябва да бъдат обозначени.</w:t>
      </w:r>
    </w:p>
    <w:p w:rsidR="004F47BB" w:rsidRPr="009072DA" w:rsidRDefault="004F47BB" w:rsidP="004F47BB">
      <w:pPr>
        <w:tabs>
          <w:tab w:val="left" w:pos="567"/>
        </w:tabs>
        <w:spacing w:line="240" w:lineRule="atLeast"/>
        <w:ind w:left="567" w:hanging="567"/>
        <w:rPr>
          <w:rFonts w:cs="Arial"/>
          <w:b/>
          <w:bCs/>
          <w:snapToGrid w:val="0"/>
          <w:szCs w:val="20"/>
          <w:lang w:val="bg-BG"/>
        </w:rPr>
      </w:pPr>
    </w:p>
    <w:p w:rsidR="004F47BB" w:rsidRPr="009072DA" w:rsidRDefault="004F47BB" w:rsidP="004F47BB">
      <w:pPr>
        <w:tabs>
          <w:tab w:val="left" w:pos="567"/>
        </w:tabs>
        <w:spacing w:line="240" w:lineRule="atLeast"/>
        <w:ind w:left="567" w:hanging="567"/>
        <w:rPr>
          <w:rFonts w:cs="Arial"/>
          <w:b/>
          <w:bCs/>
          <w:snapToGrid w:val="0"/>
          <w:szCs w:val="20"/>
          <w:lang w:val="bg-BG"/>
        </w:rPr>
      </w:pPr>
      <w:r w:rsidRPr="009072DA">
        <w:rPr>
          <w:b/>
          <w:snapToGrid w:val="0"/>
          <w:lang w:val="bg-BG"/>
        </w:rPr>
        <w:t>15.</w:t>
      </w:r>
      <w:r w:rsidRPr="009072DA">
        <w:rPr>
          <w:lang w:val="bg-BG"/>
        </w:rPr>
        <w:tab/>
      </w:r>
      <w:r w:rsidRPr="009072DA">
        <w:rPr>
          <w:b/>
          <w:snapToGrid w:val="0"/>
          <w:lang w:val="bg-BG"/>
        </w:rPr>
        <w:t>Член 19.13, точка 3, буква б) — Показване на разписанието по безопасност и плана за безопасност</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spacing w:line="240" w:lineRule="atLeast"/>
        <w:ind w:left="567"/>
        <w:rPr>
          <w:snapToGrid w:val="0"/>
          <w:lang w:val="bg-BG"/>
        </w:rPr>
      </w:pPr>
      <w:r w:rsidRPr="009072DA">
        <w:rPr>
          <w:lang w:val="bg-BG"/>
        </w:rPr>
        <w:t>Поне екземплярите на разписанията по безопасност и плана за безопасност, изложени в зоните, предназначени за използване от лица с намалена подвижност, трябва да са такива, че където е възможно, да могат да бъдат четени и от лица с нарушено зрение. Това може да се постигне например с подходящо използване на контраста и размера на буквите.</w:t>
      </w:r>
    </w:p>
    <w:p w:rsidR="004F47BB" w:rsidRPr="009072DA" w:rsidRDefault="004F47BB" w:rsidP="004F47BB">
      <w:pPr>
        <w:spacing w:line="240" w:lineRule="atLeast"/>
        <w:ind w:left="567"/>
        <w:rPr>
          <w:snapToGrid w:val="0"/>
          <w:lang w:val="bg-BG"/>
        </w:rPr>
      </w:pPr>
    </w:p>
    <w:p w:rsidR="004F47BB" w:rsidRPr="009072DA" w:rsidRDefault="004F47BB" w:rsidP="004F47BB">
      <w:pPr>
        <w:spacing w:line="240" w:lineRule="atLeast"/>
        <w:ind w:left="567"/>
        <w:rPr>
          <w:snapToGrid w:val="0"/>
          <w:lang w:val="bg-BG"/>
        </w:rPr>
      </w:pPr>
      <w:r w:rsidRPr="009072DA">
        <w:rPr>
          <w:lang w:val="bg-BG"/>
        </w:rPr>
        <w:t>В допълнение плановете се разполагат на такава височина, така че да могат да бъдат четени и от хора в инвалидни колички.</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tabs>
          <w:tab w:val="left" w:pos="567"/>
        </w:tabs>
        <w:spacing w:line="240" w:lineRule="atLeast"/>
        <w:ind w:left="567" w:hanging="567"/>
        <w:rPr>
          <w:rFonts w:cs="Arial"/>
          <w:b/>
          <w:bCs/>
          <w:snapToGrid w:val="0"/>
          <w:szCs w:val="20"/>
          <w:lang w:val="bg-BG"/>
        </w:rPr>
      </w:pPr>
      <w:r w:rsidRPr="009072DA">
        <w:rPr>
          <w:b/>
          <w:snapToGrid w:val="0"/>
          <w:lang w:val="bg-BG"/>
        </w:rPr>
        <w:t>16.</w:t>
      </w:r>
      <w:r w:rsidRPr="009072DA">
        <w:rPr>
          <w:lang w:val="bg-BG"/>
        </w:rPr>
        <w:tab/>
      </w:r>
      <w:r w:rsidRPr="009072DA">
        <w:rPr>
          <w:b/>
          <w:snapToGrid w:val="0"/>
          <w:lang w:val="bg-BG"/>
        </w:rPr>
        <w:t>Член 19.13, точка 4 — Кодекс за поведение на пътниците</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spacing w:line="240" w:lineRule="atLeast"/>
        <w:ind w:left="567"/>
        <w:rPr>
          <w:snapToGrid w:val="0"/>
          <w:lang w:val="bg-BG"/>
        </w:rPr>
      </w:pPr>
      <w:r w:rsidRPr="009072DA">
        <w:rPr>
          <w:lang w:val="bg-BG"/>
        </w:rPr>
        <w:t>Точка 15 от настоящата инструкция се прилага съответно.</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sectPr w:rsidR="004F47BB" w:rsidRPr="009072DA" w:rsidSect="00D45887">
          <w:footnotePr>
            <w:numRestart w:val="eachPage"/>
          </w:footnotePr>
          <w:pgSz w:w="11907" w:h="16840" w:code="9"/>
          <w:pgMar w:top="1418" w:right="1418" w:bottom="1418" w:left="1418" w:header="680" w:footer="680" w:gutter="0"/>
          <w:cols w:space="720"/>
          <w:docGrid w:linePitch="326"/>
        </w:sectPr>
      </w:pPr>
    </w:p>
    <w:p w:rsidR="004F47BB" w:rsidRPr="009072DA" w:rsidRDefault="004F47BB" w:rsidP="00330FC4">
      <w:pPr>
        <w:pStyle w:val="ES-Titre2ESI"/>
        <w:rPr>
          <w:szCs w:val="20"/>
        </w:rPr>
      </w:pPr>
      <w:bookmarkStart w:id="766" w:name="_Toc491854366"/>
      <w:bookmarkStart w:id="767" w:name="_Toc535827807"/>
      <w:r w:rsidRPr="009072DA">
        <w:lastRenderedPageBreak/>
        <w:t>ESI-III-3</w:t>
      </w:r>
      <w:r w:rsidRPr="009072DA">
        <w:br/>
        <w:t>Здравина на водонепроницаеми прозорци</w:t>
      </w:r>
      <w:bookmarkEnd w:id="766"/>
      <w:bookmarkEnd w:id="767"/>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jc w:val="center"/>
        <w:textAlignment w:val="baseline"/>
        <w:rPr>
          <w:b/>
          <w:szCs w:val="20"/>
          <w:lang w:val="bg-BG"/>
        </w:rPr>
      </w:pPr>
      <w:r w:rsidRPr="009072DA">
        <w:rPr>
          <w:b/>
          <w:lang w:val="bg-BG"/>
        </w:rPr>
        <w:t>(Член 19.02, точка 16)</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1.</w:t>
      </w:r>
      <w:r w:rsidRPr="009072DA">
        <w:rPr>
          <w:lang w:val="bg-BG"/>
        </w:rPr>
        <w:tab/>
      </w:r>
      <w:r w:rsidRPr="009072DA">
        <w:rPr>
          <w:b/>
          <w:color w:val="000000"/>
          <w:lang w:val="bg-BG"/>
        </w:rPr>
        <w:t>Общи положения</w:t>
      </w:r>
    </w:p>
    <w:p w:rsidR="004F47BB" w:rsidRPr="009072DA" w:rsidRDefault="004F47BB" w:rsidP="004F47BB">
      <w:pPr>
        <w:tabs>
          <w:tab w:val="left" w:pos="567"/>
        </w:tabs>
        <w:overflowPunct w:val="0"/>
        <w:adjustRightInd w:val="0"/>
        <w:spacing w:line="240" w:lineRule="atLeast"/>
        <w:ind w:left="567" w:hanging="567"/>
        <w:textAlignment w:val="baseline"/>
        <w:rPr>
          <w:szCs w:val="20"/>
          <w:lang w:val="bg-BG"/>
        </w:rPr>
      </w:pPr>
    </w:p>
    <w:p w:rsidR="004F47BB" w:rsidRPr="009072DA" w:rsidRDefault="004F47BB" w:rsidP="004F47BB">
      <w:pPr>
        <w:spacing w:line="240" w:lineRule="atLeast"/>
        <w:ind w:left="567"/>
        <w:rPr>
          <w:lang w:val="bg-BG"/>
        </w:rPr>
      </w:pPr>
      <w:r w:rsidRPr="009072DA">
        <w:rPr>
          <w:lang w:val="bg-BG"/>
        </w:rPr>
        <w:t>Съгласно член 19.02, точка 16 водонепроницаемите прозорци могат да бъдат разположени под пределната линия, ако са водонепроницаеми, не могат да се отварят, притежават достатъчна здравина и са в съответствие с член 19.06, точка 14.</w:t>
      </w:r>
    </w:p>
    <w:p w:rsidR="004F47BB" w:rsidRPr="009072DA" w:rsidRDefault="004F47BB" w:rsidP="004F47BB">
      <w:pPr>
        <w:tabs>
          <w:tab w:val="left" w:pos="567"/>
        </w:tabs>
        <w:overflowPunct w:val="0"/>
        <w:adjustRightInd w:val="0"/>
        <w:spacing w:line="240" w:lineRule="atLeast"/>
        <w:ind w:left="567" w:hanging="567"/>
        <w:textAlignment w:val="baseline"/>
        <w:rPr>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w:t>
      </w:r>
      <w:r w:rsidRPr="009072DA">
        <w:rPr>
          <w:lang w:val="bg-BG"/>
        </w:rPr>
        <w:tab/>
      </w:r>
      <w:r w:rsidRPr="009072DA">
        <w:rPr>
          <w:b/>
          <w:color w:val="000000"/>
          <w:lang w:val="bg-BG"/>
        </w:rPr>
        <w:t>Изграждане на водонепроницаеми прозорци</w:t>
      </w:r>
    </w:p>
    <w:p w:rsidR="004F47BB" w:rsidRPr="009072DA" w:rsidRDefault="004F47BB" w:rsidP="004F47BB">
      <w:pPr>
        <w:tabs>
          <w:tab w:val="left" w:pos="567"/>
        </w:tabs>
        <w:overflowPunct w:val="0"/>
        <w:adjustRightInd w:val="0"/>
        <w:spacing w:line="240" w:lineRule="atLeast"/>
        <w:ind w:left="567" w:hanging="567"/>
        <w:textAlignment w:val="baseline"/>
        <w:rPr>
          <w:szCs w:val="20"/>
          <w:lang w:val="bg-BG"/>
        </w:rPr>
      </w:pPr>
    </w:p>
    <w:p w:rsidR="004F47BB" w:rsidRPr="009072DA" w:rsidRDefault="004F47BB" w:rsidP="004F47BB">
      <w:pPr>
        <w:spacing w:line="240" w:lineRule="atLeast"/>
        <w:ind w:left="567"/>
        <w:rPr>
          <w:lang w:val="bg-BG"/>
        </w:rPr>
      </w:pPr>
      <w:r w:rsidRPr="009072DA">
        <w:rPr>
          <w:lang w:val="bg-BG"/>
        </w:rPr>
        <w:t>Изискванията на член 19.02, точка 16 се считат за изпълнени, ако изграждането на водонепроницаемите прозорци отговаря на следните условия.</w:t>
      </w:r>
    </w:p>
    <w:p w:rsidR="004F47BB" w:rsidRPr="009072DA" w:rsidRDefault="004F47BB" w:rsidP="004F47BB">
      <w:pPr>
        <w:tabs>
          <w:tab w:val="left" w:pos="425"/>
        </w:tabs>
        <w:overflowPunct w:val="0"/>
        <w:adjustRightInd w:val="0"/>
        <w:textAlignment w:val="baseline"/>
        <w:rPr>
          <w:szCs w:val="20"/>
          <w:lang w:val="bg-BG"/>
        </w:rPr>
      </w:pPr>
    </w:p>
    <w:p w:rsidR="004F47BB" w:rsidRPr="009072DA" w:rsidRDefault="004F47BB" w:rsidP="004F47BB">
      <w:pPr>
        <w:spacing w:line="240" w:lineRule="atLeast"/>
        <w:ind w:left="567" w:hanging="567"/>
        <w:rPr>
          <w:lang w:val="bg-BG"/>
        </w:rPr>
      </w:pPr>
      <w:r w:rsidRPr="009072DA">
        <w:rPr>
          <w:lang w:val="bg-BG"/>
        </w:rPr>
        <w:t>2.1</w:t>
      </w:r>
      <w:r w:rsidRPr="009072DA">
        <w:rPr>
          <w:lang w:val="bg-BG"/>
        </w:rPr>
        <w:tab/>
        <w:t>Само предварително напрегнато стъкло, отговарящо на м</w:t>
      </w:r>
      <w:r w:rsidRPr="009072DA">
        <w:rPr>
          <w:rFonts w:ascii="ArialMT" w:hAnsi="ArialMT"/>
          <w:lang w:val="bg-BG"/>
        </w:rPr>
        <w:t>еждународен стандарт</w:t>
      </w:r>
    </w:p>
    <w:p w:rsidR="004F47BB" w:rsidRPr="009072DA" w:rsidRDefault="004F47BB" w:rsidP="004F47BB">
      <w:pPr>
        <w:spacing w:line="240" w:lineRule="atLeast"/>
        <w:ind w:left="567"/>
        <w:rPr>
          <w:lang w:val="bg-BG"/>
        </w:rPr>
      </w:pPr>
      <w:r w:rsidRPr="009072DA">
        <w:rPr>
          <w:lang w:val="bg-BG"/>
        </w:rPr>
        <w:t xml:space="preserve">ISO 614 : 2012, </w:t>
      </w:r>
    </w:p>
    <w:p w:rsidR="004F47BB" w:rsidRPr="009072DA" w:rsidRDefault="004F47BB" w:rsidP="004F47BB">
      <w:pPr>
        <w:spacing w:line="240" w:lineRule="atLeast"/>
        <w:ind w:left="567"/>
        <w:rPr>
          <w:lang w:val="bg-BG"/>
        </w:rPr>
      </w:pPr>
      <w:r w:rsidRPr="009072DA">
        <w:rPr>
          <w:lang w:val="bg-BG"/>
        </w:rPr>
        <w:t>трябва да се използва.</w:t>
      </w:r>
    </w:p>
    <w:p w:rsidR="004F47BB" w:rsidRPr="009072DA" w:rsidRDefault="004F47BB" w:rsidP="004F47BB">
      <w:pPr>
        <w:tabs>
          <w:tab w:val="left" w:pos="992"/>
        </w:tabs>
        <w:overflowPunct w:val="0"/>
        <w:adjustRightInd w:val="0"/>
        <w:spacing w:line="240" w:lineRule="atLeast"/>
        <w:ind w:left="567" w:hanging="567"/>
        <w:textAlignment w:val="baseline"/>
        <w:rPr>
          <w:szCs w:val="20"/>
          <w:lang w:val="bg-BG"/>
        </w:rPr>
      </w:pPr>
    </w:p>
    <w:p w:rsidR="004F47BB" w:rsidRPr="009072DA" w:rsidRDefault="004F47BB" w:rsidP="004F47BB">
      <w:pPr>
        <w:spacing w:line="240" w:lineRule="atLeast"/>
        <w:ind w:left="567" w:hanging="567"/>
        <w:rPr>
          <w:lang w:val="bg-BG"/>
        </w:rPr>
      </w:pPr>
      <w:r w:rsidRPr="009072DA">
        <w:rPr>
          <w:lang w:val="bg-BG"/>
        </w:rPr>
        <w:t>2.2</w:t>
      </w:r>
      <w:r w:rsidRPr="009072DA">
        <w:rPr>
          <w:lang w:val="bg-BG"/>
        </w:rPr>
        <w:tab/>
        <w:t xml:space="preserve">Кръглите прозорци трябва да отговарят на </w:t>
      </w:r>
      <w:r w:rsidRPr="009072DA">
        <w:rPr>
          <w:rFonts w:ascii="ArialMT" w:hAnsi="ArialMT"/>
          <w:lang w:val="bg-BG"/>
        </w:rPr>
        <w:t>международен стандарт</w:t>
      </w:r>
    </w:p>
    <w:p w:rsidR="004F47BB" w:rsidRPr="009072DA" w:rsidRDefault="004F47BB" w:rsidP="004F47BB">
      <w:pPr>
        <w:spacing w:line="240" w:lineRule="atLeast"/>
        <w:ind w:left="567"/>
        <w:rPr>
          <w:lang w:val="bg-BG"/>
        </w:rPr>
      </w:pPr>
      <w:r w:rsidRPr="009072DA">
        <w:rPr>
          <w:lang w:val="bg-BG"/>
        </w:rPr>
        <w:t xml:space="preserve">ISO 1751 : 2012, </w:t>
      </w:r>
    </w:p>
    <w:p w:rsidR="004F47BB" w:rsidRPr="009072DA" w:rsidRDefault="004F47BB" w:rsidP="004F47BB">
      <w:pPr>
        <w:spacing w:line="240" w:lineRule="atLeast"/>
        <w:ind w:left="567"/>
        <w:rPr>
          <w:lang w:val="bg-BG"/>
        </w:rPr>
      </w:pPr>
      <w:r w:rsidRPr="009072DA">
        <w:rPr>
          <w:lang w:val="bg-BG"/>
        </w:rPr>
        <w:t xml:space="preserve">Серия Б: прозорци за среднотежки условия </w:t>
      </w:r>
    </w:p>
    <w:p w:rsidR="004F47BB" w:rsidRPr="009072DA" w:rsidRDefault="004F47BB" w:rsidP="004F47BB">
      <w:pPr>
        <w:spacing w:line="240" w:lineRule="atLeast"/>
        <w:ind w:left="567"/>
        <w:rPr>
          <w:lang w:val="bg-BG"/>
        </w:rPr>
      </w:pPr>
      <w:r w:rsidRPr="009072DA">
        <w:rPr>
          <w:lang w:val="bg-BG"/>
        </w:rPr>
        <w:t>Тип: неотварящ се прозорец.</w:t>
      </w:r>
    </w:p>
    <w:p w:rsidR="004F47BB" w:rsidRPr="009072DA" w:rsidRDefault="004F47BB" w:rsidP="004F47BB">
      <w:pPr>
        <w:tabs>
          <w:tab w:val="left" w:pos="992"/>
        </w:tabs>
        <w:overflowPunct w:val="0"/>
        <w:adjustRightInd w:val="0"/>
        <w:spacing w:line="240" w:lineRule="atLeast"/>
        <w:ind w:left="567" w:hanging="567"/>
        <w:textAlignment w:val="baseline"/>
        <w:rPr>
          <w:szCs w:val="20"/>
          <w:lang w:val="bg-BG"/>
        </w:rPr>
      </w:pPr>
    </w:p>
    <w:p w:rsidR="004F47BB" w:rsidRPr="009072DA" w:rsidRDefault="004F47BB" w:rsidP="004F47BB">
      <w:pPr>
        <w:spacing w:line="240" w:lineRule="atLeast"/>
        <w:ind w:left="567" w:hanging="567"/>
        <w:rPr>
          <w:lang w:val="bg-BG"/>
        </w:rPr>
      </w:pPr>
      <w:r w:rsidRPr="009072DA">
        <w:rPr>
          <w:lang w:val="bg-BG"/>
        </w:rPr>
        <w:t>2.3</w:t>
      </w:r>
      <w:r w:rsidRPr="009072DA">
        <w:rPr>
          <w:lang w:val="bg-BG"/>
        </w:rPr>
        <w:tab/>
        <w:t xml:space="preserve">Прозорците с ъгли трябва да отговарят на </w:t>
      </w:r>
      <w:r w:rsidRPr="009072DA">
        <w:rPr>
          <w:rFonts w:ascii="ArialMT" w:hAnsi="ArialMT"/>
          <w:lang w:val="bg-BG"/>
        </w:rPr>
        <w:t>международен стандарт</w:t>
      </w:r>
    </w:p>
    <w:p w:rsidR="004F47BB" w:rsidRPr="009072DA" w:rsidRDefault="004F47BB" w:rsidP="004F47BB">
      <w:pPr>
        <w:spacing w:line="240" w:lineRule="atLeast"/>
        <w:ind w:left="567"/>
        <w:rPr>
          <w:lang w:val="bg-BG"/>
        </w:rPr>
      </w:pPr>
      <w:r w:rsidRPr="009072DA">
        <w:rPr>
          <w:lang w:val="bg-BG"/>
        </w:rPr>
        <w:t xml:space="preserve">ISO 3903 : 2012, </w:t>
      </w:r>
    </w:p>
    <w:p w:rsidR="004F47BB" w:rsidRPr="009072DA" w:rsidRDefault="004F47BB" w:rsidP="004F47BB">
      <w:pPr>
        <w:spacing w:line="240" w:lineRule="atLeast"/>
        <w:ind w:left="567"/>
        <w:rPr>
          <w:lang w:val="bg-BG"/>
        </w:rPr>
      </w:pPr>
      <w:r w:rsidRPr="009072DA">
        <w:rPr>
          <w:lang w:val="bg-BG"/>
        </w:rPr>
        <w:t xml:space="preserve">Серия E: прозорци за тежки условия </w:t>
      </w:r>
    </w:p>
    <w:p w:rsidR="004F47BB" w:rsidRPr="009072DA" w:rsidRDefault="004F47BB" w:rsidP="004F47BB">
      <w:pPr>
        <w:spacing w:line="240" w:lineRule="atLeast"/>
        <w:ind w:left="567"/>
        <w:rPr>
          <w:lang w:val="bg-BG"/>
        </w:rPr>
      </w:pPr>
      <w:r w:rsidRPr="009072DA">
        <w:rPr>
          <w:lang w:val="bg-BG"/>
        </w:rPr>
        <w:t>Тип: неотварящ се прозорец</w:t>
      </w:r>
    </w:p>
    <w:p w:rsidR="004F47BB" w:rsidRPr="009072DA" w:rsidRDefault="004F47BB" w:rsidP="004F47BB">
      <w:pPr>
        <w:tabs>
          <w:tab w:val="left" w:pos="992"/>
        </w:tabs>
        <w:overflowPunct w:val="0"/>
        <w:adjustRightInd w:val="0"/>
        <w:spacing w:line="240" w:lineRule="atLeast"/>
        <w:ind w:left="567" w:hanging="567"/>
        <w:textAlignment w:val="baseline"/>
        <w:rPr>
          <w:szCs w:val="20"/>
          <w:lang w:val="bg-BG"/>
        </w:rPr>
      </w:pPr>
    </w:p>
    <w:p w:rsidR="004F47BB" w:rsidRPr="009072DA" w:rsidRDefault="004F47BB" w:rsidP="004F47BB">
      <w:pPr>
        <w:spacing w:line="240" w:lineRule="atLeast"/>
        <w:ind w:left="567" w:hanging="567"/>
        <w:rPr>
          <w:lang w:val="bg-BG"/>
        </w:rPr>
      </w:pPr>
      <w:r w:rsidRPr="009072DA">
        <w:rPr>
          <w:lang w:val="bg-BG"/>
        </w:rPr>
        <w:t>2.4</w:t>
      </w:r>
      <w:r w:rsidRPr="009072DA">
        <w:rPr>
          <w:lang w:val="bg-BG"/>
        </w:rPr>
        <w:tab/>
        <w:t>Прозорците, отговарящи на ISO, могат да се заменят с прозорци, чиято конструкция е еквивалентна най-малко на изискванията по точки 2.1 — 2.3.</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r w:rsidRPr="009072DA">
        <w:rPr>
          <w:lang w:val="bg-BG"/>
        </w:rPr>
        <w:br w:type="page"/>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sectPr w:rsidR="004F47BB" w:rsidRPr="009072DA" w:rsidSect="00D45887">
          <w:footnotePr>
            <w:numRestart w:val="eachPage"/>
          </w:footnotePr>
          <w:pgSz w:w="11907" w:h="16840" w:code="9"/>
          <w:pgMar w:top="1418" w:right="1418" w:bottom="1418" w:left="1418" w:header="680" w:footer="680" w:gutter="0"/>
          <w:cols w:space="720"/>
          <w:docGrid w:linePitch="326"/>
        </w:sectPr>
      </w:pPr>
    </w:p>
    <w:p w:rsidR="004F47BB" w:rsidRPr="009072DA" w:rsidRDefault="004F47BB" w:rsidP="00330FC4">
      <w:pPr>
        <w:pStyle w:val="ES-Titre2ESI"/>
        <w:rPr>
          <w:szCs w:val="20"/>
        </w:rPr>
      </w:pPr>
      <w:bookmarkStart w:id="768" w:name="_Toc491854367"/>
      <w:bookmarkStart w:id="769" w:name="_Toc535827808"/>
      <w:r w:rsidRPr="009072DA">
        <w:lastRenderedPageBreak/>
        <w:t>ESI-III-4</w:t>
      </w:r>
      <w:r w:rsidRPr="009072DA">
        <w:br/>
        <w:t>Система от указатели за безопасност</w:t>
      </w:r>
      <w:bookmarkEnd w:id="768"/>
      <w:bookmarkEnd w:id="769"/>
      <w:r w:rsidRPr="009072DA">
        <w:t xml:space="preserve"> </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adjustRightInd w:val="0"/>
        <w:spacing w:line="240" w:lineRule="atLeast"/>
        <w:jc w:val="center"/>
        <w:rPr>
          <w:rFonts w:cs="Arial"/>
          <w:b/>
          <w:szCs w:val="20"/>
          <w:lang w:val="bg-BG"/>
        </w:rPr>
      </w:pPr>
      <w:r w:rsidRPr="009072DA">
        <w:rPr>
          <w:b/>
          <w:lang w:val="bg-BG"/>
        </w:rPr>
        <w:t>(</w:t>
      </w:r>
      <w:r w:rsidR="00524B9F">
        <w:rPr>
          <w:b/>
          <w:lang w:val="bg-BG"/>
        </w:rPr>
        <w:t>ч</w:t>
      </w:r>
      <w:r w:rsidRPr="009072DA">
        <w:rPr>
          <w:b/>
          <w:lang w:val="bg-BG"/>
        </w:rPr>
        <w:t xml:space="preserve">лен 19.06, точка 7; </w:t>
      </w:r>
      <w:r w:rsidR="00524B9F">
        <w:rPr>
          <w:b/>
          <w:lang w:val="bg-BG"/>
        </w:rPr>
        <w:t>ч</w:t>
      </w:r>
      <w:r w:rsidRPr="009072DA">
        <w:rPr>
          <w:b/>
          <w:lang w:val="bg-BG"/>
        </w:rPr>
        <w:t>лен 29.09, буква г))</w:t>
      </w:r>
    </w:p>
    <w:p w:rsidR="004F47BB" w:rsidRPr="009072DA" w:rsidRDefault="004F47BB" w:rsidP="004F47BB">
      <w:pPr>
        <w:tabs>
          <w:tab w:val="left" w:pos="425"/>
        </w:tabs>
        <w:spacing w:line="240" w:lineRule="atLeast"/>
        <w:rPr>
          <w:rFonts w:cs="Arial"/>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1.</w:t>
      </w:r>
      <w:r w:rsidRPr="009072DA">
        <w:rPr>
          <w:lang w:val="bg-BG"/>
        </w:rPr>
        <w:tab/>
      </w:r>
      <w:r w:rsidRPr="009072DA">
        <w:rPr>
          <w:b/>
          <w:color w:val="000000"/>
          <w:lang w:val="bg-BG"/>
        </w:rPr>
        <w:t>Общи положения</w:t>
      </w:r>
    </w:p>
    <w:p w:rsidR="004F47BB" w:rsidRPr="009072DA" w:rsidRDefault="004F47BB" w:rsidP="004F47BB">
      <w:pPr>
        <w:tabs>
          <w:tab w:val="left" w:pos="425"/>
        </w:tabs>
        <w:spacing w:line="240" w:lineRule="atLeast"/>
        <w:rPr>
          <w:rFonts w:cs="Arial"/>
          <w:lang w:val="bg-BG"/>
        </w:rPr>
      </w:pPr>
    </w:p>
    <w:p w:rsidR="004F47BB" w:rsidRPr="009072DA" w:rsidRDefault="004F47BB" w:rsidP="004F47BB">
      <w:pPr>
        <w:spacing w:line="240" w:lineRule="atLeast"/>
        <w:ind w:left="567" w:hanging="567"/>
        <w:rPr>
          <w:snapToGrid w:val="0"/>
          <w:lang w:val="bg-BG"/>
        </w:rPr>
      </w:pPr>
      <w:r w:rsidRPr="009072DA">
        <w:rPr>
          <w:lang w:val="bg-BG"/>
        </w:rPr>
        <w:t>1.1</w:t>
      </w:r>
      <w:r w:rsidRPr="009072DA">
        <w:rPr>
          <w:lang w:val="bg-BG"/>
        </w:rPr>
        <w:tab/>
        <w:t>Съгласно споменатите по-горе разпоредби пътническите плавателни съдове и високоскоростните плавателни съдове трябва да имат подходящи системи от указатели, осигуряващи ясно разпознаване на маршрутите за евакуация и аварийните изходи, когато нормалното аварийно осветление е по-малко ефективно поради дим. Тези системи от указатели трябва да са под формата на ниско разположено осветление (НРО). Настоящата инструкция обхваща одобряването, монтажа и поддръжката на такива системи.</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1.2</w:t>
      </w:r>
      <w:r w:rsidRPr="009072DA">
        <w:rPr>
          <w:lang w:val="bg-BG"/>
        </w:rPr>
        <w:tab/>
        <w:t>Освен аварийното осветление, изисквано съгласно член 19.10, точка 3, маршрутите за евакуация, включително стълбища, изходи и аварийни изходи, трябва да са отбелязани с ниско разположено осветление (НРО) през целия маршрут за евакуация, особено на ъгли и пресечни точки.</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1.3</w:t>
      </w:r>
      <w:r w:rsidRPr="009072DA">
        <w:rPr>
          <w:lang w:val="bg-BG"/>
        </w:rPr>
        <w:tab/>
        <w:t>Системата на НРО трябва да функционира най-малко в продължение на 30 минути след задействането си.</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1.4</w:t>
      </w:r>
      <w:r w:rsidRPr="009072DA">
        <w:rPr>
          <w:lang w:val="bg-BG"/>
        </w:rPr>
        <w:tab/>
        <w:t>Продуктите НРО не трябва да са радиоактивни или токсични.</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1.5</w:t>
      </w:r>
      <w:r w:rsidRPr="009072DA">
        <w:rPr>
          <w:lang w:val="bg-BG"/>
        </w:rPr>
        <w:tab/>
        <w:t>Инструкциите за системата на НРО трябва да изложени заедно с плана за безопасност в съответствие с член 19.13, точка 2 и във всяка каюта.</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w:t>
      </w:r>
      <w:r w:rsidRPr="009072DA">
        <w:rPr>
          <w:lang w:val="bg-BG"/>
        </w:rPr>
        <w:tab/>
      </w:r>
      <w:r w:rsidRPr="009072DA">
        <w:rPr>
          <w:b/>
          <w:color w:val="000000"/>
          <w:lang w:val="bg-BG"/>
        </w:rPr>
        <w:t>Определения</w:t>
      </w:r>
    </w:p>
    <w:p w:rsidR="004F47BB" w:rsidRPr="009072DA" w:rsidRDefault="004F47BB" w:rsidP="004F47BB">
      <w:pPr>
        <w:tabs>
          <w:tab w:val="left" w:pos="425"/>
        </w:tabs>
        <w:spacing w:line="240" w:lineRule="atLeast"/>
        <w:rPr>
          <w:rFonts w:cs="Arial"/>
          <w:lang w:val="bg-BG"/>
        </w:rPr>
      </w:pPr>
    </w:p>
    <w:p w:rsidR="004F47BB" w:rsidRPr="009072DA" w:rsidRDefault="004F47BB" w:rsidP="004F47BB">
      <w:pPr>
        <w:spacing w:line="240" w:lineRule="atLeast"/>
        <w:ind w:left="567" w:hanging="567"/>
        <w:rPr>
          <w:lang w:val="bg-BG"/>
        </w:rPr>
      </w:pPr>
      <w:r w:rsidRPr="009072DA">
        <w:rPr>
          <w:lang w:val="bg-BG"/>
        </w:rPr>
        <w:t>2.1</w:t>
      </w:r>
      <w:r w:rsidRPr="009072DA">
        <w:rPr>
          <w:lang w:val="bg-BG"/>
        </w:rPr>
        <w:tab/>
        <w:t>Ниско разположено осветление (НРО) — Електрически захранвано осветление или фотолуминесцентни индикатори, поставени по маршрутите за евакуация, така че да се осигури лесното откриване на тези маршрути.</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2.2</w:t>
      </w:r>
      <w:r w:rsidRPr="009072DA">
        <w:rPr>
          <w:lang w:val="bg-BG"/>
        </w:rPr>
        <w:tab/>
        <w:t xml:space="preserve">Фотолуминесцентна (ФЛ) система — Система на НРО, която използва ФЛ материал. Фотолуминесцентният материал съдържа химично вещество (например: цинков сулфид), </w:t>
      </w:r>
      <w:r w:rsidRPr="009072DA">
        <w:rPr>
          <w:lang w:val="bg-BG"/>
        </w:rPr>
        <w:lastRenderedPageBreak/>
        <w:t>което има способността да складира енергия, когато е осветено с видима светлина. ФЛ материалът излъчва светлина, която става видима, когато източникът на околна светлина е по-малко ефективен. В отсъствието на източника на светлина, който го „презарежда“, ФЛ материалът отдава натрупаната енергия за определено време, като яркостта намалява.</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2.3</w:t>
      </w:r>
      <w:r w:rsidRPr="009072DA">
        <w:rPr>
          <w:lang w:val="bg-BG"/>
        </w:rPr>
        <w:tab/>
        <w:t>Електрически захранвана (ЕЗ) система — система на НРО, за работата на която е необходима електрическа енергия, като системите, използващи лампи с нажежаема жичка, светодиоди, електролуминесцентни ленти или лампи, електрофлуоресцентни лампи и др.</w:t>
      </w:r>
    </w:p>
    <w:p w:rsidR="004F47BB" w:rsidRPr="009072DA" w:rsidRDefault="004F47BB" w:rsidP="004F47BB">
      <w:pPr>
        <w:tabs>
          <w:tab w:val="left" w:pos="425"/>
        </w:tabs>
        <w:spacing w:line="240" w:lineRule="atLeast"/>
        <w:rPr>
          <w:rFonts w:cs="Arial"/>
          <w:lang w:val="bg-BG"/>
        </w:rPr>
      </w:pPr>
    </w:p>
    <w:p w:rsidR="004F47BB" w:rsidRPr="009072DA" w:rsidRDefault="004F47BB" w:rsidP="004F47BB">
      <w:pPr>
        <w:tabs>
          <w:tab w:val="left" w:pos="425"/>
        </w:tabs>
        <w:spacing w:line="240" w:lineRule="atLeast"/>
        <w:rPr>
          <w:rFonts w:cs="Arial"/>
          <w:lang w:val="bg-BG"/>
        </w:rPr>
      </w:pPr>
      <w:r w:rsidRPr="009072DA">
        <w:rPr>
          <w:lang w:val="bg-BG"/>
        </w:rPr>
        <w:br w:type="page"/>
      </w:r>
    </w:p>
    <w:p w:rsidR="004F47BB" w:rsidRPr="009072DA" w:rsidRDefault="004F47BB" w:rsidP="004F47BB">
      <w:pPr>
        <w:tabs>
          <w:tab w:val="left" w:pos="567"/>
        </w:tabs>
        <w:spacing w:line="240" w:lineRule="atLeast"/>
        <w:ind w:left="567" w:hanging="567"/>
        <w:rPr>
          <w:rFonts w:cs="Arial"/>
          <w:b/>
          <w:lang w:val="bg-BG"/>
        </w:rPr>
      </w:pPr>
      <w:r w:rsidRPr="009072DA">
        <w:rPr>
          <w:b/>
          <w:lang w:val="bg-BG"/>
        </w:rPr>
        <w:lastRenderedPageBreak/>
        <w:t>3.</w:t>
      </w:r>
      <w:r w:rsidRPr="009072DA">
        <w:rPr>
          <w:lang w:val="bg-BG"/>
        </w:rPr>
        <w:tab/>
      </w:r>
      <w:r w:rsidRPr="009072DA">
        <w:rPr>
          <w:b/>
          <w:lang w:val="bg-BG"/>
        </w:rPr>
        <w:t>Проходи и стълбища</w:t>
      </w:r>
    </w:p>
    <w:p w:rsidR="004F47BB" w:rsidRPr="009072DA" w:rsidRDefault="004F47BB" w:rsidP="004F47BB">
      <w:pPr>
        <w:tabs>
          <w:tab w:val="left" w:pos="425"/>
        </w:tabs>
        <w:spacing w:line="240" w:lineRule="atLeast"/>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3.1</w:t>
      </w:r>
      <w:r w:rsidRPr="009072DA">
        <w:rPr>
          <w:lang w:val="bg-BG"/>
        </w:rPr>
        <w:tab/>
        <w:t>С цел видимо да се очертае маршрутът за евакуация, във всички проходи НРО трябва да е без прекъсвания, освен където е прекъснато от коридори и врати на каюти. Системите на НРО, съответстващи на международен стандарт, които имат видимо очертаване без да бъдат непрекъснати, също са приемливи. НРО се монтира поне от едната страна на коридора или на стената на не повече от 0,3 m от пода, или на пода, на не повече от 0,15 m от стената. При коридори, широки повече от два метра, НРО се монтира и от двете страни.</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szCs w:val="20"/>
          <w:lang w:val="bg-BG"/>
        </w:rPr>
      </w:pPr>
      <w:r w:rsidRPr="009072DA">
        <w:rPr>
          <w:lang w:val="bg-BG"/>
        </w:rPr>
        <w:t>3.2</w:t>
      </w:r>
      <w:r w:rsidRPr="009072DA">
        <w:rPr>
          <w:lang w:val="bg-BG"/>
        </w:rPr>
        <w:tab/>
        <w:t>При коридори без изход НРО трябва да има стрелки, разположени на интервали от не повече от 1 m, или еквивалентни указатели, сочещи в посоката на маршрута за евакуация.</w:t>
      </w:r>
    </w:p>
    <w:p w:rsidR="004F47BB" w:rsidRPr="009072DA" w:rsidRDefault="004F47BB" w:rsidP="004F47BB">
      <w:pPr>
        <w:tabs>
          <w:tab w:val="left" w:pos="567"/>
        </w:tabs>
        <w:spacing w:line="240" w:lineRule="atLeast"/>
        <w:ind w:left="567" w:hanging="567"/>
        <w:rPr>
          <w:rFonts w:cs="Arial"/>
          <w:szCs w:val="20"/>
          <w:lang w:val="bg-BG"/>
        </w:rPr>
      </w:pPr>
    </w:p>
    <w:p w:rsidR="004F47BB" w:rsidRPr="009072DA" w:rsidRDefault="004F47BB" w:rsidP="004F47BB">
      <w:pPr>
        <w:tabs>
          <w:tab w:val="left" w:pos="567"/>
        </w:tabs>
        <w:spacing w:line="240" w:lineRule="atLeast"/>
        <w:ind w:left="567" w:hanging="567"/>
        <w:rPr>
          <w:rFonts w:cs="Arial"/>
          <w:iCs/>
          <w:szCs w:val="20"/>
          <w:lang w:val="bg-BG"/>
        </w:rPr>
      </w:pPr>
      <w:r w:rsidRPr="009072DA">
        <w:rPr>
          <w:lang w:val="bg-BG"/>
        </w:rPr>
        <w:t>3.3</w:t>
      </w:r>
      <w:r w:rsidRPr="009072DA">
        <w:rPr>
          <w:lang w:val="bg-BG"/>
        </w:rPr>
        <w:tab/>
        <w:t>На всички стълбища се монтира НРО поне от едната страна на не повече от 0,3 m над стъпалата, което ще направи леснозабележимо разположението на всяко стъпало за всяко лице, стоящо над или под това стъпало. Ниско разположеното осветление се монтира и от двете страни, ако широчината на стълбището е 2 m или повече. Най-високото и най-ниското от всяка група стъпала трябва да са обозначени, за да се покаже, че няма повече стъпала.</w:t>
      </w:r>
    </w:p>
    <w:p w:rsidR="004F47BB" w:rsidRPr="009072DA" w:rsidRDefault="004F47BB" w:rsidP="004F47BB">
      <w:pPr>
        <w:tabs>
          <w:tab w:val="left" w:pos="567"/>
        </w:tabs>
        <w:spacing w:line="240" w:lineRule="atLeast"/>
        <w:ind w:left="567" w:hanging="567"/>
        <w:rPr>
          <w:rFonts w:cs="Arial"/>
          <w:i/>
          <w:iCs/>
          <w:szCs w:val="20"/>
          <w:lang w:val="bg-BG"/>
        </w:rPr>
      </w:pPr>
    </w:p>
    <w:p w:rsidR="004F47BB" w:rsidRPr="009072DA" w:rsidRDefault="004F47BB" w:rsidP="004F47BB">
      <w:pPr>
        <w:tabs>
          <w:tab w:val="left" w:pos="567"/>
        </w:tabs>
        <w:spacing w:line="240" w:lineRule="atLeast"/>
        <w:ind w:left="567" w:hanging="567"/>
        <w:rPr>
          <w:rFonts w:cs="Arial"/>
          <w:b/>
          <w:lang w:val="bg-BG"/>
        </w:rPr>
      </w:pPr>
      <w:r w:rsidRPr="009072DA">
        <w:rPr>
          <w:b/>
          <w:lang w:val="bg-BG"/>
        </w:rPr>
        <w:t>4.</w:t>
      </w:r>
      <w:r w:rsidRPr="009072DA">
        <w:rPr>
          <w:lang w:val="bg-BG"/>
        </w:rPr>
        <w:tab/>
      </w:r>
      <w:r w:rsidRPr="009072DA">
        <w:rPr>
          <w:b/>
          <w:lang w:val="bg-BG"/>
        </w:rPr>
        <w:t>Врати</w:t>
      </w:r>
    </w:p>
    <w:p w:rsidR="004F47BB" w:rsidRPr="009072DA" w:rsidRDefault="004F47BB" w:rsidP="004F47BB">
      <w:pPr>
        <w:tabs>
          <w:tab w:val="left" w:pos="425"/>
        </w:tabs>
        <w:spacing w:line="240" w:lineRule="atLeast"/>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4.1</w:t>
      </w:r>
      <w:r w:rsidRPr="009072DA">
        <w:rPr>
          <w:lang w:val="bg-BG"/>
        </w:rPr>
        <w:tab/>
        <w:t>Ниско разположеното осветление трябва да води до ръкохватката на изходната врата. За избягване на объркване, други врати не се маркират по подобен начин.</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4.2</w:t>
      </w:r>
      <w:r w:rsidRPr="009072DA">
        <w:rPr>
          <w:lang w:val="bg-BG"/>
        </w:rPr>
        <w:tab/>
        <w:t>Там, където в преградните стени са поставени плъзгащи се врати в съответствие с член 19.11, точка 2 и във водонепроницаемите прегради в съответствие с член 19.02, точка 5 се указва посоката на отваряне.</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b/>
          <w:lang w:val="bg-BG"/>
        </w:rPr>
      </w:pPr>
      <w:r w:rsidRPr="009072DA">
        <w:rPr>
          <w:b/>
          <w:lang w:val="bg-BG"/>
        </w:rPr>
        <w:t>5.</w:t>
      </w:r>
      <w:r w:rsidRPr="009072DA">
        <w:rPr>
          <w:lang w:val="bg-BG"/>
        </w:rPr>
        <w:tab/>
      </w:r>
      <w:r w:rsidRPr="009072DA">
        <w:rPr>
          <w:b/>
          <w:lang w:val="bg-BG"/>
        </w:rPr>
        <w:t>Знаци и маркировки</w:t>
      </w:r>
    </w:p>
    <w:p w:rsidR="004F47BB" w:rsidRPr="009072DA" w:rsidRDefault="004F47BB" w:rsidP="004F47BB">
      <w:pPr>
        <w:tabs>
          <w:tab w:val="left" w:pos="425"/>
        </w:tabs>
        <w:spacing w:line="240" w:lineRule="atLeast"/>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5.1</w:t>
      </w:r>
      <w:r w:rsidRPr="009072DA">
        <w:rPr>
          <w:lang w:val="bg-BG"/>
        </w:rPr>
        <w:tab/>
        <w:t>Всички знаци по маршрута за евакуация са от фотолуминесцентен материал или са маркирани с електрическо осветление. Размерите на тези знаци и маркировки трябва да са съизмерими с останалата част на системата на НРО.</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lastRenderedPageBreak/>
        <w:t>5.2</w:t>
      </w:r>
      <w:r w:rsidRPr="009072DA">
        <w:rPr>
          <w:lang w:val="bg-BG"/>
        </w:rPr>
        <w:tab/>
        <w:t>Знаци от ниско разположеното осветление за изход трябва да има на всички изходи. Знаците трябва да са разположени в предписаната зона от тази страна на изходните врати, където се намира дръжката.</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 xml:space="preserve">5.3 </w:t>
      </w:r>
      <w:r w:rsidRPr="009072DA">
        <w:rPr>
          <w:lang w:val="bg-BG"/>
        </w:rPr>
        <w:tab/>
        <w:t>Всички знаци трябва да са контрастни по цвят спрямо основата (стена или под), на която са монтирани.</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5.4</w:t>
      </w:r>
      <w:r w:rsidRPr="009072DA">
        <w:rPr>
          <w:lang w:val="bg-BG"/>
        </w:rPr>
        <w:tab/>
        <w:t>Стандартизирани символи (например тези, описани в Решение A.760, точка 18 на ИМО) се използват за НРО.</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b/>
          <w:lang w:val="bg-BG"/>
        </w:rPr>
      </w:pPr>
      <w:r w:rsidRPr="009072DA">
        <w:rPr>
          <w:b/>
          <w:lang w:val="bg-BG"/>
        </w:rPr>
        <w:t>6.</w:t>
      </w:r>
      <w:r w:rsidRPr="009072DA">
        <w:rPr>
          <w:lang w:val="bg-BG"/>
        </w:rPr>
        <w:tab/>
      </w:r>
      <w:r w:rsidRPr="009072DA">
        <w:rPr>
          <w:b/>
          <w:lang w:val="bg-BG"/>
        </w:rPr>
        <w:t>Фотолуминесцентни системи</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6.1</w:t>
      </w:r>
      <w:r w:rsidRPr="009072DA">
        <w:rPr>
          <w:lang w:val="bg-BG"/>
        </w:rPr>
        <w:tab/>
        <w:t>ФЛ лентите трябва да са не по-тесни от 0,075 m.  Въпреки това могат да се използват по-тесни ленти, ако яркостта им е увеличена пропорционално, за да се компенсира широчината.</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6.2</w:t>
      </w:r>
      <w:r w:rsidRPr="009072DA">
        <w:rPr>
          <w:lang w:val="bg-BG"/>
        </w:rPr>
        <w:tab/>
        <w:t>Фотолуминесцентните материали трябва да осигуряват най-малко 15 mcd/m</w:t>
      </w:r>
      <w:r w:rsidRPr="009072DA">
        <w:rPr>
          <w:vertAlign w:val="superscript"/>
          <w:lang w:val="bg-BG"/>
        </w:rPr>
        <w:t>2</w:t>
      </w:r>
      <w:r w:rsidRPr="009072DA">
        <w:rPr>
          <w:lang w:val="bg-BG"/>
        </w:rPr>
        <w:t>, измерени 10 минути след отстраняването на всички външни осветяващи източници. След това системата трябва да продължи да осигурява яркост над 2 mcd/m</w:t>
      </w:r>
      <w:r w:rsidRPr="009072DA">
        <w:rPr>
          <w:vertAlign w:val="superscript"/>
          <w:lang w:val="bg-BG"/>
        </w:rPr>
        <w:t>2</w:t>
      </w:r>
      <w:r w:rsidRPr="009072DA">
        <w:rPr>
          <w:lang w:val="bg-BG"/>
        </w:rPr>
        <w:t xml:space="preserve"> в продължение на 20 минути.</w:t>
      </w:r>
    </w:p>
    <w:p w:rsidR="004F47BB" w:rsidRPr="009072DA" w:rsidRDefault="004F47BB" w:rsidP="004F47BB">
      <w:pPr>
        <w:tabs>
          <w:tab w:val="left" w:pos="567"/>
        </w:tabs>
        <w:spacing w:line="240" w:lineRule="atLeast"/>
        <w:ind w:left="567" w:hanging="567"/>
        <w:rPr>
          <w:rFonts w:cs="Arial"/>
          <w:lang w:val="bg-BG"/>
        </w:rPr>
      </w:pPr>
      <w:r w:rsidRPr="009072DA">
        <w:rPr>
          <w:lang w:val="bg-BG"/>
        </w:rPr>
        <w:br w:type="page"/>
      </w:r>
    </w:p>
    <w:p w:rsidR="004F47BB" w:rsidRPr="009072DA" w:rsidRDefault="004F47BB" w:rsidP="004F47BB">
      <w:pPr>
        <w:tabs>
          <w:tab w:val="left" w:pos="567"/>
        </w:tabs>
        <w:spacing w:line="240" w:lineRule="atLeast"/>
        <w:ind w:left="567" w:hanging="567"/>
        <w:rPr>
          <w:rFonts w:cs="Arial"/>
          <w:lang w:val="bg-BG"/>
        </w:rPr>
      </w:pPr>
      <w:r w:rsidRPr="009072DA">
        <w:rPr>
          <w:lang w:val="bg-BG"/>
        </w:rPr>
        <w:lastRenderedPageBreak/>
        <w:t>6.3</w:t>
      </w:r>
      <w:r w:rsidRPr="009072DA">
        <w:rPr>
          <w:lang w:val="bg-BG"/>
        </w:rPr>
        <w:tab/>
        <w:t>На всички материали за ФЛ система се осигурява ниво на околна осветеност, което е не по-ниско от минимално необходимото за зареждане на ФЛ материала, така че да отговори на горните изисквания за яркост.</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b/>
          <w:lang w:val="bg-BG"/>
        </w:rPr>
      </w:pPr>
      <w:r w:rsidRPr="009072DA">
        <w:rPr>
          <w:b/>
          <w:lang w:val="bg-BG"/>
        </w:rPr>
        <w:t>7.</w:t>
      </w:r>
      <w:r w:rsidRPr="009072DA">
        <w:rPr>
          <w:lang w:val="bg-BG"/>
        </w:rPr>
        <w:tab/>
      </w:r>
      <w:r w:rsidRPr="009072DA">
        <w:rPr>
          <w:b/>
          <w:lang w:val="bg-BG"/>
        </w:rPr>
        <w:t>Системи с електрическо захранване</w:t>
      </w:r>
    </w:p>
    <w:p w:rsidR="004F47BB" w:rsidRPr="009072DA" w:rsidRDefault="004F47BB" w:rsidP="004F47BB">
      <w:pPr>
        <w:tabs>
          <w:tab w:val="left" w:pos="567"/>
        </w:tabs>
        <w:spacing w:line="240" w:lineRule="atLeast"/>
        <w:ind w:left="567" w:hanging="567"/>
        <w:rPr>
          <w:rFonts w:cs="Arial"/>
          <w:b/>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7.1</w:t>
      </w:r>
      <w:r w:rsidRPr="009072DA">
        <w:rPr>
          <w:lang w:val="bg-BG"/>
        </w:rPr>
        <w:tab/>
        <w:t>Системите с електрическо захранване се свързват към аварийното разпределително табло, изисквано съгласно член 19.10, точка 4, така че при нормални условия да се захранват от главния източник на електроенергия, а също и от аварийния източник на електроенергия, когато последният е задействан. За целите на оразмеряване на капацитета на аварийния източник на електроенергия системите с ЕЗ се включват в списъка на аварийните консуматори.</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7.2</w:t>
      </w:r>
      <w:r w:rsidRPr="009072DA">
        <w:rPr>
          <w:lang w:val="bg-BG"/>
        </w:rPr>
        <w:tab/>
        <w:t>Системите с електрическо захранване трябва или да се включват или автоматично, или да могат да се включат посредством едно единствено действие от поста за управление.</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7.3</w:t>
      </w:r>
      <w:r w:rsidRPr="009072DA">
        <w:rPr>
          <w:lang w:val="bg-BG"/>
        </w:rPr>
        <w:tab/>
        <w:t xml:space="preserve">Когато са монтирани системи с електрическо захранване, се прилагат следните стандарти за яркост: </w:t>
      </w:r>
    </w:p>
    <w:p w:rsidR="004F47BB" w:rsidRPr="009072DA" w:rsidRDefault="004F47BB" w:rsidP="004F47BB">
      <w:pPr>
        <w:tabs>
          <w:tab w:val="left" w:pos="567"/>
          <w:tab w:val="left" w:pos="992"/>
        </w:tabs>
        <w:spacing w:before="60" w:line="240" w:lineRule="atLeast"/>
        <w:ind w:left="992"/>
        <w:rPr>
          <w:rFonts w:cs="Arial"/>
          <w:lang w:val="bg-BG"/>
        </w:rPr>
      </w:pPr>
      <w:r w:rsidRPr="009072DA">
        <w:rPr>
          <w:lang w:val="bg-BG"/>
        </w:rPr>
        <w:t>1.</w:t>
      </w:r>
      <w:r w:rsidRPr="009072DA">
        <w:rPr>
          <w:lang w:val="bg-BG"/>
        </w:rPr>
        <w:tab/>
        <w:t>активните части на системи с електрическо захранване трябва да имат минимална яркост от 10 cd/m</w:t>
      </w:r>
      <w:r w:rsidRPr="009072DA">
        <w:rPr>
          <w:vertAlign w:val="superscript"/>
          <w:lang w:val="bg-BG"/>
        </w:rPr>
        <w:t>2</w:t>
      </w:r>
      <w:r w:rsidRPr="009072DA">
        <w:rPr>
          <w:lang w:val="bg-BG"/>
        </w:rPr>
        <w:t>;</w:t>
      </w:r>
    </w:p>
    <w:p w:rsidR="004F47BB" w:rsidRPr="009072DA" w:rsidRDefault="004F47BB" w:rsidP="004F47BB">
      <w:pPr>
        <w:tabs>
          <w:tab w:val="left" w:pos="567"/>
          <w:tab w:val="left" w:pos="992"/>
        </w:tabs>
        <w:spacing w:before="60" w:line="240" w:lineRule="atLeast"/>
        <w:ind w:left="992"/>
        <w:rPr>
          <w:rFonts w:cs="Arial"/>
          <w:lang w:val="bg-BG"/>
        </w:rPr>
      </w:pPr>
      <w:r w:rsidRPr="009072DA">
        <w:rPr>
          <w:lang w:val="bg-BG"/>
        </w:rPr>
        <w:t>2.</w:t>
      </w:r>
      <w:r w:rsidRPr="009072DA">
        <w:rPr>
          <w:lang w:val="bg-BG"/>
        </w:rPr>
        <w:tab/>
        <w:t>точковите източници от миниатюрни лампи с нажежаема жичка трябва да осигурявят най-малко 150 mcd средна сферична интензивност с разстояние между лампите не повече от 0,1 m;</w:t>
      </w:r>
    </w:p>
    <w:p w:rsidR="004F47BB" w:rsidRPr="009072DA" w:rsidRDefault="004F47BB" w:rsidP="004F47BB">
      <w:pPr>
        <w:tabs>
          <w:tab w:val="left" w:pos="567"/>
          <w:tab w:val="left" w:pos="992"/>
        </w:tabs>
        <w:spacing w:before="60" w:line="240" w:lineRule="atLeast"/>
        <w:ind w:left="992"/>
        <w:rPr>
          <w:rFonts w:cs="Arial"/>
          <w:lang w:val="bg-BG"/>
        </w:rPr>
      </w:pPr>
      <w:r w:rsidRPr="009072DA">
        <w:rPr>
          <w:lang w:val="bg-BG"/>
        </w:rPr>
        <w:t>3.</w:t>
      </w:r>
      <w:r w:rsidRPr="009072DA">
        <w:rPr>
          <w:lang w:val="bg-BG"/>
        </w:rPr>
        <w:tab/>
        <w:t>точковите източници от светодиоди трябва да имат минимална пикова интензивност от 35 mcd. Ъгълът на конуса на двукратно намаляване на интензивността трябва да е подходящ за вероятните посоки на подход и гледане към трасето. Разстоянието между лампите трябва да е не повече от 0,3 m; и</w:t>
      </w:r>
    </w:p>
    <w:p w:rsidR="004F47BB" w:rsidRPr="009072DA" w:rsidRDefault="004F47BB" w:rsidP="004F47BB">
      <w:pPr>
        <w:tabs>
          <w:tab w:val="left" w:pos="567"/>
          <w:tab w:val="left" w:pos="992"/>
        </w:tabs>
        <w:spacing w:before="60" w:line="240" w:lineRule="atLeast"/>
        <w:ind w:left="992"/>
        <w:rPr>
          <w:rFonts w:cs="Arial"/>
          <w:lang w:val="bg-BG"/>
        </w:rPr>
      </w:pPr>
      <w:r w:rsidRPr="009072DA">
        <w:rPr>
          <w:lang w:val="bg-BG"/>
        </w:rPr>
        <w:t>4.</w:t>
      </w:r>
      <w:r w:rsidRPr="009072DA">
        <w:rPr>
          <w:lang w:val="bg-BG"/>
        </w:rPr>
        <w:tab/>
        <w:t>при електролуминесцентни системи те трябва да фун</w:t>
      </w:r>
      <w:r w:rsidR="00FB2BC0">
        <w:rPr>
          <w:lang w:val="bg-BG"/>
        </w:rPr>
        <w:t>к</w:t>
      </w:r>
      <w:r w:rsidRPr="009072DA">
        <w:rPr>
          <w:lang w:val="bg-BG"/>
        </w:rPr>
        <w:t>ционират в продължение на 30 минути от момента на прекъсване на главното захранване, към което е трябвало да бъдат свързани съгласно раздел 7.1.</w:t>
      </w:r>
    </w:p>
    <w:p w:rsidR="004F47BB" w:rsidRPr="009072DA" w:rsidRDefault="004F47BB" w:rsidP="004F47BB">
      <w:pPr>
        <w:tabs>
          <w:tab w:val="left" w:pos="425"/>
        </w:tabs>
        <w:spacing w:line="240" w:lineRule="atLeast"/>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7.4</w:t>
      </w:r>
      <w:r w:rsidRPr="009072DA">
        <w:rPr>
          <w:lang w:val="bg-BG"/>
        </w:rPr>
        <w:tab/>
        <w:t>Всяка система с ЕЗ трябва да е устроена така, че отказът на който и да е светлинен източник, осветителна лента или батерия да не направи маркировката неефективна.</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7.5</w:t>
      </w:r>
      <w:r w:rsidRPr="009072DA">
        <w:rPr>
          <w:lang w:val="bg-BG"/>
        </w:rPr>
        <w:tab/>
        <w:t>Системите с електрическо захранване трябва да отговарят на изискванията от член 10.19 за изпитване за вибрации и топлина. Чрез дерогация от член 10.19, точка 2, буква в) изпитването на топлина може да се проведе при еталонна околна температура от 40 °C.</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7.6</w:t>
      </w:r>
      <w:r w:rsidRPr="009072DA">
        <w:rPr>
          <w:lang w:val="bg-BG"/>
        </w:rPr>
        <w:tab/>
        <w:t>Системите с електрическо захранване трябва да изпълняват изискванията за електромагнитна съвместимост, определени в член 10.20.</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7.7</w:t>
      </w:r>
      <w:r w:rsidRPr="009072DA">
        <w:rPr>
          <w:lang w:val="bg-BG"/>
        </w:rPr>
        <w:tab/>
        <w:t>Системите с електрическо захранване трябва да предоставят тип минимална защита от клас IP 55 в съответствие с европейски стандарт EN 60529: 2014.</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br w:type="page"/>
      </w:r>
    </w:p>
    <w:p w:rsidR="004F47BB" w:rsidRPr="009072DA" w:rsidRDefault="004F47BB" w:rsidP="004F47BB">
      <w:pPr>
        <w:tabs>
          <w:tab w:val="left" w:pos="567"/>
        </w:tabs>
        <w:spacing w:line="240" w:lineRule="atLeast"/>
        <w:ind w:left="567" w:hanging="567"/>
        <w:rPr>
          <w:rFonts w:cs="Arial"/>
          <w:b/>
          <w:lang w:val="bg-BG"/>
        </w:rPr>
      </w:pPr>
      <w:r w:rsidRPr="009072DA">
        <w:rPr>
          <w:b/>
          <w:lang w:val="bg-BG"/>
        </w:rPr>
        <w:lastRenderedPageBreak/>
        <w:t>8.</w:t>
      </w:r>
      <w:r w:rsidRPr="009072DA">
        <w:rPr>
          <w:lang w:val="bg-BG"/>
        </w:rPr>
        <w:tab/>
      </w:r>
      <w:r w:rsidRPr="009072DA">
        <w:rPr>
          <w:b/>
          <w:lang w:val="bg-BG"/>
        </w:rPr>
        <w:t>Приемно изпитване</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8.1</w:t>
      </w:r>
      <w:r w:rsidRPr="009072DA">
        <w:rPr>
          <w:lang w:val="bg-BG"/>
        </w:rPr>
        <w:tab/>
        <w:t>Яркостта на НРО се проверява от експерт</w:t>
      </w:r>
    </w:p>
    <w:p w:rsidR="004F47BB" w:rsidRPr="009072DA" w:rsidRDefault="004F47BB" w:rsidP="004F47BB">
      <w:pPr>
        <w:tabs>
          <w:tab w:val="left" w:pos="567"/>
        </w:tabs>
        <w:spacing w:before="60" w:line="240" w:lineRule="atLeast"/>
        <w:ind w:left="992"/>
        <w:rPr>
          <w:rFonts w:cs="Arial"/>
          <w:lang w:val="bg-BG"/>
        </w:rPr>
      </w:pPr>
      <w:r w:rsidRPr="009072DA">
        <w:rPr>
          <w:lang w:val="bg-BG"/>
        </w:rPr>
        <w:t>a)</w:t>
      </w:r>
      <w:r w:rsidRPr="009072DA">
        <w:rPr>
          <w:lang w:val="bg-BG"/>
        </w:rPr>
        <w:tab/>
        <w:t>преди първоначално пускане в експлоатация;</w:t>
      </w:r>
    </w:p>
    <w:p w:rsidR="004F47BB" w:rsidRPr="009072DA" w:rsidRDefault="004F47BB" w:rsidP="004F47BB">
      <w:pPr>
        <w:tabs>
          <w:tab w:val="left" w:pos="567"/>
        </w:tabs>
        <w:spacing w:before="60" w:line="240" w:lineRule="atLeast"/>
        <w:ind w:left="992"/>
        <w:rPr>
          <w:rFonts w:cs="Arial"/>
          <w:lang w:val="bg-BG"/>
        </w:rPr>
      </w:pPr>
      <w:r w:rsidRPr="009072DA">
        <w:rPr>
          <w:lang w:val="bg-BG"/>
        </w:rPr>
        <w:t>б)</w:t>
      </w:r>
      <w:r w:rsidRPr="009072DA">
        <w:rPr>
          <w:lang w:val="bg-BG"/>
        </w:rPr>
        <w:tab/>
        <w:t>преди повторно пускане в експлоатация след всяко по-съществено изменение или ремонт;</w:t>
      </w:r>
    </w:p>
    <w:p w:rsidR="004F47BB" w:rsidRPr="009072DA" w:rsidRDefault="004F47BB" w:rsidP="004F47BB">
      <w:pPr>
        <w:tabs>
          <w:tab w:val="left" w:pos="567"/>
        </w:tabs>
        <w:spacing w:before="60" w:line="240" w:lineRule="atLeast"/>
        <w:ind w:left="992"/>
        <w:rPr>
          <w:rFonts w:cs="Arial"/>
          <w:lang w:val="bg-BG"/>
        </w:rPr>
      </w:pPr>
      <w:r w:rsidRPr="009072DA">
        <w:rPr>
          <w:lang w:val="bg-BG"/>
        </w:rPr>
        <w:t>в)</w:t>
      </w:r>
      <w:r w:rsidRPr="009072DA">
        <w:rPr>
          <w:lang w:val="bg-BG"/>
        </w:rPr>
        <w:tab/>
        <w:t>редовно, най-малко на всеки пет години,</w:t>
      </w:r>
    </w:p>
    <w:p w:rsidR="004F47BB" w:rsidRPr="009072DA" w:rsidRDefault="004F47BB" w:rsidP="004F47BB">
      <w:pPr>
        <w:tabs>
          <w:tab w:val="left" w:pos="567"/>
        </w:tabs>
        <w:spacing w:before="60" w:line="240" w:lineRule="atLeast"/>
        <w:ind w:left="567"/>
        <w:rPr>
          <w:rFonts w:cs="Arial"/>
          <w:lang w:val="bg-BG"/>
        </w:rPr>
      </w:pPr>
      <w:r w:rsidRPr="009072DA">
        <w:rPr>
          <w:lang w:val="bg-BG"/>
        </w:rPr>
        <w:t>Проверките, посочени в буква в) по-горе, могат да бъдат извършвани и от компетентно лице, преминало обучение за системи от указатели за безопасност.</w:t>
      </w:r>
    </w:p>
    <w:p w:rsidR="004F47BB" w:rsidRPr="009072DA" w:rsidRDefault="004F47BB" w:rsidP="004F47BB">
      <w:pPr>
        <w:tabs>
          <w:tab w:val="left" w:pos="567"/>
        </w:tabs>
        <w:spacing w:before="60"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8.2</w:t>
      </w:r>
      <w:r w:rsidRPr="009072DA">
        <w:rPr>
          <w:lang w:val="bg-BG"/>
        </w:rPr>
        <w:tab/>
        <w:t>За проверката се издава сертификат, подписан от експерта или компетентното лице, като се посочва датата на проверката.</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8.3</w:t>
      </w:r>
      <w:r w:rsidRPr="009072DA">
        <w:rPr>
          <w:lang w:val="bg-BG"/>
        </w:rPr>
        <w:tab/>
        <w:t>Ако стойността на яркостта от конкретен отчет не отговаря на изискванията на настоящата инструкция, се правят отчитания на поне десет места на равни разстояния едно от друго. Ако повече от 30 % от отчетите не отговарят на изискванията на настоящата инструкция, системите от указатели за безопасност се подменят. Ако между 20 и 30 % от отчетите не отговарят на изискванията на настоящата инструкция, системите от указатели за безопасност се проверяват отново в рамките на една година.</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sectPr w:rsidR="004F47BB" w:rsidRPr="009072DA" w:rsidSect="00D45887">
          <w:footnotePr>
            <w:numRestart w:val="eachPage"/>
          </w:footnotePr>
          <w:pgSz w:w="11907" w:h="16840" w:code="9"/>
          <w:pgMar w:top="1418" w:right="1418" w:bottom="1418" w:left="1418" w:header="680" w:footer="680" w:gutter="0"/>
          <w:cols w:space="720"/>
          <w:docGrid w:linePitch="326"/>
        </w:sectPr>
      </w:pPr>
    </w:p>
    <w:p w:rsidR="004F47BB" w:rsidRPr="009072DA" w:rsidRDefault="004F47BB" w:rsidP="00330FC4">
      <w:pPr>
        <w:pStyle w:val="ES-Titre2ESI"/>
        <w:rPr>
          <w:szCs w:val="20"/>
        </w:rPr>
      </w:pPr>
      <w:bookmarkStart w:id="770" w:name="_Toc491854368"/>
      <w:bookmarkStart w:id="771" w:name="_Toc535827809"/>
      <w:r w:rsidRPr="009072DA">
        <w:lastRenderedPageBreak/>
        <w:t>ESI-III-5</w:t>
      </w:r>
      <w:r w:rsidRPr="009072DA">
        <w:br/>
        <w:t>Подходящо оборудване за сигнализиране за наличието на газ</w:t>
      </w:r>
      <w:bookmarkEnd w:id="770"/>
      <w:bookmarkEnd w:id="771"/>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jc w:val="center"/>
        <w:rPr>
          <w:b/>
          <w:lang w:val="bg-BG"/>
        </w:rPr>
      </w:pPr>
      <w:r w:rsidRPr="009072DA">
        <w:rPr>
          <w:b/>
          <w:lang w:val="bg-BG"/>
        </w:rPr>
        <w:t>(член 19.15, точка 8)</w:t>
      </w:r>
    </w:p>
    <w:p w:rsidR="004F47BB" w:rsidRPr="009072DA" w:rsidRDefault="004F47BB" w:rsidP="004F47BB">
      <w:pPr>
        <w:overflowPunct w:val="0"/>
        <w:adjustRightInd w:val="0"/>
        <w:rPr>
          <w:lang w:val="bg-BG"/>
        </w:rPr>
      </w:pPr>
    </w:p>
    <w:p w:rsidR="004F47BB" w:rsidRPr="009072DA" w:rsidRDefault="004F47BB" w:rsidP="004F47BB">
      <w:pPr>
        <w:tabs>
          <w:tab w:val="left" w:pos="709"/>
        </w:tabs>
        <w:overflowPunct w:val="0"/>
        <w:adjustRightInd w:val="0"/>
        <w:spacing w:line="240" w:lineRule="atLeast"/>
        <w:ind w:left="709" w:hanging="709"/>
        <w:rPr>
          <w:lang w:val="bg-BG"/>
        </w:rPr>
      </w:pPr>
      <w:r w:rsidRPr="009072DA">
        <w:rPr>
          <w:lang w:val="bg-BG"/>
        </w:rPr>
        <w:t>1.</w:t>
      </w:r>
      <w:r w:rsidRPr="009072DA">
        <w:rPr>
          <w:lang w:val="bg-BG"/>
        </w:rPr>
        <w:tab/>
        <w:t>В съответствие с раздели 32.02, точка 2 и 32.05, точка 5 (във всеки случай преходна разпоредба към член 19.01, точка 2, буква д)) системи с втечнен газ за домашни цели на борда на съществуващи пътнически съдове след 1 януари 2045 г. могат да се използват само до първото подновяване на удостоверението на плавателен съд за плаване по вътрешни водни пътища, при условие че е налично оборудване за сигнализиране на наличието на газ в съответствие с член 19.15, точка 8. В съответствие с член 19.15, точка 9 системите с втечнен газ за домашни цели ще могат в бъдеще да се монтират също и на пътнически съдове, които се пускат в експлоатация за пръв път и чиято дължина не надвишава 45 m, ако едновременно с това е монтирано такова оборудване за сигнализиране на наличието на газ.</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2.</w:t>
      </w:r>
      <w:r w:rsidRPr="009072DA">
        <w:rPr>
          <w:lang w:val="bg-BG"/>
        </w:rPr>
        <w:tab/>
        <w:t>В съответствие с член 32.02, точка 2 и член 32.05, точка 5 (във всеки случай преходна разпоредба към член 19.15, точка 8) това оборудване за сигнализиране на наличието на газ се монтира също при първото подновяване на удостоверението в съответствие с член 17.15.</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w:t>
      </w:r>
      <w:r w:rsidRPr="009072DA">
        <w:rPr>
          <w:lang w:val="bg-BG"/>
        </w:rPr>
        <w:tab/>
        <w:t>Оборудването за сигнализиране на наличието на газ се състои от датчици, оборудване и тръби и се счита за подходящо, ако отговаря най-малко на следните изисквания:</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3.1</w:t>
      </w:r>
      <w:r w:rsidRPr="009072DA">
        <w:rPr>
          <w:lang w:val="bg-BG"/>
        </w:rPr>
        <w:tab/>
        <w:t>Изисквания, на които трябва да отговаря системата (датчици, оборудване, тръби):</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3.1.1</w:t>
      </w:r>
      <w:r w:rsidRPr="009072DA">
        <w:rPr>
          <w:lang w:val="bg-BG"/>
        </w:rPr>
        <w:tab/>
        <w:t>Сигнализирането на наличие на газ става най-късно, когато бъде достигната или надхвърлена една от следните стойности:</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a)</w:t>
      </w:r>
      <w:r w:rsidRPr="009072DA">
        <w:rPr>
          <w:lang w:val="bg-BG"/>
        </w:rPr>
        <w:tab/>
        <w:t>10 % от долната граница на взривяемост (ДГВ) на пропановъздушната смес; и</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б)</w:t>
      </w:r>
      <w:r w:rsidRPr="009072DA">
        <w:rPr>
          <w:lang w:val="bg-BG"/>
        </w:rPr>
        <w:tab/>
        <w:t>30 ppm CO (въглероден моноксид).</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overflowPunct w:val="0"/>
        <w:adjustRightInd w:val="0"/>
        <w:ind w:left="709" w:hanging="709"/>
        <w:rPr>
          <w:rFonts w:cs="Arial"/>
          <w:szCs w:val="20"/>
          <w:lang w:val="bg-BG"/>
        </w:rPr>
      </w:pPr>
      <w:r w:rsidRPr="009072DA">
        <w:rPr>
          <w:lang w:val="bg-BG"/>
        </w:rPr>
        <w:t>3.1.2</w:t>
      </w:r>
      <w:r w:rsidRPr="009072DA">
        <w:rPr>
          <w:lang w:val="bg-BG"/>
        </w:rPr>
        <w:tab/>
        <w:t>Времето за задействане на алармения сигнал за цялата система трябва да не надхвърля 20 s.</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3.1.3</w:t>
      </w:r>
      <w:r w:rsidRPr="009072DA">
        <w:rPr>
          <w:lang w:val="bg-BG"/>
        </w:rPr>
        <w:tab/>
        <w:t>Не трябва да е възможно пределните стойности, споменати в точки 3.1.1 и 3.1.2, да се променят.</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lastRenderedPageBreak/>
        <w:t>3.1.4</w:t>
      </w:r>
      <w:r w:rsidRPr="009072DA">
        <w:rPr>
          <w:lang w:val="bg-BG"/>
        </w:rPr>
        <w:tab/>
        <w:t>Пускането на газ при изпитването се прави така, че да се открива всяко прекъсване или запушване. Всяко смущение поради проникване на въздух или загуба на изпитващ газ вследствие теч трябва да се избягва или открива и докладва.</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3.1.5</w:t>
      </w:r>
      <w:r w:rsidRPr="009072DA">
        <w:rPr>
          <w:lang w:val="bg-BG"/>
        </w:rPr>
        <w:tab/>
        <w:t>Оборудването трябва да е проектирано за температури, вариращи от -10 до +40 °C и влажност на въздуха, варираща от 20 до 100 %.</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3.1.6</w:t>
      </w:r>
      <w:r w:rsidRPr="009072DA">
        <w:rPr>
          <w:lang w:val="bg-BG"/>
        </w:rPr>
        <w:tab/>
        <w:t>Оборудването за сигнализиране на наличието на газ трябва самó да следи за своето състояние. Не трябва да е възможно неразрешеното изключване на оборудването.</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3.1.7</w:t>
      </w:r>
      <w:r w:rsidRPr="009072DA">
        <w:rPr>
          <w:lang w:val="bg-BG"/>
        </w:rPr>
        <w:tab/>
        <w:t>Оборудването за сигнализиране на наличието на газ, захранено от бордовата електрозахранваща мрежа, трябва да има буфер срещу спиране на електрозахранването. Уредите, захранвани от акумулатори, трябва да имат устройство, показващо спадането на напрежението на акумулаторите.</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br w:type="page"/>
      </w: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lastRenderedPageBreak/>
        <w:t>3.2</w:t>
      </w:r>
      <w:r w:rsidRPr="009072DA">
        <w:rPr>
          <w:lang w:val="bg-BG"/>
        </w:rPr>
        <w:tab/>
        <w:t>Изисквания, на които трябва да отговаря оборудването:</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3.2.1</w:t>
      </w:r>
      <w:r w:rsidRPr="009072DA">
        <w:rPr>
          <w:lang w:val="bg-BG"/>
        </w:rPr>
        <w:tab/>
        <w:t>Оборудването трябва да се състои от устройство за оценка и показване.</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3.2.2</w:t>
      </w:r>
      <w:r w:rsidRPr="009072DA">
        <w:rPr>
          <w:lang w:val="bg-BG"/>
        </w:rPr>
        <w:tab/>
        <w:t>Сигнализацията, показваща, че са достигнати или надхвърлени пределните стойности от точка 3.1.1, букви a) и б), се подава зрително или звуково както в наблюдаваното помещение, така и в рулевата рубка или на всяко друго място с постоянно присъствие на екипаж. Тя трябва да може да се вижда и чува ясно дори при условия на експлоатация с най-високо ниво на шума. Тя трябва ясно да се различава от всеки друг звуков или светлинен сигнал в защитеното помещение. Звуковата сигнализация трябва също да се чува ясно във входните пространства и в съседните помещения при затворени свързващи врати.</w:t>
      </w: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ab/>
        <w:t xml:space="preserve">Звуковата сигнализация може да се изключи след активирането, светлинната сигнализация може да спре, само ако пределните стойности спаднат под тези, посочени в (3.1.1). </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3.2.3</w:t>
      </w:r>
      <w:r w:rsidRPr="009072DA">
        <w:rPr>
          <w:lang w:val="bg-BG"/>
        </w:rPr>
        <w:tab/>
        <w:t xml:space="preserve">Трябва да е възможно поотделно да се открият и ясно да се определят съобщенията, показващи, че пределните стойности от точка 3.1.1, букви а) и б) са били достигнати или надхвърлени. </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3.2.4</w:t>
      </w:r>
      <w:r w:rsidRPr="009072DA">
        <w:rPr>
          <w:lang w:val="bg-BG"/>
        </w:rPr>
        <w:tab/>
        <w:t>Ако уредът е в специално състояние (стартиране, отказ, калибровка, настройка, поддържане и др.), това трябва да се показва. Отказът на цялата система или на един от елементите трябва да се указва със сигнал по аналогия на точка 3.2.2. Звуковата сигнализация може да се изключва след активиране, светлинната сигнализация може да бъде спряна, само ако проблемът е отстранен.</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3.2.5</w:t>
      </w:r>
      <w:r w:rsidRPr="009072DA">
        <w:rPr>
          <w:lang w:val="bg-BG"/>
        </w:rPr>
        <w:tab/>
        <w:t>Ако е възможно да се генерират различни съобщения (пределни стойности, специално състояние), също трябва да е възможно те да се разграничат поотделно и да се определят ясно. Ако е необходимо, може да се изобрази колективен сигнал, показващ, че не е възможно да бъдат показани всички съобщения. В този случай съобщенията трябва да се подреждат по приоритет, като се започне със съобщението с най-голямо значение за безопасността. Изобразяването на съобщенията, които не могат да бъдат показани, трябва да е възможно с натискането на бутон. Подреждането по приоритет трябва да е ясно от документацията на уреда.</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3.2.6</w:t>
      </w:r>
      <w:r w:rsidRPr="009072DA">
        <w:rPr>
          <w:lang w:val="bg-BG"/>
        </w:rPr>
        <w:tab/>
        <w:t>Оборудването трябва да е проектирано така, че да не е възможно неразрешено вмешателство.</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3.2.7</w:t>
      </w:r>
      <w:r w:rsidRPr="009072DA">
        <w:rPr>
          <w:lang w:val="bg-BG"/>
        </w:rPr>
        <w:tab/>
        <w:t xml:space="preserve">При всички случаи, когато се използва оборудване за откриване и известяване, блокът за управление на алармената сигнализация и устройството за показване трябва да </w:t>
      </w:r>
      <w:r w:rsidRPr="009072DA">
        <w:rPr>
          <w:lang w:val="bg-BG"/>
        </w:rPr>
        <w:lastRenderedPageBreak/>
        <w:t>могат да се обслужват извън местата, съдържащи складиран газ и уреди, които използват газ.</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3.3</w:t>
      </w:r>
      <w:r w:rsidRPr="009072DA">
        <w:rPr>
          <w:lang w:val="bg-BG"/>
        </w:rPr>
        <w:tab/>
        <w:t>Изисквания, на които трябва да отговарят датчиците/устройствата за вземане на проби:</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3.3.1</w:t>
      </w:r>
      <w:r w:rsidRPr="009072DA">
        <w:rPr>
          <w:lang w:val="bg-BG"/>
        </w:rPr>
        <w:tab/>
        <w:t>Във всяко помещение с уреди, използващи газ, датчиците на оборудването за сигнализиране на наличието на газ трябва да са разположени в близост до тези уреди. Датчиците/устройствата за вземане на проби се монтират по такъв начин, че натрупването на газ да се открива, преди да се достигнат пределните стойности, посочени в точка 3.1.1. Разположението и монтажът на датчиците трябва да са документирани. Изборът на местоположенията трябва да е обяснен от производителя или специализираното дружество, което монтира оборудването. Тръбите на устройствата за вземане на проби трябва да бъдат възможно най-къси.</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3.3.2</w:t>
      </w:r>
      <w:r w:rsidRPr="009072DA">
        <w:rPr>
          <w:lang w:val="bg-BG"/>
        </w:rPr>
        <w:tab/>
        <w:t>Датчиците трябва да са леснодостъпни за редовното им калибриране, поддържане и проверки за безопасност.</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3.4</w:t>
      </w:r>
      <w:r w:rsidRPr="009072DA">
        <w:rPr>
          <w:lang w:val="bg-BG"/>
        </w:rPr>
        <w:tab/>
        <w:t>Изисквания, на които трябва да отговаря съоръжението:</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3.4.1</w:t>
      </w:r>
      <w:r w:rsidRPr="009072DA">
        <w:rPr>
          <w:lang w:val="bg-BG"/>
        </w:rPr>
        <w:tab/>
        <w:t>Цялото оборудване за сигнализиране на наличието на газ се монтира от специализирана фирма.</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br w:type="page"/>
      </w: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lastRenderedPageBreak/>
        <w:t>3.4.2</w:t>
      </w:r>
      <w:r w:rsidRPr="009072DA">
        <w:rPr>
          <w:lang w:val="bg-BG"/>
        </w:rPr>
        <w:tab/>
        <w:t>Следните аспекти трябва да бъдат взети под внимание при монтажа:</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a)</w:t>
      </w:r>
      <w:r w:rsidRPr="009072DA">
        <w:rPr>
          <w:lang w:val="bg-BG"/>
        </w:rPr>
        <w:tab/>
        <w:t>локални вентилационни системи;</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б)</w:t>
      </w:r>
      <w:r w:rsidRPr="009072DA">
        <w:rPr>
          <w:lang w:val="bg-BG"/>
        </w:rPr>
        <w:tab/>
        <w:t>конструктивни решения (конструкция на стени, преградни стени и др.), които улесняват или затрудняват натрупването на газове; и</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в)</w:t>
      </w:r>
      <w:r w:rsidRPr="009072DA">
        <w:rPr>
          <w:lang w:val="bg-BG"/>
        </w:rPr>
        <w:tab/>
        <w:t>предотвратяване на вредното въздействие поради механична повреда, вода или топлина.</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3.4.3</w:t>
      </w:r>
      <w:r w:rsidRPr="009072DA">
        <w:rPr>
          <w:lang w:val="bg-BG"/>
        </w:rPr>
        <w:tab/>
        <w:t>Всички тръби на устройствата за вземане на проби трябва да са разположени така, че образуването на конденз да не е възможно.</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3.4.4</w:t>
      </w:r>
      <w:r w:rsidRPr="009072DA">
        <w:rPr>
          <w:lang w:val="bg-BG"/>
        </w:rPr>
        <w:tab/>
        <w:t>Монтажът трябва да е изпълнен по такъв начин, че да не е възможно никакво неразрешено вмешателство.</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4.</w:t>
      </w:r>
      <w:r w:rsidRPr="009072DA">
        <w:rPr>
          <w:lang w:val="bg-BG"/>
        </w:rPr>
        <w:tab/>
        <w:t>Калибриране и проверка на детекторите за сигнализиране на изтичането на газ, подмяна на елементи с ограничен срок на експлоатационна годност.</w:t>
      </w:r>
    </w:p>
    <w:p w:rsidR="004F47BB" w:rsidRPr="009072DA" w:rsidRDefault="004F47BB" w:rsidP="004F47BB">
      <w:pPr>
        <w:overflowPunct w:val="0"/>
        <w:adjustRightInd w:val="0"/>
        <w:spacing w:line="240" w:lineRule="atLeast"/>
        <w:rPr>
          <w:b/>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4.1</w:t>
      </w:r>
      <w:r w:rsidRPr="009072DA">
        <w:rPr>
          <w:lang w:val="bg-BG"/>
        </w:rPr>
        <w:tab/>
        <w:t xml:space="preserve">Детекторите за сигнализиране изтичането на газ се калибрират и проверяват от експерт или от компетентно лице в съответствие с изискванията на производителя: </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a)</w:t>
      </w:r>
      <w:r w:rsidRPr="009072DA">
        <w:rPr>
          <w:lang w:val="bg-BG"/>
        </w:rPr>
        <w:tab/>
        <w:t>преди първоначално пускане в експлоатация;</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б)</w:t>
      </w:r>
      <w:r w:rsidRPr="009072DA">
        <w:rPr>
          <w:lang w:val="bg-BG"/>
        </w:rPr>
        <w:tab/>
        <w:t>преди повторно пускане в експлоатация след всяко по-съществено изменение или ремонт;</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в)</w:t>
      </w:r>
      <w:r w:rsidRPr="009072DA">
        <w:rPr>
          <w:lang w:val="bg-BG"/>
        </w:rPr>
        <w:tab/>
        <w:t>редовно.</w:t>
      </w:r>
    </w:p>
    <w:p w:rsidR="004F47BB" w:rsidRPr="009072DA" w:rsidRDefault="004F47BB" w:rsidP="004F47BB">
      <w:pPr>
        <w:tabs>
          <w:tab w:val="left" w:pos="1134"/>
        </w:tabs>
        <w:overflowPunct w:val="0"/>
        <w:adjustRightInd w:val="0"/>
        <w:spacing w:before="60" w:line="240" w:lineRule="atLeast"/>
        <w:ind w:left="709"/>
        <w:rPr>
          <w:snapToGrid w:val="0"/>
          <w:lang w:val="bg-BG"/>
        </w:rPr>
      </w:pPr>
      <w:r w:rsidRPr="009072DA">
        <w:rPr>
          <w:lang w:val="bg-BG"/>
        </w:rPr>
        <w:t>За калибрирането и проверката се издава сертификат, подписан от експерта или компетентното лице, като се посочва датата на проверката.</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4.2</w:t>
      </w:r>
      <w:r w:rsidRPr="009072DA">
        <w:rPr>
          <w:lang w:val="bg-BG"/>
        </w:rPr>
        <w:tab/>
        <w:t>Частите от оборудването за сигнализиране на наличието на газ, които имат ограничен срок на експлоатационна годност, се подменят своевременно преди изтичането на този срок.</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5</w:t>
      </w:r>
      <w:r w:rsidRPr="009072DA">
        <w:rPr>
          <w:lang w:val="bg-BG"/>
        </w:rPr>
        <w:tab/>
        <w:t>Обозначаване</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5.1</w:t>
      </w:r>
      <w:r w:rsidRPr="009072DA">
        <w:rPr>
          <w:lang w:val="bg-BG"/>
        </w:rPr>
        <w:tab/>
        <w:t>Всички уреди трябва да показват най-малко следната информация в ясно четлива и незаличима форма:</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a)</w:t>
      </w:r>
      <w:r w:rsidRPr="009072DA">
        <w:rPr>
          <w:lang w:val="bg-BG"/>
        </w:rPr>
        <w:tab/>
        <w:t>името и адреса на производителя,</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б)</w:t>
      </w:r>
      <w:r w:rsidRPr="009072DA">
        <w:rPr>
          <w:lang w:val="bg-BG"/>
        </w:rPr>
        <w:tab/>
        <w:t>маркировката според нормативната уредба;</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lastRenderedPageBreak/>
        <w:t>в)</w:t>
      </w:r>
      <w:r w:rsidRPr="009072DA">
        <w:rPr>
          <w:lang w:val="bg-BG"/>
        </w:rPr>
        <w:tab/>
        <w:t>означение на серията и типа,</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г)</w:t>
      </w:r>
      <w:r w:rsidRPr="009072DA">
        <w:rPr>
          <w:lang w:val="bg-BG"/>
        </w:rPr>
        <w:tab/>
        <w:t>ако е възможно, сериен номер,</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д)</w:t>
      </w:r>
      <w:r w:rsidRPr="009072DA">
        <w:rPr>
          <w:lang w:val="bg-BG"/>
        </w:rPr>
        <w:tab/>
        <w:t>ако се изисква, съвети, необходими за безопасното използване; и</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е)</w:t>
      </w:r>
      <w:r w:rsidRPr="009072DA">
        <w:rPr>
          <w:lang w:val="bg-BG"/>
        </w:rPr>
        <w:tab/>
        <w:t>за всеки датчик — означение на калибриращия газ.</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t>5.2</w:t>
      </w:r>
      <w:r w:rsidRPr="009072DA">
        <w:rPr>
          <w:lang w:val="bg-BG"/>
        </w:rPr>
        <w:tab/>
        <w:t>Елементите с ограничена по-малка продължителност на живот от оборудването за сигнализиране на наличието на газ трябва ясно да са маркирани като такива.</w:t>
      </w:r>
    </w:p>
    <w:p w:rsidR="004F47BB" w:rsidRPr="009072DA" w:rsidRDefault="004F47BB" w:rsidP="004F47BB">
      <w:pPr>
        <w:tabs>
          <w:tab w:val="left" w:pos="709"/>
        </w:tabs>
        <w:overflowPunct w:val="0"/>
        <w:adjustRightInd w:val="0"/>
        <w:spacing w:line="240" w:lineRule="atLeast"/>
        <w:ind w:left="709" w:hanging="709"/>
        <w:rPr>
          <w:snapToGrid w:val="0"/>
          <w:lang w:val="bg-BG"/>
        </w:rPr>
      </w:pP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br w:type="page"/>
      </w:r>
    </w:p>
    <w:p w:rsidR="004F47BB" w:rsidRPr="009072DA" w:rsidRDefault="004F47BB" w:rsidP="004F47BB">
      <w:pPr>
        <w:tabs>
          <w:tab w:val="left" w:pos="709"/>
        </w:tabs>
        <w:overflowPunct w:val="0"/>
        <w:adjustRightInd w:val="0"/>
        <w:spacing w:line="240" w:lineRule="atLeast"/>
        <w:ind w:left="709" w:hanging="709"/>
        <w:rPr>
          <w:snapToGrid w:val="0"/>
          <w:lang w:val="bg-BG"/>
        </w:rPr>
      </w:pPr>
      <w:r w:rsidRPr="009072DA">
        <w:rPr>
          <w:lang w:val="bg-BG"/>
        </w:rPr>
        <w:lastRenderedPageBreak/>
        <w:t>6.</w:t>
      </w:r>
      <w:r w:rsidRPr="009072DA">
        <w:rPr>
          <w:lang w:val="bg-BG"/>
        </w:rPr>
        <w:tab/>
        <w:t>Данни на производителя, свързани с оборудването за сигнализиране на наличието на газ:</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a)</w:t>
      </w:r>
      <w:r w:rsidRPr="009072DA">
        <w:rPr>
          <w:lang w:val="bg-BG"/>
        </w:rPr>
        <w:tab/>
        <w:t>пълни инструкции, чертежи и схеми, отнасящи се до безопасната и правилна експлоатация, както и монтажа, пускането и поддържането на оборудването за сигнализиране на наличието на газ;</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б)</w:t>
      </w:r>
      <w:r w:rsidRPr="009072DA">
        <w:rPr>
          <w:lang w:val="bg-BG"/>
        </w:rPr>
        <w:tab/>
        <w:t>инструкции за експлоатация, съдържащи най-малко:</w:t>
      </w:r>
    </w:p>
    <w:p w:rsidR="004F47BB" w:rsidRPr="009072DA" w:rsidRDefault="004F47BB" w:rsidP="004F47BB">
      <w:pPr>
        <w:tabs>
          <w:tab w:val="left" w:pos="1134"/>
        </w:tabs>
        <w:overflowPunct w:val="0"/>
        <w:adjustRightInd w:val="0"/>
        <w:spacing w:before="60" w:line="240" w:lineRule="atLeast"/>
        <w:ind w:left="1559"/>
        <w:rPr>
          <w:snapToGrid w:val="0"/>
          <w:lang w:val="bg-BG"/>
        </w:rPr>
      </w:pPr>
      <w:r w:rsidRPr="009072DA">
        <w:rPr>
          <w:lang w:val="bg-BG"/>
        </w:rPr>
        <w:t>aa)</w:t>
      </w:r>
      <w:r w:rsidRPr="009072DA">
        <w:rPr>
          <w:lang w:val="bg-BG"/>
        </w:rPr>
        <w:tab/>
        <w:t>мерки, които да се вземат в случай на алармен сигнал или показание за грешка;</w:t>
      </w:r>
    </w:p>
    <w:p w:rsidR="004F47BB" w:rsidRPr="009072DA" w:rsidRDefault="004F47BB" w:rsidP="004F47BB">
      <w:pPr>
        <w:tabs>
          <w:tab w:val="left" w:pos="1134"/>
        </w:tabs>
        <w:overflowPunct w:val="0"/>
        <w:adjustRightInd w:val="0"/>
        <w:spacing w:before="60" w:line="240" w:lineRule="atLeast"/>
        <w:ind w:left="1559"/>
        <w:rPr>
          <w:snapToGrid w:val="0"/>
          <w:lang w:val="bg-BG"/>
        </w:rPr>
      </w:pPr>
      <w:r w:rsidRPr="009072DA">
        <w:rPr>
          <w:lang w:val="bg-BG"/>
        </w:rPr>
        <w:t>бб)</w:t>
      </w:r>
      <w:r w:rsidRPr="009072DA">
        <w:rPr>
          <w:lang w:val="bg-BG"/>
        </w:rPr>
        <w:tab/>
        <w:t>мерки за безопасност, в случай на неналичност (напр. калибриране, проверка, прекъсване); и</w:t>
      </w:r>
    </w:p>
    <w:p w:rsidR="004F47BB" w:rsidRPr="009072DA" w:rsidRDefault="004F47BB" w:rsidP="004F47BB">
      <w:pPr>
        <w:tabs>
          <w:tab w:val="left" w:pos="1134"/>
        </w:tabs>
        <w:overflowPunct w:val="0"/>
        <w:adjustRightInd w:val="0"/>
        <w:spacing w:before="60" w:line="240" w:lineRule="atLeast"/>
        <w:ind w:left="1559"/>
        <w:rPr>
          <w:snapToGrid w:val="0"/>
          <w:lang w:val="bg-BG"/>
        </w:rPr>
      </w:pPr>
      <w:r w:rsidRPr="009072DA">
        <w:rPr>
          <w:lang w:val="bg-BG"/>
        </w:rPr>
        <w:t>вв)</w:t>
      </w:r>
      <w:r w:rsidRPr="009072DA">
        <w:rPr>
          <w:lang w:val="bg-BG"/>
        </w:rPr>
        <w:tab/>
        <w:t>лица, отговорни за монтажа и поддържането,</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в)</w:t>
      </w:r>
      <w:r w:rsidRPr="009072DA">
        <w:rPr>
          <w:lang w:val="bg-BG"/>
        </w:rPr>
        <w:tab/>
        <w:t>инструкции за калибриране преди пускане и за редовно калибриране, включително интервалите от време, които да бъдат спазвани,</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г)</w:t>
      </w:r>
      <w:r w:rsidRPr="009072DA">
        <w:rPr>
          <w:lang w:val="bg-BG"/>
        </w:rPr>
        <w:tab/>
        <w:t>захранващо напрежение,</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д)</w:t>
      </w:r>
      <w:r w:rsidRPr="009072DA">
        <w:rPr>
          <w:lang w:val="bg-BG"/>
        </w:rPr>
        <w:tab/>
        <w:t>вид и значение на алармените сигнали и показанията на дисплея (напр. специално състояние),</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е)</w:t>
      </w:r>
      <w:r w:rsidRPr="009072DA">
        <w:rPr>
          <w:lang w:val="bg-BG"/>
        </w:rPr>
        <w:tab/>
        <w:t>информация относно откриването на експлоатационни проблеми и отстраняването на неизправности,</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ж)</w:t>
      </w:r>
      <w:r w:rsidRPr="009072DA">
        <w:rPr>
          <w:lang w:val="bg-BG"/>
        </w:rPr>
        <w:tab/>
        <w:t>вид и обхват на подмяната на компоненти с ограничен експлоатационен срок, и</w:t>
      </w:r>
    </w:p>
    <w:p w:rsidR="004F47BB" w:rsidRPr="009072DA" w:rsidRDefault="004F47BB" w:rsidP="004F47BB">
      <w:pPr>
        <w:tabs>
          <w:tab w:val="left" w:pos="1134"/>
        </w:tabs>
        <w:overflowPunct w:val="0"/>
        <w:adjustRightInd w:val="0"/>
        <w:spacing w:before="60" w:line="240" w:lineRule="atLeast"/>
        <w:ind w:left="1134"/>
        <w:rPr>
          <w:snapToGrid w:val="0"/>
          <w:lang w:val="bg-BG"/>
        </w:rPr>
      </w:pPr>
      <w:r w:rsidRPr="009072DA">
        <w:rPr>
          <w:lang w:val="bg-BG"/>
        </w:rPr>
        <w:t>з)</w:t>
      </w:r>
      <w:r w:rsidRPr="009072DA">
        <w:rPr>
          <w:lang w:val="bg-BG"/>
        </w:rPr>
        <w:tab/>
        <w:t>вид, обхват и периодичност на проверките.</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sectPr w:rsidR="004F47BB" w:rsidRPr="009072DA" w:rsidSect="00D45887">
          <w:footnotePr>
            <w:numRestart w:val="eachPage"/>
          </w:footnotePr>
          <w:pgSz w:w="11907" w:h="16840" w:code="9"/>
          <w:pgMar w:top="1418" w:right="1418" w:bottom="1418" w:left="1418" w:header="680" w:footer="680" w:gutter="0"/>
          <w:cols w:space="720"/>
          <w:docGrid w:linePitch="326"/>
        </w:sectPr>
      </w:pPr>
    </w:p>
    <w:p w:rsidR="004F47BB" w:rsidRPr="009072DA" w:rsidRDefault="004F47BB" w:rsidP="00330FC4">
      <w:pPr>
        <w:pStyle w:val="ES-Titre2ESI"/>
        <w:rPr>
          <w:szCs w:val="20"/>
        </w:rPr>
      </w:pPr>
      <w:bookmarkStart w:id="772" w:name="_Toc491854369"/>
      <w:bookmarkStart w:id="773" w:name="_Toc535827810"/>
      <w:r w:rsidRPr="009072DA">
        <w:lastRenderedPageBreak/>
        <w:t>ESI-III-6</w:t>
      </w:r>
      <w:r w:rsidRPr="009072DA">
        <w:br/>
        <w:t>Свързващи системи и устройства за плавателни средства, годни да задвижват или да бъдат задвижвани в твърдо свързана съвкупност</w:t>
      </w:r>
      <w:bookmarkEnd w:id="772"/>
      <w:bookmarkEnd w:id="773"/>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jc w:val="center"/>
        <w:textAlignment w:val="baseline"/>
        <w:rPr>
          <w:b/>
          <w:szCs w:val="20"/>
          <w:lang w:val="bg-BG"/>
        </w:rPr>
      </w:pPr>
      <w:r w:rsidRPr="009072DA">
        <w:rPr>
          <w:b/>
          <w:lang w:val="bg-BG"/>
        </w:rPr>
        <w:t>(членове 21.01, 21.02, 21.06, 21.07)</w:t>
      </w:r>
    </w:p>
    <w:p w:rsidR="004F47BB" w:rsidRPr="009072DA" w:rsidRDefault="004F47BB" w:rsidP="004F47BB">
      <w:pPr>
        <w:overflowPunct w:val="0"/>
        <w:adjustRightInd w:val="0"/>
        <w:jc w:val="center"/>
        <w:textAlignment w:val="baseline"/>
        <w:rPr>
          <w:szCs w:val="20"/>
          <w:lang w:val="bg-BG"/>
        </w:rPr>
      </w:pPr>
    </w:p>
    <w:p w:rsidR="004F47BB" w:rsidRPr="009072DA" w:rsidRDefault="004F47BB" w:rsidP="004F47BB">
      <w:pPr>
        <w:overflowPunct w:val="0"/>
        <w:adjustRightInd w:val="0"/>
        <w:textAlignment w:val="baseline"/>
        <w:rPr>
          <w:szCs w:val="20"/>
          <w:lang w:val="bg-BG"/>
        </w:rPr>
      </w:pPr>
      <w:r w:rsidRPr="009072DA">
        <w:rPr>
          <w:lang w:val="bg-BG"/>
        </w:rPr>
        <w:t>В допълнение към изискванията от глава 21 се спазват и съответните разпоредби от действащите нормативни уредби на органите по корабоплаване в държавите членки.</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tabs>
          <w:tab w:val="left" w:pos="709"/>
        </w:tabs>
        <w:overflowPunct w:val="0"/>
        <w:adjustRightInd w:val="0"/>
        <w:ind w:left="709" w:hanging="709"/>
        <w:textAlignment w:val="baseline"/>
        <w:rPr>
          <w:b/>
          <w:szCs w:val="20"/>
          <w:lang w:val="bg-BG"/>
        </w:rPr>
      </w:pPr>
      <w:r w:rsidRPr="009072DA">
        <w:rPr>
          <w:b/>
          <w:lang w:val="bg-BG"/>
        </w:rPr>
        <w:t>1.</w:t>
      </w:r>
      <w:r w:rsidRPr="009072DA">
        <w:rPr>
          <w:lang w:val="bg-BG"/>
        </w:rPr>
        <w:tab/>
      </w:r>
      <w:r w:rsidRPr="009072DA">
        <w:rPr>
          <w:b/>
          <w:lang w:val="bg-BG"/>
        </w:rPr>
        <w:t>Общи изисквания</w:t>
      </w:r>
    </w:p>
    <w:p w:rsidR="004F47BB" w:rsidRPr="009072DA" w:rsidRDefault="004F47BB" w:rsidP="004F47BB">
      <w:pPr>
        <w:tabs>
          <w:tab w:val="left" w:pos="709"/>
        </w:tabs>
        <w:overflowPunct w:val="0"/>
        <w:adjustRightInd w:val="0"/>
        <w:ind w:left="709" w:hanging="709"/>
        <w:textAlignment w:val="baseline"/>
        <w:rPr>
          <w:szCs w:val="20"/>
          <w:lang w:val="bg-BG"/>
        </w:rPr>
      </w:pPr>
    </w:p>
    <w:p w:rsidR="004F47BB" w:rsidRPr="009072DA" w:rsidRDefault="004F47BB" w:rsidP="004F47BB">
      <w:pPr>
        <w:tabs>
          <w:tab w:val="left" w:pos="709"/>
        </w:tabs>
        <w:overflowPunct w:val="0"/>
        <w:adjustRightInd w:val="0"/>
        <w:ind w:left="709" w:hanging="709"/>
        <w:textAlignment w:val="baseline"/>
        <w:rPr>
          <w:szCs w:val="20"/>
          <w:lang w:val="bg-BG"/>
        </w:rPr>
      </w:pPr>
      <w:r w:rsidRPr="009072DA">
        <w:rPr>
          <w:lang w:val="bg-BG"/>
        </w:rPr>
        <w:t>1.1</w:t>
      </w:r>
      <w:r w:rsidRPr="009072DA">
        <w:rPr>
          <w:lang w:val="bg-BG"/>
        </w:rPr>
        <w:tab/>
        <w:t>Всяка свързваща система трябва да гарантира твърдото свързване на всички плавателни средства от състава, т.е. при предвидими експлоатационни условия свързващото устройство да не позволява надлъжно или напречно движение между съдовете, така че съвкупността да може да се разглежда като „плавателна единица“.</w:t>
      </w:r>
    </w:p>
    <w:p w:rsidR="004F47BB" w:rsidRPr="009072DA" w:rsidRDefault="004F47BB" w:rsidP="004F47BB">
      <w:pPr>
        <w:tabs>
          <w:tab w:val="left" w:pos="709"/>
        </w:tabs>
        <w:overflowPunct w:val="0"/>
        <w:adjustRightInd w:val="0"/>
        <w:ind w:left="709" w:hanging="709"/>
        <w:textAlignment w:val="baseline"/>
        <w:rPr>
          <w:szCs w:val="20"/>
          <w:lang w:val="bg-BG"/>
        </w:rPr>
      </w:pPr>
    </w:p>
    <w:p w:rsidR="004F47BB" w:rsidRPr="009072DA" w:rsidRDefault="004F47BB" w:rsidP="004F47BB">
      <w:pPr>
        <w:tabs>
          <w:tab w:val="left" w:pos="709"/>
        </w:tabs>
        <w:overflowPunct w:val="0"/>
        <w:adjustRightInd w:val="0"/>
        <w:ind w:left="709" w:hanging="709"/>
        <w:textAlignment w:val="baseline"/>
        <w:rPr>
          <w:szCs w:val="20"/>
          <w:lang w:val="bg-BG"/>
        </w:rPr>
      </w:pPr>
      <w:r w:rsidRPr="009072DA">
        <w:rPr>
          <w:lang w:val="bg-BG"/>
        </w:rPr>
        <w:t>1.2</w:t>
      </w:r>
      <w:r w:rsidRPr="009072DA">
        <w:rPr>
          <w:lang w:val="bg-BG"/>
        </w:rPr>
        <w:tab/>
        <w:t>Свързващата система и нейните компоненти трябва да са безопасни и лесни за използване и да позволяват плавателното средство да бъде свързано бързо, без да се застрашава персоналът.</w:t>
      </w:r>
    </w:p>
    <w:p w:rsidR="004F47BB" w:rsidRPr="009072DA" w:rsidRDefault="004F47BB" w:rsidP="004F47BB">
      <w:pPr>
        <w:tabs>
          <w:tab w:val="left" w:pos="709"/>
        </w:tabs>
        <w:overflowPunct w:val="0"/>
        <w:adjustRightInd w:val="0"/>
        <w:ind w:left="709" w:hanging="709"/>
        <w:textAlignment w:val="baseline"/>
        <w:rPr>
          <w:szCs w:val="20"/>
          <w:lang w:val="bg-BG"/>
        </w:rPr>
      </w:pPr>
    </w:p>
    <w:p w:rsidR="004F47BB" w:rsidRPr="009072DA" w:rsidRDefault="004F47BB" w:rsidP="004F47BB">
      <w:pPr>
        <w:tabs>
          <w:tab w:val="left" w:pos="709"/>
        </w:tabs>
        <w:overflowPunct w:val="0"/>
        <w:adjustRightInd w:val="0"/>
        <w:ind w:left="709" w:hanging="709"/>
        <w:textAlignment w:val="baseline"/>
        <w:rPr>
          <w:szCs w:val="20"/>
          <w:lang w:val="bg-BG"/>
        </w:rPr>
      </w:pPr>
      <w:r w:rsidRPr="009072DA">
        <w:rPr>
          <w:lang w:val="bg-BG"/>
        </w:rPr>
        <w:t>1.3</w:t>
      </w:r>
      <w:r w:rsidRPr="009072DA">
        <w:rPr>
          <w:lang w:val="bg-BG"/>
        </w:rPr>
        <w:tab/>
        <w:t>Породените сили при предвидими експлоатационни условия трябва да бъдат правилно абсорбирани и предадени безопасно на конструкцията на съда от свързващата система и нейните компоненти.</w:t>
      </w:r>
    </w:p>
    <w:p w:rsidR="004F47BB" w:rsidRPr="009072DA" w:rsidRDefault="004F47BB" w:rsidP="004F47BB">
      <w:pPr>
        <w:tabs>
          <w:tab w:val="left" w:pos="709"/>
        </w:tabs>
        <w:overflowPunct w:val="0"/>
        <w:adjustRightInd w:val="0"/>
        <w:ind w:left="709" w:hanging="709"/>
        <w:textAlignment w:val="baseline"/>
        <w:rPr>
          <w:szCs w:val="20"/>
          <w:lang w:val="bg-BG"/>
        </w:rPr>
      </w:pPr>
    </w:p>
    <w:p w:rsidR="004F47BB" w:rsidRPr="009072DA" w:rsidRDefault="004F47BB" w:rsidP="004F47BB">
      <w:pPr>
        <w:tabs>
          <w:tab w:val="left" w:pos="709"/>
        </w:tabs>
        <w:overflowPunct w:val="0"/>
        <w:adjustRightInd w:val="0"/>
        <w:ind w:left="709" w:hanging="709"/>
        <w:textAlignment w:val="baseline"/>
        <w:rPr>
          <w:szCs w:val="20"/>
          <w:lang w:val="bg-BG"/>
        </w:rPr>
      </w:pPr>
      <w:r w:rsidRPr="009072DA">
        <w:rPr>
          <w:lang w:val="bg-BG"/>
        </w:rPr>
        <w:t>1.4</w:t>
      </w:r>
      <w:r w:rsidRPr="009072DA">
        <w:rPr>
          <w:lang w:val="bg-BG"/>
        </w:rPr>
        <w:tab/>
        <w:t>Трябва да е осигурен достатъчен брой съединителни точки.</w:t>
      </w:r>
    </w:p>
    <w:p w:rsidR="004F47BB" w:rsidRPr="009072DA" w:rsidRDefault="004F47BB" w:rsidP="004F47BB">
      <w:pPr>
        <w:tabs>
          <w:tab w:val="left" w:pos="709"/>
        </w:tabs>
        <w:overflowPunct w:val="0"/>
        <w:adjustRightInd w:val="0"/>
        <w:ind w:left="709" w:hanging="709"/>
        <w:textAlignment w:val="baseline"/>
        <w:rPr>
          <w:szCs w:val="20"/>
          <w:lang w:val="bg-BG"/>
        </w:rPr>
      </w:pPr>
    </w:p>
    <w:p w:rsidR="004F47BB" w:rsidRPr="009072DA" w:rsidRDefault="004F47BB" w:rsidP="004F47BB">
      <w:pPr>
        <w:tabs>
          <w:tab w:val="left" w:pos="709"/>
        </w:tabs>
        <w:overflowPunct w:val="0"/>
        <w:adjustRightInd w:val="0"/>
        <w:ind w:left="709" w:hanging="709"/>
        <w:textAlignment w:val="baseline"/>
        <w:rPr>
          <w:b/>
          <w:szCs w:val="20"/>
          <w:lang w:val="bg-BG"/>
        </w:rPr>
      </w:pPr>
      <w:r w:rsidRPr="009072DA">
        <w:rPr>
          <w:b/>
          <w:lang w:val="bg-BG"/>
        </w:rPr>
        <w:t>2.</w:t>
      </w:r>
      <w:r w:rsidRPr="009072DA">
        <w:rPr>
          <w:lang w:val="bg-BG"/>
        </w:rPr>
        <w:tab/>
      </w:r>
      <w:r w:rsidRPr="009072DA">
        <w:rPr>
          <w:b/>
          <w:lang w:val="bg-BG"/>
        </w:rPr>
        <w:t>Сили на свързване и оразмеряване на свързващите устройства</w:t>
      </w:r>
    </w:p>
    <w:p w:rsidR="004F47BB" w:rsidRPr="009072DA" w:rsidRDefault="004F47BB" w:rsidP="004F47BB">
      <w:pPr>
        <w:tabs>
          <w:tab w:val="left" w:pos="709"/>
        </w:tabs>
        <w:overflowPunct w:val="0"/>
        <w:adjustRightInd w:val="0"/>
        <w:ind w:left="709" w:hanging="709"/>
        <w:textAlignment w:val="baseline"/>
        <w:rPr>
          <w:szCs w:val="20"/>
          <w:lang w:val="bg-BG"/>
        </w:rPr>
      </w:pPr>
    </w:p>
    <w:p w:rsidR="004F47BB" w:rsidRPr="009072DA" w:rsidRDefault="004F47BB" w:rsidP="004F47BB">
      <w:pPr>
        <w:tabs>
          <w:tab w:val="left" w:pos="709"/>
        </w:tabs>
        <w:overflowPunct w:val="0"/>
        <w:adjustRightInd w:val="0"/>
        <w:ind w:left="709" w:hanging="709"/>
        <w:textAlignment w:val="baseline"/>
        <w:rPr>
          <w:szCs w:val="20"/>
          <w:lang w:val="bg-BG"/>
        </w:rPr>
      </w:pPr>
      <w:r w:rsidRPr="009072DA">
        <w:rPr>
          <w:lang w:val="bg-BG"/>
        </w:rPr>
        <w:tab/>
        <w:t>Свързващите устройства на съставите и формированията от съдове, които се разрешават, трябва да са оразмерени така, че да гарантират достатъчни нива на безопасност. Това условие се счита за изпълнено, ако за силите на свързване, определени съгласно точка 2.1, 2.2 или 2.3, се приеме, че са якостта на опън за оразмеряване на надлъжните съединителни компоненти.</w:t>
      </w:r>
    </w:p>
    <w:p w:rsidR="004F47BB" w:rsidRPr="009072DA" w:rsidRDefault="004F47BB" w:rsidP="004F47BB">
      <w:pPr>
        <w:tabs>
          <w:tab w:val="left" w:pos="709"/>
        </w:tabs>
        <w:overflowPunct w:val="0"/>
        <w:adjustRightInd w:val="0"/>
        <w:ind w:left="709" w:hanging="709"/>
        <w:textAlignment w:val="baseline"/>
        <w:rPr>
          <w:szCs w:val="20"/>
          <w:lang w:val="bg-BG"/>
        </w:rPr>
      </w:pPr>
    </w:p>
    <w:p w:rsidR="004F47BB" w:rsidRPr="009072DA" w:rsidRDefault="004F47BB" w:rsidP="004F47BB">
      <w:pPr>
        <w:tabs>
          <w:tab w:val="left" w:pos="709"/>
        </w:tabs>
        <w:overflowPunct w:val="0"/>
        <w:adjustRightInd w:val="0"/>
        <w:ind w:left="709" w:hanging="709"/>
        <w:textAlignment w:val="baseline"/>
        <w:rPr>
          <w:szCs w:val="20"/>
          <w:lang w:val="bg-BG"/>
        </w:rPr>
      </w:pPr>
      <w:r w:rsidRPr="009072DA">
        <w:rPr>
          <w:lang w:val="bg-BG"/>
        </w:rPr>
        <w:t>2.1</w:t>
      </w:r>
      <w:r w:rsidRPr="009072DA">
        <w:rPr>
          <w:lang w:val="bg-BG"/>
        </w:rPr>
        <w:tab/>
        <w:t>Съединителни точки между тласкач и тласкани лихтери или други плавателни средства:</w:t>
      </w:r>
    </w:p>
    <w:p w:rsidR="004F47BB" w:rsidRPr="009072DA" w:rsidRDefault="004F47BB" w:rsidP="004F47BB">
      <w:pPr>
        <w:tabs>
          <w:tab w:val="left" w:pos="709"/>
        </w:tabs>
        <w:overflowPunct w:val="0"/>
        <w:adjustRightInd w:val="0"/>
        <w:ind w:left="709" w:hanging="709"/>
        <w:textAlignment w:val="baseline"/>
        <w:rPr>
          <w:szCs w:val="20"/>
          <w:lang w:val="bg-BG"/>
        </w:rPr>
      </w:pPr>
    </w:p>
    <w:p w:rsidR="004F47BB" w:rsidRPr="009072DA" w:rsidRDefault="002B712C" w:rsidP="004F47BB">
      <w:pPr>
        <w:tabs>
          <w:tab w:val="left" w:pos="709"/>
        </w:tabs>
        <w:overflowPunct w:val="0"/>
        <w:adjustRightInd w:val="0"/>
        <w:ind w:left="709" w:hanging="709"/>
        <w:textAlignment w:val="baseline"/>
        <w:rPr>
          <w:szCs w:val="20"/>
          <w:lang w:val="bg-BG"/>
        </w:rPr>
      </w:pPr>
      <m:oMathPara>
        <m:oMath>
          <m:sSub>
            <m:sSubPr>
              <m:ctrlPr>
                <w:rPr>
                  <w:rFonts w:ascii="Cambria Math" w:hAnsi="Cambria Math"/>
                  <w:i/>
                  <w:szCs w:val="20"/>
                  <w:lang w:val="bg-BG"/>
                </w:rPr>
              </m:ctrlPr>
            </m:sSubPr>
            <m:e>
              <m:r>
                <w:rPr>
                  <w:rFonts w:ascii="Cambria Math" w:hAnsi="Cambria Math"/>
                  <w:szCs w:val="20"/>
                  <w:lang w:val="bg-BG"/>
                </w:rPr>
                <m:t>F</m:t>
              </m:r>
            </m:e>
            <m:sub>
              <m:r>
                <w:rPr>
                  <w:rFonts w:ascii="Cambria Math" w:hAnsi="Cambria Math"/>
                  <w:szCs w:val="20"/>
                  <w:lang w:val="bg-BG"/>
                </w:rPr>
                <m:t>SB</m:t>
              </m:r>
            </m:sub>
          </m:sSub>
          <m:r>
            <w:rPr>
              <w:rFonts w:ascii="Cambria Math" w:hAnsi="Cambria Math"/>
              <w:szCs w:val="20"/>
              <w:lang w:val="bg-BG"/>
            </w:rPr>
            <m:t xml:space="preserve">=270∙ </m:t>
          </m:r>
          <m:sSub>
            <m:sSubPr>
              <m:ctrlPr>
                <w:rPr>
                  <w:rFonts w:ascii="Cambria Math" w:hAnsi="Cambria Math"/>
                  <w:i/>
                  <w:szCs w:val="20"/>
                  <w:lang w:val="bg-BG"/>
                </w:rPr>
              </m:ctrlPr>
            </m:sSubPr>
            <m:e>
              <m:r>
                <w:rPr>
                  <w:rFonts w:ascii="Cambria Math" w:hAnsi="Cambria Math"/>
                  <w:szCs w:val="20"/>
                  <w:lang w:val="bg-BG"/>
                </w:rPr>
                <m:t>P</m:t>
              </m:r>
            </m:e>
            <m:sub>
              <m:r>
                <w:rPr>
                  <w:rFonts w:ascii="Cambria Math" w:hAnsi="Cambria Math"/>
                  <w:szCs w:val="20"/>
                  <w:lang w:val="bg-BG"/>
                </w:rPr>
                <m:t>B</m:t>
              </m:r>
            </m:sub>
          </m:sSub>
          <m:r>
            <w:rPr>
              <w:rFonts w:ascii="Cambria Math" w:hAnsi="Cambria Math"/>
              <w:szCs w:val="20"/>
              <w:lang w:val="bg-BG"/>
            </w:rPr>
            <m:t xml:space="preserve"> ∙ </m:t>
          </m:r>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L</m:t>
                  </m:r>
                </m:e>
                <m:sub>
                  <m:r>
                    <w:rPr>
                      <w:rFonts w:ascii="Cambria Math" w:hAnsi="Cambria Math"/>
                      <w:szCs w:val="20"/>
                      <w:lang w:val="bg-BG"/>
                    </w:rPr>
                    <m:t>S</m:t>
                  </m:r>
                </m:sub>
              </m:sSub>
            </m:num>
            <m:den>
              <m:sSub>
                <m:sSubPr>
                  <m:ctrlPr>
                    <w:rPr>
                      <w:rFonts w:ascii="Cambria Math" w:hAnsi="Cambria Math"/>
                      <w:i/>
                      <w:szCs w:val="20"/>
                      <w:lang w:val="bg-BG"/>
                    </w:rPr>
                  </m:ctrlPr>
                </m:sSubPr>
                <m:e>
                  <m:r>
                    <w:rPr>
                      <w:rFonts w:ascii="Cambria Math" w:hAnsi="Cambria Math"/>
                      <w:szCs w:val="20"/>
                      <w:lang w:val="bg-BG"/>
                    </w:rPr>
                    <m:t>B</m:t>
                  </m:r>
                </m:e>
                <m:sub>
                  <m:r>
                    <w:rPr>
                      <w:rFonts w:ascii="Cambria Math" w:hAnsi="Cambria Math"/>
                      <w:szCs w:val="20"/>
                      <w:lang w:val="bg-BG"/>
                    </w:rPr>
                    <m:t>S</m:t>
                  </m:r>
                </m:sub>
              </m:sSub>
            </m:den>
          </m:f>
          <m:r>
            <w:rPr>
              <w:rFonts w:ascii="Cambria Math" w:hAnsi="Cambria Math"/>
              <w:szCs w:val="20"/>
              <w:lang w:val="bg-BG"/>
            </w:rPr>
            <m:t xml:space="preserve"> ∙ </m:t>
          </m:r>
          <m:sSup>
            <m:sSupPr>
              <m:ctrlPr>
                <w:rPr>
                  <w:rFonts w:ascii="Cambria Math" w:hAnsi="Cambria Math"/>
                  <w:i/>
                  <w:szCs w:val="20"/>
                  <w:lang w:val="bg-BG"/>
                </w:rPr>
              </m:ctrlPr>
            </m:sSupPr>
            <m:e>
              <m:r>
                <w:rPr>
                  <w:rFonts w:ascii="Cambria Math" w:hAnsi="Cambria Math"/>
                  <w:szCs w:val="20"/>
                  <w:lang w:val="bg-BG"/>
                </w:rPr>
                <m:t>10</m:t>
              </m:r>
            </m:e>
            <m:sup>
              <m:r>
                <w:rPr>
                  <w:rFonts w:ascii="Cambria Math" w:hAnsi="Cambria Math"/>
                  <w:szCs w:val="20"/>
                  <w:lang w:val="bg-BG"/>
                </w:rPr>
                <m:t>-3</m:t>
              </m:r>
            </m:sup>
          </m:sSup>
          <m:r>
            <w:rPr>
              <w:rFonts w:ascii="Cambria Math" w:hAnsi="Cambria Math"/>
              <w:szCs w:val="20"/>
              <w:lang w:val="bg-BG"/>
            </w:rPr>
            <m:t xml:space="preserve"> </m:t>
          </m:r>
          <m:d>
            <m:dPr>
              <m:begChr m:val="["/>
              <m:endChr m:val="]"/>
              <m:ctrlPr>
                <w:rPr>
                  <w:rFonts w:ascii="Cambria Math" w:hAnsi="Cambria Math"/>
                  <w:i/>
                  <w:szCs w:val="20"/>
                  <w:lang w:val="bg-BG"/>
                </w:rPr>
              </m:ctrlPr>
            </m:dPr>
            <m:e>
              <m:r>
                <w:rPr>
                  <w:rFonts w:ascii="Cambria Math" w:hAnsi="Cambria Math"/>
                  <w:szCs w:val="20"/>
                  <w:lang w:val="bg-BG"/>
                </w:rPr>
                <m:t>kN</m:t>
              </m:r>
            </m:e>
          </m:d>
        </m:oMath>
      </m:oMathPara>
    </w:p>
    <w:p w:rsidR="004F47BB" w:rsidRPr="009072DA" w:rsidRDefault="004F47BB" w:rsidP="004F47BB">
      <w:pPr>
        <w:tabs>
          <w:tab w:val="left" w:pos="284"/>
          <w:tab w:val="left" w:pos="454"/>
          <w:tab w:val="left" w:pos="567"/>
        </w:tabs>
        <w:overflowPunct w:val="0"/>
        <w:adjustRightInd w:val="0"/>
        <w:ind w:left="284" w:hanging="284"/>
        <w:textAlignment w:val="baseline"/>
        <w:rPr>
          <w:szCs w:val="20"/>
          <w:lang w:val="bg-BG"/>
        </w:rPr>
      </w:pPr>
    </w:p>
    <w:p w:rsidR="004F47BB" w:rsidRPr="009072DA" w:rsidRDefault="004F47BB" w:rsidP="004F47BB">
      <w:pPr>
        <w:tabs>
          <w:tab w:val="left" w:pos="709"/>
        </w:tabs>
        <w:overflowPunct w:val="0"/>
        <w:adjustRightInd w:val="0"/>
        <w:ind w:left="709" w:hanging="709"/>
        <w:textAlignment w:val="baseline"/>
        <w:rPr>
          <w:szCs w:val="20"/>
          <w:lang w:val="bg-BG"/>
        </w:rPr>
      </w:pPr>
      <w:r w:rsidRPr="009072DA">
        <w:rPr>
          <w:lang w:val="bg-BG"/>
        </w:rPr>
        <w:t>2.2</w:t>
      </w:r>
      <w:r w:rsidRPr="009072DA">
        <w:rPr>
          <w:lang w:val="bg-BG"/>
        </w:rPr>
        <w:tab/>
        <w:t>Съединителни точки между тласкащ моторен плавателен съд и тласкани плавателни средства:</w:t>
      </w:r>
    </w:p>
    <w:p w:rsidR="004F47BB" w:rsidRPr="009072DA" w:rsidRDefault="004F47BB" w:rsidP="004F47BB">
      <w:pPr>
        <w:tabs>
          <w:tab w:val="left" w:pos="284"/>
          <w:tab w:val="left" w:pos="454"/>
          <w:tab w:val="left" w:pos="567"/>
        </w:tabs>
        <w:overflowPunct w:val="0"/>
        <w:adjustRightInd w:val="0"/>
        <w:ind w:left="284" w:hanging="284"/>
        <w:textAlignment w:val="baseline"/>
        <w:rPr>
          <w:szCs w:val="20"/>
          <w:lang w:val="bg-BG"/>
        </w:rPr>
      </w:pPr>
    </w:p>
    <w:p w:rsidR="004F47BB" w:rsidRPr="009072DA" w:rsidRDefault="002B712C" w:rsidP="004F47BB">
      <w:pPr>
        <w:tabs>
          <w:tab w:val="left" w:pos="709"/>
        </w:tabs>
        <w:overflowPunct w:val="0"/>
        <w:adjustRightInd w:val="0"/>
        <w:ind w:left="709" w:hanging="709"/>
        <w:textAlignment w:val="baseline"/>
        <w:rPr>
          <w:szCs w:val="20"/>
          <w:lang w:val="bg-BG"/>
        </w:rPr>
      </w:pPr>
      <m:oMathPara>
        <m:oMath>
          <m:sSub>
            <m:sSubPr>
              <m:ctrlPr>
                <w:rPr>
                  <w:rFonts w:ascii="Cambria Math" w:hAnsi="Cambria Math"/>
                  <w:i/>
                  <w:szCs w:val="20"/>
                  <w:lang w:val="bg-BG"/>
                </w:rPr>
              </m:ctrlPr>
            </m:sSubPr>
            <m:e>
              <m:r>
                <w:rPr>
                  <w:rFonts w:ascii="Cambria Math" w:hAnsi="Cambria Math"/>
                  <w:szCs w:val="20"/>
                  <w:lang w:val="bg-BG"/>
                </w:rPr>
                <m:t>F</m:t>
              </m:r>
            </m:e>
            <m:sub>
              <m:r>
                <w:rPr>
                  <w:rFonts w:ascii="Cambria Math" w:hAnsi="Cambria Math"/>
                  <w:szCs w:val="20"/>
                  <w:lang w:val="bg-BG"/>
                </w:rPr>
                <m:t>SF</m:t>
              </m:r>
            </m:sub>
          </m:sSub>
          <m:r>
            <w:rPr>
              <w:rFonts w:ascii="Cambria Math" w:hAnsi="Cambria Math"/>
              <w:szCs w:val="20"/>
              <w:lang w:val="bg-BG"/>
            </w:rPr>
            <m:t xml:space="preserve">=80∙ </m:t>
          </m:r>
          <m:sSub>
            <m:sSubPr>
              <m:ctrlPr>
                <w:rPr>
                  <w:rFonts w:ascii="Cambria Math" w:hAnsi="Cambria Math"/>
                  <w:i/>
                  <w:szCs w:val="20"/>
                  <w:lang w:val="bg-BG"/>
                </w:rPr>
              </m:ctrlPr>
            </m:sSubPr>
            <m:e>
              <m:r>
                <w:rPr>
                  <w:rFonts w:ascii="Cambria Math" w:hAnsi="Cambria Math"/>
                  <w:szCs w:val="20"/>
                  <w:lang w:val="bg-BG"/>
                </w:rPr>
                <m:t>P</m:t>
              </m:r>
            </m:e>
            <m:sub>
              <m:r>
                <w:rPr>
                  <w:rFonts w:ascii="Cambria Math" w:hAnsi="Cambria Math"/>
                  <w:szCs w:val="20"/>
                  <w:lang w:val="bg-BG"/>
                </w:rPr>
                <m:t>B</m:t>
              </m:r>
            </m:sub>
          </m:sSub>
          <m:r>
            <w:rPr>
              <w:rFonts w:ascii="Cambria Math" w:hAnsi="Cambria Math"/>
              <w:szCs w:val="20"/>
              <w:lang w:val="bg-BG"/>
            </w:rPr>
            <m:t xml:space="preserve"> ∙ </m:t>
          </m:r>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L</m:t>
                  </m:r>
                </m:e>
                <m:sub>
                  <m:r>
                    <w:rPr>
                      <w:rFonts w:ascii="Cambria Math" w:hAnsi="Cambria Math"/>
                      <w:szCs w:val="20"/>
                      <w:lang w:val="bg-BG"/>
                    </w:rPr>
                    <m:t>S</m:t>
                  </m:r>
                </m:sub>
              </m:sSub>
            </m:num>
            <m:den>
              <m:sSub>
                <m:sSubPr>
                  <m:ctrlPr>
                    <w:rPr>
                      <w:rFonts w:ascii="Cambria Math" w:hAnsi="Cambria Math"/>
                      <w:i/>
                      <w:szCs w:val="20"/>
                      <w:lang w:val="bg-BG"/>
                    </w:rPr>
                  </m:ctrlPr>
                </m:sSubPr>
                <m:e>
                  <m:r>
                    <w:rPr>
                      <w:rFonts w:ascii="Cambria Math" w:hAnsi="Cambria Math"/>
                      <w:szCs w:val="20"/>
                      <w:lang w:val="bg-BG"/>
                    </w:rPr>
                    <m:t>h</m:t>
                  </m:r>
                </m:e>
                <m:sub>
                  <m:r>
                    <w:rPr>
                      <w:rFonts w:ascii="Cambria Math" w:hAnsi="Cambria Math"/>
                      <w:szCs w:val="20"/>
                      <w:lang w:val="bg-BG"/>
                    </w:rPr>
                    <m:t>K</m:t>
                  </m:r>
                </m:sub>
              </m:sSub>
            </m:den>
          </m:f>
          <m:r>
            <w:rPr>
              <w:rFonts w:ascii="Cambria Math" w:hAnsi="Cambria Math"/>
              <w:szCs w:val="20"/>
              <w:lang w:val="bg-BG"/>
            </w:rPr>
            <m:t xml:space="preserve"> ∙ </m:t>
          </m:r>
          <m:sSup>
            <m:sSupPr>
              <m:ctrlPr>
                <w:rPr>
                  <w:rFonts w:ascii="Cambria Math" w:hAnsi="Cambria Math"/>
                  <w:i/>
                  <w:szCs w:val="20"/>
                  <w:lang w:val="bg-BG"/>
                </w:rPr>
              </m:ctrlPr>
            </m:sSupPr>
            <m:e>
              <m:r>
                <w:rPr>
                  <w:rFonts w:ascii="Cambria Math" w:hAnsi="Cambria Math"/>
                  <w:szCs w:val="20"/>
                  <w:lang w:val="bg-BG"/>
                </w:rPr>
                <m:t>10</m:t>
              </m:r>
            </m:e>
            <m:sup>
              <m:r>
                <w:rPr>
                  <w:rFonts w:ascii="Cambria Math" w:hAnsi="Cambria Math"/>
                  <w:szCs w:val="20"/>
                  <w:lang w:val="bg-BG"/>
                </w:rPr>
                <m:t>-3</m:t>
              </m:r>
            </m:sup>
          </m:sSup>
          <m:r>
            <w:rPr>
              <w:rFonts w:ascii="Cambria Math" w:hAnsi="Cambria Math"/>
              <w:szCs w:val="20"/>
              <w:lang w:val="bg-BG"/>
            </w:rPr>
            <m:t xml:space="preserve"> </m:t>
          </m:r>
          <m:d>
            <m:dPr>
              <m:begChr m:val="["/>
              <m:endChr m:val="]"/>
              <m:ctrlPr>
                <w:rPr>
                  <w:rFonts w:ascii="Cambria Math" w:hAnsi="Cambria Math"/>
                  <w:i/>
                  <w:szCs w:val="20"/>
                  <w:lang w:val="bg-BG"/>
                </w:rPr>
              </m:ctrlPr>
            </m:dPr>
            <m:e>
              <m:r>
                <w:rPr>
                  <w:rFonts w:ascii="Cambria Math" w:hAnsi="Cambria Math"/>
                  <w:szCs w:val="20"/>
                  <w:lang w:val="bg-BG"/>
                </w:rPr>
                <m:t>kN</m:t>
              </m:r>
            </m:e>
          </m:d>
        </m:oMath>
      </m:oMathPara>
    </w:p>
    <w:p w:rsidR="004F47BB" w:rsidRPr="009072DA" w:rsidRDefault="004F47BB" w:rsidP="004F47BB">
      <w:pPr>
        <w:tabs>
          <w:tab w:val="left" w:pos="284"/>
          <w:tab w:val="left" w:pos="454"/>
          <w:tab w:val="left" w:pos="567"/>
        </w:tabs>
        <w:overflowPunct w:val="0"/>
        <w:adjustRightInd w:val="0"/>
        <w:ind w:left="284" w:hanging="284"/>
        <w:textAlignment w:val="baseline"/>
        <w:rPr>
          <w:szCs w:val="20"/>
          <w:lang w:val="bg-BG"/>
        </w:rPr>
      </w:pPr>
    </w:p>
    <w:p w:rsidR="004F47BB" w:rsidRPr="009072DA" w:rsidRDefault="004F47BB" w:rsidP="004F47BB">
      <w:pPr>
        <w:tabs>
          <w:tab w:val="left" w:pos="709"/>
        </w:tabs>
        <w:overflowPunct w:val="0"/>
        <w:adjustRightInd w:val="0"/>
        <w:ind w:left="709" w:hanging="709"/>
        <w:textAlignment w:val="baseline"/>
        <w:rPr>
          <w:szCs w:val="20"/>
          <w:lang w:val="bg-BG"/>
        </w:rPr>
      </w:pPr>
      <w:r w:rsidRPr="009072DA">
        <w:rPr>
          <w:lang w:val="bg-BG"/>
        </w:rPr>
        <w:t>2.3</w:t>
      </w:r>
      <w:r w:rsidRPr="009072DA">
        <w:rPr>
          <w:lang w:val="bg-BG"/>
        </w:rPr>
        <w:tab/>
        <w:t>Съединителни точки между тласкани плавателни средства:</w:t>
      </w:r>
    </w:p>
    <w:p w:rsidR="004F47BB" w:rsidRPr="009072DA" w:rsidRDefault="004F47BB" w:rsidP="004F47BB">
      <w:pPr>
        <w:tabs>
          <w:tab w:val="left" w:pos="284"/>
          <w:tab w:val="left" w:pos="454"/>
          <w:tab w:val="left" w:pos="567"/>
        </w:tabs>
        <w:overflowPunct w:val="0"/>
        <w:adjustRightInd w:val="0"/>
        <w:ind w:left="284" w:hanging="284"/>
        <w:textAlignment w:val="baseline"/>
        <w:rPr>
          <w:szCs w:val="20"/>
          <w:lang w:val="bg-BG"/>
        </w:rPr>
      </w:pPr>
    </w:p>
    <w:p w:rsidR="004F47BB" w:rsidRPr="009072DA" w:rsidRDefault="002B712C" w:rsidP="004F47BB">
      <w:pPr>
        <w:tabs>
          <w:tab w:val="left" w:pos="709"/>
        </w:tabs>
        <w:overflowPunct w:val="0"/>
        <w:adjustRightInd w:val="0"/>
        <w:ind w:left="709" w:hanging="709"/>
        <w:textAlignment w:val="baseline"/>
        <w:rPr>
          <w:szCs w:val="20"/>
          <w:lang w:val="bg-BG"/>
        </w:rPr>
      </w:pPr>
      <m:oMathPara>
        <m:oMath>
          <m:sSub>
            <m:sSubPr>
              <m:ctrlPr>
                <w:rPr>
                  <w:rFonts w:ascii="Cambria Math" w:hAnsi="Cambria Math"/>
                  <w:i/>
                  <w:szCs w:val="20"/>
                  <w:lang w:val="bg-BG"/>
                </w:rPr>
              </m:ctrlPr>
            </m:sSubPr>
            <m:e>
              <m:r>
                <w:rPr>
                  <w:rFonts w:ascii="Cambria Math" w:hAnsi="Cambria Math"/>
                  <w:szCs w:val="20"/>
                  <w:lang w:val="bg-BG"/>
                </w:rPr>
                <m:t>F</m:t>
              </m:r>
            </m:e>
            <m:sub>
              <m:r>
                <w:rPr>
                  <w:rFonts w:ascii="Cambria Math" w:hAnsi="Cambria Math"/>
                  <w:szCs w:val="20"/>
                  <w:lang w:val="bg-BG"/>
                </w:rPr>
                <m:t>SL</m:t>
              </m:r>
            </m:sub>
          </m:sSub>
          <m:r>
            <w:rPr>
              <w:rFonts w:ascii="Cambria Math" w:hAnsi="Cambria Math"/>
              <w:szCs w:val="20"/>
              <w:lang w:val="bg-BG"/>
            </w:rPr>
            <m:t xml:space="preserve">=80∙ </m:t>
          </m:r>
          <m:sSub>
            <m:sSubPr>
              <m:ctrlPr>
                <w:rPr>
                  <w:rFonts w:ascii="Cambria Math" w:hAnsi="Cambria Math"/>
                  <w:i/>
                  <w:szCs w:val="20"/>
                  <w:lang w:val="bg-BG"/>
                </w:rPr>
              </m:ctrlPr>
            </m:sSubPr>
            <m:e>
              <m:r>
                <w:rPr>
                  <w:rFonts w:ascii="Cambria Math" w:hAnsi="Cambria Math"/>
                  <w:szCs w:val="20"/>
                  <w:lang w:val="bg-BG"/>
                </w:rPr>
                <m:t>P</m:t>
              </m:r>
            </m:e>
            <m:sub>
              <m:r>
                <w:rPr>
                  <w:rFonts w:ascii="Cambria Math" w:hAnsi="Cambria Math"/>
                  <w:szCs w:val="20"/>
                  <w:lang w:val="bg-BG"/>
                </w:rPr>
                <m:t>B</m:t>
              </m:r>
            </m:sub>
          </m:sSub>
          <m:r>
            <w:rPr>
              <w:rFonts w:ascii="Cambria Math" w:hAnsi="Cambria Math"/>
              <w:szCs w:val="20"/>
              <w:lang w:val="bg-BG"/>
            </w:rPr>
            <m:t xml:space="preserve"> ∙ </m:t>
          </m:r>
          <m:f>
            <m:fPr>
              <m:ctrlPr>
                <w:rPr>
                  <w:rFonts w:ascii="Cambria Math" w:hAnsi="Cambria Math"/>
                  <w:i/>
                  <w:szCs w:val="20"/>
                  <w:lang w:val="bg-BG"/>
                </w:rPr>
              </m:ctrlPr>
            </m:fPr>
            <m:num>
              <m:sSub>
                <m:sSubPr>
                  <m:ctrlPr>
                    <w:rPr>
                      <w:rFonts w:ascii="Cambria Math" w:hAnsi="Cambria Math"/>
                      <w:i/>
                      <w:szCs w:val="20"/>
                      <w:lang w:val="bg-BG"/>
                    </w:rPr>
                  </m:ctrlPr>
                </m:sSubPr>
                <m:e>
                  <m:r>
                    <w:rPr>
                      <w:rFonts w:ascii="Cambria Math" w:hAnsi="Cambria Math"/>
                      <w:szCs w:val="20"/>
                      <w:lang w:val="bg-BG"/>
                    </w:rPr>
                    <m:t>L'</m:t>
                  </m:r>
                </m:e>
                <m:sub>
                  <m:r>
                    <w:rPr>
                      <w:rFonts w:ascii="Cambria Math" w:hAnsi="Cambria Math"/>
                      <w:szCs w:val="20"/>
                      <w:lang w:val="bg-BG"/>
                    </w:rPr>
                    <m:t>S</m:t>
                  </m:r>
                </m:sub>
              </m:sSub>
            </m:num>
            <m:den>
              <m:sSub>
                <m:sSubPr>
                  <m:ctrlPr>
                    <w:rPr>
                      <w:rFonts w:ascii="Cambria Math" w:hAnsi="Cambria Math"/>
                      <w:i/>
                      <w:szCs w:val="20"/>
                      <w:lang w:val="bg-BG"/>
                    </w:rPr>
                  </m:ctrlPr>
                </m:sSubPr>
                <m:e>
                  <m:r>
                    <w:rPr>
                      <w:rFonts w:ascii="Cambria Math" w:hAnsi="Cambria Math"/>
                      <w:szCs w:val="20"/>
                      <w:lang w:val="bg-BG"/>
                    </w:rPr>
                    <m:t>h'</m:t>
                  </m:r>
                </m:e>
                <m:sub>
                  <m:r>
                    <w:rPr>
                      <w:rFonts w:ascii="Cambria Math" w:hAnsi="Cambria Math"/>
                      <w:szCs w:val="20"/>
                      <w:lang w:val="bg-BG"/>
                    </w:rPr>
                    <m:t>K</m:t>
                  </m:r>
                </m:sub>
              </m:sSub>
            </m:den>
          </m:f>
          <m:r>
            <w:rPr>
              <w:rFonts w:ascii="Cambria Math" w:hAnsi="Cambria Math"/>
              <w:szCs w:val="20"/>
              <w:lang w:val="bg-BG"/>
            </w:rPr>
            <m:t xml:space="preserve"> ∙ </m:t>
          </m:r>
          <m:sSup>
            <m:sSupPr>
              <m:ctrlPr>
                <w:rPr>
                  <w:rFonts w:ascii="Cambria Math" w:hAnsi="Cambria Math"/>
                  <w:i/>
                  <w:szCs w:val="20"/>
                  <w:lang w:val="bg-BG"/>
                </w:rPr>
              </m:ctrlPr>
            </m:sSupPr>
            <m:e>
              <m:r>
                <w:rPr>
                  <w:rFonts w:ascii="Cambria Math" w:hAnsi="Cambria Math"/>
                  <w:szCs w:val="20"/>
                  <w:lang w:val="bg-BG"/>
                </w:rPr>
                <m:t>10</m:t>
              </m:r>
            </m:e>
            <m:sup>
              <m:r>
                <w:rPr>
                  <w:rFonts w:ascii="Cambria Math" w:hAnsi="Cambria Math"/>
                  <w:szCs w:val="20"/>
                  <w:lang w:val="bg-BG"/>
                </w:rPr>
                <m:t>-3</m:t>
              </m:r>
            </m:sup>
          </m:sSup>
          <m:r>
            <w:rPr>
              <w:rFonts w:ascii="Cambria Math" w:hAnsi="Cambria Math"/>
              <w:szCs w:val="20"/>
              <w:lang w:val="bg-BG"/>
            </w:rPr>
            <m:t xml:space="preserve"> </m:t>
          </m:r>
          <m:d>
            <m:dPr>
              <m:begChr m:val="["/>
              <m:endChr m:val="]"/>
              <m:ctrlPr>
                <w:rPr>
                  <w:rFonts w:ascii="Cambria Math" w:hAnsi="Cambria Math"/>
                  <w:i/>
                  <w:szCs w:val="20"/>
                  <w:lang w:val="bg-BG"/>
                </w:rPr>
              </m:ctrlPr>
            </m:dPr>
            <m:e>
              <m:r>
                <w:rPr>
                  <w:rFonts w:ascii="Cambria Math" w:hAnsi="Cambria Math"/>
                  <w:szCs w:val="20"/>
                  <w:lang w:val="bg-BG"/>
                </w:rPr>
                <m:t>kN</m:t>
              </m:r>
            </m:e>
          </m:d>
        </m:oMath>
      </m:oMathPara>
    </w:p>
    <w:p w:rsidR="004F47BB" w:rsidRPr="009072DA" w:rsidRDefault="004F47BB" w:rsidP="004F47BB">
      <w:pPr>
        <w:tabs>
          <w:tab w:val="left" w:pos="284"/>
          <w:tab w:val="left" w:pos="454"/>
          <w:tab w:val="left" w:pos="567"/>
        </w:tabs>
        <w:overflowPunct w:val="0"/>
        <w:adjustRightInd w:val="0"/>
        <w:ind w:left="284" w:hanging="284"/>
        <w:textAlignment w:val="baseline"/>
        <w:rPr>
          <w:szCs w:val="20"/>
          <w:lang w:val="bg-BG"/>
        </w:rPr>
      </w:pPr>
    </w:p>
    <w:p w:rsidR="004F47BB" w:rsidRPr="009072DA" w:rsidRDefault="004F47BB" w:rsidP="004F47BB">
      <w:pPr>
        <w:tabs>
          <w:tab w:val="left" w:pos="284"/>
          <w:tab w:val="left" w:pos="454"/>
          <w:tab w:val="left" w:pos="567"/>
        </w:tabs>
        <w:overflowPunct w:val="0"/>
        <w:adjustRightInd w:val="0"/>
        <w:ind w:left="709"/>
        <w:textAlignment w:val="baseline"/>
        <w:rPr>
          <w:szCs w:val="20"/>
          <w:lang w:val="bg-BG"/>
        </w:rPr>
      </w:pPr>
      <w:r w:rsidRPr="009072DA">
        <w:rPr>
          <w:lang w:val="bg-BG"/>
        </w:rPr>
        <w:br w:type="page"/>
      </w:r>
    </w:p>
    <w:p w:rsidR="004F47BB" w:rsidRPr="009072DA" w:rsidRDefault="004F47BB" w:rsidP="004F47BB">
      <w:pPr>
        <w:tabs>
          <w:tab w:val="left" w:pos="284"/>
          <w:tab w:val="left" w:pos="454"/>
          <w:tab w:val="left" w:pos="567"/>
        </w:tabs>
        <w:overflowPunct w:val="0"/>
        <w:adjustRightInd w:val="0"/>
        <w:ind w:left="709"/>
        <w:textAlignment w:val="baseline"/>
        <w:rPr>
          <w:szCs w:val="20"/>
          <w:lang w:val="bg-BG"/>
        </w:rPr>
      </w:pPr>
      <w:r w:rsidRPr="009072DA">
        <w:rPr>
          <w:lang w:val="bg-BG"/>
        </w:rPr>
        <w:lastRenderedPageBreak/>
        <w:t>Стойността от 1200 kN се счита за достатъчна за максималната сила на свързване за тласкащото плавателно средство в съединителната точка между първото тласкано плавателно средство и плавателното средство, свързано пред него, дори ако по формулата от точка 2.3 се получава по-голяма стойност.</w:t>
      </w:r>
    </w:p>
    <w:p w:rsidR="004F47BB" w:rsidRPr="009072DA" w:rsidRDefault="004F47BB" w:rsidP="004F47BB">
      <w:pPr>
        <w:tabs>
          <w:tab w:val="left" w:pos="284"/>
          <w:tab w:val="left" w:pos="454"/>
          <w:tab w:val="left" w:pos="567"/>
        </w:tabs>
        <w:overflowPunct w:val="0"/>
        <w:adjustRightInd w:val="0"/>
        <w:ind w:left="709"/>
        <w:textAlignment w:val="baseline"/>
        <w:rPr>
          <w:szCs w:val="20"/>
          <w:lang w:val="bg-BG"/>
        </w:rPr>
      </w:pPr>
    </w:p>
    <w:p w:rsidR="004F47BB" w:rsidRPr="009072DA" w:rsidRDefault="004F47BB" w:rsidP="004F47BB">
      <w:pPr>
        <w:tabs>
          <w:tab w:val="left" w:pos="284"/>
          <w:tab w:val="left" w:pos="454"/>
          <w:tab w:val="left" w:pos="567"/>
        </w:tabs>
        <w:overflowPunct w:val="0"/>
        <w:adjustRightInd w:val="0"/>
        <w:ind w:left="709"/>
        <w:textAlignment w:val="baseline"/>
        <w:rPr>
          <w:szCs w:val="20"/>
          <w:lang w:val="bg-BG"/>
        </w:rPr>
      </w:pPr>
      <w:r w:rsidRPr="009072DA">
        <w:rPr>
          <w:lang w:val="bg-BG"/>
        </w:rPr>
        <w:t>За съединителните точки на всички други надлъжни връзки между тласканите плавателни средства оразмеряването на свързващите устройства е въз основа на силата на свързване, определена съгласно формулата в точка 2.3.</w:t>
      </w:r>
    </w:p>
    <w:p w:rsidR="004F47BB" w:rsidRPr="009072DA" w:rsidRDefault="004F47BB" w:rsidP="004F47BB">
      <w:pPr>
        <w:tabs>
          <w:tab w:val="left" w:pos="284"/>
          <w:tab w:val="left" w:pos="454"/>
          <w:tab w:val="left" w:pos="567"/>
        </w:tabs>
        <w:overflowPunct w:val="0"/>
        <w:adjustRightInd w:val="0"/>
        <w:ind w:left="284" w:hanging="284"/>
        <w:textAlignment w:val="baseline"/>
        <w:rPr>
          <w:szCs w:val="20"/>
          <w:lang w:val="bg-BG"/>
        </w:rPr>
      </w:pPr>
    </w:p>
    <w:p w:rsidR="004F47BB" w:rsidRPr="009072DA" w:rsidRDefault="004F47BB" w:rsidP="004F47BB">
      <w:pPr>
        <w:tabs>
          <w:tab w:val="left" w:pos="284"/>
          <w:tab w:val="left" w:pos="454"/>
          <w:tab w:val="left" w:pos="567"/>
        </w:tabs>
        <w:overflowPunct w:val="0"/>
        <w:adjustRightInd w:val="0"/>
        <w:ind w:left="284" w:hanging="284"/>
        <w:textAlignment w:val="baseline"/>
        <w:rPr>
          <w:szCs w:val="20"/>
          <w:lang w:val="bg-BG"/>
        </w:rPr>
      </w:pPr>
      <w:r w:rsidRPr="009072DA">
        <w:rPr>
          <w:noProof/>
          <w:szCs w:val="20"/>
          <w:lang w:eastAsia="en-GB"/>
        </w:rPr>
        <w:lastRenderedPageBreak/>
        <mc:AlternateContent>
          <mc:Choice Requires="wps">
            <w:drawing>
              <wp:anchor distT="0" distB="0" distL="114300" distR="114300" simplePos="0" relativeHeight="251693056" behindDoc="0" locked="0" layoutInCell="1" allowOverlap="1" wp14:anchorId="3187AAD4" wp14:editId="3CB1614E">
                <wp:simplePos x="0" y="0"/>
                <wp:positionH relativeFrom="column">
                  <wp:posOffset>3760470</wp:posOffset>
                </wp:positionH>
                <wp:positionV relativeFrom="paragraph">
                  <wp:posOffset>5767070</wp:posOffset>
                </wp:positionV>
                <wp:extent cx="981710" cy="208280"/>
                <wp:effectExtent l="0" t="0" r="0" b="0"/>
                <wp:wrapNone/>
                <wp:docPr id="29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2A7EC3" w:rsidRDefault="002B712C" w:rsidP="004F47BB">
                            <w:pPr>
                              <w:rPr>
                                <w:sz w:val="16"/>
                              </w:rPr>
                            </w:pPr>
                            <w:r>
                              <w:rPr>
                                <w:sz w:val="16"/>
                              </w:rPr>
                              <w:t>тласкано плавателно средство</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Zone de texte 2" o:spid="_x0000_s1044" type="#_x0000_t202" style="position:absolute;left:0;text-align:left;margin-left:296.1pt;margin-top:454.1pt;width:77.3pt;height:16.4pt;z-index:2516930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" stroked="f">
                <v:textbox style="mso-fit-shape-to-text:t">
                  <w:txbxContent>
                    <w:p w:rsidR="002B712C" w:rsidRPr="002A7EC3" w:rsidRDefault="002B712C" w:rsidP="004F47BB">
                      <w:pPr>
                        <w:rPr>
                          <w:sz w:val="16"/>
                        </w:rPr>
                      </w:pPr>
                      <w:r>
                        <w:rPr>
                          <w:sz w:val="16"/>
                        </w:rPr>
                        <w:t>тласкано плавателно средство</w:t>
                      </w:r>
                    </w:p>
                  </w:txbxContent>
                </v:textbox>
              </v:shape>
            </w:pict>
          </mc:Fallback>
        </mc:AlternateContent>
      </w:r>
      <w:r w:rsidRPr="009072DA">
        <w:rPr>
          <w:noProof/>
          <w:szCs w:val="20"/>
          <w:lang w:eastAsia="en-GB"/>
        </w:rPr>
        <mc:AlternateContent>
          <mc:Choice Requires="wps">
            <w:drawing>
              <wp:anchor distT="0" distB="0" distL="114300" distR="114300" simplePos="0" relativeHeight="251692032" behindDoc="0" locked="0" layoutInCell="1" allowOverlap="1" wp14:anchorId="7BEEC273" wp14:editId="11A6C32C">
                <wp:simplePos x="0" y="0"/>
                <wp:positionH relativeFrom="column">
                  <wp:posOffset>1445895</wp:posOffset>
                </wp:positionH>
                <wp:positionV relativeFrom="paragraph">
                  <wp:posOffset>5786120</wp:posOffset>
                </wp:positionV>
                <wp:extent cx="981710" cy="208280"/>
                <wp:effectExtent l="0" t="0" r="0" b="0"/>
                <wp:wrapNone/>
                <wp:docPr id="29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2A7EC3" w:rsidRDefault="002B712C" w:rsidP="004F47BB">
                            <w:pPr>
                              <w:rPr>
                                <w:sz w:val="16"/>
                              </w:rPr>
                            </w:pPr>
                            <w:r>
                              <w:rPr>
                                <w:sz w:val="16"/>
                              </w:rPr>
                              <w:t>тласкащо плавателно средство</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5" type="#_x0000_t202" style="position:absolute;left:0;text-align:left;margin-left:113.85pt;margin-top:455.6pt;width:77.3pt;height:16.4pt;z-index:2516920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" stroked="f">
                <v:textbox style="mso-fit-shape-to-text:t">
                  <w:txbxContent>
                    <w:p w:rsidR="002B712C" w:rsidRPr="002A7EC3" w:rsidRDefault="002B712C" w:rsidP="004F47BB">
                      <w:pPr>
                        <w:rPr>
                          <w:sz w:val="16"/>
                        </w:rPr>
                      </w:pPr>
                      <w:r>
                        <w:rPr>
                          <w:sz w:val="16"/>
                        </w:rPr>
                        <w:t>тласкащо плавателно средство</w:t>
                      </w:r>
                    </w:p>
                  </w:txbxContent>
                </v:textbox>
              </v:shape>
            </w:pict>
          </mc:Fallback>
        </mc:AlternateContent>
      </w:r>
      <w:r w:rsidRPr="009072DA">
        <w:rPr>
          <w:noProof/>
          <w:szCs w:val="20"/>
          <w:lang w:eastAsia="en-GB"/>
        </w:rPr>
        <mc:AlternateContent>
          <mc:Choice Requires="wps">
            <w:drawing>
              <wp:anchor distT="0" distB="0" distL="114300" distR="114300" simplePos="0" relativeHeight="251691008" behindDoc="0" locked="0" layoutInCell="1" allowOverlap="1" wp14:anchorId="459A192B" wp14:editId="43C46A93">
                <wp:simplePos x="0" y="0"/>
                <wp:positionH relativeFrom="column">
                  <wp:posOffset>3760470</wp:posOffset>
                </wp:positionH>
                <wp:positionV relativeFrom="paragraph">
                  <wp:posOffset>4319270</wp:posOffset>
                </wp:positionV>
                <wp:extent cx="981710" cy="208280"/>
                <wp:effectExtent l="0" t="0" r="0" b="0"/>
                <wp:wrapNone/>
                <wp:docPr id="29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2A7EC3" w:rsidRDefault="002B712C" w:rsidP="004F47BB">
                            <w:pPr>
                              <w:rPr>
                                <w:sz w:val="16"/>
                              </w:rPr>
                            </w:pPr>
                            <w:r>
                              <w:rPr>
                                <w:sz w:val="16"/>
                              </w:rPr>
                              <w:t>тласкано плавателно средство</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6" type="#_x0000_t202" style="position:absolute;left:0;text-align:left;margin-left:296.1pt;margin-top:340.1pt;width:77.3pt;height:16.4pt;z-index:2516910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" stroked="f">
                <v:textbox style="mso-fit-shape-to-text:t">
                  <w:txbxContent>
                    <w:p w:rsidR="002B712C" w:rsidRPr="002A7EC3" w:rsidRDefault="002B712C" w:rsidP="004F47BB">
                      <w:pPr>
                        <w:rPr>
                          <w:sz w:val="16"/>
                        </w:rPr>
                      </w:pPr>
                      <w:r>
                        <w:rPr>
                          <w:sz w:val="16"/>
                        </w:rPr>
                        <w:t>тласкано плавателно средство</w:t>
                      </w:r>
                    </w:p>
                  </w:txbxContent>
                </v:textbox>
              </v:shape>
            </w:pict>
          </mc:Fallback>
        </mc:AlternateContent>
      </w:r>
      <w:r w:rsidRPr="009072DA">
        <w:rPr>
          <w:noProof/>
          <w:lang w:eastAsia="en-GB"/>
        </w:rPr>
        <mc:AlternateContent>
          <mc:Choice Requires="wps">
            <w:drawing>
              <wp:anchor distT="0" distB="0" distL="114300" distR="114300" simplePos="0" relativeHeight="251689984" behindDoc="0" locked="0" layoutInCell="1" allowOverlap="1" wp14:anchorId="61396F14" wp14:editId="73673EC2">
                <wp:simplePos x="0" y="0"/>
                <wp:positionH relativeFrom="column">
                  <wp:posOffset>1455420</wp:posOffset>
                </wp:positionH>
                <wp:positionV relativeFrom="paragraph">
                  <wp:posOffset>4319270</wp:posOffset>
                </wp:positionV>
                <wp:extent cx="981710" cy="208280"/>
                <wp:effectExtent l="0" t="0" r="0" b="0"/>
                <wp:wrapNone/>
                <wp:docPr id="29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B712C" w:rsidRPr="002A7EC3" w:rsidRDefault="002B712C" w:rsidP="004F47BB">
                            <w:pPr>
                              <w:rPr>
                                <w:sz w:val="16"/>
                              </w:rPr>
                            </w:pPr>
                            <w:r>
                              <w:rPr>
                                <w:sz w:val="16"/>
                              </w:rPr>
                              <w:t>тласкащо плавателно средство</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7" type="#_x0000_t202" style="position:absolute;left:0;text-align:left;margin-left:114.6pt;margin-top:340.1pt;width:77.3pt;height:16.4pt;z-index:2516899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" stroked="f">
                <v:textbox style="mso-fit-shape-to-text:t">
                  <w:txbxContent>
                    <w:p w:rsidR="002B712C" w:rsidRPr="002A7EC3" w:rsidRDefault="002B712C" w:rsidP="004F47BB">
                      <w:pPr>
                        <w:rPr>
                          <w:sz w:val="16"/>
                        </w:rPr>
                      </w:pPr>
                      <w:r>
                        <w:rPr>
                          <w:sz w:val="16"/>
                        </w:rPr>
                        <w:t>тласкащо плавателно средство</w:t>
                      </w:r>
                    </w:p>
                  </w:txbxContent>
                </v:textbox>
              </v:shape>
            </w:pict>
          </mc:Fallback>
        </mc:AlternateContent>
      </w:r>
      <w:r w:rsidRPr="009072DA">
        <w:rPr>
          <w:rFonts w:ascii="Times New Roman" w:hAnsi="Times New Roman"/>
          <w:noProof/>
          <w:szCs w:val="20"/>
          <w:lang w:eastAsia="en-GB"/>
        </w:rPr>
        <w:drawing>
          <wp:inline distT="0" distB="0" distL="0" distR="0" wp14:anchorId="5ADF9947" wp14:editId="4F081BEC">
            <wp:extent cx="5219700" cy="7000875"/>
            <wp:effectExtent l="0" t="0" r="0" b="9525"/>
            <wp:docPr id="305" name="Imag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219700" cy="7000875"/>
                    </a:xfrm>
                    <a:prstGeom prst="rect">
                      <a:avLst/>
                    </a:prstGeom>
                    <a:solidFill>
                      <a:srgbClr val="FFFFFF"/>
                    </a:solidFill>
                    <a:ln>
                      <a:noFill/>
                    </a:ln>
                  </pic:spPr>
                </pic:pic>
              </a:graphicData>
            </a:graphic>
          </wp:inline>
        </w:drawing>
      </w:r>
    </w:p>
    <w:p w:rsidR="004F47BB" w:rsidRPr="009072DA" w:rsidRDefault="004F47BB" w:rsidP="004F47BB">
      <w:pPr>
        <w:tabs>
          <w:tab w:val="left" w:pos="284"/>
          <w:tab w:val="left" w:pos="454"/>
          <w:tab w:val="left" w:pos="567"/>
        </w:tabs>
        <w:overflowPunct w:val="0"/>
        <w:adjustRightInd w:val="0"/>
        <w:ind w:left="284" w:hanging="284"/>
        <w:textAlignment w:val="baseline"/>
        <w:rPr>
          <w:szCs w:val="20"/>
          <w:lang w:val="bg-BG"/>
        </w:rPr>
      </w:pPr>
    </w:p>
    <w:p w:rsidR="004F47BB" w:rsidRPr="009072DA" w:rsidRDefault="004F47BB" w:rsidP="004F47BB">
      <w:pPr>
        <w:tabs>
          <w:tab w:val="left" w:pos="284"/>
          <w:tab w:val="left" w:pos="454"/>
          <w:tab w:val="left" w:pos="567"/>
        </w:tabs>
        <w:overflowPunct w:val="0"/>
        <w:adjustRightInd w:val="0"/>
        <w:ind w:left="284" w:hanging="284"/>
        <w:textAlignment w:val="baseline"/>
        <w:rPr>
          <w:szCs w:val="20"/>
          <w:lang w:val="bg-BG"/>
        </w:rPr>
      </w:pPr>
      <w:r w:rsidRPr="009072DA">
        <w:rPr>
          <w:lang w:val="bg-BG"/>
        </w:rPr>
        <w:br w:type="page"/>
      </w:r>
    </w:p>
    <w:p w:rsidR="004F47BB" w:rsidRPr="009072DA" w:rsidRDefault="004F47BB" w:rsidP="004F47BB">
      <w:pPr>
        <w:overflowPunct w:val="0"/>
        <w:adjustRightInd w:val="0"/>
        <w:ind w:left="709"/>
        <w:textAlignment w:val="baseline"/>
        <w:rPr>
          <w:szCs w:val="20"/>
          <w:lang w:val="bg-BG"/>
        </w:rPr>
      </w:pPr>
      <w:r w:rsidRPr="009072DA">
        <w:rPr>
          <w:lang w:val="bg-BG"/>
        </w:rPr>
        <w:lastRenderedPageBreak/>
        <w:t>Където:</w:t>
      </w:r>
    </w:p>
    <w:p w:rsidR="004F47BB" w:rsidRPr="009072DA" w:rsidRDefault="004F47BB" w:rsidP="004F47BB">
      <w:pPr>
        <w:tabs>
          <w:tab w:val="left" w:pos="284"/>
          <w:tab w:val="left" w:pos="454"/>
          <w:tab w:val="left" w:pos="567"/>
        </w:tabs>
        <w:overflowPunct w:val="0"/>
        <w:adjustRightInd w:val="0"/>
        <w:ind w:left="284" w:hanging="284"/>
        <w:textAlignment w:val="baseline"/>
        <w:rPr>
          <w:szCs w:val="20"/>
          <w:lang w:val="bg-BG"/>
        </w:rPr>
      </w:pPr>
    </w:p>
    <w:p w:rsidR="004F47BB" w:rsidRPr="009072DA" w:rsidRDefault="002B712C" w:rsidP="004F47BB">
      <w:pPr>
        <w:tabs>
          <w:tab w:val="left" w:pos="284"/>
          <w:tab w:val="left" w:pos="2127"/>
          <w:tab w:val="left" w:pos="2977"/>
        </w:tabs>
        <w:overflowPunct w:val="0"/>
        <w:adjustRightInd w:val="0"/>
        <w:ind w:left="2977" w:hanging="2268"/>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F</m:t>
            </m:r>
          </m:e>
          <m:sub>
            <m:r>
              <w:rPr>
                <w:rFonts w:ascii="Cambria Math" w:hAnsi="Cambria Math"/>
                <w:szCs w:val="20"/>
                <w:lang w:val="bg-BG"/>
              </w:rPr>
              <m:t>SB</m:t>
            </m:r>
          </m:sub>
        </m:sSub>
      </m:oMath>
      <w:r w:rsidR="007B1046" w:rsidRPr="009072DA">
        <w:rPr>
          <w:lang w:val="bg-BG"/>
        </w:rPr>
        <w:t xml:space="preserve">, </w:t>
      </w:r>
      <m:oMath>
        <m:sSub>
          <m:sSubPr>
            <m:ctrlPr>
              <w:rPr>
                <w:rFonts w:ascii="Cambria Math" w:hAnsi="Cambria Math"/>
                <w:i/>
                <w:szCs w:val="20"/>
                <w:lang w:val="bg-BG"/>
              </w:rPr>
            </m:ctrlPr>
          </m:sSubPr>
          <m:e>
            <m:r>
              <w:rPr>
                <w:rFonts w:ascii="Cambria Math" w:hAnsi="Cambria Math"/>
                <w:szCs w:val="20"/>
                <w:lang w:val="bg-BG"/>
              </w:rPr>
              <m:t>F</m:t>
            </m:r>
          </m:e>
          <m:sub>
            <m:r>
              <w:rPr>
                <w:rFonts w:ascii="Cambria Math" w:hAnsi="Cambria Math"/>
                <w:szCs w:val="20"/>
                <w:lang w:val="bg-BG"/>
              </w:rPr>
              <m:t>SF</m:t>
            </m:r>
          </m:sub>
        </m:sSub>
      </m:oMath>
      <w:r w:rsidR="007B1046" w:rsidRPr="009072DA">
        <w:rPr>
          <w:lang w:val="bg-BG"/>
        </w:rPr>
        <w:t xml:space="preserve">, </w:t>
      </w:r>
      <m:oMath>
        <m:sSub>
          <m:sSubPr>
            <m:ctrlPr>
              <w:rPr>
                <w:rFonts w:ascii="Cambria Math" w:hAnsi="Cambria Math"/>
                <w:i/>
                <w:szCs w:val="20"/>
                <w:lang w:val="bg-BG"/>
              </w:rPr>
            </m:ctrlPr>
          </m:sSubPr>
          <m:e>
            <m:r>
              <w:rPr>
                <w:rFonts w:ascii="Cambria Math" w:hAnsi="Cambria Math"/>
                <w:szCs w:val="20"/>
                <w:lang w:val="bg-BG"/>
              </w:rPr>
              <m:t>F</m:t>
            </m:r>
          </m:e>
          <m:sub>
            <m:r>
              <w:rPr>
                <w:rFonts w:ascii="Cambria Math" w:hAnsi="Cambria Math"/>
                <w:szCs w:val="20"/>
                <w:lang w:val="bg-BG"/>
              </w:rPr>
              <m:t>SL</m:t>
            </m:r>
          </m:sub>
        </m:sSub>
      </m:oMath>
      <w:r w:rsidR="007B1046" w:rsidRPr="009072DA">
        <w:rPr>
          <w:lang w:val="bg-BG"/>
        </w:rPr>
        <w:tab/>
        <w:t>[kN]</w:t>
      </w:r>
      <w:r w:rsidR="007B1046" w:rsidRPr="009072DA">
        <w:rPr>
          <w:lang w:val="bg-BG"/>
        </w:rPr>
        <w:tab/>
        <w:t>Сила на свързване на надлъжна връзка;</w:t>
      </w:r>
    </w:p>
    <w:p w:rsidR="004F47BB" w:rsidRPr="009072DA" w:rsidRDefault="004F47BB" w:rsidP="004F47BB">
      <w:pPr>
        <w:tabs>
          <w:tab w:val="left" w:pos="284"/>
          <w:tab w:val="left" w:pos="2127"/>
          <w:tab w:val="left" w:pos="2977"/>
        </w:tabs>
        <w:overflowPunct w:val="0"/>
        <w:adjustRightInd w:val="0"/>
        <w:ind w:left="2977" w:hanging="2268"/>
        <w:textAlignment w:val="baseline"/>
        <w:rPr>
          <w:szCs w:val="20"/>
          <w:lang w:val="bg-BG"/>
        </w:rPr>
      </w:pPr>
    </w:p>
    <w:p w:rsidR="004F47BB" w:rsidRPr="009072DA" w:rsidRDefault="002B712C" w:rsidP="004F47BB">
      <w:pPr>
        <w:tabs>
          <w:tab w:val="left" w:pos="284"/>
          <w:tab w:val="left" w:pos="2127"/>
          <w:tab w:val="left" w:pos="2977"/>
        </w:tabs>
        <w:overflowPunct w:val="0"/>
        <w:adjustRightInd w:val="0"/>
        <w:ind w:left="2977" w:hanging="2268"/>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P</m:t>
            </m:r>
          </m:e>
          <m:sub>
            <m:r>
              <w:rPr>
                <w:rFonts w:ascii="Cambria Math" w:hAnsi="Cambria Math"/>
                <w:szCs w:val="20"/>
                <w:lang w:val="bg-BG"/>
              </w:rPr>
              <m:t>B</m:t>
            </m:r>
          </m:sub>
        </m:sSub>
      </m:oMath>
      <w:r w:rsidR="007B1046" w:rsidRPr="009072DA">
        <w:rPr>
          <w:lang w:val="bg-BG"/>
        </w:rPr>
        <w:tab/>
        <w:t>[kW]</w:t>
      </w:r>
      <w:r w:rsidR="007B1046" w:rsidRPr="009072DA">
        <w:rPr>
          <w:lang w:val="bg-BG"/>
        </w:rPr>
        <w:tab/>
        <w:t>Инсталирана мощност на задвижващия двигател;</w:t>
      </w:r>
    </w:p>
    <w:p w:rsidR="004F47BB" w:rsidRPr="009072DA" w:rsidRDefault="004F47BB" w:rsidP="004F47BB">
      <w:pPr>
        <w:tabs>
          <w:tab w:val="left" w:pos="284"/>
          <w:tab w:val="left" w:pos="2127"/>
          <w:tab w:val="left" w:pos="2977"/>
        </w:tabs>
        <w:overflowPunct w:val="0"/>
        <w:adjustRightInd w:val="0"/>
        <w:ind w:left="2977" w:hanging="2268"/>
        <w:textAlignment w:val="baseline"/>
        <w:rPr>
          <w:szCs w:val="20"/>
          <w:lang w:val="bg-BG"/>
        </w:rPr>
      </w:pPr>
    </w:p>
    <w:p w:rsidR="004F47BB" w:rsidRPr="009072DA" w:rsidRDefault="002B712C" w:rsidP="004F47BB">
      <w:pPr>
        <w:tabs>
          <w:tab w:val="left" w:pos="284"/>
          <w:tab w:val="left" w:pos="2127"/>
          <w:tab w:val="left" w:pos="2977"/>
        </w:tabs>
        <w:overflowPunct w:val="0"/>
        <w:adjustRightInd w:val="0"/>
        <w:ind w:left="2977" w:hanging="2268"/>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L</m:t>
            </m:r>
          </m:e>
          <m:sub>
            <m:r>
              <w:rPr>
                <w:rFonts w:ascii="Cambria Math" w:hAnsi="Cambria Math"/>
                <w:szCs w:val="20"/>
                <w:lang w:val="bg-BG"/>
              </w:rPr>
              <m:t>S</m:t>
            </m:r>
          </m:sub>
        </m:sSub>
      </m:oMath>
      <w:r w:rsidR="007B1046" w:rsidRPr="009072DA">
        <w:rPr>
          <w:lang w:val="bg-BG"/>
        </w:rPr>
        <w:tab/>
        <w:t>[m]</w:t>
      </w:r>
      <w:r w:rsidR="007B1046" w:rsidRPr="009072DA">
        <w:rPr>
          <w:lang w:val="bg-BG"/>
        </w:rPr>
        <w:tab/>
        <w:t>Разстояние от кърмата на тласкача или тласкащото плавателно средство до съединителната точка;</w:t>
      </w:r>
    </w:p>
    <w:p w:rsidR="004F47BB" w:rsidRPr="009072DA" w:rsidRDefault="004F47BB" w:rsidP="004F47BB">
      <w:pPr>
        <w:tabs>
          <w:tab w:val="left" w:pos="284"/>
          <w:tab w:val="left" w:pos="2127"/>
          <w:tab w:val="left" w:pos="2977"/>
        </w:tabs>
        <w:overflowPunct w:val="0"/>
        <w:adjustRightInd w:val="0"/>
        <w:ind w:left="2977" w:hanging="2268"/>
        <w:textAlignment w:val="baseline"/>
        <w:rPr>
          <w:szCs w:val="20"/>
          <w:lang w:val="bg-BG"/>
        </w:rPr>
      </w:pPr>
    </w:p>
    <w:p w:rsidR="004F47BB" w:rsidRPr="009072DA" w:rsidRDefault="002B712C" w:rsidP="004F47BB">
      <w:pPr>
        <w:tabs>
          <w:tab w:val="left" w:pos="284"/>
          <w:tab w:val="left" w:pos="2127"/>
          <w:tab w:val="left" w:pos="2977"/>
        </w:tabs>
        <w:overflowPunct w:val="0"/>
        <w:adjustRightInd w:val="0"/>
        <w:ind w:left="2977" w:hanging="2268"/>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L'</m:t>
            </m:r>
          </m:e>
          <m:sub>
            <m:r>
              <w:rPr>
                <w:rFonts w:ascii="Cambria Math" w:hAnsi="Cambria Math"/>
                <w:szCs w:val="20"/>
                <w:lang w:val="bg-BG"/>
              </w:rPr>
              <m:t>S</m:t>
            </m:r>
          </m:sub>
        </m:sSub>
      </m:oMath>
      <w:r w:rsidR="007B1046" w:rsidRPr="009072DA">
        <w:rPr>
          <w:lang w:val="bg-BG"/>
        </w:rPr>
        <w:tab/>
        <w:t>[m]</w:t>
      </w:r>
      <w:r w:rsidR="007B1046" w:rsidRPr="009072DA">
        <w:rPr>
          <w:lang w:val="bg-BG"/>
        </w:rPr>
        <w:tab/>
        <w:t>Разстояние от кърмата на тласкащиото плавателно средство до съединителната точка между първото тласкано плавателно средство и плавателното средство, свързано пред него;</w:t>
      </w:r>
    </w:p>
    <w:p w:rsidR="004F47BB" w:rsidRPr="009072DA" w:rsidRDefault="004F47BB" w:rsidP="004F47BB">
      <w:pPr>
        <w:tabs>
          <w:tab w:val="left" w:pos="284"/>
          <w:tab w:val="left" w:pos="2127"/>
          <w:tab w:val="left" w:pos="2977"/>
        </w:tabs>
        <w:overflowPunct w:val="0"/>
        <w:adjustRightInd w:val="0"/>
        <w:ind w:left="2977" w:hanging="2268"/>
        <w:textAlignment w:val="baseline"/>
        <w:rPr>
          <w:szCs w:val="20"/>
          <w:lang w:val="bg-BG"/>
        </w:rPr>
      </w:pPr>
    </w:p>
    <w:p w:rsidR="004F47BB" w:rsidRPr="009072DA" w:rsidRDefault="002B712C" w:rsidP="004F47BB">
      <w:pPr>
        <w:tabs>
          <w:tab w:val="left" w:pos="284"/>
          <w:tab w:val="left" w:pos="2127"/>
          <w:tab w:val="left" w:pos="2977"/>
        </w:tabs>
        <w:overflowPunct w:val="0"/>
        <w:adjustRightInd w:val="0"/>
        <w:ind w:left="2977" w:hanging="2268"/>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h</m:t>
            </m:r>
          </m:e>
          <m:sub>
            <m:r>
              <w:rPr>
                <w:rFonts w:ascii="Cambria Math" w:hAnsi="Cambria Math"/>
                <w:szCs w:val="20"/>
                <w:lang w:val="bg-BG"/>
              </w:rPr>
              <m:t>K</m:t>
            </m:r>
          </m:sub>
        </m:sSub>
      </m:oMath>
      <w:r w:rsidR="007B1046" w:rsidRPr="009072DA">
        <w:rPr>
          <w:lang w:val="bg-BG"/>
        </w:rPr>
        <w:t xml:space="preserve">, </w:t>
      </w:r>
      <m:oMath>
        <m:sSub>
          <m:sSubPr>
            <m:ctrlPr>
              <w:rPr>
                <w:rFonts w:ascii="Cambria Math" w:hAnsi="Cambria Math"/>
                <w:i/>
                <w:szCs w:val="20"/>
                <w:lang w:val="bg-BG"/>
              </w:rPr>
            </m:ctrlPr>
          </m:sSubPr>
          <m:e>
            <m:r>
              <w:rPr>
                <w:rFonts w:ascii="Cambria Math" w:hAnsi="Cambria Math"/>
                <w:szCs w:val="20"/>
                <w:lang w:val="bg-BG"/>
              </w:rPr>
              <m:t>h'</m:t>
            </m:r>
          </m:e>
          <m:sub>
            <m:r>
              <w:rPr>
                <w:rFonts w:ascii="Cambria Math" w:hAnsi="Cambria Math"/>
                <w:szCs w:val="20"/>
                <w:lang w:val="bg-BG"/>
              </w:rPr>
              <m:t>K</m:t>
            </m:r>
          </m:sub>
        </m:sSub>
      </m:oMath>
      <w:r w:rsidR="007B1046" w:rsidRPr="009072DA">
        <w:rPr>
          <w:lang w:val="bg-BG"/>
        </w:rPr>
        <w:tab/>
        <w:t>[m]</w:t>
      </w:r>
      <w:r w:rsidR="007B1046" w:rsidRPr="009072DA">
        <w:rPr>
          <w:lang w:val="bg-BG"/>
        </w:rPr>
        <w:tab/>
        <w:t>Съответстващо рамо на силата на надлъжната връзка;</w:t>
      </w:r>
    </w:p>
    <w:p w:rsidR="004F47BB" w:rsidRPr="009072DA" w:rsidRDefault="004F47BB" w:rsidP="004F47BB">
      <w:pPr>
        <w:tabs>
          <w:tab w:val="left" w:pos="284"/>
          <w:tab w:val="left" w:pos="2127"/>
          <w:tab w:val="left" w:pos="2977"/>
        </w:tabs>
        <w:overflowPunct w:val="0"/>
        <w:adjustRightInd w:val="0"/>
        <w:ind w:left="2977" w:hanging="2268"/>
        <w:textAlignment w:val="baseline"/>
        <w:rPr>
          <w:szCs w:val="20"/>
          <w:lang w:val="bg-BG"/>
        </w:rPr>
      </w:pPr>
    </w:p>
    <w:p w:rsidR="004F47BB" w:rsidRPr="009072DA" w:rsidRDefault="002B712C" w:rsidP="004F47BB">
      <w:pPr>
        <w:tabs>
          <w:tab w:val="left" w:pos="284"/>
          <w:tab w:val="left" w:pos="2127"/>
          <w:tab w:val="left" w:pos="2977"/>
        </w:tabs>
        <w:overflowPunct w:val="0"/>
        <w:adjustRightInd w:val="0"/>
        <w:ind w:left="2977" w:hanging="2268"/>
        <w:textAlignment w:val="baseline"/>
        <w:rPr>
          <w:szCs w:val="20"/>
          <w:lang w:val="bg-BG"/>
        </w:rPr>
      </w:pPr>
      <m:oMath>
        <m:sSub>
          <m:sSubPr>
            <m:ctrlPr>
              <w:rPr>
                <w:rFonts w:ascii="Cambria Math" w:hAnsi="Cambria Math"/>
                <w:i/>
                <w:szCs w:val="20"/>
                <w:lang w:val="bg-BG"/>
              </w:rPr>
            </m:ctrlPr>
          </m:sSubPr>
          <m:e>
            <m:r>
              <w:rPr>
                <w:rFonts w:ascii="Cambria Math" w:hAnsi="Cambria Math"/>
                <w:szCs w:val="20"/>
                <w:lang w:val="bg-BG"/>
              </w:rPr>
              <m:t>B</m:t>
            </m:r>
          </m:e>
          <m:sub>
            <m:r>
              <w:rPr>
                <w:rFonts w:ascii="Cambria Math" w:hAnsi="Cambria Math"/>
                <w:szCs w:val="20"/>
                <w:lang w:val="bg-BG"/>
              </w:rPr>
              <m:t>S</m:t>
            </m:r>
          </m:sub>
        </m:sSub>
      </m:oMath>
      <w:r w:rsidR="007B1046" w:rsidRPr="009072DA">
        <w:rPr>
          <w:lang w:val="bg-BG"/>
        </w:rPr>
        <w:tab/>
        <w:t>[m]</w:t>
      </w:r>
      <w:r w:rsidR="007B1046" w:rsidRPr="009072DA">
        <w:rPr>
          <w:lang w:val="bg-BG"/>
        </w:rPr>
        <w:tab/>
        <w:t>Ширина на тласкащото плавателно средство;</w:t>
      </w:r>
    </w:p>
    <w:p w:rsidR="004F47BB" w:rsidRPr="009072DA" w:rsidRDefault="004F47BB" w:rsidP="004F47BB">
      <w:pPr>
        <w:tabs>
          <w:tab w:val="left" w:pos="284"/>
          <w:tab w:val="left" w:pos="2127"/>
          <w:tab w:val="left" w:pos="2977"/>
        </w:tabs>
        <w:overflowPunct w:val="0"/>
        <w:adjustRightInd w:val="0"/>
        <w:ind w:left="2977" w:hanging="2268"/>
        <w:textAlignment w:val="baseline"/>
        <w:rPr>
          <w:szCs w:val="20"/>
          <w:lang w:val="bg-BG"/>
        </w:rPr>
      </w:pPr>
    </w:p>
    <w:p w:rsidR="004F47BB" w:rsidRPr="009072DA" w:rsidRDefault="004F47BB" w:rsidP="004F47BB">
      <w:pPr>
        <w:tabs>
          <w:tab w:val="left" w:pos="284"/>
          <w:tab w:val="left" w:pos="2127"/>
          <w:tab w:val="left" w:pos="2977"/>
        </w:tabs>
        <w:overflowPunct w:val="0"/>
        <w:adjustRightInd w:val="0"/>
        <w:ind w:left="2977" w:hanging="2268"/>
        <w:textAlignment w:val="baseline"/>
        <w:rPr>
          <w:szCs w:val="20"/>
          <w:lang w:val="bg-BG"/>
        </w:rPr>
      </w:pPr>
    </w:p>
    <w:p w:rsidR="004F47BB" w:rsidRPr="009072DA" w:rsidRDefault="004F47BB" w:rsidP="004F47BB">
      <w:pPr>
        <w:tabs>
          <w:tab w:val="left" w:pos="0"/>
          <w:tab w:val="left" w:pos="284"/>
          <w:tab w:val="left" w:pos="2127"/>
          <w:tab w:val="left" w:pos="2977"/>
        </w:tabs>
        <w:overflowPunct w:val="0"/>
        <w:adjustRightInd w:val="0"/>
        <w:ind w:left="2977" w:hanging="2268"/>
        <w:textAlignment w:val="baseline"/>
        <w:rPr>
          <w:szCs w:val="20"/>
          <w:lang w:val="bg-BG"/>
        </w:rPr>
      </w:pPr>
      <w:r w:rsidRPr="009072DA">
        <w:rPr>
          <w:lang w:val="bg-BG"/>
        </w:rPr>
        <w:t>(270) и (80)</w:t>
      </w:r>
      <w:r w:rsidRPr="009072DA">
        <w:rPr>
          <w:lang w:val="bg-BG"/>
        </w:rPr>
        <w:tab/>
      </w:r>
      <m:oMath>
        <m:d>
          <m:dPr>
            <m:begChr m:val="["/>
            <m:endChr m:val="]"/>
            <m:ctrlPr>
              <w:rPr>
                <w:rFonts w:ascii="Cambria Math" w:hAnsi="Cambria Math"/>
                <w:i/>
                <w:szCs w:val="20"/>
                <w:lang w:val="bg-BG"/>
              </w:rPr>
            </m:ctrlPr>
          </m:dPr>
          <m:e>
            <m:f>
              <m:fPr>
                <m:ctrlPr>
                  <w:rPr>
                    <w:rFonts w:ascii="Cambria Math" w:hAnsi="Cambria Math"/>
                    <w:i/>
                    <w:szCs w:val="20"/>
                    <w:lang w:val="bg-BG"/>
                  </w:rPr>
                </m:ctrlPr>
              </m:fPr>
              <m:num>
                <m:r>
                  <w:rPr>
                    <w:rFonts w:ascii="Cambria Math" w:hAnsi="Cambria Math"/>
                    <w:szCs w:val="20"/>
                    <w:lang w:val="bg-BG"/>
                  </w:rPr>
                  <m:t>k</m:t>
                </m:r>
                <m:r>
                  <w:rPr>
                    <w:rFonts w:ascii="Cambria Math" w:hAnsi="Cambria Math"/>
                    <w:szCs w:val="20"/>
                    <w:lang w:val="bg-BG"/>
                  </w:rPr>
                  <m:t>N</m:t>
                </m:r>
              </m:num>
              <m:den>
                <m:r>
                  <w:rPr>
                    <w:rFonts w:ascii="Cambria Math" w:hAnsi="Cambria Math"/>
                    <w:szCs w:val="20"/>
                    <w:lang w:val="bg-BG"/>
                  </w:rPr>
                  <m:t>kW</m:t>
                </m:r>
              </m:den>
            </m:f>
          </m:e>
        </m:d>
      </m:oMath>
      <w:r w:rsidRPr="009072DA">
        <w:rPr>
          <w:lang w:val="bg-BG"/>
        </w:rPr>
        <w:tab/>
        <w:t>Емпирично установени стойности за превръщането на инсталираната мощност в задвижваща сила при запазване на достатъчни нива на безопасност.</w:t>
      </w:r>
    </w:p>
    <w:p w:rsidR="004F47BB" w:rsidRPr="009072DA" w:rsidRDefault="004F47BB" w:rsidP="004F47BB">
      <w:pPr>
        <w:tabs>
          <w:tab w:val="left" w:pos="1985"/>
          <w:tab w:val="left" w:pos="2835"/>
        </w:tabs>
        <w:overflowPunct w:val="0"/>
        <w:adjustRightInd w:val="0"/>
        <w:textAlignment w:val="baseline"/>
        <w:rPr>
          <w:szCs w:val="20"/>
          <w:lang w:val="bg-BG"/>
        </w:rPr>
      </w:pPr>
    </w:p>
    <w:p w:rsidR="004F47BB" w:rsidRPr="009072DA" w:rsidRDefault="004F47BB" w:rsidP="004F47BB">
      <w:pPr>
        <w:tabs>
          <w:tab w:val="left" w:pos="680"/>
        </w:tabs>
        <w:overflowPunct w:val="0"/>
        <w:adjustRightInd w:val="0"/>
        <w:ind w:left="680" w:hanging="680"/>
        <w:textAlignment w:val="baseline"/>
        <w:rPr>
          <w:szCs w:val="20"/>
          <w:lang w:val="bg-BG"/>
        </w:rPr>
      </w:pPr>
      <w:r w:rsidRPr="009072DA">
        <w:rPr>
          <w:lang w:val="bg-BG"/>
        </w:rPr>
        <w:t>2.4.1</w:t>
      </w:r>
      <w:r w:rsidRPr="009072DA">
        <w:rPr>
          <w:lang w:val="bg-BG"/>
        </w:rPr>
        <w:tab/>
        <w:t>За надлъжното свързване на отделно плавателно средство се използват най-малко две съединителни точки. Всяка съединителна точка се оразмерява за сила на свързване, определена съгласно точка 2.1, 2.2 или 2.3.  Ако се използват компоненти за твърдо свързване, може да се разреши една съединителна точка, ако тази точка осигурява сигурно свързване на плавателното средство.</w:t>
      </w:r>
    </w:p>
    <w:p w:rsidR="004F47BB" w:rsidRPr="009072DA" w:rsidRDefault="004F47BB" w:rsidP="004F47BB">
      <w:pPr>
        <w:tabs>
          <w:tab w:val="left" w:pos="680"/>
        </w:tabs>
        <w:overflowPunct w:val="0"/>
        <w:adjustRightInd w:val="0"/>
        <w:ind w:left="680" w:hanging="680"/>
        <w:textAlignment w:val="baseline"/>
        <w:rPr>
          <w:szCs w:val="20"/>
          <w:lang w:val="bg-BG"/>
        </w:rPr>
      </w:pPr>
    </w:p>
    <w:p w:rsidR="004F47BB" w:rsidRPr="009072DA" w:rsidRDefault="004F47BB" w:rsidP="004F47BB">
      <w:pPr>
        <w:tabs>
          <w:tab w:val="left" w:pos="680"/>
        </w:tabs>
        <w:overflowPunct w:val="0"/>
        <w:adjustRightInd w:val="0"/>
        <w:ind w:left="680" w:hanging="680"/>
        <w:textAlignment w:val="baseline"/>
        <w:rPr>
          <w:szCs w:val="20"/>
          <w:lang w:val="bg-BG"/>
        </w:rPr>
      </w:pPr>
      <w:r w:rsidRPr="009072DA">
        <w:rPr>
          <w:lang w:val="bg-BG"/>
        </w:rPr>
        <w:tab/>
        <w:t>Якостта на опън на въжетата се избира съгласно предвидения брой навивки. Не трябва навивките в съединителната точка да са повече от три. Въжетата се избират съгласно предназначението им.</w:t>
      </w:r>
    </w:p>
    <w:p w:rsidR="004F47BB" w:rsidRPr="009072DA" w:rsidRDefault="004F47BB" w:rsidP="004F47BB">
      <w:pPr>
        <w:tabs>
          <w:tab w:val="left" w:pos="680"/>
        </w:tabs>
        <w:overflowPunct w:val="0"/>
        <w:adjustRightInd w:val="0"/>
        <w:ind w:left="680" w:hanging="680"/>
        <w:textAlignment w:val="baseline"/>
        <w:rPr>
          <w:szCs w:val="20"/>
          <w:lang w:val="bg-BG"/>
        </w:rPr>
      </w:pPr>
    </w:p>
    <w:p w:rsidR="004F47BB" w:rsidRPr="009072DA" w:rsidRDefault="004F47BB" w:rsidP="004F47BB">
      <w:pPr>
        <w:tabs>
          <w:tab w:val="left" w:pos="680"/>
        </w:tabs>
        <w:overflowPunct w:val="0"/>
        <w:adjustRightInd w:val="0"/>
        <w:ind w:left="680" w:hanging="680"/>
        <w:textAlignment w:val="baseline"/>
        <w:rPr>
          <w:szCs w:val="20"/>
          <w:lang w:val="bg-BG"/>
        </w:rPr>
      </w:pPr>
      <w:r w:rsidRPr="009072DA">
        <w:rPr>
          <w:lang w:val="bg-BG"/>
        </w:rPr>
        <w:t>2.4.2</w:t>
      </w:r>
      <w:r w:rsidRPr="009072DA">
        <w:rPr>
          <w:lang w:val="bg-BG"/>
        </w:rPr>
        <w:tab/>
        <w:t>В случай на тласкачи само с един тласкан лихтер може да се използва формулата от точка 2.2 за определяне на силата на свързване, ако на такива тласкачи е разрешено да задвижват няколко такива лихтера.</w:t>
      </w:r>
    </w:p>
    <w:p w:rsidR="004F47BB" w:rsidRPr="009072DA" w:rsidRDefault="004F47BB" w:rsidP="004F47BB">
      <w:pPr>
        <w:tabs>
          <w:tab w:val="left" w:pos="680"/>
        </w:tabs>
        <w:overflowPunct w:val="0"/>
        <w:adjustRightInd w:val="0"/>
        <w:ind w:left="680" w:hanging="680"/>
        <w:textAlignment w:val="baseline"/>
        <w:rPr>
          <w:szCs w:val="20"/>
          <w:lang w:val="bg-BG"/>
        </w:rPr>
      </w:pPr>
    </w:p>
    <w:p w:rsidR="004F47BB" w:rsidRPr="009072DA" w:rsidRDefault="004F47BB" w:rsidP="004F47BB">
      <w:pPr>
        <w:tabs>
          <w:tab w:val="left" w:pos="680"/>
        </w:tabs>
        <w:overflowPunct w:val="0"/>
        <w:adjustRightInd w:val="0"/>
        <w:ind w:left="680" w:hanging="680"/>
        <w:textAlignment w:val="baseline"/>
        <w:rPr>
          <w:szCs w:val="20"/>
          <w:lang w:val="bg-BG"/>
        </w:rPr>
      </w:pPr>
      <w:r w:rsidRPr="009072DA">
        <w:rPr>
          <w:lang w:val="bg-BG"/>
        </w:rPr>
        <w:t>2.4.3</w:t>
      </w:r>
      <w:r w:rsidRPr="009072DA">
        <w:rPr>
          <w:lang w:val="bg-BG"/>
        </w:rPr>
        <w:tab/>
        <w:t>Достатъчен брой кнехтове или еквивалентни устройства трябва да са налични и да са способни да абсорбират породените сили на свързване.</w:t>
      </w:r>
    </w:p>
    <w:p w:rsidR="004F47BB" w:rsidRPr="009072DA" w:rsidRDefault="004F47BB" w:rsidP="004F47BB">
      <w:pPr>
        <w:tabs>
          <w:tab w:val="left" w:pos="680"/>
        </w:tabs>
        <w:overflowPunct w:val="0"/>
        <w:adjustRightInd w:val="0"/>
        <w:ind w:left="680" w:hanging="680"/>
        <w:textAlignment w:val="baseline"/>
        <w:rPr>
          <w:szCs w:val="20"/>
          <w:lang w:val="bg-BG"/>
        </w:rPr>
      </w:pPr>
    </w:p>
    <w:p w:rsidR="004F47BB" w:rsidRPr="009072DA" w:rsidRDefault="004F47BB" w:rsidP="004F47BB">
      <w:pPr>
        <w:tabs>
          <w:tab w:val="left" w:pos="680"/>
        </w:tabs>
        <w:overflowPunct w:val="0"/>
        <w:adjustRightInd w:val="0"/>
        <w:ind w:left="680" w:hanging="680"/>
        <w:textAlignment w:val="baseline"/>
        <w:rPr>
          <w:b/>
          <w:szCs w:val="20"/>
          <w:lang w:val="bg-BG"/>
        </w:rPr>
      </w:pPr>
      <w:r w:rsidRPr="009072DA">
        <w:rPr>
          <w:b/>
          <w:lang w:val="bg-BG"/>
        </w:rPr>
        <w:t>3.</w:t>
      </w:r>
      <w:r w:rsidRPr="009072DA">
        <w:rPr>
          <w:lang w:val="bg-BG"/>
        </w:rPr>
        <w:tab/>
      </w:r>
      <w:r w:rsidRPr="009072DA">
        <w:rPr>
          <w:b/>
          <w:lang w:val="bg-BG"/>
        </w:rPr>
        <w:t>Специални изисквания към шарнирните връзки</w:t>
      </w:r>
    </w:p>
    <w:p w:rsidR="004F47BB" w:rsidRPr="009072DA" w:rsidRDefault="004F47BB" w:rsidP="004F47BB">
      <w:pPr>
        <w:tabs>
          <w:tab w:val="left" w:pos="680"/>
        </w:tabs>
        <w:overflowPunct w:val="0"/>
        <w:adjustRightInd w:val="0"/>
        <w:ind w:left="680" w:hanging="680"/>
        <w:textAlignment w:val="baseline"/>
        <w:rPr>
          <w:szCs w:val="20"/>
          <w:lang w:val="bg-BG"/>
        </w:rPr>
      </w:pPr>
    </w:p>
    <w:p w:rsidR="004F47BB" w:rsidRPr="009072DA" w:rsidRDefault="004F47BB" w:rsidP="004F47BB">
      <w:pPr>
        <w:tabs>
          <w:tab w:val="left" w:pos="680"/>
        </w:tabs>
        <w:overflowPunct w:val="0"/>
        <w:adjustRightInd w:val="0"/>
        <w:ind w:left="680" w:hanging="680"/>
        <w:textAlignment w:val="baseline"/>
        <w:rPr>
          <w:szCs w:val="20"/>
          <w:lang w:val="bg-BG"/>
        </w:rPr>
      </w:pPr>
      <w:r w:rsidRPr="009072DA">
        <w:rPr>
          <w:lang w:val="bg-BG"/>
        </w:rPr>
        <w:tab/>
        <w:t>Шарнирните връзки се проектират така, че да осигуряват също твърдо свързване между плавателните средства. Спазването на изискванията на глава 5 се проверява посредством ходови изпитвания с твърдо свързан състав в съответствие с член 21.06.</w:t>
      </w:r>
    </w:p>
    <w:p w:rsidR="004F47BB" w:rsidRPr="009072DA" w:rsidRDefault="004F47BB" w:rsidP="004F47BB">
      <w:pPr>
        <w:tabs>
          <w:tab w:val="left" w:pos="680"/>
        </w:tabs>
        <w:overflowPunct w:val="0"/>
        <w:adjustRightInd w:val="0"/>
        <w:ind w:left="680" w:hanging="680"/>
        <w:textAlignment w:val="baseline"/>
        <w:rPr>
          <w:szCs w:val="20"/>
          <w:lang w:val="bg-BG"/>
        </w:rPr>
      </w:pPr>
    </w:p>
    <w:p w:rsidR="004F47BB" w:rsidRPr="009072DA" w:rsidRDefault="004F47BB" w:rsidP="004F47BB">
      <w:pPr>
        <w:tabs>
          <w:tab w:val="left" w:pos="680"/>
        </w:tabs>
        <w:overflowPunct w:val="0"/>
        <w:adjustRightInd w:val="0"/>
        <w:ind w:left="680" w:hanging="680"/>
        <w:textAlignment w:val="baseline"/>
        <w:rPr>
          <w:szCs w:val="20"/>
          <w:lang w:val="bg-BG"/>
        </w:rPr>
      </w:pPr>
      <w:r w:rsidRPr="009072DA">
        <w:rPr>
          <w:lang w:val="bg-BG"/>
        </w:rPr>
        <w:tab/>
        <w:t xml:space="preserve">Задвижващият блок на шарнирната връзка трябва да осигурява удовлетворително връщане от разтворено положение. Изискванията от членове от 6.02 до 6.04 се прилагат </w:t>
      </w:r>
      <w:r w:rsidRPr="009072DA">
        <w:rPr>
          <w:i/>
          <w:lang w:val="bg-BG"/>
        </w:rPr>
        <w:t>mutatis mutandis</w:t>
      </w:r>
      <w:r w:rsidRPr="009072DA">
        <w:rPr>
          <w:lang w:val="bg-BG"/>
        </w:rPr>
        <w:t>, от което следва, че ако се използва задвижващо звено с усилвател, в случай на отказ трябва да са налични второ, независимо задвижващо звено и енергиен източник.</w:t>
      </w:r>
    </w:p>
    <w:p w:rsidR="004F47BB" w:rsidRPr="009072DA" w:rsidRDefault="004F47BB" w:rsidP="004F47BB">
      <w:pPr>
        <w:tabs>
          <w:tab w:val="left" w:pos="680"/>
        </w:tabs>
        <w:overflowPunct w:val="0"/>
        <w:adjustRightInd w:val="0"/>
        <w:ind w:left="680" w:hanging="680"/>
        <w:textAlignment w:val="baseline"/>
        <w:rPr>
          <w:szCs w:val="20"/>
          <w:lang w:val="bg-BG"/>
        </w:rPr>
      </w:pPr>
    </w:p>
    <w:p w:rsidR="004F47BB" w:rsidRPr="009072DA" w:rsidRDefault="004F47BB" w:rsidP="004F47BB">
      <w:pPr>
        <w:tabs>
          <w:tab w:val="left" w:pos="680"/>
        </w:tabs>
        <w:overflowPunct w:val="0"/>
        <w:adjustRightInd w:val="0"/>
        <w:ind w:left="680" w:hanging="680"/>
        <w:textAlignment w:val="baseline"/>
        <w:rPr>
          <w:szCs w:val="20"/>
          <w:lang w:val="bg-BG"/>
        </w:rPr>
      </w:pPr>
      <w:r w:rsidRPr="009072DA">
        <w:rPr>
          <w:lang w:val="bg-BG"/>
        </w:rPr>
        <w:tab/>
        <w:t xml:space="preserve">Трябва да е възможно да се управлява и да се наблюдава шарнирната връзка (поне работното ѝ движение) от рулевата рубка, изискванията на членове 7.03 и 7.05 се прилагат </w:t>
      </w:r>
      <w:r w:rsidRPr="009072DA">
        <w:rPr>
          <w:i/>
          <w:lang w:val="bg-BG"/>
        </w:rPr>
        <w:t>mutatis mutandis</w:t>
      </w:r>
      <w:r w:rsidRPr="009072DA">
        <w:rPr>
          <w:lang w:val="bg-BG"/>
        </w:rPr>
        <w:t>.</w:t>
      </w:r>
    </w:p>
    <w:p w:rsidR="004F47BB" w:rsidRPr="009072DA" w:rsidRDefault="004F47BB" w:rsidP="004F47BB">
      <w:pPr>
        <w:tabs>
          <w:tab w:val="left" w:pos="680"/>
        </w:tabs>
        <w:overflowPunct w:val="0"/>
        <w:adjustRightInd w:val="0"/>
        <w:ind w:left="680" w:hanging="680"/>
        <w:textAlignment w:val="baseline"/>
        <w:rPr>
          <w:szCs w:val="20"/>
          <w:lang w:val="bg-BG"/>
        </w:rPr>
      </w:pPr>
      <w:r w:rsidRPr="009072DA">
        <w:rPr>
          <w:lang w:val="bg-BG"/>
        </w:rPr>
        <w:br w:type="page"/>
      </w:r>
    </w:p>
    <w:p w:rsidR="004F47BB" w:rsidRPr="009072DA" w:rsidRDefault="004F47BB" w:rsidP="004F47BB">
      <w:pPr>
        <w:tabs>
          <w:tab w:val="left" w:pos="680"/>
        </w:tabs>
        <w:overflowPunct w:val="0"/>
        <w:adjustRightInd w:val="0"/>
        <w:ind w:left="680" w:hanging="680"/>
        <w:textAlignment w:val="baseline"/>
        <w:rPr>
          <w:szCs w:val="20"/>
          <w:lang w:val="bg-BG"/>
        </w:rPr>
      </w:pPr>
    </w:p>
    <w:p w:rsidR="004F47BB" w:rsidRPr="009072DA" w:rsidRDefault="004F47BB" w:rsidP="004F47BB">
      <w:pPr>
        <w:tabs>
          <w:tab w:val="left" w:pos="680"/>
        </w:tabs>
        <w:overflowPunct w:val="0"/>
        <w:adjustRightInd w:val="0"/>
        <w:ind w:left="680" w:hanging="680"/>
        <w:textAlignment w:val="baseline"/>
        <w:rPr>
          <w:szCs w:val="20"/>
          <w:lang w:val="bg-BG"/>
        </w:rPr>
      </w:pPr>
    </w:p>
    <w:p w:rsidR="004F47BB" w:rsidRPr="009072DA" w:rsidRDefault="004F47BB" w:rsidP="004F47BB">
      <w:pPr>
        <w:tabs>
          <w:tab w:val="left" w:pos="680"/>
        </w:tabs>
        <w:overflowPunct w:val="0"/>
        <w:adjustRightInd w:val="0"/>
        <w:ind w:left="680" w:hanging="680"/>
        <w:textAlignment w:val="baseline"/>
        <w:rPr>
          <w:szCs w:val="20"/>
          <w:lang w:val="bg-BG"/>
        </w:rPr>
      </w:pPr>
    </w:p>
    <w:p w:rsidR="004F47BB" w:rsidRPr="009072DA" w:rsidRDefault="004F47BB" w:rsidP="004F47BB">
      <w:pPr>
        <w:tabs>
          <w:tab w:val="left" w:pos="680"/>
        </w:tabs>
        <w:overflowPunct w:val="0"/>
        <w:adjustRightInd w:val="0"/>
        <w:ind w:left="680" w:hanging="68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spacing w:line="240" w:lineRule="atLeast"/>
        <w:jc w:val="center"/>
        <w:textAlignment w:val="baseline"/>
        <w:rPr>
          <w:rFonts w:eastAsia="Calibri" w:cs="Arial"/>
          <w:b/>
          <w:i/>
          <w:caps/>
          <w:sz w:val="24"/>
          <w:szCs w:val="20"/>
          <w:lang w:val="bg-BG"/>
        </w:rPr>
        <w:sectPr w:rsidR="004F47BB" w:rsidRPr="009072DA" w:rsidSect="00D45887">
          <w:footnotePr>
            <w:numRestart w:val="eachPage"/>
          </w:footnotePr>
          <w:pgSz w:w="11907" w:h="16840" w:code="9"/>
          <w:pgMar w:top="1418" w:right="1418" w:bottom="1418" w:left="1418" w:header="680" w:footer="680" w:gutter="0"/>
          <w:cols w:space="720"/>
          <w:docGrid w:linePitch="326"/>
        </w:sectPr>
      </w:pPr>
    </w:p>
    <w:p w:rsidR="004F47BB" w:rsidRPr="009072DA" w:rsidRDefault="004F47BB" w:rsidP="00330FC4">
      <w:pPr>
        <w:pStyle w:val="ES-Titre2ESI"/>
        <w:rPr>
          <w:szCs w:val="20"/>
        </w:rPr>
      </w:pPr>
      <w:bookmarkStart w:id="774" w:name="_Toc491854370"/>
      <w:bookmarkStart w:id="775" w:name="_Toc535827811"/>
      <w:r w:rsidRPr="009072DA">
        <w:lastRenderedPageBreak/>
        <w:t>ESI-III-7</w:t>
      </w:r>
      <w:r w:rsidRPr="009072DA">
        <w:br/>
        <w:t>Горивни резервоари на плаващи съоръжения</w:t>
      </w:r>
      <w:bookmarkEnd w:id="774"/>
      <w:bookmarkEnd w:id="775"/>
    </w:p>
    <w:p w:rsidR="004F47BB" w:rsidRPr="009072DA" w:rsidRDefault="004F47BB" w:rsidP="004F47BB">
      <w:pPr>
        <w:overflowPunct w:val="0"/>
        <w:adjustRightInd w:val="0"/>
        <w:textAlignment w:val="baseline"/>
        <w:rPr>
          <w:szCs w:val="20"/>
          <w:lang w:val="bg-BG"/>
        </w:rPr>
      </w:pPr>
    </w:p>
    <w:p w:rsidR="004F47BB" w:rsidRPr="009072DA" w:rsidRDefault="004F47BB" w:rsidP="004F47BB">
      <w:pPr>
        <w:tabs>
          <w:tab w:val="left" w:pos="284"/>
          <w:tab w:val="left" w:pos="567"/>
        </w:tabs>
        <w:overflowPunct w:val="0"/>
        <w:adjustRightInd w:val="0"/>
        <w:ind w:left="284" w:hanging="284"/>
        <w:jc w:val="center"/>
        <w:textAlignment w:val="baseline"/>
        <w:rPr>
          <w:b/>
          <w:szCs w:val="20"/>
          <w:lang w:val="bg-BG"/>
        </w:rPr>
      </w:pPr>
      <w:r w:rsidRPr="009072DA">
        <w:rPr>
          <w:b/>
          <w:lang w:val="bg-BG"/>
        </w:rPr>
        <w:t>(член 8.05, точка 1 и член 22.02, точка 1, буква г))</w:t>
      </w:r>
    </w:p>
    <w:p w:rsidR="004F47BB" w:rsidRPr="009072DA" w:rsidRDefault="004F47BB" w:rsidP="004F47BB">
      <w:pPr>
        <w:tabs>
          <w:tab w:val="left" w:pos="284"/>
          <w:tab w:val="left" w:pos="567"/>
        </w:tabs>
        <w:overflowPunct w:val="0"/>
        <w:adjustRightInd w:val="0"/>
        <w:ind w:left="284" w:hanging="284"/>
        <w:textAlignment w:val="baseline"/>
        <w:rPr>
          <w:szCs w:val="20"/>
          <w:lang w:val="bg-BG"/>
        </w:rPr>
      </w:pPr>
    </w:p>
    <w:p w:rsidR="004F47BB" w:rsidRPr="009072DA" w:rsidRDefault="004F47BB" w:rsidP="004F47BB">
      <w:pPr>
        <w:spacing w:line="240" w:lineRule="atLeast"/>
        <w:rPr>
          <w:lang w:val="bg-BG"/>
        </w:rPr>
      </w:pPr>
      <w:r w:rsidRPr="009072DA">
        <w:rPr>
          <w:lang w:val="bg-BG"/>
        </w:rPr>
        <w:t>Съгласно член 8.05, точка 1 горивните резервоари са неразделна част от корпуса или са здраво свързани с него.</w:t>
      </w:r>
    </w:p>
    <w:p w:rsidR="004F47BB" w:rsidRPr="009072DA" w:rsidRDefault="004F47BB" w:rsidP="004F47BB">
      <w:pPr>
        <w:spacing w:line="240" w:lineRule="atLeast"/>
        <w:rPr>
          <w:lang w:val="bg-BG"/>
        </w:rPr>
      </w:pPr>
    </w:p>
    <w:p w:rsidR="004F47BB" w:rsidRPr="009072DA" w:rsidRDefault="004F47BB" w:rsidP="004F47BB">
      <w:pPr>
        <w:spacing w:line="240" w:lineRule="atLeast"/>
        <w:rPr>
          <w:lang w:val="bg-BG"/>
        </w:rPr>
      </w:pPr>
      <w:r w:rsidRPr="009072DA">
        <w:rPr>
          <w:lang w:val="bg-BG"/>
        </w:rPr>
        <w:t>Горивните резервоари на двигателите на работното оборудване на плаващи съоръжения не трябва да са неразделна част от корпуса или да са здраво свързани с него. Подвижни резервоари могат да бъдат използвани, ако отговарят на следните условия:</w:t>
      </w:r>
    </w:p>
    <w:p w:rsidR="004F47BB" w:rsidRPr="009072DA" w:rsidRDefault="004F47BB" w:rsidP="004F47BB">
      <w:pPr>
        <w:tabs>
          <w:tab w:val="left" w:pos="0"/>
          <w:tab w:val="left" w:pos="454"/>
          <w:tab w:val="left" w:pos="567"/>
          <w:tab w:val="left" w:pos="851"/>
        </w:tabs>
        <w:overflowPunct w:val="0"/>
        <w:adjustRightInd w:val="0"/>
        <w:ind w:left="454" w:hanging="454"/>
        <w:textAlignment w:val="baseline"/>
        <w:rPr>
          <w:szCs w:val="20"/>
          <w:lang w:val="bg-BG"/>
        </w:rPr>
      </w:pPr>
    </w:p>
    <w:p w:rsidR="004F47BB" w:rsidRPr="009072DA" w:rsidRDefault="004F47BB" w:rsidP="004F47BB">
      <w:pPr>
        <w:spacing w:line="240" w:lineRule="atLeast"/>
        <w:ind w:left="567" w:hanging="567"/>
        <w:rPr>
          <w:lang w:val="bg-BG"/>
        </w:rPr>
      </w:pPr>
      <w:r w:rsidRPr="009072DA">
        <w:rPr>
          <w:lang w:val="bg-BG"/>
        </w:rPr>
        <w:t>1.</w:t>
      </w:r>
      <w:r w:rsidRPr="009072DA">
        <w:rPr>
          <w:lang w:val="bg-BG"/>
        </w:rPr>
        <w:tab/>
        <w:t>вместимостта на тези резервоари не надхвърля 1000 литра.</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2.</w:t>
      </w:r>
      <w:r w:rsidRPr="009072DA">
        <w:rPr>
          <w:lang w:val="bg-BG"/>
        </w:rPr>
        <w:tab/>
        <w:t>възможно е резервоарите да се закрепват достатъчно здраво и да се заземяват.</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3.</w:t>
      </w:r>
      <w:r w:rsidRPr="009072DA">
        <w:rPr>
          <w:lang w:val="bg-BG"/>
        </w:rPr>
        <w:tab/>
        <w:t>резервоарите са от стомана, с достатъчна дебелина на стените и са монтирани в събирателна вана за течове. Последната е предназначена да предотвратява замърсяване на водните пътища с изтекло гориво. Събирателната вана може да се пропусне, ако са използвани резервоари с двойна обшивка със защита против течове или със система за известяване на течове, които се пълнят само с автоматичен клапан за подаване. Разпоредбите на точка 3 се считат за изпълнени, ако конструкцията на резервоара е сертифицирана и одобрена съгласно нормативната уредба на държава членка.</w:t>
      </w:r>
    </w:p>
    <w:p w:rsidR="004F47BB" w:rsidRPr="009072DA" w:rsidRDefault="004F47BB" w:rsidP="004F47BB">
      <w:pPr>
        <w:tabs>
          <w:tab w:val="left" w:pos="567"/>
          <w:tab w:val="left" w:pos="851"/>
          <w:tab w:val="left" w:pos="1701"/>
          <w:tab w:val="left" w:pos="7088"/>
        </w:tabs>
        <w:overflowPunct w:val="0"/>
        <w:adjustRightInd w:val="0"/>
        <w:spacing w:line="240" w:lineRule="atLeast"/>
        <w:textAlignment w:val="baseline"/>
        <w:rPr>
          <w:szCs w:val="20"/>
          <w:lang w:val="bg-BG"/>
        </w:rPr>
      </w:pPr>
    </w:p>
    <w:p w:rsidR="004F47BB" w:rsidRPr="009072DA" w:rsidRDefault="004F47BB" w:rsidP="004F47BB">
      <w:pPr>
        <w:spacing w:line="240" w:lineRule="atLeast"/>
        <w:rPr>
          <w:lang w:val="bg-BG"/>
        </w:rPr>
      </w:pPr>
      <w:r w:rsidRPr="009072DA">
        <w:rPr>
          <w:lang w:val="bg-BG"/>
        </w:rPr>
        <w:t>Подходящо вписване се извършва в удостоверението на плавателния съд за плаване по вътрешни водни пътища.</w:t>
      </w:r>
    </w:p>
    <w:p w:rsidR="004F47BB" w:rsidRPr="009072D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bg-BG"/>
        </w:rPr>
      </w:pPr>
    </w:p>
    <w:p w:rsidR="004F47BB" w:rsidRPr="009072D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bg-BG"/>
        </w:rPr>
      </w:pPr>
      <w:r w:rsidRPr="009072DA">
        <w:rPr>
          <w:lang w:val="bg-BG"/>
        </w:rPr>
        <w:br w:type="page"/>
      </w:r>
    </w:p>
    <w:p w:rsidR="004F47BB" w:rsidRPr="009072D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bg-BG"/>
        </w:rPr>
      </w:pPr>
    </w:p>
    <w:p w:rsidR="004F47BB" w:rsidRPr="009072D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bg-BG"/>
        </w:rPr>
      </w:pPr>
    </w:p>
    <w:p w:rsidR="004F47BB" w:rsidRPr="009072D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bg-BG"/>
        </w:rPr>
      </w:pPr>
    </w:p>
    <w:p w:rsidR="004F47BB" w:rsidRPr="009072D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bg-BG"/>
        </w:rPr>
      </w:pPr>
    </w:p>
    <w:p w:rsidR="004F47BB" w:rsidRPr="009072D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bg-BG"/>
        </w:rPr>
      </w:pPr>
    </w:p>
    <w:p w:rsidR="004F47BB" w:rsidRPr="009072D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bg-BG"/>
        </w:rPr>
        <w:sectPr w:rsidR="004F47BB" w:rsidRPr="009072DA" w:rsidSect="00D45887">
          <w:footnotePr>
            <w:numRestart w:val="eachPage"/>
          </w:footnotePr>
          <w:pgSz w:w="11907" w:h="16840" w:code="9"/>
          <w:pgMar w:top="1418" w:right="1418" w:bottom="1418" w:left="1418" w:header="680" w:footer="680" w:gutter="0"/>
          <w:cols w:space="720"/>
          <w:docGrid w:linePitch="326"/>
        </w:sectPr>
      </w:pPr>
    </w:p>
    <w:p w:rsidR="004F47BB" w:rsidRPr="009072DA" w:rsidRDefault="004F47BB" w:rsidP="00330FC4">
      <w:pPr>
        <w:pStyle w:val="ES-Titre2ESI"/>
      </w:pPr>
      <w:bookmarkStart w:id="776" w:name="_Toc491854371"/>
      <w:bookmarkStart w:id="777" w:name="_Toc535827812"/>
      <w:r w:rsidRPr="009072DA">
        <w:lastRenderedPageBreak/>
        <w:t>ESI-III-8</w:t>
      </w:r>
      <w:r w:rsidRPr="009072DA">
        <w:br/>
        <w:t>Плавателни съдове за отдих</w:t>
      </w:r>
      <w:bookmarkEnd w:id="776"/>
      <w:bookmarkEnd w:id="777"/>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jc w:val="center"/>
        <w:rPr>
          <w:b/>
          <w:lang w:val="bg-BG"/>
        </w:rPr>
      </w:pPr>
      <w:r w:rsidRPr="009072DA">
        <w:rPr>
          <w:b/>
          <w:lang w:val="bg-BG"/>
        </w:rPr>
        <w:t>(член 26.01, точка 2 във връзка с член 7.02, член 8.05, точка 5, член 8.08, точка 2 и член 8.10)</w:t>
      </w:r>
    </w:p>
    <w:p w:rsidR="004F47BB" w:rsidRPr="009072DA" w:rsidRDefault="004F47BB" w:rsidP="004F47BB">
      <w:pPr>
        <w:spacing w:line="240" w:lineRule="atLeast"/>
        <w:ind w:left="567" w:hanging="567"/>
        <w:rPr>
          <w:rFonts w:cs="Arial"/>
          <w:b/>
          <w:color w:val="000000"/>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1.</w:t>
      </w:r>
      <w:r w:rsidRPr="009072DA">
        <w:rPr>
          <w:lang w:val="bg-BG"/>
        </w:rPr>
        <w:tab/>
      </w:r>
      <w:r w:rsidRPr="009072DA">
        <w:rPr>
          <w:b/>
          <w:color w:val="000000"/>
          <w:lang w:val="bg-BG"/>
        </w:rPr>
        <w:t>Общи положения</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Пусканите на пазара плавателни съдове за отдих, имащи дължина до 24 метра, трябва да отговарят на изискванията на Директива 2013/53/ЕС. Съгласно член 3 във връзка с член 2 от посочената директива плавателните съдове за отдих, имащи дължина 20 метра или повече, трябва да притежават удостоверение на плавателен съд за плаване по вътрешни водни пътища, потвърждаващо, че плавателното средство отговаря на техническите изисквания на настоящия стандарт. За да се избегне двойната проверка или сертифициране на някои части на оборудването, приспособления и съоръжения на новопостроени плавателни съдове за отдих в резултат на прилагането на определени разпоредби от член 26.01 от стандарта, настоящата инструкция предоставя информация относно изискванията по член 26.01, които са уредени в достатъчна степен в Директива 2013/53/ЕС.</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w:t>
      </w:r>
      <w:r w:rsidRPr="009072DA">
        <w:rPr>
          <w:lang w:val="bg-BG"/>
        </w:rPr>
        <w:tab/>
      </w:r>
      <w:r w:rsidRPr="009072DA">
        <w:rPr>
          <w:b/>
          <w:color w:val="000000"/>
          <w:lang w:val="bg-BG"/>
        </w:rPr>
        <w:t>Изисквания по член 26.01, които са уредени в Директива 2013/53/ЕС</w:t>
      </w:r>
    </w:p>
    <w:p w:rsidR="004F47BB" w:rsidRPr="009072DA" w:rsidRDefault="004F47BB" w:rsidP="004F47BB">
      <w:pPr>
        <w:spacing w:line="240" w:lineRule="atLeast"/>
        <w:ind w:left="567"/>
        <w:rPr>
          <w:lang w:val="bg-BG"/>
        </w:rPr>
      </w:pPr>
    </w:p>
    <w:p w:rsidR="004F47BB" w:rsidRPr="009072DA" w:rsidRDefault="004F47BB" w:rsidP="004F47BB">
      <w:pPr>
        <w:spacing w:line="240" w:lineRule="atLeast"/>
        <w:ind w:left="567"/>
        <w:rPr>
          <w:lang w:val="bg-BG"/>
        </w:rPr>
      </w:pPr>
      <w:r w:rsidRPr="009072DA">
        <w:rPr>
          <w:lang w:val="bg-BG"/>
        </w:rPr>
        <w:t>За плавателни съдове за отдих, които са предмет на Директива 2013/53/ЕС, при издаването на удостоверение на плавателен съд за плаване по вътрешни водни пътища (първоначална проверка) контролният орган не изисква нова проверка или сертифициране на следните изисквания по член 26.01, точка 2, при условие че плавателното средство, представено за проверка, е пуснато на пазара не повече от 3 години преди датата на представяне на контролния орган и по него не са извършвани никакви изменения, и декларацията за съответствие се отнася за следните хармонизирани стандарти или техните еквиваленти:</w:t>
      </w:r>
    </w:p>
    <w:p w:rsidR="004F47BB" w:rsidRPr="009072DA" w:rsidRDefault="004F47BB" w:rsidP="004F47BB">
      <w:pPr>
        <w:tabs>
          <w:tab w:val="left" w:pos="4253"/>
        </w:tabs>
        <w:spacing w:before="60" w:line="240" w:lineRule="atLeast"/>
        <w:ind w:left="2127" w:hanging="1560"/>
        <w:rPr>
          <w:lang w:val="bg-BG"/>
        </w:rPr>
      </w:pPr>
      <w:r w:rsidRPr="009072DA">
        <w:rPr>
          <w:lang w:val="bg-BG"/>
        </w:rPr>
        <w:t>Член 7.02:</w:t>
      </w:r>
      <w:r w:rsidRPr="009072DA">
        <w:rPr>
          <w:lang w:val="bg-BG"/>
        </w:rPr>
        <w:tab/>
        <w:t>EN ISO 11591 : 2000,</w:t>
      </w:r>
      <w:r w:rsidRPr="009072DA">
        <w:rPr>
          <w:lang w:val="bg-BG"/>
        </w:rPr>
        <w:tab/>
        <w:t>(Безпрепятствена видимост)</w:t>
      </w:r>
    </w:p>
    <w:p w:rsidR="004F47BB" w:rsidRPr="009072DA" w:rsidRDefault="004F47BB" w:rsidP="004F47BB">
      <w:pPr>
        <w:tabs>
          <w:tab w:val="left" w:pos="4253"/>
        </w:tabs>
        <w:spacing w:before="60" w:line="240" w:lineRule="atLeast"/>
        <w:ind w:left="2127" w:hanging="1560"/>
        <w:rPr>
          <w:lang w:val="bg-BG"/>
        </w:rPr>
      </w:pPr>
      <w:r w:rsidRPr="009072DA">
        <w:rPr>
          <w:lang w:val="bg-BG"/>
        </w:rPr>
        <w:t>Член 8.05, точка 5 :</w:t>
      </w:r>
      <w:r w:rsidRPr="009072DA">
        <w:rPr>
          <w:lang w:val="bg-BG"/>
        </w:rPr>
        <w:tab/>
        <w:t>EN ISO 10088 : 2013,</w:t>
      </w:r>
      <w:r w:rsidRPr="009072DA">
        <w:rPr>
          <w:lang w:val="bg-BG"/>
        </w:rPr>
        <w:tab/>
        <w:t>(Горивни резервоари и тръбопроводи)</w:t>
      </w:r>
    </w:p>
    <w:p w:rsidR="004F47BB" w:rsidRPr="009072DA" w:rsidRDefault="004F47BB" w:rsidP="004F47BB">
      <w:pPr>
        <w:tabs>
          <w:tab w:val="left" w:pos="4253"/>
        </w:tabs>
        <w:spacing w:before="60" w:line="240" w:lineRule="atLeast"/>
        <w:ind w:left="2127" w:hanging="1560"/>
        <w:rPr>
          <w:lang w:val="bg-BG"/>
        </w:rPr>
      </w:pPr>
      <w:r w:rsidRPr="009072DA">
        <w:rPr>
          <w:lang w:val="bg-BG"/>
        </w:rPr>
        <w:t>Член 8.08, точка 2 :</w:t>
      </w:r>
      <w:r w:rsidRPr="009072DA">
        <w:rPr>
          <w:lang w:val="bg-BG"/>
        </w:rPr>
        <w:tab/>
        <w:t>EN ISO 15083 : 2003,</w:t>
      </w:r>
      <w:r w:rsidRPr="009072DA">
        <w:rPr>
          <w:lang w:val="bg-BG"/>
        </w:rPr>
        <w:tab/>
        <w:t>(Системи за изпомпване на трюма)</w:t>
      </w:r>
    </w:p>
    <w:p w:rsidR="004F47BB" w:rsidRPr="009072DA" w:rsidRDefault="004F47BB" w:rsidP="004F47BB">
      <w:pPr>
        <w:tabs>
          <w:tab w:val="left" w:pos="4253"/>
        </w:tabs>
        <w:spacing w:before="60" w:line="240" w:lineRule="atLeast"/>
        <w:ind w:left="2127" w:hanging="1560"/>
        <w:rPr>
          <w:lang w:val="bg-BG"/>
        </w:rPr>
      </w:pPr>
      <w:r w:rsidRPr="009072DA">
        <w:rPr>
          <w:lang w:val="bg-BG"/>
        </w:rPr>
        <w:t>Член 8.10 :</w:t>
      </w:r>
      <w:r w:rsidRPr="009072DA">
        <w:rPr>
          <w:lang w:val="bg-BG"/>
        </w:rPr>
        <w:tab/>
        <w:t>EN ISO 14509-1 : 2008 и EN ISO 14509-3 : 2009 (Шумови емисии)</w:t>
      </w:r>
    </w:p>
    <w:p w:rsidR="004F47BB" w:rsidRPr="009072DA" w:rsidRDefault="004F47BB" w:rsidP="004F47BB">
      <w:pPr>
        <w:spacing w:line="240" w:lineRule="atLeast"/>
        <w:ind w:left="567" w:hanging="567"/>
        <w:rPr>
          <w:lang w:val="bg-BG"/>
        </w:rPr>
      </w:pPr>
      <w:r w:rsidRPr="009072DA">
        <w:rPr>
          <w:lang w:val="bg-BG"/>
        </w:rPr>
        <w:t xml:space="preserve"> </w:t>
      </w:r>
    </w:p>
    <w:p w:rsidR="004F47BB" w:rsidRPr="009072DA" w:rsidRDefault="004F47BB" w:rsidP="004F47BB">
      <w:pPr>
        <w:spacing w:line="240" w:lineRule="atLeast"/>
        <w:ind w:left="567" w:hanging="567"/>
        <w:rPr>
          <w:lang w:val="bg-BG"/>
        </w:rPr>
      </w:pPr>
      <w:r w:rsidRPr="009072DA">
        <w:rPr>
          <w:lang w:val="bg-BG"/>
        </w:rPr>
        <w:br w:type="page"/>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p>
    <w:p w:rsidR="004F47BB" w:rsidRPr="009072D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bg-BG"/>
        </w:rPr>
      </w:pPr>
    </w:p>
    <w:p w:rsidR="004F47BB" w:rsidRPr="009072D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bg-BG"/>
        </w:rPr>
        <w:sectPr w:rsidR="004F47BB" w:rsidRPr="009072DA" w:rsidSect="00D45887">
          <w:footnotePr>
            <w:numRestart w:val="eachPage"/>
          </w:footnotePr>
          <w:pgSz w:w="11907" w:h="16840" w:code="9"/>
          <w:pgMar w:top="1418" w:right="1418" w:bottom="1418" w:left="1418" w:header="680" w:footer="680" w:gutter="0"/>
          <w:cols w:space="720"/>
          <w:docGrid w:linePitch="326"/>
        </w:sectPr>
      </w:pPr>
    </w:p>
    <w:p w:rsidR="004F47BB" w:rsidRPr="009072DA" w:rsidRDefault="004F47BB" w:rsidP="00330FC4">
      <w:pPr>
        <w:pStyle w:val="ES-Titre2ESI"/>
        <w:rPr>
          <w:szCs w:val="20"/>
        </w:rPr>
      </w:pPr>
      <w:bookmarkStart w:id="778" w:name="_Toc491854372"/>
      <w:bookmarkStart w:id="779" w:name="_Toc535827813"/>
      <w:r w:rsidRPr="009072DA">
        <w:lastRenderedPageBreak/>
        <w:t>ESI-III-9</w:t>
      </w:r>
      <w:r w:rsidRPr="009072DA">
        <w:br/>
        <w:t>Доказателство за плавателност, диферент и устойчивост на разделените части на плавателен съд</w:t>
      </w:r>
      <w:bookmarkEnd w:id="778"/>
      <w:bookmarkEnd w:id="779"/>
    </w:p>
    <w:p w:rsidR="004F47BB" w:rsidRPr="009072D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bg-BG"/>
        </w:rPr>
      </w:pPr>
    </w:p>
    <w:p w:rsidR="004F47BB" w:rsidRPr="009072DA" w:rsidRDefault="004F47BB" w:rsidP="004F47BB">
      <w:pPr>
        <w:jc w:val="center"/>
        <w:rPr>
          <w:rFonts w:cs="Arial"/>
          <w:b/>
          <w:bCs/>
          <w:lang w:val="bg-BG"/>
        </w:rPr>
      </w:pPr>
      <w:r w:rsidRPr="009072DA">
        <w:rPr>
          <w:b/>
          <w:lang w:val="bg-BG"/>
        </w:rPr>
        <w:t>(член 28.04 във връзка с член 27.02 и член 27.03)</w:t>
      </w:r>
    </w:p>
    <w:p w:rsidR="004F47BB" w:rsidRPr="009072DA" w:rsidRDefault="004F47BB" w:rsidP="004F47BB">
      <w:pPr>
        <w:rPr>
          <w:rFonts w:cs="Arial"/>
          <w:lang w:val="bg-BG"/>
        </w:rPr>
      </w:pPr>
    </w:p>
    <w:p w:rsidR="004F47BB" w:rsidRPr="009072DA" w:rsidRDefault="004F47BB" w:rsidP="004F47BB">
      <w:pPr>
        <w:spacing w:line="240" w:lineRule="atLeast"/>
        <w:ind w:left="567" w:hanging="567"/>
        <w:rPr>
          <w:strike/>
          <w:lang w:val="bg-BG"/>
        </w:rPr>
      </w:pPr>
      <w:r w:rsidRPr="009072DA">
        <w:rPr>
          <w:lang w:val="bg-BG"/>
        </w:rPr>
        <w:t>1.</w:t>
      </w:r>
      <w:r w:rsidRPr="009072DA">
        <w:rPr>
          <w:lang w:val="bg-BG"/>
        </w:rPr>
        <w:tab/>
        <w:t>При доказване на плавателност, диферент и устойчивост на частите на плавателен съд, които са били разделени в съответствие с член 28.04, точка 2, буква a), се приема, че двете части са частично или изцяло разтоварени преди това или че контейнерите, излизащи извън водозащитния борд на люка, са подходящо защитени от изпадане.</w:t>
      </w:r>
    </w:p>
    <w:p w:rsidR="004F47BB" w:rsidRPr="009072DA" w:rsidRDefault="004F47BB" w:rsidP="004F47BB">
      <w:pPr>
        <w:spacing w:line="240" w:lineRule="atLeast"/>
        <w:ind w:left="567" w:hanging="567"/>
        <w:rPr>
          <w:strike/>
          <w:szCs w:val="20"/>
          <w:lang w:val="bg-BG"/>
        </w:rPr>
      </w:pPr>
    </w:p>
    <w:p w:rsidR="004F47BB" w:rsidRPr="009072DA" w:rsidRDefault="004F47BB" w:rsidP="004F47BB">
      <w:pPr>
        <w:spacing w:line="240" w:lineRule="atLeast"/>
        <w:ind w:left="567" w:hanging="567"/>
        <w:rPr>
          <w:lang w:val="bg-BG"/>
        </w:rPr>
      </w:pPr>
      <w:r w:rsidRPr="009072DA">
        <w:rPr>
          <w:lang w:val="bg-BG"/>
        </w:rPr>
        <w:t>2.</w:t>
      </w:r>
      <w:r w:rsidRPr="009072DA">
        <w:rPr>
          <w:lang w:val="bg-BG"/>
        </w:rPr>
        <w:tab/>
        <w:t>Затова за всяка от двете части трябва да са изпълнени следните изисквания при изчисляването на устойчивостта в съответствие с член 27.03 (Ограничения и методи на изчисление за потвърждаване устойчивостта при превоз на закрепени контейнери):</w:t>
      </w:r>
    </w:p>
    <w:p w:rsidR="004F47BB" w:rsidRPr="009072DA" w:rsidRDefault="004F47BB" w:rsidP="004F47BB">
      <w:pPr>
        <w:tabs>
          <w:tab w:val="left" w:pos="567"/>
        </w:tabs>
        <w:spacing w:before="60" w:line="240" w:lineRule="atLeast"/>
        <w:ind w:left="992"/>
        <w:rPr>
          <w:rFonts w:cs="Arial"/>
          <w:lang w:val="bg-BG"/>
        </w:rPr>
      </w:pPr>
      <w:r w:rsidRPr="009072DA">
        <w:rPr>
          <w:rFonts w:cs="Arial"/>
          <w:lang w:val="bg-BG"/>
        </w:rPr>
        <w:sym w:font="Symbol" w:char="F0B7"/>
      </w:r>
      <w:r w:rsidRPr="009072DA">
        <w:rPr>
          <w:lang w:val="bg-BG"/>
        </w:rPr>
        <w:tab/>
        <w:t xml:space="preserve">метацентричната височина </w:t>
      </w:r>
      <m:oMath>
        <m:acc>
          <m:accPr>
            <m:chr m:val="̅"/>
            <m:ctrlPr>
              <w:rPr>
                <w:rFonts w:ascii="Cambria Math" w:hAnsi="Cambria Math"/>
                <w:i/>
                <w:lang w:val="bg-BG"/>
              </w:rPr>
            </m:ctrlPr>
          </m:accPr>
          <m:e>
            <m:r>
              <w:rPr>
                <w:rFonts w:ascii="Cambria Math" w:hAnsi="Cambria Math"/>
                <w:lang w:val="bg-BG"/>
              </w:rPr>
              <m:t>MG</m:t>
            </m:r>
          </m:e>
        </m:acc>
      </m:oMath>
      <w:r w:rsidRPr="009072DA">
        <w:rPr>
          <w:lang w:val="bg-BG"/>
        </w:rPr>
        <w:t xml:space="preserve"> е не по-малка от 0,50 m,</w:t>
      </w:r>
    </w:p>
    <w:p w:rsidR="004F47BB" w:rsidRPr="009072DA" w:rsidRDefault="004F47BB" w:rsidP="004F47BB">
      <w:pPr>
        <w:tabs>
          <w:tab w:val="left" w:pos="567"/>
        </w:tabs>
        <w:spacing w:before="60" w:line="240" w:lineRule="atLeast"/>
        <w:ind w:left="992"/>
        <w:rPr>
          <w:rFonts w:cs="Arial"/>
          <w:lang w:val="bg-BG"/>
        </w:rPr>
      </w:pPr>
      <w:r w:rsidRPr="009072DA">
        <w:rPr>
          <w:rFonts w:cs="Arial"/>
          <w:lang w:val="bg-BG"/>
        </w:rPr>
        <w:sym w:font="Symbol" w:char="F0B7"/>
      </w:r>
      <w:r w:rsidRPr="009072DA">
        <w:rPr>
          <w:lang w:val="bg-BG"/>
        </w:rPr>
        <w:tab/>
        <w:t>остатъчното разстояние на безопасност трябва да бъде 100 mm</w:t>
      </w:r>
    </w:p>
    <w:p w:rsidR="004F47BB" w:rsidRPr="009072DA" w:rsidRDefault="004F47BB" w:rsidP="004F47BB">
      <w:pPr>
        <w:tabs>
          <w:tab w:val="left" w:pos="567"/>
        </w:tabs>
        <w:spacing w:before="60" w:line="240" w:lineRule="atLeast"/>
        <w:ind w:left="992"/>
        <w:rPr>
          <w:rFonts w:cs="Arial"/>
          <w:lang w:val="bg-BG"/>
        </w:rPr>
      </w:pPr>
      <w:r w:rsidRPr="009072DA">
        <w:rPr>
          <w:rFonts w:cs="Arial"/>
          <w:lang w:val="bg-BG"/>
        </w:rPr>
        <w:sym w:font="Symbol" w:char="F0B7"/>
      </w:r>
      <w:r w:rsidRPr="009072DA">
        <w:rPr>
          <w:lang w:val="bg-BG"/>
        </w:rPr>
        <w:tab/>
        <w:t>скоростта, която се взема предвид, трябва да бъде 7 km/h,</w:t>
      </w:r>
    </w:p>
    <w:p w:rsidR="004F47BB" w:rsidRPr="009072DA" w:rsidRDefault="004F47BB" w:rsidP="004F47BB">
      <w:pPr>
        <w:tabs>
          <w:tab w:val="left" w:pos="567"/>
        </w:tabs>
        <w:spacing w:before="60" w:line="240" w:lineRule="atLeast"/>
        <w:ind w:left="992"/>
        <w:rPr>
          <w:rFonts w:cs="Arial"/>
          <w:strike/>
          <w:szCs w:val="20"/>
          <w:lang w:val="bg-BG"/>
        </w:rPr>
      </w:pPr>
      <w:r w:rsidRPr="009072DA">
        <w:rPr>
          <w:rFonts w:cs="Arial"/>
          <w:szCs w:val="20"/>
          <w:lang w:val="bg-BG"/>
        </w:rPr>
        <w:sym w:font="Symbol" w:char="F0B7"/>
      </w:r>
      <w:r w:rsidRPr="009072DA">
        <w:rPr>
          <w:lang w:val="bg-BG"/>
        </w:rPr>
        <w:tab/>
        <w:t>налягането на вятъра се приема за 0,01 t/m</w:t>
      </w:r>
      <w:r w:rsidRPr="009072DA">
        <w:rPr>
          <w:vertAlign w:val="superscript"/>
          <w:lang w:val="bg-BG"/>
        </w:rPr>
        <w:t>2</w:t>
      </w:r>
      <w:r w:rsidRPr="009072DA">
        <w:rPr>
          <w:lang w:val="bg-BG"/>
        </w:rPr>
        <w:t>.</w:t>
      </w:r>
    </w:p>
    <w:p w:rsidR="004F47BB" w:rsidRPr="009072DA" w:rsidRDefault="004F47BB" w:rsidP="004F47BB">
      <w:pPr>
        <w:tabs>
          <w:tab w:val="left" w:pos="567"/>
        </w:tabs>
        <w:spacing w:line="240" w:lineRule="atLeast"/>
        <w:ind w:left="567" w:hanging="567"/>
        <w:rPr>
          <w:rFonts w:cs="Arial"/>
          <w:szCs w:val="20"/>
          <w:lang w:val="bg-BG"/>
        </w:rPr>
      </w:pPr>
    </w:p>
    <w:p w:rsidR="004F47BB" w:rsidRPr="009072DA" w:rsidRDefault="004F47BB" w:rsidP="004F47BB">
      <w:pPr>
        <w:spacing w:line="240" w:lineRule="atLeast"/>
        <w:ind w:left="567" w:hanging="567"/>
        <w:rPr>
          <w:lang w:val="bg-BG"/>
        </w:rPr>
      </w:pPr>
      <w:r w:rsidRPr="009072DA">
        <w:rPr>
          <w:lang w:val="bg-BG"/>
        </w:rPr>
        <w:t>3.</w:t>
      </w:r>
      <w:r w:rsidRPr="009072DA">
        <w:rPr>
          <w:lang w:val="bg-BG"/>
        </w:rPr>
        <w:tab/>
        <w:t>Ъгълът на крен (≤ 5°) не трябва да се спазва за частите на съда, разделени в съответствие с член 28.04, точка 2, тъй като този ъгъл, получен от коефициента на триене, е за незакрепени контейнери.</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rPr>
          <w:lang w:val="bg-BG"/>
        </w:rPr>
      </w:pPr>
      <w:r w:rsidRPr="009072DA">
        <w:rPr>
          <w:lang w:val="bg-BG"/>
        </w:rPr>
        <w:t>Рамото на кренящия момент, резултат от откритите повърхности на течности, се взема предвид в съответствие с формулата, дадена в член 27.02, точка 1, буква д).</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4.</w:t>
      </w:r>
      <w:r w:rsidRPr="009072DA">
        <w:rPr>
          <w:lang w:val="bg-BG"/>
        </w:rPr>
        <w:tab/>
        <w:t>Определените в точки 2 и 3 изисквания се считат също за изпълнени, ако за всяка от двете части са изпълнени изискванията за устойчивост, определени в раздел 9.1.0.95.2 от Споразумението за превоз на опасни товари по река Рейн (ADNR).</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5.</w:t>
      </w:r>
      <w:r w:rsidRPr="009072DA">
        <w:rPr>
          <w:lang w:val="bg-BG"/>
        </w:rPr>
        <w:tab/>
        <w:t>Потвърждение за устойчивостта на разделените части на съда може да се получи въз основа на допускането, че натоварването е разпределено равномерно, тъй като равномерното разпределяне на натоварването — ако случаят вече не е бил такъв — може да се извърши преди разделянето, или в противен случай съдът може значително да се разтовари.</w:t>
      </w:r>
    </w:p>
    <w:p w:rsidR="004F47BB" w:rsidRPr="009072D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r w:rsidRPr="009072DA">
        <w:rPr>
          <w:lang w:val="bg-BG"/>
        </w:rPr>
        <w:br w:type="page"/>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sectPr w:rsidR="004F47BB" w:rsidRPr="009072DA" w:rsidSect="00D45887">
          <w:footnotePr>
            <w:numRestart w:val="eachPage"/>
          </w:footnotePr>
          <w:pgSz w:w="11907" w:h="16840" w:code="9"/>
          <w:pgMar w:top="1418" w:right="1418" w:bottom="1418" w:left="1418" w:header="680" w:footer="680" w:gutter="0"/>
          <w:cols w:space="720"/>
          <w:docGrid w:linePitch="326"/>
        </w:sectPr>
      </w:pPr>
    </w:p>
    <w:p w:rsidR="004F47BB" w:rsidRPr="009072DA" w:rsidRDefault="004F47BB" w:rsidP="00330FC4">
      <w:pPr>
        <w:pStyle w:val="ES-Titre2ESI"/>
        <w:rPr>
          <w:szCs w:val="20"/>
        </w:rPr>
      </w:pPr>
      <w:bookmarkStart w:id="780" w:name="_Toc491854373"/>
      <w:bookmarkStart w:id="781" w:name="_Toc535827814"/>
      <w:r w:rsidRPr="009072DA">
        <w:lastRenderedPageBreak/>
        <w:t>ESI-III-10</w:t>
      </w:r>
      <w:r w:rsidRPr="009072DA">
        <w:br/>
        <w:t>Оборудване за плавателни съдове, които ще бъдат експлоатирани съгласно стандарти S1 или S2</w:t>
      </w:r>
      <w:bookmarkEnd w:id="780"/>
      <w:bookmarkEnd w:id="781"/>
    </w:p>
    <w:p w:rsidR="004F47BB" w:rsidRPr="009072DA" w:rsidRDefault="004F47BB" w:rsidP="004F47BB">
      <w:pPr>
        <w:overflowPunct w:val="0"/>
        <w:adjustRightInd w:val="0"/>
        <w:textAlignment w:val="baseline"/>
        <w:rPr>
          <w:szCs w:val="20"/>
          <w:lang w:val="bg-BG"/>
        </w:rPr>
      </w:pPr>
    </w:p>
    <w:p w:rsidR="004F47BB" w:rsidRPr="009072DA" w:rsidRDefault="004F47BB" w:rsidP="004F47BB">
      <w:pPr>
        <w:jc w:val="center"/>
        <w:rPr>
          <w:rFonts w:cs="Arial"/>
          <w:b/>
          <w:bCs/>
          <w:snapToGrid w:val="0"/>
          <w:szCs w:val="20"/>
          <w:lang w:val="bg-BG"/>
        </w:rPr>
      </w:pPr>
      <w:r w:rsidRPr="009072DA">
        <w:rPr>
          <w:b/>
          <w:snapToGrid w:val="0"/>
          <w:lang w:val="bg-BG"/>
        </w:rPr>
        <w:t>(</w:t>
      </w:r>
      <w:r w:rsidR="00524B9F">
        <w:rPr>
          <w:b/>
          <w:snapToGrid w:val="0"/>
          <w:lang w:val="bg-BG"/>
        </w:rPr>
        <w:t>ч</w:t>
      </w:r>
      <w:r w:rsidRPr="009072DA">
        <w:rPr>
          <w:b/>
          <w:snapToGrid w:val="0"/>
          <w:lang w:val="bg-BG"/>
        </w:rPr>
        <w:t>ленове 31.01, 31.02 и 31.03)</w:t>
      </w:r>
    </w:p>
    <w:p w:rsidR="004F47BB" w:rsidRPr="009072DA" w:rsidRDefault="004F47BB" w:rsidP="004F47BB">
      <w:pPr>
        <w:tabs>
          <w:tab w:val="left" w:pos="567"/>
        </w:tabs>
        <w:ind w:left="567" w:hanging="567"/>
        <w:rPr>
          <w:rFonts w:cs="Arial"/>
          <w:snapToGrid w:val="0"/>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1.</w:t>
      </w:r>
      <w:r w:rsidRPr="009072DA">
        <w:rPr>
          <w:lang w:val="bg-BG"/>
        </w:rPr>
        <w:tab/>
      </w:r>
      <w:r w:rsidRPr="009072DA">
        <w:rPr>
          <w:b/>
          <w:color w:val="000000"/>
          <w:lang w:val="bg-BG"/>
        </w:rPr>
        <w:t>Общо въведение</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spacing w:line="240" w:lineRule="atLeast"/>
        <w:ind w:left="567"/>
        <w:rPr>
          <w:lang w:val="bg-BG"/>
        </w:rPr>
      </w:pPr>
      <w:r w:rsidRPr="009072DA">
        <w:rPr>
          <w:lang w:val="bg-BG"/>
        </w:rPr>
        <w:t>Съгласно член 31.01 плавателните съдове, които са предназначени за експлоатация съгласно стандарти S1 и S2, трябва да спазват разпоредбите на глава 31. Контролният орган трябва да потвърди в удостоверението на плавателния съд за плаване по вътрешни водни пътища, че плавателният съд отговаря на тези разпоредби.</w:t>
      </w:r>
    </w:p>
    <w:p w:rsidR="004F47BB" w:rsidRPr="009072DA" w:rsidRDefault="004F47BB" w:rsidP="004F47BB">
      <w:pPr>
        <w:spacing w:line="240" w:lineRule="atLeast"/>
        <w:ind w:left="567"/>
        <w:rPr>
          <w:snapToGrid w:val="0"/>
          <w:lang w:val="bg-BG"/>
        </w:rPr>
      </w:pPr>
    </w:p>
    <w:p w:rsidR="004F47BB" w:rsidRPr="009072DA" w:rsidRDefault="004F47BB" w:rsidP="004F47BB">
      <w:pPr>
        <w:spacing w:line="240" w:lineRule="atLeast"/>
        <w:ind w:left="567"/>
        <w:rPr>
          <w:snapToGrid w:val="0"/>
          <w:lang w:val="bg-BG"/>
        </w:rPr>
      </w:pPr>
      <w:r w:rsidRPr="009072DA">
        <w:rPr>
          <w:lang w:val="bg-BG"/>
        </w:rPr>
        <w:t xml:space="preserve">Тези разпоредби са изисквания, които се прилагат за допълнителното оборудване в допълнение на изискванията, на които съдът трябва да отговаря, за да му бъде издадено удостоверение на плавателен съд за плаване по вътрешни водни пътища. Разпоредбите на глава 31, които могат да се тълкуват по различни начини, ще бъдат изяснени в настоящата инструкция. </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spacing w:line="240" w:lineRule="atLeast"/>
        <w:ind w:left="567" w:hanging="567"/>
        <w:rPr>
          <w:b/>
          <w:lang w:val="bg-BG"/>
        </w:rPr>
      </w:pPr>
      <w:r w:rsidRPr="009072DA">
        <w:rPr>
          <w:b/>
          <w:lang w:val="bg-BG"/>
        </w:rPr>
        <w:t>2.</w:t>
      </w:r>
      <w:r w:rsidRPr="009072DA">
        <w:rPr>
          <w:lang w:val="bg-BG"/>
        </w:rPr>
        <w:tab/>
      </w:r>
      <w:r w:rsidRPr="009072DA">
        <w:rPr>
          <w:b/>
          <w:lang w:val="bg-BG"/>
        </w:rPr>
        <w:t>Член 31.02 – Стандарт S1</w:t>
      </w:r>
    </w:p>
    <w:p w:rsidR="004F47BB" w:rsidRPr="009072DA" w:rsidRDefault="004F47BB" w:rsidP="004F47BB">
      <w:pPr>
        <w:spacing w:line="240" w:lineRule="atLeast"/>
        <w:ind w:left="567" w:hanging="567"/>
        <w:rPr>
          <w:b/>
          <w:lang w:val="bg-BG"/>
        </w:rPr>
      </w:pPr>
    </w:p>
    <w:p w:rsidR="004F47BB" w:rsidRPr="009072DA" w:rsidRDefault="004F47BB" w:rsidP="004F47BB">
      <w:pPr>
        <w:spacing w:line="240" w:lineRule="atLeast"/>
        <w:ind w:left="567" w:hanging="567"/>
        <w:rPr>
          <w:b/>
          <w:lang w:val="bg-BG"/>
        </w:rPr>
      </w:pPr>
      <w:r w:rsidRPr="009072DA">
        <w:rPr>
          <w:b/>
          <w:lang w:val="bg-BG"/>
        </w:rPr>
        <w:t>2.1</w:t>
      </w:r>
      <w:r w:rsidRPr="009072DA">
        <w:rPr>
          <w:lang w:val="bg-BG"/>
        </w:rPr>
        <w:tab/>
      </w:r>
      <w:r w:rsidRPr="009072DA">
        <w:rPr>
          <w:b/>
          <w:lang w:val="bg-BG"/>
        </w:rPr>
        <w:t>(1) — Уредба на задвижващата система</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ab/>
        <w:t>Ако плавателният съд е оборудван с директно реверсивен главен двигател, системата за сгъстен въздух, необходима за обръщане на тягата, трябва:</w:t>
      </w:r>
    </w:p>
    <w:p w:rsidR="004F47BB" w:rsidRPr="009072DA" w:rsidRDefault="004F47BB" w:rsidP="004F47BB">
      <w:pPr>
        <w:tabs>
          <w:tab w:val="left" w:pos="992"/>
        </w:tabs>
        <w:spacing w:before="60" w:line="240" w:lineRule="atLeast"/>
        <w:ind w:left="992"/>
        <w:rPr>
          <w:rFonts w:cs="Arial"/>
          <w:lang w:val="bg-BG"/>
        </w:rPr>
      </w:pPr>
      <w:r w:rsidRPr="009072DA">
        <w:rPr>
          <w:lang w:val="bg-BG"/>
        </w:rPr>
        <w:t>a)</w:t>
      </w:r>
      <w:r w:rsidRPr="009072DA">
        <w:rPr>
          <w:lang w:val="bg-BG"/>
        </w:rPr>
        <w:tab/>
        <w:t>да бъде непрекъснато под налягане, регулирано автоматично от компресор; или</w:t>
      </w:r>
    </w:p>
    <w:p w:rsidR="004F47BB" w:rsidRPr="009072DA" w:rsidRDefault="004F47BB" w:rsidP="004F47BB">
      <w:pPr>
        <w:tabs>
          <w:tab w:val="left" w:pos="992"/>
        </w:tabs>
        <w:spacing w:before="60" w:line="240" w:lineRule="atLeast"/>
        <w:ind w:left="992"/>
        <w:rPr>
          <w:rFonts w:cs="Arial"/>
          <w:lang w:val="bg-BG"/>
        </w:rPr>
      </w:pPr>
      <w:r w:rsidRPr="009072DA">
        <w:rPr>
          <w:lang w:val="bg-BG"/>
        </w:rPr>
        <w:t>б)</w:t>
      </w:r>
      <w:r w:rsidRPr="009072DA">
        <w:rPr>
          <w:lang w:val="bg-BG"/>
        </w:rPr>
        <w:tab/>
        <w:t>в случай че се задейства алармен сигнал в рулевата рубка, налягането да се поддържа посредством спомагателен двигател, който може да се включва от поста за управление. Ако спомагателният двигател има собствен горивен резервоар, съгласно член 8.05, точка 13 в рулевата рубка трябва да има предупредително устройство, което да показва, ако степента му на напълване не е достатъчна за гарантиране на безопасна работа.</w:t>
      </w:r>
    </w:p>
    <w:p w:rsidR="004F47BB" w:rsidRPr="009072DA" w:rsidRDefault="004F47BB" w:rsidP="004F47BB">
      <w:pPr>
        <w:spacing w:line="240" w:lineRule="atLeast"/>
        <w:ind w:left="567" w:hanging="567"/>
        <w:rPr>
          <w:b/>
          <w:lang w:val="bg-BG"/>
        </w:rPr>
      </w:pPr>
    </w:p>
    <w:p w:rsidR="004F47BB" w:rsidRPr="009072DA" w:rsidRDefault="004F47BB" w:rsidP="004F47BB">
      <w:pPr>
        <w:spacing w:line="240" w:lineRule="atLeast"/>
        <w:ind w:left="567" w:hanging="567"/>
        <w:rPr>
          <w:b/>
          <w:lang w:val="bg-BG"/>
        </w:rPr>
      </w:pPr>
      <w:r w:rsidRPr="009072DA">
        <w:rPr>
          <w:b/>
          <w:lang w:val="bg-BG"/>
        </w:rPr>
        <w:t>2.2</w:t>
      </w:r>
      <w:r w:rsidRPr="009072DA">
        <w:rPr>
          <w:lang w:val="bg-BG"/>
        </w:rPr>
        <w:tab/>
      </w:r>
      <w:r w:rsidRPr="009072DA">
        <w:rPr>
          <w:b/>
          <w:lang w:val="bg-BG"/>
        </w:rPr>
        <w:t>(2) — Нива на водата в главното машинно отделение</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lastRenderedPageBreak/>
        <w:tab/>
        <w:t>Ако за изпълнение на изискванията за маневреност от глава 5 е необходима носова подрулваща система, отделението, в което се намира носовата подрулваща система, се счита за главно машинно отделение.</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spacing w:line="240" w:lineRule="atLeast"/>
        <w:ind w:left="567" w:hanging="567"/>
        <w:rPr>
          <w:b/>
          <w:lang w:val="bg-BG"/>
        </w:rPr>
      </w:pPr>
      <w:r w:rsidRPr="009072DA">
        <w:rPr>
          <w:b/>
          <w:lang w:val="bg-BG"/>
        </w:rPr>
        <w:t>2.3</w:t>
      </w:r>
      <w:r w:rsidRPr="009072DA">
        <w:rPr>
          <w:lang w:val="bg-BG"/>
        </w:rPr>
        <w:tab/>
      </w:r>
      <w:r w:rsidRPr="009072DA">
        <w:rPr>
          <w:b/>
          <w:lang w:val="bg-BG"/>
        </w:rPr>
        <w:t>(3) — Автоматично захранване с гориво</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2.3.1</w:t>
      </w:r>
      <w:r w:rsidRPr="009072DA">
        <w:rPr>
          <w:lang w:val="bg-BG"/>
        </w:rPr>
        <w:tab/>
        <w:t>Ако задвижващата система е с резервоар за дневния разход,</w:t>
      </w:r>
    </w:p>
    <w:p w:rsidR="004F47BB" w:rsidRPr="009072DA" w:rsidRDefault="004F47BB" w:rsidP="004F47BB">
      <w:pPr>
        <w:tabs>
          <w:tab w:val="left" w:pos="993"/>
        </w:tabs>
        <w:spacing w:before="60" w:line="240" w:lineRule="atLeast"/>
        <w:ind w:left="992"/>
        <w:rPr>
          <w:rFonts w:cs="Arial"/>
          <w:lang w:val="bg-BG"/>
        </w:rPr>
      </w:pPr>
      <w:r w:rsidRPr="009072DA">
        <w:rPr>
          <w:lang w:val="bg-BG"/>
        </w:rPr>
        <w:t>a)</w:t>
      </w:r>
      <w:r w:rsidRPr="009072DA">
        <w:rPr>
          <w:lang w:val="bg-BG"/>
        </w:rPr>
        <w:tab/>
        <w:t>обемът му трябва да е достатъчен да осигури време на работа на задвижващата система от 24 часа, като се приеме разход от 0,25 литра на kW на час;</w:t>
      </w:r>
    </w:p>
    <w:p w:rsidR="004F47BB" w:rsidRPr="009072DA" w:rsidRDefault="004F47BB" w:rsidP="004F47BB">
      <w:pPr>
        <w:tabs>
          <w:tab w:val="left" w:pos="993"/>
        </w:tabs>
        <w:spacing w:before="60" w:line="240" w:lineRule="atLeast"/>
        <w:ind w:left="992"/>
        <w:rPr>
          <w:rFonts w:cs="Arial"/>
          <w:lang w:val="bg-BG"/>
        </w:rPr>
      </w:pPr>
      <w:r w:rsidRPr="009072DA">
        <w:rPr>
          <w:lang w:val="bg-BG"/>
        </w:rPr>
        <w:t>б)</w:t>
      </w:r>
      <w:r w:rsidRPr="009072DA">
        <w:rPr>
          <w:lang w:val="bg-BG"/>
        </w:rPr>
        <w:tab/>
        <w:t>горивната помпа за пълнене на резервоара за дневния разход трябва да работи непрекъснато; или</w:t>
      </w:r>
    </w:p>
    <w:p w:rsidR="004F47BB" w:rsidRPr="009072DA" w:rsidRDefault="004F47BB" w:rsidP="004F47BB">
      <w:pPr>
        <w:tabs>
          <w:tab w:val="left" w:pos="993"/>
        </w:tabs>
        <w:spacing w:before="60" w:line="240" w:lineRule="atLeast"/>
        <w:ind w:left="992"/>
        <w:rPr>
          <w:rFonts w:cs="Arial"/>
          <w:lang w:val="bg-BG"/>
        </w:rPr>
      </w:pPr>
      <w:r w:rsidRPr="009072DA">
        <w:rPr>
          <w:lang w:val="bg-BG"/>
        </w:rPr>
        <w:t>в)</w:t>
      </w:r>
      <w:r w:rsidRPr="009072DA">
        <w:rPr>
          <w:lang w:val="bg-BG"/>
        </w:rPr>
        <w:tab/>
        <w:t>горивната помпа трябва да е оборудвана със:</w:t>
      </w:r>
    </w:p>
    <w:p w:rsidR="004F47BB" w:rsidRPr="009072DA" w:rsidRDefault="004F47BB" w:rsidP="004F47BB">
      <w:pPr>
        <w:tabs>
          <w:tab w:val="left" w:pos="1418"/>
        </w:tabs>
        <w:spacing w:before="60" w:line="240" w:lineRule="atLeast"/>
        <w:ind w:left="1418"/>
        <w:rPr>
          <w:rFonts w:cs="Arial"/>
          <w:lang w:val="bg-BG"/>
        </w:rPr>
      </w:pPr>
      <w:r w:rsidRPr="009072DA">
        <w:rPr>
          <w:rFonts w:cs="Arial"/>
          <w:lang w:val="bg-BG"/>
        </w:rPr>
        <w:sym w:font="Symbol" w:char="F0B7"/>
      </w:r>
      <w:r w:rsidRPr="009072DA">
        <w:rPr>
          <w:lang w:val="bg-BG"/>
        </w:rPr>
        <w:tab/>
        <w:t xml:space="preserve"> превключвател, който автоматично включва горивната помпа, когато нивото в резервоара за дневния разход спадне до определено ниско ниво,</w:t>
      </w:r>
    </w:p>
    <w:p w:rsidR="004F47BB" w:rsidRPr="009072DA" w:rsidRDefault="004F47BB" w:rsidP="004F47BB">
      <w:pPr>
        <w:widowControl w:val="0"/>
        <w:tabs>
          <w:tab w:val="left" w:pos="426"/>
          <w:tab w:val="left" w:pos="1418"/>
        </w:tabs>
        <w:overflowPunct w:val="0"/>
        <w:adjustRightInd w:val="0"/>
        <w:spacing w:before="60" w:line="240" w:lineRule="atLeast"/>
        <w:ind w:left="1418"/>
        <w:textAlignment w:val="baseline"/>
        <w:rPr>
          <w:rFonts w:cs="Arial"/>
          <w:snapToGrid w:val="0"/>
          <w:lang w:val="bg-BG"/>
        </w:rPr>
      </w:pPr>
      <w:r w:rsidRPr="009072DA">
        <w:rPr>
          <w:rFonts w:cs="Arial"/>
          <w:snapToGrid w:val="0"/>
          <w:lang w:val="bg-BG"/>
        </w:rPr>
        <w:sym w:font="Symbol" w:char="F0B7"/>
      </w:r>
      <w:r w:rsidRPr="009072DA">
        <w:rPr>
          <w:lang w:val="bg-BG"/>
        </w:rPr>
        <w:tab/>
        <w:t>превключвател, който автоматично изключва горивната помпа, когато резервоарът за дневния разход се напълни.</w:t>
      </w:r>
    </w:p>
    <w:p w:rsidR="004F47BB" w:rsidRPr="009072DA" w:rsidRDefault="004F47BB" w:rsidP="004F47BB">
      <w:pPr>
        <w:tabs>
          <w:tab w:val="left" w:pos="567"/>
        </w:tabs>
        <w:spacing w:line="240" w:lineRule="atLeast"/>
        <w:ind w:left="567" w:hanging="567"/>
        <w:rPr>
          <w:rFonts w:cs="Arial"/>
          <w:lang w:val="bg-BG"/>
        </w:rPr>
      </w:pPr>
      <w:r w:rsidRPr="009072DA">
        <w:rPr>
          <w:lang w:val="bg-BG"/>
        </w:rPr>
        <w:br w:type="page"/>
      </w:r>
    </w:p>
    <w:p w:rsidR="004F47BB" w:rsidRPr="009072DA" w:rsidRDefault="004F47BB" w:rsidP="004F47BB">
      <w:pPr>
        <w:tabs>
          <w:tab w:val="left" w:pos="567"/>
        </w:tabs>
        <w:spacing w:line="240" w:lineRule="atLeast"/>
        <w:ind w:left="567" w:hanging="567"/>
        <w:rPr>
          <w:rFonts w:cs="Arial"/>
          <w:lang w:val="bg-BG"/>
        </w:rPr>
      </w:pPr>
      <w:r w:rsidRPr="009072DA">
        <w:rPr>
          <w:lang w:val="bg-BG"/>
        </w:rPr>
        <w:lastRenderedPageBreak/>
        <w:t>2.3.2</w:t>
      </w:r>
      <w:r w:rsidRPr="009072DA">
        <w:rPr>
          <w:lang w:val="bg-BG"/>
        </w:rPr>
        <w:tab/>
        <w:t>Резервоарът за дневен разход трябва да има алармено устройство за ниво, съответстващо на член 8.05, точка 13.</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b/>
          <w:lang w:val="bg-BG"/>
        </w:rPr>
        <w:t>2.4.</w:t>
      </w:r>
      <w:r w:rsidRPr="009072DA">
        <w:rPr>
          <w:lang w:val="bg-BG"/>
        </w:rPr>
        <w:tab/>
      </w:r>
      <w:r w:rsidRPr="009072DA">
        <w:rPr>
          <w:b/>
          <w:lang w:val="bg-BG"/>
        </w:rPr>
        <w:t>(4) – Липса на конкретна сила за рулевата система</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rPr>
          <w:rFonts w:cs="Arial"/>
          <w:lang w:val="bg-BG"/>
        </w:rPr>
      </w:pPr>
      <w:r w:rsidRPr="009072DA">
        <w:rPr>
          <w:lang w:val="bg-BG"/>
        </w:rPr>
        <w:t>Рулевите системи с хидравлично управление изпълняват това изискване. Ръчно управляваните рулеви системи не трябва да изискват сила по-голяма от 160 N за работа с тях.</w:t>
      </w:r>
    </w:p>
    <w:p w:rsidR="004F47BB" w:rsidRPr="009072DA" w:rsidRDefault="004F47BB" w:rsidP="004F47BB">
      <w:pPr>
        <w:tabs>
          <w:tab w:val="left" w:pos="567"/>
        </w:tabs>
        <w:spacing w:line="240" w:lineRule="atLeast"/>
        <w:ind w:left="567"/>
        <w:rPr>
          <w:rFonts w:cs="Arial"/>
          <w:lang w:val="bg-BG"/>
        </w:rPr>
      </w:pPr>
    </w:p>
    <w:p w:rsidR="004F47BB" w:rsidRPr="009072DA" w:rsidRDefault="004F47BB" w:rsidP="004F47BB">
      <w:pPr>
        <w:tabs>
          <w:tab w:val="left" w:pos="567"/>
        </w:tabs>
        <w:spacing w:line="240" w:lineRule="atLeast"/>
        <w:ind w:left="567" w:hanging="567"/>
        <w:rPr>
          <w:rFonts w:cs="Arial"/>
          <w:b/>
          <w:bCs/>
          <w:lang w:val="bg-BG"/>
        </w:rPr>
      </w:pPr>
      <w:r w:rsidRPr="009072DA">
        <w:rPr>
          <w:b/>
          <w:lang w:val="bg-BG"/>
        </w:rPr>
        <w:t>2.5</w:t>
      </w:r>
      <w:r w:rsidRPr="009072DA">
        <w:rPr>
          <w:lang w:val="bg-BG"/>
        </w:rPr>
        <w:tab/>
      </w:r>
      <w:r w:rsidRPr="009072DA">
        <w:rPr>
          <w:b/>
          <w:lang w:val="bg-BG"/>
        </w:rPr>
        <w:t>(5) — Визуална и звукова сигнализация, необходима при движение</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ab/>
        <w:t>Визуалните знаци не включват цилиндри, сфери, конуси или двойни конуси, изисквани от наредбите на местните и международните органи по корабоплаване.</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b/>
          <w:bCs/>
          <w:lang w:val="bg-BG"/>
        </w:rPr>
      </w:pPr>
      <w:r w:rsidRPr="009072DA">
        <w:rPr>
          <w:b/>
          <w:lang w:val="bg-BG"/>
        </w:rPr>
        <w:t>2.6</w:t>
      </w:r>
      <w:r w:rsidRPr="009072DA">
        <w:rPr>
          <w:lang w:val="bg-BG"/>
        </w:rPr>
        <w:tab/>
      </w:r>
      <w:r w:rsidRPr="009072DA">
        <w:rPr>
          <w:b/>
          <w:lang w:val="bg-BG"/>
        </w:rPr>
        <w:t>(6) – Пряка връзка и връзка с машинното отделение</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2.6.1</w:t>
      </w:r>
      <w:r w:rsidRPr="009072DA">
        <w:rPr>
          <w:lang w:val="bg-BG"/>
        </w:rPr>
        <w:tab/>
        <w:t>Пряка връзка се счита за осигурена, ако:</w:t>
      </w:r>
    </w:p>
    <w:p w:rsidR="004F47BB" w:rsidRPr="009072DA" w:rsidRDefault="004F47BB" w:rsidP="004F47BB">
      <w:pPr>
        <w:tabs>
          <w:tab w:val="left" w:pos="993"/>
        </w:tabs>
        <w:spacing w:before="60" w:line="240" w:lineRule="atLeast"/>
        <w:ind w:left="992"/>
        <w:rPr>
          <w:rFonts w:cs="Arial"/>
          <w:lang w:val="bg-BG"/>
        </w:rPr>
      </w:pPr>
      <w:r w:rsidRPr="009072DA">
        <w:rPr>
          <w:lang w:val="bg-BG"/>
        </w:rPr>
        <w:t>a)</w:t>
      </w:r>
      <w:r w:rsidRPr="009072DA">
        <w:rPr>
          <w:lang w:val="bg-BG"/>
        </w:rPr>
        <w:tab/>
        <w:t>е възможен пряк зрителен контакт между рулевата рубка и постовете за управление на лебедките и кнехтовете в носовата или кърмовата част на съда и в допълнение разстоянието от рулевата рубка до тези постове за управление не е по-голямо от 35 m; и</w:t>
      </w:r>
    </w:p>
    <w:p w:rsidR="004F47BB" w:rsidRPr="009072DA" w:rsidRDefault="004F47BB" w:rsidP="004F47BB">
      <w:pPr>
        <w:tabs>
          <w:tab w:val="left" w:pos="993"/>
        </w:tabs>
        <w:spacing w:before="60" w:line="240" w:lineRule="atLeast"/>
        <w:ind w:left="992"/>
        <w:rPr>
          <w:rFonts w:cs="Arial"/>
          <w:lang w:val="bg-BG"/>
        </w:rPr>
      </w:pPr>
      <w:r w:rsidRPr="009072DA">
        <w:rPr>
          <w:lang w:val="bg-BG"/>
        </w:rPr>
        <w:t>б)</w:t>
      </w:r>
      <w:r w:rsidRPr="009072DA">
        <w:rPr>
          <w:lang w:val="bg-BG"/>
        </w:rPr>
        <w:tab/>
        <w:t>жилищните помещения са достъпни пряко от рулевата рубка.</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2.6.2</w:t>
      </w:r>
      <w:r w:rsidRPr="009072DA">
        <w:rPr>
          <w:lang w:val="bg-BG"/>
        </w:rPr>
        <w:tab/>
        <w:t>Връзката с машинното отделение се счита за осигурена, ако сигналът, посочен в член 7.09, точка 3, второ изречение, може да се задейства независимо от прекъсвача, посочен в член 7.09, точка 2.</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b/>
          <w:bCs/>
          <w:lang w:val="bg-BG"/>
        </w:rPr>
      </w:pPr>
      <w:r w:rsidRPr="009072DA">
        <w:rPr>
          <w:b/>
          <w:lang w:val="bg-BG"/>
        </w:rPr>
        <w:t>2.7</w:t>
      </w:r>
      <w:r w:rsidRPr="009072DA">
        <w:rPr>
          <w:lang w:val="bg-BG"/>
        </w:rPr>
        <w:tab/>
      </w:r>
      <w:r w:rsidRPr="009072DA">
        <w:rPr>
          <w:b/>
          <w:lang w:val="bg-BG"/>
        </w:rPr>
        <w:t>(7) — Манивели и подобни въртящи средства за задвижване</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spacing w:line="240" w:lineRule="atLeast"/>
        <w:ind w:left="567"/>
        <w:rPr>
          <w:lang w:val="bg-BG"/>
        </w:rPr>
      </w:pPr>
      <w:r w:rsidRPr="009072DA">
        <w:rPr>
          <w:lang w:val="bg-BG"/>
        </w:rPr>
        <w:t xml:space="preserve">Това включва: </w:t>
      </w:r>
    </w:p>
    <w:p w:rsidR="004F47BB" w:rsidRPr="009072DA" w:rsidRDefault="004F47BB" w:rsidP="004F47BB">
      <w:pPr>
        <w:tabs>
          <w:tab w:val="left" w:pos="992"/>
        </w:tabs>
        <w:spacing w:before="60" w:line="240" w:lineRule="atLeast"/>
        <w:ind w:left="992"/>
        <w:rPr>
          <w:rFonts w:cs="Arial"/>
          <w:lang w:val="bg-BG"/>
        </w:rPr>
      </w:pPr>
      <w:r w:rsidRPr="009072DA">
        <w:rPr>
          <w:lang w:val="bg-BG"/>
        </w:rPr>
        <w:t>a)</w:t>
      </w:r>
      <w:r w:rsidRPr="009072DA">
        <w:rPr>
          <w:lang w:val="bg-BG"/>
        </w:rPr>
        <w:tab/>
        <w:t>задвижвани ръчно котвени лебедки (максималната необходима сила е тази, при която котвите висят свободно);</w:t>
      </w:r>
    </w:p>
    <w:p w:rsidR="004F47BB" w:rsidRPr="009072DA" w:rsidRDefault="004F47BB" w:rsidP="004F47BB">
      <w:pPr>
        <w:tabs>
          <w:tab w:val="left" w:pos="992"/>
        </w:tabs>
        <w:spacing w:before="60" w:line="240" w:lineRule="atLeast"/>
        <w:ind w:left="992"/>
        <w:rPr>
          <w:rFonts w:cs="Arial"/>
          <w:lang w:val="bg-BG"/>
        </w:rPr>
      </w:pPr>
      <w:r w:rsidRPr="009072DA">
        <w:rPr>
          <w:lang w:val="bg-BG"/>
        </w:rPr>
        <w:t>б)</w:t>
      </w:r>
      <w:r w:rsidRPr="009072DA">
        <w:rPr>
          <w:lang w:val="bg-BG"/>
        </w:rPr>
        <w:tab/>
        <w:t>манивели за вдигане на люкове;</w:t>
      </w:r>
    </w:p>
    <w:p w:rsidR="004F47BB" w:rsidRPr="009072DA" w:rsidRDefault="004F47BB" w:rsidP="004F47BB">
      <w:pPr>
        <w:tabs>
          <w:tab w:val="left" w:pos="992"/>
        </w:tabs>
        <w:spacing w:before="60" w:line="240" w:lineRule="atLeast"/>
        <w:ind w:left="992"/>
        <w:rPr>
          <w:rFonts w:cs="Arial"/>
          <w:lang w:val="bg-BG"/>
        </w:rPr>
      </w:pPr>
      <w:r w:rsidRPr="009072DA">
        <w:rPr>
          <w:lang w:val="bg-BG"/>
        </w:rPr>
        <w:t>в)</w:t>
      </w:r>
      <w:r w:rsidRPr="009072DA">
        <w:rPr>
          <w:lang w:val="bg-BG"/>
        </w:rPr>
        <w:tab/>
        <w:t>манивели на лебедки на мачти и комини.</w:t>
      </w:r>
    </w:p>
    <w:p w:rsidR="004F47BB" w:rsidRPr="009072DA" w:rsidRDefault="004F47BB" w:rsidP="004F47BB">
      <w:pPr>
        <w:tabs>
          <w:tab w:val="left" w:pos="851"/>
        </w:tabs>
        <w:spacing w:line="240" w:lineRule="atLeast"/>
        <w:ind w:left="851" w:hanging="284"/>
        <w:rPr>
          <w:rFonts w:cs="Arial"/>
          <w:lang w:val="bg-BG"/>
        </w:rPr>
      </w:pPr>
    </w:p>
    <w:p w:rsidR="004F47BB" w:rsidRPr="009072DA" w:rsidRDefault="004F47BB" w:rsidP="004F47BB">
      <w:pPr>
        <w:spacing w:line="240" w:lineRule="atLeast"/>
        <w:ind w:left="567"/>
        <w:rPr>
          <w:snapToGrid w:val="0"/>
          <w:lang w:val="bg-BG"/>
        </w:rPr>
      </w:pPr>
      <w:r w:rsidRPr="009072DA">
        <w:rPr>
          <w:lang w:val="bg-BG"/>
        </w:rPr>
        <w:t>Това не включва:</w:t>
      </w:r>
    </w:p>
    <w:p w:rsidR="004F47BB" w:rsidRPr="009072DA" w:rsidRDefault="004F47BB" w:rsidP="004F47BB">
      <w:pPr>
        <w:tabs>
          <w:tab w:val="left" w:pos="992"/>
        </w:tabs>
        <w:spacing w:before="60" w:line="240" w:lineRule="atLeast"/>
        <w:ind w:left="992"/>
        <w:rPr>
          <w:rFonts w:cs="Arial"/>
          <w:lang w:val="bg-BG"/>
        </w:rPr>
      </w:pPr>
      <w:r w:rsidRPr="009072DA">
        <w:rPr>
          <w:lang w:val="bg-BG"/>
        </w:rPr>
        <w:t>a)</w:t>
      </w:r>
      <w:r w:rsidRPr="009072DA">
        <w:rPr>
          <w:lang w:val="bg-BG"/>
        </w:rPr>
        <w:tab/>
        <w:t>буксирни и съединителни лебедки;</w:t>
      </w:r>
    </w:p>
    <w:p w:rsidR="004F47BB" w:rsidRPr="009072DA" w:rsidRDefault="004F47BB" w:rsidP="004F47BB">
      <w:pPr>
        <w:tabs>
          <w:tab w:val="left" w:pos="992"/>
        </w:tabs>
        <w:spacing w:before="60" w:line="240" w:lineRule="atLeast"/>
        <w:ind w:left="992"/>
        <w:rPr>
          <w:rFonts w:cs="Arial"/>
          <w:lang w:val="bg-BG"/>
        </w:rPr>
      </w:pPr>
      <w:r w:rsidRPr="009072DA">
        <w:rPr>
          <w:lang w:val="bg-BG"/>
        </w:rPr>
        <w:t>б)</w:t>
      </w:r>
      <w:r w:rsidRPr="009072DA">
        <w:rPr>
          <w:lang w:val="bg-BG"/>
        </w:rPr>
        <w:tab/>
        <w:t>манивели на кранове, освен предназначените за корабните лодки.</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b/>
          <w:bCs/>
          <w:lang w:val="bg-BG"/>
        </w:rPr>
      </w:pPr>
      <w:r w:rsidRPr="009072DA">
        <w:rPr>
          <w:b/>
          <w:lang w:val="bg-BG"/>
        </w:rPr>
        <w:t>2.8</w:t>
      </w:r>
      <w:r w:rsidRPr="009072DA">
        <w:rPr>
          <w:lang w:val="bg-BG"/>
        </w:rPr>
        <w:tab/>
      </w:r>
      <w:r w:rsidRPr="009072DA">
        <w:rPr>
          <w:b/>
          <w:lang w:val="bg-BG"/>
        </w:rPr>
        <w:t>(10) — Ергономични условия</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spacing w:line="240" w:lineRule="atLeast"/>
        <w:ind w:left="567"/>
        <w:rPr>
          <w:snapToGrid w:val="0"/>
          <w:lang w:val="bg-BG"/>
        </w:rPr>
      </w:pPr>
      <w:r w:rsidRPr="009072DA">
        <w:rPr>
          <w:lang w:val="bg-BG"/>
        </w:rPr>
        <w:t>Разпоредбите се считат за изпълнени, ако:</w:t>
      </w:r>
    </w:p>
    <w:p w:rsidR="004F47BB" w:rsidRPr="009072DA" w:rsidRDefault="004F47BB" w:rsidP="004F47BB">
      <w:pPr>
        <w:tabs>
          <w:tab w:val="left" w:pos="993"/>
        </w:tabs>
        <w:spacing w:before="60" w:line="240" w:lineRule="atLeast"/>
        <w:ind w:left="993" w:hanging="426"/>
        <w:rPr>
          <w:rFonts w:cs="Arial"/>
          <w:lang w:val="bg-BG"/>
        </w:rPr>
      </w:pPr>
      <w:r w:rsidRPr="009072DA">
        <w:rPr>
          <w:lang w:val="bg-BG"/>
        </w:rPr>
        <w:t>a)</w:t>
      </w:r>
      <w:r w:rsidRPr="009072DA">
        <w:rPr>
          <w:lang w:val="bg-BG"/>
        </w:rPr>
        <w:tab/>
        <w:t>рулевата рубка е изградена в съответствие с европейски стандарт EN 1864: 2008; или</w:t>
      </w:r>
    </w:p>
    <w:p w:rsidR="004F47BB" w:rsidRPr="009072DA" w:rsidRDefault="004F47BB" w:rsidP="004F47BB">
      <w:pPr>
        <w:tabs>
          <w:tab w:val="left" w:pos="993"/>
        </w:tabs>
        <w:spacing w:before="60" w:line="240" w:lineRule="atLeast"/>
        <w:ind w:left="993" w:hanging="426"/>
        <w:rPr>
          <w:rFonts w:cs="Arial"/>
          <w:lang w:val="bg-BG"/>
        </w:rPr>
      </w:pPr>
      <w:r w:rsidRPr="009072DA">
        <w:rPr>
          <w:lang w:val="bg-BG"/>
        </w:rPr>
        <w:t>б)</w:t>
      </w:r>
      <w:r w:rsidRPr="009072DA">
        <w:rPr>
          <w:lang w:val="bg-BG"/>
        </w:rPr>
        <w:tab/>
        <w:t>рулевата рубка е проектирана за управление с радиолокационни средства от едно лице; или</w:t>
      </w:r>
    </w:p>
    <w:p w:rsidR="004F47BB" w:rsidRPr="009072DA" w:rsidRDefault="004F47BB" w:rsidP="004F47BB">
      <w:pPr>
        <w:tabs>
          <w:tab w:val="left" w:pos="993"/>
        </w:tabs>
        <w:spacing w:before="60" w:line="240" w:lineRule="atLeast"/>
        <w:ind w:left="993" w:hanging="426"/>
        <w:rPr>
          <w:rFonts w:cs="Arial"/>
          <w:lang w:val="bg-BG"/>
        </w:rPr>
      </w:pPr>
      <w:r w:rsidRPr="009072DA">
        <w:rPr>
          <w:lang w:val="bg-BG"/>
        </w:rPr>
        <w:t>в)</w:t>
      </w:r>
      <w:r w:rsidRPr="009072DA">
        <w:rPr>
          <w:lang w:val="bg-BG"/>
        </w:rPr>
        <w:tab/>
        <w:t>рулевата рубка отговаря на следните изисквания:</w:t>
      </w:r>
    </w:p>
    <w:p w:rsidR="004F47BB" w:rsidRPr="009072DA" w:rsidRDefault="004F47BB" w:rsidP="004F47BB">
      <w:pPr>
        <w:widowControl w:val="0"/>
        <w:tabs>
          <w:tab w:val="left" w:pos="1418"/>
        </w:tabs>
        <w:overflowPunct w:val="0"/>
        <w:adjustRightInd w:val="0"/>
        <w:spacing w:before="60" w:line="240" w:lineRule="atLeast"/>
        <w:ind w:left="1418"/>
        <w:textAlignment w:val="baseline"/>
        <w:rPr>
          <w:rFonts w:cs="Arial"/>
          <w:snapToGrid w:val="0"/>
          <w:lang w:val="bg-BG"/>
        </w:rPr>
      </w:pPr>
      <w:r w:rsidRPr="009072DA">
        <w:rPr>
          <w:lang w:val="bg-BG"/>
        </w:rPr>
        <w:t>aa)</w:t>
      </w:r>
      <w:r w:rsidRPr="009072DA">
        <w:rPr>
          <w:lang w:val="bg-BG"/>
        </w:rPr>
        <w:tab/>
        <w:t>управляващите елементи и приборите за следене са в зрителното поле напред и в границите на дъга от не повече от 180° (90° към десен борд и 90° към ляв борд), включително подът и таванът.  Те трябва да могат да се разчитат ясно и да са ясно видими от нормалното положение на рулевия;</w:t>
      </w:r>
    </w:p>
    <w:p w:rsidR="004F47BB" w:rsidRPr="009072DA" w:rsidRDefault="004F47BB" w:rsidP="004F47BB">
      <w:pPr>
        <w:widowControl w:val="0"/>
        <w:tabs>
          <w:tab w:val="left" w:pos="1418"/>
        </w:tabs>
        <w:overflowPunct w:val="0"/>
        <w:adjustRightInd w:val="0"/>
        <w:spacing w:line="240" w:lineRule="atLeast"/>
        <w:ind w:left="1418"/>
        <w:textAlignment w:val="baseline"/>
        <w:rPr>
          <w:rFonts w:cs="Arial"/>
          <w:snapToGrid w:val="0"/>
          <w:lang w:val="bg-BG"/>
        </w:rPr>
      </w:pPr>
      <w:r w:rsidRPr="009072DA">
        <w:rPr>
          <w:lang w:val="bg-BG"/>
        </w:rPr>
        <w:br w:type="page"/>
      </w:r>
    </w:p>
    <w:p w:rsidR="004F47BB" w:rsidRPr="009072DA" w:rsidRDefault="004F47BB" w:rsidP="004F47BB">
      <w:pPr>
        <w:widowControl w:val="0"/>
        <w:tabs>
          <w:tab w:val="left" w:pos="1418"/>
        </w:tabs>
        <w:overflowPunct w:val="0"/>
        <w:adjustRightInd w:val="0"/>
        <w:spacing w:line="240" w:lineRule="atLeast"/>
        <w:ind w:left="1417"/>
        <w:textAlignment w:val="baseline"/>
        <w:rPr>
          <w:rFonts w:cs="Arial"/>
          <w:snapToGrid w:val="0"/>
          <w:lang w:val="bg-BG"/>
        </w:rPr>
      </w:pPr>
      <w:r w:rsidRPr="009072DA">
        <w:rPr>
          <w:lang w:val="bg-BG"/>
        </w:rPr>
        <w:lastRenderedPageBreak/>
        <w:t>бб)</w:t>
      </w:r>
      <w:r w:rsidRPr="009072DA">
        <w:rPr>
          <w:lang w:val="bg-BG"/>
        </w:rPr>
        <w:tab/>
        <w:t>главните управляващи елементи, като щурвал във формата на кръг или ръкохватка, управлението на двигателя, управлението на радиото и управлението на звуковите, предупредителните и маневрените сигнали, изисквани от нормативните уредби на национални или международни органи по корабоплаване, според случая, трябва да са разположени по такъв начин, че разстоянието между уредите за управление от страната на десния борд и тези от страната на левия борд да не е повече от 3 m. Рулевият трябва да е в състояние да управлява двигателите, без да изпуска уредите за управление на рулевата система, както и да може да работи с други уреди за управление, като тези на радиото, на звуковите, предупредителните и маневрените сигнали, изисквани съгласно нормативната уредба на национални или международни органи по корабоплаване, според случая;</w:t>
      </w:r>
    </w:p>
    <w:p w:rsidR="004F47BB" w:rsidRPr="009072DA" w:rsidRDefault="004F47BB" w:rsidP="004F47BB">
      <w:pPr>
        <w:widowControl w:val="0"/>
        <w:tabs>
          <w:tab w:val="left" w:pos="1418"/>
        </w:tabs>
        <w:overflowPunct w:val="0"/>
        <w:adjustRightInd w:val="0"/>
        <w:spacing w:before="60" w:line="240" w:lineRule="atLeast"/>
        <w:ind w:left="1417"/>
        <w:textAlignment w:val="baseline"/>
        <w:rPr>
          <w:rFonts w:cs="Arial"/>
          <w:snapToGrid w:val="0"/>
          <w:lang w:val="bg-BG"/>
        </w:rPr>
      </w:pPr>
      <w:r w:rsidRPr="009072DA">
        <w:rPr>
          <w:lang w:val="bg-BG"/>
        </w:rPr>
        <w:t>вв)</w:t>
      </w:r>
      <w:r w:rsidRPr="009072DA">
        <w:rPr>
          <w:lang w:val="bg-BG"/>
        </w:rPr>
        <w:tab/>
        <w:t>предупредителните сигнали и сигналите при маневриране, изисквани съгласно нормативната уредба на национални или международни органи по корабоплаване, според случая, се управляват електрически, пневматично, хидравлично или механично. По изключение може да се управлява посредством жило на опън само ако при този начин е възможно безопасно боравене от поста за управление.</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b/>
          <w:bCs/>
          <w:lang w:val="bg-BG"/>
        </w:rPr>
      </w:pPr>
      <w:r w:rsidRPr="009072DA">
        <w:rPr>
          <w:b/>
          <w:lang w:val="bg-BG"/>
        </w:rPr>
        <w:t>3.</w:t>
      </w:r>
      <w:r w:rsidRPr="009072DA">
        <w:rPr>
          <w:lang w:val="bg-BG"/>
        </w:rPr>
        <w:tab/>
      </w:r>
      <w:r w:rsidRPr="009072DA">
        <w:rPr>
          <w:b/>
          <w:lang w:val="bg-BG"/>
        </w:rPr>
        <w:t>Член 31.03 – Стандарт S2</w:t>
      </w:r>
    </w:p>
    <w:p w:rsidR="004F47BB" w:rsidRPr="009072DA" w:rsidRDefault="004F47BB" w:rsidP="004F47BB">
      <w:pPr>
        <w:tabs>
          <w:tab w:val="left" w:pos="567"/>
        </w:tabs>
        <w:spacing w:line="240" w:lineRule="atLeast"/>
        <w:ind w:left="567" w:hanging="567"/>
        <w:rPr>
          <w:rFonts w:cs="Arial"/>
          <w:b/>
          <w:bCs/>
          <w:lang w:val="bg-BG"/>
        </w:rPr>
      </w:pPr>
    </w:p>
    <w:p w:rsidR="004F47BB" w:rsidRPr="009072DA" w:rsidRDefault="004F47BB" w:rsidP="004F47BB">
      <w:pPr>
        <w:tabs>
          <w:tab w:val="left" w:pos="567"/>
          <w:tab w:val="right" w:pos="9071"/>
        </w:tabs>
        <w:spacing w:line="240" w:lineRule="atLeast"/>
        <w:ind w:left="567" w:hanging="567"/>
        <w:rPr>
          <w:rFonts w:cs="Arial"/>
          <w:b/>
          <w:bCs/>
          <w:lang w:val="bg-BG"/>
        </w:rPr>
      </w:pPr>
      <w:r w:rsidRPr="009072DA">
        <w:rPr>
          <w:b/>
          <w:lang w:val="bg-BG"/>
        </w:rPr>
        <w:t>3.1</w:t>
      </w:r>
      <w:r w:rsidRPr="009072DA">
        <w:rPr>
          <w:lang w:val="bg-BG"/>
        </w:rPr>
        <w:tab/>
      </w:r>
      <w:r w:rsidRPr="009072DA">
        <w:rPr>
          <w:b/>
          <w:lang w:val="bg-BG"/>
        </w:rPr>
        <w:t>(1) — Моторен плавателен съд, работещ отделно</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spacing w:line="240" w:lineRule="atLeast"/>
        <w:ind w:left="567"/>
        <w:rPr>
          <w:snapToGrid w:val="0"/>
          <w:lang w:val="bg-BG"/>
        </w:rPr>
      </w:pPr>
      <w:r w:rsidRPr="009072DA">
        <w:rPr>
          <w:lang w:val="bg-BG"/>
        </w:rPr>
        <w:t>Моторни плавателни съдове, които съгласно удостоверението на плавателния съд за плаване по вътрешни водни пътища, също са подходящи за тласкане, но които:</w:t>
      </w:r>
    </w:p>
    <w:p w:rsidR="004F47BB" w:rsidRPr="009072DA" w:rsidRDefault="004F47BB" w:rsidP="004F47BB">
      <w:pPr>
        <w:tabs>
          <w:tab w:val="left" w:pos="993"/>
        </w:tabs>
        <w:spacing w:before="60" w:line="240" w:lineRule="atLeast"/>
        <w:ind w:left="993" w:hanging="426"/>
        <w:rPr>
          <w:rFonts w:cs="Arial"/>
          <w:lang w:val="bg-BG"/>
        </w:rPr>
      </w:pPr>
      <w:r w:rsidRPr="009072DA">
        <w:rPr>
          <w:lang w:val="bg-BG"/>
        </w:rPr>
        <w:t>a)</w:t>
      </w:r>
      <w:r w:rsidRPr="009072DA">
        <w:rPr>
          <w:lang w:val="bg-BG"/>
        </w:rPr>
        <w:tab/>
        <w:t>нямат хидравлично или електрически задействани съединителни лебедки; или</w:t>
      </w:r>
    </w:p>
    <w:p w:rsidR="004F47BB" w:rsidRPr="009072DA" w:rsidRDefault="004F47BB" w:rsidP="004F47BB">
      <w:pPr>
        <w:tabs>
          <w:tab w:val="left" w:pos="993"/>
        </w:tabs>
        <w:spacing w:before="60" w:line="240" w:lineRule="atLeast"/>
        <w:ind w:left="992"/>
        <w:rPr>
          <w:rFonts w:cs="Arial"/>
          <w:lang w:val="bg-BG"/>
        </w:rPr>
      </w:pPr>
      <w:r w:rsidRPr="009072DA">
        <w:rPr>
          <w:lang w:val="bg-BG"/>
        </w:rPr>
        <w:t>б)</w:t>
      </w:r>
      <w:r w:rsidRPr="009072DA">
        <w:rPr>
          <w:lang w:val="bg-BG"/>
        </w:rPr>
        <w:tab/>
        <w:t>чиито хидравлично или електрически задействани съединителни лебедки не отговарят на изискванията на точка 3.3 от настоящата инструкция,</w:t>
      </w:r>
    </w:p>
    <w:p w:rsidR="004F47BB" w:rsidRPr="009072DA" w:rsidRDefault="004F47BB" w:rsidP="004F47BB">
      <w:pPr>
        <w:tabs>
          <w:tab w:val="left" w:pos="567"/>
        </w:tabs>
        <w:spacing w:before="60" w:line="240" w:lineRule="atLeast"/>
        <w:ind w:left="567" w:hanging="567"/>
        <w:rPr>
          <w:rFonts w:cs="Arial"/>
          <w:snapToGrid w:val="0"/>
          <w:szCs w:val="20"/>
          <w:lang w:val="bg-BG"/>
        </w:rPr>
      </w:pPr>
      <w:r w:rsidRPr="009072DA">
        <w:rPr>
          <w:lang w:val="bg-BG"/>
        </w:rPr>
        <w:tab/>
        <w:t>се категоризират в стандарт S2 като моторни плавателни съдове, използвани самостоятелно. Фразата „Стандарт S2 не важи за моторния плавателен съд, когато тласка“ се вписва в точка 47 от удостоверението на плавателниян съд за плаване по вътрешни водни пътища.</w:t>
      </w:r>
    </w:p>
    <w:p w:rsidR="004F47BB" w:rsidRPr="009072DA" w:rsidRDefault="004F47BB" w:rsidP="004F47BB">
      <w:pPr>
        <w:tabs>
          <w:tab w:val="left" w:pos="567"/>
        </w:tabs>
        <w:spacing w:line="240" w:lineRule="atLeast"/>
        <w:ind w:left="567" w:hanging="567"/>
        <w:rPr>
          <w:rFonts w:cs="Arial"/>
          <w:b/>
          <w:bCs/>
          <w:lang w:val="bg-BG"/>
        </w:rPr>
      </w:pPr>
    </w:p>
    <w:p w:rsidR="004F47BB" w:rsidRPr="009072DA" w:rsidRDefault="004F47BB" w:rsidP="004F47BB">
      <w:pPr>
        <w:tabs>
          <w:tab w:val="left" w:pos="567"/>
        </w:tabs>
        <w:spacing w:line="240" w:lineRule="atLeast"/>
        <w:ind w:left="567" w:hanging="567"/>
        <w:rPr>
          <w:rFonts w:cs="Arial"/>
          <w:b/>
          <w:bCs/>
          <w:lang w:val="bg-BG"/>
        </w:rPr>
      </w:pPr>
      <w:r w:rsidRPr="009072DA">
        <w:rPr>
          <w:b/>
          <w:lang w:val="bg-BG"/>
        </w:rPr>
        <w:t>3.2</w:t>
      </w:r>
      <w:r w:rsidRPr="009072DA">
        <w:rPr>
          <w:lang w:val="bg-BG"/>
        </w:rPr>
        <w:tab/>
      </w:r>
      <w:r w:rsidRPr="009072DA">
        <w:rPr>
          <w:b/>
          <w:lang w:val="bg-BG"/>
        </w:rPr>
        <w:t>(3) – Тласкани състави</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after="120" w:line="240" w:lineRule="atLeast"/>
        <w:ind w:left="567" w:hanging="567"/>
        <w:rPr>
          <w:rFonts w:cs="Arial"/>
          <w:snapToGrid w:val="0"/>
          <w:szCs w:val="20"/>
          <w:lang w:val="bg-BG"/>
        </w:rPr>
      </w:pPr>
      <w:r w:rsidRPr="009072DA">
        <w:rPr>
          <w:lang w:val="bg-BG"/>
        </w:rPr>
        <w:tab/>
        <w:t xml:space="preserve">На моторни плавателни съдове, които съгласно тяхното удостоверение на плавателен съд за плаване по вътрешни водни пътища са пригодни да тласкат и са снабдени със съединителни лебедки, задействани хидравлично или електрически, които изпълняват изискванията по точка 3.3 от настоящата инструкция, но нямат собствено носово подрулващо устройство, се категоризират в стандарт S2 като моторен плавателен съд, който тласка състав.  Фразата „Стандарт S2 не важи за моторния плавателен съд, когато </w:t>
      </w:r>
      <w:r w:rsidRPr="009072DA">
        <w:rPr>
          <w:lang w:val="bg-BG"/>
        </w:rPr>
        <w:lastRenderedPageBreak/>
        <w:t>се използва самостоятелно“ се вписва в точка 47 от удостоверението на плавателен съд за плаване по вътрешни водни пътища.</w:t>
      </w:r>
    </w:p>
    <w:p w:rsidR="004F47BB" w:rsidRPr="009072DA" w:rsidRDefault="004F47BB" w:rsidP="004F47BB">
      <w:pPr>
        <w:tabs>
          <w:tab w:val="left" w:pos="567"/>
        </w:tabs>
        <w:spacing w:line="240" w:lineRule="atLeast"/>
        <w:ind w:left="567" w:hanging="567"/>
        <w:rPr>
          <w:rFonts w:cs="Arial"/>
          <w:b/>
          <w:bCs/>
          <w:lang w:val="bg-BG"/>
        </w:rPr>
      </w:pPr>
    </w:p>
    <w:p w:rsidR="004F47BB" w:rsidRPr="009072DA" w:rsidRDefault="004F47BB" w:rsidP="004F47BB">
      <w:pPr>
        <w:tabs>
          <w:tab w:val="left" w:pos="567"/>
        </w:tabs>
        <w:spacing w:line="240" w:lineRule="atLeast"/>
        <w:ind w:left="567" w:hanging="567"/>
        <w:rPr>
          <w:rFonts w:cs="Arial"/>
          <w:b/>
          <w:bCs/>
          <w:lang w:val="bg-BG"/>
        </w:rPr>
      </w:pPr>
      <w:r w:rsidRPr="009072DA">
        <w:rPr>
          <w:b/>
          <w:lang w:val="bg-BG"/>
        </w:rPr>
        <w:t>3.3</w:t>
      </w:r>
      <w:r w:rsidRPr="009072DA">
        <w:rPr>
          <w:lang w:val="bg-BG"/>
        </w:rPr>
        <w:tab/>
      </w:r>
      <w:r w:rsidRPr="009072DA">
        <w:rPr>
          <w:b/>
          <w:lang w:val="bg-BG"/>
        </w:rPr>
        <w:t>Точка 3, първо изречение и точка 4, буква г), първо изречение — Специални лебедки или еквивалентни устройства за натягане на въжетата (свързващи устройства)</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ab/>
        <w:t>Изискваните свързващи устройства представляват минималното оборудване, посочено в съответствие с член 21.01, точка 2, което съгласно точки 2.1 и 2.2 от инструкция ESI-III-6 (надлъжни връзки) служи за поемане на силите на свързване и трябва да отговаря на следните изисквания:</w:t>
      </w:r>
    </w:p>
    <w:p w:rsidR="004F47BB" w:rsidRPr="009072DA" w:rsidRDefault="004F47BB" w:rsidP="004F47BB">
      <w:pPr>
        <w:tabs>
          <w:tab w:val="left" w:pos="993"/>
        </w:tabs>
        <w:spacing w:before="60" w:line="240" w:lineRule="atLeast"/>
        <w:ind w:left="993" w:hanging="426"/>
        <w:rPr>
          <w:rFonts w:cs="Arial"/>
          <w:lang w:val="bg-BG"/>
        </w:rPr>
      </w:pPr>
      <w:r w:rsidRPr="009072DA">
        <w:rPr>
          <w:lang w:val="bg-BG"/>
        </w:rPr>
        <w:t>a)</w:t>
      </w:r>
      <w:r w:rsidRPr="009072DA">
        <w:rPr>
          <w:lang w:val="bg-BG"/>
        </w:rPr>
        <w:tab/>
        <w:t>устройството трябва да осигурява необходимата за свързването сила на опън само с механични средства;</w:t>
      </w:r>
    </w:p>
    <w:p w:rsidR="004F47BB" w:rsidRPr="009072DA" w:rsidRDefault="004F47BB" w:rsidP="004F47BB">
      <w:pPr>
        <w:tabs>
          <w:tab w:val="left" w:pos="993"/>
        </w:tabs>
        <w:spacing w:before="60" w:line="240" w:lineRule="atLeast"/>
        <w:ind w:left="992"/>
        <w:rPr>
          <w:rFonts w:cs="Arial"/>
          <w:lang w:val="bg-BG"/>
        </w:rPr>
      </w:pPr>
      <w:r w:rsidRPr="009072DA">
        <w:rPr>
          <w:lang w:val="bg-BG"/>
        </w:rPr>
        <w:t>б)</w:t>
      </w:r>
      <w:r w:rsidRPr="009072DA">
        <w:rPr>
          <w:lang w:val="bg-BG"/>
        </w:rPr>
        <w:tab/>
        <w:t>уредите за управление на устройството трябва да се намират върху самото устройство. По изключение дистанционно управление е разрешено, при условие че:</w:t>
      </w:r>
    </w:p>
    <w:p w:rsidR="004F47BB" w:rsidRPr="009072DA" w:rsidRDefault="004F47BB" w:rsidP="004F47BB">
      <w:pPr>
        <w:tabs>
          <w:tab w:val="left" w:pos="1418"/>
        </w:tabs>
        <w:spacing w:before="60" w:line="240" w:lineRule="atLeast"/>
        <w:ind w:left="1418"/>
        <w:rPr>
          <w:rFonts w:cs="Arial"/>
          <w:lang w:val="bg-BG"/>
        </w:rPr>
      </w:pPr>
      <w:r w:rsidRPr="009072DA">
        <w:rPr>
          <w:rFonts w:cs="Arial"/>
          <w:lang w:val="bg-BG"/>
        </w:rPr>
        <w:sym w:font="Symbol" w:char="F0B7"/>
      </w:r>
      <w:r w:rsidRPr="009072DA">
        <w:rPr>
          <w:lang w:val="bg-BG"/>
        </w:rPr>
        <w:tab/>
        <w:t>лицето, управляващо устройството, има безпрепятствена пряка видимост към устройството от поста за управление,</w:t>
      </w:r>
    </w:p>
    <w:p w:rsidR="004F47BB" w:rsidRPr="009072DA" w:rsidRDefault="004F47BB" w:rsidP="004F47BB">
      <w:pPr>
        <w:tabs>
          <w:tab w:val="left" w:pos="1418"/>
        </w:tabs>
        <w:spacing w:before="60" w:line="240" w:lineRule="atLeast"/>
        <w:ind w:left="1418"/>
        <w:rPr>
          <w:rFonts w:cs="Arial"/>
          <w:lang w:val="bg-BG"/>
        </w:rPr>
      </w:pPr>
      <w:r w:rsidRPr="009072DA">
        <w:rPr>
          <w:lang w:val="bg-BG"/>
        </w:rPr>
        <w:br w:type="page"/>
      </w:r>
      <w:r w:rsidRPr="009072DA">
        <w:rPr>
          <w:rFonts w:cs="Arial"/>
          <w:lang w:val="bg-BG"/>
        </w:rPr>
        <w:lastRenderedPageBreak/>
        <w:sym w:font="Symbol" w:char="F0B7"/>
      </w:r>
      <w:r w:rsidRPr="009072DA">
        <w:rPr>
          <w:lang w:val="bg-BG"/>
        </w:rPr>
        <w:tab/>
        <w:t>на поста за управление има устройство за предотвратяване на неволно задействане,</w:t>
      </w:r>
    </w:p>
    <w:p w:rsidR="004F47BB" w:rsidRPr="009072DA" w:rsidRDefault="004F47BB" w:rsidP="004F47BB">
      <w:pPr>
        <w:tabs>
          <w:tab w:val="left" w:pos="1418"/>
        </w:tabs>
        <w:spacing w:before="60" w:line="240" w:lineRule="atLeast"/>
        <w:ind w:left="1418"/>
        <w:rPr>
          <w:rFonts w:cs="Arial"/>
          <w:lang w:val="bg-BG"/>
        </w:rPr>
      </w:pPr>
      <w:r w:rsidRPr="009072DA">
        <w:rPr>
          <w:rFonts w:cs="Arial"/>
          <w:lang w:val="bg-BG"/>
        </w:rPr>
        <w:sym w:font="Symbol" w:char="F0B7"/>
      </w:r>
      <w:r w:rsidRPr="009072DA">
        <w:rPr>
          <w:lang w:val="bg-BG"/>
        </w:rPr>
        <w:tab/>
        <w:t>устройството има авариен стоп;</w:t>
      </w:r>
    </w:p>
    <w:p w:rsidR="004F47BB" w:rsidRPr="009072DA" w:rsidRDefault="004F47BB" w:rsidP="004F47BB">
      <w:pPr>
        <w:tabs>
          <w:tab w:val="left" w:pos="993"/>
        </w:tabs>
        <w:spacing w:before="60" w:line="240" w:lineRule="atLeast"/>
        <w:ind w:left="992"/>
        <w:rPr>
          <w:rFonts w:cs="Arial"/>
          <w:lang w:val="bg-BG"/>
        </w:rPr>
      </w:pPr>
      <w:r w:rsidRPr="009072DA">
        <w:rPr>
          <w:lang w:val="bg-BG"/>
        </w:rPr>
        <w:t>в)</w:t>
      </w:r>
      <w:r w:rsidRPr="009072DA">
        <w:rPr>
          <w:lang w:val="bg-BG"/>
        </w:rPr>
        <w:tab/>
        <w:t>устройството трябва да има спирачна уредба, която действа незабавно, ако се изпусне управлението или задвижващата сила отпадне;</w:t>
      </w:r>
    </w:p>
    <w:p w:rsidR="004F47BB" w:rsidRPr="009072DA" w:rsidRDefault="004F47BB" w:rsidP="004F47BB">
      <w:pPr>
        <w:tabs>
          <w:tab w:val="left" w:pos="993"/>
        </w:tabs>
        <w:spacing w:before="60" w:line="240" w:lineRule="atLeast"/>
        <w:ind w:left="992"/>
        <w:rPr>
          <w:rFonts w:cs="Arial"/>
          <w:lang w:val="bg-BG"/>
        </w:rPr>
      </w:pPr>
      <w:r w:rsidRPr="009072DA">
        <w:rPr>
          <w:lang w:val="bg-BG"/>
        </w:rPr>
        <w:t>г)</w:t>
      </w:r>
      <w:r w:rsidRPr="009072DA">
        <w:rPr>
          <w:lang w:val="bg-BG"/>
        </w:rPr>
        <w:tab/>
        <w:t>трябва да е възможно съединителното въже да бъде освободено ръчно, ако задвижващата сила отпадне.</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b/>
          <w:bCs/>
          <w:lang w:val="bg-BG"/>
        </w:rPr>
      </w:pPr>
      <w:r w:rsidRPr="009072DA">
        <w:rPr>
          <w:b/>
          <w:lang w:val="bg-BG"/>
        </w:rPr>
        <w:t>3.4</w:t>
      </w:r>
      <w:r w:rsidRPr="009072DA">
        <w:rPr>
          <w:lang w:val="bg-BG"/>
        </w:rPr>
        <w:tab/>
      </w:r>
      <w:r w:rsidRPr="009072DA">
        <w:rPr>
          <w:b/>
          <w:lang w:val="bg-BG"/>
        </w:rPr>
        <w:t>Точка 3, второ изречение и точка 4, буква г), второ изречение — Работа с носовото подрулващо устройство</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tabs>
          <w:tab w:val="left" w:pos="567"/>
        </w:tabs>
        <w:spacing w:line="240" w:lineRule="atLeast"/>
        <w:ind w:left="567" w:hanging="567"/>
        <w:rPr>
          <w:rFonts w:cs="Arial"/>
          <w:lang w:val="bg-BG"/>
        </w:rPr>
      </w:pPr>
      <w:r w:rsidRPr="009072DA">
        <w:rPr>
          <w:lang w:val="bg-BG"/>
        </w:rPr>
        <w:tab/>
        <w:t>Устройството за управление на носовото подрулващо устройство трябва да е постоянно монтирано в рулевата рубка. Изискванията на член 7.04, точка 8 трябва да са спазени. Електрическите кабели за управление на носовото подрулващо устройство трябва да са постоянно монтирани до носовата част на тласкащия моторен плавателен съд или тласкача.</w:t>
      </w:r>
    </w:p>
    <w:p w:rsidR="004F47BB" w:rsidRPr="009072DA" w:rsidRDefault="004F47BB" w:rsidP="004F47BB">
      <w:pPr>
        <w:tabs>
          <w:tab w:val="left" w:pos="567"/>
        </w:tabs>
        <w:spacing w:line="240" w:lineRule="atLeast"/>
        <w:ind w:left="567" w:hanging="567"/>
        <w:rPr>
          <w:rFonts w:cs="Arial"/>
          <w:snapToGrid w:val="0"/>
          <w:szCs w:val="20"/>
          <w:lang w:val="bg-BG"/>
        </w:rPr>
      </w:pPr>
    </w:p>
    <w:p w:rsidR="004F47BB" w:rsidRPr="009072DA" w:rsidRDefault="004F47BB" w:rsidP="004F47BB">
      <w:pPr>
        <w:tabs>
          <w:tab w:val="left" w:pos="567"/>
        </w:tabs>
        <w:spacing w:line="240" w:lineRule="atLeast"/>
        <w:ind w:left="567" w:hanging="567"/>
        <w:rPr>
          <w:rFonts w:cs="Arial"/>
          <w:b/>
          <w:bCs/>
          <w:lang w:val="bg-BG"/>
        </w:rPr>
      </w:pPr>
      <w:r w:rsidRPr="009072DA">
        <w:rPr>
          <w:b/>
          <w:lang w:val="bg-BG"/>
        </w:rPr>
        <w:t>3.5</w:t>
      </w:r>
      <w:r w:rsidRPr="009072DA">
        <w:rPr>
          <w:lang w:val="bg-BG"/>
        </w:rPr>
        <w:tab/>
      </w:r>
      <w:r w:rsidRPr="009072DA">
        <w:rPr>
          <w:b/>
          <w:lang w:val="bg-BG"/>
        </w:rPr>
        <w:t>(4) — Еквивалентна маневреност</w:t>
      </w:r>
    </w:p>
    <w:p w:rsidR="004F47BB" w:rsidRPr="009072DA" w:rsidRDefault="004F47BB" w:rsidP="004F47BB">
      <w:pPr>
        <w:tabs>
          <w:tab w:val="left" w:pos="567"/>
        </w:tabs>
        <w:spacing w:line="240" w:lineRule="atLeast"/>
        <w:ind w:left="567" w:hanging="567"/>
        <w:rPr>
          <w:rFonts w:cs="Arial"/>
          <w:lang w:val="bg-BG"/>
        </w:rPr>
      </w:pPr>
    </w:p>
    <w:p w:rsidR="004F47BB" w:rsidRPr="009072DA" w:rsidRDefault="004F47BB" w:rsidP="004F47BB">
      <w:pPr>
        <w:spacing w:line="240" w:lineRule="atLeast"/>
        <w:ind w:left="567"/>
        <w:rPr>
          <w:rFonts w:cs="Arial"/>
          <w:lang w:val="bg-BG"/>
        </w:rPr>
      </w:pPr>
      <w:r w:rsidRPr="009072DA">
        <w:rPr>
          <w:lang w:val="bg-BG"/>
        </w:rPr>
        <w:t>Еквивалентна маневреност се осигурява от задвижваща система, състояща се от:</w:t>
      </w:r>
    </w:p>
    <w:p w:rsidR="004F47BB" w:rsidRPr="009072DA" w:rsidRDefault="004F47BB" w:rsidP="004F47BB">
      <w:pPr>
        <w:tabs>
          <w:tab w:val="left" w:pos="993"/>
        </w:tabs>
        <w:spacing w:before="60" w:line="240" w:lineRule="atLeast"/>
        <w:ind w:left="992"/>
        <w:rPr>
          <w:rFonts w:cs="Arial"/>
          <w:lang w:val="bg-BG"/>
        </w:rPr>
      </w:pPr>
      <w:r w:rsidRPr="009072DA">
        <w:rPr>
          <w:lang w:val="bg-BG"/>
        </w:rPr>
        <w:t>a)</w:t>
      </w:r>
      <w:r w:rsidRPr="009072DA">
        <w:rPr>
          <w:lang w:val="bg-BG"/>
        </w:rPr>
        <w:tab/>
        <w:t>многовинтово задвижване и най-малко две задвижващи системи с близка изходна мощност;</w:t>
      </w:r>
    </w:p>
    <w:p w:rsidR="004F47BB" w:rsidRPr="009072DA" w:rsidRDefault="004F47BB" w:rsidP="004F47BB">
      <w:pPr>
        <w:tabs>
          <w:tab w:val="left" w:pos="993"/>
        </w:tabs>
        <w:spacing w:before="60" w:line="240" w:lineRule="atLeast"/>
        <w:ind w:left="992"/>
        <w:rPr>
          <w:rFonts w:cs="Arial"/>
          <w:lang w:val="bg-BG"/>
        </w:rPr>
      </w:pPr>
      <w:r w:rsidRPr="009072DA">
        <w:rPr>
          <w:lang w:val="bg-BG"/>
        </w:rPr>
        <w:t>б)</w:t>
      </w:r>
      <w:r w:rsidRPr="009072DA">
        <w:rPr>
          <w:lang w:val="bg-BG"/>
        </w:rPr>
        <w:tab/>
        <w:t>най-малко един крилчат движител;</w:t>
      </w:r>
    </w:p>
    <w:p w:rsidR="004F47BB" w:rsidRPr="009072DA" w:rsidRDefault="004F47BB" w:rsidP="004F47BB">
      <w:pPr>
        <w:tabs>
          <w:tab w:val="left" w:pos="993"/>
        </w:tabs>
        <w:spacing w:before="60" w:line="240" w:lineRule="atLeast"/>
        <w:ind w:left="992"/>
        <w:rPr>
          <w:rFonts w:cs="Arial"/>
          <w:lang w:val="bg-BG"/>
        </w:rPr>
      </w:pPr>
      <w:r w:rsidRPr="009072DA">
        <w:rPr>
          <w:lang w:val="bg-BG"/>
        </w:rPr>
        <w:t>в)</w:t>
      </w:r>
      <w:r w:rsidRPr="009072DA">
        <w:rPr>
          <w:lang w:val="bg-BG"/>
        </w:rPr>
        <w:tab/>
        <w:t>най-малко една винто-рулева колона; или</w:t>
      </w:r>
    </w:p>
    <w:p w:rsidR="004F47BB" w:rsidRPr="009072DA" w:rsidRDefault="004F47BB" w:rsidP="004F47BB">
      <w:pPr>
        <w:tabs>
          <w:tab w:val="left" w:pos="993"/>
        </w:tabs>
        <w:spacing w:before="60" w:line="240" w:lineRule="atLeast"/>
        <w:ind w:left="992"/>
        <w:rPr>
          <w:rFonts w:cs="Arial"/>
          <w:lang w:val="bg-BG"/>
        </w:rPr>
      </w:pPr>
      <w:r w:rsidRPr="009072DA">
        <w:rPr>
          <w:lang w:val="bg-BG"/>
        </w:rPr>
        <w:t>г)</w:t>
      </w:r>
      <w:r w:rsidRPr="009072DA">
        <w:rPr>
          <w:lang w:val="bg-BG"/>
        </w:rPr>
        <w:tab/>
        <w:t>най-малко една водометна задвижваща система на 360 °.</w:t>
      </w: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textAlignment w:val="baseline"/>
        <w:rPr>
          <w:szCs w:val="20"/>
          <w:lang w:val="bg-BG"/>
        </w:rPr>
        <w:sectPr w:rsidR="004F47BB" w:rsidRPr="009072DA" w:rsidSect="00D45887">
          <w:footnotePr>
            <w:numRestart w:val="eachPage"/>
          </w:footnotePr>
          <w:pgSz w:w="11907" w:h="16840" w:code="9"/>
          <w:pgMar w:top="1418" w:right="1418" w:bottom="1418" w:left="1418" w:header="680" w:footer="680" w:gutter="0"/>
          <w:cols w:space="720"/>
          <w:docGrid w:linePitch="326"/>
        </w:sectPr>
      </w:pPr>
    </w:p>
    <w:p w:rsidR="004F47BB" w:rsidRPr="009072DA" w:rsidRDefault="004F47BB" w:rsidP="00A84512">
      <w:pPr>
        <w:pStyle w:val="ES-Titre1"/>
      </w:pPr>
      <w:bookmarkStart w:id="782" w:name="_Toc491854374"/>
      <w:bookmarkStart w:id="783" w:name="_Toc535827815"/>
      <w:r w:rsidRPr="009072DA">
        <w:lastRenderedPageBreak/>
        <w:t>ЧАСТ IV</w:t>
      </w:r>
      <w:r w:rsidRPr="009072DA">
        <w:br/>
        <w:t>ПРЕХОДНИ РАЗПОРЕДБИ</w:t>
      </w:r>
      <w:bookmarkEnd w:id="782"/>
      <w:bookmarkEnd w:id="783"/>
    </w:p>
    <w:p w:rsidR="004F47BB" w:rsidRPr="009072DA" w:rsidRDefault="004F47BB" w:rsidP="004F47BB">
      <w:pPr>
        <w:tabs>
          <w:tab w:val="left" w:pos="425"/>
        </w:tabs>
        <w:rPr>
          <w:lang w:val="bg-BG"/>
        </w:rPr>
      </w:pPr>
    </w:p>
    <w:p w:rsidR="004F47BB" w:rsidRPr="009072DA" w:rsidRDefault="004F47BB" w:rsidP="00A84512">
      <w:pPr>
        <w:pStyle w:val="ES-Titre2ESI"/>
      </w:pPr>
      <w:bookmarkStart w:id="784" w:name="_Toc491854375"/>
      <w:bookmarkStart w:id="785" w:name="_Toc535827816"/>
      <w:r w:rsidRPr="009072DA">
        <w:t>ESI-IV-1</w:t>
      </w:r>
      <w:r w:rsidRPr="009072DA">
        <w:br/>
        <w:t>Прилагане на преходни разпоредби</w:t>
      </w:r>
      <w:bookmarkEnd w:id="784"/>
      <w:bookmarkEnd w:id="785"/>
    </w:p>
    <w:p w:rsidR="004F47BB" w:rsidRPr="009072DA" w:rsidRDefault="004F47BB" w:rsidP="004F47BB">
      <w:pPr>
        <w:overflowPunct w:val="0"/>
        <w:adjustRightInd w:val="0"/>
        <w:textAlignment w:val="baseline"/>
        <w:rPr>
          <w:szCs w:val="20"/>
          <w:lang w:val="bg-BG"/>
        </w:rPr>
      </w:pPr>
    </w:p>
    <w:p w:rsidR="004F47BB" w:rsidRPr="009072DA" w:rsidRDefault="004F47BB" w:rsidP="004F47BB">
      <w:pPr>
        <w:overflowPunct w:val="0"/>
        <w:adjustRightInd w:val="0"/>
        <w:spacing w:line="240" w:lineRule="atLeast"/>
        <w:jc w:val="center"/>
        <w:rPr>
          <w:rFonts w:cs="Arial"/>
          <w:b/>
          <w:szCs w:val="20"/>
          <w:lang w:val="bg-BG"/>
        </w:rPr>
      </w:pPr>
      <w:r w:rsidRPr="009072DA">
        <w:rPr>
          <w:b/>
          <w:lang w:val="bg-BG"/>
        </w:rPr>
        <w:t>(</w:t>
      </w:r>
      <w:r w:rsidR="008855AA">
        <w:rPr>
          <w:b/>
          <w:lang w:val="bg-BG"/>
        </w:rPr>
        <w:t>г</w:t>
      </w:r>
      <w:r w:rsidRPr="009072DA">
        <w:rPr>
          <w:b/>
          <w:lang w:val="bg-BG"/>
        </w:rPr>
        <w:t xml:space="preserve">лави 19 — 30, </w:t>
      </w:r>
      <w:r w:rsidR="008855AA">
        <w:rPr>
          <w:b/>
          <w:lang w:val="bg-BG"/>
        </w:rPr>
        <w:t>г</w:t>
      </w:r>
      <w:r w:rsidRPr="009072DA">
        <w:rPr>
          <w:b/>
          <w:lang w:val="bg-BG"/>
        </w:rPr>
        <w:t xml:space="preserve">лава 32 и </w:t>
      </w:r>
      <w:r w:rsidR="008855AA">
        <w:rPr>
          <w:b/>
          <w:lang w:val="bg-BG"/>
        </w:rPr>
        <w:t>г</w:t>
      </w:r>
      <w:r w:rsidRPr="009072DA">
        <w:rPr>
          <w:b/>
          <w:lang w:val="bg-BG"/>
        </w:rPr>
        <w:t>лава 33)</w:t>
      </w:r>
      <w:bookmarkStart w:id="786" w:name="_GoBack"/>
      <w:bookmarkEnd w:id="786"/>
    </w:p>
    <w:p w:rsidR="004F47BB" w:rsidRPr="009072DA" w:rsidRDefault="004F47BB" w:rsidP="004F47BB">
      <w:pPr>
        <w:tabs>
          <w:tab w:val="left" w:pos="709"/>
        </w:tabs>
        <w:spacing w:line="240" w:lineRule="atLeast"/>
        <w:ind w:left="709" w:hanging="709"/>
        <w:rPr>
          <w:rFonts w:cs="Arial"/>
          <w:b/>
          <w:bCs/>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1.</w:t>
      </w:r>
      <w:r w:rsidRPr="009072DA">
        <w:rPr>
          <w:lang w:val="bg-BG"/>
        </w:rPr>
        <w:tab/>
      </w:r>
      <w:r w:rsidRPr="009072DA">
        <w:rPr>
          <w:b/>
          <w:color w:val="000000"/>
          <w:lang w:val="bg-BG"/>
        </w:rPr>
        <w:t>Прилагане на преходни разпоредби при сглобяване на части от плавателни средства</w:t>
      </w:r>
    </w:p>
    <w:p w:rsidR="004F47BB" w:rsidRPr="009072DA" w:rsidRDefault="004F47BB" w:rsidP="004F47BB">
      <w:pPr>
        <w:spacing w:line="240" w:lineRule="atLeast"/>
        <w:ind w:left="567" w:hanging="567"/>
        <w:rPr>
          <w:rFonts w:cs="Arial"/>
          <w:b/>
          <w:color w:val="000000"/>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1.1</w:t>
      </w:r>
      <w:r w:rsidRPr="009072DA">
        <w:rPr>
          <w:lang w:val="bg-BG"/>
        </w:rPr>
        <w:tab/>
      </w:r>
      <w:r w:rsidRPr="009072DA">
        <w:rPr>
          <w:b/>
          <w:color w:val="000000"/>
          <w:lang w:val="bg-BG"/>
        </w:rPr>
        <w:t>Принципи</w:t>
      </w:r>
    </w:p>
    <w:p w:rsidR="004F47BB" w:rsidRPr="009072DA" w:rsidRDefault="004F47BB" w:rsidP="004F47BB">
      <w:pPr>
        <w:spacing w:line="240" w:lineRule="atLeast"/>
        <w:ind w:left="567" w:hanging="567"/>
        <w:rPr>
          <w:rFonts w:cs="Arial"/>
          <w:b/>
          <w:color w:val="000000"/>
          <w:szCs w:val="20"/>
          <w:lang w:val="bg-BG"/>
        </w:rPr>
      </w:pPr>
    </w:p>
    <w:p w:rsidR="004F47BB" w:rsidRPr="009072DA" w:rsidRDefault="004F47BB" w:rsidP="004F47BB">
      <w:pPr>
        <w:spacing w:line="240" w:lineRule="atLeast"/>
        <w:ind w:left="567"/>
        <w:rPr>
          <w:lang w:val="bg-BG"/>
        </w:rPr>
      </w:pPr>
      <w:r w:rsidRPr="009072DA">
        <w:rPr>
          <w:lang w:val="bg-BG"/>
        </w:rPr>
        <w:t>Когато се съединяват части от различни плавателни съдове, съществуващото положение се запазва само по отношение на частите, които принадлежат към плавателния съд, притежаващ удостоверение на плавателен съд за плаване по вътрешни водни пътища. Преходните разпоредби следователно могат да се прилагат само за тези части. Останалите части се считат за новопостроен плавателен съд.</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1.2</w:t>
      </w:r>
      <w:r w:rsidRPr="009072DA">
        <w:rPr>
          <w:lang w:val="bg-BG"/>
        </w:rPr>
        <w:tab/>
      </w:r>
      <w:r w:rsidRPr="009072DA">
        <w:rPr>
          <w:b/>
          <w:color w:val="000000"/>
          <w:lang w:val="bg-BG"/>
        </w:rPr>
        <w:t>Подробно прилагане на преходните разпоредби</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1.2.1</w:t>
      </w:r>
      <w:r w:rsidRPr="009072DA">
        <w:rPr>
          <w:lang w:val="bg-BG"/>
        </w:rPr>
        <w:tab/>
        <w:t>Когато се съединяват части от различни плавателни съдове, преходните разпоредби могат да се прилагат само за тези части, които принадлежат към плавателния съд, притежаващ удостоверение на плавателен съд за плаване по вътрешни водни пътища.</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1.2.2</w:t>
      </w:r>
      <w:r w:rsidRPr="009072DA">
        <w:rPr>
          <w:lang w:val="bg-BG"/>
        </w:rPr>
        <w:tab/>
        <w:t>Частите, които не принадлежат към плавателния съд, който запазва своето удостоверение, се считат за новопостроен плавателен съд.</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1.2.3</w:t>
      </w:r>
      <w:r w:rsidRPr="009072DA">
        <w:rPr>
          <w:lang w:val="bg-BG"/>
        </w:rPr>
        <w:tab/>
        <w:t>Когато към плавателен съд се присъедини част от друг плавателен съд, първият получава Европейския идентификационен номер на плавателния съд, който запазва своето удостоверение на плавателен съд за плаване по вътрешни водни пътища като преобразувано плавателно средство.</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1.2.4</w:t>
      </w:r>
      <w:r w:rsidRPr="009072DA">
        <w:rPr>
          <w:lang w:val="bg-BG"/>
        </w:rPr>
        <w:tab/>
        <w:t>Когато за преустроено плавателно средство се запазва съществуващо или се издава ново удостоверение на плавателен съд за плаване по вътрешни водни пътища, годината на производство на най-старата част на плавателното средство се вписва допълнително в удостоверението на плавателния съд за плаване по вътрешни водни пътища.</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1.2.5</w:t>
      </w:r>
      <w:r w:rsidRPr="009072DA">
        <w:rPr>
          <w:lang w:val="bg-BG"/>
        </w:rPr>
        <w:tab/>
        <w:t>Ако към плавателно средство е добавена нова носова част, двигателят за носовото подрулващо устройство, монтиран в носовата част, трябва също да е в съответствие с настоящите изисквания.</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1.2.6</w:t>
      </w:r>
      <w:r w:rsidRPr="009072DA">
        <w:rPr>
          <w:lang w:val="bg-BG"/>
        </w:rPr>
        <w:tab/>
        <w:t>Ако към плавателен съд е добавена нова кърмова част, двигателите, монтирани в кърмовата част, трябва също да са в съответствие с настоящите изисквания.</w:t>
      </w:r>
    </w:p>
    <w:p w:rsidR="004F47BB" w:rsidRPr="009072DA" w:rsidRDefault="004F47BB" w:rsidP="004F47BB">
      <w:pPr>
        <w:spacing w:line="240" w:lineRule="atLeast"/>
        <w:ind w:left="567" w:hanging="567"/>
        <w:rPr>
          <w:b/>
          <w:bCs/>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1.3</w:t>
      </w:r>
      <w:r w:rsidRPr="009072DA">
        <w:rPr>
          <w:lang w:val="bg-BG"/>
        </w:rPr>
        <w:tab/>
      </w:r>
      <w:r w:rsidRPr="009072DA">
        <w:rPr>
          <w:b/>
          <w:color w:val="000000"/>
          <w:lang w:val="bg-BG"/>
        </w:rPr>
        <w:t xml:space="preserve">Примери </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1.3.1</w:t>
      </w:r>
      <w:r w:rsidRPr="009072DA">
        <w:rPr>
          <w:lang w:val="bg-BG"/>
        </w:rPr>
        <w:tab/>
        <w:t>Плавателен съд е сглобен от два по-стари плавателни съда (плавателен съд 1 с година на производство — 1968 г.; плавателен съд 2 с година на производство — 1972 г.). Плавателен съд 1 е използван изцяло, с изключение на носовата част; от плавателен съд 2 е използвана носовата част. Сглобеният плавателен съд получава удостоверението за плаване по вътрешни водни пътища на плавателен съд 1. Носовата част на сглобения плавателен съд сега трябва да разполага, наред с другото, с котвени ниши.</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br w:type="page"/>
      </w:r>
    </w:p>
    <w:p w:rsidR="004F47BB" w:rsidRPr="009072DA" w:rsidRDefault="004F47BB" w:rsidP="004F47BB">
      <w:pPr>
        <w:spacing w:line="240" w:lineRule="atLeast"/>
        <w:ind w:left="567" w:hanging="567"/>
        <w:rPr>
          <w:lang w:val="bg-BG"/>
        </w:rPr>
      </w:pPr>
      <w:r w:rsidRPr="009072DA">
        <w:rPr>
          <w:lang w:val="bg-BG"/>
        </w:rPr>
        <w:lastRenderedPageBreak/>
        <w:t>1.3.2</w:t>
      </w:r>
      <w:r w:rsidRPr="009072DA">
        <w:rPr>
          <w:lang w:val="bg-BG"/>
        </w:rPr>
        <w:tab/>
        <w:t>Плавателен съд е сглобен от два по-стари плавателни съда (плавателен съд 1 с година на производство — 1975 г.; плавателен съд 2 с година на производство — 1958 г., най-старият компонент — 1952 г.) Плавателен съд 1 е използван изцяло, с изключение на носовата част; от плавателен съд 2 е използвана носовата част. Сглобеният плавателен съд получава удостоверението за плаване по вътрешни водни пътища на плавателен съд 1. Носовата част на сглобения плавателен съд сега трябва да разполага, наред с другото, с котвени ниши. Най-старият компонент от оригиналния плавателен съд 2, с година на построяване — 1952 г., се вписва допълнително в удостоверението на плавателния съд за плаване по вътрешни водни пътища.</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b/>
          <w:bCs/>
          <w:lang w:val="bg-BG"/>
        </w:rPr>
      </w:pPr>
      <w:r w:rsidRPr="009072DA">
        <w:rPr>
          <w:lang w:val="bg-BG"/>
        </w:rPr>
        <w:t>1.3.3</w:t>
      </w:r>
      <w:r w:rsidRPr="009072DA">
        <w:rPr>
          <w:lang w:val="bg-BG"/>
        </w:rPr>
        <w:tab/>
        <w:t>Кърмовата част на плавателен съд с година на производство 2001 г. се присъединява към плавателен съд с година на производство 1988 г. Двигателят на плавателния съд с година на производство 1988 г. остава на плавателния съд. В този случай двигателят трябва да получи одобрение на типа. Ако остане двигателят от кърмовата част, произведена през 2001 г., то той също трябва да получи одобрение на типа.</w:t>
      </w:r>
    </w:p>
    <w:p w:rsidR="004F47BB" w:rsidRPr="009072DA" w:rsidRDefault="004F47BB" w:rsidP="004F47BB">
      <w:pPr>
        <w:spacing w:line="240" w:lineRule="atLeast"/>
        <w:ind w:left="567" w:hanging="567"/>
        <w:rPr>
          <w:b/>
          <w:bCs/>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w:t>
      </w:r>
      <w:r w:rsidRPr="009072DA">
        <w:rPr>
          <w:lang w:val="bg-BG"/>
        </w:rPr>
        <w:tab/>
      </w:r>
      <w:r w:rsidRPr="009072DA">
        <w:rPr>
          <w:b/>
          <w:color w:val="000000"/>
          <w:lang w:val="bg-BG"/>
        </w:rPr>
        <w:t>Прилагане на преходни разпоредби в случай на промяна на вида на плавателното средство (предназначението на плавателното средство)</w:t>
      </w:r>
    </w:p>
    <w:p w:rsidR="004F47BB" w:rsidRPr="009072DA" w:rsidRDefault="004F47BB" w:rsidP="004F47BB">
      <w:pPr>
        <w:spacing w:line="240" w:lineRule="atLeast"/>
        <w:ind w:left="567" w:hanging="567"/>
        <w:rPr>
          <w:rFonts w:cs="Arial"/>
          <w:b/>
          <w:color w:val="000000"/>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2.1</w:t>
      </w:r>
      <w:r w:rsidRPr="009072DA">
        <w:rPr>
          <w:lang w:val="bg-BG"/>
        </w:rPr>
        <w:tab/>
      </w:r>
      <w:r w:rsidRPr="009072DA">
        <w:rPr>
          <w:b/>
          <w:color w:val="000000"/>
          <w:lang w:val="bg-BG"/>
        </w:rPr>
        <w:t>Принципи</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2.1.1</w:t>
      </w:r>
      <w:r w:rsidRPr="009072DA">
        <w:rPr>
          <w:lang w:val="bg-BG"/>
        </w:rPr>
        <w:tab/>
      </w:r>
      <w:r w:rsidRPr="009072DA">
        <w:rPr>
          <w:color w:val="000000"/>
          <w:lang w:val="bg-BG"/>
        </w:rPr>
        <w:t>Във всяко решение за прилагане на преходни разпоредби в случай на промяна на вида на плавателното средство (вид плавателен съд; предназначение на плавателния съд) по отношение на настоящия стандарт водещи са съображенията за безопасност.</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2.1.2</w:t>
      </w:r>
      <w:r w:rsidRPr="009072DA">
        <w:rPr>
          <w:lang w:val="bg-BG"/>
        </w:rPr>
        <w:tab/>
        <w:t>Ако изискванията за безопасност, приложими към новия вид плавателно средство, са различни от тези за стария вид, то е налице промяна на вида на плавателното средство; това важи ако специалните разпоредби от глави 19 — 30, които не са били приложими за стария тип, са приложими за новия тип.</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2.1.3</w:t>
      </w:r>
      <w:r w:rsidRPr="009072DA">
        <w:rPr>
          <w:lang w:val="bg-BG"/>
        </w:rPr>
        <w:tab/>
        <w:t>В случай на промяна на вида на плавателното средство, всички специални разпоредби и всички изисквания, специфични за съответния вид плавателно средство, се спазват напълно; преходните разпоредби не могат да се прилагат за тези изисквания. Това важи също и за части, които са взети от съществуващи плавателни средства и попадат под действието на тези специални изисквания.</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2.1.4</w:t>
      </w:r>
      <w:r w:rsidRPr="009072DA">
        <w:rPr>
          <w:lang w:val="bg-BG"/>
        </w:rPr>
        <w:tab/>
        <w:t>Преустройството на танкер в сухотоварен плавателен съд не представлява промяна във вида на плавателното средство съгласно определението по точка 2.1.2.</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lastRenderedPageBreak/>
        <w:t>2.1.5</w:t>
      </w:r>
      <w:r w:rsidRPr="009072DA">
        <w:rPr>
          <w:lang w:val="bg-BG"/>
        </w:rPr>
        <w:tab/>
        <w:t>При преустройство на плавателен съд с каюти в плавателен съд за дневни пътувания, всички нови части трябва да са в пълно съответствие с актуалните изисквания.</w:t>
      </w:r>
    </w:p>
    <w:p w:rsidR="004F47BB" w:rsidRPr="009072DA" w:rsidRDefault="004F47BB" w:rsidP="004F47BB">
      <w:pPr>
        <w:spacing w:line="240" w:lineRule="atLeast"/>
        <w:ind w:left="567" w:hanging="567"/>
        <w:rPr>
          <w:b/>
          <w:bCs/>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2.2</w:t>
      </w:r>
      <w:r w:rsidRPr="009072DA">
        <w:rPr>
          <w:lang w:val="bg-BG"/>
        </w:rPr>
        <w:tab/>
      </w:r>
      <w:r w:rsidRPr="009072DA">
        <w:rPr>
          <w:b/>
          <w:color w:val="000000"/>
          <w:lang w:val="bg-BG"/>
        </w:rPr>
        <w:t>Подробно прилагане на преходните разпоредби</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2.2.1</w:t>
      </w:r>
      <w:r w:rsidRPr="009072DA">
        <w:rPr>
          <w:lang w:val="bg-BG"/>
        </w:rPr>
        <w:tab/>
        <w:t>Член 32.02, точка 2 (НЗР), съответно член 33.02, точка 2 се прилага за обновени части на плавателното средство; следователно за новите части на плавателното средство не могат да се прилагат преходните разпоредби.</w:t>
      </w:r>
    </w:p>
    <w:p w:rsidR="004F47BB" w:rsidRPr="009072DA" w:rsidRDefault="004F47BB" w:rsidP="004F47BB">
      <w:pPr>
        <w:spacing w:line="240" w:lineRule="atLeast"/>
        <w:ind w:left="567" w:hanging="567"/>
        <w:rPr>
          <w:color w:val="000000"/>
          <w:lang w:val="bg-BG"/>
        </w:rPr>
      </w:pPr>
    </w:p>
    <w:p w:rsidR="004F47BB" w:rsidRPr="009072DA" w:rsidRDefault="004F47BB" w:rsidP="004F47BB">
      <w:pPr>
        <w:spacing w:line="240" w:lineRule="atLeast"/>
        <w:ind w:left="567" w:hanging="567"/>
        <w:rPr>
          <w:color w:val="000000"/>
          <w:lang w:val="bg-BG"/>
        </w:rPr>
      </w:pPr>
      <w:r w:rsidRPr="009072DA">
        <w:rPr>
          <w:color w:val="000000"/>
          <w:lang w:val="bg-BG"/>
        </w:rPr>
        <w:t>2.2.2</w:t>
      </w:r>
      <w:r w:rsidRPr="009072DA">
        <w:rPr>
          <w:lang w:val="bg-BG"/>
        </w:rPr>
        <w:tab/>
      </w:r>
      <w:r w:rsidRPr="009072DA">
        <w:rPr>
          <w:color w:val="000000"/>
          <w:lang w:val="bg-BG"/>
        </w:rPr>
        <w:t>За частите на плавателното средство, които не са преустроени, преходните разпоредби продължават да се прилагат, с изключение на частите според точка 2.1.3, второ изречение.</w:t>
      </w:r>
    </w:p>
    <w:p w:rsidR="004F47BB" w:rsidRPr="009072DA" w:rsidRDefault="004F47BB" w:rsidP="004F47BB">
      <w:pPr>
        <w:spacing w:line="240" w:lineRule="atLeast"/>
        <w:ind w:left="567" w:hanging="567"/>
        <w:rPr>
          <w:color w:val="000000"/>
          <w:lang w:val="bg-BG"/>
        </w:rPr>
      </w:pPr>
    </w:p>
    <w:p w:rsidR="004F47BB" w:rsidRPr="009072DA" w:rsidRDefault="004F47BB" w:rsidP="004F47BB">
      <w:pPr>
        <w:spacing w:line="240" w:lineRule="atLeast"/>
        <w:ind w:left="567" w:hanging="567"/>
        <w:rPr>
          <w:color w:val="000000"/>
          <w:lang w:val="bg-BG"/>
        </w:rPr>
      </w:pPr>
      <w:r w:rsidRPr="009072DA">
        <w:rPr>
          <w:color w:val="000000"/>
          <w:lang w:val="bg-BG"/>
        </w:rPr>
        <w:t>2.2.3</w:t>
      </w:r>
      <w:r w:rsidRPr="009072DA">
        <w:rPr>
          <w:lang w:val="bg-BG"/>
        </w:rPr>
        <w:tab/>
      </w:r>
      <w:r w:rsidRPr="009072DA">
        <w:rPr>
          <w:color w:val="000000"/>
          <w:lang w:val="bg-BG"/>
        </w:rPr>
        <w:t>Ако размерите на плавателното средство са променени, преходните разпоредби не се прилагат за частите на плавателното средство, които са засегнати от тази промяна (напр. разстояние на първата носова непроницаема преграда, надводния борд и котвата).</w:t>
      </w:r>
    </w:p>
    <w:p w:rsidR="004F47BB" w:rsidRPr="009072DA" w:rsidRDefault="004F47BB" w:rsidP="004F47BB">
      <w:pPr>
        <w:spacing w:line="240" w:lineRule="atLeast"/>
        <w:ind w:left="567" w:hanging="567"/>
        <w:rPr>
          <w:color w:val="000000"/>
          <w:lang w:val="bg-BG"/>
        </w:rPr>
      </w:pPr>
    </w:p>
    <w:p w:rsidR="004F47BB" w:rsidRPr="009072DA" w:rsidRDefault="004F47BB" w:rsidP="004F47BB">
      <w:pPr>
        <w:spacing w:line="240" w:lineRule="atLeast"/>
        <w:ind w:left="567" w:hanging="567"/>
        <w:rPr>
          <w:lang w:val="bg-BG"/>
        </w:rPr>
      </w:pPr>
      <w:r w:rsidRPr="009072DA">
        <w:rPr>
          <w:lang w:val="bg-BG"/>
        </w:rPr>
        <w:br w:type="page"/>
      </w:r>
    </w:p>
    <w:p w:rsidR="004F47BB" w:rsidRPr="009072DA" w:rsidRDefault="004F47BB" w:rsidP="004F47BB">
      <w:pPr>
        <w:spacing w:line="240" w:lineRule="atLeast"/>
        <w:ind w:left="567" w:hanging="567"/>
        <w:rPr>
          <w:lang w:val="bg-BG"/>
        </w:rPr>
      </w:pPr>
      <w:r w:rsidRPr="009072DA">
        <w:rPr>
          <w:lang w:val="bg-BG"/>
        </w:rPr>
        <w:lastRenderedPageBreak/>
        <w:t>2.2.4</w:t>
      </w:r>
      <w:r w:rsidRPr="009072DA">
        <w:rPr>
          <w:lang w:val="bg-BG"/>
        </w:rPr>
        <w:tab/>
        <w:t>В случай на промяна на вида на плавателното средство, в сила са специалните изисквания, които се прилагат само по отношение на нов вид плавателни средства. Всички части и елементи от оборудването, които са засегнати от преустройството на плавателното средство, трябва да отговарят на настоящите изисквания съгласно части II и III от този стандарт.</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2.2.5</w:t>
      </w:r>
      <w:r w:rsidRPr="009072DA">
        <w:rPr>
          <w:lang w:val="bg-BG"/>
        </w:rPr>
        <w:tab/>
        <w:t>Тогава на плавателното средство се издава ново или изменено удостоверение на плавателен съд за плаване по вътрешни водни пътища, като в полета 7 и 8 на удостоверението се отбелязват както оригиналното производство, така и преустройството.</w:t>
      </w:r>
    </w:p>
    <w:p w:rsidR="004F47BB" w:rsidRPr="009072DA" w:rsidRDefault="004F47BB" w:rsidP="004F47BB">
      <w:pPr>
        <w:spacing w:line="240" w:lineRule="atLeast"/>
        <w:ind w:left="567" w:hanging="567"/>
        <w:rPr>
          <w:b/>
          <w:bCs/>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2.3</w:t>
      </w:r>
      <w:r w:rsidRPr="009072DA">
        <w:rPr>
          <w:lang w:val="bg-BG"/>
        </w:rPr>
        <w:tab/>
      </w:r>
      <w:r w:rsidRPr="009072DA">
        <w:rPr>
          <w:b/>
          <w:color w:val="000000"/>
          <w:lang w:val="bg-BG"/>
        </w:rPr>
        <w:t xml:space="preserve">Примери </w:t>
      </w:r>
    </w:p>
    <w:p w:rsidR="004F47BB" w:rsidRPr="009072DA" w:rsidRDefault="004F47BB" w:rsidP="004F47BB">
      <w:pPr>
        <w:tabs>
          <w:tab w:val="left" w:pos="1134"/>
        </w:tabs>
        <w:spacing w:line="240" w:lineRule="atLeast"/>
        <w:ind w:left="1134" w:hanging="709"/>
        <w:rPr>
          <w:rFonts w:cs="Arial"/>
          <w:szCs w:val="20"/>
          <w:lang w:val="bg-BG"/>
        </w:rPr>
      </w:pPr>
    </w:p>
    <w:p w:rsidR="004F47BB" w:rsidRPr="009072DA" w:rsidRDefault="004F47BB" w:rsidP="004F47BB">
      <w:pPr>
        <w:spacing w:line="240" w:lineRule="atLeast"/>
        <w:ind w:left="567" w:hanging="567"/>
        <w:rPr>
          <w:lang w:val="bg-BG"/>
        </w:rPr>
      </w:pPr>
      <w:r w:rsidRPr="009072DA">
        <w:rPr>
          <w:lang w:val="bg-BG"/>
        </w:rPr>
        <w:t>2.3.1</w:t>
      </w:r>
      <w:r w:rsidRPr="009072DA">
        <w:rPr>
          <w:lang w:val="bg-BG"/>
        </w:rPr>
        <w:tab/>
        <w:t>Товарен плавателен съд (година на производство — 1996 г.) е преустроен в пътнически плавателен съд. Тогава глава 19 от настоящия стандарт се прилага за целия плавателен съд, без да се прибягва до преходни разпоредби. Ако носовата част не е изменена съгласно плановете за преустройство или съгласно глава 19, не е необходимо плавателният съд да разполага с котвени ниши в съответствие с член 3.03.</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2.3.2</w:t>
      </w:r>
      <w:r w:rsidRPr="009072DA">
        <w:rPr>
          <w:lang w:val="bg-BG"/>
        </w:rPr>
        <w:tab/>
        <w:t>Влекач (година на производство — 1970 г.) е преустроен в тласкач. Физическото преустройство се състои единствено в промяна на палубното оборудване и монтиране на тласкащо устройство. Всички преходни разпоредби за плавателен съд, произведен през 1970 г. остават приложими, освен глави 5 и 7 (отчасти), член 13.01 и член 21.01.</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2.3.3</w:t>
      </w:r>
      <w:r w:rsidRPr="009072DA">
        <w:rPr>
          <w:lang w:val="bg-BG"/>
        </w:rPr>
        <w:tab/>
        <w:t>Моторен танкер (година на производство — 1970 г.) е преустроен в тласкач. Физическото преустройство се състои в отделянето на носовата част от товарната част, както и в промяната на палубното оборудване и монтирането на тласкащо устройство. Всички преходни разпоредби за плавателен съд, произведен през 1970 г. остават приложими, освен разпоредбите на глави 5 и 7 (отчасти), член 13.01 и член 21.01.</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2.3.4</w:t>
      </w:r>
      <w:r w:rsidRPr="009072DA">
        <w:rPr>
          <w:lang w:val="bg-BG"/>
        </w:rPr>
        <w:tab/>
        <w:t>Моторен танкер е преустроен в моторен товарен плавателен съд. Моторният товарен плавателен съд трябва да отговаря на актуалните изисквания за безопасност на работното място и по-специално посочените в член 14.04 от глава 14 от настоящия стандарт.</w:t>
      </w:r>
    </w:p>
    <w:p w:rsidR="004F47BB" w:rsidRPr="009072DA" w:rsidRDefault="004F47BB" w:rsidP="004F47BB">
      <w:pPr>
        <w:spacing w:line="240" w:lineRule="atLeast"/>
        <w:ind w:left="567" w:hanging="567"/>
        <w:rPr>
          <w:rFonts w:cs="Arial"/>
          <w:b/>
          <w:color w:val="000000"/>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3.</w:t>
      </w:r>
      <w:r w:rsidRPr="009072DA">
        <w:rPr>
          <w:lang w:val="bg-BG"/>
        </w:rPr>
        <w:tab/>
      </w:r>
      <w:r w:rsidRPr="009072DA">
        <w:rPr>
          <w:b/>
          <w:color w:val="000000"/>
          <w:lang w:val="bg-BG"/>
        </w:rPr>
        <w:t>Прилагане на преходни разпоредби в случай на преустройство на пътнически плавателни съдове</w:t>
      </w:r>
    </w:p>
    <w:p w:rsidR="004F47BB" w:rsidRPr="009072DA" w:rsidRDefault="004F47BB" w:rsidP="004F47BB">
      <w:pPr>
        <w:spacing w:line="240" w:lineRule="atLeast"/>
        <w:ind w:left="567" w:hanging="567"/>
        <w:rPr>
          <w:rFonts w:cs="Arial"/>
          <w:b/>
          <w:color w:val="000000"/>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3.1</w:t>
      </w:r>
      <w:r w:rsidRPr="009072DA">
        <w:rPr>
          <w:lang w:val="bg-BG"/>
        </w:rPr>
        <w:tab/>
      </w:r>
      <w:r w:rsidRPr="009072DA">
        <w:rPr>
          <w:b/>
          <w:color w:val="000000"/>
          <w:lang w:val="bg-BG"/>
        </w:rPr>
        <w:t>Прилагане на преходните разпоредби</w:t>
      </w:r>
    </w:p>
    <w:p w:rsidR="004F47BB" w:rsidRPr="009072DA" w:rsidRDefault="004F47BB" w:rsidP="004F47BB">
      <w:pPr>
        <w:tabs>
          <w:tab w:val="left" w:pos="1134"/>
        </w:tabs>
        <w:spacing w:line="240" w:lineRule="atLeast"/>
        <w:ind w:left="1134" w:hanging="709"/>
        <w:rPr>
          <w:rFonts w:cs="Arial"/>
          <w:color w:val="000000"/>
          <w:szCs w:val="20"/>
          <w:lang w:val="bg-BG"/>
        </w:rPr>
      </w:pPr>
    </w:p>
    <w:p w:rsidR="004F47BB" w:rsidRPr="009072DA" w:rsidRDefault="004F47BB" w:rsidP="004F47BB">
      <w:pPr>
        <w:spacing w:line="240" w:lineRule="atLeast"/>
        <w:ind w:left="567" w:hanging="567"/>
        <w:rPr>
          <w:lang w:val="bg-BG"/>
        </w:rPr>
      </w:pPr>
      <w:r w:rsidRPr="009072DA">
        <w:rPr>
          <w:lang w:val="bg-BG"/>
        </w:rPr>
        <w:t>3.1.1</w:t>
      </w:r>
      <w:r w:rsidRPr="009072DA">
        <w:rPr>
          <w:lang w:val="bg-BG"/>
        </w:rPr>
        <w:tab/>
        <w:t>Мерките по преустройството, необходими за изпълнение на изискванията на глава 19, без значение, кога са предприети, не представляват реконструкция „Р“ по смисъла на член 32.02, точка 2, член 32.03, точка 1 или член 32.05, точка 5, съответно на член 33.02 и член 33.03 от този стандарт.</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3.1.2</w:t>
      </w:r>
      <w:r w:rsidRPr="009072DA">
        <w:rPr>
          <w:lang w:val="bg-BG"/>
        </w:rPr>
        <w:tab/>
        <w:t>При преустройство на плавателен съд с каюти в плавателен съд за дневни пътувания, всички нови части трябва да са в пълно съответствие с актуалните изисквания.</w:t>
      </w:r>
    </w:p>
    <w:p w:rsidR="004F47BB" w:rsidRPr="009072DA" w:rsidRDefault="004F47BB" w:rsidP="004F47BB">
      <w:pPr>
        <w:spacing w:line="240" w:lineRule="atLeast"/>
        <w:ind w:left="567" w:hanging="567"/>
        <w:rPr>
          <w:rFonts w:cs="Arial"/>
          <w:b/>
          <w:color w:val="000000"/>
          <w:szCs w:val="20"/>
          <w:lang w:val="bg-BG"/>
        </w:rPr>
      </w:pPr>
    </w:p>
    <w:p w:rsidR="004F47BB" w:rsidRPr="009072DA" w:rsidRDefault="004F47BB" w:rsidP="004F47BB">
      <w:pPr>
        <w:spacing w:line="240" w:lineRule="atLeast"/>
        <w:ind w:left="567" w:hanging="567"/>
        <w:rPr>
          <w:rFonts w:cs="Arial"/>
          <w:b/>
          <w:color w:val="000000"/>
          <w:szCs w:val="20"/>
          <w:lang w:val="bg-BG"/>
        </w:rPr>
      </w:pPr>
      <w:r w:rsidRPr="009072DA">
        <w:rPr>
          <w:b/>
          <w:color w:val="000000"/>
          <w:lang w:val="bg-BG"/>
        </w:rPr>
        <w:t>3.2</w:t>
      </w:r>
      <w:r w:rsidRPr="009072DA">
        <w:rPr>
          <w:lang w:val="bg-BG"/>
        </w:rPr>
        <w:tab/>
      </w:r>
      <w:r w:rsidRPr="009072DA">
        <w:rPr>
          <w:b/>
          <w:color w:val="000000"/>
          <w:lang w:val="bg-BG"/>
        </w:rPr>
        <w:t xml:space="preserve">Примери </w:t>
      </w:r>
    </w:p>
    <w:p w:rsidR="004F47BB" w:rsidRPr="009072DA" w:rsidRDefault="004F47BB" w:rsidP="004F47BB">
      <w:pPr>
        <w:tabs>
          <w:tab w:val="left" w:pos="1134"/>
        </w:tabs>
        <w:spacing w:line="240" w:lineRule="atLeast"/>
        <w:ind w:left="1134" w:hanging="709"/>
        <w:rPr>
          <w:rFonts w:cs="Arial"/>
          <w:color w:val="000000"/>
          <w:szCs w:val="20"/>
          <w:lang w:val="bg-BG"/>
        </w:rPr>
      </w:pPr>
    </w:p>
    <w:p w:rsidR="004F47BB" w:rsidRPr="009072DA" w:rsidRDefault="004F47BB" w:rsidP="004F47BB">
      <w:pPr>
        <w:spacing w:line="240" w:lineRule="atLeast"/>
        <w:ind w:left="567" w:hanging="567"/>
        <w:rPr>
          <w:lang w:val="bg-BG"/>
        </w:rPr>
      </w:pPr>
      <w:r w:rsidRPr="009072DA">
        <w:rPr>
          <w:lang w:val="bg-BG"/>
        </w:rPr>
        <w:t>3.2.1</w:t>
      </w:r>
      <w:r w:rsidRPr="009072DA">
        <w:rPr>
          <w:lang w:val="bg-BG"/>
        </w:rPr>
        <w:tab/>
        <w:t>Пътнически плавателен съд (година на производство — 1995 г.) трябва да има втора независима система за задвижване, монтирана не по-късно от 1 януари 2015 г. Ако на този пътнически плавателен съд не са проведени други непредписани преустройства, не се налага да се прави изчисление на устойчивостта в съответствие с новите изисквания, но при обективна необходимост може да се извърши изчисление на устойчивостта съгласно оригиналните изисквания за устойчивост на разпоредбите за проверка на плавателните съдове по река Рейн (RVIR) или на държава членка.</w:t>
      </w:r>
    </w:p>
    <w:p w:rsidR="004F47BB" w:rsidRPr="009072DA" w:rsidRDefault="004F47BB" w:rsidP="004F47BB">
      <w:pPr>
        <w:tabs>
          <w:tab w:val="left" w:pos="1134"/>
        </w:tabs>
        <w:spacing w:line="240" w:lineRule="atLeast"/>
        <w:ind w:left="1134" w:hanging="709"/>
        <w:rPr>
          <w:rFonts w:cs="Arial"/>
          <w:color w:val="000000"/>
          <w:szCs w:val="20"/>
          <w:lang w:val="bg-BG"/>
        </w:rPr>
      </w:pPr>
      <w:r w:rsidRPr="009072DA">
        <w:rPr>
          <w:lang w:val="bg-BG"/>
        </w:rPr>
        <w:br w:type="page"/>
      </w:r>
    </w:p>
    <w:p w:rsidR="004F47BB" w:rsidRPr="009072DA" w:rsidRDefault="004F47BB" w:rsidP="004F47BB">
      <w:pPr>
        <w:spacing w:line="240" w:lineRule="atLeast"/>
        <w:ind w:left="567" w:hanging="567"/>
        <w:rPr>
          <w:lang w:val="bg-BG"/>
        </w:rPr>
      </w:pPr>
      <w:r w:rsidRPr="009072DA">
        <w:rPr>
          <w:lang w:val="bg-BG"/>
        </w:rPr>
        <w:lastRenderedPageBreak/>
        <w:t>3.2.2</w:t>
      </w:r>
      <w:r w:rsidRPr="009072DA">
        <w:rPr>
          <w:lang w:val="bg-BG"/>
        </w:rPr>
        <w:tab/>
        <w:t>Пътнически плавателен съд (година на производство 1994 г., удостоверението на плавателния съд за плаване по вътрешни водни пътища е подновено последно през 2012 г.) ще бъде удължен с 10 m през 2016 г. Освен това, плавателният съд трябва да се оборудва с втора независима система за задвижване. Също така се налага ново изчисляване на устойчивостта, което трябва да се извърши в съответствие с глава 19 за повреда в един отсек и за повреда в два отсека.</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r w:rsidRPr="009072DA">
        <w:rPr>
          <w:lang w:val="bg-BG"/>
        </w:rPr>
        <w:t>3.2.3</w:t>
      </w:r>
      <w:r w:rsidRPr="009072DA">
        <w:rPr>
          <w:lang w:val="bg-BG"/>
        </w:rPr>
        <w:tab/>
        <w:t>Пътнически плавателен съд (година на производство — 1988 г.) се оборудва с по-мощна система за задвижване, включително гребни винтове. Това представлява съществено преустройство и налага изчисляване на устойчивостта. То трябва да се извърши в съответствие с актуалните изисквания.</w:t>
      </w:r>
    </w:p>
    <w:p w:rsidR="004F47BB" w:rsidRPr="009072DA" w:rsidRDefault="004F47BB" w:rsidP="004F47BB">
      <w:pPr>
        <w:spacing w:line="240" w:lineRule="atLeast"/>
        <w:ind w:left="567" w:hanging="567"/>
        <w:rPr>
          <w:lang w:val="bg-BG"/>
        </w:rPr>
      </w:pPr>
    </w:p>
    <w:p w:rsidR="004F47BB" w:rsidRPr="009072DA" w:rsidRDefault="004F47BB" w:rsidP="004F47BB">
      <w:pPr>
        <w:spacing w:line="240" w:lineRule="atLeast"/>
        <w:ind w:left="567" w:hanging="567"/>
        <w:rPr>
          <w:lang w:val="bg-BG"/>
        </w:rPr>
      </w:pPr>
    </w:p>
    <w:p w:rsidR="004F47BB" w:rsidRPr="009072DA" w:rsidRDefault="004F47BB" w:rsidP="004F47BB">
      <w:pPr>
        <w:widowControl w:val="0"/>
        <w:overflowPunct w:val="0"/>
        <w:adjustRightInd w:val="0"/>
        <w:spacing w:line="240" w:lineRule="atLeast"/>
        <w:textAlignment w:val="baseline"/>
        <w:rPr>
          <w:rFonts w:cs="Arial"/>
          <w:snapToGrid w:val="0"/>
          <w:szCs w:val="20"/>
          <w:lang w:val="bg-BG"/>
        </w:rPr>
      </w:pPr>
    </w:p>
    <w:p w:rsidR="004F47BB" w:rsidRPr="009072DA" w:rsidRDefault="004F47BB" w:rsidP="004F47BB">
      <w:pPr>
        <w:spacing w:line="240" w:lineRule="atLeast"/>
        <w:ind w:left="567" w:hanging="567"/>
        <w:rPr>
          <w:lang w:val="bg-BG"/>
        </w:rPr>
      </w:pPr>
    </w:p>
    <w:p w:rsidR="004F47BB" w:rsidRPr="009072DA" w:rsidRDefault="004F47BB" w:rsidP="004F47BB">
      <w:pPr>
        <w:overflowPunct w:val="0"/>
        <w:adjustRightInd w:val="0"/>
        <w:textAlignment w:val="baseline"/>
        <w:rPr>
          <w:rFonts w:cs="Arial"/>
          <w:szCs w:val="20"/>
          <w:lang w:val="bg-BG"/>
        </w:rPr>
      </w:pPr>
    </w:p>
    <w:p w:rsidR="004F47BB" w:rsidRPr="009072DA" w:rsidRDefault="004F47BB" w:rsidP="004F47BB">
      <w:pPr>
        <w:spacing w:line="240" w:lineRule="atLeast"/>
        <w:rPr>
          <w:rFonts w:cs="Arial"/>
          <w:szCs w:val="20"/>
          <w:lang w:val="bg-BG"/>
        </w:rPr>
      </w:pPr>
    </w:p>
    <w:p w:rsidR="004F47BB" w:rsidRPr="009072DA" w:rsidRDefault="004F47BB" w:rsidP="004F47BB">
      <w:pPr>
        <w:tabs>
          <w:tab w:val="center" w:pos="7797"/>
        </w:tabs>
        <w:ind w:right="288"/>
        <w:rPr>
          <w:lang w:val="bg-BG"/>
        </w:rPr>
      </w:pPr>
    </w:p>
    <w:p w:rsidR="002908AA" w:rsidRPr="009072DA" w:rsidRDefault="002908AA" w:rsidP="002908AA">
      <w:pPr>
        <w:pStyle w:val="ESgauche"/>
        <w:rPr>
          <w:noProof w:val="0"/>
          <w:lang w:val="bg-BG"/>
        </w:rPr>
      </w:pPr>
    </w:p>
    <w:p w:rsidR="004F47BB" w:rsidRPr="009072DA" w:rsidRDefault="004F47BB" w:rsidP="002908AA">
      <w:pPr>
        <w:pStyle w:val="ESgauche"/>
        <w:rPr>
          <w:noProof w:val="0"/>
          <w:lang w:val="bg-BG"/>
        </w:rPr>
      </w:pPr>
    </w:p>
    <w:p w:rsidR="004F47BB" w:rsidRPr="009072DA" w:rsidRDefault="004F47BB" w:rsidP="002908AA">
      <w:pPr>
        <w:pStyle w:val="ESgauche"/>
        <w:rPr>
          <w:noProof w:val="0"/>
          <w:lang w:val="bg-BG"/>
        </w:rPr>
      </w:pPr>
    </w:p>
    <w:p w:rsidR="002908AA" w:rsidRPr="009072DA" w:rsidRDefault="002908AA" w:rsidP="00973DAA">
      <w:pPr>
        <w:pStyle w:val="ESch"/>
        <w:rPr>
          <w:lang w:val="bg-BG"/>
        </w:rPr>
      </w:pPr>
    </w:p>
    <w:sectPr w:rsidR="002908AA" w:rsidRPr="009072DA" w:rsidSect="00AC5CC1">
      <w:headerReference w:type="first" r:id="rId151"/>
      <w:footnotePr>
        <w:numRestart w:val="eachPage"/>
      </w:footnotePr>
      <w:pgSz w:w="11906" w:h="16838" w:code="9"/>
      <w:pgMar w:top="1418" w:right="1418" w:bottom="1418" w:left="1418" w:header="709" w:footer="709" w:gutter="0"/>
      <w:cols w:space="709"/>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B712C" w:rsidRDefault="002B712C">
      <w:r>
        <w:separator/>
      </w:r>
    </w:p>
  </w:endnote>
  <w:endnote w:type="continuationSeparator" w:id="0">
    <w:p w:rsidR="002B712C" w:rsidRDefault="002B71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rdia New">
    <w:panose1 w:val="020B0304020202020204"/>
    <w:charset w:val="00"/>
    <w:family w:val="swiss"/>
    <w:pitch w:val="variable"/>
    <w:sig w:usb0="81000003" w:usb1="00000000" w:usb2="00000000" w:usb3="00000000" w:csb0="0001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Arial Gras">
    <w:panose1 w:val="00000000000000000000"/>
    <w:charset w:val="00"/>
    <w:family w:val="roman"/>
    <w:notTrueType/>
    <w:pitch w:val="default"/>
  </w:font>
  <w:font w:name="CG Times">
    <w:panose1 w:val="00000000000000000000"/>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G Times (W1)">
    <w:altName w:val="Times New Roman"/>
    <w:charset w:val="00"/>
    <w:family w:val="roman"/>
    <w:pitch w:val="variable"/>
  </w:font>
  <w:font w:name="Times">
    <w:panose1 w:val="02020603050405020304"/>
    <w:charset w:val="00"/>
    <w:family w:val="roman"/>
    <w:pitch w:val="variable"/>
    <w:sig w:usb0="E0002EFF" w:usb1="C000785B" w:usb2="00000009" w:usb3="00000000" w:csb0="000001FF" w:csb1="00000000"/>
  </w:font>
  <w:font w:name="Liberation Sans">
    <w:altName w:val="Arial"/>
    <w:charset w:val="00"/>
    <w:family w:val="swiss"/>
    <w:pitch w:val="default"/>
  </w:font>
  <w:font w:name="Lucida Sans Unicode">
    <w:panose1 w:val="020B0602030504020204"/>
    <w:charset w:val="00"/>
    <w:family w:val="swiss"/>
    <w:pitch w:val="variable"/>
    <w:sig w:usb0="80000AFF" w:usb1="0000396B" w:usb2="00000000" w:usb3="00000000" w:csb0="000000BF" w:csb1="00000000"/>
  </w:font>
  <w:font w:name="EU 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imesNewRoman">
    <w:altName w:val="Arial Unicode MS"/>
    <w:panose1 w:val="00000000000000000000"/>
    <w:charset w:val="80"/>
    <w:family w:val="auto"/>
    <w:notTrueType/>
    <w:pitch w:val="default"/>
    <w:sig w:usb0="00000000" w:usb1="08070000" w:usb2="00000010" w:usb3="00000000" w:csb0="00020001" w:csb1="00000000"/>
  </w:font>
  <w:font w:name="Angsana New">
    <w:panose1 w:val="02020603050405020304"/>
    <w:charset w:val="00"/>
    <w:family w:val="roman"/>
    <w:pitch w:val="variable"/>
    <w:sig w:usb0="81000003" w:usb1="00000000" w:usb2="00000000" w:usb3="00000000" w:csb0="0001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Default="002B712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9072DA" w:rsidRDefault="002B712C" w:rsidP="00E1027C">
    <w:pPr>
      <w:widowControl w:val="0"/>
      <w:pBdr>
        <w:top w:val="single" w:sz="6" w:space="1" w:color="auto"/>
      </w:pBdr>
      <w:tabs>
        <w:tab w:val="right" w:pos="9000"/>
      </w:tabs>
      <w:spacing w:line="240" w:lineRule="atLeast"/>
      <w:rPr>
        <w:sz w:val="16"/>
        <w:szCs w:val="16"/>
        <w:lang w:val="bg-BG"/>
      </w:rPr>
    </w:pPr>
    <w:r w:rsidRPr="009072DA">
      <w:rPr>
        <w:sz w:val="16"/>
        <w:lang w:val="bg-BG"/>
      </w:rPr>
      <w:t>Издание 2017/1</w:t>
    </w:r>
    <w:r w:rsidRPr="009072DA">
      <w:rPr>
        <w:lang w:val="bg-BG"/>
      </w:rPr>
      <w:tab/>
    </w:r>
    <w:r w:rsidRPr="009072DA">
      <w:rPr>
        <w:sz w:val="16"/>
        <w:lang w:val="bg-BG"/>
      </w:rPr>
      <w:t xml:space="preserve">Страница </w:t>
    </w:r>
    <w:r w:rsidRPr="009072DA">
      <w:rPr>
        <w:sz w:val="16"/>
        <w:szCs w:val="16"/>
        <w:lang w:val="bg-BG"/>
      </w:rPr>
      <w:fldChar w:fldCharType="begin"/>
    </w:r>
    <w:r w:rsidRPr="009072DA">
      <w:rPr>
        <w:sz w:val="16"/>
        <w:szCs w:val="16"/>
        <w:lang w:val="bg-BG"/>
      </w:rPr>
      <w:instrText xml:space="preserve"> PAGE </w:instrText>
    </w:r>
    <w:r w:rsidRPr="009072DA">
      <w:rPr>
        <w:sz w:val="16"/>
        <w:szCs w:val="16"/>
        <w:lang w:val="bg-BG"/>
      </w:rPr>
      <w:fldChar w:fldCharType="separate"/>
    </w:r>
    <w:r w:rsidR="0052294E">
      <w:rPr>
        <w:noProof/>
        <w:sz w:val="16"/>
        <w:szCs w:val="16"/>
        <w:lang w:val="bg-BG"/>
      </w:rPr>
      <w:t>iii</w:t>
    </w:r>
    <w:r w:rsidRPr="009072DA">
      <w:rPr>
        <w:sz w:val="16"/>
        <w:szCs w:val="16"/>
        <w:lang w:val="bg-BG"/>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9072DA" w:rsidRDefault="002B712C" w:rsidP="002C44F2">
    <w:pPr>
      <w:widowControl w:val="0"/>
      <w:pBdr>
        <w:top w:val="single" w:sz="6" w:space="1" w:color="auto"/>
      </w:pBdr>
      <w:tabs>
        <w:tab w:val="right" w:pos="9000"/>
      </w:tabs>
      <w:spacing w:line="240" w:lineRule="atLeast"/>
      <w:rPr>
        <w:sz w:val="16"/>
        <w:szCs w:val="16"/>
        <w:lang w:val="bg-BG"/>
      </w:rPr>
    </w:pPr>
    <w:r w:rsidRPr="009072DA">
      <w:rPr>
        <w:sz w:val="16"/>
        <w:lang w:val="bg-BG"/>
      </w:rPr>
      <w:t>Издание 2017/1</w:t>
    </w:r>
    <w:r w:rsidRPr="009072DA">
      <w:rPr>
        <w:lang w:val="bg-BG"/>
      </w:rP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9072DA" w:rsidRDefault="002B712C" w:rsidP="00DC4D54">
    <w:pPr>
      <w:widowControl w:val="0"/>
      <w:pBdr>
        <w:top w:val="single" w:sz="6" w:space="1" w:color="auto"/>
      </w:pBdr>
      <w:tabs>
        <w:tab w:val="right" w:pos="9000"/>
      </w:tabs>
      <w:spacing w:line="240" w:lineRule="atLeast"/>
      <w:rPr>
        <w:sz w:val="16"/>
        <w:szCs w:val="16"/>
        <w:lang w:val="bg-BG"/>
      </w:rPr>
    </w:pPr>
    <w:r w:rsidRPr="009072DA">
      <w:rPr>
        <w:sz w:val="16"/>
        <w:lang w:val="bg-BG"/>
      </w:rPr>
      <w:t>Издание 2017/1</w:t>
    </w:r>
    <w:r w:rsidRPr="009072DA">
      <w:rPr>
        <w:lang w:val="bg-BG"/>
      </w:rPr>
      <w:tab/>
    </w:r>
    <w:r w:rsidRPr="009072DA">
      <w:rPr>
        <w:sz w:val="16"/>
        <w:lang w:val="bg-BG"/>
      </w:rPr>
      <w:t xml:space="preserve">Страница </w:t>
    </w:r>
    <w:r w:rsidRPr="009072DA">
      <w:rPr>
        <w:sz w:val="16"/>
        <w:szCs w:val="16"/>
        <w:lang w:val="bg-BG"/>
      </w:rPr>
      <w:fldChar w:fldCharType="begin"/>
    </w:r>
    <w:r w:rsidRPr="009072DA">
      <w:rPr>
        <w:sz w:val="16"/>
        <w:szCs w:val="16"/>
        <w:lang w:val="bg-BG"/>
      </w:rPr>
      <w:instrText xml:space="preserve"> PAGE </w:instrText>
    </w:r>
    <w:r w:rsidRPr="009072DA">
      <w:rPr>
        <w:sz w:val="16"/>
        <w:szCs w:val="16"/>
        <w:lang w:val="bg-BG"/>
      </w:rPr>
      <w:fldChar w:fldCharType="separate"/>
    </w:r>
    <w:r w:rsidR="00B62610">
      <w:rPr>
        <w:noProof/>
        <w:sz w:val="16"/>
        <w:szCs w:val="16"/>
        <w:lang w:val="bg-BG"/>
      </w:rPr>
      <w:t>361</w:t>
    </w:r>
    <w:r w:rsidRPr="009072DA">
      <w:rPr>
        <w:sz w:val="16"/>
        <w:szCs w:val="16"/>
        <w:lang w:val="bg-BG"/>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9072DA" w:rsidRDefault="002B712C" w:rsidP="00EF4E24">
    <w:pPr>
      <w:widowControl w:val="0"/>
      <w:pBdr>
        <w:top w:val="single" w:sz="6" w:space="1" w:color="auto"/>
      </w:pBdr>
      <w:tabs>
        <w:tab w:val="right" w:pos="9000"/>
      </w:tabs>
      <w:spacing w:line="240" w:lineRule="atLeast"/>
      <w:rPr>
        <w:sz w:val="16"/>
        <w:szCs w:val="16"/>
        <w:lang w:val="bg-BG"/>
      </w:rPr>
    </w:pPr>
    <w:r w:rsidRPr="009072DA">
      <w:rPr>
        <w:sz w:val="16"/>
        <w:lang w:val="bg-BG"/>
      </w:rPr>
      <w:t>Издание 2017/1</w:t>
    </w:r>
    <w:r w:rsidRPr="009072DA">
      <w:rPr>
        <w:lang w:val="bg-BG"/>
      </w:rPr>
      <w:tab/>
    </w:r>
    <w:r w:rsidRPr="009072DA">
      <w:rPr>
        <w:sz w:val="16"/>
        <w:lang w:val="bg-BG"/>
      </w:rPr>
      <w:t xml:space="preserve">Страница </w:t>
    </w:r>
    <w:r w:rsidRPr="009072DA">
      <w:rPr>
        <w:sz w:val="16"/>
        <w:szCs w:val="16"/>
        <w:lang w:val="bg-BG"/>
      </w:rPr>
      <w:fldChar w:fldCharType="begin"/>
    </w:r>
    <w:r w:rsidRPr="009072DA">
      <w:rPr>
        <w:sz w:val="16"/>
        <w:szCs w:val="16"/>
        <w:lang w:val="bg-BG"/>
      </w:rPr>
      <w:instrText xml:space="preserve"> PAGE </w:instrText>
    </w:r>
    <w:r w:rsidRPr="009072DA">
      <w:rPr>
        <w:sz w:val="16"/>
        <w:szCs w:val="16"/>
        <w:lang w:val="bg-BG"/>
      </w:rPr>
      <w:fldChar w:fldCharType="separate"/>
    </w:r>
    <w:r w:rsidR="0052294E">
      <w:rPr>
        <w:noProof/>
        <w:sz w:val="16"/>
        <w:szCs w:val="16"/>
        <w:lang w:val="bg-BG"/>
      </w:rPr>
      <w:t>216</w:t>
    </w:r>
    <w:r w:rsidRPr="009072DA">
      <w:rPr>
        <w:sz w:val="16"/>
        <w:szCs w:val="16"/>
        <w:lang w:val="bg-BG"/>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925FA7" w:rsidRDefault="002B712C" w:rsidP="001E2331">
    <w:pPr>
      <w:widowControl w:val="0"/>
      <w:pBdr>
        <w:top w:val="single" w:sz="6" w:space="1" w:color="auto"/>
      </w:pBdr>
      <w:tabs>
        <w:tab w:val="right" w:pos="13892"/>
      </w:tabs>
      <w:spacing w:line="240" w:lineRule="atLeast"/>
      <w:rPr>
        <w:sz w:val="16"/>
        <w:szCs w:val="16"/>
        <w:lang w:val="bg-BG"/>
      </w:rPr>
    </w:pPr>
    <w:r w:rsidRPr="00925FA7">
      <w:rPr>
        <w:sz w:val="16"/>
        <w:lang w:val="bg-BG"/>
      </w:rPr>
      <w:t>Издание 2017/1</w:t>
    </w:r>
    <w:r w:rsidRPr="00925FA7">
      <w:rPr>
        <w:lang w:val="bg-BG"/>
      </w:rPr>
      <w:tab/>
    </w:r>
    <w:r w:rsidRPr="00925FA7">
      <w:rPr>
        <w:sz w:val="16"/>
        <w:lang w:val="bg-BG"/>
      </w:rPr>
      <w:t xml:space="preserve">Страница </w:t>
    </w:r>
    <w:r w:rsidRPr="00925FA7">
      <w:rPr>
        <w:sz w:val="16"/>
        <w:szCs w:val="16"/>
        <w:lang w:val="bg-BG"/>
      </w:rPr>
      <w:fldChar w:fldCharType="begin"/>
    </w:r>
    <w:r w:rsidRPr="00925FA7">
      <w:rPr>
        <w:sz w:val="16"/>
        <w:szCs w:val="16"/>
        <w:lang w:val="bg-BG"/>
      </w:rPr>
      <w:instrText xml:space="preserve"> PAGE </w:instrText>
    </w:r>
    <w:r w:rsidRPr="00925FA7">
      <w:rPr>
        <w:sz w:val="16"/>
        <w:szCs w:val="16"/>
        <w:lang w:val="bg-BG"/>
      </w:rPr>
      <w:fldChar w:fldCharType="separate"/>
    </w:r>
    <w:r w:rsidR="00B62610">
      <w:rPr>
        <w:noProof/>
        <w:sz w:val="16"/>
        <w:szCs w:val="16"/>
        <w:lang w:val="bg-BG"/>
      </w:rPr>
      <w:t>455</w:t>
    </w:r>
    <w:r w:rsidRPr="00925FA7">
      <w:rPr>
        <w:sz w:val="16"/>
        <w:szCs w:val="16"/>
        <w:lang w:val="bg-BG"/>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925FA7" w:rsidRDefault="002B712C" w:rsidP="001E2331">
    <w:pPr>
      <w:widowControl w:val="0"/>
      <w:pBdr>
        <w:top w:val="single" w:sz="6" w:space="1" w:color="auto"/>
      </w:pBdr>
      <w:tabs>
        <w:tab w:val="right" w:pos="13892"/>
      </w:tabs>
      <w:spacing w:line="240" w:lineRule="atLeast"/>
      <w:rPr>
        <w:sz w:val="16"/>
        <w:szCs w:val="16"/>
        <w:lang w:val="bg-BG"/>
      </w:rPr>
    </w:pPr>
    <w:r w:rsidRPr="00925FA7">
      <w:rPr>
        <w:sz w:val="16"/>
        <w:lang w:val="bg-BG"/>
      </w:rPr>
      <w:t>Издание 2017/1</w:t>
    </w:r>
    <w:r w:rsidRPr="00925FA7">
      <w:rPr>
        <w:lang w:val="bg-BG"/>
      </w:rPr>
      <w:tab/>
    </w:r>
    <w:r w:rsidRPr="00925FA7">
      <w:rPr>
        <w:sz w:val="16"/>
        <w:lang w:val="bg-BG"/>
      </w:rPr>
      <w:t xml:space="preserve">Страница </w:t>
    </w:r>
    <w:r w:rsidRPr="00925FA7">
      <w:rPr>
        <w:sz w:val="16"/>
        <w:szCs w:val="16"/>
        <w:lang w:val="bg-BG"/>
      </w:rPr>
      <w:fldChar w:fldCharType="begin"/>
    </w:r>
    <w:r w:rsidRPr="00925FA7">
      <w:rPr>
        <w:sz w:val="16"/>
        <w:szCs w:val="16"/>
        <w:lang w:val="bg-BG"/>
      </w:rPr>
      <w:instrText xml:space="preserve"> PAGE </w:instrText>
    </w:r>
    <w:r w:rsidRPr="00925FA7">
      <w:rPr>
        <w:sz w:val="16"/>
        <w:szCs w:val="16"/>
        <w:lang w:val="bg-BG"/>
      </w:rPr>
      <w:fldChar w:fldCharType="separate"/>
    </w:r>
    <w:r w:rsidR="00B62610">
      <w:rPr>
        <w:noProof/>
        <w:sz w:val="16"/>
        <w:szCs w:val="16"/>
        <w:lang w:val="bg-BG"/>
      </w:rPr>
      <w:t>427</w:t>
    </w:r>
    <w:r w:rsidRPr="00925FA7">
      <w:rPr>
        <w:sz w:val="16"/>
        <w:szCs w:val="16"/>
        <w:lang w:val="bg-BG"/>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B405CE">
    <w:pPr>
      <w:widowControl w:val="0"/>
      <w:pBdr>
        <w:top w:val="single" w:sz="6" w:space="1" w:color="auto"/>
      </w:pBdr>
      <w:tabs>
        <w:tab w:val="right" w:pos="13892"/>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62610">
      <w:rPr>
        <w:noProof/>
        <w:sz w:val="16"/>
        <w:szCs w:val="16"/>
      </w:rPr>
      <w:t>430</w:t>
    </w:r>
    <w:r w:rsidRPr="006B1D78">
      <w:rPr>
        <w:sz w:val="16"/>
        <w:szCs w:val="16"/>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DC4D54">
    <w:pPr>
      <w:widowControl w:val="0"/>
      <w:pBdr>
        <w:top w:val="single" w:sz="6" w:space="1" w:color="auto"/>
      </w:pBdr>
      <w:tabs>
        <w:tab w:val="right" w:pos="9000"/>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62610">
      <w:rPr>
        <w:noProof/>
        <w:sz w:val="16"/>
        <w:szCs w:val="16"/>
      </w:rPr>
      <w:t>457</w:t>
    </w:r>
    <w:r w:rsidRPr="006B1D78">
      <w:rPr>
        <w:sz w:val="16"/>
        <w:szCs w:val="16"/>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EF4E24">
    <w:pPr>
      <w:widowControl w:val="0"/>
      <w:pBdr>
        <w:top w:val="single" w:sz="6" w:space="1" w:color="auto"/>
      </w:pBdr>
      <w:tabs>
        <w:tab w:val="right" w:pos="9000"/>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62610">
      <w:rPr>
        <w:noProof/>
        <w:sz w:val="16"/>
        <w:szCs w:val="16"/>
      </w:rPr>
      <w:t>456</w:t>
    </w:r>
    <w:r w:rsidRPr="006B1D78">
      <w:rPr>
        <w:sz w:val="16"/>
        <w:szCs w:val="16"/>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9C13A9">
    <w:pPr>
      <w:widowControl w:val="0"/>
      <w:pBdr>
        <w:top w:val="single" w:sz="6" w:space="1" w:color="auto"/>
      </w:pBdr>
      <w:tabs>
        <w:tab w:val="right" w:pos="9072"/>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62610">
      <w:rPr>
        <w:noProof/>
        <w:sz w:val="16"/>
        <w:szCs w:val="16"/>
      </w:rPr>
      <w:t>464</w:t>
    </w:r>
    <w:r w:rsidRPr="006B1D78">
      <w:rPr>
        <w:sz w:val="16"/>
        <w:szCs w:val="16"/>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925FA7" w:rsidRDefault="002B712C" w:rsidP="00DC4D54">
    <w:pPr>
      <w:widowControl w:val="0"/>
      <w:pBdr>
        <w:top w:val="single" w:sz="6" w:space="1" w:color="auto"/>
      </w:pBdr>
      <w:tabs>
        <w:tab w:val="right" w:pos="9000"/>
      </w:tabs>
      <w:spacing w:line="240" w:lineRule="atLeast"/>
      <w:rPr>
        <w:sz w:val="16"/>
        <w:szCs w:val="16"/>
        <w:lang w:val="bg-BG"/>
      </w:rPr>
    </w:pPr>
    <w:r w:rsidRPr="00925FA7">
      <w:rPr>
        <w:sz w:val="16"/>
        <w:lang w:val="bg-BG"/>
      </w:rPr>
      <w:t>Издание 2017/1</w:t>
    </w:r>
    <w:r w:rsidRPr="00925FA7">
      <w:rPr>
        <w:lang w:val="bg-BG"/>
      </w:rPr>
      <w:tab/>
    </w:r>
    <w:r w:rsidRPr="00925FA7">
      <w:rPr>
        <w:sz w:val="16"/>
        <w:lang w:val="bg-BG"/>
      </w:rPr>
      <w:t xml:space="preserve">Страница </w:t>
    </w:r>
    <w:r w:rsidRPr="00925FA7">
      <w:rPr>
        <w:sz w:val="16"/>
        <w:szCs w:val="16"/>
        <w:lang w:val="bg-BG"/>
      </w:rPr>
      <w:fldChar w:fldCharType="begin"/>
    </w:r>
    <w:r w:rsidRPr="00925FA7">
      <w:rPr>
        <w:sz w:val="16"/>
        <w:szCs w:val="16"/>
        <w:lang w:val="bg-BG"/>
      </w:rPr>
      <w:instrText xml:space="preserve"> PAGE </w:instrText>
    </w:r>
    <w:r w:rsidRPr="00925FA7">
      <w:rPr>
        <w:sz w:val="16"/>
        <w:szCs w:val="16"/>
        <w:lang w:val="bg-BG"/>
      </w:rPr>
      <w:fldChar w:fldCharType="separate"/>
    </w:r>
    <w:r w:rsidR="00B62610">
      <w:rPr>
        <w:noProof/>
        <w:sz w:val="16"/>
        <w:szCs w:val="16"/>
        <w:lang w:val="bg-BG"/>
      </w:rPr>
      <w:t>492</w:t>
    </w:r>
    <w:r w:rsidRPr="00925FA7">
      <w:rPr>
        <w:sz w:val="16"/>
        <w:szCs w:val="16"/>
        <w:lang w:val="bg-BG"/>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9C13A9">
    <w:pPr>
      <w:widowControl w:val="0"/>
      <w:pBdr>
        <w:top w:val="single" w:sz="6" w:space="1" w:color="auto"/>
      </w:pBdr>
      <w:tabs>
        <w:tab w:val="right" w:pos="9072"/>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E5E7B">
      <w:rPr>
        <w:noProof/>
        <w:sz w:val="16"/>
        <w:szCs w:val="16"/>
      </w:rPr>
      <w:t>512</w:t>
    </w:r>
    <w:r w:rsidRPr="006B1D78">
      <w:rPr>
        <w:sz w:val="16"/>
        <w:szCs w:val="16"/>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1865DF">
    <w:pPr>
      <w:widowControl w:val="0"/>
      <w:pBdr>
        <w:top w:val="single" w:sz="6" w:space="1" w:color="auto"/>
      </w:pBdr>
      <w:tabs>
        <w:tab w:val="right" w:pos="14034"/>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E5E7B">
      <w:rPr>
        <w:noProof/>
        <w:sz w:val="16"/>
        <w:szCs w:val="16"/>
      </w:rPr>
      <w:t>517</w:t>
    </w:r>
    <w:r w:rsidRPr="006B1D78">
      <w:rPr>
        <w:sz w:val="16"/>
        <w:szCs w:val="16"/>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9C13A9">
    <w:pPr>
      <w:widowControl w:val="0"/>
      <w:pBdr>
        <w:top w:val="single" w:sz="6" w:space="1" w:color="auto"/>
      </w:pBdr>
      <w:tabs>
        <w:tab w:val="right" w:pos="9072"/>
      </w:tabs>
      <w:spacing w:line="240" w:lineRule="atLeast"/>
      <w:rPr>
        <w:sz w:val="16"/>
        <w:szCs w:val="16"/>
      </w:rPr>
    </w:pPr>
    <w:r>
      <w:rPr>
        <w:sz w:val="16"/>
      </w:rPr>
      <w:t>Издание 1.0 – септември 2014 г.</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23</w:t>
    </w:r>
    <w:r w:rsidRPr="006B1D78">
      <w:rPr>
        <w:sz w:val="16"/>
        <w:szCs w:val="16"/>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DC4D54">
    <w:pPr>
      <w:widowControl w:val="0"/>
      <w:pBdr>
        <w:top w:val="single" w:sz="6" w:space="1" w:color="auto"/>
      </w:pBdr>
      <w:tabs>
        <w:tab w:val="right" w:pos="9000"/>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065AB7">
      <w:rPr>
        <w:noProof/>
        <w:sz w:val="16"/>
        <w:szCs w:val="16"/>
      </w:rPr>
      <w:t>526</w:t>
    </w:r>
    <w:r w:rsidRPr="006B1D78">
      <w:rPr>
        <w:sz w:val="16"/>
        <w:szCs w:val="16"/>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DC4D54">
    <w:pPr>
      <w:widowControl w:val="0"/>
      <w:pBdr>
        <w:top w:val="single" w:sz="6" w:space="1" w:color="auto"/>
      </w:pBdr>
      <w:tabs>
        <w:tab w:val="right" w:pos="9000"/>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065AB7">
      <w:rPr>
        <w:noProof/>
        <w:sz w:val="16"/>
        <w:szCs w:val="16"/>
      </w:rPr>
      <w:t>577</w:t>
    </w:r>
    <w:r w:rsidRPr="006B1D78">
      <w:rPr>
        <w:sz w:val="16"/>
        <w:szCs w:val="16"/>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DC4D54">
    <w:pPr>
      <w:widowControl w:val="0"/>
      <w:pBdr>
        <w:top w:val="single" w:sz="6" w:space="1" w:color="auto"/>
      </w:pBdr>
      <w:tabs>
        <w:tab w:val="right" w:pos="9000"/>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065AB7">
      <w:rPr>
        <w:noProof/>
        <w:sz w:val="16"/>
        <w:szCs w:val="16"/>
      </w:rPr>
      <w:t>584</w:t>
    </w:r>
    <w:r w:rsidRPr="006B1D78">
      <w:rPr>
        <w:sz w:val="16"/>
        <w:szCs w:val="16"/>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DC4D54">
    <w:pPr>
      <w:widowControl w:val="0"/>
      <w:pBdr>
        <w:top w:val="single" w:sz="6" w:space="1" w:color="auto"/>
      </w:pBdr>
      <w:tabs>
        <w:tab w:val="right" w:pos="9000"/>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065AB7">
      <w:rPr>
        <w:noProof/>
        <w:sz w:val="16"/>
        <w:szCs w:val="16"/>
      </w:rPr>
      <w:t>608</w:t>
    </w:r>
    <w:r w:rsidRPr="006B1D78">
      <w:rPr>
        <w:sz w:val="16"/>
        <w:szCs w:val="16"/>
      </w:rP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Default="002B712C"/>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9C13A9">
    <w:pPr>
      <w:widowControl w:val="0"/>
      <w:pBdr>
        <w:top w:val="single" w:sz="6" w:space="1" w:color="auto"/>
      </w:pBdr>
      <w:tabs>
        <w:tab w:val="right" w:pos="13892"/>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065AB7">
      <w:rPr>
        <w:noProof/>
        <w:sz w:val="16"/>
        <w:szCs w:val="16"/>
      </w:rPr>
      <w:t>611</w:t>
    </w:r>
    <w:r w:rsidRPr="006B1D78">
      <w:rPr>
        <w:sz w:val="16"/>
        <w:szCs w:val="16"/>
      </w:rPr>
      <w:fldChar w:fldCharType="end"/>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Default="002B712C"/>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Default="002B712C"/>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9C13A9">
    <w:pPr>
      <w:widowControl w:val="0"/>
      <w:pBdr>
        <w:top w:val="single" w:sz="6" w:space="1" w:color="auto"/>
      </w:pBdr>
      <w:tabs>
        <w:tab w:val="right" w:pos="9000"/>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065AB7">
      <w:rPr>
        <w:noProof/>
        <w:sz w:val="16"/>
        <w:szCs w:val="16"/>
      </w:rPr>
      <w:t>614</w:t>
    </w:r>
    <w:r w:rsidRPr="006B1D78">
      <w:rPr>
        <w:sz w:val="16"/>
        <w:szCs w:val="16"/>
      </w:rPr>
      <w:fldChar w:fldCharType="end"/>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Default="002B712C"/>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Default="002B712C"/>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9C13A9">
    <w:pPr>
      <w:widowControl w:val="0"/>
      <w:pBdr>
        <w:top w:val="single" w:sz="6" w:space="1" w:color="auto"/>
      </w:pBdr>
      <w:tabs>
        <w:tab w:val="right" w:pos="13892"/>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065AB7">
      <w:rPr>
        <w:noProof/>
        <w:sz w:val="16"/>
        <w:szCs w:val="16"/>
      </w:rPr>
      <w:t>617</w:t>
    </w:r>
    <w:r w:rsidRPr="006B1D78">
      <w:rPr>
        <w:sz w:val="16"/>
        <w:szCs w:val="16"/>
      </w:rPr>
      <w:fldChar w:fldCharType="end"/>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Default="002B712C"/>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9C13A9">
    <w:pPr>
      <w:widowControl w:val="0"/>
      <w:pBdr>
        <w:top w:val="single" w:sz="6" w:space="1" w:color="auto"/>
      </w:pBdr>
      <w:tabs>
        <w:tab w:val="right" w:pos="9000"/>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065AB7">
      <w:rPr>
        <w:noProof/>
        <w:sz w:val="16"/>
        <w:szCs w:val="16"/>
      </w:rPr>
      <w:t>624</w:t>
    </w:r>
    <w:r w:rsidRPr="006B1D78">
      <w:rPr>
        <w:sz w:val="16"/>
        <w:szCs w:val="16"/>
      </w:rPr>
      <w:fldChar w:fldCharType="end"/>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9C13A9">
    <w:pPr>
      <w:widowControl w:val="0"/>
      <w:pBdr>
        <w:top w:val="single" w:sz="6" w:space="1" w:color="auto"/>
      </w:pBdr>
      <w:tabs>
        <w:tab w:val="right" w:pos="9000"/>
      </w:tabs>
      <w:spacing w:line="240" w:lineRule="atLeast"/>
      <w:rPr>
        <w:sz w:val="16"/>
        <w:szCs w:val="16"/>
      </w:rPr>
    </w:pPr>
    <w:r>
      <w:rPr>
        <w:sz w:val="16"/>
      </w:rPr>
      <w:t>Издание 1.0 – септември 2014 г.</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95</w:t>
    </w:r>
    <w:r w:rsidRPr="006B1D78">
      <w:rPr>
        <w:sz w:val="16"/>
        <w:szCs w:val="16"/>
      </w:rPr>
      <w:fldChar w:fldCharType="end"/>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DC4D54">
    <w:pPr>
      <w:widowControl w:val="0"/>
      <w:pBdr>
        <w:top w:val="single" w:sz="6" w:space="1" w:color="auto"/>
      </w:pBdr>
      <w:tabs>
        <w:tab w:val="right" w:pos="9000"/>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065AB7">
      <w:rPr>
        <w:noProof/>
        <w:sz w:val="16"/>
        <w:szCs w:val="16"/>
      </w:rPr>
      <w:t>678</w:t>
    </w:r>
    <w:r w:rsidRPr="006B1D78">
      <w:rPr>
        <w:sz w:val="16"/>
        <w:szCs w:val="16"/>
      </w:rPr>
      <w:fldChar w:fldCharType="end"/>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EF4E24">
    <w:pPr>
      <w:widowControl w:val="0"/>
      <w:pBdr>
        <w:top w:val="single" w:sz="6" w:space="1" w:color="auto"/>
      </w:pBdr>
      <w:tabs>
        <w:tab w:val="right" w:pos="9000"/>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065AB7">
      <w:rPr>
        <w:noProof/>
        <w:sz w:val="16"/>
        <w:szCs w:val="16"/>
      </w:rPr>
      <w:t>679</w:t>
    </w:r>
    <w:r w:rsidRPr="006B1D78">
      <w:rPr>
        <w:sz w:val="16"/>
        <w:szCs w:val="16"/>
      </w:rPr>
      <w:fldChar w:fldCharType="end"/>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D45887">
    <w:pPr>
      <w:widowControl w:val="0"/>
      <w:pBdr>
        <w:top w:val="single" w:sz="6" w:space="1" w:color="auto"/>
      </w:pBdr>
      <w:tabs>
        <w:tab w:val="right" w:pos="9000"/>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77293">
      <w:rPr>
        <w:noProof/>
        <w:sz w:val="16"/>
        <w:szCs w:val="16"/>
      </w:rPr>
      <w:t>465</w:t>
    </w:r>
    <w:r w:rsidRPr="006B1D78">
      <w:rPr>
        <w:sz w:val="16"/>
        <w:szCs w:val="16"/>
      </w:rPr>
      <w:fldChar w:fldCharType="end"/>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D45887">
    <w:pPr>
      <w:widowControl w:val="0"/>
      <w:pBdr>
        <w:top w:val="single" w:sz="6" w:space="1" w:color="auto"/>
      </w:pBdr>
      <w:tabs>
        <w:tab w:val="right" w:pos="9000"/>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065AB7">
      <w:rPr>
        <w:noProof/>
        <w:sz w:val="16"/>
        <w:szCs w:val="16"/>
      </w:rPr>
      <w:t>397</w:t>
    </w:r>
    <w:r w:rsidRPr="006B1D78">
      <w:rPr>
        <w:sz w:val="16"/>
        <w:szCs w:val="16"/>
      </w:rPr>
      <w:fldChar w:fldCharType="end"/>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D45887">
    <w:pPr>
      <w:widowControl w:val="0"/>
      <w:pBdr>
        <w:top w:val="single" w:sz="6" w:space="1" w:color="auto"/>
      </w:pBdr>
      <w:tabs>
        <w:tab w:val="right" w:pos="9000"/>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065AB7">
      <w:rPr>
        <w:noProof/>
        <w:sz w:val="16"/>
        <w:szCs w:val="16"/>
      </w:rPr>
      <w:t>399</w:t>
    </w:r>
    <w:r w:rsidRPr="006B1D78">
      <w:rPr>
        <w:sz w:val="16"/>
        <w:szCs w:val="16"/>
      </w:rPr>
      <w:fldChar w:fldCharType="end"/>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D45887">
    <w:pPr>
      <w:widowControl w:val="0"/>
      <w:pBdr>
        <w:top w:val="single" w:sz="6" w:space="0" w:color="auto"/>
      </w:pBdr>
      <w:tabs>
        <w:tab w:val="right" w:pos="9000"/>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C229CB">
      <w:rPr>
        <w:noProof/>
        <w:sz w:val="16"/>
        <w:szCs w:val="16"/>
      </w:rPr>
      <w:t>410</w:t>
    </w:r>
    <w:r w:rsidRPr="006B1D78">
      <w:rPr>
        <w:sz w:val="16"/>
        <w:szCs w:val="16"/>
      </w:rPr>
      <w:fldChar w:fldCharType="end"/>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D45887">
    <w:pPr>
      <w:widowControl w:val="0"/>
      <w:pBdr>
        <w:top w:val="single" w:sz="6" w:space="1" w:color="auto"/>
      </w:pBdr>
      <w:tabs>
        <w:tab w:val="right" w:pos="9000"/>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C229CB">
      <w:rPr>
        <w:noProof/>
        <w:sz w:val="16"/>
        <w:szCs w:val="16"/>
      </w:rPr>
      <w:t>423</w:t>
    </w:r>
    <w:r w:rsidRPr="006B1D78">
      <w:rPr>
        <w:sz w:val="16"/>
        <w:szCs w:val="16"/>
      </w:rPr>
      <w:fldChar w:fldCharType="end"/>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D45887">
    <w:pPr>
      <w:widowControl w:val="0"/>
      <w:pBdr>
        <w:top w:val="single" w:sz="6" w:space="1" w:color="auto"/>
      </w:pBdr>
      <w:tabs>
        <w:tab w:val="right" w:pos="14034"/>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C229CB">
      <w:rPr>
        <w:noProof/>
        <w:sz w:val="16"/>
        <w:szCs w:val="16"/>
      </w:rPr>
      <w:t>427</w:t>
    </w:r>
    <w:r w:rsidRPr="006B1D78">
      <w:rPr>
        <w:sz w:val="16"/>
        <w:szCs w:val="16"/>
      </w:rPr>
      <w:fldChar w:fldCharType="end"/>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D45887">
    <w:pPr>
      <w:widowControl w:val="0"/>
      <w:pBdr>
        <w:top w:val="single" w:sz="6" w:space="1" w:color="auto"/>
      </w:pBdr>
      <w:tabs>
        <w:tab w:val="right" w:pos="9000"/>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77293">
      <w:rPr>
        <w:noProof/>
        <w:sz w:val="16"/>
        <w:szCs w:val="16"/>
      </w:rPr>
      <w:t>461</w:t>
    </w:r>
    <w:r w:rsidRPr="006B1D78">
      <w:rPr>
        <w:sz w:val="16"/>
        <w:szCs w:val="16"/>
      </w:rPr>
      <w:fldChar w:fldCharType="end"/>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D45887">
    <w:pPr>
      <w:widowControl w:val="0"/>
      <w:pBdr>
        <w:top w:val="single" w:sz="6" w:space="1" w:color="auto"/>
      </w:pBdr>
      <w:tabs>
        <w:tab w:val="right" w:pos="9000"/>
      </w:tabs>
      <w:spacing w:line="240" w:lineRule="atLeast"/>
      <w:rPr>
        <w:sz w:val="16"/>
        <w:szCs w:val="16"/>
      </w:rPr>
    </w:pPr>
    <w:r>
      <w:rPr>
        <w:sz w:val="16"/>
      </w:rPr>
      <w:t>Издание 1.1 – декември 2014 г.</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43</w:t>
    </w:r>
    <w:r w:rsidRPr="006B1D78">
      <w:rPr>
        <w:sz w:val="16"/>
        <w:szCs w:val="16"/>
      </w:rPr>
      <w:fldChar w:fldCharType="end"/>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D45887">
    <w:pPr>
      <w:widowControl w:val="0"/>
      <w:pBdr>
        <w:top w:val="single" w:sz="6" w:space="1" w:color="auto"/>
      </w:pBdr>
      <w:tabs>
        <w:tab w:val="right" w:pos="9000"/>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377293">
      <w:rPr>
        <w:noProof/>
        <w:sz w:val="16"/>
        <w:szCs w:val="16"/>
      </w:rPr>
      <w:t>466</w:t>
    </w:r>
    <w:r w:rsidRPr="006B1D78">
      <w:rPr>
        <w:sz w:val="16"/>
        <w:szCs w:val="16"/>
      </w:rPr>
      <w:fldChar w:fldCharType="end"/>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6B1D78" w:rsidRDefault="002B712C" w:rsidP="00D45887">
    <w:pPr>
      <w:widowControl w:val="0"/>
      <w:pBdr>
        <w:top w:val="single" w:sz="6" w:space="1" w:color="auto"/>
      </w:pBdr>
      <w:tabs>
        <w:tab w:val="right" w:pos="9072"/>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377293">
      <w:rPr>
        <w:noProof/>
        <w:sz w:val="16"/>
        <w:szCs w:val="16"/>
      </w:rPr>
      <w:t>498</w:t>
    </w:r>
    <w:r w:rsidRPr="006B1D78">
      <w:rPr>
        <w:sz w:val="16"/>
        <w:szCs w:val="16"/>
      </w:rPr>
      <w:fldChar w:fldCharType="end"/>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B8070E" w:rsidRDefault="002B712C" w:rsidP="00EF4E24">
    <w:pPr>
      <w:widowControl w:val="0"/>
      <w:pBdr>
        <w:top w:val="single" w:sz="6" w:space="1" w:color="auto"/>
      </w:pBdr>
      <w:tabs>
        <w:tab w:val="right" w:pos="9000"/>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440357">
      <w:rPr>
        <w:noProof/>
        <w:sz w:val="16"/>
        <w:szCs w:val="16"/>
      </w:rPr>
      <w:t>568</w:t>
    </w:r>
    <w:r w:rsidRPr="006B1D78">
      <w:rPr>
        <w:sz w:val="16"/>
        <w:szCs w:val="16"/>
      </w:rPr>
      <w:fldChar w:fldCharType="end"/>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6B1D78" w:rsidRDefault="002B712C" w:rsidP="00D45887">
    <w:pPr>
      <w:widowControl w:val="0"/>
      <w:pBdr>
        <w:top w:val="single" w:sz="6" w:space="1" w:color="auto"/>
      </w:pBdr>
      <w:tabs>
        <w:tab w:val="right" w:pos="14034"/>
      </w:tabs>
      <w:spacing w:line="240" w:lineRule="atLeast"/>
      <w:rPr>
        <w:sz w:val="16"/>
        <w:szCs w:val="16"/>
      </w:rPr>
    </w:pPr>
    <w:r>
      <w:rPr>
        <w:sz w:val="16"/>
      </w:rPr>
      <w:t>Издание 2017/1</w:t>
    </w:r>
    <w:r>
      <w:tab/>
    </w:r>
    <w:r>
      <w:rPr>
        <w:sz w:val="16"/>
      </w:rPr>
      <w:t xml:space="preserve">Страница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377293">
      <w:rPr>
        <w:noProof/>
        <w:sz w:val="16"/>
        <w:szCs w:val="16"/>
      </w:rPr>
      <w:t>501</w:t>
    </w:r>
    <w:r w:rsidRPr="006B1D78">
      <w:rPr>
        <w:sz w:val="16"/>
        <w:szCs w:val="16"/>
      </w:rPr>
      <w:fldChar w:fldCharType="end"/>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D51D54" w:rsidRDefault="002B712C" w:rsidP="00D45887">
    <w:pPr>
      <w:widowControl w:val="0"/>
      <w:pBdr>
        <w:top w:val="single" w:sz="6" w:space="1" w:color="auto"/>
      </w:pBdr>
      <w:tabs>
        <w:tab w:val="right" w:pos="9072"/>
      </w:tabs>
      <w:spacing w:line="240" w:lineRule="atLeast"/>
      <w:rPr>
        <w:sz w:val="16"/>
        <w:szCs w:val="16"/>
        <w:lang w:val="bg-BG"/>
      </w:rPr>
    </w:pPr>
    <w:r w:rsidRPr="00D51D54">
      <w:rPr>
        <w:sz w:val="16"/>
        <w:lang w:val="bg-BG"/>
      </w:rPr>
      <w:t>Издание 2017/1</w:t>
    </w:r>
    <w:r w:rsidRPr="00D51D54">
      <w:rPr>
        <w:lang w:val="bg-BG"/>
      </w:rPr>
      <w:tab/>
    </w:r>
    <w:r w:rsidRPr="00D51D54">
      <w:rPr>
        <w:sz w:val="16"/>
        <w:lang w:val="bg-BG"/>
      </w:rPr>
      <w:t xml:space="preserve">Страница </w:t>
    </w:r>
    <w:r w:rsidRPr="00D51D54">
      <w:rPr>
        <w:sz w:val="16"/>
        <w:szCs w:val="16"/>
        <w:lang w:val="bg-BG"/>
      </w:rPr>
      <w:fldChar w:fldCharType="begin"/>
    </w:r>
    <w:r w:rsidRPr="00D51D54">
      <w:rPr>
        <w:sz w:val="16"/>
        <w:szCs w:val="16"/>
        <w:lang w:val="bg-BG"/>
      </w:rPr>
      <w:instrText xml:space="preserve"> PAGE </w:instrText>
    </w:r>
    <w:r w:rsidRPr="00D51D54">
      <w:rPr>
        <w:sz w:val="16"/>
        <w:szCs w:val="16"/>
        <w:lang w:val="bg-BG"/>
      </w:rPr>
      <w:fldChar w:fldCharType="separate"/>
    </w:r>
    <w:r w:rsidR="00440357">
      <w:rPr>
        <w:noProof/>
        <w:sz w:val="16"/>
        <w:szCs w:val="16"/>
        <w:lang w:val="bg-BG"/>
      </w:rPr>
      <w:t>567</w:t>
    </w:r>
    <w:r w:rsidRPr="00D51D54">
      <w:rPr>
        <w:sz w:val="16"/>
        <w:szCs w:val="16"/>
        <w:lang w:val="bg-BG"/>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B712C" w:rsidRDefault="002B712C">
      <w:r>
        <w:separator/>
      </w:r>
    </w:p>
  </w:footnote>
  <w:footnote w:type="continuationSeparator" w:id="0">
    <w:p w:rsidR="002B712C" w:rsidRDefault="002B712C">
      <w:r>
        <w:continuationSeparator/>
      </w:r>
    </w:p>
  </w:footnote>
  <w:footnote w:id="1">
    <w:p w:rsidR="002B712C" w:rsidRPr="00EB1C21" w:rsidRDefault="002B712C" w:rsidP="00881510">
      <w:pPr>
        <w:pStyle w:val="FootnoteText"/>
        <w:ind w:left="284" w:hanging="284"/>
        <w:rPr>
          <w:sz w:val="16"/>
          <w:szCs w:val="16"/>
          <w:lang w:val="en-US"/>
        </w:rPr>
      </w:pPr>
      <w:r>
        <w:rPr>
          <w:rStyle w:val="FootnoteReference"/>
          <w:sz w:val="16"/>
        </w:rPr>
        <w:footnoteRef/>
      </w:r>
      <w:r>
        <w:rPr>
          <w:sz w:val="16"/>
        </w:rPr>
        <w:t xml:space="preserve"> </w:t>
      </w:r>
      <w:r>
        <w:tab/>
      </w:r>
      <w:r>
        <w:rPr>
          <w:sz w:val="16"/>
        </w:rPr>
        <w:t>MSC.307 (88), приет на 3 декември 2010 г. — Международен кодекс за прилагане на процедури за пожарни изпитания.</w:t>
      </w:r>
    </w:p>
  </w:footnote>
  <w:footnote w:id="2">
    <w:p w:rsidR="002B712C" w:rsidRPr="00FA4437" w:rsidRDefault="002B712C" w:rsidP="00881510">
      <w:pPr>
        <w:pStyle w:val="FootnoteText"/>
        <w:spacing w:before="20" w:line="220" w:lineRule="atLeast"/>
        <w:ind w:left="284" w:hanging="284"/>
        <w:rPr>
          <w:rFonts w:cs="Arial"/>
          <w:sz w:val="16"/>
          <w:szCs w:val="16"/>
          <w:lang w:val="en-US"/>
        </w:rPr>
      </w:pPr>
      <w:r>
        <w:rPr>
          <w:rStyle w:val="FootnoteReference"/>
          <w:sz w:val="16"/>
        </w:rPr>
        <w:footnoteRef/>
      </w:r>
      <w:r>
        <w:rPr>
          <w:sz w:val="16"/>
          <w:vertAlign w:val="superscript"/>
        </w:rPr>
        <w:t xml:space="preserve"> </w:t>
      </w:r>
      <w:r>
        <w:tab/>
      </w:r>
      <w:r>
        <w:rPr>
          <w:sz w:val="16"/>
        </w:rPr>
        <w:t>Стандарт за проследяване и локализиране на плавателните съдове за вътрешно плаване, издание 1.2; Резолюция 2013-I-23 от 29 май 2013 г. на ЦККР.</w:t>
      </w:r>
    </w:p>
  </w:footnote>
  <w:footnote w:id="3">
    <w:p w:rsidR="002B712C" w:rsidRPr="00FA4437" w:rsidRDefault="002B712C" w:rsidP="00881510">
      <w:pPr>
        <w:pStyle w:val="FootnoteText"/>
        <w:spacing w:before="20" w:line="220" w:lineRule="atLeast"/>
        <w:ind w:left="284" w:hanging="284"/>
        <w:rPr>
          <w:sz w:val="16"/>
          <w:szCs w:val="16"/>
          <w:lang w:val="en-US"/>
        </w:rPr>
      </w:pPr>
      <w:r>
        <w:rPr>
          <w:rStyle w:val="FootnoteReference"/>
          <w:sz w:val="16"/>
        </w:rPr>
        <w:footnoteRef/>
      </w:r>
      <w:r>
        <w:rPr>
          <w:sz w:val="16"/>
          <w:vertAlign w:val="superscript"/>
        </w:rPr>
        <w:t xml:space="preserve"> </w:t>
      </w:r>
      <w:r>
        <w:tab/>
      </w:r>
      <w:r>
        <w:rPr>
          <w:sz w:val="16"/>
        </w:rPr>
        <w:t>Регламент за изпълнение (ЕС) № 689/2012 на Комисията от 27 юли 2012 година за изменение на Регламент (ЕО) № 415/2007 относно техническите спецификации за системите за прихващане и проследяване на корабите, на които се позовава член 5 от Директива 2005/44/ЕО на Европейския парламент и на Съвета относно хармонизираните речни информационни услуги (RIS) относно вътрешните водни пътища на Общността (ОВ L 202 от 28.7.2012 г.).</w:t>
      </w:r>
    </w:p>
  </w:footnote>
  <w:footnote w:id="4">
    <w:p w:rsidR="002B712C" w:rsidRPr="00D51D54" w:rsidRDefault="002B712C" w:rsidP="00881510">
      <w:pPr>
        <w:pStyle w:val="FootnoteText"/>
        <w:spacing w:before="20" w:line="220" w:lineRule="atLeast"/>
        <w:ind w:left="284" w:hanging="284"/>
        <w:rPr>
          <w:rFonts w:cs="Arial"/>
          <w:sz w:val="16"/>
          <w:szCs w:val="16"/>
          <w:lang w:val="bg-BG"/>
        </w:rPr>
      </w:pPr>
      <w:r w:rsidRPr="00D51D54">
        <w:rPr>
          <w:rStyle w:val="FootnoteReference"/>
          <w:sz w:val="16"/>
          <w:lang w:val="bg-BG"/>
        </w:rPr>
        <w:footnoteRef/>
      </w:r>
      <w:r w:rsidRPr="00D51D54">
        <w:rPr>
          <w:sz w:val="16"/>
          <w:vertAlign w:val="superscript"/>
          <w:lang w:val="bg-BG"/>
        </w:rPr>
        <w:t xml:space="preserve"> </w:t>
      </w:r>
      <w:r w:rsidRPr="00D51D54">
        <w:rPr>
          <w:lang w:val="bg-BG"/>
        </w:rPr>
        <w:tab/>
      </w:r>
      <w:r w:rsidRPr="00D51D54">
        <w:rPr>
          <w:sz w:val="16"/>
          <w:lang w:val="bg-BG"/>
        </w:rPr>
        <w:t>Издание 2.3 на „Система за изобразяване на електронни карти и информация за корабоплаването по вътрешните водни пътища“ (ECDIS за вътрешните водни пътища); Резолюция 2012</w:t>
      </w:r>
      <w:r w:rsidRPr="00D51D54">
        <w:rPr>
          <w:lang w:val="bg-BG"/>
        </w:rPr>
        <w:softHyphen/>
      </w:r>
      <w:r w:rsidRPr="00D51D54">
        <w:rPr>
          <w:sz w:val="16"/>
          <w:lang w:val="bg-BG"/>
        </w:rPr>
        <w:t>II-20 от 29 ноември 2012 г. на ЦККР</w:t>
      </w:r>
    </w:p>
  </w:footnote>
  <w:footnote w:id="5">
    <w:p w:rsidR="002B712C" w:rsidRPr="00D51D54" w:rsidRDefault="002B712C" w:rsidP="00881510">
      <w:pPr>
        <w:pStyle w:val="FootnoteText"/>
        <w:spacing w:before="40" w:line="220" w:lineRule="atLeast"/>
        <w:ind w:left="284" w:hanging="284"/>
        <w:rPr>
          <w:rFonts w:cs="Arial"/>
          <w:sz w:val="16"/>
          <w:szCs w:val="16"/>
          <w:lang w:val="bg-BG"/>
        </w:rPr>
      </w:pPr>
      <w:r w:rsidRPr="00D51D54">
        <w:rPr>
          <w:rStyle w:val="FootnoteReference"/>
          <w:sz w:val="16"/>
          <w:lang w:val="bg-BG"/>
        </w:rPr>
        <w:footnoteRef/>
      </w:r>
      <w:r w:rsidRPr="00D51D54">
        <w:rPr>
          <w:sz w:val="16"/>
          <w:vertAlign w:val="superscript"/>
          <w:lang w:val="bg-BG"/>
        </w:rPr>
        <w:t xml:space="preserve"> </w:t>
      </w:r>
      <w:r w:rsidRPr="00D51D54">
        <w:rPr>
          <w:lang w:val="bg-BG"/>
        </w:rPr>
        <w:tab/>
      </w:r>
      <w:r w:rsidRPr="00D51D54">
        <w:rPr>
          <w:sz w:val="16"/>
          <w:lang w:val="bg-BG"/>
        </w:rPr>
        <w:t>Регламент за изпълнение (ЕС) № 909/2013 на Комисията от 10 септември 2013 година за определяне на техническите спецификации на системата за изобразяване на електронни карти и информация за корабоплаването по вътрешните водни пътища (ECDIS за вътрешните водни пътища) в съответствие с Директива 2005/44/ЕО на Европейския парламент и на Съвета (ОВ L 258 от 28.9.2013 г.).</w:t>
      </w:r>
    </w:p>
  </w:footnote>
  <w:footnote w:id="6">
    <w:p w:rsidR="002B712C" w:rsidRPr="00D51D54" w:rsidRDefault="002B712C" w:rsidP="00FA4437">
      <w:pPr>
        <w:pStyle w:val="FootnoteText"/>
        <w:spacing w:before="40" w:line="220" w:lineRule="atLeast"/>
        <w:ind w:left="284" w:hanging="284"/>
        <w:rPr>
          <w:rFonts w:cs="Arial"/>
          <w:sz w:val="16"/>
          <w:szCs w:val="16"/>
          <w:highlight w:val="lightGray"/>
          <w:lang w:val="bg-BG"/>
        </w:rPr>
      </w:pPr>
      <w:r w:rsidRPr="00D51D54">
        <w:rPr>
          <w:rStyle w:val="FootnoteReference"/>
          <w:sz w:val="16"/>
          <w:lang w:val="bg-BG"/>
        </w:rPr>
        <w:footnoteRef/>
      </w:r>
      <w:r w:rsidRPr="00D51D54">
        <w:rPr>
          <w:sz w:val="16"/>
          <w:vertAlign w:val="superscript"/>
          <w:lang w:val="bg-BG"/>
        </w:rPr>
        <w:t xml:space="preserve"> </w:t>
      </w:r>
      <w:r w:rsidRPr="00D51D54">
        <w:rPr>
          <w:lang w:val="bg-BG"/>
        </w:rPr>
        <w:tab/>
      </w:r>
      <w:r w:rsidRPr="00D51D54">
        <w:rPr>
          <w:sz w:val="16"/>
          <w:lang w:val="bg-BG"/>
        </w:rPr>
        <w:t>Издание 2.0 на „Стандарт за изпитване на автоматична система за идентификация (AIS) за вътрешните водни пътища“; Резолюция на Европейския комитет за изготвяне на стандарти за вътрешното корабоплаване (CESNI) 2017-II-2 от 6 юли 2017 г.</w:t>
      </w:r>
    </w:p>
  </w:footnote>
  <w:footnote w:id="7">
    <w:p w:rsidR="002B712C" w:rsidRPr="00D51D54" w:rsidRDefault="002B712C" w:rsidP="00DD67C0">
      <w:pPr>
        <w:pStyle w:val="FootnoteText"/>
        <w:spacing w:before="40"/>
        <w:ind w:left="284" w:hanging="284"/>
        <w:rPr>
          <w:rFonts w:cs="Arial"/>
          <w:sz w:val="16"/>
          <w:szCs w:val="16"/>
          <w:lang w:val="bg-BG"/>
        </w:rPr>
      </w:pPr>
      <w:r w:rsidRPr="00D51D54">
        <w:rPr>
          <w:rStyle w:val="FootnoteReference"/>
          <w:sz w:val="16"/>
          <w:lang w:val="bg-BG"/>
        </w:rPr>
        <w:footnoteRef/>
      </w:r>
      <w:r w:rsidRPr="00D51D54">
        <w:rPr>
          <w:sz w:val="16"/>
          <w:lang w:val="bg-BG"/>
        </w:rPr>
        <w:t xml:space="preserve"> </w:t>
      </w:r>
      <w:r w:rsidRPr="00D51D54">
        <w:rPr>
          <w:lang w:val="bg-BG"/>
        </w:rPr>
        <w:tab/>
      </w:r>
      <w:r w:rsidRPr="00D51D54">
        <w:rPr>
          <w:sz w:val="16"/>
          <w:lang w:val="bg-BG"/>
        </w:rPr>
        <w:t>Директива 2014/90/ЕС на Европейския парламент и на Съвета от 23 юли 2014 година относно морското оборудване и за отмяна на Директива 96/98/ЕО (ОВ L 257, 28.8.2014 г.).</w:t>
      </w:r>
    </w:p>
  </w:footnote>
  <w:footnote w:id="8">
    <w:p w:rsidR="002B712C" w:rsidRPr="00D51D54" w:rsidRDefault="002B712C" w:rsidP="002B6B2C">
      <w:pPr>
        <w:pStyle w:val="FootnoteText"/>
        <w:ind w:left="284" w:hanging="284"/>
        <w:rPr>
          <w:lang w:val="bg-BG"/>
        </w:rPr>
      </w:pPr>
      <w:r w:rsidRPr="00D51D54">
        <w:rPr>
          <w:rStyle w:val="FootnoteReference"/>
          <w:lang w:val="bg-BG"/>
        </w:rPr>
        <w:footnoteRef/>
      </w:r>
      <w:r w:rsidRPr="00D51D54">
        <w:rPr>
          <w:lang w:val="bg-BG"/>
        </w:rPr>
        <w:tab/>
      </w:r>
      <w:hyperlink r:id="rId1">
        <w:r w:rsidRPr="00D51D54">
          <w:rPr>
            <w:color w:val="000000"/>
            <w:sz w:val="16"/>
            <w:lang w:val="bg-BG"/>
          </w:rPr>
          <w:t xml:space="preserve">Регламент (ЕС) 2016/1628 на Европейския парламент и на Съвета от 14 септември 2016 година относно изискванията за граничните стойности на емисиите на газообразни и прахови замърсители и за одобряването на типа на двигателите с вътрешно горене за извънпътна подвижна техника, за изменение на регламенти (ЕС) № 1024/2012 и (ЕС) № 167/2013 и за изменение и отмяна на Директива 97/68/ЕО </w:t>
        </w:r>
      </w:hyperlink>
      <w:r w:rsidRPr="00D51D54">
        <w:rPr>
          <w:color w:val="444444"/>
          <w:sz w:val="16"/>
          <w:lang w:val="bg-BG"/>
        </w:rPr>
        <w:t xml:space="preserve"> </w:t>
      </w:r>
      <w:r w:rsidRPr="00D51D54">
        <w:rPr>
          <w:sz w:val="16"/>
          <w:lang w:val="bg-BG"/>
        </w:rPr>
        <w:t>(ОВ L 252, 16.9.2016 г.).</w:t>
      </w:r>
    </w:p>
  </w:footnote>
  <w:footnote w:id="9">
    <w:p w:rsidR="002B712C" w:rsidRPr="00D51D54" w:rsidRDefault="002B712C" w:rsidP="000E1F46">
      <w:pPr>
        <w:pStyle w:val="FootnoteText"/>
        <w:ind w:left="284" w:hanging="284"/>
        <w:rPr>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Резолюция А.800 (19) на ИМО, приета на 23 ноември 1995 г. — Преработени насоки за одобрение на спринклерни системи, еквивалентни на тези, посочени в правило II-2/12 от SOLAS.</w:t>
      </w:r>
    </w:p>
  </w:footnote>
  <w:footnote w:id="10">
    <w:p w:rsidR="002B712C" w:rsidRPr="00D51D54" w:rsidRDefault="002B712C" w:rsidP="00C44D3C">
      <w:pPr>
        <w:pStyle w:val="FootnoteText"/>
        <w:ind w:left="284" w:hanging="284"/>
        <w:rPr>
          <w:rFonts w:cs="Arial"/>
          <w:sz w:val="16"/>
          <w:szCs w:val="16"/>
          <w:lang w:val="bg-BG"/>
        </w:rPr>
      </w:pPr>
      <w:r w:rsidRPr="00D51D54">
        <w:rPr>
          <w:rStyle w:val="FootnoteReference"/>
          <w:sz w:val="16"/>
          <w:lang w:val="bg-BG"/>
        </w:rPr>
        <w:footnoteRef/>
      </w:r>
      <w:r w:rsidRPr="00D51D54">
        <w:rPr>
          <w:sz w:val="16"/>
          <w:lang w:val="bg-BG"/>
        </w:rPr>
        <w:t xml:space="preserve"> </w:t>
      </w:r>
      <w:r w:rsidRPr="00D51D54">
        <w:rPr>
          <w:lang w:val="bg-BG"/>
        </w:rPr>
        <w:tab/>
      </w:r>
      <w:r w:rsidRPr="00D51D54">
        <w:rPr>
          <w:sz w:val="16"/>
          <w:lang w:val="bg-BG"/>
        </w:rPr>
        <w:t>Циркулярно писмо MSC/Circ. 1165 — Ревизирани указания за одобряването на еквивалентни пожарогасителни системи на водна основа за машинни помещения и товарни помпени отделения, приети на 10 юни 2005 г. и изменени с MSC/Circ.1269, MSC/Circ.1386 и MSC/ Circ.1385.</w:t>
      </w:r>
    </w:p>
  </w:footnote>
  <w:footnote w:id="11">
    <w:p w:rsidR="002B712C" w:rsidRPr="00D51D54" w:rsidRDefault="002B712C" w:rsidP="000E1F46">
      <w:pPr>
        <w:pStyle w:val="FootnoteText"/>
        <w:ind w:left="284" w:hanging="284"/>
        <w:rPr>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Резолюция A.266 (VIII) на ИМО, приета на 20 ноември 1973 г. — Препоръка относно стандартен метод за установяване на спазването на изискванията за мерките относно взаимното наводняване между отсеците в пътнически кораби.</w:t>
      </w:r>
    </w:p>
  </w:footnote>
  <w:footnote w:id="12">
    <w:p w:rsidR="002B712C" w:rsidRPr="00D51D54" w:rsidRDefault="002B712C" w:rsidP="003D2554">
      <w:pPr>
        <w:pStyle w:val="FootnoteText"/>
        <w:ind w:left="284" w:hanging="284"/>
        <w:rPr>
          <w:sz w:val="16"/>
          <w:szCs w:val="16"/>
          <w:lang w:val="bg-BG"/>
        </w:rPr>
      </w:pPr>
      <w:r w:rsidRPr="00D51D54">
        <w:rPr>
          <w:rStyle w:val="FootnoteReference"/>
          <w:sz w:val="16"/>
          <w:lang w:val="bg-BG"/>
        </w:rPr>
        <w:footnoteRef/>
      </w:r>
      <w:r w:rsidRPr="00D51D54">
        <w:rPr>
          <w:lang w:val="bg-BG"/>
        </w:rPr>
        <w:tab/>
      </w:r>
      <w:r w:rsidRPr="00D51D54">
        <w:rPr>
          <w:sz w:val="16"/>
          <w:lang w:val="bg-BG"/>
        </w:rPr>
        <w:t>Разстоянието от салинга до палубата.</w:t>
      </w:r>
    </w:p>
  </w:footnote>
  <w:footnote w:id="13">
    <w:p w:rsidR="002B712C" w:rsidRPr="00D51D54" w:rsidRDefault="002B712C" w:rsidP="000323C7">
      <w:pPr>
        <w:pStyle w:val="FootnoteText"/>
        <w:ind w:left="284" w:hanging="284"/>
        <w:rPr>
          <w:lang w:val="bg-BG"/>
        </w:rPr>
      </w:pPr>
      <w:r w:rsidRPr="00D51D54">
        <w:rPr>
          <w:rStyle w:val="FootnoteReference"/>
          <w:sz w:val="16"/>
          <w:lang w:val="bg-BG"/>
        </w:rPr>
        <w:footnoteRef/>
      </w:r>
      <w:r w:rsidRPr="00D51D54">
        <w:rPr>
          <w:lang w:val="bg-BG"/>
        </w:rPr>
        <w:t xml:space="preserve"> </w:t>
      </w:r>
      <w:r w:rsidRPr="00D51D54">
        <w:rPr>
          <w:lang w:val="bg-BG"/>
        </w:rPr>
        <w:tab/>
      </w:r>
      <w:r w:rsidRPr="00D51D54">
        <w:rPr>
          <w:sz w:val="16"/>
          <w:lang w:val="bg-BG"/>
        </w:rPr>
        <w:t>Пълна дължина на стенгата, без топа.</w:t>
      </w:r>
    </w:p>
  </w:footnote>
  <w:footnote w:id="14">
    <w:p w:rsidR="002B712C" w:rsidRPr="00D51D54" w:rsidRDefault="002B712C" w:rsidP="003D2554">
      <w:pPr>
        <w:pStyle w:val="FootnoteText"/>
        <w:ind w:left="284" w:hanging="284"/>
        <w:rPr>
          <w:sz w:val="16"/>
          <w:szCs w:val="16"/>
          <w:lang w:val="bg-BG"/>
        </w:rPr>
      </w:pPr>
      <w:r w:rsidRPr="00D51D54">
        <w:rPr>
          <w:rStyle w:val="FootnoteReference"/>
          <w:sz w:val="16"/>
          <w:lang w:val="bg-BG"/>
        </w:rPr>
        <w:footnoteRef/>
      </w:r>
      <w:r w:rsidRPr="00D51D54">
        <w:rPr>
          <w:lang w:val="bg-BG"/>
        </w:rPr>
        <w:tab/>
      </w:r>
      <w:r w:rsidRPr="00D51D54">
        <w:rPr>
          <w:sz w:val="16"/>
          <w:lang w:val="bg-BG"/>
        </w:rPr>
        <w:t>Диаметър на стенгата на равнището на обкова.</w:t>
      </w:r>
    </w:p>
  </w:footnote>
  <w:footnote w:id="15">
    <w:p w:rsidR="002B712C" w:rsidRPr="00D51D54" w:rsidRDefault="002B712C" w:rsidP="00A90B64">
      <w:pPr>
        <w:pStyle w:val="FootnoteText"/>
        <w:ind w:left="284" w:hanging="284"/>
        <w:rPr>
          <w:sz w:val="16"/>
          <w:szCs w:val="16"/>
          <w:lang w:val="bg-BG"/>
        </w:rPr>
      </w:pPr>
      <w:r w:rsidRPr="00D51D54">
        <w:rPr>
          <w:rStyle w:val="FootnoteReference"/>
          <w:sz w:val="16"/>
          <w:lang w:val="bg-BG"/>
        </w:rPr>
        <w:footnoteRef/>
      </w:r>
      <w:r w:rsidRPr="00D51D54">
        <w:rPr>
          <w:lang w:val="bg-BG"/>
        </w:rPr>
        <w:tab/>
      </w:r>
      <w:r w:rsidRPr="00D51D54">
        <w:rPr>
          <w:sz w:val="16"/>
          <w:lang w:val="bg-BG"/>
        </w:rPr>
        <w:t>Обща дължина на бушприта.</w:t>
      </w:r>
    </w:p>
  </w:footnote>
  <w:footnote w:id="16">
    <w:p w:rsidR="002B712C" w:rsidRPr="00D51D54" w:rsidRDefault="002B712C" w:rsidP="00A90B64">
      <w:pPr>
        <w:pStyle w:val="FootnoteText"/>
        <w:ind w:left="284" w:hanging="284"/>
        <w:rPr>
          <w:sz w:val="16"/>
          <w:szCs w:val="16"/>
          <w:lang w:val="bg-BG"/>
        </w:rPr>
      </w:pPr>
      <w:r w:rsidRPr="00D51D54">
        <w:rPr>
          <w:rStyle w:val="FootnoteReference"/>
          <w:sz w:val="16"/>
          <w:lang w:val="bg-BG"/>
        </w:rPr>
        <w:footnoteRef/>
      </w:r>
      <w:r w:rsidRPr="00D51D54">
        <w:rPr>
          <w:lang w:val="bg-BG"/>
        </w:rPr>
        <w:tab/>
      </w:r>
      <w:r w:rsidRPr="00D51D54">
        <w:rPr>
          <w:sz w:val="16"/>
          <w:lang w:val="bg-BG"/>
        </w:rPr>
        <w:t>Обща дължина на утлегара.</w:t>
      </w:r>
    </w:p>
  </w:footnote>
  <w:footnote w:id="17">
    <w:p w:rsidR="002B712C" w:rsidRPr="00D51D54" w:rsidRDefault="002B712C" w:rsidP="00A90B64">
      <w:pPr>
        <w:pStyle w:val="FootnoteText"/>
        <w:ind w:left="284" w:hanging="284"/>
        <w:rPr>
          <w:sz w:val="16"/>
          <w:szCs w:val="16"/>
          <w:lang w:val="bg-BG"/>
        </w:rPr>
      </w:pPr>
      <w:r w:rsidRPr="00D51D54">
        <w:rPr>
          <w:rStyle w:val="FootnoteReference"/>
          <w:sz w:val="16"/>
          <w:lang w:val="bg-BG"/>
        </w:rPr>
        <w:footnoteRef/>
      </w:r>
      <w:r w:rsidRPr="00D51D54">
        <w:rPr>
          <w:lang w:val="bg-BG"/>
        </w:rPr>
        <w:tab/>
      </w:r>
      <w:r w:rsidRPr="00D51D54">
        <w:rPr>
          <w:sz w:val="16"/>
          <w:lang w:val="bg-BG"/>
        </w:rPr>
        <w:t>Обща дължина на грот-гиковете.</w:t>
      </w:r>
    </w:p>
  </w:footnote>
  <w:footnote w:id="18">
    <w:p w:rsidR="002B712C" w:rsidRPr="00D51D54" w:rsidRDefault="002B712C" w:rsidP="00A90B64">
      <w:pPr>
        <w:pStyle w:val="FootnoteText"/>
        <w:ind w:left="284" w:hanging="284"/>
        <w:rPr>
          <w:sz w:val="16"/>
          <w:szCs w:val="16"/>
          <w:lang w:val="bg-BG"/>
        </w:rPr>
      </w:pPr>
      <w:r w:rsidRPr="00D51D54">
        <w:rPr>
          <w:rStyle w:val="FootnoteReference"/>
          <w:sz w:val="16"/>
          <w:lang w:val="bg-BG"/>
        </w:rPr>
        <w:footnoteRef/>
      </w:r>
      <w:r w:rsidRPr="00D51D54">
        <w:rPr>
          <w:lang w:val="bg-BG"/>
        </w:rPr>
        <w:tab/>
      </w:r>
      <w:r w:rsidRPr="00D51D54">
        <w:rPr>
          <w:sz w:val="16"/>
          <w:lang w:val="bg-BG"/>
        </w:rPr>
        <w:t>Общата дължина на гафела.</w:t>
      </w:r>
    </w:p>
  </w:footnote>
  <w:footnote w:id="19">
    <w:p w:rsidR="002B712C" w:rsidRPr="00D51D54" w:rsidRDefault="002B712C" w:rsidP="003D2554">
      <w:pPr>
        <w:pStyle w:val="FootnoteText"/>
        <w:ind w:left="284" w:hanging="284"/>
        <w:rPr>
          <w:sz w:val="16"/>
          <w:szCs w:val="16"/>
          <w:lang w:val="bg-BG"/>
        </w:rPr>
      </w:pPr>
      <w:r w:rsidRPr="00D51D54">
        <w:rPr>
          <w:rStyle w:val="FootnoteReference"/>
          <w:sz w:val="16"/>
          <w:lang w:val="bg-BG"/>
        </w:rPr>
        <w:footnoteRef/>
      </w:r>
      <w:r w:rsidRPr="00D51D54">
        <w:rPr>
          <w:lang w:val="bg-BG"/>
        </w:rPr>
        <w:tab/>
      </w:r>
      <w:r w:rsidRPr="00D51D54">
        <w:rPr>
          <w:sz w:val="16"/>
          <w:lang w:val="bg-BG"/>
        </w:rPr>
        <w:t>Разстояние от марса или салинга до палубата.</w:t>
      </w:r>
    </w:p>
  </w:footnote>
  <w:footnote w:id="20">
    <w:p w:rsidR="002B712C" w:rsidRPr="00D51D54" w:rsidRDefault="002B712C" w:rsidP="003D2554">
      <w:pPr>
        <w:pStyle w:val="FootnoteText"/>
        <w:ind w:left="284" w:hanging="284"/>
        <w:rPr>
          <w:sz w:val="16"/>
          <w:szCs w:val="16"/>
          <w:lang w:val="bg-BG"/>
        </w:rPr>
      </w:pPr>
      <w:r w:rsidRPr="00D51D54">
        <w:rPr>
          <w:rStyle w:val="FootnoteReference"/>
          <w:sz w:val="16"/>
          <w:lang w:val="bg-BG"/>
        </w:rPr>
        <w:footnoteRef/>
      </w:r>
      <w:r w:rsidRPr="00D51D54">
        <w:rPr>
          <w:lang w:val="bg-BG"/>
        </w:rPr>
        <w:tab/>
      </w:r>
      <w:r w:rsidRPr="00D51D54">
        <w:rPr>
          <w:sz w:val="16"/>
          <w:lang w:val="bg-BG"/>
        </w:rPr>
        <w:t>Разстояние от марса или салинга до палубата.</w:t>
      </w:r>
    </w:p>
  </w:footnote>
  <w:footnote w:id="21">
    <w:p w:rsidR="002B712C" w:rsidRPr="00D51D54" w:rsidRDefault="002B712C" w:rsidP="00C919D5">
      <w:pPr>
        <w:pStyle w:val="FootnoteText"/>
        <w:ind w:left="284" w:hanging="284"/>
        <w:rPr>
          <w:sz w:val="16"/>
          <w:szCs w:val="16"/>
          <w:lang w:val="bg-BG"/>
        </w:rPr>
      </w:pPr>
      <w:r w:rsidRPr="00D51D54">
        <w:rPr>
          <w:rStyle w:val="FootnoteReference"/>
          <w:sz w:val="16"/>
          <w:lang w:val="bg-BG"/>
        </w:rPr>
        <w:footnoteRef/>
      </w:r>
      <w:r w:rsidRPr="00D51D54">
        <w:rPr>
          <w:lang w:val="bg-BG"/>
        </w:rPr>
        <w:tab/>
      </w:r>
      <w:r w:rsidRPr="00D51D54">
        <w:rPr>
          <w:sz w:val="16"/>
          <w:lang w:val="bg-BG"/>
        </w:rPr>
        <w:t>Директива 2006/42/ЕО на Европейския парламент и на Съвета от 17 май 2006 година относно машините и за изменение на Директива 95/16/ЕО (ОВ L 157, 9.6.2006 г.).</w:t>
      </w:r>
    </w:p>
  </w:footnote>
  <w:footnote w:id="22">
    <w:p w:rsidR="002B712C" w:rsidRPr="00D51D54" w:rsidRDefault="002B712C" w:rsidP="00A867CE">
      <w:pPr>
        <w:pStyle w:val="FootnoteText"/>
        <w:ind w:left="284" w:hanging="284"/>
        <w:rPr>
          <w:sz w:val="16"/>
          <w:szCs w:val="16"/>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Директива 2013/53/ЕС на Европейския парламент и на Съвета от 20 ноември 2013 година относно плавателните съдове за отдих и плавателните съдове за лично ползване и за отмяна на Директива 94/25/ЕО (ОВ L 354, 28.12.2013 г.).</w:t>
      </w:r>
    </w:p>
  </w:footnote>
  <w:footnote w:id="23">
    <w:p w:rsidR="002B712C" w:rsidRPr="00D51D54" w:rsidRDefault="002B712C" w:rsidP="0007393A">
      <w:pPr>
        <w:pStyle w:val="FootnoteText"/>
        <w:ind w:left="284" w:hanging="284"/>
        <w:rPr>
          <w:sz w:val="16"/>
          <w:szCs w:val="16"/>
          <w:lang w:val="bg-BG"/>
        </w:rPr>
      </w:pPr>
      <w:r w:rsidRPr="00D51D54">
        <w:rPr>
          <w:rStyle w:val="FootnoteReference"/>
          <w:lang w:val="bg-BG"/>
        </w:rPr>
        <w:t>*</w:t>
      </w:r>
      <w:r w:rsidRPr="00D51D54">
        <w:rPr>
          <w:lang w:val="bg-BG"/>
        </w:rPr>
        <w:t xml:space="preserve"> </w:t>
      </w:r>
      <w:r w:rsidRPr="00D51D54">
        <w:rPr>
          <w:lang w:val="bg-BG"/>
        </w:rPr>
        <w:tab/>
      </w:r>
      <w:r w:rsidRPr="00D51D54">
        <w:rPr>
          <w:sz w:val="16"/>
          <w:lang w:val="bg-BG"/>
        </w:rPr>
        <w:t>Секциите на трюма, които осигуряват открити повърхности, изложени на вода, се получават от надлъжното и/или напречно водонепроницаемо разделяне, което води до формиране на независими секции.</w:t>
      </w:r>
    </w:p>
  </w:footnote>
  <w:footnote w:id="24">
    <w:p w:rsidR="002B712C" w:rsidRPr="00D51D54" w:rsidRDefault="002B712C" w:rsidP="000E1F46">
      <w:pPr>
        <w:pStyle w:val="FootnoteText"/>
        <w:ind w:left="284" w:hanging="284"/>
        <w:rPr>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MSC.267 (85), приет на 4 декември 2008 г. — Международен кодекс за устойчивост в ненакърнено състояние.</w:t>
      </w:r>
    </w:p>
  </w:footnote>
  <w:footnote w:id="25">
    <w:p w:rsidR="002B712C" w:rsidRPr="00D51D54" w:rsidRDefault="002B712C" w:rsidP="00B90A00">
      <w:pPr>
        <w:pStyle w:val="FootnoteText"/>
        <w:spacing w:before="20"/>
        <w:ind w:left="284" w:hanging="284"/>
        <w:rPr>
          <w:rFonts w:cs="Arial"/>
          <w:sz w:val="16"/>
          <w:szCs w:val="16"/>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Директива 2006/87/ЕО на Европейския парламент и на Съвета от 12 декември 2006 година за установяване на техническите изисквания за плавателни съдове по вътрешни водни пътища и за отмяна на Директива 82/714/ЕИО на Съвета (ОВ L 389, 30.12.2006 г.).</w:t>
      </w:r>
    </w:p>
  </w:footnote>
  <w:footnote w:id="26">
    <w:p w:rsidR="002B712C" w:rsidRPr="00D51D54" w:rsidRDefault="002B712C" w:rsidP="00E113D0">
      <w:pPr>
        <w:pStyle w:val="FootnoteText"/>
        <w:spacing w:before="40"/>
        <w:ind w:left="284" w:hanging="284"/>
        <w:rPr>
          <w:rFonts w:cs="Arial"/>
          <w:sz w:val="16"/>
          <w:szCs w:val="16"/>
          <w:lang w:val="bg-BG"/>
        </w:rPr>
      </w:pPr>
      <w:r w:rsidRPr="00D51D54">
        <w:rPr>
          <w:rStyle w:val="FootnoteReference"/>
          <w:sz w:val="16"/>
          <w:lang w:val="bg-BG"/>
        </w:rPr>
        <w:footnoteRef/>
      </w:r>
      <w:r w:rsidRPr="00D51D54">
        <w:rPr>
          <w:sz w:val="16"/>
          <w:lang w:val="bg-BG"/>
        </w:rPr>
        <w:t xml:space="preserve"> </w:t>
      </w:r>
      <w:r w:rsidRPr="00D51D54">
        <w:rPr>
          <w:lang w:val="bg-BG"/>
        </w:rPr>
        <w:tab/>
      </w:r>
      <w:r w:rsidRPr="00D51D54">
        <w:rPr>
          <w:sz w:val="16"/>
          <w:lang w:val="bg-BG"/>
        </w:rPr>
        <w:t>Преходната разпоредба, приложима за член 8.10, точка 3, е временно изискване, което е приложимо до 31 декември 2019 г. Следната преходна разпоредба беше в сила преди 1 декември 2014 г.: „</w:t>
      </w:r>
      <w:r w:rsidRPr="00D51D54">
        <w:rPr>
          <w:i/>
          <w:sz w:val="16"/>
          <w:lang w:val="bg-BG"/>
        </w:rPr>
        <w:t>8.10, точка 3 / Ограничение за емисиите от 65 dB(A) за неподвижни плавателни съдове / НЗР, най-късно при подновяване на удостоверението на плавателния съд за плаване по вътрешни водни пътища след 1.1.2015 г.“</w:t>
      </w:r>
    </w:p>
  </w:footnote>
  <w:footnote w:id="27">
    <w:p w:rsidR="002B712C" w:rsidRPr="00D51D54" w:rsidRDefault="002B712C" w:rsidP="00E113D0">
      <w:pPr>
        <w:pStyle w:val="FootnoteText"/>
        <w:spacing w:before="40"/>
        <w:ind w:left="284" w:hanging="284"/>
        <w:rPr>
          <w:lang w:val="bg-BG"/>
        </w:rPr>
      </w:pPr>
      <w:r w:rsidRPr="00D51D54">
        <w:rPr>
          <w:rStyle w:val="FootnoteReference"/>
          <w:sz w:val="16"/>
          <w:lang w:val="bg-BG"/>
        </w:rPr>
        <w:footnoteRef/>
      </w:r>
      <w:r w:rsidRPr="00D51D54">
        <w:rPr>
          <w:sz w:val="16"/>
          <w:lang w:val="bg-BG"/>
        </w:rPr>
        <w:t xml:space="preserve"> </w:t>
      </w:r>
      <w:r w:rsidRPr="00D51D54">
        <w:rPr>
          <w:lang w:val="bg-BG"/>
        </w:rPr>
        <w:tab/>
      </w:r>
      <w:r w:rsidRPr="00D51D54">
        <w:rPr>
          <w:sz w:val="16"/>
          <w:lang w:val="bg-BG"/>
        </w:rPr>
        <w:t>Преходната разпоредба, приложима за член 13.07, е временно изискване, което е приложимо до 31 декември 2019 г. Следната преходна разпоредба беше в сила преди 1 декември 2014 г.: „</w:t>
      </w:r>
      <w:r w:rsidRPr="00D51D54">
        <w:rPr>
          <w:i/>
          <w:sz w:val="16"/>
          <w:lang w:val="bg-BG"/>
        </w:rPr>
        <w:t>13.07 / Прилагане на европейския стандарт за корабна лодка / НЗР, най-късно при подновяване на удостоверението на плавателния съд за плаване по вътрешни водни пътища след 1.1.2015 г.“.</w:t>
      </w:r>
    </w:p>
  </w:footnote>
  <w:footnote w:id="28">
    <w:p w:rsidR="002B712C" w:rsidRPr="00D51D54" w:rsidRDefault="002B712C" w:rsidP="002D3F17">
      <w:pPr>
        <w:pStyle w:val="FootnoteText"/>
        <w:ind w:left="284" w:hanging="284"/>
        <w:rPr>
          <w:sz w:val="16"/>
          <w:szCs w:val="16"/>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При все това, най-късно при подновяване на удостоверението на плавателния съд за плаване по вътрешни водни пътища след 1.1.2015 г., плавателните средства трябва да отговарят на следните изисквания:</w:t>
      </w:r>
    </w:p>
    <w:p w:rsidR="002B712C" w:rsidRPr="00D51D54" w:rsidRDefault="002B712C" w:rsidP="00C5514F">
      <w:pPr>
        <w:pStyle w:val="FootnoteText"/>
        <w:spacing w:before="40"/>
        <w:ind w:left="568" w:hanging="284"/>
        <w:rPr>
          <w:rFonts w:cs="Arial"/>
          <w:sz w:val="16"/>
          <w:szCs w:val="16"/>
          <w:lang w:val="bg-BG"/>
        </w:rPr>
      </w:pPr>
      <w:r w:rsidRPr="00D51D54">
        <w:rPr>
          <w:sz w:val="16"/>
          <w:lang w:val="bg-BG"/>
        </w:rPr>
        <w:t>-</w:t>
      </w:r>
      <w:r w:rsidRPr="00D51D54">
        <w:rPr>
          <w:lang w:val="bg-BG"/>
        </w:rPr>
        <w:tab/>
      </w:r>
      <w:r w:rsidRPr="00D51D54">
        <w:rPr>
          <w:sz w:val="16"/>
          <w:lang w:val="bg-BG"/>
        </w:rPr>
        <w:t xml:space="preserve">Външните краища на палубите, както и работните места, на които лицата биха могли да паднат от повече от 1 m, трябва да са оборудвани с фалшборд или комингс с височина най-малко 0,70 m или с непрекъснати предпазни заграждения съгласно европейски стандарт EN 711: 1995, обхващащ леер, междинен парапет на равнището на коляното и парапет на ниво на ходилата. </w:t>
      </w:r>
    </w:p>
    <w:p w:rsidR="002B712C" w:rsidRPr="00D51D54" w:rsidRDefault="002B712C" w:rsidP="00C5514F">
      <w:pPr>
        <w:pStyle w:val="FootnoteText"/>
        <w:spacing w:before="40"/>
        <w:ind w:left="568" w:hanging="284"/>
        <w:rPr>
          <w:rFonts w:cs="Arial"/>
          <w:sz w:val="16"/>
          <w:szCs w:val="16"/>
          <w:lang w:val="bg-BG"/>
        </w:rPr>
      </w:pPr>
      <w:r w:rsidRPr="00D51D54">
        <w:rPr>
          <w:sz w:val="16"/>
          <w:lang w:val="bg-BG"/>
        </w:rPr>
        <w:t>-</w:t>
      </w:r>
      <w:r w:rsidRPr="00D51D54">
        <w:rPr>
          <w:lang w:val="bg-BG"/>
        </w:rPr>
        <w:tab/>
      </w:r>
      <w:r w:rsidRPr="00D51D54">
        <w:rPr>
          <w:sz w:val="16"/>
          <w:lang w:val="bg-BG"/>
        </w:rPr>
        <w:t>Палубните проходи трябва да бъдат оборудвани с парапет на ниво на ходилата и непрекъснат леер, закрепен към комингса. Леери на комингса не се изискват, когато палубните проходи са оборудвани с постоянни бордови защитни перила.</w:t>
      </w:r>
    </w:p>
  </w:footnote>
  <w:footnote w:id="29">
    <w:p w:rsidR="002B712C" w:rsidRPr="00D51D54" w:rsidRDefault="002B712C" w:rsidP="001E2331">
      <w:pPr>
        <w:pStyle w:val="FootnoteText"/>
        <w:ind w:left="284" w:hanging="284"/>
        <w:rPr>
          <w:rFonts w:cs="Arial"/>
          <w:sz w:val="16"/>
          <w:szCs w:val="16"/>
          <w:lang w:val="bg-BG"/>
        </w:rPr>
      </w:pPr>
      <w:r w:rsidRPr="00D51D54">
        <w:rPr>
          <w:rStyle w:val="FootnoteReference"/>
          <w:lang w:val="bg-BG"/>
        </w:rPr>
        <w:footnoteRef/>
      </w:r>
      <w:r w:rsidRPr="00D51D54">
        <w:rPr>
          <w:lang w:val="bg-BG"/>
        </w:rPr>
        <w:tab/>
      </w:r>
      <w:r w:rsidRPr="00D51D54">
        <w:rPr>
          <w:sz w:val="16"/>
          <w:lang w:val="bg-BG"/>
        </w:rPr>
        <w:t>За плавателни съдове, построени след 31.12.1994 г., и за плавателните съдове в експлоатация, изискването се прилага при следните условия:</w:t>
      </w:r>
    </w:p>
    <w:p w:rsidR="002B712C" w:rsidRPr="00D51D54" w:rsidRDefault="002B712C" w:rsidP="001E2331">
      <w:pPr>
        <w:pStyle w:val="FootnoteText"/>
        <w:spacing w:before="40"/>
        <w:ind w:left="284"/>
        <w:rPr>
          <w:rFonts w:cs="Arial"/>
          <w:sz w:val="16"/>
          <w:szCs w:val="16"/>
          <w:lang w:val="bg-BG"/>
        </w:rPr>
      </w:pPr>
      <w:r w:rsidRPr="00D51D54">
        <w:rPr>
          <w:sz w:val="16"/>
          <w:lang w:val="bg-BG"/>
        </w:rPr>
        <w:t>В случай че цялата област на трюма се подменя, трябва да бъдат спазени изискванията по член 14.04. В случай на промени, засягащи цялата дължина на зоната на палубния проход и изменящи габаритната ширина на палубния проход,</w:t>
      </w:r>
    </w:p>
    <w:p w:rsidR="002B712C" w:rsidRPr="00D51D54" w:rsidRDefault="002B712C" w:rsidP="001E2331">
      <w:pPr>
        <w:pStyle w:val="FootnoteText"/>
        <w:tabs>
          <w:tab w:val="left" w:pos="567"/>
        </w:tabs>
        <w:spacing w:before="40"/>
        <w:ind w:left="567" w:hanging="283"/>
        <w:rPr>
          <w:rFonts w:cs="Arial"/>
          <w:sz w:val="16"/>
          <w:szCs w:val="16"/>
          <w:lang w:val="bg-BG"/>
        </w:rPr>
      </w:pPr>
      <w:r w:rsidRPr="00D51D54">
        <w:rPr>
          <w:sz w:val="16"/>
          <w:lang w:val="bg-BG"/>
        </w:rPr>
        <w:t>a)</w:t>
      </w:r>
      <w:r w:rsidRPr="00D51D54">
        <w:rPr>
          <w:lang w:val="bg-BG"/>
        </w:rPr>
        <w:tab/>
      </w:r>
      <w:r w:rsidRPr="00D51D54">
        <w:rPr>
          <w:sz w:val="16"/>
          <w:lang w:val="bg-BG"/>
        </w:rPr>
        <w:t>член 14.04 трябва да бъде спазен, когато габаритната ширина на палубния проход до височина от 0,90 m, налична преди изменението, трябва да бъде намалена</w:t>
      </w:r>
    </w:p>
    <w:p w:rsidR="002B712C" w:rsidRPr="00D51D54" w:rsidRDefault="002B712C" w:rsidP="0063563D">
      <w:pPr>
        <w:ind w:left="567" w:hanging="283"/>
        <w:rPr>
          <w:lang w:val="bg-BG"/>
        </w:rPr>
      </w:pPr>
      <w:r w:rsidRPr="00D51D54">
        <w:rPr>
          <w:sz w:val="16"/>
          <w:lang w:val="bg-BG"/>
        </w:rPr>
        <w:t>б)</w:t>
      </w:r>
      <w:r w:rsidRPr="00D51D54">
        <w:rPr>
          <w:lang w:val="bg-BG"/>
        </w:rPr>
        <w:tab/>
      </w:r>
      <w:r w:rsidRPr="00D51D54">
        <w:rPr>
          <w:sz w:val="16"/>
          <w:lang w:val="bg-BG"/>
        </w:rPr>
        <w:t>габаритната ширина на палубния проход до височина от 0,90 m или габаритната ширина над тази височина, налична преди изменението, не трябва да бъде намалявана, ако нейните размери са по-малки от посочените в член 14.04.</w:t>
      </w:r>
    </w:p>
  </w:footnote>
  <w:footnote w:id="30">
    <w:p w:rsidR="002B712C" w:rsidRPr="00D51D54" w:rsidRDefault="002B712C" w:rsidP="0029395D">
      <w:pPr>
        <w:pStyle w:val="FootnoteText"/>
        <w:ind w:left="284" w:hanging="284"/>
        <w:rPr>
          <w:rFonts w:cs="Arial"/>
          <w:sz w:val="16"/>
          <w:szCs w:val="16"/>
          <w:lang w:val="bg-BG"/>
        </w:rPr>
      </w:pPr>
      <w:r w:rsidRPr="00D51D54">
        <w:rPr>
          <w:rStyle w:val="FootnoteReference"/>
          <w:sz w:val="16"/>
          <w:lang w:val="bg-BG"/>
        </w:rPr>
        <w:footnoteRef/>
      </w:r>
      <w:r w:rsidRPr="00D51D54">
        <w:rPr>
          <w:lang w:val="bg-BG"/>
        </w:rPr>
        <w:tab/>
      </w:r>
      <w:r w:rsidRPr="00D51D54">
        <w:rPr>
          <w:sz w:val="16"/>
          <w:lang w:val="bg-BG"/>
        </w:rPr>
        <w:t>Преходната разпоредба, приложима за член 19.06, точка 6, буква в), е временно изискване, което е приложимо до 31 декември 2019 г. Следната преходна разпоредба беше в сила преди 1 декември 2014 г.: „</w:t>
      </w:r>
      <w:r w:rsidRPr="00D51D54">
        <w:rPr>
          <w:i/>
          <w:color w:val="000000"/>
          <w:sz w:val="16"/>
          <w:lang w:val="bg-BG"/>
        </w:rPr>
        <w:t>19.06, точка 6, буква в)</w:t>
      </w:r>
      <w:r w:rsidRPr="00D51D54">
        <w:rPr>
          <w:i/>
          <w:sz w:val="16"/>
          <w:lang w:val="bg-BG"/>
        </w:rPr>
        <w:t xml:space="preserve"> / Маршрутите за евакуация да не преминават през камбузи / НЗР, най-късно при подновяване на удостоверението на плавателния съд за плаване по вътрешни водни пътища след 1.1.2015 г.“</w:t>
      </w:r>
    </w:p>
  </w:footnote>
  <w:footnote w:id="31">
    <w:p w:rsidR="002B712C" w:rsidRPr="00D51D54" w:rsidRDefault="002B712C" w:rsidP="0029395D">
      <w:pPr>
        <w:pStyle w:val="FootnoteText"/>
        <w:spacing w:before="40"/>
        <w:ind w:left="284" w:hanging="284"/>
        <w:rPr>
          <w:rFonts w:cs="Arial"/>
          <w:sz w:val="16"/>
          <w:szCs w:val="16"/>
          <w:lang w:val="bg-BG"/>
        </w:rPr>
      </w:pPr>
      <w:r w:rsidRPr="00D51D54">
        <w:rPr>
          <w:rStyle w:val="FootnoteReference"/>
          <w:sz w:val="16"/>
          <w:lang w:val="bg-BG"/>
        </w:rPr>
        <w:footnoteRef/>
      </w:r>
      <w:r w:rsidRPr="00D51D54">
        <w:rPr>
          <w:sz w:val="16"/>
          <w:lang w:val="bg-BG"/>
        </w:rPr>
        <w:t xml:space="preserve"> </w:t>
      </w:r>
      <w:r w:rsidRPr="00D51D54">
        <w:rPr>
          <w:lang w:val="bg-BG"/>
        </w:rPr>
        <w:tab/>
      </w:r>
      <w:r w:rsidRPr="00D51D54">
        <w:rPr>
          <w:sz w:val="16"/>
          <w:lang w:val="bg-BG"/>
        </w:rPr>
        <w:t>Преходната разпоредба, приложима за член 19.07, е временно изискване, което е приложимо до 31 декември 2019 г. Следната преходна разпоредба беше в сила преди 1 декември 2014 г.: „</w:t>
      </w:r>
      <w:r w:rsidRPr="00D51D54">
        <w:rPr>
          <w:i/>
          <w:color w:val="000000"/>
          <w:sz w:val="16"/>
          <w:lang w:val="bg-BG"/>
        </w:rPr>
        <w:t>19.07</w:t>
      </w:r>
      <w:r w:rsidRPr="00D51D54">
        <w:rPr>
          <w:i/>
          <w:sz w:val="16"/>
          <w:lang w:val="bg-BG"/>
        </w:rPr>
        <w:t xml:space="preserve"> / Изисквания относно системата за задвижване / НЗР, най-късно при подновяване на удостоверението на плавателния съд за плаване по вътрешни водни пътища след 1.1.2015 г.“</w:t>
      </w:r>
    </w:p>
  </w:footnote>
  <w:footnote w:id="32">
    <w:p w:rsidR="002B712C" w:rsidRPr="00D51D54" w:rsidRDefault="002B712C" w:rsidP="0044336D">
      <w:pPr>
        <w:pStyle w:val="FootnoteText"/>
        <w:spacing w:before="40"/>
        <w:ind w:left="284" w:hanging="284"/>
        <w:rPr>
          <w:lang w:val="bg-BG"/>
        </w:rPr>
      </w:pPr>
      <w:r w:rsidRPr="00D51D54">
        <w:rPr>
          <w:rStyle w:val="FootnoteReference"/>
          <w:sz w:val="16"/>
          <w:lang w:val="bg-BG"/>
        </w:rPr>
        <w:footnoteRef/>
      </w:r>
      <w:r w:rsidRPr="00D51D54">
        <w:rPr>
          <w:sz w:val="16"/>
          <w:lang w:val="bg-BG"/>
        </w:rPr>
        <w:t xml:space="preserve"> </w:t>
      </w:r>
      <w:r w:rsidRPr="00D51D54">
        <w:rPr>
          <w:lang w:val="bg-BG"/>
        </w:rPr>
        <w:tab/>
      </w:r>
      <w:r w:rsidRPr="00D51D54">
        <w:rPr>
          <w:sz w:val="16"/>
          <w:lang w:val="bg-BG"/>
        </w:rPr>
        <w:t>Преходната разпоредба, приложима за член 19.08, точка 3, е временно изискване, което е приложимо до 31 декември 2019 г. Следната преходна разпоредба беше в сила преди 1 декември 2014 г.: „</w:t>
      </w:r>
      <w:r w:rsidRPr="00D51D54">
        <w:rPr>
          <w:i/>
          <w:color w:val="000000"/>
          <w:sz w:val="16"/>
          <w:lang w:val="bg-BG"/>
        </w:rPr>
        <w:t>19.08, точка 3 /</w:t>
      </w:r>
      <w:r w:rsidRPr="00D51D54">
        <w:rPr>
          <w:i/>
          <w:sz w:val="16"/>
          <w:lang w:val="bg-BG"/>
        </w:rPr>
        <w:t>Изисквания към алармената система / НЗР, най-късно при подновяване на удостоверението на плавателния съд за плаване по вътрешни водни пътища след 1.1.2015 г.“</w:t>
      </w:r>
      <w:r w:rsidRPr="00D51D54">
        <w:rPr>
          <w:sz w:val="16"/>
          <w:lang w:val="bg-BG"/>
        </w:rPr>
        <w:t xml:space="preserve"> и </w:t>
      </w:r>
      <w:r w:rsidRPr="00D51D54">
        <w:rPr>
          <w:i/>
          <w:color w:val="000000"/>
          <w:sz w:val="16"/>
          <w:lang w:val="bg-BG"/>
        </w:rPr>
        <w:t>„19.08, точка 3, буква в)/</w:t>
      </w:r>
      <w:r w:rsidRPr="00D51D54">
        <w:rPr>
          <w:i/>
          <w:sz w:val="16"/>
          <w:lang w:val="bg-BG"/>
        </w:rPr>
        <w:t>Алармена система за осведомяване на членовете на екипажа и обслужващия персонал от командването на плавателния съд / За кораби за круизи, регламентът се прилага за НЗР най-късно при подновяване на удостоверението на плавателния съд за плаване по вътрешни водни пътища след 1.1.2007 г.“.</w:t>
      </w:r>
    </w:p>
  </w:footnote>
  <w:footnote w:id="33">
    <w:p w:rsidR="002B712C" w:rsidRPr="00D51D54" w:rsidRDefault="002B712C" w:rsidP="0044336D">
      <w:pPr>
        <w:pStyle w:val="FootnoteText"/>
        <w:spacing w:before="40"/>
        <w:ind w:left="284" w:hanging="284"/>
        <w:rPr>
          <w:sz w:val="16"/>
          <w:szCs w:val="16"/>
          <w:lang w:val="bg-BG"/>
        </w:rPr>
      </w:pPr>
      <w:r w:rsidRPr="00D51D54">
        <w:rPr>
          <w:rStyle w:val="FootnoteReference"/>
          <w:sz w:val="16"/>
          <w:lang w:val="bg-BG"/>
        </w:rPr>
        <w:footnoteRef/>
      </w:r>
      <w:r w:rsidRPr="00D51D54">
        <w:rPr>
          <w:sz w:val="16"/>
          <w:lang w:val="bg-BG"/>
        </w:rPr>
        <w:t xml:space="preserve"> </w:t>
      </w:r>
      <w:r w:rsidRPr="00D51D54">
        <w:rPr>
          <w:lang w:val="bg-BG"/>
        </w:rPr>
        <w:tab/>
      </w:r>
      <w:r w:rsidRPr="00D51D54">
        <w:rPr>
          <w:sz w:val="16"/>
          <w:lang w:val="bg-BG"/>
        </w:rPr>
        <w:t>MSC.61 (67), приет на 5 декември 1996 — Международен кодекс за прилагане на процедури за пожарни изпитвания.</w:t>
      </w:r>
    </w:p>
  </w:footnote>
  <w:footnote w:id="34">
    <w:p w:rsidR="002B712C" w:rsidRPr="00D51D54" w:rsidRDefault="002B712C" w:rsidP="000E732C">
      <w:pPr>
        <w:pStyle w:val="FootnoteText"/>
        <w:spacing w:before="40"/>
        <w:ind w:left="284" w:hanging="284"/>
        <w:rPr>
          <w:rFonts w:cs="Arial"/>
          <w:sz w:val="16"/>
          <w:szCs w:val="16"/>
          <w:lang w:val="bg-BG"/>
        </w:rPr>
      </w:pPr>
      <w:r w:rsidRPr="00D51D54">
        <w:rPr>
          <w:rStyle w:val="FootnoteReference"/>
          <w:sz w:val="16"/>
          <w:lang w:val="bg-BG"/>
        </w:rPr>
        <w:footnoteRef/>
      </w:r>
      <w:r w:rsidRPr="00D51D54">
        <w:rPr>
          <w:lang w:val="bg-BG"/>
        </w:rPr>
        <w:tab/>
      </w:r>
      <w:r w:rsidRPr="00D51D54">
        <w:rPr>
          <w:sz w:val="16"/>
          <w:lang w:val="bg-BG"/>
        </w:rPr>
        <w:t>Преходната разпоредба, приложима за член 3.04, точка 7, е временно изискване, което е приложимо до 31 декември 2019 г. Следната преходна разпоредба беше в сила преди 1 декември 2014 г.: „</w:t>
      </w:r>
      <w:r w:rsidRPr="00D51D54">
        <w:rPr>
          <w:i/>
          <w:sz w:val="16"/>
          <w:lang w:val="bg-BG"/>
        </w:rPr>
        <w:t>3.04, точка 7 / Максимално допустимо ниво на звуковото налягане / ЗР, най-късно при подновяване на удостоверението на плавателния съд за плаване по вътрешни водни пътища след 1.1.2015 г.“.</w:t>
      </w:r>
    </w:p>
  </w:footnote>
  <w:footnote w:id="35">
    <w:p w:rsidR="002B712C" w:rsidRPr="00D51D54" w:rsidRDefault="002B712C" w:rsidP="000E732C">
      <w:pPr>
        <w:pStyle w:val="FootnoteText"/>
        <w:spacing w:before="40"/>
        <w:ind w:left="284" w:hanging="284"/>
        <w:rPr>
          <w:rFonts w:cs="Arial"/>
          <w:sz w:val="16"/>
          <w:szCs w:val="16"/>
          <w:lang w:val="bg-BG"/>
        </w:rPr>
      </w:pPr>
      <w:r w:rsidRPr="00D51D54">
        <w:rPr>
          <w:rStyle w:val="FootnoteReference"/>
          <w:sz w:val="16"/>
          <w:lang w:val="bg-BG"/>
        </w:rPr>
        <w:footnoteRef/>
      </w:r>
      <w:r w:rsidRPr="00D51D54">
        <w:rPr>
          <w:lang w:val="bg-BG"/>
        </w:rPr>
        <w:tab/>
      </w:r>
      <w:r w:rsidRPr="00D51D54">
        <w:rPr>
          <w:sz w:val="16"/>
          <w:lang w:val="bg-BG"/>
        </w:rPr>
        <w:t>Преходната разпоредба, приложима за член 7.01, точка 2, е временно изискване, което е приложимо до 31 декември 2019 г. Следната преходна разпоредба беше в сила преди 1 декември 2014 г.: „</w:t>
      </w:r>
      <w:r w:rsidRPr="00D51D54">
        <w:rPr>
          <w:i/>
          <w:sz w:val="16"/>
          <w:lang w:val="bg-BG"/>
        </w:rPr>
        <w:t>7.01, точка 2 / Звуково налягане, създавано от плавателния съд / ЗР, най-късно при подновяване на удостоверението на плавателния съд за плаване по вътрешни водни пътища след 1.1.2015 г.“.</w:t>
      </w:r>
    </w:p>
  </w:footnote>
  <w:footnote w:id="36">
    <w:p w:rsidR="002B712C" w:rsidRPr="00D51D54" w:rsidRDefault="002B712C" w:rsidP="000E732C">
      <w:pPr>
        <w:pStyle w:val="FootnoteText"/>
        <w:spacing w:before="40"/>
        <w:ind w:left="284" w:hanging="284"/>
        <w:rPr>
          <w:rFonts w:cs="Arial"/>
          <w:sz w:val="16"/>
          <w:szCs w:val="16"/>
          <w:lang w:val="bg-BG"/>
        </w:rPr>
      </w:pPr>
      <w:r w:rsidRPr="00D51D54">
        <w:rPr>
          <w:rStyle w:val="FootnoteReference"/>
          <w:sz w:val="16"/>
          <w:lang w:val="bg-BG"/>
        </w:rPr>
        <w:footnoteRef/>
      </w:r>
      <w:r w:rsidRPr="00D51D54">
        <w:rPr>
          <w:lang w:val="bg-BG"/>
        </w:rPr>
        <w:tab/>
      </w:r>
      <w:r w:rsidRPr="00D51D54">
        <w:rPr>
          <w:sz w:val="16"/>
          <w:lang w:val="bg-BG"/>
        </w:rPr>
        <w:t>Преходната разпоредба, приложима за член 8.10, точка 2, е временно изискване, което е приложимо до 31 декември 2019 г. Следната преходна разпоредба беше в сила преди 1 декември 2014 г.: „</w:t>
      </w:r>
      <w:r w:rsidRPr="00D51D54">
        <w:rPr>
          <w:i/>
          <w:sz w:val="16"/>
          <w:lang w:val="bg-BG"/>
        </w:rPr>
        <w:t>8.10, точка 2 / Шум, създаван от плавателния съд в движение / ЗР, най-късно при подновяване на удостоверението на плавателния съд за плаване по вътрешни водни пътища след 1.1.2015 г.“.</w:t>
      </w:r>
    </w:p>
  </w:footnote>
  <w:footnote w:id="37">
    <w:p w:rsidR="002B712C" w:rsidRPr="00D51D54" w:rsidRDefault="002B712C" w:rsidP="000E732C">
      <w:pPr>
        <w:pStyle w:val="FootnoteText"/>
        <w:spacing w:before="40"/>
        <w:ind w:left="284" w:hanging="284"/>
        <w:rPr>
          <w:rFonts w:cs="Arial"/>
          <w:sz w:val="16"/>
          <w:szCs w:val="16"/>
          <w:lang w:val="bg-BG"/>
        </w:rPr>
      </w:pPr>
      <w:r w:rsidRPr="00D51D54">
        <w:rPr>
          <w:rStyle w:val="FootnoteReference"/>
          <w:sz w:val="16"/>
          <w:lang w:val="bg-BG"/>
        </w:rPr>
        <w:footnoteRef/>
      </w:r>
      <w:r w:rsidRPr="00D51D54">
        <w:rPr>
          <w:sz w:val="16"/>
          <w:lang w:val="bg-BG"/>
        </w:rPr>
        <w:t xml:space="preserve"> </w:t>
      </w:r>
      <w:r w:rsidRPr="00D51D54">
        <w:rPr>
          <w:lang w:val="bg-BG"/>
        </w:rPr>
        <w:tab/>
      </w:r>
      <w:r w:rsidRPr="00D51D54">
        <w:rPr>
          <w:sz w:val="16"/>
          <w:lang w:val="bg-BG"/>
        </w:rPr>
        <w:t>Преходната разпоредба, приложима за член 10.01, е временно изискване, което е приложимо до 31 декември 2019 г. Следната преходна разпоредба беше в сила преди 1 декември 2014 г.: „</w:t>
      </w:r>
      <w:r w:rsidRPr="00D51D54">
        <w:rPr>
          <w:i/>
          <w:sz w:val="16"/>
          <w:lang w:val="bg-BG"/>
        </w:rPr>
        <w:t>10.01 / Изисквания за електрическо оборудване / ЗР, най-късно при подновяване на удостоверението на плавателния съд за плаване по вътрешни водни пътища след 1.1.2015 г.“.</w:t>
      </w:r>
    </w:p>
  </w:footnote>
  <w:footnote w:id="38">
    <w:p w:rsidR="002B712C" w:rsidRPr="00D51D54" w:rsidRDefault="002B712C" w:rsidP="000E732C">
      <w:pPr>
        <w:pStyle w:val="FootnoteText"/>
        <w:spacing w:before="40"/>
        <w:ind w:left="284" w:hanging="284"/>
        <w:rPr>
          <w:lang w:val="bg-BG"/>
        </w:rPr>
      </w:pPr>
      <w:r w:rsidRPr="00D51D54">
        <w:rPr>
          <w:rStyle w:val="FootnoteReference"/>
          <w:sz w:val="16"/>
          <w:lang w:val="bg-BG"/>
        </w:rPr>
        <w:footnoteRef/>
      </w:r>
      <w:r w:rsidRPr="00D51D54">
        <w:rPr>
          <w:lang w:val="bg-BG"/>
        </w:rPr>
        <w:tab/>
      </w:r>
      <w:r w:rsidRPr="00D51D54">
        <w:rPr>
          <w:sz w:val="16"/>
          <w:lang w:val="bg-BG"/>
        </w:rPr>
        <w:t xml:space="preserve">Преходната разпоредба, приложима за член 15.02, точка 5, е временно изискване, което е приложимо до 31 декември 2019 г. Следната преходна разпоредба беше в сила преди 1 декември 2014 г.: </w:t>
      </w:r>
      <w:r w:rsidRPr="00D51D54">
        <w:rPr>
          <w:i/>
          <w:sz w:val="16"/>
          <w:lang w:val="bg-BG"/>
        </w:rPr>
        <w:t>„15.02, точка 5/Шум и вибрации в жилищните помещения/Подновяване на удостоверението на плавателния съд за плаване по вътрешни водни пътища след 1.1.2015 г.“.</w:t>
      </w:r>
    </w:p>
  </w:footnote>
  <w:footnote w:id="39">
    <w:p w:rsidR="002B712C" w:rsidRPr="00D51D54" w:rsidRDefault="002B712C" w:rsidP="00B90A00">
      <w:pPr>
        <w:pStyle w:val="FootnoteText"/>
        <w:ind w:left="284" w:hanging="284"/>
        <w:rPr>
          <w:rFonts w:cs="Arial"/>
          <w:sz w:val="16"/>
          <w:szCs w:val="16"/>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Директива 2006/87/ЕО на Европейския парламент и на Съвета от 12 декември 2006 година за установяване на техническите изисквания за плавателни съдове по вътрешни водни пътища и за отмяна на Директива 82/714/ЕИО на Съвета (ОВ L 389, 30.12.2006 г.).</w:t>
      </w:r>
    </w:p>
  </w:footnote>
  <w:footnote w:id="40">
    <w:p w:rsidR="002B712C" w:rsidRPr="00D51D54" w:rsidRDefault="002B712C" w:rsidP="0059704F">
      <w:pPr>
        <w:shd w:val="clear" w:color="auto" w:fill="FFFFFF"/>
        <w:tabs>
          <w:tab w:val="left" w:pos="284"/>
        </w:tabs>
        <w:ind w:left="567" w:hanging="567"/>
        <w:rPr>
          <w:rFonts w:cs="Arial"/>
          <w:sz w:val="16"/>
          <w:szCs w:val="16"/>
          <w:lang w:val="bg-BG"/>
        </w:rPr>
      </w:pPr>
      <w:r w:rsidRPr="00D51D54">
        <w:rPr>
          <w:rStyle w:val="FootnoteReference"/>
          <w:sz w:val="16"/>
          <w:lang w:val="bg-BG"/>
        </w:rPr>
        <w:footnoteRef/>
      </w:r>
      <w:r w:rsidRPr="00D51D54">
        <w:rPr>
          <w:sz w:val="16"/>
          <w:lang w:val="bg-BG"/>
        </w:rPr>
        <w:t xml:space="preserve"> </w:t>
      </w:r>
      <w:r w:rsidRPr="00D51D54">
        <w:rPr>
          <w:lang w:val="bg-BG"/>
        </w:rPr>
        <w:tab/>
      </w:r>
      <w:r w:rsidRPr="00D51D54">
        <w:rPr>
          <w:sz w:val="16"/>
          <w:lang w:val="bg-BG"/>
        </w:rPr>
        <w:t>a)</w:t>
      </w:r>
      <w:r w:rsidRPr="00D51D54">
        <w:rPr>
          <w:lang w:val="bg-BG"/>
        </w:rPr>
        <w:tab/>
      </w:r>
      <w:r w:rsidRPr="00D51D54">
        <w:rPr>
          <w:sz w:val="16"/>
          <w:lang w:val="bg-BG"/>
        </w:rPr>
        <w:t>Постоянно монтирани противопожарни системи с СО</w:t>
      </w:r>
      <w:r w:rsidRPr="00D51D54">
        <w:rPr>
          <w:sz w:val="16"/>
          <w:vertAlign w:val="subscript"/>
          <w:lang w:val="bg-BG"/>
        </w:rPr>
        <w:t>2</w:t>
      </w:r>
      <w:r w:rsidRPr="00D51D54">
        <w:rPr>
          <w:sz w:val="16"/>
          <w:lang w:val="bg-BG"/>
        </w:rPr>
        <w:t>, монтирани между 1 януари 1995 г. и 31 март 2003 г., трябва да продължат да бъдат приемани до подновяване на удостоверението на плавателния съд за плаване по вътрешни водни пътища след 1.1.2035 г., при условие че съответстват на член 10.03, точка 5 от версията на Правилата за инспекция на плавателните съдове по река Рейн от 31 март 2002 г.</w:t>
      </w:r>
    </w:p>
    <w:p w:rsidR="002B712C" w:rsidRPr="00D51D54" w:rsidRDefault="002B712C" w:rsidP="0059704F">
      <w:pPr>
        <w:shd w:val="clear" w:color="auto" w:fill="FFFFFF"/>
        <w:tabs>
          <w:tab w:val="left" w:pos="284"/>
        </w:tabs>
        <w:ind w:left="567" w:hanging="283"/>
        <w:rPr>
          <w:rFonts w:cs="Arial"/>
          <w:sz w:val="16"/>
          <w:szCs w:val="16"/>
          <w:lang w:val="bg-BG"/>
        </w:rPr>
      </w:pPr>
      <w:r w:rsidRPr="00D51D54">
        <w:rPr>
          <w:sz w:val="16"/>
          <w:lang w:val="bg-BG"/>
        </w:rPr>
        <w:t>б)</w:t>
      </w:r>
      <w:r w:rsidRPr="00D51D54">
        <w:rPr>
          <w:lang w:val="bg-BG"/>
        </w:rPr>
        <w:tab/>
      </w:r>
      <w:r w:rsidRPr="00D51D54">
        <w:rPr>
          <w:sz w:val="16"/>
          <w:lang w:val="bg-BG"/>
        </w:rPr>
        <w:t>Препоръки на Централната комисия за корабоплаване по Рейн по отношение на член 10.03, точка 5 от версията на Правилата за инспекция на плавателните съдове по река Рейн от 31 март 2002 г., издадени между 1 януари 1995 г. и 31 март 2002 г., остават валидни до подновяване на удостоверението на плавателния съд за плаване по вътрешни водни пътища след 1.1.2035 г.</w:t>
      </w:r>
    </w:p>
    <w:p w:rsidR="002B712C" w:rsidRPr="00D51D54" w:rsidRDefault="002B712C" w:rsidP="0059704F">
      <w:pPr>
        <w:pStyle w:val="FootnoteText"/>
        <w:tabs>
          <w:tab w:val="left" w:pos="284"/>
        </w:tabs>
        <w:ind w:left="567" w:hanging="283"/>
        <w:rPr>
          <w:rFonts w:cs="Arial"/>
          <w:lang w:val="bg-BG"/>
        </w:rPr>
      </w:pPr>
      <w:r w:rsidRPr="00D51D54">
        <w:rPr>
          <w:sz w:val="16"/>
          <w:lang w:val="bg-BG"/>
        </w:rPr>
        <w:t>в)</w:t>
      </w:r>
      <w:r w:rsidRPr="00D51D54">
        <w:rPr>
          <w:lang w:val="bg-BG"/>
        </w:rPr>
        <w:tab/>
      </w:r>
      <w:r w:rsidRPr="00D51D54">
        <w:rPr>
          <w:sz w:val="16"/>
          <w:lang w:val="bg-BG"/>
        </w:rPr>
        <w:t>Член 13.05, точка 2, буква a) се прилага само за съоръжения на борда на плавателен съд, чието строителство е започнало след 1 октомври 1992 г., и до подновяване на удостоверението на плавателния съд за плаване по вътрешни водни пътища след 1.1.2035 г.</w:t>
      </w:r>
    </w:p>
  </w:footnote>
  <w:footnote w:id="41">
    <w:p w:rsidR="002B712C" w:rsidRPr="00D51D54" w:rsidRDefault="002B712C" w:rsidP="000E732C">
      <w:pPr>
        <w:pStyle w:val="FootnoteText"/>
        <w:ind w:left="284" w:hanging="284"/>
        <w:rPr>
          <w:lang w:val="bg-BG"/>
        </w:rPr>
      </w:pPr>
      <w:r w:rsidRPr="00D51D54">
        <w:rPr>
          <w:rStyle w:val="FootnoteReference"/>
          <w:sz w:val="16"/>
          <w:lang w:val="bg-BG"/>
        </w:rPr>
        <w:footnoteRef/>
      </w:r>
      <w:r w:rsidRPr="00D51D54">
        <w:rPr>
          <w:sz w:val="16"/>
          <w:lang w:val="bg-BG"/>
        </w:rPr>
        <w:t xml:space="preserve"> </w:t>
      </w:r>
      <w:r w:rsidRPr="00D51D54">
        <w:rPr>
          <w:lang w:val="bg-BG"/>
        </w:rPr>
        <w:tab/>
      </w:r>
      <w:r w:rsidRPr="00D51D54">
        <w:rPr>
          <w:sz w:val="16"/>
          <w:lang w:val="bg-BG"/>
        </w:rPr>
        <w:t>Преходната разпоредба, приложима за член 13.07, е временно изискване, което е приложимо до 31 декември 2019 г. Следната преходна разпоредба беше в сила преди 1 декември 2014 г.: „</w:t>
      </w:r>
      <w:r w:rsidRPr="00D51D54">
        <w:rPr>
          <w:i/>
          <w:sz w:val="16"/>
          <w:lang w:val="bg-BG"/>
        </w:rPr>
        <w:t>13.07 / Прилагане на европейския стандарт за корабна лодка / НЗР, най-късно при подновяване на удостоверението на плавателния съд за плаване по вътрешни водни пътища след 1.1.2015 г./ 1.10.2003 г.“.</w:t>
      </w:r>
    </w:p>
  </w:footnote>
  <w:footnote w:id="42">
    <w:p w:rsidR="002B712C" w:rsidRPr="00D51D54" w:rsidRDefault="002B712C" w:rsidP="006F55F5">
      <w:pPr>
        <w:pStyle w:val="FootnoteText"/>
        <w:ind w:left="284" w:hanging="284"/>
        <w:rPr>
          <w:rFonts w:cs="Arial"/>
          <w:sz w:val="16"/>
          <w:szCs w:val="16"/>
          <w:lang w:val="bg-BG"/>
        </w:rPr>
      </w:pPr>
      <w:r w:rsidRPr="00D51D54">
        <w:rPr>
          <w:rStyle w:val="FootnoteReference"/>
          <w:sz w:val="16"/>
          <w:lang w:val="bg-BG"/>
        </w:rPr>
        <w:footnoteRef/>
      </w:r>
      <w:r w:rsidRPr="00D51D54">
        <w:rPr>
          <w:lang w:val="bg-BG"/>
        </w:rPr>
        <w:tab/>
      </w:r>
      <w:r w:rsidRPr="00D51D54">
        <w:rPr>
          <w:sz w:val="16"/>
          <w:lang w:val="bg-BG"/>
        </w:rPr>
        <w:t>Преходната разпоредба, приложима за член 19.06, точка 6, буква в), е временно изискване, което е приложимо до 31 декември 2019 г. Следната преходна разпоредба беше в сила преди 1 декември 2014 г.: „</w:t>
      </w:r>
      <w:r w:rsidRPr="00D51D54">
        <w:rPr>
          <w:i/>
          <w:color w:val="000000"/>
          <w:sz w:val="16"/>
          <w:lang w:val="bg-BG"/>
        </w:rPr>
        <w:t>19.06, точка 6, буква в)</w:t>
      </w:r>
      <w:r w:rsidRPr="00D51D54">
        <w:rPr>
          <w:i/>
          <w:sz w:val="16"/>
          <w:lang w:val="bg-BG"/>
        </w:rPr>
        <w:t xml:space="preserve"> / Маршрутите за евакуация да не преминават през камбузи / НЗР, не по-късно от първото подновяване на удостоверението на плавателния съд за плаване по вътрешни водни пътища след 1.1.2015 / 1.1.2006“.</w:t>
      </w:r>
    </w:p>
  </w:footnote>
  <w:footnote w:id="43">
    <w:p w:rsidR="002B712C" w:rsidRPr="00D51D54" w:rsidRDefault="002B712C" w:rsidP="006F55F5">
      <w:pPr>
        <w:pStyle w:val="FootnoteText"/>
        <w:spacing w:before="40"/>
        <w:ind w:left="284" w:hanging="284"/>
        <w:rPr>
          <w:rFonts w:cs="Arial"/>
          <w:sz w:val="16"/>
          <w:szCs w:val="16"/>
          <w:lang w:val="bg-BG"/>
        </w:rPr>
      </w:pPr>
      <w:r w:rsidRPr="00D51D54">
        <w:rPr>
          <w:rStyle w:val="FootnoteReference"/>
          <w:sz w:val="16"/>
          <w:lang w:val="bg-BG"/>
        </w:rPr>
        <w:footnoteRef/>
      </w:r>
      <w:r w:rsidRPr="00D51D54">
        <w:rPr>
          <w:sz w:val="16"/>
          <w:lang w:val="bg-BG"/>
        </w:rPr>
        <w:t xml:space="preserve"> </w:t>
      </w:r>
      <w:r w:rsidRPr="00D51D54">
        <w:rPr>
          <w:lang w:val="bg-BG"/>
        </w:rPr>
        <w:tab/>
      </w:r>
      <w:r w:rsidRPr="00D51D54">
        <w:rPr>
          <w:sz w:val="16"/>
          <w:lang w:val="bg-BG"/>
        </w:rPr>
        <w:t>Преходната разпоредба, приложима за член 19.07, е временно изискване, което е приложимо до 31 декември 2019 г. Следната преходна разпоредба беше в сила преди 1 декември 2014 г.: „</w:t>
      </w:r>
      <w:r w:rsidRPr="00D51D54">
        <w:rPr>
          <w:i/>
          <w:color w:val="000000"/>
          <w:sz w:val="16"/>
          <w:lang w:val="bg-BG"/>
        </w:rPr>
        <w:t>19.07</w:t>
      </w:r>
      <w:r w:rsidRPr="00D51D54">
        <w:rPr>
          <w:i/>
          <w:sz w:val="16"/>
          <w:lang w:val="bg-BG"/>
        </w:rPr>
        <w:t xml:space="preserve"> / Изисквания относно системата за задвижване / НЗР, най-късно при подновяване на удостоверението на плавателния съд за плаване по вътрешни водни пътища след 1.1.2015 г./1.1.2006 г.“</w:t>
      </w:r>
    </w:p>
  </w:footnote>
  <w:footnote w:id="44">
    <w:p w:rsidR="002B712C" w:rsidRPr="00D51D54" w:rsidRDefault="002B712C" w:rsidP="006F55F5">
      <w:pPr>
        <w:pStyle w:val="FootnoteText"/>
        <w:spacing w:before="40"/>
        <w:ind w:left="284" w:hanging="284"/>
        <w:rPr>
          <w:lang w:val="bg-BG"/>
        </w:rPr>
      </w:pPr>
      <w:r w:rsidRPr="00D51D54">
        <w:rPr>
          <w:rStyle w:val="FootnoteReference"/>
          <w:sz w:val="16"/>
          <w:lang w:val="bg-BG"/>
        </w:rPr>
        <w:footnoteRef/>
      </w:r>
      <w:r w:rsidRPr="00D51D54">
        <w:rPr>
          <w:sz w:val="16"/>
          <w:lang w:val="bg-BG"/>
        </w:rPr>
        <w:t xml:space="preserve"> </w:t>
      </w:r>
      <w:r w:rsidRPr="00D51D54">
        <w:rPr>
          <w:lang w:val="bg-BG"/>
        </w:rPr>
        <w:tab/>
      </w:r>
      <w:r w:rsidRPr="00D51D54">
        <w:rPr>
          <w:sz w:val="16"/>
          <w:lang w:val="bg-BG"/>
        </w:rPr>
        <w:t>Преходната разпоредба, приложима за член 19.08, точка 3, е временно изискване, което е приложимо до 31 декември 2019 г. Следната преходна разпоредба беше в сила преди 1 декември 2014 г.: „</w:t>
      </w:r>
      <w:r w:rsidRPr="00D51D54">
        <w:rPr>
          <w:i/>
          <w:color w:val="000000"/>
          <w:sz w:val="16"/>
          <w:lang w:val="bg-BG"/>
        </w:rPr>
        <w:t>19.08, точка 3 /</w:t>
      </w:r>
      <w:r w:rsidRPr="00D51D54">
        <w:rPr>
          <w:i/>
          <w:sz w:val="16"/>
          <w:lang w:val="bg-BG"/>
        </w:rPr>
        <w:t>Изисквания към алармената система / НЗР, най-късно при подновяване на удостоверението на плавателния съд за плаване по вътрешни водни пътища след 1.1.2015 г. / 1.1.2006 г.“</w:t>
      </w:r>
      <w:r w:rsidRPr="00D51D54">
        <w:rPr>
          <w:sz w:val="16"/>
          <w:lang w:val="bg-BG"/>
        </w:rPr>
        <w:t xml:space="preserve"> и </w:t>
      </w:r>
      <w:r w:rsidRPr="00D51D54">
        <w:rPr>
          <w:i/>
          <w:color w:val="000000"/>
          <w:sz w:val="16"/>
          <w:lang w:val="bg-BG"/>
        </w:rPr>
        <w:t>„19.08, точка 3, буква в)/</w:t>
      </w:r>
      <w:r w:rsidRPr="00D51D54">
        <w:rPr>
          <w:i/>
          <w:sz w:val="16"/>
          <w:lang w:val="bg-BG"/>
        </w:rPr>
        <w:t>Алармена система за осведомяване на членовете на екипажа и обслужващия персонал от командването на плавателния съд / За кораби за круизи, регламентът се прилага по отношение на НЗР, най-късно при подновяване на удостоверението на плавателния съд за плаване по вътрешни водни пътища след 1.1.2007 г. / 1.1.2006 г.“.</w:t>
      </w:r>
    </w:p>
  </w:footnote>
  <w:footnote w:id="45">
    <w:p w:rsidR="002B712C" w:rsidRPr="00D51D54" w:rsidRDefault="002B712C" w:rsidP="00AA5614">
      <w:pPr>
        <w:pStyle w:val="FootnoteText"/>
        <w:spacing w:before="40"/>
        <w:ind w:left="284" w:hanging="284"/>
        <w:rPr>
          <w:lang w:val="bg-BG"/>
        </w:rPr>
      </w:pPr>
      <w:r w:rsidRPr="00D51D54">
        <w:rPr>
          <w:rStyle w:val="FootnoteReference"/>
          <w:sz w:val="16"/>
          <w:lang w:val="bg-BG"/>
        </w:rPr>
        <w:footnoteRef/>
      </w:r>
      <w:r w:rsidRPr="00D51D54">
        <w:rPr>
          <w:sz w:val="16"/>
          <w:lang w:val="bg-BG"/>
        </w:rPr>
        <w:t xml:space="preserve"> </w:t>
      </w:r>
      <w:r w:rsidRPr="00D51D54">
        <w:rPr>
          <w:lang w:val="bg-BG"/>
        </w:rPr>
        <w:tab/>
      </w:r>
      <w:r w:rsidRPr="00D51D54">
        <w:rPr>
          <w:sz w:val="16"/>
          <w:lang w:val="bg-BG"/>
        </w:rPr>
        <w:t>MSC.61 (67), приет на 5 декември 1996 — Международен кодекс за прилагане на процедури за пожарни изпитвания.</w:t>
      </w:r>
    </w:p>
  </w:footnote>
  <w:footnote w:id="46">
    <w:p w:rsidR="002B712C" w:rsidRPr="00D51D54" w:rsidRDefault="002B712C" w:rsidP="002D3F17">
      <w:pPr>
        <w:pStyle w:val="FootnoteText"/>
        <w:ind w:left="284" w:hanging="284"/>
        <w:rPr>
          <w:sz w:val="16"/>
          <w:szCs w:val="16"/>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При все това, най-късно при подновяване на удостоверението на плавателния съд за плаване по вътрешни водни пътища след 1.1.2015 г., плавателните средства трябва да отговарят на следните изисквания:</w:t>
      </w:r>
    </w:p>
    <w:p w:rsidR="002B712C" w:rsidRPr="00D51D54" w:rsidRDefault="002B712C" w:rsidP="00C5514F">
      <w:pPr>
        <w:pStyle w:val="FootnoteText"/>
        <w:spacing w:before="40"/>
        <w:ind w:left="568" w:hanging="284"/>
        <w:rPr>
          <w:rFonts w:cs="Arial"/>
          <w:sz w:val="16"/>
          <w:szCs w:val="16"/>
          <w:lang w:val="bg-BG"/>
        </w:rPr>
      </w:pPr>
      <w:r w:rsidRPr="00D51D54">
        <w:rPr>
          <w:sz w:val="16"/>
          <w:lang w:val="bg-BG"/>
        </w:rPr>
        <w:t>-</w:t>
      </w:r>
      <w:r w:rsidRPr="00D51D54">
        <w:rPr>
          <w:lang w:val="bg-BG"/>
        </w:rPr>
        <w:tab/>
      </w:r>
      <w:r w:rsidRPr="00D51D54">
        <w:rPr>
          <w:sz w:val="16"/>
          <w:lang w:val="bg-BG"/>
        </w:rPr>
        <w:t xml:space="preserve">Външните краища на палубите, както и работните места, на които лицата биха могли да паднат от повече от 1 m, трябва да са оборудвани с фалшборд или комингс с височина най-малко 0,70 m или с непрекъснати предпазни заграждения съгласно европейски стандарт EN 711: 1995, обхващащ леер, междинен парапет на равнището на коляното и парапет на ниво на ходилата. </w:t>
      </w:r>
    </w:p>
    <w:p w:rsidR="002B712C" w:rsidRPr="00D51D54" w:rsidRDefault="002B712C" w:rsidP="00C5514F">
      <w:pPr>
        <w:pStyle w:val="FootnoteText"/>
        <w:spacing w:before="40"/>
        <w:ind w:left="568" w:hanging="284"/>
        <w:rPr>
          <w:rFonts w:cs="Arial"/>
          <w:sz w:val="16"/>
          <w:szCs w:val="16"/>
          <w:lang w:val="bg-BG"/>
        </w:rPr>
      </w:pPr>
      <w:r w:rsidRPr="00D51D54">
        <w:rPr>
          <w:sz w:val="16"/>
          <w:lang w:val="bg-BG"/>
        </w:rPr>
        <w:t>-</w:t>
      </w:r>
      <w:r w:rsidRPr="00D51D54">
        <w:rPr>
          <w:lang w:val="bg-BG"/>
        </w:rPr>
        <w:tab/>
      </w:r>
      <w:r w:rsidRPr="00D51D54">
        <w:rPr>
          <w:sz w:val="16"/>
          <w:lang w:val="bg-BG"/>
        </w:rPr>
        <w:t>Палубните проходи трябва да бъдат оборудвани с парапет на ниво на ходилата и непрекъснат леер, закрепен към комингса. Леери на комингса не се изискват, когато палубните проходи са оборудвани с постоянни бордови защитни перила.</w:t>
      </w:r>
    </w:p>
  </w:footnote>
  <w:footnote w:id="47">
    <w:p w:rsidR="002B712C" w:rsidRPr="00D51D54" w:rsidRDefault="002B712C" w:rsidP="001E2331">
      <w:pPr>
        <w:pStyle w:val="FootnoteText"/>
        <w:ind w:left="284" w:hanging="284"/>
        <w:rPr>
          <w:rFonts w:cs="Arial"/>
          <w:sz w:val="16"/>
          <w:szCs w:val="16"/>
          <w:lang w:val="bg-BG"/>
        </w:rPr>
      </w:pPr>
      <w:r w:rsidRPr="00D51D54">
        <w:rPr>
          <w:rStyle w:val="FootnoteReference"/>
          <w:lang w:val="bg-BG"/>
        </w:rPr>
        <w:footnoteRef/>
      </w:r>
      <w:r w:rsidRPr="00D51D54">
        <w:rPr>
          <w:lang w:val="bg-BG"/>
        </w:rPr>
        <w:tab/>
      </w:r>
      <w:r w:rsidRPr="00D51D54">
        <w:rPr>
          <w:sz w:val="16"/>
          <w:lang w:val="bg-BG"/>
        </w:rPr>
        <w:t>За плавателни съдове, построени след 31.12.1994 г., и за плавателните съдове в експлоатация, изискването се прилага при следните условия:</w:t>
      </w:r>
    </w:p>
    <w:p w:rsidR="002B712C" w:rsidRPr="00D51D54" w:rsidRDefault="002B712C" w:rsidP="001E2331">
      <w:pPr>
        <w:pStyle w:val="FootnoteText"/>
        <w:spacing w:before="40"/>
        <w:ind w:left="284"/>
        <w:rPr>
          <w:rFonts w:cs="Arial"/>
          <w:sz w:val="16"/>
          <w:szCs w:val="16"/>
          <w:lang w:val="bg-BG"/>
        </w:rPr>
      </w:pPr>
      <w:r w:rsidRPr="00D51D54">
        <w:rPr>
          <w:sz w:val="16"/>
          <w:lang w:val="bg-BG"/>
        </w:rPr>
        <w:t>В случай че цялата област на трюма се подменя, трябва да бъдат спазени изискванията по член 14.04. В случай на промени, засягащи цялата дължина на зоната на палубния проход и изменящи габаритната ширина на палубния проход,</w:t>
      </w:r>
    </w:p>
    <w:p w:rsidR="002B712C" w:rsidRPr="00D51D54" w:rsidRDefault="002B712C" w:rsidP="001E2331">
      <w:pPr>
        <w:pStyle w:val="FootnoteText"/>
        <w:tabs>
          <w:tab w:val="left" w:pos="567"/>
        </w:tabs>
        <w:spacing w:before="40"/>
        <w:ind w:left="567" w:hanging="283"/>
        <w:rPr>
          <w:rFonts w:cs="Arial"/>
          <w:sz w:val="16"/>
          <w:szCs w:val="16"/>
          <w:lang w:val="bg-BG"/>
        </w:rPr>
      </w:pPr>
      <w:r w:rsidRPr="00D51D54">
        <w:rPr>
          <w:sz w:val="16"/>
          <w:lang w:val="bg-BG"/>
        </w:rPr>
        <w:t>a)</w:t>
      </w:r>
      <w:r w:rsidRPr="00D51D54">
        <w:rPr>
          <w:lang w:val="bg-BG"/>
        </w:rPr>
        <w:tab/>
      </w:r>
      <w:r w:rsidRPr="00D51D54">
        <w:rPr>
          <w:sz w:val="16"/>
          <w:lang w:val="bg-BG"/>
        </w:rPr>
        <w:t>член 14.04 трябва да бъде спазен, когато габаритната ширина на палубния проход до височина от 0,90 m, налична преди изменението, трябва да бъде намалена</w:t>
      </w:r>
    </w:p>
    <w:p w:rsidR="002B712C" w:rsidRPr="00D51D54" w:rsidRDefault="002B712C" w:rsidP="0063563D">
      <w:pPr>
        <w:ind w:left="567" w:hanging="283"/>
        <w:rPr>
          <w:lang w:val="bg-BG"/>
        </w:rPr>
      </w:pPr>
      <w:r w:rsidRPr="00D51D54">
        <w:rPr>
          <w:sz w:val="16"/>
          <w:lang w:val="bg-BG"/>
        </w:rPr>
        <w:t>б)</w:t>
      </w:r>
      <w:r w:rsidRPr="00D51D54">
        <w:rPr>
          <w:lang w:val="bg-BG"/>
        </w:rPr>
        <w:tab/>
      </w:r>
      <w:r w:rsidRPr="00D51D54">
        <w:rPr>
          <w:sz w:val="16"/>
          <w:lang w:val="bg-BG"/>
        </w:rPr>
        <w:t>габаритната ширина на палубния проход до височина от 0,90 m или габаритната ширина над тази височина, налична преди изменението, не трябва да бъде намалявана, ако нейните размери са по-малки от посочените в член 14.04.</w:t>
      </w:r>
    </w:p>
  </w:footnote>
  <w:footnote w:id="48">
    <w:p w:rsidR="002B712C" w:rsidRPr="00D51D54" w:rsidRDefault="002B712C" w:rsidP="00AA5614">
      <w:pPr>
        <w:pStyle w:val="FootnoteText"/>
        <w:ind w:left="284" w:hanging="284"/>
        <w:rPr>
          <w:sz w:val="16"/>
          <w:szCs w:val="16"/>
          <w:lang w:val="bg-BG"/>
        </w:rPr>
      </w:pPr>
      <w:r w:rsidRPr="00D51D54">
        <w:rPr>
          <w:rStyle w:val="FootnoteReference"/>
          <w:lang w:val="bg-BG"/>
        </w:rPr>
        <w:footnoteRef/>
      </w:r>
      <w:r w:rsidRPr="00D51D54">
        <w:rPr>
          <w:sz w:val="16"/>
          <w:lang w:val="bg-BG"/>
        </w:rPr>
        <w:t xml:space="preserve"> </w:t>
      </w:r>
      <w:r w:rsidRPr="00D51D54">
        <w:rPr>
          <w:lang w:val="bg-BG"/>
        </w:rPr>
        <w:tab/>
      </w:r>
      <w:r w:rsidRPr="00D51D54">
        <w:rPr>
          <w:sz w:val="16"/>
          <w:lang w:val="bg-BG"/>
        </w:rPr>
        <w:t>MSC.61 (67), приет на 5 декември 1996 — Международен кодекс за прилагане на процедури за пожарни изпитвания.</w:t>
      </w:r>
    </w:p>
  </w:footnote>
  <w:footnote w:id="49">
    <w:p w:rsidR="002B712C" w:rsidRPr="00D51D54" w:rsidRDefault="002B712C" w:rsidP="009C13A9">
      <w:pPr>
        <w:pStyle w:val="FootnoteText"/>
        <w:spacing w:line="180" w:lineRule="exact"/>
        <w:ind w:left="284" w:hanging="284"/>
        <w:rPr>
          <w:rFonts w:cs="Arial"/>
          <w:sz w:val="16"/>
          <w:szCs w:val="16"/>
          <w:lang w:val="bg-BG"/>
        </w:rPr>
      </w:pPr>
      <w:r w:rsidRPr="00D51D54">
        <w:rPr>
          <w:rStyle w:val="FootnoteReference"/>
          <w:sz w:val="16"/>
          <w:lang w:val="bg-BG"/>
        </w:rPr>
        <w:footnoteRef/>
      </w:r>
      <w:r w:rsidRPr="00D51D54">
        <w:rPr>
          <w:sz w:val="16"/>
          <w:lang w:val="bg-BG"/>
        </w:rPr>
        <w:t xml:space="preserve"> </w:t>
      </w:r>
      <w:r w:rsidRPr="00D51D54">
        <w:rPr>
          <w:lang w:val="bg-BG"/>
        </w:rPr>
        <w:tab/>
      </w:r>
      <w:r w:rsidRPr="00D51D54">
        <w:rPr>
          <w:sz w:val="16"/>
          <w:lang w:val="bg-BG"/>
        </w:rPr>
        <w:t>Удостоверението за проверка по река Рейн ще се отнася до: моряк или моряк, заменен от механик; режими на работа A1, A2 и В.</w:t>
      </w:r>
    </w:p>
  </w:footnote>
  <w:footnote w:id="50">
    <w:p w:rsidR="002B712C" w:rsidRPr="00D51D54" w:rsidRDefault="002B712C" w:rsidP="009C13A9">
      <w:pPr>
        <w:pStyle w:val="FootnoteText"/>
        <w:spacing w:line="180" w:lineRule="exact"/>
        <w:ind w:left="284" w:hanging="284"/>
        <w:rPr>
          <w:rFonts w:cs="Arial"/>
          <w:sz w:val="16"/>
          <w:szCs w:val="16"/>
          <w:lang w:val="bg-BG"/>
        </w:rPr>
      </w:pPr>
      <w:r w:rsidRPr="00D51D54">
        <w:rPr>
          <w:rStyle w:val="FootnoteReference"/>
          <w:sz w:val="16"/>
          <w:lang w:val="bg-BG"/>
        </w:rPr>
        <w:footnoteRef/>
      </w:r>
      <w:r w:rsidRPr="00D51D54">
        <w:rPr>
          <w:sz w:val="16"/>
          <w:lang w:val="bg-BG"/>
        </w:rPr>
        <w:t xml:space="preserve"> </w:t>
      </w:r>
      <w:r w:rsidRPr="00D51D54">
        <w:rPr>
          <w:lang w:val="bg-BG"/>
        </w:rPr>
        <w:tab/>
      </w:r>
      <w:r w:rsidRPr="00D51D54">
        <w:rPr>
          <w:sz w:val="16"/>
          <w:lang w:val="bg-BG"/>
        </w:rPr>
        <w:t>Удостоверението за проверка по река Рейн ще се отнася до: капитан, кормчия, старши моряк, моряк, стажант, механик, инженер: режими на работа A1, A2 и В.</w:t>
      </w:r>
    </w:p>
  </w:footnote>
  <w:footnote w:id="51">
    <w:p w:rsidR="002B712C" w:rsidRPr="00D51D54" w:rsidRDefault="002B712C" w:rsidP="00857FC2">
      <w:pPr>
        <w:ind w:left="284" w:hanging="284"/>
        <w:rPr>
          <w:lang w:val="bg-BG"/>
        </w:rPr>
      </w:pPr>
      <w:r w:rsidRPr="00D51D54">
        <w:rPr>
          <w:rStyle w:val="FootnoteReference"/>
          <w:lang w:val="bg-BG"/>
        </w:rPr>
        <w:footnoteRef/>
      </w:r>
      <w:r w:rsidRPr="00D51D54">
        <w:rPr>
          <w:lang w:val="bg-BG"/>
        </w:rPr>
        <w:t xml:space="preserve"> </w:t>
      </w:r>
      <w:r w:rsidRPr="00D51D54">
        <w:rPr>
          <w:lang w:val="bg-BG"/>
        </w:rPr>
        <w:tab/>
      </w:r>
      <w:r w:rsidRPr="00D51D54">
        <w:rPr>
          <w:spacing w:val="-2"/>
          <w:sz w:val="16"/>
          <w:lang w:val="bg-BG"/>
        </w:rPr>
        <w:t>Удостоверението за проверка по река Рейн ще се отнася до: моряк или моряк, заменен от механик; режими на работа A1, A2 и B</w:t>
      </w:r>
    </w:p>
  </w:footnote>
  <w:footnote w:id="52">
    <w:p w:rsidR="002B712C" w:rsidRPr="00D51D54" w:rsidRDefault="002B712C" w:rsidP="001077F3">
      <w:pPr>
        <w:pStyle w:val="FootnoteText"/>
        <w:ind w:left="284" w:hanging="284"/>
        <w:rPr>
          <w:sz w:val="16"/>
          <w:szCs w:val="16"/>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Директива 2014/53/ЕС на Европейския парламент и на Съвета от 16 април 2014 година за хармонизирането на законодателствата на държавите членки във връзка с предоставянето на пазара на радиосъоръжения и за отмяна на Директива 1999/5/ЕО (ОВ L153, 22.5.2014 г.)</w:t>
      </w:r>
    </w:p>
  </w:footnote>
  <w:footnote w:id="53">
    <w:p w:rsidR="002B712C" w:rsidRPr="00D51D54" w:rsidRDefault="002B712C" w:rsidP="001077F3">
      <w:pPr>
        <w:pStyle w:val="FootnoteText"/>
        <w:ind w:left="284" w:hanging="284"/>
        <w:rPr>
          <w:sz w:val="16"/>
          <w:szCs w:val="16"/>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 xml:space="preserve">Директива 2014/30/ЕС на Европейския парламент и на Съвета от 26 февруари 2014 година за хармонизиране на законодателствата на държавите членки относно електромагнитната съвместимост (ОВ L 96, 29.3.2014 г.) </w:t>
      </w:r>
    </w:p>
  </w:footnote>
  <w:footnote w:id="54">
    <w:p w:rsidR="002B712C" w:rsidRPr="00D51D54" w:rsidRDefault="002B712C" w:rsidP="001077F3">
      <w:pPr>
        <w:pStyle w:val="FootnoteText"/>
        <w:spacing w:line="240" w:lineRule="atLeast"/>
        <w:ind w:left="284" w:hanging="284"/>
        <w:rPr>
          <w:rFonts w:cs="Arial"/>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MSC.112 (73), приет на 1 декември 2000 г. — Преразгледани стандарти за работата на бордови приемници за Глобалната система за позициониране (GPS) [„Revised Performance Standards for Shipborne Global Positioning System (GPS) Receiver Equipment“].</w:t>
      </w:r>
    </w:p>
  </w:footnote>
  <w:footnote w:id="55">
    <w:p w:rsidR="002B712C" w:rsidRPr="00D51D54" w:rsidRDefault="002B712C" w:rsidP="001077F3">
      <w:pPr>
        <w:pStyle w:val="FootnoteText"/>
        <w:spacing w:line="240" w:lineRule="atLeast"/>
        <w:ind w:left="284" w:hanging="284"/>
        <w:rPr>
          <w:rFonts w:cs="Arial"/>
          <w:lang w:val="bg-BG"/>
        </w:rPr>
      </w:pPr>
      <w:r w:rsidRPr="00D51D54">
        <w:rPr>
          <w:rStyle w:val="FootnoteReference"/>
          <w:lang w:val="bg-BG"/>
        </w:rPr>
        <w:footnoteRef/>
      </w:r>
      <w:r w:rsidRPr="00D51D54">
        <w:rPr>
          <w:vertAlign w:val="superscript"/>
          <w:lang w:val="bg-BG"/>
        </w:rPr>
        <w:t xml:space="preserve"> </w:t>
      </w:r>
      <w:r w:rsidRPr="00D51D54">
        <w:rPr>
          <w:lang w:val="bg-BG"/>
        </w:rPr>
        <w:tab/>
      </w:r>
      <w:r w:rsidRPr="00D51D54">
        <w:rPr>
          <w:sz w:val="16"/>
          <w:lang w:val="bg-BG"/>
        </w:rPr>
        <w:t>MSC.114(73), приет на 1 декември 2000 г. — Преразгледани стандарти за работата на бордови приемници на сигнали от морски радиомаяци DGPS и DGLONASS [„Revised Performance Standards for Shipborne DGPS and DGLONASS Maritime Radio Beacon Receiver Equipment“].</w:t>
      </w:r>
    </w:p>
  </w:footnote>
  <w:footnote w:id="56">
    <w:p w:rsidR="002B712C" w:rsidRPr="00D51D54" w:rsidRDefault="002B712C" w:rsidP="001077F3">
      <w:pPr>
        <w:pStyle w:val="FootnoteText"/>
        <w:spacing w:line="240" w:lineRule="atLeast"/>
        <w:ind w:left="284" w:hanging="284"/>
        <w:rPr>
          <w:rFonts w:cs="Arial"/>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MSC.233 (82), приет на 5 декември 2006 г. — Стандарти за работата на бордови приемници за системата „Галилео“ [„Performance Standards for Shipborne Galileo Receiver Equipment“].</w:t>
      </w:r>
    </w:p>
  </w:footnote>
  <w:footnote w:id="57">
    <w:p w:rsidR="002B712C" w:rsidRPr="00D51D54" w:rsidRDefault="002B712C" w:rsidP="001077F3">
      <w:pPr>
        <w:pStyle w:val="FootnoteText"/>
        <w:spacing w:line="240" w:lineRule="atLeast"/>
        <w:ind w:left="284" w:hanging="284"/>
        <w:rPr>
          <w:lang w:val="bg-BG"/>
        </w:rPr>
      </w:pPr>
      <w:r w:rsidRPr="00D51D54">
        <w:rPr>
          <w:rStyle w:val="FootnoteReference"/>
          <w:lang w:val="bg-BG"/>
        </w:rPr>
        <w:footnoteRef/>
      </w:r>
      <w:r w:rsidRPr="00D51D54">
        <w:rPr>
          <w:vertAlign w:val="superscript"/>
          <w:lang w:val="bg-BG"/>
        </w:rPr>
        <w:t xml:space="preserve"> </w:t>
      </w:r>
      <w:r w:rsidRPr="00D51D54">
        <w:rPr>
          <w:lang w:val="bg-BG"/>
        </w:rPr>
        <w:tab/>
      </w:r>
      <w:r w:rsidRPr="00D51D54">
        <w:rPr>
          <w:sz w:val="16"/>
          <w:lang w:val="bg-BG"/>
        </w:rPr>
        <w:t>MSC.116 (73), приет на 1 декември 2000 г. — Стандарти за работата на морски предавателни устройства за курсоуказване (ПУК) [„Performance Standards for marine transmitting heading devices (THDs)“].</w:t>
      </w:r>
    </w:p>
  </w:footnote>
  <w:footnote w:id="58">
    <w:p w:rsidR="002B712C" w:rsidRPr="00D51D54" w:rsidRDefault="002B712C" w:rsidP="001077F3">
      <w:pPr>
        <w:pStyle w:val="FootnoteText"/>
        <w:ind w:left="284" w:hanging="284"/>
        <w:rPr>
          <w:rFonts w:cs="Arial"/>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MSC.112 (73), приет на 1 декември 2000 г. — Преразгледани стандарти за работата на бордови приемници за Глобалната система за позициониране (GPS) [„Revised Performance Standards for Shipborne Global Positioning System (GPS) Receiver Equipment“].</w:t>
      </w:r>
    </w:p>
  </w:footnote>
  <w:footnote w:id="59">
    <w:p w:rsidR="002B712C" w:rsidRPr="00D51D54" w:rsidRDefault="002B712C" w:rsidP="001077F3">
      <w:pPr>
        <w:pStyle w:val="FootnoteText"/>
        <w:ind w:left="284" w:hanging="284"/>
        <w:rPr>
          <w:rFonts w:cs="Arial"/>
          <w:lang w:val="bg-BG"/>
        </w:rPr>
      </w:pPr>
      <w:r w:rsidRPr="00D51D54">
        <w:rPr>
          <w:rStyle w:val="FootnoteReference"/>
          <w:lang w:val="bg-BG"/>
        </w:rPr>
        <w:footnoteRef/>
      </w:r>
      <w:r w:rsidRPr="00D51D54">
        <w:rPr>
          <w:vertAlign w:val="superscript"/>
          <w:lang w:val="bg-BG"/>
        </w:rPr>
        <w:t xml:space="preserve"> </w:t>
      </w:r>
      <w:r w:rsidRPr="00D51D54">
        <w:rPr>
          <w:lang w:val="bg-BG"/>
        </w:rPr>
        <w:tab/>
      </w:r>
      <w:r w:rsidRPr="00D51D54">
        <w:rPr>
          <w:sz w:val="16"/>
          <w:lang w:val="bg-BG"/>
        </w:rPr>
        <w:t>MSC.114(73), приет на 1 декември 2000 г. — Преразгледани стандарти за работата на бордови приемници на сигнали от морски радиомаяци DGPS и DGLONASS [„Revised Performance Standards for Shipborne DGPS and DGLONASS Maritime Radio Beacon Receiver Equipment“].</w:t>
      </w:r>
    </w:p>
  </w:footnote>
  <w:footnote w:id="60">
    <w:p w:rsidR="002B712C" w:rsidRPr="00D51D54" w:rsidRDefault="002B712C" w:rsidP="001077F3">
      <w:pPr>
        <w:pStyle w:val="FootnoteText"/>
        <w:ind w:left="284" w:hanging="284"/>
        <w:rPr>
          <w:rFonts w:cs="Arial"/>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MSC.233 (82), приет на 5 декември 2006 г. — Стандарти за работата на бордови приемници за системата „Галилео“ [„Performance Standards for Shipborne Galileo Receiver Equipment“].</w:t>
      </w:r>
    </w:p>
  </w:footnote>
  <w:footnote w:id="61">
    <w:p w:rsidR="002B712C" w:rsidRPr="00D51D54" w:rsidRDefault="002B712C" w:rsidP="001077F3">
      <w:pPr>
        <w:pStyle w:val="FootnoteText"/>
        <w:ind w:left="284" w:hanging="284"/>
        <w:rPr>
          <w:lang w:val="bg-BG"/>
        </w:rPr>
      </w:pPr>
      <w:r w:rsidRPr="00D51D54">
        <w:rPr>
          <w:rStyle w:val="FootnoteReference"/>
          <w:lang w:val="bg-BG"/>
        </w:rPr>
        <w:footnoteRef/>
      </w:r>
      <w:r w:rsidRPr="00D51D54">
        <w:rPr>
          <w:vertAlign w:val="superscript"/>
          <w:lang w:val="bg-BG"/>
        </w:rPr>
        <w:t xml:space="preserve"> </w:t>
      </w:r>
      <w:r w:rsidRPr="00D51D54">
        <w:rPr>
          <w:lang w:val="bg-BG"/>
        </w:rPr>
        <w:tab/>
      </w:r>
      <w:r w:rsidRPr="00D51D54">
        <w:rPr>
          <w:sz w:val="16"/>
          <w:lang w:val="bg-BG"/>
        </w:rPr>
        <w:t>MSC.116 (73), приет на 1 декември 2000 г. — Стандарти за работата на морски предавателни устройства за курсоуказване (ПУК) [„Performance Standards for marine transmitting heading devices (THDs)“].</w:t>
      </w:r>
    </w:p>
  </w:footnote>
  <w:footnote w:id="62">
    <w:p w:rsidR="002B712C" w:rsidRPr="00D51D54" w:rsidRDefault="002B712C" w:rsidP="001705E4">
      <w:pPr>
        <w:pStyle w:val="FootnoteText"/>
        <w:ind w:left="284" w:hanging="284"/>
        <w:rPr>
          <w:sz w:val="16"/>
          <w:szCs w:val="16"/>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Поставете отметка в съответната клетка</w:t>
      </w:r>
    </w:p>
    <w:p w:rsidR="002B712C" w:rsidRPr="00D51D54" w:rsidRDefault="002B712C" w:rsidP="001705E4">
      <w:pPr>
        <w:pStyle w:val="FootnoteText"/>
        <w:ind w:left="284" w:hanging="284"/>
        <w:rPr>
          <w:lang w:val="bg-BG"/>
        </w:rPr>
      </w:pPr>
    </w:p>
  </w:footnote>
  <w:footnote w:id="63">
    <w:p w:rsidR="002B712C" w:rsidRPr="00D51D54" w:rsidRDefault="002B712C" w:rsidP="00422169">
      <w:pPr>
        <w:ind w:left="284" w:hanging="284"/>
        <w:rPr>
          <w:sz w:val="18"/>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Референтен номер на информационния документ, определен от компетентния орган.</w:t>
      </w:r>
    </w:p>
  </w:footnote>
  <w:footnote w:id="64">
    <w:p w:rsidR="002B712C" w:rsidRPr="00D51D54" w:rsidRDefault="002B712C" w:rsidP="009C13A9">
      <w:pPr>
        <w:pStyle w:val="FootnoteText"/>
        <w:ind w:left="284" w:hanging="284"/>
        <w:rPr>
          <w:sz w:val="16"/>
          <w:szCs w:val="16"/>
          <w:lang w:val="bg-BG"/>
        </w:rPr>
      </w:pPr>
      <w:r w:rsidRPr="00D51D54">
        <w:rPr>
          <w:rStyle w:val="FootnoteReference"/>
          <w:sz w:val="16"/>
          <w:lang w:val="bg-BG"/>
        </w:rPr>
        <w:footnoteRef/>
      </w:r>
      <w:r w:rsidRPr="00D51D54">
        <w:rPr>
          <w:sz w:val="16"/>
          <w:lang w:val="bg-BG"/>
        </w:rPr>
        <w:t xml:space="preserve"> </w:t>
      </w:r>
      <w:r w:rsidRPr="00D51D54">
        <w:rPr>
          <w:lang w:val="bg-BG"/>
        </w:rPr>
        <w:tab/>
      </w:r>
      <w:r w:rsidRPr="00D51D54">
        <w:rPr>
          <w:sz w:val="16"/>
          <w:lang w:val="bg-BG"/>
        </w:rPr>
        <w:t>Работни етапи</w:t>
      </w:r>
    </w:p>
    <w:p w:rsidR="002B712C" w:rsidRPr="00D51D54" w:rsidRDefault="002B712C" w:rsidP="009C13A9">
      <w:pPr>
        <w:pStyle w:val="FootnoteText"/>
        <w:ind w:left="284"/>
        <w:rPr>
          <w:sz w:val="16"/>
          <w:szCs w:val="16"/>
          <w:lang w:val="bg-BG"/>
        </w:rPr>
      </w:pPr>
      <w:r w:rsidRPr="00D51D54">
        <w:rPr>
          <w:sz w:val="16"/>
          <w:lang w:val="bg-BG"/>
        </w:rPr>
        <w:t>Следните работни етапи трябва да бъдат дефинирани за изпитване:</w:t>
      </w:r>
    </w:p>
    <w:p w:rsidR="002B712C" w:rsidRPr="00D51D54" w:rsidRDefault="002B712C" w:rsidP="009C13A9">
      <w:pPr>
        <w:pStyle w:val="FootnoteText"/>
        <w:ind w:left="709"/>
        <w:rPr>
          <w:sz w:val="16"/>
          <w:szCs w:val="16"/>
          <w:lang w:val="bg-BG"/>
        </w:rPr>
      </w:pPr>
      <w:r w:rsidRPr="00D51D54">
        <w:rPr>
          <w:sz w:val="16"/>
          <w:lang w:val="bg-BG"/>
        </w:rPr>
        <w:t>a)</w:t>
      </w:r>
      <w:r w:rsidRPr="00D51D54">
        <w:rPr>
          <w:lang w:val="bg-BG"/>
        </w:rPr>
        <w:tab/>
      </w:r>
      <w:r w:rsidRPr="00D51D54">
        <w:rPr>
          <w:sz w:val="16"/>
          <w:lang w:val="bg-BG"/>
        </w:rPr>
        <w:t xml:space="preserve">работа в режим на готовност е случаят, в който бордовата станция за пречистване на отпадъчни води работи, но не са били подавани отпадъчни води в продължение на повече от един ден. Дадена бордова станция за пречистване на отпадъчни води може да бъде в режим на готовност, когато например пътническият плавателен съд не е в експлоатация за продължителен период и остава на стоянка. </w:t>
      </w:r>
    </w:p>
    <w:p w:rsidR="002B712C" w:rsidRPr="00D51D54" w:rsidRDefault="002B712C" w:rsidP="009C13A9">
      <w:pPr>
        <w:pStyle w:val="FootnoteText"/>
        <w:ind w:left="709"/>
        <w:rPr>
          <w:sz w:val="16"/>
          <w:szCs w:val="16"/>
          <w:lang w:val="bg-BG"/>
        </w:rPr>
      </w:pPr>
      <w:r w:rsidRPr="00D51D54">
        <w:rPr>
          <w:sz w:val="16"/>
          <w:lang w:val="bg-BG"/>
        </w:rPr>
        <w:t>б)</w:t>
      </w:r>
      <w:r w:rsidRPr="00D51D54">
        <w:rPr>
          <w:lang w:val="bg-BG"/>
        </w:rPr>
        <w:tab/>
      </w:r>
      <w:r w:rsidRPr="00D51D54">
        <w:rPr>
          <w:sz w:val="16"/>
          <w:lang w:val="bg-BG"/>
        </w:rPr>
        <w:t>работа в авариен режим е случаят, когато отделни възли на бордова станция за пречистване на отпадъчни води са излезли от строя, така че отпадъчните води не могат да бъдат пречиствани, както е предвидено.</w:t>
      </w:r>
    </w:p>
    <w:p w:rsidR="002B712C" w:rsidRPr="00D51D54" w:rsidRDefault="002B712C" w:rsidP="009C13A9">
      <w:pPr>
        <w:pStyle w:val="FootnoteText"/>
        <w:ind w:left="709"/>
        <w:rPr>
          <w:sz w:val="16"/>
          <w:szCs w:val="16"/>
          <w:lang w:val="bg-BG"/>
        </w:rPr>
      </w:pPr>
      <w:r w:rsidRPr="00D51D54">
        <w:rPr>
          <w:sz w:val="16"/>
          <w:lang w:val="bg-BG"/>
        </w:rPr>
        <w:t>в)</w:t>
      </w:r>
      <w:r w:rsidRPr="00D51D54">
        <w:rPr>
          <w:lang w:val="bg-BG"/>
        </w:rPr>
        <w:tab/>
      </w:r>
      <w:r w:rsidRPr="00D51D54">
        <w:rPr>
          <w:sz w:val="16"/>
          <w:lang w:val="bg-BG"/>
        </w:rPr>
        <w:t>действие по спиране, престой и пускане е случаят, когато бордова станция за пречистване на отпадъчни води се извежда от експлоатация за продължителен период от време (зимна стоянка) и захранването се изключва или когато бордовата станция за пречистване на отпадъчни води се пуска отново в началото на сезона.</w:t>
      </w:r>
    </w:p>
    <w:p w:rsidR="002B712C" w:rsidRPr="00D51D54" w:rsidRDefault="002B712C" w:rsidP="009C13A9">
      <w:pPr>
        <w:pStyle w:val="FootnoteText"/>
        <w:rPr>
          <w:sz w:val="14"/>
          <w:lang w:val="bg-BG"/>
        </w:rPr>
      </w:pPr>
    </w:p>
  </w:footnote>
  <w:footnote w:id="65">
    <w:p w:rsidR="002B712C" w:rsidRPr="00D51D54" w:rsidRDefault="002B712C" w:rsidP="00684B1D">
      <w:pPr>
        <w:pStyle w:val="FootnoteText"/>
        <w:ind w:left="284" w:hanging="284"/>
        <w:rPr>
          <w:lang w:val="bg-BG"/>
        </w:rPr>
      </w:pPr>
      <w:r w:rsidRPr="00D51D54">
        <w:rPr>
          <w:rStyle w:val="FootnoteReference"/>
          <w:lang w:val="bg-BG"/>
        </w:rPr>
        <w:footnoteRef/>
      </w:r>
      <w:r w:rsidRPr="00D51D54">
        <w:rPr>
          <w:lang w:val="bg-BG"/>
        </w:rPr>
        <w:t xml:space="preserve"> </w:t>
      </w:r>
      <w:r w:rsidRPr="00D51D54">
        <w:rPr>
          <w:lang w:val="bg-BG"/>
        </w:rPr>
        <w:tab/>
        <w:t>У</w:t>
      </w:r>
      <w:r w:rsidRPr="00D51D54">
        <w:rPr>
          <w:sz w:val="16"/>
          <w:lang w:val="bg-BG"/>
        </w:rPr>
        <w:t>казва се според случая.</w:t>
      </w:r>
    </w:p>
  </w:footnote>
  <w:footnote w:id="66">
    <w:p w:rsidR="002B712C" w:rsidRPr="00D51D54" w:rsidRDefault="002B712C" w:rsidP="009C13A9">
      <w:pPr>
        <w:pStyle w:val="FootnoteText"/>
        <w:ind w:left="284" w:hanging="284"/>
        <w:rPr>
          <w:sz w:val="16"/>
          <w:szCs w:val="16"/>
          <w:lang w:val="bg-BG"/>
        </w:rPr>
      </w:pPr>
      <w:r w:rsidRPr="00D51D54">
        <w:rPr>
          <w:rStyle w:val="FootnoteReference"/>
          <w:lang w:val="bg-BG"/>
        </w:rPr>
        <w:footnoteRef/>
      </w:r>
      <w:r w:rsidRPr="00D51D54">
        <w:rPr>
          <w:lang w:val="bg-BG"/>
        </w:rPr>
        <w:tab/>
      </w:r>
      <w:r w:rsidRPr="00D51D54">
        <w:rPr>
          <w:sz w:val="16"/>
          <w:lang w:val="bg-BG"/>
        </w:rPr>
        <w:t>Указва се според случая.</w:t>
      </w:r>
    </w:p>
  </w:footnote>
  <w:footnote w:id="67">
    <w:p w:rsidR="002B712C" w:rsidRPr="00D51D54" w:rsidRDefault="002B712C" w:rsidP="009C13A9">
      <w:pPr>
        <w:pStyle w:val="FootnoteText"/>
        <w:ind w:left="284" w:hanging="284"/>
        <w:rPr>
          <w:sz w:val="16"/>
          <w:lang w:val="bg-BG"/>
        </w:rPr>
      </w:pPr>
      <w:r w:rsidRPr="00D51D54">
        <w:rPr>
          <w:rStyle w:val="FootnoteReference"/>
          <w:lang w:val="bg-BG"/>
        </w:rPr>
        <w:footnoteRef/>
      </w:r>
      <w:r w:rsidRPr="00D51D54">
        <w:rPr>
          <w:lang w:val="bg-BG"/>
        </w:rPr>
        <w:tab/>
      </w:r>
      <w:r w:rsidRPr="00D51D54">
        <w:rPr>
          <w:sz w:val="16"/>
          <w:lang w:val="bg-BG"/>
        </w:rPr>
        <w:t>В случай че изпитванията се извършват от компетентния орган, отбележете „неотносимо“.</w:t>
      </w:r>
    </w:p>
  </w:footnote>
  <w:footnote w:id="68">
    <w:p w:rsidR="002B712C" w:rsidRPr="00D51D54" w:rsidRDefault="002B712C" w:rsidP="009C13A9">
      <w:pPr>
        <w:pStyle w:val="FootnoteText"/>
        <w:ind w:left="284" w:hanging="284"/>
        <w:rPr>
          <w:sz w:val="16"/>
          <w:lang w:val="bg-BG"/>
        </w:rPr>
      </w:pPr>
      <w:r w:rsidRPr="00D51D54">
        <w:rPr>
          <w:rStyle w:val="FootnoteReference"/>
          <w:lang w:val="bg-BG"/>
        </w:rPr>
        <w:footnoteRef/>
      </w:r>
      <w:r w:rsidRPr="00D51D54">
        <w:rPr>
          <w:lang w:val="bg-BG"/>
        </w:rPr>
        <w:tab/>
      </w:r>
      <w:r w:rsidRPr="00D51D54">
        <w:rPr>
          <w:sz w:val="16"/>
          <w:lang w:val="bg-BG"/>
        </w:rPr>
        <w:t>Указва се според случая.</w:t>
      </w:r>
    </w:p>
  </w:footnote>
  <w:footnote w:id="69">
    <w:p w:rsidR="002B712C" w:rsidRPr="00D51D54" w:rsidRDefault="002B712C" w:rsidP="009C13A9">
      <w:pPr>
        <w:pStyle w:val="FootnoteText"/>
        <w:ind w:left="284" w:hanging="284"/>
        <w:rPr>
          <w:sz w:val="16"/>
          <w:lang w:val="bg-BG"/>
        </w:rPr>
      </w:pPr>
      <w:r w:rsidRPr="00D51D54">
        <w:rPr>
          <w:rStyle w:val="FootnoteReference"/>
          <w:lang w:val="bg-BG"/>
        </w:rPr>
        <w:footnoteRef/>
      </w:r>
      <w:r w:rsidRPr="00D51D54">
        <w:rPr>
          <w:lang w:val="bg-BG"/>
        </w:rPr>
        <w:tab/>
      </w:r>
      <w:r w:rsidRPr="00D51D54">
        <w:rPr>
          <w:sz w:val="16"/>
          <w:lang w:val="bg-BG"/>
        </w:rPr>
        <w:t>В случай на повече изпитвателни цикли посочете за всеки цикъл.</w:t>
      </w:r>
    </w:p>
  </w:footnote>
  <w:footnote w:id="70">
    <w:p w:rsidR="002B712C" w:rsidRPr="00D51D54" w:rsidRDefault="002B712C" w:rsidP="00BE2EE8">
      <w:pPr>
        <w:pStyle w:val="FootnoteText"/>
        <w:ind w:left="284" w:hanging="284"/>
        <w:rPr>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Съгласно удостоверението за одобрение на типа</w:t>
      </w:r>
    </w:p>
  </w:footnote>
  <w:footnote w:id="71">
    <w:p w:rsidR="002B712C" w:rsidRPr="00D51D54" w:rsidRDefault="002B712C" w:rsidP="00BE2EE8">
      <w:pPr>
        <w:pStyle w:val="FootnoteText"/>
        <w:ind w:left="284" w:hanging="284"/>
        <w:rPr>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Указва се според случая</w:t>
      </w:r>
    </w:p>
  </w:footnote>
  <w:footnote w:id="72">
    <w:p w:rsidR="002B712C" w:rsidRPr="00D51D54" w:rsidRDefault="002B712C" w:rsidP="009C13A9">
      <w:pPr>
        <w:pStyle w:val="FootnoteText"/>
        <w:ind w:left="284" w:hanging="284"/>
        <w:rPr>
          <w:sz w:val="16"/>
          <w:szCs w:val="16"/>
          <w:lang w:val="bg-BG"/>
        </w:rPr>
      </w:pPr>
      <w:r w:rsidRPr="00D51D54">
        <w:rPr>
          <w:rStyle w:val="FootnoteReference"/>
          <w:lang w:val="bg-BG"/>
        </w:rPr>
        <w:footnoteRef/>
      </w:r>
      <w:r w:rsidRPr="00D51D54">
        <w:rPr>
          <w:lang w:val="bg-BG"/>
        </w:rPr>
        <w:tab/>
      </w:r>
      <w:r w:rsidRPr="00D51D54">
        <w:rPr>
          <w:sz w:val="16"/>
          <w:lang w:val="bg-BG"/>
        </w:rPr>
        <w:t>Допълва се от изпитващото лице</w:t>
      </w:r>
    </w:p>
  </w:footnote>
  <w:footnote w:id="73">
    <w:p w:rsidR="002B712C" w:rsidRPr="00D51D54" w:rsidRDefault="002B712C" w:rsidP="009C13A9">
      <w:pPr>
        <w:pStyle w:val="FootnoteText"/>
        <w:ind w:left="284" w:hanging="284"/>
        <w:rPr>
          <w:sz w:val="16"/>
          <w:szCs w:val="16"/>
          <w:lang w:val="bg-BG"/>
        </w:rPr>
      </w:pPr>
      <w:r w:rsidRPr="00D51D54">
        <w:rPr>
          <w:rStyle w:val="FootnoteReference"/>
          <w:lang w:val="bg-BG"/>
        </w:rPr>
        <w:footnoteRef/>
      </w:r>
      <w:r w:rsidRPr="00D51D54">
        <w:rPr>
          <w:lang w:val="bg-BG"/>
        </w:rPr>
        <w:tab/>
      </w:r>
      <w:r w:rsidRPr="00D51D54">
        <w:rPr>
          <w:sz w:val="16"/>
          <w:lang w:val="bg-BG"/>
        </w:rPr>
        <w:t>Указва се според случая.</w:t>
      </w:r>
    </w:p>
  </w:footnote>
  <w:footnote w:id="74">
    <w:p w:rsidR="002B712C" w:rsidRPr="00D51D54" w:rsidRDefault="002B712C" w:rsidP="009C13A9">
      <w:pPr>
        <w:pStyle w:val="FootnoteText"/>
        <w:ind w:left="284" w:hanging="284"/>
        <w:rPr>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Указва се според случая.</w:t>
      </w:r>
    </w:p>
  </w:footnote>
  <w:footnote w:id="75">
    <w:p w:rsidR="002B712C" w:rsidRPr="00D51D54" w:rsidRDefault="002B712C" w:rsidP="009C13A9">
      <w:pPr>
        <w:pStyle w:val="FootnoteText"/>
        <w:ind w:left="284" w:hanging="284"/>
        <w:rPr>
          <w:sz w:val="18"/>
          <w:szCs w:val="18"/>
          <w:lang w:val="bg-BG"/>
        </w:rPr>
      </w:pPr>
      <w:r w:rsidRPr="00D51D54">
        <w:rPr>
          <w:sz w:val="18"/>
          <w:vertAlign w:val="superscript"/>
          <w:lang w:val="bg-BG"/>
        </w:rPr>
        <w:t>(</w:t>
      </w:r>
      <w:r w:rsidRPr="00D51D54">
        <w:rPr>
          <w:rStyle w:val="Caractresdenotedebasdepage"/>
          <w:sz w:val="18"/>
          <w:lang w:val="bg-BG"/>
        </w:rPr>
        <w:footnoteRef/>
      </w:r>
      <w:r w:rsidRPr="00D51D54">
        <w:rPr>
          <w:sz w:val="18"/>
          <w:vertAlign w:val="superscript"/>
          <w:lang w:val="bg-BG"/>
        </w:rPr>
        <w:t>)</w:t>
      </w:r>
      <w:r w:rsidRPr="00D51D54">
        <w:rPr>
          <w:lang w:val="bg-BG"/>
        </w:rPr>
        <w:tab/>
      </w:r>
      <w:r w:rsidRPr="00D51D54">
        <w:rPr>
          <w:sz w:val="16"/>
          <w:lang w:val="bg-BG"/>
        </w:rPr>
        <w:t>ОСОВ ще бъде следено от етап II на максималните стойности от таблица 2, в член 18.01, точка 2.</w:t>
      </w:r>
    </w:p>
  </w:footnote>
  <w:footnote w:id="76">
    <w:p w:rsidR="002B712C" w:rsidRPr="00D51D54" w:rsidRDefault="002B712C" w:rsidP="009C13A9">
      <w:pPr>
        <w:pStyle w:val="FootnoteText"/>
        <w:ind w:left="284" w:hanging="284"/>
        <w:rPr>
          <w:sz w:val="16"/>
          <w:szCs w:val="18"/>
          <w:lang w:val="bg-BG"/>
        </w:rPr>
      </w:pPr>
      <w:r w:rsidRPr="00D51D54">
        <w:rPr>
          <w:sz w:val="18"/>
          <w:vertAlign w:val="superscript"/>
          <w:lang w:val="bg-BG"/>
        </w:rPr>
        <w:t>(</w:t>
      </w:r>
      <w:r w:rsidRPr="00D51D54">
        <w:rPr>
          <w:rStyle w:val="Caractresdenotedebasdepage"/>
          <w:sz w:val="18"/>
          <w:lang w:val="bg-BG"/>
        </w:rPr>
        <w:footnoteRef/>
      </w:r>
      <w:r w:rsidRPr="00D51D54">
        <w:rPr>
          <w:sz w:val="18"/>
          <w:vertAlign w:val="superscript"/>
          <w:lang w:val="bg-BG"/>
        </w:rPr>
        <w:t>)</w:t>
      </w:r>
      <w:r w:rsidRPr="00D51D54">
        <w:rPr>
          <w:lang w:val="bg-BG"/>
        </w:rPr>
        <w:tab/>
      </w:r>
      <w:r w:rsidRPr="00D51D54">
        <w:rPr>
          <w:sz w:val="16"/>
          <w:lang w:val="bg-BG"/>
        </w:rPr>
        <w:t>ОСОВ ще бъде следено от етап II на максималните стойности от таблица 2, в член 18.01, точка 2.</w:t>
      </w:r>
    </w:p>
  </w:footnote>
  <w:footnote w:id="77">
    <w:p w:rsidR="002B712C" w:rsidRPr="00D51D54" w:rsidRDefault="002B712C" w:rsidP="004F47BB">
      <w:pPr>
        <w:pStyle w:val="FootnoteText"/>
        <w:ind w:left="284" w:hanging="284"/>
        <w:rPr>
          <w:lang w:val="bg-BG"/>
        </w:rPr>
      </w:pPr>
      <w:r w:rsidRPr="00D51D54">
        <w:rPr>
          <w:rStyle w:val="FootnoteReference"/>
          <w:lang w:val="bg-BG"/>
        </w:rPr>
        <w:t>(*)</w:t>
      </w:r>
      <w:r w:rsidRPr="00D51D54">
        <w:rPr>
          <w:lang w:val="bg-BG"/>
        </w:rPr>
        <w:t xml:space="preserve"> </w:t>
      </w:r>
      <w:r w:rsidRPr="00D51D54">
        <w:rPr>
          <w:lang w:val="bg-BG"/>
        </w:rPr>
        <w:tab/>
      </w:r>
      <w:r w:rsidRPr="00D51D54">
        <w:rPr>
          <w:sz w:val="16"/>
          <w:lang w:val="bg-BG"/>
        </w:rPr>
        <w:t>Ненужното се зачерква.</w:t>
      </w:r>
    </w:p>
  </w:footnote>
  <w:footnote w:id="78">
    <w:p w:rsidR="002B712C" w:rsidRPr="00D51D54" w:rsidRDefault="002B712C" w:rsidP="004F47BB">
      <w:pPr>
        <w:pStyle w:val="FootnoteText"/>
        <w:ind w:left="284" w:hanging="284"/>
        <w:rPr>
          <w:sz w:val="16"/>
          <w:lang w:val="bg-BG"/>
        </w:rPr>
      </w:pPr>
      <w:r w:rsidRPr="00D51D54">
        <w:rPr>
          <w:rStyle w:val="FootnoteReference"/>
          <w:lang w:val="bg-BG"/>
        </w:rPr>
        <w:footnoteRef/>
      </w:r>
      <w:r w:rsidRPr="00D51D54">
        <w:rPr>
          <w:lang w:val="bg-BG"/>
        </w:rPr>
        <w:tab/>
      </w:r>
      <w:r w:rsidRPr="00D51D54">
        <w:rPr>
          <w:sz w:val="16"/>
          <w:lang w:val="bg-BG"/>
        </w:rPr>
        <w:t>Ненужното се зачерква.</w:t>
      </w:r>
    </w:p>
  </w:footnote>
  <w:footnote w:id="79">
    <w:p w:rsidR="002B712C" w:rsidRPr="00D51D54" w:rsidRDefault="002B712C" w:rsidP="004F47BB">
      <w:pPr>
        <w:pStyle w:val="FootnoteText"/>
        <w:tabs>
          <w:tab w:val="left" w:pos="284"/>
        </w:tabs>
        <w:rPr>
          <w:lang w:val="bg-BG"/>
        </w:rPr>
      </w:pPr>
      <w:r w:rsidRPr="00D51D54">
        <w:rPr>
          <w:rStyle w:val="FootnoteReference"/>
          <w:lang w:val="bg-BG"/>
        </w:rPr>
        <w:t>*)</w:t>
      </w:r>
      <w:r w:rsidRPr="00D51D54">
        <w:rPr>
          <w:lang w:val="bg-BG"/>
        </w:rPr>
        <w:t xml:space="preserve"> </w:t>
      </w:r>
      <w:r w:rsidRPr="00D51D54">
        <w:rPr>
          <w:lang w:val="bg-BG"/>
        </w:rPr>
        <w:tab/>
      </w:r>
      <w:r w:rsidRPr="00D51D54">
        <w:rPr>
          <w:sz w:val="16"/>
          <w:lang w:val="bg-BG"/>
        </w:rPr>
        <w:t>Ненужното се зачерква</w:t>
      </w:r>
    </w:p>
  </w:footnote>
  <w:footnote w:id="80">
    <w:p w:rsidR="002B712C" w:rsidRPr="00D51D54" w:rsidRDefault="002B712C" w:rsidP="004F47BB">
      <w:pPr>
        <w:pStyle w:val="FootnoteText"/>
        <w:tabs>
          <w:tab w:val="left" w:pos="284"/>
        </w:tabs>
        <w:rPr>
          <w:lang w:val="bg-BG"/>
        </w:rPr>
      </w:pPr>
      <w:r w:rsidRPr="00D51D54">
        <w:rPr>
          <w:rStyle w:val="FootnoteReference"/>
          <w:lang w:val="bg-BG"/>
        </w:rPr>
        <w:t>*)</w:t>
      </w:r>
      <w:r w:rsidRPr="00D51D54">
        <w:rPr>
          <w:lang w:val="bg-BG"/>
        </w:rPr>
        <w:t xml:space="preserve"> </w:t>
      </w:r>
      <w:r w:rsidRPr="00D51D54">
        <w:rPr>
          <w:lang w:val="bg-BG"/>
        </w:rPr>
        <w:tab/>
      </w:r>
      <w:r w:rsidRPr="00D51D54">
        <w:rPr>
          <w:sz w:val="16"/>
          <w:lang w:val="bg-BG"/>
        </w:rPr>
        <w:t>Ненужното се зачерква</w:t>
      </w:r>
    </w:p>
  </w:footnote>
  <w:footnote w:id="81">
    <w:p w:rsidR="002B712C" w:rsidRPr="00D51D54" w:rsidRDefault="002B712C" w:rsidP="004F47BB">
      <w:pPr>
        <w:pStyle w:val="FootnoteText"/>
        <w:ind w:left="284" w:hanging="284"/>
        <w:rPr>
          <w:lang w:val="bg-BG"/>
        </w:rPr>
      </w:pPr>
      <w:r w:rsidRPr="00D51D54">
        <w:rPr>
          <w:rStyle w:val="FootnoteReference"/>
          <w:lang w:val="bg-BG"/>
        </w:rPr>
        <w:t>*)</w:t>
      </w:r>
      <w:r w:rsidRPr="00D51D54">
        <w:rPr>
          <w:lang w:val="bg-BG"/>
        </w:rPr>
        <w:t xml:space="preserve"> </w:t>
      </w:r>
      <w:r w:rsidRPr="00D51D54">
        <w:rPr>
          <w:lang w:val="bg-BG"/>
        </w:rPr>
        <w:tab/>
      </w:r>
      <w:r w:rsidRPr="00D51D54">
        <w:rPr>
          <w:sz w:val="16"/>
          <w:lang w:val="bg-BG"/>
        </w:rPr>
        <w:t>Ненужното се зачерква</w:t>
      </w:r>
    </w:p>
  </w:footnote>
  <w:footnote w:id="82">
    <w:p w:rsidR="002B712C" w:rsidRPr="00D51D54" w:rsidRDefault="002B712C" w:rsidP="004F47BB">
      <w:pPr>
        <w:pStyle w:val="FootnoteText"/>
        <w:tabs>
          <w:tab w:val="left" w:pos="284"/>
        </w:tabs>
        <w:rPr>
          <w:lang w:val="bg-BG"/>
        </w:rPr>
      </w:pPr>
      <w:r w:rsidRPr="00D51D54">
        <w:rPr>
          <w:rStyle w:val="FootnoteReference"/>
          <w:lang w:val="bg-BG"/>
        </w:rPr>
        <w:footnoteRef/>
      </w:r>
      <w:r w:rsidRPr="00D51D54">
        <w:rPr>
          <w:lang w:val="bg-BG"/>
        </w:rPr>
        <w:t xml:space="preserve"> </w:t>
      </w:r>
      <w:r w:rsidRPr="00D51D54">
        <w:rPr>
          <w:lang w:val="bg-BG"/>
        </w:rPr>
        <w:tab/>
      </w:r>
      <w:r w:rsidRPr="00D51D54">
        <w:rPr>
          <w:sz w:val="16"/>
          <w:lang w:val="bg-BG"/>
        </w:rPr>
        <w:t>Ненужното се зачерква</w:t>
      </w:r>
    </w:p>
  </w:footnote>
  <w:footnote w:id="83">
    <w:p w:rsidR="002B712C" w:rsidRPr="00D51D54" w:rsidRDefault="002B712C" w:rsidP="005A25B4">
      <w:pPr>
        <w:pStyle w:val="FootnoteText"/>
        <w:ind w:left="284" w:hanging="284"/>
        <w:rPr>
          <w:rFonts w:cs="Arial"/>
          <w:sz w:val="16"/>
          <w:szCs w:val="16"/>
          <w:lang w:val="bg-BG"/>
        </w:rPr>
      </w:pPr>
      <w:r w:rsidRPr="00D51D54">
        <w:rPr>
          <w:rStyle w:val="FootnoteReference"/>
          <w:sz w:val="18"/>
          <w:lang w:val="bg-BG"/>
        </w:rPr>
        <w:footnoteRef/>
      </w:r>
      <w:r w:rsidRPr="00D51D54">
        <w:rPr>
          <w:sz w:val="18"/>
          <w:lang w:val="bg-BG"/>
        </w:rPr>
        <w:t xml:space="preserve"> </w:t>
      </w:r>
      <w:r w:rsidRPr="00D51D54">
        <w:rPr>
          <w:lang w:val="bg-BG"/>
        </w:rPr>
        <w:tab/>
      </w:r>
      <w:r w:rsidRPr="00D51D54">
        <w:rPr>
          <w:sz w:val="16"/>
          <w:lang w:val="bg-BG"/>
        </w:rPr>
        <w:t>Директива 2009/45/ЕО на Европейския парламент и на Съвета от 6 май 2009 година за правилата за безопасност и стандартите за пътническите кораби (ОВ L 163, 25.6.2009 г.)</w:t>
      </w:r>
    </w:p>
  </w:footnote>
  <w:footnote w:id="84">
    <w:p w:rsidR="002B712C" w:rsidRPr="00D51D54" w:rsidRDefault="002B712C" w:rsidP="005A25B4">
      <w:pPr>
        <w:pStyle w:val="FootnoteText"/>
        <w:ind w:left="284" w:hanging="284"/>
        <w:rPr>
          <w:rFonts w:cs="Arial"/>
          <w:sz w:val="16"/>
          <w:szCs w:val="16"/>
          <w:lang w:val="bg-BG"/>
        </w:rPr>
      </w:pPr>
      <w:r w:rsidRPr="00D51D54">
        <w:rPr>
          <w:rStyle w:val="FootnoteReference"/>
          <w:sz w:val="18"/>
          <w:lang w:val="bg-BG"/>
        </w:rPr>
        <w:footnoteRef/>
      </w:r>
      <w:r w:rsidRPr="00D51D54">
        <w:rPr>
          <w:sz w:val="18"/>
          <w:lang w:val="bg-BG"/>
        </w:rPr>
        <w:t xml:space="preserve"> </w:t>
      </w:r>
      <w:r w:rsidRPr="00D51D54">
        <w:rPr>
          <w:lang w:val="bg-BG"/>
        </w:rPr>
        <w:tab/>
      </w:r>
      <w:r w:rsidRPr="00D51D54">
        <w:rPr>
          <w:sz w:val="16"/>
          <w:lang w:val="bg-BG"/>
        </w:rPr>
        <w:t>Насоки за пътническите плавателни съдове, които са също подходящи за превоз на лица с намалена подвижност — Икономическата комисия за Европа на ООН, Комитет по вътрешен транспорт, Работната група за вътрешноводния транспорт“ — приети на 15 октомври 2010 г.</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Default="002B712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9072DA" w:rsidRDefault="002B712C" w:rsidP="00226A59">
    <w:pPr>
      <w:widowControl w:val="0"/>
      <w:rPr>
        <w:sz w:val="16"/>
        <w:szCs w:val="16"/>
        <w:lang w:val="bg-BG"/>
      </w:rPr>
    </w:pPr>
    <w:r w:rsidRPr="009072DA">
      <w:rPr>
        <w:sz w:val="16"/>
        <w:lang w:val="bg-BG"/>
      </w:rPr>
      <w:t>Европейски комитет за изготвяне на стандарти за корабоплаване по вътрешните водни пътища (CESNI)</w:t>
    </w:r>
  </w:p>
  <w:p w:rsidR="002B712C" w:rsidRPr="009072DA" w:rsidRDefault="002B712C" w:rsidP="00226A59">
    <w:pPr>
      <w:widowControl w:val="0"/>
      <w:pBdr>
        <w:bottom w:val="single" w:sz="6" w:space="1" w:color="auto"/>
      </w:pBdr>
      <w:tabs>
        <w:tab w:val="right" w:pos="9070"/>
        <w:tab w:val="right" w:pos="14034"/>
      </w:tabs>
      <w:rPr>
        <w:sz w:val="16"/>
        <w:szCs w:val="16"/>
        <w:lang w:val="bg-BG"/>
      </w:rPr>
    </w:pPr>
    <w:r w:rsidRPr="009072DA">
      <w:rPr>
        <w:sz w:val="16"/>
        <w:lang w:val="bg-BG"/>
      </w:rPr>
      <w:t xml:space="preserve">Европейски стандарт за определяне на технически изисквания </w:t>
    </w:r>
  </w:p>
  <w:p w:rsidR="002B712C" w:rsidRPr="009072DA" w:rsidRDefault="002B712C" w:rsidP="00226A59">
    <w:pPr>
      <w:widowControl w:val="0"/>
      <w:pBdr>
        <w:bottom w:val="single" w:sz="6" w:space="1" w:color="auto"/>
      </w:pBdr>
      <w:tabs>
        <w:tab w:val="right" w:pos="9070"/>
        <w:tab w:val="right" w:pos="14034"/>
      </w:tabs>
      <w:rPr>
        <w:sz w:val="16"/>
        <w:szCs w:val="16"/>
        <w:lang w:val="bg-BG"/>
      </w:rPr>
    </w:pPr>
    <w:r w:rsidRPr="009072DA">
      <w:rPr>
        <w:sz w:val="16"/>
        <w:lang w:val="bg-BG"/>
      </w:rPr>
      <w:t>за плавателните съдове по вътрешните водни пътища (ES-TRIN)</w:t>
    </w:r>
    <w:r w:rsidRPr="009072DA">
      <w:rPr>
        <w:lang w:val="bg-BG"/>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9072DA" w:rsidRDefault="002B712C" w:rsidP="00226A59">
    <w:pPr>
      <w:widowControl w:val="0"/>
      <w:rPr>
        <w:sz w:val="16"/>
        <w:szCs w:val="16"/>
        <w:lang w:val="bg-BG"/>
      </w:rPr>
    </w:pPr>
    <w:r w:rsidRPr="009072DA">
      <w:rPr>
        <w:sz w:val="16"/>
        <w:lang w:val="bg-BG"/>
      </w:rPr>
      <w:t>Европейски комитет за изготвяне на стандарти за корабоплаване по вътрешните водни пътища (CESNI)</w:t>
    </w:r>
  </w:p>
  <w:p w:rsidR="002B712C" w:rsidRPr="009072DA" w:rsidRDefault="002B712C" w:rsidP="00226A59">
    <w:pPr>
      <w:widowControl w:val="0"/>
      <w:pBdr>
        <w:bottom w:val="single" w:sz="6" w:space="1" w:color="auto"/>
      </w:pBdr>
      <w:tabs>
        <w:tab w:val="right" w:pos="9070"/>
        <w:tab w:val="right" w:pos="14034"/>
      </w:tabs>
      <w:rPr>
        <w:sz w:val="16"/>
        <w:szCs w:val="16"/>
        <w:lang w:val="bg-BG"/>
      </w:rPr>
    </w:pPr>
    <w:r w:rsidRPr="009072DA">
      <w:rPr>
        <w:sz w:val="16"/>
        <w:lang w:val="bg-BG"/>
      </w:rPr>
      <w:t>Европейски стандарт за определяне на технически изисквания</w:t>
    </w:r>
  </w:p>
  <w:p w:rsidR="002B712C" w:rsidRPr="009072DA" w:rsidRDefault="002B712C" w:rsidP="00226A59">
    <w:pPr>
      <w:widowControl w:val="0"/>
      <w:pBdr>
        <w:bottom w:val="single" w:sz="6" w:space="1" w:color="auto"/>
      </w:pBdr>
      <w:tabs>
        <w:tab w:val="right" w:pos="9070"/>
        <w:tab w:val="right" w:pos="14034"/>
      </w:tabs>
      <w:rPr>
        <w:sz w:val="16"/>
        <w:szCs w:val="16"/>
        <w:lang w:val="bg-BG"/>
      </w:rPr>
    </w:pPr>
    <w:r w:rsidRPr="009072DA">
      <w:rPr>
        <w:sz w:val="16"/>
        <w:lang w:val="bg-BG"/>
      </w:rPr>
      <w:t>за плавателните съдове по вътрешните водни пътища (ES-TRIN)</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9072DA" w:rsidRDefault="002B712C" w:rsidP="00226A59">
    <w:pPr>
      <w:widowControl w:val="0"/>
      <w:rPr>
        <w:sz w:val="16"/>
        <w:szCs w:val="16"/>
        <w:lang w:val="bg-BG"/>
      </w:rPr>
    </w:pPr>
    <w:r w:rsidRPr="009072DA">
      <w:rPr>
        <w:sz w:val="16"/>
        <w:lang w:val="bg-BG"/>
      </w:rPr>
      <w:t>Европейски комитет за изготвяне на стандарти за корабоплаване по вътрешните водни пътища (CESNI)</w:t>
    </w:r>
  </w:p>
  <w:p w:rsidR="002B712C" w:rsidRPr="009072DA" w:rsidRDefault="002B712C" w:rsidP="00226A59">
    <w:pPr>
      <w:widowControl w:val="0"/>
      <w:pBdr>
        <w:bottom w:val="single" w:sz="6" w:space="1" w:color="auto"/>
      </w:pBdr>
      <w:tabs>
        <w:tab w:val="right" w:pos="9070"/>
        <w:tab w:val="right" w:pos="14034"/>
      </w:tabs>
      <w:rPr>
        <w:sz w:val="16"/>
        <w:szCs w:val="16"/>
        <w:lang w:val="bg-BG"/>
      </w:rPr>
    </w:pPr>
    <w:r w:rsidRPr="009072DA">
      <w:rPr>
        <w:sz w:val="16"/>
        <w:lang w:val="bg-BG"/>
      </w:rPr>
      <w:t xml:space="preserve">Европейски стандарт за определяне на технически изисквания </w:t>
    </w:r>
  </w:p>
  <w:p w:rsidR="002B712C" w:rsidRPr="009072DA" w:rsidRDefault="002B712C" w:rsidP="00226A59">
    <w:pPr>
      <w:widowControl w:val="0"/>
      <w:pBdr>
        <w:bottom w:val="single" w:sz="6" w:space="1" w:color="auto"/>
      </w:pBdr>
      <w:tabs>
        <w:tab w:val="right" w:pos="9070"/>
        <w:tab w:val="right" w:pos="14034"/>
      </w:tabs>
      <w:rPr>
        <w:sz w:val="16"/>
        <w:szCs w:val="16"/>
        <w:lang w:val="bg-BG"/>
      </w:rPr>
    </w:pPr>
    <w:r w:rsidRPr="009072DA">
      <w:rPr>
        <w:sz w:val="16"/>
        <w:lang w:val="bg-BG"/>
      </w:rPr>
      <w:t>за плавателните съдове по вътрешните водни пътища (ES-TRIN)</w:t>
    </w:r>
    <w:r w:rsidRPr="009072DA">
      <w:rPr>
        <w:lang w:val="bg-BG"/>
      </w:rPr>
      <w:tab/>
    </w:r>
    <w:r w:rsidRPr="009072DA">
      <w:rPr>
        <w:sz w:val="16"/>
        <w:lang w:val="bg-BG"/>
      </w:rPr>
      <w:t>Съдържание</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9072DA" w:rsidRDefault="002B712C" w:rsidP="00226A59">
    <w:pPr>
      <w:widowControl w:val="0"/>
      <w:rPr>
        <w:sz w:val="16"/>
        <w:szCs w:val="16"/>
        <w:lang w:val="bg-BG"/>
      </w:rPr>
    </w:pPr>
    <w:r w:rsidRPr="009072DA">
      <w:rPr>
        <w:sz w:val="16"/>
        <w:lang w:val="bg-BG"/>
      </w:rPr>
      <w:t>Европейски комитет за изготвяне на стандарти за корабоплаване по вътрешните водни пътища (CESNI)</w:t>
    </w:r>
  </w:p>
  <w:p w:rsidR="002B712C" w:rsidRPr="009072DA" w:rsidRDefault="002B712C" w:rsidP="00226A59">
    <w:pPr>
      <w:widowControl w:val="0"/>
      <w:pBdr>
        <w:bottom w:val="single" w:sz="6" w:space="1" w:color="auto"/>
      </w:pBdr>
      <w:tabs>
        <w:tab w:val="right" w:pos="9070"/>
        <w:tab w:val="right" w:pos="14034"/>
      </w:tabs>
      <w:rPr>
        <w:sz w:val="16"/>
        <w:szCs w:val="16"/>
        <w:lang w:val="bg-BG"/>
      </w:rPr>
    </w:pPr>
    <w:r w:rsidRPr="009072DA">
      <w:rPr>
        <w:sz w:val="16"/>
        <w:lang w:val="bg-BG"/>
      </w:rPr>
      <w:t xml:space="preserve">Европейски стандарт за определяне на технически изисквания </w:t>
    </w:r>
  </w:p>
  <w:p w:rsidR="002B712C" w:rsidRPr="009072DA" w:rsidRDefault="002B712C" w:rsidP="00226A59">
    <w:pPr>
      <w:widowControl w:val="0"/>
      <w:pBdr>
        <w:bottom w:val="single" w:sz="6" w:space="1" w:color="auto"/>
      </w:pBdr>
      <w:tabs>
        <w:tab w:val="right" w:pos="9070"/>
      </w:tabs>
      <w:rPr>
        <w:sz w:val="16"/>
        <w:szCs w:val="16"/>
        <w:lang w:val="bg-BG"/>
      </w:rPr>
    </w:pPr>
    <w:r w:rsidRPr="009072DA">
      <w:rPr>
        <w:sz w:val="16"/>
        <w:lang w:val="bg-BG"/>
      </w:rPr>
      <w:t>за плавателните съдове по вътрешните водни пътища (ES-TRIN)</w:t>
    </w:r>
    <w:r w:rsidRPr="009072DA">
      <w:rPr>
        <w:lang w:val="bg-BG"/>
      </w:rPr>
      <w:tab/>
    </w:r>
    <w:r w:rsidRPr="009072DA">
      <w:rPr>
        <w:sz w:val="16"/>
        <w:lang w:val="bg-BG"/>
      </w:rPr>
      <w:t>Съдържание</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CA2865" w:rsidRDefault="002B712C" w:rsidP="004B2505">
    <w:pPr>
      <w:widowControl w:val="0"/>
      <w:pBdr>
        <w:bottom w:val="single" w:sz="4" w:space="1" w:color="auto"/>
      </w:pBdr>
      <w:tabs>
        <w:tab w:val="right" w:pos="9072"/>
      </w:tabs>
      <w:jc w:val="right"/>
      <w:rPr>
        <w:sz w:val="16"/>
        <w:szCs w:val="16"/>
      </w:rPr>
    </w:pPr>
    <w:r>
      <w:rPr>
        <w:sz w:val="16"/>
      </w:rPr>
      <w:t>ES-TRIN</w:t>
    </w:r>
    <w:r>
      <w:tab/>
    </w:r>
    <w:fldSimple w:instr=" STYLEREF  ES-Titre2  \* MERGEFORMAT ">
      <w:r w:rsidR="0052294E" w:rsidRPr="0052294E">
        <w:rPr>
          <w:noProof/>
          <w:sz w:val="16"/>
          <w:szCs w:val="16"/>
        </w:rPr>
        <w:t>Глава 2</w:t>
      </w:r>
      <w:r w:rsidR="0052294E" w:rsidRPr="0052294E">
        <w:rPr>
          <w:noProof/>
          <w:sz w:val="16"/>
          <w:szCs w:val="16"/>
        </w:rPr>
        <w:br/>
        <w:t>Процедура</w:t>
      </w:r>
    </w:fldSimple>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9A1D30" w:rsidRDefault="002B712C" w:rsidP="0010389F">
    <w:pPr>
      <w:pStyle w:val="Header"/>
      <w:pBdr>
        <w:bottom w:val="single" w:sz="4" w:space="1" w:color="auto"/>
      </w:pBdr>
      <w:tabs>
        <w:tab w:val="clear" w:pos="8306"/>
        <w:tab w:val="right" w:pos="9072"/>
      </w:tabs>
      <w:rPr>
        <w:sz w:val="16"/>
        <w:szCs w:val="16"/>
      </w:rPr>
    </w:pPr>
    <w:r>
      <w:rPr>
        <w:sz w:val="16"/>
      </w:rPr>
      <w:t>ES-TRIN</w:t>
    </w:r>
    <w:r>
      <w:tab/>
    </w:r>
    <w:r>
      <w:rPr>
        <w:sz w:val="16"/>
      </w:rPr>
      <w:t>Глава 1</w:t>
    </w:r>
  </w:p>
  <w:p w:rsidR="002B712C" w:rsidRPr="009A1D30" w:rsidRDefault="002B712C" w:rsidP="0010389F">
    <w:pPr>
      <w:pStyle w:val="Header"/>
      <w:pBdr>
        <w:bottom w:val="single" w:sz="4" w:space="1" w:color="auto"/>
      </w:pBdr>
      <w:jc w:val="right"/>
      <w:rPr>
        <w:sz w:val="16"/>
        <w:szCs w:val="16"/>
      </w:rPr>
    </w:pPr>
    <w:r>
      <w:rPr>
        <w:sz w:val="16"/>
      </w:rPr>
      <w:t>Общи положения</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7957F9" w:rsidRDefault="002B712C" w:rsidP="004B2505">
    <w:pPr>
      <w:widowControl w:val="0"/>
      <w:pBdr>
        <w:bottom w:val="single" w:sz="4" w:space="1" w:color="auto"/>
      </w:pBdr>
      <w:tabs>
        <w:tab w:val="right" w:pos="9072"/>
      </w:tabs>
      <w:jc w:val="right"/>
      <w:rPr>
        <w:rFonts w:cs="Arial"/>
        <w:sz w:val="16"/>
        <w:szCs w:val="16"/>
      </w:rPr>
    </w:pPr>
    <w:r>
      <w:rPr>
        <w:sz w:val="16"/>
      </w:rPr>
      <w:t>ES-TRIN</w:t>
    </w:r>
    <w:r>
      <w:tab/>
    </w:r>
    <w:r w:rsidRPr="007957F9">
      <w:rPr>
        <w:rFonts w:cs="Times New Roman"/>
        <w:sz w:val="16"/>
        <w:szCs w:val="16"/>
      </w:rPr>
      <w:fldChar w:fldCharType="begin"/>
    </w:r>
    <w:r w:rsidRPr="007957F9">
      <w:rPr>
        <w:sz w:val="16"/>
        <w:szCs w:val="16"/>
      </w:rPr>
      <w:instrText xml:space="preserve"> STYLEREF  ES-Titre2  \* MERGEFORMAT </w:instrText>
    </w:r>
    <w:r w:rsidRPr="007957F9">
      <w:rPr>
        <w:rFonts w:cs="Times New Roman"/>
        <w:sz w:val="16"/>
        <w:szCs w:val="16"/>
      </w:rPr>
      <w:fldChar w:fldCharType="separate"/>
    </w:r>
    <w:r w:rsidR="00B62610" w:rsidRPr="00B62610">
      <w:rPr>
        <w:rFonts w:cs="Arial"/>
        <w:noProof/>
        <w:sz w:val="16"/>
        <w:szCs w:val="16"/>
      </w:rPr>
      <w:t>Глава 31</w:t>
    </w:r>
    <w:r w:rsidR="00B62610" w:rsidRPr="00B62610">
      <w:rPr>
        <w:rFonts w:cs="Arial"/>
        <w:noProof/>
        <w:sz w:val="16"/>
        <w:szCs w:val="16"/>
      </w:rPr>
      <w:br/>
    </w:r>
    <w:r w:rsidR="00B62610">
      <w:rPr>
        <w:noProof/>
        <w:sz w:val="16"/>
        <w:szCs w:val="16"/>
      </w:rPr>
      <w:t>Специални разпоредби, приложими за плавателни съдове, които плават с минимален екипаж</w:t>
    </w:r>
    <w:r w:rsidRPr="007957F9">
      <w:rPr>
        <w:rFonts w:cs="Arial"/>
        <w:noProof/>
        <w:sz w:val="16"/>
        <w:szCs w:val="16"/>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D71B1A" w:rsidRDefault="002B712C" w:rsidP="00D71B1A">
    <w:pPr>
      <w:widowControl w:val="0"/>
      <w:pBdr>
        <w:bottom w:val="single" w:sz="6" w:space="1" w:color="auto"/>
      </w:pBdr>
      <w:tabs>
        <w:tab w:val="left" w:pos="8250"/>
        <w:tab w:val="right" w:pos="9070"/>
      </w:tabs>
      <w:rPr>
        <w:sz w:val="16"/>
        <w:szCs w:val="16"/>
      </w:rPr>
    </w:pPr>
    <w:r>
      <w:rPr>
        <w:sz w:val="16"/>
      </w:rPr>
      <w:t>ES-TRIN</w:t>
    </w:r>
    <w:r>
      <w:tab/>
    </w:r>
    <w:r>
      <w:rPr>
        <w:sz w:val="16"/>
      </w:rPr>
      <w:t>Глава 3</w:t>
    </w:r>
  </w:p>
  <w:p w:rsidR="002B712C" w:rsidRPr="00D71B1A" w:rsidRDefault="002B712C" w:rsidP="00AE58CD">
    <w:pPr>
      <w:widowControl w:val="0"/>
      <w:pBdr>
        <w:bottom w:val="single" w:sz="6" w:space="1" w:color="auto"/>
      </w:pBdr>
      <w:tabs>
        <w:tab w:val="right" w:pos="9070"/>
      </w:tabs>
      <w:jc w:val="right"/>
      <w:rPr>
        <w:sz w:val="16"/>
        <w:szCs w:val="16"/>
      </w:rPr>
    </w:pPr>
    <w:r>
      <w:rPr>
        <w:sz w:val="16"/>
      </w:rPr>
      <w:t>Изисквания към корабната конструкция</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C62373" w:rsidRDefault="002B712C" w:rsidP="00C62373">
    <w:pPr>
      <w:widowControl w:val="0"/>
      <w:pBdr>
        <w:bottom w:val="single" w:sz="4" w:space="1" w:color="auto"/>
      </w:pBdr>
      <w:tabs>
        <w:tab w:val="right" w:pos="9072"/>
      </w:tabs>
      <w:jc w:val="right"/>
      <w:rPr>
        <w:rFonts w:cs="Arial"/>
        <w:noProof/>
        <w:sz w:val="16"/>
        <w:szCs w:val="16"/>
      </w:rPr>
    </w:pPr>
    <w:r>
      <w:rPr>
        <w:sz w:val="16"/>
      </w:rPr>
      <w:t>ES-TRIN</w:t>
    </w:r>
    <w:r>
      <w:tab/>
    </w:r>
    <w:r>
      <w:rPr>
        <w:rFonts w:cs="Arial"/>
        <w:noProof/>
        <w:sz w:val="16"/>
        <w:szCs w:val="16"/>
      </w:rPr>
      <w:fldChar w:fldCharType="begin"/>
    </w:r>
    <w:r w:rsidRPr="00F46C3C">
      <w:rPr>
        <w:rFonts w:cs="Arial"/>
        <w:noProof/>
        <w:sz w:val="16"/>
        <w:szCs w:val="16"/>
      </w:rPr>
      <w:instrText xml:space="preserve"> STYLEREF  ES-Titre2  \* MERGEFORMAT </w:instrText>
    </w:r>
    <w:r>
      <w:rPr>
        <w:rFonts w:cs="Arial"/>
        <w:noProof/>
        <w:sz w:val="16"/>
        <w:szCs w:val="16"/>
      </w:rPr>
      <w:fldChar w:fldCharType="separate"/>
    </w:r>
    <w:r w:rsidR="0052294E">
      <w:rPr>
        <w:rFonts w:cs="Arial"/>
        <w:noProof/>
        <w:sz w:val="16"/>
        <w:szCs w:val="16"/>
      </w:rPr>
      <w:t>Глава 19</w:t>
    </w:r>
    <w:r w:rsidR="0052294E">
      <w:rPr>
        <w:rFonts w:cs="Arial"/>
        <w:noProof/>
        <w:sz w:val="16"/>
        <w:szCs w:val="16"/>
      </w:rPr>
      <w:br/>
      <w:t>Специални разпоредби, приложими за пътническите плавателни съдове</w:t>
    </w:r>
    <w:r>
      <w:rPr>
        <w:rFonts w:cs="Arial"/>
        <w:noProof/>
        <w:sz w:val="16"/>
        <w:szCs w:val="16"/>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C20E00" w:rsidRDefault="002B712C" w:rsidP="00DD1033">
    <w:pPr>
      <w:widowControl w:val="0"/>
      <w:pBdr>
        <w:bottom w:val="single" w:sz="6" w:space="1" w:color="auto"/>
      </w:pBdr>
      <w:tabs>
        <w:tab w:val="right" w:pos="14034"/>
      </w:tabs>
      <w:jc w:val="right"/>
      <w:rPr>
        <w:sz w:val="16"/>
        <w:szCs w:val="16"/>
      </w:rPr>
    </w:pPr>
    <w:r>
      <w:rPr>
        <w:sz w:val="16"/>
      </w:rPr>
      <w:t>ES-TRIN</w:t>
    </w:r>
    <w:r>
      <w:tab/>
    </w:r>
    <w:r w:rsidRPr="00C20E00">
      <w:rPr>
        <w:sz w:val="16"/>
        <w:szCs w:val="16"/>
      </w:rPr>
      <w:fldChar w:fldCharType="begin"/>
    </w:r>
    <w:r w:rsidRPr="00C20E00">
      <w:rPr>
        <w:sz w:val="16"/>
        <w:szCs w:val="16"/>
      </w:rPr>
      <w:instrText xml:space="preserve"> STYLEREF  ES-Titre2  \* MERGEFORMAT </w:instrText>
    </w:r>
    <w:r w:rsidRPr="00C20E00">
      <w:rPr>
        <w:sz w:val="16"/>
        <w:szCs w:val="16"/>
      </w:rPr>
      <w:fldChar w:fldCharType="separate"/>
    </w:r>
    <w:r w:rsidR="00B62610">
      <w:rPr>
        <w:noProof/>
        <w:sz w:val="16"/>
        <w:szCs w:val="16"/>
      </w:rPr>
      <w:t>Глава 32</w:t>
    </w:r>
    <w:r w:rsidR="00B62610">
      <w:rPr>
        <w:noProof/>
        <w:sz w:val="16"/>
        <w:szCs w:val="16"/>
      </w:rPr>
      <w:br/>
      <w:t>Преходни разпоредби за плавателни средства по река Рейн (зона R)</w:t>
    </w:r>
    <w:r w:rsidRPr="00C20E00">
      <w:rPr>
        <w:noProof/>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B62610">
      <w:rPr>
        <w:noProof/>
        <w:sz w:val="16"/>
        <w:szCs w:val="16"/>
      </w:rPr>
      <w:t>Член 32.02</w:t>
    </w:r>
    <w:r>
      <w:rPr>
        <w:sz w:val="16"/>
        <w:szCs w:val="16"/>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C859BD" w:rsidRDefault="002B712C" w:rsidP="001E2331">
    <w:pPr>
      <w:widowControl w:val="0"/>
      <w:pBdr>
        <w:bottom w:val="single" w:sz="6" w:space="1" w:color="auto"/>
      </w:pBdr>
      <w:tabs>
        <w:tab w:val="right" w:pos="14034"/>
      </w:tabs>
      <w:rPr>
        <w:sz w:val="16"/>
        <w:szCs w:val="16"/>
      </w:rPr>
    </w:pPr>
    <w:r>
      <w:rPr>
        <w:sz w:val="16"/>
      </w:rPr>
      <w:t>ES-TRIN</w:t>
    </w:r>
    <w:r>
      <w:tab/>
    </w:r>
    <w:r>
      <w:rPr>
        <w:sz w:val="16"/>
      </w:rPr>
      <w:t>Глава 32</w:t>
    </w:r>
  </w:p>
  <w:p w:rsidR="002B712C" w:rsidRPr="00AE58CD" w:rsidRDefault="002B712C" w:rsidP="001E2331">
    <w:pPr>
      <w:widowControl w:val="0"/>
      <w:pBdr>
        <w:bottom w:val="single" w:sz="6" w:space="1" w:color="auto"/>
      </w:pBdr>
      <w:tabs>
        <w:tab w:val="right" w:pos="9070"/>
      </w:tabs>
      <w:jc w:val="right"/>
      <w:rPr>
        <w:sz w:val="16"/>
        <w:szCs w:val="16"/>
      </w:rPr>
    </w:pPr>
    <w:r>
      <w:rPr>
        <w:sz w:val="16"/>
      </w:rPr>
      <w:t>Преходни разпоредби за плавателни средства по Рейн (зона R) -</w:t>
    </w:r>
    <w:r>
      <w:rPr>
        <w:sz w:val="16"/>
        <w:szCs w:val="16"/>
      </w:rPr>
      <w:fldChar w:fldCharType="begin"/>
    </w:r>
    <w:r>
      <w:rPr>
        <w:sz w:val="16"/>
        <w:szCs w:val="16"/>
      </w:rPr>
      <w:instrText xml:space="preserve"> STYLEREF  ES-Titre3_pr_chap32  \* MERGEFORMAT </w:instrText>
    </w:r>
    <w:r>
      <w:rPr>
        <w:sz w:val="16"/>
        <w:szCs w:val="16"/>
      </w:rPr>
      <w:fldChar w:fldCharType="separate"/>
    </w:r>
    <w:r w:rsidR="00B62610">
      <w:rPr>
        <w:noProof/>
        <w:sz w:val="16"/>
        <w:szCs w:val="16"/>
      </w:rPr>
      <w:t>Член 32.01</w:t>
    </w:r>
    <w:r>
      <w:rPr>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B62610">
      <w:rPr>
        <w:noProof/>
        <w:sz w:val="16"/>
        <w:szCs w:val="16"/>
      </w:rPr>
      <w:t>Член 32.02</w:t>
    </w:r>
    <w:r>
      <w:rPr>
        <w:sz w:val="16"/>
        <w:szCs w:val="16"/>
      </w:rP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DD1033" w:rsidRDefault="002B712C" w:rsidP="00DD1033">
    <w:pPr>
      <w:widowControl w:val="0"/>
      <w:pBdr>
        <w:bottom w:val="single" w:sz="6" w:space="1" w:color="auto"/>
      </w:pBdr>
      <w:tabs>
        <w:tab w:val="right" w:pos="14034"/>
      </w:tabs>
      <w:jc w:val="right"/>
      <w:rPr>
        <w:sz w:val="16"/>
        <w:szCs w:val="16"/>
      </w:rPr>
    </w:pPr>
    <w:r>
      <w:rPr>
        <w:sz w:val="16"/>
      </w:rPr>
      <w:t>ES-TRIN</w:t>
    </w:r>
    <w:r>
      <w:tab/>
    </w:r>
    <w:fldSimple w:instr=" STYLEREF  ES-Titre2  \* MERGEFORMAT ">
      <w:r w:rsidR="00B62610" w:rsidRPr="00B62610">
        <w:rPr>
          <w:noProof/>
          <w:sz w:val="16"/>
          <w:szCs w:val="16"/>
        </w:rPr>
        <w:t>Глава 32</w:t>
      </w:r>
      <w:r w:rsidR="00B62610" w:rsidRPr="00B62610">
        <w:rPr>
          <w:noProof/>
          <w:sz w:val="16"/>
          <w:szCs w:val="16"/>
        </w:rPr>
        <w:br/>
        <w:t>Преходни разпоредби за плавателни средства по река Рейн (зона R)</w:t>
      </w:r>
    </w:fldSimple>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B62610">
      <w:rPr>
        <w:noProof/>
        <w:sz w:val="16"/>
        <w:szCs w:val="16"/>
      </w:rPr>
      <w:t>Член 32.05</w:t>
    </w:r>
    <w:r>
      <w:rPr>
        <w:sz w:val="16"/>
        <w:szCs w:val="16"/>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AE58CD" w:rsidRDefault="002B712C" w:rsidP="001E2331">
    <w:pPr>
      <w:widowControl w:val="0"/>
      <w:pBdr>
        <w:bottom w:val="single" w:sz="6" w:space="1" w:color="auto"/>
      </w:pBdr>
      <w:tabs>
        <w:tab w:val="right" w:pos="14034"/>
      </w:tabs>
      <w:rPr>
        <w:sz w:val="16"/>
        <w:szCs w:val="16"/>
      </w:rPr>
    </w:pPr>
    <w:r>
      <w:rPr>
        <w:sz w:val="16"/>
      </w:rPr>
      <w:t>ES-TRIN</w:t>
    </w:r>
    <w:r>
      <w:tab/>
    </w:r>
    <w:r>
      <w:rPr>
        <w:sz w:val="16"/>
      </w:rPr>
      <w:t>Глава 32</w:t>
    </w:r>
  </w:p>
  <w:p w:rsidR="002B712C" w:rsidRPr="00AE58CD" w:rsidRDefault="002B712C" w:rsidP="001E2331">
    <w:pPr>
      <w:widowControl w:val="0"/>
      <w:pBdr>
        <w:bottom w:val="single" w:sz="6" w:space="1" w:color="auto"/>
      </w:pBdr>
      <w:tabs>
        <w:tab w:val="right" w:pos="9070"/>
      </w:tabs>
      <w:jc w:val="right"/>
      <w:rPr>
        <w:sz w:val="16"/>
        <w:szCs w:val="16"/>
      </w:rPr>
    </w:pPr>
    <w:r>
      <w:rPr>
        <w:sz w:val="16"/>
      </w:rPr>
      <w:t xml:space="preserve">Преходни разпоредби за плавателни средства по Рейн (зона R) - </w:t>
    </w:r>
    <w:r>
      <w:rPr>
        <w:sz w:val="16"/>
        <w:szCs w:val="16"/>
      </w:rPr>
      <w:fldChar w:fldCharType="begin"/>
    </w:r>
    <w:r>
      <w:rPr>
        <w:sz w:val="16"/>
        <w:szCs w:val="16"/>
      </w:rPr>
      <w:instrText xml:space="preserve"> STYLEREF  ES-Titre3  \* MERGEFORMAT </w:instrText>
    </w:r>
    <w:r>
      <w:rPr>
        <w:sz w:val="16"/>
        <w:szCs w:val="16"/>
      </w:rPr>
      <w:fldChar w:fldCharType="separate"/>
    </w:r>
    <w:r w:rsidR="00B62610">
      <w:rPr>
        <w:noProof/>
        <w:sz w:val="16"/>
        <w:szCs w:val="16"/>
      </w:rPr>
      <w:t>Член 32.03</w:t>
    </w:r>
    <w:r>
      <w:rPr>
        <w:sz w:val="16"/>
        <w:szCs w:val="16"/>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DD1033" w:rsidRDefault="002B712C" w:rsidP="00DD1033">
    <w:pPr>
      <w:widowControl w:val="0"/>
      <w:pBdr>
        <w:bottom w:val="single" w:sz="6" w:space="1" w:color="auto"/>
      </w:pBdr>
      <w:tabs>
        <w:tab w:val="right" w:pos="14034"/>
      </w:tabs>
      <w:jc w:val="right"/>
      <w:rPr>
        <w:sz w:val="16"/>
        <w:szCs w:val="16"/>
      </w:rPr>
    </w:pPr>
    <w:r>
      <w:rPr>
        <w:sz w:val="16"/>
      </w:rPr>
      <w:t>ES-TRIN</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B62610">
      <w:rPr>
        <w:noProof/>
        <w:sz w:val="16"/>
        <w:szCs w:val="16"/>
      </w:rPr>
      <w:t>Глава 33</w:t>
    </w:r>
    <w:r w:rsidR="00B62610">
      <w:rPr>
        <w:noProof/>
        <w:sz w:val="16"/>
        <w:szCs w:val="16"/>
      </w:rPr>
      <w:br/>
      <w:t>Преходни разпоредби по отношение на плавателните средства, плаващи изключително по водните пътища извън Рейн (зона R)</w:t>
    </w:r>
    <w:r w:rsidRPr="00F46C3C">
      <w:rPr>
        <w:noProof/>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B62610">
      <w:rPr>
        <w:noProof/>
        <w:sz w:val="16"/>
        <w:szCs w:val="16"/>
      </w:rPr>
      <w:t>Член 33.03</w:t>
    </w:r>
    <w:r>
      <w:rPr>
        <w:sz w:val="16"/>
        <w:szCs w:val="16"/>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C20E00" w:rsidRDefault="002B712C" w:rsidP="008E26B9">
    <w:pPr>
      <w:widowControl w:val="0"/>
      <w:pBdr>
        <w:bottom w:val="single" w:sz="6" w:space="1" w:color="auto"/>
      </w:pBdr>
      <w:tabs>
        <w:tab w:val="right" w:pos="14034"/>
      </w:tabs>
      <w:jc w:val="right"/>
      <w:rPr>
        <w:sz w:val="16"/>
        <w:szCs w:val="16"/>
      </w:rPr>
    </w:pPr>
    <w:r>
      <w:rPr>
        <w:sz w:val="16"/>
      </w:rPr>
      <w:t>ES-TRIN</w:t>
    </w:r>
    <w:r>
      <w:tab/>
    </w:r>
    <w:r w:rsidRPr="00C20E00">
      <w:rPr>
        <w:sz w:val="16"/>
        <w:szCs w:val="16"/>
      </w:rPr>
      <w:fldChar w:fldCharType="begin"/>
    </w:r>
    <w:r w:rsidRPr="009C40EF">
      <w:rPr>
        <w:sz w:val="16"/>
        <w:szCs w:val="16"/>
      </w:rPr>
      <w:instrText xml:space="preserve"> STYLEREF  ES-Titre2  \* MERGEFORMAT </w:instrText>
    </w:r>
    <w:r w:rsidRPr="00C20E00">
      <w:rPr>
        <w:sz w:val="16"/>
        <w:szCs w:val="16"/>
      </w:rPr>
      <w:fldChar w:fldCharType="separate"/>
    </w:r>
    <w:r w:rsidR="00B62610">
      <w:rPr>
        <w:noProof/>
        <w:sz w:val="16"/>
        <w:szCs w:val="16"/>
      </w:rPr>
      <w:t>Глава 33</w:t>
    </w:r>
    <w:r w:rsidR="00B62610">
      <w:rPr>
        <w:noProof/>
        <w:sz w:val="16"/>
        <w:szCs w:val="16"/>
      </w:rPr>
      <w:br/>
      <w:t>Преходни разпоредби по отношение на плавателните средства, плаващи изключително по водните пътища извън Рейн (зона R)</w:t>
    </w:r>
    <w:r w:rsidRPr="00C20E00">
      <w:rPr>
        <w:noProof/>
        <w:sz w:val="16"/>
        <w:szCs w:val="16"/>
      </w:rPr>
      <w:fldChar w:fldCharType="end"/>
    </w:r>
    <w:r>
      <w:rPr>
        <w:sz w:val="16"/>
      </w:rPr>
      <w:t xml:space="preserve"> -</w:t>
    </w:r>
    <w:r>
      <w:rPr>
        <w:sz w:val="16"/>
        <w:szCs w:val="16"/>
      </w:rPr>
      <w:fldChar w:fldCharType="begin"/>
    </w:r>
    <w:r>
      <w:rPr>
        <w:sz w:val="16"/>
        <w:szCs w:val="16"/>
      </w:rPr>
      <w:instrText xml:space="preserve"> STYLEREF  ES-Titre3_pr_chap32  \* MERGEFORMAT </w:instrText>
    </w:r>
    <w:r>
      <w:rPr>
        <w:sz w:val="16"/>
        <w:szCs w:val="16"/>
      </w:rPr>
      <w:fldChar w:fldCharType="separate"/>
    </w:r>
    <w:r w:rsidR="00B62610">
      <w:rPr>
        <w:noProof/>
        <w:sz w:val="16"/>
        <w:szCs w:val="16"/>
      </w:rPr>
      <w:t>Член 33.01</w:t>
    </w:r>
    <w:r>
      <w:rPr>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B62610">
      <w:rPr>
        <w:noProof/>
        <w:sz w:val="16"/>
        <w:szCs w:val="16"/>
      </w:rPr>
      <w:t>Член 33.02</w:t>
    </w:r>
    <w:r>
      <w:rPr>
        <w:sz w:val="16"/>
        <w:szCs w:val="16"/>
      </w:rPr>
      <w:fldChar w:fldCharType="end"/>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C62373" w:rsidRDefault="002B712C" w:rsidP="008446C0">
    <w:pPr>
      <w:widowControl w:val="0"/>
      <w:pBdr>
        <w:bottom w:val="single" w:sz="4" w:space="1" w:color="auto"/>
      </w:pBdr>
      <w:tabs>
        <w:tab w:val="right" w:pos="13892"/>
      </w:tabs>
      <w:jc w:val="right"/>
      <w:rPr>
        <w:rFonts w:cs="Arial"/>
        <w:sz w:val="16"/>
        <w:szCs w:val="16"/>
      </w:rPr>
    </w:pPr>
    <w:r>
      <w:rPr>
        <w:sz w:val="16"/>
      </w:rPr>
      <w:t>ES-TRIN</w:t>
    </w:r>
    <w:r>
      <w:tab/>
    </w:r>
    <w:r w:rsidRPr="00F46C3C">
      <w:rPr>
        <w:rFonts w:cs="Times New Roman"/>
        <w:sz w:val="16"/>
        <w:szCs w:val="16"/>
      </w:rPr>
      <w:fldChar w:fldCharType="begin"/>
    </w:r>
    <w:r w:rsidRPr="00F46C3C">
      <w:rPr>
        <w:sz w:val="16"/>
        <w:szCs w:val="16"/>
      </w:rPr>
      <w:instrText xml:space="preserve"> STYLEREF  ES-Titre2  \* MERGEFORMAT </w:instrText>
    </w:r>
    <w:r w:rsidRPr="00F46C3C">
      <w:rPr>
        <w:rFonts w:cs="Times New Roman"/>
        <w:sz w:val="16"/>
        <w:szCs w:val="16"/>
      </w:rPr>
      <w:fldChar w:fldCharType="separate"/>
    </w:r>
    <w:r w:rsidR="00B62610" w:rsidRPr="00B62610">
      <w:rPr>
        <w:rFonts w:cs="Arial"/>
        <w:noProof/>
        <w:sz w:val="16"/>
        <w:szCs w:val="16"/>
      </w:rPr>
      <w:t>Глава 33</w:t>
    </w:r>
    <w:r w:rsidR="00B62610" w:rsidRPr="00B62610">
      <w:rPr>
        <w:rFonts w:cs="Arial"/>
        <w:noProof/>
        <w:sz w:val="16"/>
        <w:szCs w:val="16"/>
      </w:rPr>
      <w:br/>
      <w:t xml:space="preserve">Преходни разпоредби по отношение на плавателните средства, плаващи изключително по водните </w:t>
    </w:r>
    <w:r w:rsidR="00B62610">
      <w:rPr>
        <w:noProof/>
        <w:sz w:val="16"/>
        <w:szCs w:val="16"/>
      </w:rPr>
      <w:t>пътища извън Рейн (зона R)</w:t>
    </w:r>
    <w:r w:rsidRPr="00F46C3C">
      <w:rPr>
        <w:rFonts w:cs="Arial"/>
        <w:noProof/>
        <w:sz w:val="16"/>
        <w:szCs w:val="16"/>
      </w:rPr>
      <w:fldChar w:fldCharType="end"/>
    </w:r>
    <w:r>
      <w:rPr>
        <w:sz w:val="16"/>
      </w:rPr>
      <w:t xml:space="preserve"> - </w:t>
    </w:r>
    <w:r>
      <w:rPr>
        <w:rFonts w:cs="Arial"/>
        <w:sz w:val="16"/>
        <w:szCs w:val="16"/>
      </w:rPr>
      <w:fldChar w:fldCharType="begin"/>
    </w:r>
    <w:r>
      <w:rPr>
        <w:rFonts w:cs="Arial"/>
        <w:sz w:val="16"/>
        <w:szCs w:val="16"/>
      </w:rPr>
      <w:instrText xml:space="preserve"> STYLEREF  ES-Titre3  \* MERGEFORMAT </w:instrText>
    </w:r>
    <w:r>
      <w:rPr>
        <w:rFonts w:cs="Arial"/>
        <w:sz w:val="16"/>
        <w:szCs w:val="16"/>
      </w:rPr>
      <w:fldChar w:fldCharType="separate"/>
    </w:r>
    <w:r w:rsidR="00B62610">
      <w:rPr>
        <w:rFonts w:cs="Arial"/>
        <w:noProof/>
        <w:sz w:val="16"/>
        <w:szCs w:val="16"/>
      </w:rPr>
      <w:t>Член 33.02</w:t>
    </w:r>
    <w:r>
      <w:rPr>
        <w:rFonts w:cs="Arial"/>
        <w:sz w:val="16"/>
        <w:szCs w:val="16"/>
      </w:rPr>
      <w:fldChar w:fldCharType="end"/>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Default="002B712C" w:rsidP="001E2331">
    <w:pPr>
      <w:widowControl w:val="0"/>
      <w:pBdr>
        <w:bottom w:val="single" w:sz="6" w:space="1" w:color="auto"/>
      </w:pBdr>
      <w:tabs>
        <w:tab w:val="right" w:pos="9072"/>
      </w:tabs>
      <w:jc w:val="right"/>
      <w:rPr>
        <w:sz w:val="16"/>
        <w:szCs w:val="16"/>
      </w:rPr>
    </w:pPr>
    <w:r>
      <w:rPr>
        <w:sz w:val="16"/>
      </w:rPr>
      <w:t xml:space="preserve">ES-TRIN </w:t>
    </w:r>
    <w:r>
      <w:tab/>
    </w:r>
    <w:fldSimple w:instr=" STYLEREF  Es-Titre_annexes  \* MERGEFORMAT ">
      <w:r w:rsidR="00B62610" w:rsidRPr="00B62610">
        <w:rPr>
          <w:noProof/>
          <w:sz w:val="16"/>
          <w:szCs w:val="16"/>
        </w:rPr>
        <w:t>Приложения към Европейски</w:t>
      </w:r>
      <w:r w:rsidR="00B62610">
        <w:rPr>
          <w:noProof/>
        </w:rPr>
        <w:t xml:space="preserve"> стандарт</w:t>
      </w:r>
    </w:fldSimple>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Default="002B712C" w:rsidP="001E2331">
    <w:pPr>
      <w:widowControl w:val="0"/>
      <w:pBdr>
        <w:bottom w:val="single" w:sz="6" w:space="1" w:color="auto"/>
      </w:pBdr>
      <w:tabs>
        <w:tab w:val="right" w:pos="9072"/>
      </w:tabs>
      <w:jc w:val="right"/>
      <w:rPr>
        <w:sz w:val="16"/>
        <w:szCs w:val="16"/>
      </w:rPr>
    </w:pPr>
    <w:r>
      <w:rPr>
        <w:sz w:val="16"/>
      </w:rPr>
      <w:t xml:space="preserve">ES-TRIN </w:t>
    </w:r>
    <w:r>
      <w:tab/>
    </w:r>
    <w:fldSimple w:instr=" STYLEREF  Es-Titre_annexes  \* MERGEFORMAT ">
      <w:r w:rsidR="00B62610" w:rsidRPr="00B62610">
        <w:rPr>
          <w:noProof/>
          <w:sz w:val="16"/>
          <w:szCs w:val="16"/>
        </w:rPr>
        <w:t>Приложения към Европейски</w:t>
      </w:r>
      <w:r w:rsidR="00B62610">
        <w:rPr>
          <w:noProof/>
        </w:rPr>
        <w:t xml:space="preserve"> стандарт</w:t>
      </w:r>
    </w:fldSimple>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FD13C1" w:rsidRDefault="002B712C" w:rsidP="009C13A9">
    <w:pPr>
      <w:widowControl w:val="0"/>
      <w:pBdr>
        <w:bottom w:val="single" w:sz="6" w:space="1" w:color="auto"/>
      </w:pBdr>
      <w:tabs>
        <w:tab w:val="right" w:pos="9072"/>
      </w:tabs>
      <w:jc w:val="right"/>
      <w:rPr>
        <w:sz w:val="16"/>
        <w:szCs w:val="16"/>
      </w:rPr>
    </w:pPr>
    <w:r>
      <w:rPr>
        <w:sz w:val="16"/>
      </w:rPr>
      <w:t xml:space="preserve">ES-TRIN </w:t>
    </w:r>
    <w:r>
      <w:tab/>
    </w:r>
    <w:r w:rsidRPr="00FD13C1">
      <w:rPr>
        <w:sz w:val="16"/>
        <w:szCs w:val="16"/>
      </w:rPr>
      <w:fldChar w:fldCharType="begin"/>
    </w:r>
    <w:r w:rsidRPr="00FD13C1">
      <w:rPr>
        <w:sz w:val="16"/>
        <w:szCs w:val="16"/>
      </w:rPr>
      <w:instrText xml:space="preserve"> STYLEREF  ES-Titre2 \l  \* MERGEFORMAT </w:instrText>
    </w:r>
    <w:r w:rsidRPr="00FD13C1">
      <w:rPr>
        <w:sz w:val="16"/>
        <w:szCs w:val="16"/>
      </w:rPr>
      <w:fldChar w:fldCharType="separate"/>
    </w:r>
    <w:r w:rsidR="00B62610">
      <w:rPr>
        <w:noProof/>
        <w:sz w:val="16"/>
        <w:szCs w:val="16"/>
      </w:rPr>
      <w:t>Приложение 2</w:t>
    </w:r>
    <w:r w:rsidR="00B62610">
      <w:rPr>
        <w:noProof/>
        <w:sz w:val="16"/>
        <w:szCs w:val="16"/>
      </w:rPr>
      <w:br/>
      <w:t>Данни за идентифицирането на плавателен съд</w:t>
    </w:r>
    <w:r w:rsidRPr="00FD13C1">
      <w:rPr>
        <w:noProof/>
        <w:sz w:val="16"/>
        <w:szCs w:val="16"/>
      </w:rP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395A9E" w:rsidRDefault="002B712C" w:rsidP="009C13A9">
    <w:pPr>
      <w:widowControl w:val="0"/>
      <w:pBdr>
        <w:bottom w:val="single" w:sz="6" w:space="1" w:color="auto"/>
      </w:pBdr>
      <w:tabs>
        <w:tab w:val="right" w:pos="9070"/>
      </w:tabs>
      <w:ind w:left="3600" w:hanging="3600"/>
      <w:rPr>
        <w:sz w:val="16"/>
        <w:szCs w:val="16"/>
      </w:rPr>
    </w:pPr>
    <w:r>
      <w:rPr>
        <w:sz w:val="16"/>
      </w:rPr>
      <w:t>ES-TRIN</w:t>
    </w:r>
    <w:r>
      <w:tab/>
    </w:r>
    <w:r>
      <w:tab/>
    </w:r>
    <w:r>
      <w:rPr>
        <w:sz w:val="20"/>
        <w:szCs w:val="24"/>
      </w:rPr>
      <w:fldChar w:fldCharType="begin"/>
    </w:r>
    <w:r w:rsidRPr="00101CB2">
      <w:instrText xml:space="preserve"> STYLEREF  ES-Titre2 \l  \* MERGEFORMAT </w:instrText>
    </w:r>
    <w:r>
      <w:rPr>
        <w:sz w:val="20"/>
        <w:szCs w:val="24"/>
      </w:rPr>
      <w:fldChar w:fldCharType="separate"/>
    </w:r>
    <w:r w:rsidRPr="00801F1F">
      <w:rPr>
        <w:noProof/>
        <w:sz w:val="16"/>
        <w:szCs w:val="16"/>
      </w:rPr>
      <w:t>Chapter 33</w:t>
    </w:r>
    <w:r w:rsidRPr="00801F1F">
      <w:rPr>
        <w:noProof/>
        <w:sz w:val="16"/>
        <w:szCs w:val="16"/>
      </w:rPr>
      <w:br/>
      <w:t>Transitional provisions for craft operating exclusively on waterways outside the Rhine (</w:t>
    </w:r>
    <w:r>
      <w:rPr>
        <w:noProof/>
      </w:rPr>
      <w:t>Zone R)</w:t>
    </w:r>
    <w:r>
      <w:rPr>
        <w:noProof/>
        <w:sz w:val="16"/>
        <w:szCs w:val="16"/>
      </w:rPr>
      <w:fldChar w:fldCharType="end"/>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5777D8" w:rsidRDefault="002B712C"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\l  \* MERGEFORMAT </w:instrText>
    </w:r>
    <w:r>
      <w:rPr>
        <w:sz w:val="20"/>
        <w:szCs w:val="24"/>
      </w:rPr>
      <w:fldChar w:fldCharType="separate"/>
    </w:r>
    <w:r w:rsidR="00B62610" w:rsidRPr="00B62610">
      <w:rPr>
        <w:noProof/>
        <w:sz w:val="16"/>
        <w:szCs w:val="16"/>
      </w:rPr>
      <w:t>Приложение 3</w:t>
    </w:r>
    <w:r w:rsidR="00B62610" w:rsidRPr="00B62610">
      <w:rPr>
        <w:noProof/>
        <w:sz w:val="16"/>
        <w:szCs w:val="16"/>
      </w:rPr>
      <w:br/>
      <w:t>Образци на удостоверенията на плавателни съдове за</w:t>
    </w:r>
    <w:r w:rsidR="00B62610">
      <w:rPr>
        <w:noProof/>
      </w:rPr>
      <w:t xml:space="preserve"> плаване по вътрешни водни пътища и образец на регистъра на удостоверенията на плавателни съдове за плаване по вътрешни водни пътища</w:t>
    </w:r>
    <w:r>
      <w:rPr>
        <w:noProof/>
        <w:sz w:val="16"/>
        <w:szCs w:val="16"/>
      </w:rPr>
      <w:fldChar w:fldCharType="end"/>
    </w:r>
  </w:p>
  <w:p w:rsidR="002B712C" w:rsidRPr="00D229DB" w:rsidRDefault="002B712C"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B62610">
      <w:rPr>
        <w:noProof/>
        <w:sz w:val="16"/>
        <w:szCs w:val="16"/>
      </w:rPr>
      <w:t>Раздел I</w:t>
    </w:r>
    <w:r>
      <w:rPr>
        <w:sz w:val="16"/>
        <w:szCs w:val="16"/>
      </w:rP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6B7368" w:rsidRDefault="002B712C" w:rsidP="009C13A9">
    <w:pPr>
      <w:widowControl w:val="0"/>
      <w:pBdr>
        <w:bottom w:val="single" w:sz="6" w:space="1" w:color="auto"/>
      </w:pBdr>
      <w:tabs>
        <w:tab w:val="right" w:pos="9072"/>
      </w:tabs>
      <w:jc w:val="right"/>
      <w:rPr>
        <w:sz w:val="16"/>
        <w:szCs w:val="16"/>
      </w:rPr>
    </w:pPr>
    <w:r>
      <w:rPr>
        <w:sz w:val="16"/>
      </w:rPr>
      <w:t xml:space="preserve">ES-TRIN </w:t>
    </w:r>
    <w:r>
      <w:tab/>
    </w:r>
    <w:r w:rsidRPr="006B7368">
      <w:rPr>
        <w:sz w:val="16"/>
        <w:szCs w:val="16"/>
      </w:rPr>
      <w:fldChar w:fldCharType="begin"/>
    </w:r>
    <w:r w:rsidRPr="006B7368">
      <w:rPr>
        <w:sz w:val="16"/>
        <w:szCs w:val="16"/>
      </w:rPr>
      <w:instrText xml:space="preserve"> STYLEREF  ES-Titre2 \l  \* MERGEFORMAT </w:instrText>
    </w:r>
    <w:r w:rsidRPr="006B7368">
      <w:rPr>
        <w:sz w:val="16"/>
        <w:szCs w:val="16"/>
      </w:rPr>
      <w:fldChar w:fldCharType="separate"/>
    </w:r>
    <w:r w:rsidR="00BE5E7B">
      <w:rPr>
        <w:noProof/>
        <w:sz w:val="16"/>
        <w:szCs w:val="16"/>
      </w:rPr>
      <w:t>Приложение 3</w:t>
    </w:r>
    <w:r w:rsidR="00BE5E7B">
      <w:rPr>
        <w:noProof/>
        <w:sz w:val="16"/>
        <w:szCs w:val="16"/>
      </w:rPr>
      <w:br/>
      <w:t>Образци на удостоверенията на плавателни съдове за плаване по вътрешни водни пътища и образец на регистъра на удостоверенията на плавателни съдове за плаване по вътрешни водни пътища</w:t>
    </w:r>
    <w:r w:rsidRPr="006B7368">
      <w:rPr>
        <w:noProof/>
        <w:sz w:val="16"/>
        <w:szCs w:val="16"/>
      </w:rPr>
      <w:fldChar w:fldCharType="end"/>
    </w:r>
  </w:p>
  <w:p w:rsidR="002B712C" w:rsidRPr="002352BD" w:rsidRDefault="002B712C"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BE5E7B">
      <w:rPr>
        <w:noProof/>
        <w:sz w:val="16"/>
        <w:szCs w:val="16"/>
      </w:rPr>
      <w:t>Раздел VI</w:t>
    </w:r>
    <w:r>
      <w:rPr>
        <w:sz w:val="16"/>
        <w:szCs w:val="16"/>
      </w:rPr>
      <w:fldChar w:fldCharType="end"/>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2352BD" w:rsidRDefault="002B712C"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BE5E7B" w:rsidRPr="00BE5E7B">
      <w:rPr>
        <w:noProof/>
        <w:sz w:val="16"/>
        <w:szCs w:val="16"/>
      </w:rPr>
      <w:t>Приложение 3</w:t>
    </w:r>
    <w:r w:rsidR="00BE5E7B" w:rsidRPr="00BE5E7B">
      <w:rPr>
        <w:noProof/>
        <w:sz w:val="16"/>
        <w:szCs w:val="16"/>
      </w:rPr>
      <w:br/>
      <w:t>Образци на удостоверенията на</w:t>
    </w:r>
    <w:r w:rsidR="00BE5E7B">
      <w:rPr>
        <w:noProof/>
      </w:rPr>
      <w:t xml:space="preserve"> плавателни съдове за плаване по вътрешни водни пътища и образец на регистъра на удостоверенията на плавателни съдове за плаване по вътрешни водни пътища</w:t>
    </w:r>
    <w:r>
      <w:rPr>
        <w:noProof/>
        <w:sz w:val="16"/>
        <w:szCs w:val="16"/>
      </w:rPr>
      <w:fldChar w:fldCharType="end"/>
    </w:r>
  </w:p>
  <w:p w:rsidR="002B712C" w:rsidRDefault="002B712C"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BE5E7B">
      <w:rPr>
        <w:noProof/>
        <w:sz w:val="16"/>
        <w:szCs w:val="16"/>
      </w:rPr>
      <w:t>Раздел VI</w:t>
    </w:r>
    <w:r>
      <w:rPr>
        <w:sz w:val="16"/>
        <w:szCs w:val="16"/>
      </w:rPr>
      <w:fldChar w:fldCharType="end"/>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42206B" w:rsidRDefault="002B712C" w:rsidP="009C13A9">
    <w:pPr>
      <w:widowControl w:val="0"/>
      <w:pBdr>
        <w:bottom w:val="single" w:sz="6" w:space="1" w:color="auto"/>
      </w:pBdr>
      <w:tabs>
        <w:tab w:val="right" w:pos="9072"/>
      </w:tabs>
      <w:jc w:val="right"/>
      <w:rPr>
        <w:sz w:val="16"/>
        <w:szCs w:val="16"/>
      </w:rPr>
    </w:pPr>
    <w:r>
      <w:rPr>
        <w:sz w:val="16"/>
      </w:rPr>
      <w:t xml:space="preserve">ES-TRIN </w:t>
    </w:r>
    <w:r>
      <w:tab/>
    </w:r>
    <w:r w:rsidRPr="0042206B">
      <w:rPr>
        <w:sz w:val="16"/>
        <w:szCs w:val="16"/>
      </w:rPr>
      <w:fldChar w:fldCharType="begin"/>
    </w:r>
    <w:r w:rsidRPr="0042206B">
      <w:rPr>
        <w:sz w:val="16"/>
        <w:szCs w:val="16"/>
      </w:rPr>
      <w:instrText xml:space="preserve"> STYLEREF  ES-Titre2  \* MERGEFORMAT </w:instrText>
    </w:r>
    <w:r w:rsidRPr="0042206B">
      <w:rPr>
        <w:sz w:val="16"/>
        <w:szCs w:val="16"/>
      </w:rPr>
      <w:fldChar w:fldCharType="separate"/>
    </w:r>
    <w:r w:rsidR="00065AB7">
      <w:rPr>
        <w:noProof/>
        <w:sz w:val="16"/>
        <w:szCs w:val="16"/>
      </w:rPr>
      <w:t>Приложение 5</w:t>
    </w:r>
    <w:r w:rsidR="00065AB7">
      <w:rPr>
        <w:noProof/>
        <w:sz w:val="16"/>
        <w:szCs w:val="16"/>
      </w:rPr>
      <w:br/>
      <w:t>Навигационни и информационни устройства</w:t>
    </w:r>
    <w:r w:rsidRPr="0042206B">
      <w:rPr>
        <w:noProof/>
        <w:sz w:val="16"/>
        <w:szCs w:val="16"/>
      </w:rPr>
      <w:fldChar w:fldCharType="end"/>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2352BD" w:rsidRDefault="002B712C"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065AB7" w:rsidRPr="00065AB7">
      <w:rPr>
        <w:noProof/>
        <w:sz w:val="16"/>
        <w:szCs w:val="16"/>
      </w:rPr>
      <w:t>Приложение 5</w:t>
    </w:r>
    <w:r w:rsidR="00065AB7" w:rsidRPr="00065AB7">
      <w:rPr>
        <w:noProof/>
        <w:sz w:val="16"/>
        <w:szCs w:val="16"/>
      </w:rPr>
      <w:br/>
      <w:t>Навигационни и информационни устройства</w:t>
    </w:r>
    <w:r>
      <w:rPr>
        <w:noProof/>
        <w:sz w:val="16"/>
        <w:szCs w:val="16"/>
      </w:rPr>
      <w:fldChar w:fldCharType="end"/>
    </w:r>
  </w:p>
  <w:p w:rsidR="002B712C" w:rsidRDefault="002B712C"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065AB7">
      <w:rPr>
        <w:noProof/>
        <w:sz w:val="16"/>
        <w:szCs w:val="16"/>
      </w:rPr>
      <w:t>Раздел VI</w:t>
    </w:r>
    <w:r>
      <w:rPr>
        <w:sz w:val="16"/>
        <w:szCs w:val="16"/>
      </w:rPr>
      <w:fldChar w:fldCharType="end"/>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C859BD" w:rsidRDefault="002B712C" w:rsidP="00652F98">
    <w:pPr>
      <w:widowControl w:val="0"/>
      <w:pBdr>
        <w:bottom w:val="single" w:sz="6" w:space="1" w:color="auto"/>
      </w:pBdr>
      <w:tabs>
        <w:tab w:val="right" w:pos="9072"/>
      </w:tabs>
      <w:jc w:val="right"/>
      <w:rPr>
        <w:sz w:val="16"/>
        <w:szCs w:val="16"/>
      </w:rPr>
    </w:pPr>
    <w:r>
      <w:rPr>
        <w:sz w:val="16"/>
      </w:rPr>
      <w:t xml:space="preserve">ES-TRIN </w:t>
    </w:r>
    <w:r>
      <w:tab/>
    </w:r>
    <w:r w:rsidRPr="00C859BD">
      <w:rPr>
        <w:sz w:val="16"/>
        <w:szCs w:val="16"/>
      </w:rPr>
      <w:fldChar w:fldCharType="begin"/>
    </w:r>
    <w:r w:rsidRPr="00C859BD">
      <w:rPr>
        <w:sz w:val="16"/>
        <w:szCs w:val="16"/>
      </w:rPr>
      <w:instrText xml:space="preserve"> STYLEREF  ES-Titre2  \* MERGEFORMAT </w:instrText>
    </w:r>
    <w:r w:rsidRPr="00C859BD">
      <w:rPr>
        <w:sz w:val="16"/>
        <w:szCs w:val="16"/>
      </w:rPr>
      <w:fldChar w:fldCharType="separate"/>
    </w:r>
    <w:r w:rsidR="00065AB7">
      <w:rPr>
        <w:noProof/>
        <w:sz w:val="16"/>
        <w:szCs w:val="16"/>
      </w:rPr>
      <w:t>Приложение 6</w:t>
    </w:r>
    <w:r w:rsidR="00065AB7">
      <w:rPr>
        <w:noProof/>
        <w:sz w:val="16"/>
        <w:szCs w:val="16"/>
      </w:rPr>
      <w:br/>
      <w:t>Протокол за параметрите на двигателя</w:t>
    </w:r>
    <w:r w:rsidRPr="00C859BD">
      <w:rPr>
        <w:noProof/>
        <w:sz w:val="16"/>
        <w:szCs w:val="16"/>
      </w:rPr>
      <w:fldChar w:fldCharType="end"/>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42206B" w:rsidRDefault="002B712C" w:rsidP="009C13A9">
    <w:pPr>
      <w:widowControl w:val="0"/>
      <w:pBdr>
        <w:bottom w:val="single" w:sz="6" w:space="1" w:color="auto"/>
      </w:pBdr>
      <w:tabs>
        <w:tab w:val="right" w:pos="9072"/>
      </w:tabs>
      <w:jc w:val="right"/>
      <w:rPr>
        <w:sz w:val="16"/>
        <w:szCs w:val="16"/>
      </w:rPr>
    </w:pPr>
    <w:r>
      <w:rPr>
        <w:sz w:val="16"/>
      </w:rPr>
      <w:t xml:space="preserve">ES-TRIN </w:t>
    </w:r>
    <w:r>
      <w:tab/>
    </w:r>
    <w:r w:rsidRPr="0042206B">
      <w:rPr>
        <w:sz w:val="16"/>
        <w:szCs w:val="16"/>
      </w:rPr>
      <w:fldChar w:fldCharType="begin"/>
    </w:r>
    <w:r w:rsidRPr="0042206B">
      <w:rPr>
        <w:sz w:val="16"/>
        <w:szCs w:val="16"/>
      </w:rPr>
      <w:instrText xml:space="preserve"> STYLEREF  ES-Titre2  \* MERGEFORMAT </w:instrText>
    </w:r>
    <w:r w:rsidRPr="0042206B">
      <w:rPr>
        <w:sz w:val="16"/>
        <w:szCs w:val="16"/>
      </w:rPr>
      <w:fldChar w:fldCharType="separate"/>
    </w:r>
    <w:r w:rsidR="00065AB7">
      <w:rPr>
        <w:noProof/>
        <w:sz w:val="16"/>
        <w:szCs w:val="16"/>
      </w:rPr>
      <w:t>Приложение 7</w:t>
    </w:r>
    <w:r w:rsidR="00065AB7">
      <w:rPr>
        <w:noProof/>
        <w:sz w:val="16"/>
        <w:szCs w:val="16"/>
      </w:rPr>
      <w:br/>
      <w:t>Бордови станции за пречистване на отпадъчни води</w:t>
    </w:r>
    <w:r w:rsidRPr="0042206B">
      <w:rPr>
        <w:noProof/>
        <w:sz w:val="16"/>
        <w:szCs w:val="16"/>
      </w:rPr>
      <w:fldChar w:fldCharType="end"/>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2352BD" w:rsidRDefault="002B712C"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065AB7" w:rsidRPr="00065AB7">
      <w:rPr>
        <w:noProof/>
        <w:sz w:val="16"/>
        <w:szCs w:val="16"/>
      </w:rPr>
      <w:t>Приложение 7</w:t>
    </w:r>
    <w:r w:rsidR="00065AB7" w:rsidRPr="00065AB7">
      <w:rPr>
        <w:noProof/>
        <w:sz w:val="16"/>
        <w:szCs w:val="16"/>
      </w:rPr>
      <w:br/>
      <w:t>Бордови станции за пречистване</w:t>
    </w:r>
    <w:r w:rsidR="00065AB7">
      <w:rPr>
        <w:noProof/>
      </w:rPr>
      <w:t xml:space="preserve"> на отпадъчни води</w:t>
    </w:r>
    <w:r>
      <w:rPr>
        <w:noProof/>
        <w:sz w:val="16"/>
        <w:szCs w:val="16"/>
      </w:rPr>
      <w:fldChar w:fldCharType="end"/>
    </w:r>
  </w:p>
  <w:p w:rsidR="002B712C" w:rsidRDefault="002B712C"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065AB7">
      <w:rPr>
        <w:noProof/>
        <w:sz w:val="16"/>
        <w:szCs w:val="16"/>
      </w:rPr>
      <w:t>Раздел IV</w:t>
    </w:r>
    <w:r>
      <w:rPr>
        <w:sz w:val="16"/>
        <w:szCs w:val="16"/>
      </w:rPr>
      <w:fldChar w:fldCharType="end"/>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Default="002B712C"/>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2352BD" w:rsidRDefault="002B712C" w:rsidP="009C13A9">
    <w:pPr>
      <w:widowControl w:val="0"/>
      <w:pBdr>
        <w:bottom w:val="single" w:sz="6" w:space="1" w:color="auto"/>
      </w:pBdr>
      <w:tabs>
        <w:tab w:val="right" w:pos="14033"/>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065AB7" w:rsidRPr="00065AB7">
      <w:rPr>
        <w:noProof/>
        <w:sz w:val="16"/>
        <w:szCs w:val="16"/>
      </w:rPr>
      <w:t>Приложение 7</w:t>
    </w:r>
    <w:r w:rsidR="00065AB7" w:rsidRPr="00065AB7">
      <w:rPr>
        <w:noProof/>
        <w:sz w:val="16"/>
        <w:szCs w:val="16"/>
      </w:rPr>
      <w:br/>
      <w:t>Бордови станции за пречистване</w:t>
    </w:r>
    <w:r w:rsidR="00065AB7">
      <w:rPr>
        <w:noProof/>
      </w:rPr>
      <w:t xml:space="preserve"> на отпадъчни води</w:t>
    </w:r>
    <w:r>
      <w:rPr>
        <w:noProof/>
        <w:sz w:val="16"/>
        <w:szCs w:val="16"/>
      </w:rPr>
      <w:fldChar w:fldCharType="end"/>
    </w:r>
  </w:p>
  <w:p w:rsidR="002B712C" w:rsidRDefault="002B712C" w:rsidP="009C13A9">
    <w:pPr>
      <w:widowControl w:val="0"/>
      <w:pBdr>
        <w:bottom w:val="single" w:sz="6" w:space="1" w:color="auto"/>
      </w:pBdr>
      <w:tabs>
        <w:tab w:val="right" w:pos="14033"/>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065AB7">
      <w:rPr>
        <w:noProof/>
        <w:sz w:val="16"/>
        <w:szCs w:val="16"/>
      </w:rPr>
      <w:t>Раздел V</w:t>
    </w:r>
    <w:r>
      <w:rPr>
        <w:sz w:val="16"/>
        <w:szCs w:val="16"/>
      </w:rPr>
      <w:fldChar w:fldCharType="end"/>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Default="002B712C"/>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Default="002B712C"/>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2352BD" w:rsidRDefault="002B712C"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065AB7" w:rsidRPr="00065AB7">
      <w:rPr>
        <w:noProof/>
        <w:sz w:val="16"/>
        <w:szCs w:val="16"/>
      </w:rPr>
      <w:t>Приложение 7</w:t>
    </w:r>
    <w:r w:rsidR="00065AB7" w:rsidRPr="00065AB7">
      <w:rPr>
        <w:noProof/>
        <w:sz w:val="16"/>
        <w:szCs w:val="16"/>
      </w:rPr>
      <w:br/>
      <w:t>Бордови станции за пречистване</w:t>
    </w:r>
    <w:r w:rsidR="00065AB7">
      <w:rPr>
        <w:noProof/>
      </w:rPr>
      <w:t xml:space="preserve"> на отпадъчни води</w:t>
    </w:r>
    <w:r>
      <w:rPr>
        <w:noProof/>
        <w:sz w:val="16"/>
        <w:szCs w:val="16"/>
      </w:rPr>
      <w:fldChar w:fldCharType="end"/>
    </w:r>
  </w:p>
  <w:p w:rsidR="002B712C" w:rsidRDefault="002B712C"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065AB7">
      <w:rPr>
        <w:noProof/>
        <w:sz w:val="16"/>
        <w:szCs w:val="16"/>
      </w:rPr>
      <w:t>Раздел VI</w:t>
    </w:r>
    <w:r>
      <w:rPr>
        <w:sz w:val="16"/>
        <w:szCs w:val="16"/>
      </w:rPr>
      <w:fldChar w:fldCharType="end"/>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Default="002B712C"/>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Default="002B712C"/>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2352BD" w:rsidRDefault="002B712C" w:rsidP="009C13A9">
    <w:pPr>
      <w:widowControl w:val="0"/>
      <w:pBdr>
        <w:bottom w:val="single" w:sz="6" w:space="1" w:color="auto"/>
      </w:pBdr>
      <w:tabs>
        <w:tab w:val="right" w:pos="14033"/>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065AB7" w:rsidRPr="00065AB7">
      <w:rPr>
        <w:noProof/>
        <w:sz w:val="16"/>
        <w:szCs w:val="16"/>
      </w:rPr>
      <w:t>Приложение 7</w:t>
    </w:r>
    <w:r w:rsidR="00065AB7" w:rsidRPr="00065AB7">
      <w:rPr>
        <w:noProof/>
        <w:sz w:val="16"/>
        <w:szCs w:val="16"/>
      </w:rPr>
      <w:br/>
      <w:t>Бордови станции за пречистване</w:t>
    </w:r>
    <w:r w:rsidR="00065AB7">
      <w:rPr>
        <w:noProof/>
      </w:rPr>
      <w:t xml:space="preserve"> на отпадъчни води</w:t>
    </w:r>
    <w:r>
      <w:rPr>
        <w:noProof/>
        <w:sz w:val="16"/>
        <w:szCs w:val="16"/>
      </w:rPr>
      <w:fldChar w:fldCharType="end"/>
    </w:r>
  </w:p>
  <w:p w:rsidR="002B712C" w:rsidRDefault="002B712C" w:rsidP="009C13A9">
    <w:pPr>
      <w:widowControl w:val="0"/>
      <w:pBdr>
        <w:bottom w:val="single" w:sz="6" w:space="1" w:color="auto"/>
      </w:pBdr>
      <w:tabs>
        <w:tab w:val="right" w:pos="14033"/>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065AB7">
      <w:rPr>
        <w:noProof/>
        <w:sz w:val="16"/>
        <w:szCs w:val="16"/>
      </w:rPr>
      <w:t>Раздел VII</w:t>
    </w:r>
    <w:r>
      <w:rPr>
        <w:sz w:val="16"/>
        <w:szCs w:val="16"/>
      </w:rPr>
      <w:fldChar w:fldCharType="end"/>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Default="002B712C"/>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C23950" w:rsidRDefault="002B712C"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065AB7" w:rsidRPr="00065AB7">
      <w:rPr>
        <w:noProof/>
        <w:sz w:val="16"/>
        <w:szCs w:val="16"/>
      </w:rPr>
      <w:t>Приложение 7</w:t>
    </w:r>
    <w:r w:rsidR="00065AB7" w:rsidRPr="00065AB7">
      <w:rPr>
        <w:noProof/>
        <w:sz w:val="16"/>
        <w:szCs w:val="16"/>
      </w:rPr>
      <w:br/>
      <w:t>Бордови станции за пречистване</w:t>
    </w:r>
    <w:r w:rsidR="00065AB7">
      <w:rPr>
        <w:noProof/>
      </w:rPr>
      <w:t xml:space="preserve"> на отпадъчни води</w:t>
    </w:r>
    <w:r>
      <w:rPr>
        <w:noProof/>
        <w:sz w:val="16"/>
        <w:szCs w:val="16"/>
      </w:rPr>
      <w:fldChar w:fldCharType="end"/>
    </w:r>
  </w:p>
  <w:p w:rsidR="002B712C" w:rsidRDefault="002B712C"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065AB7">
      <w:rPr>
        <w:noProof/>
        <w:sz w:val="16"/>
        <w:szCs w:val="16"/>
      </w:rPr>
      <w:t>Раздел VIII</w:t>
    </w:r>
    <w:r>
      <w:rPr>
        <w:sz w:val="16"/>
        <w:szCs w:val="16"/>
      </w:rPr>
      <w:fldChar w:fldCharType="end"/>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2352BD" w:rsidRDefault="002B712C"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Pr="00801F1F">
      <w:rPr>
        <w:noProof/>
        <w:sz w:val="16"/>
        <w:szCs w:val="16"/>
      </w:rPr>
      <w:t>Annex 7</w:t>
    </w:r>
    <w:r w:rsidRPr="00801F1F">
      <w:rPr>
        <w:noProof/>
        <w:sz w:val="16"/>
        <w:szCs w:val="16"/>
      </w:rPr>
      <w:br/>
      <w:t>On-board sewage treatment plants</w:t>
    </w:r>
    <w:r>
      <w:rPr>
        <w:noProof/>
        <w:sz w:val="16"/>
        <w:szCs w:val="16"/>
      </w:rPr>
      <w:fldChar w:fldCharType="end"/>
    </w:r>
  </w:p>
  <w:p w:rsidR="002B712C" w:rsidRDefault="002B712C" w:rsidP="009C13A9">
    <w:pPr>
      <w:widowControl w:val="0"/>
      <w:pBdr>
        <w:bottom w:val="single" w:sz="6" w:space="1" w:color="auto"/>
      </w:pBdr>
      <w:tabs>
        <w:tab w:val="right" w:pos="9072"/>
      </w:tabs>
      <w:jc w:val="right"/>
      <w:rPr>
        <w:sz w:val="16"/>
        <w:szCs w:val="16"/>
      </w:rPr>
    </w:pPr>
    <w:fldSimple w:instr=" STYLEREF  &quot;ES-Titre 3&quot;  \* MERGEFORMAT ">
      <w:r>
        <w:rPr>
          <w:b/>
          <w:bCs/>
          <w:noProof/>
        </w:rPr>
        <w:t>Erreur ! Utilisez l'onglet Accueil pour appliquer ES-Titre 3 au texte que vous souhaitez faire apparaître ici.</w:t>
      </w:r>
    </w:fldSimple>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F46C3C" w:rsidRDefault="002B712C" w:rsidP="001E2331">
    <w:pPr>
      <w:widowControl w:val="0"/>
      <w:pBdr>
        <w:bottom w:val="single" w:sz="6" w:space="1" w:color="auto"/>
      </w:pBdr>
      <w:tabs>
        <w:tab w:val="right" w:pos="9072"/>
      </w:tabs>
      <w:jc w:val="right"/>
      <w:rPr>
        <w:sz w:val="16"/>
        <w:szCs w:val="16"/>
      </w:rPr>
    </w:pPr>
    <w:r>
      <w:rPr>
        <w:sz w:val="16"/>
      </w:rPr>
      <w:t xml:space="preserve">ES-TRIN </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065AB7">
      <w:rPr>
        <w:noProof/>
        <w:sz w:val="16"/>
        <w:szCs w:val="16"/>
      </w:rPr>
      <w:t>Приложение 8</w:t>
    </w:r>
    <w:r w:rsidR="00065AB7">
      <w:rPr>
        <w:noProof/>
        <w:sz w:val="16"/>
        <w:szCs w:val="16"/>
      </w:rPr>
      <w:br/>
      <w:t>Допълнителни разпоредби, приложими за експлоатацията на плавателни средства</w:t>
    </w:r>
    <w:r w:rsidR="00065AB7">
      <w:rPr>
        <w:noProof/>
        <w:sz w:val="16"/>
        <w:szCs w:val="16"/>
      </w:rPr>
      <w:br/>
      <w:t>с горива с температура на възпламеняване по-ниска или равна на 55  C</w:t>
    </w:r>
    <w:r w:rsidRPr="00F46C3C">
      <w:rPr>
        <w:noProof/>
        <w:sz w:val="16"/>
        <w:szCs w:val="16"/>
      </w:rPr>
      <w:fldChar w:fldCharType="end"/>
    </w:r>
  </w:p>
  <w:p w:rsidR="002B712C" w:rsidRDefault="002B712C" w:rsidP="001E2331">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065AB7">
      <w:rPr>
        <w:noProof/>
        <w:sz w:val="16"/>
        <w:szCs w:val="16"/>
      </w:rPr>
      <w:t>Раздел I</w:t>
    </w:r>
    <w:r>
      <w:rPr>
        <w:sz w:val="16"/>
        <w:szCs w:val="16"/>
      </w:rPr>
      <w:fldChar w:fldCharType="end"/>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395A9E" w:rsidRDefault="002B712C" w:rsidP="001E2331">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065AB7" w:rsidRPr="00065AB7">
      <w:rPr>
        <w:noProof/>
        <w:sz w:val="16"/>
        <w:szCs w:val="16"/>
      </w:rPr>
      <w:t>Приложение 7</w:t>
    </w:r>
    <w:r w:rsidR="00065AB7" w:rsidRPr="00065AB7">
      <w:rPr>
        <w:noProof/>
        <w:sz w:val="16"/>
        <w:szCs w:val="16"/>
      </w:rPr>
      <w:br/>
      <w:t>Бордови станции за пречистване</w:t>
    </w:r>
    <w:r w:rsidR="00065AB7">
      <w:rPr>
        <w:noProof/>
      </w:rPr>
      <w:t xml:space="preserve"> на отпадъчни води</w:t>
    </w:r>
    <w:r>
      <w:rPr>
        <w:noProof/>
        <w:sz w:val="16"/>
        <w:szCs w:val="16"/>
      </w:rPr>
      <w:fldChar w:fldCharType="end"/>
    </w:r>
  </w:p>
  <w:p w:rsidR="002B712C" w:rsidRDefault="002B712C" w:rsidP="001E2331">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065AB7">
      <w:rPr>
        <w:noProof/>
        <w:sz w:val="16"/>
        <w:szCs w:val="16"/>
      </w:rPr>
      <w:t>Раздел IX</w:t>
    </w:r>
    <w:r>
      <w:rPr>
        <w:sz w:val="16"/>
        <w:szCs w:val="16"/>
      </w:rPr>
      <w:fldChar w:fldCharType="end"/>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F46C3C" w:rsidRDefault="002B712C" w:rsidP="001E2331">
    <w:pPr>
      <w:widowControl w:val="0"/>
      <w:pBdr>
        <w:bottom w:val="single" w:sz="6" w:space="1" w:color="auto"/>
      </w:pBdr>
      <w:tabs>
        <w:tab w:val="right" w:pos="9072"/>
      </w:tabs>
      <w:jc w:val="right"/>
      <w:rPr>
        <w:sz w:val="16"/>
        <w:szCs w:val="16"/>
      </w:rPr>
    </w:pPr>
    <w:r>
      <w:rPr>
        <w:sz w:val="16"/>
      </w:rPr>
      <w:t xml:space="preserve">ES-TRIN </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065AB7">
      <w:rPr>
        <w:noProof/>
        <w:sz w:val="16"/>
        <w:szCs w:val="16"/>
      </w:rPr>
      <w:t>Приложение 8</w:t>
    </w:r>
    <w:r w:rsidR="00065AB7">
      <w:rPr>
        <w:noProof/>
        <w:sz w:val="16"/>
        <w:szCs w:val="16"/>
      </w:rPr>
      <w:br/>
      <w:t>Допълнителни разпоредби, приложими за експлоатацията на плавателни средства</w:t>
    </w:r>
    <w:r w:rsidR="00065AB7">
      <w:rPr>
        <w:noProof/>
        <w:sz w:val="16"/>
        <w:szCs w:val="16"/>
      </w:rPr>
      <w:br/>
      <w:t>с горива с температура на възпламеняване по-ниска или равна на 55  C</w:t>
    </w:r>
    <w:r w:rsidRPr="00F46C3C">
      <w:rPr>
        <w:noProof/>
        <w:sz w:val="16"/>
        <w:szCs w:val="16"/>
      </w:rPr>
      <w:fldChar w:fldCharType="end"/>
    </w:r>
    <w:r>
      <w:rPr>
        <w:noProof/>
        <w:sz w:val="16"/>
      </w:rPr>
      <w:t xml:space="preserve"> - </w:t>
    </w:r>
    <w:r>
      <w:rPr>
        <w:noProof/>
        <w:sz w:val="16"/>
        <w:szCs w:val="16"/>
      </w:rPr>
      <w:fldChar w:fldCharType="begin"/>
    </w:r>
    <w:r>
      <w:rPr>
        <w:noProof/>
        <w:sz w:val="16"/>
        <w:szCs w:val="16"/>
      </w:rPr>
      <w:instrText xml:space="preserve"> STYLEREF  ES-Titre3  \* MERGEFORMAT </w:instrText>
    </w:r>
    <w:r>
      <w:rPr>
        <w:noProof/>
        <w:sz w:val="16"/>
        <w:szCs w:val="16"/>
      </w:rPr>
      <w:fldChar w:fldCharType="separate"/>
    </w:r>
    <w:r w:rsidR="00065AB7">
      <w:rPr>
        <w:noProof/>
        <w:sz w:val="16"/>
        <w:szCs w:val="16"/>
      </w:rPr>
      <w:t>Раздел I</w:t>
    </w:r>
    <w:r>
      <w:rPr>
        <w:noProof/>
        <w:sz w:val="16"/>
        <w:szCs w:val="16"/>
      </w:rPr>
      <w:fldChar w:fldCharType="end"/>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767CBB" w:rsidRDefault="002B712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767CBB">
      <w:rPr>
        <w:sz w:val="16"/>
        <w:szCs w:val="16"/>
      </w:rPr>
      <w:instrText xml:space="preserve"> STYLEREF  Es-Titre_annexes  \* MERGEFORMAT </w:instrText>
    </w:r>
    <w:r>
      <w:rPr>
        <w:sz w:val="16"/>
        <w:szCs w:val="16"/>
      </w:rPr>
      <w:fldChar w:fldCharType="separate"/>
    </w:r>
    <w:r w:rsidR="00065AB7">
      <w:rPr>
        <w:noProof/>
        <w:sz w:val="16"/>
        <w:szCs w:val="16"/>
      </w:rPr>
      <w:t>Инструкции за прилагането на техническия стандарт</w:t>
    </w:r>
    <w:r>
      <w:rPr>
        <w:sz w:val="16"/>
        <w:szCs w:val="16"/>
      </w:rPr>
      <w:fldChar w:fldCharType="end"/>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767CBB" w:rsidRDefault="002B712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767CBB">
      <w:rPr>
        <w:sz w:val="16"/>
        <w:szCs w:val="16"/>
      </w:rPr>
      <w:instrText xml:space="preserve"> STYLEREF  Es-Titre_annexes  \* MERGEFORMAT </w:instrText>
    </w:r>
    <w:r>
      <w:rPr>
        <w:sz w:val="16"/>
        <w:szCs w:val="16"/>
      </w:rPr>
      <w:fldChar w:fldCharType="separate"/>
    </w:r>
    <w:r w:rsidR="00065AB7">
      <w:rPr>
        <w:noProof/>
        <w:sz w:val="16"/>
        <w:szCs w:val="16"/>
      </w:rPr>
      <w:t>Инструкции за прилагането на техническия стандарт</w:t>
    </w:r>
    <w:r>
      <w:rPr>
        <w:sz w:val="16"/>
        <w:szCs w:val="16"/>
      </w:rPr>
      <w:fldChar w:fldCharType="end"/>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5B46C9" w:rsidRDefault="002B712C" w:rsidP="00D45887">
    <w:pPr>
      <w:widowControl w:val="0"/>
      <w:pBdr>
        <w:bottom w:val="single" w:sz="6" w:space="1" w:color="auto"/>
      </w:pBdr>
      <w:tabs>
        <w:tab w:val="right" w:pos="9072"/>
      </w:tabs>
      <w:jc w:val="right"/>
      <w:rPr>
        <w:sz w:val="16"/>
        <w:szCs w:val="16"/>
      </w:rPr>
    </w:pPr>
    <w:r>
      <w:rPr>
        <w:sz w:val="16"/>
      </w:rPr>
      <w:t xml:space="preserve">ES-TRIN </w:t>
    </w:r>
    <w:r>
      <w:tab/>
    </w:r>
    <w:r w:rsidRPr="00A84512">
      <w:rPr>
        <w:sz w:val="16"/>
        <w:szCs w:val="16"/>
      </w:rPr>
      <w:fldChar w:fldCharType="begin"/>
    </w:r>
    <w:r w:rsidRPr="00A84512">
      <w:rPr>
        <w:sz w:val="16"/>
        <w:szCs w:val="16"/>
      </w:rPr>
      <w:instrText xml:space="preserve"> STYLEREF  ES-Titre2_ESI  \* MERGEFORMAT </w:instrText>
    </w:r>
    <w:r w:rsidRPr="00A84512">
      <w:rPr>
        <w:sz w:val="16"/>
        <w:szCs w:val="16"/>
      </w:rPr>
      <w:fldChar w:fldCharType="separate"/>
    </w:r>
    <w:r w:rsidR="00C229CB" w:rsidRPr="00C229CB">
      <w:rPr>
        <w:bCs/>
        <w:noProof/>
        <w:sz w:val="16"/>
        <w:szCs w:val="16"/>
      </w:rPr>
      <w:t>ESI-II-3</w:t>
    </w:r>
    <w:r w:rsidR="00C229CB" w:rsidRPr="00C229CB">
      <w:rPr>
        <w:bCs/>
        <w:noProof/>
        <w:sz w:val="16"/>
        <w:szCs w:val="16"/>
      </w:rPr>
      <w:br/>
      <w:t>Минимална предписана скорост на</w:t>
    </w:r>
    <w:r w:rsidR="00C229CB">
      <w:rPr>
        <w:noProof/>
        <w:sz w:val="16"/>
        <w:szCs w:val="16"/>
      </w:rPr>
      <w:t xml:space="preserve"> движение напред, способност за спиране и способност за движение на заден ход</w:t>
    </w:r>
    <w:r w:rsidRPr="00A84512">
      <w:rPr>
        <w:sz w:val="16"/>
        <w:szCs w:val="16"/>
      </w:rPr>
      <w:fldChar w:fldCharType="end"/>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A84512" w:rsidRDefault="002B712C" w:rsidP="00D45887">
    <w:pPr>
      <w:widowControl w:val="0"/>
      <w:pBdr>
        <w:bottom w:val="single" w:sz="6" w:space="1" w:color="auto"/>
      </w:pBdr>
      <w:tabs>
        <w:tab w:val="right" w:pos="9072"/>
      </w:tabs>
      <w:jc w:val="right"/>
      <w:rPr>
        <w:sz w:val="16"/>
        <w:szCs w:val="16"/>
      </w:rPr>
    </w:pPr>
    <w:r>
      <w:rPr>
        <w:sz w:val="16"/>
      </w:rPr>
      <w:t xml:space="preserve">ES-TRIN </w:t>
    </w:r>
    <w:r>
      <w:tab/>
    </w:r>
    <w:r w:rsidRPr="00A84512">
      <w:rPr>
        <w:sz w:val="16"/>
        <w:szCs w:val="16"/>
      </w:rPr>
      <w:fldChar w:fldCharType="begin"/>
    </w:r>
    <w:r w:rsidRPr="00A84512">
      <w:rPr>
        <w:sz w:val="16"/>
        <w:szCs w:val="16"/>
      </w:rPr>
      <w:instrText xml:space="preserve"> STYLEREF  ES-Titre2_ESI  \* MERGEFORMAT </w:instrText>
    </w:r>
    <w:r w:rsidRPr="00A84512">
      <w:rPr>
        <w:sz w:val="16"/>
        <w:szCs w:val="16"/>
      </w:rPr>
      <w:fldChar w:fldCharType="separate"/>
    </w:r>
    <w:r w:rsidR="00C229CB" w:rsidRPr="00C229CB">
      <w:rPr>
        <w:bCs/>
        <w:noProof/>
        <w:sz w:val="16"/>
        <w:szCs w:val="16"/>
      </w:rPr>
      <w:t>ESI-II-3</w:t>
    </w:r>
    <w:r w:rsidR="00C229CB" w:rsidRPr="00C229CB">
      <w:rPr>
        <w:bCs/>
        <w:noProof/>
        <w:sz w:val="16"/>
        <w:szCs w:val="16"/>
      </w:rPr>
      <w:br/>
      <w:t>Минимална предписана скорост на</w:t>
    </w:r>
    <w:r w:rsidR="00C229CB">
      <w:rPr>
        <w:noProof/>
        <w:sz w:val="16"/>
        <w:szCs w:val="16"/>
      </w:rPr>
      <w:t xml:space="preserve"> движение напред, способност за спиране и способност за движение на заден ход</w:t>
    </w:r>
    <w:r w:rsidRPr="00A84512">
      <w:rPr>
        <w:sz w:val="16"/>
        <w:szCs w:val="16"/>
      </w:rPr>
      <w:fldChar w:fldCharType="end"/>
    </w: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5B46C9" w:rsidRDefault="002B712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C229CB" w:rsidRPr="00C229CB">
      <w:rPr>
        <w:bCs/>
        <w:noProof/>
        <w:sz w:val="16"/>
        <w:szCs w:val="16"/>
      </w:rPr>
      <w:t>ESI-II-3</w:t>
    </w:r>
    <w:r w:rsidR="00C229CB" w:rsidRPr="00C229CB">
      <w:rPr>
        <w:bCs/>
        <w:noProof/>
        <w:sz w:val="16"/>
        <w:szCs w:val="16"/>
      </w:rPr>
      <w:br/>
      <w:t xml:space="preserve">Минимална предписана скорост на </w:t>
    </w:r>
    <w:r w:rsidR="00C229CB" w:rsidRPr="00C229CB">
      <w:rPr>
        <w:b/>
        <w:bCs/>
        <w:noProof/>
        <w:sz w:val="16"/>
        <w:szCs w:val="16"/>
      </w:rPr>
      <w:t>движение</w:t>
    </w:r>
    <w:r w:rsidR="00C229CB">
      <w:rPr>
        <w:noProof/>
        <w:sz w:val="16"/>
        <w:szCs w:val="16"/>
      </w:rPr>
      <w:t xml:space="preserve"> напред, способност за спиране и способност за движение на заден ход</w:t>
    </w:r>
    <w:r>
      <w:rPr>
        <w:sz w:val="16"/>
        <w:szCs w:val="16"/>
      </w:rPr>
      <w:fldChar w:fldCharType="end"/>
    </w:r>
    <w:r>
      <w:rPr>
        <w:sz w:val="16"/>
      </w:rPr>
      <w:t xml:space="preserve"> -</w:t>
    </w:r>
  </w:p>
  <w:p w:rsidR="002B712C" w:rsidRPr="004F47BB" w:rsidRDefault="002B712C"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C229CB">
      <w:rPr>
        <w:noProof/>
        <w:sz w:val="16"/>
        <w:szCs w:val="16"/>
      </w:rPr>
      <w:t>Приложение 1 към указание ESI-II-3</w:t>
    </w:r>
    <w:r>
      <w:rPr>
        <w:sz w:val="16"/>
        <w:szCs w:val="16"/>
      </w:rPr>
      <w:fldChar w:fldCharType="end"/>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5B46C9" w:rsidRDefault="002B712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C229CB" w:rsidRPr="00C229CB">
      <w:rPr>
        <w:bCs/>
        <w:noProof/>
        <w:sz w:val="16"/>
        <w:szCs w:val="16"/>
      </w:rPr>
      <w:t>ESI-II-3</w:t>
    </w:r>
    <w:r w:rsidR="00C229CB" w:rsidRPr="00C229CB">
      <w:rPr>
        <w:bCs/>
        <w:noProof/>
        <w:sz w:val="16"/>
        <w:szCs w:val="16"/>
      </w:rPr>
      <w:br/>
      <w:t>Минимална предписана скорост на движение</w:t>
    </w:r>
    <w:r w:rsidR="00C229CB">
      <w:rPr>
        <w:noProof/>
        <w:sz w:val="16"/>
        <w:szCs w:val="16"/>
      </w:rPr>
      <w:t xml:space="preserve"> напред, способност за спиране и способност за движение на заден ход</w:t>
    </w:r>
    <w:r>
      <w:rPr>
        <w:sz w:val="16"/>
        <w:szCs w:val="16"/>
      </w:rPr>
      <w:fldChar w:fldCharType="end"/>
    </w:r>
    <w:r>
      <w:rPr>
        <w:sz w:val="16"/>
      </w:rPr>
      <w:t xml:space="preserve"> -</w:t>
    </w:r>
  </w:p>
  <w:p w:rsidR="002B712C" w:rsidRPr="004F47BB" w:rsidRDefault="002B712C"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C229CB">
      <w:rPr>
        <w:noProof/>
        <w:sz w:val="16"/>
        <w:szCs w:val="16"/>
      </w:rPr>
      <w:t>Приложение 1 към указание ESI-II-3</w:t>
    </w:r>
    <w:r>
      <w:rPr>
        <w:sz w:val="16"/>
        <w:szCs w:val="16"/>
      </w:rPr>
      <w:fldChar w:fldCharType="end"/>
    </w: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5B46C9" w:rsidRDefault="002B712C" w:rsidP="005B46C9">
    <w:pPr>
      <w:widowControl w:val="0"/>
      <w:pBdr>
        <w:bottom w:val="single" w:sz="6" w:space="1" w:color="auto"/>
      </w:pBdr>
      <w:tabs>
        <w:tab w:val="right" w:pos="1389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C229CB" w:rsidRPr="00C229CB">
      <w:rPr>
        <w:bCs/>
        <w:noProof/>
        <w:sz w:val="16"/>
        <w:szCs w:val="16"/>
      </w:rPr>
      <w:t>ESI-II-3</w:t>
    </w:r>
    <w:r w:rsidR="00C229CB" w:rsidRPr="00C229CB">
      <w:rPr>
        <w:bCs/>
        <w:noProof/>
        <w:sz w:val="16"/>
        <w:szCs w:val="16"/>
      </w:rPr>
      <w:br/>
      <w:t>Минимална предписана скорост на движение</w:t>
    </w:r>
    <w:r w:rsidR="00C229CB">
      <w:rPr>
        <w:noProof/>
        <w:sz w:val="16"/>
        <w:szCs w:val="16"/>
      </w:rPr>
      <w:t xml:space="preserve"> напред, способност за спиране и способност за движение на заден ход</w:t>
    </w:r>
    <w:r>
      <w:rPr>
        <w:sz w:val="16"/>
        <w:szCs w:val="16"/>
      </w:rPr>
      <w:fldChar w:fldCharType="end"/>
    </w:r>
    <w:r>
      <w:rPr>
        <w:sz w:val="16"/>
      </w:rPr>
      <w:t xml:space="preserve"> -</w:t>
    </w:r>
  </w:p>
  <w:p w:rsidR="002B712C" w:rsidRPr="004F47BB" w:rsidRDefault="002B712C"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C229CB">
      <w:rPr>
        <w:noProof/>
        <w:sz w:val="16"/>
        <w:szCs w:val="16"/>
      </w:rPr>
      <w:t>Приложение 1 към указание ESI-II-3</w:t>
    </w:r>
    <w:r>
      <w:rPr>
        <w:sz w:val="16"/>
        <w:szCs w:val="16"/>
      </w:rPr>
      <w:fldChar w:fldCharType="end"/>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5B46C9" w:rsidRDefault="002B712C" w:rsidP="00D45887">
    <w:pPr>
      <w:widowControl w:val="0"/>
      <w:pBdr>
        <w:bottom w:val="single" w:sz="6" w:space="1" w:color="auto"/>
      </w:pBdr>
      <w:tabs>
        <w:tab w:val="right" w:pos="9072"/>
      </w:tabs>
      <w:jc w:val="right"/>
      <w:rPr>
        <w:sz w:val="16"/>
        <w:szCs w:val="16"/>
      </w:rPr>
    </w:pPr>
    <w:r>
      <w:rPr>
        <w:sz w:val="16"/>
      </w:rPr>
      <w:t xml:space="preserve">ES-TRIN </w:t>
    </w:r>
    <w:r>
      <w:tab/>
    </w:r>
    <w:r w:rsidRPr="00CD0739">
      <w:rPr>
        <w:sz w:val="16"/>
        <w:szCs w:val="16"/>
      </w:rPr>
      <w:fldChar w:fldCharType="begin"/>
    </w:r>
    <w:r w:rsidRPr="005B46C9">
      <w:rPr>
        <w:sz w:val="16"/>
        <w:szCs w:val="16"/>
      </w:rPr>
      <w:instrText xml:space="preserve"> STYLEREF  ES-Titre2_ESI  \* MERGEFORMAT </w:instrText>
    </w:r>
    <w:r w:rsidRPr="00CD0739">
      <w:rPr>
        <w:sz w:val="16"/>
        <w:szCs w:val="16"/>
      </w:rPr>
      <w:fldChar w:fldCharType="separate"/>
    </w:r>
    <w:r w:rsidR="005B3B11" w:rsidRPr="005B3B11">
      <w:rPr>
        <w:bCs/>
        <w:noProof/>
        <w:sz w:val="16"/>
        <w:szCs w:val="16"/>
      </w:rPr>
      <w:t>ESI-II-3</w:t>
    </w:r>
    <w:r w:rsidR="005B3B11" w:rsidRPr="005B3B11">
      <w:rPr>
        <w:bCs/>
        <w:noProof/>
        <w:sz w:val="16"/>
        <w:szCs w:val="16"/>
      </w:rPr>
      <w:br/>
      <w:t>Минимална предписана скорост на движение</w:t>
    </w:r>
    <w:r w:rsidR="005B3B11">
      <w:rPr>
        <w:noProof/>
        <w:sz w:val="16"/>
        <w:szCs w:val="16"/>
      </w:rPr>
      <w:t xml:space="preserve"> напред, способност за спиране и способност за движение на заден ход</w:t>
    </w:r>
    <w:r w:rsidRPr="00CD0739">
      <w:rPr>
        <w:sz w:val="16"/>
        <w:szCs w:val="16"/>
      </w:rPr>
      <w:fldChar w:fldCharType="end"/>
    </w:r>
    <w:r>
      <w:rPr>
        <w:sz w:val="16"/>
      </w:rPr>
      <w:t xml:space="preserve"> –</w:t>
    </w:r>
  </w:p>
  <w:p w:rsidR="002B712C" w:rsidRPr="004F47BB" w:rsidRDefault="002B712C"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5B3B11">
      <w:rPr>
        <w:noProof/>
        <w:sz w:val="16"/>
        <w:szCs w:val="16"/>
      </w:rPr>
      <w:t>Приложение 2 към указание ESI-II-3</w:t>
    </w:r>
    <w:r>
      <w:rPr>
        <w:sz w:val="16"/>
        <w:szCs w:val="16"/>
      </w:rPr>
      <w:fldChar w:fldCharType="end"/>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5B46C9" w:rsidRDefault="002B712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C229CB" w:rsidRPr="00C229CB">
      <w:rPr>
        <w:bCs/>
        <w:noProof/>
        <w:sz w:val="16"/>
        <w:szCs w:val="16"/>
      </w:rPr>
      <w:t>ESI-II-3</w:t>
    </w:r>
    <w:r w:rsidR="00C229CB" w:rsidRPr="00C229CB">
      <w:rPr>
        <w:bCs/>
        <w:noProof/>
        <w:sz w:val="16"/>
        <w:szCs w:val="16"/>
      </w:rPr>
      <w:br/>
      <w:t>Минимална предписана скорост на движение</w:t>
    </w:r>
    <w:r w:rsidR="00C229CB">
      <w:rPr>
        <w:noProof/>
        <w:sz w:val="16"/>
        <w:szCs w:val="16"/>
      </w:rPr>
      <w:t xml:space="preserve"> напред, способност за спиране и способност за движение на заден ход</w:t>
    </w:r>
    <w:r>
      <w:rPr>
        <w:sz w:val="16"/>
        <w:szCs w:val="16"/>
      </w:rPr>
      <w:fldChar w:fldCharType="end"/>
    </w:r>
    <w:r>
      <w:rPr>
        <w:sz w:val="16"/>
      </w:rPr>
      <w:t xml:space="preserve"> -</w:t>
    </w:r>
  </w:p>
  <w:p w:rsidR="002B712C" w:rsidRPr="004F47BB" w:rsidRDefault="002B712C"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C229CB">
      <w:rPr>
        <w:noProof/>
        <w:sz w:val="16"/>
        <w:szCs w:val="16"/>
      </w:rPr>
      <w:t>Приложение 2 към указание ESI-II-3</w:t>
    </w:r>
    <w:r>
      <w:rPr>
        <w:sz w:val="16"/>
        <w:szCs w:val="16"/>
      </w:rPr>
      <w:fldChar w:fldCharType="end"/>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5B46C9" w:rsidRDefault="002B712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377293" w:rsidRPr="00377293">
      <w:rPr>
        <w:bCs/>
        <w:noProof/>
        <w:sz w:val="16"/>
        <w:szCs w:val="16"/>
      </w:rPr>
      <w:t>ESI-II-3</w:t>
    </w:r>
    <w:r w:rsidR="00377293" w:rsidRPr="00377293">
      <w:rPr>
        <w:bCs/>
        <w:noProof/>
        <w:sz w:val="16"/>
        <w:szCs w:val="16"/>
      </w:rPr>
      <w:br/>
      <w:t>Минимална предписана скорост на движение</w:t>
    </w:r>
    <w:r w:rsidR="00377293">
      <w:rPr>
        <w:noProof/>
        <w:sz w:val="16"/>
        <w:szCs w:val="16"/>
      </w:rPr>
      <w:t xml:space="preserve"> напред, способност за спиране и способност за движение на заден ход</w:t>
    </w:r>
    <w:r>
      <w:rPr>
        <w:sz w:val="16"/>
        <w:szCs w:val="16"/>
      </w:rPr>
      <w:fldChar w:fldCharType="end"/>
    </w:r>
    <w:r>
      <w:rPr>
        <w:sz w:val="16"/>
      </w:rPr>
      <w:t xml:space="preserve"> – </w:t>
    </w:r>
  </w:p>
  <w:p w:rsidR="002B712C" w:rsidRPr="009E63BD" w:rsidRDefault="002B712C" w:rsidP="00D45887">
    <w:pPr>
      <w:widowControl w:val="0"/>
      <w:pBdr>
        <w:bottom w:val="single" w:sz="6" w:space="1" w:color="auto"/>
      </w:pBdr>
      <w:tabs>
        <w:tab w:val="right" w:pos="9072"/>
      </w:tabs>
      <w:jc w:val="right"/>
      <w:rPr>
        <w:sz w:val="16"/>
        <w:szCs w:val="16"/>
      </w:rPr>
    </w:pPr>
    <w:r>
      <w:rPr>
        <w:sz w:val="16"/>
        <w:szCs w:val="16"/>
      </w:rPr>
      <w:fldChar w:fldCharType="begin"/>
    </w:r>
    <w:r w:rsidRPr="009E63BD">
      <w:rPr>
        <w:sz w:val="16"/>
        <w:szCs w:val="16"/>
      </w:rPr>
      <w:instrText xml:space="preserve"> STYLEREF  ES-Titre4  \* MERGEFORMAT </w:instrText>
    </w:r>
    <w:r>
      <w:rPr>
        <w:sz w:val="16"/>
        <w:szCs w:val="16"/>
      </w:rPr>
      <w:fldChar w:fldCharType="separate"/>
    </w:r>
    <w:r w:rsidR="00377293">
      <w:rPr>
        <w:noProof/>
        <w:sz w:val="16"/>
        <w:szCs w:val="16"/>
      </w:rPr>
      <w:t>Допълнение към приложение 2 към указание ESI-II-3</w:t>
    </w:r>
    <w:r>
      <w:rPr>
        <w:sz w:val="16"/>
        <w:szCs w:val="16"/>
      </w:rPr>
      <w:fldChar w:fldCharType="end"/>
    </w:r>
    <w:r>
      <w:rPr>
        <w:sz w:val="16"/>
      </w:rPr>
      <w:t xml:space="preserve"> - </w:t>
    </w:r>
    <w:r>
      <w:rPr>
        <w:sz w:val="16"/>
        <w:szCs w:val="16"/>
      </w:rPr>
      <w:fldChar w:fldCharType="begin"/>
    </w:r>
    <w:r w:rsidRPr="009E63BD">
      <w:rPr>
        <w:sz w:val="16"/>
        <w:szCs w:val="16"/>
      </w:rPr>
      <w:instrText xml:space="preserve"> STYLEREF  ES-Titre4_pr_ESI_exple  \* MERGEFORMAT </w:instrText>
    </w:r>
    <w:r>
      <w:rPr>
        <w:sz w:val="16"/>
        <w:szCs w:val="16"/>
      </w:rPr>
      <w:fldChar w:fldCharType="separate"/>
    </w:r>
    <w:r w:rsidR="00377293">
      <w:rPr>
        <w:noProof/>
        <w:sz w:val="16"/>
        <w:szCs w:val="16"/>
      </w:rPr>
      <w:t>Пример II</w:t>
    </w:r>
    <w:r>
      <w:rPr>
        <w:sz w:val="16"/>
        <w:szCs w:val="16"/>
      </w:rPr>
      <w:fldChar w:fldCharType="end"/>
    </w: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5B46C9" w:rsidRDefault="002B712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5B3B11" w:rsidRPr="005B3B11">
      <w:rPr>
        <w:bCs/>
        <w:noProof/>
        <w:sz w:val="16"/>
        <w:szCs w:val="16"/>
      </w:rPr>
      <w:t>ESI-II-3</w:t>
    </w:r>
    <w:r w:rsidR="005B3B11" w:rsidRPr="005B3B11">
      <w:rPr>
        <w:bCs/>
        <w:noProof/>
        <w:sz w:val="16"/>
        <w:szCs w:val="16"/>
      </w:rPr>
      <w:br/>
      <w:t>Минимална предписана скорост на движение</w:t>
    </w:r>
    <w:r w:rsidR="005B3B11">
      <w:rPr>
        <w:noProof/>
        <w:sz w:val="16"/>
        <w:szCs w:val="16"/>
      </w:rPr>
      <w:t xml:space="preserve"> напред, способност за спиране и способност за движение на заден ход</w:t>
    </w:r>
    <w:r>
      <w:rPr>
        <w:sz w:val="16"/>
        <w:szCs w:val="16"/>
      </w:rPr>
      <w:fldChar w:fldCharType="end"/>
    </w:r>
    <w:r>
      <w:rPr>
        <w:sz w:val="16"/>
      </w:rPr>
      <w:t xml:space="preserve"> -</w:t>
    </w:r>
  </w:p>
  <w:p w:rsidR="002B712C" w:rsidRPr="00E846E9" w:rsidRDefault="002B712C"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5B3B11">
      <w:rPr>
        <w:noProof/>
        <w:sz w:val="16"/>
        <w:szCs w:val="16"/>
      </w:rPr>
      <w:t>Допълнение към приложение 2 към указание ESI-II-3</w:t>
    </w:r>
    <w:r>
      <w:rPr>
        <w:sz w:val="16"/>
        <w:szCs w:val="16"/>
      </w:rPr>
      <w:fldChar w:fldCharType="end"/>
    </w:r>
    <w:r>
      <w:rPr>
        <w:sz w:val="16"/>
      </w:rPr>
      <w:t>–</w:t>
    </w:r>
    <w:r>
      <w:rPr>
        <w:sz w:val="16"/>
        <w:szCs w:val="16"/>
      </w:rPr>
      <w:fldChar w:fldCharType="begin"/>
    </w:r>
    <w:r>
      <w:rPr>
        <w:sz w:val="16"/>
        <w:szCs w:val="16"/>
      </w:rPr>
      <w:instrText xml:space="preserve"> STYLEREF  ES-Titre4_pr_ESI_exple  \* MERGEFORMAT </w:instrText>
    </w:r>
    <w:r>
      <w:rPr>
        <w:sz w:val="16"/>
        <w:szCs w:val="16"/>
      </w:rPr>
      <w:fldChar w:fldCharType="separate"/>
    </w:r>
    <w:r w:rsidR="005B3B11">
      <w:rPr>
        <w:noProof/>
        <w:sz w:val="16"/>
        <w:szCs w:val="16"/>
      </w:rPr>
      <w:t>Пример I</w:t>
    </w:r>
    <w:r>
      <w:rPr>
        <w:sz w:val="16"/>
        <w:szCs w:val="16"/>
      </w:rPr>
      <w:fldChar w:fldCharType="end"/>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5B46C9" w:rsidRDefault="002B712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5B3B11" w:rsidRPr="005B3B11">
      <w:rPr>
        <w:bCs/>
        <w:noProof/>
        <w:sz w:val="16"/>
        <w:szCs w:val="16"/>
      </w:rPr>
      <w:t>ESI-II-3</w:t>
    </w:r>
    <w:r w:rsidR="005B3B11" w:rsidRPr="005B3B11">
      <w:rPr>
        <w:bCs/>
        <w:noProof/>
        <w:sz w:val="16"/>
        <w:szCs w:val="16"/>
      </w:rPr>
      <w:br/>
      <w:t>Минимална предписана скорост на движение</w:t>
    </w:r>
    <w:r w:rsidR="005B3B11">
      <w:rPr>
        <w:noProof/>
        <w:sz w:val="16"/>
        <w:szCs w:val="16"/>
      </w:rPr>
      <w:t xml:space="preserve"> напред, способност за спиране и способност за движение на заден ход</w:t>
    </w:r>
    <w:r>
      <w:rPr>
        <w:sz w:val="16"/>
        <w:szCs w:val="16"/>
      </w:rPr>
      <w:fldChar w:fldCharType="end"/>
    </w:r>
    <w:r>
      <w:rPr>
        <w:sz w:val="16"/>
      </w:rPr>
      <w:t xml:space="preserve"> – </w:t>
    </w:r>
  </w:p>
  <w:p w:rsidR="002B712C" w:rsidRPr="006B7368" w:rsidRDefault="002B712C" w:rsidP="00D45887">
    <w:pPr>
      <w:widowControl w:val="0"/>
      <w:pBdr>
        <w:bottom w:val="single" w:sz="6" w:space="1" w:color="auto"/>
      </w:pBdr>
      <w:tabs>
        <w:tab w:val="right" w:pos="9072"/>
      </w:tabs>
      <w:jc w:val="right"/>
      <w:rPr>
        <w:sz w:val="16"/>
        <w:szCs w:val="16"/>
      </w:rPr>
    </w:pPr>
    <w:r>
      <w:rPr>
        <w:sz w:val="16"/>
        <w:szCs w:val="16"/>
      </w:rPr>
      <w:fldChar w:fldCharType="begin"/>
    </w:r>
    <w:r w:rsidRPr="006B7368">
      <w:rPr>
        <w:sz w:val="16"/>
        <w:szCs w:val="16"/>
      </w:rPr>
      <w:instrText xml:space="preserve"> STYLEREF  ES-Titre4  \* MERGEFORMAT </w:instrText>
    </w:r>
    <w:r>
      <w:rPr>
        <w:sz w:val="16"/>
        <w:szCs w:val="16"/>
      </w:rPr>
      <w:fldChar w:fldCharType="separate"/>
    </w:r>
    <w:r w:rsidR="005B3B11">
      <w:rPr>
        <w:noProof/>
        <w:sz w:val="16"/>
        <w:szCs w:val="16"/>
      </w:rPr>
      <w:t>Допълнение към приложение 2 към указание ESI-II-3</w:t>
    </w:r>
    <w:r>
      <w:rPr>
        <w:sz w:val="16"/>
        <w:szCs w:val="16"/>
      </w:rPr>
      <w:fldChar w:fldCharType="end"/>
    </w:r>
    <w:r>
      <w:rPr>
        <w:sz w:val="16"/>
      </w:rPr>
      <w:t xml:space="preserve"> - </w:t>
    </w:r>
    <w:r>
      <w:rPr>
        <w:sz w:val="16"/>
        <w:szCs w:val="16"/>
      </w:rPr>
      <w:fldChar w:fldCharType="begin"/>
    </w:r>
    <w:r w:rsidRPr="006B7368">
      <w:rPr>
        <w:sz w:val="16"/>
        <w:szCs w:val="16"/>
      </w:rPr>
      <w:instrText xml:space="preserve"> STYLEREF  ES-Titre4_pr_ESI_exple  \* MERGEFORMAT </w:instrText>
    </w:r>
    <w:r>
      <w:rPr>
        <w:sz w:val="16"/>
        <w:szCs w:val="16"/>
      </w:rPr>
      <w:fldChar w:fldCharType="separate"/>
    </w:r>
    <w:r w:rsidR="005B3B11">
      <w:rPr>
        <w:noProof/>
        <w:sz w:val="16"/>
        <w:szCs w:val="16"/>
      </w:rPr>
      <w:t>Пример II</w:t>
    </w:r>
    <w:r>
      <w:rPr>
        <w:sz w:val="16"/>
        <w:szCs w:val="16"/>
      </w:rPr>
      <w:fldChar w:fldCharType="end"/>
    </w: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9025E1" w:rsidRDefault="002B712C"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377293" w:rsidRPr="00377293">
      <w:rPr>
        <w:bCs/>
        <w:noProof/>
        <w:sz w:val="16"/>
        <w:szCs w:val="16"/>
      </w:rPr>
      <w:t>ESI-II-4</w:t>
    </w:r>
    <w:r w:rsidR="00377293" w:rsidRPr="00377293">
      <w:rPr>
        <w:bCs/>
        <w:noProof/>
        <w:sz w:val="16"/>
        <w:szCs w:val="16"/>
      </w:rPr>
      <w:br/>
      <w:t>Способност за отклоняване и извършване</w:t>
    </w:r>
    <w:r w:rsidR="00377293">
      <w:rPr>
        <w:noProof/>
        <w:sz w:val="16"/>
        <w:szCs w:val="16"/>
      </w:rPr>
      <w:t xml:space="preserve"> на поворот</w:t>
    </w:r>
    <w:r w:rsidRPr="005B46C9">
      <w:rPr>
        <w:sz w:val="16"/>
        <w:szCs w:val="16"/>
      </w:rPr>
      <w:fldChar w:fldCharType="end"/>
    </w: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5B46C9" w:rsidRDefault="002B712C"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377293" w:rsidRPr="00377293">
      <w:rPr>
        <w:bCs/>
        <w:noProof/>
        <w:sz w:val="16"/>
        <w:szCs w:val="16"/>
      </w:rPr>
      <w:t>ESI-II-4</w:t>
    </w:r>
    <w:r w:rsidR="00377293" w:rsidRPr="00377293">
      <w:rPr>
        <w:bCs/>
        <w:noProof/>
        <w:sz w:val="16"/>
        <w:szCs w:val="16"/>
      </w:rPr>
      <w:br/>
      <w:t>Способност за отклоняване и извършване</w:t>
    </w:r>
    <w:r w:rsidR="00377293">
      <w:rPr>
        <w:noProof/>
        <w:sz w:val="16"/>
        <w:szCs w:val="16"/>
      </w:rPr>
      <w:t xml:space="preserve"> на поворот</w:t>
    </w:r>
    <w:r w:rsidRPr="005B46C9">
      <w:rPr>
        <w:sz w:val="16"/>
        <w:szCs w:val="16"/>
      </w:rPr>
      <w:fldChar w:fldCharType="end"/>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9025E1" w:rsidRDefault="002B712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9025E1">
      <w:rPr>
        <w:sz w:val="16"/>
        <w:szCs w:val="16"/>
      </w:rPr>
      <w:instrText xml:space="preserve"> STYLEREF  ES-Titre2  \* MERGEFORMAT </w:instrText>
    </w:r>
    <w:r>
      <w:rPr>
        <w:sz w:val="16"/>
        <w:szCs w:val="16"/>
      </w:rPr>
      <w:fldChar w:fldCharType="separate"/>
    </w:r>
    <w:r>
      <w:rPr>
        <w:noProof/>
        <w:sz w:val="16"/>
        <w:szCs w:val="16"/>
      </w:rPr>
      <w:t>Annex 8</w:t>
    </w:r>
    <w:r>
      <w:rPr>
        <w:noProof/>
        <w:sz w:val="16"/>
        <w:szCs w:val="16"/>
      </w:rPr>
      <w:br/>
      <w:t>Supplementary provisions applicable to craft operating</w:t>
    </w:r>
    <w:r>
      <w:rPr>
        <w:noProof/>
        <w:sz w:val="16"/>
        <w:szCs w:val="16"/>
      </w:rPr>
      <w:br/>
      <w:t>on fuels with a flashpoint equal to or lower than 55  C</w:t>
    </w:r>
    <w:r>
      <w:rPr>
        <w:sz w:val="16"/>
        <w:szCs w:val="16"/>
      </w:rPr>
      <w:fldChar w:fldCharType="end"/>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5B46C9" w:rsidRDefault="002B712C"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377293" w:rsidRPr="00377293">
      <w:rPr>
        <w:bCs/>
        <w:noProof/>
        <w:sz w:val="16"/>
        <w:szCs w:val="16"/>
      </w:rPr>
      <w:t>ESI-II-4</w:t>
    </w:r>
    <w:r w:rsidR="00377293" w:rsidRPr="00377293">
      <w:rPr>
        <w:bCs/>
        <w:noProof/>
        <w:sz w:val="16"/>
        <w:szCs w:val="16"/>
      </w:rPr>
      <w:br/>
      <w:t>Способност за отклоняване и извършване</w:t>
    </w:r>
    <w:r w:rsidR="00377293">
      <w:rPr>
        <w:noProof/>
        <w:sz w:val="16"/>
        <w:szCs w:val="16"/>
      </w:rPr>
      <w:t xml:space="preserve"> на поворот</w:t>
    </w:r>
    <w:r w:rsidRPr="005B46C9">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377293">
      <w:rPr>
        <w:noProof/>
        <w:sz w:val="16"/>
        <w:szCs w:val="16"/>
      </w:rPr>
      <w:t>Приложение 1 към указание ESI-II-4</w:t>
    </w:r>
    <w:r>
      <w:rPr>
        <w:sz w:val="16"/>
        <w:szCs w:val="16"/>
      </w:rPr>
      <w:fldChar w:fldCharType="end"/>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5B46C9" w:rsidRDefault="002B712C"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377293" w:rsidRPr="00377293">
      <w:rPr>
        <w:bCs/>
        <w:noProof/>
        <w:sz w:val="16"/>
        <w:szCs w:val="16"/>
      </w:rPr>
      <w:t>ESI-II-4</w:t>
    </w:r>
    <w:r w:rsidR="00377293" w:rsidRPr="00377293">
      <w:rPr>
        <w:bCs/>
        <w:noProof/>
        <w:sz w:val="16"/>
        <w:szCs w:val="16"/>
      </w:rPr>
      <w:br/>
      <w:t>Способност за отклоняване и извършване</w:t>
    </w:r>
    <w:r w:rsidR="00377293">
      <w:rPr>
        <w:noProof/>
        <w:sz w:val="16"/>
        <w:szCs w:val="16"/>
      </w:rPr>
      <w:t xml:space="preserve"> на поворот</w:t>
    </w:r>
    <w:r w:rsidRPr="005B46C9">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377293">
      <w:rPr>
        <w:noProof/>
        <w:sz w:val="16"/>
        <w:szCs w:val="16"/>
      </w:rPr>
      <w:t>Приложение 2 към указание ESI-II-4</w:t>
    </w:r>
    <w:r>
      <w:rPr>
        <w:sz w:val="16"/>
        <w:szCs w:val="16"/>
      </w:rPr>
      <w:fldChar w:fldCharType="end"/>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9025E1" w:rsidRDefault="002B712C" w:rsidP="00D45887">
    <w:pPr>
      <w:widowControl w:val="0"/>
      <w:pBdr>
        <w:bottom w:val="single" w:sz="6" w:space="1" w:color="auto"/>
      </w:pBdr>
      <w:tabs>
        <w:tab w:val="right" w:pos="9070"/>
      </w:tabs>
      <w:jc w:val="right"/>
      <w:rPr>
        <w:sz w:val="16"/>
        <w:szCs w:val="16"/>
      </w:rPr>
    </w:pPr>
    <w:r>
      <w:rPr>
        <w:sz w:val="16"/>
      </w:rPr>
      <w:t>ES-TRIN</w:t>
    </w:r>
    <w:r>
      <w:tab/>
    </w:r>
    <w:r>
      <w:rPr>
        <w:sz w:val="16"/>
        <w:szCs w:val="16"/>
      </w:rPr>
      <w:fldChar w:fldCharType="begin"/>
    </w:r>
    <w:r w:rsidRPr="009025E1">
      <w:rPr>
        <w:sz w:val="16"/>
        <w:szCs w:val="16"/>
      </w:rPr>
      <w:instrText xml:space="preserve"> STYLEREF  ES-Titre2  \* MERGEFORMAT </w:instrText>
    </w:r>
    <w:r>
      <w:rPr>
        <w:sz w:val="16"/>
        <w:szCs w:val="16"/>
      </w:rPr>
      <w:fldChar w:fldCharType="separate"/>
    </w:r>
    <w:r>
      <w:rPr>
        <w:noProof/>
        <w:sz w:val="16"/>
        <w:szCs w:val="16"/>
      </w:rPr>
      <w:t>Annex 8</w:t>
    </w:r>
    <w:r>
      <w:rPr>
        <w:noProof/>
        <w:sz w:val="16"/>
        <w:szCs w:val="16"/>
      </w:rPr>
      <w:br/>
      <w:t>Supplementary provisions applicable to craft operating</w:t>
    </w:r>
    <w:r>
      <w:rPr>
        <w:noProof/>
        <w:sz w:val="16"/>
        <w:szCs w:val="16"/>
      </w:rPr>
      <w:br/>
      <w:t>on fuels with a flashpoint equal to or lower than 55  C</w:t>
    </w:r>
    <w:r>
      <w:rPr>
        <w:sz w:val="16"/>
        <w:szCs w:val="16"/>
      </w:rPr>
      <w:fldChar w:fldCharType="end"/>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C30168" w:rsidRDefault="002B712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377293">
      <w:rPr>
        <w:noProof/>
        <w:sz w:val="16"/>
        <w:szCs w:val="16"/>
      </w:rPr>
      <w:t>ESI-II-9</w:t>
    </w:r>
    <w:r w:rsidR="00377293">
      <w:rPr>
        <w:noProof/>
        <w:sz w:val="16"/>
        <w:szCs w:val="16"/>
      </w:rPr>
      <w:br/>
      <w:t>Специални котви с намалена маса</w:t>
    </w:r>
    <w:r>
      <w:rPr>
        <w:sz w:val="16"/>
        <w:szCs w:val="16"/>
      </w:rPr>
      <w:fldChar w:fldCharType="end"/>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9025E1" w:rsidRDefault="002B712C" w:rsidP="00D45887">
    <w:pPr>
      <w:widowControl w:val="0"/>
      <w:pBdr>
        <w:bottom w:val="single" w:sz="6" w:space="1" w:color="auto"/>
      </w:pBdr>
      <w:tabs>
        <w:tab w:val="right" w:pos="13892"/>
      </w:tabs>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377293">
      <w:rPr>
        <w:noProof/>
        <w:sz w:val="16"/>
        <w:szCs w:val="16"/>
      </w:rPr>
      <w:t>ESI-II-9</w:t>
    </w:r>
    <w:r w:rsidR="00377293">
      <w:rPr>
        <w:noProof/>
        <w:sz w:val="16"/>
        <w:szCs w:val="16"/>
      </w:rPr>
      <w:br/>
      <w:t>Специални котви с намалена маса</w:t>
    </w:r>
    <w:r>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377293">
      <w:rPr>
        <w:noProof/>
        <w:sz w:val="16"/>
        <w:szCs w:val="16"/>
      </w:rPr>
      <w:t>Приложение 1 към указание ESI-II-9</w:t>
    </w:r>
    <w:r>
      <w:rPr>
        <w:sz w:val="16"/>
        <w:szCs w:val="16"/>
      </w:rPr>
      <w:fldChar w:fldCharType="end"/>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9025E1" w:rsidRDefault="002B712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377293">
      <w:rPr>
        <w:noProof/>
        <w:sz w:val="16"/>
        <w:szCs w:val="16"/>
      </w:rPr>
      <w:t>ESI-II-10</w:t>
    </w:r>
    <w:r w:rsidR="00377293">
      <w:rPr>
        <w:noProof/>
        <w:sz w:val="16"/>
        <w:szCs w:val="16"/>
      </w:rPr>
      <w:br/>
      <w:t>Автоматични спринклерни системи за вода под налягане</w:t>
    </w:r>
    <w:r>
      <w:rPr>
        <w:sz w:val="16"/>
        <w:szCs w:val="16"/>
      </w:rPr>
      <w:fldChar w:fldCharType="end"/>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C64DB8" w:rsidRDefault="002B712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Pr>
        <w:sz w:val="16"/>
        <w:szCs w:val="16"/>
      </w:rPr>
      <w:instrText xml:space="preserve"> STYLEREF  ES-Titre2_ESI  \* MERGEFORMAT </w:instrText>
    </w:r>
    <w:r>
      <w:rPr>
        <w:sz w:val="16"/>
        <w:szCs w:val="16"/>
      </w:rPr>
      <w:fldChar w:fldCharType="separate"/>
    </w:r>
    <w:r w:rsidR="00440357">
      <w:rPr>
        <w:noProof/>
        <w:sz w:val="16"/>
        <w:szCs w:val="16"/>
      </w:rPr>
      <w:t>ESI-III-10</w:t>
    </w:r>
    <w:r w:rsidR="00440357">
      <w:rPr>
        <w:noProof/>
        <w:sz w:val="16"/>
        <w:szCs w:val="16"/>
      </w:rPr>
      <w:br/>
      <w:t>Оборудване за плавателни съдове, които ще бъдат експлоатирани съгласно стандарти S1 или S2</w:t>
    </w:r>
    <w:r>
      <w:rPr>
        <w:sz w:val="16"/>
        <w:szCs w:val="16"/>
      </w:rPr>
      <w:fldChar w:fldCharType="end"/>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712C" w:rsidRPr="009025E1" w:rsidRDefault="002B712C" w:rsidP="00D45887">
    <w:pPr>
      <w:widowControl w:val="0"/>
      <w:pBdr>
        <w:bottom w:val="single" w:sz="6" w:space="1" w:color="auto"/>
      </w:pBdr>
      <w:tabs>
        <w:tab w:val="right" w:pos="9070"/>
      </w:tabs>
      <w:jc w:val="right"/>
      <w:rPr>
        <w:sz w:val="16"/>
        <w:szCs w:val="16"/>
      </w:rPr>
    </w:pPr>
    <w:r>
      <w:rPr>
        <w:sz w:val="16"/>
      </w:rPr>
      <w:t>ES-TRIN</w:t>
    </w:r>
    <w:r>
      <w:tab/>
    </w:r>
    <w:r>
      <w:rPr>
        <w:sz w:val="16"/>
        <w:szCs w:val="16"/>
      </w:rPr>
      <w:fldChar w:fldCharType="begin"/>
    </w:r>
    <w:r>
      <w:rPr>
        <w:sz w:val="16"/>
        <w:szCs w:val="16"/>
      </w:rPr>
      <w:instrText xml:space="preserve"> STYLEREF  ES-Titre2_ESI  \* MERGEFORMAT </w:instrText>
    </w:r>
    <w:r>
      <w:rPr>
        <w:sz w:val="16"/>
        <w:szCs w:val="16"/>
      </w:rPr>
      <w:fldChar w:fldCharType="separate"/>
    </w:r>
    <w:r w:rsidR="00440357">
      <w:rPr>
        <w:noProof/>
        <w:sz w:val="16"/>
        <w:szCs w:val="16"/>
      </w:rPr>
      <w:t>ESI-IV-1</w:t>
    </w:r>
    <w:r w:rsidR="00440357">
      <w:rPr>
        <w:noProof/>
        <w:sz w:val="16"/>
        <w:szCs w:val="16"/>
      </w:rPr>
      <w:br/>
      <w:t>Прилагане на преходни разпоредби</w:t>
    </w:r>
    <w:r>
      <w:rPr>
        <w:sz w:val="16"/>
        <w:szCs w:val="1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bullet"/>
      <w:lvlText w:val="-"/>
      <w:lvlJc w:val="left"/>
      <w:pPr>
        <w:tabs>
          <w:tab w:val="num" w:pos="1416"/>
        </w:tabs>
        <w:ind w:left="1416" w:hanging="708"/>
      </w:pPr>
      <w:rPr>
        <w:rFonts w:ascii="Times New Roman" w:hAnsi="Times New Roman" w:cs="Times New Roman"/>
      </w:rPr>
    </w:lvl>
  </w:abstractNum>
  <w:abstractNum w:abstractNumId="1">
    <w:nsid w:val="00000004"/>
    <w:multiLevelType w:val="multilevel"/>
    <w:tmpl w:val="00000004"/>
    <w:name w:val="WW8Num4"/>
    <w:lvl w:ilvl="0">
      <w:start w:val="2"/>
      <w:numFmt w:val="decimal"/>
      <w:pStyle w:val="jeveux"/>
      <w:lvlText w:val="%1."/>
      <w:lvlJc w:val="left"/>
      <w:pPr>
        <w:tabs>
          <w:tab w:val="num" w:pos="794"/>
        </w:tabs>
        <w:ind w:left="720" w:hanging="692"/>
      </w:pPr>
    </w:lvl>
    <w:lvl w:ilvl="1">
      <w:start w:val="9"/>
      <w:numFmt w:val="bullet"/>
      <w:lvlText w:val="-"/>
      <w:lvlJc w:val="left"/>
      <w:pPr>
        <w:tabs>
          <w:tab w:val="num" w:pos="794"/>
        </w:tabs>
        <w:ind w:left="1440" w:hanging="1412"/>
      </w:pPr>
      <w:rPr>
        <w:rFonts w:ascii="Times New Roman" w:hAnsi="Times New Roman" w:cs="Times New Roman"/>
      </w:rPr>
    </w:lvl>
    <w:lvl w:ilvl="2">
      <w:start w:val="1"/>
      <w:numFmt w:val="lowerRoman"/>
      <w:lvlText w:val="%3."/>
      <w:lvlJc w:val="left"/>
      <w:pPr>
        <w:tabs>
          <w:tab w:val="num" w:pos="794"/>
        </w:tabs>
        <w:ind w:left="2160" w:hanging="2132"/>
      </w:pPr>
    </w:lvl>
    <w:lvl w:ilvl="3">
      <w:start w:val="1"/>
      <w:numFmt w:val="decimal"/>
      <w:lvlText w:val="%4."/>
      <w:lvlJc w:val="left"/>
      <w:pPr>
        <w:tabs>
          <w:tab w:val="num" w:pos="794"/>
        </w:tabs>
        <w:ind w:left="2880" w:hanging="2852"/>
      </w:pPr>
    </w:lvl>
    <w:lvl w:ilvl="4">
      <w:start w:val="1"/>
      <w:numFmt w:val="lowerLetter"/>
      <w:lvlText w:val="%5."/>
      <w:lvlJc w:val="left"/>
      <w:pPr>
        <w:tabs>
          <w:tab w:val="num" w:pos="794"/>
        </w:tabs>
        <w:ind w:left="3600" w:hanging="3572"/>
      </w:pPr>
    </w:lvl>
    <w:lvl w:ilvl="5">
      <w:start w:val="1"/>
      <w:numFmt w:val="lowerRoman"/>
      <w:lvlText w:val="%6."/>
      <w:lvlJc w:val="left"/>
      <w:pPr>
        <w:tabs>
          <w:tab w:val="num" w:pos="794"/>
        </w:tabs>
        <w:ind w:left="4320" w:hanging="4292"/>
      </w:pPr>
    </w:lvl>
    <w:lvl w:ilvl="6">
      <w:start w:val="1"/>
      <w:numFmt w:val="decimal"/>
      <w:lvlText w:val="%7."/>
      <w:lvlJc w:val="left"/>
      <w:pPr>
        <w:tabs>
          <w:tab w:val="num" w:pos="794"/>
        </w:tabs>
        <w:ind w:left="5040" w:hanging="5012"/>
      </w:pPr>
    </w:lvl>
    <w:lvl w:ilvl="7">
      <w:start w:val="1"/>
      <w:numFmt w:val="lowerLetter"/>
      <w:lvlText w:val="%8."/>
      <w:lvlJc w:val="left"/>
      <w:pPr>
        <w:tabs>
          <w:tab w:val="num" w:pos="794"/>
        </w:tabs>
        <w:ind w:left="5760" w:hanging="5732"/>
      </w:pPr>
    </w:lvl>
    <w:lvl w:ilvl="8">
      <w:start w:val="1"/>
      <w:numFmt w:val="lowerRoman"/>
      <w:lvlText w:val="%9."/>
      <w:lvlJc w:val="left"/>
      <w:pPr>
        <w:tabs>
          <w:tab w:val="num" w:pos="794"/>
        </w:tabs>
        <w:ind w:left="6480" w:hanging="6452"/>
      </w:pPr>
    </w:lvl>
  </w:abstractNum>
  <w:abstractNum w:abstractNumId="2">
    <w:nsid w:val="0AFD4894"/>
    <w:multiLevelType w:val="singleLevel"/>
    <w:tmpl w:val="FAC02758"/>
    <w:name w:val="Tiret 0"/>
    <w:lvl w:ilvl="0">
      <w:start w:val="1"/>
      <w:numFmt w:val="bullet"/>
      <w:lvlRestart w:val="0"/>
      <w:lvlText w:val="–"/>
      <w:lvlJc w:val="left"/>
      <w:pPr>
        <w:tabs>
          <w:tab w:val="num" w:pos="850"/>
        </w:tabs>
        <w:ind w:left="850" w:hanging="850"/>
      </w:pPr>
    </w:lvl>
  </w:abstractNum>
  <w:abstractNum w:abstractNumId="3">
    <w:nsid w:val="137A65C0"/>
    <w:multiLevelType w:val="hybridMultilevel"/>
    <w:tmpl w:val="95C29EC0"/>
    <w:lvl w:ilvl="0" w:tplc="D292A33A">
      <w:numFmt w:val="bullet"/>
      <w:lvlText w:val=""/>
      <w:lvlJc w:val="left"/>
      <w:pPr>
        <w:ind w:left="720" w:hanging="360"/>
      </w:pPr>
      <w:rPr>
        <w:rFonts w:ascii="Symbol" w:eastAsia="Times New Roman" w:hAnsi="Symbol" w:cs="Arial" w:hint="default"/>
        <w:sz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20A057E8"/>
    <w:multiLevelType w:val="hybridMultilevel"/>
    <w:tmpl w:val="97A87118"/>
    <w:lvl w:ilvl="0" w:tplc="C61CCFA6">
      <w:start w:val="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3633AA5"/>
    <w:multiLevelType w:val="singleLevel"/>
    <w:tmpl w:val="43740D98"/>
    <w:name w:val="Bullet 2"/>
    <w:lvl w:ilvl="0">
      <w:start w:val="1"/>
      <w:numFmt w:val="bullet"/>
      <w:lvlRestart w:val="0"/>
      <w:pStyle w:val="Bullet2"/>
      <w:lvlText w:val=""/>
      <w:lvlJc w:val="left"/>
      <w:pPr>
        <w:tabs>
          <w:tab w:val="num" w:pos="1984"/>
        </w:tabs>
        <w:ind w:left="1984" w:hanging="567"/>
      </w:pPr>
      <w:rPr>
        <w:rFonts w:ascii="Symbol" w:hAnsi="Symbol" w:hint="default"/>
      </w:rPr>
    </w:lvl>
  </w:abstractNum>
  <w:abstractNum w:abstractNumId="6">
    <w:nsid w:val="274F3331"/>
    <w:multiLevelType w:val="hybridMultilevel"/>
    <w:tmpl w:val="4B6CC5B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2DA1323F"/>
    <w:multiLevelType w:val="hybridMultilevel"/>
    <w:tmpl w:val="424A924C"/>
    <w:lvl w:ilvl="0" w:tplc="FFFFFFFF">
      <w:start w:val="14"/>
      <w:numFmt w:val="bullet"/>
      <w:lvlText w:val="-"/>
      <w:lvlJc w:val="left"/>
      <w:pPr>
        <w:ind w:left="720" w:hanging="360"/>
      </w:pPr>
      <w:rPr>
        <w:rFonts w:ascii="Arial" w:eastAsia="Times New Roman" w:hAnsi="Aria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8">
    <w:nsid w:val="375E5176"/>
    <w:multiLevelType w:val="hybridMultilevel"/>
    <w:tmpl w:val="06228422"/>
    <w:lvl w:ilvl="0" w:tplc="F3F6B24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D5233CE"/>
    <w:multiLevelType w:val="hybridMultilevel"/>
    <w:tmpl w:val="77BC0B34"/>
    <w:lvl w:ilvl="0" w:tplc="50424CEC">
      <w:start w:val="1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F8043E9"/>
    <w:multiLevelType w:val="hybridMultilevel"/>
    <w:tmpl w:val="CBCA938C"/>
    <w:lvl w:ilvl="0" w:tplc="25A807C0">
      <w:start w:val="1"/>
      <w:numFmt w:val="decimal"/>
      <w:lvlText w:val="%1."/>
      <w:lvlJc w:val="left"/>
      <w:pPr>
        <w:ind w:left="930" w:hanging="57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40665587"/>
    <w:multiLevelType w:val="hybridMultilevel"/>
    <w:tmpl w:val="ABDA506A"/>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4321140B"/>
    <w:multiLevelType w:val="singleLevel"/>
    <w:tmpl w:val="9F38A1E6"/>
    <w:lvl w:ilvl="0">
      <w:start w:val="1"/>
      <w:numFmt w:val="decimal"/>
      <w:pStyle w:val="Considrant"/>
      <w:lvlText w:val="(%1)"/>
      <w:lvlJc w:val="left"/>
      <w:pPr>
        <w:tabs>
          <w:tab w:val="num" w:pos="709"/>
        </w:tabs>
        <w:ind w:left="709" w:hanging="709"/>
      </w:pPr>
    </w:lvl>
  </w:abstractNum>
  <w:abstractNum w:abstractNumId="13">
    <w:nsid w:val="53564CCD"/>
    <w:multiLevelType w:val="multilevel"/>
    <w:tmpl w:val="DAEE582E"/>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5CBB3924"/>
    <w:multiLevelType w:val="multilevel"/>
    <w:tmpl w:val="7F4CFBBA"/>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6FFF5257"/>
    <w:multiLevelType w:val="singleLevel"/>
    <w:tmpl w:val="659A5DB2"/>
    <w:name w:val="Bullet 0"/>
    <w:lvl w:ilvl="0">
      <w:start w:val="1"/>
      <w:numFmt w:val="bullet"/>
      <w:lvlRestart w:val="0"/>
      <w:pStyle w:val="Bullet0"/>
      <w:lvlText w:val=""/>
      <w:lvlJc w:val="left"/>
      <w:pPr>
        <w:tabs>
          <w:tab w:val="num" w:pos="850"/>
        </w:tabs>
        <w:ind w:left="850" w:hanging="850"/>
      </w:pPr>
      <w:rPr>
        <w:rFonts w:ascii="Symbol" w:hAnsi="Symbol" w:hint="default"/>
      </w:rPr>
    </w:lvl>
  </w:abstractNum>
  <w:abstractNum w:abstractNumId="16">
    <w:nsid w:val="762A79C9"/>
    <w:multiLevelType w:val="hybridMultilevel"/>
    <w:tmpl w:val="0A4E9D96"/>
    <w:lvl w:ilvl="0" w:tplc="9BBCF40C">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784B2BA1"/>
    <w:multiLevelType w:val="singleLevel"/>
    <w:tmpl w:val="17AC9850"/>
    <w:name w:val="Bullet 1"/>
    <w:lvl w:ilvl="0">
      <w:start w:val="1"/>
      <w:numFmt w:val="lowerLetter"/>
      <w:lvlRestart w:val="0"/>
      <w:pStyle w:val="Bullet1"/>
      <w:lvlText w:val="%1)"/>
      <w:lvlJc w:val="left"/>
      <w:pPr>
        <w:tabs>
          <w:tab w:val="num" w:pos="1417"/>
        </w:tabs>
        <w:ind w:left="1417" w:hanging="567"/>
      </w:pPr>
      <w:rPr>
        <w:rFonts w:ascii="Times New Roman" w:eastAsia="Times New Roman" w:hAnsi="Times New Roman" w:cs="Times New Roman"/>
      </w:rPr>
    </w:lvl>
  </w:abstractNum>
  <w:abstractNum w:abstractNumId="18">
    <w:nsid w:val="7A61200C"/>
    <w:multiLevelType w:val="multilevel"/>
    <w:tmpl w:val="CC7C38C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nsid w:val="7C7C61AB"/>
    <w:multiLevelType w:val="multilevel"/>
    <w:tmpl w:val="3F04EE72"/>
    <w:name w:val="0,5280224"/>
    <w:lvl w:ilvl="0">
      <w:start w:val="1"/>
      <w:numFmt w:val="decimal"/>
      <w:lvlRestart w:val="0"/>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4"/>
  </w:num>
  <w:num w:numId="2">
    <w:abstractNumId w:val="13"/>
  </w:num>
  <w:num w:numId="3">
    <w:abstractNumId w:val="12"/>
  </w:num>
  <w:num w:numId="4">
    <w:abstractNumId w:val="15"/>
  </w:num>
  <w:num w:numId="5">
    <w:abstractNumId w:val="17"/>
  </w:num>
  <w:num w:numId="6">
    <w:abstractNumId w:val="5"/>
  </w:num>
  <w:num w:numId="7">
    <w:abstractNumId w:val="9"/>
  </w:num>
  <w:num w:numId="8">
    <w:abstractNumId w:val="4"/>
  </w:num>
  <w:num w:numId="9">
    <w:abstractNumId w:val="1"/>
  </w:num>
  <w:num w:numId="10">
    <w:abstractNumId w:val="18"/>
  </w:num>
  <w:num w:numId="11">
    <w:abstractNumId w:val="3"/>
  </w:num>
  <w:num w:numId="12">
    <w:abstractNumId w:val="6"/>
  </w:num>
  <w:num w:numId="13">
    <w:abstractNumId w:val="16"/>
  </w:num>
  <w:num w:numId="14">
    <w:abstractNumId w:val="8"/>
  </w:num>
  <w:num w:numId="15">
    <w:abstractNumId w:val="11"/>
  </w:num>
  <w:num w:numId="16">
    <w:abstractNumId w:val="7"/>
  </w:num>
  <w:num w:numId="17">
    <w:abstractNumId w:val="10"/>
  </w:num>
  <w:num w:numId="18">
    <w:abstractNumId w:val="0"/>
  </w:num>
  <w:num w:numId="19">
    <w:abstractNumId w:val="19"/>
  </w:num>
  <w:num w:numId="2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embedSystemFonts/>
  <w:hideSpellingErrors/>
  <w:hideGrammaticalErrors/>
  <w:linkStyles/>
  <w:doNotTrackFormatting/>
  <w:defaultTabStop w:val="720"/>
  <w:hyphenationZone w:val="425"/>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hdrShapeDefaults>
    <o:shapedefaults v:ext="edit" spidmax="418817"/>
  </w:hdrShapeDefaults>
  <w:footnotePr>
    <w:numRestart w:val="eachPage"/>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612D96"/>
    <w:rsid w:val="000009AC"/>
    <w:rsid w:val="00001079"/>
    <w:rsid w:val="00001650"/>
    <w:rsid w:val="00002CF3"/>
    <w:rsid w:val="00003903"/>
    <w:rsid w:val="00006207"/>
    <w:rsid w:val="00007D56"/>
    <w:rsid w:val="00011E41"/>
    <w:rsid w:val="00014931"/>
    <w:rsid w:val="00014FF4"/>
    <w:rsid w:val="000153B3"/>
    <w:rsid w:val="00016542"/>
    <w:rsid w:val="00016B72"/>
    <w:rsid w:val="00017B11"/>
    <w:rsid w:val="00017C69"/>
    <w:rsid w:val="00020374"/>
    <w:rsid w:val="00020D02"/>
    <w:rsid w:val="000222E9"/>
    <w:rsid w:val="000225FB"/>
    <w:rsid w:val="000228A4"/>
    <w:rsid w:val="00022DFD"/>
    <w:rsid w:val="0002366B"/>
    <w:rsid w:val="000236CB"/>
    <w:rsid w:val="00025E87"/>
    <w:rsid w:val="000265D0"/>
    <w:rsid w:val="00031119"/>
    <w:rsid w:val="000323C7"/>
    <w:rsid w:val="000323F4"/>
    <w:rsid w:val="00033E56"/>
    <w:rsid w:val="00034331"/>
    <w:rsid w:val="00034977"/>
    <w:rsid w:val="00034CAA"/>
    <w:rsid w:val="00035837"/>
    <w:rsid w:val="0003592A"/>
    <w:rsid w:val="00035FE4"/>
    <w:rsid w:val="000403EC"/>
    <w:rsid w:val="000403F6"/>
    <w:rsid w:val="000418C9"/>
    <w:rsid w:val="00043377"/>
    <w:rsid w:val="00044E4F"/>
    <w:rsid w:val="00051641"/>
    <w:rsid w:val="000525EE"/>
    <w:rsid w:val="000526B5"/>
    <w:rsid w:val="000532D6"/>
    <w:rsid w:val="000536A6"/>
    <w:rsid w:val="000544E4"/>
    <w:rsid w:val="00054791"/>
    <w:rsid w:val="0005522B"/>
    <w:rsid w:val="00055419"/>
    <w:rsid w:val="000562CE"/>
    <w:rsid w:val="00056313"/>
    <w:rsid w:val="0005658E"/>
    <w:rsid w:val="00057037"/>
    <w:rsid w:val="0006083D"/>
    <w:rsid w:val="00060F09"/>
    <w:rsid w:val="00061B86"/>
    <w:rsid w:val="00063D84"/>
    <w:rsid w:val="00064BFC"/>
    <w:rsid w:val="00065064"/>
    <w:rsid w:val="00065AB7"/>
    <w:rsid w:val="00065CEE"/>
    <w:rsid w:val="00066459"/>
    <w:rsid w:val="000672C2"/>
    <w:rsid w:val="0006780B"/>
    <w:rsid w:val="00067BB9"/>
    <w:rsid w:val="00071AAC"/>
    <w:rsid w:val="00072882"/>
    <w:rsid w:val="0007393A"/>
    <w:rsid w:val="00074639"/>
    <w:rsid w:val="00074C87"/>
    <w:rsid w:val="00074E15"/>
    <w:rsid w:val="00077A58"/>
    <w:rsid w:val="00077A7F"/>
    <w:rsid w:val="000804D1"/>
    <w:rsid w:val="00080F6D"/>
    <w:rsid w:val="000813F1"/>
    <w:rsid w:val="00083340"/>
    <w:rsid w:val="00083603"/>
    <w:rsid w:val="00086CF5"/>
    <w:rsid w:val="00090862"/>
    <w:rsid w:val="00090EDC"/>
    <w:rsid w:val="0009266E"/>
    <w:rsid w:val="000928CC"/>
    <w:rsid w:val="00092AD1"/>
    <w:rsid w:val="00092FA7"/>
    <w:rsid w:val="00095462"/>
    <w:rsid w:val="0009596F"/>
    <w:rsid w:val="000A105C"/>
    <w:rsid w:val="000A13AD"/>
    <w:rsid w:val="000A15B3"/>
    <w:rsid w:val="000A1609"/>
    <w:rsid w:val="000A290B"/>
    <w:rsid w:val="000A2F1D"/>
    <w:rsid w:val="000A2F7F"/>
    <w:rsid w:val="000A399F"/>
    <w:rsid w:val="000A3F57"/>
    <w:rsid w:val="000A52E4"/>
    <w:rsid w:val="000A7601"/>
    <w:rsid w:val="000B2B59"/>
    <w:rsid w:val="000B35AC"/>
    <w:rsid w:val="000B4123"/>
    <w:rsid w:val="000B44A5"/>
    <w:rsid w:val="000B4982"/>
    <w:rsid w:val="000B4A23"/>
    <w:rsid w:val="000B4F66"/>
    <w:rsid w:val="000B60B9"/>
    <w:rsid w:val="000B68E7"/>
    <w:rsid w:val="000C0499"/>
    <w:rsid w:val="000C0B7A"/>
    <w:rsid w:val="000C1DB3"/>
    <w:rsid w:val="000C41E0"/>
    <w:rsid w:val="000C6892"/>
    <w:rsid w:val="000D0F00"/>
    <w:rsid w:val="000D24E1"/>
    <w:rsid w:val="000D2654"/>
    <w:rsid w:val="000D3267"/>
    <w:rsid w:val="000D326E"/>
    <w:rsid w:val="000D3586"/>
    <w:rsid w:val="000D44AE"/>
    <w:rsid w:val="000D613C"/>
    <w:rsid w:val="000D7607"/>
    <w:rsid w:val="000E1628"/>
    <w:rsid w:val="000E1B99"/>
    <w:rsid w:val="000E1F46"/>
    <w:rsid w:val="000E2CDC"/>
    <w:rsid w:val="000E30BB"/>
    <w:rsid w:val="000E49C3"/>
    <w:rsid w:val="000E4A73"/>
    <w:rsid w:val="000E5F8A"/>
    <w:rsid w:val="000E732C"/>
    <w:rsid w:val="000E7E11"/>
    <w:rsid w:val="000F09D4"/>
    <w:rsid w:val="000F1B69"/>
    <w:rsid w:val="000F215E"/>
    <w:rsid w:val="000F3425"/>
    <w:rsid w:val="000F3AFD"/>
    <w:rsid w:val="000F41DF"/>
    <w:rsid w:val="000F42F5"/>
    <w:rsid w:val="000F53DA"/>
    <w:rsid w:val="000F600A"/>
    <w:rsid w:val="000F6553"/>
    <w:rsid w:val="000F7006"/>
    <w:rsid w:val="00100EF1"/>
    <w:rsid w:val="00101CB2"/>
    <w:rsid w:val="00101D20"/>
    <w:rsid w:val="0010389F"/>
    <w:rsid w:val="0010666B"/>
    <w:rsid w:val="00106E92"/>
    <w:rsid w:val="001077F3"/>
    <w:rsid w:val="00107B2C"/>
    <w:rsid w:val="001107BF"/>
    <w:rsid w:val="001108EB"/>
    <w:rsid w:val="00110BC9"/>
    <w:rsid w:val="00111867"/>
    <w:rsid w:val="00113730"/>
    <w:rsid w:val="00116526"/>
    <w:rsid w:val="001171AE"/>
    <w:rsid w:val="001179E7"/>
    <w:rsid w:val="00117BDC"/>
    <w:rsid w:val="0012395A"/>
    <w:rsid w:val="001243C3"/>
    <w:rsid w:val="00124738"/>
    <w:rsid w:val="00124817"/>
    <w:rsid w:val="00124E9C"/>
    <w:rsid w:val="00125490"/>
    <w:rsid w:val="001257FE"/>
    <w:rsid w:val="001267B1"/>
    <w:rsid w:val="0012747B"/>
    <w:rsid w:val="0012781A"/>
    <w:rsid w:val="001317E7"/>
    <w:rsid w:val="00133108"/>
    <w:rsid w:val="00133F19"/>
    <w:rsid w:val="00135E26"/>
    <w:rsid w:val="001363D1"/>
    <w:rsid w:val="00136542"/>
    <w:rsid w:val="00136BFD"/>
    <w:rsid w:val="00137A45"/>
    <w:rsid w:val="00140690"/>
    <w:rsid w:val="00141B17"/>
    <w:rsid w:val="001427DF"/>
    <w:rsid w:val="0014563E"/>
    <w:rsid w:val="00145B96"/>
    <w:rsid w:val="001469B0"/>
    <w:rsid w:val="00147283"/>
    <w:rsid w:val="001476EC"/>
    <w:rsid w:val="00151656"/>
    <w:rsid w:val="00151AEA"/>
    <w:rsid w:val="00153AB4"/>
    <w:rsid w:val="001542BC"/>
    <w:rsid w:val="00154B30"/>
    <w:rsid w:val="00155AB8"/>
    <w:rsid w:val="00155D5C"/>
    <w:rsid w:val="00156207"/>
    <w:rsid w:val="00157062"/>
    <w:rsid w:val="001575C2"/>
    <w:rsid w:val="0016074C"/>
    <w:rsid w:val="00160E19"/>
    <w:rsid w:val="001610C7"/>
    <w:rsid w:val="00161AB6"/>
    <w:rsid w:val="00161BF6"/>
    <w:rsid w:val="0016282C"/>
    <w:rsid w:val="0016317F"/>
    <w:rsid w:val="0016337E"/>
    <w:rsid w:val="00163956"/>
    <w:rsid w:val="001640EF"/>
    <w:rsid w:val="00165024"/>
    <w:rsid w:val="00165F82"/>
    <w:rsid w:val="001662DB"/>
    <w:rsid w:val="00166C9D"/>
    <w:rsid w:val="00166DDA"/>
    <w:rsid w:val="0016731B"/>
    <w:rsid w:val="0016750C"/>
    <w:rsid w:val="001705E4"/>
    <w:rsid w:val="0017082D"/>
    <w:rsid w:val="00171478"/>
    <w:rsid w:val="00172F8E"/>
    <w:rsid w:val="001749C4"/>
    <w:rsid w:val="0017546E"/>
    <w:rsid w:val="00176095"/>
    <w:rsid w:val="0017630F"/>
    <w:rsid w:val="0017699E"/>
    <w:rsid w:val="00176B5A"/>
    <w:rsid w:val="00177969"/>
    <w:rsid w:val="00177CE4"/>
    <w:rsid w:val="001807CA"/>
    <w:rsid w:val="00181116"/>
    <w:rsid w:val="00181BB6"/>
    <w:rsid w:val="0018270B"/>
    <w:rsid w:val="0018359A"/>
    <w:rsid w:val="00183609"/>
    <w:rsid w:val="00183D1F"/>
    <w:rsid w:val="001851F8"/>
    <w:rsid w:val="001853EE"/>
    <w:rsid w:val="001856B5"/>
    <w:rsid w:val="001865DF"/>
    <w:rsid w:val="00190746"/>
    <w:rsid w:val="00190B8A"/>
    <w:rsid w:val="00191DB0"/>
    <w:rsid w:val="00192ED9"/>
    <w:rsid w:val="00194498"/>
    <w:rsid w:val="001958C0"/>
    <w:rsid w:val="00195D93"/>
    <w:rsid w:val="001964F8"/>
    <w:rsid w:val="00196FBC"/>
    <w:rsid w:val="00197723"/>
    <w:rsid w:val="00197F7A"/>
    <w:rsid w:val="001A16CD"/>
    <w:rsid w:val="001A19C2"/>
    <w:rsid w:val="001A409D"/>
    <w:rsid w:val="001A583E"/>
    <w:rsid w:val="001A6B1D"/>
    <w:rsid w:val="001A723F"/>
    <w:rsid w:val="001A7DAB"/>
    <w:rsid w:val="001B09F1"/>
    <w:rsid w:val="001B1AA7"/>
    <w:rsid w:val="001B2673"/>
    <w:rsid w:val="001B4203"/>
    <w:rsid w:val="001B4DBC"/>
    <w:rsid w:val="001B500F"/>
    <w:rsid w:val="001B543F"/>
    <w:rsid w:val="001B5ABA"/>
    <w:rsid w:val="001B62AD"/>
    <w:rsid w:val="001B6FDF"/>
    <w:rsid w:val="001B7F10"/>
    <w:rsid w:val="001C1441"/>
    <w:rsid w:val="001C15FF"/>
    <w:rsid w:val="001C29FD"/>
    <w:rsid w:val="001C46BB"/>
    <w:rsid w:val="001C47D9"/>
    <w:rsid w:val="001C4EBD"/>
    <w:rsid w:val="001C4EBE"/>
    <w:rsid w:val="001C566A"/>
    <w:rsid w:val="001C5E10"/>
    <w:rsid w:val="001C71EE"/>
    <w:rsid w:val="001C7F2E"/>
    <w:rsid w:val="001D0E7F"/>
    <w:rsid w:val="001D0FFC"/>
    <w:rsid w:val="001D190F"/>
    <w:rsid w:val="001D2AF7"/>
    <w:rsid w:val="001D2DFD"/>
    <w:rsid w:val="001D61F0"/>
    <w:rsid w:val="001D67AA"/>
    <w:rsid w:val="001D6819"/>
    <w:rsid w:val="001D71AA"/>
    <w:rsid w:val="001E1E3E"/>
    <w:rsid w:val="001E2331"/>
    <w:rsid w:val="001E24E0"/>
    <w:rsid w:val="001E2A58"/>
    <w:rsid w:val="001E33AF"/>
    <w:rsid w:val="001E4DDC"/>
    <w:rsid w:val="001E571A"/>
    <w:rsid w:val="001E577F"/>
    <w:rsid w:val="001E59A4"/>
    <w:rsid w:val="001E6F07"/>
    <w:rsid w:val="001E7C77"/>
    <w:rsid w:val="001F02E6"/>
    <w:rsid w:val="001F14D0"/>
    <w:rsid w:val="001F173C"/>
    <w:rsid w:val="001F199D"/>
    <w:rsid w:val="001F1A9D"/>
    <w:rsid w:val="001F1AC2"/>
    <w:rsid w:val="001F1CE5"/>
    <w:rsid w:val="001F4463"/>
    <w:rsid w:val="001F4766"/>
    <w:rsid w:val="001F7283"/>
    <w:rsid w:val="002004C3"/>
    <w:rsid w:val="00200817"/>
    <w:rsid w:val="00201BA8"/>
    <w:rsid w:val="00202533"/>
    <w:rsid w:val="002025EC"/>
    <w:rsid w:val="00203319"/>
    <w:rsid w:val="00203A7C"/>
    <w:rsid w:val="002043D6"/>
    <w:rsid w:val="00204E05"/>
    <w:rsid w:val="002052A6"/>
    <w:rsid w:val="00210A11"/>
    <w:rsid w:val="00211AAA"/>
    <w:rsid w:val="0021540A"/>
    <w:rsid w:val="0021687F"/>
    <w:rsid w:val="00216BFB"/>
    <w:rsid w:val="00217AA8"/>
    <w:rsid w:val="00220FB5"/>
    <w:rsid w:val="00221291"/>
    <w:rsid w:val="00222FDC"/>
    <w:rsid w:val="002233AD"/>
    <w:rsid w:val="00223F08"/>
    <w:rsid w:val="00225A33"/>
    <w:rsid w:val="00226293"/>
    <w:rsid w:val="00226336"/>
    <w:rsid w:val="00226353"/>
    <w:rsid w:val="00226A59"/>
    <w:rsid w:val="0022701F"/>
    <w:rsid w:val="00230288"/>
    <w:rsid w:val="00230625"/>
    <w:rsid w:val="00234B95"/>
    <w:rsid w:val="0023703A"/>
    <w:rsid w:val="0023707F"/>
    <w:rsid w:val="00237080"/>
    <w:rsid w:val="002404BE"/>
    <w:rsid w:val="00241CDC"/>
    <w:rsid w:val="002424B9"/>
    <w:rsid w:val="00242D8C"/>
    <w:rsid w:val="00242E51"/>
    <w:rsid w:val="002433BB"/>
    <w:rsid w:val="00243762"/>
    <w:rsid w:val="00243A81"/>
    <w:rsid w:val="00245091"/>
    <w:rsid w:val="00246883"/>
    <w:rsid w:val="002470D6"/>
    <w:rsid w:val="002506E7"/>
    <w:rsid w:val="00250DD7"/>
    <w:rsid w:val="00251454"/>
    <w:rsid w:val="0025243A"/>
    <w:rsid w:val="00253FD8"/>
    <w:rsid w:val="00254134"/>
    <w:rsid w:val="00256F6F"/>
    <w:rsid w:val="00257F0E"/>
    <w:rsid w:val="00260F40"/>
    <w:rsid w:val="002614C4"/>
    <w:rsid w:val="00261847"/>
    <w:rsid w:val="00262467"/>
    <w:rsid w:val="00263BAB"/>
    <w:rsid w:val="002647C0"/>
    <w:rsid w:val="0026577D"/>
    <w:rsid w:val="00266522"/>
    <w:rsid w:val="00270FEE"/>
    <w:rsid w:val="0027136B"/>
    <w:rsid w:val="00271B3E"/>
    <w:rsid w:val="00271E61"/>
    <w:rsid w:val="002722AA"/>
    <w:rsid w:val="002723EF"/>
    <w:rsid w:val="00274DBA"/>
    <w:rsid w:val="00274EE8"/>
    <w:rsid w:val="00275065"/>
    <w:rsid w:val="00275ADD"/>
    <w:rsid w:val="00275FCF"/>
    <w:rsid w:val="00276993"/>
    <w:rsid w:val="00277E12"/>
    <w:rsid w:val="00277E63"/>
    <w:rsid w:val="002808E4"/>
    <w:rsid w:val="002816B8"/>
    <w:rsid w:val="002828C5"/>
    <w:rsid w:val="00283317"/>
    <w:rsid w:val="002836CA"/>
    <w:rsid w:val="00283723"/>
    <w:rsid w:val="00283BC6"/>
    <w:rsid w:val="00283D5F"/>
    <w:rsid w:val="00283E41"/>
    <w:rsid w:val="00284D7D"/>
    <w:rsid w:val="00286D03"/>
    <w:rsid w:val="00290108"/>
    <w:rsid w:val="00290368"/>
    <w:rsid w:val="002908AA"/>
    <w:rsid w:val="00291A42"/>
    <w:rsid w:val="00292101"/>
    <w:rsid w:val="00293067"/>
    <w:rsid w:val="002938DE"/>
    <w:rsid w:val="0029395D"/>
    <w:rsid w:val="00293D2C"/>
    <w:rsid w:val="0029453D"/>
    <w:rsid w:val="0029618E"/>
    <w:rsid w:val="002A0558"/>
    <w:rsid w:val="002A2E8E"/>
    <w:rsid w:val="002A3799"/>
    <w:rsid w:val="002A434E"/>
    <w:rsid w:val="002A46AD"/>
    <w:rsid w:val="002A624E"/>
    <w:rsid w:val="002A6D89"/>
    <w:rsid w:val="002A778C"/>
    <w:rsid w:val="002A7BC6"/>
    <w:rsid w:val="002B1925"/>
    <w:rsid w:val="002B1E93"/>
    <w:rsid w:val="002B22A4"/>
    <w:rsid w:val="002B2F9A"/>
    <w:rsid w:val="002B3AE0"/>
    <w:rsid w:val="002B4577"/>
    <w:rsid w:val="002B6B2C"/>
    <w:rsid w:val="002B712C"/>
    <w:rsid w:val="002B715D"/>
    <w:rsid w:val="002C0BA5"/>
    <w:rsid w:val="002C0EB8"/>
    <w:rsid w:val="002C0F5F"/>
    <w:rsid w:val="002C32DD"/>
    <w:rsid w:val="002C3798"/>
    <w:rsid w:val="002C3FF7"/>
    <w:rsid w:val="002C44F2"/>
    <w:rsid w:val="002C527C"/>
    <w:rsid w:val="002C64B3"/>
    <w:rsid w:val="002D0F03"/>
    <w:rsid w:val="002D1826"/>
    <w:rsid w:val="002D2D76"/>
    <w:rsid w:val="002D3A91"/>
    <w:rsid w:val="002D3F17"/>
    <w:rsid w:val="002D46BA"/>
    <w:rsid w:val="002D4B83"/>
    <w:rsid w:val="002D4CEF"/>
    <w:rsid w:val="002D6150"/>
    <w:rsid w:val="002D7949"/>
    <w:rsid w:val="002E100D"/>
    <w:rsid w:val="002E24E2"/>
    <w:rsid w:val="002E3EAE"/>
    <w:rsid w:val="002E50EF"/>
    <w:rsid w:val="002E6352"/>
    <w:rsid w:val="002E65C8"/>
    <w:rsid w:val="002E6F15"/>
    <w:rsid w:val="002E752A"/>
    <w:rsid w:val="002E78A3"/>
    <w:rsid w:val="002F426E"/>
    <w:rsid w:val="002F5184"/>
    <w:rsid w:val="002F5DD8"/>
    <w:rsid w:val="002F6118"/>
    <w:rsid w:val="002F6788"/>
    <w:rsid w:val="0030176A"/>
    <w:rsid w:val="00302C3E"/>
    <w:rsid w:val="003032D6"/>
    <w:rsid w:val="00305C85"/>
    <w:rsid w:val="00305CA8"/>
    <w:rsid w:val="003062AF"/>
    <w:rsid w:val="00310312"/>
    <w:rsid w:val="00311A98"/>
    <w:rsid w:val="003122DE"/>
    <w:rsid w:val="00312819"/>
    <w:rsid w:val="00312D29"/>
    <w:rsid w:val="00312E1A"/>
    <w:rsid w:val="00313B91"/>
    <w:rsid w:val="0031453E"/>
    <w:rsid w:val="00314706"/>
    <w:rsid w:val="0031552A"/>
    <w:rsid w:val="00316CE7"/>
    <w:rsid w:val="00320866"/>
    <w:rsid w:val="00320B64"/>
    <w:rsid w:val="00320EDC"/>
    <w:rsid w:val="003216FC"/>
    <w:rsid w:val="00321E38"/>
    <w:rsid w:val="003230FD"/>
    <w:rsid w:val="003232B5"/>
    <w:rsid w:val="00324388"/>
    <w:rsid w:val="00325D34"/>
    <w:rsid w:val="00326518"/>
    <w:rsid w:val="00326590"/>
    <w:rsid w:val="00327A49"/>
    <w:rsid w:val="0033095A"/>
    <w:rsid w:val="00330D4B"/>
    <w:rsid w:val="00330FC4"/>
    <w:rsid w:val="00332197"/>
    <w:rsid w:val="00333A30"/>
    <w:rsid w:val="0033732B"/>
    <w:rsid w:val="00337F85"/>
    <w:rsid w:val="0034036D"/>
    <w:rsid w:val="0034064A"/>
    <w:rsid w:val="00340C95"/>
    <w:rsid w:val="00340F35"/>
    <w:rsid w:val="00342E23"/>
    <w:rsid w:val="00343FC4"/>
    <w:rsid w:val="00344E11"/>
    <w:rsid w:val="003462BA"/>
    <w:rsid w:val="0034719E"/>
    <w:rsid w:val="003501F9"/>
    <w:rsid w:val="00350277"/>
    <w:rsid w:val="00350554"/>
    <w:rsid w:val="0035095C"/>
    <w:rsid w:val="0035236A"/>
    <w:rsid w:val="00354286"/>
    <w:rsid w:val="00354D10"/>
    <w:rsid w:val="003552BC"/>
    <w:rsid w:val="00355EBF"/>
    <w:rsid w:val="00356281"/>
    <w:rsid w:val="00357056"/>
    <w:rsid w:val="003604EF"/>
    <w:rsid w:val="00360C91"/>
    <w:rsid w:val="00360D41"/>
    <w:rsid w:val="00360E7D"/>
    <w:rsid w:val="00363591"/>
    <w:rsid w:val="00363895"/>
    <w:rsid w:val="00363D0C"/>
    <w:rsid w:val="00363D4F"/>
    <w:rsid w:val="00364496"/>
    <w:rsid w:val="00364497"/>
    <w:rsid w:val="00367B28"/>
    <w:rsid w:val="003712DE"/>
    <w:rsid w:val="00372479"/>
    <w:rsid w:val="0037277F"/>
    <w:rsid w:val="00373CDE"/>
    <w:rsid w:val="00373D7A"/>
    <w:rsid w:val="00374BB2"/>
    <w:rsid w:val="00375641"/>
    <w:rsid w:val="003765F8"/>
    <w:rsid w:val="00377293"/>
    <w:rsid w:val="00377B97"/>
    <w:rsid w:val="00380358"/>
    <w:rsid w:val="00380DE8"/>
    <w:rsid w:val="00382B0C"/>
    <w:rsid w:val="00383DE0"/>
    <w:rsid w:val="00384DFB"/>
    <w:rsid w:val="003854B9"/>
    <w:rsid w:val="003872C5"/>
    <w:rsid w:val="00390107"/>
    <w:rsid w:val="0039092B"/>
    <w:rsid w:val="003915AC"/>
    <w:rsid w:val="00391A9D"/>
    <w:rsid w:val="00392C41"/>
    <w:rsid w:val="00392DAE"/>
    <w:rsid w:val="00392E68"/>
    <w:rsid w:val="003930DB"/>
    <w:rsid w:val="00393255"/>
    <w:rsid w:val="00393E27"/>
    <w:rsid w:val="00394AE4"/>
    <w:rsid w:val="00395A9E"/>
    <w:rsid w:val="00396448"/>
    <w:rsid w:val="003968E4"/>
    <w:rsid w:val="003971A3"/>
    <w:rsid w:val="0039774B"/>
    <w:rsid w:val="00397B3B"/>
    <w:rsid w:val="00397B6A"/>
    <w:rsid w:val="00397C6F"/>
    <w:rsid w:val="003A01A0"/>
    <w:rsid w:val="003A3ED2"/>
    <w:rsid w:val="003A44F2"/>
    <w:rsid w:val="003A47CF"/>
    <w:rsid w:val="003A635F"/>
    <w:rsid w:val="003A6400"/>
    <w:rsid w:val="003A6543"/>
    <w:rsid w:val="003A66B6"/>
    <w:rsid w:val="003B0440"/>
    <w:rsid w:val="003B0801"/>
    <w:rsid w:val="003B3A1A"/>
    <w:rsid w:val="003B7663"/>
    <w:rsid w:val="003B7C0C"/>
    <w:rsid w:val="003C13A6"/>
    <w:rsid w:val="003C34F5"/>
    <w:rsid w:val="003C7766"/>
    <w:rsid w:val="003D0163"/>
    <w:rsid w:val="003D0171"/>
    <w:rsid w:val="003D2554"/>
    <w:rsid w:val="003D29D8"/>
    <w:rsid w:val="003D2D08"/>
    <w:rsid w:val="003D2E2F"/>
    <w:rsid w:val="003D32C2"/>
    <w:rsid w:val="003D3AAC"/>
    <w:rsid w:val="003D4399"/>
    <w:rsid w:val="003D4DBF"/>
    <w:rsid w:val="003D5828"/>
    <w:rsid w:val="003D632C"/>
    <w:rsid w:val="003D6C19"/>
    <w:rsid w:val="003D6C36"/>
    <w:rsid w:val="003D7271"/>
    <w:rsid w:val="003D7B4A"/>
    <w:rsid w:val="003E0735"/>
    <w:rsid w:val="003E15C0"/>
    <w:rsid w:val="003E245C"/>
    <w:rsid w:val="003E3E06"/>
    <w:rsid w:val="003E4FF5"/>
    <w:rsid w:val="003E54E3"/>
    <w:rsid w:val="003E5D67"/>
    <w:rsid w:val="003E6750"/>
    <w:rsid w:val="003E6AE7"/>
    <w:rsid w:val="003E7493"/>
    <w:rsid w:val="003F06B0"/>
    <w:rsid w:val="003F0FEF"/>
    <w:rsid w:val="003F11EC"/>
    <w:rsid w:val="003F1736"/>
    <w:rsid w:val="003F1CB4"/>
    <w:rsid w:val="003F2595"/>
    <w:rsid w:val="003F30FB"/>
    <w:rsid w:val="003F3DE1"/>
    <w:rsid w:val="003F4728"/>
    <w:rsid w:val="003F4F82"/>
    <w:rsid w:val="003F558E"/>
    <w:rsid w:val="003F5E4D"/>
    <w:rsid w:val="003F616C"/>
    <w:rsid w:val="004004C5"/>
    <w:rsid w:val="00401300"/>
    <w:rsid w:val="00402237"/>
    <w:rsid w:val="00404915"/>
    <w:rsid w:val="00404D6F"/>
    <w:rsid w:val="004055EA"/>
    <w:rsid w:val="00405894"/>
    <w:rsid w:val="004060E5"/>
    <w:rsid w:val="00406EDB"/>
    <w:rsid w:val="004076F6"/>
    <w:rsid w:val="00410582"/>
    <w:rsid w:val="00410C5D"/>
    <w:rsid w:val="00411A7D"/>
    <w:rsid w:val="004133CD"/>
    <w:rsid w:val="00413EA1"/>
    <w:rsid w:val="0041418C"/>
    <w:rsid w:val="00414479"/>
    <w:rsid w:val="004151B7"/>
    <w:rsid w:val="00415ECE"/>
    <w:rsid w:val="004171D0"/>
    <w:rsid w:val="00417419"/>
    <w:rsid w:val="0042206B"/>
    <w:rsid w:val="00422169"/>
    <w:rsid w:val="00424CE8"/>
    <w:rsid w:val="004262AC"/>
    <w:rsid w:val="004271FC"/>
    <w:rsid w:val="00430B47"/>
    <w:rsid w:val="00431542"/>
    <w:rsid w:val="00431553"/>
    <w:rsid w:val="004316CC"/>
    <w:rsid w:val="00433D99"/>
    <w:rsid w:val="00434691"/>
    <w:rsid w:val="00434B2A"/>
    <w:rsid w:val="00436033"/>
    <w:rsid w:val="00436930"/>
    <w:rsid w:val="00436EAF"/>
    <w:rsid w:val="00437A24"/>
    <w:rsid w:val="00440357"/>
    <w:rsid w:val="004405C3"/>
    <w:rsid w:val="00441E77"/>
    <w:rsid w:val="0044336D"/>
    <w:rsid w:val="0044416E"/>
    <w:rsid w:val="004446A0"/>
    <w:rsid w:val="0044624D"/>
    <w:rsid w:val="00447377"/>
    <w:rsid w:val="00450DA2"/>
    <w:rsid w:val="00451B55"/>
    <w:rsid w:val="00451D26"/>
    <w:rsid w:val="0045354D"/>
    <w:rsid w:val="004535B7"/>
    <w:rsid w:val="00454061"/>
    <w:rsid w:val="00455657"/>
    <w:rsid w:val="00460742"/>
    <w:rsid w:val="00461781"/>
    <w:rsid w:val="0046196E"/>
    <w:rsid w:val="00464998"/>
    <w:rsid w:val="0046569B"/>
    <w:rsid w:val="00465BBB"/>
    <w:rsid w:val="004678C0"/>
    <w:rsid w:val="004706D2"/>
    <w:rsid w:val="004734B5"/>
    <w:rsid w:val="00474A9B"/>
    <w:rsid w:val="00475311"/>
    <w:rsid w:val="00480E5E"/>
    <w:rsid w:val="00481591"/>
    <w:rsid w:val="00481A0E"/>
    <w:rsid w:val="004859E8"/>
    <w:rsid w:val="00486A70"/>
    <w:rsid w:val="00486EE9"/>
    <w:rsid w:val="00487BDA"/>
    <w:rsid w:val="00491AE4"/>
    <w:rsid w:val="004923DB"/>
    <w:rsid w:val="00493339"/>
    <w:rsid w:val="00493D4C"/>
    <w:rsid w:val="00495307"/>
    <w:rsid w:val="00495E37"/>
    <w:rsid w:val="00496E97"/>
    <w:rsid w:val="00496E9B"/>
    <w:rsid w:val="00497622"/>
    <w:rsid w:val="00497A37"/>
    <w:rsid w:val="004A0B6A"/>
    <w:rsid w:val="004A2F59"/>
    <w:rsid w:val="004A33BD"/>
    <w:rsid w:val="004A35FF"/>
    <w:rsid w:val="004A3862"/>
    <w:rsid w:val="004A6AD8"/>
    <w:rsid w:val="004A75F7"/>
    <w:rsid w:val="004A76B4"/>
    <w:rsid w:val="004B107C"/>
    <w:rsid w:val="004B1399"/>
    <w:rsid w:val="004B2505"/>
    <w:rsid w:val="004B26E2"/>
    <w:rsid w:val="004B5897"/>
    <w:rsid w:val="004B62D6"/>
    <w:rsid w:val="004B6F54"/>
    <w:rsid w:val="004B73D1"/>
    <w:rsid w:val="004B7750"/>
    <w:rsid w:val="004C02DF"/>
    <w:rsid w:val="004C123A"/>
    <w:rsid w:val="004C209B"/>
    <w:rsid w:val="004C2C5D"/>
    <w:rsid w:val="004C32BE"/>
    <w:rsid w:val="004C3399"/>
    <w:rsid w:val="004C4825"/>
    <w:rsid w:val="004C6446"/>
    <w:rsid w:val="004D1500"/>
    <w:rsid w:val="004D15B0"/>
    <w:rsid w:val="004D1B5D"/>
    <w:rsid w:val="004D26B9"/>
    <w:rsid w:val="004D2B3E"/>
    <w:rsid w:val="004D2C3E"/>
    <w:rsid w:val="004D3A30"/>
    <w:rsid w:val="004D4299"/>
    <w:rsid w:val="004D440A"/>
    <w:rsid w:val="004D727A"/>
    <w:rsid w:val="004E04FD"/>
    <w:rsid w:val="004E1AD0"/>
    <w:rsid w:val="004E2C9F"/>
    <w:rsid w:val="004E389F"/>
    <w:rsid w:val="004E3A15"/>
    <w:rsid w:val="004E3A98"/>
    <w:rsid w:val="004E499A"/>
    <w:rsid w:val="004E6822"/>
    <w:rsid w:val="004F0FED"/>
    <w:rsid w:val="004F13FC"/>
    <w:rsid w:val="004F159E"/>
    <w:rsid w:val="004F47BB"/>
    <w:rsid w:val="004F5E7B"/>
    <w:rsid w:val="004F634C"/>
    <w:rsid w:val="004F7EC9"/>
    <w:rsid w:val="00500018"/>
    <w:rsid w:val="005034E6"/>
    <w:rsid w:val="005038C1"/>
    <w:rsid w:val="00505D66"/>
    <w:rsid w:val="0050629F"/>
    <w:rsid w:val="00511351"/>
    <w:rsid w:val="00511BF6"/>
    <w:rsid w:val="005123FE"/>
    <w:rsid w:val="005128B5"/>
    <w:rsid w:val="0051422F"/>
    <w:rsid w:val="005144F5"/>
    <w:rsid w:val="0051525C"/>
    <w:rsid w:val="005157A0"/>
    <w:rsid w:val="00521221"/>
    <w:rsid w:val="0052294E"/>
    <w:rsid w:val="00522B8C"/>
    <w:rsid w:val="00524B9F"/>
    <w:rsid w:val="00530062"/>
    <w:rsid w:val="005306C4"/>
    <w:rsid w:val="00533048"/>
    <w:rsid w:val="00533929"/>
    <w:rsid w:val="005344DA"/>
    <w:rsid w:val="00535E7C"/>
    <w:rsid w:val="005373DE"/>
    <w:rsid w:val="00537DD3"/>
    <w:rsid w:val="00540178"/>
    <w:rsid w:val="0054038A"/>
    <w:rsid w:val="00540EF2"/>
    <w:rsid w:val="0054153F"/>
    <w:rsid w:val="00541EB6"/>
    <w:rsid w:val="005420AD"/>
    <w:rsid w:val="00542260"/>
    <w:rsid w:val="00543E74"/>
    <w:rsid w:val="00544563"/>
    <w:rsid w:val="00546775"/>
    <w:rsid w:val="00546ED7"/>
    <w:rsid w:val="005475FE"/>
    <w:rsid w:val="00547F83"/>
    <w:rsid w:val="00550E01"/>
    <w:rsid w:val="00551E44"/>
    <w:rsid w:val="00552318"/>
    <w:rsid w:val="00553616"/>
    <w:rsid w:val="00554C94"/>
    <w:rsid w:val="00555661"/>
    <w:rsid w:val="00557306"/>
    <w:rsid w:val="00560299"/>
    <w:rsid w:val="0056114C"/>
    <w:rsid w:val="005612D9"/>
    <w:rsid w:val="00561878"/>
    <w:rsid w:val="00561953"/>
    <w:rsid w:val="0056242B"/>
    <w:rsid w:val="005625CE"/>
    <w:rsid w:val="00562D2E"/>
    <w:rsid w:val="0056385B"/>
    <w:rsid w:val="005645A5"/>
    <w:rsid w:val="00564EFE"/>
    <w:rsid w:val="005662C0"/>
    <w:rsid w:val="00567453"/>
    <w:rsid w:val="00570639"/>
    <w:rsid w:val="00570A92"/>
    <w:rsid w:val="005714D9"/>
    <w:rsid w:val="005716BB"/>
    <w:rsid w:val="00572BD3"/>
    <w:rsid w:val="00573261"/>
    <w:rsid w:val="005737CD"/>
    <w:rsid w:val="005739AB"/>
    <w:rsid w:val="00574385"/>
    <w:rsid w:val="00574D04"/>
    <w:rsid w:val="00576124"/>
    <w:rsid w:val="0057768B"/>
    <w:rsid w:val="005777D8"/>
    <w:rsid w:val="00577ECC"/>
    <w:rsid w:val="005833A6"/>
    <w:rsid w:val="005849A9"/>
    <w:rsid w:val="005852BA"/>
    <w:rsid w:val="0058606C"/>
    <w:rsid w:val="005901F3"/>
    <w:rsid w:val="00590CC7"/>
    <w:rsid w:val="00591E2F"/>
    <w:rsid w:val="005924FC"/>
    <w:rsid w:val="00594D75"/>
    <w:rsid w:val="00595AD9"/>
    <w:rsid w:val="00595EEB"/>
    <w:rsid w:val="0059704F"/>
    <w:rsid w:val="00597218"/>
    <w:rsid w:val="00597427"/>
    <w:rsid w:val="005A10B1"/>
    <w:rsid w:val="005A1994"/>
    <w:rsid w:val="005A25B4"/>
    <w:rsid w:val="005A3B52"/>
    <w:rsid w:val="005A3E0D"/>
    <w:rsid w:val="005A3F3C"/>
    <w:rsid w:val="005A3FE1"/>
    <w:rsid w:val="005A4E3E"/>
    <w:rsid w:val="005A6C74"/>
    <w:rsid w:val="005A78A5"/>
    <w:rsid w:val="005B0563"/>
    <w:rsid w:val="005B0967"/>
    <w:rsid w:val="005B0BB8"/>
    <w:rsid w:val="005B1B49"/>
    <w:rsid w:val="005B1BE0"/>
    <w:rsid w:val="005B2022"/>
    <w:rsid w:val="005B2F7E"/>
    <w:rsid w:val="005B3B11"/>
    <w:rsid w:val="005B46C9"/>
    <w:rsid w:val="005B594A"/>
    <w:rsid w:val="005B59CC"/>
    <w:rsid w:val="005B6102"/>
    <w:rsid w:val="005B6108"/>
    <w:rsid w:val="005B697A"/>
    <w:rsid w:val="005B79A9"/>
    <w:rsid w:val="005C1A91"/>
    <w:rsid w:val="005C1DF0"/>
    <w:rsid w:val="005C2A80"/>
    <w:rsid w:val="005C3492"/>
    <w:rsid w:val="005C3F09"/>
    <w:rsid w:val="005C5181"/>
    <w:rsid w:val="005C69BE"/>
    <w:rsid w:val="005C7859"/>
    <w:rsid w:val="005C7DB3"/>
    <w:rsid w:val="005D13EF"/>
    <w:rsid w:val="005D6684"/>
    <w:rsid w:val="005E15D4"/>
    <w:rsid w:val="005E285C"/>
    <w:rsid w:val="005E31C6"/>
    <w:rsid w:val="005E325D"/>
    <w:rsid w:val="005E4B2A"/>
    <w:rsid w:val="005E4CF8"/>
    <w:rsid w:val="005E4D81"/>
    <w:rsid w:val="005E5D49"/>
    <w:rsid w:val="005E7B71"/>
    <w:rsid w:val="005E7B83"/>
    <w:rsid w:val="005E7FBB"/>
    <w:rsid w:val="005F0AA2"/>
    <w:rsid w:val="005F2D46"/>
    <w:rsid w:val="005F5F39"/>
    <w:rsid w:val="005F6042"/>
    <w:rsid w:val="0060057A"/>
    <w:rsid w:val="00600BEE"/>
    <w:rsid w:val="00600FBC"/>
    <w:rsid w:val="00601459"/>
    <w:rsid w:val="00601723"/>
    <w:rsid w:val="0060175E"/>
    <w:rsid w:val="0060199F"/>
    <w:rsid w:val="006025D0"/>
    <w:rsid w:val="0060301E"/>
    <w:rsid w:val="006045A6"/>
    <w:rsid w:val="006058B1"/>
    <w:rsid w:val="00605BA5"/>
    <w:rsid w:val="00611BF5"/>
    <w:rsid w:val="00611E1B"/>
    <w:rsid w:val="00612D96"/>
    <w:rsid w:val="00613092"/>
    <w:rsid w:val="00613599"/>
    <w:rsid w:val="006136F0"/>
    <w:rsid w:val="006137DC"/>
    <w:rsid w:val="00615071"/>
    <w:rsid w:val="00615E63"/>
    <w:rsid w:val="006161E9"/>
    <w:rsid w:val="00620783"/>
    <w:rsid w:val="00620A37"/>
    <w:rsid w:val="00620CE7"/>
    <w:rsid w:val="00622329"/>
    <w:rsid w:val="00623DA7"/>
    <w:rsid w:val="0062583C"/>
    <w:rsid w:val="00626316"/>
    <w:rsid w:val="006316A9"/>
    <w:rsid w:val="006327E3"/>
    <w:rsid w:val="006329B6"/>
    <w:rsid w:val="00633C91"/>
    <w:rsid w:val="00633CC5"/>
    <w:rsid w:val="0063454C"/>
    <w:rsid w:val="0063563D"/>
    <w:rsid w:val="006371F5"/>
    <w:rsid w:val="00637424"/>
    <w:rsid w:val="00637A28"/>
    <w:rsid w:val="00640E02"/>
    <w:rsid w:val="00642E70"/>
    <w:rsid w:val="0064343D"/>
    <w:rsid w:val="006435E7"/>
    <w:rsid w:val="00643C51"/>
    <w:rsid w:val="00647244"/>
    <w:rsid w:val="00647B13"/>
    <w:rsid w:val="006506DE"/>
    <w:rsid w:val="00650FA6"/>
    <w:rsid w:val="00651EFD"/>
    <w:rsid w:val="00652389"/>
    <w:rsid w:val="00652561"/>
    <w:rsid w:val="00652F98"/>
    <w:rsid w:val="00655841"/>
    <w:rsid w:val="00655F84"/>
    <w:rsid w:val="006560F0"/>
    <w:rsid w:val="0066065A"/>
    <w:rsid w:val="00660718"/>
    <w:rsid w:val="00661999"/>
    <w:rsid w:val="00663421"/>
    <w:rsid w:val="0066397A"/>
    <w:rsid w:val="00665E41"/>
    <w:rsid w:val="00666810"/>
    <w:rsid w:val="00666A95"/>
    <w:rsid w:val="00666CE2"/>
    <w:rsid w:val="00666FAB"/>
    <w:rsid w:val="00670DA2"/>
    <w:rsid w:val="00671520"/>
    <w:rsid w:val="00672DB1"/>
    <w:rsid w:val="006753AE"/>
    <w:rsid w:val="0067550D"/>
    <w:rsid w:val="00675651"/>
    <w:rsid w:val="006757B1"/>
    <w:rsid w:val="00676205"/>
    <w:rsid w:val="00676E87"/>
    <w:rsid w:val="00676F45"/>
    <w:rsid w:val="00677052"/>
    <w:rsid w:val="006777B9"/>
    <w:rsid w:val="00680C50"/>
    <w:rsid w:val="00681851"/>
    <w:rsid w:val="0068347D"/>
    <w:rsid w:val="0068402B"/>
    <w:rsid w:val="00684B1D"/>
    <w:rsid w:val="00684D07"/>
    <w:rsid w:val="00685350"/>
    <w:rsid w:val="00687B32"/>
    <w:rsid w:val="00690BD5"/>
    <w:rsid w:val="006919F7"/>
    <w:rsid w:val="006934E2"/>
    <w:rsid w:val="00694E6B"/>
    <w:rsid w:val="006953F9"/>
    <w:rsid w:val="006971A7"/>
    <w:rsid w:val="006A0231"/>
    <w:rsid w:val="006A1046"/>
    <w:rsid w:val="006A364B"/>
    <w:rsid w:val="006A4701"/>
    <w:rsid w:val="006A4BCB"/>
    <w:rsid w:val="006A5083"/>
    <w:rsid w:val="006A5337"/>
    <w:rsid w:val="006A5CDC"/>
    <w:rsid w:val="006A6A3E"/>
    <w:rsid w:val="006A6DF3"/>
    <w:rsid w:val="006A72C4"/>
    <w:rsid w:val="006B0330"/>
    <w:rsid w:val="006B0963"/>
    <w:rsid w:val="006B1D78"/>
    <w:rsid w:val="006B3499"/>
    <w:rsid w:val="006B3771"/>
    <w:rsid w:val="006B5BE0"/>
    <w:rsid w:val="006B6215"/>
    <w:rsid w:val="006B7368"/>
    <w:rsid w:val="006B754E"/>
    <w:rsid w:val="006B78FD"/>
    <w:rsid w:val="006C043E"/>
    <w:rsid w:val="006C0C67"/>
    <w:rsid w:val="006C0C6B"/>
    <w:rsid w:val="006C1428"/>
    <w:rsid w:val="006C1A8C"/>
    <w:rsid w:val="006C6A9E"/>
    <w:rsid w:val="006C7BF8"/>
    <w:rsid w:val="006D01EA"/>
    <w:rsid w:val="006D1BF5"/>
    <w:rsid w:val="006D32EE"/>
    <w:rsid w:val="006D37CC"/>
    <w:rsid w:val="006D5A2D"/>
    <w:rsid w:val="006D617E"/>
    <w:rsid w:val="006D6907"/>
    <w:rsid w:val="006E0BD7"/>
    <w:rsid w:val="006E12A3"/>
    <w:rsid w:val="006E2B32"/>
    <w:rsid w:val="006E472A"/>
    <w:rsid w:val="006E6F5E"/>
    <w:rsid w:val="006E6FB5"/>
    <w:rsid w:val="006E79EB"/>
    <w:rsid w:val="006F1CB2"/>
    <w:rsid w:val="006F2A90"/>
    <w:rsid w:val="006F3490"/>
    <w:rsid w:val="006F3EE0"/>
    <w:rsid w:val="006F454C"/>
    <w:rsid w:val="006F45C2"/>
    <w:rsid w:val="006F46CE"/>
    <w:rsid w:val="006F55F5"/>
    <w:rsid w:val="00700D97"/>
    <w:rsid w:val="00701289"/>
    <w:rsid w:val="00701407"/>
    <w:rsid w:val="0070366C"/>
    <w:rsid w:val="00703E84"/>
    <w:rsid w:val="00703EC3"/>
    <w:rsid w:val="00704BED"/>
    <w:rsid w:val="00705506"/>
    <w:rsid w:val="007105A9"/>
    <w:rsid w:val="0071452F"/>
    <w:rsid w:val="007146BE"/>
    <w:rsid w:val="007161AA"/>
    <w:rsid w:val="00716655"/>
    <w:rsid w:val="007168AF"/>
    <w:rsid w:val="00716BAB"/>
    <w:rsid w:val="00716DF3"/>
    <w:rsid w:val="0071721E"/>
    <w:rsid w:val="007209AB"/>
    <w:rsid w:val="00720A75"/>
    <w:rsid w:val="007233FE"/>
    <w:rsid w:val="0072529F"/>
    <w:rsid w:val="0072538D"/>
    <w:rsid w:val="00725CA7"/>
    <w:rsid w:val="00725CFD"/>
    <w:rsid w:val="00725D4A"/>
    <w:rsid w:val="007261E0"/>
    <w:rsid w:val="00726252"/>
    <w:rsid w:val="007272E6"/>
    <w:rsid w:val="00727539"/>
    <w:rsid w:val="00727AB6"/>
    <w:rsid w:val="007304B2"/>
    <w:rsid w:val="007319C6"/>
    <w:rsid w:val="00731C25"/>
    <w:rsid w:val="00731F17"/>
    <w:rsid w:val="00731F7D"/>
    <w:rsid w:val="00732D8B"/>
    <w:rsid w:val="00733121"/>
    <w:rsid w:val="007331B9"/>
    <w:rsid w:val="00734E85"/>
    <w:rsid w:val="00736797"/>
    <w:rsid w:val="00740060"/>
    <w:rsid w:val="00740370"/>
    <w:rsid w:val="007406CD"/>
    <w:rsid w:val="007407E1"/>
    <w:rsid w:val="00744CAC"/>
    <w:rsid w:val="00745362"/>
    <w:rsid w:val="00745DD2"/>
    <w:rsid w:val="007502D9"/>
    <w:rsid w:val="00750B56"/>
    <w:rsid w:val="00751A5B"/>
    <w:rsid w:val="00751C8D"/>
    <w:rsid w:val="007527F6"/>
    <w:rsid w:val="00752E3A"/>
    <w:rsid w:val="0075351F"/>
    <w:rsid w:val="00754A0C"/>
    <w:rsid w:val="0075615D"/>
    <w:rsid w:val="00756D4B"/>
    <w:rsid w:val="0075795F"/>
    <w:rsid w:val="00757CA5"/>
    <w:rsid w:val="00757DD1"/>
    <w:rsid w:val="0076247E"/>
    <w:rsid w:val="00763ADA"/>
    <w:rsid w:val="00765C6B"/>
    <w:rsid w:val="007670C0"/>
    <w:rsid w:val="00767591"/>
    <w:rsid w:val="00767E47"/>
    <w:rsid w:val="00770BDD"/>
    <w:rsid w:val="007711D6"/>
    <w:rsid w:val="007715DE"/>
    <w:rsid w:val="00771FEA"/>
    <w:rsid w:val="007720D9"/>
    <w:rsid w:val="00772341"/>
    <w:rsid w:val="007724B5"/>
    <w:rsid w:val="0077255B"/>
    <w:rsid w:val="00773703"/>
    <w:rsid w:val="00776215"/>
    <w:rsid w:val="0077688D"/>
    <w:rsid w:val="00777BB9"/>
    <w:rsid w:val="00780CD7"/>
    <w:rsid w:val="0078121C"/>
    <w:rsid w:val="007828F7"/>
    <w:rsid w:val="00785862"/>
    <w:rsid w:val="00785C25"/>
    <w:rsid w:val="007873EA"/>
    <w:rsid w:val="007874ED"/>
    <w:rsid w:val="00790B09"/>
    <w:rsid w:val="00790FAC"/>
    <w:rsid w:val="00791104"/>
    <w:rsid w:val="00793782"/>
    <w:rsid w:val="007937E9"/>
    <w:rsid w:val="00794C91"/>
    <w:rsid w:val="007957F9"/>
    <w:rsid w:val="00795953"/>
    <w:rsid w:val="007A07BC"/>
    <w:rsid w:val="007A1B68"/>
    <w:rsid w:val="007A22A9"/>
    <w:rsid w:val="007A3786"/>
    <w:rsid w:val="007A4F84"/>
    <w:rsid w:val="007A54F0"/>
    <w:rsid w:val="007A75B1"/>
    <w:rsid w:val="007A7CC3"/>
    <w:rsid w:val="007B1046"/>
    <w:rsid w:val="007B4A3D"/>
    <w:rsid w:val="007B4EE9"/>
    <w:rsid w:val="007B50A6"/>
    <w:rsid w:val="007B5186"/>
    <w:rsid w:val="007B5B9D"/>
    <w:rsid w:val="007B6BC4"/>
    <w:rsid w:val="007C1DAC"/>
    <w:rsid w:val="007C20B4"/>
    <w:rsid w:val="007C381E"/>
    <w:rsid w:val="007C39F8"/>
    <w:rsid w:val="007C3DA3"/>
    <w:rsid w:val="007C7C40"/>
    <w:rsid w:val="007C7F1D"/>
    <w:rsid w:val="007D2255"/>
    <w:rsid w:val="007D2961"/>
    <w:rsid w:val="007D2A57"/>
    <w:rsid w:val="007D30F6"/>
    <w:rsid w:val="007D3F2F"/>
    <w:rsid w:val="007D4191"/>
    <w:rsid w:val="007E0A8B"/>
    <w:rsid w:val="007E11B9"/>
    <w:rsid w:val="007E1288"/>
    <w:rsid w:val="007E1D94"/>
    <w:rsid w:val="007E2368"/>
    <w:rsid w:val="007E2A1F"/>
    <w:rsid w:val="007E2E18"/>
    <w:rsid w:val="007E2EA9"/>
    <w:rsid w:val="007E3C4A"/>
    <w:rsid w:val="007E4031"/>
    <w:rsid w:val="007E5F4E"/>
    <w:rsid w:val="007E5FD5"/>
    <w:rsid w:val="007E6DEB"/>
    <w:rsid w:val="007E73DF"/>
    <w:rsid w:val="007F01CB"/>
    <w:rsid w:val="007F15F5"/>
    <w:rsid w:val="007F2627"/>
    <w:rsid w:val="007F3C26"/>
    <w:rsid w:val="007F3ED6"/>
    <w:rsid w:val="007F43E9"/>
    <w:rsid w:val="007F6CB7"/>
    <w:rsid w:val="008002BA"/>
    <w:rsid w:val="008011FF"/>
    <w:rsid w:val="00801D26"/>
    <w:rsid w:val="00801F1F"/>
    <w:rsid w:val="008029BC"/>
    <w:rsid w:val="00803B00"/>
    <w:rsid w:val="008041DE"/>
    <w:rsid w:val="00804611"/>
    <w:rsid w:val="00810360"/>
    <w:rsid w:val="00811428"/>
    <w:rsid w:val="0081172D"/>
    <w:rsid w:val="00813060"/>
    <w:rsid w:val="00814AF4"/>
    <w:rsid w:val="00815AA4"/>
    <w:rsid w:val="00816AA6"/>
    <w:rsid w:val="008204A2"/>
    <w:rsid w:val="00820E6F"/>
    <w:rsid w:val="00821291"/>
    <w:rsid w:val="0082144D"/>
    <w:rsid w:val="00822C1C"/>
    <w:rsid w:val="008230FC"/>
    <w:rsid w:val="00823792"/>
    <w:rsid w:val="00824063"/>
    <w:rsid w:val="0082441A"/>
    <w:rsid w:val="00826B65"/>
    <w:rsid w:val="00826BEA"/>
    <w:rsid w:val="00830A4C"/>
    <w:rsid w:val="00830FC3"/>
    <w:rsid w:val="00831E50"/>
    <w:rsid w:val="008336A2"/>
    <w:rsid w:val="00833FB2"/>
    <w:rsid w:val="008355EA"/>
    <w:rsid w:val="00836164"/>
    <w:rsid w:val="008373D8"/>
    <w:rsid w:val="00837421"/>
    <w:rsid w:val="00837508"/>
    <w:rsid w:val="00840579"/>
    <w:rsid w:val="008415E3"/>
    <w:rsid w:val="0084166A"/>
    <w:rsid w:val="00841719"/>
    <w:rsid w:val="008418DC"/>
    <w:rsid w:val="00843010"/>
    <w:rsid w:val="008433CF"/>
    <w:rsid w:val="00843DE4"/>
    <w:rsid w:val="00843FFC"/>
    <w:rsid w:val="008446C0"/>
    <w:rsid w:val="00844E91"/>
    <w:rsid w:val="00845644"/>
    <w:rsid w:val="008456D8"/>
    <w:rsid w:val="00847826"/>
    <w:rsid w:val="00850AFF"/>
    <w:rsid w:val="00851A17"/>
    <w:rsid w:val="008525B2"/>
    <w:rsid w:val="00853731"/>
    <w:rsid w:val="0085414C"/>
    <w:rsid w:val="00857FC2"/>
    <w:rsid w:val="008612A9"/>
    <w:rsid w:val="008632BC"/>
    <w:rsid w:val="0086493E"/>
    <w:rsid w:val="00865CF5"/>
    <w:rsid w:val="008665FB"/>
    <w:rsid w:val="0087027F"/>
    <w:rsid w:val="0087516F"/>
    <w:rsid w:val="00875A5A"/>
    <w:rsid w:val="008761B8"/>
    <w:rsid w:val="008761D9"/>
    <w:rsid w:val="008776B5"/>
    <w:rsid w:val="00877ACC"/>
    <w:rsid w:val="00877D5D"/>
    <w:rsid w:val="00880D4D"/>
    <w:rsid w:val="00881510"/>
    <w:rsid w:val="00884328"/>
    <w:rsid w:val="008855AA"/>
    <w:rsid w:val="0088585A"/>
    <w:rsid w:val="00886F89"/>
    <w:rsid w:val="008872E2"/>
    <w:rsid w:val="00887B58"/>
    <w:rsid w:val="0089015B"/>
    <w:rsid w:val="00891292"/>
    <w:rsid w:val="0089219A"/>
    <w:rsid w:val="00893D5B"/>
    <w:rsid w:val="008941C5"/>
    <w:rsid w:val="00894579"/>
    <w:rsid w:val="00894C4D"/>
    <w:rsid w:val="008968E9"/>
    <w:rsid w:val="008A0873"/>
    <w:rsid w:val="008A12E7"/>
    <w:rsid w:val="008A16EB"/>
    <w:rsid w:val="008A1C93"/>
    <w:rsid w:val="008A2D08"/>
    <w:rsid w:val="008A3163"/>
    <w:rsid w:val="008A3881"/>
    <w:rsid w:val="008A407A"/>
    <w:rsid w:val="008A4941"/>
    <w:rsid w:val="008A5402"/>
    <w:rsid w:val="008A5ADA"/>
    <w:rsid w:val="008A6837"/>
    <w:rsid w:val="008A7C86"/>
    <w:rsid w:val="008B09D7"/>
    <w:rsid w:val="008B1036"/>
    <w:rsid w:val="008B1EFB"/>
    <w:rsid w:val="008B32A7"/>
    <w:rsid w:val="008B398D"/>
    <w:rsid w:val="008B4AC1"/>
    <w:rsid w:val="008B57A8"/>
    <w:rsid w:val="008B75F9"/>
    <w:rsid w:val="008B7A80"/>
    <w:rsid w:val="008C0D48"/>
    <w:rsid w:val="008C2125"/>
    <w:rsid w:val="008C2B5C"/>
    <w:rsid w:val="008C2B7E"/>
    <w:rsid w:val="008C2C15"/>
    <w:rsid w:val="008C3BC2"/>
    <w:rsid w:val="008C3FE7"/>
    <w:rsid w:val="008C6F28"/>
    <w:rsid w:val="008C73B3"/>
    <w:rsid w:val="008D121C"/>
    <w:rsid w:val="008D134C"/>
    <w:rsid w:val="008D2440"/>
    <w:rsid w:val="008D24FF"/>
    <w:rsid w:val="008D2608"/>
    <w:rsid w:val="008D2F29"/>
    <w:rsid w:val="008D2FD5"/>
    <w:rsid w:val="008D5508"/>
    <w:rsid w:val="008D5C11"/>
    <w:rsid w:val="008D5C65"/>
    <w:rsid w:val="008D7EA6"/>
    <w:rsid w:val="008E00AD"/>
    <w:rsid w:val="008E03B4"/>
    <w:rsid w:val="008E24ED"/>
    <w:rsid w:val="008E26B9"/>
    <w:rsid w:val="008E51B7"/>
    <w:rsid w:val="008E5D74"/>
    <w:rsid w:val="008E6308"/>
    <w:rsid w:val="008E7459"/>
    <w:rsid w:val="008E7AC7"/>
    <w:rsid w:val="008F109E"/>
    <w:rsid w:val="008F13FA"/>
    <w:rsid w:val="008F19E2"/>
    <w:rsid w:val="008F1AD2"/>
    <w:rsid w:val="008F1C00"/>
    <w:rsid w:val="008F266D"/>
    <w:rsid w:val="008F2A25"/>
    <w:rsid w:val="008F3331"/>
    <w:rsid w:val="008F4ECC"/>
    <w:rsid w:val="008F61AD"/>
    <w:rsid w:val="008F61C4"/>
    <w:rsid w:val="008F6CE0"/>
    <w:rsid w:val="008F7396"/>
    <w:rsid w:val="008F79A4"/>
    <w:rsid w:val="008F7E38"/>
    <w:rsid w:val="0090137B"/>
    <w:rsid w:val="00901928"/>
    <w:rsid w:val="00901A3D"/>
    <w:rsid w:val="00901D19"/>
    <w:rsid w:val="00902C47"/>
    <w:rsid w:val="00902FF6"/>
    <w:rsid w:val="00903243"/>
    <w:rsid w:val="009037F9"/>
    <w:rsid w:val="00903AFC"/>
    <w:rsid w:val="00903B0F"/>
    <w:rsid w:val="009058C5"/>
    <w:rsid w:val="009068C8"/>
    <w:rsid w:val="009069D6"/>
    <w:rsid w:val="009072DA"/>
    <w:rsid w:val="0090753B"/>
    <w:rsid w:val="00910878"/>
    <w:rsid w:val="0091173E"/>
    <w:rsid w:val="00911763"/>
    <w:rsid w:val="00911CA4"/>
    <w:rsid w:val="00914055"/>
    <w:rsid w:val="0091718D"/>
    <w:rsid w:val="00917628"/>
    <w:rsid w:val="00924267"/>
    <w:rsid w:val="00925755"/>
    <w:rsid w:val="009258CC"/>
    <w:rsid w:val="00925D41"/>
    <w:rsid w:val="00925FA7"/>
    <w:rsid w:val="0092687B"/>
    <w:rsid w:val="00927089"/>
    <w:rsid w:val="00930803"/>
    <w:rsid w:val="0093091E"/>
    <w:rsid w:val="00930A86"/>
    <w:rsid w:val="00931546"/>
    <w:rsid w:val="009315AF"/>
    <w:rsid w:val="009336F5"/>
    <w:rsid w:val="00934A8A"/>
    <w:rsid w:val="00935328"/>
    <w:rsid w:val="0093727C"/>
    <w:rsid w:val="00937D25"/>
    <w:rsid w:val="00937FBE"/>
    <w:rsid w:val="00940616"/>
    <w:rsid w:val="009413B2"/>
    <w:rsid w:val="0094200F"/>
    <w:rsid w:val="00943724"/>
    <w:rsid w:val="00943EAD"/>
    <w:rsid w:val="00944893"/>
    <w:rsid w:val="009448A3"/>
    <w:rsid w:val="0094532F"/>
    <w:rsid w:val="00946CF6"/>
    <w:rsid w:val="00947639"/>
    <w:rsid w:val="00947C5D"/>
    <w:rsid w:val="0095069D"/>
    <w:rsid w:val="009528A2"/>
    <w:rsid w:val="009538C7"/>
    <w:rsid w:val="00953E89"/>
    <w:rsid w:val="00954259"/>
    <w:rsid w:val="00955727"/>
    <w:rsid w:val="009614D4"/>
    <w:rsid w:val="009615E1"/>
    <w:rsid w:val="009616BC"/>
    <w:rsid w:val="00961889"/>
    <w:rsid w:val="0096207F"/>
    <w:rsid w:val="009622D2"/>
    <w:rsid w:val="00962A6A"/>
    <w:rsid w:val="009635C7"/>
    <w:rsid w:val="00963883"/>
    <w:rsid w:val="00963DA5"/>
    <w:rsid w:val="009667A5"/>
    <w:rsid w:val="00966FCF"/>
    <w:rsid w:val="00967046"/>
    <w:rsid w:val="009675EE"/>
    <w:rsid w:val="00971243"/>
    <w:rsid w:val="009732A1"/>
    <w:rsid w:val="00973DAA"/>
    <w:rsid w:val="0097552D"/>
    <w:rsid w:val="00975DEB"/>
    <w:rsid w:val="0097624C"/>
    <w:rsid w:val="00976343"/>
    <w:rsid w:val="009774A3"/>
    <w:rsid w:val="00977812"/>
    <w:rsid w:val="009805F2"/>
    <w:rsid w:val="00980973"/>
    <w:rsid w:val="00980F0D"/>
    <w:rsid w:val="0098261A"/>
    <w:rsid w:val="009827B2"/>
    <w:rsid w:val="00984930"/>
    <w:rsid w:val="00986505"/>
    <w:rsid w:val="00986EBC"/>
    <w:rsid w:val="009870AF"/>
    <w:rsid w:val="009879C7"/>
    <w:rsid w:val="009942A5"/>
    <w:rsid w:val="00994EB3"/>
    <w:rsid w:val="00995717"/>
    <w:rsid w:val="00995B32"/>
    <w:rsid w:val="00995D3E"/>
    <w:rsid w:val="00996A5E"/>
    <w:rsid w:val="00996AC9"/>
    <w:rsid w:val="00996AD3"/>
    <w:rsid w:val="00997C0D"/>
    <w:rsid w:val="009A04A8"/>
    <w:rsid w:val="009A1D30"/>
    <w:rsid w:val="009A2117"/>
    <w:rsid w:val="009A25DA"/>
    <w:rsid w:val="009A3584"/>
    <w:rsid w:val="009A42BD"/>
    <w:rsid w:val="009A4333"/>
    <w:rsid w:val="009A4813"/>
    <w:rsid w:val="009A5D0A"/>
    <w:rsid w:val="009A628D"/>
    <w:rsid w:val="009A62D1"/>
    <w:rsid w:val="009B3495"/>
    <w:rsid w:val="009B46F3"/>
    <w:rsid w:val="009C0D3E"/>
    <w:rsid w:val="009C13A9"/>
    <w:rsid w:val="009C2468"/>
    <w:rsid w:val="009C2B58"/>
    <w:rsid w:val="009C3666"/>
    <w:rsid w:val="009C3A41"/>
    <w:rsid w:val="009C40EF"/>
    <w:rsid w:val="009C48EE"/>
    <w:rsid w:val="009C6A75"/>
    <w:rsid w:val="009C732E"/>
    <w:rsid w:val="009C7A31"/>
    <w:rsid w:val="009D025E"/>
    <w:rsid w:val="009D157A"/>
    <w:rsid w:val="009D1E89"/>
    <w:rsid w:val="009D3C72"/>
    <w:rsid w:val="009D3F76"/>
    <w:rsid w:val="009D7055"/>
    <w:rsid w:val="009E183E"/>
    <w:rsid w:val="009E1A19"/>
    <w:rsid w:val="009E2139"/>
    <w:rsid w:val="009E319F"/>
    <w:rsid w:val="009E363E"/>
    <w:rsid w:val="009E470B"/>
    <w:rsid w:val="009E63BD"/>
    <w:rsid w:val="009E6EE8"/>
    <w:rsid w:val="009E7498"/>
    <w:rsid w:val="009F0C0C"/>
    <w:rsid w:val="009F1809"/>
    <w:rsid w:val="009F1B50"/>
    <w:rsid w:val="009F1B54"/>
    <w:rsid w:val="009F1B9A"/>
    <w:rsid w:val="009F29CE"/>
    <w:rsid w:val="009F3675"/>
    <w:rsid w:val="009F398B"/>
    <w:rsid w:val="009F3E19"/>
    <w:rsid w:val="009F4DEA"/>
    <w:rsid w:val="009F4F31"/>
    <w:rsid w:val="009F52D9"/>
    <w:rsid w:val="009F642E"/>
    <w:rsid w:val="009F7329"/>
    <w:rsid w:val="00A00E58"/>
    <w:rsid w:val="00A012BC"/>
    <w:rsid w:val="00A01308"/>
    <w:rsid w:val="00A014D4"/>
    <w:rsid w:val="00A01DB8"/>
    <w:rsid w:val="00A02D3E"/>
    <w:rsid w:val="00A02E28"/>
    <w:rsid w:val="00A040C6"/>
    <w:rsid w:val="00A04850"/>
    <w:rsid w:val="00A0619C"/>
    <w:rsid w:val="00A06CEC"/>
    <w:rsid w:val="00A07DE6"/>
    <w:rsid w:val="00A104E3"/>
    <w:rsid w:val="00A11759"/>
    <w:rsid w:val="00A12356"/>
    <w:rsid w:val="00A14A3A"/>
    <w:rsid w:val="00A14F7B"/>
    <w:rsid w:val="00A151FE"/>
    <w:rsid w:val="00A15D4D"/>
    <w:rsid w:val="00A16748"/>
    <w:rsid w:val="00A167FC"/>
    <w:rsid w:val="00A174D5"/>
    <w:rsid w:val="00A17B2A"/>
    <w:rsid w:val="00A20258"/>
    <w:rsid w:val="00A2046F"/>
    <w:rsid w:val="00A2073E"/>
    <w:rsid w:val="00A21D74"/>
    <w:rsid w:val="00A22998"/>
    <w:rsid w:val="00A23DA0"/>
    <w:rsid w:val="00A240BC"/>
    <w:rsid w:val="00A2468B"/>
    <w:rsid w:val="00A24E4C"/>
    <w:rsid w:val="00A25015"/>
    <w:rsid w:val="00A26CDA"/>
    <w:rsid w:val="00A26ED8"/>
    <w:rsid w:val="00A31C24"/>
    <w:rsid w:val="00A31E1B"/>
    <w:rsid w:val="00A33E33"/>
    <w:rsid w:val="00A358D5"/>
    <w:rsid w:val="00A35901"/>
    <w:rsid w:val="00A35CE6"/>
    <w:rsid w:val="00A35D13"/>
    <w:rsid w:val="00A377FA"/>
    <w:rsid w:val="00A379E7"/>
    <w:rsid w:val="00A40841"/>
    <w:rsid w:val="00A4153D"/>
    <w:rsid w:val="00A4271F"/>
    <w:rsid w:val="00A43F3C"/>
    <w:rsid w:val="00A44AC2"/>
    <w:rsid w:val="00A455C7"/>
    <w:rsid w:val="00A45A5D"/>
    <w:rsid w:val="00A46FFC"/>
    <w:rsid w:val="00A5038C"/>
    <w:rsid w:val="00A50F11"/>
    <w:rsid w:val="00A52415"/>
    <w:rsid w:val="00A525C5"/>
    <w:rsid w:val="00A5301C"/>
    <w:rsid w:val="00A5358D"/>
    <w:rsid w:val="00A535DE"/>
    <w:rsid w:val="00A53A13"/>
    <w:rsid w:val="00A547C6"/>
    <w:rsid w:val="00A54EF9"/>
    <w:rsid w:val="00A56366"/>
    <w:rsid w:val="00A56F16"/>
    <w:rsid w:val="00A57982"/>
    <w:rsid w:val="00A60727"/>
    <w:rsid w:val="00A60E37"/>
    <w:rsid w:val="00A610BD"/>
    <w:rsid w:val="00A61699"/>
    <w:rsid w:val="00A6196F"/>
    <w:rsid w:val="00A646F2"/>
    <w:rsid w:val="00A6484E"/>
    <w:rsid w:val="00A64FDC"/>
    <w:rsid w:val="00A6678B"/>
    <w:rsid w:val="00A667BC"/>
    <w:rsid w:val="00A669D0"/>
    <w:rsid w:val="00A66FB3"/>
    <w:rsid w:val="00A71E4D"/>
    <w:rsid w:val="00A71FF0"/>
    <w:rsid w:val="00A727D8"/>
    <w:rsid w:val="00A746FA"/>
    <w:rsid w:val="00A74B09"/>
    <w:rsid w:val="00A74BA8"/>
    <w:rsid w:val="00A76137"/>
    <w:rsid w:val="00A764BB"/>
    <w:rsid w:val="00A77DA6"/>
    <w:rsid w:val="00A8005B"/>
    <w:rsid w:val="00A83A54"/>
    <w:rsid w:val="00A84512"/>
    <w:rsid w:val="00A8532D"/>
    <w:rsid w:val="00A85C3D"/>
    <w:rsid w:val="00A86379"/>
    <w:rsid w:val="00A867CE"/>
    <w:rsid w:val="00A90B64"/>
    <w:rsid w:val="00A90F88"/>
    <w:rsid w:val="00A91702"/>
    <w:rsid w:val="00A936D2"/>
    <w:rsid w:val="00A938EB"/>
    <w:rsid w:val="00A94102"/>
    <w:rsid w:val="00A9523F"/>
    <w:rsid w:val="00A953D4"/>
    <w:rsid w:val="00A95D65"/>
    <w:rsid w:val="00A9660C"/>
    <w:rsid w:val="00A970F9"/>
    <w:rsid w:val="00A9727A"/>
    <w:rsid w:val="00AA0C8A"/>
    <w:rsid w:val="00AA2D9E"/>
    <w:rsid w:val="00AA3519"/>
    <w:rsid w:val="00AA4542"/>
    <w:rsid w:val="00AA5614"/>
    <w:rsid w:val="00AA5633"/>
    <w:rsid w:val="00AA6581"/>
    <w:rsid w:val="00AA6660"/>
    <w:rsid w:val="00AA6D97"/>
    <w:rsid w:val="00AB0F3C"/>
    <w:rsid w:val="00AB18EA"/>
    <w:rsid w:val="00AB1EBE"/>
    <w:rsid w:val="00AB2265"/>
    <w:rsid w:val="00AB2748"/>
    <w:rsid w:val="00AB2818"/>
    <w:rsid w:val="00AB3847"/>
    <w:rsid w:val="00AB38CE"/>
    <w:rsid w:val="00AB4321"/>
    <w:rsid w:val="00AB5CA0"/>
    <w:rsid w:val="00AB6D23"/>
    <w:rsid w:val="00AC00ED"/>
    <w:rsid w:val="00AC2B23"/>
    <w:rsid w:val="00AC39F0"/>
    <w:rsid w:val="00AC3F9A"/>
    <w:rsid w:val="00AC5510"/>
    <w:rsid w:val="00AC5CC1"/>
    <w:rsid w:val="00AC658E"/>
    <w:rsid w:val="00AC6621"/>
    <w:rsid w:val="00AD0020"/>
    <w:rsid w:val="00AD0736"/>
    <w:rsid w:val="00AD0A30"/>
    <w:rsid w:val="00AD0BF7"/>
    <w:rsid w:val="00AD0DF4"/>
    <w:rsid w:val="00AD176C"/>
    <w:rsid w:val="00AD18F9"/>
    <w:rsid w:val="00AD249E"/>
    <w:rsid w:val="00AD352C"/>
    <w:rsid w:val="00AD3773"/>
    <w:rsid w:val="00AD3E75"/>
    <w:rsid w:val="00AD5D50"/>
    <w:rsid w:val="00AD768F"/>
    <w:rsid w:val="00AD76BF"/>
    <w:rsid w:val="00AE0DE6"/>
    <w:rsid w:val="00AE2BF1"/>
    <w:rsid w:val="00AE3640"/>
    <w:rsid w:val="00AE3F86"/>
    <w:rsid w:val="00AE4667"/>
    <w:rsid w:val="00AE4E9D"/>
    <w:rsid w:val="00AE58CD"/>
    <w:rsid w:val="00AE65C4"/>
    <w:rsid w:val="00AE6FFC"/>
    <w:rsid w:val="00AE7B53"/>
    <w:rsid w:val="00AF03FB"/>
    <w:rsid w:val="00AF0659"/>
    <w:rsid w:val="00AF190A"/>
    <w:rsid w:val="00AF353E"/>
    <w:rsid w:val="00AF4AE5"/>
    <w:rsid w:val="00AF4C79"/>
    <w:rsid w:val="00AF5985"/>
    <w:rsid w:val="00B006DB"/>
    <w:rsid w:val="00B012F3"/>
    <w:rsid w:val="00B021F4"/>
    <w:rsid w:val="00B0223D"/>
    <w:rsid w:val="00B02D51"/>
    <w:rsid w:val="00B030F8"/>
    <w:rsid w:val="00B0363E"/>
    <w:rsid w:val="00B04264"/>
    <w:rsid w:val="00B04291"/>
    <w:rsid w:val="00B04711"/>
    <w:rsid w:val="00B0625C"/>
    <w:rsid w:val="00B065DF"/>
    <w:rsid w:val="00B0682F"/>
    <w:rsid w:val="00B079AF"/>
    <w:rsid w:val="00B1298D"/>
    <w:rsid w:val="00B1384D"/>
    <w:rsid w:val="00B15090"/>
    <w:rsid w:val="00B15951"/>
    <w:rsid w:val="00B16341"/>
    <w:rsid w:val="00B165F6"/>
    <w:rsid w:val="00B165F7"/>
    <w:rsid w:val="00B17374"/>
    <w:rsid w:val="00B17F06"/>
    <w:rsid w:val="00B238CB"/>
    <w:rsid w:val="00B239F2"/>
    <w:rsid w:val="00B24980"/>
    <w:rsid w:val="00B2613D"/>
    <w:rsid w:val="00B2629C"/>
    <w:rsid w:val="00B267B5"/>
    <w:rsid w:val="00B2696E"/>
    <w:rsid w:val="00B27DE2"/>
    <w:rsid w:val="00B307EF"/>
    <w:rsid w:val="00B3156B"/>
    <w:rsid w:val="00B3315E"/>
    <w:rsid w:val="00B33A01"/>
    <w:rsid w:val="00B33A41"/>
    <w:rsid w:val="00B35C66"/>
    <w:rsid w:val="00B405CE"/>
    <w:rsid w:val="00B413A5"/>
    <w:rsid w:val="00B41586"/>
    <w:rsid w:val="00B430B9"/>
    <w:rsid w:val="00B4337C"/>
    <w:rsid w:val="00B45E42"/>
    <w:rsid w:val="00B50368"/>
    <w:rsid w:val="00B51484"/>
    <w:rsid w:val="00B51D33"/>
    <w:rsid w:val="00B534F4"/>
    <w:rsid w:val="00B54011"/>
    <w:rsid w:val="00B54C65"/>
    <w:rsid w:val="00B563E6"/>
    <w:rsid w:val="00B56EBB"/>
    <w:rsid w:val="00B56F4C"/>
    <w:rsid w:val="00B570E3"/>
    <w:rsid w:val="00B5757A"/>
    <w:rsid w:val="00B57D82"/>
    <w:rsid w:val="00B6033F"/>
    <w:rsid w:val="00B60D03"/>
    <w:rsid w:val="00B60D5F"/>
    <w:rsid w:val="00B61A40"/>
    <w:rsid w:val="00B62610"/>
    <w:rsid w:val="00B628FA"/>
    <w:rsid w:val="00B6381D"/>
    <w:rsid w:val="00B6459E"/>
    <w:rsid w:val="00B65E04"/>
    <w:rsid w:val="00B66648"/>
    <w:rsid w:val="00B66E8F"/>
    <w:rsid w:val="00B6729C"/>
    <w:rsid w:val="00B70293"/>
    <w:rsid w:val="00B70FC2"/>
    <w:rsid w:val="00B722AB"/>
    <w:rsid w:val="00B72823"/>
    <w:rsid w:val="00B73D19"/>
    <w:rsid w:val="00B74390"/>
    <w:rsid w:val="00B75A70"/>
    <w:rsid w:val="00B760BB"/>
    <w:rsid w:val="00B761F2"/>
    <w:rsid w:val="00B769C2"/>
    <w:rsid w:val="00B8070E"/>
    <w:rsid w:val="00B80F57"/>
    <w:rsid w:val="00B814B8"/>
    <w:rsid w:val="00B81C6D"/>
    <w:rsid w:val="00B82B38"/>
    <w:rsid w:val="00B82C8E"/>
    <w:rsid w:val="00B82F01"/>
    <w:rsid w:val="00B86957"/>
    <w:rsid w:val="00B9093D"/>
    <w:rsid w:val="00B909CF"/>
    <w:rsid w:val="00B90A00"/>
    <w:rsid w:val="00B92309"/>
    <w:rsid w:val="00B92395"/>
    <w:rsid w:val="00B93114"/>
    <w:rsid w:val="00B95396"/>
    <w:rsid w:val="00B956B5"/>
    <w:rsid w:val="00B9641A"/>
    <w:rsid w:val="00BA0485"/>
    <w:rsid w:val="00BA0670"/>
    <w:rsid w:val="00BA095D"/>
    <w:rsid w:val="00BA1181"/>
    <w:rsid w:val="00BA2A05"/>
    <w:rsid w:val="00BA60E9"/>
    <w:rsid w:val="00BA6806"/>
    <w:rsid w:val="00BB1E7F"/>
    <w:rsid w:val="00BB2312"/>
    <w:rsid w:val="00BB3A91"/>
    <w:rsid w:val="00BB3D8E"/>
    <w:rsid w:val="00BB70D1"/>
    <w:rsid w:val="00BB7B04"/>
    <w:rsid w:val="00BB7C3F"/>
    <w:rsid w:val="00BC0C4F"/>
    <w:rsid w:val="00BC4D9C"/>
    <w:rsid w:val="00BC63D4"/>
    <w:rsid w:val="00BC7661"/>
    <w:rsid w:val="00BD3403"/>
    <w:rsid w:val="00BD3872"/>
    <w:rsid w:val="00BD4F1D"/>
    <w:rsid w:val="00BE2487"/>
    <w:rsid w:val="00BE2EE8"/>
    <w:rsid w:val="00BE4DE6"/>
    <w:rsid w:val="00BE5E7B"/>
    <w:rsid w:val="00BE7CE4"/>
    <w:rsid w:val="00BF049A"/>
    <w:rsid w:val="00BF0D6E"/>
    <w:rsid w:val="00BF3595"/>
    <w:rsid w:val="00BF43F6"/>
    <w:rsid w:val="00BF58F6"/>
    <w:rsid w:val="00BF5E65"/>
    <w:rsid w:val="00BF6FF9"/>
    <w:rsid w:val="00BF7CC1"/>
    <w:rsid w:val="00BF7ECB"/>
    <w:rsid w:val="00C00B6D"/>
    <w:rsid w:val="00C01A86"/>
    <w:rsid w:val="00C01A94"/>
    <w:rsid w:val="00C036E3"/>
    <w:rsid w:val="00C0534F"/>
    <w:rsid w:val="00C05B51"/>
    <w:rsid w:val="00C05BD4"/>
    <w:rsid w:val="00C05CA2"/>
    <w:rsid w:val="00C07595"/>
    <w:rsid w:val="00C076AB"/>
    <w:rsid w:val="00C1044D"/>
    <w:rsid w:val="00C13278"/>
    <w:rsid w:val="00C14847"/>
    <w:rsid w:val="00C1490B"/>
    <w:rsid w:val="00C1740E"/>
    <w:rsid w:val="00C209A2"/>
    <w:rsid w:val="00C20E00"/>
    <w:rsid w:val="00C213FE"/>
    <w:rsid w:val="00C229CB"/>
    <w:rsid w:val="00C22BDF"/>
    <w:rsid w:val="00C22EEA"/>
    <w:rsid w:val="00C24D40"/>
    <w:rsid w:val="00C253AA"/>
    <w:rsid w:val="00C26BCA"/>
    <w:rsid w:val="00C26EBD"/>
    <w:rsid w:val="00C34F3E"/>
    <w:rsid w:val="00C36F08"/>
    <w:rsid w:val="00C40483"/>
    <w:rsid w:val="00C408A4"/>
    <w:rsid w:val="00C413F3"/>
    <w:rsid w:val="00C41535"/>
    <w:rsid w:val="00C421C8"/>
    <w:rsid w:val="00C42516"/>
    <w:rsid w:val="00C44D3C"/>
    <w:rsid w:val="00C45ABB"/>
    <w:rsid w:val="00C50120"/>
    <w:rsid w:val="00C509E3"/>
    <w:rsid w:val="00C50DA9"/>
    <w:rsid w:val="00C50E46"/>
    <w:rsid w:val="00C5222B"/>
    <w:rsid w:val="00C5225E"/>
    <w:rsid w:val="00C52DCC"/>
    <w:rsid w:val="00C5514F"/>
    <w:rsid w:val="00C551C2"/>
    <w:rsid w:val="00C55ACE"/>
    <w:rsid w:val="00C6177E"/>
    <w:rsid w:val="00C61B17"/>
    <w:rsid w:val="00C62043"/>
    <w:rsid w:val="00C62373"/>
    <w:rsid w:val="00C62508"/>
    <w:rsid w:val="00C62D50"/>
    <w:rsid w:val="00C67B25"/>
    <w:rsid w:val="00C7029E"/>
    <w:rsid w:val="00C712D1"/>
    <w:rsid w:val="00C713F3"/>
    <w:rsid w:val="00C73999"/>
    <w:rsid w:val="00C77CDB"/>
    <w:rsid w:val="00C81966"/>
    <w:rsid w:val="00C825ED"/>
    <w:rsid w:val="00C83149"/>
    <w:rsid w:val="00C8379C"/>
    <w:rsid w:val="00C84555"/>
    <w:rsid w:val="00C859BD"/>
    <w:rsid w:val="00C85C55"/>
    <w:rsid w:val="00C8674F"/>
    <w:rsid w:val="00C903F8"/>
    <w:rsid w:val="00C919D5"/>
    <w:rsid w:val="00C92875"/>
    <w:rsid w:val="00C92BD2"/>
    <w:rsid w:val="00C973E6"/>
    <w:rsid w:val="00CA1BCB"/>
    <w:rsid w:val="00CA2865"/>
    <w:rsid w:val="00CA40AB"/>
    <w:rsid w:val="00CA6E56"/>
    <w:rsid w:val="00CA7493"/>
    <w:rsid w:val="00CA7A6A"/>
    <w:rsid w:val="00CB03D0"/>
    <w:rsid w:val="00CB1C9C"/>
    <w:rsid w:val="00CB2AB9"/>
    <w:rsid w:val="00CB331B"/>
    <w:rsid w:val="00CB42C8"/>
    <w:rsid w:val="00CB4403"/>
    <w:rsid w:val="00CB46B8"/>
    <w:rsid w:val="00CB6B47"/>
    <w:rsid w:val="00CB6F16"/>
    <w:rsid w:val="00CC1FBB"/>
    <w:rsid w:val="00CC355E"/>
    <w:rsid w:val="00CC3810"/>
    <w:rsid w:val="00CC5991"/>
    <w:rsid w:val="00CC63E4"/>
    <w:rsid w:val="00CC6BC0"/>
    <w:rsid w:val="00CD00A1"/>
    <w:rsid w:val="00CD00A7"/>
    <w:rsid w:val="00CD1CE4"/>
    <w:rsid w:val="00CD247D"/>
    <w:rsid w:val="00CD2A33"/>
    <w:rsid w:val="00CD35C5"/>
    <w:rsid w:val="00CD383A"/>
    <w:rsid w:val="00CD5388"/>
    <w:rsid w:val="00CD654F"/>
    <w:rsid w:val="00CE138A"/>
    <w:rsid w:val="00CE1CF7"/>
    <w:rsid w:val="00CE26A4"/>
    <w:rsid w:val="00CE2A05"/>
    <w:rsid w:val="00CE2B61"/>
    <w:rsid w:val="00CE3053"/>
    <w:rsid w:val="00CE374D"/>
    <w:rsid w:val="00CE39BD"/>
    <w:rsid w:val="00CE3DCA"/>
    <w:rsid w:val="00CE3F9F"/>
    <w:rsid w:val="00CE405E"/>
    <w:rsid w:val="00CE452F"/>
    <w:rsid w:val="00CE497A"/>
    <w:rsid w:val="00CE7004"/>
    <w:rsid w:val="00CF24C2"/>
    <w:rsid w:val="00CF2764"/>
    <w:rsid w:val="00CF356B"/>
    <w:rsid w:val="00CF42AA"/>
    <w:rsid w:val="00CF4561"/>
    <w:rsid w:val="00CF4770"/>
    <w:rsid w:val="00CF4CA9"/>
    <w:rsid w:val="00CF5E0F"/>
    <w:rsid w:val="00CF6849"/>
    <w:rsid w:val="00CF6BAA"/>
    <w:rsid w:val="00CF6DA5"/>
    <w:rsid w:val="00D01002"/>
    <w:rsid w:val="00D03A68"/>
    <w:rsid w:val="00D043A7"/>
    <w:rsid w:val="00D052FA"/>
    <w:rsid w:val="00D1009D"/>
    <w:rsid w:val="00D101D1"/>
    <w:rsid w:val="00D11A51"/>
    <w:rsid w:val="00D13599"/>
    <w:rsid w:val="00D1381D"/>
    <w:rsid w:val="00D14634"/>
    <w:rsid w:val="00D15054"/>
    <w:rsid w:val="00D170C0"/>
    <w:rsid w:val="00D17D4D"/>
    <w:rsid w:val="00D20B98"/>
    <w:rsid w:val="00D2125E"/>
    <w:rsid w:val="00D21324"/>
    <w:rsid w:val="00D229DB"/>
    <w:rsid w:val="00D2321E"/>
    <w:rsid w:val="00D24A21"/>
    <w:rsid w:val="00D24BFE"/>
    <w:rsid w:val="00D255D3"/>
    <w:rsid w:val="00D2598D"/>
    <w:rsid w:val="00D2603A"/>
    <w:rsid w:val="00D275BC"/>
    <w:rsid w:val="00D302B4"/>
    <w:rsid w:val="00D30332"/>
    <w:rsid w:val="00D30C93"/>
    <w:rsid w:val="00D321F1"/>
    <w:rsid w:val="00D329B3"/>
    <w:rsid w:val="00D33F1C"/>
    <w:rsid w:val="00D34747"/>
    <w:rsid w:val="00D376CF"/>
    <w:rsid w:val="00D429D9"/>
    <w:rsid w:val="00D45887"/>
    <w:rsid w:val="00D46600"/>
    <w:rsid w:val="00D47C81"/>
    <w:rsid w:val="00D51D54"/>
    <w:rsid w:val="00D5230C"/>
    <w:rsid w:val="00D52D51"/>
    <w:rsid w:val="00D52D91"/>
    <w:rsid w:val="00D5367C"/>
    <w:rsid w:val="00D542D3"/>
    <w:rsid w:val="00D55E4A"/>
    <w:rsid w:val="00D5731E"/>
    <w:rsid w:val="00D639C2"/>
    <w:rsid w:val="00D64000"/>
    <w:rsid w:val="00D6489E"/>
    <w:rsid w:val="00D653B7"/>
    <w:rsid w:val="00D66948"/>
    <w:rsid w:val="00D71B1A"/>
    <w:rsid w:val="00D740C8"/>
    <w:rsid w:val="00D74433"/>
    <w:rsid w:val="00D750D4"/>
    <w:rsid w:val="00D80B34"/>
    <w:rsid w:val="00D81C05"/>
    <w:rsid w:val="00D81FCA"/>
    <w:rsid w:val="00D83801"/>
    <w:rsid w:val="00D84823"/>
    <w:rsid w:val="00D857F8"/>
    <w:rsid w:val="00D858AA"/>
    <w:rsid w:val="00D85981"/>
    <w:rsid w:val="00D85F67"/>
    <w:rsid w:val="00D86408"/>
    <w:rsid w:val="00D87E14"/>
    <w:rsid w:val="00D90C81"/>
    <w:rsid w:val="00D93FF7"/>
    <w:rsid w:val="00D94043"/>
    <w:rsid w:val="00D94C10"/>
    <w:rsid w:val="00D95E4A"/>
    <w:rsid w:val="00D96486"/>
    <w:rsid w:val="00DA0D55"/>
    <w:rsid w:val="00DA132B"/>
    <w:rsid w:val="00DA19EF"/>
    <w:rsid w:val="00DA2B2D"/>
    <w:rsid w:val="00DA3E23"/>
    <w:rsid w:val="00DA4114"/>
    <w:rsid w:val="00DA47A0"/>
    <w:rsid w:val="00DA53FD"/>
    <w:rsid w:val="00DA5DCE"/>
    <w:rsid w:val="00DA647E"/>
    <w:rsid w:val="00DA7C23"/>
    <w:rsid w:val="00DB01FA"/>
    <w:rsid w:val="00DB089C"/>
    <w:rsid w:val="00DB0A19"/>
    <w:rsid w:val="00DB3812"/>
    <w:rsid w:val="00DB419A"/>
    <w:rsid w:val="00DB447C"/>
    <w:rsid w:val="00DB5653"/>
    <w:rsid w:val="00DB6111"/>
    <w:rsid w:val="00DB6EC2"/>
    <w:rsid w:val="00DB7EFD"/>
    <w:rsid w:val="00DC065B"/>
    <w:rsid w:val="00DC11E8"/>
    <w:rsid w:val="00DC3959"/>
    <w:rsid w:val="00DC4D54"/>
    <w:rsid w:val="00DC50C7"/>
    <w:rsid w:val="00DC50ED"/>
    <w:rsid w:val="00DC64E2"/>
    <w:rsid w:val="00DC7384"/>
    <w:rsid w:val="00DD1033"/>
    <w:rsid w:val="00DD1826"/>
    <w:rsid w:val="00DD2FE8"/>
    <w:rsid w:val="00DD3260"/>
    <w:rsid w:val="00DD3335"/>
    <w:rsid w:val="00DD4D9C"/>
    <w:rsid w:val="00DD58BC"/>
    <w:rsid w:val="00DD67C0"/>
    <w:rsid w:val="00DD67E3"/>
    <w:rsid w:val="00DD7924"/>
    <w:rsid w:val="00DD7C92"/>
    <w:rsid w:val="00DE01A2"/>
    <w:rsid w:val="00DE21D8"/>
    <w:rsid w:val="00DE2419"/>
    <w:rsid w:val="00DE404B"/>
    <w:rsid w:val="00DE4362"/>
    <w:rsid w:val="00DE4417"/>
    <w:rsid w:val="00DE454B"/>
    <w:rsid w:val="00DE524A"/>
    <w:rsid w:val="00DE66D2"/>
    <w:rsid w:val="00DE69C7"/>
    <w:rsid w:val="00DF02F2"/>
    <w:rsid w:val="00DF0694"/>
    <w:rsid w:val="00DF0B9E"/>
    <w:rsid w:val="00DF19D3"/>
    <w:rsid w:val="00DF2560"/>
    <w:rsid w:val="00DF5C3B"/>
    <w:rsid w:val="00DF6200"/>
    <w:rsid w:val="00DF6838"/>
    <w:rsid w:val="00E0003E"/>
    <w:rsid w:val="00E000F9"/>
    <w:rsid w:val="00E004CF"/>
    <w:rsid w:val="00E0050D"/>
    <w:rsid w:val="00E00F5E"/>
    <w:rsid w:val="00E01453"/>
    <w:rsid w:val="00E02548"/>
    <w:rsid w:val="00E02B7F"/>
    <w:rsid w:val="00E0338E"/>
    <w:rsid w:val="00E04086"/>
    <w:rsid w:val="00E04714"/>
    <w:rsid w:val="00E1027C"/>
    <w:rsid w:val="00E1060C"/>
    <w:rsid w:val="00E113D0"/>
    <w:rsid w:val="00E11F4C"/>
    <w:rsid w:val="00E1635F"/>
    <w:rsid w:val="00E17E0C"/>
    <w:rsid w:val="00E17E96"/>
    <w:rsid w:val="00E22349"/>
    <w:rsid w:val="00E223C8"/>
    <w:rsid w:val="00E23CED"/>
    <w:rsid w:val="00E24808"/>
    <w:rsid w:val="00E24BA6"/>
    <w:rsid w:val="00E24BFD"/>
    <w:rsid w:val="00E26B8F"/>
    <w:rsid w:val="00E30D59"/>
    <w:rsid w:val="00E3172D"/>
    <w:rsid w:val="00E31A5D"/>
    <w:rsid w:val="00E31D91"/>
    <w:rsid w:val="00E31E3E"/>
    <w:rsid w:val="00E32E30"/>
    <w:rsid w:val="00E35772"/>
    <w:rsid w:val="00E357FD"/>
    <w:rsid w:val="00E3601E"/>
    <w:rsid w:val="00E36B0E"/>
    <w:rsid w:val="00E370BE"/>
    <w:rsid w:val="00E41D8E"/>
    <w:rsid w:val="00E43E4C"/>
    <w:rsid w:val="00E44793"/>
    <w:rsid w:val="00E45F42"/>
    <w:rsid w:val="00E46F58"/>
    <w:rsid w:val="00E47CBC"/>
    <w:rsid w:val="00E5028E"/>
    <w:rsid w:val="00E51316"/>
    <w:rsid w:val="00E52B0E"/>
    <w:rsid w:val="00E53EE2"/>
    <w:rsid w:val="00E54523"/>
    <w:rsid w:val="00E54654"/>
    <w:rsid w:val="00E5665A"/>
    <w:rsid w:val="00E56841"/>
    <w:rsid w:val="00E56A84"/>
    <w:rsid w:val="00E60D45"/>
    <w:rsid w:val="00E61447"/>
    <w:rsid w:val="00E6144D"/>
    <w:rsid w:val="00E61C17"/>
    <w:rsid w:val="00E61D20"/>
    <w:rsid w:val="00E61F25"/>
    <w:rsid w:val="00E630F7"/>
    <w:rsid w:val="00E64406"/>
    <w:rsid w:val="00E65F26"/>
    <w:rsid w:val="00E66500"/>
    <w:rsid w:val="00E66C5C"/>
    <w:rsid w:val="00E67DA4"/>
    <w:rsid w:val="00E75A70"/>
    <w:rsid w:val="00E767BB"/>
    <w:rsid w:val="00E777ED"/>
    <w:rsid w:val="00E77F1F"/>
    <w:rsid w:val="00E834CD"/>
    <w:rsid w:val="00E836FE"/>
    <w:rsid w:val="00E846E9"/>
    <w:rsid w:val="00E852A7"/>
    <w:rsid w:val="00E865A1"/>
    <w:rsid w:val="00E86B69"/>
    <w:rsid w:val="00E87BD8"/>
    <w:rsid w:val="00E90895"/>
    <w:rsid w:val="00E91681"/>
    <w:rsid w:val="00E91938"/>
    <w:rsid w:val="00E9195A"/>
    <w:rsid w:val="00E92F73"/>
    <w:rsid w:val="00E959CB"/>
    <w:rsid w:val="00E9735B"/>
    <w:rsid w:val="00E976ED"/>
    <w:rsid w:val="00EA03BA"/>
    <w:rsid w:val="00EA1478"/>
    <w:rsid w:val="00EA2183"/>
    <w:rsid w:val="00EA62EB"/>
    <w:rsid w:val="00EA770F"/>
    <w:rsid w:val="00EB3292"/>
    <w:rsid w:val="00EB36FC"/>
    <w:rsid w:val="00EB50AB"/>
    <w:rsid w:val="00EB56AC"/>
    <w:rsid w:val="00EB5848"/>
    <w:rsid w:val="00EB6D1A"/>
    <w:rsid w:val="00EB78D3"/>
    <w:rsid w:val="00EB7F5F"/>
    <w:rsid w:val="00EC07E8"/>
    <w:rsid w:val="00EC0A82"/>
    <w:rsid w:val="00EC0E7D"/>
    <w:rsid w:val="00EC1301"/>
    <w:rsid w:val="00EC2B81"/>
    <w:rsid w:val="00EC68C9"/>
    <w:rsid w:val="00ED0C30"/>
    <w:rsid w:val="00ED1418"/>
    <w:rsid w:val="00ED1CB3"/>
    <w:rsid w:val="00ED1EFF"/>
    <w:rsid w:val="00ED22AF"/>
    <w:rsid w:val="00ED26E0"/>
    <w:rsid w:val="00ED26ED"/>
    <w:rsid w:val="00ED2F51"/>
    <w:rsid w:val="00ED32CF"/>
    <w:rsid w:val="00ED3ED8"/>
    <w:rsid w:val="00ED4701"/>
    <w:rsid w:val="00ED4C15"/>
    <w:rsid w:val="00ED7069"/>
    <w:rsid w:val="00EE0BE4"/>
    <w:rsid w:val="00EE1038"/>
    <w:rsid w:val="00EE2CD3"/>
    <w:rsid w:val="00EE3555"/>
    <w:rsid w:val="00EE4183"/>
    <w:rsid w:val="00EE4E3D"/>
    <w:rsid w:val="00EE5AAD"/>
    <w:rsid w:val="00EE658F"/>
    <w:rsid w:val="00EE69C0"/>
    <w:rsid w:val="00EE7E64"/>
    <w:rsid w:val="00EF09D4"/>
    <w:rsid w:val="00EF2D8E"/>
    <w:rsid w:val="00EF2F61"/>
    <w:rsid w:val="00EF32EE"/>
    <w:rsid w:val="00EF34B7"/>
    <w:rsid w:val="00EF49C3"/>
    <w:rsid w:val="00EF4E24"/>
    <w:rsid w:val="00F01F72"/>
    <w:rsid w:val="00F02F7A"/>
    <w:rsid w:val="00F0412C"/>
    <w:rsid w:val="00F0431F"/>
    <w:rsid w:val="00F04611"/>
    <w:rsid w:val="00F0492F"/>
    <w:rsid w:val="00F04CAF"/>
    <w:rsid w:val="00F06174"/>
    <w:rsid w:val="00F11663"/>
    <w:rsid w:val="00F11EA9"/>
    <w:rsid w:val="00F12269"/>
    <w:rsid w:val="00F1380E"/>
    <w:rsid w:val="00F13BF9"/>
    <w:rsid w:val="00F14E8B"/>
    <w:rsid w:val="00F15337"/>
    <w:rsid w:val="00F15601"/>
    <w:rsid w:val="00F164D6"/>
    <w:rsid w:val="00F22A09"/>
    <w:rsid w:val="00F244EB"/>
    <w:rsid w:val="00F25585"/>
    <w:rsid w:val="00F26734"/>
    <w:rsid w:val="00F30085"/>
    <w:rsid w:val="00F33226"/>
    <w:rsid w:val="00F33F55"/>
    <w:rsid w:val="00F35B3D"/>
    <w:rsid w:val="00F36844"/>
    <w:rsid w:val="00F37017"/>
    <w:rsid w:val="00F40BDA"/>
    <w:rsid w:val="00F41CBD"/>
    <w:rsid w:val="00F421ED"/>
    <w:rsid w:val="00F424D4"/>
    <w:rsid w:val="00F44F66"/>
    <w:rsid w:val="00F451B9"/>
    <w:rsid w:val="00F452A9"/>
    <w:rsid w:val="00F46634"/>
    <w:rsid w:val="00F46772"/>
    <w:rsid w:val="00F46C3C"/>
    <w:rsid w:val="00F47726"/>
    <w:rsid w:val="00F50AA4"/>
    <w:rsid w:val="00F50FB5"/>
    <w:rsid w:val="00F51060"/>
    <w:rsid w:val="00F51304"/>
    <w:rsid w:val="00F5473D"/>
    <w:rsid w:val="00F548A5"/>
    <w:rsid w:val="00F551E2"/>
    <w:rsid w:val="00F55D2A"/>
    <w:rsid w:val="00F601C0"/>
    <w:rsid w:val="00F611DE"/>
    <w:rsid w:val="00F6236E"/>
    <w:rsid w:val="00F62C54"/>
    <w:rsid w:val="00F6371D"/>
    <w:rsid w:val="00F64273"/>
    <w:rsid w:val="00F645F6"/>
    <w:rsid w:val="00F64DF2"/>
    <w:rsid w:val="00F65D96"/>
    <w:rsid w:val="00F66147"/>
    <w:rsid w:val="00F6695F"/>
    <w:rsid w:val="00F670A2"/>
    <w:rsid w:val="00F67253"/>
    <w:rsid w:val="00F67D58"/>
    <w:rsid w:val="00F71051"/>
    <w:rsid w:val="00F71681"/>
    <w:rsid w:val="00F716DC"/>
    <w:rsid w:val="00F72ACC"/>
    <w:rsid w:val="00F73EE2"/>
    <w:rsid w:val="00F742D5"/>
    <w:rsid w:val="00F7449C"/>
    <w:rsid w:val="00F759D4"/>
    <w:rsid w:val="00F76783"/>
    <w:rsid w:val="00F76D36"/>
    <w:rsid w:val="00F7713D"/>
    <w:rsid w:val="00F77872"/>
    <w:rsid w:val="00F83422"/>
    <w:rsid w:val="00F83FA6"/>
    <w:rsid w:val="00F84244"/>
    <w:rsid w:val="00F84742"/>
    <w:rsid w:val="00F87682"/>
    <w:rsid w:val="00F90F15"/>
    <w:rsid w:val="00F9107C"/>
    <w:rsid w:val="00F91288"/>
    <w:rsid w:val="00F91AFF"/>
    <w:rsid w:val="00F92563"/>
    <w:rsid w:val="00F935C7"/>
    <w:rsid w:val="00F9422E"/>
    <w:rsid w:val="00F9609C"/>
    <w:rsid w:val="00F9734D"/>
    <w:rsid w:val="00FA096B"/>
    <w:rsid w:val="00FA1840"/>
    <w:rsid w:val="00FA2A5B"/>
    <w:rsid w:val="00FA2BFC"/>
    <w:rsid w:val="00FA3A9A"/>
    <w:rsid w:val="00FA4437"/>
    <w:rsid w:val="00FA47C1"/>
    <w:rsid w:val="00FA4ADC"/>
    <w:rsid w:val="00FA4C58"/>
    <w:rsid w:val="00FA4DE2"/>
    <w:rsid w:val="00FA5168"/>
    <w:rsid w:val="00FA61F4"/>
    <w:rsid w:val="00FB0A98"/>
    <w:rsid w:val="00FB0DBF"/>
    <w:rsid w:val="00FB16BC"/>
    <w:rsid w:val="00FB2BC0"/>
    <w:rsid w:val="00FB3089"/>
    <w:rsid w:val="00FB4201"/>
    <w:rsid w:val="00FB55E9"/>
    <w:rsid w:val="00FB64C5"/>
    <w:rsid w:val="00FC00FF"/>
    <w:rsid w:val="00FC013F"/>
    <w:rsid w:val="00FC0393"/>
    <w:rsid w:val="00FC0ED4"/>
    <w:rsid w:val="00FC2E1B"/>
    <w:rsid w:val="00FC3016"/>
    <w:rsid w:val="00FC3759"/>
    <w:rsid w:val="00FC52C1"/>
    <w:rsid w:val="00FC574B"/>
    <w:rsid w:val="00FC5BBF"/>
    <w:rsid w:val="00FC5FF6"/>
    <w:rsid w:val="00FC64E2"/>
    <w:rsid w:val="00FC6C7F"/>
    <w:rsid w:val="00FC746F"/>
    <w:rsid w:val="00FD13C1"/>
    <w:rsid w:val="00FD1E75"/>
    <w:rsid w:val="00FD55F0"/>
    <w:rsid w:val="00FD5887"/>
    <w:rsid w:val="00FD6754"/>
    <w:rsid w:val="00FD7D54"/>
    <w:rsid w:val="00FE10D2"/>
    <w:rsid w:val="00FE3EAB"/>
    <w:rsid w:val="00FE3FE9"/>
    <w:rsid w:val="00FE4BA1"/>
    <w:rsid w:val="00FE79CB"/>
    <w:rsid w:val="00FE7BE7"/>
    <w:rsid w:val="00FE7D73"/>
    <w:rsid w:val="00FF03A3"/>
    <w:rsid w:val="00FF0E37"/>
    <w:rsid w:val="00FF18B9"/>
    <w:rsid w:val="00FF4813"/>
    <w:rsid w:val="00FF4A81"/>
    <w:rsid w:val="00FF5044"/>
    <w:rsid w:val="00FF6A33"/>
    <w:rsid w:val="00FF7340"/>
    <w:rsid w:val="00FF7869"/>
  </w:rsids>
  <m:mathPr>
    <m:mathFont m:val="Cambria Math"/>
    <m:brkBin m:val="before"/>
    <m:brkBinSub m:val="--"/>
    <m:smallFrac m:val="0"/>
    <m:dispDef/>
    <m:lMargin m:val="0"/>
    <m:rMargin m:val="0"/>
    <m:defJc m:val="centerGroup"/>
    <m:wrapIndent m:val="1440"/>
    <m:intLim m:val="subSup"/>
    <m:naryLim m:val="undOvr"/>
  </m:mathPr>
  <w:themeFontLang w:val="fr-FR"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188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bg-BG" w:eastAsia="bg-BG" w:bidi="bg-BG"/>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header" w:uiPriority="0"/>
    <w:lsdException w:name="footer" w:uiPriority="0"/>
    <w:lsdException w:name="caption" w:semiHidden="0" w:qFormat="1"/>
    <w:lsdException w:name="footnote reference" w:uiPriority="0" w:qFormat="1"/>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qFormat="1"/>
  </w:latentStyles>
  <w:style w:type="paragraph" w:default="1" w:styleId="Normal">
    <w:name w:val="Normal"/>
    <w:qFormat/>
    <w:rsid w:val="008D2440"/>
    <w:pPr>
      <w:spacing w:after="200" w:line="276" w:lineRule="auto"/>
    </w:pPr>
    <w:rPr>
      <w:rFonts w:asciiTheme="minorHAnsi" w:eastAsiaTheme="minorHAnsi" w:hAnsiTheme="minorHAnsi" w:cstheme="minorBidi"/>
      <w:sz w:val="22"/>
      <w:szCs w:val="22"/>
      <w:lang w:val="en-GB" w:eastAsia="en-US" w:bidi="ar-SA"/>
    </w:rPr>
  </w:style>
  <w:style w:type="paragraph" w:styleId="Heading1">
    <w:name w:val="heading 1"/>
    <w:basedOn w:val="Normal"/>
    <w:next w:val="Text1"/>
    <w:link w:val="Heading1Char"/>
    <w:qFormat/>
    <w:rsid w:val="00475311"/>
    <w:pPr>
      <w:keepNext/>
      <w:numPr>
        <w:numId w:val="1"/>
      </w:numPr>
      <w:spacing w:before="360"/>
      <w:outlineLvl w:val="0"/>
    </w:pPr>
    <w:rPr>
      <w:rFonts w:ascii="Cambria" w:hAnsi="Cambria"/>
      <w:b/>
      <w:bCs/>
      <w:kern w:val="32"/>
      <w:sz w:val="32"/>
      <w:szCs w:val="32"/>
    </w:rPr>
  </w:style>
  <w:style w:type="paragraph" w:styleId="Heading2">
    <w:name w:val="heading 2"/>
    <w:basedOn w:val="Normal"/>
    <w:next w:val="Text2"/>
    <w:link w:val="Heading2Char"/>
    <w:qFormat/>
    <w:rsid w:val="00475311"/>
    <w:pPr>
      <w:keepNext/>
      <w:numPr>
        <w:ilvl w:val="1"/>
        <w:numId w:val="1"/>
      </w:numPr>
      <w:outlineLvl w:val="1"/>
    </w:pPr>
    <w:rPr>
      <w:rFonts w:ascii="Cambria" w:hAnsi="Cambria"/>
      <w:b/>
      <w:bCs/>
      <w:i/>
      <w:iCs/>
      <w:sz w:val="28"/>
    </w:rPr>
  </w:style>
  <w:style w:type="paragraph" w:styleId="Heading3">
    <w:name w:val="heading 3"/>
    <w:basedOn w:val="Normal"/>
    <w:next w:val="Text3"/>
    <w:link w:val="Heading3Char"/>
    <w:qFormat/>
    <w:rsid w:val="00475311"/>
    <w:pPr>
      <w:keepNext/>
      <w:numPr>
        <w:ilvl w:val="2"/>
        <w:numId w:val="1"/>
      </w:numPr>
      <w:outlineLvl w:val="2"/>
    </w:pPr>
    <w:rPr>
      <w:rFonts w:ascii="Cambria" w:hAnsi="Cambria"/>
      <w:b/>
      <w:bCs/>
      <w:sz w:val="26"/>
      <w:szCs w:val="26"/>
    </w:rPr>
  </w:style>
  <w:style w:type="paragraph" w:styleId="Heading4">
    <w:name w:val="heading 4"/>
    <w:basedOn w:val="Normal"/>
    <w:next w:val="Text4"/>
    <w:link w:val="Heading4Char"/>
    <w:qFormat/>
    <w:rsid w:val="00475311"/>
    <w:pPr>
      <w:keepNext/>
      <w:numPr>
        <w:ilvl w:val="3"/>
        <w:numId w:val="1"/>
      </w:numPr>
      <w:outlineLvl w:val="3"/>
    </w:pPr>
    <w:rPr>
      <w:rFonts w:ascii="Calibri" w:hAnsi="Calibri"/>
      <w:b/>
      <w:bCs/>
      <w:sz w:val="28"/>
    </w:rPr>
  </w:style>
  <w:style w:type="paragraph" w:styleId="Heading5">
    <w:name w:val="heading 5"/>
    <w:basedOn w:val="Normal"/>
    <w:next w:val="Normal"/>
    <w:link w:val="Heading5Char"/>
    <w:qFormat/>
    <w:rsid w:val="00475311"/>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475311"/>
    <w:pPr>
      <w:spacing w:before="240" w:after="60"/>
      <w:outlineLvl w:val="5"/>
    </w:pPr>
    <w:rPr>
      <w:rFonts w:ascii="Calibri" w:hAnsi="Calibri"/>
      <w:b/>
      <w:bCs/>
      <w:szCs w:val="20"/>
    </w:rPr>
  </w:style>
  <w:style w:type="paragraph" w:styleId="Heading7">
    <w:name w:val="heading 7"/>
    <w:basedOn w:val="Normal"/>
    <w:next w:val="Normal"/>
    <w:link w:val="Heading7Char"/>
    <w:qFormat/>
    <w:rsid w:val="00475311"/>
    <w:pPr>
      <w:spacing w:before="240" w:after="60"/>
      <w:outlineLvl w:val="6"/>
    </w:pPr>
    <w:rPr>
      <w:rFonts w:ascii="Calibri" w:hAnsi="Calibri"/>
    </w:rPr>
  </w:style>
  <w:style w:type="paragraph" w:styleId="Heading8">
    <w:name w:val="heading 8"/>
    <w:basedOn w:val="Normal"/>
    <w:next w:val="Normal"/>
    <w:link w:val="Heading8Char"/>
    <w:qFormat/>
    <w:rsid w:val="00475311"/>
    <w:pPr>
      <w:spacing w:before="240" w:after="60"/>
      <w:outlineLvl w:val="7"/>
    </w:pPr>
    <w:rPr>
      <w:rFonts w:ascii="Calibri" w:hAnsi="Calibri"/>
      <w:i/>
      <w:iCs/>
    </w:rPr>
  </w:style>
  <w:style w:type="paragraph" w:styleId="Heading9">
    <w:name w:val="heading 9"/>
    <w:basedOn w:val="Normal"/>
    <w:next w:val="Normal"/>
    <w:link w:val="Heading9Char"/>
    <w:qFormat/>
    <w:rsid w:val="00475311"/>
    <w:pPr>
      <w:spacing w:before="240" w:after="60"/>
      <w:outlineLvl w:val="8"/>
    </w:pPr>
    <w:rPr>
      <w:rFonts w:ascii="Cambria" w:hAnsi="Cambria"/>
      <w:szCs w:val="20"/>
    </w:rPr>
  </w:style>
  <w:style w:type="character" w:default="1" w:styleId="DefaultParagraphFont">
    <w:name w:val="Default Paragraph Font"/>
    <w:uiPriority w:val="1"/>
    <w:semiHidden/>
    <w:unhideWhenUsed/>
    <w:rsid w:val="008D244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8D2440"/>
  </w:style>
  <w:style w:type="character" w:customStyle="1" w:styleId="Heading1Char">
    <w:name w:val="Heading 1 Char"/>
    <w:link w:val="Heading1"/>
    <w:rsid w:val="00475311"/>
    <w:rPr>
      <w:rFonts w:ascii="Cambria" w:hAnsi="Cambria"/>
      <w:b/>
      <w:bCs/>
      <w:kern w:val="32"/>
      <w:sz w:val="32"/>
      <w:szCs w:val="32"/>
    </w:rPr>
  </w:style>
  <w:style w:type="character" w:customStyle="1" w:styleId="Heading2Char">
    <w:name w:val="Heading 2 Char"/>
    <w:link w:val="Heading2"/>
    <w:rsid w:val="00475311"/>
    <w:rPr>
      <w:rFonts w:ascii="Cambria" w:hAnsi="Cambria"/>
      <w:b/>
      <w:bCs/>
      <w:i/>
      <w:iCs/>
      <w:sz w:val="28"/>
      <w:szCs w:val="28"/>
    </w:rPr>
  </w:style>
  <w:style w:type="character" w:customStyle="1" w:styleId="Heading3Char">
    <w:name w:val="Heading 3 Char"/>
    <w:link w:val="Heading3"/>
    <w:rsid w:val="00475311"/>
    <w:rPr>
      <w:rFonts w:ascii="Cambria" w:hAnsi="Cambria"/>
      <w:b/>
      <w:bCs/>
      <w:sz w:val="26"/>
      <w:szCs w:val="26"/>
    </w:rPr>
  </w:style>
  <w:style w:type="character" w:customStyle="1" w:styleId="Heading4Char">
    <w:name w:val="Heading 4 Char"/>
    <w:link w:val="Heading4"/>
    <w:rsid w:val="00475311"/>
    <w:rPr>
      <w:b/>
      <w:bCs/>
      <w:sz w:val="28"/>
      <w:szCs w:val="28"/>
    </w:rPr>
  </w:style>
  <w:style w:type="character" w:customStyle="1" w:styleId="Heading5Char">
    <w:name w:val="Heading 5 Char"/>
    <w:link w:val="Heading5"/>
    <w:uiPriority w:val="9"/>
    <w:rsid w:val="00475311"/>
    <w:rPr>
      <w:b/>
      <w:bCs/>
      <w:i/>
      <w:iCs/>
      <w:sz w:val="26"/>
      <w:szCs w:val="26"/>
    </w:rPr>
  </w:style>
  <w:style w:type="character" w:customStyle="1" w:styleId="Heading6Char">
    <w:name w:val="Heading 6 Char"/>
    <w:link w:val="Heading6"/>
    <w:uiPriority w:val="9"/>
    <w:rsid w:val="00475311"/>
    <w:rPr>
      <w:b/>
      <w:bCs/>
    </w:rPr>
  </w:style>
  <w:style w:type="character" w:customStyle="1" w:styleId="Heading7Char">
    <w:name w:val="Heading 7 Char"/>
    <w:link w:val="Heading7"/>
    <w:uiPriority w:val="9"/>
    <w:rsid w:val="00475311"/>
    <w:rPr>
      <w:sz w:val="24"/>
      <w:szCs w:val="24"/>
    </w:rPr>
  </w:style>
  <w:style w:type="character" w:customStyle="1" w:styleId="Heading8Char">
    <w:name w:val="Heading 8 Char"/>
    <w:link w:val="Heading8"/>
    <w:uiPriority w:val="9"/>
    <w:rsid w:val="00475311"/>
    <w:rPr>
      <w:i/>
      <w:iCs/>
      <w:sz w:val="24"/>
      <w:szCs w:val="24"/>
    </w:rPr>
  </w:style>
  <w:style w:type="character" w:customStyle="1" w:styleId="Heading9Char">
    <w:name w:val="Heading 9 Char"/>
    <w:link w:val="Heading9"/>
    <w:uiPriority w:val="9"/>
    <w:rsid w:val="00475311"/>
    <w:rPr>
      <w:rFonts w:ascii="Cambria" w:eastAsia="Times New Roman" w:hAnsi="Cambria" w:cs="Times New Roman"/>
    </w:rPr>
  </w:style>
  <w:style w:type="paragraph" w:customStyle="1" w:styleId="Text1">
    <w:name w:val="Text 1"/>
    <w:basedOn w:val="Normal"/>
    <w:rsid w:val="00475311"/>
    <w:pPr>
      <w:ind w:left="851"/>
    </w:pPr>
  </w:style>
  <w:style w:type="paragraph" w:customStyle="1" w:styleId="Text2">
    <w:name w:val="Text 2"/>
    <w:basedOn w:val="Normal"/>
    <w:uiPriority w:val="99"/>
    <w:rsid w:val="00475311"/>
    <w:pPr>
      <w:ind w:left="851"/>
    </w:pPr>
  </w:style>
  <w:style w:type="paragraph" w:customStyle="1" w:styleId="Text3">
    <w:name w:val="Text 3"/>
    <w:basedOn w:val="Normal"/>
    <w:uiPriority w:val="99"/>
    <w:rsid w:val="00475311"/>
    <w:pPr>
      <w:ind w:left="851"/>
    </w:pPr>
  </w:style>
  <w:style w:type="paragraph" w:customStyle="1" w:styleId="Text4">
    <w:name w:val="Text 4"/>
    <w:basedOn w:val="Normal"/>
    <w:uiPriority w:val="99"/>
    <w:rsid w:val="00475311"/>
    <w:pPr>
      <w:ind w:left="851"/>
    </w:pPr>
  </w:style>
  <w:style w:type="paragraph" w:customStyle="1" w:styleId="Annexetitreacte">
    <w:name w:val="Annexe titre (acte)"/>
    <w:basedOn w:val="Normal"/>
    <w:next w:val="Normal"/>
    <w:rsid w:val="00475311"/>
    <w:pPr>
      <w:jc w:val="center"/>
    </w:pPr>
    <w:rPr>
      <w:b/>
      <w:bCs/>
      <w:u w:val="single"/>
    </w:rPr>
  </w:style>
  <w:style w:type="paragraph" w:customStyle="1" w:styleId="Annexetitreexposglobal">
    <w:name w:val="Annexe titre (exposé global)"/>
    <w:basedOn w:val="Normal"/>
    <w:next w:val="Normal"/>
    <w:uiPriority w:val="99"/>
    <w:rsid w:val="00475311"/>
    <w:pPr>
      <w:jc w:val="center"/>
    </w:pPr>
    <w:rPr>
      <w:b/>
      <w:bCs/>
      <w:u w:val="single"/>
    </w:rPr>
  </w:style>
  <w:style w:type="paragraph" w:customStyle="1" w:styleId="Annexetitreexpos">
    <w:name w:val="Annexe titre (exposé)"/>
    <w:basedOn w:val="Normal"/>
    <w:next w:val="Normal"/>
    <w:uiPriority w:val="99"/>
    <w:rsid w:val="00475311"/>
    <w:pPr>
      <w:jc w:val="center"/>
    </w:pPr>
    <w:rPr>
      <w:b/>
      <w:bCs/>
      <w:u w:val="single"/>
    </w:rPr>
  </w:style>
  <w:style w:type="paragraph" w:customStyle="1" w:styleId="Annexetitrefichefinacte">
    <w:name w:val="Annexe titre (fiche fin. acte)"/>
    <w:basedOn w:val="Normal"/>
    <w:next w:val="Normal"/>
    <w:uiPriority w:val="99"/>
    <w:rsid w:val="00475311"/>
    <w:pPr>
      <w:jc w:val="center"/>
    </w:pPr>
    <w:rPr>
      <w:b/>
      <w:bCs/>
      <w:u w:val="single"/>
    </w:rPr>
  </w:style>
  <w:style w:type="paragraph" w:customStyle="1" w:styleId="Annexetitrefichefinglobale">
    <w:name w:val="Annexe titre (fiche fin. globale)"/>
    <w:basedOn w:val="Normal"/>
    <w:next w:val="Normal"/>
    <w:uiPriority w:val="99"/>
    <w:rsid w:val="00475311"/>
    <w:pPr>
      <w:jc w:val="center"/>
    </w:pPr>
    <w:rPr>
      <w:b/>
      <w:bCs/>
      <w:u w:val="single"/>
    </w:rPr>
  </w:style>
  <w:style w:type="paragraph" w:customStyle="1" w:styleId="Annexetitreglobale">
    <w:name w:val="Annexe titre (globale)"/>
    <w:basedOn w:val="Normal"/>
    <w:next w:val="Normal"/>
    <w:uiPriority w:val="99"/>
    <w:rsid w:val="00475311"/>
    <w:pPr>
      <w:jc w:val="center"/>
    </w:pPr>
    <w:rPr>
      <w:b/>
      <w:bCs/>
      <w:u w:val="single"/>
    </w:rPr>
  </w:style>
  <w:style w:type="paragraph" w:customStyle="1" w:styleId="Applicationdirecte">
    <w:name w:val="Application directe"/>
    <w:basedOn w:val="Normal"/>
    <w:next w:val="Fait"/>
    <w:uiPriority w:val="99"/>
    <w:rsid w:val="00475311"/>
    <w:pPr>
      <w:spacing w:before="480"/>
    </w:pPr>
  </w:style>
  <w:style w:type="paragraph" w:customStyle="1" w:styleId="Fait">
    <w:name w:val="Fait à"/>
    <w:basedOn w:val="Normal"/>
    <w:next w:val="Institutionquisigne"/>
    <w:uiPriority w:val="99"/>
    <w:rsid w:val="00475311"/>
    <w:pPr>
      <w:keepNext/>
    </w:pPr>
  </w:style>
  <w:style w:type="paragraph" w:customStyle="1" w:styleId="Institutionquisigne">
    <w:name w:val="Institution qui signe"/>
    <w:basedOn w:val="Normal"/>
    <w:next w:val="Personnequisigne"/>
    <w:uiPriority w:val="99"/>
    <w:rsid w:val="00475311"/>
    <w:pPr>
      <w:keepNext/>
      <w:tabs>
        <w:tab w:val="left" w:pos="4253"/>
      </w:tabs>
      <w:spacing w:before="720"/>
    </w:pPr>
    <w:rPr>
      <w:i/>
      <w:iCs/>
    </w:rPr>
  </w:style>
  <w:style w:type="paragraph" w:customStyle="1" w:styleId="Personnequisigne">
    <w:name w:val="Personne qui signe"/>
    <w:basedOn w:val="Normal"/>
    <w:next w:val="Institutionquisigne"/>
    <w:uiPriority w:val="99"/>
    <w:rsid w:val="00475311"/>
    <w:pPr>
      <w:tabs>
        <w:tab w:val="left" w:pos="4253"/>
      </w:tabs>
    </w:pPr>
    <w:rPr>
      <w:i/>
      <w:iCs/>
    </w:rPr>
  </w:style>
  <w:style w:type="paragraph" w:styleId="Caption">
    <w:name w:val="caption"/>
    <w:basedOn w:val="Normal"/>
    <w:next w:val="Normal"/>
    <w:uiPriority w:val="99"/>
    <w:qFormat/>
    <w:rsid w:val="00475311"/>
    <w:rPr>
      <w:b/>
      <w:bCs/>
    </w:rPr>
  </w:style>
  <w:style w:type="paragraph" w:customStyle="1" w:styleId="ChapterTitle">
    <w:name w:val="ChapterTitle"/>
    <w:basedOn w:val="Normal"/>
    <w:next w:val="Normal"/>
    <w:uiPriority w:val="99"/>
    <w:rsid w:val="00475311"/>
    <w:pPr>
      <w:keepNext/>
      <w:spacing w:after="360"/>
      <w:jc w:val="center"/>
    </w:pPr>
    <w:rPr>
      <w:b/>
      <w:bCs/>
      <w:sz w:val="32"/>
      <w:szCs w:val="32"/>
    </w:rPr>
  </w:style>
  <w:style w:type="character" w:styleId="CommentReference">
    <w:name w:val="annotation reference"/>
    <w:uiPriority w:val="99"/>
    <w:rsid w:val="00475311"/>
    <w:rPr>
      <w:sz w:val="16"/>
      <w:szCs w:val="16"/>
    </w:rPr>
  </w:style>
  <w:style w:type="paragraph" w:styleId="CommentText">
    <w:name w:val="annotation text"/>
    <w:basedOn w:val="Normal"/>
    <w:link w:val="CommentTextChar"/>
    <w:uiPriority w:val="99"/>
    <w:rsid w:val="00475311"/>
    <w:rPr>
      <w:szCs w:val="20"/>
    </w:rPr>
  </w:style>
  <w:style w:type="character" w:customStyle="1" w:styleId="CommentTextChar">
    <w:name w:val="Comment Text Char"/>
    <w:link w:val="CommentText"/>
    <w:uiPriority w:val="99"/>
    <w:rsid w:val="00475311"/>
    <w:rPr>
      <w:rFonts w:ascii="Times New Roman" w:hAnsi="Times New Roman" w:cs="Times New Roman"/>
      <w:sz w:val="20"/>
      <w:szCs w:val="20"/>
    </w:rPr>
  </w:style>
  <w:style w:type="paragraph" w:customStyle="1" w:styleId="Confidence">
    <w:name w:val="Confidence"/>
    <w:basedOn w:val="Normal"/>
    <w:next w:val="Normal"/>
    <w:uiPriority w:val="99"/>
    <w:rsid w:val="00475311"/>
    <w:pPr>
      <w:spacing w:before="360"/>
      <w:jc w:val="center"/>
    </w:pPr>
  </w:style>
  <w:style w:type="paragraph" w:customStyle="1" w:styleId="Corrigendum">
    <w:name w:val="Corrigendum"/>
    <w:basedOn w:val="Normal"/>
    <w:next w:val="Normal"/>
    <w:uiPriority w:val="99"/>
    <w:rsid w:val="00475311"/>
    <w:pPr>
      <w:spacing w:after="240"/>
    </w:pPr>
  </w:style>
  <w:style w:type="paragraph" w:customStyle="1" w:styleId="Emission">
    <w:name w:val="Emission"/>
    <w:basedOn w:val="Normal"/>
    <w:next w:val="Rfrenceinstitutionelle"/>
    <w:uiPriority w:val="99"/>
    <w:rsid w:val="00475311"/>
    <w:pPr>
      <w:ind w:left="5103"/>
    </w:pPr>
  </w:style>
  <w:style w:type="paragraph" w:customStyle="1" w:styleId="Rfrenceinstitutionelle">
    <w:name w:val="Référence institutionelle"/>
    <w:basedOn w:val="Normal"/>
    <w:next w:val="Statut"/>
    <w:uiPriority w:val="99"/>
    <w:rsid w:val="00475311"/>
    <w:pPr>
      <w:spacing w:after="240"/>
      <w:ind w:left="5103"/>
    </w:pPr>
  </w:style>
  <w:style w:type="paragraph" w:customStyle="1" w:styleId="Statut">
    <w:name w:val="Statut"/>
    <w:basedOn w:val="Normal"/>
    <w:next w:val="Typedudocument"/>
    <w:uiPriority w:val="99"/>
    <w:rsid w:val="00475311"/>
    <w:pPr>
      <w:spacing w:before="360"/>
      <w:jc w:val="center"/>
    </w:pPr>
  </w:style>
  <w:style w:type="paragraph" w:customStyle="1" w:styleId="Typedudocument">
    <w:name w:val="Type du document"/>
    <w:basedOn w:val="Normal"/>
    <w:next w:val="Datedadoption"/>
    <w:uiPriority w:val="99"/>
    <w:rsid w:val="00475311"/>
    <w:pPr>
      <w:spacing w:before="360"/>
      <w:jc w:val="center"/>
    </w:pPr>
    <w:rPr>
      <w:b/>
      <w:bCs/>
    </w:rPr>
  </w:style>
  <w:style w:type="paragraph" w:customStyle="1" w:styleId="Datedadoption">
    <w:name w:val="Date d'adoption"/>
    <w:basedOn w:val="Normal"/>
    <w:next w:val="Titreobjet"/>
    <w:uiPriority w:val="99"/>
    <w:rsid w:val="00475311"/>
    <w:pPr>
      <w:spacing w:before="360"/>
      <w:jc w:val="center"/>
    </w:pPr>
    <w:rPr>
      <w:b/>
      <w:bCs/>
    </w:rPr>
  </w:style>
  <w:style w:type="paragraph" w:customStyle="1" w:styleId="Titreobjet">
    <w:name w:val="Titre objet"/>
    <w:basedOn w:val="Normal"/>
    <w:next w:val="Sous-titreobjet"/>
    <w:uiPriority w:val="99"/>
    <w:rsid w:val="00475311"/>
    <w:pPr>
      <w:spacing w:before="360" w:after="360"/>
      <w:jc w:val="center"/>
    </w:pPr>
    <w:rPr>
      <w:b/>
      <w:bCs/>
    </w:rPr>
  </w:style>
  <w:style w:type="paragraph" w:customStyle="1" w:styleId="Sous-titreobjet">
    <w:name w:val="Sous-titre objet"/>
    <w:basedOn w:val="Titreobjet"/>
    <w:uiPriority w:val="99"/>
    <w:rsid w:val="00475311"/>
    <w:pPr>
      <w:spacing w:before="0" w:after="0"/>
    </w:pPr>
  </w:style>
  <w:style w:type="paragraph" w:customStyle="1" w:styleId="Exposdesmotifstitre">
    <w:name w:val="Exposé des motifs titre"/>
    <w:basedOn w:val="Normal"/>
    <w:next w:val="Normal"/>
    <w:uiPriority w:val="99"/>
    <w:rsid w:val="00475311"/>
    <w:pPr>
      <w:jc w:val="center"/>
    </w:pPr>
    <w:rPr>
      <w:b/>
      <w:bCs/>
      <w:u w:val="single"/>
    </w:rPr>
  </w:style>
  <w:style w:type="paragraph" w:customStyle="1" w:styleId="Exposdesmotifstitreglobal">
    <w:name w:val="Exposé des motifs titre (global)"/>
    <w:basedOn w:val="Normal"/>
    <w:next w:val="Normal"/>
    <w:uiPriority w:val="99"/>
    <w:rsid w:val="00475311"/>
    <w:pPr>
      <w:jc w:val="center"/>
    </w:pPr>
    <w:rPr>
      <w:b/>
      <w:bCs/>
      <w:u w:val="single"/>
    </w:rPr>
  </w:style>
  <w:style w:type="paragraph" w:customStyle="1" w:styleId="FichedimpactPMEtitre">
    <w:name w:val="Fiche d'impact PME titre"/>
    <w:basedOn w:val="Normal"/>
    <w:next w:val="Normal"/>
    <w:uiPriority w:val="99"/>
    <w:rsid w:val="00475311"/>
    <w:pPr>
      <w:jc w:val="center"/>
    </w:pPr>
    <w:rPr>
      <w:b/>
      <w:bCs/>
    </w:rPr>
  </w:style>
  <w:style w:type="paragraph" w:customStyle="1" w:styleId="Fichefinanciretextetable">
    <w:name w:val="Fiche financière texte (table)"/>
    <w:basedOn w:val="Normal"/>
    <w:uiPriority w:val="99"/>
    <w:rsid w:val="00475311"/>
    <w:rPr>
      <w:szCs w:val="20"/>
    </w:rPr>
  </w:style>
  <w:style w:type="paragraph" w:customStyle="1" w:styleId="Fichefinanciretitre">
    <w:name w:val="Fiche financière titre"/>
    <w:basedOn w:val="Normal"/>
    <w:next w:val="Normal"/>
    <w:uiPriority w:val="99"/>
    <w:rsid w:val="00475311"/>
    <w:pPr>
      <w:jc w:val="center"/>
    </w:pPr>
    <w:rPr>
      <w:b/>
      <w:bCs/>
      <w:u w:val="single"/>
    </w:rPr>
  </w:style>
  <w:style w:type="paragraph" w:customStyle="1" w:styleId="Fichefinanciretitreactetable">
    <w:name w:val="Fiche financière titre (acte table)"/>
    <w:basedOn w:val="Normal"/>
    <w:next w:val="Normal"/>
    <w:uiPriority w:val="99"/>
    <w:rsid w:val="00475311"/>
    <w:pPr>
      <w:jc w:val="center"/>
    </w:pPr>
    <w:rPr>
      <w:b/>
      <w:bCs/>
      <w:sz w:val="40"/>
      <w:szCs w:val="40"/>
    </w:rPr>
  </w:style>
  <w:style w:type="paragraph" w:customStyle="1" w:styleId="Fichefinanciretitreacte">
    <w:name w:val="Fiche financière titre (acte)"/>
    <w:basedOn w:val="Normal"/>
    <w:next w:val="Normal"/>
    <w:uiPriority w:val="99"/>
    <w:rsid w:val="00475311"/>
    <w:pPr>
      <w:jc w:val="center"/>
    </w:pPr>
    <w:rPr>
      <w:b/>
      <w:bCs/>
      <w:u w:val="single"/>
    </w:rPr>
  </w:style>
  <w:style w:type="paragraph" w:customStyle="1" w:styleId="Fichefinanciretitretable">
    <w:name w:val="Fiche financière titre (table)"/>
    <w:basedOn w:val="Normal"/>
    <w:uiPriority w:val="99"/>
    <w:rsid w:val="00475311"/>
    <w:pPr>
      <w:jc w:val="center"/>
    </w:pPr>
    <w:rPr>
      <w:b/>
      <w:bCs/>
      <w:sz w:val="40"/>
      <w:szCs w:val="40"/>
    </w:rPr>
  </w:style>
  <w:style w:type="paragraph" w:styleId="Footer">
    <w:name w:val="footer"/>
    <w:basedOn w:val="Normal"/>
    <w:link w:val="FooterChar"/>
    <w:rsid w:val="00475311"/>
    <w:pPr>
      <w:tabs>
        <w:tab w:val="center" w:pos="4536"/>
        <w:tab w:val="right" w:pos="9072"/>
      </w:tabs>
      <w:spacing w:before="360"/>
    </w:pPr>
  </w:style>
  <w:style w:type="character" w:customStyle="1" w:styleId="FooterChar">
    <w:name w:val="Footer Char"/>
    <w:link w:val="Footer"/>
    <w:rsid w:val="00475311"/>
    <w:rPr>
      <w:rFonts w:ascii="Times New Roman" w:hAnsi="Times New Roman" w:cs="Times New Roman"/>
      <w:sz w:val="24"/>
      <w:szCs w:val="24"/>
    </w:rPr>
  </w:style>
  <w:style w:type="character" w:styleId="FootnoteReference">
    <w:name w:val="footnote reference"/>
    <w:qFormat/>
    <w:rsid w:val="00475311"/>
    <w:rPr>
      <w:vertAlign w:val="superscript"/>
    </w:rPr>
  </w:style>
  <w:style w:type="paragraph" w:styleId="FootnoteText">
    <w:name w:val="footnote text"/>
    <w:basedOn w:val="Normal"/>
    <w:link w:val="FootnoteTextChar"/>
    <w:qFormat/>
    <w:rsid w:val="00475311"/>
    <w:rPr>
      <w:szCs w:val="20"/>
    </w:rPr>
  </w:style>
  <w:style w:type="character" w:customStyle="1" w:styleId="FootnoteTextChar">
    <w:name w:val="Footnote Text Char"/>
    <w:link w:val="FootnoteText"/>
    <w:rsid w:val="00475311"/>
    <w:rPr>
      <w:rFonts w:ascii="Times New Roman" w:hAnsi="Times New Roman" w:cs="Times New Roman"/>
      <w:sz w:val="20"/>
      <w:szCs w:val="20"/>
    </w:rPr>
  </w:style>
  <w:style w:type="paragraph" w:customStyle="1" w:styleId="Formuledadoption">
    <w:name w:val="Formule d'adoption"/>
    <w:basedOn w:val="Normal"/>
    <w:next w:val="Titrearticle"/>
    <w:uiPriority w:val="99"/>
    <w:rsid w:val="00475311"/>
    <w:pPr>
      <w:keepNext/>
    </w:pPr>
  </w:style>
  <w:style w:type="paragraph" w:customStyle="1" w:styleId="Titrearticle">
    <w:name w:val="Titre article"/>
    <w:basedOn w:val="Normal"/>
    <w:next w:val="Normal"/>
    <w:rsid w:val="00475311"/>
    <w:pPr>
      <w:keepNext/>
      <w:spacing w:before="360"/>
      <w:jc w:val="center"/>
    </w:pPr>
    <w:rPr>
      <w:i/>
      <w:iCs/>
    </w:rPr>
  </w:style>
  <w:style w:type="paragraph" w:styleId="Header">
    <w:name w:val="header"/>
    <w:aliases w:val="numéro de page"/>
    <w:basedOn w:val="Normal"/>
    <w:link w:val="HeaderChar"/>
    <w:rsid w:val="00475311"/>
    <w:pPr>
      <w:tabs>
        <w:tab w:val="right" w:pos="8306"/>
      </w:tabs>
    </w:pPr>
  </w:style>
  <w:style w:type="character" w:customStyle="1" w:styleId="HeaderChar">
    <w:name w:val="Header Char"/>
    <w:aliases w:val="numéro de page Char"/>
    <w:link w:val="Header"/>
    <w:rsid w:val="00475311"/>
    <w:rPr>
      <w:rFonts w:ascii="Times New Roman" w:hAnsi="Times New Roman" w:cs="Times New Roman"/>
      <w:sz w:val="24"/>
      <w:szCs w:val="24"/>
    </w:rPr>
  </w:style>
  <w:style w:type="paragraph" w:customStyle="1" w:styleId="Institutionquiagit">
    <w:name w:val="Institution qui agit"/>
    <w:basedOn w:val="Normal"/>
    <w:next w:val="Normal"/>
    <w:uiPriority w:val="99"/>
    <w:rsid w:val="00475311"/>
    <w:pPr>
      <w:keepNext/>
      <w:spacing w:before="600"/>
    </w:pPr>
  </w:style>
  <w:style w:type="paragraph" w:customStyle="1" w:styleId="Langue">
    <w:name w:val="Langue"/>
    <w:basedOn w:val="Normal"/>
    <w:next w:val="Rfrenceinterne"/>
    <w:uiPriority w:val="99"/>
    <w:rsid w:val="00475311"/>
    <w:pPr>
      <w:spacing w:after="600"/>
      <w:jc w:val="center"/>
    </w:pPr>
    <w:rPr>
      <w:b/>
      <w:bCs/>
      <w:caps/>
    </w:rPr>
  </w:style>
  <w:style w:type="paragraph" w:customStyle="1" w:styleId="Rfrenceinterne">
    <w:name w:val="Référence interne"/>
    <w:basedOn w:val="Normal"/>
    <w:next w:val="Nomdelinstitution"/>
    <w:uiPriority w:val="99"/>
    <w:rsid w:val="00475311"/>
    <w:pPr>
      <w:spacing w:after="600"/>
      <w:jc w:val="center"/>
    </w:pPr>
    <w:rPr>
      <w:b/>
      <w:bCs/>
    </w:rPr>
  </w:style>
  <w:style w:type="paragraph" w:customStyle="1" w:styleId="Nomdelinstitution">
    <w:name w:val="Nom de l'institution"/>
    <w:basedOn w:val="Normal"/>
    <w:next w:val="Emission"/>
    <w:uiPriority w:val="99"/>
    <w:rsid w:val="00475311"/>
    <w:rPr>
      <w:rFonts w:cs="Arial"/>
    </w:rPr>
  </w:style>
  <w:style w:type="paragraph" w:customStyle="1" w:styleId="Langueoriginale">
    <w:name w:val="Langue originale"/>
    <w:basedOn w:val="Normal"/>
    <w:next w:val="Phrasefinale"/>
    <w:uiPriority w:val="99"/>
    <w:rsid w:val="00475311"/>
    <w:pPr>
      <w:spacing w:before="360"/>
      <w:jc w:val="center"/>
    </w:pPr>
    <w:rPr>
      <w:caps/>
    </w:rPr>
  </w:style>
  <w:style w:type="paragraph" w:customStyle="1" w:styleId="Phrasefinale">
    <w:name w:val="Phrase finale"/>
    <w:basedOn w:val="Normal"/>
    <w:next w:val="Normal"/>
    <w:uiPriority w:val="99"/>
    <w:rsid w:val="00475311"/>
    <w:pPr>
      <w:spacing w:before="360"/>
      <w:jc w:val="center"/>
    </w:pPr>
  </w:style>
  <w:style w:type="paragraph" w:customStyle="1" w:styleId="ManualHeading1">
    <w:name w:val="Manual Heading 1"/>
    <w:basedOn w:val="Heading1"/>
    <w:next w:val="Text1"/>
    <w:uiPriority w:val="99"/>
    <w:rsid w:val="00475311"/>
    <w:pPr>
      <w:tabs>
        <w:tab w:val="clear" w:pos="850"/>
        <w:tab w:val="num" w:pos="851"/>
      </w:tabs>
      <w:ind w:left="851" w:hanging="851"/>
    </w:pPr>
  </w:style>
  <w:style w:type="paragraph" w:customStyle="1" w:styleId="ManualHeading2">
    <w:name w:val="Manual Heading 2"/>
    <w:basedOn w:val="Heading2"/>
    <w:next w:val="Text2"/>
    <w:uiPriority w:val="99"/>
    <w:rsid w:val="00475311"/>
    <w:pPr>
      <w:tabs>
        <w:tab w:val="clear" w:pos="850"/>
        <w:tab w:val="num" w:pos="851"/>
      </w:tabs>
      <w:ind w:left="851" w:hanging="851"/>
    </w:pPr>
  </w:style>
  <w:style w:type="paragraph" w:customStyle="1" w:styleId="ManualHeading3">
    <w:name w:val="Manual Heading 3"/>
    <w:basedOn w:val="Heading3"/>
    <w:next w:val="Text3"/>
    <w:uiPriority w:val="99"/>
    <w:rsid w:val="00475311"/>
    <w:pPr>
      <w:tabs>
        <w:tab w:val="clear" w:pos="850"/>
        <w:tab w:val="num" w:pos="851"/>
      </w:tabs>
    </w:pPr>
  </w:style>
  <w:style w:type="paragraph" w:customStyle="1" w:styleId="ManualHeading4">
    <w:name w:val="Manual Heading 4"/>
    <w:basedOn w:val="Heading4"/>
    <w:next w:val="Text4"/>
    <w:uiPriority w:val="99"/>
    <w:rsid w:val="00475311"/>
    <w:pPr>
      <w:tabs>
        <w:tab w:val="clear" w:pos="850"/>
        <w:tab w:val="num" w:pos="851"/>
      </w:tabs>
    </w:pPr>
  </w:style>
  <w:style w:type="paragraph" w:customStyle="1" w:styleId="ManualNumPar1">
    <w:name w:val="Manual NumPar 1"/>
    <w:basedOn w:val="Normal"/>
    <w:next w:val="Text1"/>
    <w:rsid w:val="00475311"/>
    <w:pPr>
      <w:ind w:left="851" w:hanging="851"/>
    </w:pPr>
  </w:style>
  <w:style w:type="paragraph" w:customStyle="1" w:styleId="ManualNumPar2">
    <w:name w:val="Manual NumPar 2"/>
    <w:basedOn w:val="Normal"/>
    <w:next w:val="Text2"/>
    <w:uiPriority w:val="99"/>
    <w:rsid w:val="00475311"/>
    <w:pPr>
      <w:ind w:left="851" w:hanging="851"/>
    </w:pPr>
  </w:style>
  <w:style w:type="paragraph" w:customStyle="1" w:styleId="ManualNumPar3">
    <w:name w:val="Manual NumPar 3"/>
    <w:basedOn w:val="Normal"/>
    <w:next w:val="Text3"/>
    <w:uiPriority w:val="99"/>
    <w:rsid w:val="00475311"/>
    <w:pPr>
      <w:ind w:left="851" w:hanging="851"/>
    </w:pPr>
  </w:style>
  <w:style w:type="paragraph" w:customStyle="1" w:styleId="ManualNumPar4">
    <w:name w:val="Manual NumPar 4"/>
    <w:basedOn w:val="Normal"/>
    <w:next w:val="Text4"/>
    <w:uiPriority w:val="99"/>
    <w:rsid w:val="00475311"/>
    <w:pPr>
      <w:ind w:left="851" w:hanging="851"/>
    </w:pPr>
  </w:style>
  <w:style w:type="character" w:customStyle="1" w:styleId="Marker">
    <w:name w:val="Marker"/>
    <w:uiPriority w:val="99"/>
    <w:rsid w:val="00475311"/>
    <w:rPr>
      <w:color w:val="0000FF"/>
    </w:rPr>
  </w:style>
  <w:style w:type="paragraph" w:customStyle="1" w:styleId="NormalCentered">
    <w:name w:val="Normal Centered"/>
    <w:basedOn w:val="Normal"/>
    <w:rsid w:val="00475311"/>
    <w:pPr>
      <w:jc w:val="center"/>
    </w:pPr>
  </w:style>
  <w:style w:type="paragraph" w:customStyle="1" w:styleId="NormalLeft">
    <w:name w:val="Normal Left"/>
    <w:basedOn w:val="Normal"/>
    <w:rsid w:val="00475311"/>
  </w:style>
  <w:style w:type="paragraph" w:customStyle="1" w:styleId="NormalRight">
    <w:name w:val="Normal Right"/>
    <w:basedOn w:val="Normal"/>
    <w:uiPriority w:val="99"/>
    <w:rsid w:val="00475311"/>
    <w:pPr>
      <w:jc w:val="right"/>
    </w:pPr>
  </w:style>
  <w:style w:type="paragraph" w:customStyle="1" w:styleId="NumPar1">
    <w:name w:val="NumPar 1"/>
    <w:basedOn w:val="Normal"/>
    <w:next w:val="Text1"/>
    <w:rsid w:val="00475311"/>
    <w:pPr>
      <w:numPr>
        <w:numId w:val="2"/>
      </w:numPr>
    </w:pPr>
  </w:style>
  <w:style w:type="paragraph" w:customStyle="1" w:styleId="NumPar2">
    <w:name w:val="NumPar 2"/>
    <w:basedOn w:val="Normal"/>
    <w:next w:val="Text2"/>
    <w:rsid w:val="00475311"/>
    <w:pPr>
      <w:numPr>
        <w:ilvl w:val="1"/>
        <w:numId w:val="2"/>
      </w:numPr>
    </w:pPr>
  </w:style>
  <w:style w:type="paragraph" w:customStyle="1" w:styleId="NumPar3">
    <w:name w:val="NumPar 3"/>
    <w:basedOn w:val="Normal"/>
    <w:next w:val="Text3"/>
    <w:rsid w:val="00475311"/>
    <w:pPr>
      <w:numPr>
        <w:ilvl w:val="2"/>
        <w:numId w:val="2"/>
      </w:numPr>
    </w:pPr>
  </w:style>
  <w:style w:type="paragraph" w:customStyle="1" w:styleId="NumPar4">
    <w:name w:val="NumPar 4"/>
    <w:basedOn w:val="Normal"/>
    <w:next w:val="Text4"/>
    <w:rsid w:val="00475311"/>
    <w:pPr>
      <w:numPr>
        <w:ilvl w:val="3"/>
        <w:numId w:val="2"/>
      </w:numPr>
    </w:pPr>
  </w:style>
  <w:style w:type="paragraph" w:customStyle="1" w:styleId="Objetexterne">
    <w:name w:val="Objet externe"/>
    <w:basedOn w:val="Normal"/>
    <w:next w:val="Normal"/>
    <w:uiPriority w:val="99"/>
    <w:rsid w:val="00475311"/>
    <w:rPr>
      <w:i/>
      <w:iCs/>
      <w:caps/>
    </w:rPr>
  </w:style>
  <w:style w:type="character" w:styleId="PageNumber">
    <w:name w:val="page number"/>
    <w:rsid w:val="00475311"/>
  </w:style>
  <w:style w:type="paragraph" w:customStyle="1" w:styleId="PartTitle">
    <w:name w:val="PartTitle"/>
    <w:basedOn w:val="Normal"/>
    <w:next w:val="ChapterTitle"/>
    <w:uiPriority w:val="99"/>
    <w:rsid w:val="00475311"/>
    <w:pPr>
      <w:keepNext/>
      <w:pageBreakBefore/>
      <w:spacing w:after="360"/>
      <w:jc w:val="center"/>
    </w:pPr>
    <w:rPr>
      <w:b/>
      <w:bCs/>
      <w:sz w:val="36"/>
      <w:szCs w:val="36"/>
    </w:rPr>
  </w:style>
  <w:style w:type="paragraph" w:customStyle="1" w:styleId="Point0">
    <w:name w:val="Point 0"/>
    <w:basedOn w:val="Normal"/>
    <w:uiPriority w:val="99"/>
    <w:rsid w:val="00475311"/>
    <w:pPr>
      <w:ind w:left="851" w:hanging="851"/>
    </w:pPr>
  </w:style>
  <w:style w:type="paragraph" w:customStyle="1" w:styleId="Point1">
    <w:name w:val="Point 1"/>
    <w:basedOn w:val="Normal"/>
    <w:rsid w:val="00475311"/>
    <w:pPr>
      <w:ind w:left="1418" w:hanging="567"/>
    </w:pPr>
  </w:style>
  <w:style w:type="paragraph" w:customStyle="1" w:styleId="Point2">
    <w:name w:val="Point 2"/>
    <w:basedOn w:val="Normal"/>
    <w:uiPriority w:val="99"/>
    <w:rsid w:val="00475311"/>
    <w:pPr>
      <w:ind w:left="1985" w:hanging="567"/>
    </w:pPr>
  </w:style>
  <w:style w:type="paragraph" w:customStyle="1" w:styleId="Point3">
    <w:name w:val="Point 3"/>
    <w:basedOn w:val="Normal"/>
    <w:uiPriority w:val="99"/>
    <w:rsid w:val="00475311"/>
    <w:pPr>
      <w:ind w:left="2552" w:hanging="567"/>
    </w:pPr>
  </w:style>
  <w:style w:type="paragraph" w:customStyle="1" w:styleId="Point4">
    <w:name w:val="Point 4"/>
    <w:basedOn w:val="Normal"/>
    <w:uiPriority w:val="99"/>
    <w:rsid w:val="00475311"/>
    <w:pPr>
      <w:ind w:left="3119" w:hanging="567"/>
    </w:pPr>
  </w:style>
  <w:style w:type="paragraph" w:customStyle="1" w:styleId="PointDouble0">
    <w:name w:val="PointDouble 0"/>
    <w:basedOn w:val="Normal"/>
    <w:uiPriority w:val="99"/>
    <w:rsid w:val="00475311"/>
    <w:pPr>
      <w:tabs>
        <w:tab w:val="left" w:pos="851"/>
      </w:tabs>
      <w:ind w:left="1418" w:hanging="1418"/>
    </w:pPr>
  </w:style>
  <w:style w:type="paragraph" w:customStyle="1" w:styleId="PointDouble1">
    <w:name w:val="PointDouble 1"/>
    <w:basedOn w:val="Normal"/>
    <w:uiPriority w:val="99"/>
    <w:rsid w:val="00475311"/>
    <w:pPr>
      <w:tabs>
        <w:tab w:val="left" w:pos="1418"/>
      </w:tabs>
      <w:ind w:left="1985" w:hanging="1134"/>
    </w:pPr>
  </w:style>
  <w:style w:type="paragraph" w:customStyle="1" w:styleId="PointDouble2">
    <w:name w:val="PointDouble 2"/>
    <w:basedOn w:val="Normal"/>
    <w:uiPriority w:val="99"/>
    <w:rsid w:val="00475311"/>
    <w:pPr>
      <w:tabs>
        <w:tab w:val="left" w:pos="1985"/>
      </w:tabs>
      <w:ind w:left="2552" w:hanging="1134"/>
    </w:pPr>
  </w:style>
  <w:style w:type="paragraph" w:customStyle="1" w:styleId="PointDouble3">
    <w:name w:val="PointDouble 3"/>
    <w:basedOn w:val="Normal"/>
    <w:uiPriority w:val="99"/>
    <w:rsid w:val="00475311"/>
    <w:pPr>
      <w:tabs>
        <w:tab w:val="left" w:pos="2552"/>
      </w:tabs>
      <w:ind w:left="3119" w:hanging="1134"/>
    </w:pPr>
  </w:style>
  <w:style w:type="paragraph" w:customStyle="1" w:styleId="PointDouble4">
    <w:name w:val="PointDouble 4"/>
    <w:basedOn w:val="Normal"/>
    <w:uiPriority w:val="99"/>
    <w:rsid w:val="00475311"/>
    <w:pPr>
      <w:tabs>
        <w:tab w:val="left" w:pos="3119"/>
      </w:tabs>
      <w:ind w:left="3686" w:hanging="1134"/>
    </w:pPr>
  </w:style>
  <w:style w:type="paragraph" w:customStyle="1" w:styleId="PointTriple0">
    <w:name w:val="PointTriple 0"/>
    <w:basedOn w:val="Normal"/>
    <w:uiPriority w:val="99"/>
    <w:rsid w:val="00475311"/>
    <w:pPr>
      <w:tabs>
        <w:tab w:val="left" w:pos="851"/>
        <w:tab w:val="left" w:pos="1418"/>
      </w:tabs>
      <w:ind w:left="1985" w:hanging="1985"/>
    </w:pPr>
  </w:style>
  <w:style w:type="paragraph" w:customStyle="1" w:styleId="PointTriple1">
    <w:name w:val="PointTriple 1"/>
    <w:basedOn w:val="Normal"/>
    <w:uiPriority w:val="99"/>
    <w:rsid w:val="00475311"/>
    <w:pPr>
      <w:tabs>
        <w:tab w:val="left" w:pos="1418"/>
        <w:tab w:val="left" w:pos="1985"/>
      </w:tabs>
      <w:ind w:left="2552" w:hanging="1701"/>
    </w:pPr>
  </w:style>
  <w:style w:type="paragraph" w:customStyle="1" w:styleId="PointTriple2">
    <w:name w:val="PointTriple 2"/>
    <w:basedOn w:val="Normal"/>
    <w:uiPriority w:val="99"/>
    <w:rsid w:val="00475311"/>
    <w:pPr>
      <w:tabs>
        <w:tab w:val="left" w:pos="1985"/>
        <w:tab w:val="left" w:pos="2552"/>
      </w:tabs>
      <w:ind w:left="3119" w:hanging="1701"/>
    </w:pPr>
  </w:style>
  <w:style w:type="paragraph" w:customStyle="1" w:styleId="PointTriple3">
    <w:name w:val="PointTriple 3"/>
    <w:basedOn w:val="Normal"/>
    <w:uiPriority w:val="99"/>
    <w:rsid w:val="00475311"/>
    <w:pPr>
      <w:tabs>
        <w:tab w:val="left" w:pos="2552"/>
        <w:tab w:val="left" w:pos="3119"/>
      </w:tabs>
      <w:ind w:left="3686" w:hanging="1701"/>
    </w:pPr>
  </w:style>
  <w:style w:type="paragraph" w:customStyle="1" w:styleId="PointTriple4">
    <w:name w:val="PointTriple 4"/>
    <w:basedOn w:val="Normal"/>
    <w:uiPriority w:val="99"/>
    <w:rsid w:val="00475311"/>
    <w:pPr>
      <w:tabs>
        <w:tab w:val="left" w:pos="3119"/>
        <w:tab w:val="left" w:pos="3686"/>
      </w:tabs>
      <w:ind w:left="4253" w:hanging="1701"/>
    </w:pPr>
  </w:style>
  <w:style w:type="paragraph" w:customStyle="1" w:styleId="Prliminairetitre">
    <w:name w:val="Préliminaire titre"/>
    <w:basedOn w:val="Normal"/>
    <w:next w:val="Normal"/>
    <w:uiPriority w:val="99"/>
    <w:rsid w:val="00475311"/>
    <w:pPr>
      <w:spacing w:before="360" w:after="360"/>
      <w:jc w:val="center"/>
    </w:pPr>
    <w:rPr>
      <w:b/>
      <w:bCs/>
    </w:rPr>
  </w:style>
  <w:style w:type="paragraph" w:customStyle="1" w:styleId="Prliminairetype">
    <w:name w:val="Préliminaire type"/>
    <w:basedOn w:val="Normal"/>
    <w:next w:val="Normal"/>
    <w:uiPriority w:val="99"/>
    <w:rsid w:val="00475311"/>
    <w:pPr>
      <w:spacing w:before="360"/>
      <w:jc w:val="center"/>
    </w:pPr>
    <w:rPr>
      <w:b/>
      <w:bCs/>
    </w:rPr>
  </w:style>
  <w:style w:type="paragraph" w:customStyle="1" w:styleId="QuotedNumPar">
    <w:name w:val="Quoted NumPar"/>
    <w:basedOn w:val="Normal"/>
    <w:uiPriority w:val="99"/>
    <w:rsid w:val="00475311"/>
    <w:pPr>
      <w:ind w:left="1418" w:hanging="567"/>
    </w:pPr>
  </w:style>
  <w:style w:type="paragraph" w:customStyle="1" w:styleId="QuotedText">
    <w:name w:val="Quoted Text"/>
    <w:basedOn w:val="Normal"/>
    <w:uiPriority w:val="99"/>
    <w:rsid w:val="00475311"/>
    <w:pPr>
      <w:ind w:left="1418"/>
    </w:pPr>
  </w:style>
  <w:style w:type="paragraph" w:customStyle="1" w:styleId="Rfrenceinterinstitutionelle">
    <w:name w:val="Référence interinstitutionelle"/>
    <w:basedOn w:val="Normal"/>
    <w:next w:val="Statut"/>
    <w:uiPriority w:val="99"/>
    <w:rsid w:val="00475311"/>
    <w:pPr>
      <w:ind w:left="5103"/>
    </w:pPr>
  </w:style>
  <w:style w:type="paragraph" w:customStyle="1" w:styleId="SectionTitle">
    <w:name w:val="SectionTitle"/>
    <w:basedOn w:val="Normal"/>
    <w:next w:val="Heading1"/>
    <w:uiPriority w:val="99"/>
    <w:rsid w:val="00475311"/>
    <w:pPr>
      <w:keepNext/>
      <w:spacing w:after="360"/>
      <w:jc w:val="center"/>
    </w:pPr>
    <w:rPr>
      <w:b/>
      <w:bCs/>
      <w:smallCaps/>
      <w:sz w:val="28"/>
    </w:rPr>
  </w:style>
  <w:style w:type="paragraph" w:customStyle="1" w:styleId="TableTitle">
    <w:name w:val="Table Title"/>
    <w:basedOn w:val="Normal"/>
    <w:next w:val="Normal"/>
    <w:uiPriority w:val="99"/>
    <w:rsid w:val="00475311"/>
    <w:pPr>
      <w:jc w:val="center"/>
    </w:pPr>
    <w:rPr>
      <w:b/>
      <w:bCs/>
    </w:rPr>
  </w:style>
  <w:style w:type="paragraph" w:customStyle="1" w:styleId="Tiret0">
    <w:name w:val="Tiret 0"/>
    <w:basedOn w:val="Point0"/>
    <w:uiPriority w:val="99"/>
    <w:rsid w:val="00475311"/>
  </w:style>
  <w:style w:type="paragraph" w:customStyle="1" w:styleId="Tiret1">
    <w:name w:val="Tiret 1"/>
    <w:basedOn w:val="Point1"/>
    <w:uiPriority w:val="99"/>
    <w:rsid w:val="00475311"/>
  </w:style>
  <w:style w:type="paragraph" w:customStyle="1" w:styleId="Tiret2">
    <w:name w:val="Tiret 2"/>
    <w:basedOn w:val="Point2"/>
    <w:uiPriority w:val="99"/>
    <w:rsid w:val="00475311"/>
  </w:style>
  <w:style w:type="paragraph" w:customStyle="1" w:styleId="Tiret3">
    <w:name w:val="Tiret 3"/>
    <w:basedOn w:val="Point3"/>
    <w:uiPriority w:val="99"/>
    <w:rsid w:val="00475311"/>
  </w:style>
  <w:style w:type="paragraph" w:customStyle="1" w:styleId="Tiret4">
    <w:name w:val="Tiret 4"/>
    <w:basedOn w:val="Point4"/>
    <w:uiPriority w:val="99"/>
    <w:rsid w:val="00475311"/>
  </w:style>
  <w:style w:type="paragraph" w:styleId="TOAHeading">
    <w:name w:val="toa heading"/>
    <w:basedOn w:val="Normal"/>
    <w:next w:val="Normal"/>
    <w:uiPriority w:val="99"/>
    <w:rsid w:val="00475311"/>
    <w:rPr>
      <w:rFonts w:cs="Arial"/>
      <w:b/>
      <w:bCs/>
    </w:rPr>
  </w:style>
  <w:style w:type="paragraph" w:styleId="TOC1">
    <w:name w:val="toc 1"/>
    <w:next w:val="Normal"/>
    <w:uiPriority w:val="39"/>
    <w:rsid w:val="00FC3016"/>
    <w:pPr>
      <w:tabs>
        <w:tab w:val="right" w:leader="dot" w:pos="9072"/>
      </w:tabs>
      <w:spacing w:before="200" w:after="100"/>
      <w:ind w:left="-142" w:right="567" w:hanging="142"/>
      <w:jc w:val="both"/>
    </w:pPr>
    <w:rPr>
      <w:rFonts w:ascii="Arial" w:hAnsi="Arial"/>
      <w:b/>
      <w:bCs/>
      <w:caps/>
    </w:rPr>
  </w:style>
  <w:style w:type="paragraph" w:styleId="TOC2">
    <w:name w:val="toc 2"/>
    <w:next w:val="Normal"/>
    <w:uiPriority w:val="39"/>
    <w:rsid w:val="00FC3016"/>
    <w:pPr>
      <w:spacing w:before="100"/>
      <w:ind w:left="85" w:right="567" w:hanging="142"/>
      <w:jc w:val="both"/>
    </w:pPr>
    <w:rPr>
      <w:rFonts w:ascii="Arial" w:hAnsi="Arial"/>
      <w:smallCaps/>
    </w:rPr>
  </w:style>
  <w:style w:type="paragraph" w:styleId="TOC3">
    <w:name w:val="toc 3"/>
    <w:next w:val="Normal"/>
    <w:uiPriority w:val="39"/>
    <w:rsid w:val="00FC3016"/>
    <w:pPr>
      <w:tabs>
        <w:tab w:val="right" w:leader="dot" w:pos="9072"/>
      </w:tabs>
      <w:ind w:left="142" w:right="567" w:hanging="142"/>
      <w:jc w:val="both"/>
    </w:pPr>
    <w:rPr>
      <w:rFonts w:ascii="Arial" w:hAnsi="Arial"/>
      <w:i/>
      <w:iCs/>
    </w:rPr>
  </w:style>
  <w:style w:type="paragraph" w:styleId="TOC4">
    <w:name w:val="toc 4"/>
    <w:basedOn w:val="Normal"/>
    <w:next w:val="Normal"/>
    <w:uiPriority w:val="39"/>
    <w:rsid w:val="00980F0D"/>
    <w:pPr>
      <w:ind w:left="600"/>
    </w:pPr>
    <w:rPr>
      <w:szCs w:val="18"/>
    </w:rPr>
  </w:style>
  <w:style w:type="paragraph" w:styleId="TOC5">
    <w:name w:val="toc 5"/>
    <w:basedOn w:val="Normal"/>
    <w:next w:val="Normal"/>
    <w:uiPriority w:val="39"/>
    <w:rsid w:val="00475311"/>
    <w:pPr>
      <w:ind w:left="800"/>
    </w:pPr>
    <w:rPr>
      <w:rFonts w:ascii="Calibri" w:hAnsi="Calibri"/>
      <w:sz w:val="18"/>
      <w:szCs w:val="18"/>
    </w:rPr>
  </w:style>
  <w:style w:type="paragraph" w:styleId="TOC6">
    <w:name w:val="toc 6"/>
    <w:basedOn w:val="Normal"/>
    <w:next w:val="Normal"/>
    <w:uiPriority w:val="39"/>
    <w:rsid w:val="00475311"/>
    <w:pPr>
      <w:ind w:left="1000"/>
    </w:pPr>
    <w:rPr>
      <w:rFonts w:ascii="Calibri" w:hAnsi="Calibri"/>
      <w:sz w:val="18"/>
      <w:szCs w:val="18"/>
    </w:rPr>
  </w:style>
  <w:style w:type="paragraph" w:styleId="TOC7">
    <w:name w:val="toc 7"/>
    <w:basedOn w:val="Normal"/>
    <w:next w:val="Normal"/>
    <w:uiPriority w:val="39"/>
    <w:rsid w:val="00475311"/>
    <w:pPr>
      <w:ind w:left="1200"/>
    </w:pPr>
    <w:rPr>
      <w:rFonts w:ascii="Calibri" w:hAnsi="Calibri"/>
      <w:sz w:val="18"/>
      <w:szCs w:val="18"/>
    </w:rPr>
  </w:style>
  <w:style w:type="paragraph" w:styleId="TOC8">
    <w:name w:val="toc 8"/>
    <w:basedOn w:val="Normal"/>
    <w:next w:val="Normal"/>
    <w:uiPriority w:val="39"/>
    <w:rsid w:val="00475311"/>
    <w:pPr>
      <w:ind w:left="1400"/>
    </w:pPr>
    <w:rPr>
      <w:rFonts w:ascii="Calibri" w:hAnsi="Calibri"/>
      <w:sz w:val="18"/>
      <w:szCs w:val="18"/>
    </w:rPr>
  </w:style>
  <w:style w:type="paragraph" w:styleId="TOC9">
    <w:name w:val="toc 9"/>
    <w:basedOn w:val="Normal"/>
    <w:next w:val="Normal"/>
    <w:uiPriority w:val="39"/>
    <w:rsid w:val="00475311"/>
    <w:pPr>
      <w:ind w:left="1600"/>
    </w:pPr>
    <w:rPr>
      <w:rFonts w:ascii="Calibri" w:hAnsi="Calibri"/>
      <w:sz w:val="18"/>
      <w:szCs w:val="18"/>
    </w:rPr>
  </w:style>
  <w:style w:type="paragraph" w:styleId="TOCHeading">
    <w:name w:val="TOC Heading"/>
    <w:basedOn w:val="Normal"/>
    <w:next w:val="Normal"/>
    <w:uiPriority w:val="39"/>
    <w:qFormat/>
    <w:rsid w:val="00475311"/>
    <w:pPr>
      <w:spacing w:after="240"/>
      <w:jc w:val="center"/>
    </w:pPr>
    <w:rPr>
      <w:b/>
      <w:bCs/>
      <w:sz w:val="28"/>
    </w:rPr>
  </w:style>
  <w:style w:type="paragraph" w:customStyle="1" w:styleId="Considrant">
    <w:name w:val="Considérant"/>
    <w:basedOn w:val="Normal"/>
    <w:rsid w:val="00475311"/>
    <w:pPr>
      <w:numPr>
        <w:numId w:val="3"/>
      </w:numPr>
    </w:pPr>
  </w:style>
  <w:style w:type="paragraph" w:customStyle="1" w:styleId="Confidentialit">
    <w:name w:val="Confidentialité"/>
    <w:basedOn w:val="Normal"/>
    <w:next w:val="Statut"/>
    <w:uiPriority w:val="99"/>
    <w:rsid w:val="00475311"/>
    <w:pPr>
      <w:spacing w:before="240" w:after="240"/>
      <w:ind w:left="5103"/>
    </w:pPr>
    <w:rPr>
      <w:u w:val="single"/>
    </w:rPr>
  </w:style>
  <w:style w:type="paragraph" w:customStyle="1" w:styleId="ManualConsidrant">
    <w:name w:val="Manual Considérant"/>
    <w:basedOn w:val="Normal"/>
    <w:uiPriority w:val="99"/>
    <w:rsid w:val="00475311"/>
    <w:pPr>
      <w:ind w:left="709" w:hanging="709"/>
    </w:pPr>
  </w:style>
  <w:style w:type="paragraph" w:customStyle="1" w:styleId="FooterLandscape">
    <w:name w:val="FooterLandscape"/>
    <w:basedOn w:val="Footer"/>
    <w:uiPriority w:val="99"/>
    <w:rsid w:val="00475311"/>
    <w:pPr>
      <w:tabs>
        <w:tab w:val="clear" w:pos="4536"/>
        <w:tab w:val="clear" w:pos="9072"/>
        <w:tab w:val="center" w:pos="7002"/>
        <w:tab w:val="right" w:pos="14005"/>
      </w:tabs>
    </w:pPr>
  </w:style>
  <w:style w:type="paragraph" w:customStyle="1" w:styleId="Titredumodificateur">
    <w:name w:val="Titre du modificateur"/>
    <w:basedOn w:val="Normal"/>
    <w:next w:val="Annexetitrefichefinacte"/>
    <w:uiPriority w:val="99"/>
    <w:rsid w:val="00475311"/>
    <w:pPr>
      <w:spacing w:before="240" w:after="60"/>
    </w:pPr>
    <w:rPr>
      <w:b/>
      <w:bCs/>
      <w:lang w:val="bg-BG"/>
    </w:rPr>
  </w:style>
  <w:style w:type="paragraph" w:customStyle="1" w:styleId="Referencedumodificateur">
    <w:name w:val="Reference du modificateur"/>
    <w:basedOn w:val="Normal"/>
    <w:next w:val="Annexetitrefichefinglobale"/>
    <w:uiPriority w:val="99"/>
    <w:rsid w:val="00475311"/>
    <w:rPr>
      <w:lang w:val="bg-BG"/>
    </w:rPr>
  </w:style>
  <w:style w:type="character" w:styleId="Hyperlink">
    <w:name w:val="Hyperlink"/>
    <w:uiPriority w:val="99"/>
    <w:unhideWhenUsed/>
    <w:rsid w:val="00225A33"/>
    <w:rPr>
      <w:b/>
      <w:bCs/>
      <w:color w:val="002579"/>
      <w:u w:val="single"/>
    </w:rPr>
  </w:style>
  <w:style w:type="paragraph" w:styleId="BodyText">
    <w:name w:val="Body Text"/>
    <w:basedOn w:val="Normal"/>
    <w:link w:val="BodyTextChar"/>
    <w:rsid w:val="00225A33"/>
    <w:pPr>
      <w:keepNext/>
      <w:tabs>
        <w:tab w:val="left" w:pos="709"/>
      </w:tabs>
      <w:spacing w:line="360" w:lineRule="auto"/>
    </w:pPr>
    <w:rPr>
      <w:lang w:eastAsia="bg-BG"/>
    </w:rPr>
  </w:style>
  <w:style w:type="character" w:customStyle="1" w:styleId="BodyTextChar">
    <w:name w:val="Body Text Char"/>
    <w:link w:val="BodyText"/>
    <w:rsid w:val="00225A33"/>
    <w:rPr>
      <w:rFonts w:ascii="Arial" w:hAnsi="Arial"/>
      <w:szCs w:val="24"/>
      <w:lang w:val="bg-BG" w:eastAsia="bg-BG"/>
    </w:rPr>
  </w:style>
  <w:style w:type="paragraph" w:styleId="CommentSubject">
    <w:name w:val="annotation subject"/>
    <w:basedOn w:val="CommentText"/>
    <w:next w:val="CommentText"/>
    <w:link w:val="CommentSubjectChar"/>
    <w:unhideWhenUsed/>
    <w:rsid w:val="00034CAA"/>
    <w:rPr>
      <w:b/>
      <w:bCs/>
    </w:rPr>
  </w:style>
  <w:style w:type="character" w:customStyle="1" w:styleId="CommentSubjectChar">
    <w:name w:val="Comment Subject Char"/>
    <w:link w:val="CommentSubject"/>
    <w:rsid w:val="00034CAA"/>
    <w:rPr>
      <w:rFonts w:ascii="Times New Roman" w:hAnsi="Times New Roman" w:cs="Times New Roman"/>
      <w:b/>
      <w:bCs/>
      <w:sz w:val="20"/>
      <w:szCs w:val="20"/>
    </w:rPr>
  </w:style>
  <w:style w:type="paragraph" w:styleId="Revision">
    <w:name w:val="Revision"/>
    <w:hidden/>
    <w:uiPriority w:val="99"/>
    <w:semiHidden/>
    <w:rsid w:val="00034CAA"/>
    <w:rPr>
      <w:rFonts w:ascii="Times New Roman" w:hAnsi="Times New Roman"/>
      <w:sz w:val="24"/>
      <w:szCs w:val="24"/>
    </w:rPr>
  </w:style>
  <w:style w:type="paragraph" w:styleId="BalloonText">
    <w:name w:val="Balloon Text"/>
    <w:basedOn w:val="Normal"/>
    <w:link w:val="BalloonTextChar"/>
    <w:unhideWhenUsed/>
    <w:rsid w:val="00034CAA"/>
    <w:rPr>
      <w:rFonts w:ascii="Tahoma" w:hAnsi="Tahoma"/>
      <w:sz w:val="16"/>
      <w:szCs w:val="16"/>
    </w:rPr>
  </w:style>
  <w:style w:type="character" w:customStyle="1" w:styleId="BalloonTextChar">
    <w:name w:val="Balloon Text Char"/>
    <w:link w:val="BalloonText"/>
    <w:rsid w:val="00034CAA"/>
    <w:rPr>
      <w:rFonts w:ascii="Tahoma" w:hAnsi="Tahoma" w:cs="Tahoma"/>
      <w:sz w:val="16"/>
      <w:szCs w:val="16"/>
    </w:rPr>
  </w:style>
  <w:style w:type="paragraph" w:styleId="BodyText3">
    <w:name w:val="Body Text 3"/>
    <w:basedOn w:val="Normal"/>
    <w:link w:val="BodyText3Char"/>
    <w:unhideWhenUsed/>
    <w:rsid w:val="00B5757A"/>
    <w:rPr>
      <w:sz w:val="16"/>
      <w:szCs w:val="16"/>
    </w:rPr>
  </w:style>
  <w:style w:type="character" w:customStyle="1" w:styleId="BodyText3Char">
    <w:name w:val="Body Text 3 Char"/>
    <w:link w:val="BodyText3"/>
    <w:uiPriority w:val="99"/>
    <w:rsid w:val="00B5757A"/>
    <w:rPr>
      <w:rFonts w:ascii="Times New Roman" w:hAnsi="Times New Roman"/>
      <w:sz w:val="16"/>
      <w:szCs w:val="16"/>
    </w:rPr>
  </w:style>
  <w:style w:type="paragraph" w:styleId="BodyTextIndent3">
    <w:name w:val="Body Text Indent 3"/>
    <w:basedOn w:val="Normal"/>
    <w:link w:val="BodyTextIndent3Char"/>
    <w:unhideWhenUsed/>
    <w:rsid w:val="00364497"/>
    <w:pPr>
      <w:ind w:left="283"/>
    </w:pPr>
    <w:rPr>
      <w:sz w:val="16"/>
      <w:szCs w:val="16"/>
    </w:rPr>
  </w:style>
  <w:style w:type="character" w:customStyle="1" w:styleId="BodyTextIndent3Char">
    <w:name w:val="Body Text Indent 3 Char"/>
    <w:link w:val="BodyTextIndent3"/>
    <w:uiPriority w:val="99"/>
    <w:rsid w:val="00364497"/>
    <w:rPr>
      <w:rFonts w:ascii="Times New Roman" w:hAnsi="Times New Roman"/>
      <w:sz w:val="16"/>
      <w:szCs w:val="16"/>
    </w:rPr>
  </w:style>
  <w:style w:type="paragraph" w:styleId="ListParagraph">
    <w:name w:val="List Paragraph"/>
    <w:basedOn w:val="Normal"/>
    <w:uiPriority w:val="34"/>
    <w:qFormat/>
    <w:rsid w:val="00F0492F"/>
    <w:pPr>
      <w:ind w:left="720"/>
    </w:pPr>
    <w:rPr>
      <w:rFonts w:ascii="Calibri" w:eastAsia="Calibri" w:hAnsi="Calibri" w:cs="Calibri"/>
    </w:rPr>
  </w:style>
  <w:style w:type="paragraph" w:customStyle="1" w:styleId="ES-intro">
    <w:name w:val="ES-intro"/>
    <w:basedOn w:val="Normal"/>
    <w:link w:val="ES-introCar"/>
    <w:qFormat/>
    <w:rsid w:val="00465BBB"/>
    <w:pPr>
      <w:overflowPunct w:val="0"/>
      <w:adjustRightInd w:val="0"/>
      <w:spacing w:line="360" w:lineRule="auto"/>
      <w:textAlignment w:val="baseline"/>
    </w:pPr>
    <w:rPr>
      <w:rFonts w:eastAsia="Calibri"/>
      <w:szCs w:val="20"/>
      <w:lang w:val="bg-BG"/>
    </w:rPr>
  </w:style>
  <w:style w:type="character" w:customStyle="1" w:styleId="ES-introCar">
    <w:name w:val="ES-intro Car"/>
    <w:link w:val="ES-intro"/>
    <w:rsid w:val="00465BBB"/>
    <w:rPr>
      <w:rFonts w:ascii="Arial" w:eastAsia="Calibri" w:hAnsi="Arial"/>
      <w:lang w:val="bg-BG" w:eastAsia="bg-BG"/>
    </w:rPr>
  </w:style>
  <w:style w:type="paragraph" w:customStyle="1" w:styleId="ES-Titre1">
    <w:name w:val="ES-Titre1"/>
    <w:basedOn w:val="Normal"/>
    <w:link w:val="ES-Titre1Car"/>
    <w:qFormat/>
    <w:rsid w:val="00A84512"/>
    <w:pPr>
      <w:overflowPunct w:val="0"/>
      <w:adjustRightInd w:val="0"/>
      <w:spacing w:line="240" w:lineRule="atLeast"/>
      <w:jc w:val="center"/>
      <w:textAlignment w:val="baseline"/>
    </w:pPr>
    <w:rPr>
      <w:rFonts w:eastAsia="Calibri" w:cs="Arial"/>
      <w:b/>
      <w:color w:val="000000"/>
      <w:sz w:val="28"/>
      <w:szCs w:val="32"/>
      <w:lang w:val="bg-BG"/>
    </w:rPr>
  </w:style>
  <w:style w:type="paragraph" w:customStyle="1" w:styleId="ES-Titre2">
    <w:name w:val="ES-Titre2"/>
    <w:basedOn w:val="Normal"/>
    <w:link w:val="ES-Titre2Car"/>
    <w:qFormat/>
    <w:rsid w:val="009C13A9"/>
    <w:pPr>
      <w:pageBreakBefore/>
      <w:overflowPunct w:val="0"/>
      <w:adjustRightInd w:val="0"/>
      <w:spacing w:line="240" w:lineRule="atLeast"/>
      <w:jc w:val="center"/>
      <w:textAlignment w:val="baseline"/>
    </w:pPr>
    <w:rPr>
      <w:rFonts w:eastAsia="Calibri" w:cs="Arial"/>
      <w:b/>
      <w:i/>
      <w:caps/>
      <w:sz w:val="24"/>
      <w:lang w:val="bg-BG"/>
    </w:rPr>
  </w:style>
  <w:style w:type="character" w:customStyle="1" w:styleId="ES-Titre1Car">
    <w:name w:val="ES-Titre1 Car"/>
    <w:link w:val="ES-Titre1"/>
    <w:rsid w:val="00A84512"/>
    <w:rPr>
      <w:rFonts w:ascii="Arial" w:eastAsia="Calibri" w:hAnsi="Arial" w:cs="Arial"/>
      <w:b/>
      <w:color w:val="000000"/>
      <w:sz w:val="28"/>
      <w:szCs w:val="32"/>
      <w:lang w:val="bg-BG" w:eastAsia="bg-BG"/>
    </w:rPr>
  </w:style>
  <w:style w:type="paragraph" w:customStyle="1" w:styleId="ES-Titre3">
    <w:name w:val="ES-Titre3"/>
    <w:basedOn w:val="Normal"/>
    <w:link w:val="ES-Titre3Car"/>
    <w:qFormat/>
    <w:rsid w:val="00944893"/>
    <w:pPr>
      <w:overflowPunct w:val="0"/>
      <w:adjustRightInd w:val="0"/>
      <w:spacing w:line="240" w:lineRule="exact"/>
      <w:jc w:val="center"/>
      <w:textAlignment w:val="baseline"/>
    </w:pPr>
    <w:rPr>
      <w:rFonts w:eastAsia="Calibri"/>
      <w:b/>
    </w:rPr>
  </w:style>
  <w:style w:type="character" w:customStyle="1" w:styleId="ES-Titre2Car">
    <w:name w:val="ES-Titre2 Car"/>
    <w:link w:val="ES-Titre2"/>
    <w:rsid w:val="009C13A9"/>
    <w:rPr>
      <w:rFonts w:ascii="Arial" w:eastAsia="Calibri" w:hAnsi="Arial" w:cs="Arial"/>
      <w:b/>
      <w:i/>
      <w:caps/>
      <w:sz w:val="24"/>
      <w:szCs w:val="28"/>
      <w:lang w:val="bg-BG" w:eastAsia="bg-BG"/>
    </w:rPr>
  </w:style>
  <w:style w:type="character" w:customStyle="1" w:styleId="ES-Titre3Car">
    <w:name w:val="ES-Titre3 Car"/>
    <w:link w:val="ES-Titre3"/>
    <w:rsid w:val="00944893"/>
    <w:rPr>
      <w:rFonts w:ascii="Arial" w:eastAsia="Calibri" w:hAnsi="Arial"/>
      <w:b/>
      <w:sz w:val="22"/>
      <w:szCs w:val="22"/>
      <w:lang w:eastAsia="bg-BG"/>
    </w:rPr>
  </w:style>
  <w:style w:type="paragraph" w:customStyle="1" w:styleId="TNR1">
    <w:name w:val="TNR1"/>
    <w:basedOn w:val="Normal"/>
    <w:rsid w:val="00A06CEC"/>
    <w:pPr>
      <w:tabs>
        <w:tab w:val="left" w:pos="284"/>
        <w:tab w:val="left" w:pos="454"/>
        <w:tab w:val="left" w:pos="680"/>
        <w:tab w:val="left" w:pos="907"/>
      </w:tabs>
      <w:overflowPunct w:val="0"/>
      <w:adjustRightInd w:val="0"/>
      <w:ind w:hanging="284"/>
      <w:textAlignment w:val="baseline"/>
    </w:pPr>
    <w:rPr>
      <w:rFonts w:ascii="Times New Roman" w:hAnsi="Times New Roman"/>
      <w:sz w:val="24"/>
      <w:szCs w:val="20"/>
    </w:rPr>
  </w:style>
  <w:style w:type="paragraph" w:customStyle="1" w:styleId="N1">
    <w:name w:val="N1"/>
    <w:basedOn w:val="Normal"/>
    <w:rsid w:val="00A06CEC"/>
    <w:pPr>
      <w:tabs>
        <w:tab w:val="left" w:pos="284"/>
        <w:tab w:val="left" w:pos="454"/>
        <w:tab w:val="left" w:pos="680"/>
      </w:tabs>
      <w:overflowPunct w:val="0"/>
      <w:adjustRightInd w:val="0"/>
      <w:spacing w:line="240" w:lineRule="exact"/>
      <w:ind w:hanging="284"/>
      <w:textAlignment w:val="baseline"/>
    </w:pPr>
    <w:rPr>
      <w:rFonts w:ascii="Times New Roman" w:hAnsi="Times New Roman"/>
      <w:sz w:val="24"/>
      <w:szCs w:val="20"/>
    </w:rPr>
  </w:style>
  <w:style w:type="paragraph" w:customStyle="1" w:styleId="EStiret">
    <w:name w:val="ES_tiret"/>
    <w:basedOn w:val="Normal"/>
    <w:qFormat/>
    <w:rsid w:val="00E65F26"/>
    <w:pPr>
      <w:spacing w:before="60" w:line="240" w:lineRule="atLeast"/>
      <w:ind w:left="1417"/>
    </w:pPr>
    <w:rPr>
      <w:noProof/>
      <w:snapToGrid w:val="0"/>
      <w:color w:val="000000"/>
      <w:lang w:bidi="bg-BG"/>
    </w:rPr>
  </w:style>
  <w:style w:type="paragraph" w:customStyle="1" w:styleId="TNRA">
    <w:name w:val="TNRA"/>
    <w:basedOn w:val="TNR1"/>
    <w:rsid w:val="000B4F66"/>
    <w:pPr>
      <w:ind w:left="284"/>
    </w:pPr>
  </w:style>
  <w:style w:type="numbering" w:customStyle="1" w:styleId="Aucuneliste1">
    <w:name w:val="Aucune liste1"/>
    <w:next w:val="NoList"/>
    <w:semiHidden/>
    <w:unhideWhenUsed/>
    <w:rsid w:val="00973DAA"/>
  </w:style>
  <w:style w:type="paragraph" w:styleId="BodyTextIndent">
    <w:name w:val="Body Text Indent"/>
    <w:basedOn w:val="Normal"/>
    <w:link w:val="BodyTextIndentChar"/>
    <w:unhideWhenUsed/>
    <w:rsid w:val="00F51060"/>
    <w:pPr>
      <w:spacing w:after="120"/>
      <w:ind w:left="283"/>
    </w:pPr>
  </w:style>
  <w:style w:type="character" w:customStyle="1" w:styleId="BodyTextIndentChar">
    <w:name w:val="Body Text Indent Char"/>
    <w:link w:val="BodyTextIndent"/>
    <w:uiPriority w:val="99"/>
    <w:rsid w:val="00F51060"/>
    <w:rPr>
      <w:rFonts w:ascii="Arial" w:hAnsi="Arial"/>
      <w:szCs w:val="24"/>
    </w:rPr>
  </w:style>
  <w:style w:type="paragraph" w:customStyle="1" w:styleId="Retraitcorpsdetexte22">
    <w:name w:val="Retrait corps de texte 22"/>
    <w:basedOn w:val="Normal"/>
    <w:rsid w:val="00B73D19"/>
    <w:pPr>
      <w:widowControl w:val="0"/>
      <w:tabs>
        <w:tab w:val="left" w:pos="709"/>
      </w:tabs>
      <w:suppressAutoHyphens/>
      <w:spacing w:line="240" w:lineRule="atLeast"/>
      <w:ind w:left="426"/>
    </w:pPr>
    <w:rPr>
      <w:rFonts w:cs="Arial"/>
      <w:szCs w:val="20"/>
      <w:lang w:val="bg-BG" w:eastAsia="bg-BG"/>
    </w:rPr>
  </w:style>
  <w:style w:type="table" w:styleId="TableGrid">
    <w:name w:val="Table Grid"/>
    <w:basedOn w:val="TableNormal"/>
    <w:uiPriority w:val="59"/>
    <w:rsid w:val="00083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rp">
    <w:name w:val="T1_rp"/>
    <w:basedOn w:val="Normal"/>
    <w:rsid w:val="00226A59"/>
    <w:pPr>
      <w:widowControl w:val="0"/>
      <w:tabs>
        <w:tab w:val="left" w:pos="567"/>
      </w:tabs>
      <w:adjustRightInd w:val="0"/>
      <w:spacing w:line="240" w:lineRule="atLeast"/>
      <w:ind w:left="567" w:hanging="567"/>
    </w:pPr>
    <w:rPr>
      <w:rFonts w:ascii="Times New Roman" w:eastAsia="Batang" w:hAnsi="Times New Roman" w:cs="Arial"/>
      <w:sz w:val="24"/>
      <w:szCs w:val="20"/>
      <w:lang w:val="bg-BG" w:eastAsia="bg-BG"/>
    </w:rPr>
  </w:style>
  <w:style w:type="paragraph" w:customStyle="1" w:styleId="ESchgras">
    <w:name w:val="ES_ch_gras"/>
    <w:basedOn w:val="Normal"/>
    <w:qFormat/>
    <w:rsid w:val="00151656"/>
    <w:pPr>
      <w:spacing w:line="240" w:lineRule="atLeast"/>
      <w:ind w:left="567" w:hanging="567"/>
    </w:pPr>
    <w:rPr>
      <w:rFonts w:cs="Arial"/>
      <w:b/>
      <w:color w:val="000000"/>
      <w:szCs w:val="20"/>
    </w:rPr>
  </w:style>
  <w:style w:type="paragraph" w:customStyle="1" w:styleId="ESch">
    <w:name w:val="ES_ch"/>
    <w:basedOn w:val="Normal"/>
    <w:qFormat/>
    <w:rsid w:val="00AE4E9D"/>
    <w:pPr>
      <w:spacing w:line="240" w:lineRule="atLeast"/>
      <w:ind w:left="567" w:hanging="567"/>
    </w:pPr>
  </w:style>
  <w:style w:type="paragraph" w:customStyle="1" w:styleId="ESlet">
    <w:name w:val="ES_let"/>
    <w:basedOn w:val="Normal"/>
    <w:qFormat/>
    <w:rsid w:val="00511BF6"/>
    <w:pPr>
      <w:spacing w:before="60" w:line="240" w:lineRule="atLeast"/>
      <w:ind w:left="992"/>
    </w:pPr>
  </w:style>
  <w:style w:type="paragraph" w:customStyle="1" w:styleId="ESletpar">
    <w:name w:val="ES_let_par"/>
    <w:basedOn w:val="Normal"/>
    <w:qFormat/>
    <w:rsid w:val="009058C5"/>
    <w:pPr>
      <w:spacing w:before="60" w:line="240" w:lineRule="atLeast"/>
      <w:ind w:left="992"/>
    </w:pPr>
    <w:rPr>
      <w:lang w:eastAsia="bg-BG"/>
    </w:rPr>
  </w:style>
  <w:style w:type="paragraph" w:customStyle="1" w:styleId="ESchpar">
    <w:name w:val="ES_ch_par"/>
    <w:basedOn w:val="Normal"/>
    <w:qFormat/>
    <w:rsid w:val="00321E38"/>
    <w:pPr>
      <w:spacing w:line="240" w:lineRule="atLeast"/>
      <w:ind w:left="567"/>
    </w:pPr>
  </w:style>
  <w:style w:type="paragraph" w:customStyle="1" w:styleId="ESgauche">
    <w:name w:val="ES_gauche"/>
    <w:basedOn w:val="Normal"/>
    <w:qFormat/>
    <w:rsid w:val="00111867"/>
    <w:pPr>
      <w:spacing w:line="240" w:lineRule="atLeast"/>
    </w:pPr>
    <w:rPr>
      <w:noProof/>
      <w:lang w:bidi="bg-BG"/>
    </w:rPr>
  </w:style>
  <w:style w:type="paragraph" w:customStyle="1" w:styleId="ESletgauche">
    <w:name w:val="ES_let_gauche"/>
    <w:basedOn w:val="ESch"/>
    <w:qFormat/>
    <w:rsid w:val="001F173C"/>
    <w:pPr>
      <w:spacing w:before="60"/>
    </w:pPr>
  </w:style>
  <w:style w:type="paragraph" w:customStyle="1" w:styleId="ESletlong">
    <w:name w:val="ES_let_long"/>
    <w:basedOn w:val="ESlet"/>
    <w:qFormat/>
    <w:rsid w:val="00BD4F1D"/>
    <w:pPr>
      <w:spacing w:before="0"/>
    </w:pPr>
  </w:style>
  <w:style w:type="table" w:customStyle="1" w:styleId="Grilledutableau1">
    <w:name w:val="Grille du tableau1"/>
    <w:basedOn w:val="TableNormal"/>
    <w:next w:val="TableGrid"/>
    <w:uiPriority w:val="59"/>
    <w:rsid w:val="00973DAA"/>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Marker">
    <w:name w:val="CR Marker"/>
    <w:uiPriority w:val="99"/>
    <w:rsid w:val="00973DAA"/>
    <w:rPr>
      <w:rFonts w:ascii="Wingdings" w:hAnsi="Wingdings" w:cs="Wingdings"/>
    </w:rPr>
  </w:style>
  <w:style w:type="character" w:customStyle="1" w:styleId="CRRefNum">
    <w:name w:val="CR RefNum"/>
    <w:uiPriority w:val="99"/>
    <w:rsid w:val="00973DAA"/>
    <w:rPr>
      <w:vertAlign w:val="subscript"/>
    </w:rPr>
  </w:style>
  <w:style w:type="paragraph" w:customStyle="1" w:styleId="CRSeparator">
    <w:name w:val="CR Separator"/>
    <w:basedOn w:val="Normal"/>
    <w:next w:val="Normal"/>
    <w:uiPriority w:val="99"/>
    <w:rsid w:val="00973DAA"/>
    <w:pPr>
      <w:keepNext/>
      <w:pBdr>
        <w:top w:val="single" w:sz="4" w:space="1" w:color="auto"/>
      </w:pBdr>
    </w:pPr>
    <w:rPr>
      <w:rFonts w:ascii="Times New Roman" w:hAnsi="Times New Roman"/>
      <w:sz w:val="24"/>
      <w:lang w:eastAsia="bg-BG"/>
    </w:rPr>
  </w:style>
  <w:style w:type="paragraph" w:customStyle="1" w:styleId="CM1">
    <w:name w:val="CM1"/>
    <w:basedOn w:val="Normal"/>
    <w:next w:val="Normal"/>
    <w:uiPriority w:val="99"/>
    <w:rsid w:val="00973DAA"/>
    <w:pPr>
      <w:adjustRightInd w:val="0"/>
    </w:pPr>
    <w:rPr>
      <w:rFonts w:ascii="Times New Roman" w:eastAsia="Calibri" w:hAnsi="Times New Roman"/>
      <w:sz w:val="24"/>
    </w:rPr>
  </w:style>
  <w:style w:type="paragraph" w:customStyle="1" w:styleId="CM3">
    <w:name w:val="CM3"/>
    <w:basedOn w:val="Normal"/>
    <w:next w:val="Normal"/>
    <w:uiPriority w:val="99"/>
    <w:rsid w:val="00973DAA"/>
    <w:pPr>
      <w:adjustRightInd w:val="0"/>
    </w:pPr>
    <w:rPr>
      <w:rFonts w:ascii="Times New Roman" w:eastAsia="Calibri" w:hAnsi="Times New Roman"/>
      <w:sz w:val="24"/>
    </w:rPr>
  </w:style>
  <w:style w:type="paragraph" w:customStyle="1" w:styleId="CM4">
    <w:name w:val="CM4"/>
    <w:basedOn w:val="Normal"/>
    <w:next w:val="Normal"/>
    <w:uiPriority w:val="99"/>
    <w:rsid w:val="00973DAA"/>
    <w:pPr>
      <w:adjustRightInd w:val="0"/>
    </w:pPr>
    <w:rPr>
      <w:rFonts w:ascii="Times New Roman" w:eastAsia="Calibri" w:hAnsi="Times New Roman"/>
      <w:sz w:val="24"/>
    </w:rPr>
  </w:style>
  <w:style w:type="paragraph" w:customStyle="1" w:styleId="EStiretpar">
    <w:name w:val="ES_tiret_par"/>
    <w:basedOn w:val="EStiret"/>
    <w:qFormat/>
    <w:rsid w:val="00124738"/>
    <w:pPr>
      <w:ind w:left="1418"/>
    </w:pPr>
  </w:style>
  <w:style w:type="paragraph" w:customStyle="1" w:styleId="Esletgauchepar">
    <w:name w:val="Es_let_gauche_par"/>
    <w:basedOn w:val="ESletgauche"/>
    <w:qFormat/>
    <w:rsid w:val="00BF049A"/>
    <w:pPr>
      <w:ind w:firstLine="0"/>
    </w:pPr>
    <w:rPr>
      <w:lang w:val="bg-BG"/>
    </w:rPr>
  </w:style>
  <w:style w:type="paragraph" w:styleId="PlainText">
    <w:name w:val="Plain Text"/>
    <w:basedOn w:val="Normal"/>
    <w:link w:val="PlainTextChar"/>
    <w:unhideWhenUsed/>
    <w:rsid w:val="00E0050D"/>
    <w:rPr>
      <w:rFonts w:ascii="Calibri" w:eastAsia="Calibri" w:hAnsi="Calibri"/>
      <w:szCs w:val="21"/>
    </w:rPr>
  </w:style>
  <w:style w:type="character" w:customStyle="1" w:styleId="PlainTextChar">
    <w:name w:val="Plain Text Char"/>
    <w:link w:val="PlainText"/>
    <w:rsid w:val="00E0050D"/>
    <w:rPr>
      <w:rFonts w:eastAsia="Calibri"/>
      <w:sz w:val="22"/>
      <w:szCs w:val="21"/>
      <w:lang w:eastAsia="bg-BG"/>
    </w:rPr>
  </w:style>
  <w:style w:type="paragraph" w:customStyle="1" w:styleId="ES-Titre3a">
    <w:name w:val="ES-Titre3a"/>
    <w:basedOn w:val="ES-Titre3"/>
    <w:qFormat/>
    <w:rsid w:val="001E2331"/>
    <w:rPr>
      <w:i/>
    </w:rPr>
  </w:style>
  <w:style w:type="paragraph" w:customStyle="1" w:styleId="Es-Titreannexes">
    <w:name w:val="Es-Titre_annexes"/>
    <w:basedOn w:val="Normal"/>
    <w:qFormat/>
    <w:rsid w:val="001E2331"/>
    <w:pPr>
      <w:spacing w:before="40" w:line="220" w:lineRule="atLeast"/>
      <w:jc w:val="center"/>
    </w:pPr>
    <w:rPr>
      <w:rFonts w:ascii="Arial Gras" w:hAnsi="Arial Gras" w:cs="Arial"/>
      <w:b/>
      <w:caps/>
      <w:color w:val="000000"/>
      <w:sz w:val="40"/>
    </w:rPr>
  </w:style>
  <w:style w:type="paragraph" w:customStyle="1" w:styleId="ESintro">
    <w:name w:val="ES_intro"/>
    <w:basedOn w:val="Normal"/>
    <w:qFormat/>
    <w:rsid w:val="001E2331"/>
    <w:pPr>
      <w:spacing w:line="240" w:lineRule="atLeast"/>
      <w:jc w:val="center"/>
    </w:pPr>
    <w:rPr>
      <w:b/>
      <w:caps/>
      <w:sz w:val="24"/>
    </w:rPr>
  </w:style>
  <w:style w:type="paragraph" w:customStyle="1" w:styleId="ESletgauche075">
    <w:name w:val="ES_let_gauche0_75"/>
    <w:basedOn w:val="ESletgauche"/>
    <w:qFormat/>
    <w:rsid w:val="001E2331"/>
    <w:pPr>
      <w:ind w:left="426" w:hanging="426"/>
    </w:pPr>
  </w:style>
  <w:style w:type="character" w:customStyle="1" w:styleId="msoins0">
    <w:name w:val="msoins0"/>
    <w:rsid w:val="001E2331"/>
  </w:style>
  <w:style w:type="paragraph" w:customStyle="1" w:styleId="BlockQuotation">
    <w:name w:val="Block Quotation"/>
    <w:basedOn w:val="Normal"/>
    <w:rsid w:val="001E2331"/>
    <w:pPr>
      <w:widowControl w:val="0"/>
      <w:tabs>
        <w:tab w:val="left" w:pos="1701"/>
        <w:tab w:val="left" w:pos="2694"/>
      </w:tabs>
      <w:ind w:left="284" w:right="-482" w:hanging="284"/>
    </w:pPr>
    <w:rPr>
      <w:rFonts w:ascii="Times New Roman" w:hAnsi="Times New Roman"/>
      <w:b/>
      <w:bCs/>
      <w:i/>
      <w:iCs/>
      <w:snapToGrid w:val="0"/>
      <w:szCs w:val="20"/>
      <w:lang w:val="bg-BG"/>
    </w:rPr>
  </w:style>
  <w:style w:type="paragraph" w:customStyle="1" w:styleId="ES-Titre3prchap32">
    <w:name w:val="ES-Titre3_pr_chap32"/>
    <w:basedOn w:val="ES-Titre3"/>
    <w:qFormat/>
    <w:rsid w:val="001E2331"/>
    <w:rPr>
      <w:lang w:val="bg-BG"/>
    </w:rPr>
  </w:style>
  <w:style w:type="paragraph" w:styleId="NormalIndent">
    <w:name w:val="Normal Indent"/>
    <w:basedOn w:val="Normal"/>
    <w:rsid w:val="009C13A9"/>
    <w:pPr>
      <w:overflowPunct w:val="0"/>
      <w:adjustRightInd w:val="0"/>
      <w:spacing w:line="240" w:lineRule="exact"/>
      <w:ind w:left="708"/>
      <w:textAlignment w:val="baseline"/>
    </w:pPr>
    <w:rPr>
      <w:rFonts w:ascii="Times New Roman" w:hAnsi="Times New Roman"/>
      <w:sz w:val="24"/>
    </w:rPr>
  </w:style>
  <w:style w:type="paragraph" w:customStyle="1" w:styleId="N4">
    <w:name w:val="N4"/>
    <w:basedOn w:val="Normal"/>
    <w:rsid w:val="009C13A9"/>
    <w:pPr>
      <w:tabs>
        <w:tab w:val="left" w:pos="284"/>
        <w:tab w:val="left" w:pos="454"/>
        <w:tab w:val="left" w:pos="680"/>
        <w:tab w:val="left" w:pos="1021"/>
      </w:tabs>
      <w:overflowPunct w:val="0"/>
      <w:adjustRightInd w:val="0"/>
      <w:textAlignment w:val="baseline"/>
    </w:pPr>
    <w:rPr>
      <w:rFonts w:ascii="Times New Roman" w:hAnsi="Times New Roman"/>
      <w:szCs w:val="20"/>
    </w:rPr>
  </w:style>
  <w:style w:type="paragraph" w:customStyle="1" w:styleId="N2">
    <w:name w:val="N2"/>
    <w:basedOn w:val="Normal"/>
    <w:rsid w:val="009C13A9"/>
    <w:pPr>
      <w:tabs>
        <w:tab w:val="left" w:pos="-340"/>
        <w:tab w:val="left" w:pos="284"/>
        <w:tab w:val="left" w:pos="454"/>
        <w:tab w:val="left" w:pos="680"/>
        <w:tab w:val="left" w:pos="1418"/>
      </w:tabs>
      <w:overflowPunct w:val="0"/>
      <w:adjustRightInd w:val="0"/>
      <w:ind w:hanging="1134"/>
      <w:textAlignment w:val="baseline"/>
    </w:pPr>
    <w:rPr>
      <w:rFonts w:ascii="Times New Roman" w:hAnsi="Times New Roman"/>
      <w:szCs w:val="20"/>
    </w:rPr>
  </w:style>
  <w:style w:type="paragraph" w:customStyle="1" w:styleId="N3">
    <w:name w:val="N3"/>
    <w:basedOn w:val="Normal"/>
    <w:rsid w:val="009C13A9"/>
    <w:pPr>
      <w:tabs>
        <w:tab w:val="left" w:pos="170"/>
      </w:tabs>
      <w:overflowPunct w:val="0"/>
      <w:adjustRightInd w:val="0"/>
      <w:spacing w:line="240" w:lineRule="exact"/>
      <w:textAlignment w:val="baseline"/>
    </w:pPr>
    <w:rPr>
      <w:rFonts w:ascii="Times New Roman" w:hAnsi="Times New Roman"/>
      <w:szCs w:val="20"/>
    </w:rPr>
  </w:style>
  <w:style w:type="character" w:customStyle="1" w:styleId="En-tte">
    <w:name w:val="En-tête"/>
    <w:rsid w:val="009C13A9"/>
    <w:rPr>
      <w:lang w:val="bg-BG" w:eastAsia="bg-BG" w:bidi="bg-BG"/>
    </w:rPr>
  </w:style>
  <w:style w:type="character" w:styleId="Strong">
    <w:name w:val="Strong"/>
    <w:qFormat/>
    <w:rsid w:val="009C13A9"/>
    <w:rPr>
      <w:b/>
      <w:bCs/>
    </w:rPr>
  </w:style>
  <w:style w:type="paragraph" w:styleId="EndnoteText">
    <w:name w:val="endnote text"/>
    <w:basedOn w:val="Normal"/>
    <w:link w:val="EndnoteTextChar"/>
    <w:rsid w:val="009C13A9"/>
    <w:rPr>
      <w:snapToGrid w:val="0"/>
      <w:szCs w:val="20"/>
      <w:lang w:val="bg-BG"/>
    </w:rPr>
  </w:style>
  <w:style w:type="character" w:customStyle="1" w:styleId="EndnoteTextChar">
    <w:name w:val="Endnote Text Char"/>
    <w:link w:val="EndnoteText"/>
    <w:rsid w:val="009C13A9"/>
    <w:rPr>
      <w:rFonts w:ascii="Arial" w:hAnsi="Arial"/>
      <w:snapToGrid w:val="0"/>
      <w:lang w:val="bg-BG"/>
    </w:rPr>
  </w:style>
  <w:style w:type="paragraph" w:customStyle="1" w:styleId="Annex2Nummer">
    <w:name w:val="Annex2_Nummer"/>
    <w:basedOn w:val="Normal"/>
    <w:rsid w:val="009C13A9"/>
    <w:pPr>
      <w:tabs>
        <w:tab w:val="left" w:pos="425"/>
        <w:tab w:val="left" w:pos="851"/>
        <w:tab w:val="left" w:pos="1276"/>
        <w:tab w:val="left" w:pos="1701"/>
        <w:tab w:val="left" w:pos="2126"/>
      </w:tabs>
      <w:overflowPunct w:val="0"/>
      <w:adjustRightInd w:val="0"/>
      <w:spacing w:before="240"/>
      <w:textAlignment w:val="baseline"/>
    </w:pPr>
    <w:rPr>
      <w:rFonts w:ascii="Times New Roman" w:hAnsi="Times New Roman"/>
      <w:sz w:val="24"/>
      <w:lang w:val="bg-BG"/>
    </w:rPr>
  </w:style>
  <w:style w:type="paragraph" w:customStyle="1" w:styleId="Normal0">
    <w:name w:val="[Normal]"/>
    <w:rsid w:val="009C13A9"/>
    <w:pPr>
      <w:autoSpaceDE w:val="0"/>
      <w:autoSpaceDN w:val="0"/>
      <w:adjustRightInd w:val="0"/>
    </w:pPr>
    <w:rPr>
      <w:rFonts w:ascii="Arial" w:hAnsi="Arial" w:cs="Arial"/>
      <w:snapToGrid w:val="0"/>
    </w:rPr>
  </w:style>
  <w:style w:type="paragraph" w:customStyle="1" w:styleId="Annex2Texteng">
    <w:name w:val="Annex2_Text_eng"/>
    <w:basedOn w:val="Annex2Nummer"/>
    <w:rsid w:val="009C13A9"/>
    <w:pPr>
      <w:tabs>
        <w:tab w:val="clear" w:pos="425"/>
        <w:tab w:val="clear" w:pos="851"/>
        <w:tab w:val="clear" w:pos="1276"/>
        <w:tab w:val="clear" w:pos="1701"/>
        <w:tab w:val="clear" w:pos="2126"/>
        <w:tab w:val="left" w:pos="454"/>
        <w:tab w:val="left" w:pos="907"/>
        <w:tab w:val="left" w:pos="1361"/>
        <w:tab w:val="left" w:pos="1814"/>
      </w:tabs>
      <w:spacing w:before="0"/>
    </w:pPr>
    <w:rPr>
      <w:snapToGrid w:val="0"/>
    </w:rPr>
  </w:style>
  <w:style w:type="paragraph" w:customStyle="1" w:styleId="Titres">
    <w:name w:val="Titres"/>
    <w:basedOn w:val="Normal"/>
    <w:rsid w:val="009C13A9"/>
    <w:pPr>
      <w:overflowPunct w:val="0"/>
      <w:adjustRightInd w:val="0"/>
      <w:spacing w:line="240" w:lineRule="exact"/>
      <w:jc w:val="center"/>
      <w:textAlignment w:val="baseline"/>
    </w:pPr>
    <w:rPr>
      <w:rFonts w:ascii="Times New Roman" w:hAnsi="Times New Roman"/>
      <w:snapToGrid w:val="0"/>
      <w:sz w:val="24"/>
      <w:szCs w:val="20"/>
    </w:rPr>
  </w:style>
  <w:style w:type="paragraph" w:customStyle="1" w:styleId="N7">
    <w:name w:val="N7"/>
    <w:basedOn w:val="Normal"/>
    <w:rsid w:val="009C13A9"/>
    <w:pPr>
      <w:tabs>
        <w:tab w:val="left" w:pos="284"/>
      </w:tabs>
      <w:overflowPunct w:val="0"/>
      <w:adjustRightInd w:val="0"/>
      <w:ind w:hanging="397"/>
      <w:textAlignment w:val="baseline"/>
    </w:pPr>
    <w:rPr>
      <w:rFonts w:ascii="Times New Roman" w:hAnsi="Times New Roman"/>
      <w:snapToGrid w:val="0"/>
      <w:szCs w:val="20"/>
    </w:rPr>
  </w:style>
  <w:style w:type="table" w:customStyle="1" w:styleId="Grilledutableau11">
    <w:name w:val="Grille du tableau11"/>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_"/>
    <w:basedOn w:val="BodyTextIndent2"/>
    <w:rsid w:val="009C13A9"/>
    <w:pPr>
      <w:tabs>
        <w:tab w:val="left" w:pos="426"/>
      </w:tabs>
      <w:spacing w:after="0" w:line="240" w:lineRule="atLeast"/>
      <w:ind w:left="426" w:hanging="426"/>
      <w:jc w:val="both"/>
    </w:pPr>
    <w:rPr>
      <w:rFonts w:ascii="Arial" w:hAnsi="Arial" w:cs="Arial"/>
      <w:sz w:val="20"/>
      <w:szCs w:val="20"/>
    </w:rPr>
  </w:style>
  <w:style w:type="paragraph" w:styleId="BodyTextIndent2">
    <w:name w:val="Body Text Indent 2"/>
    <w:basedOn w:val="Normal"/>
    <w:link w:val="BodyTextIndent2Char"/>
    <w:rsid w:val="009C13A9"/>
    <w:pPr>
      <w:spacing w:after="120" w:line="480" w:lineRule="auto"/>
      <w:ind w:left="283"/>
    </w:pPr>
    <w:rPr>
      <w:rFonts w:ascii="Times New Roman" w:hAnsi="Times New Roman"/>
      <w:snapToGrid w:val="0"/>
      <w:sz w:val="24"/>
      <w:lang w:val="bg-BG"/>
    </w:rPr>
  </w:style>
  <w:style w:type="character" w:customStyle="1" w:styleId="BodyTextIndent2Char">
    <w:name w:val="Body Text Indent 2 Char"/>
    <w:link w:val="BodyTextIndent2"/>
    <w:rsid w:val="009C13A9"/>
    <w:rPr>
      <w:rFonts w:ascii="Times New Roman" w:hAnsi="Times New Roman"/>
      <w:snapToGrid w:val="0"/>
      <w:sz w:val="24"/>
      <w:szCs w:val="24"/>
      <w:lang w:val="bg-BG"/>
    </w:rPr>
  </w:style>
  <w:style w:type="paragraph" w:styleId="Title">
    <w:name w:val="Title"/>
    <w:basedOn w:val="Normal"/>
    <w:link w:val="TitleChar"/>
    <w:qFormat/>
    <w:rsid w:val="009C13A9"/>
    <w:pPr>
      <w:jc w:val="center"/>
    </w:pPr>
    <w:rPr>
      <w:b/>
      <w:bCs/>
      <w:snapToGrid w:val="0"/>
      <w:lang w:val="bg-BG"/>
    </w:rPr>
  </w:style>
  <w:style w:type="character" w:customStyle="1" w:styleId="TitleChar">
    <w:name w:val="Title Char"/>
    <w:link w:val="Title"/>
    <w:rsid w:val="009C13A9"/>
    <w:rPr>
      <w:rFonts w:ascii="Arial" w:hAnsi="Arial"/>
      <w:b/>
      <w:bCs/>
      <w:snapToGrid w:val="0"/>
      <w:sz w:val="22"/>
      <w:szCs w:val="22"/>
      <w:lang w:val="bg-BG"/>
    </w:rPr>
  </w:style>
  <w:style w:type="paragraph" w:customStyle="1" w:styleId="bijschrift">
    <w:name w:val="bijschrift"/>
    <w:basedOn w:val="Normal"/>
    <w:rsid w:val="009C13A9"/>
    <w:pPr>
      <w:widowControl w:val="0"/>
      <w:overflowPunct w:val="0"/>
      <w:adjustRightInd w:val="0"/>
      <w:textAlignment w:val="baseline"/>
    </w:pPr>
    <w:rPr>
      <w:rFonts w:ascii="Times New Roman" w:hAnsi="Times New Roman"/>
      <w:snapToGrid w:val="0"/>
      <w:sz w:val="24"/>
      <w:lang w:val="bg-BG"/>
    </w:rPr>
  </w:style>
  <w:style w:type="paragraph" w:customStyle="1" w:styleId="TNRa0">
    <w:name w:val="TNRa"/>
    <w:basedOn w:val="TNR1"/>
    <w:rsid w:val="009C13A9"/>
    <w:pPr>
      <w:widowControl w:val="0"/>
      <w:tabs>
        <w:tab w:val="clear" w:pos="284"/>
        <w:tab w:val="clear" w:pos="454"/>
        <w:tab w:val="clear" w:pos="680"/>
        <w:tab w:val="clear" w:pos="907"/>
      </w:tabs>
      <w:ind w:left="284"/>
    </w:pPr>
    <w:rPr>
      <w:snapToGrid w:val="0"/>
      <w:szCs w:val="24"/>
      <w:lang w:val="bg-BG"/>
    </w:rPr>
  </w:style>
  <w:style w:type="paragraph" w:customStyle="1" w:styleId="abstab">
    <w:name w:val="abstab"/>
    <w:basedOn w:val="Normal"/>
    <w:rsid w:val="009C13A9"/>
    <w:pPr>
      <w:overflowPunct w:val="0"/>
      <w:adjustRightInd w:val="0"/>
      <w:textAlignment w:val="baseline"/>
    </w:pPr>
    <w:rPr>
      <w:rFonts w:ascii="CG Times" w:hAnsi="CG Times" w:cs="CG Times"/>
      <w:snapToGrid w:val="0"/>
      <w:sz w:val="16"/>
      <w:szCs w:val="16"/>
      <w:lang w:val="bg-BG"/>
    </w:rPr>
  </w:style>
  <w:style w:type="character" w:customStyle="1" w:styleId="DONOTTRANSLATE">
    <w:name w:val="DO_NOT_TRANSLATE"/>
    <w:rsid w:val="009C13A9"/>
    <w:rPr>
      <w:rFonts w:ascii="Courier New" w:hAnsi="Courier New" w:cs="Courier New"/>
      <w:noProof/>
      <w:color w:val="800000"/>
    </w:rPr>
  </w:style>
  <w:style w:type="paragraph" w:customStyle="1" w:styleId="Brieftext11">
    <w:name w:val="Brieftext_11"/>
    <w:basedOn w:val="Normal"/>
    <w:rsid w:val="009C13A9"/>
    <w:pPr>
      <w:widowControl w:val="0"/>
      <w:spacing w:line="360" w:lineRule="auto"/>
    </w:pPr>
    <w:rPr>
      <w:rFonts w:ascii="Times New Roman" w:hAnsi="Times New Roman"/>
      <w:snapToGrid w:val="0"/>
      <w:sz w:val="24"/>
      <w:lang w:val="bg-BG"/>
    </w:rPr>
  </w:style>
  <w:style w:type="paragraph" w:customStyle="1" w:styleId="Res1">
    <w:name w:val="Res_1"/>
    <w:basedOn w:val="Normal"/>
    <w:rsid w:val="009C13A9"/>
    <w:pPr>
      <w:overflowPunct w:val="0"/>
      <w:adjustRightInd w:val="0"/>
      <w:spacing w:line="240" w:lineRule="exact"/>
      <w:textAlignment w:val="baseline"/>
    </w:pPr>
    <w:rPr>
      <w:rFonts w:cs="Arial"/>
      <w:i/>
      <w:iCs/>
      <w:snapToGrid w:val="0"/>
      <w:lang w:val="bg-BG"/>
    </w:rPr>
  </w:style>
  <w:style w:type="paragraph" w:customStyle="1" w:styleId="Res1texttmnr">
    <w:name w:val="Res_1_text_tmnr"/>
    <w:basedOn w:val="Normal"/>
    <w:rsid w:val="009C13A9"/>
    <w:pPr>
      <w:tabs>
        <w:tab w:val="left" w:pos="851"/>
      </w:tabs>
      <w:overflowPunct w:val="0"/>
      <w:adjustRightInd w:val="0"/>
      <w:spacing w:line="240" w:lineRule="atLeast"/>
      <w:ind w:left="850"/>
      <w:textAlignment w:val="baseline"/>
    </w:pPr>
    <w:rPr>
      <w:rFonts w:ascii="Times New Roman" w:hAnsi="Times New Roman"/>
      <w:snapToGrid w:val="0"/>
      <w:sz w:val="24"/>
      <w:lang w:val="bg-BG"/>
    </w:rPr>
  </w:style>
  <w:style w:type="paragraph" w:customStyle="1" w:styleId="Liege">
    <w:name w:val="Liege"/>
    <w:basedOn w:val="Res1texttmnr"/>
    <w:rsid w:val="009C13A9"/>
    <w:pPr>
      <w:ind w:left="1134"/>
    </w:pPr>
  </w:style>
  <w:style w:type="paragraph" w:customStyle="1" w:styleId="10">
    <w:name w:val="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3">
    <w:name w:val="3"/>
    <w:rsid w:val="009C13A9"/>
    <w:pPr>
      <w:tabs>
        <w:tab w:val="left" w:pos="680"/>
      </w:tabs>
      <w:overflowPunct w:val="0"/>
      <w:autoSpaceDE w:val="0"/>
      <w:autoSpaceDN w:val="0"/>
      <w:adjustRightInd w:val="0"/>
      <w:spacing w:line="240" w:lineRule="exact"/>
      <w:ind w:left="680" w:hanging="680"/>
      <w:textAlignment w:val="baseline"/>
    </w:pPr>
    <w:rPr>
      <w:rFonts w:ascii="Times New Roman" w:hAnsi="Times New Roman"/>
      <w:sz w:val="24"/>
      <w:szCs w:val="24"/>
    </w:rPr>
  </w:style>
  <w:style w:type="paragraph" w:customStyle="1" w:styleId="4">
    <w:name w:val="4"/>
    <w:rsid w:val="009C13A9"/>
    <w:pPr>
      <w:tabs>
        <w:tab w:val="left" w:pos="907"/>
      </w:tabs>
      <w:overflowPunct w:val="0"/>
      <w:autoSpaceDE w:val="0"/>
      <w:autoSpaceDN w:val="0"/>
      <w:adjustRightInd w:val="0"/>
      <w:spacing w:line="240" w:lineRule="exact"/>
      <w:ind w:left="907" w:hanging="907"/>
      <w:textAlignment w:val="baseline"/>
    </w:pPr>
    <w:rPr>
      <w:rFonts w:ascii="Times New Roman" w:hAnsi="Times New Roman"/>
      <w:sz w:val="24"/>
      <w:szCs w:val="24"/>
    </w:rPr>
  </w:style>
  <w:style w:type="paragraph" w:customStyle="1" w:styleId="5">
    <w:name w:val="5"/>
    <w:rsid w:val="009C13A9"/>
    <w:pPr>
      <w:tabs>
        <w:tab w:val="left" w:pos="1134"/>
      </w:tabs>
      <w:overflowPunct w:val="0"/>
      <w:autoSpaceDE w:val="0"/>
      <w:autoSpaceDN w:val="0"/>
      <w:adjustRightInd w:val="0"/>
      <w:spacing w:line="240" w:lineRule="exact"/>
      <w:ind w:left="1134" w:hanging="1134"/>
      <w:textAlignment w:val="baseline"/>
    </w:pPr>
    <w:rPr>
      <w:rFonts w:ascii="Times New Roman" w:hAnsi="Times New Roman"/>
      <w:sz w:val="24"/>
      <w:szCs w:val="24"/>
    </w:rPr>
  </w:style>
  <w:style w:type="paragraph" w:customStyle="1" w:styleId="6">
    <w:name w:val="6"/>
    <w:rsid w:val="009C13A9"/>
    <w:pPr>
      <w:tabs>
        <w:tab w:val="left" w:pos="284"/>
      </w:tabs>
      <w:overflowPunct w:val="0"/>
      <w:autoSpaceDE w:val="0"/>
      <w:autoSpaceDN w:val="0"/>
      <w:adjustRightInd w:val="0"/>
      <w:spacing w:line="240" w:lineRule="exact"/>
      <w:ind w:left="284" w:hanging="284"/>
      <w:textAlignment w:val="baseline"/>
    </w:pPr>
    <w:rPr>
      <w:rFonts w:ascii="Times New Roman" w:hAnsi="Times New Roman"/>
      <w:sz w:val="24"/>
      <w:szCs w:val="24"/>
    </w:rPr>
  </w:style>
  <w:style w:type="paragraph" w:customStyle="1" w:styleId="7">
    <w:name w:val="7"/>
    <w:rsid w:val="009C13A9"/>
    <w:pPr>
      <w:tabs>
        <w:tab w:val="left" w:pos="454"/>
        <w:tab w:val="left" w:pos="907"/>
      </w:tabs>
      <w:overflowPunct w:val="0"/>
      <w:autoSpaceDE w:val="0"/>
      <w:autoSpaceDN w:val="0"/>
      <w:adjustRightInd w:val="0"/>
      <w:spacing w:line="240" w:lineRule="exact"/>
      <w:ind w:left="907" w:hanging="454"/>
      <w:textAlignment w:val="baseline"/>
    </w:pPr>
    <w:rPr>
      <w:rFonts w:ascii="Times New Roman" w:hAnsi="Times New Roman"/>
      <w:sz w:val="24"/>
      <w:szCs w:val="24"/>
    </w:rPr>
  </w:style>
  <w:style w:type="paragraph" w:customStyle="1" w:styleId="8">
    <w:name w:val="8"/>
    <w:rsid w:val="009C13A9"/>
    <w:pPr>
      <w:tabs>
        <w:tab w:val="left" w:pos="907"/>
        <w:tab w:val="left" w:pos="1361"/>
      </w:tabs>
      <w:overflowPunct w:val="0"/>
      <w:autoSpaceDE w:val="0"/>
      <w:autoSpaceDN w:val="0"/>
      <w:adjustRightInd w:val="0"/>
      <w:spacing w:line="240" w:lineRule="exact"/>
      <w:ind w:left="1361" w:hanging="454"/>
      <w:textAlignment w:val="baseline"/>
    </w:pPr>
    <w:rPr>
      <w:rFonts w:ascii="Times New Roman" w:hAnsi="Times New Roman"/>
      <w:sz w:val="24"/>
      <w:szCs w:val="24"/>
    </w:rPr>
  </w:style>
  <w:style w:type="paragraph" w:customStyle="1" w:styleId="Paragraphe11">
    <w:name w:val="Paragraphe 1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Paragraphe12">
    <w:name w:val="Paragraphe 12"/>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I1">
    <w:name w:val="I1"/>
    <w:rsid w:val="009C13A9"/>
    <w:pPr>
      <w:tabs>
        <w:tab w:val="left" w:pos="57"/>
        <w:tab w:val="left" w:pos="1077"/>
      </w:tabs>
      <w:overflowPunct w:val="0"/>
      <w:autoSpaceDE w:val="0"/>
      <w:autoSpaceDN w:val="0"/>
      <w:adjustRightInd w:val="0"/>
      <w:spacing w:line="240" w:lineRule="exact"/>
      <w:ind w:left="1077" w:hanging="340"/>
      <w:textAlignment w:val="baseline"/>
    </w:pPr>
    <w:rPr>
      <w:rFonts w:ascii="Times New Roman" w:hAnsi="Times New Roman"/>
      <w:sz w:val="24"/>
      <w:szCs w:val="24"/>
    </w:rPr>
  </w:style>
  <w:style w:type="paragraph" w:customStyle="1" w:styleId="I2">
    <w:name w:val="I2"/>
    <w:rsid w:val="009C13A9"/>
    <w:pPr>
      <w:tabs>
        <w:tab w:val="left" w:pos="1077"/>
      </w:tabs>
      <w:overflowPunct w:val="0"/>
      <w:autoSpaceDE w:val="0"/>
      <w:autoSpaceDN w:val="0"/>
      <w:adjustRightInd w:val="0"/>
      <w:spacing w:line="240" w:lineRule="exact"/>
      <w:ind w:left="1077" w:hanging="454"/>
      <w:textAlignment w:val="baseline"/>
    </w:pPr>
    <w:rPr>
      <w:rFonts w:ascii="Times New Roman" w:hAnsi="Times New Roman"/>
      <w:sz w:val="24"/>
      <w:szCs w:val="24"/>
    </w:rPr>
  </w:style>
  <w:style w:type="paragraph" w:customStyle="1" w:styleId="I3">
    <w:name w:val="I3"/>
    <w:rsid w:val="009C13A9"/>
    <w:pPr>
      <w:tabs>
        <w:tab w:val="left" w:pos="1077"/>
      </w:tabs>
      <w:overflowPunct w:val="0"/>
      <w:autoSpaceDE w:val="0"/>
      <w:autoSpaceDN w:val="0"/>
      <w:adjustRightInd w:val="0"/>
      <w:spacing w:line="240" w:lineRule="exact"/>
      <w:ind w:left="1077" w:hanging="510"/>
      <w:textAlignment w:val="baseline"/>
    </w:pPr>
    <w:rPr>
      <w:rFonts w:ascii="Times New Roman" w:hAnsi="Times New Roman"/>
      <w:sz w:val="24"/>
      <w:szCs w:val="24"/>
    </w:rPr>
  </w:style>
  <w:style w:type="paragraph" w:customStyle="1" w:styleId="GT">
    <w:name w:val="GT"/>
    <w:rsid w:val="009C13A9"/>
    <w:pPr>
      <w:tabs>
        <w:tab w:val="left" w:pos="1344"/>
      </w:tabs>
      <w:overflowPunct w:val="0"/>
      <w:autoSpaceDE w:val="0"/>
      <w:autoSpaceDN w:val="0"/>
      <w:adjustRightInd w:val="0"/>
      <w:spacing w:line="240" w:lineRule="exact"/>
      <w:ind w:left="1344" w:hanging="1344"/>
      <w:textAlignment w:val="baseline"/>
    </w:pPr>
    <w:rPr>
      <w:rFonts w:ascii="Times New Roman" w:hAnsi="Times New Roman"/>
      <w:sz w:val="24"/>
      <w:szCs w:val="24"/>
    </w:rPr>
  </w:style>
  <w:style w:type="paragraph" w:customStyle="1" w:styleId="GF">
    <w:name w:val="GF"/>
    <w:rsid w:val="009C13A9"/>
    <w:pPr>
      <w:tabs>
        <w:tab w:val="left" w:pos="1824"/>
      </w:tabs>
      <w:overflowPunct w:val="0"/>
      <w:autoSpaceDE w:val="0"/>
      <w:autoSpaceDN w:val="0"/>
      <w:adjustRightInd w:val="0"/>
      <w:spacing w:line="240" w:lineRule="exact"/>
      <w:ind w:left="1826" w:hanging="1826"/>
      <w:jc w:val="both"/>
      <w:textAlignment w:val="baseline"/>
    </w:pPr>
    <w:rPr>
      <w:rFonts w:ascii="Times New Roman" w:hAnsi="Times New Roman"/>
      <w:sz w:val="24"/>
      <w:szCs w:val="24"/>
    </w:rPr>
  </w:style>
  <w:style w:type="paragraph" w:customStyle="1" w:styleId="Paragraphe19">
    <w:name w:val="Paragraphe 19"/>
    <w:rsid w:val="009C13A9"/>
    <w:pPr>
      <w:tabs>
        <w:tab w:val="left" w:pos="1344"/>
        <w:tab w:val="left" w:pos="1632"/>
      </w:tabs>
      <w:overflowPunct w:val="0"/>
      <w:autoSpaceDE w:val="0"/>
      <w:autoSpaceDN w:val="0"/>
      <w:adjustRightInd w:val="0"/>
      <w:spacing w:line="300" w:lineRule="exact"/>
      <w:ind w:left="1344" w:right="38" w:hanging="576"/>
      <w:jc w:val="both"/>
      <w:textAlignment w:val="baseline"/>
    </w:pPr>
    <w:rPr>
      <w:rFonts w:ascii="Times New Roman" w:hAnsi="Times New Roman"/>
      <w:sz w:val="24"/>
      <w:szCs w:val="24"/>
    </w:rPr>
  </w:style>
  <w:style w:type="paragraph" w:customStyle="1" w:styleId="TNR7">
    <w:name w:val="TNR7"/>
    <w:basedOn w:val="TNR1"/>
    <w:rsid w:val="009C13A9"/>
    <w:pPr>
      <w:tabs>
        <w:tab w:val="clear" w:pos="907"/>
        <w:tab w:val="left" w:pos="-284"/>
        <w:tab w:val="left" w:pos="1021"/>
      </w:tabs>
      <w:spacing w:line="240" w:lineRule="exact"/>
      <w:ind w:hanging="397"/>
    </w:pPr>
    <w:rPr>
      <w:szCs w:val="24"/>
    </w:rPr>
  </w:style>
  <w:style w:type="paragraph" w:customStyle="1" w:styleId="a">
    <w:name w:val="a_"/>
    <w:basedOn w:val="BodyTextIndent2"/>
    <w:rsid w:val="009C13A9"/>
    <w:pPr>
      <w:tabs>
        <w:tab w:val="left" w:pos="426"/>
        <w:tab w:val="left" w:pos="709"/>
      </w:tabs>
      <w:spacing w:after="0" w:line="240" w:lineRule="atLeast"/>
      <w:ind w:left="709" w:hanging="709"/>
      <w:jc w:val="both"/>
    </w:pPr>
    <w:rPr>
      <w:rFonts w:ascii="Arial" w:hAnsi="Arial" w:cs="Arial"/>
      <w:snapToGrid/>
      <w:sz w:val="20"/>
      <w:szCs w:val="20"/>
    </w:rPr>
  </w:style>
  <w:style w:type="paragraph" w:styleId="ListBullet">
    <w:name w:val="List Bullet"/>
    <w:basedOn w:val="Normal"/>
    <w:autoRedefine/>
    <w:rsid w:val="009C13A9"/>
    <w:pPr>
      <w:widowControl w:val="0"/>
      <w:tabs>
        <w:tab w:val="left" w:pos="851"/>
      </w:tabs>
      <w:spacing w:before="40"/>
      <w:ind w:left="850"/>
    </w:pPr>
    <w:rPr>
      <w:rFonts w:cs="Arial"/>
      <w:szCs w:val="20"/>
      <w:lang w:val="bg-BG"/>
    </w:rPr>
  </w:style>
  <w:style w:type="paragraph" w:customStyle="1" w:styleId="en-ttes">
    <w:name w:val="en-têtes"/>
    <w:basedOn w:val="Header"/>
    <w:rsid w:val="009C13A9"/>
    <w:pPr>
      <w:tabs>
        <w:tab w:val="clear" w:pos="8306"/>
        <w:tab w:val="right" w:pos="851"/>
        <w:tab w:val="center" w:pos="4252"/>
        <w:tab w:val="right" w:pos="8504"/>
      </w:tabs>
      <w:overflowPunct w:val="0"/>
      <w:adjustRightInd w:val="0"/>
      <w:ind w:hanging="397"/>
      <w:jc w:val="center"/>
      <w:textAlignment w:val="baseline"/>
    </w:pPr>
    <w:rPr>
      <w:rFonts w:ascii="Times New Roman" w:hAnsi="Times New Roman"/>
    </w:rPr>
  </w:style>
  <w:style w:type="paragraph" w:customStyle="1" w:styleId="N5">
    <w:name w:val="N5"/>
    <w:basedOn w:val="Normal"/>
    <w:rsid w:val="009C13A9"/>
    <w:pPr>
      <w:tabs>
        <w:tab w:val="left" w:pos="284"/>
      </w:tabs>
      <w:overflowPunct w:val="0"/>
      <w:adjustRightInd w:val="0"/>
      <w:textAlignment w:val="baseline"/>
    </w:pPr>
    <w:rPr>
      <w:rFonts w:ascii="Times New Roman" w:hAnsi="Times New Roman"/>
    </w:rPr>
  </w:style>
  <w:style w:type="paragraph" w:customStyle="1" w:styleId="N6">
    <w:name w:val="N6"/>
    <w:basedOn w:val="N5"/>
    <w:rsid w:val="009C13A9"/>
    <w:pPr>
      <w:tabs>
        <w:tab w:val="left" w:pos="794"/>
        <w:tab w:val="left" w:pos="1191"/>
        <w:tab w:val="left" w:leader="dot" w:pos="7371"/>
      </w:tabs>
    </w:pPr>
  </w:style>
  <w:style w:type="paragraph" w:customStyle="1" w:styleId="N8">
    <w:name w:val="N8"/>
    <w:basedOn w:val="N7"/>
    <w:rsid w:val="009C13A9"/>
    <w:pPr>
      <w:ind w:firstLine="0"/>
      <w:jc w:val="center"/>
    </w:pPr>
    <w:rPr>
      <w:snapToGrid/>
      <w:sz w:val="20"/>
    </w:rPr>
  </w:style>
  <w:style w:type="paragraph" w:customStyle="1" w:styleId="T1">
    <w:name w:val="T1"/>
    <w:basedOn w:val="Normal"/>
    <w:rsid w:val="009C13A9"/>
    <w:pPr>
      <w:tabs>
        <w:tab w:val="left" w:pos="425"/>
      </w:tabs>
      <w:overflowPunct w:val="0"/>
      <w:adjustRightInd w:val="0"/>
      <w:spacing w:line="240" w:lineRule="atLeast"/>
      <w:textAlignment w:val="baseline"/>
    </w:pPr>
    <w:rPr>
      <w:rFonts w:ascii="Times New Roman" w:hAnsi="Times New Roman"/>
      <w:sz w:val="24"/>
      <w:lang w:val="bg-BG"/>
    </w:rPr>
  </w:style>
  <w:style w:type="paragraph" w:customStyle="1" w:styleId="Style1">
    <w:name w:val="Style1"/>
    <w:basedOn w:val="T1"/>
    <w:rsid w:val="009C13A9"/>
    <w:pPr>
      <w:tabs>
        <w:tab w:val="left" w:pos="851"/>
      </w:tabs>
      <w:spacing w:before="80"/>
      <w:ind w:left="850"/>
    </w:pPr>
  </w:style>
  <w:style w:type="paragraph" w:customStyle="1" w:styleId="T1a">
    <w:name w:val="T1a"/>
    <w:basedOn w:val="T1"/>
    <w:next w:val="Style1"/>
    <w:rsid w:val="009C13A9"/>
    <w:pPr>
      <w:tabs>
        <w:tab w:val="left" w:pos="851"/>
      </w:tabs>
      <w:spacing w:before="80"/>
      <w:ind w:left="850"/>
    </w:pPr>
  </w:style>
  <w:style w:type="paragraph" w:customStyle="1" w:styleId="To">
    <w:name w:val="To"/>
    <w:basedOn w:val="Normal"/>
    <w:rsid w:val="009C13A9"/>
    <w:pPr>
      <w:overflowPunct w:val="0"/>
      <w:adjustRightInd w:val="0"/>
      <w:spacing w:line="240" w:lineRule="atLeast"/>
      <w:textAlignment w:val="baseline"/>
    </w:pPr>
    <w:rPr>
      <w:rFonts w:ascii="Times New Roman" w:hAnsi="Times New Roman"/>
      <w:sz w:val="24"/>
      <w:lang w:val="bg-BG"/>
    </w:rPr>
  </w:style>
  <w:style w:type="paragraph" w:styleId="BlockText">
    <w:name w:val="Block Text"/>
    <w:basedOn w:val="Normal"/>
    <w:rsid w:val="009C13A9"/>
    <w:pPr>
      <w:pBdr>
        <w:top w:val="double" w:sz="6" w:space="3" w:color="auto"/>
        <w:left w:val="double" w:sz="6" w:space="3" w:color="auto"/>
        <w:bottom w:val="double" w:sz="6" w:space="3" w:color="auto"/>
        <w:right w:val="double" w:sz="6" w:space="3" w:color="auto"/>
      </w:pBdr>
      <w:shd w:val="pct10" w:color="auto" w:fill="auto"/>
      <w:overflowPunct w:val="0"/>
      <w:adjustRightInd w:val="0"/>
      <w:ind w:left="2410" w:right="2125"/>
      <w:jc w:val="center"/>
    </w:pPr>
    <w:rPr>
      <w:rFonts w:cs="Arial"/>
      <w:b/>
      <w:bCs/>
      <w:lang w:val="bg-BG"/>
    </w:rPr>
  </w:style>
  <w:style w:type="paragraph" w:customStyle="1" w:styleId="c1">
    <w:name w:val="c1"/>
    <w:basedOn w:val="Normal"/>
    <w:rsid w:val="009C13A9"/>
    <w:pPr>
      <w:spacing w:line="240" w:lineRule="atLeast"/>
      <w:jc w:val="center"/>
    </w:pPr>
    <w:rPr>
      <w:rFonts w:ascii="Times New Roman" w:hAnsi="Times New Roman"/>
      <w:sz w:val="24"/>
      <w:lang w:val="bg-BG"/>
    </w:rPr>
  </w:style>
  <w:style w:type="paragraph" w:customStyle="1" w:styleId="Brieftext10">
    <w:name w:val="Brieftext_10"/>
    <w:basedOn w:val="Normal"/>
    <w:rsid w:val="009C13A9"/>
    <w:pPr>
      <w:widowControl w:val="0"/>
      <w:suppressAutoHyphens/>
      <w:spacing w:line="360" w:lineRule="auto"/>
    </w:pPr>
    <w:rPr>
      <w:rFonts w:ascii="Times New Roman" w:hAnsi="Times New Roman"/>
      <w:szCs w:val="20"/>
      <w:lang w:val="bg-BG"/>
    </w:rPr>
  </w:style>
  <w:style w:type="paragraph" w:customStyle="1" w:styleId="Retraitcorpsdetexte21">
    <w:name w:val="Retrait corps de texte 21"/>
    <w:basedOn w:val="Normal"/>
    <w:rsid w:val="009C13A9"/>
    <w:pPr>
      <w:tabs>
        <w:tab w:val="left" w:pos="1418"/>
      </w:tabs>
      <w:suppressAutoHyphens/>
      <w:spacing w:before="120"/>
      <w:ind w:left="1418" w:hanging="1418"/>
    </w:pPr>
    <w:rPr>
      <w:rFonts w:ascii="Times New Roman" w:hAnsi="Times New Roman"/>
      <w:snapToGrid w:val="0"/>
      <w:szCs w:val="20"/>
      <w:lang w:val="bg-BG"/>
    </w:rPr>
  </w:style>
  <w:style w:type="paragraph" w:customStyle="1" w:styleId="N10">
    <w:name w:val="N10"/>
    <w:basedOn w:val="Normal"/>
    <w:rsid w:val="009C13A9"/>
    <w:pPr>
      <w:tabs>
        <w:tab w:val="left" w:pos="284"/>
        <w:tab w:val="left" w:pos="567"/>
        <w:tab w:val="left" w:pos="680"/>
        <w:tab w:val="left" w:pos="1021"/>
      </w:tabs>
      <w:overflowPunct w:val="0"/>
      <w:adjustRightInd w:val="0"/>
      <w:ind w:left="568" w:hanging="284"/>
      <w:textAlignment w:val="baseline"/>
    </w:pPr>
    <w:rPr>
      <w:rFonts w:ascii="Tms Rmn" w:hAnsi="Tms Rmn" w:cs="Tms Rmn"/>
      <w:snapToGrid w:val="0"/>
    </w:rPr>
  </w:style>
  <w:style w:type="paragraph" w:customStyle="1" w:styleId="titr1">
    <w:name w:val="titr1"/>
    <w:basedOn w:val="BodyTextIndent"/>
    <w:rsid w:val="009C13A9"/>
    <w:pPr>
      <w:tabs>
        <w:tab w:val="left" w:pos="425"/>
      </w:tabs>
      <w:spacing w:after="0" w:line="240" w:lineRule="atLeast"/>
      <w:ind w:left="425"/>
      <w:outlineLvl w:val="0"/>
    </w:pPr>
    <w:rPr>
      <w:rFonts w:cs="Arial"/>
      <w:b/>
      <w:bCs/>
      <w:snapToGrid w:val="0"/>
    </w:rPr>
  </w:style>
  <w:style w:type="paragraph" w:customStyle="1" w:styleId="Titra">
    <w:name w:val="Titr_a"/>
    <w:basedOn w:val="BodyTextIndent"/>
    <w:rsid w:val="009C13A9"/>
    <w:pPr>
      <w:tabs>
        <w:tab w:val="left" w:pos="851"/>
      </w:tabs>
      <w:spacing w:after="0" w:line="240" w:lineRule="atLeast"/>
      <w:ind w:left="850"/>
      <w:outlineLvl w:val="0"/>
    </w:pPr>
    <w:rPr>
      <w:rFonts w:cs="Arial"/>
      <w:snapToGrid w:val="0"/>
      <w:szCs w:val="20"/>
    </w:rPr>
  </w:style>
  <w:style w:type="paragraph" w:customStyle="1" w:styleId="Titrtiret">
    <w:name w:val="Titr_tiret"/>
    <w:basedOn w:val="BodyTextIndent"/>
    <w:rsid w:val="009C13A9"/>
    <w:pPr>
      <w:tabs>
        <w:tab w:val="left" w:pos="1276"/>
      </w:tabs>
      <w:spacing w:before="80" w:after="0" w:line="240" w:lineRule="atLeast"/>
      <w:ind w:left="1276"/>
    </w:pPr>
    <w:rPr>
      <w:rFonts w:cs="Arial"/>
      <w:snapToGrid w:val="0"/>
      <w:szCs w:val="20"/>
    </w:rPr>
  </w:style>
  <w:style w:type="paragraph" w:customStyle="1" w:styleId="Taa">
    <w:name w:val="Taa"/>
    <w:basedOn w:val="Normal"/>
    <w:rsid w:val="009C13A9"/>
    <w:pPr>
      <w:tabs>
        <w:tab w:val="left" w:pos="1276"/>
      </w:tabs>
      <w:overflowPunct w:val="0"/>
      <w:adjustRightInd w:val="0"/>
      <w:spacing w:line="240" w:lineRule="exact"/>
      <w:ind w:left="1276"/>
      <w:textAlignment w:val="baseline"/>
    </w:pPr>
    <w:rPr>
      <w:rFonts w:ascii="Times New Roman" w:hAnsi="Times New Roman"/>
      <w:sz w:val="24"/>
      <w:lang w:val="bg-BG"/>
    </w:rPr>
  </w:style>
  <w:style w:type="paragraph" w:customStyle="1" w:styleId="Ta">
    <w:name w:val="Ta"/>
    <w:basedOn w:val="Normal"/>
    <w:rsid w:val="009C13A9"/>
    <w:pPr>
      <w:tabs>
        <w:tab w:val="left" w:pos="851"/>
      </w:tabs>
      <w:spacing w:line="240" w:lineRule="atLeast"/>
      <w:ind w:left="850"/>
    </w:pPr>
    <w:rPr>
      <w:rFonts w:cs="Arial"/>
      <w:i/>
      <w:iCs/>
      <w:lang w:val="bg-BG"/>
    </w:rPr>
  </w:style>
  <w:style w:type="paragraph" w:customStyle="1" w:styleId="Annex2Artikel">
    <w:name w:val="Annex2_Artikel"/>
    <w:basedOn w:val="Normal"/>
    <w:rsid w:val="009C13A9"/>
    <w:pPr>
      <w:widowControl w:val="0"/>
      <w:tabs>
        <w:tab w:val="left" w:pos="454"/>
        <w:tab w:val="left" w:pos="907"/>
        <w:tab w:val="left" w:pos="1361"/>
        <w:tab w:val="left" w:pos="1814"/>
      </w:tabs>
      <w:overflowPunct w:val="0"/>
      <w:adjustRightInd w:val="0"/>
      <w:spacing w:before="480" w:line="240" w:lineRule="exact"/>
      <w:jc w:val="center"/>
      <w:textAlignment w:val="baseline"/>
    </w:pPr>
    <w:rPr>
      <w:rFonts w:ascii="Times New Roman" w:hAnsi="Times New Roman"/>
      <w:b/>
      <w:bCs/>
      <w:sz w:val="24"/>
      <w:lang w:val="bg-BG"/>
    </w:rPr>
  </w:style>
  <w:style w:type="paragraph" w:customStyle="1" w:styleId="Annex2Artikelberschrift">
    <w:name w:val="Annex2_Artikel_Überschrift"/>
    <w:basedOn w:val="Normal"/>
    <w:rsid w:val="009C13A9"/>
    <w:pPr>
      <w:widowControl w:val="0"/>
      <w:tabs>
        <w:tab w:val="left" w:pos="454"/>
        <w:tab w:val="left" w:pos="907"/>
        <w:tab w:val="left" w:pos="1361"/>
        <w:tab w:val="left" w:pos="1814"/>
      </w:tabs>
      <w:overflowPunct w:val="0"/>
      <w:adjustRightInd w:val="0"/>
      <w:spacing w:before="240" w:line="240" w:lineRule="exact"/>
      <w:jc w:val="center"/>
      <w:textAlignment w:val="baseline"/>
    </w:pPr>
    <w:rPr>
      <w:rFonts w:ascii="Times New Roman" w:hAnsi="Times New Roman"/>
      <w:i/>
      <w:iCs/>
      <w:sz w:val="24"/>
      <w:lang w:val="bg-BG"/>
    </w:rPr>
  </w:style>
  <w:style w:type="paragraph" w:customStyle="1" w:styleId="T1fr">
    <w:name w:val="T1fr"/>
    <w:basedOn w:val="T1"/>
    <w:rsid w:val="009C13A9"/>
    <w:pPr>
      <w:tabs>
        <w:tab w:val="clear" w:pos="425"/>
        <w:tab w:val="left" w:pos="851"/>
      </w:tabs>
      <w:overflowPunct/>
      <w:adjustRightInd/>
      <w:ind w:left="850"/>
      <w:textAlignment w:val="auto"/>
    </w:pPr>
  </w:style>
  <w:style w:type="paragraph" w:customStyle="1" w:styleId="Tafr">
    <w:name w:val="Ta_fr"/>
    <w:basedOn w:val="T1"/>
    <w:rsid w:val="009C13A9"/>
    <w:pPr>
      <w:tabs>
        <w:tab w:val="clear" w:pos="425"/>
        <w:tab w:val="left" w:pos="851"/>
      </w:tabs>
      <w:overflowPunct/>
      <w:adjustRightInd/>
      <w:spacing w:before="60"/>
      <w:ind w:left="1276"/>
      <w:textAlignment w:val="auto"/>
    </w:pPr>
  </w:style>
  <w:style w:type="paragraph" w:customStyle="1" w:styleId="T1n">
    <w:name w:val="T1n"/>
    <w:basedOn w:val="T1"/>
    <w:rsid w:val="009C13A9"/>
    <w:pPr>
      <w:tabs>
        <w:tab w:val="clear" w:pos="425"/>
        <w:tab w:val="left" w:pos="851"/>
      </w:tabs>
      <w:ind w:left="850"/>
    </w:pPr>
  </w:style>
  <w:style w:type="paragraph" w:customStyle="1" w:styleId="T1gr">
    <w:name w:val="T_1gr"/>
    <w:basedOn w:val="Normal"/>
    <w:rsid w:val="009C13A9"/>
    <w:pPr>
      <w:tabs>
        <w:tab w:val="left" w:pos="567"/>
      </w:tabs>
      <w:spacing w:line="240" w:lineRule="atLeast"/>
      <w:ind w:left="567" w:hanging="567"/>
    </w:pPr>
    <w:rPr>
      <w:rFonts w:cs="Arial"/>
      <w:b/>
      <w:bCs/>
      <w:snapToGrid w:val="0"/>
      <w:szCs w:val="20"/>
    </w:rPr>
  </w:style>
  <w:style w:type="paragraph" w:customStyle="1" w:styleId="T1rent">
    <w:name w:val="T_1rent"/>
    <w:basedOn w:val="Normal"/>
    <w:rsid w:val="009C13A9"/>
    <w:pPr>
      <w:spacing w:line="240" w:lineRule="atLeast"/>
      <w:ind w:left="567"/>
    </w:pPr>
    <w:rPr>
      <w:rFonts w:cs="Arial"/>
      <w:snapToGrid w:val="0"/>
      <w:szCs w:val="20"/>
    </w:rPr>
  </w:style>
  <w:style w:type="paragraph" w:customStyle="1" w:styleId="textetableau">
    <w:name w:val="texte tableau"/>
    <w:basedOn w:val="Normal"/>
    <w:rsid w:val="009C13A9"/>
    <w:pPr>
      <w:tabs>
        <w:tab w:val="left" w:pos="1418"/>
      </w:tabs>
      <w:spacing w:before="40" w:after="40" w:line="220" w:lineRule="exact"/>
    </w:pPr>
    <w:rPr>
      <w:bCs/>
      <w:iCs/>
      <w:szCs w:val="20"/>
    </w:rPr>
  </w:style>
  <w:style w:type="paragraph" w:customStyle="1" w:styleId="Lignedobjet">
    <w:name w:val="Ligne d'objet"/>
    <w:basedOn w:val="Normal"/>
    <w:rsid w:val="009C13A9"/>
    <w:pPr>
      <w:tabs>
        <w:tab w:val="left" w:pos="284"/>
      </w:tabs>
      <w:overflowPunct w:val="0"/>
      <w:adjustRightInd w:val="0"/>
      <w:textAlignment w:val="baseline"/>
    </w:pPr>
    <w:rPr>
      <w:szCs w:val="20"/>
    </w:rPr>
  </w:style>
  <w:style w:type="paragraph" w:styleId="NormalWeb">
    <w:name w:val="Normal (Web)"/>
    <w:basedOn w:val="Normal"/>
    <w:rsid w:val="009C13A9"/>
    <w:pPr>
      <w:spacing w:before="101" w:after="101"/>
      <w:ind w:left="453" w:right="352"/>
    </w:pPr>
    <w:rPr>
      <w:rFonts w:ascii="Times New Roman" w:eastAsia="Batang" w:hAnsi="Times New Roman"/>
      <w:sz w:val="19"/>
      <w:szCs w:val="19"/>
      <w:lang w:eastAsia="bg-BG"/>
    </w:rPr>
  </w:style>
  <w:style w:type="paragraph" w:styleId="BodyText2">
    <w:name w:val="Body Text 2"/>
    <w:basedOn w:val="Normal"/>
    <w:link w:val="BodyText2Char"/>
    <w:rsid w:val="009C13A9"/>
    <w:pPr>
      <w:spacing w:after="120" w:line="480" w:lineRule="auto"/>
    </w:pPr>
    <w:rPr>
      <w:rFonts w:ascii="Times New Roman" w:hAnsi="Times New Roman"/>
      <w:snapToGrid w:val="0"/>
      <w:sz w:val="24"/>
      <w:lang w:val="bg-BG"/>
    </w:rPr>
  </w:style>
  <w:style w:type="character" w:customStyle="1" w:styleId="BodyText2Char">
    <w:name w:val="Body Text 2 Char"/>
    <w:link w:val="BodyText2"/>
    <w:rsid w:val="009C13A9"/>
    <w:rPr>
      <w:rFonts w:ascii="Times New Roman" w:hAnsi="Times New Roman"/>
      <w:snapToGrid w:val="0"/>
      <w:sz w:val="24"/>
      <w:szCs w:val="24"/>
      <w:lang w:val="bg-BG"/>
    </w:rPr>
  </w:style>
  <w:style w:type="paragraph" w:customStyle="1" w:styleId="Textkrper-Einzug3">
    <w:name w:val="Textkörper-Einzug 3"/>
    <w:basedOn w:val="Normal"/>
    <w:rsid w:val="009C13A9"/>
    <w:pPr>
      <w:widowControl w:val="0"/>
      <w:tabs>
        <w:tab w:val="left" w:pos="426"/>
      </w:tabs>
      <w:overflowPunct w:val="0"/>
      <w:adjustRightInd w:val="0"/>
      <w:ind w:left="426" w:hanging="426"/>
      <w:textAlignment w:val="baseline"/>
    </w:pPr>
    <w:rPr>
      <w:rFonts w:cs="Arial"/>
      <w:i/>
      <w:iCs/>
      <w:szCs w:val="20"/>
    </w:rPr>
  </w:style>
  <w:style w:type="paragraph" w:customStyle="1" w:styleId="a1">
    <w:name w:val="a1"/>
    <w:basedOn w:val="Normal"/>
    <w:rsid w:val="009C13A9"/>
    <w:pPr>
      <w:tabs>
        <w:tab w:val="left" w:pos="851"/>
      </w:tabs>
      <w:spacing w:line="240" w:lineRule="atLeast"/>
      <w:ind w:left="850"/>
    </w:pPr>
    <w:rPr>
      <w:rFonts w:ascii="Times New Roman" w:hAnsi="Times New Roman"/>
      <w:snapToGrid w:val="0"/>
      <w:sz w:val="24"/>
      <w:lang w:val="bg-BG"/>
    </w:rPr>
  </w:style>
  <w:style w:type="paragraph" w:customStyle="1" w:styleId="1berschriftTF">
    <w:name w:val="1.Überschrift TF"/>
    <w:basedOn w:val="Normal"/>
    <w:rsid w:val="009C13A9"/>
    <w:rPr>
      <w:rFonts w:ascii="Arial Narrow" w:hAnsi="Arial Narrow"/>
      <w:snapToGrid w:val="0"/>
      <w:lang w:val="bg-BG"/>
    </w:rPr>
  </w:style>
  <w:style w:type="paragraph" w:styleId="Subtitle">
    <w:name w:val="Subtitle"/>
    <w:basedOn w:val="Normal"/>
    <w:link w:val="SubtitleChar"/>
    <w:qFormat/>
    <w:rsid w:val="009C13A9"/>
    <w:pPr>
      <w:tabs>
        <w:tab w:val="left" w:pos="851"/>
        <w:tab w:val="left" w:pos="1560"/>
      </w:tabs>
      <w:spacing w:line="240" w:lineRule="atLeast"/>
      <w:jc w:val="center"/>
    </w:pPr>
    <w:rPr>
      <w:b/>
      <w:bCs/>
      <w:snapToGrid w:val="0"/>
      <w:sz w:val="28"/>
      <w:lang w:val="bg-BG"/>
    </w:rPr>
  </w:style>
  <w:style w:type="character" w:customStyle="1" w:styleId="SubtitleChar">
    <w:name w:val="Subtitle Char"/>
    <w:link w:val="Subtitle"/>
    <w:rsid w:val="009C13A9"/>
    <w:rPr>
      <w:rFonts w:ascii="Arial" w:hAnsi="Arial"/>
      <w:b/>
      <w:bCs/>
      <w:snapToGrid w:val="0"/>
      <w:sz w:val="28"/>
      <w:szCs w:val="28"/>
      <w:lang w:val="bg-BG"/>
    </w:rPr>
  </w:style>
  <w:style w:type="paragraph" w:customStyle="1" w:styleId="t60">
    <w:name w:val="t60"/>
    <w:basedOn w:val="Normal"/>
    <w:rsid w:val="009C13A9"/>
    <w:pPr>
      <w:spacing w:line="200" w:lineRule="atLeast"/>
    </w:pPr>
    <w:rPr>
      <w:rFonts w:ascii="Times New Roman" w:hAnsi="Times New Roman"/>
      <w:snapToGrid w:val="0"/>
      <w:sz w:val="24"/>
      <w:lang w:val="bg-BG"/>
    </w:rPr>
  </w:style>
  <w:style w:type="character" w:styleId="LineNumber">
    <w:name w:val="line number"/>
    <w:basedOn w:val="DefaultParagraphFont"/>
    <w:rsid w:val="009C13A9"/>
  </w:style>
  <w:style w:type="paragraph" w:customStyle="1" w:styleId="Annex2Buchstabe">
    <w:name w:val="Annex2_Buchstabe"/>
    <w:basedOn w:val="Normal"/>
    <w:rsid w:val="009C13A9"/>
    <w:pPr>
      <w:tabs>
        <w:tab w:val="left" w:pos="454"/>
        <w:tab w:val="left" w:pos="907"/>
        <w:tab w:val="left" w:pos="1361"/>
        <w:tab w:val="left" w:pos="1814"/>
      </w:tabs>
      <w:overflowPunct w:val="0"/>
      <w:adjustRightInd w:val="0"/>
      <w:spacing w:after="80"/>
      <w:ind w:left="908" w:hanging="454"/>
      <w:textAlignment w:val="baseline"/>
    </w:pPr>
    <w:rPr>
      <w:rFonts w:ascii="Times New Roman" w:hAnsi="Times New Roman"/>
      <w:sz w:val="24"/>
    </w:rPr>
  </w:style>
  <w:style w:type="paragraph" w:customStyle="1" w:styleId="aa">
    <w:name w:val="aa"/>
    <w:basedOn w:val="Annex2Buchstabe"/>
    <w:rsid w:val="009C13A9"/>
    <w:pPr>
      <w:tabs>
        <w:tab w:val="clear" w:pos="454"/>
        <w:tab w:val="clear" w:pos="907"/>
        <w:tab w:val="clear" w:pos="1361"/>
        <w:tab w:val="clear" w:pos="1814"/>
        <w:tab w:val="left" w:pos="425"/>
        <w:tab w:val="left" w:pos="851"/>
        <w:tab w:val="left" w:pos="1276"/>
        <w:tab w:val="left" w:pos="1701"/>
        <w:tab w:val="left" w:pos="2126"/>
      </w:tabs>
      <w:spacing w:before="120" w:after="0" w:line="240" w:lineRule="atLeast"/>
      <w:ind w:left="850" w:hanging="425"/>
    </w:pPr>
  </w:style>
  <w:style w:type="paragraph" w:customStyle="1" w:styleId="Standard">
    <w:name w:val="Standard"/>
    <w:rsid w:val="009C13A9"/>
    <w:pPr>
      <w:widowControl w:val="0"/>
      <w:overflowPunct w:val="0"/>
      <w:autoSpaceDE w:val="0"/>
      <w:autoSpaceDN w:val="0"/>
      <w:adjustRightInd w:val="0"/>
      <w:jc w:val="both"/>
      <w:textAlignment w:val="baseline"/>
    </w:pPr>
    <w:rPr>
      <w:rFonts w:ascii="CG Times (W1)" w:hAnsi="CG Times (W1)"/>
      <w:snapToGrid w:val="0"/>
      <w:sz w:val="24"/>
      <w:szCs w:val="24"/>
    </w:rPr>
  </w:style>
  <w:style w:type="paragraph" w:customStyle="1" w:styleId="rad111">
    <w:name w:val="rad1.11"/>
    <w:basedOn w:val="Normal"/>
    <w:rsid w:val="009C13A9"/>
    <w:pPr>
      <w:tabs>
        <w:tab w:val="left" w:pos="284"/>
        <w:tab w:val="left" w:pos="454"/>
        <w:tab w:val="left" w:pos="709"/>
      </w:tabs>
      <w:spacing w:line="240" w:lineRule="exact"/>
      <w:ind w:hanging="567"/>
    </w:pPr>
    <w:rPr>
      <w:rFonts w:ascii="Times New Roman" w:hAnsi="Times New Roman"/>
      <w:snapToGrid w:val="0"/>
      <w:sz w:val="24"/>
    </w:rPr>
  </w:style>
  <w:style w:type="paragraph" w:customStyle="1" w:styleId="rad1">
    <w:name w:val="rad1"/>
    <w:aliases w:val="11"/>
    <w:basedOn w:val="Normal"/>
    <w:rsid w:val="009C13A9"/>
    <w:pPr>
      <w:tabs>
        <w:tab w:val="left" w:pos="284"/>
        <w:tab w:val="left" w:pos="454"/>
        <w:tab w:val="left" w:pos="709"/>
      </w:tabs>
      <w:spacing w:line="240" w:lineRule="exact"/>
      <w:ind w:hanging="567"/>
    </w:pPr>
    <w:rPr>
      <w:rFonts w:ascii="Times New Roman" w:hAnsi="Times New Roman"/>
      <w:sz w:val="24"/>
    </w:rPr>
  </w:style>
  <w:style w:type="paragraph" w:customStyle="1" w:styleId="N12">
    <w:name w:val="N12"/>
    <w:basedOn w:val="Normal"/>
    <w:rsid w:val="009C13A9"/>
    <w:pPr>
      <w:tabs>
        <w:tab w:val="left" w:pos="284"/>
      </w:tabs>
      <w:overflowPunct w:val="0"/>
      <w:adjustRightInd w:val="0"/>
      <w:spacing w:line="240" w:lineRule="atLeast"/>
      <w:jc w:val="center"/>
      <w:textAlignment w:val="baseline"/>
    </w:pPr>
    <w:rPr>
      <w:rFonts w:ascii="Times New Roman" w:hAnsi="Times New Roman"/>
      <w:sz w:val="16"/>
      <w:szCs w:val="20"/>
    </w:rPr>
  </w:style>
  <w:style w:type="paragraph" w:customStyle="1" w:styleId="rad1note">
    <w:name w:val="rad1.note"/>
    <w:basedOn w:val="Normal"/>
    <w:rsid w:val="009C13A9"/>
    <w:pPr>
      <w:tabs>
        <w:tab w:val="left" w:pos="284"/>
        <w:tab w:val="left" w:pos="454"/>
        <w:tab w:val="left" w:pos="709"/>
      </w:tabs>
      <w:overflowPunct w:val="0"/>
      <w:adjustRightInd w:val="0"/>
      <w:spacing w:line="240" w:lineRule="exact"/>
      <w:ind w:left="284" w:hanging="284"/>
      <w:textAlignment w:val="baseline"/>
    </w:pPr>
    <w:rPr>
      <w:rFonts w:ascii="Times New Roman" w:hAnsi="Times New Roman"/>
      <w:sz w:val="24"/>
      <w:szCs w:val="20"/>
    </w:rPr>
  </w:style>
  <w:style w:type="paragraph" w:customStyle="1" w:styleId="Hoofdgedeelte">
    <w:name w:val="Hoofdgedeelte"/>
    <w:basedOn w:val="Normal"/>
    <w:rsid w:val="009C13A9"/>
    <w:pPr>
      <w:widowControl w:val="0"/>
    </w:pPr>
    <w:rPr>
      <w:rFonts w:ascii="Times" w:hAnsi="Times"/>
      <w:sz w:val="24"/>
      <w:lang w:val="bg-BG"/>
    </w:rPr>
  </w:style>
  <w:style w:type="numbering" w:customStyle="1" w:styleId="Aucuneliste11">
    <w:name w:val="Aucune liste11"/>
    <w:next w:val="NoList"/>
    <w:uiPriority w:val="99"/>
    <w:semiHidden/>
    <w:unhideWhenUsed/>
    <w:rsid w:val="009C13A9"/>
  </w:style>
  <w:style w:type="character" w:customStyle="1" w:styleId="WW8Num1z0">
    <w:name w:val="WW8Num1z0"/>
    <w:rsid w:val="009C13A9"/>
    <w:rPr>
      <w:rFonts w:cs="Times New Roman"/>
    </w:rPr>
  </w:style>
  <w:style w:type="character" w:customStyle="1" w:styleId="WW8Num2z0">
    <w:name w:val="WW8Num2z0"/>
    <w:rsid w:val="009C13A9"/>
    <w:rPr>
      <w:rFonts w:cs="Times New Roman"/>
    </w:rPr>
  </w:style>
  <w:style w:type="character" w:customStyle="1" w:styleId="Absatz-Standardschriftart1">
    <w:name w:val="Absatz-Standardschriftart1"/>
    <w:rsid w:val="009C13A9"/>
  </w:style>
  <w:style w:type="character" w:customStyle="1" w:styleId="WW-Absatz-Standardschriftart">
    <w:name w:val="WW-Absatz-Standardschriftart"/>
    <w:rsid w:val="009C13A9"/>
  </w:style>
  <w:style w:type="character" w:customStyle="1" w:styleId="WW-Absatz-Standardschriftart1">
    <w:name w:val="WW-Absatz-Standardschriftart1"/>
    <w:rsid w:val="009C13A9"/>
  </w:style>
  <w:style w:type="character" w:customStyle="1" w:styleId="WW-Absatz-Standardschriftart11">
    <w:name w:val="WW-Absatz-Standardschriftart11"/>
    <w:rsid w:val="009C13A9"/>
  </w:style>
  <w:style w:type="character" w:customStyle="1" w:styleId="WW-Absatz-Standardschriftart111">
    <w:name w:val="WW-Absatz-Standardschriftart111"/>
    <w:rsid w:val="009C13A9"/>
  </w:style>
  <w:style w:type="character" w:customStyle="1" w:styleId="WW-Absatz-Standardschriftart1111">
    <w:name w:val="WW-Absatz-Standardschriftart1111"/>
    <w:rsid w:val="009C13A9"/>
  </w:style>
  <w:style w:type="character" w:customStyle="1" w:styleId="WW-Absatz-Standardschriftart11111">
    <w:name w:val="WW-Absatz-Standardschriftart11111"/>
    <w:rsid w:val="009C13A9"/>
  </w:style>
  <w:style w:type="character" w:customStyle="1" w:styleId="WW-Absatz-Standardschriftart111111">
    <w:name w:val="WW-Absatz-Standardschriftart111111"/>
    <w:rsid w:val="009C13A9"/>
  </w:style>
  <w:style w:type="character" w:customStyle="1" w:styleId="WW-Absatz-Standardschriftart1111111">
    <w:name w:val="WW-Absatz-Standardschriftart1111111"/>
    <w:rsid w:val="009C13A9"/>
  </w:style>
  <w:style w:type="character" w:customStyle="1" w:styleId="WW-Absatz-Standardschriftart11111111">
    <w:name w:val="WW-Absatz-Standardschriftart11111111"/>
    <w:rsid w:val="009C13A9"/>
  </w:style>
  <w:style w:type="character" w:customStyle="1" w:styleId="WW-Absatz-Standardschriftart111111111">
    <w:name w:val="WW-Absatz-Standardschriftart111111111"/>
    <w:rsid w:val="009C13A9"/>
  </w:style>
  <w:style w:type="character" w:customStyle="1" w:styleId="WW8Num3z0">
    <w:name w:val="WW8Num3z0"/>
    <w:rsid w:val="009C13A9"/>
    <w:rPr>
      <w:rFonts w:cs="Times New Roman"/>
    </w:rPr>
  </w:style>
  <w:style w:type="character" w:customStyle="1" w:styleId="WW8Num4z0">
    <w:name w:val="WW8Num4z0"/>
    <w:rsid w:val="009C13A9"/>
    <w:rPr>
      <w:rFonts w:ascii="Times New Roman" w:eastAsia="Times New Roman" w:hAnsi="Times New Roman"/>
    </w:rPr>
  </w:style>
  <w:style w:type="character" w:customStyle="1" w:styleId="WW8Num4z1">
    <w:name w:val="WW8Num4z1"/>
    <w:rsid w:val="009C13A9"/>
    <w:rPr>
      <w:rFonts w:ascii="Courier New" w:hAnsi="Courier New"/>
    </w:rPr>
  </w:style>
  <w:style w:type="character" w:customStyle="1" w:styleId="WW8Num4z2">
    <w:name w:val="WW8Num4z2"/>
    <w:rsid w:val="009C13A9"/>
    <w:rPr>
      <w:rFonts w:ascii="Wingdings" w:hAnsi="Wingdings"/>
    </w:rPr>
  </w:style>
  <w:style w:type="character" w:customStyle="1" w:styleId="WW8Num4z3">
    <w:name w:val="WW8Num4z3"/>
    <w:rsid w:val="009C13A9"/>
    <w:rPr>
      <w:rFonts w:ascii="Symbol" w:hAnsi="Symbol"/>
    </w:rPr>
  </w:style>
  <w:style w:type="character" w:customStyle="1" w:styleId="WW8Num5z0">
    <w:name w:val="WW8Num5z0"/>
    <w:rsid w:val="009C13A9"/>
    <w:rPr>
      <w:rFonts w:ascii="Arial" w:eastAsia="Times New Roman" w:hAnsi="Arial"/>
    </w:rPr>
  </w:style>
  <w:style w:type="character" w:customStyle="1" w:styleId="WW8Num5z1">
    <w:name w:val="WW8Num5z1"/>
    <w:rsid w:val="009C13A9"/>
    <w:rPr>
      <w:rFonts w:ascii="Courier New" w:hAnsi="Courier New"/>
    </w:rPr>
  </w:style>
  <w:style w:type="character" w:customStyle="1" w:styleId="WW8Num5z2">
    <w:name w:val="WW8Num5z2"/>
    <w:rsid w:val="009C13A9"/>
    <w:rPr>
      <w:rFonts w:ascii="Wingdings" w:hAnsi="Wingdings"/>
    </w:rPr>
  </w:style>
  <w:style w:type="character" w:customStyle="1" w:styleId="WW8Num5z3">
    <w:name w:val="WW8Num5z3"/>
    <w:rsid w:val="009C13A9"/>
    <w:rPr>
      <w:rFonts w:ascii="Symbol" w:hAnsi="Symbol"/>
    </w:rPr>
  </w:style>
  <w:style w:type="character" w:customStyle="1" w:styleId="Policepardfaut1">
    <w:name w:val="Police par défaut1"/>
    <w:rsid w:val="009C13A9"/>
  </w:style>
  <w:style w:type="character" w:customStyle="1" w:styleId="Caractresdenotedebasdepage">
    <w:name w:val="Caractères de note de bas de page"/>
    <w:rsid w:val="009C13A9"/>
    <w:rPr>
      <w:rFonts w:cs="Times New Roman"/>
      <w:vertAlign w:val="superscript"/>
    </w:rPr>
  </w:style>
  <w:style w:type="character" w:customStyle="1" w:styleId="Marquedecommentaire1">
    <w:name w:val="Marque de commentaire1"/>
    <w:rsid w:val="009C13A9"/>
    <w:rPr>
      <w:rFonts w:cs="Times New Roman"/>
      <w:sz w:val="16"/>
      <w:szCs w:val="16"/>
    </w:rPr>
  </w:style>
  <w:style w:type="character" w:customStyle="1" w:styleId="VO-Text-AbsnachNrChar">
    <w:name w:val="VO-Text-Abs nach Nr Char"/>
    <w:rsid w:val="009C13A9"/>
    <w:rPr>
      <w:rFonts w:ascii="Arial" w:hAnsi="Arial" w:cs="Times New Roman"/>
      <w:b/>
      <w:bCs/>
      <w:sz w:val="24"/>
      <w:szCs w:val="24"/>
      <w:lang w:val="bg-BG" w:eastAsia="bg-BG" w:bidi="bg-BG"/>
    </w:rPr>
  </w:style>
  <w:style w:type="character" w:styleId="Emphasis">
    <w:name w:val="Emphasis"/>
    <w:qFormat/>
    <w:rsid w:val="009C13A9"/>
    <w:rPr>
      <w:rFonts w:cs="Times New Roman"/>
      <w:i/>
      <w:iCs/>
    </w:rPr>
  </w:style>
  <w:style w:type="character" w:customStyle="1" w:styleId="error">
    <w:name w:val="error"/>
    <w:rsid w:val="009C13A9"/>
    <w:rPr>
      <w:rFonts w:cs="Times New Roman"/>
    </w:rPr>
  </w:style>
  <w:style w:type="character" w:customStyle="1" w:styleId="longtext1">
    <w:name w:val="long_text1"/>
    <w:rsid w:val="009C13A9"/>
    <w:rPr>
      <w:rFonts w:cs="Times New Roman"/>
      <w:sz w:val="20"/>
      <w:szCs w:val="20"/>
    </w:rPr>
  </w:style>
  <w:style w:type="character" w:customStyle="1" w:styleId="WW-Caractresdenotedebasdepage">
    <w:name w:val="WW-Caractères de note de bas de page"/>
    <w:rsid w:val="009C13A9"/>
    <w:rPr>
      <w:rFonts w:cs="Times New Roman"/>
      <w:vertAlign w:val="superscript"/>
    </w:rPr>
  </w:style>
  <w:style w:type="character" w:customStyle="1" w:styleId="Caractresdenotedefin">
    <w:name w:val="Caractères de note de fin"/>
    <w:rsid w:val="009C13A9"/>
    <w:rPr>
      <w:vertAlign w:val="superscript"/>
    </w:rPr>
  </w:style>
  <w:style w:type="character" w:customStyle="1" w:styleId="WW-Caractresdenotedefin">
    <w:name w:val="WW-Caractères de note de fin"/>
    <w:rsid w:val="009C13A9"/>
  </w:style>
  <w:style w:type="character" w:styleId="EndnoteReference">
    <w:name w:val="endnote reference"/>
    <w:rsid w:val="009C13A9"/>
    <w:rPr>
      <w:vertAlign w:val="superscript"/>
    </w:rPr>
  </w:style>
  <w:style w:type="character" w:customStyle="1" w:styleId="Caractresdenumrotation">
    <w:name w:val="Caractères de numérotation"/>
    <w:rsid w:val="009C13A9"/>
  </w:style>
  <w:style w:type="paragraph" w:customStyle="1" w:styleId="Titre1">
    <w:name w:val="Titre1"/>
    <w:basedOn w:val="Normal"/>
    <w:next w:val="BodyText"/>
    <w:rsid w:val="009C13A9"/>
    <w:pPr>
      <w:keepNext/>
      <w:suppressAutoHyphens/>
      <w:spacing w:before="240" w:after="120"/>
    </w:pPr>
    <w:rPr>
      <w:rFonts w:ascii="Liberation Sans" w:eastAsia="Lucida Sans Unicode" w:hAnsi="Liberation Sans" w:cs="Tahoma"/>
      <w:sz w:val="28"/>
      <w:lang w:val="bg-BG" w:eastAsia="bg-BG"/>
    </w:rPr>
  </w:style>
  <w:style w:type="paragraph" w:styleId="List">
    <w:name w:val="List"/>
    <w:basedOn w:val="BodyText"/>
    <w:rsid w:val="009C13A9"/>
    <w:pPr>
      <w:keepNext w:val="0"/>
      <w:tabs>
        <w:tab w:val="clear" w:pos="709"/>
      </w:tabs>
      <w:suppressAutoHyphens/>
    </w:pPr>
    <w:rPr>
      <w:rFonts w:ascii="Liberation Sans" w:hAnsi="Liberation Sans" w:cs="Tahoma"/>
      <w:b/>
      <w:sz w:val="24"/>
      <w:lang w:val="bg-BG"/>
    </w:rPr>
  </w:style>
  <w:style w:type="paragraph" w:customStyle="1" w:styleId="Lgende1">
    <w:name w:val="Légende1"/>
    <w:basedOn w:val="Normal"/>
    <w:next w:val="Normal"/>
    <w:rsid w:val="009C13A9"/>
    <w:pPr>
      <w:suppressAutoHyphens/>
      <w:spacing w:before="120" w:after="120"/>
    </w:pPr>
    <w:rPr>
      <w:rFonts w:ascii="Times New Roman" w:hAnsi="Times New Roman"/>
      <w:b/>
      <w:bCs/>
      <w:szCs w:val="20"/>
      <w:lang w:val="bg-BG" w:eastAsia="bg-BG"/>
    </w:rPr>
  </w:style>
  <w:style w:type="paragraph" w:customStyle="1" w:styleId="Index">
    <w:name w:val="Index"/>
    <w:basedOn w:val="Normal"/>
    <w:rsid w:val="009C13A9"/>
    <w:pPr>
      <w:suppressLineNumbers/>
      <w:suppressAutoHyphens/>
    </w:pPr>
    <w:rPr>
      <w:rFonts w:ascii="Liberation Sans" w:hAnsi="Liberation Sans" w:cs="Tahoma"/>
      <w:sz w:val="24"/>
      <w:lang w:val="bg-BG" w:eastAsia="bg-BG"/>
    </w:rPr>
  </w:style>
  <w:style w:type="paragraph" w:customStyle="1" w:styleId="Explorateurdedocument1">
    <w:name w:val="Explorateur de document1"/>
    <w:basedOn w:val="Normal"/>
    <w:rsid w:val="009C13A9"/>
    <w:pPr>
      <w:shd w:val="clear" w:color="auto" w:fill="000080"/>
      <w:suppressAutoHyphens/>
    </w:pPr>
    <w:rPr>
      <w:rFonts w:ascii="Times New Roman" w:hAnsi="Times New Roman"/>
      <w:szCs w:val="20"/>
      <w:lang w:val="bg-BG" w:eastAsia="bg-BG"/>
    </w:rPr>
  </w:style>
  <w:style w:type="paragraph" w:customStyle="1" w:styleId="Anlage">
    <w:name w:val="Anlage"/>
    <w:basedOn w:val="Normal"/>
    <w:rsid w:val="009C13A9"/>
    <w:pPr>
      <w:suppressAutoHyphens/>
      <w:spacing w:before="240"/>
      <w:ind w:left="1134" w:hanging="1134"/>
    </w:pPr>
    <w:rPr>
      <w:rFonts w:ascii="Times New Roman" w:hAnsi="Times New Roman"/>
      <w:sz w:val="24"/>
      <w:lang w:val="bg-BG" w:eastAsia="bg-BG"/>
    </w:rPr>
  </w:style>
  <w:style w:type="paragraph" w:customStyle="1" w:styleId="Betrifft">
    <w:name w:val="Betrifft"/>
    <w:basedOn w:val="Normal"/>
    <w:rsid w:val="009C13A9"/>
    <w:pPr>
      <w:suppressAutoHyphens/>
      <w:spacing w:before="480"/>
    </w:pPr>
    <w:rPr>
      <w:rFonts w:ascii="Times New Roman" w:hAnsi="Times New Roman"/>
      <w:sz w:val="24"/>
      <w:lang w:val="bg-BG" w:eastAsia="bg-BG"/>
    </w:rPr>
  </w:style>
  <w:style w:type="paragraph" w:customStyle="1" w:styleId="Bezug">
    <w:name w:val="Bezug"/>
    <w:basedOn w:val="Normal"/>
    <w:rsid w:val="009C13A9"/>
    <w:pPr>
      <w:suppressAutoHyphens/>
      <w:spacing w:before="240"/>
    </w:pPr>
    <w:rPr>
      <w:rFonts w:ascii="Times New Roman" w:hAnsi="Times New Roman"/>
      <w:sz w:val="24"/>
      <w:lang w:val="bg-BG" w:eastAsia="bg-BG"/>
    </w:rPr>
  </w:style>
  <w:style w:type="paragraph" w:customStyle="1" w:styleId="Hier">
    <w:name w:val="Hier"/>
    <w:basedOn w:val="Normal"/>
    <w:rsid w:val="009C13A9"/>
    <w:pPr>
      <w:tabs>
        <w:tab w:val="left" w:pos="284"/>
      </w:tabs>
      <w:suppressAutoHyphens/>
      <w:ind w:left="284" w:hanging="284"/>
    </w:pPr>
    <w:rPr>
      <w:rFonts w:ascii="Times New Roman" w:hAnsi="Times New Roman"/>
      <w:sz w:val="24"/>
      <w:lang w:val="bg-BG" w:eastAsia="bg-BG"/>
    </w:rPr>
  </w:style>
  <w:style w:type="paragraph" w:customStyle="1" w:styleId="yyx">
    <w:name w:val="yyx"/>
    <w:basedOn w:val="Normal"/>
    <w:rsid w:val="009C13A9"/>
    <w:pPr>
      <w:suppressAutoHyphens/>
      <w:spacing w:line="360" w:lineRule="auto"/>
    </w:pPr>
    <w:rPr>
      <w:rFonts w:ascii="Times New Roman" w:hAnsi="Times New Roman"/>
      <w:b/>
      <w:sz w:val="24"/>
      <w:lang w:val="bg-BG" w:eastAsia="bg-BG"/>
    </w:rPr>
  </w:style>
  <w:style w:type="paragraph" w:customStyle="1" w:styleId="Nverborgen">
    <w:name w:val="Nverborgen"/>
    <w:basedOn w:val="Normal"/>
    <w:next w:val="Normal"/>
    <w:rsid w:val="009C13A9"/>
    <w:pPr>
      <w:suppressAutoHyphens/>
      <w:spacing w:line="360" w:lineRule="auto"/>
      <w:ind w:hanging="567"/>
    </w:pPr>
    <w:rPr>
      <w:rFonts w:ascii="Times New Roman" w:hAnsi="Times New Roman"/>
      <w:sz w:val="24"/>
      <w:lang w:val="bg-BG" w:eastAsia="bg-BG"/>
    </w:rPr>
  </w:style>
  <w:style w:type="paragraph" w:customStyle="1" w:styleId="Verborgen">
    <w:name w:val="Verborgen"/>
    <w:basedOn w:val="Normal"/>
    <w:next w:val="Normal"/>
    <w:rsid w:val="009C13A9"/>
    <w:pPr>
      <w:suppressAutoHyphens/>
      <w:spacing w:after="360" w:line="360" w:lineRule="auto"/>
      <w:ind w:hanging="567"/>
    </w:pPr>
    <w:rPr>
      <w:rFonts w:ascii="Times New Roman" w:hAnsi="Times New Roman"/>
      <w:vanish/>
      <w:color w:val="0000FF"/>
      <w:sz w:val="24"/>
      <w:lang w:val="bg-BG" w:eastAsia="bg-BG"/>
    </w:rPr>
  </w:style>
  <w:style w:type="paragraph" w:customStyle="1" w:styleId="Salutations1">
    <w:name w:val="Salutations1"/>
    <w:basedOn w:val="Normal"/>
    <w:next w:val="Normal"/>
    <w:rsid w:val="009C13A9"/>
    <w:pPr>
      <w:suppressAutoHyphens/>
      <w:spacing w:before="720" w:line="360" w:lineRule="auto"/>
    </w:pPr>
    <w:rPr>
      <w:rFonts w:ascii="Times New Roman" w:hAnsi="Times New Roman"/>
      <w:sz w:val="24"/>
      <w:lang w:val="bg-BG" w:eastAsia="bg-BG"/>
    </w:rPr>
  </w:style>
  <w:style w:type="paragraph" w:customStyle="1" w:styleId="c4">
    <w:name w:val="c4"/>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p4">
    <w:name w:val="p4"/>
    <w:basedOn w:val="Normal"/>
    <w:rsid w:val="009C13A9"/>
    <w:pPr>
      <w:tabs>
        <w:tab w:val="left" w:pos="720"/>
      </w:tabs>
      <w:suppressAutoHyphens/>
      <w:spacing w:line="220" w:lineRule="atLeast"/>
    </w:pPr>
    <w:rPr>
      <w:rFonts w:ascii="Times New Roman" w:hAnsi="Times New Roman"/>
      <w:sz w:val="24"/>
      <w:szCs w:val="20"/>
      <w:lang w:val="bg-BG" w:eastAsia="bg-BG"/>
    </w:rPr>
  </w:style>
  <w:style w:type="paragraph" w:customStyle="1" w:styleId="c2">
    <w:name w:val="c2"/>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p9">
    <w:name w:val="p9"/>
    <w:basedOn w:val="Normal"/>
    <w:rsid w:val="009C13A9"/>
    <w:pPr>
      <w:tabs>
        <w:tab w:val="left" w:pos="1060"/>
      </w:tabs>
      <w:suppressAutoHyphens/>
      <w:spacing w:line="240" w:lineRule="atLeast"/>
      <w:ind w:left="1440" w:firstLine="1008"/>
    </w:pPr>
    <w:rPr>
      <w:rFonts w:ascii="Times New Roman" w:hAnsi="Times New Roman"/>
      <w:sz w:val="24"/>
      <w:szCs w:val="20"/>
      <w:lang w:val="bg-BG" w:eastAsia="bg-BG"/>
    </w:rPr>
  </w:style>
  <w:style w:type="paragraph" w:customStyle="1" w:styleId="p5">
    <w:name w:val="p5"/>
    <w:basedOn w:val="Normal"/>
    <w:rsid w:val="009C13A9"/>
    <w:pPr>
      <w:tabs>
        <w:tab w:val="left" w:pos="720"/>
      </w:tabs>
      <w:suppressAutoHyphens/>
      <w:spacing w:line="240" w:lineRule="atLeast"/>
    </w:pPr>
    <w:rPr>
      <w:rFonts w:ascii="Times New Roman" w:hAnsi="Times New Roman"/>
      <w:sz w:val="24"/>
      <w:szCs w:val="20"/>
      <w:lang w:val="bg-BG" w:eastAsia="bg-BG"/>
    </w:rPr>
  </w:style>
  <w:style w:type="paragraph" w:customStyle="1" w:styleId="p10">
    <w:name w:val="p10"/>
    <w:basedOn w:val="Normal"/>
    <w:rsid w:val="009C13A9"/>
    <w:pPr>
      <w:tabs>
        <w:tab w:val="left" w:pos="240"/>
        <w:tab w:val="left" w:pos="500"/>
      </w:tabs>
      <w:suppressAutoHyphens/>
      <w:spacing w:line="240" w:lineRule="atLeast"/>
      <w:ind w:left="1440" w:firstLine="288"/>
    </w:pPr>
    <w:rPr>
      <w:rFonts w:ascii="Times New Roman" w:hAnsi="Times New Roman"/>
      <w:sz w:val="24"/>
      <w:szCs w:val="20"/>
      <w:lang w:val="bg-BG" w:eastAsia="bg-BG"/>
    </w:rPr>
  </w:style>
  <w:style w:type="paragraph" w:customStyle="1" w:styleId="p11">
    <w:name w:val="p11"/>
    <w:basedOn w:val="Normal"/>
    <w:rsid w:val="009C13A9"/>
    <w:pPr>
      <w:tabs>
        <w:tab w:val="left" w:pos="720"/>
      </w:tabs>
      <w:suppressAutoHyphens/>
      <w:spacing w:line="220" w:lineRule="atLeast"/>
    </w:pPr>
    <w:rPr>
      <w:rFonts w:ascii="Times New Roman" w:hAnsi="Times New Roman"/>
      <w:sz w:val="24"/>
      <w:szCs w:val="20"/>
      <w:lang w:val="bg-BG" w:eastAsia="bg-BG"/>
    </w:rPr>
  </w:style>
  <w:style w:type="paragraph" w:customStyle="1" w:styleId="p12">
    <w:name w:val="p12"/>
    <w:basedOn w:val="Normal"/>
    <w:rsid w:val="009C13A9"/>
    <w:pPr>
      <w:tabs>
        <w:tab w:val="left" w:pos="720"/>
      </w:tabs>
      <w:suppressAutoHyphens/>
      <w:spacing w:line="240" w:lineRule="atLeast"/>
    </w:pPr>
    <w:rPr>
      <w:rFonts w:ascii="Times New Roman" w:hAnsi="Times New Roman"/>
      <w:sz w:val="24"/>
      <w:szCs w:val="20"/>
      <w:lang w:val="bg-BG" w:eastAsia="bg-BG"/>
    </w:rPr>
  </w:style>
  <w:style w:type="paragraph" w:customStyle="1" w:styleId="p14">
    <w:name w:val="p14"/>
    <w:basedOn w:val="Normal"/>
    <w:rsid w:val="009C13A9"/>
    <w:pPr>
      <w:tabs>
        <w:tab w:val="left" w:pos="260"/>
        <w:tab w:val="left" w:pos="540"/>
      </w:tabs>
      <w:suppressAutoHyphens/>
      <w:spacing w:line="220" w:lineRule="atLeast"/>
      <w:ind w:left="864" w:hanging="576"/>
    </w:pPr>
    <w:rPr>
      <w:rFonts w:ascii="Times New Roman" w:hAnsi="Times New Roman"/>
      <w:sz w:val="24"/>
      <w:szCs w:val="20"/>
      <w:lang w:val="bg-BG" w:eastAsia="bg-BG"/>
    </w:rPr>
  </w:style>
  <w:style w:type="paragraph" w:customStyle="1" w:styleId="p15">
    <w:name w:val="p15"/>
    <w:basedOn w:val="Normal"/>
    <w:rsid w:val="009C13A9"/>
    <w:pPr>
      <w:tabs>
        <w:tab w:val="left" w:pos="260"/>
      </w:tabs>
      <w:suppressAutoHyphens/>
      <w:spacing w:line="240" w:lineRule="atLeast"/>
      <w:ind w:left="1152" w:hanging="288"/>
    </w:pPr>
    <w:rPr>
      <w:rFonts w:ascii="Times New Roman" w:hAnsi="Times New Roman"/>
      <w:sz w:val="24"/>
      <w:szCs w:val="20"/>
      <w:lang w:val="bg-BG" w:eastAsia="bg-BG"/>
    </w:rPr>
  </w:style>
  <w:style w:type="paragraph" w:customStyle="1" w:styleId="p7">
    <w:name w:val="p7"/>
    <w:basedOn w:val="Normal"/>
    <w:rsid w:val="009C13A9"/>
    <w:pPr>
      <w:tabs>
        <w:tab w:val="left" w:pos="260"/>
      </w:tabs>
      <w:suppressAutoHyphens/>
      <w:spacing w:line="220" w:lineRule="atLeast"/>
      <w:ind w:left="1152" w:hanging="288"/>
    </w:pPr>
    <w:rPr>
      <w:rFonts w:ascii="Times New Roman" w:hAnsi="Times New Roman"/>
      <w:sz w:val="24"/>
      <w:szCs w:val="20"/>
      <w:lang w:val="bg-BG" w:eastAsia="bg-BG"/>
    </w:rPr>
  </w:style>
  <w:style w:type="paragraph" w:customStyle="1" w:styleId="p16">
    <w:name w:val="p16"/>
    <w:basedOn w:val="Normal"/>
    <w:rsid w:val="009C13A9"/>
    <w:pPr>
      <w:tabs>
        <w:tab w:val="left" w:pos="520"/>
      </w:tabs>
      <w:suppressAutoHyphens/>
      <w:spacing w:line="240" w:lineRule="atLeast"/>
      <w:ind w:left="1440" w:firstLine="576"/>
    </w:pPr>
    <w:rPr>
      <w:rFonts w:ascii="Times New Roman" w:hAnsi="Times New Roman"/>
      <w:sz w:val="24"/>
      <w:szCs w:val="20"/>
      <w:lang w:val="bg-BG" w:eastAsia="bg-BG"/>
    </w:rPr>
  </w:style>
  <w:style w:type="paragraph" w:customStyle="1" w:styleId="c18">
    <w:name w:val="c18"/>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t17">
    <w:name w:val="t17"/>
    <w:basedOn w:val="Normal"/>
    <w:rsid w:val="009C13A9"/>
    <w:pPr>
      <w:suppressAutoHyphens/>
      <w:spacing w:line="240" w:lineRule="atLeast"/>
    </w:pPr>
    <w:rPr>
      <w:rFonts w:ascii="Times New Roman" w:hAnsi="Times New Roman"/>
      <w:sz w:val="24"/>
      <w:szCs w:val="20"/>
      <w:lang w:val="bg-BG" w:eastAsia="bg-BG"/>
    </w:rPr>
  </w:style>
  <w:style w:type="paragraph" w:customStyle="1" w:styleId="p19">
    <w:name w:val="p19"/>
    <w:basedOn w:val="Normal"/>
    <w:rsid w:val="009C13A9"/>
    <w:pPr>
      <w:tabs>
        <w:tab w:val="left" w:pos="280"/>
        <w:tab w:val="left" w:pos="520"/>
      </w:tabs>
      <w:suppressAutoHyphens/>
      <w:spacing w:line="220" w:lineRule="atLeast"/>
      <w:ind w:left="1152" w:hanging="288"/>
    </w:pPr>
    <w:rPr>
      <w:rFonts w:ascii="Times New Roman" w:hAnsi="Times New Roman"/>
      <w:sz w:val="24"/>
      <w:szCs w:val="20"/>
      <w:lang w:val="bg-BG" w:eastAsia="bg-BG"/>
    </w:rPr>
  </w:style>
  <w:style w:type="paragraph" w:customStyle="1" w:styleId="p21">
    <w:name w:val="p21"/>
    <w:basedOn w:val="Normal"/>
    <w:rsid w:val="009C13A9"/>
    <w:pPr>
      <w:tabs>
        <w:tab w:val="left" w:pos="2480"/>
      </w:tabs>
      <w:suppressAutoHyphens/>
      <w:spacing w:line="240" w:lineRule="atLeast"/>
      <w:ind w:left="1040"/>
    </w:pPr>
    <w:rPr>
      <w:rFonts w:ascii="Times New Roman" w:hAnsi="Times New Roman"/>
      <w:sz w:val="24"/>
      <w:szCs w:val="20"/>
      <w:lang w:val="bg-BG" w:eastAsia="bg-BG"/>
    </w:rPr>
  </w:style>
  <w:style w:type="paragraph" w:customStyle="1" w:styleId="p8">
    <w:name w:val="p8"/>
    <w:basedOn w:val="Normal"/>
    <w:rsid w:val="009C13A9"/>
    <w:pPr>
      <w:tabs>
        <w:tab w:val="left" w:pos="520"/>
      </w:tabs>
      <w:suppressAutoHyphens/>
      <w:spacing w:line="220" w:lineRule="atLeast"/>
      <w:ind w:left="864" w:hanging="576"/>
    </w:pPr>
    <w:rPr>
      <w:rFonts w:ascii="Times New Roman" w:hAnsi="Times New Roman"/>
      <w:sz w:val="24"/>
      <w:szCs w:val="20"/>
      <w:lang w:val="bg-BG" w:eastAsia="bg-BG"/>
    </w:rPr>
  </w:style>
  <w:style w:type="paragraph" w:customStyle="1" w:styleId="c3">
    <w:name w:val="c3"/>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p13">
    <w:name w:val="p13"/>
    <w:basedOn w:val="Normal"/>
    <w:rsid w:val="009C13A9"/>
    <w:pPr>
      <w:tabs>
        <w:tab w:val="left" w:pos="260"/>
      </w:tabs>
      <w:suppressAutoHyphens/>
      <w:spacing w:line="220" w:lineRule="atLeast"/>
      <w:ind w:left="1180"/>
    </w:pPr>
    <w:rPr>
      <w:rFonts w:ascii="Times New Roman" w:hAnsi="Times New Roman"/>
      <w:sz w:val="24"/>
      <w:szCs w:val="20"/>
      <w:lang w:val="bg-BG" w:eastAsia="bg-BG"/>
    </w:rPr>
  </w:style>
  <w:style w:type="paragraph" w:customStyle="1" w:styleId="p20">
    <w:name w:val="p20"/>
    <w:basedOn w:val="Normal"/>
    <w:rsid w:val="009C13A9"/>
    <w:pPr>
      <w:tabs>
        <w:tab w:val="left" w:pos="780"/>
      </w:tabs>
      <w:suppressAutoHyphens/>
      <w:spacing w:line="220" w:lineRule="atLeast"/>
    </w:pPr>
    <w:rPr>
      <w:rFonts w:ascii="Times New Roman" w:hAnsi="Times New Roman"/>
      <w:sz w:val="24"/>
      <w:szCs w:val="20"/>
      <w:lang w:val="bg-BG" w:eastAsia="bg-BG"/>
    </w:rPr>
  </w:style>
  <w:style w:type="paragraph" w:customStyle="1" w:styleId="c15">
    <w:name w:val="c15"/>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p22">
    <w:name w:val="p22"/>
    <w:basedOn w:val="Normal"/>
    <w:rsid w:val="009C13A9"/>
    <w:pPr>
      <w:tabs>
        <w:tab w:val="left" w:pos="520"/>
        <w:tab w:val="left" w:pos="1060"/>
      </w:tabs>
      <w:suppressAutoHyphens/>
      <w:spacing w:line="220" w:lineRule="atLeast"/>
      <w:ind w:left="432" w:hanging="432"/>
    </w:pPr>
    <w:rPr>
      <w:rFonts w:ascii="Times New Roman" w:hAnsi="Times New Roman"/>
      <w:sz w:val="24"/>
      <w:szCs w:val="20"/>
      <w:lang w:val="bg-BG" w:eastAsia="bg-BG"/>
    </w:rPr>
  </w:style>
  <w:style w:type="paragraph" w:customStyle="1" w:styleId="p26">
    <w:name w:val="p26"/>
    <w:basedOn w:val="Normal"/>
    <w:rsid w:val="009C13A9"/>
    <w:pPr>
      <w:tabs>
        <w:tab w:val="left" w:pos="520"/>
      </w:tabs>
      <w:suppressAutoHyphens/>
      <w:spacing w:line="240" w:lineRule="atLeast"/>
      <w:ind w:left="864" w:hanging="576"/>
    </w:pPr>
    <w:rPr>
      <w:rFonts w:ascii="Times New Roman" w:hAnsi="Times New Roman"/>
      <w:sz w:val="24"/>
      <w:szCs w:val="20"/>
      <w:lang w:val="bg-BG" w:eastAsia="bg-BG"/>
    </w:rPr>
  </w:style>
  <w:style w:type="paragraph" w:customStyle="1" w:styleId="p31">
    <w:name w:val="p31"/>
    <w:basedOn w:val="Normal"/>
    <w:rsid w:val="009C13A9"/>
    <w:pPr>
      <w:tabs>
        <w:tab w:val="left" w:pos="260"/>
        <w:tab w:val="left" w:pos="540"/>
      </w:tabs>
      <w:suppressAutoHyphens/>
      <w:spacing w:line="220" w:lineRule="atLeast"/>
      <w:ind w:left="1440" w:firstLine="288"/>
    </w:pPr>
    <w:rPr>
      <w:rFonts w:ascii="Times New Roman" w:hAnsi="Times New Roman"/>
      <w:sz w:val="24"/>
      <w:szCs w:val="20"/>
      <w:lang w:val="bg-BG" w:eastAsia="bg-BG"/>
    </w:rPr>
  </w:style>
  <w:style w:type="paragraph" w:customStyle="1" w:styleId="p32">
    <w:name w:val="p32"/>
    <w:basedOn w:val="Normal"/>
    <w:rsid w:val="009C13A9"/>
    <w:pPr>
      <w:tabs>
        <w:tab w:val="left" w:pos="280"/>
      </w:tabs>
      <w:suppressAutoHyphens/>
      <w:spacing w:line="220" w:lineRule="atLeast"/>
      <w:ind w:left="1152" w:hanging="288"/>
    </w:pPr>
    <w:rPr>
      <w:rFonts w:ascii="Times New Roman" w:hAnsi="Times New Roman"/>
      <w:sz w:val="24"/>
      <w:szCs w:val="20"/>
      <w:lang w:val="bg-BG" w:eastAsia="bg-BG"/>
    </w:rPr>
  </w:style>
  <w:style w:type="paragraph" w:customStyle="1" w:styleId="p33">
    <w:name w:val="p33"/>
    <w:basedOn w:val="Normal"/>
    <w:rsid w:val="009C13A9"/>
    <w:pPr>
      <w:tabs>
        <w:tab w:val="left" w:pos="260"/>
      </w:tabs>
      <w:suppressAutoHyphens/>
      <w:spacing w:line="240" w:lineRule="atLeast"/>
      <w:ind w:left="1440" w:firstLine="288"/>
    </w:pPr>
    <w:rPr>
      <w:rFonts w:ascii="Times New Roman" w:hAnsi="Times New Roman"/>
      <w:sz w:val="24"/>
      <w:szCs w:val="20"/>
      <w:lang w:val="bg-BG" w:eastAsia="bg-BG"/>
    </w:rPr>
  </w:style>
  <w:style w:type="paragraph" w:customStyle="1" w:styleId="p36">
    <w:name w:val="p36"/>
    <w:basedOn w:val="Normal"/>
    <w:rsid w:val="009C13A9"/>
    <w:pPr>
      <w:tabs>
        <w:tab w:val="left" w:pos="280"/>
      </w:tabs>
      <w:suppressAutoHyphens/>
      <w:spacing w:line="220" w:lineRule="atLeast"/>
      <w:ind w:left="1152" w:hanging="288"/>
    </w:pPr>
    <w:rPr>
      <w:rFonts w:ascii="Times New Roman" w:hAnsi="Times New Roman"/>
      <w:sz w:val="24"/>
      <w:szCs w:val="20"/>
      <w:lang w:val="bg-BG" w:eastAsia="bg-BG"/>
    </w:rPr>
  </w:style>
  <w:style w:type="paragraph" w:customStyle="1" w:styleId="p39">
    <w:name w:val="p39"/>
    <w:basedOn w:val="Normal"/>
    <w:rsid w:val="009C13A9"/>
    <w:pPr>
      <w:tabs>
        <w:tab w:val="left" w:pos="280"/>
      </w:tabs>
      <w:suppressAutoHyphens/>
      <w:spacing w:line="220" w:lineRule="atLeast"/>
      <w:ind w:left="1152" w:hanging="288"/>
    </w:pPr>
    <w:rPr>
      <w:rFonts w:ascii="Times New Roman" w:hAnsi="Times New Roman"/>
      <w:sz w:val="24"/>
      <w:szCs w:val="20"/>
      <w:lang w:val="bg-BG" w:eastAsia="bg-BG"/>
    </w:rPr>
  </w:style>
  <w:style w:type="paragraph" w:customStyle="1" w:styleId="c6">
    <w:name w:val="c6"/>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p28">
    <w:name w:val="p28"/>
    <w:basedOn w:val="Normal"/>
    <w:rsid w:val="009C13A9"/>
    <w:pPr>
      <w:tabs>
        <w:tab w:val="left" w:pos="720"/>
      </w:tabs>
      <w:suppressAutoHyphens/>
      <w:spacing w:line="220" w:lineRule="atLeast"/>
    </w:pPr>
    <w:rPr>
      <w:rFonts w:ascii="Times New Roman" w:hAnsi="Times New Roman"/>
      <w:sz w:val="24"/>
      <w:szCs w:val="20"/>
      <w:lang w:val="bg-BG" w:eastAsia="bg-BG"/>
    </w:rPr>
  </w:style>
  <w:style w:type="paragraph" w:customStyle="1" w:styleId="c56">
    <w:name w:val="c56"/>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c66">
    <w:name w:val="c66"/>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p52">
    <w:name w:val="p52"/>
    <w:basedOn w:val="Normal"/>
    <w:rsid w:val="009C13A9"/>
    <w:pPr>
      <w:tabs>
        <w:tab w:val="left" w:pos="720"/>
      </w:tabs>
      <w:suppressAutoHyphens/>
      <w:spacing w:line="220" w:lineRule="atLeast"/>
    </w:pPr>
    <w:rPr>
      <w:rFonts w:ascii="Times New Roman" w:hAnsi="Times New Roman"/>
      <w:sz w:val="24"/>
      <w:szCs w:val="20"/>
      <w:lang w:val="bg-BG" w:eastAsia="bg-BG"/>
    </w:rPr>
  </w:style>
  <w:style w:type="paragraph" w:customStyle="1" w:styleId="c62">
    <w:name w:val="c62"/>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c84">
    <w:name w:val="c84"/>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p1">
    <w:name w:val="p1"/>
    <w:basedOn w:val="Normal"/>
    <w:rsid w:val="009C13A9"/>
    <w:pPr>
      <w:tabs>
        <w:tab w:val="left" w:pos="280"/>
      </w:tabs>
      <w:suppressAutoHyphens/>
      <w:spacing w:line="220" w:lineRule="atLeast"/>
      <w:ind w:left="1440" w:firstLine="288"/>
    </w:pPr>
    <w:rPr>
      <w:rFonts w:ascii="Times New Roman" w:hAnsi="Times New Roman"/>
      <w:sz w:val="24"/>
      <w:szCs w:val="20"/>
      <w:lang w:val="bg-BG" w:eastAsia="bg-BG"/>
    </w:rPr>
  </w:style>
  <w:style w:type="paragraph" w:customStyle="1" w:styleId="p2">
    <w:name w:val="p2"/>
    <w:basedOn w:val="Normal"/>
    <w:rsid w:val="009C13A9"/>
    <w:pPr>
      <w:tabs>
        <w:tab w:val="left" w:pos="1700"/>
      </w:tabs>
      <w:suppressAutoHyphens/>
      <w:spacing w:line="340" w:lineRule="atLeast"/>
      <w:ind w:left="288" w:hanging="1728"/>
    </w:pPr>
    <w:rPr>
      <w:rFonts w:ascii="Times New Roman" w:hAnsi="Times New Roman"/>
      <w:sz w:val="24"/>
      <w:szCs w:val="20"/>
      <w:lang w:val="bg-BG" w:eastAsia="bg-BG"/>
    </w:rPr>
  </w:style>
  <w:style w:type="paragraph" w:customStyle="1" w:styleId="VO-Textohne">
    <w:name w:val="VO-Text ohne"/>
    <w:basedOn w:val="Normal"/>
    <w:rsid w:val="009C13A9"/>
    <w:pPr>
      <w:suppressAutoHyphens/>
      <w:spacing w:before="120"/>
    </w:pPr>
    <w:rPr>
      <w:bCs/>
      <w:szCs w:val="20"/>
      <w:lang w:val="bg-BG" w:eastAsia="bg-BG"/>
    </w:rPr>
  </w:style>
  <w:style w:type="paragraph" w:customStyle="1" w:styleId="Commentaire2">
    <w:name w:val="Commentaire2"/>
    <w:basedOn w:val="Normal"/>
    <w:rsid w:val="009C13A9"/>
    <w:pPr>
      <w:suppressAutoHyphens/>
    </w:pPr>
    <w:rPr>
      <w:szCs w:val="20"/>
      <w:lang w:val="bg-BG" w:eastAsia="bg-BG"/>
    </w:rPr>
  </w:style>
  <w:style w:type="paragraph" w:customStyle="1" w:styleId="VO-Text-AbsnachNr">
    <w:name w:val="VO-Text-Abs nach Nr"/>
    <w:basedOn w:val="Normal"/>
    <w:rsid w:val="009C13A9"/>
    <w:pPr>
      <w:tabs>
        <w:tab w:val="left" w:pos="992"/>
        <w:tab w:val="left" w:pos="1418"/>
      </w:tabs>
      <w:suppressAutoHyphens/>
      <w:spacing w:before="120"/>
      <w:ind w:left="992" w:hanging="567"/>
    </w:pPr>
    <w:rPr>
      <w:b/>
      <w:bCs/>
      <w:lang w:val="bg-BG" w:eastAsia="bg-BG"/>
    </w:rPr>
  </w:style>
  <w:style w:type="paragraph" w:customStyle="1" w:styleId="VO-TextEinzug">
    <w:name w:val="VO-Text Einzug"/>
    <w:basedOn w:val="VO-Text-AbsnachNr"/>
    <w:rsid w:val="009C13A9"/>
    <w:pPr>
      <w:ind w:firstLine="0"/>
    </w:pPr>
  </w:style>
  <w:style w:type="paragraph" w:customStyle="1" w:styleId="TNR1Tab">
    <w:name w:val="TNR1Tab"/>
    <w:basedOn w:val="TNR1"/>
    <w:rsid w:val="009C13A9"/>
    <w:pPr>
      <w:widowControl w:val="0"/>
      <w:tabs>
        <w:tab w:val="clear" w:pos="907"/>
        <w:tab w:val="left" w:pos="1021"/>
      </w:tabs>
      <w:suppressAutoHyphens/>
      <w:overflowPunct/>
      <w:adjustRightInd/>
      <w:spacing w:line="240" w:lineRule="exact"/>
      <w:ind w:left="284" w:right="57"/>
      <w:textAlignment w:val="auto"/>
    </w:pPr>
    <w:rPr>
      <w:sz w:val="20"/>
      <w:lang w:val="bg-BG" w:eastAsia="bg-BG"/>
    </w:rPr>
  </w:style>
  <w:style w:type="paragraph" w:customStyle="1" w:styleId="TNRATab">
    <w:name w:val="TNRATab"/>
    <w:basedOn w:val="TNR1Tab"/>
    <w:rsid w:val="009C13A9"/>
    <w:pPr>
      <w:tabs>
        <w:tab w:val="left" w:pos="568"/>
      </w:tabs>
      <w:ind w:left="568" w:hanging="283"/>
    </w:pPr>
  </w:style>
  <w:style w:type="paragraph" w:customStyle="1" w:styleId="Corpsdetexte21">
    <w:name w:val="Corps de texte 21"/>
    <w:basedOn w:val="Normal"/>
    <w:rsid w:val="009C13A9"/>
    <w:pPr>
      <w:widowControl w:val="0"/>
      <w:tabs>
        <w:tab w:val="left" w:pos="851"/>
      </w:tabs>
      <w:suppressAutoHyphens/>
      <w:overflowPunct w:val="0"/>
      <w:ind w:left="365"/>
      <w:textAlignment w:val="baseline"/>
    </w:pPr>
    <w:rPr>
      <w:rFonts w:ascii="CG Times (W1)" w:hAnsi="CG Times (W1)"/>
      <w:sz w:val="24"/>
      <w:szCs w:val="20"/>
      <w:lang w:val="bg-BG" w:eastAsia="bg-BG"/>
    </w:rPr>
  </w:style>
  <w:style w:type="paragraph" w:customStyle="1" w:styleId="Retraitcorpsdetexte31">
    <w:name w:val="Retrait corps de texte 31"/>
    <w:basedOn w:val="Normal"/>
    <w:rsid w:val="009C13A9"/>
    <w:pPr>
      <w:suppressAutoHyphens/>
      <w:spacing w:after="120" w:line="360" w:lineRule="auto"/>
      <w:ind w:left="283"/>
    </w:pPr>
    <w:rPr>
      <w:rFonts w:ascii="Times New Roman" w:hAnsi="Times New Roman"/>
      <w:sz w:val="16"/>
      <w:szCs w:val="16"/>
      <w:lang w:val="bg-BG" w:eastAsia="bg-BG"/>
    </w:rPr>
  </w:style>
  <w:style w:type="paragraph" w:customStyle="1" w:styleId="u1">
    <w:name w:val="u1"/>
    <w:basedOn w:val="Normal"/>
    <w:rsid w:val="009C13A9"/>
    <w:pPr>
      <w:keepNext/>
      <w:keepLines/>
      <w:tabs>
        <w:tab w:val="left" w:pos="851"/>
        <w:tab w:val="left" w:pos="1134"/>
        <w:tab w:val="left" w:pos="1418"/>
      </w:tabs>
      <w:suppressAutoHyphens/>
      <w:spacing w:before="720" w:line="240" w:lineRule="atLeast"/>
      <w:ind w:left="851" w:hanging="851"/>
    </w:pPr>
    <w:rPr>
      <w:rFonts w:ascii="Times New Roman" w:hAnsi="Times New Roman"/>
      <w:b/>
      <w:sz w:val="24"/>
      <w:szCs w:val="20"/>
      <w:lang w:val="bg-BG" w:eastAsia="bg-BG"/>
    </w:rPr>
  </w:style>
  <w:style w:type="paragraph" w:customStyle="1" w:styleId="u2">
    <w:name w:val="u2"/>
    <w:basedOn w:val="Normal"/>
    <w:rsid w:val="009C13A9"/>
    <w:pPr>
      <w:keepNext/>
      <w:keepLines/>
      <w:tabs>
        <w:tab w:val="left" w:pos="851"/>
        <w:tab w:val="left" w:pos="1134"/>
        <w:tab w:val="left" w:pos="1418"/>
      </w:tabs>
      <w:suppressAutoHyphens/>
      <w:spacing w:before="240" w:line="240" w:lineRule="atLeast"/>
      <w:ind w:left="851" w:hanging="851"/>
    </w:pPr>
    <w:rPr>
      <w:rFonts w:ascii="Times New Roman" w:hAnsi="Times New Roman"/>
      <w:b/>
      <w:sz w:val="24"/>
      <w:szCs w:val="20"/>
      <w:lang w:val="bg-BG" w:eastAsia="bg-BG"/>
    </w:rPr>
  </w:style>
  <w:style w:type="paragraph" w:customStyle="1" w:styleId="Retraitcorpsdetexte23">
    <w:name w:val="Retrait corps de texte 23"/>
    <w:basedOn w:val="Normal"/>
    <w:rsid w:val="009C13A9"/>
    <w:pPr>
      <w:widowControl w:val="0"/>
      <w:tabs>
        <w:tab w:val="left" w:pos="284"/>
      </w:tabs>
      <w:suppressAutoHyphens/>
      <w:ind w:left="284" w:hanging="284"/>
    </w:pPr>
    <w:rPr>
      <w:rFonts w:ascii="Times New Roman" w:hAnsi="Times New Roman"/>
      <w:i/>
      <w:sz w:val="24"/>
      <w:szCs w:val="20"/>
      <w:lang w:val="bg-BG" w:eastAsia="bg-BG"/>
    </w:rPr>
  </w:style>
  <w:style w:type="paragraph" w:customStyle="1" w:styleId="Formatvorlage1">
    <w:name w:val="Formatvorlage1"/>
    <w:basedOn w:val="Normal"/>
    <w:rsid w:val="009C13A9"/>
    <w:pPr>
      <w:tabs>
        <w:tab w:val="left" w:pos="851"/>
      </w:tabs>
      <w:suppressAutoHyphens/>
      <w:overflowPunct w:val="0"/>
      <w:spacing w:before="120"/>
      <w:ind w:left="850"/>
      <w:textAlignment w:val="baseline"/>
    </w:pPr>
    <w:rPr>
      <w:bCs/>
      <w:iCs/>
      <w:szCs w:val="20"/>
      <w:lang w:eastAsia="bg-BG"/>
    </w:rPr>
  </w:style>
  <w:style w:type="paragraph" w:customStyle="1" w:styleId="Corpsdetexte31">
    <w:name w:val="Corps de texte 31"/>
    <w:basedOn w:val="Normal"/>
    <w:rsid w:val="009C13A9"/>
    <w:pPr>
      <w:suppressAutoHyphens/>
      <w:overflowPunct w:val="0"/>
      <w:spacing w:before="40" w:after="40"/>
      <w:textAlignment w:val="baseline"/>
    </w:pPr>
    <w:rPr>
      <w:szCs w:val="20"/>
      <w:lang w:val="bg-BG" w:eastAsia="bg-BG"/>
    </w:rPr>
  </w:style>
  <w:style w:type="paragraph" w:customStyle="1" w:styleId="Grundtext">
    <w:name w:val="Grundtext"/>
    <w:rsid w:val="009C13A9"/>
    <w:pPr>
      <w:tabs>
        <w:tab w:val="left" w:pos="720"/>
        <w:tab w:val="left" w:pos="1440"/>
        <w:tab w:val="left" w:pos="2160"/>
        <w:tab w:val="left" w:pos="2880"/>
        <w:tab w:val="left" w:pos="3600"/>
        <w:tab w:val="left" w:pos="4320"/>
        <w:tab w:val="left" w:pos="5040"/>
        <w:tab w:val="left" w:pos="5760"/>
      </w:tabs>
      <w:suppressAutoHyphens/>
      <w:spacing w:after="240" w:line="240" w:lineRule="atLeast"/>
    </w:pPr>
    <w:rPr>
      <w:rFonts w:ascii="Times New Roman" w:eastAsia="Arial" w:hAnsi="Times New Roman"/>
      <w:color w:val="000000"/>
      <w:sz w:val="24"/>
    </w:rPr>
  </w:style>
  <w:style w:type="paragraph" w:customStyle="1" w:styleId="Normalcentr1">
    <w:name w:val="Normal centré1"/>
    <w:basedOn w:val="Normal"/>
    <w:rsid w:val="009C13A9"/>
    <w:pPr>
      <w:suppressAutoHyphens/>
      <w:spacing w:before="60" w:after="60"/>
      <w:ind w:left="427" w:right="57" w:hanging="370"/>
    </w:pPr>
    <w:rPr>
      <w:szCs w:val="20"/>
      <w:lang w:val="bg-BG" w:eastAsia="bg-BG"/>
    </w:rPr>
  </w:style>
  <w:style w:type="paragraph" w:customStyle="1" w:styleId="BlockText2">
    <w:name w:val="Block Text2"/>
    <w:basedOn w:val="Normal"/>
    <w:rsid w:val="009C13A9"/>
    <w:pPr>
      <w:widowControl w:val="0"/>
      <w:tabs>
        <w:tab w:val="left" w:pos="648"/>
      </w:tabs>
      <w:suppressAutoHyphens/>
      <w:overflowPunct w:val="0"/>
      <w:ind w:left="709" w:right="142" w:hanging="567"/>
      <w:textAlignment w:val="baseline"/>
    </w:pPr>
    <w:rPr>
      <w:rFonts w:ascii="CG Times (W1)" w:hAnsi="CG Times (W1)"/>
      <w:sz w:val="24"/>
      <w:szCs w:val="20"/>
      <w:lang w:val="bg-BG" w:eastAsia="bg-BG"/>
    </w:rPr>
  </w:style>
  <w:style w:type="paragraph" w:customStyle="1" w:styleId="BlockText3">
    <w:name w:val="Block Text3"/>
    <w:basedOn w:val="Normal"/>
    <w:rsid w:val="009C13A9"/>
    <w:pPr>
      <w:widowControl w:val="0"/>
      <w:tabs>
        <w:tab w:val="left" w:pos="648"/>
      </w:tabs>
      <w:suppressAutoHyphens/>
      <w:overflowPunct w:val="0"/>
      <w:ind w:left="648" w:right="143" w:hanging="506"/>
      <w:textAlignment w:val="baseline"/>
    </w:pPr>
    <w:rPr>
      <w:rFonts w:ascii="CG Times (W1)" w:hAnsi="CG Times (W1)"/>
      <w:sz w:val="24"/>
      <w:szCs w:val="20"/>
      <w:lang w:val="bg-BG" w:eastAsia="bg-BG"/>
    </w:rPr>
  </w:style>
  <w:style w:type="paragraph" w:customStyle="1" w:styleId="BlockText1">
    <w:name w:val="Block Text1"/>
    <w:basedOn w:val="Normal"/>
    <w:rsid w:val="009C13A9"/>
    <w:pPr>
      <w:widowControl w:val="0"/>
      <w:tabs>
        <w:tab w:val="left" w:pos="720"/>
      </w:tabs>
      <w:suppressAutoHyphens/>
      <w:overflowPunct w:val="0"/>
      <w:ind w:left="360" w:right="143"/>
      <w:textAlignment w:val="baseline"/>
    </w:pPr>
    <w:rPr>
      <w:rFonts w:ascii="CG Times (W1)" w:hAnsi="CG Times (W1)"/>
      <w:sz w:val="24"/>
      <w:szCs w:val="20"/>
      <w:lang w:val="bg-BG" w:eastAsia="bg-BG"/>
    </w:rPr>
  </w:style>
  <w:style w:type="paragraph" w:customStyle="1" w:styleId="berschrift71">
    <w:name w:val="Überschrift 71"/>
    <w:basedOn w:val="Normal"/>
    <w:next w:val="Normal"/>
    <w:rsid w:val="009C13A9"/>
    <w:pPr>
      <w:keepNext/>
      <w:widowControl w:val="0"/>
      <w:suppressAutoHyphens/>
      <w:overflowPunct w:val="0"/>
      <w:ind w:left="81" w:right="143" w:firstLine="61"/>
      <w:jc w:val="center"/>
      <w:textAlignment w:val="baseline"/>
    </w:pPr>
    <w:rPr>
      <w:rFonts w:ascii="CG Times (W1)" w:hAnsi="CG Times (W1)"/>
      <w:b/>
      <w:sz w:val="24"/>
      <w:szCs w:val="20"/>
      <w:u w:val="single"/>
      <w:lang w:val="bg-BG" w:eastAsia="bg-BG"/>
    </w:rPr>
  </w:style>
  <w:style w:type="paragraph" w:customStyle="1" w:styleId="Corpsdetexte2">
    <w:name w:val="Corps de texte2"/>
    <w:basedOn w:val="Normal"/>
    <w:rsid w:val="009C13A9"/>
    <w:pPr>
      <w:widowControl w:val="0"/>
      <w:suppressAutoHyphens/>
      <w:overflowPunct w:val="0"/>
      <w:spacing w:line="340" w:lineRule="atLeast"/>
      <w:textAlignment w:val="baseline"/>
    </w:pPr>
    <w:rPr>
      <w:rFonts w:ascii="Times New Roman" w:hAnsi="Times New Roman"/>
      <w:sz w:val="24"/>
      <w:szCs w:val="20"/>
      <w:lang w:val="bg-BG" w:eastAsia="bg-BG"/>
    </w:rPr>
  </w:style>
  <w:style w:type="paragraph" w:customStyle="1" w:styleId="Pres1">
    <w:name w:val="P_res1"/>
    <w:basedOn w:val="TNR1"/>
    <w:rsid w:val="009C13A9"/>
    <w:pPr>
      <w:tabs>
        <w:tab w:val="clear" w:pos="907"/>
        <w:tab w:val="left" w:pos="851"/>
        <w:tab w:val="left" w:pos="1021"/>
      </w:tabs>
      <w:suppressAutoHyphens/>
      <w:overflowPunct/>
      <w:adjustRightInd/>
      <w:spacing w:after="80"/>
      <w:ind w:left="851" w:hanging="425"/>
      <w:textAlignment w:val="auto"/>
    </w:pPr>
    <w:rPr>
      <w:lang w:val="bg-BG" w:eastAsia="bg-BG"/>
    </w:rPr>
  </w:style>
  <w:style w:type="paragraph" w:customStyle="1" w:styleId="Presa">
    <w:name w:val="P_res_a"/>
    <w:basedOn w:val="TNRA"/>
    <w:rsid w:val="009C13A9"/>
    <w:pPr>
      <w:tabs>
        <w:tab w:val="clear" w:pos="907"/>
        <w:tab w:val="left" w:pos="1021"/>
        <w:tab w:val="left" w:pos="1276"/>
      </w:tabs>
      <w:suppressAutoHyphens/>
      <w:adjustRightInd/>
      <w:spacing w:after="80" w:line="240" w:lineRule="exact"/>
      <w:ind w:left="1276" w:hanging="425"/>
    </w:pPr>
    <w:rPr>
      <w:lang w:val="bg-BG" w:eastAsia="bg-BG"/>
    </w:rPr>
  </w:style>
  <w:style w:type="paragraph" w:customStyle="1" w:styleId="Prestiret">
    <w:name w:val="P_res_tiret"/>
    <w:basedOn w:val="TNRA"/>
    <w:rsid w:val="009C13A9"/>
    <w:pPr>
      <w:tabs>
        <w:tab w:val="clear" w:pos="907"/>
        <w:tab w:val="left" w:pos="1021"/>
        <w:tab w:val="left" w:pos="1560"/>
      </w:tabs>
      <w:suppressAutoHyphens/>
      <w:adjustRightInd/>
      <w:spacing w:line="240" w:lineRule="exact"/>
      <w:ind w:left="1560"/>
    </w:pPr>
    <w:rPr>
      <w:lang w:val="bg-BG" w:eastAsia="bg-BG"/>
    </w:rPr>
  </w:style>
  <w:style w:type="paragraph" w:customStyle="1" w:styleId="Corpsdetexte1">
    <w:name w:val="Corps de texte1"/>
    <w:basedOn w:val="Normal"/>
    <w:rsid w:val="009C13A9"/>
    <w:pPr>
      <w:widowControl w:val="0"/>
      <w:suppressAutoHyphens/>
      <w:overflowPunct w:val="0"/>
      <w:spacing w:line="340" w:lineRule="atLeast"/>
      <w:textAlignment w:val="baseline"/>
    </w:pPr>
    <w:rPr>
      <w:rFonts w:ascii="Times New Roman" w:hAnsi="Times New Roman"/>
      <w:sz w:val="24"/>
      <w:szCs w:val="20"/>
      <w:lang w:val="bg-BG" w:eastAsia="bg-BG"/>
    </w:rPr>
  </w:style>
  <w:style w:type="paragraph" w:customStyle="1" w:styleId="Sty1">
    <w:name w:val="Sty_1"/>
    <w:basedOn w:val="BodyText"/>
    <w:rsid w:val="009C13A9"/>
    <w:pPr>
      <w:keepNext w:val="0"/>
      <w:tabs>
        <w:tab w:val="clear" w:pos="709"/>
        <w:tab w:val="left" w:pos="567"/>
      </w:tabs>
      <w:suppressAutoHyphens/>
      <w:autoSpaceDE w:val="0"/>
      <w:spacing w:line="240" w:lineRule="auto"/>
      <w:ind w:left="567" w:hanging="567"/>
      <w:jc w:val="both"/>
    </w:pPr>
    <w:rPr>
      <w:rFonts w:cs="Arial"/>
      <w:lang w:val="bg-BG"/>
    </w:rPr>
  </w:style>
  <w:style w:type="paragraph" w:customStyle="1" w:styleId="Standard1">
    <w:name w:val="Standard1"/>
    <w:rsid w:val="009C13A9"/>
    <w:pPr>
      <w:widowControl w:val="0"/>
      <w:suppressAutoHyphens/>
      <w:overflowPunct w:val="0"/>
      <w:autoSpaceDE w:val="0"/>
      <w:jc w:val="both"/>
      <w:textAlignment w:val="baseline"/>
    </w:pPr>
    <w:rPr>
      <w:rFonts w:ascii="CG Times (W1)" w:eastAsia="Arial" w:hAnsi="CG Times (W1)"/>
      <w:sz w:val="24"/>
    </w:rPr>
  </w:style>
  <w:style w:type="paragraph" w:customStyle="1" w:styleId="Kopfzeile1">
    <w:name w:val="Kopfzeile1"/>
    <w:basedOn w:val="Standard1"/>
    <w:rsid w:val="009C13A9"/>
    <w:pPr>
      <w:tabs>
        <w:tab w:val="center" w:pos="4819"/>
        <w:tab w:val="right" w:pos="9071"/>
      </w:tabs>
    </w:pPr>
  </w:style>
  <w:style w:type="paragraph" w:customStyle="1" w:styleId="BodyTextIndent21">
    <w:name w:val="Body Text Indent 21"/>
    <w:basedOn w:val="Normal"/>
    <w:rsid w:val="009C13A9"/>
    <w:pPr>
      <w:widowControl w:val="0"/>
      <w:tabs>
        <w:tab w:val="left" w:pos="426"/>
      </w:tabs>
      <w:suppressAutoHyphens/>
      <w:spacing w:line="240" w:lineRule="atLeast"/>
      <w:ind w:left="426" w:hanging="426"/>
    </w:pPr>
    <w:rPr>
      <w:szCs w:val="20"/>
      <w:lang w:val="bg-BG" w:eastAsia="bg-BG"/>
    </w:rPr>
  </w:style>
  <w:style w:type="paragraph" w:customStyle="1" w:styleId="FreytagText">
    <w:name w:val="FreytagText"/>
    <w:basedOn w:val="Normal"/>
    <w:rsid w:val="009C13A9"/>
    <w:pPr>
      <w:tabs>
        <w:tab w:val="left" w:pos="709"/>
        <w:tab w:val="left" w:pos="1134"/>
        <w:tab w:val="left" w:pos="1559"/>
        <w:tab w:val="left" w:pos="2126"/>
        <w:tab w:val="left" w:pos="2835"/>
        <w:tab w:val="left" w:pos="3544"/>
        <w:tab w:val="left" w:pos="4253"/>
        <w:tab w:val="left" w:pos="4961"/>
        <w:tab w:val="left" w:pos="5670"/>
        <w:tab w:val="left" w:pos="6379"/>
        <w:tab w:val="left" w:pos="7088"/>
      </w:tabs>
      <w:suppressAutoHyphens/>
      <w:spacing w:line="360" w:lineRule="auto"/>
    </w:pPr>
    <w:rPr>
      <w:spacing w:val="8"/>
      <w:szCs w:val="20"/>
      <w:lang w:val="bg-BG" w:eastAsia="bg-BG"/>
    </w:rPr>
  </w:style>
  <w:style w:type="paragraph" w:customStyle="1" w:styleId="Rad11">
    <w:name w:val="Rad1.1"/>
    <w:basedOn w:val="Normal"/>
    <w:rsid w:val="009C13A9"/>
    <w:pPr>
      <w:tabs>
        <w:tab w:val="left" w:pos="284"/>
        <w:tab w:val="left" w:pos="454"/>
        <w:tab w:val="left" w:pos="709"/>
      </w:tabs>
      <w:suppressAutoHyphens/>
      <w:spacing w:line="240" w:lineRule="exact"/>
      <w:ind w:hanging="426"/>
    </w:pPr>
    <w:rPr>
      <w:rFonts w:ascii="Times New Roman" w:hAnsi="Times New Roman"/>
      <w:sz w:val="24"/>
      <w:szCs w:val="20"/>
      <w:lang w:eastAsia="bg-BG"/>
    </w:rPr>
  </w:style>
  <w:style w:type="paragraph" w:customStyle="1" w:styleId="Par1">
    <w:name w:val="Par_1"/>
    <w:basedOn w:val="Normal"/>
    <w:rsid w:val="009C13A9"/>
    <w:pPr>
      <w:tabs>
        <w:tab w:val="left" w:pos="482"/>
      </w:tabs>
      <w:suppressAutoHyphens/>
      <w:spacing w:before="40" w:after="40"/>
      <w:ind w:left="482" w:right="57"/>
    </w:pPr>
    <w:rPr>
      <w:szCs w:val="20"/>
      <w:lang w:val="bg-BG" w:eastAsia="bg-BG"/>
    </w:rPr>
  </w:style>
  <w:style w:type="paragraph" w:customStyle="1" w:styleId="t62">
    <w:name w:val="t62"/>
    <w:basedOn w:val="Normal"/>
    <w:rsid w:val="009C13A9"/>
    <w:pPr>
      <w:suppressAutoHyphens/>
      <w:spacing w:line="240" w:lineRule="atLeast"/>
    </w:pPr>
    <w:rPr>
      <w:rFonts w:ascii="Times New Roman" w:hAnsi="Times New Roman"/>
      <w:sz w:val="24"/>
      <w:szCs w:val="20"/>
      <w:lang w:val="bg-BG" w:eastAsia="bg-BG"/>
    </w:rPr>
  </w:style>
  <w:style w:type="paragraph" w:customStyle="1" w:styleId="p17">
    <w:name w:val="p17"/>
    <w:basedOn w:val="Normal"/>
    <w:rsid w:val="009C13A9"/>
    <w:pPr>
      <w:tabs>
        <w:tab w:val="left" w:pos="280"/>
      </w:tabs>
      <w:suppressAutoHyphens/>
      <w:spacing w:line="200" w:lineRule="atLeast"/>
      <w:ind w:left="1440" w:firstLine="288"/>
    </w:pPr>
    <w:rPr>
      <w:rFonts w:ascii="Times New Roman" w:hAnsi="Times New Roman"/>
      <w:sz w:val="24"/>
      <w:szCs w:val="20"/>
      <w:lang w:val="bg-BG" w:eastAsia="bg-BG"/>
    </w:rPr>
  </w:style>
  <w:style w:type="paragraph" w:customStyle="1" w:styleId="p67">
    <w:name w:val="p67"/>
    <w:basedOn w:val="Normal"/>
    <w:rsid w:val="009C13A9"/>
    <w:pPr>
      <w:tabs>
        <w:tab w:val="left" w:pos="660"/>
      </w:tabs>
      <w:suppressAutoHyphens/>
      <w:spacing w:line="200" w:lineRule="atLeast"/>
      <w:ind w:left="780"/>
    </w:pPr>
    <w:rPr>
      <w:rFonts w:ascii="Times New Roman" w:hAnsi="Times New Roman"/>
      <w:sz w:val="24"/>
      <w:szCs w:val="20"/>
      <w:lang w:val="bg-BG" w:eastAsia="bg-BG"/>
    </w:rPr>
  </w:style>
  <w:style w:type="paragraph" w:customStyle="1" w:styleId="ai">
    <w:name w:val="ai"/>
    <w:basedOn w:val="Normal"/>
    <w:rsid w:val="009C13A9"/>
    <w:pPr>
      <w:tabs>
        <w:tab w:val="left" w:pos="425"/>
      </w:tabs>
      <w:suppressAutoHyphens/>
      <w:spacing w:line="240" w:lineRule="atLeast"/>
    </w:pPr>
    <w:rPr>
      <w:rFonts w:cs="Arial"/>
      <w:bCs/>
      <w:i/>
      <w:lang w:val="bg-BG" w:eastAsia="bg-BG"/>
    </w:rPr>
  </w:style>
  <w:style w:type="paragraph" w:customStyle="1" w:styleId="aai">
    <w:name w:val="aai"/>
    <w:basedOn w:val="Normal"/>
    <w:rsid w:val="009C13A9"/>
    <w:pPr>
      <w:tabs>
        <w:tab w:val="left" w:pos="851"/>
      </w:tabs>
      <w:suppressAutoHyphens/>
      <w:spacing w:line="240" w:lineRule="atLeast"/>
      <w:ind w:left="850"/>
    </w:pPr>
    <w:rPr>
      <w:rFonts w:cs="Arial"/>
      <w:bCs/>
      <w:i/>
      <w:lang w:val="bg-BG" w:eastAsia="bg-BG"/>
    </w:rPr>
  </w:style>
  <w:style w:type="paragraph" w:customStyle="1" w:styleId="achi">
    <w:name w:val="achi"/>
    <w:basedOn w:val="aa"/>
    <w:rsid w:val="009C13A9"/>
    <w:pPr>
      <w:widowControl w:val="0"/>
      <w:tabs>
        <w:tab w:val="clear" w:pos="425"/>
        <w:tab w:val="clear" w:pos="851"/>
        <w:tab w:val="clear" w:pos="1701"/>
        <w:tab w:val="clear" w:pos="2126"/>
        <w:tab w:val="left" w:pos="284"/>
        <w:tab w:val="left" w:pos="454"/>
        <w:tab w:val="left" w:pos="680"/>
        <w:tab w:val="left" w:pos="1021"/>
        <w:tab w:val="left" w:pos="1559"/>
      </w:tabs>
      <w:suppressAutoHyphens/>
      <w:adjustRightInd/>
      <w:spacing w:before="0"/>
      <w:ind w:left="1560" w:hanging="709"/>
    </w:pPr>
    <w:rPr>
      <w:szCs w:val="20"/>
      <w:lang w:val="bg-BG" w:eastAsia="bg-BG"/>
    </w:rPr>
  </w:style>
  <w:style w:type="paragraph" w:customStyle="1" w:styleId="xl39">
    <w:name w:val="xl39"/>
    <w:basedOn w:val="Normal"/>
    <w:rsid w:val="009C13A9"/>
    <w:pPr>
      <w:suppressAutoHyphens/>
      <w:spacing w:before="100" w:after="100"/>
      <w:jc w:val="center"/>
    </w:pPr>
    <w:rPr>
      <w:rFonts w:cs="Arial"/>
      <w:b/>
      <w:bCs/>
      <w:sz w:val="24"/>
      <w:lang w:eastAsia="bg-BG"/>
    </w:rPr>
  </w:style>
  <w:style w:type="paragraph" w:customStyle="1" w:styleId="Textedebulles1">
    <w:name w:val="Texte de bulles1"/>
    <w:basedOn w:val="Normal"/>
    <w:rsid w:val="009C13A9"/>
    <w:pPr>
      <w:suppressAutoHyphens/>
      <w:overflowPunct w:val="0"/>
      <w:textAlignment w:val="baseline"/>
    </w:pPr>
    <w:rPr>
      <w:rFonts w:ascii="Times New Roman" w:hAnsi="Times New Roman"/>
      <w:sz w:val="16"/>
      <w:szCs w:val="16"/>
      <w:lang w:eastAsia="bg-BG"/>
    </w:rPr>
  </w:style>
  <w:style w:type="paragraph" w:customStyle="1" w:styleId="Text10">
    <w:name w:val="Text1"/>
    <w:basedOn w:val="Normal"/>
    <w:rsid w:val="009C13A9"/>
    <w:pPr>
      <w:suppressAutoHyphens/>
      <w:spacing w:after="120" w:line="360" w:lineRule="auto"/>
    </w:pPr>
    <w:rPr>
      <w:rFonts w:ascii="Arial Narrow" w:hAnsi="Arial Narrow"/>
      <w:lang w:val="bg-BG" w:eastAsia="bg-BG"/>
    </w:rPr>
  </w:style>
  <w:style w:type="paragraph" w:customStyle="1" w:styleId="Default">
    <w:name w:val="Default"/>
    <w:rsid w:val="009C13A9"/>
    <w:pPr>
      <w:widowControl w:val="0"/>
      <w:suppressAutoHyphens/>
      <w:autoSpaceDE w:val="0"/>
    </w:pPr>
    <w:rPr>
      <w:rFonts w:ascii="EU Albertina" w:eastAsia="Arial" w:hAnsi="EU Albertina" w:cs="EU Albertina"/>
      <w:color w:val="000000"/>
      <w:sz w:val="24"/>
      <w:szCs w:val="24"/>
    </w:rPr>
  </w:style>
  <w:style w:type="paragraph" w:customStyle="1" w:styleId="CM204">
    <w:name w:val="CM204"/>
    <w:basedOn w:val="Default"/>
    <w:next w:val="Default"/>
    <w:rsid w:val="009C13A9"/>
    <w:pPr>
      <w:spacing w:after="173"/>
    </w:pPr>
    <w:rPr>
      <w:color w:val="auto"/>
    </w:rPr>
  </w:style>
  <w:style w:type="paragraph" w:customStyle="1" w:styleId="CM202">
    <w:name w:val="CM202"/>
    <w:basedOn w:val="Default"/>
    <w:next w:val="Default"/>
    <w:rsid w:val="009C13A9"/>
    <w:pPr>
      <w:spacing w:after="298"/>
    </w:pPr>
    <w:rPr>
      <w:color w:val="auto"/>
    </w:rPr>
  </w:style>
  <w:style w:type="paragraph" w:customStyle="1" w:styleId="CM209">
    <w:name w:val="CM209"/>
    <w:basedOn w:val="Normal"/>
    <w:next w:val="Normal"/>
    <w:rsid w:val="009C13A9"/>
    <w:pPr>
      <w:widowControl w:val="0"/>
      <w:suppressAutoHyphens/>
      <w:spacing w:after="513"/>
    </w:pPr>
    <w:rPr>
      <w:rFonts w:ascii="EU Albertina" w:hAnsi="EU Albertina"/>
      <w:sz w:val="24"/>
      <w:lang w:val="bg-BG" w:eastAsia="bg-BG"/>
    </w:rPr>
  </w:style>
  <w:style w:type="paragraph" w:customStyle="1" w:styleId="CM208">
    <w:name w:val="CM208"/>
    <w:basedOn w:val="Default"/>
    <w:next w:val="Default"/>
    <w:rsid w:val="009C13A9"/>
    <w:pPr>
      <w:spacing w:after="240"/>
    </w:pPr>
    <w:rPr>
      <w:color w:val="auto"/>
    </w:rPr>
  </w:style>
  <w:style w:type="paragraph" w:customStyle="1" w:styleId="CM62">
    <w:name w:val="CM62"/>
    <w:basedOn w:val="Default"/>
    <w:next w:val="Default"/>
    <w:rsid w:val="009C13A9"/>
    <w:pPr>
      <w:spacing w:line="188" w:lineRule="atLeast"/>
    </w:pPr>
    <w:rPr>
      <w:color w:val="auto"/>
    </w:rPr>
  </w:style>
  <w:style w:type="paragraph" w:customStyle="1" w:styleId="CM215">
    <w:name w:val="CM215"/>
    <w:basedOn w:val="Default"/>
    <w:next w:val="Default"/>
    <w:rsid w:val="009C13A9"/>
    <w:pPr>
      <w:spacing w:after="613"/>
    </w:pPr>
    <w:rPr>
      <w:color w:val="auto"/>
    </w:rPr>
  </w:style>
  <w:style w:type="paragraph" w:customStyle="1" w:styleId="Formatvorlageberschrift212ptNichtKursivLinks0cmErsteZeil">
    <w:name w:val="Formatvorlage Überschrift 2 + 12 pt Nicht Kursiv Links:  0 cm Erste Zeil..."/>
    <w:basedOn w:val="Heading2"/>
    <w:rsid w:val="009C13A9"/>
    <w:pPr>
      <w:numPr>
        <w:ilvl w:val="0"/>
        <w:numId w:val="0"/>
      </w:numPr>
      <w:tabs>
        <w:tab w:val="left" w:pos="720"/>
      </w:tabs>
      <w:suppressAutoHyphens/>
      <w:spacing w:before="240" w:after="120"/>
      <w:ind w:left="720" w:hanging="720"/>
    </w:pPr>
    <w:rPr>
      <w:rFonts w:ascii="Arial" w:hAnsi="Arial"/>
      <w:i w:val="0"/>
      <w:iCs w:val="0"/>
      <w:sz w:val="24"/>
      <w:szCs w:val="20"/>
      <w:lang w:val="bg-BG" w:eastAsia="bg-BG"/>
    </w:rPr>
  </w:style>
  <w:style w:type="paragraph" w:customStyle="1" w:styleId="Bo1">
    <w:name w:val="Bo1"/>
    <w:basedOn w:val="Normal"/>
    <w:rsid w:val="009C13A9"/>
    <w:pPr>
      <w:suppressAutoHyphens/>
      <w:spacing w:line="240" w:lineRule="atLeast"/>
      <w:ind w:left="1134" w:hanging="709"/>
    </w:pPr>
    <w:rPr>
      <w:rFonts w:ascii="Times New Roman" w:hAnsi="Times New Roman"/>
      <w:b/>
      <w:lang w:val="bg-BG" w:eastAsia="bg-BG"/>
    </w:rPr>
  </w:style>
  <w:style w:type="paragraph" w:customStyle="1" w:styleId="Bo11">
    <w:name w:val="Bo1_1"/>
    <w:basedOn w:val="Normal"/>
    <w:rsid w:val="009C13A9"/>
    <w:pPr>
      <w:tabs>
        <w:tab w:val="left" w:pos="1134"/>
      </w:tabs>
      <w:suppressAutoHyphens/>
      <w:overflowPunct w:val="0"/>
      <w:spacing w:line="240" w:lineRule="atLeast"/>
      <w:ind w:left="1134" w:hanging="709"/>
      <w:textAlignment w:val="baseline"/>
    </w:pPr>
    <w:rPr>
      <w:rFonts w:ascii="Times New Roman" w:hAnsi="Times New Roman"/>
      <w:sz w:val="24"/>
      <w:lang w:val="bg-BG" w:eastAsia="bg-BG"/>
    </w:rPr>
  </w:style>
  <w:style w:type="paragraph" w:customStyle="1" w:styleId="RetraitPremireligne">
    <w:name w:val="Retrait_Première_ligne"/>
    <w:basedOn w:val="Normal"/>
    <w:rsid w:val="009C13A9"/>
    <w:pPr>
      <w:suppressAutoHyphens/>
      <w:spacing w:line="240" w:lineRule="atLeast"/>
      <w:ind w:firstLine="425"/>
    </w:pPr>
    <w:rPr>
      <w:rFonts w:cs="Arial"/>
      <w:szCs w:val="20"/>
      <w:lang w:eastAsia="bg-BG"/>
    </w:rPr>
  </w:style>
  <w:style w:type="paragraph" w:customStyle="1" w:styleId="Textebrut1">
    <w:name w:val="Texte brut1"/>
    <w:basedOn w:val="Normal"/>
    <w:rsid w:val="009C13A9"/>
    <w:pPr>
      <w:suppressAutoHyphens/>
    </w:pPr>
    <w:rPr>
      <w:rFonts w:ascii="Consolas" w:hAnsi="Consolas"/>
      <w:sz w:val="21"/>
      <w:szCs w:val="21"/>
      <w:lang w:val="bg-BG" w:eastAsia="bg-BG"/>
    </w:rPr>
  </w:style>
  <w:style w:type="paragraph" w:customStyle="1" w:styleId="ED1">
    <w:name w:val="ED1"/>
    <w:basedOn w:val="Normal"/>
    <w:rsid w:val="009C13A9"/>
    <w:pPr>
      <w:suppressAutoHyphens/>
    </w:pPr>
    <w:rPr>
      <w:rFonts w:ascii="Times New Roman" w:hAnsi="Times New Roman"/>
      <w:sz w:val="24"/>
      <w:lang w:eastAsia="bg-BG"/>
    </w:rPr>
  </w:style>
  <w:style w:type="paragraph" w:customStyle="1" w:styleId="Commentaire1">
    <w:name w:val="Commentaire1"/>
    <w:basedOn w:val="Normal"/>
    <w:rsid w:val="009C13A9"/>
    <w:pPr>
      <w:suppressAutoHyphens/>
    </w:pPr>
    <w:rPr>
      <w:szCs w:val="20"/>
      <w:lang w:val="bg-BG" w:eastAsia="bg-BG"/>
    </w:rPr>
  </w:style>
  <w:style w:type="paragraph" w:customStyle="1" w:styleId="Contenudetableau">
    <w:name w:val="Contenu de tableau"/>
    <w:basedOn w:val="Normal"/>
    <w:rsid w:val="009C13A9"/>
    <w:pPr>
      <w:suppressLineNumbers/>
      <w:suppressAutoHyphens/>
    </w:pPr>
    <w:rPr>
      <w:rFonts w:ascii="Times New Roman" w:hAnsi="Times New Roman"/>
      <w:sz w:val="24"/>
      <w:lang w:val="bg-BG" w:eastAsia="bg-BG"/>
    </w:rPr>
  </w:style>
  <w:style w:type="paragraph" w:customStyle="1" w:styleId="Titredetableau">
    <w:name w:val="Titre de tableau"/>
    <w:basedOn w:val="Contenudetableau"/>
    <w:rsid w:val="009C13A9"/>
    <w:pPr>
      <w:jc w:val="center"/>
    </w:pPr>
    <w:rPr>
      <w:b/>
      <w:bCs/>
    </w:rPr>
  </w:style>
  <w:style w:type="numbering" w:customStyle="1" w:styleId="Aucuneliste111">
    <w:name w:val="Aucune liste111"/>
    <w:next w:val="NoList"/>
    <w:semiHidden/>
    <w:rsid w:val="009C13A9"/>
  </w:style>
  <w:style w:type="paragraph" w:styleId="DocumentMap">
    <w:name w:val="Document Map"/>
    <w:basedOn w:val="Normal"/>
    <w:link w:val="DocumentMapChar"/>
    <w:rsid w:val="009C13A9"/>
    <w:pPr>
      <w:shd w:val="clear" w:color="auto" w:fill="000080"/>
    </w:pPr>
    <w:rPr>
      <w:rFonts w:ascii="Tahoma" w:hAnsi="Tahoma"/>
      <w:szCs w:val="20"/>
    </w:rPr>
  </w:style>
  <w:style w:type="character" w:customStyle="1" w:styleId="DocumentMapChar">
    <w:name w:val="Document Map Char"/>
    <w:link w:val="DocumentMap"/>
    <w:rsid w:val="009C13A9"/>
    <w:rPr>
      <w:rFonts w:ascii="Tahoma" w:hAnsi="Tahoma"/>
      <w:shd w:val="clear" w:color="auto" w:fill="000080"/>
    </w:rPr>
  </w:style>
  <w:style w:type="numbering" w:customStyle="1" w:styleId="Aucuneliste2">
    <w:name w:val="Aucune liste2"/>
    <w:next w:val="NoList"/>
    <w:semiHidden/>
    <w:rsid w:val="009C13A9"/>
  </w:style>
  <w:style w:type="paragraph" w:customStyle="1" w:styleId="Sprechblasentext">
    <w:name w:val="Sprechblasentext"/>
    <w:basedOn w:val="Normal"/>
    <w:rsid w:val="009C13A9"/>
    <w:rPr>
      <w:rFonts w:ascii="Tahoma" w:hAnsi="Tahoma" w:cs="Tahoma"/>
      <w:snapToGrid w:val="0"/>
      <w:sz w:val="16"/>
      <w:szCs w:val="16"/>
      <w:lang w:val="bg-BG"/>
    </w:rPr>
  </w:style>
  <w:style w:type="paragraph" w:styleId="List2">
    <w:name w:val="List 2"/>
    <w:basedOn w:val="Normal"/>
    <w:rsid w:val="009C13A9"/>
    <w:pPr>
      <w:ind w:left="566" w:hanging="283"/>
    </w:pPr>
    <w:rPr>
      <w:rFonts w:ascii="Times New Roman" w:hAnsi="Times New Roman"/>
      <w:sz w:val="24"/>
    </w:rPr>
  </w:style>
  <w:style w:type="paragraph" w:styleId="List3">
    <w:name w:val="List 3"/>
    <w:basedOn w:val="Normal"/>
    <w:rsid w:val="009C13A9"/>
    <w:pPr>
      <w:ind w:left="849" w:hanging="283"/>
    </w:pPr>
    <w:rPr>
      <w:rFonts w:ascii="Times New Roman" w:hAnsi="Times New Roman"/>
      <w:sz w:val="24"/>
    </w:rPr>
  </w:style>
  <w:style w:type="paragraph" w:styleId="ListContinue2">
    <w:name w:val="List Continue 2"/>
    <w:basedOn w:val="Normal"/>
    <w:rsid w:val="009C13A9"/>
    <w:pPr>
      <w:spacing w:after="120"/>
      <w:ind w:left="566"/>
    </w:pPr>
    <w:rPr>
      <w:rFonts w:ascii="Times New Roman" w:hAnsi="Times New Roman"/>
      <w:sz w:val="24"/>
    </w:rPr>
  </w:style>
  <w:style w:type="table" w:customStyle="1" w:styleId="Grilledutableau111">
    <w:name w:val="Grille du tableau111"/>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rechblasentext1">
    <w:name w:val="Sprechblasentext1"/>
    <w:basedOn w:val="Normal"/>
    <w:semiHidden/>
    <w:rsid w:val="009C13A9"/>
    <w:rPr>
      <w:rFonts w:ascii="Tahoma" w:hAnsi="Tahoma"/>
      <w:sz w:val="16"/>
      <w:szCs w:val="16"/>
      <w:lang w:val="bg-BG" w:eastAsia="bg-BG"/>
    </w:rPr>
  </w:style>
  <w:style w:type="paragraph" w:customStyle="1" w:styleId="sprechblasentext0">
    <w:name w:val="sprechblasentext"/>
    <w:basedOn w:val="Normal"/>
    <w:rsid w:val="009C13A9"/>
    <w:pPr>
      <w:snapToGrid w:val="0"/>
    </w:pPr>
    <w:rPr>
      <w:rFonts w:ascii="Tahoma" w:hAnsi="Tahoma" w:cs="Tahoma"/>
      <w:sz w:val="16"/>
      <w:szCs w:val="16"/>
    </w:rPr>
  </w:style>
  <w:style w:type="character" w:customStyle="1" w:styleId="msoins1">
    <w:name w:val="msoins"/>
    <w:rsid w:val="009C13A9"/>
  </w:style>
  <w:style w:type="numbering" w:customStyle="1" w:styleId="Aucuneliste1111">
    <w:name w:val="Aucune liste1111"/>
    <w:next w:val="NoList"/>
    <w:semiHidden/>
    <w:rsid w:val="009C13A9"/>
  </w:style>
  <w:style w:type="paragraph" w:customStyle="1" w:styleId="Sprechblasentext2">
    <w:name w:val="Sprechblasentext2"/>
    <w:basedOn w:val="Normal"/>
    <w:rsid w:val="009C13A9"/>
    <w:rPr>
      <w:rFonts w:ascii="Times New Roman" w:hAnsi="Times New Roman"/>
      <w:sz w:val="16"/>
      <w:szCs w:val="16"/>
      <w:lang w:val="bg-BG"/>
    </w:rPr>
  </w:style>
  <w:style w:type="table" w:customStyle="1" w:styleId="Grilledutableau1111">
    <w:name w:val="Grille du tableau1111"/>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
    <w:name w:val="Style"/>
    <w:basedOn w:val="Normal"/>
    <w:next w:val="Normal"/>
    <w:rsid w:val="009C13A9"/>
    <w:pPr>
      <w:spacing w:after="160" w:line="240" w:lineRule="exact"/>
    </w:pPr>
    <w:rPr>
      <w:rFonts w:ascii="Times New Roman" w:hAnsi="Times New Roman"/>
      <w:snapToGrid w:val="0"/>
      <w:sz w:val="24"/>
      <w:lang w:val="bg-BG"/>
    </w:rPr>
  </w:style>
  <w:style w:type="numbering" w:customStyle="1" w:styleId="Aucuneliste3">
    <w:name w:val="Aucune liste3"/>
    <w:next w:val="NoList"/>
    <w:semiHidden/>
    <w:rsid w:val="009C13A9"/>
  </w:style>
  <w:style w:type="paragraph" w:customStyle="1" w:styleId="Normal1">
    <w:name w:val="Normal1"/>
    <w:basedOn w:val="Normal"/>
    <w:rsid w:val="009C13A9"/>
    <w:rPr>
      <w:rFonts w:ascii="Times New Roman" w:hAnsi="Times New Roman"/>
      <w:color w:val="000000"/>
      <w:szCs w:val="20"/>
      <w:lang w:val="bg-BG" w:eastAsia="bg-BG"/>
    </w:rPr>
  </w:style>
  <w:style w:type="numbering" w:customStyle="1" w:styleId="Aucuneliste4">
    <w:name w:val="Aucune liste4"/>
    <w:next w:val="NoList"/>
    <w:semiHidden/>
    <w:rsid w:val="009C13A9"/>
  </w:style>
  <w:style w:type="table" w:customStyle="1" w:styleId="Grilledutableau2">
    <w:name w:val="Grille du tableau2"/>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NoList"/>
    <w:uiPriority w:val="99"/>
    <w:semiHidden/>
    <w:unhideWhenUsed/>
    <w:rsid w:val="009C13A9"/>
  </w:style>
  <w:style w:type="numbering" w:customStyle="1" w:styleId="Aucuneliste112">
    <w:name w:val="Aucune liste112"/>
    <w:next w:val="NoList"/>
    <w:semiHidden/>
    <w:rsid w:val="009C13A9"/>
  </w:style>
  <w:style w:type="numbering" w:customStyle="1" w:styleId="Aucuneliste21">
    <w:name w:val="Aucune liste21"/>
    <w:next w:val="NoList"/>
    <w:semiHidden/>
    <w:rsid w:val="009C13A9"/>
  </w:style>
  <w:style w:type="table" w:customStyle="1" w:styleId="Grilledutableau12">
    <w:name w:val="Grille du tableau12"/>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2">
    <w:name w:val="Aucune liste1112"/>
    <w:next w:val="NoList"/>
    <w:semiHidden/>
    <w:rsid w:val="009C13A9"/>
  </w:style>
  <w:style w:type="table" w:customStyle="1" w:styleId="Grilledutableau112">
    <w:name w:val="Grille du tableau112"/>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1">
    <w:name w:val="Aucune liste31"/>
    <w:next w:val="NoList"/>
    <w:semiHidden/>
    <w:rsid w:val="009C13A9"/>
  </w:style>
  <w:style w:type="numbering" w:customStyle="1" w:styleId="Aucuneliste5">
    <w:name w:val="Aucune liste5"/>
    <w:next w:val="NoList"/>
    <w:semiHidden/>
    <w:rsid w:val="009C13A9"/>
  </w:style>
  <w:style w:type="table" w:customStyle="1" w:styleId="Grilledutableau3">
    <w:name w:val="Grille du tableau3"/>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3">
    <w:name w:val="Aucune liste13"/>
    <w:next w:val="NoList"/>
    <w:uiPriority w:val="99"/>
    <w:semiHidden/>
    <w:unhideWhenUsed/>
    <w:rsid w:val="009C13A9"/>
  </w:style>
  <w:style w:type="numbering" w:customStyle="1" w:styleId="Aucuneliste113">
    <w:name w:val="Aucune liste113"/>
    <w:next w:val="NoList"/>
    <w:semiHidden/>
    <w:rsid w:val="009C13A9"/>
  </w:style>
  <w:style w:type="numbering" w:customStyle="1" w:styleId="Aucuneliste22">
    <w:name w:val="Aucune liste22"/>
    <w:next w:val="NoList"/>
    <w:semiHidden/>
    <w:rsid w:val="009C13A9"/>
  </w:style>
  <w:style w:type="table" w:customStyle="1" w:styleId="Grilledutableau13">
    <w:name w:val="Grille du tableau13"/>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3">
    <w:name w:val="Aucune liste1113"/>
    <w:next w:val="NoList"/>
    <w:semiHidden/>
    <w:rsid w:val="009C13A9"/>
  </w:style>
  <w:style w:type="table" w:customStyle="1" w:styleId="Grilledutableau113">
    <w:name w:val="Grille du tableau113"/>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2">
    <w:name w:val="Aucune liste32"/>
    <w:next w:val="NoList"/>
    <w:semiHidden/>
    <w:rsid w:val="009C13A9"/>
  </w:style>
  <w:style w:type="paragraph" w:customStyle="1" w:styleId="Esannch">
    <w:name w:val="Es_ann_ch"/>
    <w:basedOn w:val="Normal"/>
    <w:qFormat/>
    <w:rsid w:val="009C13A9"/>
    <w:pPr>
      <w:spacing w:line="240" w:lineRule="atLeast"/>
    </w:pPr>
    <w:rPr>
      <w:rFonts w:cs="Arial"/>
      <w:color w:val="000000"/>
      <w:lang w:val="bg-BG"/>
    </w:rPr>
  </w:style>
  <w:style w:type="paragraph" w:customStyle="1" w:styleId="Esanngauche">
    <w:name w:val="Es_ann_gauche"/>
    <w:basedOn w:val="Normal"/>
    <w:qFormat/>
    <w:rsid w:val="009C13A9"/>
    <w:pPr>
      <w:tabs>
        <w:tab w:val="left" w:leader="dot" w:pos="9072"/>
      </w:tabs>
      <w:spacing w:line="240" w:lineRule="atLeast"/>
    </w:pPr>
    <w:rPr>
      <w:rFonts w:cs="Arial"/>
      <w:lang w:val="bg-BG"/>
    </w:rPr>
  </w:style>
  <w:style w:type="paragraph" w:customStyle="1" w:styleId="ESannexetitrearticle">
    <w:name w:val="ES_annexe_titre_article"/>
    <w:basedOn w:val="Normal"/>
    <w:qFormat/>
    <w:rsid w:val="009C13A9"/>
    <w:pPr>
      <w:spacing w:line="240" w:lineRule="atLeast"/>
      <w:jc w:val="center"/>
    </w:pPr>
    <w:rPr>
      <w:rFonts w:cs="Arial"/>
      <w:b/>
      <w:noProof/>
      <w:lang w:val="bg-BG"/>
    </w:rPr>
  </w:style>
  <w:style w:type="paragraph" w:customStyle="1" w:styleId="ESannexelet">
    <w:name w:val="ES_annexe_let"/>
    <w:basedOn w:val="Normal"/>
    <w:qFormat/>
    <w:rsid w:val="009C13A9"/>
    <w:pPr>
      <w:spacing w:before="60" w:line="240" w:lineRule="atLeast"/>
      <w:ind w:left="851"/>
    </w:pPr>
    <w:rPr>
      <w:rFonts w:cs="Arial"/>
      <w:noProof/>
      <w:lang w:val="bg-BG" w:eastAsia="bg-BG"/>
    </w:rPr>
  </w:style>
  <w:style w:type="paragraph" w:customStyle="1" w:styleId="ESannexechpar">
    <w:name w:val="ES_annexe_ch_par"/>
    <w:basedOn w:val="ESchpar"/>
    <w:qFormat/>
    <w:rsid w:val="009C13A9"/>
    <w:pPr>
      <w:ind w:left="426"/>
    </w:pPr>
    <w:rPr>
      <w:lang w:eastAsia="bg-BG"/>
    </w:rPr>
  </w:style>
  <w:style w:type="paragraph" w:customStyle="1" w:styleId="Esannexeletgauch">
    <w:name w:val="Es_annexe_let_gauch"/>
    <w:basedOn w:val="Normal"/>
    <w:qFormat/>
    <w:rsid w:val="009C13A9"/>
    <w:pPr>
      <w:spacing w:before="60" w:line="240" w:lineRule="atLeast"/>
    </w:pPr>
    <w:rPr>
      <w:rFonts w:cs="Arial"/>
      <w:noProof/>
      <w:lang w:val="bg-BG"/>
    </w:rPr>
  </w:style>
  <w:style w:type="table" w:styleId="MediumGrid1-Accent2">
    <w:name w:val="Medium Grid 1 Accent 2"/>
    <w:basedOn w:val="TableNormal"/>
    <w:uiPriority w:val="67"/>
    <w:rsid w:val="009C13A9"/>
    <w:rPr>
      <w:rFonts w:eastAsia="Calibri"/>
      <w:sz w:val="22"/>
      <w:szCs w:val="22"/>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ullet0">
    <w:name w:val="Bullet 0"/>
    <w:basedOn w:val="Normal"/>
    <w:rsid w:val="009C13A9"/>
    <w:pPr>
      <w:numPr>
        <w:numId w:val="4"/>
      </w:numPr>
      <w:spacing w:before="120" w:after="120"/>
    </w:pPr>
    <w:rPr>
      <w:rFonts w:ascii="Times New Roman" w:hAnsi="Times New Roman"/>
      <w:sz w:val="24"/>
    </w:rPr>
  </w:style>
  <w:style w:type="paragraph" w:customStyle="1" w:styleId="Bullet1">
    <w:name w:val="Bullet 1"/>
    <w:basedOn w:val="Normal"/>
    <w:rsid w:val="009C13A9"/>
    <w:pPr>
      <w:numPr>
        <w:numId w:val="5"/>
      </w:numPr>
      <w:spacing w:before="120" w:after="120"/>
    </w:pPr>
    <w:rPr>
      <w:rFonts w:ascii="Times New Roman" w:hAnsi="Times New Roman"/>
      <w:sz w:val="24"/>
    </w:rPr>
  </w:style>
  <w:style w:type="paragraph" w:customStyle="1" w:styleId="Bullet2">
    <w:name w:val="Bullet 2"/>
    <w:basedOn w:val="Normal"/>
    <w:rsid w:val="009C13A9"/>
    <w:pPr>
      <w:numPr>
        <w:numId w:val="6"/>
      </w:numPr>
      <w:spacing w:before="120" w:after="120"/>
    </w:pPr>
    <w:rPr>
      <w:rFonts w:ascii="Times New Roman" w:hAnsi="Times New Roman"/>
      <w:sz w:val="24"/>
    </w:rPr>
  </w:style>
  <w:style w:type="character" w:styleId="PlaceholderText">
    <w:name w:val="Placeholder Text"/>
    <w:basedOn w:val="DefaultParagraphFont"/>
    <w:uiPriority w:val="99"/>
    <w:semiHidden/>
    <w:rsid w:val="00395A9E"/>
    <w:rPr>
      <w:color w:val="808080"/>
    </w:rPr>
  </w:style>
  <w:style w:type="numbering" w:customStyle="1" w:styleId="Aucuneliste6">
    <w:name w:val="Aucune liste6"/>
    <w:next w:val="NoList"/>
    <w:uiPriority w:val="99"/>
    <w:semiHidden/>
    <w:unhideWhenUsed/>
    <w:rsid w:val="005C7DB3"/>
  </w:style>
  <w:style w:type="paragraph" w:customStyle="1" w:styleId="jeveux">
    <w:name w:val="je_veux"/>
    <w:basedOn w:val="Normal"/>
    <w:rsid w:val="005C7DB3"/>
    <w:pPr>
      <w:numPr>
        <w:numId w:val="9"/>
      </w:numPr>
      <w:tabs>
        <w:tab w:val="left" w:pos="425"/>
        <w:tab w:val="left" w:pos="6237"/>
      </w:tabs>
      <w:suppressAutoHyphens/>
      <w:spacing w:before="120"/>
    </w:pPr>
    <w:rPr>
      <w:rFonts w:ascii="Times New Roman" w:hAnsi="Times New Roman"/>
      <w:snapToGrid w:val="0"/>
      <w:sz w:val="24"/>
      <w:lang w:val="bg-BG"/>
    </w:rPr>
  </w:style>
  <w:style w:type="paragraph" w:customStyle="1" w:styleId="Gemiddeldraster1-accent21">
    <w:name w:val="Gemiddeld raster 1 - accent 21"/>
    <w:basedOn w:val="Normal"/>
    <w:uiPriority w:val="99"/>
    <w:qFormat/>
    <w:rsid w:val="005C7DB3"/>
    <w:pPr>
      <w:ind w:left="720"/>
      <w:contextualSpacing/>
    </w:pPr>
    <w:rPr>
      <w:rFonts w:ascii="Calibri" w:eastAsia="Calibri" w:hAnsi="Calibri"/>
      <w:lang w:val="bg-BG"/>
    </w:rPr>
  </w:style>
  <w:style w:type="paragraph" w:customStyle="1" w:styleId="Chiffregras">
    <w:name w:val="Chiffre_gras"/>
    <w:basedOn w:val="Normal"/>
    <w:qFormat/>
    <w:rsid w:val="005C7DB3"/>
    <w:pPr>
      <w:adjustRightInd w:val="0"/>
      <w:spacing w:line="240" w:lineRule="atLeast"/>
      <w:ind w:left="709" w:hanging="709"/>
      <w:outlineLvl w:val="0"/>
    </w:pPr>
    <w:rPr>
      <w:rFonts w:ascii="Times New Roman" w:eastAsia="Calibri" w:hAnsi="Times New Roman"/>
      <w:b/>
      <w:bCs/>
      <w:sz w:val="24"/>
      <w:lang w:val="bg-BG"/>
    </w:rPr>
  </w:style>
  <w:style w:type="paragraph" w:customStyle="1" w:styleId="Chiffrepar">
    <w:name w:val="Chiffre_par"/>
    <w:basedOn w:val="Normal"/>
    <w:qFormat/>
    <w:rsid w:val="005C7DB3"/>
    <w:pPr>
      <w:adjustRightInd w:val="0"/>
      <w:spacing w:line="240" w:lineRule="atLeast"/>
      <w:ind w:left="709"/>
    </w:pPr>
    <w:rPr>
      <w:rFonts w:ascii="Times New Roman" w:eastAsia="Calibri" w:hAnsi="Times New Roman"/>
      <w:sz w:val="24"/>
      <w:lang w:val="bg-BG"/>
    </w:rPr>
  </w:style>
  <w:style w:type="paragraph" w:customStyle="1" w:styleId="Chiffre">
    <w:name w:val="Chiffre"/>
    <w:basedOn w:val="Normal"/>
    <w:qFormat/>
    <w:rsid w:val="005C7DB3"/>
    <w:pPr>
      <w:adjustRightInd w:val="0"/>
      <w:spacing w:line="240" w:lineRule="atLeast"/>
      <w:ind w:left="709" w:hanging="709"/>
    </w:pPr>
    <w:rPr>
      <w:rFonts w:ascii="Times New Roman" w:eastAsia="Calibri" w:hAnsi="Times New Roman"/>
      <w:sz w:val="24"/>
      <w:lang w:val="bg-BG"/>
    </w:rPr>
  </w:style>
  <w:style w:type="paragraph" w:customStyle="1" w:styleId="chiffrelettre">
    <w:name w:val="chiffre_lettre"/>
    <w:basedOn w:val="Normal"/>
    <w:qFormat/>
    <w:rsid w:val="005C7DB3"/>
    <w:pPr>
      <w:adjustRightInd w:val="0"/>
      <w:spacing w:before="60" w:line="240" w:lineRule="atLeast"/>
      <w:ind w:left="1134"/>
    </w:pPr>
    <w:rPr>
      <w:rFonts w:ascii="Times New Roman" w:eastAsia="Calibri" w:hAnsi="Times New Roman"/>
      <w:sz w:val="24"/>
      <w:lang w:val="bg-BG"/>
    </w:rPr>
  </w:style>
  <w:style w:type="paragraph" w:customStyle="1" w:styleId="Esann8ch">
    <w:name w:val="Es_ann8_ch"/>
    <w:basedOn w:val="Normal"/>
    <w:qFormat/>
    <w:rsid w:val="00A94102"/>
    <w:pPr>
      <w:spacing w:line="240" w:lineRule="atLeast"/>
      <w:ind w:left="851" w:hanging="851"/>
    </w:pPr>
    <w:rPr>
      <w:rFonts w:eastAsia="Calibri" w:cs="Arial"/>
      <w:color w:val="000000"/>
      <w:szCs w:val="20"/>
    </w:rPr>
  </w:style>
  <w:style w:type="paragraph" w:customStyle="1" w:styleId="Esann8chgras">
    <w:name w:val="Es_ann8_ch_gras"/>
    <w:basedOn w:val="ESchgras"/>
    <w:qFormat/>
    <w:rsid w:val="00A94102"/>
    <w:pPr>
      <w:ind w:left="851" w:hanging="851"/>
    </w:pPr>
  </w:style>
  <w:style w:type="paragraph" w:customStyle="1" w:styleId="Esann8titrechap">
    <w:name w:val="Es_ann8_titre_chap"/>
    <w:basedOn w:val="Esann8chgras"/>
    <w:qFormat/>
    <w:rsid w:val="00A94102"/>
    <w:pPr>
      <w:jc w:val="center"/>
    </w:pPr>
  </w:style>
  <w:style w:type="paragraph" w:customStyle="1" w:styleId="Esann8let">
    <w:name w:val="Es_ann8_let"/>
    <w:basedOn w:val="Esann8ch"/>
    <w:qFormat/>
    <w:rsid w:val="008632BC"/>
    <w:pPr>
      <w:spacing w:before="60"/>
      <w:ind w:left="1276" w:hanging="425"/>
    </w:pPr>
  </w:style>
  <w:style w:type="paragraph" w:customStyle="1" w:styleId="Esann8chpar">
    <w:name w:val="Es_ann8_ch_par"/>
    <w:basedOn w:val="Esann8ch"/>
    <w:qFormat/>
    <w:rsid w:val="00ED22AF"/>
    <w:pPr>
      <w:ind w:firstLine="0"/>
    </w:pPr>
  </w:style>
  <w:style w:type="character" w:customStyle="1" w:styleId="hps">
    <w:name w:val="hps"/>
    <w:basedOn w:val="DefaultParagraphFont"/>
    <w:rsid w:val="00A26ED8"/>
  </w:style>
  <w:style w:type="character" w:customStyle="1" w:styleId="atn">
    <w:name w:val="atn"/>
    <w:basedOn w:val="DefaultParagraphFont"/>
    <w:rsid w:val="00A26ED8"/>
  </w:style>
  <w:style w:type="numbering" w:customStyle="1" w:styleId="Aucuneliste7">
    <w:name w:val="Aucune liste7"/>
    <w:next w:val="NoList"/>
    <w:uiPriority w:val="99"/>
    <w:semiHidden/>
    <w:unhideWhenUsed/>
    <w:rsid w:val="001D0FFC"/>
  </w:style>
  <w:style w:type="paragraph" w:customStyle="1" w:styleId="tbl-norm">
    <w:name w:val="tbl-norm"/>
    <w:basedOn w:val="Normal"/>
    <w:rsid w:val="003D29D8"/>
    <w:pPr>
      <w:spacing w:before="100" w:beforeAutospacing="1" w:after="100" w:afterAutospacing="1"/>
    </w:pPr>
    <w:rPr>
      <w:rFonts w:ascii="Times New Roman" w:hAnsi="Times New Roman"/>
      <w:sz w:val="24"/>
    </w:rPr>
  </w:style>
  <w:style w:type="paragraph" w:customStyle="1" w:styleId="norm">
    <w:name w:val="norm"/>
    <w:basedOn w:val="Normal"/>
    <w:rsid w:val="003D29D8"/>
    <w:pPr>
      <w:spacing w:before="100" w:beforeAutospacing="1" w:after="100" w:afterAutospacing="1"/>
    </w:pPr>
    <w:rPr>
      <w:rFonts w:ascii="Times New Roman" w:hAnsi="Times New Roman"/>
      <w:sz w:val="24"/>
    </w:rPr>
  </w:style>
  <w:style w:type="table" w:customStyle="1" w:styleId="Grilledutableau14">
    <w:name w:val="Grille du tableau14"/>
    <w:basedOn w:val="TableNormal"/>
    <w:next w:val="TableGrid"/>
    <w:rsid w:val="004F47BB"/>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4">
    <w:name w:val="Grille du tableau114"/>
    <w:basedOn w:val="TableNormal"/>
    <w:next w:val="TableGrid"/>
    <w:rsid w:val="004F47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12">
    <w:name w:val="Grille du tableau1112"/>
    <w:basedOn w:val="TableNormal"/>
    <w:next w:val="TableGrid"/>
    <w:rsid w:val="004F47BB"/>
    <w:rPr>
      <w:rFonts w:ascii="Times New Roman" w:hAnsi="Times New Roman"/>
      <w:snapToGrid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chdecale">
    <w:name w:val="ES_ch_decale"/>
    <w:basedOn w:val="Normal"/>
    <w:qFormat/>
    <w:rsid w:val="004F47BB"/>
    <w:pPr>
      <w:tabs>
        <w:tab w:val="left" w:pos="567"/>
        <w:tab w:val="left" w:pos="1418"/>
      </w:tabs>
      <w:spacing w:line="240" w:lineRule="atLeast"/>
      <w:ind w:left="1418" w:hanging="851"/>
    </w:pPr>
  </w:style>
  <w:style w:type="paragraph" w:customStyle="1" w:styleId="ESchdecalepar">
    <w:name w:val="ES_ch_decale_par"/>
    <w:basedOn w:val="ESchdecale"/>
    <w:qFormat/>
    <w:rsid w:val="004F47BB"/>
    <w:pPr>
      <w:tabs>
        <w:tab w:val="clear" w:pos="567"/>
      </w:tabs>
      <w:ind w:firstLine="0"/>
    </w:pPr>
    <w:rPr>
      <w:noProof/>
    </w:rPr>
  </w:style>
  <w:style w:type="paragraph" w:customStyle="1" w:styleId="ESletparettab">
    <w:name w:val="ES_let_par_et_tab"/>
    <w:basedOn w:val="ESletpar"/>
    <w:qFormat/>
    <w:rsid w:val="004F47BB"/>
    <w:pPr>
      <w:tabs>
        <w:tab w:val="left" w:pos="2552"/>
        <w:tab w:val="left" w:pos="2977"/>
        <w:tab w:val="left" w:pos="3402"/>
      </w:tabs>
      <w:ind w:left="1418" w:hanging="426"/>
    </w:pPr>
  </w:style>
  <w:style w:type="paragraph" w:customStyle="1" w:styleId="IS1cm">
    <w:name w:val="IS_1cm"/>
    <w:basedOn w:val="Normal"/>
    <w:link w:val="IS1cmCar"/>
    <w:rsid w:val="004F47BB"/>
    <w:pPr>
      <w:tabs>
        <w:tab w:val="left" w:pos="567"/>
      </w:tabs>
      <w:overflowPunct w:val="0"/>
      <w:adjustRightInd w:val="0"/>
      <w:spacing w:line="240" w:lineRule="atLeast"/>
      <w:ind w:left="567" w:hanging="567"/>
      <w:textAlignment w:val="baseline"/>
    </w:pPr>
    <w:rPr>
      <w:szCs w:val="20"/>
      <w:lang w:val="bg-BG"/>
    </w:rPr>
  </w:style>
  <w:style w:type="character" w:customStyle="1" w:styleId="IS1cmCar">
    <w:name w:val="IS_1cm Car"/>
    <w:link w:val="IS1cm"/>
    <w:rsid w:val="004F47BB"/>
    <w:rPr>
      <w:rFonts w:ascii="Arial" w:hAnsi="Arial"/>
      <w:lang w:val="bg-BG"/>
    </w:rPr>
  </w:style>
  <w:style w:type="paragraph" w:customStyle="1" w:styleId="IS1cmg075cm">
    <w:name w:val="IS_1cmg_0_75cm"/>
    <w:basedOn w:val="IS1cm"/>
    <w:rsid w:val="004F47BB"/>
    <w:pPr>
      <w:tabs>
        <w:tab w:val="clear" w:pos="567"/>
        <w:tab w:val="left" w:pos="992"/>
      </w:tabs>
      <w:ind w:left="992" w:hanging="425"/>
    </w:pPr>
  </w:style>
  <w:style w:type="paragraph" w:customStyle="1" w:styleId="IS175cm">
    <w:name w:val="IS_175cm"/>
    <w:basedOn w:val="Normal"/>
    <w:rsid w:val="004F47BB"/>
    <w:pPr>
      <w:tabs>
        <w:tab w:val="left" w:pos="1418"/>
      </w:tabs>
      <w:overflowPunct w:val="0"/>
      <w:adjustRightInd w:val="0"/>
      <w:spacing w:line="240" w:lineRule="atLeast"/>
      <w:ind w:left="1417"/>
      <w:textAlignment w:val="baseline"/>
    </w:pPr>
    <w:rPr>
      <w:szCs w:val="20"/>
      <w:lang w:val="bg-BG"/>
    </w:rPr>
  </w:style>
  <w:style w:type="paragraph" w:customStyle="1" w:styleId="ES-Titre2ESI">
    <w:name w:val="ES-Titre2_ESI"/>
    <w:basedOn w:val="ES-Titre2"/>
    <w:qFormat/>
    <w:rsid w:val="004F47BB"/>
    <w:pPr>
      <w:pageBreakBefore w:val="0"/>
    </w:pPr>
  </w:style>
  <w:style w:type="paragraph" w:customStyle="1" w:styleId="ES-Titre4prESIexple">
    <w:name w:val="ES-Titre4_pr_ESI_exple"/>
    <w:basedOn w:val="ES-Titre3prchap32"/>
    <w:qFormat/>
    <w:rsid w:val="005B46C9"/>
  </w:style>
  <w:style w:type="paragraph" w:customStyle="1" w:styleId="ES-Titre4">
    <w:name w:val="ES-Titre4"/>
    <w:basedOn w:val="ES-Titre3"/>
    <w:qFormat/>
    <w:rsid w:val="00C859BD"/>
    <w:rPr>
      <w:lang w:val="bg-BG"/>
    </w:rPr>
  </w:style>
  <w:style w:type="paragraph" w:customStyle="1" w:styleId="ES-Titre4a">
    <w:name w:val="ES-Titre4a"/>
    <w:basedOn w:val="ES-Titre3a"/>
    <w:qFormat/>
    <w:rsid w:val="00C859BD"/>
    <w:rPr>
      <w:lang w:val="bg-BG"/>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bg-BG" w:eastAsia="bg-BG" w:bidi="bg-BG"/>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header" w:uiPriority="0"/>
    <w:lsdException w:name="footer" w:uiPriority="0"/>
    <w:lsdException w:name="caption" w:semiHidden="0" w:qFormat="1"/>
    <w:lsdException w:name="footnote reference" w:uiPriority="0" w:qFormat="1"/>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qFormat="1"/>
  </w:latentStyles>
  <w:style w:type="paragraph" w:default="1" w:styleId="Normal">
    <w:name w:val="Normal"/>
    <w:qFormat/>
    <w:rsid w:val="008D2440"/>
    <w:pPr>
      <w:spacing w:after="200" w:line="276" w:lineRule="auto"/>
    </w:pPr>
    <w:rPr>
      <w:rFonts w:asciiTheme="minorHAnsi" w:eastAsiaTheme="minorHAnsi" w:hAnsiTheme="minorHAnsi" w:cstheme="minorBidi"/>
      <w:sz w:val="22"/>
      <w:szCs w:val="22"/>
      <w:lang w:val="en-GB" w:eastAsia="en-US" w:bidi="ar-SA"/>
    </w:rPr>
  </w:style>
  <w:style w:type="paragraph" w:styleId="Heading1">
    <w:name w:val="heading 1"/>
    <w:basedOn w:val="Normal"/>
    <w:next w:val="Text1"/>
    <w:link w:val="Heading1Char"/>
    <w:qFormat/>
    <w:rsid w:val="00475311"/>
    <w:pPr>
      <w:keepNext/>
      <w:numPr>
        <w:numId w:val="1"/>
      </w:numPr>
      <w:spacing w:before="360"/>
      <w:outlineLvl w:val="0"/>
    </w:pPr>
    <w:rPr>
      <w:rFonts w:ascii="Cambria" w:hAnsi="Cambria"/>
      <w:b/>
      <w:bCs/>
      <w:kern w:val="32"/>
      <w:sz w:val="32"/>
      <w:szCs w:val="32"/>
    </w:rPr>
  </w:style>
  <w:style w:type="paragraph" w:styleId="Heading2">
    <w:name w:val="heading 2"/>
    <w:basedOn w:val="Normal"/>
    <w:next w:val="Text2"/>
    <w:link w:val="Heading2Char"/>
    <w:qFormat/>
    <w:rsid w:val="00475311"/>
    <w:pPr>
      <w:keepNext/>
      <w:numPr>
        <w:ilvl w:val="1"/>
        <w:numId w:val="1"/>
      </w:numPr>
      <w:outlineLvl w:val="1"/>
    </w:pPr>
    <w:rPr>
      <w:rFonts w:ascii="Cambria" w:hAnsi="Cambria"/>
      <w:b/>
      <w:bCs/>
      <w:i/>
      <w:iCs/>
      <w:sz w:val="28"/>
    </w:rPr>
  </w:style>
  <w:style w:type="paragraph" w:styleId="Heading3">
    <w:name w:val="heading 3"/>
    <w:basedOn w:val="Normal"/>
    <w:next w:val="Text3"/>
    <w:link w:val="Heading3Char"/>
    <w:qFormat/>
    <w:rsid w:val="00475311"/>
    <w:pPr>
      <w:keepNext/>
      <w:numPr>
        <w:ilvl w:val="2"/>
        <w:numId w:val="1"/>
      </w:numPr>
      <w:outlineLvl w:val="2"/>
    </w:pPr>
    <w:rPr>
      <w:rFonts w:ascii="Cambria" w:hAnsi="Cambria"/>
      <w:b/>
      <w:bCs/>
      <w:sz w:val="26"/>
      <w:szCs w:val="26"/>
    </w:rPr>
  </w:style>
  <w:style w:type="paragraph" w:styleId="Heading4">
    <w:name w:val="heading 4"/>
    <w:basedOn w:val="Normal"/>
    <w:next w:val="Text4"/>
    <w:link w:val="Heading4Char"/>
    <w:qFormat/>
    <w:rsid w:val="00475311"/>
    <w:pPr>
      <w:keepNext/>
      <w:numPr>
        <w:ilvl w:val="3"/>
        <w:numId w:val="1"/>
      </w:numPr>
      <w:outlineLvl w:val="3"/>
    </w:pPr>
    <w:rPr>
      <w:rFonts w:ascii="Calibri" w:hAnsi="Calibri"/>
      <w:b/>
      <w:bCs/>
      <w:sz w:val="28"/>
    </w:rPr>
  </w:style>
  <w:style w:type="paragraph" w:styleId="Heading5">
    <w:name w:val="heading 5"/>
    <w:basedOn w:val="Normal"/>
    <w:next w:val="Normal"/>
    <w:link w:val="Heading5Char"/>
    <w:qFormat/>
    <w:rsid w:val="00475311"/>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475311"/>
    <w:pPr>
      <w:spacing w:before="240" w:after="60"/>
      <w:outlineLvl w:val="5"/>
    </w:pPr>
    <w:rPr>
      <w:rFonts w:ascii="Calibri" w:hAnsi="Calibri"/>
      <w:b/>
      <w:bCs/>
      <w:szCs w:val="20"/>
    </w:rPr>
  </w:style>
  <w:style w:type="paragraph" w:styleId="Heading7">
    <w:name w:val="heading 7"/>
    <w:basedOn w:val="Normal"/>
    <w:next w:val="Normal"/>
    <w:link w:val="Heading7Char"/>
    <w:qFormat/>
    <w:rsid w:val="00475311"/>
    <w:pPr>
      <w:spacing w:before="240" w:after="60"/>
      <w:outlineLvl w:val="6"/>
    </w:pPr>
    <w:rPr>
      <w:rFonts w:ascii="Calibri" w:hAnsi="Calibri"/>
    </w:rPr>
  </w:style>
  <w:style w:type="paragraph" w:styleId="Heading8">
    <w:name w:val="heading 8"/>
    <w:basedOn w:val="Normal"/>
    <w:next w:val="Normal"/>
    <w:link w:val="Heading8Char"/>
    <w:qFormat/>
    <w:rsid w:val="00475311"/>
    <w:pPr>
      <w:spacing w:before="240" w:after="60"/>
      <w:outlineLvl w:val="7"/>
    </w:pPr>
    <w:rPr>
      <w:rFonts w:ascii="Calibri" w:hAnsi="Calibri"/>
      <w:i/>
      <w:iCs/>
    </w:rPr>
  </w:style>
  <w:style w:type="paragraph" w:styleId="Heading9">
    <w:name w:val="heading 9"/>
    <w:basedOn w:val="Normal"/>
    <w:next w:val="Normal"/>
    <w:link w:val="Heading9Char"/>
    <w:qFormat/>
    <w:rsid w:val="00475311"/>
    <w:pPr>
      <w:spacing w:before="240" w:after="60"/>
      <w:outlineLvl w:val="8"/>
    </w:pPr>
    <w:rPr>
      <w:rFonts w:ascii="Cambria" w:hAnsi="Cambria"/>
      <w:szCs w:val="20"/>
    </w:rPr>
  </w:style>
  <w:style w:type="character" w:default="1" w:styleId="DefaultParagraphFont">
    <w:name w:val="Default Paragraph Font"/>
    <w:uiPriority w:val="1"/>
    <w:semiHidden/>
    <w:unhideWhenUsed/>
    <w:rsid w:val="008D244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8D2440"/>
  </w:style>
  <w:style w:type="character" w:customStyle="1" w:styleId="Heading1Char">
    <w:name w:val="Heading 1 Char"/>
    <w:link w:val="Heading1"/>
    <w:rsid w:val="00475311"/>
    <w:rPr>
      <w:rFonts w:ascii="Cambria" w:hAnsi="Cambria"/>
      <w:b/>
      <w:bCs/>
      <w:kern w:val="32"/>
      <w:sz w:val="32"/>
      <w:szCs w:val="32"/>
    </w:rPr>
  </w:style>
  <w:style w:type="character" w:customStyle="1" w:styleId="Heading2Char">
    <w:name w:val="Heading 2 Char"/>
    <w:link w:val="Heading2"/>
    <w:rsid w:val="00475311"/>
    <w:rPr>
      <w:rFonts w:ascii="Cambria" w:hAnsi="Cambria"/>
      <w:b/>
      <w:bCs/>
      <w:i/>
      <w:iCs/>
      <w:sz w:val="28"/>
      <w:szCs w:val="28"/>
    </w:rPr>
  </w:style>
  <w:style w:type="character" w:customStyle="1" w:styleId="Heading3Char">
    <w:name w:val="Heading 3 Char"/>
    <w:link w:val="Heading3"/>
    <w:rsid w:val="00475311"/>
    <w:rPr>
      <w:rFonts w:ascii="Cambria" w:hAnsi="Cambria"/>
      <w:b/>
      <w:bCs/>
      <w:sz w:val="26"/>
      <w:szCs w:val="26"/>
    </w:rPr>
  </w:style>
  <w:style w:type="character" w:customStyle="1" w:styleId="Heading4Char">
    <w:name w:val="Heading 4 Char"/>
    <w:link w:val="Heading4"/>
    <w:rsid w:val="00475311"/>
    <w:rPr>
      <w:b/>
      <w:bCs/>
      <w:sz w:val="28"/>
      <w:szCs w:val="28"/>
    </w:rPr>
  </w:style>
  <w:style w:type="character" w:customStyle="1" w:styleId="Heading5Char">
    <w:name w:val="Heading 5 Char"/>
    <w:link w:val="Heading5"/>
    <w:uiPriority w:val="9"/>
    <w:rsid w:val="00475311"/>
    <w:rPr>
      <w:b/>
      <w:bCs/>
      <w:i/>
      <w:iCs/>
      <w:sz w:val="26"/>
      <w:szCs w:val="26"/>
    </w:rPr>
  </w:style>
  <w:style w:type="character" w:customStyle="1" w:styleId="Heading6Char">
    <w:name w:val="Heading 6 Char"/>
    <w:link w:val="Heading6"/>
    <w:uiPriority w:val="9"/>
    <w:rsid w:val="00475311"/>
    <w:rPr>
      <w:b/>
      <w:bCs/>
    </w:rPr>
  </w:style>
  <w:style w:type="character" w:customStyle="1" w:styleId="Heading7Char">
    <w:name w:val="Heading 7 Char"/>
    <w:link w:val="Heading7"/>
    <w:uiPriority w:val="9"/>
    <w:rsid w:val="00475311"/>
    <w:rPr>
      <w:sz w:val="24"/>
      <w:szCs w:val="24"/>
    </w:rPr>
  </w:style>
  <w:style w:type="character" w:customStyle="1" w:styleId="Heading8Char">
    <w:name w:val="Heading 8 Char"/>
    <w:link w:val="Heading8"/>
    <w:uiPriority w:val="9"/>
    <w:rsid w:val="00475311"/>
    <w:rPr>
      <w:i/>
      <w:iCs/>
      <w:sz w:val="24"/>
      <w:szCs w:val="24"/>
    </w:rPr>
  </w:style>
  <w:style w:type="character" w:customStyle="1" w:styleId="Heading9Char">
    <w:name w:val="Heading 9 Char"/>
    <w:link w:val="Heading9"/>
    <w:uiPriority w:val="9"/>
    <w:rsid w:val="00475311"/>
    <w:rPr>
      <w:rFonts w:ascii="Cambria" w:eastAsia="Times New Roman" w:hAnsi="Cambria" w:cs="Times New Roman"/>
    </w:rPr>
  </w:style>
  <w:style w:type="paragraph" w:customStyle="1" w:styleId="Text1">
    <w:name w:val="Text 1"/>
    <w:basedOn w:val="Normal"/>
    <w:rsid w:val="00475311"/>
    <w:pPr>
      <w:ind w:left="851"/>
    </w:pPr>
  </w:style>
  <w:style w:type="paragraph" w:customStyle="1" w:styleId="Text2">
    <w:name w:val="Text 2"/>
    <w:basedOn w:val="Normal"/>
    <w:uiPriority w:val="99"/>
    <w:rsid w:val="00475311"/>
    <w:pPr>
      <w:ind w:left="851"/>
    </w:pPr>
  </w:style>
  <w:style w:type="paragraph" w:customStyle="1" w:styleId="Text3">
    <w:name w:val="Text 3"/>
    <w:basedOn w:val="Normal"/>
    <w:uiPriority w:val="99"/>
    <w:rsid w:val="00475311"/>
    <w:pPr>
      <w:ind w:left="851"/>
    </w:pPr>
  </w:style>
  <w:style w:type="paragraph" w:customStyle="1" w:styleId="Text4">
    <w:name w:val="Text 4"/>
    <w:basedOn w:val="Normal"/>
    <w:uiPriority w:val="99"/>
    <w:rsid w:val="00475311"/>
    <w:pPr>
      <w:ind w:left="851"/>
    </w:pPr>
  </w:style>
  <w:style w:type="paragraph" w:customStyle="1" w:styleId="Annexetitreacte">
    <w:name w:val="Annexe titre (acte)"/>
    <w:basedOn w:val="Normal"/>
    <w:next w:val="Normal"/>
    <w:rsid w:val="00475311"/>
    <w:pPr>
      <w:jc w:val="center"/>
    </w:pPr>
    <w:rPr>
      <w:b/>
      <w:bCs/>
      <w:u w:val="single"/>
    </w:rPr>
  </w:style>
  <w:style w:type="paragraph" w:customStyle="1" w:styleId="Annexetitreexposglobal">
    <w:name w:val="Annexe titre (exposé global)"/>
    <w:basedOn w:val="Normal"/>
    <w:next w:val="Normal"/>
    <w:uiPriority w:val="99"/>
    <w:rsid w:val="00475311"/>
    <w:pPr>
      <w:jc w:val="center"/>
    </w:pPr>
    <w:rPr>
      <w:b/>
      <w:bCs/>
      <w:u w:val="single"/>
    </w:rPr>
  </w:style>
  <w:style w:type="paragraph" w:customStyle="1" w:styleId="Annexetitreexpos">
    <w:name w:val="Annexe titre (exposé)"/>
    <w:basedOn w:val="Normal"/>
    <w:next w:val="Normal"/>
    <w:uiPriority w:val="99"/>
    <w:rsid w:val="00475311"/>
    <w:pPr>
      <w:jc w:val="center"/>
    </w:pPr>
    <w:rPr>
      <w:b/>
      <w:bCs/>
      <w:u w:val="single"/>
    </w:rPr>
  </w:style>
  <w:style w:type="paragraph" w:customStyle="1" w:styleId="Annexetitrefichefinacte">
    <w:name w:val="Annexe titre (fiche fin. acte)"/>
    <w:basedOn w:val="Normal"/>
    <w:next w:val="Normal"/>
    <w:uiPriority w:val="99"/>
    <w:rsid w:val="00475311"/>
    <w:pPr>
      <w:jc w:val="center"/>
    </w:pPr>
    <w:rPr>
      <w:b/>
      <w:bCs/>
      <w:u w:val="single"/>
    </w:rPr>
  </w:style>
  <w:style w:type="paragraph" w:customStyle="1" w:styleId="Annexetitrefichefinglobale">
    <w:name w:val="Annexe titre (fiche fin. globale)"/>
    <w:basedOn w:val="Normal"/>
    <w:next w:val="Normal"/>
    <w:uiPriority w:val="99"/>
    <w:rsid w:val="00475311"/>
    <w:pPr>
      <w:jc w:val="center"/>
    </w:pPr>
    <w:rPr>
      <w:b/>
      <w:bCs/>
      <w:u w:val="single"/>
    </w:rPr>
  </w:style>
  <w:style w:type="paragraph" w:customStyle="1" w:styleId="Annexetitreglobale">
    <w:name w:val="Annexe titre (globale)"/>
    <w:basedOn w:val="Normal"/>
    <w:next w:val="Normal"/>
    <w:uiPriority w:val="99"/>
    <w:rsid w:val="00475311"/>
    <w:pPr>
      <w:jc w:val="center"/>
    </w:pPr>
    <w:rPr>
      <w:b/>
      <w:bCs/>
      <w:u w:val="single"/>
    </w:rPr>
  </w:style>
  <w:style w:type="paragraph" w:customStyle="1" w:styleId="Applicationdirecte">
    <w:name w:val="Application directe"/>
    <w:basedOn w:val="Normal"/>
    <w:next w:val="Fait"/>
    <w:uiPriority w:val="99"/>
    <w:rsid w:val="00475311"/>
    <w:pPr>
      <w:spacing w:before="480"/>
    </w:pPr>
  </w:style>
  <w:style w:type="paragraph" w:customStyle="1" w:styleId="Fait">
    <w:name w:val="Fait à"/>
    <w:basedOn w:val="Normal"/>
    <w:next w:val="Institutionquisigne"/>
    <w:uiPriority w:val="99"/>
    <w:rsid w:val="00475311"/>
    <w:pPr>
      <w:keepNext/>
    </w:pPr>
  </w:style>
  <w:style w:type="paragraph" w:customStyle="1" w:styleId="Institutionquisigne">
    <w:name w:val="Institution qui signe"/>
    <w:basedOn w:val="Normal"/>
    <w:next w:val="Personnequisigne"/>
    <w:uiPriority w:val="99"/>
    <w:rsid w:val="00475311"/>
    <w:pPr>
      <w:keepNext/>
      <w:tabs>
        <w:tab w:val="left" w:pos="4253"/>
      </w:tabs>
      <w:spacing w:before="720"/>
    </w:pPr>
    <w:rPr>
      <w:i/>
      <w:iCs/>
    </w:rPr>
  </w:style>
  <w:style w:type="paragraph" w:customStyle="1" w:styleId="Personnequisigne">
    <w:name w:val="Personne qui signe"/>
    <w:basedOn w:val="Normal"/>
    <w:next w:val="Institutionquisigne"/>
    <w:uiPriority w:val="99"/>
    <w:rsid w:val="00475311"/>
    <w:pPr>
      <w:tabs>
        <w:tab w:val="left" w:pos="4253"/>
      </w:tabs>
    </w:pPr>
    <w:rPr>
      <w:i/>
      <w:iCs/>
    </w:rPr>
  </w:style>
  <w:style w:type="paragraph" w:styleId="Caption">
    <w:name w:val="caption"/>
    <w:basedOn w:val="Normal"/>
    <w:next w:val="Normal"/>
    <w:uiPriority w:val="99"/>
    <w:qFormat/>
    <w:rsid w:val="00475311"/>
    <w:rPr>
      <w:b/>
      <w:bCs/>
    </w:rPr>
  </w:style>
  <w:style w:type="paragraph" w:customStyle="1" w:styleId="ChapterTitle">
    <w:name w:val="ChapterTitle"/>
    <w:basedOn w:val="Normal"/>
    <w:next w:val="Normal"/>
    <w:uiPriority w:val="99"/>
    <w:rsid w:val="00475311"/>
    <w:pPr>
      <w:keepNext/>
      <w:spacing w:after="360"/>
      <w:jc w:val="center"/>
    </w:pPr>
    <w:rPr>
      <w:b/>
      <w:bCs/>
      <w:sz w:val="32"/>
      <w:szCs w:val="32"/>
    </w:rPr>
  </w:style>
  <w:style w:type="character" w:styleId="CommentReference">
    <w:name w:val="annotation reference"/>
    <w:uiPriority w:val="99"/>
    <w:rsid w:val="00475311"/>
    <w:rPr>
      <w:sz w:val="16"/>
      <w:szCs w:val="16"/>
    </w:rPr>
  </w:style>
  <w:style w:type="paragraph" w:styleId="CommentText">
    <w:name w:val="annotation text"/>
    <w:basedOn w:val="Normal"/>
    <w:link w:val="CommentTextChar"/>
    <w:uiPriority w:val="99"/>
    <w:rsid w:val="00475311"/>
    <w:rPr>
      <w:szCs w:val="20"/>
    </w:rPr>
  </w:style>
  <w:style w:type="character" w:customStyle="1" w:styleId="CommentTextChar">
    <w:name w:val="Comment Text Char"/>
    <w:link w:val="CommentText"/>
    <w:uiPriority w:val="99"/>
    <w:rsid w:val="00475311"/>
    <w:rPr>
      <w:rFonts w:ascii="Times New Roman" w:hAnsi="Times New Roman" w:cs="Times New Roman"/>
      <w:sz w:val="20"/>
      <w:szCs w:val="20"/>
    </w:rPr>
  </w:style>
  <w:style w:type="paragraph" w:customStyle="1" w:styleId="Confidence">
    <w:name w:val="Confidence"/>
    <w:basedOn w:val="Normal"/>
    <w:next w:val="Normal"/>
    <w:uiPriority w:val="99"/>
    <w:rsid w:val="00475311"/>
    <w:pPr>
      <w:spacing w:before="360"/>
      <w:jc w:val="center"/>
    </w:pPr>
  </w:style>
  <w:style w:type="paragraph" w:customStyle="1" w:styleId="Corrigendum">
    <w:name w:val="Corrigendum"/>
    <w:basedOn w:val="Normal"/>
    <w:next w:val="Normal"/>
    <w:uiPriority w:val="99"/>
    <w:rsid w:val="00475311"/>
    <w:pPr>
      <w:spacing w:after="240"/>
    </w:pPr>
  </w:style>
  <w:style w:type="paragraph" w:customStyle="1" w:styleId="Emission">
    <w:name w:val="Emission"/>
    <w:basedOn w:val="Normal"/>
    <w:next w:val="Rfrenceinstitutionelle"/>
    <w:uiPriority w:val="99"/>
    <w:rsid w:val="00475311"/>
    <w:pPr>
      <w:ind w:left="5103"/>
    </w:pPr>
  </w:style>
  <w:style w:type="paragraph" w:customStyle="1" w:styleId="Rfrenceinstitutionelle">
    <w:name w:val="Référence institutionelle"/>
    <w:basedOn w:val="Normal"/>
    <w:next w:val="Statut"/>
    <w:uiPriority w:val="99"/>
    <w:rsid w:val="00475311"/>
    <w:pPr>
      <w:spacing w:after="240"/>
      <w:ind w:left="5103"/>
    </w:pPr>
  </w:style>
  <w:style w:type="paragraph" w:customStyle="1" w:styleId="Statut">
    <w:name w:val="Statut"/>
    <w:basedOn w:val="Normal"/>
    <w:next w:val="Typedudocument"/>
    <w:uiPriority w:val="99"/>
    <w:rsid w:val="00475311"/>
    <w:pPr>
      <w:spacing w:before="360"/>
      <w:jc w:val="center"/>
    </w:pPr>
  </w:style>
  <w:style w:type="paragraph" w:customStyle="1" w:styleId="Typedudocument">
    <w:name w:val="Type du document"/>
    <w:basedOn w:val="Normal"/>
    <w:next w:val="Datedadoption"/>
    <w:uiPriority w:val="99"/>
    <w:rsid w:val="00475311"/>
    <w:pPr>
      <w:spacing w:before="360"/>
      <w:jc w:val="center"/>
    </w:pPr>
    <w:rPr>
      <w:b/>
      <w:bCs/>
    </w:rPr>
  </w:style>
  <w:style w:type="paragraph" w:customStyle="1" w:styleId="Datedadoption">
    <w:name w:val="Date d'adoption"/>
    <w:basedOn w:val="Normal"/>
    <w:next w:val="Titreobjet"/>
    <w:uiPriority w:val="99"/>
    <w:rsid w:val="00475311"/>
    <w:pPr>
      <w:spacing w:before="360"/>
      <w:jc w:val="center"/>
    </w:pPr>
    <w:rPr>
      <w:b/>
      <w:bCs/>
    </w:rPr>
  </w:style>
  <w:style w:type="paragraph" w:customStyle="1" w:styleId="Titreobjet">
    <w:name w:val="Titre objet"/>
    <w:basedOn w:val="Normal"/>
    <w:next w:val="Sous-titreobjet"/>
    <w:uiPriority w:val="99"/>
    <w:rsid w:val="00475311"/>
    <w:pPr>
      <w:spacing w:before="360" w:after="360"/>
      <w:jc w:val="center"/>
    </w:pPr>
    <w:rPr>
      <w:b/>
      <w:bCs/>
    </w:rPr>
  </w:style>
  <w:style w:type="paragraph" w:customStyle="1" w:styleId="Sous-titreobjet">
    <w:name w:val="Sous-titre objet"/>
    <w:basedOn w:val="Titreobjet"/>
    <w:uiPriority w:val="99"/>
    <w:rsid w:val="00475311"/>
    <w:pPr>
      <w:spacing w:before="0" w:after="0"/>
    </w:pPr>
  </w:style>
  <w:style w:type="paragraph" w:customStyle="1" w:styleId="Exposdesmotifstitre">
    <w:name w:val="Exposé des motifs titre"/>
    <w:basedOn w:val="Normal"/>
    <w:next w:val="Normal"/>
    <w:uiPriority w:val="99"/>
    <w:rsid w:val="00475311"/>
    <w:pPr>
      <w:jc w:val="center"/>
    </w:pPr>
    <w:rPr>
      <w:b/>
      <w:bCs/>
      <w:u w:val="single"/>
    </w:rPr>
  </w:style>
  <w:style w:type="paragraph" w:customStyle="1" w:styleId="Exposdesmotifstitreglobal">
    <w:name w:val="Exposé des motifs titre (global)"/>
    <w:basedOn w:val="Normal"/>
    <w:next w:val="Normal"/>
    <w:uiPriority w:val="99"/>
    <w:rsid w:val="00475311"/>
    <w:pPr>
      <w:jc w:val="center"/>
    </w:pPr>
    <w:rPr>
      <w:b/>
      <w:bCs/>
      <w:u w:val="single"/>
    </w:rPr>
  </w:style>
  <w:style w:type="paragraph" w:customStyle="1" w:styleId="FichedimpactPMEtitre">
    <w:name w:val="Fiche d'impact PME titre"/>
    <w:basedOn w:val="Normal"/>
    <w:next w:val="Normal"/>
    <w:uiPriority w:val="99"/>
    <w:rsid w:val="00475311"/>
    <w:pPr>
      <w:jc w:val="center"/>
    </w:pPr>
    <w:rPr>
      <w:b/>
      <w:bCs/>
    </w:rPr>
  </w:style>
  <w:style w:type="paragraph" w:customStyle="1" w:styleId="Fichefinanciretextetable">
    <w:name w:val="Fiche financière texte (table)"/>
    <w:basedOn w:val="Normal"/>
    <w:uiPriority w:val="99"/>
    <w:rsid w:val="00475311"/>
    <w:rPr>
      <w:szCs w:val="20"/>
    </w:rPr>
  </w:style>
  <w:style w:type="paragraph" w:customStyle="1" w:styleId="Fichefinanciretitre">
    <w:name w:val="Fiche financière titre"/>
    <w:basedOn w:val="Normal"/>
    <w:next w:val="Normal"/>
    <w:uiPriority w:val="99"/>
    <w:rsid w:val="00475311"/>
    <w:pPr>
      <w:jc w:val="center"/>
    </w:pPr>
    <w:rPr>
      <w:b/>
      <w:bCs/>
      <w:u w:val="single"/>
    </w:rPr>
  </w:style>
  <w:style w:type="paragraph" w:customStyle="1" w:styleId="Fichefinanciretitreactetable">
    <w:name w:val="Fiche financière titre (acte table)"/>
    <w:basedOn w:val="Normal"/>
    <w:next w:val="Normal"/>
    <w:uiPriority w:val="99"/>
    <w:rsid w:val="00475311"/>
    <w:pPr>
      <w:jc w:val="center"/>
    </w:pPr>
    <w:rPr>
      <w:b/>
      <w:bCs/>
      <w:sz w:val="40"/>
      <w:szCs w:val="40"/>
    </w:rPr>
  </w:style>
  <w:style w:type="paragraph" w:customStyle="1" w:styleId="Fichefinanciretitreacte">
    <w:name w:val="Fiche financière titre (acte)"/>
    <w:basedOn w:val="Normal"/>
    <w:next w:val="Normal"/>
    <w:uiPriority w:val="99"/>
    <w:rsid w:val="00475311"/>
    <w:pPr>
      <w:jc w:val="center"/>
    </w:pPr>
    <w:rPr>
      <w:b/>
      <w:bCs/>
      <w:u w:val="single"/>
    </w:rPr>
  </w:style>
  <w:style w:type="paragraph" w:customStyle="1" w:styleId="Fichefinanciretitretable">
    <w:name w:val="Fiche financière titre (table)"/>
    <w:basedOn w:val="Normal"/>
    <w:uiPriority w:val="99"/>
    <w:rsid w:val="00475311"/>
    <w:pPr>
      <w:jc w:val="center"/>
    </w:pPr>
    <w:rPr>
      <w:b/>
      <w:bCs/>
      <w:sz w:val="40"/>
      <w:szCs w:val="40"/>
    </w:rPr>
  </w:style>
  <w:style w:type="paragraph" w:styleId="Footer">
    <w:name w:val="footer"/>
    <w:basedOn w:val="Normal"/>
    <w:link w:val="FooterChar"/>
    <w:rsid w:val="00475311"/>
    <w:pPr>
      <w:tabs>
        <w:tab w:val="center" w:pos="4536"/>
        <w:tab w:val="right" w:pos="9072"/>
      </w:tabs>
      <w:spacing w:before="360"/>
    </w:pPr>
  </w:style>
  <w:style w:type="character" w:customStyle="1" w:styleId="FooterChar">
    <w:name w:val="Footer Char"/>
    <w:link w:val="Footer"/>
    <w:rsid w:val="00475311"/>
    <w:rPr>
      <w:rFonts w:ascii="Times New Roman" w:hAnsi="Times New Roman" w:cs="Times New Roman"/>
      <w:sz w:val="24"/>
      <w:szCs w:val="24"/>
    </w:rPr>
  </w:style>
  <w:style w:type="character" w:styleId="FootnoteReference">
    <w:name w:val="footnote reference"/>
    <w:qFormat/>
    <w:rsid w:val="00475311"/>
    <w:rPr>
      <w:vertAlign w:val="superscript"/>
    </w:rPr>
  </w:style>
  <w:style w:type="paragraph" w:styleId="FootnoteText">
    <w:name w:val="footnote text"/>
    <w:basedOn w:val="Normal"/>
    <w:link w:val="FootnoteTextChar"/>
    <w:qFormat/>
    <w:rsid w:val="00475311"/>
    <w:rPr>
      <w:szCs w:val="20"/>
    </w:rPr>
  </w:style>
  <w:style w:type="character" w:customStyle="1" w:styleId="FootnoteTextChar">
    <w:name w:val="Footnote Text Char"/>
    <w:link w:val="FootnoteText"/>
    <w:rsid w:val="00475311"/>
    <w:rPr>
      <w:rFonts w:ascii="Times New Roman" w:hAnsi="Times New Roman" w:cs="Times New Roman"/>
      <w:sz w:val="20"/>
      <w:szCs w:val="20"/>
    </w:rPr>
  </w:style>
  <w:style w:type="paragraph" w:customStyle="1" w:styleId="Formuledadoption">
    <w:name w:val="Formule d'adoption"/>
    <w:basedOn w:val="Normal"/>
    <w:next w:val="Titrearticle"/>
    <w:uiPriority w:val="99"/>
    <w:rsid w:val="00475311"/>
    <w:pPr>
      <w:keepNext/>
    </w:pPr>
  </w:style>
  <w:style w:type="paragraph" w:customStyle="1" w:styleId="Titrearticle">
    <w:name w:val="Titre article"/>
    <w:basedOn w:val="Normal"/>
    <w:next w:val="Normal"/>
    <w:rsid w:val="00475311"/>
    <w:pPr>
      <w:keepNext/>
      <w:spacing w:before="360"/>
      <w:jc w:val="center"/>
    </w:pPr>
    <w:rPr>
      <w:i/>
      <w:iCs/>
    </w:rPr>
  </w:style>
  <w:style w:type="paragraph" w:styleId="Header">
    <w:name w:val="header"/>
    <w:aliases w:val="numéro de page"/>
    <w:basedOn w:val="Normal"/>
    <w:link w:val="HeaderChar"/>
    <w:rsid w:val="00475311"/>
    <w:pPr>
      <w:tabs>
        <w:tab w:val="right" w:pos="8306"/>
      </w:tabs>
    </w:pPr>
  </w:style>
  <w:style w:type="character" w:customStyle="1" w:styleId="HeaderChar">
    <w:name w:val="Header Char"/>
    <w:aliases w:val="numéro de page Char"/>
    <w:link w:val="Header"/>
    <w:rsid w:val="00475311"/>
    <w:rPr>
      <w:rFonts w:ascii="Times New Roman" w:hAnsi="Times New Roman" w:cs="Times New Roman"/>
      <w:sz w:val="24"/>
      <w:szCs w:val="24"/>
    </w:rPr>
  </w:style>
  <w:style w:type="paragraph" w:customStyle="1" w:styleId="Institutionquiagit">
    <w:name w:val="Institution qui agit"/>
    <w:basedOn w:val="Normal"/>
    <w:next w:val="Normal"/>
    <w:uiPriority w:val="99"/>
    <w:rsid w:val="00475311"/>
    <w:pPr>
      <w:keepNext/>
      <w:spacing w:before="600"/>
    </w:pPr>
  </w:style>
  <w:style w:type="paragraph" w:customStyle="1" w:styleId="Langue">
    <w:name w:val="Langue"/>
    <w:basedOn w:val="Normal"/>
    <w:next w:val="Rfrenceinterne"/>
    <w:uiPriority w:val="99"/>
    <w:rsid w:val="00475311"/>
    <w:pPr>
      <w:spacing w:after="600"/>
      <w:jc w:val="center"/>
    </w:pPr>
    <w:rPr>
      <w:b/>
      <w:bCs/>
      <w:caps/>
    </w:rPr>
  </w:style>
  <w:style w:type="paragraph" w:customStyle="1" w:styleId="Rfrenceinterne">
    <w:name w:val="Référence interne"/>
    <w:basedOn w:val="Normal"/>
    <w:next w:val="Nomdelinstitution"/>
    <w:uiPriority w:val="99"/>
    <w:rsid w:val="00475311"/>
    <w:pPr>
      <w:spacing w:after="600"/>
      <w:jc w:val="center"/>
    </w:pPr>
    <w:rPr>
      <w:b/>
      <w:bCs/>
    </w:rPr>
  </w:style>
  <w:style w:type="paragraph" w:customStyle="1" w:styleId="Nomdelinstitution">
    <w:name w:val="Nom de l'institution"/>
    <w:basedOn w:val="Normal"/>
    <w:next w:val="Emission"/>
    <w:uiPriority w:val="99"/>
    <w:rsid w:val="00475311"/>
    <w:rPr>
      <w:rFonts w:cs="Arial"/>
    </w:rPr>
  </w:style>
  <w:style w:type="paragraph" w:customStyle="1" w:styleId="Langueoriginale">
    <w:name w:val="Langue originale"/>
    <w:basedOn w:val="Normal"/>
    <w:next w:val="Phrasefinale"/>
    <w:uiPriority w:val="99"/>
    <w:rsid w:val="00475311"/>
    <w:pPr>
      <w:spacing w:before="360"/>
      <w:jc w:val="center"/>
    </w:pPr>
    <w:rPr>
      <w:caps/>
    </w:rPr>
  </w:style>
  <w:style w:type="paragraph" w:customStyle="1" w:styleId="Phrasefinale">
    <w:name w:val="Phrase finale"/>
    <w:basedOn w:val="Normal"/>
    <w:next w:val="Normal"/>
    <w:uiPriority w:val="99"/>
    <w:rsid w:val="00475311"/>
    <w:pPr>
      <w:spacing w:before="360"/>
      <w:jc w:val="center"/>
    </w:pPr>
  </w:style>
  <w:style w:type="paragraph" w:customStyle="1" w:styleId="ManualHeading1">
    <w:name w:val="Manual Heading 1"/>
    <w:basedOn w:val="Heading1"/>
    <w:next w:val="Text1"/>
    <w:uiPriority w:val="99"/>
    <w:rsid w:val="00475311"/>
    <w:pPr>
      <w:tabs>
        <w:tab w:val="clear" w:pos="850"/>
        <w:tab w:val="num" w:pos="851"/>
      </w:tabs>
      <w:ind w:left="851" w:hanging="851"/>
    </w:pPr>
  </w:style>
  <w:style w:type="paragraph" w:customStyle="1" w:styleId="ManualHeading2">
    <w:name w:val="Manual Heading 2"/>
    <w:basedOn w:val="Heading2"/>
    <w:next w:val="Text2"/>
    <w:uiPriority w:val="99"/>
    <w:rsid w:val="00475311"/>
    <w:pPr>
      <w:tabs>
        <w:tab w:val="clear" w:pos="850"/>
        <w:tab w:val="num" w:pos="851"/>
      </w:tabs>
      <w:ind w:left="851" w:hanging="851"/>
    </w:pPr>
  </w:style>
  <w:style w:type="paragraph" w:customStyle="1" w:styleId="ManualHeading3">
    <w:name w:val="Manual Heading 3"/>
    <w:basedOn w:val="Heading3"/>
    <w:next w:val="Text3"/>
    <w:uiPriority w:val="99"/>
    <w:rsid w:val="00475311"/>
    <w:pPr>
      <w:tabs>
        <w:tab w:val="clear" w:pos="850"/>
        <w:tab w:val="num" w:pos="851"/>
      </w:tabs>
    </w:pPr>
  </w:style>
  <w:style w:type="paragraph" w:customStyle="1" w:styleId="ManualHeading4">
    <w:name w:val="Manual Heading 4"/>
    <w:basedOn w:val="Heading4"/>
    <w:next w:val="Text4"/>
    <w:uiPriority w:val="99"/>
    <w:rsid w:val="00475311"/>
    <w:pPr>
      <w:tabs>
        <w:tab w:val="clear" w:pos="850"/>
        <w:tab w:val="num" w:pos="851"/>
      </w:tabs>
    </w:pPr>
  </w:style>
  <w:style w:type="paragraph" w:customStyle="1" w:styleId="ManualNumPar1">
    <w:name w:val="Manual NumPar 1"/>
    <w:basedOn w:val="Normal"/>
    <w:next w:val="Text1"/>
    <w:rsid w:val="00475311"/>
    <w:pPr>
      <w:ind w:left="851" w:hanging="851"/>
    </w:pPr>
  </w:style>
  <w:style w:type="paragraph" w:customStyle="1" w:styleId="ManualNumPar2">
    <w:name w:val="Manual NumPar 2"/>
    <w:basedOn w:val="Normal"/>
    <w:next w:val="Text2"/>
    <w:uiPriority w:val="99"/>
    <w:rsid w:val="00475311"/>
    <w:pPr>
      <w:ind w:left="851" w:hanging="851"/>
    </w:pPr>
  </w:style>
  <w:style w:type="paragraph" w:customStyle="1" w:styleId="ManualNumPar3">
    <w:name w:val="Manual NumPar 3"/>
    <w:basedOn w:val="Normal"/>
    <w:next w:val="Text3"/>
    <w:uiPriority w:val="99"/>
    <w:rsid w:val="00475311"/>
    <w:pPr>
      <w:ind w:left="851" w:hanging="851"/>
    </w:pPr>
  </w:style>
  <w:style w:type="paragraph" w:customStyle="1" w:styleId="ManualNumPar4">
    <w:name w:val="Manual NumPar 4"/>
    <w:basedOn w:val="Normal"/>
    <w:next w:val="Text4"/>
    <w:uiPriority w:val="99"/>
    <w:rsid w:val="00475311"/>
    <w:pPr>
      <w:ind w:left="851" w:hanging="851"/>
    </w:pPr>
  </w:style>
  <w:style w:type="character" w:customStyle="1" w:styleId="Marker">
    <w:name w:val="Marker"/>
    <w:uiPriority w:val="99"/>
    <w:rsid w:val="00475311"/>
    <w:rPr>
      <w:color w:val="0000FF"/>
    </w:rPr>
  </w:style>
  <w:style w:type="paragraph" w:customStyle="1" w:styleId="NormalCentered">
    <w:name w:val="Normal Centered"/>
    <w:basedOn w:val="Normal"/>
    <w:rsid w:val="00475311"/>
    <w:pPr>
      <w:jc w:val="center"/>
    </w:pPr>
  </w:style>
  <w:style w:type="paragraph" w:customStyle="1" w:styleId="NormalLeft">
    <w:name w:val="Normal Left"/>
    <w:basedOn w:val="Normal"/>
    <w:rsid w:val="00475311"/>
  </w:style>
  <w:style w:type="paragraph" w:customStyle="1" w:styleId="NormalRight">
    <w:name w:val="Normal Right"/>
    <w:basedOn w:val="Normal"/>
    <w:uiPriority w:val="99"/>
    <w:rsid w:val="00475311"/>
    <w:pPr>
      <w:jc w:val="right"/>
    </w:pPr>
  </w:style>
  <w:style w:type="paragraph" w:customStyle="1" w:styleId="NumPar1">
    <w:name w:val="NumPar 1"/>
    <w:basedOn w:val="Normal"/>
    <w:next w:val="Text1"/>
    <w:rsid w:val="00475311"/>
    <w:pPr>
      <w:numPr>
        <w:numId w:val="2"/>
      </w:numPr>
    </w:pPr>
  </w:style>
  <w:style w:type="paragraph" w:customStyle="1" w:styleId="NumPar2">
    <w:name w:val="NumPar 2"/>
    <w:basedOn w:val="Normal"/>
    <w:next w:val="Text2"/>
    <w:rsid w:val="00475311"/>
    <w:pPr>
      <w:numPr>
        <w:ilvl w:val="1"/>
        <w:numId w:val="2"/>
      </w:numPr>
    </w:pPr>
  </w:style>
  <w:style w:type="paragraph" w:customStyle="1" w:styleId="NumPar3">
    <w:name w:val="NumPar 3"/>
    <w:basedOn w:val="Normal"/>
    <w:next w:val="Text3"/>
    <w:rsid w:val="00475311"/>
    <w:pPr>
      <w:numPr>
        <w:ilvl w:val="2"/>
        <w:numId w:val="2"/>
      </w:numPr>
    </w:pPr>
  </w:style>
  <w:style w:type="paragraph" w:customStyle="1" w:styleId="NumPar4">
    <w:name w:val="NumPar 4"/>
    <w:basedOn w:val="Normal"/>
    <w:next w:val="Text4"/>
    <w:rsid w:val="00475311"/>
    <w:pPr>
      <w:numPr>
        <w:ilvl w:val="3"/>
        <w:numId w:val="2"/>
      </w:numPr>
    </w:pPr>
  </w:style>
  <w:style w:type="paragraph" w:customStyle="1" w:styleId="Objetexterne">
    <w:name w:val="Objet externe"/>
    <w:basedOn w:val="Normal"/>
    <w:next w:val="Normal"/>
    <w:uiPriority w:val="99"/>
    <w:rsid w:val="00475311"/>
    <w:rPr>
      <w:i/>
      <w:iCs/>
      <w:caps/>
    </w:rPr>
  </w:style>
  <w:style w:type="character" w:styleId="PageNumber">
    <w:name w:val="page number"/>
    <w:rsid w:val="00475311"/>
  </w:style>
  <w:style w:type="paragraph" w:customStyle="1" w:styleId="PartTitle">
    <w:name w:val="PartTitle"/>
    <w:basedOn w:val="Normal"/>
    <w:next w:val="ChapterTitle"/>
    <w:uiPriority w:val="99"/>
    <w:rsid w:val="00475311"/>
    <w:pPr>
      <w:keepNext/>
      <w:pageBreakBefore/>
      <w:spacing w:after="360"/>
      <w:jc w:val="center"/>
    </w:pPr>
    <w:rPr>
      <w:b/>
      <w:bCs/>
      <w:sz w:val="36"/>
      <w:szCs w:val="36"/>
    </w:rPr>
  </w:style>
  <w:style w:type="paragraph" w:customStyle="1" w:styleId="Point0">
    <w:name w:val="Point 0"/>
    <w:basedOn w:val="Normal"/>
    <w:uiPriority w:val="99"/>
    <w:rsid w:val="00475311"/>
    <w:pPr>
      <w:ind w:left="851" w:hanging="851"/>
    </w:pPr>
  </w:style>
  <w:style w:type="paragraph" w:customStyle="1" w:styleId="Point1">
    <w:name w:val="Point 1"/>
    <w:basedOn w:val="Normal"/>
    <w:rsid w:val="00475311"/>
    <w:pPr>
      <w:ind w:left="1418" w:hanging="567"/>
    </w:pPr>
  </w:style>
  <w:style w:type="paragraph" w:customStyle="1" w:styleId="Point2">
    <w:name w:val="Point 2"/>
    <w:basedOn w:val="Normal"/>
    <w:uiPriority w:val="99"/>
    <w:rsid w:val="00475311"/>
    <w:pPr>
      <w:ind w:left="1985" w:hanging="567"/>
    </w:pPr>
  </w:style>
  <w:style w:type="paragraph" w:customStyle="1" w:styleId="Point3">
    <w:name w:val="Point 3"/>
    <w:basedOn w:val="Normal"/>
    <w:uiPriority w:val="99"/>
    <w:rsid w:val="00475311"/>
    <w:pPr>
      <w:ind w:left="2552" w:hanging="567"/>
    </w:pPr>
  </w:style>
  <w:style w:type="paragraph" w:customStyle="1" w:styleId="Point4">
    <w:name w:val="Point 4"/>
    <w:basedOn w:val="Normal"/>
    <w:uiPriority w:val="99"/>
    <w:rsid w:val="00475311"/>
    <w:pPr>
      <w:ind w:left="3119" w:hanging="567"/>
    </w:pPr>
  </w:style>
  <w:style w:type="paragraph" w:customStyle="1" w:styleId="PointDouble0">
    <w:name w:val="PointDouble 0"/>
    <w:basedOn w:val="Normal"/>
    <w:uiPriority w:val="99"/>
    <w:rsid w:val="00475311"/>
    <w:pPr>
      <w:tabs>
        <w:tab w:val="left" w:pos="851"/>
      </w:tabs>
      <w:ind w:left="1418" w:hanging="1418"/>
    </w:pPr>
  </w:style>
  <w:style w:type="paragraph" w:customStyle="1" w:styleId="PointDouble1">
    <w:name w:val="PointDouble 1"/>
    <w:basedOn w:val="Normal"/>
    <w:uiPriority w:val="99"/>
    <w:rsid w:val="00475311"/>
    <w:pPr>
      <w:tabs>
        <w:tab w:val="left" w:pos="1418"/>
      </w:tabs>
      <w:ind w:left="1985" w:hanging="1134"/>
    </w:pPr>
  </w:style>
  <w:style w:type="paragraph" w:customStyle="1" w:styleId="PointDouble2">
    <w:name w:val="PointDouble 2"/>
    <w:basedOn w:val="Normal"/>
    <w:uiPriority w:val="99"/>
    <w:rsid w:val="00475311"/>
    <w:pPr>
      <w:tabs>
        <w:tab w:val="left" w:pos="1985"/>
      </w:tabs>
      <w:ind w:left="2552" w:hanging="1134"/>
    </w:pPr>
  </w:style>
  <w:style w:type="paragraph" w:customStyle="1" w:styleId="PointDouble3">
    <w:name w:val="PointDouble 3"/>
    <w:basedOn w:val="Normal"/>
    <w:uiPriority w:val="99"/>
    <w:rsid w:val="00475311"/>
    <w:pPr>
      <w:tabs>
        <w:tab w:val="left" w:pos="2552"/>
      </w:tabs>
      <w:ind w:left="3119" w:hanging="1134"/>
    </w:pPr>
  </w:style>
  <w:style w:type="paragraph" w:customStyle="1" w:styleId="PointDouble4">
    <w:name w:val="PointDouble 4"/>
    <w:basedOn w:val="Normal"/>
    <w:uiPriority w:val="99"/>
    <w:rsid w:val="00475311"/>
    <w:pPr>
      <w:tabs>
        <w:tab w:val="left" w:pos="3119"/>
      </w:tabs>
      <w:ind w:left="3686" w:hanging="1134"/>
    </w:pPr>
  </w:style>
  <w:style w:type="paragraph" w:customStyle="1" w:styleId="PointTriple0">
    <w:name w:val="PointTriple 0"/>
    <w:basedOn w:val="Normal"/>
    <w:uiPriority w:val="99"/>
    <w:rsid w:val="00475311"/>
    <w:pPr>
      <w:tabs>
        <w:tab w:val="left" w:pos="851"/>
        <w:tab w:val="left" w:pos="1418"/>
      </w:tabs>
      <w:ind w:left="1985" w:hanging="1985"/>
    </w:pPr>
  </w:style>
  <w:style w:type="paragraph" w:customStyle="1" w:styleId="PointTriple1">
    <w:name w:val="PointTriple 1"/>
    <w:basedOn w:val="Normal"/>
    <w:uiPriority w:val="99"/>
    <w:rsid w:val="00475311"/>
    <w:pPr>
      <w:tabs>
        <w:tab w:val="left" w:pos="1418"/>
        <w:tab w:val="left" w:pos="1985"/>
      </w:tabs>
      <w:ind w:left="2552" w:hanging="1701"/>
    </w:pPr>
  </w:style>
  <w:style w:type="paragraph" w:customStyle="1" w:styleId="PointTriple2">
    <w:name w:val="PointTriple 2"/>
    <w:basedOn w:val="Normal"/>
    <w:uiPriority w:val="99"/>
    <w:rsid w:val="00475311"/>
    <w:pPr>
      <w:tabs>
        <w:tab w:val="left" w:pos="1985"/>
        <w:tab w:val="left" w:pos="2552"/>
      </w:tabs>
      <w:ind w:left="3119" w:hanging="1701"/>
    </w:pPr>
  </w:style>
  <w:style w:type="paragraph" w:customStyle="1" w:styleId="PointTriple3">
    <w:name w:val="PointTriple 3"/>
    <w:basedOn w:val="Normal"/>
    <w:uiPriority w:val="99"/>
    <w:rsid w:val="00475311"/>
    <w:pPr>
      <w:tabs>
        <w:tab w:val="left" w:pos="2552"/>
        <w:tab w:val="left" w:pos="3119"/>
      </w:tabs>
      <w:ind w:left="3686" w:hanging="1701"/>
    </w:pPr>
  </w:style>
  <w:style w:type="paragraph" w:customStyle="1" w:styleId="PointTriple4">
    <w:name w:val="PointTriple 4"/>
    <w:basedOn w:val="Normal"/>
    <w:uiPriority w:val="99"/>
    <w:rsid w:val="00475311"/>
    <w:pPr>
      <w:tabs>
        <w:tab w:val="left" w:pos="3119"/>
        <w:tab w:val="left" w:pos="3686"/>
      </w:tabs>
      <w:ind w:left="4253" w:hanging="1701"/>
    </w:pPr>
  </w:style>
  <w:style w:type="paragraph" w:customStyle="1" w:styleId="Prliminairetitre">
    <w:name w:val="Préliminaire titre"/>
    <w:basedOn w:val="Normal"/>
    <w:next w:val="Normal"/>
    <w:uiPriority w:val="99"/>
    <w:rsid w:val="00475311"/>
    <w:pPr>
      <w:spacing w:before="360" w:after="360"/>
      <w:jc w:val="center"/>
    </w:pPr>
    <w:rPr>
      <w:b/>
      <w:bCs/>
    </w:rPr>
  </w:style>
  <w:style w:type="paragraph" w:customStyle="1" w:styleId="Prliminairetype">
    <w:name w:val="Préliminaire type"/>
    <w:basedOn w:val="Normal"/>
    <w:next w:val="Normal"/>
    <w:uiPriority w:val="99"/>
    <w:rsid w:val="00475311"/>
    <w:pPr>
      <w:spacing w:before="360"/>
      <w:jc w:val="center"/>
    </w:pPr>
    <w:rPr>
      <w:b/>
      <w:bCs/>
    </w:rPr>
  </w:style>
  <w:style w:type="paragraph" w:customStyle="1" w:styleId="QuotedNumPar">
    <w:name w:val="Quoted NumPar"/>
    <w:basedOn w:val="Normal"/>
    <w:uiPriority w:val="99"/>
    <w:rsid w:val="00475311"/>
    <w:pPr>
      <w:ind w:left="1418" w:hanging="567"/>
    </w:pPr>
  </w:style>
  <w:style w:type="paragraph" w:customStyle="1" w:styleId="QuotedText">
    <w:name w:val="Quoted Text"/>
    <w:basedOn w:val="Normal"/>
    <w:uiPriority w:val="99"/>
    <w:rsid w:val="00475311"/>
    <w:pPr>
      <w:ind w:left="1418"/>
    </w:pPr>
  </w:style>
  <w:style w:type="paragraph" w:customStyle="1" w:styleId="Rfrenceinterinstitutionelle">
    <w:name w:val="Référence interinstitutionelle"/>
    <w:basedOn w:val="Normal"/>
    <w:next w:val="Statut"/>
    <w:uiPriority w:val="99"/>
    <w:rsid w:val="00475311"/>
    <w:pPr>
      <w:ind w:left="5103"/>
    </w:pPr>
  </w:style>
  <w:style w:type="paragraph" w:customStyle="1" w:styleId="SectionTitle">
    <w:name w:val="SectionTitle"/>
    <w:basedOn w:val="Normal"/>
    <w:next w:val="Heading1"/>
    <w:uiPriority w:val="99"/>
    <w:rsid w:val="00475311"/>
    <w:pPr>
      <w:keepNext/>
      <w:spacing w:after="360"/>
      <w:jc w:val="center"/>
    </w:pPr>
    <w:rPr>
      <w:b/>
      <w:bCs/>
      <w:smallCaps/>
      <w:sz w:val="28"/>
    </w:rPr>
  </w:style>
  <w:style w:type="paragraph" w:customStyle="1" w:styleId="TableTitle">
    <w:name w:val="Table Title"/>
    <w:basedOn w:val="Normal"/>
    <w:next w:val="Normal"/>
    <w:uiPriority w:val="99"/>
    <w:rsid w:val="00475311"/>
    <w:pPr>
      <w:jc w:val="center"/>
    </w:pPr>
    <w:rPr>
      <w:b/>
      <w:bCs/>
    </w:rPr>
  </w:style>
  <w:style w:type="paragraph" w:customStyle="1" w:styleId="Tiret0">
    <w:name w:val="Tiret 0"/>
    <w:basedOn w:val="Point0"/>
    <w:uiPriority w:val="99"/>
    <w:rsid w:val="00475311"/>
  </w:style>
  <w:style w:type="paragraph" w:customStyle="1" w:styleId="Tiret1">
    <w:name w:val="Tiret 1"/>
    <w:basedOn w:val="Point1"/>
    <w:uiPriority w:val="99"/>
    <w:rsid w:val="00475311"/>
  </w:style>
  <w:style w:type="paragraph" w:customStyle="1" w:styleId="Tiret2">
    <w:name w:val="Tiret 2"/>
    <w:basedOn w:val="Point2"/>
    <w:uiPriority w:val="99"/>
    <w:rsid w:val="00475311"/>
  </w:style>
  <w:style w:type="paragraph" w:customStyle="1" w:styleId="Tiret3">
    <w:name w:val="Tiret 3"/>
    <w:basedOn w:val="Point3"/>
    <w:uiPriority w:val="99"/>
    <w:rsid w:val="00475311"/>
  </w:style>
  <w:style w:type="paragraph" w:customStyle="1" w:styleId="Tiret4">
    <w:name w:val="Tiret 4"/>
    <w:basedOn w:val="Point4"/>
    <w:uiPriority w:val="99"/>
    <w:rsid w:val="00475311"/>
  </w:style>
  <w:style w:type="paragraph" w:styleId="TOAHeading">
    <w:name w:val="toa heading"/>
    <w:basedOn w:val="Normal"/>
    <w:next w:val="Normal"/>
    <w:uiPriority w:val="99"/>
    <w:rsid w:val="00475311"/>
    <w:rPr>
      <w:rFonts w:cs="Arial"/>
      <w:b/>
      <w:bCs/>
    </w:rPr>
  </w:style>
  <w:style w:type="paragraph" w:styleId="TOC1">
    <w:name w:val="toc 1"/>
    <w:next w:val="Normal"/>
    <w:uiPriority w:val="39"/>
    <w:rsid w:val="00FC3016"/>
    <w:pPr>
      <w:tabs>
        <w:tab w:val="right" w:leader="dot" w:pos="9072"/>
      </w:tabs>
      <w:spacing w:before="200" w:after="100"/>
      <w:ind w:left="-142" w:right="567" w:hanging="142"/>
      <w:jc w:val="both"/>
    </w:pPr>
    <w:rPr>
      <w:rFonts w:ascii="Arial" w:hAnsi="Arial"/>
      <w:b/>
      <w:bCs/>
      <w:caps/>
    </w:rPr>
  </w:style>
  <w:style w:type="paragraph" w:styleId="TOC2">
    <w:name w:val="toc 2"/>
    <w:next w:val="Normal"/>
    <w:uiPriority w:val="39"/>
    <w:rsid w:val="00FC3016"/>
    <w:pPr>
      <w:spacing w:before="100"/>
      <w:ind w:left="85" w:right="567" w:hanging="142"/>
      <w:jc w:val="both"/>
    </w:pPr>
    <w:rPr>
      <w:rFonts w:ascii="Arial" w:hAnsi="Arial"/>
      <w:smallCaps/>
    </w:rPr>
  </w:style>
  <w:style w:type="paragraph" w:styleId="TOC3">
    <w:name w:val="toc 3"/>
    <w:next w:val="Normal"/>
    <w:uiPriority w:val="39"/>
    <w:rsid w:val="00FC3016"/>
    <w:pPr>
      <w:tabs>
        <w:tab w:val="right" w:leader="dot" w:pos="9072"/>
      </w:tabs>
      <w:ind w:left="142" w:right="567" w:hanging="142"/>
      <w:jc w:val="both"/>
    </w:pPr>
    <w:rPr>
      <w:rFonts w:ascii="Arial" w:hAnsi="Arial"/>
      <w:i/>
      <w:iCs/>
    </w:rPr>
  </w:style>
  <w:style w:type="paragraph" w:styleId="TOC4">
    <w:name w:val="toc 4"/>
    <w:basedOn w:val="Normal"/>
    <w:next w:val="Normal"/>
    <w:uiPriority w:val="39"/>
    <w:rsid w:val="00980F0D"/>
    <w:pPr>
      <w:ind w:left="600"/>
    </w:pPr>
    <w:rPr>
      <w:szCs w:val="18"/>
    </w:rPr>
  </w:style>
  <w:style w:type="paragraph" w:styleId="TOC5">
    <w:name w:val="toc 5"/>
    <w:basedOn w:val="Normal"/>
    <w:next w:val="Normal"/>
    <w:uiPriority w:val="39"/>
    <w:rsid w:val="00475311"/>
    <w:pPr>
      <w:ind w:left="800"/>
    </w:pPr>
    <w:rPr>
      <w:rFonts w:ascii="Calibri" w:hAnsi="Calibri"/>
      <w:sz w:val="18"/>
      <w:szCs w:val="18"/>
    </w:rPr>
  </w:style>
  <w:style w:type="paragraph" w:styleId="TOC6">
    <w:name w:val="toc 6"/>
    <w:basedOn w:val="Normal"/>
    <w:next w:val="Normal"/>
    <w:uiPriority w:val="39"/>
    <w:rsid w:val="00475311"/>
    <w:pPr>
      <w:ind w:left="1000"/>
    </w:pPr>
    <w:rPr>
      <w:rFonts w:ascii="Calibri" w:hAnsi="Calibri"/>
      <w:sz w:val="18"/>
      <w:szCs w:val="18"/>
    </w:rPr>
  </w:style>
  <w:style w:type="paragraph" w:styleId="TOC7">
    <w:name w:val="toc 7"/>
    <w:basedOn w:val="Normal"/>
    <w:next w:val="Normal"/>
    <w:uiPriority w:val="39"/>
    <w:rsid w:val="00475311"/>
    <w:pPr>
      <w:ind w:left="1200"/>
    </w:pPr>
    <w:rPr>
      <w:rFonts w:ascii="Calibri" w:hAnsi="Calibri"/>
      <w:sz w:val="18"/>
      <w:szCs w:val="18"/>
    </w:rPr>
  </w:style>
  <w:style w:type="paragraph" w:styleId="TOC8">
    <w:name w:val="toc 8"/>
    <w:basedOn w:val="Normal"/>
    <w:next w:val="Normal"/>
    <w:uiPriority w:val="39"/>
    <w:rsid w:val="00475311"/>
    <w:pPr>
      <w:ind w:left="1400"/>
    </w:pPr>
    <w:rPr>
      <w:rFonts w:ascii="Calibri" w:hAnsi="Calibri"/>
      <w:sz w:val="18"/>
      <w:szCs w:val="18"/>
    </w:rPr>
  </w:style>
  <w:style w:type="paragraph" w:styleId="TOC9">
    <w:name w:val="toc 9"/>
    <w:basedOn w:val="Normal"/>
    <w:next w:val="Normal"/>
    <w:uiPriority w:val="39"/>
    <w:rsid w:val="00475311"/>
    <w:pPr>
      <w:ind w:left="1600"/>
    </w:pPr>
    <w:rPr>
      <w:rFonts w:ascii="Calibri" w:hAnsi="Calibri"/>
      <w:sz w:val="18"/>
      <w:szCs w:val="18"/>
    </w:rPr>
  </w:style>
  <w:style w:type="paragraph" w:styleId="TOCHeading">
    <w:name w:val="TOC Heading"/>
    <w:basedOn w:val="Normal"/>
    <w:next w:val="Normal"/>
    <w:uiPriority w:val="39"/>
    <w:qFormat/>
    <w:rsid w:val="00475311"/>
    <w:pPr>
      <w:spacing w:after="240"/>
      <w:jc w:val="center"/>
    </w:pPr>
    <w:rPr>
      <w:b/>
      <w:bCs/>
      <w:sz w:val="28"/>
    </w:rPr>
  </w:style>
  <w:style w:type="paragraph" w:customStyle="1" w:styleId="Considrant">
    <w:name w:val="Considérant"/>
    <w:basedOn w:val="Normal"/>
    <w:rsid w:val="00475311"/>
    <w:pPr>
      <w:numPr>
        <w:numId w:val="3"/>
      </w:numPr>
    </w:pPr>
  </w:style>
  <w:style w:type="paragraph" w:customStyle="1" w:styleId="Confidentialit">
    <w:name w:val="Confidentialité"/>
    <w:basedOn w:val="Normal"/>
    <w:next w:val="Statut"/>
    <w:uiPriority w:val="99"/>
    <w:rsid w:val="00475311"/>
    <w:pPr>
      <w:spacing w:before="240" w:after="240"/>
      <w:ind w:left="5103"/>
    </w:pPr>
    <w:rPr>
      <w:u w:val="single"/>
    </w:rPr>
  </w:style>
  <w:style w:type="paragraph" w:customStyle="1" w:styleId="ManualConsidrant">
    <w:name w:val="Manual Considérant"/>
    <w:basedOn w:val="Normal"/>
    <w:uiPriority w:val="99"/>
    <w:rsid w:val="00475311"/>
    <w:pPr>
      <w:ind w:left="709" w:hanging="709"/>
    </w:pPr>
  </w:style>
  <w:style w:type="paragraph" w:customStyle="1" w:styleId="FooterLandscape">
    <w:name w:val="FooterLandscape"/>
    <w:basedOn w:val="Footer"/>
    <w:uiPriority w:val="99"/>
    <w:rsid w:val="00475311"/>
    <w:pPr>
      <w:tabs>
        <w:tab w:val="clear" w:pos="4536"/>
        <w:tab w:val="clear" w:pos="9072"/>
        <w:tab w:val="center" w:pos="7002"/>
        <w:tab w:val="right" w:pos="14005"/>
      </w:tabs>
    </w:pPr>
  </w:style>
  <w:style w:type="paragraph" w:customStyle="1" w:styleId="Titredumodificateur">
    <w:name w:val="Titre du modificateur"/>
    <w:basedOn w:val="Normal"/>
    <w:next w:val="Annexetitrefichefinacte"/>
    <w:uiPriority w:val="99"/>
    <w:rsid w:val="00475311"/>
    <w:pPr>
      <w:spacing w:before="240" w:after="60"/>
    </w:pPr>
    <w:rPr>
      <w:b/>
      <w:bCs/>
      <w:lang w:val="bg-BG"/>
    </w:rPr>
  </w:style>
  <w:style w:type="paragraph" w:customStyle="1" w:styleId="Referencedumodificateur">
    <w:name w:val="Reference du modificateur"/>
    <w:basedOn w:val="Normal"/>
    <w:next w:val="Annexetitrefichefinglobale"/>
    <w:uiPriority w:val="99"/>
    <w:rsid w:val="00475311"/>
    <w:rPr>
      <w:lang w:val="bg-BG"/>
    </w:rPr>
  </w:style>
  <w:style w:type="character" w:styleId="Hyperlink">
    <w:name w:val="Hyperlink"/>
    <w:uiPriority w:val="99"/>
    <w:unhideWhenUsed/>
    <w:rsid w:val="00225A33"/>
    <w:rPr>
      <w:b/>
      <w:bCs/>
      <w:color w:val="002579"/>
      <w:u w:val="single"/>
    </w:rPr>
  </w:style>
  <w:style w:type="paragraph" w:styleId="BodyText">
    <w:name w:val="Body Text"/>
    <w:basedOn w:val="Normal"/>
    <w:link w:val="BodyTextChar"/>
    <w:rsid w:val="00225A33"/>
    <w:pPr>
      <w:keepNext/>
      <w:tabs>
        <w:tab w:val="left" w:pos="709"/>
      </w:tabs>
      <w:spacing w:line="360" w:lineRule="auto"/>
    </w:pPr>
    <w:rPr>
      <w:lang w:eastAsia="bg-BG"/>
    </w:rPr>
  </w:style>
  <w:style w:type="character" w:customStyle="1" w:styleId="BodyTextChar">
    <w:name w:val="Body Text Char"/>
    <w:link w:val="BodyText"/>
    <w:rsid w:val="00225A33"/>
    <w:rPr>
      <w:rFonts w:ascii="Arial" w:hAnsi="Arial"/>
      <w:szCs w:val="24"/>
      <w:lang w:val="bg-BG" w:eastAsia="bg-BG"/>
    </w:rPr>
  </w:style>
  <w:style w:type="paragraph" w:styleId="CommentSubject">
    <w:name w:val="annotation subject"/>
    <w:basedOn w:val="CommentText"/>
    <w:next w:val="CommentText"/>
    <w:link w:val="CommentSubjectChar"/>
    <w:unhideWhenUsed/>
    <w:rsid w:val="00034CAA"/>
    <w:rPr>
      <w:b/>
      <w:bCs/>
    </w:rPr>
  </w:style>
  <w:style w:type="character" w:customStyle="1" w:styleId="CommentSubjectChar">
    <w:name w:val="Comment Subject Char"/>
    <w:link w:val="CommentSubject"/>
    <w:rsid w:val="00034CAA"/>
    <w:rPr>
      <w:rFonts w:ascii="Times New Roman" w:hAnsi="Times New Roman" w:cs="Times New Roman"/>
      <w:b/>
      <w:bCs/>
      <w:sz w:val="20"/>
      <w:szCs w:val="20"/>
    </w:rPr>
  </w:style>
  <w:style w:type="paragraph" w:styleId="Revision">
    <w:name w:val="Revision"/>
    <w:hidden/>
    <w:uiPriority w:val="99"/>
    <w:semiHidden/>
    <w:rsid w:val="00034CAA"/>
    <w:rPr>
      <w:rFonts w:ascii="Times New Roman" w:hAnsi="Times New Roman"/>
      <w:sz w:val="24"/>
      <w:szCs w:val="24"/>
    </w:rPr>
  </w:style>
  <w:style w:type="paragraph" w:styleId="BalloonText">
    <w:name w:val="Balloon Text"/>
    <w:basedOn w:val="Normal"/>
    <w:link w:val="BalloonTextChar"/>
    <w:unhideWhenUsed/>
    <w:rsid w:val="00034CAA"/>
    <w:rPr>
      <w:rFonts w:ascii="Tahoma" w:hAnsi="Tahoma"/>
      <w:sz w:val="16"/>
      <w:szCs w:val="16"/>
    </w:rPr>
  </w:style>
  <w:style w:type="character" w:customStyle="1" w:styleId="BalloonTextChar">
    <w:name w:val="Balloon Text Char"/>
    <w:link w:val="BalloonText"/>
    <w:rsid w:val="00034CAA"/>
    <w:rPr>
      <w:rFonts w:ascii="Tahoma" w:hAnsi="Tahoma" w:cs="Tahoma"/>
      <w:sz w:val="16"/>
      <w:szCs w:val="16"/>
    </w:rPr>
  </w:style>
  <w:style w:type="paragraph" w:styleId="BodyText3">
    <w:name w:val="Body Text 3"/>
    <w:basedOn w:val="Normal"/>
    <w:link w:val="BodyText3Char"/>
    <w:unhideWhenUsed/>
    <w:rsid w:val="00B5757A"/>
    <w:rPr>
      <w:sz w:val="16"/>
      <w:szCs w:val="16"/>
    </w:rPr>
  </w:style>
  <w:style w:type="character" w:customStyle="1" w:styleId="BodyText3Char">
    <w:name w:val="Body Text 3 Char"/>
    <w:link w:val="BodyText3"/>
    <w:uiPriority w:val="99"/>
    <w:rsid w:val="00B5757A"/>
    <w:rPr>
      <w:rFonts w:ascii="Times New Roman" w:hAnsi="Times New Roman"/>
      <w:sz w:val="16"/>
      <w:szCs w:val="16"/>
    </w:rPr>
  </w:style>
  <w:style w:type="paragraph" w:styleId="BodyTextIndent3">
    <w:name w:val="Body Text Indent 3"/>
    <w:basedOn w:val="Normal"/>
    <w:link w:val="BodyTextIndent3Char"/>
    <w:unhideWhenUsed/>
    <w:rsid w:val="00364497"/>
    <w:pPr>
      <w:ind w:left="283"/>
    </w:pPr>
    <w:rPr>
      <w:sz w:val="16"/>
      <w:szCs w:val="16"/>
    </w:rPr>
  </w:style>
  <w:style w:type="character" w:customStyle="1" w:styleId="BodyTextIndent3Char">
    <w:name w:val="Body Text Indent 3 Char"/>
    <w:link w:val="BodyTextIndent3"/>
    <w:uiPriority w:val="99"/>
    <w:rsid w:val="00364497"/>
    <w:rPr>
      <w:rFonts w:ascii="Times New Roman" w:hAnsi="Times New Roman"/>
      <w:sz w:val="16"/>
      <w:szCs w:val="16"/>
    </w:rPr>
  </w:style>
  <w:style w:type="paragraph" w:styleId="ListParagraph">
    <w:name w:val="List Paragraph"/>
    <w:basedOn w:val="Normal"/>
    <w:uiPriority w:val="34"/>
    <w:qFormat/>
    <w:rsid w:val="00F0492F"/>
    <w:pPr>
      <w:ind w:left="720"/>
    </w:pPr>
    <w:rPr>
      <w:rFonts w:ascii="Calibri" w:eastAsia="Calibri" w:hAnsi="Calibri" w:cs="Calibri"/>
    </w:rPr>
  </w:style>
  <w:style w:type="paragraph" w:customStyle="1" w:styleId="ES-intro">
    <w:name w:val="ES-intro"/>
    <w:basedOn w:val="Normal"/>
    <w:link w:val="ES-introCar"/>
    <w:qFormat/>
    <w:rsid w:val="00465BBB"/>
    <w:pPr>
      <w:overflowPunct w:val="0"/>
      <w:adjustRightInd w:val="0"/>
      <w:spacing w:line="360" w:lineRule="auto"/>
      <w:textAlignment w:val="baseline"/>
    </w:pPr>
    <w:rPr>
      <w:rFonts w:eastAsia="Calibri"/>
      <w:szCs w:val="20"/>
      <w:lang w:val="bg-BG"/>
    </w:rPr>
  </w:style>
  <w:style w:type="character" w:customStyle="1" w:styleId="ES-introCar">
    <w:name w:val="ES-intro Car"/>
    <w:link w:val="ES-intro"/>
    <w:rsid w:val="00465BBB"/>
    <w:rPr>
      <w:rFonts w:ascii="Arial" w:eastAsia="Calibri" w:hAnsi="Arial"/>
      <w:lang w:val="bg-BG" w:eastAsia="bg-BG"/>
    </w:rPr>
  </w:style>
  <w:style w:type="paragraph" w:customStyle="1" w:styleId="ES-Titre1">
    <w:name w:val="ES-Titre1"/>
    <w:basedOn w:val="Normal"/>
    <w:link w:val="ES-Titre1Car"/>
    <w:qFormat/>
    <w:rsid w:val="00A84512"/>
    <w:pPr>
      <w:overflowPunct w:val="0"/>
      <w:adjustRightInd w:val="0"/>
      <w:spacing w:line="240" w:lineRule="atLeast"/>
      <w:jc w:val="center"/>
      <w:textAlignment w:val="baseline"/>
    </w:pPr>
    <w:rPr>
      <w:rFonts w:eastAsia="Calibri" w:cs="Arial"/>
      <w:b/>
      <w:color w:val="000000"/>
      <w:sz w:val="28"/>
      <w:szCs w:val="32"/>
      <w:lang w:val="bg-BG"/>
    </w:rPr>
  </w:style>
  <w:style w:type="paragraph" w:customStyle="1" w:styleId="ES-Titre2">
    <w:name w:val="ES-Titre2"/>
    <w:basedOn w:val="Normal"/>
    <w:link w:val="ES-Titre2Car"/>
    <w:qFormat/>
    <w:rsid w:val="009C13A9"/>
    <w:pPr>
      <w:pageBreakBefore/>
      <w:overflowPunct w:val="0"/>
      <w:adjustRightInd w:val="0"/>
      <w:spacing w:line="240" w:lineRule="atLeast"/>
      <w:jc w:val="center"/>
      <w:textAlignment w:val="baseline"/>
    </w:pPr>
    <w:rPr>
      <w:rFonts w:eastAsia="Calibri" w:cs="Arial"/>
      <w:b/>
      <w:i/>
      <w:caps/>
      <w:sz w:val="24"/>
      <w:lang w:val="bg-BG"/>
    </w:rPr>
  </w:style>
  <w:style w:type="character" w:customStyle="1" w:styleId="ES-Titre1Car">
    <w:name w:val="ES-Titre1 Car"/>
    <w:link w:val="ES-Titre1"/>
    <w:rsid w:val="00A84512"/>
    <w:rPr>
      <w:rFonts w:ascii="Arial" w:eastAsia="Calibri" w:hAnsi="Arial" w:cs="Arial"/>
      <w:b/>
      <w:color w:val="000000"/>
      <w:sz w:val="28"/>
      <w:szCs w:val="32"/>
      <w:lang w:val="bg-BG" w:eastAsia="bg-BG"/>
    </w:rPr>
  </w:style>
  <w:style w:type="paragraph" w:customStyle="1" w:styleId="ES-Titre3">
    <w:name w:val="ES-Titre3"/>
    <w:basedOn w:val="Normal"/>
    <w:link w:val="ES-Titre3Car"/>
    <w:qFormat/>
    <w:rsid w:val="00944893"/>
    <w:pPr>
      <w:overflowPunct w:val="0"/>
      <w:adjustRightInd w:val="0"/>
      <w:spacing w:line="240" w:lineRule="exact"/>
      <w:jc w:val="center"/>
      <w:textAlignment w:val="baseline"/>
    </w:pPr>
    <w:rPr>
      <w:rFonts w:eastAsia="Calibri"/>
      <w:b/>
    </w:rPr>
  </w:style>
  <w:style w:type="character" w:customStyle="1" w:styleId="ES-Titre2Car">
    <w:name w:val="ES-Titre2 Car"/>
    <w:link w:val="ES-Titre2"/>
    <w:rsid w:val="009C13A9"/>
    <w:rPr>
      <w:rFonts w:ascii="Arial" w:eastAsia="Calibri" w:hAnsi="Arial" w:cs="Arial"/>
      <w:b/>
      <w:i/>
      <w:caps/>
      <w:sz w:val="24"/>
      <w:szCs w:val="28"/>
      <w:lang w:val="bg-BG" w:eastAsia="bg-BG"/>
    </w:rPr>
  </w:style>
  <w:style w:type="character" w:customStyle="1" w:styleId="ES-Titre3Car">
    <w:name w:val="ES-Titre3 Car"/>
    <w:link w:val="ES-Titre3"/>
    <w:rsid w:val="00944893"/>
    <w:rPr>
      <w:rFonts w:ascii="Arial" w:eastAsia="Calibri" w:hAnsi="Arial"/>
      <w:b/>
      <w:sz w:val="22"/>
      <w:szCs w:val="22"/>
      <w:lang w:eastAsia="bg-BG"/>
    </w:rPr>
  </w:style>
  <w:style w:type="paragraph" w:customStyle="1" w:styleId="TNR1">
    <w:name w:val="TNR1"/>
    <w:basedOn w:val="Normal"/>
    <w:rsid w:val="00A06CEC"/>
    <w:pPr>
      <w:tabs>
        <w:tab w:val="left" w:pos="284"/>
        <w:tab w:val="left" w:pos="454"/>
        <w:tab w:val="left" w:pos="680"/>
        <w:tab w:val="left" w:pos="907"/>
      </w:tabs>
      <w:overflowPunct w:val="0"/>
      <w:adjustRightInd w:val="0"/>
      <w:ind w:hanging="284"/>
      <w:textAlignment w:val="baseline"/>
    </w:pPr>
    <w:rPr>
      <w:rFonts w:ascii="Times New Roman" w:hAnsi="Times New Roman"/>
      <w:sz w:val="24"/>
      <w:szCs w:val="20"/>
    </w:rPr>
  </w:style>
  <w:style w:type="paragraph" w:customStyle="1" w:styleId="N1">
    <w:name w:val="N1"/>
    <w:basedOn w:val="Normal"/>
    <w:rsid w:val="00A06CEC"/>
    <w:pPr>
      <w:tabs>
        <w:tab w:val="left" w:pos="284"/>
        <w:tab w:val="left" w:pos="454"/>
        <w:tab w:val="left" w:pos="680"/>
      </w:tabs>
      <w:overflowPunct w:val="0"/>
      <w:adjustRightInd w:val="0"/>
      <w:spacing w:line="240" w:lineRule="exact"/>
      <w:ind w:hanging="284"/>
      <w:textAlignment w:val="baseline"/>
    </w:pPr>
    <w:rPr>
      <w:rFonts w:ascii="Times New Roman" w:hAnsi="Times New Roman"/>
      <w:sz w:val="24"/>
      <w:szCs w:val="20"/>
    </w:rPr>
  </w:style>
  <w:style w:type="paragraph" w:customStyle="1" w:styleId="EStiret">
    <w:name w:val="ES_tiret"/>
    <w:basedOn w:val="Normal"/>
    <w:qFormat/>
    <w:rsid w:val="00E65F26"/>
    <w:pPr>
      <w:spacing w:before="60" w:line="240" w:lineRule="atLeast"/>
      <w:ind w:left="1417"/>
    </w:pPr>
    <w:rPr>
      <w:noProof/>
      <w:snapToGrid w:val="0"/>
      <w:color w:val="000000"/>
      <w:lang w:bidi="bg-BG"/>
    </w:rPr>
  </w:style>
  <w:style w:type="paragraph" w:customStyle="1" w:styleId="TNRA">
    <w:name w:val="TNRA"/>
    <w:basedOn w:val="TNR1"/>
    <w:rsid w:val="000B4F66"/>
    <w:pPr>
      <w:ind w:left="284"/>
    </w:pPr>
  </w:style>
  <w:style w:type="numbering" w:customStyle="1" w:styleId="Aucuneliste1">
    <w:name w:val="Aucune liste1"/>
    <w:next w:val="NoList"/>
    <w:semiHidden/>
    <w:unhideWhenUsed/>
    <w:rsid w:val="00973DAA"/>
  </w:style>
  <w:style w:type="paragraph" w:styleId="BodyTextIndent">
    <w:name w:val="Body Text Indent"/>
    <w:basedOn w:val="Normal"/>
    <w:link w:val="BodyTextIndentChar"/>
    <w:unhideWhenUsed/>
    <w:rsid w:val="00F51060"/>
    <w:pPr>
      <w:spacing w:after="120"/>
      <w:ind w:left="283"/>
    </w:pPr>
  </w:style>
  <w:style w:type="character" w:customStyle="1" w:styleId="BodyTextIndentChar">
    <w:name w:val="Body Text Indent Char"/>
    <w:link w:val="BodyTextIndent"/>
    <w:uiPriority w:val="99"/>
    <w:rsid w:val="00F51060"/>
    <w:rPr>
      <w:rFonts w:ascii="Arial" w:hAnsi="Arial"/>
      <w:szCs w:val="24"/>
    </w:rPr>
  </w:style>
  <w:style w:type="paragraph" w:customStyle="1" w:styleId="Retraitcorpsdetexte22">
    <w:name w:val="Retrait corps de texte 22"/>
    <w:basedOn w:val="Normal"/>
    <w:rsid w:val="00B73D19"/>
    <w:pPr>
      <w:widowControl w:val="0"/>
      <w:tabs>
        <w:tab w:val="left" w:pos="709"/>
      </w:tabs>
      <w:suppressAutoHyphens/>
      <w:spacing w:line="240" w:lineRule="atLeast"/>
      <w:ind w:left="426"/>
    </w:pPr>
    <w:rPr>
      <w:rFonts w:cs="Arial"/>
      <w:szCs w:val="20"/>
      <w:lang w:val="bg-BG" w:eastAsia="bg-BG"/>
    </w:rPr>
  </w:style>
  <w:style w:type="table" w:styleId="TableGrid">
    <w:name w:val="Table Grid"/>
    <w:basedOn w:val="TableNormal"/>
    <w:uiPriority w:val="59"/>
    <w:rsid w:val="00083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rp">
    <w:name w:val="T1_rp"/>
    <w:basedOn w:val="Normal"/>
    <w:rsid w:val="00226A59"/>
    <w:pPr>
      <w:widowControl w:val="0"/>
      <w:tabs>
        <w:tab w:val="left" w:pos="567"/>
      </w:tabs>
      <w:adjustRightInd w:val="0"/>
      <w:spacing w:line="240" w:lineRule="atLeast"/>
      <w:ind w:left="567" w:hanging="567"/>
    </w:pPr>
    <w:rPr>
      <w:rFonts w:ascii="Times New Roman" w:eastAsia="Batang" w:hAnsi="Times New Roman" w:cs="Arial"/>
      <w:sz w:val="24"/>
      <w:szCs w:val="20"/>
      <w:lang w:val="bg-BG" w:eastAsia="bg-BG"/>
    </w:rPr>
  </w:style>
  <w:style w:type="paragraph" w:customStyle="1" w:styleId="ESchgras">
    <w:name w:val="ES_ch_gras"/>
    <w:basedOn w:val="Normal"/>
    <w:qFormat/>
    <w:rsid w:val="00151656"/>
    <w:pPr>
      <w:spacing w:line="240" w:lineRule="atLeast"/>
      <w:ind w:left="567" w:hanging="567"/>
    </w:pPr>
    <w:rPr>
      <w:rFonts w:cs="Arial"/>
      <w:b/>
      <w:color w:val="000000"/>
      <w:szCs w:val="20"/>
    </w:rPr>
  </w:style>
  <w:style w:type="paragraph" w:customStyle="1" w:styleId="ESch">
    <w:name w:val="ES_ch"/>
    <w:basedOn w:val="Normal"/>
    <w:qFormat/>
    <w:rsid w:val="00AE4E9D"/>
    <w:pPr>
      <w:spacing w:line="240" w:lineRule="atLeast"/>
      <w:ind w:left="567" w:hanging="567"/>
    </w:pPr>
  </w:style>
  <w:style w:type="paragraph" w:customStyle="1" w:styleId="ESlet">
    <w:name w:val="ES_let"/>
    <w:basedOn w:val="Normal"/>
    <w:qFormat/>
    <w:rsid w:val="00511BF6"/>
    <w:pPr>
      <w:spacing w:before="60" w:line="240" w:lineRule="atLeast"/>
      <w:ind w:left="992"/>
    </w:pPr>
  </w:style>
  <w:style w:type="paragraph" w:customStyle="1" w:styleId="ESletpar">
    <w:name w:val="ES_let_par"/>
    <w:basedOn w:val="Normal"/>
    <w:qFormat/>
    <w:rsid w:val="009058C5"/>
    <w:pPr>
      <w:spacing w:before="60" w:line="240" w:lineRule="atLeast"/>
      <w:ind w:left="992"/>
    </w:pPr>
    <w:rPr>
      <w:lang w:eastAsia="bg-BG"/>
    </w:rPr>
  </w:style>
  <w:style w:type="paragraph" w:customStyle="1" w:styleId="ESchpar">
    <w:name w:val="ES_ch_par"/>
    <w:basedOn w:val="Normal"/>
    <w:qFormat/>
    <w:rsid w:val="00321E38"/>
    <w:pPr>
      <w:spacing w:line="240" w:lineRule="atLeast"/>
      <w:ind w:left="567"/>
    </w:pPr>
  </w:style>
  <w:style w:type="paragraph" w:customStyle="1" w:styleId="ESgauche">
    <w:name w:val="ES_gauche"/>
    <w:basedOn w:val="Normal"/>
    <w:qFormat/>
    <w:rsid w:val="00111867"/>
    <w:pPr>
      <w:spacing w:line="240" w:lineRule="atLeast"/>
    </w:pPr>
    <w:rPr>
      <w:noProof/>
      <w:lang w:bidi="bg-BG"/>
    </w:rPr>
  </w:style>
  <w:style w:type="paragraph" w:customStyle="1" w:styleId="ESletgauche">
    <w:name w:val="ES_let_gauche"/>
    <w:basedOn w:val="ESch"/>
    <w:qFormat/>
    <w:rsid w:val="001F173C"/>
    <w:pPr>
      <w:spacing w:before="60"/>
    </w:pPr>
  </w:style>
  <w:style w:type="paragraph" w:customStyle="1" w:styleId="ESletlong">
    <w:name w:val="ES_let_long"/>
    <w:basedOn w:val="ESlet"/>
    <w:qFormat/>
    <w:rsid w:val="00BD4F1D"/>
    <w:pPr>
      <w:spacing w:before="0"/>
    </w:pPr>
  </w:style>
  <w:style w:type="table" w:customStyle="1" w:styleId="Grilledutableau1">
    <w:name w:val="Grille du tableau1"/>
    <w:basedOn w:val="TableNormal"/>
    <w:next w:val="TableGrid"/>
    <w:uiPriority w:val="59"/>
    <w:rsid w:val="00973DAA"/>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Marker">
    <w:name w:val="CR Marker"/>
    <w:uiPriority w:val="99"/>
    <w:rsid w:val="00973DAA"/>
    <w:rPr>
      <w:rFonts w:ascii="Wingdings" w:hAnsi="Wingdings" w:cs="Wingdings"/>
    </w:rPr>
  </w:style>
  <w:style w:type="character" w:customStyle="1" w:styleId="CRRefNum">
    <w:name w:val="CR RefNum"/>
    <w:uiPriority w:val="99"/>
    <w:rsid w:val="00973DAA"/>
    <w:rPr>
      <w:vertAlign w:val="subscript"/>
    </w:rPr>
  </w:style>
  <w:style w:type="paragraph" w:customStyle="1" w:styleId="CRSeparator">
    <w:name w:val="CR Separator"/>
    <w:basedOn w:val="Normal"/>
    <w:next w:val="Normal"/>
    <w:uiPriority w:val="99"/>
    <w:rsid w:val="00973DAA"/>
    <w:pPr>
      <w:keepNext/>
      <w:pBdr>
        <w:top w:val="single" w:sz="4" w:space="1" w:color="auto"/>
      </w:pBdr>
    </w:pPr>
    <w:rPr>
      <w:rFonts w:ascii="Times New Roman" w:hAnsi="Times New Roman"/>
      <w:sz w:val="24"/>
      <w:lang w:eastAsia="bg-BG"/>
    </w:rPr>
  </w:style>
  <w:style w:type="paragraph" w:customStyle="1" w:styleId="CM1">
    <w:name w:val="CM1"/>
    <w:basedOn w:val="Normal"/>
    <w:next w:val="Normal"/>
    <w:uiPriority w:val="99"/>
    <w:rsid w:val="00973DAA"/>
    <w:pPr>
      <w:adjustRightInd w:val="0"/>
    </w:pPr>
    <w:rPr>
      <w:rFonts w:ascii="Times New Roman" w:eastAsia="Calibri" w:hAnsi="Times New Roman"/>
      <w:sz w:val="24"/>
    </w:rPr>
  </w:style>
  <w:style w:type="paragraph" w:customStyle="1" w:styleId="CM3">
    <w:name w:val="CM3"/>
    <w:basedOn w:val="Normal"/>
    <w:next w:val="Normal"/>
    <w:uiPriority w:val="99"/>
    <w:rsid w:val="00973DAA"/>
    <w:pPr>
      <w:adjustRightInd w:val="0"/>
    </w:pPr>
    <w:rPr>
      <w:rFonts w:ascii="Times New Roman" w:eastAsia="Calibri" w:hAnsi="Times New Roman"/>
      <w:sz w:val="24"/>
    </w:rPr>
  </w:style>
  <w:style w:type="paragraph" w:customStyle="1" w:styleId="CM4">
    <w:name w:val="CM4"/>
    <w:basedOn w:val="Normal"/>
    <w:next w:val="Normal"/>
    <w:uiPriority w:val="99"/>
    <w:rsid w:val="00973DAA"/>
    <w:pPr>
      <w:adjustRightInd w:val="0"/>
    </w:pPr>
    <w:rPr>
      <w:rFonts w:ascii="Times New Roman" w:eastAsia="Calibri" w:hAnsi="Times New Roman"/>
      <w:sz w:val="24"/>
    </w:rPr>
  </w:style>
  <w:style w:type="paragraph" w:customStyle="1" w:styleId="EStiretpar">
    <w:name w:val="ES_tiret_par"/>
    <w:basedOn w:val="EStiret"/>
    <w:qFormat/>
    <w:rsid w:val="00124738"/>
    <w:pPr>
      <w:ind w:left="1418"/>
    </w:pPr>
  </w:style>
  <w:style w:type="paragraph" w:customStyle="1" w:styleId="Esletgauchepar">
    <w:name w:val="Es_let_gauche_par"/>
    <w:basedOn w:val="ESletgauche"/>
    <w:qFormat/>
    <w:rsid w:val="00BF049A"/>
    <w:pPr>
      <w:ind w:firstLine="0"/>
    </w:pPr>
    <w:rPr>
      <w:lang w:val="bg-BG"/>
    </w:rPr>
  </w:style>
  <w:style w:type="paragraph" w:styleId="PlainText">
    <w:name w:val="Plain Text"/>
    <w:basedOn w:val="Normal"/>
    <w:link w:val="PlainTextChar"/>
    <w:unhideWhenUsed/>
    <w:rsid w:val="00E0050D"/>
    <w:rPr>
      <w:rFonts w:ascii="Calibri" w:eastAsia="Calibri" w:hAnsi="Calibri"/>
      <w:szCs w:val="21"/>
    </w:rPr>
  </w:style>
  <w:style w:type="character" w:customStyle="1" w:styleId="PlainTextChar">
    <w:name w:val="Plain Text Char"/>
    <w:link w:val="PlainText"/>
    <w:rsid w:val="00E0050D"/>
    <w:rPr>
      <w:rFonts w:eastAsia="Calibri"/>
      <w:sz w:val="22"/>
      <w:szCs w:val="21"/>
      <w:lang w:eastAsia="bg-BG"/>
    </w:rPr>
  </w:style>
  <w:style w:type="paragraph" w:customStyle="1" w:styleId="ES-Titre3a">
    <w:name w:val="ES-Titre3a"/>
    <w:basedOn w:val="ES-Titre3"/>
    <w:qFormat/>
    <w:rsid w:val="001E2331"/>
    <w:rPr>
      <w:i/>
    </w:rPr>
  </w:style>
  <w:style w:type="paragraph" w:customStyle="1" w:styleId="Es-Titreannexes">
    <w:name w:val="Es-Titre_annexes"/>
    <w:basedOn w:val="Normal"/>
    <w:qFormat/>
    <w:rsid w:val="001E2331"/>
    <w:pPr>
      <w:spacing w:before="40" w:line="220" w:lineRule="atLeast"/>
      <w:jc w:val="center"/>
    </w:pPr>
    <w:rPr>
      <w:rFonts w:ascii="Arial Gras" w:hAnsi="Arial Gras" w:cs="Arial"/>
      <w:b/>
      <w:caps/>
      <w:color w:val="000000"/>
      <w:sz w:val="40"/>
    </w:rPr>
  </w:style>
  <w:style w:type="paragraph" w:customStyle="1" w:styleId="ESintro">
    <w:name w:val="ES_intro"/>
    <w:basedOn w:val="Normal"/>
    <w:qFormat/>
    <w:rsid w:val="001E2331"/>
    <w:pPr>
      <w:spacing w:line="240" w:lineRule="atLeast"/>
      <w:jc w:val="center"/>
    </w:pPr>
    <w:rPr>
      <w:b/>
      <w:caps/>
      <w:sz w:val="24"/>
    </w:rPr>
  </w:style>
  <w:style w:type="paragraph" w:customStyle="1" w:styleId="ESletgauche075">
    <w:name w:val="ES_let_gauche0_75"/>
    <w:basedOn w:val="ESletgauche"/>
    <w:qFormat/>
    <w:rsid w:val="001E2331"/>
    <w:pPr>
      <w:ind w:left="426" w:hanging="426"/>
    </w:pPr>
  </w:style>
  <w:style w:type="character" w:customStyle="1" w:styleId="msoins0">
    <w:name w:val="msoins0"/>
    <w:rsid w:val="001E2331"/>
  </w:style>
  <w:style w:type="paragraph" w:customStyle="1" w:styleId="BlockQuotation">
    <w:name w:val="Block Quotation"/>
    <w:basedOn w:val="Normal"/>
    <w:rsid w:val="001E2331"/>
    <w:pPr>
      <w:widowControl w:val="0"/>
      <w:tabs>
        <w:tab w:val="left" w:pos="1701"/>
        <w:tab w:val="left" w:pos="2694"/>
      </w:tabs>
      <w:ind w:left="284" w:right="-482" w:hanging="284"/>
    </w:pPr>
    <w:rPr>
      <w:rFonts w:ascii="Times New Roman" w:hAnsi="Times New Roman"/>
      <w:b/>
      <w:bCs/>
      <w:i/>
      <w:iCs/>
      <w:snapToGrid w:val="0"/>
      <w:szCs w:val="20"/>
      <w:lang w:val="bg-BG"/>
    </w:rPr>
  </w:style>
  <w:style w:type="paragraph" w:customStyle="1" w:styleId="ES-Titre3prchap32">
    <w:name w:val="ES-Titre3_pr_chap32"/>
    <w:basedOn w:val="ES-Titre3"/>
    <w:qFormat/>
    <w:rsid w:val="001E2331"/>
    <w:rPr>
      <w:lang w:val="bg-BG"/>
    </w:rPr>
  </w:style>
  <w:style w:type="paragraph" w:styleId="NormalIndent">
    <w:name w:val="Normal Indent"/>
    <w:basedOn w:val="Normal"/>
    <w:rsid w:val="009C13A9"/>
    <w:pPr>
      <w:overflowPunct w:val="0"/>
      <w:adjustRightInd w:val="0"/>
      <w:spacing w:line="240" w:lineRule="exact"/>
      <w:ind w:left="708"/>
      <w:textAlignment w:val="baseline"/>
    </w:pPr>
    <w:rPr>
      <w:rFonts w:ascii="Times New Roman" w:hAnsi="Times New Roman"/>
      <w:sz w:val="24"/>
    </w:rPr>
  </w:style>
  <w:style w:type="paragraph" w:customStyle="1" w:styleId="N4">
    <w:name w:val="N4"/>
    <w:basedOn w:val="Normal"/>
    <w:rsid w:val="009C13A9"/>
    <w:pPr>
      <w:tabs>
        <w:tab w:val="left" w:pos="284"/>
        <w:tab w:val="left" w:pos="454"/>
        <w:tab w:val="left" w:pos="680"/>
        <w:tab w:val="left" w:pos="1021"/>
      </w:tabs>
      <w:overflowPunct w:val="0"/>
      <w:adjustRightInd w:val="0"/>
      <w:textAlignment w:val="baseline"/>
    </w:pPr>
    <w:rPr>
      <w:rFonts w:ascii="Times New Roman" w:hAnsi="Times New Roman"/>
      <w:szCs w:val="20"/>
    </w:rPr>
  </w:style>
  <w:style w:type="paragraph" w:customStyle="1" w:styleId="N2">
    <w:name w:val="N2"/>
    <w:basedOn w:val="Normal"/>
    <w:rsid w:val="009C13A9"/>
    <w:pPr>
      <w:tabs>
        <w:tab w:val="left" w:pos="-340"/>
        <w:tab w:val="left" w:pos="284"/>
        <w:tab w:val="left" w:pos="454"/>
        <w:tab w:val="left" w:pos="680"/>
        <w:tab w:val="left" w:pos="1418"/>
      </w:tabs>
      <w:overflowPunct w:val="0"/>
      <w:adjustRightInd w:val="0"/>
      <w:ind w:hanging="1134"/>
      <w:textAlignment w:val="baseline"/>
    </w:pPr>
    <w:rPr>
      <w:rFonts w:ascii="Times New Roman" w:hAnsi="Times New Roman"/>
      <w:szCs w:val="20"/>
    </w:rPr>
  </w:style>
  <w:style w:type="paragraph" w:customStyle="1" w:styleId="N3">
    <w:name w:val="N3"/>
    <w:basedOn w:val="Normal"/>
    <w:rsid w:val="009C13A9"/>
    <w:pPr>
      <w:tabs>
        <w:tab w:val="left" w:pos="170"/>
      </w:tabs>
      <w:overflowPunct w:val="0"/>
      <w:adjustRightInd w:val="0"/>
      <w:spacing w:line="240" w:lineRule="exact"/>
      <w:textAlignment w:val="baseline"/>
    </w:pPr>
    <w:rPr>
      <w:rFonts w:ascii="Times New Roman" w:hAnsi="Times New Roman"/>
      <w:szCs w:val="20"/>
    </w:rPr>
  </w:style>
  <w:style w:type="character" w:customStyle="1" w:styleId="En-tte">
    <w:name w:val="En-tête"/>
    <w:rsid w:val="009C13A9"/>
    <w:rPr>
      <w:lang w:val="bg-BG" w:eastAsia="bg-BG" w:bidi="bg-BG"/>
    </w:rPr>
  </w:style>
  <w:style w:type="character" w:styleId="Strong">
    <w:name w:val="Strong"/>
    <w:qFormat/>
    <w:rsid w:val="009C13A9"/>
    <w:rPr>
      <w:b/>
      <w:bCs/>
    </w:rPr>
  </w:style>
  <w:style w:type="paragraph" w:styleId="EndnoteText">
    <w:name w:val="endnote text"/>
    <w:basedOn w:val="Normal"/>
    <w:link w:val="EndnoteTextChar"/>
    <w:rsid w:val="009C13A9"/>
    <w:rPr>
      <w:snapToGrid w:val="0"/>
      <w:szCs w:val="20"/>
      <w:lang w:val="bg-BG"/>
    </w:rPr>
  </w:style>
  <w:style w:type="character" w:customStyle="1" w:styleId="EndnoteTextChar">
    <w:name w:val="Endnote Text Char"/>
    <w:link w:val="EndnoteText"/>
    <w:rsid w:val="009C13A9"/>
    <w:rPr>
      <w:rFonts w:ascii="Arial" w:hAnsi="Arial"/>
      <w:snapToGrid w:val="0"/>
      <w:lang w:val="bg-BG"/>
    </w:rPr>
  </w:style>
  <w:style w:type="paragraph" w:customStyle="1" w:styleId="Annex2Nummer">
    <w:name w:val="Annex2_Nummer"/>
    <w:basedOn w:val="Normal"/>
    <w:rsid w:val="009C13A9"/>
    <w:pPr>
      <w:tabs>
        <w:tab w:val="left" w:pos="425"/>
        <w:tab w:val="left" w:pos="851"/>
        <w:tab w:val="left" w:pos="1276"/>
        <w:tab w:val="left" w:pos="1701"/>
        <w:tab w:val="left" w:pos="2126"/>
      </w:tabs>
      <w:overflowPunct w:val="0"/>
      <w:adjustRightInd w:val="0"/>
      <w:spacing w:before="240"/>
      <w:textAlignment w:val="baseline"/>
    </w:pPr>
    <w:rPr>
      <w:rFonts w:ascii="Times New Roman" w:hAnsi="Times New Roman"/>
      <w:sz w:val="24"/>
      <w:lang w:val="bg-BG"/>
    </w:rPr>
  </w:style>
  <w:style w:type="paragraph" w:customStyle="1" w:styleId="Normal0">
    <w:name w:val="[Normal]"/>
    <w:rsid w:val="009C13A9"/>
    <w:pPr>
      <w:autoSpaceDE w:val="0"/>
      <w:autoSpaceDN w:val="0"/>
      <w:adjustRightInd w:val="0"/>
    </w:pPr>
    <w:rPr>
      <w:rFonts w:ascii="Arial" w:hAnsi="Arial" w:cs="Arial"/>
      <w:snapToGrid w:val="0"/>
    </w:rPr>
  </w:style>
  <w:style w:type="paragraph" w:customStyle="1" w:styleId="Annex2Texteng">
    <w:name w:val="Annex2_Text_eng"/>
    <w:basedOn w:val="Annex2Nummer"/>
    <w:rsid w:val="009C13A9"/>
    <w:pPr>
      <w:tabs>
        <w:tab w:val="clear" w:pos="425"/>
        <w:tab w:val="clear" w:pos="851"/>
        <w:tab w:val="clear" w:pos="1276"/>
        <w:tab w:val="clear" w:pos="1701"/>
        <w:tab w:val="clear" w:pos="2126"/>
        <w:tab w:val="left" w:pos="454"/>
        <w:tab w:val="left" w:pos="907"/>
        <w:tab w:val="left" w:pos="1361"/>
        <w:tab w:val="left" w:pos="1814"/>
      </w:tabs>
      <w:spacing w:before="0"/>
    </w:pPr>
    <w:rPr>
      <w:snapToGrid w:val="0"/>
    </w:rPr>
  </w:style>
  <w:style w:type="paragraph" w:customStyle="1" w:styleId="Titres">
    <w:name w:val="Titres"/>
    <w:basedOn w:val="Normal"/>
    <w:rsid w:val="009C13A9"/>
    <w:pPr>
      <w:overflowPunct w:val="0"/>
      <w:adjustRightInd w:val="0"/>
      <w:spacing w:line="240" w:lineRule="exact"/>
      <w:jc w:val="center"/>
      <w:textAlignment w:val="baseline"/>
    </w:pPr>
    <w:rPr>
      <w:rFonts w:ascii="Times New Roman" w:hAnsi="Times New Roman"/>
      <w:snapToGrid w:val="0"/>
      <w:sz w:val="24"/>
      <w:szCs w:val="20"/>
    </w:rPr>
  </w:style>
  <w:style w:type="paragraph" w:customStyle="1" w:styleId="N7">
    <w:name w:val="N7"/>
    <w:basedOn w:val="Normal"/>
    <w:rsid w:val="009C13A9"/>
    <w:pPr>
      <w:tabs>
        <w:tab w:val="left" w:pos="284"/>
      </w:tabs>
      <w:overflowPunct w:val="0"/>
      <w:adjustRightInd w:val="0"/>
      <w:ind w:hanging="397"/>
      <w:textAlignment w:val="baseline"/>
    </w:pPr>
    <w:rPr>
      <w:rFonts w:ascii="Times New Roman" w:hAnsi="Times New Roman"/>
      <w:snapToGrid w:val="0"/>
      <w:szCs w:val="20"/>
    </w:rPr>
  </w:style>
  <w:style w:type="table" w:customStyle="1" w:styleId="Grilledutableau11">
    <w:name w:val="Grille du tableau11"/>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_"/>
    <w:basedOn w:val="BodyTextIndent2"/>
    <w:rsid w:val="009C13A9"/>
    <w:pPr>
      <w:tabs>
        <w:tab w:val="left" w:pos="426"/>
      </w:tabs>
      <w:spacing w:after="0" w:line="240" w:lineRule="atLeast"/>
      <w:ind w:left="426" w:hanging="426"/>
      <w:jc w:val="both"/>
    </w:pPr>
    <w:rPr>
      <w:rFonts w:ascii="Arial" w:hAnsi="Arial" w:cs="Arial"/>
      <w:sz w:val="20"/>
      <w:szCs w:val="20"/>
    </w:rPr>
  </w:style>
  <w:style w:type="paragraph" w:styleId="BodyTextIndent2">
    <w:name w:val="Body Text Indent 2"/>
    <w:basedOn w:val="Normal"/>
    <w:link w:val="BodyTextIndent2Char"/>
    <w:rsid w:val="009C13A9"/>
    <w:pPr>
      <w:spacing w:after="120" w:line="480" w:lineRule="auto"/>
      <w:ind w:left="283"/>
    </w:pPr>
    <w:rPr>
      <w:rFonts w:ascii="Times New Roman" w:hAnsi="Times New Roman"/>
      <w:snapToGrid w:val="0"/>
      <w:sz w:val="24"/>
      <w:lang w:val="bg-BG"/>
    </w:rPr>
  </w:style>
  <w:style w:type="character" w:customStyle="1" w:styleId="BodyTextIndent2Char">
    <w:name w:val="Body Text Indent 2 Char"/>
    <w:link w:val="BodyTextIndent2"/>
    <w:rsid w:val="009C13A9"/>
    <w:rPr>
      <w:rFonts w:ascii="Times New Roman" w:hAnsi="Times New Roman"/>
      <w:snapToGrid w:val="0"/>
      <w:sz w:val="24"/>
      <w:szCs w:val="24"/>
      <w:lang w:val="bg-BG"/>
    </w:rPr>
  </w:style>
  <w:style w:type="paragraph" w:styleId="Title">
    <w:name w:val="Title"/>
    <w:basedOn w:val="Normal"/>
    <w:link w:val="TitleChar"/>
    <w:qFormat/>
    <w:rsid w:val="009C13A9"/>
    <w:pPr>
      <w:jc w:val="center"/>
    </w:pPr>
    <w:rPr>
      <w:b/>
      <w:bCs/>
      <w:snapToGrid w:val="0"/>
      <w:lang w:val="bg-BG"/>
    </w:rPr>
  </w:style>
  <w:style w:type="character" w:customStyle="1" w:styleId="TitleChar">
    <w:name w:val="Title Char"/>
    <w:link w:val="Title"/>
    <w:rsid w:val="009C13A9"/>
    <w:rPr>
      <w:rFonts w:ascii="Arial" w:hAnsi="Arial"/>
      <w:b/>
      <w:bCs/>
      <w:snapToGrid w:val="0"/>
      <w:sz w:val="22"/>
      <w:szCs w:val="22"/>
      <w:lang w:val="bg-BG"/>
    </w:rPr>
  </w:style>
  <w:style w:type="paragraph" w:customStyle="1" w:styleId="bijschrift">
    <w:name w:val="bijschrift"/>
    <w:basedOn w:val="Normal"/>
    <w:rsid w:val="009C13A9"/>
    <w:pPr>
      <w:widowControl w:val="0"/>
      <w:overflowPunct w:val="0"/>
      <w:adjustRightInd w:val="0"/>
      <w:textAlignment w:val="baseline"/>
    </w:pPr>
    <w:rPr>
      <w:rFonts w:ascii="Times New Roman" w:hAnsi="Times New Roman"/>
      <w:snapToGrid w:val="0"/>
      <w:sz w:val="24"/>
      <w:lang w:val="bg-BG"/>
    </w:rPr>
  </w:style>
  <w:style w:type="paragraph" w:customStyle="1" w:styleId="TNRa0">
    <w:name w:val="TNRa"/>
    <w:basedOn w:val="TNR1"/>
    <w:rsid w:val="009C13A9"/>
    <w:pPr>
      <w:widowControl w:val="0"/>
      <w:tabs>
        <w:tab w:val="clear" w:pos="284"/>
        <w:tab w:val="clear" w:pos="454"/>
        <w:tab w:val="clear" w:pos="680"/>
        <w:tab w:val="clear" w:pos="907"/>
      </w:tabs>
      <w:ind w:left="284"/>
    </w:pPr>
    <w:rPr>
      <w:snapToGrid w:val="0"/>
      <w:szCs w:val="24"/>
      <w:lang w:val="bg-BG"/>
    </w:rPr>
  </w:style>
  <w:style w:type="paragraph" w:customStyle="1" w:styleId="abstab">
    <w:name w:val="abstab"/>
    <w:basedOn w:val="Normal"/>
    <w:rsid w:val="009C13A9"/>
    <w:pPr>
      <w:overflowPunct w:val="0"/>
      <w:adjustRightInd w:val="0"/>
      <w:textAlignment w:val="baseline"/>
    </w:pPr>
    <w:rPr>
      <w:rFonts w:ascii="CG Times" w:hAnsi="CG Times" w:cs="CG Times"/>
      <w:snapToGrid w:val="0"/>
      <w:sz w:val="16"/>
      <w:szCs w:val="16"/>
      <w:lang w:val="bg-BG"/>
    </w:rPr>
  </w:style>
  <w:style w:type="character" w:customStyle="1" w:styleId="DONOTTRANSLATE">
    <w:name w:val="DO_NOT_TRANSLATE"/>
    <w:rsid w:val="009C13A9"/>
    <w:rPr>
      <w:rFonts w:ascii="Courier New" w:hAnsi="Courier New" w:cs="Courier New"/>
      <w:noProof/>
      <w:color w:val="800000"/>
    </w:rPr>
  </w:style>
  <w:style w:type="paragraph" w:customStyle="1" w:styleId="Brieftext11">
    <w:name w:val="Brieftext_11"/>
    <w:basedOn w:val="Normal"/>
    <w:rsid w:val="009C13A9"/>
    <w:pPr>
      <w:widowControl w:val="0"/>
      <w:spacing w:line="360" w:lineRule="auto"/>
    </w:pPr>
    <w:rPr>
      <w:rFonts w:ascii="Times New Roman" w:hAnsi="Times New Roman"/>
      <w:snapToGrid w:val="0"/>
      <w:sz w:val="24"/>
      <w:lang w:val="bg-BG"/>
    </w:rPr>
  </w:style>
  <w:style w:type="paragraph" w:customStyle="1" w:styleId="Res1">
    <w:name w:val="Res_1"/>
    <w:basedOn w:val="Normal"/>
    <w:rsid w:val="009C13A9"/>
    <w:pPr>
      <w:overflowPunct w:val="0"/>
      <w:adjustRightInd w:val="0"/>
      <w:spacing w:line="240" w:lineRule="exact"/>
      <w:textAlignment w:val="baseline"/>
    </w:pPr>
    <w:rPr>
      <w:rFonts w:cs="Arial"/>
      <w:i/>
      <w:iCs/>
      <w:snapToGrid w:val="0"/>
      <w:lang w:val="bg-BG"/>
    </w:rPr>
  </w:style>
  <w:style w:type="paragraph" w:customStyle="1" w:styleId="Res1texttmnr">
    <w:name w:val="Res_1_text_tmnr"/>
    <w:basedOn w:val="Normal"/>
    <w:rsid w:val="009C13A9"/>
    <w:pPr>
      <w:tabs>
        <w:tab w:val="left" w:pos="851"/>
      </w:tabs>
      <w:overflowPunct w:val="0"/>
      <w:adjustRightInd w:val="0"/>
      <w:spacing w:line="240" w:lineRule="atLeast"/>
      <w:ind w:left="850"/>
      <w:textAlignment w:val="baseline"/>
    </w:pPr>
    <w:rPr>
      <w:rFonts w:ascii="Times New Roman" w:hAnsi="Times New Roman"/>
      <w:snapToGrid w:val="0"/>
      <w:sz w:val="24"/>
      <w:lang w:val="bg-BG"/>
    </w:rPr>
  </w:style>
  <w:style w:type="paragraph" w:customStyle="1" w:styleId="Liege">
    <w:name w:val="Liege"/>
    <w:basedOn w:val="Res1texttmnr"/>
    <w:rsid w:val="009C13A9"/>
    <w:pPr>
      <w:ind w:left="1134"/>
    </w:pPr>
  </w:style>
  <w:style w:type="paragraph" w:customStyle="1" w:styleId="10">
    <w:name w:val="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3">
    <w:name w:val="3"/>
    <w:rsid w:val="009C13A9"/>
    <w:pPr>
      <w:tabs>
        <w:tab w:val="left" w:pos="680"/>
      </w:tabs>
      <w:overflowPunct w:val="0"/>
      <w:autoSpaceDE w:val="0"/>
      <w:autoSpaceDN w:val="0"/>
      <w:adjustRightInd w:val="0"/>
      <w:spacing w:line="240" w:lineRule="exact"/>
      <w:ind w:left="680" w:hanging="680"/>
      <w:textAlignment w:val="baseline"/>
    </w:pPr>
    <w:rPr>
      <w:rFonts w:ascii="Times New Roman" w:hAnsi="Times New Roman"/>
      <w:sz w:val="24"/>
      <w:szCs w:val="24"/>
    </w:rPr>
  </w:style>
  <w:style w:type="paragraph" w:customStyle="1" w:styleId="4">
    <w:name w:val="4"/>
    <w:rsid w:val="009C13A9"/>
    <w:pPr>
      <w:tabs>
        <w:tab w:val="left" w:pos="907"/>
      </w:tabs>
      <w:overflowPunct w:val="0"/>
      <w:autoSpaceDE w:val="0"/>
      <w:autoSpaceDN w:val="0"/>
      <w:adjustRightInd w:val="0"/>
      <w:spacing w:line="240" w:lineRule="exact"/>
      <w:ind w:left="907" w:hanging="907"/>
      <w:textAlignment w:val="baseline"/>
    </w:pPr>
    <w:rPr>
      <w:rFonts w:ascii="Times New Roman" w:hAnsi="Times New Roman"/>
      <w:sz w:val="24"/>
      <w:szCs w:val="24"/>
    </w:rPr>
  </w:style>
  <w:style w:type="paragraph" w:customStyle="1" w:styleId="5">
    <w:name w:val="5"/>
    <w:rsid w:val="009C13A9"/>
    <w:pPr>
      <w:tabs>
        <w:tab w:val="left" w:pos="1134"/>
      </w:tabs>
      <w:overflowPunct w:val="0"/>
      <w:autoSpaceDE w:val="0"/>
      <w:autoSpaceDN w:val="0"/>
      <w:adjustRightInd w:val="0"/>
      <w:spacing w:line="240" w:lineRule="exact"/>
      <w:ind w:left="1134" w:hanging="1134"/>
      <w:textAlignment w:val="baseline"/>
    </w:pPr>
    <w:rPr>
      <w:rFonts w:ascii="Times New Roman" w:hAnsi="Times New Roman"/>
      <w:sz w:val="24"/>
      <w:szCs w:val="24"/>
    </w:rPr>
  </w:style>
  <w:style w:type="paragraph" w:customStyle="1" w:styleId="6">
    <w:name w:val="6"/>
    <w:rsid w:val="009C13A9"/>
    <w:pPr>
      <w:tabs>
        <w:tab w:val="left" w:pos="284"/>
      </w:tabs>
      <w:overflowPunct w:val="0"/>
      <w:autoSpaceDE w:val="0"/>
      <w:autoSpaceDN w:val="0"/>
      <w:adjustRightInd w:val="0"/>
      <w:spacing w:line="240" w:lineRule="exact"/>
      <w:ind w:left="284" w:hanging="284"/>
      <w:textAlignment w:val="baseline"/>
    </w:pPr>
    <w:rPr>
      <w:rFonts w:ascii="Times New Roman" w:hAnsi="Times New Roman"/>
      <w:sz w:val="24"/>
      <w:szCs w:val="24"/>
    </w:rPr>
  </w:style>
  <w:style w:type="paragraph" w:customStyle="1" w:styleId="7">
    <w:name w:val="7"/>
    <w:rsid w:val="009C13A9"/>
    <w:pPr>
      <w:tabs>
        <w:tab w:val="left" w:pos="454"/>
        <w:tab w:val="left" w:pos="907"/>
      </w:tabs>
      <w:overflowPunct w:val="0"/>
      <w:autoSpaceDE w:val="0"/>
      <w:autoSpaceDN w:val="0"/>
      <w:adjustRightInd w:val="0"/>
      <w:spacing w:line="240" w:lineRule="exact"/>
      <w:ind w:left="907" w:hanging="454"/>
      <w:textAlignment w:val="baseline"/>
    </w:pPr>
    <w:rPr>
      <w:rFonts w:ascii="Times New Roman" w:hAnsi="Times New Roman"/>
      <w:sz w:val="24"/>
      <w:szCs w:val="24"/>
    </w:rPr>
  </w:style>
  <w:style w:type="paragraph" w:customStyle="1" w:styleId="8">
    <w:name w:val="8"/>
    <w:rsid w:val="009C13A9"/>
    <w:pPr>
      <w:tabs>
        <w:tab w:val="left" w:pos="907"/>
        <w:tab w:val="left" w:pos="1361"/>
      </w:tabs>
      <w:overflowPunct w:val="0"/>
      <w:autoSpaceDE w:val="0"/>
      <w:autoSpaceDN w:val="0"/>
      <w:adjustRightInd w:val="0"/>
      <w:spacing w:line="240" w:lineRule="exact"/>
      <w:ind w:left="1361" w:hanging="454"/>
      <w:textAlignment w:val="baseline"/>
    </w:pPr>
    <w:rPr>
      <w:rFonts w:ascii="Times New Roman" w:hAnsi="Times New Roman"/>
      <w:sz w:val="24"/>
      <w:szCs w:val="24"/>
    </w:rPr>
  </w:style>
  <w:style w:type="paragraph" w:customStyle="1" w:styleId="Paragraphe11">
    <w:name w:val="Paragraphe 1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Paragraphe12">
    <w:name w:val="Paragraphe 12"/>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I1">
    <w:name w:val="I1"/>
    <w:rsid w:val="009C13A9"/>
    <w:pPr>
      <w:tabs>
        <w:tab w:val="left" w:pos="57"/>
        <w:tab w:val="left" w:pos="1077"/>
      </w:tabs>
      <w:overflowPunct w:val="0"/>
      <w:autoSpaceDE w:val="0"/>
      <w:autoSpaceDN w:val="0"/>
      <w:adjustRightInd w:val="0"/>
      <w:spacing w:line="240" w:lineRule="exact"/>
      <w:ind w:left="1077" w:hanging="340"/>
      <w:textAlignment w:val="baseline"/>
    </w:pPr>
    <w:rPr>
      <w:rFonts w:ascii="Times New Roman" w:hAnsi="Times New Roman"/>
      <w:sz w:val="24"/>
      <w:szCs w:val="24"/>
    </w:rPr>
  </w:style>
  <w:style w:type="paragraph" w:customStyle="1" w:styleId="I2">
    <w:name w:val="I2"/>
    <w:rsid w:val="009C13A9"/>
    <w:pPr>
      <w:tabs>
        <w:tab w:val="left" w:pos="1077"/>
      </w:tabs>
      <w:overflowPunct w:val="0"/>
      <w:autoSpaceDE w:val="0"/>
      <w:autoSpaceDN w:val="0"/>
      <w:adjustRightInd w:val="0"/>
      <w:spacing w:line="240" w:lineRule="exact"/>
      <w:ind w:left="1077" w:hanging="454"/>
      <w:textAlignment w:val="baseline"/>
    </w:pPr>
    <w:rPr>
      <w:rFonts w:ascii="Times New Roman" w:hAnsi="Times New Roman"/>
      <w:sz w:val="24"/>
      <w:szCs w:val="24"/>
    </w:rPr>
  </w:style>
  <w:style w:type="paragraph" w:customStyle="1" w:styleId="I3">
    <w:name w:val="I3"/>
    <w:rsid w:val="009C13A9"/>
    <w:pPr>
      <w:tabs>
        <w:tab w:val="left" w:pos="1077"/>
      </w:tabs>
      <w:overflowPunct w:val="0"/>
      <w:autoSpaceDE w:val="0"/>
      <w:autoSpaceDN w:val="0"/>
      <w:adjustRightInd w:val="0"/>
      <w:spacing w:line="240" w:lineRule="exact"/>
      <w:ind w:left="1077" w:hanging="510"/>
      <w:textAlignment w:val="baseline"/>
    </w:pPr>
    <w:rPr>
      <w:rFonts w:ascii="Times New Roman" w:hAnsi="Times New Roman"/>
      <w:sz w:val="24"/>
      <w:szCs w:val="24"/>
    </w:rPr>
  </w:style>
  <w:style w:type="paragraph" w:customStyle="1" w:styleId="GT">
    <w:name w:val="GT"/>
    <w:rsid w:val="009C13A9"/>
    <w:pPr>
      <w:tabs>
        <w:tab w:val="left" w:pos="1344"/>
      </w:tabs>
      <w:overflowPunct w:val="0"/>
      <w:autoSpaceDE w:val="0"/>
      <w:autoSpaceDN w:val="0"/>
      <w:adjustRightInd w:val="0"/>
      <w:spacing w:line="240" w:lineRule="exact"/>
      <w:ind w:left="1344" w:hanging="1344"/>
      <w:textAlignment w:val="baseline"/>
    </w:pPr>
    <w:rPr>
      <w:rFonts w:ascii="Times New Roman" w:hAnsi="Times New Roman"/>
      <w:sz w:val="24"/>
      <w:szCs w:val="24"/>
    </w:rPr>
  </w:style>
  <w:style w:type="paragraph" w:customStyle="1" w:styleId="GF">
    <w:name w:val="GF"/>
    <w:rsid w:val="009C13A9"/>
    <w:pPr>
      <w:tabs>
        <w:tab w:val="left" w:pos="1824"/>
      </w:tabs>
      <w:overflowPunct w:val="0"/>
      <w:autoSpaceDE w:val="0"/>
      <w:autoSpaceDN w:val="0"/>
      <w:adjustRightInd w:val="0"/>
      <w:spacing w:line="240" w:lineRule="exact"/>
      <w:ind w:left="1826" w:hanging="1826"/>
      <w:jc w:val="both"/>
      <w:textAlignment w:val="baseline"/>
    </w:pPr>
    <w:rPr>
      <w:rFonts w:ascii="Times New Roman" w:hAnsi="Times New Roman"/>
      <w:sz w:val="24"/>
      <w:szCs w:val="24"/>
    </w:rPr>
  </w:style>
  <w:style w:type="paragraph" w:customStyle="1" w:styleId="Paragraphe19">
    <w:name w:val="Paragraphe 19"/>
    <w:rsid w:val="009C13A9"/>
    <w:pPr>
      <w:tabs>
        <w:tab w:val="left" w:pos="1344"/>
        <w:tab w:val="left" w:pos="1632"/>
      </w:tabs>
      <w:overflowPunct w:val="0"/>
      <w:autoSpaceDE w:val="0"/>
      <w:autoSpaceDN w:val="0"/>
      <w:adjustRightInd w:val="0"/>
      <w:spacing w:line="300" w:lineRule="exact"/>
      <w:ind w:left="1344" w:right="38" w:hanging="576"/>
      <w:jc w:val="both"/>
      <w:textAlignment w:val="baseline"/>
    </w:pPr>
    <w:rPr>
      <w:rFonts w:ascii="Times New Roman" w:hAnsi="Times New Roman"/>
      <w:sz w:val="24"/>
      <w:szCs w:val="24"/>
    </w:rPr>
  </w:style>
  <w:style w:type="paragraph" w:customStyle="1" w:styleId="TNR7">
    <w:name w:val="TNR7"/>
    <w:basedOn w:val="TNR1"/>
    <w:rsid w:val="009C13A9"/>
    <w:pPr>
      <w:tabs>
        <w:tab w:val="clear" w:pos="907"/>
        <w:tab w:val="left" w:pos="-284"/>
        <w:tab w:val="left" w:pos="1021"/>
      </w:tabs>
      <w:spacing w:line="240" w:lineRule="exact"/>
      <w:ind w:hanging="397"/>
    </w:pPr>
    <w:rPr>
      <w:szCs w:val="24"/>
    </w:rPr>
  </w:style>
  <w:style w:type="paragraph" w:customStyle="1" w:styleId="a">
    <w:name w:val="a_"/>
    <w:basedOn w:val="BodyTextIndent2"/>
    <w:rsid w:val="009C13A9"/>
    <w:pPr>
      <w:tabs>
        <w:tab w:val="left" w:pos="426"/>
        <w:tab w:val="left" w:pos="709"/>
      </w:tabs>
      <w:spacing w:after="0" w:line="240" w:lineRule="atLeast"/>
      <w:ind w:left="709" w:hanging="709"/>
      <w:jc w:val="both"/>
    </w:pPr>
    <w:rPr>
      <w:rFonts w:ascii="Arial" w:hAnsi="Arial" w:cs="Arial"/>
      <w:snapToGrid/>
      <w:sz w:val="20"/>
      <w:szCs w:val="20"/>
    </w:rPr>
  </w:style>
  <w:style w:type="paragraph" w:styleId="ListBullet">
    <w:name w:val="List Bullet"/>
    <w:basedOn w:val="Normal"/>
    <w:autoRedefine/>
    <w:rsid w:val="009C13A9"/>
    <w:pPr>
      <w:widowControl w:val="0"/>
      <w:tabs>
        <w:tab w:val="left" w:pos="851"/>
      </w:tabs>
      <w:spacing w:before="40"/>
      <w:ind w:left="850"/>
    </w:pPr>
    <w:rPr>
      <w:rFonts w:cs="Arial"/>
      <w:szCs w:val="20"/>
      <w:lang w:val="bg-BG"/>
    </w:rPr>
  </w:style>
  <w:style w:type="paragraph" w:customStyle="1" w:styleId="en-ttes">
    <w:name w:val="en-têtes"/>
    <w:basedOn w:val="Header"/>
    <w:rsid w:val="009C13A9"/>
    <w:pPr>
      <w:tabs>
        <w:tab w:val="clear" w:pos="8306"/>
        <w:tab w:val="right" w:pos="851"/>
        <w:tab w:val="center" w:pos="4252"/>
        <w:tab w:val="right" w:pos="8504"/>
      </w:tabs>
      <w:overflowPunct w:val="0"/>
      <w:adjustRightInd w:val="0"/>
      <w:ind w:hanging="397"/>
      <w:jc w:val="center"/>
      <w:textAlignment w:val="baseline"/>
    </w:pPr>
    <w:rPr>
      <w:rFonts w:ascii="Times New Roman" w:hAnsi="Times New Roman"/>
    </w:rPr>
  </w:style>
  <w:style w:type="paragraph" w:customStyle="1" w:styleId="N5">
    <w:name w:val="N5"/>
    <w:basedOn w:val="Normal"/>
    <w:rsid w:val="009C13A9"/>
    <w:pPr>
      <w:tabs>
        <w:tab w:val="left" w:pos="284"/>
      </w:tabs>
      <w:overflowPunct w:val="0"/>
      <w:adjustRightInd w:val="0"/>
      <w:textAlignment w:val="baseline"/>
    </w:pPr>
    <w:rPr>
      <w:rFonts w:ascii="Times New Roman" w:hAnsi="Times New Roman"/>
    </w:rPr>
  </w:style>
  <w:style w:type="paragraph" w:customStyle="1" w:styleId="N6">
    <w:name w:val="N6"/>
    <w:basedOn w:val="N5"/>
    <w:rsid w:val="009C13A9"/>
    <w:pPr>
      <w:tabs>
        <w:tab w:val="left" w:pos="794"/>
        <w:tab w:val="left" w:pos="1191"/>
        <w:tab w:val="left" w:leader="dot" w:pos="7371"/>
      </w:tabs>
    </w:pPr>
  </w:style>
  <w:style w:type="paragraph" w:customStyle="1" w:styleId="N8">
    <w:name w:val="N8"/>
    <w:basedOn w:val="N7"/>
    <w:rsid w:val="009C13A9"/>
    <w:pPr>
      <w:ind w:firstLine="0"/>
      <w:jc w:val="center"/>
    </w:pPr>
    <w:rPr>
      <w:snapToGrid/>
      <w:sz w:val="20"/>
    </w:rPr>
  </w:style>
  <w:style w:type="paragraph" w:customStyle="1" w:styleId="T1">
    <w:name w:val="T1"/>
    <w:basedOn w:val="Normal"/>
    <w:rsid w:val="009C13A9"/>
    <w:pPr>
      <w:tabs>
        <w:tab w:val="left" w:pos="425"/>
      </w:tabs>
      <w:overflowPunct w:val="0"/>
      <w:adjustRightInd w:val="0"/>
      <w:spacing w:line="240" w:lineRule="atLeast"/>
      <w:textAlignment w:val="baseline"/>
    </w:pPr>
    <w:rPr>
      <w:rFonts w:ascii="Times New Roman" w:hAnsi="Times New Roman"/>
      <w:sz w:val="24"/>
      <w:lang w:val="bg-BG"/>
    </w:rPr>
  </w:style>
  <w:style w:type="paragraph" w:customStyle="1" w:styleId="Style1">
    <w:name w:val="Style1"/>
    <w:basedOn w:val="T1"/>
    <w:rsid w:val="009C13A9"/>
    <w:pPr>
      <w:tabs>
        <w:tab w:val="left" w:pos="851"/>
      </w:tabs>
      <w:spacing w:before="80"/>
      <w:ind w:left="850"/>
    </w:pPr>
  </w:style>
  <w:style w:type="paragraph" w:customStyle="1" w:styleId="T1a">
    <w:name w:val="T1a"/>
    <w:basedOn w:val="T1"/>
    <w:next w:val="Style1"/>
    <w:rsid w:val="009C13A9"/>
    <w:pPr>
      <w:tabs>
        <w:tab w:val="left" w:pos="851"/>
      </w:tabs>
      <w:spacing w:before="80"/>
      <w:ind w:left="850"/>
    </w:pPr>
  </w:style>
  <w:style w:type="paragraph" w:customStyle="1" w:styleId="To">
    <w:name w:val="To"/>
    <w:basedOn w:val="Normal"/>
    <w:rsid w:val="009C13A9"/>
    <w:pPr>
      <w:overflowPunct w:val="0"/>
      <w:adjustRightInd w:val="0"/>
      <w:spacing w:line="240" w:lineRule="atLeast"/>
      <w:textAlignment w:val="baseline"/>
    </w:pPr>
    <w:rPr>
      <w:rFonts w:ascii="Times New Roman" w:hAnsi="Times New Roman"/>
      <w:sz w:val="24"/>
      <w:lang w:val="bg-BG"/>
    </w:rPr>
  </w:style>
  <w:style w:type="paragraph" w:styleId="BlockText">
    <w:name w:val="Block Text"/>
    <w:basedOn w:val="Normal"/>
    <w:rsid w:val="009C13A9"/>
    <w:pPr>
      <w:pBdr>
        <w:top w:val="double" w:sz="6" w:space="3" w:color="auto"/>
        <w:left w:val="double" w:sz="6" w:space="3" w:color="auto"/>
        <w:bottom w:val="double" w:sz="6" w:space="3" w:color="auto"/>
        <w:right w:val="double" w:sz="6" w:space="3" w:color="auto"/>
      </w:pBdr>
      <w:shd w:val="pct10" w:color="auto" w:fill="auto"/>
      <w:overflowPunct w:val="0"/>
      <w:adjustRightInd w:val="0"/>
      <w:ind w:left="2410" w:right="2125"/>
      <w:jc w:val="center"/>
    </w:pPr>
    <w:rPr>
      <w:rFonts w:cs="Arial"/>
      <w:b/>
      <w:bCs/>
      <w:lang w:val="bg-BG"/>
    </w:rPr>
  </w:style>
  <w:style w:type="paragraph" w:customStyle="1" w:styleId="c1">
    <w:name w:val="c1"/>
    <w:basedOn w:val="Normal"/>
    <w:rsid w:val="009C13A9"/>
    <w:pPr>
      <w:spacing w:line="240" w:lineRule="atLeast"/>
      <w:jc w:val="center"/>
    </w:pPr>
    <w:rPr>
      <w:rFonts w:ascii="Times New Roman" w:hAnsi="Times New Roman"/>
      <w:sz w:val="24"/>
      <w:lang w:val="bg-BG"/>
    </w:rPr>
  </w:style>
  <w:style w:type="paragraph" w:customStyle="1" w:styleId="Brieftext10">
    <w:name w:val="Brieftext_10"/>
    <w:basedOn w:val="Normal"/>
    <w:rsid w:val="009C13A9"/>
    <w:pPr>
      <w:widowControl w:val="0"/>
      <w:suppressAutoHyphens/>
      <w:spacing w:line="360" w:lineRule="auto"/>
    </w:pPr>
    <w:rPr>
      <w:rFonts w:ascii="Times New Roman" w:hAnsi="Times New Roman"/>
      <w:szCs w:val="20"/>
      <w:lang w:val="bg-BG"/>
    </w:rPr>
  </w:style>
  <w:style w:type="paragraph" w:customStyle="1" w:styleId="Retraitcorpsdetexte21">
    <w:name w:val="Retrait corps de texte 21"/>
    <w:basedOn w:val="Normal"/>
    <w:rsid w:val="009C13A9"/>
    <w:pPr>
      <w:tabs>
        <w:tab w:val="left" w:pos="1418"/>
      </w:tabs>
      <w:suppressAutoHyphens/>
      <w:spacing w:before="120"/>
      <w:ind w:left="1418" w:hanging="1418"/>
    </w:pPr>
    <w:rPr>
      <w:rFonts w:ascii="Times New Roman" w:hAnsi="Times New Roman"/>
      <w:snapToGrid w:val="0"/>
      <w:szCs w:val="20"/>
      <w:lang w:val="bg-BG"/>
    </w:rPr>
  </w:style>
  <w:style w:type="paragraph" w:customStyle="1" w:styleId="N10">
    <w:name w:val="N10"/>
    <w:basedOn w:val="Normal"/>
    <w:rsid w:val="009C13A9"/>
    <w:pPr>
      <w:tabs>
        <w:tab w:val="left" w:pos="284"/>
        <w:tab w:val="left" w:pos="567"/>
        <w:tab w:val="left" w:pos="680"/>
        <w:tab w:val="left" w:pos="1021"/>
      </w:tabs>
      <w:overflowPunct w:val="0"/>
      <w:adjustRightInd w:val="0"/>
      <w:ind w:left="568" w:hanging="284"/>
      <w:textAlignment w:val="baseline"/>
    </w:pPr>
    <w:rPr>
      <w:rFonts w:ascii="Tms Rmn" w:hAnsi="Tms Rmn" w:cs="Tms Rmn"/>
      <w:snapToGrid w:val="0"/>
    </w:rPr>
  </w:style>
  <w:style w:type="paragraph" w:customStyle="1" w:styleId="titr1">
    <w:name w:val="titr1"/>
    <w:basedOn w:val="BodyTextIndent"/>
    <w:rsid w:val="009C13A9"/>
    <w:pPr>
      <w:tabs>
        <w:tab w:val="left" w:pos="425"/>
      </w:tabs>
      <w:spacing w:after="0" w:line="240" w:lineRule="atLeast"/>
      <w:ind w:left="425"/>
      <w:outlineLvl w:val="0"/>
    </w:pPr>
    <w:rPr>
      <w:rFonts w:cs="Arial"/>
      <w:b/>
      <w:bCs/>
      <w:snapToGrid w:val="0"/>
    </w:rPr>
  </w:style>
  <w:style w:type="paragraph" w:customStyle="1" w:styleId="Titra">
    <w:name w:val="Titr_a"/>
    <w:basedOn w:val="BodyTextIndent"/>
    <w:rsid w:val="009C13A9"/>
    <w:pPr>
      <w:tabs>
        <w:tab w:val="left" w:pos="851"/>
      </w:tabs>
      <w:spacing w:after="0" w:line="240" w:lineRule="atLeast"/>
      <w:ind w:left="850"/>
      <w:outlineLvl w:val="0"/>
    </w:pPr>
    <w:rPr>
      <w:rFonts w:cs="Arial"/>
      <w:snapToGrid w:val="0"/>
      <w:szCs w:val="20"/>
    </w:rPr>
  </w:style>
  <w:style w:type="paragraph" w:customStyle="1" w:styleId="Titrtiret">
    <w:name w:val="Titr_tiret"/>
    <w:basedOn w:val="BodyTextIndent"/>
    <w:rsid w:val="009C13A9"/>
    <w:pPr>
      <w:tabs>
        <w:tab w:val="left" w:pos="1276"/>
      </w:tabs>
      <w:spacing w:before="80" w:after="0" w:line="240" w:lineRule="atLeast"/>
      <w:ind w:left="1276"/>
    </w:pPr>
    <w:rPr>
      <w:rFonts w:cs="Arial"/>
      <w:snapToGrid w:val="0"/>
      <w:szCs w:val="20"/>
    </w:rPr>
  </w:style>
  <w:style w:type="paragraph" w:customStyle="1" w:styleId="Taa">
    <w:name w:val="Taa"/>
    <w:basedOn w:val="Normal"/>
    <w:rsid w:val="009C13A9"/>
    <w:pPr>
      <w:tabs>
        <w:tab w:val="left" w:pos="1276"/>
      </w:tabs>
      <w:overflowPunct w:val="0"/>
      <w:adjustRightInd w:val="0"/>
      <w:spacing w:line="240" w:lineRule="exact"/>
      <w:ind w:left="1276"/>
      <w:textAlignment w:val="baseline"/>
    </w:pPr>
    <w:rPr>
      <w:rFonts w:ascii="Times New Roman" w:hAnsi="Times New Roman"/>
      <w:sz w:val="24"/>
      <w:lang w:val="bg-BG"/>
    </w:rPr>
  </w:style>
  <w:style w:type="paragraph" w:customStyle="1" w:styleId="Ta">
    <w:name w:val="Ta"/>
    <w:basedOn w:val="Normal"/>
    <w:rsid w:val="009C13A9"/>
    <w:pPr>
      <w:tabs>
        <w:tab w:val="left" w:pos="851"/>
      </w:tabs>
      <w:spacing w:line="240" w:lineRule="atLeast"/>
      <w:ind w:left="850"/>
    </w:pPr>
    <w:rPr>
      <w:rFonts w:cs="Arial"/>
      <w:i/>
      <w:iCs/>
      <w:lang w:val="bg-BG"/>
    </w:rPr>
  </w:style>
  <w:style w:type="paragraph" w:customStyle="1" w:styleId="Annex2Artikel">
    <w:name w:val="Annex2_Artikel"/>
    <w:basedOn w:val="Normal"/>
    <w:rsid w:val="009C13A9"/>
    <w:pPr>
      <w:widowControl w:val="0"/>
      <w:tabs>
        <w:tab w:val="left" w:pos="454"/>
        <w:tab w:val="left" w:pos="907"/>
        <w:tab w:val="left" w:pos="1361"/>
        <w:tab w:val="left" w:pos="1814"/>
      </w:tabs>
      <w:overflowPunct w:val="0"/>
      <w:adjustRightInd w:val="0"/>
      <w:spacing w:before="480" w:line="240" w:lineRule="exact"/>
      <w:jc w:val="center"/>
      <w:textAlignment w:val="baseline"/>
    </w:pPr>
    <w:rPr>
      <w:rFonts w:ascii="Times New Roman" w:hAnsi="Times New Roman"/>
      <w:b/>
      <w:bCs/>
      <w:sz w:val="24"/>
      <w:lang w:val="bg-BG"/>
    </w:rPr>
  </w:style>
  <w:style w:type="paragraph" w:customStyle="1" w:styleId="Annex2Artikelberschrift">
    <w:name w:val="Annex2_Artikel_Überschrift"/>
    <w:basedOn w:val="Normal"/>
    <w:rsid w:val="009C13A9"/>
    <w:pPr>
      <w:widowControl w:val="0"/>
      <w:tabs>
        <w:tab w:val="left" w:pos="454"/>
        <w:tab w:val="left" w:pos="907"/>
        <w:tab w:val="left" w:pos="1361"/>
        <w:tab w:val="left" w:pos="1814"/>
      </w:tabs>
      <w:overflowPunct w:val="0"/>
      <w:adjustRightInd w:val="0"/>
      <w:spacing w:before="240" w:line="240" w:lineRule="exact"/>
      <w:jc w:val="center"/>
      <w:textAlignment w:val="baseline"/>
    </w:pPr>
    <w:rPr>
      <w:rFonts w:ascii="Times New Roman" w:hAnsi="Times New Roman"/>
      <w:i/>
      <w:iCs/>
      <w:sz w:val="24"/>
      <w:lang w:val="bg-BG"/>
    </w:rPr>
  </w:style>
  <w:style w:type="paragraph" w:customStyle="1" w:styleId="T1fr">
    <w:name w:val="T1fr"/>
    <w:basedOn w:val="T1"/>
    <w:rsid w:val="009C13A9"/>
    <w:pPr>
      <w:tabs>
        <w:tab w:val="clear" w:pos="425"/>
        <w:tab w:val="left" w:pos="851"/>
      </w:tabs>
      <w:overflowPunct/>
      <w:adjustRightInd/>
      <w:ind w:left="850"/>
      <w:textAlignment w:val="auto"/>
    </w:pPr>
  </w:style>
  <w:style w:type="paragraph" w:customStyle="1" w:styleId="Tafr">
    <w:name w:val="Ta_fr"/>
    <w:basedOn w:val="T1"/>
    <w:rsid w:val="009C13A9"/>
    <w:pPr>
      <w:tabs>
        <w:tab w:val="clear" w:pos="425"/>
        <w:tab w:val="left" w:pos="851"/>
      </w:tabs>
      <w:overflowPunct/>
      <w:adjustRightInd/>
      <w:spacing w:before="60"/>
      <w:ind w:left="1276"/>
      <w:textAlignment w:val="auto"/>
    </w:pPr>
  </w:style>
  <w:style w:type="paragraph" w:customStyle="1" w:styleId="T1n">
    <w:name w:val="T1n"/>
    <w:basedOn w:val="T1"/>
    <w:rsid w:val="009C13A9"/>
    <w:pPr>
      <w:tabs>
        <w:tab w:val="clear" w:pos="425"/>
        <w:tab w:val="left" w:pos="851"/>
      </w:tabs>
      <w:ind w:left="850"/>
    </w:pPr>
  </w:style>
  <w:style w:type="paragraph" w:customStyle="1" w:styleId="T1gr">
    <w:name w:val="T_1gr"/>
    <w:basedOn w:val="Normal"/>
    <w:rsid w:val="009C13A9"/>
    <w:pPr>
      <w:tabs>
        <w:tab w:val="left" w:pos="567"/>
      </w:tabs>
      <w:spacing w:line="240" w:lineRule="atLeast"/>
      <w:ind w:left="567" w:hanging="567"/>
    </w:pPr>
    <w:rPr>
      <w:rFonts w:cs="Arial"/>
      <w:b/>
      <w:bCs/>
      <w:snapToGrid w:val="0"/>
      <w:szCs w:val="20"/>
    </w:rPr>
  </w:style>
  <w:style w:type="paragraph" w:customStyle="1" w:styleId="T1rent">
    <w:name w:val="T_1rent"/>
    <w:basedOn w:val="Normal"/>
    <w:rsid w:val="009C13A9"/>
    <w:pPr>
      <w:spacing w:line="240" w:lineRule="atLeast"/>
      <w:ind w:left="567"/>
    </w:pPr>
    <w:rPr>
      <w:rFonts w:cs="Arial"/>
      <w:snapToGrid w:val="0"/>
      <w:szCs w:val="20"/>
    </w:rPr>
  </w:style>
  <w:style w:type="paragraph" w:customStyle="1" w:styleId="textetableau">
    <w:name w:val="texte tableau"/>
    <w:basedOn w:val="Normal"/>
    <w:rsid w:val="009C13A9"/>
    <w:pPr>
      <w:tabs>
        <w:tab w:val="left" w:pos="1418"/>
      </w:tabs>
      <w:spacing w:before="40" w:after="40" w:line="220" w:lineRule="exact"/>
    </w:pPr>
    <w:rPr>
      <w:bCs/>
      <w:iCs/>
      <w:szCs w:val="20"/>
    </w:rPr>
  </w:style>
  <w:style w:type="paragraph" w:customStyle="1" w:styleId="Lignedobjet">
    <w:name w:val="Ligne d'objet"/>
    <w:basedOn w:val="Normal"/>
    <w:rsid w:val="009C13A9"/>
    <w:pPr>
      <w:tabs>
        <w:tab w:val="left" w:pos="284"/>
      </w:tabs>
      <w:overflowPunct w:val="0"/>
      <w:adjustRightInd w:val="0"/>
      <w:textAlignment w:val="baseline"/>
    </w:pPr>
    <w:rPr>
      <w:szCs w:val="20"/>
    </w:rPr>
  </w:style>
  <w:style w:type="paragraph" w:styleId="NormalWeb">
    <w:name w:val="Normal (Web)"/>
    <w:basedOn w:val="Normal"/>
    <w:rsid w:val="009C13A9"/>
    <w:pPr>
      <w:spacing w:before="101" w:after="101"/>
      <w:ind w:left="453" w:right="352"/>
    </w:pPr>
    <w:rPr>
      <w:rFonts w:ascii="Times New Roman" w:eastAsia="Batang" w:hAnsi="Times New Roman"/>
      <w:sz w:val="19"/>
      <w:szCs w:val="19"/>
      <w:lang w:eastAsia="bg-BG"/>
    </w:rPr>
  </w:style>
  <w:style w:type="paragraph" w:styleId="BodyText2">
    <w:name w:val="Body Text 2"/>
    <w:basedOn w:val="Normal"/>
    <w:link w:val="BodyText2Char"/>
    <w:rsid w:val="009C13A9"/>
    <w:pPr>
      <w:spacing w:after="120" w:line="480" w:lineRule="auto"/>
    </w:pPr>
    <w:rPr>
      <w:rFonts w:ascii="Times New Roman" w:hAnsi="Times New Roman"/>
      <w:snapToGrid w:val="0"/>
      <w:sz w:val="24"/>
      <w:lang w:val="bg-BG"/>
    </w:rPr>
  </w:style>
  <w:style w:type="character" w:customStyle="1" w:styleId="BodyText2Char">
    <w:name w:val="Body Text 2 Char"/>
    <w:link w:val="BodyText2"/>
    <w:rsid w:val="009C13A9"/>
    <w:rPr>
      <w:rFonts w:ascii="Times New Roman" w:hAnsi="Times New Roman"/>
      <w:snapToGrid w:val="0"/>
      <w:sz w:val="24"/>
      <w:szCs w:val="24"/>
      <w:lang w:val="bg-BG"/>
    </w:rPr>
  </w:style>
  <w:style w:type="paragraph" w:customStyle="1" w:styleId="Textkrper-Einzug3">
    <w:name w:val="Textkörper-Einzug 3"/>
    <w:basedOn w:val="Normal"/>
    <w:rsid w:val="009C13A9"/>
    <w:pPr>
      <w:widowControl w:val="0"/>
      <w:tabs>
        <w:tab w:val="left" w:pos="426"/>
      </w:tabs>
      <w:overflowPunct w:val="0"/>
      <w:adjustRightInd w:val="0"/>
      <w:ind w:left="426" w:hanging="426"/>
      <w:textAlignment w:val="baseline"/>
    </w:pPr>
    <w:rPr>
      <w:rFonts w:cs="Arial"/>
      <w:i/>
      <w:iCs/>
      <w:szCs w:val="20"/>
    </w:rPr>
  </w:style>
  <w:style w:type="paragraph" w:customStyle="1" w:styleId="a1">
    <w:name w:val="a1"/>
    <w:basedOn w:val="Normal"/>
    <w:rsid w:val="009C13A9"/>
    <w:pPr>
      <w:tabs>
        <w:tab w:val="left" w:pos="851"/>
      </w:tabs>
      <w:spacing w:line="240" w:lineRule="atLeast"/>
      <w:ind w:left="850"/>
    </w:pPr>
    <w:rPr>
      <w:rFonts w:ascii="Times New Roman" w:hAnsi="Times New Roman"/>
      <w:snapToGrid w:val="0"/>
      <w:sz w:val="24"/>
      <w:lang w:val="bg-BG"/>
    </w:rPr>
  </w:style>
  <w:style w:type="paragraph" w:customStyle="1" w:styleId="1berschriftTF">
    <w:name w:val="1.Überschrift TF"/>
    <w:basedOn w:val="Normal"/>
    <w:rsid w:val="009C13A9"/>
    <w:rPr>
      <w:rFonts w:ascii="Arial Narrow" w:hAnsi="Arial Narrow"/>
      <w:snapToGrid w:val="0"/>
      <w:lang w:val="bg-BG"/>
    </w:rPr>
  </w:style>
  <w:style w:type="paragraph" w:styleId="Subtitle">
    <w:name w:val="Subtitle"/>
    <w:basedOn w:val="Normal"/>
    <w:link w:val="SubtitleChar"/>
    <w:qFormat/>
    <w:rsid w:val="009C13A9"/>
    <w:pPr>
      <w:tabs>
        <w:tab w:val="left" w:pos="851"/>
        <w:tab w:val="left" w:pos="1560"/>
      </w:tabs>
      <w:spacing w:line="240" w:lineRule="atLeast"/>
      <w:jc w:val="center"/>
    </w:pPr>
    <w:rPr>
      <w:b/>
      <w:bCs/>
      <w:snapToGrid w:val="0"/>
      <w:sz w:val="28"/>
      <w:lang w:val="bg-BG"/>
    </w:rPr>
  </w:style>
  <w:style w:type="character" w:customStyle="1" w:styleId="SubtitleChar">
    <w:name w:val="Subtitle Char"/>
    <w:link w:val="Subtitle"/>
    <w:rsid w:val="009C13A9"/>
    <w:rPr>
      <w:rFonts w:ascii="Arial" w:hAnsi="Arial"/>
      <w:b/>
      <w:bCs/>
      <w:snapToGrid w:val="0"/>
      <w:sz w:val="28"/>
      <w:szCs w:val="28"/>
      <w:lang w:val="bg-BG"/>
    </w:rPr>
  </w:style>
  <w:style w:type="paragraph" w:customStyle="1" w:styleId="t60">
    <w:name w:val="t60"/>
    <w:basedOn w:val="Normal"/>
    <w:rsid w:val="009C13A9"/>
    <w:pPr>
      <w:spacing w:line="200" w:lineRule="atLeast"/>
    </w:pPr>
    <w:rPr>
      <w:rFonts w:ascii="Times New Roman" w:hAnsi="Times New Roman"/>
      <w:snapToGrid w:val="0"/>
      <w:sz w:val="24"/>
      <w:lang w:val="bg-BG"/>
    </w:rPr>
  </w:style>
  <w:style w:type="character" w:styleId="LineNumber">
    <w:name w:val="line number"/>
    <w:basedOn w:val="DefaultParagraphFont"/>
    <w:rsid w:val="009C13A9"/>
  </w:style>
  <w:style w:type="paragraph" w:customStyle="1" w:styleId="Annex2Buchstabe">
    <w:name w:val="Annex2_Buchstabe"/>
    <w:basedOn w:val="Normal"/>
    <w:rsid w:val="009C13A9"/>
    <w:pPr>
      <w:tabs>
        <w:tab w:val="left" w:pos="454"/>
        <w:tab w:val="left" w:pos="907"/>
        <w:tab w:val="left" w:pos="1361"/>
        <w:tab w:val="left" w:pos="1814"/>
      </w:tabs>
      <w:overflowPunct w:val="0"/>
      <w:adjustRightInd w:val="0"/>
      <w:spacing w:after="80"/>
      <w:ind w:left="908" w:hanging="454"/>
      <w:textAlignment w:val="baseline"/>
    </w:pPr>
    <w:rPr>
      <w:rFonts w:ascii="Times New Roman" w:hAnsi="Times New Roman"/>
      <w:sz w:val="24"/>
    </w:rPr>
  </w:style>
  <w:style w:type="paragraph" w:customStyle="1" w:styleId="aa">
    <w:name w:val="aa"/>
    <w:basedOn w:val="Annex2Buchstabe"/>
    <w:rsid w:val="009C13A9"/>
    <w:pPr>
      <w:tabs>
        <w:tab w:val="clear" w:pos="454"/>
        <w:tab w:val="clear" w:pos="907"/>
        <w:tab w:val="clear" w:pos="1361"/>
        <w:tab w:val="clear" w:pos="1814"/>
        <w:tab w:val="left" w:pos="425"/>
        <w:tab w:val="left" w:pos="851"/>
        <w:tab w:val="left" w:pos="1276"/>
        <w:tab w:val="left" w:pos="1701"/>
        <w:tab w:val="left" w:pos="2126"/>
      </w:tabs>
      <w:spacing w:before="120" w:after="0" w:line="240" w:lineRule="atLeast"/>
      <w:ind w:left="850" w:hanging="425"/>
    </w:pPr>
  </w:style>
  <w:style w:type="paragraph" w:customStyle="1" w:styleId="Standard">
    <w:name w:val="Standard"/>
    <w:rsid w:val="009C13A9"/>
    <w:pPr>
      <w:widowControl w:val="0"/>
      <w:overflowPunct w:val="0"/>
      <w:autoSpaceDE w:val="0"/>
      <w:autoSpaceDN w:val="0"/>
      <w:adjustRightInd w:val="0"/>
      <w:jc w:val="both"/>
      <w:textAlignment w:val="baseline"/>
    </w:pPr>
    <w:rPr>
      <w:rFonts w:ascii="CG Times (W1)" w:hAnsi="CG Times (W1)"/>
      <w:snapToGrid w:val="0"/>
      <w:sz w:val="24"/>
      <w:szCs w:val="24"/>
    </w:rPr>
  </w:style>
  <w:style w:type="paragraph" w:customStyle="1" w:styleId="rad111">
    <w:name w:val="rad1.11"/>
    <w:basedOn w:val="Normal"/>
    <w:rsid w:val="009C13A9"/>
    <w:pPr>
      <w:tabs>
        <w:tab w:val="left" w:pos="284"/>
        <w:tab w:val="left" w:pos="454"/>
        <w:tab w:val="left" w:pos="709"/>
      </w:tabs>
      <w:spacing w:line="240" w:lineRule="exact"/>
      <w:ind w:hanging="567"/>
    </w:pPr>
    <w:rPr>
      <w:rFonts w:ascii="Times New Roman" w:hAnsi="Times New Roman"/>
      <w:snapToGrid w:val="0"/>
      <w:sz w:val="24"/>
    </w:rPr>
  </w:style>
  <w:style w:type="paragraph" w:customStyle="1" w:styleId="rad1">
    <w:name w:val="rad1"/>
    <w:aliases w:val="11"/>
    <w:basedOn w:val="Normal"/>
    <w:rsid w:val="009C13A9"/>
    <w:pPr>
      <w:tabs>
        <w:tab w:val="left" w:pos="284"/>
        <w:tab w:val="left" w:pos="454"/>
        <w:tab w:val="left" w:pos="709"/>
      </w:tabs>
      <w:spacing w:line="240" w:lineRule="exact"/>
      <w:ind w:hanging="567"/>
    </w:pPr>
    <w:rPr>
      <w:rFonts w:ascii="Times New Roman" w:hAnsi="Times New Roman"/>
      <w:sz w:val="24"/>
    </w:rPr>
  </w:style>
  <w:style w:type="paragraph" w:customStyle="1" w:styleId="N12">
    <w:name w:val="N12"/>
    <w:basedOn w:val="Normal"/>
    <w:rsid w:val="009C13A9"/>
    <w:pPr>
      <w:tabs>
        <w:tab w:val="left" w:pos="284"/>
      </w:tabs>
      <w:overflowPunct w:val="0"/>
      <w:adjustRightInd w:val="0"/>
      <w:spacing w:line="240" w:lineRule="atLeast"/>
      <w:jc w:val="center"/>
      <w:textAlignment w:val="baseline"/>
    </w:pPr>
    <w:rPr>
      <w:rFonts w:ascii="Times New Roman" w:hAnsi="Times New Roman"/>
      <w:sz w:val="16"/>
      <w:szCs w:val="20"/>
    </w:rPr>
  </w:style>
  <w:style w:type="paragraph" w:customStyle="1" w:styleId="rad1note">
    <w:name w:val="rad1.note"/>
    <w:basedOn w:val="Normal"/>
    <w:rsid w:val="009C13A9"/>
    <w:pPr>
      <w:tabs>
        <w:tab w:val="left" w:pos="284"/>
        <w:tab w:val="left" w:pos="454"/>
        <w:tab w:val="left" w:pos="709"/>
      </w:tabs>
      <w:overflowPunct w:val="0"/>
      <w:adjustRightInd w:val="0"/>
      <w:spacing w:line="240" w:lineRule="exact"/>
      <w:ind w:left="284" w:hanging="284"/>
      <w:textAlignment w:val="baseline"/>
    </w:pPr>
    <w:rPr>
      <w:rFonts w:ascii="Times New Roman" w:hAnsi="Times New Roman"/>
      <w:sz w:val="24"/>
      <w:szCs w:val="20"/>
    </w:rPr>
  </w:style>
  <w:style w:type="paragraph" w:customStyle="1" w:styleId="Hoofdgedeelte">
    <w:name w:val="Hoofdgedeelte"/>
    <w:basedOn w:val="Normal"/>
    <w:rsid w:val="009C13A9"/>
    <w:pPr>
      <w:widowControl w:val="0"/>
    </w:pPr>
    <w:rPr>
      <w:rFonts w:ascii="Times" w:hAnsi="Times"/>
      <w:sz w:val="24"/>
      <w:lang w:val="bg-BG"/>
    </w:rPr>
  </w:style>
  <w:style w:type="numbering" w:customStyle="1" w:styleId="Aucuneliste11">
    <w:name w:val="Aucune liste11"/>
    <w:next w:val="NoList"/>
    <w:uiPriority w:val="99"/>
    <w:semiHidden/>
    <w:unhideWhenUsed/>
    <w:rsid w:val="009C13A9"/>
  </w:style>
  <w:style w:type="character" w:customStyle="1" w:styleId="WW8Num1z0">
    <w:name w:val="WW8Num1z0"/>
    <w:rsid w:val="009C13A9"/>
    <w:rPr>
      <w:rFonts w:cs="Times New Roman"/>
    </w:rPr>
  </w:style>
  <w:style w:type="character" w:customStyle="1" w:styleId="WW8Num2z0">
    <w:name w:val="WW8Num2z0"/>
    <w:rsid w:val="009C13A9"/>
    <w:rPr>
      <w:rFonts w:cs="Times New Roman"/>
    </w:rPr>
  </w:style>
  <w:style w:type="character" w:customStyle="1" w:styleId="Absatz-Standardschriftart1">
    <w:name w:val="Absatz-Standardschriftart1"/>
    <w:rsid w:val="009C13A9"/>
  </w:style>
  <w:style w:type="character" w:customStyle="1" w:styleId="WW-Absatz-Standardschriftart">
    <w:name w:val="WW-Absatz-Standardschriftart"/>
    <w:rsid w:val="009C13A9"/>
  </w:style>
  <w:style w:type="character" w:customStyle="1" w:styleId="WW-Absatz-Standardschriftart1">
    <w:name w:val="WW-Absatz-Standardschriftart1"/>
    <w:rsid w:val="009C13A9"/>
  </w:style>
  <w:style w:type="character" w:customStyle="1" w:styleId="WW-Absatz-Standardschriftart11">
    <w:name w:val="WW-Absatz-Standardschriftart11"/>
    <w:rsid w:val="009C13A9"/>
  </w:style>
  <w:style w:type="character" w:customStyle="1" w:styleId="WW-Absatz-Standardschriftart111">
    <w:name w:val="WW-Absatz-Standardschriftart111"/>
    <w:rsid w:val="009C13A9"/>
  </w:style>
  <w:style w:type="character" w:customStyle="1" w:styleId="WW-Absatz-Standardschriftart1111">
    <w:name w:val="WW-Absatz-Standardschriftart1111"/>
    <w:rsid w:val="009C13A9"/>
  </w:style>
  <w:style w:type="character" w:customStyle="1" w:styleId="WW-Absatz-Standardschriftart11111">
    <w:name w:val="WW-Absatz-Standardschriftart11111"/>
    <w:rsid w:val="009C13A9"/>
  </w:style>
  <w:style w:type="character" w:customStyle="1" w:styleId="WW-Absatz-Standardschriftart111111">
    <w:name w:val="WW-Absatz-Standardschriftart111111"/>
    <w:rsid w:val="009C13A9"/>
  </w:style>
  <w:style w:type="character" w:customStyle="1" w:styleId="WW-Absatz-Standardschriftart1111111">
    <w:name w:val="WW-Absatz-Standardschriftart1111111"/>
    <w:rsid w:val="009C13A9"/>
  </w:style>
  <w:style w:type="character" w:customStyle="1" w:styleId="WW-Absatz-Standardschriftart11111111">
    <w:name w:val="WW-Absatz-Standardschriftart11111111"/>
    <w:rsid w:val="009C13A9"/>
  </w:style>
  <w:style w:type="character" w:customStyle="1" w:styleId="WW-Absatz-Standardschriftart111111111">
    <w:name w:val="WW-Absatz-Standardschriftart111111111"/>
    <w:rsid w:val="009C13A9"/>
  </w:style>
  <w:style w:type="character" w:customStyle="1" w:styleId="WW8Num3z0">
    <w:name w:val="WW8Num3z0"/>
    <w:rsid w:val="009C13A9"/>
    <w:rPr>
      <w:rFonts w:cs="Times New Roman"/>
    </w:rPr>
  </w:style>
  <w:style w:type="character" w:customStyle="1" w:styleId="WW8Num4z0">
    <w:name w:val="WW8Num4z0"/>
    <w:rsid w:val="009C13A9"/>
    <w:rPr>
      <w:rFonts w:ascii="Times New Roman" w:eastAsia="Times New Roman" w:hAnsi="Times New Roman"/>
    </w:rPr>
  </w:style>
  <w:style w:type="character" w:customStyle="1" w:styleId="WW8Num4z1">
    <w:name w:val="WW8Num4z1"/>
    <w:rsid w:val="009C13A9"/>
    <w:rPr>
      <w:rFonts w:ascii="Courier New" w:hAnsi="Courier New"/>
    </w:rPr>
  </w:style>
  <w:style w:type="character" w:customStyle="1" w:styleId="WW8Num4z2">
    <w:name w:val="WW8Num4z2"/>
    <w:rsid w:val="009C13A9"/>
    <w:rPr>
      <w:rFonts w:ascii="Wingdings" w:hAnsi="Wingdings"/>
    </w:rPr>
  </w:style>
  <w:style w:type="character" w:customStyle="1" w:styleId="WW8Num4z3">
    <w:name w:val="WW8Num4z3"/>
    <w:rsid w:val="009C13A9"/>
    <w:rPr>
      <w:rFonts w:ascii="Symbol" w:hAnsi="Symbol"/>
    </w:rPr>
  </w:style>
  <w:style w:type="character" w:customStyle="1" w:styleId="WW8Num5z0">
    <w:name w:val="WW8Num5z0"/>
    <w:rsid w:val="009C13A9"/>
    <w:rPr>
      <w:rFonts w:ascii="Arial" w:eastAsia="Times New Roman" w:hAnsi="Arial"/>
    </w:rPr>
  </w:style>
  <w:style w:type="character" w:customStyle="1" w:styleId="WW8Num5z1">
    <w:name w:val="WW8Num5z1"/>
    <w:rsid w:val="009C13A9"/>
    <w:rPr>
      <w:rFonts w:ascii="Courier New" w:hAnsi="Courier New"/>
    </w:rPr>
  </w:style>
  <w:style w:type="character" w:customStyle="1" w:styleId="WW8Num5z2">
    <w:name w:val="WW8Num5z2"/>
    <w:rsid w:val="009C13A9"/>
    <w:rPr>
      <w:rFonts w:ascii="Wingdings" w:hAnsi="Wingdings"/>
    </w:rPr>
  </w:style>
  <w:style w:type="character" w:customStyle="1" w:styleId="WW8Num5z3">
    <w:name w:val="WW8Num5z3"/>
    <w:rsid w:val="009C13A9"/>
    <w:rPr>
      <w:rFonts w:ascii="Symbol" w:hAnsi="Symbol"/>
    </w:rPr>
  </w:style>
  <w:style w:type="character" w:customStyle="1" w:styleId="Policepardfaut1">
    <w:name w:val="Police par défaut1"/>
    <w:rsid w:val="009C13A9"/>
  </w:style>
  <w:style w:type="character" w:customStyle="1" w:styleId="Caractresdenotedebasdepage">
    <w:name w:val="Caractères de note de bas de page"/>
    <w:rsid w:val="009C13A9"/>
    <w:rPr>
      <w:rFonts w:cs="Times New Roman"/>
      <w:vertAlign w:val="superscript"/>
    </w:rPr>
  </w:style>
  <w:style w:type="character" w:customStyle="1" w:styleId="Marquedecommentaire1">
    <w:name w:val="Marque de commentaire1"/>
    <w:rsid w:val="009C13A9"/>
    <w:rPr>
      <w:rFonts w:cs="Times New Roman"/>
      <w:sz w:val="16"/>
      <w:szCs w:val="16"/>
    </w:rPr>
  </w:style>
  <w:style w:type="character" w:customStyle="1" w:styleId="VO-Text-AbsnachNrChar">
    <w:name w:val="VO-Text-Abs nach Nr Char"/>
    <w:rsid w:val="009C13A9"/>
    <w:rPr>
      <w:rFonts w:ascii="Arial" w:hAnsi="Arial" w:cs="Times New Roman"/>
      <w:b/>
      <w:bCs/>
      <w:sz w:val="24"/>
      <w:szCs w:val="24"/>
      <w:lang w:val="bg-BG" w:eastAsia="bg-BG" w:bidi="bg-BG"/>
    </w:rPr>
  </w:style>
  <w:style w:type="character" w:styleId="Emphasis">
    <w:name w:val="Emphasis"/>
    <w:qFormat/>
    <w:rsid w:val="009C13A9"/>
    <w:rPr>
      <w:rFonts w:cs="Times New Roman"/>
      <w:i/>
      <w:iCs/>
    </w:rPr>
  </w:style>
  <w:style w:type="character" w:customStyle="1" w:styleId="error">
    <w:name w:val="error"/>
    <w:rsid w:val="009C13A9"/>
    <w:rPr>
      <w:rFonts w:cs="Times New Roman"/>
    </w:rPr>
  </w:style>
  <w:style w:type="character" w:customStyle="1" w:styleId="longtext1">
    <w:name w:val="long_text1"/>
    <w:rsid w:val="009C13A9"/>
    <w:rPr>
      <w:rFonts w:cs="Times New Roman"/>
      <w:sz w:val="20"/>
      <w:szCs w:val="20"/>
    </w:rPr>
  </w:style>
  <w:style w:type="character" w:customStyle="1" w:styleId="WW-Caractresdenotedebasdepage">
    <w:name w:val="WW-Caractères de note de bas de page"/>
    <w:rsid w:val="009C13A9"/>
    <w:rPr>
      <w:rFonts w:cs="Times New Roman"/>
      <w:vertAlign w:val="superscript"/>
    </w:rPr>
  </w:style>
  <w:style w:type="character" w:customStyle="1" w:styleId="Caractresdenotedefin">
    <w:name w:val="Caractères de note de fin"/>
    <w:rsid w:val="009C13A9"/>
    <w:rPr>
      <w:vertAlign w:val="superscript"/>
    </w:rPr>
  </w:style>
  <w:style w:type="character" w:customStyle="1" w:styleId="WW-Caractresdenotedefin">
    <w:name w:val="WW-Caractères de note de fin"/>
    <w:rsid w:val="009C13A9"/>
  </w:style>
  <w:style w:type="character" w:styleId="EndnoteReference">
    <w:name w:val="endnote reference"/>
    <w:rsid w:val="009C13A9"/>
    <w:rPr>
      <w:vertAlign w:val="superscript"/>
    </w:rPr>
  </w:style>
  <w:style w:type="character" w:customStyle="1" w:styleId="Caractresdenumrotation">
    <w:name w:val="Caractères de numérotation"/>
    <w:rsid w:val="009C13A9"/>
  </w:style>
  <w:style w:type="paragraph" w:customStyle="1" w:styleId="Titre1">
    <w:name w:val="Titre1"/>
    <w:basedOn w:val="Normal"/>
    <w:next w:val="BodyText"/>
    <w:rsid w:val="009C13A9"/>
    <w:pPr>
      <w:keepNext/>
      <w:suppressAutoHyphens/>
      <w:spacing w:before="240" w:after="120"/>
    </w:pPr>
    <w:rPr>
      <w:rFonts w:ascii="Liberation Sans" w:eastAsia="Lucida Sans Unicode" w:hAnsi="Liberation Sans" w:cs="Tahoma"/>
      <w:sz w:val="28"/>
      <w:lang w:val="bg-BG" w:eastAsia="bg-BG"/>
    </w:rPr>
  </w:style>
  <w:style w:type="paragraph" w:styleId="List">
    <w:name w:val="List"/>
    <w:basedOn w:val="BodyText"/>
    <w:rsid w:val="009C13A9"/>
    <w:pPr>
      <w:keepNext w:val="0"/>
      <w:tabs>
        <w:tab w:val="clear" w:pos="709"/>
      </w:tabs>
      <w:suppressAutoHyphens/>
    </w:pPr>
    <w:rPr>
      <w:rFonts w:ascii="Liberation Sans" w:hAnsi="Liberation Sans" w:cs="Tahoma"/>
      <w:b/>
      <w:sz w:val="24"/>
      <w:lang w:val="bg-BG"/>
    </w:rPr>
  </w:style>
  <w:style w:type="paragraph" w:customStyle="1" w:styleId="Lgende1">
    <w:name w:val="Légende1"/>
    <w:basedOn w:val="Normal"/>
    <w:next w:val="Normal"/>
    <w:rsid w:val="009C13A9"/>
    <w:pPr>
      <w:suppressAutoHyphens/>
      <w:spacing w:before="120" w:after="120"/>
    </w:pPr>
    <w:rPr>
      <w:rFonts w:ascii="Times New Roman" w:hAnsi="Times New Roman"/>
      <w:b/>
      <w:bCs/>
      <w:szCs w:val="20"/>
      <w:lang w:val="bg-BG" w:eastAsia="bg-BG"/>
    </w:rPr>
  </w:style>
  <w:style w:type="paragraph" w:customStyle="1" w:styleId="Index">
    <w:name w:val="Index"/>
    <w:basedOn w:val="Normal"/>
    <w:rsid w:val="009C13A9"/>
    <w:pPr>
      <w:suppressLineNumbers/>
      <w:suppressAutoHyphens/>
    </w:pPr>
    <w:rPr>
      <w:rFonts w:ascii="Liberation Sans" w:hAnsi="Liberation Sans" w:cs="Tahoma"/>
      <w:sz w:val="24"/>
      <w:lang w:val="bg-BG" w:eastAsia="bg-BG"/>
    </w:rPr>
  </w:style>
  <w:style w:type="paragraph" w:customStyle="1" w:styleId="Explorateurdedocument1">
    <w:name w:val="Explorateur de document1"/>
    <w:basedOn w:val="Normal"/>
    <w:rsid w:val="009C13A9"/>
    <w:pPr>
      <w:shd w:val="clear" w:color="auto" w:fill="000080"/>
      <w:suppressAutoHyphens/>
    </w:pPr>
    <w:rPr>
      <w:rFonts w:ascii="Times New Roman" w:hAnsi="Times New Roman"/>
      <w:szCs w:val="20"/>
      <w:lang w:val="bg-BG" w:eastAsia="bg-BG"/>
    </w:rPr>
  </w:style>
  <w:style w:type="paragraph" w:customStyle="1" w:styleId="Anlage">
    <w:name w:val="Anlage"/>
    <w:basedOn w:val="Normal"/>
    <w:rsid w:val="009C13A9"/>
    <w:pPr>
      <w:suppressAutoHyphens/>
      <w:spacing w:before="240"/>
      <w:ind w:left="1134" w:hanging="1134"/>
    </w:pPr>
    <w:rPr>
      <w:rFonts w:ascii="Times New Roman" w:hAnsi="Times New Roman"/>
      <w:sz w:val="24"/>
      <w:lang w:val="bg-BG" w:eastAsia="bg-BG"/>
    </w:rPr>
  </w:style>
  <w:style w:type="paragraph" w:customStyle="1" w:styleId="Betrifft">
    <w:name w:val="Betrifft"/>
    <w:basedOn w:val="Normal"/>
    <w:rsid w:val="009C13A9"/>
    <w:pPr>
      <w:suppressAutoHyphens/>
      <w:spacing w:before="480"/>
    </w:pPr>
    <w:rPr>
      <w:rFonts w:ascii="Times New Roman" w:hAnsi="Times New Roman"/>
      <w:sz w:val="24"/>
      <w:lang w:val="bg-BG" w:eastAsia="bg-BG"/>
    </w:rPr>
  </w:style>
  <w:style w:type="paragraph" w:customStyle="1" w:styleId="Bezug">
    <w:name w:val="Bezug"/>
    <w:basedOn w:val="Normal"/>
    <w:rsid w:val="009C13A9"/>
    <w:pPr>
      <w:suppressAutoHyphens/>
      <w:spacing w:before="240"/>
    </w:pPr>
    <w:rPr>
      <w:rFonts w:ascii="Times New Roman" w:hAnsi="Times New Roman"/>
      <w:sz w:val="24"/>
      <w:lang w:val="bg-BG" w:eastAsia="bg-BG"/>
    </w:rPr>
  </w:style>
  <w:style w:type="paragraph" w:customStyle="1" w:styleId="Hier">
    <w:name w:val="Hier"/>
    <w:basedOn w:val="Normal"/>
    <w:rsid w:val="009C13A9"/>
    <w:pPr>
      <w:tabs>
        <w:tab w:val="left" w:pos="284"/>
      </w:tabs>
      <w:suppressAutoHyphens/>
      <w:ind w:left="284" w:hanging="284"/>
    </w:pPr>
    <w:rPr>
      <w:rFonts w:ascii="Times New Roman" w:hAnsi="Times New Roman"/>
      <w:sz w:val="24"/>
      <w:lang w:val="bg-BG" w:eastAsia="bg-BG"/>
    </w:rPr>
  </w:style>
  <w:style w:type="paragraph" w:customStyle="1" w:styleId="yyx">
    <w:name w:val="yyx"/>
    <w:basedOn w:val="Normal"/>
    <w:rsid w:val="009C13A9"/>
    <w:pPr>
      <w:suppressAutoHyphens/>
      <w:spacing w:line="360" w:lineRule="auto"/>
    </w:pPr>
    <w:rPr>
      <w:rFonts w:ascii="Times New Roman" w:hAnsi="Times New Roman"/>
      <w:b/>
      <w:sz w:val="24"/>
      <w:lang w:val="bg-BG" w:eastAsia="bg-BG"/>
    </w:rPr>
  </w:style>
  <w:style w:type="paragraph" w:customStyle="1" w:styleId="Nverborgen">
    <w:name w:val="Nverborgen"/>
    <w:basedOn w:val="Normal"/>
    <w:next w:val="Normal"/>
    <w:rsid w:val="009C13A9"/>
    <w:pPr>
      <w:suppressAutoHyphens/>
      <w:spacing w:line="360" w:lineRule="auto"/>
      <w:ind w:hanging="567"/>
    </w:pPr>
    <w:rPr>
      <w:rFonts w:ascii="Times New Roman" w:hAnsi="Times New Roman"/>
      <w:sz w:val="24"/>
      <w:lang w:val="bg-BG" w:eastAsia="bg-BG"/>
    </w:rPr>
  </w:style>
  <w:style w:type="paragraph" w:customStyle="1" w:styleId="Verborgen">
    <w:name w:val="Verborgen"/>
    <w:basedOn w:val="Normal"/>
    <w:next w:val="Normal"/>
    <w:rsid w:val="009C13A9"/>
    <w:pPr>
      <w:suppressAutoHyphens/>
      <w:spacing w:after="360" w:line="360" w:lineRule="auto"/>
      <w:ind w:hanging="567"/>
    </w:pPr>
    <w:rPr>
      <w:rFonts w:ascii="Times New Roman" w:hAnsi="Times New Roman"/>
      <w:vanish/>
      <w:color w:val="0000FF"/>
      <w:sz w:val="24"/>
      <w:lang w:val="bg-BG" w:eastAsia="bg-BG"/>
    </w:rPr>
  </w:style>
  <w:style w:type="paragraph" w:customStyle="1" w:styleId="Salutations1">
    <w:name w:val="Salutations1"/>
    <w:basedOn w:val="Normal"/>
    <w:next w:val="Normal"/>
    <w:rsid w:val="009C13A9"/>
    <w:pPr>
      <w:suppressAutoHyphens/>
      <w:spacing w:before="720" w:line="360" w:lineRule="auto"/>
    </w:pPr>
    <w:rPr>
      <w:rFonts w:ascii="Times New Roman" w:hAnsi="Times New Roman"/>
      <w:sz w:val="24"/>
      <w:lang w:val="bg-BG" w:eastAsia="bg-BG"/>
    </w:rPr>
  </w:style>
  <w:style w:type="paragraph" w:customStyle="1" w:styleId="c4">
    <w:name w:val="c4"/>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p4">
    <w:name w:val="p4"/>
    <w:basedOn w:val="Normal"/>
    <w:rsid w:val="009C13A9"/>
    <w:pPr>
      <w:tabs>
        <w:tab w:val="left" w:pos="720"/>
      </w:tabs>
      <w:suppressAutoHyphens/>
      <w:spacing w:line="220" w:lineRule="atLeast"/>
    </w:pPr>
    <w:rPr>
      <w:rFonts w:ascii="Times New Roman" w:hAnsi="Times New Roman"/>
      <w:sz w:val="24"/>
      <w:szCs w:val="20"/>
      <w:lang w:val="bg-BG" w:eastAsia="bg-BG"/>
    </w:rPr>
  </w:style>
  <w:style w:type="paragraph" w:customStyle="1" w:styleId="c2">
    <w:name w:val="c2"/>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p9">
    <w:name w:val="p9"/>
    <w:basedOn w:val="Normal"/>
    <w:rsid w:val="009C13A9"/>
    <w:pPr>
      <w:tabs>
        <w:tab w:val="left" w:pos="1060"/>
      </w:tabs>
      <w:suppressAutoHyphens/>
      <w:spacing w:line="240" w:lineRule="atLeast"/>
      <w:ind w:left="1440" w:firstLine="1008"/>
    </w:pPr>
    <w:rPr>
      <w:rFonts w:ascii="Times New Roman" w:hAnsi="Times New Roman"/>
      <w:sz w:val="24"/>
      <w:szCs w:val="20"/>
      <w:lang w:val="bg-BG" w:eastAsia="bg-BG"/>
    </w:rPr>
  </w:style>
  <w:style w:type="paragraph" w:customStyle="1" w:styleId="p5">
    <w:name w:val="p5"/>
    <w:basedOn w:val="Normal"/>
    <w:rsid w:val="009C13A9"/>
    <w:pPr>
      <w:tabs>
        <w:tab w:val="left" w:pos="720"/>
      </w:tabs>
      <w:suppressAutoHyphens/>
      <w:spacing w:line="240" w:lineRule="atLeast"/>
    </w:pPr>
    <w:rPr>
      <w:rFonts w:ascii="Times New Roman" w:hAnsi="Times New Roman"/>
      <w:sz w:val="24"/>
      <w:szCs w:val="20"/>
      <w:lang w:val="bg-BG" w:eastAsia="bg-BG"/>
    </w:rPr>
  </w:style>
  <w:style w:type="paragraph" w:customStyle="1" w:styleId="p10">
    <w:name w:val="p10"/>
    <w:basedOn w:val="Normal"/>
    <w:rsid w:val="009C13A9"/>
    <w:pPr>
      <w:tabs>
        <w:tab w:val="left" w:pos="240"/>
        <w:tab w:val="left" w:pos="500"/>
      </w:tabs>
      <w:suppressAutoHyphens/>
      <w:spacing w:line="240" w:lineRule="atLeast"/>
      <w:ind w:left="1440" w:firstLine="288"/>
    </w:pPr>
    <w:rPr>
      <w:rFonts w:ascii="Times New Roman" w:hAnsi="Times New Roman"/>
      <w:sz w:val="24"/>
      <w:szCs w:val="20"/>
      <w:lang w:val="bg-BG" w:eastAsia="bg-BG"/>
    </w:rPr>
  </w:style>
  <w:style w:type="paragraph" w:customStyle="1" w:styleId="p11">
    <w:name w:val="p11"/>
    <w:basedOn w:val="Normal"/>
    <w:rsid w:val="009C13A9"/>
    <w:pPr>
      <w:tabs>
        <w:tab w:val="left" w:pos="720"/>
      </w:tabs>
      <w:suppressAutoHyphens/>
      <w:spacing w:line="220" w:lineRule="atLeast"/>
    </w:pPr>
    <w:rPr>
      <w:rFonts w:ascii="Times New Roman" w:hAnsi="Times New Roman"/>
      <w:sz w:val="24"/>
      <w:szCs w:val="20"/>
      <w:lang w:val="bg-BG" w:eastAsia="bg-BG"/>
    </w:rPr>
  </w:style>
  <w:style w:type="paragraph" w:customStyle="1" w:styleId="p12">
    <w:name w:val="p12"/>
    <w:basedOn w:val="Normal"/>
    <w:rsid w:val="009C13A9"/>
    <w:pPr>
      <w:tabs>
        <w:tab w:val="left" w:pos="720"/>
      </w:tabs>
      <w:suppressAutoHyphens/>
      <w:spacing w:line="240" w:lineRule="atLeast"/>
    </w:pPr>
    <w:rPr>
      <w:rFonts w:ascii="Times New Roman" w:hAnsi="Times New Roman"/>
      <w:sz w:val="24"/>
      <w:szCs w:val="20"/>
      <w:lang w:val="bg-BG" w:eastAsia="bg-BG"/>
    </w:rPr>
  </w:style>
  <w:style w:type="paragraph" w:customStyle="1" w:styleId="p14">
    <w:name w:val="p14"/>
    <w:basedOn w:val="Normal"/>
    <w:rsid w:val="009C13A9"/>
    <w:pPr>
      <w:tabs>
        <w:tab w:val="left" w:pos="260"/>
        <w:tab w:val="left" w:pos="540"/>
      </w:tabs>
      <w:suppressAutoHyphens/>
      <w:spacing w:line="220" w:lineRule="atLeast"/>
      <w:ind w:left="864" w:hanging="576"/>
    </w:pPr>
    <w:rPr>
      <w:rFonts w:ascii="Times New Roman" w:hAnsi="Times New Roman"/>
      <w:sz w:val="24"/>
      <w:szCs w:val="20"/>
      <w:lang w:val="bg-BG" w:eastAsia="bg-BG"/>
    </w:rPr>
  </w:style>
  <w:style w:type="paragraph" w:customStyle="1" w:styleId="p15">
    <w:name w:val="p15"/>
    <w:basedOn w:val="Normal"/>
    <w:rsid w:val="009C13A9"/>
    <w:pPr>
      <w:tabs>
        <w:tab w:val="left" w:pos="260"/>
      </w:tabs>
      <w:suppressAutoHyphens/>
      <w:spacing w:line="240" w:lineRule="atLeast"/>
      <w:ind w:left="1152" w:hanging="288"/>
    </w:pPr>
    <w:rPr>
      <w:rFonts w:ascii="Times New Roman" w:hAnsi="Times New Roman"/>
      <w:sz w:val="24"/>
      <w:szCs w:val="20"/>
      <w:lang w:val="bg-BG" w:eastAsia="bg-BG"/>
    </w:rPr>
  </w:style>
  <w:style w:type="paragraph" w:customStyle="1" w:styleId="p7">
    <w:name w:val="p7"/>
    <w:basedOn w:val="Normal"/>
    <w:rsid w:val="009C13A9"/>
    <w:pPr>
      <w:tabs>
        <w:tab w:val="left" w:pos="260"/>
      </w:tabs>
      <w:suppressAutoHyphens/>
      <w:spacing w:line="220" w:lineRule="atLeast"/>
      <w:ind w:left="1152" w:hanging="288"/>
    </w:pPr>
    <w:rPr>
      <w:rFonts w:ascii="Times New Roman" w:hAnsi="Times New Roman"/>
      <w:sz w:val="24"/>
      <w:szCs w:val="20"/>
      <w:lang w:val="bg-BG" w:eastAsia="bg-BG"/>
    </w:rPr>
  </w:style>
  <w:style w:type="paragraph" w:customStyle="1" w:styleId="p16">
    <w:name w:val="p16"/>
    <w:basedOn w:val="Normal"/>
    <w:rsid w:val="009C13A9"/>
    <w:pPr>
      <w:tabs>
        <w:tab w:val="left" w:pos="520"/>
      </w:tabs>
      <w:suppressAutoHyphens/>
      <w:spacing w:line="240" w:lineRule="atLeast"/>
      <w:ind w:left="1440" w:firstLine="576"/>
    </w:pPr>
    <w:rPr>
      <w:rFonts w:ascii="Times New Roman" w:hAnsi="Times New Roman"/>
      <w:sz w:val="24"/>
      <w:szCs w:val="20"/>
      <w:lang w:val="bg-BG" w:eastAsia="bg-BG"/>
    </w:rPr>
  </w:style>
  <w:style w:type="paragraph" w:customStyle="1" w:styleId="c18">
    <w:name w:val="c18"/>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t17">
    <w:name w:val="t17"/>
    <w:basedOn w:val="Normal"/>
    <w:rsid w:val="009C13A9"/>
    <w:pPr>
      <w:suppressAutoHyphens/>
      <w:spacing w:line="240" w:lineRule="atLeast"/>
    </w:pPr>
    <w:rPr>
      <w:rFonts w:ascii="Times New Roman" w:hAnsi="Times New Roman"/>
      <w:sz w:val="24"/>
      <w:szCs w:val="20"/>
      <w:lang w:val="bg-BG" w:eastAsia="bg-BG"/>
    </w:rPr>
  </w:style>
  <w:style w:type="paragraph" w:customStyle="1" w:styleId="p19">
    <w:name w:val="p19"/>
    <w:basedOn w:val="Normal"/>
    <w:rsid w:val="009C13A9"/>
    <w:pPr>
      <w:tabs>
        <w:tab w:val="left" w:pos="280"/>
        <w:tab w:val="left" w:pos="520"/>
      </w:tabs>
      <w:suppressAutoHyphens/>
      <w:spacing w:line="220" w:lineRule="atLeast"/>
      <w:ind w:left="1152" w:hanging="288"/>
    </w:pPr>
    <w:rPr>
      <w:rFonts w:ascii="Times New Roman" w:hAnsi="Times New Roman"/>
      <w:sz w:val="24"/>
      <w:szCs w:val="20"/>
      <w:lang w:val="bg-BG" w:eastAsia="bg-BG"/>
    </w:rPr>
  </w:style>
  <w:style w:type="paragraph" w:customStyle="1" w:styleId="p21">
    <w:name w:val="p21"/>
    <w:basedOn w:val="Normal"/>
    <w:rsid w:val="009C13A9"/>
    <w:pPr>
      <w:tabs>
        <w:tab w:val="left" w:pos="2480"/>
      </w:tabs>
      <w:suppressAutoHyphens/>
      <w:spacing w:line="240" w:lineRule="atLeast"/>
      <w:ind w:left="1040"/>
    </w:pPr>
    <w:rPr>
      <w:rFonts w:ascii="Times New Roman" w:hAnsi="Times New Roman"/>
      <w:sz w:val="24"/>
      <w:szCs w:val="20"/>
      <w:lang w:val="bg-BG" w:eastAsia="bg-BG"/>
    </w:rPr>
  </w:style>
  <w:style w:type="paragraph" w:customStyle="1" w:styleId="p8">
    <w:name w:val="p8"/>
    <w:basedOn w:val="Normal"/>
    <w:rsid w:val="009C13A9"/>
    <w:pPr>
      <w:tabs>
        <w:tab w:val="left" w:pos="520"/>
      </w:tabs>
      <w:suppressAutoHyphens/>
      <w:spacing w:line="220" w:lineRule="atLeast"/>
      <w:ind w:left="864" w:hanging="576"/>
    </w:pPr>
    <w:rPr>
      <w:rFonts w:ascii="Times New Roman" w:hAnsi="Times New Roman"/>
      <w:sz w:val="24"/>
      <w:szCs w:val="20"/>
      <w:lang w:val="bg-BG" w:eastAsia="bg-BG"/>
    </w:rPr>
  </w:style>
  <w:style w:type="paragraph" w:customStyle="1" w:styleId="c3">
    <w:name w:val="c3"/>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p13">
    <w:name w:val="p13"/>
    <w:basedOn w:val="Normal"/>
    <w:rsid w:val="009C13A9"/>
    <w:pPr>
      <w:tabs>
        <w:tab w:val="left" w:pos="260"/>
      </w:tabs>
      <w:suppressAutoHyphens/>
      <w:spacing w:line="220" w:lineRule="atLeast"/>
      <w:ind w:left="1180"/>
    </w:pPr>
    <w:rPr>
      <w:rFonts w:ascii="Times New Roman" w:hAnsi="Times New Roman"/>
      <w:sz w:val="24"/>
      <w:szCs w:val="20"/>
      <w:lang w:val="bg-BG" w:eastAsia="bg-BG"/>
    </w:rPr>
  </w:style>
  <w:style w:type="paragraph" w:customStyle="1" w:styleId="p20">
    <w:name w:val="p20"/>
    <w:basedOn w:val="Normal"/>
    <w:rsid w:val="009C13A9"/>
    <w:pPr>
      <w:tabs>
        <w:tab w:val="left" w:pos="780"/>
      </w:tabs>
      <w:suppressAutoHyphens/>
      <w:spacing w:line="220" w:lineRule="atLeast"/>
    </w:pPr>
    <w:rPr>
      <w:rFonts w:ascii="Times New Roman" w:hAnsi="Times New Roman"/>
      <w:sz w:val="24"/>
      <w:szCs w:val="20"/>
      <w:lang w:val="bg-BG" w:eastAsia="bg-BG"/>
    </w:rPr>
  </w:style>
  <w:style w:type="paragraph" w:customStyle="1" w:styleId="c15">
    <w:name w:val="c15"/>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p22">
    <w:name w:val="p22"/>
    <w:basedOn w:val="Normal"/>
    <w:rsid w:val="009C13A9"/>
    <w:pPr>
      <w:tabs>
        <w:tab w:val="left" w:pos="520"/>
        <w:tab w:val="left" w:pos="1060"/>
      </w:tabs>
      <w:suppressAutoHyphens/>
      <w:spacing w:line="220" w:lineRule="atLeast"/>
      <w:ind w:left="432" w:hanging="432"/>
    </w:pPr>
    <w:rPr>
      <w:rFonts w:ascii="Times New Roman" w:hAnsi="Times New Roman"/>
      <w:sz w:val="24"/>
      <w:szCs w:val="20"/>
      <w:lang w:val="bg-BG" w:eastAsia="bg-BG"/>
    </w:rPr>
  </w:style>
  <w:style w:type="paragraph" w:customStyle="1" w:styleId="p26">
    <w:name w:val="p26"/>
    <w:basedOn w:val="Normal"/>
    <w:rsid w:val="009C13A9"/>
    <w:pPr>
      <w:tabs>
        <w:tab w:val="left" w:pos="520"/>
      </w:tabs>
      <w:suppressAutoHyphens/>
      <w:spacing w:line="240" w:lineRule="atLeast"/>
      <w:ind w:left="864" w:hanging="576"/>
    </w:pPr>
    <w:rPr>
      <w:rFonts w:ascii="Times New Roman" w:hAnsi="Times New Roman"/>
      <w:sz w:val="24"/>
      <w:szCs w:val="20"/>
      <w:lang w:val="bg-BG" w:eastAsia="bg-BG"/>
    </w:rPr>
  </w:style>
  <w:style w:type="paragraph" w:customStyle="1" w:styleId="p31">
    <w:name w:val="p31"/>
    <w:basedOn w:val="Normal"/>
    <w:rsid w:val="009C13A9"/>
    <w:pPr>
      <w:tabs>
        <w:tab w:val="left" w:pos="260"/>
        <w:tab w:val="left" w:pos="540"/>
      </w:tabs>
      <w:suppressAutoHyphens/>
      <w:spacing w:line="220" w:lineRule="atLeast"/>
      <w:ind w:left="1440" w:firstLine="288"/>
    </w:pPr>
    <w:rPr>
      <w:rFonts w:ascii="Times New Roman" w:hAnsi="Times New Roman"/>
      <w:sz w:val="24"/>
      <w:szCs w:val="20"/>
      <w:lang w:val="bg-BG" w:eastAsia="bg-BG"/>
    </w:rPr>
  </w:style>
  <w:style w:type="paragraph" w:customStyle="1" w:styleId="p32">
    <w:name w:val="p32"/>
    <w:basedOn w:val="Normal"/>
    <w:rsid w:val="009C13A9"/>
    <w:pPr>
      <w:tabs>
        <w:tab w:val="left" w:pos="280"/>
      </w:tabs>
      <w:suppressAutoHyphens/>
      <w:spacing w:line="220" w:lineRule="atLeast"/>
      <w:ind w:left="1152" w:hanging="288"/>
    </w:pPr>
    <w:rPr>
      <w:rFonts w:ascii="Times New Roman" w:hAnsi="Times New Roman"/>
      <w:sz w:val="24"/>
      <w:szCs w:val="20"/>
      <w:lang w:val="bg-BG" w:eastAsia="bg-BG"/>
    </w:rPr>
  </w:style>
  <w:style w:type="paragraph" w:customStyle="1" w:styleId="p33">
    <w:name w:val="p33"/>
    <w:basedOn w:val="Normal"/>
    <w:rsid w:val="009C13A9"/>
    <w:pPr>
      <w:tabs>
        <w:tab w:val="left" w:pos="260"/>
      </w:tabs>
      <w:suppressAutoHyphens/>
      <w:spacing w:line="240" w:lineRule="atLeast"/>
      <w:ind w:left="1440" w:firstLine="288"/>
    </w:pPr>
    <w:rPr>
      <w:rFonts w:ascii="Times New Roman" w:hAnsi="Times New Roman"/>
      <w:sz w:val="24"/>
      <w:szCs w:val="20"/>
      <w:lang w:val="bg-BG" w:eastAsia="bg-BG"/>
    </w:rPr>
  </w:style>
  <w:style w:type="paragraph" w:customStyle="1" w:styleId="p36">
    <w:name w:val="p36"/>
    <w:basedOn w:val="Normal"/>
    <w:rsid w:val="009C13A9"/>
    <w:pPr>
      <w:tabs>
        <w:tab w:val="left" w:pos="280"/>
      </w:tabs>
      <w:suppressAutoHyphens/>
      <w:spacing w:line="220" w:lineRule="atLeast"/>
      <w:ind w:left="1152" w:hanging="288"/>
    </w:pPr>
    <w:rPr>
      <w:rFonts w:ascii="Times New Roman" w:hAnsi="Times New Roman"/>
      <w:sz w:val="24"/>
      <w:szCs w:val="20"/>
      <w:lang w:val="bg-BG" w:eastAsia="bg-BG"/>
    </w:rPr>
  </w:style>
  <w:style w:type="paragraph" w:customStyle="1" w:styleId="p39">
    <w:name w:val="p39"/>
    <w:basedOn w:val="Normal"/>
    <w:rsid w:val="009C13A9"/>
    <w:pPr>
      <w:tabs>
        <w:tab w:val="left" w:pos="280"/>
      </w:tabs>
      <w:suppressAutoHyphens/>
      <w:spacing w:line="220" w:lineRule="atLeast"/>
      <w:ind w:left="1152" w:hanging="288"/>
    </w:pPr>
    <w:rPr>
      <w:rFonts w:ascii="Times New Roman" w:hAnsi="Times New Roman"/>
      <w:sz w:val="24"/>
      <w:szCs w:val="20"/>
      <w:lang w:val="bg-BG" w:eastAsia="bg-BG"/>
    </w:rPr>
  </w:style>
  <w:style w:type="paragraph" w:customStyle="1" w:styleId="c6">
    <w:name w:val="c6"/>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p28">
    <w:name w:val="p28"/>
    <w:basedOn w:val="Normal"/>
    <w:rsid w:val="009C13A9"/>
    <w:pPr>
      <w:tabs>
        <w:tab w:val="left" w:pos="720"/>
      </w:tabs>
      <w:suppressAutoHyphens/>
      <w:spacing w:line="220" w:lineRule="atLeast"/>
    </w:pPr>
    <w:rPr>
      <w:rFonts w:ascii="Times New Roman" w:hAnsi="Times New Roman"/>
      <w:sz w:val="24"/>
      <w:szCs w:val="20"/>
      <w:lang w:val="bg-BG" w:eastAsia="bg-BG"/>
    </w:rPr>
  </w:style>
  <w:style w:type="paragraph" w:customStyle="1" w:styleId="c56">
    <w:name w:val="c56"/>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c66">
    <w:name w:val="c66"/>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p52">
    <w:name w:val="p52"/>
    <w:basedOn w:val="Normal"/>
    <w:rsid w:val="009C13A9"/>
    <w:pPr>
      <w:tabs>
        <w:tab w:val="left" w:pos="720"/>
      </w:tabs>
      <w:suppressAutoHyphens/>
      <w:spacing w:line="220" w:lineRule="atLeast"/>
    </w:pPr>
    <w:rPr>
      <w:rFonts w:ascii="Times New Roman" w:hAnsi="Times New Roman"/>
      <w:sz w:val="24"/>
      <w:szCs w:val="20"/>
      <w:lang w:val="bg-BG" w:eastAsia="bg-BG"/>
    </w:rPr>
  </w:style>
  <w:style w:type="paragraph" w:customStyle="1" w:styleId="c62">
    <w:name w:val="c62"/>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c84">
    <w:name w:val="c84"/>
    <w:basedOn w:val="Normal"/>
    <w:rsid w:val="009C13A9"/>
    <w:pPr>
      <w:suppressAutoHyphens/>
      <w:spacing w:line="240" w:lineRule="atLeast"/>
      <w:jc w:val="center"/>
    </w:pPr>
    <w:rPr>
      <w:rFonts w:ascii="Times New Roman" w:hAnsi="Times New Roman"/>
      <w:sz w:val="24"/>
      <w:szCs w:val="20"/>
      <w:lang w:val="bg-BG" w:eastAsia="bg-BG"/>
    </w:rPr>
  </w:style>
  <w:style w:type="paragraph" w:customStyle="1" w:styleId="p1">
    <w:name w:val="p1"/>
    <w:basedOn w:val="Normal"/>
    <w:rsid w:val="009C13A9"/>
    <w:pPr>
      <w:tabs>
        <w:tab w:val="left" w:pos="280"/>
      </w:tabs>
      <w:suppressAutoHyphens/>
      <w:spacing w:line="220" w:lineRule="atLeast"/>
      <w:ind w:left="1440" w:firstLine="288"/>
    </w:pPr>
    <w:rPr>
      <w:rFonts w:ascii="Times New Roman" w:hAnsi="Times New Roman"/>
      <w:sz w:val="24"/>
      <w:szCs w:val="20"/>
      <w:lang w:val="bg-BG" w:eastAsia="bg-BG"/>
    </w:rPr>
  </w:style>
  <w:style w:type="paragraph" w:customStyle="1" w:styleId="p2">
    <w:name w:val="p2"/>
    <w:basedOn w:val="Normal"/>
    <w:rsid w:val="009C13A9"/>
    <w:pPr>
      <w:tabs>
        <w:tab w:val="left" w:pos="1700"/>
      </w:tabs>
      <w:suppressAutoHyphens/>
      <w:spacing w:line="340" w:lineRule="atLeast"/>
      <w:ind w:left="288" w:hanging="1728"/>
    </w:pPr>
    <w:rPr>
      <w:rFonts w:ascii="Times New Roman" w:hAnsi="Times New Roman"/>
      <w:sz w:val="24"/>
      <w:szCs w:val="20"/>
      <w:lang w:val="bg-BG" w:eastAsia="bg-BG"/>
    </w:rPr>
  </w:style>
  <w:style w:type="paragraph" w:customStyle="1" w:styleId="VO-Textohne">
    <w:name w:val="VO-Text ohne"/>
    <w:basedOn w:val="Normal"/>
    <w:rsid w:val="009C13A9"/>
    <w:pPr>
      <w:suppressAutoHyphens/>
      <w:spacing w:before="120"/>
    </w:pPr>
    <w:rPr>
      <w:bCs/>
      <w:szCs w:val="20"/>
      <w:lang w:val="bg-BG" w:eastAsia="bg-BG"/>
    </w:rPr>
  </w:style>
  <w:style w:type="paragraph" w:customStyle="1" w:styleId="Commentaire2">
    <w:name w:val="Commentaire2"/>
    <w:basedOn w:val="Normal"/>
    <w:rsid w:val="009C13A9"/>
    <w:pPr>
      <w:suppressAutoHyphens/>
    </w:pPr>
    <w:rPr>
      <w:szCs w:val="20"/>
      <w:lang w:val="bg-BG" w:eastAsia="bg-BG"/>
    </w:rPr>
  </w:style>
  <w:style w:type="paragraph" w:customStyle="1" w:styleId="VO-Text-AbsnachNr">
    <w:name w:val="VO-Text-Abs nach Nr"/>
    <w:basedOn w:val="Normal"/>
    <w:rsid w:val="009C13A9"/>
    <w:pPr>
      <w:tabs>
        <w:tab w:val="left" w:pos="992"/>
        <w:tab w:val="left" w:pos="1418"/>
      </w:tabs>
      <w:suppressAutoHyphens/>
      <w:spacing w:before="120"/>
      <w:ind w:left="992" w:hanging="567"/>
    </w:pPr>
    <w:rPr>
      <w:b/>
      <w:bCs/>
      <w:lang w:val="bg-BG" w:eastAsia="bg-BG"/>
    </w:rPr>
  </w:style>
  <w:style w:type="paragraph" w:customStyle="1" w:styleId="VO-TextEinzug">
    <w:name w:val="VO-Text Einzug"/>
    <w:basedOn w:val="VO-Text-AbsnachNr"/>
    <w:rsid w:val="009C13A9"/>
    <w:pPr>
      <w:ind w:firstLine="0"/>
    </w:pPr>
  </w:style>
  <w:style w:type="paragraph" w:customStyle="1" w:styleId="TNR1Tab">
    <w:name w:val="TNR1Tab"/>
    <w:basedOn w:val="TNR1"/>
    <w:rsid w:val="009C13A9"/>
    <w:pPr>
      <w:widowControl w:val="0"/>
      <w:tabs>
        <w:tab w:val="clear" w:pos="907"/>
        <w:tab w:val="left" w:pos="1021"/>
      </w:tabs>
      <w:suppressAutoHyphens/>
      <w:overflowPunct/>
      <w:adjustRightInd/>
      <w:spacing w:line="240" w:lineRule="exact"/>
      <w:ind w:left="284" w:right="57"/>
      <w:textAlignment w:val="auto"/>
    </w:pPr>
    <w:rPr>
      <w:sz w:val="20"/>
      <w:lang w:val="bg-BG" w:eastAsia="bg-BG"/>
    </w:rPr>
  </w:style>
  <w:style w:type="paragraph" w:customStyle="1" w:styleId="TNRATab">
    <w:name w:val="TNRATab"/>
    <w:basedOn w:val="TNR1Tab"/>
    <w:rsid w:val="009C13A9"/>
    <w:pPr>
      <w:tabs>
        <w:tab w:val="left" w:pos="568"/>
      </w:tabs>
      <w:ind w:left="568" w:hanging="283"/>
    </w:pPr>
  </w:style>
  <w:style w:type="paragraph" w:customStyle="1" w:styleId="Corpsdetexte21">
    <w:name w:val="Corps de texte 21"/>
    <w:basedOn w:val="Normal"/>
    <w:rsid w:val="009C13A9"/>
    <w:pPr>
      <w:widowControl w:val="0"/>
      <w:tabs>
        <w:tab w:val="left" w:pos="851"/>
      </w:tabs>
      <w:suppressAutoHyphens/>
      <w:overflowPunct w:val="0"/>
      <w:ind w:left="365"/>
      <w:textAlignment w:val="baseline"/>
    </w:pPr>
    <w:rPr>
      <w:rFonts w:ascii="CG Times (W1)" w:hAnsi="CG Times (W1)"/>
      <w:sz w:val="24"/>
      <w:szCs w:val="20"/>
      <w:lang w:val="bg-BG" w:eastAsia="bg-BG"/>
    </w:rPr>
  </w:style>
  <w:style w:type="paragraph" w:customStyle="1" w:styleId="Retraitcorpsdetexte31">
    <w:name w:val="Retrait corps de texte 31"/>
    <w:basedOn w:val="Normal"/>
    <w:rsid w:val="009C13A9"/>
    <w:pPr>
      <w:suppressAutoHyphens/>
      <w:spacing w:after="120" w:line="360" w:lineRule="auto"/>
      <w:ind w:left="283"/>
    </w:pPr>
    <w:rPr>
      <w:rFonts w:ascii="Times New Roman" w:hAnsi="Times New Roman"/>
      <w:sz w:val="16"/>
      <w:szCs w:val="16"/>
      <w:lang w:val="bg-BG" w:eastAsia="bg-BG"/>
    </w:rPr>
  </w:style>
  <w:style w:type="paragraph" w:customStyle="1" w:styleId="u1">
    <w:name w:val="u1"/>
    <w:basedOn w:val="Normal"/>
    <w:rsid w:val="009C13A9"/>
    <w:pPr>
      <w:keepNext/>
      <w:keepLines/>
      <w:tabs>
        <w:tab w:val="left" w:pos="851"/>
        <w:tab w:val="left" w:pos="1134"/>
        <w:tab w:val="left" w:pos="1418"/>
      </w:tabs>
      <w:suppressAutoHyphens/>
      <w:spacing w:before="720" w:line="240" w:lineRule="atLeast"/>
      <w:ind w:left="851" w:hanging="851"/>
    </w:pPr>
    <w:rPr>
      <w:rFonts w:ascii="Times New Roman" w:hAnsi="Times New Roman"/>
      <w:b/>
      <w:sz w:val="24"/>
      <w:szCs w:val="20"/>
      <w:lang w:val="bg-BG" w:eastAsia="bg-BG"/>
    </w:rPr>
  </w:style>
  <w:style w:type="paragraph" w:customStyle="1" w:styleId="u2">
    <w:name w:val="u2"/>
    <w:basedOn w:val="Normal"/>
    <w:rsid w:val="009C13A9"/>
    <w:pPr>
      <w:keepNext/>
      <w:keepLines/>
      <w:tabs>
        <w:tab w:val="left" w:pos="851"/>
        <w:tab w:val="left" w:pos="1134"/>
        <w:tab w:val="left" w:pos="1418"/>
      </w:tabs>
      <w:suppressAutoHyphens/>
      <w:spacing w:before="240" w:line="240" w:lineRule="atLeast"/>
      <w:ind w:left="851" w:hanging="851"/>
    </w:pPr>
    <w:rPr>
      <w:rFonts w:ascii="Times New Roman" w:hAnsi="Times New Roman"/>
      <w:b/>
      <w:sz w:val="24"/>
      <w:szCs w:val="20"/>
      <w:lang w:val="bg-BG" w:eastAsia="bg-BG"/>
    </w:rPr>
  </w:style>
  <w:style w:type="paragraph" w:customStyle="1" w:styleId="Retraitcorpsdetexte23">
    <w:name w:val="Retrait corps de texte 23"/>
    <w:basedOn w:val="Normal"/>
    <w:rsid w:val="009C13A9"/>
    <w:pPr>
      <w:widowControl w:val="0"/>
      <w:tabs>
        <w:tab w:val="left" w:pos="284"/>
      </w:tabs>
      <w:suppressAutoHyphens/>
      <w:ind w:left="284" w:hanging="284"/>
    </w:pPr>
    <w:rPr>
      <w:rFonts w:ascii="Times New Roman" w:hAnsi="Times New Roman"/>
      <w:i/>
      <w:sz w:val="24"/>
      <w:szCs w:val="20"/>
      <w:lang w:val="bg-BG" w:eastAsia="bg-BG"/>
    </w:rPr>
  </w:style>
  <w:style w:type="paragraph" w:customStyle="1" w:styleId="Formatvorlage1">
    <w:name w:val="Formatvorlage1"/>
    <w:basedOn w:val="Normal"/>
    <w:rsid w:val="009C13A9"/>
    <w:pPr>
      <w:tabs>
        <w:tab w:val="left" w:pos="851"/>
      </w:tabs>
      <w:suppressAutoHyphens/>
      <w:overflowPunct w:val="0"/>
      <w:spacing w:before="120"/>
      <w:ind w:left="850"/>
      <w:textAlignment w:val="baseline"/>
    </w:pPr>
    <w:rPr>
      <w:bCs/>
      <w:iCs/>
      <w:szCs w:val="20"/>
      <w:lang w:eastAsia="bg-BG"/>
    </w:rPr>
  </w:style>
  <w:style w:type="paragraph" w:customStyle="1" w:styleId="Corpsdetexte31">
    <w:name w:val="Corps de texte 31"/>
    <w:basedOn w:val="Normal"/>
    <w:rsid w:val="009C13A9"/>
    <w:pPr>
      <w:suppressAutoHyphens/>
      <w:overflowPunct w:val="0"/>
      <w:spacing w:before="40" w:after="40"/>
      <w:textAlignment w:val="baseline"/>
    </w:pPr>
    <w:rPr>
      <w:szCs w:val="20"/>
      <w:lang w:val="bg-BG" w:eastAsia="bg-BG"/>
    </w:rPr>
  </w:style>
  <w:style w:type="paragraph" w:customStyle="1" w:styleId="Grundtext">
    <w:name w:val="Grundtext"/>
    <w:rsid w:val="009C13A9"/>
    <w:pPr>
      <w:tabs>
        <w:tab w:val="left" w:pos="720"/>
        <w:tab w:val="left" w:pos="1440"/>
        <w:tab w:val="left" w:pos="2160"/>
        <w:tab w:val="left" w:pos="2880"/>
        <w:tab w:val="left" w:pos="3600"/>
        <w:tab w:val="left" w:pos="4320"/>
        <w:tab w:val="left" w:pos="5040"/>
        <w:tab w:val="left" w:pos="5760"/>
      </w:tabs>
      <w:suppressAutoHyphens/>
      <w:spacing w:after="240" w:line="240" w:lineRule="atLeast"/>
    </w:pPr>
    <w:rPr>
      <w:rFonts w:ascii="Times New Roman" w:eastAsia="Arial" w:hAnsi="Times New Roman"/>
      <w:color w:val="000000"/>
      <w:sz w:val="24"/>
    </w:rPr>
  </w:style>
  <w:style w:type="paragraph" w:customStyle="1" w:styleId="Normalcentr1">
    <w:name w:val="Normal centré1"/>
    <w:basedOn w:val="Normal"/>
    <w:rsid w:val="009C13A9"/>
    <w:pPr>
      <w:suppressAutoHyphens/>
      <w:spacing w:before="60" w:after="60"/>
      <w:ind w:left="427" w:right="57" w:hanging="370"/>
    </w:pPr>
    <w:rPr>
      <w:szCs w:val="20"/>
      <w:lang w:val="bg-BG" w:eastAsia="bg-BG"/>
    </w:rPr>
  </w:style>
  <w:style w:type="paragraph" w:customStyle="1" w:styleId="BlockText2">
    <w:name w:val="Block Text2"/>
    <w:basedOn w:val="Normal"/>
    <w:rsid w:val="009C13A9"/>
    <w:pPr>
      <w:widowControl w:val="0"/>
      <w:tabs>
        <w:tab w:val="left" w:pos="648"/>
      </w:tabs>
      <w:suppressAutoHyphens/>
      <w:overflowPunct w:val="0"/>
      <w:ind w:left="709" w:right="142" w:hanging="567"/>
      <w:textAlignment w:val="baseline"/>
    </w:pPr>
    <w:rPr>
      <w:rFonts w:ascii="CG Times (W1)" w:hAnsi="CG Times (W1)"/>
      <w:sz w:val="24"/>
      <w:szCs w:val="20"/>
      <w:lang w:val="bg-BG" w:eastAsia="bg-BG"/>
    </w:rPr>
  </w:style>
  <w:style w:type="paragraph" w:customStyle="1" w:styleId="BlockText3">
    <w:name w:val="Block Text3"/>
    <w:basedOn w:val="Normal"/>
    <w:rsid w:val="009C13A9"/>
    <w:pPr>
      <w:widowControl w:val="0"/>
      <w:tabs>
        <w:tab w:val="left" w:pos="648"/>
      </w:tabs>
      <w:suppressAutoHyphens/>
      <w:overflowPunct w:val="0"/>
      <w:ind w:left="648" w:right="143" w:hanging="506"/>
      <w:textAlignment w:val="baseline"/>
    </w:pPr>
    <w:rPr>
      <w:rFonts w:ascii="CG Times (W1)" w:hAnsi="CG Times (W1)"/>
      <w:sz w:val="24"/>
      <w:szCs w:val="20"/>
      <w:lang w:val="bg-BG" w:eastAsia="bg-BG"/>
    </w:rPr>
  </w:style>
  <w:style w:type="paragraph" w:customStyle="1" w:styleId="BlockText1">
    <w:name w:val="Block Text1"/>
    <w:basedOn w:val="Normal"/>
    <w:rsid w:val="009C13A9"/>
    <w:pPr>
      <w:widowControl w:val="0"/>
      <w:tabs>
        <w:tab w:val="left" w:pos="720"/>
      </w:tabs>
      <w:suppressAutoHyphens/>
      <w:overflowPunct w:val="0"/>
      <w:ind w:left="360" w:right="143"/>
      <w:textAlignment w:val="baseline"/>
    </w:pPr>
    <w:rPr>
      <w:rFonts w:ascii="CG Times (W1)" w:hAnsi="CG Times (W1)"/>
      <w:sz w:val="24"/>
      <w:szCs w:val="20"/>
      <w:lang w:val="bg-BG" w:eastAsia="bg-BG"/>
    </w:rPr>
  </w:style>
  <w:style w:type="paragraph" w:customStyle="1" w:styleId="berschrift71">
    <w:name w:val="Überschrift 71"/>
    <w:basedOn w:val="Normal"/>
    <w:next w:val="Normal"/>
    <w:rsid w:val="009C13A9"/>
    <w:pPr>
      <w:keepNext/>
      <w:widowControl w:val="0"/>
      <w:suppressAutoHyphens/>
      <w:overflowPunct w:val="0"/>
      <w:ind w:left="81" w:right="143" w:firstLine="61"/>
      <w:jc w:val="center"/>
      <w:textAlignment w:val="baseline"/>
    </w:pPr>
    <w:rPr>
      <w:rFonts w:ascii="CG Times (W1)" w:hAnsi="CG Times (W1)"/>
      <w:b/>
      <w:sz w:val="24"/>
      <w:szCs w:val="20"/>
      <w:u w:val="single"/>
      <w:lang w:val="bg-BG" w:eastAsia="bg-BG"/>
    </w:rPr>
  </w:style>
  <w:style w:type="paragraph" w:customStyle="1" w:styleId="Corpsdetexte2">
    <w:name w:val="Corps de texte2"/>
    <w:basedOn w:val="Normal"/>
    <w:rsid w:val="009C13A9"/>
    <w:pPr>
      <w:widowControl w:val="0"/>
      <w:suppressAutoHyphens/>
      <w:overflowPunct w:val="0"/>
      <w:spacing w:line="340" w:lineRule="atLeast"/>
      <w:textAlignment w:val="baseline"/>
    </w:pPr>
    <w:rPr>
      <w:rFonts w:ascii="Times New Roman" w:hAnsi="Times New Roman"/>
      <w:sz w:val="24"/>
      <w:szCs w:val="20"/>
      <w:lang w:val="bg-BG" w:eastAsia="bg-BG"/>
    </w:rPr>
  </w:style>
  <w:style w:type="paragraph" w:customStyle="1" w:styleId="Pres1">
    <w:name w:val="P_res1"/>
    <w:basedOn w:val="TNR1"/>
    <w:rsid w:val="009C13A9"/>
    <w:pPr>
      <w:tabs>
        <w:tab w:val="clear" w:pos="907"/>
        <w:tab w:val="left" w:pos="851"/>
        <w:tab w:val="left" w:pos="1021"/>
      </w:tabs>
      <w:suppressAutoHyphens/>
      <w:overflowPunct/>
      <w:adjustRightInd/>
      <w:spacing w:after="80"/>
      <w:ind w:left="851" w:hanging="425"/>
      <w:textAlignment w:val="auto"/>
    </w:pPr>
    <w:rPr>
      <w:lang w:val="bg-BG" w:eastAsia="bg-BG"/>
    </w:rPr>
  </w:style>
  <w:style w:type="paragraph" w:customStyle="1" w:styleId="Presa">
    <w:name w:val="P_res_a"/>
    <w:basedOn w:val="TNRA"/>
    <w:rsid w:val="009C13A9"/>
    <w:pPr>
      <w:tabs>
        <w:tab w:val="clear" w:pos="907"/>
        <w:tab w:val="left" w:pos="1021"/>
        <w:tab w:val="left" w:pos="1276"/>
      </w:tabs>
      <w:suppressAutoHyphens/>
      <w:adjustRightInd/>
      <w:spacing w:after="80" w:line="240" w:lineRule="exact"/>
      <w:ind w:left="1276" w:hanging="425"/>
    </w:pPr>
    <w:rPr>
      <w:lang w:val="bg-BG" w:eastAsia="bg-BG"/>
    </w:rPr>
  </w:style>
  <w:style w:type="paragraph" w:customStyle="1" w:styleId="Prestiret">
    <w:name w:val="P_res_tiret"/>
    <w:basedOn w:val="TNRA"/>
    <w:rsid w:val="009C13A9"/>
    <w:pPr>
      <w:tabs>
        <w:tab w:val="clear" w:pos="907"/>
        <w:tab w:val="left" w:pos="1021"/>
        <w:tab w:val="left" w:pos="1560"/>
      </w:tabs>
      <w:suppressAutoHyphens/>
      <w:adjustRightInd/>
      <w:spacing w:line="240" w:lineRule="exact"/>
      <w:ind w:left="1560"/>
    </w:pPr>
    <w:rPr>
      <w:lang w:val="bg-BG" w:eastAsia="bg-BG"/>
    </w:rPr>
  </w:style>
  <w:style w:type="paragraph" w:customStyle="1" w:styleId="Corpsdetexte1">
    <w:name w:val="Corps de texte1"/>
    <w:basedOn w:val="Normal"/>
    <w:rsid w:val="009C13A9"/>
    <w:pPr>
      <w:widowControl w:val="0"/>
      <w:suppressAutoHyphens/>
      <w:overflowPunct w:val="0"/>
      <w:spacing w:line="340" w:lineRule="atLeast"/>
      <w:textAlignment w:val="baseline"/>
    </w:pPr>
    <w:rPr>
      <w:rFonts w:ascii="Times New Roman" w:hAnsi="Times New Roman"/>
      <w:sz w:val="24"/>
      <w:szCs w:val="20"/>
      <w:lang w:val="bg-BG" w:eastAsia="bg-BG"/>
    </w:rPr>
  </w:style>
  <w:style w:type="paragraph" w:customStyle="1" w:styleId="Sty1">
    <w:name w:val="Sty_1"/>
    <w:basedOn w:val="BodyText"/>
    <w:rsid w:val="009C13A9"/>
    <w:pPr>
      <w:keepNext w:val="0"/>
      <w:tabs>
        <w:tab w:val="clear" w:pos="709"/>
        <w:tab w:val="left" w:pos="567"/>
      </w:tabs>
      <w:suppressAutoHyphens/>
      <w:autoSpaceDE w:val="0"/>
      <w:spacing w:line="240" w:lineRule="auto"/>
      <w:ind w:left="567" w:hanging="567"/>
      <w:jc w:val="both"/>
    </w:pPr>
    <w:rPr>
      <w:rFonts w:cs="Arial"/>
      <w:lang w:val="bg-BG"/>
    </w:rPr>
  </w:style>
  <w:style w:type="paragraph" w:customStyle="1" w:styleId="Standard1">
    <w:name w:val="Standard1"/>
    <w:rsid w:val="009C13A9"/>
    <w:pPr>
      <w:widowControl w:val="0"/>
      <w:suppressAutoHyphens/>
      <w:overflowPunct w:val="0"/>
      <w:autoSpaceDE w:val="0"/>
      <w:jc w:val="both"/>
      <w:textAlignment w:val="baseline"/>
    </w:pPr>
    <w:rPr>
      <w:rFonts w:ascii="CG Times (W1)" w:eastAsia="Arial" w:hAnsi="CG Times (W1)"/>
      <w:sz w:val="24"/>
    </w:rPr>
  </w:style>
  <w:style w:type="paragraph" w:customStyle="1" w:styleId="Kopfzeile1">
    <w:name w:val="Kopfzeile1"/>
    <w:basedOn w:val="Standard1"/>
    <w:rsid w:val="009C13A9"/>
    <w:pPr>
      <w:tabs>
        <w:tab w:val="center" w:pos="4819"/>
        <w:tab w:val="right" w:pos="9071"/>
      </w:tabs>
    </w:pPr>
  </w:style>
  <w:style w:type="paragraph" w:customStyle="1" w:styleId="BodyTextIndent21">
    <w:name w:val="Body Text Indent 21"/>
    <w:basedOn w:val="Normal"/>
    <w:rsid w:val="009C13A9"/>
    <w:pPr>
      <w:widowControl w:val="0"/>
      <w:tabs>
        <w:tab w:val="left" w:pos="426"/>
      </w:tabs>
      <w:suppressAutoHyphens/>
      <w:spacing w:line="240" w:lineRule="atLeast"/>
      <w:ind w:left="426" w:hanging="426"/>
    </w:pPr>
    <w:rPr>
      <w:szCs w:val="20"/>
      <w:lang w:val="bg-BG" w:eastAsia="bg-BG"/>
    </w:rPr>
  </w:style>
  <w:style w:type="paragraph" w:customStyle="1" w:styleId="FreytagText">
    <w:name w:val="FreytagText"/>
    <w:basedOn w:val="Normal"/>
    <w:rsid w:val="009C13A9"/>
    <w:pPr>
      <w:tabs>
        <w:tab w:val="left" w:pos="709"/>
        <w:tab w:val="left" w:pos="1134"/>
        <w:tab w:val="left" w:pos="1559"/>
        <w:tab w:val="left" w:pos="2126"/>
        <w:tab w:val="left" w:pos="2835"/>
        <w:tab w:val="left" w:pos="3544"/>
        <w:tab w:val="left" w:pos="4253"/>
        <w:tab w:val="left" w:pos="4961"/>
        <w:tab w:val="left" w:pos="5670"/>
        <w:tab w:val="left" w:pos="6379"/>
        <w:tab w:val="left" w:pos="7088"/>
      </w:tabs>
      <w:suppressAutoHyphens/>
      <w:spacing w:line="360" w:lineRule="auto"/>
    </w:pPr>
    <w:rPr>
      <w:spacing w:val="8"/>
      <w:szCs w:val="20"/>
      <w:lang w:val="bg-BG" w:eastAsia="bg-BG"/>
    </w:rPr>
  </w:style>
  <w:style w:type="paragraph" w:customStyle="1" w:styleId="Rad11">
    <w:name w:val="Rad1.1"/>
    <w:basedOn w:val="Normal"/>
    <w:rsid w:val="009C13A9"/>
    <w:pPr>
      <w:tabs>
        <w:tab w:val="left" w:pos="284"/>
        <w:tab w:val="left" w:pos="454"/>
        <w:tab w:val="left" w:pos="709"/>
      </w:tabs>
      <w:suppressAutoHyphens/>
      <w:spacing w:line="240" w:lineRule="exact"/>
      <w:ind w:hanging="426"/>
    </w:pPr>
    <w:rPr>
      <w:rFonts w:ascii="Times New Roman" w:hAnsi="Times New Roman"/>
      <w:sz w:val="24"/>
      <w:szCs w:val="20"/>
      <w:lang w:eastAsia="bg-BG"/>
    </w:rPr>
  </w:style>
  <w:style w:type="paragraph" w:customStyle="1" w:styleId="Par1">
    <w:name w:val="Par_1"/>
    <w:basedOn w:val="Normal"/>
    <w:rsid w:val="009C13A9"/>
    <w:pPr>
      <w:tabs>
        <w:tab w:val="left" w:pos="482"/>
      </w:tabs>
      <w:suppressAutoHyphens/>
      <w:spacing w:before="40" w:after="40"/>
      <w:ind w:left="482" w:right="57"/>
    </w:pPr>
    <w:rPr>
      <w:szCs w:val="20"/>
      <w:lang w:val="bg-BG" w:eastAsia="bg-BG"/>
    </w:rPr>
  </w:style>
  <w:style w:type="paragraph" w:customStyle="1" w:styleId="t62">
    <w:name w:val="t62"/>
    <w:basedOn w:val="Normal"/>
    <w:rsid w:val="009C13A9"/>
    <w:pPr>
      <w:suppressAutoHyphens/>
      <w:spacing w:line="240" w:lineRule="atLeast"/>
    </w:pPr>
    <w:rPr>
      <w:rFonts w:ascii="Times New Roman" w:hAnsi="Times New Roman"/>
      <w:sz w:val="24"/>
      <w:szCs w:val="20"/>
      <w:lang w:val="bg-BG" w:eastAsia="bg-BG"/>
    </w:rPr>
  </w:style>
  <w:style w:type="paragraph" w:customStyle="1" w:styleId="p17">
    <w:name w:val="p17"/>
    <w:basedOn w:val="Normal"/>
    <w:rsid w:val="009C13A9"/>
    <w:pPr>
      <w:tabs>
        <w:tab w:val="left" w:pos="280"/>
      </w:tabs>
      <w:suppressAutoHyphens/>
      <w:spacing w:line="200" w:lineRule="atLeast"/>
      <w:ind w:left="1440" w:firstLine="288"/>
    </w:pPr>
    <w:rPr>
      <w:rFonts w:ascii="Times New Roman" w:hAnsi="Times New Roman"/>
      <w:sz w:val="24"/>
      <w:szCs w:val="20"/>
      <w:lang w:val="bg-BG" w:eastAsia="bg-BG"/>
    </w:rPr>
  </w:style>
  <w:style w:type="paragraph" w:customStyle="1" w:styleId="p67">
    <w:name w:val="p67"/>
    <w:basedOn w:val="Normal"/>
    <w:rsid w:val="009C13A9"/>
    <w:pPr>
      <w:tabs>
        <w:tab w:val="left" w:pos="660"/>
      </w:tabs>
      <w:suppressAutoHyphens/>
      <w:spacing w:line="200" w:lineRule="atLeast"/>
      <w:ind w:left="780"/>
    </w:pPr>
    <w:rPr>
      <w:rFonts w:ascii="Times New Roman" w:hAnsi="Times New Roman"/>
      <w:sz w:val="24"/>
      <w:szCs w:val="20"/>
      <w:lang w:val="bg-BG" w:eastAsia="bg-BG"/>
    </w:rPr>
  </w:style>
  <w:style w:type="paragraph" w:customStyle="1" w:styleId="ai">
    <w:name w:val="ai"/>
    <w:basedOn w:val="Normal"/>
    <w:rsid w:val="009C13A9"/>
    <w:pPr>
      <w:tabs>
        <w:tab w:val="left" w:pos="425"/>
      </w:tabs>
      <w:suppressAutoHyphens/>
      <w:spacing w:line="240" w:lineRule="atLeast"/>
    </w:pPr>
    <w:rPr>
      <w:rFonts w:cs="Arial"/>
      <w:bCs/>
      <w:i/>
      <w:lang w:val="bg-BG" w:eastAsia="bg-BG"/>
    </w:rPr>
  </w:style>
  <w:style w:type="paragraph" w:customStyle="1" w:styleId="aai">
    <w:name w:val="aai"/>
    <w:basedOn w:val="Normal"/>
    <w:rsid w:val="009C13A9"/>
    <w:pPr>
      <w:tabs>
        <w:tab w:val="left" w:pos="851"/>
      </w:tabs>
      <w:suppressAutoHyphens/>
      <w:spacing w:line="240" w:lineRule="atLeast"/>
      <w:ind w:left="850"/>
    </w:pPr>
    <w:rPr>
      <w:rFonts w:cs="Arial"/>
      <w:bCs/>
      <w:i/>
      <w:lang w:val="bg-BG" w:eastAsia="bg-BG"/>
    </w:rPr>
  </w:style>
  <w:style w:type="paragraph" w:customStyle="1" w:styleId="achi">
    <w:name w:val="achi"/>
    <w:basedOn w:val="aa"/>
    <w:rsid w:val="009C13A9"/>
    <w:pPr>
      <w:widowControl w:val="0"/>
      <w:tabs>
        <w:tab w:val="clear" w:pos="425"/>
        <w:tab w:val="clear" w:pos="851"/>
        <w:tab w:val="clear" w:pos="1701"/>
        <w:tab w:val="clear" w:pos="2126"/>
        <w:tab w:val="left" w:pos="284"/>
        <w:tab w:val="left" w:pos="454"/>
        <w:tab w:val="left" w:pos="680"/>
        <w:tab w:val="left" w:pos="1021"/>
        <w:tab w:val="left" w:pos="1559"/>
      </w:tabs>
      <w:suppressAutoHyphens/>
      <w:adjustRightInd/>
      <w:spacing w:before="0"/>
      <w:ind w:left="1560" w:hanging="709"/>
    </w:pPr>
    <w:rPr>
      <w:szCs w:val="20"/>
      <w:lang w:val="bg-BG" w:eastAsia="bg-BG"/>
    </w:rPr>
  </w:style>
  <w:style w:type="paragraph" w:customStyle="1" w:styleId="xl39">
    <w:name w:val="xl39"/>
    <w:basedOn w:val="Normal"/>
    <w:rsid w:val="009C13A9"/>
    <w:pPr>
      <w:suppressAutoHyphens/>
      <w:spacing w:before="100" w:after="100"/>
      <w:jc w:val="center"/>
    </w:pPr>
    <w:rPr>
      <w:rFonts w:cs="Arial"/>
      <w:b/>
      <w:bCs/>
      <w:sz w:val="24"/>
      <w:lang w:eastAsia="bg-BG"/>
    </w:rPr>
  </w:style>
  <w:style w:type="paragraph" w:customStyle="1" w:styleId="Textedebulles1">
    <w:name w:val="Texte de bulles1"/>
    <w:basedOn w:val="Normal"/>
    <w:rsid w:val="009C13A9"/>
    <w:pPr>
      <w:suppressAutoHyphens/>
      <w:overflowPunct w:val="0"/>
      <w:textAlignment w:val="baseline"/>
    </w:pPr>
    <w:rPr>
      <w:rFonts w:ascii="Times New Roman" w:hAnsi="Times New Roman"/>
      <w:sz w:val="16"/>
      <w:szCs w:val="16"/>
      <w:lang w:eastAsia="bg-BG"/>
    </w:rPr>
  </w:style>
  <w:style w:type="paragraph" w:customStyle="1" w:styleId="Text10">
    <w:name w:val="Text1"/>
    <w:basedOn w:val="Normal"/>
    <w:rsid w:val="009C13A9"/>
    <w:pPr>
      <w:suppressAutoHyphens/>
      <w:spacing w:after="120" w:line="360" w:lineRule="auto"/>
    </w:pPr>
    <w:rPr>
      <w:rFonts w:ascii="Arial Narrow" w:hAnsi="Arial Narrow"/>
      <w:lang w:val="bg-BG" w:eastAsia="bg-BG"/>
    </w:rPr>
  </w:style>
  <w:style w:type="paragraph" w:customStyle="1" w:styleId="Default">
    <w:name w:val="Default"/>
    <w:rsid w:val="009C13A9"/>
    <w:pPr>
      <w:widowControl w:val="0"/>
      <w:suppressAutoHyphens/>
      <w:autoSpaceDE w:val="0"/>
    </w:pPr>
    <w:rPr>
      <w:rFonts w:ascii="EU Albertina" w:eastAsia="Arial" w:hAnsi="EU Albertina" w:cs="EU Albertina"/>
      <w:color w:val="000000"/>
      <w:sz w:val="24"/>
      <w:szCs w:val="24"/>
    </w:rPr>
  </w:style>
  <w:style w:type="paragraph" w:customStyle="1" w:styleId="CM204">
    <w:name w:val="CM204"/>
    <w:basedOn w:val="Default"/>
    <w:next w:val="Default"/>
    <w:rsid w:val="009C13A9"/>
    <w:pPr>
      <w:spacing w:after="173"/>
    </w:pPr>
    <w:rPr>
      <w:color w:val="auto"/>
    </w:rPr>
  </w:style>
  <w:style w:type="paragraph" w:customStyle="1" w:styleId="CM202">
    <w:name w:val="CM202"/>
    <w:basedOn w:val="Default"/>
    <w:next w:val="Default"/>
    <w:rsid w:val="009C13A9"/>
    <w:pPr>
      <w:spacing w:after="298"/>
    </w:pPr>
    <w:rPr>
      <w:color w:val="auto"/>
    </w:rPr>
  </w:style>
  <w:style w:type="paragraph" w:customStyle="1" w:styleId="CM209">
    <w:name w:val="CM209"/>
    <w:basedOn w:val="Normal"/>
    <w:next w:val="Normal"/>
    <w:rsid w:val="009C13A9"/>
    <w:pPr>
      <w:widowControl w:val="0"/>
      <w:suppressAutoHyphens/>
      <w:spacing w:after="513"/>
    </w:pPr>
    <w:rPr>
      <w:rFonts w:ascii="EU Albertina" w:hAnsi="EU Albertina"/>
      <w:sz w:val="24"/>
      <w:lang w:val="bg-BG" w:eastAsia="bg-BG"/>
    </w:rPr>
  </w:style>
  <w:style w:type="paragraph" w:customStyle="1" w:styleId="CM208">
    <w:name w:val="CM208"/>
    <w:basedOn w:val="Default"/>
    <w:next w:val="Default"/>
    <w:rsid w:val="009C13A9"/>
    <w:pPr>
      <w:spacing w:after="240"/>
    </w:pPr>
    <w:rPr>
      <w:color w:val="auto"/>
    </w:rPr>
  </w:style>
  <w:style w:type="paragraph" w:customStyle="1" w:styleId="CM62">
    <w:name w:val="CM62"/>
    <w:basedOn w:val="Default"/>
    <w:next w:val="Default"/>
    <w:rsid w:val="009C13A9"/>
    <w:pPr>
      <w:spacing w:line="188" w:lineRule="atLeast"/>
    </w:pPr>
    <w:rPr>
      <w:color w:val="auto"/>
    </w:rPr>
  </w:style>
  <w:style w:type="paragraph" w:customStyle="1" w:styleId="CM215">
    <w:name w:val="CM215"/>
    <w:basedOn w:val="Default"/>
    <w:next w:val="Default"/>
    <w:rsid w:val="009C13A9"/>
    <w:pPr>
      <w:spacing w:after="613"/>
    </w:pPr>
    <w:rPr>
      <w:color w:val="auto"/>
    </w:rPr>
  </w:style>
  <w:style w:type="paragraph" w:customStyle="1" w:styleId="Formatvorlageberschrift212ptNichtKursivLinks0cmErsteZeil">
    <w:name w:val="Formatvorlage Überschrift 2 + 12 pt Nicht Kursiv Links:  0 cm Erste Zeil..."/>
    <w:basedOn w:val="Heading2"/>
    <w:rsid w:val="009C13A9"/>
    <w:pPr>
      <w:numPr>
        <w:ilvl w:val="0"/>
        <w:numId w:val="0"/>
      </w:numPr>
      <w:tabs>
        <w:tab w:val="left" w:pos="720"/>
      </w:tabs>
      <w:suppressAutoHyphens/>
      <w:spacing w:before="240" w:after="120"/>
      <w:ind w:left="720" w:hanging="720"/>
    </w:pPr>
    <w:rPr>
      <w:rFonts w:ascii="Arial" w:hAnsi="Arial"/>
      <w:i w:val="0"/>
      <w:iCs w:val="0"/>
      <w:sz w:val="24"/>
      <w:szCs w:val="20"/>
      <w:lang w:val="bg-BG" w:eastAsia="bg-BG"/>
    </w:rPr>
  </w:style>
  <w:style w:type="paragraph" w:customStyle="1" w:styleId="Bo1">
    <w:name w:val="Bo1"/>
    <w:basedOn w:val="Normal"/>
    <w:rsid w:val="009C13A9"/>
    <w:pPr>
      <w:suppressAutoHyphens/>
      <w:spacing w:line="240" w:lineRule="atLeast"/>
      <w:ind w:left="1134" w:hanging="709"/>
    </w:pPr>
    <w:rPr>
      <w:rFonts w:ascii="Times New Roman" w:hAnsi="Times New Roman"/>
      <w:b/>
      <w:lang w:val="bg-BG" w:eastAsia="bg-BG"/>
    </w:rPr>
  </w:style>
  <w:style w:type="paragraph" w:customStyle="1" w:styleId="Bo11">
    <w:name w:val="Bo1_1"/>
    <w:basedOn w:val="Normal"/>
    <w:rsid w:val="009C13A9"/>
    <w:pPr>
      <w:tabs>
        <w:tab w:val="left" w:pos="1134"/>
      </w:tabs>
      <w:suppressAutoHyphens/>
      <w:overflowPunct w:val="0"/>
      <w:spacing w:line="240" w:lineRule="atLeast"/>
      <w:ind w:left="1134" w:hanging="709"/>
      <w:textAlignment w:val="baseline"/>
    </w:pPr>
    <w:rPr>
      <w:rFonts w:ascii="Times New Roman" w:hAnsi="Times New Roman"/>
      <w:sz w:val="24"/>
      <w:lang w:val="bg-BG" w:eastAsia="bg-BG"/>
    </w:rPr>
  </w:style>
  <w:style w:type="paragraph" w:customStyle="1" w:styleId="RetraitPremireligne">
    <w:name w:val="Retrait_Première_ligne"/>
    <w:basedOn w:val="Normal"/>
    <w:rsid w:val="009C13A9"/>
    <w:pPr>
      <w:suppressAutoHyphens/>
      <w:spacing w:line="240" w:lineRule="atLeast"/>
      <w:ind w:firstLine="425"/>
    </w:pPr>
    <w:rPr>
      <w:rFonts w:cs="Arial"/>
      <w:szCs w:val="20"/>
      <w:lang w:eastAsia="bg-BG"/>
    </w:rPr>
  </w:style>
  <w:style w:type="paragraph" w:customStyle="1" w:styleId="Textebrut1">
    <w:name w:val="Texte brut1"/>
    <w:basedOn w:val="Normal"/>
    <w:rsid w:val="009C13A9"/>
    <w:pPr>
      <w:suppressAutoHyphens/>
    </w:pPr>
    <w:rPr>
      <w:rFonts w:ascii="Consolas" w:hAnsi="Consolas"/>
      <w:sz w:val="21"/>
      <w:szCs w:val="21"/>
      <w:lang w:val="bg-BG" w:eastAsia="bg-BG"/>
    </w:rPr>
  </w:style>
  <w:style w:type="paragraph" w:customStyle="1" w:styleId="ED1">
    <w:name w:val="ED1"/>
    <w:basedOn w:val="Normal"/>
    <w:rsid w:val="009C13A9"/>
    <w:pPr>
      <w:suppressAutoHyphens/>
    </w:pPr>
    <w:rPr>
      <w:rFonts w:ascii="Times New Roman" w:hAnsi="Times New Roman"/>
      <w:sz w:val="24"/>
      <w:lang w:eastAsia="bg-BG"/>
    </w:rPr>
  </w:style>
  <w:style w:type="paragraph" w:customStyle="1" w:styleId="Commentaire1">
    <w:name w:val="Commentaire1"/>
    <w:basedOn w:val="Normal"/>
    <w:rsid w:val="009C13A9"/>
    <w:pPr>
      <w:suppressAutoHyphens/>
    </w:pPr>
    <w:rPr>
      <w:szCs w:val="20"/>
      <w:lang w:val="bg-BG" w:eastAsia="bg-BG"/>
    </w:rPr>
  </w:style>
  <w:style w:type="paragraph" w:customStyle="1" w:styleId="Contenudetableau">
    <w:name w:val="Contenu de tableau"/>
    <w:basedOn w:val="Normal"/>
    <w:rsid w:val="009C13A9"/>
    <w:pPr>
      <w:suppressLineNumbers/>
      <w:suppressAutoHyphens/>
    </w:pPr>
    <w:rPr>
      <w:rFonts w:ascii="Times New Roman" w:hAnsi="Times New Roman"/>
      <w:sz w:val="24"/>
      <w:lang w:val="bg-BG" w:eastAsia="bg-BG"/>
    </w:rPr>
  </w:style>
  <w:style w:type="paragraph" w:customStyle="1" w:styleId="Titredetableau">
    <w:name w:val="Titre de tableau"/>
    <w:basedOn w:val="Contenudetableau"/>
    <w:rsid w:val="009C13A9"/>
    <w:pPr>
      <w:jc w:val="center"/>
    </w:pPr>
    <w:rPr>
      <w:b/>
      <w:bCs/>
    </w:rPr>
  </w:style>
  <w:style w:type="numbering" w:customStyle="1" w:styleId="Aucuneliste111">
    <w:name w:val="Aucune liste111"/>
    <w:next w:val="NoList"/>
    <w:semiHidden/>
    <w:rsid w:val="009C13A9"/>
  </w:style>
  <w:style w:type="paragraph" w:styleId="DocumentMap">
    <w:name w:val="Document Map"/>
    <w:basedOn w:val="Normal"/>
    <w:link w:val="DocumentMapChar"/>
    <w:rsid w:val="009C13A9"/>
    <w:pPr>
      <w:shd w:val="clear" w:color="auto" w:fill="000080"/>
    </w:pPr>
    <w:rPr>
      <w:rFonts w:ascii="Tahoma" w:hAnsi="Tahoma"/>
      <w:szCs w:val="20"/>
    </w:rPr>
  </w:style>
  <w:style w:type="character" w:customStyle="1" w:styleId="DocumentMapChar">
    <w:name w:val="Document Map Char"/>
    <w:link w:val="DocumentMap"/>
    <w:rsid w:val="009C13A9"/>
    <w:rPr>
      <w:rFonts w:ascii="Tahoma" w:hAnsi="Tahoma"/>
      <w:shd w:val="clear" w:color="auto" w:fill="000080"/>
    </w:rPr>
  </w:style>
  <w:style w:type="numbering" w:customStyle="1" w:styleId="Aucuneliste2">
    <w:name w:val="Aucune liste2"/>
    <w:next w:val="NoList"/>
    <w:semiHidden/>
    <w:rsid w:val="009C13A9"/>
  </w:style>
  <w:style w:type="paragraph" w:customStyle="1" w:styleId="Sprechblasentext">
    <w:name w:val="Sprechblasentext"/>
    <w:basedOn w:val="Normal"/>
    <w:rsid w:val="009C13A9"/>
    <w:rPr>
      <w:rFonts w:ascii="Tahoma" w:hAnsi="Tahoma" w:cs="Tahoma"/>
      <w:snapToGrid w:val="0"/>
      <w:sz w:val="16"/>
      <w:szCs w:val="16"/>
      <w:lang w:val="bg-BG"/>
    </w:rPr>
  </w:style>
  <w:style w:type="paragraph" w:styleId="List2">
    <w:name w:val="List 2"/>
    <w:basedOn w:val="Normal"/>
    <w:rsid w:val="009C13A9"/>
    <w:pPr>
      <w:ind w:left="566" w:hanging="283"/>
    </w:pPr>
    <w:rPr>
      <w:rFonts w:ascii="Times New Roman" w:hAnsi="Times New Roman"/>
      <w:sz w:val="24"/>
    </w:rPr>
  </w:style>
  <w:style w:type="paragraph" w:styleId="List3">
    <w:name w:val="List 3"/>
    <w:basedOn w:val="Normal"/>
    <w:rsid w:val="009C13A9"/>
    <w:pPr>
      <w:ind w:left="849" w:hanging="283"/>
    </w:pPr>
    <w:rPr>
      <w:rFonts w:ascii="Times New Roman" w:hAnsi="Times New Roman"/>
      <w:sz w:val="24"/>
    </w:rPr>
  </w:style>
  <w:style w:type="paragraph" w:styleId="ListContinue2">
    <w:name w:val="List Continue 2"/>
    <w:basedOn w:val="Normal"/>
    <w:rsid w:val="009C13A9"/>
    <w:pPr>
      <w:spacing w:after="120"/>
      <w:ind w:left="566"/>
    </w:pPr>
    <w:rPr>
      <w:rFonts w:ascii="Times New Roman" w:hAnsi="Times New Roman"/>
      <w:sz w:val="24"/>
    </w:rPr>
  </w:style>
  <w:style w:type="table" w:customStyle="1" w:styleId="Grilledutableau111">
    <w:name w:val="Grille du tableau111"/>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rechblasentext1">
    <w:name w:val="Sprechblasentext1"/>
    <w:basedOn w:val="Normal"/>
    <w:semiHidden/>
    <w:rsid w:val="009C13A9"/>
    <w:rPr>
      <w:rFonts w:ascii="Tahoma" w:hAnsi="Tahoma"/>
      <w:sz w:val="16"/>
      <w:szCs w:val="16"/>
      <w:lang w:val="bg-BG" w:eastAsia="bg-BG"/>
    </w:rPr>
  </w:style>
  <w:style w:type="paragraph" w:customStyle="1" w:styleId="sprechblasentext0">
    <w:name w:val="sprechblasentext"/>
    <w:basedOn w:val="Normal"/>
    <w:rsid w:val="009C13A9"/>
    <w:pPr>
      <w:snapToGrid w:val="0"/>
    </w:pPr>
    <w:rPr>
      <w:rFonts w:ascii="Tahoma" w:hAnsi="Tahoma" w:cs="Tahoma"/>
      <w:sz w:val="16"/>
      <w:szCs w:val="16"/>
    </w:rPr>
  </w:style>
  <w:style w:type="character" w:customStyle="1" w:styleId="msoins1">
    <w:name w:val="msoins"/>
    <w:rsid w:val="009C13A9"/>
  </w:style>
  <w:style w:type="numbering" w:customStyle="1" w:styleId="Aucuneliste1111">
    <w:name w:val="Aucune liste1111"/>
    <w:next w:val="NoList"/>
    <w:semiHidden/>
    <w:rsid w:val="009C13A9"/>
  </w:style>
  <w:style w:type="paragraph" w:customStyle="1" w:styleId="Sprechblasentext2">
    <w:name w:val="Sprechblasentext2"/>
    <w:basedOn w:val="Normal"/>
    <w:rsid w:val="009C13A9"/>
    <w:rPr>
      <w:rFonts w:ascii="Times New Roman" w:hAnsi="Times New Roman"/>
      <w:sz w:val="16"/>
      <w:szCs w:val="16"/>
      <w:lang w:val="bg-BG"/>
    </w:rPr>
  </w:style>
  <w:style w:type="table" w:customStyle="1" w:styleId="Grilledutableau1111">
    <w:name w:val="Grille du tableau1111"/>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
    <w:name w:val="Style"/>
    <w:basedOn w:val="Normal"/>
    <w:next w:val="Normal"/>
    <w:rsid w:val="009C13A9"/>
    <w:pPr>
      <w:spacing w:after="160" w:line="240" w:lineRule="exact"/>
    </w:pPr>
    <w:rPr>
      <w:rFonts w:ascii="Times New Roman" w:hAnsi="Times New Roman"/>
      <w:snapToGrid w:val="0"/>
      <w:sz w:val="24"/>
      <w:lang w:val="bg-BG"/>
    </w:rPr>
  </w:style>
  <w:style w:type="numbering" w:customStyle="1" w:styleId="Aucuneliste3">
    <w:name w:val="Aucune liste3"/>
    <w:next w:val="NoList"/>
    <w:semiHidden/>
    <w:rsid w:val="009C13A9"/>
  </w:style>
  <w:style w:type="paragraph" w:customStyle="1" w:styleId="Normal1">
    <w:name w:val="Normal1"/>
    <w:basedOn w:val="Normal"/>
    <w:rsid w:val="009C13A9"/>
    <w:rPr>
      <w:rFonts w:ascii="Times New Roman" w:hAnsi="Times New Roman"/>
      <w:color w:val="000000"/>
      <w:szCs w:val="20"/>
      <w:lang w:val="bg-BG" w:eastAsia="bg-BG"/>
    </w:rPr>
  </w:style>
  <w:style w:type="numbering" w:customStyle="1" w:styleId="Aucuneliste4">
    <w:name w:val="Aucune liste4"/>
    <w:next w:val="NoList"/>
    <w:semiHidden/>
    <w:rsid w:val="009C13A9"/>
  </w:style>
  <w:style w:type="table" w:customStyle="1" w:styleId="Grilledutableau2">
    <w:name w:val="Grille du tableau2"/>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NoList"/>
    <w:uiPriority w:val="99"/>
    <w:semiHidden/>
    <w:unhideWhenUsed/>
    <w:rsid w:val="009C13A9"/>
  </w:style>
  <w:style w:type="numbering" w:customStyle="1" w:styleId="Aucuneliste112">
    <w:name w:val="Aucune liste112"/>
    <w:next w:val="NoList"/>
    <w:semiHidden/>
    <w:rsid w:val="009C13A9"/>
  </w:style>
  <w:style w:type="numbering" w:customStyle="1" w:styleId="Aucuneliste21">
    <w:name w:val="Aucune liste21"/>
    <w:next w:val="NoList"/>
    <w:semiHidden/>
    <w:rsid w:val="009C13A9"/>
  </w:style>
  <w:style w:type="table" w:customStyle="1" w:styleId="Grilledutableau12">
    <w:name w:val="Grille du tableau12"/>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2">
    <w:name w:val="Aucune liste1112"/>
    <w:next w:val="NoList"/>
    <w:semiHidden/>
    <w:rsid w:val="009C13A9"/>
  </w:style>
  <w:style w:type="table" w:customStyle="1" w:styleId="Grilledutableau112">
    <w:name w:val="Grille du tableau112"/>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1">
    <w:name w:val="Aucune liste31"/>
    <w:next w:val="NoList"/>
    <w:semiHidden/>
    <w:rsid w:val="009C13A9"/>
  </w:style>
  <w:style w:type="numbering" w:customStyle="1" w:styleId="Aucuneliste5">
    <w:name w:val="Aucune liste5"/>
    <w:next w:val="NoList"/>
    <w:semiHidden/>
    <w:rsid w:val="009C13A9"/>
  </w:style>
  <w:style w:type="table" w:customStyle="1" w:styleId="Grilledutableau3">
    <w:name w:val="Grille du tableau3"/>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3">
    <w:name w:val="Aucune liste13"/>
    <w:next w:val="NoList"/>
    <w:uiPriority w:val="99"/>
    <w:semiHidden/>
    <w:unhideWhenUsed/>
    <w:rsid w:val="009C13A9"/>
  </w:style>
  <w:style w:type="numbering" w:customStyle="1" w:styleId="Aucuneliste113">
    <w:name w:val="Aucune liste113"/>
    <w:next w:val="NoList"/>
    <w:semiHidden/>
    <w:rsid w:val="009C13A9"/>
  </w:style>
  <w:style w:type="numbering" w:customStyle="1" w:styleId="Aucuneliste22">
    <w:name w:val="Aucune liste22"/>
    <w:next w:val="NoList"/>
    <w:semiHidden/>
    <w:rsid w:val="009C13A9"/>
  </w:style>
  <w:style w:type="table" w:customStyle="1" w:styleId="Grilledutableau13">
    <w:name w:val="Grille du tableau13"/>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3">
    <w:name w:val="Aucune liste1113"/>
    <w:next w:val="NoList"/>
    <w:semiHidden/>
    <w:rsid w:val="009C13A9"/>
  </w:style>
  <w:style w:type="table" w:customStyle="1" w:styleId="Grilledutableau113">
    <w:name w:val="Grille du tableau113"/>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2">
    <w:name w:val="Aucune liste32"/>
    <w:next w:val="NoList"/>
    <w:semiHidden/>
    <w:rsid w:val="009C13A9"/>
  </w:style>
  <w:style w:type="paragraph" w:customStyle="1" w:styleId="Esannch">
    <w:name w:val="Es_ann_ch"/>
    <w:basedOn w:val="Normal"/>
    <w:qFormat/>
    <w:rsid w:val="009C13A9"/>
    <w:pPr>
      <w:spacing w:line="240" w:lineRule="atLeast"/>
    </w:pPr>
    <w:rPr>
      <w:rFonts w:cs="Arial"/>
      <w:color w:val="000000"/>
      <w:lang w:val="bg-BG"/>
    </w:rPr>
  </w:style>
  <w:style w:type="paragraph" w:customStyle="1" w:styleId="Esanngauche">
    <w:name w:val="Es_ann_gauche"/>
    <w:basedOn w:val="Normal"/>
    <w:qFormat/>
    <w:rsid w:val="009C13A9"/>
    <w:pPr>
      <w:tabs>
        <w:tab w:val="left" w:leader="dot" w:pos="9072"/>
      </w:tabs>
      <w:spacing w:line="240" w:lineRule="atLeast"/>
    </w:pPr>
    <w:rPr>
      <w:rFonts w:cs="Arial"/>
      <w:lang w:val="bg-BG"/>
    </w:rPr>
  </w:style>
  <w:style w:type="paragraph" w:customStyle="1" w:styleId="ESannexetitrearticle">
    <w:name w:val="ES_annexe_titre_article"/>
    <w:basedOn w:val="Normal"/>
    <w:qFormat/>
    <w:rsid w:val="009C13A9"/>
    <w:pPr>
      <w:spacing w:line="240" w:lineRule="atLeast"/>
      <w:jc w:val="center"/>
    </w:pPr>
    <w:rPr>
      <w:rFonts w:cs="Arial"/>
      <w:b/>
      <w:noProof/>
      <w:lang w:val="bg-BG"/>
    </w:rPr>
  </w:style>
  <w:style w:type="paragraph" w:customStyle="1" w:styleId="ESannexelet">
    <w:name w:val="ES_annexe_let"/>
    <w:basedOn w:val="Normal"/>
    <w:qFormat/>
    <w:rsid w:val="009C13A9"/>
    <w:pPr>
      <w:spacing w:before="60" w:line="240" w:lineRule="atLeast"/>
      <w:ind w:left="851"/>
    </w:pPr>
    <w:rPr>
      <w:rFonts w:cs="Arial"/>
      <w:noProof/>
      <w:lang w:val="bg-BG" w:eastAsia="bg-BG"/>
    </w:rPr>
  </w:style>
  <w:style w:type="paragraph" w:customStyle="1" w:styleId="ESannexechpar">
    <w:name w:val="ES_annexe_ch_par"/>
    <w:basedOn w:val="ESchpar"/>
    <w:qFormat/>
    <w:rsid w:val="009C13A9"/>
    <w:pPr>
      <w:ind w:left="426"/>
    </w:pPr>
    <w:rPr>
      <w:lang w:eastAsia="bg-BG"/>
    </w:rPr>
  </w:style>
  <w:style w:type="paragraph" w:customStyle="1" w:styleId="Esannexeletgauch">
    <w:name w:val="Es_annexe_let_gauch"/>
    <w:basedOn w:val="Normal"/>
    <w:qFormat/>
    <w:rsid w:val="009C13A9"/>
    <w:pPr>
      <w:spacing w:before="60" w:line="240" w:lineRule="atLeast"/>
    </w:pPr>
    <w:rPr>
      <w:rFonts w:cs="Arial"/>
      <w:noProof/>
      <w:lang w:val="bg-BG"/>
    </w:rPr>
  </w:style>
  <w:style w:type="table" w:styleId="MediumGrid1-Accent2">
    <w:name w:val="Medium Grid 1 Accent 2"/>
    <w:basedOn w:val="TableNormal"/>
    <w:uiPriority w:val="67"/>
    <w:rsid w:val="009C13A9"/>
    <w:rPr>
      <w:rFonts w:eastAsia="Calibri"/>
      <w:sz w:val="22"/>
      <w:szCs w:val="22"/>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ullet0">
    <w:name w:val="Bullet 0"/>
    <w:basedOn w:val="Normal"/>
    <w:rsid w:val="009C13A9"/>
    <w:pPr>
      <w:numPr>
        <w:numId w:val="4"/>
      </w:numPr>
      <w:spacing w:before="120" w:after="120"/>
    </w:pPr>
    <w:rPr>
      <w:rFonts w:ascii="Times New Roman" w:hAnsi="Times New Roman"/>
      <w:sz w:val="24"/>
    </w:rPr>
  </w:style>
  <w:style w:type="paragraph" w:customStyle="1" w:styleId="Bullet1">
    <w:name w:val="Bullet 1"/>
    <w:basedOn w:val="Normal"/>
    <w:rsid w:val="009C13A9"/>
    <w:pPr>
      <w:numPr>
        <w:numId w:val="5"/>
      </w:numPr>
      <w:spacing w:before="120" w:after="120"/>
    </w:pPr>
    <w:rPr>
      <w:rFonts w:ascii="Times New Roman" w:hAnsi="Times New Roman"/>
      <w:sz w:val="24"/>
    </w:rPr>
  </w:style>
  <w:style w:type="paragraph" w:customStyle="1" w:styleId="Bullet2">
    <w:name w:val="Bullet 2"/>
    <w:basedOn w:val="Normal"/>
    <w:rsid w:val="009C13A9"/>
    <w:pPr>
      <w:numPr>
        <w:numId w:val="6"/>
      </w:numPr>
      <w:spacing w:before="120" w:after="120"/>
    </w:pPr>
    <w:rPr>
      <w:rFonts w:ascii="Times New Roman" w:hAnsi="Times New Roman"/>
      <w:sz w:val="24"/>
    </w:rPr>
  </w:style>
  <w:style w:type="character" w:styleId="PlaceholderText">
    <w:name w:val="Placeholder Text"/>
    <w:basedOn w:val="DefaultParagraphFont"/>
    <w:uiPriority w:val="99"/>
    <w:semiHidden/>
    <w:rsid w:val="00395A9E"/>
    <w:rPr>
      <w:color w:val="808080"/>
    </w:rPr>
  </w:style>
  <w:style w:type="numbering" w:customStyle="1" w:styleId="Aucuneliste6">
    <w:name w:val="Aucune liste6"/>
    <w:next w:val="NoList"/>
    <w:uiPriority w:val="99"/>
    <w:semiHidden/>
    <w:unhideWhenUsed/>
    <w:rsid w:val="005C7DB3"/>
  </w:style>
  <w:style w:type="paragraph" w:customStyle="1" w:styleId="jeveux">
    <w:name w:val="je_veux"/>
    <w:basedOn w:val="Normal"/>
    <w:rsid w:val="005C7DB3"/>
    <w:pPr>
      <w:numPr>
        <w:numId w:val="9"/>
      </w:numPr>
      <w:tabs>
        <w:tab w:val="left" w:pos="425"/>
        <w:tab w:val="left" w:pos="6237"/>
      </w:tabs>
      <w:suppressAutoHyphens/>
      <w:spacing w:before="120"/>
    </w:pPr>
    <w:rPr>
      <w:rFonts w:ascii="Times New Roman" w:hAnsi="Times New Roman"/>
      <w:snapToGrid w:val="0"/>
      <w:sz w:val="24"/>
      <w:lang w:val="bg-BG"/>
    </w:rPr>
  </w:style>
  <w:style w:type="paragraph" w:customStyle="1" w:styleId="Gemiddeldraster1-accent21">
    <w:name w:val="Gemiddeld raster 1 - accent 21"/>
    <w:basedOn w:val="Normal"/>
    <w:uiPriority w:val="99"/>
    <w:qFormat/>
    <w:rsid w:val="005C7DB3"/>
    <w:pPr>
      <w:ind w:left="720"/>
      <w:contextualSpacing/>
    </w:pPr>
    <w:rPr>
      <w:rFonts w:ascii="Calibri" w:eastAsia="Calibri" w:hAnsi="Calibri"/>
      <w:lang w:val="bg-BG"/>
    </w:rPr>
  </w:style>
  <w:style w:type="paragraph" w:customStyle="1" w:styleId="Chiffregras">
    <w:name w:val="Chiffre_gras"/>
    <w:basedOn w:val="Normal"/>
    <w:qFormat/>
    <w:rsid w:val="005C7DB3"/>
    <w:pPr>
      <w:adjustRightInd w:val="0"/>
      <w:spacing w:line="240" w:lineRule="atLeast"/>
      <w:ind w:left="709" w:hanging="709"/>
      <w:outlineLvl w:val="0"/>
    </w:pPr>
    <w:rPr>
      <w:rFonts w:ascii="Times New Roman" w:eastAsia="Calibri" w:hAnsi="Times New Roman"/>
      <w:b/>
      <w:bCs/>
      <w:sz w:val="24"/>
      <w:lang w:val="bg-BG"/>
    </w:rPr>
  </w:style>
  <w:style w:type="paragraph" w:customStyle="1" w:styleId="Chiffrepar">
    <w:name w:val="Chiffre_par"/>
    <w:basedOn w:val="Normal"/>
    <w:qFormat/>
    <w:rsid w:val="005C7DB3"/>
    <w:pPr>
      <w:adjustRightInd w:val="0"/>
      <w:spacing w:line="240" w:lineRule="atLeast"/>
      <w:ind w:left="709"/>
    </w:pPr>
    <w:rPr>
      <w:rFonts w:ascii="Times New Roman" w:eastAsia="Calibri" w:hAnsi="Times New Roman"/>
      <w:sz w:val="24"/>
      <w:lang w:val="bg-BG"/>
    </w:rPr>
  </w:style>
  <w:style w:type="paragraph" w:customStyle="1" w:styleId="Chiffre">
    <w:name w:val="Chiffre"/>
    <w:basedOn w:val="Normal"/>
    <w:qFormat/>
    <w:rsid w:val="005C7DB3"/>
    <w:pPr>
      <w:adjustRightInd w:val="0"/>
      <w:spacing w:line="240" w:lineRule="atLeast"/>
      <w:ind w:left="709" w:hanging="709"/>
    </w:pPr>
    <w:rPr>
      <w:rFonts w:ascii="Times New Roman" w:eastAsia="Calibri" w:hAnsi="Times New Roman"/>
      <w:sz w:val="24"/>
      <w:lang w:val="bg-BG"/>
    </w:rPr>
  </w:style>
  <w:style w:type="paragraph" w:customStyle="1" w:styleId="chiffrelettre">
    <w:name w:val="chiffre_lettre"/>
    <w:basedOn w:val="Normal"/>
    <w:qFormat/>
    <w:rsid w:val="005C7DB3"/>
    <w:pPr>
      <w:adjustRightInd w:val="0"/>
      <w:spacing w:before="60" w:line="240" w:lineRule="atLeast"/>
      <w:ind w:left="1134"/>
    </w:pPr>
    <w:rPr>
      <w:rFonts w:ascii="Times New Roman" w:eastAsia="Calibri" w:hAnsi="Times New Roman"/>
      <w:sz w:val="24"/>
      <w:lang w:val="bg-BG"/>
    </w:rPr>
  </w:style>
  <w:style w:type="paragraph" w:customStyle="1" w:styleId="Esann8ch">
    <w:name w:val="Es_ann8_ch"/>
    <w:basedOn w:val="Normal"/>
    <w:qFormat/>
    <w:rsid w:val="00A94102"/>
    <w:pPr>
      <w:spacing w:line="240" w:lineRule="atLeast"/>
      <w:ind w:left="851" w:hanging="851"/>
    </w:pPr>
    <w:rPr>
      <w:rFonts w:eastAsia="Calibri" w:cs="Arial"/>
      <w:color w:val="000000"/>
      <w:szCs w:val="20"/>
    </w:rPr>
  </w:style>
  <w:style w:type="paragraph" w:customStyle="1" w:styleId="Esann8chgras">
    <w:name w:val="Es_ann8_ch_gras"/>
    <w:basedOn w:val="ESchgras"/>
    <w:qFormat/>
    <w:rsid w:val="00A94102"/>
    <w:pPr>
      <w:ind w:left="851" w:hanging="851"/>
    </w:pPr>
  </w:style>
  <w:style w:type="paragraph" w:customStyle="1" w:styleId="Esann8titrechap">
    <w:name w:val="Es_ann8_titre_chap"/>
    <w:basedOn w:val="Esann8chgras"/>
    <w:qFormat/>
    <w:rsid w:val="00A94102"/>
    <w:pPr>
      <w:jc w:val="center"/>
    </w:pPr>
  </w:style>
  <w:style w:type="paragraph" w:customStyle="1" w:styleId="Esann8let">
    <w:name w:val="Es_ann8_let"/>
    <w:basedOn w:val="Esann8ch"/>
    <w:qFormat/>
    <w:rsid w:val="008632BC"/>
    <w:pPr>
      <w:spacing w:before="60"/>
      <w:ind w:left="1276" w:hanging="425"/>
    </w:pPr>
  </w:style>
  <w:style w:type="paragraph" w:customStyle="1" w:styleId="Esann8chpar">
    <w:name w:val="Es_ann8_ch_par"/>
    <w:basedOn w:val="Esann8ch"/>
    <w:qFormat/>
    <w:rsid w:val="00ED22AF"/>
    <w:pPr>
      <w:ind w:firstLine="0"/>
    </w:pPr>
  </w:style>
  <w:style w:type="character" w:customStyle="1" w:styleId="hps">
    <w:name w:val="hps"/>
    <w:basedOn w:val="DefaultParagraphFont"/>
    <w:rsid w:val="00A26ED8"/>
  </w:style>
  <w:style w:type="character" w:customStyle="1" w:styleId="atn">
    <w:name w:val="atn"/>
    <w:basedOn w:val="DefaultParagraphFont"/>
    <w:rsid w:val="00A26ED8"/>
  </w:style>
  <w:style w:type="numbering" w:customStyle="1" w:styleId="Aucuneliste7">
    <w:name w:val="Aucune liste7"/>
    <w:next w:val="NoList"/>
    <w:uiPriority w:val="99"/>
    <w:semiHidden/>
    <w:unhideWhenUsed/>
    <w:rsid w:val="001D0FFC"/>
  </w:style>
  <w:style w:type="paragraph" w:customStyle="1" w:styleId="tbl-norm">
    <w:name w:val="tbl-norm"/>
    <w:basedOn w:val="Normal"/>
    <w:rsid w:val="003D29D8"/>
    <w:pPr>
      <w:spacing w:before="100" w:beforeAutospacing="1" w:after="100" w:afterAutospacing="1"/>
    </w:pPr>
    <w:rPr>
      <w:rFonts w:ascii="Times New Roman" w:hAnsi="Times New Roman"/>
      <w:sz w:val="24"/>
    </w:rPr>
  </w:style>
  <w:style w:type="paragraph" w:customStyle="1" w:styleId="norm">
    <w:name w:val="norm"/>
    <w:basedOn w:val="Normal"/>
    <w:rsid w:val="003D29D8"/>
    <w:pPr>
      <w:spacing w:before="100" w:beforeAutospacing="1" w:after="100" w:afterAutospacing="1"/>
    </w:pPr>
    <w:rPr>
      <w:rFonts w:ascii="Times New Roman" w:hAnsi="Times New Roman"/>
      <w:sz w:val="24"/>
    </w:rPr>
  </w:style>
  <w:style w:type="table" w:customStyle="1" w:styleId="Grilledutableau14">
    <w:name w:val="Grille du tableau14"/>
    <w:basedOn w:val="TableNormal"/>
    <w:next w:val="TableGrid"/>
    <w:rsid w:val="004F47BB"/>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4">
    <w:name w:val="Grille du tableau114"/>
    <w:basedOn w:val="TableNormal"/>
    <w:next w:val="TableGrid"/>
    <w:rsid w:val="004F47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12">
    <w:name w:val="Grille du tableau1112"/>
    <w:basedOn w:val="TableNormal"/>
    <w:next w:val="TableGrid"/>
    <w:rsid w:val="004F47BB"/>
    <w:rPr>
      <w:rFonts w:ascii="Times New Roman" w:hAnsi="Times New Roman"/>
      <w:snapToGrid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chdecale">
    <w:name w:val="ES_ch_decale"/>
    <w:basedOn w:val="Normal"/>
    <w:qFormat/>
    <w:rsid w:val="004F47BB"/>
    <w:pPr>
      <w:tabs>
        <w:tab w:val="left" w:pos="567"/>
        <w:tab w:val="left" w:pos="1418"/>
      </w:tabs>
      <w:spacing w:line="240" w:lineRule="atLeast"/>
      <w:ind w:left="1418" w:hanging="851"/>
    </w:pPr>
  </w:style>
  <w:style w:type="paragraph" w:customStyle="1" w:styleId="ESchdecalepar">
    <w:name w:val="ES_ch_decale_par"/>
    <w:basedOn w:val="ESchdecale"/>
    <w:qFormat/>
    <w:rsid w:val="004F47BB"/>
    <w:pPr>
      <w:tabs>
        <w:tab w:val="clear" w:pos="567"/>
      </w:tabs>
      <w:ind w:firstLine="0"/>
    </w:pPr>
    <w:rPr>
      <w:noProof/>
    </w:rPr>
  </w:style>
  <w:style w:type="paragraph" w:customStyle="1" w:styleId="ESletparettab">
    <w:name w:val="ES_let_par_et_tab"/>
    <w:basedOn w:val="ESletpar"/>
    <w:qFormat/>
    <w:rsid w:val="004F47BB"/>
    <w:pPr>
      <w:tabs>
        <w:tab w:val="left" w:pos="2552"/>
        <w:tab w:val="left" w:pos="2977"/>
        <w:tab w:val="left" w:pos="3402"/>
      </w:tabs>
      <w:ind w:left="1418" w:hanging="426"/>
    </w:pPr>
  </w:style>
  <w:style w:type="paragraph" w:customStyle="1" w:styleId="IS1cm">
    <w:name w:val="IS_1cm"/>
    <w:basedOn w:val="Normal"/>
    <w:link w:val="IS1cmCar"/>
    <w:rsid w:val="004F47BB"/>
    <w:pPr>
      <w:tabs>
        <w:tab w:val="left" w:pos="567"/>
      </w:tabs>
      <w:overflowPunct w:val="0"/>
      <w:adjustRightInd w:val="0"/>
      <w:spacing w:line="240" w:lineRule="atLeast"/>
      <w:ind w:left="567" w:hanging="567"/>
      <w:textAlignment w:val="baseline"/>
    </w:pPr>
    <w:rPr>
      <w:szCs w:val="20"/>
      <w:lang w:val="bg-BG"/>
    </w:rPr>
  </w:style>
  <w:style w:type="character" w:customStyle="1" w:styleId="IS1cmCar">
    <w:name w:val="IS_1cm Car"/>
    <w:link w:val="IS1cm"/>
    <w:rsid w:val="004F47BB"/>
    <w:rPr>
      <w:rFonts w:ascii="Arial" w:hAnsi="Arial"/>
      <w:lang w:val="bg-BG"/>
    </w:rPr>
  </w:style>
  <w:style w:type="paragraph" w:customStyle="1" w:styleId="IS1cmg075cm">
    <w:name w:val="IS_1cmg_0_75cm"/>
    <w:basedOn w:val="IS1cm"/>
    <w:rsid w:val="004F47BB"/>
    <w:pPr>
      <w:tabs>
        <w:tab w:val="clear" w:pos="567"/>
        <w:tab w:val="left" w:pos="992"/>
      </w:tabs>
      <w:ind w:left="992" w:hanging="425"/>
    </w:pPr>
  </w:style>
  <w:style w:type="paragraph" w:customStyle="1" w:styleId="IS175cm">
    <w:name w:val="IS_175cm"/>
    <w:basedOn w:val="Normal"/>
    <w:rsid w:val="004F47BB"/>
    <w:pPr>
      <w:tabs>
        <w:tab w:val="left" w:pos="1418"/>
      </w:tabs>
      <w:overflowPunct w:val="0"/>
      <w:adjustRightInd w:val="0"/>
      <w:spacing w:line="240" w:lineRule="atLeast"/>
      <w:ind w:left="1417"/>
      <w:textAlignment w:val="baseline"/>
    </w:pPr>
    <w:rPr>
      <w:szCs w:val="20"/>
      <w:lang w:val="bg-BG"/>
    </w:rPr>
  </w:style>
  <w:style w:type="paragraph" w:customStyle="1" w:styleId="ES-Titre2ESI">
    <w:name w:val="ES-Titre2_ESI"/>
    <w:basedOn w:val="ES-Titre2"/>
    <w:qFormat/>
    <w:rsid w:val="004F47BB"/>
    <w:pPr>
      <w:pageBreakBefore w:val="0"/>
    </w:pPr>
  </w:style>
  <w:style w:type="paragraph" w:customStyle="1" w:styleId="ES-Titre4prESIexple">
    <w:name w:val="ES-Titre4_pr_ESI_exple"/>
    <w:basedOn w:val="ES-Titre3prchap32"/>
    <w:qFormat/>
    <w:rsid w:val="005B46C9"/>
  </w:style>
  <w:style w:type="paragraph" w:customStyle="1" w:styleId="ES-Titre4">
    <w:name w:val="ES-Titre4"/>
    <w:basedOn w:val="ES-Titre3"/>
    <w:qFormat/>
    <w:rsid w:val="00C859BD"/>
    <w:rPr>
      <w:lang w:val="bg-BG"/>
    </w:rPr>
  </w:style>
  <w:style w:type="paragraph" w:customStyle="1" w:styleId="ES-Titre4a">
    <w:name w:val="ES-Titre4a"/>
    <w:basedOn w:val="ES-Titre3a"/>
    <w:qFormat/>
    <w:rsid w:val="00C859BD"/>
    <w:rPr>
      <w:lang w:val="bg-B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72696">
      <w:bodyDiv w:val="1"/>
      <w:marLeft w:val="0"/>
      <w:marRight w:val="0"/>
      <w:marTop w:val="0"/>
      <w:marBottom w:val="0"/>
      <w:divBdr>
        <w:top w:val="none" w:sz="0" w:space="0" w:color="auto"/>
        <w:left w:val="none" w:sz="0" w:space="0" w:color="auto"/>
        <w:bottom w:val="none" w:sz="0" w:space="0" w:color="auto"/>
        <w:right w:val="none" w:sz="0" w:space="0" w:color="auto"/>
      </w:divBdr>
    </w:div>
    <w:div w:id="116535451">
      <w:bodyDiv w:val="1"/>
      <w:marLeft w:val="0"/>
      <w:marRight w:val="0"/>
      <w:marTop w:val="0"/>
      <w:marBottom w:val="0"/>
      <w:divBdr>
        <w:top w:val="none" w:sz="0" w:space="0" w:color="auto"/>
        <w:left w:val="none" w:sz="0" w:space="0" w:color="auto"/>
        <w:bottom w:val="none" w:sz="0" w:space="0" w:color="auto"/>
        <w:right w:val="none" w:sz="0" w:space="0" w:color="auto"/>
      </w:divBdr>
    </w:div>
    <w:div w:id="444081102">
      <w:bodyDiv w:val="1"/>
      <w:marLeft w:val="0"/>
      <w:marRight w:val="0"/>
      <w:marTop w:val="0"/>
      <w:marBottom w:val="0"/>
      <w:divBdr>
        <w:top w:val="none" w:sz="0" w:space="0" w:color="auto"/>
        <w:left w:val="none" w:sz="0" w:space="0" w:color="auto"/>
        <w:bottom w:val="none" w:sz="0" w:space="0" w:color="auto"/>
        <w:right w:val="none" w:sz="0" w:space="0" w:color="auto"/>
      </w:divBdr>
    </w:div>
    <w:div w:id="877932533">
      <w:bodyDiv w:val="1"/>
      <w:marLeft w:val="0"/>
      <w:marRight w:val="0"/>
      <w:marTop w:val="0"/>
      <w:marBottom w:val="0"/>
      <w:divBdr>
        <w:top w:val="none" w:sz="0" w:space="0" w:color="auto"/>
        <w:left w:val="none" w:sz="0" w:space="0" w:color="auto"/>
        <w:bottom w:val="none" w:sz="0" w:space="0" w:color="auto"/>
        <w:right w:val="none" w:sz="0" w:space="0" w:color="auto"/>
      </w:divBdr>
    </w:div>
    <w:div w:id="920331382">
      <w:bodyDiv w:val="1"/>
      <w:marLeft w:val="0"/>
      <w:marRight w:val="0"/>
      <w:marTop w:val="0"/>
      <w:marBottom w:val="0"/>
      <w:divBdr>
        <w:top w:val="none" w:sz="0" w:space="0" w:color="auto"/>
        <w:left w:val="none" w:sz="0" w:space="0" w:color="auto"/>
        <w:bottom w:val="none" w:sz="0" w:space="0" w:color="auto"/>
        <w:right w:val="none" w:sz="0" w:space="0" w:color="auto"/>
      </w:divBdr>
    </w:div>
    <w:div w:id="959919701">
      <w:bodyDiv w:val="1"/>
      <w:marLeft w:val="0"/>
      <w:marRight w:val="0"/>
      <w:marTop w:val="0"/>
      <w:marBottom w:val="0"/>
      <w:divBdr>
        <w:top w:val="none" w:sz="0" w:space="0" w:color="auto"/>
        <w:left w:val="none" w:sz="0" w:space="0" w:color="auto"/>
        <w:bottom w:val="none" w:sz="0" w:space="0" w:color="auto"/>
        <w:right w:val="none" w:sz="0" w:space="0" w:color="auto"/>
      </w:divBdr>
    </w:div>
    <w:div w:id="1067725200">
      <w:bodyDiv w:val="1"/>
      <w:marLeft w:val="0"/>
      <w:marRight w:val="0"/>
      <w:marTop w:val="0"/>
      <w:marBottom w:val="0"/>
      <w:divBdr>
        <w:top w:val="none" w:sz="0" w:space="0" w:color="auto"/>
        <w:left w:val="none" w:sz="0" w:space="0" w:color="auto"/>
        <w:bottom w:val="none" w:sz="0" w:space="0" w:color="auto"/>
        <w:right w:val="none" w:sz="0" w:space="0" w:color="auto"/>
      </w:divBdr>
    </w:div>
    <w:div w:id="1841234259">
      <w:bodyDiv w:val="1"/>
      <w:marLeft w:val="0"/>
      <w:marRight w:val="0"/>
      <w:marTop w:val="0"/>
      <w:marBottom w:val="0"/>
      <w:divBdr>
        <w:top w:val="none" w:sz="0" w:space="0" w:color="auto"/>
        <w:left w:val="none" w:sz="0" w:space="0" w:color="auto"/>
        <w:bottom w:val="none" w:sz="0" w:space="0" w:color="auto"/>
        <w:right w:val="none" w:sz="0" w:space="0" w:color="auto"/>
      </w:divBdr>
    </w:div>
    <w:div w:id="1843202567">
      <w:bodyDiv w:val="1"/>
      <w:marLeft w:val="0"/>
      <w:marRight w:val="0"/>
      <w:marTop w:val="0"/>
      <w:marBottom w:val="0"/>
      <w:divBdr>
        <w:top w:val="none" w:sz="0" w:space="0" w:color="auto"/>
        <w:left w:val="none" w:sz="0" w:space="0" w:color="auto"/>
        <w:bottom w:val="none" w:sz="0" w:space="0" w:color="auto"/>
        <w:right w:val="none" w:sz="0" w:space="0" w:color="auto"/>
      </w:divBdr>
    </w:div>
    <w:div w:id="1918395660">
      <w:bodyDiv w:val="1"/>
      <w:marLeft w:val="0"/>
      <w:marRight w:val="0"/>
      <w:marTop w:val="0"/>
      <w:marBottom w:val="0"/>
      <w:divBdr>
        <w:top w:val="none" w:sz="0" w:space="0" w:color="auto"/>
        <w:left w:val="none" w:sz="0" w:space="0" w:color="auto"/>
        <w:bottom w:val="none" w:sz="0" w:space="0" w:color="auto"/>
        <w:right w:val="none" w:sz="0" w:space="0" w:color="auto"/>
      </w:divBdr>
    </w:div>
    <w:div w:id="2120025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0.xml"/><Relationship Id="rId117" Type="http://schemas.openxmlformats.org/officeDocument/2006/relationships/image" Target="media/image25.wmf"/><Relationship Id="rId21" Type="http://schemas.openxmlformats.org/officeDocument/2006/relationships/image" Target="media/image1.wmf"/><Relationship Id="rId42" Type="http://schemas.openxmlformats.org/officeDocument/2006/relationships/footer" Target="footer10.xml"/><Relationship Id="rId47" Type="http://schemas.openxmlformats.org/officeDocument/2006/relationships/header" Target="header22.xml"/><Relationship Id="rId63" Type="http://schemas.openxmlformats.org/officeDocument/2006/relationships/image" Target="media/image16.png"/><Relationship Id="rId68" Type="http://schemas.openxmlformats.org/officeDocument/2006/relationships/image" Target="media/image19.png"/><Relationship Id="rId84" Type="http://schemas.openxmlformats.org/officeDocument/2006/relationships/header" Target="header34.xml"/><Relationship Id="rId89" Type="http://schemas.openxmlformats.org/officeDocument/2006/relationships/header" Target="header36.xml"/><Relationship Id="rId112" Type="http://schemas.openxmlformats.org/officeDocument/2006/relationships/header" Target="header46.xml"/><Relationship Id="rId133" Type="http://schemas.openxmlformats.org/officeDocument/2006/relationships/header" Target="header58.xml"/><Relationship Id="rId138" Type="http://schemas.openxmlformats.org/officeDocument/2006/relationships/footer" Target="footer42.xml"/><Relationship Id="rId16" Type="http://schemas.openxmlformats.org/officeDocument/2006/relationships/footer" Target="footer4.xml"/><Relationship Id="rId107" Type="http://schemas.openxmlformats.org/officeDocument/2006/relationships/header" Target="header43.xml"/><Relationship Id="rId11" Type="http://schemas.openxmlformats.org/officeDocument/2006/relationships/footer" Target="footer1.xml"/><Relationship Id="rId32" Type="http://schemas.openxmlformats.org/officeDocument/2006/relationships/footer" Target="footer7.xml"/><Relationship Id="rId37" Type="http://schemas.openxmlformats.org/officeDocument/2006/relationships/header" Target="header17.xml"/><Relationship Id="rId53" Type="http://schemas.openxmlformats.org/officeDocument/2006/relationships/footer" Target="footer15.xml"/><Relationship Id="rId58" Type="http://schemas.openxmlformats.org/officeDocument/2006/relationships/image" Target="media/image11.wmf"/><Relationship Id="rId74" Type="http://schemas.openxmlformats.org/officeDocument/2006/relationships/footer" Target="footer18.xml"/><Relationship Id="rId79" Type="http://schemas.openxmlformats.org/officeDocument/2006/relationships/footer" Target="footer20.xml"/><Relationship Id="rId102" Type="http://schemas.openxmlformats.org/officeDocument/2006/relationships/image" Target="media/image24.png"/><Relationship Id="rId123" Type="http://schemas.openxmlformats.org/officeDocument/2006/relationships/image" Target="media/image27.wmf"/><Relationship Id="rId128" Type="http://schemas.openxmlformats.org/officeDocument/2006/relationships/header" Target="header54.xml"/><Relationship Id="rId144" Type="http://schemas.openxmlformats.org/officeDocument/2006/relationships/image" Target="media/image31.png"/><Relationship Id="rId149" Type="http://schemas.openxmlformats.org/officeDocument/2006/relationships/header" Target="header65.xml"/><Relationship Id="rId5" Type="http://schemas.openxmlformats.org/officeDocument/2006/relationships/settings" Target="settings.xml"/><Relationship Id="rId90" Type="http://schemas.openxmlformats.org/officeDocument/2006/relationships/header" Target="header37.xml"/><Relationship Id="rId95" Type="http://schemas.openxmlformats.org/officeDocument/2006/relationships/header" Target="header39.xml"/><Relationship Id="rId22" Type="http://schemas.openxmlformats.org/officeDocument/2006/relationships/header" Target="header8.xml"/><Relationship Id="rId27" Type="http://schemas.openxmlformats.org/officeDocument/2006/relationships/image" Target="media/image4.jpeg"/><Relationship Id="rId43" Type="http://schemas.openxmlformats.org/officeDocument/2006/relationships/header" Target="header20.xml"/><Relationship Id="rId48" Type="http://schemas.openxmlformats.org/officeDocument/2006/relationships/footer" Target="footer12.xml"/><Relationship Id="rId64" Type="http://schemas.openxmlformats.org/officeDocument/2006/relationships/image" Target="media/image17.png"/><Relationship Id="rId69" Type="http://schemas.openxmlformats.org/officeDocument/2006/relationships/image" Target="media/image20.emf"/><Relationship Id="rId113" Type="http://schemas.openxmlformats.org/officeDocument/2006/relationships/header" Target="header47.xml"/><Relationship Id="rId118" Type="http://schemas.openxmlformats.org/officeDocument/2006/relationships/header" Target="header48.xml"/><Relationship Id="rId134" Type="http://schemas.openxmlformats.org/officeDocument/2006/relationships/footer" Target="footer40.xml"/><Relationship Id="rId139" Type="http://schemas.openxmlformats.org/officeDocument/2006/relationships/header" Target="header61.xml"/><Relationship Id="rId80" Type="http://schemas.openxmlformats.org/officeDocument/2006/relationships/footer" Target="footer21.xml"/><Relationship Id="rId85" Type="http://schemas.openxmlformats.org/officeDocument/2006/relationships/footer" Target="footer23.xml"/><Relationship Id="rId150" Type="http://schemas.openxmlformats.org/officeDocument/2006/relationships/image" Target="media/image32.jpeg"/><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3.png"/><Relationship Id="rId33" Type="http://schemas.openxmlformats.org/officeDocument/2006/relationships/header" Target="header13.xml"/><Relationship Id="rId38" Type="http://schemas.openxmlformats.org/officeDocument/2006/relationships/footer" Target="footer8.xml"/><Relationship Id="rId46" Type="http://schemas.openxmlformats.org/officeDocument/2006/relationships/image" Target="media/image6.wmf"/><Relationship Id="rId59" Type="http://schemas.openxmlformats.org/officeDocument/2006/relationships/image" Target="media/image12.wmf"/><Relationship Id="rId67" Type="http://schemas.openxmlformats.org/officeDocument/2006/relationships/image" Target="media/image18.png"/><Relationship Id="rId103" Type="http://schemas.openxmlformats.org/officeDocument/2006/relationships/header" Target="header41.xml"/><Relationship Id="rId108" Type="http://schemas.openxmlformats.org/officeDocument/2006/relationships/header" Target="header44.xml"/><Relationship Id="rId116" Type="http://schemas.openxmlformats.org/officeDocument/2006/relationships/footer" Target="footer37.xml"/><Relationship Id="rId124" Type="http://schemas.openxmlformats.org/officeDocument/2006/relationships/header" Target="header51.xml"/><Relationship Id="rId129" Type="http://schemas.openxmlformats.org/officeDocument/2006/relationships/header" Target="header55.xml"/><Relationship Id="rId137" Type="http://schemas.openxmlformats.org/officeDocument/2006/relationships/header" Target="header60.xml"/><Relationship Id="rId20" Type="http://schemas.openxmlformats.org/officeDocument/2006/relationships/header" Target="header7.xml"/><Relationship Id="rId41" Type="http://schemas.openxmlformats.org/officeDocument/2006/relationships/header" Target="header19.xml"/><Relationship Id="rId54" Type="http://schemas.openxmlformats.org/officeDocument/2006/relationships/image" Target="media/image7.wmf"/><Relationship Id="rId62" Type="http://schemas.openxmlformats.org/officeDocument/2006/relationships/image" Target="media/image15.jpeg"/><Relationship Id="rId70" Type="http://schemas.openxmlformats.org/officeDocument/2006/relationships/header" Target="header26.xml"/><Relationship Id="rId75" Type="http://schemas.openxmlformats.org/officeDocument/2006/relationships/header" Target="header29.xml"/><Relationship Id="rId83" Type="http://schemas.openxmlformats.org/officeDocument/2006/relationships/header" Target="header33.xml"/><Relationship Id="rId88" Type="http://schemas.openxmlformats.org/officeDocument/2006/relationships/footer" Target="footer25.xml"/><Relationship Id="rId91" Type="http://schemas.openxmlformats.org/officeDocument/2006/relationships/footer" Target="footer26.xml"/><Relationship Id="rId96" Type="http://schemas.openxmlformats.org/officeDocument/2006/relationships/footer" Target="footer29.xml"/><Relationship Id="rId111" Type="http://schemas.openxmlformats.org/officeDocument/2006/relationships/footer" Target="footer34.xml"/><Relationship Id="rId132" Type="http://schemas.openxmlformats.org/officeDocument/2006/relationships/image" Target="media/image28.wmf"/><Relationship Id="rId140" Type="http://schemas.openxmlformats.org/officeDocument/2006/relationships/footer" Target="footer43.xml"/><Relationship Id="rId145" Type="http://schemas.openxmlformats.org/officeDocument/2006/relationships/header" Target="header63.xml"/><Relationship Id="rId15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9.xml"/><Relationship Id="rId28" Type="http://schemas.openxmlformats.org/officeDocument/2006/relationships/image" Target="media/image5.jpeg"/><Relationship Id="rId36" Type="http://schemas.openxmlformats.org/officeDocument/2006/relationships/header" Target="header16.xml"/><Relationship Id="rId49" Type="http://schemas.openxmlformats.org/officeDocument/2006/relationships/header" Target="header23.xml"/><Relationship Id="rId57" Type="http://schemas.openxmlformats.org/officeDocument/2006/relationships/image" Target="media/image10.wmf"/><Relationship Id="rId106" Type="http://schemas.openxmlformats.org/officeDocument/2006/relationships/footer" Target="footer32.xml"/><Relationship Id="rId114" Type="http://schemas.openxmlformats.org/officeDocument/2006/relationships/footer" Target="footer35.xml"/><Relationship Id="rId119" Type="http://schemas.openxmlformats.org/officeDocument/2006/relationships/header" Target="header49.xml"/><Relationship Id="rId127" Type="http://schemas.openxmlformats.org/officeDocument/2006/relationships/header" Target="header53.xm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footer" Target="footer11.xml"/><Relationship Id="rId52" Type="http://schemas.openxmlformats.org/officeDocument/2006/relationships/footer" Target="footer14.xml"/><Relationship Id="rId60" Type="http://schemas.openxmlformats.org/officeDocument/2006/relationships/image" Target="media/image13.wmf"/><Relationship Id="rId65" Type="http://schemas.openxmlformats.org/officeDocument/2006/relationships/header" Target="header25.xml"/><Relationship Id="rId73" Type="http://schemas.openxmlformats.org/officeDocument/2006/relationships/header" Target="header28.xml"/><Relationship Id="rId78" Type="http://schemas.openxmlformats.org/officeDocument/2006/relationships/header" Target="header31.xml"/><Relationship Id="rId81" Type="http://schemas.openxmlformats.org/officeDocument/2006/relationships/header" Target="header32.xml"/><Relationship Id="rId86" Type="http://schemas.openxmlformats.org/officeDocument/2006/relationships/footer" Target="footer24.xml"/><Relationship Id="rId94" Type="http://schemas.openxmlformats.org/officeDocument/2006/relationships/footer" Target="footer28.xml"/><Relationship Id="rId99" Type="http://schemas.openxmlformats.org/officeDocument/2006/relationships/image" Target="media/image21.jpg"/><Relationship Id="rId101" Type="http://schemas.openxmlformats.org/officeDocument/2006/relationships/image" Target="media/image23.png"/><Relationship Id="rId122" Type="http://schemas.openxmlformats.org/officeDocument/2006/relationships/image" Target="media/image26.emf"/><Relationship Id="rId130" Type="http://schemas.openxmlformats.org/officeDocument/2006/relationships/header" Target="header56.xml"/><Relationship Id="rId135" Type="http://schemas.openxmlformats.org/officeDocument/2006/relationships/header" Target="header59.xml"/><Relationship Id="rId143" Type="http://schemas.openxmlformats.org/officeDocument/2006/relationships/image" Target="media/image30.png"/><Relationship Id="rId148" Type="http://schemas.openxmlformats.org/officeDocument/2006/relationships/footer" Target="footer45.xml"/><Relationship Id="rId151" Type="http://schemas.openxmlformats.org/officeDocument/2006/relationships/header" Target="header66.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footer" Target="footer5.xml"/><Relationship Id="rId39" Type="http://schemas.openxmlformats.org/officeDocument/2006/relationships/header" Target="header18.xml"/><Relationship Id="rId109" Type="http://schemas.openxmlformats.org/officeDocument/2006/relationships/footer" Target="footer33.xml"/><Relationship Id="rId34" Type="http://schemas.openxmlformats.org/officeDocument/2006/relationships/header" Target="header14.xml"/><Relationship Id="rId50" Type="http://schemas.openxmlformats.org/officeDocument/2006/relationships/footer" Target="footer13.xml"/><Relationship Id="rId55" Type="http://schemas.openxmlformats.org/officeDocument/2006/relationships/image" Target="media/image8.wmf"/><Relationship Id="rId76" Type="http://schemas.openxmlformats.org/officeDocument/2006/relationships/footer" Target="footer19.xml"/><Relationship Id="rId97" Type="http://schemas.openxmlformats.org/officeDocument/2006/relationships/header" Target="header40.xml"/><Relationship Id="rId104" Type="http://schemas.openxmlformats.org/officeDocument/2006/relationships/footer" Target="footer31.xml"/><Relationship Id="rId120" Type="http://schemas.openxmlformats.org/officeDocument/2006/relationships/header" Target="header50.xml"/><Relationship Id="rId125" Type="http://schemas.openxmlformats.org/officeDocument/2006/relationships/header" Target="header52.xml"/><Relationship Id="rId141" Type="http://schemas.openxmlformats.org/officeDocument/2006/relationships/header" Target="header62.xml"/><Relationship Id="rId146" Type="http://schemas.openxmlformats.org/officeDocument/2006/relationships/footer" Target="footer44.xml"/><Relationship Id="rId7" Type="http://schemas.openxmlformats.org/officeDocument/2006/relationships/footnotes" Target="footnotes.xml"/><Relationship Id="rId71" Type="http://schemas.openxmlformats.org/officeDocument/2006/relationships/footer" Target="footer17.xml"/><Relationship Id="rId92" Type="http://schemas.openxmlformats.org/officeDocument/2006/relationships/footer" Target="footer27.xml"/><Relationship Id="rId2" Type="http://schemas.openxmlformats.org/officeDocument/2006/relationships/numbering" Target="numbering.xml"/><Relationship Id="rId29" Type="http://schemas.openxmlformats.org/officeDocument/2006/relationships/header" Target="header11.xml"/><Relationship Id="rId24" Type="http://schemas.openxmlformats.org/officeDocument/2006/relationships/image" Target="media/image2.jpeg"/><Relationship Id="rId40" Type="http://schemas.openxmlformats.org/officeDocument/2006/relationships/footer" Target="footer9.xml"/><Relationship Id="rId45" Type="http://schemas.openxmlformats.org/officeDocument/2006/relationships/header" Target="header21.xml"/><Relationship Id="rId66" Type="http://schemas.openxmlformats.org/officeDocument/2006/relationships/footer" Target="footer16.xml"/><Relationship Id="rId87" Type="http://schemas.openxmlformats.org/officeDocument/2006/relationships/header" Target="header35.xml"/><Relationship Id="rId110" Type="http://schemas.openxmlformats.org/officeDocument/2006/relationships/header" Target="header45.xml"/><Relationship Id="rId115" Type="http://schemas.openxmlformats.org/officeDocument/2006/relationships/footer" Target="footer36.xml"/><Relationship Id="rId131" Type="http://schemas.openxmlformats.org/officeDocument/2006/relationships/header" Target="header57.xml"/><Relationship Id="rId136" Type="http://schemas.openxmlformats.org/officeDocument/2006/relationships/footer" Target="footer41.xml"/><Relationship Id="rId61" Type="http://schemas.openxmlformats.org/officeDocument/2006/relationships/image" Target="media/image14.jpeg"/><Relationship Id="rId82" Type="http://schemas.openxmlformats.org/officeDocument/2006/relationships/footer" Target="footer22.xml"/><Relationship Id="rId152" Type="http://schemas.openxmlformats.org/officeDocument/2006/relationships/fontTable" Target="fontTable.xml"/><Relationship Id="rId19" Type="http://schemas.openxmlformats.org/officeDocument/2006/relationships/header" Target="header6.xml"/><Relationship Id="rId14" Type="http://schemas.openxmlformats.org/officeDocument/2006/relationships/footer" Target="footer3.xml"/><Relationship Id="rId30" Type="http://schemas.openxmlformats.org/officeDocument/2006/relationships/footer" Target="footer6.xml"/><Relationship Id="rId35" Type="http://schemas.openxmlformats.org/officeDocument/2006/relationships/header" Target="header15.xml"/><Relationship Id="rId56" Type="http://schemas.openxmlformats.org/officeDocument/2006/relationships/image" Target="media/image9.wmf"/><Relationship Id="rId77" Type="http://schemas.openxmlformats.org/officeDocument/2006/relationships/header" Target="header30.xml"/><Relationship Id="rId100" Type="http://schemas.openxmlformats.org/officeDocument/2006/relationships/image" Target="media/image22.jpg"/><Relationship Id="rId105" Type="http://schemas.openxmlformats.org/officeDocument/2006/relationships/header" Target="header42.xml"/><Relationship Id="rId126" Type="http://schemas.openxmlformats.org/officeDocument/2006/relationships/footer" Target="footer39.xml"/><Relationship Id="rId147" Type="http://schemas.openxmlformats.org/officeDocument/2006/relationships/header" Target="header64.xml"/><Relationship Id="rId8" Type="http://schemas.openxmlformats.org/officeDocument/2006/relationships/endnotes" Target="endnotes.xml"/><Relationship Id="rId51" Type="http://schemas.openxmlformats.org/officeDocument/2006/relationships/header" Target="header24.xml"/><Relationship Id="rId72" Type="http://schemas.openxmlformats.org/officeDocument/2006/relationships/header" Target="header27.xml"/><Relationship Id="rId93" Type="http://schemas.openxmlformats.org/officeDocument/2006/relationships/header" Target="header38.xml"/><Relationship Id="rId98" Type="http://schemas.openxmlformats.org/officeDocument/2006/relationships/footer" Target="footer30.xml"/><Relationship Id="rId121" Type="http://schemas.openxmlformats.org/officeDocument/2006/relationships/footer" Target="footer38.xml"/><Relationship Id="rId142" Type="http://schemas.openxmlformats.org/officeDocument/2006/relationships/image" Target="media/image29.jpe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gal-content/EN/AUTO/?uri=uriserv:OJ.L_.2016.252.01.0053.01.ENG&amp;toc=OJ:L:2016:252:TOC"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64684D-DD78-47A1-90C6-9BE5834E66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869</Pages>
  <Words>138757</Words>
  <Characters>775652</Characters>
  <Application>Microsoft Office Word</Application>
  <DocSecurity>0</DocSecurity>
  <Lines>28727</Lines>
  <Paragraphs>13447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900962</CharactersWithSpaces>
  <SharedDoc>false</SharedDoc>
  <HLinks>
    <vt:vector size="1992" baseType="variant">
      <vt:variant>
        <vt:i4>1179700</vt:i4>
      </vt:variant>
      <vt:variant>
        <vt:i4>1988</vt:i4>
      </vt:variant>
      <vt:variant>
        <vt:i4>0</vt:i4>
      </vt:variant>
      <vt:variant>
        <vt:i4>5</vt:i4>
      </vt:variant>
      <vt:variant>
        <vt:lpwstr/>
      </vt:variant>
      <vt:variant>
        <vt:lpwstr>_Toc413918250</vt:lpwstr>
      </vt:variant>
      <vt:variant>
        <vt:i4>1245236</vt:i4>
      </vt:variant>
      <vt:variant>
        <vt:i4>1982</vt:i4>
      </vt:variant>
      <vt:variant>
        <vt:i4>0</vt:i4>
      </vt:variant>
      <vt:variant>
        <vt:i4>5</vt:i4>
      </vt:variant>
      <vt:variant>
        <vt:lpwstr/>
      </vt:variant>
      <vt:variant>
        <vt:lpwstr>_Toc413918249</vt:lpwstr>
      </vt:variant>
      <vt:variant>
        <vt:i4>1245236</vt:i4>
      </vt:variant>
      <vt:variant>
        <vt:i4>1976</vt:i4>
      </vt:variant>
      <vt:variant>
        <vt:i4>0</vt:i4>
      </vt:variant>
      <vt:variant>
        <vt:i4>5</vt:i4>
      </vt:variant>
      <vt:variant>
        <vt:lpwstr/>
      </vt:variant>
      <vt:variant>
        <vt:lpwstr>_Toc413918248</vt:lpwstr>
      </vt:variant>
      <vt:variant>
        <vt:i4>1245236</vt:i4>
      </vt:variant>
      <vt:variant>
        <vt:i4>1970</vt:i4>
      </vt:variant>
      <vt:variant>
        <vt:i4>0</vt:i4>
      </vt:variant>
      <vt:variant>
        <vt:i4>5</vt:i4>
      </vt:variant>
      <vt:variant>
        <vt:lpwstr/>
      </vt:variant>
      <vt:variant>
        <vt:lpwstr>_Toc413918247</vt:lpwstr>
      </vt:variant>
      <vt:variant>
        <vt:i4>1245236</vt:i4>
      </vt:variant>
      <vt:variant>
        <vt:i4>1964</vt:i4>
      </vt:variant>
      <vt:variant>
        <vt:i4>0</vt:i4>
      </vt:variant>
      <vt:variant>
        <vt:i4>5</vt:i4>
      </vt:variant>
      <vt:variant>
        <vt:lpwstr/>
      </vt:variant>
      <vt:variant>
        <vt:lpwstr>_Toc413918246</vt:lpwstr>
      </vt:variant>
      <vt:variant>
        <vt:i4>1245236</vt:i4>
      </vt:variant>
      <vt:variant>
        <vt:i4>1958</vt:i4>
      </vt:variant>
      <vt:variant>
        <vt:i4>0</vt:i4>
      </vt:variant>
      <vt:variant>
        <vt:i4>5</vt:i4>
      </vt:variant>
      <vt:variant>
        <vt:lpwstr/>
      </vt:variant>
      <vt:variant>
        <vt:lpwstr>_Toc413918245</vt:lpwstr>
      </vt:variant>
      <vt:variant>
        <vt:i4>1245236</vt:i4>
      </vt:variant>
      <vt:variant>
        <vt:i4>1952</vt:i4>
      </vt:variant>
      <vt:variant>
        <vt:i4>0</vt:i4>
      </vt:variant>
      <vt:variant>
        <vt:i4>5</vt:i4>
      </vt:variant>
      <vt:variant>
        <vt:lpwstr/>
      </vt:variant>
      <vt:variant>
        <vt:lpwstr>_Toc413918244</vt:lpwstr>
      </vt:variant>
      <vt:variant>
        <vt:i4>1245236</vt:i4>
      </vt:variant>
      <vt:variant>
        <vt:i4>1946</vt:i4>
      </vt:variant>
      <vt:variant>
        <vt:i4>0</vt:i4>
      </vt:variant>
      <vt:variant>
        <vt:i4>5</vt:i4>
      </vt:variant>
      <vt:variant>
        <vt:lpwstr/>
      </vt:variant>
      <vt:variant>
        <vt:lpwstr>_Toc413918243</vt:lpwstr>
      </vt:variant>
      <vt:variant>
        <vt:i4>1245236</vt:i4>
      </vt:variant>
      <vt:variant>
        <vt:i4>1940</vt:i4>
      </vt:variant>
      <vt:variant>
        <vt:i4>0</vt:i4>
      </vt:variant>
      <vt:variant>
        <vt:i4>5</vt:i4>
      </vt:variant>
      <vt:variant>
        <vt:lpwstr/>
      </vt:variant>
      <vt:variant>
        <vt:lpwstr>_Toc413918242</vt:lpwstr>
      </vt:variant>
      <vt:variant>
        <vt:i4>1245236</vt:i4>
      </vt:variant>
      <vt:variant>
        <vt:i4>1934</vt:i4>
      </vt:variant>
      <vt:variant>
        <vt:i4>0</vt:i4>
      </vt:variant>
      <vt:variant>
        <vt:i4>5</vt:i4>
      </vt:variant>
      <vt:variant>
        <vt:lpwstr/>
      </vt:variant>
      <vt:variant>
        <vt:lpwstr>_Toc413918241</vt:lpwstr>
      </vt:variant>
      <vt:variant>
        <vt:i4>1245236</vt:i4>
      </vt:variant>
      <vt:variant>
        <vt:i4>1928</vt:i4>
      </vt:variant>
      <vt:variant>
        <vt:i4>0</vt:i4>
      </vt:variant>
      <vt:variant>
        <vt:i4>5</vt:i4>
      </vt:variant>
      <vt:variant>
        <vt:lpwstr/>
      </vt:variant>
      <vt:variant>
        <vt:lpwstr>_Toc413918240</vt:lpwstr>
      </vt:variant>
      <vt:variant>
        <vt:i4>1310772</vt:i4>
      </vt:variant>
      <vt:variant>
        <vt:i4>1922</vt:i4>
      </vt:variant>
      <vt:variant>
        <vt:i4>0</vt:i4>
      </vt:variant>
      <vt:variant>
        <vt:i4>5</vt:i4>
      </vt:variant>
      <vt:variant>
        <vt:lpwstr/>
      </vt:variant>
      <vt:variant>
        <vt:lpwstr>_Toc413918239</vt:lpwstr>
      </vt:variant>
      <vt:variant>
        <vt:i4>1310772</vt:i4>
      </vt:variant>
      <vt:variant>
        <vt:i4>1916</vt:i4>
      </vt:variant>
      <vt:variant>
        <vt:i4>0</vt:i4>
      </vt:variant>
      <vt:variant>
        <vt:i4>5</vt:i4>
      </vt:variant>
      <vt:variant>
        <vt:lpwstr/>
      </vt:variant>
      <vt:variant>
        <vt:lpwstr>_Toc413918238</vt:lpwstr>
      </vt:variant>
      <vt:variant>
        <vt:i4>1310772</vt:i4>
      </vt:variant>
      <vt:variant>
        <vt:i4>1910</vt:i4>
      </vt:variant>
      <vt:variant>
        <vt:i4>0</vt:i4>
      </vt:variant>
      <vt:variant>
        <vt:i4>5</vt:i4>
      </vt:variant>
      <vt:variant>
        <vt:lpwstr/>
      </vt:variant>
      <vt:variant>
        <vt:lpwstr>_Toc413918237</vt:lpwstr>
      </vt:variant>
      <vt:variant>
        <vt:i4>1310772</vt:i4>
      </vt:variant>
      <vt:variant>
        <vt:i4>1904</vt:i4>
      </vt:variant>
      <vt:variant>
        <vt:i4>0</vt:i4>
      </vt:variant>
      <vt:variant>
        <vt:i4>5</vt:i4>
      </vt:variant>
      <vt:variant>
        <vt:lpwstr/>
      </vt:variant>
      <vt:variant>
        <vt:lpwstr>_Toc413918236</vt:lpwstr>
      </vt:variant>
      <vt:variant>
        <vt:i4>1310772</vt:i4>
      </vt:variant>
      <vt:variant>
        <vt:i4>1898</vt:i4>
      </vt:variant>
      <vt:variant>
        <vt:i4>0</vt:i4>
      </vt:variant>
      <vt:variant>
        <vt:i4>5</vt:i4>
      </vt:variant>
      <vt:variant>
        <vt:lpwstr/>
      </vt:variant>
      <vt:variant>
        <vt:lpwstr>_Toc413918235</vt:lpwstr>
      </vt:variant>
      <vt:variant>
        <vt:i4>1310772</vt:i4>
      </vt:variant>
      <vt:variant>
        <vt:i4>1892</vt:i4>
      </vt:variant>
      <vt:variant>
        <vt:i4>0</vt:i4>
      </vt:variant>
      <vt:variant>
        <vt:i4>5</vt:i4>
      </vt:variant>
      <vt:variant>
        <vt:lpwstr/>
      </vt:variant>
      <vt:variant>
        <vt:lpwstr>_Toc413918234</vt:lpwstr>
      </vt:variant>
      <vt:variant>
        <vt:i4>1310772</vt:i4>
      </vt:variant>
      <vt:variant>
        <vt:i4>1886</vt:i4>
      </vt:variant>
      <vt:variant>
        <vt:i4>0</vt:i4>
      </vt:variant>
      <vt:variant>
        <vt:i4>5</vt:i4>
      </vt:variant>
      <vt:variant>
        <vt:lpwstr/>
      </vt:variant>
      <vt:variant>
        <vt:lpwstr>_Toc413918233</vt:lpwstr>
      </vt:variant>
      <vt:variant>
        <vt:i4>1310772</vt:i4>
      </vt:variant>
      <vt:variant>
        <vt:i4>1880</vt:i4>
      </vt:variant>
      <vt:variant>
        <vt:i4>0</vt:i4>
      </vt:variant>
      <vt:variant>
        <vt:i4>5</vt:i4>
      </vt:variant>
      <vt:variant>
        <vt:lpwstr/>
      </vt:variant>
      <vt:variant>
        <vt:lpwstr>_Toc413918232</vt:lpwstr>
      </vt:variant>
      <vt:variant>
        <vt:i4>1310772</vt:i4>
      </vt:variant>
      <vt:variant>
        <vt:i4>1874</vt:i4>
      </vt:variant>
      <vt:variant>
        <vt:i4>0</vt:i4>
      </vt:variant>
      <vt:variant>
        <vt:i4>5</vt:i4>
      </vt:variant>
      <vt:variant>
        <vt:lpwstr/>
      </vt:variant>
      <vt:variant>
        <vt:lpwstr>_Toc413918231</vt:lpwstr>
      </vt:variant>
      <vt:variant>
        <vt:i4>1310772</vt:i4>
      </vt:variant>
      <vt:variant>
        <vt:i4>1868</vt:i4>
      </vt:variant>
      <vt:variant>
        <vt:i4>0</vt:i4>
      </vt:variant>
      <vt:variant>
        <vt:i4>5</vt:i4>
      </vt:variant>
      <vt:variant>
        <vt:lpwstr/>
      </vt:variant>
      <vt:variant>
        <vt:lpwstr>_Toc413918230</vt:lpwstr>
      </vt:variant>
      <vt:variant>
        <vt:i4>1376308</vt:i4>
      </vt:variant>
      <vt:variant>
        <vt:i4>1862</vt:i4>
      </vt:variant>
      <vt:variant>
        <vt:i4>0</vt:i4>
      </vt:variant>
      <vt:variant>
        <vt:i4>5</vt:i4>
      </vt:variant>
      <vt:variant>
        <vt:lpwstr/>
      </vt:variant>
      <vt:variant>
        <vt:lpwstr>_Toc413918229</vt:lpwstr>
      </vt:variant>
      <vt:variant>
        <vt:i4>1376308</vt:i4>
      </vt:variant>
      <vt:variant>
        <vt:i4>1856</vt:i4>
      </vt:variant>
      <vt:variant>
        <vt:i4>0</vt:i4>
      </vt:variant>
      <vt:variant>
        <vt:i4>5</vt:i4>
      </vt:variant>
      <vt:variant>
        <vt:lpwstr/>
      </vt:variant>
      <vt:variant>
        <vt:lpwstr>_Toc413918228</vt:lpwstr>
      </vt:variant>
      <vt:variant>
        <vt:i4>1376308</vt:i4>
      </vt:variant>
      <vt:variant>
        <vt:i4>1850</vt:i4>
      </vt:variant>
      <vt:variant>
        <vt:i4>0</vt:i4>
      </vt:variant>
      <vt:variant>
        <vt:i4>5</vt:i4>
      </vt:variant>
      <vt:variant>
        <vt:lpwstr/>
      </vt:variant>
      <vt:variant>
        <vt:lpwstr>_Toc413918227</vt:lpwstr>
      </vt:variant>
      <vt:variant>
        <vt:i4>1376308</vt:i4>
      </vt:variant>
      <vt:variant>
        <vt:i4>1844</vt:i4>
      </vt:variant>
      <vt:variant>
        <vt:i4>0</vt:i4>
      </vt:variant>
      <vt:variant>
        <vt:i4>5</vt:i4>
      </vt:variant>
      <vt:variant>
        <vt:lpwstr/>
      </vt:variant>
      <vt:variant>
        <vt:lpwstr>_Toc413918226</vt:lpwstr>
      </vt:variant>
      <vt:variant>
        <vt:i4>1376308</vt:i4>
      </vt:variant>
      <vt:variant>
        <vt:i4>1838</vt:i4>
      </vt:variant>
      <vt:variant>
        <vt:i4>0</vt:i4>
      </vt:variant>
      <vt:variant>
        <vt:i4>5</vt:i4>
      </vt:variant>
      <vt:variant>
        <vt:lpwstr/>
      </vt:variant>
      <vt:variant>
        <vt:lpwstr>_Toc413918225</vt:lpwstr>
      </vt:variant>
      <vt:variant>
        <vt:i4>1376308</vt:i4>
      </vt:variant>
      <vt:variant>
        <vt:i4>1832</vt:i4>
      </vt:variant>
      <vt:variant>
        <vt:i4>0</vt:i4>
      </vt:variant>
      <vt:variant>
        <vt:i4>5</vt:i4>
      </vt:variant>
      <vt:variant>
        <vt:lpwstr/>
      </vt:variant>
      <vt:variant>
        <vt:lpwstr>_Toc413918224</vt:lpwstr>
      </vt:variant>
      <vt:variant>
        <vt:i4>1376308</vt:i4>
      </vt:variant>
      <vt:variant>
        <vt:i4>1826</vt:i4>
      </vt:variant>
      <vt:variant>
        <vt:i4>0</vt:i4>
      </vt:variant>
      <vt:variant>
        <vt:i4>5</vt:i4>
      </vt:variant>
      <vt:variant>
        <vt:lpwstr/>
      </vt:variant>
      <vt:variant>
        <vt:lpwstr>_Toc413918223</vt:lpwstr>
      </vt:variant>
      <vt:variant>
        <vt:i4>1376308</vt:i4>
      </vt:variant>
      <vt:variant>
        <vt:i4>1820</vt:i4>
      </vt:variant>
      <vt:variant>
        <vt:i4>0</vt:i4>
      </vt:variant>
      <vt:variant>
        <vt:i4>5</vt:i4>
      </vt:variant>
      <vt:variant>
        <vt:lpwstr/>
      </vt:variant>
      <vt:variant>
        <vt:lpwstr>_Toc413918222</vt:lpwstr>
      </vt:variant>
      <vt:variant>
        <vt:i4>1376308</vt:i4>
      </vt:variant>
      <vt:variant>
        <vt:i4>1814</vt:i4>
      </vt:variant>
      <vt:variant>
        <vt:i4>0</vt:i4>
      </vt:variant>
      <vt:variant>
        <vt:i4>5</vt:i4>
      </vt:variant>
      <vt:variant>
        <vt:lpwstr/>
      </vt:variant>
      <vt:variant>
        <vt:lpwstr>_Toc413918221</vt:lpwstr>
      </vt:variant>
      <vt:variant>
        <vt:i4>1376308</vt:i4>
      </vt:variant>
      <vt:variant>
        <vt:i4>1808</vt:i4>
      </vt:variant>
      <vt:variant>
        <vt:i4>0</vt:i4>
      </vt:variant>
      <vt:variant>
        <vt:i4>5</vt:i4>
      </vt:variant>
      <vt:variant>
        <vt:lpwstr/>
      </vt:variant>
      <vt:variant>
        <vt:lpwstr>_Toc413918220</vt:lpwstr>
      </vt:variant>
      <vt:variant>
        <vt:i4>1441844</vt:i4>
      </vt:variant>
      <vt:variant>
        <vt:i4>1802</vt:i4>
      </vt:variant>
      <vt:variant>
        <vt:i4>0</vt:i4>
      </vt:variant>
      <vt:variant>
        <vt:i4>5</vt:i4>
      </vt:variant>
      <vt:variant>
        <vt:lpwstr/>
      </vt:variant>
      <vt:variant>
        <vt:lpwstr>_Toc413918219</vt:lpwstr>
      </vt:variant>
      <vt:variant>
        <vt:i4>1441844</vt:i4>
      </vt:variant>
      <vt:variant>
        <vt:i4>1796</vt:i4>
      </vt:variant>
      <vt:variant>
        <vt:i4>0</vt:i4>
      </vt:variant>
      <vt:variant>
        <vt:i4>5</vt:i4>
      </vt:variant>
      <vt:variant>
        <vt:lpwstr/>
      </vt:variant>
      <vt:variant>
        <vt:lpwstr>_Toc413918218</vt:lpwstr>
      </vt:variant>
      <vt:variant>
        <vt:i4>1441844</vt:i4>
      </vt:variant>
      <vt:variant>
        <vt:i4>1790</vt:i4>
      </vt:variant>
      <vt:variant>
        <vt:i4>0</vt:i4>
      </vt:variant>
      <vt:variant>
        <vt:i4>5</vt:i4>
      </vt:variant>
      <vt:variant>
        <vt:lpwstr/>
      </vt:variant>
      <vt:variant>
        <vt:lpwstr>_Toc413918217</vt:lpwstr>
      </vt:variant>
      <vt:variant>
        <vt:i4>1441844</vt:i4>
      </vt:variant>
      <vt:variant>
        <vt:i4>1784</vt:i4>
      </vt:variant>
      <vt:variant>
        <vt:i4>0</vt:i4>
      </vt:variant>
      <vt:variant>
        <vt:i4>5</vt:i4>
      </vt:variant>
      <vt:variant>
        <vt:lpwstr/>
      </vt:variant>
      <vt:variant>
        <vt:lpwstr>_Toc413918216</vt:lpwstr>
      </vt:variant>
      <vt:variant>
        <vt:i4>1441844</vt:i4>
      </vt:variant>
      <vt:variant>
        <vt:i4>1778</vt:i4>
      </vt:variant>
      <vt:variant>
        <vt:i4>0</vt:i4>
      </vt:variant>
      <vt:variant>
        <vt:i4>5</vt:i4>
      </vt:variant>
      <vt:variant>
        <vt:lpwstr/>
      </vt:variant>
      <vt:variant>
        <vt:lpwstr>_Toc413918215</vt:lpwstr>
      </vt:variant>
      <vt:variant>
        <vt:i4>1441844</vt:i4>
      </vt:variant>
      <vt:variant>
        <vt:i4>1772</vt:i4>
      </vt:variant>
      <vt:variant>
        <vt:i4>0</vt:i4>
      </vt:variant>
      <vt:variant>
        <vt:i4>5</vt:i4>
      </vt:variant>
      <vt:variant>
        <vt:lpwstr/>
      </vt:variant>
      <vt:variant>
        <vt:lpwstr>_Toc413918214</vt:lpwstr>
      </vt:variant>
      <vt:variant>
        <vt:i4>1441844</vt:i4>
      </vt:variant>
      <vt:variant>
        <vt:i4>1766</vt:i4>
      </vt:variant>
      <vt:variant>
        <vt:i4>0</vt:i4>
      </vt:variant>
      <vt:variant>
        <vt:i4>5</vt:i4>
      </vt:variant>
      <vt:variant>
        <vt:lpwstr/>
      </vt:variant>
      <vt:variant>
        <vt:lpwstr>_Toc413918213</vt:lpwstr>
      </vt:variant>
      <vt:variant>
        <vt:i4>1441844</vt:i4>
      </vt:variant>
      <vt:variant>
        <vt:i4>1760</vt:i4>
      </vt:variant>
      <vt:variant>
        <vt:i4>0</vt:i4>
      </vt:variant>
      <vt:variant>
        <vt:i4>5</vt:i4>
      </vt:variant>
      <vt:variant>
        <vt:lpwstr/>
      </vt:variant>
      <vt:variant>
        <vt:lpwstr>_Toc413918212</vt:lpwstr>
      </vt:variant>
      <vt:variant>
        <vt:i4>1441844</vt:i4>
      </vt:variant>
      <vt:variant>
        <vt:i4>1754</vt:i4>
      </vt:variant>
      <vt:variant>
        <vt:i4>0</vt:i4>
      </vt:variant>
      <vt:variant>
        <vt:i4>5</vt:i4>
      </vt:variant>
      <vt:variant>
        <vt:lpwstr/>
      </vt:variant>
      <vt:variant>
        <vt:lpwstr>_Toc413918211</vt:lpwstr>
      </vt:variant>
      <vt:variant>
        <vt:i4>1441844</vt:i4>
      </vt:variant>
      <vt:variant>
        <vt:i4>1748</vt:i4>
      </vt:variant>
      <vt:variant>
        <vt:i4>0</vt:i4>
      </vt:variant>
      <vt:variant>
        <vt:i4>5</vt:i4>
      </vt:variant>
      <vt:variant>
        <vt:lpwstr/>
      </vt:variant>
      <vt:variant>
        <vt:lpwstr>_Toc413918210</vt:lpwstr>
      </vt:variant>
      <vt:variant>
        <vt:i4>1507380</vt:i4>
      </vt:variant>
      <vt:variant>
        <vt:i4>1742</vt:i4>
      </vt:variant>
      <vt:variant>
        <vt:i4>0</vt:i4>
      </vt:variant>
      <vt:variant>
        <vt:i4>5</vt:i4>
      </vt:variant>
      <vt:variant>
        <vt:lpwstr/>
      </vt:variant>
      <vt:variant>
        <vt:lpwstr>_Toc413918209</vt:lpwstr>
      </vt:variant>
      <vt:variant>
        <vt:i4>1507380</vt:i4>
      </vt:variant>
      <vt:variant>
        <vt:i4>1736</vt:i4>
      </vt:variant>
      <vt:variant>
        <vt:i4>0</vt:i4>
      </vt:variant>
      <vt:variant>
        <vt:i4>5</vt:i4>
      </vt:variant>
      <vt:variant>
        <vt:lpwstr/>
      </vt:variant>
      <vt:variant>
        <vt:lpwstr>_Toc413918208</vt:lpwstr>
      </vt:variant>
      <vt:variant>
        <vt:i4>1507380</vt:i4>
      </vt:variant>
      <vt:variant>
        <vt:i4>1730</vt:i4>
      </vt:variant>
      <vt:variant>
        <vt:i4>0</vt:i4>
      </vt:variant>
      <vt:variant>
        <vt:i4>5</vt:i4>
      </vt:variant>
      <vt:variant>
        <vt:lpwstr/>
      </vt:variant>
      <vt:variant>
        <vt:lpwstr>_Toc413918207</vt:lpwstr>
      </vt:variant>
      <vt:variant>
        <vt:i4>1507380</vt:i4>
      </vt:variant>
      <vt:variant>
        <vt:i4>1724</vt:i4>
      </vt:variant>
      <vt:variant>
        <vt:i4>0</vt:i4>
      </vt:variant>
      <vt:variant>
        <vt:i4>5</vt:i4>
      </vt:variant>
      <vt:variant>
        <vt:lpwstr/>
      </vt:variant>
      <vt:variant>
        <vt:lpwstr>_Toc413918206</vt:lpwstr>
      </vt:variant>
      <vt:variant>
        <vt:i4>1507380</vt:i4>
      </vt:variant>
      <vt:variant>
        <vt:i4>1718</vt:i4>
      </vt:variant>
      <vt:variant>
        <vt:i4>0</vt:i4>
      </vt:variant>
      <vt:variant>
        <vt:i4>5</vt:i4>
      </vt:variant>
      <vt:variant>
        <vt:lpwstr/>
      </vt:variant>
      <vt:variant>
        <vt:lpwstr>_Toc413918205</vt:lpwstr>
      </vt:variant>
      <vt:variant>
        <vt:i4>1507380</vt:i4>
      </vt:variant>
      <vt:variant>
        <vt:i4>1712</vt:i4>
      </vt:variant>
      <vt:variant>
        <vt:i4>0</vt:i4>
      </vt:variant>
      <vt:variant>
        <vt:i4>5</vt:i4>
      </vt:variant>
      <vt:variant>
        <vt:lpwstr/>
      </vt:variant>
      <vt:variant>
        <vt:lpwstr>_Toc413918204</vt:lpwstr>
      </vt:variant>
      <vt:variant>
        <vt:i4>1507380</vt:i4>
      </vt:variant>
      <vt:variant>
        <vt:i4>1706</vt:i4>
      </vt:variant>
      <vt:variant>
        <vt:i4>0</vt:i4>
      </vt:variant>
      <vt:variant>
        <vt:i4>5</vt:i4>
      </vt:variant>
      <vt:variant>
        <vt:lpwstr/>
      </vt:variant>
      <vt:variant>
        <vt:lpwstr>_Toc413918203</vt:lpwstr>
      </vt:variant>
      <vt:variant>
        <vt:i4>1507380</vt:i4>
      </vt:variant>
      <vt:variant>
        <vt:i4>1700</vt:i4>
      </vt:variant>
      <vt:variant>
        <vt:i4>0</vt:i4>
      </vt:variant>
      <vt:variant>
        <vt:i4>5</vt:i4>
      </vt:variant>
      <vt:variant>
        <vt:lpwstr/>
      </vt:variant>
      <vt:variant>
        <vt:lpwstr>_Toc413918202</vt:lpwstr>
      </vt:variant>
      <vt:variant>
        <vt:i4>1507380</vt:i4>
      </vt:variant>
      <vt:variant>
        <vt:i4>1694</vt:i4>
      </vt:variant>
      <vt:variant>
        <vt:i4>0</vt:i4>
      </vt:variant>
      <vt:variant>
        <vt:i4>5</vt:i4>
      </vt:variant>
      <vt:variant>
        <vt:lpwstr/>
      </vt:variant>
      <vt:variant>
        <vt:lpwstr>_Toc413918201</vt:lpwstr>
      </vt:variant>
      <vt:variant>
        <vt:i4>1507380</vt:i4>
      </vt:variant>
      <vt:variant>
        <vt:i4>1688</vt:i4>
      </vt:variant>
      <vt:variant>
        <vt:i4>0</vt:i4>
      </vt:variant>
      <vt:variant>
        <vt:i4>5</vt:i4>
      </vt:variant>
      <vt:variant>
        <vt:lpwstr/>
      </vt:variant>
      <vt:variant>
        <vt:lpwstr>_Toc413918200</vt:lpwstr>
      </vt:variant>
      <vt:variant>
        <vt:i4>1966135</vt:i4>
      </vt:variant>
      <vt:variant>
        <vt:i4>1682</vt:i4>
      </vt:variant>
      <vt:variant>
        <vt:i4>0</vt:i4>
      </vt:variant>
      <vt:variant>
        <vt:i4>5</vt:i4>
      </vt:variant>
      <vt:variant>
        <vt:lpwstr/>
      </vt:variant>
      <vt:variant>
        <vt:lpwstr>_Toc413918199</vt:lpwstr>
      </vt:variant>
      <vt:variant>
        <vt:i4>1966135</vt:i4>
      </vt:variant>
      <vt:variant>
        <vt:i4>1676</vt:i4>
      </vt:variant>
      <vt:variant>
        <vt:i4>0</vt:i4>
      </vt:variant>
      <vt:variant>
        <vt:i4>5</vt:i4>
      </vt:variant>
      <vt:variant>
        <vt:lpwstr/>
      </vt:variant>
      <vt:variant>
        <vt:lpwstr>_Toc413918198</vt:lpwstr>
      </vt:variant>
      <vt:variant>
        <vt:i4>1966135</vt:i4>
      </vt:variant>
      <vt:variant>
        <vt:i4>1670</vt:i4>
      </vt:variant>
      <vt:variant>
        <vt:i4>0</vt:i4>
      </vt:variant>
      <vt:variant>
        <vt:i4>5</vt:i4>
      </vt:variant>
      <vt:variant>
        <vt:lpwstr/>
      </vt:variant>
      <vt:variant>
        <vt:lpwstr>_Toc413918197</vt:lpwstr>
      </vt:variant>
      <vt:variant>
        <vt:i4>1966135</vt:i4>
      </vt:variant>
      <vt:variant>
        <vt:i4>1664</vt:i4>
      </vt:variant>
      <vt:variant>
        <vt:i4>0</vt:i4>
      </vt:variant>
      <vt:variant>
        <vt:i4>5</vt:i4>
      </vt:variant>
      <vt:variant>
        <vt:lpwstr/>
      </vt:variant>
      <vt:variant>
        <vt:lpwstr>_Toc413918196</vt:lpwstr>
      </vt:variant>
      <vt:variant>
        <vt:i4>1966135</vt:i4>
      </vt:variant>
      <vt:variant>
        <vt:i4>1658</vt:i4>
      </vt:variant>
      <vt:variant>
        <vt:i4>0</vt:i4>
      </vt:variant>
      <vt:variant>
        <vt:i4>5</vt:i4>
      </vt:variant>
      <vt:variant>
        <vt:lpwstr/>
      </vt:variant>
      <vt:variant>
        <vt:lpwstr>_Toc413918195</vt:lpwstr>
      </vt:variant>
      <vt:variant>
        <vt:i4>1966135</vt:i4>
      </vt:variant>
      <vt:variant>
        <vt:i4>1652</vt:i4>
      </vt:variant>
      <vt:variant>
        <vt:i4>0</vt:i4>
      </vt:variant>
      <vt:variant>
        <vt:i4>5</vt:i4>
      </vt:variant>
      <vt:variant>
        <vt:lpwstr/>
      </vt:variant>
      <vt:variant>
        <vt:lpwstr>_Toc413918194</vt:lpwstr>
      </vt:variant>
      <vt:variant>
        <vt:i4>1966135</vt:i4>
      </vt:variant>
      <vt:variant>
        <vt:i4>1646</vt:i4>
      </vt:variant>
      <vt:variant>
        <vt:i4>0</vt:i4>
      </vt:variant>
      <vt:variant>
        <vt:i4>5</vt:i4>
      </vt:variant>
      <vt:variant>
        <vt:lpwstr/>
      </vt:variant>
      <vt:variant>
        <vt:lpwstr>_Toc413918193</vt:lpwstr>
      </vt:variant>
      <vt:variant>
        <vt:i4>1966135</vt:i4>
      </vt:variant>
      <vt:variant>
        <vt:i4>1640</vt:i4>
      </vt:variant>
      <vt:variant>
        <vt:i4>0</vt:i4>
      </vt:variant>
      <vt:variant>
        <vt:i4>5</vt:i4>
      </vt:variant>
      <vt:variant>
        <vt:lpwstr/>
      </vt:variant>
      <vt:variant>
        <vt:lpwstr>_Toc413918192</vt:lpwstr>
      </vt:variant>
      <vt:variant>
        <vt:i4>1966135</vt:i4>
      </vt:variant>
      <vt:variant>
        <vt:i4>1634</vt:i4>
      </vt:variant>
      <vt:variant>
        <vt:i4>0</vt:i4>
      </vt:variant>
      <vt:variant>
        <vt:i4>5</vt:i4>
      </vt:variant>
      <vt:variant>
        <vt:lpwstr/>
      </vt:variant>
      <vt:variant>
        <vt:lpwstr>_Toc413918191</vt:lpwstr>
      </vt:variant>
      <vt:variant>
        <vt:i4>1966135</vt:i4>
      </vt:variant>
      <vt:variant>
        <vt:i4>1628</vt:i4>
      </vt:variant>
      <vt:variant>
        <vt:i4>0</vt:i4>
      </vt:variant>
      <vt:variant>
        <vt:i4>5</vt:i4>
      </vt:variant>
      <vt:variant>
        <vt:lpwstr/>
      </vt:variant>
      <vt:variant>
        <vt:lpwstr>_Toc413918190</vt:lpwstr>
      </vt:variant>
      <vt:variant>
        <vt:i4>2031671</vt:i4>
      </vt:variant>
      <vt:variant>
        <vt:i4>1622</vt:i4>
      </vt:variant>
      <vt:variant>
        <vt:i4>0</vt:i4>
      </vt:variant>
      <vt:variant>
        <vt:i4>5</vt:i4>
      </vt:variant>
      <vt:variant>
        <vt:lpwstr/>
      </vt:variant>
      <vt:variant>
        <vt:lpwstr>_Toc413918189</vt:lpwstr>
      </vt:variant>
      <vt:variant>
        <vt:i4>2031671</vt:i4>
      </vt:variant>
      <vt:variant>
        <vt:i4>1616</vt:i4>
      </vt:variant>
      <vt:variant>
        <vt:i4>0</vt:i4>
      </vt:variant>
      <vt:variant>
        <vt:i4>5</vt:i4>
      </vt:variant>
      <vt:variant>
        <vt:lpwstr/>
      </vt:variant>
      <vt:variant>
        <vt:lpwstr>_Toc413918188</vt:lpwstr>
      </vt:variant>
      <vt:variant>
        <vt:i4>2031671</vt:i4>
      </vt:variant>
      <vt:variant>
        <vt:i4>1610</vt:i4>
      </vt:variant>
      <vt:variant>
        <vt:i4>0</vt:i4>
      </vt:variant>
      <vt:variant>
        <vt:i4>5</vt:i4>
      </vt:variant>
      <vt:variant>
        <vt:lpwstr/>
      </vt:variant>
      <vt:variant>
        <vt:lpwstr>_Toc413918187</vt:lpwstr>
      </vt:variant>
      <vt:variant>
        <vt:i4>2031671</vt:i4>
      </vt:variant>
      <vt:variant>
        <vt:i4>1604</vt:i4>
      </vt:variant>
      <vt:variant>
        <vt:i4>0</vt:i4>
      </vt:variant>
      <vt:variant>
        <vt:i4>5</vt:i4>
      </vt:variant>
      <vt:variant>
        <vt:lpwstr/>
      </vt:variant>
      <vt:variant>
        <vt:lpwstr>_Toc413918186</vt:lpwstr>
      </vt:variant>
      <vt:variant>
        <vt:i4>2031671</vt:i4>
      </vt:variant>
      <vt:variant>
        <vt:i4>1598</vt:i4>
      </vt:variant>
      <vt:variant>
        <vt:i4>0</vt:i4>
      </vt:variant>
      <vt:variant>
        <vt:i4>5</vt:i4>
      </vt:variant>
      <vt:variant>
        <vt:lpwstr/>
      </vt:variant>
      <vt:variant>
        <vt:lpwstr>_Toc413918185</vt:lpwstr>
      </vt:variant>
      <vt:variant>
        <vt:i4>2031671</vt:i4>
      </vt:variant>
      <vt:variant>
        <vt:i4>1592</vt:i4>
      </vt:variant>
      <vt:variant>
        <vt:i4>0</vt:i4>
      </vt:variant>
      <vt:variant>
        <vt:i4>5</vt:i4>
      </vt:variant>
      <vt:variant>
        <vt:lpwstr/>
      </vt:variant>
      <vt:variant>
        <vt:lpwstr>_Toc413918184</vt:lpwstr>
      </vt:variant>
      <vt:variant>
        <vt:i4>2031671</vt:i4>
      </vt:variant>
      <vt:variant>
        <vt:i4>1586</vt:i4>
      </vt:variant>
      <vt:variant>
        <vt:i4>0</vt:i4>
      </vt:variant>
      <vt:variant>
        <vt:i4>5</vt:i4>
      </vt:variant>
      <vt:variant>
        <vt:lpwstr/>
      </vt:variant>
      <vt:variant>
        <vt:lpwstr>_Toc413918183</vt:lpwstr>
      </vt:variant>
      <vt:variant>
        <vt:i4>2031671</vt:i4>
      </vt:variant>
      <vt:variant>
        <vt:i4>1580</vt:i4>
      </vt:variant>
      <vt:variant>
        <vt:i4>0</vt:i4>
      </vt:variant>
      <vt:variant>
        <vt:i4>5</vt:i4>
      </vt:variant>
      <vt:variant>
        <vt:lpwstr/>
      </vt:variant>
      <vt:variant>
        <vt:lpwstr>_Toc413918182</vt:lpwstr>
      </vt:variant>
      <vt:variant>
        <vt:i4>2031671</vt:i4>
      </vt:variant>
      <vt:variant>
        <vt:i4>1574</vt:i4>
      </vt:variant>
      <vt:variant>
        <vt:i4>0</vt:i4>
      </vt:variant>
      <vt:variant>
        <vt:i4>5</vt:i4>
      </vt:variant>
      <vt:variant>
        <vt:lpwstr/>
      </vt:variant>
      <vt:variant>
        <vt:lpwstr>_Toc413918181</vt:lpwstr>
      </vt:variant>
      <vt:variant>
        <vt:i4>2031671</vt:i4>
      </vt:variant>
      <vt:variant>
        <vt:i4>1568</vt:i4>
      </vt:variant>
      <vt:variant>
        <vt:i4>0</vt:i4>
      </vt:variant>
      <vt:variant>
        <vt:i4>5</vt:i4>
      </vt:variant>
      <vt:variant>
        <vt:lpwstr/>
      </vt:variant>
      <vt:variant>
        <vt:lpwstr>_Toc413918180</vt:lpwstr>
      </vt:variant>
      <vt:variant>
        <vt:i4>1048631</vt:i4>
      </vt:variant>
      <vt:variant>
        <vt:i4>1562</vt:i4>
      </vt:variant>
      <vt:variant>
        <vt:i4>0</vt:i4>
      </vt:variant>
      <vt:variant>
        <vt:i4>5</vt:i4>
      </vt:variant>
      <vt:variant>
        <vt:lpwstr/>
      </vt:variant>
      <vt:variant>
        <vt:lpwstr>_Toc413918179</vt:lpwstr>
      </vt:variant>
      <vt:variant>
        <vt:i4>1048631</vt:i4>
      </vt:variant>
      <vt:variant>
        <vt:i4>1556</vt:i4>
      </vt:variant>
      <vt:variant>
        <vt:i4>0</vt:i4>
      </vt:variant>
      <vt:variant>
        <vt:i4>5</vt:i4>
      </vt:variant>
      <vt:variant>
        <vt:lpwstr/>
      </vt:variant>
      <vt:variant>
        <vt:lpwstr>_Toc413918178</vt:lpwstr>
      </vt:variant>
      <vt:variant>
        <vt:i4>1048631</vt:i4>
      </vt:variant>
      <vt:variant>
        <vt:i4>1550</vt:i4>
      </vt:variant>
      <vt:variant>
        <vt:i4>0</vt:i4>
      </vt:variant>
      <vt:variant>
        <vt:i4>5</vt:i4>
      </vt:variant>
      <vt:variant>
        <vt:lpwstr/>
      </vt:variant>
      <vt:variant>
        <vt:lpwstr>_Toc413918177</vt:lpwstr>
      </vt:variant>
      <vt:variant>
        <vt:i4>1048631</vt:i4>
      </vt:variant>
      <vt:variant>
        <vt:i4>1544</vt:i4>
      </vt:variant>
      <vt:variant>
        <vt:i4>0</vt:i4>
      </vt:variant>
      <vt:variant>
        <vt:i4>5</vt:i4>
      </vt:variant>
      <vt:variant>
        <vt:lpwstr/>
      </vt:variant>
      <vt:variant>
        <vt:lpwstr>_Toc413918176</vt:lpwstr>
      </vt:variant>
      <vt:variant>
        <vt:i4>1048631</vt:i4>
      </vt:variant>
      <vt:variant>
        <vt:i4>1538</vt:i4>
      </vt:variant>
      <vt:variant>
        <vt:i4>0</vt:i4>
      </vt:variant>
      <vt:variant>
        <vt:i4>5</vt:i4>
      </vt:variant>
      <vt:variant>
        <vt:lpwstr/>
      </vt:variant>
      <vt:variant>
        <vt:lpwstr>_Toc413918175</vt:lpwstr>
      </vt:variant>
      <vt:variant>
        <vt:i4>1048631</vt:i4>
      </vt:variant>
      <vt:variant>
        <vt:i4>1532</vt:i4>
      </vt:variant>
      <vt:variant>
        <vt:i4>0</vt:i4>
      </vt:variant>
      <vt:variant>
        <vt:i4>5</vt:i4>
      </vt:variant>
      <vt:variant>
        <vt:lpwstr/>
      </vt:variant>
      <vt:variant>
        <vt:lpwstr>_Toc413918174</vt:lpwstr>
      </vt:variant>
      <vt:variant>
        <vt:i4>1048631</vt:i4>
      </vt:variant>
      <vt:variant>
        <vt:i4>1526</vt:i4>
      </vt:variant>
      <vt:variant>
        <vt:i4>0</vt:i4>
      </vt:variant>
      <vt:variant>
        <vt:i4>5</vt:i4>
      </vt:variant>
      <vt:variant>
        <vt:lpwstr/>
      </vt:variant>
      <vt:variant>
        <vt:lpwstr>_Toc413918173</vt:lpwstr>
      </vt:variant>
      <vt:variant>
        <vt:i4>1048631</vt:i4>
      </vt:variant>
      <vt:variant>
        <vt:i4>1520</vt:i4>
      </vt:variant>
      <vt:variant>
        <vt:i4>0</vt:i4>
      </vt:variant>
      <vt:variant>
        <vt:i4>5</vt:i4>
      </vt:variant>
      <vt:variant>
        <vt:lpwstr/>
      </vt:variant>
      <vt:variant>
        <vt:lpwstr>_Toc413918172</vt:lpwstr>
      </vt:variant>
      <vt:variant>
        <vt:i4>1048631</vt:i4>
      </vt:variant>
      <vt:variant>
        <vt:i4>1514</vt:i4>
      </vt:variant>
      <vt:variant>
        <vt:i4>0</vt:i4>
      </vt:variant>
      <vt:variant>
        <vt:i4>5</vt:i4>
      </vt:variant>
      <vt:variant>
        <vt:lpwstr/>
      </vt:variant>
      <vt:variant>
        <vt:lpwstr>_Toc413918171</vt:lpwstr>
      </vt:variant>
      <vt:variant>
        <vt:i4>1048631</vt:i4>
      </vt:variant>
      <vt:variant>
        <vt:i4>1508</vt:i4>
      </vt:variant>
      <vt:variant>
        <vt:i4>0</vt:i4>
      </vt:variant>
      <vt:variant>
        <vt:i4>5</vt:i4>
      </vt:variant>
      <vt:variant>
        <vt:lpwstr/>
      </vt:variant>
      <vt:variant>
        <vt:lpwstr>_Toc413918170</vt:lpwstr>
      </vt:variant>
      <vt:variant>
        <vt:i4>1114167</vt:i4>
      </vt:variant>
      <vt:variant>
        <vt:i4>1502</vt:i4>
      </vt:variant>
      <vt:variant>
        <vt:i4>0</vt:i4>
      </vt:variant>
      <vt:variant>
        <vt:i4>5</vt:i4>
      </vt:variant>
      <vt:variant>
        <vt:lpwstr/>
      </vt:variant>
      <vt:variant>
        <vt:lpwstr>_Toc413918169</vt:lpwstr>
      </vt:variant>
      <vt:variant>
        <vt:i4>1114167</vt:i4>
      </vt:variant>
      <vt:variant>
        <vt:i4>1496</vt:i4>
      </vt:variant>
      <vt:variant>
        <vt:i4>0</vt:i4>
      </vt:variant>
      <vt:variant>
        <vt:i4>5</vt:i4>
      </vt:variant>
      <vt:variant>
        <vt:lpwstr/>
      </vt:variant>
      <vt:variant>
        <vt:lpwstr>_Toc413918168</vt:lpwstr>
      </vt:variant>
      <vt:variant>
        <vt:i4>1114167</vt:i4>
      </vt:variant>
      <vt:variant>
        <vt:i4>1490</vt:i4>
      </vt:variant>
      <vt:variant>
        <vt:i4>0</vt:i4>
      </vt:variant>
      <vt:variant>
        <vt:i4>5</vt:i4>
      </vt:variant>
      <vt:variant>
        <vt:lpwstr/>
      </vt:variant>
      <vt:variant>
        <vt:lpwstr>_Toc413918167</vt:lpwstr>
      </vt:variant>
      <vt:variant>
        <vt:i4>1114167</vt:i4>
      </vt:variant>
      <vt:variant>
        <vt:i4>1484</vt:i4>
      </vt:variant>
      <vt:variant>
        <vt:i4>0</vt:i4>
      </vt:variant>
      <vt:variant>
        <vt:i4>5</vt:i4>
      </vt:variant>
      <vt:variant>
        <vt:lpwstr/>
      </vt:variant>
      <vt:variant>
        <vt:lpwstr>_Toc413918166</vt:lpwstr>
      </vt:variant>
      <vt:variant>
        <vt:i4>1114167</vt:i4>
      </vt:variant>
      <vt:variant>
        <vt:i4>1478</vt:i4>
      </vt:variant>
      <vt:variant>
        <vt:i4>0</vt:i4>
      </vt:variant>
      <vt:variant>
        <vt:i4>5</vt:i4>
      </vt:variant>
      <vt:variant>
        <vt:lpwstr/>
      </vt:variant>
      <vt:variant>
        <vt:lpwstr>_Toc413918165</vt:lpwstr>
      </vt:variant>
      <vt:variant>
        <vt:i4>1114167</vt:i4>
      </vt:variant>
      <vt:variant>
        <vt:i4>1472</vt:i4>
      </vt:variant>
      <vt:variant>
        <vt:i4>0</vt:i4>
      </vt:variant>
      <vt:variant>
        <vt:i4>5</vt:i4>
      </vt:variant>
      <vt:variant>
        <vt:lpwstr/>
      </vt:variant>
      <vt:variant>
        <vt:lpwstr>_Toc413918164</vt:lpwstr>
      </vt:variant>
      <vt:variant>
        <vt:i4>1114167</vt:i4>
      </vt:variant>
      <vt:variant>
        <vt:i4>1466</vt:i4>
      </vt:variant>
      <vt:variant>
        <vt:i4>0</vt:i4>
      </vt:variant>
      <vt:variant>
        <vt:i4>5</vt:i4>
      </vt:variant>
      <vt:variant>
        <vt:lpwstr/>
      </vt:variant>
      <vt:variant>
        <vt:lpwstr>_Toc413918163</vt:lpwstr>
      </vt:variant>
      <vt:variant>
        <vt:i4>1114167</vt:i4>
      </vt:variant>
      <vt:variant>
        <vt:i4>1460</vt:i4>
      </vt:variant>
      <vt:variant>
        <vt:i4>0</vt:i4>
      </vt:variant>
      <vt:variant>
        <vt:i4>5</vt:i4>
      </vt:variant>
      <vt:variant>
        <vt:lpwstr/>
      </vt:variant>
      <vt:variant>
        <vt:lpwstr>_Toc413918162</vt:lpwstr>
      </vt:variant>
      <vt:variant>
        <vt:i4>1114167</vt:i4>
      </vt:variant>
      <vt:variant>
        <vt:i4>1454</vt:i4>
      </vt:variant>
      <vt:variant>
        <vt:i4>0</vt:i4>
      </vt:variant>
      <vt:variant>
        <vt:i4>5</vt:i4>
      </vt:variant>
      <vt:variant>
        <vt:lpwstr/>
      </vt:variant>
      <vt:variant>
        <vt:lpwstr>_Toc413918161</vt:lpwstr>
      </vt:variant>
      <vt:variant>
        <vt:i4>1114167</vt:i4>
      </vt:variant>
      <vt:variant>
        <vt:i4>1448</vt:i4>
      </vt:variant>
      <vt:variant>
        <vt:i4>0</vt:i4>
      </vt:variant>
      <vt:variant>
        <vt:i4>5</vt:i4>
      </vt:variant>
      <vt:variant>
        <vt:lpwstr/>
      </vt:variant>
      <vt:variant>
        <vt:lpwstr>_Toc413918160</vt:lpwstr>
      </vt:variant>
      <vt:variant>
        <vt:i4>1179703</vt:i4>
      </vt:variant>
      <vt:variant>
        <vt:i4>1442</vt:i4>
      </vt:variant>
      <vt:variant>
        <vt:i4>0</vt:i4>
      </vt:variant>
      <vt:variant>
        <vt:i4>5</vt:i4>
      </vt:variant>
      <vt:variant>
        <vt:lpwstr/>
      </vt:variant>
      <vt:variant>
        <vt:lpwstr>_Toc413918159</vt:lpwstr>
      </vt:variant>
      <vt:variant>
        <vt:i4>1179703</vt:i4>
      </vt:variant>
      <vt:variant>
        <vt:i4>1436</vt:i4>
      </vt:variant>
      <vt:variant>
        <vt:i4>0</vt:i4>
      </vt:variant>
      <vt:variant>
        <vt:i4>5</vt:i4>
      </vt:variant>
      <vt:variant>
        <vt:lpwstr/>
      </vt:variant>
      <vt:variant>
        <vt:lpwstr>_Toc413918158</vt:lpwstr>
      </vt:variant>
      <vt:variant>
        <vt:i4>1179703</vt:i4>
      </vt:variant>
      <vt:variant>
        <vt:i4>1430</vt:i4>
      </vt:variant>
      <vt:variant>
        <vt:i4>0</vt:i4>
      </vt:variant>
      <vt:variant>
        <vt:i4>5</vt:i4>
      </vt:variant>
      <vt:variant>
        <vt:lpwstr/>
      </vt:variant>
      <vt:variant>
        <vt:lpwstr>_Toc413918157</vt:lpwstr>
      </vt:variant>
      <vt:variant>
        <vt:i4>1179703</vt:i4>
      </vt:variant>
      <vt:variant>
        <vt:i4>1424</vt:i4>
      </vt:variant>
      <vt:variant>
        <vt:i4>0</vt:i4>
      </vt:variant>
      <vt:variant>
        <vt:i4>5</vt:i4>
      </vt:variant>
      <vt:variant>
        <vt:lpwstr/>
      </vt:variant>
      <vt:variant>
        <vt:lpwstr>_Toc413918156</vt:lpwstr>
      </vt:variant>
      <vt:variant>
        <vt:i4>1179703</vt:i4>
      </vt:variant>
      <vt:variant>
        <vt:i4>1418</vt:i4>
      </vt:variant>
      <vt:variant>
        <vt:i4>0</vt:i4>
      </vt:variant>
      <vt:variant>
        <vt:i4>5</vt:i4>
      </vt:variant>
      <vt:variant>
        <vt:lpwstr/>
      </vt:variant>
      <vt:variant>
        <vt:lpwstr>_Toc413918155</vt:lpwstr>
      </vt:variant>
      <vt:variant>
        <vt:i4>1179703</vt:i4>
      </vt:variant>
      <vt:variant>
        <vt:i4>1412</vt:i4>
      </vt:variant>
      <vt:variant>
        <vt:i4>0</vt:i4>
      </vt:variant>
      <vt:variant>
        <vt:i4>5</vt:i4>
      </vt:variant>
      <vt:variant>
        <vt:lpwstr/>
      </vt:variant>
      <vt:variant>
        <vt:lpwstr>_Toc413918154</vt:lpwstr>
      </vt:variant>
      <vt:variant>
        <vt:i4>1179703</vt:i4>
      </vt:variant>
      <vt:variant>
        <vt:i4>1406</vt:i4>
      </vt:variant>
      <vt:variant>
        <vt:i4>0</vt:i4>
      </vt:variant>
      <vt:variant>
        <vt:i4>5</vt:i4>
      </vt:variant>
      <vt:variant>
        <vt:lpwstr/>
      </vt:variant>
      <vt:variant>
        <vt:lpwstr>_Toc413918153</vt:lpwstr>
      </vt:variant>
      <vt:variant>
        <vt:i4>1179703</vt:i4>
      </vt:variant>
      <vt:variant>
        <vt:i4>1400</vt:i4>
      </vt:variant>
      <vt:variant>
        <vt:i4>0</vt:i4>
      </vt:variant>
      <vt:variant>
        <vt:i4>5</vt:i4>
      </vt:variant>
      <vt:variant>
        <vt:lpwstr/>
      </vt:variant>
      <vt:variant>
        <vt:lpwstr>_Toc413918152</vt:lpwstr>
      </vt:variant>
      <vt:variant>
        <vt:i4>1179703</vt:i4>
      </vt:variant>
      <vt:variant>
        <vt:i4>1394</vt:i4>
      </vt:variant>
      <vt:variant>
        <vt:i4>0</vt:i4>
      </vt:variant>
      <vt:variant>
        <vt:i4>5</vt:i4>
      </vt:variant>
      <vt:variant>
        <vt:lpwstr/>
      </vt:variant>
      <vt:variant>
        <vt:lpwstr>_Toc413918151</vt:lpwstr>
      </vt:variant>
      <vt:variant>
        <vt:i4>1179703</vt:i4>
      </vt:variant>
      <vt:variant>
        <vt:i4>1388</vt:i4>
      </vt:variant>
      <vt:variant>
        <vt:i4>0</vt:i4>
      </vt:variant>
      <vt:variant>
        <vt:i4>5</vt:i4>
      </vt:variant>
      <vt:variant>
        <vt:lpwstr/>
      </vt:variant>
      <vt:variant>
        <vt:lpwstr>_Toc413918150</vt:lpwstr>
      </vt:variant>
      <vt:variant>
        <vt:i4>1245239</vt:i4>
      </vt:variant>
      <vt:variant>
        <vt:i4>1382</vt:i4>
      </vt:variant>
      <vt:variant>
        <vt:i4>0</vt:i4>
      </vt:variant>
      <vt:variant>
        <vt:i4>5</vt:i4>
      </vt:variant>
      <vt:variant>
        <vt:lpwstr/>
      </vt:variant>
      <vt:variant>
        <vt:lpwstr>_Toc413918149</vt:lpwstr>
      </vt:variant>
      <vt:variant>
        <vt:i4>1245239</vt:i4>
      </vt:variant>
      <vt:variant>
        <vt:i4>1376</vt:i4>
      </vt:variant>
      <vt:variant>
        <vt:i4>0</vt:i4>
      </vt:variant>
      <vt:variant>
        <vt:i4>5</vt:i4>
      </vt:variant>
      <vt:variant>
        <vt:lpwstr/>
      </vt:variant>
      <vt:variant>
        <vt:lpwstr>_Toc413918148</vt:lpwstr>
      </vt:variant>
      <vt:variant>
        <vt:i4>1245239</vt:i4>
      </vt:variant>
      <vt:variant>
        <vt:i4>1370</vt:i4>
      </vt:variant>
      <vt:variant>
        <vt:i4>0</vt:i4>
      </vt:variant>
      <vt:variant>
        <vt:i4>5</vt:i4>
      </vt:variant>
      <vt:variant>
        <vt:lpwstr/>
      </vt:variant>
      <vt:variant>
        <vt:lpwstr>_Toc413918147</vt:lpwstr>
      </vt:variant>
      <vt:variant>
        <vt:i4>1245239</vt:i4>
      </vt:variant>
      <vt:variant>
        <vt:i4>1364</vt:i4>
      </vt:variant>
      <vt:variant>
        <vt:i4>0</vt:i4>
      </vt:variant>
      <vt:variant>
        <vt:i4>5</vt:i4>
      </vt:variant>
      <vt:variant>
        <vt:lpwstr/>
      </vt:variant>
      <vt:variant>
        <vt:lpwstr>_Toc413918146</vt:lpwstr>
      </vt:variant>
      <vt:variant>
        <vt:i4>1245239</vt:i4>
      </vt:variant>
      <vt:variant>
        <vt:i4>1358</vt:i4>
      </vt:variant>
      <vt:variant>
        <vt:i4>0</vt:i4>
      </vt:variant>
      <vt:variant>
        <vt:i4>5</vt:i4>
      </vt:variant>
      <vt:variant>
        <vt:lpwstr/>
      </vt:variant>
      <vt:variant>
        <vt:lpwstr>_Toc413918145</vt:lpwstr>
      </vt:variant>
      <vt:variant>
        <vt:i4>1245239</vt:i4>
      </vt:variant>
      <vt:variant>
        <vt:i4>1352</vt:i4>
      </vt:variant>
      <vt:variant>
        <vt:i4>0</vt:i4>
      </vt:variant>
      <vt:variant>
        <vt:i4>5</vt:i4>
      </vt:variant>
      <vt:variant>
        <vt:lpwstr/>
      </vt:variant>
      <vt:variant>
        <vt:lpwstr>_Toc413918144</vt:lpwstr>
      </vt:variant>
      <vt:variant>
        <vt:i4>1245239</vt:i4>
      </vt:variant>
      <vt:variant>
        <vt:i4>1346</vt:i4>
      </vt:variant>
      <vt:variant>
        <vt:i4>0</vt:i4>
      </vt:variant>
      <vt:variant>
        <vt:i4>5</vt:i4>
      </vt:variant>
      <vt:variant>
        <vt:lpwstr/>
      </vt:variant>
      <vt:variant>
        <vt:lpwstr>_Toc413918143</vt:lpwstr>
      </vt:variant>
      <vt:variant>
        <vt:i4>1245239</vt:i4>
      </vt:variant>
      <vt:variant>
        <vt:i4>1340</vt:i4>
      </vt:variant>
      <vt:variant>
        <vt:i4>0</vt:i4>
      </vt:variant>
      <vt:variant>
        <vt:i4>5</vt:i4>
      </vt:variant>
      <vt:variant>
        <vt:lpwstr/>
      </vt:variant>
      <vt:variant>
        <vt:lpwstr>_Toc413918142</vt:lpwstr>
      </vt:variant>
      <vt:variant>
        <vt:i4>1245239</vt:i4>
      </vt:variant>
      <vt:variant>
        <vt:i4>1334</vt:i4>
      </vt:variant>
      <vt:variant>
        <vt:i4>0</vt:i4>
      </vt:variant>
      <vt:variant>
        <vt:i4>5</vt:i4>
      </vt:variant>
      <vt:variant>
        <vt:lpwstr/>
      </vt:variant>
      <vt:variant>
        <vt:lpwstr>_Toc413918141</vt:lpwstr>
      </vt:variant>
      <vt:variant>
        <vt:i4>1245239</vt:i4>
      </vt:variant>
      <vt:variant>
        <vt:i4>1328</vt:i4>
      </vt:variant>
      <vt:variant>
        <vt:i4>0</vt:i4>
      </vt:variant>
      <vt:variant>
        <vt:i4>5</vt:i4>
      </vt:variant>
      <vt:variant>
        <vt:lpwstr/>
      </vt:variant>
      <vt:variant>
        <vt:lpwstr>_Toc413918140</vt:lpwstr>
      </vt:variant>
      <vt:variant>
        <vt:i4>1310775</vt:i4>
      </vt:variant>
      <vt:variant>
        <vt:i4>1322</vt:i4>
      </vt:variant>
      <vt:variant>
        <vt:i4>0</vt:i4>
      </vt:variant>
      <vt:variant>
        <vt:i4>5</vt:i4>
      </vt:variant>
      <vt:variant>
        <vt:lpwstr/>
      </vt:variant>
      <vt:variant>
        <vt:lpwstr>_Toc413918139</vt:lpwstr>
      </vt:variant>
      <vt:variant>
        <vt:i4>1310775</vt:i4>
      </vt:variant>
      <vt:variant>
        <vt:i4>1316</vt:i4>
      </vt:variant>
      <vt:variant>
        <vt:i4>0</vt:i4>
      </vt:variant>
      <vt:variant>
        <vt:i4>5</vt:i4>
      </vt:variant>
      <vt:variant>
        <vt:lpwstr/>
      </vt:variant>
      <vt:variant>
        <vt:lpwstr>_Toc413918138</vt:lpwstr>
      </vt:variant>
      <vt:variant>
        <vt:i4>1310775</vt:i4>
      </vt:variant>
      <vt:variant>
        <vt:i4>1310</vt:i4>
      </vt:variant>
      <vt:variant>
        <vt:i4>0</vt:i4>
      </vt:variant>
      <vt:variant>
        <vt:i4>5</vt:i4>
      </vt:variant>
      <vt:variant>
        <vt:lpwstr/>
      </vt:variant>
      <vt:variant>
        <vt:lpwstr>_Toc413918137</vt:lpwstr>
      </vt:variant>
      <vt:variant>
        <vt:i4>1310775</vt:i4>
      </vt:variant>
      <vt:variant>
        <vt:i4>1304</vt:i4>
      </vt:variant>
      <vt:variant>
        <vt:i4>0</vt:i4>
      </vt:variant>
      <vt:variant>
        <vt:i4>5</vt:i4>
      </vt:variant>
      <vt:variant>
        <vt:lpwstr/>
      </vt:variant>
      <vt:variant>
        <vt:lpwstr>_Toc413918136</vt:lpwstr>
      </vt:variant>
      <vt:variant>
        <vt:i4>1310775</vt:i4>
      </vt:variant>
      <vt:variant>
        <vt:i4>1298</vt:i4>
      </vt:variant>
      <vt:variant>
        <vt:i4>0</vt:i4>
      </vt:variant>
      <vt:variant>
        <vt:i4>5</vt:i4>
      </vt:variant>
      <vt:variant>
        <vt:lpwstr/>
      </vt:variant>
      <vt:variant>
        <vt:lpwstr>_Toc413918135</vt:lpwstr>
      </vt:variant>
      <vt:variant>
        <vt:i4>1310775</vt:i4>
      </vt:variant>
      <vt:variant>
        <vt:i4>1292</vt:i4>
      </vt:variant>
      <vt:variant>
        <vt:i4>0</vt:i4>
      </vt:variant>
      <vt:variant>
        <vt:i4>5</vt:i4>
      </vt:variant>
      <vt:variant>
        <vt:lpwstr/>
      </vt:variant>
      <vt:variant>
        <vt:lpwstr>_Toc413918134</vt:lpwstr>
      </vt:variant>
      <vt:variant>
        <vt:i4>1310775</vt:i4>
      </vt:variant>
      <vt:variant>
        <vt:i4>1286</vt:i4>
      </vt:variant>
      <vt:variant>
        <vt:i4>0</vt:i4>
      </vt:variant>
      <vt:variant>
        <vt:i4>5</vt:i4>
      </vt:variant>
      <vt:variant>
        <vt:lpwstr/>
      </vt:variant>
      <vt:variant>
        <vt:lpwstr>_Toc413918133</vt:lpwstr>
      </vt:variant>
      <vt:variant>
        <vt:i4>1310775</vt:i4>
      </vt:variant>
      <vt:variant>
        <vt:i4>1280</vt:i4>
      </vt:variant>
      <vt:variant>
        <vt:i4>0</vt:i4>
      </vt:variant>
      <vt:variant>
        <vt:i4>5</vt:i4>
      </vt:variant>
      <vt:variant>
        <vt:lpwstr/>
      </vt:variant>
      <vt:variant>
        <vt:lpwstr>_Toc413918132</vt:lpwstr>
      </vt:variant>
      <vt:variant>
        <vt:i4>1310775</vt:i4>
      </vt:variant>
      <vt:variant>
        <vt:i4>1274</vt:i4>
      </vt:variant>
      <vt:variant>
        <vt:i4>0</vt:i4>
      </vt:variant>
      <vt:variant>
        <vt:i4>5</vt:i4>
      </vt:variant>
      <vt:variant>
        <vt:lpwstr/>
      </vt:variant>
      <vt:variant>
        <vt:lpwstr>_Toc413918131</vt:lpwstr>
      </vt:variant>
      <vt:variant>
        <vt:i4>1310775</vt:i4>
      </vt:variant>
      <vt:variant>
        <vt:i4>1268</vt:i4>
      </vt:variant>
      <vt:variant>
        <vt:i4>0</vt:i4>
      </vt:variant>
      <vt:variant>
        <vt:i4>5</vt:i4>
      </vt:variant>
      <vt:variant>
        <vt:lpwstr/>
      </vt:variant>
      <vt:variant>
        <vt:lpwstr>_Toc413918130</vt:lpwstr>
      </vt:variant>
      <vt:variant>
        <vt:i4>1376311</vt:i4>
      </vt:variant>
      <vt:variant>
        <vt:i4>1262</vt:i4>
      </vt:variant>
      <vt:variant>
        <vt:i4>0</vt:i4>
      </vt:variant>
      <vt:variant>
        <vt:i4>5</vt:i4>
      </vt:variant>
      <vt:variant>
        <vt:lpwstr/>
      </vt:variant>
      <vt:variant>
        <vt:lpwstr>_Toc413918129</vt:lpwstr>
      </vt:variant>
      <vt:variant>
        <vt:i4>1376311</vt:i4>
      </vt:variant>
      <vt:variant>
        <vt:i4>1256</vt:i4>
      </vt:variant>
      <vt:variant>
        <vt:i4>0</vt:i4>
      </vt:variant>
      <vt:variant>
        <vt:i4>5</vt:i4>
      </vt:variant>
      <vt:variant>
        <vt:lpwstr/>
      </vt:variant>
      <vt:variant>
        <vt:lpwstr>_Toc413918128</vt:lpwstr>
      </vt:variant>
      <vt:variant>
        <vt:i4>1376311</vt:i4>
      </vt:variant>
      <vt:variant>
        <vt:i4>1250</vt:i4>
      </vt:variant>
      <vt:variant>
        <vt:i4>0</vt:i4>
      </vt:variant>
      <vt:variant>
        <vt:i4>5</vt:i4>
      </vt:variant>
      <vt:variant>
        <vt:lpwstr/>
      </vt:variant>
      <vt:variant>
        <vt:lpwstr>_Toc413918127</vt:lpwstr>
      </vt:variant>
      <vt:variant>
        <vt:i4>1376311</vt:i4>
      </vt:variant>
      <vt:variant>
        <vt:i4>1244</vt:i4>
      </vt:variant>
      <vt:variant>
        <vt:i4>0</vt:i4>
      </vt:variant>
      <vt:variant>
        <vt:i4>5</vt:i4>
      </vt:variant>
      <vt:variant>
        <vt:lpwstr/>
      </vt:variant>
      <vt:variant>
        <vt:lpwstr>_Toc413918126</vt:lpwstr>
      </vt:variant>
      <vt:variant>
        <vt:i4>1376311</vt:i4>
      </vt:variant>
      <vt:variant>
        <vt:i4>1238</vt:i4>
      </vt:variant>
      <vt:variant>
        <vt:i4>0</vt:i4>
      </vt:variant>
      <vt:variant>
        <vt:i4>5</vt:i4>
      </vt:variant>
      <vt:variant>
        <vt:lpwstr/>
      </vt:variant>
      <vt:variant>
        <vt:lpwstr>_Toc413918125</vt:lpwstr>
      </vt:variant>
      <vt:variant>
        <vt:i4>1376311</vt:i4>
      </vt:variant>
      <vt:variant>
        <vt:i4>1232</vt:i4>
      </vt:variant>
      <vt:variant>
        <vt:i4>0</vt:i4>
      </vt:variant>
      <vt:variant>
        <vt:i4>5</vt:i4>
      </vt:variant>
      <vt:variant>
        <vt:lpwstr/>
      </vt:variant>
      <vt:variant>
        <vt:lpwstr>_Toc413918124</vt:lpwstr>
      </vt:variant>
      <vt:variant>
        <vt:i4>1376311</vt:i4>
      </vt:variant>
      <vt:variant>
        <vt:i4>1226</vt:i4>
      </vt:variant>
      <vt:variant>
        <vt:i4>0</vt:i4>
      </vt:variant>
      <vt:variant>
        <vt:i4>5</vt:i4>
      </vt:variant>
      <vt:variant>
        <vt:lpwstr/>
      </vt:variant>
      <vt:variant>
        <vt:lpwstr>_Toc413918123</vt:lpwstr>
      </vt:variant>
      <vt:variant>
        <vt:i4>1376311</vt:i4>
      </vt:variant>
      <vt:variant>
        <vt:i4>1220</vt:i4>
      </vt:variant>
      <vt:variant>
        <vt:i4>0</vt:i4>
      </vt:variant>
      <vt:variant>
        <vt:i4>5</vt:i4>
      </vt:variant>
      <vt:variant>
        <vt:lpwstr/>
      </vt:variant>
      <vt:variant>
        <vt:lpwstr>_Toc413918122</vt:lpwstr>
      </vt:variant>
      <vt:variant>
        <vt:i4>1376311</vt:i4>
      </vt:variant>
      <vt:variant>
        <vt:i4>1214</vt:i4>
      </vt:variant>
      <vt:variant>
        <vt:i4>0</vt:i4>
      </vt:variant>
      <vt:variant>
        <vt:i4>5</vt:i4>
      </vt:variant>
      <vt:variant>
        <vt:lpwstr/>
      </vt:variant>
      <vt:variant>
        <vt:lpwstr>_Toc413918121</vt:lpwstr>
      </vt:variant>
      <vt:variant>
        <vt:i4>1376311</vt:i4>
      </vt:variant>
      <vt:variant>
        <vt:i4>1208</vt:i4>
      </vt:variant>
      <vt:variant>
        <vt:i4>0</vt:i4>
      </vt:variant>
      <vt:variant>
        <vt:i4>5</vt:i4>
      </vt:variant>
      <vt:variant>
        <vt:lpwstr/>
      </vt:variant>
      <vt:variant>
        <vt:lpwstr>_Toc413918120</vt:lpwstr>
      </vt:variant>
      <vt:variant>
        <vt:i4>1441847</vt:i4>
      </vt:variant>
      <vt:variant>
        <vt:i4>1202</vt:i4>
      </vt:variant>
      <vt:variant>
        <vt:i4>0</vt:i4>
      </vt:variant>
      <vt:variant>
        <vt:i4>5</vt:i4>
      </vt:variant>
      <vt:variant>
        <vt:lpwstr/>
      </vt:variant>
      <vt:variant>
        <vt:lpwstr>_Toc413918119</vt:lpwstr>
      </vt:variant>
      <vt:variant>
        <vt:i4>1441847</vt:i4>
      </vt:variant>
      <vt:variant>
        <vt:i4>1196</vt:i4>
      </vt:variant>
      <vt:variant>
        <vt:i4>0</vt:i4>
      </vt:variant>
      <vt:variant>
        <vt:i4>5</vt:i4>
      </vt:variant>
      <vt:variant>
        <vt:lpwstr/>
      </vt:variant>
      <vt:variant>
        <vt:lpwstr>_Toc413918118</vt:lpwstr>
      </vt:variant>
      <vt:variant>
        <vt:i4>1441847</vt:i4>
      </vt:variant>
      <vt:variant>
        <vt:i4>1190</vt:i4>
      </vt:variant>
      <vt:variant>
        <vt:i4>0</vt:i4>
      </vt:variant>
      <vt:variant>
        <vt:i4>5</vt:i4>
      </vt:variant>
      <vt:variant>
        <vt:lpwstr/>
      </vt:variant>
      <vt:variant>
        <vt:lpwstr>_Toc413918117</vt:lpwstr>
      </vt:variant>
      <vt:variant>
        <vt:i4>1441847</vt:i4>
      </vt:variant>
      <vt:variant>
        <vt:i4>1184</vt:i4>
      </vt:variant>
      <vt:variant>
        <vt:i4>0</vt:i4>
      </vt:variant>
      <vt:variant>
        <vt:i4>5</vt:i4>
      </vt:variant>
      <vt:variant>
        <vt:lpwstr/>
      </vt:variant>
      <vt:variant>
        <vt:lpwstr>_Toc413918116</vt:lpwstr>
      </vt:variant>
      <vt:variant>
        <vt:i4>1441847</vt:i4>
      </vt:variant>
      <vt:variant>
        <vt:i4>1178</vt:i4>
      </vt:variant>
      <vt:variant>
        <vt:i4>0</vt:i4>
      </vt:variant>
      <vt:variant>
        <vt:i4>5</vt:i4>
      </vt:variant>
      <vt:variant>
        <vt:lpwstr/>
      </vt:variant>
      <vt:variant>
        <vt:lpwstr>_Toc413918115</vt:lpwstr>
      </vt:variant>
      <vt:variant>
        <vt:i4>1441847</vt:i4>
      </vt:variant>
      <vt:variant>
        <vt:i4>1172</vt:i4>
      </vt:variant>
      <vt:variant>
        <vt:i4>0</vt:i4>
      </vt:variant>
      <vt:variant>
        <vt:i4>5</vt:i4>
      </vt:variant>
      <vt:variant>
        <vt:lpwstr/>
      </vt:variant>
      <vt:variant>
        <vt:lpwstr>_Toc413918114</vt:lpwstr>
      </vt:variant>
      <vt:variant>
        <vt:i4>1441847</vt:i4>
      </vt:variant>
      <vt:variant>
        <vt:i4>1166</vt:i4>
      </vt:variant>
      <vt:variant>
        <vt:i4>0</vt:i4>
      </vt:variant>
      <vt:variant>
        <vt:i4>5</vt:i4>
      </vt:variant>
      <vt:variant>
        <vt:lpwstr/>
      </vt:variant>
      <vt:variant>
        <vt:lpwstr>_Toc413918113</vt:lpwstr>
      </vt:variant>
      <vt:variant>
        <vt:i4>1441847</vt:i4>
      </vt:variant>
      <vt:variant>
        <vt:i4>1160</vt:i4>
      </vt:variant>
      <vt:variant>
        <vt:i4>0</vt:i4>
      </vt:variant>
      <vt:variant>
        <vt:i4>5</vt:i4>
      </vt:variant>
      <vt:variant>
        <vt:lpwstr/>
      </vt:variant>
      <vt:variant>
        <vt:lpwstr>_Toc413918112</vt:lpwstr>
      </vt:variant>
      <vt:variant>
        <vt:i4>1441847</vt:i4>
      </vt:variant>
      <vt:variant>
        <vt:i4>1154</vt:i4>
      </vt:variant>
      <vt:variant>
        <vt:i4>0</vt:i4>
      </vt:variant>
      <vt:variant>
        <vt:i4>5</vt:i4>
      </vt:variant>
      <vt:variant>
        <vt:lpwstr/>
      </vt:variant>
      <vt:variant>
        <vt:lpwstr>_Toc413918111</vt:lpwstr>
      </vt:variant>
      <vt:variant>
        <vt:i4>1441847</vt:i4>
      </vt:variant>
      <vt:variant>
        <vt:i4>1148</vt:i4>
      </vt:variant>
      <vt:variant>
        <vt:i4>0</vt:i4>
      </vt:variant>
      <vt:variant>
        <vt:i4>5</vt:i4>
      </vt:variant>
      <vt:variant>
        <vt:lpwstr/>
      </vt:variant>
      <vt:variant>
        <vt:lpwstr>_Toc413918110</vt:lpwstr>
      </vt:variant>
      <vt:variant>
        <vt:i4>1507383</vt:i4>
      </vt:variant>
      <vt:variant>
        <vt:i4>1142</vt:i4>
      </vt:variant>
      <vt:variant>
        <vt:i4>0</vt:i4>
      </vt:variant>
      <vt:variant>
        <vt:i4>5</vt:i4>
      </vt:variant>
      <vt:variant>
        <vt:lpwstr/>
      </vt:variant>
      <vt:variant>
        <vt:lpwstr>_Toc413918109</vt:lpwstr>
      </vt:variant>
      <vt:variant>
        <vt:i4>1507383</vt:i4>
      </vt:variant>
      <vt:variant>
        <vt:i4>1136</vt:i4>
      </vt:variant>
      <vt:variant>
        <vt:i4>0</vt:i4>
      </vt:variant>
      <vt:variant>
        <vt:i4>5</vt:i4>
      </vt:variant>
      <vt:variant>
        <vt:lpwstr/>
      </vt:variant>
      <vt:variant>
        <vt:lpwstr>_Toc413918108</vt:lpwstr>
      </vt:variant>
      <vt:variant>
        <vt:i4>1507383</vt:i4>
      </vt:variant>
      <vt:variant>
        <vt:i4>1130</vt:i4>
      </vt:variant>
      <vt:variant>
        <vt:i4>0</vt:i4>
      </vt:variant>
      <vt:variant>
        <vt:i4>5</vt:i4>
      </vt:variant>
      <vt:variant>
        <vt:lpwstr/>
      </vt:variant>
      <vt:variant>
        <vt:lpwstr>_Toc413918107</vt:lpwstr>
      </vt:variant>
      <vt:variant>
        <vt:i4>1507383</vt:i4>
      </vt:variant>
      <vt:variant>
        <vt:i4>1124</vt:i4>
      </vt:variant>
      <vt:variant>
        <vt:i4>0</vt:i4>
      </vt:variant>
      <vt:variant>
        <vt:i4>5</vt:i4>
      </vt:variant>
      <vt:variant>
        <vt:lpwstr/>
      </vt:variant>
      <vt:variant>
        <vt:lpwstr>_Toc413918106</vt:lpwstr>
      </vt:variant>
      <vt:variant>
        <vt:i4>1507383</vt:i4>
      </vt:variant>
      <vt:variant>
        <vt:i4>1118</vt:i4>
      </vt:variant>
      <vt:variant>
        <vt:i4>0</vt:i4>
      </vt:variant>
      <vt:variant>
        <vt:i4>5</vt:i4>
      </vt:variant>
      <vt:variant>
        <vt:lpwstr/>
      </vt:variant>
      <vt:variant>
        <vt:lpwstr>_Toc413918105</vt:lpwstr>
      </vt:variant>
      <vt:variant>
        <vt:i4>1507383</vt:i4>
      </vt:variant>
      <vt:variant>
        <vt:i4>1112</vt:i4>
      </vt:variant>
      <vt:variant>
        <vt:i4>0</vt:i4>
      </vt:variant>
      <vt:variant>
        <vt:i4>5</vt:i4>
      </vt:variant>
      <vt:variant>
        <vt:lpwstr/>
      </vt:variant>
      <vt:variant>
        <vt:lpwstr>_Toc413918104</vt:lpwstr>
      </vt:variant>
      <vt:variant>
        <vt:i4>1507383</vt:i4>
      </vt:variant>
      <vt:variant>
        <vt:i4>1106</vt:i4>
      </vt:variant>
      <vt:variant>
        <vt:i4>0</vt:i4>
      </vt:variant>
      <vt:variant>
        <vt:i4>5</vt:i4>
      </vt:variant>
      <vt:variant>
        <vt:lpwstr/>
      </vt:variant>
      <vt:variant>
        <vt:lpwstr>_Toc413918103</vt:lpwstr>
      </vt:variant>
      <vt:variant>
        <vt:i4>1507383</vt:i4>
      </vt:variant>
      <vt:variant>
        <vt:i4>1100</vt:i4>
      </vt:variant>
      <vt:variant>
        <vt:i4>0</vt:i4>
      </vt:variant>
      <vt:variant>
        <vt:i4>5</vt:i4>
      </vt:variant>
      <vt:variant>
        <vt:lpwstr/>
      </vt:variant>
      <vt:variant>
        <vt:lpwstr>_Toc413918102</vt:lpwstr>
      </vt:variant>
      <vt:variant>
        <vt:i4>1507383</vt:i4>
      </vt:variant>
      <vt:variant>
        <vt:i4>1094</vt:i4>
      </vt:variant>
      <vt:variant>
        <vt:i4>0</vt:i4>
      </vt:variant>
      <vt:variant>
        <vt:i4>5</vt:i4>
      </vt:variant>
      <vt:variant>
        <vt:lpwstr/>
      </vt:variant>
      <vt:variant>
        <vt:lpwstr>_Toc413918101</vt:lpwstr>
      </vt:variant>
      <vt:variant>
        <vt:i4>1507383</vt:i4>
      </vt:variant>
      <vt:variant>
        <vt:i4>1088</vt:i4>
      </vt:variant>
      <vt:variant>
        <vt:i4>0</vt:i4>
      </vt:variant>
      <vt:variant>
        <vt:i4>5</vt:i4>
      </vt:variant>
      <vt:variant>
        <vt:lpwstr/>
      </vt:variant>
      <vt:variant>
        <vt:lpwstr>_Toc413918100</vt:lpwstr>
      </vt:variant>
      <vt:variant>
        <vt:i4>1966134</vt:i4>
      </vt:variant>
      <vt:variant>
        <vt:i4>1082</vt:i4>
      </vt:variant>
      <vt:variant>
        <vt:i4>0</vt:i4>
      </vt:variant>
      <vt:variant>
        <vt:i4>5</vt:i4>
      </vt:variant>
      <vt:variant>
        <vt:lpwstr/>
      </vt:variant>
      <vt:variant>
        <vt:lpwstr>_Toc413918099</vt:lpwstr>
      </vt:variant>
      <vt:variant>
        <vt:i4>1966134</vt:i4>
      </vt:variant>
      <vt:variant>
        <vt:i4>1076</vt:i4>
      </vt:variant>
      <vt:variant>
        <vt:i4>0</vt:i4>
      </vt:variant>
      <vt:variant>
        <vt:i4>5</vt:i4>
      </vt:variant>
      <vt:variant>
        <vt:lpwstr/>
      </vt:variant>
      <vt:variant>
        <vt:lpwstr>_Toc413918098</vt:lpwstr>
      </vt:variant>
      <vt:variant>
        <vt:i4>1966134</vt:i4>
      </vt:variant>
      <vt:variant>
        <vt:i4>1070</vt:i4>
      </vt:variant>
      <vt:variant>
        <vt:i4>0</vt:i4>
      </vt:variant>
      <vt:variant>
        <vt:i4>5</vt:i4>
      </vt:variant>
      <vt:variant>
        <vt:lpwstr/>
      </vt:variant>
      <vt:variant>
        <vt:lpwstr>_Toc413918097</vt:lpwstr>
      </vt:variant>
      <vt:variant>
        <vt:i4>1966134</vt:i4>
      </vt:variant>
      <vt:variant>
        <vt:i4>1064</vt:i4>
      </vt:variant>
      <vt:variant>
        <vt:i4>0</vt:i4>
      </vt:variant>
      <vt:variant>
        <vt:i4>5</vt:i4>
      </vt:variant>
      <vt:variant>
        <vt:lpwstr/>
      </vt:variant>
      <vt:variant>
        <vt:lpwstr>_Toc413918096</vt:lpwstr>
      </vt:variant>
      <vt:variant>
        <vt:i4>1966134</vt:i4>
      </vt:variant>
      <vt:variant>
        <vt:i4>1058</vt:i4>
      </vt:variant>
      <vt:variant>
        <vt:i4>0</vt:i4>
      </vt:variant>
      <vt:variant>
        <vt:i4>5</vt:i4>
      </vt:variant>
      <vt:variant>
        <vt:lpwstr/>
      </vt:variant>
      <vt:variant>
        <vt:lpwstr>_Toc413918095</vt:lpwstr>
      </vt:variant>
      <vt:variant>
        <vt:i4>1966134</vt:i4>
      </vt:variant>
      <vt:variant>
        <vt:i4>1052</vt:i4>
      </vt:variant>
      <vt:variant>
        <vt:i4>0</vt:i4>
      </vt:variant>
      <vt:variant>
        <vt:i4>5</vt:i4>
      </vt:variant>
      <vt:variant>
        <vt:lpwstr/>
      </vt:variant>
      <vt:variant>
        <vt:lpwstr>_Toc413918094</vt:lpwstr>
      </vt:variant>
      <vt:variant>
        <vt:i4>1966134</vt:i4>
      </vt:variant>
      <vt:variant>
        <vt:i4>1046</vt:i4>
      </vt:variant>
      <vt:variant>
        <vt:i4>0</vt:i4>
      </vt:variant>
      <vt:variant>
        <vt:i4>5</vt:i4>
      </vt:variant>
      <vt:variant>
        <vt:lpwstr/>
      </vt:variant>
      <vt:variant>
        <vt:lpwstr>_Toc413918093</vt:lpwstr>
      </vt:variant>
      <vt:variant>
        <vt:i4>1966134</vt:i4>
      </vt:variant>
      <vt:variant>
        <vt:i4>1040</vt:i4>
      </vt:variant>
      <vt:variant>
        <vt:i4>0</vt:i4>
      </vt:variant>
      <vt:variant>
        <vt:i4>5</vt:i4>
      </vt:variant>
      <vt:variant>
        <vt:lpwstr/>
      </vt:variant>
      <vt:variant>
        <vt:lpwstr>_Toc413918092</vt:lpwstr>
      </vt:variant>
      <vt:variant>
        <vt:i4>1966134</vt:i4>
      </vt:variant>
      <vt:variant>
        <vt:i4>1034</vt:i4>
      </vt:variant>
      <vt:variant>
        <vt:i4>0</vt:i4>
      </vt:variant>
      <vt:variant>
        <vt:i4>5</vt:i4>
      </vt:variant>
      <vt:variant>
        <vt:lpwstr/>
      </vt:variant>
      <vt:variant>
        <vt:lpwstr>_Toc413918091</vt:lpwstr>
      </vt:variant>
      <vt:variant>
        <vt:i4>1966134</vt:i4>
      </vt:variant>
      <vt:variant>
        <vt:i4>1028</vt:i4>
      </vt:variant>
      <vt:variant>
        <vt:i4>0</vt:i4>
      </vt:variant>
      <vt:variant>
        <vt:i4>5</vt:i4>
      </vt:variant>
      <vt:variant>
        <vt:lpwstr/>
      </vt:variant>
      <vt:variant>
        <vt:lpwstr>_Toc413918090</vt:lpwstr>
      </vt:variant>
      <vt:variant>
        <vt:i4>2031670</vt:i4>
      </vt:variant>
      <vt:variant>
        <vt:i4>1022</vt:i4>
      </vt:variant>
      <vt:variant>
        <vt:i4>0</vt:i4>
      </vt:variant>
      <vt:variant>
        <vt:i4>5</vt:i4>
      </vt:variant>
      <vt:variant>
        <vt:lpwstr/>
      </vt:variant>
      <vt:variant>
        <vt:lpwstr>_Toc413918089</vt:lpwstr>
      </vt:variant>
      <vt:variant>
        <vt:i4>2031670</vt:i4>
      </vt:variant>
      <vt:variant>
        <vt:i4>1016</vt:i4>
      </vt:variant>
      <vt:variant>
        <vt:i4>0</vt:i4>
      </vt:variant>
      <vt:variant>
        <vt:i4>5</vt:i4>
      </vt:variant>
      <vt:variant>
        <vt:lpwstr/>
      </vt:variant>
      <vt:variant>
        <vt:lpwstr>_Toc413918088</vt:lpwstr>
      </vt:variant>
      <vt:variant>
        <vt:i4>2031670</vt:i4>
      </vt:variant>
      <vt:variant>
        <vt:i4>1010</vt:i4>
      </vt:variant>
      <vt:variant>
        <vt:i4>0</vt:i4>
      </vt:variant>
      <vt:variant>
        <vt:i4>5</vt:i4>
      </vt:variant>
      <vt:variant>
        <vt:lpwstr/>
      </vt:variant>
      <vt:variant>
        <vt:lpwstr>_Toc413918087</vt:lpwstr>
      </vt:variant>
      <vt:variant>
        <vt:i4>2031670</vt:i4>
      </vt:variant>
      <vt:variant>
        <vt:i4>1004</vt:i4>
      </vt:variant>
      <vt:variant>
        <vt:i4>0</vt:i4>
      </vt:variant>
      <vt:variant>
        <vt:i4>5</vt:i4>
      </vt:variant>
      <vt:variant>
        <vt:lpwstr/>
      </vt:variant>
      <vt:variant>
        <vt:lpwstr>_Toc413918086</vt:lpwstr>
      </vt:variant>
      <vt:variant>
        <vt:i4>2031670</vt:i4>
      </vt:variant>
      <vt:variant>
        <vt:i4>998</vt:i4>
      </vt:variant>
      <vt:variant>
        <vt:i4>0</vt:i4>
      </vt:variant>
      <vt:variant>
        <vt:i4>5</vt:i4>
      </vt:variant>
      <vt:variant>
        <vt:lpwstr/>
      </vt:variant>
      <vt:variant>
        <vt:lpwstr>_Toc413918085</vt:lpwstr>
      </vt:variant>
      <vt:variant>
        <vt:i4>2031670</vt:i4>
      </vt:variant>
      <vt:variant>
        <vt:i4>992</vt:i4>
      </vt:variant>
      <vt:variant>
        <vt:i4>0</vt:i4>
      </vt:variant>
      <vt:variant>
        <vt:i4>5</vt:i4>
      </vt:variant>
      <vt:variant>
        <vt:lpwstr/>
      </vt:variant>
      <vt:variant>
        <vt:lpwstr>_Toc413918084</vt:lpwstr>
      </vt:variant>
      <vt:variant>
        <vt:i4>2031670</vt:i4>
      </vt:variant>
      <vt:variant>
        <vt:i4>986</vt:i4>
      </vt:variant>
      <vt:variant>
        <vt:i4>0</vt:i4>
      </vt:variant>
      <vt:variant>
        <vt:i4>5</vt:i4>
      </vt:variant>
      <vt:variant>
        <vt:lpwstr/>
      </vt:variant>
      <vt:variant>
        <vt:lpwstr>_Toc413918083</vt:lpwstr>
      </vt:variant>
      <vt:variant>
        <vt:i4>2031670</vt:i4>
      </vt:variant>
      <vt:variant>
        <vt:i4>980</vt:i4>
      </vt:variant>
      <vt:variant>
        <vt:i4>0</vt:i4>
      </vt:variant>
      <vt:variant>
        <vt:i4>5</vt:i4>
      </vt:variant>
      <vt:variant>
        <vt:lpwstr/>
      </vt:variant>
      <vt:variant>
        <vt:lpwstr>_Toc413918082</vt:lpwstr>
      </vt:variant>
      <vt:variant>
        <vt:i4>2031670</vt:i4>
      </vt:variant>
      <vt:variant>
        <vt:i4>974</vt:i4>
      </vt:variant>
      <vt:variant>
        <vt:i4>0</vt:i4>
      </vt:variant>
      <vt:variant>
        <vt:i4>5</vt:i4>
      </vt:variant>
      <vt:variant>
        <vt:lpwstr/>
      </vt:variant>
      <vt:variant>
        <vt:lpwstr>_Toc413918081</vt:lpwstr>
      </vt:variant>
      <vt:variant>
        <vt:i4>2031670</vt:i4>
      </vt:variant>
      <vt:variant>
        <vt:i4>968</vt:i4>
      </vt:variant>
      <vt:variant>
        <vt:i4>0</vt:i4>
      </vt:variant>
      <vt:variant>
        <vt:i4>5</vt:i4>
      </vt:variant>
      <vt:variant>
        <vt:lpwstr/>
      </vt:variant>
      <vt:variant>
        <vt:lpwstr>_Toc413918080</vt:lpwstr>
      </vt:variant>
      <vt:variant>
        <vt:i4>1048630</vt:i4>
      </vt:variant>
      <vt:variant>
        <vt:i4>962</vt:i4>
      </vt:variant>
      <vt:variant>
        <vt:i4>0</vt:i4>
      </vt:variant>
      <vt:variant>
        <vt:i4>5</vt:i4>
      </vt:variant>
      <vt:variant>
        <vt:lpwstr/>
      </vt:variant>
      <vt:variant>
        <vt:lpwstr>_Toc413918079</vt:lpwstr>
      </vt:variant>
      <vt:variant>
        <vt:i4>1048630</vt:i4>
      </vt:variant>
      <vt:variant>
        <vt:i4>956</vt:i4>
      </vt:variant>
      <vt:variant>
        <vt:i4>0</vt:i4>
      </vt:variant>
      <vt:variant>
        <vt:i4>5</vt:i4>
      </vt:variant>
      <vt:variant>
        <vt:lpwstr/>
      </vt:variant>
      <vt:variant>
        <vt:lpwstr>_Toc413918078</vt:lpwstr>
      </vt:variant>
      <vt:variant>
        <vt:i4>1048630</vt:i4>
      </vt:variant>
      <vt:variant>
        <vt:i4>950</vt:i4>
      </vt:variant>
      <vt:variant>
        <vt:i4>0</vt:i4>
      </vt:variant>
      <vt:variant>
        <vt:i4>5</vt:i4>
      </vt:variant>
      <vt:variant>
        <vt:lpwstr/>
      </vt:variant>
      <vt:variant>
        <vt:lpwstr>_Toc413918077</vt:lpwstr>
      </vt:variant>
      <vt:variant>
        <vt:i4>1048630</vt:i4>
      </vt:variant>
      <vt:variant>
        <vt:i4>944</vt:i4>
      </vt:variant>
      <vt:variant>
        <vt:i4>0</vt:i4>
      </vt:variant>
      <vt:variant>
        <vt:i4>5</vt:i4>
      </vt:variant>
      <vt:variant>
        <vt:lpwstr/>
      </vt:variant>
      <vt:variant>
        <vt:lpwstr>_Toc413918076</vt:lpwstr>
      </vt:variant>
      <vt:variant>
        <vt:i4>1048630</vt:i4>
      </vt:variant>
      <vt:variant>
        <vt:i4>938</vt:i4>
      </vt:variant>
      <vt:variant>
        <vt:i4>0</vt:i4>
      </vt:variant>
      <vt:variant>
        <vt:i4>5</vt:i4>
      </vt:variant>
      <vt:variant>
        <vt:lpwstr/>
      </vt:variant>
      <vt:variant>
        <vt:lpwstr>_Toc413918075</vt:lpwstr>
      </vt:variant>
      <vt:variant>
        <vt:i4>1048630</vt:i4>
      </vt:variant>
      <vt:variant>
        <vt:i4>932</vt:i4>
      </vt:variant>
      <vt:variant>
        <vt:i4>0</vt:i4>
      </vt:variant>
      <vt:variant>
        <vt:i4>5</vt:i4>
      </vt:variant>
      <vt:variant>
        <vt:lpwstr/>
      </vt:variant>
      <vt:variant>
        <vt:lpwstr>_Toc413918074</vt:lpwstr>
      </vt:variant>
      <vt:variant>
        <vt:i4>1048630</vt:i4>
      </vt:variant>
      <vt:variant>
        <vt:i4>926</vt:i4>
      </vt:variant>
      <vt:variant>
        <vt:i4>0</vt:i4>
      </vt:variant>
      <vt:variant>
        <vt:i4>5</vt:i4>
      </vt:variant>
      <vt:variant>
        <vt:lpwstr/>
      </vt:variant>
      <vt:variant>
        <vt:lpwstr>_Toc413918073</vt:lpwstr>
      </vt:variant>
      <vt:variant>
        <vt:i4>1048630</vt:i4>
      </vt:variant>
      <vt:variant>
        <vt:i4>920</vt:i4>
      </vt:variant>
      <vt:variant>
        <vt:i4>0</vt:i4>
      </vt:variant>
      <vt:variant>
        <vt:i4>5</vt:i4>
      </vt:variant>
      <vt:variant>
        <vt:lpwstr/>
      </vt:variant>
      <vt:variant>
        <vt:lpwstr>_Toc413918072</vt:lpwstr>
      </vt:variant>
      <vt:variant>
        <vt:i4>1048630</vt:i4>
      </vt:variant>
      <vt:variant>
        <vt:i4>914</vt:i4>
      </vt:variant>
      <vt:variant>
        <vt:i4>0</vt:i4>
      </vt:variant>
      <vt:variant>
        <vt:i4>5</vt:i4>
      </vt:variant>
      <vt:variant>
        <vt:lpwstr/>
      </vt:variant>
      <vt:variant>
        <vt:lpwstr>_Toc413918071</vt:lpwstr>
      </vt:variant>
      <vt:variant>
        <vt:i4>1048630</vt:i4>
      </vt:variant>
      <vt:variant>
        <vt:i4>908</vt:i4>
      </vt:variant>
      <vt:variant>
        <vt:i4>0</vt:i4>
      </vt:variant>
      <vt:variant>
        <vt:i4>5</vt:i4>
      </vt:variant>
      <vt:variant>
        <vt:lpwstr/>
      </vt:variant>
      <vt:variant>
        <vt:lpwstr>_Toc413918070</vt:lpwstr>
      </vt:variant>
      <vt:variant>
        <vt:i4>1114166</vt:i4>
      </vt:variant>
      <vt:variant>
        <vt:i4>902</vt:i4>
      </vt:variant>
      <vt:variant>
        <vt:i4>0</vt:i4>
      </vt:variant>
      <vt:variant>
        <vt:i4>5</vt:i4>
      </vt:variant>
      <vt:variant>
        <vt:lpwstr/>
      </vt:variant>
      <vt:variant>
        <vt:lpwstr>_Toc413918069</vt:lpwstr>
      </vt:variant>
      <vt:variant>
        <vt:i4>1114166</vt:i4>
      </vt:variant>
      <vt:variant>
        <vt:i4>896</vt:i4>
      </vt:variant>
      <vt:variant>
        <vt:i4>0</vt:i4>
      </vt:variant>
      <vt:variant>
        <vt:i4>5</vt:i4>
      </vt:variant>
      <vt:variant>
        <vt:lpwstr/>
      </vt:variant>
      <vt:variant>
        <vt:lpwstr>_Toc413918068</vt:lpwstr>
      </vt:variant>
      <vt:variant>
        <vt:i4>1114166</vt:i4>
      </vt:variant>
      <vt:variant>
        <vt:i4>890</vt:i4>
      </vt:variant>
      <vt:variant>
        <vt:i4>0</vt:i4>
      </vt:variant>
      <vt:variant>
        <vt:i4>5</vt:i4>
      </vt:variant>
      <vt:variant>
        <vt:lpwstr/>
      </vt:variant>
      <vt:variant>
        <vt:lpwstr>_Toc413918067</vt:lpwstr>
      </vt:variant>
      <vt:variant>
        <vt:i4>1114166</vt:i4>
      </vt:variant>
      <vt:variant>
        <vt:i4>884</vt:i4>
      </vt:variant>
      <vt:variant>
        <vt:i4>0</vt:i4>
      </vt:variant>
      <vt:variant>
        <vt:i4>5</vt:i4>
      </vt:variant>
      <vt:variant>
        <vt:lpwstr/>
      </vt:variant>
      <vt:variant>
        <vt:lpwstr>_Toc413918066</vt:lpwstr>
      </vt:variant>
      <vt:variant>
        <vt:i4>1114166</vt:i4>
      </vt:variant>
      <vt:variant>
        <vt:i4>878</vt:i4>
      </vt:variant>
      <vt:variant>
        <vt:i4>0</vt:i4>
      </vt:variant>
      <vt:variant>
        <vt:i4>5</vt:i4>
      </vt:variant>
      <vt:variant>
        <vt:lpwstr/>
      </vt:variant>
      <vt:variant>
        <vt:lpwstr>_Toc413918065</vt:lpwstr>
      </vt:variant>
      <vt:variant>
        <vt:i4>1114166</vt:i4>
      </vt:variant>
      <vt:variant>
        <vt:i4>872</vt:i4>
      </vt:variant>
      <vt:variant>
        <vt:i4>0</vt:i4>
      </vt:variant>
      <vt:variant>
        <vt:i4>5</vt:i4>
      </vt:variant>
      <vt:variant>
        <vt:lpwstr/>
      </vt:variant>
      <vt:variant>
        <vt:lpwstr>_Toc413918064</vt:lpwstr>
      </vt:variant>
      <vt:variant>
        <vt:i4>1114166</vt:i4>
      </vt:variant>
      <vt:variant>
        <vt:i4>866</vt:i4>
      </vt:variant>
      <vt:variant>
        <vt:i4>0</vt:i4>
      </vt:variant>
      <vt:variant>
        <vt:i4>5</vt:i4>
      </vt:variant>
      <vt:variant>
        <vt:lpwstr/>
      </vt:variant>
      <vt:variant>
        <vt:lpwstr>_Toc413918063</vt:lpwstr>
      </vt:variant>
      <vt:variant>
        <vt:i4>1114166</vt:i4>
      </vt:variant>
      <vt:variant>
        <vt:i4>860</vt:i4>
      </vt:variant>
      <vt:variant>
        <vt:i4>0</vt:i4>
      </vt:variant>
      <vt:variant>
        <vt:i4>5</vt:i4>
      </vt:variant>
      <vt:variant>
        <vt:lpwstr/>
      </vt:variant>
      <vt:variant>
        <vt:lpwstr>_Toc413918062</vt:lpwstr>
      </vt:variant>
      <vt:variant>
        <vt:i4>1114166</vt:i4>
      </vt:variant>
      <vt:variant>
        <vt:i4>854</vt:i4>
      </vt:variant>
      <vt:variant>
        <vt:i4>0</vt:i4>
      </vt:variant>
      <vt:variant>
        <vt:i4>5</vt:i4>
      </vt:variant>
      <vt:variant>
        <vt:lpwstr/>
      </vt:variant>
      <vt:variant>
        <vt:lpwstr>_Toc413918061</vt:lpwstr>
      </vt:variant>
      <vt:variant>
        <vt:i4>1114166</vt:i4>
      </vt:variant>
      <vt:variant>
        <vt:i4>848</vt:i4>
      </vt:variant>
      <vt:variant>
        <vt:i4>0</vt:i4>
      </vt:variant>
      <vt:variant>
        <vt:i4>5</vt:i4>
      </vt:variant>
      <vt:variant>
        <vt:lpwstr/>
      </vt:variant>
      <vt:variant>
        <vt:lpwstr>_Toc413918060</vt:lpwstr>
      </vt:variant>
      <vt:variant>
        <vt:i4>1179702</vt:i4>
      </vt:variant>
      <vt:variant>
        <vt:i4>842</vt:i4>
      </vt:variant>
      <vt:variant>
        <vt:i4>0</vt:i4>
      </vt:variant>
      <vt:variant>
        <vt:i4>5</vt:i4>
      </vt:variant>
      <vt:variant>
        <vt:lpwstr/>
      </vt:variant>
      <vt:variant>
        <vt:lpwstr>_Toc413918059</vt:lpwstr>
      </vt:variant>
      <vt:variant>
        <vt:i4>1179702</vt:i4>
      </vt:variant>
      <vt:variant>
        <vt:i4>836</vt:i4>
      </vt:variant>
      <vt:variant>
        <vt:i4>0</vt:i4>
      </vt:variant>
      <vt:variant>
        <vt:i4>5</vt:i4>
      </vt:variant>
      <vt:variant>
        <vt:lpwstr/>
      </vt:variant>
      <vt:variant>
        <vt:lpwstr>_Toc413918058</vt:lpwstr>
      </vt:variant>
      <vt:variant>
        <vt:i4>1179702</vt:i4>
      </vt:variant>
      <vt:variant>
        <vt:i4>830</vt:i4>
      </vt:variant>
      <vt:variant>
        <vt:i4>0</vt:i4>
      </vt:variant>
      <vt:variant>
        <vt:i4>5</vt:i4>
      </vt:variant>
      <vt:variant>
        <vt:lpwstr/>
      </vt:variant>
      <vt:variant>
        <vt:lpwstr>_Toc413918057</vt:lpwstr>
      </vt:variant>
      <vt:variant>
        <vt:i4>1179702</vt:i4>
      </vt:variant>
      <vt:variant>
        <vt:i4>824</vt:i4>
      </vt:variant>
      <vt:variant>
        <vt:i4>0</vt:i4>
      </vt:variant>
      <vt:variant>
        <vt:i4>5</vt:i4>
      </vt:variant>
      <vt:variant>
        <vt:lpwstr/>
      </vt:variant>
      <vt:variant>
        <vt:lpwstr>_Toc413918056</vt:lpwstr>
      </vt:variant>
      <vt:variant>
        <vt:i4>1179702</vt:i4>
      </vt:variant>
      <vt:variant>
        <vt:i4>818</vt:i4>
      </vt:variant>
      <vt:variant>
        <vt:i4>0</vt:i4>
      </vt:variant>
      <vt:variant>
        <vt:i4>5</vt:i4>
      </vt:variant>
      <vt:variant>
        <vt:lpwstr/>
      </vt:variant>
      <vt:variant>
        <vt:lpwstr>_Toc413918055</vt:lpwstr>
      </vt:variant>
      <vt:variant>
        <vt:i4>1179702</vt:i4>
      </vt:variant>
      <vt:variant>
        <vt:i4>812</vt:i4>
      </vt:variant>
      <vt:variant>
        <vt:i4>0</vt:i4>
      </vt:variant>
      <vt:variant>
        <vt:i4>5</vt:i4>
      </vt:variant>
      <vt:variant>
        <vt:lpwstr/>
      </vt:variant>
      <vt:variant>
        <vt:lpwstr>_Toc413918054</vt:lpwstr>
      </vt:variant>
      <vt:variant>
        <vt:i4>1179702</vt:i4>
      </vt:variant>
      <vt:variant>
        <vt:i4>806</vt:i4>
      </vt:variant>
      <vt:variant>
        <vt:i4>0</vt:i4>
      </vt:variant>
      <vt:variant>
        <vt:i4>5</vt:i4>
      </vt:variant>
      <vt:variant>
        <vt:lpwstr/>
      </vt:variant>
      <vt:variant>
        <vt:lpwstr>_Toc413918053</vt:lpwstr>
      </vt:variant>
      <vt:variant>
        <vt:i4>1179702</vt:i4>
      </vt:variant>
      <vt:variant>
        <vt:i4>800</vt:i4>
      </vt:variant>
      <vt:variant>
        <vt:i4>0</vt:i4>
      </vt:variant>
      <vt:variant>
        <vt:i4>5</vt:i4>
      </vt:variant>
      <vt:variant>
        <vt:lpwstr/>
      </vt:variant>
      <vt:variant>
        <vt:lpwstr>_Toc413918052</vt:lpwstr>
      </vt:variant>
      <vt:variant>
        <vt:i4>1179702</vt:i4>
      </vt:variant>
      <vt:variant>
        <vt:i4>794</vt:i4>
      </vt:variant>
      <vt:variant>
        <vt:i4>0</vt:i4>
      </vt:variant>
      <vt:variant>
        <vt:i4>5</vt:i4>
      </vt:variant>
      <vt:variant>
        <vt:lpwstr/>
      </vt:variant>
      <vt:variant>
        <vt:lpwstr>_Toc413918051</vt:lpwstr>
      </vt:variant>
      <vt:variant>
        <vt:i4>1179702</vt:i4>
      </vt:variant>
      <vt:variant>
        <vt:i4>788</vt:i4>
      </vt:variant>
      <vt:variant>
        <vt:i4>0</vt:i4>
      </vt:variant>
      <vt:variant>
        <vt:i4>5</vt:i4>
      </vt:variant>
      <vt:variant>
        <vt:lpwstr/>
      </vt:variant>
      <vt:variant>
        <vt:lpwstr>_Toc413918050</vt:lpwstr>
      </vt:variant>
      <vt:variant>
        <vt:i4>1245238</vt:i4>
      </vt:variant>
      <vt:variant>
        <vt:i4>782</vt:i4>
      </vt:variant>
      <vt:variant>
        <vt:i4>0</vt:i4>
      </vt:variant>
      <vt:variant>
        <vt:i4>5</vt:i4>
      </vt:variant>
      <vt:variant>
        <vt:lpwstr/>
      </vt:variant>
      <vt:variant>
        <vt:lpwstr>_Toc413918049</vt:lpwstr>
      </vt:variant>
      <vt:variant>
        <vt:i4>1245238</vt:i4>
      </vt:variant>
      <vt:variant>
        <vt:i4>776</vt:i4>
      </vt:variant>
      <vt:variant>
        <vt:i4>0</vt:i4>
      </vt:variant>
      <vt:variant>
        <vt:i4>5</vt:i4>
      </vt:variant>
      <vt:variant>
        <vt:lpwstr/>
      </vt:variant>
      <vt:variant>
        <vt:lpwstr>_Toc413918048</vt:lpwstr>
      </vt:variant>
      <vt:variant>
        <vt:i4>1245238</vt:i4>
      </vt:variant>
      <vt:variant>
        <vt:i4>770</vt:i4>
      </vt:variant>
      <vt:variant>
        <vt:i4>0</vt:i4>
      </vt:variant>
      <vt:variant>
        <vt:i4>5</vt:i4>
      </vt:variant>
      <vt:variant>
        <vt:lpwstr/>
      </vt:variant>
      <vt:variant>
        <vt:lpwstr>_Toc413918047</vt:lpwstr>
      </vt:variant>
      <vt:variant>
        <vt:i4>1245238</vt:i4>
      </vt:variant>
      <vt:variant>
        <vt:i4>764</vt:i4>
      </vt:variant>
      <vt:variant>
        <vt:i4>0</vt:i4>
      </vt:variant>
      <vt:variant>
        <vt:i4>5</vt:i4>
      </vt:variant>
      <vt:variant>
        <vt:lpwstr/>
      </vt:variant>
      <vt:variant>
        <vt:lpwstr>_Toc413918046</vt:lpwstr>
      </vt:variant>
      <vt:variant>
        <vt:i4>1245238</vt:i4>
      </vt:variant>
      <vt:variant>
        <vt:i4>758</vt:i4>
      </vt:variant>
      <vt:variant>
        <vt:i4>0</vt:i4>
      </vt:variant>
      <vt:variant>
        <vt:i4>5</vt:i4>
      </vt:variant>
      <vt:variant>
        <vt:lpwstr/>
      </vt:variant>
      <vt:variant>
        <vt:lpwstr>_Toc413918045</vt:lpwstr>
      </vt:variant>
      <vt:variant>
        <vt:i4>1245238</vt:i4>
      </vt:variant>
      <vt:variant>
        <vt:i4>752</vt:i4>
      </vt:variant>
      <vt:variant>
        <vt:i4>0</vt:i4>
      </vt:variant>
      <vt:variant>
        <vt:i4>5</vt:i4>
      </vt:variant>
      <vt:variant>
        <vt:lpwstr/>
      </vt:variant>
      <vt:variant>
        <vt:lpwstr>_Toc413918044</vt:lpwstr>
      </vt:variant>
      <vt:variant>
        <vt:i4>1245238</vt:i4>
      </vt:variant>
      <vt:variant>
        <vt:i4>746</vt:i4>
      </vt:variant>
      <vt:variant>
        <vt:i4>0</vt:i4>
      </vt:variant>
      <vt:variant>
        <vt:i4>5</vt:i4>
      </vt:variant>
      <vt:variant>
        <vt:lpwstr/>
      </vt:variant>
      <vt:variant>
        <vt:lpwstr>_Toc413918043</vt:lpwstr>
      </vt:variant>
      <vt:variant>
        <vt:i4>1245238</vt:i4>
      </vt:variant>
      <vt:variant>
        <vt:i4>740</vt:i4>
      </vt:variant>
      <vt:variant>
        <vt:i4>0</vt:i4>
      </vt:variant>
      <vt:variant>
        <vt:i4>5</vt:i4>
      </vt:variant>
      <vt:variant>
        <vt:lpwstr/>
      </vt:variant>
      <vt:variant>
        <vt:lpwstr>_Toc413918042</vt:lpwstr>
      </vt:variant>
      <vt:variant>
        <vt:i4>1245238</vt:i4>
      </vt:variant>
      <vt:variant>
        <vt:i4>734</vt:i4>
      </vt:variant>
      <vt:variant>
        <vt:i4>0</vt:i4>
      </vt:variant>
      <vt:variant>
        <vt:i4>5</vt:i4>
      </vt:variant>
      <vt:variant>
        <vt:lpwstr/>
      </vt:variant>
      <vt:variant>
        <vt:lpwstr>_Toc413918041</vt:lpwstr>
      </vt:variant>
      <vt:variant>
        <vt:i4>1245238</vt:i4>
      </vt:variant>
      <vt:variant>
        <vt:i4>728</vt:i4>
      </vt:variant>
      <vt:variant>
        <vt:i4>0</vt:i4>
      </vt:variant>
      <vt:variant>
        <vt:i4>5</vt:i4>
      </vt:variant>
      <vt:variant>
        <vt:lpwstr/>
      </vt:variant>
      <vt:variant>
        <vt:lpwstr>_Toc413918040</vt:lpwstr>
      </vt:variant>
      <vt:variant>
        <vt:i4>1310774</vt:i4>
      </vt:variant>
      <vt:variant>
        <vt:i4>722</vt:i4>
      </vt:variant>
      <vt:variant>
        <vt:i4>0</vt:i4>
      </vt:variant>
      <vt:variant>
        <vt:i4>5</vt:i4>
      </vt:variant>
      <vt:variant>
        <vt:lpwstr/>
      </vt:variant>
      <vt:variant>
        <vt:lpwstr>_Toc413918039</vt:lpwstr>
      </vt:variant>
      <vt:variant>
        <vt:i4>1310774</vt:i4>
      </vt:variant>
      <vt:variant>
        <vt:i4>716</vt:i4>
      </vt:variant>
      <vt:variant>
        <vt:i4>0</vt:i4>
      </vt:variant>
      <vt:variant>
        <vt:i4>5</vt:i4>
      </vt:variant>
      <vt:variant>
        <vt:lpwstr/>
      </vt:variant>
      <vt:variant>
        <vt:lpwstr>_Toc413918038</vt:lpwstr>
      </vt:variant>
      <vt:variant>
        <vt:i4>1310774</vt:i4>
      </vt:variant>
      <vt:variant>
        <vt:i4>710</vt:i4>
      </vt:variant>
      <vt:variant>
        <vt:i4>0</vt:i4>
      </vt:variant>
      <vt:variant>
        <vt:i4>5</vt:i4>
      </vt:variant>
      <vt:variant>
        <vt:lpwstr/>
      </vt:variant>
      <vt:variant>
        <vt:lpwstr>_Toc413918037</vt:lpwstr>
      </vt:variant>
      <vt:variant>
        <vt:i4>1310774</vt:i4>
      </vt:variant>
      <vt:variant>
        <vt:i4>704</vt:i4>
      </vt:variant>
      <vt:variant>
        <vt:i4>0</vt:i4>
      </vt:variant>
      <vt:variant>
        <vt:i4>5</vt:i4>
      </vt:variant>
      <vt:variant>
        <vt:lpwstr/>
      </vt:variant>
      <vt:variant>
        <vt:lpwstr>_Toc413918036</vt:lpwstr>
      </vt:variant>
      <vt:variant>
        <vt:i4>1310774</vt:i4>
      </vt:variant>
      <vt:variant>
        <vt:i4>698</vt:i4>
      </vt:variant>
      <vt:variant>
        <vt:i4>0</vt:i4>
      </vt:variant>
      <vt:variant>
        <vt:i4>5</vt:i4>
      </vt:variant>
      <vt:variant>
        <vt:lpwstr/>
      </vt:variant>
      <vt:variant>
        <vt:lpwstr>_Toc413918035</vt:lpwstr>
      </vt:variant>
      <vt:variant>
        <vt:i4>1310774</vt:i4>
      </vt:variant>
      <vt:variant>
        <vt:i4>692</vt:i4>
      </vt:variant>
      <vt:variant>
        <vt:i4>0</vt:i4>
      </vt:variant>
      <vt:variant>
        <vt:i4>5</vt:i4>
      </vt:variant>
      <vt:variant>
        <vt:lpwstr/>
      </vt:variant>
      <vt:variant>
        <vt:lpwstr>_Toc413918034</vt:lpwstr>
      </vt:variant>
      <vt:variant>
        <vt:i4>1310774</vt:i4>
      </vt:variant>
      <vt:variant>
        <vt:i4>686</vt:i4>
      </vt:variant>
      <vt:variant>
        <vt:i4>0</vt:i4>
      </vt:variant>
      <vt:variant>
        <vt:i4>5</vt:i4>
      </vt:variant>
      <vt:variant>
        <vt:lpwstr/>
      </vt:variant>
      <vt:variant>
        <vt:lpwstr>_Toc413918033</vt:lpwstr>
      </vt:variant>
      <vt:variant>
        <vt:i4>1310774</vt:i4>
      </vt:variant>
      <vt:variant>
        <vt:i4>680</vt:i4>
      </vt:variant>
      <vt:variant>
        <vt:i4>0</vt:i4>
      </vt:variant>
      <vt:variant>
        <vt:i4>5</vt:i4>
      </vt:variant>
      <vt:variant>
        <vt:lpwstr/>
      </vt:variant>
      <vt:variant>
        <vt:lpwstr>_Toc413918032</vt:lpwstr>
      </vt:variant>
      <vt:variant>
        <vt:i4>1310774</vt:i4>
      </vt:variant>
      <vt:variant>
        <vt:i4>674</vt:i4>
      </vt:variant>
      <vt:variant>
        <vt:i4>0</vt:i4>
      </vt:variant>
      <vt:variant>
        <vt:i4>5</vt:i4>
      </vt:variant>
      <vt:variant>
        <vt:lpwstr/>
      </vt:variant>
      <vt:variant>
        <vt:lpwstr>_Toc413918031</vt:lpwstr>
      </vt:variant>
      <vt:variant>
        <vt:i4>1310774</vt:i4>
      </vt:variant>
      <vt:variant>
        <vt:i4>668</vt:i4>
      </vt:variant>
      <vt:variant>
        <vt:i4>0</vt:i4>
      </vt:variant>
      <vt:variant>
        <vt:i4>5</vt:i4>
      </vt:variant>
      <vt:variant>
        <vt:lpwstr/>
      </vt:variant>
      <vt:variant>
        <vt:lpwstr>_Toc413918030</vt:lpwstr>
      </vt:variant>
      <vt:variant>
        <vt:i4>1376310</vt:i4>
      </vt:variant>
      <vt:variant>
        <vt:i4>662</vt:i4>
      </vt:variant>
      <vt:variant>
        <vt:i4>0</vt:i4>
      </vt:variant>
      <vt:variant>
        <vt:i4>5</vt:i4>
      </vt:variant>
      <vt:variant>
        <vt:lpwstr/>
      </vt:variant>
      <vt:variant>
        <vt:lpwstr>_Toc413918029</vt:lpwstr>
      </vt:variant>
      <vt:variant>
        <vt:i4>1376310</vt:i4>
      </vt:variant>
      <vt:variant>
        <vt:i4>656</vt:i4>
      </vt:variant>
      <vt:variant>
        <vt:i4>0</vt:i4>
      </vt:variant>
      <vt:variant>
        <vt:i4>5</vt:i4>
      </vt:variant>
      <vt:variant>
        <vt:lpwstr/>
      </vt:variant>
      <vt:variant>
        <vt:lpwstr>_Toc413918028</vt:lpwstr>
      </vt:variant>
      <vt:variant>
        <vt:i4>1376310</vt:i4>
      </vt:variant>
      <vt:variant>
        <vt:i4>650</vt:i4>
      </vt:variant>
      <vt:variant>
        <vt:i4>0</vt:i4>
      </vt:variant>
      <vt:variant>
        <vt:i4>5</vt:i4>
      </vt:variant>
      <vt:variant>
        <vt:lpwstr/>
      </vt:variant>
      <vt:variant>
        <vt:lpwstr>_Toc413918027</vt:lpwstr>
      </vt:variant>
      <vt:variant>
        <vt:i4>1376310</vt:i4>
      </vt:variant>
      <vt:variant>
        <vt:i4>644</vt:i4>
      </vt:variant>
      <vt:variant>
        <vt:i4>0</vt:i4>
      </vt:variant>
      <vt:variant>
        <vt:i4>5</vt:i4>
      </vt:variant>
      <vt:variant>
        <vt:lpwstr/>
      </vt:variant>
      <vt:variant>
        <vt:lpwstr>_Toc413918026</vt:lpwstr>
      </vt:variant>
      <vt:variant>
        <vt:i4>1376310</vt:i4>
      </vt:variant>
      <vt:variant>
        <vt:i4>638</vt:i4>
      </vt:variant>
      <vt:variant>
        <vt:i4>0</vt:i4>
      </vt:variant>
      <vt:variant>
        <vt:i4>5</vt:i4>
      </vt:variant>
      <vt:variant>
        <vt:lpwstr/>
      </vt:variant>
      <vt:variant>
        <vt:lpwstr>_Toc413918025</vt:lpwstr>
      </vt:variant>
      <vt:variant>
        <vt:i4>1376310</vt:i4>
      </vt:variant>
      <vt:variant>
        <vt:i4>632</vt:i4>
      </vt:variant>
      <vt:variant>
        <vt:i4>0</vt:i4>
      </vt:variant>
      <vt:variant>
        <vt:i4>5</vt:i4>
      </vt:variant>
      <vt:variant>
        <vt:lpwstr/>
      </vt:variant>
      <vt:variant>
        <vt:lpwstr>_Toc413918024</vt:lpwstr>
      </vt:variant>
      <vt:variant>
        <vt:i4>1376310</vt:i4>
      </vt:variant>
      <vt:variant>
        <vt:i4>626</vt:i4>
      </vt:variant>
      <vt:variant>
        <vt:i4>0</vt:i4>
      </vt:variant>
      <vt:variant>
        <vt:i4>5</vt:i4>
      </vt:variant>
      <vt:variant>
        <vt:lpwstr/>
      </vt:variant>
      <vt:variant>
        <vt:lpwstr>_Toc413918023</vt:lpwstr>
      </vt:variant>
      <vt:variant>
        <vt:i4>1376310</vt:i4>
      </vt:variant>
      <vt:variant>
        <vt:i4>620</vt:i4>
      </vt:variant>
      <vt:variant>
        <vt:i4>0</vt:i4>
      </vt:variant>
      <vt:variant>
        <vt:i4>5</vt:i4>
      </vt:variant>
      <vt:variant>
        <vt:lpwstr/>
      </vt:variant>
      <vt:variant>
        <vt:lpwstr>_Toc413918022</vt:lpwstr>
      </vt:variant>
      <vt:variant>
        <vt:i4>1376310</vt:i4>
      </vt:variant>
      <vt:variant>
        <vt:i4>614</vt:i4>
      </vt:variant>
      <vt:variant>
        <vt:i4>0</vt:i4>
      </vt:variant>
      <vt:variant>
        <vt:i4>5</vt:i4>
      </vt:variant>
      <vt:variant>
        <vt:lpwstr/>
      </vt:variant>
      <vt:variant>
        <vt:lpwstr>_Toc413918021</vt:lpwstr>
      </vt:variant>
      <vt:variant>
        <vt:i4>1376310</vt:i4>
      </vt:variant>
      <vt:variant>
        <vt:i4>608</vt:i4>
      </vt:variant>
      <vt:variant>
        <vt:i4>0</vt:i4>
      </vt:variant>
      <vt:variant>
        <vt:i4>5</vt:i4>
      </vt:variant>
      <vt:variant>
        <vt:lpwstr/>
      </vt:variant>
      <vt:variant>
        <vt:lpwstr>_Toc413918020</vt:lpwstr>
      </vt:variant>
      <vt:variant>
        <vt:i4>1441846</vt:i4>
      </vt:variant>
      <vt:variant>
        <vt:i4>602</vt:i4>
      </vt:variant>
      <vt:variant>
        <vt:i4>0</vt:i4>
      </vt:variant>
      <vt:variant>
        <vt:i4>5</vt:i4>
      </vt:variant>
      <vt:variant>
        <vt:lpwstr/>
      </vt:variant>
      <vt:variant>
        <vt:lpwstr>_Toc413918019</vt:lpwstr>
      </vt:variant>
      <vt:variant>
        <vt:i4>1441846</vt:i4>
      </vt:variant>
      <vt:variant>
        <vt:i4>596</vt:i4>
      </vt:variant>
      <vt:variant>
        <vt:i4>0</vt:i4>
      </vt:variant>
      <vt:variant>
        <vt:i4>5</vt:i4>
      </vt:variant>
      <vt:variant>
        <vt:lpwstr/>
      </vt:variant>
      <vt:variant>
        <vt:lpwstr>_Toc413918018</vt:lpwstr>
      </vt:variant>
      <vt:variant>
        <vt:i4>1441846</vt:i4>
      </vt:variant>
      <vt:variant>
        <vt:i4>590</vt:i4>
      </vt:variant>
      <vt:variant>
        <vt:i4>0</vt:i4>
      </vt:variant>
      <vt:variant>
        <vt:i4>5</vt:i4>
      </vt:variant>
      <vt:variant>
        <vt:lpwstr/>
      </vt:variant>
      <vt:variant>
        <vt:lpwstr>_Toc413918017</vt:lpwstr>
      </vt:variant>
      <vt:variant>
        <vt:i4>1441846</vt:i4>
      </vt:variant>
      <vt:variant>
        <vt:i4>584</vt:i4>
      </vt:variant>
      <vt:variant>
        <vt:i4>0</vt:i4>
      </vt:variant>
      <vt:variant>
        <vt:i4>5</vt:i4>
      </vt:variant>
      <vt:variant>
        <vt:lpwstr/>
      </vt:variant>
      <vt:variant>
        <vt:lpwstr>_Toc413918016</vt:lpwstr>
      </vt:variant>
      <vt:variant>
        <vt:i4>1441846</vt:i4>
      </vt:variant>
      <vt:variant>
        <vt:i4>578</vt:i4>
      </vt:variant>
      <vt:variant>
        <vt:i4>0</vt:i4>
      </vt:variant>
      <vt:variant>
        <vt:i4>5</vt:i4>
      </vt:variant>
      <vt:variant>
        <vt:lpwstr/>
      </vt:variant>
      <vt:variant>
        <vt:lpwstr>_Toc413918015</vt:lpwstr>
      </vt:variant>
      <vt:variant>
        <vt:i4>1441846</vt:i4>
      </vt:variant>
      <vt:variant>
        <vt:i4>572</vt:i4>
      </vt:variant>
      <vt:variant>
        <vt:i4>0</vt:i4>
      </vt:variant>
      <vt:variant>
        <vt:i4>5</vt:i4>
      </vt:variant>
      <vt:variant>
        <vt:lpwstr/>
      </vt:variant>
      <vt:variant>
        <vt:lpwstr>_Toc413918014</vt:lpwstr>
      </vt:variant>
      <vt:variant>
        <vt:i4>1441846</vt:i4>
      </vt:variant>
      <vt:variant>
        <vt:i4>566</vt:i4>
      </vt:variant>
      <vt:variant>
        <vt:i4>0</vt:i4>
      </vt:variant>
      <vt:variant>
        <vt:i4>5</vt:i4>
      </vt:variant>
      <vt:variant>
        <vt:lpwstr/>
      </vt:variant>
      <vt:variant>
        <vt:lpwstr>_Toc413918013</vt:lpwstr>
      </vt:variant>
      <vt:variant>
        <vt:i4>1441846</vt:i4>
      </vt:variant>
      <vt:variant>
        <vt:i4>560</vt:i4>
      </vt:variant>
      <vt:variant>
        <vt:i4>0</vt:i4>
      </vt:variant>
      <vt:variant>
        <vt:i4>5</vt:i4>
      </vt:variant>
      <vt:variant>
        <vt:lpwstr/>
      </vt:variant>
      <vt:variant>
        <vt:lpwstr>_Toc413918012</vt:lpwstr>
      </vt:variant>
      <vt:variant>
        <vt:i4>1441846</vt:i4>
      </vt:variant>
      <vt:variant>
        <vt:i4>554</vt:i4>
      </vt:variant>
      <vt:variant>
        <vt:i4>0</vt:i4>
      </vt:variant>
      <vt:variant>
        <vt:i4>5</vt:i4>
      </vt:variant>
      <vt:variant>
        <vt:lpwstr/>
      </vt:variant>
      <vt:variant>
        <vt:lpwstr>_Toc413918011</vt:lpwstr>
      </vt:variant>
      <vt:variant>
        <vt:i4>1441846</vt:i4>
      </vt:variant>
      <vt:variant>
        <vt:i4>548</vt:i4>
      </vt:variant>
      <vt:variant>
        <vt:i4>0</vt:i4>
      </vt:variant>
      <vt:variant>
        <vt:i4>5</vt:i4>
      </vt:variant>
      <vt:variant>
        <vt:lpwstr/>
      </vt:variant>
      <vt:variant>
        <vt:lpwstr>_Toc413918010</vt:lpwstr>
      </vt:variant>
      <vt:variant>
        <vt:i4>1507382</vt:i4>
      </vt:variant>
      <vt:variant>
        <vt:i4>542</vt:i4>
      </vt:variant>
      <vt:variant>
        <vt:i4>0</vt:i4>
      </vt:variant>
      <vt:variant>
        <vt:i4>5</vt:i4>
      </vt:variant>
      <vt:variant>
        <vt:lpwstr/>
      </vt:variant>
      <vt:variant>
        <vt:lpwstr>_Toc413918009</vt:lpwstr>
      </vt:variant>
      <vt:variant>
        <vt:i4>1507382</vt:i4>
      </vt:variant>
      <vt:variant>
        <vt:i4>536</vt:i4>
      </vt:variant>
      <vt:variant>
        <vt:i4>0</vt:i4>
      </vt:variant>
      <vt:variant>
        <vt:i4>5</vt:i4>
      </vt:variant>
      <vt:variant>
        <vt:lpwstr/>
      </vt:variant>
      <vt:variant>
        <vt:lpwstr>_Toc413918008</vt:lpwstr>
      </vt:variant>
      <vt:variant>
        <vt:i4>1507382</vt:i4>
      </vt:variant>
      <vt:variant>
        <vt:i4>530</vt:i4>
      </vt:variant>
      <vt:variant>
        <vt:i4>0</vt:i4>
      </vt:variant>
      <vt:variant>
        <vt:i4>5</vt:i4>
      </vt:variant>
      <vt:variant>
        <vt:lpwstr/>
      </vt:variant>
      <vt:variant>
        <vt:lpwstr>_Toc413918007</vt:lpwstr>
      </vt:variant>
      <vt:variant>
        <vt:i4>1507382</vt:i4>
      </vt:variant>
      <vt:variant>
        <vt:i4>524</vt:i4>
      </vt:variant>
      <vt:variant>
        <vt:i4>0</vt:i4>
      </vt:variant>
      <vt:variant>
        <vt:i4>5</vt:i4>
      </vt:variant>
      <vt:variant>
        <vt:lpwstr/>
      </vt:variant>
      <vt:variant>
        <vt:lpwstr>_Toc413918006</vt:lpwstr>
      </vt:variant>
      <vt:variant>
        <vt:i4>1507382</vt:i4>
      </vt:variant>
      <vt:variant>
        <vt:i4>518</vt:i4>
      </vt:variant>
      <vt:variant>
        <vt:i4>0</vt:i4>
      </vt:variant>
      <vt:variant>
        <vt:i4>5</vt:i4>
      </vt:variant>
      <vt:variant>
        <vt:lpwstr/>
      </vt:variant>
      <vt:variant>
        <vt:lpwstr>_Toc413918005</vt:lpwstr>
      </vt:variant>
      <vt:variant>
        <vt:i4>1507382</vt:i4>
      </vt:variant>
      <vt:variant>
        <vt:i4>512</vt:i4>
      </vt:variant>
      <vt:variant>
        <vt:i4>0</vt:i4>
      </vt:variant>
      <vt:variant>
        <vt:i4>5</vt:i4>
      </vt:variant>
      <vt:variant>
        <vt:lpwstr/>
      </vt:variant>
      <vt:variant>
        <vt:lpwstr>_Toc413918004</vt:lpwstr>
      </vt:variant>
      <vt:variant>
        <vt:i4>1507382</vt:i4>
      </vt:variant>
      <vt:variant>
        <vt:i4>506</vt:i4>
      </vt:variant>
      <vt:variant>
        <vt:i4>0</vt:i4>
      </vt:variant>
      <vt:variant>
        <vt:i4>5</vt:i4>
      </vt:variant>
      <vt:variant>
        <vt:lpwstr/>
      </vt:variant>
      <vt:variant>
        <vt:lpwstr>_Toc413918003</vt:lpwstr>
      </vt:variant>
      <vt:variant>
        <vt:i4>1507382</vt:i4>
      </vt:variant>
      <vt:variant>
        <vt:i4>500</vt:i4>
      </vt:variant>
      <vt:variant>
        <vt:i4>0</vt:i4>
      </vt:variant>
      <vt:variant>
        <vt:i4>5</vt:i4>
      </vt:variant>
      <vt:variant>
        <vt:lpwstr/>
      </vt:variant>
      <vt:variant>
        <vt:lpwstr>_Toc413918002</vt:lpwstr>
      </vt:variant>
      <vt:variant>
        <vt:i4>1507382</vt:i4>
      </vt:variant>
      <vt:variant>
        <vt:i4>494</vt:i4>
      </vt:variant>
      <vt:variant>
        <vt:i4>0</vt:i4>
      </vt:variant>
      <vt:variant>
        <vt:i4>5</vt:i4>
      </vt:variant>
      <vt:variant>
        <vt:lpwstr/>
      </vt:variant>
      <vt:variant>
        <vt:lpwstr>_Toc413918001</vt:lpwstr>
      </vt:variant>
      <vt:variant>
        <vt:i4>1507382</vt:i4>
      </vt:variant>
      <vt:variant>
        <vt:i4>488</vt:i4>
      </vt:variant>
      <vt:variant>
        <vt:i4>0</vt:i4>
      </vt:variant>
      <vt:variant>
        <vt:i4>5</vt:i4>
      </vt:variant>
      <vt:variant>
        <vt:lpwstr/>
      </vt:variant>
      <vt:variant>
        <vt:lpwstr>_Toc413918000</vt:lpwstr>
      </vt:variant>
      <vt:variant>
        <vt:i4>1114175</vt:i4>
      </vt:variant>
      <vt:variant>
        <vt:i4>482</vt:i4>
      </vt:variant>
      <vt:variant>
        <vt:i4>0</vt:i4>
      </vt:variant>
      <vt:variant>
        <vt:i4>5</vt:i4>
      </vt:variant>
      <vt:variant>
        <vt:lpwstr/>
      </vt:variant>
      <vt:variant>
        <vt:lpwstr>_Toc413917999</vt:lpwstr>
      </vt:variant>
      <vt:variant>
        <vt:i4>1114175</vt:i4>
      </vt:variant>
      <vt:variant>
        <vt:i4>476</vt:i4>
      </vt:variant>
      <vt:variant>
        <vt:i4>0</vt:i4>
      </vt:variant>
      <vt:variant>
        <vt:i4>5</vt:i4>
      </vt:variant>
      <vt:variant>
        <vt:lpwstr/>
      </vt:variant>
      <vt:variant>
        <vt:lpwstr>_Toc413917998</vt:lpwstr>
      </vt:variant>
      <vt:variant>
        <vt:i4>1114175</vt:i4>
      </vt:variant>
      <vt:variant>
        <vt:i4>470</vt:i4>
      </vt:variant>
      <vt:variant>
        <vt:i4>0</vt:i4>
      </vt:variant>
      <vt:variant>
        <vt:i4>5</vt:i4>
      </vt:variant>
      <vt:variant>
        <vt:lpwstr/>
      </vt:variant>
      <vt:variant>
        <vt:lpwstr>_Toc413917997</vt:lpwstr>
      </vt:variant>
      <vt:variant>
        <vt:i4>1114175</vt:i4>
      </vt:variant>
      <vt:variant>
        <vt:i4>464</vt:i4>
      </vt:variant>
      <vt:variant>
        <vt:i4>0</vt:i4>
      </vt:variant>
      <vt:variant>
        <vt:i4>5</vt:i4>
      </vt:variant>
      <vt:variant>
        <vt:lpwstr/>
      </vt:variant>
      <vt:variant>
        <vt:lpwstr>_Toc413917996</vt:lpwstr>
      </vt:variant>
      <vt:variant>
        <vt:i4>1114175</vt:i4>
      </vt:variant>
      <vt:variant>
        <vt:i4>458</vt:i4>
      </vt:variant>
      <vt:variant>
        <vt:i4>0</vt:i4>
      </vt:variant>
      <vt:variant>
        <vt:i4>5</vt:i4>
      </vt:variant>
      <vt:variant>
        <vt:lpwstr/>
      </vt:variant>
      <vt:variant>
        <vt:lpwstr>_Toc413917995</vt:lpwstr>
      </vt:variant>
      <vt:variant>
        <vt:i4>1114175</vt:i4>
      </vt:variant>
      <vt:variant>
        <vt:i4>452</vt:i4>
      </vt:variant>
      <vt:variant>
        <vt:i4>0</vt:i4>
      </vt:variant>
      <vt:variant>
        <vt:i4>5</vt:i4>
      </vt:variant>
      <vt:variant>
        <vt:lpwstr/>
      </vt:variant>
      <vt:variant>
        <vt:lpwstr>_Toc413917994</vt:lpwstr>
      </vt:variant>
      <vt:variant>
        <vt:i4>1114175</vt:i4>
      </vt:variant>
      <vt:variant>
        <vt:i4>446</vt:i4>
      </vt:variant>
      <vt:variant>
        <vt:i4>0</vt:i4>
      </vt:variant>
      <vt:variant>
        <vt:i4>5</vt:i4>
      </vt:variant>
      <vt:variant>
        <vt:lpwstr/>
      </vt:variant>
      <vt:variant>
        <vt:lpwstr>_Toc413917993</vt:lpwstr>
      </vt:variant>
      <vt:variant>
        <vt:i4>1114175</vt:i4>
      </vt:variant>
      <vt:variant>
        <vt:i4>440</vt:i4>
      </vt:variant>
      <vt:variant>
        <vt:i4>0</vt:i4>
      </vt:variant>
      <vt:variant>
        <vt:i4>5</vt:i4>
      </vt:variant>
      <vt:variant>
        <vt:lpwstr/>
      </vt:variant>
      <vt:variant>
        <vt:lpwstr>_Toc413917992</vt:lpwstr>
      </vt:variant>
      <vt:variant>
        <vt:i4>1114175</vt:i4>
      </vt:variant>
      <vt:variant>
        <vt:i4>434</vt:i4>
      </vt:variant>
      <vt:variant>
        <vt:i4>0</vt:i4>
      </vt:variant>
      <vt:variant>
        <vt:i4>5</vt:i4>
      </vt:variant>
      <vt:variant>
        <vt:lpwstr/>
      </vt:variant>
      <vt:variant>
        <vt:lpwstr>_Toc413917991</vt:lpwstr>
      </vt:variant>
      <vt:variant>
        <vt:i4>1114175</vt:i4>
      </vt:variant>
      <vt:variant>
        <vt:i4>428</vt:i4>
      </vt:variant>
      <vt:variant>
        <vt:i4>0</vt:i4>
      </vt:variant>
      <vt:variant>
        <vt:i4>5</vt:i4>
      </vt:variant>
      <vt:variant>
        <vt:lpwstr/>
      </vt:variant>
      <vt:variant>
        <vt:lpwstr>_Toc413917990</vt:lpwstr>
      </vt:variant>
      <vt:variant>
        <vt:i4>1048639</vt:i4>
      </vt:variant>
      <vt:variant>
        <vt:i4>422</vt:i4>
      </vt:variant>
      <vt:variant>
        <vt:i4>0</vt:i4>
      </vt:variant>
      <vt:variant>
        <vt:i4>5</vt:i4>
      </vt:variant>
      <vt:variant>
        <vt:lpwstr/>
      </vt:variant>
      <vt:variant>
        <vt:lpwstr>_Toc413917989</vt:lpwstr>
      </vt:variant>
      <vt:variant>
        <vt:i4>1048639</vt:i4>
      </vt:variant>
      <vt:variant>
        <vt:i4>416</vt:i4>
      </vt:variant>
      <vt:variant>
        <vt:i4>0</vt:i4>
      </vt:variant>
      <vt:variant>
        <vt:i4>5</vt:i4>
      </vt:variant>
      <vt:variant>
        <vt:lpwstr/>
      </vt:variant>
      <vt:variant>
        <vt:lpwstr>_Toc413917988</vt:lpwstr>
      </vt:variant>
      <vt:variant>
        <vt:i4>1048639</vt:i4>
      </vt:variant>
      <vt:variant>
        <vt:i4>410</vt:i4>
      </vt:variant>
      <vt:variant>
        <vt:i4>0</vt:i4>
      </vt:variant>
      <vt:variant>
        <vt:i4>5</vt:i4>
      </vt:variant>
      <vt:variant>
        <vt:lpwstr/>
      </vt:variant>
      <vt:variant>
        <vt:lpwstr>_Toc413917987</vt:lpwstr>
      </vt:variant>
      <vt:variant>
        <vt:i4>1048639</vt:i4>
      </vt:variant>
      <vt:variant>
        <vt:i4>404</vt:i4>
      </vt:variant>
      <vt:variant>
        <vt:i4>0</vt:i4>
      </vt:variant>
      <vt:variant>
        <vt:i4>5</vt:i4>
      </vt:variant>
      <vt:variant>
        <vt:lpwstr/>
      </vt:variant>
      <vt:variant>
        <vt:lpwstr>_Toc413917986</vt:lpwstr>
      </vt:variant>
      <vt:variant>
        <vt:i4>1048639</vt:i4>
      </vt:variant>
      <vt:variant>
        <vt:i4>398</vt:i4>
      </vt:variant>
      <vt:variant>
        <vt:i4>0</vt:i4>
      </vt:variant>
      <vt:variant>
        <vt:i4>5</vt:i4>
      </vt:variant>
      <vt:variant>
        <vt:lpwstr/>
      </vt:variant>
      <vt:variant>
        <vt:lpwstr>_Toc413917985</vt:lpwstr>
      </vt:variant>
      <vt:variant>
        <vt:i4>1048639</vt:i4>
      </vt:variant>
      <vt:variant>
        <vt:i4>392</vt:i4>
      </vt:variant>
      <vt:variant>
        <vt:i4>0</vt:i4>
      </vt:variant>
      <vt:variant>
        <vt:i4>5</vt:i4>
      </vt:variant>
      <vt:variant>
        <vt:lpwstr/>
      </vt:variant>
      <vt:variant>
        <vt:lpwstr>_Toc413917984</vt:lpwstr>
      </vt:variant>
      <vt:variant>
        <vt:i4>1048639</vt:i4>
      </vt:variant>
      <vt:variant>
        <vt:i4>386</vt:i4>
      </vt:variant>
      <vt:variant>
        <vt:i4>0</vt:i4>
      </vt:variant>
      <vt:variant>
        <vt:i4>5</vt:i4>
      </vt:variant>
      <vt:variant>
        <vt:lpwstr/>
      </vt:variant>
      <vt:variant>
        <vt:lpwstr>_Toc413917983</vt:lpwstr>
      </vt:variant>
      <vt:variant>
        <vt:i4>1048639</vt:i4>
      </vt:variant>
      <vt:variant>
        <vt:i4>380</vt:i4>
      </vt:variant>
      <vt:variant>
        <vt:i4>0</vt:i4>
      </vt:variant>
      <vt:variant>
        <vt:i4>5</vt:i4>
      </vt:variant>
      <vt:variant>
        <vt:lpwstr/>
      </vt:variant>
      <vt:variant>
        <vt:lpwstr>_Toc413917982</vt:lpwstr>
      </vt:variant>
      <vt:variant>
        <vt:i4>1048639</vt:i4>
      </vt:variant>
      <vt:variant>
        <vt:i4>374</vt:i4>
      </vt:variant>
      <vt:variant>
        <vt:i4>0</vt:i4>
      </vt:variant>
      <vt:variant>
        <vt:i4>5</vt:i4>
      </vt:variant>
      <vt:variant>
        <vt:lpwstr/>
      </vt:variant>
      <vt:variant>
        <vt:lpwstr>_Toc413917981</vt:lpwstr>
      </vt:variant>
      <vt:variant>
        <vt:i4>1048639</vt:i4>
      </vt:variant>
      <vt:variant>
        <vt:i4>368</vt:i4>
      </vt:variant>
      <vt:variant>
        <vt:i4>0</vt:i4>
      </vt:variant>
      <vt:variant>
        <vt:i4>5</vt:i4>
      </vt:variant>
      <vt:variant>
        <vt:lpwstr/>
      </vt:variant>
      <vt:variant>
        <vt:lpwstr>_Toc413917980</vt:lpwstr>
      </vt:variant>
      <vt:variant>
        <vt:i4>2031679</vt:i4>
      </vt:variant>
      <vt:variant>
        <vt:i4>362</vt:i4>
      </vt:variant>
      <vt:variant>
        <vt:i4>0</vt:i4>
      </vt:variant>
      <vt:variant>
        <vt:i4>5</vt:i4>
      </vt:variant>
      <vt:variant>
        <vt:lpwstr/>
      </vt:variant>
      <vt:variant>
        <vt:lpwstr>_Toc413917979</vt:lpwstr>
      </vt:variant>
      <vt:variant>
        <vt:i4>2031679</vt:i4>
      </vt:variant>
      <vt:variant>
        <vt:i4>356</vt:i4>
      </vt:variant>
      <vt:variant>
        <vt:i4>0</vt:i4>
      </vt:variant>
      <vt:variant>
        <vt:i4>5</vt:i4>
      </vt:variant>
      <vt:variant>
        <vt:lpwstr/>
      </vt:variant>
      <vt:variant>
        <vt:lpwstr>_Toc413917978</vt:lpwstr>
      </vt:variant>
      <vt:variant>
        <vt:i4>2031679</vt:i4>
      </vt:variant>
      <vt:variant>
        <vt:i4>350</vt:i4>
      </vt:variant>
      <vt:variant>
        <vt:i4>0</vt:i4>
      </vt:variant>
      <vt:variant>
        <vt:i4>5</vt:i4>
      </vt:variant>
      <vt:variant>
        <vt:lpwstr/>
      </vt:variant>
      <vt:variant>
        <vt:lpwstr>_Toc413917977</vt:lpwstr>
      </vt:variant>
      <vt:variant>
        <vt:i4>2031679</vt:i4>
      </vt:variant>
      <vt:variant>
        <vt:i4>344</vt:i4>
      </vt:variant>
      <vt:variant>
        <vt:i4>0</vt:i4>
      </vt:variant>
      <vt:variant>
        <vt:i4>5</vt:i4>
      </vt:variant>
      <vt:variant>
        <vt:lpwstr/>
      </vt:variant>
      <vt:variant>
        <vt:lpwstr>_Toc413917976</vt:lpwstr>
      </vt:variant>
      <vt:variant>
        <vt:i4>2031679</vt:i4>
      </vt:variant>
      <vt:variant>
        <vt:i4>338</vt:i4>
      </vt:variant>
      <vt:variant>
        <vt:i4>0</vt:i4>
      </vt:variant>
      <vt:variant>
        <vt:i4>5</vt:i4>
      </vt:variant>
      <vt:variant>
        <vt:lpwstr/>
      </vt:variant>
      <vt:variant>
        <vt:lpwstr>_Toc413917975</vt:lpwstr>
      </vt:variant>
      <vt:variant>
        <vt:i4>2031679</vt:i4>
      </vt:variant>
      <vt:variant>
        <vt:i4>332</vt:i4>
      </vt:variant>
      <vt:variant>
        <vt:i4>0</vt:i4>
      </vt:variant>
      <vt:variant>
        <vt:i4>5</vt:i4>
      </vt:variant>
      <vt:variant>
        <vt:lpwstr/>
      </vt:variant>
      <vt:variant>
        <vt:lpwstr>_Toc413917974</vt:lpwstr>
      </vt:variant>
      <vt:variant>
        <vt:i4>2031679</vt:i4>
      </vt:variant>
      <vt:variant>
        <vt:i4>326</vt:i4>
      </vt:variant>
      <vt:variant>
        <vt:i4>0</vt:i4>
      </vt:variant>
      <vt:variant>
        <vt:i4>5</vt:i4>
      </vt:variant>
      <vt:variant>
        <vt:lpwstr/>
      </vt:variant>
      <vt:variant>
        <vt:lpwstr>_Toc413917973</vt:lpwstr>
      </vt:variant>
      <vt:variant>
        <vt:i4>2031679</vt:i4>
      </vt:variant>
      <vt:variant>
        <vt:i4>320</vt:i4>
      </vt:variant>
      <vt:variant>
        <vt:i4>0</vt:i4>
      </vt:variant>
      <vt:variant>
        <vt:i4>5</vt:i4>
      </vt:variant>
      <vt:variant>
        <vt:lpwstr/>
      </vt:variant>
      <vt:variant>
        <vt:lpwstr>_Toc413917972</vt:lpwstr>
      </vt:variant>
      <vt:variant>
        <vt:i4>2031679</vt:i4>
      </vt:variant>
      <vt:variant>
        <vt:i4>314</vt:i4>
      </vt:variant>
      <vt:variant>
        <vt:i4>0</vt:i4>
      </vt:variant>
      <vt:variant>
        <vt:i4>5</vt:i4>
      </vt:variant>
      <vt:variant>
        <vt:lpwstr/>
      </vt:variant>
      <vt:variant>
        <vt:lpwstr>_Toc413917971</vt:lpwstr>
      </vt:variant>
      <vt:variant>
        <vt:i4>2031679</vt:i4>
      </vt:variant>
      <vt:variant>
        <vt:i4>308</vt:i4>
      </vt:variant>
      <vt:variant>
        <vt:i4>0</vt:i4>
      </vt:variant>
      <vt:variant>
        <vt:i4>5</vt:i4>
      </vt:variant>
      <vt:variant>
        <vt:lpwstr/>
      </vt:variant>
      <vt:variant>
        <vt:lpwstr>_Toc413917970</vt:lpwstr>
      </vt:variant>
      <vt:variant>
        <vt:i4>1966143</vt:i4>
      </vt:variant>
      <vt:variant>
        <vt:i4>302</vt:i4>
      </vt:variant>
      <vt:variant>
        <vt:i4>0</vt:i4>
      </vt:variant>
      <vt:variant>
        <vt:i4>5</vt:i4>
      </vt:variant>
      <vt:variant>
        <vt:lpwstr/>
      </vt:variant>
      <vt:variant>
        <vt:lpwstr>_Toc413917969</vt:lpwstr>
      </vt:variant>
      <vt:variant>
        <vt:i4>1966143</vt:i4>
      </vt:variant>
      <vt:variant>
        <vt:i4>296</vt:i4>
      </vt:variant>
      <vt:variant>
        <vt:i4>0</vt:i4>
      </vt:variant>
      <vt:variant>
        <vt:i4>5</vt:i4>
      </vt:variant>
      <vt:variant>
        <vt:lpwstr/>
      </vt:variant>
      <vt:variant>
        <vt:lpwstr>_Toc413917968</vt:lpwstr>
      </vt:variant>
      <vt:variant>
        <vt:i4>1966143</vt:i4>
      </vt:variant>
      <vt:variant>
        <vt:i4>290</vt:i4>
      </vt:variant>
      <vt:variant>
        <vt:i4>0</vt:i4>
      </vt:variant>
      <vt:variant>
        <vt:i4>5</vt:i4>
      </vt:variant>
      <vt:variant>
        <vt:lpwstr/>
      </vt:variant>
      <vt:variant>
        <vt:lpwstr>_Toc413917967</vt:lpwstr>
      </vt:variant>
      <vt:variant>
        <vt:i4>1966143</vt:i4>
      </vt:variant>
      <vt:variant>
        <vt:i4>284</vt:i4>
      </vt:variant>
      <vt:variant>
        <vt:i4>0</vt:i4>
      </vt:variant>
      <vt:variant>
        <vt:i4>5</vt:i4>
      </vt:variant>
      <vt:variant>
        <vt:lpwstr/>
      </vt:variant>
      <vt:variant>
        <vt:lpwstr>_Toc413917966</vt:lpwstr>
      </vt:variant>
      <vt:variant>
        <vt:i4>1966143</vt:i4>
      </vt:variant>
      <vt:variant>
        <vt:i4>278</vt:i4>
      </vt:variant>
      <vt:variant>
        <vt:i4>0</vt:i4>
      </vt:variant>
      <vt:variant>
        <vt:i4>5</vt:i4>
      </vt:variant>
      <vt:variant>
        <vt:lpwstr/>
      </vt:variant>
      <vt:variant>
        <vt:lpwstr>_Toc413917965</vt:lpwstr>
      </vt:variant>
      <vt:variant>
        <vt:i4>1966143</vt:i4>
      </vt:variant>
      <vt:variant>
        <vt:i4>272</vt:i4>
      </vt:variant>
      <vt:variant>
        <vt:i4>0</vt:i4>
      </vt:variant>
      <vt:variant>
        <vt:i4>5</vt:i4>
      </vt:variant>
      <vt:variant>
        <vt:lpwstr/>
      </vt:variant>
      <vt:variant>
        <vt:lpwstr>_Toc413917964</vt:lpwstr>
      </vt:variant>
      <vt:variant>
        <vt:i4>1966143</vt:i4>
      </vt:variant>
      <vt:variant>
        <vt:i4>266</vt:i4>
      </vt:variant>
      <vt:variant>
        <vt:i4>0</vt:i4>
      </vt:variant>
      <vt:variant>
        <vt:i4>5</vt:i4>
      </vt:variant>
      <vt:variant>
        <vt:lpwstr/>
      </vt:variant>
      <vt:variant>
        <vt:lpwstr>_Toc413917963</vt:lpwstr>
      </vt:variant>
      <vt:variant>
        <vt:i4>1966143</vt:i4>
      </vt:variant>
      <vt:variant>
        <vt:i4>260</vt:i4>
      </vt:variant>
      <vt:variant>
        <vt:i4>0</vt:i4>
      </vt:variant>
      <vt:variant>
        <vt:i4>5</vt:i4>
      </vt:variant>
      <vt:variant>
        <vt:lpwstr/>
      </vt:variant>
      <vt:variant>
        <vt:lpwstr>_Toc413917962</vt:lpwstr>
      </vt:variant>
      <vt:variant>
        <vt:i4>1966143</vt:i4>
      </vt:variant>
      <vt:variant>
        <vt:i4>254</vt:i4>
      </vt:variant>
      <vt:variant>
        <vt:i4>0</vt:i4>
      </vt:variant>
      <vt:variant>
        <vt:i4>5</vt:i4>
      </vt:variant>
      <vt:variant>
        <vt:lpwstr/>
      </vt:variant>
      <vt:variant>
        <vt:lpwstr>_Toc413917961</vt:lpwstr>
      </vt:variant>
      <vt:variant>
        <vt:i4>1966143</vt:i4>
      </vt:variant>
      <vt:variant>
        <vt:i4>248</vt:i4>
      </vt:variant>
      <vt:variant>
        <vt:i4>0</vt:i4>
      </vt:variant>
      <vt:variant>
        <vt:i4>5</vt:i4>
      </vt:variant>
      <vt:variant>
        <vt:lpwstr/>
      </vt:variant>
      <vt:variant>
        <vt:lpwstr>_Toc413917960</vt:lpwstr>
      </vt:variant>
      <vt:variant>
        <vt:i4>1900607</vt:i4>
      </vt:variant>
      <vt:variant>
        <vt:i4>242</vt:i4>
      </vt:variant>
      <vt:variant>
        <vt:i4>0</vt:i4>
      </vt:variant>
      <vt:variant>
        <vt:i4>5</vt:i4>
      </vt:variant>
      <vt:variant>
        <vt:lpwstr/>
      </vt:variant>
      <vt:variant>
        <vt:lpwstr>_Toc413917959</vt:lpwstr>
      </vt:variant>
      <vt:variant>
        <vt:i4>1900607</vt:i4>
      </vt:variant>
      <vt:variant>
        <vt:i4>236</vt:i4>
      </vt:variant>
      <vt:variant>
        <vt:i4>0</vt:i4>
      </vt:variant>
      <vt:variant>
        <vt:i4>5</vt:i4>
      </vt:variant>
      <vt:variant>
        <vt:lpwstr/>
      </vt:variant>
      <vt:variant>
        <vt:lpwstr>_Toc413917958</vt:lpwstr>
      </vt:variant>
      <vt:variant>
        <vt:i4>1900607</vt:i4>
      </vt:variant>
      <vt:variant>
        <vt:i4>230</vt:i4>
      </vt:variant>
      <vt:variant>
        <vt:i4>0</vt:i4>
      </vt:variant>
      <vt:variant>
        <vt:i4>5</vt:i4>
      </vt:variant>
      <vt:variant>
        <vt:lpwstr/>
      </vt:variant>
      <vt:variant>
        <vt:lpwstr>_Toc413917957</vt:lpwstr>
      </vt:variant>
      <vt:variant>
        <vt:i4>1900607</vt:i4>
      </vt:variant>
      <vt:variant>
        <vt:i4>224</vt:i4>
      </vt:variant>
      <vt:variant>
        <vt:i4>0</vt:i4>
      </vt:variant>
      <vt:variant>
        <vt:i4>5</vt:i4>
      </vt:variant>
      <vt:variant>
        <vt:lpwstr/>
      </vt:variant>
      <vt:variant>
        <vt:lpwstr>_Toc413917956</vt:lpwstr>
      </vt:variant>
      <vt:variant>
        <vt:i4>1900607</vt:i4>
      </vt:variant>
      <vt:variant>
        <vt:i4>218</vt:i4>
      </vt:variant>
      <vt:variant>
        <vt:i4>0</vt:i4>
      </vt:variant>
      <vt:variant>
        <vt:i4>5</vt:i4>
      </vt:variant>
      <vt:variant>
        <vt:lpwstr/>
      </vt:variant>
      <vt:variant>
        <vt:lpwstr>_Toc413917955</vt:lpwstr>
      </vt:variant>
      <vt:variant>
        <vt:i4>1900607</vt:i4>
      </vt:variant>
      <vt:variant>
        <vt:i4>212</vt:i4>
      </vt:variant>
      <vt:variant>
        <vt:i4>0</vt:i4>
      </vt:variant>
      <vt:variant>
        <vt:i4>5</vt:i4>
      </vt:variant>
      <vt:variant>
        <vt:lpwstr/>
      </vt:variant>
      <vt:variant>
        <vt:lpwstr>_Toc413917954</vt:lpwstr>
      </vt:variant>
      <vt:variant>
        <vt:i4>1900607</vt:i4>
      </vt:variant>
      <vt:variant>
        <vt:i4>206</vt:i4>
      </vt:variant>
      <vt:variant>
        <vt:i4>0</vt:i4>
      </vt:variant>
      <vt:variant>
        <vt:i4>5</vt:i4>
      </vt:variant>
      <vt:variant>
        <vt:lpwstr/>
      </vt:variant>
      <vt:variant>
        <vt:lpwstr>_Toc413917953</vt:lpwstr>
      </vt:variant>
      <vt:variant>
        <vt:i4>1900607</vt:i4>
      </vt:variant>
      <vt:variant>
        <vt:i4>200</vt:i4>
      </vt:variant>
      <vt:variant>
        <vt:i4>0</vt:i4>
      </vt:variant>
      <vt:variant>
        <vt:i4>5</vt:i4>
      </vt:variant>
      <vt:variant>
        <vt:lpwstr/>
      </vt:variant>
      <vt:variant>
        <vt:lpwstr>_Toc413917952</vt:lpwstr>
      </vt:variant>
      <vt:variant>
        <vt:i4>1900607</vt:i4>
      </vt:variant>
      <vt:variant>
        <vt:i4>194</vt:i4>
      </vt:variant>
      <vt:variant>
        <vt:i4>0</vt:i4>
      </vt:variant>
      <vt:variant>
        <vt:i4>5</vt:i4>
      </vt:variant>
      <vt:variant>
        <vt:lpwstr/>
      </vt:variant>
      <vt:variant>
        <vt:lpwstr>_Toc413917951</vt:lpwstr>
      </vt:variant>
      <vt:variant>
        <vt:i4>1900607</vt:i4>
      </vt:variant>
      <vt:variant>
        <vt:i4>188</vt:i4>
      </vt:variant>
      <vt:variant>
        <vt:i4>0</vt:i4>
      </vt:variant>
      <vt:variant>
        <vt:i4>5</vt:i4>
      </vt:variant>
      <vt:variant>
        <vt:lpwstr/>
      </vt:variant>
      <vt:variant>
        <vt:lpwstr>_Toc413917950</vt:lpwstr>
      </vt:variant>
      <vt:variant>
        <vt:i4>1835071</vt:i4>
      </vt:variant>
      <vt:variant>
        <vt:i4>182</vt:i4>
      </vt:variant>
      <vt:variant>
        <vt:i4>0</vt:i4>
      </vt:variant>
      <vt:variant>
        <vt:i4>5</vt:i4>
      </vt:variant>
      <vt:variant>
        <vt:lpwstr/>
      </vt:variant>
      <vt:variant>
        <vt:lpwstr>_Toc413917949</vt:lpwstr>
      </vt:variant>
      <vt:variant>
        <vt:i4>1835071</vt:i4>
      </vt:variant>
      <vt:variant>
        <vt:i4>176</vt:i4>
      </vt:variant>
      <vt:variant>
        <vt:i4>0</vt:i4>
      </vt:variant>
      <vt:variant>
        <vt:i4>5</vt:i4>
      </vt:variant>
      <vt:variant>
        <vt:lpwstr/>
      </vt:variant>
      <vt:variant>
        <vt:lpwstr>_Toc413917948</vt:lpwstr>
      </vt:variant>
      <vt:variant>
        <vt:i4>1835071</vt:i4>
      </vt:variant>
      <vt:variant>
        <vt:i4>170</vt:i4>
      </vt:variant>
      <vt:variant>
        <vt:i4>0</vt:i4>
      </vt:variant>
      <vt:variant>
        <vt:i4>5</vt:i4>
      </vt:variant>
      <vt:variant>
        <vt:lpwstr/>
      </vt:variant>
      <vt:variant>
        <vt:lpwstr>_Toc413917947</vt:lpwstr>
      </vt:variant>
      <vt:variant>
        <vt:i4>1835071</vt:i4>
      </vt:variant>
      <vt:variant>
        <vt:i4>164</vt:i4>
      </vt:variant>
      <vt:variant>
        <vt:i4>0</vt:i4>
      </vt:variant>
      <vt:variant>
        <vt:i4>5</vt:i4>
      </vt:variant>
      <vt:variant>
        <vt:lpwstr/>
      </vt:variant>
      <vt:variant>
        <vt:lpwstr>_Toc413917946</vt:lpwstr>
      </vt:variant>
      <vt:variant>
        <vt:i4>1835071</vt:i4>
      </vt:variant>
      <vt:variant>
        <vt:i4>158</vt:i4>
      </vt:variant>
      <vt:variant>
        <vt:i4>0</vt:i4>
      </vt:variant>
      <vt:variant>
        <vt:i4>5</vt:i4>
      </vt:variant>
      <vt:variant>
        <vt:lpwstr/>
      </vt:variant>
      <vt:variant>
        <vt:lpwstr>_Toc413917945</vt:lpwstr>
      </vt:variant>
      <vt:variant>
        <vt:i4>1835071</vt:i4>
      </vt:variant>
      <vt:variant>
        <vt:i4>152</vt:i4>
      </vt:variant>
      <vt:variant>
        <vt:i4>0</vt:i4>
      </vt:variant>
      <vt:variant>
        <vt:i4>5</vt:i4>
      </vt:variant>
      <vt:variant>
        <vt:lpwstr/>
      </vt:variant>
      <vt:variant>
        <vt:lpwstr>_Toc413917944</vt:lpwstr>
      </vt:variant>
      <vt:variant>
        <vt:i4>1835071</vt:i4>
      </vt:variant>
      <vt:variant>
        <vt:i4>146</vt:i4>
      </vt:variant>
      <vt:variant>
        <vt:i4>0</vt:i4>
      </vt:variant>
      <vt:variant>
        <vt:i4>5</vt:i4>
      </vt:variant>
      <vt:variant>
        <vt:lpwstr/>
      </vt:variant>
      <vt:variant>
        <vt:lpwstr>_Toc413917943</vt:lpwstr>
      </vt:variant>
      <vt:variant>
        <vt:i4>1835071</vt:i4>
      </vt:variant>
      <vt:variant>
        <vt:i4>140</vt:i4>
      </vt:variant>
      <vt:variant>
        <vt:i4>0</vt:i4>
      </vt:variant>
      <vt:variant>
        <vt:i4>5</vt:i4>
      </vt:variant>
      <vt:variant>
        <vt:lpwstr/>
      </vt:variant>
      <vt:variant>
        <vt:lpwstr>_Toc413917942</vt:lpwstr>
      </vt:variant>
      <vt:variant>
        <vt:i4>1835071</vt:i4>
      </vt:variant>
      <vt:variant>
        <vt:i4>134</vt:i4>
      </vt:variant>
      <vt:variant>
        <vt:i4>0</vt:i4>
      </vt:variant>
      <vt:variant>
        <vt:i4>5</vt:i4>
      </vt:variant>
      <vt:variant>
        <vt:lpwstr/>
      </vt:variant>
      <vt:variant>
        <vt:lpwstr>_Toc413917941</vt:lpwstr>
      </vt:variant>
      <vt:variant>
        <vt:i4>1835071</vt:i4>
      </vt:variant>
      <vt:variant>
        <vt:i4>128</vt:i4>
      </vt:variant>
      <vt:variant>
        <vt:i4>0</vt:i4>
      </vt:variant>
      <vt:variant>
        <vt:i4>5</vt:i4>
      </vt:variant>
      <vt:variant>
        <vt:lpwstr/>
      </vt:variant>
      <vt:variant>
        <vt:lpwstr>_Toc413917940</vt:lpwstr>
      </vt:variant>
      <vt:variant>
        <vt:i4>1769535</vt:i4>
      </vt:variant>
      <vt:variant>
        <vt:i4>122</vt:i4>
      </vt:variant>
      <vt:variant>
        <vt:i4>0</vt:i4>
      </vt:variant>
      <vt:variant>
        <vt:i4>5</vt:i4>
      </vt:variant>
      <vt:variant>
        <vt:lpwstr/>
      </vt:variant>
      <vt:variant>
        <vt:lpwstr>_Toc413917939</vt:lpwstr>
      </vt:variant>
      <vt:variant>
        <vt:i4>1769535</vt:i4>
      </vt:variant>
      <vt:variant>
        <vt:i4>116</vt:i4>
      </vt:variant>
      <vt:variant>
        <vt:i4>0</vt:i4>
      </vt:variant>
      <vt:variant>
        <vt:i4>5</vt:i4>
      </vt:variant>
      <vt:variant>
        <vt:lpwstr/>
      </vt:variant>
      <vt:variant>
        <vt:lpwstr>_Toc413917938</vt:lpwstr>
      </vt:variant>
      <vt:variant>
        <vt:i4>1769535</vt:i4>
      </vt:variant>
      <vt:variant>
        <vt:i4>110</vt:i4>
      </vt:variant>
      <vt:variant>
        <vt:i4>0</vt:i4>
      </vt:variant>
      <vt:variant>
        <vt:i4>5</vt:i4>
      </vt:variant>
      <vt:variant>
        <vt:lpwstr/>
      </vt:variant>
      <vt:variant>
        <vt:lpwstr>_Toc413917937</vt:lpwstr>
      </vt:variant>
      <vt:variant>
        <vt:i4>1769535</vt:i4>
      </vt:variant>
      <vt:variant>
        <vt:i4>104</vt:i4>
      </vt:variant>
      <vt:variant>
        <vt:i4>0</vt:i4>
      </vt:variant>
      <vt:variant>
        <vt:i4>5</vt:i4>
      </vt:variant>
      <vt:variant>
        <vt:lpwstr/>
      </vt:variant>
      <vt:variant>
        <vt:lpwstr>_Toc413917936</vt:lpwstr>
      </vt:variant>
      <vt:variant>
        <vt:i4>1769535</vt:i4>
      </vt:variant>
      <vt:variant>
        <vt:i4>98</vt:i4>
      </vt:variant>
      <vt:variant>
        <vt:i4>0</vt:i4>
      </vt:variant>
      <vt:variant>
        <vt:i4>5</vt:i4>
      </vt:variant>
      <vt:variant>
        <vt:lpwstr/>
      </vt:variant>
      <vt:variant>
        <vt:lpwstr>_Toc413917935</vt:lpwstr>
      </vt:variant>
      <vt:variant>
        <vt:i4>1769535</vt:i4>
      </vt:variant>
      <vt:variant>
        <vt:i4>92</vt:i4>
      </vt:variant>
      <vt:variant>
        <vt:i4>0</vt:i4>
      </vt:variant>
      <vt:variant>
        <vt:i4>5</vt:i4>
      </vt:variant>
      <vt:variant>
        <vt:lpwstr/>
      </vt:variant>
      <vt:variant>
        <vt:lpwstr>_Toc413917934</vt:lpwstr>
      </vt:variant>
      <vt:variant>
        <vt:i4>1769535</vt:i4>
      </vt:variant>
      <vt:variant>
        <vt:i4>86</vt:i4>
      </vt:variant>
      <vt:variant>
        <vt:i4>0</vt:i4>
      </vt:variant>
      <vt:variant>
        <vt:i4>5</vt:i4>
      </vt:variant>
      <vt:variant>
        <vt:lpwstr/>
      </vt:variant>
      <vt:variant>
        <vt:lpwstr>_Toc413917933</vt:lpwstr>
      </vt:variant>
      <vt:variant>
        <vt:i4>1769535</vt:i4>
      </vt:variant>
      <vt:variant>
        <vt:i4>80</vt:i4>
      </vt:variant>
      <vt:variant>
        <vt:i4>0</vt:i4>
      </vt:variant>
      <vt:variant>
        <vt:i4>5</vt:i4>
      </vt:variant>
      <vt:variant>
        <vt:lpwstr/>
      </vt:variant>
      <vt:variant>
        <vt:lpwstr>_Toc413917932</vt:lpwstr>
      </vt:variant>
      <vt:variant>
        <vt:i4>1769535</vt:i4>
      </vt:variant>
      <vt:variant>
        <vt:i4>74</vt:i4>
      </vt:variant>
      <vt:variant>
        <vt:i4>0</vt:i4>
      </vt:variant>
      <vt:variant>
        <vt:i4>5</vt:i4>
      </vt:variant>
      <vt:variant>
        <vt:lpwstr/>
      </vt:variant>
      <vt:variant>
        <vt:lpwstr>_Toc413917931</vt:lpwstr>
      </vt:variant>
      <vt:variant>
        <vt:i4>1769535</vt:i4>
      </vt:variant>
      <vt:variant>
        <vt:i4>68</vt:i4>
      </vt:variant>
      <vt:variant>
        <vt:i4>0</vt:i4>
      </vt:variant>
      <vt:variant>
        <vt:i4>5</vt:i4>
      </vt:variant>
      <vt:variant>
        <vt:lpwstr/>
      </vt:variant>
      <vt:variant>
        <vt:lpwstr>_Toc413917930</vt:lpwstr>
      </vt:variant>
      <vt:variant>
        <vt:i4>1703999</vt:i4>
      </vt:variant>
      <vt:variant>
        <vt:i4>62</vt:i4>
      </vt:variant>
      <vt:variant>
        <vt:i4>0</vt:i4>
      </vt:variant>
      <vt:variant>
        <vt:i4>5</vt:i4>
      </vt:variant>
      <vt:variant>
        <vt:lpwstr/>
      </vt:variant>
      <vt:variant>
        <vt:lpwstr>_Toc413917929</vt:lpwstr>
      </vt:variant>
      <vt:variant>
        <vt:i4>1703999</vt:i4>
      </vt:variant>
      <vt:variant>
        <vt:i4>56</vt:i4>
      </vt:variant>
      <vt:variant>
        <vt:i4>0</vt:i4>
      </vt:variant>
      <vt:variant>
        <vt:i4>5</vt:i4>
      </vt:variant>
      <vt:variant>
        <vt:lpwstr/>
      </vt:variant>
      <vt:variant>
        <vt:lpwstr>_Toc413917928</vt:lpwstr>
      </vt:variant>
      <vt:variant>
        <vt:i4>1703999</vt:i4>
      </vt:variant>
      <vt:variant>
        <vt:i4>50</vt:i4>
      </vt:variant>
      <vt:variant>
        <vt:i4>0</vt:i4>
      </vt:variant>
      <vt:variant>
        <vt:i4>5</vt:i4>
      </vt:variant>
      <vt:variant>
        <vt:lpwstr/>
      </vt:variant>
      <vt:variant>
        <vt:lpwstr>_Toc413917927</vt:lpwstr>
      </vt:variant>
      <vt:variant>
        <vt:i4>1703999</vt:i4>
      </vt:variant>
      <vt:variant>
        <vt:i4>44</vt:i4>
      </vt:variant>
      <vt:variant>
        <vt:i4>0</vt:i4>
      </vt:variant>
      <vt:variant>
        <vt:i4>5</vt:i4>
      </vt:variant>
      <vt:variant>
        <vt:lpwstr/>
      </vt:variant>
      <vt:variant>
        <vt:lpwstr>_Toc413917926</vt:lpwstr>
      </vt:variant>
      <vt:variant>
        <vt:i4>1703999</vt:i4>
      </vt:variant>
      <vt:variant>
        <vt:i4>38</vt:i4>
      </vt:variant>
      <vt:variant>
        <vt:i4>0</vt:i4>
      </vt:variant>
      <vt:variant>
        <vt:i4>5</vt:i4>
      </vt:variant>
      <vt:variant>
        <vt:lpwstr/>
      </vt:variant>
      <vt:variant>
        <vt:lpwstr>_Toc413917925</vt:lpwstr>
      </vt:variant>
      <vt:variant>
        <vt:i4>1703999</vt:i4>
      </vt:variant>
      <vt:variant>
        <vt:i4>32</vt:i4>
      </vt:variant>
      <vt:variant>
        <vt:i4>0</vt:i4>
      </vt:variant>
      <vt:variant>
        <vt:i4>5</vt:i4>
      </vt:variant>
      <vt:variant>
        <vt:lpwstr/>
      </vt:variant>
      <vt:variant>
        <vt:lpwstr>_Toc413917924</vt:lpwstr>
      </vt:variant>
      <vt:variant>
        <vt:i4>1703999</vt:i4>
      </vt:variant>
      <vt:variant>
        <vt:i4>26</vt:i4>
      </vt:variant>
      <vt:variant>
        <vt:i4>0</vt:i4>
      </vt:variant>
      <vt:variant>
        <vt:i4>5</vt:i4>
      </vt:variant>
      <vt:variant>
        <vt:lpwstr/>
      </vt:variant>
      <vt:variant>
        <vt:lpwstr>_Toc413917923</vt:lpwstr>
      </vt:variant>
      <vt:variant>
        <vt:i4>1703999</vt:i4>
      </vt:variant>
      <vt:variant>
        <vt:i4>20</vt:i4>
      </vt:variant>
      <vt:variant>
        <vt:i4>0</vt:i4>
      </vt:variant>
      <vt:variant>
        <vt:i4>5</vt:i4>
      </vt:variant>
      <vt:variant>
        <vt:lpwstr/>
      </vt:variant>
      <vt:variant>
        <vt:lpwstr>_Toc413917922</vt:lpwstr>
      </vt:variant>
      <vt:variant>
        <vt:i4>1703999</vt:i4>
      </vt:variant>
      <vt:variant>
        <vt:i4>14</vt:i4>
      </vt:variant>
      <vt:variant>
        <vt:i4>0</vt:i4>
      </vt:variant>
      <vt:variant>
        <vt:i4>5</vt:i4>
      </vt:variant>
      <vt:variant>
        <vt:lpwstr/>
      </vt:variant>
      <vt:variant>
        <vt:lpwstr>_Toc413917921</vt:lpwstr>
      </vt:variant>
      <vt:variant>
        <vt:i4>1703999</vt:i4>
      </vt:variant>
      <vt:variant>
        <vt:i4>8</vt:i4>
      </vt:variant>
      <vt:variant>
        <vt:i4>0</vt:i4>
      </vt:variant>
      <vt:variant>
        <vt:i4>5</vt:i4>
      </vt:variant>
      <vt:variant>
        <vt:lpwstr/>
      </vt:variant>
      <vt:variant>
        <vt:lpwstr>_Toc413917920</vt:lpwstr>
      </vt:variant>
      <vt:variant>
        <vt:i4>1638463</vt:i4>
      </vt:variant>
      <vt:variant>
        <vt:i4>2</vt:i4>
      </vt:variant>
      <vt:variant>
        <vt:i4>0</vt:i4>
      </vt:variant>
      <vt:variant>
        <vt:i4>5</vt:i4>
      </vt:variant>
      <vt:variant>
        <vt:lpwstr/>
      </vt:variant>
      <vt:variant>
        <vt:lpwstr>_Toc413917919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2018-07-20T09:44:00Z</dcterms:created>
  <dcterms:modified xsi:type="dcterms:W3CDTF">2019-01-21T12:11:00Z</dcterms:modified>
</cp:coreProperties>
</file>